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wmf" ContentType="image/x-wmf"/>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metadata/core-properties" Target="docProps/core0.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E1EA6A" w14:textId="77777777" w:rsidR="00E255F4" w:rsidRDefault="00000000">
      <w:r>
        <w:rPr>
          <w:noProof/>
        </w:rPr>
        <mc:AlternateContent>
          <mc:Choice Requires="wps">
            <w:drawing>
              <wp:anchor distT="0" distB="0" distL="114300" distR="114300" simplePos="0" relativeHeight="251659264" behindDoc="0" locked="0" layoutInCell="1" allowOverlap="1" wp14:anchorId="4D44B534" wp14:editId="5FE87011">
                <wp:simplePos x="0" y="0"/>
                <wp:positionH relativeFrom="leftMargin">
                  <wp:align>left</wp:align>
                </wp:positionH>
                <wp:positionV relativeFrom="page">
                  <wp:posOffset>0</wp:posOffset>
                </wp:positionV>
                <wp:extent cx="7765200" cy="219600"/>
                <wp:effectExtent l="0" t="0" r="0" b="9525"/>
                <wp:wrapNone/>
                <wp:docPr id="100010111" name="ODT_ATTR_LBL_SHAP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65200" cy="219600"/>
                        </a:xfrm>
                        <a:prstGeom prst="rect">
                          <a:avLst/>
                        </a:prstGeom>
                        <a:solidFill>
                          <a:srgbClr val="F2F2F2"/>
                        </a:solidFill>
                        <a:ln w="9525">
                          <a:noFill/>
                          <a:miter lim="800000"/>
                          <a:headEnd/>
                          <a:tailEnd/>
                        </a:ln>
                      </wps:spPr>
                      <wps:txbx>
                        <w:txbxContent>
                          <w:p w14:paraId="6B6EA3D5" w14:textId="77777777" w:rsidR="00E255F4" w:rsidRDefault="00000000">
                            <w:pPr>
                              <w:spacing w:line="240" w:lineRule="auto"/>
                              <w:contextualSpacing/>
                            </w:pPr>
                            <w:r>
                              <w:rPr>
                                <w:noProof/>
                                <w:position w:val="-6"/>
                              </w:rPr>
                              <w:drawing>
                                <wp:inline distT="0" distB="0" distL="0" distR="0" wp14:anchorId="2763B2DA" wp14:editId="36D11137">
                                  <wp:extent cx="316230" cy="179705"/>
                                  <wp:effectExtent l="0" t="0" r="0" b="0"/>
                                  <wp:docPr id="100010001" name="LOGO"/>
                                  <wp:cNvGraphicFramePr/>
                                  <a:graphic xmlns:a="http://schemas.openxmlformats.org/drawingml/2006/main">
                                    <a:graphicData uri="http://schemas.openxmlformats.org/drawingml/2006/picture">
                                      <pic:pic xmlns:pic="http://schemas.openxmlformats.org/drawingml/2006/picture">
                                        <pic:nvPicPr>
                                          <pic:cNvPr id="100010001" name="LOGO"/>
                                          <pic:cNvPicPr/>
                                        </pic:nvPicPr>
                                        <pic:blipFill>
                                          <a:blip r:embed="rId7" cstate="print">
                                            <a:extLst>
                                              <a:ext uri="{28A0092B-C50C-407E-A947-70E740481C1C}">
                                                <a14:useLocalDpi xmlns:a14="http://schemas.microsoft.com/office/drawing/2010/main" val="0"/>
                                              </a:ext>
                                            </a:extLst>
                                          </a:blip>
                                          <a:stretch>
                                            <a:fillRect/>
                                          </a:stretch>
                                        </pic:blipFill>
                                        <pic:spPr>
                                          <a:xfrm>
                                            <a:off x="0" y="0"/>
                                            <a:ext cx="316230" cy="179705"/>
                                          </a:xfrm>
                                          <a:prstGeom prst="rect">
                                            <a:avLst/>
                                          </a:prstGeom>
                                        </pic:spPr>
                                      </pic:pic>
                                    </a:graphicData>
                                  </a:graphic>
                                </wp:inline>
                              </w:drawing>
                            </w:r>
                            <w:r>
                              <w:rPr>
                                <w:rFonts w:ascii="Roboto" w:hAnsi="Roboto"/>
                                <w:color w:val="0F2B46"/>
                                <w:szCs w:val="18"/>
                              </w:rPr>
                              <w:t xml:space="preserve"> </w:t>
                            </w:r>
                            <w:hyperlink r:id="rId8" w:tooltip="Doc Translator - www.onlinedoctranslator.com" w:history="1">
                              <w:r w:rsidR="00E255F4">
                                <w:rPr>
                                  <w:rFonts w:ascii="Roboto" w:hAnsi="Roboto"/>
                                  <w:color w:val="0F2B46"/>
                                  <w:sz w:val="18"/>
                                  <w:szCs w:val="18"/>
                                </w:rPr>
                                <w:t xml:space="preserve">Translated from Spanish to English - </w:t>
                              </w:r>
                              <w:r w:rsidR="00E255F4">
                                <w:rPr>
                                  <w:rFonts w:ascii="Roboto" w:hAnsi="Roboto"/>
                                  <w:color w:val="0F2B46"/>
                                  <w:sz w:val="18"/>
                                  <w:szCs w:val="18"/>
                                  <w:u w:val="single"/>
                                </w:rPr>
                                <w:t>www.onlinedoctranslator.com</w:t>
                              </w:r>
                            </w:hyperlink>
                          </w:p>
                        </w:txbxContent>
                      </wps:txbx>
                      <wps:bodyPr rot="0" vert="horz" wrap="square" lIns="91440" tIns="0" rIns="91440" bIns="0" anchor="t" anchorCtr="0">
                        <a:noAutofit/>
                      </wps:bodyPr>
                    </wps:wsp>
                  </a:graphicData>
                </a:graphic>
                <wp14:sizeRelH relativeFrom="page">
                  <wp14:pctWidth>100000</wp14:pctWidth>
                </wp14:sizeRelH>
                <wp14:sizeRelV relativeFrom="margin">
                  <wp14:pctHeight>0</wp14:pctHeight>
                </wp14:sizeRelV>
              </wp:anchor>
            </w:drawing>
          </mc:Choice>
          <mc:Fallback>
            <w:pict>
              <v:shapetype w14:anchorId="4D44B534" id="_x0000_t202" coordsize="21600,21600" o:spt="202" path="m,l,21600r21600,l21600,xe">
                <v:stroke joinstyle="miter"/>
                <v:path gradientshapeok="t" o:connecttype="rect"/>
              </v:shapetype>
              <v:shape id="ODT_ATTR_LBL_SHAPE" o:spid="_x0000_s1026" type="#_x0000_t202" style="position:absolute;margin-left:0;margin-top:0;width:611.45pt;height:17.3pt;z-index:251659264;visibility:visible;mso-wrap-style:square;mso-width-percent:1000;mso-height-percent:0;mso-wrap-distance-left:9pt;mso-wrap-distance-top:0;mso-wrap-distance-right:9pt;mso-wrap-distance-bottom:0;mso-position-horizontal:left;mso-position-horizontal-relative:left-margin-area;mso-position-vertical:absolute;mso-position-vertical-relative:page;mso-width-percent:100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" fillcolor="#f2f2f2" stroked="f">
                <v:textbox inset=",0,,0">
                  <w:txbxContent>
                    <w:p w14:paraId="6B6EA3D5" w14:textId="77777777" w:rsidR="00E255F4" w:rsidRDefault="00000000">
                      <w:pPr>
                        <w:spacing w:line="240" w:lineRule="auto"/>
                        <w:contextualSpacing/>
                      </w:pPr>
                      <w:r>
                        <w:rPr>
                          <w:noProof/>
                          <w:position w:val="-6"/>
                        </w:rPr>
                        <w:drawing>
                          <wp:inline distT="0" distB="0" distL="0" distR="0" wp14:anchorId="2763B2DA" wp14:editId="36D11137">
                            <wp:extent cx="316230" cy="179705"/>
                            <wp:effectExtent l="0" t="0" r="0" b="0"/>
                            <wp:docPr id="100010001" name="LOGO"/>
                            <wp:cNvGraphicFramePr/>
                            <a:graphic xmlns:a="http://schemas.openxmlformats.org/drawingml/2006/main">
                              <a:graphicData uri="http://schemas.openxmlformats.org/drawingml/2006/picture">
                                <pic:pic xmlns:pic="http://schemas.openxmlformats.org/drawingml/2006/picture">
                                  <pic:nvPicPr>
                                    <pic:cNvPr id="100010001" name="LOGO"/>
                                    <pic:cNvPicPr/>
                                  </pic:nvPicPr>
                                  <pic:blipFill>
                                    <a:blip r:embed="rId9" cstate="print">
                                      <a:extLst>
                                        <a:ext uri="{28A0092B-C50C-407E-A947-70E740481C1C}">
                                          <a14:useLocalDpi xmlns:a14="http://schemas.microsoft.com/office/drawing/2010/main" val="0"/>
                                        </a:ext>
                                      </a:extLst>
                                    </a:blip>
                                    <a:stretch>
                                      <a:fillRect/>
                                    </a:stretch>
                                  </pic:blipFill>
                                  <pic:spPr>
                                    <a:xfrm>
                                      <a:off x="0" y="0"/>
                                      <a:ext cx="316230" cy="179705"/>
                                    </a:xfrm>
                                    <a:prstGeom prst="rect">
                                      <a:avLst/>
                                    </a:prstGeom>
                                  </pic:spPr>
                                </pic:pic>
                              </a:graphicData>
                            </a:graphic>
                          </wp:inline>
                        </w:drawing>
                      </w:r>
                      <w:r>
                        <w:rPr>
                          <w:rFonts w:ascii="Roboto" w:hAnsi="Roboto"/>
                          <w:color w:val="0F2B46"/>
                          <w:szCs w:val="18"/>
                        </w:rPr>
                        <w:t xml:space="preserve"> </w:t>
                      </w:r>
                      <w:hyperlink r:id="rId10" w:tooltip="Doc Translator - www.onlinedoctranslator.com" w:history="1">
                        <w:r>
                          <w:rPr>
                            <w:rFonts w:ascii="Roboto" w:hAnsi="Roboto"/>
                            <w:color w:val="0F2B46"/>
                            <w:sz w:val="18"/>
                            <w:szCs w:val="18"/>
                          </w:rPr>
                          <w:t xml:space="preserve">Translated from Spanish to English - </w:t>
                        </w:r>
                        <w:r>
                          <w:rPr>
                            <w:rFonts w:ascii="Roboto" w:hAnsi="Roboto"/>
                            <w:color w:val="0F2B46"/>
                            <w:sz w:val="18"/>
                            <w:szCs w:val="18"/>
                            <w:u w:val="single"/>
                          </w:rPr>
                          <w:t>www.onlinedoctranslator.com</w:t>
                        </w:r>
                      </w:hyperlink>
                    </w:p>
                  </w:txbxContent>
                </v:textbox>
                <w10:wrap anchorx="margin" anchory="page"/>
              </v:shape>
            </w:pict>
          </mc:Fallback>
        </mc:AlternateContent>
      </w:r>
    </w:p>
    <w:p w14:paraId="39EAA7DE" w14:textId="77777777" w:rsidR="00E255F4" w:rsidRDefault="00000000">
      <w:pPr>
        <w:jc w:val="both"/>
        <w:rPr>
          <w:sz w:val="36"/>
          <w:lang w:val="es-ES"/>
        </w:rPr>
      </w:pPr>
      <w:r>
        <w:rPr>
          <w:noProof/>
        </w:rPr>
        <w:drawing>
          <wp:anchor distT="0" distB="0" distL="114935" distR="114935" simplePos="0" relativeHeight="8" behindDoc="0" locked="0" layoutInCell="0" allowOverlap="1" wp14:anchorId="732036C1" wp14:editId="35E1909C">
            <wp:simplePos x="0" y="0"/>
            <wp:positionH relativeFrom="column">
              <wp:posOffset>33020</wp:posOffset>
            </wp:positionH>
            <wp:positionV relativeFrom="paragraph">
              <wp:posOffset>-165100</wp:posOffset>
            </wp:positionV>
            <wp:extent cx="594360" cy="405130"/>
            <wp:effectExtent l="0" t="0" r="0" b="0"/>
            <wp:wrapTight wrapText="bothSides">
              <wp:wrapPolygon edited="0">
                <wp:start x="-346" y="0"/>
                <wp:lineTo x="-346" y="20593"/>
                <wp:lineTo x="21600" y="20593"/>
                <wp:lineTo x="21600" y="0"/>
                <wp:lineTo x="-346" y="0"/>
              </wp:wrapPolygon>
            </wp:wrapTight>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2"/>
                    <pic:cNvPicPr>
                      <a:picLocks noChangeAspect="1" noChangeArrowheads="1"/>
                    </pic:cNvPicPr>
                  </pic:nvPicPr>
                  <pic:blipFill>
                    <a:blip r:embed="rId11"/>
                    <a:srcRect l="-3" t="-5" r="-3" b="-5"/>
                    <a:stretch>
                      <a:fillRect/>
                    </a:stretch>
                  </pic:blipFill>
                  <pic:spPr bwMode="auto">
                    <a:xfrm>
                      <a:off x="0" y="0"/>
                      <a:ext cx="594360" cy="405130"/>
                    </a:xfrm>
                    <a:prstGeom prst="rect">
                      <a:avLst/>
                    </a:prstGeom>
                  </pic:spPr>
                </pic:pic>
              </a:graphicData>
            </a:graphic>
          </wp:anchor>
        </w:drawing>
      </w:r>
      <w:r>
        <w:rPr>
          <w:sz w:val="36"/>
          <w:lang w:val="es-ES"/>
        </w:rPr>
        <w:t xml:space="preserve">                                                              </w:t>
      </w:r>
    </w:p>
    <w:p w14:paraId="7A36D4CC" w14:textId="77777777" w:rsidR="00E255F4" w:rsidRDefault="00000000">
      <w:pPr>
        <w:jc w:val="both"/>
        <w:rPr>
          <w:lang w:val="es-ES"/>
        </w:rPr>
      </w:pPr>
      <w:r>
        <w:rPr>
          <w:lang w:val="es-ES"/>
        </w:rPr>
        <w:t xml:space="preserve">State </w:t>
      </w:r>
      <w:proofErr w:type="spellStart"/>
      <w:r>
        <w:rPr>
          <w:lang w:val="es-ES"/>
        </w:rPr>
        <w:t>Waterworks</w:t>
      </w:r>
      <w:proofErr w:type="spellEnd"/>
    </w:p>
    <w:p w14:paraId="248E9E8E" w14:textId="77777777" w:rsidR="00E255F4" w:rsidRDefault="00E255F4">
      <w:pPr>
        <w:jc w:val="both"/>
        <w:rPr>
          <w:sz w:val="36"/>
          <w:lang w:val="es-ES"/>
        </w:rPr>
      </w:pPr>
    </w:p>
    <w:p w14:paraId="0E657E96" w14:textId="77777777" w:rsidR="00E255F4" w:rsidRDefault="00E255F4">
      <w:pPr>
        <w:jc w:val="both"/>
        <w:rPr>
          <w:sz w:val="36"/>
          <w:lang w:val="es-ES"/>
        </w:rPr>
      </w:pPr>
    </w:p>
    <w:p w14:paraId="66B60187" w14:textId="77777777" w:rsidR="00E255F4" w:rsidRDefault="00E255F4">
      <w:pPr>
        <w:jc w:val="both"/>
        <w:rPr>
          <w:sz w:val="36"/>
          <w:lang w:val="es-ES"/>
        </w:rPr>
      </w:pPr>
    </w:p>
    <w:p w14:paraId="6F658B5B" w14:textId="77777777" w:rsidR="00E255F4" w:rsidRDefault="00E255F4">
      <w:pPr>
        <w:jc w:val="center"/>
        <w:rPr>
          <w:sz w:val="44"/>
          <w:lang w:val="es-ES"/>
        </w:rPr>
      </w:pPr>
    </w:p>
    <w:p w14:paraId="25A010CE" w14:textId="77777777" w:rsidR="00E255F4" w:rsidRDefault="00E255F4">
      <w:pPr>
        <w:ind w:left="709" w:hanging="709"/>
        <w:jc w:val="center"/>
        <w:rPr>
          <w:sz w:val="44"/>
          <w:lang w:val="es-ES"/>
        </w:rPr>
      </w:pPr>
    </w:p>
    <w:p w14:paraId="08B1744C" w14:textId="77777777" w:rsidR="00E255F4" w:rsidRDefault="00E255F4">
      <w:pPr>
        <w:jc w:val="center"/>
        <w:rPr>
          <w:sz w:val="52"/>
          <w:lang w:val="es-ES"/>
        </w:rPr>
      </w:pPr>
    </w:p>
    <w:p w14:paraId="1AC749B3" w14:textId="33EB16EB" w:rsidR="00E255F4" w:rsidRDefault="00000000">
      <w:pPr>
        <w:jc w:val="center"/>
        <w:rPr>
          <w:sz w:val="40"/>
          <w:szCs w:val="44"/>
          <w:lang w:val="es-ES"/>
        </w:rPr>
      </w:pPr>
      <w:r>
        <w:rPr>
          <w:sz w:val="40"/>
          <w:szCs w:val="44"/>
          <w:lang w:val="es-ES"/>
        </w:rPr>
        <w:t xml:space="preserve">Public Tender </w:t>
      </w:r>
    </w:p>
    <w:p w14:paraId="6A631371" w14:textId="77777777" w:rsidR="00E255F4" w:rsidRDefault="00E255F4">
      <w:pPr>
        <w:spacing w:line="300" w:lineRule="auto"/>
        <w:jc w:val="center"/>
        <w:rPr>
          <w:sz w:val="44"/>
          <w:szCs w:val="44"/>
          <w:lang w:val="es-ES"/>
        </w:rPr>
      </w:pPr>
    </w:p>
    <w:p w14:paraId="75EDD7D3" w14:textId="77777777" w:rsidR="00E255F4" w:rsidRDefault="00000000">
      <w:pPr>
        <w:jc w:val="center"/>
      </w:pPr>
      <w:r>
        <w:rPr>
          <w:rFonts w:ascii="Arial" w:hAnsi="Arial" w:cs="Arial"/>
          <w:sz w:val="32"/>
          <w:szCs w:val="32"/>
        </w:rPr>
        <w:t>“CONTRACTING A TELEMETRY SERVICE</w:t>
      </w:r>
      <w:bookmarkStart w:id="0" w:name="_Hlk54273360"/>
      <w:r>
        <w:rPr>
          <w:rFonts w:ascii="Arial" w:hAnsi="Arial" w:cs="Arial"/>
          <w:color w:val="FF0000"/>
          <w:sz w:val="32"/>
          <w:szCs w:val="32"/>
        </w:rPr>
        <w:t xml:space="preserve"> </w:t>
      </w:r>
      <w:r>
        <w:rPr>
          <w:rFonts w:ascii="Arial" w:hAnsi="Arial" w:cs="Arial"/>
          <w:sz w:val="32"/>
          <w:szCs w:val="32"/>
        </w:rPr>
        <w:t>FOR DRINKING WATER METERS FOR INSTALLATION BY OSE WITHIN THE FRAMEWORK OF THE “OSE EVOLUCIONA” PROJECT, WITH AN APPROXIMATE TOTAL NUMBER OF 50,000 CONNECTIONS, WITH SUPPLY OF INTEGRAL SMART METERS OF 12.7mm”</w:t>
      </w:r>
      <w:bookmarkEnd w:id="0"/>
    </w:p>
    <w:p w14:paraId="407DAA92" w14:textId="77777777" w:rsidR="00E255F4" w:rsidRDefault="00E255F4">
      <w:pPr>
        <w:jc w:val="both"/>
        <w:rPr>
          <w:rFonts w:ascii="Arial" w:hAnsi="Arial" w:cs="Arial"/>
          <w:b/>
          <w:sz w:val="44"/>
          <w:szCs w:val="32"/>
        </w:rPr>
      </w:pPr>
    </w:p>
    <w:p w14:paraId="300572B0" w14:textId="77777777" w:rsidR="00E255F4" w:rsidRDefault="00E255F4">
      <w:pPr>
        <w:tabs>
          <w:tab w:val="left" w:pos="0"/>
        </w:tabs>
        <w:jc w:val="both"/>
        <w:rPr>
          <w:sz w:val="44"/>
          <w:lang w:val="es-ES"/>
        </w:rPr>
      </w:pPr>
    </w:p>
    <w:p w14:paraId="5C0DA6FF" w14:textId="77777777" w:rsidR="00E255F4" w:rsidRDefault="00E255F4">
      <w:pPr>
        <w:tabs>
          <w:tab w:val="left" w:pos="0"/>
        </w:tabs>
        <w:jc w:val="both"/>
        <w:rPr>
          <w:lang w:val="es-ES"/>
        </w:rPr>
      </w:pPr>
    </w:p>
    <w:p w14:paraId="12CC7568" w14:textId="77777777" w:rsidR="00E255F4" w:rsidRDefault="00E255F4">
      <w:pPr>
        <w:tabs>
          <w:tab w:val="left" w:pos="0"/>
        </w:tabs>
        <w:jc w:val="both"/>
        <w:rPr>
          <w:lang w:val="es-ES"/>
        </w:rPr>
      </w:pPr>
    </w:p>
    <w:p w14:paraId="48C0D86B" w14:textId="77777777" w:rsidR="00E255F4" w:rsidRDefault="00E255F4">
      <w:pPr>
        <w:tabs>
          <w:tab w:val="left" w:pos="0"/>
        </w:tabs>
        <w:jc w:val="both"/>
        <w:rPr>
          <w:sz w:val="24"/>
          <w:lang w:val="es-ES"/>
        </w:rPr>
      </w:pPr>
    </w:p>
    <w:p w14:paraId="293B5F35" w14:textId="77777777" w:rsidR="00E255F4" w:rsidRDefault="00E255F4">
      <w:pPr>
        <w:tabs>
          <w:tab w:val="left" w:pos="0"/>
        </w:tabs>
        <w:jc w:val="both"/>
        <w:rPr>
          <w:sz w:val="24"/>
          <w:lang w:val="es-ES"/>
        </w:rPr>
      </w:pPr>
    </w:p>
    <w:p w14:paraId="65C04207" w14:textId="77777777" w:rsidR="00E255F4" w:rsidRDefault="00E255F4">
      <w:pPr>
        <w:tabs>
          <w:tab w:val="left" w:pos="0"/>
        </w:tabs>
        <w:jc w:val="both"/>
        <w:rPr>
          <w:sz w:val="24"/>
          <w:lang w:val="es-ES"/>
        </w:rPr>
      </w:pPr>
    </w:p>
    <w:p w14:paraId="1BB1F537" w14:textId="77777777" w:rsidR="00E255F4" w:rsidRDefault="00E255F4">
      <w:pPr>
        <w:tabs>
          <w:tab w:val="left" w:pos="0"/>
        </w:tabs>
        <w:jc w:val="both"/>
        <w:rPr>
          <w:sz w:val="24"/>
          <w:lang w:val="es-ES"/>
        </w:rPr>
      </w:pPr>
    </w:p>
    <w:p w14:paraId="1518FD53" w14:textId="77777777" w:rsidR="00E255F4" w:rsidRDefault="00E255F4">
      <w:pPr>
        <w:tabs>
          <w:tab w:val="left" w:pos="0"/>
        </w:tabs>
        <w:jc w:val="both"/>
        <w:rPr>
          <w:sz w:val="24"/>
          <w:lang w:val="es-ES"/>
        </w:rPr>
      </w:pPr>
    </w:p>
    <w:p w14:paraId="7ABB116C" w14:textId="77777777" w:rsidR="00E255F4" w:rsidRDefault="00E255F4">
      <w:pPr>
        <w:tabs>
          <w:tab w:val="left" w:pos="0"/>
        </w:tabs>
        <w:jc w:val="both"/>
        <w:rPr>
          <w:sz w:val="24"/>
          <w:lang w:val="es-ES"/>
        </w:rPr>
      </w:pPr>
    </w:p>
    <w:p w14:paraId="759845E1" w14:textId="77777777" w:rsidR="00E255F4" w:rsidRDefault="00E255F4">
      <w:pPr>
        <w:tabs>
          <w:tab w:val="left" w:pos="0"/>
        </w:tabs>
        <w:jc w:val="both"/>
        <w:rPr>
          <w:sz w:val="24"/>
          <w:lang w:val="es-ES"/>
        </w:rPr>
      </w:pPr>
    </w:p>
    <w:p w14:paraId="6DBDCD6F" w14:textId="77777777" w:rsidR="00E255F4" w:rsidRDefault="00E255F4">
      <w:pPr>
        <w:tabs>
          <w:tab w:val="left" w:pos="0"/>
        </w:tabs>
        <w:jc w:val="both"/>
        <w:rPr>
          <w:sz w:val="24"/>
          <w:lang w:val="es-ES"/>
        </w:rPr>
      </w:pPr>
    </w:p>
    <w:p w14:paraId="257F0F8A" w14:textId="77777777" w:rsidR="00E255F4" w:rsidRDefault="00E255F4">
      <w:pPr>
        <w:tabs>
          <w:tab w:val="left" w:pos="0"/>
        </w:tabs>
        <w:jc w:val="both"/>
        <w:rPr>
          <w:sz w:val="24"/>
          <w:lang w:val="es-ES"/>
        </w:rPr>
      </w:pPr>
    </w:p>
    <w:p w14:paraId="1683F07C" w14:textId="77777777" w:rsidR="00E255F4" w:rsidRDefault="00E255F4">
      <w:pPr>
        <w:tabs>
          <w:tab w:val="left" w:pos="0"/>
        </w:tabs>
        <w:jc w:val="both"/>
        <w:rPr>
          <w:sz w:val="24"/>
          <w:lang w:val="es-ES"/>
        </w:rPr>
      </w:pPr>
    </w:p>
    <w:p w14:paraId="5EAD863C" w14:textId="77777777" w:rsidR="00E255F4" w:rsidRDefault="00E255F4">
      <w:pPr>
        <w:tabs>
          <w:tab w:val="left" w:pos="0"/>
        </w:tabs>
        <w:jc w:val="both"/>
        <w:rPr>
          <w:sz w:val="24"/>
          <w:lang w:val="es-ES"/>
        </w:rPr>
      </w:pPr>
    </w:p>
    <w:p w14:paraId="420386AF" w14:textId="77777777" w:rsidR="00E255F4" w:rsidRDefault="00E255F4">
      <w:pPr>
        <w:tabs>
          <w:tab w:val="left" w:pos="0"/>
        </w:tabs>
        <w:jc w:val="both"/>
        <w:rPr>
          <w:sz w:val="24"/>
          <w:lang w:val="es-ES"/>
        </w:rPr>
      </w:pPr>
    </w:p>
    <w:p w14:paraId="1C52CE14" w14:textId="77777777" w:rsidR="00E255F4" w:rsidRDefault="00E255F4">
      <w:pPr>
        <w:tabs>
          <w:tab w:val="left" w:pos="0"/>
        </w:tabs>
        <w:jc w:val="both"/>
        <w:rPr>
          <w:sz w:val="24"/>
          <w:lang w:val="es-ES"/>
        </w:rPr>
      </w:pPr>
    </w:p>
    <w:p w14:paraId="2FB89B53" w14:textId="77777777" w:rsidR="00E255F4" w:rsidRDefault="00000000">
      <w:pPr>
        <w:tabs>
          <w:tab w:val="left" w:pos="0"/>
        </w:tabs>
        <w:jc w:val="both"/>
        <w:rPr>
          <w:sz w:val="24"/>
          <w:lang w:val="es-ES"/>
        </w:rPr>
      </w:pPr>
      <w:proofErr w:type="spellStart"/>
      <w:r>
        <w:rPr>
          <w:sz w:val="24"/>
          <w:lang w:val="es-ES"/>
        </w:rPr>
        <w:t>Opening</w:t>
      </w:r>
      <w:proofErr w:type="spellEnd"/>
      <w:r>
        <w:rPr>
          <w:sz w:val="24"/>
          <w:lang w:val="es-ES"/>
        </w:rPr>
        <w:t xml:space="preserve"> date:</w:t>
      </w:r>
    </w:p>
    <w:p w14:paraId="582B929F" w14:textId="77777777" w:rsidR="00E255F4" w:rsidRDefault="00000000">
      <w:pPr>
        <w:tabs>
          <w:tab w:val="left" w:pos="0"/>
        </w:tabs>
        <w:jc w:val="both"/>
        <w:rPr>
          <w:sz w:val="24"/>
          <w:lang w:val="es-ES"/>
        </w:rPr>
        <w:sectPr w:rsidR="00E255F4">
          <w:headerReference w:type="default" r:id="rId12"/>
          <w:footerReference w:type="default" r:id="rId13"/>
          <w:headerReference w:type="first" r:id="rId14"/>
          <w:footerReference w:type="first" r:id="rId15"/>
          <w:pgSz w:w="11906" w:h="16838"/>
          <w:pgMar w:top="980" w:right="1284" w:bottom="993" w:left="1360" w:header="720" w:footer="720" w:gutter="0"/>
          <w:pgNumType w:start="0"/>
          <w:cols w:space="720"/>
          <w:formProt w:val="0"/>
          <w:titlePg/>
          <w:docGrid w:linePitch="272"/>
        </w:sectPr>
      </w:pPr>
      <w:r>
        <w:rPr>
          <w:sz w:val="24"/>
          <w:lang w:val="es-ES"/>
        </w:rPr>
        <w:t>Hour:</w:t>
      </w:r>
    </w:p>
    <w:p w14:paraId="1AA4C4F1" w14:textId="77777777" w:rsidR="00E255F4" w:rsidRDefault="00000000">
      <w:pPr>
        <w:pStyle w:val="TtulodeTDC"/>
        <w:spacing w:before="0"/>
        <w:jc w:val="center"/>
      </w:pPr>
      <w:r>
        <w:lastRenderedPageBreak/>
        <w:t xml:space="preserve">table </w:t>
      </w:r>
      <w:proofErr w:type="spellStart"/>
      <w:r>
        <w:t>of</w:t>
      </w:r>
      <w:proofErr w:type="spellEnd"/>
      <w:r>
        <w:t xml:space="preserve"> </w:t>
      </w:r>
      <w:proofErr w:type="spellStart"/>
      <w:r>
        <w:t>Contents</w:t>
      </w:r>
      <w:proofErr w:type="spellEnd"/>
    </w:p>
    <w:sdt>
      <w:sdtPr>
        <w:id w:val="2127421897"/>
        <w:docPartObj>
          <w:docPartGallery w:val="Table of Contents"/>
          <w:docPartUnique/>
        </w:docPartObj>
      </w:sdtPr>
      <w:sdtContent>
        <w:p w14:paraId="3E240999" w14:textId="77777777" w:rsidR="00E255F4" w:rsidRDefault="00000000">
          <w:pPr>
            <w:pStyle w:val="TDC1"/>
          </w:pPr>
          <w:r>
            <w:fldChar w:fldCharType="begin"/>
          </w:r>
          <w:r>
            <w:rPr>
              <w:rStyle w:val="IndexLink"/>
            </w:rPr>
            <w:instrText>TOC \o "1-3" \h \z \u</w:instrText>
          </w:r>
          <w:r>
            <w:rPr>
              <w:rStyle w:val="IndexLink"/>
            </w:rPr>
            <w:fldChar w:fldCharType="separate"/>
          </w:r>
          <w:hyperlink w:anchor="__RefHeading___Toc225377178">
            <w:r w:rsidR="00E255F4">
              <w:rPr>
                <w:rStyle w:val="IndexLink"/>
              </w:rPr>
              <w:t>2. Section I</w:t>
            </w:r>
            <w:r w:rsidR="00E255F4">
              <w:rPr>
                <w:rStyle w:val="IndexLink"/>
              </w:rPr>
              <w:tab/>
              <w:t>5</w:t>
            </w:r>
          </w:hyperlink>
        </w:p>
        <w:p w14:paraId="07910754" w14:textId="77777777" w:rsidR="00E255F4" w:rsidRDefault="00E255F4">
          <w:pPr>
            <w:pStyle w:val="TDC1"/>
          </w:pPr>
          <w:hyperlink w:anchor="__RefHeading___Toc225377179">
            <w:r>
              <w:rPr>
                <w:rStyle w:val="IndexLink"/>
              </w:rPr>
              <w:t xml:space="preserve"> Single Set of General Terms and Conditions for Supply and Non-Personal Services Contracts</w:t>
            </w:r>
            <w:r>
              <w:rPr>
                <w:rStyle w:val="IndexLink"/>
              </w:rPr>
              <w:tab/>
              <w:t>5</w:t>
            </w:r>
          </w:hyperlink>
        </w:p>
        <w:p w14:paraId="61D2E5B3" w14:textId="77777777" w:rsidR="00E255F4" w:rsidRDefault="00E255F4">
          <w:pPr>
            <w:pStyle w:val="TDC1"/>
          </w:pPr>
          <w:hyperlink w:anchor="__RefHeading___Toc225377180">
            <w:r>
              <w:rPr>
                <w:rStyle w:val="IndexLink"/>
              </w:rPr>
              <w:t xml:space="preserve"> 1 General Provisions</w:t>
            </w:r>
            <w:r>
              <w:rPr>
                <w:rStyle w:val="IndexLink"/>
              </w:rPr>
              <w:tab/>
              <w:t>5</w:t>
            </w:r>
          </w:hyperlink>
        </w:p>
        <w:p w14:paraId="72C2E91A" w14:textId="77777777" w:rsidR="00E255F4" w:rsidRDefault="00E255F4">
          <w:pPr>
            <w:pStyle w:val="TDC1"/>
          </w:pPr>
          <w:hyperlink w:anchor="__RefHeading___Toc225377181">
            <w:r>
              <w:rPr>
                <w:rStyle w:val="IndexLink"/>
              </w:rPr>
              <w:t xml:space="preserve"> 1.1 Scope of Application</w:t>
            </w:r>
            <w:r>
              <w:rPr>
                <w:rStyle w:val="IndexLink"/>
              </w:rPr>
              <w:tab/>
              <w:t>5</w:t>
            </w:r>
          </w:hyperlink>
        </w:p>
        <w:p w14:paraId="3A758BEC" w14:textId="77777777" w:rsidR="00E255F4" w:rsidRDefault="00E255F4">
          <w:pPr>
            <w:pStyle w:val="TDC1"/>
          </w:pPr>
          <w:hyperlink w:anchor="__RefHeading___Toc225377182">
            <w:r>
              <w:rPr>
                <w:rStyle w:val="IndexLink"/>
              </w:rPr>
              <w:t xml:space="preserve"> 1.2 Hierarchy of Norms</w:t>
            </w:r>
            <w:r>
              <w:rPr>
                <w:rStyle w:val="IndexLink"/>
              </w:rPr>
              <w:tab/>
              <w:t>5</w:t>
            </w:r>
          </w:hyperlink>
        </w:p>
        <w:p w14:paraId="4A85B1C7" w14:textId="77777777" w:rsidR="00E255F4" w:rsidRDefault="00E255F4">
          <w:pPr>
            <w:pStyle w:val="TDC1"/>
          </w:pPr>
          <w:hyperlink w:anchor="__RefHeading___Toc225377183">
            <w:r>
              <w:rPr>
                <w:rStyle w:val="IndexLink"/>
              </w:rPr>
              <w:t xml:space="preserve"> 1.3 Calculation of Time Limits</w:t>
            </w:r>
            <w:r>
              <w:rPr>
                <w:rStyle w:val="IndexLink"/>
              </w:rPr>
              <w:tab/>
              <w:t>5</w:t>
            </w:r>
          </w:hyperlink>
        </w:p>
        <w:p w14:paraId="0601FF5B" w14:textId="77777777" w:rsidR="00E255F4" w:rsidRDefault="00E255F4">
          <w:pPr>
            <w:pStyle w:val="TDC1"/>
          </w:pPr>
          <w:hyperlink w:anchor="__RefHeading___Toc225377184">
            <w:r>
              <w:rPr>
                <w:rStyle w:val="IndexLink"/>
              </w:rPr>
              <w:t xml:space="preserve"> 1.4 Notifications</w:t>
            </w:r>
            <w:r>
              <w:rPr>
                <w:rStyle w:val="IndexLink"/>
              </w:rPr>
              <w:tab/>
              <w:t>5</w:t>
            </w:r>
          </w:hyperlink>
        </w:p>
        <w:p w14:paraId="15ADF44B" w14:textId="77777777" w:rsidR="00E255F4" w:rsidRDefault="00E255F4">
          <w:pPr>
            <w:pStyle w:val="TDC1"/>
          </w:pPr>
          <w:hyperlink w:anchor="__RefHeading___Toc225377185">
            <w:r>
              <w:rPr>
                <w:rStyle w:val="IndexLink"/>
              </w:rPr>
              <w:t xml:space="preserve"> 1.5 Communications</w:t>
            </w:r>
            <w:r>
              <w:rPr>
                <w:rStyle w:val="IndexLink"/>
              </w:rPr>
              <w:tab/>
              <w:t>5</w:t>
            </w:r>
          </w:hyperlink>
        </w:p>
        <w:p w14:paraId="4D81977E" w14:textId="77777777" w:rsidR="00E255F4" w:rsidRDefault="00E255F4">
          <w:pPr>
            <w:pStyle w:val="TDC1"/>
          </w:pPr>
          <w:hyperlink w:anchor="__RefHeading___Toc225377186">
            <w:r>
              <w:rPr>
                <w:rStyle w:val="IndexLink"/>
              </w:rPr>
              <w:t xml:space="preserve"> 1.6 Competent jurisdiction</w:t>
            </w:r>
            <w:r>
              <w:rPr>
                <w:rStyle w:val="IndexLink"/>
              </w:rPr>
              <w:tab/>
              <w:t>5</w:t>
            </w:r>
          </w:hyperlink>
        </w:p>
        <w:p w14:paraId="7F9DAA17" w14:textId="77777777" w:rsidR="00E255F4" w:rsidRDefault="00E255F4">
          <w:pPr>
            <w:pStyle w:val="TDC1"/>
          </w:pPr>
          <w:hyperlink w:anchor="__RefHeading___Toc225377187">
            <w:r>
              <w:rPr>
                <w:rStyle w:val="IndexLink"/>
              </w:rPr>
              <w:t xml:space="preserve"> 2 Publication of the call</w:t>
            </w:r>
            <w:r>
              <w:rPr>
                <w:rStyle w:val="IndexLink"/>
              </w:rPr>
              <w:tab/>
              <w:t>5</w:t>
            </w:r>
          </w:hyperlink>
        </w:p>
        <w:p w14:paraId="5E933515" w14:textId="77777777" w:rsidR="00E255F4" w:rsidRDefault="00E255F4">
          <w:pPr>
            <w:pStyle w:val="TDC1"/>
          </w:pPr>
          <w:hyperlink w:anchor="__RefHeading___Toc225377188">
            <w:r>
              <w:rPr>
                <w:rStyle w:val="IndexLink"/>
              </w:rPr>
              <w:t xml:space="preserve"> 3 Clarifications of the Specifications</w:t>
            </w:r>
            <w:r>
              <w:rPr>
                <w:rStyle w:val="IndexLink"/>
              </w:rPr>
              <w:tab/>
              <w:t>6</w:t>
            </w:r>
          </w:hyperlink>
        </w:p>
        <w:p w14:paraId="506842DD" w14:textId="77777777" w:rsidR="00E255F4" w:rsidRDefault="00E255F4">
          <w:pPr>
            <w:pStyle w:val="TDC1"/>
          </w:pPr>
          <w:hyperlink w:anchor="__RefHeading___Toc225377189">
            <w:r>
              <w:rPr>
                <w:rStyle w:val="IndexLink"/>
              </w:rPr>
              <w:t xml:space="preserve"> 4. Modification of the Special Specifications</w:t>
            </w:r>
            <w:r>
              <w:rPr>
                <w:rStyle w:val="IndexLink"/>
              </w:rPr>
              <w:tab/>
              <w:t>6</w:t>
            </w:r>
          </w:hyperlink>
        </w:p>
        <w:p w14:paraId="4ADA0920" w14:textId="77777777" w:rsidR="00E255F4" w:rsidRDefault="00E255F4">
          <w:pPr>
            <w:pStyle w:val="TDC1"/>
          </w:pPr>
          <w:hyperlink w:anchor="__RefHeading___Toc225377190">
            <w:r>
              <w:rPr>
                <w:rStyle w:val="IndexLink"/>
              </w:rPr>
              <w:t xml:space="preserve"> 5 Request for extension of bid opening</w:t>
            </w:r>
            <w:r>
              <w:rPr>
                <w:rStyle w:val="IndexLink"/>
              </w:rPr>
              <w:tab/>
              <w:t>6</w:t>
            </w:r>
          </w:hyperlink>
        </w:p>
        <w:p w14:paraId="299CFF98" w14:textId="77777777" w:rsidR="00E255F4" w:rsidRDefault="00E255F4">
          <w:pPr>
            <w:pStyle w:val="TDC1"/>
          </w:pPr>
          <w:hyperlink w:anchor="__RefHeading___Toc225377191">
            <w:r>
              <w:rPr>
                <w:rStyle w:val="IndexLink"/>
              </w:rPr>
              <w:t xml:space="preserve"> 6 Administration Reserve</w:t>
            </w:r>
            <w:r>
              <w:rPr>
                <w:rStyle w:val="IndexLink"/>
              </w:rPr>
              <w:tab/>
              <w:t>6</w:t>
            </w:r>
          </w:hyperlink>
        </w:p>
        <w:p w14:paraId="07064470" w14:textId="77777777" w:rsidR="00E255F4" w:rsidRDefault="00E255F4">
          <w:pPr>
            <w:pStyle w:val="TDC1"/>
          </w:pPr>
          <w:hyperlink w:anchor="__RefHeading___Toc225377192">
            <w:r>
              <w:rPr>
                <w:rStyle w:val="IndexLink"/>
              </w:rPr>
              <w:t xml:space="preserve"> 7 Standardization of articles</w:t>
            </w:r>
            <w:r>
              <w:rPr>
                <w:rStyle w:val="IndexLink"/>
              </w:rPr>
              <w:tab/>
              <w:t>7</w:t>
            </w:r>
          </w:hyperlink>
        </w:p>
        <w:p w14:paraId="167C247A" w14:textId="77777777" w:rsidR="00E255F4" w:rsidRDefault="00E255F4">
          <w:pPr>
            <w:pStyle w:val="TDC1"/>
          </w:pPr>
          <w:hyperlink w:anchor="__RefHeading___Toc225377193">
            <w:r>
              <w:rPr>
                <w:rStyle w:val="IndexLink"/>
              </w:rPr>
              <w:t xml:space="preserve"> 8 Formal Requirements for Bids</w:t>
            </w:r>
            <w:r>
              <w:rPr>
                <w:rStyle w:val="IndexLink"/>
              </w:rPr>
              <w:tab/>
              <w:t>7</w:t>
            </w:r>
          </w:hyperlink>
        </w:p>
        <w:p w14:paraId="3390211B" w14:textId="77777777" w:rsidR="00E255F4" w:rsidRDefault="00E255F4">
          <w:pPr>
            <w:pStyle w:val="TDC1"/>
          </w:pPr>
          <w:hyperlink w:anchor="__RefHeading___Toc225377194">
            <w:r>
              <w:rPr>
                <w:rStyle w:val="IndexLink"/>
              </w:rPr>
              <w:t xml:space="preserve"> 8.1 Writing</w:t>
            </w:r>
            <w:r>
              <w:rPr>
                <w:rStyle w:val="IndexLink"/>
              </w:rPr>
              <w:tab/>
              <w:t>7</w:t>
            </w:r>
          </w:hyperlink>
        </w:p>
        <w:p w14:paraId="3B52D8E8" w14:textId="77777777" w:rsidR="00E255F4" w:rsidRDefault="00E255F4">
          <w:pPr>
            <w:pStyle w:val="TDC1"/>
          </w:pPr>
          <w:hyperlink w:anchor="__RefHeading___Toc225377195">
            <w:r>
              <w:rPr>
                <w:rStyle w:val="IndexLink"/>
              </w:rPr>
              <w:t xml:space="preserve"> 8.2 Home</w:t>
            </w:r>
            <w:r>
              <w:rPr>
                <w:rStyle w:val="IndexLink"/>
              </w:rPr>
              <w:tab/>
              <w:t>7</w:t>
            </w:r>
          </w:hyperlink>
        </w:p>
        <w:p w14:paraId="74581CC9" w14:textId="77777777" w:rsidR="00E255F4" w:rsidRDefault="00E255F4">
          <w:pPr>
            <w:pStyle w:val="TDC1"/>
          </w:pPr>
          <w:hyperlink w:anchor="__RefHeading___Toc225377196">
            <w:r>
              <w:rPr>
                <w:rStyle w:val="IndexLink"/>
              </w:rPr>
              <w:t xml:space="preserve"> 8.3 Identification</w:t>
            </w:r>
            <w:r>
              <w:rPr>
                <w:rStyle w:val="IndexLink"/>
              </w:rPr>
              <w:tab/>
              <w:t>7</w:t>
            </w:r>
          </w:hyperlink>
        </w:p>
        <w:p w14:paraId="7355496C" w14:textId="77777777" w:rsidR="00E255F4" w:rsidRDefault="00E255F4">
          <w:pPr>
            <w:pStyle w:val="TDC1"/>
          </w:pPr>
          <w:hyperlink w:anchor="__RefHeading___Toc225377197">
            <w:r>
              <w:rPr>
                <w:rStyle w:val="IndexLink"/>
              </w:rPr>
              <w:t xml:space="preserve"> 8.4 Compliance with formal requirements</w:t>
            </w:r>
            <w:r>
              <w:rPr>
                <w:rStyle w:val="IndexLink"/>
              </w:rPr>
              <w:tab/>
              <w:t>7</w:t>
            </w:r>
          </w:hyperlink>
        </w:p>
        <w:p w14:paraId="29EE9E8F" w14:textId="77777777" w:rsidR="00E255F4" w:rsidRDefault="00E255F4">
          <w:pPr>
            <w:pStyle w:val="TDC1"/>
          </w:pPr>
          <w:hyperlink w:anchor="__RefHeading___Toc225377198">
            <w:r>
              <w:rPr>
                <w:rStyle w:val="IndexLink"/>
              </w:rPr>
              <w:t xml:space="preserve"> 9 Requirements for submitting bids</w:t>
            </w:r>
            <w:r>
              <w:rPr>
                <w:rStyle w:val="IndexLink"/>
              </w:rPr>
              <w:tab/>
              <w:t>7</w:t>
            </w:r>
          </w:hyperlink>
        </w:p>
        <w:p w14:paraId="4245A433" w14:textId="77777777" w:rsidR="00E255F4" w:rsidRDefault="00E255F4">
          <w:pPr>
            <w:pStyle w:val="TDC1"/>
          </w:pPr>
          <w:hyperlink w:anchor="__RefHeading___Toc225377199">
            <w:r>
              <w:rPr>
                <w:rStyle w:val="IndexLink"/>
              </w:rPr>
              <w:t xml:space="preserve"> 9.1 Documents included in the offer</w:t>
            </w:r>
            <w:r>
              <w:rPr>
                <w:rStyle w:val="IndexLink"/>
              </w:rPr>
              <w:tab/>
              <w:t>8</w:t>
            </w:r>
          </w:hyperlink>
        </w:p>
        <w:p w14:paraId="04B9009D" w14:textId="77777777" w:rsidR="00E255F4" w:rsidRDefault="00E255F4">
          <w:pPr>
            <w:pStyle w:val="TDC1"/>
          </w:pPr>
          <w:hyperlink w:anchor="__RefHeading___Toc225377200">
            <w:r>
              <w:rPr>
                <w:rStyle w:val="IndexLink"/>
              </w:rPr>
              <w:t xml:space="preserve"> 9.2 Requirements prior to submitting the offer</w:t>
            </w:r>
            <w:r>
              <w:rPr>
                <w:rStyle w:val="IndexLink"/>
              </w:rPr>
              <w:tab/>
              <w:t>8</w:t>
            </w:r>
          </w:hyperlink>
        </w:p>
        <w:p w14:paraId="48593078" w14:textId="77777777" w:rsidR="00E255F4" w:rsidRDefault="00E255F4">
          <w:pPr>
            <w:pStyle w:val="TDC1"/>
          </w:pPr>
          <w:hyperlink w:anchor="__RefHeading___Toc225377201">
            <w:r>
              <w:rPr>
                <w:rStyle w:val="IndexLink"/>
              </w:rPr>
              <w:t xml:space="preserve"> 10. Validity of offers</w:t>
            </w:r>
            <w:r>
              <w:rPr>
                <w:rStyle w:val="IndexLink"/>
              </w:rPr>
              <w:tab/>
              <w:t>8</w:t>
            </w:r>
          </w:hyperlink>
        </w:p>
        <w:p w14:paraId="20A55698" w14:textId="77777777" w:rsidR="00E255F4" w:rsidRDefault="00E255F4">
          <w:pPr>
            <w:pStyle w:val="TDC1"/>
          </w:pPr>
          <w:hyperlink w:anchor="__RefHeading___Toc225377202">
            <w:r>
              <w:rPr>
                <w:rStyle w:val="IndexLink"/>
              </w:rPr>
              <w:t xml:space="preserve"> 10.1 General considerations</w:t>
            </w:r>
            <w:r>
              <w:rPr>
                <w:rStyle w:val="IndexLink"/>
              </w:rPr>
              <w:tab/>
              <w:t>8</w:t>
            </w:r>
          </w:hyperlink>
        </w:p>
        <w:p w14:paraId="01F7C762" w14:textId="77777777" w:rsidR="00E255F4" w:rsidRDefault="00E255F4">
          <w:pPr>
            <w:pStyle w:val="TDC1"/>
          </w:pPr>
          <w:hyperlink w:anchor="__RefHeading___Toc225377203">
            <w:r>
              <w:rPr>
                <w:rStyle w:val="IndexLink"/>
              </w:rPr>
              <w:t xml:space="preserve"> 10.2 Object</w:t>
            </w:r>
            <w:r>
              <w:rPr>
                <w:rStyle w:val="IndexLink"/>
              </w:rPr>
              <w:tab/>
              <w:t>8</w:t>
            </w:r>
          </w:hyperlink>
        </w:p>
        <w:p w14:paraId="19A8BCFE" w14:textId="77777777" w:rsidR="00E255F4" w:rsidRDefault="00E255F4">
          <w:pPr>
            <w:pStyle w:val="TDC1"/>
          </w:pPr>
          <w:hyperlink w:anchor="__RefHeading___Toc225377204">
            <w:r>
              <w:rPr>
                <w:rStyle w:val="IndexLink"/>
              </w:rPr>
              <w:t xml:space="preserve"> 10.3 Price and quotation</w:t>
            </w:r>
            <w:r>
              <w:rPr>
                <w:rStyle w:val="IndexLink"/>
              </w:rPr>
              <w:tab/>
              <w:t>9</w:t>
            </w:r>
          </w:hyperlink>
        </w:p>
        <w:p w14:paraId="79670D33" w14:textId="77777777" w:rsidR="00E255F4" w:rsidRDefault="00E255F4">
          <w:pPr>
            <w:pStyle w:val="TDC1"/>
          </w:pPr>
          <w:hyperlink w:anchor="__RefHeading___Toc225377205">
            <w:r>
              <w:rPr>
                <w:rStyle w:val="IndexLink"/>
              </w:rPr>
              <w:t xml:space="preserve"> 10.4 Taxes</w:t>
            </w:r>
            <w:r>
              <w:rPr>
                <w:rStyle w:val="IndexLink"/>
              </w:rPr>
              <w:tab/>
              <w:t>10</w:t>
            </w:r>
          </w:hyperlink>
        </w:p>
        <w:p w14:paraId="017265D3" w14:textId="77777777" w:rsidR="00E255F4" w:rsidRDefault="00E255F4">
          <w:pPr>
            <w:pStyle w:val="TDC1"/>
          </w:pPr>
          <w:hyperlink w:anchor="__RefHeading___Toc225377206">
            <w:r>
              <w:rPr>
                <w:rStyle w:val="IndexLink"/>
              </w:rPr>
              <w:t xml:space="preserve"> 10.5 Preference Regimes</w:t>
            </w:r>
            <w:r>
              <w:rPr>
                <w:rStyle w:val="IndexLink"/>
              </w:rPr>
              <w:tab/>
              <w:t>11</w:t>
            </w:r>
          </w:hyperlink>
        </w:p>
        <w:p w14:paraId="1CB912B7" w14:textId="77777777" w:rsidR="00E255F4" w:rsidRDefault="00E255F4">
          <w:pPr>
            <w:pStyle w:val="TDC1"/>
          </w:pPr>
          <w:hyperlink w:anchor="__RefHeading___Toc225377207">
            <w:r>
              <w:rPr>
                <w:rStyle w:val="IndexLink"/>
              </w:rPr>
              <w:t xml:space="preserve"> 10.5.1 General regime</w:t>
            </w:r>
            <w:r>
              <w:rPr>
                <w:rStyle w:val="IndexLink"/>
              </w:rPr>
              <w:tab/>
              <w:t>11</w:t>
            </w:r>
          </w:hyperlink>
        </w:p>
        <w:p w14:paraId="030FBFC4" w14:textId="77777777" w:rsidR="00E255F4" w:rsidRDefault="00E255F4">
          <w:pPr>
            <w:pStyle w:val="TDC1"/>
          </w:pPr>
          <w:hyperlink w:anchor="__RefHeading___Toc225377208">
            <w:r>
              <w:rPr>
                <w:rStyle w:val="IndexLink"/>
              </w:rPr>
              <w:t xml:space="preserve"> 10.5.2 Special regimes included in the Public Procurement Program for Development</w:t>
            </w:r>
            <w:r>
              <w:rPr>
                <w:rStyle w:val="IndexLink"/>
              </w:rPr>
              <w:tab/>
              <w:t>13</w:t>
            </w:r>
          </w:hyperlink>
        </w:p>
        <w:p w14:paraId="0E3C738C" w14:textId="77777777" w:rsidR="00E255F4" w:rsidRDefault="00E255F4">
          <w:pPr>
            <w:pStyle w:val="TDC1"/>
          </w:pPr>
          <w:hyperlink w:anchor="__RefHeading___Toc225377209">
            <w:r>
              <w:rPr>
                <w:rStyle w:val="IndexLink"/>
              </w:rPr>
              <w:t xml:space="preserve"> 11. Offer maintenance guarantee</w:t>
            </w:r>
            <w:r>
              <w:rPr>
                <w:rStyle w:val="IndexLink"/>
              </w:rPr>
              <w:tab/>
              <w:t>15</w:t>
            </w:r>
          </w:hyperlink>
        </w:p>
        <w:p w14:paraId="40297992" w14:textId="77777777" w:rsidR="00E255F4" w:rsidRDefault="00E255F4">
          <w:pPr>
            <w:pStyle w:val="TDC1"/>
          </w:pPr>
          <w:hyperlink w:anchor="__RefHeading___Toc225377210">
            <w:r>
              <w:rPr>
                <w:rStyle w:val="IndexLink"/>
              </w:rPr>
              <w:t xml:space="preserve"> 11.1 Execution</w:t>
            </w:r>
            <w:r>
              <w:rPr>
                <w:rStyle w:val="IndexLink"/>
              </w:rPr>
              <w:tab/>
              <w:t>15</w:t>
            </w:r>
          </w:hyperlink>
        </w:p>
        <w:p w14:paraId="1229B59D" w14:textId="77777777" w:rsidR="00E255F4" w:rsidRDefault="00E255F4">
          <w:pPr>
            <w:pStyle w:val="TDC1"/>
          </w:pPr>
          <w:hyperlink w:anchor="__RefHeading___Toc225377211">
            <w:r>
              <w:rPr>
                <w:rStyle w:val="IndexLink"/>
              </w:rPr>
              <w:t xml:space="preserve"> 11.2 Application of fine</w:t>
            </w:r>
            <w:r>
              <w:rPr>
                <w:rStyle w:val="IndexLink"/>
              </w:rPr>
              <w:tab/>
              <w:t>16</w:t>
            </w:r>
          </w:hyperlink>
        </w:p>
        <w:p w14:paraId="6529027A" w14:textId="77777777" w:rsidR="00E255F4" w:rsidRDefault="00E255F4">
          <w:pPr>
            <w:pStyle w:val="TDC1"/>
          </w:pPr>
          <w:hyperlink w:anchor="__RefHeading___Toc225377212">
            <w:r>
              <w:rPr>
                <w:rStyle w:val="IndexLink"/>
              </w:rPr>
              <w:t xml:space="preserve"> 12 Presentation, Confidentiality and Opening of Bids</w:t>
            </w:r>
            <w:r>
              <w:rPr>
                <w:rStyle w:val="IndexLink"/>
              </w:rPr>
              <w:tab/>
              <w:t>16</w:t>
            </w:r>
          </w:hyperlink>
        </w:p>
        <w:p w14:paraId="7150F63B" w14:textId="77777777" w:rsidR="00E255F4" w:rsidRDefault="00E255F4">
          <w:pPr>
            <w:pStyle w:val="TDC1"/>
          </w:pPr>
          <w:hyperlink w:anchor="__RefHeading___Toc225377213">
            <w:r>
              <w:rPr>
                <w:rStyle w:val="IndexLink"/>
              </w:rPr>
              <w:t xml:space="preserve"> 12.1 Presentation</w:t>
            </w:r>
            <w:r>
              <w:rPr>
                <w:rStyle w:val="IndexLink"/>
              </w:rPr>
              <w:tab/>
              <w:t>16</w:t>
            </w:r>
          </w:hyperlink>
        </w:p>
        <w:p w14:paraId="4A033590" w14:textId="77777777" w:rsidR="00E255F4" w:rsidRDefault="00E255F4">
          <w:pPr>
            <w:pStyle w:val="TDC1"/>
          </w:pPr>
          <w:hyperlink w:anchor="__RefHeading___Toc225377214">
            <w:r>
              <w:rPr>
                <w:rStyle w:val="IndexLink"/>
              </w:rPr>
              <w:t xml:space="preserve"> 13 Defects, shortcomings or errors in the offers</w:t>
            </w:r>
            <w:r>
              <w:rPr>
                <w:rStyle w:val="IndexLink"/>
              </w:rPr>
              <w:tab/>
              <w:t>17</w:t>
            </w:r>
          </w:hyperlink>
        </w:p>
        <w:p w14:paraId="782AA02A" w14:textId="77777777" w:rsidR="00E255F4" w:rsidRDefault="00E255F4">
          <w:pPr>
            <w:pStyle w:val="TDC1"/>
          </w:pPr>
          <w:hyperlink w:anchor="__RefHeading___Toc225377215">
            <w:r>
              <w:rPr>
                <w:rStyle w:val="IndexLink"/>
              </w:rPr>
              <w:t xml:space="preserve"> 13.1 Advisory Committee on Awards</w:t>
            </w:r>
            <w:r>
              <w:rPr>
                <w:rStyle w:val="IndexLink"/>
              </w:rPr>
              <w:tab/>
              <w:t>17</w:t>
            </w:r>
          </w:hyperlink>
        </w:p>
        <w:p w14:paraId="164F56B5" w14:textId="77777777" w:rsidR="00E255F4" w:rsidRDefault="00E255F4">
          <w:pPr>
            <w:pStyle w:val="TDC1"/>
          </w:pPr>
          <w:hyperlink w:anchor="__RefHeading___Toc225377216">
            <w:r>
              <w:rPr>
                <w:rStyle w:val="IndexLink"/>
              </w:rPr>
              <w:t xml:space="preserve"> 13.2 Admissibility of offers</w:t>
            </w:r>
            <w:r>
              <w:rPr>
                <w:rStyle w:val="IndexLink"/>
              </w:rPr>
              <w:tab/>
              <w:t>18</w:t>
            </w:r>
          </w:hyperlink>
        </w:p>
        <w:p w14:paraId="7CBE2382" w14:textId="77777777" w:rsidR="00E255F4" w:rsidRDefault="00E255F4">
          <w:pPr>
            <w:pStyle w:val="TDC1"/>
          </w:pPr>
          <w:hyperlink w:anchor="__RefHeading___Toc225377217">
            <w:r>
              <w:rPr>
                <w:rStyle w:val="IndexLink"/>
              </w:rPr>
              <w:t xml:space="preserve"> 13.3 Evaluation</w:t>
            </w:r>
            <w:r>
              <w:rPr>
                <w:rStyle w:val="IndexLink"/>
              </w:rPr>
              <w:tab/>
              <w:t>18</w:t>
            </w:r>
          </w:hyperlink>
        </w:p>
        <w:p w14:paraId="2565368D" w14:textId="77777777" w:rsidR="00E255F4" w:rsidRDefault="00E255F4">
          <w:pPr>
            <w:pStyle w:val="TDC1"/>
          </w:pPr>
          <w:hyperlink w:anchor="__RefHeading___Toc225377218">
            <w:r>
              <w:rPr>
                <w:rStyle w:val="IndexLink"/>
              </w:rPr>
              <w:t xml:space="preserve"> 13.4 Offer Improvements</w:t>
            </w:r>
            <w:r>
              <w:rPr>
                <w:rStyle w:val="IndexLink"/>
              </w:rPr>
              <w:tab/>
              <w:t>18</w:t>
            </w:r>
          </w:hyperlink>
        </w:p>
        <w:p w14:paraId="36EA90AC" w14:textId="77777777" w:rsidR="00E255F4" w:rsidRDefault="00E255F4">
          <w:pPr>
            <w:pStyle w:val="TDC1"/>
          </w:pPr>
          <w:hyperlink w:anchor="__RefHeading___Toc225377219">
            <w:r>
              <w:rPr>
                <w:rStyle w:val="IndexLink"/>
              </w:rPr>
              <w:t xml:space="preserve"> 13.5 Negotiations</w:t>
            </w:r>
            <w:r>
              <w:rPr>
                <w:rStyle w:val="IndexLink"/>
              </w:rPr>
              <w:tab/>
              <w:t>19</w:t>
            </w:r>
          </w:hyperlink>
        </w:p>
        <w:p w14:paraId="5FBCDAF8" w14:textId="77777777" w:rsidR="00E255F4" w:rsidRDefault="00E255F4">
          <w:pPr>
            <w:pStyle w:val="TDC1"/>
          </w:pPr>
          <w:hyperlink w:anchor="__RefHeading___Toc225377220">
            <w:r>
              <w:rPr>
                <w:rStyle w:val="IndexLink"/>
              </w:rPr>
              <w:t xml:space="preserve"> 13.6 Clearly Inconvenient Price</w:t>
            </w:r>
            <w:r>
              <w:rPr>
                <w:rStyle w:val="IndexLink"/>
              </w:rPr>
              <w:tab/>
              <w:t>19</w:t>
            </w:r>
          </w:hyperlink>
        </w:p>
        <w:p w14:paraId="6B2936AE" w14:textId="77777777" w:rsidR="00E255F4" w:rsidRDefault="00E255F4">
          <w:pPr>
            <w:pStyle w:val="TDC1"/>
          </w:pPr>
          <w:hyperlink w:anchor="__RefHeading___Toc225377221">
            <w:r>
              <w:rPr>
                <w:rStyle w:val="IndexLink"/>
              </w:rPr>
              <w:t xml:space="preserve"> 13.7 View of the proceedings</w:t>
            </w:r>
            <w:r>
              <w:rPr>
                <w:rStyle w:val="IndexLink"/>
              </w:rPr>
              <w:tab/>
              <w:t>19</w:t>
            </w:r>
          </w:hyperlink>
        </w:p>
        <w:p w14:paraId="2723A234" w14:textId="77777777" w:rsidR="00E255F4" w:rsidRDefault="00E255F4">
          <w:pPr>
            <w:pStyle w:val="TDC1"/>
          </w:pPr>
          <w:hyperlink w:anchor="__RefHeading___Toc225377222">
            <w:r>
              <w:rPr>
                <w:rStyle w:val="IndexLink"/>
              </w:rPr>
              <w:t xml:space="preserve"> 14 Award</w:t>
            </w:r>
            <w:r>
              <w:rPr>
                <w:rStyle w:val="IndexLink"/>
              </w:rPr>
              <w:tab/>
              <w:t>19</w:t>
            </w:r>
          </w:hyperlink>
        </w:p>
        <w:p w14:paraId="1D127B6F" w14:textId="77777777" w:rsidR="00E255F4" w:rsidRDefault="00E255F4">
          <w:pPr>
            <w:pStyle w:val="TDC1"/>
          </w:pPr>
          <w:hyperlink w:anchor="__RefHeading___Toc225377223">
            <w:r>
              <w:rPr>
                <w:rStyle w:val="IndexLink"/>
              </w:rPr>
              <w:t xml:space="preserve"> 14.1 Dictation of the act</w:t>
            </w:r>
            <w:r>
              <w:rPr>
                <w:rStyle w:val="IndexLink"/>
              </w:rPr>
              <w:tab/>
              <w:t>20</w:t>
            </w:r>
          </w:hyperlink>
        </w:p>
        <w:p w14:paraId="6916234B" w14:textId="77777777" w:rsidR="00E255F4" w:rsidRDefault="00E255F4">
          <w:pPr>
            <w:pStyle w:val="TDC1"/>
          </w:pPr>
          <w:hyperlink w:anchor="__RefHeading___Toc225377224">
            <w:r>
              <w:rPr>
                <w:rStyle w:val="IndexLink"/>
              </w:rPr>
              <w:t xml:space="preserve"> 14.2 Formal requirements</w:t>
            </w:r>
            <w:r>
              <w:rPr>
                <w:rStyle w:val="IndexLink"/>
              </w:rPr>
              <w:tab/>
              <w:t>20</w:t>
            </w:r>
          </w:hyperlink>
        </w:p>
        <w:p w14:paraId="1154E983" w14:textId="77777777" w:rsidR="00E255F4" w:rsidRDefault="00E255F4">
          <w:pPr>
            <w:pStyle w:val="TDC1"/>
          </w:pPr>
          <w:hyperlink w:anchor="__RefHeading___Toc225377225">
            <w:r>
              <w:rPr>
                <w:rStyle w:val="IndexLink"/>
              </w:rPr>
              <w:t xml:space="preserve"> 15 Contract increase or decrease</w:t>
            </w:r>
            <w:r>
              <w:rPr>
                <w:rStyle w:val="IndexLink"/>
              </w:rPr>
              <w:tab/>
              <w:t>20</w:t>
            </w:r>
          </w:hyperlink>
        </w:p>
        <w:p w14:paraId="018F0456" w14:textId="77777777" w:rsidR="00E255F4" w:rsidRDefault="00E255F4">
          <w:pPr>
            <w:pStyle w:val="TDC1"/>
          </w:pPr>
          <w:hyperlink w:anchor="__RefHeading___Toc225377226">
            <w:r>
              <w:rPr>
                <w:rStyle w:val="IndexLink"/>
              </w:rPr>
              <w:t xml:space="preserve"> 16 Notification</w:t>
            </w:r>
            <w:r>
              <w:rPr>
                <w:rStyle w:val="IndexLink"/>
              </w:rPr>
              <w:tab/>
              <w:t>20</w:t>
            </w:r>
          </w:hyperlink>
        </w:p>
        <w:p w14:paraId="66A5FE21" w14:textId="77777777" w:rsidR="00E255F4" w:rsidRDefault="00E255F4">
          <w:pPr>
            <w:pStyle w:val="TDC1"/>
          </w:pPr>
          <w:hyperlink w:anchor="__RefHeading___Toc225377227">
            <w:r>
              <w:rPr>
                <w:rStyle w:val="IndexLink"/>
              </w:rPr>
              <w:t xml:space="preserve"> 17 Return of bid maintenance guarantees</w:t>
            </w:r>
            <w:r>
              <w:rPr>
                <w:rStyle w:val="IndexLink"/>
              </w:rPr>
              <w:tab/>
              <w:t>20</w:t>
            </w:r>
          </w:hyperlink>
        </w:p>
        <w:p w14:paraId="09131C3F" w14:textId="77777777" w:rsidR="00E255F4" w:rsidRDefault="00E255F4">
          <w:pPr>
            <w:pStyle w:val="TDC1"/>
          </w:pPr>
          <w:hyperlink w:anchor="__RefHeading___Toc225377228">
            <w:r>
              <w:rPr>
                <w:rStyle w:val="IndexLink"/>
              </w:rPr>
              <w:t xml:space="preserve"> 18 Contract completion</w:t>
            </w:r>
            <w:r>
              <w:rPr>
                <w:rStyle w:val="IndexLink"/>
              </w:rPr>
              <w:tab/>
              <w:t>21</w:t>
            </w:r>
          </w:hyperlink>
        </w:p>
        <w:p w14:paraId="3D2F5D2D" w14:textId="77777777" w:rsidR="00E255F4" w:rsidRDefault="00E255F4">
          <w:pPr>
            <w:pStyle w:val="TDC1"/>
          </w:pPr>
          <w:hyperlink w:anchor="__RefHeading___Toc225377229">
            <w:r>
              <w:rPr>
                <w:rStyle w:val="IndexLink"/>
              </w:rPr>
              <w:t xml:space="preserve"> 19 Guarantee of faithful performance of the contract</w:t>
            </w:r>
            <w:r>
              <w:rPr>
                <w:rStyle w:val="IndexLink"/>
              </w:rPr>
              <w:tab/>
              <w:t>21</w:t>
            </w:r>
          </w:hyperlink>
        </w:p>
        <w:p w14:paraId="5D165B57" w14:textId="77777777" w:rsidR="00E255F4" w:rsidRDefault="00E255F4">
          <w:pPr>
            <w:pStyle w:val="TDC1"/>
          </w:pPr>
          <w:hyperlink w:anchor="__RefHeading___Toc225377230">
            <w:r>
              <w:rPr>
                <w:rStyle w:val="IndexLink"/>
              </w:rPr>
              <w:t xml:space="preserve"> 19.1 Constitution</w:t>
            </w:r>
            <w:r>
              <w:rPr>
                <w:rStyle w:val="IndexLink"/>
              </w:rPr>
              <w:tab/>
              <w:t>21</w:t>
            </w:r>
          </w:hyperlink>
        </w:p>
        <w:p w14:paraId="3DBB0A32" w14:textId="77777777" w:rsidR="00E255F4" w:rsidRDefault="00E255F4">
          <w:pPr>
            <w:pStyle w:val="TDC1"/>
          </w:pPr>
          <w:hyperlink w:anchor="__RefHeading___Toc225377231">
            <w:r>
              <w:rPr>
                <w:rStyle w:val="IndexLink"/>
              </w:rPr>
              <w:t xml:space="preserve"> 19.2 Option not to submit the guarantee</w:t>
            </w:r>
            <w:r>
              <w:rPr>
                <w:rStyle w:val="IndexLink"/>
              </w:rPr>
              <w:tab/>
              <w:t>21</w:t>
            </w:r>
          </w:hyperlink>
        </w:p>
        <w:p w14:paraId="4B830817" w14:textId="77777777" w:rsidR="00E255F4" w:rsidRDefault="00E255F4">
          <w:pPr>
            <w:pStyle w:val="TDC1"/>
          </w:pPr>
          <w:hyperlink w:anchor="__RefHeading___Toc225377232">
            <w:r>
              <w:rPr>
                <w:rStyle w:val="IndexLink"/>
              </w:rPr>
              <w:t xml:space="preserve"> 19.3 Failure to establish the guarantee</w:t>
            </w:r>
            <w:r>
              <w:rPr>
                <w:rStyle w:val="IndexLink"/>
              </w:rPr>
              <w:tab/>
              <w:t>22</w:t>
            </w:r>
          </w:hyperlink>
        </w:p>
        <w:p w14:paraId="7CDA31B8" w14:textId="77777777" w:rsidR="00E255F4" w:rsidRDefault="00E255F4">
          <w:pPr>
            <w:pStyle w:val="TDC1"/>
          </w:pPr>
          <w:hyperlink w:anchor="__RefHeading___Toc225377233">
            <w:r>
              <w:rPr>
                <w:rStyle w:val="IndexLink"/>
              </w:rPr>
              <w:t xml:space="preserve"> 19.4 Warranty Enforcement</w:t>
            </w:r>
            <w:r>
              <w:rPr>
                <w:rStyle w:val="IndexLink"/>
              </w:rPr>
              <w:tab/>
              <w:t>22</w:t>
            </w:r>
          </w:hyperlink>
        </w:p>
        <w:p w14:paraId="59B2581A" w14:textId="77777777" w:rsidR="00E255F4" w:rsidRDefault="00E255F4">
          <w:pPr>
            <w:pStyle w:val="TDC1"/>
          </w:pPr>
          <w:hyperlink w:anchor="__RefHeading___Toc225377234">
            <w:r>
              <w:rPr>
                <w:rStyle w:val="IndexLink"/>
              </w:rPr>
              <w:t xml:space="preserve"> 20 Quality control</w:t>
            </w:r>
            <w:r>
              <w:rPr>
                <w:rStyle w:val="IndexLink"/>
              </w:rPr>
              <w:tab/>
              <w:t>22</w:t>
            </w:r>
          </w:hyperlink>
        </w:p>
        <w:p w14:paraId="29EACBD1" w14:textId="77777777" w:rsidR="00E255F4" w:rsidRDefault="00E255F4">
          <w:pPr>
            <w:pStyle w:val="TDC1"/>
          </w:pPr>
          <w:hyperlink w:anchor="__RefHeading___Toc225377235">
            <w:r>
              <w:rPr>
                <w:rStyle w:val="IndexLink"/>
              </w:rPr>
              <w:t xml:space="preserve"> 21 Personal fulfillment of obligations</w:t>
            </w:r>
            <w:r>
              <w:rPr>
                <w:rStyle w:val="IndexLink"/>
              </w:rPr>
              <w:tab/>
              <w:t>22</w:t>
            </w:r>
          </w:hyperlink>
        </w:p>
        <w:p w14:paraId="2F99D9C2" w14:textId="77777777" w:rsidR="00E255F4" w:rsidRDefault="00E255F4">
          <w:pPr>
            <w:pStyle w:val="TDC1"/>
          </w:pPr>
          <w:hyperlink w:anchor="__RefHeading___Toc225377236">
            <w:r>
              <w:rPr>
                <w:rStyle w:val="IndexLink"/>
              </w:rPr>
              <w:t xml:space="preserve"> 22 Mora</w:t>
            </w:r>
            <w:r>
              <w:rPr>
                <w:rStyle w:val="IndexLink"/>
              </w:rPr>
              <w:tab/>
              <w:t>22</w:t>
            </w:r>
          </w:hyperlink>
        </w:p>
        <w:p w14:paraId="3C43B03C" w14:textId="77777777" w:rsidR="00E255F4" w:rsidRDefault="00E255F4">
          <w:pPr>
            <w:pStyle w:val="TDC1"/>
          </w:pPr>
          <w:hyperlink w:anchor="__RefHeading___Toc225377237">
            <w:r>
              <w:rPr>
                <w:rStyle w:val="IndexLink"/>
              </w:rPr>
              <w:t xml:space="preserve"> 23 Penalties</w:t>
            </w:r>
            <w:r>
              <w:rPr>
                <w:rStyle w:val="IndexLink"/>
              </w:rPr>
              <w:tab/>
              <w:t>22</w:t>
            </w:r>
          </w:hyperlink>
        </w:p>
        <w:p w14:paraId="0BCCAF96" w14:textId="77777777" w:rsidR="00E255F4" w:rsidRDefault="00E255F4">
          <w:pPr>
            <w:pStyle w:val="TDC1"/>
          </w:pPr>
          <w:hyperlink w:anchor="__RefHeading___Toc225377238">
            <w:r>
              <w:rPr>
                <w:rStyle w:val="IndexLink"/>
              </w:rPr>
              <w:t xml:space="preserve"> 24 Import</w:t>
            </w:r>
            <w:r>
              <w:rPr>
                <w:rStyle w:val="IndexLink"/>
              </w:rPr>
              <w:tab/>
              <w:t>23</w:t>
            </w:r>
          </w:hyperlink>
        </w:p>
        <w:p w14:paraId="4678D366" w14:textId="77777777" w:rsidR="00E255F4" w:rsidRDefault="00E255F4">
          <w:pPr>
            <w:pStyle w:val="TDC1"/>
          </w:pPr>
          <w:hyperlink w:anchor="__RefHeading___Toc225377239">
            <w:r>
              <w:rPr>
                <w:rStyle w:val="IndexLink"/>
              </w:rPr>
              <w:t xml:space="preserve"> 25 Reception</w:t>
            </w:r>
            <w:r>
              <w:rPr>
                <w:rStyle w:val="IndexLink"/>
              </w:rPr>
              <w:tab/>
              <w:t>23</w:t>
            </w:r>
          </w:hyperlink>
        </w:p>
        <w:p w14:paraId="2452DBF4" w14:textId="77777777" w:rsidR="00E255F4" w:rsidRDefault="00E255F4">
          <w:pPr>
            <w:pStyle w:val="TDC1"/>
          </w:pPr>
          <w:hyperlink w:anchor="__RefHeading___Toc225377240">
            <w:r>
              <w:rPr>
                <w:rStyle w:val="IndexLink"/>
              </w:rPr>
              <w:t xml:space="preserve"> 26 Termination</w:t>
            </w:r>
            <w:r>
              <w:rPr>
                <w:rStyle w:val="IndexLink"/>
              </w:rPr>
              <w:tab/>
              <w:t>23</w:t>
            </w:r>
          </w:hyperlink>
        </w:p>
        <w:p w14:paraId="19CCE8B3" w14:textId="77777777" w:rsidR="00E255F4" w:rsidRDefault="00E255F4">
          <w:pPr>
            <w:pStyle w:val="TDC1"/>
          </w:pPr>
          <w:hyperlink w:anchor="__RefHeading___Toc225377241">
            <w:r>
              <w:rPr>
                <w:rStyle w:val="IndexLink"/>
              </w:rPr>
              <w:t xml:space="preserve"> 27 Return of the performance bond</w:t>
            </w:r>
            <w:r>
              <w:rPr>
                <w:rStyle w:val="IndexLink"/>
              </w:rPr>
              <w:tab/>
              <w:t>24</w:t>
            </w:r>
          </w:hyperlink>
        </w:p>
        <w:p w14:paraId="6507D253" w14:textId="77777777" w:rsidR="00E255F4" w:rsidRDefault="00E255F4">
          <w:pPr>
            <w:pStyle w:val="TDC1"/>
          </w:pPr>
          <w:hyperlink w:anchor="__RefHeading___Toc225377242">
            <w:r>
              <w:rPr>
                <w:rStyle w:val="IndexLink"/>
              </w:rPr>
              <w:t xml:space="preserve"> 28 Payments</w:t>
            </w:r>
            <w:r>
              <w:rPr>
                <w:rStyle w:val="IndexLink"/>
              </w:rPr>
              <w:tab/>
              <w:t>24</w:t>
            </w:r>
          </w:hyperlink>
        </w:p>
        <w:p w14:paraId="781C95F0" w14:textId="77777777" w:rsidR="00E255F4" w:rsidRDefault="00E255F4">
          <w:pPr>
            <w:pStyle w:val="TDC1"/>
          </w:pPr>
          <w:hyperlink w:anchor="__RefHeading___Toc225377243">
            <w:r>
              <w:rPr>
                <w:rStyle w:val="IndexLink"/>
              </w:rPr>
              <w:t xml:space="preserve"> ANNEX I</w:t>
            </w:r>
            <w:r>
              <w:rPr>
                <w:rStyle w:val="IndexLink"/>
              </w:rPr>
              <w:tab/>
              <w:t>25</w:t>
            </w:r>
          </w:hyperlink>
        </w:p>
        <w:p w14:paraId="7BB10594" w14:textId="77777777" w:rsidR="00E255F4" w:rsidRDefault="00E255F4">
          <w:pPr>
            <w:pStyle w:val="TDC1"/>
          </w:pPr>
          <w:hyperlink w:anchor="__RefHeading___Toc225377244">
            <w:r>
              <w:rPr>
                <w:rStyle w:val="IndexLink"/>
              </w:rPr>
              <w:t xml:space="preserve"> Declaration template for ASSETS that qualify as national</w:t>
            </w:r>
            <w:r>
              <w:rPr>
                <w:rStyle w:val="IndexLink"/>
              </w:rPr>
              <w:tab/>
              <w:t>25</w:t>
            </w:r>
          </w:hyperlink>
        </w:p>
        <w:p w14:paraId="51300676" w14:textId="77777777" w:rsidR="00E255F4" w:rsidRDefault="00E255F4">
          <w:pPr>
            <w:pStyle w:val="TDC1"/>
          </w:pPr>
          <w:hyperlink w:anchor="__RefHeading___Toc225377245">
            <w:r>
              <w:rPr>
                <w:rStyle w:val="IndexLink"/>
              </w:rPr>
              <w:t xml:space="preserve"> ANNEX II</w:t>
            </w:r>
            <w:r>
              <w:rPr>
                <w:rStyle w:val="IndexLink"/>
              </w:rPr>
              <w:tab/>
              <w:t>25</w:t>
            </w:r>
          </w:hyperlink>
        </w:p>
        <w:p w14:paraId="3A74B4E9" w14:textId="77777777" w:rsidR="00E255F4" w:rsidRDefault="00E255F4">
          <w:pPr>
            <w:pStyle w:val="TDC1"/>
          </w:pPr>
          <w:hyperlink w:anchor="__RefHeading___Toc131_3847131730">
            <w:r>
              <w:rPr>
                <w:rStyle w:val="IndexLink"/>
              </w:rPr>
              <w:t xml:space="preserve"> Declaration template for SERVICES (WITH Supply of goods) that qualify as national</w:t>
            </w:r>
            <w:r>
              <w:rPr>
                <w:rStyle w:val="IndexLink"/>
              </w:rPr>
              <w:tab/>
              <w:t>25</w:t>
            </w:r>
          </w:hyperlink>
        </w:p>
        <w:p w14:paraId="2A4D1288" w14:textId="77777777" w:rsidR="00E255F4" w:rsidRDefault="00E255F4">
          <w:pPr>
            <w:pStyle w:val="TDC1"/>
          </w:pPr>
          <w:hyperlink w:anchor="__RefHeading___Toc225377247">
            <w:r>
              <w:rPr>
                <w:rStyle w:val="IndexLink"/>
              </w:rPr>
              <w:t xml:space="preserve"> ANNEX III</w:t>
            </w:r>
            <w:r>
              <w:rPr>
                <w:rStyle w:val="IndexLink"/>
              </w:rPr>
              <w:tab/>
              <w:t>26</w:t>
            </w:r>
          </w:hyperlink>
        </w:p>
        <w:p w14:paraId="69CCB49C" w14:textId="77777777" w:rsidR="00E255F4" w:rsidRDefault="00E255F4">
          <w:pPr>
            <w:pStyle w:val="TDC1"/>
          </w:pPr>
          <w:hyperlink w:anchor="__RefHeading___Toc133_3847131730">
            <w:r>
              <w:rPr>
                <w:rStyle w:val="IndexLink"/>
              </w:rPr>
              <w:t xml:space="preserve"> Special Conditions</w:t>
            </w:r>
            <w:r>
              <w:rPr>
                <w:rStyle w:val="IndexLink"/>
              </w:rPr>
              <w:tab/>
              <w:t>26</w:t>
            </w:r>
          </w:hyperlink>
        </w:p>
        <w:p w14:paraId="6D39B044" w14:textId="77777777" w:rsidR="00E255F4" w:rsidRDefault="00E255F4">
          <w:pPr>
            <w:pStyle w:val="TDC1"/>
          </w:pPr>
          <w:hyperlink w:anchor="__RefHeading___Toc135_3847131730">
            <w:r>
              <w:rPr>
                <w:rStyle w:val="IndexLink"/>
              </w:rPr>
              <w:t>The definitions of variant, alternative, and modification in relation to a bid are defined in Section 1, "Single Set of General Terms and Conditions for Supply and Non-Personal Services Contracts," Article 10.2. The key aspect in this definition is the identity of the product. If a bid, while meeting the requirements of the tender specifications, maintains the identity of the product but presents some variation or difference, it is considered a variant.</w:t>
            </w:r>
            <w:r>
              <w:rPr>
                <w:rStyle w:val="IndexLink"/>
              </w:rPr>
              <w:tab/>
              <w:t>32</w:t>
            </w:r>
          </w:hyperlink>
        </w:p>
        <w:p w14:paraId="592C1A9C" w14:textId="77777777" w:rsidR="00E255F4" w:rsidRDefault="00E255F4">
          <w:pPr>
            <w:pStyle w:val="TDC1"/>
          </w:pPr>
          <w:hyperlink w:anchor="__RefHeading___Toc225377250">
            <w:r>
              <w:rPr>
                <w:rStyle w:val="IndexLink"/>
              </w:rPr>
              <w:t>When we refer to alternatives, the identity of the product is not maintained; it is another product that allows the objective of the call to be met.</w:t>
            </w:r>
            <w:r>
              <w:rPr>
                <w:rStyle w:val="IndexLink"/>
              </w:rPr>
              <w:tab/>
              <w:t>32</w:t>
            </w:r>
          </w:hyperlink>
        </w:p>
        <w:p w14:paraId="0C05C0E5" w14:textId="77777777" w:rsidR="00E255F4" w:rsidRDefault="00E255F4">
          <w:pPr>
            <w:pStyle w:val="TDC1"/>
          </w:pPr>
          <w:hyperlink w:anchor="__RefHeading___Toc137_3847131730">
            <w:r>
              <w:rPr>
                <w:rStyle w:val="IndexLink"/>
              </w:rPr>
              <w:t xml:space="preserve">  ANNEX IV</w:t>
            </w:r>
            <w:r>
              <w:rPr>
                <w:rStyle w:val="IndexLink"/>
              </w:rPr>
              <w:tab/>
              <w:t>49</w:t>
            </w:r>
          </w:hyperlink>
        </w:p>
        <w:p w14:paraId="53C5CC16" w14:textId="77777777" w:rsidR="00E255F4" w:rsidRDefault="00E255F4">
          <w:pPr>
            <w:pStyle w:val="TDC1"/>
          </w:pPr>
          <w:hyperlink w:anchor="__RefHeading___Toc225377252">
            <w:r>
              <w:rPr>
                <w:rStyle w:val="IndexLink"/>
              </w:rPr>
              <w:t xml:space="preserve"> Offer Form</w:t>
            </w:r>
            <w:r>
              <w:rPr>
                <w:rStyle w:val="IndexLink"/>
              </w:rPr>
              <w:tab/>
              <w:t>49</w:t>
            </w:r>
          </w:hyperlink>
        </w:p>
        <w:p w14:paraId="663338FD" w14:textId="77777777" w:rsidR="00E255F4" w:rsidRDefault="00E255F4">
          <w:pPr>
            <w:pStyle w:val="TDC1"/>
          </w:pPr>
          <w:hyperlink w:anchor="__RefHeading___Toc225377253">
            <w:r>
              <w:rPr>
                <w:rStyle w:val="IndexLink"/>
              </w:rPr>
              <w:t xml:space="preserve"> Quantity and Price Sheets (a)</w:t>
            </w:r>
            <w:r>
              <w:rPr>
                <w:rStyle w:val="IndexLink"/>
              </w:rPr>
              <w:tab/>
              <w:t>50</w:t>
            </w:r>
          </w:hyperlink>
        </w:p>
        <w:p w14:paraId="561E294F" w14:textId="77777777" w:rsidR="00E255F4" w:rsidRDefault="00E255F4">
          <w:pPr>
            <w:pStyle w:val="TDC1"/>
          </w:pPr>
          <w:hyperlink w:anchor="__RefHeading___Toc225377254">
            <w:r>
              <w:rPr>
                <w:rStyle w:val="IndexLink"/>
              </w:rPr>
              <w:t xml:space="preserve"> Support and Maintenance Service (b)</w:t>
            </w:r>
            <w:r>
              <w:rPr>
                <w:rStyle w:val="IndexLink"/>
              </w:rPr>
              <w:tab/>
              <w:t>50</w:t>
            </w:r>
          </w:hyperlink>
        </w:p>
        <w:p w14:paraId="5E23AF03" w14:textId="77777777" w:rsidR="00E255F4" w:rsidRDefault="00E255F4">
          <w:pPr>
            <w:pStyle w:val="TDC1"/>
          </w:pPr>
          <w:hyperlink w:anchor="__RefHeading___Toc225377255">
            <w:r>
              <w:rPr>
                <w:rStyle w:val="IndexLink"/>
              </w:rPr>
              <w:t xml:space="preserve"> Related Services (c)</w:t>
            </w:r>
            <w:r>
              <w:rPr>
                <w:rStyle w:val="IndexLink"/>
              </w:rPr>
              <w:tab/>
              <w:t>50</w:t>
            </w:r>
          </w:hyperlink>
        </w:p>
        <w:p w14:paraId="19FDF4D6" w14:textId="77777777" w:rsidR="00E255F4" w:rsidRDefault="00E255F4">
          <w:pPr>
            <w:pStyle w:val="TDC1"/>
          </w:pPr>
          <w:hyperlink w:anchor="__RefHeading___Toc225377256">
            <w:r>
              <w:rPr>
                <w:rStyle w:val="IndexLink"/>
              </w:rPr>
              <w:t xml:space="preserve"> Shipping details form (REQUIRED)</w:t>
            </w:r>
            <w:r>
              <w:rPr>
                <w:rStyle w:val="IndexLink"/>
              </w:rPr>
              <w:tab/>
              <w:t>51</w:t>
            </w:r>
          </w:hyperlink>
        </w:p>
        <w:p w14:paraId="3EA67B0D" w14:textId="77777777" w:rsidR="00E255F4" w:rsidRDefault="00E255F4">
          <w:pPr>
            <w:pStyle w:val="TDC1"/>
          </w:pPr>
          <w:hyperlink w:anchor="__RefHeading___Toc225377257">
            <w:r>
              <w:rPr>
                <w:rStyle w:val="IndexLink"/>
              </w:rPr>
              <w:t xml:space="preserve"> ANNEX VI</w:t>
            </w:r>
            <w:r>
              <w:rPr>
                <w:rStyle w:val="IndexLink"/>
              </w:rPr>
              <w:tab/>
              <w:t>52</w:t>
            </w:r>
          </w:hyperlink>
        </w:p>
        <w:p w14:paraId="13CB7C3D" w14:textId="77777777" w:rsidR="00E255F4" w:rsidRDefault="00E255F4">
          <w:pPr>
            <w:pStyle w:val="TDC1"/>
          </w:pPr>
          <w:hyperlink w:anchor="__RefHeading___Toc225377258">
            <w:r>
              <w:rPr>
                <w:rStyle w:val="IndexLink"/>
              </w:rPr>
              <w:t xml:space="preserve"> Forms Art. 9.1 a) I) 1. Section II</w:t>
            </w:r>
            <w:r>
              <w:rPr>
                <w:rStyle w:val="IndexLink"/>
              </w:rPr>
              <w:tab/>
              <w:t>52</w:t>
            </w:r>
          </w:hyperlink>
        </w:p>
        <w:p w14:paraId="0069F3D3" w14:textId="77777777" w:rsidR="00E255F4" w:rsidRDefault="00E255F4">
          <w:pPr>
            <w:pStyle w:val="TDC1"/>
          </w:pPr>
          <w:hyperlink w:anchor="__RefHeading___Toc225377259">
            <w:r>
              <w:rPr>
                <w:rStyle w:val="IndexLink"/>
              </w:rPr>
              <w:t xml:space="preserve"> Bidder's experience</w:t>
            </w:r>
            <w:r>
              <w:rPr>
                <w:rStyle w:val="IndexLink"/>
              </w:rPr>
              <w:tab/>
              <w:t>52</w:t>
            </w:r>
          </w:hyperlink>
        </w:p>
        <w:p w14:paraId="7BBB99F3" w14:textId="77777777" w:rsidR="00E255F4" w:rsidRDefault="00E255F4">
          <w:pPr>
            <w:pStyle w:val="TDC1"/>
          </w:pPr>
          <w:hyperlink w:anchor="__RefHeading___Toc225377260">
            <w:r>
              <w:rPr>
                <w:rStyle w:val="IndexLink"/>
              </w:rPr>
              <w:t xml:space="preserve"> ANNEX VI</w:t>
            </w:r>
            <w:r>
              <w:rPr>
                <w:rStyle w:val="IndexLink"/>
              </w:rPr>
              <w:tab/>
              <w:t>53</w:t>
            </w:r>
          </w:hyperlink>
        </w:p>
        <w:p w14:paraId="670DF73D" w14:textId="77777777" w:rsidR="00E255F4" w:rsidRDefault="00E255F4">
          <w:pPr>
            <w:pStyle w:val="TDC1"/>
          </w:pPr>
          <w:hyperlink w:anchor="__RefHeading___Toc225377261">
            <w:r>
              <w:rPr>
                <w:rStyle w:val="IndexLink"/>
              </w:rPr>
              <w:t xml:space="preserve"> Forms Art. 9.1 c) I) 3. Section II</w:t>
            </w:r>
            <w:r>
              <w:rPr>
                <w:rStyle w:val="IndexLink"/>
              </w:rPr>
              <w:tab/>
              <w:t>53</w:t>
            </w:r>
          </w:hyperlink>
        </w:p>
        <w:p w14:paraId="1DD2C00B" w14:textId="77777777" w:rsidR="00E255F4" w:rsidRDefault="00E255F4">
          <w:pPr>
            <w:pStyle w:val="TDC1"/>
          </w:pPr>
          <w:hyperlink w:anchor="__RefHeading___Toc225377262">
            <w:r>
              <w:rPr>
                <w:rStyle w:val="IndexLink"/>
              </w:rPr>
              <w:t xml:space="preserve"> Manufacturer's experience</w:t>
            </w:r>
            <w:r>
              <w:rPr>
                <w:rStyle w:val="IndexLink"/>
              </w:rPr>
              <w:tab/>
              <w:t>53</w:t>
            </w:r>
          </w:hyperlink>
        </w:p>
        <w:p w14:paraId="391E3A84" w14:textId="77777777" w:rsidR="00E255F4" w:rsidRDefault="00E255F4">
          <w:pPr>
            <w:pStyle w:val="TDC1"/>
          </w:pPr>
          <w:hyperlink w:anchor="__RefHeading___Toc225377263">
            <w:r>
              <w:rPr>
                <w:rStyle w:val="IndexLink"/>
              </w:rPr>
              <w:t xml:space="preserve"> ANNEX VII</w:t>
            </w:r>
            <w:r>
              <w:rPr>
                <w:rStyle w:val="IndexLink"/>
              </w:rPr>
              <w:tab/>
              <w:t>54</w:t>
            </w:r>
          </w:hyperlink>
        </w:p>
        <w:p w14:paraId="57B7AF98" w14:textId="77777777" w:rsidR="00E255F4" w:rsidRDefault="00E255F4">
          <w:pPr>
            <w:pStyle w:val="TDC1"/>
          </w:pPr>
          <w:hyperlink w:anchor="__RefHeading___Toc225377264">
            <w:r>
              <w:rPr>
                <w:rStyle w:val="IndexLink"/>
              </w:rPr>
              <w:t xml:space="preserve"> Technical specifications</w:t>
            </w:r>
            <w:r>
              <w:rPr>
                <w:rStyle w:val="IndexLink"/>
              </w:rPr>
              <w:tab/>
              <w:t>54</w:t>
            </w:r>
          </w:hyperlink>
        </w:p>
        <w:p w14:paraId="3CD84BA9" w14:textId="77777777" w:rsidR="00E255F4" w:rsidRDefault="00E255F4">
          <w:pPr>
            <w:pStyle w:val="TDC2"/>
            <w:tabs>
              <w:tab w:val="clear" w:pos="8931"/>
            </w:tabs>
          </w:pPr>
          <w:hyperlink w:anchor="__RefHeading___Toc225377265">
            <w:r>
              <w:rPr>
                <w:rStyle w:val="IndexLink"/>
              </w:rPr>
              <w:t>2. CHARACTERISTICS OF THE TELEMETRY SERVICE</w:t>
            </w:r>
            <w:r>
              <w:rPr>
                <w:rStyle w:val="IndexLink"/>
              </w:rPr>
              <w:tab/>
              <w:t>55</w:t>
            </w:r>
          </w:hyperlink>
        </w:p>
        <w:p w14:paraId="50DB6C62" w14:textId="77777777" w:rsidR="00E255F4" w:rsidRDefault="00E255F4">
          <w:pPr>
            <w:pStyle w:val="TDC2"/>
            <w:tabs>
              <w:tab w:val="clear" w:pos="8931"/>
            </w:tabs>
          </w:pPr>
          <w:hyperlink w:anchor="__RefHeading___Toc139_3847131730">
            <w:r>
              <w:rPr>
                <w:rStyle w:val="IndexLink"/>
              </w:rPr>
              <w:t>3. TECHNICAL CHARACTERISTICS OF THE TELEMETRY DEVICE</w:t>
            </w:r>
            <w:r>
              <w:rPr>
                <w:rStyle w:val="IndexLink"/>
              </w:rPr>
              <w:tab/>
              <w:t>56</w:t>
            </w:r>
          </w:hyperlink>
        </w:p>
        <w:p w14:paraId="0CD9CB37" w14:textId="77777777" w:rsidR="00E255F4" w:rsidRDefault="00E255F4">
          <w:pPr>
            <w:pStyle w:val="TDC2"/>
            <w:tabs>
              <w:tab w:val="clear" w:pos="8931"/>
            </w:tabs>
          </w:pPr>
          <w:hyperlink w:anchor="__RefHeading___Toc141_3847131730">
            <w:r>
              <w:rPr>
                <w:rStyle w:val="IndexLink"/>
              </w:rPr>
              <w:t>4 CHARACTERISTICS OF DATA RECEPTION AND SOFTWARE APPLICATIONS</w:t>
            </w:r>
            <w:r>
              <w:rPr>
                <w:rStyle w:val="IndexLink"/>
              </w:rPr>
              <w:tab/>
              <w:t>58</w:t>
            </w:r>
          </w:hyperlink>
        </w:p>
        <w:p w14:paraId="1A55A7C4" w14:textId="77777777" w:rsidR="00E255F4" w:rsidRDefault="00E255F4">
          <w:pPr>
            <w:pStyle w:val="TDC2"/>
            <w:tabs>
              <w:tab w:val="clear" w:pos="8931"/>
            </w:tabs>
          </w:pPr>
          <w:hyperlink w:anchor="__RefHeading___Toc225377268">
            <w:r>
              <w:rPr>
                <w:rStyle w:val="IndexLink"/>
              </w:rPr>
              <w:t>4. CHARACTERISTICS OF THE TELEMETRY EQUIPMENT INSTALLATION</w:t>
            </w:r>
            <w:r>
              <w:rPr>
                <w:rStyle w:val="IndexLink"/>
              </w:rPr>
              <w:tab/>
              <w:t>61</w:t>
            </w:r>
          </w:hyperlink>
        </w:p>
        <w:p w14:paraId="6311D92D" w14:textId="77777777" w:rsidR="00E255F4" w:rsidRDefault="00E255F4">
          <w:pPr>
            <w:pStyle w:val="TDC2"/>
            <w:tabs>
              <w:tab w:val="clear" w:pos="8931"/>
            </w:tabs>
          </w:pPr>
          <w:hyperlink w:anchor="__RefHeading___Toc225377269">
            <w:r>
              <w:rPr>
                <w:rStyle w:val="IndexLink"/>
              </w:rPr>
              <w:t>6 MAINTENANCE CHARACTERISTICS</w:t>
            </w:r>
            <w:r>
              <w:rPr>
                <w:rStyle w:val="IndexLink"/>
              </w:rPr>
              <w:tab/>
              <w:t>62</w:t>
            </w:r>
          </w:hyperlink>
        </w:p>
        <w:p w14:paraId="3EC57E6C" w14:textId="77777777" w:rsidR="00E255F4" w:rsidRDefault="00E255F4">
          <w:pPr>
            <w:pStyle w:val="TDC2"/>
            <w:tabs>
              <w:tab w:val="clear" w:pos="8931"/>
            </w:tabs>
          </w:pPr>
          <w:hyperlink w:anchor="__RefHeading___Toc143_3847131730">
            <w:r>
              <w:rPr>
                <w:rStyle w:val="IndexLink"/>
              </w:rPr>
              <w:t>5. CHARACTERISTICS OF DRINKING WATER METERS</w:t>
            </w:r>
            <w:r>
              <w:rPr>
                <w:rStyle w:val="IndexLink"/>
              </w:rPr>
              <w:tab/>
              <w:t>62</w:t>
            </w:r>
          </w:hyperlink>
        </w:p>
        <w:p w14:paraId="398FBE5D" w14:textId="77777777" w:rsidR="00E255F4" w:rsidRDefault="00E255F4">
          <w:pPr>
            <w:pStyle w:val="TDC2"/>
            <w:tabs>
              <w:tab w:val="clear" w:pos="8931"/>
            </w:tabs>
          </w:pPr>
          <w:hyperlink w:anchor="__RefHeading___Toc145_3847131730">
            <w:r>
              <w:rPr>
                <w:rStyle w:val="IndexLink"/>
              </w:rPr>
              <w:t>6. SAMPLES</w:t>
            </w:r>
            <w:r>
              <w:rPr>
                <w:rStyle w:val="IndexLink"/>
              </w:rPr>
              <w:tab/>
              <w:t>69</w:t>
            </w:r>
          </w:hyperlink>
        </w:p>
        <w:p w14:paraId="5A86DA6A" w14:textId="77777777" w:rsidR="00E255F4" w:rsidRDefault="00E255F4">
          <w:pPr>
            <w:pStyle w:val="TDC2"/>
            <w:tabs>
              <w:tab w:val="clear" w:pos="8931"/>
            </w:tabs>
          </w:pPr>
          <w:hyperlink w:anchor="__RefHeading___Toc225377272">
            <w:r>
              <w:rPr>
                <w:rStyle w:val="IndexLink"/>
              </w:rPr>
              <w:t>7. CONDITIONS FOR RECEIPT OF THE TENDER</w:t>
            </w:r>
            <w:r>
              <w:rPr>
                <w:rStyle w:val="IndexLink"/>
              </w:rPr>
              <w:tab/>
              <w:t>69</w:t>
            </w:r>
          </w:hyperlink>
        </w:p>
        <w:p w14:paraId="0275EC2E" w14:textId="77777777" w:rsidR="00E255F4" w:rsidRDefault="00E255F4">
          <w:pPr>
            <w:pStyle w:val="TDC2"/>
            <w:tabs>
              <w:tab w:val="clear" w:pos="8931"/>
            </w:tabs>
          </w:pPr>
          <w:hyperlink w:anchor="__RefHeading___Toc147_3847131730">
            <w:r>
              <w:rPr>
                <w:rStyle w:val="IndexLink"/>
              </w:rPr>
              <w:t>8. METER QUALIFICATION TESTS</w:t>
            </w:r>
            <w:r>
              <w:rPr>
                <w:rStyle w:val="IndexLink"/>
              </w:rPr>
              <w:tab/>
              <w:t>72</w:t>
            </w:r>
          </w:hyperlink>
        </w:p>
        <w:p w14:paraId="00F241C2" w14:textId="77777777" w:rsidR="00E255F4" w:rsidRDefault="00E255F4">
          <w:pPr>
            <w:pStyle w:val="TDC2"/>
            <w:tabs>
              <w:tab w:val="clear" w:pos="8931"/>
            </w:tabs>
          </w:pPr>
          <w:hyperlink w:anchor="__RefHeading___Toc225377274">
            <w:r>
              <w:rPr>
                <w:rStyle w:val="IndexLink"/>
              </w:rPr>
              <w:t>9. QUALIFICATION TESTS OF SMART METER TELEMETRY DEVICES</w:t>
            </w:r>
            <w:r>
              <w:rPr>
                <w:rStyle w:val="IndexLink"/>
              </w:rPr>
              <w:tab/>
              <w:t>74</w:t>
            </w:r>
          </w:hyperlink>
        </w:p>
        <w:p w14:paraId="68D166EC" w14:textId="77777777" w:rsidR="00E255F4" w:rsidRDefault="00E255F4">
          <w:pPr>
            <w:pStyle w:val="TDC2"/>
            <w:tabs>
              <w:tab w:val="clear" w:pos="8931"/>
            </w:tabs>
          </w:pPr>
          <w:hyperlink w:anchor="__RefHeading___Toc225377275">
            <w:r>
              <w:rPr>
                <w:rStyle w:val="IndexLink"/>
              </w:rPr>
              <w:t>10. FROM THE LIST OF CONNECTIONS TO TELEMEDIR</w:t>
            </w:r>
            <w:r>
              <w:rPr>
                <w:rStyle w:val="IndexLink"/>
              </w:rPr>
              <w:tab/>
              <w:t>75</w:t>
            </w:r>
          </w:hyperlink>
        </w:p>
        <w:p w14:paraId="44666C75" w14:textId="77777777" w:rsidR="00E255F4" w:rsidRDefault="00E255F4">
          <w:pPr>
            <w:pStyle w:val="TDC2"/>
            <w:tabs>
              <w:tab w:val="clear" w:pos="8931"/>
            </w:tabs>
          </w:pPr>
          <w:hyperlink w:anchor="__RefHeading___Toc225377276">
            <w:r>
              <w:rPr>
                <w:rStyle w:val="IndexLink"/>
              </w:rPr>
              <w:t>11. ON THE TRANSFER OF INFORMATION</w:t>
            </w:r>
            <w:r>
              <w:rPr>
                <w:rStyle w:val="IndexLink"/>
              </w:rPr>
              <w:tab/>
              <w:t>75</w:t>
            </w:r>
          </w:hyperlink>
        </w:p>
        <w:p w14:paraId="285B8D7C" w14:textId="77777777" w:rsidR="00E255F4" w:rsidRDefault="00E255F4">
          <w:pPr>
            <w:pStyle w:val="TDC2"/>
            <w:tabs>
              <w:tab w:val="clear" w:pos="8931"/>
            </w:tabs>
          </w:pPr>
          <w:hyperlink w:anchor="__RefHeading___Toc225377277">
            <w:r>
              <w:rPr>
                <w:rStyle w:val="IndexLink"/>
              </w:rPr>
              <w:t>12. REQUIREMENTS FOR PERFORMING THE QUALIFICATION TESTS OF THE METERS</w:t>
            </w:r>
            <w:r>
              <w:rPr>
                <w:rStyle w:val="IndexLink"/>
              </w:rPr>
              <w:tab/>
              <w:t>75</w:t>
            </w:r>
          </w:hyperlink>
        </w:p>
        <w:p w14:paraId="5B4FA4BD" w14:textId="77777777" w:rsidR="00E255F4" w:rsidRDefault="00E255F4">
          <w:pPr>
            <w:pStyle w:val="TDC1"/>
          </w:pPr>
          <w:hyperlink w:anchor="__RefHeading___Toc225377278">
            <w:r>
              <w:rPr>
                <w:rStyle w:val="IndexLink"/>
              </w:rPr>
              <w:t xml:space="preserve"> ANNEX VIII</w:t>
            </w:r>
            <w:r>
              <w:rPr>
                <w:rStyle w:val="IndexLink"/>
              </w:rPr>
              <w:tab/>
              <w:t>78</w:t>
            </w:r>
          </w:hyperlink>
        </w:p>
        <w:p w14:paraId="196FC692" w14:textId="77777777" w:rsidR="00E255F4" w:rsidRDefault="00E255F4">
          <w:pPr>
            <w:pStyle w:val="TDC1"/>
          </w:pPr>
          <w:hyperlink w:anchor="__RefHeading___Toc225377279">
            <w:r>
              <w:rPr>
                <w:rStyle w:val="IndexLink"/>
              </w:rPr>
              <w:t xml:space="preserve"> Declaration of gender equality</w:t>
            </w:r>
            <w:r>
              <w:rPr>
                <w:rStyle w:val="IndexLink"/>
              </w:rPr>
              <w:tab/>
              <w:t>78</w:t>
            </w:r>
          </w:hyperlink>
        </w:p>
        <w:p w14:paraId="702195B2" w14:textId="77777777" w:rsidR="00E255F4" w:rsidRDefault="00E255F4">
          <w:pPr>
            <w:pStyle w:val="TDC1"/>
          </w:pPr>
          <w:hyperlink w:anchor="__RefHeading___Toc225377280">
            <w:r>
              <w:rPr>
                <w:rStyle w:val="IndexLink"/>
              </w:rPr>
              <w:t xml:space="preserve"> ANNEX IX</w:t>
            </w:r>
            <w:r>
              <w:rPr>
                <w:rStyle w:val="IndexLink"/>
              </w:rPr>
              <w:tab/>
              <w:t>78</w:t>
            </w:r>
          </w:hyperlink>
        </w:p>
        <w:p w14:paraId="5378B284" w14:textId="77777777" w:rsidR="00E255F4" w:rsidRDefault="00E255F4">
          <w:pPr>
            <w:pStyle w:val="TDC1"/>
          </w:pPr>
          <w:hyperlink w:anchor="__RefHeading___Toc225377281">
            <w:r>
              <w:rPr>
                <w:rStyle w:val="IndexLink"/>
              </w:rPr>
              <w:t xml:space="preserve"> COMMITMENT TO CONFIDENTIALITY</w:t>
            </w:r>
            <w:r>
              <w:rPr>
                <w:rStyle w:val="IndexLink"/>
              </w:rPr>
              <w:tab/>
              <w:t>79</w:t>
            </w:r>
          </w:hyperlink>
        </w:p>
        <w:p w14:paraId="58655EAC" w14:textId="77777777" w:rsidR="00E255F4" w:rsidRDefault="00E255F4">
          <w:pPr>
            <w:pStyle w:val="TDC1"/>
          </w:pPr>
          <w:hyperlink w:anchor="__RefHeading___Toc225377282">
            <w:r>
              <w:rPr>
                <w:rStyle w:val="IndexLink"/>
              </w:rPr>
              <w:t xml:space="preserve"> APPENDIX X</w:t>
            </w:r>
            <w:r>
              <w:rPr>
                <w:rStyle w:val="IndexLink"/>
              </w:rPr>
              <w:tab/>
              <w:t>81</w:t>
            </w:r>
          </w:hyperlink>
        </w:p>
        <w:p w14:paraId="43EDDBD4" w14:textId="77777777" w:rsidR="00E255F4" w:rsidRDefault="00E255F4">
          <w:pPr>
            <w:pStyle w:val="TDC1"/>
          </w:pPr>
          <w:hyperlink w:anchor="__RefHeading___Toc225377283">
            <w:r>
              <w:rPr>
                <w:rStyle w:val="IndexLink"/>
              </w:rPr>
              <w:t xml:space="preserve"> Sworn Statement Art. 46 of the TOCAF</w:t>
            </w:r>
            <w:r>
              <w:rPr>
                <w:rStyle w:val="IndexLink"/>
              </w:rPr>
              <w:tab/>
              <w:t>81</w:t>
            </w:r>
          </w:hyperlink>
        </w:p>
        <w:p w14:paraId="17172AB6" w14:textId="77777777" w:rsidR="00E255F4" w:rsidRDefault="00E255F4">
          <w:pPr>
            <w:pStyle w:val="TDC1"/>
          </w:pPr>
          <w:hyperlink w:anchor="__RefHeading___Toc225377284">
            <w:r>
              <w:rPr>
                <w:rStyle w:val="IndexLink"/>
              </w:rPr>
              <w:t xml:space="preserve"> Annex XI</w:t>
            </w:r>
            <w:r>
              <w:rPr>
                <w:rStyle w:val="IndexLink"/>
              </w:rPr>
              <w:tab/>
              <w:t>82</w:t>
            </w:r>
          </w:hyperlink>
        </w:p>
        <w:p w14:paraId="6ECE41A9" w14:textId="77777777" w:rsidR="00E255F4" w:rsidRDefault="00E255F4">
          <w:pPr>
            <w:pStyle w:val="TDC1"/>
          </w:pPr>
          <w:hyperlink w:anchor="__RefHeading___Toc225377285">
            <w:r>
              <w:rPr>
                <w:rStyle w:val="IndexLink"/>
              </w:rPr>
              <w:t xml:space="preserve"> Sworn statement of Occupational Safety and Health</w:t>
            </w:r>
            <w:r>
              <w:rPr>
                <w:rStyle w:val="IndexLink"/>
              </w:rPr>
              <w:tab/>
              <w:t>82</w:t>
            </w:r>
          </w:hyperlink>
        </w:p>
        <w:p w14:paraId="79B9DD69" w14:textId="77777777" w:rsidR="00E255F4" w:rsidRDefault="00E255F4">
          <w:pPr>
            <w:pStyle w:val="TDC1"/>
          </w:pPr>
          <w:hyperlink w:anchor="__RefHeading___Toc225377286">
            <w:r>
              <w:rPr>
                <w:rStyle w:val="IndexLink"/>
              </w:rPr>
              <w:t xml:space="preserve"> ANNEX XII</w:t>
            </w:r>
            <w:r>
              <w:rPr>
                <w:rStyle w:val="IndexLink"/>
              </w:rPr>
              <w:tab/>
              <w:t>85</w:t>
            </w:r>
          </w:hyperlink>
        </w:p>
        <w:p w14:paraId="6A70106F" w14:textId="77777777" w:rsidR="00E255F4" w:rsidRDefault="00E255F4">
          <w:pPr>
            <w:pStyle w:val="TDC1"/>
          </w:pPr>
          <w:hyperlink w:anchor="__RefHeading___Toc225377287">
            <w:r>
              <w:rPr>
                <w:rStyle w:val="IndexLink"/>
              </w:rPr>
              <w:t xml:space="preserve"> Sworn statement of NOT being registered as a Delinquent Alimony Debtor.</w:t>
            </w:r>
            <w:r>
              <w:rPr>
                <w:rStyle w:val="IndexLink"/>
              </w:rPr>
              <w:tab/>
              <w:t>85</w:t>
            </w:r>
          </w:hyperlink>
          <w:r w:rsidR="00000000">
            <w:rPr>
              <w:rStyle w:val="IndexLink"/>
            </w:rPr>
            <w:fldChar w:fldCharType="end"/>
          </w:r>
        </w:p>
      </w:sdtContent>
    </w:sdt>
    <w:p w14:paraId="683365F0" w14:textId="77777777" w:rsidR="00E255F4" w:rsidRDefault="00000000">
      <w:pPr>
        <w:pStyle w:val="Ttulo1"/>
        <w:numPr>
          <w:ilvl w:val="0"/>
          <w:numId w:val="0"/>
        </w:numPr>
        <w:spacing w:before="0" w:after="0"/>
        <w:ind w:left="720"/>
        <w:jc w:val="center"/>
        <w:rPr>
          <w:rFonts w:ascii="Aptos" w:eastAsia="Palatino Linotype" w:hAnsi="Aptos" w:cs="Aptos"/>
          <w:bCs w:val="0"/>
          <w:color w:val="548DD4"/>
          <w:spacing w:val="-1"/>
          <w:sz w:val="28"/>
          <w:szCs w:val="22"/>
          <w:lang w:val="es-ES" w:eastAsia="en-US"/>
        </w:rPr>
      </w:pPr>
      <w:r>
        <w:br w:type="page"/>
      </w:r>
    </w:p>
    <w:p w14:paraId="16DA8C72" w14:textId="77777777" w:rsidR="00E255F4" w:rsidRDefault="00000000">
      <w:pPr>
        <w:pStyle w:val="Ttulo1"/>
        <w:spacing w:before="0" w:after="0"/>
        <w:jc w:val="center"/>
        <w:rPr>
          <w:rFonts w:eastAsia="Palatino Linotype"/>
          <w:b w:val="0"/>
          <w:color w:val="365F91"/>
          <w:spacing w:val="-1"/>
          <w:sz w:val="22"/>
          <w:szCs w:val="22"/>
          <w:lang w:val="es-ES"/>
        </w:rPr>
      </w:pPr>
      <w:bookmarkStart w:id="1" w:name="__RefHeading___Toc225377178"/>
      <w:bookmarkEnd w:id="1"/>
      <w:r>
        <w:rPr>
          <w:rFonts w:ascii="Times New Roman" w:eastAsia="Palatino Linotype" w:hAnsi="Times New Roman" w:cs="Times New Roman"/>
          <w:b w:val="0"/>
          <w:color w:val="548DD4"/>
          <w:sz w:val="28"/>
          <w:szCs w:val="24"/>
          <w:lang w:val="es-ES"/>
        </w:rPr>
        <w:lastRenderedPageBreak/>
        <w:t>Section I</w:t>
      </w:r>
    </w:p>
    <w:p w14:paraId="594AA63D" w14:textId="77777777" w:rsidR="00E255F4" w:rsidRDefault="00000000">
      <w:pPr>
        <w:pStyle w:val="Ttulo1"/>
        <w:numPr>
          <w:ilvl w:val="0"/>
          <w:numId w:val="0"/>
        </w:numPr>
        <w:spacing w:before="0" w:after="0"/>
        <w:ind w:left="720" w:right="-142"/>
        <w:jc w:val="center"/>
        <w:rPr>
          <w:rFonts w:ascii="Times New Roman" w:eastAsia="Palatino Linotype" w:hAnsi="Times New Roman" w:cs="Times New Roman"/>
          <w:b w:val="0"/>
          <w:color w:val="548DD4"/>
          <w:spacing w:val="-1"/>
          <w:sz w:val="28"/>
          <w:szCs w:val="22"/>
          <w:lang w:val="es-ES"/>
        </w:rPr>
      </w:pPr>
      <w:bookmarkStart w:id="2" w:name="__RefHeading___Toc225377179"/>
      <w:bookmarkEnd w:id="2"/>
      <w:proofErr w:type="gramStart"/>
      <w:r>
        <w:rPr>
          <w:rFonts w:ascii="Times New Roman" w:eastAsia="Palatino Linotype" w:hAnsi="Times New Roman" w:cs="Times New Roman"/>
          <w:b w:val="0"/>
          <w:color w:val="548DD4"/>
          <w:spacing w:val="-1"/>
          <w:sz w:val="28"/>
          <w:szCs w:val="22"/>
          <w:lang w:val="es-ES"/>
        </w:rPr>
        <w:t>Single</w:t>
      </w:r>
      <w:proofErr w:type="gramEnd"/>
      <w:r>
        <w:rPr>
          <w:rFonts w:ascii="Times New Roman" w:eastAsia="Palatino Linotype" w:hAnsi="Times New Roman" w:cs="Times New Roman"/>
          <w:b w:val="0"/>
          <w:color w:val="548DD4"/>
          <w:spacing w:val="-1"/>
          <w:sz w:val="28"/>
          <w:szCs w:val="22"/>
          <w:lang w:val="es-ES"/>
        </w:rPr>
        <w:t xml:space="preserve"> Set </w:t>
      </w:r>
      <w:proofErr w:type="spellStart"/>
      <w:r>
        <w:rPr>
          <w:rFonts w:ascii="Times New Roman" w:eastAsia="Palatino Linotype" w:hAnsi="Times New Roman" w:cs="Times New Roman"/>
          <w:b w:val="0"/>
          <w:color w:val="548DD4"/>
          <w:spacing w:val="-1"/>
          <w:sz w:val="28"/>
          <w:szCs w:val="22"/>
          <w:lang w:val="es-ES"/>
        </w:rPr>
        <w:t>of</w:t>
      </w:r>
      <w:proofErr w:type="spellEnd"/>
      <w:r>
        <w:rPr>
          <w:rFonts w:ascii="Times New Roman" w:eastAsia="Palatino Linotype" w:hAnsi="Times New Roman" w:cs="Times New Roman"/>
          <w:b w:val="0"/>
          <w:color w:val="548DD4"/>
          <w:spacing w:val="-1"/>
          <w:sz w:val="28"/>
          <w:szCs w:val="22"/>
          <w:lang w:val="es-ES"/>
        </w:rPr>
        <w:t xml:space="preserve"> General </w:t>
      </w:r>
      <w:proofErr w:type="spellStart"/>
      <w:r>
        <w:rPr>
          <w:rFonts w:ascii="Times New Roman" w:eastAsia="Palatino Linotype" w:hAnsi="Times New Roman" w:cs="Times New Roman"/>
          <w:b w:val="0"/>
          <w:color w:val="548DD4"/>
          <w:spacing w:val="-1"/>
          <w:sz w:val="28"/>
          <w:szCs w:val="22"/>
          <w:lang w:val="es-ES"/>
        </w:rPr>
        <w:t>Terms</w:t>
      </w:r>
      <w:proofErr w:type="spellEnd"/>
      <w:r>
        <w:rPr>
          <w:rFonts w:ascii="Times New Roman" w:eastAsia="Palatino Linotype" w:hAnsi="Times New Roman" w:cs="Times New Roman"/>
          <w:b w:val="0"/>
          <w:color w:val="548DD4"/>
          <w:spacing w:val="-1"/>
          <w:sz w:val="28"/>
          <w:szCs w:val="22"/>
          <w:lang w:val="es-ES"/>
        </w:rPr>
        <w:t xml:space="preserve"> and </w:t>
      </w:r>
      <w:proofErr w:type="spellStart"/>
      <w:r>
        <w:rPr>
          <w:rFonts w:ascii="Times New Roman" w:eastAsia="Palatino Linotype" w:hAnsi="Times New Roman" w:cs="Times New Roman"/>
          <w:b w:val="0"/>
          <w:color w:val="548DD4"/>
          <w:spacing w:val="-1"/>
          <w:sz w:val="28"/>
          <w:szCs w:val="22"/>
          <w:lang w:val="es-ES"/>
        </w:rPr>
        <w:t>Conditions</w:t>
      </w:r>
      <w:proofErr w:type="spellEnd"/>
      <w:r>
        <w:rPr>
          <w:rFonts w:ascii="Times New Roman" w:eastAsia="Palatino Linotype" w:hAnsi="Times New Roman" w:cs="Times New Roman"/>
          <w:b w:val="0"/>
          <w:color w:val="548DD4"/>
          <w:spacing w:val="-1"/>
          <w:sz w:val="28"/>
          <w:szCs w:val="22"/>
          <w:lang w:val="es-ES"/>
        </w:rPr>
        <w:t xml:space="preserve"> </w:t>
      </w:r>
      <w:proofErr w:type="spellStart"/>
      <w:r>
        <w:rPr>
          <w:rFonts w:ascii="Times New Roman" w:eastAsia="Palatino Linotype" w:hAnsi="Times New Roman" w:cs="Times New Roman"/>
          <w:b w:val="0"/>
          <w:color w:val="548DD4"/>
          <w:spacing w:val="-1"/>
          <w:sz w:val="28"/>
          <w:szCs w:val="22"/>
          <w:lang w:val="es-ES"/>
        </w:rPr>
        <w:t>for</w:t>
      </w:r>
      <w:proofErr w:type="spellEnd"/>
      <w:r>
        <w:rPr>
          <w:rFonts w:ascii="Times New Roman" w:eastAsia="Palatino Linotype" w:hAnsi="Times New Roman" w:cs="Times New Roman"/>
          <w:b w:val="0"/>
          <w:color w:val="548DD4"/>
          <w:spacing w:val="-1"/>
          <w:sz w:val="28"/>
          <w:szCs w:val="22"/>
          <w:lang w:val="es-ES"/>
        </w:rPr>
        <w:t xml:space="preserve"> </w:t>
      </w:r>
      <w:proofErr w:type="spellStart"/>
      <w:r>
        <w:rPr>
          <w:rFonts w:ascii="Times New Roman" w:eastAsia="Palatino Linotype" w:hAnsi="Times New Roman" w:cs="Times New Roman"/>
          <w:b w:val="0"/>
          <w:color w:val="548DD4"/>
          <w:spacing w:val="-1"/>
          <w:sz w:val="28"/>
          <w:szCs w:val="22"/>
          <w:lang w:val="es-ES"/>
        </w:rPr>
        <w:t>Supply</w:t>
      </w:r>
      <w:proofErr w:type="spellEnd"/>
      <w:r>
        <w:rPr>
          <w:rFonts w:ascii="Times New Roman" w:eastAsia="Palatino Linotype" w:hAnsi="Times New Roman" w:cs="Times New Roman"/>
          <w:b w:val="0"/>
          <w:color w:val="548DD4"/>
          <w:spacing w:val="-1"/>
          <w:sz w:val="28"/>
          <w:szCs w:val="22"/>
          <w:lang w:val="es-ES"/>
        </w:rPr>
        <w:t xml:space="preserve"> and Non-Personal </w:t>
      </w:r>
      <w:proofErr w:type="spellStart"/>
      <w:r>
        <w:rPr>
          <w:rFonts w:ascii="Times New Roman" w:eastAsia="Palatino Linotype" w:hAnsi="Times New Roman" w:cs="Times New Roman"/>
          <w:b w:val="0"/>
          <w:color w:val="548DD4"/>
          <w:spacing w:val="-1"/>
          <w:sz w:val="28"/>
          <w:szCs w:val="22"/>
          <w:lang w:val="es-ES"/>
        </w:rPr>
        <w:t>Services</w:t>
      </w:r>
      <w:proofErr w:type="spellEnd"/>
      <w:r>
        <w:rPr>
          <w:rFonts w:ascii="Times New Roman" w:eastAsia="Palatino Linotype" w:hAnsi="Times New Roman" w:cs="Times New Roman"/>
          <w:b w:val="0"/>
          <w:color w:val="548DD4"/>
          <w:spacing w:val="-1"/>
          <w:sz w:val="28"/>
          <w:szCs w:val="22"/>
          <w:lang w:val="es-ES"/>
        </w:rPr>
        <w:t xml:space="preserve"> </w:t>
      </w:r>
      <w:proofErr w:type="spellStart"/>
      <w:r>
        <w:rPr>
          <w:rFonts w:ascii="Times New Roman" w:eastAsia="Palatino Linotype" w:hAnsi="Times New Roman" w:cs="Times New Roman"/>
          <w:b w:val="0"/>
          <w:color w:val="548DD4"/>
          <w:spacing w:val="-1"/>
          <w:sz w:val="28"/>
          <w:szCs w:val="22"/>
          <w:lang w:val="es-ES"/>
        </w:rPr>
        <w:t>Contracts</w:t>
      </w:r>
      <w:proofErr w:type="spellEnd"/>
    </w:p>
    <w:p w14:paraId="1FD84E2D" w14:textId="77777777" w:rsidR="00E255F4" w:rsidRDefault="00E255F4">
      <w:pPr>
        <w:rPr>
          <w:rFonts w:eastAsia="Palatino Linotype"/>
          <w:b/>
          <w:color w:val="548DD4"/>
          <w:spacing w:val="-1"/>
          <w:sz w:val="28"/>
          <w:szCs w:val="22"/>
          <w:lang w:val="es-ES"/>
        </w:rPr>
      </w:pPr>
    </w:p>
    <w:p w14:paraId="483BC9EC" w14:textId="77777777" w:rsidR="00E255F4" w:rsidRDefault="00E255F4">
      <w:pPr>
        <w:ind w:right="-142" w:firstLine="283"/>
        <w:jc w:val="center"/>
        <w:rPr>
          <w:rFonts w:eastAsia="Palatino Linotype"/>
          <w:color w:val="365F91"/>
          <w:sz w:val="22"/>
          <w:szCs w:val="22"/>
          <w:lang w:val="es-ES"/>
        </w:rPr>
      </w:pPr>
    </w:p>
    <w:p w14:paraId="38BE37B4" w14:textId="77777777" w:rsidR="00E255F4" w:rsidRDefault="00000000">
      <w:pPr>
        <w:tabs>
          <w:tab w:val="left" w:pos="284"/>
        </w:tabs>
        <w:ind w:right="-142"/>
        <w:jc w:val="both"/>
        <w:outlineLvl w:val="0"/>
      </w:pPr>
      <w:bookmarkStart w:id="3" w:name="__RefHeading___Toc225377180"/>
      <w:bookmarkEnd w:id="3"/>
      <w:r>
        <w:rPr>
          <w:rFonts w:eastAsia="Palatino Linotype"/>
          <w:b/>
          <w:spacing w:val="-1"/>
          <w:sz w:val="22"/>
          <w:szCs w:val="22"/>
          <w:lang w:val="es-ES"/>
        </w:rPr>
        <w:t xml:space="preserve">1. General </w:t>
      </w:r>
      <w:proofErr w:type="spellStart"/>
      <w:r>
        <w:rPr>
          <w:rFonts w:eastAsia="Palatino Linotype"/>
          <w:b/>
          <w:spacing w:val="-1"/>
          <w:sz w:val="22"/>
          <w:szCs w:val="22"/>
          <w:lang w:val="es-ES"/>
        </w:rPr>
        <w:t>Provisions</w:t>
      </w:r>
      <w:proofErr w:type="spellEnd"/>
      <w:r>
        <w:rPr>
          <w:rFonts w:eastAsia="Palatino Linotype"/>
          <w:b/>
          <w:spacing w:val="-1"/>
          <w:sz w:val="22"/>
          <w:szCs w:val="22"/>
          <w:lang w:val="es-ES"/>
        </w:rPr>
        <w:tab/>
      </w:r>
      <w:r>
        <w:rPr>
          <w:rFonts w:eastAsia="Palatino Linotype"/>
          <w:b/>
          <w:spacing w:val="-1"/>
          <w:sz w:val="22"/>
          <w:szCs w:val="22"/>
          <w:lang w:val="es-ES"/>
        </w:rPr>
        <w:tab/>
      </w:r>
    </w:p>
    <w:p w14:paraId="746BCD7A" w14:textId="77777777" w:rsidR="00E255F4" w:rsidRDefault="00000000">
      <w:pPr>
        <w:ind w:right="-142"/>
        <w:jc w:val="both"/>
        <w:outlineLvl w:val="0"/>
        <w:rPr>
          <w:rFonts w:eastAsia="Palatino Linotype"/>
          <w:b/>
          <w:spacing w:val="-1"/>
          <w:sz w:val="22"/>
          <w:szCs w:val="22"/>
          <w:lang w:val="es-ES"/>
        </w:rPr>
      </w:pPr>
      <w:bookmarkStart w:id="4" w:name="__RefHeading___Toc225377181"/>
      <w:bookmarkEnd w:id="4"/>
      <w:r>
        <w:rPr>
          <w:rFonts w:eastAsia="Palatino Linotype"/>
          <w:b/>
          <w:spacing w:val="-1"/>
          <w:sz w:val="22"/>
          <w:szCs w:val="22"/>
          <w:lang w:val="es-ES"/>
        </w:rPr>
        <w:t xml:space="preserve">1.1 Scope </w:t>
      </w:r>
      <w:proofErr w:type="spellStart"/>
      <w:r>
        <w:rPr>
          <w:rFonts w:eastAsia="Palatino Linotype"/>
          <w:b/>
          <w:spacing w:val="-1"/>
          <w:sz w:val="22"/>
          <w:szCs w:val="22"/>
          <w:lang w:val="es-ES"/>
        </w:rPr>
        <w:t>of</w:t>
      </w:r>
      <w:proofErr w:type="spellEnd"/>
      <w:r>
        <w:rPr>
          <w:rFonts w:eastAsia="Palatino Linotype"/>
          <w:b/>
          <w:spacing w:val="-1"/>
          <w:sz w:val="22"/>
          <w:szCs w:val="22"/>
          <w:lang w:val="es-ES"/>
        </w:rPr>
        <w:t xml:space="preserve"> </w:t>
      </w:r>
      <w:proofErr w:type="spellStart"/>
      <w:r>
        <w:rPr>
          <w:rFonts w:eastAsia="Palatino Linotype"/>
          <w:b/>
          <w:spacing w:val="-1"/>
          <w:sz w:val="22"/>
          <w:szCs w:val="22"/>
          <w:lang w:val="es-ES"/>
        </w:rPr>
        <w:t>Application</w:t>
      </w:r>
      <w:proofErr w:type="spellEnd"/>
      <w:r>
        <w:rPr>
          <w:rFonts w:eastAsia="Palatino Linotype"/>
          <w:b/>
          <w:spacing w:val="-1"/>
          <w:sz w:val="22"/>
          <w:szCs w:val="22"/>
          <w:lang w:val="es-ES"/>
        </w:rPr>
        <w:tab/>
      </w:r>
    </w:p>
    <w:p w14:paraId="66B6C066" w14:textId="77777777" w:rsidR="00E255F4" w:rsidRDefault="00E255F4">
      <w:pPr>
        <w:rPr>
          <w:rFonts w:eastAsia="Palatino Linotype"/>
          <w:b/>
          <w:spacing w:val="-1"/>
          <w:sz w:val="22"/>
          <w:szCs w:val="22"/>
          <w:lang w:val="es-ES"/>
        </w:rPr>
      </w:pPr>
    </w:p>
    <w:p w14:paraId="0BFFE54B" w14:textId="77777777" w:rsidR="00E255F4" w:rsidRDefault="00000000">
      <w:pPr>
        <w:ind w:right="-1"/>
        <w:jc w:val="both"/>
      </w:pPr>
      <w:proofErr w:type="spellStart"/>
      <w:r>
        <w:rPr>
          <w:rFonts w:eastAsia="Palatino Linotype"/>
          <w:spacing w:val="-1"/>
          <w:sz w:val="22"/>
          <w:szCs w:val="22"/>
          <w:lang w:val="es-ES"/>
        </w:rPr>
        <w:t>The</w:t>
      </w:r>
      <w:r>
        <w:rPr>
          <w:rFonts w:eastAsia="Palatino Linotype"/>
          <w:sz w:val="22"/>
          <w:szCs w:val="22"/>
          <w:lang w:val="es-ES"/>
        </w:rPr>
        <w:t>The</w:t>
      </w:r>
      <w:proofErr w:type="spellEnd"/>
      <w:r>
        <w:rPr>
          <w:rFonts w:eastAsia="Palatino Linotype"/>
          <w:sz w:val="22"/>
          <w:szCs w:val="22"/>
          <w:lang w:val="es-ES"/>
        </w:rPr>
        <w:t xml:space="preserve"> rules </w:t>
      </w:r>
      <w:proofErr w:type="spellStart"/>
      <w:r>
        <w:rPr>
          <w:rFonts w:eastAsia="Palatino Linotype"/>
          <w:sz w:val="22"/>
          <w:szCs w:val="22"/>
          <w:lang w:val="es-ES"/>
        </w:rPr>
        <w:t>contained</w:t>
      </w:r>
      <w:proofErr w:type="spellEnd"/>
      <w:r>
        <w:rPr>
          <w:rFonts w:eastAsia="Palatino Linotype"/>
          <w:sz w:val="22"/>
          <w:szCs w:val="22"/>
          <w:lang w:val="es-ES"/>
        </w:rPr>
        <w:t xml:space="preserve"> in </w:t>
      </w:r>
      <w:proofErr w:type="spellStart"/>
      <w:r>
        <w:rPr>
          <w:rFonts w:eastAsia="Palatino Linotype"/>
          <w:sz w:val="22"/>
          <w:szCs w:val="22"/>
          <w:lang w:val="es-ES"/>
        </w:rPr>
        <w:t>this</w:t>
      </w:r>
      <w:proofErr w:type="spellEnd"/>
      <w:r>
        <w:rPr>
          <w:rFonts w:eastAsia="Palatino Linotype"/>
          <w:sz w:val="22"/>
          <w:szCs w:val="22"/>
          <w:lang w:val="es-ES"/>
        </w:rPr>
        <w:t xml:space="preserve"> </w:t>
      </w:r>
      <w:proofErr w:type="spellStart"/>
      <w:r>
        <w:rPr>
          <w:rFonts w:eastAsia="Palatino Linotype"/>
          <w:sz w:val="22"/>
          <w:szCs w:val="22"/>
          <w:lang w:val="es-ES"/>
        </w:rPr>
        <w:t>regulation</w:t>
      </w:r>
      <w:proofErr w:type="spellEnd"/>
      <w:r>
        <w:rPr>
          <w:rFonts w:eastAsia="Palatino Linotype"/>
          <w:sz w:val="22"/>
          <w:szCs w:val="22"/>
          <w:lang w:val="es-ES"/>
        </w:rPr>
        <w:t xml:space="preserve"> </w:t>
      </w:r>
      <w:proofErr w:type="spellStart"/>
      <w:r>
        <w:rPr>
          <w:rFonts w:eastAsia="Palatino Linotype"/>
          <w:sz w:val="22"/>
          <w:szCs w:val="22"/>
          <w:lang w:val="es-ES"/>
        </w:rPr>
        <w:t>constitute</w:t>
      </w:r>
      <w:proofErr w:type="spellEnd"/>
      <w:r>
        <w:rPr>
          <w:rFonts w:eastAsia="Palatino Linotype"/>
          <w:sz w:val="22"/>
          <w:szCs w:val="22"/>
          <w:lang w:val="es-ES"/>
        </w:rPr>
        <w:t xml:space="preserve"> </w:t>
      </w:r>
      <w:proofErr w:type="spellStart"/>
      <w:r>
        <w:rPr>
          <w:rFonts w:eastAsia="Palatino Linotype"/>
          <w:sz w:val="22"/>
          <w:szCs w:val="22"/>
          <w:lang w:val="es-ES"/>
        </w:rPr>
        <w:t>the</w:t>
      </w:r>
      <w:proofErr w:type="spellEnd"/>
      <w:r>
        <w:rPr>
          <w:rFonts w:eastAsia="Palatino Linotype"/>
          <w:sz w:val="22"/>
          <w:szCs w:val="22"/>
          <w:lang w:val="es-ES"/>
        </w:rPr>
        <w:t xml:space="preserve"> </w:t>
      </w:r>
      <w:proofErr w:type="gramStart"/>
      <w:r>
        <w:rPr>
          <w:rFonts w:eastAsia="Palatino Linotype"/>
          <w:sz w:val="22"/>
          <w:szCs w:val="22"/>
          <w:lang w:val="es-ES"/>
        </w:rPr>
        <w:t>Single</w:t>
      </w:r>
      <w:proofErr w:type="gramEnd"/>
      <w:r>
        <w:rPr>
          <w:rFonts w:eastAsia="Palatino Linotype"/>
          <w:sz w:val="22"/>
          <w:szCs w:val="22"/>
          <w:lang w:val="es-ES"/>
        </w:rPr>
        <w:t xml:space="preserve"> Set </w:t>
      </w:r>
      <w:proofErr w:type="spellStart"/>
      <w:r>
        <w:rPr>
          <w:rFonts w:eastAsia="Palatino Linotype"/>
          <w:sz w:val="22"/>
          <w:szCs w:val="22"/>
          <w:lang w:val="es-ES"/>
        </w:rPr>
        <w:t>of</w:t>
      </w:r>
      <w:proofErr w:type="spellEnd"/>
      <w:r>
        <w:rPr>
          <w:rFonts w:eastAsia="Palatino Linotype"/>
          <w:sz w:val="22"/>
          <w:szCs w:val="22"/>
          <w:lang w:val="es-ES"/>
        </w:rPr>
        <w:t xml:space="preserve"> General </w:t>
      </w:r>
      <w:proofErr w:type="spellStart"/>
      <w:r>
        <w:rPr>
          <w:rFonts w:eastAsia="Palatino Linotype"/>
          <w:sz w:val="22"/>
          <w:szCs w:val="22"/>
          <w:lang w:val="es-ES"/>
        </w:rPr>
        <w:t>Terms</w:t>
      </w:r>
      <w:proofErr w:type="spellEnd"/>
      <w:r>
        <w:rPr>
          <w:rFonts w:eastAsia="Palatino Linotype"/>
          <w:sz w:val="22"/>
          <w:szCs w:val="22"/>
          <w:lang w:val="es-ES"/>
        </w:rPr>
        <w:t xml:space="preserve"> and </w:t>
      </w:r>
      <w:proofErr w:type="spellStart"/>
      <w:r>
        <w:rPr>
          <w:rFonts w:eastAsia="Palatino Linotype"/>
          <w:sz w:val="22"/>
          <w:szCs w:val="22"/>
          <w:lang w:val="es-ES"/>
        </w:rPr>
        <w:t>Conditions</w:t>
      </w:r>
      <w:proofErr w:type="spellEnd"/>
      <w:r>
        <w:rPr>
          <w:rFonts w:eastAsia="Palatino Linotype"/>
          <w:sz w:val="22"/>
          <w:szCs w:val="22"/>
          <w:lang w:val="es-ES"/>
        </w:rPr>
        <w:t xml:space="preserve"> (</w:t>
      </w:r>
      <w:proofErr w:type="spellStart"/>
      <w:r>
        <w:rPr>
          <w:rFonts w:eastAsia="Palatino Linotype"/>
          <w:sz w:val="22"/>
          <w:szCs w:val="22"/>
          <w:lang w:val="es-ES"/>
        </w:rPr>
        <w:t>hereinafter</w:t>
      </w:r>
      <w:proofErr w:type="spellEnd"/>
      <w:r>
        <w:rPr>
          <w:rFonts w:eastAsia="Palatino Linotype"/>
          <w:sz w:val="22"/>
          <w:szCs w:val="22"/>
          <w:lang w:val="es-ES"/>
        </w:rPr>
        <w:t xml:space="preserve">, </w:t>
      </w:r>
      <w:proofErr w:type="gramStart"/>
      <w:r>
        <w:rPr>
          <w:rFonts w:eastAsia="Palatino Linotype"/>
          <w:sz w:val="22"/>
          <w:szCs w:val="22"/>
          <w:lang w:val="es-ES"/>
        </w:rPr>
        <w:t>Single</w:t>
      </w:r>
      <w:proofErr w:type="gramEnd"/>
      <w:r>
        <w:rPr>
          <w:rFonts w:eastAsia="Palatino Linotype"/>
          <w:sz w:val="22"/>
          <w:szCs w:val="22"/>
          <w:lang w:val="es-ES"/>
        </w:rPr>
        <w:t xml:space="preserve"> Set) </w:t>
      </w:r>
      <w:proofErr w:type="spellStart"/>
      <w:r>
        <w:rPr>
          <w:rFonts w:eastAsia="Palatino Linotype"/>
          <w:sz w:val="22"/>
          <w:szCs w:val="22"/>
          <w:lang w:val="es-ES"/>
        </w:rPr>
        <w:t>for</w:t>
      </w:r>
      <w:proofErr w:type="spellEnd"/>
      <w:r>
        <w:rPr>
          <w:rFonts w:eastAsia="Palatino Linotype"/>
          <w:sz w:val="22"/>
          <w:szCs w:val="22"/>
          <w:lang w:val="es-ES"/>
        </w:rPr>
        <w:t xml:space="preserve"> </w:t>
      </w:r>
      <w:proofErr w:type="spellStart"/>
      <w:r>
        <w:rPr>
          <w:rFonts w:eastAsia="Palatino Linotype"/>
          <w:sz w:val="22"/>
          <w:szCs w:val="22"/>
          <w:lang w:val="es-ES"/>
        </w:rPr>
        <w:t>Supply</w:t>
      </w:r>
      <w:proofErr w:type="spellEnd"/>
      <w:r>
        <w:rPr>
          <w:rFonts w:eastAsia="Palatino Linotype"/>
          <w:sz w:val="22"/>
          <w:szCs w:val="22"/>
          <w:lang w:val="es-ES"/>
        </w:rPr>
        <w:t xml:space="preserve"> and Non-Personal </w:t>
      </w:r>
      <w:proofErr w:type="spellStart"/>
      <w:r>
        <w:rPr>
          <w:rFonts w:eastAsia="Palatino Linotype"/>
          <w:sz w:val="22"/>
          <w:szCs w:val="22"/>
          <w:lang w:val="es-ES"/>
        </w:rPr>
        <w:t>Services</w:t>
      </w:r>
      <w:proofErr w:type="spellEnd"/>
      <w:r>
        <w:rPr>
          <w:rFonts w:eastAsia="Palatino Linotype"/>
          <w:sz w:val="22"/>
          <w:szCs w:val="22"/>
          <w:lang w:val="es-ES"/>
        </w:rPr>
        <w:t xml:space="preserve"> </w:t>
      </w:r>
      <w:proofErr w:type="spellStart"/>
      <w:r>
        <w:rPr>
          <w:rFonts w:eastAsia="Palatino Linotype"/>
          <w:sz w:val="22"/>
          <w:szCs w:val="22"/>
          <w:lang w:val="es-ES"/>
        </w:rPr>
        <w:t>Contracts</w:t>
      </w:r>
      <w:proofErr w:type="spellEnd"/>
      <w:r>
        <w:rPr>
          <w:rFonts w:eastAsia="Palatino Linotype"/>
          <w:sz w:val="22"/>
          <w:szCs w:val="22"/>
          <w:lang w:val="es-ES"/>
        </w:rPr>
        <w:t xml:space="preserve">, in </w:t>
      </w:r>
      <w:proofErr w:type="spellStart"/>
      <w:r>
        <w:rPr>
          <w:rFonts w:eastAsia="Palatino Linotype"/>
          <w:sz w:val="22"/>
          <w:szCs w:val="22"/>
          <w:lang w:val="es-ES"/>
        </w:rPr>
        <w:t>the</w:t>
      </w:r>
      <w:proofErr w:type="spellEnd"/>
      <w:r>
        <w:rPr>
          <w:rFonts w:eastAsia="Palatino Linotype"/>
          <w:sz w:val="22"/>
          <w:szCs w:val="22"/>
          <w:lang w:val="es-ES"/>
        </w:rPr>
        <w:t xml:space="preserve"> cases </w:t>
      </w:r>
      <w:proofErr w:type="spellStart"/>
      <w:r>
        <w:rPr>
          <w:rFonts w:eastAsia="Palatino Linotype"/>
          <w:sz w:val="22"/>
          <w:szCs w:val="22"/>
          <w:lang w:val="es-ES"/>
        </w:rPr>
        <w:t>of</w:t>
      </w:r>
      <w:proofErr w:type="spellEnd"/>
      <w:r>
        <w:rPr>
          <w:rFonts w:eastAsia="Palatino Linotype"/>
          <w:sz w:val="22"/>
          <w:szCs w:val="22"/>
          <w:lang w:val="es-ES"/>
        </w:rPr>
        <w:t xml:space="preserve"> </w:t>
      </w:r>
      <w:proofErr w:type="spellStart"/>
      <w:r>
        <w:rPr>
          <w:rFonts w:eastAsia="Palatino Linotype"/>
          <w:sz w:val="22"/>
          <w:szCs w:val="22"/>
          <w:lang w:val="es-ES"/>
        </w:rPr>
        <w:t>contracts</w:t>
      </w:r>
      <w:proofErr w:type="spellEnd"/>
      <w:r>
        <w:rPr>
          <w:rFonts w:eastAsia="Palatino Linotype"/>
          <w:sz w:val="22"/>
          <w:szCs w:val="22"/>
          <w:lang w:val="es-ES"/>
        </w:rPr>
        <w:t xml:space="preserve"> </w:t>
      </w:r>
      <w:proofErr w:type="spellStart"/>
      <w:r>
        <w:rPr>
          <w:rFonts w:eastAsia="Palatino Linotype"/>
          <w:sz w:val="22"/>
          <w:szCs w:val="22"/>
          <w:lang w:val="es-ES"/>
        </w:rPr>
        <w:t>whose</w:t>
      </w:r>
      <w:proofErr w:type="spellEnd"/>
      <w:r>
        <w:rPr>
          <w:rFonts w:eastAsia="Palatino Linotype"/>
          <w:sz w:val="22"/>
          <w:szCs w:val="22"/>
          <w:lang w:val="es-ES"/>
        </w:rPr>
        <w:t xml:space="preserve"> </w:t>
      </w:r>
      <w:proofErr w:type="spellStart"/>
      <w:r>
        <w:rPr>
          <w:rFonts w:eastAsia="Palatino Linotype"/>
          <w:sz w:val="22"/>
          <w:szCs w:val="22"/>
          <w:lang w:val="es-ES"/>
        </w:rPr>
        <w:t>amounts</w:t>
      </w:r>
      <w:proofErr w:type="spellEnd"/>
      <w:r>
        <w:rPr>
          <w:rFonts w:eastAsia="Palatino Linotype"/>
          <w:sz w:val="22"/>
          <w:szCs w:val="22"/>
          <w:lang w:val="es-ES"/>
        </w:rPr>
        <w:t xml:space="preserve"> </w:t>
      </w:r>
      <w:proofErr w:type="spellStart"/>
      <w:r>
        <w:rPr>
          <w:rFonts w:eastAsia="Palatino Linotype"/>
          <w:sz w:val="22"/>
          <w:szCs w:val="22"/>
          <w:lang w:val="es-ES"/>
        </w:rPr>
        <w:t>exceed</w:t>
      </w:r>
      <w:proofErr w:type="spellEnd"/>
      <w:r>
        <w:rPr>
          <w:rFonts w:eastAsia="Palatino Linotype"/>
          <w:sz w:val="22"/>
          <w:szCs w:val="22"/>
          <w:lang w:val="es-ES"/>
        </w:rPr>
        <w:t xml:space="preserve"> </w:t>
      </w:r>
      <w:proofErr w:type="spellStart"/>
      <w:r>
        <w:rPr>
          <w:rFonts w:eastAsia="Palatino Linotype"/>
          <w:sz w:val="22"/>
          <w:szCs w:val="22"/>
          <w:lang w:val="es-ES"/>
        </w:rPr>
        <w:t>the</w:t>
      </w:r>
      <w:proofErr w:type="spellEnd"/>
      <w:r>
        <w:rPr>
          <w:rFonts w:eastAsia="Palatino Linotype"/>
          <w:sz w:val="22"/>
          <w:szCs w:val="22"/>
          <w:lang w:val="es-ES"/>
        </w:rPr>
        <w:t xml:space="preserve"> </w:t>
      </w:r>
      <w:proofErr w:type="spellStart"/>
      <w:r>
        <w:rPr>
          <w:rFonts w:eastAsia="Palatino Linotype"/>
          <w:sz w:val="22"/>
          <w:szCs w:val="22"/>
          <w:lang w:val="es-ES"/>
        </w:rPr>
        <w:t>limit</w:t>
      </w:r>
      <w:proofErr w:type="spellEnd"/>
      <w:r>
        <w:rPr>
          <w:rFonts w:eastAsia="Palatino Linotype"/>
          <w:sz w:val="22"/>
          <w:szCs w:val="22"/>
          <w:lang w:val="es-ES"/>
        </w:rPr>
        <w:t xml:space="preserve"> </w:t>
      </w:r>
      <w:proofErr w:type="spellStart"/>
      <w:r>
        <w:rPr>
          <w:rFonts w:eastAsia="Palatino Linotype"/>
          <w:sz w:val="22"/>
          <w:szCs w:val="22"/>
          <w:lang w:val="es-ES"/>
        </w:rPr>
        <w:t>established</w:t>
      </w:r>
      <w:proofErr w:type="spellEnd"/>
      <w:r>
        <w:rPr>
          <w:rFonts w:eastAsia="Palatino Linotype"/>
          <w:sz w:val="22"/>
          <w:szCs w:val="22"/>
          <w:lang w:val="es-ES"/>
        </w:rPr>
        <w:t xml:space="preserve"> in </w:t>
      </w:r>
      <w:proofErr w:type="spellStart"/>
      <w:r>
        <w:rPr>
          <w:rFonts w:eastAsia="Palatino Linotype"/>
          <w:sz w:val="22"/>
          <w:szCs w:val="22"/>
          <w:lang w:val="es-ES"/>
        </w:rPr>
        <w:t>Article</w:t>
      </w:r>
      <w:proofErr w:type="spellEnd"/>
      <w:r>
        <w:rPr>
          <w:rFonts w:eastAsia="Palatino Linotype"/>
          <w:sz w:val="22"/>
          <w:szCs w:val="22"/>
          <w:lang w:val="es-ES"/>
        </w:rPr>
        <w:t xml:space="preserve"> 47 </w:t>
      </w:r>
      <w:proofErr w:type="spellStart"/>
      <w:r>
        <w:rPr>
          <w:rFonts w:eastAsia="Palatino Linotype"/>
          <w:sz w:val="22"/>
          <w:szCs w:val="22"/>
          <w:lang w:val="es-ES"/>
        </w:rPr>
        <w:t>of</w:t>
      </w:r>
      <w:proofErr w:type="spellEnd"/>
      <w:r>
        <w:rPr>
          <w:rFonts w:eastAsia="Palatino Linotype"/>
          <w:sz w:val="22"/>
          <w:szCs w:val="22"/>
          <w:lang w:val="es-ES"/>
        </w:rPr>
        <w:t xml:space="preserve"> </w:t>
      </w:r>
      <w:proofErr w:type="spellStart"/>
      <w:r>
        <w:rPr>
          <w:rFonts w:eastAsia="Palatino Linotype"/>
          <w:sz w:val="22"/>
          <w:szCs w:val="22"/>
          <w:lang w:val="es-ES"/>
        </w:rPr>
        <w:t>the</w:t>
      </w:r>
      <w:proofErr w:type="spellEnd"/>
      <w:r>
        <w:rPr>
          <w:rFonts w:eastAsia="Palatino Linotype"/>
          <w:sz w:val="22"/>
          <w:szCs w:val="22"/>
          <w:lang w:val="es-ES"/>
        </w:rPr>
        <w:t xml:space="preserve"> TOCAF, </w:t>
      </w:r>
      <w:proofErr w:type="spellStart"/>
      <w:r>
        <w:rPr>
          <w:rFonts w:eastAsia="Palatino Linotype"/>
          <w:sz w:val="22"/>
          <w:szCs w:val="22"/>
          <w:lang w:val="es-ES"/>
        </w:rPr>
        <w:t>except</w:t>
      </w:r>
      <w:proofErr w:type="spellEnd"/>
      <w:r>
        <w:rPr>
          <w:rFonts w:eastAsia="Palatino Linotype"/>
          <w:sz w:val="22"/>
          <w:szCs w:val="22"/>
          <w:lang w:val="es-ES"/>
        </w:rPr>
        <w:t xml:space="preserve"> </w:t>
      </w:r>
      <w:proofErr w:type="spellStart"/>
      <w:r>
        <w:rPr>
          <w:rFonts w:eastAsia="Palatino Linotype"/>
          <w:sz w:val="22"/>
          <w:szCs w:val="22"/>
          <w:lang w:val="es-ES"/>
        </w:rPr>
        <w:t>for</w:t>
      </w:r>
      <w:proofErr w:type="spellEnd"/>
      <w:r>
        <w:rPr>
          <w:rFonts w:eastAsia="Palatino Linotype"/>
          <w:sz w:val="22"/>
          <w:szCs w:val="22"/>
          <w:lang w:val="es-ES"/>
        </w:rPr>
        <w:t xml:space="preserve"> </w:t>
      </w:r>
      <w:proofErr w:type="spellStart"/>
      <w:r>
        <w:rPr>
          <w:rFonts w:eastAsia="Palatino Linotype"/>
          <w:sz w:val="22"/>
          <w:szCs w:val="22"/>
          <w:lang w:val="es-ES"/>
        </w:rPr>
        <w:t>procedures</w:t>
      </w:r>
      <w:proofErr w:type="spellEnd"/>
      <w:r>
        <w:rPr>
          <w:rFonts w:eastAsia="Palatino Linotype"/>
          <w:sz w:val="22"/>
          <w:szCs w:val="22"/>
          <w:lang w:val="es-ES"/>
        </w:rPr>
        <w:t xml:space="preserve"> </w:t>
      </w:r>
      <w:proofErr w:type="spellStart"/>
      <w:r>
        <w:rPr>
          <w:rFonts w:eastAsia="Palatino Linotype"/>
          <w:sz w:val="22"/>
          <w:szCs w:val="22"/>
          <w:lang w:val="es-ES"/>
        </w:rPr>
        <w:t>that</w:t>
      </w:r>
      <w:proofErr w:type="spellEnd"/>
      <w:r>
        <w:rPr>
          <w:rFonts w:eastAsia="Palatino Linotype"/>
          <w:sz w:val="22"/>
          <w:szCs w:val="22"/>
          <w:lang w:val="es-ES"/>
        </w:rPr>
        <w:t xml:space="preserve"> </w:t>
      </w:r>
      <w:proofErr w:type="spellStart"/>
      <w:r>
        <w:rPr>
          <w:rFonts w:eastAsia="Palatino Linotype"/>
          <w:sz w:val="22"/>
          <w:szCs w:val="22"/>
          <w:lang w:val="es-ES"/>
        </w:rPr>
        <w:t>require</w:t>
      </w:r>
      <w:proofErr w:type="spellEnd"/>
      <w:r>
        <w:rPr>
          <w:rFonts w:eastAsia="Palatino Linotype"/>
          <w:sz w:val="22"/>
          <w:szCs w:val="22"/>
          <w:lang w:val="es-ES"/>
        </w:rPr>
        <w:t xml:space="preserve"> </w:t>
      </w:r>
      <w:proofErr w:type="spellStart"/>
      <w:r>
        <w:rPr>
          <w:rFonts w:eastAsia="Palatino Linotype"/>
          <w:sz w:val="22"/>
          <w:szCs w:val="22"/>
          <w:lang w:val="es-ES"/>
        </w:rPr>
        <w:t>special</w:t>
      </w:r>
      <w:proofErr w:type="spellEnd"/>
      <w:r>
        <w:rPr>
          <w:rFonts w:eastAsia="Palatino Linotype"/>
          <w:sz w:val="22"/>
          <w:szCs w:val="22"/>
          <w:lang w:val="es-ES"/>
        </w:rPr>
        <w:t xml:space="preserve"> </w:t>
      </w:r>
      <w:proofErr w:type="spellStart"/>
      <w:r>
        <w:rPr>
          <w:rFonts w:eastAsia="Palatino Linotype"/>
          <w:sz w:val="22"/>
          <w:szCs w:val="22"/>
          <w:lang w:val="es-ES"/>
        </w:rPr>
        <w:t>regulation</w:t>
      </w:r>
      <w:proofErr w:type="spellEnd"/>
      <w:r>
        <w:rPr>
          <w:rFonts w:eastAsia="Palatino Linotype"/>
          <w:sz w:val="22"/>
          <w:szCs w:val="22"/>
          <w:lang w:val="es-ES"/>
        </w:rPr>
        <w:t>.</w:t>
      </w:r>
    </w:p>
    <w:p w14:paraId="730C38B9" w14:textId="77777777" w:rsidR="00E255F4" w:rsidRDefault="00E255F4">
      <w:pPr>
        <w:ind w:right="-142"/>
        <w:jc w:val="both"/>
        <w:rPr>
          <w:rFonts w:eastAsia="Palatino Linotype"/>
          <w:spacing w:val="-1"/>
          <w:sz w:val="22"/>
          <w:szCs w:val="22"/>
          <w:lang w:val="es-ES"/>
        </w:rPr>
      </w:pPr>
    </w:p>
    <w:p w14:paraId="36E9002D" w14:textId="77777777" w:rsidR="00E255F4" w:rsidRDefault="00000000">
      <w:pPr>
        <w:ind w:right="-142"/>
        <w:jc w:val="both"/>
        <w:outlineLvl w:val="0"/>
        <w:rPr>
          <w:rFonts w:eastAsia="Palatino Linotype"/>
          <w:b/>
          <w:spacing w:val="-1"/>
          <w:sz w:val="22"/>
          <w:szCs w:val="22"/>
          <w:lang w:val="es-ES"/>
        </w:rPr>
      </w:pPr>
      <w:bookmarkStart w:id="5" w:name="__RefHeading___Toc225377182"/>
      <w:bookmarkEnd w:id="5"/>
      <w:r>
        <w:rPr>
          <w:rFonts w:eastAsia="Palatino Linotype"/>
          <w:b/>
          <w:spacing w:val="-1"/>
          <w:sz w:val="22"/>
          <w:szCs w:val="22"/>
          <w:lang w:val="es-ES"/>
        </w:rPr>
        <w:t xml:space="preserve">1.2 </w:t>
      </w:r>
      <w:proofErr w:type="spellStart"/>
      <w:r>
        <w:rPr>
          <w:rFonts w:eastAsia="Palatino Linotype"/>
          <w:b/>
          <w:spacing w:val="-1"/>
          <w:sz w:val="22"/>
          <w:szCs w:val="22"/>
          <w:lang w:val="es-ES"/>
        </w:rPr>
        <w:t>Hierarchy</w:t>
      </w:r>
      <w:proofErr w:type="spellEnd"/>
      <w:r>
        <w:rPr>
          <w:rFonts w:eastAsia="Palatino Linotype"/>
          <w:b/>
          <w:spacing w:val="-1"/>
          <w:sz w:val="22"/>
          <w:szCs w:val="22"/>
          <w:lang w:val="es-ES"/>
        </w:rPr>
        <w:t xml:space="preserve"> </w:t>
      </w:r>
      <w:proofErr w:type="spellStart"/>
      <w:r>
        <w:rPr>
          <w:rFonts w:eastAsia="Palatino Linotype"/>
          <w:b/>
          <w:spacing w:val="-1"/>
          <w:sz w:val="22"/>
          <w:szCs w:val="22"/>
          <w:lang w:val="es-ES"/>
        </w:rPr>
        <w:t>of</w:t>
      </w:r>
      <w:proofErr w:type="spellEnd"/>
      <w:r>
        <w:rPr>
          <w:rFonts w:eastAsia="Palatino Linotype"/>
          <w:b/>
          <w:spacing w:val="-1"/>
          <w:sz w:val="22"/>
          <w:szCs w:val="22"/>
          <w:lang w:val="es-ES"/>
        </w:rPr>
        <w:t xml:space="preserve"> </w:t>
      </w:r>
      <w:proofErr w:type="spellStart"/>
      <w:r>
        <w:rPr>
          <w:rFonts w:eastAsia="Palatino Linotype"/>
          <w:b/>
          <w:spacing w:val="-1"/>
          <w:sz w:val="22"/>
          <w:szCs w:val="22"/>
          <w:lang w:val="es-ES"/>
        </w:rPr>
        <w:t>Norms</w:t>
      </w:r>
      <w:proofErr w:type="spellEnd"/>
      <w:r>
        <w:rPr>
          <w:rFonts w:eastAsia="Palatino Linotype"/>
          <w:b/>
          <w:spacing w:val="-1"/>
          <w:sz w:val="22"/>
          <w:szCs w:val="22"/>
          <w:lang w:val="es-ES"/>
        </w:rPr>
        <w:tab/>
      </w:r>
    </w:p>
    <w:p w14:paraId="23B898A3" w14:textId="77777777" w:rsidR="00E255F4" w:rsidRDefault="00E255F4">
      <w:pPr>
        <w:rPr>
          <w:rFonts w:eastAsia="Palatino Linotype"/>
          <w:b/>
          <w:spacing w:val="-1"/>
          <w:sz w:val="22"/>
          <w:szCs w:val="22"/>
          <w:lang w:val="es-ES"/>
        </w:rPr>
      </w:pPr>
    </w:p>
    <w:p w14:paraId="7BC47A54" w14:textId="77777777" w:rsidR="00E255F4" w:rsidRDefault="00000000">
      <w:pPr>
        <w:ind w:right="-142"/>
        <w:jc w:val="both"/>
      </w:pPr>
      <w:proofErr w:type="spellStart"/>
      <w:r>
        <w:rPr>
          <w:rFonts w:eastAsia="Palatino Linotype"/>
          <w:spacing w:val="-1"/>
          <w:sz w:val="22"/>
          <w:szCs w:val="22"/>
          <w:lang w:val="es-ES"/>
        </w:rPr>
        <w:t>AND</w:t>
      </w:r>
      <w:r>
        <w:rPr>
          <w:rFonts w:eastAsia="Palatino Linotype"/>
          <w:sz w:val="22"/>
          <w:szCs w:val="22"/>
          <w:lang w:val="es-ES"/>
        </w:rPr>
        <w:t>The</w:t>
      </w:r>
      <w:proofErr w:type="spellEnd"/>
      <w:r>
        <w:rPr>
          <w:rFonts w:eastAsia="Palatino Linotype"/>
          <w:sz w:val="22"/>
          <w:szCs w:val="22"/>
          <w:lang w:val="es-ES"/>
        </w:rPr>
        <w:t xml:space="preserve"> </w:t>
      </w:r>
      <w:proofErr w:type="spellStart"/>
      <w:r>
        <w:rPr>
          <w:rFonts w:eastAsia="Palatino Linotype"/>
          <w:sz w:val="22"/>
          <w:szCs w:val="22"/>
          <w:lang w:val="es-ES"/>
        </w:rPr>
        <w:t>Terms</w:t>
      </w:r>
      <w:proofErr w:type="spellEnd"/>
      <w:r>
        <w:rPr>
          <w:rFonts w:eastAsia="Palatino Linotype"/>
          <w:sz w:val="22"/>
          <w:szCs w:val="22"/>
          <w:lang w:val="es-ES"/>
        </w:rPr>
        <w:t xml:space="preserve"> and </w:t>
      </w:r>
      <w:proofErr w:type="spellStart"/>
      <w:r>
        <w:rPr>
          <w:rFonts w:eastAsia="Palatino Linotype"/>
          <w:sz w:val="22"/>
          <w:szCs w:val="22"/>
          <w:lang w:val="es-ES"/>
        </w:rPr>
        <w:t>Conditions</w:t>
      </w:r>
      <w:proofErr w:type="spellEnd"/>
      <w:r>
        <w:rPr>
          <w:rFonts w:eastAsia="Palatino Linotype"/>
          <w:sz w:val="22"/>
          <w:szCs w:val="22"/>
          <w:lang w:val="es-ES"/>
        </w:rPr>
        <w:t xml:space="preserve"> </w:t>
      </w:r>
      <w:proofErr w:type="spellStart"/>
      <w:r>
        <w:rPr>
          <w:rFonts w:eastAsia="Palatino Linotype"/>
          <w:sz w:val="22"/>
          <w:szCs w:val="22"/>
          <w:lang w:val="es-ES"/>
        </w:rPr>
        <w:t>document</w:t>
      </w:r>
      <w:proofErr w:type="spellEnd"/>
      <w:r>
        <w:rPr>
          <w:rFonts w:eastAsia="Palatino Linotype"/>
          <w:sz w:val="22"/>
          <w:szCs w:val="22"/>
          <w:lang w:val="es-ES"/>
        </w:rPr>
        <w:t xml:space="preserve"> (</w:t>
      </w:r>
      <w:proofErr w:type="spellStart"/>
      <w:r>
        <w:rPr>
          <w:rFonts w:eastAsia="Palatino Linotype"/>
          <w:sz w:val="22"/>
          <w:szCs w:val="22"/>
          <w:lang w:val="es-ES"/>
        </w:rPr>
        <w:t>hereinafter</w:t>
      </w:r>
      <w:proofErr w:type="spellEnd"/>
      <w:r>
        <w:rPr>
          <w:rFonts w:eastAsia="Palatino Linotype"/>
          <w:sz w:val="22"/>
          <w:szCs w:val="22"/>
          <w:lang w:val="es-ES"/>
        </w:rPr>
        <w:t xml:space="preserve">, </w:t>
      </w:r>
      <w:proofErr w:type="spellStart"/>
      <w:r>
        <w:rPr>
          <w:rFonts w:eastAsia="Palatino Linotype"/>
          <w:sz w:val="22"/>
          <w:szCs w:val="22"/>
          <w:lang w:val="es-ES"/>
        </w:rPr>
        <w:t>the</w:t>
      </w:r>
      <w:proofErr w:type="spellEnd"/>
      <w:r>
        <w:rPr>
          <w:rFonts w:eastAsia="Palatino Linotype"/>
          <w:sz w:val="22"/>
          <w:szCs w:val="22"/>
          <w:lang w:val="es-ES"/>
        </w:rPr>
        <w:t xml:space="preserve"> Special </w:t>
      </w:r>
      <w:proofErr w:type="spellStart"/>
      <w:r>
        <w:rPr>
          <w:rFonts w:eastAsia="Palatino Linotype"/>
          <w:sz w:val="22"/>
          <w:szCs w:val="22"/>
          <w:lang w:val="es-ES"/>
        </w:rPr>
        <w:t>Terms</w:t>
      </w:r>
      <w:proofErr w:type="spellEnd"/>
      <w:r>
        <w:rPr>
          <w:rFonts w:eastAsia="Palatino Linotype"/>
          <w:sz w:val="22"/>
          <w:szCs w:val="22"/>
          <w:lang w:val="es-ES"/>
        </w:rPr>
        <w:t xml:space="preserve"> and </w:t>
      </w:r>
      <w:proofErr w:type="spellStart"/>
      <w:r>
        <w:rPr>
          <w:rFonts w:eastAsia="Palatino Linotype"/>
          <w:sz w:val="22"/>
          <w:szCs w:val="22"/>
          <w:lang w:val="es-ES"/>
        </w:rPr>
        <w:t>Conditions</w:t>
      </w:r>
      <w:proofErr w:type="spellEnd"/>
      <w:r>
        <w:rPr>
          <w:rFonts w:eastAsia="Palatino Linotype"/>
          <w:sz w:val="22"/>
          <w:szCs w:val="22"/>
          <w:lang w:val="es-ES"/>
        </w:rPr>
        <w:t xml:space="preserve">) </w:t>
      </w:r>
      <w:proofErr w:type="spellStart"/>
      <w:r>
        <w:rPr>
          <w:rFonts w:eastAsia="Palatino Linotype"/>
          <w:sz w:val="22"/>
          <w:szCs w:val="22"/>
          <w:lang w:val="es-ES"/>
        </w:rPr>
        <w:t>may</w:t>
      </w:r>
      <w:proofErr w:type="spellEnd"/>
      <w:r>
        <w:rPr>
          <w:rFonts w:eastAsia="Palatino Linotype"/>
          <w:sz w:val="22"/>
          <w:szCs w:val="22"/>
          <w:lang w:val="es-ES"/>
        </w:rPr>
        <w:t xml:space="preserve"> </w:t>
      </w:r>
      <w:proofErr w:type="spellStart"/>
      <w:r>
        <w:rPr>
          <w:rFonts w:eastAsia="Palatino Linotype"/>
          <w:sz w:val="22"/>
          <w:szCs w:val="22"/>
          <w:lang w:val="es-ES"/>
        </w:rPr>
        <w:t>only</w:t>
      </w:r>
      <w:proofErr w:type="spellEnd"/>
      <w:r>
        <w:rPr>
          <w:rFonts w:eastAsia="Palatino Linotype"/>
          <w:sz w:val="22"/>
          <w:szCs w:val="22"/>
          <w:lang w:val="es-ES"/>
        </w:rPr>
        <w:t xml:space="preserve"> </w:t>
      </w:r>
      <w:proofErr w:type="spellStart"/>
      <w:r>
        <w:rPr>
          <w:rFonts w:eastAsia="Palatino Linotype"/>
          <w:sz w:val="22"/>
          <w:szCs w:val="22"/>
          <w:lang w:val="es-ES"/>
        </w:rPr>
        <w:t>modify</w:t>
      </w:r>
      <w:proofErr w:type="spellEnd"/>
      <w:r>
        <w:rPr>
          <w:rFonts w:eastAsia="Palatino Linotype"/>
          <w:sz w:val="22"/>
          <w:szCs w:val="22"/>
          <w:lang w:val="es-ES"/>
        </w:rPr>
        <w:t xml:space="preserve"> </w:t>
      </w:r>
      <w:proofErr w:type="spellStart"/>
      <w:r>
        <w:rPr>
          <w:rFonts w:eastAsia="Palatino Linotype"/>
          <w:sz w:val="22"/>
          <w:szCs w:val="22"/>
          <w:lang w:val="es-ES"/>
        </w:rPr>
        <w:t>the</w:t>
      </w:r>
      <w:proofErr w:type="spellEnd"/>
      <w:r>
        <w:rPr>
          <w:rFonts w:eastAsia="Palatino Linotype"/>
          <w:sz w:val="22"/>
          <w:szCs w:val="22"/>
          <w:lang w:val="es-ES"/>
        </w:rPr>
        <w:t xml:space="preserve"> </w:t>
      </w:r>
      <w:proofErr w:type="spellStart"/>
      <w:r>
        <w:rPr>
          <w:rFonts w:eastAsia="Palatino Linotype"/>
          <w:sz w:val="22"/>
          <w:szCs w:val="22"/>
          <w:lang w:val="es-ES"/>
        </w:rPr>
        <w:t>provisions</w:t>
      </w:r>
      <w:proofErr w:type="spellEnd"/>
      <w:r>
        <w:rPr>
          <w:rFonts w:eastAsia="Palatino Linotype"/>
          <w:sz w:val="22"/>
          <w:szCs w:val="22"/>
          <w:lang w:val="es-ES"/>
        </w:rPr>
        <w:t xml:space="preserve"> </w:t>
      </w:r>
      <w:proofErr w:type="spellStart"/>
      <w:r>
        <w:rPr>
          <w:rFonts w:eastAsia="Palatino Linotype"/>
          <w:sz w:val="22"/>
          <w:szCs w:val="22"/>
          <w:lang w:val="es-ES"/>
        </w:rPr>
        <w:t>of</w:t>
      </w:r>
      <w:proofErr w:type="spellEnd"/>
      <w:r>
        <w:rPr>
          <w:rFonts w:eastAsia="Palatino Linotype"/>
          <w:sz w:val="22"/>
          <w:szCs w:val="22"/>
          <w:lang w:val="es-ES"/>
        </w:rPr>
        <w:t xml:space="preserve"> </w:t>
      </w:r>
      <w:proofErr w:type="spellStart"/>
      <w:r>
        <w:rPr>
          <w:rFonts w:eastAsia="Palatino Linotype"/>
          <w:sz w:val="22"/>
          <w:szCs w:val="22"/>
          <w:lang w:val="es-ES"/>
        </w:rPr>
        <w:t>this</w:t>
      </w:r>
      <w:proofErr w:type="spellEnd"/>
      <w:r>
        <w:rPr>
          <w:rFonts w:eastAsia="Palatino Linotype"/>
          <w:sz w:val="22"/>
          <w:szCs w:val="22"/>
          <w:lang w:val="es-ES"/>
        </w:rPr>
        <w:t xml:space="preserve"> </w:t>
      </w:r>
      <w:proofErr w:type="spellStart"/>
      <w:r>
        <w:rPr>
          <w:rFonts w:eastAsia="Palatino Linotype"/>
          <w:sz w:val="22"/>
          <w:szCs w:val="22"/>
          <w:lang w:val="es-ES"/>
        </w:rPr>
        <w:t>document</w:t>
      </w:r>
      <w:proofErr w:type="spellEnd"/>
      <w:r>
        <w:rPr>
          <w:rFonts w:eastAsia="Palatino Linotype"/>
          <w:sz w:val="22"/>
          <w:szCs w:val="22"/>
          <w:lang w:val="es-ES"/>
        </w:rPr>
        <w:t xml:space="preserve"> </w:t>
      </w:r>
      <w:proofErr w:type="spellStart"/>
      <w:r>
        <w:rPr>
          <w:rFonts w:eastAsia="Palatino Linotype"/>
          <w:sz w:val="22"/>
          <w:szCs w:val="22"/>
          <w:lang w:val="es-ES"/>
        </w:rPr>
        <w:t>that</w:t>
      </w:r>
      <w:proofErr w:type="spellEnd"/>
      <w:r>
        <w:rPr>
          <w:rFonts w:eastAsia="Palatino Linotype"/>
          <w:sz w:val="22"/>
          <w:szCs w:val="22"/>
          <w:lang w:val="es-ES"/>
        </w:rPr>
        <w:t xml:space="preserve"> </w:t>
      </w:r>
      <w:proofErr w:type="spellStart"/>
      <w:r>
        <w:rPr>
          <w:rFonts w:eastAsia="Palatino Linotype"/>
          <w:sz w:val="22"/>
          <w:szCs w:val="22"/>
          <w:lang w:val="es-ES"/>
        </w:rPr>
        <w:t>it</w:t>
      </w:r>
      <w:proofErr w:type="spellEnd"/>
      <w:r>
        <w:rPr>
          <w:rFonts w:eastAsia="Palatino Linotype"/>
          <w:sz w:val="22"/>
          <w:szCs w:val="22"/>
          <w:lang w:val="es-ES"/>
        </w:rPr>
        <w:t xml:space="preserve"> </w:t>
      </w:r>
      <w:proofErr w:type="spellStart"/>
      <w:r>
        <w:rPr>
          <w:rFonts w:eastAsia="Palatino Linotype"/>
          <w:sz w:val="22"/>
          <w:szCs w:val="22"/>
          <w:lang w:val="es-ES"/>
        </w:rPr>
        <w:t>expressly</w:t>
      </w:r>
      <w:proofErr w:type="spellEnd"/>
      <w:r>
        <w:rPr>
          <w:rFonts w:eastAsia="Palatino Linotype"/>
          <w:sz w:val="22"/>
          <w:szCs w:val="22"/>
          <w:lang w:val="es-ES"/>
        </w:rPr>
        <w:t xml:space="preserve"> </w:t>
      </w:r>
      <w:proofErr w:type="spellStart"/>
      <w:r>
        <w:rPr>
          <w:rFonts w:eastAsia="Palatino Linotype"/>
          <w:sz w:val="22"/>
          <w:szCs w:val="22"/>
          <w:lang w:val="es-ES"/>
        </w:rPr>
        <w:t>authorizes</w:t>
      </w:r>
      <w:proofErr w:type="spellEnd"/>
      <w:r>
        <w:rPr>
          <w:rFonts w:eastAsia="Palatino Linotype"/>
          <w:sz w:val="22"/>
          <w:szCs w:val="22"/>
          <w:lang w:val="es-ES"/>
        </w:rPr>
        <w:t>.</w:t>
      </w:r>
    </w:p>
    <w:p w14:paraId="3B95F5E8" w14:textId="77777777" w:rsidR="00E255F4" w:rsidRDefault="00E255F4">
      <w:pPr>
        <w:ind w:right="-142"/>
        <w:jc w:val="both"/>
        <w:rPr>
          <w:rFonts w:eastAsia="Palatino Linotype"/>
          <w:spacing w:val="-1"/>
          <w:sz w:val="22"/>
          <w:szCs w:val="22"/>
          <w:lang w:val="es-ES"/>
        </w:rPr>
      </w:pPr>
    </w:p>
    <w:p w14:paraId="030795D5" w14:textId="77777777" w:rsidR="00E255F4" w:rsidRDefault="00000000">
      <w:pPr>
        <w:ind w:right="-142"/>
        <w:jc w:val="both"/>
        <w:outlineLvl w:val="0"/>
        <w:rPr>
          <w:rFonts w:eastAsia="Palatino Linotype"/>
          <w:b/>
          <w:spacing w:val="-1"/>
          <w:sz w:val="22"/>
          <w:szCs w:val="22"/>
          <w:lang w:val="es-ES"/>
        </w:rPr>
      </w:pPr>
      <w:bookmarkStart w:id="6" w:name="__RefHeading___Toc225377183"/>
      <w:bookmarkEnd w:id="6"/>
      <w:r>
        <w:rPr>
          <w:rFonts w:eastAsia="Palatino Linotype"/>
          <w:b/>
          <w:spacing w:val="-1"/>
          <w:sz w:val="22"/>
          <w:szCs w:val="22"/>
          <w:lang w:val="es-ES"/>
        </w:rPr>
        <w:t xml:space="preserve">1.3 </w:t>
      </w:r>
      <w:proofErr w:type="spellStart"/>
      <w:r>
        <w:rPr>
          <w:rFonts w:eastAsia="Palatino Linotype"/>
          <w:b/>
          <w:spacing w:val="-1"/>
          <w:sz w:val="22"/>
          <w:szCs w:val="22"/>
          <w:lang w:val="es-ES"/>
        </w:rPr>
        <w:t>Calculation</w:t>
      </w:r>
      <w:proofErr w:type="spellEnd"/>
      <w:r>
        <w:rPr>
          <w:rFonts w:eastAsia="Palatino Linotype"/>
          <w:b/>
          <w:spacing w:val="-1"/>
          <w:sz w:val="22"/>
          <w:szCs w:val="22"/>
          <w:lang w:val="es-ES"/>
        </w:rPr>
        <w:t xml:space="preserve"> </w:t>
      </w:r>
      <w:proofErr w:type="spellStart"/>
      <w:r>
        <w:rPr>
          <w:rFonts w:eastAsia="Palatino Linotype"/>
          <w:b/>
          <w:spacing w:val="-1"/>
          <w:sz w:val="22"/>
          <w:szCs w:val="22"/>
          <w:lang w:val="es-ES"/>
        </w:rPr>
        <w:t>of</w:t>
      </w:r>
      <w:proofErr w:type="spellEnd"/>
      <w:r>
        <w:rPr>
          <w:rFonts w:eastAsia="Palatino Linotype"/>
          <w:b/>
          <w:spacing w:val="-1"/>
          <w:sz w:val="22"/>
          <w:szCs w:val="22"/>
          <w:lang w:val="es-ES"/>
        </w:rPr>
        <w:t xml:space="preserve"> Time </w:t>
      </w:r>
      <w:proofErr w:type="spellStart"/>
      <w:r>
        <w:rPr>
          <w:rFonts w:eastAsia="Palatino Linotype"/>
          <w:b/>
          <w:spacing w:val="-1"/>
          <w:sz w:val="22"/>
          <w:szCs w:val="22"/>
          <w:lang w:val="es-ES"/>
        </w:rPr>
        <w:t>Limits</w:t>
      </w:r>
      <w:proofErr w:type="spellEnd"/>
      <w:r>
        <w:rPr>
          <w:rFonts w:eastAsia="Palatino Linotype"/>
          <w:b/>
          <w:spacing w:val="-1"/>
          <w:sz w:val="22"/>
          <w:szCs w:val="22"/>
          <w:lang w:val="es-ES"/>
        </w:rPr>
        <w:tab/>
      </w:r>
    </w:p>
    <w:p w14:paraId="550BC9F8" w14:textId="77777777" w:rsidR="00E255F4" w:rsidRDefault="00E255F4">
      <w:pPr>
        <w:rPr>
          <w:rFonts w:eastAsia="Palatino Linotype"/>
          <w:b/>
          <w:spacing w:val="-1"/>
          <w:sz w:val="22"/>
          <w:szCs w:val="22"/>
          <w:lang w:val="es-ES"/>
        </w:rPr>
      </w:pPr>
    </w:p>
    <w:p w14:paraId="405014C6" w14:textId="77777777" w:rsidR="00E255F4" w:rsidRDefault="00000000">
      <w:pPr>
        <w:ind w:right="-142"/>
        <w:jc w:val="both"/>
      </w:pPr>
      <w:proofErr w:type="spellStart"/>
      <w:r>
        <w:rPr>
          <w:rFonts w:eastAsia="Palatino Linotype"/>
          <w:spacing w:val="-1"/>
          <w:sz w:val="22"/>
          <w:szCs w:val="22"/>
          <w:lang w:val="es-ES"/>
        </w:rPr>
        <w:t>It</w:t>
      </w:r>
      <w:r>
        <w:rPr>
          <w:rFonts w:eastAsia="Palatino Linotype"/>
          <w:sz w:val="22"/>
          <w:szCs w:val="22"/>
          <w:lang w:val="es-ES"/>
        </w:rPr>
        <w:t>The</w:t>
      </w:r>
      <w:proofErr w:type="spellEnd"/>
      <w:r>
        <w:rPr>
          <w:rFonts w:eastAsia="Palatino Linotype"/>
          <w:sz w:val="22"/>
          <w:szCs w:val="22"/>
          <w:lang w:val="es-ES"/>
        </w:rPr>
        <w:t xml:space="preserve"> </w:t>
      </w:r>
      <w:proofErr w:type="spellStart"/>
      <w:r>
        <w:rPr>
          <w:rFonts w:eastAsia="Palatino Linotype"/>
          <w:sz w:val="22"/>
          <w:szCs w:val="22"/>
          <w:lang w:val="es-ES"/>
        </w:rPr>
        <w:t>terms</w:t>
      </w:r>
      <w:proofErr w:type="spellEnd"/>
      <w:r>
        <w:rPr>
          <w:rFonts w:eastAsia="Palatino Linotype"/>
          <w:sz w:val="22"/>
          <w:szCs w:val="22"/>
          <w:lang w:val="es-ES"/>
        </w:rPr>
        <w:t xml:space="preserve"> set </w:t>
      </w:r>
      <w:proofErr w:type="spellStart"/>
      <w:r>
        <w:rPr>
          <w:rFonts w:eastAsia="Palatino Linotype"/>
          <w:sz w:val="22"/>
          <w:szCs w:val="22"/>
          <w:lang w:val="es-ES"/>
        </w:rPr>
        <w:t>out</w:t>
      </w:r>
      <w:proofErr w:type="spellEnd"/>
      <w:r>
        <w:rPr>
          <w:rFonts w:eastAsia="Palatino Linotype"/>
          <w:sz w:val="22"/>
          <w:szCs w:val="22"/>
          <w:lang w:val="es-ES"/>
        </w:rPr>
        <w:t xml:space="preserve"> in </w:t>
      </w:r>
      <w:proofErr w:type="spellStart"/>
      <w:r>
        <w:rPr>
          <w:rFonts w:eastAsia="Palatino Linotype"/>
          <w:sz w:val="22"/>
          <w:szCs w:val="22"/>
          <w:lang w:val="es-ES"/>
        </w:rPr>
        <w:t>this</w:t>
      </w:r>
      <w:proofErr w:type="spellEnd"/>
      <w:r>
        <w:rPr>
          <w:rFonts w:eastAsia="Palatino Linotype"/>
          <w:sz w:val="22"/>
          <w:szCs w:val="22"/>
          <w:lang w:val="es-ES"/>
        </w:rPr>
        <w:t xml:space="preserve"> </w:t>
      </w:r>
      <w:proofErr w:type="spellStart"/>
      <w:r>
        <w:rPr>
          <w:rFonts w:eastAsia="Palatino Linotype"/>
          <w:sz w:val="22"/>
          <w:szCs w:val="22"/>
          <w:lang w:val="es-ES"/>
        </w:rPr>
        <w:t>regulation</w:t>
      </w:r>
      <w:proofErr w:type="spellEnd"/>
      <w:r>
        <w:rPr>
          <w:rFonts w:eastAsia="Palatino Linotype"/>
          <w:sz w:val="22"/>
          <w:szCs w:val="22"/>
          <w:lang w:val="es-ES"/>
        </w:rPr>
        <w:t xml:space="preserve"> </w:t>
      </w:r>
      <w:proofErr w:type="spellStart"/>
      <w:r>
        <w:rPr>
          <w:rFonts w:eastAsia="Palatino Linotype"/>
          <w:sz w:val="22"/>
          <w:szCs w:val="22"/>
          <w:lang w:val="es-ES"/>
        </w:rPr>
        <w:t>will</w:t>
      </w:r>
      <w:proofErr w:type="spellEnd"/>
      <w:r>
        <w:rPr>
          <w:rFonts w:eastAsia="Palatino Linotype"/>
          <w:sz w:val="22"/>
          <w:szCs w:val="22"/>
          <w:lang w:val="es-ES"/>
        </w:rPr>
        <w:t xml:space="preserve"> be </w:t>
      </w:r>
      <w:proofErr w:type="spellStart"/>
      <w:r>
        <w:rPr>
          <w:rFonts w:eastAsia="Palatino Linotype"/>
          <w:sz w:val="22"/>
          <w:szCs w:val="22"/>
          <w:lang w:val="es-ES"/>
        </w:rPr>
        <w:t>calculated</w:t>
      </w:r>
      <w:proofErr w:type="spellEnd"/>
      <w:r>
        <w:rPr>
          <w:rFonts w:eastAsia="Palatino Linotype"/>
          <w:sz w:val="22"/>
          <w:szCs w:val="22"/>
          <w:lang w:val="es-ES"/>
        </w:rPr>
        <w:t xml:space="preserve"> in </w:t>
      </w:r>
      <w:proofErr w:type="spellStart"/>
      <w:r>
        <w:rPr>
          <w:rFonts w:eastAsia="Palatino Linotype"/>
          <w:sz w:val="22"/>
          <w:szCs w:val="22"/>
          <w:lang w:val="es-ES"/>
        </w:rPr>
        <w:t>working</w:t>
      </w:r>
      <w:proofErr w:type="spellEnd"/>
      <w:r>
        <w:rPr>
          <w:rFonts w:eastAsia="Palatino Linotype"/>
          <w:sz w:val="22"/>
          <w:szCs w:val="22"/>
          <w:lang w:val="es-ES"/>
        </w:rPr>
        <w:t xml:space="preserve"> </w:t>
      </w:r>
      <w:proofErr w:type="spellStart"/>
      <w:r>
        <w:rPr>
          <w:rFonts w:eastAsia="Palatino Linotype"/>
          <w:sz w:val="22"/>
          <w:szCs w:val="22"/>
          <w:lang w:val="es-ES"/>
        </w:rPr>
        <w:t>days</w:t>
      </w:r>
      <w:proofErr w:type="spellEnd"/>
      <w:r>
        <w:rPr>
          <w:rFonts w:eastAsia="Palatino Linotype"/>
          <w:sz w:val="22"/>
          <w:szCs w:val="22"/>
          <w:lang w:val="es-ES"/>
        </w:rPr>
        <w:t xml:space="preserve">, and </w:t>
      </w:r>
      <w:proofErr w:type="spellStart"/>
      <w:r>
        <w:rPr>
          <w:rFonts w:eastAsia="Palatino Linotype"/>
          <w:sz w:val="22"/>
          <w:szCs w:val="22"/>
          <w:lang w:val="es-ES"/>
        </w:rPr>
        <w:t>the</w:t>
      </w:r>
      <w:proofErr w:type="spellEnd"/>
      <w:r>
        <w:rPr>
          <w:rFonts w:eastAsia="Palatino Linotype"/>
          <w:sz w:val="22"/>
          <w:szCs w:val="22"/>
          <w:lang w:val="es-ES"/>
        </w:rPr>
        <w:t xml:space="preserve"> </w:t>
      </w:r>
      <w:proofErr w:type="spellStart"/>
      <w:r>
        <w:rPr>
          <w:rFonts w:eastAsia="Palatino Linotype"/>
          <w:sz w:val="22"/>
          <w:szCs w:val="22"/>
          <w:lang w:val="es-ES"/>
        </w:rPr>
        <w:t>day</w:t>
      </w:r>
      <w:proofErr w:type="spellEnd"/>
      <w:r>
        <w:rPr>
          <w:rFonts w:eastAsia="Palatino Linotype"/>
          <w:sz w:val="22"/>
          <w:szCs w:val="22"/>
          <w:lang w:val="es-ES"/>
        </w:rPr>
        <w:t xml:space="preserve"> </w:t>
      </w:r>
      <w:proofErr w:type="spellStart"/>
      <w:r>
        <w:rPr>
          <w:rFonts w:eastAsia="Palatino Linotype"/>
          <w:sz w:val="22"/>
          <w:szCs w:val="22"/>
          <w:lang w:val="es-ES"/>
        </w:rPr>
        <w:t>of</w:t>
      </w:r>
      <w:proofErr w:type="spellEnd"/>
      <w:r>
        <w:rPr>
          <w:rFonts w:eastAsia="Palatino Linotype"/>
          <w:sz w:val="22"/>
          <w:szCs w:val="22"/>
          <w:lang w:val="es-ES"/>
        </w:rPr>
        <w:t xml:space="preserve"> </w:t>
      </w:r>
      <w:proofErr w:type="spellStart"/>
      <w:r>
        <w:rPr>
          <w:rFonts w:eastAsia="Palatino Linotype"/>
          <w:sz w:val="22"/>
          <w:szCs w:val="22"/>
          <w:lang w:val="es-ES"/>
        </w:rPr>
        <w:t>notification</w:t>
      </w:r>
      <w:proofErr w:type="spellEnd"/>
      <w:r>
        <w:rPr>
          <w:rFonts w:eastAsia="Palatino Linotype"/>
          <w:sz w:val="22"/>
          <w:szCs w:val="22"/>
          <w:lang w:val="es-ES"/>
        </w:rPr>
        <w:t xml:space="preserve">, </w:t>
      </w:r>
      <w:proofErr w:type="spellStart"/>
      <w:r>
        <w:rPr>
          <w:rFonts w:eastAsia="Palatino Linotype"/>
          <w:sz w:val="22"/>
          <w:szCs w:val="22"/>
          <w:lang w:val="es-ES"/>
        </w:rPr>
        <w:t>summons</w:t>
      </w:r>
      <w:proofErr w:type="spellEnd"/>
      <w:r>
        <w:rPr>
          <w:rFonts w:eastAsia="Palatino Linotype"/>
          <w:sz w:val="22"/>
          <w:szCs w:val="22"/>
          <w:lang w:val="es-ES"/>
        </w:rPr>
        <w:t xml:space="preserve"> </w:t>
      </w:r>
      <w:proofErr w:type="spellStart"/>
      <w:r>
        <w:rPr>
          <w:rFonts w:eastAsia="Palatino Linotype"/>
          <w:sz w:val="22"/>
          <w:szCs w:val="22"/>
          <w:lang w:val="es-ES"/>
        </w:rPr>
        <w:t>or</w:t>
      </w:r>
      <w:proofErr w:type="spellEnd"/>
      <w:r>
        <w:rPr>
          <w:rFonts w:eastAsia="Palatino Linotype"/>
          <w:sz w:val="22"/>
          <w:szCs w:val="22"/>
          <w:lang w:val="es-ES"/>
        </w:rPr>
        <w:t xml:space="preserve"> </w:t>
      </w:r>
      <w:proofErr w:type="spellStart"/>
      <w:r>
        <w:rPr>
          <w:rFonts w:eastAsia="Palatino Linotype"/>
          <w:sz w:val="22"/>
          <w:szCs w:val="22"/>
          <w:lang w:val="es-ES"/>
        </w:rPr>
        <w:t>service</w:t>
      </w:r>
      <w:proofErr w:type="spellEnd"/>
      <w:r>
        <w:rPr>
          <w:rFonts w:eastAsia="Palatino Linotype"/>
          <w:sz w:val="22"/>
          <w:szCs w:val="22"/>
          <w:lang w:val="es-ES"/>
        </w:rPr>
        <w:t xml:space="preserve"> </w:t>
      </w:r>
      <w:proofErr w:type="spellStart"/>
      <w:r>
        <w:rPr>
          <w:rFonts w:eastAsia="Palatino Linotype"/>
          <w:sz w:val="22"/>
          <w:szCs w:val="22"/>
          <w:lang w:val="es-ES"/>
        </w:rPr>
        <w:t>will</w:t>
      </w:r>
      <w:proofErr w:type="spellEnd"/>
      <w:r>
        <w:rPr>
          <w:rFonts w:eastAsia="Palatino Linotype"/>
          <w:sz w:val="22"/>
          <w:szCs w:val="22"/>
          <w:lang w:val="es-ES"/>
        </w:rPr>
        <w:t xml:space="preserve"> </w:t>
      </w:r>
      <w:proofErr w:type="spellStart"/>
      <w:r>
        <w:rPr>
          <w:rFonts w:eastAsia="Palatino Linotype"/>
          <w:sz w:val="22"/>
          <w:szCs w:val="22"/>
          <w:lang w:val="es-ES"/>
        </w:rPr>
        <w:t>not</w:t>
      </w:r>
      <w:proofErr w:type="spellEnd"/>
      <w:r>
        <w:rPr>
          <w:rFonts w:eastAsia="Palatino Linotype"/>
          <w:sz w:val="22"/>
          <w:szCs w:val="22"/>
          <w:lang w:val="es-ES"/>
        </w:rPr>
        <w:t xml:space="preserve"> be </w:t>
      </w:r>
      <w:proofErr w:type="spellStart"/>
      <w:r>
        <w:rPr>
          <w:rFonts w:eastAsia="Palatino Linotype"/>
          <w:sz w:val="22"/>
          <w:szCs w:val="22"/>
          <w:lang w:val="es-ES"/>
        </w:rPr>
        <w:t>counted</w:t>
      </w:r>
      <w:proofErr w:type="spellEnd"/>
      <w:r>
        <w:rPr>
          <w:rFonts w:eastAsia="Palatino Linotype"/>
          <w:sz w:val="22"/>
          <w:szCs w:val="22"/>
          <w:lang w:val="es-ES"/>
        </w:rPr>
        <w:t>.</w:t>
      </w:r>
    </w:p>
    <w:p w14:paraId="5B39CD10" w14:textId="77777777" w:rsidR="00E255F4" w:rsidRDefault="00E255F4">
      <w:pPr>
        <w:ind w:right="-142"/>
        <w:jc w:val="both"/>
        <w:rPr>
          <w:rFonts w:eastAsia="Palatino Linotype"/>
          <w:spacing w:val="-1"/>
          <w:sz w:val="22"/>
          <w:szCs w:val="22"/>
          <w:lang w:val="es-ES"/>
        </w:rPr>
      </w:pPr>
    </w:p>
    <w:p w14:paraId="537CD68C" w14:textId="77777777" w:rsidR="00E255F4" w:rsidRDefault="00000000">
      <w:pPr>
        <w:ind w:right="-142"/>
        <w:jc w:val="both"/>
        <w:outlineLvl w:val="0"/>
        <w:rPr>
          <w:rFonts w:eastAsia="Palatino Linotype"/>
          <w:b/>
          <w:spacing w:val="-1"/>
          <w:sz w:val="22"/>
          <w:szCs w:val="22"/>
          <w:lang w:val="es-ES"/>
        </w:rPr>
      </w:pPr>
      <w:bookmarkStart w:id="7" w:name="__RefHeading___Toc225377184"/>
      <w:bookmarkEnd w:id="7"/>
      <w:r>
        <w:rPr>
          <w:rFonts w:eastAsia="Palatino Linotype"/>
          <w:b/>
          <w:spacing w:val="-1"/>
          <w:sz w:val="22"/>
          <w:szCs w:val="22"/>
          <w:lang w:val="es-ES"/>
        </w:rPr>
        <w:t xml:space="preserve">1.4 </w:t>
      </w:r>
      <w:proofErr w:type="spellStart"/>
      <w:r>
        <w:rPr>
          <w:rFonts w:eastAsia="Palatino Linotype"/>
          <w:b/>
          <w:spacing w:val="-1"/>
          <w:sz w:val="22"/>
          <w:szCs w:val="22"/>
          <w:lang w:val="es-ES"/>
        </w:rPr>
        <w:t>Notifications</w:t>
      </w:r>
      <w:proofErr w:type="spellEnd"/>
      <w:r>
        <w:rPr>
          <w:rFonts w:eastAsia="Palatino Linotype"/>
          <w:b/>
          <w:spacing w:val="-1"/>
          <w:sz w:val="22"/>
          <w:szCs w:val="22"/>
          <w:lang w:val="es-ES"/>
        </w:rPr>
        <w:tab/>
      </w:r>
    </w:p>
    <w:p w14:paraId="773F9CBC" w14:textId="77777777" w:rsidR="00E255F4" w:rsidRDefault="00E255F4">
      <w:pPr>
        <w:rPr>
          <w:rFonts w:eastAsia="Palatino Linotype"/>
          <w:b/>
          <w:spacing w:val="-1"/>
          <w:sz w:val="22"/>
          <w:szCs w:val="22"/>
          <w:lang w:val="es-ES"/>
        </w:rPr>
      </w:pPr>
    </w:p>
    <w:p w14:paraId="5E6CDD5E" w14:textId="77777777" w:rsidR="00E255F4" w:rsidRDefault="00000000">
      <w:pPr>
        <w:ind w:right="-142"/>
        <w:jc w:val="both"/>
      </w:pPr>
      <w:proofErr w:type="spellStart"/>
      <w:r>
        <w:rPr>
          <w:rFonts w:eastAsia="Palatino Linotype"/>
          <w:spacing w:val="-14"/>
          <w:sz w:val="22"/>
          <w:szCs w:val="22"/>
          <w:lang w:val="es-ES"/>
        </w:rPr>
        <w:t>Tod</w:t>
      </w:r>
      <w:r>
        <w:rPr>
          <w:rFonts w:eastAsia="Palatino Linotype"/>
          <w:sz w:val="22"/>
          <w:szCs w:val="22"/>
          <w:lang w:val="es-ES"/>
        </w:rPr>
        <w:t>The</w:t>
      </w:r>
      <w:proofErr w:type="spellEnd"/>
      <w:r>
        <w:rPr>
          <w:rFonts w:eastAsia="Palatino Linotype"/>
          <w:sz w:val="22"/>
          <w:szCs w:val="22"/>
          <w:lang w:val="es-ES"/>
        </w:rPr>
        <w:t xml:space="preserve"> </w:t>
      </w:r>
      <w:proofErr w:type="spellStart"/>
      <w:r>
        <w:rPr>
          <w:rFonts w:eastAsia="Palatino Linotype"/>
          <w:sz w:val="22"/>
          <w:szCs w:val="22"/>
          <w:lang w:val="es-ES"/>
        </w:rPr>
        <w:t>notification</w:t>
      </w:r>
      <w:proofErr w:type="spellEnd"/>
      <w:r>
        <w:rPr>
          <w:rFonts w:eastAsia="Palatino Linotype"/>
          <w:sz w:val="22"/>
          <w:szCs w:val="22"/>
          <w:lang w:val="es-ES"/>
        </w:rPr>
        <w:t xml:space="preserve"> </w:t>
      </w:r>
      <w:proofErr w:type="spellStart"/>
      <w:r>
        <w:rPr>
          <w:rFonts w:eastAsia="Palatino Linotype"/>
          <w:sz w:val="22"/>
          <w:szCs w:val="22"/>
          <w:lang w:val="es-ES"/>
        </w:rPr>
        <w:t>made</w:t>
      </w:r>
      <w:proofErr w:type="spellEnd"/>
      <w:r>
        <w:rPr>
          <w:rFonts w:eastAsia="Palatino Linotype"/>
          <w:sz w:val="22"/>
          <w:szCs w:val="22"/>
          <w:lang w:val="es-ES"/>
        </w:rPr>
        <w:t xml:space="preserve"> </w:t>
      </w:r>
      <w:proofErr w:type="spellStart"/>
      <w:r>
        <w:rPr>
          <w:rFonts w:eastAsia="Palatino Linotype"/>
          <w:sz w:val="22"/>
          <w:szCs w:val="22"/>
          <w:lang w:val="es-ES"/>
        </w:rPr>
        <w:t>by</w:t>
      </w:r>
      <w:proofErr w:type="spellEnd"/>
      <w:r>
        <w:rPr>
          <w:rFonts w:eastAsia="Palatino Linotype"/>
          <w:sz w:val="22"/>
          <w:szCs w:val="22"/>
          <w:lang w:val="es-ES"/>
        </w:rPr>
        <w:t xml:space="preserve"> </w:t>
      </w:r>
      <w:proofErr w:type="spellStart"/>
      <w:r>
        <w:rPr>
          <w:rFonts w:eastAsia="Palatino Linotype"/>
          <w:sz w:val="22"/>
          <w:szCs w:val="22"/>
          <w:lang w:val="es-ES"/>
        </w:rPr>
        <w:t>the</w:t>
      </w:r>
      <w:proofErr w:type="spellEnd"/>
      <w:r>
        <w:rPr>
          <w:rFonts w:eastAsia="Palatino Linotype"/>
          <w:sz w:val="22"/>
          <w:szCs w:val="22"/>
          <w:lang w:val="es-ES"/>
        </w:rPr>
        <w:t xml:space="preserve"> </w:t>
      </w:r>
      <w:proofErr w:type="spellStart"/>
      <w:r>
        <w:rPr>
          <w:rFonts w:eastAsia="Palatino Linotype"/>
          <w:sz w:val="22"/>
          <w:szCs w:val="22"/>
          <w:lang w:val="es-ES"/>
        </w:rPr>
        <w:t>Administration</w:t>
      </w:r>
      <w:proofErr w:type="spellEnd"/>
      <w:r>
        <w:rPr>
          <w:rFonts w:eastAsia="Palatino Linotype"/>
          <w:sz w:val="22"/>
          <w:szCs w:val="22"/>
          <w:lang w:val="es-ES"/>
        </w:rPr>
        <w:t xml:space="preserve"> </w:t>
      </w:r>
      <w:proofErr w:type="spellStart"/>
      <w:r>
        <w:rPr>
          <w:rFonts w:eastAsia="Palatino Linotype"/>
          <w:sz w:val="22"/>
          <w:szCs w:val="22"/>
          <w:lang w:val="es-ES"/>
        </w:rPr>
        <w:t>will</w:t>
      </w:r>
      <w:proofErr w:type="spellEnd"/>
      <w:r>
        <w:rPr>
          <w:rFonts w:eastAsia="Palatino Linotype"/>
          <w:sz w:val="22"/>
          <w:szCs w:val="22"/>
          <w:lang w:val="es-ES"/>
        </w:rPr>
        <w:t xml:space="preserve"> be done in </w:t>
      </w:r>
      <w:proofErr w:type="spellStart"/>
      <w:r>
        <w:rPr>
          <w:rFonts w:eastAsia="Palatino Linotype"/>
          <w:sz w:val="22"/>
          <w:szCs w:val="22"/>
          <w:lang w:val="es-ES"/>
        </w:rPr>
        <w:t>person</w:t>
      </w:r>
      <w:proofErr w:type="spellEnd"/>
      <w:r>
        <w:rPr>
          <w:rFonts w:eastAsia="Palatino Linotype"/>
          <w:sz w:val="22"/>
          <w:szCs w:val="22"/>
          <w:lang w:val="es-ES"/>
        </w:rPr>
        <w:t xml:space="preserve">, </w:t>
      </w:r>
      <w:proofErr w:type="spellStart"/>
      <w:r>
        <w:rPr>
          <w:rFonts w:eastAsia="Palatino Linotype"/>
          <w:sz w:val="22"/>
          <w:szCs w:val="22"/>
          <w:lang w:val="es-ES"/>
        </w:rPr>
        <w:t>by</w:t>
      </w:r>
      <w:proofErr w:type="spellEnd"/>
      <w:r>
        <w:rPr>
          <w:rFonts w:eastAsia="Palatino Linotype"/>
          <w:sz w:val="22"/>
          <w:szCs w:val="22"/>
          <w:lang w:val="es-ES"/>
        </w:rPr>
        <w:t xml:space="preserve"> </w:t>
      </w:r>
      <w:proofErr w:type="spellStart"/>
      <w:r>
        <w:rPr>
          <w:rFonts w:eastAsia="Palatino Linotype"/>
          <w:sz w:val="22"/>
          <w:szCs w:val="22"/>
          <w:lang w:val="es-ES"/>
        </w:rPr>
        <w:t>registered</w:t>
      </w:r>
      <w:proofErr w:type="spellEnd"/>
      <w:r>
        <w:rPr>
          <w:rFonts w:eastAsia="Palatino Linotype"/>
          <w:sz w:val="22"/>
          <w:szCs w:val="22"/>
          <w:lang w:val="es-ES"/>
        </w:rPr>
        <w:t xml:space="preserve"> </w:t>
      </w:r>
      <w:proofErr w:type="spellStart"/>
      <w:r>
        <w:rPr>
          <w:rFonts w:eastAsia="Palatino Linotype"/>
          <w:sz w:val="22"/>
          <w:szCs w:val="22"/>
          <w:lang w:val="es-ES"/>
        </w:rPr>
        <w:t>telegram</w:t>
      </w:r>
      <w:proofErr w:type="spellEnd"/>
      <w:r>
        <w:rPr>
          <w:rFonts w:eastAsia="Palatino Linotype"/>
          <w:sz w:val="22"/>
          <w:szCs w:val="22"/>
          <w:lang w:val="es-ES"/>
        </w:rPr>
        <w:t xml:space="preserve">, fax, email, </w:t>
      </w:r>
      <w:proofErr w:type="spellStart"/>
      <w:r>
        <w:rPr>
          <w:rFonts w:eastAsia="Palatino Linotype"/>
          <w:sz w:val="22"/>
          <w:szCs w:val="22"/>
          <w:lang w:val="es-ES"/>
        </w:rPr>
        <w:t>or</w:t>
      </w:r>
      <w:proofErr w:type="spellEnd"/>
      <w:r>
        <w:rPr>
          <w:rFonts w:eastAsia="Palatino Linotype"/>
          <w:sz w:val="22"/>
          <w:szCs w:val="22"/>
          <w:lang w:val="es-ES"/>
        </w:rPr>
        <w:t xml:space="preserve"> </w:t>
      </w:r>
      <w:proofErr w:type="spellStart"/>
      <w:r>
        <w:rPr>
          <w:rFonts w:eastAsia="Palatino Linotype"/>
          <w:sz w:val="22"/>
          <w:szCs w:val="22"/>
          <w:lang w:val="es-ES"/>
        </w:rPr>
        <w:t>other</w:t>
      </w:r>
      <w:proofErr w:type="spellEnd"/>
      <w:r>
        <w:rPr>
          <w:rFonts w:eastAsia="Palatino Linotype"/>
          <w:sz w:val="22"/>
          <w:szCs w:val="22"/>
          <w:lang w:val="es-ES"/>
        </w:rPr>
        <w:t xml:space="preserve"> </w:t>
      </w:r>
      <w:proofErr w:type="spellStart"/>
      <w:r>
        <w:rPr>
          <w:rFonts w:eastAsia="Palatino Linotype"/>
          <w:sz w:val="22"/>
          <w:szCs w:val="22"/>
          <w:lang w:val="es-ES"/>
        </w:rPr>
        <w:t>suitable</w:t>
      </w:r>
      <w:proofErr w:type="spellEnd"/>
      <w:r>
        <w:rPr>
          <w:rFonts w:eastAsia="Palatino Linotype"/>
          <w:sz w:val="22"/>
          <w:szCs w:val="22"/>
          <w:lang w:val="es-ES"/>
        </w:rPr>
        <w:t xml:space="preserve"> </w:t>
      </w:r>
      <w:proofErr w:type="spellStart"/>
      <w:r>
        <w:rPr>
          <w:rFonts w:eastAsia="Palatino Linotype"/>
          <w:sz w:val="22"/>
          <w:szCs w:val="22"/>
          <w:lang w:val="es-ES"/>
        </w:rPr>
        <w:t>means</w:t>
      </w:r>
      <w:proofErr w:type="spellEnd"/>
      <w:r>
        <w:rPr>
          <w:rFonts w:eastAsia="Palatino Linotype"/>
          <w:sz w:val="22"/>
          <w:szCs w:val="22"/>
          <w:lang w:val="es-ES"/>
        </w:rPr>
        <w:t xml:space="preserve"> </w:t>
      </w:r>
      <w:proofErr w:type="spellStart"/>
      <w:r>
        <w:rPr>
          <w:rFonts w:eastAsia="Palatino Linotype"/>
          <w:sz w:val="22"/>
          <w:szCs w:val="22"/>
          <w:lang w:val="es-ES"/>
        </w:rPr>
        <w:t>of</w:t>
      </w:r>
      <w:proofErr w:type="spellEnd"/>
      <w:r>
        <w:rPr>
          <w:rFonts w:eastAsia="Palatino Linotype"/>
          <w:sz w:val="22"/>
          <w:szCs w:val="22"/>
          <w:lang w:val="es-ES"/>
        </w:rPr>
        <w:t xml:space="preserve"> </w:t>
      </w:r>
      <w:proofErr w:type="spellStart"/>
      <w:r>
        <w:rPr>
          <w:rFonts w:eastAsia="Palatino Linotype"/>
          <w:sz w:val="22"/>
          <w:szCs w:val="22"/>
          <w:lang w:val="es-ES"/>
        </w:rPr>
        <w:t>communication</w:t>
      </w:r>
      <w:proofErr w:type="spellEnd"/>
      <w:r>
        <w:rPr>
          <w:rFonts w:eastAsia="Palatino Linotype"/>
          <w:sz w:val="22"/>
          <w:szCs w:val="22"/>
          <w:lang w:val="es-ES"/>
        </w:rPr>
        <w:t xml:space="preserve"> </w:t>
      </w:r>
      <w:proofErr w:type="spellStart"/>
      <w:r>
        <w:rPr>
          <w:rFonts w:eastAsia="Palatino Linotype"/>
          <w:sz w:val="22"/>
          <w:szCs w:val="22"/>
          <w:lang w:val="es-ES"/>
        </w:rPr>
        <w:t>according</w:t>
      </w:r>
      <w:proofErr w:type="spellEnd"/>
      <w:r>
        <w:rPr>
          <w:rFonts w:eastAsia="Palatino Linotype"/>
          <w:sz w:val="22"/>
          <w:szCs w:val="22"/>
          <w:lang w:val="es-ES"/>
        </w:rPr>
        <w:t xml:space="preserve"> </w:t>
      </w:r>
      <w:proofErr w:type="spellStart"/>
      <w:r>
        <w:rPr>
          <w:rFonts w:eastAsia="Palatino Linotype"/>
          <w:sz w:val="22"/>
          <w:szCs w:val="22"/>
          <w:lang w:val="es-ES"/>
        </w:rPr>
        <w:t>to</w:t>
      </w:r>
      <w:proofErr w:type="spellEnd"/>
      <w:r>
        <w:rPr>
          <w:rFonts w:eastAsia="Palatino Linotype"/>
          <w:sz w:val="22"/>
          <w:szCs w:val="22"/>
          <w:lang w:val="es-ES"/>
        </w:rPr>
        <w:t xml:space="preserve"> </w:t>
      </w:r>
      <w:proofErr w:type="spellStart"/>
      <w:r>
        <w:rPr>
          <w:rFonts w:eastAsia="Palatino Linotype"/>
          <w:sz w:val="22"/>
          <w:szCs w:val="22"/>
          <w:lang w:val="es-ES"/>
        </w:rPr>
        <w:t>the</w:t>
      </w:r>
      <w:proofErr w:type="spellEnd"/>
      <w:r>
        <w:rPr>
          <w:rFonts w:eastAsia="Palatino Linotype"/>
          <w:sz w:val="22"/>
          <w:szCs w:val="22"/>
          <w:lang w:val="es-ES"/>
        </w:rPr>
        <w:t xml:space="preserve"> data </w:t>
      </w:r>
      <w:proofErr w:type="spellStart"/>
      <w:r>
        <w:rPr>
          <w:rFonts w:eastAsia="Palatino Linotype"/>
          <w:sz w:val="22"/>
          <w:szCs w:val="22"/>
          <w:lang w:val="es-ES"/>
        </w:rPr>
        <w:t>provided</w:t>
      </w:r>
      <w:proofErr w:type="spellEnd"/>
      <w:r>
        <w:rPr>
          <w:rFonts w:eastAsia="Palatino Linotype"/>
          <w:sz w:val="22"/>
          <w:szCs w:val="22"/>
          <w:lang w:val="es-ES"/>
        </w:rPr>
        <w:t xml:space="preserve"> in </w:t>
      </w:r>
      <w:proofErr w:type="spellStart"/>
      <w:r>
        <w:rPr>
          <w:rFonts w:eastAsia="Palatino Linotype"/>
          <w:sz w:val="22"/>
          <w:szCs w:val="22"/>
          <w:lang w:val="es-ES"/>
        </w:rPr>
        <w:t>the</w:t>
      </w:r>
      <w:proofErr w:type="spellEnd"/>
      <w:r>
        <w:rPr>
          <w:rFonts w:eastAsia="Palatino Linotype"/>
          <w:sz w:val="22"/>
          <w:szCs w:val="22"/>
          <w:lang w:val="es-ES"/>
        </w:rPr>
        <w:t xml:space="preserve"> </w:t>
      </w:r>
      <w:proofErr w:type="gramStart"/>
      <w:r>
        <w:rPr>
          <w:rFonts w:eastAsia="Palatino Linotype"/>
          <w:sz w:val="22"/>
          <w:szCs w:val="22"/>
          <w:lang w:val="es-ES"/>
        </w:rPr>
        <w:t>Single</w:t>
      </w:r>
      <w:proofErr w:type="gramEnd"/>
      <w:r>
        <w:rPr>
          <w:rFonts w:eastAsia="Palatino Linotype"/>
          <w:sz w:val="22"/>
          <w:szCs w:val="22"/>
          <w:lang w:val="es-ES"/>
        </w:rPr>
        <w:t xml:space="preserve"> </w:t>
      </w:r>
      <w:proofErr w:type="spellStart"/>
      <w:r>
        <w:rPr>
          <w:rFonts w:eastAsia="Palatino Linotype"/>
          <w:sz w:val="22"/>
          <w:szCs w:val="22"/>
          <w:lang w:val="es-ES"/>
        </w:rPr>
        <w:t>Registry</w:t>
      </w:r>
      <w:proofErr w:type="spellEnd"/>
      <w:r>
        <w:rPr>
          <w:rFonts w:eastAsia="Palatino Linotype"/>
          <w:sz w:val="22"/>
          <w:szCs w:val="22"/>
          <w:lang w:val="es-ES"/>
        </w:rPr>
        <w:t xml:space="preserve"> </w:t>
      </w:r>
      <w:proofErr w:type="spellStart"/>
      <w:r>
        <w:rPr>
          <w:rFonts w:eastAsia="Palatino Linotype"/>
          <w:sz w:val="22"/>
          <w:szCs w:val="22"/>
          <w:lang w:val="es-ES"/>
        </w:rPr>
        <w:t>of</w:t>
      </w:r>
      <w:proofErr w:type="spellEnd"/>
      <w:r>
        <w:rPr>
          <w:rFonts w:eastAsia="Palatino Linotype"/>
          <w:sz w:val="22"/>
          <w:szCs w:val="22"/>
          <w:lang w:val="es-ES"/>
        </w:rPr>
        <w:t xml:space="preserve"> State </w:t>
      </w:r>
      <w:proofErr w:type="spellStart"/>
      <w:r>
        <w:rPr>
          <w:rFonts w:eastAsia="Palatino Linotype"/>
          <w:sz w:val="22"/>
          <w:szCs w:val="22"/>
          <w:lang w:val="es-ES"/>
        </w:rPr>
        <w:t>Suppliers</w:t>
      </w:r>
      <w:proofErr w:type="spellEnd"/>
      <w:r>
        <w:rPr>
          <w:rFonts w:eastAsia="Palatino Linotype"/>
          <w:sz w:val="22"/>
          <w:szCs w:val="22"/>
          <w:lang w:val="es-ES"/>
        </w:rPr>
        <w:t>.</w:t>
      </w:r>
    </w:p>
    <w:p w14:paraId="11754FC5" w14:textId="77777777" w:rsidR="00E255F4" w:rsidRDefault="00E255F4">
      <w:pPr>
        <w:ind w:right="-142"/>
        <w:jc w:val="both"/>
        <w:rPr>
          <w:rFonts w:eastAsia="Palatino Linotype"/>
          <w:spacing w:val="-1"/>
          <w:sz w:val="22"/>
          <w:szCs w:val="22"/>
          <w:lang w:val="es-ES"/>
        </w:rPr>
      </w:pPr>
    </w:p>
    <w:p w14:paraId="5C81EC44" w14:textId="77777777" w:rsidR="00E255F4" w:rsidRDefault="00000000">
      <w:pPr>
        <w:ind w:right="-142"/>
        <w:jc w:val="both"/>
        <w:outlineLvl w:val="0"/>
        <w:rPr>
          <w:rFonts w:eastAsia="Palatino Linotype"/>
          <w:b/>
          <w:spacing w:val="-1"/>
          <w:sz w:val="22"/>
          <w:szCs w:val="22"/>
          <w:lang w:val="es-ES"/>
        </w:rPr>
      </w:pPr>
      <w:bookmarkStart w:id="8" w:name="__RefHeading___Toc225377185"/>
      <w:bookmarkEnd w:id="8"/>
      <w:r>
        <w:rPr>
          <w:rFonts w:eastAsia="Palatino Linotype"/>
          <w:b/>
          <w:spacing w:val="-1"/>
          <w:sz w:val="22"/>
          <w:szCs w:val="22"/>
          <w:lang w:val="es-ES"/>
        </w:rPr>
        <w:t xml:space="preserve">1.5 </w:t>
      </w:r>
      <w:proofErr w:type="spellStart"/>
      <w:r>
        <w:rPr>
          <w:rFonts w:eastAsia="Palatino Linotype"/>
          <w:b/>
          <w:spacing w:val="-1"/>
          <w:sz w:val="22"/>
          <w:szCs w:val="22"/>
          <w:lang w:val="es-ES"/>
        </w:rPr>
        <w:t>Communications</w:t>
      </w:r>
      <w:proofErr w:type="spellEnd"/>
      <w:r>
        <w:rPr>
          <w:rFonts w:eastAsia="Palatino Linotype"/>
          <w:b/>
          <w:spacing w:val="-1"/>
          <w:sz w:val="22"/>
          <w:szCs w:val="22"/>
          <w:lang w:val="es-ES"/>
        </w:rPr>
        <w:tab/>
      </w:r>
    </w:p>
    <w:p w14:paraId="7F51D347" w14:textId="77777777" w:rsidR="00E255F4" w:rsidRDefault="00E255F4">
      <w:pPr>
        <w:rPr>
          <w:rFonts w:eastAsia="Palatino Linotype"/>
          <w:b/>
          <w:spacing w:val="-1"/>
          <w:sz w:val="22"/>
          <w:szCs w:val="22"/>
          <w:lang w:val="es-ES"/>
        </w:rPr>
      </w:pPr>
    </w:p>
    <w:p w14:paraId="01233E30" w14:textId="77777777" w:rsidR="00E255F4" w:rsidRDefault="00000000">
      <w:pPr>
        <w:ind w:right="-142"/>
        <w:jc w:val="both"/>
      </w:pPr>
      <w:proofErr w:type="spellStart"/>
      <w:r>
        <w:rPr>
          <w:rFonts w:eastAsia="Palatino Linotype"/>
          <w:spacing w:val="-14"/>
          <w:sz w:val="22"/>
          <w:szCs w:val="22"/>
          <w:lang w:val="es-ES"/>
        </w:rPr>
        <w:t>All</w:t>
      </w:r>
      <w:r>
        <w:rPr>
          <w:rFonts w:eastAsia="Palatino Linotype"/>
          <w:sz w:val="22"/>
          <w:szCs w:val="22"/>
          <w:lang w:val="es-ES"/>
        </w:rPr>
        <w:t>Communications</w:t>
      </w:r>
      <w:proofErr w:type="spellEnd"/>
      <w:r>
        <w:rPr>
          <w:rFonts w:eastAsia="Palatino Linotype"/>
          <w:sz w:val="22"/>
          <w:szCs w:val="22"/>
          <w:lang w:val="es-ES"/>
        </w:rPr>
        <w:t xml:space="preserve"> </w:t>
      </w:r>
      <w:proofErr w:type="spellStart"/>
      <w:r>
        <w:rPr>
          <w:rFonts w:eastAsia="Palatino Linotype"/>
          <w:sz w:val="22"/>
          <w:szCs w:val="22"/>
          <w:lang w:val="es-ES"/>
        </w:rPr>
        <w:t>will</w:t>
      </w:r>
      <w:proofErr w:type="spellEnd"/>
      <w:r>
        <w:rPr>
          <w:rFonts w:eastAsia="Palatino Linotype"/>
          <w:sz w:val="22"/>
          <w:szCs w:val="22"/>
          <w:lang w:val="es-ES"/>
        </w:rPr>
        <w:t xml:space="preserve"> be </w:t>
      </w:r>
      <w:proofErr w:type="spellStart"/>
      <w:r>
        <w:rPr>
          <w:rFonts w:eastAsia="Palatino Linotype"/>
          <w:sz w:val="22"/>
          <w:szCs w:val="22"/>
          <w:lang w:val="es-ES"/>
        </w:rPr>
        <w:t>made</w:t>
      </w:r>
      <w:proofErr w:type="spellEnd"/>
      <w:r>
        <w:rPr>
          <w:rFonts w:eastAsia="Palatino Linotype"/>
          <w:sz w:val="22"/>
          <w:szCs w:val="22"/>
          <w:lang w:val="es-ES"/>
        </w:rPr>
        <w:t xml:space="preserve"> at </w:t>
      </w:r>
      <w:proofErr w:type="spellStart"/>
      <w:r>
        <w:rPr>
          <w:rFonts w:eastAsia="Palatino Linotype"/>
          <w:sz w:val="22"/>
          <w:szCs w:val="22"/>
          <w:lang w:val="es-ES"/>
        </w:rPr>
        <w:t>the</w:t>
      </w:r>
      <w:proofErr w:type="spellEnd"/>
      <w:r>
        <w:rPr>
          <w:rFonts w:eastAsia="Palatino Linotype"/>
          <w:sz w:val="22"/>
          <w:szCs w:val="22"/>
          <w:lang w:val="es-ES"/>
        </w:rPr>
        <w:t xml:space="preserve"> </w:t>
      </w:r>
      <w:proofErr w:type="spellStart"/>
      <w:r>
        <w:rPr>
          <w:rFonts w:eastAsia="Palatino Linotype"/>
          <w:sz w:val="22"/>
          <w:szCs w:val="22"/>
          <w:lang w:val="es-ES"/>
        </w:rPr>
        <w:t>address</w:t>
      </w:r>
      <w:proofErr w:type="spellEnd"/>
      <w:r>
        <w:rPr>
          <w:rFonts w:eastAsia="Palatino Linotype"/>
          <w:sz w:val="22"/>
          <w:szCs w:val="22"/>
          <w:lang w:val="es-ES"/>
        </w:rPr>
        <w:t xml:space="preserve"> </w:t>
      </w:r>
      <w:proofErr w:type="spellStart"/>
      <w:r>
        <w:rPr>
          <w:rFonts w:eastAsia="Palatino Linotype"/>
          <w:sz w:val="22"/>
          <w:szCs w:val="22"/>
          <w:lang w:val="es-ES"/>
        </w:rPr>
        <w:t>or</w:t>
      </w:r>
      <w:proofErr w:type="spellEnd"/>
      <w:r>
        <w:rPr>
          <w:rFonts w:eastAsia="Palatino Linotype"/>
          <w:sz w:val="22"/>
          <w:szCs w:val="22"/>
          <w:lang w:val="es-ES"/>
        </w:rPr>
        <w:t xml:space="preserve"> </w:t>
      </w:r>
      <w:proofErr w:type="spellStart"/>
      <w:r>
        <w:rPr>
          <w:rFonts w:eastAsia="Palatino Linotype"/>
          <w:sz w:val="22"/>
          <w:szCs w:val="22"/>
          <w:lang w:val="es-ES"/>
        </w:rPr>
        <w:t>through</w:t>
      </w:r>
      <w:proofErr w:type="spellEnd"/>
      <w:r>
        <w:rPr>
          <w:rFonts w:eastAsia="Palatino Linotype"/>
          <w:sz w:val="22"/>
          <w:szCs w:val="22"/>
          <w:lang w:val="es-ES"/>
        </w:rPr>
        <w:t xml:space="preserve"> </w:t>
      </w:r>
      <w:proofErr w:type="spellStart"/>
      <w:r>
        <w:rPr>
          <w:rFonts w:eastAsia="Palatino Linotype"/>
          <w:sz w:val="22"/>
          <w:szCs w:val="22"/>
          <w:lang w:val="es-ES"/>
        </w:rPr>
        <w:t>the</w:t>
      </w:r>
      <w:proofErr w:type="spellEnd"/>
      <w:r>
        <w:rPr>
          <w:rFonts w:eastAsia="Palatino Linotype"/>
          <w:sz w:val="22"/>
          <w:szCs w:val="22"/>
          <w:lang w:val="es-ES"/>
        </w:rPr>
        <w:t xml:space="preserve"> </w:t>
      </w:r>
      <w:proofErr w:type="spellStart"/>
      <w:r>
        <w:rPr>
          <w:rFonts w:eastAsia="Palatino Linotype"/>
          <w:sz w:val="22"/>
          <w:szCs w:val="22"/>
          <w:lang w:val="es-ES"/>
        </w:rPr>
        <w:t>means</w:t>
      </w:r>
      <w:proofErr w:type="spellEnd"/>
      <w:r>
        <w:rPr>
          <w:rFonts w:eastAsia="Palatino Linotype"/>
          <w:sz w:val="22"/>
          <w:szCs w:val="22"/>
          <w:lang w:val="es-ES"/>
        </w:rPr>
        <w:t xml:space="preserve"> </w:t>
      </w:r>
      <w:proofErr w:type="spellStart"/>
      <w:r>
        <w:rPr>
          <w:rFonts w:eastAsia="Palatino Linotype"/>
          <w:sz w:val="22"/>
          <w:szCs w:val="22"/>
          <w:lang w:val="es-ES"/>
        </w:rPr>
        <w:t>indicated</w:t>
      </w:r>
      <w:proofErr w:type="spellEnd"/>
      <w:r>
        <w:rPr>
          <w:rFonts w:eastAsia="Palatino Linotype"/>
          <w:sz w:val="22"/>
          <w:szCs w:val="22"/>
          <w:lang w:val="es-ES"/>
        </w:rPr>
        <w:t xml:space="preserve"> in </w:t>
      </w:r>
      <w:proofErr w:type="spellStart"/>
      <w:r>
        <w:rPr>
          <w:rFonts w:eastAsia="Palatino Linotype"/>
          <w:sz w:val="22"/>
          <w:szCs w:val="22"/>
          <w:lang w:val="es-ES"/>
        </w:rPr>
        <w:t>the</w:t>
      </w:r>
      <w:r>
        <w:rPr>
          <w:rFonts w:eastAsia="Palatino Linotype"/>
          <w:color w:val="000000"/>
          <w:spacing w:val="-1"/>
          <w:sz w:val="22"/>
          <w:lang w:val="es-ES"/>
        </w:rPr>
        <w:t>Fold</w:t>
      </w:r>
      <w:r>
        <w:rPr>
          <w:rFonts w:eastAsia="Palatino Linotype"/>
          <w:color w:val="000000"/>
          <w:sz w:val="22"/>
          <w:lang w:val="es-ES"/>
        </w:rPr>
        <w:t>or</w:t>
      </w:r>
      <w:proofErr w:type="spellEnd"/>
      <w:r>
        <w:rPr>
          <w:rFonts w:eastAsia="Palatino Linotype"/>
          <w:color w:val="000000"/>
          <w:sz w:val="22"/>
          <w:lang w:val="es-ES"/>
        </w:rPr>
        <w:t xml:space="preserve"> Private.</w:t>
      </w:r>
    </w:p>
    <w:p w14:paraId="4015606C" w14:textId="77777777" w:rsidR="00E255F4" w:rsidRDefault="00E255F4">
      <w:pPr>
        <w:ind w:right="-142"/>
        <w:jc w:val="both"/>
        <w:rPr>
          <w:rFonts w:eastAsia="Palatino Linotype"/>
          <w:color w:val="000000"/>
          <w:sz w:val="22"/>
          <w:szCs w:val="22"/>
          <w:lang w:val="es-ES"/>
        </w:rPr>
      </w:pPr>
    </w:p>
    <w:p w14:paraId="0F20F6CA" w14:textId="77777777" w:rsidR="00E255F4" w:rsidRDefault="00000000">
      <w:pPr>
        <w:ind w:right="-142"/>
        <w:jc w:val="both"/>
        <w:outlineLvl w:val="0"/>
        <w:rPr>
          <w:rFonts w:eastAsia="Palatino Linotype"/>
          <w:b/>
          <w:spacing w:val="-1"/>
          <w:sz w:val="22"/>
          <w:szCs w:val="22"/>
          <w:lang w:val="es-ES"/>
        </w:rPr>
      </w:pPr>
      <w:bookmarkStart w:id="9" w:name="__RefHeading___Toc225377186"/>
      <w:bookmarkEnd w:id="9"/>
      <w:r>
        <w:rPr>
          <w:rFonts w:eastAsia="Palatino Linotype"/>
          <w:b/>
          <w:spacing w:val="-1"/>
          <w:sz w:val="22"/>
          <w:szCs w:val="22"/>
          <w:lang w:val="es-ES"/>
        </w:rPr>
        <w:t xml:space="preserve">1.6 </w:t>
      </w:r>
      <w:proofErr w:type="spellStart"/>
      <w:r>
        <w:rPr>
          <w:rFonts w:eastAsia="Palatino Linotype"/>
          <w:b/>
          <w:spacing w:val="-1"/>
          <w:sz w:val="22"/>
          <w:szCs w:val="22"/>
          <w:lang w:val="es-ES"/>
        </w:rPr>
        <w:t>Competent</w:t>
      </w:r>
      <w:proofErr w:type="spellEnd"/>
      <w:r>
        <w:rPr>
          <w:rFonts w:eastAsia="Palatino Linotype"/>
          <w:b/>
          <w:spacing w:val="-1"/>
          <w:sz w:val="22"/>
          <w:szCs w:val="22"/>
          <w:lang w:val="es-ES"/>
        </w:rPr>
        <w:t xml:space="preserve"> </w:t>
      </w:r>
      <w:proofErr w:type="spellStart"/>
      <w:r>
        <w:rPr>
          <w:rFonts w:eastAsia="Palatino Linotype"/>
          <w:b/>
          <w:spacing w:val="-1"/>
          <w:sz w:val="22"/>
          <w:szCs w:val="22"/>
          <w:lang w:val="es-ES"/>
        </w:rPr>
        <w:t>jurisdiction</w:t>
      </w:r>
      <w:proofErr w:type="spellEnd"/>
      <w:r>
        <w:rPr>
          <w:rFonts w:eastAsia="Palatino Linotype"/>
          <w:b/>
          <w:spacing w:val="-1"/>
          <w:sz w:val="22"/>
          <w:szCs w:val="22"/>
          <w:lang w:val="es-ES"/>
        </w:rPr>
        <w:tab/>
      </w:r>
    </w:p>
    <w:p w14:paraId="7EA8635E" w14:textId="77777777" w:rsidR="00E255F4" w:rsidRDefault="00E255F4">
      <w:pPr>
        <w:rPr>
          <w:rFonts w:eastAsia="Palatino Linotype"/>
          <w:b/>
          <w:spacing w:val="-1"/>
          <w:sz w:val="22"/>
          <w:szCs w:val="22"/>
          <w:lang w:val="es-ES"/>
        </w:rPr>
      </w:pPr>
    </w:p>
    <w:p w14:paraId="1CF91200" w14:textId="77777777" w:rsidR="00E255F4" w:rsidRDefault="00000000">
      <w:pPr>
        <w:ind w:right="-142"/>
        <w:jc w:val="both"/>
      </w:pPr>
      <w:proofErr w:type="spellStart"/>
      <w:r>
        <w:rPr>
          <w:rFonts w:eastAsia="Palatino Linotype"/>
          <w:spacing w:val="-7"/>
          <w:sz w:val="22"/>
          <w:szCs w:val="22"/>
          <w:lang w:val="es-ES"/>
        </w:rPr>
        <w:t>Po</w:t>
      </w:r>
      <w:r>
        <w:rPr>
          <w:rFonts w:eastAsia="Palatino Linotype"/>
          <w:sz w:val="22"/>
          <w:szCs w:val="22"/>
          <w:lang w:val="es-ES"/>
        </w:rPr>
        <w:t>By</w:t>
      </w:r>
      <w:proofErr w:type="spellEnd"/>
      <w:r>
        <w:rPr>
          <w:rFonts w:eastAsia="Palatino Linotype"/>
          <w:sz w:val="22"/>
          <w:szCs w:val="22"/>
          <w:lang w:val="es-ES"/>
        </w:rPr>
        <w:t xml:space="preserve"> </w:t>
      </w:r>
      <w:proofErr w:type="spellStart"/>
      <w:r>
        <w:rPr>
          <w:rFonts w:eastAsia="Palatino Linotype"/>
          <w:sz w:val="22"/>
          <w:szCs w:val="22"/>
          <w:lang w:val="es-ES"/>
        </w:rPr>
        <w:t>the</w:t>
      </w:r>
      <w:proofErr w:type="spellEnd"/>
      <w:r>
        <w:rPr>
          <w:rFonts w:eastAsia="Palatino Linotype"/>
          <w:sz w:val="22"/>
          <w:szCs w:val="22"/>
          <w:lang w:val="es-ES"/>
        </w:rPr>
        <w:t xml:space="preserve"> mere </w:t>
      </w:r>
      <w:proofErr w:type="spellStart"/>
      <w:r>
        <w:rPr>
          <w:rFonts w:eastAsia="Palatino Linotype"/>
          <w:sz w:val="22"/>
          <w:szCs w:val="22"/>
          <w:lang w:val="es-ES"/>
        </w:rPr>
        <w:t>fact</w:t>
      </w:r>
      <w:proofErr w:type="spellEnd"/>
      <w:r>
        <w:rPr>
          <w:rFonts w:eastAsia="Palatino Linotype"/>
          <w:sz w:val="22"/>
          <w:szCs w:val="22"/>
          <w:lang w:val="es-ES"/>
        </w:rPr>
        <w:t xml:space="preserve"> </w:t>
      </w:r>
      <w:proofErr w:type="spellStart"/>
      <w:r>
        <w:rPr>
          <w:rFonts w:eastAsia="Palatino Linotype"/>
          <w:sz w:val="22"/>
          <w:szCs w:val="22"/>
          <w:lang w:val="es-ES"/>
        </w:rPr>
        <w:t>of</w:t>
      </w:r>
      <w:proofErr w:type="spellEnd"/>
      <w:r>
        <w:rPr>
          <w:rFonts w:eastAsia="Palatino Linotype"/>
          <w:sz w:val="22"/>
          <w:szCs w:val="22"/>
          <w:lang w:val="es-ES"/>
        </w:rPr>
        <w:t xml:space="preserve"> </w:t>
      </w:r>
      <w:proofErr w:type="spellStart"/>
      <w:r>
        <w:rPr>
          <w:rFonts w:eastAsia="Palatino Linotype"/>
          <w:sz w:val="22"/>
          <w:szCs w:val="22"/>
          <w:lang w:val="es-ES"/>
        </w:rPr>
        <w:t>appearing</w:t>
      </w:r>
      <w:proofErr w:type="spellEnd"/>
      <w:r>
        <w:rPr>
          <w:rFonts w:eastAsia="Palatino Linotype"/>
          <w:sz w:val="22"/>
          <w:szCs w:val="22"/>
          <w:lang w:val="es-ES"/>
        </w:rPr>
        <w:t xml:space="preserve">, </w:t>
      </w:r>
      <w:proofErr w:type="spellStart"/>
      <w:r>
        <w:rPr>
          <w:rFonts w:eastAsia="Palatino Linotype"/>
          <w:sz w:val="22"/>
          <w:szCs w:val="22"/>
          <w:lang w:val="es-ES"/>
        </w:rPr>
        <w:t>it</w:t>
      </w:r>
      <w:proofErr w:type="spellEnd"/>
      <w:r>
        <w:rPr>
          <w:rFonts w:eastAsia="Palatino Linotype"/>
          <w:sz w:val="22"/>
          <w:szCs w:val="22"/>
          <w:lang w:val="es-ES"/>
        </w:rPr>
        <w:t xml:space="preserve"> </w:t>
      </w:r>
      <w:proofErr w:type="spellStart"/>
      <w:r>
        <w:rPr>
          <w:rFonts w:eastAsia="Palatino Linotype"/>
          <w:sz w:val="22"/>
          <w:szCs w:val="22"/>
          <w:lang w:val="es-ES"/>
        </w:rPr>
        <w:t>will</w:t>
      </w:r>
      <w:proofErr w:type="spellEnd"/>
      <w:r>
        <w:rPr>
          <w:rFonts w:eastAsia="Palatino Linotype"/>
          <w:sz w:val="22"/>
          <w:szCs w:val="22"/>
          <w:lang w:val="es-ES"/>
        </w:rPr>
        <w:t xml:space="preserve"> be </w:t>
      </w:r>
      <w:proofErr w:type="spellStart"/>
      <w:r>
        <w:rPr>
          <w:rFonts w:eastAsia="Palatino Linotype"/>
          <w:sz w:val="22"/>
          <w:szCs w:val="22"/>
          <w:lang w:val="es-ES"/>
        </w:rPr>
        <w:t>understood</w:t>
      </w:r>
      <w:proofErr w:type="spellEnd"/>
      <w:r>
        <w:rPr>
          <w:rFonts w:eastAsia="Palatino Linotype"/>
          <w:sz w:val="22"/>
          <w:szCs w:val="22"/>
          <w:lang w:val="es-ES"/>
        </w:rPr>
        <w:t xml:space="preserve"> </w:t>
      </w:r>
      <w:proofErr w:type="spellStart"/>
      <w:r>
        <w:rPr>
          <w:rFonts w:eastAsia="Palatino Linotype"/>
          <w:sz w:val="22"/>
          <w:szCs w:val="22"/>
          <w:lang w:val="es-ES"/>
        </w:rPr>
        <w:t>that</w:t>
      </w:r>
      <w:proofErr w:type="spellEnd"/>
      <w:r>
        <w:rPr>
          <w:rFonts w:eastAsia="Palatino Linotype"/>
          <w:sz w:val="22"/>
          <w:szCs w:val="22"/>
          <w:lang w:val="es-ES"/>
        </w:rPr>
        <w:t xml:space="preserve"> </w:t>
      </w:r>
      <w:proofErr w:type="spellStart"/>
      <w:r>
        <w:rPr>
          <w:rFonts w:eastAsia="Palatino Linotype"/>
          <w:sz w:val="22"/>
          <w:szCs w:val="22"/>
          <w:lang w:val="es-ES"/>
        </w:rPr>
        <w:t>the</w:t>
      </w:r>
      <w:proofErr w:type="spellEnd"/>
      <w:r>
        <w:rPr>
          <w:rFonts w:eastAsia="Palatino Linotype"/>
          <w:sz w:val="22"/>
          <w:szCs w:val="22"/>
          <w:lang w:val="es-ES"/>
        </w:rPr>
        <w:t xml:space="preserve"> </w:t>
      </w:r>
      <w:proofErr w:type="spellStart"/>
      <w:r>
        <w:rPr>
          <w:rFonts w:eastAsia="Palatino Linotype"/>
          <w:sz w:val="22"/>
          <w:szCs w:val="22"/>
          <w:lang w:val="es-ES"/>
        </w:rPr>
        <w:t>offeror</w:t>
      </w:r>
      <w:proofErr w:type="spellEnd"/>
      <w:r>
        <w:rPr>
          <w:rFonts w:eastAsia="Palatino Linotype"/>
          <w:sz w:val="22"/>
          <w:szCs w:val="22"/>
          <w:lang w:val="es-ES"/>
        </w:rPr>
        <w:t xml:space="preserve"> </w:t>
      </w:r>
      <w:proofErr w:type="spellStart"/>
      <w:r>
        <w:rPr>
          <w:rFonts w:eastAsia="Palatino Linotype"/>
          <w:sz w:val="22"/>
          <w:szCs w:val="22"/>
          <w:lang w:val="es-ES"/>
        </w:rPr>
        <w:t>makes</w:t>
      </w:r>
      <w:proofErr w:type="spellEnd"/>
      <w:r>
        <w:rPr>
          <w:rFonts w:eastAsia="Palatino Linotype"/>
          <w:sz w:val="22"/>
          <w:szCs w:val="22"/>
          <w:lang w:val="es-ES"/>
        </w:rPr>
        <w:t xml:space="preserve"> </w:t>
      </w:r>
      <w:proofErr w:type="spellStart"/>
      <w:r>
        <w:rPr>
          <w:rFonts w:eastAsia="Palatino Linotype"/>
          <w:sz w:val="22"/>
          <w:szCs w:val="22"/>
          <w:lang w:val="es-ES"/>
        </w:rPr>
        <w:t>express</w:t>
      </w:r>
      <w:proofErr w:type="spellEnd"/>
      <w:r>
        <w:rPr>
          <w:rFonts w:eastAsia="Palatino Linotype"/>
          <w:sz w:val="22"/>
          <w:szCs w:val="22"/>
          <w:lang w:val="es-ES"/>
        </w:rPr>
        <w:t xml:space="preserve"> </w:t>
      </w:r>
      <w:proofErr w:type="spellStart"/>
      <w:r>
        <w:rPr>
          <w:rFonts w:eastAsia="Palatino Linotype"/>
          <w:sz w:val="22"/>
          <w:szCs w:val="22"/>
          <w:lang w:val="es-ES"/>
        </w:rPr>
        <w:t>recognition</w:t>
      </w:r>
      <w:proofErr w:type="spellEnd"/>
      <w:r>
        <w:rPr>
          <w:rFonts w:eastAsia="Palatino Linotype"/>
          <w:sz w:val="22"/>
          <w:szCs w:val="22"/>
          <w:lang w:val="es-ES"/>
        </w:rPr>
        <w:t xml:space="preserve"> and </w:t>
      </w:r>
      <w:proofErr w:type="spellStart"/>
      <w:r>
        <w:rPr>
          <w:rFonts w:eastAsia="Palatino Linotype"/>
          <w:sz w:val="22"/>
          <w:szCs w:val="22"/>
          <w:lang w:val="es-ES"/>
        </w:rPr>
        <w:t>manifests</w:t>
      </w:r>
      <w:proofErr w:type="spellEnd"/>
      <w:r>
        <w:rPr>
          <w:rFonts w:eastAsia="Palatino Linotype"/>
          <w:sz w:val="22"/>
          <w:szCs w:val="22"/>
          <w:lang w:val="es-ES"/>
        </w:rPr>
        <w:t xml:space="preserve"> </w:t>
      </w:r>
      <w:proofErr w:type="spellStart"/>
      <w:r>
        <w:rPr>
          <w:rFonts w:eastAsia="Palatino Linotype"/>
          <w:sz w:val="22"/>
          <w:szCs w:val="22"/>
          <w:lang w:val="es-ES"/>
        </w:rPr>
        <w:t>his</w:t>
      </w:r>
      <w:proofErr w:type="spellEnd"/>
      <w:r>
        <w:rPr>
          <w:rFonts w:eastAsia="Palatino Linotype"/>
          <w:sz w:val="22"/>
          <w:szCs w:val="22"/>
          <w:lang w:val="es-ES"/>
        </w:rPr>
        <w:t xml:space="preserve"> </w:t>
      </w:r>
      <w:proofErr w:type="spellStart"/>
      <w:r>
        <w:rPr>
          <w:rFonts w:eastAsia="Palatino Linotype"/>
          <w:sz w:val="22"/>
          <w:szCs w:val="22"/>
          <w:lang w:val="es-ES"/>
        </w:rPr>
        <w:t>willingness</w:t>
      </w:r>
      <w:proofErr w:type="spellEnd"/>
      <w:r>
        <w:rPr>
          <w:rFonts w:eastAsia="Palatino Linotype"/>
          <w:sz w:val="22"/>
          <w:szCs w:val="22"/>
          <w:lang w:val="es-ES"/>
        </w:rPr>
        <w:t xml:space="preserve"> </w:t>
      </w:r>
      <w:proofErr w:type="spellStart"/>
      <w:r>
        <w:rPr>
          <w:rFonts w:eastAsia="Palatino Linotype"/>
          <w:sz w:val="22"/>
          <w:szCs w:val="22"/>
          <w:lang w:val="es-ES"/>
        </w:rPr>
        <w:t>to</w:t>
      </w:r>
      <w:proofErr w:type="spellEnd"/>
      <w:r>
        <w:rPr>
          <w:rFonts w:eastAsia="Palatino Linotype"/>
          <w:sz w:val="22"/>
          <w:szCs w:val="22"/>
          <w:lang w:val="es-ES"/>
        </w:rPr>
        <w:t xml:space="preserve"> </w:t>
      </w:r>
      <w:proofErr w:type="spellStart"/>
      <w:r>
        <w:rPr>
          <w:rFonts w:eastAsia="Palatino Linotype"/>
          <w:sz w:val="22"/>
          <w:szCs w:val="22"/>
          <w:lang w:val="es-ES"/>
        </w:rPr>
        <w:t>submit</w:t>
      </w:r>
      <w:proofErr w:type="spellEnd"/>
      <w:r>
        <w:rPr>
          <w:rFonts w:eastAsia="Palatino Linotype"/>
          <w:sz w:val="22"/>
          <w:szCs w:val="22"/>
          <w:lang w:val="es-ES"/>
        </w:rPr>
        <w:t xml:space="preserve"> </w:t>
      </w:r>
      <w:proofErr w:type="spellStart"/>
      <w:r>
        <w:rPr>
          <w:rFonts w:eastAsia="Palatino Linotype"/>
          <w:sz w:val="22"/>
          <w:szCs w:val="22"/>
          <w:lang w:val="es-ES"/>
        </w:rPr>
        <w:t>to</w:t>
      </w:r>
      <w:proofErr w:type="spellEnd"/>
      <w:r>
        <w:rPr>
          <w:rFonts w:eastAsia="Palatino Linotype"/>
          <w:sz w:val="22"/>
          <w:szCs w:val="22"/>
          <w:lang w:val="es-ES"/>
        </w:rPr>
        <w:t xml:space="preserve"> </w:t>
      </w:r>
      <w:proofErr w:type="spellStart"/>
      <w:r>
        <w:rPr>
          <w:rFonts w:eastAsia="Palatino Linotype"/>
          <w:sz w:val="22"/>
          <w:szCs w:val="22"/>
          <w:lang w:val="es-ES"/>
        </w:rPr>
        <w:t>the</w:t>
      </w:r>
      <w:proofErr w:type="spellEnd"/>
      <w:r>
        <w:rPr>
          <w:rFonts w:eastAsia="Palatino Linotype"/>
          <w:sz w:val="22"/>
          <w:szCs w:val="22"/>
          <w:lang w:val="es-ES"/>
        </w:rPr>
        <w:t xml:space="preserve"> Laws and Courts </w:t>
      </w:r>
      <w:proofErr w:type="spellStart"/>
      <w:r>
        <w:rPr>
          <w:rFonts w:eastAsia="Palatino Linotype"/>
          <w:sz w:val="22"/>
          <w:szCs w:val="22"/>
          <w:lang w:val="es-ES"/>
        </w:rPr>
        <w:t>of</w:t>
      </w:r>
      <w:proofErr w:type="spellEnd"/>
      <w:r>
        <w:rPr>
          <w:rFonts w:eastAsia="Palatino Linotype"/>
          <w:sz w:val="22"/>
          <w:szCs w:val="22"/>
          <w:lang w:val="es-ES"/>
        </w:rPr>
        <w:t xml:space="preserve"> </w:t>
      </w:r>
      <w:proofErr w:type="spellStart"/>
      <w:r>
        <w:rPr>
          <w:rFonts w:eastAsia="Palatino Linotype"/>
          <w:sz w:val="22"/>
          <w:szCs w:val="22"/>
          <w:lang w:val="es-ES"/>
        </w:rPr>
        <w:t>the</w:t>
      </w:r>
      <w:proofErr w:type="spellEnd"/>
      <w:r>
        <w:rPr>
          <w:rFonts w:eastAsia="Palatino Linotype"/>
          <w:sz w:val="22"/>
          <w:szCs w:val="22"/>
          <w:lang w:val="es-ES"/>
        </w:rPr>
        <w:t xml:space="preserve"> Eastern </w:t>
      </w:r>
      <w:proofErr w:type="spellStart"/>
      <w:r>
        <w:rPr>
          <w:rFonts w:eastAsia="Palatino Linotype"/>
          <w:sz w:val="22"/>
          <w:szCs w:val="22"/>
          <w:lang w:val="es-ES"/>
        </w:rPr>
        <w:t>Republic</w:t>
      </w:r>
      <w:proofErr w:type="spellEnd"/>
      <w:r>
        <w:rPr>
          <w:rFonts w:eastAsia="Palatino Linotype"/>
          <w:sz w:val="22"/>
          <w:szCs w:val="22"/>
          <w:lang w:val="es-ES"/>
        </w:rPr>
        <w:t xml:space="preserve"> </w:t>
      </w:r>
      <w:proofErr w:type="spellStart"/>
      <w:r>
        <w:rPr>
          <w:rFonts w:eastAsia="Palatino Linotype"/>
          <w:sz w:val="22"/>
          <w:szCs w:val="22"/>
          <w:lang w:val="es-ES"/>
        </w:rPr>
        <w:t>of</w:t>
      </w:r>
      <w:proofErr w:type="spellEnd"/>
      <w:r>
        <w:rPr>
          <w:rFonts w:eastAsia="Palatino Linotype"/>
          <w:sz w:val="22"/>
          <w:szCs w:val="22"/>
          <w:lang w:val="es-ES"/>
        </w:rPr>
        <w:t xml:space="preserve"> Uruguay.</w:t>
      </w:r>
    </w:p>
    <w:p w14:paraId="1A343F6D" w14:textId="77777777" w:rsidR="00E255F4" w:rsidRDefault="00E255F4">
      <w:pPr>
        <w:widowControl w:val="0"/>
        <w:tabs>
          <w:tab w:val="left" w:pos="284"/>
        </w:tabs>
        <w:ind w:right="-142"/>
        <w:jc w:val="both"/>
        <w:outlineLvl w:val="0"/>
        <w:rPr>
          <w:rFonts w:eastAsia="Palatino Linotype"/>
          <w:b/>
          <w:spacing w:val="-1"/>
          <w:sz w:val="22"/>
          <w:szCs w:val="22"/>
          <w:lang w:val="es-ES"/>
        </w:rPr>
      </w:pPr>
    </w:p>
    <w:p w14:paraId="6171FFA1" w14:textId="77777777" w:rsidR="00E255F4" w:rsidRDefault="00000000">
      <w:pPr>
        <w:widowControl w:val="0"/>
        <w:tabs>
          <w:tab w:val="left" w:pos="284"/>
        </w:tabs>
        <w:ind w:right="-142"/>
        <w:jc w:val="both"/>
        <w:outlineLvl w:val="0"/>
        <w:rPr>
          <w:rFonts w:eastAsia="Palatino Linotype"/>
          <w:b/>
          <w:spacing w:val="-1"/>
          <w:sz w:val="22"/>
          <w:szCs w:val="22"/>
          <w:lang w:val="es-ES"/>
        </w:rPr>
      </w:pPr>
      <w:bookmarkStart w:id="10" w:name="__RefHeading___Toc225377187"/>
      <w:bookmarkEnd w:id="10"/>
      <w:r>
        <w:rPr>
          <w:rFonts w:eastAsia="Palatino Linotype"/>
          <w:b/>
          <w:spacing w:val="-1"/>
          <w:sz w:val="22"/>
          <w:szCs w:val="22"/>
          <w:lang w:val="es-ES"/>
        </w:rPr>
        <w:t xml:space="preserve">2Publication </w:t>
      </w:r>
      <w:proofErr w:type="spellStart"/>
      <w:r>
        <w:rPr>
          <w:rFonts w:eastAsia="Palatino Linotype"/>
          <w:b/>
          <w:spacing w:val="-1"/>
          <w:sz w:val="22"/>
          <w:szCs w:val="22"/>
          <w:lang w:val="es-ES"/>
        </w:rPr>
        <w:t>of</w:t>
      </w:r>
      <w:proofErr w:type="spellEnd"/>
      <w:r>
        <w:rPr>
          <w:rFonts w:eastAsia="Palatino Linotype"/>
          <w:b/>
          <w:spacing w:val="-1"/>
          <w:sz w:val="22"/>
          <w:szCs w:val="22"/>
          <w:lang w:val="es-ES"/>
        </w:rPr>
        <w:t xml:space="preserve"> </w:t>
      </w:r>
      <w:proofErr w:type="spellStart"/>
      <w:r>
        <w:rPr>
          <w:rFonts w:eastAsia="Palatino Linotype"/>
          <w:b/>
          <w:spacing w:val="-1"/>
          <w:sz w:val="22"/>
          <w:szCs w:val="22"/>
          <w:lang w:val="es-ES"/>
        </w:rPr>
        <w:t>the</w:t>
      </w:r>
      <w:proofErr w:type="spellEnd"/>
      <w:r>
        <w:rPr>
          <w:rFonts w:eastAsia="Palatino Linotype"/>
          <w:b/>
          <w:spacing w:val="-1"/>
          <w:sz w:val="22"/>
          <w:szCs w:val="22"/>
          <w:lang w:val="es-ES"/>
        </w:rPr>
        <w:t xml:space="preserve"> </w:t>
      </w:r>
      <w:proofErr w:type="spellStart"/>
      <w:r>
        <w:rPr>
          <w:rFonts w:eastAsia="Palatino Linotype"/>
          <w:b/>
          <w:spacing w:val="-1"/>
          <w:sz w:val="22"/>
          <w:szCs w:val="22"/>
          <w:lang w:val="es-ES"/>
        </w:rPr>
        <w:t>call</w:t>
      </w:r>
      <w:proofErr w:type="spellEnd"/>
      <w:r>
        <w:rPr>
          <w:rFonts w:eastAsia="Palatino Linotype"/>
          <w:b/>
          <w:spacing w:val="-1"/>
          <w:sz w:val="22"/>
          <w:szCs w:val="22"/>
          <w:lang w:val="es-ES"/>
        </w:rPr>
        <w:tab/>
      </w:r>
      <w:r>
        <w:rPr>
          <w:rFonts w:eastAsia="Palatino Linotype"/>
          <w:b/>
          <w:spacing w:val="-1"/>
          <w:sz w:val="22"/>
          <w:szCs w:val="22"/>
          <w:lang w:val="es-ES"/>
        </w:rPr>
        <w:tab/>
      </w:r>
    </w:p>
    <w:p w14:paraId="6D68A4D1" w14:textId="77777777" w:rsidR="00E255F4" w:rsidRDefault="00E255F4">
      <w:pPr>
        <w:rPr>
          <w:rFonts w:eastAsia="Palatino Linotype"/>
          <w:b/>
          <w:spacing w:val="-1"/>
          <w:sz w:val="22"/>
          <w:szCs w:val="22"/>
          <w:lang w:val="es-ES"/>
        </w:rPr>
      </w:pPr>
    </w:p>
    <w:p w14:paraId="6287E441" w14:textId="77777777" w:rsidR="00E255F4" w:rsidRDefault="00000000">
      <w:pPr>
        <w:widowControl w:val="0"/>
        <w:ind w:right="-142"/>
        <w:jc w:val="both"/>
        <w:rPr>
          <w:rFonts w:eastAsia="Palatino Linotype"/>
          <w:spacing w:val="-1"/>
          <w:sz w:val="22"/>
          <w:szCs w:val="22"/>
          <w:lang w:val="es-ES"/>
        </w:rPr>
      </w:pPr>
      <w:proofErr w:type="spellStart"/>
      <w:r>
        <w:rPr>
          <w:rFonts w:eastAsia="Palatino Linotype"/>
          <w:spacing w:val="-1"/>
          <w:sz w:val="22"/>
          <w:szCs w:val="22"/>
          <w:lang w:val="es-ES"/>
        </w:rPr>
        <w:t>AND</w:t>
      </w:r>
      <w:r>
        <w:rPr>
          <w:rFonts w:eastAsia="Palatino Linotype"/>
          <w:sz w:val="22"/>
          <w:szCs w:val="22"/>
          <w:lang w:val="es-ES"/>
        </w:rPr>
        <w:t>It</w:t>
      </w:r>
      <w:proofErr w:type="spellEnd"/>
      <w:r>
        <w:rPr>
          <w:rFonts w:eastAsia="Palatino Linotype"/>
          <w:sz w:val="22"/>
          <w:szCs w:val="22"/>
          <w:lang w:val="es-ES"/>
        </w:rPr>
        <w:t xml:space="preserve"> </w:t>
      </w:r>
      <w:proofErr w:type="spellStart"/>
      <w:r>
        <w:rPr>
          <w:rFonts w:eastAsia="Palatino Linotype"/>
          <w:sz w:val="22"/>
          <w:szCs w:val="22"/>
          <w:lang w:val="es-ES"/>
        </w:rPr>
        <w:t>is</w:t>
      </w:r>
      <w:proofErr w:type="spellEnd"/>
      <w:r>
        <w:rPr>
          <w:rFonts w:eastAsia="Palatino Linotype"/>
          <w:sz w:val="22"/>
          <w:szCs w:val="22"/>
          <w:lang w:val="es-ES"/>
        </w:rPr>
        <w:t xml:space="preserve"> </w:t>
      </w:r>
      <w:proofErr w:type="spellStart"/>
      <w:r>
        <w:rPr>
          <w:rFonts w:eastAsia="Palatino Linotype"/>
          <w:sz w:val="22"/>
          <w:szCs w:val="22"/>
          <w:lang w:val="es-ES"/>
        </w:rPr>
        <w:t>mandatory</w:t>
      </w:r>
      <w:proofErr w:type="spellEnd"/>
      <w:r>
        <w:rPr>
          <w:rFonts w:eastAsia="Palatino Linotype"/>
          <w:sz w:val="22"/>
          <w:szCs w:val="22"/>
          <w:lang w:val="es-ES"/>
        </w:rPr>
        <w:t xml:space="preserve"> </w:t>
      </w:r>
      <w:proofErr w:type="spellStart"/>
      <w:r>
        <w:rPr>
          <w:rFonts w:eastAsia="Palatino Linotype"/>
          <w:sz w:val="22"/>
          <w:szCs w:val="22"/>
          <w:lang w:val="es-ES"/>
        </w:rPr>
        <w:t>to</w:t>
      </w:r>
      <w:proofErr w:type="spellEnd"/>
      <w:r>
        <w:rPr>
          <w:rFonts w:eastAsia="Palatino Linotype"/>
          <w:sz w:val="22"/>
          <w:szCs w:val="22"/>
          <w:lang w:val="es-ES"/>
        </w:rPr>
        <w:t xml:space="preserve"> </w:t>
      </w:r>
      <w:proofErr w:type="spellStart"/>
      <w:r>
        <w:rPr>
          <w:rFonts w:eastAsia="Palatino Linotype"/>
          <w:sz w:val="22"/>
          <w:szCs w:val="22"/>
          <w:lang w:val="es-ES"/>
        </w:rPr>
        <w:t>publish</w:t>
      </w:r>
      <w:proofErr w:type="spellEnd"/>
      <w:r>
        <w:rPr>
          <w:rFonts w:eastAsia="Palatino Linotype"/>
          <w:sz w:val="22"/>
          <w:szCs w:val="22"/>
          <w:lang w:val="es-ES"/>
        </w:rPr>
        <w:t xml:space="preserve"> </w:t>
      </w:r>
      <w:proofErr w:type="spellStart"/>
      <w:r>
        <w:rPr>
          <w:rFonts w:eastAsia="Palatino Linotype"/>
          <w:sz w:val="22"/>
          <w:szCs w:val="22"/>
          <w:lang w:val="es-ES"/>
        </w:rPr>
        <w:t>the</w:t>
      </w:r>
      <w:proofErr w:type="spellEnd"/>
      <w:r>
        <w:rPr>
          <w:rFonts w:eastAsia="Palatino Linotype"/>
          <w:sz w:val="22"/>
          <w:szCs w:val="22"/>
          <w:lang w:val="es-ES"/>
        </w:rPr>
        <w:t xml:space="preserve"> </w:t>
      </w:r>
      <w:proofErr w:type="spellStart"/>
      <w:r>
        <w:rPr>
          <w:rFonts w:eastAsia="Palatino Linotype"/>
          <w:sz w:val="22"/>
          <w:szCs w:val="22"/>
          <w:lang w:val="es-ES"/>
        </w:rPr>
        <w:t>call</w:t>
      </w:r>
      <w:proofErr w:type="spellEnd"/>
      <w:r>
        <w:rPr>
          <w:rFonts w:eastAsia="Palatino Linotype"/>
          <w:sz w:val="22"/>
          <w:szCs w:val="22"/>
          <w:lang w:val="es-ES"/>
        </w:rPr>
        <w:t xml:space="preserve"> </w:t>
      </w:r>
      <w:proofErr w:type="spellStart"/>
      <w:r>
        <w:rPr>
          <w:rFonts w:eastAsia="Palatino Linotype"/>
          <w:sz w:val="22"/>
          <w:szCs w:val="22"/>
          <w:lang w:val="es-ES"/>
        </w:rPr>
        <w:t>for</w:t>
      </w:r>
      <w:proofErr w:type="spellEnd"/>
      <w:r>
        <w:rPr>
          <w:rFonts w:eastAsia="Palatino Linotype"/>
          <w:sz w:val="22"/>
          <w:szCs w:val="22"/>
          <w:lang w:val="es-ES"/>
        </w:rPr>
        <w:t xml:space="preserve"> competitive </w:t>
      </w:r>
      <w:proofErr w:type="spellStart"/>
      <w:r>
        <w:rPr>
          <w:rFonts w:eastAsia="Palatino Linotype"/>
          <w:sz w:val="22"/>
          <w:szCs w:val="22"/>
          <w:lang w:val="es-ES"/>
        </w:rPr>
        <w:t>procedures</w:t>
      </w:r>
      <w:proofErr w:type="spellEnd"/>
      <w:r>
        <w:rPr>
          <w:rFonts w:eastAsia="Palatino Linotype"/>
          <w:sz w:val="22"/>
          <w:szCs w:val="22"/>
          <w:lang w:val="es-ES"/>
        </w:rPr>
        <w:t xml:space="preserve"> and </w:t>
      </w:r>
      <w:proofErr w:type="spellStart"/>
      <w:r>
        <w:rPr>
          <w:rFonts w:eastAsia="Palatino Linotype"/>
          <w:sz w:val="22"/>
          <w:szCs w:val="22"/>
          <w:lang w:val="es-ES"/>
        </w:rPr>
        <w:t>the</w:t>
      </w:r>
      <w:proofErr w:type="spellEnd"/>
      <w:r>
        <w:rPr>
          <w:rFonts w:eastAsia="Palatino Linotype"/>
          <w:sz w:val="22"/>
          <w:szCs w:val="22"/>
          <w:lang w:val="es-ES"/>
        </w:rPr>
        <w:t xml:space="preserve"> Special </w:t>
      </w:r>
      <w:proofErr w:type="spellStart"/>
      <w:r>
        <w:rPr>
          <w:rFonts w:eastAsia="Palatino Linotype"/>
          <w:sz w:val="22"/>
          <w:szCs w:val="22"/>
          <w:lang w:val="es-ES"/>
        </w:rPr>
        <w:t>Specifications</w:t>
      </w:r>
      <w:proofErr w:type="spellEnd"/>
      <w:r>
        <w:rPr>
          <w:rFonts w:eastAsia="Palatino Linotype"/>
          <w:sz w:val="22"/>
          <w:szCs w:val="22"/>
          <w:lang w:val="es-ES"/>
        </w:rPr>
        <w:t xml:space="preserve"> </w:t>
      </w:r>
      <w:proofErr w:type="spellStart"/>
      <w:r>
        <w:rPr>
          <w:rFonts w:eastAsia="Palatino Linotype"/>
          <w:sz w:val="22"/>
          <w:szCs w:val="22"/>
          <w:lang w:val="es-ES"/>
        </w:rPr>
        <w:t>on</w:t>
      </w:r>
      <w:proofErr w:type="spellEnd"/>
      <w:r>
        <w:rPr>
          <w:rFonts w:eastAsia="Palatino Linotype"/>
          <w:sz w:val="22"/>
          <w:szCs w:val="22"/>
          <w:lang w:val="es-ES"/>
        </w:rPr>
        <w:t xml:space="preserve"> </w:t>
      </w:r>
      <w:proofErr w:type="spellStart"/>
      <w:r>
        <w:rPr>
          <w:rFonts w:eastAsia="Palatino Linotype"/>
          <w:sz w:val="22"/>
          <w:szCs w:val="22"/>
          <w:lang w:val="es-ES"/>
        </w:rPr>
        <w:t>the</w:t>
      </w:r>
      <w:proofErr w:type="spellEnd"/>
      <w:r>
        <w:rPr>
          <w:rFonts w:eastAsia="Palatino Linotype"/>
          <w:sz w:val="22"/>
          <w:szCs w:val="22"/>
          <w:lang w:val="es-ES"/>
        </w:rPr>
        <w:t xml:space="preserve"> State </w:t>
      </w:r>
      <w:proofErr w:type="spellStart"/>
      <w:r>
        <w:rPr>
          <w:rFonts w:eastAsia="Palatino Linotype"/>
          <w:sz w:val="22"/>
          <w:szCs w:val="22"/>
          <w:lang w:val="es-ES"/>
        </w:rPr>
        <w:t>Procurement</w:t>
      </w:r>
      <w:proofErr w:type="spellEnd"/>
      <w:r>
        <w:rPr>
          <w:rFonts w:eastAsia="Palatino Linotype"/>
          <w:sz w:val="22"/>
          <w:szCs w:val="22"/>
          <w:lang w:val="es-ES"/>
        </w:rPr>
        <w:t xml:space="preserve"> and </w:t>
      </w:r>
      <w:proofErr w:type="spellStart"/>
      <w:r>
        <w:rPr>
          <w:rFonts w:eastAsia="Palatino Linotype"/>
          <w:sz w:val="22"/>
          <w:szCs w:val="22"/>
          <w:lang w:val="es-ES"/>
        </w:rPr>
        <w:t>Contracting</w:t>
      </w:r>
      <w:proofErr w:type="spellEnd"/>
      <w:r>
        <w:rPr>
          <w:rFonts w:eastAsia="Palatino Linotype"/>
          <w:sz w:val="22"/>
          <w:szCs w:val="22"/>
          <w:lang w:val="es-ES"/>
        </w:rPr>
        <w:t xml:space="preserve"> </w:t>
      </w:r>
      <w:proofErr w:type="spellStart"/>
      <w:r>
        <w:rPr>
          <w:rFonts w:eastAsia="Palatino Linotype"/>
          <w:sz w:val="22"/>
          <w:szCs w:val="22"/>
          <w:lang w:val="es-ES"/>
        </w:rPr>
        <w:t>website</w:t>
      </w:r>
      <w:proofErr w:type="spellEnd"/>
      <w:r>
        <w:rPr>
          <w:rFonts w:eastAsia="Palatino Linotype"/>
          <w:sz w:val="22"/>
          <w:szCs w:val="22"/>
          <w:lang w:val="es-ES"/>
        </w:rPr>
        <w:t xml:space="preserve">, </w:t>
      </w:r>
      <w:proofErr w:type="spellStart"/>
      <w:r>
        <w:rPr>
          <w:rFonts w:eastAsia="Palatino Linotype"/>
          <w:sz w:val="22"/>
          <w:szCs w:val="22"/>
          <w:lang w:val="es-ES"/>
        </w:rPr>
        <w:t>complying</w:t>
      </w:r>
      <w:proofErr w:type="spellEnd"/>
      <w:r>
        <w:rPr>
          <w:rFonts w:eastAsia="Palatino Linotype"/>
          <w:sz w:val="22"/>
          <w:szCs w:val="22"/>
          <w:lang w:val="es-ES"/>
        </w:rPr>
        <w:t xml:space="preserve"> </w:t>
      </w:r>
      <w:proofErr w:type="spellStart"/>
      <w:r>
        <w:rPr>
          <w:rFonts w:eastAsia="Palatino Linotype"/>
          <w:sz w:val="22"/>
          <w:szCs w:val="22"/>
          <w:lang w:val="es-ES"/>
        </w:rPr>
        <w:t>with</w:t>
      </w:r>
      <w:proofErr w:type="spellEnd"/>
      <w:r>
        <w:rPr>
          <w:rFonts w:eastAsia="Palatino Linotype"/>
          <w:sz w:val="22"/>
          <w:szCs w:val="22"/>
          <w:lang w:val="es-ES"/>
        </w:rPr>
        <w:t xml:space="preserve"> </w:t>
      </w:r>
      <w:proofErr w:type="spellStart"/>
      <w:r>
        <w:rPr>
          <w:rFonts w:eastAsia="Palatino Linotype"/>
          <w:sz w:val="22"/>
          <w:szCs w:val="22"/>
          <w:lang w:val="es-ES"/>
        </w:rPr>
        <w:t>sufficient</w:t>
      </w:r>
      <w:proofErr w:type="spellEnd"/>
      <w:r>
        <w:rPr>
          <w:rFonts w:eastAsia="Palatino Linotype"/>
          <w:sz w:val="22"/>
          <w:szCs w:val="22"/>
          <w:lang w:val="es-ES"/>
        </w:rPr>
        <w:t xml:space="preserve"> </w:t>
      </w:r>
      <w:proofErr w:type="spellStart"/>
      <w:r>
        <w:rPr>
          <w:rFonts w:eastAsia="Palatino Linotype"/>
          <w:sz w:val="22"/>
          <w:szCs w:val="22"/>
          <w:lang w:val="es-ES"/>
        </w:rPr>
        <w:t>advance</w:t>
      </w:r>
      <w:proofErr w:type="spellEnd"/>
      <w:r>
        <w:rPr>
          <w:rFonts w:eastAsia="Palatino Linotype"/>
          <w:sz w:val="22"/>
          <w:szCs w:val="22"/>
          <w:lang w:val="es-ES"/>
        </w:rPr>
        <w:t xml:space="preserve"> </w:t>
      </w:r>
      <w:proofErr w:type="spellStart"/>
      <w:r>
        <w:rPr>
          <w:rFonts w:eastAsia="Palatino Linotype"/>
          <w:sz w:val="22"/>
          <w:szCs w:val="22"/>
          <w:lang w:val="es-ES"/>
        </w:rPr>
        <w:t>notice</w:t>
      </w:r>
      <w:proofErr w:type="spellEnd"/>
      <w:r>
        <w:rPr>
          <w:rFonts w:eastAsia="Palatino Linotype"/>
          <w:sz w:val="22"/>
          <w:szCs w:val="22"/>
          <w:lang w:val="es-ES"/>
        </w:rPr>
        <w:t xml:space="preserve"> </w:t>
      </w:r>
      <w:proofErr w:type="spellStart"/>
      <w:r>
        <w:rPr>
          <w:rFonts w:eastAsia="Palatino Linotype"/>
          <w:sz w:val="22"/>
          <w:szCs w:val="22"/>
          <w:lang w:val="es-ES"/>
        </w:rPr>
        <w:t>where</w:t>
      </w:r>
      <w:proofErr w:type="spellEnd"/>
      <w:r>
        <w:rPr>
          <w:rFonts w:eastAsia="Palatino Linotype"/>
          <w:sz w:val="22"/>
          <w:szCs w:val="22"/>
          <w:lang w:val="es-ES"/>
        </w:rPr>
        <w:t xml:space="preserve"> </w:t>
      </w:r>
      <w:proofErr w:type="spellStart"/>
      <w:r>
        <w:rPr>
          <w:rFonts w:eastAsia="Palatino Linotype"/>
          <w:sz w:val="22"/>
          <w:szCs w:val="22"/>
          <w:lang w:val="es-ES"/>
        </w:rPr>
        <w:t>applicable</w:t>
      </w:r>
      <w:proofErr w:type="spellEnd"/>
      <w:r>
        <w:rPr>
          <w:rFonts w:eastAsia="Palatino Linotype"/>
          <w:sz w:val="22"/>
          <w:szCs w:val="22"/>
          <w:lang w:val="es-ES"/>
        </w:rPr>
        <w:t xml:space="preserve">, </w:t>
      </w:r>
      <w:proofErr w:type="spellStart"/>
      <w:r>
        <w:rPr>
          <w:rFonts w:eastAsia="Palatino Linotype"/>
          <w:sz w:val="22"/>
          <w:szCs w:val="22"/>
          <w:lang w:val="es-ES"/>
        </w:rPr>
        <w:t>without</w:t>
      </w:r>
      <w:proofErr w:type="spellEnd"/>
      <w:r>
        <w:rPr>
          <w:rFonts w:eastAsia="Palatino Linotype"/>
          <w:sz w:val="22"/>
          <w:szCs w:val="22"/>
          <w:lang w:val="es-ES"/>
        </w:rPr>
        <w:t xml:space="preserve"> </w:t>
      </w:r>
      <w:proofErr w:type="spellStart"/>
      <w:r>
        <w:rPr>
          <w:rFonts w:eastAsia="Palatino Linotype"/>
          <w:sz w:val="22"/>
          <w:szCs w:val="22"/>
          <w:lang w:val="es-ES"/>
        </w:rPr>
        <w:t>prejudice</w:t>
      </w:r>
      <w:proofErr w:type="spellEnd"/>
      <w:r>
        <w:rPr>
          <w:rFonts w:eastAsia="Palatino Linotype"/>
          <w:sz w:val="22"/>
          <w:szCs w:val="22"/>
          <w:lang w:val="es-ES"/>
        </w:rPr>
        <w:t xml:space="preserve"> </w:t>
      </w:r>
      <w:proofErr w:type="spellStart"/>
      <w:r>
        <w:rPr>
          <w:rFonts w:eastAsia="Palatino Linotype"/>
          <w:sz w:val="22"/>
          <w:szCs w:val="22"/>
          <w:lang w:val="es-ES"/>
        </w:rPr>
        <w:t>to</w:t>
      </w:r>
      <w:proofErr w:type="spellEnd"/>
      <w:r>
        <w:rPr>
          <w:rFonts w:eastAsia="Palatino Linotype"/>
          <w:sz w:val="22"/>
          <w:szCs w:val="22"/>
          <w:lang w:val="es-ES"/>
        </w:rPr>
        <w:t xml:space="preserve"> </w:t>
      </w:r>
      <w:proofErr w:type="spellStart"/>
      <w:r>
        <w:rPr>
          <w:rFonts w:eastAsia="Palatino Linotype"/>
          <w:sz w:val="22"/>
          <w:szCs w:val="22"/>
          <w:lang w:val="es-ES"/>
        </w:rPr>
        <w:t>other</w:t>
      </w:r>
      <w:proofErr w:type="spellEnd"/>
      <w:r>
        <w:rPr>
          <w:rFonts w:eastAsia="Palatino Linotype"/>
          <w:sz w:val="22"/>
          <w:szCs w:val="22"/>
          <w:lang w:val="es-ES"/>
        </w:rPr>
        <w:t xml:space="preserve"> </w:t>
      </w:r>
      <w:proofErr w:type="spellStart"/>
      <w:r>
        <w:rPr>
          <w:rFonts w:eastAsia="Palatino Linotype"/>
          <w:sz w:val="22"/>
          <w:szCs w:val="22"/>
          <w:lang w:val="es-ES"/>
        </w:rPr>
        <w:t>means</w:t>
      </w:r>
      <w:proofErr w:type="spellEnd"/>
      <w:r>
        <w:rPr>
          <w:rFonts w:eastAsia="Palatino Linotype"/>
          <w:sz w:val="22"/>
          <w:szCs w:val="22"/>
          <w:lang w:val="es-ES"/>
        </w:rPr>
        <w:t xml:space="preserve"> </w:t>
      </w:r>
      <w:proofErr w:type="spellStart"/>
      <w:r>
        <w:rPr>
          <w:rFonts w:eastAsia="Palatino Linotype"/>
          <w:sz w:val="22"/>
          <w:szCs w:val="22"/>
          <w:lang w:val="es-ES"/>
        </w:rPr>
        <w:t>that</w:t>
      </w:r>
      <w:proofErr w:type="spellEnd"/>
      <w:r>
        <w:rPr>
          <w:rFonts w:eastAsia="Palatino Linotype"/>
          <w:sz w:val="22"/>
          <w:szCs w:val="22"/>
          <w:lang w:val="es-ES"/>
        </w:rPr>
        <w:t xml:space="preserve"> </w:t>
      </w:r>
      <w:proofErr w:type="spellStart"/>
      <w:r>
        <w:rPr>
          <w:rFonts w:eastAsia="Palatino Linotype"/>
          <w:sz w:val="22"/>
          <w:szCs w:val="22"/>
          <w:lang w:val="es-ES"/>
        </w:rPr>
        <w:t>the</w:t>
      </w:r>
      <w:proofErr w:type="spellEnd"/>
      <w:r>
        <w:rPr>
          <w:rFonts w:eastAsia="Palatino Linotype"/>
          <w:sz w:val="22"/>
          <w:szCs w:val="22"/>
          <w:lang w:val="es-ES"/>
        </w:rPr>
        <w:t xml:space="preserve"> Public </w:t>
      </w:r>
      <w:proofErr w:type="spellStart"/>
      <w:r>
        <w:rPr>
          <w:rFonts w:eastAsia="Palatino Linotype"/>
          <w:sz w:val="22"/>
          <w:szCs w:val="22"/>
          <w:lang w:val="es-ES"/>
        </w:rPr>
        <w:t>Administration</w:t>
      </w:r>
      <w:proofErr w:type="spellEnd"/>
      <w:r>
        <w:rPr>
          <w:rFonts w:eastAsia="Palatino Linotype"/>
          <w:sz w:val="22"/>
          <w:szCs w:val="22"/>
          <w:lang w:val="es-ES"/>
        </w:rPr>
        <w:t xml:space="preserve"> </w:t>
      </w:r>
      <w:proofErr w:type="spellStart"/>
      <w:r>
        <w:rPr>
          <w:rFonts w:eastAsia="Palatino Linotype"/>
          <w:sz w:val="22"/>
          <w:szCs w:val="22"/>
          <w:lang w:val="es-ES"/>
        </w:rPr>
        <w:t>deems</w:t>
      </w:r>
      <w:proofErr w:type="spellEnd"/>
      <w:r>
        <w:rPr>
          <w:rFonts w:eastAsia="Palatino Linotype"/>
          <w:sz w:val="22"/>
          <w:szCs w:val="22"/>
          <w:lang w:val="es-ES"/>
        </w:rPr>
        <w:t xml:space="preserve"> </w:t>
      </w:r>
      <w:proofErr w:type="spellStart"/>
      <w:r>
        <w:rPr>
          <w:rFonts w:eastAsia="Palatino Linotype"/>
          <w:sz w:val="22"/>
          <w:szCs w:val="22"/>
          <w:lang w:val="es-ES"/>
        </w:rPr>
        <w:t>appropriate</w:t>
      </w:r>
      <w:proofErr w:type="spellEnd"/>
      <w:r>
        <w:rPr>
          <w:rFonts w:eastAsia="Palatino Linotype"/>
          <w:sz w:val="22"/>
          <w:szCs w:val="22"/>
          <w:lang w:val="es-ES"/>
        </w:rPr>
        <w:t>.</w:t>
      </w:r>
    </w:p>
    <w:p w14:paraId="124C750C" w14:textId="77777777" w:rsidR="00E255F4" w:rsidRDefault="00000000">
      <w:pPr>
        <w:ind w:right="-142"/>
        <w:jc w:val="both"/>
        <w:rPr>
          <w:rFonts w:eastAsia="Palatino Linotype"/>
          <w:spacing w:val="-1"/>
          <w:sz w:val="22"/>
          <w:szCs w:val="22"/>
          <w:lang w:val="es-ES"/>
        </w:rPr>
      </w:pPr>
      <w:r>
        <w:rPr>
          <w:rFonts w:eastAsia="Palatino Linotype"/>
          <w:spacing w:val="-1"/>
          <w:sz w:val="22"/>
          <w:szCs w:val="22"/>
          <w:lang w:val="es-ES"/>
        </w:rPr>
        <w:t>AND</w:t>
      </w:r>
      <w:r>
        <w:rPr>
          <w:rFonts w:eastAsia="Palatino Linotype"/>
          <w:sz w:val="22"/>
          <w:szCs w:val="22"/>
          <w:lang w:val="es-ES"/>
        </w:rPr>
        <w:t xml:space="preserve">In </w:t>
      </w:r>
      <w:proofErr w:type="spellStart"/>
      <w:r>
        <w:rPr>
          <w:rFonts w:eastAsia="Palatino Linotype"/>
          <w:sz w:val="22"/>
          <w:szCs w:val="22"/>
          <w:lang w:val="es-ES"/>
        </w:rPr>
        <w:t>the</w:t>
      </w:r>
      <w:proofErr w:type="spellEnd"/>
      <w:r>
        <w:rPr>
          <w:rFonts w:eastAsia="Palatino Linotype"/>
          <w:sz w:val="22"/>
          <w:szCs w:val="22"/>
          <w:lang w:val="es-ES"/>
        </w:rPr>
        <w:t xml:space="preserve"> case </w:t>
      </w:r>
      <w:proofErr w:type="spellStart"/>
      <w:r>
        <w:rPr>
          <w:rFonts w:eastAsia="Palatino Linotype"/>
          <w:sz w:val="22"/>
          <w:szCs w:val="22"/>
          <w:lang w:val="es-ES"/>
        </w:rPr>
        <w:t>of</w:t>
      </w:r>
      <w:proofErr w:type="spellEnd"/>
      <w:r>
        <w:rPr>
          <w:rFonts w:eastAsia="Palatino Linotype"/>
          <w:sz w:val="22"/>
          <w:szCs w:val="22"/>
          <w:lang w:val="es-ES"/>
        </w:rPr>
        <w:t xml:space="preserve"> </w:t>
      </w:r>
      <w:proofErr w:type="spellStart"/>
      <w:r>
        <w:rPr>
          <w:rFonts w:eastAsia="Palatino Linotype"/>
          <w:sz w:val="22"/>
          <w:szCs w:val="22"/>
          <w:lang w:val="es-ES"/>
        </w:rPr>
        <w:t>public</w:t>
      </w:r>
      <w:proofErr w:type="spellEnd"/>
      <w:r>
        <w:rPr>
          <w:rFonts w:eastAsia="Palatino Linotype"/>
          <w:sz w:val="22"/>
          <w:szCs w:val="22"/>
          <w:lang w:val="es-ES"/>
        </w:rPr>
        <w:t xml:space="preserve"> </w:t>
      </w:r>
      <w:proofErr w:type="spellStart"/>
      <w:r>
        <w:rPr>
          <w:rFonts w:eastAsia="Palatino Linotype"/>
          <w:sz w:val="22"/>
          <w:szCs w:val="22"/>
          <w:lang w:val="es-ES"/>
        </w:rPr>
        <w:t>tenders</w:t>
      </w:r>
      <w:proofErr w:type="spellEnd"/>
      <w:r>
        <w:rPr>
          <w:rFonts w:eastAsia="Palatino Linotype"/>
          <w:sz w:val="22"/>
          <w:szCs w:val="22"/>
          <w:lang w:val="es-ES"/>
        </w:rPr>
        <w:t xml:space="preserve">, </w:t>
      </w:r>
      <w:proofErr w:type="spellStart"/>
      <w:r>
        <w:rPr>
          <w:rFonts w:eastAsia="Palatino Linotype"/>
          <w:sz w:val="22"/>
          <w:szCs w:val="22"/>
          <w:lang w:val="es-ES"/>
        </w:rPr>
        <w:t>the</w:t>
      </w:r>
      <w:proofErr w:type="spellEnd"/>
      <w:r>
        <w:rPr>
          <w:rFonts w:eastAsia="Palatino Linotype"/>
          <w:sz w:val="22"/>
          <w:szCs w:val="22"/>
          <w:lang w:val="es-ES"/>
        </w:rPr>
        <w:t xml:space="preserve"> </w:t>
      </w:r>
      <w:proofErr w:type="spellStart"/>
      <w:r>
        <w:rPr>
          <w:rFonts w:eastAsia="Palatino Linotype"/>
          <w:sz w:val="22"/>
          <w:szCs w:val="22"/>
          <w:lang w:val="es-ES"/>
        </w:rPr>
        <w:t>specific</w:t>
      </w:r>
      <w:proofErr w:type="spellEnd"/>
      <w:r>
        <w:rPr>
          <w:rFonts w:eastAsia="Palatino Linotype"/>
          <w:sz w:val="22"/>
          <w:szCs w:val="22"/>
          <w:lang w:val="es-ES"/>
        </w:rPr>
        <w:t xml:space="preserve"> </w:t>
      </w:r>
      <w:proofErr w:type="spellStart"/>
      <w:r>
        <w:rPr>
          <w:rFonts w:eastAsia="Palatino Linotype"/>
          <w:sz w:val="22"/>
          <w:szCs w:val="22"/>
          <w:lang w:val="es-ES"/>
        </w:rPr>
        <w:t>regulations</w:t>
      </w:r>
      <w:proofErr w:type="spellEnd"/>
      <w:r>
        <w:rPr>
          <w:rFonts w:eastAsia="Palatino Linotype"/>
          <w:sz w:val="22"/>
          <w:szCs w:val="22"/>
          <w:lang w:val="es-ES"/>
        </w:rPr>
        <w:t xml:space="preserve"> </w:t>
      </w:r>
      <w:proofErr w:type="spellStart"/>
      <w:r>
        <w:rPr>
          <w:rFonts w:eastAsia="Palatino Linotype"/>
          <w:sz w:val="22"/>
          <w:szCs w:val="22"/>
          <w:lang w:val="es-ES"/>
        </w:rPr>
        <w:t>on</w:t>
      </w:r>
      <w:proofErr w:type="spellEnd"/>
      <w:r>
        <w:rPr>
          <w:rFonts w:eastAsia="Palatino Linotype"/>
          <w:sz w:val="22"/>
          <w:szCs w:val="22"/>
          <w:lang w:val="es-ES"/>
        </w:rPr>
        <w:t xml:space="preserve"> </w:t>
      </w:r>
      <w:proofErr w:type="spellStart"/>
      <w:r>
        <w:rPr>
          <w:rFonts w:eastAsia="Palatino Linotype"/>
          <w:sz w:val="22"/>
          <w:szCs w:val="22"/>
          <w:lang w:val="es-ES"/>
        </w:rPr>
        <w:t>the</w:t>
      </w:r>
      <w:proofErr w:type="spellEnd"/>
      <w:r>
        <w:rPr>
          <w:rFonts w:eastAsia="Palatino Linotype"/>
          <w:sz w:val="22"/>
          <w:szCs w:val="22"/>
          <w:lang w:val="es-ES"/>
        </w:rPr>
        <w:t xml:space="preserve"> </w:t>
      </w:r>
      <w:proofErr w:type="spellStart"/>
      <w:r>
        <w:rPr>
          <w:rFonts w:eastAsia="Palatino Linotype"/>
          <w:sz w:val="22"/>
          <w:szCs w:val="22"/>
          <w:lang w:val="es-ES"/>
        </w:rPr>
        <w:t>matter</w:t>
      </w:r>
      <w:proofErr w:type="spellEnd"/>
      <w:r>
        <w:rPr>
          <w:rFonts w:eastAsia="Palatino Linotype"/>
          <w:sz w:val="22"/>
          <w:szCs w:val="22"/>
          <w:lang w:val="es-ES"/>
        </w:rPr>
        <w:t xml:space="preserve"> </w:t>
      </w:r>
      <w:proofErr w:type="spellStart"/>
      <w:r>
        <w:rPr>
          <w:rFonts w:eastAsia="Palatino Linotype"/>
          <w:sz w:val="22"/>
          <w:szCs w:val="22"/>
          <w:lang w:val="es-ES"/>
        </w:rPr>
        <w:t>must</w:t>
      </w:r>
      <w:proofErr w:type="spellEnd"/>
      <w:r>
        <w:rPr>
          <w:rFonts w:eastAsia="Palatino Linotype"/>
          <w:sz w:val="22"/>
          <w:szCs w:val="22"/>
          <w:lang w:val="es-ES"/>
        </w:rPr>
        <w:t xml:space="preserve"> be </w:t>
      </w:r>
      <w:proofErr w:type="spellStart"/>
      <w:r>
        <w:rPr>
          <w:rFonts w:eastAsia="Palatino Linotype"/>
          <w:sz w:val="22"/>
          <w:szCs w:val="22"/>
          <w:lang w:val="es-ES"/>
        </w:rPr>
        <w:t>complied</w:t>
      </w:r>
      <w:proofErr w:type="spellEnd"/>
      <w:r>
        <w:rPr>
          <w:rFonts w:eastAsia="Palatino Linotype"/>
          <w:sz w:val="22"/>
          <w:szCs w:val="22"/>
          <w:lang w:val="es-ES"/>
        </w:rPr>
        <w:t xml:space="preserve"> </w:t>
      </w:r>
      <w:proofErr w:type="spellStart"/>
      <w:r>
        <w:rPr>
          <w:rFonts w:eastAsia="Palatino Linotype"/>
          <w:sz w:val="22"/>
          <w:szCs w:val="22"/>
          <w:lang w:val="es-ES"/>
        </w:rPr>
        <w:t>with</w:t>
      </w:r>
      <w:proofErr w:type="spellEnd"/>
      <w:r>
        <w:rPr>
          <w:rFonts w:eastAsia="Palatino Linotype"/>
          <w:sz w:val="22"/>
          <w:szCs w:val="22"/>
          <w:lang w:val="es-ES"/>
        </w:rPr>
        <w:t xml:space="preserve">, and </w:t>
      </w:r>
      <w:proofErr w:type="spellStart"/>
      <w:r>
        <w:rPr>
          <w:rFonts w:eastAsia="Palatino Linotype"/>
          <w:sz w:val="22"/>
          <w:szCs w:val="22"/>
          <w:lang w:val="es-ES"/>
        </w:rPr>
        <w:t>the</w:t>
      </w:r>
      <w:proofErr w:type="spellEnd"/>
      <w:r>
        <w:rPr>
          <w:rFonts w:eastAsia="Palatino Linotype"/>
          <w:sz w:val="22"/>
          <w:szCs w:val="22"/>
          <w:lang w:val="es-ES"/>
        </w:rPr>
        <w:t xml:space="preserve"> </w:t>
      </w:r>
      <w:proofErr w:type="spellStart"/>
      <w:r>
        <w:rPr>
          <w:rFonts w:eastAsia="Palatino Linotype"/>
          <w:sz w:val="22"/>
          <w:szCs w:val="22"/>
          <w:lang w:val="es-ES"/>
        </w:rPr>
        <w:t>call</w:t>
      </w:r>
      <w:proofErr w:type="spellEnd"/>
      <w:r>
        <w:rPr>
          <w:rFonts w:eastAsia="Palatino Linotype"/>
          <w:sz w:val="22"/>
          <w:szCs w:val="22"/>
          <w:lang w:val="es-ES"/>
        </w:rPr>
        <w:t xml:space="preserve"> </w:t>
      </w:r>
      <w:proofErr w:type="spellStart"/>
      <w:r>
        <w:rPr>
          <w:rFonts w:eastAsia="Palatino Linotype"/>
          <w:sz w:val="22"/>
          <w:szCs w:val="22"/>
          <w:lang w:val="es-ES"/>
        </w:rPr>
        <w:t>for</w:t>
      </w:r>
      <w:proofErr w:type="spellEnd"/>
      <w:r>
        <w:rPr>
          <w:rFonts w:eastAsia="Palatino Linotype"/>
          <w:sz w:val="22"/>
          <w:szCs w:val="22"/>
          <w:lang w:val="es-ES"/>
        </w:rPr>
        <w:t xml:space="preserve"> </w:t>
      </w:r>
      <w:proofErr w:type="spellStart"/>
      <w:r>
        <w:rPr>
          <w:rFonts w:eastAsia="Palatino Linotype"/>
          <w:sz w:val="22"/>
          <w:szCs w:val="22"/>
          <w:lang w:val="es-ES"/>
        </w:rPr>
        <w:t>tenders</w:t>
      </w:r>
      <w:proofErr w:type="spellEnd"/>
      <w:r>
        <w:rPr>
          <w:rFonts w:eastAsia="Palatino Linotype"/>
          <w:sz w:val="22"/>
          <w:szCs w:val="22"/>
          <w:lang w:val="es-ES"/>
        </w:rPr>
        <w:t xml:space="preserve"> </w:t>
      </w:r>
      <w:proofErr w:type="spellStart"/>
      <w:r>
        <w:rPr>
          <w:rFonts w:eastAsia="Palatino Linotype"/>
          <w:sz w:val="22"/>
          <w:szCs w:val="22"/>
          <w:lang w:val="es-ES"/>
        </w:rPr>
        <w:t>must</w:t>
      </w:r>
      <w:proofErr w:type="spellEnd"/>
      <w:r>
        <w:rPr>
          <w:rFonts w:eastAsia="Palatino Linotype"/>
          <w:sz w:val="22"/>
          <w:szCs w:val="22"/>
          <w:lang w:val="es-ES"/>
        </w:rPr>
        <w:t xml:space="preserve"> </w:t>
      </w:r>
      <w:proofErr w:type="spellStart"/>
      <w:r>
        <w:rPr>
          <w:rFonts w:eastAsia="Palatino Linotype"/>
          <w:sz w:val="22"/>
          <w:szCs w:val="22"/>
          <w:lang w:val="es-ES"/>
        </w:rPr>
        <w:t>also</w:t>
      </w:r>
      <w:proofErr w:type="spellEnd"/>
      <w:r>
        <w:rPr>
          <w:rFonts w:eastAsia="Palatino Linotype"/>
          <w:sz w:val="22"/>
          <w:szCs w:val="22"/>
          <w:lang w:val="es-ES"/>
        </w:rPr>
        <w:t xml:space="preserve"> be </w:t>
      </w:r>
      <w:proofErr w:type="spellStart"/>
      <w:r>
        <w:rPr>
          <w:rFonts w:eastAsia="Palatino Linotype"/>
          <w:sz w:val="22"/>
          <w:szCs w:val="22"/>
          <w:lang w:val="es-ES"/>
        </w:rPr>
        <w:t>published</w:t>
      </w:r>
      <w:proofErr w:type="spellEnd"/>
      <w:r>
        <w:rPr>
          <w:rFonts w:eastAsia="Palatino Linotype"/>
          <w:sz w:val="22"/>
          <w:szCs w:val="22"/>
          <w:lang w:val="es-ES"/>
        </w:rPr>
        <w:t xml:space="preserve"> in </w:t>
      </w:r>
      <w:proofErr w:type="spellStart"/>
      <w:r>
        <w:rPr>
          <w:rFonts w:eastAsia="Palatino Linotype"/>
          <w:sz w:val="22"/>
          <w:szCs w:val="22"/>
          <w:lang w:val="es-ES"/>
        </w:rPr>
        <w:t>the</w:t>
      </w:r>
      <w:proofErr w:type="spellEnd"/>
      <w:r>
        <w:rPr>
          <w:rFonts w:eastAsia="Palatino Linotype"/>
          <w:sz w:val="22"/>
          <w:szCs w:val="22"/>
          <w:lang w:val="es-ES"/>
        </w:rPr>
        <w:t xml:space="preserve"> </w:t>
      </w:r>
      <w:proofErr w:type="spellStart"/>
      <w:r>
        <w:rPr>
          <w:rFonts w:eastAsia="Palatino Linotype"/>
          <w:sz w:val="22"/>
          <w:szCs w:val="22"/>
          <w:lang w:val="es-ES"/>
        </w:rPr>
        <w:t>Official</w:t>
      </w:r>
      <w:proofErr w:type="spellEnd"/>
      <w:r>
        <w:rPr>
          <w:rFonts w:eastAsia="Palatino Linotype"/>
          <w:sz w:val="22"/>
          <w:szCs w:val="22"/>
          <w:lang w:val="es-ES"/>
        </w:rPr>
        <w:t xml:space="preserve"> Gazette.</w:t>
      </w:r>
    </w:p>
    <w:p w14:paraId="1A330243" w14:textId="77777777" w:rsidR="00E255F4" w:rsidRDefault="00E255F4">
      <w:pPr>
        <w:ind w:right="-142"/>
        <w:jc w:val="both"/>
        <w:rPr>
          <w:rFonts w:eastAsia="Palatino Linotype"/>
          <w:spacing w:val="-1"/>
          <w:sz w:val="22"/>
          <w:szCs w:val="22"/>
          <w:lang w:val="es-ES"/>
        </w:rPr>
      </w:pPr>
    </w:p>
    <w:p w14:paraId="31EA80F5" w14:textId="77777777" w:rsidR="00E255F4" w:rsidRDefault="00000000">
      <w:pPr>
        <w:tabs>
          <w:tab w:val="left" w:pos="284"/>
        </w:tabs>
        <w:ind w:right="-142"/>
        <w:jc w:val="both"/>
        <w:outlineLvl w:val="0"/>
        <w:rPr>
          <w:rFonts w:eastAsia="Palatino Linotype"/>
          <w:b/>
          <w:spacing w:val="-1"/>
          <w:sz w:val="22"/>
          <w:szCs w:val="22"/>
          <w:lang w:val="es-ES"/>
        </w:rPr>
      </w:pPr>
      <w:bookmarkStart w:id="11" w:name="__RefHeading___Toc225377188"/>
      <w:bookmarkEnd w:id="11"/>
      <w:r>
        <w:rPr>
          <w:rFonts w:eastAsia="Palatino Linotype"/>
          <w:b/>
          <w:spacing w:val="-1"/>
          <w:sz w:val="22"/>
          <w:szCs w:val="22"/>
          <w:lang w:val="es-ES"/>
        </w:rPr>
        <w:t xml:space="preserve">3. </w:t>
      </w:r>
      <w:proofErr w:type="spellStart"/>
      <w:r>
        <w:rPr>
          <w:rFonts w:eastAsia="Palatino Linotype"/>
          <w:b/>
          <w:spacing w:val="-1"/>
          <w:sz w:val="22"/>
          <w:szCs w:val="22"/>
          <w:lang w:val="es-ES"/>
        </w:rPr>
        <w:t>Clarifications</w:t>
      </w:r>
      <w:proofErr w:type="spellEnd"/>
      <w:r>
        <w:rPr>
          <w:rFonts w:eastAsia="Palatino Linotype"/>
          <w:b/>
          <w:spacing w:val="-1"/>
          <w:sz w:val="22"/>
          <w:szCs w:val="22"/>
          <w:lang w:val="es-ES"/>
        </w:rPr>
        <w:t xml:space="preserve"> </w:t>
      </w:r>
      <w:proofErr w:type="spellStart"/>
      <w:r>
        <w:rPr>
          <w:rFonts w:eastAsia="Palatino Linotype"/>
          <w:b/>
          <w:spacing w:val="-1"/>
          <w:sz w:val="22"/>
          <w:szCs w:val="22"/>
          <w:lang w:val="es-ES"/>
        </w:rPr>
        <w:t>of</w:t>
      </w:r>
      <w:proofErr w:type="spellEnd"/>
      <w:r>
        <w:rPr>
          <w:rFonts w:eastAsia="Palatino Linotype"/>
          <w:b/>
          <w:spacing w:val="-1"/>
          <w:sz w:val="22"/>
          <w:szCs w:val="22"/>
          <w:lang w:val="es-ES"/>
        </w:rPr>
        <w:t xml:space="preserve"> </w:t>
      </w:r>
      <w:proofErr w:type="spellStart"/>
      <w:r>
        <w:rPr>
          <w:rFonts w:eastAsia="Palatino Linotype"/>
          <w:b/>
          <w:spacing w:val="-1"/>
          <w:sz w:val="22"/>
          <w:szCs w:val="22"/>
          <w:lang w:val="es-ES"/>
        </w:rPr>
        <w:t>the</w:t>
      </w:r>
      <w:proofErr w:type="spellEnd"/>
      <w:r>
        <w:rPr>
          <w:rFonts w:eastAsia="Palatino Linotype"/>
          <w:b/>
          <w:spacing w:val="-1"/>
          <w:sz w:val="22"/>
          <w:szCs w:val="22"/>
          <w:lang w:val="es-ES"/>
        </w:rPr>
        <w:t xml:space="preserve"> </w:t>
      </w:r>
      <w:proofErr w:type="spellStart"/>
      <w:r>
        <w:rPr>
          <w:rFonts w:eastAsia="Palatino Linotype"/>
          <w:b/>
          <w:spacing w:val="-1"/>
          <w:sz w:val="22"/>
          <w:szCs w:val="22"/>
          <w:lang w:val="es-ES"/>
        </w:rPr>
        <w:t>Specifications</w:t>
      </w:r>
      <w:proofErr w:type="spellEnd"/>
      <w:r>
        <w:rPr>
          <w:rFonts w:eastAsia="Palatino Linotype"/>
          <w:b/>
          <w:spacing w:val="-1"/>
          <w:sz w:val="22"/>
          <w:szCs w:val="22"/>
          <w:lang w:val="es-ES"/>
        </w:rPr>
        <w:tab/>
      </w:r>
      <w:r>
        <w:rPr>
          <w:rFonts w:eastAsia="Palatino Linotype"/>
          <w:b/>
          <w:spacing w:val="-1"/>
          <w:sz w:val="22"/>
          <w:szCs w:val="22"/>
          <w:lang w:val="es-ES"/>
        </w:rPr>
        <w:tab/>
      </w:r>
    </w:p>
    <w:p w14:paraId="0C620ED3" w14:textId="77777777" w:rsidR="00E255F4" w:rsidRDefault="00E255F4">
      <w:pPr>
        <w:rPr>
          <w:rFonts w:eastAsia="Palatino Linotype"/>
          <w:b/>
          <w:spacing w:val="-1"/>
          <w:sz w:val="22"/>
          <w:szCs w:val="22"/>
          <w:lang w:val="es-ES"/>
        </w:rPr>
      </w:pPr>
    </w:p>
    <w:p w14:paraId="28DF63A2" w14:textId="77777777" w:rsidR="00E255F4" w:rsidRDefault="00000000">
      <w:pPr>
        <w:ind w:right="-142"/>
        <w:jc w:val="both"/>
      </w:pPr>
      <w:proofErr w:type="spellStart"/>
      <w:r>
        <w:rPr>
          <w:rFonts w:eastAsia="Palatino Linotype"/>
          <w:spacing w:val="3"/>
          <w:sz w:val="22"/>
          <w:szCs w:val="22"/>
          <w:lang w:val="es-ES"/>
        </w:rPr>
        <w:t>The</w:t>
      </w:r>
      <w:r>
        <w:rPr>
          <w:rFonts w:eastAsia="Palatino Linotype"/>
          <w:sz w:val="22"/>
          <w:szCs w:val="22"/>
          <w:lang w:val="es-ES"/>
        </w:rPr>
        <w:t>Requests</w:t>
      </w:r>
      <w:proofErr w:type="spellEnd"/>
      <w:r>
        <w:rPr>
          <w:rFonts w:eastAsia="Palatino Linotype"/>
          <w:sz w:val="22"/>
          <w:szCs w:val="22"/>
          <w:lang w:val="es-ES"/>
        </w:rPr>
        <w:t xml:space="preserve"> </w:t>
      </w:r>
      <w:proofErr w:type="spellStart"/>
      <w:r>
        <w:rPr>
          <w:rFonts w:eastAsia="Palatino Linotype"/>
          <w:sz w:val="22"/>
          <w:szCs w:val="22"/>
          <w:lang w:val="es-ES"/>
        </w:rPr>
        <w:t>for</w:t>
      </w:r>
      <w:proofErr w:type="spellEnd"/>
      <w:r>
        <w:rPr>
          <w:rFonts w:eastAsia="Palatino Linotype"/>
          <w:sz w:val="22"/>
          <w:szCs w:val="22"/>
          <w:lang w:val="es-ES"/>
        </w:rPr>
        <w:t xml:space="preserve"> </w:t>
      </w:r>
      <w:proofErr w:type="spellStart"/>
      <w:r>
        <w:rPr>
          <w:rFonts w:eastAsia="Palatino Linotype"/>
          <w:sz w:val="22"/>
          <w:szCs w:val="22"/>
          <w:lang w:val="es-ES"/>
        </w:rPr>
        <w:t>clarification</w:t>
      </w:r>
      <w:proofErr w:type="spellEnd"/>
      <w:r>
        <w:rPr>
          <w:rFonts w:eastAsia="Palatino Linotype"/>
          <w:sz w:val="22"/>
          <w:szCs w:val="22"/>
          <w:lang w:val="es-ES"/>
        </w:rPr>
        <w:t xml:space="preserve"> </w:t>
      </w:r>
      <w:proofErr w:type="spellStart"/>
      <w:r>
        <w:rPr>
          <w:rFonts w:eastAsia="Palatino Linotype"/>
          <w:sz w:val="22"/>
          <w:szCs w:val="22"/>
          <w:lang w:val="es-ES"/>
        </w:rPr>
        <w:t>may</w:t>
      </w:r>
      <w:proofErr w:type="spellEnd"/>
      <w:r>
        <w:rPr>
          <w:rFonts w:eastAsia="Palatino Linotype"/>
          <w:sz w:val="22"/>
          <w:szCs w:val="22"/>
          <w:lang w:val="es-ES"/>
        </w:rPr>
        <w:t xml:space="preserve"> be </w:t>
      </w:r>
      <w:proofErr w:type="spellStart"/>
      <w:r>
        <w:rPr>
          <w:rFonts w:eastAsia="Palatino Linotype"/>
          <w:sz w:val="22"/>
          <w:szCs w:val="22"/>
          <w:lang w:val="es-ES"/>
        </w:rPr>
        <w:t>submitted</w:t>
      </w:r>
      <w:proofErr w:type="spellEnd"/>
      <w:r>
        <w:rPr>
          <w:rFonts w:eastAsia="Palatino Linotype"/>
          <w:sz w:val="22"/>
          <w:szCs w:val="22"/>
          <w:lang w:val="es-ES"/>
        </w:rPr>
        <w:t xml:space="preserve"> </w:t>
      </w:r>
      <w:proofErr w:type="spellStart"/>
      <w:r>
        <w:rPr>
          <w:rFonts w:eastAsia="Palatino Linotype"/>
          <w:sz w:val="22"/>
          <w:szCs w:val="22"/>
          <w:lang w:val="es-ES"/>
        </w:rPr>
        <w:t>by</w:t>
      </w:r>
      <w:proofErr w:type="spellEnd"/>
      <w:r>
        <w:rPr>
          <w:rFonts w:eastAsia="Palatino Linotype"/>
          <w:sz w:val="22"/>
          <w:szCs w:val="22"/>
          <w:lang w:val="es-ES"/>
        </w:rPr>
        <w:t xml:space="preserve"> </w:t>
      </w:r>
      <w:proofErr w:type="spellStart"/>
      <w:r>
        <w:rPr>
          <w:rFonts w:eastAsia="Palatino Linotype"/>
          <w:sz w:val="22"/>
          <w:szCs w:val="22"/>
          <w:lang w:val="es-ES"/>
        </w:rPr>
        <w:t>purchasers</w:t>
      </w:r>
      <w:proofErr w:type="spellEnd"/>
      <w:r>
        <w:rPr>
          <w:rFonts w:eastAsia="Palatino Linotype"/>
          <w:sz w:val="22"/>
          <w:szCs w:val="22"/>
          <w:lang w:val="es-ES"/>
        </w:rPr>
        <w:t xml:space="preserve"> </w:t>
      </w:r>
      <w:proofErr w:type="spellStart"/>
      <w:r>
        <w:rPr>
          <w:rFonts w:eastAsia="Palatino Linotype"/>
          <w:sz w:val="22"/>
          <w:szCs w:val="22"/>
          <w:lang w:val="es-ES"/>
        </w:rPr>
        <w:t>of</w:t>
      </w:r>
      <w:proofErr w:type="spellEnd"/>
      <w:r>
        <w:rPr>
          <w:rFonts w:eastAsia="Palatino Linotype"/>
          <w:sz w:val="22"/>
          <w:szCs w:val="22"/>
          <w:lang w:val="es-ES"/>
        </w:rPr>
        <w:t xml:space="preserve"> </w:t>
      </w:r>
      <w:proofErr w:type="spellStart"/>
      <w:r>
        <w:rPr>
          <w:rFonts w:eastAsia="Palatino Linotype"/>
          <w:sz w:val="22"/>
          <w:szCs w:val="22"/>
          <w:lang w:val="es-ES"/>
        </w:rPr>
        <w:t>the</w:t>
      </w:r>
      <w:proofErr w:type="spellEnd"/>
      <w:r>
        <w:rPr>
          <w:rFonts w:eastAsia="Palatino Linotype"/>
          <w:sz w:val="22"/>
          <w:szCs w:val="22"/>
          <w:lang w:val="es-ES"/>
        </w:rPr>
        <w:t xml:space="preserve"> Special Tender </w:t>
      </w:r>
      <w:proofErr w:type="spellStart"/>
      <w:r>
        <w:rPr>
          <w:rFonts w:eastAsia="Palatino Linotype"/>
          <w:sz w:val="22"/>
          <w:szCs w:val="22"/>
          <w:lang w:val="es-ES"/>
        </w:rPr>
        <w:t>Documents</w:t>
      </w:r>
      <w:proofErr w:type="spellEnd"/>
      <w:r>
        <w:rPr>
          <w:rFonts w:eastAsia="Palatino Linotype"/>
          <w:sz w:val="22"/>
          <w:szCs w:val="22"/>
          <w:lang w:val="es-ES"/>
        </w:rPr>
        <w:t xml:space="preserve"> in </w:t>
      </w:r>
      <w:proofErr w:type="spellStart"/>
      <w:r>
        <w:rPr>
          <w:rFonts w:eastAsia="Palatino Linotype"/>
          <w:sz w:val="22"/>
          <w:szCs w:val="22"/>
          <w:lang w:val="es-ES"/>
        </w:rPr>
        <w:t>writing</w:t>
      </w:r>
      <w:proofErr w:type="spellEnd"/>
      <w:r>
        <w:rPr>
          <w:rFonts w:eastAsia="Palatino Linotype"/>
          <w:sz w:val="22"/>
          <w:szCs w:val="22"/>
          <w:lang w:val="es-ES"/>
        </w:rPr>
        <w:t xml:space="preserve"> </w:t>
      </w:r>
      <w:proofErr w:type="spellStart"/>
      <w:r>
        <w:rPr>
          <w:rFonts w:eastAsia="Palatino Linotype"/>
          <w:sz w:val="22"/>
          <w:szCs w:val="22"/>
          <w:lang w:val="es-ES"/>
        </w:rPr>
        <w:t>within</w:t>
      </w:r>
      <w:proofErr w:type="spellEnd"/>
      <w:r>
        <w:rPr>
          <w:rFonts w:eastAsia="Palatino Linotype"/>
          <w:sz w:val="22"/>
          <w:szCs w:val="22"/>
          <w:lang w:val="es-ES"/>
        </w:rPr>
        <w:t xml:space="preserve"> </w:t>
      </w:r>
      <w:proofErr w:type="spellStart"/>
      <w:r>
        <w:rPr>
          <w:rFonts w:eastAsia="Palatino Linotype"/>
          <w:sz w:val="22"/>
          <w:szCs w:val="22"/>
          <w:lang w:val="es-ES"/>
        </w:rPr>
        <w:t>the</w:t>
      </w:r>
      <w:proofErr w:type="spellEnd"/>
      <w:r>
        <w:rPr>
          <w:rFonts w:eastAsia="Palatino Linotype"/>
          <w:sz w:val="22"/>
          <w:szCs w:val="22"/>
          <w:lang w:val="es-ES"/>
        </w:rPr>
        <w:t xml:space="preserve"> </w:t>
      </w:r>
      <w:proofErr w:type="spellStart"/>
      <w:r>
        <w:rPr>
          <w:rFonts w:eastAsia="Palatino Linotype"/>
          <w:sz w:val="22"/>
          <w:szCs w:val="22"/>
          <w:lang w:val="es-ES"/>
        </w:rPr>
        <w:t>timeframe</w:t>
      </w:r>
      <w:proofErr w:type="spellEnd"/>
      <w:r>
        <w:rPr>
          <w:rFonts w:eastAsia="Palatino Linotype"/>
          <w:sz w:val="22"/>
          <w:szCs w:val="22"/>
          <w:lang w:val="es-ES"/>
        </w:rPr>
        <w:t xml:space="preserve"> and </w:t>
      </w:r>
      <w:proofErr w:type="spellStart"/>
      <w:r>
        <w:rPr>
          <w:rFonts w:eastAsia="Palatino Linotype"/>
          <w:sz w:val="22"/>
          <w:szCs w:val="22"/>
          <w:lang w:val="es-ES"/>
        </w:rPr>
        <w:t>by</w:t>
      </w:r>
      <w:proofErr w:type="spellEnd"/>
      <w:r>
        <w:rPr>
          <w:rFonts w:eastAsia="Palatino Linotype"/>
          <w:sz w:val="22"/>
          <w:szCs w:val="22"/>
          <w:lang w:val="es-ES"/>
        </w:rPr>
        <w:t xml:space="preserve"> </w:t>
      </w:r>
      <w:proofErr w:type="spellStart"/>
      <w:r>
        <w:rPr>
          <w:rFonts w:eastAsia="Palatino Linotype"/>
          <w:sz w:val="22"/>
          <w:szCs w:val="22"/>
          <w:lang w:val="es-ES"/>
        </w:rPr>
        <w:t>the</w:t>
      </w:r>
      <w:proofErr w:type="spellEnd"/>
      <w:r>
        <w:rPr>
          <w:rFonts w:eastAsia="Palatino Linotype"/>
          <w:sz w:val="22"/>
          <w:szCs w:val="22"/>
          <w:lang w:val="es-ES"/>
        </w:rPr>
        <w:t xml:space="preserve"> </w:t>
      </w:r>
      <w:proofErr w:type="spellStart"/>
      <w:r>
        <w:rPr>
          <w:rFonts w:eastAsia="Palatino Linotype"/>
          <w:sz w:val="22"/>
          <w:szCs w:val="22"/>
          <w:lang w:val="es-ES"/>
        </w:rPr>
        <w:t>means</w:t>
      </w:r>
      <w:proofErr w:type="spellEnd"/>
      <w:r>
        <w:rPr>
          <w:rFonts w:eastAsia="Palatino Linotype"/>
          <w:sz w:val="22"/>
          <w:szCs w:val="22"/>
          <w:lang w:val="es-ES"/>
        </w:rPr>
        <w:t xml:space="preserve"> </w:t>
      </w:r>
      <w:proofErr w:type="spellStart"/>
      <w:r>
        <w:rPr>
          <w:rFonts w:eastAsia="Palatino Linotype"/>
          <w:sz w:val="22"/>
          <w:szCs w:val="22"/>
          <w:lang w:val="es-ES"/>
        </w:rPr>
        <w:t>specified</w:t>
      </w:r>
      <w:proofErr w:type="spellEnd"/>
      <w:r>
        <w:rPr>
          <w:rFonts w:eastAsia="Palatino Linotype"/>
          <w:sz w:val="22"/>
          <w:szCs w:val="22"/>
          <w:lang w:val="es-ES"/>
        </w:rPr>
        <w:t xml:space="preserve"> </w:t>
      </w:r>
      <w:proofErr w:type="spellStart"/>
      <w:r>
        <w:rPr>
          <w:rFonts w:eastAsia="Palatino Linotype"/>
          <w:sz w:val="22"/>
          <w:szCs w:val="22"/>
          <w:lang w:val="es-ES"/>
        </w:rPr>
        <w:t>therein</w:t>
      </w:r>
      <w:proofErr w:type="spellEnd"/>
      <w:r>
        <w:rPr>
          <w:rFonts w:eastAsia="Palatino Linotype"/>
          <w:sz w:val="22"/>
          <w:szCs w:val="22"/>
          <w:lang w:val="es-ES"/>
        </w:rPr>
        <w:t xml:space="preserve">. Once </w:t>
      </w:r>
      <w:proofErr w:type="spellStart"/>
      <w:r>
        <w:rPr>
          <w:rFonts w:eastAsia="Palatino Linotype"/>
          <w:sz w:val="22"/>
          <w:szCs w:val="22"/>
          <w:lang w:val="es-ES"/>
        </w:rPr>
        <w:t>this</w:t>
      </w:r>
      <w:proofErr w:type="spellEnd"/>
      <w:r>
        <w:rPr>
          <w:rFonts w:eastAsia="Palatino Linotype"/>
          <w:sz w:val="22"/>
          <w:szCs w:val="22"/>
          <w:lang w:val="es-ES"/>
        </w:rPr>
        <w:t xml:space="preserve"> </w:t>
      </w:r>
      <w:proofErr w:type="spellStart"/>
      <w:r>
        <w:rPr>
          <w:rFonts w:eastAsia="Palatino Linotype"/>
          <w:sz w:val="22"/>
          <w:szCs w:val="22"/>
          <w:lang w:val="es-ES"/>
        </w:rPr>
        <w:t>period</w:t>
      </w:r>
      <w:proofErr w:type="spellEnd"/>
      <w:r>
        <w:rPr>
          <w:rFonts w:eastAsia="Palatino Linotype"/>
          <w:sz w:val="22"/>
          <w:szCs w:val="22"/>
          <w:lang w:val="es-ES"/>
        </w:rPr>
        <w:t xml:space="preserve"> has </w:t>
      </w:r>
      <w:proofErr w:type="spellStart"/>
      <w:r>
        <w:rPr>
          <w:rFonts w:eastAsia="Palatino Linotype"/>
          <w:sz w:val="22"/>
          <w:szCs w:val="22"/>
          <w:lang w:val="es-ES"/>
        </w:rPr>
        <w:t>expired</w:t>
      </w:r>
      <w:proofErr w:type="spellEnd"/>
      <w:r>
        <w:rPr>
          <w:rFonts w:eastAsia="Palatino Linotype"/>
          <w:sz w:val="22"/>
          <w:szCs w:val="22"/>
          <w:lang w:val="es-ES"/>
        </w:rPr>
        <w:t xml:space="preserve">, </w:t>
      </w:r>
      <w:proofErr w:type="spellStart"/>
      <w:r>
        <w:rPr>
          <w:rFonts w:eastAsia="Palatino Linotype"/>
          <w:sz w:val="22"/>
          <w:szCs w:val="22"/>
          <w:lang w:val="es-ES"/>
        </w:rPr>
        <w:t>providing</w:t>
      </w:r>
      <w:proofErr w:type="spellEnd"/>
      <w:r>
        <w:rPr>
          <w:rFonts w:eastAsia="Palatino Linotype"/>
          <w:sz w:val="22"/>
          <w:szCs w:val="22"/>
          <w:lang w:val="es-ES"/>
        </w:rPr>
        <w:t xml:space="preserve"> </w:t>
      </w:r>
      <w:proofErr w:type="spellStart"/>
      <w:r>
        <w:rPr>
          <w:rFonts w:eastAsia="Palatino Linotype"/>
          <w:sz w:val="22"/>
          <w:szCs w:val="22"/>
          <w:lang w:val="es-ES"/>
        </w:rPr>
        <w:t>further</w:t>
      </w:r>
      <w:proofErr w:type="spellEnd"/>
      <w:r>
        <w:rPr>
          <w:rFonts w:eastAsia="Palatino Linotype"/>
          <w:sz w:val="22"/>
          <w:szCs w:val="22"/>
          <w:lang w:val="es-ES"/>
        </w:rPr>
        <w:t xml:space="preserve"> </w:t>
      </w:r>
      <w:proofErr w:type="spellStart"/>
      <w:r>
        <w:rPr>
          <w:rFonts w:eastAsia="Palatino Linotype"/>
          <w:sz w:val="22"/>
          <w:szCs w:val="22"/>
          <w:lang w:val="es-ES"/>
        </w:rPr>
        <w:t>clarifying</w:t>
      </w:r>
      <w:proofErr w:type="spellEnd"/>
      <w:r>
        <w:rPr>
          <w:rFonts w:eastAsia="Palatino Linotype"/>
          <w:sz w:val="22"/>
          <w:szCs w:val="22"/>
          <w:lang w:val="es-ES"/>
        </w:rPr>
        <w:t xml:space="preserve"> </w:t>
      </w:r>
      <w:proofErr w:type="spellStart"/>
      <w:r>
        <w:rPr>
          <w:rFonts w:eastAsia="Palatino Linotype"/>
          <w:sz w:val="22"/>
          <w:szCs w:val="22"/>
          <w:lang w:val="es-ES"/>
        </w:rPr>
        <w:t>information</w:t>
      </w:r>
      <w:proofErr w:type="spellEnd"/>
      <w:r>
        <w:rPr>
          <w:rFonts w:eastAsia="Palatino Linotype"/>
          <w:sz w:val="22"/>
          <w:szCs w:val="22"/>
          <w:lang w:val="es-ES"/>
        </w:rPr>
        <w:t xml:space="preserve"> </w:t>
      </w:r>
      <w:proofErr w:type="spellStart"/>
      <w:r>
        <w:rPr>
          <w:rFonts w:eastAsia="Palatino Linotype"/>
          <w:sz w:val="22"/>
          <w:szCs w:val="22"/>
          <w:lang w:val="es-ES"/>
        </w:rPr>
        <w:t>will</w:t>
      </w:r>
      <w:proofErr w:type="spellEnd"/>
      <w:r>
        <w:rPr>
          <w:rFonts w:eastAsia="Palatino Linotype"/>
          <w:sz w:val="22"/>
          <w:szCs w:val="22"/>
          <w:lang w:val="es-ES"/>
        </w:rPr>
        <w:t xml:space="preserve"> no </w:t>
      </w:r>
      <w:proofErr w:type="spellStart"/>
      <w:r>
        <w:rPr>
          <w:rFonts w:eastAsia="Palatino Linotype"/>
          <w:sz w:val="22"/>
          <w:szCs w:val="22"/>
          <w:lang w:val="es-ES"/>
        </w:rPr>
        <w:t>longer</w:t>
      </w:r>
      <w:proofErr w:type="spellEnd"/>
      <w:r>
        <w:rPr>
          <w:rFonts w:eastAsia="Palatino Linotype"/>
          <w:sz w:val="22"/>
          <w:szCs w:val="22"/>
          <w:lang w:val="es-ES"/>
        </w:rPr>
        <w:t xml:space="preserve"> be </w:t>
      </w:r>
      <w:proofErr w:type="spellStart"/>
      <w:r>
        <w:rPr>
          <w:rFonts w:eastAsia="Palatino Linotype"/>
          <w:sz w:val="22"/>
          <w:szCs w:val="22"/>
          <w:lang w:val="es-ES"/>
        </w:rPr>
        <w:t>mandatory</w:t>
      </w:r>
      <w:proofErr w:type="spellEnd"/>
      <w:r>
        <w:rPr>
          <w:rFonts w:eastAsia="Palatino Linotype"/>
          <w:sz w:val="22"/>
          <w:szCs w:val="22"/>
          <w:lang w:val="es-ES"/>
        </w:rPr>
        <w:t>.</w:t>
      </w:r>
    </w:p>
    <w:p w14:paraId="1CFE136C" w14:textId="77777777" w:rsidR="00E255F4" w:rsidRDefault="00E255F4">
      <w:pPr>
        <w:ind w:right="-142"/>
        <w:jc w:val="both"/>
        <w:rPr>
          <w:rFonts w:eastAsia="Palatino Linotype"/>
          <w:spacing w:val="-1"/>
          <w:sz w:val="22"/>
          <w:szCs w:val="22"/>
          <w:lang w:val="es-ES"/>
        </w:rPr>
      </w:pPr>
    </w:p>
    <w:p w14:paraId="5A3BDA58" w14:textId="77777777" w:rsidR="00E255F4" w:rsidRDefault="00000000">
      <w:pPr>
        <w:widowControl w:val="0"/>
        <w:ind w:right="-142"/>
        <w:jc w:val="both"/>
      </w:pPr>
      <w:r>
        <w:rPr>
          <w:rFonts w:eastAsia="Palatino Linotype"/>
          <w:spacing w:val="-1"/>
          <w:sz w:val="22"/>
          <w:szCs w:val="22"/>
          <w:lang w:val="es-ES"/>
        </w:rPr>
        <w:t>The</w:t>
      </w:r>
      <w:r>
        <w:rPr>
          <w:rFonts w:eastAsia="Palatino Linotype"/>
          <w:sz w:val="22"/>
          <w:szCs w:val="22"/>
          <w:lang w:val="es-ES"/>
        </w:rPr>
        <w:t xml:space="preserve">All </w:t>
      </w:r>
      <w:proofErr w:type="spellStart"/>
      <w:r>
        <w:rPr>
          <w:rFonts w:eastAsia="Palatino Linotype"/>
          <w:sz w:val="22"/>
          <w:szCs w:val="22"/>
          <w:lang w:val="es-ES"/>
        </w:rPr>
        <w:t>inquiries</w:t>
      </w:r>
      <w:proofErr w:type="spellEnd"/>
      <w:r>
        <w:rPr>
          <w:rFonts w:eastAsia="Palatino Linotype"/>
          <w:sz w:val="22"/>
          <w:szCs w:val="22"/>
          <w:lang w:val="es-ES"/>
        </w:rPr>
        <w:t xml:space="preserve"> </w:t>
      </w:r>
      <w:proofErr w:type="spellStart"/>
      <w:r>
        <w:rPr>
          <w:rFonts w:eastAsia="Palatino Linotype"/>
          <w:sz w:val="22"/>
          <w:szCs w:val="22"/>
          <w:lang w:val="es-ES"/>
        </w:rPr>
        <w:t>must</w:t>
      </w:r>
      <w:proofErr w:type="spellEnd"/>
      <w:r>
        <w:rPr>
          <w:rFonts w:eastAsia="Palatino Linotype"/>
          <w:sz w:val="22"/>
          <w:szCs w:val="22"/>
          <w:lang w:val="es-ES"/>
        </w:rPr>
        <w:t xml:space="preserve"> be </w:t>
      </w:r>
      <w:proofErr w:type="spellStart"/>
      <w:r>
        <w:rPr>
          <w:rFonts w:eastAsia="Palatino Linotype"/>
          <w:sz w:val="22"/>
          <w:szCs w:val="22"/>
          <w:lang w:val="es-ES"/>
        </w:rPr>
        <w:t>specific</w:t>
      </w:r>
      <w:proofErr w:type="spellEnd"/>
      <w:r>
        <w:rPr>
          <w:rFonts w:eastAsia="Palatino Linotype"/>
          <w:sz w:val="22"/>
          <w:szCs w:val="22"/>
          <w:lang w:val="es-ES"/>
        </w:rPr>
        <w:t xml:space="preserve"> and </w:t>
      </w:r>
      <w:proofErr w:type="spellStart"/>
      <w:r>
        <w:rPr>
          <w:rFonts w:eastAsia="Palatino Linotype"/>
          <w:sz w:val="22"/>
          <w:szCs w:val="22"/>
          <w:lang w:val="es-ES"/>
        </w:rPr>
        <w:t>must</w:t>
      </w:r>
      <w:proofErr w:type="spellEnd"/>
      <w:r>
        <w:rPr>
          <w:rFonts w:eastAsia="Palatino Linotype"/>
          <w:sz w:val="22"/>
          <w:szCs w:val="22"/>
          <w:lang w:val="es-ES"/>
        </w:rPr>
        <w:t xml:space="preserve"> be </w:t>
      </w:r>
      <w:proofErr w:type="spellStart"/>
      <w:r>
        <w:rPr>
          <w:rFonts w:eastAsia="Palatino Linotype"/>
          <w:sz w:val="22"/>
          <w:szCs w:val="22"/>
          <w:lang w:val="es-ES"/>
        </w:rPr>
        <w:t>answered</w:t>
      </w:r>
      <w:proofErr w:type="spellEnd"/>
      <w:r>
        <w:rPr>
          <w:rFonts w:eastAsia="Palatino Linotype"/>
          <w:sz w:val="22"/>
          <w:szCs w:val="22"/>
          <w:lang w:val="es-ES"/>
        </w:rPr>
        <w:t xml:space="preserve"> </w:t>
      </w:r>
      <w:proofErr w:type="spellStart"/>
      <w:r>
        <w:rPr>
          <w:rFonts w:eastAsia="Palatino Linotype"/>
          <w:sz w:val="22"/>
          <w:szCs w:val="22"/>
          <w:lang w:val="es-ES"/>
        </w:rPr>
        <w:t>by</w:t>
      </w:r>
      <w:proofErr w:type="spellEnd"/>
      <w:r>
        <w:rPr>
          <w:rFonts w:eastAsia="Palatino Linotype"/>
          <w:sz w:val="22"/>
          <w:szCs w:val="22"/>
          <w:lang w:val="es-ES"/>
        </w:rPr>
        <w:t xml:space="preserve"> </w:t>
      </w:r>
      <w:proofErr w:type="spellStart"/>
      <w:r>
        <w:rPr>
          <w:rFonts w:eastAsia="Palatino Linotype"/>
          <w:sz w:val="22"/>
          <w:szCs w:val="22"/>
          <w:lang w:val="es-ES"/>
        </w:rPr>
        <w:t>the</w:t>
      </w:r>
      <w:proofErr w:type="spellEnd"/>
      <w:r>
        <w:rPr>
          <w:rFonts w:eastAsia="Palatino Linotype"/>
          <w:sz w:val="22"/>
          <w:szCs w:val="22"/>
          <w:lang w:val="es-ES"/>
        </w:rPr>
        <w:t xml:space="preserve"> </w:t>
      </w:r>
      <w:proofErr w:type="spellStart"/>
      <w:r>
        <w:rPr>
          <w:rFonts w:eastAsia="Palatino Linotype"/>
          <w:sz w:val="22"/>
          <w:szCs w:val="22"/>
          <w:lang w:val="es-ES"/>
        </w:rPr>
        <w:t>Administration</w:t>
      </w:r>
      <w:proofErr w:type="spellEnd"/>
      <w:r>
        <w:rPr>
          <w:rFonts w:eastAsia="Palatino Linotype"/>
          <w:sz w:val="22"/>
          <w:szCs w:val="22"/>
          <w:lang w:val="es-ES"/>
        </w:rPr>
        <w:t xml:space="preserve"> </w:t>
      </w:r>
      <w:proofErr w:type="spellStart"/>
      <w:r>
        <w:rPr>
          <w:rFonts w:eastAsia="Palatino Linotype"/>
          <w:sz w:val="22"/>
          <w:szCs w:val="22"/>
          <w:lang w:val="es-ES"/>
        </w:rPr>
        <w:t>within</w:t>
      </w:r>
      <w:proofErr w:type="spellEnd"/>
      <w:r>
        <w:rPr>
          <w:rFonts w:eastAsia="Palatino Linotype"/>
          <w:sz w:val="22"/>
          <w:szCs w:val="22"/>
          <w:lang w:val="es-ES"/>
        </w:rPr>
        <w:t xml:space="preserve"> </w:t>
      </w:r>
      <w:proofErr w:type="spellStart"/>
      <w:r>
        <w:rPr>
          <w:rFonts w:eastAsia="Palatino Linotype"/>
          <w:sz w:val="22"/>
          <w:szCs w:val="22"/>
          <w:lang w:val="es-ES"/>
        </w:rPr>
        <w:t>the</w:t>
      </w:r>
      <w:proofErr w:type="spellEnd"/>
      <w:r>
        <w:rPr>
          <w:rFonts w:eastAsia="Palatino Linotype"/>
          <w:sz w:val="22"/>
          <w:szCs w:val="22"/>
          <w:lang w:val="es-ES"/>
        </w:rPr>
        <w:t xml:space="preserve"> </w:t>
      </w:r>
      <w:proofErr w:type="spellStart"/>
      <w:r>
        <w:rPr>
          <w:rFonts w:eastAsia="Palatino Linotype"/>
          <w:sz w:val="22"/>
          <w:szCs w:val="22"/>
          <w:lang w:val="es-ES"/>
        </w:rPr>
        <w:t>timeframe</w:t>
      </w:r>
      <w:proofErr w:type="spellEnd"/>
      <w:r>
        <w:rPr>
          <w:rFonts w:eastAsia="Palatino Linotype"/>
          <w:sz w:val="22"/>
          <w:szCs w:val="22"/>
          <w:lang w:val="es-ES"/>
        </w:rPr>
        <w:t xml:space="preserve"> </w:t>
      </w:r>
      <w:proofErr w:type="spellStart"/>
      <w:r>
        <w:rPr>
          <w:rFonts w:eastAsia="Palatino Linotype"/>
          <w:sz w:val="22"/>
          <w:szCs w:val="22"/>
          <w:lang w:val="es-ES"/>
        </w:rPr>
        <w:t>established</w:t>
      </w:r>
      <w:proofErr w:type="spellEnd"/>
      <w:r>
        <w:rPr>
          <w:rFonts w:eastAsia="Palatino Linotype"/>
          <w:sz w:val="22"/>
          <w:szCs w:val="22"/>
          <w:lang w:val="es-ES"/>
        </w:rPr>
        <w:t xml:space="preserve"> in </w:t>
      </w:r>
      <w:proofErr w:type="spellStart"/>
      <w:r>
        <w:rPr>
          <w:rFonts w:eastAsia="Palatino Linotype"/>
          <w:sz w:val="22"/>
          <w:szCs w:val="22"/>
          <w:lang w:val="es-ES"/>
        </w:rPr>
        <w:t>the</w:t>
      </w:r>
      <w:proofErr w:type="spellEnd"/>
      <w:r>
        <w:rPr>
          <w:rFonts w:eastAsia="Palatino Linotype"/>
          <w:sz w:val="22"/>
          <w:szCs w:val="22"/>
          <w:lang w:val="es-ES"/>
        </w:rPr>
        <w:t xml:space="preserve"> Special Tender </w:t>
      </w:r>
      <w:proofErr w:type="spellStart"/>
      <w:r>
        <w:rPr>
          <w:rFonts w:eastAsia="Palatino Linotype"/>
          <w:sz w:val="22"/>
          <w:szCs w:val="22"/>
          <w:lang w:val="es-ES"/>
        </w:rPr>
        <w:t>Documents</w:t>
      </w:r>
      <w:proofErr w:type="spellEnd"/>
      <w:r>
        <w:rPr>
          <w:rFonts w:eastAsia="Palatino Linotype"/>
          <w:sz w:val="22"/>
          <w:szCs w:val="22"/>
          <w:lang w:val="es-ES"/>
        </w:rPr>
        <w:t xml:space="preserve">, </w:t>
      </w:r>
      <w:proofErr w:type="spellStart"/>
      <w:r>
        <w:rPr>
          <w:rFonts w:eastAsia="Palatino Linotype"/>
          <w:sz w:val="22"/>
          <w:szCs w:val="22"/>
          <w:lang w:val="es-ES"/>
        </w:rPr>
        <w:t>communicating</w:t>
      </w:r>
      <w:proofErr w:type="spellEnd"/>
      <w:r>
        <w:rPr>
          <w:rFonts w:eastAsia="Palatino Linotype"/>
          <w:sz w:val="22"/>
          <w:szCs w:val="22"/>
          <w:lang w:val="es-ES"/>
        </w:rPr>
        <w:t xml:space="preserve"> </w:t>
      </w:r>
      <w:proofErr w:type="spellStart"/>
      <w:r>
        <w:rPr>
          <w:rFonts w:eastAsia="Palatino Linotype"/>
          <w:sz w:val="22"/>
          <w:szCs w:val="22"/>
          <w:lang w:val="es-ES"/>
        </w:rPr>
        <w:t>them</w:t>
      </w:r>
      <w:proofErr w:type="spellEnd"/>
      <w:r>
        <w:rPr>
          <w:rFonts w:eastAsia="Palatino Linotype"/>
          <w:sz w:val="22"/>
          <w:szCs w:val="22"/>
          <w:lang w:val="es-ES"/>
        </w:rPr>
        <w:t xml:space="preserve"> </w:t>
      </w:r>
      <w:proofErr w:type="spellStart"/>
      <w:r>
        <w:rPr>
          <w:rFonts w:eastAsia="Palatino Linotype"/>
          <w:sz w:val="22"/>
          <w:szCs w:val="22"/>
          <w:lang w:val="es-ES"/>
        </w:rPr>
        <w:t>to</w:t>
      </w:r>
      <w:proofErr w:type="spellEnd"/>
      <w:r>
        <w:rPr>
          <w:rFonts w:eastAsia="Palatino Linotype"/>
          <w:sz w:val="22"/>
          <w:szCs w:val="22"/>
          <w:lang w:val="es-ES"/>
        </w:rPr>
        <w:t xml:space="preserve"> </w:t>
      </w:r>
      <w:proofErr w:type="spellStart"/>
      <w:r>
        <w:rPr>
          <w:rFonts w:eastAsia="Palatino Linotype"/>
          <w:sz w:val="22"/>
          <w:szCs w:val="22"/>
          <w:lang w:val="es-ES"/>
        </w:rPr>
        <w:t>all</w:t>
      </w:r>
      <w:proofErr w:type="spellEnd"/>
      <w:r>
        <w:rPr>
          <w:rFonts w:eastAsia="Palatino Linotype"/>
          <w:sz w:val="22"/>
          <w:szCs w:val="22"/>
          <w:lang w:val="es-ES"/>
        </w:rPr>
        <w:t xml:space="preserve"> </w:t>
      </w:r>
      <w:proofErr w:type="spellStart"/>
      <w:r>
        <w:rPr>
          <w:rFonts w:eastAsia="Palatino Linotype"/>
          <w:sz w:val="22"/>
          <w:szCs w:val="22"/>
          <w:lang w:val="es-ES"/>
        </w:rPr>
        <w:t>interested</w:t>
      </w:r>
      <w:proofErr w:type="spellEnd"/>
      <w:r>
        <w:rPr>
          <w:rFonts w:eastAsia="Palatino Linotype"/>
          <w:sz w:val="22"/>
          <w:szCs w:val="22"/>
          <w:lang w:val="es-ES"/>
        </w:rPr>
        <w:t xml:space="preserve"> </w:t>
      </w:r>
      <w:proofErr w:type="spellStart"/>
      <w:r>
        <w:rPr>
          <w:rFonts w:eastAsia="Palatino Linotype"/>
          <w:sz w:val="22"/>
          <w:szCs w:val="22"/>
          <w:lang w:val="es-ES"/>
        </w:rPr>
        <w:t>parties</w:t>
      </w:r>
      <w:proofErr w:type="spellEnd"/>
      <w:r>
        <w:rPr>
          <w:rFonts w:eastAsia="Palatino Linotype"/>
          <w:sz w:val="22"/>
          <w:szCs w:val="22"/>
          <w:lang w:val="es-ES"/>
        </w:rPr>
        <w:t xml:space="preserve"> </w:t>
      </w:r>
      <w:proofErr w:type="spellStart"/>
      <w:r>
        <w:rPr>
          <w:rFonts w:eastAsia="Palatino Linotype"/>
          <w:sz w:val="22"/>
          <w:szCs w:val="22"/>
          <w:lang w:val="es-ES"/>
        </w:rPr>
        <w:t>through</w:t>
      </w:r>
      <w:proofErr w:type="spellEnd"/>
      <w:r>
        <w:rPr>
          <w:rFonts w:eastAsia="Palatino Linotype"/>
          <w:sz w:val="22"/>
          <w:szCs w:val="22"/>
          <w:lang w:val="es-ES"/>
        </w:rPr>
        <w:t xml:space="preserve"> </w:t>
      </w:r>
      <w:proofErr w:type="spellStart"/>
      <w:r>
        <w:rPr>
          <w:rFonts w:eastAsia="Palatino Linotype"/>
          <w:sz w:val="22"/>
          <w:szCs w:val="22"/>
          <w:lang w:val="es-ES"/>
        </w:rPr>
        <w:t>their</w:t>
      </w:r>
      <w:proofErr w:type="spellEnd"/>
      <w:r>
        <w:rPr>
          <w:rFonts w:eastAsia="Palatino Linotype"/>
          <w:sz w:val="22"/>
          <w:szCs w:val="22"/>
          <w:lang w:val="es-ES"/>
        </w:rPr>
        <w:t xml:space="preserve"> </w:t>
      </w:r>
      <w:proofErr w:type="spellStart"/>
      <w:r>
        <w:rPr>
          <w:rFonts w:eastAsia="Palatino Linotype"/>
          <w:sz w:val="22"/>
          <w:szCs w:val="22"/>
          <w:lang w:val="es-ES"/>
        </w:rPr>
        <w:t>publication</w:t>
      </w:r>
      <w:proofErr w:type="spellEnd"/>
      <w:r>
        <w:rPr>
          <w:rFonts w:eastAsia="Palatino Linotype"/>
          <w:sz w:val="22"/>
          <w:szCs w:val="22"/>
          <w:lang w:val="es-ES"/>
        </w:rPr>
        <w:t xml:space="preserve"> </w:t>
      </w:r>
      <w:proofErr w:type="spellStart"/>
      <w:r>
        <w:rPr>
          <w:rFonts w:eastAsia="Palatino Linotype"/>
          <w:sz w:val="22"/>
          <w:szCs w:val="22"/>
          <w:lang w:val="es-ES"/>
        </w:rPr>
        <w:t>on</w:t>
      </w:r>
      <w:proofErr w:type="spellEnd"/>
      <w:r>
        <w:rPr>
          <w:rFonts w:eastAsia="Palatino Linotype"/>
          <w:sz w:val="22"/>
          <w:szCs w:val="22"/>
          <w:lang w:val="es-ES"/>
        </w:rPr>
        <w:t xml:space="preserve"> </w:t>
      </w:r>
      <w:proofErr w:type="spellStart"/>
      <w:r>
        <w:rPr>
          <w:rFonts w:eastAsia="Palatino Linotype"/>
          <w:sz w:val="22"/>
          <w:szCs w:val="22"/>
          <w:lang w:val="es-ES"/>
        </w:rPr>
        <w:t>the</w:t>
      </w:r>
      <w:proofErr w:type="spellEnd"/>
      <w:r>
        <w:rPr>
          <w:rFonts w:eastAsia="Palatino Linotype"/>
          <w:sz w:val="22"/>
          <w:szCs w:val="22"/>
          <w:lang w:val="es-ES"/>
        </w:rPr>
        <w:t xml:space="preserve"> State </w:t>
      </w:r>
      <w:proofErr w:type="spellStart"/>
      <w:r>
        <w:rPr>
          <w:rFonts w:eastAsia="Palatino Linotype"/>
          <w:sz w:val="22"/>
          <w:szCs w:val="22"/>
          <w:lang w:val="es-ES"/>
        </w:rPr>
        <w:t>Procurement</w:t>
      </w:r>
      <w:proofErr w:type="spellEnd"/>
      <w:r>
        <w:rPr>
          <w:rFonts w:eastAsia="Palatino Linotype"/>
          <w:sz w:val="22"/>
          <w:szCs w:val="22"/>
          <w:lang w:val="es-ES"/>
        </w:rPr>
        <w:t xml:space="preserve"> and </w:t>
      </w:r>
      <w:proofErr w:type="spellStart"/>
      <w:r>
        <w:rPr>
          <w:rFonts w:eastAsia="Palatino Linotype"/>
          <w:sz w:val="22"/>
          <w:szCs w:val="22"/>
          <w:lang w:val="es-ES"/>
        </w:rPr>
        <w:t>Contracting</w:t>
      </w:r>
      <w:proofErr w:type="spellEnd"/>
      <w:r>
        <w:rPr>
          <w:rFonts w:eastAsia="Palatino Linotype"/>
          <w:sz w:val="22"/>
          <w:szCs w:val="22"/>
          <w:lang w:val="es-ES"/>
        </w:rPr>
        <w:t xml:space="preserve"> </w:t>
      </w:r>
      <w:proofErr w:type="spellStart"/>
      <w:r>
        <w:rPr>
          <w:rFonts w:eastAsia="Palatino Linotype"/>
          <w:sz w:val="22"/>
          <w:szCs w:val="22"/>
          <w:lang w:val="es-ES"/>
        </w:rPr>
        <w:t>website</w:t>
      </w:r>
      <w:proofErr w:type="spellEnd"/>
      <w:r>
        <w:rPr>
          <w:rFonts w:eastAsia="Palatino Linotype"/>
          <w:sz w:val="22"/>
          <w:szCs w:val="22"/>
          <w:lang w:val="es-ES"/>
        </w:rPr>
        <w:t xml:space="preserve">. In cases </w:t>
      </w:r>
      <w:proofErr w:type="spellStart"/>
      <w:r>
        <w:rPr>
          <w:rFonts w:eastAsia="Palatino Linotype"/>
          <w:sz w:val="22"/>
          <w:szCs w:val="22"/>
          <w:lang w:val="es-ES"/>
        </w:rPr>
        <w:t>where</w:t>
      </w:r>
      <w:proofErr w:type="spellEnd"/>
      <w:r>
        <w:rPr>
          <w:rFonts w:eastAsia="Palatino Linotype"/>
          <w:sz w:val="22"/>
          <w:szCs w:val="22"/>
          <w:lang w:val="es-ES"/>
        </w:rPr>
        <w:t xml:space="preserve"> </w:t>
      </w:r>
      <w:proofErr w:type="spellStart"/>
      <w:r>
        <w:rPr>
          <w:rFonts w:eastAsia="Palatino Linotype"/>
          <w:sz w:val="22"/>
          <w:szCs w:val="22"/>
          <w:lang w:val="es-ES"/>
        </w:rPr>
        <w:t>the</w:t>
      </w:r>
      <w:proofErr w:type="spellEnd"/>
      <w:r>
        <w:rPr>
          <w:rFonts w:eastAsia="Palatino Linotype"/>
          <w:sz w:val="22"/>
          <w:szCs w:val="22"/>
          <w:lang w:val="es-ES"/>
        </w:rPr>
        <w:t xml:space="preserve"> Special Tender </w:t>
      </w:r>
      <w:proofErr w:type="spellStart"/>
      <w:r>
        <w:rPr>
          <w:rFonts w:eastAsia="Palatino Linotype"/>
          <w:sz w:val="22"/>
          <w:szCs w:val="22"/>
          <w:lang w:val="es-ES"/>
        </w:rPr>
        <w:t>Documents</w:t>
      </w:r>
      <w:proofErr w:type="spellEnd"/>
      <w:r>
        <w:rPr>
          <w:rFonts w:eastAsia="Palatino Linotype"/>
          <w:sz w:val="22"/>
          <w:szCs w:val="22"/>
          <w:lang w:val="es-ES"/>
        </w:rPr>
        <w:t xml:space="preserve"> </w:t>
      </w:r>
      <w:proofErr w:type="spellStart"/>
      <w:r>
        <w:rPr>
          <w:rFonts w:eastAsia="Palatino Linotype"/>
          <w:sz w:val="22"/>
          <w:szCs w:val="22"/>
          <w:lang w:val="es-ES"/>
        </w:rPr>
        <w:t>have</w:t>
      </w:r>
      <w:proofErr w:type="spellEnd"/>
      <w:r>
        <w:rPr>
          <w:rFonts w:eastAsia="Palatino Linotype"/>
          <w:sz w:val="22"/>
          <w:szCs w:val="22"/>
          <w:lang w:val="es-ES"/>
        </w:rPr>
        <w:t xml:space="preserve"> </w:t>
      </w:r>
      <w:proofErr w:type="spellStart"/>
      <w:r>
        <w:rPr>
          <w:rFonts w:eastAsia="Palatino Linotype"/>
          <w:sz w:val="22"/>
          <w:szCs w:val="22"/>
          <w:lang w:val="es-ES"/>
        </w:rPr>
        <w:t>been</w:t>
      </w:r>
      <w:proofErr w:type="spellEnd"/>
      <w:r>
        <w:rPr>
          <w:rFonts w:eastAsia="Palatino Linotype"/>
          <w:sz w:val="22"/>
          <w:szCs w:val="22"/>
          <w:lang w:val="es-ES"/>
        </w:rPr>
        <w:t xml:space="preserve"> </w:t>
      </w:r>
      <w:proofErr w:type="spellStart"/>
      <w:r>
        <w:rPr>
          <w:rFonts w:eastAsia="Palatino Linotype"/>
          <w:sz w:val="22"/>
          <w:szCs w:val="22"/>
          <w:lang w:val="es-ES"/>
        </w:rPr>
        <w:t>purchased</w:t>
      </w:r>
      <w:proofErr w:type="spellEnd"/>
      <w:r>
        <w:rPr>
          <w:rFonts w:eastAsia="Palatino Linotype"/>
          <w:sz w:val="22"/>
          <w:szCs w:val="22"/>
          <w:lang w:val="es-ES"/>
        </w:rPr>
        <w:t xml:space="preserve">, </w:t>
      </w:r>
      <w:proofErr w:type="spellStart"/>
      <w:r>
        <w:rPr>
          <w:rFonts w:eastAsia="Palatino Linotype"/>
          <w:sz w:val="22"/>
          <w:szCs w:val="22"/>
          <w:lang w:val="es-ES"/>
        </w:rPr>
        <w:t>the</w:t>
      </w:r>
      <w:proofErr w:type="spellEnd"/>
      <w:r>
        <w:rPr>
          <w:rFonts w:eastAsia="Palatino Linotype"/>
          <w:sz w:val="22"/>
          <w:szCs w:val="22"/>
          <w:lang w:val="es-ES"/>
        </w:rPr>
        <w:t xml:space="preserve"> response </w:t>
      </w:r>
      <w:proofErr w:type="spellStart"/>
      <w:r>
        <w:rPr>
          <w:rFonts w:eastAsia="Palatino Linotype"/>
          <w:sz w:val="22"/>
          <w:szCs w:val="22"/>
          <w:lang w:val="es-ES"/>
        </w:rPr>
        <w:t>to</w:t>
      </w:r>
      <w:proofErr w:type="spellEnd"/>
      <w:r>
        <w:rPr>
          <w:rFonts w:eastAsia="Palatino Linotype"/>
          <w:sz w:val="22"/>
          <w:szCs w:val="22"/>
          <w:lang w:val="es-ES"/>
        </w:rPr>
        <w:t xml:space="preserve"> </w:t>
      </w:r>
      <w:proofErr w:type="spellStart"/>
      <w:r>
        <w:rPr>
          <w:rFonts w:eastAsia="Palatino Linotype"/>
          <w:sz w:val="22"/>
          <w:szCs w:val="22"/>
          <w:lang w:val="es-ES"/>
        </w:rPr>
        <w:t>the</w:t>
      </w:r>
      <w:proofErr w:type="spellEnd"/>
      <w:r>
        <w:rPr>
          <w:rFonts w:eastAsia="Palatino Linotype"/>
          <w:sz w:val="22"/>
          <w:szCs w:val="22"/>
          <w:lang w:val="es-ES"/>
        </w:rPr>
        <w:t xml:space="preserve"> </w:t>
      </w:r>
      <w:proofErr w:type="spellStart"/>
      <w:r>
        <w:rPr>
          <w:rFonts w:eastAsia="Palatino Linotype"/>
          <w:sz w:val="22"/>
          <w:szCs w:val="22"/>
          <w:lang w:val="es-ES"/>
        </w:rPr>
        <w:t>inquiry</w:t>
      </w:r>
      <w:proofErr w:type="spellEnd"/>
      <w:r>
        <w:rPr>
          <w:rFonts w:eastAsia="Palatino Linotype"/>
          <w:sz w:val="22"/>
          <w:szCs w:val="22"/>
          <w:lang w:val="es-ES"/>
        </w:rPr>
        <w:t xml:space="preserve"> </w:t>
      </w:r>
      <w:proofErr w:type="spellStart"/>
      <w:r>
        <w:rPr>
          <w:rFonts w:eastAsia="Palatino Linotype"/>
          <w:sz w:val="22"/>
          <w:szCs w:val="22"/>
          <w:lang w:val="es-ES"/>
        </w:rPr>
        <w:t>will</w:t>
      </w:r>
      <w:proofErr w:type="spellEnd"/>
      <w:r>
        <w:rPr>
          <w:rFonts w:eastAsia="Palatino Linotype"/>
          <w:sz w:val="22"/>
          <w:szCs w:val="22"/>
          <w:lang w:val="es-ES"/>
        </w:rPr>
        <w:t xml:space="preserve"> </w:t>
      </w:r>
      <w:proofErr w:type="spellStart"/>
      <w:r>
        <w:rPr>
          <w:rFonts w:eastAsia="Palatino Linotype"/>
          <w:sz w:val="22"/>
          <w:szCs w:val="22"/>
          <w:lang w:val="es-ES"/>
        </w:rPr>
        <w:t>also</w:t>
      </w:r>
      <w:proofErr w:type="spellEnd"/>
      <w:r>
        <w:rPr>
          <w:rFonts w:eastAsia="Palatino Linotype"/>
          <w:sz w:val="22"/>
          <w:szCs w:val="22"/>
          <w:lang w:val="es-ES"/>
        </w:rPr>
        <w:t xml:space="preserve"> be </w:t>
      </w:r>
      <w:proofErr w:type="spellStart"/>
      <w:r>
        <w:rPr>
          <w:rFonts w:eastAsia="Palatino Linotype"/>
          <w:sz w:val="22"/>
          <w:szCs w:val="22"/>
          <w:lang w:val="es-ES"/>
        </w:rPr>
        <w:t>communicated</w:t>
      </w:r>
      <w:proofErr w:type="spellEnd"/>
      <w:r>
        <w:rPr>
          <w:rFonts w:eastAsia="Palatino Linotype"/>
          <w:sz w:val="22"/>
          <w:szCs w:val="22"/>
          <w:lang w:val="es-ES"/>
        </w:rPr>
        <w:t xml:space="preserve"> </w:t>
      </w:r>
      <w:proofErr w:type="spellStart"/>
      <w:r>
        <w:rPr>
          <w:rFonts w:eastAsia="Palatino Linotype"/>
          <w:sz w:val="22"/>
          <w:szCs w:val="22"/>
          <w:lang w:val="es-ES"/>
        </w:rPr>
        <w:t>personally</w:t>
      </w:r>
      <w:proofErr w:type="spellEnd"/>
      <w:r>
        <w:rPr>
          <w:rFonts w:eastAsia="Palatino Linotype"/>
          <w:sz w:val="22"/>
          <w:szCs w:val="22"/>
          <w:lang w:val="es-ES"/>
        </w:rPr>
        <w:t xml:space="preserve"> </w:t>
      </w:r>
      <w:proofErr w:type="spellStart"/>
      <w:r>
        <w:rPr>
          <w:rFonts w:eastAsia="Palatino Linotype"/>
          <w:sz w:val="22"/>
          <w:szCs w:val="22"/>
          <w:lang w:val="es-ES"/>
        </w:rPr>
        <w:t>to</w:t>
      </w:r>
      <w:proofErr w:type="spellEnd"/>
      <w:r>
        <w:rPr>
          <w:rFonts w:eastAsia="Palatino Linotype"/>
          <w:sz w:val="22"/>
          <w:szCs w:val="22"/>
          <w:lang w:val="es-ES"/>
        </w:rPr>
        <w:t xml:space="preserve"> </w:t>
      </w:r>
      <w:proofErr w:type="spellStart"/>
      <w:r>
        <w:rPr>
          <w:rFonts w:eastAsia="Palatino Linotype"/>
          <w:sz w:val="22"/>
          <w:szCs w:val="22"/>
          <w:lang w:val="es-ES"/>
        </w:rPr>
        <w:t>both</w:t>
      </w:r>
      <w:proofErr w:type="spellEnd"/>
      <w:r>
        <w:rPr>
          <w:rFonts w:eastAsia="Palatino Linotype"/>
          <w:sz w:val="22"/>
          <w:szCs w:val="22"/>
          <w:lang w:val="es-ES"/>
        </w:rPr>
        <w:t xml:space="preserve"> </w:t>
      </w:r>
      <w:proofErr w:type="spellStart"/>
      <w:r>
        <w:rPr>
          <w:rFonts w:eastAsia="Palatino Linotype"/>
          <w:sz w:val="22"/>
          <w:szCs w:val="22"/>
          <w:lang w:val="es-ES"/>
        </w:rPr>
        <w:t>the</w:t>
      </w:r>
      <w:proofErr w:type="spellEnd"/>
      <w:r>
        <w:rPr>
          <w:rFonts w:eastAsia="Palatino Linotype"/>
          <w:sz w:val="22"/>
          <w:szCs w:val="22"/>
          <w:lang w:val="es-ES"/>
        </w:rPr>
        <w:t xml:space="preserve"> </w:t>
      </w:r>
      <w:proofErr w:type="spellStart"/>
      <w:r>
        <w:rPr>
          <w:rFonts w:eastAsia="Palatino Linotype"/>
          <w:sz w:val="22"/>
          <w:szCs w:val="22"/>
          <w:lang w:val="es-ES"/>
        </w:rPr>
        <w:t>potential</w:t>
      </w:r>
      <w:proofErr w:type="spellEnd"/>
      <w:r>
        <w:rPr>
          <w:rFonts w:eastAsia="Palatino Linotype"/>
          <w:sz w:val="22"/>
          <w:szCs w:val="22"/>
          <w:lang w:val="es-ES"/>
        </w:rPr>
        <w:t xml:space="preserve"> </w:t>
      </w:r>
      <w:proofErr w:type="spellStart"/>
      <w:r>
        <w:rPr>
          <w:rFonts w:eastAsia="Palatino Linotype"/>
          <w:sz w:val="22"/>
          <w:szCs w:val="22"/>
          <w:lang w:val="es-ES"/>
        </w:rPr>
        <w:t>bidder</w:t>
      </w:r>
      <w:proofErr w:type="spellEnd"/>
      <w:r>
        <w:rPr>
          <w:rFonts w:eastAsia="Palatino Linotype"/>
          <w:sz w:val="22"/>
          <w:szCs w:val="22"/>
          <w:lang w:val="es-ES"/>
        </w:rPr>
        <w:t xml:space="preserve"> </w:t>
      </w:r>
      <w:proofErr w:type="spellStart"/>
      <w:r>
        <w:rPr>
          <w:rFonts w:eastAsia="Palatino Linotype"/>
          <w:sz w:val="22"/>
          <w:szCs w:val="22"/>
          <w:lang w:val="es-ES"/>
        </w:rPr>
        <w:t>making</w:t>
      </w:r>
      <w:proofErr w:type="spellEnd"/>
      <w:r>
        <w:rPr>
          <w:rFonts w:eastAsia="Palatino Linotype"/>
          <w:sz w:val="22"/>
          <w:szCs w:val="22"/>
          <w:lang w:val="es-ES"/>
        </w:rPr>
        <w:t xml:space="preserve"> </w:t>
      </w:r>
      <w:proofErr w:type="spellStart"/>
      <w:r>
        <w:rPr>
          <w:rFonts w:eastAsia="Palatino Linotype"/>
          <w:sz w:val="22"/>
          <w:szCs w:val="22"/>
          <w:lang w:val="es-ES"/>
        </w:rPr>
        <w:t>the</w:t>
      </w:r>
      <w:proofErr w:type="spellEnd"/>
      <w:r>
        <w:rPr>
          <w:rFonts w:eastAsia="Palatino Linotype"/>
          <w:sz w:val="22"/>
          <w:szCs w:val="22"/>
          <w:lang w:val="es-ES"/>
        </w:rPr>
        <w:t xml:space="preserve"> </w:t>
      </w:r>
      <w:proofErr w:type="spellStart"/>
      <w:r>
        <w:rPr>
          <w:rFonts w:eastAsia="Palatino Linotype"/>
          <w:sz w:val="22"/>
          <w:szCs w:val="22"/>
          <w:lang w:val="es-ES"/>
        </w:rPr>
        <w:t>inquiry</w:t>
      </w:r>
      <w:proofErr w:type="spellEnd"/>
      <w:r>
        <w:rPr>
          <w:rFonts w:eastAsia="Palatino Linotype"/>
          <w:sz w:val="22"/>
          <w:szCs w:val="22"/>
          <w:lang w:val="es-ES"/>
        </w:rPr>
        <w:t xml:space="preserve"> and </w:t>
      </w:r>
      <w:proofErr w:type="spellStart"/>
      <w:r>
        <w:rPr>
          <w:rFonts w:eastAsia="Palatino Linotype"/>
          <w:sz w:val="22"/>
          <w:szCs w:val="22"/>
          <w:lang w:val="es-ES"/>
        </w:rPr>
        <w:t>to</w:t>
      </w:r>
      <w:proofErr w:type="spellEnd"/>
      <w:r>
        <w:rPr>
          <w:rFonts w:eastAsia="Palatino Linotype"/>
          <w:sz w:val="22"/>
          <w:szCs w:val="22"/>
          <w:lang w:val="es-ES"/>
        </w:rPr>
        <w:t xml:space="preserve"> </w:t>
      </w:r>
      <w:proofErr w:type="spellStart"/>
      <w:r>
        <w:rPr>
          <w:rFonts w:eastAsia="Palatino Linotype"/>
          <w:sz w:val="22"/>
          <w:szCs w:val="22"/>
          <w:lang w:val="es-ES"/>
        </w:rPr>
        <w:t>all</w:t>
      </w:r>
      <w:proofErr w:type="spellEnd"/>
      <w:r>
        <w:rPr>
          <w:rFonts w:eastAsia="Palatino Linotype"/>
          <w:sz w:val="22"/>
          <w:szCs w:val="22"/>
          <w:lang w:val="es-ES"/>
        </w:rPr>
        <w:t xml:space="preserve"> </w:t>
      </w:r>
      <w:proofErr w:type="spellStart"/>
      <w:r>
        <w:rPr>
          <w:rFonts w:eastAsia="Palatino Linotype"/>
          <w:sz w:val="22"/>
          <w:szCs w:val="22"/>
          <w:lang w:val="es-ES"/>
        </w:rPr>
        <w:t>those</w:t>
      </w:r>
      <w:proofErr w:type="spellEnd"/>
      <w:r>
        <w:rPr>
          <w:rFonts w:eastAsia="Palatino Linotype"/>
          <w:sz w:val="22"/>
          <w:szCs w:val="22"/>
          <w:lang w:val="es-ES"/>
        </w:rPr>
        <w:t xml:space="preserve"> </w:t>
      </w:r>
      <w:proofErr w:type="spellStart"/>
      <w:r>
        <w:rPr>
          <w:rFonts w:eastAsia="Palatino Linotype"/>
          <w:sz w:val="22"/>
          <w:szCs w:val="22"/>
          <w:lang w:val="es-ES"/>
        </w:rPr>
        <w:t>who</w:t>
      </w:r>
      <w:proofErr w:type="spellEnd"/>
      <w:r>
        <w:rPr>
          <w:rFonts w:eastAsia="Palatino Linotype"/>
          <w:sz w:val="22"/>
          <w:szCs w:val="22"/>
          <w:lang w:val="es-ES"/>
        </w:rPr>
        <w:t xml:space="preserve"> </w:t>
      </w:r>
      <w:proofErr w:type="spellStart"/>
      <w:r>
        <w:rPr>
          <w:rFonts w:eastAsia="Palatino Linotype"/>
          <w:sz w:val="22"/>
          <w:szCs w:val="22"/>
          <w:lang w:val="es-ES"/>
        </w:rPr>
        <w:t>have</w:t>
      </w:r>
      <w:proofErr w:type="spellEnd"/>
      <w:r>
        <w:rPr>
          <w:rFonts w:eastAsia="Palatino Linotype"/>
          <w:sz w:val="22"/>
          <w:szCs w:val="22"/>
          <w:lang w:val="es-ES"/>
        </w:rPr>
        <w:t xml:space="preserve"> </w:t>
      </w:r>
      <w:proofErr w:type="spellStart"/>
      <w:r>
        <w:rPr>
          <w:rFonts w:eastAsia="Palatino Linotype"/>
          <w:sz w:val="22"/>
          <w:szCs w:val="22"/>
          <w:lang w:val="es-ES"/>
        </w:rPr>
        <w:t>purchased</w:t>
      </w:r>
      <w:proofErr w:type="spellEnd"/>
      <w:r>
        <w:rPr>
          <w:rFonts w:eastAsia="Palatino Linotype"/>
          <w:sz w:val="22"/>
          <w:szCs w:val="22"/>
          <w:lang w:val="es-ES"/>
        </w:rPr>
        <w:t xml:space="preserve"> </w:t>
      </w:r>
      <w:proofErr w:type="spellStart"/>
      <w:r>
        <w:rPr>
          <w:rFonts w:eastAsia="Palatino Linotype"/>
          <w:sz w:val="22"/>
          <w:szCs w:val="22"/>
          <w:lang w:val="es-ES"/>
        </w:rPr>
        <w:t>said</w:t>
      </w:r>
      <w:proofErr w:type="spellEnd"/>
      <w:r>
        <w:rPr>
          <w:rFonts w:eastAsia="Palatino Linotype"/>
          <w:sz w:val="22"/>
          <w:szCs w:val="22"/>
          <w:lang w:val="es-ES"/>
        </w:rPr>
        <w:t xml:space="preserve"> </w:t>
      </w:r>
      <w:proofErr w:type="spellStart"/>
      <w:r>
        <w:rPr>
          <w:rFonts w:eastAsia="Palatino Linotype"/>
          <w:sz w:val="22"/>
          <w:szCs w:val="22"/>
          <w:lang w:val="es-ES"/>
        </w:rPr>
        <w:t>document</w:t>
      </w:r>
      <w:proofErr w:type="spellEnd"/>
      <w:r>
        <w:rPr>
          <w:rFonts w:eastAsia="Palatino Linotype"/>
          <w:sz w:val="22"/>
          <w:szCs w:val="22"/>
          <w:lang w:val="es-ES"/>
        </w:rPr>
        <w:t>.</w:t>
      </w:r>
    </w:p>
    <w:p w14:paraId="45344014" w14:textId="77777777" w:rsidR="00E255F4" w:rsidRDefault="00E255F4">
      <w:pPr>
        <w:ind w:right="-142"/>
        <w:jc w:val="both"/>
        <w:rPr>
          <w:rFonts w:eastAsia="Palatino Linotype"/>
          <w:spacing w:val="-1"/>
          <w:sz w:val="22"/>
          <w:szCs w:val="22"/>
          <w:lang w:val="es-ES"/>
        </w:rPr>
      </w:pPr>
    </w:p>
    <w:p w14:paraId="008B1E81" w14:textId="77777777" w:rsidR="00E255F4" w:rsidRDefault="00000000">
      <w:pPr>
        <w:tabs>
          <w:tab w:val="left" w:pos="284"/>
        </w:tabs>
        <w:ind w:right="-142"/>
        <w:jc w:val="both"/>
        <w:outlineLvl w:val="0"/>
        <w:rPr>
          <w:rFonts w:eastAsia="Palatino Linotype"/>
          <w:b/>
          <w:spacing w:val="-1"/>
          <w:sz w:val="22"/>
          <w:szCs w:val="22"/>
          <w:lang w:val="es-ES"/>
        </w:rPr>
      </w:pPr>
      <w:bookmarkStart w:id="12" w:name="__RefHeading___Toc225377189"/>
      <w:bookmarkEnd w:id="12"/>
      <w:r>
        <w:rPr>
          <w:rFonts w:eastAsia="Palatino Linotype"/>
          <w:b/>
          <w:spacing w:val="-1"/>
          <w:sz w:val="22"/>
          <w:szCs w:val="22"/>
          <w:lang w:val="es-ES"/>
        </w:rPr>
        <w:t xml:space="preserve">4. </w:t>
      </w:r>
      <w:proofErr w:type="spellStart"/>
      <w:r>
        <w:rPr>
          <w:rFonts w:eastAsia="Palatino Linotype"/>
          <w:b/>
          <w:spacing w:val="-1"/>
          <w:sz w:val="22"/>
          <w:szCs w:val="22"/>
          <w:lang w:val="es-ES"/>
        </w:rPr>
        <w:t>Modification</w:t>
      </w:r>
      <w:proofErr w:type="spellEnd"/>
      <w:r>
        <w:rPr>
          <w:rFonts w:eastAsia="Palatino Linotype"/>
          <w:b/>
          <w:spacing w:val="-1"/>
          <w:sz w:val="22"/>
          <w:szCs w:val="22"/>
          <w:lang w:val="es-ES"/>
        </w:rPr>
        <w:t xml:space="preserve"> </w:t>
      </w:r>
      <w:proofErr w:type="spellStart"/>
      <w:r>
        <w:rPr>
          <w:rFonts w:eastAsia="Palatino Linotype"/>
          <w:b/>
          <w:spacing w:val="-1"/>
          <w:sz w:val="22"/>
          <w:szCs w:val="22"/>
          <w:lang w:val="es-ES"/>
        </w:rPr>
        <w:t>of</w:t>
      </w:r>
      <w:proofErr w:type="spellEnd"/>
      <w:r>
        <w:rPr>
          <w:rFonts w:eastAsia="Palatino Linotype"/>
          <w:b/>
          <w:spacing w:val="-1"/>
          <w:sz w:val="22"/>
          <w:szCs w:val="22"/>
          <w:lang w:val="es-ES"/>
        </w:rPr>
        <w:t xml:space="preserve"> </w:t>
      </w:r>
      <w:proofErr w:type="spellStart"/>
      <w:r>
        <w:rPr>
          <w:rFonts w:eastAsia="Palatino Linotype"/>
          <w:b/>
          <w:spacing w:val="-1"/>
          <w:sz w:val="22"/>
          <w:szCs w:val="22"/>
          <w:lang w:val="es-ES"/>
        </w:rPr>
        <w:t>the</w:t>
      </w:r>
      <w:proofErr w:type="spellEnd"/>
      <w:r>
        <w:rPr>
          <w:rFonts w:eastAsia="Palatino Linotype"/>
          <w:b/>
          <w:spacing w:val="-1"/>
          <w:sz w:val="22"/>
          <w:szCs w:val="22"/>
          <w:lang w:val="es-ES"/>
        </w:rPr>
        <w:t xml:space="preserve"> Special </w:t>
      </w:r>
      <w:proofErr w:type="spellStart"/>
      <w:r>
        <w:rPr>
          <w:rFonts w:eastAsia="Palatino Linotype"/>
          <w:b/>
          <w:spacing w:val="-1"/>
          <w:sz w:val="22"/>
          <w:szCs w:val="22"/>
          <w:lang w:val="es-ES"/>
        </w:rPr>
        <w:t>Specifications</w:t>
      </w:r>
      <w:proofErr w:type="spellEnd"/>
      <w:r>
        <w:rPr>
          <w:rFonts w:eastAsia="Palatino Linotype"/>
          <w:b/>
          <w:spacing w:val="-1"/>
          <w:sz w:val="22"/>
          <w:szCs w:val="22"/>
          <w:lang w:val="es-ES"/>
        </w:rPr>
        <w:tab/>
      </w:r>
      <w:r>
        <w:rPr>
          <w:rFonts w:eastAsia="Palatino Linotype"/>
          <w:b/>
          <w:spacing w:val="-1"/>
          <w:sz w:val="22"/>
          <w:szCs w:val="22"/>
          <w:lang w:val="es-ES"/>
        </w:rPr>
        <w:tab/>
      </w:r>
    </w:p>
    <w:p w14:paraId="741DE92B" w14:textId="77777777" w:rsidR="00E255F4" w:rsidRDefault="00E255F4">
      <w:pPr>
        <w:ind w:right="-142"/>
        <w:jc w:val="both"/>
        <w:rPr>
          <w:rFonts w:eastAsia="Palatino Linotype"/>
          <w:b/>
          <w:spacing w:val="5"/>
          <w:sz w:val="22"/>
          <w:szCs w:val="22"/>
          <w:lang w:val="es-ES"/>
        </w:rPr>
      </w:pPr>
    </w:p>
    <w:p w14:paraId="3A86FA34" w14:textId="77777777" w:rsidR="00E255F4" w:rsidRDefault="00000000">
      <w:pPr>
        <w:ind w:right="-142"/>
        <w:jc w:val="both"/>
        <w:rPr>
          <w:rFonts w:eastAsia="Palatino Linotype"/>
          <w:sz w:val="22"/>
          <w:szCs w:val="22"/>
          <w:lang w:val="es-ES"/>
        </w:rPr>
      </w:pPr>
      <w:proofErr w:type="spellStart"/>
      <w:r>
        <w:rPr>
          <w:rFonts w:eastAsia="Palatino Linotype"/>
          <w:spacing w:val="5"/>
          <w:sz w:val="22"/>
          <w:szCs w:val="22"/>
          <w:lang w:val="es-ES"/>
        </w:rPr>
        <w:t>L</w:t>
      </w:r>
      <w:r>
        <w:rPr>
          <w:rFonts w:eastAsia="Palatino Linotype"/>
          <w:sz w:val="22"/>
          <w:szCs w:val="22"/>
          <w:lang w:val="es-ES"/>
        </w:rPr>
        <w:t>The</w:t>
      </w:r>
      <w:proofErr w:type="spellEnd"/>
      <w:r>
        <w:rPr>
          <w:rFonts w:eastAsia="Palatino Linotype"/>
          <w:sz w:val="22"/>
          <w:szCs w:val="22"/>
          <w:lang w:val="es-ES"/>
        </w:rPr>
        <w:t xml:space="preserve"> </w:t>
      </w:r>
      <w:proofErr w:type="spellStart"/>
      <w:r>
        <w:rPr>
          <w:rFonts w:eastAsia="Palatino Linotype"/>
          <w:sz w:val="22"/>
          <w:szCs w:val="22"/>
          <w:lang w:val="es-ES"/>
        </w:rPr>
        <w:t>Administration</w:t>
      </w:r>
      <w:proofErr w:type="spellEnd"/>
      <w:r>
        <w:rPr>
          <w:rFonts w:eastAsia="Palatino Linotype"/>
          <w:sz w:val="22"/>
          <w:szCs w:val="22"/>
          <w:lang w:val="es-ES"/>
        </w:rPr>
        <w:t xml:space="preserve"> </w:t>
      </w:r>
      <w:proofErr w:type="spellStart"/>
      <w:r>
        <w:rPr>
          <w:rFonts w:eastAsia="Palatino Linotype"/>
          <w:sz w:val="22"/>
          <w:szCs w:val="22"/>
          <w:lang w:val="es-ES"/>
        </w:rPr>
        <w:t>may</w:t>
      </w:r>
      <w:proofErr w:type="spellEnd"/>
      <w:r>
        <w:rPr>
          <w:rFonts w:eastAsia="Palatino Linotype"/>
          <w:sz w:val="22"/>
          <w:szCs w:val="22"/>
          <w:lang w:val="es-ES"/>
        </w:rPr>
        <w:t xml:space="preserve">, </w:t>
      </w:r>
      <w:proofErr w:type="spellStart"/>
      <w:r>
        <w:rPr>
          <w:rFonts w:eastAsia="Palatino Linotype"/>
          <w:sz w:val="22"/>
          <w:szCs w:val="22"/>
          <w:lang w:val="es-ES"/>
        </w:rPr>
        <w:t>before</w:t>
      </w:r>
      <w:proofErr w:type="spellEnd"/>
      <w:r>
        <w:rPr>
          <w:rFonts w:eastAsia="Palatino Linotype"/>
          <w:sz w:val="22"/>
          <w:szCs w:val="22"/>
          <w:lang w:val="es-ES"/>
        </w:rPr>
        <w:t xml:space="preserve"> </w:t>
      </w:r>
      <w:proofErr w:type="spellStart"/>
      <w:r>
        <w:rPr>
          <w:rFonts w:eastAsia="Palatino Linotype"/>
          <w:sz w:val="22"/>
          <w:szCs w:val="22"/>
          <w:lang w:val="es-ES"/>
        </w:rPr>
        <w:t>the</w:t>
      </w:r>
      <w:proofErr w:type="spellEnd"/>
      <w:r>
        <w:rPr>
          <w:rFonts w:eastAsia="Palatino Linotype"/>
          <w:sz w:val="22"/>
          <w:szCs w:val="22"/>
          <w:lang w:val="es-ES"/>
        </w:rPr>
        <w:t xml:space="preserve"> </w:t>
      </w:r>
      <w:proofErr w:type="spellStart"/>
      <w:r>
        <w:rPr>
          <w:rFonts w:eastAsia="Palatino Linotype"/>
          <w:sz w:val="22"/>
          <w:szCs w:val="22"/>
          <w:lang w:val="es-ES"/>
        </w:rPr>
        <w:t>deadline</w:t>
      </w:r>
      <w:proofErr w:type="spellEnd"/>
      <w:r>
        <w:rPr>
          <w:rFonts w:eastAsia="Palatino Linotype"/>
          <w:sz w:val="22"/>
          <w:szCs w:val="22"/>
          <w:lang w:val="es-ES"/>
        </w:rPr>
        <w:t xml:space="preserve"> </w:t>
      </w:r>
      <w:proofErr w:type="spellStart"/>
      <w:r>
        <w:rPr>
          <w:rFonts w:eastAsia="Palatino Linotype"/>
          <w:sz w:val="22"/>
          <w:szCs w:val="22"/>
          <w:lang w:val="es-ES"/>
        </w:rPr>
        <w:t>for</w:t>
      </w:r>
      <w:proofErr w:type="spellEnd"/>
      <w:r>
        <w:rPr>
          <w:rFonts w:eastAsia="Palatino Linotype"/>
          <w:sz w:val="22"/>
          <w:szCs w:val="22"/>
          <w:lang w:val="es-ES"/>
        </w:rPr>
        <w:t xml:space="preserve"> </w:t>
      </w:r>
      <w:proofErr w:type="spellStart"/>
      <w:r>
        <w:rPr>
          <w:rFonts w:eastAsia="Palatino Linotype"/>
          <w:sz w:val="22"/>
          <w:szCs w:val="22"/>
          <w:lang w:val="es-ES"/>
        </w:rPr>
        <w:t>submitting</w:t>
      </w:r>
      <w:proofErr w:type="spellEnd"/>
      <w:r>
        <w:rPr>
          <w:rFonts w:eastAsia="Palatino Linotype"/>
          <w:sz w:val="22"/>
          <w:szCs w:val="22"/>
          <w:lang w:val="es-ES"/>
        </w:rPr>
        <w:t xml:space="preserve"> </w:t>
      </w:r>
      <w:proofErr w:type="spellStart"/>
      <w:r>
        <w:rPr>
          <w:rFonts w:eastAsia="Palatino Linotype"/>
          <w:sz w:val="22"/>
          <w:szCs w:val="22"/>
          <w:lang w:val="es-ES"/>
        </w:rPr>
        <w:t>bids</w:t>
      </w:r>
      <w:proofErr w:type="spellEnd"/>
      <w:r>
        <w:rPr>
          <w:rFonts w:eastAsia="Palatino Linotype"/>
          <w:sz w:val="22"/>
          <w:szCs w:val="22"/>
          <w:lang w:val="es-ES"/>
        </w:rPr>
        <w:t xml:space="preserve">, </w:t>
      </w:r>
      <w:proofErr w:type="spellStart"/>
      <w:r>
        <w:rPr>
          <w:rFonts w:eastAsia="Palatino Linotype"/>
          <w:sz w:val="22"/>
          <w:szCs w:val="22"/>
          <w:lang w:val="es-ES"/>
        </w:rPr>
        <w:t>modify</w:t>
      </w:r>
      <w:proofErr w:type="spellEnd"/>
      <w:r>
        <w:rPr>
          <w:rFonts w:eastAsia="Palatino Linotype"/>
          <w:sz w:val="22"/>
          <w:szCs w:val="22"/>
          <w:lang w:val="es-ES"/>
        </w:rPr>
        <w:t xml:space="preserve"> </w:t>
      </w:r>
      <w:proofErr w:type="spellStart"/>
      <w:r>
        <w:rPr>
          <w:rFonts w:eastAsia="Palatino Linotype"/>
          <w:sz w:val="22"/>
          <w:szCs w:val="22"/>
          <w:lang w:val="es-ES"/>
        </w:rPr>
        <w:t>the</w:t>
      </w:r>
      <w:proofErr w:type="spellEnd"/>
      <w:r>
        <w:rPr>
          <w:rFonts w:eastAsia="Palatino Linotype"/>
          <w:sz w:val="22"/>
          <w:szCs w:val="22"/>
          <w:lang w:val="es-ES"/>
        </w:rPr>
        <w:t xml:space="preserve"> Special Tender </w:t>
      </w:r>
      <w:proofErr w:type="spellStart"/>
      <w:r>
        <w:rPr>
          <w:rFonts w:eastAsia="Palatino Linotype"/>
          <w:sz w:val="22"/>
          <w:szCs w:val="22"/>
          <w:lang w:val="es-ES"/>
        </w:rPr>
        <w:t>Documents</w:t>
      </w:r>
      <w:proofErr w:type="spellEnd"/>
      <w:r>
        <w:rPr>
          <w:rFonts w:eastAsia="Palatino Linotype"/>
          <w:sz w:val="22"/>
          <w:szCs w:val="22"/>
          <w:lang w:val="es-ES"/>
        </w:rPr>
        <w:t xml:space="preserve">, </w:t>
      </w:r>
      <w:proofErr w:type="spellStart"/>
      <w:r>
        <w:rPr>
          <w:rFonts w:eastAsia="Palatino Linotype"/>
          <w:sz w:val="22"/>
          <w:szCs w:val="22"/>
          <w:lang w:val="es-ES"/>
        </w:rPr>
        <w:t>either</w:t>
      </w:r>
      <w:proofErr w:type="spellEnd"/>
      <w:r>
        <w:rPr>
          <w:rFonts w:eastAsia="Palatino Linotype"/>
          <w:sz w:val="22"/>
          <w:szCs w:val="22"/>
          <w:lang w:val="es-ES"/>
        </w:rPr>
        <w:t xml:space="preserve"> </w:t>
      </w:r>
      <w:proofErr w:type="spellStart"/>
      <w:r>
        <w:rPr>
          <w:rFonts w:eastAsia="Palatino Linotype"/>
          <w:sz w:val="22"/>
          <w:szCs w:val="22"/>
          <w:lang w:val="es-ES"/>
        </w:rPr>
        <w:t>on</w:t>
      </w:r>
      <w:proofErr w:type="spellEnd"/>
      <w:r>
        <w:rPr>
          <w:rFonts w:eastAsia="Palatino Linotype"/>
          <w:sz w:val="22"/>
          <w:szCs w:val="22"/>
          <w:lang w:val="es-ES"/>
        </w:rPr>
        <w:t xml:space="preserve"> </w:t>
      </w:r>
      <w:proofErr w:type="spellStart"/>
      <w:r>
        <w:rPr>
          <w:rFonts w:eastAsia="Palatino Linotype"/>
          <w:sz w:val="22"/>
          <w:szCs w:val="22"/>
          <w:lang w:val="es-ES"/>
        </w:rPr>
        <w:t>its</w:t>
      </w:r>
      <w:proofErr w:type="spellEnd"/>
      <w:r>
        <w:rPr>
          <w:rFonts w:eastAsia="Palatino Linotype"/>
          <w:sz w:val="22"/>
          <w:szCs w:val="22"/>
          <w:lang w:val="es-ES"/>
        </w:rPr>
        <w:t xml:space="preserve"> </w:t>
      </w:r>
      <w:proofErr w:type="spellStart"/>
      <w:r>
        <w:rPr>
          <w:rFonts w:eastAsia="Palatino Linotype"/>
          <w:sz w:val="22"/>
          <w:szCs w:val="22"/>
          <w:lang w:val="es-ES"/>
        </w:rPr>
        <w:t>own</w:t>
      </w:r>
      <w:proofErr w:type="spellEnd"/>
      <w:r>
        <w:rPr>
          <w:rFonts w:eastAsia="Palatino Linotype"/>
          <w:sz w:val="22"/>
          <w:szCs w:val="22"/>
          <w:lang w:val="es-ES"/>
        </w:rPr>
        <w:t xml:space="preserve"> </w:t>
      </w:r>
      <w:proofErr w:type="spellStart"/>
      <w:r>
        <w:rPr>
          <w:rFonts w:eastAsia="Palatino Linotype"/>
          <w:sz w:val="22"/>
          <w:szCs w:val="22"/>
          <w:lang w:val="es-ES"/>
        </w:rPr>
        <w:t>initiative</w:t>
      </w:r>
      <w:proofErr w:type="spellEnd"/>
      <w:r>
        <w:rPr>
          <w:rFonts w:eastAsia="Palatino Linotype"/>
          <w:sz w:val="22"/>
          <w:szCs w:val="22"/>
          <w:lang w:val="es-ES"/>
        </w:rPr>
        <w:t xml:space="preserve"> </w:t>
      </w:r>
      <w:proofErr w:type="spellStart"/>
      <w:r>
        <w:rPr>
          <w:rFonts w:eastAsia="Palatino Linotype"/>
          <w:sz w:val="22"/>
          <w:szCs w:val="22"/>
          <w:lang w:val="es-ES"/>
        </w:rPr>
        <w:t>or</w:t>
      </w:r>
      <w:proofErr w:type="spellEnd"/>
      <w:r>
        <w:rPr>
          <w:rFonts w:eastAsia="Palatino Linotype"/>
          <w:sz w:val="22"/>
          <w:szCs w:val="22"/>
          <w:lang w:val="es-ES"/>
        </w:rPr>
        <w:t xml:space="preserve"> in response </w:t>
      </w:r>
      <w:proofErr w:type="spellStart"/>
      <w:r>
        <w:rPr>
          <w:rFonts w:eastAsia="Palatino Linotype"/>
          <w:sz w:val="22"/>
          <w:szCs w:val="22"/>
          <w:lang w:val="es-ES"/>
        </w:rPr>
        <w:t>to</w:t>
      </w:r>
      <w:proofErr w:type="spellEnd"/>
      <w:r>
        <w:rPr>
          <w:rFonts w:eastAsia="Palatino Linotype"/>
          <w:sz w:val="22"/>
          <w:szCs w:val="22"/>
          <w:lang w:val="es-ES"/>
        </w:rPr>
        <w:t xml:space="preserve"> a </w:t>
      </w:r>
      <w:proofErr w:type="spellStart"/>
      <w:r>
        <w:rPr>
          <w:rFonts w:eastAsia="Palatino Linotype"/>
          <w:sz w:val="22"/>
          <w:szCs w:val="22"/>
          <w:lang w:val="es-ES"/>
        </w:rPr>
        <w:t>query</w:t>
      </w:r>
      <w:proofErr w:type="spellEnd"/>
      <w:r>
        <w:rPr>
          <w:rFonts w:eastAsia="Palatino Linotype"/>
          <w:sz w:val="22"/>
          <w:szCs w:val="22"/>
          <w:lang w:val="es-ES"/>
        </w:rPr>
        <w:t xml:space="preserve"> </w:t>
      </w:r>
      <w:proofErr w:type="spellStart"/>
      <w:r>
        <w:rPr>
          <w:rFonts w:eastAsia="Palatino Linotype"/>
          <w:sz w:val="22"/>
          <w:szCs w:val="22"/>
          <w:lang w:val="es-ES"/>
        </w:rPr>
        <w:t>or</w:t>
      </w:r>
      <w:proofErr w:type="spellEnd"/>
      <w:r>
        <w:rPr>
          <w:rFonts w:eastAsia="Palatino Linotype"/>
          <w:sz w:val="22"/>
          <w:szCs w:val="22"/>
          <w:lang w:val="es-ES"/>
        </w:rPr>
        <w:t xml:space="preserve"> </w:t>
      </w:r>
      <w:proofErr w:type="spellStart"/>
      <w:r>
        <w:rPr>
          <w:rFonts w:eastAsia="Palatino Linotype"/>
          <w:sz w:val="22"/>
          <w:szCs w:val="22"/>
          <w:lang w:val="es-ES"/>
        </w:rPr>
        <w:t>observation</w:t>
      </w:r>
      <w:proofErr w:type="spellEnd"/>
      <w:r>
        <w:rPr>
          <w:rFonts w:eastAsia="Palatino Linotype"/>
          <w:sz w:val="22"/>
          <w:szCs w:val="22"/>
          <w:lang w:val="es-ES"/>
        </w:rPr>
        <w:t xml:space="preserve"> </w:t>
      </w:r>
      <w:proofErr w:type="spellStart"/>
      <w:r>
        <w:rPr>
          <w:rFonts w:eastAsia="Palatino Linotype"/>
          <w:sz w:val="22"/>
          <w:szCs w:val="22"/>
          <w:lang w:val="es-ES"/>
        </w:rPr>
        <w:t>made</w:t>
      </w:r>
      <w:proofErr w:type="spellEnd"/>
      <w:r>
        <w:rPr>
          <w:rFonts w:eastAsia="Palatino Linotype"/>
          <w:sz w:val="22"/>
          <w:szCs w:val="22"/>
          <w:lang w:val="es-ES"/>
        </w:rPr>
        <w:t xml:space="preserve"> </w:t>
      </w:r>
      <w:proofErr w:type="spellStart"/>
      <w:r>
        <w:rPr>
          <w:rFonts w:eastAsia="Palatino Linotype"/>
          <w:sz w:val="22"/>
          <w:szCs w:val="22"/>
          <w:lang w:val="es-ES"/>
        </w:rPr>
        <w:t>by</w:t>
      </w:r>
      <w:proofErr w:type="spellEnd"/>
      <w:r>
        <w:rPr>
          <w:rFonts w:eastAsia="Palatino Linotype"/>
          <w:sz w:val="22"/>
          <w:szCs w:val="22"/>
          <w:lang w:val="es-ES"/>
        </w:rPr>
        <w:t xml:space="preserve"> a </w:t>
      </w:r>
      <w:proofErr w:type="spellStart"/>
      <w:r>
        <w:rPr>
          <w:rFonts w:eastAsia="Palatino Linotype"/>
          <w:sz w:val="22"/>
          <w:szCs w:val="22"/>
          <w:lang w:val="es-ES"/>
        </w:rPr>
        <w:t>private</w:t>
      </w:r>
      <w:proofErr w:type="spellEnd"/>
      <w:r>
        <w:rPr>
          <w:rFonts w:eastAsia="Palatino Linotype"/>
          <w:sz w:val="22"/>
          <w:szCs w:val="22"/>
          <w:lang w:val="es-ES"/>
        </w:rPr>
        <w:t xml:space="preserve"> </w:t>
      </w:r>
      <w:proofErr w:type="spellStart"/>
      <w:r>
        <w:rPr>
          <w:rFonts w:eastAsia="Palatino Linotype"/>
          <w:sz w:val="22"/>
          <w:szCs w:val="22"/>
          <w:lang w:val="es-ES"/>
        </w:rPr>
        <w:t>party</w:t>
      </w:r>
      <w:proofErr w:type="spellEnd"/>
      <w:r>
        <w:rPr>
          <w:rFonts w:eastAsia="Palatino Linotype"/>
          <w:sz w:val="22"/>
          <w:szCs w:val="22"/>
          <w:lang w:val="es-ES"/>
        </w:rPr>
        <w:t xml:space="preserve">. </w:t>
      </w:r>
      <w:proofErr w:type="spellStart"/>
      <w:r>
        <w:rPr>
          <w:rFonts w:eastAsia="Palatino Linotype"/>
          <w:sz w:val="22"/>
          <w:szCs w:val="22"/>
          <w:lang w:val="es-ES"/>
        </w:rPr>
        <w:t>All</w:t>
      </w:r>
      <w:proofErr w:type="spellEnd"/>
      <w:r>
        <w:rPr>
          <w:rFonts w:eastAsia="Palatino Linotype"/>
          <w:sz w:val="22"/>
          <w:szCs w:val="22"/>
          <w:lang w:val="es-ES"/>
        </w:rPr>
        <w:t xml:space="preserve"> </w:t>
      </w:r>
      <w:proofErr w:type="spellStart"/>
      <w:r>
        <w:rPr>
          <w:rFonts w:eastAsia="Palatino Linotype"/>
          <w:sz w:val="22"/>
          <w:szCs w:val="22"/>
          <w:lang w:val="es-ES"/>
        </w:rPr>
        <w:t>interested</w:t>
      </w:r>
      <w:proofErr w:type="spellEnd"/>
      <w:r>
        <w:rPr>
          <w:rFonts w:eastAsia="Palatino Linotype"/>
          <w:sz w:val="22"/>
          <w:szCs w:val="22"/>
          <w:lang w:val="es-ES"/>
        </w:rPr>
        <w:t xml:space="preserve"> </w:t>
      </w:r>
      <w:proofErr w:type="spellStart"/>
      <w:r>
        <w:rPr>
          <w:rFonts w:eastAsia="Palatino Linotype"/>
          <w:sz w:val="22"/>
          <w:szCs w:val="22"/>
          <w:lang w:val="es-ES"/>
        </w:rPr>
        <w:t>parties</w:t>
      </w:r>
      <w:proofErr w:type="spellEnd"/>
      <w:r>
        <w:rPr>
          <w:rFonts w:eastAsia="Palatino Linotype"/>
          <w:sz w:val="22"/>
          <w:szCs w:val="22"/>
          <w:lang w:val="es-ES"/>
        </w:rPr>
        <w:t xml:space="preserve"> </w:t>
      </w:r>
      <w:proofErr w:type="spellStart"/>
      <w:r>
        <w:rPr>
          <w:rFonts w:eastAsia="Palatino Linotype"/>
          <w:sz w:val="22"/>
          <w:szCs w:val="22"/>
          <w:lang w:val="es-ES"/>
        </w:rPr>
        <w:t>will</w:t>
      </w:r>
      <w:proofErr w:type="spellEnd"/>
      <w:r>
        <w:rPr>
          <w:rFonts w:eastAsia="Palatino Linotype"/>
          <w:sz w:val="22"/>
          <w:szCs w:val="22"/>
          <w:lang w:val="es-ES"/>
        </w:rPr>
        <w:t xml:space="preserve"> be </w:t>
      </w:r>
      <w:proofErr w:type="spellStart"/>
      <w:r>
        <w:rPr>
          <w:rFonts w:eastAsia="Palatino Linotype"/>
          <w:sz w:val="22"/>
          <w:szCs w:val="22"/>
          <w:lang w:val="es-ES"/>
        </w:rPr>
        <w:t>notified</w:t>
      </w:r>
      <w:proofErr w:type="spellEnd"/>
      <w:r>
        <w:rPr>
          <w:rFonts w:eastAsia="Palatino Linotype"/>
          <w:sz w:val="22"/>
          <w:szCs w:val="22"/>
          <w:lang w:val="es-ES"/>
        </w:rPr>
        <w:t xml:space="preserve"> </w:t>
      </w:r>
      <w:proofErr w:type="spellStart"/>
      <w:r>
        <w:rPr>
          <w:rFonts w:eastAsia="Palatino Linotype"/>
          <w:sz w:val="22"/>
          <w:szCs w:val="22"/>
          <w:lang w:val="es-ES"/>
        </w:rPr>
        <w:t>of</w:t>
      </w:r>
      <w:proofErr w:type="spellEnd"/>
      <w:r>
        <w:rPr>
          <w:rFonts w:eastAsia="Palatino Linotype"/>
          <w:sz w:val="22"/>
          <w:szCs w:val="22"/>
          <w:lang w:val="es-ES"/>
        </w:rPr>
        <w:t xml:space="preserve"> </w:t>
      </w:r>
      <w:proofErr w:type="spellStart"/>
      <w:r>
        <w:rPr>
          <w:rFonts w:eastAsia="Palatino Linotype"/>
          <w:sz w:val="22"/>
          <w:szCs w:val="22"/>
          <w:lang w:val="es-ES"/>
        </w:rPr>
        <w:t>the</w:t>
      </w:r>
      <w:proofErr w:type="spellEnd"/>
      <w:r>
        <w:rPr>
          <w:rFonts w:eastAsia="Palatino Linotype"/>
          <w:sz w:val="22"/>
          <w:szCs w:val="22"/>
          <w:lang w:val="es-ES"/>
        </w:rPr>
        <w:t xml:space="preserve"> </w:t>
      </w:r>
      <w:proofErr w:type="spellStart"/>
      <w:r>
        <w:rPr>
          <w:rFonts w:eastAsia="Palatino Linotype"/>
          <w:sz w:val="22"/>
          <w:szCs w:val="22"/>
          <w:lang w:val="es-ES"/>
        </w:rPr>
        <w:t>modifications</w:t>
      </w:r>
      <w:proofErr w:type="spellEnd"/>
      <w:r>
        <w:rPr>
          <w:rFonts w:eastAsia="Palatino Linotype"/>
          <w:sz w:val="22"/>
          <w:szCs w:val="22"/>
          <w:lang w:val="es-ES"/>
        </w:rPr>
        <w:t xml:space="preserve"> </w:t>
      </w:r>
      <w:proofErr w:type="spellStart"/>
      <w:r>
        <w:rPr>
          <w:rFonts w:eastAsia="Palatino Linotype"/>
          <w:sz w:val="22"/>
          <w:szCs w:val="22"/>
          <w:lang w:val="es-ES"/>
        </w:rPr>
        <w:t>made</w:t>
      </w:r>
      <w:proofErr w:type="spellEnd"/>
      <w:r>
        <w:rPr>
          <w:rFonts w:eastAsia="Palatino Linotype"/>
          <w:sz w:val="22"/>
          <w:szCs w:val="22"/>
          <w:lang w:val="es-ES"/>
        </w:rPr>
        <w:t xml:space="preserve"> no </w:t>
      </w:r>
      <w:proofErr w:type="spellStart"/>
      <w:r>
        <w:rPr>
          <w:rFonts w:eastAsia="Palatino Linotype"/>
          <w:sz w:val="22"/>
          <w:szCs w:val="22"/>
          <w:lang w:val="es-ES"/>
        </w:rPr>
        <w:t>less</w:t>
      </w:r>
      <w:proofErr w:type="spellEnd"/>
      <w:r>
        <w:rPr>
          <w:rFonts w:eastAsia="Palatino Linotype"/>
          <w:sz w:val="22"/>
          <w:szCs w:val="22"/>
          <w:lang w:val="es-ES"/>
        </w:rPr>
        <w:t xml:space="preserve"> </w:t>
      </w:r>
      <w:proofErr w:type="spellStart"/>
      <w:r>
        <w:rPr>
          <w:rFonts w:eastAsia="Palatino Linotype"/>
          <w:sz w:val="22"/>
          <w:szCs w:val="22"/>
          <w:lang w:val="es-ES"/>
        </w:rPr>
        <w:t>than</w:t>
      </w:r>
      <w:proofErr w:type="spellEnd"/>
      <w:r>
        <w:rPr>
          <w:rFonts w:eastAsia="Palatino Linotype"/>
          <w:sz w:val="22"/>
          <w:szCs w:val="22"/>
          <w:lang w:val="es-ES"/>
        </w:rPr>
        <w:t xml:space="preserve"> </w:t>
      </w:r>
      <w:proofErr w:type="spellStart"/>
      <w:r>
        <w:rPr>
          <w:rFonts w:eastAsia="Palatino Linotype"/>
          <w:sz w:val="22"/>
          <w:szCs w:val="22"/>
          <w:lang w:val="es-ES"/>
        </w:rPr>
        <w:t>two</w:t>
      </w:r>
      <w:proofErr w:type="spellEnd"/>
      <w:r>
        <w:rPr>
          <w:rFonts w:eastAsia="Palatino Linotype"/>
          <w:sz w:val="22"/>
          <w:szCs w:val="22"/>
          <w:lang w:val="es-ES"/>
        </w:rPr>
        <w:t xml:space="preserve"> </w:t>
      </w:r>
      <w:proofErr w:type="spellStart"/>
      <w:r>
        <w:rPr>
          <w:rFonts w:eastAsia="Palatino Linotype"/>
          <w:sz w:val="22"/>
          <w:szCs w:val="22"/>
          <w:lang w:val="es-ES"/>
        </w:rPr>
        <w:t>days</w:t>
      </w:r>
      <w:proofErr w:type="spellEnd"/>
      <w:r>
        <w:rPr>
          <w:rFonts w:eastAsia="Palatino Linotype"/>
          <w:sz w:val="22"/>
          <w:szCs w:val="22"/>
          <w:lang w:val="es-ES"/>
        </w:rPr>
        <w:t xml:space="preserve"> </w:t>
      </w:r>
      <w:proofErr w:type="spellStart"/>
      <w:r>
        <w:rPr>
          <w:rFonts w:eastAsia="Palatino Linotype"/>
          <w:sz w:val="22"/>
          <w:szCs w:val="22"/>
          <w:lang w:val="es-ES"/>
        </w:rPr>
        <w:t>before</w:t>
      </w:r>
      <w:proofErr w:type="spellEnd"/>
      <w:r>
        <w:rPr>
          <w:rFonts w:eastAsia="Palatino Linotype"/>
          <w:sz w:val="22"/>
          <w:szCs w:val="22"/>
          <w:lang w:val="es-ES"/>
        </w:rPr>
        <w:t xml:space="preserve"> </w:t>
      </w:r>
      <w:proofErr w:type="spellStart"/>
      <w:r>
        <w:rPr>
          <w:rFonts w:eastAsia="Palatino Linotype"/>
          <w:sz w:val="22"/>
          <w:szCs w:val="22"/>
          <w:lang w:val="es-ES"/>
        </w:rPr>
        <w:t>the</w:t>
      </w:r>
      <w:proofErr w:type="spellEnd"/>
      <w:r>
        <w:rPr>
          <w:rFonts w:eastAsia="Palatino Linotype"/>
          <w:sz w:val="22"/>
          <w:szCs w:val="22"/>
          <w:lang w:val="es-ES"/>
        </w:rPr>
        <w:t xml:space="preserve"> </w:t>
      </w:r>
      <w:proofErr w:type="spellStart"/>
      <w:r>
        <w:rPr>
          <w:rFonts w:eastAsia="Palatino Linotype"/>
          <w:sz w:val="22"/>
          <w:szCs w:val="22"/>
          <w:lang w:val="es-ES"/>
        </w:rPr>
        <w:t>deadline</w:t>
      </w:r>
      <w:proofErr w:type="spellEnd"/>
      <w:r>
        <w:rPr>
          <w:rFonts w:eastAsia="Palatino Linotype"/>
          <w:sz w:val="22"/>
          <w:szCs w:val="22"/>
          <w:lang w:val="es-ES"/>
        </w:rPr>
        <w:t xml:space="preserve"> </w:t>
      </w:r>
      <w:proofErr w:type="spellStart"/>
      <w:r>
        <w:rPr>
          <w:rFonts w:eastAsia="Palatino Linotype"/>
          <w:sz w:val="22"/>
          <w:szCs w:val="22"/>
          <w:lang w:val="es-ES"/>
        </w:rPr>
        <w:t>for</w:t>
      </w:r>
      <w:proofErr w:type="spellEnd"/>
      <w:r>
        <w:rPr>
          <w:rFonts w:eastAsia="Palatino Linotype"/>
          <w:sz w:val="22"/>
          <w:szCs w:val="22"/>
          <w:lang w:val="es-ES"/>
        </w:rPr>
        <w:t xml:space="preserve"> </w:t>
      </w:r>
      <w:proofErr w:type="spellStart"/>
      <w:r>
        <w:rPr>
          <w:rFonts w:eastAsia="Palatino Linotype"/>
          <w:sz w:val="22"/>
          <w:szCs w:val="22"/>
          <w:lang w:val="es-ES"/>
        </w:rPr>
        <w:t>receiving</w:t>
      </w:r>
      <w:proofErr w:type="spellEnd"/>
      <w:r>
        <w:rPr>
          <w:rFonts w:eastAsia="Palatino Linotype"/>
          <w:sz w:val="22"/>
          <w:szCs w:val="22"/>
          <w:lang w:val="es-ES"/>
        </w:rPr>
        <w:t xml:space="preserve"> </w:t>
      </w:r>
      <w:proofErr w:type="spellStart"/>
      <w:r>
        <w:rPr>
          <w:rFonts w:eastAsia="Palatino Linotype"/>
          <w:sz w:val="22"/>
          <w:szCs w:val="22"/>
          <w:lang w:val="es-ES"/>
        </w:rPr>
        <w:t>bids</w:t>
      </w:r>
      <w:proofErr w:type="spellEnd"/>
      <w:r>
        <w:rPr>
          <w:rFonts w:eastAsia="Palatino Linotype"/>
          <w:sz w:val="22"/>
          <w:szCs w:val="22"/>
          <w:lang w:val="es-ES"/>
        </w:rPr>
        <w:t xml:space="preserve">, </w:t>
      </w:r>
      <w:proofErr w:type="spellStart"/>
      <w:r>
        <w:rPr>
          <w:rFonts w:eastAsia="Palatino Linotype"/>
          <w:sz w:val="22"/>
          <w:szCs w:val="22"/>
          <w:lang w:val="es-ES"/>
        </w:rPr>
        <w:t>personally</w:t>
      </w:r>
      <w:proofErr w:type="spellEnd"/>
      <w:r>
        <w:rPr>
          <w:rFonts w:eastAsia="Palatino Linotype"/>
          <w:sz w:val="22"/>
          <w:szCs w:val="22"/>
          <w:lang w:val="es-ES"/>
        </w:rPr>
        <w:t xml:space="preserve"> </w:t>
      </w:r>
      <w:proofErr w:type="spellStart"/>
      <w:r>
        <w:rPr>
          <w:rFonts w:eastAsia="Palatino Linotype"/>
          <w:sz w:val="22"/>
          <w:szCs w:val="22"/>
          <w:lang w:val="es-ES"/>
        </w:rPr>
        <w:t>to</w:t>
      </w:r>
      <w:proofErr w:type="spellEnd"/>
      <w:r>
        <w:rPr>
          <w:rFonts w:eastAsia="Palatino Linotype"/>
          <w:sz w:val="22"/>
          <w:szCs w:val="22"/>
          <w:lang w:val="es-ES"/>
        </w:rPr>
        <w:t xml:space="preserve"> </w:t>
      </w:r>
      <w:proofErr w:type="spellStart"/>
      <w:r>
        <w:rPr>
          <w:rFonts w:eastAsia="Palatino Linotype"/>
          <w:sz w:val="22"/>
          <w:szCs w:val="22"/>
          <w:lang w:val="es-ES"/>
        </w:rPr>
        <w:t>the</w:t>
      </w:r>
      <w:proofErr w:type="spellEnd"/>
      <w:r>
        <w:rPr>
          <w:rFonts w:eastAsia="Palatino Linotype"/>
          <w:sz w:val="22"/>
          <w:szCs w:val="22"/>
          <w:lang w:val="es-ES"/>
        </w:rPr>
        <w:t xml:space="preserve"> </w:t>
      </w:r>
      <w:proofErr w:type="spellStart"/>
      <w:r>
        <w:rPr>
          <w:rFonts w:eastAsia="Palatino Linotype"/>
          <w:sz w:val="22"/>
          <w:szCs w:val="22"/>
          <w:lang w:val="es-ES"/>
        </w:rPr>
        <w:t>party</w:t>
      </w:r>
      <w:proofErr w:type="spellEnd"/>
      <w:r>
        <w:rPr>
          <w:rFonts w:eastAsia="Palatino Linotype"/>
          <w:sz w:val="22"/>
          <w:szCs w:val="22"/>
          <w:lang w:val="es-ES"/>
        </w:rPr>
        <w:t xml:space="preserve"> </w:t>
      </w:r>
      <w:proofErr w:type="spellStart"/>
      <w:r>
        <w:rPr>
          <w:rFonts w:eastAsia="Palatino Linotype"/>
          <w:sz w:val="22"/>
          <w:szCs w:val="22"/>
          <w:lang w:val="es-ES"/>
        </w:rPr>
        <w:t>who</w:t>
      </w:r>
      <w:proofErr w:type="spellEnd"/>
      <w:r>
        <w:rPr>
          <w:rFonts w:eastAsia="Palatino Linotype"/>
          <w:sz w:val="22"/>
          <w:szCs w:val="22"/>
          <w:lang w:val="es-ES"/>
        </w:rPr>
        <w:t xml:space="preserve"> </w:t>
      </w:r>
      <w:proofErr w:type="spellStart"/>
      <w:r>
        <w:rPr>
          <w:rFonts w:eastAsia="Palatino Linotype"/>
          <w:sz w:val="22"/>
          <w:szCs w:val="22"/>
          <w:lang w:val="es-ES"/>
        </w:rPr>
        <w:t>made</w:t>
      </w:r>
      <w:proofErr w:type="spellEnd"/>
      <w:r>
        <w:rPr>
          <w:rFonts w:eastAsia="Palatino Linotype"/>
          <w:sz w:val="22"/>
          <w:szCs w:val="22"/>
          <w:lang w:val="es-ES"/>
        </w:rPr>
        <w:t xml:space="preserve"> </w:t>
      </w:r>
      <w:proofErr w:type="spellStart"/>
      <w:r>
        <w:rPr>
          <w:rFonts w:eastAsia="Palatino Linotype"/>
          <w:sz w:val="22"/>
          <w:szCs w:val="22"/>
          <w:lang w:val="es-ES"/>
        </w:rPr>
        <w:t>the</w:t>
      </w:r>
      <w:proofErr w:type="spellEnd"/>
      <w:r>
        <w:rPr>
          <w:rFonts w:eastAsia="Palatino Linotype"/>
          <w:sz w:val="22"/>
          <w:szCs w:val="22"/>
          <w:lang w:val="es-ES"/>
        </w:rPr>
        <w:t xml:space="preserve"> </w:t>
      </w:r>
      <w:proofErr w:type="spellStart"/>
      <w:r>
        <w:rPr>
          <w:rFonts w:eastAsia="Palatino Linotype"/>
          <w:sz w:val="22"/>
          <w:szCs w:val="22"/>
          <w:lang w:val="es-ES"/>
        </w:rPr>
        <w:t>observation</w:t>
      </w:r>
      <w:proofErr w:type="spellEnd"/>
      <w:r>
        <w:rPr>
          <w:rFonts w:eastAsia="Palatino Linotype"/>
          <w:sz w:val="22"/>
          <w:szCs w:val="22"/>
          <w:lang w:val="es-ES"/>
        </w:rPr>
        <w:t xml:space="preserve"> and </w:t>
      </w:r>
      <w:proofErr w:type="spellStart"/>
      <w:r>
        <w:rPr>
          <w:rFonts w:eastAsia="Palatino Linotype"/>
          <w:sz w:val="22"/>
          <w:szCs w:val="22"/>
          <w:lang w:val="es-ES"/>
        </w:rPr>
        <w:t>to</w:t>
      </w:r>
      <w:proofErr w:type="spellEnd"/>
      <w:r>
        <w:rPr>
          <w:rFonts w:eastAsia="Palatino Linotype"/>
          <w:sz w:val="22"/>
          <w:szCs w:val="22"/>
          <w:lang w:val="es-ES"/>
        </w:rPr>
        <w:t xml:space="preserve"> </w:t>
      </w:r>
      <w:proofErr w:type="spellStart"/>
      <w:r>
        <w:rPr>
          <w:rFonts w:eastAsia="Palatino Linotype"/>
          <w:sz w:val="22"/>
          <w:szCs w:val="22"/>
          <w:lang w:val="es-ES"/>
        </w:rPr>
        <w:t>those</w:t>
      </w:r>
      <w:proofErr w:type="spellEnd"/>
      <w:r>
        <w:rPr>
          <w:rFonts w:eastAsia="Palatino Linotype"/>
          <w:sz w:val="22"/>
          <w:szCs w:val="22"/>
          <w:lang w:val="es-ES"/>
        </w:rPr>
        <w:t xml:space="preserve"> </w:t>
      </w:r>
      <w:proofErr w:type="spellStart"/>
      <w:r>
        <w:rPr>
          <w:rFonts w:eastAsia="Palatino Linotype"/>
          <w:sz w:val="22"/>
          <w:szCs w:val="22"/>
          <w:lang w:val="es-ES"/>
        </w:rPr>
        <w:t>who</w:t>
      </w:r>
      <w:proofErr w:type="spellEnd"/>
      <w:r>
        <w:rPr>
          <w:rFonts w:eastAsia="Palatino Linotype"/>
          <w:sz w:val="22"/>
          <w:szCs w:val="22"/>
          <w:lang w:val="es-ES"/>
        </w:rPr>
        <w:t xml:space="preserve"> </w:t>
      </w:r>
      <w:proofErr w:type="spellStart"/>
      <w:r>
        <w:rPr>
          <w:rFonts w:eastAsia="Palatino Linotype"/>
          <w:sz w:val="22"/>
          <w:szCs w:val="22"/>
          <w:lang w:val="es-ES"/>
        </w:rPr>
        <w:t>have</w:t>
      </w:r>
      <w:proofErr w:type="spellEnd"/>
      <w:r>
        <w:rPr>
          <w:rFonts w:eastAsia="Palatino Linotype"/>
          <w:sz w:val="22"/>
          <w:szCs w:val="22"/>
          <w:lang w:val="es-ES"/>
        </w:rPr>
        <w:t xml:space="preserve"> </w:t>
      </w:r>
      <w:proofErr w:type="spellStart"/>
      <w:r>
        <w:rPr>
          <w:rFonts w:eastAsia="Palatino Linotype"/>
          <w:sz w:val="22"/>
          <w:szCs w:val="22"/>
          <w:lang w:val="es-ES"/>
        </w:rPr>
        <w:t>acquired</w:t>
      </w:r>
      <w:proofErr w:type="spellEnd"/>
      <w:r>
        <w:rPr>
          <w:rFonts w:eastAsia="Palatino Linotype"/>
          <w:sz w:val="22"/>
          <w:szCs w:val="22"/>
          <w:lang w:val="es-ES"/>
        </w:rPr>
        <w:t xml:space="preserve"> tender </w:t>
      </w:r>
      <w:proofErr w:type="spellStart"/>
      <w:r>
        <w:rPr>
          <w:rFonts w:eastAsia="Palatino Linotype"/>
          <w:sz w:val="22"/>
          <w:szCs w:val="22"/>
          <w:lang w:val="es-ES"/>
        </w:rPr>
        <w:t>documents</w:t>
      </w:r>
      <w:proofErr w:type="spellEnd"/>
      <w:r>
        <w:rPr>
          <w:rFonts w:eastAsia="Palatino Linotype"/>
          <w:sz w:val="22"/>
          <w:szCs w:val="22"/>
          <w:lang w:val="es-ES"/>
        </w:rPr>
        <w:t xml:space="preserve">, and </w:t>
      </w:r>
      <w:proofErr w:type="spellStart"/>
      <w:r>
        <w:rPr>
          <w:rFonts w:eastAsia="Palatino Linotype"/>
          <w:sz w:val="22"/>
          <w:szCs w:val="22"/>
          <w:lang w:val="es-ES"/>
        </w:rPr>
        <w:t>communicated</w:t>
      </w:r>
      <w:proofErr w:type="spellEnd"/>
      <w:r>
        <w:rPr>
          <w:rFonts w:eastAsia="Palatino Linotype"/>
          <w:sz w:val="22"/>
          <w:szCs w:val="22"/>
          <w:lang w:val="es-ES"/>
        </w:rPr>
        <w:t xml:space="preserve"> </w:t>
      </w:r>
      <w:proofErr w:type="spellStart"/>
      <w:r>
        <w:rPr>
          <w:rFonts w:eastAsia="Palatino Linotype"/>
          <w:sz w:val="22"/>
          <w:szCs w:val="22"/>
          <w:lang w:val="es-ES"/>
        </w:rPr>
        <w:t>to</w:t>
      </w:r>
      <w:proofErr w:type="spellEnd"/>
      <w:r>
        <w:rPr>
          <w:rFonts w:eastAsia="Palatino Linotype"/>
          <w:sz w:val="22"/>
          <w:szCs w:val="22"/>
          <w:lang w:val="es-ES"/>
        </w:rPr>
        <w:t xml:space="preserve"> </w:t>
      </w:r>
      <w:proofErr w:type="spellStart"/>
      <w:r>
        <w:rPr>
          <w:rFonts w:eastAsia="Palatino Linotype"/>
          <w:sz w:val="22"/>
          <w:szCs w:val="22"/>
          <w:lang w:val="es-ES"/>
        </w:rPr>
        <w:t>other</w:t>
      </w:r>
      <w:proofErr w:type="spellEnd"/>
      <w:r>
        <w:rPr>
          <w:rFonts w:eastAsia="Palatino Linotype"/>
          <w:sz w:val="22"/>
          <w:szCs w:val="22"/>
          <w:lang w:val="es-ES"/>
        </w:rPr>
        <w:t xml:space="preserve"> </w:t>
      </w:r>
      <w:proofErr w:type="spellStart"/>
      <w:r>
        <w:rPr>
          <w:rFonts w:eastAsia="Palatino Linotype"/>
          <w:sz w:val="22"/>
          <w:szCs w:val="22"/>
          <w:lang w:val="es-ES"/>
        </w:rPr>
        <w:t>interested</w:t>
      </w:r>
      <w:proofErr w:type="spellEnd"/>
      <w:r>
        <w:rPr>
          <w:rFonts w:eastAsia="Palatino Linotype"/>
          <w:sz w:val="22"/>
          <w:szCs w:val="22"/>
          <w:lang w:val="es-ES"/>
        </w:rPr>
        <w:t xml:space="preserve"> </w:t>
      </w:r>
      <w:proofErr w:type="spellStart"/>
      <w:r>
        <w:rPr>
          <w:rFonts w:eastAsia="Palatino Linotype"/>
          <w:sz w:val="22"/>
          <w:szCs w:val="22"/>
          <w:lang w:val="es-ES"/>
        </w:rPr>
        <w:t>parties</w:t>
      </w:r>
      <w:proofErr w:type="spellEnd"/>
      <w:r>
        <w:rPr>
          <w:rFonts w:eastAsia="Palatino Linotype"/>
          <w:sz w:val="22"/>
          <w:szCs w:val="22"/>
          <w:lang w:val="es-ES"/>
        </w:rPr>
        <w:t xml:space="preserve"> </w:t>
      </w:r>
      <w:proofErr w:type="spellStart"/>
      <w:r>
        <w:rPr>
          <w:rFonts w:eastAsia="Palatino Linotype"/>
          <w:sz w:val="22"/>
          <w:szCs w:val="22"/>
          <w:lang w:val="es-ES"/>
        </w:rPr>
        <w:t>through</w:t>
      </w:r>
      <w:proofErr w:type="spellEnd"/>
      <w:r>
        <w:rPr>
          <w:rFonts w:eastAsia="Palatino Linotype"/>
          <w:sz w:val="22"/>
          <w:szCs w:val="22"/>
          <w:lang w:val="es-ES"/>
        </w:rPr>
        <w:t xml:space="preserve"> </w:t>
      </w:r>
      <w:proofErr w:type="spellStart"/>
      <w:r>
        <w:rPr>
          <w:rFonts w:eastAsia="Palatino Linotype"/>
          <w:sz w:val="22"/>
          <w:szCs w:val="22"/>
          <w:lang w:val="es-ES"/>
        </w:rPr>
        <w:t>the</w:t>
      </w:r>
      <w:proofErr w:type="spellEnd"/>
      <w:r>
        <w:rPr>
          <w:rFonts w:eastAsia="Palatino Linotype"/>
          <w:sz w:val="22"/>
          <w:szCs w:val="22"/>
          <w:lang w:val="es-ES"/>
        </w:rPr>
        <w:t xml:space="preserve"> State </w:t>
      </w:r>
      <w:proofErr w:type="spellStart"/>
      <w:r>
        <w:rPr>
          <w:rFonts w:eastAsia="Palatino Linotype"/>
          <w:sz w:val="22"/>
          <w:szCs w:val="22"/>
          <w:lang w:val="es-ES"/>
        </w:rPr>
        <w:t>Procurement</w:t>
      </w:r>
      <w:proofErr w:type="spellEnd"/>
      <w:r>
        <w:rPr>
          <w:rFonts w:eastAsia="Palatino Linotype"/>
          <w:sz w:val="22"/>
          <w:szCs w:val="22"/>
          <w:lang w:val="es-ES"/>
        </w:rPr>
        <w:t xml:space="preserve"> and </w:t>
      </w:r>
      <w:proofErr w:type="spellStart"/>
      <w:r>
        <w:rPr>
          <w:rFonts w:eastAsia="Palatino Linotype"/>
          <w:sz w:val="22"/>
          <w:szCs w:val="22"/>
          <w:lang w:val="es-ES"/>
        </w:rPr>
        <w:t>Contracting</w:t>
      </w:r>
      <w:proofErr w:type="spellEnd"/>
      <w:r>
        <w:rPr>
          <w:rFonts w:eastAsia="Palatino Linotype"/>
          <w:sz w:val="22"/>
          <w:szCs w:val="22"/>
          <w:lang w:val="es-ES"/>
        </w:rPr>
        <w:t xml:space="preserve"> </w:t>
      </w:r>
      <w:proofErr w:type="spellStart"/>
      <w:r>
        <w:rPr>
          <w:rFonts w:eastAsia="Palatino Linotype"/>
          <w:sz w:val="22"/>
          <w:szCs w:val="22"/>
          <w:lang w:val="es-ES"/>
        </w:rPr>
        <w:t>website</w:t>
      </w:r>
      <w:proofErr w:type="spellEnd"/>
      <w:r>
        <w:rPr>
          <w:rFonts w:eastAsia="Palatino Linotype"/>
          <w:sz w:val="22"/>
          <w:szCs w:val="22"/>
          <w:lang w:val="es-ES"/>
        </w:rPr>
        <w:t>.</w:t>
      </w:r>
    </w:p>
    <w:p w14:paraId="67396B57" w14:textId="77777777" w:rsidR="00E255F4" w:rsidRDefault="00E255F4">
      <w:pPr>
        <w:ind w:right="-142"/>
        <w:jc w:val="both"/>
        <w:rPr>
          <w:rFonts w:eastAsia="Palatino Linotype"/>
          <w:spacing w:val="-1"/>
          <w:position w:val="1"/>
          <w:sz w:val="22"/>
          <w:szCs w:val="22"/>
          <w:lang w:val="es-ES"/>
        </w:rPr>
      </w:pPr>
    </w:p>
    <w:p w14:paraId="20D7C944" w14:textId="77777777" w:rsidR="00E255F4" w:rsidRDefault="00000000">
      <w:pPr>
        <w:ind w:right="-142"/>
        <w:jc w:val="both"/>
      </w:pPr>
      <w:proofErr w:type="spellStart"/>
      <w:r>
        <w:rPr>
          <w:rFonts w:eastAsia="Palatino Linotype"/>
          <w:spacing w:val="-1"/>
          <w:position w:val="1"/>
          <w:sz w:val="22"/>
          <w:szCs w:val="22"/>
          <w:lang w:val="es-ES"/>
        </w:rPr>
        <w:t>L</w:t>
      </w:r>
      <w:r>
        <w:rPr>
          <w:rFonts w:eastAsia="Palatino Linotype"/>
          <w:position w:val="1"/>
          <w:sz w:val="22"/>
          <w:szCs w:val="22"/>
          <w:lang w:val="es-ES"/>
        </w:rPr>
        <w:t>The</w:t>
      </w:r>
      <w:proofErr w:type="spellEnd"/>
      <w:r>
        <w:rPr>
          <w:rFonts w:eastAsia="Palatino Linotype"/>
          <w:position w:val="1"/>
          <w:sz w:val="22"/>
          <w:szCs w:val="22"/>
          <w:lang w:val="es-ES"/>
        </w:rPr>
        <w:t xml:space="preserve"> </w:t>
      </w:r>
      <w:proofErr w:type="spellStart"/>
      <w:r>
        <w:rPr>
          <w:rFonts w:eastAsia="Palatino Linotype"/>
          <w:position w:val="1"/>
          <w:sz w:val="22"/>
          <w:szCs w:val="22"/>
          <w:lang w:val="es-ES"/>
        </w:rPr>
        <w:t>Administration</w:t>
      </w:r>
      <w:proofErr w:type="spellEnd"/>
      <w:r>
        <w:rPr>
          <w:rFonts w:eastAsia="Palatino Linotype"/>
          <w:position w:val="1"/>
          <w:sz w:val="22"/>
          <w:szCs w:val="22"/>
          <w:lang w:val="es-ES"/>
        </w:rPr>
        <w:t xml:space="preserve"> </w:t>
      </w:r>
      <w:proofErr w:type="spellStart"/>
      <w:r>
        <w:rPr>
          <w:rFonts w:eastAsia="Palatino Linotype"/>
          <w:position w:val="1"/>
          <w:sz w:val="22"/>
          <w:szCs w:val="22"/>
          <w:lang w:val="es-ES"/>
        </w:rPr>
        <w:t>will</w:t>
      </w:r>
      <w:proofErr w:type="spellEnd"/>
      <w:r>
        <w:rPr>
          <w:rFonts w:eastAsia="Palatino Linotype"/>
          <w:position w:val="1"/>
          <w:sz w:val="22"/>
          <w:szCs w:val="22"/>
          <w:lang w:val="es-ES"/>
        </w:rPr>
        <w:t xml:space="preserve"> </w:t>
      </w:r>
      <w:proofErr w:type="spellStart"/>
      <w:r>
        <w:rPr>
          <w:rFonts w:eastAsia="Palatino Linotype"/>
          <w:position w:val="1"/>
          <w:sz w:val="22"/>
          <w:szCs w:val="22"/>
          <w:lang w:val="es-ES"/>
        </w:rPr>
        <w:t>have</w:t>
      </w:r>
      <w:proofErr w:type="spellEnd"/>
      <w:r>
        <w:rPr>
          <w:rFonts w:eastAsia="Palatino Linotype"/>
          <w:position w:val="1"/>
          <w:sz w:val="22"/>
          <w:szCs w:val="22"/>
          <w:lang w:val="es-ES"/>
        </w:rPr>
        <w:t xml:space="preserve"> </w:t>
      </w:r>
      <w:proofErr w:type="spellStart"/>
      <w:r>
        <w:rPr>
          <w:rFonts w:eastAsia="Palatino Linotype"/>
          <w:position w:val="1"/>
          <w:sz w:val="22"/>
          <w:szCs w:val="22"/>
          <w:lang w:val="es-ES"/>
        </w:rPr>
        <w:t>the</w:t>
      </w:r>
      <w:proofErr w:type="spellEnd"/>
      <w:r>
        <w:rPr>
          <w:rFonts w:eastAsia="Palatino Linotype"/>
          <w:position w:val="1"/>
          <w:sz w:val="22"/>
          <w:szCs w:val="22"/>
          <w:lang w:val="es-ES"/>
        </w:rPr>
        <w:t xml:space="preserve"> </w:t>
      </w:r>
      <w:proofErr w:type="spellStart"/>
      <w:r>
        <w:rPr>
          <w:rFonts w:eastAsia="Palatino Linotype"/>
          <w:position w:val="1"/>
          <w:sz w:val="22"/>
          <w:szCs w:val="22"/>
          <w:lang w:val="es-ES"/>
        </w:rPr>
        <w:t>discretionary</w:t>
      </w:r>
      <w:proofErr w:type="spellEnd"/>
      <w:r>
        <w:rPr>
          <w:rFonts w:eastAsia="Palatino Linotype"/>
          <w:position w:val="1"/>
          <w:sz w:val="22"/>
          <w:szCs w:val="22"/>
          <w:lang w:val="es-ES"/>
        </w:rPr>
        <w:t xml:space="preserve"> </w:t>
      </w:r>
      <w:proofErr w:type="spellStart"/>
      <w:r>
        <w:rPr>
          <w:rFonts w:eastAsia="Palatino Linotype"/>
          <w:position w:val="1"/>
          <w:sz w:val="22"/>
          <w:szCs w:val="22"/>
          <w:lang w:val="es-ES"/>
        </w:rPr>
        <w:t>power</w:t>
      </w:r>
      <w:proofErr w:type="spellEnd"/>
      <w:r>
        <w:rPr>
          <w:rFonts w:eastAsia="Palatino Linotype"/>
          <w:position w:val="1"/>
          <w:sz w:val="22"/>
          <w:szCs w:val="22"/>
          <w:lang w:val="es-ES"/>
        </w:rPr>
        <w:t xml:space="preserve"> </w:t>
      </w:r>
      <w:proofErr w:type="spellStart"/>
      <w:r>
        <w:rPr>
          <w:rFonts w:eastAsia="Palatino Linotype"/>
          <w:position w:val="1"/>
          <w:sz w:val="22"/>
          <w:szCs w:val="22"/>
          <w:lang w:val="es-ES"/>
        </w:rPr>
        <w:t>to</w:t>
      </w:r>
      <w:proofErr w:type="spellEnd"/>
      <w:r>
        <w:rPr>
          <w:rFonts w:eastAsia="Palatino Linotype"/>
          <w:position w:val="1"/>
          <w:sz w:val="22"/>
          <w:szCs w:val="22"/>
          <w:lang w:val="es-ES"/>
        </w:rPr>
        <w:t xml:space="preserve"> </w:t>
      </w:r>
      <w:proofErr w:type="spellStart"/>
      <w:r>
        <w:rPr>
          <w:rFonts w:eastAsia="Palatino Linotype"/>
          <w:position w:val="1"/>
          <w:sz w:val="22"/>
          <w:szCs w:val="22"/>
          <w:lang w:val="es-ES"/>
        </w:rPr>
        <w:t>extend</w:t>
      </w:r>
      <w:proofErr w:type="spellEnd"/>
      <w:r>
        <w:rPr>
          <w:rFonts w:eastAsia="Palatino Linotype"/>
          <w:position w:val="1"/>
          <w:sz w:val="22"/>
          <w:szCs w:val="22"/>
          <w:lang w:val="es-ES"/>
        </w:rPr>
        <w:t xml:space="preserve"> </w:t>
      </w:r>
      <w:proofErr w:type="spellStart"/>
      <w:r>
        <w:rPr>
          <w:rFonts w:eastAsia="Palatino Linotype"/>
          <w:position w:val="1"/>
          <w:sz w:val="22"/>
          <w:szCs w:val="22"/>
          <w:lang w:val="es-ES"/>
        </w:rPr>
        <w:t>the</w:t>
      </w:r>
      <w:proofErr w:type="spellEnd"/>
      <w:r>
        <w:rPr>
          <w:rFonts w:eastAsia="Palatino Linotype"/>
          <w:position w:val="1"/>
          <w:sz w:val="22"/>
          <w:szCs w:val="22"/>
          <w:lang w:val="es-ES"/>
        </w:rPr>
        <w:t xml:space="preserve"> date </w:t>
      </w:r>
      <w:proofErr w:type="spellStart"/>
      <w:r>
        <w:rPr>
          <w:rFonts w:eastAsia="Palatino Linotype"/>
          <w:position w:val="1"/>
          <w:sz w:val="22"/>
          <w:szCs w:val="22"/>
          <w:lang w:val="es-ES"/>
        </w:rPr>
        <w:t>or</w:t>
      </w:r>
      <w:proofErr w:type="spellEnd"/>
      <w:r>
        <w:rPr>
          <w:rFonts w:eastAsia="Palatino Linotype"/>
          <w:position w:val="1"/>
          <w:sz w:val="22"/>
          <w:szCs w:val="22"/>
          <w:lang w:val="es-ES"/>
        </w:rPr>
        <w:t xml:space="preserve"> time </w:t>
      </w:r>
      <w:proofErr w:type="spellStart"/>
      <w:r>
        <w:rPr>
          <w:rFonts w:eastAsia="Palatino Linotype"/>
          <w:position w:val="1"/>
          <w:sz w:val="22"/>
          <w:szCs w:val="22"/>
          <w:lang w:val="es-ES"/>
        </w:rPr>
        <w:t>of</w:t>
      </w:r>
      <w:proofErr w:type="spellEnd"/>
      <w:r>
        <w:rPr>
          <w:rFonts w:eastAsia="Palatino Linotype"/>
          <w:position w:val="1"/>
          <w:sz w:val="22"/>
          <w:szCs w:val="22"/>
          <w:lang w:val="es-ES"/>
        </w:rPr>
        <w:t xml:space="preserve"> </w:t>
      </w:r>
      <w:proofErr w:type="spellStart"/>
      <w:r>
        <w:rPr>
          <w:rFonts w:eastAsia="Palatino Linotype"/>
          <w:position w:val="1"/>
          <w:sz w:val="22"/>
          <w:szCs w:val="22"/>
          <w:lang w:val="es-ES"/>
        </w:rPr>
        <w:t>the</w:t>
      </w:r>
      <w:proofErr w:type="spellEnd"/>
      <w:r>
        <w:rPr>
          <w:rFonts w:eastAsia="Palatino Linotype"/>
          <w:position w:val="1"/>
          <w:sz w:val="22"/>
          <w:szCs w:val="22"/>
          <w:lang w:val="es-ES"/>
        </w:rPr>
        <w:t xml:space="preserve"> </w:t>
      </w:r>
      <w:proofErr w:type="spellStart"/>
      <w:r>
        <w:rPr>
          <w:rFonts w:eastAsia="Palatino Linotype"/>
          <w:position w:val="1"/>
          <w:sz w:val="22"/>
          <w:szCs w:val="22"/>
          <w:lang w:val="es-ES"/>
        </w:rPr>
        <w:t>opening</w:t>
      </w:r>
      <w:proofErr w:type="spellEnd"/>
      <w:r>
        <w:rPr>
          <w:rFonts w:eastAsia="Palatino Linotype"/>
          <w:position w:val="1"/>
          <w:sz w:val="22"/>
          <w:szCs w:val="22"/>
          <w:lang w:val="es-ES"/>
        </w:rPr>
        <w:t xml:space="preserve"> </w:t>
      </w:r>
      <w:proofErr w:type="spellStart"/>
      <w:r>
        <w:rPr>
          <w:rFonts w:eastAsia="Palatino Linotype"/>
          <w:position w:val="1"/>
          <w:sz w:val="22"/>
          <w:szCs w:val="22"/>
          <w:lang w:val="es-ES"/>
        </w:rPr>
        <w:t>of</w:t>
      </w:r>
      <w:proofErr w:type="spellEnd"/>
      <w:r>
        <w:rPr>
          <w:rFonts w:eastAsia="Palatino Linotype"/>
          <w:position w:val="1"/>
          <w:sz w:val="22"/>
          <w:szCs w:val="22"/>
          <w:lang w:val="es-ES"/>
        </w:rPr>
        <w:t xml:space="preserve"> </w:t>
      </w:r>
      <w:proofErr w:type="spellStart"/>
      <w:r>
        <w:rPr>
          <w:rFonts w:eastAsia="Palatino Linotype"/>
          <w:position w:val="1"/>
          <w:sz w:val="22"/>
          <w:szCs w:val="22"/>
          <w:lang w:val="es-ES"/>
        </w:rPr>
        <w:t>the</w:t>
      </w:r>
      <w:proofErr w:type="spellEnd"/>
      <w:r>
        <w:rPr>
          <w:rFonts w:eastAsia="Palatino Linotype"/>
          <w:position w:val="1"/>
          <w:sz w:val="22"/>
          <w:szCs w:val="22"/>
          <w:lang w:val="es-ES"/>
        </w:rPr>
        <w:t xml:space="preserve"> </w:t>
      </w:r>
      <w:proofErr w:type="spellStart"/>
      <w:r>
        <w:rPr>
          <w:rFonts w:eastAsia="Palatino Linotype"/>
          <w:position w:val="1"/>
          <w:sz w:val="22"/>
          <w:szCs w:val="22"/>
          <w:lang w:val="es-ES"/>
        </w:rPr>
        <w:t>procurement</w:t>
      </w:r>
      <w:proofErr w:type="spellEnd"/>
      <w:r>
        <w:rPr>
          <w:rFonts w:eastAsia="Palatino Linotype"/>
          <w:position w:val="1"/>
          <w:sz w:val="22"/>
          <w:szCs w:val="22"/>
          <w:lang w:val="es-ES"/>
        </w:rPr>
        <w:t xml:space="preserve"> </w:t>
      </w:r>
      <w:proofErr w:type="spellStart"/>
      <w:r>
        <w:rPr>
          <w:rFonts w:eastAsia="Palatino Linotype"/>
          <w:position w:val="1"/>
          <w:sz w:val="22"/>
          <w:szCs w:val="22"/>
          <w:lang w:val="es-ES"/>
        </w:rPr>
        <w:t>procedure</w:t>
      </w:r>
      <w:proofErr w:type="spellEnd"/>
      <w:r>
        <w:rPr>
          <w:rFonts w:eastAsia="Palatino Linotype"/>
          <w:position w:val="1"/>
          <w:sz w:val="22"/>
          <w:szCs w:val="22"/>
          <w:lang w:val="es-ES"/>
        </w:rPr>
        <w:t xml:space="preserve">, in </w:t>
      </w:r>
      <w:proofErr w:type="spellStart"/>
      <w:r>
        <w:rPr>
          <w:rFonts w:eastAsia="Palatino Linotype"/>
          <w:position w:val="1"/>
          <w:sz w:val="22"/>
          <w:szCs w:val="22"/>
          <w:lang w:val="es-ES"/>
        </w:rPr>
        <w:t>order</w:t>
      </w:r>
      <w:proofErr w:type="spellEnd"/>
      <w:r>
        <w:rPr>
          <w:rFonts w:eastAsia="Palatino Linotype"/>
          <w:position w:val="1"/>
          <w:sz w:val="22"/>
          <w:szCs w:val="22"/>
          <w:lang w:val="es-ES"/>
        </w:rPr>
        <w:t xml:space="preserve"> </w:t>
      </w:r>
      <w:proofErr w:type="spellStart"/>
      <w:r>
        <w:rPr>
          <w:rFonts w:eastAsia="Palatino Linotype"/>
          <w:position w:val="1"/>
          <w:sz w:val="22"/>
          <w:szCs w:val="22"/>
          <w:lang w:val="es-ES"/>
        </w:rPr>
        <w:t>to</w:t>
      </w:r>
      <w:r>
        <w:rPr>
          <w:rFonts w:eastAsia="Palatino Linotype"/>
          <w:spacing w:val="-1"/>
          <w:sz w:val="22"/>
          <w:szCs w:val="22"/>
          <w:lang w:val="es-ES"/>
        </w:rPr>
        <w:t>gives</w:t>
      </w:r>
      <w:r>
        <w:rPr>
          <w:rFonts w:eastAsia="Palatino Linotype"/>
          <w:sz w:val="22"/>
          <w:szCs w:val="22"/>
          <w:lang w:val="es-ES"/>
        </w:rPr>
        <w:t>potential</w:t>
      </w:r>
      <w:proofErr w:type="spellEnd"/>
      <w:r>
        <w:rPr>
          <w:rFonts w:eastAsia="Palatino Linotype"/>
          <w:sz w:val="22"/>
          <w:szCs w:val="22"/>
          <w:lang w:val="es-ES"/>
        </w:rPr>
        <w:t xml:space="preserve"> </w:t>
      </w:r>
      <w:proofErr w:type="spellStart"/>
      <w:r>
        <w:rPr>
          <w:rFonts w:eastAsia="Palatino Linotype"/>
          <w:sz w:val="22"/>
          <w:szCs w:val="22"/>
          <w:lang w:val="es-ES"/>
        </w:rPr>
        <w:t>bidders</w:t>
      </w:r>
      <w:proofErr w:type="spellEnd"/>
      <w:r>
        <w:rPr>
          <w:rFonts w:eastAsia="Palatino Linotype"/>
          <w:sz w:val="22"/>
          <w:szCs w:val="22"/>
          <w:lang w:val="es-ES"/>
        </w:rPr>
        <w:t xml:space="preserve"> </w:t>
      </w:r>
      <w:proofErr w:type="spellStart"/>
      <w:r>
        <w:rPr>
          <w:rFonts w:eastAsia="Palatino Linotype"/>
          <w:sz w:val="22"/>
          <w:szCs w:val="22"/>
          <w:lang w:val="es-ES"/>
        </w:rPr>
        <w:t>will</w:t>
      </w:r>
      <w:proofErr w:type="spellEnd"/>
      <w:r>
        <w:rPr>
          <w:rFonts w:eastAsia="Palatino Linotype"/>
          <w:sz w:val="22"/>
          <w:szCs w:val="22"/>
          <w:lang w:val="es-ES"/>
        </w:rPr>
        <w:t xml:space="preserve"> be </w:t>
      </w:r>
      <w:proofErr w:type="spellStart"/>
      <w:r>
        <w:rPr>
          <w:rFonts w:eastAsia="Palatino Linotype"/>
          <w:sz w:val="22"/>
          <w:szCs w:val="22"/>
          <w:lang w:val="es-ES"/>
        </w:rPr>
        <w:t>given</w:t>
      </w:r>
      <w:proofErr w:type="spellEnd"/>
      <w:r>
        <w:rPr>
          <w:rFonts w:eastAsia="Palatino Linotype"/>
          <w:sz w:val="22"/>
          <w:szCs w:val="22"/>
          <w:lang w:val="es-ES"/>
        </w:rPr>
        <w:t xml:space="preserve"> </w:t>
      </w:r>
      <w:proofErr w:type="spellStart"/>
      <w:r>
        <w:rPr>
          <w:rFonts w:eastAsia="Palatino Linotype"/>
          <w:sz w:val="22"/>
          <w:szCs w:val="22"/>
          <w:lang w:val="es-ES"/>
        </w:rPr>
        <w:t>additional</w:t>
      </w:r>
      <w:proofErr w:type="spellEnd"/>
      <w:r>
        <w:rPr>
          <w:rFonts w:eastAsia="Palatino Linotype"/>
          <w:sz w:val="22"/>
          <w:szCs w:val="22"/>
          <w:lang w:val="es-ES"/>
        </w:rPr>
        <w:t xml:space="preserve"> time </w:t>
      </w:r>
      <w:proofErr w:type="spellStart"/>
      <w:r>
        <w:rPr>
          <w:rFonts w:eastAsia="Palatino Linotype"/>
          <w:sz w:val="22"/>
          <w:szCs w:val="22"/>
          <w:lang w:val="es-ES"/>
        </w:rPr>
        <w:t>to</w:t>
      </w:r>
      <w:proofErr w:type="spellEnd"/>
      <w:r>
        <w:rPr>
          <w:rFonts w:eastAsia="Palatino Linotype"/>
          <w:sz w:val="22"/>
          <w:szCs w:val="22"/>
          <w:lang w:val="es-ES"/>
        </w:rPr>
        <w:t xml:space="preserve"> prepare </w:t>
      </w:r>
      <w:proofErr w:type="spellStart"/>
      <w:r>
        <w:rPr>
          <w:rFonts w:eastAsia="Palatino Linotype"/>
          <w:sz w:val="22"/>
          <w:szCs w:val="22"/>
          <w:lang w:val="es-ES"/>
        </w:rPr>
        <w:t>their</w:t>
      </w:r>
      <w:proofErr w:type="spellEnd"/>
      <w:r>
        <w:rPr>
          <w:rFonts w:eastAsia="Palatino Linotype"/>
          <w:sz w:val="22"/>
          <w:szCs w:val="22"/>
          <w:lang w:val="es-ES"/>
        </w:rPr>
        <w:t xml:space="preserve"> </w:t>
      </w:r>
      <w:proofErr w:type="spellStart"/>
      <w:r>
        <w:rPr>
          <w:rFonts w:eastAsia="Palatino Linotype"/>
          <w:sz w:val="22"/>
          <w:szCs w:val="22"/>
          <w:lang w:val="es-ES"/>
        </w:rPr>
        <w:t>bids</w:t>
      </w:r>
      <w:proofErr w:type="spellEnd"/>
      <w:r>
        <w:rPr>
          <w:rFonts w:eastAsia="Palatino Linotype"/>
          <w:sz w:val="22"/>
          <w:szCs w:val="22"/>
          <w:lang w:val="es-ES"/>
        </w:rPr>
        <w:t xml:space="preserve">, and </w:t>
      </w:r>
      <w:proofErr w:type="spellStart"/>
      <w:r>
        <w:rPr>
          <w:rFonts w:eastAsia="Palatino Linotype"/>
          <w:sz w:val="22"/>
          <w:szCs w:val="22"/>
          <w:lang w:val="es-ES"/>
        </w:rPr>
        <w:t>must</w:t>
      </w:r>
      <w:proofErr w:type="spellEnd"/>
      <w:r>
        <w:rPr>
          <w:rFonts w:eastAsia="Palatino Linotype"/>
          <w:sz w:val="22"/>
          <w:szCs w:val="22"/>
          <w:lang w:val="es-ES"/>
        </w:rPr>
        <w:t xml:space="preserve"> </w:t>
      </w:r>
      <w:proofErr w:type="spellStart"/>
      <w:r>
        <w:rPr>
          <w:rFonts w:eastAsia="Palatino Linotype"/>
          <w:sz w:val="22"/>
          <w:szCs w:val="22"/>
          <w:lang w:val="es-ES"/>
        </w:rPr>
        <w:t>communicate</w:t>
      </w:r>
      <w:proofErr w:type="spellEnd"/>
      <w:r>
        <w:rPr>
          <w:rFonts w:eastAsia="Palatino Linotype"/>
          <w:sz w:val="22"/>
          <w:szCs w:val="22"/>
          <w:lang w:val="es-ES"/>
        </w:rPr>
        <w:t xml:space="preserve"> in </w:t>
      </w:r>
      <w:proofErr w:type="spellStart"/>
      <w:r>
        <w:rPr>
          <w:rFonts w:eastAsia="Palatino Linotype"/>
          <w:sz w:val="22"/>
          <w:szCs w:val="22"/>
          <w:lang w:val="es-ES"/>
        </w:rPr>
        <w:t>the</w:t>
      </w:r>
      <w:proofErr w:type="spellEnd"/>
      <w:r>
        <w:rPr>
          <w:rFonts w:eastAsia="Palatino Linotype"/>
          <w:sz w:val="22"/>
          <w:szCs w:val="22"/>
          <w:lang w:val="es-ES"/>
        </w:rPr>
        <w:t xml:space="preserve"> </w:t>
      </w:r>
      <w:proofErr w:type="spellStart"/>
      <w:r>
        <w:rPr>
          <w:rFonts w:eastAsia="Palatino Linotype"/>
          <w:sz w:val="22"/>
          <w:szCs w:val="22"/>
          <w:lang w:val="es-ES"/>
        </w:rPr>
        <w:t>manner</w:t>
      </w:r>
      <w:proofErr w:type="spellEnd"/>
      <w:r>
        <w:rPr>
          <w:rFonts w:eastAsia="Palatino Linotype"/>
          <w:sz w:val="22"/>
          <w:szCs w:val="22"/>
          <w:lang w:val="es-ES"/>
        </w:rPr>
        <w:t xml:space="preserve"> </w:t>
      </w:r>
      <w:proofErr w:type="spellStart"/>
      <w:r>
        <w:rPr>
          <w:rFonts w:eastAsia="Palatino Linotype"/>
          <w:sz w:val="22"/>
          <w:szCs w:val="22"/>
          <w:lang w:val="es-ES"/>
        </w:rPr>
        <w:t>indicated</w:t>
      </w:r>
      <w:proofErr w:type="spellEnd"/>
      <w:r>
        <w:rPr>
          <w:rFonts w:eastAsia="Palatino Linotype"/>
          <w:sz w:val="22"/>
          <w:szCs w:val="22"/>
          <w:lang w:val="es-ES"/>
        </w:rPr>
        <w:t xml:space="preserve"> in </w:t>
      </w:r>
      <w:proofErr w:type="spellStart"/>
      <w:r>
        <w:rPr>
          <w:rFonts w:eastAsia="Palatino Linotype"/>
          <w:sz w:val="22"/>
          <w:szCs w:val="22"/>
          <w:lang w:val="es-ES"/>
        </w:rPr>
        <w:t>the</w:t>
      </w:r>
      <w:proofErr w:type="spellEnd"/>
      <w:r>
        <w:rPr>
          <w:rFonts w:eastAsia="Palatino Linotype"/>
          <w:sz w:val="22"/>
          <w:szCs w:val="22"/>
          <w:lang w:val="es-ES"/>
        </w:rPr>
        <w:t xml:space="preserve"> </w:t>
      </w:r>
      <w:proofErr w:type="spellStart"/>
      <w:r>
        <w:rPr>
          <w:rFonts w:eastAsia="Palatino Linotype"/>
          <w:sz w:val="22"/>
          <w:szCs w:val="22"/>
          <w:lang w:val="es-ES"/>
        </w:rPr>
        <w:t>previous</w:t>
      </w:r>
      <w:proofErr w:type="spellEnd"/>
      <w:r>
        <w:rPr>
          <w:rFonts w:eastAsia="Palatino Linotype"/>
          <w:sz w:val="22"/>
          <w:szCs w:val="22"/>
          <w:lang w:val="es-ES"/>
        </w:rPr>
        <w:t xml:space="preserve"> </w:t>
      </w:r>
      <w:proofErr w:type="spellStart"/>
      <w:r>
        <w:rPr>
          <w:rFonts w:eastAsia="Palatino Linotype"/>
          <w:sz w:val="22"/>
          <w:szCs w:val="22"/>
          <w:lang w:val="es-ES"/>
        </w:rPr>
        <w:t>paragraph</w:t>
      </w:r>
      <w:proofErr w:type="spellEnd"/>
      <w:r>
        <w:rPr>
          <w:rFonts w:eastAsia="Palatino Linotype"/>
          <w:sz w:val="22"/>
          <w:szCs w:val="22"/>
          <w:lang w:val="es-ES"/>
        </w:rPr>
        <w:t>.</w:t>
      </w:r>
    </w:p>
    <w:p w14:paraId="1150F552" w14:textId="77777777" w:rsidR="00E255F4" w:rsidRDefault="00E255F4">
      <w:pPr>
        <w:ind w:right="-142"/>
        <w:jc w:val="both"/>
        <w:rPr>
          <w:rFonts w:eastAsia="Palatino Linotype"/>
          <w:sz w:val="22"/>
          <w:szCs w:val="22"/>
          <w:lang w:val="es-ES"/>
        </w:rPr>
      </w:pPr>
    </w:p>
    <w:p w14:paraId="69E0066E" w14:textId="77777777" w:rsidR="00E255F4" w:rsidRDefault="00000000">
      <w:pPr>
        <w:tabs>
          <w:tab w:val="left" w:pos="284"/>
        </w:tabs>
        <w:ind w:right="-142"/>
        <w:jc w:val="both"/>
        <w:outlineLvl w:val="0"/>
        <w:rPr>
          <w:rFonts w:eastAsia="Palatino Linotype"/>
          <w:b/>
          <w:spacing w:val="-1"/>
          <w:sz w:val="22"/>
          <w:szCs w:val="22"/>
          <w:lang w:val="es-ES"/>
        </w:rPr>
      </w:pPr>
      <w:bookmarkStart w:id="13" w:name="__RefHeading___Toc225377190"/>
      <w:bookmarkEnd w:id="13"/>
      <w:r>
        <w:rPr>
          <w:rFonts w:eastAsia="Palatino Linotype"/>
          <w:b/>
          <w:spacing w:val="-1"/>
          <w:sz w:val="22"/>
          <w:szCs w:val="22"/>
          <w:lang w:val="es-ES"/>
        </w:rPr>
        <w:t xml:space="preserve">5Request </w:t>
      </w:r>
      <w:proofErr w:type="spellStart"/>
      <w:r>
        <w:rPr>
          <w:rFonts w:eastAsia="Palatino Linotype"/>
          <w:b/>
          <w:spacing w:val="-1"/>
          <w:sz w:val="22"/>
          <w:szCs w:val="22"/>
          <w:lang w:val="es-ES"/>
        </w:rPr>
        <w:t>for</w:t>
      </w:r>
      <w:proofErr w:type="spellEnd"/>
      <w:r>
        <w:rPr>
          <w:rFonts w:eastAsia="Palatino Linotype"/>
          <w:b/>
          <w:spacing w:val="-1"/>
          <w:sz w:val="22"/>
          <w:szCs w:val="22"/>
          <w:lang w:val="es-ES"/>
        </w:rPr>
        <w:t xml:space="preserve"> </w:t>
      </w:r>
      <w:proofErr w:type="spellStart"/>
      <w:r>
        <w:rPr>
          <w:rFonts w:eastAsia="Palatino Linotype"/>
          <w:b/>
          <w:spacing w:val="-1"/>
          <w:sz w:val="22"/>
          <w:szCs w:val="22"/>
          <w:lang w:val="es-ES"/>
        </w:rPr>
        <w:t>extension</w:t>
      </w:r>
      <w:proofErr w:type="spellEnd"/>
      <w:r>
        <w:rPr>
          <w:rFonts w:eastAsia="Palatino Linotype"/>
          <w:b/>
          <w:spacing w:val="-1"/>
          <w:sz w:val="22"/>
          <w:szCs w:val="22"/>
          <w:lang w:val="es-ES"/>
        </w:rPr>
        <w:t xml:space="preserve"> </w:t>
      </w:r>
      <w:proofErr w:type="spellStart"/>
      <w:r>
        <w:rPr>
          <w:rFonts w:eastAsia="Palatino Linotype"/>
          <w:b/>
          <w:spacing w:val="-1"/>
          <w:sz w:val="22"/>
          <w:szCs w:val="22"/>
          <w:lang w:val="es-ES"/>
        </w:rPr>
        <w:t>of</w:t>
      </w:r>
      <w:proofErr w:type="spellEnd"/>
      <w:r>
        <w:rPr>
          <w:rFonts w:eastAsia="Palatino Linotype"/>
          <w:b/>
          <w:spacing w:val="-1"/>
          <w:sz w:val="22"/>
          <w:szCs w:val="22"/>
          <w:lang w:val="es-ES"/>
        </w:rPr>
        <w:t xml:space="preserve"> </w:t>
      </w:r>
      <w:proofErr w:type="spellStart"/>
      <w:r>
        <w:rPr>
          <w:rFonts w:eastAsia="Palatino Linotype"/>
          <w:b/>
          <w:spacing w:val="-1"/>
          <w:sz w:val="22"/>
          <w:szCs w:val="22"/>
          <w:lang w:val="es-ES"/>
        </w:rPr>
        <w:t>bid</w:t>
      </w:r>
      <w:proofErr w:type="spellEnd"/>
      <w:r>
        <w:rPr>
          <w:rFonts w:eastAsia="Palatino Linotype"/>
          <w:b/>
          <w:spacing w:val="-1"/>
          <w:sz w:val="22"/>
          <w:szCs w:val="22"/>
          <w:lang w:val="es-ES"/>
        </w:rPr>
        <w:t xml:space="preserve"> </w:t>
      </w:r>
      <w:proofErr w:type="spellStart"/>
      <w:r>
        <w:rPr>
          <w:rFonts w:eastAsia="Palatino Linotype"/>
          <w:b/>
          <w:spacing w:val="-1"/>
          <w:sz w:val="22"/>
          <w:szCs w:val="22"/>
          <w:lang w:val="es-ES"/>
        </w:rPr>
        <w:t>opening</w:t>
      </w:r>
      <w:proofErr w:type="spellEnd"/>
      <w:r>
        <w:rPr>
          <w:rFonts w:eastAsia="Palatino Linotype"/>
          <w:b/>
          <w:spacing w:val="-1"/>
          <w:sz w:val="22"/>
          <w:szCs w:val="22"/>
          <w:lang w:val="es-ES"/>
        </w:rPr>
        <w:tab/>
      </w:r>
      <w:r>
        <w:rPr>
          <w:rFonts w:eastAsia="Palatino Linotype"/>
          <w:b/>
          <w:spacing w:val="-1"/>
          <w:sz w:val="22"/>
          <w:szCs w:val="22"/>
          <w:lang w:val="es-ES"/>
        </w:rPr>
        <w:tab/>
      </w:r>
    </w:p>
    <w:p w14:paraId="52639A47" w14:textId="77777777" w:rsidR="00E255F4" w:rsidRDefault="00E255F4">
      <w:pPr>
        <w:ind w:right="-142"/>
        <w:jc w:val="both"/>
        <w:rPr>
          <w:rFonts w:eastAsia="Palatino Linotype"/>
          <w:b/>
          <w:spacing w:val="-1"/>
          <w:sz w:val="22"/>
          <w:szCs w:val="22"/>
          <w:lang w:val="es-ES"/>
        </w:rPr>
      </w:pPr>
    </w:p>
    <w:p w14:paraId="52227A59" w14:textId="77777777" w:rsidR="00E255F4" w:rsidRDefault="00000000">
      <w:pPr>
        <w:ind w:right="-142"/>
        <w:jc w:val="both"/>
        <w:rPr>
          <w:rFonts w:eastAsia="Palatino Linotype"/>
          <w:sz w:val="22"/>
          <w:szCs w:val="22"/>
          <w:lang w:val="es-ES"/>
        </w:rPr>
      </w:pPr>
      <w:proofErr w:type="spellStart"/>
      <w:r>
        <w:rPr>
          <w:rFonts w:eastAsia="Palatino Linotype"/>
          <w:spacing w:val="-1"/>
          <w:sz w:val="22"/>
          <w:szCs w:val="22"/>
          <w:lang w:val="es-ES"/>
        </w:rPr>
        <w:t>Any</w:t>
      </w:r>
      <w:r>
        <w:rPr>
          <w:rFonts w:eastAsia="Palatino Linotype"/>
          <w:sz w:val="22"/>
          <w:szCs w:val="22"/>
          <w:lang w:val="es-ES"/>
        </w:rPr>
        <w:t>The</w:t>
      </w:r>
      <w:proofErr w:type="spellEnd"/>
      <w:r>
        <w:rPr>
          <w:rFonts w:eastAsia="Palatino Linotype"/>
          <w:sz w:val="22"/>
          <w:szCs w:val="22"/>
          <w:lang w:val="es-ES"/>
        </w:rPr>
        <w:t xml:space="preserve"> </w:t>
      </w:r>
      <w:proofErr w:type="spellStart"/>
      <w:r>
        <w:rPr>
          <w:rFonts w:eastAsia="Palatino Linotype"/>
          <w:sz w:val="22"/>
          <w:szCs w:val="22"/>
          <w:lang w:val="es-ES"/>
        </w:rPr>
        <w:t>supplier</w:t>
      </w:r>
      <w:proofErr w:type="spellEnd"/>
      <w:r>
        <w:rPr>
          <w:rFonts w:eastAsia="Palatino Linotype"/>
          <w:sz w:val="22"/>
          <w:szCs w:val="22"/>
          <w:lang w:val="es-ES"/>
        </w:rPr>
        <w:t xml:space="preserve"> </w:t>
      </w:r>
      <w:proofErr w:type="spellStart"/>
      <w:r>
        <w:rPr>
          <w:rFonts w:eastAsia="Palatino Linotype"/>
          <w:sz w:val="22"/>
          <w:szCs w:val="22"/>
          <w:lang w:val="es-ES"/>
        </w:rPr>
        <w:t>may</w:t>
      </w:r>
      <w:proofErr w:type="spellEnd"/>
      <w:r>
        <w:rPr>
          <w:rFonts w:eastAsia="Palatino Linotype"/>
          <w:sz w:val="22"/>
          <w:szCs w:val="22"/>
          <w:lang w:val="es-ES"/>
        </w:rPr>
        <w:t xml:space="preserve"> </w:t>
      </w:r>
      <w:proofErr w:type="spellStart"/>
      <w:r>
        <w:rPr>
          <w:rFonts w:eastAsia="Palatino Linotype"/>
          <w:sz w:val="22"/>
          <w:szCs w:val="22"/>
          <w:lang w:val="es-ES"/>
        </w:rPr>
        <w:t>request</w:t>
      </w:r>
      <w:proofErr w:type="spellEnd"/>
      <w:r>
        <w:rPr>
          <w:rFonts w:eastAsia="Palatino Linotype"/>
          <w:sz w:val="22"/>
          <w:szCs w:val="22"/>
          <w:lang w:val="es-ES"/>
        </w:rPr>
        <w:t xml:space="preserve"> </w:t>
      </w:r>
      <w:proofErr w:type="spellStart"/>
      <w:r>
        <w:rPr>
          <w:rFonts w:eastAsia="Palatino Linotype"/>
          <w:sz w:val="22"/>
          <w:szCs w:val="22"/>
          <w:lang w:val="es-ES"/>
        </w:rPr>
        <w:t>an</w:t>
      </w:r>
      <w:proofErr w:type="spellEnd"/>
      <w:r>
        <w:rPr>
          <w:rFonts w:eastAsia="Palatino Linotype"/>
          <w:sz w:val="22"/>
          <w:szCs w:val="22"/>
          <w:lang w:val="es-ES"/>
        </w:rPr>
        <w:t xml:space="preserve"> </w:t>
      </w:r>
      <w:proofErr w:type="spellStart"/>
      <w:r>
        <w:rPr>
          <w:rFonts w:eastAsia="Palatino Linotype"/>
          <w:sz w:val="22"/>
          <w:szCs w:val="22"/>
          <w:lang w:val="es-ES"/>
        </w:rPr>
        <w:t>extension</w:t>
      </w:r>
      <w:proofErr w:type="spellEnd"/>
      <w:r>
        <w:rPr>
          <w:rFonts w:eastAsia="Palatino Linotype"/>
          <w:sz w:val="22"/>
          <w:szCs w:val="22"/>
          <w:lang w:val="es-ES"/>
        </w:rPr>
        <w:t xml:space="preserve"> </w:t>
      </w:r>
      <w:proofErr w:type="spellStart"/>
      <w:r>
        <w:rPr>
          <w:rFonts w:eastAsia="Palatino Linotype"/>
          <w:sz w:val="22"/>
          <w:szCs w:val="22"/>
          <w:lang w:val="es-ES"/>
        </w:rPr>
        <w:t>of</w:t>
      </w:r>
      <w:proofErr w:type="spellEnd"/>
      <w:r>
        <w:rPr>
          <w:rFonts w:eastAsia="Palatino Linotype"/>
          <w:sz w:val="22"/>
          <w:szCs w:val="22"/>
          <w:lang w:val="es-ES"/>
        </w:rPr>
        <w:t xml:space="preserve"> </w:t>
      </w:r>
      <w:proofErr w:type="spellStart"/>
      <w:r>
        <w:rPr>
          <w:rFonts w:eastAsia="Palatino Linotype"/>
          <w:sz w:val="22"/>
          <w:szCs w:val="22"/>
          <w:lang w:val="es-ES"/>
        </w:rPr>
        <w:t>the</w:t>
      </w:r>
      <w:proofErr w:type="spellEnd"/>
      <w:r>
        <w:rPr>
          <w:rFonts w:eastAsia="Palatino Linotype"/>
          <w:sz w:val="22"/>
          <w:szCs w:val="22"/>
          <w:lang w:val="es-ES"/>
        </w:rPr>
        <w:t xml:space="preserve"> </w:t>
      </w:r>
      <w:proofErr w:type="spellStart"/>
      <w:r>
        <w:rPr>
          <w:rFonts w:eastAsia="Palatino Linotype"/>
          <w:sz w:val="22"/>
          <w:szCs w:val="22"/>
          <w:lang w:val="es-ES"/>
        </w:rPr>
        <w:t>Bid</w:t>
      </w:r>
      <w:proofErr w:type="spellEnd"/>
      <w:r>
        <w:rPr>
          <w:rFonts w:eastAsia="Palatino Linotype"/>
          <w:sz w:val="22"/>
          <w:szCs w:val="22"/>
          <w:lang w:val="es-ES"/>
        </w:rPr>
        <w:t xml:space="preserve"> </w:t>
      </w:r>
      <w:proofErr w:type="spellStart"/>
      <w:r>
        <w:rPr>
          <w:rFonts w:eastAsia="Palatino Linotype"/>
          <w:sz w:val="22"/>
          <w:szCs w:val="22"/>
          <w:lang w:val="es-ES"/>
        </w:rPr>
        <w:t>Opening</w:t>
      </w:r>
      <w:proofErr w:type="spellEnd"/>
      <w:r>
        <w:rPr>
          <w:rFonts w:eastAsia="Palatino Linotype"/>
          <w:sz w:val="22"/>
          <w:szCs w:val="22"/>
          <w:lang w:val="es-ES"/>
        </w:rPr>
        <w:t xml:space="preserve">. </w:t>
      </w:r>
      <w:proofErr w:type="spellStart"/>
      <w:r>
        <w:rPr>
          <w:rFonts w:eastAsia="Palatino Linotype"/>
          <w:sz w:val="22"/>
          <w:szCs w:val="22"/>
          <w:lang w:val="es-ES"/>
        </w:rPr>
        <w:t>This</w:t>
      </w:r>
      <w:proofErr w:type="spellEnd"/>
      <w:r>
        <w:rPr>
          <w:rFonts w:eastAsia="Palatino Linotype"/>
          <w:sz w:val="22"/>
          <w:szCs w:val="22"/>
          <w:lang w:val="es-ES"/>
        </w:rPr>
        <w:t xml:space="preserve"> </w:t>
      </w:r>
      <w:proofErr w:type="spellStart"/>
      <w:r>
        <w:rPr>
          <w:rFonts w:eastAsia="Palatino Linotype"/>
          <w:sz w:val="22"/>
          <w:szCs w:val="22"/>
          <w:lang w:val="es-ES"/>
        </w:rPr>
        <w:t>request</w:t>
      </w:r>
      <w:proofErr w:type="spellEnd"/>
      <w:r>
        <w:rPr>
          <w:rFonts w:eastAsia="Palatino Linotype"/>
          <w:sz w:val="22"/>
          <w:szCs w:val="22"/>
          <w:lang w:val="es-ES"/>
        </w:rPr>
        <w:t xml:space="preserve"> </w:t>
      </w:r>
      <w:proofErr w:type="spellStart"/>
      <w:r>
        <w:rPr>
          <w:rFonts w:eastAsia="Palatino Linotype"/>
          <w:sz w:val="22"/>
          <w:szCs w:val="22"/>
          <w:lang w:val="es-ES"/>
        </w:rPr>
        <w:t>must</w:t>
      </w:r>
      <w:proofErr w:type="spellEnd"/>
      <w:r>
        <w:rPr>
          <w:rFonts w:eastAsia="Palatino Linotype"/>
          <w:sz w:val="22"/>
          <w:szCs w:val="22"/>
          <w:lang w:val="es-ES"/>
        </w:rPr>
        <w:t xml:space="preserve"> be </w:t>
      </w:r>
      <w:proofErr w:type="spellStart"/>
      <w:r>
        <w:rPr>
          <w:rFonts w:eastAsia="Palatino Linotype"/>
          <w:sz w:val="22"/>
          <w:szCs w:val="22"/>
          <w:lang w:val="es-ES"/>
        </w:rPr>
        <w:t>submitted</w:t>
      </w:r>
      <w:proofErr w:type="spellEnd"/>
      <w:r>
        <w:rPr>
          <w:rFonts w:eastAsia="Palatino Linotype"/>
          <w:sz w:val="22"/>
          <w:szCs w:val="22"/>
          <w:lang w:val="es-ES"/>
        </w:rPr>
        <w:t xml:space="preserve"> </w:t>
      </w:r>
      <w:proofErr w:type="spellStart"/>
      <w:r>
        <w:rPr>
          <w:rFonts w:eastAsia="Palatino Linotype"/>
          <w:sz w:val="22"/>
          <w:szCs w:val="22"/>
          <w:lang w:val="es-ES"/>
        </w:rPr>
        <w:t>through</w:t>
      </w:r>
      <w:proofErr w:type="spellEnd"/>
      <w:r>
        <w:rPr>
          <w:rFonts w:eastAsia="Palatino Linotype"/>
          <w:sz w:val="22"/>
          <w:szCs w:val="22"/>
          <w:lang w:val="es-ES"/>
        </w:rPr>
        <w:t xml:space="preserve"> </w:t>
      </w:r>
      <w:proofErr w:type="spellStart"/>
      <w:r>
        <w:rPr>
          <w:rFonts w:eastAsia="Palatino Linotype"/>
          <w:sz w:val="22"/>
          <w:szCs w:val="22"/>
          <w:lang w:val="es-ES"/>
        </w:rPr>
        <w:t>the</w:t>
      </w:r>
      <w:proofErr w:type="spellEnd"/>
      <w:r>
        <w:rPr>
          <w:rFonts w:eastAsia="Palatino Linotype"/>
          <w:sz w:val="22"/>
          <w:szCs w:val="22"/>
          <w:lang w:val="es-ES"/>
        </w:rPr>
        <w:t xml:space="preserve"> </w:t>
      </w:r>
      <w:proofErr w:type="spellStart"/>
      <w:r>
        <w:rPr>
          <w:rFonts w:eastAsia="Palatino Linotype"/>
          <w:sz w:val="22"/>
          <w:szCs w:val="22"/>
          <w:lang w:val="es-ES"/>
        </w:rPr>
        <w:t>means</w:t>
      </w:r>
      <w:proofErr w:type="spellEnd"/>
      <w:r>
        <w:rPr>
          <w:rFonts w:eastAsia="Palatino Linotype"/>
          <w:sz w:val="22"/>
          <w:szCs w:val="22"/>
          <w:lang w:val="es-ES"/>
        </w:rPr>
        <w:t xml:space="preserve"> </w:t>
      </w:r>
      <w:proofErr w:type="spellStart"/>
      <w:r>
        <w:rPr>
          <w:rFonts w:eastAsia="Palatino Linotype"/>
          <w:sz w:val="22"/>
          <w:szCs w:val="22"/>
          <w:lang w:val="es-ES"/>
        </w:rPr>
        <w:t>indicated</w:t>
      </w:r>
      <w:proofErr w:type="spellEnd"/>
      <w:r>
        <w:rPr>
          <w:rFonts w:eastAsia="Palatino Linotype"/>
          <w:sz w:val="22"/>
          <w:szCs w:val="22"/>
          <w:lang w:val="es-ES"/>
        </w:rPr>
        <w:t xml:space="preserve"> in </w:t>
      </w:r>
      <w:proofErr w:type="spellStart"/>
      <w:r>
        <w:rPr>
          <w:rFonts w:eastAsia="Palatino Linotype"/>
          <w:sz w:val="22"/>
          <w:szCs w:val="22"/>
          <w:lang w:val="es-ES"/>
        </w:rPr>
        <w:t>the</w:t>
      </w:r>
      <w:proofErr w:type="spellEnd"/>
      <w:r>
        <w:rPr>
          <w:rFonts w:eastAsia="Palatino Linotype"/>
          <w:sz w:val="22"/>
          <w:szCs w:val="22"/>
          <w:lang w:val="es-ES"/>
        </w:rPr>
        <w:t xml:space="preserve"> Special Tender </w:t>
      </w:r>
      <w:proofErr w:type="spellStart"/>
      <w:r>
        <w:rPr>
          <w:rFonts w:eastAsia="Palatino Linotype"/>
          <w:sz w:val="22"/>
          <w:szCs w:val="22"/>
          <w:lang w:val="es-ES"/>
        </w:rPr>
        <w:t>Documents</w:t>
      </w:r>
      <w:proofErr w:type="spellEnd"/>
      <w:r>
        <w:rPr>
          <w:rFonts w:eastAsia="Palatino Linotype"/>
          <w:sz w:val="22"/>
          <w:szCs w:val="22"/>
          <w:lang w:val="es-ES"/>
        </w:rPr>
        <w:t xml:space="preserve"> and </w:t>
      </w:r>
      <w:proofErr w:type="spellStart"/>
      <w:r>
        <w:rPr>
          <w:rFonts w:eastAsia="Palatino Linotype"/>
          <w:sz w:val="22"/>
          <w:szCs w:val="22"/>
          <w:lang w:val="es-ES"/>
        </w:rPr>
        <w:t>within</w:t>
      </w:r>
      <w:proofErr w:type="spellEnd"/>
      <w:r>
        <w:rPr>
          <w:rFonts w:eastAsia="Palatino Linotype"/>
          <w:sz w:val="22"/>
          <w:szCs w:val="22"/>
          <w:lang w:val="es-ES"/>
        </w:rPr>
        <w:t xml:space="preserve"> </w:t>
      </w:r>
      <w:proofErr w:type="spellStart"/>
      <w:r>
        <w:rPr>
          <w:rFonts w:eastAsia="Palatino Linotype"/>
          <w:sz w:val="22"/>
          <w:szCs w:val="22"/>
          <w:lang w:val="es-ES"/>
        </w:rPr>
        <w:t>the</w:t>
      </w:r>
      <w:proofErr w:type="spellEnd"/>
      <w:r>
        <w:rPr>
          <w:rFonts w:eastAsia="Palatino Linotype"/>
          <w:sz w:val="22"/>
          <w:szCs w:val="22"/>
          <w:lang w:val="es-ES"/>
        </w:rPr>
        <w:t xml:space="preserve"> </w:t>
      </w:r>
      <w:proofErr w:type="spellStart"/>
      <w:r>
        <w:rPr>
          <w:rFonts w:eastAsia="Palatino Linotype"/>
          <w:sz w:val="22"/>
          <w:szCs w:val="22"/>
          <w:lang w:val="es-ES"/>
        </w:rPr>
        <w:t>timeframe</w:t>
      </w:r>
      <w:proofErr w:type="spellEnd"/>
      <w:r>
        <w:rPr>
          <w:rFonts w:eastAsia="Palatino Linotype"/>
          <w:sz w:val="22"/>
          <w:szCs w:val="22"/>
          <w:lang w:val="es-ES"/>
        </w:rPr>
        <w:t xml:space="preserve"> </w:t>
      </w:r>
      <w:proofErr w:type="spellStart"/>
      <w:r>
        <w:rPr>
          <w:rFonts w:eastAsia="Palatino Linotype"/>
          <w:sz w:val="22"/>
          <w:szCs w:val="22"/>
          <w:lang w:val="es-ES"/>
        </w:rPr>
        <w:t>specified</w:t>
      </w:r>
      <w:proofErr w:type="spellEnd"/>
      <w:r>
        <w:rPr>
          <w:rFonts w:eastAsia="Palatino Linotype"/>
          <w:sz w:val="22"/>
          <w:szCs w:val="22"/>
          <w:lang w:val="es-ES"/>
        </w:rPr>
        <w:t xml:space="preserve"> </w:t>
      </w:r>
      <w:proofErr w:type="spellStart"/>
      <w:r>
        <w:rPr>
          <w:rFonts w:eastAsia="Palatino Linotype"/>
          <w:sz w:val="22"/>
          <w:szCs w:val="22"/>
          <w:lang w:val="es-ES"/>
        </w:rPr>
        <w:t>therein</w:t>
      </w:r>
      <w:proofErr w:type="spellEnd"/>
      <w:r>
        <w:rPr>
          <w:rFonts w:eastAsia="Palatino Linotype"/>
          <w:sz w:val="22"/>
          <w:szCs w:val="22"/>
          <w:lang w:val="es-ES"/>
        </w:rPr>
        <w:t>.</w:t>
      </w:r>
    </w:p>
    <w:p w14:paraId="0FBC7908" w14:textId="77777777" w:rsidR="00E255F4" w:rsidRDefault="00E255F4">
      <w:pPr>
        <w:ind w:right="-142"/>
        <w:jc w:val="both"/>
        <w:rPr>
          <w:rFonts w:eastAsia="Palatino Linotype"/>
          <w:spacing w:val="-2"/>
          <w:sz w:val="22"/>
          <w:szCs w:val="22"/>
          <w:lang w:val="es-ES"/>
        </w:rPr>
      </w:pPr>
    </w:p>
    <w:p w14:paraId="4C7BF36F" w14:textId="77777777" w:rsidR="00E255F4" w:rsidRDefault="00000000">
      <w:pPr>
        <w:ind w:right="-142"/>
        <w:jc w:val="both"/>
      </w:pPr>
      <w:proofErr w:type="spellStart"/>
      <w:r>
        <w:rPr>
          <w:rFonts w:eastAsia="Palatino Linotype"/>
          <w:spacing w:val="-2"/>
          <w:sz w:val="22"/>
          <w:szCs w:val="22"/>
          <w:lang w:val="es-ES"/>
        </w:rPr>
        <w:t>L</w:t>
      </w:r>
      <w:r>
        <w:rPr>
          <w:rFonts w:eastAsia="Palatino Linotype"/>
          <w:sz w:val="22"/>
          <w:szCs w:val="22"/>
          <w:lang w:val="es-ES"/>
        </w:rPr>
        <w:t>The</w:t>
      </w:r>
      <w:proofErr w:type="spellEnd"/>
      <w:r>
        <w:rPr>
          <w:rFonts w:eastAsia="Palatino Linotype"/>
          <w:sz w:val="22"/>
          <w:szCs w:val="22"/>
          <w:lang w:val="es-ES"/>
        </w:rPr>
        <w:t xml:space="preserve"> </w:t>
      </w:r>
      <w:proofErr w:type="spellStart"/>
      <w:r>
        <w:rPr>
          <w:rFonts w:eastAsia="Palatino Linotype"/>
          <w:sz w:val="22"/>
          <w:szCs w:val="22"/>
          <w:lang w:val="es-ES"/>
        </w:rPr>
        <w:t>extension</w:t>
      </w:r>
      <w:proofErr w:type="spellEnd"/>
      <w:r>
        <w:rPr>
          <w:rFonts w:eastAsia="Palatino Linotype"/>
          <w:sz w:val="22"/>
          <w:szCs w:val="22"/>
          <w:lang w:val="es-ES"/>
        </w:rPr>
        <w:t xml:space="preserve"> </w:t>
      </w:r>
      <w:proofErr w:type="spellStart"/>
      <w:r>
        <w:rPr>
          <w:rFonts w:eastAsia="Palatino Linotype"/>
          <w:sz w:val="22"/>
          <w:szCs w:val="22"/>
          <w:lang w:val="es-ES"/>
        </w:rPr>
        <w:t>will</w:t>
      </w:r>
      <w:proofErr w:type="spellEnd"/>
      <w:r>
        <w:rPr>
          <w:rFonts w:eastAsia="Palatino Linotype"/>
          <w:sz w:val="22"/>
          <w:szCs w:val="22"/>
          <w:lang w:val="es-ES"/>
        </w:rPr>
        <w:t xml:space="preserve"> be </w:t>
      </w:r>
      <w:proofErr w:type="spellStart"/>
      <w:r>
        <w:rPr>
          <w:rFonts w:eastAsia="Palatino Linotype"/>
          <w:sz w:val="22"/>
          <w:szCs w:val="22"/>
          <w:lang w:val="es-ES"/>
        </w:rPr>
        <w:t>decided</w:t>
      </w:r>
      <w:proofErr w:type="spellEnd"/>
      <w:r>
        <w:rPr>
          <w:rFonts w:eastAsia="Palatino Linotype"/>
          <w:sz w:val="22"/>
          <w:szCs w:val="22"/>
          <w:lang w:val="es-ES"/>
        </w:rPr>
        <w:t xml:space="preserve"> </w:t>
      </w:r>
      <w:proofErr w:type="spellStart"/>
      <w:r>
        <w:rPr>
          <w:rFonts w:eastAsia="Palatino Linotype"/>
          <w:sz w:val="22"/>
          <w:szCs w:val="22"/>
          <w:lang w:val="es-ES"/>
        </w:rPr>
        <w:t>by</w:t>
      </w:r>
      <w:proofErr w:type="spellEnd"/>
      <w:r>
        <w:rPr>
          <w:rFonts w:eastAsia="Palatino Linotype"/>
          <w:sz w:val="22"/>
          <w:szCs w:val="22"/>
          <w:lang w:val="es-ES"/>
        </w:rPr>
        <w:t xml:space="preserve"> </w:t>
      </w:r>
      <w:proofErr w:type="spellStart"/>
      <w:r>
        <w:rPr>
          <w:rFonts w:eastAsia="Palatino Linotype"/>
          <w:sz w:val="22"/>
          <w:szCs w:val="22"/>
          <w:lang w:val="es-ES"/>
        </w:rPr>
        <w:t>the</w:t>
      </w:r>
      <w:proofErr w:type="spellEnd"/>
      <w:r>
        <w:rPr>
          <w:rFonts w:eastAsia="Palatino Linotype"/>
          <w:sz w:val="22"/>
          <w:szCs w:val="22"/>
          <w:lang w:val="es-ES"/>
        </w:rPr>
        <w:t xml:space="preserve"> </w:t>
      </w:r>
      <w:proofErr w:type="spellStart"/>
      <w:r>
        <w:rPr>
          <w:rFonts w:eastAsia="Palatino Linotype"/>
          <w:sz w:val="22"/>
          <w:szCs w:val="22"/>
          <w:lang w:val="es-ES"/>
        </w:rPr>
        <w:t>Administration</w:t>
      </w:r>
      <w:proofErr w:type="spellEnd"/>
      <w:r>
        <w:rPr>
          <w:rFonts w:eastAsia="Palatino Linotype"/>
          <w:sz w:val="22"/>
          <w:szCs w:val="22"/>
          <w:lang w:val="es-ES"/>
        </w:rPr>
        <w:t xml:space="preserve"> at </w:t>
      </w:r>
      <w:proofErr w:type="spellStart"/>
      <w:r>
        <w:rPr>
          <w:rFonts w:eastAsia="Palatino Linotype"/>
          <w:sz w:val="22"/>
          <w:szCs w:val="22"/>
          <w:lang w:val="es-ES"/>
        </w:rPr>
        <w:t>its</w:t>
      </w:r>
      <w:proofErr w:type="spellEnd"/>
      <w:r>
        <w:rPr>
          <w:rFonts w:eastAsia="Palatino Linotype"/>
          <w:sz w:val="22"/>
          <w:szCs w:val="22"/>
          <w:lang w:val="es-ES"/>
        </w:rPr>
        <w:t xml:space="preserve"> sole </w:t>
      </w:r>
      <w:proofErr w:type="spellStart"/>
      <w:r>
        <w:rPr>
          <w:rFonts w:eastAsia="Palatino Linotype"/>
          <w:sz w:val="22"/>
          <w:szCs w:val="22"/>
          <w:lang w:val="es-ES"/>
        </w:rPr>
        <w:t>discretion</w:t>
      </w:r>
      <w:proofErr w:type="spellEnd"/>
      <w:r>
        <w:rPr>
          <w:rFonts w:eastAsia="Palatino Linotype"/>
          <w:sz w:val="22"/>
          <w:szCs w:val="22"/>
          <w:lang w:val="es-ES"/>
        </w:rPr>
        <w:t xml:space="preserve"> and </w:t>
      </w:r>
      <w:proofErr w:type="spellStart"/>
      <w:r>
        <w:rPr>
          <w:rFonts w:eastAsia="Palatino Linotype"/>
          <w:sz w:val="22"/>
          <w:szCs w:val="22"/>
          <w:lang w:val="es-ES"/>
        </w:rPr>
        <w:t>must</w:t>
      </w:r>
      <w:proofErr w:type="spellEnd"/>
      <w:r>
        <w:rPr>
          <w:rFonts w:eastAsia="Palatino Linotype"/>
          <w:sz w:val="22"/>
          <w:szCs w:val="22"/>
          <w:lang w:val="es-ES"/>
        </w:rPr>
        <w:t xml:space="preserve"> be </w:t>
      </w:r>
      <w:proofErr w:type="spellStart"/>
      <w:r>
        <w:rPr>
          <w:rFonts w:eastAsia="Palatino Linotype"/>
          <w:sz w:val="22"/>
          <w:szCs w:val="22"/>
          <w:lang w:val="es-ES"/>
        </w:rPr>
        <w:t>personally</w:t>
      </w:r>
      <w:proofErr w:type="spellEnd"/>
      <w:r>
        <w:rPr>
          <w:rFonts w:eastAsia="Palatino Linotype"/>
          <w:sz w:val="22"/>
          <w:szCs w:val="22"/>
          <w:lang w:val="es-ES"/>
        </w:rPr>
        <w:t xml:space="preserve"> </w:t>
      </w:r>
      <w:proofErr w:type="spellStart"/>
      <w:r>
        <w:rPr>
          <w:rFonts w:eastAsia="Palatino Linotype"/>
          <w:sz w:val="22"/>
          <w:szCs w:val="22"/>
          <w:lang w:val="es-ES"/>
        </w:rPr>
        <w:t>notified</w:t>
      </w:r>
      <w:proofErr w:type="spellEnd"/>
      <w:r>
        <w:rPr>
          <w:rFonts w:eastAsia="Palatino Linotype"/>
          <w:sz w:val="22"/>
          <w:szCs w:val="22"/>
          <w:lang w:val="es-ES"/>
        </w:rPr>
        <w:t xml:space="preserve"> </w:t>
      </w:r>
      <w:proofErr w:type="spellStart"/>
      <w:r>
        <w:rPr>
          <w:rFonts w:eastAsia="Palatino Linotype"/>
          <w:sz w:val="22"/>
          <w:szCs w:val="22"/>
          <w:lang w:val="es-ES"/>
        </w:rPr>
        <w:t>to</w:t>
      </w:r>
      <w:proofErr w:type="spellEnd"/>
      <w:r>
        <w:rPr>
          <w:rFonts w:eastAsia="Palatino Linotype"/>
          <w:sz w:val="22"/>
          <w:szCs w:val="22"/>
          <w:lang w:val="es-ES"/>
        </w:rPr>
        <w:t xml:space="preserve"> </w:t>
      </w:r>
      <w:proofErr w:type="spellStart"/>
      <w:r>
        <w:rPr>
          <w:rFonts w:eastAsia="Palatino Linotype"/>
          <w:sz w:val="22"/>
          <w:szCs w:val="22"/>
          <w:lang w:val="es-ES"/>
        </w:rPr>
        <w:t>the</w:t>
      </w:r>
      <w:proofErr w:type="spellEnd"/>
      <w:r>
        <w:rPr>
          <w:rFonts w:eastAsia="Palatino Linotype"/>
          <w:sz w:val="22"/>
          <w:szCs w:val="22"/>
          <w:lang w:val="es-ES"/>
        </w:rPr>
        <w:t xml:space="preserve"> </w:t>
      </w:r>
      <w:proofErr w:type="spellStart"/>
      <w:r>
        <w:rPr>
          <w:rFonts w:eastAsia="Palatino Linotype"/>
          <w:sz w:val="22"/>
          <w:szCs w:val="22"/>
          <w:lang w:val="es-ES"/>
        </w:rPr>
        <w:t>interested</w:t>
      </w:r>
      <w:proofErr w:type="spellEnd"/>
      <w:r>
        <w:rPr>
          <w:rFonts w:eastAsia="Palatino Linotype"/>
          <w:sz w:val="22"/>
          <w:szCs w:val="22"/>
          <w:lang w:val="es-ES"/>
        </w:rPr>
        <w:t xml:space="preserve"> </w:t>
      </w:r>
      <w:proofErr w:type="spellStart"/>
      <w:r>
        <w:rPr>
          <w:rFonts w:eastAsia="Palatino Linotype"/>
          <w:sz w:val="22"/>
          <w:szCs w:val="22"/>
          <w:lang w:val="es-ES"/>
        </w:rPr>
        <w:t>party</w:t>
      </w:r>
      <w:proofErr w:type="spellEnd"/>
      <w:r>
        <w:rPr>
          <w:rFonts w:eastAsia="Palatino Linotype"/>
          <w:sz w:val="22"/>
          <w:szCs w:val="22"/>
          <w:lang w:val="es-ES"/>
        </w:rPr>
        <w:t xml:space="preserve">. </w:t>
      </w:r>
      <w:proofErr w:type="spellStart"/>
      <w:r>
        <w:rPr>
          <w:rFonts w:eastAsia="Palatino Linotype"/>
          <w:sz w:val="22"/>
          <w:szCs w:val="22"/>
          <w:lang w:val="es-ES"/>
        </w:rPr>
        <w:t>If</w:t>
      </w:r>
      <w:proofErr w:type="spellEnd"/>
      <w:r>
        <w:rPr>
          <w:rFonts w:eastAsia="Palatino Linotype"/>
          <w:sz w:val="22"/>
          <w:szCs w:val="22"/>
          <w:lang w:val="es-ES"/>
        </w:rPr>
        <w:t xml:space="preserve"> </w:t>
      </w:r>
      <w:proofErr w:type="spellStart"/>
      <w:r>
        <w:rPr>
          <w:rFonts w:eastAsia="Palatino Linotype"/>
          <w:sz w:val="22"/>
          <w:szCs w:val="22"/>
          <w:lang w:val="es-ES"/>
        </w:rPr>
        <w:t>the</w:t>
      </w:r>
      <w:proofErr w:type="spellEnd"/>
      <w:r>
        <w:rPr>
          <w:rFonts w:eastAsia="Palatino Linotype"/>
          <w:sz w:val="22"/>
          <w:szCs w:val="22"/>
          <w:lang w:val="es-ES"/>
        </w:rPr>
        <w:t xml:space="preserve"> </w:t>
      </w:r>
      <w:proofErr w:type="spellStart"/>
      <w:r>
        <w:rPr>
          <w:rFonts w:eastAsia="Palatino Linotype"/>
          <w:sz w:val="22"/>
          <w:szCs w:val="22"/>
          <w:lang w:val="es-ES"/>
        </w:rPr>
        <w:t>Opening</w:t>
      </w:r>
      <w:proofErr w:type="spellEnd"/>
      <w:r>
        <w:rPr>
          <w:rFonts w:eastAsia="Palatino Linotype"/>
          <w:sz w:val="22"/>
          <w:szCs w:val="22"/>
          <w:lang w:val="es-ES"/>
        </w:rPr>
        <w:t xml:space="preserve"> date </w:t>
      </w:r>
      <w:proofErr w:type="spellStart"/>
      <w:r>
        <w:rPr>
          <w:rFonts w:eastAsia="Palatino Linotype"/>
          <w:sz w:val="22"/>
          <w:szCs w:val="22"/>
          <w:lang w:val="es-ES"/>
        </w:rPr>
        <w:t>is</w:t>
      </w:r>
      <w:proofErr w:type="spellEnd"/>
      <w:r>
        <w:rPr>
          <w:rFonts w:eastAsia="Palatino Linotype"/>
          <w:sz w:val="22"/>
          <w:szCs w:val="22"/>
          <w:lang w:val="es-ES"/>
        </w:rPr>
        <w:t xml:space="preserve"> extended, </w:t>
      </w:r>
      <w:proofErr w:type="spellStart"/>
      <w:r>
        <w:rPr>
          <w:rFonts w:eastAsia="Palatino Linotype"/>
          <w:sz w:val="22"/>
          <w:szCs w:val="22"/>
          <w:lang w:val="es-ES"/>
        </w:rPr>
        <w:t>those</w:t>
      </w:r>
      <w:proofErr w:type="spellEnd"/>
      <w:r>
        <w:rPr>
          <w:rFonts w:eastAsia="Palatino Linotype"/>
          <w:sz w:val="22"/>
          <w:szCs w:val="22"/>
          <w:lang w:val="es-ES"/>
        </w:rPr>
        <w:t xml:space="preserve"> </w:t>
      </w:r>
      <w:proofErr w:type="spellStart"/>
      <w:r>
        <w:rPr>
          <w:rFonts w:eastAsia="Palatino Linotype"/>
          <w:sz w:val="22"/>
          <w:szCs w:val="22"/>
          <w:lang w:val="es-ES"/>
        </w:rPr>
        <w:t>who</w:t>
      </w:r>
      <w:proofErr w:type="spellEnd"/>
      <w:r>
        <w:rPr>
          <w:rFonts w:eastAsia="Palatino Linotype"/>
          <w:sz w:val="22"/>
          <w:szCs w:val="22"/>
          <w:lang w:val="es-ES"/>
        </w:rPr>
        <w:t xml:space="preserve"> </w:t>
      </w:r>
      <w:proofErr w:type="spellStart"/>
      <w:r>
        <w:rPr>
          <w:rFonts w:eastAsia="Palatino Linotype"/>
          <w:sz w:val="22"/>
          <w:szCs w:val="22"/>
          <w:lang w:val="es-ES"/>
        </w:rPr>
        <w:t>have</w:t>
      </w:r>
      <w:proofErr w:type="spellEnd"/>
      <w:r>
        <w:rPr>
          <w:rFonts w:eastAsia="Palatino Linotype"/>
          <w:sz w:val="22"/>
          <w:szCs w:val="22"/>
          <w:lang w:val="es-ES"/>
        </w:rPr>
        <w:t xml:space="preserve"> </w:t>
      </w:r>
      <w:proofErr w:type="spellStart"/>
      <w:r>
        <w:rPr>
          <w:rFonts w:eastAsia="Palatino Linotype"/>
          <w:sz w:val="22"/>
          <w:szCs w:val="22"/>
          <w:lang w:val="es-ES"/>
        </w:rPr>
        <w:t>purchased</w:t>
      </w:r>
      <w:proofErr w:type="spellEnd"/>
      <w:r>
        <w:rPr>
          <w:rFonts w:eastAsia="Palatino Linotype"/>
          <w:sz w:val="22"/>
          <w:szCs w:val="22"/>
          <w:lang w:val="es-ES"/>
        </w:rPr>
        <w:t xml:space="preserve"> tender </w:t>
      </w:r>
      <w:proofErr w:type="spellStart"/>
      <w:r>
        <w:rPr>
          <w:rFonts w:eastAsia="Palatino Linotype"/>
          <w:sz w:val="22"/>
          <w:szCs w:val="22"/>
          <w:lang w:val="es-ES"/>
        </w:rPr>
        <w:t>documents</w:t>
      </w:r>
      <w:proofErr w:type="spellEnd"/>
      <w:r>
        <w:rPr>
          <w:rFonts w:eastAsia="Palatino Linotype"/>
          <w:sz w:val="22"/>
          <w:szCs w:val="22"/>
          <w:lang w:val="es-ES"/>
        </w:rPr>
        <w:t xml:space="preserve"> </w:t>
      </w:r>
      <w:proofErr w:type="spellStart"/>
      <w:r>
        <w:rPr>
          <w:rFonts w:eastAsia="Palatino Linotype"/>
          <w:sz w:val="22"/>
          <w:szCs w:val="22"/>
          <w:lang w:val="es-ES"/>
        </w:rPr>
        <w:t>must</w:t>
      </w:r>
      <w:proofErr w:type="spellEnd"/>
      <w:r>
        <w:rPr>
          <w:rFonts w:eastAsia="Palatino Linotype"/>
          <w:sz w:val="22"/>
          <w:szCs w:val="22"/>
          <w:lang w:val="es-ES"/>
        </w:rPr>
        <w:t xml:space="preserve"> </w:t>
      </w:r>
      <w:proofErr w:type="spellStart"/>
      <w:r>
        <w:rPr>
          <w:rFonts w:eastAsia="Palatino Linotype"/>
          <w:sz w:val="22"/>
          <w:szCs w:val="22"/>
          <w:lang w:val="es-ES"/>
        </w:rPr>
        <w:t>also</w:t>
      </w:r>
      <w:proofErr w:type="spellEnd"/>
      <w:r>
        <w:rPr>
          <w:rFonts w:eastAsia="Palatino Linotype"/>
          <w:sz w:val="22"/>
          <w:szCs w:val="22"/>
          <w:lang w:val="es-ES"/>
        </w:rPr>
        <w:t xml:space="preserve"> be </w:t>
      </w:r>
      <w:proofErr w:type="spellStart"/>
      <w:r>
        <w:rPr>
          <w:rFonts w:eastAsia="Palatino Linotype"/>
          <w:sz w:val="22"/>
          <w:szCs w:val="22"/>
          <w:lang w:val="es-ES"/>
        </w:rPr>
        <w:t>personally</w:t>
      </w:r>
      <w:proofErr w:type="spellEnd"/>
      <w:r>
        <w:rPr>
          <w:rFonts w:eastAsia="Palatino Linotype"/>
          <w:sz w:val="22"/>
          <w:szCs w:val="22"/>
          <w:lang w:val="es-ES"/>
        </w:rPr>
        <w:t xml:space="preserve"> </w:t>
      </w:r>
      <w:proofErr w:type="spellStart"/>
      <w:r>
        <w:rPr>
          <w:rFonts w:eastAsia="Palatino Linotype"/>
          <w:sz w:val="22"/>
          <w:szCs w:val="22"/>
          <w:lang w:val="es-ES"/>
        </w:rPr>
        <w:t>notified</w:t>
      </w:r>
      <w:proofErr w:type="spellEnd"/>
      <w:r>
        <w:rPr>
          <w:rFonts w:eastAsia="Palatino Linotype"/>
          <w:sz w:val="22"/>
          <w:szCs w:val="22"/>
          <w:lang w:val="es-ES"/>
        </w:rPr>
        <w:t xml:space="preserve">, and </w:t>
      </w:r>
      <w:proofErr w:type="spellStart"/>
      <w:r>
        <w:rPr>
          <w:rFonts w:eastAsia="Palatino Linotype"/>
          <w:sz w:val="22"/>
          <w:szCs w:val="22"/>
          <w:lang w:val="es-ES"/>
        </w:rPr>
        <w:t>the</w:t>
      </w:r>
      <w:proofErr w:type="spellEnd"/>
      <w:r>
        <w:rPr>
          <w:rFonts w:eastAsia="Palatino Linotype"/>
          <w:sz w:val="22"/>
          <w:szCs w:val="22"/>
          <w:lang w:val="es-ES"/>
        </w:rPr>
        <w:t xml:space="preserve"> new date </w:t>
      </w:r>
      <w:proofErr w:type="spellStart"/>
      <w:r>
        <w:rPr>
          <w:rFonts w:eastAsia="Palatino Linotype"/>
          <w:sz w:val="22"/>
          <w:szCs w:val="22"/>
          <w:lang w:val="es-ES"/>
        </w:rPr>
        <w:t>must</w:t>
      </w:r>
      <w:proofErr w:type="spellEnd"/>
      <w:r>
        <w:rPr>
          <w:rFonts w:eastAsia="Palatino Linotype"/>
          <w:sz w:val="22"/>
          <w:szCs w:val="22"/>
          <w:lang w:val="es-ES"/>
        </w:rPr>
        <w:t xml:space="preserve"> be </w:t>
      </w:r>
      <w:proofErr w:type="spellStart"/>
      <w:r>
        <w:rPr>
          <w:rFonts w:eastAsia="Palatino Linotype"/>
          <w:sz w:val="22"/>
          <w:szCs w:val="22"/>
          <w:lang w:val="es-ES"/>
        </w:rPr>
        <w:t>published</w:t>
      </w:r>
      <w:proofErr w:type="spellEnd"/>
      <w:r>
        <w:rPr>
          <w:rFonts w:eastAsia="Palatino Linotype"/>
          <w:sz w:val="22"/>
          <w:szCs w:val="22"/>
          <w:lang w:val="es-ES"/>
        </w:rPr>
        <w:t xml:space="preserve"> </w:t>
      </w:r>
      <w:proofErr w:type="spellStart"/>
      <w:r>
        <w:rPr>
          <w:rFonts w:eastAsia="Palatino Linotype"/>
          <w:sz w:val="22"/>
          <w:szCs w:val="22"/>
          <w:lang w:val="es-ES"/>
        </w:rPr>
        <w:t>on</w:t>
      </w:r>
      <w:proofErr w:type="spellEnd"/>
      <w:r>
        <w:rPr>
          <w:rFonts w:eastAsia="Palatino Linotype"/>
          <w:sz w:val="22"/>
          <w:szCs w:val="22"/>
          <w:lang w:val="es-ES"/>
        </w:rPr>
        <w:t xml:space="preserve"> </w:t>
      </w:r>
      <w:proofErr w:type="spellStart"/>
      <w:r>
        <w:rPr>
          <w:rFonts w:eastAsia="Palatino Linotype"/>
          <w:sz w:val="22"/>
          <w:szCs w:val="22"/>
          <w:lang w:val="es-ES"/>
        </w:rPr>
        <w:t>the</w:t>
      </w:r>
      <w:proofErr w:type="spellEnd"/>
      <w:r>
        <w:rPr>
          <w:rFonts w:eastAsia="Palatino Linotype"/>
          <w:sz w:val="22"/>
          <w:szCs w:val="22"/>
          <w:lang w:val="es-ES"/>
        </w:rPr>
        <w:t xml:space="preserve"> State </w:t>
      </w:r>
      <w:proofErr w:type="spellStart"/>
      <w:r>
        <w:rPr>
          <w:rFonts w:eastAsia="Palatino Linotype"/>
          <w:sz w:val="22"/>
          <w:szCs w:val="22"/>
          <w:lang w:val="es-ES"/>
        </w:rPr>
        <w:t>Procurement</w:t>
      </w:r>
      <w:proofErr w:type="spellEnd"/>
      <w:r>
        <w:rPr>
          <w:rFonts w:eastAsia="Palatino Linotype"/>
          <w:sz w:val="22"/>
          <w:szCs w:val="22"/>
          <w:lang w:val="es-ES"/>
        </w:rPr>
        <w:t xml:space="preserve"> and </w:t>
      </w:r>
      <w:proofErr w:type="spellStart"/>
      <w:r>
        <w:rPr>
          <w:rFonts w:eastAsia="Palatino Linotype"/>
          <w:sz w:val="22"/>
          <w:szCs w:val="22"/>
          <w:lang w:val="es-ES"/>
        </w:rPr>
        <w:t>Contracting</w:t>
      </w:r>
      <w:proofErr w:type="spellEnd"/>
      <w:r>
        <w:rPr>
          <w:rFonts w:eastAsia="Palatino Linotype"/>
          <w:sz w:val="22"/>
          <w:szCs w:val="22"/>
          <w:lang w:val="es-ES"/>
        </w:rPr>
        <w:t xml:space="preserve"> </w:t>
      </w:r>
      <w:proofErr w:type="spellStart"/>
      <w:r>
        <w:rPr>
          <w:rFonts w:eastAsia="Palatino Linotype"/>
          <w:sz w:val="22"/>
          <w:szCs w:val="22"/>
          <w:lang w:val="es-ES"/>
        </w:rPr>
        <w:t>website</w:t>
      </w:r>
      <w:proofErr w:type="spellEnd"/>
      <w:r>
        <w:rPr>
          <w:rFonts w:eastAsia="Palatino Linotype"/>
          <w:sz w:val="22"/>
          <w:szCs w:val="22"/>
          <w:lang w:val="es-ES"/>
        </w:rPr>
        <w:t xml:space="preserve"> </w:t>
      </w:r>
      <w:proofErr w:type="spellStart"/>
      <w:r>
        <w:rPr>
          <w:rFonts w:eastAsia="Palatino Linotype"/>
          <w:sz w:val="22"/>
          <w:szCs w:val="22"/>
          <w:lang w:val="es-ES"/>
        </w:rPr>
        <w:t>for</w:t>
      </w:r>
      <w:proofErr w:type="spellEnd"/>
      <w:r>
        <w:rPr>
          <w:rFonts w:eastAsia="Palatino Linotype"/>
          <w:sz w:val="22"/>
          <w:szCs w:val="22"/>
          <w:lang w:val="es-ES"/>
        </w:rPr>
        <w:t xml:space="preserve"> </w:t>
      </w:r>
      <w:proofErr w:type="spellStart"/>
      <w:r>
        <w:rPr>
          <w:rFonts w:eastAsia="Palatino Linotype"/>
          <w:sz w:val="22"/>
          <w:szCs w:val="22"/>
          <w:lang w:val="es-ES"/>
        </w:rPr>
        <w:t>the</w:t>
      </w:r>
      <w:proofErr w:type="spellEnd"/>
      <w:r>
        <w:rPr>
          <w:rFonts w:eastAsia="Palatino Linotype"/>
          <w:sz w:val="22"/>
          <w:szCs w:val="22"/>
          <w:lang w:val="es-ES"/>
        </w:rPr>
        <w:t xml:space="preserve"> </w:t>
      </w:r>
      <w:proofErr w:type="spellStart"/>
      <w:r>
        <w:rPr>
          <w:rFonts w:eastAsia="Palatino Linotype"/>
          <w:sz w:val="22"/>
          <w:szCs w:val="22"/>
          <w:lang w:val="es-ES"/>
        </w:rPr>
        <w:t>information</w:t>
      </w:r>
      <w:proofErr w:type="spellEnd"/>
      <w:r>
        <w:rPr>
          <w:rFonts w:eastAsia="Palatino Linotype"/>
          <w:sz w:val="22"/>
          <w:szCs w:val="22"/>
          <w:lang w:val="es-ES"/>
        </w:rPr>
        <w:t xml:space="preserve"> </w:t>
      </w:r>
      <w:proofErr w:type="spellStart"/>
      <w:r>
        <w:rPr>
          <w:rFonts w:eastAsia="Palatino Linotype"/>
          <w:sz w:val="22"/>
          <w:szCs w:val="22"/>
          <w:lang w:val="es-ES"/>
        </w:rPr>
        <w:t>of</w:t>
      </w:r>
      <w:proofErr w:type="spellEnd"/>
      <w:r>
        <w:rPr>
          <w:rFonts w:eastAsia="Palatino Linotype"/>
          <w:sz w:val="22"/>
          <w:szCs w:val="22"/>
          <w:lang w:val="es-ES"/>
        </w:rPr>
        <w:t xml:space="preserve"> </w:t>
      </w:r>
      <w:proofErr w:type="spellStart"/>
      <w:r>
        <w:rPr>
          <w:rFonts w:eastAsia="Palatino Linotype"/>
          <w:sz w:val="22"/>
          <w:szCs w:val="22"/>
          <w:lang w:val="es-ES"/>
        </w:rPr>
        <w:t>other</w:t>
      </w:r>
      <w:proofErr w:type="spellEnd"/>
      <w:r>
        <w:rPr>
          <w:rFonts w:eastAsia="Palatino Linotype"/>
          <w:sz w:val="22"/>
          <w:szCs w:val="22"/>
          <w:lang w:val="es-ES"/>
        </w:rPr>
        <w:t xml:space="preserve"> </w:t>
      </w:r>
      <w:proofErr w:type="spellStart"/>
      <w:r>
        <w:rPr>
          <w:rFonts w:eastAsia="Palatino Linotype"/>
          <w:sz w:val="22"/>
          <w:szCs w:val="22"/>
          <w:lang w:val="es-ES"/>
        </w:rPr>
        <w:t>interested</w:t>
      </w:r>
      <w:proofErr w:type="spellEnd"/>
      <w:r>
        <w:rPr>
          <w:rFonts w:eastAsia="Palatino Linotype"/>
          <w:sz w:val="22"/>
          <w:szCs w:val="22"/>
          <w:lang w:val="es-ES"/>
        </w:rPr>
        <w:t xml:space="preserve"> </w:t>
      </w:r>
      <w:proofErr w:type="spellStart"/>
      <w:r>
        <w:rPr>
          <w:rFonts w:eastAsia="Palatino Linotype"/>
          <w:sz w:val="22"/>
          <w:szCs w:val="22"/>
          <w:lang w:val="es-ES"/>
        </w:rPr>
        <w:t>parties</w:t>
      </w:r>
      <w:proofErr w:type="spellEnd"/>
      <w:r>
        <w:rPr>
          <w:rFonts w:eastAsia="Palatino Linotype"/>
          <w:sz w:val="22"/>
          <w:szCs w:val="22"/>
          <w:lang w:val="es-ES"/>
        </w:rPr>
        <w:t>.</w:t>
      </w:r>
    </w:p>
    <w:p w14:paraId="4A36C6C2" w14:textId="77777777" w:rsidR="00E255F4" w:rsidRDefault="00E255F4">
      <w:pPr>
        <w:ind w:right="-142"/>
        <w:jc w:val="both"/>
        <w:rPr>
          <w:rFonts w:eastAsia="Palatino Linotype"/>
          <w:spacing w:val="-1"/>
          <w:sz w:val="22"/>
          <w:szCs w:val="22"/>
          <w:lang w:val="es-ES"/>
        </w:rPr>
      </w:pPr>
    </w:p>
    <w:p w14:paraId="3273EDB9" w14:textId="77777777" w:rsidR="00E255F4" w:rsidRDefault="00000000">
      <w:pPr>
        <w:tabs>
          <w:tab w:val="left" w:pos="284"/>
        </w:tabs>
        <w:ind w:right="-142"/>
        <w:jc w:val="both"/>
        <w:outlineLvl w:val="0"/>
        <w:rPr>
          <w:rFonts w:eastAsia="Palatino Linotype"/>
          <w:b/>
          <w:spacing w:val="-1"/>
          <w:sz w:val="22"/>
          <w:szCs w:val="22"/>
          <w:lang w:val="es-ES"/>
        </w:rPr>
      </w:pPr>
      <w:bookmarkStart w:id="14" w:name="__RefHeading___Toc225377191"/>
      <w:bookmarkEnd w:id="14"/>
      <w:r>
        <w:rPr>
          <w:rFonts w:eastAsia="Palatino Linotype"/>
          <w:b/>
          <w:spacing w:val="-1"/>
          <w:sz w:val="22"/>
          <w:szCs w:val="22"/>
          <w:lang w:val="es-ES"/>
        </w:rPr>
        <w:t xml:space="preserve">6. </w:t>
      </w:r>
      <w:proofErr w:type="spellStart"/>
      <w:r>
        <w:rPr>
          <w:rFonts w:eastAsia="Palatino Linotype"/>
          <w:b/>
          <w:spacing w:val="-1"/>
          <w:sz w:val="22"/>
          <w:szCs w:val="22"/>
          <w:lang w:val="es-ES"/>
        </w:rPr>
        <w:t>Administration</w:t>
      </w:r>
      <w:proofErr w:type="spellEnd"/>
      <w:r>
        <w:rPr>
          <w:rFonts w:eastAsia="Palatino Linotype"/>
          <w:b/>
          <w:spacing w:val="-1"/>
          <w:sz w:val="22"/>
          <w:szCs w:val="22"/>
          <w:lang w:val="es-ES"/>
        </w:rPr>
        <w:t xml:space="preserve"> Reserve</w:t>
      </w:r>
      <w:r>
        <w:rPr>
          <w:rFonts w:eastAsia="Palatino Linotype"/>
          <w:b/>
          <w:spacing w:val="-1"/>
          <w:sz w:val="22"/>
          <w:szCs w:val="22"/>
          <w:lang w:val="es-ES"/>
        </w:rPr>
        <w:tab/>
      </w:r>
      <w:r>
        <w:rPr>
          <w:rFonts w:eastAsia="Palatino Linotype"/>
          <w:b/>
          <w:spacing w:val="-1"/>
          <w:sz w:val="22"/>
          <w:szCs w:val="22"/>
          <w:lang w:val="es-ES"/>
        </w:rPr>
        <w:tab/>
      </w:r>
    </w:p>
    <w:p w14:paraId="2473A59B" w14:textId="77777777" w:rsidR="00E255F4" w:rsidRDefault="00E255F4">
      <w:pPr>
        <w:ind w:right="-142"/>
        <w:jc w:val="both"/>
        <w:rPr>
          <w:rFonts w:eastAsia="Palatino Linotype"/>
          <w:b/>
          <w:spacing w:val="-1"/>
          <w:sz w:val="22"/>
          <w:szCs w:val="22"/>
          <w:lang w:val="es-ES"/>
        </w:rPr>
      </w:pPr>
    </w:p>
    <w:p w14:paraId="03A4E528" w14:textId="77777777" w:rsidR="00E255F4" w:rsidRDefault="00000000">
      <w:pPr>
        <w:widowControl w:val="0"/>
        <w:ind w:right="-142"/>
        <w:jc w:val="both"/>
        <w:rPr>
          <w:rFonts w:eastAsia="Palatino Linotype"/>
          <w:sz w:val="22"/>
          <w:szCs w:val="22"/>
          <w:lang w:val="es-ES"/>
        </w:rPr>
      </w:pPr>
      <w:proofErr w:type="spellStart"/>
      <w:r>
        <w:rPr>
          <w:rFonts w:eastAsia="Palatino Linotype"/>
          <w:spacing w:val="-1"/>
          <w:sz w:val="22"/>
          <w:szCs w:val="22"/>
          <w:lang w:val="es-ES"/>
        </w:rPr>
        <w:t>L</w:t>
      </w:r>
      <w:r>
        <w:rPr>
          <w:rFonts w:eastAsia="Palatino Linotype"/>
          <w:sz w:val="22"/>
          <w:szCs w:val="22"/>
          <w:lang w:val="es-ES"/>
        </w:rPr>
        <w:t>The</w:t>
      </w:r>
      <w:proofErr w:type="spellEnd"/>
      <w:r>
        <w:rPr>
          <w:rFonts w:eastAsia="Palatino Linotype"/>
          <w:sz w:val="22"/>
          <w:szCs w:val="22"/>
          <w:lang w:val="es-ES"/>
        </w:rPr>
        <w:t xml:space="preserve"> </w:t>
      </w:r>
      <w:proofErr w:type="spellStart"/>
      <w:r>
        <w:rPr>
          <w:rFonts w:eastAsia="Palatino Linotype"/>
          <w:sz w:val="22"/>
          <w:szCs w:val="22"/>
          <w:lang w:val="es-ES"/>
        </w:rPr>
        <w:t>Administration</w:t>
      </w:r>
      <w:proofErr w:type="spellEnd"/>
      <w:r>
        <w:rPr>
          <w:rFonts w:eastAsia="Palatino Linotype"/>
          <w:sz w:val="22"/>
          <w:szCs w:val="22"/>
          <w:lang w:val="es-ES"/>
        </w:rPr>
        <w:t xml:space="preserve"> </w:t>
      </w:r>
      <w:proofErr w:type="spellStart"/>
      <w:r>
        <w:rPr>
          <w:rFonts w:eastAsia="Palatino Linotype"/>
          <w:sz w:val="22"/>
          <w:szCs w:val="22"/>
          <w:lang w:val="es-ES"/>
        </w:rPr>
        <w:t>may</w:t>
      </w:r>
      <w:proofErr w:type="spellEnd"/>
      <w:r>
        <w:rPr>
          <w:rFonts w:eastAsia="Palatino Linotype"/>
          <w:sz w:val="22"/>
          <w:szCs w:val="22"/>
          <w:lang w:val="es-ES"/>
        </w:rPr>
        <w:t xml:space="preserve"> </w:t>
      </w:r>
      <w:proofErr w:type="spellStart"/>
      <w:r>
        <w:rPr>
          <w:rFonts w:eastAsia="Palatino Linotype"/>
          <w:sz w:val="22"/>
          <w:szCs w:val="22"/>
          <w:lang w:val="es-ES"/>
        </w:rPr>
        <w:t>extend</w:t>
      </w:r>
      <w:proofErr w:type="spellEnd"/>
      <w:r>
        <w:rPr>
          <w:rFonts w:eastAsia="Palatino Linotype"/>
          <w:sz w:val="22"/>
          <w:szCs w:val="22"/>
          <w:lang w:val="es-ES"/>
        </w:rPr>
        <w:t xml:space="preserve"> </w:t>
      </w:r>
      <w:proofErr w:type="spellStart"/>
      <w:r>
        <w:rPr>
          <w:rFonts w:eastAsia="Palatino Linotype"/>
          <w:sz w:val="22"/>
          <w:szCs w:val="22"/>
          <w:lang w:val="es-ES"/>
        </w:rPr>
        <w:t>the</w:t>
      </w:r>
      <w:proofErr w:type="spellEnd"/>
      <w:r>
        <w:rPr>
          <w:rFonts w:eastAsia="Palatino Linotype"/>
          <w:sz w:val="22"/>
          <w:szCs w:val="22"/>
          <w:lang w:val="es-ES"/>
        </w:rPr>
        <w:t xml:space="preserve"> </w:t>
      </w:r>
      <w:proofErr w:type="spellStart"/>
      <w:r>
        <w:rPr>
          <w:rFonts w:eastAsia="Palatino Linotype"/>
          <w:sz w:val="22"/>
          <w:szCs w:val="22"/>
          <w:lang w:val="es-ES"/>
        </w:rPr>
        <w:t>Opening</w:t>
      </w:r>
      <w:proofErr w:type="spellEnd"/>
      <w:r>
        <w:rPr>
          <w:rFonts w:eastAsia="Palatino Linotype"/>
          <w:sz w:val="22"/>
          <w:szCs w:val="22"/>
          <w:lang w:val="es-ES"/>
        </w:rPr>
        <w:t xml:space="preserve">, </w:t>
      </w:r>
      <w:proofErr w:type="spellStart"/>
      <w:r>
        <w:rPr>
          <w:rFonts w:eastAsia="Palatino Linotype"/>
          <w:sz w:val="22"/>
          <w:szCs w:val="22"/>
          <w:lang w:val="es-ES"/>
        </w:rPr>
        <w:t>or</w:t>
      </w:r>
      <w:proofErr w:type="spellEnd"/>
      <w:r>
        <w:rPr>
          <w:rFonts w:eastAsia="Palatino Linotype"/>
          <w:sz w:val="22"/>
          <w:szCs w:val="22"/>
          <w:lang w:val="es-ES"/>
        </w:rPr>
        <w:t xml:space="preserve"> cancel </w:t>
      </w:r>
      <w:proofErr w:type="spellStart"/>
      <w:r>
        <w:rPr>
          <w:rFonts w:eastAsia="Palatino Linotype"/>
          <w:sz w:val="22"/>
          <w:szCs w:val="22"/>
          <w:lang w:val="es-ES"/>
        </w:rPr>
        <w:t>the</w:t>
      </w:r>
      <w:proofErr w:type="spellEnd"/>
      <w:r>
        <w:rPr>
          <w:rFonts w:eastAsia="Palatino Linotype"/>
          <w:sz w:val="22"/>
          <w:szCs w:val="22"/>
          <w:lang w:val="es-ES"/>
        </w:rPr>
        <w:t xml:space="preserve"> </w:t>
      </w:r>
      <w:proofErr w:type="spellStart"/>
      <w:r>
        <w:rPr>
          <w:rFonts w:eastAsia="Palatino Linotype"/>
          <w:sz w:val="22"/>
          <w:szCs w:val="22"/>
          <w:lang w:val="es-ES"/>
        </w:rPr>
        <w:t>call</w:t>
      </w:r>
      <w:proofErr w:type="spellEnd"/>
      <w:r>
        <w:rPr>
          <w:rFonts w:eastAsia="Palatino Linotype"/>
          <w:sz w:val="22"/>
          <w:szCs w:val="22"/>
          <w:lang w:val="es-ES"/>
        </w:rPr>
        <w:t xml:space="preserve"> at </w:t>
      </w:r>
      <w:proofErr w:type="spellStart"/>
      <w:r>
        <w:rPr>
          <w:rFonts w:eastAsia="Palatino Linotype"/>
          <w:sz w:val="22"/>
          <w:szCs w:val="22"/>
          <w:lang w:val="es-ES"/>
        </w:rPr>
        <w:t>any</w:t>
      </w:r>
      <w:proofErr w:type="spellEnd"/>
      <w:r>
        <w:rPr>
          <w:rFonts w:eastAsia="Palatino Linotype"/>
          <w:sz w:val="22"/>
          <w:szCs w:val="22"/>
          <w:lang w:val="es-ES"/>
        </w:rPr>
        <w:t xml:space="preserve"> time.</w:t>
      </w:r>
    </w:p>
    <w:p w14:paraId="67F7EBB2" w14:textId="77777777" w:rsidR="00E255F4" w:rsidRDefault="00000000">
      <w:pPr>
        <w:widowControl w:val="0"/>
        <w:ind w:right="-142"/>
        <w:jc w:val="both"/>
        <w:rPr>
          <w:rFonts w:eastAsia="Palatino Linotype"/>
          <w:sz w:val="22"/>
          <w:szCs w:val="22"/>
          <w:lang w:val="es-ES"/>
        </w:rPr>
      </w:pPr>
      <w:r>
        <w:rPr>
          <w:rFonts w:eastAsia="Palatino Linotype"/>
          <w:spacing w:val="4"/>
          <w:sz w:val="22"/>
          <w:szCs w:val="22"/>
          <w:lang w:val="es-ES"/>
        </w:rPr>
        <w:t>AND</w:t>
      </w:r>
      <w:r>
        <w:rPr>
          <w:rFonts w:eastAsia="Palatino Linotype"/>
          <w:sz w:val="22"/>
          <w:szCs w:val="22"/>
          <w:lang w:val="es-ES"/>
        </w:rPr>
        <w:t xml:space="preserve">In cases </w:t>
      </w:r>
      <w:proofErr w:type="spellStart"/>
      <w:r>
        <w:rPr>
          <w:rFonts w:eastAsia="Palatino Linotype"/>
          <w:sz w:val="22"/>
          <w:szCs w:val="22"/>
          <w:lang w:val="es-ES"/>
        </w:rPr>
        <w:t>of</w:t>
      </w:r>
      <w:proofErr w:type="spellEnd"/>
      <w:r>
        <w:rPr>
          <w:rFonts w:eastAsia="Palatino Linotype"/>
          <w:sz w:val="22"/>
          <w:szCs w:val="22"/>
          <w:lang w:val="es-ES"/>
        </w:rPr>
        <w:t xml:space="preserve"> </w:t>
      </w:r>
      <w:proofErr w:type="spellStart"/>
      <w:r>
        <w:rPr>
          <w:rFonts w:eastAsia="Palatino Linotype"/>
          <w:sz w:val="22"/>
          <w:szCs w:val="22"/>
          <w:lang w:val="es-ES"/>
        </w:rPr>
        <w:t>extension</w:t>
      </w:r>
      <w:proofErr w:type="spellEnd"/>
      <w:r>
        <w:rPr>
          <w:rFonts w:eastAsia="Palatino Linotype"/>
          <w:sz w:val="22"/>
          <w:szCs w:val="22"/>
          <w:lang w:val="es-ES"/>
        </w:rPr>
        <w:t xml:space="preserve"> </w:t>
      </w:r>
      <w:proofErr w:type="spellStart"/>
      <w:r>
        <w:rPr>
          <w:rFonts w:eastAsia="Palatino Linotype"/>
          <w:sz w:val="22"/>
          <w:szCs w:val="22"/>
          <w:lang w:val="es-ES"/>
        </w:rPr>
        <w:t>of</w:t>
      </w:r>
      <w:proofErr w:type="spellEnd"/>
      <w:r>
        <w:rPr>
          <w:rFonts w:eastAsia="Palatino Linotype"/>
          <w:sz w:val="22"/>
          <w:szCs w:val="22"/>
          <w:lang w:val="es-ES"/>
        </w:rPr>
        <w:t xml:space="preserve"> </w:t>
      </w:r>
      <w:proofErr w:type="spellStart"/>
      <w:r>
        <w:rPr>
          <w:rFonts w:eastAsia="Palatino Linotype"/>
          <w:sz w:val="22"/>
          <w:szCs w:val="22"/>
          <w:lang w:val="es-ES"/>
        </w:rPr>
        <w:t>the</w:t>
      </w:r>
      <w:proofErr w:type="spellEnd"/>
      <w:r>
        <w:rPr>
          <w:rFonts w:eastAsia="Palatino Linotype"/>
          <w:sz w:val="22"/>
          <w:szCs w:val="22"/>
          <w:lang w:val="es-ES"/>
        </w:rPr>
        <w:t xml:space="preserve"> </w:t>
      </w:r>
      <w:proofErr w:type="spellStart"/>
      <w:r>
        <w:rPr>
          <w:rFonts w:eastAsia="Palatino Linotype"/>
          <w:sz w:val="22"/>
          <w:szCs w:val="22"/>
          <w:lang w:val="es-ES"/>
        </w:rPr>
        <w:t>Opening</w:t>
      </w:r>
      <w:proofErr w:type="spellEnd"/>
      <w:r>
        <w:rPr>
          <w:rFonts w:eastAsia="Palatino Linotype"/>
          <w:sz w:val="22"/>
          <w:szCs w:val="22"/>
          <w:lang w:val="es-ES"/>
        </w:rPr>
        <w:t xml:space="preserve">, </w:t>
      </w:r>
      <w:proofErr w:type="spellStart"/>
      <w:r>
        <w:rPr>
          <w:rFonts w:eastAsia="Palatino Linotype"/>
          <w:sz w:val="22"/>
          <w:szCs w:val="22"/>
          <w:lang w:val="es-ES"/>
        </w:rPr>
        <w:t>the</w:t>
      </w:r>
      <w:proofErr w:type="spellEnd"/>
      <w:r>
        <w:rPr>
          <w:rFonts w:eastAsia="Palatino Linotype"/>
          <w:sz w:val="22"/>
          <w:szCs w:val="22"/>
          <w:lang w:val="es-ES"/>
        </w:rPr>
        <w:t xml:space="preserve"> </w:t>
      </w:r>
      <w:proofErr w:type="spellStart"/>
      <w:r>
        <w:rPr>
          <w:rFonts w:eastAsia="Palatino Linotype"/>
          <w:sz w:val="22"/>
          <w:szCs w:val="22"/>
          <w:lang w:val="es-ES"/>
        </w:rPr>
        <w:t>Administration</w:t>
      </w:r>
      <w:proofErr w:type="spellEnd"/>
      <w:r>
        <w:rPr>
          <w:rFonts w:eastAsia="Palatino Linotype"/>
          <w:sz w:val="22"/>
          <w:szCs w:val="22"/>
          <w:lang w:val="es-ES"/>
        </w:rPr>
        <w:t xml:space="preserve"> </w:t>
      </w:r>
      <w:proofErr w:type="spellStart"/>
      <w:r>
        <w:rPr>
          <w:rFonts w:eastAsia="Palatino Linotype"/>
          <w:sz w:val="22"/>
          <w:szCs w:val="22"/>
          <w:lang w:val="es-ES"/>
        </w:rPr>
        <w:t>will</w:t>
      </w:r>
      <w:proofErr w:type="spellEnd"/>
      <w:r>
        <w:rPr>
          <w:rFonts w:eastAsia="Palatino Linotype"/>
          <w:sz w:val="22"/>
          <w:szCs w:val="22"/>
          <w:lang w:val="es-ES"/>
        </w:rPr>
        <w:t xml:space="preserve"> </w:t>
      </w:r>
      <w:proofErr w:type="spellStart"/>
      <w:r>
        <w:rPr>
          <w:rFonts w:eastAsia="Palatino Linotype"/>
          <w:sz w:val="22"/>
          <w:szCs w:val="22"/>
          <w:lang w:val="es-ES"/>
        </w:rPr>
        <w:t>publish</w:t>
      </w:r>
      <w:proofErr w:type="spellEnd"/>
      <w:r>
        <w:rPr>
          <w:rFonts w:eastAsia="Palatino Linotype"/>
          <w:sz w:val="22"/>
          <w:szCs w:val="22"/>
          <w:lang w:val="es-ES"/>
        </w:rPr>
        <w:t xml:space="preserve"> </w:t>
      </w:r>
      <w:proofErr w:type="spellStart"/>
      <w:r>
        <w:rPr>
          <w:rFonts w:eastAsia="Palatino Linotype"/>
          <w:sz w:val="22"/>
          <w:szCs w:val="22"/>
          <w:lang w:val="es-ES"/>
        </w:rPr>
        <w:t>the</w:t>
      </w:r>
      <w:proofErr w:type="spellEnd"/>
      <w:r>
        <w:rPr>
          <w:rFonts w:eastAsia="Palatino Linotype"/>
          <w:sz w:val="22"/>
          <w:szCs w:val="22"/>
          <w:lang w:val="es-ES"/>
        </w:rPr>
        <w:t xml:space="preserve"> new date </w:t>
      </w:r>
      <w:proofErr w:type="spellStart"/>
      <w:r>
        <w:rPr>
          <w:rFonts w:eastAsia="Palatino Linotype"/>
          <w:sz w:val="22"/>
          <w:szCs w:val="22"/>
          <w:lang w:val="es-ES"/>
        </w:rPr>
        <w:t>on</w:t>
      </w:r>
      <w:proofErr w:type="spellEnd"/>
      <w:r>
        <w:rPr>
          <w:rFonts w:eastAsia="Palatino Linotype"/>
          <w:sz w:val="22"/>
          <w:szCs w:val="22"/>
          <w:lang w:val="es-ES"/>
        </w:rPr>
        <w:t xml:space="preserve"> </w:t>
      </w:r>
      <w:proofErr w:type="spellStart"/>
      <w:r>
        <w:rPr>
          <w:rFonts w:eastAsia="Palatino Linotype"/>
          <w:sz w:val="22"/>
          <w:szCs w:val="22"/>
          <w:lang w:val="es-ES"/>
        </w:rPr>
        <w:t>the</w:t>
      </w:r>
      <w:proofErr w:type="spellEnd"/>
      <w:r>
        <w:rPr>
          <w:rFonts w:eastAsia="Palatino Linotype"/>
          <w:sz w:val="22"/>
          <w:szCs w:val="22"/>
          <w:lang w:val="es-ES"/>
        </w:rPr>
        <w:t xml:space="preserve"> State </w:t>
      </w:r>
      <w:proofErr w:type="spellStart"/>
      <w:r>
        <w:rPr>
          <w:rFonts w:eastAsia="Palatino Linotype"/>
          <w:sz w:val="22"/>
          <w:szCs w:val="22"/>
          <w:lang w:val="es-ES"/>
        </w:rPr>
        <w:t>Procurement</w:t>
      </w:r>
      <w:proofErr w:type="spellEnd"/>
      <w:r>
        <w:rPr>
          <w:rFonts w:eastAsia="Palatino Linotype"/>
          <w:sz w:val="22"/>
          <w:szCs w:val="22"/>
          <w:lang w:val="es-ES"/>
        </w:rPr>
        <w:t xml:space="preserve"> and </w:t>
      </w:r>
      <w:proofErr w:type="spellStart"/>
      <w:r>
        <w:rPr>
          <w:rFonts w:eastAsia="Palatino Linotype"/>
          <w:sz w:val="22"/>
          <w:szCs w:val="22"/>
          <w:lang w:val="es-ES"/>
        </w:rPr>
        <w:t>Contracting</w:t>
      </w:r>
      <w:proofErr w:type="spellEnd"/>
      <w:r>
        <w:rPr>
          <w:rFonts w:eastAsia="Palatino Linotype"/>
          <w:sz w:val="22"/>
          <w:szCs w:val="22"/>
          <w:lang w:val="es-ES"/>
        </w:rPr>
        <w:t xml:space="preserve"> </w:t>
      </w:r>
      <w:proofErr w:type="spellStart"/>
      <w:r>
        <w:rPr>
          <w:rFonts w:eastAsia="Palatino Linotype"/>
          <w:sz w:val="22"/>
          <w:szCs w:val="22"/>
          <w:lang w:val="es-ES"/>
        </w:rPr>
        <w:t>website</w:t>
      </w:r>
      <w:proofErr w:type="spellEnd"/>
      <w:r>
        <w:rPr>
          <w:rFonts w:eastAsia="Palatino Linotype"/>
          <w:sz w:val="22"/>
          <w:szCs w:val="22"/>
          <w:lang w:val="es-ES"/>
        </w:rPr>
        <w:t xml:space="preserve">, and </w:t>
      </w:r>
      <w:proofErr w:type="spellStart"/>
      <w:r>
        <w:rPr>
          <w:rFonts w:eastAsia="Palatino Linotype"/>
          <w:sz w:val="22"/>
          <w:szCs w:val="22"/>
          <w:lang w:val="es-ES"/>
        </w:rPr>
        <w:t>where</w:t>
      </w:r>
      <w:proofErr w:type="spellEnd"/>
      <w:r>
        <w:rPr>
          <w:rFonts w:eastAsia="Palatino Linotype"/>
          <w:sz w:val="22"/>
          <w:szCs w:val="22"/>
          <w:lang w:val="es-ES"/>
        </w:rPr>
        <w:t xml:space="preserve"> </w:t>
      </w:r>
      <w:proofErr w:type="spellStart"/>
      <w:r>
        <w:rPr>
          <w:rFonts w:eastAsia="Palatino Linotype"/>
          <w:sz w:val="22"/>
          <w:szCs w:val="22"/>
          <w:lang w:val="es-ES"/>
        </w:rPr>
        <w:t>appropriate</w:t>
      </w:r>
      <w:proofErr w:type="spellEnd"/>
      <w:r>
        <w:rPr>
          <w:rFonts w:eastAsia="Palatino Linotype"/>
          <w:sz w:val="22"/>
          <w:szCs w:val="22"/>
          <w:lang w:val="es-ES"/>
        </w:rPr>
        <w:t xml:space="preserve">, </w:t>
      </w:r>
      <w:proofErr w:type="spellStart"/>
      <w:r>
        <w:rPr>
          <w:rFonts w:eastAsia="Palatino Linotype"/>
          <w:sz w:val="22"/>
          <w:szCs w:val="22"/>
          <w:lang w:val="es-ES"/>
        </w:rPr>
        <w:t>will</w:t>
      </w:r>
      <w:proofErr w:type="spellEnd"/>
      <w:r>
        <w:rPr>
          <w:rFonts w:eastAsia="Palatino Linotype"/>
          <w:sz w:val="22"/>
          <w:szCs w:val="22"/>
          <w:lang w:val="es-ES"/>
        </w:rPr>
        <w:t xml:space="preserve"> </w:t>
      </w:r>
      <w:proofErr w:type="spellStart"/>
      <w:r>
        <w:rPr>
          <w:rFonts w:eastAsia="Palatino Linotype"/>
          <w:sz w:val="22"/>
          <w:szCs w:val="22"/>
          <w:lang w:val="es-ES"/>
        </w:rPr>
        <w:t>personally</w:t>
      </w:r>
      <w:proofErr w:type="spellEnd"/>
      <w:r>
        <w:rPr>
          <w:rFonts w:eastAsia="Palatino Linotype"/>
          <w:sz w:val="22"/>
          <w:szCs w:val="22"/>
          <w:lang w:val="es-ES"/>
        </w:rPr>
        <w:t xml:space="preserve"> </w:t>
      </w:r>
      <w:proofErr w:type="spellStart"/>
      <w:r>
        <w:rPr>
          <w:rFonts w:eastAsia="Palatino Linotype"/>
          <w:sz w:val="22"/>
          <w:szCs w:val="22"/>
          <w:lang w:val="es-ES"/>
        </w:rPr>
        <w:t>notify</w:t>
      </w:r>
      <w:proofErr w:type="spellEnd"/>
      <w:r>
        <w:rPr>
          <w:rFonts w:eastAsia="Palatino Linotype"/>
          <w:sz w:val="22"/>
          <w:szCs w:val="22"/>
          <w:lang w:val="es-ES"/>
        </w:rPr>
        <w:t xml:space="preserve"> </w:t>
      </w:r>
      <w:proofErr w:type="spellStart"/>
      <w:r>
        <w:rPr>
          <w:rFonts w:eastAsia="Palatino Linotype"/>
          <w:sz w:val="22"/>
          <w:szCs w:val="22"/>
          <w:lang w:val="es-ES"/>
        </w:rPr>
        <w:t>those</w:t>
      </w:r>
      <w:proofErr w:type="spellEnd"/>
      <w:r>
        <w:rPr>
          <w:rFonts w:eastAsia="Palatino Linotype"/>
          <w:sz w:val="22"/>
          <w:szCs w:val="22"/>
          <w:lang w:val="es-ES"/>
        </w:rPr>
        <w:t xml:space="preserve"> </w:t>
      </w:r>
      <w:proofErr w:type="spellStart"/>
      <w:r>
        <w:rPr>
          <w:rFonts w:eastAsia="Palatino Linotype"/>
          <w:sz w:val="22"/>
          <w:szCs w:val="22"/>
          <w:lang w:val="es-ES"/>
        </w:rPr>
        <w:t>who</w:t>
      </w:r>
      <w:proofErr w:type="spellEnd"/>
      <w:r>
        <w:rPr>
          <w:rFonts w:eastAsia="Palatino Linotype"/>
          <w:sz w:val="22"/>
          <w:szCs w:val="22"/>
          <w:lang w:val="es-ES"/>
        </w:rPr>
        <w:t xml:space="preserve"> </w:t>
      </w:r>
      <w:proofErr w:type="spellStart"/>
      <w:r>
        <w:rPr>
          <w:rFonts w:eastAsia="Palatino Linotype"/>
          <w:sz w:val="22"/>
          <w:szCs w:val="22"/>
          <w:lang w:val="es-ES"/>
        </w:rPr>
        <w:t>have</w:t>
      </w:r>
      <w:proofErr w:type="spellEnd"/>
      <w:r>
        <w:rPr>
          <w:rFonts w:eastAsia="Palatino Linotype"/>
          <w:sz w:val="22"/>
          <w:szCs w:val="22"/>
          <w:lang w:val="es-ES"/>
        </w:rPr>
        <w:t xml:space="preserve"> </w:t>
      </w:r>
      <w:proofErr w:type="spellStart"/>
      <w:r>
        <w:rPr>
          <w:rFonts w:eastAsia="Palatino Linotype"/>
          <w:sz w:val="22"/>
          <w:szCs w:val="22"/>
          <w:lang w:val="es-ES"/>
        </w:rPr>
        <w:t>acquired</w:t>
      </w:r>
      <w:proofErr w:type="spellEnd"/>
      <w:r>
        <w:rPr>
          <w:rFonts w:eastAsia="Palatino Linotype"/>
          <w:sz w:val="22"/>
          <w:szCs w:val="22"/>
          <w:lang w:val="es-ES"/>
        </w:rPr>
        <w:t xml:space="preserve"> </w:t>
      </w:r>
      <w:proofErr w:type="spellStart"/>
      <w:r>
        <w:rPr>
          <w:rFonts w:eastAsia="Palatino Linotype"/>
          <w:sz w:val="22"/>
          <w:szCs w:val="22"/>
          <w:lang w:val="es-ES"/>
        </w:rPr>
        <w:t>the</w:t>
      </w:r>
      <w:proofErr w:type="spellEnd"/>
      <w:r>
        <w:rPr>
          <w:rFonts w:eastAsia="Palatino Linotype"/>
          <w:sz w:val="22"/>
          <w:szCs w:val="22"/>
          <w:lang w:val="es-ES"/>
        </w:rPr>
        <w:t xml:space="preserve"> Tender </w:t>
      </w:r>
      <w:proofErr w:type="spellStart"/>
      <w:r>
        <w:rPr>
          <w:rFonts w:eastAsia="Palatino Linotype"/>
          <w:sz w:val="22"/>
          <w:szCs w:val="22"/>
          <w:lang w:val="es-ES"/>
        </w:rPr>
        <w:t>Documents</w:t>
      </w:r>
      <w:proofErr w:type="spellEnd"/>
      <w:r>
        <w:rPr>
          <w:rFonts w:eastAsia="Palatino Linotype"/>
          <w:sz w:val="22"/>
          <w:szCs w:val="22"/>
          <w:lang w:val="es-ES"/>
        </w:rPr>
        <w:t xml:space="preserve">; </w:t>
      </w:r>
      <w:proofErr w:type="spellStart"/>
      <w:r>
        <w:rPr>
          <w:rFonts w:eastAsia="Palatino Linotype"/>
          <w:sz w:val="22"/>
          <w:szCs w:val="22"/>
          <w:lang w:val="es-ES"/>
        </w:rPr>
        <w:t>it</w:t>
      </w:r>
      <w:proofErr w:type="spellEnd"/>
      <w:r>
        <w:rPr>
          <w:rFonts w:eastAsia="Palatino Linotype"/>
          <w:sz w:val="22"/>
          <w:szCs w:val="22"/>
          <w:lang w:val="es-ES"/>
        </w:rPr>
        <w:t xml:space="preserve"> </w:t>
      </w:r>
      <w:proofErr w:type="spellStart"/>
      <w:r>
        <w:rPr>
          <w:rFonts w:eastAsia="Palatino Linotype"/>
          <w:sz w:val="22"/>
          <w:szCs w:val="22"/>
          <w:lang w:val="es-ES"/>
        </w:rPr>
        <w:t>must</w:t>
      </w:r>
      <w:proofErr w:type="spellEnd"/>
      <w:r>
        <w:rPr>
          <w:rFonts w:eastAsia="Palatino Linotype"/>
          <w:sz w:val="22"/>
          <w:szCs w:val="22"/>
          <w:lang w:val="es-ES"/>
        </w:rPr>
        <w:t xml:space="preserve"> </w:t>
      </w:r>
      <w:proofErr w:type="spellStart"/>
      <w:r>
        <w:rPr>
          <w:rFonts w:eastAsia="Palatino Linotype"/>
          <w:sz w:val="22"/>
          <w:szCs w:val="22"/>
          <w:lang w:val="es-ES"/>
        </w:rPr>
        <w:t>also</w:t>
      </w:r>
      <w:proofErr w:type="spellEnd"/>
      <w:r>
        <w:rPr>
          <w:rFonts w:eastAsia="Palatino Linotype"/>
          <w:sz w:val="22"/>
          <w:szCs w:val="22"/>
          <w:lang w:val="es-ES"/>
        </w:rPr>
        <w:t xml:space="preserve"> </w:t>
      </w:r>
      <w:proofErr w:type="spellStart"/>
      <w:r>
        <w:rPr>
          <w:rFonts w:eastAsia="Palatino Linotype"/>
          <w:sz w:val="22"/>
          <w:szCs w:val="22"/>
          <w:lang w:val="es-ES"/>
        </w:rPr>
        <w:t>return</w:t>
      </w:r>
      <w:proofErr w:type="spellEnd"/>
      <w:r>
        <w:rPr>
          <w:rFonts w:eastAsia="Palatino Linotype"/>
          <w:sz w:val="22"/>
          <w:szCs w:val="22"/>
          <w:lang w:val="es-ES"/>
        </w:rPr>
        <w:t xml:space="preserve"> </w:t>
      </w:r>
      <w:proofErr w:type="spellStart"/>
      <w:r>
        <w:rPr>
          <w:rFonts w:eastAsia="Palatino Linotype"/>
          <w:sz w:val="22"/>
          <w:szCs w:val="22"/>
          <w:lang w:val="es-ES"/>
        </w:rPr>
        <w:t>the</w:t>
      </w:r>
      <w:proofErr w:type="spellEnd"/>
      <w:r>
        <w:rPr>
          <w:rFonts w:eastAsia="Palatino Linotype"/>
          <w:sz w:val="22"/>
          <w:szCs w:val="22"/>
          <w:lang w:val="es-ES"/>
        </w:rPr>
        <w:t xml:space="preserve"> </w:t>
      </w:r>
      <w:proofErr w:type="spellStart"/>
      <w:r>
        <w:rPr>
          <w:rFonts w:eastAsia="Palatino Linotype"/>
          <w:sz w:val="22"/>
          <w:szCs w:val="22"/>
          <w:lang w:val="es-ES"/>
        </w:rPr>
        <w:t>bid</w:t>
      </w:r>
      <w:proofErr w:type="spellEnd"/>
      <w:r>
        <w:rPr>
          <w:rFonts w:eastAsia="Palatino Linotype"/>
          <w:sz w:val="22"/>
          <w:szCs w:val="22"/>
          <w:lang w:val="es-ES"/>
        </w:rPr>
        <w:t xml:space="preserve"> </w:t>
      </w:r>
      <w:proofErr w:type="spellStart"/>
      <w:r>
        <w:rPr>
          <w:rFonts w:eastAsia="Palatino Linotype"/>
          <w:sz w:val="22"/>
          <w:szCs w:val="22"/>
          <w:lang w:val="es-ES"/>
        </w:rPr>
        <w:t>maintenance</w:t>
      </w:r>
      <w:proofErr w:type="spellEnd"/>
      <w:r>
        <w:rPr>
          <w:rFonts w:eastAsia="Palatino Linotype"/>
          <w:sz w:val="22"/>
          <w:szCs w:val="22"/>
          <w:lang w:val="es-ES"/>
        </w:rPr>
        <w:t xml:space="preserve"> </w:t>
      </w:r>
      <w:proofErr w:type="spellStart"/>
      <w:r>
        <w:rPr>
          <w:rFonts w:eastAsia="Palatino Linotype"/>
          <w:sz w:val="22"/>
          <w:szCs w:val="22"/>
          <w:lang w:val="es-ES"/>
        </w:rPr>
        <w:t>guarantees</w:t>
      </w:r>
      <w:proofErr w:type="spellEnd"/>
      <w:r>
        <w:rPr>
          <w:rFonts w:eastAsia="Palatino Linotype"/>
          <w:sz w:val="22"/>
          <w:szCs w:val="22"/>
          <w:lang w:val="es-ES"/>
        </w:rPr>
        <w:t xml:space="preserve"> and </w:t>
      </w:r>
      <w:proofErr w:type="spellStart"/>
      <w:r>
        <w:rPr>
          <w:rFonts w:eastAsia="Palatino Linotype"/>
          <w:sz w:val="22"/>
          <w:szCs w:val="22"/>
          <w:lang w:val="es-ES"/>
        </w:rPr>
        <w:t>the</w:t>
      </w:r>
      <w:proofErr w:type="spellEnd"/>
      <w:r>
        <w:rPr>
          <w:rFonts w:eastAsia="Palatino Linotype"/>
          <w:sz w:val="22"/>
          <w:szCs w:val="22"/>
          <w:lang w:val="es-ES"/>
        </w:rPr>
        <w:t xml:space="preserve"> </w:t>
      </w:r>
      <w:proofErr w:type="spellStart"/>
      <w:r>
        <w:rPr>
          <w:rFonts w:eastAsia="Palatino Linotype"/>
          <w:sz w:val="22"/>
          <w:szCs w:val="22"/>
          <w:lang w:val="es-ES"/>
        </w:rPr>
        <w:t>cost</w:t>
      </w:r>
      <w:proofErr w:type="spellEnd"/>
      <w:r>
        <w:rPr>
          <w:rFonts w:eastAsia="Palatino Linotype"/>
          <w:sz w:val="22"/>
          <w:szCs w:val="22"/>
          <w:lang w:val="es-ES"/>
        </w:rPr>
        <w:t xml:space="preserve"> </w:t>
      </w:r>
      <w:proofErr w:type="spellStart"/>
      <w:r>
        <w:rPr>
          <w:rFonts w:eastAsia="Palatino Linotype"/>
          <w:sz w:val="22"/>
          <w:szCs w:val="22"/>
          <w:lang w:val="es-ES"/>
        </w:rPr>
        <w:t>of</w:t>
      </w:r>
      <w:proofErr w:type="spellEnd"/>
      <w:r>
        <w:rPr>
          <w:rFonts w:eastAsia="Palatino Linotype"/>
          <w:sz w:val="22"/>
          <w:szCs w:val="22"/>
          <w:lang w:val="es-ES"/>
        </w:rPr>
        <w:t xml:space="preserve"> </w:t>
      </w:r>
      <w:proofErr w:type="spellStart"/>
      <w:r>
        <w:rPr>
          <w:rFonts w:eastAsia="Palatino Linotype"/>
          <w:sz w:val="22"/>
          <w:szCs w:val="22"/>
          <w:lang w:val="es-ES"/>
        </w:rPr>
        <w:t>the</w:t>
      </w:r>
      <w:proofErr w:type="spellEnd"/>
      <w:r>
        <w:rPr>
          <w:rFonts w:eastAsia="Palatino Linotype"/>
          <w:sz w:val="22"/>
          <w:szCs w:val="22"/>
          <w:lang w:val="es-ES"/>
        </w:rPr>
        <w:t xml:space="preserve"> Tender </w:t>
      </w:r>
      <w:proofErr w:type="spellStart"/>
      <w:r>
        <w:rPr>
          <w:rFonts w:eastAsia="Palatino Linotype"/>
          <w:sz w:val="22"/>
          <w:szCs w:val="22"/>
          <w:lang w:val="es-ES"/>
        </w:rPr>
        <w:t>Documents</w:t>
      </w:r>
      <w:proofErr w:type="spellEnd"/>
      <w:r>
        <w:rPr>
          <w:rFonts w:eastAsia="Palatino Linotype"/>
          <w:sz w:val="22"/>
          <w:szCs w:val="22"/>
          <w:lang w:val="es-ES"/>
        </w:rPr>
        <w:t xml:space="preserve"> at </w:t>
      </w:r>
      <w:proofErr w:type="spellStart"/>
      <w:r>
        <w:rPr>
          <w:rFonts w:eastAsia="Palatino Linotype"/>
          <w:sz w:val="22"/>
          <w:szCs w:val="22"/>
          <w:lang w:val="es-ES"/>
        </w:rPr>
        <w:t>the</w:t>
      </w:r>
      <w:proofErr w:type="spellEnd"/>
      <w:r>
        <w:rPr>
          <w:rFonts w:eastAsia="Palatino Linotype"/>
          <w:sz w:val="22"/>
          <w:szCs w:val="22"/>
          <w:lang w:val="es-ES"/>
        </w:rPr>
        <w:t xml:space="preserve"> </w:t>
      </w:r>
      <w:proofErr w:type="spellStart"/>
      <w:r>
        <w:rPr>
          <w:rFonts w:eastAsia="Palatino Linotype"/>
          <w:sz w:val="22"/>
          <w:szCs w:val="22"/>
          <w:lang w:val="es-ES"/>
        </w:rPr>
        <w:t>request</w:t>
      </w:r>
      <w:proofErr w:type="spellEnd"/>
      <w:r>
        <w:rPr>
          <w:rFonts w:eastAsia="Palatino Linotype"/>
          <w:sz w:val="22"/>
          <w:szCs w:val="22"/>
          <w:lang w:val="es-ES"/>
        </w:rPr>
        <w:t xml:space="preserve"> </w:t>
      </w:r>
      <w:proofErr w:type="spellStart"/>
      <w:r>
        <w:rPr>
          <w:rFonts w:eastAsia="Palatino Linotype"/>
          <w:sz w:val="22"/>
          <w:szCs w:val="22"/>
          <w:lang w:val="es-ES"/>
        </w:rPr>
        <w:t>of</w:t>
      </w:r>
      <w:proofErr w:type="spellEnd"/>
      <w:r>
        <w:rPr>
          <w:rFonts w:eastAsia="Palatino Linotype"/>
          <w:sz w:val="22"/>
          <w:szCs w:val="22"/>
          <w:lang w:val="es-ES"/>
        </w:rPr>
        <w:t xml:space="preserve"> </w:t>
      </w:r>
      <w:proofErr w:type="spellStart"/>
      <w:r>
        <w:rPr>
          <w:rFonts w:eastAsia="Palatino Linotype"/>
          <w:sz w:val="22"/>
          <w:szCs w:val="22"/>
          <w:lang w:val="es-ES"/>
        </w:rPr>
        <w:t>interested</w:t>
      </w:r>
      <w:proofErr w:type="spellEnd"/>
      <w:r>
        <w:rPr>
          <w:rFonts w:eastAsia="Palatino Linotype"/>
          <w:sz w:val="22"/>
          <w:szCs w:val="22"/>
          <w:lang w:val="es-ES"/>
        </w:rPr>
        <w:t xml:space="preserve"> </w:t>
      </w:r>
      <w:proofErr w:type="spellStart"/>
      <w:r>
        <w:rPr>
          <w:rFonts w:eastAsia="Palatino Linotype"/>
          <w:sz w:val="22"/>
          <w:szCs w:val="22"/>
          <w:lang w:val="es-ES"/>
        </w:rPr>
        <w:t>parties</w:t>
      </w:r>
      <w:proofErr w:type="spellEnd"/>
      <w:r>
        <w:rPr>
          <w:rFonts w:eastAsia="Palatino Linotype"/>
          <w:sz w:val="22"/>
          <w:szCs w:val="22"/>
          <w:lang w:val="es-ES"/>
        </w:rPr>
        <w:t xml:space="preserve"> </w:t>
      </w:r>
      <w:proofErr w:type="spellStart"/>
      <w:r>
        <w:rPr>
          <w:rFonts w:eastAsia="Palatino Linotype"/>
          <w:sz w:val="22"/>
          <w:szCs w:val="22"/>
          <w:lang w:val="es-ES"/>
        </w:rPr>
        <w:t>who</w:t>
      </w:r>
      <w:proofErr w:type="spellEnd"/>
      <w:r>
        <w:rPr>
          <w:rFonts w:eastAsia="Palatino Linotype"/>
          <w:sz w:val="22"/>
          <w:szCs w:val="22"/>
          <w:lang w:val="es-ES"/>
        </w:rPr>
        <w:t xml:space="preserve">, in light </w:t>
      </w:r>
      <w:proofErr w:type="spellStart"/>
      <w:r>
        <w:rPr>
          <w:rFonts w:eastAsia="Palatino Linotype"/>
          <w:sz w:val="22"/>
          <w:szCs w:val="22"/>
          <w:lang w:val="es-ES"/>
        </w:rPr>
        <w:t>of</w:t>
      </w:r>
      <w:proofErr w:type="spellEnd"/>
      <w:r>
        <w:rPr>
          <w:rFonts w:eastAsia="Palatino Linotype"/>
          <w:sz w:val="22"/>
          <w:szCs w:val="22"/>
          <w:lang w:val="es-ES"/>
        </w:rPr>
        <w:t xml:space="preserve"> </w:t>
      </w:r>
      <w:proofErr w:type="spellStart"/>
      <w:r>
        <w:rPr>
          <w:rFonts w:eastAsia="Palatino Linotype"/>
          <w:sz w:val="22"/>
          <w:szCs w:val="22"/>
          <w:lang w:val="es-ES"/>
        </w:rPr>
        <w:t>said</w:t>
      </w:r>
      <w:proofErr w:type="spellEnd"/>
      <w:r>
        <w:rPr>
          <w:rFonts w:eastAsia="Palatino Linotype"/>
          <w:sz w:val="22"/>
          <w:szCs w:val="22"/>
          <w:lang w:val="es-ES"/>
        </w:rPr>
        <w:t xml:space="preserve"> </w:t>
      </w:r>
      <w:proofErr w:type="spellStart"/>
      <w:r>
        <w:rPr>
          <w:rFonts w:eastAsia="Palatino Linotype"/>
          <w:sz w:val="22"/>
          <w:szCs w:val="22"/>
          <w:lang w:val="es-ES"/>
        </w:rPr>
        <w:t>extension</w:t>
      </w:r>
      <w:proofErr w:type="spellEnd"/>
      <w:r>
        <w:rPr>
          <w:rFonts w:eastAsia="Palatino Linotype"/>
          <w:sz w:val="22"/>
          <w:szCs w:val="22"/>
          <w:lang w:val="es-ES"/>
        </w:rPr>
        <w:t xml:space="preserve">, decide </w:t>
      </w:r>
      <w:proofErr w:type="spellStart"/>
      <w:r>
        <w:rPr>
          <w:rFonts w:eastAsia="Palatino Linotype"/>
          <w:sz w:val="22"/>
          <w:szCs w:val="22"/>
          <w:lang w:val="es-ES"/>
        </w:rPr>
        <w:t>not</w:t>
      </w:r>
      <w:proofErr w:type="spellEnd"/>
      <w:r>
        <w:rPr>
          <w:rFonts w:eastAsia="Palatino Linotype"/>
          <w:sz w:val="22"/>
          <w:szCs w:val="22"/>
          <w:lang w:val="es-ES"/>
        </w:rPr>
        <w:t xml:space="preserve"> </w:t>
      </w:r>
      <w:proofErr w:type="spellStart"/>
      <w:r>
        <w:rPr>
          <w:rFonts w:eastAsia="Palatino Linotype"/>
          <w:sz w:val="22"/>
          <w:szCs w:val="22"/>
          <w:lang w:val="es-ES"/>
        </w:rPr>
        <w:t>to</w:t>
      </w:r>
      <w:proofErr w:type="spellEnd"/>
      <w:r>
        <w:rPr>
          <w:rFonts w:eastAsia="Palatino Linotype"/>
          <w:sz w:val="22"/>
          <w:szCs w:val="22"/>
          <w:lang w:val="es-ES"/>
        </w:rPr>
        <w:t xml:space="preserve"> </w:t>
      </w:r>
      <w:proofErr w:type="spellStart"/>
      <w:r>
        <w:rPr>
          <w:rFonts w:eastAsia="Palatino Linotype"/>
          <w:sz w:val="22"/>
          <w:szCs w:val="22"/>
          <w:lang w:val="es-ES"/>
        </w:rPr>
        <w:t>submit</w:t>
      </w:r>
      <w:proofErr w:type="spellEnd"/>
      <w:r>
        <w:rPr>
          <w:rFonts w:eastAsia="Palatino Linotype"/>
          <w:sz w:val="22"/>
          <w:szCs w:val="22"/>
          <w:lang w:val="es-ES"/>
        </w:rPr>
        <w:t xml:space="preserve"> </w:t>
      </w:r>
      <w:proofErr w:type="spellStart"/>
      <w:r>
        <w:rPr>
          <w:rFonts w:eastAsia="Palatino Linotype"/>
          <w:sz w:val="22"/>
          <w:szCs w:val="22"/>
          <w:lang w:val="es-ES"/>
        </w:rPr>
        <w:t>proposals</w:t>
      </w:r>
      <w:proofErr w:type="spellEnd"/>
      <w:r>
        <w:rPr>
          <w:rFonts w:eastAsia="Palatino Linotype"/>
          <w:sz w:val="22"/>
          <w:szCs w:val="22"/>
          <w:lang w:val="es-ES"/>
        </w:rPr>
        <w:t>.</w:t>
      </w:r>
    </w:p>
    <w:p w14:paraId="2D1A0666" w14:textId="77777777" w:rsidR="00E255F4" w:rsidRDefault="00E255F4">
      <w:pPr>
        <w:widowControl w:val="0"/>
        <w:ind w:right="-142"/>
        <w:jc w:val="both"/>
        <w:rPr>
          <w:rFonts w:eastAsia="Palatino Linotype"/>
          <w:spacing w:val="-1"/>
          <w:sz w:val="22"/>
          <w:szCs w:val="22"/>
          <w:lang w:val="es-ES"/>
        </w:rPr>
      </w:pPr>
    </w:p>
    <w:p w14:paraId="5A743EC3" w14:textId="77777777" w:rsidR="00E255F4" w:rsidRDefault="00000000">
      <w:pPr>
        <w:widowControl w:val="0"/>
        <w:ind w:right="-142"/>
        <w:jc w:val="both"/>
      </w:pPr>
      <w:r>
        <w:rPr>
          <w:rFonts w:eastAsia="Palatino Linotype"/>
          <w:spacing w:val="-1"/>
          <w:sz w:val="22"/>
          <w:szCs w:val="22"/>
          <w:lang w:val="es-ES"/>
        </w:rPr>
        <w:t>AND</w:t>
      </w:r>
      <w:r>
        <w:rPr>
          <w:rFonts w:eastAsia="Palatino Linotype"/>
          <w:sz w:val="22"/>
          <w:szCs w:val="22"/>
          <w:lang w:val="es-ES"/>
        </w:rPr>
        <w:t xml:space="preserve">In </w:t>
      </w:r>
      <w:proofErr w:type="spellStart"/>
      <w:r>
        <w:rPr>
          <w:rFonts w:eastAsia="Palatino Linotype"/>
          <w:sz w:val="22"/>
          <w:szCs w:val="22"/>
          <w:lang w:val="es-ES"/>
        </w:rPr>
        <w:t>the</w:t>
      </w:r>
      <w:proofErr w:type="spellEnd"/>
      <w:r>
        <w:rPr>
          <w:rFonts w:eastAsia="Palatino Linotype"/>
          <w:sz w:val="22"/>
          <w:szCs w:val="22"/>
          <w:lang w:val="es-ES"/>
        </w:rPr>
        <w:t xml:space="preserve"> </w:t>
      </w:r>
      <w:proofErr w:type="spellStart"/>
      <w:r>
        <w:rPr>
          <w:rFonts w:eastAsia="Palatino Linotype"/>
          <w:sz w:val="22"/>
          <w:szCs w:val="22"/>
          <w:lang w:val="es-ES"/>
        </w:rPr>
        <w:t>event</w:t>
      </w:r>
      <w:proofErr w:type="spellEnd"/>
      <w:r>
        <w:rPr>
          <w:rFonts w:eastAsia="Palatino Linotype"/>
          <w:sz w:val="22"/>
          <w:szCs w:val="22"/>
          <w:lang w:val="es-ES"/>
        </w:rPr>
        <w:t xml:space="preserve"> </w:t>
      </w:r>
      <w:proofErr w:type="spellStart"/>
      <w:r>
        <w:rPr>
          <w:rFonts w:eastAsia="Palatino Linotype"/>
          <w:sz w:val="22"/>
          <w:szCs w:val="22"/>
          <w:lang w:val="es-ES"/>
        </w:rPr>
        <w:t>that</w:t>
      </w:r>
      <w:proofErr w:type="spellEnd"/>
      <w:r>
        <w:rPr>
          <w:rFonts w:eastAsia="Palatino Linotype"/>
          <w:sz w:val="22"/>
          <w:szCs w:val="22"/>
          <w:lang w:val="es-ES"/>
        </w:rPr>
        <w:t xml:space="preserve"> </w:t>
      </w:r>
      <w:proofErr w:type="spellStart"/>
      <w:r>
        <w:rPr>
          <w:rFonts w:eastAsia="Palatino Linotype"/>
          <w:sz w:val="22"/>
          <w:szCs w:val="22"/>
          <w:lang w:val="es-ES"/>
        </w:rPr>
        <w:t>the</w:t>
      </w:r>
      <w:proofErr w:type="spellEnd"/>
      <w:r>
        <w:rPr>
          <w:rFonts w:eastAsia="Palatino Linotype"/>
          <w:sz w:val="22"/>
          <w:szCs w:val="22"/>
          <w:lang w:val="es-ES"/>
        </w:rPr>
        <w:t xml:space="preserve"> Call </w:t>
      </w:r>
      <w:proofErr w:type="spellStart"/>
      <w:r>
        <w:rPr>
          <w:rFonts w:eastAsia="Palatino Linotype"/>
          <w:sz w:val="22"/>
          <w:szCs w:val="22"/>
          <w:lang w:val="es-ES"/>
        </w:rPr>
        <w:t>for</w:t>
      </w:r>
      <w:proofErr w:type="spellEnd"/>
      <w:r>
        <w:rPr>
          <w:rFonts w:eastAsia="Palatino Linotype"/>
          <w:sz w:val="22"/>
          <w:szCs w:val="22"/>
          <w:lang w:val="es-ES"/>
        </w:rPr>
        <w:t xml:space="preserve"> </w:t>
      </w:r>
      <w:proofErr w:type="spellStart"/>
      <w:r>
        <w:rPr>
          <w:rFonts w:eastAsia="Palatino Linotype"/>
          <w:sz w:val="22"/>
          <w:szCs w:val="22"/>
          <w:lang w:val="es-ES"/>
        </w:rPr>
        <w:t>Bids</w:t>
      </w:r>
      <w:proofErr w:type="spellEnd"/>
      <w:r>
        <w:rPr>
          <w:rFonts w:eastAsia="Palatino Linotype"/>
          <w:sz w:val="22"/>
          <w:szCs w:val="22"/>
          <w:lang w:val="es-ES"/>
        </w:rPr>
        <w:t xml:space="preserve"> </w:t>
      </w:r>
      <w:proofErr w:type="spellStart"/>
      <w:r>
        <w:rPr>
          <w:rFonts w:eastAsia="Palatino Linotype"/>
          <w:sz w:val="22"/>
          <w:szCs w:val="22"/>
          <w:lang w:val="es-ES"/>
        </w:rPr>
        <w:t>is</w:t>
      </w:r>
      <w:proofErr w:type="spellEnd"/>
      <w:r>
        <w:rPr>
          <w:rFonts w:eastAsia="Palatino Linotype"/>
          <w:sz w:val="22"/>
          <w:szCs w:val="22"/>
          <w:lang w:val="es-ES"/>
        </w:rPr>
        <w:t xml:space="preserve"> </w:t>
      </w:r>
      <w:proofErr w:type="spellStart"/>
      <w:r>
        <w:rPr>
          <w:rFonts w:eastAsia="Palatino Linotype"/>
          <w:sz w:val="22"/>
          <w:szCs w:val="22"/>
          <w:lang w:val="es-ES"/>
        </w:rPr>
        <w:t>cancelled</w:t>
      </w:r>
      <w:proofErr w:type="spellEnd"/>
      <w:r>
        <w:rPr>
          <w:rFonts w:eastAsia="Palatino Linotype"/>
          <w:sz w:val="22"/>
          <w:szCs w:val="22"/>
          <w:lang w:val="es-ES"/>
        </w:rPr>
        <w:t xml:space="preserve">, </w:t>
      </w:r>
      <w:proofErr w:type="spellStart"/>
      <w:r>
        <w:rPr>
          <w:rFonts w:eastAsia="Palatino Linotype"/>
          <w:sz w:val="22"/>
          <w:szCs w:val="22"/>
          <w:lang w:val="es-ES"/>
        </w:rPr>
        <w:t>the</w:t>
      </w:r>
      <w:proofErr w:type="spellEnd"/>
      <w:r>
        <w:rPr>
          <w:rFonts w:eastAsia="Palatino Linotype"/>
          <w:sz w:val="22"/>
          <w:szCs w:val="22"/>
          <w:lang w:val="es-ES"/>
        </w:rPr>
        <w:t xml:space="preserve"> </w:t>
      </w:r>
      <w:proofErr w:type="spellStart"/>
      <w:r>
        <w:rPr>
          <w:rFonts w:eastAsia="Palatino Linotype"/>
          <w:sz w:val="22"/>
          <w:szCs w:val="22"/>
          <w:lang w:val="es-ES"/>
        </w:rPr>
        <w:t>decision</w:t>
      </w:r>
      <w:proofErr w:type="spellEnd"/>
      <w:r>
        <w:rPr>
          <w:rFonts w:eastAsia="Palatino Linotype"/>
          <w:sz w:val="22"/>
          <w:szCs w:val="22"/>
          <w:lang w:val="es-ES"/>
        </w:rPr>
        <w:t xml:space="preserve"> </w:t>
      </w:r>
      <w:proofErr w:type="spellStart"/>
      <w:r>
        <w:rPr>
          <w:rFonts w:eastAsia="Palatino Linotype"/>
          <w:sz w:val="22"/>
          <w:szCs w:val="22"/>
          <w:lang w:val="es-ES"/>
        </w:rPr>
        <w:t>will</w:t>
      </w:r>
      <w:proofErr w:type="spellEnd"/>
      <w:r>
        <w:rPr>
          <w:rFonts w:eastAsia="Palatino Linotype"/>
          <w:sz w:val="22"/>
          <w:szCs w:val="22"/>
          <w:lang w:val="es-ES"/>
        </w:rPr>
        <w:t xml:space="preserve"> be </w:t>
      </w:r>
      <w:proofErr w:type="spellStart"/>
      <w:r>
        <w:rPr>
          <w:rFonts w:eastAsia="Palatino Linotype"/>
          <w:sz w:val="22"/>
          <w:szCs w:val="22"/>
          <w:lang w:val="es-ES"/>
        </w:rPr>
        <w:t>published</w:t>
      </w:r>
      <w:proofErr w:type="spellEnd"/>
      <w:r>
        <w:rPr>
          <w:rFonts w:eastAsia="Palatino Linotype"/>
          <w:sz w:val="22"/>
          <w:szCs w:val="22"/>
          <w:lang w:val="es-ES"/>
        </w:rPr>
        <w:t xml:space="preserve"> </w:t>
      </w:r>
      <w:proofErr w:type="spellStart"/>
      <w:r>
        <w:rPr>
          <w:rFonts w:eastAsia="Palatino Linotype"/>
          <w:sz w:val="22"/>
          <w:szCs w:val="22"/>
          <w:lang w:val="es-ES"/>
        </w:rPr>
        <w:t>immediately</w:t>
      </w:r>
      <w:proofErr w:type="spellEnd"/>
      <w:r>
        <w:rPr>
          <w:rFonts w:eastAsia="Palatino Linotype"/>
          <w:sz w:val="22"/>
          <w:szCs w:val="22"/>
          <w:lang w:val="es-ES"/>
        </w:rPr>
        <w:t xml:space="preserve"> </w:t>
      </w:r>
      <w:proofErr w:type="spellStart"/>
      <w:r>
        <w:rPr>
          <w:rFonts w:eastAsia="Palatino Linotype"/>
          <w:sz w:val="22"/>
          <w:szCs w:val="22"/>
          <w:lang w:val="es-ES"/>
        </w:rPr>
        <w:t>on</w:t>
      </w:r>
      <w:proofErr w:type="spellEnd"/>
      <w:r>
        <w:rPr>
          <w:rFonts w:eastAsia="Palatino Linotype"/>
          <w:sz w:val="22"/>
          <w:szCs w:val="22"/>
          <w:lang w:val="es-ES"/>
        </w:rPr>
        <w:t xml:space="preserve"> </w:t>
      </w:r>
      <w:proofErr w:type="spellStart"/>
      <w:r>
        <w:rPr>
          <w:rFonts w:eastAsia="Palatino Linotype"/>
          <w:sz w:val="22"/>
          <w:szCs w:val="22"/>
          <w:lang w:val="es-ES"/>
        </w:rPr>
        <w:t>the</w:t>
      </w:r>
      <w:proofErr w:type="spellEnd"/>
      <w:r>
        <w:rPr>
          <w:rFonts w:eastAsia="Palatino Linotype"/>
          <w:sz w:val="22"/>
          <w:szCs w:val="22"/>
          <w:lang w:val="es-ES"/>
        </w:rPr>
        <w:t xml:space="preserve"> State </w:t>
      </w:r>
      <w:proofErr w:type="spellStart"/>
      <w:r>
        <w:rPr>
          <w:rFonts w:eastAsia="Palatino Linotype"/>
          <w:sz w:val="22"/>
          <w:szCs w:val="22"/>
          <w:lang w:val="es-ES"/>
        </w:rPr>
        <w:t>Procurement</w:t>
      </w:r>
      <w:proofErr w:type="spellEnd"/>
      <w:r>
        <w:rPr>
          <w:rFonts w:eastAsia="Palatino Linotype"/>
          <w:sz w:val="22"/>
          <w:szCs w:val="22"/>
          <w:lang w:val="es-ES"/>
        </w:rPr>
        <w:t xml:space="preserve"> and </w:t>
      </w:r>
      <w:proofErr w:type="spellStart"/>
      <w:r>
        <w:rPr>
          <w:rFonts w:eastAsia="Palatino Linotype"/>
          <w:sz w:val="22"/>
          <w:szCs w:val="22"/>
          <w:lang w:val="es-ES"/>
        </w:rPr>
        <w:t>Contracting</w:t>
      </w:r>
      <w:proofErr w:type="spellEnd"/>
      <w:r>
        <w:rPr>
          <w:rFonts w:eastAsia="Palatino Linotype"/>
          <w:sz w:val="22"/>
          <w:szCs w:val="22"/>
          <w:lang w:val="es-ES"/>
        </w:rPr>
        <w:t xml:space="preserve"> </w:t>
      </w:r>
      <w:proofErr w:type="spellStart"/>
      <w:r>
        <w:rPr>
          <w:rFonts w:eastAsia="Palatino Linotype"/>
          <w:sz w:val="22"/>
          <w:szCs w:val="22"/>
          <w:lang w:val="es-ES"/>
        </w:rPr>
        <w:t>website</w:t>
      </w:r>
      <w:proofErr w:type="spellEnd"/>
      <w:r>
        <w:rPr>
          <w:rFonts w:eastAsia="Palatino Linotype"/>
          <w:sz w:val="22"/>
          <w:szCs w:val="22"/>
          <w:lang w:val="es-ES"/>
        </w:rPr>
        <w:t xml:space="preserve">, and, </w:t>
      </w:r>
      <w:proofErr w:type="spellStart"/>
      <w:r>
        <w:rPr>
          <w:rFonts w:eastAsia="Palatino Linotype"/>
          <w:sz w:val="22"/>
          <w:szCs w:val="22"/>
          <w:lang w:val="es-ES"/>
        </w:rPr>
        <w:t>where</w:t>
      </w:r>
      <w:proofErr w:type="spellEnd"/>
      <w:r>
        <w:rPr>
          <w:rFonts w:eastAsia="Palatino Linotype"/>
          <w:sz w:val="22"/>
          <w:szCs w:val="22"/>
          <w:lang w:val="es-ES"/>
        </w:rPr>
        <w:t xml:space="preserve"> </w:t>
      </w:r>
      <w:proofErr w:type="spellStart"/>
      <w:r>
        <w:rPr>
          <w:rFonts w:eastAsia="Palatino Linotype"/>
          <w:sz w:val="22"/>
          <w:szCs w:val="22"/>
          <w:lang w:val="es-ES"/>
        </w:rPr>
        <w:t>applicable</w:t>
      </w:r>
      <w:proofErr w:type="spellEnd"/>
      <w:r>
        <w:rPr>
          <w:rFonts w:eastAsia="Palatino Linotype"/>
          <w:sz w:val="22"/>
          <w:szCs w:val="22"/>
          <w:lang w:val="es-ES"/>
        </w:rPr>
        <w:t xml:space="preserve">, personal </w:t>
      </w:r>
      <w:proofErr w:type="spellStart"/>
      <w:r>
        <w:rPr>
          <w:rFonts w:eastAsia="Palatino Linotype"/>
          <w:sz w:val="22"/>
          <w:szCs w:val="22"/>
          <w:lang w:val="es-ES"/>
        </w:rPr>
        <w:t>notification</w:t>
      </w:r>
      <w:proofErr w:type="spellEnd"/>
      <w:r>
        <w:rPr>
          <w:rFonts w:eastAsia="Palatino Linotype"/>
          <w:sz w:val="22"/>
          <w:szCs w:val="22"/>
          <w:lang w:val="es-ES"/>
        </w:rPr>
        <w:t xml:space="preserve"> </w:t>
      </w:r>
      <w:proofErr w:type="spellStart"/>
      <w:r>
        <w:rPr>
          <w:rFonts w:eastAsia="Palatino Linotype"/>
          <w:sz w:val="22"/>
          <w:szCs w:val="22"/>
          <w:lang w:val="es-ES"/>
        </w:rPr>
        <w:t>will</w:t>
      </w:r>
      <w:proofErr w:type="spellEnd"/>
      <w:r>
        <w:rPr>
          <w:rFonts w:eastAsia="Palatino Linotype"/>
          <w:sz w:val="22"/>
          <w:szCs w:val="22"/>
          <w:lang w:val="es-ES"/>
        </w:rPr>
        <w:t xml:space="preserve"> be </w:t>
      </w:r>
      <w:proofErr w:type="spellStart"/>
      <w:r>
        <w:rPr>
          <w:rFonts w:eastAsia="Palatino Linotype"/>
          <w:sz w:val="22"/>
          <w:szCs w:val="22"/>
          <w:lang w:val="es-ES"/>
        </w:rPr>
        <w:t>sent</w:t>
      </w:r>
      <w:proofErr w:type="spellEnd"/>
      <w:r>
        <w:rPr>
          <w:rFonts w:eastAsia="Palatino Linotype"/>
          <w:sz w:val="22"/>
          <w:szCs w:val="22"/>
          <w:lang w:val="es-ES"/>
        </w:rPr>
        <w:t xml:space="preserve"> </w:t>
      </w:r>
      <w:proofErr w:type="spellStart"/>
      <w:r>
        <w:rPr>
          <w:rFonts w:eastAsia="Palatino Linotype"/>
          <w:sz w:val="22"/>
          <w:szCs w:val="22"/>
          <w:lang w:val="es-ES"/>
        </w:rPr>
        <w:t>to</w:t>
      </w:r>
      <w:proofErr w:type="spellEnd"/>
      <w:r>
        <w:rPr>
          <w:rFonts w:eastAsia="Palatino Linotype"/>
          <w:sz w:val="22"/>
          <w:szCs w:val="22"/>
          <w:lang w:val="es-ES"/>
        </w:rPr>
        <w:t xml:space="preserve"> </w:t>
      </w:r>
      <w:proofErr w:type="spellStart"/>
      <w:r>
        <w:rPr>
          <w:rFonts w:eastAsia="Palatino Linotype"/>
          <w:sz w:val="22"/>
          <w:szCs w:val="22"/>
          <w:lang w:val="es-ES"/>
        </w:rPr>
        <w:t>those</w:t>
      </w:r>
      <w:proofErr w:type="spellEnd"/>
      <w:r>
        <w:rPr>
          <w:rFonts w:eastAsia="Palatino Linotype"/>
          <w:sz w:val="22"/>
          <w:szCs w:val="22"/>
          <w:lang w:val="es-ES"/>
        </w:rPr>
        <w:t xml:space="preserve"> </w:t>
      </w:r>
      <w:proofErr w:type="spellStart"/>
      <w:r>
        <w:rPr>
          <w:rFonts w:eastAsia="Palatino Linotype"/>
          <w:sz w:val="22"/>
          <w:szCs w:val="22"/>
          <w:lang w:val="es-ES"/>
        </w:rPr>
        <w:t>who</w:t>
      </w:r>
      <w:proofErr w:type="spellEnd"/>
      <w:r>
        <w:rPr>
          <w:rFonts w:eastAsia="Palatino Linotype"/>
          <w:sz w:val="22"/>
          <w:szCs w:val="22"/>
          <w:lang w:val="es-ES"/>
        </w:rPr>
        <w:t xml:space="preserve"> </w:t>
      </w:r>
      <w:proofErr w:type="spellStart"/>
      <w:r>
        <w:rPr>
          <w:rFonts w:eastAsia="Palatino Linotype"/>
          <w:sz w:val="22"/>
          <w:szCs w:val="22"/>
          <w:lang w:val="es-ES"/>
        </w:rPr>
        <w:t>have</w:t>
      </w:r>
      <w:proofErr w:type="spellEnd"/>
      <w:r>
        <w:rPr>
          <w:rFonts w:eastAsia="Palatino Linotype"/>
          <w:sz w:val="22"/>
          <w:szCs w:val="22"/>
          <w:lang w:val="es-ES"/>
        </w:rPr>
        <w:t xml:space="preserve"> </w:t>
      </w:r>
      <w:proofErr w:type="spellStart"/>
      <w:r>
        <w:rPr>
          <w:rFonts w:eastAsia="Palatino Linotype"/>
          <w:sz w:val="22"/>
          <w:szCs w:val="22"/>
          <w:lang w:val="es-ES"/>
        </w:rPr>
        <w:t>purchased</w:t>
      </w:r>
      <w:proofErr w:type="spellEnd"/>
      <w:r>
        <w:rPr>
          <w:rFonts w:eastAsia="Palatino Linotype"/>
          <w:sz w:val="22"/>
          <w:szCs w:val="22"/>
          <w:lang w:val="es-ES"/>
        </w:rPr>
        <w:t xml:space="preserve"> </w:t>
      </w:r>
      <w:proofErr w:type="spellStart"/>
      <w:r>
        <w:rPr>
          <w:rFonts w:eastAsia="Palatino Linotype"/>
          <w:sz w:val="22"/>
          <w:szCs w:val="22"/>
          <w:lang w:val="es-ES"/>
        </w:rPr>
        <w:t>the</w:t>
      </w:r>
      <w:proofErr w:type="spellEnd"/>
      <w:r>
        <w:rPr>
          <w:rFonts w:eastAsia="Palatino Linotype"/>
          <w:sz w:val="22"/>
          <w:szCs w:val="22"/>
          <w:lang w:val="es-ES"/>
        </w:rPr>
        <w:t xml:space="preserve"> tender </w:t>
      </w:r>
      <w:proofErr w:type="spellStart"/>
      <w:r>
        <w:rPr>
          <w:rFonts w:eastAsia="Palatino Linotype"/>
          <w:sz w:val="22"/>
          <w:szCs w:val="22"/>
          <w:lang w:val="es-ES"/>
        </w:rPr>
        <w:t>documents</w:t>
      </w:r>
      <w:proofErr w:type="spellEnd"/>
      <w:r>
        <w:rPr>
          <w:rFonts w:eastAsia="Palatino Linotype"/>
          <w:sz w:val="22"/>
          <w:szCs w:val="22"/>
          <w:lang w:val="es-ES"/>
        </w:rPr>
        <w:t xml:space="preserve">. </w:t>
      </w:r>
      <w:proofErr w:type="spellStart"/>
      <w:r>
        <w:rPr>
          <w:rFonts w:eastAsia="Palatino Linotype"/>
          <w:sz w:val="22"/>
          <w:szCs w:val="22"/>
          <w:lang w:val="es-ES"/>
        </w:rPr>
        <w:t>Consequently</w:t>
      </w:r>
      <w:proofErr w:type="spellEnd"/>
      <w:r>
        <w:rPr>
          <w:rFonts w:eastAsia="Palatino Linotype"/>
          <w:sz w:val="22"/>
          <w:szCs w:val="22"/>
          <w:lang w:val="es-ES"/>
        </w:rPr>
        <w:t xml:space="preserve">, </w:t>
      </w:r>
      <w:proofErr w:type="spellStart"/>
      <w:r>
        <w:rPr>
          <w:rFonts w:eastAsia="Palatino Linotype"/>
          <w:sz w:val="22"/>
          <w:szCs w:val="22"/>
          <w:lang w:val="es-ES"/>
        </w:rPr>
        <w:t>the</w:t>
      </w:r>
      <w:proofErr w:type="spellEnd"/>
      <w:r>
        <w:rPr>
          <w:rFonts w:eastAsia="Palatino Linotype"/>
          <w:sz w:val="22"/>
          <w:szCs w:val="22"/>
          <w:lang w:val="es-ES"/>
        </w:rPr>
        <w:t xml:space="preserve"> </w:t>
      </w:r>
      <w:proofErr w:type="spellStart"/>
      <w:r>
        <w:rPr>
          <w:rFonts w:eastAsia="Palatino Linotype"/>
          <w:sz w:val="22"/>
          <w:szCs w:val="22"/>
          <w:lang w:val="es-ES"/>
        </w:rPr>
        <w:t>Administration</w:t>
      </w:r>
      <w:proofErr w:type="spellEnd"/>
      <w:r>
        <w:rPr>
          <w:rFonts w:eastAsia="Palatino Linotype"/>
          <w:sz w:val="22"/>
          <w:szCs w:val="22"/>
          <w:lang w:val="es-ES"/>
        </w:rPr>
        <w:t xml:space="preserve"> </w:t>
      </w:r>
      <w:proofErr w:type="spellStart"/>
      <w:r>
        <w:rPr>
          <w:rFonts w:eastAsia="Palatino Linotype"/>
          <w:sz w:val="22"/>
          <w:szCs w:val="22"/>
          <w:lang w:val="es-ES"/>
        </w:rPr>
        <w:t>will</w:t>
      </w:r>
      <w:proofErr w:type="spellEnd"/>
      <w:r>
        <w:rPr>
          <w:rFonts w:eastAsia="Palatino Linotype"/>
          <w:sz w:val="22"/>
          <w:szCs w:val="22"/>
          <w:lang w:val="es-ES"/>
        </w:rPr>
        <w:t xml:space="preserve"> </w:t>
      </w:r>
      <w:proofErr w:type="spellStart"/>
      <w:r>
        <w:rPr>
          <w:rFonts w:eastAsia="Palatino Linotype"/>
          <w:sz w:val="22"/>
          <w:szCs w:val="22"/>
          <w:lang w:val="es-ES"/>
        </w:rPr>
        <w:t>automatically</w:t>
      </w:r>
      <w:proofErr w:type="spellEnd"/>
      <w:r>
        <w:rPr>
          <w:rFonts w:eastAsia="Palatino Linotype"/>
          <w:sz w:val="22"/>
          <w:szCs w:val="22"/>
          <w:lang w:val="es-ES"/>
        </w:rPr>
        <w:t xml:space="preserve"> </w:t>
      </w:r>
      <w:proofErr w:type="spellStart"/>
      <w:r>
        <w:rPr>
          <w:rFonts w:eastAsia="Palatino Linotype"/>
          <w:sz w:val="22"/>
          <w:szCs w:val="22"/>
          <w:lang w:val="es-ES"/>
        </w:rPr>
        <w:t>refund</w:t>
      </w:r>
      <w:proofErr w:type="spellEnd"/>
      <w:r>
        <w:rPr>
          <w:rFonts w:eastAsia="Palatino Linotype"/>
          <w:sz w:val="22"/>
          <w:szCs w:val="22"/>
          <w:lang w:val="es-ES"/>
        </w:rPr>
        <w:t xml:space="preserve"> </w:t>
      </w:r>
      <w:proofErr w:type="spellStart"/>
      <w:r>
        <w:rPr>
          <w:rFonts w:eastAsia="Palatino Linotype"/>
          <w:sz w:val="22"/>
          <w:szCs w:val="22"/>
          <w:lang w:val="es-ES"/>
        </w:rPr>
        <w:t>the</w:t>
      </w:r>
      <w:proofErr w:type="spellEnd"/>
      <w:r>
        <w:rPr>
          <w:rFonts w:eastAsia="Palatino Linotype"/>
          <w:sz w:val="22"/>
          <w:szCs w:val="22"/>
          <w:lang w:val="es-ES"/>
        </w:rPr>
        <w:t xml:space="preserve"> </w:t>
      </w:r>
      <w:proofErr w:type="spellStart"/>
      <w:r>
        <w:rPr>
          <w:rFonts w:eastAsia="Palatino Linotype"/>
          <w:sz w:val="22"/>
          <w:szCs w:val="22"/>
          <w:lang w:val="es-ES"/>
        </w:rPr>
        <w:t>cost</w:t>
      </w:r>
      <w:proofErr w:type="spellEnd"/>
      <w:r>
        <w:rPr>
          <w:rFonts w:eastAsia="Palatino Linotype"/>
          <w:sz w:val="22"/>
          <w:szCs w:val="22"/>
          <w:lang w:val="es-ES"/>
        </w:rPr>
        <w:t xml:space="preserve"> </w:t>
      </w:r>
      <w:proofErr w:type="spellStart"/>
      <w:r>
        <w:rPr>
          <w:rFonts w:eastAsia="Palatino Linotype"/>
          <w:sz w:val="22"/>
          <w:szCs w:val="22"/>
          <w:lang w:val="es-ES"/>
        </w:rPr>
        <w:t>of</w:t>
      </w:r>
      <w:proofErr w:type="spellEnd"/>
      <w:r>
        <w:rPr>
          <w:rFonts w:eastAsia="Palatino Linotype"/>
          <w:sz w:val="22"/>
          <w:szCs w:val="22"/>
          <w:lang w:val="es-ES"/>
        </w:rPr>
        <w:t xml:space="preserve"> </w:t>
      </w:r>
      <w:proofErr w:type="spellStart"/>
      <w:r>
        <w:rPr>
          <w:rFonts w:eastAsia="Palatino Linotype"/>
          <w:sz w:val="22"/>
          <w:szCs w:val="22"/>
          <w:lang w:val="es-ES"/>
        </w:rPr>
        <w:t>the</w:t>
      </w:r>
      <w:proofErr w:type="spellEnd"/>
      <w:r>
        <w:rPr>
          <w:rFonts w:eastAsia="Palatino Linotype"/>
          <w:sz w:val="22"/>
          <w:szCs w:val="22"/>
          <w:lang w:val="es-ES"/>
        </w:rPr>
        <w:t xml:space="preserve"> tender </w:t>
      </w:r>
      <w:proofErr w:type="spellStart"/>
      <w:r>
        <w:rPr>
          <w:rFonts w:eastAsia="Palatino Linotype"/>
          <w:sz w:val="22"/>
          <w:szCs w:val="22"/>
          <w:lang w:val="es-ES"/>
        </w:rPr>
        <w:t>documents</w:t>
      </w:r>
      <w:proofErr w:type="spellEnd"/>
      <w:r>
        <w:rPr>
          <w:rFonts w:eastAsia="Palatino Linotype"/>
          <w:sz w:val="22"/>
          <w:szCs w:val="22"/>
          <w:lang w:val="es-ES"/>
        </w:rPr>
        <w:t xml:space="preserve"> and </w:t>
      </w:r>
      <w:proofErr w:type="spellStart"/>
      <w:r>
        <w:rPr>
          <w:rFonts w:eastAsia="Palatino Linotype"/>
          <w:sz w:val="22"/>
          <w:szCs w:val="22"/>
          <w:lang w:val="es-ES"/>
        </w:rPr>
        <w:t>any</w:t>
      </w:r>
      <w:proofErr w:type="spellEnd"/>
      <w:r>
        <w:rPr>
          <w:rFonts w:eastAsia="Palatino Linotype"/>
          <w:sz w:val="22"/>
          <w:szCs w:val="22"/>
          <w:lang w:val="es-ES"/>
        </w:rPr>
        <w:t xml:space="preserve"> </w:t>
      </w:r>
      <w:proofErr w:type="spellStart"/>
      <w:r>
        <w:rPr>
          <w:rFonts w:eastAsia="Palatino Linotype"/>
          <w:sz w:val="22"/>
          <w:szCs w:val="22"/>
          <w:lang w:val="es-ES"/>
        </w:rPr>
        <w:t>deposited</w:t>
      </w:r>
      <w:proofErr w:type="spellEnd"/>
      <w:r>
        <w:rPr>
          <w:rFonts w:eastAsia="Palatino Linotype"/>
          <w:sz w:val="22"/>
          <w:szCs w:val="22"/>
          <w:lang w:val="es-ES"/>
        </w:rPr>
        <w:t xml:space="preserve"> </w:t>
      </w:r>
      <w:proofErr w:type="spellStart"/>
      <w:r>
        <w:rPr>
          <w:rFonts w:eastAsia="Palatino Linotype"/>
          <w:sz w:val="22"/>
          <w:szCs w:val="22"/>
          <w:lang w:val="es-ES"/>
        </w:rPr>
        <w:t>guarantees</w:t>
      </w:r>
      <w:proofErr w:type="spellEnd"/>
      <w:r>
        <w:rPr>
          <w:rFonts w:eastAsia="Palatino Linotype"/>
          <w:sz w:val="22"/>
          <w:szCs w:val="22"/>
          <w:lang w:val="es-ES"/>
        </w:rPr>
        <w:t xml:space="preserve">, </w:t>
      </w:r>
      <w:proofErr w:type="spellStart"/>
      <w:r>
        <w:rPr>
          <w:rFonts w:eastAsia="Palatino Linotype"/>
          <w:sz w:val="22"/>
          <w:szCs w:val="22"/>
          <w:lang w:val="es-ES"/>
        </w:rPr>
        <w:t>if</w:t>
      </w:r>
      <w:proofErr w:type="spellEnd"/>
      <w:r>
        <w:rPr>
          <w:rFonts w:eastAsia="Palatino Linotype"/>
          <w:sz w:val="22"/>
          <w:szCs w:val="22"/>
          <w:lang w:val="es-ES"/>
        </w:rPr>
        <w:t xml:space="preserve"> </w:t>
      </w:r>
      <w:proofErr w:type="spellStart"/>
      <w:r>
        <w:rPr>
          <w:rFonts w:eastAsia="Palatino Linotype"/>
          <w:sz w:val="22"/>
          <w:szCs w:val="22"/>
          <w:lang w:val="es-ES"/>
        </w:rPr>
        <w:t>applicable</w:t>
      </w:r>
      <w:proofErr w:type="spellEnd"/>
      <w:r>
        <w:rPr>
          <w:rFonts w:eastAsia="Palatino Linotype"/>
          <w:sz w:val="22"/>
          <w:szCs w:val="22"/>
          <w:lang w:val="es-ES"/>
        </w:rPr>
        <w:t>.</w:t>
      </w:r>
    </w:p>
    <w:p w14:paraId="38989229" w14:textId="77777777" w:rsidR="00E255F4" w:rsidRDefault="00E255F4">
      <w:pPr>
        <w:widowControl w:val="0"/>
        <w:ind w:right="-142"/>
        <w:jc w:val="both"/>
        <w:rPr>
          <w:rFonts w:eastAsia="Palatino Linotype"/>
          <w:spacing w:val="-1"/>
          <w:sz w:val="22"/>
          <w:szCs w:val="22"/>
          <w:lang w:val="es-ES"/>
        </w:rPr>
      </w:pPr>
    </w:p>
    <w:p w14:paraId="502C0822" w14:textId="77777777" w:rsidR="00E255F4" w:rsidRDefault="00000000">
      <w:pPr>
        <w:tabs>
          <w:tab w:val="left" w:pos="284"/>
        </w:tabs>
        <w:ind w:right="-142"/>
        <w:jc w:val="both"/>
        <w:outlineLvl w:val="0"/>
        <w:rPr>
          <w:rFonts w:eastAsia="Palatino Linotype"/>
          <w:b/>
          <w:spacing w:val="-1"/>
          <w:sz w:val="22"/>
          <w:szCs w:val="22"/>
          <w:lang w:val="es-ES"/>
        </w:rPr>
      </w:pPr>
      <w:bookmarkStart w:id="15" w:name="__RefHeading___Toc225377192"/>
      <w:bookmarkEnd w:id="15"/>
      <w:r>
        <w:rPr>
          <w:rFonts w:eastAsia="Palatino Linotype"/>
          <w:b/>
          <w:spacing w:val="-1"/>
          <w:sz w:val="22"/>
          <w:szCs w:val="22"/>
          <w:lang w:val="es-ES"/>
        </w:rPr>
        <w:lastRenderedPageBreak/>
        <w:t xml:space="preserve">7. </w:t>
      </w:r>
      <w:proofErr w:type="spellStart"/>
      <w:r>
        <w:rPr>
          <w:rFonts w:eastAsia="Palatino Linotype"/>
          <w:b/>
          <w:spacing w:val="-1"/>
          <w:sz w:val="22"/>
          <w:szCs w:val="22"/>
          <w:lang w:val="es-ES"/>
        </w:rPr>
        <w:t>Standardization</w:t>
      </w:r>
      <w:proofErr w:type="spellEnd"/>
      <w:r>
        <w:rPr>
          <w:rFonts w:eastAsia="Palatino Linotype"/>
          <w:b/>
          <w:spacing w:val="-1"/>
          <w:sz w:val="22"/>
          <w:szCs w:val="22"/>
          <w:lang w:val="es-ES"/>
        </w:rPr>
        <w:t xml:space="preserve"> </w:t>
      </w:r>
      <w:proofErr w:type="spellStart"/>
      <w:r>
        <w:rPr>
          <w:rFonts w:eastAsia="Palatino Linotype"/>
          <w:b/>
          <w:spacing w:val="-1"/>
          <w:sz w:val="22"/>
          <w:szCs w:val="22"/>
          <w:lang w:val="es-ES"/>
        </w:rPr>
        <w:t>of</w:t>
      </w:r>
      <w:proofErr w:type="spellEnd"/>
      <w:r>
        <w:rPr>
          <w:rFonts w:eastAsia="Palatino Linotype"/>
          <w:b/>
          <w:spacing w:val="-1"/>
          <w:sz w:val="22"/>
          <w:szCs w:val="22"/>
          <w:lang w:val="es-ES"/>
        </w:rPr>
        <w:t xml:space="preserve"> </w:t>
      </w:r>
      <w:proofErr w:type="spellStart"/>
      <w:r>
        <w:rPr>
          <w:rFonts w:eastAsia="Palatino Linotype"/>
          <w:b/>
          <w:spacing w:val="-1"/>
          <w:sz w:val="22"/>
          <w:szCs w:val="22"/>
          <w:lang w:val="es-ES"/>
        </w:rPr>
        <w:t>articles</w:t>
      </w:r>
      <w:proofErr w:type="spellEnd"/>
      <w:r>
        <w:rPr>
          <w:rFonts w:eastAsia="Palatino Linotype"/>
          <w:b/>
          <w:spacing w:val="-1"/>
          <w:sz w:val="22"/>
          <w:szCs w:val="22"/>
          <w:lang w:val="es-ES"/>
        </w:rPr>
        <w:tab/>
      </w:r>
      <w:r>
        <w:rPr>
          <w:rFonts w:eastAsia="Palatino Linotype"/>
          <w:b/>
          <w:spacing w:val="-1"/>
          <w:sz w:val="22"/>
          <w:szCs w:val="22"/>
          <w:lang w:val="es-ES"/>
        </w:rPr>
        <w:tab/>
      </w:r>
    </w:p>
    <w:p w14:paraId="4440E701" w14:textId="77777777" w:rsidR="00E255F4" w:rsidRDefault="00E255F4">
      <w:pPr>
        <w:ind w:right="-142"/>
        <w:jc w:val="both"/>
        <w:rPr>
          <w:rFonts w:eastAsia="Palatino Linotype"/>
          <w:b/>
          <w:spacing w:val="-1"/>
          <w:sz w:val="22"/>
          <w:szCs w:val="22"/>
          <w:lang w:val="es-ES"/>
        </w:rPr>
      </w:pPr>
    </w:p>
    <w:p w14:paraId="08EAE55D" w14:textId="77777777" w:rsidR="00E255F4" w:rsidRDefault="00000000">
      <w:pPr>
        <w:ind w:right="-142"/>
        <w:jc w:val="both"/>
        <w:rPr>
          <w:rFonts w:eastAsia="Palatino Linotype"/>
          <w:sz w:val="22"/>
          <w:szCs w:val="22"/>
          <w:lang w:val="es-ES"/>
        </w:rPr>
      </w:pPr>
      <w:proofErr w:type="spellStart"/>
      <w:r>
        <w:rPr>
          <w:rFonts w:eastAsia="Palatino Linotype"/>
          <w:spacing w:val="-1"/>
          <w:sz w:val="22"/>
          <w:szCs w:val="22"/>
          <w:lang w:val="es-ES"/>
        </w:rPr>
        <w:t>When</w:t>
      </w:r>
      <w:r>
        <w:rPr>
          <w:rFonts w:eastAsia="Palatino Linotype"/>
          <w:sz w:val="22"/>
          <w:szCs w:val="22"/>
          <w:lang w:val="es-ES"/>
        </w:rPr>
        <w:t>or</w:t>
      </w:r>
      <w:proofErr w:type="spellEnd"/>
      <w:r>
        <w:rPr>
          <w:rFonts w:eastAsia="Palatino Linotype"/>
          <w:sz w:val="22"/>
          <w:szCs w:val="22"/>
          <w:lang w:val="es-ES"/>
        </w:rPr>
        <w:t xml:space="preserve"> </w:t>
      </w:r>
      <w:proofErr w:type="spellStart"/>
      <w:r>
        <w:rPr>
          <w:rFonts w:eastAsia="Palatino Linotype"/>
          <w:sz w:val="22"/>
          <w:szCs w:val="22"/>
          <w:lang w:val="es-ES"/>
        </w:rPr>
        <w:t>if</w:t>
      </w:r>
      <w:proofErr w:type="spellEnd"/>
      <w:r>
        <w:rPr>
          <w:rFonts w:eastAsia="Palatino Linotype"/>
          <w:sz w:val="22"/>
          <w:szCs w:val="22"/>
          <w:lang w:val="es-ES"/>
        </w:rPr>
        <w:t xml:space="preserve"> a </w:t>
      </w:r>
      <w:proofErr w:type="spellStart"/>
      <w:r>
        <w:rPr>
          <w:rFonts w:eastAsia="Palatino Linotype"/>
          <w:sz w:val="22"/>
          <w:szCs w:val="22"/>
          <w:lang w:val="es-ES"/>
        </w:rPr>
        <w:t>good</w:t>
      </w:r>
      <w:proofErr w:type="spellEnd"/>
      <w:r>
        <w:rPr>
          <w:rFonts w:eastAsia="Palatino Linotype"/>
          <w:sz w:val="22"/>
          <w:szCs w:val="22"/>
          <w:lang w:val="es-ES"/>
        </w:rPr>
        <w:t xml:space="preserve"> </w:t>
      </w:r>
      <w:proofErr w:type="spellStart"/>
      <w:r>
        <w:rPr>
          <w:rFonts w:eastAsia="Palatino Linotype"/>
          <w:sz w:val="22"/>
          <w:szCs w:val="22"/>
          <w:lang w:val="es-ES"/>
        </w:rPr>
        <w:t>or</w:t>
      </w:r>
      <w:proofErr w:type="spellEnd"/>
      <w:r>
        <w:rPr>
          <w:rFonts w:eastAsia="Palatino Linotype"/>
          <w:sz w:val="22"/>
          <w:szCs w:val="22"/>
          <w:lang w:val="es-ES"/>
        </w:rPr>
        <w:t xml:space="preserve"> </w:t>
      </w:r>
      <w:proofErr w:type="spellStart"/>
      <w:r>
        <w:rPr>
          <w:rFonts w:eastAsia="Palatino Linotype"/>
          <w:sz w:val="22"/>
          <w:szCs w:val="22"/>
          <w:lang w:val="es-ES"/>
        </w:rPr>
        <w:t>service</w:t>
      </w:r>
      <w:proofErr w:type="spellEnd"/>
      <w:r>
        <w:rPr>
          <w:rFonts w:eastAsia="Palatino Linotype"/>
          <w:sz w:val="22"/>
          <w:szCs w:val="22"/>
          <w:lang w:val="es-ES"/>
        </w:rPr>
        <w:t xml:space="preserve"> </w:t>
      </w:r>
      <w:proofErr w:type="spellStart"/>
      <w:r>
        <w:rPr>
          <w:rFonts w:eastAsia="Palatino Linotype"/>
          <w:sz w:val="22"/>
          <w:szCs w:val="22"/>
          <w:lang w:val="es-ES"/>
        </w:rPr>
        <w:t>is</w:t>
      </w:r>
      <w:proofErr w:type="spellEnd"/>
      <w:r>
        <w:rPr>
          <w:rFonts w:eastAsia="Palatino Linotype"/>
          <w:sz w:val="22"/>
          <w:szCs w:val="22"/>
          <w:lang w:val="es-ES"/>
        </w:rPr>
        <w:t xml:space="preserve"> </w:t>
      </w:r>
      <w:proofErr w:type="spellStart"/>
      <w:r>
        <w:rPr>
          <w:rFonts w:eastAsia="Palatino Linotype"/>
          <w:sz w:val="22"/>
          <w:szCs w:val="22"/>
          <w:lang w:val="es-ES"/>
        </w:rPr>
        <w:t>standardized</w:t>
      </w:r>
      <w:proofErr w:type="spellEnd"/>
      <w:r>
        <w:rPr>
          <w:rFonts w:eastAsia="Palatino Linotype"/>
          <w:sz w:val="22"/>
          <w:szCs w:val="22"/>
          <w:lang w:val="es-ES"/>
        </w:rPr>
        <w:t xml:space="preserve">, </w:t>
      </w:r>
      <w:proofErr w:type="spellStart"/>
      <w:r>
        <w:rPr>
          <w:rFonts w:eastAsia="Palatino Linotype"/>
          <w:sz w:val="22"/>
          <w:szCs w:val="22"/>
          <w:lang w:val="es-ES"/>
        </w:rPr>
        <w:t>the</w:t>
      </w:r>
      <w:proofErr w:type="spellEnd"/>
      <w:r>
        <w:rPr>
          <w:rFonts w:eastAsia="Palatino Linotype"/>
          <w:sz w:val="22"/>
          <w:szCs w:val="22"/>
          <w:lang w:val="es-ES"/>
        </w:rPr>
        <w:t xml:space="preserve"> </w:t>
      </w:r>
      <w:proofErr w:type="spellStart"/>
      <w:r>
        <w:rPr>
          <w:rFonts w:eastAsia="Palatino Linotype"/>
          <w:sz w:val="22"/>
          <w:szCs w:val="22"/>
          <w:lang w:val="es-ES"/>
        </w:rPr>
        <w:t>reference</w:t>
      </w:r>
      <w:proofErr w:type="spellEnd"/>
      <w:r>
        <w:rPr>
          <w:rFonts w:eastAsia="Palatino Linotype"/>
          <w:sz w:val="22"/>
          <w:szCs w:val="22"/>
          <w:lang w:val="es-ES"/>
        </w:rPr>
        <w:t xml:space="preserve"> </w:t>
      </w:r>
      <w:proofErr w:type="spellStart"/>
      <w:r>
        <w:rPr>
          <w:rFonts w:eastAsia="Palatino Linotype"/>
          <w:sz w:val="22"/>
          <w:szCs w:val="22"/>
          <w:lang w:val="es-ES"/>
        </w:rPr>
        <w:t>to</w:t>
      </w:r>
      <w:proofErr w:type="spellEnd"/>
      <w:r>
        <w:rPr>
          <w:rFonts w:eastAsia="Palatino Linotype"/>
          <w:sz w:val="22"/>
          <w:szCs w:val="22"/>
          <w:lang w:val="es-ES"/>
        </w:rPr>
        <w:t xml:space="preserve"> </w:t>
      </w:r>
      <w:proofErr w:type="spellStart"/>
      <w:r>
        <w:rPr>
          <w:rFonts w:eastAsia="Palatino Linotype"/>
          <w:sz w:val="22"/>
          <w:szCs w:val="22"/>
          <w:lang w:val="es-ES"/>
        </w:rPr>
        <w:t>the</w:t>
      </w:r>
      <w:proofErr w:type="spellEnd"/>
      <w:r>
        <w:rPr>
          <w:rFonts w:eastAsia="Palatino Linotype"/>
          <w:sz w:val="22"/>
          <w:szCs w:val="22"/>
          <w:lang w:val="es-ES"/>
        </w:rPr>
        <w:t xml:space="preserve"> </w:t>
      </w:r>
      <w:proofErr w:type="spellStart"/>
      <w:r>
        <w:rPr>
          <w:rFonts w:eastAsia="Palatino Linotype"/>
          <w:sz w:val="22"/>
          <w:szCs w:val="22"/>
          <w:lang w:val="es-ES"/>
        </w:rPr>
        <w:t>applicable</w:t>
      </w:r>
      <w:proofErr w:type="spellEnd"/>
      <w:r>
        <w:rPr>
          <w:rFonts w:eastAsia="Palatino Linotype"/>
          <w:sz w:val="22"/>
          <w:szCs w:val="22"/>
          <w:lang w:val="es-ES"/>
        </w:rPr>
        <w:t xml:space="preserve"> </w:t>
      </w:r>
      <w:proofErr w:type="spellStart"/>
      <w:r>
        <w:rPr>
          <w:rFonts w:eastAsia="Palatino Linotype"/>
          <w:sz w:val="22"/>
          <w:szCs w:val="22"/>
          <w:lang w:val="es-ES"/>
        </w:rPr>
        <w:t>standardized</w:t>
      </w:r>
      <w:proofErr w:type="spellEnd"/>
      <w:r>
        <w:rPr>
          <w:rFonts w:eastAsia="Palatino Linotype"/>
          <w:sz w:val="22"/>
          <w:szCs w:val="22"/>
          <w:lang w:val="es-ES"/>
        </w:rPr>
        <w:t xml:space="preserve"> </w:t>
      </w:r>
      <w:proofErr w:type="spellStart"/>
      <w:r>
        <w:rPr>
          <w:rFonts w:eastAsia="Palatino Linotype"/>
          <w:sz w:val="22"/>
          <w:szCs w:val="22"/>
          <w:lang w:val="es-ES"/>
        </w:rPr>
        <w:t>quality</w:t>
      </w:r>
      <w:proofErr w:type="spellEnd"/>
      <w:r>
        <w:rPr>
          <w:rFonts w:eastAsia="Palatino Linotype"/>
          <w:sz w:val="22"/>
          <w:szCs w:val="22"/>
          <w:lang w:val="es-ES"/>
        </w:rPr>
        <w:t xml:space="preserve"> </w:t>
      </w:r>
      <w:proofErr w:type="spellStart"/>
      <w:r>
        <w:rPr>
          <w:rFonts w:eastAsia="Palatino Linotype"/>
          <w:sz w:val="22"/>
          <w:szCs w:val="22"/>
          <w:lang w:val="es-ES"/>
        </w:rPr>
        <w:t>standards</w:t>
      </w:r>
      <w:proofErr w:type="spellEnd"/>
      <w:r>
        <w:rPr>
          <w:rFonts w:eastAsia="Palatino Linotype"/>
          <w:sz w:val="22"/>
          <w:szCs w:val="22"/>
          <w:lang w:val="es-ES"/>
        </w:rPr>
        <w:t xml:space="preserve">, </w:t>
      </w:r>
      <w:proofErr w:type="spellStart"/>
      <w:r>
        <w:rPr>
          <w:rFonts w:eastAsia="Palatino Linotype"/>
          <w:sz w:val="22"/>
          <w:szCs w:val="22"/>
          <w:lang w:val="es-ES"/>
        </w:rPr>
        <w:t>included</w:t>
      </w:r>
      <w:proofErr w:type="spellEnd"/>
      <w:r>
        <w:rPr>
          <w:rFonts w:eastAsia="Palatino Linotype"/>
          <w:sz w:val="22"/>
          <w:szCs w:val="22"/>
          <w:lang w:val="es-ES"/>
        </w:rPr>
        <w:t xml:space="preserve"> in </w:t>
      </w:r>
      <w:proofErr w:type="spellStart"/>
      <w:r>
        <w:rPr>
          <w:rFonts w:eastAsia="Palatino Linotype"/>
          <w:sz w:val="22"/>
          <w:szCs w:val="22"/>
          <w:lang w:val="es-ES"/>
        </w:rPr>
        <w:t>the</w:t>
      </w:r>
      <w:proofErr w:type="spellEnd"/>
      <w:r>
        <w:rPr>
          <w:rFonts w:eastAsia="Palatino Linotype"/>
          <w:sz w:val="22"/>
          <w:szCs w:val="22"/>
          <w:lang w:val="es-ES"/>
        </w:rPr>
        <w:t xml:space="preserve"> Special </w:t>
      </w:r>
      <w:proofErr w:type="spellStart"/>
      <w:r>
        <w:rPr>
          <w:rFonts w:eastAsia="Palatino Linotype"/>
          <w:sz w:val="22"/>
          <w:szCs w:val="22"/>
          <w:lang w:val="es-ES"/>
        </w:rPr>
        <w:t>Specifications</w:t>
      </w:r>
      <w:proofErr w:type="spellEnd"/>
      <w:r>
        <w:rPr>
          <w:rFonts w:eastAsia="Palatino Linotype"/>
          <w:sz w:val="22"/>
          <w:szCs w:val="22"/>
          <w:lang w:val="es-ES"/>
        </w:rPr>
        <w:t xml:space="preserve">, </w:t>
      </w:r>
      <w:proofErr w:type="spellStart"/>
      <w:r>
        <w:rPr>
          <w:rFonts w:eastAsia="Palatino Linotype"/>
          <w:sz w:val="22"/>
          <w:szCs w:val="22"/>
          <w:lang w:val="es-ES"/>
        </w:rPr>
        <w:t>will</w:t>
      </w:r>
      <w:proofErr w:type="spellEnd"/>
      <w:r>
        <w:rPr>
          <w:rFonts w:eastAsia="Palatino Linotype"/>
          <w:sz w:val="22"/>
          <w:szCs w:val="22"/>
          <w:lang w:val="es-ES"/>
        </w:rPr>
        <w:t xml:space="preserve"> </w:t>
      </w:r>
      <w:proofErr w:type="spellStart"/>
      <w:r>
        <w:rPr>
          <w:rFonts w:eastAsia="Palatino Linotype"/>
          <w:sz w:val="22"/>
          <w:szCs w:val="22"/>
          <w:lang w:val="es-ES"/>
        </w:rPr>
        <w:t>make</w:t>
      </w:r>
      <w:proofErr w:type="spellEnd"/>
      <w:r>
        <w:rPr>
          <w:rFonts w:eastAsia="Palatino Linotype"/>
          <w:sz w:val="22"/>
          <w:szCs w:val="22"/>
          <w:lang w:val="es-ES"/>
        </w:rPr>
        <w:t xml:space="preserve"> </w:t>
      </w:r>
      <w:proofErr w:type="spellStart"/>
      <w:r>
        <w:rPr>
          <w:rFonts w:eastAsia="Palatino Linotype"/>
          <w:sz w:val="22"/>
          <w:szCs w:val="22"/>
          <w:lang w:val="es-ES"/>
        </w:rPr>
        <w:t>compliance</w:t>
      </w:r>
      <w:proofErr w:type="spellEnd"/>
      <w:r>
        <w:rPr>
          <w:rFonts w:eastAsia="Palatino Linotype"/>
          <w:sz w:val="22"/>
          <w:szCs w:val="22"/>
          <w:lang w:val="es-ES"/>
        </w:rPr>
        <w:t xml:space="preserve"> </w:t>
      </w:r>
      <w:proofErr w:type="spellStart"/>
      <w:r>
        <w:rPr>
          <w:rFonts w:eastAsia="Palatino Linotype"/>
          <w:sz w:val="22"/>
          <w:szCs w:val="22"/>
          <w:lang w:val="es-ES"/>
        </w:rPr>
        <w:t>with</w:t>
      </w:r>
      <w:proofErr w:type="spellEnd"/>
      <w:r>
        <w:rPr>
          <w:rFonts w:eastAsia="Palatino Linotype"/>
          <w:sz w:val="22"/>
          <w:szCs w:val="22"/>
          <w:lang w:val="es-ES"/>
        </w:rPr>
        <w:t xml:space="preserve"> </w:t>
      </w:r>
      <w:proofErr w:type="spellStart"/>
      <w:r>
        <w:rPr>
          <w:rFonts w:eastAsia="Palatino Linotype"/>
          <w:sz w:val="22"/>
          <w:szCs w:val="22"/>
          <w:lang w:val="es-ES"/>
        </w:rPr>
        <w:t>them</w:t>
      </w:r>
      <w:proofErr w:type="spellEnd"/>
      <w:r>
        <w:rPr>
          <w:rFonts w:eastAsia="Palatino Linotype"/>
          <w:sz w:val="22"/>
          <w:szCs w:val="22"/>
          <w:lang w:val="es-ES"/>
        </w:rPr>
        <w:t xml:space="preserve"> </w:t>
      </w:r>
      <w:proofErr w:type="spellStart"/>
      <w:r>
        <w:rPr>
          <w:rFonts w:eastAsia="Palatino Linotype"/>
          <w:sz w:val="22"/>
          <w:szCs w:val="22"/>
          <w:lang w:val="es-ES"/>
        </w:rPr>
        <w:t>mandatory</w:t>
      </w:r>
      <w:proofErr w:type="spellEnd"/>
      <w:r>
        <w:rPr>
          <w:rFonts w:eastAsia="Palatino Linotype"/>
          <w:sz w:val="22"/>
          <w:szCs w:val="22"/>
          <w:lang w:val="es-ES"/>
        </w:rPr>
        <w:t xml:space="preserve"> </w:t>
      </w:r>
      <w:proofErr w:type="spellStart"/>
      <w:r>
        <w:rPr>
          <w:rFonts w:eastAsia="Palatino Linotype"/>
          <w:sz w:val="22"/>
          <w:szCs w:val="22"/>
          <w:lang w:val="es-ES"/>
        </w:rPr>
        <w:t>for</w:t>
      </w:r>
      <w:proofErr w:type="spellEnd"/>
      <w:r>
        <w:rPr>
          <w:rFonts w:eastAsia="Palatino Linotype"/>
          <w:sz w:val="22"/>
          <w:szCs w:val="22"/>
          <w:lang w:val="es-ES"/>
        </w:rPr>
        <w:t xml:space="preserve"> </w:t>
      </w:r>
      <w:proofErr w:type="spellStart"/>
      <w:r>
        <w:rPr>
          <w:rFonts w:eastAsia="Palatino Linotype"/>
          <w:sz w:val="22"/>
          <w:szCs w:val="22"/>
          <w:lang w:val="es-ES"/>
        </w:rPr>
        <w:t>the</w:t>
      </w:r>
      <w:proofErr w:type="spellEnd"/>
      <w:r>
        <w:rPr>
          <w:rFonts w:eastAsia="Palatino Linotype"/>
          <w:sz w:val="22"/>
          <w:szCs w:val="22"/>
          <w:lang w:val="es-ES"/>
        </w:rPr>
        <w:t xml:space="preserve"> </w:t>
      </w:r>
      <w:proofErr w:type="spellStart"/>
      <w:r>
        <w:rPr>
          <w:rFonts w:eastAsia="Palatino Linotype"/>
          <w:sz w:val="22"/>
          <w:szCs w:val="22"/>
          <w:lang w:val="es-ES"/>
        </w:rPr>
        <w:t>bidders</w:t>
      </w:r>
      <w:proofErr w:type="spellEnd"/>
      <w:r>
        <w:rPr>
          <w:rFonts w:eastAsia="Palatino Linotype"/>
          <w:sz w:val="22"/>
          <w:szCs w:val="22"/>
          <w:lang w:val="es-ES"/>
        </w:rPr>
        <w:t xml:space="preserve"> and </w:t>
      </w:r>
      <w:proofErr w:type="spellStart"/>
      <w:r>
        <w:rPr>
          <w:rFonts w:eastAsia="Palatino Linotype"/>
          <w:sz w:val="22"/>
          <w:szCs w:val="22"/>
          <w:lang w:val="es-ES"/>
        </w:rPr>
        <w:t>their</w:t>
      </w:r>
      <w:proofErr w:type="spellEnd"/>
      <w:r>
        <w:rPr>
          <w:rFonts w:eastAsia="Palatino Linotype"/>
          <w:sz w:val="22"/>
          <w:szCs w:val="22"/>
          <w:lang w:val="es-ES"/>
        </w:rPr>
        <w:t xml:space="preserve"> </w:t>
      </w:r>
      <w:proofErr w:type="spellStart"/>
      <w:r>
        <w:rPr>
          <w:rFonts w:eastAsia="Palatino Linotype"/>
          <w:sz w:val="22"/>
          <w:szCs w:val="22"/>
          <w:lang w:val="es-ES"/>
        </w:rPr>
        <w:t>quality</w:t>
      </w:r>
      <w:proofErr w:type="spellEnd"/>
      <w:r>
        <w:rPr>
          <w:rFonts w:eastAsia="Palatino Linotype"/>
          <w:sz w:val="22"/>
          <w:szCs w:val="22"/>
          <w:lang w:val="es-ES"/>
        </w:rPr>
        <w:t xml:space="preserve"> control </w:t>
      </w:r>
      <w:proofErr w:type="spellStart"/>
      <w:r>
        <w:rPr>
          <w:rFonts w:eastAsia="Palatino Linotype"/>
          <w:sz w:val="22"/>
          <w:szCs w:val="22"/>
          <w:lang w:val="es-ES"/>
        </w:rPr>
        <w:t>will</w:t>
      </w:r>
      <w:proofErr w:type="spellEnd"/>
      <w:r>
        <w:rPr>
          <w:rFonts w:eastAsia="Palatino Linotype"/>
          <w:sz w:val="22"/>
          <w:szCs w:val="22"/>
          <w:lang w:val="es-ES"/>
        </w:rPr>
        <w:t xml:space="preserve"> be </w:t>
      </w:r>
      <w:proofErr w:type="spellStart"/>
      <w:r>
        <w:rPr>
          <w:rFonts w:eastAsia="Palatino Linotype"/>
          <w:sz w:val="22"/>
          <w:szCs w:val="22"/>
          <w:lang w:val="es-ES"/>
        </w:rPr>
        <w:t>carried</w:t>
      </w:r>
      <w:proofErr w:type="spellEnd"/>
      <w:r>
        <w:rPr>
          <w:rFonts w:eastAsia="Palatino Linotype"/>
          <w:sz w:val="22"/>
          <w:szCs w:val="22"/>
          <w:lang w:val="es-ES"/>
        </w:rPr>
        <w:t xml:space="preserve"> </w:t>
      </w:r>
      <w:proofErr w:type="spellStart"/>
      <w:r>
        <w:rPr>
          <w:rFonts w:eastAsia="Palatino Linotype"/>
          <w:sz w:val="22"/>
          <w:szCs w:val="22"/>
          <w:lang w:val="es-ES"/>
        </w:rPr>
        <w:t>out</w:t>
      </w:r>
      <w:proofErr w:type="spellEnd"/>
      <w:r>
        <w:rPr>
          <w:rFonts w:eastAsia="Palatino Linotype"/>
          <w:sz w:val="22"/>
          <w:szCs w:val="22"/>
          <w:lang w:val="es-ES"/>
        </w:rPr>
        <w:t xml:space="preserve"> in </w:t>
      </w:r>
      <w:proofErr w:type="spellStart"/>
      <w:r>
        <w:rPr>
          <w:rFonts w:eastAsia="Palatino Linotype"/>
          <w:sz w:val="22"/>
          <w:szCs w:val="22"/>
          <w:lang w:val="es-ES"/>
        </w:rPr>
        <w:t>the</w:t>
      </w:r>
      <w:proofErr w:type="spellEnd"/>
      <w:r>
        <w:rPr>
          <w:rFonts w:eastAsia="Palatino Linotype"/>
          <w:sz w:val="22"/>
          <w:szCs w:val="22"/>
          <w:lang w:val="es-ES"/>
        </w:rPr>
        <w:t xml:space="preserve"> </w:t>
      </w:r>
      <w:proofErr w:type="spellStart"/>
      <w:r>
        <w:rPr>
          <w:rFonts w:eastAsia="Palatino Linotype"/>
          <w:sz w:val="22"/>
          <w:szCs w:val="22"/>
          <w:lang w:val="es-ES"/>
        </w:rPr>
        <w:t>manner</w:t>
      </w:r>
      <w:proofErr w:type="spellEnd"/>
      <w:r>
        <w:rPr>
          <w:rFonts w:eastAsia="Palatino Linotype"/>
          <w:sz w:val="22"/>
          <w:szCs w:val="22"/>
          <w:lang w:val="es-ES"/>
        </w:rPr>
        <w:t xml:space="preserve"> </w:t>
      </w:r>
      <w:proofErr w:type="spellStart"/>
      <w:r>
        <w:rPr>
          <w:rFonts w:eastAsia="Palatino Linotype"/>
          <w:sz w:val="22"/>
          <w:szCs w:val="22"/>
          <w:lang w:val="es-ES"/>
        </w:rPr>
        <w:t>provided</w:t>
      </w:r>
      <w:proofErr w:type="spellEnd"/>
      <w:r>
        <w:rPr>
          <w:rFonts w:eastAsia="Palatino Linotype"/>
          <w:sz w:val="22"/>
          <w:szCs w:val="22"/>
          <w:lang w:val="es-ES"/>
        </w:rPr>
        <w:t xml:space="preserve"> </w:t>
      </w:r>
      <w:proofErr w:type="spellStart"/>
      <w:r>
        <w:rPr>
          <w:rFonts w:eastAsia="Palatino Linotype"/>
          <w:sz w:val="22"/>
          <w:szCs w:val="22"/>
          <w:lang w:val="es-ES"/>
        </w:rPr>
        <w:t>therein</w:t>
      </w:r>
      <w:proofErr w:type="spellEnd"/>
      <w:r>
        <w:rPr>
          <w:rFonts w:eastAsia="Palatino Linotype"/>
          <w:sz w:val="22"/>
          <w:szCs w:val="22"/>
          <w:lang w:val="es-ES"/>
        </w:rPr>
        <w:t xml:space="preserve"> and in </w:t>
      </w:r>
      <w:proofErr w:type="spellStart"/>
      <w:r>
        <w:rPr>
          <w:rFonts w:eastAsia="Palatino Linotype"/>
          <w:sz w:val="22"/>
          <w:szCs w:val="22"/>
          <w:lang w:val="es-ES"/>
        </w:rPr>
        <w:t>said</w:t>
      </w:r>
      <w:proofErr w:type="spellEnd"/>
      <w:r>
        <w:rPr>
          <w:rFonts w:eastAsia="Palatino Linotype"/>
          <w:sz w:val="22"/>
          <w:szCs w:val="22"/>
          <w:lang w:val="es-ES"/>
        </w:rPr>
        <w:t xml:space="preserve"> </w:t>
      </w:r>
      <w:proofErr w:type="spellStart"/>
      <w:r>
        <w:rPr>
          <w:rFonts w:eastAsia="Palatino Linotype"/>
          <w:sz w:val="22"/>
          <w:szCs w:val="22"/>
          <w:lang w:val="es-ES"/>
        </w:rPr>
        <w:t>Specifications</w:t>
      </w:r>
      <w:proofErr w:type="spellEnd"/>
      <w:r>
        <w:rPr>
          <w:rFonts w:eastAsia="Palatino Linotype"/>
          <w:sz w:val="22"/>
          <w:szCs w:val="22"/>
          <w:lang w:val="es-ES"/>
        </w:rPr>
        <w:t>.</w:t>
      </w:r>
    </w:p>
    <w:p w14:paraId="366DC5A7" w14:textId="77777777" w:rsidR="00E255F4" w:rsidRDefault="00E255F4">
      <w:pPr>
        <w:rPr>
          <w:rFonts w:eastAsia="Palatino Linotype"/>
          <w:sz w:val="22"/>
          <w:szCs w:val="22"/>
          <w:lang w:val="es-ES"/>
        </w:rPr>
      </w:pPr>
    </w:p>
    <w:p w14:paraId="2C44593B" w14:textId="77777777" w:rsidR="00E255F4" w:rsidRDefault="00000000">
      <w:pPr>
        <w:tabs>
          <w:tab w:val="left" w:pos="284"/>
        </w:tabs>
        <w:ind w:right="-142"/>
        <w:jc w:val="both"/>
        <w:outlineLvl w:val="0"/>
        <w:rPr>
          <w:rFonts w:eastAsia="Palatino Linotype"/>
          <w:b/>
          <w:spacing w:val="-1"/>
          <w:sz w:val="22"/>
          <w:szCs w:val="22"/>
          <w:lang w:val="es-ES"/>
        </w:rPr>
      </w:pPr>
      <w:bookmarkStart w:id="16" w:name="__RefHeading___Toc225377193"/>
      <w:bookmarkEnd w:id="16"/>
      <w:r>
        <w:rPr>
          <w:rFonts w:eastAsia="Palatino Linotype"/>
          <w:b/>
          <w:spacing w:val="-1"/>
          <w:sz w:val="22"/>
          <w:szCs w:val="22"/>
          <w:lang w:val="es-ES"/>
        </w:rPr>
        <w:t xml:space="preserve">8 </w:t>
      </w:r>
      <w:proofErr w:type="gramStart"/>
      <w:r>
        <w:rPr>
          <w:rFonts w:eastAsia="Palatino Linotype"/>
          <w:b/>
          <w:spacing w:val="-1"/>
          <w:sz w:val="22"/>
          <w:szCs w:val="22"/>
          <w:lang w:val="es-ES"/>
        </w:rPr>
        <w:t>Formal</w:t>
      </w:r>
      <w:proofErr w:type="gramEnd"/>
      <w:r>
        <w:rPr>
          <w:rFonts w:eastAsia="Palatino Linotype"/>
          <w:b/>
          <w:spacing w:val="-1"/>
          <w:sz w:val="22"/>
          <w:szCs w:val="22"/>
          <w:lang w:val="es-ES"/>
        </w:rPr>
        <w:t xml:space="preserve"> </w:t>
      </w:r>
      <w:proofErr w:type="spellStart"/>
      <w:r>
        <w:rPr>
          <w:rFonts w:eastAsia="Palatino Linotype"/>
          <w:b/>
          <w:spacing w:val="-1"/>
          <w:sz w:val="22"/>
          <w:szCs w:val="22"/>
          <w:lang w:val="es-ES"/>
        </w:rPr>
        <w:t>Requirements</w:t>
      </w:r>
      <w:proofErr w:type="spellEnd"/>
      <w:r>
        <w:rPr>
          <w:rFonts w:eastAsia="Palatino Linotype"/>
          <w:b/>
          <w:spacing w:val="-1"/>
          <w:sz w:val="22"/>
          <w:szCs w:val="22"/>
          <w:lang w:val="es-ES"/>
        </w:rPr>
        <w:t xml:space="preserve"> </w:t>
      </w:r>
      <w:proofErr w:type="spellStart"/>
      <w:r>
        <w:rPr>
          <w:rFonts w:eastAsia="Palatino Linotype"/>
          <w:b/>
          <w:spacing w:val="-1"/>
          <w:sz w:val="22"/>
          <w:szCs w:val="22"/>
          <w:lang w:val="es-ES"/>
        </w:rPr>
        <w:t>for</w:t>
      </w:r>
      <w:proofErr w:type="spellEnd"/>
      <w:r>
        <w:rPr>
          <w:rFonts w:eastAsia="Palatino Linotype"/>
          <w:b/>
          <w:spacing w:val="-1"/>
          <w:sz w:val="22"/>
          <w:szCs w:val="22"/>
          <w:lang w:val="es-ES"/>
        </w:rPr>
        <w:t xml:space="preserve"> </w:t>
      </w:r>
      <w:proofErr w:type="spellStart"/>
      <w:r>
        <w:rPr>
          <w:rFonts w:eastAsia="Palatino Linotype"/>
          <w:b/>
          <w:spacing w:val="-1"/>
          <w:sz w:val="22"/>
          <w:szCs w:val="22"/>
          <w:lang w:val="es-ES"/>
        </w:rPr>
        <w:t>Bids</w:t>
      </w:r>
      <w:proofErr w:type="spellEnd"/>
      <w:r>
        <w:rPr>
          <w:rFonts w:eastAsia="Palatino Linotype"/>
          <w:b/>
          <w:spacing w:val="-1"/>
          <w:sz w:val="22"/>
          <w:szCs w:val="22"/>
          <w:lang w:val="es-ES"/>
        </w:rPr>
        <w:tab/>
      </w:r>
      <w:r>
        <w:rPr>
          <w:rFonts w:eastAsia="Palatino Linotype"/>
          <w:b/>
          <w:spacing w:val="-1"/>
          <w:sz w:val="22"/>
          <w:szCs w:val="22"/>
          <w:lang w:val="es-ES"/>
        </w:rPr>
        <w:tab/>
      </w:r>
    </w:p>
    <w:p w14:paraId="552003CD" w14:textId="77777777" w:rsidR="00E255F4" w:rsidRDefault="00000000">
      <w:pPr>
        <w:ind w:right="-142"/>
        <w:jc w:val="both"/>
        <w:outlineLvl w:val="0"/>
        <w:rPr>
          <w:rFonts w:eastAsia="Palatino Linotype"/>
          <w:b/>
          <w:spacing w:val="-1"/>
          <w:sz w:val="22"/>
          <w:szCs w:val="22"/>
          <w:lang w:val="es-ES"/>
        </w:rPr>
      </w:pPr>
      <w:bookmarkStart w:id="17" w:name="__RefHeading___Toc225377194"/>
      <w:bookmarkEnd w:id="17"/>
      <w:r>
        <w:rPr>
          <w:rFonts w:eastAsia="Palatino Linotype"/>
          <w:b/>
          <w:spacing w:val="-1"/>
          <w:sz w:val="22"/>
          <w:szCs w:val="22"/>
          <w:lang w:val="es-ES"/>
        </w:rPr>
        <w:t xml:space="preserve">8.1 </w:t>
      </w:r>
      <w:proofErr w:type="spellStart"/>
      <w:r>
        <w:rPr>
          <w:rFonts w:eastAsia="Palatino Linotype"/>
          <w:b/>
          <w:spacing w:val="-1"/>
          <w:sz w:val="22"/>
          <w:szCs w:val="22"/>
          <w:lang w:val="es-ES"/>
        </w:rPr>
        <w:t>Writing</w:t>
      </w:r>
      <w:proofErr w:type="spellEnd"/>
      <w:r>
        <w:rPr>
          <w:rFonts w:eastAsia="Palatino Linotype"/>
          <w:b/>
          <w:spacing w:val="-1"/>
          <w:sz w:val="22"/>
          <w:szCs w:val="22"/>
          <w:lang w:val="es-ES"/>
        </w:rPr>
        <w:tab/>
      </w:r>
    </w:p>
    <w:p w14:paraId="483EA15E" w14:textId="77777777" w:rsidR="00E255F4" w:rsidRDefault="00E255F4">
      <w:pPr>
        <w:rPr>
          <w:rFonts w:eastAsia="Palatino Linotype"/>
          <w:b/>
          <w:spacing w:val="-1"/>
          <w:sz w:val="22"/>
          <w:szCs w:val="22"/>
          <w:lang w:val="es-ES"/>
        </w:rPr>
      </w:pPr>
    </w:p>
    <w:p w14:paraId="25C18172" w14:textId="77777777" w:rsidR="00E255F4" w:rsidRDefault="00000000">
      <w:pPr>
        <w:ind w:right="-142"/>
        <w:jc w:val="both"/>
      </w:pPr>
      <w:proofErr w:type="spellStart"/>
      <w:r>
        <w:rPr>
          <w:rFonts w:eastAsia="Palatino Linotype"/>
          <w:sz w:val="22"/>
          <w:szCs w:val="22"/>
          <w:lang w:val="es-ES"/>
        </w:rPr>
        <w:t>Offers</w:t>
      </w:r>
      <w:proofErr w:type="spellEnd"/>
      <w:r>
        <w:rPr>
          <w:rFonts w:eastAsia="Palatino Linotype"/>
          <w:sz w:val="22"/>
          <w:szCs w:val="22"/>
          <w:lang w:val="es-ES"/>
        </w:rPr>
        <w:t xml:space="preserve"> </w:t>
      </w:r>
      <w:proofErr w:type="spellStart"/>
      <w:r>
        <w:rPr>
          <w:rFonts w:eastAsia="Palatino Linotype"/>
          <w:sz w:val="22"/>
          <w:szCs w:val="22"/>
          <w:lang w:val="es-ES"/>
        </w:rPr>
        <w:t>must</w:t>
      </w:r>
      <w:proofErr w:type="spellEnd"/>
      <w:r>
        <w:rPr>
          <w:rFonts w:eastAsia="Palatino Linotype"/>
          <w:sz w:val="22"/>
          <w:szCs w:val="22"/>
          <w:lang w:val="es-ES"/>
        </w:rPr>
        <w:t xml:space="preserve"> be </w:t>
      </w:r>
      <w:proofErr w:type="spellStart"/>
      <w:r>
        <w:rPr>
          <w:rFonts w:eastAsia="Palatino Linotype"/>
          <w:sz w:val="22"/>
          <w:szCs w:val="22"/>
          <w:lang w:val="es-ES"/>
        </w:rPr>
        <w:t>written</w:t>
      </w:r>
      <w:proofErr w:type="spellEnd"/>
      <w:r>
        <w:rPr>
          <w:rFonts w:eastAsia="Palatino Linotype"/>
          <w:sz w:val="22"/>
          <w:szCs w:val="22"/>
          <w:lang w:val="es-ES"/>
        </w:rPr>
        <w:t xml:space="preserve"> </w:t>
      </w:r>
      <w:proofErr w:type="spellStart"/>
      <w:r>
        <w:rPr>
          <w:rFonts w:eastAsia="Palatino Linotype"/>
          <w:sz w:val="22"/>
          <w:szCs w:val="22"/>
          <w:lang w:val="es-ES"/>
        </w:rPr>
        <w:t>clearly</w:t>
      </w:r>
      <w:proofErr w:type="spellEnd"/>
      <w:r>
        <w:rPr>
          <w:rFonts w:eastAsia="Palatino Linotype"/>
          <w:sz w:val="22"/>
          <w:szCs w:val="22"/>
          <w:lang w:val="es-ES"/>
        </w:rPr>
        <w:t xml:space="preserve"> and </w:t>
      </w:r>
      <w:proofErr w:type="spellStart"/>
      <w:r>
        <w:rPr>
          <w:rFonts w:eastAsia="Palatino Linotype"/>
          <w:sz w:val="22"/>
          <w:szCs w:val="22"/>
          <w:lang w:val="es-ES"/>
        </w:rPr>
        <w:t>precisely</w:t>
      </w:r>
      <w:proofErr w:type="spellEnd"/>
      <w:r>
        <w:rPr>
          <w:rFonts w:eastAsia="Palatino Linotype"/>
          <w:sz w:val="22"/>
          <w:szCs w:val="22"/>
          <w:lang w:val="es-ES"/>
        </w:rPr>
        <w:t xml:space="preserve">, in Spanish and in </w:t>
      </w:r>
      <w:proofErr w:type="spellStart"/>
      <w:r>
        <w:rPr>
          <w:rFonts w:eastAsia="Palatino Linotype"/>
          <w:sz w:val="22"/>
          <w:szCs w:val="22"/>
          <w:lang w:val="es-ES"/>
        </w:rPr>
        <w:t>accordance</w:t>
      </w:r>
      <w:proofErr w:type="spellEnd"/>
      <w:r>
        <w:rPr>
          <w:rFonts w:eastAsia="Palatino Linotype"/>
          <w:sz w:val="22"/>
          <w:szCs w:val="22"/>
          <w:lang w:val="es-ES"/>
        </w:rPr>
        <w:t xml:space="preserve"> </w:t>
      </w:r>
      <w:proofErr w:type="spellStart"/>
      <w:r>
        <w:rPr>
          <w:rFonts w:eastAsia="Palatino Linotype"/>
          <w:sz w:val="22"/>
          <w:szCs w:val="22"/>
          <w:lang w:val="es-ES"/>
        </w:rPr>
        <w:t>with</w:t>
      </w:r>
      <w:proofErr w:type="spellEnd"/>
      <w:r>
        <w:rPr>
          <w:rFonts w:eastAsia="Palatino Linotype"/>
          <w:sz w:val="22"/>
          <w:szCs w:val="22"/>
          <w:lang w:val="es-ES"/>
        </w:rPr>
        <w:t xml:space="preserve"> </w:t>
      </w:r>
      <w:proofErr w:type="spellStart"/>
      <w:r>
        <w:rPr>
          <w:rFonts w:eastAsia="Palatino Linotype"/>
          <w:sz w:val="22"/>
          <w:szCs w:val="22"/>
          <w:lang w:val="es-ES"/>
        </w:rPr>
        <w:t>the</w:t>
      </w:r>
      <w:proofErr w:type="spellEnd"/>
      <w:r>
        <w:rPr>
          <w:rFonts w:eastAsia="Palatino Linotype"/>
          <w:sz w:val="22"/>
          <w:szCs w:val="22"/>
          <w:lang w:val="es-ES"/>
        </w:rPr>
        <w:t xml:space="preserve"> </w:t>
      </w:r>
      <w:proofErr w:type="spellStart"/>
      <w:r>
        <w:rPr>
          <w:rFonts w:eastAsia="Palatino Linotype"/>
          <w:sz w:val="22"/>
          <w:szCs w:val="22"/>
          <w:lang w:val="es-ES"/>
        </w:rPr>
        <w:t>provisions</w:t>
      </w:r>
      <w:proofErr w:type="spellEnd"/>
      <w:r>
        <w:rPr>
          <w:rFonts w:eastAsia="Palatino Linotype"/>
          <w:sz w:val="22"/>
          <w:szCs w:val="22"/>
          <w:lang w:val="es-ES"/>
        </w:rPr>
        <w:t xml:space="preserve"> </w:t>
      </w:r>
      <w:proofErr w:type="spellStart"/>
      <w:r>
        <w:rPr>
          <w:rFonts w:eastAsia="Palatino Linotype"/>
          <w:sz w:val="22"/>
          <w:szCs w:val="22"/>
          <w:lang w:val="es-ES"/>
        </w:rPr>
        <w:t>of</w:t>
      </w:r>
      <w:proofErr w:type="spellEnd"/>
      <w:r>
        <w:rPr>
          <w:rFonts w:eastAsia="Palatino Linotype"/>
          <w:sz w:val="22"/>
          <w:szCs w:val="22"/>
          <w:lang w:val="es-ES"/>
        </w:rPr>
        <w:t xml:space="preserve"> </w:t>
      </w:r>
      <w:proofErr w:type="spellStart"/>
      <w:r>
        <w:rPr>
          <w:rFonts w:eastAsia="Palatino Linotype"/>
          <w:sz w:val="22"/>
          <w:szCs w:val="22"/>
          <w:lang w:val="es-ES"/>
        </w:rPr>
        <w:t>Article</w:t>
      </w:r>
      <w:proofErr w:type="spellEnd"/>
      <w:r>
        <w:rPr>
          <w:rFonts w:eastAsia="Palatino Linotype"/>
          <w:sz w:val="22"/>
          <w:szCs w:val="22"/>
          <w:lang w:val="es-ES"/>
        </w:rPr>
        <w:t xml:space="preserve"> 63 </w:t>
      </w:r>
      <w:proofErr w:type="spellStart"/>
      <w:r>
        <w:rPr>
          <w:rFonts w:eastAsia="Palatino Linotype"/>
          <w:sz w:val="22"/>
          <w:szCs w:val="22"/>
          <w:lang w:val="es-ES"/>
        </w:rPr>
        <w:t>of</w:t>
      </w:r>
      <w:proofErr w:type="spellEnd"/>
      <w:r>
        <w:rPr>
          <w:rFonts w:eastAsia="Palatino Linotype"/>
          <w:sz w:val="22"/>
          <w:szCs w:val="22"/>
          <w:lang w:val="es-ES"/>
        </w:rPr>
        <w:t xml:space="preserve"> </w:t>
      </w:r>
      <w:proofErr w:type="spellStart"/>
      <w:r>
        <w:rPr>
          <w:rFonts w:eastAsia="Palatino Linotype"/>
          <w:sz w:val="22"/>
          <w:szCs w:val="22"/>
          <w:lang w:val="es-ES"/>
        </w:rPr>
        <w:t>the</w:t>
      </w:r>
      <w:proofErr w:type="spellEnd"/>
      <w:r>
        <w:rPr>
          <w:rFonts w:eastAsia="Palatino Linotype"/>
          <w:sz w:val="22"/>
          <w:szCs w:val="22"/>
          <w:lang w:val="es-ES"/>
        </w:rPr>
        <w:t xml:space="preserve"> TOCAF.</w:t>
      </w:r>
    </w:p>
    <w:p w14:paraId="0B8FB448" w14:textId="77777777" w:rsidR="00E255F4" w:rsidRDefault="00E255F4">
      <w:pPr>
        <w:ind w:right="-142"/>
        <w:jc w:val="both"/>
        <w:rPr>
          <w:rFonts w:eastAsia="Palatino Linotype"/>
          <w:spacing w:val="-1"/>
          <w:sz w:val="22"/>
          <w:szCs w:val="22"/>
          <w:lang w:val="es-ES"/>
        </w:rPr>
      </w:pPr>
    </w:p>
    <w:p w14:paraId="2303D4AC" w14:textId="77777777" w:rsidR="00E255F4" w:rsidRDefault="00000000">
      <w:pPr>
        <w:ind w:right="-142"/>
        <w:jc w:val="both"/>
      </w:pPr>
      <w:proofErr w:type="spellStart"/>
      <w:r>
        <w:rPr>
          <w:rFonts w:eastAsia="Palatino Linotype"/>
          <w:spacing w:val="-1"/>
          <w:sz w:val="22"/>
          <w:szCs w:val="22"/>
          <w:lang w:val="es-ES"/>
        </w:rPr>
        <w:t>AND</w:t>
      </w:r>
      <w:r>
        <w:rPr>
          <w:rFonts w:eastAsia="Palatino Linotype"/>
          <w:sz w:val="22"/>
          <w:szCs w:val="22"/>
          <w:lang w:val="es-ES"/>
        </w:rPr>
        <w:t>The</w:t>
      </w:r>
      <w:proofErr w:type="spellEnd"/>
      <w:r>
        <w:rPr>
          <w:rFonts w:eastAsia="Palatino Linotype"/>
          <w:sz w:val="22"/>
          <w:szCs w:val="22"/>
          <w:lang w:val="es-ES"/>
        </w:rPr>
        <w:t xml:space="preserve"> Special </w:t>
      </w:r>
      <w:proofErr w:type="spellStart"/>
      <w:r>
        <w:rPr>
          <w:rFonts w:eastAsia="Palatino Linotype"/>
          <w:sz w:val="22"/>
          <w:szCs w:val="22"/>
          <w:lang w:val="es-ES"/>
        </w:rPr>
        <w:t>Specifications</w:t>
      </w:r>
      <w:proofErr w:type="spellEnd"/>
      <w:r>
        <w:rPr>
          <w:rFonts w:eastAsia="Palatino Linotype"/>
          <w:sz w:val="22"/>
          <w:szCs w:val="22"/>
          <w:lang w:val="es-ES"/>
        </w:rPr>
        <w:t xml:space="preserve"> </w:t>
      </w:r>
      <w:proofErr w:type="spellStart"/>
      <w:r>
        <w:rPr>
          <w:rFonts w:eastAsia="Palatino Linotype"/>
          <w:sz w:val="22"/>
          <w:szCs w:val="22"/>
          <w:lang w:val="es-ES"/>
        </w:rPr>
        <w:t>may</w:t>
      </w:r>
      <w:proofErr w:type="spellEnd"/>
      <w:r>
        <w:rPr>
          <w:rFonts w:eastAsia="Palatino Linotype"/>
          <w:sz w:val="22"/>
          <w:szCs w:val="22"/>
          <w:lang w:val="es-ES"/>
        </w:rPr>
        <w:t xml:space="preserve"> </w:t>
      </w:r>
      <w:proofErr w:type="spellStart"/>
      <w:r>
        <w:rPr>
          <w:rFonts w:eastAsia="Palatino Linotype"/>
          <w:sz w:val="22"/>
          <w:szCs w:val="22"/>
          <w:lang w:val="es-ES"/>
        </w:rPr>
        <w:t>authorize</w:t>
      </w:r>
      <w:proofErr w:type="spellEnd"/>
      <w:r>
        <w:rPr>
          <w:rFonts w:eastAsia="Palatino Linotype"/>
          <w:sz w:val="22"/>
          <w:szCs w:val="22"/>
          <w:lang w:val="es-ES"/>
        </w:rPr>
        <w:t xml:space="preserve"> </w:t>
      </w:r>
      <w:proofErr w:type="spellStart"/>
      <w:r>
        <w:rPr>
          <w:rFonts w:eastAsia="Palatino Linotype"/>
          <w:sz w:val="22"/>
          <w:szCs w:val="22"/>
          <w:lang w:val="es-ES"/>
        </w:rPr>
        <w:t>the</w:t>
      </w:r>
      <w:proofErr w:type="spellEnd"/>
      <w:r>
        <w:rPr>
          <w:rFonts w:eastAsia="Palatino Linotype"/>
          <w:sz w:val="22"/>
          <w:szCs w:val="22"/>
          <w:lang w:val="es-ES"/>
        </w:rPr>
        <w:t xml:space="preserve"> </w:t>
      </w:r>
      <w:proofErr w:type="spellStart"/>
      <w:r>
        <w:rPr>
          <w:rFonts w:eastAsia="Palatino Linotype"/>
          <w:sz w:val="22"/>
          <w:szCs w:val="22"/>
          <w:lang w:val="es-ES"/>
        </w:rPr>
        <w:t>submission</w:t>
      </w:r>
      <w:proofErr w:type="spellEnd"/>
      <w:r>
        <w:rPr>
          <w:rFonts w:eastAsia="Palatino Linotype"/>
          <w:sz w:val="22"/>
          <w:szCs w:val="22"/>
          <w:lang w:val="es-ES"/>
        </w:rPr>
        <w:t xml:space="preserve"> </w:t>
      </w:r>
      <w:proofErr w:type="spellStart"/>
      <w:r>
        <w:rPr>
          <w:rFonts w:eastAsia="Palatino Linotype"/>
          <w:sz w:val="22"/>
          <w:szCs w:val="22"/>
          <w:lang w:val="es-ES"/>
        </w:rPr>
        <w:t>of</w:t>
      </w:r>
      <w:proofErr w:type="spellEnd"/>
      <w:r>
        <w:rPr>
          <w:rFonts w:eastAsia="Palatino Linotype"/>
          <w:sz w:val="22"/>
          <w:szCs w:val="22"/>
          <w:lang w:val="es-ES"/>
        </w:rPr>
        <w:t xml:space="preserve"> </w:t>
      </w:r>
      <w:proofErr w:type="spellStart"/>
      <w:r>
        <w:rPr>
          <w:rFonts w:eastAsia="Palatino Linotype"/>
          <w:sz w:val="22"/>
          <w:szCs w:val="22"/>
          <w:lang w:val="es-ES"/>
        </w:rPr>
        <w:t>brochures</w:t>
      </w:r>
      <w:proofErr w:type="spellEnd"/>
      <w:r>
        <w:rPr>
          <w:rFonts w:eastAsia="Palatino Linotype"/>
          <w:sz w:val="22"/>
          <w:szCs w:val="22"/>
          <w:lang w:val="es-ES"/>
        </w:rPr>
        <w:t xml:space="preserve">, </w:t>
      </w:r>
      <w:proofErr w:type="spellStart"/>
      <w:r>
        <w:rPr>
          <w:rFonts w:eastAsia="Palatino Linotype"/>
          <w:sz w:val="22"/>
          <w:szCs w:val="22"/>
          <w:lang w:val="es-ES"/>
        </w:rPr>
        <w:t>catalogs</w:t>
      </w:r>
      <w:proofErr w:type="spellEnd"/>
      <w:r>
        <w:rPr>
          <w:rFonts w:eastAsia="Palatino Linotype"/>
          <w:sz w:val="22"/>
          <w:szCs w:val="22"/>
          <w:lang w:val="es-ES"/>
        </w:rPr>
        <w:t xml:space="preserve">, etc. in a </w:t>
      </w:r>
      <w:proofErr w:type="spellStart"/>
      <w:r>
        <w:rPr>
          <w:rFonts w:eastAsia="Palatino Linotype"/>
          <w:sz w:val="22"/>
          <w:szCs w:val="22"/>
          <w:lang w:val="es-ES"/>
        </w:rPr>
        <w:t>foreign</w:t>
      </w:r>
      <w:proofErr w:type="spellEnd"/>
      <w:r>
        <w:rPr>
          <w:rFonts w:eastAsia="Palatino Linotype"/>
          <w:sz w:val="22"/>
          <w:szCs w:val="22"/>
          <w:lang w:val="es-ES"/>
        </w:rPr>
        <w:t xml:space="preserve"> </w:t>
      </w:r>
      <w:proofErr w:type="spellStart"/>
      <w:r>
        <w:rPr>
          <w:rFonts w:eastAsia="Palatino Linotype"/>
          <w:sz w:val="22"/>
          <w:szCs w:val="22"/>
          <w:lang w:val="es-ES"/>
        </w:rPr>
        <w:t>language</w:t>
      </w:r>
      <w:proofErr w:type="spellEnd"/>
      <w:r>
        <w:rPr>
          <w:rFonts w:eastAsia="Palatino Linotype"/>
          <w:sz w:val="22"/>
          <w:szCs w:val="22"/>
          <w:lang w:val="es-ES"/>
        </w:rPr>
        <w:t>.</w:t>
      </w:r>
    </w:p>
    <w:p w14:paraId="65028BE5" w14:textId="77777777" w:rsidR="00E255F4" w:rsidRDefault="00E255F4">
      <w:pPr>
        <w:ind w:right="-142"/>
        <w:jc w:val="both"/>
        <w:rPr>
          <w:rFonts w:eastAsia="Palatino Linotype"/>
          <w:spacing w:val="5"/>
          <w:sz w:val="22"/>
          <w:szCs w:val="22"/>
          <w:lang w:val="es-ES"/>
        </w:rPr>
      </w:pPr>
    </w:p>
    <w:p w14:paraId="2DBDBFFC" w14:textId="77777777" w:rsidR="00E255F4" w:rsidRDefault="00000000">
      <w:pPr>
        <w:ind w:right="-142"/>
        <w:jc w:val="both"/>
        <w:rPr>
          <w:rFonts w:eastAsia="Palatino Linotype"/>
          <w:sz w:val="22"/>
          <w:szCs w:val="22"/>
          <w:lang w:val="es-ES"/>
        </w:rPr>
      </w:pPr>
      <w:proofErr w:type="spellStart"/>
      <w:r>
        <w:rPr>
          <w:rFonts w:eastAsia="Palatino Linotype"/>
          <w:spacing w:val="-1"/>
          <w:sz w:val="22"/>
          <w:szCs w:val="22"/>
          <w:lang w:val="es-ES"/>
        </w:rPr>
        <w:t>L</w:t>
      </w:r>
      <w:r>
        <w:rPr>
          <w:rFonts w:eastAsia="Palatino Linotype"/>
          <w:sz w:val="22"/>
          <w:szCs w:val="22"/>
          <w:lang w:val="es-ES"/>
        </w:rPr>
        <w:t>The</w:t>
      </w:r>
      <w:proofErr w:type="spellEnd"/>
      <w:r>
        <w:rPr>
          <w:rFonts w:eastAsia="Palatino Linotype"/>
          <w:sz w:val="22"/>
          <w:szCs w:val="22"/>
          <w:lang w:val="es-ES"/>
        </w:rPr>
        <w:t xml:space="preserve"> </w:t>
      </w:r>
      <w:proofErr w:type="spellStart"/>
      <w:r>
        <w:rPr>
          <w:rFonts w:eastAsia="Palatino Linotype"/>
          <w:sz w:val="22"/>
          <w:szCs w:val="22"/>
          <w:lang w:val="es-ES"/>
        </w:rPr>
        <w:t>Administration</w:t>
      </w:r>
      <w:proofErr w:type="spellEnd"/>
      <w:r>
        <w:rPr>
          <w:rFonts w:eastAsia="Palatino Linotype"/>
          <w:sz w:val="22"/>
          <w:szCs w:val="22"/>
          <w:lang w:val="es-ES"/>
        </w:rPr>
        <w:t xml:space="preserve"> reserves </w:t>
      </w:r>
      <w:proofErr w:type="spellStart"/>
      <w:r>
        <w:rPr>
          <w:rFonts w:eastAsia="Palatino Linotype"/>
          <w:sz w:val="22"/>
          <w:szCs w:val="22"/>
          <w:lang w:val="es-ES"/>
        </w:rPr>
        <w:t>the</w:t>
      </w:r>
      <w:proofErr w:type="spellEnd"/>
      <w:r>
        <w:rPr>
          <w:rFonts w:eastAsia="Palatino Linotype"/>
          <w:sz w:val="22"/>
          <w:szCs w:val="22"/>
          <w:lang w:val="es-ES"/>
        </w:rPr>
        <w:t xml:space="preserve"> </w:t>
      </w:r>
      <w:proofErr w:type="spellStart"/>
      <w:r>
        <w:rPr>
          <w:rFonts w:eastAsia="Palatino Linotype"/>
          <w:sz w:val="22"/>
          <w:szCs w:val="22"/>
          <w:lang w:val="es-ES"/>
        </w:rPr>
        <w:t>right</w:t>
      </w:r>
      <w:proofErr w:type="spellEnd"/>
      <w:r>
        <w:rPr>
          <w:rFonts w:eastAsia="Palatino Linotype"/>
          <w:sz w:val="22"/>
          <w:szCs w:val="22"/>
          <w:lang w:val="es-ES"/>
        </w:rPr>
        <w:t xml:space="preserve"> </w:t>
      </w:r>
      <w:proofErr w:type="spellStart"/>
      <w:r>
        <w:rPr>
          <w:rFonts w:eastAsia="Palatino Linotype"/>
          <w:sz w:val="22"/>
          <w:szCs w:val="22"/>
          <w:lang w:val="es-ES"/>
        </w:rPr>
        <w:t>to</w:t>
      </w:r>
      <w:proofErr w:type="spellEnd"/>
      <w:r>
        <w:rPr>
          <w:rFonts w:eastAsia="Palatino Linotype"/>
          <w:sz w:val="22"/>
          <w:szCs w:val="22"/>
          <w:lang w:val="es-ES"/>
        </w:rPr>
        <w:t xml:space="preserve"> </w:t>
      </w:r>
      <w:proofErr w:type="spellStart"/>
      <w:r>
        <w:rPr>
          <w:rFonts w:eastAsia="Palatino Linotype"/>
          <w:sz w:val="22"/>
          <w:szCs w:val="22"/>
          <w:lang w:val="es-ES"/>
        </w:rPr>
        <w:t>demand</w:t>
      </w:r>
      <w:proofErr w:type="spellEnd"/>
      <w:r>
        <w:rPr>
          <w:rFonts w:eastAsia="Palatino Linotype"/>
          <w:sz w:val="22"/>
          <w:szCs w:val="22"/>
          <w:lang w:val="es-ES"/>
        </w:rPr>
        <w:t xml:space="preserve"> </w:t>
      </w:r>
      <w:proofErr w:type="spellStart"/>
      <w:r>
        <w:rPr>
          <w:rFonts w:eastAsia="Palatino Linotype"/>
          <w:sz w:val="22"/>
          <w:szCs w:val="22"/>
          <w:lang w:val="es-ES"/>
        </w:rPr>
        <w:t>its</w:t>
      </w:r>
      <w:proofErr w:type="spellEnd"/>
      <w:r>
        <w:rPr>
          <w:rFonts w:eastAsia="Palatino Linotype"/>
          <w:sz w:val="22"/>
          <w:szCs w:val="22"/>
          <w:lang w:val="es-ES"/>
        </w:rPr>
        <w:t xml:space="preserve"> </w:t>
      </w:r>
      <w:proofErr w:type="spellStart"/>
      <w:r>
        <w:rPr>
          <w:rFonts w:eastAsia="Palatino Linotype"/>
          <w:sz w:val="22"/>
          <w:szCs w:val="22"/>
          <w:lang w:val="es-ES"/>
        </w:rPr>
        <w:t>translation</w:t>
      </w:r>
      <w:proofErr w:type="spellEnd"/>
      <w:r>
        <w:rPr>
          <w:rFonts w:eastAsia="Palatino Linotype"/>
          <w:sz w:val="22"/>
          <w:szCs w:val="22"/>
          <w:lang w:val="es-ES"/>
        </w:rPr>
        <w:t xml:space="preserve"> </w:t>
      </w:r>
      <w:proofErr w:type="spellStart"/>
      <w:r>
        <w:rPr>
          <w:rFonts w:eastAsia="Palatino Linotype"/>
          <w:sz w:val="22"/>
          <w:szCs w:val="22"/>
          <w:lang w:val="es-ES"/>
        </w:rPr>
        <w:t>into</w:t>
      </w:r>
      <w:proofErr w:type="spellEnd"/>
      <w:r>
        <w:rPr>
          <w:rFonts w:eastAsia="Palatino Linotype"/>
          <w:sz w:val="22"/>
          <w:szCs w:val="22"/>
          <w:lang w:val="es-ES"/>
        </w:rPr>
        <w:t xml:space="preserve"> Spanish at </w:t>
      </w:r>
      <w:proofErr w:type="spellStart"/>
      <w:r>
        <w:rPr>
          <w:rFonts w:eastAsia="Palatino Linotype"/>
          <w:sz w:val="22"/>
          <w:szCs w:val="22"/>
          <w:lang w:val="es-ES"/>
        </w:rPr>
        <w:t>any</w:t>
      </w:r>
      <w:proofErr w:type="spellEnd"/>
      <w:r>
        <w:rPr>
          <w:rFonts w:eastAsia="Palatino Linotype"/>
          <w:sz w:val="22"/>
          <w:szCs w:val="22"/>
          <w:lang w:val="es-ES"/>
        </w:rPr>
        <w:t xml:space="preserve"> time.</w:t>
      </w:r>
    </w:p>
    <w:p w14:paraId="637B00AF" w14:textId="77777777" w:rsidR="00E255F4" w:rsidRDefault="00E255F4">
      <w:pPr>
        <w:rPr>
          <w:rFonts w:eastAsia="Palatino Linotype"/>
          <w:sz w:val="22"/>
          <w:szCs w:val="22"/>
          <w:lang w:val="es-ES"/>
        </w:rPr>
      </w:pPr>
    </w:p>
    <w:p w14:paraId="00D62720" w14:textId="77777777" w:rsidR="00E255F4" w:rsidRDefault="00000000">
      <w:pPr>
        <w:ind w:right="-142"/>
        <w:jc w:val="both"/>
        <w:outlineLvl w:val="0"/>
        <w:rPr>
          <w:rFonts w:eastAsia="Palatino Linotype"/>
          <w:b/>
          <w:spacing w:val="-1"/>
          <w:sz w:val="22"/>
          <w:szCs w:val="22"/>
          <w:lang w:val="es-ES"/>
        </w:rPr>
      </w:pPr>
      <w:bookmarkStart w:id="18" w:name="__RefHeading___Toc225377195"/>
      <w:bookmarkEnd w:id="18"/>
      <w:r>
        <w:rPr>
          <w:rFonts w:eastAsia="Palatino Linotype"/>
          <w:b/>
          <w:spacing w:val="-1"/>
          <w:sz w:val="22"/>
          <w:szCs w:val="22"/>
          <w:lang w:val="es-ES"/>
        </w:rPr>
        <w:t>8.2 Home</w:t>
      </w:r>
      <w:r>
        <w:rPr>
          <w:rFonts w:eastAsia="Palatino Linotype"/>
          <w:b/>
          <w:spacing w:val="-1"/>
          <w:sz w:val="22"/>
          <w:szCs w:val="22"/>
          <w:lang w:val="es-ES"/>
        </w:rPr>
        <w:tab/>
      </w:r>
    </w:p>
    <w:p w14:paraId="32A7992B" w14:textId="77777777" w:rsidR="00E255F4" w:rsidRDefault="00E255F4">
      <w:pPr>
        <w:rPr>
          <w:rFonts w:eastAsia="Palatino Linotype"/>
          <w:b/>
          <w:spacing w:val="-1"/>
          <w:sz w:val="22"/>
          <w:szCs w:val="22"/>
          <w:lang w:val="es-ES"/>
        </w:rPr>
      </w:pPr>
    </w:p>
    <w:p w14:paraId="62ABD658" w14:textId="77777777" w:rsidR="00E255F4" w:rsidRDefault="00000000">
      <w:pPr>
        <w:ind w:right="-142"/>
        <w:jc w:val="both"/>
        <w:rPr>
          <w:rFonts w:eastAsia="Palatino Linotype"/>
          <w:sz w:val="22"/>
          <w:szCs w:val="22"/>
          <w:lang w:val="es-ES"/>
        </w:rPr>
      </w:pPr>
      <w:proofErr w:type="spellStart"/>
      <w:r>
        <w:rPr>
          <w:rFonts w:eastAsia="Palatino Linotype"/>
          <w:spacing w:val="-1"/>
          <w:sz w:val="22"/>
          <w:szCs w:val="22"/>
          <w:lang w:val="es-ES"/>
        </w:rPr>
        <w:t>The</w:t>
      </w:r>
      <w:r>
        <w:rPr>
          <w:rFonts w:eastAsia="Palatino Linotype"/>
          <w:sz w:val="22"/>
          <w:szCs w:val="22"/>
          <w:lang w:val="es-ES"/>
        </w:rPr>
        <w:t>The</w:t>
      </w:r>
      <w:proofErr w:type="spellEnd"/>
      <w:r>
        <w:rPr>
          <w:rFonts w:eastAsia="Palatino Linotype"/>
          <w:sz w:val="22"/>
          <w:szCs w:val="22"/>
          <w:lang w:val="es-ES"/>
        </w:rPr>
        <w:t xml:space="preserve"> </w:t>
      </w:r>
      <w:proofErr w:type="spellStart"/>
      <w:r>
        <w:rPr>
          <w:rFonts w:eastAsia="Palatino Linotype"/>
          <w:sz w:val="22"/>
          <w:szCs w:val="22"/>
          <w:lang w:val="es-ES"/>
        </w:rPr>
        <w:t>proposing</w:t>
      </w:r>
      <w:proofErr w:type="spellEnd"/>
      <w:r>
        <w:rPr>
          <w:rFonts w:eastAsia="Palatino Linotype"/>
          <w:sz w:val="22"/>
          <w:szCs w:val="22"/>
          <w:lang w:val="es-ES"/>
        </w:rPr>
        <w:t xml:space="preserve"> </w:t>
      </w:r>
      <w:proofErr w:type="spellStart"/>
      <w:r>
        <w:rPr>
          <w:rFonts w:eastAsia="Palatino Linotype"/>
          <w:sz w:val="22"/>
          <w:szCs w:val="22"/>
          <w:lang w:val="es-ES"/>
        </w:rPr>
        <w:t>firms</w:t>
      </w:r>
      <w:proofErr w:type="spellEnd"/>
      <w:r>
        <w:rPr>
          <w:rFonts w:eastAsia="Palatino Linotype"/>
          <w:sz w:val="22"/>
          <w:szCs w:val="22"/>
          <w:lang w:val="es-ES"/>
        </w:rPr>
        <w:t xml:space="preserve"> </w:t>
      </w:r>
      <w:proofErr w:type="spellStart"/>
      <w:r>
        <w:rPr>
          <w:rFonts w:eastAsia="Palatino Linotype"/>
          <w:sz w:val="22"/>
          <w:szCs w:val="22"/>
          <w:lang w:val="es-ES"/>
        </w:rPr>
        <w:t>must</w:t>
      </w:r>
      <w:proofErr w:type="spellEnd"/>
      <w:r>
        <w:rPr>
          <w:rFonts w:eastAsia="Palatino Linotype"/>
          <w:sz w:val="22"/>
          <w:szCs w:val="22"/>
          <w:lang w:val="es-ES"/>
        </w:rPr>
        <w:t xml:space="preserve"> </w:t>
      </w:r>
      <w:proofErr w:type="spellStart"/>
      <w:r>
        <w:rPr>
          <w:rFonts w:eastAsia="Palatino Linotype"/>
          <w:sz w:val="22"/>
          <w:szCs w:val="22"/>
          <w:lang w:val="es-ES"/>
        </w:rPr>
        <w:t>establish</w:t>
      </w:r>
      <w:proofErr w:type="spellEnd"/>
      <w:r>
        <w:rPr>
          <w:rFonts w:eastAsia="Palatino Linotype"/>
          <w:sz w:val="22"/>
          <w:szCs w:val="22"/>
          <w:lang w:val="es-ES"/>
        </w:rPr>
        <w:t xml:space="preserve"> a </w:t>
      </w:r>
      <w:proofErr w:type="spellStart"/>
      <w:r>
        <w:rPr>
          <w:rFonts w:eastAsia="Palatino Linotype"/>
          <w:sz w:val="22"/>
          <w:szCs w:val="22"/>
          <w:lang w:val="es-ES"/>
        </w:rPr>
        <w:t>domicile</w:t>
      </w:r>
      <w:proofErr w:type="spellEnd"/>
      <w:r>
        <w:rPr>
          <w:rFonts w:eastAsia="Palatino Linotype"/>
          <w:sz w:val="22"/>
          <w:szCs w:val="22"/>
          <w:lang w:val="es-ES"/>
        </w:rPr>
        <w:t xml:space="preserve"> </w:t>
      </w:r>
      <w:proofErr w:type="spellStart"/>
      <w:r>
        <w:rPr>
          <w:rFonts w:eastAsia="Palatino Linotype"/>
          <w:sz w:val="22"/>
          <w:szCs w:val="22"/>
          <w:lang w:val="es-ES"/>
        </w:rPr>
        <w:t>for</w:t>
      </w:r>
      <w:proofErr w:type="spellEnd"/>
      <w:r>
        <w:rPr>
          <w:rFonts w:eastAsia="Palatino Linotype"/>
          <w:sz w:val="22"/>
          <w:szCs w:val="22"/>
          <w:lang w:val="es-ES"/>
        </w:rPr>
        <w:t xml:space="preserve"> </w:t>
      </w:r>
      <w:proofErr w:type="spellStart"/>
      <w:r>
        <w:rPr>
          <w:rFonts w:eastAsia="Palatino Linotype"/>
          <w:sz w:val="22"/>
          <w:szCs w:val="22"/>
          <w:lang w:val="es-ES"/>
        </w:rPr>
        <w:t>the</w:t>
      </w:r>
      <w:proofErr w:type="spellEnd"/>
      <w:r>
        <w:rPr>
          <w:rFonts w:eastAsia="Palatino Linotype"/>
          <w:sz w:val="22"/>
          <w:szCs w:val="22"/>
          <w:lang w:val="es-ES"/>
        </w:rPr>
        <w:t xml:space="preserve"> </w:t>
      </w:r>
      <w:proofErr w:type="spellStart"/>
      <w:r>
        <w:rPr>
          <w:rFonts w:eastAsia="Palatino Linotype"/>
          <w:sz w:val="22"/>
          <w:szCs w:val="22"/>
          <w:lang w:val="es-ES"/>
        </w:rPr>
        <w:t>purposes</w:t>
      </w:r>
      <w:proofErr w:type="spellEnd"/>
      <w:r>
        <w:rPr>
          <w:rFonts w:eastAsia="Palatino Linotype"/>
          <w:sz w:val="22"/>
          <w:szCs w:val="22"/>
          <w:lang w:val="es-ES"/>
        </w:rPr>
        <w:t xml:space="preserve"> </w:t>
      </w:r>
      <w:proofErr w:type="spellStart"/>
      <w:r>
        <w:rPr>
          <w:rFonts w:eastAsia="Palatino Linotype"/>
          <w:sz w:val="22"/>
          <w:szCs w:val="22"/>
          <w:lang w:val="es-ES"/>
        </w:rPr>
        <w:t>of</w:t>
      </w:r>
      <w:proofErr w:type="spellEnd"/>
      <w:r>
        <w:rPr>
          <w:rFonts w:eastAsia="Palatino Linotype"/>
          <w:sz w:val="22"/>
          <w:szCs w:val="22"/>
          <w:lang w:val="es-ES"/>
        </w:rPr>
        <w:t xml:space="preserve"> </w:t>
      </w:r>
      <w:proofErr w:type="spellStart"/>
      <w:r>
        <w:rPr>
          <w:rFonts w:eastAsia="Palatino Linotype"/>
          <w:sz w:val="22"/>
          <w:szCs w:val="22"/>
          <w:lang w:val="es-ES"/>
        </w:rPr>
        <w:t>the</w:t>
      </w:r>
      <w:proofErr w:type="spellEnd"/>
      <w:r>
        <w:rPr>
          <w:rFonts w:eastAsia="Palatino Linotype"/>
          <w:sz w:val="22"/>
          <w:szCs w:val="22"/>
          <w:lang w:val="es-ES"/>
        </w:rPr>
        <w:t xml:space="preserve"> </w:t>
      </w:r>
      <w:proofErr w:type="spellStart"/>
      <w:r>
        <w:rPr>
          <w:rFonts w:eastAsia="Palatino Linotype"/>
          <w:sz w:val="22"/>
          <w:szCs w:val="22"/>
          <w:lang w:val="es-ES"/>
        </w:rPr>
        <w:t>procedure</w:t>
      </w:r>
      <w:proofErr w:type="spellEnd"/>
      <w:r>
        <w:rPr>
          <w:rFonts w:eastAsia="Palatino Linotype"/>
          <w:sz w:val="22"/>
          <w:szCs w:val="22"/>
          <w:lang w:val="es-ES"/>
        </w:rPr>
        <w:t xml:space="preserve"> and </w:t>
      </w:r>
      <w:proofErr w:type="spellStart"/>
      <w:r>
        <w:rPr>
          <w:rFonts w:eastAsia="Palatino Linotype"/>
          <w:sz w:val="22"/>
          <w:szCs w:val="22"/>
          <w:lang w:val="es-ES"/>
        </w:rPr>
        <w:t>subsequent</w:t>
      </w:r>
      <w:proofErr w:type="spellEnd"/>
      <w:r>
        <w:rPr>
          <w:rFonts w:eastAsia="Palatino Linotype"/>
          <w:sz w:val="22"/>
          <w:szCs w:val="22"/>
          <w:lang w:val="es-ES"/>
        </w:rPr>
        <w:t xml:space="preserve"> </w:t>
      </w:r>
      <w:proofErr w:type="spellStart"/>
      <w:r>
        <w:rPr>
          <w:rFonts w:eastAsia="Palatino Linotype"/>
          <w:sz w:val="22"/>
          <w:szCs w:val="22"/>
          <w:lang w:val="es-ES"/>
        </w:rPr>
        <w:t>acts</w:t>
      </w:r>
      <w:proofErr w:type="spellEnd"/>
      <w:r>
        <w:rPr>
          <w:rFonts w:eastAsia="Palatino Linotype"/>
          <w:sz w:val="22"/>
          <w:szCs w:val="22"/>
          <w:lang w:val="es-ES"/>
        </w:rPr>
        <w:t>.</w:t>
      </w:r>
    </w:p>
    <w:p w14:paraId="754ADD7F" w14:textId="77777777" w:rsidR="00E255F4" w:rsidRDefault="00E255F4">
      <w:pPr>
        <w:ind w:right="-142"/>
        <w:jc w:val="both"/>
        <w:rPr>
          <w:rFonts w:eastAsia="Palatino Linotype"/>
          <w:spacing w:val="2"/>
          <w:position w:val="1"/>
          <w:sz w:val="22"/>
          <w:szCs w:val="22"/>
          <w:lang w:val="es-ES"/>
        </w:rPr>
      </w:pPr>
    </w:p>
    <w:p w14:paraId="54204C78" w14:textId="77777777" w:rsidR="00E255F4" w:rsidRDefault="00000000">
      <w:pPr>
        <w:ind w:right="-142"/>
        <w:jc w:val="both"/>
        <w:rPr>
          <w:rFonts w:eastAsia="Palatino Linotype"/>
          <w:sz w:val="22"/>
          <w:szCs w:val="22"/>
          <w:lang w:val="es-ES"/>
        </w:rPr>
      </w:pPr>
      <w:proofErr w:type="spellStart"/>
      <w:r>
        <w:rPr>
          <w:rFonts w:eastAsia="Palatino Linotype"/>
          <w:spacing w:val="2"/>
          <w:position w:val="1"/>
          <w:sz w:val="22"/>
          <w:szCs w:val="22"/>
          <w:lang w:val="es-ES"/>
        </w:rPr>
        <w:t>When</w:t>
      </w:r>
      <w:r>
        <w:rPr>
          <w:rFonts w:eastAsia="Palatino Linotype"/>
          <w:position w:val="1"/>
          <w:sz w:val="22"/>
          <w:szCs w:val="22"/>
          <w:lang w:val="es-ES"/>
        </w:rPr>
        <w:t>or</w:t>
      </w:r>
      <w:proofErr w:type="spellEnd"/>
      <w:r>
        <w:rPr>
          <w:rFonts w:eastAsia="Palatino Linotype"/>
          <w:position w:val="1"/>
          <w:sz w:val="22"/>
          <w:szCs w:val="22"/>
          <w:lang w:val="es-ES"/>
        </w:rPr>
        <w:t xml:space="preserve"> </w:t>
      </w:r>
      <w:proofErr w:type="spellStart"/>
      <w:r>
        <w:rPr>
          <w:rFonts w:eastAsia="Palatino Linotype"/>
          <w:position w:val="1"/>
          <w:sz w:val="22"/>
          <w:szCs w:val="22"/>
          <w:lang w:val="es-ES"/>
        </w:rPr>
        <w:t>foreign</w:t>
      </w:r>
      <w:proofErr w:type="spellEnd"/>
      <w:r>
        <w:rPr>
          <w:rFonts w:eastAsia="Palatino Linotype"/>
          <w:position w:val="1"/>
          <w:sz w:val="22"/>
          <w:szCs w:val="22"/>
          <w:lang w:val="es-ES"/>
        </w:rPr>
        <w:t xml:space="preserve"> </w:t>
      </w:r>
      <w:proofErr w:type="spellStart"/>
      <w:r>
        <w:rPr>
          <w:rFonts w:eastAsia="Palatino Linotype"/>
          <w:position w:val="1"/>
          <w:sz w:val="22"/>
          <w:szCs w:val="22"/>
          <w:lang w:val="es-ES"/>
        </w:rPr>
        <w:t>companies</w:t>
      </w:r>
      <w:proofErr w:type="spellEnd"/>
      <w:r>
        <w:rPr>
          <w:rFonts w:eastAsia="Palatino Linotype"/>
          <w:position w:val="1"/>
          <w:sz w:val="22"/>
          <w:szCs w:val="22"/>
          <w:lang w:val="es-ES"/>
        </w:rPr>
        <w:t xml:space="preserve"> are </w:t>
      </w:r>
      <w:proofErr w:type="spellStart"/>
      <w:r>
        <w:rPr>
          <w:rFonts w:eastAsia="Palatino Linotype"/>
          <w:position w:val="1"/>
          <w:sz w:val="22"/>
          <w:szCs w:val="22"/>
          <w:lang w:val="es-ES"/>
        </w:rPr>
        <w:t>presented</w:t>
      </w:r>
      <w:proofErr w:type="spellEnd"/>
      <w:r>
        <w:rPr>
          <w:rFonts w:eastAsia="Palatino Linotype"/>
          <w:position w:val="1"/>
          <w:sz w:val="22"/>
          <w:szCs w:val="22"/>
          <w:lang w:val="es-ES"/>
        </w:rPr>
        <w:t xml:space="preserve">, </w:t>
      </w:r>
      <w:proofErr w:type="spellStart"/>
      <w:r>
        <w:rPr>
          <w:rFonts w:eastAsia="Palatino Linotype"/>
          <w:position w:val="1"/>
          <w:sz w:val="22"/>
          <w:szCs w:val="22"/>
          <w:lang w:val="es-ES"/>
        </w:rPr>
        <w:t>firms</w:t>
      </w:r>
      <w:proofErr w:type="spellEnd"/>
      <w:r>
        <w:rPr>
          <w:rFonts w:eastAsia="Palatino Linotype"/>
          <w:position w:val="1"/>
          <w:sz w:val="22"/>
          <w:szCs w:val="22"/>
          <w:lang w:val="es-ES"/>
        </w:rPr>
        <w:t xml:space="preserve"> </w:t>
      </w:r>
      <w:proofErr w:type="spellStart"/>
      <w:r>
        <w:rPr>
          <w:rFonts w:eastAsia="Palatino Linotype"/>
          <w:position w:val="1"/>
          <w:sz w:val="22"/>
          <w:szCs w:val="22"/>
          <w:lang w:val="es-ES"/>
        </w:rPr>
        <w:t>that</w:t>
      </w:r>
      <w:proofErr w:type="spellEnd"/>
      <w:r>
        <w:rPr>
          <w:rFonts w:eastAsia="Palatino Linotype"/>
          <w:position w:val="1"/>
          <w:sz w:val="22"/>
          <w:szCs w:val="22"/>
          <w:lang w:val="es-ES"/>
        </w:rPr>
        <w:t xml:space="preserve"> are </w:t>
      </w:r>
      <w:proofErr w:type="spellStart"/>
      <w:r>
        <w:rPr>
          <w:rFonts w:eastAsia="Palatino Linotype"/>
          <w:position w:val="1"/>
          <w:sz w:val="22"/>
          <w:szCs w:val="22"/>
          <w:lang w:val="es-ES"/>
        </w:rPr>
        <w:t>not</w:t>
      </w:r>
      <w:proofErr w:type="spellEnd"/>
      <w:r>
        <w:rPr>
          <w:rFonts w:eastAsia="Palatino Linotype"/>
          <w:position w:val="1"/>
          <w:sz w:val="22"/>
          <w:szCs w:val="22"/>
          <w:lang w:val="es-ES"/>
        </w:rPr>
        <w:t xml:space="preserve"> </w:t>
      </w:r>
      <w:proofErr w:type="spellStart"/>
      <w:r>
        <w:rPr>
          <w:rFonts w:eastAsia="Palatino Linotype"/>
          <w:position w:val="1"/>
          <w:sz w:val="22"/>
          <w:szCs w:val="22"/>
          <w:lang w:val="es-ES"/>
        </w:rPr>
        <w:t>established</w:t>
      </w:r>
      <w:proofErr w:type="spellEnd"/>
      <w:r>
        <w:rPr>
          <w:rFonts w:eastAsia="Palatino Linotype"/>
          <w:position w:val="1"/>
          <w:sz w:val="22"/>
          <w:szCs w:val="22"/>
          <w:lang w:val="es-ES"/>
        </w:rPr>
        <w:t xml:space="preserve"> in </w:t>
      </w:r>
      <w:proofErr w:type="spellStart"/>
      <w:r>
        <w:rPr>
          <w:rFonts w:eastAsia="Palatino Linotype"/>
          <w:position w:val="1"/>
          <w:sz w:val="22"/>
          <w:szCs w:val="22"/>
          <w:lang w:val="es-ES"/>
        </w:rPr>
        <w:t>the</w:t>
      </w:r>
      <w:proofErr w:type="spellEnd"/>
      <w:r>
        <w:rPr>
          <w:rFonts w:eastAsia="Palatino Linotype"/>
          <w:position w:val="1"/>
          <w:sz w:val="22"/>
          <w:szCs w:val="22"/>
          <w:lang w:val="es-ES"/>
        </w:rPr>
        <w:t xml:space="preserve"> country </w:t>
      </w:r>
      <w:proofErr w:type="spellStart"/>
      <w:r>
        <w:rPr>
          <w:rFonts w:eastAsia="Palatino Linotype"/>
          <w:position w:val="1"/>
          <w:sz w:val="22"/>
          <w:szCs w:val="22"/>
          <w:lang w:val="es-ES"/>
        </w:rPr>
        <w:t>may</w:t>
      </w:r>
      <w:proofErr w:type="spellEnd"/>
      <w:r>
        <w:rPr>
          <w:rFonts w:eastAsia="Palatino Linotype"/>
          <w:position w:val="1"/>
          <w:sz w:val="22"/>
          <w:szCs w:val="22"/>
          <w:lang w:val="es-ES"/>
        </w:rPr>
        <w:t xml:space="preserve"> </w:t>
      </w:r>
      <w:proofErr w:type="spellStart"/>
      <w:r>
        <w:rPr>
          <w:rFonts w:eastAsia="Palatino Linotype"/>
          <w:position w:val="1"/>
          <w:sz w:val="22"/>
          <w:szCs w:val="22"/>
          <w:lang w:val="es-ES"/>
        </w:rPr>
        <w:t>act</w:t>
      </w:r>
      <w:proofErr w:type="spellEnd"/>
      <w:r>
        <w:rPr>
          <w:rFonts w:eastAsia="Palatino Linotype"/>
          <w:position w:val="1"/>
          <w:sz w:val="22"/>
          <w:szCs w:val="22"/>
          <w:lang w:val="es-ES"/>
        </w:rPr>
        <w:t xml:space="preserve"> </w:t>
      </w:r>
      <w:proofErr w:type="spellStart"/>
      <w:r>
        <w:rPr>
          <w:rFonts w:eastAsia="Palatino Linotype"/>
          <w:position w:val="1"/>
          <w:sz w:val="22"/>
          <w:szCs w:val="22"/>
          <w:lang w:val="es-ES"/>
        </w:rPr>
        <w:t>through</w:t>
      </w:r>
      <w:proofErr w:type="spellEnd"/>
      <w:r>
        <w:rPr>
          <w:rFonts w:eastAsia="Palatino Linotype"/>
          <w:position w:val="1"/>
          <w:sz w:val="22"/>
          <w:szCs w:val="22"/>
          <w:lang w:val="es-ES"/>
        </w:rPr>
        <w:t xml:space="preserve"> a representative, in </w:t>
      </w:r>
      <w:proofErr w:type="spellStart"/>
      <w:r>
        <w:rPr>
          <w:rFonts w:eastAsia="Palatino Linotype"/>
          <w:position w:val="1"/>
          <w:sz w:val="22"/>
          <w:szCs w:val="22"/>
          <w:lang w:val="es-ES"/>
        </w:rPr>
        <w:t>which</w:t>
      </w:r>
      <w:proofErr w:type="spellEnd"/>
      <w:r>
        <w:rPr>
          <w:rFonts w:eastAsia="Palatino Linotype"/>
          <w:position w:val="1"/>
          <w:sz w:val="22"/>
          <w:szCs w:val="22"/>
          <w:lang w:val="es-ES"/>
        </w:rPr>
        <w:t xml:space="preserve"> case </w:t>
      </w:r>
      <w:proofErr w:type="spellStart"/>
      <w:r>
        <w:rPr>
          <w:rFonts w:eastAsia="Palatino Linotype"/>
          <w:position w:val="1"/>
          <w:sz w:val="22"/>
          <w:szCs w:val="22"/>
          <w:lang w:val="es-ES"/>
        </w:rPr>
        <w:t>the</w:t>
      </w:r>
      <w:proofErr w:type="spellEnd"/>
      <w:r>
        <w:rPr>
          <w:rFonts w:eastAsia="Palatino Linotype"/>
          <w:position w:val="1"/>
          <w:sz w:val="22"/>
          <w:szCs w:val="22"/>
          <w:lang w:val="es-ES"/>
        </w:rPr>
        <w:t xml:space="preserve"> representative </w:t>
      </w:r>
      <w:proofErr w:type="spellStart"/>
      <w:r>
        <w:rPr>
          <w:rFonts w:eastAsia="Palatino Linotype"/>
          <w:position w:val="1"/>
          <w:sz w:val="22"/>
          <w:szCs w:val="22"/>
          <w:lang w:val="es-ES"/>
        </w:rPr>
        <w:t>must</w:t>
      </w:r>
      <w:proofErr w:type="spellEnd"/>
      <w:r>
        <w:rPr>
          <w:rFonts w:eastAsia="Palatino Linotype"/>
          <w:position w:val="1"/>
          <w:sz w:val="22"/>
          <w:szCs w:val="22"/>
          <w:lang w:val="es-ES"/>
        </w:rPr>
        <w:t xml:space="preserve"> be </w:t>
      </w:r>
      <w:proofErr w:type="spellStart"/>
      <w:r>
        <w:rPr>
          <w:rFonts w:eastAsia="Palatino Linotype"/>
          <w:position w:val="1"/>
          <w:sz w:val="22"/>
          <w:szCs w:val="22"/>
          <w:lang w:val="es-ES"/>
        </w:rPr>
        <w:t>registered</w:t>
      </w:r>
      <w:proofErr w:type="spellEnd"/>
      <w:r>
        <w:rPr>
          <w:rFonts w:eastAsia="Palatino Linotype"/>
          <w:position w:val="1"/>
          <w:sz w:val="22"/>
          <w:szCs w:val="22"/>
          <w:lang w:val="es-ES"/>
        </w:rPr>
        <w:t xml:space="preserve"> in </w:t>
      </w:r>
      <w:proofErr w:type="spellStart"/>
      <w:r>
        <w:rPr>
          <w:rFonts w:eastAsia="Palatino Linotype"/>
          <w:position w:val="1"/>
          <w:sz w:val="22"/>
          <w:szCs w:val="22"/>
          <w:lang w:val="es-ES"/>
        </w:rPr>
        <w:t>the</w:t>
      </w:r>
      <w:proofErr w:type="spellEnd"/>
      <w:r>
        <w:rPr>
          <w:rFonts w:eastAsia="Palatino Linotype"/>
          <w:position w:val="1"/>
          <w:sz w:val="22"/>
          <w:szCs w:val="22"/>
          <w:lang w:val="es-ES"/>
        </w:rPr>
        <w:t xml:space="preserve"> </w:t>
      </w:r>
      <w:proofErr w:type="spellStart"/>
      <w:r>
        <w:rPr>
          <w:rFonts w:eastAsia="Palatino Linotype"/>
          <w:position w:val="1"/>
          <w:sz w:val="22"/>
          <w:szCs w:val="22"/>
          <w:lang w:val="es-ES"/>
        </w:rPr>
        <w:t>National</w:t>
      </w:r>
      <w:proofErr w:type="spellEnd"/>
      <w:r>
        <w:rPr>
          <w:rFonts w:eastAsia="Palatino Linotype"/>
          <w:position w:val="1"/>
          <w:sz w:val="22"/>
          <w:szCs w:val="22"/>
          <w:lang w:val="es-ES"/>
        </w:rPr>
        <w:t xml:space="preserve"> </w:t>
      </w:r>
      <w:proofErr w:type="spellStart"/>
      <w:r>
        <w:rPr>
          <w:rFonts w:eastAsia="Palatino Linotype"/>
          <w:position w:val="1"/>
          <w:sz w:val="22"/>
          <w:szCs w:val="22"/>
          <w:lang w:val="es-ES"/>
        </w:rPr>
        <w:t>Registry</w:t>
      </w:r>
      <w:proofErr w:type="spellEnd"/>
      <w:r>
        <w:rPr>
          <w:rFonts w:eastAsia="Palatino Linotype"/>
          <w:position w:val="1"/>
          <w:sz w:val="22"/>
          <w:szCs w:val="22"/>
          <w:lang w:val="es-ES"/>
        </w:rPr>
        <w:t xml:space="preserve"> </w:t>
      </w:r>
      <w:proofErr w:type="spellStart"/>
      <w:r>
        <w:rPr>
          <w:rFonts w:eastAsia="Palatino Linotype"/>
          <w:position w:val="1"/>
          <w:sz w:val="22"/>
          <w:szCs w:val="22"/>
          <w:lang w:val="es-ES"/>
        </w:rPr>
        <w:t>of</w:t>
      </w:r>
      <w:proofErr w:type="spellEnd"/>
      <w:r>
        <w:rPr>
          <w:rFonts w:eastAsia="Palatino Linotype"/>
          <w:position w:val="1"/>
          <w:sz w:val="22"/>
          <w:szCs w:val="22"/>
          <w:lang w:val="es-ES"/>
        </w:rPr>
        <w:t xml:space="preserve"> Representatives </w:t>
      </w:r>
      <w:proofErr w:type="spellStart"/>
      <w:r>
        <w:rPr>
          <w:rFonts w:eastAsia="Palatino Linotype"/>
          <w:position w:val="1"/>
          <w:sz w:val="22"/>
          <w:szCs w:val="22"/>
          <w:lang w:val="es-ES"/>
        </w:rPr>
        <w:t>of</w:t>
      </w:r>
      <w:proofErr w:type="spellEnd"/>
      <w:r>
        <w:rPr>
          <w:rFonts w:eastAsia="Palatino Linotype"/>
          <w:position w:val="1"/>
          <w:sz w:val="22"/>
          <w:szCs w:val="22"/>
          <w:lang w:val="es-ES"/>
        </w:rPr>
        <w:t xml:space="preserve"> Foreign </w:t>
      </w:r>
      <w:proofErr w:type="spellStart"/>
      <w:r>
        <w:rPr>
          <w:rFonts w:eastAsia="Palatino Linotype"/>
          <w:position w:val="1"/>
          <w:sz w:val="22"/>
          <w:szCs w:val="22"/>
          <w:lang w:val="es-ES"/>
        </w:rPr>
        <w:t>Firms</w:t>
      </w:r>
      <w:proofErr w:type="spellEnd"/>
      <w:r>
        <w:rPr>
          <w:rFonts w:eastAsia="Palatino Linotype"/>
          <w:position w:val="1"/>
          <w:sz w:val="22"/>
          <w:szCs w:val="22"/>
          <w:lang w:val="es-ES"/>
        </w:rPr>
        <w:t xml:space="preserve">, </w:t>
      </w:r>
      <w:proofErr w:type="spellStart"/>
      <w:r>
        <w:rPr>
          <w:rFonts w:eastAsia="Palatino Linotype"/>
          <w:position w:val="1"/>
          <w:sz w:val="22"/>
          <w:szCs w:val="22"/>
          <w:lang w:val="es-ES"/>
        </w:rPr>
        <w:t>created</w:t>
      </w:r>
      <w:proofErr w:type="spellEnd"/>
      <w:r>
        <w:rPr>
          <w:rFonts w:eastAsia="Palatino Linotype"/>
          <w:position w:val="1"/>
          <w:sz w:val="22"/>
          <w:szCs w:val="22"/>
          <w:lang w:val="es-ES"/>
        </w:rPr>
        <w:t xml:space="preserve"> </w:t>
      </w:r>
      <w:proofErr w:type="spellStart"/>
      <w:r>
        <w:rPr>
          <w:rFonts w:eastAsia="Palatino Linotype"/>
          <w:position w:val="1"/>
          <w:sz w:val="22"/>
          <w:szCs w:val="22"/>
          <w:lang w:val="es-ES"/>
        </w:rPr>
        <w:t>by</w:t>
      </w:r>
      <w:proofErr w:type="spellEnd"/>
      <w:r>
        <w:rPr>
          <w:rFonts w:eastAsia="Palatino Linotype"/>
          <w:position w:val="1"/>
          <w:sz w:val="22"/>
          <w:szCs w:val="22"/>
          <w:lang w:val="es-ES"/>
        </w:rPr>
        <w:t xml:space="preserve"> Law No. 16,497 </w:t>
      </w:r>
      <w:proofErr w:type="spellStart"/>
      <w:r>
        <w:rPr>
          <w:rFonts w:eastAsia="Palatino Linotype"/>
          <w:position w:val="1"/>
          <w:sz w:val="22"/>
          <w:szCs w:val="22"/>
          <w:lang w:val="es-ES"/>
        </w:rPr>
        <w:t>of</w:t>
      </w:r>
      <w:proofErr w:type="spellEnd"/>
      <w:r>
        <w:rPr>
          <w:rFonts w:eastAsia="Palatino Linotype"/>
          <w:position w:val="1"/>
          <w:sz w:val="22"/>
          <w:szCs w:val="22"/>
          <w:lang w:val="es-ES"/>
        </w:rPr>
        <w:t xml:space="preserve"> June 15, 1994 and, </w:t>
      </w:r>
      <w:proofErr w:type="spellStart"/>
      <w:r>
        <w:rPr>
          <w:rFonts w:eastAsia="Palatino Linotype"/>
          <w:position w:val="1"/>
          <w:sz w:val="22"/>
          <w:szCs w:val="22"/>
          <w:lang w:val="es-ES"/>
        </w:rPr>
        <w:t>if</w:t>
      </w:r>
      <w:proofErr w:type="spellEnd"/>
      <w:r>
        <w:rPr>
          <w:rFonts w:eastAsia="Palatino Linotype"/>
          <w:position w:val="1"/>
          <w:sz w:val="22"/>
          <w:szCs w:val="22"/>
          <w:lang w:val="es-ES"/>
        </w:rPr>
        <w:t xml:space="preserve"> </w:t>
      </w:r>
      <w:proofErr w:type="spellStart"/>
      <w:r>
        <w:rPr>
          <w:rFonts w:eastAsia="Palatino Linotype"/>
          <w:position w:val="1"/>
          <w:sz w:val="22"/>
          <w:szCs w:val="22"/>
          <w:lang w:val="es-ES"/>
        </w:rPr>
        <w:t>awarded</w:t>
      </w:r>
      <w:proofErr w:type="spellEnd"/>
      <w:r>
        <w:rPr>
          <w:rFonts w:eastAsia="Palatino Linotype"/>
          <w:position w:val="1"/>
          <w:sz w:val="22"/>
          <w:szCs w:val="22"/>
          <w:lang w:val="es-ES"/>
        </w:rPr>
        <w:t xml:space="preserve"> </w:t>
      </w:r>
      <w:proofErr w:type="spellStart"/>
      <w:r>
        <w:rPr>
          <w:rFonts w:eastAsia="Palatino Linotype"/>
          <w:position w:val="1"/>
          <w:sz w:val="22"/>
          <w:szCs w:val="22"/>
          <w:lang w:val="es-ES"/>
        </w:rPr>
        <w:t>the</w:t>
      </w:r>
      <w:proofErr w:type="spellEnd"/>
      <w:r>
        <w:rPr>
          <w:rFonts w:eastAsia="Palatino Linotype"/>
          <w:position w:val="1"/>
          <w:sz w:val="22"/>
          <w:szCs w:val="22"/>
          <w:lang w:val="es-ES"/>
        </w:rPr>
        <w:t xml:space="preserve"> </w:t>
      </w:r>
      <w:proofErr w:type="spellStart"/>
      <w:r>
        <w:rPr>
          <w:rFonts w:eastAsia="Palatino Linotype"/>
          <w:position w:val="1"/>
          <w:sz w:val="22"/>
          <w:szCs w:val="22"/>
          <w:lang w:val="es-ES"/>
        </w:rPr>
        <w:t>contract</w:t>
      </w:r>
      <w:proofErr w:type="spellEnd"/>
      <w:r>
        <w:rPr>
          <w:rFonts w:eastAsia="Palatino Linotype"/>
          <w:position w:val="1"/>
          <w:sz w:val="22"/>
          <w:szCs w:val="22"/>
          <w:lang w:val="es-ES"/>
        </w:rPr>
        <w:t xml:space="preserve">, </w:t>
      </w:r>
      <w:proofErr w:type="spellStart"/>
      <w:r>
        <w:rPr>
          <w:rFonts w:eastAsia="Palatino Linotype"/>
          <w:position w:val="1"/>
          <w:sz w:val="22"/>
          <w:szCs w:val="22"/>
          <w:lang w:val="es-ES"/>
        </w:rPr>
        <w:t>must</w:t>
      </w:r>
      <w:proofErr w:type="spellEnd"/>
      <w:r>
        <w:rPr>
          <w:rFonts w:eastAsia="Palatino Linotype"/>
          <w:position w:val="1"/>
          <w:sz w:val="22"/>
          <w:szCs w:val="22"/>
          <w:lang w:val="es-ES"/>
        </w:rPr>
        <w:t xml:space="preserve"> </w:t>
      </w:r>
      <w:proofErr w:type="spellStart"/>
      <w:r>
        <w:rPr>
          <w:rFonts w:eastAsia="Palatino Linotype"/>
          <w:position w:val="1"/>
          <w:sz w:val="22"/>
          <w:szCs w:val="22"/>
          <w:lang w:val="es-ES"/>
        </w:rPr>
        <w:t>establish</w:t>
      </w:r>
      <w:proofErr w:type="spellEnd"/>
      <w:r>
        <w:rPr>
          <w:rFonts w:eastAsia="Palatino Linotype"/>
          <w:position w:val="1"/>
          <w:sz w:val="22"/>
          <w:szCs w:val="22"/>
          <w:lang w:val="es-ES"/>
        </w:rPr>
        <w:t xml:space="preserve"> a </w:t>
      </w:r>
      <w:proofErr w:type="spellStart"/>
      <w:r>
        <w:rPr>
          <w:rFonts w:eastAsia="Palatino Linotype"/>
          <w:position w:val="1"/>
          <w:sz w:val="22"/>
          <w:szCs w:val="22"/>
          <w:lang w:val="es-ES"/>
        </w:rPr>
        <w:t>domicile</w:t>
      </w:r>
      <w:proofErr w:type="spellEnd"/>
      <w:r>
        <w:rPr>
          <w:rFonts w:eastAsia="Palatino Linotype"/>
          <w:position w:val="1"/>
          <w:sz w:val="22"/>
          <w:szCs w:val="22"/>
          <w:lang w:val="es-ES"/>
        </w:rPr>
        <w:t xml:space="preserve"> </w:t>
      </w:r>
      <w:proofErr w:type="spellStart"/>
      <w:r>
        <w:rPr>
          <w:rFonts w:eastAsia="Palatino Linotype"/>
          <w:position w:val="1"/>
          <w:sz w:val="22"/>
          <w:szCs w:val="22"/>
          <w:lang w:val="es-ES"/>
        </w:rPr>
        <w:t>therein</w:t>
      </w:r>
      <w:proofErr w:type="spellEnd"/>
      <w:r>
        <w:rPr>
          <w:rFonts w:eastAsia="Palatino Linotype"/>
          <w:position w:val="1"/>
          <w:sz w:val="22"/>
          <w:szCs w:val="22"/>
          <w:lang w:val="es-ES"/>
        </w:rPr>
        <w:t>.</w:t>
      </w:r>
    </w:p>
    <w:p w14:paraId="762270D5" w14:textId="77777777" w:rsidR="00E255F4" w:rsidRDefault="00E255F4">
      <w:pPr>
        <w:rPr>
          <w:rFonts w:eastAsia="Palatino Linotype"/>
          <w:sz w:val="22"/>
          <w:szCs w:val="22"/>
          <w:lang w:val="es-ES"/>
        </w:rPr>
      </w:pPr>
    </w:p>
    <w:p w14:paraId="224F8208" w14:textId="77777777" w:rsidR="00E255F4" w:rsidRDefault="00000000">
      <w:pPr>
        <w:ind w:right="-142"/>
        <w:jc w:val="both"/>
        <w:outlineLvl w:val="0"/>
        <w:rPr>
          <w:rFonts w:eastAsia="Palatino Linotype"/>
          <w:b/>
          <w:spacing w:val="-1"/>
          <w:sz w:val="22"/>
          <w:szCs w:val="22"/>
          <w:lang w:val="es-ES"/>
        </w:rPr>
      </w:pPr>
      <w:bookmarkStart w:id="19" w:name="__RefHeading___Toc225377196"/>
      <w:bookmarkEnd w:id="19"/>
      <w:r>
        <w:rPr>
          <w:rFonts w:eastAsia="Palatino Linotype"/>
          <w:b/>
          <w:spacing w:val="-1"/>
          <w:sz w:val="22"/>
          <w:szCs w:val="22"/>
          <w:lang w:val="es-ES"/>
        </w:rPr>
        <w:t xml:space="preserve">8.3 </w:t>
      </w:r>
      <w:proofErr w:type="spellStart"/>
      <w:r>
        <w:rPr>
          <w:rFonts w:eastAsia="Palatino Linotype"/>
          <w:b/>
          <w:spacing w:val="-1"/>
          <w:sz w:val="22"/>
          <w:szCs w:val="22"/>
          <w:lang w:val="es-ES"/>
        </w:rPr>
        <w:t>Identification</w:t>
      </w:r>
      <w:proofErr w:type="spellEnd"/>
      <w:r>
        <w:rPr>
          <w:rFonts w:eastAsia="Palatino Linotype"/>
          <w:b/>
          <w:spacing w:val="-1"/>
          <w:sz w:val="22"/>
          <w:szCs w:val="22"/>
          <w:lang w:val="es-ES"/>
        </w:rPr>
        <w:tab/>
      </w:r>
    </w:p>
    <w:p w14:paraId="5F3C410D" w14:textId="77777777" w:rsidR="00E255F4" w:rsidRDefault="00E255F4">
      <w:pPr>
        <w:ind w:right="-142"/>
        <w:jc w:val="both"/>
        <w:rPr>
          <w:rFonts w:eastAsia="Palatino Linotype"/>
          <w:b/>
          <w:spacing w:val="4"/>
          <w:sz w:val="22"/>
          <w:szCs w:val="22"/>
          <w:lang w:val="es-ES"/>
        </w:rPr>
      </w:pPr>
    </w:p>
    <w:p w14:paraId="259868E4" w14:textId="77777777" w:rsidR="00E255F4" w:rsidRDefault="00000000">
      <w:pPr>
        <w:ind w:right="-142"/>
        <w:jc w:val="both"/>
        <w:rPr>
          <w:rFonts w:eastAsia="Palatino Linotype"/>
          <w:sz w:val="22"/>
          <w:szCs w:val="22"/>
          <w:lang w:val="es-ES"/>
        </w:rPr>
      </w:pPr>
      <w:proofErr w:type="spellStart"/>
      <w:r>
        <w:rPr>
          <w:rFonts w:eastAsia="Palatino Linotype"/>
          <w:spacing w:val="4"/>
          <w:sz w:val="22"/>
          <w:szCs w:val="22"/>
          <w:lang w:val="es-ES"/>
        </w:rPr>
        <w:t>The</w:t>
      </w:r>
      <w:r>
        <w:rPr>
          <w:rFonts w:eastAsia="Palatino Linotype"/>
          <w:sz w:val="22"/>
          <w:szCs w:val="22"/>
          <w:lang w:val="es-ES"/>
        </w:rPr>
        <w:t>Proposing</w:t>
      </w:r>
      <w:proofErr w:type="spellEnd"/>
      <w:r>
        <w:rPr>
          <w:rFonts w:eastAsia="Palatino Linotype"/>
          <w:sz w:val="22"/>
          <w:szCs w:val="22"/>
          <w:lang w:val="es-ES"/>
        </w:rPr>
        <w:t xml:space="preserve"> </w:t>
      </w:r>
      <w:proofErr w:type="spellStart"/>
      <w:r>
        <w:rPr>
          <w:rFonts w:eastAsia="Palatino Linotype"/>
          <w:sz w:val="22"/>
          <w:szCs w:val="22"/>
          <w:lang w:val="es-ES"/>
        </w:rPr>
        <w:t>firms</w:t>
      </w:r>
      <w:proofErr w:type="spellEnd"/>
      <w:r>
        <w:rPr>
          <w:rFonts w:eastAsia="Palatino Linotype"/>
          <w:sz w:val="22"/>
          <w:szCs w:val="22"/>
          <w:lang w:val="es-ES"/>
        </w:rPr>
        <w:t xml:space="preserve"> </w:t>
      </w:r>
      <w:proofErr w:type="spellStart"/>
      <w:r>
        <w:rPr>
          <w:rFonts w:eastAsia="Palatino Linotype"/>
          <w:sz w:val="22"/>
          <w:szCs w:val="22"/>
          <w:lang w:val="es-ES"/>
        </w:rPr>
        <w:t>must</w:t>
      </w:r>
      <w:proofErr w:type="spellEnd"/>
      <w:r>
        <w:rPr>
          <w:rFonts w:eastAsia="Palatino Linotype"/>
          <w:sz w:val="22"/>
          <w:szCs w:val="22"/>
          <w:lang w:val="es-ES"/>
        </w:rPr>
        <w:t xml:space="preserve"> </w:t>
      </w:r>
      <w:proofErr w:type="spellStart"/>
      <w:r>
        <w:rPr>
          <w:rFonts w:eastAsia="Palatino Linotype"/>
          <w:sz w:val="22"/>
          <w:szCs w:val="22"/>
          <w:lang w:val="es-ES"/>
        </w:rPr>
        <w:t>indicate</w:t>
      </w:r>
      <w:proofErr w:type="spellEnd"/>
      <w:r>
        <w:rPr>
          <w:rFonts w:eastAsia="Palatino Linotype"/>
          <w:sz w:val="22"/>
          <w:szCs w:val="22"/>
          <w:lang w:val="es-ES"/>
        </w:rPr>
        <w:t xml:space="preserve"> </w:t>
      </w:r>
      <w:proofErr w:type="spellStart"/>
      <w:r>
        <w:rPr>
          <w:rFonts w:eastAsia="Palatino Linotype"/>
          <w:sz w:val="22"/>
          <w:szCs w:val="22"/>
          <w:lang w:val="es-ES"/>
        </w:rPr>
        <w:t>the</w:t>
      </w:r>
      <w:proofErr w:type="spellEnd"/>
      <w:r>
        <w:rPr>
          <w:rFonts w:eastAsia="Palatino Linotype"/>
          <w:sz w:val="22"/>
          <w:szCs w:val="22"/>
          <w:lang w:val="es-ES"/>
        </w:rPr>
        <w:t xml:space="preserve"> </w:t>
      </w:r>
      <w:proofErr w:type="spellStart"/>
      <w:r>
        <w:rPr>
          <w:rFonts w:eastAsia="Palatino Linotype"/>
          <w:sz w:val="22"/>
          <w:szCs w:val="22"/>
          <w:lang w:val="es-ES"/>
        </w:rPr>
        <w:t>names</w:t>
      </w:r>
      <w:proofErr w:type="spellEnd"/>
      <w:r>
        <w:rPr>
          <w:rFonts w:eastAsia="Palatino Linotype"/>
          <w:sz w:val="22"/>
          <w:szCs w:val="22"/>
          <w:lang w:val="es-ES"/>
        </w:rPr>
        <w:t xml:space="preserve"> </w:t>
      </w:r>
      <w:proofErr w:type="spellStart"/>
      <w:r>
        <w:rPr>
          <w:rFonts w:eastAsia="Palatino Linotype"/>
          <w:sz w:val="22"/>
          <w:szCs w:val="22"/>
          <w:lang w:val="es-ES"/>
        </w:rPr>
        <w:t>of</w:t>
      </w:r>
      <w:proofErr w:type="spellEnd"/>
      <w:r>
        <w:rPr>
          <w:rFonts w:eastAsia="Palatino Linotype"/>
          <w:sz w:val="22"/>
          <w:szCs w:val="22"/>
          <w:lang w:val="es-ES"/>
        </w:rPr>
        <w:t xml:space="preserve"> </w:t>
      </w:r>
      <w:proofErr w:type="spellStart"/>
      <w:r>
        <w:rPr>
          <w:rFonts w:eastAsia="Palatino Linotype"/>
          <w:sz w:val="22"/>
          <w:szCs w:val="22"/>
          <w:lang w:val="es-ES"/>
        </w:rPr>
        <w:t>the</w:t>
      </w:r>
      <w:proofErr w:type="spellEnd"/>
      <w:r>
        <w:rPr>
          <w:rFonts w:eastAsia="Palatino Linotype"/>
          <w:sz w:val="22"/>
          <w:szCs w:val="22"/>
          <w:lang w:val="es-ES"/>
        </w:rPr>
        <w:t xml:space="preserve"> </w:t>
      </w:r>
      <w:proofErr w:type="spellStart"/>
      <w:r>
        <w:rPr>
          <w:rFonts w:eastAsia="Palatino Linotype"/>
          <w:sz w:val="22"/>
          <w:szCs w:val="22"/>
          <w:lang w:val="es-ES"/>
        </w:rPr>
        <w:t>owners</w:t>
      </w:r>
      <w:proofErr w:type="spellEnd"/>
      <w:r>
        <w:rPr>
          <w:rFonts w:eastAsia="Palatino Linotype"/>
          <w:sz w:val="22"/>
          <w:szCs w:val="22"/>
          <w:lang w:val="es-ES"/>
        </w:rPr>
        <w:t xml:space="preserve"> </w:t>
      </w:r>
      <w:proofErr w:type="spellStart"/>
      <w:r>
        <w:rPr>
          <w:rFonts w:eastAsia="Palatino Linotype"/>
          <w:sz w:val="22"/>
          <w:szCs w:val="22"/>
          <w:lang w:val="es-ES"/>
        </w:rPr>
        <w:t>that</w:t>
      </w:r>
      <w:proofErr w:type="spellEnd"/>
      <w:r>
        <w:rPr>
          <w:rFonts w:eastAsia="Palatino Linotype"/>
          <w:sz w:val="22"/>
          <w:szCs w:val="22"/>
          <w:lang w:val="es-ES"/>
        </w:rPr>
        <w:t xml:space="preserve"> </w:t>
      </w:r>
      <w:proofErr w:type="spellStart"/>
      <w:r>
        <w:rPr>
          <w:rFonts w:eastAsia="Palatino Linotype"/>
          <w:sz w:val="22"/>
          <w:szCs w:val="22"/>
          <w:lang w:val="es-ES"/>
        </w:rPr>
        <w:t>make</w:t>
      </w:r>
      <w:proofErr w:type="spellEnd"/>
      <w:r>
        <w:rPr>
          <w:rFonts w:eastAsia="Palatino Linotype"/>
          <w:sz w:val="22"/>
          <w:szCs w:val="22"/>
          <w:lang w:val="es-ES"/>
        </w:rPr>
        <w:t xml:space="preserve"> </w:t>
      </w:r>
      <w:proofErr w:type="spellStart"/>
      <w:r>
        <w:rPr>
          <w:rFonts w:eastAsia="Palatino Linotype"/>
          <w:sz w:val="22"/>
          <w:szCs w:val="22"/>
          <w:lang w:val="es-ES"/>
        </w:rPr>
        <w:t>it</w:t>
      </w:r>
      <w:proofErr w:type="spellEnd"/>
      <w:r>
        <w:rPr>
          <w:rFonts w:eastAsia="Palatino Linotype"/>
          <w:sz w:val="22"/>
          <w:szCs w:val="22"/>
          <w:lang w:val="es-ES"/>
        </w:rPr>
        <w:t xml:space="preserve"> up </w:t>
      </w:r>
      <w:proofErr w:type="spellStart"/>
      <w:r>
        <w:rPr>
          <w:rFonts w:eastAsia="Palatino Linotype"/>
          <w:sz w:val="22"/>
          <w:szCs w:val="22"/>
          <w:lang w:val="es-ES"/>
        </w:rPr>
        <w:t>if</w:t>
      </w:r>
      <w:proofErr w:type="spellEnd"/>
      <w:r>
        <w:rPr>
          <w:rFonts w:eastAsia="Palatino Linotype"/>
          <w:sz w:val="22"/>
          <w:szCs w:val="22"/>
          <w:lang w:val="es-ES"/>
        </w:rPr>
        <w:t xml:space="preserve"> </w:t>
      </w:r>
      <w:proofErr w:type="spellStart"/>
      <w:r>
        <w:rPr>
          <w:rFonts w:eastAsia="Palatino Linotype"/>
          <w:sz w:val="22"/>
          <w:szCs w:val="22"/>
          <w:lang w:val="es-ES"/>
        </w:rPr>
        <w:t>they</w:t>
      </w:r>
      <w:proofErr w:type="spellEnd"/>
      <w:r>
        <w:rPr>
          <w:rFonts w:eastAsia="Palatino Linotype"/>
          <w:sz w:val="22"/>
          <w:szCs w:val="22"/>
          <w:lang w:val="es-ES"/>
        </w:rPr>
        <w:t xml:space="preserve"> are personal </w:t>
      </w:r>
      <w:proofErr w:type="spellStart"/>
      <w:r>
        <w:rPr>
          <w:rFonts w:eastAsia="Palatino Linotype"/>
          <w:sz w:val="22"/>
          <w:szCs w:val="22"/>
          <w:lang w:val="es-ES"/>
        </w:rPr>
        <w:t>companies</w:t>
      </w:r>
      <w:proofErr w:type="spellEnd"/>
      <w:r>
        <w:rPr>
          <w:rFonts w:eastAsia="Palatino Linotype"/>
          <w:sz w:val="22"/>
          <w:szCs w:val="22"/>
          <w:lang w:val="es-ES"/>
        </w:rPr>
        <w:t xml:space="preserve"> </w:t>
      </w:r>
      <w:proofErr w:type="spellStart"/>
      <w:r>
        <w:rPr>
          <w:rFonts w:eastAsia="Palatino Linotype"/>
          <w:sz w:val="22"/>
          <w:szCs w:val="22"/>
          <w:lang w:val="es-ES"/>
        </w:rPr>
        <w:t>or</w:t>
      </w:r>
      <w:proofErr w:type="spellEnd"/>
      <w:r>
        <w:rPr>
          <w:rFonts w:eastAsia="Palatino Linotype"/>
          <w:sz w:val="22"/>
          <w:szCs w:val="22"/>
          <w:lang w:val="es-ES"/>
        </w:rPr>
        <w:t xml:space="preserve"> </w:t>
      </w:r>
      <w:proofErr w:type="spellStart"/>
      <w:r>
        <w:rPr>
          <w:rFonts w:eastAsia="Palatino Linotype"/>
          <w:sz w:val="22"/>
          <w:szCs w:val="22"/>
          <w:lang w:val="es-ES"/>
        </w:rPr>
        <w:t>of</w:t>
      </w:r>
      <w:proofErr w:type="spellEnd"/>
      <w:r>
        <w:rPr>
          <w:rFonts w:eastAsia="Palatino Linotype"/>
          <w:sz w:val="22"/>
          <w:szCs w:val="22"/>
          <w:lang w:val="es-ES"/>
        </w:rPr>
        <w:t xml:space="preserve"> </w:t>
      </w:r>
      <w:proofErr w:type="spellStart"/>
      <w:r>
        <w:rPr>
          <w:rFonts w:eastAsia="Palatino Linotype"/>
          <w:sz w:val="22"/>
          <w:szCs w:val="22"/>
          <w:lang w:val="es-ES"/>
        </w:rPr>
        <w:t>their</w:t>
      </w:r>
      <w:proofErr w:type="spellEnd"/>
      <w:r>
        <w:rPr>
          <w:rFonts w:eastAsia="Palatino Linotype"/>
          <w:sz w:val="22"/>
          <w:szCs w:val="22"/>
          <w:lang w:val="es-ES"/>
        </w:rPr>
        <w:t xml:space="preserve"> </w:t>
      </w:r>
      <w:proofErr w:type="spellStart"/>
      <w:r>
        <w:rPr>
          <w:rFonts w:eastAsia="Palatino Linotype"/>
          <w:sz w:val="22"/>
          <w:szCs w:val="22"/>
          <w:lang w:val="es-ES"/>
        </w:rPr>
        <w:t>authorized</w:t>
      </w:r>
      <w:proofErr w:type="spellEnd"/>
      <w:r>
        <w:rPr>
          <w:rFonts w:eastAsia="Palatino Linotype"/>
          <w:sz w:val="22"/>
          <w:szCs w:val="22"/>
          <w:lang w:val="es-ES"/>
        </w:rPr>
        <w:t xml:space="preserve"> representatives </w:t>
      </w:r>
      <w:proofErr w:type="spellStart"/>
      <w:r>
        <w:rPr>
          <w:rFonts w:eastAsia="Palatino Linotype"/>
          <w:sz w:val="22"/>
          <w:szCs w:val="22"/>
          <w:lang w:val="es-ES"/>
        </w:rPr>
        <w:t>if</w:t>
      </w:r>
      <w:proofErr w:type="spellEnd"/>
      <w:r>
        <w:rPr>
          <w:rFonts w:eastAsia="Palatino Linotype"/>
          <w:sz w:val="22"/>
          <w:szCs w:val="22"/>
          <w:lang w:val="es-ES"/>
        </w:rPr>
        <w:t xml:space="preserve"> </w:t>
      </w:r>
      <w:proofErr w:type="spellStart"/>
      <w:r>
        <w:rPr>
          <w:rFonts w:eastAsia="Palatino Linotype"/>
          <w:sz w:val="22"/>
          <w:szCs w:val="22"/>
          <w:lang w:val="es-ES"/>
        </w:rPr>
        <w:t>they</w:t>
      </w:r>
      <w:proofErr w:type="spellEnd"/>
      <w:r>
        <w:rPr>
          <w:rFonts w:eastAsia="Palatino Linotype"/>
          <w:sz w:val="22"/>
          <w:szCs w:val="22"/>
          <w:lang w:val="es-ES"/>
        </w:rPr>
        <w:t xml:space="preserve"> are </w:t>
      </w:r>
      <w:proofErr w:type="spellStart"/>
      <w:r>
        <w:rPr>
          <w:rFonts w:eastAsia="Palatino Linotype"/>
          <w:sz w:val="22"/>
          <w:szCs w:val="22"/>
          <w:lang w:val="es-ES"/>
        </w:rPr>
        <w:t>public</w:t>
      </w:r>
      <w:proofErr w:type="spellEnd"/>
      <w:r>
        <w:rPr>
          <w:rFonts w:eastAsia="Palatino Linotype"/>
          <w:sz w:val="22"/>
          <w:szCs w:val="22"/>
          <w:lang w:val="es-ES"/>
        </w:rPr>
        <w:t xml:space="preserve"> </w:t>
      </w:r>
      <w:proofErr w:type="spellStart"/>
      <w:r>
        <w:rPr>
          <w:rFonts w:eastAsia="Palatino Linotype"/>
          <w:sz w:val="22"/>
          <w:szCs w:val="22"/>
          <w:lang w:val="es-ES"/>
        </w:rPr>
        <w:t>limited</w:t>
      </w:r>
      <w:proofErr w:type="spellEnd"/>
      <w:r>
        <w:rPr>
          <w:rFonts w:eastAsia="Palatino Linotype"/>
          <w:sz w:val="22"/>
          <w:szCs w:val="22"/>
          <w:lang w:val="es-ES"/>
        </w:rPr>
        <w:t xml:space="preserve"> </w:t>
      </w:r>
      <w:proofErr w:type="spellStart"/>
      <w:r>
        <w:rPr>
          <w:rFonts w:eastAsia="Palatino Linotype"/>
          <w:sz w:val="22"/>
          <w:szCs w:val="22"/>
          <w:lang w:val="es-ES"/>
        </w:rPr>
        <w:t>companies</w:t>
      </w:r>
      <w:proofErr w:type="spellEnd"/>
      <w:r>
        <w:rPr>
          <w:rFonts w:eastAsia="Palatino Linotype"/>
          <w:sz w:val="22"/>
          <w:szCs w:val="22"/>
          <w:lang w:val="es-ES"/>
        </w:rPr>
        <w:t>.</w:t>
      </w:r>
    </w:p>
    <w:p w14:paraId="62FCAC25" w14:textId="77777777" w:rsidR="00E255F4" w:rsidRDefault="00E255F4">
      <w:pPr>
        <w:ind w:right="-142"/>
        <w:jc w:val="both"/>
        <w:rPr>
          <w:rFonts w:eastAsia="Palatino Linotype"/>
          <w:spacing w:val="-2"/>
          <w:sz w:val="22"/>
          <w:szCs w:val="22"/>
          <w:lang w:val="es-ES"/>
        </w:rPr>
      </w:pPr>
    </w:p>
    <w:p w14:paraId="126505EC" w14:textId="77777777" w:rsidR="00E255F4" w:rsidRDefault="00000000">
      <w:pPr>
        <w:ind w:right="-142"/>
        <w:jc w:val="both"/>
      </w:pPr>
      <w:r>
        <w:rPr>
          <w:rFonts w:eastAsia="Palatino Linotype"/>
          <w:spacing w:val="-2"/>
          <w:sz w:val="22"/>
          <w:szCs w:val="22"/>
          <w:lang w:val="es-ES"/>
        </w:rPr>
        <w:t>AND</w:t>
      </w:r>
      <w:r>
        <w:rPr>
          <w:rFonts w:eastAsia="Palatino Linotype"/>
          <w:sz w:val="22"/>
          <w:szCs w:val="22"/>
          <w:lang w:val="es-ES"/>
        </w:rPr>
        <w:t xml:space="preserve">In cases </w:t>
      </w:r>
      <w:proofErr w:type="spellStart"/>
      <w:r>
        <w:rPr>
          <w:rFonts w:eastAsia="Palatino Linotype"/>
          <w:sz w:val="22"/>
          <w:szCs w:val="22"/>
          <w:lang w:val="es-ES"/>
        </w:rPr>
        <w:t>where</w:t>
      </w:r>
      <w:proofErr w:type="spellEnd"/>
      <w:r>
        <w:rPr>
          <w:rFonts w:eastAsia="Palatino Linotype"/>
          <w:sz w:val="22"/>
          <w:szCs w:val="22"/>
          <w:lang w:val="es-ES"/>
        </w:rPr>
        <w:t xml:space="preserve"> </w:t>
      </w:r>
      <w:proofErr w:type="spellStart"/>
      <w:r>
        <w:rPr>
          <w:rFonts w:eastAsia="Palatino Linotype"/>
          <w:sz w:val="22"/>
          <w:szCs w:val="22"/>
          <w:lang w:val="es-ES"/>
        </w:rPr>
        <w:t>this</w:t>
      </w:r>
      <w:proofErr w:type="spellEnd"/>
      <w:r>
        <w:rPr>
          <w:rFonts w:eastAsia="Palatino Linotype"/>
          <w:sz w:val="22"/>
          <w:szCs w:val="22"/>
          <w:lang w:val="es-ES"/>
        </w:rPr>
        <w:t xml:space="preserve"> </w:t>
      </w:r>
      <w:proofErr w:type="gramStart"/>
      <w:r>
        <w:rPr>
          <w:rFonts w:eastAsia="Palatino Linotype"/>
          <w:sz w:val="22"/>
          <w:szCs w:val="22"/>
          <w:lang w:val="es-ES"/>
        </w:rPr>
        <w:t>Single</w:t>
      </w:r>
      <w:proofErr w:type="gramEnd"/>
      <w:r>
        <w:rPr>
          <w:rFonts w:eastAsia="Palatino Linotype"/>
          <w:sz w:val="22"/>
          <w:szCs w:val="22"/>
          <w:lang w:val="es-ES"/>
        </w:rPr>
        <w:t xml:space="preserve"> </w:t>
      </w:r>
      <w:proofErr w:type="spellStart"/>
      <w:r>
        <w:rPr>
          <w:rFonts w:eastAsia="Palatino Linotype"/>
          <w:sz w:val="22"/>
          <w:szCs w:val="22"/>
          <w:lang w:val="es-ES"/>
        </w:rPr>
        <w:t>Specification</w:t>
      </w:r>
      <w:proofErr w:type="spellEnd"/>
      <w:r>
        <w:rPr>
          <w:rFonts w:eastAsia="Palatino Linotype"/>
          <w:sz w:val="22"/>
          <w:szCs w:val="22"/>
          <w:lang w:val="es-ES"/>
        </w:rPr>
        <w:t xml:space="preserve"> </w:t>
      </w:r>
      <w:proofErr w:type="spellStart"/>
      <w:r>
        <w:rPr>
          <w:rFonts w:eastAsia="Palatino Linotype"/>
          <w:sz w:val="22"/>
          <w:szCs w:val="22"/>
          <w:lang w:val="es-ES"/>
        </w:rPr>
        <w:t>applies</w:t>
      </w:r>
      <w:proofErr w:type="spellEnd"/>
      <w:r>
        <w:rPr>
          <w:rFonts w:eastAsia="Palatino Linotype"/>
          <w:sz w:val="22"/>
          <w:szCs w:val="22"/>
          <w:lang w:val="es-ES"/>
        </w:rPr>
        <w:t xml:space="preserve">, </w:t>
      </w:r>
      <w:proofErr w:type="spellStart"/>
      <w:r>
        <w:rPr>
          <w:rFonts w:eastAsia="Palatino Linotype"/>
          <w:sz w:val="22"/>
          <w:szCs w:val="22"/>
          <w:lang w:val="es-ES"/>
        </w:rPr>
        <w:t>corporations</w:t>
      </w:r>
      <w:proofErr w:type="spellEnd"/>
      <w:r>
        <w:rPr>
          <w:rFonts w:eastAsia="Palatino Linotype"/>
          <w:sz w:val="22"/>
          <w:szCs w:val="22"/>
          <w:lang w:val="es-ES"/>
        </w:rPr>
        <w:t xml:space="preserve"> </w:t>
      </w:r>
      <w:proofErr w:type="spellStart"/>
      <w:r>
        <w:rPr>
          <w:rFonts w:eastAsia="Palatino Linotype"/>
          <w:sz w:val="22"/>
          <w:szCs w:val="22"/>
          <w:lang w:val="es-ES"/>
        </w:rPr>
        <w:t>must</w:t>
      </w:r>
      <w:proofErr w:type="spellEnd"/>
      <w:r>
        <w:rPr>
          <w:rFonts w:eastAsia="Palatino Linotype"/>
          <w:sz w:val="22"/>
          <w:szCs w:val="22"/>
          <w:lang w:val="es-ES"/>
        </w:rPr>
        <w:t xml:space="preserve"> </w:t>
      </w:r>
      <w:proofErr w:type="spellStart"/>
      <w:r>
        <w:rPr>
          <w:rFonts w:eastAsia="Palatino Linotype"/>
          <w:sz w:val="22"/>
          <w:szCs w:val="22"/>
          <w:lang w:val="es-ES"/>
        </w:rPr>
        <w:t>add</w:t>
      </w:r>
      <w:proofErr w:type="spellEnd"/>
      <w:r>
        <w:rPr>
          <w:rFonts w:eastAsia="Palatino Linotype"/>
          <w:sz w:val="22"/>
          <w:szCs w:val="22"/>
          <w:lang w:val="es-ES"/>
        </w:rPr>
        <w:t xml:space="preserve"> </w:t>
      </w:r>
      <w:proofErr w:type="spellStart"/>
      <w:r>
        <w:rPr>
          <w:rFonts w:eastAsia="Palatino Linotype"/>
          <w:sz w:val="22"/>
          <w:szCs w:val="22"/>
          <w:lang w:val="es-ES"/>
        </w:rPr>
        <w:t>the</w:t>
      </w:r>
      <w:proofErr w:type="spellEnd"/>
      <w:r>
        <w:rPr>
          <w:rFonts w:eastAsia="Palatino Linotype"/>
          <w:sz w:val="22"/>
          <w:szCs w:val="22"/>
          <w:lang w:val="es-ES"/>
        </w:rPr>
        <w:t xml:space="preserve"> </w:t>
      </w:r>
      <w:proofErr w:type="spellStart"/>
      <w:r>
        <w:rPr>
          <w:rFonts w:eastAsia="Palatino Linotype"/>
          <w:sz w:val="22"/>
          <w:szCs w:val="22"/>
          <w:lang w:val="es-ES"/>
        </w:rPr>
        <w:t>list</w:t>
      </w:r>
      <w:proofErr w:type="spellEnd"/>
      <w:r>
        <w:rPr>
          <w:rFonts w:eastAsia="Palatino Linotype"/>
          <w:sz w:val="22"/>
          <w:szCs w:val="22"/>
          <w:lang w:val="es-ES"/>
        </w:rPr>
        <w:t xml:space="preserve"> </w:t>
      </w:r>
      <w:proofErr w:type="spellStart"/>
      <w:r>
        <w:rPr>
          <w:rFonts w:eastAsia="Palatino Linotype"/>
          <w:sz w:val="22"/>
          <w:szCs w:val="22"/>
          <w:lang w:val="es-ES"/>
        </w:rPr>
        <w:t>of</w:t>
      </w:r>
      <w:proofErr w:type="spellEnd"/>
      <w:r>
        <w:rPr>
          <w:rFonts w:eastAsia="Palatino Linotype"/>
          <w:sz w:val="22"/>
          <w:szCs w:val="22"/>
          <w:lang w:val="es-ES"/>
        </w:rPr>
        <w:t xml:space="preserve"> </w:t>
      </w:r>
      <w:proofErr w:type="spellStart"/>
      <w:r>
        <w:rPr>
          <w:rFonts w:eastAsia="Palatino Linotype"/>
          <w:sz w:val="22"/>
          <w:szCs w:val="22"/>
          <w:lang w:val="es-ES"/>
        </w:rPr>
        <w:t>members</w:t>
      </w:r>
      <w:proofErr w:type="spellEnd"/>
      <w:r>
        <w:rPr>
          <w:rFonts w:eastAsia="Palatino Linotype"/>
          <w:sz w:val="22"/>
          <w:szCs w:val="22"/>
          <w:lang w:val="es-ES"/>
        </w:rPr>
        <w:t xml:space="preserve"> </w:t>
      </w:r>
      <w:proofErr w:type="spellStart"/>
      <w:r>
        <w:rPr>
          <w:rFonts w:eastAsia="Palatino Linotype"/>
          <w:sz w:val="22"/>
          <w:szCs w:val="22"/>
          <w:lang w:val="es-ES"/>
        </w:rPr>
        <w:t>of</w:t>
      </w:r>
      <w:proofErr w:type="spellEnd"/>
      <w:r>
        <w:rPr>
          <w:rFonts w:eastAsia="Palatino Linotype"/>
          <w:sz w:val="22"/>
          <w:szCs w:val="22"/>
          <w:lang w:val="es-ES"/>
        </w:rPr>
        <w:t xml:space="preserve"> </w:t>
      </w:r>
      <w:proofErr w:type="spellStart"/>
      <w:r>
        <w:rPr>
          <w:rFonts w:eastAsia="Palatino Linotype"/>
          <w:sz w:val="22"/>
          <w:szCs w:val="22"/>
          <w:lang w:val="es-ES"/>
        </w:rPr>
        <w:t>the</w:t>
      </w:r>
      <w:proofErr w:type="spellEnd"/>
      <w:r>
        <w:rPr>
          <w:rFonts w:eastAsia="Palatino Linotype"/>
          <w:sz w:val="22"/>
          <w:szCs w:val="22"/>
          <w:lang w:val="es-ES"/>
        </w:rPr>
        <w:t xml:space="preserve"> </w:t>
      </w:r>
      <w:proofErr w:type="spellStart"/>
      <w:r>
        <w:rPr>
          <w:rFonts w:eastAsia="Palatino Linotype"/>
          <w:sz w:val="22"/>
          <w:szCs w:val="22"/>
          <w:lang w:val="es-ES"/>
        </w:rPr>
        <w:t>boards</w:t>
      </w:r>
      <w:proofErr w:type="spellEnd"/>
      <w:r>
        <w:rPr>
          <w:rFonts w:eastAsia="Palatino Linotype"/>
          <w:sz w:val="22"/>
          <w:szCs w:val="22"/>
          <w:lang w:val="es-ES"/>
        </w:rPr>
        <w:t xml:space="preserve"> </w:t>
      </w:r>
      <w:proofErr w:type="spellStart"/>
      <w:r>
        <w:rPr>
          <w:rFonts w:eastAsia="Palatino Linotype"/>
          <w:sz w:val="22"/>
          <w:szCs w:val="22"/>
          <w:lang w:val="es-ES"/>
        </w:rPr>
        <w:t>of</w:t>
      </w:r>
      <w:proofErr w:type="spellEnd"/>
      <w:r>
        <w:rPr>
          <w:rFonts w:eastAsia="Palatino Linotype"/>
          <w:sz w:val="22"/>
          <w:szCs w:val="22"/>
          <w:lang w:val="es-ES"/>
        </w:rPr>
        <w:t xml:space="preserve"> </w:t>
      </w:r>
      <w:proofErr w:type="spellStart"/>
      <w:r>
        <w:rPr>
          <w:rFonts w:eastAsia="Palatino Linotype"/>
          <w:sz w:val="22"/>
          <w:szCs w:val="22"/>
          <w:lang w:val="es-ES"/>
        </w:rPr>
        <w:t>directors</w:t>
      </w:r>
      <w:proofErr w:type="spellEnd"/>
      <w:r>
        <w:rPr>
          <w:rFonts w:eastAsia="Palatino Linotype"/>
          <w:sz w:val="22"/>
          <w:szCs w:val="22"/>
          <w:lang w:val="es-ES"/>
        </w:rPr>
        <w:t>.</w:t>
      </w:r>
    </w:p>
    <w:p w14:paraId="48A0F996" w14:textId="77777777" w:rsidR="00E255F4" w:rsidRDefault="00E255F4">
      <w:pPr>
        <w:rPr>
          <w:rFonts w:eastAsia="Palatino Linotype"/>
          <w:sz w:val="22"/>
          <w:szCs w:val="22"/>
          <w:lang w:val="es-ES"/>
        </w:rPr>
      </w:pPr>
    </w:p>
    <w:p w14:paraId="6293DAF0" w14:textId="77777777" w:rsidR="00E255F4" w:rsidRDefault="00000000">
      <w:pPr>
        <w:ind w:right="-142"/>
        <w:jc w:val="both"/>
        <w:outlineLvl w:val="0"/>
        <w:rPr>
          <w:rFonts w:eastAsia="Palatino Linotype"/>
          <w:b/>
          <w:spacing w:val="-1"/>
          <w:sz w:val="22"/>
          <w:szCs w:val="22"/>
          <w:lang w:val="es-ES"/>
        </w:rPr>
      </w:pPr>
      <w:bookmarkStart w:id="20" w:name="__RefHeading___Toc225377197"/>
      <w:bookmarkEnd w:id="20"/>
      <w:r>
        <w:rPr>
          <w:rFonts w:eastAsia="Palatino Linotype"/>
          <w:b/>
          <w:spacing w:val="-1"/>
          <w:sz w:val="22"/>
          <w:szCs w:val="22"/>
          <w:lang w:val="es-ES"/>
        </w:rPr>
        <w:t xml:space="preserve">8.4 </w:t>
      </w:r>
      <w:proofErr w:type="spellStart"/>
      <w:r>
        <w:rPr>
          <w:rFonts w:eastAsia="Palatino Linotype"/>
          <w:b/>
          <w:spacing w:val="-1"/>
          <w:sz w:val="22"/>
          <w:szCs w:val="22"/>
          <w:lang w:val="es-ES"/>
        </w:rPr>
        <w:t>Compliance</w:t>
      </w:r>
      <w:proofErr w:type="spellEnd"/>
      <w:r>
        <w:rPr>
          <w:rFonts w:eastAsia="Palatino Linotype"/>
          <w:b/>
          <w:spacing w:val="-1"/>
          <w:sz w:val="22"/>
          <w:szCs w:val="22"/>
          <w:lang w:val="es-ES"/>
        </w:rPr>
        <w:t xml:space="preserve"> </w:t>
      </w:r>
      <w:proofErr w:type="spellStart"/>
      <w:r>
        <w:rPr>
          <w:rFonts w:eastAsia="Palatino Linotype"/>
          <w:b/>
          <w:spacing w:val="-1"/>
          <w:sz w:val="22"/>
          <w:szCs w:val="22"/>
          <w:lang w:val="es-ES"/>
        </w:rPr>
        <w:t>with</w:t>
      </w:r>
      <w:proofErr w:type="spellEnd"/>
      <w:r>
        <w:rPr>
          <w:rFonts w:eastAsia="Palatino Linotype"/>
          <w:b/>
          <w:spacing w:val="-1"/>
          <w:sz w:val="22"/>
          <w:szCs w:val="22"/>
          <w:lang w:val="es-ES"/>
        </w:rPr>
        <w:t xml:space="preserve"> formal </w:t>
      </w:r>
      <w:proofErr w:type="spellStart"/>
      <w:r>
        <w:rPr>
          <w:rFonts w:eastAsia="Palatino Linotype"/>
          <w:b/>
          <w:spacing w:val="-1"/>
          <w:sz w:val="22"/>
          <w:szCs w:val="22"/>
          <w:lang w:val="es-ES"/>
        </w:rPr>
        <w:t>requirements</w:t>
      </w:r>
      <w:proofErr w:type="spellEnd"/>
      <w:r>
        <w:rPr>
          <w:rFonts w:eastAsia="Palatino Linotype"/>
          <w:b/>
          <w:spacing w:val="-1"/>
          <w:sz w:val="22"/>
          <w:szCs w:val="22"/>
          <w:lang w:val="es-ES"/>
        </w:rPr>
        <w:tab/>
      </w:r>
    </w:p>
    <w:p w14:paraId="5D431528" w14:textId="77777777" w:rsidR="00E255F4" w:rsidRDefault="00E255F4">
      <w:pPr>
        <w:rPr>
          <w:rFonts w:eastAsia="Palatino Linotype"/>
          <w:b/>
          <w:spacing w:val="-1"/>
          <w:sz w:val="22"/>
          <w:szCs w:val="22"/>
          <w:lang w:val="es-ES"/>
        </w:rPr>
      </w:pPr>
    </w:p>
    <w:p w14:paraId="718F95EA" w14:textId="77777777" w:rsidR="00E255F4" w:rsidRDefault="00000000">
      <w:pPr>
        <w:ind w:right="-142"/>
        <w:jc w:val="both"/>
      </w:pPr>
      <w:proofErr w:type="spellStart"/>
      <w:r>
        <w:rPr>
          <w:rFonts w:eastAsia="Palatino Linotype"/>
          <w:spacing w:val="-7"/>
          <w:sz w:val="22"/>
          <w:szCs w:val="22"/>
          <w:lang w:val="es-ES"/>
        </w:rPr>
        <w:t>Pair</w:t>
      </w:r>
      <w:r>
        <w:rPr>
          <w:rFonts w:eastAsia="Palatino Linotype"/>
          <w:sz w:val="22"/>
          <w:szCs w:val="22"/>
          <w:lang w:val="es-ES"/>
        </w:rPr>
        <w:t>The</w:t>
      </w:r>
      <w:proofErr w:type="spellEnd"/>
      <w:r>
        <w:rPr>
          <w:rFonts w:eastAsia="Palatino Linotype"/>
          <w:sz w:val="22"/>
          <w:szCs w:val="22"/>
          <w:lang w:val="es-ES"/>
        </w:rPr>
        <w:t xml:space="preserve"> </w:t>
      </w:r>
      <w:proofErr w:type="spellStart"/>
      <w:r>
        <w:rPr>
          <w:rFonts w:eastAsia="Palatino Linotype"/>
          <w:sz w:val="22"/>
          <w:szCs w:val="22"/>
          <w:lang w:val="es-ES"/>
        </w:rPr>
        <w:t>principles</w:t>
      </w:r>
      <w:proofErr w:type="spellEnd"/>
      <w:r>
        <w:rPr>
          <w:rFonts w:eastAsia="Palatino Linotype"/>
          <w:sz w:val="22"/>
          <w:szCs w:val="22"/>
          <w:lang w:val="es-ES"/>
        </w:rPr>
        <w:t xml:space="preserve"> </w:t>
      </w:r>
      <w:proofErr w:type="spellStart"/>
      <w:r>
        <w:rPr>
          <w:rFonts w:eastAsia="Palatino Linotype"/>
          <w:sz w:val="22"/>
          <w:szCs w:val="22"/>
          <w:lang w:val="es-ES"/>
        </w:rPr>
        <w:t>established</w:t>
      </w:r>
      <w:proofErr w:type="spellEnd"/>
      <w:r>
        <w:rPr>
          <w:rFonts w:eastAsia="Palatino Linotype"/>
          <w:sz w:val="22"/>
          <w:szCs w:val="22"/>
          <w:lang w:val="es-ES"/>
        </w:rPr>
        <w:t xml:space="preserve"> in </w:t>
      </w:r>
      <w:proofErr w:type="spellStart"/>
      <w:r>
        <w:rPr>
          <w:rFonts w:eastAsia="Palatino Linotype"/>
          <w:sz w:val="22"/>
          <w:szCs w:val="22"/>
          <w:lang w:val="es-ES"/>
        </w:rPr>
        <w:t>Article</w:t>
      </w:r>
      <w:proofErr w:type="spellEnd"/>
      <w:r>
        <w:rPr>
          <w:rFonts w:eastAsia="Palatino Linotype"/>
          <w:sz w:val="22"/>
          <w:szCs w:val="22"/>
          <w:lang w:val="es-ES"/>
        </w:rPr>
        <w:t xml:space="preserve"> 149 </w:t>
      </w:r>
      <w:proofErr w:type="spellStart"/>
      <w:r>
        <w:rPr>
          <w:rFonts w:eastAsia="Palatino Linotype"/>
          <w:sz w:val="22"/>
          <w:szCs w:val="22"/>
          <w:lang w:val="es-ES"/>
        </w:rPr>
        <w:t>of</w:t>
      </w:r>
      <w:proofErr w:type="spellEnd"/>
      <w:r>
        <w:rPr>
          <w:rFonts w:eastAsia="Palatino Linotype"/>
          <w:sz w:val="22"/>
          <w:szCs w:val="22"/>
          <w:lang w:val="es-ES"/>
        </w:rPr>
        <w:t xml:space="preserve"> </w:t>
      </w:r>
      <w:proofErr w:type="spellStart"/>
      <w:r>
        <w:rPr>
          <w:rFonts w:eastAsia="Palatino Linotype"/>
          <w:sz w:val="22"/>
          <w:szCs w:val="22"/>
          <w:lang w:val="es-ES"/>
        </w:rPr>
        <w:t>the</w:t>
      </w:r>
      <w:proofErr w:type="spellEnd"/>
      <w:r>
        <w:rPr>
          <w:rFonts w:eastAsia="Palatino Linotype"/>
          <w:sz w:val="22"/>
          <w:szCs w:val="22"/>
          <w:lang w:val="es-ES"/>
        </w:rPr>
        <w:t xml:space="preserve"> TOCAF </w:t>
      </w:r>
      <w:proofErr w:type="spellStart"/>
      <w:r>
        <w:rPr>
          <w:rFonts w:eastAsia="Palatino Linotype"/>
          <w:sz w:val="22"/>
          <w:szCs w:val="22"/>
          <w:lang w:val="es-ES"/>
        </w:rPr>
        <w:t>will</w:t>
      </w:r>
      <w:proofErr w:type="spellEnd"/>
      <w:r>
        <w:rPr>
          <w:rFonts w:eastAsia="Palatino Linotype"/>
          <w:sz w:val="22"/>
          <w:szCs w:val="22"/>
          <w:lang w:val="es-ES"/>
        </w:rPr>
        <w:t xml:space="preserve"> be </w:t>
      </w:r>
      <w:proofErr w:type="spellStart"/>
      <w:r>
        <w:rPr>
          <w:rFonts w:eastAsia="Palatino Linotype"/>
          <w:sz w:val="22"/>
          <w:szCs w:val="22"/>
          <w:lang w:val="es-ES"/>
        </w:rPr>
        <w:t>applied</w:t>
      </w:r>
      <w:proofErr w:type="spellEnd"/>
      <w:r>
        <w:rPr>
          <w:rFonts w:eastAsia="Palatino Linotype"/>
          <w:sz w:val="22"/>
          <w:szCs w:val="22"/>
          <w:lang w:val="es-ES"/>
        </w:rPr>
        <w:t xml:space="preserve"> </w:t>
      </w:r>
      <w:proofErr w:type="spellStart"/>
      <w:r>
        <w:rPr>
          <w:rFonts w:eastAsia="Palatino Linotype"/>
          <w:sz w:val="22"/>
          <w:szCs w:val="22"/>
          <w:lang w:val="es-ES"/>
        </w:rPr>
        <w:t>to</w:t>
      </w:r>
      <w:proofErr w:type="spellEnd"/>
      <w:r>
        <w:rPr>
          <w:rFonts w:eastAsia="Palatino Linotype"/>
          <w:sz w:val="22"/>
          <w:szCs w:val="22"/>
          <w:lang w:val="es-ES"/>
        </w:rPr>
        <w:t xml:space="preserve"> </w:t>
      </w:r>
      <w:proofErr w:type="spellStart"/>
      <w:r>
        <w:rPr>
          <w:rFonts w:eastAsia="Palatino Linotype"/>
          <w:sz w:val="22"/>
          <w:szCs w:val="22"/>
          <w:lang w:val="es-ES"/>
        </w:rPr>
        <w:t>the</w:t>
      </w:r>
      <w:proofErr w:type="spellEnd"/>
      <w:r>
        <w:rPr>
          <w:rFonts w:eastAsia="Palatino Linotype"/>
          <w:sz w:val="22"/>
          <w:szCs w:val="22"/>
          <w:lang w:val="es-ES"/>
        </w:rPr>
        <w:t xml:space="preserve"> </w:t>
      </w:r>
      <w:proofErr w:type="spellStart"/>
      <w:r>
        <w:rPr>
          <w:rFonts w:eastAsia="Palatino Linotype"/>
          <w:sz w:val="22"/>
          <w:szCs w:val="22"/>
          <w:lang w:val="es-ES"/>
        </w:rPr>
        <w:t>assessment</w:t>
      </w:r>
      <w:proofErr w:type="spellEnd"/>
      <w:r>
        <w:rPr>
          <w:rFonts w:eastAsia="Palatino Linotype"/>
          <w:sz w:val="22"/>
          <w:szCs w:val="22"/>
          <w:lang w:val="es-ES"/>
        </w:rPr>
        <w:t xml:space="preserve"> </w:t>
      </w:r>
      <w:proofErr w:type="spellStart"/>
      <w:r>
        <w:rPr>
          <w:rFonts w:eastAsia="Palatino Linotype"/>
          <w:sz w:val="22"/>
          <w:szCs w:val="22"/>
          <w:lang w:val="es-ES"/>
        </w:rPr>
        <w:t>of</w:t>
      </w:r>
      <w:proofErr w:type="spellEnd"/>
      <w:r>
        <w:rPr>
          <w:rFonts w:eastAsia="Palatino Linotype"/>
          <w:sz w:val="22"/>
          <w:szCs w:val="22"/>
          <w:lang w:val="es-ES"/>
        </w:rPr>
        <w:t xml:space="preserve"> </w:t>
      </w:r>
      <w:proofErr w:type="spellStart"/>
      <w:r>
        <w:rPr>
          <w:rFonts w:eastAsia="Palatino Linotype"/>
          <w:sz w:val="22"/>
          <w:szCs w:val="22"/>
          <w:lang w:val="es-ES"/>
        </w:rPr>
        <w:t>compliance</w:t>
      </w:r>
      <w:proofErr w:type="spellEnd"/>
      <w:r>
        <w:rPr>
          <w:rFonts w:eastAsia="Palatino Linotype"/>
          <w:sz w:val="22"/>
          <w:szCs w:val="22"/>
          <w:lang w:val="es-ES"/>
        </w:rPr>
        <w:t xml:space="preserve"> </w:t>
      </w:r>
      <w:proofErr w:type="spellStart"/>
      <w:r>
        <w:rPr>
          <w:rFonts w:eastAsia="Palatino Linotype"/>
          <w:sz w:val="22"/>
          <w:szCs w:val="22"/>
          <w:lang w:val="es-ES"/>
        </w:rPr>
        <w:t>with</w:t>
      </w:r>
      <w:proofErr w:type="spellEnd"/>
      <w:r>
        <w:rPr>
          <w:rFonts w:eastAsia="Palatino Linotype"/>
          <w:sz w:val="22"/>
          <w:szCs w:val="22"/>
          <w:lang w:val="es-ES"/>
        </w:rPr>
        <w:t xml:space="preserve"> </w:t>
      </w:r>
      <w:proofErr w:type="spellStart"/>
      <w:r>
        <w:rPr>
          <w:rFonts w:eastAsia="Palatino Linotype"/>
          <w:sz w:val="22"/>
          <w:szCs w:val="22"/>
          <w:lang w:val="es-ES"/>
        </w:rPr>
        <w:t>the</w:t>
      </w:r>
      <w:proofErr w:type="spellEnd"/>
      <w:r>
        <w:rPr>
          <w:rFonts w:eastAsia="Palatino Linotype"/>
          <w:sz w:val="22"/>
          <w:szCs w:val="22"/>
          <w:lang w:val="es-ES"/>
        </w:rPr>
        <w:t xml:space="preserve"> formal </w:t>
      </w:r>
      <w:proofErr w:type="spellStart"/>
      <w:r>
        <w:rPr>
          <w:rFonts w:eastAsia="Palatino Linotype"/>
          <w:sz w:val="22"/>
          <w:szCs w:val="22"/>
          <w:lang w:val="es-ES"/>
        </w:rPr>
        <w:t>requirements</w:t>
      </w:r>
      <w:proofErr w:type="spellEnd"/>
      <w:r>
        <w:rPr>
          <w:rFonts w:eastAsia="Palatino Linotype"/>
          <w:sz w:val="22"/>
          <w:szCs w:val="22"/>
          <w:lang w:val="es-ES"/>
        </w:rPr>
        <w:t>.</w:t>
      </w:r>
    </w:p>
    <w:p w14:paraId="2C7731E9" w14:textId="77777777" w:rsidR="00E255F4" w:rsidRDefault="00E255F4">
      <w:pPr>
        <w:rPr>
          <w:rFonts w:eastAsia="Palatino Linotype"/>
          <w:sz w:val="22"/>
          <w:szCs w:val="22"/>
          <w:lang w:val="es-ES"/>
        </w:rPr>
      </w:pPr>
    </w:p>
    <w:p w14:paraId="73C293E1" w14:textId="77777777" w:rsidR="00E255F4" w:rsidRDefault="00000000">
      <w:pPr>
        <w:tabs>
          <w:tab w:val="left" w:pos="284"/>
        </w:tabs>
        <w:ind w:right="-142"/>
        <w:jc w:val="both"/>
        <w:outlineLvl w:val="0"/>
        <w:rPr>
          <w:rFonts w:eastAsia="Palatino Linotype"/>
          <w:b/>
          <w:spacing w:val="-1"/>
          <w:sz w:val="22"/>
          <w:szCs w:val="22"/>
          <w:lang w:val="es-ES"/>
        </w:rPr>
      </w:pPr>
      <w:bookmarkStart w:id="21" w:name="__RefHeading___Toc225377198"/>
      <w:bookmarkEnd w:id="21"/>
      <w:r>
        <w:rPr>
          <w:rFonts w:eastAsia="Palatino Linotype"/>
          <w:b/>
          <w:spacing w:val="-1"/>
          <w:sz w:val="22"/>
          <w:szCs w:val="22"/>
          <w:lang w:val="es-ES"/>
        </w:rPr>
        <w:t xml:space="preserve">9. </w:t>
      </w:r>
      <w:proofErr w:type="spellStart"/>
      <w:r>
        <w:rPr>
          <w:rFonts w:eastAsia="Palatino Linotype"/>
          <w:b/>
          <w:spacing w:val="-1"/>
          <w:sz w:val="22"/>
          <w:szCs w:val="22"/>
          <w:lang w:val="es-ES"/>
        </w:rPr>
        <w:t>Requirements</w:t>
      </w:r>
      <w:proofErr w:type="spellEnd"/>
      <w:r>
        <w:rPr>
          <w:rFonts w:eastAsia="Palatino Linotype"/>
          <w:b/>
          <w:spacing w:val="-1"/>
          <w:sz w:val="22"/>
          <w:szCs w:val="22"/>
          <w:lang w:val="es-ES"/>
        </w:rPr>
        <w:t xml:space="preserve"> </w:t>
      </w:r>
      <w:proofErr w:type="spellStart"/>
      <w:r>
        <w:rPr>
          <w:rFonts w:eastAsia="Palatino Linotype"/>
          <w:b/>
          <w:spacing w:val="-1"/>
          <w:sz w:val="22"/>
          <w:szCs w:val="22"/>
          <w:lang w:val="es-ES"/>
        </w:rPr>
        <w:t>for</w:t>
      </w:r>
      <w:proofErr w:type="spellEnd"/>
      <w:r>
        <w:rPr>
          <w:rFonts w:eastAsia="Palatino Linotype"/>
          <w:b/>
          <w:spacing w:val="-1"/>
          <w:sz w:val="22"/>
          <w:szCs w:val="22"/>
          <w:lang w:val="es-ES"/>
        </w:rPr>
        <w:t xml:space="preserve"> </w:t>
      </w:r>
      <w:proofErr w:type="spellStart"/>
      <w:r>
        <w:rPr>
          <w:rFonts w:eastAsia="Palatino Linotype"/>
          <w:b/>
          <w:spacing w:val="-1"/>
          <w:sz w:val="22"/>
          <w:szCs w:val="22"/>
          <w:lang w:val="es-ES"/>
        </w:rPr>
        <w:t>submitting</w:t>
      </w:r>
      <w:proofErr w:type="spellEnd"/>
      <w:r>
        <w:rPr>
          <w:rFonts w:eastAsia="Palatino Linotype"/>
          <w:b/>
          <w:spacing w:val="-1"/>
          <w:sz w:val="22"/>
          <w:szCs w:val="22"/>
          <w:lang w:val="es-ES"/>
        </w:rPr>
        <w:t xml:space="preserve"> </w:t>
      </w:r>
      <w:proofErr w:type="spellStart"/>
      <w:r>
        <w:rPr>
          <w:rFonts w:eastAsia="Palatino Linotype"/>
          <w:b/>
          <w:spacing w:val="-1"/>
          <w:sz w:val="22"/>
          <w:szCs w:val="22"/>
          <w:lang w:val="es-ES"/>
        </w:rPr>
        <w:t>bids</w:t>
      </w:r>
      <w:proofErr w:type="spellEnd"/>
      <w:r>
        <w:rPr>
          <w:rFonts w:eastAsia="Palatino Linotype"/>
          <w:b/>
          <w:spacing w:val="-1"/>
          <w:sz w:val="22"/>
          <w:szCs w:val="22"/>
          <w:lang w:val="es-ES"/>
        </w:rPr>
        <w:tab/>
      </w:r>
      <w:r>
        <w:rPr>
          <w:rFonts w:eastAsia="Palatino Linotype"/>
          <w:b/>
          <w:spacing w:val="-1"/>
          <w:sz w:val="22"/>
          <w:szCs w:val="22"/>
          <w:lang w:val="es-ES"/>
        </w:rPr>
        <w:tab/>
      </w:r>
    </w:p>
    <w:p w14:paraId="0AB00F95" w14:textId="77777777" w:rsidR="00E255F4" w:rsidRDefault="00E255F4">
      <w:pPr>
        <w:ind w:right="-142"/>
        <w:jc w:val="both"/>
        <w:rPr>
          <w:rFonts w:eastAsia="Palatino Linotype"/>
          <w:b/>
          <w:spacing w:val="-1"/>
          <w:sz w:val="22"/>
          <w:szCs w:val="22"/>
          <w:lang w:val="es-ES"/>
        </w:rPr>
      </w:pPr>
    </w:p>
    <w:p w14:paraId="1F528FE3" w14:textId="77777777" w:rsidR="00E255F4" w:rsidRDefault="00000000">
      <w:pPr>
        <w:ind w:right="-142"/>
        <w:jc w:val="both"/>
      </w:pPr>
      <w:proofErr w:type="spellStart"/>
      <w:r>
        <w:rPr>
          <w:rFonts w:eastAsia="Palatino Linotype"/>
          <w:spacing w:val="-1"/>
          <w:sz w:val="22"/>
          <w:szCs w:val="22"/>
          <w:lang w:val="es-ES"/>
        </w:rPr>
        <w:t>AND</w:t>
      </w:r>
      <w:r>
        <w:rPr>
          <w:rFonts w:eastAsia="Palatino Linotype"/>
          <w:sz w:val="22"/>
          <w:szCs w:val="22"/>
          <w:lang w:val="es-ES"/>
        </w:rPr>
        <w:t>The</w:t>
      </w:r>
      <w:proofErr w:type="spellEnd"/>
      <w:r>
        <w:rPr>
          <w:rFonts w:eastAsia="Palatino Linotype"/>
          <w:sz w:val="22"/>
          <w:szCs w:val="22"/>
          <w:lang w:val="es-ES"/>
        </w:rPr>
        <w:t xml:space="preserve"> Special </w:t>
      </w:r>
      <w:proofErr w:type="spellStart"/>
      <w:r>
        <w:rPr>
          <w:rFonts w:eastAsia="Palatino Linotype"/>
          <w:sz w:val="22"/>
          <w:szCs w:val="22"/>
          <w:lang w:val="es-ES"/>
        </w:rPr>
        <w:t>Specifications</w:t>
      </w:r>
      <w:proofErr w:type="spellEnd"/>
      <w:r>
        <w:rPr>
          <w:rFonts w:eastAsia="Palatino Linotype"/>
          <w:sz w:val="22"/>
          <w:szCs w:val="22"/>
          <w:lang w:val="es-ES"/>
        </w:rPr>
        <w:t xml:space="preserve"> </w:t>
      </w:r>
      <w:proofErr w:type="spellStart"/>
      <w:r>
        <w:rPr>
          <w:rFonts w:eastAsia="Palatino Linotype"/>
          <w:sz w:val="22"/>
          <w:szCs w:val="22"/>
          <w:lang w:val="es-ES"/>
        </w:rPr>
        <w:t>may</w:t>
      </w:r>
      <w:proofErr w:type="spellEnd"/>
      <w:r>
        <w:rPr>
          <w:rFonts w:eastAsia="Palatino Linotype"/>
          <w:sz w:val="22"/>
          <w:szCs w:val="22"/>
          <w:lang w:val="es-ES"/>
        </w:rPr>
        <w:t xml:space="preserve"> </w:t>
      </w:r>
      <w:proofErr w:type="spellStart"/>
      <w:r>
        <w:rPr>
          <w:rFonts w:eastAsia="Palatino Linotype"/>
          <w:sz w:val="22"/>
          <w:szCs w:val="22"/>
          <w:lang w:val="es-ES"/>
        </w:rPr>
        <w:t>not</w:t>
      </w:r>
      <w:proofErr w:type="spellEnd"/>
      <w:r>
        <w:rPr>
          <w:rFonts w:eastAsia="Palatino Linotype"/>
          <w:sz w:val="22"/>
          <w:szCs w:val="22"/>
          <w:lang w:val="es-ES"/>
        </w:rPr>
        <w:t xml:space="preserve"> </w:t>
      </w:r>
      <w:proofErr w:type="spellStart"/>
      <w:r>
        <w:rPr>
          <w:rFonts w:eastAsia="Palatino Linotype"/>
          <w:sz w:val="22"/>
          <w:szCs w:val="22"/>
          <w:lang w:val="es-ES"/>
        </w:rPr>
        <w:t>impose</w:t>
      </w:r>
      <w:proofErr w:type="spellEnd"/>
      <w:r>
        <w:rPr>
          <w:rFonts w:eastAsia="Palatino Linotype"/>
          <w:sz w:val="22"/>
          <w:szCs w:val="22"/>
          <w:lang w:val="es-ES"/>
        </w:rPr>
        <w:t xml:space="preserve"> </w:t>
      </w:r>
      <w:proofErr w:type="spellStart"/>
      <w:r>
        <w:rPr>
          <w:rFonts w:eastAsia="Palatino Linotype"/>
          <w:sz w:val="22"/>
          <w:szCs w:val="22"/>
          <w:lang w:val="es-ES"/>
        </w:rPr>
        <w:t>on</w:t>
      </w:r>
      <w:proofErr w:type="spellEnd"/>
      <w:r>
        <w:rPr>
          <w:rFonts w:eastAsia="Palatino Linotype"/>
          <w:sz w:val="22"/>
          <w:szCs w:val="22"/>
          <w:lang w:val="es-ES"/>
        </w:rPr>
        <w:t xml:space="preserve"> </w:t>
      </w:r>
      <w:proofErr w:type="spellStart"/>
      <w:r>
        <w:rPr>
          <w:rFonts w:eastAsia="Palatino Linotype"/>
          <w:sz w:val="22"/>
          <w:szCs w:val="22"/>
          <w:lang w:val="es-ES"/>
        </w:rPr>
        <w:t>the</w:t>
      </w:r>
      <w:proofErr w:type="spellEnd"/>
      <w:r>
        <w:rPr>
          <w:rFonts w:eastAsia="Palatino Linotype"/>
          <w:sz w:val="22"/>
          <w:szCs w:val="22"/>
          <w:lang w:val="es-ES"/>
        </w:rPr>
        <w:t xml:space="preserve"> </w:t>
      </w:r>
      <w:proofErr w:type="spellStart"/>
      <w:r>
        <w:rPr>
          <w:rFonts w:eastAsia="Palatino Linotype"/>
          <w:sz w:val="22"/>
          <w:szCs w:val="22"/>
          <w:lang w:val="es-ES"/>
        </w:rPr>
        <w:t>bidder</w:t>
      </w:r>
      <w:proofErr w:type="spellEnd"/>
      <w:r>
        <w:rPr>
          <w:rFonts w:eastAsia="Palatino Linotype"/>
          <w:sz w:val="22"/>
          <w:szCs w:val="22"/>
          <w:lang w:val="es-ES"/>
        </w:rPr>
        <w:t xml:space="preserve"> </w:t>
      </w:r>
      <w:proofErr w:type="spellStart"/>
      <w:r>
        <w:rPr>
          <w:rFonts w:eastAsia="Palatino Linotype"/>
          <w:sz w:val="22"/>
          <w:szCs w:val="22"/>
          <w:lang w:val="es-ES"/>
        </w:rPr>
        <w:t>any</w:t>
      </w:r>
      <w:proofErr w:type="spellEnd"/>
      <w:r>
        <w:rPr>
          <w:rFonts w:eastAsia="Palatino Linotype"/>
          <w:sz w:val="22"/>
          <w:szCs w:val="22"/>
          <w:lang w:val="es-ES"/>
        </w:rPr>
        <w:t xml:space="preserve"> </w:t>
      </w:r>
      <w:proofErr w:type="spellStart"/>
      <w:r>
        <w:rPr>
          <w:rFonts w:eastAsia="Palatino Linotype"/>
          <w:sz w:val="22"/>
          <w:szCs w:val="22"/>
          <w:lang w:val="es-ES"/>
        </w:rPr>
        <w:t>requirement</w:t>
      </w:r>
      <w:proofErr w:type="spellEnd"/>
      <w:r>
        <w:rPr>
          <w:rFonts w:eastAsia="Palatino Linotype"/>
          <w:sz w:val="22"/>
          <w:szCs w:val="22"/>
          <w:lang w:val="es-ES"/>
        </w:rPr>
        <w:t xml:space="preserve"> </w:t>
      </w:r>
      <w:proofErr w:type="spellStart"/>
      <w:r>
        <w:rPr>
          <w:rFonts w:eastAsia="Palatino Linotype"/>
          <w:sz w:val="22"/>
          <w:szCs w:val="22"/>
          <w:lang w:val="es-ES"/>
        </w:rPr>
        <w:t>that</w:t>
      </w:r>
      <w:proofErr w:type="spellEnd"/>
      <w:r>
        <w:rPr>
          <w:rFonts w:eastAsia="Palatino Linotype"/>
          <w:sz w:val="22"/>
          <w:szCs w:val="22"/>
          <w:lang w:val="es-ES"/>
        </w:rPr>
        <w:t xml:space="preserve"> </w:t>
      </w:r>
      <w:proofErr w:type="spellStart"/>
      <w:r>
        <w:rPr>
          <w:rFonts w:eastAsia="Palatino Linotype"/>
          <w:sz w:val="22"/>
          <w:szCs w:val="22"/>
          <w:lang w:val="es-ES"/>
        </w:rPr>
        <w:t>is</w:t>
      </w:r>
      <w:proofErr w:type="spellEnd"/>
      <w:r>
        <w:rPr>
          <w:rFonts w:eastAsia="Palatino Linotype"/>
          <w:sz w:val="22"/>
          <w:szCs w:val="22"/>
          <w:lang w:val="es-ES"/>
        </w:rPr>
        <w:t xml:space="preserve"> </w:t>
      </w:r>
      <w:proofErr w:type="spellStart"/>
      <w:r>
        <w:rPr>
          <w:rFonts w:eastAsia="Palatino Linotype"/>
          <w:sz w:val="22"/>
          <w:szCs w:val="22"/>
          <w:lang w:val="es-ES"/>
        </w:rPr>
        <w:t>not</w:t>
      </w:r>
      <w:proofErr w:type="spellEnd"/>
      <w:r>
        <w:rPr>
          <w:rFonts w:eastAsia="Palatino Linotype"/>
          <w:sz w:val="22"/>
          <w:szCs w:val="22"/>
          <w:lang w:val="es-ES"/>
        </w:rPr>
        <w:t xml:space="preserve"> </w:t>
      </w:r>
      <w:proofErr w:type="spellStart"/>
      <w:r>
        <w:rPr>
          <w:rFonts w:eastAsia="Palatino Linotype"/>
          <w:sz w:val="22"/>
          <w:szCs w:val="22"/>
          <w:lang w:val="es-ES"/>
        </w:rPr>
        <w:t>directly</w:t>
      </w:r>
      <w:proofErr w:type="spellEnd"/>
      <w:r>
        <w:rPr>
          <w:rFonts w:eastAsia="Palatino Linotype"/>
          <w:sz w:val="22"/>
          <w:szCs w:val="22"/>
          <w:lang w:val="es-ES"/>
        </w:rPr>
        <w:t xml:space="preserve"> </w:t>
      </w:r>
      <w:proofErr w:type="spellStart"/>
      <w:r>
        <w:rPr>
          <w:rFonts w:eastAsia="Palatino Linotype"/>
          <w:sz w:val="22"/>
          <w:szCs w:val="22"/>
          <w:lang w:val="es-ES"/>
        </w:rPr>
        <w:t>linked</w:t>
      </w:r>
      <w:proofErr w:type="spellEnd"/>
      <w:r>
        <w:rPr>
          <w:rFonts w:eastAsia="Palatino Linotype"/>
          <w:sz w:val="22"/>
          <w:szCs w:val="22"/>
          <w:lang w:val="es-ES"/>
        </w:rPr>
        <w:t xml:space="preserve"> </w:t>
      </w:r>
      <w:proofErr w:type="spellStart"/>
      <w:r>
        <w:rPr>
          <w:rFonts w:eastAsia="Palatino Linotype"/>
          <w:sz w:val="22"/>
          <w:szCs w:val="22"/>
          <w:lang w:val="es-ES"/>
        </w:rPr>
        <w:t>to</w:t>
      </w:r>
      <w:proofErr w:type="spellEnd"/>
      <w:r>
        <w:rPr>
          <w:rFonts w:eastAsia="Palatino Linotype"/>
          <w:sz w:val="22"/>
          <w:szCs w:val="22"/>
          <w:lang w:val="es-ES"/>
        </w:rPr>
        <w:t xml:space="preserve"> </w:t>
      </w:r>
      <w:proofErr w:type="spellStart"/>
      <w:r>
        <w:rPr>
          <w:rFonts w:eastAsia="Palatino Linotype"/>
          <w:sz w:val="22"/>
          <w:szCs w:val="22"/>
          <w:lang w:val="es-ES"/>
        </w:rPr>
        <w:t>the</w:t>
      </w:r>
      <w:proofErr w:type="spellEnd"/>
      <w:r>
        <w:rPr>
          <w:rFonts w:eastAsia="Palatino Linotype"/>
          <w:sz w:val="22"/>
          <w:szCs w:val="22"/>
          <w:lang w:val="es-ES"/>
        </w:rPr>
        <w:t xml:space="preserve"> </w:t>
      </w:r>
      <w:proofErr w:type="spellStart"/>
      <w:r>
        <w:rPr>
          <w:rFonts w:eastAsia="Palatino Linotype"/>
          <w:sz w:val="22"/>
          <w:szCs w:val="22"/>
          <w:lang w:val="es-ES"/>
        </w:rPr>
        <w:t>consideration</w:t>
      </w:r>
      <w:proofErr w:type="spellEnd"/>
      <w:r>
        <w:rPr>
          <w:rFonts w:eastAsia="Palatino Linotype"/>
          <w:sz w:val="22"/>
          <w:szCs w:val="22"/>
          <w:lang w:val="es-ES"/>
        </w:rPr>
        <w:t xml:space="preserve"> </w:t>
      </w:r>
      <w:proofErr w:type="spellStart"/>
      <w:r>
        <w:rPr>
          <w:rFonts w:eastAsia="Palatino Linotype"/>
          <w:sz w:val="22"/>
          <w:szCs w:val="22"/>
          <w:lang w:val="es-ES"/>
        </w:rPr>
        <w:t>of</w:t>
      </w:r>
      <w:proofErr w:type="spellEnd"/>
      <w:r>
        <w:rPr>
          <w:rFonts w:eastAsia="Palatino Linotype"/>
          <w:sz w:val="22"/>
          <w:szCs w:val="22"/>
          <w:lang w:val="es-ES"/>
        </w:rPr>
        <w:t xml:space="preserve"> </w:t>
      </w:r>
      <w:proofErr w:type="spellStart"/>
      <w:r>
        <w:rPr>
          <w:rFonts w:eastAsia="Palatino Linotype"/>
          <w:sz w:val="22"/>
          <w:szCs w:val="22"/>
          <w:lang w:val="es-ES"/>
        </w:rPr>
        <w:t>the</w:t>
      </w:r>
      <w:proofErr w:type="spellEnd"/>
      <w:r>
        <w:rPr>
          <w:rFonts w:eastAsia="Palatino Linotype"/>
          <w:sz w:val="22"/>
          <w:szCs w:val="22"/>
          <w:lang w:val="es-ES"/>
        </w:rPr>
        <w:t xml:space="preserve"> </w:t>
      </w:r>
      <w:proofErr w:type="spellStart"/>
      <w:r>
        <w:rPr>
          <w:rFonts w:eastAsia="Palatino Linotype"/>
          <w:sz w:val="22"/>
          <w:szCs w:val="22"/>
          <w:lang w:val="es-ES"/>
        </w:rPr>
        <w:t>object</w:t>
      </w:r>
      <w:proofErr w:type="spellEnd"/>
      <w:r>
        <w:rPr>
          <w:rFonts w:eastAsia="Palatino Linotype"/>
          <w:sz w:val="22"/>
          <w:szCs w:val="22"/>
          <w:lang w:val="es-ES"/>
        </w:rPr>
        <w:t xml:space="preserve"> </w:t>
      </w:r>
      <w:proofErr w:type="spellStart"/>
      <w:r>
        <w:rPr>
          <w:rFonts w:eastAsia="Palatino Linotype"/>
          <w:sz w:val="22"/>
          <w:szCs w:val="22"/>
          <w:lang w:val="es-ES"/>
        </w:rPr>
        <w:t>of</w:t>
      </w:r>
      <w:proofErr w:type="spellEnd"/>
      <w:r>
        <w:rPr>
          <w:rFonts w:eastAsia="Palatino Linotype"/>
          <w:sz w:val="22"/>
          <w:szCs w:val="22"/>
          <w:lang w:val="es-ES"/>
        </w:rPr>
        <w:t xml:space="preserve"> </w:t>
      </w:r>
      <w:proofErr w:type="spellStart"/>
      <w:r>
        <w:rPr>
          <w:rFonts w:eastAsia="Palatino Linotype"/>
          <w:sz w:val="22"/>
          <w:szCs w:val="22"/>
          <w:lang w:val="es-ES"/>
        </w:rPr>
        <w:t>the</w:t>
      </w:r>
      <w:proofErr w:type="spellEnd"/>
      <w:r>
        <w:rPr>
          <w:rFonts w:eastAsia="Palatino Linotype"/>
          <w:sz w:val="22"/>
          <w:szCs w:val="22"/>
          <w:lang w:val="es-ES"/>
        </w:rPr>
        <w:t xml:space="preserve"> </w:t>
      </w:r>
      <w:proofErr w:type="spellStart"/>
      <w:r>
        <w:rPr>
          <w:rFonts w:eastAsia="Palatino Linotype"/>
          <w:sz w:val="22"/>
          <w:szCs w:val="22"/>
          <w:lang w:val="es-ES"/>
        </w:rPr>
        <w:t>contract</w:t>
      </w:r>
      <w:proofErr w:type="spellEnd"/>
      <w:r>
        <w:rPr>
          <w:rFonts w:eastAsia="Palatino Linotype"/>
          <w:sz w:val="22"/>
          <w:szCs w:val="22"/>
          <w:lang w:val="es-ES"/>
        </w:rPr>
        <w:t xml:space="preserve"> and </w:t>
      </w:r>
      <w:proofErr w:type="spellStart"/>
      <w:r>
        <w:rPr>
          <w:rFonts w:eastAsia="Palatino Linotype"/>
          <w:sz w:val="22"/>
          <w:szCs w:val="22"/>
          <w:lang w:val="es-ES"/>
        </w:rPr>
        <w:t>the</w:t>
      </w:r>
      <w:proofErr w:type="spellEnd"/>
      <w:r>
        <w:rPr>
          <w:rFonts w:eastAsia="Palatino Linotype"/>
          <w:sz w:val="22"/>
          <w:szCs w:val="22"/>
          <w:lang w:val="es-ES"/>
        </w:rPr>
        <w:t xml:space="preserve"> </w:t>
      </w:r>
      <w:proofErr w:type="spellStart"/>
      <w:r>
        <w:rPr>
          <w:rFonts w:eastAsia="Palatino Linotype"/>
          <w:sz w:val="22"/>
          <w:szCs w:val="22"/>
          <w:lang w:val="es-ES"/>
        </w:rPr>
        <w:t>evaluation</w:t>
      </w:r>
      <w:proofErr w:type="spellEnd"/>
      <w:r>
        <w:rPr>
          <w:rFonts w:eastAsia="Palatino Linotype"/>
          <w:sz w:val="22"/>
          <w:szCs w:val="22"/>
          <w:lang w:val="es-ES"/>
        </w:rPr>
        <w:t xml:space="preserve"> </w:t>
      </w:r>
      <w:proofErr w:type="spellStart"/>
      <w:r>
        <w:rPr>
          <w:rFonts w:eastAsia="Palatino Linotype"/>
          <w:sz w:val="22"/>
          <w:szCs w:val="22"/>
          <w:lang w:val="es-ES"/>
        </w:rPr>
        <w:t>of</w:t>
      </w:r>
      <w:proofErr w:type="spellEnd"/>
      <w:r>
        <w:rPr>
          <w:rFonts w:eastAsia="Palatino Linotype"/>
          <w:sz w:val="22"/>
          <w:szCs w:val="22"/>
          <w:lang w:val="es-ES"/>
        </w:rPr>
        <w:t xml:space="preserve"> </w:t>
      </w:r>
      <w:proofErr w:type="spellStart"/>
      <w:r>
        <w:rPr>
          <w:rFonts w:eastAsia="Palatino Linotype"/>
          <w:sz w:val="22"/>
          <w:szCs w:val="22"/>
          <w:lang w:val="es-ES"/>
        </w:rPr>
        <w:t>the</w:t>
      </w:r>
      <w:proofErr w:type="spellEnd"/>
      <w:r>
        <w:rPr>
          <w:rFonts w:eastAsia="Palatino Linotype"/>
          <w:sz w:val="22"/>
          <w:szCs w:val="22"/>
          <w:lang w:val="es-ES"/>
        </w:rPr>
        <w:t xml:space="preserve"> </w:t>
      </w:r>
      <w:proofErr w:type="spellStart"/>
      <w:r>
        <w:rPr>
          <w:rFonts w:eastAsia="Palatino Linotype"/>
          <w:sz w:val="22"/>
          <w:szCs w:val="22"/>
          <w:lang w:val="es-ES"/>
        </w:rPr>
        <w:t>offer</w:t>
      </w:r>
      <w:proofErr w:type="spellEnd"/>
      <w:r>
        <w:rPr>
          <w:rFonts w:eastAsia="Palatino Linotype"/>
          <w:sz w:val="22"/>
          <w:szCs w:val="22"/>
          <w:lang w:val="es-ES"/>
        </w:rPr>
        <w:t xml:space="preserve">, </w:t>
      </w:r>
      <w:proofErr w:type="spellStart"/>
      <w:r>
        <w:rPr>
          <w:rFonts w:eastAsia="Palatino Linotype"/>
          <w:sz w:val="22"/>
          <w:szCs w:val="22"/>
          <w:lang w:val="es-ES"/>
        </w:rPr>
        <w:t>reserving</w:t>
      </w:r>
      <w:proofErr w:type="spellEnd"/>
      <w:r>
        <w:rPr>
          <w:rFonts w:eastAsia="Palatino Linotype"/>
          <w:sz w:val="22"/>
          <w:szCs w:val="22"/>
          <w:lang w:val="es-ES"/>
        </w:rPr>
        <w:t xml:space="preserve"> </w:t>
      </w:r>
      <w:proofErr w:type="spellStart"/>
      <w:r>
        <w:rPr>
          <w:rFonts w:eastAsia="Palatino Linotype"/>
          <w:sz w:val="22"/>
          <w:szCs w:val="22"/>
          <w:lang w:val="es-ES"/>
        </w:rPr>
        <w:t>only</w:t>
      </w:r>
      <w:proofErr w:type="spellEnd"/>
      <w:r>
        <w:rPr>
          <w:rFonts w:eastAsia="Palatino Linotype"/>
          <w:sz w:val="22"/>
          <w:szCs w:val="22"/>
          <w:lang w:val="es-ES"/>
        </w:rPr>
        <w:t xml:space="preserve"> </w:t>
      </w:r>
      <w:proofErr w:type="spellStart"/>
      <w:r>
        <w:rPr>
          <w:rFonts w:eastAsia="Palatino Linotype"/>
          <w:sz w:val="22"/>
          <w:szCs w:val="22"/>
          <w:lang w:val="es-ES"/>
        </w:rPr>
        <w:t>the</w:t>
      </w:r>
      <w:proofErr w:type="spellEnd"/>
      <w:r>
        <w:rPr>
          <w:rFonts w:eastAsia="Palatino Linotype"/>
          <w:sz w:val="22"/>
          <w:szCs w:val="22"/>
          <w:lang w:val="es-ES"/>
        </w:rPr>
        <w:t xml:space="preserve"> </w:t>
      </w:r>
      <w:proofErr w:type="spellStart"/>
      <w:r>
        <w:rPr>
          <w:rFonts w:eastAsia="Palatino Linotype"/>
          <w:sz w:val="22"/>
          <w:szCs w:val="22"/>
          <w:lang w:val="es-ES"/>
        </w:rPr>
        <w:t>successful</w:t>
      </w:r>
      <w:proofErr w:type="spellEnd"/>
      <w:r>
        <w:rPr>
          <w:rFonts w:eastAsia="Palatino Linotype"/>
          <w:sz w:val="22"/>
          <w:szCs w:val="22"/>
          <w:lang w:val="es-ES"/>
        </w:rPr>
        <w:t xml:space="preserve"> </w:t>
      </w:r>
      <w:proofErr w:type="spellStart"/>
      <w:r>
        <w:rPr>
          <w:rFonts w:eastAsia="Palatino Linotype"/>
          <w:sz w:val="22"/>
          <w:szCs w:val="22"/>
          <w:lang w:val="es-ES"/>
        </w:rPr>
        <w:t>bidder</w:t>
      </w:r>
      <w:proofErr w:type="spellEnd"/>
      <w:r>
        <w:rPr>
          <w:rFonts w:eastAsia="Palatino Linotype"/>
          <w:sz w:val="22"/>
          <w:szCs w:val="22"/>
          <w:lang w:val="es-ES"/>
        </w:rPr>
        <w:t xml:space="preserve"> </w:t>
      </w:r>
      <w:proofErr w:type="spellStart"/>
      <w:r>
        <w:rPr>
          <w:rFonts w:eastAsia="Palatino Linotype"/>
          <w:sz w:val="22"/>
          <w:szCs w:val="22"/>
          <w:lang w:val="es-ES"/>
        </w:rPr>
        <w:t>the</w:t>
      </w:r>
      <w:proofErr w:type="spellEnd"/>
      <w:r>
        <w:rPr>
          <w:rFonts w:eastAsia="Palatino Linotype"/>
          <w:sz w:val="22"/>
          <w:szCs w:val="22"/>
          <w:lang w:val="es-ES"/>
        </w:rPr>
        <w:t xml:space="preserve"> administrative </w:t>
      </w:r>
      <w:proofErr w:type="spellStart"/>
      <w:r>
        <w:rPr>
          <w:rFonts w:eastAsia="Palatino Linotype"/>
          <w:sz w:val="22"/>
          <w:szCs w:val="22"/>
          <w:lang w:val="es-ES"/>
        </w:rPr>
        <w:t>burden</w:t>
      </w:r>
      <w:proofErr w:type="spellEnd"/>
      <w:r>
        <w:rPr>
          <w:rFonts w:eastAsia="Palatino Linotype"/>
          <w:sz w:val="22"/>
          <w:szCs w:val="22"/>
          <w:lang w:val="es-ES"/>
        </w:rPr>
        <w:t xml:space="preserve"> </w:t>
      </w:r>
      <w:proofErr w:type="spellStart"/>
      <w:r>
        <w:rPr>
          <w:rFonts w:eastAsia="Palatino Linotype"/>
          <w:sz w:val="22"/>
          <w:szCs w:val="22"/>
          <w:lang w:val="es-ES"/>
        </w:rPr>
        <w:t>of</w:t>
      </w:r>
      <w:proofErr w:type="spellEnd"/>
      <w:r>
        <w:rPr>
          <w:rFonts w:eastAsia="Palatino Linotype"/>
          <w:sz w:val="22"/>
          <w:szCs w:val="22"/>
          <w:lang w:val="es-ES"/>
        </w:rPr>
        <w:t xml:space="preserve"> </w:t>
      </w:r>
      <w:proofErr w:type="spellStart"/>
      <w:r>
        <w:rPr>
          <w:rFonts w:eastAsia="Palatino Linotype"/>
          <w:sz w:val="22"/>
          <w:szCs w:val="22"/>
          <w:lang w:val="es-ES"/>
        </w:rPr>
        <w:t>demonstrating</w:t>
      </w:r>
      <w:proofErr w:type="spellEnd"/>
      <w:r>
        <w:rPr>
          <w:rFonts w:eastAsia="Palatino Linotype"/>
          <w:sz w:val="22"/>
          <w:szCs w:val="22"/>
          <w:lang w:val="es-ES"/>
        </w:rPr>
        <w:t xml:space="preserve"> </w:t>
      </w:r>
      <w:proofErr w:type="spellStart"/>
      <w:r>
        <w:rPr>
          <w:rFonts w:eastAsia="Palatino Linotype"/>
          <w:sz w:val="22"/>
          <w:szCs w:val="22"/>
          <w:lang w:val="es-ES"/>
        </w:rPr>
        <w:t>that</w:t>
      </w:r>
      <w:proofErr w:type="spellEnd"/>
      <w:r>
        <w:rPr>
          <w:rFonts w:eastAsia="Palatino Linotype"/>
          <w:sz w:val="22"/>
          <w:szCs w:val="22"/>
          <w:lang w:val="es-ES"/>
        </w:rPr>
        <w:t xml:space="preserve"> </w:t>
      </w:r>
      <w:proofErr w:type="spellStart"/>
      <w:r>
        <w:rPr>
          <w:rFonts w:eastAsia="Palatino Linotype"/>
          <w:sz w:val="22"/>
          <w:szCs w:val="22"/>
          <w:lang w:val="es-ES"/>
        </w:rPr>
        <w:t>they</w:t>
      </w:r>
      <w:proofErr w:type="spellEnd"/>
      <w:r>
        <w:rPr>
          <w:rFonts w:eastAsia="Palatino Linotype"/>
          <w:sz w:val="22"/>
          <w:szCs w:val="22"/>
          <w:lang w:val="es-ES"/>
        </w:rPr>
        <w:t xml:space="preserve"> are </w:t>
      </w:r>
      <w:proofErr w:type="gramStart"/>
      <w:r>
        <w:rPr>
          <w:rFonts w:eastAsia="Palatino Linotype"/>
          <w:sz w:val="22"/>
          <w:szCs w:val="22"/>
          <w:lang w:val="es-ES"/>
        </w:rPr>
        <w:t>in formal</w:t>
      </w:r>
      <w:proofErr w:type="gramEnd"/>
      <w:r>
        <w:rPr>
          <w:rFonts w:eastAsia="Palatino Linotype"/>
          <w:sz w:val="22"/>
          <w:szCs w:val="22"/>
          <w:lang w:val="es-ES"/>
        </w:rPr>
        <w:t xml:space="preserve"> </w:t>
      </w:r>
      <w:proofErr w:type="spellStart"/>
      <w:r>
        <w:rPr>
          <w:rFonts w:eastAsia="Palatino Linotype"/>
          <w:sz w:val="22"/>
          <w:szCs w:val="22"/>
          <w:lang w:val="es-ES"/>
        </w:rPr>
        <w:t>conditions</w:t>
      </w:r>
      <w:proofErr w:type="spellEnd"/>
      <w:r>
        <w:rPr>
          <w:rFonts w:eastAsia="Palatino Linotype"/>
          <w:sz w:val="22"/>
          <w:szCs w:val="22"/>
          <w:lang w:val="es-ES"/>
        </w:rPr>
        <w:t xml:space="preserve"> </w:t>
      </w:r>
      <w:proofErr w:type="spellStart"/>
      <w:r>
        <w:rPr>
          <w:rFonts w:eastAsia="Palatino Linotype"/>
          <w:sz w:val="22"/>
          <w:szCs w:val="22"/>
          <w:lang w:val="es-ES"/>
        </w:rPr>
        <w:t>to</w:t>
      </w:r>
      <w:proofErr w:type="spellEnd"/>
      <w:r>
        <w:rPr>
          <w:rFonts w:eastAsia="Palatino Linotype"/>
          <w:sz w:val="22"/>
          <w:szCs w:val="22"/>
          <w:lang w:val="es-ES"/>
        </w:rPr>
        <w:t xml:space="preserve"> </w:t>
      </w:r>
      <w:proofErr w:type="spellStart"/>
      <w:r>
        <w:rPr>
          <w:rFonts w:eastAsia="Palatino Linotype"/>
          <w:sz w:val="22"/>
          <w:szCs w:val="22"/>
          <w:lang w:val="es-ES"/>
        </w:rPr>
        <w:t>contract</w:t>
      </w:r>
      <w:proofErr w:type="spellEnd"/>
      <w:r>
        <w:rPr>
          <w:rFonts w:eastAsia="Palatino Linotype"/>
          <w:sz w:val="22"/>
          <w:szCs w:val="22"/>
          <w:lang w:val="es-ES"/>
        </w:rPr>
        <w:t xml:space="preserve">, </w:t>
      </w:r>
      <w:proofErr w:type="spellStart"/>
      <w:r>
        <w:rPr>
          <w:rFonts w:eastAsia="Palatino Linotype"/>
          <w:sz w:val="22"/>
          <w:szCs w:val="22"/>
          <w:lang w:val="es-ES"/>
        </w:rPr>
        <w:t>without</w:t>
      </w:r>
      <w:proofErr w:type="spellEnd"/>
      <w:r>
        <w:rPr>
          <w:rFonts w:eastAsia="Palatino Linotype"/>
          <w:sz w:val="22"/>
          <w:szCs w:val="22"/>
          <w:lang w:val="es-ES"/>
        </w:rPr>
        <w:t xml:space="preserve"> </w:t>
      </w:r>
      <w:proofErr w:type="spellStart"/>
      <w:r>
        <w:rPr>
          <w:rFonts w:eastAsia="Palatino Linotype"/>
          <w:sz w:val="22"/>
          <w:szCs w:val="22"/>
          <w:lang w:val="es-ES"/>
        </w:rPr>
        <w:t>prejudice</w:t>
      </w:r>
      <w:proofErr w:type="spellEnd"/>
      <w:r>
        <w:rPr>
          <w:rFonts w:eastAsia="Palatino Linotype"/>
          <w:sz w:val="22"/>
          <w:szCs w:val="22"/>
          <w:lang w:val="es-ES"/>
        </w:rPr>
        <w:t xml:space="preserve"> </w:t>
      </w:r>
      <w:proofErr w:type="spellStart"/>
      <w:r>
        <w:rPr>
          <w:rFonts w:eastAsia="Palatino Linotype"/>
          <w:sz w:val="22"/>
          <w:szCs w:val="22"/>
          <w:lang w:val="es-ES"/>
        </w:rPr>
        <w:t>to</w:t>
      </w:r>
      <w:proofErr w:type="spellEnd"/>
      <w:r>
        <w:rPr>
          <w:rFonts w:eastAsia="Palatino Linotype"/>
          <w:sz w:val="22"/>
          <w:szCs w:val="22"/>
          <w:lang w:val="es-ES"/>
        </w:rPr>
        <w:t xml:space="preserve"> </w:t>
      </w:r>
      <w:proofErr w:type="spellStart"/>
      <w:r>
        <w:rPr>
          <w:rFonts w:eastAsia="Palatino Linotype"/>
          <w:sz w:val="22"/>
          <w:szCs w:val="22"/>
          <w:lang w:val="es-ES"/>
        </w:rPr>
        <w:t>any</w:t>
      </w:r>
      <w:proofErr w:type="spellEnd"/>
      <w:r>
        <w:rPr>
          <w:rFonts w:eastAsia="Palatino Linotype"/>
          <w:sz w:val="22"/>
          <w:szCs w:val="22"/>
          <w:lang w:val="es-ES"/>
        </w:rPr>
        <w:t xml:space="preserve"> criminal, civil </w:t>
      </w:r>
      <w:proofErr w:type="spellStart"/>
      <w:r>
        <w:rPr>
          <w:rFonts w:eastAsia="Palatino Linotype"/>
          <w:sz w:val="22"/>
          <w:szCs w:val="22"/>
          <w:lang w:val="es-ES"/>
        </w:rPr>
        <w:t>or</w:t>
      </w:r>
      <w:proofErr w:type="spellEnd"/>
      <w:r>
        <w:rPr>
          <w:rFonts w:eastAsia="Palatino Linotype"/>
          <w:sz w:val="22"/>
          <w:szCs w:val="22"/>
          <w:lang w:val="es-ES"/>
        </w:rPr>
        <w:t xml:space="preserve"> administrative </w:t>
      </w:r>
      <w:proofErr w:type="spellStart"/>
      <w:r>
        <w:rPr>
          <w:rFonts w:eastAsia="Palatino Linotype"/>
          <w:sz w:val="22"/>
          <w:szCs w:val="22"/>
          <w:lang w:val="es-ES"/>
        </w:rPr>
        <w:t>liabilities</w:t>
      </w:r>
      <w:proofErr w:type="spellEnd"/>
      <w:r>
        <w:rPr>
          <w:rFonts w:eastAsia="Palatino Linotype"/>
          <w:sz w:val="22"/>
          <w:szCs w:val="22"/>
          <w:lang w:val="es-ES"/>
        </w:rPr>
        <w:t xml:space="preserve"> </w:t>
      </w:r>
      <w:proofErr w:type="spellStart"/>
      <w:r>
        <w:rPr>
          <w:rFonts w:eastAsia="Palatino Linotype"/>
          <w:sz w:val="22"/>
          <w:szCs w:val="22"/>
          <w:lang w:val="es-ES"/>
        </w:rPr>
        <w:t>that</w:t>
      </w:r>
      <w:proofErr w:type="spellEnd"/>
      <w:r>
        <w:rPr>
          <w:rFonts w:eastAsia="Palatino Linotype"/>
          <w:sz w:val="22"/>
          <w:szCs w:val="22"/>
          <w:lang w:val="es-ES"/>
        </w:rPr>
        <w:t xml:space="preserve"> </w:t>
      </w:r>
      <w:proofErr w:type="spellStart"/>
      <w:r>
        <w:rPr>
          <w:rFonts w:eastAsia="Palatino Linotype"/>
          <w:sz w:val="22"/>
          <w:szCs w:val="22"/>
          <w:lang w:val="es-ES"/>
        </w:rPr>
        <w:t>may</w:t>
      </w:r>
      <w:proofErr w:type="spellEnd"/>
      <w:r>
        <w:rPr>
          <w:rFonts w:eastAsia="Palatino Linotype"/>
          <w:sz w:val="22"/>
          <w:szCs w:val="22"/>
          <w:lang w:val="es-ES"/>
        </w:rPr>
        <w:t xml:space="preserve"> </w:t>
      </w:r>
      <w:proofErr w:type="spellStart"/>
      <w:r>
        <w:rPr>
          <w:rFonts w:eastAsia="Palatino Linotype"/>
          <w:sz w:val="22"/>
          <w:szCs w:val="22"/>
          <w:lang w:val="es-ES"/>
        </w:rPr>
        <w:t>apply</w:t>
      </w:r>
      <w:proofErr w:type="spellEnd"/>
      <w:r>
        <w:rPr>
          <w:rFonts w:eastAsia="Palatino Linotype"/>
          <w:sz w:val="22"/>
          <w:szCs w:val="22"/>
          <w:lang w:val="es-ES"/>
        </w:rPr>
        <w:t>.</w:t>
      </w:r>
    </w:p>
    <w:p w14:paraId="3D66B941" w14:textId="77777777" w:rsidR="00E255F4" w:rsidRDefault="00000000">
      <w:pPr>
        <w:ind w:right="-142"/>
        <w:jc w:val="both"/>
        <w:rPr>
          <w:rFonts w:eastAsia="Palatino Linotype"/>
          <w:sz w:val="22"/>
          <w:szCs w:val="22"/>
          <w:lang w:val="es-ES"/>
        </w:rPr>
      </w:pPr>
      <w:proofErr w:type="spellStart"/>
      <w:r>
        <w:rPr>
          <w:rFonts w:eastAsia="Palatino Linotype"/>
          <w:spacing w:val="-1"/>
          <w:sz w:val="22"/>
          <w:szCs w:val="22"/>
          <w:lang w:val="es-ES"/>
        </w:rPr>
        <w:lastRenderedPageBreak/>
        <w:t>AND</w:t>
      </w:r>
      <w:r>
        <w:rPr>
          <w:rFonts w:eastAsia="Palatino Linotype"/>
          <w:sz w:val="22"/>
          <w:szCs w:val="22"/>
          <w:lang w:val="es-ES"/>
        </w:rPr>
        <w:t>The</w:t>
      </w:r>
      <w:proofErr w:type="spellEnd"/>
      <w:r>
        <w:rPr>
          <w:rFonts w:eastAsia="Palatino Linotype"/>
          <w:sz w:val="22"/>
          <w:szCs w:val="22"/>
          <w:lang w:val="es-ES"/>
        </w:rPr>
        <w:t xml:space="preserve"> Special </w:t>
      </w:r>
      <w:proofErr w:type="spellStart"/>
      <w:r>
        <w:rPr>
          <w:rFonts w:eastAsia="Palatino Linotype"/>
          <w:sz w:val="22"/>
          <w:szCs w:val="22"/>
          <w:lang w:val="es-ES"/>
        </w:rPr>
        <w:t>Specifications</w:t>
      </w:r>
      <w:proofErr w:type="spellEnd"/>
      <w:r>
        <w:rPr>
          <w:rFonts w:eastAsia="Palatino Linotype"/>
          <w:sz w:val="22"/>
          <w:szCs w:val="22"/>
          <w:lang w:val="es-ES"/>
        </w:rPr>
        <w:t xml:space="preserve"> </w:t>
      </w:r>
      <w:proofErr w:type="spellStart"/>
      <w:r>
        <w:rPr>
          <w:rFonts w:eastAsia="Palatino Linotype"/>
          <w:sz w:val="22"/>
          <w:szCs w:val="22"/>
          <w:lang w:val="es-ES"/>
        </w:rPr>
        <w:t>may</w:t>
      </w:r>
      <w:proofErr w:type="spellEnd"/>
      <w:r>
        <w:rPr>
          <w:rFonts w:eastAsia="Palatino Linotype"/>
          <w:sz w:val="22"/>
          <w:szCs w:val="22"/>
          <w:lang w:val="es-ES"/>
        </w:rPr>
        <w:t xml:space="preserve"> </w:t>
      </w:r>
      <w:proofErr w:type="spellStart"/>
      <w:r>
        <w:rPr>
          <w:rFonts w:eastAsia="Palatino Linotype"/>
          <w:sz w:val="22"/>
          <w:szCs w:val="22"/>
          <w:lang w:val="es-ES"/>
        </w:rPr>
        <w:t>not</w:t>
      </w:r>
      <w:proofErr w:type="spellEnd"/>
      <w:r>
        <w:rPr>
          <w:rFonts w:eastAsia="Palatino Linotype"/>
          <w:sz w:val="22"/>
          <w:szCs w:val="22"/>
          <w:lang w:val="es-ES"/>
        </w:rPr>
        <w:t xml:space="preserve"> </w:t>
      </w:r>
      <w:proofErr w:type="spellStart"/>
      <w:r>
        <w:rPr>
          <w:rFonts w:eastAsia="Palatino Linotype"/>
          <w:sz w:val="22"/>
          <w:szCs w:val="22"/>
          <w:lang w:val="es-ES"/>
        </w:rPr>
        <w:t>require</w:t>
      </w:r>
      <w:proofErr w:type="spellEnd"/>
      <w:r>
        <w:rPr>
          <w:rFonts w:eastAsia="Palatino Linotype"/>
          <w:sz w:val="22"/>
          <w:szCs w:val="22"/>
          <w:lang w:val="es-ES"/>
        </w:rPr>
        <w:t xml:space="preserve"> </w:t>
      </w:r>
      <w:proofErr w:type="spellStart"/>
      <w:r>
        <w:rPr>
          <w:rFonts w:eastAsia="Palatino Linotype"/>
          <w:sz w:val="22"/>
          <w:szCs w:val="22"/>
          <w:lang w:val="es-ES"/>
        </w:rPr>
        <w:t>documentation</w:t>
      </w:r>
      <w:proofErr w:type="spellEnd"/>
      <w:r>
        <w:rPr>
          <w:rFonts w:eastAsia="Palatino Linotype"/>
          <w:sz w:val="22"/>
          <w:szCs w:val="22"/>
          <w:lang w:val="es-ES"/>
        </w:rPr>
        <w:t xml:space="preserve"> </w:t>
      </w:r>
      <w:proofErr w:type="spellStart"/>
      <w:r>
        <w:rPr>
          <w:rFonts w:eastAsia="Palatino Linotype"/>
          <w:sz w:val="22"/>
          <w:szCs w:val="22"/>
          <w:lang w:val="es-ES"/>
        </w:rPr>
        <w:t>that</w:t>
      </w:r>
      <w:proofErr w:type="spellEnd"/>
      <w:r>
        <w:rPr>
          <w:rFonts w:eastAsia="Palatino Linotype"/>
          <w:sz w:val="22"/>
          <w:szCs w:val="22"/>
          <w:lang w:val="es-ES"/>
        </w:rPr>
        <w:t xml:space="preserve"> can be </w:t>
      </w:r>
      <w:proofErr w:type="spellStart"/>
      <w:r>
        <w:rPr>
          <w:rFonts w:eastAsia="Palatino Linotype"/>
          <w:sz w:val="22"/>
          <w:szCs w:val="22"/>
          <w:lang w:val="es-ES"/>
        </w:rPr>
        <w:t>accessed</w:t>
      </w:r>
      <w:proofErr w:type="spellEnd"/>
      <w:r>
        <w:rPr>
          <w:rFonts w:eastAsia="Palatino Linotype"/>
          <w:sz w:val="22"/>
          <w:szCs w:val="22"/>
          <w:lang w:val="es-ES"/>
        </w:rPr>
        <w:t xml:space="preserve"> </w:t>
      </w:r>
      <w:proofErr w:type="spellStart"/>
      <w:r>
        <w:rPr>
          <w:rFonts w:eastAsia="Palatino Linotype"/>
          <w:sz w:val="22"/>
          <w:szCs w:val="22"/>
          <w:lang w:val="es-ES"/>
        </w:rPr>
        <w:t>through</w:t>
      </w:r>
      <w:proofErr w:type="spellEnd"/>
      <w:r>
        <w:rPr>
          <w:rFonts w:eastAsia="Palatino Linotype"/>
          <w:sz w:val="22"/>
          <w:szCs w:val="22"/>
          <w:lang w:val="es-ES"/>
        </w:rPr>
        <w:t xml:space="preserve"> </w:t>
      </w:r>
      <w:proofErr w:type="spellStart"/>
      <w:r>
        <w:rPr>
          <w:rFonts w:eastAsia="Palatino Linotype"/>
          <w:sz w:val="22"/>
          <w:szCs w:val="22"/>
          <w:lang w:val="es-ES"/>
        </w:rPr>
        <w:t>the</w:t>
      </w:r>
      <w:proofErr w:type="spellEnd"/>
      <w:r>
        <w:rPr>
          <w:rFonts w:eastAsia="Palatino Linotype"/>
          <w:sz w:val="22"/>
          <w:szCs w:val="22"/>
          <w:lang w:val="es-ES"/>
        </w:rPr>
        <w:t xml:space="preserve"> RUPE </w:t>
      </w:r>
      <w:proofErr w:type="spellStart"/>
      <w:r>
        <w:rPr>
          <w:rFonts w:eastAsia="Palatino Linotype"/>
          <w:sz w:val="22"/>
          <w:szCs w:val="22"/>
          <w:lang w:val="es-ES"/>
        </w:rPr>
        <w:t>or</w:t>
      </w:r>
      <w:proofErr w:type="spellEnd"/>
      <w:r>
        <w:rPr>
          <w:rFonts w:eastAsia="Palatino Linotype"/>
          <w:sz w:val="22"/>
          <w:szCs w:val="22"/>
          <w:lang w:val="es-ES"/>
        </w:rPr>
        <w:t xml:space="preserve"> </w:t>
      </w:r>
      <w:proofErr w:type="spellStart"/>
      <w:r>
        <w:rPr>
          <w:rFonts w:eastAsia="Palatino Linotype"/>
          <w:sz w:val="22"/>
          <w:szCs w:val="22"/>
          <w:lang w:val="es-ES"/>
        </w:rPr>
        <w:t>any</w:t>
      </w:r>
      <w:proofErr w:type="spellEnd"/>
      <w:r>
        <w:rPr>
          <w:rFonts w:eastAsia="Palatino Linotype"/>
          <w:sz w:val="22"/>
          <w:szCs w:val="22"/>
          <w:lang w:val="es-ES"/>
        </w:rPr>
        <w:t xml:space="preserve"> </w:t>
      </w:r>
      <w:proofErr w:type="spellStart"/>
      <w:r>
        <w:rPr>
          <w:rFonts w:eastAsia="Palatino Linotype"/>
          <w:sz w:val="22"/>
          <w:szCs w:val="22"/>
          <w:lang w:val="es-ES"/>
        </w:rPr>
        <w:t>other</w:t>
      </w:r>
      <w:proofErr w:type="spellEnd"/>
      <w:r>
        <w:rPr>
          <w:rFonts w:eastAsia="Palatino Linotype"/>
          <w:sz w:val="22"/>
          <w:szCs w:val="22"/>
          <w:lang w:val="es-ES"/>
        </w:rPr>
        <w:t xml:space="preserve"> </w:t>
      </w:r>
      <w:proofErr w:type="spellStart"/>
      <w:r>
        <w:rPr>
          <w:rFonts w:eastAsia="Palatino Linotype"/>
          <w:sz w:val="22"/>
          <w:szCs w:val="22"/>
          <w:lang w:val="es-ES"/>
        </w:rPr>
        <w:t>freely</w:t>
      </w:r>
      <w:proofErr w:type="spellEnd"/>
      <w:r>
        <w:rPr>
          <w:rFonts w:eastAsia="Palatino Linotype"/>
          <w:sz w:val="22"/>
          <w:szCs w:val="22"/>
          <w:lang w:val="es-ES"/>
        </w:rPr>
        <w:t xml:space="preserve"> </w:t>
      </w:r>
      <w:proofErr w:type="spellStart"/>
      <w:r>
        <w:rPr>
          <w:rFonts w:eastAsia="Palatino Linotype"/>
          <w:sz w:val="22"/>
          <w:szCs w:val="22"/>
          <w:lang w:val="es-ES"/>
        </w:rPr>
        <w:t>accessible</w:t>
      </w:r>
      <w:proofErr w:type="spellEnd"/>
      <w:r>
        <w:rPr>
          <w:rFonts w:eastAsia="Palatino Linotype"/>
          <w:sz w:val="22"/>
          <w:szCs w:val="22"/>
          <w:lang w:val="es-ES"/>
        </w:rPr>
        <w:t xml:space="preserve"> </w:t>
      </w:r>
      <w:proofErr w:type="spellStart"/>
      <w:r>
        <w:rPr>
          <w:rFonts w:eastAsia="Palatino Linotype"/>
          <w:sz w:val="22"/>
          <w:szCs w:val="22"/>
          <w:lang w:val="es-ES"/>
        </w:rPr>
        <w:t>information</w:t>
      </w:r>
      <w:proofErr w:type="spellEnd"/>
      <w:r>
        <w:rPr>
          <w:rFonts w:eastAsia="Palatino Linotype"/>
          <w:sz w:val="22"/>
          <w:szCs w:val="22"/>
          <w:lang w:val="es-ES"/>
        </w:rPr>
        <w:t xml:space="preserve"> </w:t>
      </w:r>
      <w:proofErr w:type="spellStart"/>
      <w:r>
        <w:rPr>
          <w:rFonts w:eastAsia="Palatino Linotype"/>
          <w:sz w:val="22"/>
          <w:szCs w:val="22"/>
          <w:lang w:val="es-ES"/>
        </w:rPr>
        <w:t>system</w:t>
      </w:r>
      <w:proofErr w:type="spellEnd"/>
      <w:r>
        <w:rPr>
          <w:rFonts w:eastAsia="Palatino Linotype"/>
          <w:sz w:val="22"/>
          <w:szCs w:val="22"/>
          <w:lang w:val="es-ES"/>
        </w:rPr>
        <w:t>.</w:t>
      </w:r>
    </w:p>
    <w:p w14:paraId="28DDB886" w14:textId="77777777" w:rsidR="00E255F4" w:rsidRDefault="00E255F4">
      <w:pPr>
        <w:rPr>
          <w:rFonts w:eastAsia="Palatino Linotype"/>
          <w:sz w:val="22"/>
          <w:szCs w:val="22"/>
          <w:lang w:val="es-ES"/>
        </w:rPr>
      </w:pPr>
    </w:p>
    <w:p w14:paraId="5CFCB236" w14:textId="77777777" w:rsidR="00E255F4" w:rsidRDefault="00000000">
      <w:pPr>
        <w:ind w:right="-142"/>
        <w:jc w:val="both"/>
        <w:outlineLvl w:val="0"/>
        <w:rPr>
          <w:rFonts w:eastAsia="Palatino Linotype"/>
          <w:b/>
          <w:spacing w:val="-1"/>
          <w:sz w:val="22"/>
          <w:szCs w:val="22"/>
          <w:lang w:val="es-ES"/>
        </w:rPr>
      </w:pPr>
      <w:bookmarkStart w:id="22" w:name="__RefHeading___Toc225377199"/>
      <w:bookmarkEnd w:id="22"/>
      <w:r>
        <w:rPr>
          <w:rFonts w:eastAsia="Palatino Linotype"/>
          <w:b/>
          <w:spacing w:val="-1"/>
          <w:sz w:val="22"/>
          <w:szCs w:val="22"/>
          <w:lang w:val="es-ES"/>
        </w:rPr>
        <w:t xml:space="preserve">9.1 </w:t>
      </w:r>
      <w:proofErr w:type="spellStart"/>
      <w:r>
        <w:rPr>
          <w:rFonts w:eastAsia="Palatino Linotype"/>
          <w:b/>
          <w:spacing w:val="-1"/>
          <w:sz w:val="22"/>
          <w:szCs w:val="22"/>
          <w:lang w:val="es-ES"/>
        </w:rPr>
        <w:t>Documents</w:t>
      </w:r>
      <w:proofErr w:type="spellEnd"/>
      <w:r>
        <w:rPr>
          <w:rFonts w:eastAsia="Palatino Linotype"/>
          <w:b/>
          <w:spacing w:val="-1"/>
          <w:sz w:val="22"/>
          <w:szCs w:val="22"/>
          <w:lang w:val="es-ES"/>
        </w:rPr>
        <w:t xml:space="preserve"> </w:t>
      </w:r>
      <w:proofErr w:type="spellStart"/>
      <w:r>
        <w:rPr>
          <w:rFonts w:eastAsia="Palatino Linotype"/>
          <w:b/>
          <w:spacing w:val="-1"/>
          <w:sz w:val="22"/>
          <w:szCs w:val="22"/>
          <w:lang w:val="es-ES"/>
        </w:rPr>
        <w:t>included</w:t>
      </w:r>
      <w:proofErr w:type="spellEnd"/>
      <w:r>
        <w:rPr>
          <w:rFonts w:eastAsia="Palatino Linotype"/>
          <w:b/>
          <w:spacing w:val="-1"/>
          <w:sz w:val="22"/>
          <w:szCs w:val="22"/>
          <w:lang w:val="es-ES"/>
        </w:rPr>
        <w:t xml:space="preserve"> in </w:t>
      </w:r>
      <w:proofErr w:type="spellStart"/>
      <w:r>
        <w:rPr>
          <w:rFonts w:eastAsia="Palatino Linotype"/>
          <w:b/>
          <w:spacing w:val="-1"/>
          <w:sz w:val="22"/>
          <w:szCs w:val="22"/>
          <w:lang w:val="es-ES"/>
        </w:rPr>
        <w:t>the</w:t>
      </w:r>
      <w:proofErr w:type="spellEnd"/>
      <w:r>
        <w:rPr>
          <w:rFonts w:eastAsia="Palatino Linotype"/>
          <w:b/>
          <w:spacing w:val="-1"/>
          <w:sz w:val="22"/>
          <w:szCs w:val="22"/>
          <w:lang w:val="es-ES"/>
        </w:rPr>
        <w:t xml:space="preserve"> </w:t>
      </w:r>
      <w:proofErr w:type="spellStart"/>
      <w:r>
        <w:rPr>
          <w:rFonts w:eastAsia="Palatino Linotype"/>
          <w:b/>
          <w:spacing w:val="-1"/>
          <w:sz w:val="22"/>
          <w:szCs w:val="22"/>
          <w:lang w:val="es-ES"/>
        </w:rPr>
        <w:t>offer</w:t>
      </w:r>
      <w:proofErr w:type="spellEnd"/>
      <w:r>
        <w:rPr>
          <w:rFonts w:eastAsia="Palatino Linotype"/>
          <w:b/>
          <w:spacing w:val="-1"/>
          <w:sz w:val="22"/>
          <w:szCs w:val="22"/>
          <w:lang w:val="es-ES"/>
        </w:rPr>
        <w:tab/>
      </w:r>
    </w:p>
    <w:p w14:paraId="654DB109" w14:textId="77777777" w:rsidR="00E255F4" w:rsidRDefault="00E255F4">
      <w:pPr>
        <w:ind w:right="-142"/>
        <w:jc w:val="both"/>
        <w:rPr>
          <w:rFonts w:eastAsia="Palatino Linotype"/>
          <w:b/>
          <w:spacing w:val="-1"/>
          <w:sz w:val="22"/>
          <w:szCs w:val="22"/>
          <w:lang w:val="es-ES"/>
        </w:rPr>
      </w:pPr>
    </w:p>
    <w:p w14:paraId="708D83ED" w14:textId="77777777" w:rsidR="00E255F4" w:rsidRDefault="00000000">
      <w:pPr>
        <w:ind w:right="-142"/>
        <w:jc w:val="both"/>
        <w:rPr>
          <w:rFonts w:eastAsia="Palatino Linotype"/>
          <w:sz w:val="22"/>
          <w:szCs w:val="22"/>
          <w:lang w:val="es-ES"/>
        </w:rPr>
      </w:pPr>
      <w:proofErr w:type="spellStart"/>
      <w:r>
        <w:rPr>
          <w:rFonts w:eastAsia="Palatino Linotype"/>
          <w:spacing w:val="-1"/>
          <w:sz w:val="22"/>
          <w:szCs w:val="22"/>
          <w:lang w:val="es-ES"/>
        </w:rPr>
        <w:t>L</w:t>
      </w:r>
      <w:r>
        <w:rPr>
          <w:rFonts w:eastAsia="Palatino Linotype"/>
          <w:sz w:val="22"/>
          <w:szCs w:val="22"/>
          <w:lang w:val="es-ES"/>
        </w:rPr>
        <w:t>The</w:t>
      </w:r>
      <w:proofErr w:type="spellEnd"/>
      <w:r>
        <w:rPr>
          <w:rFonts w:eastAsia="Palatino Linotype"/>
          <w:sz w:val="22"/>
          <w:szCs w:val="22"/>
          <w:lang w:val="es-ES"/>
        </w:rPr>
        <w:t xml:space="preserve"> </w:t>
      </w:r>
      <w:proofErr w:type="spellStart"/>
      <w:r>
        <w:rPr>
          <w:rFonts w:eastAsia="Palatino Linotype"/>
          <w:sz w:val="22"/>
          <w:szCs w:val="22"/>
          <w:lang w:val="es-ES"/>
        </w:rPr>
        <w:t>offer</w:t>
      </w:r>
      <w:proofErr w:type="spellEnd"/>
      <w:r>
        <w:rPr>
          <w:rFonts w:eastAsia="Palatino Linotype"/>
          <w:sz w:val="22"/>
          <w:szCs w:val="22"/>
          <w:lang w:val="es-ES"/>
        </w:rPr>
        <w:t xml:space="preserve"> </w:t>
      </w:r>
      <w:proofErr w:type="spellStart"/>
      <w:r>
        <w:rPr>
          <w:rFonts w:eastAsia="Palatino Linotype"/>
          <w:sz w:val="22"/>
          <w:szCs w:val="22"/>
          <w:lang w:val="es-ES"/>
        </w:rPr>
        <w:t>will</w:t>
      </w:r>
      <w:proofErr w:type="spellEnd"/>
      <w:r>
        <w:rPr>
          <w:rFonts w:eastAsia="Palatino Linotype"/>
          <w:sz w:val="22"/>
          <w:szCs w:val="22"/>
          <w:lang w:val="es-ES"/>
        </w:rPr>
        <w:t xml:space="preserve"> </w:t>
      </w:r>
      <w:proofErr w:type="spellStart"/>
      <w:r>
        <w:rPr>
          <w:rFonts w:eastAsia="Palatino Linotype"/>
          <w:sz w:val="22"/>
          <w:szCs w:val="22"/>
          <w:lang w:val="es-ES"/>
        </w:rPr>
        <w:t>consist</w:t>
      </w:r>
      <w:proofErr w:type="spellEnd"/>
      <w:r>
        <w:rPr>
          <w:rFonts w:eastAsia="Palatino Linotype"/>
          <w:sz w:val="22"/>
          <w:szCs w:val="22"/>
          <w:lang w:val="es-ES"/>
        </w:rPr>
        <w:t xml:space="preserve"> </w:t>
      </w:r>
      <w:proofErr w:type="spellStart"/>
      <w:r>
        <w:rPr>
          <w:rFonts w:eastAsia="Palatino Linotype"/>
          <w:sz w:val="22"/>
          <w:szCs w:val="22"/>
          <w:lang w:val="es-ES"/>
        </w:rPr>
        <w:t>of</w:t>
      </w:r>
      <w:proofErr w:type="spellEnd"/>
      <w:r>
        <w:rPr>
          <w:rFonts w:eastAsia="Palatino Linotype"/>
          <w:sz w:val="22"/>
          <w:szCs w:val="22"/>
          <w:lang w:val="es-ES"/>
        </w:rPr>
        <w:t xml:space="preserve"> </w:t>
      </w:r>
      <w:proofErr w:type="spellStart"/>
      <w:r>
        <w:rPr>
          <w:rFonts w:eastAsia="Palatino Linotype"/>
          <w:sz w:val="22"/>
          <w:szCs w:val="22"/>
          <w:lang w:val="es-ES"/>
        </w:rPr>
        <w:t>the</w:t>
      </w:r>
      <w:proofErr w:type="spellEnd"/>
      <w:r>
        <w:rPr>
          <w:rFonts w:eastAsia="Palatino Linotype"/>
          <w:sz w:val="22"/>
          <w:szCs w:val="22"/>
          <w:lang w:val="es-ES"/>
        </w:rPr>
        <w:t xml:space="preserve"> </w:t>
      </w:r>
      <w:proofErr w:type="spellStart"/>
      <w:r>
        <w:rPr>
          <w:rFonts w:eastAsia="Palatino Linotype"/>
          <w:sz w:val="22"/>
          <w:szCs w:val="22"/>
          <w:lang w:val="es-ES"/>
        </w:rPr>
        <w:t>following</w:t>
      </w:r>
      <w:proofErr w:type="spellEnd"/>
      <w:r>
        <w:rPr>
          <w:rFonts w:eastAsia="Palatino Linotype"/>
          <w:sz w:val="22"/>
          <w:szCs w:val="22"/>
          <w:lang w:val="es-ES"/>
        </w:rPr>
        <w:t xml:space="preserve"> </w:t>
      </w:r>
      <w:proofErr w:type="spellStart"/>
      <w:r>
        <w:rPr>
          <w:rFonts w:eastAsia="Palatino Linotype"/>
          <w:sz w:val="22"/>
          <w:szCs w:val="22"/>
          <w:lang w:val="es-ES"/>
        </w:rPr>
        <w:t>documents</w:t>
      </w:r>
      <w:proofErr w:type="spellEnd"/>
      <w:r>
        <w:rPr>
          <w:rFonts w:eastAsia="Palatino Linotype"/>
          <w:sz w:val="22"/>
          <w:szCs w:val="22"/>
          <w:lang w:val="es-ES"/>
        </w:rPr>
        <w:t>:</w:t>
      </w:r>
    </w:p>
    <w:p w14:paraId="000B1D41" w14:textId="77777777" w:rsidR="00E255F4" w:rsidRDefault="00E255F4">
      <w:pPr>
        <w:ind w:right="-142"/>
        <w:jc w:val="both"/>
        <w:rPr>
          <w:rFonts w:eastAsia="Palatino Linotype"/>
          <w:spacing w:val="-1"/>
          <w:position w:val="1"/>
          <w:sz w:val="22"/>
          <w:szCs w:val="22"/>
          <w:lang w:val="es-ES"/>
        </w:rPr>
      </w:pPr>
    </w:p>
    <w:p w14:paraId="456DE75B" w14:textId="77777777" w:rsidR="00E255F4" w:rsidRDefault="00000000">
      <w:pPr>
        <w:ind w:left="709" w:right="-142" w:hanging="709"/>
        <w:jc w:val="both"/>
        <w:rPr>
          <w:rFonts w:eastAsia="Palatino Linotype"/>
          <w:sz w:val="22"/>
          <w:szCs w:val="22"/>
          <w:lang w:val="es-ES"/>
        </w:rPr>
      </w:pPr>
      <w:proofErr w:type="spellStart"/>
      <w:r>
        <w:rPr>
          <w:rFonts w:eastAsia="Palatino Linotype"/>
          <w:spacing w:val="-1"/>
          <w:position w:val="1"/>
          <w:sz w:val="22"/>
          <w:szCs w:val="22"/>
          <w:lang w:val="es-ES"/>
        </w:rPr>
        <w:t>to</w:t>
      </w:r>
      <w:proofErr w:type="spellEnd"/>
      <w:r>
        <w:rPr>
          <w:rFonts w:eastAsia="Palatino Linotype"/>
          <w:position w:val="1"/>
          <w:sz w:val="22"/>
          <w:szCs w:val="22"/>
          <w:lang w:val="es-ES"/>
        </w:rPr>
        <w:t xml:space="preserve">.  </w:t>
      </w:r>
      <w:r>
        <w:rPr>
          <w:rFonts w:eastAsia="Palatino Linotype"/>
          <w:spacing w:val="14"/>
          <w:position w:val="1"/>
          <w:sz w:val="22"/>
          <w:szCs w:val="22"/>
          <w:lang w:val="es-ES"/>
        </w:rPr>
        <w:t xml:space="preserve"> </w:t>
      </w:r>
      <w:r>
        <w:rPr>
          <w:rFonts w:eastAsia="Palatino Linotype"/>
          <w:spacing w:val="14"/>
          <w:position w:val="1"/>
          <w:sz w:val="22"/>
          <w:szCs w:val="22"/>
          <w:lang w:val="es-ES"/>
        </w:rPr>
        <w:tab/>
      </w:r>
      <w:proofErr w:type="spellStart"/>
      <w:r>
        <w:rPr>
          <w:rFonts w:eastAsia="Palatino Linotype"/>
          <w:spacing w:val="-2"/>
          <w:position w:val="1"/>
          <w:sz w:val="22"/>
          <w:szCs w:val="22"/>
          <w:lang w:val="es-ES"/>
        </w:rPr>
        <w:t>Antecedent</w:t>
      </w:r>
      <w:r>
        <w:rPr>
          <w:rFonts w:eastAsia="Palatino Linotype"/>
          <w:position w:val="1"/>
          <w:sz w:val="22"/>
          <w:szCs w:val="22"/>
          <w:lang w:val="es-ES"/>
        </w:rPr>
        <w:t>s</w:t>
      </w:r>
      <w:proofErr w:type="spellEnd"/>
      <w:r>
        <w:rPr>
          <w:rFonts w:eastAsia="Palatino Linotype"/>
          <w:position w:val="1"/>
          <w:sz w:val="22"/>
          <w:szCs w:val="22"/>
          <w:lang w:val="es-ES"/>
        </w:rPr>
        <w:t xml:space="preserve"> </w:t>
      </w:r>
      <w:proofErr w:type="spellStart"/>
      <w:r>
        <w:rPr>
          <w:rFonts w:eastAsia="Palatino Linotype"/>
          <w:position w:val="1"/>
          <w:sz w:val="22"/>
          <w:szCs w:val="22"/>
          <w:lang w:val="es-ES"/>
        </w:rPr>
        <w:t>of</w:t>
      </w:r>
      <w:proofErr w:type="spellEnd"/>
      <w:r>
        <w:rPr>
          <w:rFonts w:eastAsia="Palatino Linotype"/>
          <w:position w:val="1"/>
          <w:sz w:val="22"/>
          <w:szCs w:val="22"/>
          <w:lang w:val="es-ES"/>
        </w:rPr>
        <w:t xml:space="preserve"> </w:t>
      </w:r>
      <w:proofErr w:type="spellStart"/>
      <w:r>
        <w:rPr>
          <w:rFonts w:eastAsia="Palatino Linotype"/>
          <w:position w:val="1"/>
          <w:sz w:val="22"/>
          <w:szCs w:val="22"/>
          <w:lang w:val="es-ES"/>
        </w:rPr>
        <w:t>the</w:t>
      </w:r>
      <w:proofErr w:type="spellEnd"/>
      <w:r>
        <w:rPr>
          <w:rFonts w:eastAsia="Palatino Linotype"/>
          <w:position w:val="1"/>
          <w:sz w:val="22"/>
          <w:szCs w:val="22"/>
          <w:lang w:val="es-ES"/>
        </w:rPr>
        <w:t xml:space="preserve"> </w:t>
      </w:r>
      <w:proofErr w:type="spellStart"/>
      <w:r>
        <w:rPr>
          <w:rFonts w:eastAsia="Palatino Linotype"/>
          <w:position w:val="1"/>
          <w:sz w:val="22"/>
          <w:szCs w:val="22"/>
          <w:lang w:val="es-ES"/>
        </w:rPr>
        <w:t>bidder</w:t>
      </w:r>
      <w:proofErr w:type="spellEnd"/>
      <w:r>
        <w:rPr>
          <w:rFonts w:eastAsia="Palatino Linotype"/>
          <w:position w:val="1"/>
          <w:sz w:val="22"/>
          <w:szCs w:val="22"/>
          <w:lang w:val="es-ES"/>
        </w:rPr>
        <w:t xml:space="preserve">, in </w:t>
      </w:r>
      <w:proofErr w:type="spellStart"/>
      <w:r>
        <w:rPr>
          <w:rFonts w:eastAsia="Palatino Linotype"/>
          <w:position w:val="1"/>
          <w:sz w:val="22"/>
          <w:szCs w:val="22"/>
          <w:lang w:val="es-ES"/>
        </w:rPr>
        <w:t>accordance</w:t>
      </w:r>
      <w:proofErr w:type="spellEnd"/>
      <w:r>
        <w:rPr>
          <w:rFonts w:eastAsia="Palatino Linotype"/>
          <w:position w:val="1"/>
          <w:sz w:val="22"/>
          <w:szCs w:val="22"/>
          <w:lang w:val="es-ES"/>
        </w:rPr>
        <w:t xml:space="preserve"> </w:t>
      </w:r>
      <w:proofErr w:type="spellStart"/>
      <w:r>
        <w:rPr>
          <w:rFonts w:eastAsia="Palatino Linotype"/>
          <w:position w:val="1"/>
          <w:sz w:val="22"/>
          <w:szCs w:val="22"/>
          <w:lang w:val="es-ES"/>
        </w:rPr>
        <w:t>with</w:t>
      </w:r>
      <w:proofErr w:type="spellEnd"/>
      <w:r>
        <w:rPr>
          <w:rFonts w:eastAsia="Palatino Linotype"/>
          <w:position w:val="1"/>
          <w:sz w:val="22"/>
          <w:szCs w:val="22"/>
          <w:lang w:val="es-ES"/>
        </w:rPr>
        <w:t xml:space="preserve"> </w:t>
      </w:r>
      <w:proofErr w:type="spellStart"/>
      <w:r>
        <w:rPr>
          <w:rFonts w:eastAsia="Palatino Linotype"/>
          <w:position w:val="1"/>
          <w:sz w:val="22"/>
          <w:szCs w:val="22"/>
          <w:lang w:val="es-ES"/>
        </w:rPr>
        <w:t>what</w:t>
      </w:r>
      <w:proofErr w:type="spellEnd"/>
      <w:r>
        <w:rPr>
          <w:rFonts w:eastAsia="Palatino Linotype"/>
          <w:position w:val="1"/>
          <w:sz w:val="22"/>
          <w:szCs w:val="22"/>
          <w:lang w:val="es-ES"/>
        </w:rPr>
        <w:t xml:space="preserve"> </w:t>
      </w:r>
      <w:proofErr w:type="spellStart"/>
      <w:r>
        <w:rPr>
          <w:rFonts w:eastAsia="Palatino Linotype"/>
          <w:position w:val="1"/>
          <w:sz w:val="22"/>
          <w:szCs w:val="22"/>
          <w:lang w:val="es-ES"/>
        </w:rPr>
        <w:t>is</w:t>
      </w:r>
      <w:proofErr w:type="spellEnd"/>
      <w:r>
        <w:rPr>
          <w:rFonts w:eastAsia="Palatino Linotype"/>
          <w:position w:val="1"/>
          <w:sz w:val="22"/>
          <w:szCs w:val="22"/>
          <w:lang w:val="es-ES"/>
        </w:rPr>
        <w:t xml:space="preserve"> </w:t>
      </w:r>
      <w:proofErr w:type="spellStart"/>
      <w:r>
        <w:rPr>
          <w:rFonts w:eastAsia="Palatino Linotype"/>
          <w:position w:val="1"/>
          <w:sz w:val="22"/>
          <w:szCs w:val="22"/>
          <w:lang w:val="es-ES"/>
        </w:rPr>
        <w:t>established</w:t>
      </w:r>
      <w:proofErr w:type="spellEnd"/>
      <w:r>
        <w:rPr>
          <w:rFonts w:eastAsia="Palatino Linotype"/>
          <w:position w:val="1"/>
          <w:sz w:val="22"/>
          <w:szCs w:val="22"/>
          <w:lang w:val="es-ES"/>
        </w:rPr>
        <w:t xml:space="preserve"> in </w:t>
      </w:r>
      <w:proofErr w:type="spellStart"/>
      <w:r>
        <w:rPr>
          <w:rFonts w:eastAsia="Palatino Linotype"/>
          <w:position w:val="1"/>
          <w:sz w:val="22"/>
          <w:szCs w:val="22"/>
          <w:lang w:val="es-ES"/>
        </w:rPr>
        <w:t>the</w:t>
      </w:r>
      <w:proofErr w:type="spellEnd"/>
      <w:r>
        <w:rPr>
          <w:rFonts w:eastAsia="Palatino Linotype"/>
          <w:position w:val="1"/>
          <w:sz w:val="22"/>
          <w:szCs w:val="22"/>
          <w:lang w:val="es-ES"/>
        </w:rPr>
        <w:t xml:space="preserve"> Special </w:t>
      </w:r>
      <w:proofErr w:type="spellStart"/>
      <w:r>
        <w:rPr>
          <w:rFonts w:eastAsia="Palatino Linotype"/>
          <w:position w:val="1"/>
          <w:sz w:val="22"/>
          <w:szCs w:val="22"/>
          <w:lang w:val="es-ES"/>
        </w:rPr>
        <w:t>Specifications</w:t>
      </w:r>
      <w:proofErr w:type="spellEnd"/>
      <w:r>
        <w:rPr>
          <w:rFonts w:eastAsia="Palatino Linotype"/>
          <w:position w:val="1"/>
          <w:sz w:val="22"/>
          <w:szCs w:val="22"/>
          <w:lang w:val="es-ES"/>
        </w:rPr>
        <w:t xml:space="preserve">, </w:t>
      </w:r>
      <w:proofErr w:type="spellStart"/>
      <w:r>
        <w:rPr>
          <w:rFonts w:eastAsia="Palatino Linotype"/>
          <w:position w:val="1"/>
          <w:sz w:val="22"/>
          <w:szCs w:val="22"/>
          <w:lang w:val="es-ES"/>
        </w:rPr>
        <w:t>both</w:t>
      </w:r>
      <w:proofErr w:type="spellEnd"/>
      <w:r>
        <w:rPr>
          <w:rFonts w:eastAsia="Palatino Linotype"/>
          <w:position w:val="1"/>
          <w:sz w:val="22"/>
          <w:szCs w:val="22"/>
          <w:lang w:val="es-ES"/>
        </w:rPr>
        <w:t xml:space="preserve"> </w:t>
      </w:r>
      <w:proofErr w:type="spellStart"/>
      <w:r>
        <w:rPr>
          <w:rFonts w:eastAsia="Palatino Linotype"/>
          <w:position w:val="1"/>
          <w:sz w:val="22"/>
          <w:szCs w:val="22"/>
          <w:lang w:val="es-ES"/>
        </w:rPr>
        <w:t>with</w:t>
      </w:r>
      <w:proofErr w:type="spellEnd"/>
      <w:r>
        <w:rPr>
          <w:rFonts w:eastAsia="Palatino Linotype"/>
          <w:position w:val="1"/>
          <w:sz w:val="22"/>
          <w:szCs w:val="22"/>
          <w:lang w:val="es-ES"/>
        </w:rPr>
        <w:t xml:space="preserve"> </w:t>
      </w:r>
      <w:proofErr w:type="spellStart"/>
      <w:r>
        <w:rPr>
          <w:rFonts w:eastAsia="Palatino Linotype"/>
          <w:position w:val="1"/>
          <w:sz w:val="22"/>
          <w:szCs w:val="22"/>
          <w:lang w:val="es-ES"/>
        </w:rPr>
        <w:t>respect</w:t>
      </w:r>
      <w:proofErr w:type="spellEnd"/>
      <w:r>
        <w:rPr>
          <w:rFonts w:eastAsia="Palatino Linotype"/>
          <w:position w:val="1"/>
          <w:sz w:val="22"/>
          <w:szCs w:val="22"/>
          <w:lang w:val="es-ES"/>
        </w:rPr>
        <w:t xml:space="preserve"> </w:t>
      </w:r>
      <w:proofErr w:type="spellStart"/>
      <w:r>
        <w:rPr>
          <w:rFonts w:eastAsia="Palatino Linotype"/>
          <w:position w:val="1"/>
          <w:sz w:val="22"/>
          <w:szCs w:val="22"/>
          <w:lang w:val="es-ES"/>
        </w:rPr>
        <w:t>to</w:t>
      </w:r>
      <w:proofErr w:type="spellEnd"/>
      <w:r>
        <w:rPr>
          <w:rFonts w:eastAsia="Palatino Linotype"/>
          <w:position w:val="1"/>
          <w:sz w:val="22"/>
          <w:szCs w:val="22"/>
          <w:lang w:val="es-ES"/>
        </w:rPr>
        <w:t xml:space="preserve"> </w:t>
      </w:r>
      <w:proofErr w:type="spellStart"/>
      <w:r>
        <w:rPr>
          <w:rFonts w:eastAsia="Palatino Linotype"/>
          <w:position w:val="1"/>
          <w:sz w:val="22"/>
          <w:szCs w:val="22"/>
          <w:lang w:val="es-ES"/>
        </w:rPr>
        <w:t>the</w:t>
      </w:r>
      <w:proofErr w:type="spellEnd"/>
      <w:r>
        <w:rPr>
          <w:rFonts w:eastAsia="Palatino Linotype"/>
          <w:position w:val="1"/>
          <w:sz w:val="22"/>
          <w:szCs w:val="22"/>
          <w:lang w:val="es-ES"/>
        </w:rPr>
        <w:t xml:space="preserve"> </w:t>
      </w:r>
      <w:proofErr w:type="spellStart"/>
      <w:r>
        <w:rPr>
          <w:rFonts w:eastAsia="Palatino Linotype"/>
          <w:position w:val="1"/>
          <w:sz w:val="22"/>
          <w:szCs w:val="22"/>
          <w:lang w:val="es-ES"/>
        </w:rPr>
        <w:t>company</w:t>
      </w:r>
      <w:proofErr w:type="spellEnd"/>
      <w:r>
        <w:rPr>
          <w:rFonts w:eastAsia="Palatino Linotype"/>
          <w:position w:val="1"/>
          <w:sz w:val="22"/>
          <w:szCs w:val="22"/>
          <w:lang w:val="es-ES"/>
        </w:rPr>
        <w:t xml:space="preserve"> and </w:t>
      </w:r>
      <w:proofErr w:type="spellStart"/>
      <w:r>
        <w:rPr>
          <w:rFonts w:eastAsia="Palatino Linotype"/>
          <w:position w:val="1"/>
          <w:sz w:val="22"/>
          <w:szCs w:val="22"/>
          <w:lang w:val="es-ES"/>
        </w:rPr>
        <w:t>the</w:t>
      </w:r>
      <w:proofErr w:type="spellEnd"/>
      <w:r>
        <w:rPr>
          <w:rFonts w:eastAsia="Palatino Linotype"/>
          <w:position w:val="1"/>
          <w:sz w:val="22"/>
          <w:szCs w:val="22"/>
          <w:lang w:val="es-ES"/>
        </w:rPr>
        <w:t xml:space="preserve"> </w:t>
      </w:r>
      <w:proofErr w:type="spellStart"/>
      <w:r>
        <w:rPr>
          <w:rFonts w:eastAsia="Palatino Linotype"/>
          <w:position w:val="1"/>
          <w:sz w:val="22"/>
          <w:szCs w:val="22"/>
          <w:lang w:val="es-ES"/>
        </w:rPr>
        <w:t>object</w:t>
      </w:r>
      <w:proofErr w:type="spellEnd"/>
      <w:r>
        <w:rPr>
          <w:rFonts w:eastAsia="Palatino Linotype"/>
          <w:position w:val="1"/>
          <w:sz w:val="22"/>
          <w:szCs w:val="22"/>
          <w:lang w:val="es-ES"/>
        </w:rPr>
        <w:t xml:space="preserve"> </w:t>
      </w:r>
      <w:proofErr w:type="spellStart"/>
      <w:r>
        <w:rPr>
          <w:rFonts w:eastAsia="Palatino Linotype"/>
          <w:position w:val="1"/>
          <w:sz w:val="22"/>
          <w:szCs w:val="22"/>
          <w:lang w:val="es-ES"/>
        </w:rPr>
        <w:t>of</w:t>
      </w:r>
      <w:proofErr w:type="spellEnd"/>
      <w:r>
        <w:rPr>
          <w:rFonts w:eastAsia="Palatino Linotype"/>
          <w:position w:val="1"/>
          <w:sz w:val="22"/>
          <w:szCs w:val="22"/>
          <w:lang w:val="es-ES"/>
        </w:rPr>
        <w:t xml:space="preserve"> </w:t>
      </w:r>
      <w:proofErr w:type="spellStart"/>
      <w:r>
        <w:rPr>
          <w:rFonts w:eastAsia="Palatino Linotype"/>
          <w:position w:val="1"/>
          <w:sz w:val="22"/>
          <w:szCs w:val="22"/>
          <w:lang w:val="es-ES"/>
        </w:rPr>
        <w:t>the</w:t>
      </w:r>
      <w:proofErr w:type="spellEnd"/>
      <w:r>
        <w:rPr>
          <w:rFonts w:eastAsia="Palatino Linotype"/>
          <w:position w:val="1"/>
          <w:sz w:val="22"/>
          <w:szCs w:val="22"/>
          <w:lang w:val="es-ES"/>
        </w:rPr>
        <w:t xml:space="preserve"> tender.</w:t>
      </w:r>
    </w:p>
    <w:p w14:paraId="2451765D" w14:textId="77777777" w:rsidR="00E255F4" w:rsidRDefault="00000000">
      <w:pPr>
        <w:ind w:left="709" w:right="-142" w:hanging="709"/>
        <w:jc w:val="both"/>
        <w:rPr>
          <w:rFonts w:eastAsia="Palatino Linotype"/>
          <w:sz w:val="22"/>
          <w:szCs w:val="22"/>
          <w:lang w:val="es-ES"/>
        </w:rPr>
      </w:pPr>
      <w:r>
        <w:rPr>
          <w:rFonts w:eastAsia="Palatino Linotype"/>
          <w:spacing w:val="-1"/>
          <w:position w:val="1"/>
          <w:sz w:val="22"/>
          <w:szCs w:val="22"/>
          <w:lang w:val="es-ES"/>
        </w:rPr>
        <w:t>b</w:t>
      </w:r>
      <w:r>
        <w:rPr>
          <w:rFonts w:eastAsia="Palatino Linotype"/>
          <w:position w:val="1"/>
          <w:sz w:val="22"/>
          <w:szCs w:val="22"/>
          <w:lang w:val="es-ES"/>
        </w:rPr>
        <w:t xml:space="preserve">.  </w:t>
      </w:r>
      <w:r>
        <w:rPr>
          <w:rFonts w:eastAsia="Palatino Linotype"/>
          <w:spacing w:val="5"/>
          <w:position w:val="1"/>
          <w:sz w:val="22"/>
          <w:szCs w:val="22"/>
          <w:lang w:val="es-ES"/>
        </w:rPr>
        <w:t xml:space="preserve"> </w:t>
      </w:r>
      <w:r>
        <w:rPr>
          <w:rFonts w:eastAsia="Palatino Linotype"/>
          <w:spacing w:val="5"/>
          <w:position w:val="1"/>
          <w:sz w:val="22"/>
          <w:szCs w:val="22"/>
          <w:lang w:val="es-ES"/>
        </w:rPr>
        <w:tab/>
      </w:r>
      <w:proofErr w:type="spellStart"/>
      <w:r>
        <w:rPr>
          <w:rFonts w:eastAsia="Palatino Linotype"/>
          <w:spacing w:val="1"/>
          <w:position w:val="1"/>
          <w:sz w:val="22"/>
          <w:szCs w:val="22"/>
          <w:lang w:val="es-ES"/>
        </w:rPr>
        <w:t>L</w:t>
      </w:r>
      <w:r>
        <w:rPr>
          <w:rFonts w:eastAsia="Palatino Linotype"/>
          <w:position w:val="1"/>
          <w:sz w:val="22"/>
          <w:szCs w:val="22"/>
          <w:lang w:val="es-ES"/>
        </w:rPr>
        <w:t>the</w:t>
      </w:r>
      <w:proofErr w:type="spellEnd"/>
      <w:r>
        <w:rPr>
          <w:rFonts w:eastAsia="Palatino Linotype"/>
          <w:position w:val="1"/>
          <w:sz w:val="22"/>
          <w:szCs w:val="22"/>
          <w:lang w:val="es-ES"/>
        </w:rPr>
        <w:t xml:space="preserve"> </w:t>
      </w:r>
      <w:proofErr w:type="spellStart"/>
      <w:r>
        <w:rPr>
          <w:rFonts w:eastAsia="Palatino Linotype"/>
          <w:position w:val="1"/>
          <w:sz w:val="22"/>
          <w:szCs w:val="22"/>
          <w:lang w:val="es-ES"/>
        </w:rPr>
        <w:t>proposal</w:t>
      </w:r>
      <w:proofErr w:type="spellEnd"/>
      <w:r>
        <w:rPr>
          <w:rFonts w:eastAsia="Palatino Linotype"/>
          <w:position w:val="1"/>
          <w:sz w:val="22"/>
          <w:szCs w:val="22"/>
          <w:lang w:val="es-ES"/>
        </w:rPr>
        <w:t xml:space="preserve"> in </w:t>
      </w:r>
      <w:proofErr w:type="spellStart"/>
      <w:r>
        <w:rPr>
          <w:rFonts w:eastAsia="Palatino Linotype"/>
          <w:position w:val="1"/>
          <w:sz w:val="22"/>
          <w:szCs w:val="22"/>
          <w:lang w:val="es-ES"/>
        </w:rPr>
        <w:t>all</w:t>
      </w:r>
      <w:proofErr w:type="spellEnd"/>
      <w:r>
        <w:rPr>
          <w:rFonts w:eastAsia="Palatino Linotype"/>
          <w:position w:val="1"/>
          <w:sz w:val="22"/>
          <w:szCs w:val="22"/>
          <w:lang w:val="es-ES"/>
        </w:rPr>
        <w:t xml:space="preserve"> </w:t>
      </w:r>
      <w:proofErr w:type="spellStart"/>
      <w:r>
        <w:rPr>
          <w:rFonts w:eastAsia="Palatino Linotype"/>
          <w:position w:val="1"/>
          <w:sz w:val="22"/>
          <w:szCs w:val="22"/>
          <w:lang w:val="es-ES"/>
        </w:rPr>
        <w:t>matters</w:t>
      </w:r>
      <w:proofErr w:type="spellEnd"/>
      <w:r>
        <w:rPr>
          <w:rFonts w:eastAsia="Palatino Linotype"/>
          <w:position w:val="1"/>
          <w:sz w:val="22"/>
          <w:szCs w:val="22"/>
          <w:lang w:val="es-ES"/>
        </w:rPr>
        <w:t xml:space="preserve"> </w:t>
      </w:r>
      <w:proofErr w:type="spellStart"/>
      <w:r>
        <w:rPr>
          <w:rFonts w:eastAsia="Palatino Linotype"/>
          <w:position w:val="1"/>
          <w:sz w:val="22"/>
          <w:szCs w:val="22"/>
          <w:lang w:val="es-ES"/>
        </w:rPr>
        <w:t>relating</w:t>
      </w:r>
      <w:proofErr w:type="spellEnd"/>
      <w:r>
        <w:rPr>
          <w:rFonts w:eastAsia="Palatino Linotype"/>
          <w:position w:val="1"/>
          <w:sz w:val="22"/>
          <w:szCs w:val="22"/>
          <w:lang w:val="es-ES"/>
        </w:rPr>
        <w:t xml:space="preserve"> </w:t>
      </w:r>
      <w:proofErr w:type="spellStart"/>
      <w:r>
        <w:rPr>
          <w:rFonts w:eastAsia="Palatino Linotype"/>
          <w:position w:val="1"/>
          <w:sz w:val="22"/>
          <w:szCs w:val="22"/>
          <w:lang w:val="es-ES"/>
        </w:rPr>
        <w:t>to</w:t>
      </w:r>
      <w:proofErr w:type="spellEnd"/>
      <w:r>
        <w:rPr>
          <w:rFonts w:eastAsia="Palatino Linotype"/>
          <w:position w:val="1"/>
          <w:sz w:val="22"/>
          <w:szCs w:val="22"/>
          <w:lang w:val="es-ES"/>
        </w:rPr>
        <w:t xml:space="preserve"> </w:t>
      </w:r>
      <w:proofErr w:type="spellStart"/>
      <w:r>
        <w:rPr>
          <w:rFonts w:eastAsia="Palatino Linotype"/>
          <w:position w:val="1"/>
          <w:sz w:val="22"/>
          <w:szCs w:val="22"/>
          <w:lang w:val="es-ES"/>
        </w:rPr>
        <w:t>the</w:t>
      </w:r>
      <w:proofErr w:type="spellEnd"/>
      <w:r>
        <w:rPr>
          <w:rFonts w:eastAsia="Palatino Linotype"/>
          <w:position w:val="1"/>
          <w:sz w:val="22"/>
          <w:szCs w:val="22"/>
          <w:lang w:val="es-ES"/>
        </w:rPr>
        <w:t xml:space="preserve"> </w:t>
      </w:r>
      <w:proofErr w:type="spellStart"/>
      <w:r>
        <w:rPr>
          <w:rFonts w:eastAsia="Palatino Linotype"/>
          <w:position w:val="1"/>
          <w:sz w:val="22"/>
          <w:szCs w:val="22"/>
          <w:lang w:val="es-ES"/>
        </w:rPr>
        <w:t>object</w:t>
      </w:r>
      <w:proofErr w:type="spellEnd"/>
      <w:r>
        <w:rPr>
          <w:rFonts w:eastAsia="Palatino Linotype"/>
          <w:position w:val="1"/>
          <w:sz w:val="22"/>
          <w:szCs w:val="22"/>
          <w:lang w:val="es-ES"/>
        </w:rPr>
        <w:t xml:space="preserve"> </w:t>
      </w:r>
      <w:proofErr w:type="spellStart"/>
      <w:r>
        <w:rPr>
          <w:rFonts w:eastAsia="Palatino Linotype"/>
          <w:position w:val="1"/>
          <w:sz w:val="22"/>
          <w:szCs w:val="22"/>
          <w:lang w:val="es-ES"/>
        </w:rPr>
        <w:t>of</w:t>
      </w:r>
      <w:proofErr w:type="spellEnd"/>
      <w:r>
        <w:rPr>
          <w:rFonts w:eastAsia="Palatino Linotype"/>
          <w:position w:val="1"/>
          <w:sz w:val="22"/>
          <w:szCs w:val="22"/>
          <w:lang w:val="es-ES"/>
        </w:rPr>
        <w:t xml:space="preserve"> </w:t>
      </w:r>
      <w:proofErr w:type="spellStart"/>
      <w:r>
        <w:rPr>
          <w:rFonts w:eastAsia="Palatino Linotype"/>
          <w:position w:val="1"/>
          <w:sz w:val="22"/>
          <w:szCs w:val="22"/>
          <w:lang w:val="es-ES"/>
        </w:rPr>
        <w:t>the</w:t>
      </w:r>
      <w:proofErr w:type="spellEnd"/>
      <w:r>
        <w:rPr>
          <w:rFonts w:eastAsia="Palatino Linotype"/>
          <w:position w:val="1"/>
          <w:sz w:val="22"/>
          <w:szCs w:val="22"/>
          <w:lang w:val="es-ES"/>
        </w:rPr>
        <w:t xml:space="preserve"> </w:t>
      </w:r>
      <w:proofErr w:type="spellStart"/>
      <w:r>
        <w:rPr>
          <w:rFonts w:eastAsia="Palatino Linotype"/>
          <w:position w:val="1"/>
          <w:sz w:val="22"/>
          <w:szCs w:val="22"/>
          <w:lang w:val="es-ES"/>
        </w:rPr>
        <w:t>procurement</w:t>
      </w:r>
      <w:proofErr w:type="spellEnd"/>
      <w:r>
        <w:rPr>
          <w:rFonts w:eastAsia="Palatino Linotype"/>
          <w:position w:val="1"/>
          <w:sz w:val="22"/>
          <w:szCs w:val="22"/>
          <w:lang w:val="es-ES"/>
        </w:rPr>
        <w:t xml:space="preserve"> </w:t>
      </w:r>
      <w:proofErr w:type="spellStart"/>
      <w:r>
        <w:rPr>
          <w:rFonts w:eastAsia="Palatino Linotype"/>
          <w:position w:val="1"/>
          <w:sz w:val="22"/>
          <w:szCs w:val="22"/>
          <w:lang w:val="es-ES"/>
        </w:rPr>
        <w:t>procedure</w:t>
      </w:r>
      <w:proofErr w:type="spellEnd"/>
      <w:r>
        <w:rPr>
          <w:rFonts w:eastAsia="Palatino Linotype"/>
          <w:position w:val="1"/>
          <w:sz w:val="22"/>
          <w:szCs w:val="22"/>
          <w:lang w:val="es-ES"/>
        </w:rPr>
        <w:t xml:space="preserve">, </w:t>
      </w:r>
      <w:proofErr w:type="spellStart"/>
      <w:r>
        <w:rPr>
          <w:rFonts w:eastAsia="Palatino Linotype"/>
          <w:position w:val="1"/>
          <w:sz w:val="22"/>
          <w:szCs w:val="22"/>
          <w:lang w:val="es-ES"/>
        </w:rPr>
        <w:t>including</w:t>
      </w:r>
      <w:proofErr w:type="spellEnd"/>
      <w:r>
        <w:rPr>
          <w:rFonts w:eastAsia="Palatino Linotype"/>
          <w:position w:val="1"/>
          <w:sz w:val="22"/>
          <w:szCs w:val="22"/>
          <w:lang w:val="es-ES"/>
        </w:rPr>
        <w:t xml:space="preserve"> </w:t>
      </w:r>
      <w:proofErr w:type="spellStart"/>
      <w:r>
        <w:rPr>
          <w:rFonts w:eastAsia="Palatino Linotype"/>
          <w:position w:val="1"/>
          <w:sz w:val="22"/>
          <w:szCs w:val="22"/>
          <w:lang w:val="es-ES"/>
        </w:rPr>
        <w:t>the</w:t>
      </w:r>
      <w:proofErr w:type="spellEnd"/>
      <w:r>
        <w:rPr>
          <w:rFonts w:eastAsia="Palatino Linotype"/>
          <w:position w:val="1"/>
          <w:sz w:val="22"/>
          <w:szCs w:val="22"/>
          <w:lang w:val="es-ES"/>
        </w:rPr>
        <w:t xml:space="preserve"> </w:t>
      </w:r>
      <w:proofErr w:type="spellStart"/>
      <w:r>
        <w:rPr>
          <w:rFonts w:eastAsia="Palatino Linotype"/>
          <w:position w:val="1"/>
          <w:sz w:val="22"/>
          <w:szCs w:val="22"/>
          <w:lang w:val="es-ES"/>
        </w:rPr>
        <w:t>declaration</w:t>
      </w:r>
      <w:proofErr w:type="spellEnd"/>
      <w:r>
        <w:rPr>
          <w:rFonts w:eastAsia="Palatino Linotype"/>
          <w:position w:val="1"/>
          <w:sz w:val="22"/>
          <w:szCs w:val="22"/>
          <w:lang w:val="es-ES"/>
        </w:rPr>
        <w:t xml:space="preserve"> </w:t>
      </w:r>
      <w:proofErr w:type="spellStart"/>
      <w:r>
        <w:rPr>
          <w:rFonts w:eastAsia="Palatino Linotype"/>
          <w:position w:val="1"/>
          <w:sz w:val="22"/>
          <w:szCs w:val="22"/>
          <w:lang w:val="es-ES"/>
        </w:rPr>
        <w:t>required</w:t>
      </w:r>
      <w:proofErr w:type="spellEnd"/>
      <w:r>
        <w:rPr>
          <w:rFonts w:eastAsia="Palatino Linotype"/>
          <w:position w:val="1"/>
          <w:sz w:val="22"/>
          <w:szCs w:val="22"/>
          <w:lang w:val="es-ES"/>
        </w:rPr>
        <w:t xml:space="preserve"> in </w:t>
      </w:r>
      <w:proofErr w:type="spellStart"/>
      <w:r>
        <w:rPr>
          <w:rFonts w:eastAsia="Palatino Linotype"/>
          <w:position w:val="1"/>
          <w:sz w:val="22"/>
          <w:szCs w:val="22"/>
          <w:lang w:val="es-ES"/>
        </w:rPr>
        <w:t>point</w:t>
      </w:r>
      <w:proofErr w:type="spellEnd"/>
      <w:r>
        <w:rPr>
          <w:rFonts w:eastAsia="Palatino Linotype"/>
          <w:position w:val="1"/>
          <w:sz w:val="22"/>
          <w:szCs w:val="22"/>
          <w:lang w:val="es-ES"/>
        </w:rPr>
        <w:t xml:space="preserve"> 10.5.</w:t>
      </w:r>
    </w:p>
    <w:p w14:paraId="643688E7" w14:textId="77777777" w:rsidR="00E255F4" w:rsidRDefault="00000000">
      <w:pPr>
        <w:ind w:left="709" w:right="-142" w:hanging="709"/>
        <w:jc w:val="both"/>
        <w:rPr>
          <w:rFonts w:eastAsia="Palatino Linotype"/>
          <w:sz w:val="22"/>
          <w:szCs w:val="22"/>
          <w:lang w:val="es-ES"/>
        </w:rPr>
      </w:pPr>
      <w:r>
        <w:rPr>
          <w:rFonts w:eastAsia="Palatino Linotype"/>
          <w:spacing w:val="-1"/>
          <w:position w:val="1"/>
          <w:sz w:val="22"/>
          <w:szCs w:val="22"/>
          <w:lang w:val="es-ES"/>
        </w:rPr>
        <w:t>c</w:t>
      </w:r>
      <w:r>
        <w:rPr>
          <w:rFonts w:eastAsia="Palatino Linotype"/>
          <w:position w:val="1"/>
          <w:sz w:val="22"/>
          <w:szCs w:val="22"/>
          <w:lang w:val="es-ES"/>
        </w:rPr>
        <w:t xml:space="preserve">.  </w:t>
      </w:r>
      <w:r>
        <w:rPr>
          <w:rFonts w:eastAsia="Palatino Linotype"/>
          <w:spacing w:val="25"/>
          <w:position w:val="1"/>
          <w:sz w:val="22"/>
          <w:szCs w:val="22"/>
          <w:lang w:val="es-ES"/>
        </w:rPr>
        <w:t xml:space="preserve"> </w:t>
      </w:r>
      <w:r>
        <w:rPr>
          <w:rFonts w:eastAsia="Palatino Linotype"/>
          <w:spacing w:val="25"/>
          <w:position w:val="1"/>
          <w:sz w:val="22"/>
          <w:szCs w:val="22"/>
          <w:lang w:val="es-ES"/>
        </w:rPr>
        <w:tab/>
      </w:r>
      <w:proofErr w:type="spellStart"/>
      <w:r>
        <w:rPr>
          <w:rFonts w:eastAsia="Palatino Linotype"/>
          <w:spacing w:val="-1"/>
          <w:position w:val="1"/>
          <w:sz w:val="22"/>
          <w:szCs w:val="22"/>
          <w:lang w:val="es-ES"/>
        </w:rPr>
        <w:t>Document</w:t>
      </w:r>
      <w:r>
        <w:rPr>
          <w:rFonts w:eastAsia="Palatino Linotype"/>
          <w:position w:val="1"/>
          <w:sz w:val="22"/>
          <w:szCs w:val="22"/>
          <w:lang w:val="es-ES"/>
        </w:rPr>
        <w:t>required</w:t>
      </w:r>
      <w:proofErr w:type="spellEnd"/>
      <w:r>
        <w:rPr>
          <w:rFonts w:eastAsia="Palatino Linotype"/>
          <w:position w:val="1"/>
          <w:sz w:val="22"/>
          <w:szCs w:val="22"/>
          <w:lang w:val="es-ES"/>
        </w:rPr>
        <w:t xml:space="preserve"> in </w:t>
      </w:r>
      <w:proofErr w:type="spellStart"/>
      <w:r>
        <w:rPr>
          <w:rFonts w:eastAsia="Palatino Linotype"/>
          <w:position w:val="1"/>
          <w:sz w:val="22"/>
          <w:szCs w:val="22"/>
          <w:lang w:val="es-ES"/>
        </w:rPr>
        <w:t>the</w:t>
      </w:r>
      <w:proofErr w:type="spellEnd"/>
      <w:r>
        <w:rPr>
          <w:rFonts w:eastAsia="Palatino Linotype"/>
          <w:position w:val="1"/>
          <w:sz w:val="22"/>
          <w:szCs w:val="22"/>
          <w:lang w:val="es-ES"/>
        </w:rPr>
        <w:t xml:space="preserve"> Special </w:t>
      </w:r>
      <w:proofErr w:type="spellStart"/>
      <w:r>
        <w:rPr>
          <w:rFonts w:eastAsia="Palatino Linotype"/>
          <w:position w:val="1"/>
          <w:sz w:val="22"/>
          <w:szCs w:val="22"/>
          <w:lang w:val="es-ES"/>
        </w:rPr>
        <w:t>Specifications</w:t>
      </w:r>
      <w:proofErr w:type="spellEnd"/>
      <w:r>
        <w:rPr>
          <w:rFonts w:eastAsia="Palatino Linotype"/>
          <w:position w:val="1"/>
          <w:sz w:val="22"/>
          <w:szCs w:val="22"/>
          <w:lang w:val="es-ES"/>
        </w:rPr>
        <w:t>.</w:t>
      </w:r>
    </w:p>
    <w:p w14:paraId="1B2EEBD3" w14:textId="77777777" w:rsidR="00E255F4" w:rsidRDefault="00E255F4">
      <w:pPr>
        <w:rPr>
          <w:rFonts w:eastAsia="Palatino Linotype"/>
          <w:sz w:val="22"/>
          <w:szCs w:val="22"/>
          <w:lang w:val="es-ES"/>
        </w:rPr>
      </w:pPr>
    </w:p>
    <w:p w14:paraId="7219B253" w14:textId="77777777" w:rsidR="00E255F4" w:rsidRDefault="00000000">
      <w:pPr>
        <w:ind w:right="-142"/>
        <w:jc w:val="both"/>
        <w:outlineLvl w:val="0"/>
        <w:rPr>
          <w:rFonts w:eastAsia="Palatino Linotype"/>
          <w:b/>
          <w:spacing w:val="-1"/>
          <w:sz w:val="22"/>
          <w:szCs w:val="22"/>
          <w:lang w:val="es-ES"/>
        </w:rPr>
      </w:pPr>
      <w:bookmarkStart w:id="23" w:name="__RefHeading___Toc225377200"/>
      <w:bookmarkEnd w:id="23"/>
      <w:r>
        <w:rPr>
          <w:rFonts w:eastAsia="Palatino Linotype"/>
          <w:b/>
          <w:spacing w:val="-1"/>
          <w:sz w:val="22"/>
          <w:szCs w:val="22"/>
          <w:lang w:val="es-ES"/>
        </w:rPr>
        <w:t xml:space="preserve">9.2 </w:t>
      </w:r>
      <w:proofErr w:type="spellStart"/>
      <w:r>
        <w:rPr>
          <w:rFonts w:eastAsia="Palatino Linotype"/>
          <w:b/>
          <w:spacing w:val="-1"/>
          <w:sz w:val="22"/>
          <w:szCs w:val="22"/>
          <w:lang w:val="es-ES"/>
        </w:rPr>
        <w:t>Requirements</w:t>
      </w:r>
      <w:proofErr w:type="spellEnd"/>
      <w:r>
        <w:rPr>
          <w:rFonts w:eastAsia="Palatino Linotype"/>
          <w:b/>
          <w:spacing w:val="-1"/>
          <w:sz w:val="22"/>
          <w:szCs w:val="22"/>
          <w:lang w:val="es-ES"/>
        </w:rPr>
        <w:t xml:space="preserve"> prior </w:t>
      </w:r>
      <w:proofErr w:type="spellStart"/>
      <w:r>
        <w:rPr>
          <w:rFonts w:eastAsia="Palatino Linotype"/>
          <w:b/>
          <w:spacing w:val="-1"/>
          <w:sz w:val="22"/>
          <w:szCs w:val="22"/>
          <w:lang w:val="es-ES"/>
        </w:rPr>
        <w:t>to</w:t>
      </w:r>
      <w:proofErr w:type="spellEnd"/>
      <w:r>
        <w:rPr>
          <w:rFonts w:eastAsia="Palatino Linotype"/>
          <w:b/>
          <w:spacing w:val="-1"/>
          <w:sz w:val="22"/>
          <w:szCs w:val="22"/>
          <w:lang w:val="es-ES"/>
        </w:rPr>
        <w:t xml:space="preserve"> </w:t>
      </w:r>
      <w:proofErr w:type="spellStart"/>
      <w:r>
        <w:rPr>
          <w:rFonts w:eastAsia="Palatino Linotype"/>
          <w:b/>
          <w:spacing w:val="-1"/>
          <w:sz w:val="22"/>
          <w:szCs w:val="22"/>
          <w:lang w:val="es-ES"/>
        </w:rPr>
        <w:t>submitting</w:t>
      </w:r>
      <w:proofErr w:type="spellEnd"/>
      <w:r>
        <w:rPr>
          <w:rFonts w:eastAsia="Palatino Linotype"/>
          <w:b/>
          <w:spacing w:val="-1"/>
          <w:sz w:val="22"/>
          <w:szCs w:val="22"/>
          <w:lang w:val="es-ES"/>
        </w:rPr>
        <w:t xml:space="preserve"> </w:t>
      </w:r>
      <w:proofErr w:type="spellStart"/>
      <w:r>
        <w:rPr>
          <w:rFonts w:eastAsia="Palatino Linotype"/>
          <w:b/>
          <w:spacing w:val="-1"/>
          <w:sz w:val="22"/>
          <w:szCs w:val="22"/>
          <w:lang w:val="es-ES"/>
        </w:rPr>
        <w:t>the</w:t>
      </w:r>
      <w:proofErr w:type="spellEnd"/>
      <w:r>
        <w:rPr>
          <w:rFonts w:eastAsia="Palatino Linotype"/>
          <w:b/>
          <w:spacing w:val="-1"/>
          <w:sz w:val="22"/>
          <w:szCs w:val="22"/>
          <w:lang w:val="es-ES"/>
        </w:rPr>
        <w:t xml:space="preserve"> </w:t>
      </w:r>
      <w:proofErr w:type="spellStart"/>
      <w:r>
        <w:rPr>
          <w:rFonts w:eastAsia="Palatino Linotype"/>
          <w:b/>
          <w:spacing w:val="-1"/>
          <w:sz w:val="22"/>
          <w:szCs w:val="22"/>
          <w:lang w:val="es-ES"/>
        </w:rPr>
        <w:t>offer</w:t>
      </w:r>
      <w:proofErr w:type="spellEnd"/>
      <w:r>
        <w:rPr>
          <w:rFonts w:eastAsia="Palatino Linotype"/>
          <w:b/>
          <w:spacing w:val="-1"/>
          <w:sz w:val="22"/>
          <w:szCs w:val="22"/>
          <w:lang w:val="es-ES"/>
        </w:rPr>
        <w:tab/>
      </w:r>
    </w:p>
    <w:p w14:paraId="5EDB0E97" w14:textId="77777777" w:rsidR="00E255F4" w:rsidRDefault="00E255F4">
      <w:pPr>
        <w:ind w:right="-142"/>
        <w:jc w:val="both"/>
        <w:rPr>
          <w:rFonts w:eastAsia="Palatino Linotype"/>
          <w:b/>
          <w:spacing w:val="-1"/>
          <w:sz w:val="22"/>
          <w:szCs w:val="22"/>
          <w:lang w:val="es-ES"/>
        </w:rPr>
      </w:pPr>
    </w:p>
    <w:p w14:paraId="14CB9B30" w14:textId="77777777" w:rsidR="00E255F4" w:rsidRDefault="00000000">
      <w:pPr>
        <w:ind w:right="-142"/>
        <w:jc w:val="both"/>
        <w:rPr>
          <w:rFonts w:eastAsia="Palatino Linotype"/>
          <w:sz w:val="22"/>
          <w:szCs w:val="22"/>
          <w:lang w:val="es-ES"/>
        </w:rPr>
      </w:pPr>
      <w:proofErr w:type="spellStart"/>
      <w:r>
        <w:rPr>
          <w:rFonts w:eastAsia="Palatino Linotype"/>
          <w:spacing w:val="-1"/>
          <w:sz w:val="22"/>
          <w:szCs w:val="22"/>
          <w:lang w:val="es-ES"/>
        </w:rPr>
        <w:t>When</w:t>
      </w:r>
      <w:r>
        <w:rPr>
          <w:rFonts w:eastAsia="Palatino Linotype"/>
          <w:sz w:val="22"/>
          <w:szCs w:val="22"/>
          <w:lang w:val="es-ES"/>
        </w:rPr>
        <w:t>or</w:t>
      </w:r>
      <w:proofErr w:type="spellEnd"/>
      <w:r>
        <w:rPr>
          <w:rFonts w:eastAsia="Palatino Linotype"/>
          <w:sz w:val="22"/>
          <w:szCs w:val="22"/>
          <w:lang w:val="es-ES"/>
        </w:rPr>
        <w:t xml:space="preserve"> as </w:t>
      </w:r>
      <w:proofErr w:type="spellStart"/>
      <w:r>
        <w:rPr>
          <w:rFonts w:eastAsia="Palatino Linotype"/>
          <w:sz w:val="22"/>
          <w:szCs w:val="22"/>
          <w:lang w:val="es-ES"/>
        </w:rPr>
        <w:t>applicable</w:t>
      </w:r>
      <w:proofErr w:type="spellEnd"/>
      <w:r>
        <w:rPr>
          <w:rFonts w:eastAsia="Palatino Linotype"/>
          <w:sz w:val="22"/>
          <w:szCs w:val="22"/>
          <w:lang w:val="es-ES"/>
        </w:rPr>
        <w:t xml:space="preserve">, </w:t>
      </w:r>
      <w:proofErr w:type="spellStart"/>
      <w:r>
        <w:rPr>
          <w:rFonts w:eastAsia="Palatino Linotype"/>
          <w:sz w:val="22"/>
          <w:szCs w:val="22"/>
          <w:lang w:val="es-ES"/>
        </w:rPr>
        <w:t>the</w:t>
      </w:r>
      <w:proofErr w:type="spellEnd"/>
      <w:r>
        <w:rPr>
          <w:rFonts w:eastAsia="Palatino Linotype"/>
          <w:sz w:val="22"/>
          <w:szCs w:val="22"/>
          <w:lang w:val="es-ES"/>
        </w:rPr>
        <w:t xml:space="preserve"> </w:t>
      </w:r>
      <w:proofErr w:type="spellStart"/>
      <w:r>
        <w:rPr>
          <w:rFonts w:eastAsia="Palatino Linotype"/>
          <w:sz w:val="22"/>
          <w:szCs w:val="22"/>
          <w:lang w:val="es-ES"/>
        </w:rPr>
        <w:t>bidder</w:t>
      </w:r>
      <w:proofErr w:type="spellEnd"/>
      <w:r>
        <w:rPr>
          <w:rFonts w:eastAsia="Palatino Linotype"/>
          <w:sz w:val="22"/>
          <w:szCs w:val="22"/>
          <w:lang w:val="es-ES"/>
        </w:rPr>
        <w:t xml:space="preserve"> </w:t>
      </w:r>
      <w:proofErr w:type="spellStart"/>
      <w:r>
        <w:rPr>
          <w:rFonts w:eastAsia="Palatino Linotype"/>
          <w:sz w:val="22"/>
          <w:szCs w:val="22"/>
          <w:lang w:val="es-ES"/>
        </w:rPr>
        <w:t>must</w:t>
      </w:r>
      <w:proofErr w:type="spellEnd"/>
      <w:r>
        <w:rPr>
          <w:rFonts w:eastAsia="Palatino Linotype"/>
          <w:sz w:val="22"/>
          <w:szCs w:val="22"/>
          <w:lang w:val="es-ES"/>
        </w:rPr>
        <w:t>:</w:t>
      </w:r>
    </w:p>
    <w:p w14:paraId="620D3C3B" w14:textId="77777777" w:rsidR="00E255F4" w:rsidRDefault="00E255F4">
      <w:pPr>
        <w:ind w:right="-142"/>
        <w:jc w:val="both"/>
        <w:rPr>
          <w:rFonts w:eastAsia="Palatino Linotype"/>
          <w:spacing w:val="-1"/>
          <w:sz w:val="22"/>
          <w:szCs w:val="22"/>
          <w:lang w:val="es-ES"/>
        </w:rPr>
      </w:pPr>
    </w:p>
    <w:p w14:paraId="30CC7B53" w14:textId="77777777" w:rsidR="00E255F4" w:rsidRDefault="00000000">
      <w:pPr>
        <w:numPr>
          <w:ilvl w:val="0"/>
          <w:numId w:val="36"/>
        </w:numPr>
        <w:ind w:right="-142" w:hanging="720"/>
        <w:jc w:val="both"/>
        <w:rPr>
          <w:rFonts w:eastAsia="Palatino Linotype"/>
          <w:sz w:val="22"/>
          <w:szCs w:val="22"/>
          <w:lang w:val="es-ES"/>
        </w:rPr>
      </w:pPr>
      <w:proofErr w:type="spellStart"/>
      <w:r>
        <w:rPr>
          <w:rFonts w:eastAsia="Palatino Linotype"/>
          <w:spacing w:val="-1"/>
          <w:sz w:val="22"/>
          <w:szCs w:val="22"/>
          <w:lang w:val="es-ES"/>
        </w:rPr>
        <w:t>Deposit</w:t>
      </w:r>
      <w:r>
        <w:rPr>
          <w:rFonts w:eastAsia="Palatino Linotype"/>
          <w:sz w:val="22"/>
          <w:szCs w:val="22"/>
          <w:lang w:val="es-ES"/>
        </w:rPr>
        <w:t>r</w:t>
      </w:r>
      <w:proofErr w:type="spellEnd"/>
      <w:r>
        <w:rPr>
          <w:rFonts w:eastAsia="Palatino Linotype"/>
          <w:sz w:val="22"/>
          <w:szCs w:val="22"/>
          <w:lang w:val="es-ES"/>
        </w:rPr>
        <w:t xml:space="preserve"> </w:t>
      </w:r>
      <w:proofErr w:type="spellStart"/>
      <w:r>
        <w:rPr>
          <w:rFonts w:eastAsia="Palatino Linotype"/>
          <w:sz w:val="22"/>
          <w:szCs w:val="22"/>
          <w:lang w:val="es-ES"/>
        </w:rPr>
        <w:t>the</w:t>
      </w:r>
      <w:proofErr w:type="spellEnd"/>
      <w:r>
        <w:rPr>
          <w:rFonts w:eastAsia="Palatino Linotype"/>
          <w:sz w:val="22"/>
          <w:szCs w:val="22"/>
          <w:lang w:val="es-ES"/>
        </w:rPr>
        <w:t xml:space="preserve"> </w:t>
      </w:r>
      <w:proofErr w:type="spellStart"/>
      <w:r>
        <w:rPr>
          <w:rFonts w:eastAsia="Palatino Linotype"/>
          <w:sz w:val="22"/>
          <w:szCs w:val="22"/>
          <w:lang w:val="es-ES"/>
        </w:rPr>
        <w:t>guarantee</w:t>
      </w:r>
      <w:proofErr w:type="spellEnd"/>
      <w:r>
        <w:rPr>
          <w:rFonts w:eastAsia="Palatino Linotype"/>
          <w:sz w:val="22"/>
          <w:szCs w:val="22"/>
          <w:lang w:val="es-ES"/>
        </w:rPr>
        <w:t xml:space="preserve"> </w:t>
      </w:r>
      <w:proofErr w:type="spellStart"/>
      <w:r>
        <w:rPr>
          <w:rFonts w:eastAsia="Palatino Linotype"/>
          <w:sz w:val="22"/>
          <w:szCs w:val="22"/>
          <w:lang w:val="es-ES"/>
        </w:rPr>
        <w:t>of</w:t>
      </w:r>
      <w:proofErr w:type="spellEnd"/>
      <w:r>
        <w:rPr>
          <w:rFonts w:eastAsia="Palatino Linotype"/>
          <w:sz w:val="22"/>
          <w:szCs w:val="22"/>
          <w:lang w:val="es-ES"/>
        </w:rPr>
        <w:t xml:space="preserve"> </w:t>
      </w:r>
      <w:proofErr w:type="spellStart"/>
      <w:r>
        <w:rPr>
          <w:rFonts w:eastAsia="Palatino Linotype"/>
          <w:sz w:val="22"/>
          <w:szCs w:val="22"/>
          <w:lang w:val="es-ES"/>
        </w:rPr>
        <w:t>maintaining</w:t>
      </w:r>
      <w:proofErr w:type="spellEnd"/>
      <w:r>
        <w:rPr>
          <w:rFonts w:eastAsia="Palatino Linotype"/>
          <w:sz w:val="22"/>
          <w:szCs w:val="22"/>
          <w:lang w:val="es-ES"/>
        </w:rPr>
        <w:t xml:space="preserve"> </w:t>
      </w:r>
      <w:proofErr w:type="spellStart"/>
      <w:r>
        <w:rPr>
          <w:rFonts w:eastAsia="Palatino Linotype"/>
          <w:sz w:val="22"/>
          <w:szCs w:val="22"/>
          <w:lang w:val="es-ES"/>
        </w:rPr>
        <w:t>the</w:t>
      </w:r>
      <w:proofErr w:type="spellEnd"/>
      <w:r>
        <w:rPr>
          <w:rFonts w:eastAsia="Palatino Linotype"/>
          <w:sz w:val="22"/>
          <w:szCs w:val="22"/>
          <w:lang w:val="es-ES"/>
        </w:rPr>
        <w:t xml:space="preserve"> </w:t>
      </w:r>
      <w:proofErr w:type="spellStart"/>
      <w:r>
        <w:rPr>
          <w:rFonts w:eastAsia="Palatino Linotype"/>
          <w:sz w:val="22"/>
          <w:szCs w:val="22"/>
          <w:lang w:val="es-ES"/>
        </w:rPr>
        <w:t>offer</w:t>
      </w:r>
      <w:proofErr w:type="spellEnd"/>
      <w:r>
        <w:rPr>
          <w:rFonts w:eastAsia="Palatino Linotype"/>
          <w:sz w:val="22"/>
          <w:szCs w:val="22"/>
          <w:lang w:val="es-ES"/>
        </w:rPr>
        <w:t xml:space="preserve"> </w:t>
      </w:r>
      <w:proofErr w:type="spellStart"/>
      <w:r>
        <w:rPr>
          <w:rFonts w:eastAsia="Palatino Linotype"/>
          <w:sz w:val="22"/>
          <w:szCs w:val="22"/>
          <w:lang w:val="es-ES"/>
        </w:rPr>
        <w:t>when</w:t>
      </w:r>
      <w:proofErr w:type="spellEnd"/>
      <w:r>
        <w:rPr>
          <w:rFonts w:eastAsia="Palatino Linotype"/>
          <w:sz w:val="22"/>
          <w:szCs w:val="22"/>
          <w:lang w:val="es-ES"/>
        </w:rPr>
        <w:t xml:space="preserve"> </w:t>
      </w:r>
      <w:proofErr w:type="spellStart"/>
      <w:r>
        <w:rPr>
          <w:rFonts w:eastAsia="Palatino Linotype"/>
          <w:sz w:val="22"/>
          <w:szCs w:val="22"/>
          <w:lang w:val="es-ES"/>
        </w:rPr>
        <w:t>the</w:t>
      </w:r>
      <w:proofErr w:type="spellEnd"/>
      <w:r>
        <w:rPr>
          <w:rFonts w:eastAsia="Palatino Linotype"/>
          <w:sz w:val="22"/>
          <w:szCs w:val="22"/>
          <w:lang w:val="es-ES"/>
        </w:rPr>
        <w:t xml:space="preserve"> </w:t>
      </w:r>
      <w:proofErr w:type="spellStart"/>
      <w:r>
        <w:rPr>
          <w:rFonts w:eastAsia="Palatino Linotype"/>
          <w:sz w:val="22"/>
          <w:szCs w:val="22"/>
          <w:lang w:val="es-ES"/>
        </w:rPr>
        <w:t>Administration</w:t>
      </w:r>
      <w:proofErr w:type="spellEnd"/>
      <w:r>
        <w:rPr>
          <w:rFonts w:eastAsia="Palatino Linotype"/>
          <w:sz w:val="22"/>
          <w:szCs w:val="22"/>
          <w:lang w:val="es-ES"/>
        </w:rPr>
        <w:t xml:space="preserve"> declares </w:t>
      </w:r>
      <w:proofErr w:type="spellStart"/>
      <w:r>
        <w:rPr>
          <w:rFonts w:eastAsia="Palatino Linotype"/>
          <w:sz w:val="22"/>
          <w:szCs w:val="22"/>
          <w:lang w:val="es-ES"/>
        </w:rPr>
        <w:t>the</w:t>
      </w:r>
      <w:proofErr w:type="spellEnd"/>
      <w:r>
        <w:rPr>
          <w:rFonts w:eastAsia="Palatino Linotype"/>
          <w:sz w:val="22"/>
          <w:szCs w:val="22"/>
          <w:lang w:val="es-ES"/>
        </w:rPr>
        <w:t xml:space="preserve"> </w:t>
      </w:r>
      <w:proofErr w:type="spellStart"/>
      <w:r>
        <w:rPr>
          <w:rFonts w:eastAsia="Palatino Linotype"/>
          <w:sz w:val="22"/>
          <w:szCs w:val="22"/>
          <w:lang w:val="es-ES"/>
        </w:rPr>
        <w:t>obligation</w:t>
      </w:r>
      <w:proofErr w:type="spellEnd"/>
      <w:r>
        <w:rPr>
          <w:rFonts w:eastAsia="Palatino Linotype"/>
          <w:sz w:val="22"/>
          <w:szCs w:val="22"/>
          <w:lang w:val="es-ES"/>
        </w:rPr>
        <w:t xml:space="preserve"> </w:t>
      </w:r>
      <w:proofErr w:type="spellStart"/>
      <w:r>
        <w:rPr>
          <w:rFonts w:eastAsia="Palatino Linotype"/>
          <w:sz w:val="22"/>
          <w:szCs w:val="22"/>
          <w:lang w:val="es-ES"/>
        </w:rPr>
        <w:t>of</w:t>
      </w:r>
      <w:proofErr w:type="spellEnd"/>
      <w:r>
        <w:rPr>
          <w:rFonts w:eastAsia="Palatino Linotype"/>
          <w:sz w:val="22"/>
          <w:szCs w:val="22"/>
          <w:lang w:val="es-ES"/>
        </w:rPr>
        <w:t xml:space="preserve"> </w:t>
      </w:r>
      <w:proofErr w:type="spellStart"/>
      <w:r>
        <w:rPr>
          <w:rFonts w:eastAsia="Palatino Linotype"/>
          <w:sz w:val="22"/>
          <w:szCs w:val="22"/>
          <w:lang w:val="es-ES"/>
        </w:rPr>
        <w:t>the</w:t>
      </w:r>
      <w:proofErr w:type="spellEnd"/>
      <w:r>
        <w:rPr>
          <w:rFonts w:eastAsia="Palatino Linotype"/>
          <w:sz w:val="22"/>
          <w:szCs w:val="22"/>
          <w:lang w:val="es-ES"/>
        </w:rPr>
        <w:t xml:space="preserve"> </w:t>
      </w:r>
      <w:proofErr w:type="spellStart"/>
      <w:r>
        <w:rPr>
          <w:rFonts w:eastAsia="Palatino Linotype"/>
          <w:sz w:val="22"/>
          <w:szCs w:val="22"/>
          <w:lang w:val="es-ES"/>
        </w:rPr>
        <w:t>same</w:t>
      </w:r>
      <w:proofErr w:type="spellEnd"/>
      <w:r>
        <w:rPr>
          <w:rFonts w:eastAsia="Palatino Linotype"/>
          <w:sz w:val="22"/>
          <w:szCs w:val="22"/>
          <w:lang w:val="es-ES"/>
        </w:rPr>
        <w:t xml:space="preserve"> in </w:t>
      </w:r>
      <w:proofErr w:type="spellStart"/>
      <w:r>
        <w:rPr>
          <w:rFonts w:eastAsia="Palatino Linotype"/>
          <w:sz w:val="22"/>
          <w:szCs w:val="22"/>
          <w:lang w:val="es-ES"/>
        </w:rPr>
        <w:t>accordance</w:t>
      </w:r>
      <w:proofErr w:type="spellEnd"/>
      <w:r>
        <w:rPr>
          <w:rFonts w:eastAsia="Palatino Linotype"/>
          <w:sz w:val="22"/>
          <w:szCs w:val="22"/>
          <w:lang w:val="es-ES"/>
        </w:rPr>
        <w:t xml:space="preserve"> </w:t>
      </w:r>
      <w:proofErr w:type="spellStart"/>
      <w:r>
        <w:rPr>
          <w:rFonts w:eastAsia="Palatino Linotype"/>
          <w:sz w:val="22"/>
          <w:szCs w:val="22"/>
          <w:lang w:val="es-ES"/>
        </w:rPr>
        <w:t>with</w:t>
      </w:r>
      <w:proofErr w:type="spellEnd"/>
      <w:r>
        <w:rPr>
          <w:rFonts w:eastAsia="Palatino Linotype"/>
          <w:sz w:val="22"/>
          <w:szCs w:val="22"/>
          <w:lang w:val="es-ES"/>
        </w:rPr>
        <w:t xml:space="preserve"> </w:t>
      </w:r>
      <w:proofErr w:type="spellStart"/>
      <w:r>
        <w:rPr>
          <w:rFonts w:eastAsia="Palatino Linotype"/>
          <w:sz w:val="22"/>
          <w:szCs w:val="22"/>
          <w:lang w:val="es-ES"/>
        </w:rPr>
        <w:t>the</w:t>
      </w:r>
      <w:proofErr w:type="spellEnd"/>
      <w:r>
        <w:rPr>
          <w:rFonts w:eastAsia="Palatino Linotype"/>
          <w:sz w:val="22"/>
          <w:szCs w:val="22"/>
          <w:lang w:val="es-ES"/>
        </w:rPr>
        <w:t xml:space="preserve"> </w:t>
      </w:r>
      <w:proofErr w:type="spellStart"/>
      <w:r>
        <w:rPr>
          <w:rFonts w:eastAsia="Palatino Linotype"/>
          <w:sz w:val="22"/>
          <w:szCs w:val="22"/>
          <w:lang w:val="es-ES"/>
        </w:rPr>
        <w:t>provisions</w:t>
      </w:r>
      <w:proofErr w:type="spellEnd"/>
      <w:r>
        <w:rPr>
          <w:rFonts w:eastAsia="Palatino Linotype"/>
          <w:sz w:val="22"/>
          <w:szCs w:val="22"/>
          <w:lang w:val="es-ES"/>
        </w:rPr>
        <w:t xml:space="preserve"> </w:t>
      </w:r>
      <w:proofErr w:type="spellStart"/>
      <w:r>
        <w:rPr>
          <w:rFonts w:eastAsia="Palatino Linotype"/>
          <w:sz w:val="22"/>
          <w:szCs w:val="22"/>
          <w:lang w:val="es-ES"/>
        </w:rPr>
        <w:t>of</w:t>
      </w:r>
      <w:proofErr w:type="spellEnd"/>
      <w:r>
        <w:rPr>
          <w:rFonts w:eastAsia="Palatino Linotype"/>
          <w:sz w:val="22"/>
          <w:szCs w:val="22"/>
          <w:lang w:val="es-ES"/>
        </w:rPr>
        <w:t xml:space="preserve"> art. 64 </w:t>
      </w:r>
      <w:proofErr w:type="spellStart"/>
      <w:r>
        <w:rPr>
          <w:rFonts w:eastAsia="Palatino Linotype"/>
          <w:sz w:val="22"/>
          <w:szCs w:val="22"/>
          <w:lang w:val="es-ES"/>
        </w:rPr>
        <w:t>of</w:t>
      </w:r>
      <w:proofErr w:type="spellEnd"/>
      <w:r>
        <w:rPr>
          <w:rFonts w:eastAsia="Palatino Linotype"/>
          <w:sz w:val="22"/>
          <w:szCs w:val="22"/>
          <w:lang w:val="es-ES"/>
        </w:rPr>
        <w:t xml:space="preserve"> </w:t>
      </w:r>
      <w:proofErr w:type="spellStart"/>
      <w:r>
        <w:rPr>
          <w:rFonts w:eastAsia="Palatino Linotype"/>
          <w:sz w:val="22"/>
          <w:szCs w:val="22"/>
          <w:lang w:val="es-ES"/>
        </w:rPr>
        <w:t>the</w:t>
      </w:r>
      <w:proofErr w:type="spellEnd"/>
      <w:r>
        <w:rPr>
          <w:rFonts w:eastAsia="Palatino Linotype"/>
          <w:sz w:val="22"/>
          <w:szCs w:val="22"/>
          <w:lang w:val="es-ES"/>
        </w:rPr>
        <w:t xml:space="preserve"> TOCAF.</w:t>
      </w:r>
    </w:p>
    <w:p w14:paraId="2FA3FB77" w14:textId="77777777" w:rsidR="00E255F4" w:rsidRDefault="00E255F4">
      <w:pPr>
        <w:ind w:left="360" w:right="-142"/>
        <w:jc w:val="both"/>
        <w:rPr>
          <w:rFonts w:eastAsia="Palatino Linotype"/>
          <w:sz w:val="22"/>
          <w:szCs w:val="22"/>
          <w:lang w:val="es-ES"/>
        </w:rPr>
      </w:pPr>
    </w:p>
    <w:p w14:paraId="40F2D5AE" w14:textId="77777777" w:rsidR="00E255F4" w:rsidRDefault="00000000">
      <w:pPr>
        <w:ind w:left="708" w:right="-142" w:hanging="708"/>
        <w:jc w:val="both"/>
        <w:rPr>
          <w:rFonts w:eastAsia="Palatino Linotype"/>
          <w:sz w:val="22"/>
          <w:szCs w:val="22"/>
          <w:lang w:val="es-ES"/>
        </w:rPr>
      </w:pPr>
      <w:r>
        <w:rPr>
          <w:rFonts w:eastAsia="Palatino Linotype"/>
          <w:spacing w:val="-1"/>
          <w:sz w:val="22"/>
          <w:szCs w:val="22"/>
          <w:lang w:val="es-ES"/>
        </w:rPr>
        <w:t>b</w:t>
      </w:r>
      <w:r>
        <w:rPr>
          <w:rFonts w:eastAsia="Palatino Linotype"/>
          <w:sz w:val="22"/>
          <w:szCs w:val="22"/>
          <w:lang w:val="es-ES"/>
        </w:rPr>
        <w:t xml:space="preserve">.  </w:t>
      </w:r>
      <w:r>
        <w:rPr>
          <w:rFonts w:eastAsia="Palatino Linotype"/>
          <w:spacing w:val="5"/>
          <w:sz w:val="22"/>
          <w:szCs w:val="22"/>
          <w:lang w:val="es-ES"/>
        </w:rPr>
        <w:t xml:space="preserve"> </w:t>
      </w:r>
      <w:r>
        <w:rPr>
          <w:rFonts w:eastAsia="Palatino Linotype"/>
          <w:spacing w:val="5"/>
          <w:sz w:val="22"/>
          <w:szCs w:val="22"/>
          <w:lang w:val="es-ES"/>
        </w:rPr>
        <w:tab/>
      </w:r>
      <w:proofErr w:type="spellStart"/>
      <w:r>
        <w:rPr>
          <w:rFonts w:eastAsia="Palatino Linotype"/>
          <w:spacing w:val="-1"/>
          <w:sz w:val="22"/>
          <w:szCs w:val="22"/>
          <w:lang w:val="es-ES"/>
        </w:rPr>
        <w:t>Acquired</w:t>
      </w:r>
      <w:r>
        <w:rPr>
          <w:rFonts w:eastAsia="Palatino Linotype"/>
          <w:sz w:val="22"/>
          <w:szCs w:val="22"/>
          <w:lang w:val="es-ES"/>
        </w:rPr>
        <w:t>r</w:t>
      </w:r>
      <w:proofErr w:type="spellEnd"/>
      <w:r>
        <w:rPr>
          <w:rFonts w:eastAsia="Palatino Linotype"/>
          <w:sz w:val="22"/>
          <w:szCs w:val="22"/>
          <w:lang w:val="es-ES"/>
        </w:rPr>
        <w:t xml:space="preserve"> </w:t>
      </w:r>
      <w:proofErr w:type="spellStart"/>
      <w:r>
        <w:rPr>
          <w:rFonts w:eastAsia="Palatino Linotype"/>
          <w:sz w:val="22"/>
          <w:szCs w:val="22"/>
          <w:lang w:val="es-ES"/>
        </w:rPr>
        <w:t>the</w:t>
      </w:r>
      <w:proofErr w:type="spellEnd"/>
      <w:r>
        <w:rPr>
          <w:rFonts w:eastAsia="Palatino Linotype"/>
          <w:sz w:val="22"/>
          <w:szCs w:val="22"/>
          <w:lang w:val="es-ES"/>
        </w:rPr>
        <w:t xml:space="preserve"> </w:t>
      </w:r>
      <w:proofErr w:type="spellStart"/>
      <w:r>
        <w:rPr>
          <w:rFonts w:eastAsia="Palatino Linotype"/>
          <w:sz w:val="22"/>
          <w:szCs w:val="22"/>
          <w:lang w:val="es-ES"/>
        </w:rPr>
        <w:t>Specification</w:t>
      </w:r>
      <w:proofErr w:type="spellEnd"/>
      <w:r>
        <w:rPr>
          <w:rFonts w:eastAsia="Palatino Linotype"/>
          <w:sz w:val="22"/>
          <w:szCs w:val="22"/>
          <w:lang w:val="es-ES"/>
        </w:rPr>
        <w:t xml:space="preserve">, </w:t>
      </w:r>
      <w:proofErr w:type="spellStart"/>
      <w:r>
        <w:rPr>
          <w:rFonts w:eastAsia="Palatino Linotype"/>
          <w:sz w:val="22"/>
          <w:szCs w:val="22"/>
          <w:lang w:val="es-ES"/>
        </w:rPr>
        <w:t>when</w:t>
      </w:r>
      <w:proofErr w:type="spellEnd"/>
      <w:r>
        <w:rPr>
          <w:rFonts w:eastAsia="Palatino Linotype"/>
          <w:sz w:val="22"/>
          <w:szCs w:val="22"/>
          <w:lang w:val="es-ES"/>
        </w:rPr>
        <w:t xml:space="preserve"> </w:t>
      </w:r>
      <w:proofErr w:type="spellStart"/>
      <w:r>
        <w:rPr>
          <w:rFonts w:eastAsia="Palatino Linotype"/>
          <w:sz w:val="22"/>
          <w:szCs w:val="22"/>
          <w:lang w:val="es-ES"/>
        </w:rPr>
        <w:t>it</w:t>
      </w:r>
      <w:proofErr w:type="spellEnd"/>
      <w:r>
        <w:rPr>
          <w:rFonts w:eastAsia="Palatino Linotype"/>
          <w:sz w:val="22"/>
          <w:szCs w:val="22"/>
          <w:lang w:val="es-ES"/>
        </w:rPr>
        <w:t xml:space="preserve"> has a </w:t>
      </w:r>
      <w:proofErr w:type="spellStart"/>
      <w:r>
        <w:rPr>
          <w:rFonts w:eastAsia="Palatino Linotype"/>
          <w:sz w:val="22"/>
          <w:szCs w:val="22"/>
          <w:lang w:val="es-ES"/>
        </w:rPr>
        <w:t>cost</w:t>
      </w:r>
      <w:proofErr w:type="spellEnd"/>
      <w:r>
        <w:rPr>
          <w:rFonts w:eastAsia="Palatino Linotype"/>
          <w:sz w:val="22"/>
          <w:szCs w:val="22"/>
          <w:lang w:val="es-ES"/>
        </w:rPr>
        <w:t>.</w:t>
      </w:r>
    </w:p>
    <w:p w14:paraId="3EFC38B2" w14:textId="77777777" w:rsidR="00E255F4" w:rsidRDefault="00E255F4">
      <w:pPr>
        <w:rPr>
          <w:rFonts w:eastAsia="Palatino Linotype"/>
          <w:sz w:val="22"/>
          <w:szCs w:val="22"/>
          <w:lang w:val="es-ES"/>
        </w:rPr>
      </w:pPr>
    </w:p>
    <w:p w14:paraId="6D17DF40" w14:textId="77777777" w:rsidR="00E255F4" w:rsidRDefault="00000000">
      <w:pPr>
        <w:tabs>
          <w:tab w:val="left" w:pos="284"/>
        </w:tabs>
        <w:ind w:right="-142"/>
        <w:jc w:val="both"/>
        <w:outlineLvl w:val="0"/>
        <w:rPr>
          <w:rFonts w:eastAsia="Palatino Linotype"/>
          <w:b/>
          <w:spacing w:val="-1"/>
          <w:sz w:val="22"/>
          <w:szCs w:val="22"/>
          <w:lang w:val="es-ES"/>
        </w:rPr>
      </w:pPr>
      <w:bookmarkStart w:id="24" w:name="__RefHeading___Toc225377201"/>
      <w:bookmarkEnd w:id="24"/>
      <w:r>
        <w:rPr>
          <w:rFonts w:eastAsia="Palatino Linotype"/>
          <w:b/>
          <w:spacing w:val="-1"/>
          <w:sz w:val="22"/>
          <w:szCs w:val="22"/>
          <w:lang w:val="es-ES"/>
        </w:rPr>
        <w:t xml:space="preserve">10. </w:t>
      </w:r>
      <w:proofErr w:type="spellStart"/>
      <w:r>
        <w:rPr>
          <w:rFonts w:eastAsia="Palatino Linotype"/>
          <w:b/>
          <w:spacing w:val="-1"/>
          <w:sz w:val="22"/>
          <w:szCs w:val="22"/>
          <w:lang w:val="es-ES"/>
        </w:rPr>
        <w:t>Validity</w:t>
      </w:r>
      <w:proofErr w:type="spellEnd"/>
      <w:r>
        <w:rPr>
          <w:rFonts w:eastAsia="Palatino Linotype"/>
          <w:b/>
          <w:spacing w:val="-1"/>
          <w:sz w:val="22"/>
          <w:szCs w:val="22"/>
          <w:lang w:val="es-ES"/>
        </w:rPr>
        <w:t xml:space="preserve"> </w:t>
      </w:r>
      <w:proofErr w:type="spellStart"/>
      <w:r>
        <w:rPr>
          <w:rFonts w:eastAsia="Palatino Linotype"/>
          <w:b/>
          <w:spacing w:val="-1"/>
          <w:sz w:val="22"/>
          <w:szCs w:val="22"/>
          <w:lang w:val="es-ES"/>
        </w:rPr>
        <w:t>of</w:t>
      </w:r>
      <w:proofErr w:type="spellEnd"/>
      <w:r>
        <w:rPr>
          <w:rFonts w:eastAsia="Palatino Linotype"/>
          <w:b/>
          <w:spacing w:val="-1"/>
          <w:sz w:val="22"/>
          <w:szCs w:val="22"/>
          <w:lang w:val="es-ES"/>
        </w:rPr>
        <w:t xml:space="preserve"> </w:t>
      </w:r>
      <w:proofErr w:type="spellStart"/>
      <w:r>
        <w:rPr>
          <w:rFonts w:eastAsia="Palatino Linotype"/>
          <w:b/>
          <w:spacing w:val="-1"/>
          <w:sz w:val="22"/>
          <w:szCs w:val="22"/>
          <w:lang w:val="es-ES"/>
        </w:rPr>
        <w:t>offers</w:t>
      </w:r>
      <w:proofErr w:type="spellEnd"/>
      <w:r>
        <w:rPr>
          <w:rFonts w:eastAsia="Palatino Linotype"/>
          <w:b/>
          <w:spacing w:val="-1"/>
          <w:sz w:val="22"/>
          <w:szCs w:val="22"/>
          <w:lang w:val="es-ES"/>
        </w:rPr>
        <w:tab/>
      </w:r>
      <w:r>
        <w:rPr>
          <w:rFonts w:eastAsia="Palatino Linotype"/>
          <w:b/>
          <w:spacing w:val="-1"/>
          <w:sz w:val="22"/>
          <w:szCs w:val="22"/>
          <w:lang w:val="es-ES"/>
        </w:rPr>
        <w:tab/>
      </w:r>
    </w:p>
    <w:p w14:paraId="47DC8B3E" w14:textId="77777777" w:rsidR="00E255F4" w:rsidRDefault="00000000">
      <w:pPr>
        <w:ind w:right="-142"/>
        <w:jc w:val="both"/>
        <w:outlineLvl w:val="0"/>
        <w:rPr>
          <w:rFonts w:eastAsia="Palatino Linotype"/>
          <w:b/>
          <w:spacing w:val="-1"/>
          <w:sz w:val="22"/>
          <w:szCs w:val="22"/>
          <w:lang w:val="es-ES"/>
        </w:rPr>
      </w:pPr>
      <w:bookmarkStart w:id="25" w:name="__RefHeading___Toc225377202"/>
      <w:bookmarkEnd w:id="25"/>
      <w:r>
        <w:rPr>
          <w:rFonts w:eastAsia="Palatino Linotype"/>
          <w:b/>
          <w:spacing w:val="-1"/>
          <w:sz w:val="22"/>
          <w:szCs w:val="22"/>
          <w:lang w:val="es-ES"/>
        </w:rPr>
        <w:t xml:space="preserve">10.1 General </w:t>
      </w:r>
      <w:proofErr w:type="spellStart"/>
      <w:r>
        <w:rPr>
          <w:rFonts w:eastAsia="Palatino Linotype"/>
          <w:b/>
          <w:spacing w:val="-1"/>
          <w:sz w:val="22"/>
          <w:szCs w:val="22"/>
          <w:lang w:val="es-ES"/>
        </w:rPr>
        <w:t>considerations</w:t>
      </w:r>
      <w:proofErr w:type="spellEnd"/>
      <w:r>
        <w:rPr>
          <w:rFonts w:eastAsia="Palatino Linotype"/>
          <w:b/>
          <w:spacing w:val="-1"/>
          <w:sz w:val="22"/>
          <w:szCs w:val="22"/>
          <w:lang w:val="es-ES"/>
        </w:rPr>
        <w:tab/>
      </w:r>
    </w:p>
    <w:p w14:paraId="72D6A010" w14:textId="77777777" w:rsidR="00E255F4" w:rsidRDefault="00E255F4">
      <w:pPr>
        <w:ind w:right="-142"/>
        <w:jc w:val="both"/>
        <w:rPr>
          <w:rFonts w:eastAsia="Palatino Linotype"/>
          <w:b/>
          <w:spacing w:val="-1"/>
          <w:sz w:val="22"/>
          <w:szCs w:val="22"/>
          <w:lang w:val="es-ES"/>
        </w:rPr>
      </w:pPr>
    </w:p>
    <w:p w14:paraId="2EC77E26" w14:textId="77777777" w:rsidR="00E255F4" w:rsidRDefault="00000000">
      <w:pPr>
        <w:ind w:right="-142"/>
        <w:jc w:val="both"/>
        <w:rPr>
          <w:rFonts w:eastAsia="Palatino Linotype"/>
          <w:sz w:val="22"/>
          <w:szCs w:val="22"/>
          <w:lang w:val="es-ES"/>
        </w:rPr>
      </w:pPr>
      <w:proofErr w:type="spellStart"/>
      <w:r>
        <w:rPr>
          <w:rFonts w:eastAsia="Palatino Linotype"/>
          <w:spacing w:val="-1"/>
          <w:sz w:val="22"/>
          <w:szCs w:val="22"/>
          <w:lang w:val="es-ES"/>
        </w:rPr>
        <w:t>It</w:t>
      </w:r>
      <w:r>
        <w:rPr>
          <w:rFonts w:eastAsia="Palatino Linotype"/>
          <w:sz w:val="22"/>
          <w:szCs w:val="22"/>
          <w:lang w:val="es-ES"/>
        </w:rPr>
        <w:t>Bidders</w:t>
      </w:r>
      <w:proofErr w:type="spellEnd"/>
      <w:r>
        <w:rPr>
          <w:rFonts w:eastAsia="Palatino Linotype"/>
          <w:sz w:val="22"/>
          <w:szCs w:val="22"/>
          <w:lang w:val="es-ES"/>
        </w:rPr>
        <w:t xml:space="preserve"> </w:t>
      </w:r>
      <w:proofErr w:type="spellStart"/>
      <w:r>
        <w:rPr>
          <w:rFonts w:eastAsia="Palatino Linotype"/>
          <w:sz w:val="22"/>
          <w:szCs w:val="22"/>
          <w:lang w:val="es-ES"/>
        </w:rPr>
        <w:t>must</w:t>
      </w:r>
      <w:proofErr w:type="spellEnd"/>
      <w:r>
        <w:rPr>
          <w:rFonts w:eastAsia="Palatino Linotype"/>
          <w:sz w:val="22"/>
          <w:szCs w:val="22"/>
          <w:lang w:val="es-ES"/>
        </w:rPr>
        <w:t xml:space="preserve"> </w:t>
      </w:r>
      <w:proofErr w:type="spellStart"/>
      <w:r>
        <w:rPr>
          <w:rFonts w:eastAsia="Palatino Linotype"/>
          <w:sz w:val="22"/>
          <w:szCs w:val="22"/>
          <w:lang w:val="es-ES"/>
        </w:rPr>
        <w:t>submit</w:t>
      </w:r>
      <w:proofErr w:type="spellEnd"/>
      <w:r>
        <w:rPr>
          <w:rFonts w:eastAsia="Palatino Linotype"/>
          <w:sz w:val="22"/>
          <w:szCs w:val="22"/>
          <w:lang w:val="es-ES"/>
        </w:rPr>
        <w:t xml:space="preserve"> </w:t>
      </w:r>
      <w:proofErr w:type="spellStart"/>
      <w:r>
        <w:rPr>
          <w:rFonts w:eastAsia="Palatino Linotype"/>
          <w:sz w:val="22"/>
          <w:szCs w:val="22"/>
          <w:lang w:val="es-ES"/>
        </w:rPr>
        <w:t>their</w:t>
      </w:r>
      <w:proofErr w:type="spellEnd"/>
      <w:r>
        <w:rPr>
          <w:rFonts w:eastAsia="Palatino Linotype"/>
          <w:sz w:val="22"/>
          <w:szCs w:val="22"/>
          <w:lang w:val="es-ES"/>
        </w:rPr>
        <w:t xml:space="preserve"> </w:t>
      </w:r>
      <w:proofErr w:type="spellStart"/>
      <w:r>
        <w:rPr>
          <w:rFonts w:eastAsia="Palatino Linotype"/>
          <w:sz w:val="22"/>
          <w:szCs w:val="22"/>
          <w:lang w:val="es-ES"/>
        </w:rPr>
        <w:t>proposals</w:t>
      </w:r>
      <w:proofErr w:type="spellEnd"/>
      <w:r>
        <w:rPr>
          <w:rFonts w:eastAsia="Palatino Linotype"/>
          <w:sz w:val="22"/>
          <w:szCs w:val="22"/>
          <w:lang w:val="es-ES"/>
        </w:rPr>
        <w:t xml:space="preserve"> in </w:t>
      </w:r>
      <w:proofErr w:type="spellStart"/>
      <w:r>
        <w:rPr>
          <w:rFonts w:eastAsia="Palatino Linotype"/>
          <w:sz w:val="22"/>
          <w:szCs w:val="22"/>
          <w:lang w:val="es-ES"/>
        </w:rPr>
        <w:t>accordance</w:t>
      </w:r>
      <w:proofErr w:type="spellEnd"/>
      <w:r>
        <w:rPr>
          <w:rFonts w:eastAsia="Palatino Linotype"/>
          <w:sz w:val="22"/>
          <w:szCs w:val="22"/>
          <w:lang w:val="es-ES"/>
        </w:rPr>
        <w:t xml:space="preserve"> </w:t>
      </w:r>
      <w:proofErr w:type="spellStart"/>
      <w:r>
        <w:rPr>
          <w:rFonts w:eastAsia="Palatino Linotype"/>
          <w:sz w:val="22"/>
          <w:szCs w:val="22"/>
          <w:lang w:val="es-ES"/>
        </w:rPr>
        <w:t>with</w:t>
      </w:r>
      <w:proofErr w:type="spellEnd"/>
      <w:r>
        <w:rPr>
          <w:rFonts w:eastAsia="Palatino Linotype"/>
          <w:sz w:val="22"/>
          <w:szCs w:val="22"/>
          <w:lang w:val="es-ES"/>
        </w:rPr>
        <w:t xml:space="preserve"> </w:t>
      </w:r>
      <w:proofErr w:type="spellStart"/>
      <w:r>
        <w:rPr>
          <w:rFonts w:eastAsia="Palatino Linotype"/>
          <w:sz w:val="22"/>
          <w:szCs w:val="22"/>
          <w:lang w:val="es-ES"/>
        </w:rPr>
        <w:t>the</w:t>
      </w:r>
      <w:proofErr w:type="spellEnd"/>
      <w:r>
        <w:rPr>
          <w:rFonts w:eastAsia="Palatino Linotype"/>
          <w:sz w:val="22"/>
          <w:szCs w:val="22"/>
          <w:lang w:val="es-ES"/>
        </w:rPr>
        <w:t xml:space="preserve"> </w:t>
      </w:r>
      <w:proofErr w:type="spellStart"/>
      <w:r>
        <w:rPr>
          <w:rFonts w:eastAsia="Palatino Linotype"/>
          <w:sz w:val="22"/>
          <w:szCs w:val="22"/>
          <w:lang w:val="es-ES"/>
        </w:rPr>
        <w:t>provisions</w:t>
      </w:r>
      <w:proofErr w:type="spellEnd"/>
      <w:r>
        <w:rPr>
          <w:rFonts w:eastAsia="Palatino Linotype"/>
          <w:sz w:val="22"/>
          <w:szCs w:val="22"/>
          <w:lang w:val="es-ES"/>
        </w:rPr>
        <w:t xml:space="preserve"> </w:t>
      </w:r>
      <w:proofErr w:type="spellStart"/>
      <w:r>
        <w:rPr>
          <w:rFonts w:eastAsia="Palatino Linotype"/>
          <w:sz w:val="22"/>
          <w:szCs w:val="22"/>
          <w:lang w:val="es-ES"/>
        </w:rPr>
        <w:t>of</w:t>
      </w:r>
      <w:proofErr w:type="spellEnd"/>
      <w:r>
        <w:rPr>
          <w:rFonts w:eastAsia="Palatino Linotype"/>
          <w:sz w:val="22"/>
          <w:szCs w:val="22"/>
          <w:lang w:val="es-ES"/>
        </w:rPr>
        <w:t xml:space="preserve"> </w:t>
      </w:r>
      <w:proofErr w:type="spellStart"/>
      <w:r>
        <w:rPr>
          <w:rFonts w:eastAsia="Palatino Linotype"/>
          <w:sz w:val="22"/>
          <w:szCs w:val="22"/>
          <w:lang w:val="es-ES"/>
        </w:rPr>
        <w:t>this</w:t>
      </w:r>
      <w:proofErr w:type="spellEnd"/>
      <w:r>
        <w:rPr>
          <w:rFonts w:eastAsia="Palatino Linotype"/>
          <w:sz w:val="22"/>
          <w:szCs w:val="22"/>
          <w:lang w:val="es-ES"/>
        </w:rPr>
        <w:t xml:space="preserve"> </w:t>
      </w:r>
      <w:proofErr w:type="spellStart"/>
      <w:r>
        <w:rPr>
          <w:rFonts w:eastAsia="Palatino Linotype"/>
          <w:sz w:val="22"/>
          <w:szCs w:val="22"/>
          <w:lang w:val="es-ES"/>
        </w:rPr>
        <w:t>regulation</w:t>
      </w:r>
      <w:proofErr w:type="spellEnd"/>
      <w:r>
        <w:rPr>
          <w:rFonts w:eastAsia="Palatino Linotype"/>
          <w:sz w:val="22"/>
          <w:szCs w:val="22"/>
          <w:lang w:val="es-ES"/>
        </w:rPr>
        <w:t xml:space="preserve"> and </w:t>
      </w:r>
      <w:proofErr w:type="spellStart"/>
      <w:r>
        <w:rPr>
          <w:rFonts w:eastAsia="Palatino Linotype"/>
          <w:sz w:val="22"/>
          <w:szCs w:val="22"/>
          <w:lang w:val="es-ES"/>
        </w:rPr>
        <w:t>the</w:t>
      </w:r>
      <w:proofErr w:type="spellEnd"/>
      <w:r>
        <w:rPr>
          <w:rFonts w:eastAsia="Palatino Linotype"/>
          <w:sz w:val="22"/>
          <w:szCs w:val="22"/>
          <w:lang w:val="es-ES"/>
        </w:rPr>
        <w:t xml:space="preserve"> </w:t>
      </w:r>
      <w:proofErr w:type="spellStart"/>
      <w:r>
        <w:rPr>
          <w:rFonts w:eastAsia="Palatino Linotype"/>
          <w:sz w:val="22"/>
          <w:szCs w:val="22"/>
          <w:lang w:val="es-ES"/>
        </w:rPr>
        <w:t>conditions</w:t>
      </w:r>
      <w:proofErr w:type="spellEnd"/>
      <w:r>
        <w:rPr>
          <w:rFonts w:eastAsia="Palatino Linotype"/>
          <w:sz w:val="22"/>
          <w:szCs w:val="22"/>
          <w:lang w:val="es-ES"/>
        </w:rPr>
        <w:t xml:space="preserve"> and </w:t>
      </w:r>
      <w:proofErr w:type="spellStart"/>
      <w:r>
        <w:rPr>
          <w:rFonts w:eastAsia="Palatino Linotype"/>
          <w:sz w:val="22"/>
          <w:szCs w:val="22"/>
          <w:lang w:val="es-ES"/>
        </w:rPr>
        <w:t>form</w:t>
      </w:r>
      <w:proofErr w:type="spellEnd"/>
      <w:r>
        <w:rPr>
          <w:rFonts w:eastAsia="Palatino Linotype"/>
          <w:sz w:val="22"/>
          <w:szCs w:val="22"/>
          <w:lang w:val="es-ES"/>
        </w:rPr>
        <w:t xml:space="preserve"> </w:t>
      </w:r>
      <w:proofErr w:type="spellStart"/>
      <w:r>
        <w:rPr>
          <w:rFonts w:eastAsia="Palatino Linotype"/>
          <w:sz w:val="22"/>
          <w:szCs w:val="22"/>
          <w:lang w:val="es-ES"/>
        </w:rPr>
        <w:t>established</w:t>
      </w:r>
      <w:proofErr w:type="spellEnd"/>
      <w:r>
        <w:rPr>
          <w:rFonts w:eastAsia="Palatino Linotype"/>
          <w:sz w:val="22"/>
          <w:szCs w:val="22"/>
          <w:lang w:val="es-ES"/>
        </w:rPr>
        <w:t xml:space="preserve"> in </w:t>
      </w:r>
      <w:proofErr w:type="spellStart"/>
      <w:r>
        <w:rPr>
          <w:rFonts w:eastAsia="Palatino Linotype"/>
          <w:sz w:val="22"/>
          <w:szCs w:val="22"/>
          <w:lang w:val="es-ES"/>
        </w:rPr>
        <w:t>the</w:t>
      </w:r>
      <w:proofErr w:type="spellEnd"/>
      <w:r>
        <w:rPr>
          <w:rFonts w:eastAsia="Palatino Linotype"/>
          <w:sz w:val="22"/>
          <w:szCs w:val="22"/>
          <w:lang w:val="es-ES"/>
        </w:rPr>
        <w:t xml:space="preserve"> Special </w:t>
      </w:r>
      <w:proofErr w:type="spellStart"/>
      <w:r>
        <w:rPr>
          <w:rFonts w:eastAsia="Palatino Linotype"/>
          <w:sz w:val="22"/>
          <w:szCs w:val="22"/>
          <w:lang w:val="es-ES"/>
        </w:rPr>
        <w:t>Specifications</w:t>
      </w:r>
      <w:proofErr w:type="spellEnd"/>
      <w:r>
        <w:rPr>
          <w:rFonts w:eastAsia="Palatino Linotype"/>
          <w:sz w:val="22"/>
          <w:szCs w:val="22"/>
          <w:lang w:val="es-ES"/>
        </w:rPr>
        <w:t xml:space="preserve">, and </w:t>
      </w:r>
      <w:proofErr w:type="spellStart"/>
      <w:r>
        <w:rPr>
          <w:rFonts w:eastAsia="Palatino Linotype"/>
          <w:sz w:val="22"/>
          <w:szCs w:val="22"/>
          <w:lang w:val="es-ES"/>
        </w:rPr>
        <w:t>may</w:t>
      </w:r>
      <w:proofErr w:type="spellEnd"/>
      <w:r>
        <w:rPr>
          <w:rFonts w:eastAsia="Palatino Linotype"/>
          <w:sz w:val="22"/>
          <w:szCs w:val="22"/>
          <w:lang w:val="es-ES"/>
        </w:rPr>
        <w:t xml:space="preserve"> </w:t>
      </w:r>
      <w:proofErr w:type="spellStart"/>
      <w:r>
        <w:rPr>
          <w:rFonts w:eastAsia="Palatino Linotype"/>
          <w:sz w:val="22"/>
          <w:szCs w:val="22"/>
          <w:lang w:val="es-ES"/>
        </w:rPr>
        <w:t>add</w:t>
      </w:r>
      <w:proofErr w:type="spellEnd"/>
      <w:r>
        <w:rPr>
          <w:rFonts w:eastAsia="Palatino Linotype"/>
          <w:sz w:val="22"/>
          <w:szCs w:val="22"/>
          <w:lang w:val="es-ES"/>
        </w:rPr>
        <w:t xml:space="preserve"> </w:t>
      </w:r>
      <w:proofErr w:type="spellStart"/>
      <w:r>
        <w:rPr>
          <w:rFonts w:eastAsia="Palatino Linotype"/>
          <w:sz w:val="22"/>
          <w:szCs w:val="22"/>
          <w:lang w:val="es-ES"/>
        </w:rPr>
        <w:t>any</w:t>
      </w:r>
      <w:proofErr w:type="spellEnd"/>
      <w:r>
        <w:rPr>
          <w:rFonts w:eastAsia="Palatino Linotype"/>
          <w:sz w:val="22"/>
          <w:szCs w:val="22"/>
          <w:lang w:val="es-ES"/>
        </w:rPr>
        <w:t xml:space="preserve"> </w:t>
      </w:r>
      <w:proofErr w:type="spellStart"/>
      <w:r>
        <w:rPr>
          <w:rFonts w:eastAsia="Palatino Linotype"/>
          <w:sz w:val="22"/>
          <w:szCs w:val="22"/>
          <w:lang w:val="es-ES"/>
        </w:rPr>
        <w:t>other</w:t>
      </w:r>
      <w:proofErr w:type="spellEnd"/>
      <w:r>
        <w:rPr>
          <w:rFonts w:eastAsia="Palatino Linotype"/>
          <w:sz w:val="22"/>
          <w:szCs w:val="22"/>
          <w:lang w:val="es-ES"/>
        </w:rPr>
        <w:t xml:space="preserve"> </w:t>
      </w:r>
      <w:proofErr w:type="spellStart"/>
      <w:r>
        <w:rPr>
          <w:rFonts w:eastAsia="Palatino Linotype"/>
          <w:sz w:val="22"/>
          <w:szCs w:val="22"/>
          <w:lang w:val="es-ES"/>
        </w:rPr>
        <w:t>complementary</w:t>
      </w:r>
      <w:proofErr w:type="spellEnd"/>
      <w:r>
        <w:rPr>
          <w:rFonts w:eastAsia="Palatino Linotype"/>
          <w:sz w:val="22"/>
          <w:szCs w:val="22"/>
          <w:lang w:val="es-ES"/>
        </w:rPr>
        <w:t xml:space="preserve"> </w:t>
      </w:r>
      <w:proofErr w:type="spellStart"/>
      <w:r>
        <w:rPr>
          <w:rFonts w:eastAsia="Palatino Linotype"/>
          <w:sz w:val="22"/>
          <w:szCs w:val="22"/>
          <w:lang w:val="es-ES"/>
        </w:rPr>
        <w:t>information</w:t>
      </w:r>
      <w:proofErr w:type="spellEnd"/>
      <w:r>
        <w:rPr>
          <w:rFonts w:eastAsia="Palatino Linotype"/>
          <w:sz w:val="22"/>
          <w:szCs w:val="22"/>
          <w:lang w:val="es-ES"/>
        </w:rPr>
        <w:t xml:space="preserve">, </w:t>
      </w:r>
      <w:proofErr w:type="spellStart"/>
      <w:r>
        <w:rPr>
          <w:rFonts w:eastAsia="Palatino Linotype"/>
          <w:sz w:val="22"/>
          <w:szCs w:val="22"/>
          <w:lang w:val="es-ES"/>
        </w:rPr>
        <w:t>but</w:t>
      </w:r>
      <w:proofErr w:type="spellEnd"/>
      <w:r>
        <w:rPr>
          <w:rFonts w:eastAsia="Palatino Linotype"/>
          <w:sz w:val="22"/>
          <w:szCs w:val="22"/>
          <w:lang w:val="es-ES"/>
        </w:rPr>
        <w:t xml:space="preserve"> </w:t>
      </w:r>
      <w:proofErr w:type="spellStart"/>
      <w:r>
        <w:rPr>
          <w:rFonts w:eastAsia="Palatino Linotype"/>
          <w:sz w:val="22"/>
          <w:szCs w:val="22"/>
          <w:lang w:val="es-ES"/>
        </w:rPr>
        <w:t>without</w:t>
      </w:r>
      <w:proofErr w:type="spellEnd"/>
      <w:r>
        <w:rPr>
          <w:rFonts w:eastAsia="Palatino Linotype"/>
          <w:sz w:val="22"/>
          <w:szCs w:val="22"/>
          <w:lang w:val="es-ES"/>
        </w:rPr>
        <w:t xml:space="preserve"> </w:t>
      </w:r>
      <w:proofErr w:type="spellStart"/>
      <w:r>
        <w:rPr>
          <w:rFonts w:eastAsia="Palatino Linotype"/>
          <w:sz w:val="22"/>
          <w:szCs w:val="22"/>
          <w:lang w:val="es-ES"/>
        </w:rPr>
        <w:t>omitting</w:t>
      </w:r>
      <w:proofErr w:type="spellEnd"/>
      <w:r>
        <w:rPr>
          <w:rFonts w:eastAsia="Palatino Linotype"/>
          <w:sz w:val="22"/>
          <w:szCs w:val="22"/>
          <w:lang w:val="es-ES"/>
        </w:rPr>
        <w:t xml:space="preserve"> </w:t>
      </w:r>
      <w:proofErr w:type="spellStart"/>
      <w:r>
        <w:rPr>
          <w:rFonts w:eastAsia="Palatino Linotype"/>
          <w:sz w:val="22"/>
          <w:szCs w:val="22"/>
          <w:lang w:val="es-ES"/>
        </w:rPr>
        <w:t>any</w:t>
      </w:r>
      <w:proofErr w:type="spellEnd"/>
      <w:r>
        <w:rPr>
          <w:rFonts w:eastAsia="Palatino Linotype"/>
          <w:sz w:val="22"/>
          <w:szCs w:val="22"/>
          <w:lang w:val="es-ES"/>
        </w:rPr>
        <w:t xml:space="preserve"> </w:t>
      </w:r>
      <w:proofErr w:type="spellStart"/>
      <w:r>
        <w:rPr>
          <w:rFonts w:eastAsia="Palatino Linotype"/>
          <w:sz w:val="22"/>
          <w:szCs w:val="22"/>
          <w:lang w:val="es-ES"/>
        </w:rPr>
        <w:t>of</w:t>
      </w:r>
      <w:proofErr w:type="spellEnd"/>
      <w:r>
        <w:rPr>
          <w:rFonts w:eastAsia="Palatino Linotype"/>
          <w:sz w:val="22"/>
          <w:szCs w:val="22"/>
          <w:lang w:val="es-ES"/>
        </w:rPr>
        <w:t xml:space="preserve"> </w:t>
      </w:r>
      <w:proofErr w:type="spellStart"/>
      <w:r>
        <w:rPr>
          <w:rFonts w:eastAsia="Palatino Linotype"/>
          <w:sz w:val="22"/>
          <w:szCs w:val="22"/>
          <w:lang w:val="es-ES"/>
        </w:rPr>
        <w:t>the</w:t>
      </w:r>
      <w:proofErr w:type="spellEnd"/>
      <w:r>
        <w:rPr>
          <w:rFonts w:eastAsia="Palatino Linotype"/>
          <w:sz w:val="22"/>
          <w:szCs w:val="22"/>
          <w:lang w:val="es-ES"/>
        </w:rPr>
        <w:t xml:space="preserve"> </w:t>
      </w:r>
      <w:proofErr w:type="spellStart"/>
      <w:r>
        <w:rPr>
          <w:rFonts w:eastAsia="Palatino Linotype"/>
          <w:sz w:val="22"/>
          <w:szCs w:val="22"/>
          <w:lang w:val="es-ES"/>
        </w:rPr>
        <w:t>essential</w:t>
      </w:r>
      <w:proofErr w:type="spellEnd"/>
      <w:r>
        <w:rPr>
          <w:rFonts w:eastAsia="Palatino Linotype"/>
          <w:sz w:val="22"/>
          <w:szCs w:val="22"/>
          <w:lang w:val="es-ES"/>
        </w:rPr>
        <w:t xml:space="preserve"> </w:t>
      </w:r>
      <w:proofErr w:type="spellStart"/>
      <w:r>
        <w:rPr>
          <w:rFonts w:eastAsia="Palatino Linotype"/>
          <w:sz w:val="22"/>
          <w:szCs w:val="22"/>
          <w:lang w:val="es-ES"/>
        </w:rPr>
        <w:t>requirements</w:t>
      </w:r>
      <w:proofErr w:type="spellEnd"/>
      <w:r>
        <w:rPr>
          <w:rFonts w:eastAsia="Palatino Linotype"/>
          <w:sz w:val="22"/>
          <w:szCs w:val="22"/>
          <w:lang w:val="es-ES"/>
        </w:rPr>
        <w:t>.</w:t>
      </w:r>
    </w:p>
    <w:p w14:paraId="363F46DB" w14:textId="77777777" w:rsidR="00E255F4" w:rsidRDefault="00E255F4">
      <w:pPr>
        <w:ind w:right="-142"/>
        <w:jc w:val="both"/>
        <w:rPr>
          <w:rFonts w:eastAsia="Palatino Linotype"/>
          <w:sz w:val="22"/>
          <w:szCs w:val="22"/>
          <w:lang w:val="es-ES"/>
        </w:rPr>
      </w:pPr>
    </w:p>
    <w:p w14:paraId="348E0B3D" w14:textId="77777777" w:rsidR="00E255F4" w:rsidRDefault="00000000">
      <w:pPr>
        <w:ind w:right="-142"/>
        <w:jc w:val="both"/>
      </w:pPr>
      <w:r>
        <w:rPr>
          <w:rFonts w:eastAsia="Palatino Linotype"/>
          <w:sz w:val="22"/>
          <w:szCs w:val="22"/>
          <w:lang w:val="es-ES"/>
        </w:rPr>
        <w:t xml:space="preserve">For </w:t>
      </w:r>
      <w:proofErr w:type="spellStart"/>
      <w:r>
        <w:rPr>
          <w:rFonts w:eastAsia="Palatino Linotype"/>
          <w:sz w:val="22"/>
          <w:szCs w:val="22"/>
          <w:lang w:val="es-ES"/>
        </w:rPr>
        <w:t>these</w:t>
      </w:r>
      <w:proofErr w:type="spellEnd"/>
      <w:r>
        <w:rPr>
          <w:rFonts w:eastAsia="Palatino Linotype"/>
          <w:sz w:val="22"/>
          <w:szCs w:val="22"/>
          <w:lang w:val="es-ES"/>
        </w:rPr>
        <w:t xml:space="preserve"> </w:t>
      </w:r>
      <w:proofErr w:type="spellStart"/>
      <w:r>
        <w:rPr>
          <w:rFonts w:eastAsia="Palatino Linotype"/>
          <w:sz w:val="22"/>
          <w:szCs w:val="22"/>
          <w:lang w:val="es-ES"/>
        </w:rPr>
        <w:t>purposes</w:t>
      </w:r>
      <w:proofErr w:type="spellEnd"/>
      <w:r>
        <w:rPr>
          <w:rFonts w:eastAsia="Palatino Linotype"/>
          <w:sz w:val="22"/>
          <w:szCs w:val="22"/>
          <w:lang w:val="es-ES"/>
        </w:rPr>
        <w:t xml:space="preserve">, </w:t>
      </w:r>
      <w:proofErr w:type="spellStart"/>
      <w:r>
        <w:rPr>
          <w:rFonts w:eastAsia="Palatino Linotype"/>
          <w:sz w:val="22"/>
          <w:szCs w:val="22"/>
          <w:lang w:val="es-ES"/>
        </w:rPr>
        <w:t>only</w:t>
      </w:r>
      <w:proofErr w:type="spellEnd"/>
      <w:r>
        <w:rPr>
          <w:rFonts w:eastAsia="Palatino Linotype"/>
          <w:sz w:val="22"/>
          <w:szCs w:val="22"/>
          <w:lang w:val="es-ES"/>
        </w:rPr>
        <w:t xml:space="preserve"> </w:t>
      </w:r>
      <w:proofErr w:type="spellStart"/>
      <w:r>
        <w:rPr>
          <w:rFonts w:eastAsia="Palatino Linotype"/>
          <w:sz w:val="22"/>
          <w:szCs w:val="22"/>
          <w:lang w:val="es-ES"/>
        </w:rPr>
        <w:t>those</w:t>
      </w:r>
      <w:proofErr w:type="spellEnd"/>
      <w:r>
        <w:rPr>
          <w:rFonts w:eastAsia="Palatino Linotype"/>
          <w:sz w:val="22"/>
          <w:szCs w:val="22"/>
          <w:lang w:val="es-ES"/>
        </w:rPr>
        <w:t xml:space="preserve"> </w:t>
      </w:r>
      <w:proofErr w:type="spellStart"/>
      <w:r>
        <w:rPr>
          <w:rFonts w:eastAsia="Palatino Linotype"/>
          <w:sz w:val="22"/>
          <w:szCs w:val="22"/>
          <w:lang w:val="es-ES"/>
        </w:rPr>
        <w:t>aspects</w:t>
      </w:r>
      <w:proofErr w:type="spellEnd"/>
      <w:r>
        <w:rPr>
          <w:rFonts w:eastAsia="Palatino Linotype"/>
          <w:sz w:val="22"/>
          <w:szCs w:val="22"/>
          <w:lang w:val="es-ES"/>
        </w:rPr>
        <w:t xml:space="preserve"> </w:t>
      </w:r>
      <w:proofErr w:type="spellStart"/>
      <w:r>
        <w:rPr>
          <w:rFonts w:eastAsia="Palatino Linotype"/>
          <w:sz w:val="22"/>
          <w:szCs w:val="22"/>
          <w:lang w:val="es-ES"/>
        </w:rPr>
        <w:t>whose</w:t>
      </w:r>
      <w:proofErr w:type="spellEnd"/>
      <w:r>
        <w:rPr>
          <w:rFonts w:eastAsia="Palatino Linotype"/>
          <w:sz w:val="22"/>
          <w:szCs w:val="22"/>
          <w:lang w:val="es-ES"/>
        </w:rPr>
        <w:t xml:space="preserve"> </w:t>
      </w:r>
      <w:proofErr w:type="spellStart"/>
      <w:r>
        <w:rPr>
          <w:rFonts w:eastAsia="Palatino Linotype"/>
          <w:sz w:val="22"/>
          <w:szCs w:val="22"/>
          <w:lang w:val="es-ES"/>
        </w:rPr>
        <w:t>omission</w:t>
      </w:r>
      <w:proofErr w:type="spellEnd"/>
      <w:r>
        <w:rPr>
          <w:rFonts w:eastAsia="Palatino Linotype"/>
          <w:sz w:val="22"/>
          <w:szCs w:val="22"/>
          <w:lang w:val="es-ES"/>
        </w:rPr>
        <w:t xml:space="preserve"> </w:t>
      </w:r>
      <w:proofErr w:type="spellStart"/>
      <w:r>
        <w:rPr>
          <w:rFonts w:eastAsia="Palatino Linotype"/>
          <w:sz w:val="22"/>
          <w:szCs w:val="22"/>
          <w:lang w:val="es-ES"/>
        </w:rPr>
        <w:t>may</w:t>
      </w:r>
      <w:proofErr w:type="spellEnd"/>
      <w:r>
        <w:rPr>
          <w:rFonts w:eastAsia="Palatino Linotype"/>
          <w:sz w:val="22"/>
          <w:szCs w:val="22"/>
          <w:lang w:val="es-ES"/>
        </w:rPr>
        <w:t xml:space="preserve"> alter </w:t>
      </w:r>
      <w:proofErr w:type="spellStart"/>
      <w:r>
        <w:rPr>
          <w:rFonts w:eastAsia="Palatino Linotype"/>
          <w:sz w:val="22"/>
          <w:szCs w:val="22"/>
          <w:lang w:val="es-ES"/>
        </w:rPr>
        <w:t>or</w:t>
      </w:r>
      <w:proofErr w:type="spellEnd"/>
      <w:r>
        <w:rPr>
          <w:rFonts w:eastAsia="Palatino Linotype"/>
          <w:sz w:val="22"/>
          <w:szCs w:val="22"/>
          <w:lang w:val="es-ES"/>
        </w:rPr>
        <w:t xml:space="preserve"> </w:t>
      </w:r>
      <w:proofErr w:type="spellStart"/>
      <w:r>
        <w:rPr>
          <w:rFonts w:eastAsia="Palatino Linotype"/>
          <w:sz w:val="22"/>
          <w:szCs w:val="22"/>
          <w:lang w:val="es-ES"/>
        </w:rPr>
        <w:t>prevent</w:t>
      </w:r>
      <w:proofErr w:type="spellEnd"/>
      <w:r>
        <w:rPr>
          <w:rFonts w:eastAsia="Palatino Linotype"/>
          <w:sz w:val="22"/>
          <w:szCs w:val="22"/>
          <w:lang w:val="es-ES"/>
        </w:rPr>
        <w:t xml:space="preserve"> </w:t>
      </w:r>
      <w:proofErr w:type="spellStart"/>
      <w:r>
        <w:rPr>
          <w:rFonts w:eastAsia="Palatino Linotype"/>
          <w:sz w:val="22"/>
          <w:szCs w:val="22"/>
          <w:lang w:val="es-ES"/>
        </w:rPr>
        <w:t>the</w:t>
      </w:r>
      <w:proofErr w:type="spellEnd"/>
      <w:r>
        <w:rPr>
          <w:rFonts w:eastAsia="Palatino Linotype"/>
          <w:sz w:val="22"/>
          <w:szCs w:val="22"/>
          <w:lang w:val="es-ES"/>
        </w:rPr>
        <w:t xml:space="preserve"> </w:t>
      </w:r>
      <w:proofErr w:type="spellStart"/>
      <w:r>
        <w:rPr>
          <w:rFonts w:eastAsia="Palatino Linotype"/>
          <w:sz w:val="22"/>
          <w:szCs w:val="22"/>
          <w:lang w:val="es-ES"/>
        </w:rPr>
        <w:t>due</w:t>
      </w:r>
      <w:proofErr w:type="spellEnd"/>
      <w:r>
        <w:rPr>
          <w:rFonts w:eastAsia="Palatino Linotype"/>
          <w:sz w:val="22"/>
          <w:szCs w:val="22"/>
          <w:lang w:val="es-ES"/>
        </w:rPr>
        <w:t xml:space="preserve"> </w:t>
      </w:r>
      <w:proofErr w:type="spellStart"/>
      <w:r>
        <w:rPr>
          <w:rFonts w:eastAsia="Palatino Linotype"/>
          <w:sz w:val="22"/>
          <w:szCs w:val="22"/>
          <w:lang w:val="es-ES"/>
        </w:rPr>
        <w:t>equality</w:t>
      </w:r>
      <w:proofErr w:type="spellEnd"/>
      <w:r>
        <w:rPr>
          <w:rFonts w:eastAsia="Palatino Linotype"/>
          <w:sz w:val="22"/>
          <w:szCs w:val="22"/>
          <w:lang w:val="es-ES"/>
        </w:rPr>
        <w:t xml:space="preserve"> </w:t>
      </w:r>
      <w:proofErr w:type="spellStart"/>
      <w:r>
        <w:rPr>
          <w:rFonts w:eastAsia="Palatino Linotype"/>
          <w:sz w:val="22"/>
          <w:szCs w:val="22"/>
          <w:lang w:val="es-ES"/>
        </w:rPr>
        <w:t>of</w:t>
      </w:r>
      <w:proofErr w:type="spellEnd"/>
      <w:r>
        <w:rPr>
          <w:rFonts w:eastAsia="Palatino Linotype"/>
          <w:sz w:val="22"/>
          <w:szCs w:val="22"/>
          <w:lang w:val="es-ES"/>
        </w:rPr>
        <w:t xml:space="preserve"> </w:t>
      </w:r>
      <w:proofErr w:type="spellStart"/>
      <w:r>
        <w:rPr>
          <w:rFonts w:eastAsia="Palatino Linotype"/>
          <w:sz w:val="22"/>
          <w:szCs w:val="22"/>
          <w:lang w:val="es-ES"/>
        </w:rPr>
        <w:t>the</w:t>
      </w:r>
      <w:proofErr w:type="spellEnd"/>
      <w:r>
        <w:rPr>
          <w:rFonts w:eastAsia="Palatino Linotype"/>
          <w:sz w:val="22"/>
          <w:szCs w:val="22"/>
          <w:lang w:val="es-ES"/>
        </w:rPr>
        <w:t xml:space="preserve"> </w:t>
      </w:r>
      <w:proofErr w:type="spellStart"/>
      <w:r>
        <w:rPr>
          <w:rFonts w:eastAsia="Palatino Linotype"/>
          <w:sz w:val="22"/>
          <w:szCs w:val="22"/>
          <w:lang w:val="es-ES"/>
        </w:rPr>
        <w:t>bidders</w:t>
      </w:r>
      <w:proofErr w:type="spellEnd"/>
      <w:r>
        <w:rPr>
          <w:rFonts w:eastAsia="Palatino Linotype"/>
          <w:sz w:val="22"/>
          <w:szCs w:val="22"/>
          <w:lang w:val="es-ES"/>
        </w:rPr>
        <w:t xml:space="preserve"> </w:t>
      </w:r>
      <w:proofErr w:type="spellStart"/>
      <w:r>
        <w:rPr>
          <w:rFonts w:eastAsia="Palatino Linotype"/>
          <w:sz w:val="22"/>
          <w:szCs w:val="22"/>
          <w:lang w:val="es-ES"/>
        </w:rPr>
        <w:t>or</w:t>
      </w:r>
      <w:proofErr w:type="spellEnd"/>
      <w:r>
        <w:rPr>
          <w:rFonts w:eastAsia="Palatino Linotype"/>
          <w:sz w:val="22"/>
          <w:szCs w:val="22"/>
          <w:lang w:val="es-ES"/>
        </w:rPr>
        <w:t xml:space="preserve"> </w:t>
      </w:r>
      <w:proofErr w:type="spellStart"/>
      <w:r>
        <w:rPr>
          <w:rFonts w:eastAsia="Palatino Linotype"/>
          <w:sz w:val="22"/>
          <w:szCs w:val="22"/>
          <w:lang w:val="es-ES"/>
        </w:rPr>
        <w:t>the</w:t>
      </w:r>
      <w:proofErr w:type="spellEnd"/>
      <w:r>
        <w:rPr>
          <w:rFonts w:eastAsia="Palatino Linotype"/>
          <w:sz w:val="22"/>
          <w:szCs w:val="22"/>
          <w:lang w:val="es-ES"/>
        </w:rPr>
        <w:t xml:space="preserve"> </w:t>
      </w:r>
      <w:proofErr w:type="spellStart"/>
      <w:r>
        <w:rPr>
          <w:rFonts w:eastAsia="Palatino Linotype"/>
          <w:sz w:val="22"/>
          <w:szCs w:val="22"/>
          <w:lang w:val="es-ES"/>
        </w:rPr>
        <w:t>consideration</w:t>
      </w:r>
      <w:proofErr w:type="spellEnd"/>
      <w:r>
        <w:rPr>
          <w:rFonts w:eastAsia="Palatino Linotype"/>
          <w:sz w:val="22"/>
          <w:szCs w:val="22"/>
          <w:lang w:val="es-ES"/>
        </w:rPr>
        <w:t xml:space="preserve"> </w:t>
      </w:r>
      <w:proofErr w:type="spellStart"/>
      <w:r>
        <w:rPr>
          <w:rFonts w:eastAsia="Palatino Linotype"/>
          <w:sz w:val="22"/>
          <w:szCs w:val="22"/>
          <w:lang w:val="es-ES"/>
        </w:rPr>
        <w:t>of</w:t>
      </w:r>
      <w:proofErr w:type="spellEnd"/>
      <w:r>
        <w:rPr>
          <w:rFonts w:eastAsia="Palatino Linotype"/>
          <w:sz w:val="22"/>
          <w:szCs w:val="22"/>
          <w:lang w:val="es-ES"/>
        </w:rPr>
        <w:t xml:space="preserve"> </w:t>
      </w:r>
      <w:proofErr w:type="spellStart"/>
      <w:r>
        <w:rPr>
          <w:rFonts w:eastAsia="Palatino Linotype"/>
          <w:sz w:val="22"/>
          <w:szCs w:val="22"/>
          <w:lang w:val="es-ES"/>
        </w:rPr>
        <w:t>the</w:t>
      </w:r>
      <w:proofErr w:type="spellEnd"/>
      <w:r>
        <w:rPr>
          <w:rFonts w:eastAsia="Palatino Linotype"/>
          <w:sz w:val="22"/>
          <w:szCs w:val="22"/>
          <w:lang w:val="es-ES"/>
        </w:rPr>
        <w:t xml:space="preserve"> </w:t>
      </w:r>
      <w:proofErr w:type="spellStart"/>
      <w:r>
        <w:rPr>
          <w:rFonts w:eastAsia="Palatino Linotype"/>
          <w:sz w:val="22"/>
          <w:szCs w:val="22"/>
          <w:lang w:val="es-ES"/>
        </w:rPr>
        <w:t>proposals</w:t>
      </w:r>
      <w:proofErr w:type="spellEnd"/>
      <w:r>
        <w:rPr>
          <w:rFonts w:eastAsia="Palatino Linotype"/>
          <w:sz w:val="22"/>
          <w:szCs w:val="22"/>
          <w:lang w:val="es-ES"/>
        </w:rPr>
        <w:t xml:space="preserve"> are </w:t>
      </w:r>
      <w:proofErr w:type="spellStart"/>
      <w:r>
        <w:rPr>
          <w:rFonts w:eastAsia="Palatino Linotype"/>
          <w:sz w:val="22"/>
          <w:szCs w:val="22"/>
          <w:lang w:val="es-ES"/>
        </w:rPr>
        <w:t>considered</w:t>
      </w:r>
      <w:proofErr w:type="spellEnd"/>
      <w:r>
        <w:rPr>
          <w:rFonts w:eastAsia="Palatino Linotype"/>
          <w:sz w:val="22"/>
          <w:szCs w:val="22"/>
          <w:lang w:val="es-ES"/>
        </w:rPr>
        <w:t xml:space="preserve"> </w:t>
      </w:r>
      <w:proofErr w:type="spellStart"/>
      <w:r>
        <w:rPr>
          <w:rFonts w:eastAsia="Palatino Linotype"/>
          <w:sz w:val="22"/>
          <w:szCs w:val="22"/>
          <w:lang w:val="es-ES"/>
        </w:rPr>
        <w:t>essential</w:t>
      </w:r>
      <w:proofErr w:type="spellEnd"/>
      <w:r>
        <w:rPr>
          <w:rFonts w:eastAsia="Palatino Linotype"/>
          <w:sz w:val="22"/>
          <w:szCs w:val="22"/>
          <w:lang w:val="es-ES"/>
        </w:rPr>
        <w:t xml:space="preserve">, in </w:t>
      </w:r>
      <w:proofErr w:type="spellStart"/>
      <w:r>
        <w:rPr>
          <w:rFonts w:eastAsia="Palatino Linotype"/>
          <w:sz w:val="22"/>
          <w:szCs w:val="22"/>
          <w:lang w:val="es-ES"/>
        </w:rPr>
        <w:t>accordance</w:t>
      </w:r>
      <w:proofErr w:type="spellEnd"/>
      <w:r>
        <w:rPr>
          <w:rFonts w:eastAsia="Palatino Linotype"/>
          <w:sz w:val="22"/>
          <w:szCs w:val="22"/>
          <w:lang w:val="es-ES"/>
        </w:rPr>
        <w:t xml:space="preserve"> </w:t>
      </w:r>
      <w:proofErr w:type="spellStart"/>
      <w:r>
        <w:rPr>
          <w:rFonts w:eastAsia="Palatino Linotype"/>
          <w:sz w:val="22"/>
          <w:szCs w:val="22"/>
          <w:lang w:val="es-ES"/>
        </w:rPr>
        <w:t>with</w:t>
      </w:r>
      <w:proofErr w:type="spellEnd"/>
      <w:r>
        <w:rPr>
          <w:rFonts w:eastAsia="Palatino Linotype"/>
          <w:sz w:val="22"/>
          <w:szCs w:val="22"/>
          <w:lang w:val="es-ES"/>
        </w:rPr>
        <w:t xml:space="preserve"> </w:t>
      </w:r>
      <w:proofErr w:type="spellStart"/>
      <w:r>
        <w:rPr>
          <w:rFonts w:eastAsia="Palatino Linotype"/>
          <w:sz w:val="22"/>
          <w:szCs w:val="22"/>
          <w:lang w:val="es-ES"/>
        </w:rPr>
        <w:t>the</w:t>
      </w:r>
      <w:proofErr w:type="spellEnd"/>
      <w:r>
        <w:rPr>
          <w:rFonts w:eastAsia="Palatino Linotype"/>
          <w:sz w:val="22"/>
          <w:szCs w:val="22"/>
          <w:lang w:val="es-ES"/>
        </w:rPr>
        <w:t xml:space="preserve"> </w:t>
      </w:r>
      <w:proofErr w:type="spellStart"/>
      <w:r>
        <w:rPr>
          <w:rFonts w:eastAsia="Palatino Linotype"/>
          <w:sz w:val="22"/>
          <w:szCs w:val="22"/>
          <w:lang w:val="es-ES"/>
        </w:rPr>
        <w:t>principles</w:t>
      </w:r>
      <w:proofErr w:type="spellEnd"/>
      <w:r>
        <w:rPr>
          <w:rFonts w:eastAsia="Palatino Linotype"/>
          <w:sz w:val="22"/>
          <w:szCs w:val="22"/>
          <w:lang w:val="es-ES"/>
        </w:rPr>
        <w:t xml:space="preserve"> </w:t>
      </w:r>
      <w:proofErr w:type="spellStart"/>
      <w:r>
        <w:rPr>
          <w:rFonts w:eastAsia="Palatino Linotype"/>
          <w:sz w:val="22"/>
          <w:szCs w:val="22"/>
          <w:lang w:val="es-ES"/>
        </w:rPr>
        <w:t>established</w:t>
      </w:r>
      <w:proofErr w:type="spellEnd"/>
      <w:r>
        <w:rPr>
          <w:rFonts w:eastAsia="Palatino Linotype"/>
          <w:sz w:val="22"/>
          <w:szCs w:val="22"/>
          <w:lang w:val="es-ES"/>
        </w:rPr>
        <w:t xml:space="preserve"> in art. 149 </w:t>
      </w:r>
      <w:proofErr w:type="spellStart"/>
      <w:r>
        <w:rPr>
          <w:rFonts w:eastAsia="Palatino Linotype"/>
          <w:sz w:val="22"/>
          <w:szCs w:val="22"/>
          <w:lang w:val="es-ES"/>
        </w:rPr>
        <w:t>of</w:t>
      </w:r>
      <w:proofErr w:type="spellEnd"/>
      <w:r>
        <w:rPr>
          <w:rFonts w:eastAsia="Palatino Linotype"/>
          <w:sz w:val="22"/>
          <w:szCs w:val="22"/>
          <w:lang w:val="es-ES"/>
        </w:rPr>
        <w:t xml:space="preserve"> </w:t>
      </w:r>
      <w:proofErr w:type="spellStart"/>
      <w:r>
        <w:rPr>
          <w:rFonts w:eastAsia="Palatino Linotype"/>
          <w:sz w:val="22"/>
          <w:szCs w:val="22"/>
          <w:lang w:val="es-ES"/>
        </w:rPr>
        <w:t>the</w:t>
      </w:r>
      <w:proofErr w:type="spellEnd"/>
      <w:r>
        <w:rPr>
          <w:rFonts w:eastAsia="Palatino Linotype"/>
          <w:sz w:val="22"/>
          <w:szCs w:val="22"/>
          <w:lang w:val="es-ES"/>
        </w:rPr>
        <w:t xml:space="preserve"> TOCAF.</w:t>
      </w:r>
    </w:p>
    <w:p w14:paraId="4851E82B" w14:textId="77777777" w:rsidR="00E255F4" w:rsidRDefault="00E255F4">
      <w:pPr>
        <w:ind w:right="-142"/>
        <w:jc w:val="both"/>
        <w:rPr>
          <w:rFonts w:eastAsia="Palatino Linotype"/>
          <w:spacing w:val="-1"/>
          <w:sz w:val="22"/>
          <w:szCs w:val="22"/>
          <w:lang w:val="es-ES"/>
        </w:rPr>
      </w:pPr>
    </w:p>
    <w:p w14:paraId="09449EA1" w14:textId="77777777" w:rsidR="00E255F4" w:rsidRDefault="00000000">
      <w:pPr>
        <w:ind w:right="-142"/>
        <w:jc w:val="both"/>
        <w:rPr>
          <w:rFonts w:eastAsia="Palatino Linotype"/>
          <w:sz w:val="22"/>
          <w:szCs w:val="22"/>
          <w:lang w:val="es-ES"/>
        </w:rPr>
      </w:pPr>
      <w:proofErr w:type="spellStart"/>
      <w:r>
        <w:rPr>
          <w:rFonts w:eastAsia="Palatino Linotype"/>
          <w:spacing w:val="-1"/>
          <w:sz w:val="22"/>
          <w:szCs w:val="22"/>
          <w:lang w:val="es-ES"/>
        </w:rPr>
        <w:t>L</w:t>
      </w:r>
      <w:r>
        <w:rPr>
          <w:rFonts w:eastAsia="Palatino Linotype"/>
          <w:sz w:val="22"/>
          <w:szCs w:val="22"/>
          <w:lang w:val="es-ES"/>
        </w:rPr>
        <w:t>The</w:t>
      </w:r>
      <w:proofErr w:type="spellEnd"/>
      <w:r>
        <w:rPr>
          <w:rFonts w:eastAsia="Palatino Linotype"/>
          <w:sz w:val="22"/>
          <w:szCs w:val="22"/>
          <w:lang w:val="es-ES"/>
        </w:rPr>
        <w:t xml:space="preserve"> </w:t>
      </w:r>
      <w:proofErr w:type="spellStart"/>
      <w:r>
        <w:rPr>
          <w:rFonts w:eastAsia="Palatino Linotype"/>
          <w:sz w:val="22"/>
          <w:szCs w:val="22"/>
          <w:lang w:val="es-ES"/>
        </w:rPr>
        <w:t>initial</w:t>
      </w:r>
      <w:proofErr w:type="spellEnd"/>
      <w:r>
        <w:rPr>
          <w:rFonts w:eastAsia="Palatino Linotype"/>
          <w:sz w:val="22"/>
          <w:szCs w:val="22"/>
          <w:lang w:val="es-ES"/>
        </w:rPr>
        <w:t xml:space="preserve"> </w:t>
      </w:r>
      <w:proofErr w:type="spellStart"/>
      <w:r>
        <w:rPr>
          <w:rFonts w:eastAsia="Palatino Linotype"/>
          <w:sz w:val="22"/>
          <w:szCs w:val="22"/>
          <w:lang w:val="es-ES"/>
        </w:rPr>
        <w:t>acceptance</w:t>
      </w:r>
      <w:proofErr w:type="spellEnd"/>
      <w:r>
        <w:rPr>
          <w:rFonts w:eastAsia="Palatino Linotype"/>
          <w:sz w:val="22"/>
          <w:szCs w:val="22"/>
          <w:lang w:val="es-ES"/>
        </w:rPr>
        <w:t xml:space="preserve"> </w:t>
      </w:r>
      <w:proofErr w:type="spellStart"/>
      <w:r>
        <w:rPr>
          <w:rFonts w:eastAsia="Palatino Linotype"/>
          <w:sz w:val="22"/>
          <w:szCs w:val="22"/>
          <w:lang w:val="es-ES"/>
        </w:rPr>
        <w:t>of</w:t>
      </w:r>
      <w:proofErr w:type="spellEnd"/>
      <w:r>
        <w:rPr>
          <w:rFonts w:eastAsia="Palatino Linotype"/>
          <w:sz w:val="22"/>
          <w:szCs w:val="22"/>
          <w:lang w:val="es-ES"/>
        </w:rPr>
        <w:t xml:space="preserve"> a </w:t>
      </w:r>
      <w:proofErr w:type="spellStart"/>
      <w:r>
        <w:rPr>
          <w:rFonts w:eastAsia="Palatino Linotype"/>
          <w:sz w:val="22"/>
          <w:szCs w:val="22"/>
          <w:lang w:val="es-ES"/>
        </w:rPr>
        <w:t>proposal</w:t>
      </w:r>
      <w:proofErr w:type="spellEnd"/>
      <w:r>
        <w:rPr>
          <w:rFonts w:eastAsia="Palatino Linotype"/>
          <w:sz w:val="22"/>
          <w:szCs w:val="22"/>
          <w:lang w:val="es-ES"/>
        </w:rPr>
        <w:t xml:space="preserve"> </w:t>
      </w:r>
      <w:proofErr w:type="spellStart"/>
      <w:r>
        <w:rPr>
          <w:rFonts w:eastAsia="Palatino Linotype"/>
          <w:sz w:val="22"/>
          <w:szCs w:val="22"/>
          <w:lang w:val="es-ES"/>
        </w:rPr>
        <w:t>will</w:t>
      </w:r>
      <w:proofErr w:type="spellEnd"/>
      <w:r>
        <w:rPr>
          <w:rFonts w:eastAsia="Palatino Linotype"/>
          <w:sz w:val="22"/>
          <w:szCs w:val="22"/>
          <w:lang w:val="es-ES"/>
        </w:rPr>
        <w:t xml:space="preserve"> </w:t>
      </w:r>
      <w:proofErr w:type="spellStart"/>
      <w:r>
        <w:rPr>
          <w:rFonts w:eastAsia="Palatino Linotype"/>
          <w:sz w:val="22"/>
          <w:szCs w:val="22"/>
          <w:lang w:val="es-ES"/>
        </w:rPr>
        <w:t>not</w:t>
      </w:r>
      <w:proofErr w:type="spellEnd"/>
      <w:r>
        <w:rPr>
          <w:rFonts w:eastAsia="Palatino Linotype"/>
          <w:sz w:val="22"/>
          <w:szCs w:val="22"/>
          <w:lang w:val="es-ES"/>
        </w:rPr>
        <w:t xml:space="preserve"> be </w:t>
      </w:r>
      <w:proofErr w:type="spellStart"/>
      <w:r>
        <w:rPr>
          <w:rFonts w:eastAsia="Palatino Linotype"/>
          <w:sz w:val="22"/>
          <w:szCs w:val="22"/>
          <w:lang w:val="es-ES"/>
        </w:rPr>
        <w:t>an</w:t>
      </w:r>
      <w:proofErr w:type="spellEnd"/>
      <w:r>
        <w:rPr>
          <w:rFonts w:eastAsia="Palatino Linotype"/>
          <w:sz w:val="22"/>
          <w:szCs w:val="22"/>
          <w:lang w:val="es-ES"/>
        </w:rPr>
        <w:t xml:space="preserve"> </w:t>
      </w:r>
      <w:proofErr w:type="spellStart"/>
      <w:r>
        <w:rPr>
          <w:rFonts w:eastAsia="Palatino Linotype"/>
          <w:sz w:val="22"/>
          <w:szCs w:val="22"/>
          <w:lang w:val="es-ES"/>
        </w:rPr>
        <w:t>obstacle</w:t>
      </w:r>
      <w:proofErr w:type="spellEnd"/>
      <w:r>
        <w:rPr>
          <w:rFonts w:eastAsia="Palatino Linotype"/>
          <w:sz w:val="22"/>
          <w:szCs w:val="22"/>
          <w:lang w:val="es-ES"/>
        </w:rPr>
        <w:t xml:space="preserve"> </w:t>
      </w:r>
      <w:proofErr w:type="spellStart"/>
      <w:r>
        <w:rPr>
          <w:rFonts w:eastAsia="Palatino Linotype"/>
          <w:sz w:val="22"/>
          <w:szCs w:val="22"/>
          <w:lang w:val="es-ES"/>
        </w:rPr>
        <w:t>to</w:t>
      </w:r>
      <w:proofErr w:type="spellEnd"/>
      <w:r>
        <w:rPr>
          <w:rFonts w:eastAsia="Palatino Linotype"/>
          <w:sz w:val="22"/>
          <w:szCs w:val="22"/>
          <w:lang w:val="es-ES"/>
        </w:rPr>
        <w:t xml:space="preserve"> </w:t>
      </w:r>
      <w:proofErr w:type="spellStart"/>
      <w:r>
        <w:rPr>
          <w:rFonts w:eastAsia="Palatino Linotype"/>
          <w:sz w:val="22"/>
          <w:szCs w:val="22"/>
          <w:lang w:val="es-ES"/>
        </w:rPr>
        <w:t>its</w:t>
      </w:r>
      <w:proofErr w:type="spellEnd"/>
      <w:r>
        <w:rPr>
          <w:rFonts w:eastAsia="Palatino Linotype"/>
          <w:sz w:val="22"/>
          <w:szCs w:val="22"/>
          <w:lang w:val="es-ES"/>
        </w:rPr>
        <w:t xml:space="preserve"> </w:t>
      </w:r>
      <w:proofErr w:type="spellStart"/>
      <w:r>
        <w:rPr>
          <w:rFonts w:eastAsia="Palatino Linotype"/>
          <w:sz w:val="22"/>
          <w:szCs w:val="22"/>
          <w:lang w:val="es-ES"/>
        </w:rPr>
        <w:t>subsequent</w:t>
      </w:r>
      <w:proofErr w:type="spellEnd"/>
      <w:r>
        <w:rPr>
          <w:rFonts w:eastAsia="Palatino Linotype"/>
          <w:sz w:val="22"/>
          <w:szCs w:val="22"/>
          <w:lang w:val="es-ES"/>
        </w:rPr>
        <w:t xml:space="preserve"> </w:t>
      </w:r>
      <w:proofErr w:type="spellStart"/>
      <w:r>
        <w:rPr>
          <w:rFonts w:eastAsia="Palatino Linotype"/>
          <w:sz w:val="22"/>
          <w:szCs w:val="22"/>
          <w:lang w:val="es-ES"/>
        </w:rPr>
        <w:t>invalidation</w:t>
      </w:r>
      <w:proofErr w:type="spellEnd"/>
      <w:r>
        <w:rPr>
          <w:rFonts w:eastAsia="Palatino Linotype"/>
          <w:sz w:val="22"/>
          <w:szCs w:val="22"/>
          <w:lang w:val="es-ES"/>
        </w:rPr>
        <w:t xml:space="preserve"> </w:t>
      </w:r>
      <w:proofErr w:type="spellStart"/>
      <w:r>
        <w:rPr>
          <w:rFonts w:eastAsia="Palatino Linotype"/>
          <w:sz w:val="22"/>
          <w:szCs w:val="22"/>
          <w:lang w:val="es-ES"/>
        </w:rPr>
        <w:t>if</w:t>
      </w:r>
      <w:proofErr w:type="spellEnd"/>
      <w:r>
        <w:rPr>
          <w:rFonts w:eastAsia="Palatino Linotype"/>
          <w:sz w:val="22"/>
          <w:szCs w:val="22"/>
          <w:lang w:val="es-ES"/>
        </w:rPr>
        <w:t xml:space="preserve"> </w:t>
      </w:r>
      <w:proofErr w:type="spellStart"/>
      <w:r>
        <w:rPr>
          <w:rFonts w:eastAsia="Palatino Linotype"/>
          <w:sz w:val="22"/>
          <w:szCs w:val="22"/>
          <w:lang w:val="es-ES"/>
        </w:rPr>
        <w:t>defects</w:t>
      </w:r>
      <w:proofErr w:type="spellEnd"/>
      <w:r>
        <w:rPr>
          <w:rFonts w:eastAsia="Palatino Linotype"/>
          <w:sz w:val="22"/>
          <w:szCs w:val="22"/>
          <w:lang w:val="es-ES"/>
        </w:rPr>
        <w:t xml:space="preserve"> are </w:t>
      </w:r>
      <w:proofErr w:type="spellStart"/>
      <w:r>
        <w:rPr>
          <w:rFonts w:eastAsia="Palatino Linotype"/>
          <w:sz w:val="22"/>
          <w:szCs w:val="22"/>
          <w:lang w:val="es-ES"/>
        </w:rPr>
        <w:t>found</w:t>
      </w:r>
      <w:proofErr w:type="spellEnd"/>
      <w:r>
        <w:rPr>
          <w:rFonts w:eastAsia="Palatino Linotype"/>
          <w:sz w:val="22"/>
          <w:szCs w:val="22"/>
          <w:lang w:val="es-ES"/>
        </w:rPr>
        <w:t xml:space="preserve"> </w:t>
      </w:r>
      <w:proofErr w:type="spellStart"/>
      <w:r>
        <w:rPr>
          <w:rFonts w:eastAsia="Palatino Linotype"/>
          <w:sz w:val="22"/>
          <w:szCs w:val="22"/>
          <w:lang w:val="es-ES"/>
        </w:rPr>
        <w:t>later</w:t>
      </w:r>
      <w:proofErr w:type="spellEnd"/>
      <w:r>
        <w:rPr>
          <w:rFonts w:eastAsia="Palatino Linotype"/>
          <w:sz w:val="22"/>
          <w:szCs w:val="22"/>
          <w:lang w:val="es-ES"/>
        </w:rPr>
        <w:t xml:space="preserve"> </w:t>
      </w:r>
      <w:proofErr w:type="spellStart"/>
      <w:r>
        <w:rPr>
          <w:rFonts w:eastAsia="Palatino Linotype"/>
          <w:sz w:val="22"/>
          <w:szCs w:val="22"/>
          <w:lang w:val="es-ES"/>
        </w:rPr>
        <w:t>that</w:t>
      </w:r>
      <w:proofErr w:type="spellEnd"/>
      <w:r>
        <w:rPr>
          <w:rFonts w:eastAsia="Palatino Linotype"/>
          <w:sz w:val="22"/>
          <w:szCs w:val="22"/>
          <w:lang w:val="es-ES"/>
        </w:rPr>
        <w:t xml:space="preserve"> </w:t>
      </w:r>
      <w:proofErr w:type="spellStart"/>
      <w:r>
        <w:rPr>
          <w:rFonts w:eastAsia="Palatino Linotype"/>
          <w:sz w:val="22"/>
          <w:szCs w:val="22"/>
          <w:lang w:val="es-ES"/>
        </w:rPr>
        <w:t>violate</w:t>
      </w:r>
      <w:proofErr w:type="spellEnd"/>
      <w:r>
        <w:rPr>
          <w:rFonts w:eastAsia="Palatino Linotype"/>
          <w:sz w:val="22"/>
          <w:szCs w:val="22"/>
          <w:lang w:val="es-ES"/>
        </w:rPr>
        <w:t xml:space="preserve"> </w:t>
      </w:r>
      <w:proofErr w:type="spellStart"/>
      <w:r>
        <w:rPr>
          <w:rFonts w:eastAsia="Palatino Linotype"/>
          <w:sz w:val="22"/>
          <w:szCs w:val="22"/>
          <w:lang w:val="es-ES"/>
        </w:rPr>
        <w:t>the</w:t>
      </w:r>
      <w:proofErr w:type="spellEnd"/>
      <w:r>
        <w:rPr>
          <w:rFonts w:eastAsia="Palatino Linotype"/>
          <w:sz w:val="22"/>
          <w:szCs w:val="22"/>
          <w:lang w:val="es-ES"/>
        </w:rPr>
        <w:t xml:space="preserve"> legal </w:t>
      </w:r>
      <w:proofErr w:type="spellStart"/>
      <w:r>
        <w:rPr>
          <w:rFonts w:eastAsia="Palatino Linotype"/>
          <w:sz w:val="22"/>
          <w:szCs w:val="22"/>
          <w:lang w:val="es-ES"/>
        </w:rPr>
        <w:t>requirements</w:t>
      </w:r>
      <w:proofErr w:type="spellEnd"/>
      <w:r>
        <w:rPr>
          <w:rFonts w:eastAsia="Palatino Linotype"/>
          <w:sz w:val="22"/>
          <w:szCs w:val="22"/>
          <w:lang w:val="es-ES"/>
        </w:rPr>
        <w:t xml:space="preserve"> </w:t>
      </w:r>
      <w:proofErr w:type="spellStart"/>
      <w:r>
        <w:rPr>
          <w:rFonts w:eastAsia="Palatino Linotype"/>
          <w:sz w:val="22"/>
          <w:szCs w:val="22"/>
          <w:lang w:val="es-ES"/>
        </w:rPr>
        <w:t>or</w:t>
      </w:r>
      <w:proofErr w:type="spellEnd"/>
      <w:r>
        <w:rPr>
          <w:rFonts w:eastAsia="Palatino Linotype"/>
          <w:sz w:val="22"/>
          <w:szCs w:val="22"/>
          <w:lang w:val="es-ES"/>
        </w:rPr>
        <w:t xml:space="preserve"> </w:t>
      </w:r>
      <w:proofErr w:type="spellStart"/>
      <w:r>
        <w:rPr>
          <w:rFonts w:eastAsia="Palatino Linotype"/>
          <w:sz w:val="22"/>
          <w:szCs w:val="22"/>
          <w:lang w:val="es-ES"/>
        </w:rPr>
        <w:t>those</w:t>
      </w:r>
      <w:proofErr w:type="spellEnd"/>
      <w:r>
        <w:rPr>
          <w:rFonts w:eastAsia="Palatino Linotype"/>
          <w:sz w:val="22"/>
          <w:szCs w:val="22"/>
          <w:lang w:val="es-ES"/>
        </w:rPr>
        <w:t xml:space="preserve"> </w:t>
      </w:r>
      <w:proofErr w:type="spellStart"/>
      <w:r>
        <w:rPr>
          <w:rFonts w:eastAsia="Palatino Linotype"/>
          <w:sz w:val="22"/>
          <w:szCs w:val="22"/>
          <w:lang w:val="es-ES"/>
        </w:rPr>
        <w:t>essential</w:t>
      </w:r>
      <w:proofErr w:type="spellEnd"/>
      <w:r>
        <w:rPr>
          <w:rFonts w:eastAsia="Palatino Linotype"/>
          <w:sz w:val="22"/>
          <w:szCs w:val="22"/>
          <w:lang w:val="es-ES"/>
        </w:rPr>
        <w:t xml:space="preserve"> </w:t>
      </w:r>
      <w:proofErr w:type="spellStart"/>
      <w:r>
        <w:rPr>
          <w:rFonts w:eastAsia="Palatino Linotype"/>
          <w:sz w:val="22"/>
          <w:szCs w:val="22"/>
          <w:lang w:val="es-ES"/>
        </w:rPr>
        <w:t>requirements</w:t>
      </w:r>
      <w:proofErr w:type="spellEnd"/>
      <w:r>
        <w:rPr>
          <w:rFonts w:eastAsia="Palatino Linotype"/>
          <w:sz w:val="22"/>
          <w:szCs w:val="22"/>
          <w:lang w:val="es-ES"/>
        </w:rPr>
        <w:t xml:space="preserve"> </w:t>
      </w:r>
      <w:proofErr w:type="spellStart"/>
      <w:r>
        <w:rPr>
          <w:rFonts w:eastAsia="Palatino Linotype"/>
          <w:sz w:val="22"/>
          <w:szCs w:val="22"/>
          <w:lang w:val="es-ES"/>
        </w:rPr>
        <w:t>contained</w:t>
      </w:r>
      <w:proofErr w:type="spellEnd"/>
      <w:r>
        <w:rPr>
          <w:rFonts w:eastAsia="Palatino Linotype"/>
          <w:sz w:val="22"/>
          <w:szCs w:val="22"/>
          <w:lang w:val="es-ES"/>
        </w:rPr>
        <w:t xml:space="preserve"> in </w:t>
      </w:r>
      <w:proofErr w:type="spellStart"/>
      <w:r>
        <w:rPr>
          <w:rFonts w:eastAsia="Palatino Linotype"/>
          <w:sz w:val="22"/>
          <w:szCs w:val="22"/>
          <w:lang w:val="es-ES"/>
        </w:rPr>
        <w:t>the</w:t>
      </w:r>
      <w:proofErr w:type="spellEnd"/>
      <w:r>
        <w:rPr>
          <w:rFonts w:eastAsia="Palatino Linotype"/>
          <w:sz w:val="22"/>
          <w:szCs w:val="22"/>
          <w:lang w:val="es-ES"/>
        </w:rPr>
        <w:t xml:space="preserve"> respective </w:t>
      </w:r>
      <w:proofErr w:type="spellStart"/>
      <w:r>
        <w:rPr>
          <w:rFonts w:eastAsia="Palatino Linotype"/>
          <w:sz w:val="22"/>
          <w:szCs w:val="22"/>
          <w:lang w:val="es-ES"/>
        </w:rPr>
        <w:t>document</w:t>
      </w:r>
      <w:proofErr w:type="spellEnd"/>
      <w:r>
        <w:rPr>
          <w:rFonts w:eastAsia="Palatino Linotype"/>
          <w:sz w:val="22"/>
          <w:szCs w:val="22"/>
          <w:lang w:val="es-ES"/>
        </w:rPr>
        <w:t>.</w:t>
      </w:r>
    </w:p>
    <w:p w14:paraId="28863445" w14:textId="77777777" w:rsidR="00E255F4" w:rsidRDefault="00E255F4">
      <w:pPr>
        <w:ind w:right="-142"/>
        <w:jc w:val="both"/>
        <w:rPr>
          <w:rFonts w:eastAsia="Palatino Linotype"/>
          <w:sz w:val="22"/>
          <w:szCs w:val="22"/>
          <w:lang w:val="es-ES"/>
        </w:rPr>
      </w:pPr>
    </w:p>
    <w:p w14:paraId="3F90143B" w14:textId="77777777" w:rsidR="00E255F4" w:rsidRDefault="00000000">
      <w:pPr>
        <w:ind w:right="-142"/>
        <w:jc w:val="both"/>
        <w:rPr>
          <w:rFonts w:eastAsia="Palatino Linotype"/>
          <w:sz w:val="22"/>
          <w:szCs w:val="22"/>
          <w:lang w:val="es-ES"/>
        </w:rPr>
      </w:pPr>
      <w:proofErr w:type="spellStart"/>
      <w:r>
        <w:rPr>
          <w:rFonts w:eastAsia="Palatino Linotype"/>
          <w:sz w:val="22"/>
          <w:szCs w:val="22"/>
          <w:lang w:val="es-ES"/>
        </w:rPr>
        <w:t>Offers</w:t>
      </w:r>
      <w:proofErr w:type="spellEnd"/>
      <w:r>
        <w:rPr>
          <w:rFonts w:eastAsia="Palatino Linotype"/>
          <w:sz w:val="22"/>
          <w:szCs w:val="22"/>
          <w:lang w:val="es-ES"/>
        </w:rPr>
        <w:t xml:space="preserve"> </w:t>
      </w:r>
      <w:proofErr w:type="spellStart"/>
      <w:r>
        <w:rPr>
          <w:rFonts w:eastAsia="Palatino Linotype"/>
          <w:sz w:val="22"/>
          <w:szCs w:val="22"/>
          <w:lang w:val="es-ES"/>
        </w:rPr>
        <w:t>that</w:t>
      </w:r>
      <w:proofErr w:type="spellEnd"/>
      <w:r>
        <w:rPr>
          <w:rFonts w:eastAsia="Palatino Linotype"/>
          <w:sz w:val="22"/>
          <w:szCs w:val="22"/>
          <w:lang w:val="es-ES"/>
        </w:rPr>
        <w:t xml:space="preserve"> </w:t>
      </w:r>
      <w:proofErr w:type="spellStart"/>
      <w:r>
        <w:rPr>
          <w:rFonts w:eastAsia="Palatino Linotype"/>
          <w:sz w:val="22"/>
          <w:szCs w:val="22"/>
          <w:lang w:val="es-ES"/>
        </w:rPr>
        <w:t>contain</w:t>
      </w:r>
      <w:proofErr w:type="spellEnd"/>
      <w:r>
        <w:rPr>
          <w:rFonts w:eastAsia="Palatino Linotype"/>
          <w:sz w:val="22"/>
          <w:szCs w:val="22"/>
          <w:lang w:val="es-ES"/>
        </w:rPr>
        <w:t xml:space="preserve"> </w:t>
      </w:r>
      <w:proofErr w:type="spellStart"/>
      <w:r>
        <w:rPr>
          <w:rFonts w:eastAsia="Palatino Linotype"/>
          <w:sz w:val="22"/>
          <w:szCs w:val="22"/>
          <w:lang w:val="es-ES"/>
        </w:rPr>
        <w:t>substantial</w:t>
      </w:r>
      <w:proofErr w:type="spellEnd"/>
      <w:r>
        <w:rPr>
          <w:rFonts w:eastAsia="Palatino Linotype"/>
          <w:sz w:val="22"/>
          <w:szCs w:val="22"/>
          <w:lang w:val="es-ES"/>
        </w:rPr>
        <w:t xml:space="preserve"> </w:t>
      </w:r>
      <w:proofErr w:type="spellStart"/>
      <w:r>
        <w:rPr>
          <w:rFonts w:eastAsia="Palatino Linotype"/>
          <w:sz w:val="22"/>
          <w:szCs w:val="22"/>
          <w:lang w:val="es-ES"/>
        </w:rPr>
        <w:t>departures</w:t>
      </w:r>
      <w:proofErr w:type="spellEnd"/>
      <w:r>
        <w:rPr>
          <w:rFonts w:eastAsia="Palatino Linotype"/>
          <w:sz w:val="22"/>
          <w:szCs w:val="22"/>
          <w:lang w:val="es-ES"/>
        </w:rPr>
        <w:t xml:space="preserve"> </w:t>
      </w:r>
      <w:proofErr w:type="spellStart"/>
      <w:r>
        <w:rPr>
          <w:rFonts w:eastAsia="Palatino Linotype"/>
          <w:sz w:val="22"/>
          <w:szCs w:val="22"/>
          <w:lang w:val="es-ES"/>
        </w:rPr>
        <w:t>from</w:t>
      </w:r>
      <w:proofErr w:type="spellEnd"/>
      <w:r>
        <w:rPr>
          <w:rFonts w:eastAsia="Palatino Linotype"/>
          <w:sz w:val="22"/>
          <w:szCs w:val="22"/>
          <w:lang w:val="es-ES"/>
        </w:rPr>
        <w:t xml:space="preserve"> </w:t>
      </w:r>
      <w:proofErr w:type="spellStart"/>
      <w:r>
        <w:rPr>
          <w:rFonts w:eastAsia="Palatino Linotype"/>
          <w:sz w:val="22"/>
          <w:szCs w:val="22"/>
          <w:lang w:val="es-ES"/>
        </w:rPr>
        <w:t>these</w:t>
      </w:r>
      <w:proofErr w:type="spellEnd"/>
      <w:r>
        <w:rPr>
          <w:rFonts w:eastAsia="Palatino Linotype"/>
          <w:sz w:val="22"/>
          <w:szCs w:val="22"/>
          <w:lang w:val="es-ES"/>
        </w:rPr>
        <w:t xml:space="preserve"> </w:t>
      </w:r>
      <w:proofErr w:type="spellStart"/>
      <w:r>
        <w:rPr>
          <w:rFonts w:eastAsia="Palatino Linotype"/>
          <w:sz w:val="22"/>
          <w:szCs w:val="22"/>
          <w:lang w:val="es-ES"/>
        </w:rPr>
        <w:t>requirements</w:t>
      </w:r>
      <w:proofErr w:type="spellEnd"/>
      <w:r>
        <w:rPr>
          <w:rFonts w:eastAsia="Palatino Linotype"/>
          <w:sz w:val="22"/>
          <w:szCs w:val="22"/>
          <w:lang w:val="es-ES"/>
        </w:rPr>
        <w:t xml:space="preserve"> </w:t>
      </w:r>
      <w:proofErr w:type="spellStart"/>
      <w:r>
        <w:rPr>
          <w:rFonts w:eastAsia="Palatino Linotype"/>
          <w:sz w:val="22"/>
          <w:szCs w:val="22"/>
          <w:lang w:val="es-ES"/>
        </w:rPr>
        <w:t>will</w:t>
      </w:r>
      <w:proofErr w:type="spellEnd"/>
      <w:r>
        <w:rPr>
          <w:rFonts w:eastAsia="Palatino Linotype"/>
          <w:sz w:val="22"/>
          <w:szCs w:val="22"/>
          <w:lang w:val="es-ES"/>
        </w:rPr>
        <w:t xml:space="preserve"> </w:t>
      </w:r>
      <w:proofErr w:type="spellStart"/>
      <w:r>
        <w:rPr>
          <w:rFonts w:eastAsia="Palatino Linotype"/>
          <w:sz w:val="22"/>
          <w:szCs w:val="22"/>
          <w:lang w:val="es-ES"/>
        </w:rPr>
        <w:t>not</w:t>
      </w:r>
      <w:proofErr w:type="spellEnd"/>
      <w:r>
        <w:rPr>
          <w:rFonts w:eastAsia="Palatino Linotype"/>
          <w:sz w:val="22"/>
          <w:szCs w:val="22"/>
          <w:lang w:val="es-ES"/>
        </w:rPr>
        <w:t xml:space="preserve"> be </w:t>
      </w:r>
      <w:proofErr w:type="spellStart"/>
      <w:r>
        <w:rPr>
          <w:rFonts w:eastAsia="Palatino Linotype"/>
          <w:sz w:val="22"/>
          <w:szCs w:val="22"/>
          <w:lang w:val="es-ES"/>
        </w:rPr>
        <w:t>considered</w:t>
      </w:r>
      <w:proofErr w:type="spellEnd"/>
      <w:r>
        <w:rPr>
          <w:rFonts w:eastAsia="Palatino Linotype"/>
          <w:sz w:val="22"/>
          <w:szCs w:val="22"/>
          <w:lang w:val="es-ES"/>
        </w:rPr>
        <w:t>.</w:t>
      </w:r>
    </w:p>
    <w:p w14:paraId="1564FB1F" w14:textId="77777777" w:rsidR="00E255F4" w:rsidRDefault="00E255F4">
      <w:pPr>
        <w:ind w:right="-142"/>
        <w:jc w:val="both"/>
        <w:rPr>
          <w:rFonts w:eastAsia="Palatino Linotype"/>
          <w:spacing w:val="-1"/>
          <w:sz w:val="22"/>
          <w:szCs w:val="22"/>
          <w:lang w:val="es-ES"/>
        </w:rPr>
      </w:pPr>
    </w:p>
    <w:p w14:paraId="5E028603" w14:textId="77777777" w:rsidR="00E255F4" w:rsidRDefault="00000000">
      <w:pPr>
        <w:ind w:right="-142"/>
        <w:jc w:val="both"/>
        <w:rPr>
          <w:rFonts w:eastAsia="Palatino Linotype"/>
          <w:sz w:val="22"/>
          <w:szCs w:val="22"/>
          <w:lang w:val="es-ES"/>
        </w:rPr>
      </w:pPr>
      <w:proofErr w:type="spellStart"/>
      <w:r>
        <w:rPr>
          <w:rFonts w:eastAsia="Palatino Linotype"/>
          <w:spacing w:val="-1"/>
          <w:sz w:val="22"/>
          <w:szCs w:val="22"/>
          <w:lang w:val="es-ES"/>
        </w:rPr>
        <w:t>Save</w:t>
      </w:r>
      <w:r>
        <w:rPr>
          <w:rFonts w:eastAsia="Palatino Linotype"/>
          <w:sz w:val="22"/>
          <w:szCs w:val="22"/>
          <w:lang w:val="es-ES"/>
        </w:rPr>
        <w:t>or</w:t>
      </w:r>
      <w:proofErr w:type="spellEnd"/>
      <w:r>
        <w:rPr>
          <w:rFonts w:eastAsia="Palatino Linotype"/>
          <w:sz w:val="22"/>
          <w:szCs w:val="22"/>
          <w:lang w:val="es-ES"/>
        </w:rPr>
        <w:t xml:space="preserve"> </w:t>
      </w:r>
      <w:proofErr w:type="spellStart"/>
      <w:r>
        <w:rPr>
          <w:rFonts w:eastAsia="Palatino Linotype"/>
          <w:sz w:val="22"/>
          <w:szCs w:val="22"/>
          <w:lang w:val="es-ES"/>
        </w:rPr>
        <w:t>any</w:t>
      </w:r>
      <w:proofErr w:type="spellEnd"/>
      <w:r>
        <w:rPr>
          <w:rFonts w:eastAsia="Palatino Linotype"/>
          <w:sz w:val="22"/>
          <w:szCs w:val="22"/>
          <w:lang w:val="es-ES"/>
        </w:rPr>
        <w:t xml:space="preserve"> </w:t>
      </w:r>
      <w:proofErr w:type="spellStart"/>
      <w:r>
        <w:rPr>
          <w:rFonts w:eastAsia="Palatino Linotype"/>
          <w:sz w:val="22"/>
          <w:szCs w:val="22"/>
          <w:lang w:val="es-ES"/>
        </w:rPr>
        <w:t>contrary</w:t>
      </w:r>
      <w:proofErr w:type="spellEnd"/>
      <w:r>
        <w:rPr>
          <w:rFonts w:eastAsia="Palatino Linotype"/>
          <w:sz w:val="22"/>
          <w:szCs w:val="22"/>
          <w:lang w:val="es-ES"/>
        </w:rPr>
        <w:t xml:space="preserve"> </w:t>
      </w:r>
      <w:proofErr w:type="spellStart"/>
      <w:r>
        <w:rPr>
          <w:rFonts w:eastAsia="Palatino Linotype"/>
          <w:sz w:val="22"/>
          <w:szCs w:val="22"/>
          <w:lang w:val="es-ES"/>
        </w:rPr>
        <w:t>indication</w:t>
      </w:r>
      <w:proofErr w:type="spellEnd"/>
      <w:r>
        <w:rPr>
          <w:rFonts w:eastAsia="Palatino Linotype"/>
          <w:sz w:val="22"/>
          <w:szCs w:val="22"/>
          <w:lang w:val="es-ES"/>
        </w:rPr>
        <w:t xml:space="preserve"> </w:t>
      </w:r>
      <w:proofErr w:type="spellStart"/>
      <w:r>
        <w:rPr>
          <w:rFonts w:eastAsia="Palatino Linotype"/>
          <w:sz w:val="22"/>
          <w:szCs w:val="22"/>
          <w:lang w:val="es-ES"/>
        </w:rPr>
        <w:t>made</w:t>
      </w:r>
      <w:proofErr w:type="spellEnd"/>
      <w:r>
        <w:rPr>
          <w:rFonts w:eastAsia="Palatino Linotype"/>
          <w:sz w:val="22"/>
          <w:szCs w:val="22"/>
          <w:lang w:val="es-ES"/>
        </w:rPr>
        <w:t xml:space="preserve"> in </w:t>
      </w:r>
      <w:proofErr w:type="spellStart"/>
      <w:r>
        <w:rPr>
          <w:rFonts w:eastAsia="Palatino Linotype"/>
          <w:sz w:val="22"/>
          <w:szCs w:val="22"/>
          <w:lang w:val="es-ES"/>
        </w:rPr>
        <w:t>the</w:t>
      </w:r>
      <w:proofErr w:type="spellEnd"/>
      <w:r>
        <w:rPr>
          <w:rFonts w:eastAsia="Palatino Linotype"/>
          <w:sz w:val="22"/>
          <w:szCs w:val="22"/>
          <w:lang w:val="es-ES"/>
        </w:rPr>
        <w:t xml:space="preserve"> </w:t>
      </w:r>
      <w:proofErr w:type="spellStart"/>
      <w:r>
        <w:rPr>
          <w:rFonts w:eastAsia="Palatino Linotype"/>
          <w:sz w:val="22"/>
          <w:szCs w:val="22"/>
          <w:lang w:val="es-ES"/>
        </w:rPr>
        <w:t>offer</w:t>
      </w:r>
      <w:proofErr w:type="spellEnd"/>
      <w:r>
        <w:rPr>
          <w:rFonts w:eastAsia="Palatino Linotype"/>
          <w:sz w:val="22"/>
          <w:szCs w:val="22"/>
          <w:lang w:val="es-ES"/>
        </w:rPr>
        <w:t xml:space="preserve">, </w:t>
      </w:r>
      <w:proofErr w:type="spellStart"/>
      <w:r>
        <w:rPr>
          <w:rFonts w:eastAsia="Palatino Linotype"/>
          <w:sz w:val="22"/>
          <w:szCs w:val="22"/>
          <w:lang w:val="es-ES"/>
        </w:rPr>
        <w:t>it</w:t>
      </w:r>
      <w:proofErr w:type="spellEnd"/>
      <w:r>
        <w:rPr>
          <w:rFonts w:eastAsia="Palatino Linotype"/>
          <w:sz w:val="22"/>
          <w:szCs w:val="22"/>
          <w:lang w:val="es-ES"/>
        </w:rPr>
        <w:t xml:space="preserve"> </w:t>
      </w:r>
      <w:proofErr w:type="spellStart"/>
      <w:r>
        <w:rPr>
          <w:rFonts w:eastAsia="Palatino Linotype"/>
          <w:sz w:val="22"/>
          <w:szCs w:val="22"/>
          <w:lang w:val="es-ES"/>
        </w:rPr>
        <w:t>is</w:t>
      </w:r>
      <w:proofErr w:type="spellEnd"/>
      <w:r>
        <w:rPr>
          <w:rFonts w:eastAsia="Palatino Linotype"/>
          <w:sz w:val="22"/>
          <w:szCs w:val="22"/>
          <w:lang w:val="es-ES"/>
        </w:rPr>
        <w:t xml:space="preserve"> </w:t>
      </w:r>
      <w:proofErr w:type="spellStart"/>
      <w:r>
        <w:rPr>
          <w:rFonts w:eastAsia="Palatino Linotype"/>
          <w:sz w:val="22"/>
          <w:szCs w:val="22"/>
          <w:lang w:val="es-ES"/>
        </w:rPr>
        <w:t>understood</w:t>
      </w:r>
      <w:proofErr w:type="spellEnd"/>
      <w:r>
        <w:rPr>
          <w:rFonts w:eastAsia="Palatino Linotype"/>
          <w:sz w:val="22"/>
          <w:szCs w:val="22"/>
          <w:lang w:val="es-ES"/>
        </w:rPr>
        <w:t xml:space="preserve"> </w:t>
      </w:r>
      <w:proofErr w:type="spellStart"/>
      <w:r>
        <w:rPr>
          <w:rFonts w:eastAsia="Palatino Linotype"/>
          <w:sz w:val="22"/>
          <w:szCs w:val="22"/>
          <w:lang w:val="es-ES"/>
        </w:rPr>
        <w:t>that</w:t>
      </w:r>
      <w:proofErr w:type="spellEnd"/>
      <w:r>
        <w:rPr>
          <w:rFonts w:eastAsia="Palatino Linotype"/>
          <w:sz w:val="22"/>
          <w:szCs w:val="22"/>
          <w:lang w:val="es-ES"/>
        </w:rPr>
        <w:t xml:space="preserve"> </w:t>
      </w:r>
      <w:proofErr w:type="spellStart"/>
      <w:r>
        <w:rPr>
          <w:rFonts w:eastAsia="Palatino Linotype"/>
          <w:sz w:val="22"/>
          <w:szCs w:val="22"/>
          <w:lang w:val="es-ES"/>
        </w:rPr>
        <w:t>it</w:t>
      </w:r>
      <w:proofErr w:type="spellEnd"/>
      <w:r>
        <w:rPr>
          <w:rFonts w:eastAsia="Palatino Linotype"/>
          <w:sz w:val="22"/>
          <w:szCs w:val="22"/>
          <w:lang w:val="es-ES"/>
        </w:rPr>
        <w:t xml:space="preserve"> </w:t>
      </w:r>
      <w:proofErr w:type="spellStart"/>
      <w:r>
        <w:rPr>
          <w:rFonts w:eastAsia="Palatino Linotype"/>
          <w:sz w:val="22"/>
          <w:szCs w:val="22"/>
          <w:lang w:val="es-ES"/>
        </w:rPr>
        <w:t>conforms</w:t>
      </w:r>
      <w:proofErr w:type="spellEnd"/>
      <w:r>
        <w:rPr>
          <w:rFonts w:eastAsia="Palatino Linotype"/>
          <w:sz w:val="22"/>
          <w:szCs w:val="22"/>
          <w:lang w:val="es-ES"/>
        </w:rPr>
        <w:t xml:space="preserve"> </w:t>
      </w:r>
      <w:proofErr w:type="spellStart"/>
      <w:r>
        <w:rPr>
          <w:rFonts w:eastAsia="Palatino Linotype"/>
          <w:sz w:val="22"/>
          <w:szCs w:val="22"/>
          <w:lang w:val="es-ES"/>
        </w:rPr>
        <w:t>to</w:t>
      </w:r>
      <w:proofErr w:type="spellEnd"/>
      <w:r>
        <w:rPr>
          <w:rFonts w:eastAsia="Palatino Linotype"/>
          <w:sz w:val="22"/>
          <w:szCs w:val="22"/>
          <w:lang w:val="es-ES"/>
        </w:rPr>
        <w:t xml:space="preserve"> </w:t>
      </w:r>
      <w:proofErr w:type="spellStart"/>
      <w:r>
        <w:rPr>
          <w:rFonts w:eastAsia="Palatino Linotype"/>
          <w:sz w:val="22"/>
          <w:szCs w:val="22"/>
          <w:lang w:val="es-ES"/>
        </w:rPr>
        <w:t>the</w:t>
      </w:r>
      <w:proofErr w:type="spellEnd"/>
      <w:r>
        <w:rPr>
          <w:rFonts w:eastAsia="Palatino Linotype"/>
          <w:sz w:val="22"/>
          <w:szCs w:val="22"/>
          <w:lang w:val="es-ES"/>
        </w:rPr>
        <w:t xml:space="preserve"> </w:t>
      </w:r>
      <w:proofErr w:type="spellStart"/>
      <w:r>
        <w:rPr>
          <w:rFonts w:eastAsia="Palatino Linotype"/>
          <w:sz w:val="22"/>
          <w:szCs w:val="22"/>
          <w:lang w:val="es-ES"/>
        </w:rPr>
        <w:t>conditions</w:t>
      </w:r>
      <w:proofErr w:type="spellEnd"/>
      <w:r>
        <w:rPr>
          <w:rFonts w:eastAsia="Palatino Linotype"/>
          <w:sz w:val="22"/>
          <w:szCs w:val="22"/>
          <w:lang w:val="es-ES"/>
        </w:rPr>
        <w:t xml:space="preserve"> </w:t>
      </w:r>
      <w:proofErr w:type="spellStart"/>
      <w:r>
        <w:rPr>
          <w:rFonts w:eastAsia="Palatino Linotype"/>
          <w:sz w:val="22"/>
          <w:szCs w:val="22"/>
          <w:lang w:val="es-ES"/>
        </w:rPr>
        <w:t>contained</w:t>
      </w:r>
      <w:proofErr w:type="spellEnd"/>
      <w:r>
        <w:rPr>
          <w:rFonts w:eastAsia="Palatino Linotype"/>
          <w:sz w:val="22"/>
          <w:szCs w:val="22"/>
          <w:lang w:val="es-ES"/>
        </w:rPr>
        <w:t xml:space="preserve"> in </w:t>
      </w:r>
      <w:proofErr w:type="spellStart"/>
      <w:r>
        <w:rPr>
          <w:rFonts w:eastAsia="Palatino Linotype"/>
          <w:sz w:val="22"/>
          <w:szCs w:val="22"/>
          <w:lang w:val="es-ES"/>
        </w:rPr>
        <w:t>the</w:t>
      </w:r>
      <w:proofErr w:type="spellEnd"/>
      <w:r>
        <w:rPr>
          <w:rFonts w:eastAsia="Palatino Linotype"/>
          <w:sz w:val="22"/>
          <w:szCs w:val="22"/>
          <w:lang w:val="es-ES"/>
        </w:rPr>
        <w:t xml:space="preserve"> </w:t>
      </w:r>
      <w:proofErr w:type="spellStart"/>
      <w:r>
        <w:rPr>
          <w:rFonts w:eastAsia="Palatino Linotype"/>
          <w:sz w:val="22"/>
          <w:szCs w:val="22"/>
          <w:lang w:val="es-ES"/>
        </w:rPr>
        <w:t>Specifications</w:t>
      </w:r>
      <w:proofErr w:type="spellEnd"/>
      <w:r>
        <w:rPr>
          <w:rFonts w:eastAsia="Palatino Linotype"/>
          <w:sz w:val="22"/>
          <w:szCs w:val="22"/>
          <w:lang w:val="es-ES"/>
        </w:rPr>
        <w:t xml:space="preserve">, and </w:t>
      </w:r>
      <w:proofErr w:type="spellStart"/>
      <w:r>
        <w:rPr>
          <w:rFonts w:eastAsia="Palatino Linotype"/>
          <w:sz w:val="22"/>
          <w:szCs w:val="22"/>
          <w:lang w:val="es-ES"/>
        </w:rPr>
        <w:t>that</w:t>
      </w:r>
      <w:proofErr w:type="spellEnd"/>
      <w:r>
        <w:rPr>
          <w:rFonts w:eastAsia="Palatino Linotype"/>
          <w:sz w:val="22"/>
          <w:szCs w:val="22"/>
          <w:lang w:val="es-ES"/>
        </w:rPr>
        <w:t xml:space="preserve"> </w:t>
      </w:r>
      <w:proofErr w:type="spellStart"/>
      <w:r>
        <w:rPr>
          <w:rFonts w:eastAsia="Palatino Linotype"/>
          <w:sz w:val="22"/>
          <w:szCs w:val="22"/>
          <w:lang w:val="es-ES"/>
        </w:rPr>
        <w:t>the</w:t>
      </w:r>
      <w:proofErr w:type="spellEnd"/>
      <w:r>
        <w:rPr>
          <w:rFonts w:eastAsia="Palatino Linotype"/>
          <w:sz w:val="22"/>
          <w:szCs w:val="22"/>
          <w:lang w:val="es-ES"/>
        </w:rPr>
        <w:t xml:space="preserve"> </w:t>
      </w:r>
      <w:proofErr w:type="spellStart"/>
      <w:r>
        <w:rPr>
          <w:rFonts w:eastAsia="Palatino Linotype"/>
          <w:sz w:val="22"/>
          <w:szCs w:val="22"/>
          <w:lang w:val="es-ES"/>
        </w:rPr>
        <w:t>proposer</w:t>
      </w:r>
      <w:proofErr w:type="spellEnd"/>
      <w:r>
        <w:rPr>
          <w:rFonts w:eastAsia="Palatino Linotype"/>
          <w:sz w:val="22"/>
          <w:szCs w:val="22"/>
          <w:lang w:val="es-ES"/>
        </w:rPr>
        <w:t xml:space="preserve"> </w:t>
      </w:r>
      <w:proofErr w:type="spellStart"/>
      <w:r>
        <w:rPr>
          <w:rFonts w:eastAsia="Palatino Linotype"/>
          <w:sz w:val="22"/>
          <w:szCs w:val="22"/>
          <w:lang w:val="es-ES"/>
        </w:rPr>
        <w:t>is</w:t>
      </w:r>
      <w:proofErr w:type="spellEnd"/>
      <w:r>
        <w:rPr>
          <w:rFonts w:eastAsia="Palatino Linotype"/>
          <w:sz w:val="22"/>
          <w:szCs w:val="22"/>
          <w:lang w:val="es-ES"/>
        </w:rPr>
        <w:t xml:space="preserve"> </w:t>
      </w:r>
      <w:proofErr w:type="spellStart"/>
      <w:r>
        <w:rPr>
          <w:rFonts w:eastAsia="Palatino Linotype"/>
          <w:sz w:val="22"/>
          <w:szCs w:val="22"/>
          <w:lang w:val="es-ES"/>
        </w:rPr>
        <w:t>committed</w:t>
      </w:r>
      <w:proofErr w:type="spellEnd"/>
      <w:r>
        <w:rPr>
          <w:rFonts w:eastAsia="Palatino Linotype"/>
          <w:sz w:val="22"/>
          <w:szCs w:val="22"/>
          <w:lang w:val="es-ES"/>
        </w:rPr>
        <w:t xml:space="preserve"> </w:t>
      </w:r>
      <w:proofErr w:type="spellStart"/>
      <w:r>
        <w:rPr>
          <w:rFonts w:eastAsia="Palatino Linotype"/>
          <w:sz w:val="22"/>
          <w:szCs w:val="22"/>
          <w:lang w:val="es-ES"/>
        </w:rPr>
        <w:t>to</w:t>
      </w:r>
      <w:proofErr w:type="spellEnd"/>
      <w:r>
        <w:rPr>
          <w:rFonts w:eastAsia="Palatino Linotype"/>
          <w:sz w:val="22"/>
          <w:szCs w:val="22"/>
          <w:lang w:val="es-ES"/>
        </w:rPr>
        <w:t xml:space="preserve"> </w:t>
      </w:r>
      <w:proofErr w:type="spellStart"/>
      <w:r>
        <w:rPr>
          <w:rFonts w:eastAsia="Palatino Linotype"/>
          <w:sz w:val="22"/>
          <w:szCs w:val="22"/>
          <w:lang w:val="es-ES"/>
        </w:rPr>
        <w:t>its</w:t>
      </w:r>
      <w:proofErr w:type="spellEnd"/>
      <w:r>
        <w:rPr>
          <w:rFonts w:eastAsia="Palatino Linotype"/>
          <w:sz w:val="22"/>
          <w:szCs w:val="22"/>
          <w:lang w:val="es-ES"/>
        </w:rPr>
        <w:t xml:space="preserve"> full </w:t>
      </w:r>
      <w:proofErr w:type="spellStart"/>
      <w:r>
        <w:rPr>
          <w:rFonts w:eastAsia="Palatino Linotype"/>
          <w:sz w:val="22"/>
          <w:szCs w:val="22"/>
          <w:lang w:val="es-ES"/>
        </w:rPr>
        <w:t>compliance</w:t>
      </w:r>
      <w:proofErr w:type="spellEnd"/>
      <w:r>
        <w:rPr>
          <w:rFonts w:eastAsia="Palatino Linotype"/>
          <w:sz w:val="22"/>
          <w:szCs w:val="22"/>
          <w:lang w:val="es-ES"/>
        </w:rPr>
        <w:t xml:space="preserve">, </w:t>
      </w:r>
      <w:proofErr w:type="spellStart"/>
      <w:r>
        <w:rPr>
          <w:rFonts w:eastAsia="Palatino Linotype"/>
          <w:sz w:val="22"/>
          <w:szCs w:val="22"/>
          <w:lang w:val="es-ES"/>
        </w:rPr>
        <w:t>without</w:t>
      </w:r>
      <w:proofErr w:type="spellEnd"/>
      <w:r>
        <w:rPr>
          <w:rFonts w:eastAsia="Palatino Linotype"/>
          <w:sz w:val="22"/>
          <w:szCs w:val="22"/>
          <w:lang w:val="es-ES"/>
        </w:rPr>
        <w:t xml:space="preserve"> </w:t>
      </w:r>
      <w:proofErr w:type="spellStart"/>
      <w:r>
        <w:rPr>
          <w:rFonts w:eastAsia="Palatino Linotype"/>
          <w:sz w:val="22"/>
          <w:szCs w:val="22"/>
          <w:lang w:val="es-ES"/>
        </w:rPr>
        <w:t>prejudice</w:t>
      </w:r>
      <w:proofErr w:type="spellEnd"/>
      <w:r>
        <w:rPr>
          <w:rFonts w:eastAsia="Palatino Linotype"/>
          <w:sz w:val="22"/>
          <w:szCs w:val="22"/>
          <w:lang w:val="es-ES"/>
        </w:rPr>
        <w:t xml:space="preserve"> </w:t>
      </w:r>
      <w:proofErr w:type="spellStart"/>
      <w:r>
        <w:rPr>
          <w:rFonts w:eastAsia="Palatino Linotype"/>
          <w:sz w:val="22"/>
          <w:szCs w:val="22"/>
          <w:lang w:val="es-ES"/>
        </w:rPr>
        <w:t>to</w:t>
      </w:r>
      <w:proofErr w:type="spellEnd"/>
      <w:r>
        <w:rPr>
          <w:rFonts w:eastAsia="Palatino Linotype"/>
          <w:sz w:val="22"/>
          <w:szCs w:val="22"/>
          <w:lang w:val="es-ES"/>
        </w:rPr>
        <w:t xml:space="preserve"> </w:t>
      </w:r>
      <w:proofErr w:type="spellStart"/>
      <w:r>
        <w:rPr>
          <w:rFonts w:eastAsia="Palatino Linotype"/>
          <w:sz w:val="22"/>
          <w:szCs w:val="22"/>
          <w:lang w:val="es-ES"/>
        </w:rPr>
        <w:t>the</w:t>
      </w:r>
      <w:proofErr w:type="spellEnd"/>
      <w:r>
        <w:rPr>
          <w:rFonts w:eastAsia="Palatino Linotype"/>
          <w:sz w:val="22"/>
          <w:szCs w:val="22"/>
          <w:lang w:val="es-ES"/>
        </w:rPr>
        <w:t xml:space="preserve"> </w:t>
      </w:r>
      <w:proofErr w:type="spellStart"/>
      <w:r>
        <w:rPr>
          <w:rFonts w:eastAsia="Palatino Linotype"/>
          <w:sz w:val="22"/>
          <w:szCs w:val="22"/>
          <w:lang w:val="es-ES"/>
        </w:rPr>
        <w:t>power</w:t>
      </w:r>
      <w:proofErr w:type="spellEnd"/>
      <w:r>
        <w:rPr>
          <w:rFonts w:eastAsia="Palatino Linotype"/>
          <w:sz w:val="22"/>
          <w:szCs w:val="22"/>
          <w:lang w:val="es-ES"/>
        </w:rPr>
        <w:t xml:space="preserve"> </w:t>
      </w:r>
      <w:proofErr w:type="spellStart"/>
      <w:r>
        <w:rPr>
          <w:rFonts w:eastAsia="Palatino Linotype"/>
          <w:sz w:val="22"/>
          <w:szCs w:val="22"/>
          <w:lang w:val="es-ES"/>
        </w:rPr>
        <w:t>of</w:t>
      </w:r>
      <w:proofErr w:type="spellEnd"/>
      <w:r>
        <w:rPr>
          <w:rFonts w:eastAsia="Palatino Linotype"/>
          <w:sz w:val="22"/>
          <w:szCs w:val="22"/>
          <w:lang w:val="es-ES"/>
        </w:rPr>
        <w:t xml:space="preserve"> </w:t>
      </w:r>
      <w:proofErr w:type="spellStart"/>
      <w:r>
        <w:rPr>
          <w:rFonts w:eastAsia="Palatino Linotype"/>
          <w:sz w:val="22"/>
          <w:szCs w:val="22"/>
          <w:lang w:val="es-ES"/>
        </w:rPr>
        <w:t>the</w:t>
      </w:r>
      <w:proofErr w:type="spellEnd"/>
      <w:r>
        <w:rPr>
          <w:rFonts w:eastAsia="Palatino Linotype"/>
          <w:sz w:val="22"/>
          <w:szCs w:val="22"/>
          <w:lang w:val="es-ES"/>
        </w:rPr>
        <w:t xml:space="preserve"> </w:t>
      </w:r>
      <w:proofErr w:type="spellStart"/>
      <w:r>
        <w:rPr>
          <w:rFonts w:eastAsia="Palatino Linotype"/>
          <w:sz w:val="22"/>
          <w:szCs w:val="22"/>
          <w:lang w:val="es-ES"/>
        </w:rPr>
        <w:t>Administration</w:t>
      </w:r>
      <w:proofErr w:type="spellEnd"/>
      <w:r>
        <w:rPr>
          <w:rFonts w:eastAsia="Palatino Linotype"/>
          <w:sz w:val="22"/>
          <w:szCs w:val="22"/>
          <w:lang w:val="es-ES"/>
        </w:rPr>
        <w:t xml:space="preserve"> </w:t>
      </w:r>
      <w:proofErr w:type="spellStart"/>
      <w:r>
        <w:rPr>
          <w:rFonts w:eastAsia="Palatino Linotype"/>
          <w:sz w:val="22"/>
          <w:szCs w:val="22"/>
          <w:lang w:val="es-ES"/>
        </w:rPr>
        <w:t>to</w:t>
      </w:r>
      <w:proofErr w:type="spellEnd"/>
      <w:r>
        <w:rPr>
          <w:rFonts w:eastAsia="Palatino Linotype"/>
          <w:sz w:val="22"/>
          <w:szCs w:val="22"/>
          <w:lang w:val="es-ES"/>
        </w:rPr>
        <w:t xml:space="preserve"> </w:t>
      </w:r>
      <w:proofErr w:type="spellStart"/>
      <w:r>
        <w:rPr>
          <w:rFonts w:eastAsia="Palatino Linotype"/>
          <w:sz w:val="22"/>
          <w:szCs w:val="22"/>
          <w:lang w:val="es-ES"/>
        </w:rPr>
        <w:t>establish</w:t>
      </w:r>
      <w:proofErr w:type="spellEnd"/>
      <w:r>
        <w:rPr>
          <w:rFonts w:eastAsia="Palatino Linotype"/>
          <w:sz w:val="22"/>
          <w:szCs w:val="22"/>
          <w:lang w:val="es-ES"/>
        </w:rPr>
        <w:t xml:space="preserve"> in </w:t>
      </w:r>
      <w:proofErr w:type="spellStart"/>
      <w:r>
        <w:rPr>
          <w:rFonts w:eastAsia="Palatino Linotype"/>
          <w:sz w:val="22"/>
          <w:szCs w:val="22"/>
          <w:lang w:val="es-ES"/>
        </w:rPr>
        <w:t>the</w:t>
      </w:r>
      <w:proofErr w:type="spellEnd"/>
      <w:r>
        <w:rPr>
          <w:rFonts w:eastAsia="Palatino Linotype"/>
          <w:sz w:val="22"/>
          <w:szCs w:val="22"/>
          <w:lang w:val="es-ES"/>
        </w:rPr>
        <w:t xml:space="preserve"> bases </w:t>
      </w:r>
      <w:proofErr w:type="spellStart"/>
      <w:r>
        <w:rPr>
          <w:rFonts w:eastAsia="Palatino Linotype"/>
          <w:sz w:val="22"/>
          <w:szCs w:val="22"/>
          <w:lang w:val="es-ES"/>
        </w:rPr>
        <w:t>of</w:t>
      </w:r>
      <w:proofErr w:type="spellEnd"/>
      <w:r>
        <w:rPr>
          <w:rFonts w:eastAsia="Palatino Linotype"/>
          <w:sz w:val="22"/>
          <w:szCs w:val="22"/>
          <w:lang w:val="es-ES"/>
        </w:rPr>
        <w:t xml:space="preserve"> </w:t>
      </w:r>
      <w:proofErr w:type="spellStart"/>
      <w:r>
        <w:rPr>
          <w:rFonts w:eastAsia="Palatino Linotype"/>
          <w:sz w:val="22"/>
          <w:szCs w:val="22"/>
          <w:lang w:val="es-ES"/>
        </w:rPr>
        <w:t>the</w:t>
      </w:r>
      <w:proofErr w:type="spellEnd"/>
      <w:r>
        <w:rPr>
          <w:rFonts w:eastAsia="Palatino Linotype"/>
          <w:sz w:val="22"/>
          <w:szCs w:val="22"/>
          <w:lang w:val="es-ES"/>
        </w:rPr>
        <w:t xml:space="preserve"> </w:t>
      </w:r>
      <w:proofErr w:type="spellStart"/>
      <w:r>
        <w:rPr>
          <w:rFonts w:eastAsia="Palatino Linotype"/>
          <w:sz w:val="22"/>
          <w:szCs w:val="22"/>
          <w:lang w:val="es-ES"/>
        </w:rPr>
        <w:t>call</w:t>
      </w:r>
      <w:proofErr w:type="spellEnd"/>
      <w:r>
        <w:rPr>
          <w:rFonts w:eastAsia="Palatino Linotype"/>
          <w:sz w:val="22"/>
          <w:szCs w:val="22"/>
          <w:lang w:val="es-ES"/>
        </w:rPr>
        <w:t xml:space="preserve"> </w:t>
      </w:r>
      <w:proofErr w:type="spellStart"/>
      <w:r>
        <w:rPr>
          <w:rFonts w:eastAsia="Palatino Linotype"/>
          <w:sz w:val="22"/>
          <w:szCs w:val="22"/>
          <w:lang w:val="es-ES"/>
        </w:rPr>
        <w:t>requirements</w:t>
      </w:r>
      <w:proofErr w:type="spellEnd"/>
      <w:r>
        <w:rPr>
          <w:rFonts w:eastAsia="Palatino Linotype"/>
          <w:sz w:val="22"/>
          <w:szCs w:val="22"/>
          <w:lang w:val="es-ES"/>
        </w:rPr>
        <w:t xml:space="preserve"> </w:t>
      </w:r>
      <w:proofErr w:type="spellStart"/>
      <w:r>
        <w:rPr>
          <w:rFonts w:eastAsia="Palatino Linotype"/>
          <w:sz w:val="22"/>
          <w:szCs w:val="22"/>
          <w:lang w:val="es-ES"/>
        </w:rPr>
        <w:t>for</w:t>
      </w:r>
      <w:proofErr w:type="spellEnd"/>
      <w:r>
        <w:rPr>
          <w:rFonts w:eastAsia="Palatino Linotype"/>
          <w:sz w:val="22"/>
          <w:szCs w:val="22"/>
          <w:lang w:val="es-ES"/>
        </w:rPr>
        <w:t xml:space="preserve"> </w:t>
      </w:r>
      <w:proofErr w:type="spellStart"/>
      <w:r>
        <w:rPr>
          <w:rFonts w:eastAsia="Palatino Linotype"/>
          <w:sz w:val="22"/>
          <w:szCs w:val="22"/>
          <w:lang w:val="es-ES"/>
        </w:rPr>
        <w:t>express</w:t>
      </w:r>
      <w:proofErr w:type="spellEnd"/>
      <w:r>
        <w:rPr>
          <w:rFonts w:eastAsia="Palatino Linotype"/>
          <w:sz w:val="22"/>
          <w:szCs w:val="22"/>
          <w:lang w:val="es-ES"/>
        </w:rPr>
        <w:t xml:space="preserve"> </w:t>
      </w:r>
      <w:proofErr w:type="spellStart"/>
      <w:r>
        <w:rPr>
          <w:rFonts w:eastAsia="Palatino Linotype"/>
          <w:sz w:val="22"/>
          <w:szCs w:val="22"/>
          <w:lang w:val="es-ES"/>
        </w:rPr>
        <w:t>declaration</w:t>
      </w:r>
      <w:proofErr w:type="spellEnd"/>
      <w:r>
        <w:rPr>
          <w:rFonts w:eastAsia="Palatino Linotype"/>
          <w:sz w:val="22"/>
          <w:szCs w:val="22"/>
          <w:lang w:val="es-ES"/>
        </w:rPr>
        <w:t xml:space="preserve"> </w:t>
      </w:r>
      <w:proofErr w:type="spellStart"/>
      <w:r>
        <w:rPr>
          <w:rFonts w:eastAsia="Palatino Linotype"/>
          <w:sz w:val="22"/>
          <w:szCs w:val="22"/>
          <w:lang w:val="es-ES"/>
        </w:rPr>
        <w:t>by</w:t>
      </w:r>
      <w:proofErr w:type="spellEnd"/>
      <w:r>
        <w:rPr>
          <w:rFonts w:eastAsia="Palatino Linotype"/>
          <w:sz w:val="22"/>
          <w:szCs w:val="22"/>
          <w:lang w:val="es-ES"/>
        </w:rPr>
        <w:t xml:space="preserve"> </w:t>
      </w:r>
      <w:proofErr w:type="spellStart"/>
      <w:r>
        <w:rPr>
          <w:rFonts w:eastAsia="Palatino Linotype"/>
          <w:sz w:val="22"/>
          <w:szCs w:val="22"/>
          <w:lang w:val="es-ES"/>
        </w:rPr>
        <w:t>the</w:t>
      </w:r>
      <w:proofErr w:type="spellEnd"/>
      <w:r>
        <w:rPr>
          <w:rFonts w:eastAsia="Palatino Linotype"/>
          <w:sz w:val="22"/>
          <w:szCs w:val="22"/>
          <w:lang w:val="es-ES"/>
        </w:rPr>
        <w:t xml:space="preserve"> </w:t>
      </w:r>
      <w:proofErr w:type="spellStart"/>
      <w:r>
        <w:rPr>
          <w:rFonts w:eastAsia="Palatino Linotype"/>
          <w:sz w:val="22"/>
          <w:szCs w:val="22"/>
          <w:lang w:val="es-ES"/>
        </w:rPr>
        <w:t>offerors</w:t>
      </w:r>
      <w:proofErr w:type="spellEnd"/>
      <w:r>
        <w:rPr>
          <w:rFonts w:eastAsia="Palatino Linotype"/>
          <w:sz w:val="22"/>
          <w:szCs w:val="22"/>
          <w:lang w:val="es-ES"/>
        </w:rPr>
        <w:t xml:space="preserve">, in </w:t>
      </w:r>
      <w:proofErr w:type="spellStart"/>
      <w:r>
        <w:rPr>
          <w:rFonts w:eastAsia="Palatino Linotype"/>
          <w:sz w:val="22"/>
          <w:szCs w:val="22"/>
          <w:lang w:val="es-ES"/>
        </w:rPr>
        <w:t>which</w:t>
      </w:r>
      <w:proofErr w:type="spellEnd"/>
      <w:r>
        <w:rPr>
          <w:rFonts w:eastAsia="Palatino Linotype"/>
          <w:sz w:val="22"/>
          <w:szCs w:val="22"/>
          <w:lang w:val="es-ES"/>
        </w:rPr>
        <w:t xml:space="preserve"> case </w:t>
      </w:r>
      <w:proofErr w:type="spellStart"/>
      <w:r>
        <w:rPr>
          <w:rFonts w:eastAsia="Palatino Linotype"/>
          <w:sz w:val="22"/>
          <w:szCs w:val="22"/>
          <w:lang w:val="es-ES"/>
        </w:rPr>
        <w:t>they</w:t>
      </w:r>
      <w:proofErr w:type="spellEnd"/>
      <w:r>
        <w:rPr>
          <w:rFonts w:eastAsia="Palatino Linotype"/>
          <w:sz w:val="22"/>
          <w:szCs w:val="22"/>
          <w:lang w:val="es-ES"/>
        </w:rPr>
        <w:t xml:space="preserve"> </w:t>
      </w:r>
      <w:proofErr w:type="spellStart"/>
      <w:r>
        <w:rPr>
          <w:rFonts w:eastAsia="Palatino Linotype"/>
          <w:sz w:val="22"/>
          <w:szCs w:val="22"/>
          <w:lang w:val="es-ES"/>
        </w:rPr>
        <w:t>must</w:t>
      </w:r>
      <w:proofErr w:type="spellEnd"/>
      <w:r>
        <w:rPr>
          <w:rFonts w:eastAsia="Palatino Linotype"/>
          <w:sz w:val="22"/>
          <w:szCs w:val="22"/>
          <w:lang w:val="es-ES"/>
        </w:rPr>
        <w:t xml:space="preserve"> </w:t>
      </w:r>
      <w:proofErr w:type="spellStart"/>
      <w:r>
        <w:rPr>
          <w:rFonts w:eastAsia="Palatino Linotype"/>
          <w:sz w:val="22"/>
          <w:szCs w:val="22"/>
          <w:lang w:val="es-ES"/>
        </w:rPr>
        <w:t>comply</w:t>
      </w:r>
      <w:proofErr w:type="spellEnd"/>
      <w:r>
        <w:rPr>
          <w:rFonts w:eastAsia="Palatino Linotype"/>
          <w:sz w:val="22"/>
          <w:szCs w:val="22"/>
          <w:lang w:val="es-ES"/>
        </w:rPr>
        <w:t xml:space="preserve"> </w:t>
      </w:r>
      <w:proofErr w:type="spellStart"/>
      <w:r>
        <w:rPr>
          <w:rFonts w:eastAsia="Palatino Linotype"/>
          <w:sz w:val="22"/>
          <w:szCs w:val="22"/>
          <w:lang w:val="es-ES"/>
        </w:rPr>
        <w:t>with</w:t>
      </w:r>
      <w:proofErr w:type="spellEnd"/>
      <w:r>
        <w:rPr>
          <w:rFonts w:eastAsia="Palatino Linotype"/>
          <w:sz w:val="22"/>
          <w:szCs w:val="22"/>
          <w:lang w:val="es-ES"/>
        </w:rPr>
        <w:t xml:space="preserve"> </w:t>
      </w:r>
      <w:proofErr w:type="spellStart"/>
      <w:r>
        <w:rPr>
          <w:rFonts w:eastAsia="Palatino Linotype"/>
          <w:sz w:val="22"/>
          <w:szCs w:val="22"/>
          <w:lang w:val="es-ES"/>
        </w:rPr>
        <w:t>said</w:t>
      </w:r>
      <w:proofErr w:type="spellEnd"/>
      <w:r>
        <w:rPr>
          <w:rFonts w:eastAsia="Palatino Linotype"/>
          <w:sz w:val="22"/>
          <w:szCs w:val="22"/>
          <w:lang w:val="es-ES"/>
        </w:rPr>
        <w:t xml:space="preserve"> </w:t>
      </w:r>
      <w:proofErr w:type="spellStart"/>
      <w:r>
        <w:rPr>
          <w:rFonts w:eastAsia="Palatino Linotype"/>
          <w:sz w:val="22"/>
          <w:szCs w:val="22"/>
          <w:lang w:val="es-ES"/>
        </w:rPr>
        <w:t>requirement</w:t>
      </w:r>
      <w:proofErr w:type="spellEnd"/>
      <w:r>
        <w:rPr>
          <w:rFonts w:eastAsia="Palatino Linotype"/>
          <w:sz w:val="22"/>
          <w:szCs w:val="22"/>
          <w:lang w:val="es-ES"/>
        </w:rPr>
        <w:t>.</w:t>
      </w:r>
    </w:p>
    <w:p w14:paraId="21DC124F" w14:textId="77777777" w:rsidR="00E255F4" w:rsidRDefault="00000000">
      <w:pPr>
        <w:spacing w:before="240" w:after="240"/>
        <w:ind w:right="-142"/>
        <w:jc w:val="both"/>
        <w:outlineLvl w:val="0"/>
        <w:rPr>
          <w:rFonts w:eastAsia="Palatino Linotype"/>
          <w:b/>
          <w:spacing w:val="-1"/>
          <w:sz w:val="22"/>
          <w:szCs w:val="22"/>
          <w:lang w:val="es-ES"/>
        </w:rPr>
      </w:pPr>
      <w:bookmarkStart w:id="26" w:name="__RefHeading___Toc225377203"/>
      <w:bookmarkEnd w:id="26"/>
      <w:r>
        <w:rPr>
          <w:rFonts w:eastAsia="Palatino Linotype"/>
          <w:b/>
          <w:spacing w:val="-1"/>
          <w:sz w:val="22"/>
          <w:szCs w:val="22"/>
          <w:lang w:val="es-ES"/>
        </w:rPr>
        <w:t xml:space="preserve">10.2 </w:t>
      </w:r>
      <w:proofErr w:type="spellStart"/>
      <w:r>
        <w:rPr>
          <w:rFonts w:eastAsia="Palatino Linotype"/>
          <w:b/>
          <w:spacing w:val="-1"/>
          <w:sz w:val="22"/>
          <w:szCs w:val="22"/>
          <w:lang w:val="es-ES"/>
        </w:rPr>
        <w:t>Object</w:t>
      </w:r>
      <w:proofErr w:type="spellEnd"/>
      <w:r>
        <w:rPr>
          <w:rFonts w:eastAsia="Palatino Linotype"/>
          <w:b/>
          <w:spacing w:val="-1"/>
          <w:sz w:val="22"/>
          <w:szCs w:val="22"/>
          <w:lang w:val="es-ES"/>
        </w:rPr>
        <w:tab/>
      </w:r>
    </w:p>
    <w:p w14:paraId="12B725C9" w14:textId="77777777" w:rsidR="00E255F4" w:rsidRDefault="00000000">
      <w:pPr>
        <w:ind w:right="-142"/>
        <w:jc w:val="both"/>
      </w:pPr>
      <w:proofErr w:type="spellStart"/>
      <w:r>
        <w:rPr>
          <w:rFonts w:eastAsia="Palatino Linotype"/>
          <w:spacing w:val="1"/>
          <w:sz w:val="22"/>
          <w:szCs w:val="22"/>
          <w:lang w:val="es-ES"/>
        </w:rPr>
        <w:lastRenderedPageBreak/>
        <w:t>The</w:t>
      </w:r>
      <w:r>
        <w:rPr>
          <w:rFonts w:eastAsia="Palatino Linotype"/>
          <w:sz w:val="22"/>
          <w:szCs w:val="22"/>
          <w:lang w:val="es-ES"/>
        </w:rPr>
        <w:t>Bids</w:t>
      </w:r>
      <w:proofErr w:type="spellEnd"/>
      <w:r>
        <w:rPr>
          <w:rFonts w:eastAsia="Palatino Linotype"/>
          <w:sz w:val="22"/>
          <w:szCs w:val="22"/>
          <w:lang w:val="es-ES"/>
        </w:rPr>
        <w:t xml:space="preserve"> </w:t>
      </w:r>
      <w:proofErr w:type="spellStart"/>
      <w:r>
        <w:rPr>
          <w:rFonts w:eastAsia="Palatino Linotype"/>
          <w:sz w:val="22"/>
          <w:szCs w:val="22"/>
          <w:lang w:val="es-ES"/>
        </w:rPr>
        <w:t>must</w:t>
      </w:r>
      <w:proofErr w:type="spellEnd"/>
      <w:r>
        <w:rPr>
          <w:rFonts w:eastAsia="Palatino Linotype"/>
          <w:sz w:val="22"/>
          <w:szCs w:val="22"/>
          <w:lang w:val="es-ES"/>
        </w:rPr>
        <w:t xml:space="preserve"> </w:t>
      </w:r>
      <w:proofErr w:type="spellStart"/>
      <w:r>
        <w:rPr>
          <w:rFonts w:eastAsia="Palatino Linotype"/>
          <w:sz w:val="22"/>
          <w:szCs w:val="22"/>
          <w:lang w:val="es-ES"/>
        </w:rPr>
        <w:t>reasonably</w:t>
      </w:r>
      <w:proofErr w:type="spellEnd"/>
      <w:r>
        <w:rPr>
          <w:rFonts w:eastAsia="Palatino Linotype"/>
          <w:sz w:val="22"/>
          <w:szCs w:val="22"/>
          <w:lang w:val="es-ES"/>
        </w:rPr>
        <w:t xml:space="preserve"> </w:t>
      </w:r>
      <w:proofErr w:type="spellStart"/>
      <w:r>
        <w:rPr>
          <w:rFonts w:eastAsia="Palatino Linotype"/>
          <w:sz w:val="22"/>
          <w:szCs w:val="22"/>
          <w:lang w:val="es-ES"/>
        </w:rPr>
        <w:t>conform</w:t>
      </w:r>
      <w:proofErr w:type="spellEnd"/>
      <w:r>
        <w:rPr>
          <w:rFonts w:eastAsia="Palatino Linotype"/>
          <w:sz w:val="22"/>
          <w:szCs w:val="22"/>
          <w:lang w:val="es-ES"/>
        </w:rPr>
        <w:t xml:space="preserve"> </w:t>
      </w:r>
      <w:proofErr w:type="spellStart"/>
      <w:r>
        <w:rPr>
          <w:rFonts w:eastAsia="Palatino Linotype"/>
          <w:sz w:val="22"/>
          <w:szCs w:val="22"/>
          <w:lang w:val="es-ES"/>
        </w:rPr>
        <w:t>to</w:t>
      </w:r>
      <w:proofErr w:type="spellEnd"/>
      <w:r>
        <w:rPr>
          <w:rFonts w:eastAsia="Palatino Linotype"/>
          <w:sz w:val="22"/>
          <w:szCs w:val="22"/>
          <w:lang w:val="es-ES"/>
        </w:rPr>
        <w:t xml:space="preserve"> </w:t>
      </w:r>
      <w:proofErr w:type="spellStart"/>
      <w:r>
        <w:rPr>
          <w:rFonts w:eastAsia="Palatino Linotype"/>
          <w:sz w:val="22"/>
          <w:szCs w:val="22"/>
          <w:lang w:val="es-ES"/>
        </w:rPr>
        <w:t>the</w:t>
      </w:r>
      <w:proofErr w:type="spellEnd"/>
      <w:r>
        <w:rPr>
          <w:rFonts w:eastAsia="Palatino Linotype"/>
          <w:sz w:val="22"/>
          <w:szCs w:val="22"/>
          <w:lang w:val="es-ES"/>
        </w:rPr>
        <w:t xml:space="preserve"> </w:t>
      </w:r>
      <w:proofErr w:type="spellStart"/>
      <w:r>
        <w:rPr>
          <w:rFonts w:eastAsia="Palatino Linotype"/>
          <w:sz w:val="22"/>
          <w:szCs w:val="22"/>
          <w:lang w:val="es-ES"/>
        </w:rPr>
        <w:t>description</w:t>
      </w:r>
      <w:proofErr w:type="spellEnd"/>
      <w:r>
        <w:rPr>
          <w:rFonts w:eastAsia="Palatino Linotype"/>
          <w:sz w:val="22"/>
          <w:szCs w:val="22"/>
          <w:lang w:val="es-ES"/>
        </w:rPr>
        <w:t xml:space="preserve"> </w:t>
      </w:r>
      <w:proofErr w:type="spellStart"/>
      <w:r>
        <w:rPr>
          <w:rFonts w:eastAsia="Palatino Linotype"/>
          <w:sz w:val="22"/>
          <w:szCs w:val="22"/>
          <w:lang w:val="es-ES"/>
        </w:rPr>
        <w:t>of</w:t>
      </w:r>
      <w:proofErr w:type="spellEnd"/>
      <w:r>
        <w:rPr>
          <w:rFonts w:eastAsia="Palatino Linotype"/>
          <w:sz w:val="22"/>
          <w:szCs w:val="22"/>
          <w:lang w:val="es-ES"/>
        </w:rPr>
        <w:t xml:space="preserve"> </w:t>
      </w:r>
      <w:proofErr w:type="spellStart"/>
      <w:r>
        <w:rPr>
          <w:rFonts w:eastAsia="Palatino Linotype"/>
          <w:sz w:val="22"/>
          <w:szCs w:val="22"/>
          <w:lang w:val="es-ES"/>
        </w:rPr>
        <w:t>the</w:t>
      </w:r>
      <w:proofErr w:type="spellEnd"/>
      <w:r>
        <w:rPr>
          <w:rFonts w:eastAsia="Palatino Linotype"/>
          <w:sz w:val="22"/>
          <w:szCs w:val="22"/>
          <w:lang w:val="es-ES"/>
        </w:rPr>
        <w:t xml:space="preserve"> </w:t>
      </w:r>
      <w:proofErr w:type="spellStart"/>
      <w:r>
        <w:rPr>
          <w:rFonts w:eastAsia="Palatino Linotype"/>
          <w:sz w:val="22"/>
          <w:szCs w:val="22"/>
          <w:lang w:val="es-ES"/>
        </w:rPr>
        <w:t>required</w:t>
      </w:r>
      <w:proofErr w:type="spellEnd"/>
      <w:r>
        <w:rPr>
          <w:rFonts w:eastAsia="Palatino Linotype"/>
          <w:sz w:val="22"/>
          <w:szCs w:val="22"/>
          <w:lang w:val="es-ES"/>
        </w:rPr>
        <w:t xml:space="preserve"> </w:t>
      </w:r>
      <w:proofErr w:type="spellStart"/>
      <w:r>
        <w:rPr>
          <w:rFonts w:eastAsia="Palatino Linotype"/>
          <w:sz w:val="22"/>
          <w:szCs w:val="22"/>
          <w:lang w:val="es-ES"/>
        </w:rPr>
        <w:t>item</w:t>
      </w:r>
      <w:proofErr w:type="spellEnd"/>
      <w:r>
        <w:rPr>
          <w:rFonts w:eastAsia="Palatino Linotype"/>
          <w:sz w:val="22"/>
          <w:szCs w:val="22"/>
          <w:lang w:val="es-ES"/>
        </w:rPr>
        <w:t xml:space="preserve">, </w:t>
      </w:r>
      <w:proofErr w:type="spellStart"/>
      <w:r>
        <w:rPr>
          <w:rFonts w:eastAsia="Palatino Linotype"/>
          <w:sz w:val="22"/>
          <w:szCs w:val="22"/>
          <w:lang w:val="es-ES"/>
        </w:rPr>
        <w:t>taking</w:t>
      </w:r>
      <w:proofErr w:type="spellEnd"/>
      <w:r>
        <w:rPr>
          <w:rFonts w:eastAsia="Palatino Linotype"/>
          <w:sz w:val="22"/>
          <w:szCs w:val="22"/>
          <w:lang w:val="es-ES"/>
        </w:rPr>
        <w:t xml:space="preserve"> </w:t>
      </w:r>
      <w:proofErr w:type="spellStart"/>
      <w:r>
        <w:rPr>
          <w:rFonts w:eastAsia="Palatino Linotype"/>
          <w:sz w:val="22"/>
          <w:szCs w:val="22"/>
          <w:lang w:val="es-ES"/>
        </w:rPr>
        <w:t>into</w:t>
      </w:r>
      <w:proofErr w:type="spellEnd"/>
      <w:r>
        <w:rPr>
          <w:rFonts w:eastAsia="Palatino Linotype"/>
          <w:sz w:val="22"/>
          <w:szCs w:val="22"/>
          <w:lang w:val="es-ES"/>
        </w:rPr>
        <w:t xml:space="preserve"> </w:t>
      </w:r>
      <w:proofErr w:type="spellStart"/>
      <w:r>
        <w:rPr>
          <w:rFonts w:eastAsia="Palatino Linotype"/>
          <w:sz w:val="22"/>
          <w:szCs w:val="22"/>
          <w:lang w:val="es-ES"/>
        </w:rPr>
        <w:t>account</w:t>
      </w:r>
      <w:proofErr w:type="spellEnd"/>
      <w:r>
        <w:rPr>
          <w:rFonts w:eastAsia="Palatino Linotype"/>
          <w:sz w:val="22"/>
          <w:szCs w:val="22"/>
          <w:lang w:val="es-ES"/>
        </w:rPr>
        <w:t xml:space="preserve"> </w:t>
      </w:r>
      <w:proofErr w:type="spellStart"/>
      <w:r>
        <w:rPr>
          <w:rFonts w:eastAsia="Palatino Linotype"/>
          <w:sz w:val="22"/>
          <w:szCs w:val="22"/>
          <w:lang w:val="es-ES"/>
        </w:rPr>
        <w:t>its</w:t>
      </w:r>
      <w:proofErr w:type="spellEnd"/>
      <w:r>
        <w:rPr>
          <w:rFonts w:eastAsia="Palatino Linotype"/>
          <w:sz w:val="22"/>
          <w:szCs w:val="22"/>
          <w:lang w:val="es-ES"/>
        </w:rPr>
        <w:t xml:space="preserve"> </w:t>
      </w:r>
      <w:proofErr w:type="spellStart"/>
      <w:r>
        <w:rPr>
          <w:rFonts w:eastAsia="Palatino Linotype"/>
          <w:sz w:val="22"/>
          <w:szCs w:val="22"/>
          <w:lang w:val="es-ES"/>
        </w:rPr>
        <w:t>technical</w:t>
      </w:r>
      <w:proofErr w:type="spellEnd"/>
      <w:r>
        <w:rPr>
          <w:rFonts w:eastAsia="Palatino Linotype"/>
          <w:sz w:val="22"/>
          <w:szCs w:val="22"/>
          <w:lang w:val="es-ES"/>
        </w:rPr>
        <w:t xml:space="preserve"> </w:t>
      </w:r>
      <w:proofErr w:type="spellStart"/>
      <w:r>
        <w:rPr>
          <w:rFonts w:eastAsia="Palatino Linotype"/>
          <w:sz w:val="22"/>
          <w:szCs w:val="22"/>
          <w:lang w:val="es-ES"/>
        </w:rPr>
        <w:t>complexity</w:t>
      </w:r>
      <w:proofErr w:type="spellEnd"/>
      <w:r>
        <w:rPr>
          <w:rFonts w:eastAsia="Palatino Linotype"/>
          <w:sz w:val="22"/>
          <w:szCs w:val="22"/>
          <w:lang w:val="es-ES"/>
        </w:rPr>
        <w:t xml:space="preserve">. The </w:t>
      </w:r>
      <w:proofErr w:type="spellStart"/>
      <w:r>
        <w:rPr>
          <w:rFonts w:eastAsia="Palatino Linotype"/>
          <w:sz w:val="22"/>
          <w:szCs w:val="22"/>
          <w:lang w:val="es-ES"/>
        </w:rPr>
        <w:t>technical</w:t>
      </w:r>
      <w:proofErr w:type="spellEnd"/>
      <w:r>
        <w:rPr>
          <w:rFonts w:eastAsia="Palatino Linotype"/>
          <w:sz w:val="22"/>
          <w:szCs w:val="22"/>
          <w:lang w:val="es-ES"/>
        </w:rPr>
        <w:t xml:space="preserve"> </w:t>
      </w:r>
      <w:proofErr w:type="spellStart"/>
      <w:r>
        <w:rPr>
          <w:rFonts w:eastAsia="Palatino Linotype"/>
          <w:sz w:val="22"/>
          <w:szCs w:val="22"/>
          <w:lang w:val="es-ES"/>
        </w:rPr>
        <w:t>specifications</w:t>
      </w:r>
      <w:proofErr w:type="spellEnd"/>
      <w:r>
        <w:rPr>
          <w:rFonts w:eastAsia="Palatino Linotype"/>
          <w:sz w:val="22"/>
          <w:szCs w:val="22"/>
          <w:lang w:val="es-ES"/>
        </w:rPr>
        <w:t xml:space="preserve"> set </w:t>
      </w:r>
      <w:proofErr w:type="spellStart"/>
      <w:r>
        <w:rPr>
          <w:rFonts w:eastAsia="Palatino Linotype"/>
          <w:sz w:val="22"/>
          <w:szCs w:val="22"/>
          <w:lang w:val="es-ES"/>
        </w:rPr>
        <w:t>out</w:t>
      </w:r>
      <w:proofErr w:type="spellEnd"/>
      <w:r>
        <w:rPr>
          <w:rFonts w:eastAsia="Palatino Linotype"/>
          <w:sz w:val="22"/>
          <w:szCs w:val="22"/>
          <w:lang w:val="es-ES"/>
        </w:rPr>
        <w:t xml:space="preserve"> in </w:t>
      </w:r>
      <w:proofErr w:type="spellStart"/>
      <w:r>
        <w:rPr>
          <w:rFonts w:eastAsia="Palatino Linotype"/>
          <w:sz w:val="22"/>
          <w:szCs w:val="22"/>
          <w:lang w:val="es-ES"/>
        </w:rPr>
        <w:t>the</w:t>
      </w:r>
      <w:proofErr w:type="spellEnd"/>
      <w:r>
        <w:rPr>
          <w:rFonts w:eastAsia="Palatino Linotype"/>
          <w:sz w:val="22"/>
          <w:szCs w:val="22"/>
          <w:lang w:val="es-ES"/>
        </w:rPr>
        <w:t xml:space="preserve"> tender </w:t>
      </w:r>
      <w:proofErr w:type="spellStart"/>
      <w:r>
        <w:rPr>
          <w:rFonts w:eastAsia="Palatino Linotype"/>
          <w:sz w:val="22"/>
          <w:szCs w:val="22"/>
          <w:lang w:val="es-ES"/>
        </w:rPr>
        <w:t>documents</w:t>
      </w:r>
      <w:proofErr w:type="spellEnd"/>
      <w:r>
        <w:rPr>
          <w:rFonts w:eastAsia="Palatino Linotype"/>
          <w:sz w:val="22"/>
          <w:szCs w:val="22"/>
          <w:lang w:val="es-ES"/>
        </w:rPr>
        <w:t xml:space="preserve"> </w:t>
      </w:r>
      <w:proofErr w:type="spellStart"/>
      <w:r>
        <w:rPr>
          <w:rFonts w:eastAsia="Palatino Linotype"/>
          <w:sz w:val="22"/>
          <w:szCs w:val="22"/>
          <w:lang w:val="es-ES"/>
        </w:rPr>
        <w:t>will</w:t>
      </w:r>
      <w:proofErr w:type="spellEnd"/>
      <w:r>
        <w:rPr>
          <w:rFonts w:eastAsia="Palatino Linotype"/>
          <w:sz w:val="22"/>
          <w:szCs w:val="22"/>
          <w:lang w:val="es-ES"/>
        </w:rPr>
        <w:t xml:space="preserve"> be </w:t>
      </w:r>
      <w:proofErr w:type="spellStart"/>
      <w:r>
        <w:rPr>
          <w:rFonts w:eastAsia="Palatino Linotype"/>
          <w:sz w:val="22"/>
          <w:szCs w:val="22"/>
          <w:lang w:val="es-ES"/>
        </w:rPr>
        <w:t>considered</w:t>
      </w:r>
      <w:proofErr w:type="spellEnd"/>
      <w:r>
        <w:rPr>
          <w:rFonts w:eastAsia="Palatino Linotype"/>
          <w:sz w:val="22"/>
          <w:szCs w:val="22"/>
          <w:lang w:val="es-ES"/>
        </w:rPr>
        <w:t xml:space="preserve"> indicative </w:t>
      </w:r>
      <w:proofErr w:type="spellStart"/>
      <w:r>
        <w:rPr>
          <w:rFonts w:eastAsia="Palatino Linotype"/>
          <w:sz w:val="22"/>
          <w:szCs w:val="22"/>
          <w:lang w:val="es-ES"/>
        </w:rPr>
        <w:t>for</w:t>
      </w:r>
      <w:proofErr w:type="spellEnd"/>
      <w:r>
        <w:rPr>
          <w:rFonts w:eastAsia="Palatino Linotype"/>
          <w:sz w:val="22"/>
          <w:szCs w:val="22"/>
          <w:lang w:val="es-ES"/>
        </w:rPr>
        <w:t xml:space="preserve"> </w:t>
      </w:r>
      <w:proofErr w:type="spellStart"/>
      <w:r>
        <w:rPr>
          <w:rFonts w:eastAsia="Palatino Linotype"/>
          <w:sz w:val="22"/>
          <w:szCs w:val="22"/>
          <w:lang w:val="es-ES"/>
        </w:rPr>
        <w:t>achieving</w:t>
      </w:r>
      <w:proofErr w:type="spellEnd"/>
      <w:r>
        <w:rPr>
          <w:rFonts w:eastAsia="Palatino Linotype"/>
          <w:sz w:val="22"/>
          <w:szCs w:val="22"/>
          <w:lang w:val="es-ES"/>
        </w:rPr>
        <w:t xml:space="preserve"> </w:t>
      </w:r>
      <w:proofErr w:type="spellStart"/>
      <w:r>
        <w:rPr>
          <w:rFonts w:eastAsia="Palatino Linotype"/>
          <w:sz w:val="22"/>
          <w:szCs w:val="22"/>
          <w:lang w:val="es-ES"/>
        </w:rPr>
        <w:t>the</w:t>
      </w:r>
      <w:proofErr w:type="spellEnd"/>
      <w:r>
        <w:rPr>
          <w:rFonts w:eastAsia="Palatino Linotype"/>
          <w:sz w:val="22"/>
          <w:szCs w:val="22"/>
          <w:lang w:val="es-ES"/>
        </w:rPr>
        <w:t xml:space="preserve"> </w:t>
      </w:r>
      <w:proofErr w:type="spellStart"/>
      <w:r>
        <w:rPr>
          <w:rFonts w:eastAsia="Palatino Linotype"/>
          <w:sz w:val="22"/>
          <w:szCs w:val="22"/>
          <w:lang w:val="es-ES"/>
        </w:rPr>
        <w:t>objective</w:t>
      </w:r>
      <w:proofErr w:type="spellEnd"/>
      <w:r>
        <w:rPr>
          <w:rFonts w:eastAsia="Palatino Linotype"/>
          <w:sz w:val="22"/>
          <w:szCs w:val="22"/>
          <w:lang w:val="es-ES"/>
        </w:rPr>
        <w:t xml:space="preserve"> </w:t>
      </w:r>
      <w:proofErr w:type="spellStart"/>
      <w:r>
        <w:rPr>
          <w:rFonts w:eastAsia="Palatino Linotype"/>
          <w:sz w:val="22"/>
          <w:szCs w:val="22"/>
          <w:lang w:val="es-ES"/>
        </w:rPr>
        <w:t>of</w:t>
      </w:r>
      <w:proofErr w:type="spellEnd"/>
      <w:r>
        <w:rPr>
          <w:rFonts w:eastAsia="Palatino Linotype"/>
          <w:sz w:val="22"/>
          <w:szCs w:val="22"/>
          <w:lang w:val="es-ES"/>
        </w:rPr>
        <w:t xml:space="preserve"> </w:t>
      </w:r>
      <w:proofErr w:type="spellStart"/>
      <w:r>
        <w:rPr>
          <w:rFonts w:eastAsia="Palatino Linotype"/>
          <w:sz w:val="22"/>
          <w:szCs w:val="22"/>
          <w:lang w:val="es-ES"/>
        </w:rPr>
        <w:t>the</w:t>
      </w:r>
      <w:proofErr w:type="spellEnd"/>
      <w:r>
        <w:rPr>
          <w:rFonts w:eastAsia="Palatino Linotype"/>
          <w:sz w:val="22"/>
          <w:szCs w:val="22"/>
          <w:lang w:val="es-ES"/>
        </w:rPr>
        <w:t xml:space="preserve"> </w:t>
      </w:r>
      <w:proofErr w:type="spellStart"/>
      <w:r>
        <w:rPr>
          <w:rFonts w:eastAsia="Palatino Linotype"/>
          <w:sz w:val="22"/>
          <w:szCs w:val="22"/>
          <w:lang w:val="es-ES"/>
        </w:rPr>
        <w:t>call</w:t>
      </w:r>
      <w:proofErr w:type="spellEnd"/>
      <w:r>
        <w:rPr>
          <w:rFonts w:eastAsia="Palatino Linotype"/>
          <w:sz w:val="22"/>
          <w:szCs w:val="22"/>
          <w:lang w:val="es-ES"/>
        </w:rPr>
        <w:t xml:space="preserve"> </w:t>
      </w:r>
      <w:proofErr w:type="spellStart"/>
      <w:r>
        <w:rPr>
          <w:rFonts w:eastAsia="Palatino Linotype"/>
          <w:sz w:val="22"/>
          <w:szCs w:val="22"/>
          <w:lang w:val="es-ES"/>
        </w:rPr>
        <w:t>for</w:t>
      </w:r>
      <w:proofErr w:type="spellEnd"/>
      <w:r>
        <w:rPr>
          <w:rFonts w:eastAsia="Palatino Linotype"/>
          <w:sz w:val="22"/>
          <w:szCs w:val="22"/>
          <w:lang w:val="es-ES"/>
        </w:rPr>
        <w:t xml:space="preserve"> </w:t>
      </w:r>
      <w:proofErr w:type="spellStart"/>
      <w:r>
        <w:rPr>
          <w:rFonts w:eastAsia="Palatino Linotype"/>
          <w:sz w:val="22"/>
          <w:szCs w:val="22"/>
          <w:lang w:val="es-ES"/>
        </w:rPr>
        <w:t>bids</w:t>
      </w:r>
      <w:proofErr w:type="spellEnd"/>
      <w:r>
        <w:rPr>
          <w:rFonts w:eastAsia="Palatino Linotype"/>
          <w:sz w:val="22"/>
          <w:szCs w:val="22"/>
          <w:lang w:val="es-ES"/>
        </w:rPr>
        <w:t>.</w:t>
      </w:r>
    </w:p>
    <w:p w14:paraId="173155A1" w14:textId="77777777" w:rsidR="00E255F4" w:rsidRDefault="00E255F4">
      <w:pPr>
        <w:ind w:right="-142"/>
        <w:jc w:val="both"/>
        <w:rPr>
          <w:rFonts w:eastAsia="Palatino Linotype"/>
          <w:spacing w:val="-4"/>
          <w:sz w:val="22"/>
          <w:szCs w:val="22"/>
          <w:lang w:val="es-ES"/>
        </w:rPr>
      </w:pPr>
    </w:p>
    <w:p w14:paraId="5AAED183" w14:textId="77777777" w:rsidR="00E255F4" w:rsidRDefault="00000000">
      <w:pPr>
        <w:ind w:right="-142"/>
        <w:jc w:val="both"/>
        <w:rPr>
          <w:rFonts w:eastAsia="Palatino Linotype"/>
          <w:sz w:val="22"/>
          <w:szCs w:val="22"/>
          <w:lang w:val="es-ES"/>
        </w:rPr>
      </w:pPr>
      <w:proofErr w:type="spellStart"/>
      <w:r>
        <w:rPr>
          <w:rFonts w:eastAsia="Palatino Linotype"/>
          <w:spacing w:val="-4"/>
          <w:sz w:val="22"/>
          <w:szCs w:val="22"/>
          <w:lang w:val="es-ES"/>
        </w:rPr>
        <w:t>S</w:t>
      </w:r>
      <w:r>
        <w:rPr>
          <w:rFonts w:eastAsia="Palatino Linotype"/>
          <w:sz w:val="22"/>
          <w:szCs w:val="22"/>
          <w:lang w:val="es-ES"/>
        </w:rPr>
        <w:t>If</w:t>
      </w:r>
      <w:proofErr w:type="spellEnd"/>
      <w:r>
        <w:rPr>
          <w:rFonts w:eastAsia="Palatino Linotype"/>
          <w:sz w:val="22"/>
          <w:szCs w:val="22"/>
          <w:lang w:val="es-ES"/>
        </w:rPr>
        <w:t xml:space="preserve"> </w:t>
      </w:r>
      <w:proofErr w:type="spellStart"/>
      <w:r>
        <w:rPr>
          <w:rFonts w:eastAsia="Palatino Linotype"/>
          <w:sz w:val="22"/>
          <w:szCs w:val="22"/>
          <w:lang w:val="es-ES"/>
        </w:rPr>
        <w:t>the</w:t>
      </w:r>
      <w:proofErr w:type="spellEnd"/>
      <w:r>
        <w:rPr>
          <w:rFonts w:eastAsia="Palatino Linotype"/>
          <w:sz w:val="22"/>
          <w:szCs w:val="22"/>
          <w:lang w:val="es-ES"/>
        </w:rPr>
        <w:t xml:space="preserve"> Special </w:t>
      </w:r>
      <w:proofErr w:type="spellStart"/>
      <w:r>
        <w:rPr>
          <w:rFonts w:eastAsia="Palatino Linotype"/>
          <w:sz w:val="22"/>
          <w:szCs w:val="22"/>
          <w:lang w:val="es-ES"/>
        </w:rPr>
        <w:t>Specifications</w:t>
      </w:r>
      <w:proofErr w:type="spellEnd"/>
      <w:r>
        <w:rPr>
          <w:rFonts w:eastAsia="Palatino Linotype"/>
          <w:sz w:val="22"/>
          <w:szCs w:val="22"/>
          <w:lang w:val="es-ES"/>
        </w:rPr>
        <w:t xml:space="preserve"> </w:t>
      </w:r>
      <w:proofErr w:type="spellStart"/>
      <w:r>
        <w:rPr>
          <w:rFonts w:eastAsia="Palatino Linotype"/>
          <w:sz w:val="22"/>
          <w:szCs w:val="22"/>
          <w:lang w:val="es-ES"/>
        </w:rPr>
        <w:t>authorize</w:t>
      </w:r>
      <w:proofErr w:type="spellEnd"/>
      <w:r>
        <w:rPr>
          <w:rFonts w:eastAsia="Palatino Linotype"/>
          <w:sz w:val="22"/>
          <w:szCs w:val="22"/>
          <w:lang w:val="es-ES"/>
        </w:rPr>
        <w:t xml:space="preserve"> </w:t>
      </w:r>
      <w:proofErr w:type="spellStart"/>
      <w:r>
        <w:rPr>
          <w:rFonts w:eastAsia="Palatino Linotype"/>
          <w:sz w:val="22"/>
          <w:szCs w:val="22"/>
          <w:lang w:val="es-ES"/>
        </w:rPr>
        <w:t>it</w:t>
      </w:r>
      <w:proofErr w:type="spellEnd"/>
      <w:r>
        <w:rPr>
          <w:rFonts w:eastAsia="Palatino Linotype"/>
          <w:sz w:val="22"/>
          <w:szCs w:val="22"/>
          <w:lang w:val="es-ES"/>
        </w:rPr>
        <w:t xml:space="preserve">, </w:t>
      </w:r>
      <w:proofErr w:type="spellStart"/>
      <w:r>
        <w:rPr>
          <w:rFonts w:eastAsia="Palatino Linotype"/>
          <w:sz w:val="22"/>
          <w:szCs w:val="22"/>
          <w:lang w:val="es-ES"/>
        </w:rPr>
        <w:t>modifications</w:t>
      </w:r>
      <w:proofErr w:type="spellEnd"/>
      <w:r>
        <w:rPr>
          <w:rFonts w:eastAsia="Palatino Linotype"/>
          <w:sz w:val="22"/>
          <w:szCs w:val="22"/>
          <w:lang w:val="es-ES"/>
        </w:rPr>
        <w:t xml:space="preserve">, alternative </w:t>
      </w:r>
      <w:proofErr w:type="spellStart"/>
      <w:r>
        <w:rPr>
          <w:rFonts w:eastAsia="Palatino Linotype"/>
          <w:sz w:val="22"/>
          <w:szCs w:val="22"/>
          <w:lang w:val="es-ES"/>
        </w:rPr>
        <w:t>solutions</w:t>
      </w:r>
      <w:proofErr w:type="spellEnd"/>
      <w:r>
        <w:rPr>
          <w:rFonts w:eastAsia="Palatino Linotype"/>
          <w:sz w:val="22"/>
          <w:szCs w:val="22"/>
          <w:lang w:val="es-ES"/>
        </w:rPr>
        <w:t xml:space="preserve">, as </w:t>
      </w:r>
      <w:proofErr w:type="spellStart"/>
      <w:r>
        <w:rPr>
          <w:rFonts w:eastAsia="Palatino Linotype"/>
          <w:sz w:val="22"/>
          <w:szCs w:val="22"/>
          <w:lang w:val="es-ES"/>
        </w:rPr>
        <w:t>well</w:t>
      </w:r>
      <w:proofErr w:type="spellEnd"/>
      <w:r>
        <w:rPr>
          <w:rFonts w:eastAsia="Palatino Linotype"/>
          <w:sz w:val="22"/>
          <w:szCs w:val="22"/>
          <w:lang w:val="es-ES"/>
        </w:rPr>
        <w:t xml:space="preserve"> as </w:t>
      </w:r>
      <w:proofErr w:type="spellStart"/>
      <w:r>
        <w:rPr>
          <w:rFonts w:eastAsia="Palatino Linotype"/>
          <w:sz w:val="22"/>
          <w:szCs w:val="22"/>
          <w:lang w:val="es-ES"/>
        </w:rPr>
        <w:t>variants</w:t>
      </w:r>
      <w:proofErr w:type="spellEnd"/>
      <w:r>
        <w:rPr>
          <w:rFonts w:eastAsia="Palatino Linotype"/>
          <w:sz w:val="22"/>
          <w:szCs w:val="22"/>
          <w:lang w:val="es-ES"/>
        </w:rPr>
        <w:t xml:space="preserve"> </w:t>
      </w:r>
      <w:proofErr w:type="spellStart"/>
      <w:r>
        <w:rPr>
          <w:rFonts w:eastAsia="Palatino Linotype"/>
          <w:sz w:val="22"/>
          <w:szCs w:val="22"/>
          <w:lang w:val="es-ES"/>
        </w:rPr>
        <w:t>may</w:t>
      </w:r>
      <w:proofErr w:type="spellEnd"/>
      <w:r>
        <w:rPr>
          <w:rFonts w:eastAsia="Palatino Linotype"/>
          <w:sz w:val="22"/>
          <w:szCs w:val="22"/>
          <w:lang w:val="es-ES"/>
        </w:rPr>
        <w:t xml:space="preserve"> be </w:t>
      </w:r>
      <w:proofErr w:type="spellStart"/>
      <w:r>
        <w:rPr>
          <w:rFonts w:eastAsia="Palatino Linotype"/>
          <w:sz w:val="22"/>
          <w:szCs w:val="22"/>
          <w:lang w:val="es-ES"/>
        </w:rPr>
        <w:t>presented</w:t>
      </w:r>
      <w:proofErr w:type="spellEnd"/>
      <w:r>
        <w:rPr>
          <w:rFonts w:eastAsia="Palatino Linotype"/>
          <w:sz w:val="22"/>
          <w:szCs w:val="22"/>
          <w:lang w:val="es-ES"/>
        </w:rPr>
        <w:t xml:space="preserve">, </w:t>
      </w:r>
      <w:proofErr w:type="spellStart"/>
      <w:r>
        <w:rPr>
          <w:rFonts w:eastAsia="Palatino Linotype"/>
          <w:sz w:val="22"/>
          <w:szCs w:val="22"/>
          <w:lang w:val="es-ES"/>
        </w:rPr>
        <w:t>even</w:t>
      </w:r>
      <w:proofErr w:type="spellEnd"/>
      <w:r>
        <w:rPr>
          <w:rFonts w:eastAsia="Palatino Linotype"/>
          <w:sz w:val="22"/>
          <w:szCs w:val="22"/>
          <w:lang w:val="es-ES"/>
        </w:rPr>
        <w:t xml:space="preserve"> </w:t>
      </w:r>
      <w:proofErr w:type="spellStart"/>
      <w:r>
        <w:rPr>
          <w:rFonts w:eastAsia="Palatino Linotype"/>
          <w:sz w:val="22"/>
          <w:szCs w:val="22"/>
          <w:lang w:val="es-ES"/>
        </w:rPr>
        <w:t>without</w:t>
      </w:r>
      <w:proofErr w:type="spellEnd"/>
      <w:r>
        <w:rPr>
          <w:rFonts w:eastAsia="Palatino Linotype"/>
          <w:sz w:val="22"/>
          <w:szCs w:val="22"/>
          <w:lang w:val="es-ES"/>
        </w:rPr>
        <w:t xml:space="preserve"> </w:t>
      </w:r>
      <w:proofErr w:type="spellStart"/>
      <w:r>
        <w:rPr>
          <w:rFonts w:eastAsia="Palatino Linotype"/>
          <w:sz w:val="22"/>
          <w:szCs w:val="22"/>
          <w:lang w:val="es-ES"/>
        </w:rPr>
        <w:t>submitting</w:t>
      </w:r>
      <w:proofErr w:type="spellEnd"/>
      <w:r>
        <w:rPr>
          <w:rFonts w:eastAsia="Palatino Linotype"/>
          <w:sz w:val="22"/>
          <w:szCs w:val="22"/>
          <w:lang w:val="es-ES"/>
        </w:rPr>
        <w:t xml:space="preserve"> </w:t>
      </w:r>
      <w:proofErr w:type="spellStart"/>
      <w:r>
        <w:rPr>
          <w:rFonts w:eastAsia="Palatino Linotype"/>
          <w:sz w:val="22"/>
          <w:szCs w:val="22"/>
          <w:lang w:val="es-ES"/>
        </w:rPr>
        <w:t>the</w:t>
      </w:r>
      <w:proofErr w:type="spellEnd"/>
      <w:r>
        <w:rPr>
          <w:rFonts w:eastAsia="Palatino Linotype"/>
          <w:sz w:val="22"/>
          <w:szCs w:val="22"/>
          <w:lang w:val="es-ES"/>
        </w:rPr>
        <w:t xml:space="preserve"> </w:t>
      </w:r>
      <w:proofErr w:type="spellStart"/>
      <w:r>
        <w:rPr>
          <w:rFonts w:eastAsia="Palatino Linotype"/>
          <w:sz w:val="22"/>
          <w:szCs w:val="22"/>
          <w:lang w:val="es-ES"/>
        </w:rPr>
        <w:t>basic</w:t>
      </w:r>
      <w:proofErr w:type="spellEnd"/>
      <w:r>
        <w:rPr>
          <w:rFonts w:eastAsia="Palatino Linotype"/>
          <w:sz w:val="22"/>
          <w:szCs w:val="22"/>
          <w:lang w:val="es-ES"/>
        </w:rPr>
        <w:t xml:space="preserve"> </w:t>
      </w:r>
      <w:proofErr w:type="spellStart"/>
      <w:r>
        <w:rPr>
          <w:rFonts w:eastAsia="Palatino Linotype"/>
          <w:sz w:val="22"/>
          <w:szCs w:val="22"/>
          <w:lang w:val="es-ES"/>
        </w:rPr>
        <w:t>proposal</w:t>
      </w:r>
      <w:proofErr w:type="spellEnd"/>
      <w:r>
        <w:rPr>
          <w:rFonts w:eastAsia="Palatino Linotype"/>
          <w:sz w:val="22"/>
          <w:szCs w:val="22"/>
          <w:lang w:val="es-ES"/>
        </w:rPr>
        <w:t>.</w:t>
      </w:r>
    </w:p>
    <w:p w14:paraId="7FA86820" w14:textId="77777777" w:rsidR="00E255F4" w:rsidRDefault="00E255F4">
      <w:pPr>
        <w:ind w:right="-142"/>
        <w:jc w:val="both"/>
        <w:rPr>
          <w:rFonts w:eastAsia="Palatino Linotype"/>
          <w:sz w:val="22"/>
          <w:szCs w:val="22"/>
          <w:lang w:val="es-ES"/>
        </w:rPr>
      </w:pPr>
    </w:p>
    <w:p w14:paraId="7AAF9626" w14:textId="77777777" w:rsidR="00E255F4" w:rsidRDefault="00000000">
      <w:pPr>
        <w:ind w:right="-142"/>
        <w:jc w:val="both"/>
        <w:rPr>
          <w:rFonts w:eastAsia="Palatino Linotype"/>
          <w:sz w:val="22"/>
          <w:szCs w:val="22"/>
          <w:lang w:val="es-ES"/>
        </w:rPr>
      </w:pPr>
      <w:r>
        <w:rPr>
          <w:rFonts w:eastAsia="Palatino Linotype"/>
          <w:spacing w:val="-1"/>
          <w:sz w:val="22"/>
          <w:szCs w:val="22"/>
          <w:lang w:val="es-ES"/>
        </w:rPr>
        <w:t>S</w:t>
      </w:r>
      <w:r>
        <w:rPr>
          <w:rFonts w:eastAsia="Palatino Linotype"/>
          <w:sz w:val="22"/>
          <w:szCs w:val="22"/>
          <w:lang w:val="es-ES"/>
        </w:rPr>
        <w:t xml:space="preserve">an </w:t>
      </w:r>
      <w:proofErr w:type="spellStart"/>
      <w:r>
        <w:rPr>
          <w:rFonts w:eastAsia="Palatino Linotype"/>
          <w:sz w:val="22"/>
          <w:szCs w:val="22"/>
          <w:lang w:val="es-ES"/>
        </w:rPr>
        <w:t>offer</w:t>
      </w:r>
      <w:proofErr w:type="spellEnd"/>
      <w:r>
        <w:rPr>
          <w:rFonts w:eastAsia="Palatino Linotype"/>
          <w:sz w:val="22"/>
          <w:szCs w:val="22"/>
          <w:lang w:val="es-ES"/>
        </w:rPr>
        <w:t xml:space="preserve"> </w:t>
      </w:r>
      <w:proofErr w:type="spellStart"/>
      <w:r>
        <w:rPr>
          <w:rFonts w:eastAsia="Palatino Linotype"/>
          <w:sz w:val="22"/>
          <w:szCs w:val="22"/>
          <w:lang w:val="es-ES"/>
        </w:rPr>
        <w:t>will</w:t>
      </w:r>
      <w:proofErr w:type="spellEnd"/>
      <w:r>
        <w:rPr>
          <w:rFonts w:eastAsia="Palatino Linotype"/>
          <w:sz w:val="22"/>
          <w:szCs w:val="22"/>
          <w:lang w:val="es-ES"/>
        </w:rPr>
        <w:t xml:space="preserve"> be </w:t>
      </w:r>
      <w:proofErr w:type="spellStart"/>
      <w:r>
        <w:rPr>
          <w:rFonts w:eastAsia="Palatino Linotype"/>
          <w:sz w:val="22"/>
          <w:szCs w:val="22"/>
          <w:lang w:val="es-ES"/>
        </w:rPr>
        <w:t>considered</w:t>
      </w:r>
      <w:proofErr w:type="spellEnd"/>
      <w:r>
        <w:rPr>
          <w:rFonts w:eastAsia="Palatino Linotype"/>
          <w:sz w:val="22"/>
          <w:szCs w:val="22"/>
          <w:lang w:val="es-ES"/>
        </w:rPr>
        <w:t xml:space="preserve"> </w:t>
      </w:r>
      <w:proofErr w:type="spellStart"/>
      <w:r>
        <w:rPr>
          <w:rFonts w:eastAsia="Palatino Linotype"/>
          <w:sz w:val="22"/>
          <w:szCs w:val="22"/>
          <w:lang w:val="es-ES"/>
        </w:rPr>
        <w:t>to</w:t>
      </w:r>
      <w:proofErr w:type="spellEnd"/>
      <w:r>
        <w:rPr>
          <w:rFonts w:eastAsia="Palatino Linotype"/>
          <w:sz w:val="22"/>
          <w:szCs w:val="22"/>
          <w:lang w:val="es-ES"/>
        </w:rPr>
        <w:t xml:space="preserve"> be:</w:t>
      </w:r>
    </w:p>
    <w:p w14:paraId="3D2019D4" w14:textId="77777777" w:rsidR="00E255F4" w:rsidRDefault="00E255F4">
      <w:pPr>
        <w:ind w:right="-142"/>
        <w:jc w:val="both"/>
        <w:rPr>
          <w:rFonts w:eastAsia="Palatino Linotype"/>
          <w:sz w:val="22"/>
          <w:szCs w:val="22"/>
          <w:lang w:val="es-ES"/>
        </w:rPr>
      </w:pPr>
    </w:p>
    <w:p w14:paraId="138BB4C2" w14:textId="77777777" w:rsidR="00E255F4" w:rsidRDefault="00000000">
      <w:pPr>
        <w:ind w:right="-142"/>
        <w:jc w:val="both"/>
        <w:rPr>
          <w:rFonts w:eastAsia="Palatino Linotype"/>
          <w:sz w:val="22"/>
          <w:szCs w:val="22"/>
          <w:lang w:val="es-ES"/>
        </w:rPr>
      </w:pPr>
      <w:proofErr w:type="spellStart"/>
      <w:r>
        <w:rPr>
          <w:rFonts w:eastAsia="Palatino Linotype"/>
          <w:spacing w:val="-1"/>
          <w:sz w:val="22"/>
          <w:szCs w:val="22"/>
          <w:lang w:val="es-ES"/>
        </w:rPr>
        <w:t>to</w:t>
      </w:r>
      <w:proofErr w:type="spellEnd"/>
      <w:r>
        <w:rPr>
          <w:rFonts w:eastAsia="Palatino Linotype"/>
          <w:spacing w:val="-1"/>
          <w:sz w:val="22"/>
          <w:szCs w:val="22"/>
          <w:lang w:val="es-ES"/>
        </w:rPr>
        <w:t>.</w:t>
      </w:r>
      <w:r>
        <w:rPr>
          <w:rFonts w:eastAsia="Palatino Linotype"/>
          <w:spacing w:val="-1"/>
          <w:sz w:val="22"/>
          <w:szCs w:val="22"/>
          <w:lang w:val="es-ES"/>
        </w:rPr>
        <w:tab/>
      </w:r>
      <w:proofErr w:type="spellStart"/>
      <w:r>
        <w:rPr>
          <w:rFonts w:eastAsia="Palatino Linotype"/>
          <w:b/>
          <w:spacing w:val="-1"/>
          <w:sz w:val="22"/>
          <w:szCs w:val="22"/>
          <w:lang w:val="es-ES"/>
        </w:rPr>
        <w:t>A</w:t>
      </w:r>
      <w:r>
        <w:rPr>
          <w:rFonts w:eastAsia="Palatino Linotype"/>
          <w:b/>
          <w:sz w:val="22"/>
          <w:szCs w:val="22"/>
          <w:lang w:val="es-ES"/>
        </w:rPr>
        <w:t>the</w:t>
      </w:r>
      <w:proofErr w:type="spellEnd"/>
      <w:r>
        <w:rPr>
          <w:rFonts w:eastAsia="Palatino Linotype"/>
          <w:b/>
          <w:sz w:val="22"/>
          <w:szCs w:val="22"/>
          <w:lang w:val="es-ES"/>
        </w:rPr>
        <w:t xml:space="preserve"> </w:t>
      </w:r>
      <w:proofErr w:type="spellStart"/>
      <w:r>
        <w:rPr>
          <w:rFonts w:eastAsia="Palatino Linotype"/>
          <w:b/>
          <w:sz w:val="22"/>
          <w:szCs w:val="22"/>
          <w:lang w:val="es-ES"/>
        </w:rPr>
        <w:t>modification</w:t>
      </w:r>
      <w:r>
        <w:rPr>
          <w:rFonts w:eastAsia="Palatino Linotype"/>
          <w:spacing w:val="-1"/>
          <w:sz w:val="22"/>
          <w:szCs w:val="22"/>
          <w:lang w:val="es-ES"/>
        </w:rPr>
        <w:t>when</w:t>
      </w:r>
      <w:r>
        <w:rPr>
          <w:rFonts w:eastAsia="Palatino Linotype"/>
          <w:sz w:val="22"/>
          <w:szCs w:val="22"/>
          <w:lang w:val="es-ES"/>
        </w:rPr>
        <w:t>While</w:t>
      </w:r>
      <w:proofErr w:type="spellEnd"/>
      <w:r>
        <w:rPr>
          <w:rFonts w:eastAsia="Palatino Linotype"/>
          <w:sz w:val="22"/>
          <w:szCs w:val="22"/>
          <w:lang w:val="es-ES"/>
        </w:rPr>
        <w:t xml:space="preserve"> </w:t>
      </w:r>
      <w:proofErr w:type="spellStart"/>
      <w:r>
        <w:rPr>
          <w:rFonts w:eastAsia="Palatino Linotype"/>
          <w:sz w:val="22"/>
          <w:szCs w:val="22"/>
          <w:lang w:val="es-ES"/>
        </w:rPr>
        <w:t>maintaining</w:t>
      </w:r>
      <w:proofErr w:type="spellEnd"/>
      <w:r>
        <w:rPr>
          <w:rFonts w:eastAsia="Palatino Linotype"/>
          <w:sz w:val="22"/>
          <w:szCs w:val="22"/>
          <w:lang w:val="es-ES"/>
        </w:rPr>
        <w:t xml:space="preserve"> </w:t>
      </w:r>
      <w:proofErr w:type="spellStart"/>
      <w:r>
        <w:rPr>
          <w:rFonts w:eastAsia="Palatino Linotype"/>
          <w:sz w:val="22"/>
          <w:szCs w:val="22"/>
          <w:lang w:val="es-ES"/>
        </w:rPr>
        <w:t>the</w:t>
      </w:r>
      <w:proofErr w:type="spellEnd"/>
      <w:r>
        <w:rPr>
          <w:rFonts w:eastAsia="Palatino Linotype"/>
          <w:sz w:val="22"/>
          <w:szCs w:val="22"/>
          <w:lang w:val="es-ES"/>
        </w:rPr>
        <w:t xml:space="preserve"> </w:t>
      </w:r>
      <w:proofErr w:type="spellStart"/>
      <w:r>
        <w:rPr>
          <w:rFonts w:eastAsia="Palatino Linotype"/>
          <w:sz w:val="22"/>
          <w:szCs w:val="22"/>
          <w:lang w:val="es-ES"/>
        </w:rPr>
        <w:t>identity</w:t>
      </w:r>
      <w:proofErr w:type="spellEnd"/>
      <w:r>
        <w:rPr>
          <w:rFonts w:eastAsia="Palatino Linotype"/>
          <w:sz w:val="22"/>
          <w:szCs w:val="22"/>
          <w:lang w:val="es-ES"/>
        </w:rPr>
        <w:t xml:space="preserve"> </w:t>
      </w:r>
      <w:proofErr w:type="spellStart"/>
      <w:r>
        <w:rPr>
          <w:rFonts w:eastAsia="Palatino Linotype"/>
          <w:sz w:val="22"/>
          <w:szCs w:val="22"/>
          <w:lang w:val="es-ES"/>
        </w:rPr>
        <w:t>of</w:t>
      </w:r>
      <w:proofErr w:type="spellEnd"/>
      <w:r>
        <w:rPr>
          <w:rFonts w:eastAsia="Palatino Linotype"/>
          <w:sz w:val="22"/>
          <w:szCs w:val="22"/>
          <w:lang w:val="es-ES"/>
        </w:rPr>
        <w:t xml:space="preserve"> </w:t>
      </w:r>
      <w:proofErr w:type="spellStart"/>
      <w:r>
        <w:rPr>
          <w:rFonts w:eastAsia="Palatino Linotype"/>
          <w:sz w:val="22"/>
          <w:szCs w:val="22"/>
          <w:lang w:val="es-ES"/>
        </w:rPr>
        <w:t>the</w:t>
      </w:r>
      <w:proofErr w:type="spellEnd"/>
      <w:r>
        <w:rPr>
          <w:rFonts w:eastAsia="Palatino Linotype"/>
          <w:sz w:val="22"/>
          <w:szCs w:val="22"/>
          <w:lang w:val="es-ES"/>
        </w:rPr>
        <w:t xml:space="preserve"> </w:t>
      </w:r>
      <w:proofErr w:type="spellStart"/>
      <w:r>
        <w:rPr>
          <w:rFonts w:eastAsia="Palatino Linotype"/>
          <w:sz w:val="22"/>
          <w:szCs w:val="22"/>
          <w:lang w:val="es-ES"/>
        </w:rPr>
        <w:t>object</w:t>
      </w:r>
      <w:proofErr w:type="spellEnd"/>
      <w:r>
        <w:rPr>
          <w:rFonts w:eastAsia="Palatino Linotype"/>
          <w:sz w:val="22"/>
          <w:szCs w:val="22"/>
          <w:lang w:val="es-ES"/>
        </w:rPr>
        <w:t xml:space="preserve"> </w:t>
      </w:r>
      <w:proofErr w:type="spellStart"/>
      <w:r>
        <w:rPr>
          <w:rFonts w:eastAsia="Palatino Linotype"/>
          <w:sz w:val="22"/>
          <w:szCs w:val="22"/>
          <w:lang w:val="es-ES"/>
        </w:rPr>
        <w:t>tendered</w:t>
      </w:r>
      <w:proofErr w:type="spellEnd"/>
      <w:r>
        <w:rPr>
          <w:rFonts w:eastAsia="Palatino Linotype"/>
          <w:sz w:val="22"/>
          <w:szCs w:val="22"/>
          <w:lang w:val="es-ES"/>
        </w:rPr>
        <w:t xml:space="preserve"> and </w:t>
      </w:r>
      <w:proofErr w:type="spellStart"/>
      <w:r>
        <w:rPr>
          <w:rFonts w:eastAsia="Palatino Linotype"/>
          <w:sz w:val="22"/>
          <w:szCs w:val="22"/>
          <w:lang w:val="es-ES"/>
        </w:rPr>
        <w:t>presenting</w:t>
      </w:r>
      <w:proofErr w:type="spellEnd"/>
      <w:r>
        <w:rPr>
          <w:rFonts w:eastAsia="Palatino Linotype"/>
          <w:sz w:val="22"/>
          <w:szCs w:val="22"/>
          <w:lang w:val="es-ES"/>
        </w:rPr>
        <w:t xml:space="preserve"> non-</w:t>
      </w:r>
      <w:proofErr w:type="spellStart"/>
      <w:r>
        <w:rPr>
          <w:rFonts w:eastAsia="Palatino Linotype"/>
          <w:sz w:val="22"/>
          <w:szCs w:val="22"/>
          <w:lang w:val="es-ES"/>
        </w:rPr>
        <w:t>substantial</w:t>
      </w:r>
      <w:proofErr w:type="spellEnd"/>
      <w:r>
        <w:rPr>
          <w:rFonts w:eastAsia="Palatino Linotype"/>
          <w:sz w:val="22"/>
          <w:szCs w:val="22"/>
          <w:lang w:val="es-ES"/>
        </w:rPr>
        <w:t xml:space="preserve"> </w:t>
      </w:r>
      <w:proofErr w:type="spellStart"/>
      <w:r>
        <w:rPr>
          <w:rFonts w:eastAsia="Palatino Linotype"/>
          <w:sz w:val="22"/>
          <w:szCs w:val="22"/>
          <w:lang w:val="es-ES"/>
        </w:rPr>
        <w:t>deviations</w:t>
      </w:r>
      <w:proofErr w:type="spellEnd"/>
      <w:r>
        <w:rPr>
          <w:rFonts w:eastAsia="Palatino Linotype"/>
          <w:sz w:val="22"/>
          <w:szCs w:val="22"/>
          <w:lang w:val="es-ES"/>
        </w:rPr>
        <w:t xml:space="preserve">, </w:t>
      </w:r>
      <w:proofErr w:type="spellStart"/>
      <w:r>
        <w:rPr>
          <w:rFonts w:eastAsia="Palatino Linotype"/>
          <w:sz w:val="22"/>
          <w:szCs w:val="22"/>
          <w:lang w:val="es-ES"/>
        </w:rPr>
        <w:t>it</w:t>
      </w:r>
      <w:proofErr w:type="spellEnd"/>
      <w:r>
        <w:rPr>
          <w:rFonts w:eastAsia="Palatino Linotype"/>
          <w:sz w:val="22"/>
          <w:szCs w:val="22"/>
          <w:lang w:val="es-ES"/>
        </w:rPr>
        <w:t xml:space="preserve"> </w:t>
      </w:r>
      <w:proofErr w:type="spellStart"/>
      <w:r>
        <w:rPr>
          <w:rFonts w:eastAsia="Palatino Linotype"/>
          <w:sz w:val="22"/>
          <w:szCs w:val="22"/>
          <w:lang w:val="es-ES"/>
        </w:rPr>
        <w:t>also</w:t>
      </w:r>
      <w:proofErr w:type="spellEnd"/>
      <w:r>
        <w:rPr>
          <w:rFonts w:eastAsia="Palatino Linotype"/>
          <w:sz w:val="22"/>
          <w:szCs w:val="22"/>
          <w:lang w:val="es-ES"/>
        </w:rPr>
        <w:t xml:space="preserve"> </w:t>
      </w:r>
      <w:proofErr w:type="spellStart"/>
      <w:r>
        <w:rPr>
          <w:rFonts w:eastAsia="Palatino Linotype"/>
          <w:sz w:val="22"/>
          <w:szCs w:val="22"/>
          <w:lang w:val="es-ES"/>
        </w:rPr>
        <w:t>allows</w:t>
      </w:r>
      <w:proofErr w:type="spellEnd"/>
      <w:r>
        <w:rPr>
          <w:rFonts w:eastAsia="Palatino Linotype"/>
          <w:sz w:val="22"/>
          <w:szCs w:val="22"/>
          <w:lang w:val="es-ES"/>
        </w:rPr>
        <w:t xml:space="preserve"> </w:t>
      </w:r>
      <w:proofErr w:type="spellStart"/>
      <w:r>
        <w:rPr>
          <w:rFonts w:eastAsia="Palatino Linotype"/>
          <w:sz w:val="22"/>
          <w:szCs w:val="22"/>
          <w:lang w:val="es-ES"/>
        </w:rPr>
        <w:t>the</w:t>
      </w:r>
      <w:proofErr w:type="spellEnd"/>
      <w:r>
        <w:rPr>
          <w:rFonts w:eastAsia="Palatino Linotype"/>
          <w:sz w:val="22"/>
          <w:szCs w:val="22"/>
          <w:lang w:val="es-ES"/>
        </w:rPr>
        <w:t xml:space="preserve"> </w:t>
      </w:r>
      <w:proofErr w:type="spellStart"/>
      <w:r>
        <w:rPr>
          <w:rFonts w:eastAsia="Palatino Linotype"/>
          <w:sz w:val="22"/>
          <w:szCs w:val="22"/>
          <w:lang w:val="es-ES"/>
        </w:rPr>
        <w:t>requirements</w:t>
      </w:r>
      <w:proofErr w:type="spellEnd"/>
      <w:r>
        <w:rPr>
          <w:rFonts w:eastAsia="Palatino Linotype"/>
          <w:sz w:val="22"/>
          <w:szCs w:val="22"/>
          <w:lang w:val="es-ES"/>
        </w:rPr>
        <w:t xml:space="preserve"> </w:t>
      </w:r>
      <w:proofErr w:type="spellStart"/>
      <w:r>
        <w:rPr>
          <w:rFonts w:eastAsia="Palatino Linotype"/>
          <w:sz w:val="22"/>
          <w:szCs w:val="22"/>
          <w:lang w:val="es-ES"/>
        </w:rPr>
        <w:t>that</w:t>
      </w:r>
      <w:proofErr w:type="spellEnd"/>
      <w:r>
        <w:rPr>
          <w:rFonts w:eastAsia="Palatino Linotype"/>
          <w:sz w:val="22"/>
          <w:szCs w:val="22"/>
          <w:lang w:val="es-ES"/>
        </w:rPr>
        <w:t xml:space="preserve"> </w:t>
      </w:r>
      <w:proofErr w:type="spellStart"/>
      <w:r>
        <w:rPr>
          <w:rFonts w:eastAsia="Palatino Linotype"/>
          <w:sz w:val="22"/>
          <w:szCs w:val="22"/>
          <w:lang w:val="es-ES"/>
        </w:rPr>
        <w:t>originated</w:t>
      </w:r>
      <w:proofErr w:type="spellEnd"/>
      <w:r>
        <w:rPr>
          <w:rFonts w:eastAsia="Palatino Linotype"/>
          <w:sz w:val="22"/>
          <w:szCs w:val="22"/>
          <w:lang w:val="es-ES"/>
        </w:rPr>
        <w:t xml:space="preserve"> </w:t>
      </w:r>
      <w:proofErr w:type="spellStart"/>
      <w:r>
        <w:rPr>
          <w:rFonts w:eastAsia="Palatino Linotype"/>
          <w:sz w:val="22"/>
          <w:szCs w:val="22"/>
          <w:lang w:val="es-ES"/>
        </w:rPr>
        <w:t>the</w:t>
      </w:r>
      <w:proofErr w:type="spellEnd"/>
      <w:r>
        <w:rPr>
          <w:rFonts w:eastAsia="Palatino Linotype"/>
          <w:sz w:val="22"/>
          <w:szCs w:val="22"/>
          <w:lang w:val="es-ES"/>
        </w:rPr>
        <w:t xml:space="preserve"> </w:t>
      </w:r>
      <w:proofErr w:type="spellStart"/>
      <w:r>
        <w:rPr>
          <w:rFonts w:eastAsia="Palatino Linotype"/>
          <w:sz w:val="22"/>
          <w:szCs w:val="22"/>
          <w:lang w:val="es-ES"/>
        </w:rPr>
        <w:t>call</w:t>
      </w:r>
      <w:proofErr w:type="spellEnd"/>
      <w:r>
        <w:rPr>
          <w:rFonts w:eastAsia="Palatino Linotype"/>
          <w:sz w:val="22"/>
          <w:szCs w:val="22"/>
          <w:lang w:val="es-ES"/>
        </w:rPr>
        <w:t xml:space="preserve"> </w:t>
      </w:r>
      <w:proofErr w:type="spellStart"/>
      <w:r>
        <w:rPr>
          <w:rFonts w:eastAsia="Palatino Linotype"/>
          <w:sz w:val="22"/>
          <w:szCs w:val="22"/>
          <w:lang w:val="es-ES"/>
        </w:rPr>
        <w:t>to</w:t>
      </w:r>
      <w:proofErr w:type="spellEnd"/>
      <w:r>
        <w:rPr>
          <w:rFonts w:eastAsia="Palatino Linotype"/>
          <w:sz w:val="22"/>
          <w:szCs w:val="22"/>
          <w:lang w:val="es-ES"/>
        </w:rPr>
        <w:t xml:space="preserve"> be </w:t>
      </w:r>
      <w:proofErr w:type="spellStart"/>
      <w:r>
        <w:rPr>
          <w:rFonts w:eastAsia="Palatino Linotype"/>
          <w:sz w:val="22"/>
          <w:szCs w:val="22"/>
          <w:lang w:val="es-ES"/>
        </w:rPr>
        <w:t>met</w:t>
      </w:r>
      <w:proofErr w:type="spellEnd"/>
      <w:r>
        <w:rPr>
          <w:rFonts w:eastAsia="Palatino Linotype"/>
          <w:sz w:val="22"/>
          <w:szCs w:val="22"/>
          <w:lang w:val="es-ES"/>
        </w:rPr>
        <w:t>.</w:t>
      </w:r>
    </w:p>
    <w:p w14:paraId="71A228AD" w14:textId="77777777" w:rsidR="00E255F4" w:rsidRDefault="00E255F4">
      <w:pPr>
        <w:ind w:right="-142"/>
        <w:jc w:val="both"/>
        <w:rPr>
          <w:rFonts w:eastAsia="Palatino Linotype"/>
          <w:sz w:val="22"/>
          <w:szCs w:val="22"/>
          <w:lang w:val="es-ES"/>
        </w:rPr>
      </w:pPr>
    </w:p>
    <w:p w14:paraId="74FF6982" w14:textId="77777777" w:rsidR="00E255F4" w:rsidRDefault="00000000">
      <w:pPr>
        <w:ind w:right="-142"/>
        <w:jc w:val="both"/>
        <w:rPr>
          <w:rFonts w:eastAsia="Palatino Linotype"/>
          <w:sz w:val="22"/>
          <w:szCs w:val="22"/>
          <w:lang w:val="es-ES"/>
        </w:rPr>
      </w:pPr>
      <w:r>
        <w:rPr>
          <w:rFonts w:eastAsia="Palatino Linotype"/>
          <w:spacing w:val="-1"/>
          <w:sz w:val="22"/>
          <w:szCs w:val="22"/>
          <w:lang w:val="es-ES"/>
        </w:rPr>
        <w:t>b.</w:t>
      </w:r>
      <w:r>
        <w:rPr>
          <w:rFonts w:eastAsia="Palatino Linotype"/>
          <w:sz w:val="22"/>
          <w:szCs w:val="22"/>
          <w:lang w:val="es-ES"/>
        </w:rPr>
        <w:t xml:space="preserve"> </w:t>
      </w:r>
      <w:r>
        <w:rPr>
          <w:rFonts w:eastAsia="Palatino Linotype"/>
          <w:spacing w:val="3"/>
          <w:sz w:val="22"/>
          <w:szCs w:val="22"/>
          <w:lang w:val="es-ES"/>
        </w:rPr>
        <w:t xml:space="preserve">  </w:t>
      </w:r>
      <w:r>
        <w:rPr>
          <w:rFonts w:eastAsia="Palatino Linotype"/>
          <w:spacing w:val="3"/>
          <w:sz w:val="22"/>
          <w:szCs w:val="22"/>
          <w:lang w:val="es-ES"/>
        </w:rPr>
        <w:tab/>
      </w:r>
      <w:r>
        <w:rPr>
          <w:rFonts w:eastAsia="Palatino Linotype"/>
          <w:b/>
          <w:spacing w:val="5"/>
          <w:sz w:val="22"/>
          <w:szCs w:val="22"/>
          <w:lang w:val="es-ES"/>
        </w:rPr>
        <w:t>A</w:t>
      </w:r>
      <w:r>
        <w:rPr>
          <w:rFonts w:eastAsia="Palatino Linotype"/>
          <w:b/>
          <w:sz w:val="22"/>
          <w:szCs w:val="22"/>
          <w:lang w:val="es-ES"/>
        </w:rPr>
        <w:t xml:space="preserve">an alternative </w:t>
      </w:r>
      <w:proofErr w:type="spellStart"/>
      <w:r>
        <w:rPr>
          <w:rFonts w:eastAsia="Palatino Linotype"/>
          <w:b/>
          <w:sz w:val="22"/>
          <w:szCs w:val="22"/>
          <w:lang w:val="es-ES"/>
        </w:rPr>
        <w:t>solution</w:t>
      </w:r>
      <w:r>
        <w:rPr>
          <w:rFonts w:eastAsia="Palatino Linotype"/>
          <w:spacing w:val="5"/>
          <w:sz w:val="22"/>
          <w:szCs w:val="22"/>
          <w:lang w:val="es-ES"/>
        </w:rPr>
        <w:t>when</w:t>
      </w:r>
      <w:r>
        <w:rPr>
          <w:rFonts w:eastAsia="Palatino Linotype"/>
          <w:sz w:val="22"/>
          <w:szCs w:val="22"/>
          <w:lang w:val="es-ES"/>
        </w:rPr>
        <w:t>Since</w:t>
      </w:r>
      <w:proofErr w:type="spellEnd"/>
      <w:r>
        <w:rPr>
          <w:rFonts w:eastAsia="Palatino Linotype"/>
          <w:sz w:val="22"/>
          <w:szCs w:val="22"/>
          <w:lang w:val="es-ES"/>
        </w:rPr>
        <w:t xml:space="preserve"> </w:t>
      </w:r>
      <w:proofErr w:type="spellStart"/>
      <w:r>
        <w:rPr>
          <w:rFonts w:eastAsia="Palatino Linotype"/>
          <w:sz w:val="22"/>
          <w:szCs w:val="22"/>
          <w:lang w:val="es-ES"/>
        </w:rPr>
        <w:t>it</w:t>
      </w:r>
      <w:proofErr w:type="spellEnd"/>
      <w:r>
        <w:rPr>
          <w:rFonts w:eastAsia="Palatino Linotype"/>
          <w:sz w:val="22"/>
          <w:szCs w:val="22"/>
          <w:lang w:val="es-ES"/>
        </w:rPr>
        <w:t xml:space="preserve"> </w:t>
      </w:r>
      <w:proofErr w:type="spellStart"/>
      <w:r>
        <w:rPr>
          <w:rFonts w:eastAsia="Palatino Linotype"/>
          <w:sz w:val="22"/>
          <w:szCs w:val="22"/>
          <w:lang w:val="es-ES"/>
        </w:rPr>
        <w:t>is</w:t>
      </w:r>
      <w:proofErr w:type="spellEnd"/>
      <w:r>
        <w:rPr>
          <w:rFonts w:eastAsia="Palatino Linotype"/>
          <w:sz w:val="22"/>
          <w:szCs w:val="22"/>
          <w:lang w:val="es-ES"/>
        </w:rPr>
        <w:t xml:space="preserve"> </w:t>
      </w:r>
      <w:proofErr w:type="spellStart"/>
      <w:r>
        <w:rPr>
          <w:rFonts w:eastAsia="Palatino Linotype"/>
          <w:sz w:val="22"/>
          <w:szCs w:val="22"/>
          <w:lang w:val="es-ES"/>
        </w:rPr>
        <w:t>an</w:t>
      </w:r>
      <w:proofErr w:type="spellEnd"/>
      <w:r>
        <w:rPr>
          <w:rFonts w:eastAsia="Palatino Linotype"/>
          <w:sz w:val="22"/>
          <w:szCs w:val="22"/>
          <w:lang w:val="es-ES"/>
        </w:rPr>
        <w:t xml:space="preserve"> </w:t>
      </w:r>
      <w:proofErr w:type="spellStart"/>
      <w:r>
        <w:rPr>
          <w:rFonts w:eastAsia="Palatino Linotype"/>
          <w:sz w:val="22"/>
          <w:szCs w:val="22"/>
          <w:lang w:val="es-ES"/>
        </w:rPr>
        <w:t>option</w:t>
      </w:r>
      <w:proofErr w:type="spellEnd"/>
      <w:r>
        <w:rPr>
          <w:rFonts w:eastAsia="Palatino Linotype"/>
          <w:sz w:val="22"/>
          <w:szCs w:val="22"/>
          <w:lang w:val="es-ES"/>
        </w:rPr>
        <w:t xml:space="preserve">, </w:t>
      </w:r>
      <w:proofErr w:type="spellStart"/>
      <w:r>
        <w:rPr>
          <w:rFonts w:eastAsia="Palatino Linotype"/>
          <w:sz w:val="22"/>
          <w:szCs w:val="22"/>
          <w:lang w:val="es-ES"/>
        </w:rPr>
        <w:t>it</w:t>
      </w:r>
      <w:proofErr w:type="spellEnd"/>
      <w:r>
        <w:rPr>
          <w:rFonts w:eastAsia="Palatino Linotype"/>
          <w:sz w:val="22"/>
          <w:szCs w:val="22"/>
          <w:lang w:val="es-ES"/>
        </w:rPr>
        <w:t xml:space="preserve"> </w:t>
      </w:r>
      <w:proofErr w:type="spellStart"/>
      <w:r>
        <w:rPr>
          <w:rFonts w:eastAsia="Palatino Linotype"/>
          <w:sz w:val="22"/>
          <w:szCs w:val="22"/>
          <w:lang w:val="es-ES"/>
        </w:rPr>
        <w:t>also</w:t>
      </w:r>
      <w:proofErr w:type="spellEnd"/>
      <w:r>
        <w:rPr>
          <w:rFonts w:eastAsia="Palatino Linotype"/>
          <w:sz w:val="22"/>
          <w:szCs w:val="22"/>
          <w:lang w:val="es-ES"/>
        </w:rPr>
        <w:t xml:space="preserve"> </w:t>
      </w:r>
      <w:proofErr w:type="spellStart"/>
      <w:r>
        <w:rPr>
          <w:rFonts w:eastAsia="Palatino Linotype"/>
          <w:sz w:val="22"/>
          <w:szCs w:val="22"/>
          <w:lang w:val="es-ES"/>
        </w:rPr>
        <w:t>allows</w:t>
      </w:r>
      <w:proofErr w:type="spellEnd"/>
      <w:r>
        <w:rPr>
          <w:rFonts w:eastAsia="Palatino Linotype"/>
          <w:sz w:val="22"/>
          <w:szCs w:val="22"/>
          <w:lang w:val="es-ES"/>
        </w:rPr>
        <w:t xml:space="preserve"> </w:t>
      </w:r>
      <w:proofErr w:type="spellStart"/>
      <w:r>
        <w:rPr>
          <w:rFonts w:eastAsia="Palatino Linotype"/>
          <w:sz w:val="22"/>
          <w:szCs w:val="22"/>
          <w:lang w:val="es-ES"/>
        </w:rPr>
        <w:t>the</w:t>
      </w:r>
      <w:proofErr w:type="spellEnd"/>
      <w:r>
        <w:rPr>
          <w:rFonts w:eastAsia="Palatino Linotype"/>
          <w:sz w:val="22"/>
          <w:szCs w:val="22"/>
          <w:lang w:val="es-ES"/>
        </w:rPr>
        <w:t xml:space="preserve"> </w:t>
      </w:r>
      <w:proofErr w:type="spellStart"/>
      <w:r>
        <w:rPr>
          <w:rFonts w:eastAsia="Palatino Linotype"/>
          <w:sz w:val="22"/>
          <w:szCs w:val="22"/>
          <w:lang w:val="es-ES"/>
        </w:rPr>
        <w:t>requirements</w:t>
      </w:r>
      <w:proofErr w:type="spellEnd"/>
      <w:r>
        <w:rPr>
          <w:rFonts w:eastAsia="Palatino Linotype"/>
          <w:sz w:val="22"/>
          <w:szCs w:val="22"/>
          <w:lang w:val="es-ES"/>
        </w:rPr>
        <w:t xml:space="preserve"> </w:t>
      </w:r>
      <w:proofErr w:type="spellStart"/>
      <w:r>
        <w:rPr>
          <w:rFonts w:eastAsia="Palatino Linotype"/>
          <w:sz w:val="22"/>
          <w:szCs w:val="22"/>
          <w:lang w:val="es-ES"/>
        </w:rPr>
        <w:t>that</w:t>
      </w:r>
      <w:proofErr w:type="spellEnd"/>
      <w:r>
        <w:rPr>
          <w:rFonts w:eastAsia="Palatino Linotype"/>
          <w:sz w:val="22"/>
          <w:szCs w:val="22"/>
          <w:lang w:val="es-ES"/>
        </w:rPr>
        <w:t xml:space="preserve"> </w:t>
      </w:r>
      <w:proofErr w:type="spellStart"/>
      <w:r>
        <w:rPr>
          <w:rFonts w:eastAsia="Palatino Linotype"/>
          <w:sz w:val="22"/>
          <w:szCs w:val="22"/>
          <w:lang w:val="es-ES"/>
        </w:rPr>
        <w:t>originated</w:t>
      </w:r>
      <w:proofErr w:type="spellEnd"/>
      <w:r>
        <w:rPr>
          <w:rFonts w:eastAsia="Palatino Linotype"/>
          <w:sz w:val="22"/>
          <w:szCs w:val="22"/>
          <w:lang w:val="es-ES"/>
        </w:rPr>
        <w:t xml:space="preserve"> </w:t>
      </w:r>
      <w:proofErr w:type="spellStart"/>
      <w:r>
        <w:rPr>
          <w:rFonts w:eastAsia="Palatino Linotype"/>
          <w:sz w:val="22"/>
          <w:szCs w:val="22"/>
          <w:lang w:val="es-ES"/>
        </w:rPr>
        <w:t>the</w:t>
      </w:r>
      <w:proofErr w:type="spellEnd"/>
      <w:r>
        <w:rPr>
          <w:rFonts w:eastAsia="Palatino Linotype"/>
          <w:sz w:val="22"/>
          <w:szCs w:val="22"/>
          <w:lang w:val="es-ES"/>
        </w:rPr>
        <w:t xml:space="preserve"> </w:t>
      </w:r>
      <w:proofErr w:type="spellStart"/>
      <w:r>
        <w:rPr>
          <w:rFonts w:eastAsia="Palatino Linotype"/>
          <w:sz w:val="22"/>
          <w:szCs w:val="22"/>
          <w:lang w:val="es-ES"/>
        </w:rPr>
        <w:t>call</w:t>
      </w:r>
      <w:proofErr w:type="spellEnd"/>
      <w:r>
        <w:rPr>
          <w:rFonts w:eastAsia="Palatino Linotype"/>
          <w:sz w:val="22"/>
          <w:szCs w:val="22"/>
          <w:lang w:val="es-ES"/>
        </w:rPr>
        <w:t xml:space="preserve"> </w:t>
      </w:r>
      <w:proofErr w:type="spellStart"/>
      <w:r>
        <w:rPr>
          <w:rFonts w:eastAsia="Palatino Linotype"/>
          <w:sz w:val="22"/>
          <w:szCs w:val="22"/>
          <w:lang w:val="es-ES"/>
        </w:rPr>
        <w:t>to</w:t>
      </w:r>
      <w:proofErr w:type="spellEnd"/>
      <w:r>
        <w:rPr>
          <w:rFonts w:eastAsia="Palatino Linotype"/>
          <w:sz w:val="22"/>
          <w:szCs w:val="22"/>
          <w:lang w:val="es-ES"/>
        </w:rPr>
        <w:t xml:space="preserve"> be </w:t>
      </w:r>
      <w:proofErr w:type="spellStart"/>
      <w:r>
        <w:rPr>
          <w:rFonts w:eastAsia="Palatino Linotype"/>
          <w:sz w:val="22"/>
          <w:szCs w:val="22"/>
          <w:lang w:val="es-ES"/>
        </w:rPr>
        <w:t>met</w:t>
      </w:r>
      <w:proofErr w:type="spellEnd"/>
      <w:r>
        <w:rPr>
          <w:rFonts w:eastAsia="Palatino Linotype"/>
          <w:sz w:val="22"/>
          <w:szCs w:val="22"/>
          <w:lang w:val="es-ES"/>
        </w:rPr>
        <w:t xml:space="preserve">, </w:t>
      </w:r>
      <w:proofErr w:type="spellStart"/>
      <w:r>
        <w:rPr>
          <w:rFonts w:eastAsia="Palatino Linotype"/>
          <w:sz w:val="22"/>
          <w:szCs w:val="22"/>
          <w:lang w:val="es-ES"/>
        </w:rPr>
        <w:t>provided</w:t>
      </w:r>
      <w:proofErr w:type="spellEnd"/>
      <w:r>
        <w:rPr>
          <w:rFonts w:eastAsia="Palatino Linotype"/>
          <w:sz w:val="22"/>
          <w:szCs w:val="22"/>
          <w:lang w:val="es-ES"/>
        </w:rPr>
        <w:t xml:space="preserve"> </w:t>
      </w:r>
      <w:proofErr w:type="spellStart"/>
      <w:r>
        <w:rPr>
          <w:rFonts w:eastAsia="Palatino Linotype"/>
          <w:sz w:val="22"/>
          <w:szCs w:val="22"/>
          <w:lang w:val="es-ES"/>
        </w:rPr>
        <w:t>that</w:t>
      </w:r>
      <w:proofErr w:type="spellEnd"/>
      <w:r>
        <w:rPr>
          <w:rFonts w:eastAsia="Palatino Linotype"/>
          <w:sz w:val="22"/>
          <w:szCs w:val="22"/>
          <w:lang w:val="es-ES"/>
        </w:rPr>
        <w:t xml:space="preserve"> </w:t>
      </w:r>
      <w:proofErr w:type="spellStart"/>
      <w:r>
        <w:rPr>
          <w:rFonts w:eastAsia="Palatino Linotype"/>
          <w:sz w:val="22"/>
          <w:szCs w:val="22"/>
          <w:lang w:val="es-ES"/>
        </w:rPr>
        <w:t>it</w:t>
      </w:r>
      <w:proofErr w:type="spellEnd"/>
      <w:r>
        <w:rPr>
          <w:rFonts w:eastAsia="Palatino Linotype"/>
          <w:sz w:val="22"/>
          <w:szCs w:val="22"/>
          <w:lang w:val="es-ES"/>
        </w:rPr>
        <w:t xml:space="preserve"> </w:t>
      </w:r>
      <w:proofErr w:type="spellStart"/>
      <w:r>
        <w:rPr>
          <w:rFonts w:eastAsia="Palatino Linotype"/>
          <w:sz w:val="22"/>
          <w:szCs w:val="22"/>
          <w:lang w:val="es-ES"/>
        </w:rPr>
        <w:t>does</w:t>
      </w:r>
      <w:proofErr w:type="spellEnd"/>
      <w:r>
        <w:rPr>
          <w:rFonts w:eastAsia="Palatino Linotype"/>
          <w:sz w:val="22"/>
          <w:szCs w:val="22"/>
          <w:lang w:val="es-ES"/>
        </w:rPr>
        <w:t xml:space="preserve"> </w:t>
      </w:r>
      <w:proofErr w:type="spellStart"/>
      <w:r>
        <w:rPr>
          <w:rFonts w:eastAsia="Palatino Linotype"/>
          <w:sz w:val="22"/>
          <w:szCs w:val="22"/>
          <w:lang w:val="es-ES"/>
        </w:rPr>
        <w:t>not</w:t>
      </w:r>
      <w:proofErr w:type="spellEnd"/>
      <w:r>
        <w:rPr>
          <w:rFonts w:eastAsia="Palatino Linotype"/>
          <w:sz w:val="22"/>
          <w:szCs w:val="22"/>
          <w:lang w:val="es-ES"/>
        </w:rPr>
        <w:t xml:space="preserve"> </w:t>
      </w:r>
      <w:proofErr w:type="spellStart"/>
      <w:r>
        <w:rPr>
          <w:rFonts w:eastAsia="Palatino Linotype"/>
          <w:sz w:val="22"/>
          <w:szCs w:val="22"/>
          <w:lang w:val="es-ES"/>
        </w:rPr>
        <w:t>undermine</w:t>
      </w:r>
      <w:proofErr w:type="spellEnd"/>
      <w:r>
        <w:rPr>
          <w:rFonts w:eastAsia="Palatino Linotype"/>
          <w:sz w:val="22"/>
          <w:szCs w:val="22"/>
          <w:lang w:val="es-ES"/>
        </w:rPr>
        <w:t xml:space="preserve"> </w:t>
      </w:r>
      <w:proofErr w:type="spellStart"/>
      <w:r>
        <w:rPr>
          <w:rFonts w:eastAsia="Palatino Linotype"/>
          <w:sz w:val="22"/>
          <w:szCs w:val="22"/>
          <w:lang w:val="es-ES"/>
        </w:rPr>
        <w:t>the</w:t>
      </w:r>
      <w:proofErr w:type="spellEnd"/>
      <w:r>
        <w:rPr>
          <w:rFonts w:eastAsia="Palatino Linotype"/>
          <w:sz w:val="22"/>
          <w:szCs w:val="22"/>
          <w:lang w:val="es-ES"/>
        </w:rPr>
        <w:t xml:space="preserve"> </w:t>
      </w:r>
      <w:proofErr w:type="spellStart"/>
      <w:r>
        <w:rPr>
          <w:rFonts w:eastAsia="Palatino Linotype"/>
          <w:sz w:val="22"/>
          <w:szCs w:val="22"/>
          <w:lang w:val="es-ES"/>
        </w:rPr>
        <w:t>prevailing</w:t>
      </w:r>
      <w:proofErr w:type="spellEnd"/>
      <w:r>
        <w:rPr>
          <w:rFonts w:eastAsia="Palatino Linotype"/>
          <w:sz w:val="22"/>
          <w:szCs w:val="22"/>
          <w:lang w:val="es-ES"/>
        </w:rPr>
        <w:t xml:space="preserve"> </w:t>
      </w:r>
      <w:proofErr w:type="spellStart"/>
      <w:r>
        <w:rPr>
          <w:rFonts w:eastAsia="Palatino Linotype"/>
          <w:sz w:val="22"/>
          <w:szCs w:val="22"/>
          <w:lang w:val="es-ES"/>
        </w:rPr>
        <w:t>principles</w:t>
      </w:r>
      <w:proofErr w:type="spellEnd"/>
      <w:r>
        <w:rPr>
          <w:rFonts w:eastAsia="Palatino Linotype"/>
          <w:sz w:val="22"/>
          <w:szCs w:val="22"/>
          <w:lang w:val="es-ES"/>
        </w:rPr>
        <w:t xml:space="preserve"> in </w:t>
      </w:r>
      <w:proofErr w:type="spellStart"/>
      <w:r>
        <w:rPr>
          <w:rFonts w:eastAsia="Palatino Linotype"/>
          <w:sz w:val="22"/>
          <w:szCs w:val="22"/>
          <w:lang w:val="es-ES"/>
        </w:rPr>
        <w:t>public</w:t>
      </w:r>
      <w:proofErr w:type="spellEnd"/>
      <w:r>
        <w:rPr>
          <w:rFonts w:eastAsia="Palatino Linotype"/>
          <w:sz w:val="22"/>
          <w:szCs w:val="22"/>
          <w:lang w:val="es-ES"/>
        </w:rPr>
        <w:t xml:space="preserve"> </w:t>
      </w:r>
      <w:proofErr w:type="spellStart"/>
      <w:r>
        <w:rPr>
          <w:rFonts w:eastAsia="Palatino Linotype"/>
          <w:sz w:val="22"/>
          <w:szCs w:val="22"/>
          <w:lang w:val="es-ES"/>
        </w:rPr>
        <w:t>procurement</w:t>
      </w:r>
      <w:proofErr w:type="spellEnd"/>
      <w:r>
        <w:rPr>
          <w:rFonts w:eastAsia="Palatino Linotype"/>
          <w:sz w:val="22"/>
          <w:szCs w:val="22"/>
          <w:lang w:val="es-ES"/>
        </w:rPr>
        <w:t>.</w:t>
      </w:r>
    </w:p>
    <w:p w14:paraId="057F9964" w14:textId="77777777" w:rsidR="00E255F4" w:rsidRDefault="00E255F4">
      <w:pPr>
        <w:ind w:right="-142"/>
        <w:jc w:val="both"/>
        <w:rPr>
          <w:rFonts w:eastAsia="Palatino Linotype"/>
          <w:sz w:val="22"/>
          <w:szCs w:val="22"/>
          <w:lang w:val="es-ES"/>
        </w:rPr>
      </w:pPr>
    </w:p>
    <w:p w14:paraId="0B2C39DE" w14:textId="77777777" w:rsidR="00E255F4" w:rsidRDefault="00000000">
      <w:pPr>
        <w:ind w:right="-142"/>
        <w:jc w:val="both"/>
      </w:pPr>
      <w:r>
        <w:rPr>
          <w:rFonts w:eastAsia="Palatino Linotype"/>
          <w:spacing w:val="-1"/>
          <w:sz w:val="22"/>
          <w:szCs w:val="22"/>
          <w:lang w:val="es-ES"/>
        </w:rPr>
        <w:t>c.</w:t>
      </w:r>
      <w:r>
        <w:rPr>
          <w:rFonts w:eastAsia="Palatino Linotype"/>
          <w:sz w:val="22"/>
          <w:szCs w:val="22"/>
          <w:lang w:val="es-ES"/>
        </w:rPr>
        <w:t xml:space="preserve">   </w:t>
      </w:r>
      <w:r>
        <w:rPr>
          <w:rFonts w:eastAsia="Palatino Linotype"/>
          <w:sz w:val="22"/>
          <w:szCs w:val="22"/>
          <w:lang w:val="es-ES"/>
        </w:rPr>
        <w:tab/>
      </w:r>
      <w:proofErr w:type="spellStart"/>
      <w:r>
        <w:rPr>
          <w:rFonts w:eastAsia="Palatino Linotype"/>
          <w:b/>
          <w:spacing w:val="5"/>
          <w:sz w:val="22"/>
          <w:szCs w:val="22"/>
          <w:lang w:val="es-ES"/>
        </w:rPr>
        <w:t>A</w:t>
      </w:r>
      <w:r>
        <w:rPr>
          <w:rFonts w:eastAsia="Palatino Linotype"/>
          <w:b/>
          <w:sz w:val="22"/>
          <w:szCs w:val="22"/>
          <w:lang w:val="es-ES"/>
        </w:rPr>
        <w:t>a</w:t>
      </w:r>
      <w:proofErr w:type="spellEnd"/>
      <w:r>
        <w:rPr>
          <w:rFonts w:eastAsia="Palatino Linotype"/>
          <w:b/>
          <w:sz w:val="22"/>
          <w:szCs w:val="22"/>
          <w:lang w:val="es-ES"/>
        </w:rPr>
        <w:t xml:space="preserve"> </w:t>
      </w:r>
      <w:proofErr w:type="spellStart"/>
      <w:r>
        <w:rPr>
          <w:rFonts w:eastAsia="Palatino Linotype"/>
          <w:b/>
          <w:sz w:val="22"/>
          <w:szCs w:val="22"/>
          <w:lang w:val="es-ES"/>
        </w:rPr>
        <w:t>variant</w:t>
      </w:r>
      <w:r>
        <w:rPr>
          <w:rFonts w:eastAsia="Palatino Linotype"/>
          <w:spacing w:val="5"/>
          <w:sz w:val="22"/>
          <w:szCs w:val="22"/>
          <w:lang w:val="es-ES"/>
        </w:rPr>
        <w:t>when</w:t>
      </w:r>
      <w:proofErr w:type="spellEnd"/>
      <w:r>
        <w:rPr>
          <w:rFonts w:eastAsia="Palatino Linotype"/>
          <w:sz w:val="22"/>
          <w:szCs w:val="22"/>
          <w:lang w:val="es-ES"/>
        </w:rPr>
        <w:t xml:space="preserve">, </w:t>
      </w:r>
      <w:proofErr w:type="spellStart"/>
      <w:r>
        <w:rPr>
          <w:rFonts w:eastAsia="Palatino Linotype"/>
          <w:sz w:val="22"/>
          <w:szCs w:val="22"/>
          <w:lang w:val="es-ES"/>
        </w:rPr>
        <w:t>the</w:t>
      </w:r>
      <w:proofErr w:type="spellEnd"/>
      <w:r>
        <w:rPr>
          <w:rFonts w:eastAsia="Palatino Linotype"/>
          <w:sz w:val="22"/>
          <w:szCs w:val="22"/>
          <w:lang w:val="es-ES"/>
        </w:rPr>
        <w:t xml:space="preserve"> </w:t>
      </w:r>
      <w:proofErr w:type="spellStart"/>
      <w:r>
        <w:rPr>
          <w:rFonts w:eastAsia="Palatino Linotype"/>
          <w:sz w:val="22"/>
          <w:szCs w:val="22"/>
          <w:lang w:val="es-ES"/>
        </w:rPr>
        <w:t>same</w:t>
      </w:r>
      <w:proofErr w:type="spellEnd"/>
      <w:r>
        <w:rPr>
          <w:rFonts w:eastAsia="Palatino Linotype"/>
          <w:sz w:val="22"/>
          <w:szCs w:val="22"/>
          <w:lang w:val="es-ES"/>
        </w:rPr>
        <w:t xml:space="preserve"> </w:t>
      </w:r>
      <w:proofErr w:type="spellStart"/>
      <w:r>
        <w:rPr>
          <w:rFonts w:eastAsia="Palatino Linotype"/>
          <w:sz w:val="22"/>
          <w:szCs w:val="22"/>
          <w:lang w:val="es-ES"/>
        </w:rPr>
        <w:t>present</w:t>
      </w:r>
      <w:proofErr w:type="spellEnd"/>
      <w:r>
        <w:rPr>
          <w:rFonts w:eastAsia="Palatino Linotype"/>
          <w:sz w:val="22"/>
          <w:szCs w:val="22"/>
          <w:lang w:val="es-ES"/>
        </w:rPr>
        <w:t xml:space="preserve"> </w:t>
      </w:r>
      <w:proofErr w:type="spellStart"/>
      <w:r>
        <w:rPr>
          <w:rFonts w:eastAsia="Palatino Linotype"/>
          <w:sz w:val="22"/>
          <w:szCs w:val="22"/>
          <w:lang w:val="es-ES"/>
        </w:rPr>
        <w:t>variety</w:t>
      </w:r>
      <w:proofErr w:type="spellEnd"/>
      <w:r>
        <w:rPr>
          <w:rFonts w:eastAsia="Palatino Linotype"/>
          <w:sz w:val="22"/>
          <w:szCs w:val="22"/>
          <w:lang w:val="es-ES"/>
        </w:rPr>
        <w:t xml:space="preserve"> </w:t>
      </w:r>
      <w:proofErr w:type="spellStart"/>
      <w:r>
        <w:rPr>
          <w:rFonts w:eastAsia="Palatino Linotype"/>
          <w:sz w:val="22"/>
          <w:szCs w:val="22"/>
          <w:lang w:val="es-ES"/>
        </w:rPr>
        <w:t>or</w:t>
      </w:r>
      <w:proofErr w:type="spellEnd"/>
      <w:r>
        <w:rPr>
          <w:rFonts w:eastAsia="Palatino Linotype"/>
          <w:sz w:val="22"/>
          <w:szCs w:val="22"/>
          <w:lang w:val="es-ES"/>
        </w:rPr>
        <w:t xml:space="preserve"> </w:t>
      </w:r>
      <w:proofErr w:type="spellStart"/>
      <w:r>
        <w:rPr>
          <w:rFonts w:eastAsia="Palatino Linotype"/>
          <w:sz w:val="22"/>
          <w:szCs w:val="22"/>
          <w:lang w:val="es-ES"/>
        </w:rPr>
        <w:t>difference</w:t>
      </w:r>
      <w:proofErr w:type="spellEnd"/>
      <w:r>
        <w:rPr>
          <w:rFonts w:eastAsia="Palatino Linotype"/>
          <w:sz w:val="22"/>
          <w:szCs w:val="22"/>
          <w:lang w:val="es-ES"/>
        </w:rPr>
        <w:t xml:space="preserve">, </w:t>
      </w:r>
      <w:proofErr w:type="spellStart"/>
      <w:r>
        <w:rPr>
          <w:rFonts w:eastAsia="Palatino Linotype"/>
          <w:sz w:val="22"/>
          <w:szCs w:val="22"/>
          <w:lang w:val="es-ES"/>
        </w:rPr>
        <w:t>but</w:t>
      </w:r>
      <w:proofErr w:type="spellEnd"/>
      <w:r>
        <w:rPr>
          <w:rFonts w:eastAsia="Palatino Linotype"/>
          <w:sz w:val="22"/>
          <w:szCs w:val="22"/>
          <w:lang w:val="es-ES"/>
        </w:rPr>
        <w:t xml:space="preserve"> </w:t>
      </w:r>
      <w:proofErr w:type="spellStart"/>
      <w:r>
        <w:rPr>
          <w:rFonts w:eastAsia="Palatino Linotype"/>
          <w:sz w:val="22"/>
          <w:szCs w:val="22"/>
          <w:lang w:val="es-ES"/>
        </w:rPr>
        <w:t>maintaining</w:t>
      </w:r>
      <w:proofErr w:type="spellEnd"/>
      <w:r>
        <w:rPr>
          <w:rFonts w:eastAsia="Palatino Linotype"/>
          <w:sz w:val="22"/>
          <w:szCs w:val="22"/>
          <w:lang w:val="es-ES"/>
        </w:rPr>
        <w:t xml:space="preserve"> </w:t>
      </w:r>
      <w:proofErr w:type="spellStart"/>
      <w:r>
        <w:rPr>
          <w:rFonts w:eastAsia="Palatino Linotype"/>
          <w:sz w:val="22"/>
          <w:szCs w:val="22"/>
          <w:lang w:val="es-ES"/>
        </w:rPr>
        <w:t>the</w:t>
      </w:r>
      <w:proofErr w:type="spellEnd"/>
      <w:r>
        <w:rPr>
          <w:rFonts w:eastAsia="Palatino Linotype"/>
          <w:sz w:val="22"/>
          <w:szCs w:val="22"/>
          <w:lang w:val="es-ES"/>
        </w:rPr>
        <w:t xml:space="preserve"> </w:t>
      </w:r>
      <w:proofErr w:type="spellStart"/>
      <w:r>
        <w:rPr>
          <w:rFonts w:eastAsia="Palatino Linotype"/>
          <w:sz w:val="22"/>
          <w:szCs w:val="22"/>
          <w:lang w:val="es-ES"/>
        </w:rPr>
        <w:t>identity</w:t>
      </w:r>
      <w:proofErr w:type="spellEnd"/>
      <w:r>
        <w:rPr>
          <w:rFonts w:eastAsia="Palatino Linotype"/>
          <w:sz w:val="22"/>
          <w:szCs w:val="22"/>
          <w:lang w:val="es-ES"/>
        </w:rPr>
        <w:t xml:space="preserve"> </w:t>
      </w:r>
      <w:proofErr w:type="spellStart"/>
      <w:r>
        <w:rPr>
          <w:rFonts w:eastAsia="Palatino Linotype"/>
          <w:sz w:val="22"/>
          <w:szCs w:val="22"/>
          <w:lang w:val="es-ES"/>
        </w:rPr>
        <w:t>of</w:t>
      </w:r>
      <w:proofErr w:type="spellEnd"/>
      <w:r>
        <w:rPr>
          <w:rFonts w:eastAsia="Palatino Linotype"/>
          <w:sz w:val="22"/>
          <w:szCs w:val="22"/>
          <w:lang w:val="es-ES"/>
        </w:rPr>
        <w:t xml:space="preserve"> </w:t>
      </w:r>
      <w:proofErr w:type="spellStart"/>
      <w:r>
        <w:rPr>
          <w:rFonts w:eastAsia="Palatino Linotype"/>
          <w:sz w:val="22"/>
          <w:szCs w:val="22"/>
          <w:lang w:val="es-ES"/>
        </w:rPr>
        <w:t>the</w:t>
      </w:r>
      <w:proofErr w:type="spellEnd"/>
      <w:r>
        <w:rPr>
          <w:rFonts w:eastAsia="Palatino Linotype"/>
          <w:sz w:val="22"/>
          <w:szCs w:val="22"/>
          <w:lang w:val="es-ES"/>
        </w:rPr>
        <w:t xml:space="preserve"> </w:t>
      </w:r>
      <w:proofErr w:type="spellStart"/>
      <w:r>
        <w:rPr>
          <w:rFonts w:eastAsia="Palatino Linotype"/>
          <w:sz w:val="22"/>
          <w:szCs w:val="22"/>
          <w:lang w:val="es-ES"/>
        </w:rPr>
        <w:t>tendered</w:t>
      </w:r>
      <w:proofErr w:type="spellEnd"/>
      <w:r>
        <w:rPr>
          <w:rFonts w:eastAsia="Palatino Linotype"/>
          <w:sz w:val="22"/>
          <w:szCs w:val="22"/>
          <w:lang w:val="es-ES"/>
        </w:rPr>
        <w:t xml:space="preserve"> </w:t>
      </w:r>
      <w:proofErr w:type="spellStart"/>
      <w:r>
        <w:rPr>
          <w:rFonts w:eastAsia="Palatino Linotype"/>
          <w:sz w:val="22"/>
          <w:szCs w:val="22"/>
          <w:lang w:val="es-ES"/>
        </w:rPr>
        <w:t>object</w:t>
      </w:r>
      <w:proofErr w:type="spellEnd"/>
      <w:r>
        <w:rPr>
          <w:rFonts w:eastAsia="Palatino Linotype"/>
          <w:sz w:val="22"/>
          <w:szCs w:val="22"/>
          <w:lang w:val="es-ES"/>
        </w:rPr>
        <w:t>.</w:t>
      </w:r>
    </w:p>
    <w:p w14:paraId="3AB4B764" w14:textId="77777777" w:rsidR="00E255F4" w:rsidRDefault="00E255F4">
      <w:pPr>
        <w:rPr>
          <w:rFonts w:eastAsia="Palatino Linotype"/>
          <w:sz w:val="22"/>
          <w:szCs w:val="22"/>
          <w:lang w:val="es-ES"/>
        </w:rPr>
      </w:pPr>
    </w:p>
    <w:p w14:paraId="41EC4494" w14:textId="77777777" w:rsidR="00E255F4" w:rsidRDefault="00000000">
      <w:pPr>
        <w:ind w:right="-142"/>
        <w:jc w:val="both"/>
        <w:outlineLvl w:val="0"/>
        <w:rPr>
          <w:rFonts w:eastAsia="Palatino Linotype"/>
          <w:b/>
          <w:spacing w:val="-1"/>
          <w:sz w:val="22"/>
          <w:szCs w:val="22"/>
          <w:lang w:val="es-ES"/>
        </w:rPr>
      </w:pPr>
      <w:bookmarkStart w:id="27" w:name="__RefHeading___Toc225377204"/>
      <w:bookmarkEnd w:id="27"/>
      <w:r>
        <w:rPr>
          <w:rFonts w:eastAsia="Palatino Linotype"/>
          <w:b/>
          <w:spacing w:val="-1"/>
          <w:sz w:val="22"/>
          <w:szCs w:val="22"/>
          <w:lang w:val="es-ES"/>
        </w:rPr>
        <w:t xml:space="preserve">10.3 Price and </w:t>
      </w:r>
      <w:proofErr w:type="spellStart"/>
      <w:r>
        <w:rPr>
          <w:rFonts w:eastAsia="Palatino Linotype"/>
          <w:b/>
          <w:spacing w:val="-1"/>
          <w:sz w:val="22"/>
          <w:szCs w:val="22"/>
          <w:lang w:val="es-ES"/>
        </w:rPr>
        <w:t>quotation</w:t>
      </w:r>
      <w:proofErr w:type="spellEnd"/>
      <w:r>
        <w:rPr>
          <w:rFonts w:eastAsia="Palatino Linotype"/>
          <w:b/>
          <w:spacing w:val="-1"/>
          <w:sz w:val="22"/>
          <w:szCs w:val="22"/>
          <w:lang w:val="es-ES"/>
        </w:rPr>
        <w:tab/>
      </w:r>
    </w:p>
    <w:p w14:paraId="200FC606" w14:textId="77777777" w:rsidR="00E255F4" w:rsidRDefault="00E255F4">
      <w:pPr>
        <w:ind w:right="-142"/>
        <w:jc w:val="both"/>
        <w:rPr>
          <w:rFonts w:eastAsia="Palatino Linotype"/>
          <w:b/>
          <w:spacing w:val="-2"/>
          <w:sz w:val="22"/>
          <w:szCs w:val="22"/>
          <w:lang w:val="es-ES"/>
        </w:rPr>
      </w:pPr>
    </w:p>
    <w:p w14:paraId="182C8902" w14:textId="77777777" w:rsidR="00E255F4" w:rsidRDefault="00000000">
      <w:pPr>
        <w:ind w:right="-142"/>
        <w:jc w:val="both"/>
        <w:rPr>
          <w:rFonts w:eastAsia="Palatino Linotype"/>
          <w:sz w:val="22"/>
          <w:szCs w:val="22"/>
          <w:lang w:val="es-ES"/>
        </w:rPr>
      </w:pPr>
      <w:proofErr w:type="spellStart"/>
      <w:r>
        <w:rPr>
          <w:rFonts w:eastAsia="Palatino Linotype"/>
          <w:spacing w:val="-2"/>
          <w:sz w:val="22"/>
          <w:szCs w:val="22"/>
          <w:lang w:val="es-ES"/>
        </w:rPr>
        <w:t>AND</w:t>
      </w:r>
      <w:r>
        <w:rPr>
          <w:rFonts w:eastAsia="Palatino Linotype"/>
          <w:sz w:val="22"/>
          <w:szCs w:val="22"/>
          <w:lang w:val="es-ES"/>
        </w:rPr>
        <w:t>The</w:t>
      </w:r>
      <w:proofErr w:type="spellEnd"/>
      <w:r>
        <w:rPr>
          <w:rFonts w:eastAsia="Palatino Linotype"/>
          <w:sz w:val="22"/>
          <w:szCs w:val="22"/>
          <w:lang w:val="es-ES"/>
        </w:rPr>
        <w:t xml:space="preserve"> Special </w:t>
      </w:r>
      <w:proofErr w:type="spellStart"/>
      <w:r>
        <w:rPr>
          <w:rFonts w:eastAsia="Palatino Linotype"/>
          <w:sz w:val="22"/>
          <w:szCs w:val="22"/>
          <w:lang w:val="es-ES"/>
        </w:rPr>
        <w:t>Specifications</w:t>
      </w:r>
      <w:proofErr w:type="spellEnd"/>
      <w:r>
        <w:rPr>
          <w:rFonts w:eastAsia="Palatino Linotype"/>
          <w:sz w:val="22"/>
          <w:szCs w:val="22"/>
          <w:lang w:val="es-ES"/>
        </w:rPr>
        <w:t xml:space="preserve"> </w:t>
      </w:r>
      <w:proofErr w:type="spellStart"/>
      <w:r>
        <w:rPr>
          <w:rFonts w:eastAsia="Palatino Linotype"/>
          <w:sz w:val="22"/>
          <w:szCs w:val="22"/>
          <w:lang w:val="es-ES"/>
        </w:rPr>
        <w:t>will</w:t>
      </w:r>
      <w:proofErr w:type="spellEnd"/>
      <w:r>
        <w:rPr>
          <w:rFonts w:eastAsia="Palatino Linotype"/>
          <w:sz w:val="22"/>
          <w:szCs w:val="22"/>
          <w:lang w:val="es-ES"/>
        </w:rPr>
        <w:t xml:space="preserve"> </w:t>
      </w:r>
      <w:proofErr w:type="spellStart"/>
      <w:r>
        <w:rPr>
          <w:rFonts w:eastAsia="Palatino Linotype"/>
          <w:sz w:val="22"/>
          <w:szCs w:val="22"/>
          <w:lang w:val="es-ES"/>
        </w:rPr>
        <w:t>establish</w:t>
      </w:r>
      <w:proofErr w:type="spellEnd"/>
      <w:r>
        <w:rPr>
          <w:rFonts w:eastAsia="Palatino Linotype"/>
          <w:sz w:val="22"/>
          <w:szCs w:val="22"/>
          <w:lang w:val="es-ES"/>
        </w:rPr>
        <w:t xml:space="preserve"> </w:t>
      </w:r>
      <w:proofErr w:type="spellStart"/>
      <w:r>
        <w:rPr>
          <w:rFonts w:eastAsia="Palatino Linotype"/>
          <w:sz w:val="22"/>
          <w:szCs w:val="22"/>
          <w:lang w:val="es-ES"/>
        </w:rPr>
        <w:t>the</w:t>
      </w:r>
      <w:proofErr w:type="spellEnd"/>
      <w:r>
        <w:rPr>
          <w:rFonts w:eastAsia="Palatino Linotype"/>
          <w:sz w:val="22"/>
          <w:szCs w:val="22"/>
          <w:lang w:val="es-ES"/>
        </w:rPr>
        <w:t xml:space="preserve"> </w:t>
      </w:r>
      <w:proofErr w:type="spellStart"/>
      <w:r>
        <w:rPr>
          <w:rFonts w:eastAsia="Palatino Linotype"/>
          <w:sz w:val="22"/>
          <w:szCs w:val="22"/>
          <w:lang w:val="es-ES"/>
        </w:rPr>
        <w:t>conditions</w:t>
      </w:r>
      <w:proofErr w:type="spellEnd"/>
      <w:r>
        <w:rPr>
          <w:rFonts w:eastAsia="Palatino Linotype"/>
          <w:sz w:val="22"/>
          <w:szCs w:val="22"/>
          <w:lang w:val="es-ES"/>
        </w:rPr>
        <w:t xml:space="preserve"> </w:t>
      </w:r>
      <w:proofErr w:type="spellStart"/>
      <w:r>
        <w:rPr>
          <w:rFonts w:eastAsia="Palatino Linotype"/>
          <w:sz w:val="22"/>
          <w:szCs w:val="22"/>
          <w:lang w:val="es-ES"/>
        </w:rPr>
        <w:t>of</w:t>
      </w:r>
      <w:proofErr w:type="spellEnd"/>
      <w:r>
        <w:rPr>
          <w:rFonts w:eastAsia="Palatino Linotype"/>
          <w:sz w:val="22"/>
          <w:szCs w:val="22"/>
          <w:lang w:val="es-ES"/>
        </w:rPr>
        <w:t xml:space="preserve"> </w:t>
      </w:r>
      <w:proofErr w:type="spellStart"/>
      <w:r>
        <w:rPr>
          <w:rFonts w:eastAsia="Palatino Linotype"/>
          <w:sz w:val="22"/>
          <w:szCs w:val="22"/>
          <w:lang w:val="es-ES"/>
        </w:rPr>
        <w:t>purchase</w:t>
      </w:r>
      <w:proofErr w:type="spellEnd"/>
      <w:r>
        <w:rPr>
          <w:rFonts w:eastAsia="Palatino Linotype"/>
          <w:sz w:val="22"/>
          <w:szCs w:val="22"/>
          <w:lang w:val="es-ES"/>
        </w:rPr>
        <w:t xml:space="preserve"> </w:t>
      </w:r>
      <w:proofErr w:type="spellStart"/>
      <w:r>
        <w:rPr>
          <w:rFonts w:eastAsia="Palatino Linotype"/>
          <w:sz w:val="22"/>
          <w:szCs w:val="22"/>
          <w:lang w:val="es-ES"/>
        </w:rPr>
        <w:t>locally</w:t>
      </w:r>
      <w:proofErr w:type="spellEnd"/>
      <w:r>
        <w:rPr>
          <w:rFonts w:eastAsia="Palatino Linotype"/>
          <w:sz w:val="22"/>
          <w:szCs w:val="22"/>
          <w:lang w:val="es-ES"/>
        </w:rPr>
        <w:t xml:space="preserve">, </w:t>
      </w:r>
      <w:proofErr w:type="spellStart"/>
      <w:r>
        <w:rPr>
          <w:rFonts w:eastAsia="Palatino Linotype"/>
          <w:sz w:val="22"/>
          <w:szCs w:val="22"/>
          <w:lang w:val="es-ES"/>
        </w:rPr>
        <w:t>abroad</w:t>
      </w:r>
      <w:proofErr w:type="spellEnd"/>
      <w:r>
        <w:rPr>
          <w:rFonts w:eastAsia="Palatino Linotype"/>
          <w:sz w:val="22"/>
          <w:szCs w:val="22"/>
          <w:lang w:val="es-ES"/>
        </w:rPr>
        <w:t xml:space="preserve"> </w:t>
      </w:r>
      <w:proofErr w:type="spellStart"/>
      <w:r>
        <w:rPr>
          <w:rFonts w:eastAsia="Palatino Linotype"/>
          <w:sz w:val="22"/>
          <w:szCs w:val="22"/>
          <w:lang w:val="es-ES"/>
        </w:rPr>
        <w:t>or</w:t>
      </w:r>
      <w:proofErr w:type="spellEnd"/>
      <w:r>
        <w:rPr>
          <w:rFonts w:eastAsia="Palatino Linotype"/>
          <w:sz w:val="22"/>
          <w:szCs w:val="22"/>
          <w:lang w:val="es-ES"/>
        </w:rPr>
        <w:t xml:space="preserve"> </w:t>
      </w:r>
      <w:proofErr w:type="spellStart"/>
      <w:r>
        <w:rPr>
          <w:rFonts w:eastAsia="Palatino Linotype"/>
          <w:sz w:val="22"/>
          <w:szCs w:val="22"/>
          <w:lang w:val="es-ES"/>
        </w:rPr>
        <w:t>interchangeably</w:t>
      </w:r>
      <w:proofErr w:type="spellEnd"/>
      <w:r>
        <w:rPr>
          <w:rFonts w:eastAsia="Palatino Linotype"/>
          <w:sz w:val="22"/>
          <w:szCs w:val="22"/>
          <w:lang w:val="es-ES"/>
        </w:rPr>
        <w:t xml:space="preserve">, </w:t>
      </w:r>
      <w:proofErr w:type="spellStart"/>
      <w:r>
        <w:rPr>
          <w:rFonts w:eastAsia="Palatino Linotype"/>
          <w:sz w:val="22"/>
          <w:szCs w:val="22"/>
          <w:lang w:val="es-ES"/>
        </w:rPr>
        <w:t>governed</w:t>
      </w:r>
      <w:proofErr w:type="spellEnd"/>
      <w:r>
        <w:rPr>
          <w:rFonts w:eastAsia="Palatino Linotype"/>
          <w:sz w:val="22"/>
          <w:szCs w:val="22"/>
          <w:lang w:val="es-ES"/>
        </w:rPr>
        <w:t xml:space="preserve"> </w:t>
      </w:r>
      <w:proofErr w:type="spellStart"/>
      <w:r>
        <w:rPr>
          <w:rFonts w:eastAsia="Palatino Linotype"/>
          <w:sz w:val="22"/>
          <w:szCs w:val="22"/>
          <w:lang w:val="es-ES"/>
        </w:rPr>
        <w:t>by</w:t>
      </w:r>
      <w:proofErr w:type="spellEnd"/>
      <w:r>
        <w:rPr>
          <w:rFonts w:eastAsia="Palatino Linotype"/>
          <w:sz w:val="22"/>
          <w:szCs w:val="22"/>
          <w:lang w:val="es-ES"/>
        </w:rPr>
        <w:t xml:space="preserve"> </w:t>
      </w:r>
      <w:proofErr w:type="spellStart"/>
      <w:r>
        <w:rPr>
          <w:rFonts w:eastAsia="Palatino Linotype"/>
          <w:sz w:val="22"/>
          <w:szCs w:val="22"/>
          <w:lang w:val="es-ES"/>
        </w:rPr>
        <w:t>the</w:t>
      </w:r>
      <w:proofErr w:type="spellEnd"/>
      <w:r>
        <w:rPr>
          <w:rFonts w:eastAsia="Palatino Linotype"/>
          <w:sz w:val="22"/>
          <w:szCs w:val="22"/>
          <w:lang w:val="es-ES"/>
        </w:rPr>
        <w:t xml:space="preserve"> INCOTERMS </w:t>
      </w:r>
      <w:proofErr w:type="spellStart"/>
      <w:r>
        <w:rPr>
          <w:rFonts w:eastAsia="Palatino Linotype"/>
          <w:sz w:val="22"/>
          <w:szCs w:val="22"/>
          <w:lang w:val="es-ES"/>
        </w:rPr>
        <w:t>clauses</w:t>
      </w:r>
      <w:proofErr w:type="spellEnd"/>
      <w:r>
        <w:rPr>
          <w:rFonts w:eastAsia="Palatino Linotype"/>
          <w:sz w:val="22"/>
          <w:szCs w:val="22"/>
          <w:lang w:val="es-ES"/>
        </w:rPr>
        <w:t xml:space="preserve"> -International Chamber </w:t>
      </w:r>
      <w:proofErr w:type="spellStart"/>
      <w:r>
        <w:rPr>
          <w:rFonts w:eastAsia="Palatino Linotype"/>
          <w:sz w:val="22"/>
          <w:szCs w:val="22"/>
          <w:lang w:val="es-ES"/>
        </w:rPr>
        <w:t>of</w:t>
      </w:r>
      <w:proofErr w:type="spellEnd"/>
      <w:r>
        <w:rPr>
          <w:rFonts w:eastAsia="Palatino Linotype"/>
          <w:sz w:val="22"/>
          <w:szCs w:val="22"/>
          <w:lang w:val="es-ES"/>
        </w:rPr>
        <w:t xml:space="preserve"> Commerce (ICC)- </w:t>
      </w:r>
      <w:proofErr w:type="spellStart"/>
      <w:r>
        <w:rPr>
          <w:rFonts w:eastAsia="Palatino Linotype"/>
          <w:sz w:val="22"/>
          <w:szCs w:val="22"/>
          <w:lang w:val="es-ES"/>
        </w:rPr>
        <w:t>applicable</w:t>
      </w:r>
      <w:proofErr w:type="spellEnd"/>
      <w:r>
        <w:rPr>
          <w:rFonts w:eastAsia="Palatino Linotype"/>
          <w:sz w:val="22"/>
          <w:szCs w:val="22"/>
          <w:lang w:val="es-ES"/>
        </w:rPr>
        <w:t xml:space="preserve"> in </w:t>
      </w:r>
      <w:proofErr w:type="spellStart"/>
      <w:r>
        <w:rPr>
          <w:rFonts w:eastAsia="Palatino Linotype"/>
          <w:sz w:val="22"/>
          <w:szCs w:val="22"/>
          <w:lang w:val="es-ES"/>
        </w:rPr>
        <w:t>the</w:t>
      </w:r>
      <w:proofErr w:type="spellEnd"/>
      <w:r>
        <w:rPr>
          <w:rFonts w:eastAsia="Palatino Linotype"/>
          <w:sz w:val="22"/>
          <w:szCs w:val="22"/>
          <w:lang w:val="es-ES"/>
        </w:rPr>
        <w:t xml:space="preserve"> </w:t>
      </w:r>
      <w:proofErr w:type="spellStart"/>
      <w:r>
        <w:rPr>
          <w:rFonts w:eastAsia="Palatino Linotype"/>
          <w:sz w:val="22"/>
          <w:szCs w:val="22"/>
          <w:lang w:val="es-ES"/>
        </w:rPr>
        <w:t>version</w:t>
      </w:r>
      <w:proofErr w:type="spellEnd"/>
      <w:r>
        <w:rPr>
          <w:rFonts w:eastAsia="Palatino Linotype"/>
          <w:sz w:val="22"/>
          <w:szCs w:val="22"/>
          <w:lang w:val="es-ES"/>
        </w:rPr>
        <w:t xml:space="preserve"> in </w:t>
      </w:r>
      <w:proofErr w:type="spellStart"/>
      <w:r>
        <w:rPr>
          <w:rFonts w:eastAsia="Palatino Linotype"/>
          <w:sz w:val="22"/>
          <w:szCs w:val="22"/>
          <w:lang w:val="es-ES"/>
        </w:rPr>
        <w:t>force</w:t>
      </w:r>
      <w:proofErr w:type="spellEnd"/>
      <w:r>
        <w:rPr>
          <w:rFonts w:eastAsia="Palatino Linotype"/>
          <w:sz w:val="22"/>
          <w:szCs w:val="22"/>
          <w:lang w:val="es-ES"/>
        </w:rPr>
        <w:t xml:space="preserve"> at </w:t>
      </w:r>
      <w:proofErr w:type="spellStart"/>
      <w:r>
        <w:rPr>
          <w:rFonts w:eastAsia="Palatino Linotype"/>
          <w:sz w:val="22"/>
          <w:szCs w:val="22"/>
          <w:lang w:val="es-ES"/>
        </w:rPr>
        <w:t>the</w:t>
      </w:r>
      <w:proofErr w:type="spellEnd"/>
      <w:r>
        <w:rPr>
          <w:rFonts w:eastAsia="Palatino Linotype"/>
          <w:sz w:val="22"/>
          <w:szCs w:val="22"/>
          <w:lang w:val="es-ES"/>
        </w:rPr>
        <w:t xml:space="preserve"> date </w:t>
      </w:r>
      <w:proofErr w:type="spellStart"/>
      <w:r>
        <w:rPr>
          <w:rFonts w:eastAsia="Palatino Linotype"/>
          <w:sz w:val="22"/>
          <w:szCs w:val="22"/>
          <w:lang w:val="es-ES"/>
        </w:rPr>
        <w:t>of</w:t>
      </w:r>
      <w:proofErr w:type="spellEnd"/>
      <w:r>
        <w:rPr>
          <w:rFonts w:eastAsia="Palatino Linotype"/>
          <w:sz w:val="22"/>
          <w:szCs w:val="22"/>
          <w:lang w:val="es-ES"/>
        </w:rPr>
        <w:t xml:space="preserve"> </w:t>
      </w:r>
      <w:proofErr w:type="spellStart"/>
      <w:r>
        <w:rPr>
          <w:rFonts w:eastAsia="Palatino Linotype"/>
          <w:sz w:val="22"/>
          <w:szCs w:val="22"/>
          <w:lang w:val="es-ES"/>
        </w:rPr>
        <w:t>the</w:t>
      </w:r>
      <w:proofErr w:type="spellEnd"/>
      <w:r>
        <w:rPr>
          <w:rFonts w:eastAsia="Palatino Linotype"/>
          <w:sz w:val="22"/>
          <w:szCs w:val="22"/>
          <w:lang w:val="es-ES"/>
        </w:rPr>
        <w:t xml:space="preserve"> </w:t>
      </w:r>
      <w:proofErr w:type="spellStart"/>
      <w:r>
        <w:rPr>
          <w:rFonts w:eastAsia="Palatino Linotype"/>
          <w:sz w:val="22"/>
          <w:szCs w:val="22"/>
          <w:lang w:val="es-ES"/>
        </w:rPr>
        <w:t>call</w:t>
      </w:r>
      <w:proofErr w:type="spellEnd"/>
      <w:r>
        <w:rPr>
          <w:rFonts w:eastAsia="Palatino Linotype"/>
          <w:sz w:val="22"/>
          <w:szCs w:val="22"/>
          <w:lang w:val="es-ES"/>
        </w:rPr>
        <w:t xml:space="preserve"> </w:t>
      </w:r>
      <w:proofErr w:type="spellStart"/>
      <w:r>
        <w:rPr>
          <w:rFonts w:eastAsia="Palatino Linotype"/>
          <w:sz w:val="22"/>
          <w:szCs w:val="22"/>
          <w:lang w:val="es-ES"/>
        </w:rPr>
        <w:t>for</w:t>
      </w:r>
      <w:proofErr w:type="spellEnd"/>
      <w:r>
        <w:rPr>
          <w:rFonts w:eastAsia="Palatino Linotype"/>
          <w:sz w:val="22"/>
          <w:szCs w:val="22"/>
          <w:lang w:val="es-ES"/>
        </w:rPr>
        <w:t xml:space="preserve"> </w:t>
      </w:r>
      <w:proofErr w:type="spellStart"/>
      <w:r>
        <w:rPr>
          <w:rFonts w:eastAsia="Palatino Linotype"/>
          <w:sz w:val="22"/>
          <w:szCs w:val="22"/>
          <w:lang w:val="es-ES"/>
        </w:rPr>
        <w:t>tenders</w:t>
      </w:r>
      <w:proofErr w:type="spellEnd"/>
      <w:r>
        <w:rPr>
          <w:rFonts w:eastAsia="Palatino Linotype"/>
          <w:sz w:val="22"/>
          <w:szCs w:val="22"/>
          <w:lang w:val="es-ES"/>
        </w:rPr>
        <w:t xml:space="preserve"> as </w:t>
      </w:r>
      <w:proofErr w:type="spellStart"/>
      <w:r>
        <w:rPr>
          <w:rFonts w:eastAsia="Palatino Linotype"/>
          <w:sz w:val="22"/>
          <w:szCs w:val="22"/>
          <w:lang w:val="es-ES"/>
        </w:rPr>
        <w:t>appropriate</w:t>
      </w:r>
      <w:proofErr w:type="spellEnd"/>
      <w:r>
        <w:rPr>
          <w:rFonts w:eastAsia="Palatino Linotype"/>
          <w:sz w:val="22"/>
          <w:szCs w:val="22"/>
          <w:lang w:val="es-ES"/>
        </w:rPr>
        <w:t>.</w:t>
      </w:r>
    </w:p>
    <w:p w14:paraId="7F90C75F" w14:textId="77777777" w:rsidR="00E255F4" w:rsidRDefault="00E255F4">
      <w:pPr>
        <w:ind w:right="-142"/>
        <w:jc w:val="both"/>
        <w:rPr>
          <w:rFonts w:eastAsia="Palatino Linotype"/>
          <w:sz w:val="22"/>
          <w:szCs w:val="22"/>
          <w:lang w:val="es-ES"/>
        </w:rPr>
      </w:pPr>
    </w:p>
    <w:p w14:paraId="703D89CF" w14:textId="77777777" w:rsidR="00E255F4" w:rsidRDefault="00000000">
      <w:pPr>
        <w:ind w:right="-142"/>
        <w:jc w:val="both"/>
        <w:rPr>
          <w:rFonts w:eastAsia="Palatino Linotype"/>
          <w:sz w:val="22"/>
          <w:szCs w:val="22"/>
          <w:lang w:val="es-ES"/>
        </w:rPr>
      </w:pPr>
      <w:proofErr w:type="spellStart"/>
      <w:r>
        <w:rPr>
          <w:rFonts w:eastAsia="Palatino Linotype"/>
          <w:spacing w:val="2"/>
          <w:sz w:val="22"/>
          <w:szCs w:val="22"/>
          <w:lang w:val="es-ES"/>
        </w:rPr>
        <w:t>AND</w:t>
      </w:r>
      <w:r>
        <w:rPr>
          <w:rFonts w:eastAsia="Palatino Linotype"/>
          <w:sz w:val="22"/>
          <w:szCs w:val="22"/>
          <w:lang w:val="es-ES"/>
        </w:rPr>
        <w:t>The</w:t>
      </w:r>
      <w:proofErr w:type="spellEnd"/>
      <w:r>
        <w:rPr>
          <w:rFonts w:eastAsia="Palatino Linotype"/>
          <w:sz w:val="22"/>
          <w:szCs w:val="22"/>
          <w:lang w:val="es-ES"/>
        </w:rPr>
        <w:t xml:space="preserve"> </w:t>
      </w:r>
      <w:proofErr w:type="spellStart"/>
      <w:r>
        <w:rPr>
          <w:rFonts w:eastAsia="Palatino Linotype"/>
          <w:sz w:val="22"/>
          <w:szCs w:val="22"/>
          <w:lang w:val="es-ES"/>
        </w:rPr>
        <w:t>bidder</w:t>
      </w:r>
      <w:proofErr w:type="spellEnd"/>
      <w:r>
        <w:rPr>
          <w:rFonts w:eastAsia="Palatino Linotype"/>
          <w:sz w:val="22"/>
          <w:szCs w:val="22"/>
          <w:lang w:val="es-ES"/>
        </w:rPr>
        <w:t xml:space="preserve"> </w:t>
      </w:r>
      <w:proofErr w:type="spellStart"/>
      <w:r>
        <w:rPr>
          <w:rFonts w:eastAsia="Palatino Linotype"/>
          <w:sz w:val="22"/>
          <w:szCs w:val="22"/>
          <w:lang w:val="es-ES"/>
        </w:rPr>
        <w:t>will</w:t>
      </w:r>
      <w:proofErr w:type="spellEnd"/>
      <w:r>
        <w:rPr>
          <w:rFonts w:eastAsia="Palatino Linotype"/>
          <w:sz w:val="22"/>
          <w:szCs w:val="22"/>
          <w:lang w:val="es-ES"/>
        </w:rPr>
        <w:t xml:space="preserve"> </w:t>
      </w:r>
      <w:proofErr w:type="spellStart"/>
      <w:r>
        <w:rPr>
          <w:rFonts w:eastAsia="Palatino Linotype"/>
          <w:sz w:val="22"/>
          <w:szCs w:val="22"/>
          <w:lang w:val="es-ES"/>
        </w:rPr>
        <w:t>indicate</w:t>
      </w:r>
      <w:proofErr w:type="spellEnd"/>
      <w:r>
        <w:rPr>
          <w:rFonts w:eastAsia="Palatino Linotype"/>
          <w:sz w:val="22"/>
          <w:szCs w:val="22"/>
          <w:lang w:val="es-ES"/>
        </w:rPr>
        <w:t xml:space="preserve"> </w:t>
      </w:r>
      <w:proofErr w:type="spellStart"/>
      <w:r>
        <w:rPr>
          <w:rFonts w:eastAsia="Palatino Linotype"/>
          <w:sz w:val="22"/>
          <w:szCs w:val="22"/>
          <w:lang w:val="es-ES"/>
        </w:rPr>
        <w:t>the</w:t>
      </w:r>
      <w:proofErr w:type="spellEnd"/>
      <w:r>
        <w:rPr>
          <w:rFonts w:eastAsia="Palatino Linotype"/>
          <w:sz w:val="22"/>
          <w:szCs w:val="22"/>
          <w:lang w:val="es-ES"/>
        </w:rPr>
        <w:t xml:space="preserve"> </w:t>
      </w:r>
      <w:proofErr w:type="spellStart"/>
      <w:r>
        <w:rPr>
          <w:rFonts w:eastAsia="Palatino Linotype"/>
          <w:sz w:val="22"/>
          <w:szCs w:val="22"/>
          <w:lang w:val="es-ES"/>
        </w:rPr>
        <w:t>prices</w:t>
      </w:r>
      <w:proofErr w:type="spellEnd"/>
      <w:r>
        <w:rPr>
          <w:rFonts w:eastAsia="Palatino Linotype"/>
          <w:sz w:val="22"/>
          <w:szCs w:val="22"/>
          <w:lang w:val="es-ES"/>
        </w:rPr>
        <w:t xml:space="preserve"> </w:t>
      </w:r>
      <w:proofErr w:type="spellStart"/>
      <w:r>
        <w:rPr>
          <w:rFonts w:eastAsia="Palatino Linotype"/>
          <w:sz w:val="22"/>
          <w:szCs w:val="22"/>
          <w:lang w:val="es-ES"/>
        </w:rPr>
        <w:t>of</w:t>
      </w:r>
      <w:proofErr w:type="spellEnd"/>
      <w:r>
        <w:rPr>
          <w:rFonts w:eastAsia="Palatino Linotype"/>
          <w:sz w:val="22"/>
          <w:szCs w:val="22"/>
          <w:lang w:val="es-ES"/>
        </w:rPr>
        <w:t xml:space="preserve"> </w:t>
      </w:r>
      <w:proofErr w:type="spellStart"/>
      <w:r>
        <w:rPr>
          <w:rFonts w:eastAsia="Palatino Linotype"/>
          <w:sz w:val="22"/>
          <w:szCs w:val="22"/>
          <w:lang w:val="es-ES"/>
        </w:rPr>
        <w:t>the</w:t>
      </w:r>
      <w:proofErr w:type="spellEnd"/>
      <w:r>
        <w:rPr>
          <w:rFonts w:eastAsia="Palatino Linotype"/>
          <w:sz w:val="22"/>
          <w:szCs w:val="22"/>
          <w:lang w:val="es-ES"/>
        </w:rPr>
        <w:t xml:space="preserve"> </w:t>
      </w:r>
      <w:proofErr w:type="spellStart"/>
      <w:r>
        <w:rPr>
          <w:rFonts w:eastAsia="Palatino Linotype"/>
          <w:sz w:val="22"/>
          <w:szCs w:val="22"/>
          <w:lang w:val="es-ES"/>
        </w:rPr>
        <w:t>goods</w:t>
      </w:r>
      <w:proofErr w:type="spellEnd"/>
      <w:r>
        <w:rPr>
          <w:rFonts w:eastAsia="Palatino Linotype"/>
          <w:sz w:val="22"/>
          <w:szCs w:val="22"/>
          <w:lang w:val="es-ES"/>
        </w:rPr>
        <w:t xml:space="preserve"> and </w:t>
      </w:r>
      <w:proofErr w:type="spellStart"/>
      <w:r>
        <w:rPr>
          <w:rFonts w:eastAsia="Palatino Linotype"/>
          <w:sz w:val="22"/>
          <w:szCs w:val="22"/>
          <w:lang w:val="es-ES"/>
        </w:rPr>
        <w:t>services</w:t>
      </w:r>
      <w:proofErr w:type="spellEnd"/>
      <w:r>
        <w:rPr>
          <w:rFonts w:eastAsia="Palatino Linotype"/>
          <w:sz w:val="22"/>
          <w:szCs w:val="22"/>
          <w:lang w:val="es-ES"/>
        </w:rPr>
        <w:t xml:space="preserve"> </w:t>
      </w:r>
      <w:proofErr w:type="spellStart"/>
      <w:r>
        <w:rPr>
          <w:rFonts w:eastAsia="Palatino Linotype"/>
          <w:sz w:val="22"/>
          <w:szCs w:val="22"/>
          <w:lang w:val="es-ES"/>
        </w:rPr>
        <w:t>that</w:t>
      </w:r>
      <w:proofErr w:type="spellEnd"/>
      <w:r>
        <w:rPr>
          <w:rFonts w:eastAsia="Palatino Linotype"/>
          <w:sz w:val="22"/>
          <w:szCs w:val="22"/>
          <w:lang w:val="es-ES"/>
        </w:rPr>
        <w:t xml:space="preserve"> </w:t>
      </w:r>
      <w:proofErr w:type="spellStart"/>
      <w:r>
        <w:rPr>
          <w:rFonts w:eastAsia="Palatino Linotype"/>
          <w:sz w:val="22"/>
          <w:szCs w:val="22"/>
          <w:lang w:val="es-ES"/>
        </w:rPr>
        <w:t>it</w:t>
      </w:r>
      <w:proofErr w:type="spellEnd"/>
      <w:r>
        <w:rPr>
          <w:rFonts w:eastAsia="Palatino Linotype"/>
          <w:sz w:val="22"/>
          <w:szCs w:val="22"/>
          <w:lang w:val="es-ES"/>
        </w:rPr>
        <w:t xml:space="preserve"> </w:t>
      </w:r>
      <w:proofErr w:type="spellStart"/>
      <w:r>
        <w:rPr>
          <w:rFonts w:eastAsia="Palatino Linotype"/>
          <w:sz w:val="22"/>
          <w:szCs w:val="22"/>
          <w:lang w:val="es-ES"/>
        </w:rPr>
        <w:t>proposes</w:t>
      </w:r>
      <w:proofErr w:type="spellEnd"/>
      <w:r>
        <w:rPr>
          <w:rFonts w:eastAsia="Palatino Linotype"/>
          <w:sz w:val="22"/>
          <w:szCs w:val="22"/>
          <w:lang w:val="es-ES"/>
        </w:rPr>
        <w:t xml:space="preserve"> </w:t>
      </w:r>
      <w:proofErr w:type="spellStart"/>
      <w:r>
        <w:rPr>
          <w:rFonts w:eastAsia="Palatino Linotype"/>
          <w:sz w:val="22"/>
          <w:szCs w:val="22"/>
          <w:lang w:val="es-ES"/>
        </w:rPr>
        <w:t>to</w:t>
      </w:r>
      <w:proofErr w:type="spellEnd"/>
      <w:r>
        <w:rPr>
          <w:rFonts w:eastAsia="Palatino Linotype"/>
          <w:sz w:val="22"/>
          <w:szCs w:val="22"/>
          <w:lang w:val="es-ES"/>
        </w:rPr>
        <w:t xml:space="preserve"> </w:t>
      </w:r>
      <w:proofErr w:type="spellStart"/>
      <w:r>
        <w:rPr>
          <w:rFonts w:eastAsia="Palatino Linotype"/>
          <w:sz w:val="22"/>
          <w:szCs w:val="22"/>
          <w:lang w:val="es-ES"/>
        </w:rPr>
        <w:t>supply</w:t>
      </w:r>
      <w:proofErr w:type="spellEnd"/>
      <w:r>
        <w:rPr>
          <w:rFonts w:eastAsia="Palatino Linotype"/>
          <w:sz w:val="22"/>
          <w:szCs w:val="22"/>
          <w:lang w:val="es-ES"/>
        </w:rPr>
        <w:t xml:space="preserve"> </w:t>
      </w:r>
      <w:proofErr w:type="spellStart"/>
      <w:r>
        <w:rPr>
          <w:rFonts w:eastAsia="Palatino Linotype"/>
          <w:sz w:val="22"/>
          <w:szCs w:val="22"/>
          <w:lang w:val="es-ES"/>
        </w:rPr>
        <w:t>under</w:t>
      </w:r>
      <w:proofErr w:type="spellEnd"/>
      <w:r>
        <w:rPr>
          <w:rFonts w:eastAsia="Palatino Linotype"/>
          <w:sz w:val="22"/>
          <w:szCs w:val="22"/>
          <w:lang w:val="es-ES"/>
        </w:rPr>
        <w:t xml:space="preserve"> </w:t>
      </w:r>
      <w:proofErr w:type="spellStart"/>
      <w:r>
        <w:rPr>
          <w:rFonts w:eastAsia="Palatino Linotype"/>
          <w:sz w:val="22"/>
          <w:szCs w:val="22"/>
          <w:lang w:val="es-ES"/>
        </w:rPr>
        <w:t>the</w:t>
      </w:r>
      <w:proofErr w:type="spellEnd"/>
      <w:r>
        <w:rPr>
          <w:rFonts w:eastAsia="Palatino Linotype"/>
          <w:sz w:val="22"/>
          <w:szCs w:val="22"/>
          <w:lang w:val="es-ES"/>
        </w:rPr>
        <w:t xml:space="preserve"> </w:t>
      </w:r>
      <w:proofErr w:type="spellStart"/>
      <w:r>
        <w:rPr>
          <w:rFonts w:eastAsia="Palatino Linotype"/>
          <w:sz w:val="22"/>
          <w:szCs w:val="22"/>
          <w:lang w:val="es-ES"/>
        </w:rPr>
        <w:t>commercial</w:t>
      </w:r>
      <w:proofErr w:type="spellEnd"/>
      <w:r>
        <w:rPr>
          <w:rFonts w:eastAsia="Palatino Linotype"/>
          <w:sz w:val="22"/>
          <w:szCs w:val="22"/>
          <w:lang w:val="es-ES"/>
        </w:rPr>
        <w:t xml:space="preserve"> </w:t>
      </w:r>
      <w:proofErr w:type="spellStart"/>
      <w:r>
        <w:rPr>
          <w:rFonts w:eastAsia="Palatino Linotype"/>
          <w:sz w:val="22"/>
          <w:szCs w:val="22"/>
          <w:lang w:val="es-ES"/>
        </w:rPr>
        <w:t>conditions</w:t>
      </w:r>
      <w:proofErr w:type="spellEnd"/>
      <w:r>
        <w:rPr>
          <w:rFonts w:eastAsia="Palatino Linotype"/>
          <w:sz w:val="22"/>
          <w:szCs w:val="22"/>
          <w:lang w:val="es-ES"/>
        </w:rPr>
        <w:t xml:space="preserve"> </w:t>
      </w:r>
      <w:proofErr w:type="spellStart"/>
      <w:r>
        <w:rPr>
          <w:rFonts w:eastAsia="Palatino Linotype"/>
          <w:sz w:val="22"/>
          <w:szCs w:val="22"/>
          <w:lang w:val="es-ES"/>
        </w:rPr>
        <w:t>established</w:t>
      </w:r>
      <w:proofErr w:type="spellEnd"/>
      <w:r>
        <w:rPr>
          <w:rFonts w:eastAsia="Palatino Linotype"/>
          <w:sz w:val="22"/>
          <w:szCs w:val="22"/>
          <w:lang w:val="es-ES"/>
        </w:rPr>
        <w:t xml:space="preserve"> in </w:t>
      </w:r>
      <w:proofErr w:type="spellStart"/>
      <w:r>
        <w:rPr>
          <w:rFonts w:eastAsia="Palatino Linotype"/>
          <w:sz w:val="22"/>
          <w:szCs w:val="22"/>
          <w:lang w:val="es-ES"/>
        </w:rPr>
        <w:t>the</w:t>
      </w:r>
      <w:proofErr w:type="spellEnd"/>
      <w:r>
        <w:rPr>
          <w:rFonts w:eastAsia="Palatino Linotype"/>
          <w:sz w:val="22"/>
          <w:szCs w:val="22"/>
          <w:lang w:val="es-ES"/>
        </w:rPr>
        <w:t xml:space="preserve"> Special </w:t>
      </w:r>
      <w:proofErr w:type="spellStart"/>
      <w:r>
        <w:rPr>
          <w:rFonts w:eastAsia="Palatino Linotype"/>
          <w:sz w:val="22"/>
          <w:szCs w:val="22"/>
          <w:lang w:val="es-ES"/>
        </w:rPr>
        <w:t>Specifications</w:t>
      </w:r>
      <w:proofErr w:type="spellEnd"/>
      <w:r>
        <w:rPr>
          <w:rFonts w:eastAsia="Palatino Linotype"/>
          <w:sz w:val="22"/>
          <w:szCs w:val="22"/>
          <w:lang w:val="es-ES"/>
        </w:rPr>
        <w:t>.</w:t>
      </w:r>
    </w:p>
    <w:p w14:paraId="03DCC59C" w14:textId="77777777" w:rsidR="00E255F4" w:rsidRDefault="00E255F4">
      <w:pPr>
        <w:ind w:right="-142"/>
        <w:jc w:val="both"/>
        <w:rPr>
          <w:rFonts w:eastAsia="Palatino Linotype"/>
          <w:sz w:val="22"/>
          <w:szCs w:val="22"/>
          <w:lang w:val="es-ES"/>
        </w:rPr>
      </w:pPr>
    </w:p>
    <w:p w14:paraId="4795AB71" w14:textId="77777777" w:rsidR="00E255F4" w:rsidRDefault="00000000">
      <w:pPr>
        <w:ind w:right="-142"/>
        <w:jc w:val="both"/>
        <w:rPr>
          <w:rFonts w:eastAsia="Palatino Linotype"/>
          <w:sz w:val="22"/>
          <w:szCs w:val="22"/>
          <w:lang w:val="es-ES"/>
        </w:rPr>
      </w:pPr>
      <w:proofErr w:type="spellStart"/>
      <w:r>
        <w:rPr>
          <w:rFonts w:eastAsia="Palatino Linotype"/>
          <w:spacing w:val="8"/>
          <w:sz w:val="22"/>
          <w:szCs w:val="22"/>
          <w:lang w:val="es-ES"/>
        </w:rPr>
        <w:t>Saying</w:t>
      </w:r>
      <w:r>
        <w:rPr>
          <w:rFonts w:eastAsia="Palatino Linotype"/>
          <w:sz w:val="22"/>
          <w:szCs w:val="22"/>
          <w:lang w:val="es-ES"/>
        </w:rPr>
        <w:t>Prices</w:t>
      </w:r>
      <w:proofErr w:type="spellEnd"/>
      <w:r>
        <w:rPr>
          <w:rFonts w:eastAsia="Palatino Linotype"/>
          <w:sz w:val="22"/>
          <w:szCs w:val="22"/>
          <w:lang w:val="es-ES"/>
        </w:rPr>
        <w:t xml:space="preserve"> </w:t>
      </w:r>
      <w:proofErr w:type="spellStart"/>
      <w:r>
        <w:rPr>
          <w:rFonts w:eastAsia="Palatino Linotype"/>
          <w:sz w:val="22"/>
          <w:szCs w:val="22"/>
          <w:lang w:val="es-ES"/>
        </w:rPr>
        <w:t>may</w:t>
      </w:r>
      <w:proofErr w:type="spellEnd"/>
      <w:r>
        <w:rPr>
          <w:rFonts w:eastAsia="Palatino Linotype"/>
          <w:sz w:val="22"/>
          <w:szCs w:val="22"/>
          <w:lang w:val="es-ES"/>
        </w:rPr>
        <w:t xml:space="preserve"> </w:t>
      </w:r>
      <w:proofErr w:type="spellStart"/>
      <w:r>
        <w:rPr>
          <w:rFonts w:eastAsia="Palatino Linotype"/>
          <w:sz w:val="22"/>
          <w:szCs w:val="22"/>
          <w:lang w:val="es-ES"/>
        </w:rPr>
        <w:t>not</w:t>
      </w:r>
      <w:proofErr w:type="spellEnd"/>
      <w:r>
        <w:rPr>
          <w:rFonts w:eastAsia="Palatino Linotype"/>
          <w:sz w:val="22"/>
          <w:szCs w:val="22"/>
          <w:lang w:val="es-ES"/>
        </w:rPr>
        <w:t xml:space="preserve"> be </w:t>
      </w:r>
      <w:proofErr w:type="spellStart"/>
      <w:r>
        <w:rPr>
          <w:rFonts w:eastAsia="Palatino Linotype"/>
          <w:sz w:val="22"/>
          <w:szCs w:val="22"/>
          <w:lang w:val="es-ES"/>
        </w:rPr>
        <w:t>subject</w:t>
      </w:r>
      <w:proofErr w:type="spellEnd"/>
      <w:r>
        <w:rPr>
          <w:rFonts w:eastAsia="Palatino Linotype"/>
          <w:sz w:val="22"/>
          <w:szCs w:val="22"/>
          <w:lang w:val="es-ES"/>
        </w:rPr>
        <w:t xml:space="preserve"> </w:t>
      </w:r>
      <w:proofErr w:type="spellStart"/>
      <w:r>
        <w:rPr>
          <w:rFonts w:eastAsia="Palatino Linotype"/>
          <w:sz w:val="22"/>
          <w:szCs w:val="22"/>
          <w:lang w:val="es-ES"/>
        </w:rPr>
        <w:t>to</w:t>
      </w:r>
      <w:proofErr w:type="spellEnd"/>
      <w:r>
        <w:rPr>
          <w:rFonts w:eastAsia="Palatino Linotype"/>
          <w:sz w:val="22"/>
          <w:szCs w:val="22"/>
          <w:lang w:val="es-ES"/>
        </w:rPr>
        <w:t xml:space="preserve"> </w:t>
      </w:r>
      <w:proofErr w:type="spellStart"/>
      <w:r>
        <w:rPr>
          <w:rFonts w:eastAsia="Palatino Linotype"/>
          <w:sz w:val="22"/>
          <w:szCs w:val="22"/>
          <w:lang w:val="es-ES"/>
        </w:rPr>
        <w:t>confirmation</w:t>
      </w:r>
      <w:proofErr w:type="spellEnd"/>
      <w:r>
        <w:rPr>
          <w:rFonts w:eastAsia="Palatino Linotype"/>
          <w:sz w:val="22"/>
          <w:szCs w:val="22"/>
          <w:lang w:val="es-ES"/>
        </w:rPr>
        <w:t xml:space="preserve"> </w:t>
      </w:r>
      <w:proofErr w:type="spellStart"/>
      <w:r>
        <w:rPr>
          <w:rFonts w:eastAsia="Palatino Linotype"/>
          <w:sz w:val="22"/>
          <w:szCs w:val="22"/>
          <w:lang w:val="es-ES"/>
        </w:rPr>
        <w:t>or</w:t>
      </w:r>
      <w:proofErr w:type="spellEnd"/>
      <w:r>
        <w:rPr>
          <w:rFonts w:eastAsia="Palatino Linotype"/>
          <w:sz w:val="22"/>
          <w:szCs w:val="22"/>
          <w:lang w:val="es-ES"/>
        </w:rPr>
        <w:t xml:space="preserve"> </w:t>
      </w:r>
      <w:proofErr w:type="spellStart"/>
      <w:r>
        <w:rPr>
          <w:rFonts w:eastAsia="Palatino Linotype"/>
          <w:sz w:val="22"/>
          <w:szCs w:val="22"/>
          <w:lang w:val="es-ES"/>
        </w:rPr>
        <w:t>conditions</w:t>
      </w:r>
      <w:proofErr w:type="spellEnd"/>
      <w:r>
        <w:rPr>
          <w:rFonts w:eastAsia="Palatino Linotype"/>
          <w:sz w:val="22"/>
          <w:szCs w:val="22"/>
          <w:lang w:val="es-ES"/>
        </w:rPr>
        <w:t xml:space="preserve"> in </w:t>
      </w:r>
      <w:proofErr w:type="spellStart"/>
      <w:r>
        <w:rPr>
          <w:rFonts w:eastAsia="Palatino Linotype"/>
          <w:sz w:val="22"/>
          <w:szCs w:val="22"/>
          <w:lang w:val="es-ES"/>
        </w:rPr>
        <w:t>any</w:t>
      </w:r>
      <w:proofErr w:type="spellEnd"/>
      <w:r>
        <w:rPr>
          <w:rFonts w:eastAsia="Palatino Linotype"/>
          <w:sz w:val="22"/>
          <w:szCs w:val="22"/>
          <w:lang w:val="es-ES"/>
        </w:rPr>
        <w:t xml:space="preserve"> </w:t>
      </w:r>
      <w:proofErr w:type="spellStart"/>
      <w:r>
        <w:rPr>
          <w:rFonts w:eastAsia="Palatino Linotype"/>
          <w:sz w:val="22"/>
          <w:szCs w:val="22"/>
          <w:lang w:val="es-ES"/>
        </w:rPr>
        <w:t>way</w:t>
      </w:r>
      <w:proofErr w:type="spellEnd"/>
      <w:r>
        <w:rPr>
          <w:rFonts w:eastAsia="Palatino Linotype"/>
          <w:sz w:val="22"/>
          <w:szCs w:val="22"/>
          <w:lang w:val="es-ES"/>
        </w:rPr>
        <w:t xml:space="preserve">. </w:t>
      </w:r>
      <w:proofErr w:type="spellStart"/>
      <w:r>
        <w:rPr>
          <w:rFonts w:eastAsia="Palatino Linotype"/>
          <w:sz w:val="22"/>
          <w:szCs w:val="22"/>
          <w:lang w:val="es-ES"/>
        </w:rPr>
        <w:t>If</w:t>
      </w:r>
      <w:proofErr w:type="spellEnd"/>
      <w:r>
        <w:rPr>
          <w:rFonts w:eastAsia="Palatino Linotype"/>
          <w:sz w:val="22"/>
          <w:szCs w:val="22"/>
          <w:lang w:val="es-ES"/>
        </w:rPr>
        <w:t xml:space="preserve"> </w:t>
      </w:r>
      <w:proofErr w:type="spellStart"/>
      <w:r>
        <w:rPr>
          <w:rFonts w:eastAsia="Palatino Linotype"/>
          <w:sz w:val="22"/>
          <w:szCs w:val="22"/>
          <w:lang w:val="es-ES"/>
        </w:rPr>
        <w:t>the</w:t>
      </w:r>
      <w:proofErr w:type="spellEnd"/>
      <w:r>
        <w:rPr>
          <w:rFonts w:eastAsia="Palatino Linotype"/>
          <w:sz w:val="22"/>
          <w:szCs w:val="22"/>
          <w:lang w:val="es-ES"/>
        </w:rPr>
        <w:t xml:space="preserve"> Special Tender </w:t>
      </w:r>
      <w:proofErr w:type="spellStart"/>
      <w:r>
        <w:rPr>
          <w:rFonts w:eastAsia="Palatino Linotype"/>
          <w:sz w:val="22"/>
          <w:szCs w:val="22"/>
          <w:lang w:val="es-ES"/>
        </w:rPr>
        <w:t>Specifications</w:t>
      </w:r>
      <w:proofErr w:type="spellEnd"/>
      <w:r>
        <w:rPr>
          <w:rFonts w:eastAsia="Palatino Linotype"/>
          <w:sz w:val="22"/>
          <w:szCs w:val="22"/>
          <w:lang w:val="es-ES"/>
        </w:rPr>
        <w:t xml:space="preserve"> do </w:t>
      </w:r>
      <w:proofErr w:type="spellStart"/>
      <w:r>
        <w:rPr>
          <w:rFonts w:eastAsia="Palatino Linotype"/>
          <w:sz w:val="22"/>
          <w:szCs w:val="22"/>
          <w:lang w:val="es-ES"/>
        </w:rPr>
        <w:t>not</w:t>
      </w:r>
      <w:proofErr w:type="spellEnd"/>
      <w:r>
        <w:rPr>
          <w:rFonts w:eastAsia="Palatino Linotype"/>
          <w:sz w:val="22"/>
          <w:szCs w:val="22"/>
          <w:lang w:val="es-ES"/>
        </w:rPr>
        <w:t xml:space="preserve"> </w:t>
      </w:r>
      <w:proofErr w:type="spellStart"/>
      <w:r>
        <w:rPr>
          <w:rFonts w:eastAsia="Palatino Linotype"/>
          <w:sz w:val="22"/>
          <w:szCs w:val="22"/>
          <w:lang w:val="es-ES"/>
        </w:rPr>
        <w:t>precisely</w:t>
      </w:r>
      <w:proofErr w:type="spellEnd"/>
      <w:r>
        <w:rPr>
          <w:rFonts w:eastAsia="Palatino Linotype"/>
          <w:sz w:val="22"/>
          <w:szCs w:val="22"/>
          <w:lang w:val="es-ES"/>
        </w:rPr>
        <w:t xml:space="preserve"> determine </w:t>
      </w:r>
      <w:proofErr w:type="spellStart"/>
      <w:r>
        <w:rPr>
          <w:rFonts w:eastAsia="Palatino Linotype"/>
          <w:sz w:val="22"/>
          <w:szCs w:val="22"/>
          <w:lang w:val="es-ES"/>
        </w:rPr>
        <w:t>the</w:t>
      </w:r>
      <w:proofErr w:type="spellEnd"/>
      <w:r>
        <w:rPr>
          <w:rFonts w:eastAsia="Palatino Linotype"/>
          <w:sz w:val="22"/>
          <w:szCs w:val="22"/>
          <w:lang w:val="es-ES"/>
        </w:rPr>
        <w:t xml:space="preserve"> </w:t>
      </w:r>
      <w:proofErr w:type="spellStart"/>
      <w:r>
        <w:rPr>
          <w:rFonts w:eastAsia="Palatino Linotype"/>
          <w:sz w:val="22"/>
          <w:szCs w:val="22"/>
          <w:lang w:val="es-ES"/>
        </w:rPr>
        <w:t>quantity</w:t>
      </w:r>
      <w:proofErr w:type="spellEnd"/>
      <w:r>
        <w:rPr>
          <w:rFonts w:eastAsia="Palatino Linotype"/>
          <w:sz w:val="22"/>
          <w:szCs w:val="22"/>
          <w:lang w:val="es-ES"/>
        </w:rPr>
        <w:t xml:space="preserve"> </w:t>
      </w:r>
      <w:proofErr w:type="spellStart"/>
      <w:r>
        <w:rPr>
          <w:rFonts w:eastAsia="Palatino Linotype"/>
          <w:sz w:val="22"/>
          <w:szCs w:val="22"/>
          <w:lang w:val="es-ES"/>
        </w:rPr>
        <w:t>to</w:t>
      </w:r>
      <w:proofErr w:type="spellEnd"/>
      <w:r>
        <w:rPr>
          <w:rFonts w:eastAsia="Palatino Linotype"/>
          <w:sz w:val="22"/>
          <w:szCs w:val="22"/>
          <w:lang w:val="es-ES"/>
        </w:rPr>
        <w:t xml:space="preserve"> be </w:t>
      </w:r>
      <w:proofErr w:type="spellStart"/>
      <w:r>
        <w:rPr>
          <w:rFonts w:eastAsia="Palatino Linotype"/>
          <w:sz w:val="22"/>
          <w:szCs w:val="22"/>
          <w:lang w:val="es-ES"/>
        </w:rPr>
        <w:t>purchased</w:t>
      </w:r>
      <w:proofErr w:type="spellEnd"/>
      <w:r>
        <w:rPr>
          <w:rFonts w:eastAsia="Palatino Linotype"/>
          <w:sz w:val="22"/>
          <w:szCs w:val="22"/>
          <w:lang w:val="es-ES"/>
        </w:rPr>
        <w:t xml:space="preserve">, </w:t>
      </w:r>
      <w:proofErr w:type="spellStart"/>
      <w:r>
        <w:rPr>
          <w:rFonts w:eastAsia="Palatino Linotype"/>
          <w:sz w:val="22"/>
          <w:szCs w:val="22"/>
          <w:lang w:val="es-ES"/>
        </w:rPr>
        <w:t>bidders</w:t>
      </w:r>
      <w:proofErr w:type="spellEnd"/>
      <w:r>
        <w:rPr>
          <w:rFonts w:eastAsia="Palatino Linotype"/>
          <w:sz w:val="22"/>
          <w:szCs w:val="22"/>
          <w:lang w:val="es-ES"/>
        </w:rPr>
        <w:t xml:space="preserve"> </w:t>
      </w:r>
      <w:proofErr w:type="spellStart"/>
      <w:r>
        <w:rPr>
          <w:rFonts w:eastAsia="Palatino Linotype"/>
          <w:sz w:val="22"/>
          <w:szCs w:val="22"/>
          <w:lang w:val="es-ES"/>
        </w:rPr>
        <w:t>may</w:t>
      </w:r>
      <w:proofErr w:type="spellEnd"/>
      <w:r>
        <w:rPr>
          <w:rFonts w:eastAsia="Palatino Linotype"/>
          <w:sz w:val="22"/>
          <w:szCs w:val="22"/>
          <w:lang w:val="es-ES"/>
        </w:rPr>
        <w:t xml:space="preserve"> </w:t>
      </w:r>
      <w:proofErr w:type="spellStart"/>
      <w:r>
        <w:rPr>
          <w:rFonts w:eastAsia="Palatino Linotype"/>
          <w:sz w:val="22"/>
          <w:szCs w:val="22"/>
          <w:lang w:val="es-ES"/>
        </w:rPr>
        <w:t>propose</w:t>
      </w:r>
      <w:proofErr w:type="spellEnd"/>
      <w:r>
        <w:rPr>
          <w:rFonts w:eastAsia="Palatino Linotype"/>
          <w:sz w:val="22"/>
          <w:szCs w:val="22"/>
          <w:lang w:val="es-ES"/>
        </w:rPr>
        <w:t xml:space="preserve"> </w:t>
      </w:r>
      <w:proofErr w:type="spellStart"/>
      <w:r>
        <w:rPr>
          <w:rFonts w:eastAsia="Palatino Linotype"/>
          <w:sz w:val="22"/>
          <w:szCs w:val="22"/>
          <w:lang w:val="es-ES"/>
        </w:rPr>
        <w:t>different</w:t>
      </w:r>
      <w:proofErr w:type="spellEnd"/>
      <w:r>
        <w:rPr>
          <w:rFonts w:eastAsia="Palatino Linotype"/>
          <w:sz w:val="22"/>
          <w:szCs w:val="22"/>
          <w:lang w:val="es-ES"/>
        </w:rPr>
        <w:t xml:space="preserve"> </w:t>
      </w:r>
      <w:proofErr w:type="spellStart"/>
      <w:r>
        <w:rPr>
          <w:rFonts w:eastAsia="Palatino Linotype"/>
          <w:sz w:val="22"/>
          <w:szCs w:val="22"/>
          <w:lang w:val="es-ES"/>
        </w:rPr>
        <w:t>prices</w:t>
      </w:r>
      <w:proofErr w:type="spellEnd"/>
      <w:r>
        <w:rPr>
          <w:rFonts w:eastAsia="Palatino Linotype"/>
          <w:sz w:val="22"/>
          <w:szCs w:val="22"/>
          <w:lang w:val="es-ES"/>
        </w:rPr>
        <w:t xml:space="preserve"> </w:t>
      </w:r>
      <w:proofErr w:type="spellStart"/>
      <w:r>
        <w:rPr>
          <w:rFonts w:eastAsia="Palatino Linotype"/>
          <w:sz w:val="22"/>
          <w:szCs w:val="22"/>
          <w:lang w:val="es-ES"/>
        </w:rPr>
        <w:t>for</w:t>
      </w:r>
      <w:proofErr w:type="spellEnd"/>
      <w:r>
        <w:rPr>
          <w:rFonts w:eastAsia="Palatino Linotype"/>
          <w:sz w:val="22"/>
          <w:szCs w:val="22"/>
          <w:lang w:val="es-ES"/>
        </w:rPr>
        <w:t xml:space="preserve"> </w:t>
      </w:r>
      <w:proofErr w:type="spellStart"/>
      <w:r>
        <w:rPr>
          <w:rFonts w:eastAsia="Palatino Linotype"/>
          <w:sz w:val="22"/>
          <w:szCs w:val="22"/>
          <w:lang w:val="es-ES"/>
        </w:rPr>
        <w:t>different</w:t>
      </w:r>
      <w:proofErr w:type="spellEnd"/>
      <w:r>
        <w:rPr>
          <w:rFonts w:eastAsia="Palatino Linotype"/>
          <w:sz w:val="22"/>
          <w:szCs w:val="22"/>
          <w:lang w:val="es-ES"/>
        </w:rPr>
        <w:t xml:space="preserve"> </w:t>
      </w:r>
      <w:proofErr w:type="spellStart"/>
      <w:r>
        <w:rPr>
          <w:rFonts w:eastAsia="Palatino Linotype"/>
          <w:sz w:val="22"/>
          <w:szCs w:val="22"/>
          <w:lang w:val="es-ES"/>
        </w:rPr>
        <w:t>quantities</w:t>
      </w:r>
      <w:proofErr w:type="spellEnd"/>
      <w:r>
        <w:rPr>
          <w:rFonts w:eastAsia="Palatino Linotype"/>
          <w:sz w:val="22"/>
          <w:szCs w:val="22"/>
          <w:lang w:val="es-ES"/>
        </w:rPr>
        <w:t xml:space="preserve"> </w:t>
      </w:r>
      <w:proofErr w:type="spellStart"/>
      <w:r>
        <w:rPr>
          <w:rFonts w:eastAsia="Palatino Linotype"/>
          <w:sz w:val="22"/>
          <w:szCs w:val="22"/>
          <w:lang w:val="es-ES"/>
        </w:rPr>
        <w:t>of</w:t>
      </w:r>
      <w:proofErr w:type="spellEnd"/>
      <w:r>
        <w:rPr>
          <w:rFonts w:eastAsia="Palatino Linotype"/>
          <w:sz w:val="22"/>
          <w:szCs w:val="22"/>
          <w:lang w:val="es-ES"/>
        </w:rPr>
        <w:t xml:space="preserve"> </w:t>
      </w:r>
      <w:proofErr w:type="spellStart"/>
      <w:r>
        <w:rPr>
          <w:rFonts w:eastAsia="Palatino Linotype"/>
          <w:sz w:val="22"/>
          <w:szCs w:val="22"/>
          <w:lang w:val="es-ES"/>
        </w:rPr>
        <w:t>units</w:t>
      </w:r>
      <w:proofErr w:type="spellEnd"/>
      <w:r>
        <w:rPr>
          <w:rFonts w:eastAsia="Palatino Linotype"/>
          <w:sz w:val="22"/>
          <w:szCs w:val="22"/>
          <w:lang w:val="es-ES"/>
        </w:rPr>
        <w:t xml:space="preserve"> </w:t>
      </w:r>
      <w:proofErr w:type="spellStart"/>
      <w:r>
        <w:rPr>
          <w:rFonts w:eastAsia="Palatino Linotype"/>
          <w:sz w:val="22"/>
          <w:szCs w:val="22"/>
          <w:lang w:val="es-ES"/>
        </w:rPr>
        <w:t>awarded</w:t>
      </w:r>
      <w:proofErr w:type="spellEnd"/>
      <w:r>
        <w:rPr>
          <w:rFonts w:eastAsia="Palatino Linotype"/>
          <w:sz w:val="22"/>
          <w:szCs w:val="22"/>
          <w:lang w:val="es-ES"/>
        </w:rPr>
        <w:t>.</w:t>
      </w:r>
    </w:p>
    <w:p w14:paraId="53DEE99D" w14:textId="77777777" w:rsidR="00E255F4" w:rsidRDefault="00E255F4">
      <w:pPr>
        <w:ind w:right="-142"/>
        <w:jc w:val="both"/>
        <w:rPr>
          <w:rFonts w:eastAsia="Palatino Linotype"/>
          <w:sz w:val="22"/>
          <w:szCs w:val="22"/>
          <w:lang w:val="es-ES"/>
        </w:rPr>
      </w:pPr>
    </w:p>
    <w:p w14:paraId="29B50487" w14:textId="77777777" w:rsidR="00E255F4" w:rsidRDefault="00000000">
      <w:pPr>
        <w:spacing w:after="120"/>
        <w:ind w:right="-142"/>
        <w:jc w:val="both"/>
        <w:rPr>
          <w:rFonts w:eastAsia="Palatino Linotype"/>
          <w:sz w:val="22"/>
          <w:szCs w:val="22"/>
          <w:lang w:val="es-ES"/>
        </w:rPr>
      </w:pPr>
      <w:proofErr w:type="spellStart"/>
      <w:r>
        <w:rPr>
          <w:rFonts w:eastAsia="Palatino Linotype"/>
          <w:spacing w:val="2"/>
          <w:sz w:val="22"/>
          <w:szCs w:val="22"/>
          <w:lang w:val="es-ES"/>
        </w:rPr>
        <w:t>AND</w:t>
      </w:r>
      <w:r>
        <w:rPr>
          <w:rFonts w:eastAsia="Palatino Linotype"/>
          <w:sz w:val="22"/>
          <w:szCs w:val="22"/>
          <w:lang w:val="es-ES"/>
        </w:rPr>
        <w:t>The</w:t>
      </w:r>
      <w:proofErr w:type="spellEnd"/>
      <w:r>
        <w:rPr>
          <w:rFonts w:eastAsia="Palatino Linotype"/>
          <w:sz w:val="22"/>
          <w:szCs w:val="22"/>
          <w:lang w:val="es-ES"/>
        </w:rPr>
        <w:t xml:space="preserve"> </w:t>
      </w:r>
      <w:proofErr w:type="spellStart"/>
      <w:r>
        <w:rPr>
          <w:rFonts w:eastAsia="Palatino Linotype"/>
          <w:sz w:val="22"/>
          <w:szCs w:val="22"/>
          <w:lang w:val="es-ES"/>
        </w:rPr>
        <w:t>bidder</w:t>
      </w:r>
      <w:proofErr w:type="spellEnd"/>
      <w:r>
        <w:rPr>
          <w:rFonts w:eastAsia="Palatino Linotype"/>
          <w:sz w:val="22"/>
          <w:szCs w:val="22"/>
          <w:lang w:val="es-ES"/>
        </w:rPr>
        <w:t xml:space="preserve"> </w:t>
      </w:r>
      <w:proofErr w:type="spellStart"/>
      <w:r>
        <w:rPr>
          <w:rFonts w:eastAsia="Palatino Linotype"/>
          <w:sz w:val="22"/>
          <w:szCs w:val="22"/>
          <w:lang w:val="es-ES"/>
        </w:rPr>
        <w:t>will</w:t>
      </w:r>
      <w:proofErr w:type="spellEnd"/>
      <w:r>
        <w:rPr>
          <w:rFonts w:eastAsia="Palatino Linotype"/>
          <w:sz w:val="22"/>
          <w:szCs w:val="22"/>
          <w:lang w:val="es-ES"/>
        </w:rPr>
        <w:t xml:space="preserve"> </w:t>
      </w:r>
      <w:proofErr w:type="spellStart"/>
      <w:r>
        <w:rPr>
          <w:rFonts w:eastAsia="Palatino Linotype"/>
          <w:sz w:val="22"/>
          <w:szCs w:val="22"/>
          <w:lang w:val="es-ES"/>
        </w:rPr>
        <w:t>indicate</w:t>
      </w:r>
      <w:proofErr w:type="spellEnd"/>
      <w:r>
        <w:rPr>
          <w:rFonts w:eastAsia="Palatino Linotype"/>
          <w:sz w:val="22"/>
          <w:szCs w:val="22"/>
          <w:lang w:val="es-ES"/>
        </w:rPr>
        <w:t xml:space="preserve"> </w:t>
      </w:r>
      <w:proofErr w:type="spellStart"/>
      <w:r>
        <w:rPr>
          <w:rFonts w:eastAsia="Palatino Linotype"/>
          <w:sz w:val="22"/>
          <w:szCs w:val="22"/>
          <w:lang w:val="es-ES"/>
        </w:rPr>
        <w:t>the</w:t>
      </w:r>
      <w:proofErr w:type="spellEnd"/>
      <w:r>
        <w:rPr>
          <w:rFonts w:eastAsia="Palatino Linotype"/>
          <w:sz w:val="22"/>
          <w:szCs w:val="22"/>
          <w:lang w:val="es-ES"/>
        </w:rPr>
        <w:t xml:space="preserve"> </w:t>
      </w:r>
      <w:proofErr w:type="spellStart"/>
      <w:r>
        <w:rPr>
          <w:rFonts w:eastAsia="Palatino Linotype"/>
          <w:sz w:val="22"/>
          <w:szCs w:val="22"/>
          <w:lang w:val="es-ES"/>
        </w:rPr>
        <w:t>prices</w:t>
      </w:r>
      <w:proofErr w:type="spellEnd"/>
      <w:r>
        <w:rPr>
          <w:rFonts w:eastAsia="Palatino Linotype"/>
          <w:sz w:val="22"/>
          <w:szCs w:val="22"/>
          <w:lang w:val="es-ES"/>
        </w:rPr>
        <w:t xml:space="preserve"> </w:t>
      </w:r>
      <w:proofErr w:type="spellStart"/>
      <w:r>
        <w:rPr>
          <w:rFonts w:eastAsia="Palatino Linotype"/>
          <w:sz w:val="22"/>
          <w:szCs w:val="22"/>
          <w:lang w:val="es-ES"/>
        </w:rPr>
        <w:t>of</w:t>
      </w:r>
      <w:proofErr w:type="spellEnd"/>
      <w:r>
        <w:rPr>
          <w:rFonts w:eastAsia="Palatino Linotype"/>
          <w:sz w:val="22"/>
          <w:szCs w:val="22"/>
          <w:lang w:val="es-ES"/>
        </w:rPr>
        <w:t xml:space="preserve"> </w:t>
      </w:r>
      <w:proofErr w:type="spellStart"/>
      <w:r>
        <w:rPr>
          <w:rFonts w:eastAsia="Palatino Linotype"/>
          <w:sz w:val="22"/>
          <w:szCs w:val="22"/>
          <w:lang w:val="es-ES"/>
        </w:rPr>
        <w:t>the</w:t>
      </w:r>
      <w:proofErr w:type="spellEnd"/>
      <w:r>
        <w:rPr>
          <w:rFonts w:eastAsia="Palatino Linotype"/>
          <w:sz w:val="22"/>
          <w:szCs w:val="22"/>
          <w:lang w:val="es-ES"/>
        </w:rPr>
        <w:t xml:space="preserve"> </w:t>
      </w:r>
      <w:proofErr w:type="spellStart"/>
      <w:r>
        <w:rPr>
          <w:rFonts w:eastAsia="Palatino Linotype"/>
          <w:sz w:val="22"/>
          <w:szCs w:val="22"/>
          <w:lang w:val="es-ES"/>
        </w:rPr>
        <w:t>goods</w:t>
      </w:r>
      <w:proofErr w:type="spellEnd"/>
      <w:r>
        <w:rPr>
          <w:rFonts w:eastAsia="Palatino Linotype"/>
          <w:sz w:val="22"/>
          <w:szCs w:val="22"/>
          <w:lang w:val="es-ES"/>
        </w:rPr>
        <w:t xml:space="preserve"> and </w:t>
      </w:r>
      <w:proofErr w:type="spellStart"/>
      <w:r>
        <w:rPr>
          <w:rFonts w:eastAsia="Palatino Linotype"/>
          <w:sz w:val="22"/>
          <w:szCs w:val="22"/>
          <w:lang w:val="es-ES"/>
        </w:rPr>
        <w:t>services</w:t>
      </w:r>
      <w:proofErr w:type="spellEnd"/>
      <w:r>
        <w:rPr>
          <w:rFonts w:eastAsia="Palatino Linotype"/>
          <w:sz w:val="22"/>
          <w:szCs w:val="22"/>
          <w:lang w:val="es-ES"/>
        </w:rPr>
        <w:t xml:space="preserve"> </w:t>
      </w:r>
      <w:proofErr w:type="spellStart"/>
      <w:r>
        <w:rPr>
          <w:rFonts w:eastAsia="Palatino Linotype"/>
          <w:sz w:val="22"/>
          <w:szCs w:val="22"/>
          <w:lang w:val="es-ES"/>
        </w:rPr>
        <w:t>that</w:t>
      </w:r>
      <w:proofErr w:type="spellEnd"/>
      <w:r>
        <w:rPr>
          <w:rFonts w:eastAsia="Palatino Linotype"/>
          <w:sz w:val="22"/>
          <w:szCs w:val="22"/>
          <w:lang w:val="es-ES"/>
        </w:rPr>
        <w:t xml:space="preserve"> </w:t>
      </w:r>
      <w:proofErr w:type="spellStart"/>
      <w:r>
        <w:rPr>
          <w:rFonts w:eastAsia="Palatino Linotype"/>
          <w:sz w:val="22"/>
          <w:szCs w:val="22"/>
          <w:lang w:val="es-ES"/>
        </w:rPr>
        <w:t>it</w:t>
      </w:r>
      <w:proofErr w:type="spellEnd"/>
      <w:r>
        <w:rPr>
          <w:rFonts w:eastAsia="Palatino Linotype"/>
          <w:sz w:val="22"/>
          <w:szCs w:val="22"/>
          <w:lang w:val="es-ES"/>
        </w:rPr>
        <w:t xml:space="preserve"> </w:t>
      </w:r>
      <w:proofErr w:type="spellStart"/>
      <w:r>
        <w:rPr>
          <w:rFonts w:eastAsia="Palatino Linotype"/>
          <w:sz w:val="22"/>
          <w:szCs w:val="22"/>
          <w:lang w:val="es-ES"/>
        </w:rPr>
        <w:t>proposes</w:t>
      </w:r>
      <w:proofErr w:type="spellEnd"/>
      <w:r>
        <w:rPr>
          <w:rFonts w:eastAsia="Palatino Linotype"/>
          <w:sz w:val="22"/>
          <w:szCs w:val="22"/>
          <w:lang w:val="es-ES"/>
        </w:rPr>
        <w:t xml:space="preserve"> </w:t>
      </w:r>
      <w:proofErr w:type="spellStart"/>
      <w:r>
        <w:rPr>
          <w:rFonts w:eastAsia="Palatino Linotype"/>
          <w:sz w:val="22"/>
          <w:szCs w:val="22"/>
          <w:lang w:val="es-ES"/>
        </w:rPr>
        <w:t>to</w:t>
      </w:r>
      <w:proofErr w:type="spellEnd"/>
      <w:r>
        <w:rPr>
          <w:rFonts w:eastAsia="Palatino Linotype"/>
          <w:sz w:val="22"/>
          <w:szCs w:val="22"/>
          <w:lang w:val="es-ES"/>
        </w:rPr>
        <w:t xml:space="preserve"> </w:t>
      </w:r>
      <w:proofErr w:type="spellStart"/>
      <w:r>
        <w:rPr>
          <w:rFonts w:eastAsia="Palatino Linotype"/>
          <w:sz w:val="22"/>
          <w:szCs w:val="22"/>
          <w:lang w:val="es-ES"/>
        </w:rPr>
        <w:t>supply</w:t>
      </w:r>
      <w:proofErr w:type="spellEnd"/>
      <w:r>
        <w:rPr>
          <w:rFonts w:eastAsia="Palatino Linotype"/>
          <w:sz w:val="22"/>
          <w:szCs w:val="22"/>
          <w:lang w:val="es-ES"/>
        </w:rPr>
        <w:t xml:space="preserve"> </w:t>
      </w:r>
      <w:proofErr w:type="spellStart"/>
      <w:r>
        <w:rPr>
          <w:rFonts w:eastAsia="Palatino Linotype"/>
          <w:sz w:val="22"/>
          <w:szCs w:val="22"/>
          <w:lang w:val="es-ES"/>
        </w:rPr>
        <w:t>under</w:t>
      </w:r>
      <w:proofErr w:type="spellEnd"/>
      <w:r>
        <w:rPr>
          <w:rFonts w:eastAsia="Palatino Linotype"/>
          <w:sz w:val="22"/>
          <w:szCs w:val="22"/>
          <w:lang w:val="es-ES"/>
        </w:rPr>
        <w:t xml:space="preserve"> </w:t>
      </w:r>
      <w:proofErr w:type="spellStart"/>
      <w:r>
        <w:rPr>
          <w:rFonts w:eastAsia="Palatino Linotype"/>
          <w:sz w:val="22"/>
          <w:szCs w:val="22"/>
          <w:lang w:val="es-ES"/>
        </w:rPr>
        <w:t>the</w:t>
      </w:r>
      <w:proofErr w:type="spellEnd"/>
      <w:r>
        <w:rPr>
          <w:rFonts w:eastAsia="Palatino Linotype"/>
          <w:sz w:val="22"/>
          <w:szCs w:val="22"/>
          <w:lang w:val="es-ES"/>
        </w:rPr>
        <w:t xml:space="preserve"> </w:t>
      </w:r>
      <w:proofErr w:type="spellStart"/>
      <w:r>
        <w:rPr>
          <w:rFonts w:eastAsia="Palatino Linotype"/>
          <w:sz w:val="22"/>
          <w:szCs w:val="22"/>
          <w:lang w:val="es-ES"/>
        </w:rPr>
        <w:t>commercial</w:t>
      </w:r>
      <w:proofErr w:type="spellEnd"/>
      <w:r>
        <w:rPr>
          <w:rFonts w:eastAsia="Palatino Linotype"/>
          <w:sz w:val="22"/>
          <w:szCs w:val="22"/>
          <w:lang w:val="es-ES"/>
        </w:rPr>
        <w:t xml:space="preserve"> </w:t>
      </w:r>
      <w:proofErr w:type="spellStart"/>
      <w:r>
        <w:rPr>
          <w:rFonts w:eastAsia="Palatino Linotype"/>
          <w:sz w:val="22"/>
          <w:szCs w:val="22"/>
          <w:lang w:val="es-ES"/>
        </w:rPr>
        <w:t>conditions</w:t>
      </w:r>
      <w:proofErr w:type="spellEnd"/>
      <w:r>
        <w:rPr>
          <w:rFonts w:eastAsia="Palatino Linotype"/>
          <w:sz w:val="22"/>
          <w:szCs w:val="22"/>
          <w:lang w:val="es-ES"/>
        </w:rPr>
        <w:t xml:space="preserve"> </w:t>
      </w:r>
      <w:proofErr w:type="spellStart"/>
      <w:r>
        <w:rPr>
          <w:rFonts w:eastAsia="Palatino Linotype"/>
          <w:sz w:val="22"/>
          <w:szCs w:val="22"/>
          <w:lang w:val="es-ES"/>
        </w:rPr>
        <w:t>established</w:t>
      </w:r>
      <w:proofErr w:type="spellEnd"/>
      <w:r>
        <w:rPr>
          <w:rFonts w:eastAsia="Palatino Linotype"/>
          <w:sz w:val="22"/>
          <w:szCs w:val="22"/>
          <w:lang w:val="es-ES"/>
        </w:rPr>
        <w:t xml:space="preserve"> in </w:t>
      </w:r>
      <w:proofErr w:type="spellStart"/>
      <w:r>
        <w:rPr>
          <w:rFonts w:eastAsia="Palatino Linotype"/>
          <w:sz w:val="22"/>
          <w:szCs w:val="22"/>
          <w:lang w:val="es-ES"/>
        </w:rPr>
        <w:t>the</w:t>
      </w:r>
      <w:proofErr w:type="spellEnd"/>
      <w:r>
        <w:rPr>
          <w:rFonts w:eastAsia="Palatino Linotype"/>
          <w:sz w:val="22"/>
          <w:szCs w:val="22"/>
          <w:lang w:val="es-ES"/>
        </w:rPr>
        <w:t xml:space="preserve"> Special </w:t>
      </w:r>
      <w:proofErr w:type="spellStart"/>
      <w:r>
        <w:rPr>
          <w:rFonts w:eastAsia="Palatino Linotype"/>
          <w:sz w:val="22"/>
          <w:szCs w:val="22"/>
          <w:lang w:val="es-ES"/>
        </w:rPr>
        <w:t>Specifications</w:t>
      </w:r>
      <w:proofErr w:type="spellEnd"/>
      <w:r>
        <w:rPr>
          <w:rFonts w:eastAsia="Palatino Linotype"/>
          <w:sz w:val="22"/>
          <w:szCs w:val="22"/>
          <w:lang w:val="es-ES"/>
        </w:rPr>
        <w:t xml:space="preserve">, </w:t>
      </w:r>
      <w:proofErr w:type="spellStart"/>
      <w:r>
        <w:rPr>
          <w:rFonts w:eastAsia="Palatino Linotype"/>
          <w:sz w:val="22"/>
          <w:szCs w:val="22"/>
          <w:lang w:val="es-ES"/>
        </w:rPr>
        <w:t>which</w:t>
      </w:r>
      <w:proofErr w:type="spellEnd"/>
      <w:r>
        <w:rPr>
          <w:rFonts w:eastAsia="Palatino Linotype"/>
          <w:sz w:val="22"/>
          <w:szCs w:val="22"/>
          <w:lang w:val="es-ES"/>
        </w:rPr>
        <w:t xml:space="preserve"> </w:t>
      </w:r>
      <w:proofErr w:type="spellStart"/>
      <w:r>
        <w:rPr>
          <w:rFonts w:eastAsia="Palatino Linotype"/>
          <w:sz w:val="22"/>
          <w:szCs w:val="22"/>
          <w:lang w:val="es-ES"/>
        </w:rPr>
        <w:t>will</w:t>
      </w:r>
      <w:proofErr w:type="spellEnd"/>
      <w:r>
        <w:rPr>
          <w:rFonts w:eastAsia="Palatino Linotype"/>
          <w:sz w:val="22"/>
          <w:szCs w:val="22"/>
          <w:lang w:val="es-ES"/>
        </w:rPr>
        <w:t xml:space="preserve"> </w:t>
      </w:r>
      <w:proofErr w:type="spellStart"/>
      <w:r>
        <w:rPr>
          <w:rFonts w:eastAsia="Palatino Linotype"/>
          <w:sz w:val="22"/>
          <w:szCs w:val="22"/>
          <w:lang w:val="es-ES"/>
        </w:rPr>
        <w:t>establish</w:t>
      </w:r>
      <w:proofErr w:type="spellEnd"/>
      <w:r>
        <w:rPr>
          <w:rFonts w:eastAsia="Palatino Linotype"/>
          <w:sz w:val="22"/>
          <w:szCs w:val="22"/>
          <w:lang w:val="es-ES"/>
        </w:rPr>
        <w:t xml:space="preserve"> </w:t>
      </w:r>
      <w:proofErr w:type="spellStart"/>
      <w:r>
        <w:rPr>
          <w:rFonts w:eastAsia="Palatino Linotype"/>
          <w:sz w:val="22"/>
          <w:szCs w:val="22"/>
          <w:lang w:val="es-ES"/>
        </w:rPr>
        <w:t>the</w:t>
      </w:r>
      <w:proofErr w:type="spellEnd"/>
      <w:r>
        <w:rPr>
          <w:rFonts w:eastAsia="Palatino Linotype"/>
          <w:sz w:val="22"/>
          <w:szCs w:val="22"/>
          <w:lang w:val="es-ES"/>
        </w:rPr>
        <w:t xml:space="preserve"> </w:t>
      </w:r>
      <w:proofErr w:type="spellStart"/>
      <w:r>
        <w:rPr>
          <w:rFonts w:eastAsia="Palatino Linotype"/>
          <w:sz w:val="22"/>
          <w:szCs w:val="22"/>
          <w:lang w:val="es-ES"/>
        </w:rPr>
        <w:t>currency</w:t>
      </w:r>
      <w:proofErr w:type="spellEnd"/>
      <w:r>
        <w:rPr>
          <w:rFonts w:eastAsia="Palatino Linotype"/>
          <w:sz w:val="22"/>
          <w:szCs w:val="22"/>
          <w:lang w:val="es-ES"/>
        </w:rPr>
        <w:t xml:space="preserve"> </w:t>
      </w:r>
      <w:proofErr w:type="spellStart"/>
      <w:r>
        <w:rPr>
          <w:rFonts w:eastAsia="Palatino Linotype"/>
          <w:sz w:val="22"/>
          <w:szCs w:val="22"/>
          <w:lang w:val="es-ES"/>
        </w:rPr>
        <w:t>or</w:t>
      </w:r>
      <w:proofErr w:type="spellEnd"/>
      <w:r>
        <w:rPr>
          <w:rFonts w:eastAsia="Palatino Linotype"/>
          <w:sz w:val="22"/>
          <w:szCs w:val="22"/>
          <w:lang w:val="es-ES"/>
        </w:rPr>
        <w:t xml:space="preserve"> </w:t>
      </w:r>
      <w:proofErr w:type="spellStart"/>
      <w:r>
        <w:rPr>
          <w:rFonts w:eastAsia="Palatino Linotype"/>
          <w:sz w:val="22"/>
          <w:szCs w:val="22"/>
          <w:lang w:val="es-ES"/>
        </w:rPr>
        <w:t>currencies</w:t>
      </w:r>
      <w:proofErr w:type="spellEnd"/>
      <w:r>
        <w:rPr>
          <w:rFonts w:eastAsia="Palatino Linotype"/>
          <w:sz w:val="22"/>
          <w:szCs w:val="22"/>
          <w:lang w:val="es-ES"/>
        </w:rPr>
        <w:t xml:space="preserve"> in </w:t>
      </w:r>
      <w:proofErr w:type="spellStart"/>
      <w:r>
        <w:rPr>
          <w:rFonts w:eastAsia="Palatino Linotype"/>
          <w:sz w:val="22"/>
          <w:szCs w:val="22"/>
          <w:lang w:val="es-ES"/>
        </w:rPr>
        <w:t>which</w:t>
      </w:r>
      <w:proofErr w:type="spellEnd"/>
      <w:r>
        <w:rPr>
          <w:rFonts w:eastAsia="Palatino Linotype"/>
          <w:sz w:val="22"/>
          <w:szCs w:val="22"/>
          <w:lang w:val="es-ES"/>
        </w:rPr>
        <w:t xml:space="preserve"> </w:t>
      </w:r>
      <w:proofErr w:type="spellStart"/>
      <w:r>
        <w:rPr>
          <w:rFonts w:eastAsia="Palatino Linotype"/>
          <w:sz w:val="22"/>
          <w:szCs w:val="22"/>
          <w:lang w:val="es-ES"/>
        </w:rPr>
        <w:t>it</w:t>
      </w:r>
      <w:proofErr w:type="spellEnd"/>
      <w:r>
        <w:rPr>
          <w:rFonts w:eastAsia="Palatino Linotype"/>
          <w:sz w:val="22"/>
          <w:szCs w:val="22"/>
          <w:lang w:val="es-ES"/>
        </w:rPr>
        <w:t xml:space="preserve"> </w:t>
      </w:r>
      <w:proofErr w:type="spellStart"/>
      <w:r>
        <w:rPr>
          <w:rFonts w:eastAsia="Palatino Linotype"/>
          <w:sz w:val="22"/>
          <w:szCs w:val="22"/>
          <w:lang w:val="es-ES"/>
        </w:rPr>
        <w:t>must</w:t>
      </w:r>
      <w:proofErr w:type="spellEnd"/>
      <w:r>
        <w:rPr>
          <w:rFonts w:eastAsia="Palatino Linotype"/>
          <w:sz w:val="22"/>
          <w:szCs w:val="22"/>
          <w:lang w:val="es-ES"/>
        </w:rPr>
        <w:t xml:space="preserve"> be </w:t>
      </w:r>
      <w:proofErr w:type="spellStart"/>
      <w:r>
        <w:rPr>
          <w:rFonts w:eastAsia="Palatino Linotype"/>
          <w:sz w:val="22"/>
          <w:szCs w:val="22"/>
          <w:lang w:val="es-ES"/>
        </w:rPr>
        <w:t>quoted</w:t>
      </w:r>
      <w:proofErr w:type="spellEnd"/>
      <w:r>
        <w:rPr>
          <w:rFonts w:eastAsia="Palatino Linotype"/>
          <w:sz w:val="22"/>
          <w:szCs w:val="22"/>
          <w:lang w:val="es-ES"/>
        </w:rPr>
        <w:t xml:space="preserve"> and </w:t>
      </w:r>
      <w:proofErr w:type="spellStart"/>
      <w:r>
        <w:rPr>
          <w:rFonts w:eastAsia="Palatino Linotype"/>
          <w:sz w:val="22"/>
          <w:szCs w:val="22"/>
          <w:lang w:val="es-ES"/>
        </w:rPr>
        <w:t>the</w:t>
      </w:r>
      <w:proofErr w:type="spellEnd"/>
      <w:r>
        <w:rPr>
          <w:rFonts w:eastAsia="Palatino Linotype"/>
          <w:sz w:val="22"/>
          <w:szCs w:val="22"/>
          <w:lang w:val="es-ES"/>
        </w:rPr>
        <w:t xml:space="preserve"> </w:t>
      </w:r>
      <w:proofErr w:type="spellStart"/>
      <w:r>
        <w:rPr>
          <w:rFonts w:eastAsia="Palatino Linotype"/>
          <w:sz w:val="22"/>
          <w:szCs w:val="22"/>
          <w:lang w:val="es-ES"/>
        </w:rPr>
        <w:t>payment</w:t>
      </w:r>
      <w:proofErr w:type="spellEnd"/>
      <w:r>
        <w:rPr>
          <w:rFonts w:eastAsia="Palatino Linotype"/>
          <w:sz w:val="22"/>
          <w:szCs w:val="22"/>
          <w:lang w:val="es-ES"/>
        </w:rPr>
        <w:t xml:space="preserve"> </w:t>
      </w:r>
      <w:proofErr w:type="spellStart"/>
      <w:r>
        <w:rPr>
          <w:rFonts w:eastAsia="Palatino Linotype"/>
          <w:sz w:val="22"/>
          <w:szCs w:val="22"/>
          <w:lang w:val="es-ES"/>
        </w:rPr>
        <w:t>instruments</w:t>
      </w:r>
      <w:proofErr w:type="spellEnd"/>
      <w:r>
        <w:rPr>
          <w:rFonts w:eastAsia="Palatino Linotype"/>
          <w:sz w:val="22"/>
          <w:szCs w:val="22"/>
          <w:lang w:val="es-ES"/>
        </w:rPr>
        <w:t xml:space="preserve"> </w:t>
      </w:r>
      <w:proofErr w:type="spellStart"/>
      <w:r>
        <w:rPr>
          <w:rFonts w:eastAsia="Palatino Linotype"/>
          <w:sz w:val="22"/>
          <w:szCs w:val="22"/>
          <w:lang w:val="es-ES"/>
        </w:rPr>
        <w:t>that</w:t>
      </w:r>
      <w:proofErr w:type="spellEnd"/>
      <w:r>
        <w:rPr>
          <w:rFonts w:eastAsia="Palatino Linotype"/>
          <w:sz w:val="22"/>
          <w:szCs w:val="22"/>
          <w:lang w:val="es-ES"/>
        </w:rPr>
        <w:t xml:space="preserve"> can be </w:t>
      </w:r>
      <w:proofErr w:type="spellStart"/>
      <w:r>
        <w:rPr>
          <w:rFonts w:eastAsia="Palatino Linotype"/>
          <w:sz w:val="22"/>
          <w:szCs w:val="22"/>
          <w:lang w:val="es-ES"/>
        </w:rPr>
        <w:t>used</w:t>
      </w:r>
      <w:proofErr w:type="spellEnd"/>
      <w:r>
        <w:rPr>
          <w:rFonts w:eastAsia="Palatino Linotype"/>
          <w:sz w:val="22"/>
          <w:szCs w:val="22"/>
          <w:lang w:val="es-ES"/>
        </w:rPr>
        <w:t>.</w:t>
      </w:r>
    </w:p>
    <w:p w14:paraId="207B7661" w14:textId="77777777" w:rsidR="00E255F4" w:rsidRDefault="00000000">
      <w:pPr>
        <w:spacing w:after="120"/>
        <w:rPr>
          <w:rFonts w:eastAsia="Palatino Linotype"/>
          <w:lang w:val="es-ES"/>
        </w:rPr>
      </w:pPr>
      <w:r>
        <w:rPr>
          <w:rFonts w:eastAsia="Palatino Linotype"/>
          <w:b/>
          <w:spacing w:val="-1"/>
          <w:sz w:val="22"/>
          <w:szCs w:val="22"/>
          <w:lang w:val="es-ES"/>
        </w:rPr>
        <w:t xml:space="preserve">10.3.1 </w:t>
      </w:r>
      <w:proofErr w:type="spellStart"/>
      <w:r>
        <w:rPr>
          <w:rFonts w:eastAsia="Palatino Linotype"/>
          <w:b/>
          <w:spacing w:val="-1"/>
          <w:sz w:val="22"/>
          <w:szCs w:val="22"/>
          <w:lang w:val="es-ES"/>
        </w:rPr>
        <w:t>Discrepancies</w:t>
      </w:r>
      <w:proofErr w:type="spellEnd"/>
      <w:r>
        <w:rPr>
          <w:rFonts w:eastAsia="Palatino Linotype"/>
          <w:b/>
          <w:spacing w:val="-1"/>
          <w:sz w:val="22"/>
          <w:szCs w:val="22"/>
          <w:lang w:val="es-ES"/>
        </w:rPr>
        <w:tab/>
      </w:r>
    </w:p>
    <w:p w14:paraId="3B7917B8" w14:textId="77777777" w:rsidR="00E255F4" w:rsidRDefault="00000000">
      <w:pPr>
        <w:ind w:right="-142"/>
        <w:jc w:val="both"/>
        <w:rPr>
          <w:rFonts w:eastAsia="Palatino Linotype"/>
          <w:sz w:val="22"/>
          <w:szCs w:val="22"/>
          <w:lang w:val="es-ES"/>
        </w:rPr>
      </w:pPr>
      <w:proofErr w:type="spellStart"/>
      <w:r>
        <w:rPr>
          <w:rFonts w:eastAsia="Palatino Linotype"/>
          <w:spacing w:val="-1"/>
          <w:sz w:val="22"/>
          <w:szCs w:val="22"/>
          <w:lang w:val="es-ES"/>
        </w:rPr>
        <w:t>S</w:t>
      </w:r>
      <w:r>
        <w:rPr>
          <w:rFonts w:eastAsia="Palatino Linotype"/>
          <w:sz w:val="22"/>
          <w:szCs w:val="22"/>
          <w:lang w:val="es-ES"/>
        </w:rPr>
        <w:t>If</w:t>
      </w:r>
      <w:proofErr w:type="spellEnd"/>
      <w:r>
        <w:rPr>
          <w:rFonts w:eastAsia="Palatino Linotype"/>
          <w:sz w:val="22"/>
          <w:szCs w:val="22"/>
          <w:lang w:val="es-ES"/>
        </w:rPr>
        <w:t xml:space="preserve"> </w:t>
      </w:r>
      <w:proofErr w:type="spellStart"/>
      <w:r>
        <w:rPr>
          <w:rFonts w:eastAsia="Palatino Linotype"/>
          <w:sz w:val="22"/>
          <w:szCs w:val="22"/>
          <w:lang w:val="es-ES"/>
        </w:rPr>
        <w:t>there</w:t>
      </w:r>
      <w:proofErr w:type="spellEnd"/>
      <w:r>
        <w:rPr>
          <w:rFonts w:eastAsia="Palatino Linotype"/>
          <w:sz w:val="22"/>
          <w:szCs w:val="22"/>
          <w:lang w:val="es-ES"/>
        </w:rPr>
        <w:t xml:space="preserve"> </w:t>
      </w:r>
      <w:proofErr w:type="spellStart"/>
      <w:r>
        <w:rPr>
          <w:rFonts w:eastAsia="Palatino Linotype"/>
          <w:sz w:val="22"/>
          <w:szCs w:val="22"/>
          <w:lang w:val="es-ES"/>
        </w:rPr>
        <w:t>is</w:t>
      </w:r>
      <w:proofErr w:type="spellEnd"/>
      <w:r>
        <w:rPr>
          <w:rFonts w:eastAsia="Palatino Linotype"/>
          <w:sz w:val="22"/>
          <w:szCs w:val="22"/>
          <w:lang w:val="es-ES"/>
        </w:rPr>
        <w:t xml:space="preserve"> a </w:t>
      </w:r>
      <w:proofErr w:type="spellStart"/>
      <w:r>
        <w:rPr>
          <w:rFonts w:eastAsia="Palatino Linotype"/>
          <w:sz w:val="22"/>
          <w:szCs w:val="22"/>
          <w:lang w:val="es-ES"/>
        </w:rPr>
        <w:t>discrepancy</w:t>
      </w:r>
      <w:proofErr w:type="spellEnd"/>
      <w:r>
        <w:rPr>
          <w:rFonts w:eastAsia="Palatino Linotype"/>
          <w:sz w:val="22"/>
          <w:szCs w:val="22"/>
          <w:lang w:val="es-ES"/>
        </w:rPr>
        <w:t xml:space="preserve"> in </w:t>
      </w:r>
      <w:proofErr w:type="spellStart"/>
      <w:r>
        <w:rPr>
          <w:rFonts w:eastAsia="Palatino Linotype"/>
          <w:sz w:val="22"/>
          <w:szCs w:val="22"/>
          <w:lang w:val="es-ES"/>
        </w:rPr>
        <w:t>the</w:t>
      </w:r>
      <w:proofErr w:type="spellEnd"/>
      <w:r>
        <w:rPr>
          <w:rFonts w:eastAsia="Palatino Linotype"/>
          <w:sz w:val="22"/>
          <w:szCs w:val="22"/>
          <w:lang w:val="es-ES"/>
        </w:rPr>
        <w:t xml:space="preserve"> </w:t>
      </w:r>
      <w:proofErr w:type="spellStart"/>
      <w:r>
        <w:rPr>
          <w:rFonts w:eastAsia="Palatino Linotype"/>
          <w:sz w:val="22"/>
          <w:szCs w:val="22"/>
          <w:lang w:val="es-ES"/>
        </w:rPr>
        <w:t>offer</w:t>
      </w:r>
      <w:proofErr w:type="spellEnd"/>
      <w:r>
        <w:rPr>
          <w:rFonts w:eastAsia="Palatino Linotype"/>
          <w:sz w:val="22"/>
          <w:szCs w:val="22"/>
          <w:lang w:val="es-ES"/>
        </w:rPr>
        <w:t xml:space="preserve"> </w:t>
      </w:r>
      <w:proofErr w:type="spellStart"/>
      <w:r>
        <w:rPr>
          <w:rFonts w:eastAsia="Palatino Linotype"/>
          <w:sz w:val="22"/>
          <w:szCs w:val="22"/>
          <w:lang w:val="es-ES"/>
        </w:rPr>
        <w:t>between</w:t>
      </w:r>
      <w:proofErr w:type="spellEnd"/>
      <w:r>
        <w:rPr>
          <w:rFonts w:eastAsia="Palatino Linotype"/>
          <w:sz w:val="22"/>
          <w:szCs w:val="22"/>
          <w:lang w:val="es-ES"/>
        </w:rPr>
        <w:t xml:space="preserve"> </w:t>
      </w:r>
      <w:proofErr w:type="spellStart"/>
      <w:r>
        <w:rPr>
          <w:rFonts w:eastAsia="Palatino Linotype"/>
          <w:sz w:val="22"/>
          <w:szCs w:val="22"/>
          <w:lang w:val="es-ES"/>
        </w:rPr>
        <w:t>the</w:t>
      </w:r>
      <w:proofErr w:type="spellEnd"/>
      <w:r>
        <w:rPr>
          <w:rFonts w:eastAsia="Palatino Linotype"/>
          <w:sz w:val="22"/>
          <w:szCs w:val="22"/>
          <w:lang w:val="es-ES"/>
        </w:rPr>
        <w:t xml:space="preserve"> </w:t>
      </w:r>
      <w:proofErr w:type="spellStart"/>
      <w:r>
        <w:rPr>
          <w:rFonts w:eastAsia="Palatino Linotype"/>
          <w:sz w:val="22"/>
          <w:szCs w:val="22"/>
          <w:lang w:val="es-ES"/>
        </w:rPr>
        <w:t>unit</w:t>
      </w:r>
      <w:proofErr w:type="spellEnd"/>
      <w:r>
        <w:rPr>
          <w:rFonts w:eastAsia="Palatino Linotype"/>
          <w:sz w:val="22"/>
          <w:szCs w:val="22"/>
          <w:lang w:val="es-ES"/>
        </w:rPr>
        <w:t xml:space="preserve"> </w:t>
      </w:r>
      <w:proofErr w:type="spellStart"/>
      <w:r>
        <w:rPr>
          <w:rFonts w:eastAsia="Palatino Linotype"/>
          <w:sz w:val="22"/>
          <w:szCs w:val="22"/>
          <w:lang w:val="es-ES"/>
        </w:rPr>
        <w:t>prices</w:t>
      </w:r>
      <w:proofErr w:type="spellEnd"/>
      <w:r>
        <w:rPr>
          <w:rFonts w:eastAsia="Palatino Linotype"/>
          <w:sz w:val="22"/>
          <w:szCs w:val="22"/>
          <w:lang w:val="es-ES"/>
        </w:rPr>
        <w:t xml:space="preserve"> and </w:t>
      </w:r>
      <w:proofErr w:type="spellStart"/>
      <w:r>
        <w:rPr>
          <w:rFonts w:eastAsia="Palatino Linotype"/>
          <w:sz w:val="22"/>
          <w:szCs w:val="22"/>
          <w:lang w:val="es-ES"/>
        </w:rPr>
        <w:t>the</w:t>
      </w:r>
      <w:proofErr w:type="spellEnd"/>
      <w:r>
        <w:rPr>
          <w:rFonts w:eastAsia="Palatino Linotype"/>
          <w:sz w:val="22"/>
          <w:szCs w:val="22"/>
          <w:lang w:val="es-ES"/>
        </w:rPr>
        <w:t xml:space="preserve"> total </w:t>
      </w:r>
      <w:proofErr w:type="spellStart"/>
      <w:r>
        <w:rPr>
          <w:rFonts w:eastAsia="Palatino Linotype"/>
          <w:sz w:val="22"/>
          <w:szCs w:val="22"/>
          <w:lang w:val="es-ES"/>
        </w:rPr>
        <w:t>prices</w:t>
      </w:r>
      <w:proofErr w:type="spellEnd"/>
      <w:r>
        <w:rPr>
          <w:rFonts w:eastAsia="Palatino Linotype"/>
          <w:sz w:val="22"/>
          <w:szCs w:val="22"/>
          <w:lang w:val="es-ES"/>
        </w:rPr>
        <w:t xml:space="preserve">, </w:t>
      </w:r>
      <w:proofErr w:type="spellStart"/>
      <w:r>
        <w:rPr>
          <w:rFonts w:eastAsia="Palatino Linotype"/>
          <w:sz w:val="22"/>
          <w:szCs w:val="22"/>
          <w:lang w:val="es-ES"/>
        </w:rPr>
        <w:t>the</w:t>
      </w:r>
      <w:proofErr w:type="spellEnd"/>
      <w:r>
        <w:rPr>
          <w:rFonts w:eastAsia="Palatino Linotype"/>
          <w:sz w:val="22"/>
          <w:szCs w:val="22"/>
          <w:lang w:val="es-ES"/>
        </w:rPr>
        <w:t xml:space="preserve"> </w:t>
      </w:r>
      <w:proofErr w:type="spellStart"/>
      <w:r>
        <w:rPr>
          <w:rFonts w:eastAsia="Palatino Linotype"/>
          <w:sz w:val="22"/>
          <w:szCs w:val="22"/>
          <w:lang w:val="es-ES"/>
        </w:rPr>
        <w:t>prices</w:t>
      </w:r>
      <w:proofErr w:type="spellEnd"/>
      <w:r>
        <w:rPr>
          <w:rFonts w:eastAsia="Palatino Linotype"/>
          <w:sz w:val="22"/>
          <w:szCs w:val="22"/>
          <w:lang w:val="es-ES"/>
        </w:rPr>
        <w:t xml:space="preserve"> </w:t>
      </w:r>
      <w:proofErr w:type="spellStart"/>
      <w:r>
        <w:rPr>
          <w:rFonts w:eastAsia="Palatino Linotype"/>
          <w:sz w:val="22"/>
          <w:szCs w:val="22"/>
          <w:lang w:val="es-ES"/>
        </w:rPr>
        <w:t>established</w:t>
      </w:r>
      <w:proofErr w:type="spellEnd"/>
      <w:r>
        <w:rPr>
          <w:rFonts w:eastAsia="Palatino Linotype"/>
          <w:sz w:val="22"/>
          <w:szCs w:val="22"/>
          <w:lang w:val="es-ES"/>
        </w:rPr>
        <w:t xml:space="preserve"> in </w:t>
      </w:r>
      <w:proofErr w:type="spellStart"/>
      <w:r>
        <w:rPr>
          <w:rFonts w:eastAsia="Palatino Linotype"/>
          <w:sz w:val="22"/>
          <w:szCs w:val="22"/>
          <w:lang w:val="es-ES"/>
        </w:rPr>
        <w:t>the</w:t>
      </w:r>
      <w:proofErr w:type="spellEnd"/>
      <w:r>
        <w:rPr>
          <w:rFonts w:eastAsia="Palatino Linotype"/>
          <w:sz w:val="22"/>
          <w:szCs w:val="22"/>
          <w:lang w:val="es-ES"/>
        </w:rPr>
        <w:t xml:space="preserve"> </w:t>
      </w:r>
      <w:proofErr w:type="spellStart"/>
      <w:r>
        <w:rPr>
          <w:rFonts w:eastAsia="Palatino Linotype"/>
          <w:sz w:val="22"/>
          <w:szCs w:val="22"/>
          <w:lang w:val="es-ES"/>
        </w:rPr>
        <w:t>unit</w:t>
      </w:r>
      <w:proofErr w:type="spellEnd"/>
      <w:r>
        <w:rPr>
          <w:rFonts w:eastAsia="Palatino Linotype"/>
          <w:sz w:val="22"/>
          <w:szCs w:val="22"/>
          <w:lang w:val="es-ES"/>
        </w:rPr>
        <w:t xml:space="preserve"> </w:t>
      </w:r>
      <w:proofErr w:type="spellStart"/>
      <w:r>
        <w:rPr>
          <w:rFonts w:eastAsia="Palatino Linotype"/>
          <w:sz w:val="22"/>
          <w:szCs w:val="22"/>
          <w:lang w:val="es-ES"/>
        </w:rPr>
        <w:t>prices</w:t>
      </w:r>
      <w:proofErr w:type="spellEnd"/>
      <w:r>
        <w:rPr>
          <w:rFonts w:eastAsia="Palatino Linotype"/>
          <w:sz w:val="22"/>
          <w:szCs w:val="22"/>
          <w:lang w:val="es-ES"/>
        </w:rPr>
        <w:t xml:space="preserve"> </w:t>
      </w:r>
      <w:proofErr w:type="spellStart"/>
      <w:r>
        <w:rPr>
          <w:rFonts w:eastAsia="Palatino Linotype"/>
          <w:sz w:val="22"/>
          <w:szCs w:val="22"/>
          <w:lang w:val="es-ES"/>
        </w:rPr>
        <w:t>will</w:t>
      </w:r>
      <w:proofErr w:type="spellEnd"/>
      <w:r>
        <w:rPr>
          <w:rFonts w:eastAsia="Palatino Linotype"/>
          <w:sz w:val="22"/>
          <w:szCs w:val="22"/>
          <w:lang w:val="es-ES"/>
        </w:rPr>
        <w:t xml:space="preserve"> </w:t>
      </w:r>
      <w:proofErr w:type="spellStart"/>
      <w:r>
        <w:rPr>
          <w:rFonts w:eastAsia="Palatino Linotype"/>
          <w:sz w:val="22"/>
          <w:szCs w:val="22"/>
          <w:lang w:val="es-ES"/>
        </w:rPr>
        <w:t>prevail</w:t>
      </w:r>
      <w:proofErr w:type="spellEnd"/>
      <w:r>
        <w:rPr>
          <w:rFonts w:eastAsia="Palatino Linotype"/>
          <w:sz w:val="22"/>
          <w:szCs w:val="22"/>
          <w:lang w:val="es-ES"/>
        </w:rPr>
        <w:t>.</w:t>
      </w:r>
    </w:p>
    <w:p w14:paraId="2F8FB554" w14:textId="77777777" w:rsidR="00E255F4" w:rsidRDefault="00E255F4">
      <w:pPr>
        <w:ind w:right="-142"/>
        <w:jc w:val="both"/>
        <w:rPr>
          <w:rFonts w:eastAsia="Palatino Linotype"/>
          <w:sz w:val="22"/>
          <w:szCs w:val="22"/>
          <w:lang w:val="es-ES"/>
        </w:rPr>
      </w:pPr>
    </w:p>
    <w:p w14:paraId="372C15EF" w14:textId="77777777" w:rsidR="00E255F4" w:rsidRDefault="00000000">
      <w:pPr>
        <w:ind w:right="-142"/>
        <w:jc w:val="both"/>
      </w:pPr>
      <w:proofErr w:type="spellStart"/>
      <w:r>
        <w:rPr>
          <w:rFonts w:eastAsia="Palatino Linotype"/>
          <w:spacing w:val="-1"/>
          <w:sz w:val="22"/>
          <w:szCs w:val="22"/>
          <w:lang w:val="es-ES"/>
        </w:rPr>
        <w:t>When</w:t>
      </w:r>
      <w:r>
        <w:rPr>
          <w:rFonts w:eastAsia="Palatino Linotype"/>
          <w:sz w:val="22"/>
          <w:szCs w:val="22"/>
          <w:lang w:val="es-ES"/>
        </w:rPr>
        <w:t>or</w:t>
      </w:r>
      <w:proofErr w:type="spellEnd"/>
      <w:r>
        <w:rPr>
          <w:rFonts w:eastAsia="Palatino Linotype"/>
          <w:sz w:val="22"/>
          <w:szCs w:val="22"/>
          <w:lang w:val="es-ES"/>
        </w:rPr>
        <w:t xml:space="preserve"> </w:t>
      </w:r>
      <w:proofErr w:type="spellStart"/>
      <w:r>
        <w:rPr>
          <w:rFonts w:eastAsia="Palatino Linotype"/>
          <w:sz w:val="22"/>
          <w:szCs w:val="22"/>
          <w:lang w:val="es-ES"/>
        </w:rPr>
        <w:t>if</w:t>
      </w:r>
      <w:proofErr w:type="spellEnd"/>
      <w:r>
        <w:rPr>
          <w:rFonts w:eastAsia="Palatino Linotype"/>
          <w:sz w:val="22"/>
          <w:szCs w:val="22"/>
          <w:lang w:val="es-ES"/>
        </w:rPr>
        <w:t xml:space="preserve"> </w:t>
      </w:r>
      <w:proofErr w:type="spellStart"/>
      <w:r>
        <w:rPr>
          <w:rFonts w:eastAsia="Palatino Linotype"/>
          <w:sz w:val="22"/>
          <w:szCs w:val="22"/>
          <w:lang w:val="es-ES"/>
        </w:rPr>
        <w:t>there</w:t>
      </w:r>
      <w:proofErr w:type="spellEnd"/>
      <w:r>
        <w:rPr>
          <w:rFonts w:eastAsia="Palatino Linotype"/>
          <w:sz w:val="22"/>
          <w:szCs w:val="22"/>
          <w:lang w:val="es-ES"/>
        </w:rPr>
        <w:t xml:space="preserve"> </w:t>
      </w:r>
      <w:proofErr w:type="spellStart"/>
      <w:r>
        <w:rPr>
          <w:rFonts w:eastAsia="Palatino Linotype"/>
          <w:sz w:val="22"/>
          <w:szCs w:val="22"/>
          <w:lang w:val="es-ES"/>
        </w:rPr>
        <w:t>is</w:t>
      </w:r>
      <w:proofErr w:type="spellEnd"/>
      <w:r>
        <w:rPr>
          <w:rFonts w:eastAsia="Palatino Linotype"/>
          <w:sz w:val="22"/>
          <w:szCs w:val="22"/>
          <w:lang w:val="es-ES"/>
        </w:rPr>
        <w:t xml:space="preserve"> a </w:t>
      </w:r>
      <w:proofErr w:type="spellStart"/>
      <w:r>
        <w:rPr>
          <w:rFonts w:eastAsia="Palatino Linotype"/>
          <w:sz w:val="22"/>
          <w:szCs w:val="22"/>
          <w:lang w:val="es-ES"/>
        </w:rPr>
        <w:t>difference</w:t>
      </w:r>
      <w:proofErr w:type="spellEnd"/>
      <w:r>
        <w:rPr>
          <w:rFonts w:eastAsia="Palatino Linotype"/>
          <w:sz w:val="22"/>
          <w:szCs w:val="22"/>
          <w:lang w:val="es-ES"/>
        </w:rPr>
        <w:t xml:space="preserve"> </w:t>
      </w:r>
      <w:proofErr w:type="spellStart"/>
      <w:r>
        <w:rPr>
          <w:rFonts w:eastAsia="Palatino Linotype"/>
          <w:sz w:val="22"/>
          <w:szCs w:val="22"/>
          <w:lang w:val="es-ES"/>
        </w:rPr>
        <w:t>between</w:t>
      </w:r>
      <w:proofErr w:type="spellEnd"/>
      <w:r>
        <w:rPr>
          <w:rFonts w:eastAsia="Palatino Linotype"/>
          <w:sz w:val="22"/>
          <w:szCs w:val="22"/>
          <w:lang w:val="es-ES"/>
        </w:rPr>
        <w:t xml:space="preserve"> </w:t>
      </w:r>
      <w:proofErr w:type="spellStart"/>
      <w:r>
        <w:rPr>
          <w:rFonts w:eastAsia="Palatino Linotype"/>
          <w:sz w:val="22"/>
          <w:szCs w:val="22"/>
          <w:lang w:val="es-ES"/>
        </w:rPr>
        <w:t>the</w:t>
      </w:r>
      <w:proofErr w:type="spellEnd"/>
      <w:r>
        <w:rPr>
          <w:rFonts w:eastAsia="Palatino Linotype"/>
          <w:sz w:val="22"/>
          <w:szCs w:val="22"/>
          <w:lang w:val="es-ES"/>
        </w:rPr>
        <w:t xml:space="preserve"> </w:t>
      </w:r>
      <w:proofErr w:type="spellStart"/>
      <w:r>
        <w:rPr>
          <w:rFonts w:eastAsia="Palatino Linotype"/>
          <w:sz w:val="22"/>
          <w:szCs w:val="22"/>
          <w:lang w:val="es-ES"/>
        </w:rPr>
        <w:t>amount</w:t>
      </w:r>
      <w:proofErr w:type="spellEnd"/>
      <w:r>
        <w:rPr>
          <w:rFonts w:eastAsia="Palatino Linotype"/>
          <w:sz w:val="22"/>
          <w:szCs w:val="22"/>
          <w:lang w:val="es-ES"/>
        </w:rPr>
        <w:t xml:space="preserve"> </w:t>
      </w:r>
      <w:proofErr w:type="spellStart"/>
      <w:r>
        <w:rPr>
          <w:rFonts w:eastAsia="Palatino Linotype"/>
          <w:sz w:val="22"/>
          <w:szCs w:val="22"/>
          <w:lang w:val="es-ES"/>
        </w:rPr>
        <w:t>written</w:t>
      </w:r>
      <w:proofErr w:type="spellEnd"/>
      <w:r>
        <w:rPr>
          <w:rFonts w:eastAsia="Palatino Linotype"/>
          <w:sz w:val="22"/>
          <w:szCs w:val="22"/>
          <w:lang w:val="es-ES"/>
        </w:rPr>
        <w:t xml:space="preserve"> in </w:t>
      </w:r>
      <w:proofErr w:type="spellStart"/>
      <w:r>
        <w:rPr>
          <w:rFonts w:eastAsia="Palatino Linotype"/>
          <w:sz w:val="22"/>
          <w:szCs w:val="22"/>
          <w:lang w:val="es-ES"/>
        </w:rPr>
        <w:t>numbers</w:t>
      </w:r>
      <w:proofErr w:type="spellEnd"/>
      <w:r>
        <w:rPr>
          <w:rFonts w:eastAsia="Palatino Linotype"/>
          <w:sz w:val="22"/>
          <w:szCs w:val="22"/>
          <w:lang w:val="es-ES"/>
        </w:rPr>
        <w:t xml:space="preserve"> and in </w:t>
      </w:r>
      <w:proofErr w:type="spellStart"/>
      <w:r>
        <w:rPr>
          <w:rFonts w:eastAsia="Palatino Linotype"/>
          <w:sz w:val="22"/>
          <w:szCs w:val="22"/>
          <w:lang w:val="es-ES"/>
        </w:rPr>
        <w:t>words</w:t>
      </w:r>
      <w:proofErr w:type="spellEnd"/>
      <w:r>
        <w:rPr>
          <w:rFonts w:eastAsia="Palatino Linotype"/>
          <w:sz w:val="22"/>
          <w:szCs w:val="22"/>
          <w:lang w:val="es-ES"/>
        </w:rPr>
        <w:t xml:space="preserve">, </w:t>
      </w:r>
      <w:proofErr w:type="spellStart"/>
      <w:r>
        <w:rPr>
          <w:rFonts w:eastAsia="Palatino Linotype"/>
          <w:sz w:val="22"/>
          <w:szCs w:val="22"/>
          <w:lang w:val="es-ES"/>
        </w:rPr>
        <w:t>the</w:t>
      </w:r>
      <w:proofErr w:type="spellEnd"/>
      <w:r>
        <w:rPr>
          <w:rFonts w:eastAsia="Palatino Linotype"/>
          <w:sz w:val="22"/>
          <w:szCs w:val="22"/>
          <w:lang w:val="es-ES"/>
        </w:rPr>
        <w:t xml:space="preserve"> </w:t>
      </w:r>
      <w:proofErr w:type="spellStart"/>
      <w:r>
        <w:rPr>
          <w:rFonts w:eastAsia="Palatino Linotype"/>
          <w:sz w:val="22"/>
          <w:szCs w:val="22"/>
          <w:lang w:val="es-ES"/>
        </w:rPr>
        <w:t>amount</w:t>
      </w:r>
      <w:proofErr w:type="spellEnd"/>
      <w:r>
        <w:rPr>
          <w:rFonts w:eastAsia="Palatino Linotype"/>
          <w:sz w:val="22"/>
          <w:szCs w:val="22"/>
          <w:lang w:val="es-ES"/>
        </w:rPr>
        <w:t xml:space="preserve"> </w:t>
      </w:r>
      <w:proofErr w:type="spellStart"/>
      <w:r>
        <w:rPr>
          <w:rFonts w:eastAsia="Palatino Linotype"/>
          <w:sz w:val="22"/>
          <w:szCs w:val="22"/>
          <w:lang w:val="es-ES"/>
        </w:rPr>
        <w:t>written</w:t>
      </w:r>
      <w:proofErr w:type="spellEnd"/>
      <w:r>
        <w:rPr>
          <w:rFonts w:eastAsia="Palatino Linotype"/>
          <w:sz w:val="22"/>
          <w:szCs w:val="22"/>
          <w:lang w:val="es-ES"/>
        </w:rPr>
        <w:t xml:space="preserve"> in </w:t>
      </w:r>
      <w:proofErr w:type="spellStart"/>
      <w:r>
        <w:rPr>
          <w:rFonts w:eastAsia="Palatino Linotype"/>
          <w:sz w:val="22"/>
          <w:szCs w:val="22"/>
          <w:lang w:val="es-ES"/>
        </w:rPr>
        <w:t>words</w:t>
      </w:r>
      <w:proofErr w:type="spellEnd"/>
      <w:r>
        <w:rPr>
          <w:rFonts w:eastAsia="Palatino Linotype"/>
          <w:sz w:val="22"/>
          <w:szCs w:val="22"/>
          <w:lang w:val="es-ES"/>
        </w:rPr>
        <w:t xml:space="preserve"> </w:t>
      </w:r>
      <w:proofErr w:type="spellStart"/>
      <w:r>
        <w:rPr>
          <w:rFonts w:eastAsia="Palatino Linotype"/>
          <w:sz w:val="22"/>
          <w:szCs w:val="22"/>
          <w:lang w:val="es-ES"/>
        </w:rPr>
        <w:t>will</w:t>
      </w:r>
      <w:proofErr w:type="spellEnd"/>
      <w:r>
        <w:rPr>
          <w:rFonts w:eastAsia="Palatino Linotype"/>
          <w:sz w:val="22"/>
          <w:szCs w:val="22"/>
          <w:lang w:val="es-ES"/>
        </w:rPr>
        <w:t xml:space="preserve"> </w:t>
      </w:r>
      <w:proofErr w:type="spellStart"/>
      <w:r>
        <w:rPr>
          <w:rFonts w:eastAsia="Palatino Linotype"/>
          <w:sz w:val="22"/>
          <w:szCs w:val="22"/>
          <w:lang w:val="es-ES"/>
        </w:rPr>
        <w:t>prevail</w:t>
      </w:r>
      <w:proofErr w:type="spellEnd"/>
      <w:r>
        <w:rPr>
          <w:rFonts w:eastAsia="Palatino Linotype"/>
          <w:sz w:val="22"/>
          <w:szCs w:val="22"/>
          <w:lang w:val="es-ES"/>
        </w:rPr>
        <w:t>.</w:t>
      </w:r>
    </w:p>
    <w:p w14:paraId="31523111" w14:textId="77777777" w:rsidR="00E255F4" w:rsidRDefault="00E255F4">
      <w:pPr>
        <w:ind w:right="-142"/>
        <w:jc w:val="both"/>
        <w:rPr>
          <w:rFonts w:eastAsia="Palatino Linotype"/>
          <w:spacing w:val="-3"/>
          <w:sz w:val="22"/>
          <w:szCs w:val="22"/>
          <w:lang w:val="es-ES"/>
        </w:rPr>
      </w:pPr>
    </w:p>
    <w:p w14:paraId="39311857" w14:textId="77777777" w:rsidR="00E255F4" w:rsidRDefault="00000000">
      <w:pPr>
        <w:ind w:right="-142"/>
        <w:jc w:val="both"/>
      </w:pPr>
      <w:r>
        <w:rPr>
          <w:rFonts w:eastAsia="Palatino Linotype"/>
          <w:spacing w:val="-14"/>
          <w:sz w:val="22"/>
          <w:szCs w:val="22"/>
          <w:lang w:val="es-ES"/>
        </w:rPr>
        <w:t>Tod</w:t>
      </w:r>
      <w:r>
        <w:rPr>
          <w:rFonts w:eastAsia="Palatino Linotype"/>
          <w:sz w:val="22"/>
          <w:szCs w:val="22"/>
          <w:lang w:val="es-ES"/>
        </w:rPr>
        <w:t xml:space="preserve">or </w:t>
      </w:r>
      <w:proofErr w:type="spellStart"/>
      <w:r>
        <w:rPr>
          <w:rFonts w:eastAsia="Palatino Linotype"/>
          <w:sz w:val="22"/>
          <w:szCs w:val="22"/>
          <w:lang w:val="es-ES"/>
        </w:rPr>
        <w:t>this</w:t>
      </w:r>
      <w:proofErr w:type="spellEnd"/>
      <w:r>
        <w:rPr>
          <w:rFonts w:eastAsia="Palatino Linotype"/>
          <w:sz w:val="22"/>
          <w:szCs w:val="22"/>
          <w:lang w:val="es-ES"/>
        </w:rPr>
        <w:t xml:space="preserve"> </w:t>
      </w:r>
      <w:proofErr w:type="spellStart"/>
      <w:r>
        <w:rPr>
          <w:rFonts w:eastAsia="Palatino Linotype"/>
          <w:sz w:val="22"/>
          <w:szCs w:val="22"/>
          <w:lang w:val="es-ES"/>
        </w:rPr>
        <w:t>without</w:t>
      </w:r>
      <w:proofErr w:type="spellEnd"/>
      <w:r>
        <w:rPr>
          <w:rFonts w:eastAsia="Palatino Linotype"/>
          <w:sz w:val="22"/>
          <w:szCs w:val="22"/>
          <w:lang w:val="es-ES"/>
        </w:rPr>
        <w:t xml:space="preserve"> </w:t>
      </w:r>
      <w:proofErr w:type="spellStart"/>
      <w:r>
        <w:rPr>
          <w:rFonts w:eastAsia="Palatino Linotype"/>
          <w:sz w:val="22"/>
          <w:szCs w:val="22"/>
          <w:lang w:val="es-ES"/>
        </w:rPr>
        <w:t>prejudice</w:t>
      </w:r>
      <w:proofErr w:type="spellEnd"/>
      <w:r>
        <w:rPr>
          <w:rFonts w:eastAsia="Palatino Linotype"/>
          <w:sz w:val="22"/>
          <w:szCs w:val="22"/>
          <w:lang w:val="es-ES"/>
        </w:rPr>
        <w:t xml:space="preserve"> </w:t>
      </w:r>
      <w:proofErr w:type="spellStart"/>
      <w:r>
        <w:rPr>
          <w:rFonts w:eastAsia="Palatino Linotype"/>
          <w:sz w:val="22"/>
          <w:szCs w:val="22"/>
          <w:lang w:val="es-ES"/>
        </w:rPr>
        <w:t>to</w:t>
      </w:r>
      <w:proofErr w:type="spellEnd"/>
      <w:r>
        <w:rPr>
          <w:rFonts w:eastAsia="Palatino Linotype"/>
          <w:sz w:val="22"/>
          <w:szCs w:val="22"/>
          <w:lang w:val="es-ES"/>
        </w:rPr>
        <w:t xml:space="preserve"> </w:t>
      </w:r>
      <w:proofErr w:type="spellStart"/>
      <w:r>
        <w:rPr>
          <w:rFonts w:eastAsia="Palatino Linotype"/>
          <w:sz w:val="22"/>
          <w:szCs w:val="22"/>
          <w:lang w:val="es-ES"/>
        </w:rPr>
        <w:t>the</w:t>
      </w:r>
      <w:proofErr w:type="spellEnd"/>
      <w:r>
        <w:rPr>
          <w:rFonts w:eastAsia="Palatino Linotype"/>
          <w:sz w:val="22"/>
          <w:szCs w:val="22"/>
          <w:lang w:val="es-ES"/>
        </w:rPr>
        <w:t xml:space="preserve"> </w:t>
      </w:r>
      <w:proofErr w:type="spellStart"/>
      <w:r>
        <w:rPr>
          <w:rFonts w:eastAsia="Palatino Linotype"/>
          <w:sz w:val="22"/>
          <w:szCs w:val="22"/>
          <w:lang w:val="es-ES"/>
        </w:rPr>
        <w:t>Administration's</w:t>
      </w:r>
      <w:proofErr w:type="spellEnd"/>
      <w:r>
        <w:rPr>
          <w:rFonts w:eastAsia="Palatino Linotype"/>
          <w:sz w:val="22"/>
          <w:szCs w:val="22"/>
          <w:lang w:val="es-ES"/>
        </w:rPr>
        <w:t xml:space="preserve"> </w:t>
      </w:r>
      <w:proofErr w:type="spellStart"/>
      <w:r>
        <w:rPr>
          <w:rFonts w:eastAsia="Palatino Linotype"/>
          <w:sz w:val="22"/>
          <w:szCs w:val="22"/>
          <w:lang w:val="es-ES"/>
        </w:rPr>
        <w:t>power</w:t>
      </w:r>
      <w:proofErr w:type="spellEnd"/>
      <w:r>
        <w:rPr>
          <w:rFonts w:eastAsia="Palatino Linotype"/>
          <w:sz w:val="22"/>
          <w:szCs w:val="22"/>
          <w:lang w:val="es-ES"/>
        </w:rPr>
        <w:t xml:space="preserve"> </w:t>
      </w:r>
      <w:proofErr w:type="spellStart"/>
      <w:r>
        <w:rPr>
          <w:rFonts w:eastAsia="Palatino Linotype"/>
          <w:sz w:val="22"/>
          <w:szCs w:val="22"/>
          <w:lang w:val="es-ES"/>
        </w:rPr>
        <w:t>to</w:t>
      </w:r>
      <w:proofErr w:type="spellEnd"/>
      <w:r>
        <w:rPr>
          <w:rFonts w:eastAsia="Palatino Linotype"/>
          <w:sz w:val="22"/>
          <w:szCs w:val="22"/>
          <w:lang w:val="es-ES"/>
        </w:rPr>
        <w:t xml:space="preserve"> </w:t>
      </w:r>
      <w:proofErr w:type="spellStart"/>
      <w:r>
        <w:rPr>
          <w:rFonts w:eastAsia="Palatino Linotype"/>
          <w:sz w:val="22"/>
          <w:szCs w:val="22"/>
          <w:lang w:val="es-ES"/>
        </w:rPr>
        <w:t>grant</w:t>
      </w:r>
      <w:proofErr w:type="spellEnd"/>
      <w:r>
        <w:rPr>
          <w:rFonts w:eastAsia="Palatino Linotype"/>
          <w:sz w:val="22"/>
          <w:szCs w:val="22"/>
          <w:lang w:val="es-ES"/>
        </w:rPr>
        <w:t xml:space="preserve"> a </w:t>
      </w:r>
      <w:proofErr w:type="spellStart"/>
      <w:r>
        <w:rPr>
          <w:rFonts w:eastAsia="Palatino Linotype"/>
          <w:sz w:val="22"/>
          <w:szCs w:val="22"/>
          <w:lang w:val="es-ES"/>
        </w:rPr>
        <w:t>maximum</w:t>
      </w:r>
      <w:proofErr w:type="spellEnd"/>
      <w:r>
        <w:rPr>
          <w:rFonts w:eastAsia="Palatino Linotype"/>
          <w:sz w:val="22"/>
          <w:szCs w:val="22"/>
          <w:lang w:val="es-ES"/>
        </w:rPr>
        <w:t xml:space="preserve"> </w:t>
      </w:r>
      <w:proofErr w:type="spellStart"/>
      <w:r>
        <w:rPr>
          <w:rFonts w:eastAsia="Palatino Linotype"/>
          <w:sz w:val="22"/>
          <w:szCs w:val="22"/>
          <w:lang w:val="es-ES"/>
        </w:rPr>
        <w:t>period</w:t>
      </w:r>
      <w:proofErr w:type="spellEnd"/>
      <w:r>
        <w:rPr>
          <w:rFonts w:eastAsia="Palatino Linotype"/>
          <w:sz w:val="22"/>
          <w:szCs w:val="22"/>
          <w:lang w:val="es-ES"/>
        </w:rPr>
        <w:t xml:space="preserve"> </w:t>
      </w:r>
      <w:proofErr w:type="spellStart"/>
      <w:r>
        <w:rPr>
          <w:rFonts w:eastAsia="Palatino Linotype"/>
          <w:sz w:val="22"/>
          <w:szCs w:val="22"/>
          <w:lang w:val="es-ES"/>
        </w:rPr>
        <w:t>of</w:t>
      </w:r>
      <w:proofErr w:type="spellEnd"/>
      <w:r>
        <w:rPr>
          <w:rFonts w:eastAsia="Palatino Linotype"/>
          <w:sz w:val="22"/>
          <w:szCs w:val="22"/>
          <w:lang w:val="es-ES"/>
        </w:rPr>
        <w:t xml:space="preserve"> </w:t>
      </w:r>
      <w:proofErr w:type="spellStart"/>
      <w:r>
        <w:rPr>
          <w:rFonts w:eastAsia="Palatino Linotype"/>
          <w:sz w:val="22"/>
          <w:szCs w:val="22"/>
          <w:lang w:val="es-ES"/>
        </w:rPr>
        <w:t>two</w:t>
      </w:r>
      <w:proofErr w:type="spellEnd"/>
      <w:r>
        <w:rPr>
          <w:rFonts w:eastAsia="Palatino Linotype"/>
          <w:sz w:val="22"/>
          <w:szCs w:val="22"/>
          <w:lang w:val="es-ES"/>
        </w:rPr>
        <w:t xml:space="preserve"> </w:t>
      </w:r>
      <w:proofErr w:type="spellStart"/>
      <w:r>
        <w:rPr>
          <w:rFonts w:eastAsia="Palatino Linotype"/>
          <w:sz w:val="22"/>
          <w:szCs w:val="22"/>
          <w:lang w:val="es-ES"/>
        </w:rPr>
        <w:t>working</w:t>
      </w:r>
      <w:proofErr w:type="spellEnd"/>
      <w:r>
        <w:rPr>
          <w:rFonts w:eastAsia="Palatino Linotype"/>
          <w:sz w:val="22"/>
          <w:szCs w:val="22"/>
          <w:lang w:val="es-ES"/>
        </w:rPr>
        <w:t xml:space="preserve"> </w:t>
      </w:r>
      <w:proofErr w:type="spellStart"/>
      <w:r>
        <w:rPr>
          <w:rFonts w:eastAsia="Palatino Linotype"/>
          <w:sz w:val="22"/>
          <w:szCs w:val="22"/>
          <w:lang w:val="es-ES"/>
        </w:rPr>
        <w:t>days</w:t>
      </w:r>
      <w:proofErr w:type="spellEnd"/>
      <w:r>
        <w:rPr>
          <w:rFonts w:eastAsia="Palatino Linotype"/>
          <w:sz w:val="22"/>
          <w:szCs w:val="22"/>
          <w:lang w:val="es-ES"/>
        </w:rPr>
        <w:t xml:space="preserve"> in cases </w:t>
      </w:r>
      <w:proofErr w:type="spellStart"/>
      <w:r>
        <w:rPr>
          <w:rFonts w:eastAsia="Palatino Linotype"/>
          <w:sz w:val="22"/>
          <w:szCs w:val="22"/>
          <w:lang w:val="es-ES"/>
        </w:rPr>
        <w:t>where</w:t>
      </w:r>
      <w:proofErr w:type="spellEnd"/>
      <w:r>
        <w:rPr>
          <w:rFonts w:eastAsia="Palatino Linotype"/>
          <w:sz w:val="22"/>
          <w:szCs w:val="22"/>
          <w:lang w:val="es-ES"/>
        </w:rPr>
        <w:t xml:space="preserve"> </w:t>
      </w:r>
      <w:proofErr w:type="spellStart"/>
      <w:r>
        <w:rPr>
          <w:rFonts w:eastAsia="Palatino Linotype"/>
          <w:sz w:val="22"/>
          <w:szCs w:val="22"/>
          <w:lang w:val="es-ES"/>
        </w:rPr>
        <w:t>discrepancies</w:t>
      </w:r>
      <w:proofErr w:type="spellEnd"/>
      <w:r>
        <w:rPr>
          <w:rFonts w:eastAsia="Palatino Linotype"/>
          <w:sz w:val="22"/>
          <w:szCs w:val="22"/>
          <w:lang w:val="es-ES"/>
        </w:rPr>
        <w:t xml:space="preserve"> </w:t>
      </w:r>
      <w:proofErr w:type="spellStart"/>
      <w:r>
        <w:rPr>
          <w:rFonts w:eastAsia="Palatino Linotype"/>
          <w:sz w:val="22"/>
          <w:szCs w:val="22"/>
          <w:lang w:val="es-ES"/>
        </w:rPr>
        <w:t>occur</w:t>
      </w:r>
      <w:proofErr w:type="spellEnd"/>
      <w:r>
        <w:rPr>
          <w:rFonts w:eastAsia="Palatino Linotype"/>
          <w:sz w:val="22"/>
          <w:szCs w:val="22"/>
          <w:lang w:val="es-ES"/>
        </w:rPr>
        <w:t xml:space="preserve"> </w:t>
      </w:r>
      <w:proofErr w:type="spellStart"/>
      <w:r>
        <w:rPr>
          <w:rFonts w:eastAsia="Palatino Linotype"/>
          <w:sz w:val="22"/>
          <w:szCs w:val="22"/>
          <w:lang w:val="es-ES"/>
        </w:rPr>
        <w:t>due</w:t>
      </w:r>
      <w:proofErr w:type="spellEnd"/>
      <w:r>
        <w:rPr>
          <w:rFonts w:eastAsia="Palatino Linotype"/>
          <w:sz w:val="22"/>
          <w:szCs w:val="22"/>
          <w:lang w:val="es-ES"/>
        </w:rPr>
        <w:t xml:space="preserve"> </w:t>
      </w:r>
      <w:proofErr w:type="spellStart"/>
      <w:r>
        <w:rPr>
          <w:rFonts w:eastAsia="Palatino Linotype"/>
          <w:sz w:val="22"/>
          <w:szCs w:val="22"/>
          <w:lang w:val="es-ES"/>
        </w:rPr>
        <w:t>to</w:t>
      </w:r>
      <w:proofErr w:type="spellEnd"/>
      <w:r>
        <w:rPr>
          <w:rFonts w:eastAsia="Palatino Linotype"/>
          <w:sz w:val="22"/>
          <w:szCs w:val="22"/>
          <w:lang w:val="es-ES"/>
        </w:rPr>
        <w:t xml:space="preserve"> </w:t>
      </w:r>
      <w:proofErr w:type="spellStart"/>
      <w:r>
        <w:rPr>
          <w:rFonts w:eastAsia="Palatino Linotype"/>
          <w:sz w:val="22"/>
          <w:szCs w:val="22"/>
          <w:lang w:val="es-ES"/>
        </w:rPr>
        <w:t>obvious</w:t>
      </w:r>
      <w:proofErr w:type="spellEnd"/>
      <w:r>
        <w:rPr>
          <w:rFonts w:eastAsia="Palatino Linotype"/>
          <w:sz w:val="22"/>
          <w:szCs w:val="22"/>
          <w:lang w:val="es-ES"/>
        </w:rPr>
        <w:t xml:space="preserve"> </w:t>
      </w:r>
      <w:proofErr w:type="spellStart"/>
      <w:r>
        <w:rPr>
          <w:rFonts w:eastAsia="Palatino Linotype"/>
          <w:sz w:val="22"/>
          <w:szCs w:val="22"/>
          <w:lang w:val="es-ES"/>
        </w:rPr>
        <w:t>or</w:t>
      </w:r>
      <w:proofErr w:type="spellEnd"/>
      <w:r>
        <w:rPr>
          <w:rFonts w:eastAsia="Palatino Linotype"/>
          <w:sz w:val="22"/>
          <w:szCs w:val="22"/>
          <w:lang w:val="es-ES"/>
        </w:rPr>
        <w:t xml:space="preserve"> </w:t>
      </w:r>
      <w:proofErr w:type="spellStart"/>
      <w:r>
        <w:rPr>
          <w:rFonts w:eastAsia="Palatino Linotype"/>
          <w:sz w:val="22"/>
          <w:szCs w:val="22"/>
          <w:lang w:val="es-ES"/>
        </w:rPr>
        <w:t>minor</w:t>
      </w:r>
      <w:proofErr w:type="spellEnd"/>
      <w:r>
        <w:rPr>
          <w:rFonts w:eastAsia="Palatino Linotype"/>
          <w:sz w:val="22"/>
          <w:szCs w:val="22"/>
          <w:lang w:val="es-ES"/>
        </w:rPr>
        <w:t xml:space="preserve"> </w:t>
      </w:r>
      <w:proofErr w:type="spellStart"/>
      <w:r>
        <w:rPr>
          <w:rFonts w:eastAsia="Palatino Linotype"/>
          <w:sz w:val="22"/>
          <w:szCs w:val="22"/>
          <w:lang w:val="es-ES"/>
        </w:rPr>
        <w:t>errors</w:t>
      </w:r>
      <w:proofErr w:type="spellEnd"/>
      <w:r>
        <w:rPr>
          <w:rFonts w:eastAsia="Palatino Linotype"/>
          <w:sz w:val="22"/>
          <w:szCs w:val="22"/>
          <w:lang w:val="es-ES"/>
        </w:rPr>
        <w:t xml:space="preserve">, </w:t>
      </w:r>
      <w:proofErr w:type="spellStart"/>
      <w:r>
        <w:rPr>
          <w:rFonts w:eastAsia="Palatino Linotype"/>
          <w:sz w:val="22"/>
          <w:szCs w:val="22"/>
          <w:lang w:val="es-ES"/>
        </w:rPr>
        <w:t>which</w:t>
      </w:r>
      <w:proofErr w:type="spellEnd"/>
      <w:r>
        <w:rPr>
          <w:rFonts w:eastAsia="Palatino Linotype"/>
          <w:sz w:val="22"/>
          <w:szCs w:val="22"/>
          <w:lang w:val="es-ES"/>
        </w:rPr>
        <w:t xml:space="preserve"> </w:t>
      </w:r>
      <w:proofErr w:type="spellStart"/>
      <w:r>
        <w:rPr>
          <w:rFonts w:eastAsia="Palatino Linotype"/>
          <w:sz w:val="22"/>
          <w:szCs w:val="22"/>
          <w:lang w:val="es-ES"/>
        </w:rPr>
        <w:t>will</w:t>
      </w:r>
      <w:proofErr w:type="spellEnd"/>
      <w:r>
        <w:rPr>
          <w:rFonts w:eastAsia="Palatino Linotype"/>
          <w:sz w:val="22"/>
          <w:szCs w:val="22"/>
          <w:lang w:val="es-ES"/>
        </w:rPr>
        <w:t xml:space="preserve"> </w:t>
      </w:r>
      <w:proofErr w:type="spellStart"/>
      <w:r>
        <w:rPr>
          <w:rFonts w:eastAsia="Palatino Linotype"/>
          <w:sz w:val="22"/>
          <w:szCs w:val="22"/>
          <w:lang w:val="es-ES"/>
        </w:rPr>
        <w:t>operate</w:t>
      </w:r>
      <w:proofErr w:type="spellEnd"/>
      <w:r>
        <w:rPr>
          <w:rFonts w:eastAsia="Palatino Linotype"/>
          <w:sz w:val="22"/>
          <w:szCs w:val="22"/>
          <w:lang w:val="es-ES"/>
        </w:rPr>
        <w:t xml:space="preserve"> </w:t>
      </w:r>
      <w:proofErr w:type="spellStart"/>
      <w:r>
        <w:rPr>
          <w:rFonts w:eastAsia="Palatino Linotype"/>
          <w:sz w:val="22"/>
          <w:szCs w:val="22"/>
          <w:lang w:val="es-ES"/>
        </w:rPr>
        <w:t>provided</w:t>
      </w:r>
      <w:proofErr w:type="spellEnd"/>
      <w:r>
        <w:rPr>
          <w:rFonts w:eastAsia="Palatino Linotype"/>
          <w:sz w:val="22"/>
          <w:szCs w:val="22"/>
          <w:lang w:val="es-ES"/>
        </w:rPr>
        <w:t xml:space="preserve"> </w:t>
      </w:r>
      <w:proofErr w:type="spellStart"/>
      <w:r>
        <w:rPr>
          <w:rFonts w:eastAsia="Palatino Linotype"/>
          <w:sz w:val="22"/>
          <w:szCs w:val="22"/>
          <w:lang w:val="es-ES"/>
        </w:rPr>
        <w:t>that</w:t>
      </w:r>
      <w:proofErr w:type="spellEnd"/>
      <w:r>
        <w:rPr>
          <w:rFonts w:eastAsia="Palatino Linotype"/>
          <w:sz w:val="22"/>
          <w:szCs w:val="22"/>
          <w:lang w:val="es-ES"/>
        </w:rPr>
        <w:t xml:space="preserve"> </w:t>
      </w:r>
      <w:proofErr w:type="spellStart"/>
      <w:r>
        <w:rPr>
          <w:rFonts w:eastAsia="Palatino Linotype"/>
          <w:sz w:val="22"/>
          <w:szCs w:val="22"/>
          <w:lang w:val="es-ES"/>
        </w:rPr>
        <w:t>the</w:t>
      </w:r>
      <w:proofErr w:type="spellEnd"/>
      <w:r>
        <w:rPr>
          <w:rFonts w:eastAsia="Palatino Linotype"/>
          <w:sz w:val="22"/>
          <w:szCs w:val="22"/>
          <w:lang w:val="es-ES"/>
        </w:rPr>
        <w:t xml:space="preserve"> </w:t>
      </w:r>
      <w:proofErr w:type="spellStart"/>
      <w:r>
        <w:rPr>
          <w:rFonts w:eastAsia="Palatino Linotype"/>
          <w:sz w:val="22"/>
          <w:szCs w:val="22"/>
          <w:lang w:val="es-ES"/>
        </w:rPr>
        <w:t>equality</w:t>
      </w:r>
      <w:proofErr w:type="spellEnd"/>
      <w:r>
        <w:rPr>
          <w:rFonts w:eastAsia="Palatino Linotype"/>
          <w:sz w:val="22"/>
          <w:szCs w:val="22"/>
          <w:lang w:val="es-ES"/>
        </w:rPr>
        <w:t xml:space="preserve"> </w:t>
      </w:r>
      <w:proofErr w:type="spellStart"/>
      <w:r>
        <w:rPr>
          <w:rFonts w:eastAsia="Palatino Linotype"/>
          <w:sz w:val="22"/>
          <w:szCs w:val="22"/>
          <w:lang w:val="es-ES"/>
        </w:rPr>
        <w:t>of</w:t>
      </w:r>
      <w:proofErr w:type="spellEnd"/>
      <w:r>
        <w:rPr>
          <w:rFonts w:eastAsia="Palatino Linotype"/>
          <w:sz w:val="22"/>
          <w:szCs w:val="22"/>
          <w:lang w:val="es-ES"/>
        </w:rPr>
        <w:t xml:space="preserve"> </w:t>
      </w:r>
      <w:proofErr w:type="spellStart"/>
      <w:r>
        <w:rPr>
          <w:rFonts w:eastAsia="Palatino Linotype"/>
          <w:sz w:val="22"/>
          <w:szCs w:val="22"/>
          <w:lang w:val="es-ES"/>
        </w:rPr>
        <w:t>the</w:t>
      </w:r>
      <w:proofErr w:type="spellEnd"/>
      <w:r>
        <w:rPr>
          <w:rFonts w:eastAsia="Palatino Linotype"/>
          <w:sz w:val="22"/>
          <w:szCs w:val="22"/>
          <w:lang w:val="es-ES"/>
        </w:rPr>
        <w:t xml:space="preserve"> </w:t>
      </w:r>
      <w:proofErr w:type="spellStart"/>
      <w:r>
        <w:rPr>
          <w:rFonts w:eastAsia="Palatino Linotype"/>
          <w:sz w:val="22"/>
          <w:szCs w:val="22"/>
          <w:lang w:val="es-ES"/>
        </w:rPr>
        <w:t>bidders</w:t>
      </w:r>
      <w:proofErr w:type="spellEnd"/>
      <w:r>
        <w:rPr>
          <w:rFonts w:eastAsia="Palatino Linotype"/>
          <w:sz w:val="22"/>
          <w:szCs w:val="22"/>
          <w:lang w:val="es-ES"/>
        </w:rPr>
        <w:t xml:space="preserve"> </w:t>
      </w:r>
      <w:proofErr w:type="spellStart"/>
      <w:r>
        <w:rPr>
          <w:rFonts w:eastAsia="Palatino Linotype"/>
          <w:sz w:val="22"/>
          <w:szCs w:val="22"/>
          <w:lang w:val="es-ES"/>
        </w:rPr>
        <w:t>is</w:t>
      </w:r>
      <w:proofErr w:type="spellEnd"/>
      <w:r>
        <w:rPr>
          <w:rFonts w:eastAsia="Palatino Linotype"/>
          <w:sz w:val="22"/>
          <w:szCs w:val="22"/>
          <w:lang w:val="es-ES"/>
        </w:rPr>
        <w:t xml:space="preserve"> </w:t>
      </w:r>
      <w:proofErr w:type="spellStart"/>
      <w:r>
        <w:rPr>
          <w:rFonts w:eastAsia="Palatino Linotype"/>
          <w:sz w:val="22"/>
          <w:szCs w:val="22"/>
          <w:lang w:val="es-ES"/>
        </w:rPr>
        <w:t>not</w:t>
      </w:r>
      <w:proofErr w:type="spellEnd"/>
      <w:r>
        <w:rPr>
          <w:rFonts w:eastAsia="Palatino Linotype"/>
          <w:sz w:val="22"/>
          <w:szCs w:val="22"/>
          <w:lang w:val="es-ES"/>
        </w:rPr>
        <w:t xml:space="preserve"> </w:t>
      </w:r>
      <w:proofErr w:type="spellStart"/>
      <w:r>
        <w:rPr>
          <w:rFonts w:eastAsia="Palatino Linotype"/>
          <w:sz w:val="22"/>
          <w:szCs w:val="22"/>
          <w:lang w:val="es-ES"/>
        </w:rPr>
        <w:t>altered</w:t>
      </w:r>
      <w:proofErr w:type="spellEnd"/>
      <w:r>
        <w:rPr>
          <w:rFonts w:eastAsia="Palatino Linotype"/>
          <w:sz w:val="22"/>
          <w:szCs w:val="22"/>
          <w:lang w:val="es-ES"/>
        </w:rPr>
        <w:t xml:space="preserve">, in </w:t>
      </w:r>
      <w:proofErr w:type="spellStart"/>
      <w:r>
        <w:rPr>
          <w:rFonts w:eastAsia="Palatino Linotype"/>
          <w:sz w:val="22"/>
          <w:szCs w:val="22"/>
          <w:lang w:val="es-ES"/>
        </w:rPr>
        <w:t>accordance</w:t>
      </w:r>
      <w:proofErr w:type="spellEnd"/>
      <w:r>
        <w:rPr>
          <w:rFonts w:eastAsia="Palatino Linotype"/>
          <w:sz w:val="22"/>
          <w:szCs w:val="22"/>
          <w:lang w:val="es-ES"/>
        </w:rPr>
        <w:t xml:space="preserve"> </w:t>
      </w:r>
      <w:proofErr w:type="spellStart"/>
      <w:r>
        <w:rPr>
          <w:rFonts w:eastAsia="Palatino Linotype"/>
          <w:sz w:val="22"/>
          <w:szCs w:val="22"/>
          <w:lang w:val="es-ES"/>
        </w:rPr>
        <w:t>with</w:t>
      </w:r>
      <w:proofErr w:type="spellEnd"/>
      <w:r>
        <w:rPr>
          <w:rFonts w:eastAsia="Palatino Linotype"/>
          <w:sz w:val="22"/>
          <w:szCs w:val="22"/>
          <w:lang w:val="es-ES"/>
        </w:rPr>
        <w:t xml:space="preserve"> </w:t>
      </w:r>
      <w:proofErr w:type="spellStart"/>
      <w:r>
        <w:rPr>
          <w:rFonts w:eastAsia="Palatino Linotype"/>
          <w:sz w:val="22"/>
          <w:szCs w:val="22"/>
          <w:lang w:val="es-ES"/>
        </w:rPr>
        <w:t>the</w:t>
      </w:r>
      <w:proofErr w:type="spellEnd"/>
      <w:r>
        <w:rPr>
          <w:rFonts w:eastAsia="Palatino Linotype"/>
          <w:sz w:val="22"/>
          <w:szCs w:val="22"/>
          <w:lang w:val="es-ES"/>
        </w:rPr>
        <w:t xml:space="preserve"> </w:t>
      </w:r>
      <w:proofErr w:type="spellStart"/>
      <w:r>
        <w:rPr>
          <w:rFonts w:eastAsia="Palatino Linotype"/>
          <w:sz w:val="22"/>
          <w:szCs w:val="22"/>
          <w:lang w:val="es-ES"/>
        </w:rPr>
        <w:t>provisions</w:t>
      </w:r>
      <w:proofErr w:type="spellEnd"/>
      <w:r>
        <w:rPr>
          <w:rFonts w:eastAsia="Palatino Linotype"/>
          <w:sz w:val="22"/>
          <w:szCs w:val="22"/>
          <w:lang w:val="es-ES"/>
        </w:rPr>
        <w:t xml:space="preserve"> </w:t>
      </w:r>
      <w:proofErr w:type="spellStart"/>
      <w:r>
        <w:rPr>
          <w:rFonts w:eastAsia="Palatino Linotype"/>
          <w:sz w:val="22"/>
          <w:szCs w:val="22"/>
          <w:lang w:val="es-ES"/>
        </w:rPr>
        <w:t>of</w:t>
      </w:r>
      <w:proofErr w:type="spellEnd"/>
      <w:r>
        <w:rPr>
          <w:rFonts w:eastAsia="Palatino Linotype"/>
          <w:sz w:val="22"/>
          <w:szCs w:val="22"/>
          <w:lang w:val="es-ES"/>
        </w:rPr>
        <w:t xml:space="preserve"> </w:t>
      </w:r>
      <w:proofErr w:type="spellStart"/>
      <w:r>
        <w:rPr>
          <w:rFonts w:eastAsia="Palatino Linotype"/>
          <w:sz w:val="22"/>
          <w:szCs w:val="22"/>
          <w:lang w:val="es-ES"/>
        </w:rPr>
        <w:t>article</w:t>
      </w:r>
      <w:proofErr w:type="spellEnd"/>
      <w:r>
        <w:rPr>
          <w:rFonts w:eastAsia="Palatino Linotype"/>
          <w:sz w:val="22"/>
          <w:szCs w:val="22"/>
          <w:lang w:val="es-ES"/>
        </w:rPr>
        <w:t xml:space="preserve"> 65 </w:t>
      </w:r>
      <w:proofErr w:type="spellStart"/>
      <w:r>
        <w:rPr>
          <w:rFonts w:eastAsia="Palatino Linotype"/>
          <w:sz w:val="22"/>
          <w:szCs w:val="22"/>
          <w:lang w:val="es-ES"/>
        </w:rPr>
        <w:t>paragraph</w:t>
      </w:r>
      <w:proofErr w:type="spellEnd"/>
      <w:r>
        <w:rPr>
          <w:rFonts w:eastAsia="Palatino Linotype"/>
          <w:sz w:val="22"/>
          <w:szCs w:val="22"/>
          <w:lang w:val="es-ES"/>
        </w:rPr>
        <w:t xml:space="preserve"> 7 </w:t>
      </w:r>
      <w:proofErr w:type="spellStart"/>
      <w:r>
        <w:rPr>
          <w:rFonts w:eastAsia="Palatino Linotype"/>
          <w:sz w:val="22"/>
          <w:szCs w:val="22"/>
          <w:lang w:val="es-ES"/>
        </w:rPr>
        <w:t>of</w:t>
      </w:r>
      <w:proofErr w:type="spellEnd"/>
      <w:r>
        <w:rPr>
          <w:rFonts w:eastAsia="Palatino Linotype"/>
          <w:sz w:val="22"/>
          <w:szCs w:val="22"/>
          <w:lang w:val="es-ES"/>
        </w:rPr>
        <w:t xml:space="preserve"> </w:t>
      </w:r>
      <w:proofErr w:type="spellStart"/>
      <w:r>
        <w:rPr>
          <w:rFonts w:eastAsia="Palatino Linotype"/>
          <w:sz w:val="22"/>
          <w:szCs w:val="22"/>
          <w:lang w:val="es-ES"/>
        </w:rPr>
        <w:t>the</w:t>
      </w:r>
      <w:proofErr w:type="spellEnd"/>
      <w:r>
        <w:rPr>
          <w:rFonts w:eastAsia="Palatino Linotype"/>
          <w:sz w:val="22"/>
          <w:szCs w:val="22"/>
          <w:lang w:val="es-ES"/>
        </w:rPr>
        <w:t xml:space="preserve"> TOCAF</w:t>
      </w:r>
    </w:p>
    <w:p w14:paraId="2B7FA02B" w14:textId="77777777" w:rsidR="00E255F4" w:rsidRDefault="00000000">
      <w:pPr>
        <w:spacing w:before="120" w:after="120"/>
        <w:ind w:right="-142"/>
        <w:jc w:val="both"/>
        <w:rPr>
          <w:rFonts w:eastAsia="Palatino Linotype"/>
          <w:spacing w:val="-1"/>
          <w:sz w:val="22"/>
          <w:szCs w:val="22"/>
          <w:lang w:val="es-ES"/>
        </w:rPr>
      </w:pPr>
      <w:r>
        <w:rPr>
          <w:rFonts w:eastAsia="Palatino Linotype"/>
          <w:b/>
          <w:spacing w:val="-1"/>
          <w:sz w:val="22"/>
          <w:szCs w:val="22"/>
          <w:lang w:val="es-ES"/>
        </w:rPr>
        <w:t xml:space="preserve">10.3.1 </w:t>
      </w:r>
      <w:proofErr w:type="spellStart"/>
      <w:r>
        <w:rPr>
          <w:rFonts w:eastAsia="Palatino Linotype"/>
          <w:b/>
          <w:spacing w:val="-1"/>
          <w:sz w:val="22"/>
          <w:szCs w:val="22"/>
          <w:lang w:val="es-ES"/>
        </w:rPr>
        <w:t>Discrepancies</w:t>
      </w:r>
      <w:proofErr w:type="spellEnd"/>
      <w:r>
        <w:rPr>
          <w:rFonts w:eastAsia="Palatino Linotype"/>
          <w:b/>
          <w:spacing w:val="-1"/>
          <w:sz w:val="22"/>
          <w:szCs w:val="22"/>
          <w:lang w:val="es-ES"/>
        </w:rPr>
        <w:tab/>
      </w:r>
    </w:p>
    <w:p w14:paraId="5A304DF0" w14:textId="77777777" w:rsidR="00E255F4" w:rsidRDefault="00000000">
      <w:pPr>
        <w:ind w:right="-142"/>
        <w:jc w:val="both"/>
        <w:rPr>
          <w:rFonts w:eastAsia="Palatino Linotype"/>
          <w:sz w:val="22"/>
          <w:szCs w:val="22"/>
          <w:lang w:val="es-ES"/>
        </w:rPr>
      </w:pPr>
      <w:proofErr w:type="spellStart"/>
      <w:r>
        <w:rPr>
          <w:rFonts w:eastAsia="Palatino Linotype"/>
          <w:spacing w:val="-1"/>
          <w:sz w:val="22"/>
          <w:szCs w:val="22"/>
          <w:lang w:val="es-ES"/>
        </w:rPr>
        <w:lastRenderedPageBreak/>
        <w:t>L</w:t>
      </w:r>
      <w:r>
        <w:rPr>
          <w:rFonts w:eastAsia="Palatino Linotype"/>
          <w:sz w:val="22"/>
          <w:szCs w:val="22"/>
          <w:lang w:val="es-ES"/>
        </w:rPr>
        <w:t>The</w:t>
      </w:r>
      <w:proofErr w:type="spellEnd"/>
      <w:r>
        <w:rPr>
          <w:rFonts w:eastAsia="Palatino Linotype"/>
          <w:sz w:val="22"/>
          <w:szCs w:val="22"/>
          <w:lang w:val="es-ES"/>
        </w:rPr>
        <w:t xml:space="preserve"> </w:t>
      </w:r>
      <w:proofErr w:type="spellStart"/>
      <w:r>
        <w:rPr>
          <w:rFonts w:eastAsia="Palatino Linotype"/>
          <w:sz w:val="22"/>
          <w:szCs w:val="22"/>
          <w:lang w:val="es-ES"/>
        </w:rPr>
        <w:t>obligation</w:t>
      </w:r>
      <w:proofErr w:type="spellEnd"/>
      <w:r>
        <w:rPr>
          <w:rFonts w:eastAsia="Palatino Linotype"/>
          <w:sz w:val="22"/>
          <w:szCs w:val="22"/>
          <w:lang w:val="es-ES"/>
        </w:rPr>
        <w:t xml:space="preserve"> </w:t>
      </w:r>
      <w:proofErr w:type="spellStart"/>
      <w:r>
        <w:rPr>
          <w:rFonts w:eastAsia="Palatino Linotype"/>
          <w:sz w:val="22"/>
          <w:szCs w:val="22"/>
          <w:lang w:val="es-ES"/>
        </w:rPr>
        <w:t>to</w:t>
      </w:r>
      <w:proofErr w:type="spellEnd"/>
      <w:r>
        <w:rPr>
          <w:rFonts w:eastAsia="Palatino Linotype"/>
          <w:sz w:val="22"/>
          <w:szCs w:val="22"/>
          <w:lang w:val="es-ES"/>
        </w:rPr>
        <w:t xml:space="preserve"> </w:t>
      </w:r>
      <w:proofErr w:type="spellStart"/>
      <w:r>
        <w:rPr>
          <w:rFonts w:eastAsia="Palatino Linotype"/>
          <w:sz w:val="22"/>
          <w:szCs w:val="22"/>
          <w:lang w:val="es-ES"/>
        </w:rPr>
        <w:t>quote</w:t>
      </w:r>
      <w:proofErr w:type="spellEnd"/>
      <w:r>
        <w:rPr>
          <w:rFonts w:eastAsia="Palatino Linotype"/>
          <w:sz w:val="22"/>
          <w:szCs w:val="22"/>
          <w:lang w:val="es-ES"/>
        </w:rPr>
        <w:t xml:space="preserve"> a </w:t>
      </w:r>
      <w:proofErr w:type="spellStart"/>
      <w:r>
        <w:rPr>
          <w:rFonts w:eastAsia="Palatino Linotype"/>
          <w:sz w:val="22"/>
          <w:szCs w:val="22"/>
          <w:lang w:val="es-ES"/>
        </w:rPr>
        <w:t>firm</w:t>
      </w:r>
      <w:proofErr w:type="spellEnd"/>
      <w:r>
        <w:rPr>
          <w:rFonts w:eastAsia="Palatino Linotype"/>
          <w:sz w:val="22"/>
          <w:szCs w:val="22"/>
          <w:lang w:val="es-ES"/>
        </w:rPr>
        <w:t xml:space="preserve"> </w:t>
      </w:r>
      <w:proofErr w:type="spellStart"/>
      <w:r>
        <w:rPr>
          <w:rFonts w:eastAsia="Palatino Linotype"/>
          <w:sz w:val="22"/>
          <w:szCs w:val="22"/>
          <w:lang w:val="es-ES"/>
        </w:rPr>
        <w:t>price</w:t>
      </w:r>
      <w:proofErr w:type="spellEnd"/>
      <w:r>
        <w:rPr>
          <w:rFonts w:eastAsia="Palatino Linotype"/>
          <w:sz w:val="22"/>
          <w:szCs w:val="22"/>
          <w:lang w:val="es-ES"/>
        </w:rPr>
        <w:t xml:space="preserve"> </w:t>
      </w:r>
      <w:proofErr w:type="spellStart"/>
      <w:r>
        <w:rPr>
          <w:rFonts w:eastAsia="Palatino Linotype"/>
          <w:sz w:val="22"/>
          <w:szCs w:val="22"/>
          <w:lang w:val="es-ES"/>
        </w:rPr>
        <w:t>without</w:t>
      </w:r>
      <w:proofErr w:type="spellEnd"/>
      <w:r>
        <w:rPr>
          <w:rFonts w:eastAsia="Palatino Linotype"/>
          <w:sz w:val="22"/>
          <w:szCs w:val="22"/>
          <w:lang w:val="es-ES"/>
        </w:rPr>
        <w:t xml:space="preserve"> </w:t>
      </w:r>
      <w:proofErr w:type="spellStart"/>
      <w:r>
        <w:rPr>
          <w:rFonts w:eastAsia="Palatino Linotype"/>
          <w:sz w:val="22"/>
          <w:szCs w:val="22"/>
          <w:lang w:val="es-ES"/>
        </w:rPr>
        <w:t>adjustments</w:t>
      </w:r>
      <w:proofErr w:type="spellEnd"/>
      <w:r>
        <w:rPr>
          <w:rFonts w:eastAsia="Palatino Linotype"/>
          <w:sz w:val="22"/>
          <w:szCs w:val="22"/>
          <w:lang w:val="es-ES"/>
        </w:rPr>
        <w:t xml:space="preserve">, </w:t>
      </w:r>
      <w:proofErr w:type="spellStart"/>
      <w:r>
        <w:rPr>
          <w:rFonts w:eastAsia="Palatino Linotype"/>
          <w:sz w:val="22"/>
          <w:szCs w:val="22"/>
          <w:lang w:val="es-ES"/>
        </w:rPr>
        <w:t>or</w:t>
      </w:r>
      <w:proofErr w:type="spellEnd"/>
      <w:r>
        <w:rPr>
          <w:rFonts w:eastAsia="Palatino Linotype"/>
          <w:sz w:val="22"/>
          <w:szCs w:val="22"/>
          <w:lang w:val="es-ES"/>
        </w:rPr>
        <w:t xml:space="preserve"> </w:t>
      </w:r>
      <w:proofErr w:type="spellStart"/>
      <w:r>
        <w:rPr>
          <w:rFonts w:eastAsia="Palatino Linotype"/>
          <w:sz w:val="22"/>
          <w:szCs w:val="22"/>
          <w:lang w:val="es-ES"/>
        </w:rPr>
        <w:t>parametric</w:t>
      </w:r>
      <w:proofErr w:type="spellEnd"/>
      <w:r>
        <w:rPr>
          <w:rFonts w:eastAsia="Palatino Linotype"/>
          <w:sz w:val="22"/>
          <w:szCs w:val="22"/>
          <w:lang w:val="es-ES"/>
        </w:rPr>
        <w:t xml:space="preserve"> formulas </w:t>
      </w:r>
      <w:proofErr w:type="spellStart"/>
      <w:r>
        <w:rPr>
          <w:rFonts w:eastAsia="Palatino Linotype"/>
          <w:sz w:val="22"/>
          <w:szCs w:val="22"/>
          <w:lang w:val="es-ES"/>
        </w:rPr>
        <w:t>for</w:t>
      </w:r>
      <w:proofErr w:type="spellEnd"/>
      <w:r>
        <w:rPr>
          <w:rFonts w:eastAsia="Palatino Linotype"/>
          <w:sz w:val="22"/>
          <w:szCs w:val="22"/>
          <w:lang w:val="es-ES"/>
        </w:rPr>
        <w:t xml:space="preserve"> </w:t>
      </w:r>
      <w:proofErr w:type="spellStart"/>
      <w:r>
        <w:rPr>
          <w:rFonts w:eastAsia="Palatino Linotype"/>
          <w:sz w:val="22"/>
          <w:szCs w:val="22"/>
          <w:lang w:val="es-ES"/>
        </w:rPr>
        <w:t>updating</w:t>
      </w:r>
      <w:proofErr w:type="spellEnd"/>
      <w:r>
        <w:rPr>
          <w:rFonts w:eastAsia="Palatino Linotype"/>
          <w:sz w:val="22"/>
          <w:szCs w:val="22"/>
          <w:lang w:val="es-ES"/>
        </w:rPr>
        <w:t xml:space="preserve"> </w:t>
      </w:r>
      <w:proofErr w:type="spellStart"/>
      <w:r>
        <w:rPr>
          <w:rFonts w:eastAsia="Palatino Linotype"/>
          <w:sz w:val="22"/>
          <w:szCs w:val="22"/>
          <w:lang w:val="es-ES"/>
        </w:rPr>
        <w:t>prices</w:t>
      </w:r>
      <w:proofErr w:type="spellEnd"/>
      <w:r>
        <w:rPr>
          <w:rFonts w:eastAsia="Palatino Linotype"/>
          <w:sz w:val="22"/>
          <w:szCs w:val="22"/>
          <w:lang w:val="es-ES"/>
        </w:rPr>
        <w:t xml:space="preserve">, </w:t>
      </w:r>
      <w:proofErr w:type="spellStart"/>
      <w:r>
        <w:rPr>
          <w:rFonts w:eastAsia="Palatino Linotype"/>
          <w:sz w:val="22"/>
          <w:szCs w:val="22"/>
          <w:lang w:val="es-ES"/>
        </w:rPr>
        <w:t>will</w:t>
      </w:r>
      <w:proofErr w:type="spellEnd"/>
      <w:r>
        <w:rPr>
          <w:rFonts w:eastAsia="Palatino Linotype"/>
          <w:sz w:val="22"/>
          <w:szCs w:val="22"/>
          <w:lang w:val="es-ES"/>
        </w:rPr>
        <w:t xml:space="preserve"> be </w:t>
      </w:r>
      <w:proofErr w:type="spellStart"/>
      <w:r>
        <w:rPr>
          <w:rFonts w:eastAsia="Palatino Linotype"/>
          <w:sz w:val="22"/>
          <w:szCs w:val="22"/>
          <w:lang w:val="es-ES"/>
        </w:rPr>
        <w:t>included</w:t>
      </w:r>
      <w:proofErr w:type="spellEnd"/>
      <w:r>
        <w:rPr>
          <w:rFonts w:eastAsia="Palatino Linotype"/>
          <w:sz w:val="22"/>
          <w:szCs w:val="22"/>
          <w:lang w:val="es-ES"/>
        </w:rPr>
        <w:t xml:space="preserve"> in </w:t>
      </w:r>
      <w:proofErr w:type="spellStart"/>
      <w:r>
        <w:rPr>
          <w:rFonts w:eastAsia="Palatino Linotype"/>
          <w:sz w:val="22"/>
          <w:szCs w:val="22"/>
          <w:lang w:val="es-ES"/>
        </w:rPr>
        <w:t>the</w:t>
      </w:r>
      <w:proofErr w:type="spellEnd"/>
      <w:r>
        <w:rPr>
          <w:rFonts w:eastAsia="Palatino Linotype"/>
          <w:sz w:val="22"/>
          <w:szCs w:val="22"/>
          <w:lang w:val="es-ES"/>
        </w:rPr>
        <w:t xml:space="preserve"> </w:t>
      </w:r>
      <w:proofErr w:type="spellStart"/>
      <w:r>
        <w:rPr>
          <w:rFonts w:eastAsia="Palatino Linotype"/>
          <w:sz w:val="22"/>
          <w:szCs w:val="22"/>
          <w:lang w:val="es-ES"/>
        </w:rPr>
        <w:t>clauses</w:t>
      </w:r>
      <w:proofErr w:type="spellEnd"/>
      <w:r>
        <w:rPr>
          <w:rFonts w:eastAsia="Palatino Linotype"/>
          <w:sz w:val="22"/>
          <w:szCs w:val="22"/>
          <w:lang w:val="es-ES"/>
        </w:rPr>
        <w:t xml:space="preserve"> </w:t>
      </w:r>
      <w:proofErr w:type="spellStart"/>
      <w:r>
        <w:rPr>
          <w:rFonts w:eastAsia="Palatino Linotype"/>
          <w:sz w:val="22"/>
          <w:szCs w:val="22"/>
          <w:lang w:val="es-ES"/>
        </w:rPr>
        <w:t>of</w:t>
      </w:r>
      <w:proofErr w:type="spellEnd"/>
      <w:r>
        <w:rPr>
          <w:rFonts w:eastAsia="Palatino Linotype"/>
          <w:sz w:val="22"/>
          <w:szCs w:val="22"/>
          <w:lang w:val="es-ES"/>
        </w:rPr>
        <w:t xml:space="preserve"> </w:t>
      </w:r>
      <w:proofErr w:type="spellStart"/>
      <w:r>
        <w:rPr>
          <w:rFonts w:eastAsia="Palatino Linotype"/>
          <w:sz w:val="22"/>
          <w:szCs w:val="22"/>
          <w:lang w:val="es-ES"/>
        </w:rPr>
        <w:t>the</w:t>
      </w:r>
      <w:proofErr w:type="spellEnd"/>
      <w:r>
        <w:rPr>
          <w:rFonts w:eastAsia="Palatino Linotype"/>
          <w:sz w:val="22"/>
          <w:szCs w:val="22"/>
          <w:lang w:val="es-ES"/>
        </w:rPr>
        <w:t xml:space="preserve"> Special </w:t>
      </w:r>
      <w:proofErr w:type="spellStart"/>
      <w:r>
        <w:rPr>
          <w:rFonts w:eastAsia="Palatino Linotype"/>
          <w:sz w:val="22"/>
          <w:szCs w:val="22"/>
          <w:lang w:val="es-ES"/>
        </w:rPr>
        <w:t>Specifications</w:t>
      </w:r>
      <w:proofErr w:type="spellEnd"/>
      <w:r>
        <w:rPr>
          <w:rFonts w:eastAsia="Palatino Linotype"/>
          <w:sz w:val="22"/>
          <w:szCs w:val="22"/>
          <w:lang w:val="es-ES"/>
        </w:rPr>
        <w:t>.</w:t>
      </w:r>
    </w:p>
    <w:p w14:paraId="0A2AD27F" w14:textId="77777777" w:rsidR="00E255F4" w:rsidRDefault="00E255F4">
      <w:pPr>
        <w:ind w:right="-142"/>
        <w:jc w:val="both"/>
        <w:rPr>
          <w:rFonts w:eastAsia="Palatino Linotype"/>
          <w:sz w:val="22"/>
          <w:szCs w:val="22"/>
          <w:lang w:val="es-ES"/>
        </w:rPr>
      </w:pPr>
    </w:p>
    <w:p w14:paraId="27DA119A" w14:textId="77777777" w:rsidR="00E255F4" w:rsidRDefault="00000000">
      <w:pPr>
        <w:ind w:right="-142"/>
        <w:jc w:val="both"/>
        <w:rPr>
          <w:rFonts w:eastAsia="Palatino Linotype"/>
          <w:sz w:val="22"/>
          <w:szCs w:val="22"/>
          <w:lang w:val="es-ES"/>
        </w:rPr>
      </w:pPr>
      <w:r>
        <w:rPr>
          <w:rFonts w:eastAsia="Palatino Linotype"/>
          <w:sz w:val="22"/>
          <w:szCs w:val="22"/>
          <w:lang w:val="es-ES"/>
        </w:rPr>
        <w:t xml:space="preserve">In </w:t>
      </w:r>
      <w:proofErr w:type="spellStart"/>
      <w:r>
        <w:rPr>
          <w:rFonts w:eastAsia="Palatino Linotype"/>
          <w:sz w:val="22"/>
          <w:szCs w:val="22"/>
          <w:lang w:val="es-ES"/>
        </w:rPr>
        <w:t>the</w:t>
      </w:r>
      <w:proofErr w:type="spellEnd"/>
      <w:r>
        <w:rPr>
          <w:rFonts w:eastAsia="Palatino Linotype"/>
          <w:sz w:val="22"/>
          <w:szCs w:val="22"/>
          <w:lang w:val="es-ES"/>
        </w:rPr>
        <w:t xml:space="preserve"> </w:t>
      </w:r>
      <w:proofErr w:type="spellStart"/>
      <w:r>
        <w:rPr>
          <w:rFonts w:eastAsia="Palatino Linotype"/>
          <w:sz w:val="22"/>
          <w:szCs w:val="22"/>
          <w:lang w:val="es-ES"/>
        </w:rPr>
        <w:t>absence</w:t>
      </w:r>
      <w:proofErr w:type="spellEnd"/>
      <w:r>
        <w:rPr>
          <w:rFonts w:eastAsia="Palatino Linotype"/>
          <w:sz w:val="22"/>
          <w:szCs w:val="22"/>
          <w:lang w:val="es-ES"/>
        </w:rPr>
        <w:t xml:space="preserve"> </w:t>
      </w:r>
      <w:proofErr w:type="spellStart"/>
      <w:r>
        <w:rPr>
          <w:rFonts w:eastAsia="Palatino Linotype"/>
          <w:sz w:val="22"/>
          <w:szCs w:val="22"/>
          <w:lang w:val="es-ES"/>
        </w:rPr>
        <w:t>of</w:t>
      </w:r>
      <w:proofErr w:type="spellEnd"/>
      <w:r>
        <w:rPr>
          <w:rFonts w:eastAsia="Palatino Linotype"/>
          <w:sz w:val="22"/>
          <w:szCs w:val="22"/>
          <w:lang w:val="es-ES"/>
        </w:rPr>
        <w:t xml:space="preserve"> a </w:t>
      </w:r>
      <w:proofErr w:type="spellStart"/>
      <w:r>
        <w:rPr>
          <w:rFonts w:eastAsia="Palatino Linotype"/>
          <w:sz w:val="22"/>
          <w:szCs w:val="22"/>
          <w:lang w:val="es-ES"/>
        </w:rPr>
        <w:t>specification</w:t>
      </w:r>
      <w:proofErr w:type="spellEnd"/>
      <w:r>
        <w:rPr>
          <w:rFonts w:eastAsia="Palatino Linotype"/>
          <w:sz w:val="22"/>
          <w:szCs w:val="22"/>
          <w:lang w:val="es-ES"/>
        </w:rPr>
        <w:t xml:space="preserve"> in </w:t>
      </w:r>
      <w:proofErr w:type="spellStart"/>
      <w:r>
        <w:rPr>
          <w:rFonts w:eastAsia="Palatino Linotype"/>
          <w:sz w:val="22"/>
          <w:szCs w:val="22"/>
          <w:lang w:val="es-ES"/>
        </w:rPr>
        <w:t>the</w:t>
      </w:r>
      <w:proofErr w:type="spellEnd"/>
      <w:r>
        <w:rPr>
          <w:rFonts w:eastAsia="Palatino Linotype"/>
          <w:sz w:val="22"/>
          <w:szCs w:val="22"/>
          <w:lang w:val="es-ES"/>
        </w:rPr>
        <w:t xml:space="preserve"> Special Tender </w:t>
      </w:r>
      <w:proofErr w:type="spellStart"/>
      <w:r>
        <w:rPr>
          <w:rFonts w:eastAsia="Palatino Linotype"/>
          <w:sz w:val="22"/>
          <w:szCs w:val="22"/>
          <w:lang w:val="es-ES"/>
        </w:rPr>
        <w:t>Document</w:t>
      </w:r>
      <w:proofErr w:type="spellEnd"/>
      <w:r>
        <w:rPr>
          <w:rFonts w:eastAsia="Palatino Linotype"/>
          <w:sz w:val="22"/>
          <w:szCs w:val="22"/>
          <w:lang w:val="es-ES"/>
        </w:rPr>
        <w:t xml:space="preserve">, </w:t>
      </w:r>
      <w:proofErr w:type="spellStart"/>
      <w:r>
        <w:rPr>
          <w:rFonts w:eastAsia="Palatino Linotype"/>
          <w:sz w:val="22"/>
          <w:szCs w:val="22"/>
          <w:lang w:val="es-ES"/>
        </w:rPr>
        <w:t>bidders</w:t>
      </w:r>
      <w:proofErr w:type="spellEnd"/>
      <w:r>
        <w:rPr>
          <w:rFonts w:eastAsia="Palatino Linotype"/>
          <w:sz w:val="22"/>
          <w:szCs w:val="22"/>
          <w:lang w:val="es-ES"/>
        </w:rPr>
        <w:t xml:space="preserve"> </w:t>
      </w:r>
      <w:proofErr w:type="spellStart"/>
      <w:r>
        <w:rPr>
          <w:rFonts w:eastAsia="Palatino Linotype"/>
          <w:sz w:val="22"/>
          <w:szCs w:val="22"/>
          <w:lang w:val="es-ES"/>
        </w:rPr>
        <w:t>quoting</w:t>
      </w:r>
      <w:proofErr w:type="spellEnd"/>
      <w:r>
        <w:rPr>
          <w:rFonts w:eastAsia="Palatino Linotype"/>
          <w:sz w:val="22"/>
          <w:szCs w:val="22"/>
          <w:lang w:val="es-ES"/>
        </w:rPr>
        <w:t xml:space="preserve"> </w:t>
      </w:r>
      <w:proofErr w:type="spellStart"/>
      <w:r>
        <w:rPr>
          <w:rFonts w:eastAsia="Palatino Linotype"/>
          <w:sz w:val="22"/>
          <w:szCs w:val="22"/>
          <w:lang w:val="es-ES"/>
        </w:rPr>
        <w:t>adjustable</w:t>
      </w:r>
      <w:proofErr w:type="spellEnd"/>
      <w:r>
        <w:rPr>
          <w:rFonts w:eastAsia="Palatino Linotype"/>
          <w:sz w:val="22"/>
          <w:szCs w:val="22"/>
          <w:lang w:val="es-ES"/>
        </w:rPr>
        <w:t xml:space="preserve"> </w:t>
      </w:r>
      <w:proofErr w:type="spellStart"/>
      <w:r>
        <w:rPr>
          <w:rFonts w:eastAsia="Palatino Linotype"/>
          <w:sz w:val="22"/>
          <w:szCs w:val="22"/>
          <w:lang w:val="es-ES"/>
        </w:rPr>
        <w:t>prices</w:t>
      </w:r>
      <w:proofErr w:type="spellEnd"/>
      <w:r>
        <w:rPr>
          <w:rFonts w:eastAsia="Palatino Linotype"/>
          <w:sz w:val="22"/>
          <w:szCs w:val="22"/>
          <w:lang w:val="es-ES"/>
        </w:rPr>
        <w:t xml:space="preserve"> </w:t>
      </w:r>
      <w:proofErr w:type="spellStart"/>
      <w:r>
        <w:rPr>
          <w:rFonts w:eastAsia="Palatino Linotype"/>
          <w:sz w:val="22"/>
          <w:szCs w:val="22"/>
          <w:lang w:val="es-ES"/>
        </w:rPr>
        <w:t>must</w:t>
      </w:r>
      <w:proofErr w:type="spellEnd"/>
      <w:r>
        <w:rPr>
          <w:rFonts w:eastAsia="Palatino Linotype"/>
          <w:sz w:val="22"/>
          <w:szCs w:val="22"/>
          <w:lang w:val="es-ES"/>
        </w:rPr>
        <w:t xml:space="preserve"> </w:t>
      </w:r>
      <w:proofErr w:type="spellStart"/>
      <w:r>
        <w:rPr>
          <w:rFonts w:eastAsia="Palatino Linotype"/>
          <w:sz w:val="22"/>
          <w:szCs w:val="22"/>
          <w:lang w:val="es-ES"/>
        </w:rPr>
        <w:t>establish</w:t>
      </w:r>
      <w:proofErr w:type="spellEnd"/>
      <w:r>
        <w:rPr>
          <w:rFonts w:eastAsia="Palatino Linotype"/>
          <w:sz w:val="22"/>
          <w:szCs w:val="22"/>
          <w:lang w:val="es-ES"/>
        </w:rPr>
        <w:t xml:space="preserve"> a </w:t>
      </w:r>
      <w:proofErr w:type="spellStart"/>
      <w:r>
        <w:rPr>
          <w:rFonts w:eastAsia="Palatino Linotype"/>
          <w:sz w:val="22"/>
          <w:szCs w:val="22"/>
          <w:lang w:val="es-ES"/>
        </w:rPr>
        <w:t>parametric</w:t>
      </w:r>
      <w:proofErr w:type="spellEnd"/>
      <w:r>
        <w:rPr>
          <w:rFonts w:eastAsia="Palatino Linotype"/>
          <w:sz w:val="22"/>
          <w:szCs w:val="22"/>
          <w:lang w:val="es-ES"/>
        </w:rPr>
        <w:t xml:space="preserve"> formula </w:t>
      </w:r>
      <w:proofErr w:type="spellStart"/>
      <w:r>
        <w:rPr>
          <w:rFonts w:eastAsia="Palatino Linotype"/>
          <w:sz w:val="22"/>
          <w:szCs w:val="22"/>
          <w:lang w:val="es-ES"/>
        </w:rPr>
        <w:t>that</w:t>
      </w:r>
      <w:proofErr w:type="spellEnd"/>
      <w:r>
        <w:rPr>
          <w:rFonts w:eastAsia="Palatino Linotype"/>
          <w:sz w:val="22"/>
          <w:szCs w:val="22"/>
          <w:lang w:val="es-ES"/>
        </w:rPr>
        <w:t xml:space="preserve"> </w:t>
      </w:r>
      <w:proofErr w:type="spellStart"/>
      <w:r>
        <w:rPr>
          <w:rFonts w:eastAsia="Palatino Linotype"/>
          <w:sz w:val="22"/>
          <w:szCs w:val="22"/>
          <w:lang w:val="es-ES"/>
        </w:rPr>
        <w:t>reflects</w:t>
      </w:r>
      <w:proofErr w:type="spellEnd"/>
      <w:r>
        <w:rPr>
          <w:rFonts w:eastAsia="Palatino Linotype"/>
          <w:sz w:val="22"/>
          <w:szCs w:val="22"/>
          <w:lang w:val="es-ES"/>
        </w:rPr>
        <w:t xml:space="preserve"> </w:t>
      </w:r>
      <w:proofErr w:type="spellStart"/>
      <w:r>
        <w:rPr>
          <w:rFonts w:eastAsia="Palatino Linotype"/>
          <w:sz w:val="22"/>
          <w:szCs w:val="22"/>
          <w:lang w:val="es-ES"/>
        </w:rPr>
        <w:t>the</w:t>
      </w:r>
      <w:proofErr w:type="spellEnd"/>
      <w:r>
        <w:rPr>
          <w:rFonts w:eastAsia="Palatino Linotype"/>
          <w:sz w:val="22"/>
          <w:szCs w:val="22"/>
          <w:lang w:val="es-ES"/>
        </w:rPr>
        <w:t xml:space="preserve"> </w:t>
      </w:r>
      <w:proofErr w:type="spellStart"/>
      <w:r>
        <w:rPr>
          <w:rFonts w:eastAsia="Palatino Linotype"/>
          <w:sz w:val="22"/>
          <w:szCs w:val="22"/>
          <w:lang w:val="es-ES"/>
        </w:rPr>
        <w:t>cost</w:t>
      </w:r>
      <w:proofErr w:type="spellEnd"/>
      <w:r>
        <w:rPr>
          <w:rFonts w:eastAsia="Palatino Linotype"/>
          <w:sz w:val="22"/>
          <w:szCs w:val="22"/>
          <w:lang w:val="es-ES"/>
        </w:rPr>
        <w:t xml:space="preserve"> </w:t>
      </w:r>
      <w:proofErr w:type="spellStart"/>
      <w:r>
        <w:rPr>
          <w:rFonts w:eastAsia="Palatino Linotype"/>
          <w:sz w:val="22"/>
          <w:szCs w:val="22"/>
          <w:lang w:val="es-ES"/>
        </w:rPr>
        <w:t>structure</w:t>
      </w:r>
      <w:proofErr w:type="spellEnd"/>
      <w:r>
        <w:rPr>
          <w:rFonts w:eastAsia="Palatino Linotype"/>
          <w:sz w:val="22"/>
          <w:szCs w:val="22"/>
          <w:lang w:val="es-ES"/>
        </w:rPr>
        <w:t xml:space="preserve"> </w:t>
      </w:r>
      <w:proofErr w:type="spellStart"/>
      <w:r>
        <w:rPr>
          <w:rFonts w:eastAsia="Palatino Linotype"/>
          <w:sz w:val="22"/>
          <w:szCs w:val="22"/>
          <w:lang w:val="es-ES"/>
        </w:rPr>
        <w:t>of</w:t>
      </w:r>
      <w:proofErr w:type="spellEnd"/>
      <w:r>
        <w:rPr>
          <w:rFonts w:eastAsia="Palatino Linotype"/>
          <w:sz w:val="22"/>
          <w:szCs w:val="22"/>
          <w:lang w:val="es-ES"/>
        </w:rPr>
        <w:t xml:space="preserve"> </w:t>
      </w:r>
      <w:proofErr w:type="spellStart"/>
      <w:r>
        <w:rPr>
          <w:rFonts w:eastAsia="Palatino Linotype"/>
          <w:sz w:val="22"/>
          <w:szCs w:val="22"/>
          <w:lang w:val="es-ES"/>
        </w:rPr>
        <w:t>the</w:t>
      </w:r>
      <w:proofErr w:type="spellEnd"/>
      <w:r>
        <w:rPr>
          <w:rFonts w:eastAsia="Palatino Linotype"/>
          <w:sz w:val="22"/>
          <w:szCs w:val="22"/>
          <w:lang w:val="es-ES"/>
        </w:rPr>
        <w:t xml:space="preserve"> </w:t>
      </w:r>
      <w:proofErr w:type="spellStart"/>
      <w:r>
        <w:rPr>
          <w:rFonts w:eastAsia="Palatino Linotype"/>
          <w:sz w:val="22"/>
          <w:szCs w:val="22"/>
          <w:lang w:val="es-ES"/>
        </w:rPr>
        <w:t>product</w:t>
      </w:r>
      <w:proofErr w:type="spellEnd"/>
      <w:r>
        <w:rPr>
          <w:rFonts w:eastAsia="Palatino Linotype"/>
          <w:sz w:val="22"/>
          <w:szCs w:val="22"/>
          <w:lang w:val="es-ES"/>
        </w:rPr>
        <w:t xml:space="preserve"> </w:t>
      </w:r>
      <w:proofErr w:type="spellStart"/>
      <w:r>
        <w:rPr>
          <w:rFonts w:eastAsia="Palatino Linotype"/>
          <w:sz w:val="22"/>
          <w:szCs w:val="22"/>
          <w:lang w:val="es-ES"/>
        </w:rPr>
        <w:t>or</w:t>
      </w:r>
      <w:proofErr w:type="spellEnd"/>
      <w:r>
        <w:rPr>
          <w:rFonts w:eastAsia="Palatino Linotype"/>
          <w:sz w:val="22"/>
          <w:szCs w:val="22"/>
          <w:lang w:val="es-ES"/>
        </w:rPr>
        <w:t xml:space="preserve"> </w:t>
      </w:r>
      <w:proofErr w:type="spellStart"/>
      <w:r>
        <w:rPr>
          <w:rFonts w:eastAsia="Palatino Linotype"/>
          <w:sz w:val="22"/>
          <w:szCs w:val="22"/>
          <w:lang w:val="es-ES"/>
        </w:rPr>
        <w:t>service</w:t>
      </w:r>
      <w:proofErr w:type="spellEnd"/>
      <w:r>
        <w:rPr>
          <w:rFonts w:eastAsia="Palatino Linotype"/>
          <w:sz w:val="22"/>
          <w:szCs w:val="22"/>
          <w:lang w:val="es-ES"/>
        </w:rPr>
        <w:t xml:space="preserve"> </w:t>
      </w:r>
      <w:proofErr w:type="spellStart"/>
      <w:r>
        <w:rPr>
          <w:rFonts w:eastAsia="Palatino Linotype"/>
          <w:sz w:val="22"/>
          <w:szCs w:val="22"/>
          <w:lang w:val="es-ES"/>
        </w:rPr>
        <w:t>offered</w:t>
      </w:r>
      <w:proofErr w:type="spellEnd"/>
      <w:r>
        <w:rPr>
          <w:rFonts w:eastAsia="Palatino Linotype"/>
          <w:sz w:val="22"/>
          <w:szCs w:val="22"/>
          <w:lang w:val="es-ES"/>
        </w:rPr>
        <w:t xml:space="preserve">, </w:t>
      </w:r>
      <w:proofErr w:type="spellStart"/>
      <w:r>
        <w:rPr>
          <w:rFonts w:eastAsia="Palatino Linotype"/>
          <w:sz w:val="22"/>
          <w:szCs w:val="22"/>
          <w:lang w:val="es-ES"/>
        </w:rPr>
        <w:t>of</w:t>
      </w:r>
      <w:proofErr w:type="spellEnd"/>
      <w:r>
        <w:rPr>
          <w:rFonts w:eastAsia="Palatino Linotype"/>
          <w:sz w:val="22"/>
          <w:szCs w:val="22"/>
          <w:lang w:val="es-ES"/>
        </w:rPr>
        <w:t xml:space="preserve"> </w:t>
      </w:r>
      <w:proofErr w:type="spellStart"/>
      <w:r>
        <w:rPr>
          <w:rFonts w:eastAsia="Palatino Linotype"/>
          <w:sz w:val="22"/>
          <w:szCs w:val="22"/>
          <w:lang w:val="es-ES"/>
        </w:rPr>
        <w:t>the</w:t>
      </w:r>
      <w:proofErr w:type="spellEnd"/>
      <w:r>
        <w:rPr>
          <w:rFonts w:eastAsia="Palatino Linotype"/>
          <w:sz w:val="22"/>
          <w:szCs w:val="22"/>
          <w:lang w:val="es-ES"/>
        </w:rPr>
        <w:t xml:space="preserve"> </w:t>
      </w:r>
      <w:proofErr w:type="spellStart"/>
      <w:r>
        <w:rPr>
          <w:rFonts w:eastAsia="Palatino Linotype"/>
          <w:sz w:val="22"/>
          <w:szCs w:val="22"/>
          <w:lang w:val="es-ES"/>
        </w:rPr>
        <w:t>following</w:t>
      </w:r>
      <w:proofErr w:type="spellEnd"/>
      <w:r>
        <w:rPr>
          <w:rFonts w:eastAsia="Palatino Linotype"/>
          <w:sz w:val="22"/>
          <w:szCs w:val="22"/>
          <w:lang w:val="es-ES"/>
        </w:rPr>
        <w:t xml:space="preserve"> </w:t>
      </w:r>
      <w:proofErr w:type="spellStart"/>
      <w:r>
        <w:rPr>
          <w:rFonts w:eastAsia="Palatino Linotype"/>
          <w:sz w:val="22"/>
          <w:szCs w:val="22"/>
          <w:lang w:val="es-ES"/>
        </w:rPr>
        <w:t>type</w:t>
      </w:r>
      <w:proofErr w:type="spellEnd"/>
      <w:r>
        <w:rPr>
          <w:rFonts w:eastAsia="Palatino Linotype"/>
          <w:sz w:val="22"/>
          <w:szCs w:val="22"/>
          <w:lang w:val="es-ES"/>
        </w:rPr>
        <w:t>:</w:t>
      </w:r>
    </w:p>
    <w:p w14:paraId="73E21503" w14:textId="77777777" w:rsidR="00E255F4" w:rsidRDefault="00E255F4">
      <w:pPr>
        <w:ind w:right="-142"/>
        <w:jc w:val="both"/>
        <w:rPr>
          <w:rFonts w:eastAsia="Palatino Linotype"/>
          <w:sz w:val="22"/>
          <w:szCs w:val="22"/>
          <w:lang w:val="es-ES"/>
        </w:rPr>
      </w:pPr>
    </w:p>
    <w:p w14:paraId="434D0CA6" w14:textId="77777777" w:rsidR="00E255F4" w:rsidRDefault="00000000">
      <w:pPr>
        <w:ind w:right="-142" w:firstLine="283"/>
        <w:jc w:val="center"/>
        <w:rPr>
          <w:rFonts w:eastAsia="Palatino Linotype"/>
          <w:b/>
          <w:spacing w:val="2"/>
          <w:sz w:val="22"/>
          <w:szCs w:val="22"/>
          <w:lang w:val="pt-BR"/>
        </w:rPr>
      </w:pPr>
      <w:r>
        <w:rPr>
          <w:rFonts w:eastAsia="Palatino Linotype"/>
          <w:b/>
          <w:spacing w:val="2"/>
          <w:sz w:val="22"/>
          <w:szCs w:val="22"/>
          <w:lang w:val="pt-BR"/>
        </w:rPr>
        <w:t>P1 = P0 (aA1/A0 + bB1/B0 + … + mM1/M0 + n)</w:t>
      </w:r>
    </w:p>
    <w:p w14:paraId="7DEB202E" w14:textId="77777777" w:rsidR="00E255F4" w:rsidRDefault="00000000">
      <w:pPr>
        <w:ind w:right="-142"/>
        <w:jc w:val="both"/>
        <w:rPr>
          <w:rFonts w:eastAsia="Palatino Linotype"/>
          <w:sz w:val="22"/>
          <w:szCs w:val="22"/>
          <w:lang w:val="es-ES"/>
        </w:rPr>
      </w:pPr>
      <w:proofErr w:type="spellStart"/>
      <w:r>
        <w:rPr>
          <w:rFonts w:eastAsia="Palatino Linotype"/>
          <w:spacing w:val="-1"/>
          <w:sz w:val="22"/>
          <w:szCs w:val="22"/>
          <w:lang w:val="es-ES"/>
        </w:rPr>
        <w:t>where</w:t>
      </w:r>
      <w:proofErr w:type="spellEnd"/>
      <w:r>
        <w:rPr>
          <w:rFonts w:eastAsia="Palatino Linotype"/>
          <w:spacing w:val="-1"/>
          <w:sz w:val="22"/>
          <w:szCs w:val="22"/>
          <w:lang w:val="es-ES"/>
        </w:rPr>
        <w:t>:</w:t>
      </w:r>
    </w:p>
    <w:p w14:paraId="403E89C9" w14:textId="77777777" w:rsidR="00E255F4" w:rsidRDefault="00E255F4">
      <w:pPr>
        <w:ind w:right="-142"/>
        <w:jc w:val="both"/>
        <w:rPr>
          <w:rFonts w:eastAsia="Palatino Linotype"/>
          <w:sz w:val="22"/>
          <w:szCs w:val="22"/>
          <w:lang w:val="es-ES"/>
        </w:rPr>
      </w:pPr>
    </w:p>
    <w:p w14:paraId="3A38AE46" w14:textId="77777777" w:rsidR="00E255F4" w:rsidRDefault="00000000">
      <w:pPr>
        <w:ind w:right="-142" w:firstLine="566"/>
        <w:jc w:val="both"/>
        <w:rPr>
          <w:rFonts w:eastAsia="Palatino Linotype"/>
          <w:sz w:val="22"/>
          <w:szCs w:val="22"/>
          <w:lang w:val="es-ES"/>
        </w:rPr>
      </w:pPr>
      <w:r>
        <w:rPr>
          <w:rFonts w:eastAsia="Palatino Linotype"/>
          <w:sz w:val="22"/>
          <w:szCs w:val="22"/>
          <w:lang w:val="es-ES"/>
        </w:rPr>
        <w:t xml:space="preserve">P0 = </w:t>
      </w:r>
      <w:proofErr w:type="spellStart"/>
      <w:r>
        <w:rPr>
          <w:rFonts w:eastAsia="Palatino Linotype"/>
          <w:sz w:val="22"/>
          <w:szCs w:val="22"/>
          <w:lang w:val="es-ES"/>
        </w:rPr>
        <w:t>amount</w:t>
      </w:r>
      <w:proofErr w:type="spellEnd"/>
      <w:r>
        <w:rPr>
          <w:rFonts w:eastAsia="Palatino Linotype"/>
          <w:sz w:val="22"/>
          <w:szCs w:val="22"/>
          <w:lang w:val="es-ES"/>
        </w:rPr>
        <w:t xml:space="preserve"> </w:t>
      </w:r>
      <w:proofErr w:type="spellStart"/>
      <w:r>
        <w:rPr>
          <w:rFonts w:eastAsia="Palatino Linotype"/>
          <w:sz w:val="22"/>
          <w:szCs w:val="22"/>
          <w:lang w:val="es-ES"/>
        </w:rPr>
        <w:t>of</w:t>
      </w:r>
      <w:proofErr w:type="spellEnd"/>
      <w:r>
        <w:rPr>
          <w:rFonts w:eastAsia="Palatino Linotype"/>
          <w:sz w:val="22"/>
          <w:szCs w:val="22"/>
          <w:lang w:val="es-ES"/>
        </w:rPr>
        <w:t xml:space="preserve"> </w:t>
      </w:r>
      <w:proofErr w:type="spellStart"/>
      <w:r>
        <w:rPr>
          <w:rFonts w:eastAsia="Palatino Linotype"/>
          <w:sz w:val="22"/>
          <w:szCs w:val="22"/>
          <w:lang w:val="es-ES"/>
        </w:rPr>
        <w:t>the</w:t>
      </w:r>
      <w:proofErr w:type="spellEnd"/>
      <w:r>
        <w:rPr>
          <w:rFonts w:eastAsia="Palatino Linotype"/>
          <w:sz w:val="22"/>
          <w:szCs w:val="22"/>
          <w:lang w:val="es-ES"/>
        </w:rPr>
        <w:t xml:space="preserve"> </w:t>
      </w:r>
      <w:proofErr w:type="spellStart"/>
      <w:r>
        <w:rPr>
          <w:rFonts w:eastAsia="Palatino Linotype"/>
          <w:sz w:val="22"/>
          <w:szCs w:val="22"/>
          <w:lang w:val="es-ES"/>
        </w:rPr>
        <w:t>proposal</w:t>
      </w:r>
      <w:proofErr w:type="spellEnd"/>
    </w:p>
    <w:p w14:paraId="2B828D7F" w14:textId="77777777" w:rsidR="00E255F4" w:rsidRDefault="00000000">
      <w:pPr>
        <w:ind w:right="-142" w:firstLine="566"/>
        <w:jc w:val="both"/>
        <w:rPr>
          <w:rFonts w:eastAsia="Palatino Linotype"/>
          <w:sz w:val="22"/>
          <w:szCs w:val="22"/>
          <w:lang w:val="es-ES"/>
        </w:rPr>
      </w:pPr>
      <w:r>
        <w:rPr>
          <w:rFonts w:eastAsia="Palatino Linotype"/>
          <w:sz w:val="22"/>
          <w:szCs w:val="22"/>
          <w:lang w:val="es-ES"/>
        </w:rPr>
        <w:t xml:space="preserve">P1 = </w:t>
      </w:r>
      <w:proofErr w:type="spellStart"/>
      <w:r>
        <w:rPr>
          <w:rFonts w:eastAsia="Palatino Linotype"/>
          <w:sz w:val="22"/>
          <w:szCs w:val="22"/>
          <w:lang w:val="es-ES"/>
        </w:rPr>
        <w:t>updated</w:t>
      </w:r>
      <w:proofErr w:type="spellEnd"/>
      <w:r>
        <w:rPr>
          <w:rFonts w:eastAsia="Palatino Linotype"/>
          <w:sz w:val="22"/>
          <w:szCs w:val="22"/>
          <w:lang w:val="es-ES"/>
        </w:rPr>
        <w:t xml:space="preserve"> </w:t>
      </w:r>
      <w:proofErr w:type="spellStart"/>
      <w:r>
        <w:rPr>
          <w:rFonts w:eastAsia="Palatino Linotype"/>
          <w:sz w:val="22"/>
          <w:szCs w:val="22"/>
          <w:lang w:val="es-ES"/>
        </w:rPr>
        <w:t>amount</w:t>
      </w:r>
      <w:proofErr w:type="spellEnd"/>
      <w:r>
        <w:rPr>
          <w:rFonts w:eastAsia="Palatino Linotype"/>
          <w:sz w:val="22"/>
          <w:szCs w:val="22"/>
          <w:lang w:val="es-ES"/>
        </w:rPr>
        <w:t xml:space="preserve"> </w:t>
      </w:r>
      <w:proofErr w:type="spellStart"/>
      <w:r>
        <w:rPr>
          <w:rFonts w:eastAsia="Palatino Linotype"/>
          <w:sz w:val="22"/>
          <w:szCs w:val="22"/>
          <w:lang w:val="es-ES"/>
        </w:rPr>
        <w:t>of</w:t>
      </w:r>
      <w:proofErr w:type="spellEnd"/>
      <w:r>
        <w:rPr>
          <w:rFonts w:eastAsia="Palatino Linotype"/>
          <w:sz w:val="22"/>
          <w:szCs w:val="22"/>
          <w:lang w:val="es-ES"/>
        </w:rPr>
        <w:t xml:space="preserve"> </w:t>
      </w:r>
      <w:proofErr w:type="spellStart"/>
      <w:r>
        <w:rPr>
          <w:rFonts w:eastAsia="Palatino Linotype"/>
          <w:sz w:val="22"/>
          <w:szCs w:val="22"/>
          <w:lang w:val="es-ES"/>
        </w:rPr>
        <w:t>the</w:t>
      </w:r>
      <w:proofErr w:type="spellEnd"/>
      <w:r>
        <w:rPr>
          <w:rFonts w:eastAsia="Palatino Linotype"/>
          <w:sz w:val="22"/>
          <w:szCs w:val="22"/>
          <w:lang w:val="es-ES"/>
        </w:rPr>
        <w:t xml:space="preserve"> </w:t>
      </w:r>
      <w:proofErr w:type="spellStart"/>
      <w:r>
        <w:rPr>
          <w:rFonts w:eastAsia="Palatino Linotype"/>
          <w:sz w:val="22"/>
          <w:szCs w:val="22"/>
          <w:lang w:val="es-ES"/>
        </w:rPr>
        <w:t>proposal</w:t>
      </w:r>
      <w:proofErr w:type="spellEnd"/>
    </w:p>
    <w:p w14:paraId="4A7B015A" w14:textId="77777777" w:rsidR="00E255F4" w:rsidRDefault="00000000">
      <w:pPr>
        <w:ind w:right="-142" w:firstLine="566"/>
        <w:jc w:val="both"/>
      </w:pPr>
      <w:r>
        <w:rPr>
          <w:rFonts w:eastAsia="Palatino Linotype"/>
          <w:sz w:val="22"/>
          <w:szCs w:val="22"/>
          <w:lang w:val="es-ES"/>
        </w:rPr>
        <w:t xml:space="preserve">a, </w:t>
      </w:r>
      <w:proofErr w:type="gramStart"/>
      <w:r>
        <w:rPr>
          <w:rFonts w:eastAsia="Palatino Linotype"/>
          <w:sz w:val="22"/>
          <w:szCs w:val="22"/>
          <w:lang w:val="es-ES"/>
        </w:rPr>
        <w:t>b,...</w:t>
      </w:r>
      <w:proofErr w:type="gramEnd"/>
      <w:r>
        <w:rPr>
          <w:rFonts w:eastAsia="Palatino Linotype"/>
          <w:sz w:val="22"/>
          <w:szCs w:val="22"/>
          <w:lang w:val="es-ES"/>
        </w:rPr>
        <w:t xml:space="preserve">m, n = </w:t>
      </w:r>
      <w:proofErr w:type="spellStart"/>
      <w:r>
        <w:rPr>
          <w:rFonts w:eastAsia="Palatino Linotype"/>
          <w:sz w:val="22"/>
          <w:szCs w:val="22"/>
          <w:lang w:val="es-ES"/>
        </w:rPr>
        <w:t>incidence</w:t>
      </w:r>
      <w:proofErr w:type="spellEnd"/>
      <w:r>
        <w:rPr>
          <w:rFonts w:eastAsia="Palatino Linotype"/>
          <w:sz w:val="22"/>
          <w:szCs w:val="22"/>
          <w:lang w:val="es-ES"/>
        </w:rPr>
        <w:t xml:space="preserve"> </w:t>
      </w:r>
      <w:proofErr w:type="spellStart"/>
      <w:r>
        <w:rPr>
          <w:rFonts w:eastAsia="Palatino Linotype"/>
          <w:sz w:val="22"/>
          <w:szCs w:val="22"/>
          <w:lang w:val="es-ES"/>
        </w:rPr>
        <w:t>coefficients</w:t>
      </w:r>
      <w:proofErr w:type="spellEnd"/>
      <w:r>
        <w:rPr>
          <w:rFonts w:eastAsia="Palatino Linotype"/>
          <w:sz w:val="22"/>
          <w:szCs w:val="22"/>
          <w:lang w:val="es-ES"/>
        </w:rPr>
        <w:t xml:space="preserve"> </w:t>
      </w:r>
      <w:proofErr w:type="spellStart"/>
      <w:r>
        <w:rPr>
          <w:rFonts w:eastAsia="Palatino Linotype"/>
          <w:sz w:val="22"/>
          <w:szCs w:val="22"/>
          <w:lang w:val="es-ES"/>
        </w:rPr>
        <w:t>of</w:t>
      </w:r>
      <w:proofErr w:type="spellEnd"/>
      <w:r>
        <w:rPr>
          <w:rFonts w:eastAsia="Palatino Linotype"/>
          <w:sz w:val="22"/>
          <w:szCs w:val="22"/>
          <w:lang w:val="es-ES"/>
        </w:rPr>
        <w:t xml:space="preserve"> </w:t>
      </w:r>
      <w:proofErr w:type="spellStart"/>
      <w:r>
        <w:rPr>
          <w:rFonts w:eastAsia="Palatino Linotype"/>
          <w:sz w:val="22"/>
          <w:szCs w:val="22"/>
          <w:lang w:val="es-ES"/>
        </w:rPr>
        <w:t>the</w:t>
      </w:r>
      <w:proofErr w:type="spellEnd"/>
      <w:r>
        <w:rPr>
          <w:rFonts w:eastAsia="Palatino Linotype"/>
          <w:sz w:val="22"/>
          <w:szCs w:val="22"/>
          <w:lang w:val="es-ES"/>
        </w:rPr>
        <w:t xml:space="preserve"> </w:t>
      </w:r>
      <w:proofErr w:type="spellStart"/>
      <w:r>
        <w:rPr>
          <w:rFonts w:eastAsia="Palatino Linotype"/>
          <w:sz w:val="22"/>
          <w:szCs w:val="22"/>
          <w:lang w:val="es-ES"/>
        </w:rPr>
        <w:t>parameters</w:t>
      </w:r>
      <w:proofErr w:type="spellEnd"/>
      <w:r>
        <w:rPr>
          <w:rFonts w:eastAsia="Palatino Linotype"/>
          <w:sz w:val="22"/>
          <w:szCs w:val="22"/>
          <w:lang w:val="es-ES"/>
        </w:rPr>
        <w:t>.</w:t>
      </w:r>
    </w:p>
    <w:p w14:paraId="6BEFA6B8" w14:textId="77777777" w:rsidR="00E255F4" w:rsidRDefault="00E255F4">
      <w:pPr>
        <w:ind w:right="-142"/>
        <w:jc w:val="both"/>
        <w:rPr>
          <w:rFonts w:eastAsia="Palatino Linotype"/>
          <w:spacing w:val="-1"/>
          <w:sz w:val="22"/>
          <w:szCs w:val="22"/>
          <w:lang w:val="es-ES"/>
        </w:rPr>
      </w:pPr>
    </w:p>
    <w:p w14:paraId="63DBD68E" w14:textId="77777777" w:rsidR="00E255F4" w:rsidRDefault="00000000">
      <w:pPr>
        <w:ind w:right="-142"/>
        <w:jc w:val="both"/>
        <w:rPr>
          <w:rFonts w:eastAsia="Palatino Linotype"/>
          <w:spacing w:val="2"/>
          <w:sz w:val="22"/>
          <w:szCs w:val="22"/>
          <w:lang w:val="es-ES"/>
        </w:rPr>
      </w:pPr>
      <w:r>
        <w:rPr>
          <w:rFonts w:eastAsia="Palatino Linotype"/>
          <w:spacing w:val="2"/>
          <w:sz w:val="22"/>
          <w:szCs w:val="22"/>
          <w:lang w:val="es-ES"/>
        </w:rPr>
        <w:t xml:space="preserve">The sum </w:t>
      </w:r>
      <w:proofErr w:type="spellStart"/>
      <w:r>
        <w:rPr>
          <w:rFonts w:eastAsia="Palatino Linotype"/>
          <w:spacing w:val="2"/>
          <w:sz w:val="22"/>
          <w:szCs w:val="22"/>
          <w:lang w:val="es-ES"/>
        </w:rPr>
        <w:t>of</w:t>
      </w:r>
      <w:proofErr w:type="spellEnd"/>
      <w:r>
        <w:rPr>
          <w:rFonts w:eastAsia="Palatino Linotype"/>
          <w:spacing w:val="2"/>
          <w:sz w:val="22"/>
          <w:szCs w:val="22"/>
          <w:lang w:val="es-ES"/>
        </w:rPr>
        <w:t xml:space="preserve"> </w:t>
      </w:r>
      <w:proofErr w:type="spellStart"/>
      <w:r>
        <w:rPr>
          <w:rFonts w:eastAsia="Palatino Linotype"/>
          <w:spacing w:val="2"/>
          <w:sz w:val="22"/>
          <w:szCs w:val="22"/>
          <w:lang w:val="es-ES"/>
        </w:rPr>
        <w:t>these</w:t>
      </w:r>
      <w:proofErr w:type="spellEnd"/>
      <w:r>
        <w:rPr>
          <w:rFonts w:eastAsia="Palatino Linotype"/>
          <w:spacing w:val="2"/>
          <w:sz w:val="22"/>
          <w:szCs w:val="22"/>
          <w:lang w:val="es-ES"/>
        </w:rPr>
        <w:t xml:space="preserve"> </w:t>
      </w:r>
      <w:proofErr w:type="spellStart"/>
      <w:r>
        <w:rPr>
          <w:rFonts w:eastAsia="Palatino Linotype"/>
          <w:spacing w:val="2"/>
          <w:sz w:val="22"/>
          <w:szCs w:val="22"/>
          <w:lang w:val="es-ES"/>
        </w:rPr>
        <w:t>coefficients</w:t>
      </w:r>
      <w:proofErr w:type="spellEnd"/>
      <w:r>
        <w:rPr>
          <w:rFonts w:eastAsia="Palatino Linotype"/>
          <w:spacing w:val="2"/>
          <w:sz w:val="22"/>
          <w:szCs w:val="22"/>
          <w:lang w:val="es-ES"/>
        </w:rPr>
        <w:t xml:space="preserve"> </w:t>
      </w:r>
      <w:proofErr w:type="spellStart"/>
      <w:r>
        <w:rPr>
          <w:rFonts w:eastAsia="Palatino Linotype"/>
          <w:spacing w:val="2"/>
          <w:sz w:val="22"/>
          <w:szCs w:val="22"/>
          <w:lang w:val="es-ES"/>
        </w:rPr>
        <w:t>must</w:t>
      </w:r>
      <w:proofErr w:type="spellEnd"/>
      <w:r>
        <w:rPr>
          <w:rFonts w:eastAsia="Palatino Linotype"/>
          <w:spacing w:val="2"/>
          <w:sz w:val="22"/>
          <w:szCs w:val="22"/>
          <w:lang w:val="es-ES"/>
        </w:rPr>
        <w:t xml:space="preserve"> </w:t>
      </w:r>
      <w:proofErr w:type="spellStart"/>
      <w:r>
        <w:rPr>
          <w:rFonts w:eastAsia="Palatino Linotype"/>
          <w:spacing w:val="2"/>
          <w:sz w:val="22"/>
          <w:szCs w:val="22"/>
          <w:lang w:val="es-ES"/>
        </w:rPr>
        <w:t>equal</w:t>
      </w:r>
      <w:proofErr w:type="spellEnd"/>
      <w:r>
        <w:rPr>
          <w:rFonts w:eastAsia="Palatino Linotype"/>
          <w:spacing w:val="2"/>
          <w:sz w:val="22"/>
          <w:szCs w:val="22"/>
          <w:lang w:val="es-ES"/>
        </w:rPr>
        <w:t xml:space="preserve"> 1.</w:t>
      </w:r>
    </w:p>
    <w:p w14:paraId="03C2ED37" w14:textId="77777777" w:rsidR="00E255F4" w:rsidRDefault="00E255F4">
      <w:pPr>
        <w:ind w:right="-142"/>
        <w:jc w:val="both"/>
        <w:rPr>
          <w:rFonts w:eastAsia="Palatino Linotype"/>
          <w:spacing w:val="2"/>
          <w:sz w:val="22"/>
          <w:szCs w:val="22"/>
          <w:lang w:val="es-ES"/>
        </w:rPr>
      </w:pPr>
    </w:p>
    <w:p w14:paraId="68131279" w14:textId="77777777" w:rsidR="00E255F4" w:rsidRDefault="00000000">
      <w:pPr>
        <w:ind w:right="-142" w:hanging="1"/>
        <w:jc w:val="both"/>
        <w:rPr>
          <w:rFonts w:eastAsia="Palatino Linotype"/>
          <w:sz w:val="22"/>
          <w:szCs w:val="22"/>
          <w:lang w:val="es-ES"/>
        </w:rPr>
      </w:pPr>
      <w:r>
        <w:rPr>
          <w:rFonts w:eastAsia="Palatino Linotype"/>
          <w:sz w:val="22"/>
          <w:szCs w:val="22"/>
          <w:lang w:val="es-ES"/>
        </w:rPr>
        <w:t xml:space="preserve">n = </w:t>
      </w:r>
      <w:proofErr w:type="spellStart"/>
      <w:r>
        <w:rPr>
          <w:rFonts w:eastAsia="Palatino Linotype"/>
          <w:sz w:val="22"/>
          <w:szCs w:val="22"/>
          <w:lang w:val="es-ES"/>
        </w:rPr>
        <w:t>coefficient</w:t>
      </w:r>
      <w:proofErr w:type="spellEnd"/>
      <w:r>
        <w:rPr>
          <w:rFonts w:eastAsia="Palatino Linotype"/>
          <w:sz w:val="22"/>
          <w:szCs w:val="22"/>
          <w:lang w:val="es-ES"/>
        </w:rPr>
        <w:t xml:space="preserve"> </w:t>
      </w:r>
      <w:proofErr w:type="spellStart"/>
      <w:r>
        <w:rPr>
          <w:rFonts w:eastAsia="Palatino Linotype"/>
          <w:sz w:val="22"/>
          <w:szCs w:val="22"/>
          <w:lang w:val="es-ES"/>
        </w:rPr>
        <w:t>representing</w:t>
      </w:r>
      <w:proofErr w:type="spellEnd"/>
      <w:r>
        <w:rPr>
          <w:rFonts w:eastAsia="Palatino Linotype"/>
          <w:sz w:val="22"/>
          <w:szCs w:val="22"/>
          <w:lang w:val="es-ES"/>
        </w:rPr>
        <w:t xml:space="preserve"> </w:t>
      </w:r>
      <w:proofErr w:type="spellStart"/>
      <w:r>
        <w:rPr>
          <w:rFonts w:eastAsia="Palatino Linotype"/>
          <w:sz w:val="22"/>
          <w:szCs w:val="22"/>
          <w:lang w:val="es-ES"/>
        </w:rPr>
        <w:t>the</w:t>
      </w:r>
      <w:proofErr w:type="spellEnd"/>
      <w:r>
        <w:rPr>
          <w:rFonts w:eastAsia="Palatino Linotype"/>
          <w:sz w:val="22"/>
          <w:szCs w:val="22"/>
          <w:lang w:val="es-ES"/>
        </w:rPr>
        <w:t xml:space="preserve"> </w:t>
      </w:r>
      <w:proofErr w:type="spellStart"/>
      <w:r>
        <w:rPr>
          <w:rFonts w:eastAsia="Palatino Linotype"/>
          <w:sz w:val="22"/>
          <w:szCs w:val="22"/>
          <w:lang w:val="es-ES"/>
        </w:rPr>
        <w:t>supply</w:t>
      </w:r>
      <w:proofErr w:type="spellEnd"/>
      <w:r>
        <w:rPr>
          <w:rFonts w:eastAsia="Palatino Linotype"/>
          <w:sz w:val="22"/>
          <w:szCs w:val="22"/>
          <w:lang w:val="es-ES"/>
        </w:rPr>
        <w:t xml:space="preserve"> </w:t>
      </w:r>
      <w:proofErr w:type="spellStart"/>
      <w:r>
        <w:rPr>
          <w:rFonts w:eastAsia="Palatino Linotype"/>
          <w:sz w:val="22"/>
          <w:szCs w:val="22"/>
          <w:lang w:val="es-ES"/>
        </w:rPr>
        <w:t>component</w:t>
      </w:r>
      <w:proofErr w:type="spellEnd"/>
      <w:r>
        <w:rPr>
          <w:rFonts w:eastAsia="Palatino Linotype"/>
          <w:sz w:val="22"/>
          <w:szCs w:val="22"/>
          <w:lang w:val="es-ES"/>
        </w:rPr>
        <w:t xml:space="preserve"> </w:t>
      </w:r>
      <w:proofErr w:type="spellStart"/>
      <w:r>
        <w:rPr>
          <w:rFonts w:eastAsia="Palatino Linotype"/>
          <w:sz w:val="22"/>
          <w:szCs w:val="22"/>
          <w:lang w:val="es-ES"/>
        </w:rPr>
        <w:t>whose</w:t>
      </w:r>
      <w:proofErr w:type="spellEnd"/>
      <w:r>
        <w:rPr>
          <w:rFonts w:eastAsia="Palatino Linotype"/>
          <w:sz w:val="22"/>
          <w:szCs w:val="22"/>
          <w:lang w:val="es-ES"/>
        </w:rPr>
        <w:t xml:space="preserve"> </w:t>
      </w:r>
      <w:proofErr w:type="spellStart"/>
      <w:r>
        <w:rPr>
          <w:rFonts w:eastAsia="Palatino Linotype"/>
          <w:sz w:val="22"/>
          <w:szCs w:val="22"/>
          <w:lang w:val="es-ES"/>
        </w:rPr>
        <w:t>price</w:t>
      </w:r>
      <w:proofErr w:type="spellEnd"/>
      <w:r>
        <w:rPr>
          <w:rFonts w:eastAsia="Palatino Linotype"/>
          <w:sz w:val="22"/>
          <w:szCs w:val="22"/>
          <w:lang w:val="es-ES"/>
        </w:rPr>
        <w:t xml:space="preserve"> </w:t>
      </w:r>
      <w:proofErr w:type="spellStart"/>
      <w:r>
        <w:rPr>
          <w:rFonts w:eastAsia="Palatino Linotype"/>
          <w:sz w:val="22"/>
          <w:szCs w:val="22"/>
          <w:lang w:val="es-ES"/>
        </w:rPr>
        <w:t>is</w:t>
      </w:r>
      <w:proofErr w:type="spellEnd"/>
      <w:r>
        <w:rPr>
          <w:rFonts w:eastAsia="Palatino Linotype"/>
          <w:sz w:val="22"/>
          <w:szCs w:val="22"/>
          <w:lang w:val="es-ES"/>
        </w:rPr>
        <w:t xml:space="preserve"> </w:t>
      </w:r>
      <w:proofErr w:type="spellStart"/>
      <w:r>
        <w:rPr>
          <w:rFonts w:eastAsia="Palatino Linotype"/>
          <w:sz w:val="22"/>
          <w:szCs w:val="22"/>
          <w:lang w:val="es-ES"/>
        </w:rPr>
        <w:t>not</w:t>
      </w:r>
      <w:proofErr w:type="spellEnd"/>
      <w:r>
        <w:rPr>
          <w:rFonts w:eastAsia="Palatino Linotype"/>
          <w:sz w:val="22"/>
          <w:szCs w:val="22"/>
          <w:lang w:val="es-ES"/>
        </w:rPr>
        <w:t xml:space="preserve"> </w:t>
      </w:r>
      <w:proofErr w:type="spellStart"/>
      <w:r>
        <w:rPr>
          <w:rFonts w:eastAsia="Palatino Linotype"/>
          <w:sz w:val="22"/>
          <w:szCs w:val="22"/>
          <w:lang w:val="es-ES"/>
        </w:rPr>
        <w:t>subject</w:t>
      </w:r>
      <w:proofErr w:type="spellEnd"/>
      <w:r>
        <w:rPr>
          <w:rFonts w:eastAsia="Palatino Linotype"/>
          <w:sz w:val="22"/>
          <w:szCs w:val="22"/>
          <w:lang w:val="es-ES"/>
        </w:rPr>
        <w:t xml:space="preserve"> </w:t>
      </w:r>
      <w:proofErr w:type="spellStart"/>
      <w:r>
        <w:rPr>
          <w:rFonts w:eastAsia="Palatino Linotype"/>
          <w:sz w:val="22"/>
          <w:szCs w:val="22"/>
          <w:lang w:val="es-ES"/>
        </w:rPr>
        <w:t>to</w:t>
      </w:r>
      <w:proofErr w:type="spellEnd"/>
      <w:r>
        <w:rPr>
          <w:rFonts w:eastAsia="Palatino Linotype"/>
          <w:sz w:val="22"/>
          <w:szCs w:val="22"/>
          <w:lang w:val="es-ES"/>
        </w:rPr>
        <w:t xml:space="preserve"> </w:t>
      </w:r>
      <w:proofErr w:type="spellStart"/>
      <w:r>
        <w:rPr>
          <w:rFonts w:eastAsia="Palatino Linotype"/>
          <w:sz w:val="22"/>
          <w:szCs w:val="22"/>
          <w:lang w:val="es-ES"/>
        </w:rPr>
        <w:t>adjustment</w:t>
      </w:r>
      <w:proofErr w:type="spellEnd"/>
      <w:r>
        <w:rPr>
          <w:rFonts w:eastAsia="Palatino Linotype"/>
          <w:sz w:val="22"/>
          <w:szCs w:val="22"/>
          <w:lang w:val="es-ES"/>
        </w:rPr>
        <w:t>.</w:t>
      </w:r>
    </w:p>
    <w:p w14:paraId="3EB88E57" w14:textId="77777777" w:rsidR="00E255F4" w:rsidRDefault="00000000">
      <w:pPr>
        <w:ind w:right="-142" w:hanging="1"/>
        <w:jc w:val="both"/>
        <w:rPr>
          <w:rFonts w:eastAsia="Palatino Linotype"/>
          <w:sz w:val="22"/>
          <w:szCs w:val="22"/>
          <w:lang w:val="es-ES"/>
        </w:rPr>
      </w:pPr>
      <w:r>
        <w:rPr>
          <w:rFonts w:eastAsia="Palatino Linotype"/>
          <w:sz w:val="22"/>
          <w:szCs w:val="22"/>
          <w:lang w:val="es-ES"/>
        </w:rPr>
        <w:t xml:space="preserve">A, </w:t>
      </w:r>
      <w:proofErr w:type="gramStart"/>
      <w:r>
        <w:rPr>
          <w:rFonts w:eastAsia="Palatino Linotype"/>
          <w:sz w:val="22"/>
          <w:szCs w:val="22"/>
          <w:lang w:val="es-ES"/>
        </w:rPr>
        <w:t>B,...</w:t>
      </w:r>
      <w:proofErr w:type="gramEnd"/>
      <w:r>
        <w:rPr>
          <w:rFonts w:eastAsia="Palatino Linotype"/>
          <w:sz w:val="22"/>
          <w:szCs w:val="22"/>
          <w:lang w:val="es-ES"/>
        </w:rPr>
        <w:t xml:space="preserve">M = </w:t>
      </w:r>
      <w:proofErr w:type="spellStart"/>
      <w:r>
        <w:rPr>
          <w:rFonts w:eastAsia="Palatino Linotype"/>
          <w:sz w:val="22"/>
          <w:szCs w:val="22"/>
          <w:lang w:val="es-ES"/>
        </w:rPr>
        <w:t>parameters</w:t>
      </w:r>
      <w:proofErr w:type="spellEnd"/>
      <w:r>
        <w:rPr>
          <w:rFonts w:eastAsia="Palatino Linotype"/>
          <w:sz w:val="22"/>
          <w:szCs w:val="22"/>
          <w:lang w:val="es-ES"/>
        </w:rPr>
        <w:t xml:space="preserve"> </w:t>
      </w:r>
      <w:proofErr w:type="spellStart"/>
      <w:r>
        <w:rPr>
          <w:rFonts w:eastAsia="Palatino Linotype"/>
          <w:sz w:val="22"/>
          <w:szCs w:val="22"/>
          <w:lang w:val="es-ES"/>
        </w:rPr>
        <w:t>or</w:t>
      </w:r>
      <w:proofErr w:type="spellEnd"/>
      <w:r>
        <w:rPr>
          <w:rFonts w:eastAsia="Palatino Linotype"/>
          <w:sz w:val="22"/>
          <w:szCs w:val="22"/>
          <w:lang w:val="es-ES"/>
        </w:rPr>
        <w:t xml:space="preserve"> </w:t>
      </w:r>
      <w:proofErr w:type="spellStart"/>
      <w:r>
        <w:rPr>
          <w:rFonts w:eastAsia="Palatino Linotype"/>
          <w:sz w:val="22"/>
          <w:szCs w:val="22"/>
          <w:lang w:val="es-ES"/>
        </w:rPr>
        <w:t>indices</w:t>
      </w:r>
      <w:proofErr w:type="spellEnd"/>
      <w:r>
        <w:rPr>
          <w:rFonts w:eastAsia="Palatino Linotype"/>
          <w:sz w:val="22"/>
          <w:szCs w:val="22"/>
          <w:lang w:val="es-ES"/>
        </w:rPr>
        <w:t xml:space="preserve"> </w:t>
      </w:r>
      <w:proofErr w:type="spellStart"/>
      <w:r>
        <w:rPr>
          <w:rFonts w:eastAsia="Palatino Linotype"/>
          <w:sz w:val="22"/>
          <w:szCs w:val="22"/>
          <w:lang w:val="es-ES"/>
        </w:rPr>
        <w:t>of</w:t>
      </w:r>
      <w:proofErr w:type="spellEnd"/>
      <w:r>
        <w:rPr>
          <w:rFonts w:eastAsia="Palatino Linotype"/>
          <w:sz w:val="22"/>
          <w:szCs w:val="22"/>
          <w:lang w:val="es-ES"/>
        </w:rPr>
        <w:t xml:space="preserve"> </w:t>
      </w:r>
      <w:proofErr w:type="spellStart"/>
      <w:r>
        <w:rPr>
          <w:rFonts w:eastAsia="Palatino Linotype"/>
          <w:sz w:val="22"/>
          <w:szCs w:val="22"/>
          <w:lang w:val="es-ES"/>
        </w:rPr>
        <w:t>the</w:t>
      </w:r>
      <w:proofErr w:type="spellEnd"/>
      <w:r>
        <w:rPr>
          <w:rFonts w:eastAsia="Palatino Linotype"/>
          <w:sz w:val="22"/>
          <w:szCs w:val="22"/>
          <w:lang w:val="es-ES"/>
        </w:rPr>
        <w:t xml:space="preserve"> </w:t>
      </w:r>
      <w:proofErr w:type="spellStart"/>
      <w:r>
        <w:rPr>
          <w:rFonts w:eastAsia="Palatino Linotype"/>
          <w:sz w:val="22"/>
          <w:szCs w:val="22"/>
          <w:lang w:val="es-ES"/>
        </w:rPr>
        <w:t>main</w:t>
      </w:r>
      <w:proofErr w:type="spellEnd"/>
      <w:r>
        <w:rPr>
          <w:rFonts w:eastAsia="Palatino Linotype"/>
          <w:sz w:val="22"/>
          <w:szCs w:val="22"/>
          <w:lang w:val="es-ES"/>
        </w:rPr>
        <w:t xml:space="preserve"> </w:t>
      </w:r>
      <w:proofErr w:type="spellStart"/>
      <w:r>
        <w:rPr>
          <w:rFonts w:eastAsia="Palatino Linotype"/>
          <w:sz w:val="22"/>
          <w:szCs w:val="22"/>
          <w:lang w:val="es-ES"/>
        </w:rPr>
        <w:t>components</w:t>
      </w:r>
      <w:proofErr w:type="spellEnd"/>
      <w:r>
        <w:rPr>
          <w:rFonts w:eastAsia="Palatino Linotype"/>
          <w:sz w:val="22"/>
          <w:szCs w:val="22"/>
          <w:lang w:val="es-ES"/>
        </w:rPr>
        <w:t xml:space="preserve"> </w:t>
      </w:r>
      <w:proofErr w:type="spellStart"/>
      <w:r>
        <w:rPr>
          <w:rFonts w:eastAsia="Palatino Linotype"/>
          <w:sz w:val="22"/>
          <w:szCs w:val="22"/>
          <w:lang w:val="es-ES"/>
        </w:rPr>
        <w:t>of</w:t>
      </w:r>
      <w:proofErr w:type="spellEnd"/>
      <w:r>
        <w:rPr>
          <w:rFonts w:eastAsia="Palatino Linotype"/>
          <w:sz w:val="22"/>
          <w:szCs w:val="22"/>
          <w:lang w:val="es-ES"/>
        </w:rPr>
        <w:t xml:space="preserve"> </w:t>
      </w:r>
      <w:proofErr w:type="spellStart"/>
      <w:r>
        <w:rPr>
          <w:rFonts w:eastAsia="Palatino Linotype"/>
          <w:sz w:val="22"/>
          <w:szCs w:val="22"/>
          <w:lang w:val="es-ES"/>
        </w:rPr>
        <w:t>the</w:t>
      </w:r>
      <w:proofErr w:type="spellEnd"/>
      <w:r>
        <w:rPr>
          <w:rFonts w:eastAsia="Palatino Linotype"/>
          <w:sz w:val="22"/>
          <w:szCs w:val="22"/>
          <w:lang w:val="es-ES"/>
        </w:rPr>
        <w:t xml:space="preserve"> </w:t>
      </w:r>
      <w:proofErr w:type="spellStart"/>
      <w:r>
        <w:rPr>
          <w:rFonts w:eastAsia="Palatino Linotype"/>
          <w:sz w:val="22"/>
          <w:szCs w:val="22"/>
          <w:lang w:val="es-ES"/>
        </w:rPr>
        <w:t>bidder's</w:t>
      </w:r>
      <w:proofErr w:type="spellEnd"/>
      <w:r>
        <w:rPr>
          <w:rFonts w:eastAsia="Palatino Linotype"/>
          <w:sz w:val="22"/>
          <w:szCs w:val="22"/>
          <w:lang w:val="es-ES"/>
        </w:rPr>
        <w:t xml:space="preserve"> </w:t>
      </w:r>
      <w:proofErr w:type="spellStart"/>
      <w:r>
        <w:rPr>
          <w:rFonts w:eastAsia="Palatino Linotype"/>
          <w:sz w:val="22"/>
          <w:szCs w:val="22"/>
          <w:lang w:val="es-ES"/>
        </w:rPr>
        <w:t>costs</w:t>
      </w:r>
      <w:proofErr w:type="spellEnd"/>
      <w:r>
        <w:rPr>
          <w:rFonts w:eastAsia="Palatino Linotype"/>
          <w:sz w:val="22"/>
          <w:szCs w:val="22"/>
          <w:lang w:val="es-ES"/>
        </w:rPr>
        <w:t>.</w:t>
      </w:r>
    </w:p>
    <w:p w14:paraId="4939660A" w14:textId="77777777" w:rsidR="00E255F4" w:rsidRDefault="00E255F4">
      <w:pPr>
        <w:ind w:right="-142"/>
        <w:jc w:val="both"/>
        <w:rPr>
          <w:rFonts w:eastAsia="Palatino Linotype"/>
          <w:sz w:val="22"/>
          <w:szCs w:val="22"/>
          <w:lang w:val="es-ES"/>
        </w:rPr>
      </w:pPr>
    </w:p>
    <w:p w14:paraId="3A0C5D95" w14:textId="77777777" w:rsidR="00E255F4" w:rsidRDefault="00000000">
      <w:pPr>
        <w:ind w:right="-142"/>
        <w:jc w:val="both"/>
        <w:rPr>
          <w:rFonts w:eastAsia="Palatino Linotype"/>
          <w:sz w:val="22"/>
          <w:szCs w:val="22"/>
          <w:lang w:val="es-ES"/>
        </w:rPr>
      </w:pPr>
      <w:proofErr w:type="spellStart"/>
      <w:r>
        <w:rPr>
          <w:rFonts w:eastAsia="Palatino Linotype"/>
          <w:spacing w:val="-3"/>
          <w:sz w:val="22"/>
          <w:szCs w:val="22"/>
          <w:lang w:val="es-ES"/>
        </w:rPr>
        <w:t>It</w:t>
      </w:r>
      <w:r>
        <w:rPr>
          <w:rFonts w:eastAsia="Palatino Linotype"/>
          <w:sz w:val="22"/>
          <w:szCs w:val="22"/>
          <w:lang w:val="es-ES"/>
        </w:rPr>
        <w:t>Parameters</w:t>
      </w:r>
      <w:proofErr w:type="spellEnd"/>
      <w:r>
        <w:rPr>
          <w:rFonts w:eastAsia="Palatino Linotype"/>
          <w:sz w:val="22"/>
          <w:szCs w:val="22"/>
          <w:lang w:val="es-ES"/>
        </w:rPr>
        <w:t xml:space="preserve"> </w:t>
      </w:r>
      <w:proofErr w:type="spellStart"/>
      <w:r>
        <w:rPr>
          <w:rFonts w:eastAsia="Palatino Linotype"/>
          <w:sz w:val="22"/>
          <w:szCs w:val="22"/>
          <w:lang w:val="es-ES"/>
        </w:rPr>
        <w:t>with</w:t>
      </w:r>
      <w:proofErr w:type="spellEnd"/>
      <w:r>
        <w:rPr>
          <w:rFonts w:eastAsia="Palatino Linotype"/>
          <w:sz w:val="22"/>
          <w:szCs w:val="22"/>
          <w:lang w:val="es-ES"/>
        </w:rPr>
        <w:t xml:space="preserve"> </w:t>
      </w:r>
      <w:proofErr w:type="spellStart"/>
      <w:r>
        <w:rPr>
          <w:rFonts w:eastAsia="Palatino Linotype"/>
          <w:sz w:val="22"/>
          <w:szCs w:val="22"/>
          <w:lang w:val="es-ES"/>
        </w:rPr>
        <w:t>subscript</w:t>
      </w:r>
      <w:proofErr w:type="spellEnd"/>
      <w:r>
        <w:rPr>
          <w:rFonts w:eastAsia="Palatino Linotype"/>
          <w:sz w:val="22"/>
          <w:szCs w:val="22"/>
          <w:lang w:val="es-ES"/>
        </w:rPr>
        <w:t xml:space="preserve"> 0 </w:t>
      </w:r>
      <w:proofErr w:type="spellStart"/>
      <w:r>
        <w:rPr>
          <w:rFonts w:eastAsia="Palatino Linotype"/>
          <w:sz w:val="22"/>
          <w:szCs w:val="22"/>
          <w:lang w:val="es-ES"/>
        </w:rPr>
        <w:t>take</w:t>
      </w:r>
      <w:proofErr w:type="spellEnd"/>
      <w:r>
        <w:rPr>
          <w:rFonts w:eastAsia="Palatino Linotype"/>
          <w:sz w:val="22"/>
          <w:szCs w:val="22"/>
          <w:lang w:val="es-ES"/>
        </w:rPr>
        <w:t xml:space="preserve"> </w:t>
      </w:r>
      <w:proofErr w:type="spellStart"/>
      <w:r>
        <w:rPr>
          <w:rFonts w:eastAsia="Palatino Linotype"/>
          <w:sz w:val="22"/>
          <w:szCs w:val="22"/>
          <w:lang w:val="es-ES"/>
        </w:rPr>
        <w:t>the</w:t>
      </w:r>
      <w:proofErr w:type="spellEnd"/>
      <w:r>
        <w:rPr>
          <w:rFonts w:eastAsia="Palatino Linotype"/>
          <w:sz w:val="22"/>
          <w:szCs w:val="22"/>
          <w:lang w:val="es-ES"/>
        </w:rPr>
        <w:t xml:space="preserve"> </w:t>
      </w:r>
      <w:proofErr w:type="spellStart"/>
      <w:r>
        <w:rPr>
          <w:rFonts w:eastAsia="Palatino Linotype"/>
          <w:sz w:val="22"/>
          <w:szCs w:val="22"/>
          <w:lang w:val="es-ES"/>
        </w:rPr>
        <w:t>value</w:t>
      </w:r>
      <w:proofErr w:type="spellEnd"/>
      <w:r>
        <w:rPr>
          <w:rFonts w:eastAsia="Palatino Linotype"/>
          <w:sz w:val="22"/>
          <w:szCs w:val="22"/>
          <w:lang w:val="es-ES"/>
        </w:rPr>
        <w:t xml:space="preserve"> in </w:t>
      </w:r>
      <w:proofErr w:type="spellStart"/>
      <w:r>
        <w:rPr>
          <w:rFonts w:eastAsia="Palatino Linotype"/>
          <w:sz w:val="22"/>
          <w:szCs w:val="22"/>
          <w:lang w:val="es-ES"/>
        </w:rPr>
        <w:t>effect</w:t>
      </w:r>
      <w:proofErr w:type="spellEnd"/>
      <w:r>
        <w:rPr>
          <w:rFonts w:eastAsia="Palatino Linotype"/>
          <w:sz w:val="22"/>
          <w:szCs w:val="22"/>
          <w:lang w:val="es-ES"/>
        </w:rPr>
        <w:t xml:space="preserve"> </w:t>
      </w:r>
      <w:proofErr w:type="spellStart"/>
      <w:r>
        <w:rPr>
          <w:rFonts w:eastAsia="Palatino Linotype"/>
          <w:sz w:val="22"/>
          <w:szCs w:val="22"/>
          <w:lang w:val="es-ES"/>
        </w:rPr>
        <w:t>on</w:t>
      </w:r>
      <w:proofErr w:type="spellEnd"/>
      <w:r>
        <w:rPr>
          <w:rFonts w:eastAsia="Palatino Linotype"/>
          <w:sz w:val="22"/>
          <w:szCs w:val="22"/>
          <w:lang w:val="es-ES"/>
        </w:rPr>
        <w:t xml:space="preserve"> </w:t>
      </w:r>
      <w:proofErr w:type="spellStart"/>
      <w:r>
        <w:rPr>
          <w:rFonts w:eastAsia="Palatino Linotype"/>
          <w:sz w:val="22"/>
          <w:szCs w:val="22"/>
          <w:lang w:val="es-ES"/>
        </w:rPr>
        <w:t>the</w:t>
      </w:r>
      <w:proofErr w:type="spellEnd"/>
      <w:r>
        <w:rPr>
          <w:rFonts w:eastAsia="Palatino Linotype"/>
          <w:sz w:val="22"/>
          <w:szCs w:val="22"/>
          <w:lang w:val="es-ES"/>
        </w:rPr>
        <w:t xml:space="preserve"> </w:t>
      </w:r>
      <w:proofErr w:type="spellStart"/>
      <w:r>
        <w:rPr>
          <w:rFonts w:eastAsia="Palatino Linotype"/>
          <w:sz w:val="22"/>
          <w:szCs w:val="22"/>
          <w:lang w:val="es-ES"/>
        </w:rPr>
        <w:t>last</w:t>
      </w:r>
      <w:proofErr w:type="spellEnd"/>
      <w:r>
        <w:rPr>
          <w:rFonts w:eastAsia="Palatino Linotype"/>
          <w:sz w:val="22"/>
          <w:szCs w:val="22"/>
          <w:lang w:val="es-ES"/>
        </w:rPr>
        <w:t xml:space="preserve"> </w:t>
      </w:r>
      <w:proofErr w:type="spellStart"/>
      <w:r>
        <w:rPr>
          <w:rFonts w:eastAsia="Palatino Linotype"/>
          <w:sz w:val="22"/>
          <w:szCs w:val="22"/>
          <w:lang w:val="es-ES"/>
        </w:rPr>
        <w:t>business</w:t>
      </w:r>
      <w:proofErr w:type="spellEnd"/>
      <w:r>
        <w:rPr>
          <w:rFonts w:eastAsia="Palatino Linotype"/>
          <w:sz w:val="22"/>
          <w:szCs w:val="22"/>
          <w:lang w:val="es-ES"/>
        </w:rPr>
        <w:t xml:space="preserve"> </w:t>
      </w:r>
      <w:proofErr w:type="spellStart"/>
      <w:r>
        <w:rPr>
          <w:rFonts w:eastAsia="Palatino Linotype"/>
          <w:sz w:val="22"/>
          <w:szCs w:val="22"/>
          <w:lang w:val="es-ES"/>
        </w:rPr>
        <w:t>day</w:t>
      </w:r>
      <w:proofErr w:type="spellEnd"/>
      <w:r>
        <w:rPr>
          <w:rFonts w:eastAsia="Palatino Linotype"/>
          <w:sz w:val="22"/>
          <w:szCs w:val="22"/>
          <w:lang w:val="es-ES"/>
        </w:rPr>
        <w:t xml:space="preserve"> </w:t>
      </w:r>
      <w:proofErr w:type="spellStart"/>
      <w:r>
        <w:rPr>
          <w:rFonts w:eastAsia="Palatino Linotype"/>
          <w:sz w:val="22"/>
          <w:szCs w:val="22"/>
          <w:lang w:val="es-ES"/>
        </w:rPr>
        <w:t>or</w:t>
      </w:r>
      <w:proofErr w:type="spellEnd"/>
      <w:r>
        <w:rPr>
          <w:rFonts w:eastAsia="Palatino Linotype"/>
          <w:sz w:val="22"/>
          <w:szCs w:val="22"/>
          <w:lang w:val="es-ES"/>
        </w:rPr>
        <w:t xml:space="preserve"> </w:t>
      </w:r>
      <w:proofErr w:type="spellStart"/>
      <w:r>
        <w:rPr>
          <w:rFonts w:eastAsia="Palatino Linotype"/>
          <w:sz w:val="22"/>
          <w:szCs w:val="22"/>
          <w:lang w:val="es-ES"/>
        </w:rPr>
        <w:t>month</w:t>
      </w:r>
      <w:proofErr w:type="spellEnd"/>
      <w:r>
        <w:rPr>
          <w:rFonts w:eastAsia="Palatino Linotype"/>
          <w:sz w:val="22"/>
          <w:szCs w:val="22"/>
          <w:lang w:val="es-ES"/>
        </w:rPr>
        <w:t xml:space="preserve"> prior </w:t>
      </w:r>
      <w:proofErr w:type="spellStart"/>
      <w:r>
        <w:rPr>
          <w:rFonts w:eastAsia="Palatino Linotype"/>
          <w:sz w:val="22"/>
          <w:szCs w:val="22"/>
          <w:lang w:val="es-ES"/>
        </w:rPr>
        <w:t>to</w:t>
      </w:r>
      <w:proofErr w:type="spellEnd"/>
      <w:r>
        <w:rPr>
          <w:rFonts w:eastAsia="Palatino Linotype"/>
          <w:sz w:val="22"/>
          <w:szCs w:val="22"/>
          <w:lang w:val="es-ES"/>
        </w:rPr>
        <w:t xml:space="preserve"> </w:t>
      </w:r>
      <w:proofErr w:type="spellStart"/>
      <w:r>
        <w:rPr>
          <w:rFonts w:eastAsia="Palatino Linotype"/>
          <w:sz w:val="22"/>
          <w:szCs w:val="22"/>
          <w:lang w:val="es-ES"/>
        </w:rPr>
        <w:t>the</w:t>
      </w:r>
      <w:proofErr w:type="spellEnd"/>
      <w:r>
        <w:rPr>
          <w:rFonts w:eastAsia="Palatino Linotype"/>
          <w:sz w:val="22"/>
          <w:szCs w:val="22"/>
          <w:lang w:val="es-ES"/>
        </w:rPr>
        <w:t xml:space="preserve"> date </w:t>
      </w:r>
      <w:proofErr w:type="spellStart"/>
      <w:r>
        <w:rPr>
          <w:rFonts w:eastAsia="Palatino Linotype"/>
          <w:sz w:val="22"/>
          <w:szCs w:val="22"/>
          <w:lang w:val="es-ES"/>
        </w:rPr>
        <w:t>of</w:t>
      </w:r>
      <w:proofErr w:type="spellEnd"/>
      <w:r>
        <w:rPr>
          <w:rFonts w:eastAsia="Palatino Linotype"/>
          <w:sz w:val="22"/>
          <w:szCs w:val="22"/>
          <w:lang w:val="es-ES"/>
        </w:rPr>
        <w:t xml:space="preserve"> </w:t>
      </w:r>
      <w:proofErr w:type="spellStart"/>
      <w:r>
        <w:rPr>
          <w:rFonts w:eastAsia="Palatino Linotype"/>
          <w:sz w:val="22"/>
          <w:szCs w:val="22"/>
          <w:lang w:val="es-ES"/>
        </w:rPr>
        <w:t>opening</w:t>
      </w:r>
      <w:proofErr w:type="spellEnd"/>
      <w:r>
        <w:rPr>
          <w:rFonts w:eastAsia="Palatino Linotype"/>
          <w:sz w:val="22"/>
          <w:szCs w:val="22"/>
          <w:lang w:val="es-ES"/>
        </w:rPr>
        <w:t xml:space="preserve"> </w:t>
      </w:r>
      <w:proofErr w:type="spellStart"/>
      <w:r>
        <w:rPr>
          <w:rFonts w:eastAsia="Palatino Linotype"/>
          <w:sz w:val="22"/>
          <w:szCs w:val="22"/>
          <w:lang w:val="es-ES"/>
        </w:rPr>
        <w:t>the</w:t>
      </w:r>
      <w:proofErr w:type="spellEnd"/>
      <w:r>
        <w:rPr>
          <w:rFonts w:eastAsia="Palatino Linotype"/>
          <w:sz w:val="22"/>
          <w:szCs w:val="22"/>
          <w:lang w:val="es-ES"/>
        </w:rPr>
        <w:t xml:space="preserve"> </w:t>
      </w:r>
      <w:proofErr w:type="spellStart"/>
      <w:r>
        <w:rPr>
          <w:rFonts w:eastAsia="Palatino Linotype"/>
          <w:sz w:val="22"/>
          <w:szCs w:val="22"/>
          <w:lang w:val="es-ES"/>
        </w:rPr>
        <w:t>offer</w:t>
      </w:r>
      <w:proofErr w:type="spellEnd"/>
      <w:r>
        <w:rPr>
          <w:rFonts w:eastAsia="Palatino Linotype"/>
          <w:sz w:val="22"/>
          <w:szCs w:val="22"/>
          <w:lang w:val="es-ES"/>
        </w:rPr>
        <w:t xml:space="preserve">, and </w:t>
      </w:r>
      <w:proofErr w:type="spellStart"/>
      <w:r>
        <w:rPr>
          <w:rFonts w:eastAsia="Palatino Linotype"/>
          <w:sz w:val="22"/>
          <w:szCs w:val="22"/>
          <w:lang w:val="es-ES"/>
        </w:rPr>
        <w:t>parameters</w:t>
      </w:r>
      <w:proofErr w:type="spellEnd"/>
      <w:r>
        <w:rPr>
          <w:rFonts w:eastAsia="Palatino Linotype"/>
          <w:sz w:val="22"/>
          <w:szCs w:val="22"/>
          <w:lang w:val="es-ES"/>
        </w:rPr>
        <w:t xml:space="preserve"> </w:t>
      </w:r>
      <w:proofErr w:type="spellStart"/>
      <w:r>
        <w:rPr>
          <w:rFonts w:eastAsia="Palatino Linotype"/>
          <w:sz w:val="22"/>
          <w:szCs w:val="22"/>
          <w:lang w:val="es-ES"/>
        </w:rPr>
        <w:t>with</w:t>
      </w:r>
      <w:proofErr w:type="spellEnd"/>
      <w:r>
        <w:rPr>
          <w:rFonts w:eastAsia="Palatino Linotype"/>
          <w:sz w:val="22"/>
          <w:szCs w:val="22"/>
          <w:lang w:val="es-ES"/>
        </w:rPr>
        <w:t xml:space="preserve"> </w:t>
      </w:r>
      <w:proofErr w:type="spellStart"/>
      <w:r>
        <w:rPr>
          <w:rFonts w:eastAsia="Palatino Linotype"/>
          <w:sz w:val="22"/>
          <w:szCs w:val="22"/>
          <w:lang w:val="es-ES"/>
        </w:rPr>
        <w:t>subscript</w:t>
      </w:r>
      <w:proofErr w:type="spellEnd"/>
      <w:r>
        <w:rPr>
          <w:rFonts w:eastAsia="Palatino Linotype"/>
          <w:sz w:val="22"/>
          <w:szCs w:val="22"/>
          <w:lang w:val="es-ES"/>
        </w:rPr>
        <w:t xml:space="preserve"> 1 </w:t>
      </w:r>
      <w:proofErr w:type="spellStart"/>
      <w:r>
        <w:rPr>
          <w:rFonts w:eastAsia="Palatino Linotype"/>
          <w:sz w:val="22"/>
          <w:szCs w:val="22"/>
          <w:lang w:val="es-ES"/>
        </w:rPr>
        <w:t>take</w:t>
      </w:r>
      <w:proofErr w:type="spellEnd"/>
      <w:r>
        <w:rPr>
          <w:rFonts w:eastAsia="Palatino Linotype"/>
          <w:sz w:val="22"/>
          <w:szCs w:val="22"/>
          <w:lang w:val="es-ES"/>
        </w:rPr>
        <w:t xml:space="preserve">, </w:t>
      </w:r>
      <w:proofErr w:type="spellStart"/>
      <w:r>
        <w:rPr>
          <w:rFonts w:eastAsia="Palatino Linotype"/>
          <w:sz w:val="22"/>
          <w:szCs w:val="22"/>
          <w:lang w:val="es-ES"/>
        </w:rPr>
        <w:t>for</w:t>
      </w:r>
      <w:proofErr w:type="spellEnd"/>
      <w:r>
        <w:rPr>
          <w:rFonts w:eastAsia="Palatino Linotype"/>
          <w:sz w:val="22"/>
          <w:szCs w:val="22"/>
          <w:lang w:val="es-ES"/>
        </w:rPr>
        <w:t xml:space="preserve"> </w:t>
      </w:r>
      <w:proofErr w:type="spellStart"/>
      <w:r>
        <w:rPr>
          <w:rFonts w:eastAsia="Palatino Linotype"/>
          <w:sz w:val="22"/>
          <w:szCs w:val="22"/>
          <w:lang w:val="es-ES"/>
        </w:rPr>
        <w:t>supplies</w:t>
      </w:r>
      <w:proofErr w:type="spellEnd"/>
      <w:r>
        <w:rPr>
          <w:rFonts w:eastAsia="Palatino Linotype"/>
          <w:sz w:val="22"/>
          <w:szCs w:val="22"/>
          <w:lang w:val="es-ES"/>
        </w:rPr>
        <w:t xml:space="preserve">, </w:t>
      </w:r>
      <w:proofErr w:type="spellStart"/>
      <w:r>
        <w:rPr>
          <w:rFonts w:eastAsia="Palatino Linotype"/>
          <w:sz w:val="22"/>
          <w:szCs w:val="22"/>
          <w:lang w:val="es-ES"/>
        </w:rPr>
        <w:t>the</w:t>
      </w:r>
      <w:proofErr w:type="spellEnd"/>
      <w:r>
        <w:rPr>
          <w:rFonts w:eastAsia="Palatino Linotype"/>
          <w:sz w:val="22"/>
          <w:szCs w:val="22"/>
          <w:lang w:val="es-ES"/>
        </w:rPr>
        <w:t xml:space="preserve"> </w:t>
      </w:r>
      <w:proofErr w:type="spellStart"/>
      <w:r>
        <w:rPr>
          <w:rFonts w:eastAsia="Palatino Linotype"/>
          <w:sz w:val="22"/>
          <w:szCs w:val="22"/>
          <w:lang w:val="es-ES"/>
        </w:rPr>
        <w:t>value</w:t>
      </w:r>
      <w:proofErr w:type="spellEnd"/>
      <w:r>
        <w:rPr>
          <w:rFonts w:eastAsia="Palatino Linotype"/>
          <w:sz w:val="22"/>
          <w:szCs w:val="22"/>
          <w:lang w:val="es-ES"/>
        </w:rPr>
        <w:t xml:space="preserve"> in </w:t>
      </w:r>
      <w:proofErr w:type="spellStart"/>
      <w:r>
        <w:rPr>
          <w:rFonts w:eastAsia="Palatino Linotype"/>
          <w:sz w:val="22"/>
          <w:szCs w:val="22"/>
          <w:lang w:val="es-ES"/>
        </w:rPr>
        <w:t>effect</w:t>
      </w:r>
      <w:proofErr w:type="spellEnd"/>
      <w:r>
        <w:rPr>
          <w:rFonts w:eastAsia="Palatino Linotype"/>
          <w:sz w:val="22"/>
          <w:szCs w:val="22"/>
          <w:lang w:val="es-ES"/>
        </w:rPr>
        <w:t xml:space="preserve"> </w:t>
      </w:r>
      <w:proofErr w:type="spellStart"/>
      <w:r>
        <w:rPr>
          <w:rFonts w:eastAsia="Palatino Linotype"/>
          <w:sz w:val="22"/>
          <w:szCs w:val="22"/>
          <w:lang w:val="es-ES"/>
        </w:rPr>
        <w:t>on</w:t>
      </w:r>
      <w:proofErr w:type="spellEnd"/>
      <w:r>
        <w:rPr>
          <w:rFonts w:eastAsia="Palatino Linotype"/>
          <w:sz w:val="22"/>
          <w:szCs w:val="22"/>
          <w:lang w:val="es-ES"/>
        </w:rPr>
        <w:t xml:space="preserve"> </w:t>
      </w:r>
      <w:proofErr w:type="spellStart"/>
      <w:r>
        <w:rPr>
          <w:rFonts w:eastAsia="Palatino Linotype"/>
          <w:sz w:val="22"/>
          <w:szCs w:val="22"/>
          <w:lang w:val="es-ES"/>
        </w:rPr>
        <w:t>the</w:t>
      </w:r>
      <w:proofErr w:type="spellEnd"/>
      <w:r>
        <w:rPr>
          <w:rFonts w:eastAsia="Palatino Linotype"/>
          <w:sz w:val="22"/>
          <w:szCs w:val="22"/>
          <w:lang w:val="es-ES"/>
        </w:rPr>
        <w:t xml:space="preserve"> </w:t>
      </w:r>
      <w:proofErr w:type="spellStart"/>
      <w:r>
        <w:rPr>
          <w:rFonts w:eastAsia="Palatino Linotype"/>
          <w:sz w:val="22"/>
          <w:szCs w:val="22"/>
          <w:lang w:val="es-ES"/>
        </w:rPr>
        <w:t>day</w:t>
      </w:r>
      <w:proofErr w:type="spellEnd"/>
      <w:r>
        <w:rPr>
          <w:rFonts w:eastAsia="Palatino Linotype"/>
          <w:sz w:val="22"/>
          <w:szCs w:val="22"/>
          <w:lang w:val="es-ES"/>
        </w:rPr>
        <w:t xml:space="preserve"> </w:t>
      </w:r>
      <w:proofErr w:type="spellStart"/>
      <w:r>
        <w:rPr>
          <w:rFonts w:eastAsia="Palatino Linotype"/>
          <w:sz w:val="22"/>
          <w:szCs w:val="22"/>
          <w:lang w:val="es-ES"/>
        </w:rPr>
        <w:t>or</w:t>
      </w:r>
      <w:proofErr w:type="spellEnd"/>
      <w:r>
        <w:rPr>
          <w:rFonts w:eastAsia="Palatino Linotype"/>
          <w:sz w:val="22"/>
          <w:szCs w:val="22"/>
          <w:lang w:val="es-ES"/>
        </w:rPr>
        <w:t xml:space="preserve"> </w:t>
      </w:r>
      <w:proofErr w:type="spellStart"/>
      <w:r>
        <w:rPr>
          <w:rFonts w:eastAsia="Palatino Linotype"/>
          <w:sz w:val="22"/>
          <w:szCs w:val="22"/>
          <w:lang w:val="es-ES"/>
        </w:rPr>
        <w:t>month</w:t>
      </w:r>
      <w:proofErr w:type="spellEnd"/>
      <w:r>
        <w:rPr>
          <w:rFonts w:eastAsia="Palatino Linotype"/>
          <w:sz w:val="22"/>
          <w:szCs w:val="22"/>
          <w:lang w:val="es-ES"/>
        </w:rPr>
        <w:t xml:space="preserve"> prior </w:t>
      </w:r>
      <w:proofErr w:type="spellStart"/>
      <w:r>
        <w:rPr>
          <w:rFonts w:eastAsia="Palatino Linotype"/>
          <w:sz w:val="22"/>
          <w:szCs w:val="22"/>
          <w:lang w:val="es-ES"/>
        </w:rPr>
        <w:t>to</w:t>
      </w:r>
      <w:proofErr w:type="spellEnd"/>
      <w:r>
        <w:rPr>
          <w:rFonts w:eastAsia="Palatino Linotype"/>
          <w:sz w:val="22"/>
          <w:szCs w:val="22"/>
          <w:lang w:val="es-ES"/>
        </w:rPr>
        <w:t xml:space="preserve"> </w:t>
      </w:r>
      <w:proofErr w:type="spellStart"/>
      <w:r>
        <w:rPr>
          <w:rFonts w:eastAsia="Palatino Linotype"/>
          <w:sz w:val="22"/>
          <w:szCs w:val="22"/>
          <w:lang w:val="es-ES"/>
        </w:rPr>
        <w:t>the</w:t>
      </w:r>
      <w:proofErr w:type="spellEnd"/>
      <w:r>
        <w:rPr>
          <w:rFonts w:eastAsia="Palatino Linotype"/>
          <w:sz w:val="22"/>
          <w:szCs w:val="22"/>
          <w:lang w:val="es-ES"/>
        </w:rPr>
        <w:t xml:space="preserve"> date </w:t>
      </w:r>
      <w:proofErr w:type="spellStart"/>
      <w:r>
        <w:rPr>
          <w:rFonts w:eastAsia="Palatino Linotype"/>
          <w:sz w:val="22"/>
          <w:szCs w:val="22"/>
          <w:lang w:val="es-ES"/>
        </w:rPr>
        <w:t>of</w:t>
      </w:r>
      <w:proofErr w:type="spellEnd"/>
      <w:r>
        <w:rPr>
          <w:rFonts w:eastAsia="Palatino Linotype"/>
          <w:sz w:val="22"/>
          <w:szCs w:val="22"/>
          <w:lang w:val="es-ES"/>
        </w:rPr>
        <w:t xml:space="preserve"> total </w:t>
      </w:r>
      <w:proofErr w:type="spellStart"/>
      <w:r>
        <w:rPr>
          <w:rFonts w:eastAsia="Palatino Linotype"/>
          <w:sz w:val="22"/>
          <w:szCs w:val="22"/>
          <w:lang w:val="es-ES"/>
        </w:rPr>
        <w:t>or</w:t>
      </w:r>
      <w:proofErr w:type="spellEnd"/>
      <w:r>
        <w:rPr>
          <w:rFonts w:eastAsia="Palatino Linotype"/>
          <w:sz w:val="22"/>
          <w:szCs w:val="22"/>
          <w:lang w:val="es-ES"/>
        </w:rPr>
        <w:t xml:space="preserve"> </w:t>
      </w:r>
      <w:proofErr w:type="spellStart"/>
      <w:r>
        <w:rPr>
          <w:rFonts w:eastAsia="Palatino Linotype"/>
          <w:sz w:val="22"/>
          <w:szCs w:val="22"/>
          <w:lang w:val="es-ES"/>
        </w:rPr>
        <w:t>partial</w:t>
      </w:r>
      <w:proofErr w:type="spellEnd"/>
      <w:r>
        <w:rPr>
          <w:rFonts w:eastAsia="Palatino Linotype"/>
          <w:sz w:val="22"/>
          <w:szCs w:val="22"/>
          <w:lang w:val="es-ES"/>
        </w:rPr>
        <w:t xml:space="preserve"> </w:t>
      </w:r>
      <w:proofErr w:type="spellStart"/>
      <w:r>
        <w:rPr>
          <w:rFonts w:eastAsia="Palatino Linotype"/>
          <w:sz w:val="22"/>
          <w:szCs w:val="22"/>
          <w:lang w:val="es-ES"/>
        </w:rPr>
        <w:t>delivery</w:t>
      </w:r>
      <w:proofErr w:type="spellEnd"/>
      <w:r>
        <w:rPr>
          <w:rFonts w:eastAsia="Palatino Linotype"/>
          <w:sz w:val="22"/>
          <w:szCs w:val="22"/>
          <w:lang w:val="es-ES"/>
        </w:rPr>
        <w:t xml:space="preserve"> </w:t>
      </w:r>
      <w:proofErr w:type="spellStart"/>
      <w:r>
        <w:rPr>
          <w:rFonts w:eastAsia="Palatino Linotype"/>
          <w:sz w:val="22"/>
          <w:szCs w:val="22"/>
          <w:lang w:val="es-ES"/>
        </w:rPr>
        <w:t>of</w:t>
      </w:r>
      <w:proofErr w:type="spellEnd"/>
      <w:r>
        <w:rPr>
          <w:rFonts w:eastAsia="Palatino Linotype"/>
          <w:sz w:val="22"/>
          <w:szCs w:val="22"/>
          <w:lang w:val="es-ES"/>
        </w:rPr>
        <w:t xml:space="preserve"> </w:t>
      </w:r>
      <w:proofErr w:type="spellStart"/>
      <w:r>
        <w:rPr>
          <w:rFonts w:eastAsia="Palatino Linotype"/>
          <w:sz w:val="22"/>
          <w:szCs w:val="22"/>
          <w:lang w:val="es-ES"/>
        </w:rPr>
        <w:t>the</w:t>
      </w:r>
      <w:proofErr w:type="spellEnd"/>
      <w:r>
        <w:rPr>
          <w:rFonts w:eastAsia="Palatino Linotype"/>
          <w:sz w:val="22"/>
          <w:szCs w:val="22"/>
          <w:lang w:val="es-ES"/>
        </w:rPr>
        <w:t xml:space="preserve"> </w:t>
      </w:r>
      <w:proofErr w:type="spellStart"/>
      <w:r>
        <w:rPr>
          <w:rFonts w:eastAsia="Palatino Linotype"/>
          <w:sz w:val="22"/>
          <w:szCs w:val="22"/>
          <w:lang w:val="es-ES"/>
        </w:rPr>
        <w:t>goods</w:t>
      </w:r>
      <w:proofErr w:type="spellEnd"/>
      <w:r>
        <w:rPr>
          <w:rFonts w:eastAsia="Palatino Linotype"/>
          <w:sz w:val="22"/>
          <w:szCs w:val="22"/>
          <w:lang w:val="es-ES"/>
        </w:rPr>
        <w:t xml:space="preserve"> and, </w:t>
      </w:r>
      <w:proofErr w:type="spellStart"/>
      <w:r>
        <w:rPr>
          <w:rFonts w:eastAsia="Palatino Linotype"/>
          <w:sz w:val="22"/>
          <w:szCs w:val="22"/>
          <w:lang w:val="es-ES"/>
        </w:rPr>
        <w:t>for</w:t>
      </w:r>
      <w:proofErr w:type="spellEnd"/>
      <w:r>
        <w:rPr>
          <w:rFonts w:eastAsia="Palatino Linotype"/>
          <w:sz w:val="22"/>
          <w:szCs w:val="22"/>
          <w:lang w:val="es-ES"/>
        </w:rPr>
        <w:t xml:space="preserve"> </w:t>
      </w:r>
      <w:proofErr w:type="spellStart"/>
      <w:r>
        <w:rPr>
          <w:rFonts w:eastAsia="Palatino Linotype"/>
          <w:sz w:val="22"/>
          <w:szCs w:val="22"/>
          <w:lang w:val="es-ES"/>
        </w:rPr>
        <w:t>the</w:t>
      </w:r>
      <w:proofErr w:type="spellEnd"/>
      <w:r>
        <w:rPr>
          <w:rFonts w:eastAsia="Palatino Linotype"/>
          <w:sz w:val="22"/>
          <w:szCs w:val="22"/>
          <w:lang w:val="es-ES"/>
        </w:rPr>
        <w:t xml:space="preserve"> </w:t>
      </w:r>
      <w:proofErr w:type="spellStart"/>
      <w:r>
        <w:rPr>
          <w:rFonts w:eastAsia="Palatino Linotype"/>
          <w:sz w:val="22"/>
          <w:szCs w:val="22"/>
          <w:lang w:val="es-ES"/>
        </w:rPr>
        <w:t>provision</w:t>
      </w:r>
      <w:proofErr w:type="spellEnd"/>
      <w:r>
        <w:rPr>
          <w:rFonts w:eastAsia="Palatino Linotype"/>
          <w:sz w:val="22"/>
          <w:szCs w:val="22"/>
          <w:lang w:val="es-ES"/>
        </w:rPr>
        <w:t xml:space="preserve"> </w:t>
      </w:r>
      <w:proofErr w:type="spellStart"/>
      <w:r>
        <w:rPr>
          <w:rFonts w:eastAsia="Palatino Linotype"/>
          <w:sz w:val="22"/>
          <w:szCs w:val="22"/>
          <w:lang w:val="es-ES"/>
        </w:rPr>
        <w:t>of</w:t>
      </w:r>
      <w:proofErr w:type="spellEnd"/>
      <w:r>
        <w:rPr>
          <w:rFonts w:eastAsia="Palatino Linotype"/>
          <w:sz w:val="22"/>
          <w:szCs w:val="22"/>
          <w:lang w:val="es-ES"/>
        </w:rPr>
        <w:t xml:space="preserve"> </w:t>
      </w:r>
      <w:proofErr w:type="spellStart"/>
      <w:r>
        <w:rPr>
          <w:rFonts w:eastAsia="Palatino Linotype"/>
          <w:sz w:val="22"/>
          <w:szCs w:val="22"/>
          <w:lang w:val="es-ES"/>
        </w:rPr>
        <w:t>services</w:t>
      </w:r>
      <w:proofErr w:type="spellEnd"/>
      <w:r>
        <w:rPr>
          <w:rFonts w:eastAsia="Palatino Linotype"/>
          <w:sz w:val="22"/>
          <w:szCs w:val="22"/>
          <w:lang w:val="es-ES"/>
        </w:rPr>
        <w:t xml:space="preserve">, </w:t>
      </w:r>
      <w:proofErr w:type="spellStart"/>
      <w:r>
        <w:rPr>
          <w:rFonts w:eastAsia="Palatino Linotype"/>
          <w:sz w:val="22"/>
          <w:szCs w:val="22"/>
          <w:lang w:val="es-ES"/>
        </w:rPr>
        <w:t>the</w:t>
      </w:r>
      <w:proofErr w:type="spellEnd"/>
      <w:r>
        <w:rPr>
          <w:rFonts w:eastAsia="Palatino Linotype"/>
          <w:sz w:val="22"/>
          <w:szCs w:val="22"/>
          <w:lang w:val="es-ES"/>
        </w:rPr>
        <w:t xml:space="preserve"> </w:t>
      </w:r>
      <w:proofErr w:type="spellStart"/>
      <w:r>
        <w:rPr>
          <w:rFonts w:eastAsia="Palatino Linotype"/>
          <w:sz w:val="22"/>
          <w:szCs w:val="22"/>
          <w:lang w:val="es-ES"/>
        </w:rPr>
        <w:t>weighted</w:t>
      </w:r>
      <w:proofErr w:type="spellEnd"/>
      <w:r>
        <w:rPr>
          <w:rFonts w:eastAsia="Palatino Linotype"/>
          <w:sz w:val="22"/>
          <w:szCs w:val="22"/>
          <w:lang w:val="es-ES"/>
        </w:rPr>
        <w:t xml:space="preserve"> </w:t>
      </w:r>
      <w:proofErr w:type="spellStart"/>
      <w:r>
        <w:rPr>
          <w:rFonts w:eastAsia="Palatino Linotype"/>
          <w:sz w:val="22"/>
          <w:szCs w:val="22"/>
          <w:lang w:val="es-ES"/>
        </w:rPr>
        <w:t>average</w:t>
      </w:r>
      <w:proofErr w:type="spellEnd"/>
      <w:r>
        <w:rPr>
          <w:rFonts w:eastAsia="Palatino Linotype"/>
          <w:sz w:val="22"/>
          <w:szCs w:val="22"/>
          <w:lang w:val="es-ES"/>
        </w:rPr>
        <w:t xml:space="preserve"> </w:t>
      </w:r>
      <w:proofErr w:type="spellStart"/>
      <w:r>
        <w:rPr>
          <w:rFonts w:eastAsia="Palatino Linotype"/>
          <w:sz w:val="22"/>
          <w:szCs w:val="22"/>
          <w:lang w:val="es-ES"/>
        </w:rPr>
        <w:t>of</w:t>
      </w:r>
      <w:proofErr w:type="spellEnd"/>
      <w:r>
        <w:rPr>
          <w:rFonts w:eastAsia="Palatino Linotype"/>
          <w:sz w:val="22"/>
          <w:szCs w:val="22"/>
          <w:lang w:val="es-ES"/>
        </w:rPr>
        <w:t xml:space="preserve"> </w:t>
      </w:r>
      <w:proofErr w:type="spellStart"/>
      <w:r>
        <w:rPr>
          <w:rFonts w:eastAsia="Palatino Linotype"/>
          <w:sz w:val="22"/>
          <w:szCs w:val="22"/>
          <w:lang w:val="es-ES"/>
        </w:rPr>
        <w:t>the</w:t>
      </w:r>
      <w:proofErr w:type="spellEnd"/>
      <w:r>
        <w:rPr>
          <w:rFonts w:eastAsia="Palatino Linotype"/>
          <w:sz w:val="22"/>
          <w:szCs w:val="22"/>
          <w:lang w:val="es-ES"/>
        </w:rPr>
        <w:t xml:space="preserve"> </w:t>
      </w:r>
      <w:proofErr w:type="spellStart"/>
      <w:r>
        <w:rPr>
          <w:rFonts w:eastAsia="Palatino Linotype"/>
          <w:sz w:val="22"/>
          <w:szCs w:val="22"/>
          <w:lang w:val="es-ES"/>
        </w:rPr>
        <w:t>parameter</w:t>
      </w:r>
      <w:proofErr w:type="spellEnd"/>
      <w:r>
        <w:rPr>
          <w:rFonts w:eastAsia="Palatino Linotype"/>
          <w:sz w:val="22"/>
          <w:szCs w:val="22"/>
          <w:lang w:val="es-ES"/>
        </w:rPr>
        <w:t xml:space="preserve"> </w:t>
      </w:r>
      <w:proofErr w:type="spellStart"/>
      <w:r>
        <w:rPr>
          <w:rFonts w:eastAsia="Palatino Linotype"/>
          <w:sz w:val="22"/>
          <w:szCs w:val="22"/>
          <w:lang w:val="es-ES"/>
        </w:rPr>
        <w:t>value</w:t>
      </w:r>
      <w:proofErr w:type="spellEnd"/>
      <w:r>
        <w:rPr>
          <w:rFonts w:eastAsia="Palatino Linotype"/>
          <w:sz w:val="22"/>
          <w:szCs w:val="22"/>
          <w:lang w:val="es-ES"/>
        </w:rPr>
        <w:t xml:space="preserve"> in </w:t>
      </w:r>
      <w:proofErr w:type="spellStart"/>
      <w:r>
        <w:rPr>
          <w:rFonts w:eastAsia="Palatino Linotype"/>
          <w:sz w:val="22"/>
          <w:szCs w:val="22"/>
          <w:lang w:val="es-ES"/>
        </w:rPr>
        <w:t>the</w:t>
      </w:r>
      <w:proofErr w:type="spellEnd"/>
      <w:r>
        <w:rPr>
          <w:rFonts w:eastAsia="Palatino Linotype"/>
          <w:sz w:val="22"/>
          <w:szCs w:val="22"/>
          <w:lang w:val="es-ES"/>
        </w:rPr>
        <w:t xml:space="preserve"> </w:t>
      </w:r>
      <w:proofErr w:type="spellStart"/>
      <w:r>
        <w:rPr>
          <w:rFonts w:eastAsia="Palatino Linotype"/>
          <w:sz w:val="22"/>
          <w:szCs w:val="22"/>
          <w:lang w:val="es-ES"/>
        </w:rPr>
        <w:t>billing</w:t>
      </w:r>
      <w:proofErr w:type="spellEnd"/>
      <w:r>
        <w:rPr>
          <w:rFonts w:eastAsia="Palatino Linotype"/>
          <w:sz w:val="22"/>
          <w:szCs w:val="22"/>
          <w:lang w:val="es-ES"/>
        </w:rPr>
        <w:t xml:space="preserve"> </w:t>
      </w:r>
      <w:proofErr w:type="spellStart"/>
      <w:r>
        <w:rPr>
          <w:rFonts w:eastAsia="Palatino Linotype"/>
          <w:sz w:val="22"/>
          <w:szCs w:val="22"/>
          <w:lang w:val="es-ES"/>
        </w:rPr>
        <w:t>period</w:t>
      </w:r>
      <w:proofErr w:type="spellEnd"/>
      <w:r>
        <w:rPr>
          <w:rFonts w:eastAsia="Palatino Linotype"/>
          <w:sz w:val="22"/>
          <w:szCs w:val="22"/>
          <w:lang w:val="es-ES"/>
        </w:rPr>
        <w:t>.</w:t>
      </w:r>
    </w:p>
    <w:p w14:paraId="076EEFB4" w14:textId="77777777" w:rsidR="00E255F4" w:rsidRDefault="00E255F4">
      <w:pPr>
        <w:ind w:right="-142"/>
        <w:jc w:val="both"/>
        <w:rPr>
          <w:rFonts w:eastAsia="Palatino Linotype"/>
          <w:spacing w:val="-1"/>
          <w:sz w:val="22"/>
          <w:szCs w:val="22"/>
          <w:lang w:val="es-ES"/>
        </w:rPr>
      </w:pPr>
    </w:p>
    <w:p w14:paraId="45EE864F" w14:textId="77777777" w:rsidR="00E255F4" w:rsidRDefault="00000000">
      <w:pPr>
        <w:ind w:right="-142"/>
        <w:jc w:val="both"/>
        <w:rPr>
          <w:rFonts w:eastAsia="Palatino Linotype"/>
          <w:spacing w:val="-11"/>
          <w:sz w:val="22"/>
          <w:szCs w:val="22"/>
          <w:lang w:val="es-ES"/>
        </w:rPr>
      </w:pPr>
      <w:proofErr w:type="spellStart"/>
      <w:r>
        <w:rPr>
          <w:rFonts w:eastAsia="Palatino Linotype"/>
          <w:spacing w:val="-1"/>
          <w:sz w:val="22"/>
          <w:szCs w:val="22"/>
          <w:lang w:val="es-ES"/>
        </w:rPr>
        <w:t>When</w:t>
      </w:r>
      <w:r>
        <w:rPr>
          <w:rFonts w:eastAsia="Palatino Linotype"/>
          <w:sz w:val="22"/>
          <w:szCs w:val="22"/>
          <w:lang w:val="es-ES"/>
        </w:rPr>
        <w:t>or</w:t>
      </w:r>
      <w:proofErr w:type="spellEnd"/>
      <w:r>
        <w:rPr>
          <w:rFonts w:eastAsia="Palatino Linotype"/>
          <w:sz w:val="22"/>
          <w:szCs w:val="22"/>
          <w:lang w:val="es-ES"/>
        </w:rPr>
        <w:t xml:space="preserve"> </w:t>
      </w:r>
      <w:proofErr w:type="spellStart"/>
      <w:r>
        <w:rPr>
          <w:rFonts w:eastAsia="Palatino Linotype"/>
          <w:sz w:val="22"/>
          <w:szCs w:val="22"/>
          <w:lang w:val="es-ES"/>
        </w:rPr>
        <w:t>if</w:t>
      </w:r>
      <w:proofErr w:type="spellEnd"/>
      <w:r>
        <w:rPr>
          <w:rFonts w:eastAsia="Palatino Linotype"/>
          <w:sz w:val="22"/>
          <w:szCs w:val="22"/>
          <w:lang w:val="es-ES"/>
        </w:rPr>
        <w:t xml:space="preserve"> </w:t>
      </w:r>
      <w:proofErr w:type="spellStart"/>
      <w:r>
        <w:rPr>
          <w:rFonts w:eastAsia="Palatino Linotype"/>
          <w:sz w:val="22"/>
          <w:szCs w:val="22"/>
          <w:lang w:val="es-ES"/>
        </w:rPr>
        <w:t>delivery</w:t>
      </w:r>
      <w:proofErr w:type="spellEnd"/>
      <w:r>
        <w:rPr>
          <w:rFonts w:eastAsia="Palatino Linotype"/>
          <w:sz w:val="22"/>
          <w:szCs w:val="22"/>
          <w:lang w:val="es-ES"/>
        </w:rPr>
        <w:t xml:space="preserve"> </w:t>
      </w:r>
      <w:proofErr w:type="spellStart"/>
      <w:r>
        <w:rPr>
          <w:rFonts w:eastAsia="Palatino Linotype"/>
          <w:sz w:val="22"/>
          <w:szCs w:val="22"/>
          <w:lang w:val="es-ES"/>
        </w:rPr>
        <w:t>is</w:t>
      </w:r>
      <w:proofErr w:type="spellEnd"/>
      <w:r>
        <w:rPr>
          <w:rFonts w:eastAsia="Palatino Linotype"/>
          <w:sz w:val="22"/>
          <w:szCs w:val="22"/>
          <w:lang w:val="es-ES"/>
        </w:rPr>
        <w:t xml:space="preserve"> </w:t>
      </w:r>
      <w:proofErr w:type="spellStart"/>
      <w:r>
        <w:rPr>
          <w:rFonts w:eastAsia="Palatino Linotype"/>
          <w:sz w:val="22"/>
          <w:szCs w:val="22"/>
          <w:lang w:val="es-ES"/>
        </w:rPr>
        <w:t>made</w:t>
      </w:r>
      <w:proofErr w:type="spellEnd"/>
      <w:r>
        <w:rPr>
          <w:rFonts w:eastAsia="Palatino Linotype"/>
          <w:sz w:val="22"/>
          <w:szCs w:val="22"/>
          <w:lang w:val="es-ES"/>
        </w:rPr>
        <w:t xml:space="preserve"> </w:t>
      </w:r>
      <w:proofErr w:type="spellStart"/>
      <w:r>
        <w:rPr>
          <w:rFonts w:eastAsia="Palatino Linotype"/>
          <w:sz w:val="22"/>
          <w:szCs w:val="22"/>
          <w:lang w:val="es-ES"/>
        </w:rPr>
        <w:t>within</w:t>
      </w:r>
      <w:proofErr w:type="spellEnd"/>
      <w:r>
        <w:rPr>
          <w:rFonts w:eastAsia="Palatino Linotype"/>
          <w:sz w:val="22"/>
          <w:szCs w:val="22"/>
          <w:lang w:val="es-ES"/>
        </w:rPr>
        <w:t xml:space="preserve"> </w:t>
      </w:r>
      <w:proofErr w:type="spellStart"/>
      <w:r>
        <w:rPr>
          <w:rFonts w:eastAsia="Palatino Linotype"/>
          <w:sz w:val="22"/>
          <w:szCs w:val="22"/>
          <w:lang w:val="es-ES"/>
        </w:rPr>
        <w:t>the</w:t>
      </w:r>
      <w:proofErr w:type="spellEnd"/>
      <w:r>
        <w:rPr>
          <w:rFonts w:eastAsia="Palatino Linotype"/>
          <w:sz w:val="22"/>
          <w:szCs w:val="22"/>
          <w:lang w:val="es-ES"/>
        </w:rPr>
        <w:t xml:space="preserve"> contractual </w:t>
      </w:r>
      <w:proofErr w:type="spellStart"/>
      <w:r>
        <w:rPr>
          <w:rFonts w:eastAsia="Palatino Linotype"/>
          <w:sz w:val="22"/>
          <w:szCs w:val="22"/>
          <w:lang w:val="es-ES"/>
        </w:rPr>
        <w:t>period</w:t>
      </w:r>
      <w:proofErr w:type="spellEnd"/>
      <w:r>
        <w:rPr>
          <w:rFonts w:eastAsia="Palatino Linotype"/>
          <w:sz w:val="22"/>
          <w:szCs w:val="22"/>
          <w:lang w:val="es-ES"/>
        </w:rPr>
        <w:t xml:space="preserve">, </w:t>
      </w:r>
      <w:proofErr w:type="spellStart"/>
      <w:r>
        <w:rPr>
          <w:rFonts w:eastAsia="Palatino Linotype"/>
          <w:sz w:val="22"/>
          <w:szCs w:val="22"/>
          <w:lang w:val="es-ES"/>
        </w:rPr>
        <w:t>the</w:t>
      </w:r>
      <w:proofErr w:type="spellEnd"/>
      <w:r>
        <w:rPr>
          <w:rFonts w:eastAsia="Palatino Linotype"/>
          <w:sz w:val="22"/>
          <w:szCs w:val="22"/>
          <w:lang w:val="es-ES"/>
        </w:rPr>
        <w:t xml:space="preserve"> </w:t>
      </w:r>
      <w:proofErr w:type="spellStart"/>
      <w:r>
        <w:rPr>
          <w:rFonts w:eastAsia="Palatino Linotype"/>
          <w:sz w:val="22"/>
          <w:szCs w:val="22"/>
          <w:lang w:val="es-ES"/>
        </w:rPr>
        <w:t>price</w:t>
      </w:r>
      <w:proofErr w:type="spellEnd"/>
      <w:r>
        <w:rPr>
          <w:rFonts w:eastAsia="Palatino Linotype"/>
          <w:sz w:val="22"/>
          <w:szCs w:val="22"/>
          <w:lang w:val="es-ES"/>
        </w:rPr>
        <w:t xml:space="preserve"> </w:t>
      </w:r>
      <w:proofErr w:type="spellStart"/>
      <w:r>
        <w:rPr>
          <w:rFonts w:eastAsia="Palatino Linotype"/>
          <w:sz w:val="22"/>
          <w:szCs w:val="22"/>
          <w:lang w:val="es-ES"/>
        </w:rPr>
        <w:t>adjustment</w:t>
      </w:r>
      <w:proofErr w:type="spellEnd"/>
      <w:r>
        <w:rPr>
          <w:rFonts w:eastAsia="Palatino Linotype"/>
          <w:sz w:val="22"/>
          <w:szCs w:val="22"/>
          <w:lang w:val="es-ES"/>
        </w:rPr>
        <w:t xml:space="preserve"> </w:t>
      </w:r>
      <w:proofErr w:type="spellStart"/>
      <w:r>
        <w:rPr>
          <w:rFonts w:eastAsia="Palatino Linotype"/>
          <w:sz w:val="22"/>
          <w:szCs w:val="22"/>
          <w:lang w:val="es-ES"/>
        </w:rPr>
        <w:t>will</w:t>
      </w:r>
      <w:proofErr w:type="spellEnd"/>
      <w:r>
        <w:rPr>
          <w:rFonts w:eastAsia="Palatino Linotype"/>
          <w:sz w:val="22"/>
          <w:szCs w:val="22"/>
          <w:lang w:val="es-ES"/>
        </w:rPr>
        <w:t xml:space="preserve"> be </w:t>
      </w:r>
      <w:proofErr w:type="spellStart"/>
      <w:r>
        <w:rPr>
          <w:rFonts w:eastAsia="Palatino Linotype"/>
          <w:sz w:val="22"/>
          <w:szCs w:val="22"/>
          <w:lang w:val="es-ES"/>
        </w:rPr>
        <w:t>calculated</w:t>
      </w:r>
      <w:proofErr w:type="spellEnd"/>
      <w:r>
        <w:rPr>
          <w:rFonts w:eastAsia="Palatino Linotype"/>
          <w:sz w:val="22"/>
          <w:szCs w:val="22"/>
          <w:lang w:val="es-ES"/>
        </w:rPr>
        <w:t xml:space="preserve"> </w:t>
      </w:r>
      <w:proofErr w:type="spellStart"/>
      <w:r>
        <w:rPr>
          <w:rFonts w:eastAsia="Palatino Linotype"/>
          <w:sz w:val="22"/>
          <w:szCs w:val="22"/>
          <w:lang w:val="es-ES"/>
        </w:rPr>
        <w:t>upon</w:t>
      </w:r>
      <w:proofErr w:type="spellEnd"/>
      <w:r>
        <w:rPr>
          <w:rFonts w:eastAsia="Palatino Linotype"/>
          <w:sz w:val="22"/>
          <w:szCs w:val="22"/>
          <w:lang w:val="es-ES"/>
        </w:rPr>
        <w:t xml:space="preserve"> actual </w:t>
      </w:r>
      <w:proofErr w:type="spellStart"/>
      <w:r>
        <w:rPr>
          <w:rFonts w:eastAsia="Palatino Linotype"/>
          <w:sz w:val="22"/>
          <w:szCs w:val="22"/>
          <w:lang w:val="es-ES"/>
        </w:rPr>
        <w:t>delivery</w:t>
      </w:r>
      <w:proofErr w:type="spellEnd"/>
      <w:r>
        <w:rPr>
          <w:rFonts w:eastAsia="Palatino Linotype"/>
          <w:sz w:val="22"/>
          <w:szCs w:val="22"/>
          <w:lang w:val="es-ES"/>
        </w:rPr>
        <w:t>.</w:t>
      </w:r>
    </w:p>
    <w:p w14:paraId="6AA36E32" w14:textId="77777777" w:rsidR="00E255F4" w:rsidRDefault="00E255F4">
      <w:pPr>
        <w:ind w:right="-142"/>
        <w:jc w:val="both"/>
        <w:rPr>
          <w:rFonts w:eastAsia="Palatino Linotype"/>
          <w:spacing w:val="-11"/>
          <w:sz w:val="22"/>
          <w:szCs w:val="22"/>
          <w:lang w:val="es-ES"/>
        </w:rPr>
      </w:pPr>
    </w:p>
    <w:p w14:paraId="1AC76AC7" w14:textId="77777777" w:rsidR="00E255F4" w:rsidRDefault="00000000">
      <w:pPr>
        <w:ind w:right="-142"/>
        <w:jc w:val="both"/>
        <w:rPr>
          <w:rFonts w:eastAsia="Palatino Linotype"/>
          <w:sz w:val="22"/>
          <w:szCs w:val="22"/>
          <w:lang w:val="es-ES"/>
        </w:rPr>
      </w:pPr>
      <w:proofErr w:type="spellStart"/>
      <w:r>
        <w:rPr>
          <w:rFonts w:eastAsia="Palatino Linotype"/>
          <w:spacing w:val="-1"/>
          <w:sz w:val="22"/>
          <w:szCs w:val="22"/>
          <w:lang w:val="es-ES"/>
        </w:rPr>
        <w:t>S</w:t>
      </w:r>
      <w:r>
        <w:rPr>
          <w:rFonts w:eastAsia="Palatino Linotype"/>
          <w:sz w:val="22"/>
          <w:szCs w:val="22"/>
          <w:lang w:val="es-ES"/>
        </w:rPr>
        <w:t>If</w:t>
      </w:r>
      <w:proofErr w:type="spellEnd"/>
      <w:r>
        <w:rPr>
          <w:rFonts w:eastAsia="Palatino Linotype"/>
          <w:sz w:val="22"/>
          <w:szCs w:val="22"/>
          <w:lang w:val="es-ES"/>
        </w:rPr>
        <w:t xml:space="preserve"> </w:t>
      </w:r>
      <w:proofErr w:type="spellStart"/>
      <w:r>
        <w:rPr>
          <w:rFonts w:eastAsia="Palatino Linotype"/>
          <w:sz w:val="22"/>
          <w:szCs w:val="22"/>
          <w:lang w:val="es-ES"/>
        </w:rPr>
        <w:t>the</w:t>
      </w:r>
      <w:proofErr w:type="spellEnd"/>
      <w:r>
        <w:rPr>
          <w:rFonts w:eastAsia="Palatino Linotype"/>
          <w:sz w:val="22"/>
          <w:szCs w:val="22"/>
          <w:lang w:val="es-ES"/>
        </w:rPr>
        <w:t xml:space="preserve"> </w:t>
      </w:r>
      <w:proofErr w:type="spellStart"/>
      <w:r>
        <w:rPr>
          <w:rFonts w:eastAsia="Palatino Linotype"/>
          <w:sz w:val="22"/>
          <w:szCs w:val="22"/>
          <w:lang w:val="es-ES"/>
        </w:rPr>
        <w:t>aforementioned</w:t>
      </w:r>
      <w:proofErr w:type="spellEnd"/>
      <w:r>
        <w:rPr>
          <w:rFonts w:eastAsia="Palatino Linotype"/>
          <w:sz w:val="22"/>
          <w:szCs w:val="22"/>
          <w:lang w:val="es-ES"/>
        </w:rPr>
        <w:t xml:space="preserve"> </w:t>
      </w:r>
      <w:proofErr w:type="spellStart"/>
      <w:r>
        <w:rPr>
          <w:rFonts w:eastAsia="Palatino Linotype"/>
          <w:sz w:val="22"/>
          <w:szCs w:val="22"/>
          <w:lang w:val="es-ES"/>
        </w:rPr>
        <w:t>delivery</w:t>
      </w:r>
      <w:proofErr w:type="spellEnd"/>
      <w:r>
        <w:rPr>
          <w:rFonts w:eastAsia="Palatino Linotype"/>
          <w:sz w:val="22"/>
          <w:szCs w:val="22"/>
          <w:lang w:val="es-ES"/>
        </w:rPr>
        <w:t xml:space="preserve"> </w:t>
      </w:r>
      <w:proofErr w:type="spellStart"/>
      <w:r>
        <w:rPr>
          <w:rFonts w:eastAsia="Palatino Linotype"/>
          <w:sz w:val="22"/>
          <w:szCs w:val="22"/>
          <w:lang w:val="es-ES"/>
        </w:rPr>
        <w:t>is</w:t>
      </w:r>
      <w:proofErr w:type="spellEnd"/>
      <w:r>
        <w:rPr>
          <w:rFonts w:eastAsia="Palatino Linotype"/>
          <w:sz w:val="22"/>
          <w:szCs w:val="22"/>
          <w:lang w:val="es-ES"/>
        </w:rPr>
        <w:t xml:space="preserve"> </w:t>
      </w:r>
      <w:proofErr w:type="spellStart"/>
      <w:r>
        <w:rPr>
          <w:rFonts w:eastAsia="Palatino Linotype"/>
          <w:sz w:val="22"/>
          <w:szCs w:val="22"/>
          <w:lang w:val="es-ES"/>
        </w:rPr>
        <w:t>made</w:t>
      </w:r>
      <w:proofErr w:type="spellEnd"/>
      <w:r>
        <w:rPr>
          <w:rFonts w:eastAsia="Palatino Linotype"/>
          <w:sz w:val="22"/>
          <w:szCs w:val="22"/>
          <w:lang w:val="es-ES"/>
        </w:rPr>
        <w:t xml:space="preserve"> </w:t>
      </w:r>
      <w:proofErr w:type="spellStart"/>
      <w:r>
        <w:rPr>
          <w:rFonts w:eastAsia="Palatino Linotype"/>
          <w:sz w:val="22"/>
          <w:szCs w:val="22"/>
          <w:lang w:val="es-ES"/>
        </w:rPr>
        <w:t>outside</w:t>
      </w:r>
      <w:proofErr w:type="spellEnd"/>
      <w:r>
        <w:rPr>
          <w:rFonts w:eastAsia="Palatino Linotype"/>
          <w:sz w:val="22"/>
          <w:szCs w:val="22"/>
          <w:lang w:val="es-ES"/>
        </w:rPr>
        <w:t xml:space="preserve"> </w:t>
      </w:r>
      <w:proofErr w:type="spellStart"/>
      <w:r>
        <w:rPr>
          <w:rFonts w:eastAsia="Palatino Linotype"/>
          <w:sz w:val="22"/>
          <w:szCs w:val="22"/>
          <w:lang w:val="es-ES"/>
        </w:rPr>
        <w:t>of</w:t>
      </w:r>
      <w:proofErr w:type="spellEnd"/>
      <w:r>
        <w:rPr>
          <w:rFonts w:eastAsia="Palatino Linotype"/>
          <w:sz w:val="22"/>
          <w:szCs w:val="22"/>
          <w:lang w:val="es-ES"/>
        </w:rPr>
        <w:t xml:space="preserve"> </w:t>
      </w:r>
      <w:proofErr w:type="spellStart"/>
      <w:r>
        <w:rPr>
          <w:rFonts w:eastAsia="Palatino Linotype"/>
          <w:sz w:val="22"/>
          <w:szCs w:val="22"/>
          <w:lang w:val="es-ES"/>
        </w:rPr>
        <w:t>said</w:t>
      </w:r>
      <w:proofErr w:type="spellEnd"/>
      <w:r>
        <w:rPr>
          <w:rFonts w:eastAsia="Palatino Linotype"/>
          <w:sz w:val="22"/>
          <w:szCs w:val="22"/>
          <w:lang w:val="es-ES"/>
        </w:rPr>
        <w:t xml:space="preserve"> </w:t>
      </w:r>
      <w:proofErr w:type="spellStart"/>
      <w:r>
        <w:rPr>
          <w:rFonts w:eastAsia="Palatino Linotype"/>
          <w:sz w:val="22"/>
          <w:szCs w:val="22"/>
          <w:lang w:val="es-ES"/>
        </w:rPr>
        <w:t>period</w:t>
      </w:r>
      <w:proofErr w:type="spellEnd"/>
      <w:r>
        <w:rPr>
          <w:rFonts w:eastAsia="Palatino Linotype"/>
          <w:sz w:val="22"/>
          <w:szCs w:val="22"/>
          <w:lang w:val="es-ES"/>
        </w:rPr>
        <w:t xml:space="preserve"> </w:t>
      </w:r>
      <w:proofErr w:type="spellStart"/>
      <w:r>
        <w:rPr>
          <w:rFonts w:eastAsia="Palatino Linotype"/>
          <w:sz w:val="22"/>
          <w:szCs w:val="22"/>
          <w:lang w:val="es-ES"/>
        </w:rPr>
        <w:t>for</w:t>
      </w:r>
      <w:proofErr w:type="spellEnd"/>
      <w:r>
        <w:rPr>
          <w:rFonts w:eastAsia="Palatino Linotype"/>
          <w:sz w:val="22"/>
          <w:szCs w:val="22"/>
          <w:lang w:val="es-ES"/>
        </w:rPr>
        <w:t xml:space="preserve"> </w:t>
      </w:r>
      <w:proofErr w:type="spellStart"/>
      <w:r>
        <w:rPr>
          <w:rFonts w:eastAsia="Palatino Linotype"/>
          <w:sz w:val="22"/>
          <w:szCs w:val="22"/>
          <w:lang w:val="es-ES"/>
        </w:rPr>
        <w:t>reasons</w:t>
      </w:r>
      <w:proofErr w:type="spellEnd"/>
      <w:r>
        <w:rPr>
          <w:rFonts w:eastAsia="Palatino Linotype"/>
          <w:sz w:val="22"/>
          <w:szCs w:val="22"/>
          <w:lang w:val="es-ES"/>
        </w:rPr>
        <w:t xml:space="preserve"> </w:t>
      </w:r>
      <w:proofErr w:type="spellStart"/>
      <w:r>
        <w:rPr>
          <w:rFonts w:eastAsia="Palatino Linotype"/>
          <w:sz w:val="22"/>
          <w:szCs w:val="22"/>
          <w:lang w:val="es-ES"/>
        </w:rPr>
        <w:t>attributable</w:t>
      </w:r>
      <w:proofErr w:type="spellEnd"/>
      <w:r>
        <w:rPr>
          <w:rFonts w:eastAsia="Palatino Linotype"/>
          <w:sz w:val="22"/>
          <w:szCs w:val="22"/>
          <w:lang w:val="es-ES"/>
        </w:rPr>
        <w:t xml:space="preserve"> </w:t>
      </w:r>
      <w:proofErr w:type="spellStart"/>
      <w:r>
        <w:rPr>
          <w:rFonts w:eastAsia="Palatino Linotype"/>
          <w:sz w:val="22"/>
          <w:szCs w:val="22"/>
          <w:lang w:val="es-ES"/>
        </w:rPr>
        <w:t>to</w:t>
      </w:r>
      <w:proofErr w:type="spellEnd"/>
      <w:r>
        <w:rPr>
          <w:rFonts w:eastAsia="Palatino Linotype"/>
          <w:sz w:val="22"/>
          <w:szCs w:val="22"/>
          <w:lang w:val="es-ES"/>
        </w:rPr>
        <w:t xml:space="preserve"> </w:t>
      </w:r>
      <w:proofErr w:type="spellStart"/>
      <w:r>
        <w:rPr>
          <w:rFonts w:eastAsia="Palatino Linotype"/>
          <w:sz w:val="22"/>
          <w:szCs w:val="22"/>
          <w:lang w:val="es-ES"/>
        </w:rPr>
        <w:t>the</w:t>
      </w:r>
      <w:proofErr w:type="spellEnd"/>
      <w:r>
        <w:rPr>
          <w:rFonts w:eastAsia="Palatino Linotype"/>
          <w:sz w:val="22"/>
          <w:szCs w:val="22"/>
          <w:lang w:val="es-ES"/>
        </w:rPr>
        <w:t xml:space="preserve"> </w:t>
      </w:r>
      <w:proofErr w:type="spellStart"/>
      <w:r>
        <w:rPr>
          <w:rFonts w:eastAsia="Palatino Linotype"/>
          <w:sz w:val="22"/>
          <w:szCs w:val="22"/>
          <w:lang w:val="es-ES"/>
        </w:rPr>
        <w:t>supplier</w:t>
      </w:r>
      <w:proofErr w:type="spellEnd"/>
      <w:r>
        <w:rPr>
          <w:rFonts w:eastAsia="Palatino Linotype"/>
          <w:sz w:val="22"/>
          <w:szCs w:val="22"/>
          <w:lang w:val="es-ES"/>
        </w:rPr>
        <w:t xml:space="preserve"> </w:t>
      </w:r>
      <w:proofErr w:type="spellStart"/>
      <w:r>
        <w:rPr>
          <w:rFonts w:eastAsia="Palatino Linotype"/>
          <w:sz w:val="22"/>
          <w:szCs w:val="22"/>
          <w:lang w:val="es-ES"/>
        </w:rPr>
        <w:t>or</w:t>
      </w:r>
      <w:proofErr w:type="spellEnd"/>
      <w:r>
        <w:rPr>
          <w:rFonts w:eastAsia="Palatino Linotype"/>
          <w:sz w:val="22"/>
          <w:szCs w:val="22"/>
          <w:lang w:val="es-ES"/>
        </w:rPr>
        <w:t xml:space="preserve"> </w:t>
      </w:r>
      <w:proofErr w:type="spellStart"/>
      <w:r>
        <w:rPr>
          <w:rFonts w:eastAsia="Palatino Linotype"/>
          <w:sz w:val="22"/>
          <w:szCs w:val="22"/>
          <w:lang w:val="es-ES"/>
        </w:rPr>
        <w:t>its</w:t>
      </w:r>
      <w:proofErr w:type="spellEnd"/>
      <w:r>
        <w:rPr>
          <w:rFonts w:eastAsia="Palatino Linotype"/>
          <w:sz w:val="22"/>
          <w:szCs w:val="22"/>
          <w:lang w:val="es-ES"/>
        </w:rPr>
        <w:t xml:space="preserve"> </w:t>
      </w:r>
      <w:proofErr w:type="spellStart"/>
      <w:r>
        <w:rPr>
          <w:rFonts w:eastAsia="Palatino Linotype"/>
          <w:sz w:val="22"/>
          <w:szCs w:val="22"/>
          <w:lang w:val="es-ES"/>
        </w:rPr>
        <w:t>subcontractors</w:t>
      </w:r>
      <w:proofErr w:type="spellEnd"/>
      <w:r>
        <w:rPr>
          <w:rFonts w:eastAsia="Palatino Linotype"/>
          <w:sz w:val="22"/>
          <w:szCs w:val="22"/>
          <w:lang w:val="es-ES"/>
        </w:rPr>
        <w:t xml:space="preserve">, </w:t>
      </w:r>
      <w:proofErr w:type="spellStart"/>
      <w:r>
        <w:rPr>
          <w:rFonts w:eastAsia="Palatino Linotype"/>
          <w:sz w:val="22"/>
          <w:szCs w:val="22"/>
          <w:lang w:val="es-ES"/>
        </w:rPr>
        <w:t>the</w:t>
      </w:r>
      <w:proofErr w:type="spellEnd"/>
      <w:r>
        <w:rPr>
          <w:rFonts w:eastAsia="Palatino Linotype"/>
          <w:sz w:val="22"/>
          <w:szCs w:val="22"/>
          <w:lang w:val="es-ES"/>
        </w:rPr>
        <w:t xml:space="preserve"> </w:t>
      </w:r>
      <w:proofErr w:type="spellStart"/>
      <w:r>
        <w:rPr>
          <w:rFonts w:eastAsia="Palatino Linotype"/>
          <w:sz w:val="22"/>
          <w:szCs w:val="22"/>
          <w:lang w:val="es-ES"/>
        </w:rPr>
        <w:t>price</w:t>
      </w:r>
      <w:proofErr w:type="spellEnd"/>
      <w:r>
        <w:rPr>
          <w:rFonts w:eastAsia="Palatino Linotype"/>
          <w:sz w:val="22"/>
          <w:szCs w:val="22"/>
          <w:lang w:val="es-ES"/>
        </w:rPr>
        <w:t xml:space="preserve"> </w:t>
      </w:r>
      <w:proofErr w:type="spellStart"/>
      <w:r>
        <w:rPr>
          <w:rFonts w:eastAsia="Palatino Linotype"/>
          <w:sz w:val="22"/>
          <w:szCs w:val="22"/>
          <w:lang w:val="es-ES"/>
        </w:rPr>
        <w:t>adjustment</w:t>
      </w:r>
      <w:proofErr w:type="spellEnd"/>
      <w:r>
        <w:rPr>
          <w:rFonts w:eastAsia="Palatino Linotype"/>
          <w:sz w:val="22"/>
          <w:szCs w:val="22"/>
          <w:lang w:val="es-ES"/>
        </w:rPr>
        <w:t xml:space="preserve"> </w:t>
      </w:r>
      <w:proofErr w:type="spellStart"/>
      <w:r>
        <w:rPr>
          <w:rFonts w:eastAsia="Palatino Linotype"/>
          <w:sz w:val="22"/>
          <w:szCs w:val="22"/>
          <w:lang w:val="es-ES"/>
        </w:rPr>
        <w:t>will</w:t>
      </w:r>
      <w:proofErr w:type="spellEnd"/>
      <w:r>
        <w:rPr>
          <w:rFonts w:eastAsia="Palatino Linotype"/>
          <w:sz w:val="22"/>
          <w:szCs w:val="22"/>
          <w:lang w:val="es-ES"/>
        </w:rPr>
        <w:t xml:space="preserve"> be </w:t>
      </w:r>
      <w:proofErr w:type="spellStart"/>
      <w:r>
        <w:rPr>
          <w:rFonts w:eastAsia="Palatino Linotype"/>
          <w:sz w:val="22"/>
          <w:szCs w:val="22"/>
          <w:lang w:val="es-ES"/>
        </w:rPr>
        <w:t>calculated</w:t>
      </w:r>
      <w:proofErr w:type="spellEnd"/>
      <w:r>
        <w:rPr>
          <w:rFonts w:eastAsia="Palatino Linotype"/>
          <w:sz w:val="22"/>
          <w:szCs w:val="22"/>
          <w:lang w:val="es-ES"/>
        </w:rPr>
        <w:t xml:space="preserve"> </w:t>
      </w:r>
      <w:proofErr w:type="spellStart"/>
      <w:r>
        <w:rPr>
          <w:rFonts w:eastAsia="Palatino Linotype"/>
          <w:sz w:val="22"/>
          <w:szCs w:val="22"/>
          <w:lang w:val="es-ES"/>
        </w:rPr>
        <w:t>using</w:t>
      </w:r>
      <w:proofErr w:type="spellEnd"/>
      <w:r>
        <w:rPr>
          <w:rFonts w:eastAsia="Palatino Linotype"/>
          <w:sz w:val="22"/>
          <w:szCs w:val="22"/>
          <w:lang w:val="es-ES"/>
        </w:rPr>
        <w:t xml:space="preserve"> </w:t>
      </w:r>
      <w:proofErr w:type="spellStart"/>
      <w:r>
        <w:rPr>
          <w:rFonts w:eastAsia="Palatino Linotype"/>
          <w:sz w:val="22"/>
          <w:szCs w:val="22"/>
          <w:lang w:val="es-ES"/>
        </w:rPr>
        <w:t>the</w:t>
      </w:r>
      <w:proofErr w:type="spellEnd"/>
      <w:r>
        <w:rPr>
          <w:rFonts w:eastAsia="Palatino Linotype"/>
          <w:sz w:val="22"/>
          <w:szCs w:val="22"/>
          <w:lang w:val="es-ES"/>
        </w:rPr>
        <w:t xml:space="preserve"> </w:t>
      </w:r>
      <w:proofErr w:type="spellStart"/>
      <w:r>
        <w:rPr>
          <w:rFonts w:eastAsia="Palatino Linotype"/>
          <w:sz w:val="22"/>
          <w:szCs w:val="22"/>
          <w:lang w:val="es-ES"/>
        </w:rPr>
        <w:t>contractually</w:t>
      </w:r>
      <w:proofErr w:type="spellEnd"/>
      <w:r>
        <w:rPr>
          <w:rFonts w:eastAsia="Palatino Linotype"/>
          <w:sz w:val="22"/>
          <w:szCs w:val="22"/>
          <w:lang w:val="es-ES"/>
        </w:rPr>
        <w:t xml:space="preserve"> </w:t>
      </w:r>
      <w:proofErr w:type="spellStart"/>
      <w:r>
        <w:rPr>
          <w:rFonts w:eastAsia="Palatino Linotype"/>
          <w:sz w:val="22"/>
          <w:szCs w:val="22"/>
          <w:lang w:val="es-ES"/>
        </w:rPr>
        <w:t>agreed</w:t>
      </w:r>
      <w:proofErr w:type="spellEnd"/>
      <w:r>
        <w:rPr>
          <w:rFonts w:eastAsia="Palatino Linotype"/>
          <w:sz w:val="22"/>
          <w:szCs w:val="22"/>
          <w:lang w:val="es-ES"/>
        </w:rPr>
        <w:t xml:space="preserve"> </w:t>
      </w:r>
      <w:proofErr w:type="spellStart"/>
      <w:r>
        <w:rPr>
          <w:rFonts w:eastAsia="Palatino Linotype"/>
          <w:sz w:val="22"/>
          <w:szCs w:val="22"/>
          <w:lang w:val="es-ES"/>
        </w:rPr>
        <w:t>delivery</w:t>
      </w:r>
      <w:proofErr w:type="spellEnd"/>
      <w:r>
        <w:rPr>
          <w:rFonts w:eastAsia="Palatino Linotype"/>
          <w:sz w:val="22"/>
          <w:szCs w:val="22"/>
          <w:lang w:val="es-ES"/>
        </w:rPr>
        <w:t xml:space="preserve"> date. </w:t>
      </w:r>
      <w:proofErr w:type="spellStart"/>
      <w:r>
        <w:rPr>
          <w:rFonts w:eastAsia="Palatino Linotype"/>
          <w:sz w:val="22"/>
          <w:szCs w:val="22"/>
          <w:lang w:val="es-ES"/>
        </w:rPr>
        <w:t>However</w:t>
      </w:r>
      <w:proofErr w:type="spellEnd"/>
      <w:r>
        <w:rPr>
          <w:rFonts w:eastAsia="Palatino Linotype"/>
          <w:sz w:val="22"/>
          <w:szCs w:val="22"/>
          <w:lang w:val="es-ES"/>
        </w:rPr>
        <w:t xml:space="preserve">, </w:t>
      </w:r>
      <w:proofErr w:type="spellStart"/>
      <w:r>
        <w:rPr>
          <w:rFonts w:eastAsia="Palatino Linotype"/>
          <w:sz w:val="22"/>
          <w:szCs w:val="22"/>
          <w:lang w:val="es-ES"/>
        </w:rPr>
        <w:t>if</w:t>
      </w:r>
      <w:proofErr w:type="spellEnd"/>
      <w:r>
        <w:rPr>
          <w:rFonts w:eastAsia="Palatino Linotype"/>
          <w:sz w:val="22"/>
          <w:szCs w:val="22"/>
          <w:lang w:val="es-ES"/>
        </w:rPr>
        <w:t xml:space="preserve"> </w:t>
      </w:r>
      <w:proofErr w:type="spellStart"/>
      <w:r>
        <w:rPr>
          <w:rFonts w:eastAsia="Palatino Linotype"/>
          <w:sz w:val="22"/>
          <w:szCs w:val="22"/>
          <w:lang w:val="es-ES"/>
        </w:rPr>
        <w:t>this</w:t>
      </w:r>
      <w:proofErr w:type="spellEnd"/>
      <w:r>
        <w:rPr>
          <w:rFonts w:eastAsia="Palatino Linotype"/>
          <w:sz w:val="22"/>
          <w:szCs w:val="22"/>
          <w:lang w:val="es-ES"/>
        </w:rPr>
        <w:t xml:space="preserve"> </w:t>
      </w:r>
      <w:proofErr w:type="spellStart"/>
      <w:r>
        <w:rPr>
          <w:rFonts w:eastAsia="Palatino Linotype"/>
          <w:sz w:val="22"/>
          <w:szCs w:val="22"/>
          <w:lang w:val="es-ES"/>
        </w:rPr>
        <w:t>implies</w:t>
      </w:r>
      <w:proofErr w:type="spellEnd"/>
      <w:r>
        <w:rPr>
          <w:rFonts w:eastAsia="Palatino Linotype"/>
          <w:sz w:val="22"/>
          <w:szCs w:val="22"/>
          <w:lang w:val="es-ES"/>
        </w:rPr>
        <w:t xml:space="preserve"> a </w:t>
      </w:r>
      <w:proofErr w:type="spellStart"/>
      <w:r>
        <w:rPr>
          <w:rFonts w:eastAsia="Palatino Linotype"/>
          <w:sz w:val="22"/>
          <w:szCs w:val="22"/>
          <w:lang w:val="es-ES"/>
        </w:rPr>
        <w:t>greater</w:t>
      </w:r>
      <w:proofErr w:type="spellEnd"/>
      <w:r>
        <w:rPr>
          <w:rFonts w:eastAsia="Palatino Linotype"/>
          <w:sz w:val="22"/>
          <w:szCs w:val="22"/>
          <w:lang w:val="es-ES"/>
        </w:rPr>
        <w:t xml:space="preserve"> </w:t>
      </w:r>
      <w:proofErr w:type="spellStart"/>
      <w:r>
        <w:rPr>
          <w:rFonts w:eastAsia="Palatino Linotype"/>
          <w:sz w:val="22"/>
          <w:szCs w:val="22"/>
          <w:lang w:val="es-ES"/>
        </w:rPr>
        <w:t>expenditure</w:t>
      </w:r>
      <w:proofErr w:type="spellEnd"/>
      <w:r>
        <w:rPr>
          <w:rFonts w:eastAsia="Palatino Linotype"/>
          <w:sz w:val="22"/>
          <w:szCs w:val="22"/>
          <w:lang w:val="es-ES"/>
        </w:rPr>
        <w:t xml:space="preserve"> </w:t>
      </w:r>
      <w:proofErr w:type="spellStart"/>
      <w:r>
        <w:rPr>
          <w:rFonts w:eastAsia="Palatino Linotype"/>
          <w:sz w:val="22"/>
          <w:szCs w:val="22"/>
          <w:lang w:val="es-ES"/>
        </w:rPr>
        <w:t>for</w:t>
      </w:r>
      <w:proofErr w:type="spellEnd"/>
      <w:r>
        <w:rPr>
          <w:rFonts w:eastAsia="Palatino Linotype"/>
          <w:sz w:val="22"/>
          <w:szCs w:val="22"/>
          <w:lang w:val="es-ES"/>
        </w:rPr>
        <w:t xml:space="preserve"> </w:t>
      </w:r>
      <w:proofErr w:type="spellStart"/>
      <w:r>
        <w:rPr>
          <w:rFonts w:eastAsia="Palatino Linotype"/>
          <w:sz w:val="22"/>
          <w:szCs w:val="22"/>
          <w:lang w:val="es-ES"/>
        </w:rPr>
        <w:t>the</w:t>
      </w:r>
      <w:proofErr w:type="spellEnd"/>
      <w:r>
        <w:rPr>
          <w:rFonts w:eastAsia="Palatino Linotype"/>
          <w:sz w:val="22"/>
          <w:szCs w:val="22"/>
          <w:lang w:val="es-ES"/>
        </w:rPr>
        <w:t xml:space="preserve"> </w:t>
      </w:r>
      <w:proofErr w:type="spellStart"/>
      <w:r>
        <w:rPr>
          <w:rFonts w:eastAsia="Palatino Linotype"/>
          <w:sz w:val="22"/>
          <w:szCs w:val="22"/>
          <w:lang w:val="es-ES"/>
        </w:rPr>
        <w:t>Administration</w:t>
      </w:r>
      <w:proofErr w:type="spellEnd"/>
      <w:r>
        <w:rPr>
          <w:rFonts w:eastAsia="Palatino Linotype"/>
          <w:sz w:val="22"/>
          <w:szCs w:val="22"/>
          <w:lang w:val="es-ES"/>
        </w:rPr>
        <w:t xml:space="preserve">, </w:t>
      </w:r>
      <w:proofErr w:type="spellStart"/>
      <w:r>
        <w:rPr>
          <w:rFonts w:eastAsia="Palatino Linotype"/>
          <w:sz w:val="22"/>
          <w:szCs w:val="22"/>
          <w:lang w:val="es-ES"/>
        </w:rPr>
        <w:t>it</w:t>
      </w:r>
      <w:proofErr w:type="spellEnd"/>
      <w:r>
        <w:rPr>
          <w:rFonts w:eastAsia="Palatino Linotype"/>
          <w:sz w:val="22"/>
          <w:szCs w:val="22"/>
          <w:lang w:val="es-ES"/>
        </w:rPr>
        <w:t xml:space="preserve"> </w:t>
      </w:r>
      <w:proofErr w:type="spellStart"/>
      <w:r>
        <w:rPr>
          <w:rFonts w:eastAsia="Palatino Linotype"/>
          <w:sz w:val="22"/>
          <w:szCs w:val="22"/>
          <w:lang w:val="es-ES"/>
        </w:rPr>
        <w:t>will</w:t>
      </w:r>
      <w:proofErr w:type="spellEnd"/>
      <w:r>
        <w:rPr>
          <w:rFonts w:eastAsia="Palatino Linotype"/>
          <w:sz w:val="22"/>
          <w:szCs w:val="22"/>
          <w:lang w:val="es-ES"/>
        </w:rPr>
        <w:t xml:space="preserve"> be </w:t>
      </w:r>
      <w:proofErr w:type="spellStart"/>
      <w:r>
        <w:rPr>
          <w:rFonts w:eastAsia="Palatino Linotype"/>
          <w:sz w:val="22"/>
          <w:szCs w:val="22"/>
          <w:lang w:val="es-ES"/>
        </w:rPr>
        <w:t>adjusted</w:t>
      </w:r>
      <w:proofErr w:type="spellEnd"/>
      <w:r>
        <w:rPr>
          <w:rFonts w:eastAsia="Palatino Linotype"/>
          <w:sz w:val="22"/>
          <w:szCs w:val="22"/>
          <w:lang w:val="es-ES"/>
        </w:rPr>
        <w:t xml:space="preserve"> </w:t>
      </w:r>
      <w:proofErr w:type="spellStart"/>
      <w:r>
        <w:rPr>
          <w:rFonts w:eastAsia="Palatino Linotype"/>
          <w:sz w:val="22"/>
          <w:szCs w:val="22"/>
          <w:lang w:val="es-ES"/>
        </w:rPr>
        <w:t>to</w:t>
      </w:r>
      <w:proofErr w:type="spellEnd"/>
      <w:r>
        <w:rPr>
          <w:rFonts w:eastAsia="Palatino Linotype"/>
          <w:sz w:val="22"/>
          <w:szCs w:val="22"/>
          <w:lang w:val="es-ES"/>
        </w:rPr>
        <w:t xml:space="preserve"> </w:t>
      </w:r>
      <w:proofErr w:type="spellStart"/>
      <w:r>
        <w:rPr>
          <w:rFonts w:eastAsia="Palatino Linotype"/>
          <w:sz w:val="22"/>
          <w:szCs w:val="22"/>
          <w:lang w:val="es-ES"/>
        </w:rPr>
        <w:t>the</w:t>
      </w:r>
      <w:proofErr w:type="spellEnd"/>
      <w:r>
        <w:rPr>
          <w:rFonts w:eastAsia="Palatino Linotype"/>
          <w:sz w:val="22"/>
          <w:szCs w:val="22"/>
          <w:lang w:val="es-ES"/>
        </w:rPr>
        <w:t xml:space="preserve"> actual </w:t>
      </w:r>
      <w:proofErr w:type="spellStart"/>
      <w:r>
        <w:rPr>
          <w:rFonts w:eastAsia="Palatino Linotype"/>
          <w:sz w:val="22"/>
          <w:szCs w:val="22"/>
          <w:lang w:val="es-ES"/>
        </w:rPr>
        <w:t>delivery</w:t>
      </w:r>
      <w:proofErr w:type="spellEnd"/>
      <w:r>
        <w:rPr>
          <w:rFonts w:eastAsia="Palatino Linotype"/>
          <w:sz w:val="22"/>
          <w:szCs w:val="22"/>
          <w:lang w:val="es-ES"/>
        </w:rPr>
        <w:t xml:space="preserve"> date.</w:t>
      </w:r>
    </w:p>
    <w:p w14:paraId="6F581C5F" w14:textId="77777777" w:rsidR="00E255F4" w:rsidRDefault="00E255F4">
      <w:pPr>
        <w:ind w:right="-142"/>
        <w:jc w:val="both"/>
        <w:rPr>
          <w:rFonts w:eastAsia="Palatino Linotype"/>
          <w:sz w:val="22"/>
          <w:szCs w:val="22"/>
          <w:lang w:val="es-ES"/>
        </w:rPr>
      </w:pPr>
    </w:p>
    <w:p w14:paraId="22455EAD" w14:textId="77777777" w:rsidR="00E255F4" w:rsidRDefault="00000000">
      <w:pPr>
        <w:ind w:right="-142"/>
        <w:jc w:val="both"/>
        <w:rPr>
          <w:rFonts w:eastAsia="Palatino Linotype"/>
          <w:sz w:val="22"/>
          <w:szCs w:val="22"/>
          <w:lang w:val="es-ES"/>
        </w:rPr>
      </w:pPr>
      <w:r>
        <w:rPr>
          <w:rFonts w:eastAsia="Palatino Linotype"/>
          <w:sz w:val="22"/>
          <w:szCs w:val="22"/>
          <w:lang w:val="es-ES"/>
        </w:rPr>
        <w:t xml:space="preserve">The </w:t>
      </w:r>
      <w:proofErr w:type="spellStart"/>
      <w:r>
        <w:rPr>
          <w:rFonts w:eastAsia="Palatino Linotype"/>
          <w:sz w:val="22"/>
          <w:szCs w:val="22"/>
          <w:lang w:val="es-ES"/>
        </w:rPr>
        <w:t>same</w:t>
      </w:r>
      <w:proofErr w:type="spellEnd"/>
      <w:r>
        <w:rPr>
          <w:rFonts w:eastAsia="Palatino Linotype"/>
          <w:sz w:val="22"/>
          <w:szCs w:val="22"/>
          <w:lang w:val="es-ES"/>
        </w:rPr>
        <w:t xml:space="preserve"> </w:t>
      </w:r>
      <w:proofErr w:type="spellStart"/>
      <w:r>
        <w:rPr>
          <w:rFonts w:eastAsia="Palatino Linotype"/>
          <w:sz w:val="22"/>
          <w:szCs w:val="22"/>
          <w:lang w:val="es-ES"/>
        </w:rPr>
        <w:t>parametric</w:t>
      </w:r>
      <w:proofErr w:type="spellEnd"/>
      <w:r>
        <w:rPr>
          <w:rFonts w:eastAsia="Palatino Linotype"/>
          <w:sz w:val="22"/>
          <w:szCs w:val="22"/>
          <w:lang w:val="es-ES"/>
        </w:rPr>
        <w:t xml:space="preserve"> formula can be </w:t>
      </w:r>
      <w:proofErr w:type="spellStart"/>
      <w:r>
        <w:rPr>
          <w:rFonts w:eastAsia="Palatino Linotype"/>
          <w:sz w:val="22"/>
          <w:szCs w:val="22"/>
          <w:lang w:val="es-ES"/>
        </w:rPr>
        <w:t>applied</w:t>
      </w:r>
      <w:proofErr w:type="spellEnd"/>
      <w:r>
        <w:rPr>
          <w:rFonts w:eastAsia="Palatino Linotype"/>
          <w:sz w:val="22"/>
          <w:szCs w:val="22"/>
          <w:lang w:val="es-ES"/>
        </w:rPr>
        <w:t xml:space="preserve"> in </w:t>
      </w:r>
      <w:proofErr w:type="spellStart"/>
      <w:r>
        <w:rPr>
          <w:rFonts w:eastAsia="Palatino Linotype"/>
          <w:sz w:val="22"/>
          <w:szCs w:val="22"/>
          <w:lang w:val="es-ES"/>
        </w:rPr>
        <w:t>the</w:t>
      </w:r>
      <w:proofErr w:type="spellEnd"/>
      <w:r>
        <w:rPr>
          <w:rFonts w:eastAsia="Palatino Linotype"/>
          <w:sz w:val="22"/>
          <w:szCs w:val="22"/>
          <w:lang w:val="es-ES"/>
        </w:rPr>
        <w:t xml:space="preserve"> case </w:t>
      </w:r>
      <w:proofErr w:type="spellStart"/>
      <w:r>
        <w:rPr>
          <w:rFonts w:eastAsia="Palatino Linotype"/>
          <w:sz w:val="22"/>
          <w:szCs w:val="22"/>
          <w:lang w:val="es-ES"/>
        </w:rPr>
        <w:t>of</w:t>
      </w:r>
      <w:proofErr w:type="spellEnd"/>
      <w:r>
        <w:rPr>
          <w:rFonts w:eastAsia="Palatino Linotype"/>
          <w:sz w:val="22"/>
          <w:szCs w:val="22"/>
          <w:lang w:val="es-ES"/>
        </w:rPr>
        <w:t xml:space="preserve"> late </w:t>
      </w:r>
      <w:proofErr w:type="spellStart"/>
      <w:r>
        <w:rPr>
          <w:rFonts w:eastAsia="Palatino Linotype"/>
          <w:sz w:val="22"/>
          <w:szCs w:val="22"/>
          <w:lang w:val="es-ES"/>
        </w:rPr>
        <w:t>payment</w:t>
      </w:r>
      <w:proofErr w:type="spellEnd"/>
      <w:r>
        <w:rPr>
          <w:rFonts w:eastAsia="Palatino Linotype"/>
          <w:sz w:val="22"/>
          <w:szCs w:val="22"/>
          <w:lang w:val="es-ES"/>
        </w:rPr>
        <w:t>.</w:t>
      </w:r>
    </w:p>
    <w:p w14:paraId="5A4DD78E" w14:textId="77777777" w:rsidR="00E255F4" w:rsidRDefault="00E255F4">
      <w:pPr>
        <w:ind w:right="-142"/>
        <w:jc w:val="both"/>
        <w:rPr>
          <w:rFonts w:eastAsia="Palatino Linotype"/>
          <w:sz w:val="22"/>
          <w:szCs w:val="22"/>
          <w:lang w:val="es-ES"/>
        </w:rPr>
      </w:pPr>
    </w:p>
    <w:p w14:paraId="77535214" w14:textId="77777777" w:rsidR="00E255F4" w:rsidRDefault="00000000">
      <w:pPr>
        <w:ind w:right="-142"/>
        <w:jc w:val="both"/>
        <w:rPr>
          <w:rFonts w:eastAsia="Palatino Linotype"/>
          <w:sz w:val="22"/>
          <w:szCs w:val="22"/>
          <w:lang w:val="es-ES"/>
        </w:rPr>
      </w:pPr>
      <w:proofErr w:type="spellStart"/>
      <w:r>
        <w:rPr>
          <w:rFonts w:eastAsia="Palatino Linotype"/>
          <w:spacing w:val="-1"/>
          <w:sz w:val="22"/>
          <w:szCs w:val="22"/>
          <w:lang w:val="es-ES"/>
        </w:rPr>
        <w:t>It</w:t>
      </w:r>
      <w:r>
        <w:rPr>
          <w:rFonts w:eastAsia="Palatino Linotype"/>
          <w:sz w:val="22"/>
          <w:szCs w:val="22"/>
          <w:lang w:val="es-ES"/>
        </w:rPr>
        <w:t>The</w:t>
      </w:r>
      <w:proofErr w:type="spellEnd"/>
      <w:r>
        <w:rPr>
          <w:rFonts w:eastAsia="Palatino Linotype"/>
          <w:sz w:val="22"/>
          <w:szCs w:val="22"/>
          <w:lang w:val="es-ES"/>
        </w:rPr>
        <w:t xml:space="preserve"> </w:t>
      </w:r>
      <w:proofErr w:type="spellStart"/>
      <w:r>
        <w:rPr>
          <w:rFonts w:eastAsia="Palatino Linotype"/>
          <w:sz w:val="22"/>
          <w:szCs w:val="22"/>
          <w:lang w:val="es-ES"/>
        </w:rPr>
        <w:t>values</w:t>
      </w:r>
      <w:proofErr w:type="spellEnd"/>
      <w:r>
        <w:rPr>
          <w:rFonts w:eastAsia="Palatino Linotype"/>
          <w:sz w:val="22"/>
          <w:szCs w:val="22"/>
          <w:lang w:val="es-ES"/>
        </w:rPr>
        <w:t xml:space="preserve"> ​​</w:t>
      </w:r>
      <w:proofErr w:type="spellStart"/>
      <w:r>
        <w:rPr>
          <w:rFonts w:eastAsia="Palatino Linotype"/>
          <w:sz w:val="22"/>
          <w:szCs w:val="22"/>
          <w:lang w:val="es-ES"/>
        </w:rPr>
        <w:t>of</w:t>
      </w:r>
      <w:proofErr w:type="spellEnd"/>
      <w:r>
        <w:rPr>
          <w:rFonts w:eastAsia="Palatino Linotype"/>
          <w:sz w:val="22"/>
          <w:szCs w:val="22"/>
          <w:lang w:val="es-ES"/>
        </w:rPr>
        <w:t xml:space="preserve"> </w:t>
      </w:r>
      <w:proofErr w:type="spellStart"/>
      <w:r>
        <w:rPr>
          <w:rFonts w:eastAsia="Palatino Linotype"/>
          <w:sz w:val="22"/>
          <w:szCs w:val="22"/>
          <w:lang w:val="es-ES"/>
        </w:rPr>
        <w:t>all</w:t>
      </w:r>
      <w:proofErr w:type="spellEnd"/>
      <w:r>
        <w:rPr>
          <w:rFonts w:eastAsia="Palatino Linotype"/>
          <w:sz w:val="22"/>
          <w:szCs w:val="22"/>
          <w:lang w:val="es-ES"/>
        </w:rPr>
        <w:t xml:space="preserve"> </w:t>
      </w:r>
      <w:proofErr w:type="spellStart"/>
      <w:r>
        <w:rPr>
          <w:rFonts w:eastAsia="Palatino Linotype"/>
          <w:sz w:val="22"/>
          <w:szCs w:val="22"/>
          <w:lang w:val="es-ES"/>
        </w:rPr>
        <w:t>parameters</w:t>
      </w:r>
      <w:proofErr w:type="spellEnd"/>
      <w:r>
        <w:rPr>
          <w:rFonts w:eastAsia="Palatino Linotype"/>
          <w:sz w:val="22"/>
          <w:szCs w:val="22"/>
          <w:lang w:val="es-ES"/>
        </w:rPr>
        <w:t xml:space="preserve"> </w:t>
      </w:r>
      <w:proofErr w:type="spellStart"/>
      <w:r>
        <w:rPr>
          <w:rFonts w:eastAsia="Palatino Linotype"/>
          <w:sz w:val="22"/>
          <w:szCs w:val="22"/>
          <w:lang w:val="es-ES"/>
        </w:rPr>
        <w:t>included</w:t>
      </w:r>
      <w:proofErr w:type="spellEnd"/>
      <w:r>
        <w:rPr>
          <w:rFonts w:eastAsia="Palatino Linotype"/>
          <w:sz w:val="22"/>
          <w:szCs w:val="22"/>
          <w:lang w:val="es-ES"/>
        </w:rPr>
        <w:t xml:space="preserve"> in </w:t>
      </w:r>
      <w:proofErr w:type="spellStart"/>
      <w:r>
        <w:rPr>
          <w:rFonts w:eastAsia="Palatino Linotype"/>
          <w:sz w:val="22"/>
          <w:szCs w:val="22"/>
          <w:lang w:val="es-ES"/>
        </w:rPr>
        <w:t>the</w:t>
      </w:r>
      <w:proofErr w:type="spellEnd"/>
      <w:r>
        <w:rPr>
          <w:rFonts w:eastAsia="Palatino Linotype"/>
          <w:sz w:val="22"/>
          <w:szCs w:val="22"/>
          <w:lang w:val="es-ES"/>
        </w:rPr>
        <w:t xml:space="preserve"> </w:t>
      </w:r>
      <w:proofErr w:type="spellStart"/>
      <w:r>
        <w:rPr>
          <w:rFonts w:eastAsia="Palatino Linotype"/>
          <w:sz w:val="22"/>
          <w:szCs w:val="22"/>
          <w:lang w:val="es-ES"/>
        </w:rPr>
        <w:t>adjustment</w:t>
      </w:r>
      <w:proofErr w:type="spellEnd"/>
      <w:r>
        <w:rPr>
          <w:rFonts w:eastAsia="Palatino Linotype"/>
          <w:sz w:val="22"/>
          <w:szCs w:val="22"/>
          <w:lang w:val="es-ES"/>
        </w:rPr>
        <w:t xml:space="preserve"> formula </w:t>
      </w:r>
      <w:proofErr w:type="spellStart"/>
      <w:r>
        <w:rPr>
          <w:rFonts w:eastAsia="Palatino Linotype"/>
          <w:sz w:val="22"/>
          <w:szCs w:val="22"/>
          <w:lang w:val="es-ES"/>
        </w:rPr>
        <w:t>must</w:t>
      </w:r>
      <w:proofErr w:type="spellEnd"/>
      <w:r>
        <w:rPr>
          <w:rFonts w:eastAsia="Palatino Linotype"/>
          <w:sz w:val="22"/>
          <w:szCs w:val="22"/>
          <w:lang w:val="es-ES"/>
        </w:rPr>
        <w:t xml:space="preserve"> be </w:t>
      </w:r>
      <w:proofErr w:type="spellStart"/>
      <w:r>
        <w:rPr>
          <w:rFonts w:eastAsia="Palatino Linotype"/>
          <w:sz w:val="22"/>
          <w:szCs w:val="22"/>
          <w:lang w:val="es-ES"/>
        </w:rPr>
        <w:t>documented</w:t>
      </w:r>
      <w:proofErr w:type="spellEnd"/>
      <w:r>
        <w:rPr>
          <w:rFonts w:eastAsia="Palatino Linotype"/>
          <w:sz w:val="22"/>
          <w:szCs w:val="22"/>
          <w:lang w:val="es-ES"/>
        </w:rPr>
        <w:t xml:space="preserve"> </w:t>
      </w:r>
      <w:proofErr w:type="spellStart"/>
      <w:r>
        <w:rPr>
          <w:rFonts w:eastAsia="Palatino Linotype"/>
          <w:sz w:val="22"/>
          <w:szCs w:val="22"/>
          <w:lang w:val="es-ES"/>
        </w:rPr>
        <w:t>by</w:t>
      </w:r>
      <w:proofErr w:type="spellEnd"/>
      <w:r>
        <w:rPr>
          <w:rFonts w:eastAsia="Palatino Linotype"/>
          <w:sz w:val="22"/>
          <w:szCs w:val="22"/>
          <w:lang w:val="es-ES"/>
        </w:rPr>
        <w:t xml:space="preserve"> </w:t>
      </w:r>
      <w:proofErr w:type="spellStart"/>
      <w:r>
        <w:rPr>
          <w:rFonts w:eastAsia="Palatino Linotype"/>
          <w:sz w:val="22"/>
          <w:szCs w:val="22"/>
          <w:lang w:val="es-ES"/>
        </w:rPr>
        <w:t>official</w:t>
      </w:r>
      <w:proofErr w:type="spellEnd"/>
      <w:r>
        <w:rPr>
          <w:rFonts w:eastAsia="Palatino Linotype"/>
          <w:sz w:val="22"/>
          <w:szCs w:val="22"/>
          <w:lang w:val="es-ES"/>
        </w:rPr>
        <w:t xml:space="preserve"> </w:t>
      </w:r>
      <w:proofErr w:type="spellStart"/>
      <w:r>
        <w:rPr>
          <w:rFonts w:eastAsia="Palatino Linotype"/>
          <w:sz w:val="22"/>
          <w:szCs w:val="22"/>
          <w:lang w:val="es-ES"/>
        </w:rPr>
        <w:t>publications</w:t>
      </w:r>
      <w:proofErr w:type="spellEnd"/>
      <w:r>
        <w:rPr>
          <w:rFonts w:eastAsia="Palatino Linotype"/>
          <w:sz w:val="22"/>
          <w:szCs w:val="22"/>
          <w:lang w:val="es-ES"/>
        </w:rPr>
        <w:t xml:space="preserve"> </w:t>
      </w:r>
      <w:proofErr w:type="spellStart"/>
      <w:r>
        <w:rPr>
          <w:rFonts w:eastAsia="Palatino Linotype"/>
          <w:sz w:val="22"/>
          <w:szCs w:val="22"/>
          <w:lang w:val="es-ES"/>
        </w:rPr>
        <w:t>or</w:t>
      </w:r>
      <w:proofErr w:type="spellEnd"/>
      <w:r>
        <w:rPr>
          <w:rFonts w:eastAsia="Palatino Linotype"/>
          <w:sz w:val="22"/>
          <w:szCs w:val="22"/>
          <w:lang w:val="es-ES"/>
        </w:rPr>
        <w:t xml:space="preserve"> </w:t>
      </w:r>
      <w:proofErr w:type="spellStart"/>
      <w:r>
        <w:rPr>
          <w:rFonts w:eastAsia="Palatino Linotype"/>
          <w:sz w:val="22"/>
          <w:szCs w:val="22"/>
          <w:lang w:val="es-ES"/>
        </w:rPr>
        <w:t>publications</w:t>
      </w:r>
      <w:proofErr w:type="spellEnd"/>
      <w:r>
        <w:rPr>
          <w:rFonts w:eastAsia="Palatino Linotype"/>
          <w:sz w:val="22"/>
          <w:szCs w:val="22"/>
          <w:lang w:val="es-ES"/>
        </w:rPr>
        <w:t xml:space="preserve"> </w:t>
      </w:r>
      <w:proofErr w:type="spellStart"/>
      <w:r>
        <w:rPr>
          <w:rFonts w:eastAsia="Palatino Linotype"/>
          <w:sz w:val="22"/>
          <w:szCs w:val="22"/>
          <w:lang w:val="es-ES"/>
        </w:rPr>
        <w:t>deemed</w:t>
      </w:r>
      <w:proofErr w:type="spellEnd"/>
      <w:r>
        <w:rPr>
          <w:rFonts w:eastAsia="Palatino Linotype"/>
          <w:sz w:val="22"/>
          <w:szCs w:val="22"/>
          <w:lang w:val="es-ES"/>
        </w:rPr>
        <w:t xml:space="preserve"> </w:t>
      </w:r>
      <w:proofErr w:type="spellStart"/>
      <w:r>
        <w:rPr>
          <w:rFonts w:eastAsia="Palatino Linotype"/>
          <w:sz w:val="22"/>
          <w:szCs w:val="22"/>
          <w:lang w:val="es-ES"/>
        </w:rPr>
        <w:t>reliable</w:t>
      </w:r>
      <w:proofErr w:type="spellEnd"/>
      <w:r>
        <w:rPr>
          <w:rFonts w:eastAsia="Palatino Linotype"/>
          <w:sz w:val="22"/>
          <w:szCs w:val="22"/>
          <w:lang w:val="es-ES"/>
        </w:rPr>
        <w:t xml:space="preserve"> </w:t>
      </w:r>
      <w:proofErr w:type="spellStart"/>
      <w:r>
        <w:rPr>
          <w:rFonts w:eastAsia="Palatino Linotype"/>
          <w:sz w:val="22"/>
          <w:szCs w:val="22"/>
          <w:lang w:val="es-ES"/>
        </w:rPr>
        <w:t>by</w:t>
      </w:r>
      <w:proofErr w:type="spellEnd"/>
      <w:r>
        <w:rPr>
          <w:rFonts w:eastAsia="Palatino Linotype"/>
          <w:sz w:val="22"/>
          <w:szCs w:val="22"/>
          <w:lang w:val="es-ES"/>
        </w:rPr>
        <w:t xml:space="preserve"> </w:t>
      </w:r>
      <w:proofErr w:type="spellStart"/>
      <w:r>
        <w:rPr>
          <w:rFonts w:eastAsia="Palatino Linotype"/>
          <w:sz w:val="22"/>
          <w:szCs w:val="22"/>
          <w:lang w:val="es-ES"/>
        </w:rPr>
        <w:t>the</w:t>
      </w:r>
      <w:proofErr w:type="spellEnd"/>
      <w:r>
        <w:rPr>
          <w:rFonts w:eastAsia="Palatino Linotype"/>
          <w:sz w:val="22"/>
          <w:szCs w:val="22"/>
          <w:lang w:val="es-ES"/>
        </w:rPr>
        <w:t xml:space="preserve"> </w:t>
      </w:r>
      <w:proofErr w:type="spellStart"/>
      <w:r>
        <w:rPr>
          <w:rFonts w:eastAsia="Palatino Linotype"/>
          <w:sz w:val="22"/>
          <w:szCs w:val="22"/>
          <w:lang w:val="es-ES"/>
        </w:rPr>
        <w:t>Administration</w:t>
      </w:r>
      <w:proofErr w:type="spellEnd"/>
      <w:r>
        <w:rPr>
          <w:rFonts w:eastAsia="Palatino Linotype"/>
          <w:sz w:val="22"/>
          <w:szCs w:val="22"/>
          <w:lang w:val="es-ES"/>
        </w:rPr>
        <w:t xml:space="preserve">. </w:t>
      </w:r>
      <w:proofErr w:type="spellStart"/>
      <w:r>
        <w:rPr>
          <w:rFonts w:eastAsia="Palatino Linotype"/>
          <w:sz w:val="22"/>
          <w:szCs w:val="22"/>
          <w:lang w:val="es-ES"/>
        </w:rPr>
        <w:t>These</w:t>
      </w:r>
      <w:proofErr w:type="spellEnd"/>
      <w:r>
        <w:rPr>
          <w:rFonts w:eastAsia="Palatino Linotype"/>
          <w:sz w:val="22"/>
          <w:szCs w:val="22"/>
          <w:lang w:val="es-ES"/>
        </w:rPr>
        <w:t xml:space="preserve"> </w:t>
      </w:r>
      <w:proofErr w:type="spellStart"/>
      <w:r>
        <w:rPr>
          <w:rFonts w:eastAsia="Palatino Linotype"/>
          <w:sz w:val="22"/>
          <w:szCs w:val="22"/>
          <w:lang w:val="es-ES"/>
        </w:rPr>
        <w:t>publications</w:t>
      </w:r>
      <w:proofErr w:type="spellEnd"/>
      <w:r>
        <w:rPr>
          <w:rFonts w:eastAsia="Palatino Linotype"/>
          <w:sz w:val="22"/>
          <w:szCs w:val="22"/>
          <w:lang w:val="es-ES"/>
        </w:rPr>
        <w:t xml:space="preserve"> </w:t>
      </w:r>
      <w:proofErr w:type="spellStart"/>
      <w:r>
        <w:rPr>
          <w:rFonts w:eastAsia="Palatino Linotype"/>
          <w:sz w:val="22"/>
          <w:szCs w:val="22"/>
          <w:lang w:val="es-ES"/>
        </w:rPr>
        <w:t>must</w:t>
      </w:r>
      <w:proofErr w:type="spellEnd"/>
      <w:r>
        <w:rPr>
          <w:rFonts w:eastAsia="Palatino Linotype"/>
          <w:sz w:val="22"/>
          <w:szCs w:val="22"/>
          <w:lang w:val="es-ES"/>
        </w:rPr>
        <w:t xml:space="preserve"> be </w:t>
      </w:r>
      <w:proofErr w:type="spellStart"/>
      <w:r>
        <w:rPr>
          <w:rFonts w:eastAsia="Palatino Linotype"/>
          <w:sz w:val="22"/>
          <w:szCs w:val="22"/>
          <w:lang w:val="es-ES"/>
        </w:rPr>
        <w:t>clearly</w:t>
      </w:r>
      <w:proofErr w:type="spellEnd"/>
      <w:r>
        <w:rPr>
          <w:rFonts w:eastAsia="Palatino Linotype"/>
          <w:sz w:val="22"/>
          <w:szCs w:val="22"/>
          <w:lang w:val="es-ES"/>
        </w:rPr>
        <w:t xml:space="preserve"> </w:t>
      </w:r>
      <w:proofErr w:type="spellStart"/>
      <w:r>
        <w:rPr>
          <w:rFonts w:eastAsia="Palatino Linotype"/>
          <w:sz w:val="22"/>
          <w:szCs w:val="22"/>
          <w:lang w:val="es-ES"/>
        </w:rPr>
        <w:t>defined</w:t>
      </w:r>
      <w:proofErr w:type="spellEnd"/>
      <w:r>
        <w:rPr>
          <w:rFonts w:eastAsia="Palatino Linotype"/>
          <w:sz w:val="22"/>
          <w:szCs w:val="22"/>
          <w:lang w:val="es-ES"/>
        </w:rPr>
        <w:t xml:space="preserve"> in </w:t>
      </w:r>
      <w:proofErr w:type="spellStart"/>
      <w:r>
        <w:rPr>
          <w:rFonts w:eastAsia="Palatino Linotype"/>
          <w:sz w:val="22"/>
          <w:szCs w:val="22"/>
          <w:lang w:val="es-ES"/>
        </w:rPr>
        <w:t>the</w:t>
      </w:r>
      <w:proofErr w:type="spellEnd"/>
      <w:r>
        <w:rPr>
          <w:rFonts w:eastAsia="Palatino Linotype"/>
          <w:sz w:val="22"/>
          <w:szCs w:val="22"/>
          <w:lang w:val="es-ES"/>
        </w:rPr>
        <w:t xml:space="preserve"> </w:t>
      </w:r>
      <w:proofErr w:type="spellStart"/>
      <w:r>
        <w:rPr>
          <w:rFonts w:eastAsia="Palatino Linotype"/>
          <w:sz w:val="22"/>
          <w:szCs w:val="22"/>
          <w:lang w:val="es-ES"/>
        </w:rPr>
        <w:t>offer</w:t>
      </w:r>
      <w:proofErr w:type="spellEnd"/>
      <w:r>
        <w:rPr>
          <w:rFonts w:eastAsia="Palatino Linotype"/>
          <w:sz w:val="22"/>
          <w:szCs w:val="22"/>
          <w:lang w:val="es-ES"/>
        </w:rPr>
        <w:t xml:space="preserve">, and </w:t>
      </w:r>
      <w:proofErr w:type="spellStart"/>
      <w:r>
        <w:rPr>
          <w:rFonts w:eastAsia="Palatino Linotype"/>
          <w:sz w:val="22"/>
          <w:szCs w:val="22"/>
          <w:lang w:val="es-ES"/>
        </w:rPr>
        <w:t>if</w:t>
      </w:r>
      <w:proofErr w:type="spellEnd"/>
      <w:r>
        <w:rPr>
          <w:rFonts w:eastAsia="Palatino Linotype"/>
          <w:sz w:val="22"/>
          <w:szCs w:val="22"/>
          <w:lang w:val="es-ES"/>
        </w:rPr>
        <w:t xml:space="preserve"> </w:t>
      </w:r>
      <w:proofErr w:type="spellStart"/>
      <w:r>
        <w:rPr>
          <w:rFonts w:eastAsia="Palatino Linotype"/>
          <w:sz w:val="22"/>
          <w:szCs w:val="22"/>
          <w:lang w:val="es-ES"/>
        </w:rPr>
        <w:t>they</w:t>
      </w:r>
      <w:proofErr w:type="spellEnd"/>
      <w:r>
        <w:rPr>
          <w:rFonts w:eastAsia="Palatino Linotype"/>
          <w:sz w:val="22"/>
          <w:szCs w:val="22"/>
          <w:lang w:val="es-ES"/>
        </w:rPr>
        <w:t xml:space="preserve"> are </w:t>
      </w:r>
      <w:proofErr w:type="spellStart"/>
      <w:r>
        <w:rPr>
          <w:rFonts w:eastAsia="Palatino Linotype"/>
          <w:sz w:val="22"/>
          <w:szCs w:val="22"/>
          <w:lang w:val="es-ES"/>
        </w:rPr>
        <w:t>from</w:t>
      </w:r>
      <w:proofErr w:type="spellEnd"/>
      <w:r>
        <w:rPr>
          <w:rFonts w:eastAsia="Palatino Linotype"/>
          <w:sz w:val="22"/>
          <w:szCs w:val="22"/>
          <w:lang w:val="es-ES"/>
        </w:rPr>
        <w:t xml:space="preserve"> </w:t>
      </w:r>
      <w:proofErr w:type="spellStart"/>
      <w:r>
        <w:rPr>
          <w:rFonts w:eastAsia="Palatino Linotype"/>
          <w:sz w:val="22"/>
          <w:szCs w:val="22"/>
          <w:lang w:val="es-ES"/>
        </w:rPr>
        <w:t>abroad</w:t>
      </w:r>
      <w:proofErr w:type="spellEnd"/>
      <w:r>
        <w:rPr>
          <w:rFonts w:eastAsia="Palatino Linotype"/>
          <w:sz w:val="22"/>
          <w:szCs w:val="22"/>
          <w:lang w:val="es-ES"/>
        </w:rPr>
        <w:t xml:space="preserve">, a </w:t>
      </w:r>
      <w:proofErr w:type="spellStart"/>
      <w:r>
        <w:rPr>
          <w:rFonts w:eastAsia="Palatino Linotype"/>
          <w:sz w:val="22"/>
          <w:szCs w:val="22"/>
          <w:lang w:val="es-ES"/>
        </w:rPr>
        <w:t>copy</w:t>
      </w:r>
      <w:proofErr w:type="spellEnd"/>
      <w:r>
        <w:rPr>
          <w:rFonts w:eastAsia="Palatino Linotype"/>
          <w:sz w:val="22"/>
          <w:szCs w:val="22"/>
          <w:lang w:val="es-ES"/>
        </w:rPr>
        <w:t xml:space="preserve"> </w:t>
      </w:r>
      <w:proofErr w:type="spellStart"/>
      <w:r>
        <w:rPr>
          <w:rFonts w:eastAsia="Palatino Linotype"/>
          <w:sz w:val="22"/>
          <w:szCs w:val="22"/>
          <w:lang w:val="es-ES"/>
        </w:rPr>
        <w:t>of</w:t>
      </w:r>
      <w:proofErr w:type="spellEnd"/>
      <w:r>
        <w:rPr>
          <w:rFonts w:eastAsia="Palatino Linotype"/>
          <w:sz w:val="22"/>
          <w:szCs w:val="22"/>
          <w:lang w:val="es-ES"/>
        </w:rPr>
        <w:t xml:space="preserve"> </w:t>
      </w:r>
      <w:proofErr w:type="spellStart"/>
      <w:r>
        <w:rPr>
          <w:rFonts w:eastAsia="Palatino Linotype"/>
          <w:sz w:val="22"/>
          <w:szCs w:val="22"/>
          <w:lang w:val="es-ES"/>
        </w:rPr>
        <w:t>each</w:t>
      </w:r>
      <w:proofErr w:type="spellEnd"/>
      <w:r>
        <w:rPr>
          <w:rFonts w:eastAsia="Palatino Linotype"/>
          <w:sz w:val="22"/>
          <w:szCs w:val="22"/>
          <w:lang w:val="es-ES"/>
        </w:rPr>
        <w:t xml:space="preserve"> </w:t>
      </w:r>
      <w:proofErr w:type="spellStart"/>
      <w:r>
        <w:rPr>
          <w:rFonts w:eastAsia="Palatino Linotype"/>
          <w:sz w:val="22"/>
          <w:szCs w:val="22"/>
          <w:lang w:val="es-ES"/>
        </w:rPr>
        <w:t>must</w:t>
      </w:r>
      <w:proofErr w:type="spellEnd"/>
      <w:r>
        <w:rPr>
          <w:rFonts w:eastAsia="Palatino Linotype"/>
          <w:sz w:val="22"/>
          <w:szCs w:val="22"/>
          <w:lang w:val="es-ES"/>
        </w:rPr>
        <w:t xml:space="preserve"> be </w:t>
      </w:r>
      <w:proofErr w:type="spellStart"/>
      <w:r>
        <w:rPr>
          <w:rFonts w:eastAsia="Palatino Linotype"/>
          <w:sz w:val="22"/>
          <w:szCs w:val="22"/>
          <w:lang w:val="es-ES"/>
        </w:rPr>
        <w:t>included</w:t>
      </w:r>
      <w:proofErr w:type="spellEnd"/>
      <w:r>
        <w:rPr>
          <w:rFonts w:eastAsia="Palatino Linotype"/>
          <w:sz w:val="22"/>
          <w:szCs w:val="22"/>
          <w:lang w:val="es-ES"/>
        </w:rPr>
        <w:t>.</w:t>
      </w:r>
    </w:p>
    <w:p w14:paraId="5280ADE5" w14:textId="77777777" w:rsidR="00E255F4" w:rsidRDefault="00E255F4">
      <w:pPr>
        <w:ind w:right="-142"/>
        <w:jc w:val="both"/>
        <w:rPr>
          <w:rFonts w:eastAsia="Palatino Linotype"/>
          <w:sz w:val="22"/>
          <w:szCs w:val="22"/>
          <w:lang w:val="es-ES"/>
        </w:rPr>
      </w:pPr>
    </w:p>
    <w:p w14:paraId="2D9C01EF" w14:textId="77777777" w:rsidR="00E255F4" w:rsidRDefault="00000000">
      <w:pPr>
        <w:ind w:right="-142"/>
        <w:jc w:val="both"/>
      </w:pPr>
      <w:r>
        <w:rPr>
          <w:rFonts w:eastAsia="Palatino Linotype"/>
          <w:spacing w:val="5"/>
          <w:sz w:val="22"/>
          <w:szCs w:val="22"/>
          <w:lang w:val="es-ES"/>
        </w:rPr>
        <w:t>AND</w:t>
      </w:r>
      <w:r>
        <w:rPr>
          <w:rFonts w:eastAsia="Palatino Linotype"/>
          <w:sz w:val="22"/>
          <w:szCs w:val="22"/>
          <w:lang w:val="es-ES"/>
        </w:rPr>
        <w:t xml:space="preserve">In </w:t>
      </w:r>
      <w:proofErr w:type="spellStart"/>
      <w:r>
        <w:rPr>
          <w:rFonts w:eastAsia="Palatino Linotype"/>
          <w:sz w:val="22"/>
          <w:szCs w:val="22"/>
          <w:lang w:val="es-ES"/>
        </w:rPr>
        <w:t>the</w:t>
      </w:r>
      <w:proofErr w:type="spellEnd"/>
      <w:r>
        <w:rPr>
          <w:rFonts w:eastAsia="Palatino Linotype"/>
          <w:sz w:val="22"/>
          <w:szCs w:val="22"/>
          <w:lang w:val="es-ES"/>
        </w:rPr>
        <w:t xml:space="preserve"> case </w:t>
      </w:r>
      <w:proofErr w:type="spellStart"/>
      <w:r>
        <w:rPr>
          <w:rFonts w:eastAsia="Palatino Linotype"/>
          <w:sz w:val="22"/>
          <w:szCs w:val="22"/>
          <w:lang w:val="es-ES"/>
        </w:rPr>
        <w:t>of</w:t>
      </w:r>
      <w:proofErr w:type="spellEnd"/>
      <w:r>
        <w:rPr>
          <w:rFonts w:eastAsia="Palatino Linotype"/>
          <w:sz w:val="22"/>
          <w:szCs w:val="22"/>
          <w:lang w:val="es-ES"/>
        </w:rPr>
        <w:t xml:space="preserve"> </w:t>
      </w:r>
      <w:proofErr w:type="spellStart"/>
      <w:r>
        <w:rPr>
          <w:rFonts w:eastAsia="Palatino Linotype"/>
          <w:sz w:val="22"/>
          <w:szCs w:val="22"/>
          <w:lang w:val="es-ES"/>
        </w:rPr>
        <w:t>supplies</w:t>
      </w:r>
      <w:proofErr w:type="spellEnd"/>
      <w:r>
        <w:rPr>
          <w:rFonts w:eastAsia="Palatino Linotype"/>
          <w:sz w:val="22"/>
          <w:szCs w:val="22"/>
          <w:lang w:val="es-ES"/>
        </w:rPr>
        <w:t xml:space="preserve"> </w:t>
      </w:r>
      <w:proofErr w:type="spellStart"/>
      <w:r>
        <w:rPr>
          <w:rFonts w:eastAsia="Palatino Linotype"/>
          <w:sz w:val="22"/>
          <w:szCs w:val="22"/>
          <w:lang w:val="es-ES"/>
        </w:rPr>
        <w:t>officially</w:t>
      </w:r>
      <w:proofErr w:type="spellEnd"/>
      <w:r>
        <w:rPr>
          <w:rFonts w:eastAsia="Palatino Linotype"/>
          <w:sz w:val="22"/>
          <w:szCs w:val="22"/>
          <w:lang w:val="es-ES"/>
        </w:rPr>
        <w:t xml:space="preserve"> </w:t>
      </w:r>
      <w:proofErr w:type="spellStart"/>
      <w:r>
        <w:rPr>
          <w:rFonts w:eastAsia="Palatino Linotype"/>
          <w:sz w:val="22"/>
          <w:szCs w:val="22"/>
          <w:lang w:val="es-ES"/>
        </w:rPr>
        <w:t>regulated</w:t>
      </w:r>
      <w:proofErr w:type="spellEnd"/>
      <w:r>
        <w:rPr>
          <w:rFonts w:eastAsia="Palatino Linotype"/>
          <w:sz w:val="22"/>
          <w:szCs w:val="22"/>
          <w:lang w:val="es-ES"/>
        </w:rPr>
        <w:t xml:space="preserve"> in </w:t>
      </w:r>
      <w:proofErr w:type="spellStart"/>
      <w:r>
        <w:rPr>
          <w:rFonts w:eastAsia="Palatino Linotype"/>
          <w:sz w:val="22"/>
          <w:szCs w:val="22"/>
          <w:lang w:val="es-ES"/>
        </w:rPr>
        <w:t>the</w:t>
      </w:r>
      <w:proofErr w:type="spellEnd"/>
      <w:r>
        <w:rPr>
          <w:rFonts w:eastAsia="Palatino Linotype"/>
          <w:sz w:val="22"/>
          <w:szCs w:val="22"/>
          <w:lang w:val="es-ES"/>
        </w:rPr>
        <w:t xml:space="preserve"> country, </w:t>
      </w:r>
      <w:proofErr w:type="spellStart"/>
      <w:r>
        <w:rPr>
          <w:rFonts w:eastAsia="Palatino Linotype"/>
          <w:sz w:val="22"/>
          <w:szCs w:val="22"/>
          <w:lang w:val="es-ES"/>
        </w:rPr>
        <w:t>the</w:t>
      </w:r>
      <w:proofErr w:type="spellEnd"/>
      <w:r>
        <w:rPr>
          <w:rFonts w:eastAsia="Palatino Linotype"/>
          <w:sz w:val="22"/>
          <w:szCs w:val="22"/>
          <w:lang w:val="es-ES"/>
        </w:rPr>
        <w:t xml:space="preserve"> </w:t>
      </w:r>
      <w:proofErr w:type="spellStart"/>
      <w:r>
        <w:rPr>
          <w:rFonts w:eastAsia="Palatino Linotype"/>
          <w:sz w:val="22"/>
          <w:szCs w:val="22"/>
          <w:lang w:val="es-ES"/>
        </w:rPr>
        <w:t>Administration</w:t>
      </w:r>
      <w:proofErr w:type="spellEnd"/>
      <w:r>
        <w:rPr>
          <w:rFonts w:eastAsia="Palatino Linotype"/>
          <w:sz w:val="22"/>
          <w:szCs w:val="22"/>
          <w:lang w:val="es-ES"/>
        </w:rPr>
        <w:t xml:space="preserve"> </w:t>
      </w:r>
      <w:proofErr w:type="spellStart"/>
      <w:r>
        <w:rPr>
          <w:rFonts w:eastAsia="Palatino Linotype"/>
          <w:sz w:val="22"/>
          <w:szCs w:val="22"/>
          <w:lang w:val="es-ES"/>
        </w:rPr>
        <w:t>will</w:t>
      </w:r>
      <w:proofErr w:type="spellEnd"/>
      <w:r>
        <w:rPr>
          <w:rFonts w:eastAsia="Palatino Linotype"/>
          <w:sz w:val="22"/>
          <w:szCs w:val="22"/>
          <w:lang w:val="es-ES"/>
        </w:rPr>
        <w:t xml:space="preserve"> </w:t>
      </w:r>
      <w:proofErr w:type="spellStart"/>
      <w:r>
        <w:rPr>
          <w:rFonts w:eastAsia="Palatino Linotype"/>
          <w:sz w:val="22"/>
          <w:szCs w:val="22"/>
          <w:lang w:val="es-ES"/>
        </w:rPr>
        <w:t>not</w:t>
      </w:r>
      <w:proofErr w:type="spellEnd"/>
      <w:r>
        <w:rPr>
          <w:rFonts w:eastAsia="Palatino Linotype"/>
          <w:sz w:val="22"/>
          <w:szCs w:val="22"/>
          <w:lang w:val="es-ES"/>
        </w:rPr>
        <w:t xml:space="preserve"> </w:t>
      </w:r>
      <w:proofErr w:type="spellStart"/>
      <w:r>
        <w:rPr>
          <w:rFonts w:eastAsia="Palatino Linotype"/>
          <w:sz w:val="22"/>
          <w:szCs w:val="22"/>
          <w:lang w:val="es-ES"/>
        </w:rPr>
        <w:t>pay</w:t>
      </w:r>
      <w:proofErr w:type="spellEnd"/>
      <w:r>
        <w:rPr>
          <w:rFonts w:eastAsia="Palatino Linotype"/>
          <w:sz w:val="22"/>
          <w:szCs w:val="22"/>
          <w:lang w:val="es-ES"/>
        </w:rPr>
        <w:t xml:space="preserve"> </w:t>
      </w:r>
      <w:proofErr w:type="spellStart"/>
      <w:r>
        <w:rPr>
          <w:rFonts w:eastAsia="Palatino Linotype"/>
          <w:sz w:val="22"/>
          <w:szCs w:val="22"/>
          <w:lang w:val="es-ES"/>
        </w:rPr>
        <w:t>prices</w:t>
      </w:r>
      <w:proofErr w:type="spellEnd"/>
      <w:r>
        <w:rPr>
          <w:rFonts w:eastAsia="Palatino Linotype"/>
          <w:sz w:val="22"/>
          <w:szCs w:val="22"/>
          <w:lang w:val="es-ES"/>
        </w:rPr>
        <w:t xml:space="preserve"> </w:t>
      </w:r>
      <w:proofErr w:type="spellStart"/>
      <w:r>
        <w:rPr>
          <w:rFonts w:eastAsia="Palatino Linotype"/>
          <w:sz w:val="22"/>
          <w:szCs w:val="22"/>
          <w:lang w:val="es-ES"/>
        </w:rPr>
        <w:t>or</w:t>
      </w:r>
      <w:proofErr w:type="spellEnd"/>
      <w:r>
        <w:rPr>
          <w:rFonts w:eastAsia="Palatino Linotype"/>
          <w:sz w:val="22"/>
          <w:szCs w:val="22"/>
          <w:lang w:val="es-ES"/>
        </w:rPr>
        <w:t xml:space="preserve"> </w:t>
      </w:r>
      <w:proofErr w:type="spellStart"/>
      <w:r>
        <w:rPr>
          <w:rFonts w:eastAsia="Palatino Linotype"/>
          <w:sz w:val="22"/>
          <w:szCs w:val="22"/>
          <w:lang w:val="es-ES"/>
        </w:rPr>
        <w:t>increases</w:t>
      </w:r>
      <w:proofErr w:type="spellEnd"/>
      <w:r>
        <w:rPr>
          <w:rFonts w:eastAsia="Palatino Linotype"/>
          <w:sz w:val="22"/>
          <w:szCs w:val="22"/>
          <w:lang w:val="es-ES"/>
        </w:rPr>
        <w:t xml:space="preserve"> </w:t>
      </w:r>
      <w:proofErr w:type="spellStart"/>
      <w:r>
        <w:rPr>
          <w:rFonts w:eastAsia="Palatino Linotype"/>
          <w:sz w:val="22"/>
          <w:szCs w:val="22"/>
          <w:lang w:val="es-ES"/>
        </w:rPr>
        <w:t>higher</w:t>
      </w:r>
      <w:proofErr w:type="spellEnd"/>
      <w:r>
        <w:rPr>
          <w:rFonts w:eastAsia="Palatino Linotype"/>
          <w:sz w:val="22"/>
          <w:szCs w:val="22"/>
          <w:lang w:val="es-ES"/>
        </w:rPr>
        <w:t xml:space="preserve"> </w:t>
      </w:r>
      <w:proofErr w:type="spellStart"/>
      <w:r>
        <w:rPr>
          <w:rFonts w:eastAsia="Palatino Linotype"/>
          <w:sz w:val="22"/>
          <w:szCs w:val="22"/>
          <w:lang w:val="es-ES"/>
        </w:rPr>
        <w:t>than</w:t>
      </w:r>
      <w:proofErr w:type="spellEnd"/>
      <w:r>
        <w:rPr>
          <w:rFonts w:eastAsia="Palatino Linotype"/>
          <w:sz w:val="22"/>
          <w:szCs w:val="22"/>
          <w:lang w:val="es-ES"/>
        </w:rPr>
        <w:t xml:space="preserve"> </w:t>
      </w:r>
      <w:proofErr w:type="spellStart"/>
      <w:r>
        <w:rPr>
          <w:rFonts w:eastAsia="Palatino Linotype"/>
          <w:sz w:val="22"/>
          <w:szCs w:val="22"/>
          <w:lang w:val="es-ES"/>
        </w:rPr>
        <w:t>those</w:t>
      </w:r>
      <w:proofErr w:type="spellEnd"/>
      <w:r>
        <w:rPr>
          <w:rFonts w:eastAsia="Palatino Linotype"/>
          <w:sz w:val="22"/>
          <w:szCs w:val="22"/>
          <w:lang w:val="es-ES"/>
        </w:rPr>
        <w:t xml:space="preserve"> </w:t>
      </w:r>
      <w:proofErr w:type="spellStart"/>
      <w:r>
        <w:rPr>
          <w:rFonts w:eastAsia="Palatino Linotype"/>
          <w:sz w:val="22"/>
          <w:szCs w:val="22"/>
          <w:lang w:val="es-ES"/>
        </w:rPr>
        <w:t>decreed</w:t>
      </w:r>
      <w:proofErr w:type="spellEnd"/>
      <w:r>
        <w:rPr>
          <w:rFonts w:eastAsia="Palatino Linotype"/>
          <w:sz w:val="22"/>
          <w:szCs w:val="22"/>
          <w:lang w:val="es-ES"/>
        </w:rPr>
        <w:t xml:space="preserve"> </w:t>
      </w:r>
      <w:proofErr w:type="spellStart"/>
      <w:r>
        <w:rPr>
          <w:rFonts w:eastAsia="Palatino Linotype"/>
          <w:sz w:val="22"/>
          <w:szCs w:val="22"/>
          <w:lang w:val="es-ES"/>
        </w:rPr>
        <w:t>by</w:t>
      </w:r>
      <w:proofErr w:type="spellEnd"/>
      <w:r>
        <w:rPr>
          <w:rFonts w:eastAsia="Palatino Linotype"/>
          <w:sz w:val="22"/>
          <w:szCs w:val="22"/>
          <w:lang w:val="es-ES"/>
        </w:rPr>
        <w:t xml:space="preserve"> </w:t>
      </w:r>
      <w:proofErr w:type="spellStart"/>
      <w:r>
        <w:rPr>
          <w:rFonts w:eastAsia="Palatino Linotype"/>
          <w:sz w:val="22"/>
          <w:szCs w:val="22"/>
          <w:lang w:val="es-ES"/>
        </w:rPr>
        <w:t>the</w:t>
      </w:r>
      <w:proofErr w:type="spellEnd"/>
      <w:r>
        <w:rPr>
          <w:rFonts w:eastAsia="Palatino Linotype"/>
          <w:sz w:val="22"/>
          <w:szCs w:val="22"/>
          <w:lang w:val="es-ES"/>
        </w:rPr>
        <w:t xml:space="preserve"> </w:t>
      </w:r>
      <w:proofErr w:type="spellStart"/>
      <w:r>
        <w:rPr>
          <w:rFonts w:eastAsia="Palatino Linotype"/>
          <w:sz w:val="22"/>
          <w:szCs w:val="22"/>
          <w:lang w:val="es-ES"/>
        </w:rPr>
        <w:t>competent</w:t>
      </w:r>
      <w:proofErr w:type="spellEnd"/>
      <w:r>
        <w:rPr>
          <w:rFonts w:eastAsia="Palatino Linotype"/>
          <w:sz w:val="22"/>
          <w:szCs w:val="22"/>
          <w:lang w:val="es-ES"/>
        </w:rPr>
        <w:t xml:space="preserve"> </w:t>
      </w:r>
      <w:proofErr w:type="spellStart"/>
      <w:r>
        <w:rPr>
          <w:rFonts w:eastAsia="Palatino Linotype"/>
          <w:sz w:val="22"/>
          <w:szCs w:val="22"/>
          <w:lang w:val="es-ES"/>
        </w:rPr>
        <w:t>authority</w:t>
      </w:r>
      <w:proofErr w:type="spellEnd"/>
      <w:r>
        <w:rPr>
          <w:rFonts w:eastAsia="Palatino Linotype"/>
          <w:sz w:val="22"/>
          <w:szCs w:val="22"/>
          <w:lang w:val="es-ES"/>
        </w:rPr>
        <w:t xml:space="preserve">, </w:t>
      </w:r>
      <w:proofErr w:type="spellStart"/>
      <w:r>
        <w:rPr>
          <w:rFonts w:eastAsia="Palatino Linotype"/>
          <w:sz w:val="22"/>
          <w:szCs w:val="22"/>
          <w:lang w:val="es-ES"/>
        </w:rPr>
        <w:t>even</w:t>
      </w:r>
      <w:proofErr w:type="spellEnd"/>
      <w:r>
        <w:rPr>
          <w:rFonts w:eastAsia="Palatino Linotype"/>
          <w:sz w:val="22"/>
          <w:szCs w:val="22"/>
          <w:lang w:val="es-ES"/>
        </w:rPr>
        <w:t xml:space="preserve"> </w:t>
      </w:r>
      <w:proofErr w:type="spellStart"/>
      <w:r>
        <w:rPr>
          <w:rFonts w:eastAsia="Palatino Linotype"/>
          <w:sz w:val="22"/>
          <w:szCs w:val="22"/>
          <w:lang w:val="es-ES"/>
        </w:rPr>
        <w:t>if</w:t>
      </w:r>
      <w:proofErr w:type="spellEnd"/>
      <w:r>
        <w:rPr>
          <w:rFonts w:eastAsia="Palatino Linotype"/>
          <w:sz w:val="22"/>
          <w:szCs w:val="22"/>
          <w:lang w:val="es-ES"/>
        </w:rPr>
        <w:t xml:space="preserve"> </w:t>
      </w:r>
      <w:proofErr w:type="spellStart"/>
      <w:r>
        <w:rPr>
          <w:rFonts w:eastAsia="Palatino Linotype"/>
          <w:sz w:val="22"/>
          <w:szCs w:val="22"/>
          <w:lang w:val="es-ES"/>
        </w:rPr>
        <w:t>the</w:t>
      </w:r>
      <w:proofErr w:type="spellEnd"/>
      <w:r>
        <w:rPr>
          <w:rFonts w:eastAsia="Palatino Linotype"/>
          <w:sz w:val="22"/>
          <w:szCs w:val="22"/>
          <w:lang w:val="es-ES"/>
        </w:rPr>
        <w:t xml:space="preserve"> </w:t>
      </w:r>
      <w:proofErr w:type="spellStart"/>
      <w:r>
        <w:rPr>
          <w:rFonts w:eastAsia="Palatino Linotype"/>
          <w:sz w:val="22"/>
          <w:szCs w:val="22"/>
          <w:lang w:val="es-ES"/>
        </w:rPr>
        <w:t>parametric</w:t>
      </w:r>
      <w:proofErr w:type="spellEnd"/>
      <w:r>
        <w:rPr>
          <w:rFonts w:eastAsia="Palatino Linotype"/>
          <w:sz w:val="22"/>
          <w:szCs w:val="22"/>
          <w:lang w:val="es-ES"/>
        </w:rPr>
        <w:t xml:space="preserve"> formula raises </w:t>
      </w:r>
      <w:proofErr w:type="spellStart"/>
      <w:r>
        <w:rPr>
          <w:rFonts w:eastAsia="Palatino Linotype"/>
          <w:sz w:val="22"/>
          <w:szCs w:val="22"/>
          <w:lang w:val="es-ES"/>
        </w:rPr>
        <w:t>these</w:t>
      </w:r>
      <w:proofErr w:type="spellEnd"/>
      <w:r>
        <w:rPr>
          <w:rFonts w:eastAsia="Palatino Linotype"/>
          <w:sz w:val="22"/>
          <w:szCs w:val="22"/>
          <w:lang w:val="es-ES"/>
        </w:rPr>
        <w:t xml:space="preserve"> </w:t>
      </w:r>
      <w:proofErr w:type="spellStart"/>
      <w:r>
        <w:rPr>
          <w:rFonts w:eastAsia="Palatino Linotype"/>
          <w:sz w:val="22"/>
          <w:szCs w:val="22"/>
          <w:lang w:val="es-ES"/>
        </w:rPr>
        <w:t>to</w:t>
      </w:r>
      <w:proofErr w:type="spellEnd"/>
      <w:r>
        <w:rPr>
          <w:rFonts w:eastAsia="Palatino Linotype"/>
          <w:sz w:val="22"/>
          <w:szCs w:val="22"/>
          <w:lang w:val="es-ES"/>
        </w:rPr>
        <w:t xml:space="preserve"> a </w:t>
      </w:r>
      <w:proofErr w:type="spellStart"/>
      <w:r>
        <w:rPr>
          <w:rFonts w:eastAsia="Palatino Linotype"/>
          <w:sz w:val="22"/>
          <w:szCs w:val="22"/>
          <w:lang w:val="es-ES"/>
        </w:rPr>
        <w:t>higher</w:t>
      </w:r>
      <w:proofErr w:type="spellEnd"/>
      <w:r>
        <w:rPr>
          <w:rFonts w:eastAsia="Palatino Linotype"/>
          <w:sz w:val="22"/>
          <w:szCs w:val="22"/>
          <w:lang w:val="es-ES"/>
        </w:rPr>
        <w:t xml:space="preserve"> </w:t>
      </w:r>
      <w:proofErr w:type="spellStart"/>
      <w:r>
        <w:rPr>
          <w:rFonts w:eastAsia="Palatino Linotype"/>
          <w:sz w:val="22"/>
          <w:szCs w:val="22"/>
          <w:lang w:val="es-ES"/>
        </w:rPr>
        <w:t>value</w:t>
      </w:r>
      <w:proofErr w:type="spellEnd"/>
      <w:r>
        <w:rPr>
          <w:rFonts w:eastAsia="Palatino Linotype"/>
          <w:sz w:val="22"/>
          <w:szCs w:val="22"/>
          <w:lang w:val="es-ES"/>
        </w:rPr>
        <w:t>.</w:t>
      </w:r>
    </w:p>
    <w:p w14:paraId="5502FC33" w14:textId="77777777" w:rsidR="00E255F4" w:rsidRDefault="00E255F4">
      <w:pPr>
        <w:ind w:right="-142"/>
        <w:jc w:val="both"/>
        <w:rPr>
          <w:rFonts w:eastAsia="Palatino Linotype"/>
          <w:sz w:val="22"/>
          <w:szCs w:val="22"/>
          <w:lang w:val="es-ES"/>
        </w:rPr>
      </w:pPr>
    </w:p>
    <w:p w14:paraId="6E920A37" w14:textId="77777777" w:rsidR="00E255F4" w:rsidRDefault="00000000">
      <w:pPr>
        <w:ind w:right="-142"/>
        <w:jc w:val="both"/>
        <w:rPr>
          <w:rFonts w:eastAsia="Palatino Linotype"/>
          <w:sz w:val="22"/>
          <w:szCs w:val="22"/>
          <w:lang w:val="es-ES"/>
        </w:rPr>
      </w:pPr>
      <w:proofErr w:type="spellStart"/>
      <w:r>
        <w:rPr>
          <w:rFonts w:eastAsia="Palatino Linotype"/>
          <w:sz w:val="22"/>
          <w:szCs w:val="22"/>
          <w:lang w:val="es-ES"/>
        </w:rPr>
        <w:t>Likewise</w:t>
      </w:r>
      <w:proofErr w:type="spellEnd"/>
      <w:r>
        <w:rPr>
          <w:rFonts w:eastAsia="Palatino Linotype"/>
          <w:sz w:val="22"/>
          <w:szCs w:val="22"/>
          <w:lang w:val="es-ES"/>
        </w:rPr>
        <w:t xml:space="preserve">, </w:t>
      </w:r>
      <w:proofErr w:type="spellStart"/>
      <w:r>
        <w:rPr>
          <w:rFonts w:eastAsia="Palatino Linotype"/>
          <w:sz w:val="22"/>
          <w:szCs w:val="22"/>
          <w:lang w:val="es-ES"/>
        </w:rPr>
        <w:t>when</w:t>
      </w:r>
      <w:proofErr w:type="spellEnd"/>
      <w:r>
        <w:rPr>
          <w:rFonts w:eastAsia="Palatino Linotype"/>
          <w:sz w:val="22"/>
          <w:szCs w:val="22"/>
          <w:lang w:val="es-ES"/>
        </w:rPr>
        <w:t xml:space="preserve"> </w:t>
      </w:r>
      <w:proofErr w:type="spellStart"/>
      <w:r>
        <w:rPr>
          <w:rFonts w:eastAsia="Palatino Linotype"/>
          <w:sz w:val="22"/>
          <w:szCs w:val="22"/>
          <w:lang w:val="es-ES"/>
        </w:rPr>
        <w:t>there</w:t>
      </w:r>
      <w:proofErr w:type="spellEnd"/>
      <w:r>
        <w:rPr>
          <w:rFonts w:eastAsia="Palatino Linotype"/>
          <w:sz w:val="22"/>
          <w:szCs w:val="22"/>
          <w:lang w:val="es-ES"/>
        </w:rPr>
        <w:t xml:space="preserve"> are </w:t>
      </w:r>
      <w:proofErr w:type="spellStart"/>
      <w:r>
        <w:rPr>
          <w:rFonts w:eastAsia="Palatino Linotype"/>
          <w:sz w:val="22"/>
          <w:szCs w:val="22"/>
          <w:lang w:val="es-ES"/>
        </w:rPr>
        <w:t>provisions</w:t>
      </w:r>
      <w:proofErr w:type="spellEnd"/>
      <w:r>
        <w:rPr>
          <w:rFonts w:eastAsia="Palatino Linotype"/>
          <w:sz w:val="22"/>
          <w:szCs w:val="22"/>
          <w:lang w:val="es-ES"/>
        </w:rPr>
        <w:t xml:space="preserve"> </w:t>
      </w:r>
      <w:proofErr w:type="spellStart"/>
      <w:r>
        <w:rPr>
          <w:rFonts w:eastAsia="Palatino Linotype"/>
          <w:sz w:val="22"/>
          <w:szCs w:val="22"/>
          <w:lang w:val="es-ES"/>
        </w:rPr>
        <w:t>containing</w:t>
      </w:r>
      <w:proofErr w:type="spellEnd"/>
      <w:r>
        <w:rPr>
          <w:rFonts w:eastAsia="Palatino Linotype"/>
          <w:sz w:val="22"/>
          <w:szCs w:val="22"/>
          <w:lang w:val="es-ES"/>
        </w:rPr>
        <w:t xml:space="preserve"> </w:t>
      </w:r>
      <w:proofErr w:type="spellStart"/>
      <w:r>
        <w:rPr>
          <w:rFonts w:eastAsia="Palatino Linotype"/>
          <w:sz w:val="22"/>
          <w:szCs w:val="22"/>
          <w:lang w:val="es-ES"/>
        </w:rPr>
        <w:t>clauses</w:t>
      </w:r>
      <w:proofErr w:type="spellEnd"/>
      <w:r>
        <w:rPr>
          <w:rFonts w:eastAsia="Palatino Linotype"/>
          <w:sz w:val="22"/>
          <w:szCs w:val="22"/>
          <w:lang w:val="es-ES"/>
        </w:rPr>
        <w:t xml:space="preserve"> </w:t>
      </w:r>
      <w:proofErr w:type="spellStart"/>
      <w:r>
        <w:rPr>
          <w:rFonts w:eastAsia="Palatino Linotype"/>
          <w:sz w:val="22"/>
          <w:szCs w:val="22"/>
          <w:lang w:val="es-ES"/>
        </w:rPr>
        <w:t>that</w:t>
      </w:r>
      <w:proofErr w:type="spellEnd"/>
      <w:r>
        <w:rPr>
          <w:rFonts w:eastAsia="Palatino Linotype"/>
          <w:sz w:val="22"/>
          <w:szCs w:val="22"/>
          <w:lang w:val="es-ES"/>
        </w:rPr>
        <w:t xml:space="preserve"> </w:t>
      </w:r>
      <w:proofErr w:type="spellStart"/>
      <w:r>
        <w:rPr>
          <w:rFonts w:eastAsia="Palatino Linotype"/>
          <w:sz w:val="22"/>
          <w:szCs w:val="22"/>
          <w:lang w:val="es-ES"/>
        </w:rPr>
        <w:t>limit</w:t>
      </w:r>
      <w:proofErr w:type="spellEnd"/>
      <w:r>
        <w:rPr>
          <w:rFonts w:eastAsia="Palatino Linotype"/>
          <w:sz w:val="22"/>
          <w:szCs w:val="22"/>
          <w:lang w:val="es-ES"/>
        </w:rPr>
        <w:t xml:space="preserve"> </w:t>
      </w:r>
      <w:proofErr w:type="spellStart"/>
      <w:r>
        <w:rPr>
          <w:rFonts w:eastAsia="Palatino Linotype"/>
          <w:sz w:val="22"/>
          <w:szCs w:val="22"/>
          <w:lang w:val="es-ES"/>
        </w:rPr>
        <w:t>the</w:t>
      </w:r>
      <w:proofErr w:type="spellEnd"/>
      <w:r>
        <w:rPr>
          <w:rFonts w:eastAsia="Palatino Linotype"/>
          <w:sz w:val="22"/>
          <w:szCs w:val="22"/>
          <w:lang w:val="es-ES"/>
        </w:rPr>
        <w:t xml:space="preserve"> transfer </w:t>
      </w:r>
      <w:proofErr w:type="spellStart"/>
      <w:r>
        <w:rPr>
          <w:rFonts w:eastAsia="Palatino Linotype"/>
          <w:sz w:val="22"/>
          <w:szCs w:val="22"/>
          <w:lang w:val="es-ES"/>
        </w:rPr>
        <w:t>of</w:t>
      </w:r>
      <w:proofErr w:type="spellEnd"/>
      <w:r>
        <w:rPr>
          <w:rFonts w:eastAsia="Palatino Linotype"/>
          <w:sz w:val="22"/>
          <w:szCs w:val="22"/>
          <w:lang w:val="es-ES"/>
        </w:rPr>
        <w:t xml:space="preserve"> </w:t>
      </w:r>
      <w:proofErr w:type="spellStart"/>
      <w:r>
        <w:rPr>
          <w:rFonts w:eastAsia="Palatino Linotype"/>
          <w:sz w:val="22"/>
          <w:szCs w:val="22"/>
          <w:lang w:val="es-ES"/>
        </w:rPr>
        <w:t>increases</w:t>
      </w:r>
      <w:proofErr w:type="spellEnd"/>
      <w:r>
        <w:rPr>
          <w:rFonts w:eastAsia="Palatino Linotype"/>
          <w:sz w:val="22"/>
          <w:szCs w:val="22"/>
          <w:lang w:val="es-ES"/>
        </w:rPr>
        <w:t xml:space="preserve"> </w:t>
      </w:r>
      <w:proofErr w:type="spellStart"/>
      <w:r>
        <w:rPr>
          <w:rFonts w:eastAsia="Palatino Linotype"/>
          <w:sz w:val="22"/>
          <w:szCs w:val="22"/>
          <w:lang w:val="es-ES"/>
        </w:rPr>
        <w:t>to</w:t>
      </w:r>
      <w:proofErr w:type="spellEnd"/>
      <w:r>
        <w:rPr>
          <w:rFonts w:eastAsia="Palatino Linotype"/>
          <w:sz w:val="22"/>
          <w:szCs w:val="22"/>
          <w:lang w:val="es-ES"/>
        </w:rPr>
        <w:t xml:space="preserve"> </w:t>
      </w:r>
      <w:proofErr w:type="spellStart"/>
      <w:r>
        <w:rPr>
          <w:rFonts w:eastAsia="Palatino Linotype"/>
          <w:sz w:val="22"/>
          <w:szCs w:val="22"/>
          <w:lang w:val="es-ES"/>
        </w:rPr>
        <w:t>prices</w:t>
      </w:r>
      <w:proofErr w:type="spellEnd"/>
      <w:r>
        <w:rPr>
          <w:rFonts w:eastAsia="Palatino Linotype"/>
          <w:sz w:val="22"/>
          <w:szCs w:val="22"/>
          <w:lang w:val="es-ES"/>
        </w:rPr>
        <w:t xml:space="preserve">, </w:t>
      </w:r>
      <w:proofErr w:type="spellStart"/>
      <w:r>
        <w:rPr>
          <w:rFonts w:eastAsia="Palatino Linotype"/>
          <w:sz w:val="22"/>
          <w:szCs w:val="22"/>
          <w:lang w:val="es-ES"/>
        </w:rPr>
        <w:t>these</w:t>
      </w:r>
      <w:proofErr w:type="spellEnd"/>
      <w:r>
        <w:rPr>
          <w:rFonts w:eastAsia="Palatino Linotype"/>
          <w:sz w:val="22"/>
          <w:szCs w:val="22"/>
          <w:lang w:val="es-ES"/>
        </w:rPr>
        <w:t xml:space="preserve"> </w:t>
      </w:r>
      <w:proofErr w:type="spellStart"/>
      <w:r>
        <w:rPr>
          <w:rFonts w:eastAsia="Palatino Linotype"/>
          <w:sz w:val="22"/>
          <w:szCs w:val="22"/>
          <w:lang w:val="es-ES"/>
        </w:rPr>
        <w:t>will</w:t>
      </w:r>
      <w:proofErr w:type="spellEnd"/>
      <w:r>
        <w:rPr>
          <w:rFonts w:eastAsia="Palatino Linotype"/>
          <w:sz w:val="22"/>
          <w:szCs w:val="22"/>
          <w:lang w:val="es-ES"/>
        </w:rPr>
        <w:t xml:space="preserve"> be </w:t>
      </w:r>
      <w:proofErr w:type="spellStart"/>
      <w:r>
        <w:rPr>
          <w:rFonts w:eastAsia="Palatino Linotype"/>
          <w:sz w:val="22"/>
          <w:szCs w:val="22"/>
          <w:lang w:val="es-ES"/>
        </w:rPr>
        <w:t>taken</w:t>
      </w:r>
      <w:proofErr w:type="spellEnd"/>
      <w:r>
        <w:rPr>
          <w:rFonts w:eastAsia="Palatino Linotype"/>
          <w:sz w:val="22"/>
          <w:szCs w:val="22"/>
          <w:lang w:val="es-ES"/>
        </w:rPr>
        <w:t xml:space="preserve"> </w:t>
      </w:r>
      <w:proofErr w:type="spellStart"/>
      <w:r>
        <w:rPr>
          <w:rFonts w:eastAsia="Palatino Linotype"/>
          <w:sz w:val="22"/>
          <w:szCs w:val="22"/>
          <w:lang w:val="es-ES"/>
        </w:rPr>
        <w:t>into</w:t>
      </w:r>
      <w:proofErr w:type="spellEnd"/>
      <w:r>
        <w:rPr>
          <w:rFonts w:eastAsia="Palatino Linotype"/>
          <w:sz w:val="22"/>
          <w:szCs w:val="22"/>
          <w:lang w:val="es-ES"/>
        </w:rPr>
        <w:t xml:space="preserve"> </w:t>
      </w:r>
      <w:proofErr w:type="spellStart"/>
      <w:r>
        <w:rPr>
          <w:rFonts w:eastAsia="Palatino Linotype"/>
          <w:sz w:val="22"/>
          <w:szCs w:val="22"/>
          <w:lang w:val="es-ES"/>
        </w:rPr>
        <w:t>account</w:t>
      </w:r>
      <w:proofErr w:type="spellEnd"/>
      <w:r>
        <w:rPr>
          <w:rFonts w:eastAsia="Palatino Linotype"/>
          <w:sz w:val="22"/>
          <w:szCs w:val="22"/>
          <w:lang w:val="es-ES"/>
        </w:rPr>
        <w:t>.</w:t>
      </w:r>
    </w:p>
    <w:p w14:paraId="739ECA13" w14:textId="77777777" w:rsidR="00E255F4" w:rsidRDefault="00E255F4">
      <w:pPr>
        <w:rPr>
          <w:rFonts w:eastAsia="Palatino Linotype"/>
          <w:sz w:val="22"/>
          <w:szCs w:val="22"/>
          <w:lang w:val="es-ES"/>
        </w:rPr>
      </w:pPr>
    </w:p>
    <w:p w14:paraId="2DBB42E6" w14:textId="77777777" w:rsidR="00E255F4" w:rsidRDefault="00000000">
      <w:pPr>
        <w:widowControl w:val="0"/>
        <w:ind w:right="-142"/>
        <w:jc w:val="both"/>
        <w:outlineLvl w:val="0"/>
        <w:rPr>
          <w:rFonts w:eastAsia="Palatino Linotype"/>
          <w:b/>
          <w:spacing w:val="-1"/>
          <w:sz w:val="22"/>
          <w:szCs w:val="22"/>
          <w:lang w:val="es-ES"/>
        </w:rPr>
      </w:pPr>
      <w:bookmarkStart w:id="28" w:name="__RefHeading___Toc225377205"/>
      <w:bookmarkEnd w:id="28"/>
      <w:r>
        <w:rPr>
          <w:rFonts w:eastAsia="Palatino Linotype"/>
          <w:b/>
          <w:spacing w:val="-1"/>
          <w:sz w:val="22"/>
          <w:szCs w:val="22"/>
          <w:lang w:val="es-ES"/>
        </w:rPr>
        <w:t xml:space="preserve">10.4 </w:t>
      </w:r>
      <w:proofErr w:type="spellStart"/>
      <w:r>
        <w:rPr>
          <w:rFonts w:eastAsia="Palatino Linotype"/>
          <w:b/>
          <w:spacing w:val="-1"/>
          <w:sz w:val="22"/>
          <w:szCs w:val="22"/>
          <w:lang w:val="es-ES"/>
        </w:rPr>
        <w:t>Taxes</w:t>
      </w:r>
      <w:proofErr w:type="spellEnd"/>
      <w:r>
        <w:rPr>
          <w:rFonts w:eastAsia="Palatino Linotype"/>
          <w:b/>
          <w:spacing w:val="-1"/>
          <w:sz w:val="22"/>
          <w:szCs w:val="22"/>
          <w:lang w:val="es-ES"/>
        </w:rPr>
        <w:tab/>
      </w:r>
    </w:p>
    <w:p w14:paraId="04023F1C" w14:textId="77777777" w:rsidR="00E255F4" w:rsidRDefault="00000000">
      <w:pPr>
        <w:widowControl w:val="0"/>
        <w:ind w:right="-142"/>
        <w:jc w:val="both"/>
        <w:rPr>
          <w:rFonts w:eastAsia="Palatino Linotype"/>
          <w:sz w:val="22"/>
          <w:szCs w:val="22"/>
          <w:lang w:val="es-ES"/>
        </w:rPr>
      </w:pPr>
      <w:proofErr w:type="spellStart"/>
      <w:r>
        <w:rPr>
          <w:rFonts w:eastAsia="Palatino Linotype"/>
          <w:spacing w:val="-14"/>
          <w:sz w:val="22"/>
          <w:szCs w:val="22"/>
          <w:lang w:val="es-ES"/>
        </w:rPr>
        <w:t>All</w:t>
      </w:r>
      <w:r>
        <w:rPr>
          <w:rFonts w:eastAsia="Palatino Linotype"/>
          <w:sz w:val="22"/>
          <w:szCs w:val="22"/>
          <w:lang w:val="es-ES"/>
        </w:rPr>
        <w:t>The</w:t>
      </w:r>
      <w:proofErr w:type="spellEnd"/>
      <w:r>
        <w:rPr>
          <w:rFonts w:eastAsia="Palatino Linotype"/>
          <w:sz w:val="22"/>
          <w:szCs w:val="22"/>
          <w:lang w:val="es-ES"/>
        </w:rPr>
        <w:t xml:space="preserve"> </w:t>
      </w:r>
      <w:proofErr w:type="spellStart"/>
      <w:r>
        <w:rPr>
          <w:rFonts w:eastAsia="Palatino Linotype"/>
          <w:sz w:val="22"/>
          <w:szCs w:val="22"/>
          <w:lang w:val="es-ES"/>
        </w:rPr>
        <w:t>taxes</w:t>
      </w:r>
      <w:proofErr w:type="spellEnd"/>
      <w:r>
        <w:rPr>
          <w:rFonts w:eastAsia="Palatino Linotype"/>
          <w:sz w:val="22"/>
          <w:szCs w:val="22"/>
          <w:lang w:val="es-ES"/>
        </w:rPr>
        <w:t xml:space="preserve"> </w:t>
      </w:r>
      <w:proofErr w:type="spellStart"/>
      <w:r>
        <w:rPr>
          <w:rFonts w:eastAsia="Palatino Linotype"/>
          <w:sz w:val="22"/>
          <w:szCs w:val="22"/>
          <w:lang w:val="es-ES"/>
        </w:rPr>
        <w:t>that</w:t>
      </w:r>
      <w:proofErr w:type="spellEnd"/>
      <w:r>
        <w:rPr>
          <w:rFonts w:eastAsia="Palatino Linotype"/>
          <w:sz w:val="22"/>
          <w:szCs w:val="22"/>
          <w:lang w:val="es-ES"/>
        </w:rPr>
        <w:t xml:space="preserve"> </w:t>
      </w:r>
      <w:proofErr w:type="spellStart"/>
      <w:r>
        <w:rPr>
          <w:rFonts w:eastAsia="Palatino Linotype"/>
          <w:sz w:val="22"/>
          <w:szCs w:val="22"/>
          <w:lang w:val="es-ES"/>
        </w:rPr>
        <w:t>legally</w:t>
      </w:r>
      <w:proofErr w:type="spellEnd"/>
      <w:r>
        <w:rPr>
          <w:rFonts w:eastAsia="Palatino Linotype"/>
          <w:sz w:val="22"/>
          <w:szCs w:val="22"/>
          <w:lang w:val="es-ES"/>
        </w:rPr>
        <w:t xml:space="preserve"> </w:t>
      </w:r>
      <w:proofErr w:type="spellStart"/>
      <w:r>
        <w:rPr>
          <w:rFonts w:eastAsia="Palatino Linotype"/>
          <w:sz w:val="22"/>
          <w:szCs w:val="22"/>
          <w:lang w:val="es-ES"/>
        </w:rPr>
        <w:t>correspond</w:t>
      </w:r>
      <w:proofErr w:type="spellEnd"/>
      <w:r>
        <w:rPr>
          <w:rFonts w:eastAsia="Palatino Linotype"/>
          <w:sz w:val="22"/>
          <w:szCs w:val="22"/>
          <w:lang w:val="es-ES"/>
        </w:rPr>
        <w:t xml:space="preserve"> </w:t>
      </w:r>
      <w:proofErr w:type="spellStart"/>
      <w:r>
        <w:rPr>
          <w:rFonts w:eastAsia="Palatino Linotype"/>
          <w:sz w:val="22"/>
          <w:szCs w:val="22"/>
          <w:lang w:val="es-ES"/>
        </w:rPr>
        <w:t>to</w:t>
      </w:r>
      <w:proofErr w:type="spellEnd"/>
      <w:r>
        <w:rPr>
          <w:rFonts w:eastAsia="Palatino Linotype"/>
          <w:sz w:val="22"/>
          <w:szCs w:val="22"/>
          <w:lang w:val="es-ES"/>
        </w:rPr>
        <w:t xml:space="preserve"> </w:t>
      </w:r>
      <w:proofErr w:type="spellStart"/>
      <w:r>
        <w:rPr>
          <w:rFonts w:eastAsia="Palatino Linotype"/>
          <w:sz w:val="22"/>
          <w:szCs w:val="22"/>
          <w:lang w:val="es-ES"/>
        </w:rPr>
        <w:t>the</w:t>
      </w:r>
      <w:proofErr w:type="spellEnd"/>
      <w:r>
        <w:rPr>
          <w:rFonts w:eastAsia="Palatino Linotype"/>
          <w:sz w:val="22"/>
          <w:szCs w:val="22"/>
          <w:lang w:val="es-ES"/>
        </w:rPr>
        <w:t xml:space="preserve"> </w:t>
      </w:r>
      <w:proofErr w:type="spellStart"/>
      <w:r>
        <w:rPr>
          <w:rFonts w:eastAsia="Palatino Linotype"/>
          <w:sz w:val="22"/>
          <w:szCs w:val="22"/>
          <w:lang w:val="es-ES"/>
        </w:rPr>
        <w:t>contractor</w:t>
      </w:r>
      <w:proofErr w:type="spellEnd"/>
      <w:r>
        <w:rPr>
          <w:rFonts w:eastAsia="Palatino Linotype"/>
          <w:sz w:val="22"/>
          <w:szCs w:val="22"/>
          <w:lang w:val="es-ES"/>
        </w:rPr>
        <w:t xml:space="preserve"> </w:t>
      </w:r>
      <w:proofErr w:type="spellStart"/>
      <w:r>
        <w:rPr>
          <w:rFonts w:eastAsia="Palatino Linotype"/>
          <w:sz w:val="22"/>
          <w:szCs w:val="22"/>
          <w:lang w:val="es-ES"/>
        </w:rPr>
        <w:t>for</w:t>
      </w:r>
      <w:proofErr w:type="spellEnd"/>
      <w:r>
        <w:rPr>
          <w:rFonts w:eastAsia="Palatino Linotype"/>
          <w:sz w:val="22"/>
          <w:szCs w:val="22"/>
          <w:lang w:val="es-ES"/>
        </w:rPr>
        <w:t xml:space="preserve"> </w:t>
      </w:r>
      <w:proofErr w:type="spellStart"/>
      <w:r>
        <w:rPr>
          <w:rFonts w:eastAsia="Palatino Linotype"/>
          <w:sz w:val="22"/>
          <w:szCs w:val="22"/>
          <w:lang w:val="es-ES"/>
        </w:rPr>
        <w:t>the</w:t>
      </w:r>
      <w:proofErr w:type="spellEnd"/>
      <w:r>
        <w:rPr>
          <w:rFonts w:eastAsia="Palatino Linotype"/>
          <w:sz w:val="22"/>
          <w:szCs w:val="22"/>
          <w:lang w:val="es-ES"/>
        </w:rPr>
        <w:t xml:space="preserve"> </w:t>
      </w:r>
      <w:proofErr w:type="spellStart"/>
      <w:r>
        <w:rPr>
          <w:rFonts w:eastAsia="Palatino Linotype"/>
          <w:sz w:val="22"/>
          <w:szCs w:val="22"/>
          <w:lang w:val="es-ES"/>
        </w:rPr>
        <w:t>fulfillment</w:t>
      </w:r>
      <w:proofErr w:type="spellEnd"/>
      <w:r>
        <w:rPr>
          <w:rFonts w:eastAsia="Palatino Linotype"/>
          <w:sz w:val="22"/>
          <w:szCs w:val="22"/>
          <w:lang w:val="es-ES"/>
        </w:rPr>
        <w:t xml:space="preserve"> </w:t>
      </w:r>
      <w:proofErr w:type="spellStart"/>
      <w:r>
        <w:rPr>
          <w:rFonts w:eastAsia="Palatino Linotype"/>
          <w:sz w:val="22"/>
          <w:szCs w:val="22"/>
          <w:lang w:val="es-ES"/>
        </w:rPr>
        <w:t>of</w:t>
      </w:r>
      <w:proofErr w:type="spellEnd"/>
      <w:r>
        <w:rPr>
          <w:rFonts w:eastAsia="Palatino Linotype"/>
          <w:sz w:val="22"/>
          <w:szCs w:val="22"/>
          <w:lang w:val="es-ES"/>
        </w:rPr>
        <w:t xml:space="preserve"> </w:t>
      </w:r>
      <w:proofErr w:type="spellStart"/>
      <w:r>
        <w:rPr>
          <w:rFonts w:eastAsia="Palatino Linotype"/>
          <w:sz w:val="22"/>
          <w:szCs w:val="22"/>
          <w:lang w:val="es-ES"/>
        </w:rPr>
        <w:t>the</w:t>
      </w:r>
      <w:proofErr w:type="spellEnd"/>
      <w:r>
        <w:rPr>
          <w:rFonts w:eastAsia="Palatino Linotype"/>
          <w:sz w:val="22"/>
          <w:szCs w:val="22"/>
          <w:lang w:val="es-ES"/>
        </w:rPr>
        <w:t xml:space="preserve"> </w:t>
      </w:r>
      <w:proofErr w:type="spellStart"/>
      <w:r>
        <w:rPr>
          <w:rFonts w:eastAsia="Palatino Linotype"/>
          <w:sz w:val="22"/>
          <w:szCs w:val="22"/>
          <w:lang w:val="es-ES"/>
        </w:rPr>
        <w:t>contract</w:t>
      </w:r>
      <w:proofErr w:type="spellEnd"/>
      <w:r>
        <w:rPr>
          <w:rFonts w:eastAsia="Palatino Linotype"/>
          <w:sz w:val="22"/>
          <w:szCs w:val="22"/>
          <w:lang w:val="es-ES"/>
        </w:rPr>
        <w:t xml:space="preserve"> </w:t>
      </w:r>
      <w:proofErr w:type="spellStart"/>
      <w:r>
        <w:rPr>
          <w:rFonts w:eastAsia="Palatino Linotype"/>
          <w:sz w:val="22"/>
          <w:szCs w:val="22"/>
          <w:lang w:val="es-ES"/>
        </w:rPr>
        <w:t>will</w:t>
      </w:r>
      <w:proofErr w:type="spellEnd"/>
      <w:r>
        <w:rPr>
          <w:rFonts w:eastAsia="Palatino Linotype"/>
          <w:sz w:val="22"/>
          <w:szCs w:val="22"/>
          <w:lang w:val="es-ES"/>
        </w:rPr>
        <w:t xml:space="preserve"> be </w:t>
      </w:r>
      <w:proofErr w:type="spellStart"/>
      <w:r>
        <w:rPr>
          <w:rFonts w:eastAsia="Palatino Linotype"/>
          <w:sz w:val="22"/>
          <w:szCs w:val="22"/>
          <w:lang w:val="es-ES"/>
        </w:rPr>
        <w:t>considered</w:t>
      </w:r>
      <w:proofErr w:type="spellEnd"/>
      <w:r>
        <w:rPr>
          <w:rFonts w:eastAsia="Palatino Linotype"/>
          <w:sz w:val="22"/>
          <w:szCs w:val="22"/>
          <w:lang w:val="es-ES"/>
        </w:rPr>
        <w:t xml:space="preserve"> </w:t>
      </w:r>
      <w:proofErr w:type="spellStart"/>
      <w:r>
        <w:rPr>
          <w:rFonts w:eastAsia="Palatino Linotype"/>
          <w:sz w:val="22"/>
          <w:szCs w:val="22"/>
          <w:lang w:val="es-ES"/>
        </w:rPr>
        <w:t>included</w:t>
      </w:r>
      <w:proofErr w:type="spellEnd"/>
      <w:r>
        <w:rPr>
          <w:rFonts w:eastAsia="Palatino Linotype"/>
          <w:sz w:val="22"/>
          <w:szCs w:val="22"/>
          <w:lang w:val="es-ES"/>
        </w:rPr>
        <w:t xml:space="preserve"> in </w:t>
      </w:r>
      <w:proofErr w:type="spellStart"/>
      <w:r>
        <w:rPr>
          <w:rFonts w:eastAsia="Palatino Linotype"/>
          <w:sz w:val="22"/>
          <w:szCs w:val="22"/>
          <w:lang w:val="es-ES"/>
        </w:rPr>
        <w:t>the</w:t>
      </w:r>
      <w:proofErr w:type="spellEnd"/>
      <w:r>
        <w:rPr>
          <w:rFonts w:eastAsia="Palatino Linotype"/>
          <w:sz w:val="22"/>
          <w:szCs w:val="22"/>
          <w:lang w:val="es-ES"/>
        </w:rPr>
        <w:t xml:space="preserve"> </w:t>
      </w:r>
      <w:proofErr w:type="spellStart"/>
      <w:r>
        <w:rPr>
          <w:rFonts w:eastAsia="Palatino Linotype"/>
          <w:sz w:val="22"/>
          <w:szCs w:val="22"/>
          <w:lang w:val="es-ES"/>
        </w:rPr>
        <w:t>quoted</w:t>
      </w:r>
      <w:proofErr w:type="spellEnd"/>
      <w:r>
        <w:rPr>
          <w:rFonts w:eastAsia="Palatino Linotype"/>
          <w:sz w:val="22"/>
          <w:szCs w:val="22"/>
          <w:lang w:val="es-ES"/>
        </w:rPr>
        <w:t xml:space="preserve"> </w:t>
      </w:r>
      <w:proofErr w:type="spellStart"/>
      <w:r>
        <w:rPr>
          <w:rFonts w:eastAsia="Palatino Linotype"/>
          <w:sz w:val="22"/>
          <w:szCs w:val="22"/>
          <w:lang w:val="es-ES"/>
        </w:rPr>
        <w:t>prices</w:t>
      </w:r>
      <w:proofErr w:type="spellEnd"/>
      <w:r>
        <w:rPr>
          <w:rFonts w:eastAsia="Palatino Linotype"/>
          <w:sz w:val="22"/>
          <w:szCs w:val="22"/>
          <w:lang w:val="es-ES"/>
        </w:rPr>
        <w:t>.</w:t>
      </w:r>
    </w:p>
    <w:p w14:paraId="653BC892" w14:textId="77777777" w:rsidR="00E255F4" w:rsidRDefault="00E255F4">
      <w:pPr>
        <w:ind w:right="-142"/>
        <w:jc w:val="both"/>
        <w:rPr>
          <w:rFonts w:eastAsia="Palatino Linotype"/>
          <w:sz w:val="22"/>
          <w:szCs w:val="22"/>
          <w:lang w:val="es-ES"/>
        </w:rPr>
      </w:pPr>
    </w:p>
    <w:p w14:paraId="418A7A1B" w14:textId="77777777" w:rsidR="00E255F4" w:rsidRDefault="00000000">
      <w:pPr>
        <w:ind w:right="-142"/>
        <w:jc w:val="both"/>
        <w:rPr>
          <w:rFonts w:eastAsia="Palatino Linotype"/>
          <w:sz w:val="22"/>
          <w:szCs w:val="22"/>
          <w:lang w:val="es-ES"/>
        </w:rPr>
      </w:pPr>
      <w:proofErr w:type="spellStart"/>
      <w:r>
        <w:rPr>
          <w:rFonts w:eastAsia="Palatino Linotype"/>
          <w:spacing w:val="-2"/>
          <w:sz w:val="22"/>
          <w:szCs w:val="22"/>
          <w:lang w:val="es-ES"/>
        </w:rPr>
        <w:t>AND</w:t>
      </w:r>
      <w:r>
        <w:rPr>
          <w:rFonts w:eastAsia="Palatino Linotype"/>
          <w:sz w:val="22"/>
          <w:szCs w:val="22"/>
          <w:lang w:val="es-ES"/>
        </w:rPr>
        <w:t>The</w:t>
      </w:r>
      <w:proofErr w:type="spellEnd"/>
      <w:r>
        <w:rPr>
          <w:rFonts w:eastAsia="Palatino Linotype"/>
          <w:sz w:val="22"/>
          <w:szCs w:val="22"/>
          <w:lang w:val="es-ES"/>
        </w:rPr>
        <w:t xml:space="preserve"> </w:t>
      </w:r>
      <w:proofErr w:type="spellStart"/>
      <w:r>
        <w:rPr>
          <w:rFonts w:eastAsia="Palatino Linotype"/>
          <w:sz w:val="22"/>
          <w:szCs w:val="22"/>
          <w:lang w:val="es-ES"/>
        </w:rPr>
        <w:t>bidder</w:t>
      </w:r>
      <w:proofErr w:type="spellEnd"/>
      <w:r>
        <w:rPr>
          <w:rFonts w:eastAsia="Palatino Linotype"/>
          <w:sz w:val="22"/>
          <w:szCs w:val="22"/>
          <w:lang w:val="es-ES"/>
        </w:rPr>
        <w:t xml:space="preserve">, </w:t>
      </w:r>
      <w:proofErr w:type="spellStart"/>
      <w:r>
        <w:rPr>
          <w:rFonts w:eastAsia="Palatino Linotype"/>
          <w:sz w:val="22"/>
          <w:szCs w:val="22"/>
          <w:lang w:val="es-ES"/>
        </w:rPr>
        <w:t>where</w:t>
      </w:r>
      <w:proofErr w:type="spellEnd"/>
      <w:r>
        <w:rPr>
          <w:rFonts w:eastAsia="Palatino Linotype"/>
          <w:sz w:val="22"/>
          <w:szCs w:val="22"/>
          <w:lang w:val="es-ES"/>
        </w:rPr>
        <w:t xml:space="preserve"> </w:t>
      </w:r>
      <w:proofErr w:type="spellStart"/>
      <w:r>
        <w:rPr>
          <w:rFonts w:eastAsia="Palatino Linotype"/>
          <w:sz w:val="22"/>
          <w:szCs w:val="22"/>
          <w:lang w:val="es-ES"/>
        </w:rPr>
        <w:t>applicable</w:t>
      </w:r>
      <w:proofErr w:type="spellEnd"/>
      <w:r>
        <w:rPr>
          <w:rFonts w:eastAsia="Palatino Linotype"/>
          <w:sz w:val="22"/>
          <w:szCs w:val="22"/>
          <w:lang w:val="es-ES"/>
        </w:rPr>
        <w:t xml:space="preserve">, </w:t>
      </w:r>
      <w:proofErr w:type="spellStart"/>
      <w:r>
        <w:rPr>
          <w:rFonts w:eastAsia="Palatino Linotype"/>
          <w:sz w:val="22"/>
          <w:szCs w:val="22"/>
          <w:lang w:val="es-ES"/>
        </w:rPr>
        <w:t>shall</w:t>
      </w:r>
      <w:proofErr w:type="spellEnd"/>
      <w:r>
        <w:rPr>
          <w:rFonts w:eastAsia="Palatino Linotype"/>
          <w:sz w:val="22"/>
          <w:szCs w:val="22"/>
          <w:lang w:val="es-ES"/>
        </w:rPr>
        <w:t xml:space="preserve"> </w:t>
      </w:r>
      <w:proofErr w:type="spellStart"/>
      <w:r>
        <w:rPr>
          <w:rFonts w:eastAsia="Palatino Linotype"/>
          <w:sz w:val="22"/>
          <w:szCs w:val="22"/>
          <w:lang w:val="es-ES"/>
        </w:rPr>
        <w:t>itemize</w:t>
      </w:r>
      <w:proofErr w:type="spellEnd"/>
      <w:r>
        <w:rPr>
          <w:rFonts w:eastAsia="Palatino Linotype"/>
          <w:sz w:val="22"/>
          <w:szCs w:val="22"/>
          <w:lang w:val="es-ES"/>
        </w:rPr>
        <w:t xml:space="preserve"> </w:t>
      </w:r>
      <w:proofErr w:type="spellStart"/>
      <w:r>
        <w:rPr>
          <w:rFonts w:eastAsia="Palatino Linotype"/>
          <w:sz w:val="22"/>
          <w:szCs w:val="22"/>
          <w:lang w:val="es-ES"/>
        </w:rPr>
        <w:t>the</w:t>
      </w:r>
      <w:proofErr w:type="spellEnd"/>
      <w:r>
        <w:rPr>
          <w:rFonts w:eastAsia="Palatino Linotype"/>
          <w:sz w:val="22"/>
          <w:szCs w:val="22"/>
          <w:lang w:val="es-ES"/>
        </w:rPr>
        <w:t xml:space="preserve"> </w:t>
      </w:r>
      <w:proofErr w:type="spellStart"/>
      <w:r>
        <w:rPr>
          <w:rFonts w:eastAsia="Palatino Linotype"/>
          <w:sz w:val="22"/>
          <w:szCs w:val="22"/>
          <w:lang w:val="es-ES"/>
        </w:rPr>
        <w:t>amount</w:t>
      </w:r>
      <w:proofErr w:type="spellEnd"/>
      <w:r>
        <w:rPr>
          <w:rFonts w:eastAsia="Palatino Linotype"/>
          <w:sz w:val="22"/>
          <w:szCs w:val="22"/>
          <w:lang w:val="es-ES"/>
        </w:rPr>
        <w:t xml:space="preserve"> </w:t>
      </w:r>
      <w:proofErr w:type="spellStart"/>
      <w:r>
        <w:rPr>
          <w:rFonts w:eastAsia="Palatino Linotype"/>
          <w:sz w:val="22"/>
          <w:szCs w:val="22"/>
          <w:lang w:val="es-ES"/>
        </w:rPr>
        <w:t>of</w:t>
      </w:r>
      <w:proofErr w:type="spellEnd"/>
      <w:r>
        <w:rPr>
          <w:rFonts w:eastAsia="Palatino Linotype"/>
          <w:sz w:val="22"/>
          <w:szCs w:val="22"/>
          <w:lang w:val="es-ES"/>
        </w:rPr>
        <w:t xml:space="preserve"> </w:t>
      </w:r>
      <w:proofErr w:type="spellStart"/>
      <w:r>
        <w:rPr>
          <w:rFonts w:eastAsia="Palatino Linotype"/>
          <w:sz w:val="22"/>
          <w:szCs w:val="22"/>
          <w:lang w:val="es-ES"/>
        </w:rPr>
        <w:t>any</w:t>
      </w:r>
      <w:proofErr w:type="spellEnd"/>
      <w:r>
        <w:rPr>
          <w:rFonts w:eastAsia="Palatino Linotype"/>
          <w:sz w:val="22"/>
          <w:szCs w:val="22"/>
          <w:lang w:val="es-ES"/>
        </w:rPr>
        <w:t xml:space="preserve"> </w:t>
      </w:r>
      <w:proofErr w:type="spellStart"/>
      <w:r>
        <w:rPr>
          <w:rFonts w:eastAsia="Palatino Linotype"/>
          <w:sz w:val="22"/>
          <w:szCs w:val="22"/>
          <w:lang w:val="es-ES"/>
        </w:rPr>
        <w:t>taxes</w:t>
      </w:r>
      <w:proofErr w:type="spellEnd"/>
      <w:r>
        <w:rPr>
          <w:rFonts w:eastAsia="Palatino Linotype"/>
          <w:sz w:val="22"/>
          <w:szCs w:val="22"/>
          <w:lang w:val="es-ES"/>
        </w:rPr>
        <w:t xml:space="preserve"> </w:t>
      </w:r>
      <w:proofErr w:type="spellStart"/>
      <w:r>
        <w:rPr>
          <w:rFonts w:eastAsia="Palatino Linotype"/>
          <w:sz w:val="22"/>
          <w:szCs w:val="22"/>
          <w:lang w:val="es-ES"/>
        </w:rPr>
        <w:t>for</w:t>
      </w:r>
      <w:proofErr w:type="spellEnd"/>
      <w:r>
        <w:rPr>
          <w:rFonts w:eastAsia="Palatino Linotype"/>
          <w:sz w:val="22"/>
          <w:szCs w:val="22"/>
          <w:lang w:val="es-ES"/>
        </w:rPr>
        <w:t xml:space="preserve"> </w:t>
      </w:r>
      <w:proofErr w:type="spellStart"/>
      <w:r>
        <w:rPr>
          <w:rFonts w:eastAsia="Palatino Linotype"/>
          <w:sz w:val="22"/>
          <w:szCs w:val="22"/>
          <w:lang w:val="es-ES"/>
        </w:rPr>
        <w:t>which</w:t>
      </w:r>
      <w:proofErr w:type="spellEnd"/>
      <w:r>
        <w:rPr>
          <w:rFonts w:eastAsia="Palatino Linotype"/>
          <w:sz w:val="22"/>
          <w:szCs w:val="22"/>
          <w:lang w:val="es-ES"/>
        </w:rPr>
        <w:t xml:space="preserve"> </w:t>
      </w:r>
      <w:proofErr w:type="spellStart"/>
      <w:r>
        <w:rPr>
          <w:rFonts w:eastAsia="Palatino Linotype"/>
          <w:sz w:val="22"/>
          <w:szCs w:val="22"/>
          <w:lang w:val="es-ES"/>
        </w:rPr>
        <w:t>the</w:t>
      </w:r>
      <w:proofErr w:type="spellEnd"/>
      <w:r>
        <w:rPr>
          <w:rFonts w:eastAsia="Palatino Linotype"/>
          <w:sz w:val="22"/>
          <w:szCs w:val="22"/>
          <w:lang w:val="es-ES"/>
        </w:rPr>
        <w:t xml:space="preserve"> </w:t>
      </w:r>
      <w:proofErr w:type="spellStart"/>
      <w:r>
        <w:rPr>
          <w:rFonts w:eastAsia="Palatino Linotype"/>
          <w:sz w:val="22"/>
          <w:szCs w:val="22"/>
          <w:lang w:val="es-ES"/>
        </w:rPr>
        <w:t>administration</w:t>
      </w:r>
      <w:proofErr w:type="spellEnd"/>
      <w:r>
        <w:rPr>
          <w:rFonts w:eastAsia="Palatino Linotype"/>
          <w:sz w:val="22"/>
          <w:szCs w:val="22"/>
          <w:lang w:val="es-ES"/>
        </w:rPr>
        <w:t xml:space="preserve"> </w:t>
      </w:r>
      <w:proofErr w:type="spellStart"/>
      <w:r>
        <w:rPr>
          <w:rFonts w:eastAsia="Palatino Linotype"/>
          <w:sz w:val="22"/>
          <w:szCs w:val="22"/>
          <w:lang w:val="es-ES"/>
        </w:rPr>
        <w:t>acts</w:t>
      </w:r>
      <w:proofErr w:type="spellEnd"/>
      <w:r>
        <w:rPr>
          <w:rFonts w:eastAsia="Palatino Linotype"/>
          <w:sz w:val="22"/>
          <w:szCs w:val="22"/>
          <w:lang w:val="es-ES"/>
        </w:rPr>
        <w:t xml:space="preserve"> as a </w:t>
      </w:r>
      <w:proofErr w:type="spellStart"/>
      <w:r>
        <w:rPr>
          <w:rFonts w:eastAsia="Palatino Linotype"/>
          <w:sz w:val="22"/>
          <w:szCs w:val="22"/>
          <w:lang w:val="es-ES"/>
        </w:rPr>
        <w:t>withholding</w:t>
      </w:r>
      <w:proofErr w:type="spellEnd"/>
      <w:r>
        <w:rPr>
          <w:rFonts w:eastAsia="Palatino Linotype"/>
          <w:sz w:val="22"/>
          <w:szCs w:val="22"/>
          <w:lang w:val="es-ES"/>
        </w:rPr>
        <w:t xml:space="preserve"> </w:t>
      </w:r>
      <w:proofErr w:type="spellStart"/>
      <w:r>
        <w:rPr>
          <w:rFonts w:eastAsia="Palatino Linotype"/>
          <w:sz w:val="22"/>
          <w:szCs w:val="22"/>
          <w:lang w:val="es-ES"/>
        </w:rPr>
        <w:t>agent</w:t>
      </w:r>
      <w:proofErr w:type="spellEnd"/>
      <w:r>
        <w:rPr>
          <w:rFonts w:eastAsia="Palatino Linotype"/>
          <w:sz w:val="22"/>
          <w:szCs w:val="22"/>
          <w:lang w:val="es-ES"/>
        </w:rPr>
        <w:t xml:space="preserve"> (</w:t>
      </w:r>
      <w:proofErr w:type="spellStart"/>
      <w:r>
        <w:rPr>
          <w:rFonts w:eastAsia="Palatino Linotype"/>
          <w:sz w:val="22"/>
          <w:szCs w:val="22"/>
          <w:lang w:val="es-ES"/>
        </w:rPr>
        <w:t>Value</w:t>
      </w:r>
      <w:proofErr w:type="spellEnd"/>
      <w:r>
        <w:rPr>
          <w:rFonts w:eastAsia="Palatino Linotype"/>
          <w:sz w:val="22"/>
          <w:szCs w:val="22"/>
          <w:lang w:val="es-ES"/>
        </w:rPr>
        <w:t xml:space="preserve"> Added Tax, Non-</w:t>
      </w:r>
      <w:proofErr w:type="spellStart"/>
      <w:r>
        <w:rPr>
          <w:rFonts w:eastAsia="Palatino Linotype"/>
          <w:sz w:val="22"/>
          <w:szCs w:val="22"/>
          <w:lang w:val="es-ES"/>
        </w:rPr>
        <w:t>Resident</w:t>
      </w:r>
      <w:proofErr w:type="spellEnd"/>
      <w:r>
        <w:rPr>
          <w:rFonts w:eastAsia="Palatino Linotype"/>
          <w:sz w:val="22"/>
          <w:szCs w:val="22"/>
          <w:lang w:val="es-ES"/>
        </w:rPr>
        <w:t xml:space="preserve"> </w:t>
      </w:r>
      <w:proofErr w:type="spellStart"/>
      <w:r>
        <w:rPr>
          <w:rFonts w:eastAsia="Palatino Linotype"/>
          <w:sz w:val="22"/>
          <w:szCs w:val="22"/>
          <w:lang w:val="es-ES"/>
        </w:rPr>
        <w:t>Income</w:t>
      </w:r>
      <w:proofErr w:type="spellEnd"/>
      <w:r>
        <w:rPr>
          <w:rFonts w:eastAsia="Palatino Linotype"/>
          <w:sz w:val="22"/>
          <w:szCs w:val="22"/>
          <w:lang w:val="es-ES"/>
        </w:rPr>
        <w:t xml:space="preserve"> Tax, </w:t>
      </w:r>
      <w:proofErr w:type="spellStart"/>
      <w:r>
        <w:rPr>
          <w:rFonts w:eastAsia="Palatino Linotype"/>
          <w:sz w:val="22"/>
          <w:szCs w:val="22"/>
          <w:lang w:val="es-ES"/>
        </w:rPr>
        <w:t>or</w:t>
      </w:r>
      <w:proofErr w:type="spellEnd"/>
      <w:r>
        <w:rPr>
          <w:rFonts w:eastAsia="Palatino Linotype"/>
          <w:sz w:val="22"/>
          <w:szCs w:val="22"/>
          <w:lang w:val="es-ES"/>
        </w:rPr>
        <w:t xml:space="preserve"> </w:t>
      </w:r>
      <w:proofErr w:type="spellStart"/>
      <w:r>
        <w:rPr>
          <w:rFonts w:eastAsia="Palatino Linotype"/>
          <w:sz w:val="22"/>
          <w:szCs w:val="22"/>
          <w:lang w:val="es-ES"/>
        </w:rPr>
        <w:t>other</w:t>
      </w:r>
      <w:proofErr w:type="spellEnd"/>
      <w:r>
        <w:rPr>
          <w:rFonts w:eastAsia="Palatino Linotype"/>
          <w:sz w:val="22"/>
          <w:szCs w:val="22"/>
          <w:lang w:val="es-ES"/>
        </w:rPr>
        <w:t xml:space="preserve"> </w:t>
      </w:r>
      <w:proofErr w:type="spellStart"/>
      <w:r>
        <w:rPr>
          <w:rFonts w:eastAsia="Palatino Linotype"/>
          <w:sz w:val="22"/>
          <w:szCs w:val="22"/>
          <w:lang w:val="es-ES"/>
        </w:rPr>
        <w:t>applicable</w:t>
      </w:r>
      <w:proofErr w:type="spellEnd"/>
      <w:r>
        <w:rPr>
          <w:rFonts w:eastAsia="Palatino Linotype"/>
          <w:sz w:val="22"/>
          <w:szCs w:val="22"/>
          <w:lang w:val="es-ES"/>
        </w:rPr>
        <w:t xml:space="preserve"> </w:t>
      </w:r>
      <w:proofErr w:type="spellStart"/>
      <w:r>
        <w:rPr>
          <w:rFonts w:eastAsia="Palatino Linotype"/>
          <w:sz w:val="22"/>
          <w:szCs w:val="22"/>
          <w:lang w:val="es-ES"/>
        </w:rPr>
        <w:t>tax</w:t>
      </w:r>
      <w:proofErr w:type="spellEnd"/>
      <w:r>
        <w:rPr>
          <w:rFonts w:eastAsia="Palatino Linotype"/>
          <w:sz w:val="22"/>
          <w:szCs w:val="22"/>
          <w:lang w:val="es-ES"/>
        </w:rPr>
        <w:t xml:space="preserve">) </w:t>
      </w:r>
      <w:proofErr w:type="spellStart"/>
      <w:r>
        <w:rPr>
          <w:rFonts w:eastAsia="Palatino Linotype"/>
          <w:sz w:val="22"/>
          <w:szCs w:val="22"/>
          <w:lang w:val="es-ES"/>
        </w:rPr>
        <w:t>from</w:t>
      </w:r>
      <w:proofErr w:type="spellEnd"/>
      <w:r>
        <w:rPr>
          <w:rFonts w:eastAsia="Palatino Linotype"/>
          <w:sz w:val="22"/>
          <w:szCs w:val="22"/>
          <w:lang w:val="es-ES"/>
        </w:rPr>
        <w:t xml:space="preserve"> </w:t>
      </w:r>
      <w:proofErr w:type="spellStart"/>
      <w:r>
        <w:rPr>
          <w:rFonts w:eastAsia="Palatino Linotype"/>
          <w:sz w:val="22"/>
          <w:szCs w:val="22"/>
          <w:lang w:val="es-ES"/>
        </w:rPr>
        <w:t>the</w:t>
      </w:r>
      <w:proofErr w:type="spellEnd"/>
      <w:r>
        <w:rPr>
          <w:rFonts w:eastAsia="Palatino Linotype"/>
          <w:sz w:val="22"/>
          <w:szCs w:val="22"/>
          <w:lang w:val="es-ES"/>
        </w:rPr>
        <w:t xml:space="preserve"> total </w:t>
      </w:r>
      <w:proofErr w:type="spellStart"/>
      <w:r>
        <w:rPr>
          <w:rFonts w:eastAsia="Palatino Linotype"/>
          <w:sz w:val="22"/>
          <w:szCs w:val="22"/>
          <w:lang w:val="es-ES"/>
        </w:rPr>
        <w:t>bid</w:t>
      </w:r>
      <w:proofErr w:type="spellEnd"/>
      <w:r>
        <w:rPr>
          <w:rFonts w:eastAsia="Palatino Linotype"/>
          <w:sz w:val="22"/>
          <w:szCs w:val="22"/>
          <w:lang w:val="es-ES"/>
        </w:rPr>
        <w:t xml:space="preserve"> </w:t>
      </w:r>
      <w:proofErr w:type="spellStart"/>
      <w:r>
        <w:rPr>
          <w:rFonts w:eastAsia="Palatino Linotype"/>
          <w:sz w:val="22"/>
          <w:szCs w:val="22"/>
          <w:lang w:val="es-ES"/>
        </w:rPr>
        <w:t>price</w:t>
      </w:r>
      <w:proofErr w:type="spellEnd"/>
      <w:r>
        <w:rPr>
          <w:rFonts w:eastAsia="Palatino Linotype"/>
          <w:sz w:val="22"/>
          <w:szCs w:val="22"/>
          <w:lang w:val="es-ES"/>
        </w:rPr>
        <w:t xml:space="preserve">. </w:t>
      </w:r>
      <w:proofErr w:type="spellStart"/>
      <w:r>
        <w:rPr>
          <w:rFonts w:eastAsia="Palatino Linotype"/>
          <w:sz w:val="22"/>
          <w:szCs w:val="22"/>
          <w:lang w:val="es-ES"/>
        </w:rPr>
        <w:t>If</w:t>
      </w:r>
      <w:proofErr w:type="spellEnd"/>
      <w:r>
        <w:rPr>
          <w:rFonts w:eastAsia="Palatino Linotype"/>
          <w:sz w:val="22"/>
          <w:szCs w:val="22"/>
          <w:lang w:val="es-ES"/>
        </w:rPr>
        <w:t xml:space="preserve"> </w:t>
      </w:r>
      <w:proofErr w:type="spellStart"/>
      <w:r>
        <w:rPr>
          <w:rFonts w:eastAsia="Palatino Linotype"/>
          <w:sz w:val="22"/>
          <w:szCs w:val="22"/>
          <w:lang w:val="es-ES"/>
        </w:rPr>
        <w:t>the</w:t>
      </w:r>
      <w:proofErr w:type="spellEnd"/>
      <w:r>
        <w:rPr>
          <w:rFonts w:eastAsia="Palatino Linotype"/>
          <w:sz w:val="22"/>
          <w:szCs w:val="22"/>
          <w:lang w:val="es-ES"/>
        </w:rPr>
        <w:t xml:space="preserve"> </w:t>
      </w:r>
      <w:proofErr w:type="spellStart"/>
      <w:r>
        <w:rPr>
          <w:rFonts w:eastAsia="Palatino Linotype"/>
          <w:sz w:val="22"/>
          <w:szCs w:val="22"/>
          <w:lang w:val="es-ES"/>
        </w:rPr>
        <w:t>bidder</w:t>
      </w:r>
      <w:proofErr w:type="spellEnd"/>
      <w:r>
        <w:rPr>
          <w:rFonts w:eastAsia="Palatino Linotype"/>
          <w:sz w:val="22"/>
          <w:szCs w:val="22"/>
          <w:lang w:val="es-ES"/>
        </w:rPr>
        <w:t xml:space="preserve"> </w:t>
      </w:r>
      <w:proofErr w:type="spellStart"/>
      <w:r>
        <w:rPr>
          <w:rFonts w:eastAsia="Palatino Linotype"/>
          <w:sz w:val="22"/>
          <w:szCs w:val="22"/>
          <w:lang w:val="es-ES"/>
        </w:rPr>
        <w:t>does</w:t>
      </w:r>
      <w:proofErr w:type="spellEnd"/>
      <w:r>
        <w:rPr>
          <w:rFonts w:eastAsia="Palatino Linotype"/>
          <w:sz w:val="22"/>
          <w:szCs w:val="22"/>
          <w:lang w:val="es-ES"/>
        </w:rPr>
        <w:t xml:space="preserve"> </w:t>
      </w:r>
      <w:proofErr w:type="spellStart"/>
      <w:r>
        <w:rPr>
          <w:rFonts w:eastAsia="Palatino Linotype"/>
          <w:sz w:val="22"/>
          <w:szCs w:val="22"/>
          <w:lang w:val="es-ES"/>
        </w:rPr>
        <w:t>not</w:t>
      </w:r>
      <w:proofErr w:type="spellEnd"/>
      <w:r>
        <w:rPr>
          <w:rFonts w:eastAsia="Palatino Linotype"/>
          <w:sz w:val="22"/>
          <w:szCs w:val="22"/>
          <w:lang w:val="es-ES"/>
        </w:rPr>
        <w:t xml:space="preserve"> </w:t>
      </w:r>
      <w:proofErr w:type="spellStart"/>
      <w:r>
        <w:rPr>
          <w:rFonts w:eastAsia="Palatino Linotype"/>
          <w:sz w:val="22"/>
          <w:szCs w:val="22"/>
          <w:lang w:val="es-ES"/>
        </w:rPr>
        <w:t>expressly</w:t>
      </w:r>
      <w:proofErr w:type="spellEnd"/>
      <w:r>
        <w:rPr>
          <w:rFonts w:eastAsia="Palatino Linotype"/>
          <w:sz w:val="22"/>
          <w:szCs w:val="22"/>
          <w:lang w:val="es-ES"/>
        </w:rPr>
        <w:t xml:space="preserve"> </w:t>
      </w:r>
      <w:proofErr w:type="spellStart"/>
      <w:r>
        <w:rPr>
          <w:rFonts w:eastAsia="Palatino Linotype"/>
          <w:sz w:val="22"/>
          <w:szCs w:val="22"/>
          <w:lang w:val="es-ES"/>
        </w:rPr>
        <w:t>state</w:t>
      </w:r>
      <w:proofErr w:type="spellEnd"/>
      <w:r>
        <w:rPr>
          <w:rFonts w:eastAsia="Palatino Linotype"/>
          <w:sz w:val="22"/>
          <w:szCs w:val="22"/>
          <w:lang w:val="es-ES"/>
        </w:rPr>
        <w:t xml:space="preserve"> </w:t>
      </w:r>
      <w:proofErr w:type="spellStart"/>
      <w:r>
        <w:rPr>
          <w:rFonts w:eastAsia="Palatino Linotype"/>
          <w:sz w:val="22"/>
          <w:szCs w:val="22"/>
          <w:lang w:val="es-ES"/>
        </w:rPr>
        <w:t>this</w:t>
      </w:r>
      <w:proofErr w:type="spellEnd"/>
      <w:r>
        <w:rPr>
          <w:rFonts w:eastAsia="Palatino Linotype"/>
          <w:sz w:val="22"/>
          <w:szCs w:val="22"/>
          <w:lang w:val="es-ES"/>
        </w:rPr>
        <w:t xml:space="preserve">, </w:t>
      </w:r>
      <w:proofErr w:type="spellStart"/>
      <w:r>
        <w:rPr>
          <w:rFonts w:eastAsia="Palatino Linotype"/>
          <w:sz w:val="22"/>
          <w:szCs w:val="22"/>
          <w:lang w:val="es-ES"/>
        </w:rPr>
        <w:t>these</w:t>
      </w:r>
      <w:proofErr w:type="spellEnd"/>
      <w:r>
        <w:rPr>
          <w:rFonts w:eastAsia="Palatino Linotype"/>
          <w:sz w:val="22"/>
          <w:szCs w:val="22"/>
          <w:lang w:val="es-ES"/>
        </w:rPr>
        <w:t xml:space="preserve"> </w:t>
      </w:r>
      <w:proofErr w:type="spellStart"/>
      <w:r>
        <w:rPr>
          <w:rFonts w:eastAsia="Palatino Linotype"/>
          <w:sz w:val="22"/>
          <w:szCs w:val="22"/>
          <w:lang w:val="es-ES"/>
        </w:rPr>
        <w:t>taxes</w:t>
      </w:r>
      <w:proofErr w:type="spellEnd"/>
      <w:r>
        <w:rPr>
          <w:rFonts w:eastAsia="Palatino Linotype"/>
          <w:sz w:val="22"/>
          <w:szCs w:val="22"/>
          <w:lang w:val="es-ES"/>
        </w:rPr>
        <w:t xml:space="preserve"> </w:t>
      </w:r>
      <w:proofErr w:type="spellStart"/>
      <w:r>
        <w:rPr>
          <w:rFonts w:eastAsia="Palatino Linotype"/>
          <w:sz w:val="22"/>
          <w:szCs w:val="22"/>
          <w:lang w:val="es-ES"/>
        </w:rPr>
        <w:t>shall</w:t>
      </w:r>
      <w:proofErr w:type="spellEnd"/>
      <w:r>
        <w:rPr>
          <w:rFonts w:eastAsia="Palatino Linotype"/>
          <w:sz w:val="22"/>
          <w:szCs w:val="22"/>
          <w:lang w:val="es-ES"/>
        </w:rPr>
        <w:t xml:space="preserve"> be </w:t>
      </w:r>
      <w:proofErr w:type="spellStart"/>
      <w:r>
        <w:rPr>
          <w:rFonts w:eastAsia="Palatino Linotype"/>
          <w:sz w:val="22"/>
          <w:szCs w:val="22"/>
          <w:lang w:val="es-ES"/>
        </w:rPr>
        <w:t>considered</w:t>
      </w:r>
      <w:proofErr w:type="spellEnd"/>
      <w:r>
        <w:rPr>
          <w:rFonts w:eastAsia="Palatino Linotype"/>
          <w:sz w:val="22"/>
          <w:szCs w:val="22"/>
          <w:lang w:val="es-ES"/>
        </w:rPr>
        <w:t xml:space="preserve"> </w:t>
      </w:r>
      <w:proofErr w:type="spellStart"/>
      <w:r>
        <w:rPr>
          <w:rFonts w:eastAsia="Palatino Linotype"/>
          <w:sz w:val="22"/>
          <w:szCs w:val="22"/>
          <w:lang w:val="es-ES"/>
        </w:rPr>
        <w:t>included</w:t>
      </w:r>
      <w:proofErr w:type="spellEnd"/>
      <w:r>
        <w:rPr>
          <w:rFonts w:eastAsia="Palatino Linotype"/>
          <w:sz w:val="22"/>
          <w:szCs w:val="22"/>
          <w:lang w:val="es-ES"/>
        </w:rPr>
        <w:t xml:space="preserve"> in </w:t>
      </w:r>
      <w:proofErr w:type="spellStart"/>
      <w:r>
        <w:rPr>
          <w:rFonts w:eastAsia="Palatino Linotype"/>
          <w:sz w:val="22"/>
          <w:szCs w:val="22"/>
          <w:lang w:val="es-ES"/>
        </w:rPr>
        <w:t>the</w:t>
      </w:r>
      <w:proofErr w:type="spellEnd"/>
      <w:r>
        <w:rPr>
          <w:rFonts w:eastAsia="Palatino Linotype"/>
          <w:sz w:val="22"/>
          <w:szCs w:val="22"/>
          <w:lang w:val="es-ES"/>
        </w:rPr>
        <w:t xml:space="preserve"> </w:t>
      </w:r>
      <w:proofErr w:type="spellStart"/>
      <w:r>
        <w:rPr>
          <w:rFonts w:eastAsia="Palatino Linotype"/>
          <w:sz w:val="22"/>
          <w:szCs w:val="22"/>
          <w:lang w:val="es-ES"/>
        </w:rPr>
        <w:t>bid</w:t>
      </w:r>
      <w:proofErr w:type="spellEnd"/>
      <w:r>
        <w:rPr>
          <w:rFonts w:eastAsia="Palatino Linotype"/>
          <w:sz w:val="22"/>
          <w:szCs w:val="22"/>
          <w:lang w:val="es-ES"/>
        </w:rPr>
        <w:t xml:space="preserve"> </w:t>
      </w:r>
      <w:proofErr w:type="spellStart"/>
      <w:r>
        <w:rPr>
          <w:rFonts w:eastAsia="Palatino Linotype"/>
          <w:sz w:val="22"/>
          <w:szCs w:val="22"/>
          <w:lang w:val="es-ES"/>
        </w:rPr>
        <w:t>amount</w:t>
      </w:r>
      <w:proofErr w:type="spellEnd"/>
      <w:r>
        <w:rPr>
          <w:rFonts w:eastAsia="Palatino Linotype"/>
          <w:sz w:val="22"/>
          <w:szCs w:val="22"/>
          <w:lang w:val="es-ES"/>
        </w:rPr>
        <w:t>.</w:t>
      </w:r>
    </w:p>
    <w:p w14:paraId="787B3B51" w14:textId="77777777" w:rsidR="00E255F4" w:rsidRDefault="00E255F4">
      <w:pPr>
        <w:ind w:right="-142"/>
        <w:jc w:val="both"/>
        <w:rPr>
          <w:rFonts w:eastAsia="Palatino Linotype"/>
          <w:sz w:val="22"/>
          <w:szCs w:val="22"/>
          <w:lang w:val="es-ES"/>
        </w:rPr>
      </w:pPr>
    </w:p>
    <w:p w14:paraId="2A9F86A4" w14:textId="77777777" w:rsidR="00E255F4" w:rsidRDefault="00000000">
      <w:pPr>
        <w:ind w:right="-142"/>
        <w:jc w:val="both"/>
        <w:rPr>
          <w:rFonts w:eastAsia="Palatino Linotype"/>
          <w:spacing w:val="-1"/>
          <w:sz w:val="22"/>
          <w:szCs w:val="22"/>
          <w:lang w:val="es-ES"/>
        </w:rPr>
      </w:pPr>
      <w:proofErr w:type="spellStart"/>
      <w:r>
        <w:rPr>
          <w:rFonts w:eastAsia="Palatino Linotype"/>
          <w:spacing w:val="3"/>
          <w:sz w:val="22"/>
          <w:szCs w:val="22"/>
          <w:lang w:val="es-ES"/>
        </w:rPr>
        <w:t>The</w:t>
      </w:r>
      <w:r>
        <w:rPr>
          <w:rFonts w:eastAsia="Palatino Linotype"/>
          <w:sz w:val="22"/>
          <w:szCs w:val="22"/>
          <w:lang w:val="es-ES"/>
        </w:rPr>
        <w:t>The</w:t>
      </w:r>
      <w:proofErr w:type="spellEnd"/>
      <w:r>
        <w:rPr>
          <w:rFonts w:eastAsia="Palatino Linotype"/>
          <w:sz w:val="22"/>
          <w:szCs w:val="22"/>
          <w:lang w:val="es-ES"/>
        </w:rPr>
        <w:t xml:space="preserve"> </w:t>
      </w:r>
      <w:proofErr w:type="spellStart"/>
      <w:r>
        <w:rPr>
          <w:rFonts w:eastAsia="Palatino Linotype"/>
          <w:sz w:val="22"/>
          <w:szCs w:val="22"/>
          <w:lang w:val="es-ES"/>
        </w:rPr>
        <w:t>creation</w:t>
      </w:r>
      <w:proofErr w:type="spellEnd"/>
      <w:r>
        <w:rPr>
          <w:rFonts w:eastAsia="Palatino Linotype"/>
          <w:sz w:val="22"/>
          <w:szCs w:val="22"/>
          <w:lang w:val="es-ES"/>
        </w:rPr>
        <w:t xml:space="preserve">, </w:t>
      </w:r>
      <w:proofErr w:type="spellStart"/>
      <w:r>
        <w:rPr>
          <w:rFonts w:eastAsia="Palatino Linotype"/>
          <w:sz w:val="22"/>
          <w:szCs w:val="22"/>
          <w:lang w:val="es-ES"/>
        </w:rPr>
        <w:t>elimination</w:t>
      </w:r>
      <w:proofErr w:type="spellEnd"/>
      <w:r>
        <w:rPr>
          <w:rFonts w:eastAsia="Palatino Linotype"/>
          <w:sz w:val="22"/>
          <w:szCs w:val="22"/>
          <w:lang w:val="es-ES"/>
        </w:rPr>
        <w:t xml:space="preserve"> </w:t>
      </w:r>
      <w:proofErr w:type="spellStart"/>
      <w:r>
        <w:rPr>
          <w:rFonts w:eastAsia="Palatino Linotype"/>
          <w:sz w:val="22"/>
          <w:szCs w:val="22"/>
          <w:lang w:val="es-ES"/>
        </w:rPr>
        <w:t>or</w:t>
      </w:r>
      <w:proofErr w:type="spellEnd"/>
      <w:r>
        <w:rPr>
          <w:rFonts w:eastAsia="Palatino Linotype"/>
          <w:sz w:val="22"/>
          <w:szCs w:val="22"/>
          <w:lang w:val="es-ES"/>
        </w:rPr>
        <w:t xml:space="preserve"> </w:t>
      </w:r>
      <w:proofErr w:type="spellStart"/>
      <w:r>
        <w:rPr>
          <w:rFonts w:eastAsia="Palatino Linotype"/>
          <w:sz w:val="22"/>
          <w:szCs w:val="22"/>
          <w:lang w:val="es-ES"/>
        </w:rPr>
        <w:t>modification</w:t>
      </w:r>
      <w:proofErr w:type="spellEnd"/>
      <w:r>
        <w:rPr>
          <w:rFonts w:eastAsia="Palatino Linotype"/>
          <w:sz w:val="22"/>
          <w:szCs w:val="22"/>
          <w:lang w:val="es-ES"/>
        </w:rPr>
        <w:t xml:space="preserve"> </w:t>
      </w:r>
      <w:proofErr w:type="spellStart"/>
      <w:r>
        <w:rPr>
          <w:rFonts w:eastAsia="Palatino Linotype"/>
          <w:sz w:val="22"/>
          <w:szCs w:val="22"/>
          <w:lang w:val="es-ES"/>
        </w:rPr>
        <w:t>of</w:t>
      </w:r>
      <w:proofErr w:type="spellEnd"/>
      <w:r>
        <w:rPr>
          <w:rFonts w:eastAsia="Palatino Linotype"/>
          <w:sz w:val="22"/>
          <w:szCs w:val="22"/>
          <w:lang w:val="es-ES"/>
        </w:rPr>
        <w:t xml:space="preserve"> </w:t>
      </w:r>
      <w:proofErr w:type="spellStart"/>
      <w:r>
        <w:rPr>
          <w:rFonts w:eastAsia="Palatino Linotype"/>
          <w:sz w:val="22"/>
          <w:szCs w:val="22"/>
          <w:lang w:val="es-ES"/>
        </w:rPr>
        <w:t>taxes</w:t>
      </w:r>
      <w:proofErr w:type="spellEnd"/>
      <w:r>
        <w:rPr>
          <w:rFonts w:eastAsia="Palatino Linotype"/>
          <w:sz w:val="22"/>
          <w:szCs w:val="22"/>
          <w:lang w:val="es-ES"/>
        </w:rPr>
        <w:t xml:space="preserve"> </w:t>
      </w:r>
      <w:proofErr w:type="spellStart"/>
      <w:r>
        <w:rPr>
          <w:rFonts w:eastAsia="Palatino Linotype"/>
          <w:sz w:val="22"/>
          <w:szCs w:val="22"/>
          <w:lang w:val="es-ES"/>
        </w:rPr>
        <w:t>levied</w:t>
      </w:r>
      <w:proofErr w:type="spellEnd"/>
      <w:r>
        <w:rPr>
          <w:rFonts w:eastAsia="Palatino Linotype"/>
          <w:sz w:val="22"/>
          <w:szCs w:val="22"/>
          <w:lang w:val="es-ES"/>
        </w:rPr>
        <w:t xml:space="preserve"> </w:t>
      </w:r>
      <w:proofErr w:type="spellStart"/>
      <w:r>
        <w:rPr>
          <w:rFonts w:eastAsia="Palatino Linotype"/>
          <w:sz w:val="22"/>
          <w:szCs w:val="22"/>
          <w:lang w:val="es-ES"/>
        </w:rPr>
        <w:t>on</w:t>
      </w:r>
      <w:proofErr w:type="spellEnd"/>
      <w:r>
        <w:rPr>
          <w:rFonts w:eastAsia="Palatino Linotype"/>
          <w:sz w:val="22"/>
          <w:szCs w:val="22"/>
          <w:lang w:val="es-ES"/>
        </w:rPr>
        <w:t xml:space="preserve"> </w:t>
      </w:r>
      <w:proofErr w:type="spellStart"/>
      <w:r>
        <w:rPr>
          <w:rFonts w:eastAsia="Palatino Linotype"/>
          <w:sz w:val="22"/>
          <w:szCs w:val="22"/>
          <w:lang w:val="es-ES"/>
        </w:rPr>
        <w:t>the</w:t>
      </w:r>
      <w:proofErr w:type="spellEnd"/>
      <w:r>
        <w:rPr>
          <w:rFonts w:eastAsia="Palatino Linotype"/>
          <w:sz w:val="22"/>
          <w:szCs w:val="22"/>
          <w:lang w:val="es-ES"/>
        </w:rPr>
        <w:t xml:space="preserve"> final </w:t>
      </w:r>
      <w:proofErr w:type="spellStart"/>
      <w:r>
        <w:rPr>
          <w:rFonts w:eastAsia="Palatino Linotype"/>
          <w:sz w:val="22"/>
          <w:szCs w:val="22"/>
          <w:lang w:val="es-ES"/>
        </w:rPr>
        <w:t>stage</w:t>
      </w:r>
      <w:proofErr w:type="spellEnd"/>
      <w:r>
        <w:rPr>
          <w:rFonts w:eastAsia="Palatino Linotype"/>
          <w:sz w:val="22"/>
          <w:szCs w:val="22"/>
          <w:lang w:val="es-ES"/>
        </w:rPr>
        <w:t xml:space="preserve"> </w:t>
      </w:r>
      <w:proofErr w:type="spellStart"/>
      <w:r>
        <w:rPr>
          <w:rFonts w:eastAsia="Palatino Linotype"/>
          <w:sz w:val="22"/>
          <w:szCs w:val="22"/>
          <w:lang w:val="es-ES"/>
        </w:rPr>
        <w:t>of</w:t>
      </w:r>
      <w:proofErr w:type="spellEnd"/>
      <w:r>
        <w:rPr>
          <w:rFonts w:eastAsia="Palatino Linotype"/>
          <w:sz w:val="22"/>
          <w:szCs w:val="22"/>
          <w:lang w:val="es-ES"/>
        </w:rPr>
        <w:t xml:space="preserve"> </w:t>
      </w:r>
      <w:proofErr w:type="spellStart"/>
      <w:r>
        <w:rPr>
          <w:rFonts w:eastAsia="Palatino Linotype"/>
          <w:sz w:val="22"/>
          <w:szCs w:val="22"/>
          <w:lang w:val="es-ES"/>
        </w:rPr>
        <w:t>the</w:t>
      </w:r>
      <w:proofErr w:type="spellEnd"/>
      <w:r>
        <w:rPr>
          <w:rFonts w:eastAsia="Palatino Linotype"/>
          <w:sz w:val="22"/>
          <w:szCs w:val="22"/>
          <w:lang w:val="es-ES"/>
        </w:rPr>
        <w:t xml:space="preserve"> marketing </w:t>
      </w:r>
      <w:proofErr w:type="spellStart"/>
      <w:r>
        <w:rPr>
          <w:rFonts w:eastAsia="Palatino Linotype"/>
          <w:sz w:val="22"/>
          <w:szCs w:val="22"/>
          <w:lang w:val="es-ES"/>
        </w:rPr>
        <w:t>of</w:t>
      </w:r>
      <w:proofErr w:type="spellEnd"/>
      <w:r>
        <w:rPr>
          <w:rFonts w:eastAsia="Palatino Linotype"/>
          <w:sz w:val="22"/>
          <w:szCs w:val="22"/>
          <w:lang w:val="es-ES"/>
        </w:rPr>
        <w:t xml:space="preserve"> </w:t>
      </w:r>
      <w:proofErr w:type="spellStart"/>
      <w:r>
        <w:rPr>
          <w:rFonts w:eastAsia="Palatino Linotype"/>
          <w:sz w:val="22"/>
          <w:szCs w:val="22"/>
          <w:lang w:val="es-ES"/>
        </w:rPr>
        <w:t>goods</w:t>
      </w:r>
      <w:proofErr w:type="spellEnd"/>
      <w:r>
        <w:rPr>
          <w:rFonts w:eastAsia="Palatino Linotype"/>
          <w:sz w:val="22"/>
          <w:szCs w:val="22"/>
          <w:lang w:val="es-ES"/>
        </w:rPr>
        <w:t xml:space="preserve"> </w:t>
      </w:r>
      <w:proofErr w:type="spellStart"/>
      <w:r>
        <w:rPr>
          <w:rFonts w:eastAsia="Palatino Linotype"/>
          <w:sz w:val="22"/>
          <w:szCs w:val="22"/>
          <w:lang w:val="es-ES"/>
        </w:rPr>
        <w:t>or</w:t>
      </w:r>
      <w:proofErr w:type="spellEnd"/>
      <w:r>
        <w:rPr>
          <w:rFonts w:eastAsia="Palatino Linotype"/>
          <w:sz w:val="22"/>
          <w:szCs w:val="22"/>
          <w:lang w:val="es-ES"/>
        </w:rPr>
        <w:t xml:space="preserve"> </w:t>
      </w:r>
      <w:proofErr w:type="spellStart"/>
      <w:r>
        <w:rPr>
          <w:rFonts w:eastAsia="Palatino Linotype"/>
          <w:sz w:val="22"/>
          <w:szCs w:val="22"/>
          <w:lang w:val="es-ES"/>
        </w:rPr>
        <w:t>provision</w:t>
      </w:r>
      <w:proofErr w:type="spellEnd"/>
      <w:r>
        <w:rPr>
          <w:rFonts w:eastAsia="Palatino Linotype"/>
          <w:sz w:val="22"/>
          <w:szCs w:val="22"/>
          <w:lang w:val="es-ES"/>
        </w:rPr>
        <w:t xml:space="preserve"> </w:t>
      </w:r>
      <w:proofErr w:type="spellStart"/>
      <w:r>
        <w:rPr>
          <w:rFonts w:eastAsia="Palatino Linotype"/>
          <w:sz w:val="22"/>
          <w:szCs w:val="22"/>
          <w:lang w:val="es-ES"/>
        </w:rPr>
        <w:t>of</w:t>
      </w:r>
      <w:proofErr w:type="spellEnd"/>
      <w:r>
        <w:rPr>
          <w:rFonts w:eastAsia="Palatino Linotype"/>
          <w:sz w:val="22"/>
          <w:szCs w:val="22"/>
          <w:lang w:val="es-ES"/>
        </w:rPr>
        <w:t xml:space="preserve"> </w:t>
      </w:r>
      <w:proofErr w:type="spellStart"/>
      <w:r>
        <w:rPr>
          <w:rFonts w:eastAsia="Palatino Linotype"/>
          <w:sz w:val="22"/>
          <w:szCs w:val="22"/>
          <w:lang w:val="es-ES"/>
        </w:rPr>
        <w:t>services</w:t>
      </w:r>
      <w:proofErr w:type="spellEnd"/>
      <w:r>
        <w:rPr>
          <w:rFonts w:eastAsia="Palatino Linotype"/>
          <w:sz w:val="22"/>
          <w:szCs w:val="22"/>
          <w:lang w:val="es-ES"/>
        </w:rPr>
        <w:t xml:space="preserve"> </w:t>
      </w:r>
      <w:proofErr w:type="spellStart"/>
      <w:r>
        <w:rPr>
          <w:rFonts w:eastAsia="Palatino Linotype"/>
          <w:sz w:val="22"/>
          <w:szCs w:val="22"/>
          <w:lang w:val="es-ES"/>
        </w:rPr>
        <w:t>will</w:t>
      </w:r>
      <w:proofErr w:type="spellEnd"/>
      <w:r>
        <w:rPr>
          <w:rFonts w:eastAsia="Palatino Linotype"/>
          <w:sz w:val="22"/>
          <w:szCs w:val="22"/>
          <w:lang w:val="es-ES"/>
        </w:rPr>
        <w:t xml:space="preserve"> be </w:t>
      </w:r>
      <w:proofErr w:type="spellStart"/>
      <w:r>
        <w:rPr>
          <w:rFonts w:eastAsia="Palatino Linotype"/>
          <w:sz w:val="22"/>
          <w:szCs w:val="22"/>
          <w:lang w:val="es-ES"/>
        </w:rPr>
        <w:t>recognized</w:t>
      </w:r>
      <w:proofErr w:type="spellEnd"/>
      <w:r>
        <w:rPr>
          <w:rFonts w:eastAsia="Palatino Linotype"/>
          <w:sz w:val="22"/>
          <w:szCs w:val="22"/>
          <w:lang w:val="es-ES"/>
        </w:rPr>
        <w:t xml:space="preserve"> in </w:t>
      </w:r>
      <w:proofErr w:type="spellStart"/>
      <w:r>
        <w:rPr>
          <w:rFonts w:eastAsia="Palatino Linotype"/>
          <w:sz w:val="22"/>
          <w:szCs w:val="22"/>
          <w:lang w:val="es-ES"/>
        </w:rPr>
        <w:t>all</w:t>
      </w:r>
      <w:proofErr w:type="spellEnd"/>
      <w:r>
        <w:rPr>
          <w:rFonts w:eastAsia="Palatino Linotype"/>
          <w:sz w:val="22"/>
          <w:szCs w:val="22"/>
          <w:lang w:val="es-ES"/>
        </w:rPr>
        <w:t xml:space="preserve"> cases in favor </w:t>
      </w:r>
      <w:proofErr w:type="spellStart"/>
      <w:r>
        <w:rPr>
          <w:rFonts w:eastAsia="Palatino Linotype"/>
          <w:sz w:val="22"/>
          <w:szCs w:val="22"/>
          <w:lang w:val="es-ES"/>
        </w:rPr>
        <w:t>of</w:t>
      </w:r>
      <w:proofErr w:type="spellEnd"/>
      <w:r>
        <w:rPr>
          <w:rFonts w:eastAsia="Palatino Linotype"/>
          <w:sz w:val="22"/>
          <w:szCs w:val="22"/>
          <w:lang w:val="es-ES"/>
        </w:rPr>
        <w:t xml:space="preserve"> </w:t>
      </w:r>
      <w:proofErr w:type="spellStart"/>
      <w:r>
        <w:rPr>
          <w:rFonts w:eastAsia="Palatino Linotype"/>
          <w:sz w:val="22"/>
          <w:szCs w:val="22"/>
          <w:lang w:val="es-ES"/>
        </w:rPr>
        <w:t>the</w:t>
      </w:r>
      <w:proofErr w:type="spellEnd"/>
      <w:r>
        <w:rPr>
          <w:rFonts w:eastAsia="Palatino Linotype"/>
          <w:sz w:val="22"/>
          <w:szCs w:val="22"/>
          <w:lang w:val="es-ES"/>
        </w:rPr>
        <w:t xml:space="preserve"> </w:t>
      </w:r>
      <w:proofErr w:type="spellStart"/>
      <w:r>
        <w:rPr>
          <w:rFonts w:eastAsia="Palatino Linotype"/>
          <w:sz w:val="22"/>
          <w:szCs w:val="22"/>
          <w:lang w:val="es-ES"/>
        </w:rPr>
        <w:t>successful</w:t>
      </w:r>
      <w:proofErr w:type="spellEnd"/>
      <w:r>
        <w:rPr>
          <w:rFonts w:eastAsia="Palatino Linotype"/>
          <w:sz w:val="22"/>
          <w:szCs w:val="22"/>
          <w:lang w:val="es-ES"/>
        </w:rPr>
        <w:t xml:space="preserve"> </w:t>
      </w:r>
      <w:proofErr w:type="spellStart"/>
      <w:r>
        <w:rPr>
          <w:rFonts w:eastAsia="Palatino Linotype"/>
          <w:sz w:val="22"/>
          <w:szCs w:val="22"/>
          <w:lang w:val="es-ES"/>
        </w:rPr>
        <w:t>bidder</w:t>
      </w:r>
      <w:proofErr w:type="spellEnd"/>
      <w:r>
        <w:rPr>
          <w:rFonts w:eastAsia="Palatino Linotype"/>
          <w:sz w:val="22"/>
          <w:szCs w:val="22"/>
          <w:lang w:val="es-ES"/>
        </w:rPr>
        <w:t xml:space="preserve"> </w:t>
      </w:r>
      <w:proofErr w:type="spellStart"/>
      <w:r>
        <w:rPr>
          <w:rFonts w:eastAsia="Palatino Linotype"/>
          <w:sz w:val="22"/>
          <w:szCs w:val="22"/>
          <w:lang w:val="es-ES"/>
        </w:rPr>
        <w:t>or</w:t>
      </w:r>
      <w:proofErr w:type="spellEnd"/>
      <w:r>
        <w:rPr>
          <w:rFonts w:eastAsia="Palatino Linotype"/>
          <w:sz w:val="22"/>
          <w:szCs w:val="22"/>
          <w:lang w:val="es-ES"/>
        </w:rPr>
        <w:t xml:space="preserve"> </w:t>
      </w:r>
      <w:proofErr w:type="spellStart"/>
      <w:r>
        <w:rPr>
          <w:rFonts w:eastAsia="Palatino Linotype"/>
          <w:sz w:val="22"/>
          <w:szCs w:val="22"/>
          <w:lang w:val="es-ES"/>
        </w:rPr>
        <w:t>the</w:t>
      </w:r>
      <w:proofErr w:type="spellEnd"/>
      <w:r>
        <w:rPr>
          <w:rFonts w:eastAsia="Palatino Linotype"/>
          <w:sz w:val="22"/>
          <w:szCs w:val="22"/>
          <w:lang w:val="es-ES"/>
        </w:rPr>
        <w:t xml:space="preserve"> </w:t>
      </w:r>
      <w:proofErr w:type="spellStart"/>
      <w:r>
        <w:rPr>
          <w:rFonts w:eastAsia="Palatino Linotype"/>
          <w:sz w:val="22"/>
          <w:szCs w:val="22"/>
          <w:lang w:val="es-ES"/>
        </w:rPr>
        <w:t>Administration</w:t>
      </w:r>
      <w:proofErr w:type="spellEnd"/>
      <w:r>
        <w:rPr>
          <w:rFonts w:eastAsia="Palatino Linotype"/>
          <w:sz w:val="22"/>
          <w:szCs w:val="22"/>
          <w:lang w:val="es-ES"/>
        </w:rPr>
        <w:t xml:space="preserve"> as </w:t>
      </w:r>
      <w:proofErr w:type="spellStart"/>
      <w:r>
        <w:rPr>
          <w:rFonts w:eastAsia="Palatino Linotype"/>
          <w:sz w:val="22"/>
          <w:szCs w:val="22"/>
          <w:lang w:val="es-ES"/>
        </w:rPr>
        <w:t>appropriate</w:t>
      </w:r>
      <w:proofErr w:type="spellEnd"/>
      <w:r>
        <w:rPr>
          <w:rFonts w:eastAsia="Palatino Linotype"/>
          <w:sz w:val="22"/>
          <w:szCs w:val="22"/>
          <w:lang w:val="es-ES"/>
        </w:rPr>
        <w:t>.</w:t>
      </w:r>
    </w:p>
    <w:p w14:paraId="44FD10ED" w14:textId="77777777" w:rsidR="00E255F4" w:rsidRDefault="00E255F4">
      <w:pPr>
        <w:ind w:right="-142"/>
        <w:jc w:val="both"/>
        <w:rPr>
          <w:rFonts w:eastAsia="Palatino Linotype"/>
          <w:spacing w:val="-1"/>
          <w:sz w:val="22"/>
          <w:szCs w:val="22"/>
          <w:lang w:val="es-ES"/>
        </w:rPr>
      </w:pPr>
    </w:p>
    <w:p w14:paraId="3B7F3BA6" w14:textId="77777777" w:rsidR="00E255F4" w:rsidRDefault="00000000">
      <w:pPr>
        <w:spacing w:after="120"/>
        <w:ind w:right="-142"/>
        <w:jc w:val="both"/>
        <w:outlineLvl w:val="0"/>
      </w:pPr>
      <w:bookmarkStart w:id="29" w:name="__RefHeading___Toc225377206"/>
      <w:bookmarkEnd w:id="29"/>
      <w:r>
        <w:rPr>
          <w:rFonts w:eastAsia="Palatino Linotype"/>
          <w:b/>
          <w:spacing w:val="-1"/>
          <w:sz w:val="22"/>
          <w:szCs w:val="22"/>
          <w:lang w:val="es-ES"/>
        </w:rPr>
        <w:t xml:space="preserve">10.5 </w:t>
      </w:r>
      <w:proofErr w:type="spellStart"/>
      <w:r>
        <w:rPr>
          <w:rFonts w:eastAsia="Palatino Linotype"/>
          <w:b/>
          <w:spacing w:val="-1"/>
          <w:sz w:val="22"/>
          <w:szCs w:val="22"/>
          <w:lang w:val="es-ES"/>
        </w:rPr>
        <w:t>Preference</w:t>
      </w:r>
      <w:proofErr w:type="spellEnd"/>
      <w:r>
        <w:rPr>
          <w:rFonts w:eastAsia="Palatino Linotype"/>
          <w:b/>
          <w:spacing w:val="-1"/>
          <w:sz w:val="22"/>
          <w:szCs w:val="22"/>
          <w:lang w:val="es-ES"/>
        </w:rPr>
        <w:t xml:space="preserve"> </w:t>
      </w:r>
      <w:proofErr w:type="spellStart"/>
      <w:r>
        <w:rPr>
          <w:rFonts w:eastAsia="Palatino Linotype"/>
          <w:b/>
          <w:spacing w:val="-1"/>
          <w:sz w:val="22"/>
          <w:szCs w:val="22"/>
          <w:lang w:val="es-ES"/>
        </w:rPr>
        <w:t>Regimes</w:t>
      </w:r>
      <w:proofErr w:type="spellEnd"/>
      <w:r>
        <w:rPr>
          <w:rFonts w:eastAsia="Palatino Linotype"/>
          <w:b/>
          <w:spacing w:val="-1"/>
          <w:sz w:val="22"/>
          <w:szCs w:val="22"/>
          <w:lang w:val="es-ES"/>
        </w:rPr>
        <w:tab/>
      </w:r>
    </w:p>
    <w:p w14:paraId="1B202A32" w14:textId="77777777" w:rsidR="00E255F4" w:rsidRDefault="00000000">
      <w:pPr>
        <w:spacing w:after="120"/>
        <w:ind w:right="-142"/>
        <w:jc w:val="both"/>
        <w:outlineLvl w:val="0"/>
      </w:pPr>
      <w:bookmarkStart w:id="30" w:name="__RefHeading___Toc225377207"/>
      <w:bookmarkEnd w:id="30"/>
      <w:r>
        <w:rPr>
          <w:rFonts w:eastAsia="Palatino Linotype"/>
          <w:b/>
          <w:spacing w:val="-1"/>
          <w:sz w:val="22"/>
          <w:szCs w:val="22"/>
          <w:lang w:val="es-ES"/>
        </w:rPr>
        <w:t xml:space="preserve">10.5.1 General </w:t>
      </w:r>
      <w:proofErr w:type="spellStart"/>
      <w:r>
        <w:rPr>
          <w:rFonts w:eastAsia="Palatino Linotype"/>
          <w:b/>
          <w:spacing w:val="-1"/>
          <w:sz w:val="22"/>
          <w:szCs w:val="22"/>
          <w:lang w:val="es-ES"/>
        </w:rPr>
        <w:t>regime</w:t>
      </w:r>
      <w:proofErr w:type="spellEnd"/>
      <w:r>
        <w:rPr>
          <w:rFonts w:eastAsia="Palatino Linotype"/>
          <w:b/>
          <w:spacing w:val="-1"/>
          <w:sz w:val="22"/>
          <w:szCs w:val="22"/>
          <w:lang w:val="es-ES"/>
        </w:rPr>
        <w:tab/>
      </w:r>
    </w:p>
    <w:p w14:paraId="3BFF804E" w14:textId="77777777" w:rsidR="00E255F4" w:rsidRDefault="00000000">
      <w:pPr>
        <w:ind w:right="-142"/>
        <w:jc w:val="both"/>
        <w:rPr>
          <w:rFonts w:eastAsia="Palatino Linotype"/>
          <w:sz w:val="22"/>
          <w:szCs w:val="22"/>
          <w:lang w:val="es-ES"/>
        </w:rPr>
      </w:pPr>
      <w:proofErr w:type="spellStart"/>
      <w:r>
        <w:rPr>
          <w:rFonts w:eastAsia="Palatino Linotype"/>
          <w:spacing w:val="2"/>
          <w:sz w:val="22"/>
          <w:szCs w:val="22"/>
          <w:lang w:val="es-ES"/>
        </w:rPr>
        <w:t>AND</w:t>
      </w:r>
      <w:r>
        <w:rPr>
          <w:rFonts w:eastAsia="Palatino Linotype"/>
          <w:sz w:val="22"/>
          <w:szCs w:val="22"/>
          <w:lang w:val="es-ES"/>
        </w:rPr>
        <w:t>The</w:t>
      </w:r>
      <w:proofErr w:type="spellEnd"/>
      <w:r>
        <w:rPr>
          <w:rFonts w:eastAsia="Palatino Linotype"/>
          <w:sz w:val="22"/>
          <w:szCs w:val="22"/>
          <w:lang w:val="es-ES"/>
        </w:rPr>
        <w:t xml:space="preserve"> </w:t>
      </w:r>
      <w:proofErr w:type="spellStart"/>
      <w:r>
        <w:rPr>
          <w:rFonts w:eastAsia="Palatino Linotype"/>
          <w:sz w:val="22"/>
          <w:szCs w:val="22"/>
          <w:lang w:val="es-ES"/>
        </w:rPr>
        <w:t>margin</w:t>
      </w:r>
      <w:proofErr w:type="spellEnd"/>
      <w:r>
        <w:rPr>
          <w:rFonts w:eastAsia="Palatino Linotype"/>
          <w:sz w:val="22"/>
          <w:szCs w:val="22"/>
          <w:lang w:val="es-ES"/>
        </w:rPr>
        <w:t xml:space="preserve"> </w:t>
      </w:r>
      <w:proofErr w:type="spellStart"/>
      <w:r>
        <w:rPr>
          <w:rFonts w:eastAsia="Palatino Linotype"/>
          <w:sz w:val="22"/>
          <w:szCs w:val="22"/>
          <w:lang w:val="es-ES"/>
        </w:rPr>
        <w:t>of</w:t>
      </w:r>
      <w:proofErr w:type="spellEnd"/>
      <w:r>
        <w:rPr>
          <w:rFonts w:eastAsia="Palatino Linotype"/>
          <w:sz w:val="22"/>
          <w:szCs w:val="22"/>
          <w:lang w:val="es-ES"/>
        </w:rPr>
        <w:t xml:space="preserve"> </w:t>
      </w:r>
      <w:proofErr w:type="spellStart"/>
      <w:r>
        <w:rPr>
          <w:rFonts w:eastAsia="Palatino Linotype"/>
          <w:sz w:val="22"/>
          <w:szCs w:val="22"/>
          <w:lang w:val="es-ES"/>
        </w:rPr>
        <w:t>preference</w:t>
      </w:r>
      <w:proofErr w:type="spellEnd"/>
      <w:r>
        <w:rPr>
          <w:rFonts w:eastAsia="Palatino Linotype"/>
          <w:sz w:val="22"/>
          <w:szCs w:val="22"/>
          <w:lang w:val="es-ES"/>
        </w:rPr>
        <w:t xml:space="preserve"> </w:t>
      </w:r>
      <w:proofErr w:type="spellStart"/>
      <w:r>
        <w:rPr>
          <w:rFonts w:eastAsia="Palatino Linotype"/>
          <w:sz w:val="22"/>
          <w:szCs w:val="22"/>
          <w:lang w:val="es-ES"/>
        </w:rPr>
        <w:t>for</w:t>
      </w:r>
      <w:proofErr w:type="spellEnd"/>
      <w:r>
        <w:rPr>
          <w:rFonts w:eastAsia="Palatino Linotype"/>
          <w:sz w:val="22"/>
          <w:szCs w:val="22"/>
          <w:lang w:val="es-ES"/>
        </w:rPr>
        <w:t xml:space="preserve"> </w:t>
      </w:r>
      <w:proofErr w:type="spellStart"/>
      <w:r>
        <w:rPr>
          <w:rFonts w:eastAsia="Palatino Linotype"/>
          <w:sz w:val="22"/>
          <w:szCs w:val="22"/>
          <w:lang w:val="es-ES"/>
        </w:rPr>
        <w:t>products</w:t>
      </w:r>
      <w:proofErr w:type="spellEnd"/>
      <w:r>
        <w:rPr>
          <w:rFonts w:eastAsia="Palatino Linotype"/>
          <w:sz w:val="22"/>
          <w:szCs w:val="22"/>
          <w:lang w:val="es-ES"/>
        </w:rPr>
        <w:t xml:space="preserve"> </w:t>
      </w:r>
      <w:proofErr w:type="spellStart"/>
      <w:r>
        <w:rPr>
          <w:rFonts w:eastAsia="Palatino Linotype"/>
          <w:sz w:val="22"/>
          <w:szCs w:val="22"/>
          <w:lang w:val="es-ES"/>
        </w:rPr>
        <w:t>that</w:t>
      </w:r>
      <w:proofErr w:type="spellEnd"/>
      <w:r>
        <w:rPr>
          <w:rFonts w:eastAsia="Palatino Linotype"/>
          <w:sz w:val="22"/>
          <w:szCs w:val="22"/>
          <w:lang w:val="es-ES"/>
        </w:rPr>
        <w:t xml:space="preserve"> </w:t>
      </w:r>
      <w:proofErr w:type="spellStart"/>
      <w:r>
        <w:rPr>
          <w:rFonts w:eastAsia="Palatino Linotype"/>
          <w:sz w:val="22"/>
          <w:szCs w:val="22"/>
          <w:lang w:val="es-ES"/>
        </w:rPr>
        <w:t>qualify</w:t>
      </w:r>
      <w:proofErr w:type="spellEnd"/>
      <w:r>
        <w:rPr>
          <w:rFonts w:eastAsia="Palatino Linotype"/>
          <w:sz w:val="22"/>
          <w:szCs w:val="22"/>
          <w:lang w:val="es-ES"/>
        </w:rPr>
        <w:t xml:space="preserve"> as </w:t>
      </w:r>
      <w:proofErr w:type="spellStart"/>
      <w:r>
        <w:rPr>
          <w:rFonts w:eastAsia="Palatino Linotype"/>
          <w:sz w:val="22"/>
          <w:szCs w:val="22"/>
          <w:lang w:val="es-ES"/>
        </w:rPr>
        <w:t>national</w:t>
      </w:r>
      <w:proofErr w:type="spellEnd"/>
      <w:r>
        <w:rPr>
          <w:rFonts w:eastAsia="Palatino Linotype"/>
          <w:sz w:val="22"/>
          <w:szCs w:val="22"/>
          <w:lang w:val="es-ES"/>
        </w:rPr>
        <w:t xml:space="preserve"> versus </w:t>
      </w:r>
      <w:proofErr w:type="spellStart"/>
      <w:r>
        <w:rPr>
          <w:rFonts w:eastAsia="Palatino Linotype"/>
          <w:sz w:val="22"/>
          <w:szCs w:val="22"/>
          <w:lang w:val="es-ES"/>
        </w:rPr>
        <w:t>those</w:t>
      </w:r>
      <w:proofErr w:type="spellEnd"/>
      <w:r>
        <w:rPr>
          <w:rFonts w:eastAsia="Palatino Linotype"/>
          <w:sz w:val="22"/>
          <w:szCs w:val="22"/>
          <w:lang w:val="es-ES"/>
        </w:rPr>
        <w:t xml:space="preserve"> </w:t>
      </w:r>
      <w:proofErr w:type="spellStart"/>
      <w:r>
        <w:rPr>
          <w:rFonts w:eastAsia="Palatino Linotype"/>
          <w:sz w:val="22"/>
          <w:szCs w:val="22"/>
          <w:lang w:val="es-ES"/>
        </w:rPr>
        <w:t>that</w:t>
      </w:r>
      <w:proofErr w:type="spellEnd"/>
      <w:r>
        <w:rPr>
          <w:rFonts w:eastAsia="Palatino Linotype"/>
          <w:sz w:val="22"/>
          <w:szCs w:val="22"/>
          <w:lang w:val="es-ES"/>
        </w:rPr>
        <w:t xml:space="preserve"> do </w:t>
      </w:r>
      <w:proofErr w:type="spellStart"/>
      <w:r>
        <w:rPr>
          <w:rFonts w:eastAsia="Palatino Linotype"/>
          <w:sz w:val="22"/>
          <w:szCs w:val="22"/>
          <w:lang w:val="es-ES"/>
        </w:rPr>
        <w:t>not</w:t>
      </w:r>
      <w:proofErr w:type="spellEnd"/>
      <w:r>
        <w:rPr>
          <w:rFonts w:eastAsia="Palatino Linotype"/>
          <w:sz w:val="22"/>
          <w:szCs w:val="22"/>
          <w:lang w:val="es-ES"/>
        </w:rPr>
        <w:t xml:space="preserve"> </w:t>
      </w:r>
      <w:proofErr w:type="spellStart"/>
      <w:r>
        <w:rPr>
          <w:rFonts w:eastAsia="Palatino Linotype"/>
          <w:sz w:val="22"/>
          <w:szCs w:val="22"/>
          <w:lang w:val="es-ES"/>
        </w:rPr>
        <w:t>qualify</w:t>
      </w:r>
      <w:proofErr w:type="spellEnd"/>
      <w:r>
        <w:rPr>
          <w:rFonts w:eastAsia="Palatino Linotype"/>
          <w:sz w:val="22"/>
          <w:szCs w:val="22"/>
          <w:lang w:val="es-ES"/>
        </w:rPr>
        <w:t xml:space="preserve">, </w:t>
      </w:r>
      <w:proofErr w:type="spellStart"/>
      <w:r>
        <w:rPr>
          <w:rFonts w:eastAsia="Palatino Linotype"/>
          <w:sz w:val="22"/>
          <w:szCs w:val="22"/>
          <w:lang w:val="es-ES"/>
        </w:rPr>
        <w:t>established</w:t>
      </w:r>
      <w:proofErr w:type="spellEnd"/>
      <w:r>
        <w:rPr>
          <w:rFonts w:eastAsia="Palatino Linotype"/>
          <w:sz w:val="22"/>
          <w:szCs w:val="22"/>
          <w:lang w:val="es-ES"/>
        </w:rPr>
        <w:t xml:space="preserve"> in </w:t>
      </w:r>
      <w:proofErr w:type="spellStart"/>
      <w:r>
        <w:rPr>
          <w:rFonts w:eastAsia="Palatino Linotype"/>
          <w:sz w:val="22"/>
          <w:szCs w:val="22"/>
          <w:lang w:val="es-ES"/>
        </w:rPr>
        <w:t>Article</w:t>
      </w:r>
      <w:proofErr w:type="spellEnd"/>
      <w:r>
        <w:rPr>
          <w:rFonts w:eastAsia="Palatino Linotype"/>
          <w:sz w:val="22"/>
          <w:szCs w:val="22"/>
          <w:lang w:val="es-ES"/>
        </w:rPr>
        <w:t xml:space="preserve"> 58 </w:t>
      </w:r>
      <w:proofErr w:type="spellStart"/>
      <w:r>
        <w:rPr>
          <w:rFonts w:eastAsia="Palatino Linotype"/>
          <w:sz w:val="22"/>
          <w:szCs w:val="22"/>
          <w:lang w:val="es-ES"/>
        </w:rPr>
        <w:t>of</w:t>
      </w:r>
      <w:proofErr w:type="spellEnd"/>
      <w:r>
        <w:rPr>
          <w:rFonts w:eastAsia="Palatino Linotype"/>
          <w:sz w:val="22"/>
          <w:szCs w:val="22"/>
          <w:lang w:val="es-ES"/>
        </w:rPr>
        <w:t xml:space="preserve"> </w:t>
      </w:r>
      <w:proofErr w:type="spellStart"/>
      <w:r>
        <w:rPr>
          <w:rFonts w:eastAsia="Palatino Linotype"/>
          <w:sz w:val="22"/>
          <w:szCs w:val="22"/>
          <w:lang w:val="es-ES"/>
        </w:rPr>
        <w:t>the</w:t>
      </w:r>
      <w:proofErr w:type="spellEnd"/>
      <w:r>
        <w:rPr>
          <w:rFonts w:eastAsia="Palatino Linotype"/>
          <w:sz w:val="22"/>
          <w:szCs w:val="22"/>
          <w:lang w:val="es-ES"/>
        </w:rPr>
        <w:t xml:space="preserve"> TOCAF, </w:t>
      </w:r>
      <w:proofErr w:type="spellStart"/>
      <w:r>
        <w:rPr>
          <w:rFonts w:eastAsia="Palatino Linotype"/>
          <w:sz w:val="22"/>
          <w:szCs w:val="22"/>
          <w:lang w:val="es-ES"/>
        </w:rPr>
        <w:t>amendments</w:t>
      </w:r>
      <w:proofErr w:type="spellEnd"/>
      <w:r>
        <w:rPr>
          <w:rFonts w:eastAsia="Palatino Linotype"/>
          <w:sz w:val="22"/>
          <w:szCs w:val="22"/>
          <w:lang w:val="es-ES"/>
        </w:rPr>
        <w:t xml:space="preserve"> and </w:t>
      </w:r>
      <w:proofErr w:type="spellStart"/>
      <w:r>
        <w:rPr>
          <w:rFonts w:eastAsia="Palatino Linotype"/>
          <w:sz w:val="22"/>
          <w:szCs w:val="22"/>
          <w:lang w:val="es-ES"/>
        </w:rPr>
        <w:t>related</w:t>
      </w:r>
      <w:proofErr w:type="spellEnd"/>
      <w:r>
        <w:rPr>
          <w:rFonts w:eastAsia="Palatino Linotype"/>
          <w:sz w:val="22"/>
          <w:szCs w:val="22"/>
          <w:lang w:val="es-ES"/>
        </w:rPr>
        <w:t xml:space="preserve"> </w:t>
      </w:r>
      <w:proofErr w:type="spellStart"/>
      <w:r>
        <w:rPr>
          <w:rFonts w:eastAsia="Palatino Linotype"/>
          <w:sz w:val="22"/>
          <w:szCs w:val="22"/>
          <w:lang w:val="es-ES"/>
        </w:rPr>
        <w:t>provisions</w:t>
      </w:r>
      <w:proofErr w:type="spellEnd"/>
      <w:r>
        <w:rPr>
          <w:rFonts w:eastAsia="Palatino Linotype"/>
          <w:sz w:val="22"/>
          <w:szCs w:val="22"/>
          <w:lang w:val="es-ES"/>
        </w:rPr>
        <w:t xml:space="preserve">, </w:t>
      </w:r>
      <w:proofErr w:type="spellStart"/>
      <w:r>
        <w:rPr>
          <w:rFonts w:eastAsia="Palatino Linotype"/>
          <w:sz w:val="22"/>
          <w:szCs w:val="22"/>
          <w:lang w:val="es-ES"/>
        </w:rPr>
        <w:t>will</w:t>
      </w:r>
      <w:proofErr w:type="spellEnd"/>
      <w:r>
        <w:rPr>
          <w:rFonts w:eastAsia="Palatino Linotype"/>
          <w:sz w:val="22"/>
          <w:szCs w:val="22"/>
          <w:lang w:val="es-ES"/>
        </w:rPr>
        <w:t xml:space="preserve"> </w:t>
      </w:r>
      <w:proofErr w:type="spellStart"/>
      <w:r>
        <w:rPr>
          <w:rFonts w:eastAsia="Palatino Linotype"/>
          <w:sz w:val="22"/>
          <w:szCs w:val="22"/>
          <w:lang w:val="es-ES"/>
        </w:rPr>
        <w:t>have</w:t>
      </w:r>
      <w:proofErr w:type="spellEnd"/>
      <w:r>
        <w:rPr>
          <w:rFonts w:eastAsia="Palatino Linotype"/>
          <w:sz w:val="22"/>
          <w:szCs w:val="22"/>
          <w:lang w:val="es-ES"/>
        </w:rPr>
        <w:t xml:space="preserve"> </w:t>
      </w:r>
      <w:proofErr w:type="spellStart"/>
      <w:r>
        <w:rPr>
          <w:rFonts w:eastAsia="Palatino Linotype"/>
          <w:sz w:val="22"/>
          <w:szCs w:val="22"/>
          <w:lang w:val="es-ES"/>
        </w:rPr>
        <w:t>the</w:t>
      </w:r>
      <w:proofErr w:type="spellEnd"/>
      <w:r>
        <w:rPr>
          <w:rFonts w:eastAsia="Palatino Linotype"/>
          <w:sz w:val="22"/>
          <w:szCs w:val="22"/>
          <w:lang w:val="es-ES"/>
        </w:rPr>
        <w:t xml:space="preserve"> </w:t>
      </w:r>
      <w:proofErr w:type="spellStart"/>
      <w:r>
        <w:rPr>
          <w:rFonts w:eastAsia="Palatino Linotype"/>
          <w:sz w:val="22"/>
          <w:szCs w:val="22"/>
          <w:lang w:val="es-ES"/>
        </w:rPr>
        <w:t>following</w:t>
      </w:r>
      <w:proofErr w:type="spellEnd"/>
      <w:r>
        <w:rPr>
          <w:rFonts w:eastAsia="Palatino Linotype"/>
          <w:sz w:val="22"/>
          <w:szCs w:val="22"/>
          <w:lang w:val="es-ES"/>
        </w:rPr>
        <w:t xml:space="preserve"> </w:t>
      </w:r>
      <w:proofErr w:type="spellStart"/>
      <w:r>
        <w:rPr>
          <w:rFonts w:eastAsia="Palatino Linotype"/>
          <w:sz w:val="22"/>
          <w:szCs w:val="22"/>
          <w:lang w:val="es-ES"/>
        </w:rPr>
        <w:t>scope</w:t>
      </w:r>
      <w:proofErr w:type="spellEnd"/>
      <w:r>
        <w:rPr>
          <w:rFonts w:eastAsia="Palatino Linotype"/>
          <w:sz w:val="22"/>
          <w:szCs w:val="22"/>
          <w:lang w:val="es-ES"/>
        </w:rPr>
        <w:t xml:space="preserve">, </w:t>
      </w:r>
      <w:proofErr w:type="spellStart"/>
      <w:r>
        <w:rPr>
          <w:rFonts w:eastAsia="Palatino Linotype"/>
          <w:sz w:val="22"/>
          <w:szCs w:val="22"/>
          <w:lang w:val="es-ES"/>
        </w:rPr>
        <w:t>nature</w:t>
      </w:r>
      <w:proofErr w:type="spellEnd"/>
      <w:r>
        <w:rPr>
          <w:rFonts w:eastAsia="Palatino Linotype"/>
          <w:sz w:val="22"/>
          <w:szCs w:val="22"/>
          <w:lang w:val="es-ES"/>
        </w:rPr>
        <w:t xml:space="preserve"> and </w:t>
      </w:r>
      <w:proofErr w:type="spellStart"/>
      <w:r>
        <w:rPr>
          <w:rFonts w:eastAsia="Palatino Linotype"/>
          <w:sz w:val="22"/>
          <w:szCs w:val="22"/>
          <w:lang w:val="es-ES"/>
        </w:rPr>
        <w:t>calculation</w:t>
      </w:r>
      <w:proofErr w:type="spellEnd"/>
      <w:r>
        <w:rPr>
          <w:rFonts w:eastAsia="Palatino Linotype"/>
          <w:sz w:val="22"/>
          <w:szCs w:val="22"/>
          <w:lang w:val="es-ES"/>
        </w:rPr>
        <w:t xml:space="preserve"> </w:t>
      </w:r>
      <w:proofErr w:type="spellStart"/>
      <w:r>
        <w:rPr>
          <w:rFonts w:eastAsia="Palatino Linotype"/>
          <w:sz w:val="22"/>
          <w:szCs w:val="22"/>
          <w:lang w:val="es-ES"/>
        </w:rPr>
        <w:t>procedures</w:t>
      </w:r>
      <w:proofErr w:type="spellEnd"/>
      <w:r>
        <w:rPr>
          <w:rFonts w:eastAsia="Palatino Linotype"/>
          <w:sz w:val="22"/>
          <w:szCs w:val="22"/>
          <w:lang w:val="es-ES"/>
        </w:rPr>
        <w:t>:</w:t>
      </w:r>
    </w:p>
    <w:p w14:paraId="53E9F665" w14:textId="77777777" w:rsidR="00E255F4" w:rsidRDefault="00E255F4">
      <w:pPr>
        <w:ind w:right="-142"/>
        <w:jc w:val="both"/>
        <w:rPr>
          <w:rFonts w:eastAsia="Palatino Linotype"/>
          <w:sz w:val="22"/>
          <w:szCs w:val="22"/>
          <w:lang w:val="es-ES"/>
        </w:rPr>
      </w:pPr>
    </w:p>
    <w:p w14:paraId="519E5429" w14:textId="77777777" w:rsidR="00E255F4" w:rsidRDefault="00000000">
      <w:pPr>
        <w:ind w:right="-142"/>
        <w:jc w:val="both"/>
        <w:rPr>
          <w:rFonts w:eastAsia="Palatino Linotype"/>
          <w:sz w:val="22"/>
          <w:szCs w:val="22"/>
          <w:lang w:val="es-ES"/>
        </w:rPr>
      </w:pPr>
      <w:proofErr w:type="spellStart"/>
      <w:r>
        <w:rPr>
          <w:rFonts w:eastAsia="Palatino Linotype"/>
          <w:spacing w:val="-1"/>
          <w:sz w:val="22"/>
          <w:szCs w:val="22"/>
          <w:lang w:val="es-ES"/>
        </w:rPr>
        <w:t>Yo</w:t>
      </w:r>
      <w:r>
        <w:rPr>
          <w:rFonts w:eastAsia="Palatino Linotype"/>
          <w:sz w:val="22"/>
          <w:szCs w:val="22"/>
          <w:lang w:val="es-ES"/>
        </w:rPr>
        <w:t>This</w:t>
      </w:r>
      <w:proofErr w:type="spellEnd"/>
      <w:r>
        <w:rPr>
          <w:rFonts w:eastAsia="Palatino Linotype"/>
          <w:sz w:val="22"/>
          <w:szCs w:val="22"/>
          <w:lang w:val="es-ES"/>
        </w:rPr>
        <w:t xml:space="preserve"> </w:t>
      </w:r>
      <w:proofErr w:type="spellStart"/>
      <w:r>
        <w:rPr>
          <w:rFonts w:eastAsia="Palatino Linotype"/>
          <w:sz w:val="22"/>
          <w:szCs w:val="22"/>
          <w:lang w:val="es-ES"/>
        </w:rPr>
        <w:t>will</w:t>
      </w:r>
      <w:proofErr w:type="spellEnd"/>
      <w:r>
        <w:rPr>
          <w:rFonts w:eastAsia="Palatino Linotype"/>
          <w:sz w:val="22"/>
          <w:szCs w:val="22"/>
          <w:lang w:val="es-ES"/>
        </w:rPr>
        <w:t xml:space="preserve"> </w:t>
      </w:r>
      <w:proofErr w:type="spellStart"/>
      <w:r>
        <w:rPr>
          <w:rFonts w:eastAsia="Palatino Linotype"/>
          <w:sz w:val="22"/>
          <w:szCs w:val="22"/>
          <w:lang w:val="es-ES"/>
        </w:rPr>
        <w:t>apply</w:t>
      </w:r>
      <w:proofErr w:type="spellEnd"/>
      <w:r>
        <w:rPr>
          <w:rFonts w:eastAsia="Palatino Linotype"/>
          <w:sz w:val="22"/>
          <w:szCs w:val="22"/>
          <w:lang w:val="es-ES"/>
        </w:rPr>
        <w:t xml:space="preserve"> in cases </w:t>
      </w:r>
      <w:proofErr w:type="spellStart"/>
      <w:r>
        <w:rPr>
          <w:rFonts w:eastAsia="Palatino Linotype"/>
          <w:sz w:val="22"/>
          <w:szCs w:val="22"/>
          <w:lang w:val="es-ES"/>
        </w:rPr>
        <w:t>of</w:t>
      </w:r>
      <w:proofErr w:type="spellEnd"/>
      <w:r>
        <w:rPr>
          <w:rFonts w:eastAsia="Palatino Linotype"/>
          <w:sz w:val="22"/>
          <w:szCs w:val="22"/>
          <w:lang w:val="es-ES"/>
        </w:rPr>
        <w:t xml:space="preserve"> </w:t>
      </w:r>
      <w:proofErr w:type="spellStart"/>
      <w:r>
        <w:rPr>
          <w:rFonts w:eastAsia="Palatino Linotype"/>
          <w:sz w:val="22"/>
          <w:szCs w:val="22"/>
          <w:lang w:val="es-ES"/>
        </w:rPr>
        <w:t>public</w:t>
      </w:r>
      <w:proofErr w:type="spellEnd"/>
      <w:r>
        <w:rPr>
          <w:rFonts w:eastAsia="Palatino Linotype"/>
          <w:sz w:val="22"/>
          <w:szCs w:val="22"/>
          <w:lang w:val="es-ES"/>
        </w:rPr>
        <w:t xml:space="preserve"> </w:t>
      </w:r>
      <w:proofErr w:type="spellStart"/>
      <w:r>
        <w:rPr>
          <w:rFonts w:eastAsia="Palatino Linotype"/>
          <w:sz w:val="22"/>
          <w:szCs w:val="22"/>
          <w:lang w:val="es-ES"/>
        </w:rPr>
        <w:t>tenders</w:t>
      </w:r>
      <w:proofErr w:type="spellEnd"/>
      <w:r>
        <w:rPr>
          <w:rFonts w:eastAsia="Palatino Linotype"/>
          <w:sz w:val="22"/>
          <w:szCs w:val="22"/>
          <w:lang w:val="es-ES"/>
        </w:rPr>
        <w:t xml:space="preserve"> and </w:t>
      </w:r>
      <w:proofErr w:type="spellStart"/>
      <w:r>
        <w:rPr>
          <w:rFonts w:eastAsia="Palatino Linotype"/>
          <w:sz w:val="22"/>
          <w:szCs w:val="22"/>
          <w:lang w:val="es-ES"/>
        </w:rPr>
        <w:t>abbreviated</w:t>
      </w:r>
      <w:proofErr w:type="spellEnd"/>
      <w:r>
        <w:rPr>
          <w:rFonts w:eastAsia="Palatino Linotype"/>
          <w:sz w:val="22"/>
          <w:szCs w:val="22"/>
          <w:lang w:val="es-ES"/>
        </w:rPr>
        <w:t xml:space="preserve"> </w:t>
      </w:r>
      <w:proofErr w:type="spellStart"/>
      <w:r>
        <w:rPr>
          <w:rFonts w:eastAsia="Palatino Linotype"/>
          <w:sz w:val="22"/>
          <w:szCs w:val="22"/>
          <w:lang w:val="es-ES"/>
        </w:rPr>
        <w:t>tenders</w:t>
      </w:r>
      <w:proofErr w:type="spellEnd"/>
      <w:r>
        <w:rPr>
          <w:rFonts w:eastAsia="Palatino Linotype"/>
          <w:sz w:val="22"/>
          <w:szCs w:val="22"/>
          <w:lang w:val="es-ES"/>
        </w:rPr>
        <w:t xml:space="preserve">, as </w:t>
      </w:r>
      <w:proofErr w:type="spellStart"/>
      <w:r>
        <w:rPr>
          <w:rFonts w:eastAsia="Palatino Linotype"/>
          <w:sz w:val="22"/>
          <w:szCs w:val="22"/>
          <w:lang w:val="es-ES"/>
        </w:rPr>
        <w:t>well</w:t>
      </w:r>
      <w:proofErr w:type="spellEnd"/>
      <w:r>
        <w:rPr>
          <w:rFonts w:eastAsia="Palatino Linotype"/>
          <w:sz w:val="22"/>
          <w:szCs w:val="22"/>
          <w:lang w:val="es-ES"/>
        </w:rPr>
        <w:t xml:space="preserve"> as in cases </w:t>
      </w:r>
      <w:proofErr w:type="spellStart"/>
      <w:r>
        <w:rPr>
          <w:rFonts w:eastAsia="Palatino Linotype"/>
          <w:sz w:val="22"/>
          <w:szCs w:val="22"/>
          <w:lang w:val="es-ES"/>
        </w:rPr>
        <w:t>of</w:t>
      </w:r>
      <w:proofErr w:type="spellEnd"/>
      <w:r>
        <w:rPr>
          <w:rFonts w:eastAsia="Palatino Linotype"/>
          <w:sz w:val="22"/>
          <w:szCs w:val="22"/>
          <w:lang w:val="es-ES"/>
        </w:rPr>
        <w:t xml:space="preserve"> </w:t>
      </w:r>
      <w:proofErr w:type="spellStart"/>
      <w:r>
        <w:rPr>
          <w:rFonts w:eastAsia="Palatino Linotype"/>
          <w:sz w:val="22"/>
          <w:szCs w:val="22"/>
          <w:lang w:val="es-ES"/>
        </w:rPr>
        <w:t>exceptional</w:t>
      </w:r>
      <w:proofErr w:type="spellEnd"/>
      <w:r>
        <w:rPr>
          <w:rFonts w:eastAsia="Palatino Linotype"/>
          <w:sz w:val="22"/>
          <w:szCs w:val="22"/>
          <w:lang w:val="es-ES"/>
        </w:rPr>
        <w:t xml:space="preserve"> </w:t>
      </w:r>
      <w:proofErr w:type="spellStart"/>
      <w:r>
        <w:rPr>
          <w:rFonts w:eastAsia="Palatino Linotype"/>
          <w:sz w:val="22"/>
          <w:szCs w:val="22"/>
          <w:lang w:val="es-ES"/>
        </w:rPr>
        <w:t>purchases</w:t>
      </w:r>
      <w:proofErr w:type="spellEnd"/>
      <w:r>
        <w:rPr>
          <w:rFonts w:eastAsia="Palatino Linotype"/>
          <w:sz w:val="22"/>
          <w:szCs w:val="22"/>
          <w:lang w:val="es-ES"/>
        </w:rPr>
        <w:t xml:space="preserve"> </w:t>
      </w:r>
      <w:proofErr w:type="spellStart"/>
      <w:r>
        <w:rPr>
          <w:rFonts w:eastAsia="Palatino Linotype"/>
          <w:sz w:val="22"/>
          <w:szCs w:val="22"/>
          <w:lang w:val="es-ES"/>
        </w:rPr>
        <w:t>where</w:t>
      </w:r>
      <w:proofErr w:type="spellEnd"/>
      <w:r>
        <w:rPr>
          <w:rFonts w:eastAsia="Palatino Linotype"/>
          <w:sz w:val="22"/>
          <w:szCs w:val="22"/>
          <w:lang w:val="es-ES"/>
        </w:rPr>
        <w:t xml:space="preserve"> </w:t>
      </w:r>
      <w:proofErr w:type="spellStart"/>
      <w:r>
        <w:rPr>
          <w:rFonts w:eastAsia="Palatino Linotype"/>
          <w:sz w:val="22"/>
          <w:szCs w:val="22"/>
          <w:lang w:val="es-ES"/>
        </w:rPr>
        <w:t>such</w:t>
      </w:r>
      <w:proofErr w:type="spellEnd"/>
      <w:r>
        <w:rPr>
          <w:rFonts w:eastAsia="Palatino Linotype"/>
          <w:sz w:val="22"/>
          <w:szCs w:val="22"/>
          <w:lang w:val="es-ES"/>
        </w:rPr>
        <w:t xml:space="preserve"> </w:t>
      </w:r>
      <w:proofErr w:type="spellStart"/>
      <w:r>
        <w:rPr>
          <w:rFonts w:eastAsia="Palatino Linotype"/>
          <w:sz w:val="22"/>
          <w:szCs w:val="22"/>
          <w:lang w:val="es-ES"/>
        </w:rPr>
        <w:t>preference</w:t>
      </w:r>
      <w:proofErr w:type="spellEnd"/>
      <w:r>
        <w:rPr>
          <w:rFonts w:eastAsia="Palatino Linotype"/>
          <w:sz w:val="22"/>
          <w:szCs w:val="22"/>
          <w:lang w:val="es-ES"/>
        </w:rPr>
        <w:t xml:space="preserve"> </w:t>
      </w:r>
      <w:proofErr w:type="spellStart"/>
      <w:r>
        <w:rPr>
          <w:rFonts w:eastAsia="Palatino Linotype"/>
          <w:sz w:val="22"/>
          <w:szCs w:val="22"/>
          <w:lang w:val="es-ES"/>
        </w:rPr>
        <w:t>is</w:t>
      </w:r>
      <w:proofErr w:type="spellEnd"/>
      <w:r>
        <w:rPr>
          <w:rFonts w:eastAsia="Palatino Linotype"/>
          <w:sz w:val="22"/>
          <w:szCs w:val="22"/>
          <w:lang w:val="es-ES"/>
        </w:rPr>
        <w:t xml:space="preserve"> </w:t>
      </w:r>
      <w:proofErr w:type="spellStart"/>
      <w:r>
        <w:rPr>
          <w:rFonts w:eastAsia="Palatino Linotype"/>
          <w:sz w:val="22"/>
          <w:szCs w:val="22"/>
          <w:lang w:val="es-ES"/>
        </w:rPr>
        <w:t>appropriate</w:t>
      </w:r>
      <w:proofErr w:type="spellEnd"/>
      <w:r>
        <w:rPr>
          <w:rFonts w:eastAsia="Palatino Linotype"/>
          <w:sz w:val="22"/>
          <w:szCs w:val="22"/>
          <w:lang w:val="es-ES"/>
        </w:rPr>
        <w:t xml:space="preserve">, </w:t>
      </w:r>
      <w:proofErr w:type="spellStart"/>
      <w:r>
        <w:rPr>
          <w:rFonts w:eastAsia="Palatino Linotype"/>
          <w:sz w:val="22"/>
          <w:szCs w:val="22"/>
          <w:lang w:val="es-ES"/>
        </w:rPr>
        <w:t>when</w:t>
      </w:r>
      <w:proofErr w:type="spellEnd"/>
      <w:r>
        <w:rPr>
          <w:rFonts w:eastAsia="Palatino Linotype"/>
          <w:sz w:val="22"/>
          <w:szCs w:val="22"/>
          <w:lang w:val="es-ES"/>
        </w:rPr>
        <w:t xml:space="preserve"> </w:t>
      </w:r>
      <w:proofErr w:type="spellStart"/>
      <w:r>
        <w:rPr>
          <w:rFonts w:eastAsia="Palatino Linotype"/>
          <w:sz w:val="22"/>
          <w:szCs w:val="22"/>
          <w:lang w:val="es-ES"/>
        </w:rPr>
        <w:t>the</w:t>
      </w:r>
      <w:proofErr w:type="spellEnd"/>
      <w:r>
        <w:rPr>
          <w:rFonts w:eastAsia="Palatino Linotype"/>
          <w:sz w:val="22"/>
          <w:szCs w:val="22"/>
          <w:lang w:val="es-ES"/>
        </w:rPr>
        <w:t xml:space="preserve"> </w:t>
      </w:r>
      <w:proofErr w:type="spellStart"/>
      <w:r>
        <w:rPr>
          <w:rFonts w:eastAsia="Palatino Linotype"/>
          <w:sz w:val="22"/>
          <w:szCs w:val="22"/>
          <w:lang w:val="es-ES"/>
        </w:rPr>
        <w:t>amount</w:t>
      </w:r>
      <w:proofErr w:type="spellEnd"/>
      <w:r>
        <w:rPr>
          <w:rFonts w:eastAsia="Palatino Linotype"/>
          <w:sz w:val="22"/>
          <w:szCs w:val="22"/>
          <w:lang w:val="es-ES"/>
        </w:rPr>
        <w:t xml:space="preserve"> </w:t>
      </w:r>
      <w:proofErr w:type="spellStart"/>
      <w:r>
        <w:rPr>
          <w:rFonts w:eastAsia="Palatino Linotype"/>
          <w:sz w:val="22"/>
          <w:szCs w:val="22"/>
          <w:lang w:val="es-ES"/>
        </w:rPr>
        <w:t>exceeds</w:t>
      </w:r>
      <w:proofErr w:type="spellEnd"/>
      <w:r>
        <w:rPr>
          <w:rFonts w:eastAsia="Palatino Linotype"/>
          <w:sz w:val="22"/>
          <w:szCs w:val="22"/>
          <w:lang w:val="es-ES"/>
        </w:rPr>
        <w:t xml:space="preserve"> </w:t>
      </w:r>
      <w:proofErr w:type="spellStart"/>
      <w:r>
        <w:rPr>
          <w:rFonts w:eastAsia="Palatino Linotype"/>
          <w:sz w:val="22"/>
          <w:szCs w:val="22"/>
          <w:lang w:val="es-ES"/>
        </w:rPr>
        <w:t>that</w:t>
      </w:r>
      <w:proofErr w:type="spellEnd"/>
      <w:r>
        <w:rPr>
          <w:rFonts w:eastAsia="Palatino Linotype"/>
          <w:sz w:val="22"/>
          <w:szCs w:val="22"/>
          <w:lang w:val="es-ES"/>
        </w:rPr>
        <w:t xml:space="preserve"> </w:t>
      </w:r>
      <w:proofErr w:type="spellStart"/>
      <w:r>
        <w:rPr>
          <w:rFonts w:eastAsia="Palatino Linotype"/>
          <w:sz w:val="22"/>
          <w:szCs w:val="22"/>
          <w:lang w:val="es-ES"/>
        </w:rPr>
        <w:t>established</w:t>
      </w:r>
      <w:proofErr w:type="spellEnd"/>
      <w:r>
        <w:rPr>
          <w:rFonts w:eastAsia="Palatino Linotype"/>
          <w:sz w:val="22"/>
          <w:szCs w:val="22"/>
          <w:lang w:val="es-ES"/>
        </w:rPr>
        <w:t xml:space="preserve"> </w:t>
      </w:r>
      <w:proofErr w:type="spellStart"/>
      <w:r>
        <w:rPr>
          <w:rFonts w:eastAsia="Palatino Linotype"/>
          <w:sz w:val="22"/>
          <w:szCs w:val="22"/>
          <w:lang w:val="es-ES"/>
        </w:rPr>
        <w:t>for</w:t>
      </w:r>
      <w:proofErr w:type="spellEnd"/>
      <w:r>
        <w:rPr>
          <w:rFonts w:eastAsia="Palatino Linotype"/>
          <w:sz w:val="22"/>
          <w:szCs w:val="22"/>
          <w:lang w:val="es-ES"/>
        </w:rPr>
        <w:t xml:space="preserve"> </w:t>
      </w:r>
      <w:proofErr w:type="spellStart"/>
      <w:r>
        <w:rPr>
          <w:rFonts w:eastAsia="Palatino Linotype"/>
          <w:sz w:val="22"/>
          <w:szCs w:val="22"/>
          <w:lang w:val="es-ES"/>
        </w:rPr>
        <w:t>the</w:t>
      </w:r>
      <w:proofErr w:type="spellEnd"/>
      <w:r>
        <w:rPr>
          <w:rFonts w:eastAsia="Palatino Linotype"/>
          <w:sz w:val="22"/>
          <w:szCs w:val="22"/>
          <w:lang w:val="es-ES"/>
        </w:rPr>
        <w:t xml:space="preserve"> </w:t>
      </w:r>
      <w:proofErr w:type="spellStart"/>
      <w:r>
        <w:rPr>
          <w:rFonts w:eastAsia="Palatino Linotype"/>
          <w:sz w:val="22"/>
          <w:szCs w:val="22"/>
          <w:lang w:val="es-ES"/>
        </w:rPr>
        <w:t>mandatory</w:t>
      </w:r>
      <w:proofErr w:type="spellEnd"/>
      <w:r>
        <w:rPr>
          <w:rFonts w:eastAsia="Palatino Linotype"/>
          <w:sz w:val="22"/>
          <w:szCs w:val="22"/>
          <w:lang w:val="es-ES"/>
        </w:rPr>
        <w:t xml:space="preserve"> </w:t>
      </w:r>
      <w:proofErr w:type="spellStart"/>
      <w:r>
        <w:rPr>
          <w:rFonts w:eastAsia="Palatino Linotype"/>
          <w:sz w:val="22"/>
          <w:szCs w:val="22"/>
          <w:lang w:val="es-ES"/>
        </w:rPr>
        <w:t>nature</w:t>
      </w:r>
      <w:proofErr w:type="spellEnd"/>
      <w:r>
        <w:rPr>
          <w:rFonts w:eastAsia="Palatino Linotype"/>
          <w:sz w:val="22"/>
          <w:szCs w:val="22"/>
          <w:lang w:val="es-ES"/>
        </w:rPr>
        <w:t xml:space="preserve"> </w:t>
      </w:r>
      <w:proofErr w:type="spellStart"/>
      <w:r>
        <w:rPr>
          <w:rFonts w:eastAsia="Palatino Linotype"/>
          <w:sz w:val="22"/>
          <w:szCs w:val="22"/>
          <w:lang w:val="es-ES"/>
        </w:rPr>
        <w:t>of</w:t>
      </w:r>
      <w:proofErr w:type="spellEnd"/>
      <w:r>
        <w:rPr>
          <w:rFonts w:eastAsia="Palatino Linotype"/>
          <w:sz w:val="22"/>
          <w:szCs w:val="22"/>
          <w:lang w:val="es-ES"/>
        </w:rPr>
        <w:t xml:space="preserve"> </w:t>
      </w:r>
      <w:proofErr w:type="spellStart"/>
      <w:r>
        <w:rPr>
          <w:rFonts w:eastAsia="Palatino Linotype"/>
          <w:sz w:val="22"/>
          <w:szCs w:val="22"/>
          <w:lang w:val="es-ES"/>
        </w:rPr>
        <w:t>this</w:t>
      </w:r>
      <w:proofErr w:type="spellEnd"/>
      <w:r>
        <w:rPr>
          <w:rFonts w:eastAsia="Palatino Linotype"/>
          <w:sz w:val="22"/>
          <w:szCs w:val="22"/>
          <w:lang w:val="es-ES"/>
        </w:rPr>
        <w:t xml:space="preserve"> </w:t>
      </w:r>
      <w:proofErr w:type="gramStart"/>
      <w:r>
        <w:rPr>
          <w:rFonts w:eastAsia="Palatino Linotype"/>
          <w:sz w:val="22"/>
          <w:szCs w:val="22"/>
          <w:lang w:val="es-ES"/>
        </w:rPr>
        <w:t>Single</w:t>
      </w:r>
      <w:proofErr w:type="gramEnd"/>
      <w:r>
        <w:rPr>
          <w:rFonts w:eastAsia="Palatino Linotype"/>
          <w:sz w:val="22"/>
          <w:szCs w:val="22"/>
          <w:lang w:val="es-ES"/>
        </w:rPr>
        <w:t xml:space="preserve"> Tender </w:t>
      </w:r>
      <w:proofErr w:type="spellStart"/>
      <w:r>
        <w:rPr>
          <w:rFonts w:eastAsia="Palatino Linotype"/>
          <w:sz w:val="22"/>
          <w:szCs w:val="22"/>
          <w:lang w:val="es-ES"/>
        </w:rPr>
        <w:t>Document</w:t>
      </w:r>
      <w:proofErr w:type="spellEnd"/>
      <w:r>
        <w:rPr>
          <w:rFonts w:eastAsia="Palatino Linotype"/>
          <w:sz w:val="22"/>
          <w:szCs w:val="22"/>
          <w:lang w:val="es-ES"/>
        </w:rPr>
        <w:t xml:space="preserve">. </w:t>
      </w:r>
      <w:proofErr w:type="spellStart"/>
      <w:r>
        <w:rPr>
          <w:rFonts w:eastAsia="Palatino Linotype"/>
          <w:sz w:val="22"/>
          <w:szCs w:val="22"/>
          <w:lang w:val="es-ES"/>
        </w:rPr>
        <w:t>This</w:t>
      </w:r>
      <w:proofErr w:type="spellEnd"/>
      <w:r>
        <w:rPr>
          <w:rFonts w:eastAsia="Palatino Linotype"/>
          <w:sz w:val="22"/>
          <w:szCs w:val="22"/>
          <w:lang w:val="es-ES"/>
        </w:rPr>
        <w:t xml:space="preserve"> </w:t>
      </w:r>
      <w:proofErr w:type="spellStart"/>
      <w:r>
        <w:rPr>
          <w:rFonts w:eastAsia="Palatino Linotype"/>
          <w:sz w:val="22"/>
          <w:szCs w:val="22"/>
          <w:lang w:val="es-ES"/>
        </w:rPr>
        <w:t>amount</w:t>
      </w:r>
      <w:proofErr w:type="spellEnd"/>
      <w:r>
        <w:rPr>
          <w:rFonts w:eastAsia="Palatino Linotype"/>
          <w:sz w:val="22"/>
          <w:szCs w:val="22"/>
          <w:lang w:val="es-ES"/>
        </w:rPr>
        <w:t xml:space="preserve"> </w:t>
      </w:r>
      <w:proofErr w:type="spellStart"/>
      <w:r>
        <w:rPr>
          <w:rFonts w:eastAsia="Palatino Linotype"/>
          <w:sz w:val="22"/>
          <w:szCs w:val="22"/>
          <w:lang w:val="es-ES"/>
        </w:rPr>
        <w:t>is</w:t>
      </w:r>
      <w:proofErr w:type="spellEnd"/>
      <w:r>
        <w:rPr>
          <w:rFonts w:eastAsia="Palatino Linotype"/>
          <w:sz w:val="22"/>
          <w:szCs w:val="22"/>
          <w:lang w:val="es-ES"/>
        </w:rPr>
        <w:t xml:space="preserve"> </w:t>
      </w:r>
      <w:proofErr w:type="spellStart"/>
      <w:r>
        <w:rPr>
          <w:rFonts w:eastAsia="Palatino Linotype"/>
          <w:sz w:val="22"/>
          <w:szCs w:val="22"/>
          <w:lang w:val="es-ES"/>
        </w:rPr>
        <w:t>the</w:t>
      </w:r>
      <w:proofErr w:type="spellEnd"/>
      <w:r>
        <w:rPr>
          <w:rFonts w:eastAsia="Palatino Linotype"/>
          <w:sz w:val="22"/>
          <w:szCs w:val="22"/>
          <w:lang w:val="es-ES"/>
        </w:rPr>
        <w:t xml:space="preserve"> </w:t>
      </w:r>
      <w:proofErr w:type="spellStart"/>
      <w:r>
        <w:rPr>
          <w:rFonts w:eastAsia="Palatino Linotype"/>
          <w:sz w:val="22"/>
          <w:szCs w:val="22"/>
          <w:lang w:val="es-ES"/>
        </w:rPr>
        <w:t>one</w:t>
      </w:r>
      <w:proofErr w:type="spellEnd"/>
      <w:r>
        <w:rPr>
          <w:rFonts w:eastAsia="Palatino Linotype"/>
          <w:sz w:val="22"/>
          <w:szCs w:val="22"/>
          <w:lang w:val="es-ES"/>
        </w:rPr>
        <w:t xml:space="preserve"> </w:t>
      </w:r>
      <w:proofErr w:type="spellStart"/>
      <w:r>
        <w:rPr>
          <w:rFonts w:eastAsia="Palatino Linotype"/>
          <w:sz w:val="22"/>
          <w:szCs w:val="22"/>
          <w:lang w:val="es-ES"/>
        </w:rPr>
        <w:t>estimated</w:t>
      </w:r>
      <w:proofErr w:type="spellEnd"/>
      <w:r>
        <w:rPr>
          <w:rFonts w:eastAsia="Palatino Linotype"/>
          <w:sz w:val="22"/>
          <w:szCs w:val="22"/>
          <w:lang w:val="es-ES"/>
        </w:rPr>
        <w:t xml:space="preserve"> </w:t>
      </w:r>
      <w:proofErr w:type="spellStart"/>
      <w:r>
        <w:rPr>
          <w:rFonts w:eastAsia="Palatino Linotype"/>
          <w:sz w:val="22"/>
          <w:szCs w:val="22"/>
          <w:lang w:val="es-ES"/>
        </w:rPr>
        <w:t>by</w:t>
      </w:r>
      <w:proofErr w:type="spellEnd"/>
      <w:r>
        <w:rPr>
          <w:rFonts w:eastAsia="Palatino Linotype"/>
          <w:sz w:val="22"/>
          <w:szCs w:val="22"/>
          <w:lang w:val="es-ES"/>
        </w:rPr>
        <w:t xml:space="preserve"> </w:t>
      </w:r>
      <w:proofErr w:type="spellStart"/>
      <w:r>
        <w:rPr>
          <w:rFonts w:eastAsia="Palatino Linotype"/>
          <w:sz w:val="22"/>
          <w:szCs w:val="22"/>
          <w:lang w:val="es-ES"/>
        </w:rPr>
        <w:t>the</w:t>
      </w:r>
      <w:proofErr w:type="spellEnd"/>
      <w:r>
        <w:rPr>
          <w:rFonts w:eastAsia="Palatino Linotype"/>
          <w:sz w:val="22"/>
          <w:szCs w:val="22"/>
          <w:lang w:val="es-ES"/>
        </w:rPr>
        <w:t xml:space="preserve"> </w:t>
      </w:r>
      <w:proofErr w:type="spellStart"/>
      <w:r>
        <w:rPr>
          <w:rFonts w:eastAsia="Palatino Linotype"/>
          <w:sz w:val="22"/>
          <w:szCs w:val="22"/>
          <w:lang w:val="es-ES"/>
        </w:rPr>
        <w:t>Administration</w:t>
      </w:r>
      <w:proofErr w:type="spellEnd"/>
      <w:r>
        <w:rPr>
          <w:rFonts w:eastAsia="Palatino Linotype"/>
          <w:sz w:val="22"/>
          <w:szCs w:val="22"/>
          <w:lang w:val="es-ES"/>
        </w:rPr>
        <w:t xml:space="preserve"> </w:t>
      </w:r>
      <w:proofErr w:type="spellStart"/>
      <w:r>
        <w:rPr>
          <w:rFonts w:eastAsia="Palatino Linotype"/>
          <w:sz w:val="22"/>
          <w:szCs w:val="22"/>
          <w:lang w:val="es-ES"/>
        </w:rPr>
        <w:t>when</w:t>
      </w:r>
      <w:proofErr w:type="spellEnd"/>
      <w:r>
        <w:rPr>
          <w:rFonts w:eastAsia="Palatino Linotype"/>
          <w:sz w:val="22"/>
          <w:szCs w:val="22"/>
          <w:lang w:val="es-ES"/>
        </w:rPr>
        <w:t xml:space="preserve"> </w:t>
      </w:r>
      <w:proofErr w:type="spellStart"/>
      <w:r>
        <w:rPr>
          <w:rFonts w:eastAsia="Palatino Linotype"/>
          <w:sz w:val="22"/>
          <w:szCs w:val="22"/>
          <w:lang w:val="es-ES"/>
        </w:rPr>
        <w:t>approving</w:t>
      </w:r>
      <w:proofErr w:type="spellEnd"/>
      <w:r>
        <w:rPr>
          <w:rFonts w:eastAsia="Palatino Linotype"/>
          <w:sz w:val="22"/>
          <w:szCs w:val="22"/>
          <w:lang w:val="es-ES"/>
        </w:rPr>
        <w:t xml:space="preserve"> </w:t>
      </w:r>
      <w:proofErr w:type="spellStart"/>
      <w:r>
        <w:rPr>
          <w:rFonts w:eastAsia="Palatino Linotype"/>
          <w:sz w:val="22"/>
          <w:szCs w:val="22"/>
          <w:lang w:val="es-ES"/>
        </w:rPr>
        <w:t>the</w:t>
      </w:r>
      <w:proofErr w:type="spellEnd"/>
      <w:r>
        <w:rPr>
          <w:rFonts w:eastAsia="Palatino Linotype"/>
          <w:sz w:val="22"/>
          <w:szCs w:val="22"/>
          <w:lang w:val="es-ES"/>
        </w:rPr>
        <w:t xml:space="preserve"> </w:t>
      </w:r>
      <w:proofErr w:type="spellStart"/>
      <w:r>
        <w:rPr>
          <w:rFonts w:eastAsia="Palatino Linotype"/>
          <w:sz w:val="22"/>
          <w:szCs w:val="22"/>
          <w:lang w:val="es-ES"/>
        </w:rPr>
        <w:t>call</w:t>
      </w:r>
      <w:proofErr w:type="spellEnd"/>
      <w:r>
        <w:rPr>
          <w:rFonts w:eastAsia="Palatino Linotype"/>
          <w:sz w:val="22"/>
          <w:szCs w:val="22"/>
          <w:lang w:val="es-ES"/>
        </w:rPr>
        <w:t xml:space="preserve"> </w:t>
      </w:r>
      <w:proofErr w:type="spellStart"/>
      <w:r>
        <w:rPr>
          <w:rFonts w:eastAsia="Palatino Linotype"/>
          <w:sz w:val="22"/>
          <w:szCs w:val="22"/>
          <w:lang w:val="es-ES"/>
        </w:rPr>
        <w:t>for</w:t>
      </w:r>
      <w:proofErr w:type="spellEnd"/>
      <w:r>
        <w:rPr>
          <w:rFonts w:eastAsia="Palatino Linotype"/>
          <w:sz w:val="22"/>
          <w:szCs w:val="22"/>
          <w:lang w:val="es-ES"/>
        </w:rPr>
        <w:t xml:space="preserve"> </w:t>
      </w:r>
      <w:proofErr w:type="spellStart"/>
      <w:r>
        <w:rPr>
          <w:rFonts w:eastAsia="Palatino Linotype"/>
          <w:sz w:val="22"/>
          <w:szCs w:val="22"/>
          <w:lang w:val="es-ES"/>
        </w:rPr>
        <w:t>tenders</w:t>
      </w:r>
      <w:proofErr w:type="spellEnd"/>
      <w:r>
        <w:rPr>
          <w:rFonts w:eastAsia="Palatino Linotype"/>
          <w:sz w:val="22"/>
          <w:szCs w:val="22"/>
          <w:lang w:val="es-ES"/>
        </w:rPr>
        <w:t>.</w:t>
      </w:r>
    </w:p>
    <w:p w14:paraId="420F9012" w14:textId="77777777" w:rsidR="00E255F4" w:rsidRDefault="00E255F4">
      <w:pPr>
        <w:ind w:right="-142"/>
        <w:jc w:val="both"/>
        <w:rPr>
          <w:rFonts w:eastAsia="Palatino Linotype"/>
          <w:sz w:val="22"/>
          <w:szCs w:val="22"/>
          <w:lang w:val="es-ES"/>
        </w:rPr>
      </w:pPr>
    </w:p>
    <w:p w14:paraId="6A16E0F2" w14:textId="77777777" w:rsidR="00E255F4" w:rsidRDefault="00000000">
      <w:pPr>
        <w:ind w:right="-142"/>
        <w:jc w:val="both"/>
        <w:rPr>
          <w:rFonts w:eastAsia="Palatino Linotype"/>
          <w:sz w:val="22"/>
          <w:szCs w:val="22"/>
          <w:lang w:val="es-ES"/>
        </w:rPr>
      </w:pPr>
      <w:proofErr w:type="spellStart"/>
      <w:r>
        <w:rPr>
          <w:rFonts w:eastAsia="Palatino Linotype"/>
          <w:spacing w:val="2"/>
          <w:sz w:val="22"/>
          <w:szCs w:val="22"/>
          <w:lang w:val="es-ES"/>
        </w:rPr>
        <w:t>ii</w:t>
      </w:r>
      <w:r>
        <w:rPr>
          <w:rFonts w:eastAsia="Palatino Linotype"/>
          <w:sz w:val="22"/>
          <w:szCs w:val="22"/>
          <w:lang w:val="es-ES"/>
        </w:rPr>
        <w:t>This</w:t>
      </w:r>
      <w:proofErr w:type="spellEnd"/>
      <w:r>
        <w:rPr>
          <w:rFonts w:eastAsia="Palatino Linotype"/>
          <w:sz w:val="22"/>
          <w:szCs w:val="22"/>
          <w:lang w:val="es-ES"/>
        </w:rPr>
        <w:t xml:space="preserve"> </w:t>
      </w:r>
      <w:proofErr w:type="spellStart"/>
      <w:r>
        <w:rPr>
          <w:rFonts w:eastAsia="Palatino Linotype"/>
          <w:sz w:val="22"/>
          <w:szCs w:val="22"/>
          <w:lang w:val="es-ES"/>
        </w:rPr>
        <w:t>will</w:t>
      </w:r>
      <w:proofErr w:type="spellEnd"/>
      <w:r>
        <w:rPr>
          <w:rFonts w:eastAsia="Palatino Linotype"/>
          <w:sz w:val="22"/>
          <w:szCs w:val="22"/>
          <w:lang w:val="es-ES"/>
        </w:rPr>
        <w:t xml:space="preserve"> </w:t>
      </w:r>
      <w:proofErr w:type="spellStart"/>
      <w:r>
        <w:rPr>
          <w:rFonts w:eastAsia="Palatino Linotype"/>
          <w:sz w:val="22"/>
          <w:szCs w:val="22"/>
          <w:lang w:val="es-ES"/>
        </w:rPr>
        <w:t>apply</w:t>
      </w:r>
      <w:proofErr w:type="spellEnd"/>
      <w:r>
        <w:rPr>
          <w:rFonts w:eastAsia="Palatino Linotype"/>
          <w:sz w:val="22"/>
          <w:szCs w:val="22"/>
          <w:lang w:val="es-ES"/>
        </w:rPr>
        <w:t xml:space="preserve"> </w:t>
      </w:r>
      <w:proofErr w:type="spellStart"/>
      <w:r>
        <w:rPr>
          <w:rFonts w:eastAsia="Palatino Linotype"/>
          <w:sz w:val="22"/>
          <w:szCs w:val="22"/>
          <w:lang w:val="es-ES"/>
        </w:rPr>
        <w:t>whenever</w:t>
      </w:r>
      <w:proofErr w:type="spellEnd"/>
      <w:r>
        <w:rPr>
          <w:rFonts w:eastAsia="Palatino Linotype"/>
          <w:sz w:val="22"/>
          <w:szCs w:val="22"/>
          <w:lang w:val="es-ES"/>
        </w:rPr>
        <w:t xml:space="preserve"> </w:t>
      </w:r>
      <w:proofErr w:type="spellStart"/>
      <w:r>
        <w:rPr>
          <w:rFonts w:eastAsia="Palatino Linotype"/>
          <w:sz w:val="22"/>
          <w:szCs w:val="22"/>
          <w:lang w:val="es-ES"/>
        </w:rPr>
        <w:t>there</w:t>
      </w:r>
      <w:proofErr w:type="spellEnd"/>
      <w:r>
        <w:rPr>
          <w:rFonts w:eastAsia="Palatino Linotype"/>
          <w:sz w:val="22"/>
          <w:szCs w:val="22"/>
          <w:lang w:val="es-ES"/>
        </w:rPr>
        <w:t xml:space="preserve"> </w:t>
      </w:r>
      <w:proofErr w:type="spellStart"/>
      <w:r>
        <w:rPr>
          <w:rFonts w:eastAsia="Palatino Linotype"/>
          <w:sz w:val="22"/>
          <w:szCs w:val="22"/>
          <w:lang w:val="es-ES"/>
        </w:rPr>
        <w:t>is</w:t>
      </w:r>
      <w:proofErr w:type="spellEnd"/>
      <w:r>
        <w:rPr>
          <w:rFonts w:eastAsia="Palatino Linotype"/>
          <w:sz w:val="22"/>
          <w:szCs w:val="22"/>
          <w:lang w:val="es-ES"/>
        </w:rPr>
        <w:t xml:space="preserve"> </w:t>
      </w:r>
      <w:proofErr w:type="spellStart"/>
      <w:r>
        <w:rPr>
          <w:rFonts w:eastAsia="Palatino Linotype"/>
          <w:sz w:val="22"/>
          <w:szCs w:val="22"/>
          <w:lang w:val="es-ES"/>
        </w:rPr>
        <w:t>parity</w:t>
      </w:r>
      <w:proofErr w:type="spellEnd"/>
      <w:r>
        <w:rPr>
          <w:rFonts w:eastAsia="Palatino Linotype"/>
          <w:sz w:val="22"/>
          <w:szCs w:val="22"/>
          <w:lang w:val="es-ES"/>
        </w:rPr>
        <w:t xml:space="preserve"> </w:t>
      </w:r>
      <w:proofErr w:type="spellStart"/>
      <w:r>
        <w:rPr>
          <w:rFonts w:eastAsia="Palatino Linotype"/>
          <w:sz w:val="22"/>
          <w:szCs w:val="22"/>
          <w:lang w:val="es-ES"/>
        </w:rPr>
        <w:t>of</w:t>
      </w:r>
      <w:proofErr w:type="spellEnd"/>
      <w:r>
        <w:rPr>
          <w:rFonts w:eastAsia="Palatino Linotype"/>
          <w:sz w:val="22"/>
          <w:szCs w:val="22"/>
          <w:lang w:val="es-ES"/>
        </w:rPr>
        <w:t xml:space="preserve"> </w:t>
      </w:r>
      <w:proofErr w:type="spellStart"/>
      <w:r>
        <w:rPr>
          <w:rFonts w:eastAsia="Palatino Linotype"/>
          <w:sz w:val="22"/>
          <w:szCs w:val="22"/>
          <w:lang w:val="es-ES"/>
        </w:rPr>
        <w:t>quality</w:t>
      </w:r>
      <w:proofErr w:type="spellEnd"/>
      <w:r>
        <w:rPr>
          <w:rFonts w:eastAsia="Palatino Linotype"/>
          <w:sz w:val="22"/>
          <w:szCs w:val="22"/>
          <w:lang w:val="es-ES"/>
        </w:rPr>
        <w:t xml:space="preserve"> </w:t>
      </w:r>
      <w:proofErr w:type="spellStart"/>
      <w:r>
        <w:rPr>
          <w:rFonts w:eastAsia="Palatino Linotype"/>
          <w:sz w:val="22"/>
          <w:szCs w:val="22"/>
          <w:lang w:val="es-ES"/>
        </w:rPr>
        <w:t>or</w:t>
      </w:r>
      <w:proofErr w:type="spellEnd"/>
      <w:r>
        <w:rPr>
          <w:rFonts w:eastAsia="Palatino Linotype"/>
          <w:sz w:val="22"/>
          <w:szCs w:val="22"/>
          <w:lang w:val="es-ES"/>
        </w:rPr>
        <w:t xml:space="preserve"> </w:t>
      </w:r>
      <w:proofErr w:type="spellStart"/>
      <w:r>
        <w:rPr>
          <w:rFonts w:eastAsia="Palatino Linotype"/>
          <w:sz w:val="22"/>
          <w:szCs w:val="22"/>
          <w:lang w:val="es-ES"/>
        </w:rPr>
        <w:t>suitability</w:t>
      </w:r>
      <w:proofErr w:type="spellEnd"/>
      <w:r>
        <w:rPr>
          <w:rFonts w:eastAsia="Palatino Linotype"/>
          <w:sz w:val="22"/>
          <w:szCs w:val="22"/>
          <w:lang w:val="es-ES"/>
        </w:rPr>
        <w:t xml:space="preserve">. </w:t>
      </w:r>
      <w:proofErr w:type="spellStart"/>
      <w:r>
        <w:rPr>
          <w:rFonts w:eastAsia="Palatino Linotype"/>
          <w:sz w:val="22"/>
          <w:szCs w:val="22"/>
          <w:lang w:val="es-ES"/>
        </w:rPr>
        <w:t>Parity</w:t>
      </w:r>
      <w:proofErr w:type="spellEnd"/>
      <w:r>
        <w:rPr>
          <w:rFonts w:eastAsia="Palatino Linotype"/>
          <w:sz w:val="22"/>
          <w:szCs w:val="22"/>
          <w:lang w:val="es-ES"/>
        </w:rPr>
        <w:t xml:space="preserve"> </w:t>
      </w:r>
      <w:proofErr w:type="spellStart"/>
      <w:r>
        <w:rPr>
          <w:rFonts w:eastAsia="Palatino Linotype"/>
          <w:sz w:val="22"/>
          <w:szCs w:val="22"/>
          <w:lang w:val="es-ES"/>
        </w:rPr>
        <w:t>of</w:t>
      </w:r>
      <w:proofErr w:type="spellEnd"/>
      <w:r>
        <w:rPr>
          <w:rFonts w:eastAsia="Palatino Linotype"/>
          <w:sz w:val="22"/>
          <w:szCs w:val="22"/>
          <w:lang w:val="es-ES"/>
        </w:rPr>
        <w:t xml:space="preserve"> </w:t>
      </w:r>
      <w:proofErr w:type="spellStart"/>
      <w:r>
        <w:rPr>
          <w:rFonts w:eastAsia="Palatino Linotype"/>
          <w:sz w:val="22"/>
          <w:szCs w:val="22"/>
          <w:lang w:val="es-ES"/>
        </w:rPr>
        <w:t>quality</w:t>
      </w:r>
      <w:proofErr w:type="spellEnd"/>
      <w:r>
        <w:rPr>
          <w:rFonts w:eastAsia="Palatino Linotype"/>
          <w:sz w:val="22"/>
          <w:szCs w:val="22"/>
          <w:lang w:val="es-ES"/>
        </w:rPr>
        <w:t xml:space="preserve"> </w:t>
      </w:r>
      <w:proofErr w:type="spellStart"/>
      <w:r>
        <w:rPr>
          <w:rFonts w:eastAsia="Palatino Linotype"/>
          <w:sz w:val="22"/>
          <w:szCs w:val="22"/>
          <w:lang w:val="es-ES"/>
        </w:rPr>
        <w:t>or</w:t>
      </w:r>
      <w:proofErr w:type="spellEnd"/>
      <w:r>
        <w:rPr>
          <w:rFonts w:eastAsia="Palatino Linotype"/>
          <w:sz w:val="22"/>
          <w:szCs w:val="22"/>
          <w:lang w:val="es-ES"/>
        </w:rPr>
        <w:t xml:space="preserve"> </w:t>
      </w:r>
      <w:proofErr w:type="spellStart"/>
      <w:r>
        <w:rPr>
          <w:rFonts w:eastAsia="Palatino Linotype"/>
          <w:sz w:val="22"/>
          <w:szCs w:val="22"/>
          <w:lang w:val="es-ES"/>
        </w:rPr>
        <w:t>suitability</w:t>
      </w:r>
      <w:proofErr w:type="spellEnd"/>
      <w:r>
        <w:rPr>
          <w:rFonts w:eastAsia="Palatino Linotype"/>
          <w:sz w:val="22"/>
          <w:szCs w:val="22"/>
          <w:lang w:val="es-ES"/>
        </w:rPr>
        <w:t xml:space="preserve"> </w:t>
      </w:r>
      <w:proofErr w:type="spellStart"/>
      <w:r>
        <w:rPr>
          <w:rFonts w:eastAsia="Palatino Linotype"/>
          <w:sz w:val="22"/>
          <w:szCs w:val="22"/>
          <w:lang w:val="es-ES"/>
        </w:rPr>
        <w:t>between</w:t>
      </w:r>
      <w:proofErr w:type="spellEnd"/>
      <w:r>
        <w:rPr>
          <w:rFonts w:eastAsia="Palatino Linotype"/>
          <w:sz w:val="22"/>
          <w:szCs w:val="22"/>
          <w:lang w:val="es-ES"/>
        </w:rPr>
        <w:t xml:space="preserve"> </w:t>
      </w:r>
      <w:proofErr w:type="spellStart"/>
      <w:r>
        <w:rPr>
          <w:rFonts w:eastAsia="Palatino Linotype"/>
          <w:sz w:val="22"/>
          <w:szCs w:val="22"/>
          <w:lang w:val="es-ES"/>
        </w:rPr>
        <w:t>bids</w:t>
      </w:r>
      <w:proofErr w:type="spellEnd"/>
      <w:r>
        <w:rPr>
          <w:rFonts w:eastAsia="Palatino Linotype"/>
          <w:sz w:val="22"/>
          <w:szCs w:val="22"/>
          <w:lang w:val="es-ES"/>
        </w:rPr>
        <w:t xml:space="preserve"> </w:t>
      </w:r>
      <w:proofErr w:type="spellStart"/>
      <w:r>
        <w:rPr>
          <w:rFonts w:eastAsia="Palatino Linotype"/>
          <w:sz w:val="22"/>
          <w:szCs w:val="22"/>
          <w:lang w:val="es-ES"/>
        </w:rPr>
        <w:t>is</w:t>
      </w:r>
      <w:proofErr w:type="spellEnd"/>
      <w:r>
        <w:rPr>
          <w:rFonts w:eastAsia="Palatino Linotype"/>
          <w:sz w:val="22"/>
          <w:szCs w:val="22"/>
          <w:lang w:val="es-ES"/>
        </w:rPr>
        <w:t xml:space="preserve"> </w:t>
      </w:r>
      <w:proofErr w:type="spellStart"/>
      <w:r>
        <w:rPr>
          <w:rFonts w:eastAsia="Palatino Linotype"/>
          <w:sz w:val="22"/>
          <w:szCs w:val="22"/>
          <w:lang w:val="es-ES"/>
        </w:rPr>
        <w:t>considered</w:t>
      </w:r>
      <w:proofErr w:type="spellEnd"/>
      <w:r>
        <w:rPr>
          <w:rFonts w:eastAsia="Palatino Linotype"/>
          <w:sz w:val="22"/>
          <w:szCs w:val="22"/>
          <w:lang w:val="es-ES"/>
        </w:rPr>
        <w:t xml:space="preserve"> </w:t>
      </w:r>
      <w:proofErr w:type="spellStart"/>
      <w:r>
        <w:rPr>
          <w:rFonts w:eastAsia="Palatino Linotype"/>
          <w:sz w:val="22"/>
          <w:szCs w:val="22"/>
          <w:lang w:val="es-ES"/>
        </w:rPr>
        <w:t>to</w:t>
      </w:r>
      <w:proofErr w:type="spellEnd"/>
      <w:r>
        <w:rPr>
          <w:rFonts w:eastAsia="Palatino Linotype"/>
          <w:sz w:val="22"/>
          <w:szCs w:val="22"/>
          <w:lang w:val="es-ES"/>
        </w:rPr>
        <w:t xml:space="preserve"> </w:t>
      </w:r>
      <w:proofErr w:type="spellStart"/>
      <w:r>
        <w:rPr>
          <w:rFonts w:eastAsia="Palatino Linotype"/>
          <w:sz w:val="22"/>
          <w:szCs w:val="22"/>
          <w:lang w:val="es-ES"/>
        </w:rPr>
        <w:t>exist</w:t>
      </w:r>
      <w:proofErr w:type="spellEnd"/>
      <w:r>
        <w:rPr>
          <w:rFonts w:eastAsia="Palatino Linotype"/>
          <w:sz w:val="22"/>
          <w:szCs w:val="22"/>
          <w:lang w:val="es-ES"/>
        </w:rPr>
        <w:t xml:space="preserve"> </w:t>
      </w:r>
      <w:proofErr w:type="spellStart"/>
      <w:r>
        <w:rPr>
          <w:rFonts w:eastAsia="Palatino Linotype"/>
          <w:sz w:val="22"/>
          <w:szCs w:val="22"/>
          <w:lang w:val="es-ES"/>
        </w:rPr>
        <w:t>when</w:t>
      </w:r>
      <w:proofErr w:type="spellEnd"/>
      <w:r>
        <w:rPr>
          <w:rFonts w:eastAsia="Palatino Linotype"/>
          <w:sz w:val="22"/>
          <w:szCs w:val="22"/>
          <w:lang w:val="es-ES"/>
        </w:rPr>
        <w:t xml:space="preserve"> </w:t>
      </w:r>
      <w:proofErr w:type="spellStart"/>
      <w:r>
        <w:rPr>
          <w:rFonts w:eastAsia="Palatino Linotype"/>
          <w:sz w:val="22"/>
          <w:szCs w:val="22"/>
          <w:lang w:val="es-ES"/>
        </w:rPr>
        <w:t>they</w:t>
      </w:r>
      <w:proofErr w:type="spellEnd"/>
      <w:r>
        <w:rPr>
          <w:rFonts w:eastAsia="Palatino Linotype"/>
          <w:sz w:val="22"/>
          <w:szCs w:val="22"/>
          <w:lang w:val="es-ES"/>
        </w:rPr>
        <w:t xml:space="preserve"> </w:t>
      </w:r>
      <w:proofErr w:type="spellStart"/>
      <w:r>
        <w:rPr>
          <w:rFonts w:eastAsia="Palatino Linotype"/>
          <w:sz w:val="22"/>
          <w:szCs w:val="22"/>
          <w:lang w:val="es-ES"/>
        </w:rPr>
        <w:t>meet</w:t>
      </w:r>
      <w:proofErr w:type="spellEnd"/>
      <w:r>
        <w:rPr>
          <w:rFonts w:eastAsia="Palatino Linotype"/>
          <w:sz w:val="22"/>
          <w:szCs w:val="22"/>
          <w:lang w:val="es-ES"/>
        </w:rPr>
        <w:t xml:space="preserve"> </w:t>
      </w:r>
      <w:proofErr w:type="spellStart"/>
      <w:r>
        <w:rPr>
          <w:rFonts w:eastAsia="Palatino Linotype"/>
          <w:sz w:val="22"/>
          <w:szCs w:val="22"/>
          <w:lang w:val="es-ES"/>
        </w:rPr>
        <w:t>the</w:t>
      </w:r>
      <w:proofErr w:type="spellEnd"/>
      <w:r>
        <w:rPr>
          <w:rFonts w:eastAsia="Palatino Linotype"/>
          <w:sz w:val="22"/>
          <w:szCs w:val="22"/>
          <w:lang w:val="es-ES"/>
        </w:rPr>
        <w:t xml:space="preserve"> </w:t>
      </w:r>
      <w:proofErr w:type="spellStart"/>
      <w:r>
        <w:rPr>
          <w:rFonts w:eastAsia="Palatino Linotype"/>
          <w:sz w:val="22"/>
          <w:szCs w:val="22"/>
          <w:lang w:val="es-ES"/>
        </w:rPr>
        <w:t>technical</w:t>
      </w:r>
      <w:proofErr w:type="spellEnd"/>
      <w:r>
        <w:rPr>
          <w:rFonts w:eastAsia="Palatino Linotype"/>
          <w:sz w:val="22"/>
          <w:szCs w:val="22"/>
          <w:lang w:val="es-ES"/>
        </w:rPr>
        <w:t xml:space="preserve"> </w:t>
      </w:r>
      <w:proofErr w:type="spellStart"/>
      <w:r>
        <w:rPr>
          <w:rFonts w:eastAsia="Palatino Linotype"/>
          <w:sz w:val="22"/>
          <w:szCs w:val="22"/>
          <w:lang w:val="es-ES"/>
        </w:rPr>
        <w:t>requirements</w:t>
      </w:r>
      <w:proofErr w:type="spellEnd"/>
      <w:r>
        <w:rPr>
          <w:rFonts w:eastAsia="Palatino Linotype"/>
          <w:sz w:val="22"/>
          <w:szCs w:val="22"/>
          <w:lang w:val="es-ES"/>
        </w:rPr>
        <w:t xml:space="preserve"> </w:t>
      </w:r>
      <w:proofErr w:type="spellStart"/>
      <w:r>
        <w:rPr>
          <w:rFonts w:eastAsia="Palatino Linotype"/>
          <w:sz w:val="22"/>
          <w:szCs w:val="22"/>
          <w:lang w:val="es-ES"/>
        </w:rPr>
        <w:t>stipulated</w:t>
      </w:r>
      <w:proofErr w:type="spellEnd"/>
      <w:r>
        <w:rPr>
          <w:rFonts w:eastAsia="Palatino Linotype"/>
          <w:sz w:val="22"/>
          <w:szCs w:val="22"/>
          <w:lang w:val="es-ES"/>
        </w:rPr>
        <w:t xml:space="preserve"> in </w:t>
      </w:r>
      <w:proofErr w:type="spellStart"/>
      <w:r>
        <w:rPr>
          <w:rFonts w:eastAsia="Palatino Linotype"/>
          <w:sz w:val="22"/>
          <w:szCs w:val="22"/>
          <w:lang w:val="es-ES"/>
        </w:rPr>
        <w:t>the</w:t>
      </w:r>
      <w:proofErr w:type="spellEnd"/>
      <w:r>
        <w:rPr>
          <w:rFonts w:eastAsia="Palatino Linotype"/>
          <w:sz w:val="22"/>
          <w:szCs w:val="22"/>
          <w:lang w:val="es-ES"/>
        </w:rPr>
        <w:t xml:space="preserve"> Special </w:t>
      </w:r>
      <w:proofErr w:type="spellStart"/>
      <w:r>
        <w:rPr>
          <w:rFonts w:eastAsia="Palatino Linotype"/>
          <w:sz w:val="22"/>
          <w:szCs w:val="22"/>
          <w:lang w:val="es-ES"/>
        </w:rPr>
        <w:t>Specifications</w:t>
      </w:r>
      <w:proofErr w:type="spellEnd"/>
      <w:r>
        <w:rPr>
          <w:rFonts w:eastAsia="Palatino Linotype"/>
          <w:sz w:val="22"/>
          <w:szCs w:val="22"/>
          <w:lang w:val="es-ES"/>
        </w:rPr>
        <w:t>.</w:t>
      </w:r>
    </w:p>
    <w:p w14:paraId="0AC09F06" w14:textId="77777777" w:rsidR="00E255F4" w:rsidRDefault="00E255F4">
      <w:pPr>
        <w:ind w:right="-142"/>
        <w:jc w:val="both"/>
        <w:rPr>
          <w:rFonts w:eastAsia="Palatino Linotype"/>
          <w:sz w:val="22"/>
          <w:szCs w:val="22"/>
          <w:lang w:val="es-ES"/>
        </w:rPr>
      </w:pPr>
    </w:p>
    <w:p w14:paraId="1AA16D5E" w14:textId="77777777" w:rsidR="00E255F4" w:rsidRDefault="00000000">
      <w:pPr>
        <w:ind w:right="-142"/>
        <w:jc w:val="both"/>
        <w:rPr>
          <w:rFonts w:eastAsia="Palatino Linotype"/>
          <w:sz w:val="22"/>
          <w:szCs w:val="22"/>
          <w:lang w:val="es-ES"/>
        </w:rPr>
      </w:pPr>
      <w:r>
        <w:rPr>
          <w:rFonts w:eastAsia="Palatino Linotype"/>
          <w:spacing w:val="6"/>
          <w:sz w:val="22"/>
          <w:szCs w:val="22"/>
          <w:lang w:val="es-ES"/>
        </w:rPr>
        <w:t>N</w:t>
      </w:r>
      <w:r>
        <w:rPr>
          <w:rFonts w:eastAsia="Palatino Linotype"/>
          <w:sz w:val="22"/>
          <w:szCs w:val="22"/>
          <w:lang w:val="es-ES"/>
        </w:rPr>
        <w:t xml:space="preserve">or </w:t>
      </w:r>
      <w:proofErr w:type="spellStart"/>
      <w:r>
        <w:rPr>
          <w:rFonts w:eastAsia="Palatino Linotype"/>
          <w:sz w:val="22"/>
          <w:szCs w:val="22"/>
          <w:lang w:val="es-ES"/>
        </w:rPr>
        <w:t>will</w:t>
      </w:r>
      <w:proofErr w:type="spellEnd"/>
      <w:r>
        <w:rPr>
          <w:rFonts w:eastAsia="Palatino Linotype"/>
          <w:sz w:val="22"/>
          <w:szCs w:val="22"/>
          <w:lang w:val="es-ES"/>
        </w:rPr>
        <w:t xml:space="preserve"> be </w:t>
      </w:r>
      <w:proofErr w:type="spellStart"/>
      <w:r>
        <w:rPr>
          <w:rFonts w:eastAsia="Palatino Linotype"/>
          <w:sz w:val="22"/>
          <w:szCs w:val="22"/>
          <w:lang w:val="es-ES"/>
        </w:rPr>
        <w:t>applicable</w:t>
      </w:r>
      <w:proofErr w:type="spellEnd"/>
      <w:r>
        <w:rPr>
          <w:rFonts w:eastAsia="Palatino Linotype"/>
          <w:sz w:val="22"/>
          <w:szCs w:val="22"/>
          <w:lang w:val="es-ES"/>
        </w:rPr>
        <w:t xml:space="preserve"> in </w:t>
      </w:r>
      <w:proofErr w:type="spellStart"/>
      <w:r>
        <w:rPr>
          <w:rFonts w:eastAsia="Palatino Linotype"/>
          <w:sz w:val="22"/>
          <w:szCs w:val="22"/>
          <w:lang w:val="es-ES"/>
        </w:rPr>
        <w:t>the</w:t>
      </w:r>
      <w:proofErr w:type="spellEnd"/>
      <w:r>
        <w:rPr>
          <w:rFonts w:eastAsia="Palatino Linotype"/>
          <w:sz w:val="22"/>
          <w:szCs w:val="22"/>
          <w:lang w:val="es-ES"/>
        </w:rPr>
        <w:t xml:space="preserve"> </w:t>
      </w:r>
      <w:proofErr w:type="spellStart"/>
      <w:r>
        <w:rPr>
          <w:rFonts w:eastAsia="Palatino Linotype"/>
          <w:sz w:val="22"/>
          <w:szCs w:val="22"/>
          <w:lang w:val="es-ES"/>
        </w:rPr>
        <w:t>contracting</w:t>
      </w:r>
      <w:proofErr w:type="spellEnd"/>
      <w:r>
        <w:rPr>
          <w:rFonts w:eastAsia="Palatino Linotype"/>
          <w:sz w:val="22"/>
          <w:szCs w:val="22"/>
          <w:lang w:val="es-ES"/>
        </w:rPr>
        <w:t xml:space="preserve"> and </w:t>
      </w:r>
      <w:proofErr w:type="spellStart"/>
      <w:r>
        <w:rPr>
          <w:rFonts w:eastAsia="Palatino Linotype"/>
          <w:sz w:val="22"/>
          <w:szCs w:val="22"/>
          <w:lang w:val="es-ES"/>
        </w:rPr>
        <w:t>acquisition</w:t>
      </w:r>
      <w:proofErr w:type="spellEnd"/>
      <w:r>
        <w:rPr>
          <w:rFonts w:eastAsia="Palatino Linotype"/>
          <w:sz w:val="22"/>
          <w:szCs w:val="22"/>
          <w:lang w:val="es-ES"/>
        </w:rPr>
        <w:t xml:space="preserve"> </w:t>
      </w:r>
      <w:proofErr w:type="spellStart"/>
      <w:r>
        <w:rPr>
          <w:rFonts w:eastAsia="Palatino Linotype"/>
          <w:sz w:val="22"/>
          <w:szCs w:val="22"/>
          <w:lang w:val="es-ES"/>
        </w:rPr>
        <w:t>of</w:t>
      </w:r>
      <w:proofErr w:type="spellEnd"/>
      <w:r>
        <w:rPr>
          <w:rFonts w:eastAsia="Palatino Linotype"/>
          <w:sz w:val="22"/>
          <w:szCs w:val="22"/>
          <w:lang w:val="es-ES"/>
        </w:rPr>
        <w:t xml:space="preserve"> </w:t>
      </w:r>
      <w:proofErr w:type="spellStart"/>
      <w:r>
        <w:rPr>
          <w:rFonts w:eastAsia="Palatino Linotype"/>
          <w:sz w:val="22"/>
          <w:szCs w:val="22"/>
          <w:lang w:val="es-ES"/>
        </w:rPr>
        <w:t>goods</w:t>
      </w:r>
      <w:proofErr w:type="spellEnd"/>
      <w:r>
        <w:rPr>
          <w:rFonts w:eastAsia="Palatino Linotype"/>
          <w:sz w:val="22"/>
          <w:szCs w:val="22"/>
          <w:lang w:val="es-ES"/>
        </w:rPr>
        <w:t xml:space="preserve"> </w:t>
      </w:r>
      <w:proofErr w:type="spellStart"/>
      <w:r>
        <w:rPr>
          <w:rFonts w:eastAsia="Palatino Linotype"/>
          <w:sz w:val="22"/>
          <w:szCs w:val="22"/>
          <w:lang w:val="es-ES"/>
        </w:rPr>
        <w:t>or</w:t>
      </w:r>
      <w:proofErr w:type="spellEnd"/>
      <w:r>
        <w:rPr>
          <w:rFonts w:eastAsia="Palatino Linotype"/>
          <w:sz w:val="22"/>
          <w:szCs w:val="22"/>
          <w:lang w:val="es-ES"/>
        </w:rPr>
        <w:t xml:space="preserve"> </w:t>
      </w:r>
      <w:proofErr w:type="spellStart"/>
      <w:r>
        <w:rPr>
          <w:rFonts w:eastAsia="Palatino Linotype"/>
          <w:sz w:val="22"/>
          <w:szCs w:val="22"/>
          <w:lang w:val="es-ES"/>
        </w:rPr>
        <w:t>services</w:t>
      </w:r>
      <w:proofErr w:type="spellEnd"/>
      <w:r>
        <w:rPr>
          <w:rFonts w:eastAsia="Palatino Linotype"/>
          <w:sz w:val="22"/>
          <w:szCs w:val="22"/>
          <w:lang w:val="es-ES"/>
        </w:rPr>
        <w:t xml:space="preserve">, </w:t>
      </w:r>
      <w:proofErr w:type="spellStart"/>
      <w:r>
        <w:rPr>
          <w:rFonts w:eastAsia="Palatino Linotype"/>
          <w:sz w:val="22"/>
          <w:szCs w:val="22"/>
          <w:lang w:val="es-ES"/>
        </w:rPr>
        <w:t>carried</w:t>
      </w:r>
      <w:proofErr w:type="spellEnd"/>
      <w:r>
        <w:rPr>
          <w:rFonts w:eastAsia="Palatino Linotype"/>
          <w:sz w:val="22"/>
          <w:szCs w:val="22"/>
          <w:lang w:val="es-ES"/>
        </w:rPr>
        <w:t xml:space="preserve"> </w:t>
      </w:r>
      <w:proofErr w:type="spellStart"/>
      <w:r>
        <w:rPr>
          <w:rFonts w:eastAsia="Palatino Linotype"/>
          <w:sz w:val="22"/>
          <w:szCs w:val="22"/>
          <w:lang w:val="es-ES"/>
        </w:rPr>
        <w:t>out</w:t>
      </w:r>
      <w:proofErr w:type="spellEnd"/>
      <w:r>
        <w:rPr>
          <w:rFonts w:eastAsia="Palatino Linotype"/>
          <w:sz w:val="22"/>
          <w:szCs w:val="22"/>
          <w:lang w:val="es-ES"/>
        </w:rPr>
        <w:t xml:space="preserve"> </w:t>
      </w:r>
      <w:proofErr w:type="spellStart"/>
      <w:r>
        <w:rPr>
          <w:rFonts w:eastAsia="Palatino Linotype"/>
          <w:sz w:val="22"/>
          <w:szCs w:val="22"/>
          <w:lang w:val="es-ES"/>
        </w:rPr>
        <w:t>by</w:t>
      </w:r>
      <w:proofErr w:type="spellEnd"/>
      <w:r>
        <w:rPr>
          <w:rFonts w:eastAsia="Palatino Linotype"/>
          <w:sz w:val="22"/>
          <w:szCs w:val="22"/>
          <w:lang w:val="es-ES"/>
        </w:rPr>
        <w:t xml:space="preserve"> </w:t>
      </w:r>
      <w:proofErr w:type="spellStart"/>
      <w:r>
        <w:rPr>
          <w:rFonts w:eastAsia="Palatino Linotype"/>
          <w:sz w:val="22"/>
          <w:szCs w:val="22"/>
          <w:lang w:val="es-ES"/>
        </w:rPr>
        <w:t>the</w:t>
      </w:r>
      <w:proofErr w:type="spellEnd"/>
      <w:r>
        <w:rPr>
          <w:rFonts w:eastAsia="Palatino Linotype"/>
          <w:sz w:val="22"/>
          <w:szCs w:val="22"/>
          <w:lang w:val="es-ES"/>
        </w:rPr>
        <w:t xml:space="preserve"> </w:t>
      </w:r>
      <w:proofErr w:type="spellStart"/>
      <w:r>
        <w:rPr>
          <w:rFonts w:eastAsia="Palatino Linotype"/>
          <w:sz w:val="22"/>
          <w:szCs w:val="22"/>
          <w:lang w:val="es-ES"/>
        </w:rPr>
        <w:t>Autonomous</w:t>
      </w:r>
      <w:proofErr w:type="spellEnd"/>
      <w:r>
        <w:rPr>
          <w:rFonts w:eastAsia="Palatino Linotype"/>
          <w:sz w:val="22"/>
          <w:szCs w:val="22"/>
          <w:lang w:val="es-ES"/>
        </w:rPr>
        <w:t xml:space="preserve"> </w:t>
      </w:r>
      <w:proofErr w:type="spellStart"/>
      <w:r>
        <w:rPr>
          <w:rFonts w:eastAsia="Palatino Linotype"/>
          <w:sz w:val="22"/>
          <w:szCs w:val="22"/>
          <w:lang w:val="es-ES"/>
        </w:rPr>
        <w:t>Entities</w:t>
      </w:r>
      <w:proofErr w:type="spellEnd"/>
      <w:r>
        <w:rPr>
          <w:rFonts w:eastAsia="Palatino Linotype"/>
          <w:sz w:val="22"/>
          <w:szCs w:val="22"/>
          <w:lang w:val="es-ES"/>
        </w:rPr>
        <w:t xml:space="preserve"> and Decentralized </w:t>
      </w:r>
      <w:proofErr w:type="spellStart"/>
      <w:r>
        <w:rPr>
          <w:rFonts w:eastAsia="Palatino Linotype"/>
          <w:sz w:val="22"/>
          <w:szCs w:val="22"/>
          <w:lang w:val="es-ES"/>
        </w:rPr>
        <w:t>Services</w:t>
      </w:r>
      <w:proofErr w:type="spellEnd"/>
      <w:r>
        <w:rPr>
          <w:rFonts w:eastAsia="Palatino Linotype"/>
          <w:sz w:val="22"/>
          <w:szCs w:val="22"/>
          <w:lang w:val="es-ES"/>
        </w:rPr>
        <w:t xml:space="preserve"> </w:t>
      </w:r>
      <w:proofErr w:type="spellStart"/>
      <w:r>
        <w:rPr>
          <w:rFonts w:eastAsia="Palatino Linotype"/>
          <w:sz w:val="22"/>
          <w:szCs w:val="22"/>
          <w:lang w:val="es-ES"/>
        </w:rPr>
        <w:t>of</w:t>
      </w:r>
      <w:proofErr w:type="spellEnd"/>
      <w:r>
        <w:rPr>
          <w:rFonts w:eastAsia="Palatino Linotype"/>
          <w:sz w:val="22"/>
          <w:szCs w:val="22"/>
          <w:lang w:val="es-ES"/>
        </w:rPr>
        <w:t xml:space="preserve"> </w:t>
      </w:r>
      <w:proofErr w:type="spellStart"/>
      <w:r>
        <w:rPr>
          <w:rFonts w:eastAsia="Palatino Linotype"/>
          <w:sz w:val="22"/>
          <w:szCs w:val="22"/>
          <w:lang w:val="es-ES"/>
        </w:rPr>
        <w:t>the</w:t>
      </w:r>
      <w:proofErr w:type="spellEnd"/>
      <w:r>
        <w:rPr>
          <w:rFonts w:eastAsia="Palatino Linotype"/>
          <w:sz w:val="22"/>
          <w:szCs w:val="22"/>
          <w:lang w:val="es-ES"/>
        </w:rPr>
        <w:t xml:space="preserve"> industrial, </w:t>
      </w:r>
      <w:proofErr w:type="spellStart"/>
      <w:r>
        <w:rPr>
          <w:rFonts w:eastAsia="Palatino Linotype"/>
          <w:sz w:val="22"/>
          <w:szCs w:val="22"/>
          <w:lang w:val="es-ES"/>
        </w:rPr>
        <w:t>commercial</w:t>
      </w:r>
      <w:proofErr w:type="spellEnd"/>
      <w:r>
        <w:rPr>
          <w:rFonts w:eastAsia="Palatino Linotype"/>
          <w:sz w:val="22"/>
          <w:szCs w:val="22"/>
          <w:lang w:val="es-ES"/>
        </w:rPr>
        <w:t xml:space="preserve"> and </w:t>
      </w:r>
      <w:proofErr w:type="spellStart"/>
      <w:r>
        <w:rPr>
          <w:rFonts w:eastAsia="Palatino Linotype"/>
          <w:sz w:val="22"/>
          <w:szCs w:val="22"/>
          <w:lang w:val="es-ES"/>
        </w:rPr>
        <w:t>financial</w:t>
      </w:r>
      <w:proofErr w:type="spellEnd"/>
      <w:r>
        <w:rPr>
          <w:rFonts w:eastAsia="Palatino Linotype"/>
          <w:sz w:val="22"/>
          <w:szCs w:val="22"/>
          <w:lang w:val="es-ES"/>
        </w:rPr>
        <w:t xml:space="preserve"> </w:t>
      </w:r>
      <w:proofErr w:type="spellStart"/>
      <w:r>
        <w:rPr>
          <w:rFonts w:eastAsia="Palatino Linotype"/>
          <w:sz w:val="22"/>
          <w:szCs w:val="22"/>
          <w:lang w:val="es-ES"/>
        </w:rPr>
        <w:t>domain</w:t>
      </w:r>
      <w:proofErr w:type="spellEnd"/>
      <w:r>
        <w:rPr>
          <w:rFonts w:eastAsia="Palatino Linotype"/>
          <w:sz w:val="22"/>
          <w:szCs w:val="22"/>
          <w:lang w:val="es-ES"/>
        </w:rPr>
        <w:t xml:space="preserve"> </w:t>
      </w:r>
      <w:proofErr w:type="spellStart"/>
      <w:r>
        <w:rPr>
          <w:rFonts w:eastAsia="Palatino Linotype"/>
          <w:sz w:val="22"/>
          <w:szCs w:val="22"/>
          <w:lang w:val="es-ES"/>
        </w:rPr>
        <w:t>of</w:t>
      </w:r>
      <w:proofErr w:type="spellEnd"/>
      <w:r>
        <w:rPr>
          <w:rFonts w:eastAsia="Palatino Linotype"/>
          <w:sz w:val="22"/>
          <w:szCs w:val="22"/>
          <w:lang w:val="es-ES"/>
        </w:rPr>
        <w:t xml:space="preserve"> </w:t>
      </w:r>
      <w:proofErr w:type="spellStart"/>
      <w:r>
        <w:rPr>
          <w:rFonts w:eastAsia="Palatino Linotype"/>
          <w:sz w:val="22"/>
          <w:szCs w:val="22"/>
          <w:lang w:val="es-ES"/>
        </w:rPr>
        <w:t>the</w:t>
      </w:r>
      <w:proofErr w:type="spellEnd"/>
      <w:r>
        <w:rPr>
          <w:rFonts w:eastAsia="Palatino Linotype"/>
          <w:sz w:val="22"/>
          <w:szCs w:val="22"/>
          <w:lang w:val="es-ES"/>
        </w:rPr>
        <w:t xml:space="preserve"> State, </w:t>
      </w:r>
      <w:proofErr w:type="spellStart"/>
      <w:r>
        <w:rPr>
          <w:rFonts w:eastAsia="Palatino Linotype"/>
          <w:sz w:val="22"/>
          <w:szCs w:val="22"/>
          <w:lang w:val="es-ES"/>
        </w:rPr>
        <w:t>intended</w:t>
      </w:r>
      <w:proofErr w:type="spellEnd"/>
      <w:r>
        <w:rPr>
          <w:rFonts w:eastAsia="Palatino Linotype"/>
          <w:sz w:val="22"/>
          <w:szCs w:val="22"/>
          <w:lang w:val="es-ES"/>
        </w:rPr>
        <w:t xml:space="preserve"> </w:t>
      </w:r>
      <w:proofErr w:type="spellStart"/>
      <w:r>
        <w:rPr>
          <w:rFonts w:eastAsia="Palatino Linotype"/>
          <w:sz w:val="22"/>
          <w:szCs w:val="22"/>
          <w:lang w:val="es-ES"/>
        </w:rPr>
        <w:t>for</w:t>
      </w:r>
      <w:proofErr w:type="spellEnd"/>
      <w:r>
        <w:rPr>
          <w:rFonts w:eastAsia="Palatino Linotype"/>
          <w:sz w:val="22"/>
          <w:szCs w:val="22"/>
          <w:lang w:val="es-ES"/>
        </w:rPr>
        <w:t xml:space="preserve"> </w:t>
      </w:r>
      <w:proofErr w:type="spellStart"/>
      <w:r>
        <w:rPr>
          <w:rFonts w:eastAsia="Palatino Linotype"/>
          <w:sz w:val="22"/>
          <w:szCs w:val="22"/>
          <w:lang w:val="es-ES"/>
        </w:rPr>
        <w:t>services</w:t>
      </w:r>
      <w:proofErr w:type="spellEnd"/>
      <w:r>
        <w:rPr>
          <w:rFonts w:eastAsia="Palatino Linotype"/>
          <w:sz w:val="22"/>
          <w:szCs w:val="22"/>
          <w:lang w:val="es-ES"/>
        </w:rPr>
        <w:t xml:space="preserve"> </w:t>
      </w:r>
      <w:proofErr w:type="spellStart"/>
      <w:r>
        <w:rPr>
          <w:rFonts w:eastAsia="Palatino Linotype"/>
          <w:sz w:val="22"/>
          <w:szCs w:val="22"/>
          <w:lang w:val="es-ES"/>
        </w:rPr>
        <w:t>that</w:t>
      </w:r>
      <w:proofErr w:type="spellEnd"/>
      <w:r>
        <w:rPr>
          <w:rFonts w:eastAsia="Palatino Linotype"/>
          <w:sz w:val="22"/>
          <w:szCs w:val="22"/>
          <w:lang w:val="es-ES"/>
        </w:rPr>
        <w:t xml:space="preserve"> are in </w:t>
      </w:r>
      <w:proofErr w:type="spellStart"/>
      <w:r>
        <w:rPr>
          <w:rFonts w:eastAsia="Palatino Linotype"/>
          <w:sz w:val="22"/>
          <w:szCs w:val="22"/>
          <w:lang w:val="es-ES"/>
        </w:rPr>
        <w:t>fact</w:t>
      </w:r>
      <w:proofErr w:type="spellEnd"/>
      <w:r>
        <w:rPr>
          <w:rFonts w:eastAsia="Palatino Linotype"/>
          <w:sz w:val="22"/>
          <w:szCs w:val="22"/>
          <w:lang w:val="es-ES"/>
        </w:rPr>
        <w:t xml:space="preserve"> </w:t>
      </w:r>
      <w:proofErr w:type="spellStart"/>
      <w:r>
        <w:rPr>
          <w:rFonts w:eastAsia="Palatino Linotype"/>
          <w:sz w:val="22"/>
          <w:szCs w:val="22"/>
          <w:lang w:val="es-ES"/>
        </w:rPr>
        <w:t>or</w:t>
      </w:r>
      <w:proofErr w:type="spellEnd"/>
      <w:r>
        <w:rPr>
          <w:rFonts w:eastAsia="Palatino Linotype"/>
          <w:sz w:val="22"/>
          <w:szCs w:val="22"/>
          <w:lang w:val="es-ES"/>
        </w:rPr>
        <w:t xml:space="preserve"> in </w:t>
      </w:r>
      <w:proofErr w:type="spellStart"/>
      <w:r>
        <w:rPr>
          <w:rFonts w:eastAsia="Palatino Linotype"/>
          <w:sz w:val="22"/>
          <w:szCs w:val="22"/>
          <w:lang w:val="es-ES"/>
        </w:rPr>
        <w:t>law</w:t>
      </w:r>
      <w:proofErr w:type="spellEnd"/>
      <w:r>
        <w:rPr>
          <w:rFonts w:eastAsia="Palatino Linotype"/>
          <w:sz w:val="22"/>
          <w:szCs w:val="22"/>
          <w:lang w:val="es-ES"/>
        </w:rPr>
        <w:t xml:space="preserve"> in free </w:t>
      </w:r>
      <w:proofErr w:type="spellStart"/>
      <w:r>
        <w:rPr>
          <w:rFonts w:eastAsia="Palatino Linotype"/>
          <w:sz w:val="22"/>
          <w:szCs w:val="22"/>
          <w:lang w:val="es-ES"/>
        </w:rPr>
        <w:t>competition</w:t>
      </w:r>
      <w:proofErr w:type="spellEnd"/>
      <w:r>
        <w:rPr>
          <w:rFonts w:eastAsia="Palatino Linotype"/>
          <w:sz w:val="22"/>
          <w:szCs w:val="22"/>
          <w:lang w:val="es-ES"/>
        </w:rPr>
        <w:t xml:space="preserve"> </w:t>
      </w:r>
      <w:proofErr w:type="spellStart"/>
      <w:r>
        <w:rPr>
          <w:rFonts w:eastAsia="Palatino Linotype"/>
          <w:sz w:val="22"/>
          <w:szCs w:val="22"/>
          <w:lang w:val="es-ES"/>
        </w:rPr>
        <w:t>regimes</w:t>
      </w:r>
      <w:proofErr w:type="spellEnd"/>
      <w:r>
        <w:rPr>
          <w:rFonts w:eastAsia="Palatino Linotype"/>
          <w:sz w:val="22"/>
          <w:szCs w:val="22"/>
          <w:lang w:val="es-ES"/>
        </w:rPr>
        <w:t>.</w:t>
      </w:r>
    </w:p>
    <w:p w14:paraId="3DED6DDD" w14:textId="77777777" w:rsidR="00E255F4" w:rsidRDefault="00E255F4">
      <w:pPr>
        <w:rPr>
          <w:rFonts w:eastAsia="Palatino Linotype"/>
          <w:sz w:val="22"/>
          <w:szCs w:val="22"/>
          <w:lang w:val="es-ES"/>
        </w:rPr>
      </w:pPr>
    </w:p>
    <w:p w14:paraId="589C9266" w14:textId="77777777" w:rsidR="00E255F4" w:rsidRDefault="00000000">
      <w:pPr>
        <w:rPr>
          <w:rFonts w:eastAsia="Palatino Linotype"/>
          <w:b/>
          <w:spacing w:val="-1"/>
          <w:sz w:val="22"/>
          <w:szCs w:val="22"/>
          <w:lang w:val="es-ES"/>
        </w:rPr>
      </w:pPr>
      <w:r>
        <w:rPr>
          <w:rFonts w:eastAsia="Palatino Linotype"/>
          <w:b/>
          <w:spacing w:val="-1"/>
          <w:sz w:val="22"/>
          <w:szCs w:val="22"/>
          <w:lang w:val="es-ES"/>
        </w:rPr>
        <w:t>ESTATE</w:t>
      </w:r>
    </w:p>
    <w:p w14:paraId="09A9281A" w14:textId="77777777" w:rsidR="00E255F4" w:rsidRDefault="00E255F4">
      <w:pPr>
        <w:rPr>
          <w:rFonts w:eastAsia="Palatino Linotype"/>
          <w:b/>
          <w:spacing w:val="-1"/>
          <w:sz w:val="22"/>
          <w:szCs w:val="22"/>
          <w:lang w:val="es-ES"/>
        </w:rPr>
      </w:pPr>
    </w:p>
    <w:p w14:paraId="39742724" w14:textId="77777777" w:rsidR="00E255F4" w:rsidRDefault="00000000">
      <w:pPr>
        <w:ind w:right="-142"/>
        <w:jc w:val="both"/>
        <w:rPr>
          <w:rFonts w:eastAsia="Palatino Linotype"/>
          <w:sz w:val="22"/>
          <w:szCs w:val="22"/>
          <w:lang w:val="es-ES"/>
        </w:rPr>
      </w:pPr>
      <w:proofErr w:type="spellStart"/>
      <w:r>
        <w:rPr>
          <w:rFonts w:eastAsia="Palatino Linotype"/>
          <w:spacing w:val="5"/>
          <w:sz w:val="22"/>
          <w:szCs w:val="22"/>
          <w:lang w:val="es-ES"/>
        </w:rPr>
        <w:t>AND</w:t>
      </w:r>
      <w:r>
        <w:rPr>
          <w:rFonts w:eastAsia="Palatino Linotype"/>
          <w:sz w:val="22"/>
          <w:szCs w:val="22"/>
          <w:lang w:val="es-ES"/>
        </w:rPr>
        <w:t>The</w:t>
      </w:r>
      <w:proofErr w:type="spellEnd"/>
      <w:r>
        <w:rPr>
          <w:rFonts w:eastAsia="Palatino Linotype"/>
          <w:sz w:val="22"/>
          <w:szCs w:val="22"/>
          <w:lang w:val="es-ES"/>
        </w:rPr>
        <w:t xml:space="preserve"> </w:t>
      </w:r>
      <w:proofErr w:type="spellStart"/>
      <w:r>
        <w:rPr>
          <w:rFonts w:eastAsia="Palatino Linotype"/>
          <w:sz w:val="22"/>
          <w:szCs w:val="22"/>
          <w:lang w:val="es-ES"/>
        </w:rPr>
        <w:t>margin</w:t>
      </w:r>
      <w:proofErr w:type="spellEnd"/>
      <w:r>
        <w:rPr>
          <w:rFonts w:eastAsia="Palatino Linotype"/>
          <w:sz w:val="22"/>
          <w:szCs w:val="22"/>
          <w:lang w:val="es-ES"/>
        </w:rPr>
        <w:t xml:space="preserve"> </w:t>
      </w:r>
      <w:proofErr w:type="spellStart"/>
      <w:r>
        <w:rPr>
          <w:rFonts w:eastAsia="Palatino Linotype"/>
          <w:sz w:val="22"/>
          <w:szCs w:val="22"/>
          <w:lang w:val="es-ES"/>
        </w:rPr>
        <w:t>of</w:t>
      </w:r>
      <w:proofErr w:type="spellEnd"/>
      <w:r>
        <w:rPr>
          <w:rFonts w:eastAsia="Palatino Linotype"/>
          <w:sz w:val="22"/>
          <w:szCs w:val="22"/>
          <w:lang w:val="es-ES"/>
        </w:rPr>
        <w:t xml:space="preserve"> </w:t>
      </w:r>
      <w:proofErr w:type="spellStart"/>
      <w:r>
        <w:rPr>
          <w:rFonts w:eastAsia="Palatino Linotype"/>
          <w:sz w:val="22"/>
          <w:szCs w:val="22"/>
          <w:lang w:val="es-ES"/>
        </w:rPr>
        <w:t>preference</w:t>
      </w:r>
      <w:proofErr w:type="spellEnd"/>
      <w:r>
        <w:rPr>
          <w:rFonts w:eastAsia="Palatino Linotype"/>
          <w:sz w:val="22"/>
          <w:szCs w:val="22"/>
          <w:lang w:val="es-ES"/>
        </w:rPr>
        <w:t xml:space="preserve"> </w:t>
      </w:r>
      <w:proofErr w:type="spellStart"/>
      <w:r>
        <w:rPr>
          <w:rFonts w:eastAsia="Palatino Linotype"/>
          <w:sz w:val="22"/>
          <w:szCs w:val="22"/>
          <w:lang w:val="es-ES"/>
        </w:rPr>
        <w:t>for</w:t>
      </w:r>
      <w:proofErr w:type="spellEnd"/>
      <w:r>
        <w:rPr>
          <w:rFonts w:eastAsia="Palatino Linotype"/>
          <w:sz w:val="22"/>
          <w:szCs w:val="22"/>
          <w:lang w:val="es-ES"/>
        </w:rPr>
        <w:t xml:space="preserve"> </w:t>
      </w:r>
      <w:proofErr w:type="spellStart"/>
      <w:r>
        <w:rPr>
          <w:rFonts w:eastAsia="Palatino Linotype"/>
          <w:sz w:val="22"/>
          <w:szCs w:val="22"/>
          <w:lang w:val="es-ES"/>
        </w:rPr>
        <w:t>goods</w:t>
      </w:r>
      <w:proofErr w:type="spellEnd"/>
      <w:r>
        <w:rPr>
          <w:rFonts w:eastAsia="Palatino Linotype"/>
          <w:sz w:val="22"/>
          <w:szCs w:val="22"/>
          <w:lang w:val="es-ES"/>
        </w:rPr>
        <w:t xml:space="preserve"> </w:t>
      </w:r>
      <w:proofErr w:type="spellStart"/>
      <w:r>
        <w:rPr>
          <w:rFonts w:eastAsia="Palatino Linotype"/>
          <w:sz w:val="22"/>
          <w:szCs w:val="22"/>
          <w:lang w:val="es-ES"/>
        </w:rPr>
        <w:t>that</w:t>
      </w:r>
      <w:proofErr w:type="spellEnd"/>
      <w:r>
        <w:rPr>
          <w:rFonts w:eastAsia="Palatino Linotype"/>
          <w:sz w:val="22"/>
          <w:szCs w:val="22"/>
          <w:lang w:val="es-ES"/>
        </w:rPr>
        <w:t xml:space="preserve"> </w:t>
      </w:r>
      <w:proofErr w:type="spellStart"/>
      <w:r>
        <w:rPr>
          <w:rFonts w:eastAsia="Palatino Linotype"/>
          <w:sz w:val="22"/>
          <w:szCs w:val="22"/>
          <w:lang w:val="es-ES"/>
        </w:rPr>
        <w:t>qualify</w:t>
      </w:r>
      <w:proofErr w:type="spellEnd"/>
      <w:r>
        <w:rPr>
          <w:rFonts w:eastAsia="Palatino Linotype"/>
          <w:sz w:val="22"/>
          <w:szCs w:val="22"/>
          <w:lang w:val="es-ES"/>
        </w:rPr>
        <w:t xml:space="preserve"> as </w:t>
      </w:r>
      <w:proofErr w:type="spellStart"/>
      <w:r>
        <w:rPr>
          <w:rFonts w:eastAsia="Palatino Linotype"/>
          <w:sz w:val="22"/>
          <w:szCs w:val="22"/>
          <w:lang w:val="es-ES"/>
        </w:rPr>
        <w:t>national</w:t>
      </w:r>
      <w:proofErr w:type="spellEnd"/>
      <w:r>
        <w:rPr>
          <w:rFonts w:eastAsia="Palatino Linotype"/>
          <w:sz w:val="22"/>
          <w:szCs w:val="22"/>
          <w:lang w:val="es-ES"/>
        </w:rPr>
        <w:t xml:space="preserve"> </w:t>
      </w:r>
      <w:proofErr w:type="spellStart"/>
      <w:r>
        <w:rPr>
          <w:rFonts w:eastAsia="Palatino Linotype"/>
          <w:sz w:val="22"/>
          <w:szCs w:val="22"/>
          <w:lang w:val="es-ES"/>
        </w:rPr>
        <w:t>will</w:t>
      </w:r>
      <w:proofErr w:type="spellEnd"/>
      <w:r>
        <w:rPr>
          <w:rFonts w:eastAsia="Palatino Linotype"/>
          <w:sz w:val="22"/>
          <w:szCs w:val="22"/>
          <w:lang w:val="es-ES"/>
        </w:rPr>
        <w:t xml:space="preserve"> be 8% in </w:t>
      </w:r>
      <w:proofErr w:type="spellStart"/>
      <w:r>
        <w:rPr>
          <w:rFonts w:eastAsia="Palatino Linotype"/>
          <w:sz w:val="22"/>
          <w:szCs w:val="22"/>
          <w:lang w:val="es-ES"/>
        </w:rPr>
        <w:t>price</w:t>
      </w:r>
      <w:proofErr w:type="spellEnd"/>
      <w:r>
        <w:rPr>
          <w:rFonts w:eastAsia="Palatino Linotype"/>
          <w:sz w:val="22"/>
          <w:szCs w:val="22"/>
          <w:lang w:val="es-ES"/>
        </w:rPr>
        <w:t xml:space="preserve"> </w:t>
      </w:r>
      <w:proofErr w:type="spellStart"/>
      <w:r>
        <w:rPr>
          <w:rFonts w:eastAsia="Palatino Linotype"/>
          <w:sz w:val="22"/>
          <w:szCs w:val="22"/>
          <w:lang w:val="es-ES"/>
        </w:rPr>
        <w:t>compared</w:t>
      </w:r>
      <w:proofErr w:type="spellEnd"/>
      <w:r>
        <w:rPr>
          <w:rFonts w:eastAsia="Palatino Linotype"/>
          <w:sz w:val="22"/>
          <w:szCs w:val="22"/>
          <w:lang w:val="es-ES"/>
        </w:rPr>
        <w:t xml:space="preserve"> </w:t>
      </w:r>
      <w:proofErr w:type="spellStart"/>
      <w:r>
        <w:rPr>
          <w:rFonts w:eastAsia="Palatino Linotype"/>
          <w:sz w:val="22"/>
          <w:szCs w:val="22"/>
          <w:lang w:val="es-ES"/>
        </w:rPr>
        <w:t>to</w:t>
      </w:r>
      <w:proofErr w:type="spellEnd"/>
      <w:r>
        <w:rPr>
          <w:rFonts w:eastAsia="Palatino Linotype"/>
          <w:sz w:val="22"/>
          <w:szCs w:val="22"/>
          <w:lang w:val="es-ES"/>
        </w:rPr>
        <w:t xml:space="preserve"> </w:t>
      </w:r>
      <w:proofErr w:type="spellStart"/>
      <w:r>
        <w:rPr>
          <w:rFonts w:eastAsia="Palatino Linotype"/>
          <w:sz w:val="22"/>
          <w:szCs w:val="22"/>
          <w:lang w:val="es-ES"/>
        </w:rPr>
        <w:t>those</w:t>
      </w:r>
      <w:proofErr w:type="spellEnd"/>
      <w:r>
        <w:rPr>
          <w:rFonts w:eastAsia="Palatino Linotype"/>
          <w:sz w:val="22"/>
          <w:szCs w:val="22"/>
          <w:lang w:val="es-ES"/>
        </w:rPr>
        <w:t xml:space="preserve"> </w:t>
      </w:r>
      <w:proofErr w:type="spellStart"/>
      <w:r>
        <w:rPr>
          <w:rFonts w:eastAsia="Palatino Linotype"/>
          <w:sz w:val="22"/>
          <w:szCs w:val="22"/>
          <w:lang w:val="es-ES"/>
        </w:rPr>
        <w:t>that</w:t>
      </w:r>
      <w:proofErr w:type="spellEnd"/>
      <w:r>
        <w:rPr>
          <w:rFonts w:eastAsia="Palatino Linotype"/>
          <w:sz w:val="22"/>
          <w:szCs w:val="22"/>
          <w:lang w:val="es-ES"/>
        </w:rPr>
        <w:t xml:space="preserve"> do </w:t>
      </w:r>
      <w:proofErr w:type="spellStart"/>
      <w:r>
        <w:rPr>
          <w:rFonts w:eastAsia="Palatino Linotype"/>
          <w:sz w:val="22"/>
          <w:szCs w:val="22"/>
          <w:lang w:val="es-ES"/>
        </w:rPr>
        <w:t>not</w:t>
      </w:r>
      <w:proofErr w:type="spellEnd"/>
      <w:r>
        <w:rPr>
          <w:rFonts w:eastAsia="Palatino Linotype"/>
          <w:sz w:val="22"/>
          <w:szCs w:val="22"/>
          <w:lang w:val="es-ES"/>
        </w:rPr>
        <w:t xml:space="preserve"> </w:t>
      </w:r>
      <w:proofErr w:type="spellStart"/>
      <w:r>
        <w:rPr>
          <w:rFonts w:eastAsia="Palatino Linotype"/>
          <w:sz w:val="22"/>
          <w:szCs w:val="22"/>
          <w:lang w:val="es-ES"/>
        </w:rPr>
        <w:t>qualify</w:t>
      </w:r>
      <w:proofErr w:type="spellEnd"/>
      <w:r>
        <w:rPr>
          <w:rFonts w:eastAsia="Palatino Linotype"/>
          <w:sz w:val="22"/>
          <w:szCs w:val="22"/>
          <w:lang w:val="es-ES"/>
        </w:rPr>
        <w:t xml:space="preserve"> as </w:t>
      </w:r>
      <w:proofErr w:type="spellStart"/>
      <w:r>
        <w:rPr>
          <w:rFonts w:eastAsia="Palatino Linotype"/>
          <w:sz w:val="22"/>
          <w:szCs w:val="22"/>
          <w:lang w:val="es-ES"/>
        </w:rPr>
        <w:t>national</w:t>
      </w:r>
      <w:proofErr w:type="spellEnd"/>
      <w:r>
        <w:rPr>
          <w:rFonts w:eastAsia="Palatino Linotype"/>
          <w:sz w:val="22"/>
          <w:szCs w:val="22"/>
          <w:lang w:val="es-ES"/>
        </w:rPr>
        <w:t xml:space="preserve">, </w:t>
      </w:r>
      <w:proofErr w:type="spellStart"/>
      <w:r>
        <w:rPr>
          <w:rFonts w:eastAsia="Palatino Linotype"/>
          <w:sz w:val="22"/>
          <w:szCs w:val="22"/>
          <w:lang w:val="es-ES"/>
        </w:rPr>
        <w:t>according</w:t>
      </w:r>
      <w:proofErr w:type="spellEnd"/>
      <w:r>
        <w:rPr>
          <w:rFonts w:eastAsia="Palatino Linotype"/>
          <w:sz w:val="22"/>
          <w:szCs w:val="22"/>
          <w:lang w:val="es-ES"/>
        </w:rPr>
        <w:t xml:space="preserve"> </w:t>
      </w:r>
      <w:proofErr w:type="spellStart"/>
      <w:r>
        <w:rPr>
          <w:rFonts w:eastAsia="Palatino Linotype"/>
          <w:sz w:val="22"/>
          <w:szCs w:val="22"/>
          <w:lang w:val="es-ES"/>
        </w:rPr>
        <w:t>to</w:t>
      </w:r>
      <w:proofErr w:type="spellEnd"/>
      <w:r>
        <w:rPr>
          <w:rFonts w:eastAsia="Palatino Linotype"/>
          <w:sz w:val="22"/>
          <w:szCs w:val="22"/>
          <w:lang w:val="es-ES"/>
        </w:rPr>
        <w:t xml:space="preserve"> </w:t>
      </w:r>
      <w:proofErr w:type="spellStart"/>
      <w:r>
        <w:rPr>
          <w:rFonts w:eastAsia="Palatino Linotype"/>
          <w:sz w:val="22"/>
          <w:szCs w:val="22"/>
          <w:lang w:val="es-ES"/>
        </w:rPr>
        <w:t>the</w:t>
      </w:r>
      <w:proofErr w:type="spellEnd"/>
      <w:r>
        <w:rPr>
          <w:rFonts w:eastAsia="Palatino Linotype"/>
          <w:sz w:val="22"/>
          <w:szCs w:val="22"/>
          <w:lang w:val="es-ES"/>
        </w:rPr>
        <w:t xml:space="preserve"> </w:t>
      </w:r>
      <w:proofErr w:type="spellStart"/>
      <w:r>
        <w:rPr>
          <w:rFonts w:eastAsia="Palatino Linotype"/>
          <w:sz w:val="22"/>
          <w:szCs w:val="22"/>
          <w:lang w:val="es-ES"/>
        </w:rPr>
        <w:t>evaluation</w:t>
      </w:r>
      <w:proofErr w:type="spellEnd"/>
      <w:r>
        <w:rPr>
          <w:rFonts w:eastAsia="Palatino Linotype"/>
          <w:sz w:val="22"/>
          <w:szCs w:val="22"/>
          <w:lang w:val="es-ES"/>
        </w:rPr>
        <w:t xml:space="preserve"> </w:t>
      </w:r>
      <w:proofErr w:type="spellStart"/>
      <w:r>
        <w:rPr>
          <w:rFonts w:eastAsia="Palatino Linotype"/>
          <w:sz w:val="22"/>
          <w:szCs w:val="22"/>
          <w:lang w:val="es-ES"/>
        </w:rPr>
        <w:t>criteria</w:t>
      </w:r>
      <w:proofErr w:type="spellEnd"/>
      <w:r>
        <w:rPr>
          <w:rFonts w:eastAsia="Palatino Linotype"/>
          <w:sz w:val="22"/>
          <w:szCs w:val="22"/>
          <w:lang w:val="es-ES"/>
        </w:rPr>
        <w:t xml:space="preserve"> </w:t>
      </w:r>
      <w:proofErr w:type="spellStart"/>
      <w:r>
        <w:rPr>
          <w:rFonts w:eastAsia="Palatino Linotype"/>
          <w:sz w:val="22"/>
          <w:szCs w:val="22"/>
          <w:lang w:val="es-ES"/>
        </w:rPr>
        <w:t>determined</w:t>
      </w:r>
      <w:proofErr w:type="spellEnd"/>
      <w:r>
        <w:rPr>
          <w:rFonts w:eastAsia="Palatino Linotype"/>
          <w:sz w:val="22"/>
          <w:szCs w:val="22"/>
          <w:lang w:val="es-ES"/>
        </w:rPr>
        <w:t xml:space="preserve"> in </w:t>
      </w:r>
      <w:proofErr w:type="spellStart"/>
      <w:r>
        <w:rPr>
          <w:rFonts w:eastAsia="Palatino Linotype"/>
          <w:sz w:val="22"/>
          <w:szCs w:val="22"/>
          <w:lang w:val="es-ES"/>
        </w:rPr>
        <w:t>the</w:t>
      </w:r>
      <w:proofErr w:type="spellEnd"/>
      <w:r>
        <w:rPr>
          <w:rFonts w:eastAsia="Palatino Linotype"/>
          <w:sz w:val="22"/>
          <w:szCs w:val="22"/>
          <w:lang w:val="es-ES"/>
        </w:rPr>
        <w:t xml:space="preserve"> Special </w:t>
      </w:r>
      <w:proofErr w:type="spellStart"/>
      <w:r>
        <w:rPr>
          <w:rFonts w:eastAsia="Palatino Linotype"/>
          <w:sz w:val="22"/>
          <w:szCs w:val="22"/>
          <w:lang w:val="es-ES"/>
        </w:rPr>
        <w:t>Specifications</w:t>
      </w:r>
      <w:proofErr w:type="spellEnd"/>
      <w:r>
        <w:rPr>
          <w:rFonts w:eastAsia="Palatino Linotype"/>
          <w:sz w:val="22"/>
          <w:szCs w:val="22"/>
          <w:lang w:val="es-ES"/>
        </w:rPr>
        <w:t>.</w:t>
      </w:r>
    </w:p>
    <w:p w14:paraId="380E64AC" w14:textId="77777777" w:rsidR="00E255F4" w:rsidRDefault="00E255F4">
      <w:pPr>
        <w:ind w:right="-142"/>
        <w:jc w:val="both"/>
        <w:rPr>
          <w:rFonts w:eastAsia="Palatino Linotype"/>
          <w:spacing w:val="-1"/>
          <w:sz w:val="22"/>
          <w:szCs w:val="22"/>
          <w:lang w:val="es-ES"/>
        </w:rPr>
      </w:pPr>
    </w:p>
    <w:p w14:paraId="1B38F719" w14:textId="77777777" w:rsidR="00E255F4" w:rsidRDefault="00000000">
      <w:pPr>
        <w:ind w:right="-142"/>
        <w:jc w:val="both"/>
        <w:rPr>
          <w:rFonts w:eastAsia="Palatino Linotype"/>
          <w:sz w:val="22"/>
          <w:szCs w:val="22"/>
          <w:lang w:val="es-ES"/>
        </w:rPr>
      </w:pPr>
      <w:proofErr w:type="spellStart"/>
      <w:r>
        <w:rPr>
          <w:rFonts w:eastAsia="Palatino Linotype"/>
          <w:spacing w:val="-1"/>
          <w:sz w:val="22"/>
          <w:szCs w:val="22"/>
          <w:lang w:val="es-ES"/>
        </w:rPr>
        <w:t>It</w:t>
      </w:r>
      <w:r>
        <w:rPr>
          <w:rFonts w:eastAsia="Palatino Linotype"/>
          <w:sz w:val="22"/>
          <w:szCs w:val="22"/>
          <w:lang w:val="es-ES"/>
        </w:rPr>
        <w:t>Bidders</w:t>
      </w:r>
      <w:proofErr w:type="spellEnd"/>
      <w:r>
        <w:rPr>
          <w:rFonts w:eastAsia="Palatino Linotype"/>
          <w:sz w:val="22"/>
          <w:szCs w:val="22"/>
          <w:lang w:val="es-ES"/>
        </w:rPr>
        <w:t xml:space="preserve"> </w:t>
      </w:r>
      <w:proofErr w:type="spellStart"/>
      <w:r>
        <w:rPr>
          <w:rFonts w:eastAsia="Palatino Linotype"/>
          <w:sz w:val="22"/>
          <w:szCs w:val="22"/>
          <w:lang w:val="es-ES"/>
        </w:rPr>
        <w:t>wishing</w:t>
      </w:r>
      <w:proofErr w:type="spellEnd"/>
      <w:r>
        <w:rPr>
          <w:rFonts w:eastAsia="Palatino Linotype"/>
          <w:sz w:val="22"/>
          <w:szCs w:val="22"/>
          <w:lang w:val="es-ES"/>
        </w:rPr>
        <w:t xml:space="preserve"> </w:t>
      </w:r>
      <w:proofErr w:type="spellStart"/>
      <w:r>
        <w:rPr>
          <w:rFonts w:eastAsia="Palatino Linotype"/>
          <w:sz w:val="22"/>
          <w:szCs w:val="22"/>
          <w:lang w:val="es-ES"/>
        </w:rPr>
        <w:t>to</w:t>
      </w:r>
      <w:proofErr w:type="spellEnd"/>
      <w:r>
        <w:rPr>
          <w:rFonts w:eastAsia="Palatino Linotype"/>
          <w:sz w:val="22"/>
          <w:szCs w:val="22"/>
          <w:lang w:val="es-ES"/>
        </w:rPr>
        <w:t xml:space="preserve"> </w:t>
      </w:r>
      <w:proofErr w:type="spellStart"/>
      <w:r>
        <w:rPr>
          <w:rFonts w:eastAsia="Palatino Linotype"/>
          <w:sz w:val="22"/>
          <w:szCs w:val="22"/>
          <w:lang w:val="es-ES"/>
        </w:rPr>
        <w:t>take</w:t>
      </w:r>
      <w:proofErr w:type="spellEnd"/>
      <w:r>
        <w:rPr>
          <w:rFonts w:eastAsia="Palatino Linotype"/>
          <w:sz w:val="22"/>
          <w:szCs w:val="22"/>
          <w:lang w:val="es-ES"/>
        </w:rPr>
        <w:t xml:space="preserve"> </w:t>
      </w:r>
      <w:proofErr w:type="spellStart"/>
      <w:r>
        <w:rPr>
          <w:rFonts w:eastAsia="Palatino Linotype"/>
          <w:sz w:val="22"/>
          <w:szCs w:val="22"/>
          <w:lang w:val="es-ES"/>
        </w:rPr>
        <w:t>advantage</w:t>
      </w:r>
      <w:proofErr w:type="spellEnd"/>
      <w:r>
        <w:rPr>
          <w:rFonts w:eastAsia="Palatino Linotype"/>
          <w:sz w:val="22"/>
          <w:szCs w:val="22"/>
          <w:lang w:val="es-ES"/>
        </w:rPr>
        <w:t xml:space="preserve"> </w:t>
      </w:r>
      <w:proofErr w:type="spellStart"/>
      <w:r>
        <w:rPr>
          <w:rFonts w:eastAsia="Palatino Linotype"/>
          <w:sz w:val="22"/>
          <w:szCs w:val="22"/>
          <w:lang w:val="es-ES"/>
        </w:rPr>
        <w:t>of</w:t>
      </w:r>
      <w:proofErr w:type="spellEnd"/>
      <w:r>
        <w:rPr>
          <w:rFonts w:eastAsia="Palatino Linotype"/>
          <w:sz w:val="22"/>
          <w:szCs w:val="22"/>
          <w:lang w:val="es-ES"/>
        </w:rPr>
        <w:t xml:space="preserve"> </w:t>
      </w:r>
      <w:proofErr w:type="spellStart"/>
      <w:r>
        <w:rPr>
          <w:rFonts w:eastAsia="Palatino Linotype"/>
          <w:sz w:val="22"/>
          <w:szCs w:val="22"/>
          <w:lang w:val="es-ES"/>
        </w:rPr>
        <w:t>this</w:t>
      </w:r>
      <w:proofErr w:type="spellEnd"/>
      <w:r>
        <w:rPr>
          <w:rFonts w:eastAsia="Palatino Linotype"/>
          <w:sz w:val="22"/>
          <w:szCs w:val="22"/>
          <w:lang w:val="es-ES"/>
        </w:rPr>
        <w:t xml:space="preserve"> </w:t>
      </w:r>
      <w:proofErr w:type="spellStart"/>
      <w:r>
        <w:rPr>
          <w:rFonts w:eastAsia="Palatino Linotype"/>
          <w:sz w:val="22"/>
          <w:szCs w:val="22"/>
          <w:lang w:val="es-ES"/>
        </w:rPr>
        <w:t>benefit</w:t>
      </w:r>
      <w:proofErr w:type="spellEnd"/>
      <w:r>
        <w:rPr>
          <w:rFonts w:eastAsia="Palatino Linotype"/>
          <w:sz w:val="22"/>
          <w:szCs w:val="22"/>
          <w:lang w:val="es-ES"/>
        </w:rPr>
        <w:t xml:space="preserve"> </w:t>
      </w:r>
      <w:proofErr w:type="spellStart"/>
      <w:r>
        <w:rPr>
          <w:rFonts w:eastAsia="Palatino Linotype"/>
          <w:sz w:val="22"/>
          <w:szCs w:val="22"/>
          <w:lang w:val="es-ES"/>
        </w:rPr>
        <w:t>must</w:t>
      </w:r>
      <w:proofErr w:type="spellEnd"/>
      <w:r>
        <w:rPr>
          <w:rFonts w:eastAsia="Palatino Linotype"/>
          <w:sz w:val="22"/>
          <w:szCs w:val="22"/>
          <w:lang w:val="es-ES"/>
        </w:rPr>
        <w:t xml:space="preserve"> </w:t>
      </w:r>
      <w:proofErr w:type="spellStart"/>
      <w:r>
        <w:rPr>
          <w:rFonts w:eastAsia="Palatino Linotype"/>
          <w:sz w:val="22"/>
          <w:szCs w:val="22"/>
          <w:lang w:val="es-ES"/>
        </w:rPr>
        <w:t>submit</w:t>
      </w:r>
      <w:proofErr w:type="spellEnd"/>
      <w:r>
        <w:rPr>
          <w:rFonts w:eastAsia="Palatino Linotype"/>
          <w:sz w:val="22"/>
          <w:szCs w:val="22"/>
          <w:lang w:val="es-ES"/>
        </w:rPr>
        <w:t xml:space="preserve"> a </w:t>
      </w:r>
      <w:proofErr w:type="spellStart"/>
      <w:r>
        <w:rPr>
          <w:rFonts w:eastAsia="Palatino Linotype"/>
          <w:sz w:val="22"/>
          <w:szCs w:val="22"/>
          <w:lang w:val="es-ES"/>
        </w:rPr>
        <w:t>sworn</w:t>
      </w:r>
      <w:proofErr w:type="spellEnd"/>
      <w:r>
        <w:rPr>
          <w:rFonts w:eastAsia="Palatino Linotype"/>
          <w:sz w:val="22"/>
          <w:szCs w:val="22"/>
          <w:lang w:val="es-ES"/>
        </w:rPr>
        <w:t xml:space="preserve"> </w:t>
      </w:r>
      <w:proofErr w:type="spellStart"/>
      <w:r>
        <w:rPr>
          <w:rFonts w:eastAsia="Palatino Linotype"/>
          <w:sz w:val="22"/>
          <w:szCs w:val="22"/>
          <w:lang w:val="es-ES"/>
        </w:rPr>
        <w:t>statement</w:t>
      </w:r>
      <w:proofErr w:type="spellEnd"/>
      <w:r>
        <w:rPr>
          <w:rFonts w:eastAsia="Palatino Linotype"/>
          <w:sz w:val="22"/>
          <w:szCs w:val="22"/>
          <w:lang w:val="es-ES"/>
        </w:rPr>
        <w:t xml:space="preserve"> </w:t>
      </w:r>
      <w:proofErr w:type="spellStart"/>
      <w:r>
        <w:rPr>
          <w:rFonts w:eastAsia="Palatino Linotype"/>
          <w:sz w:val="22"/>
          <w:szCs w:val="22"/>
          <w:lang w:val="es-ES"/>
        </w:rPr>
        <w:t>detailing</w:t>
      </w:r>
      <w:proofErr w:type="spellEnd"/>
      <w:r>
        <w:rPr>
          <w:rFonts w:eastAsia="Palatino Linotype"/>
          <w:sz w:val="22"/>
          <w:szCs w:val="22"/>
          <w:lang w:val="es-ES"/>
        </w:rPr>
        <w:t xml:space="preserve"> </w:t>
      </w:r>
      <w:proofErr w:type="spellStart"/>
      <w:r>
        <w:rPr>
          <w:rFonts w:eastAsia="Palatino Linotype"/>
          <w:sz w:val="22"/>
          <w:szCs w:val="22"/>
          <w:lang w:val="es-ES"/>
        </w:rPr>
        <w:t>the</w:t>
      </w:r>
      <w:proofErr w:type="spellEnd"/>
      <w:r>
        <w:rPr>
          <w:rFonts w:eastAsia="Palatino Linotype"/>
          <w:sz w:val="22"/>
          <w:szCs w:val="22"/>
          <w:lang w:val="es-ES"/>
        </w:rPr>
        <w:t xml:space="preserve"> </w:t>
      </w:r>
      <w:proofErr w:type="spellStart"/>
      <w:r>
        <w:rPr>
          <w:rFonts w:eastAsia="Palatino Linotype"/>
          <w:sz w:val="22"/>
          <w:szCs w:val="22"/>
          <w:lang w:val="es-ES"/>
        </w:rPr>
        <w:t>goods</w:t>
      </w:r>
      <w:proofErr w:type="spellEnd"/>
      <w:r>
        <w:rPr>
          <w:rFonts w:eastAsia="Palatino Linotype"/>
          <w:sz w:val="22"/>
          <w:szCs w:val="22"/>
          <w:lang w:val="es-ES"/>
        </w:rPr>
        <w:t xml:space="preserve"> </w:t>
      </w:r>
      <w:proofErr w:type="spellStart"/>
      <w:r>
        <w:rPr>
          <w:rFonts w:eastAsia="Palatino Linotype"/>
          <w:sz w:val="22"/>
          <w:szCs w:val="22"/>
          <w:lang w:val="es-ES"/>
        </w:rPr>
        <w:t>to</w:t>
      </w:r>
      <w:proofErr w:type="spellEnd"/>
      <w:r>
        <w:rPr>
          <w:rFonts w:eastAsia="Palatino Linotype"/>
          <w:sz w:val="22"/>
          <w:szCs w:val="22"/>
          <w:lang w:val="es-ES"/>
        </w:rPr>
        <w:t xml:space="preserve"> be </w:t>
      </w:r>
      <w:proofErr w:type="spellStart"/>
      <w:r>
        <w:rPr>
          <w:rFonts w:eastAsia="Palatino Linotype"/>
          <w:sz w:val="22"/>
          <w:szCs w:val="22"/>
          <w:lang w:val="es-ES"/>
        </w:rPr>
        <w:t>supplied</w:t>
      </w:r>
      <w:proofErr w:type="spellEnd"/>
      <w:r>
        <w:rPr>
          <w:rFonts w:eastAsia="Palatino Linotype"/>
          <w:sz w:val="22"/>
          <w:szCs w:val="22"/>
          <w:lang w:val="es-ES"/>
        </w:rPr>
        <w:t xml:space="preserve"> </w:t>
      </w:r>
      <w:proofErr w:type="spellStart"/>
      <w:r>
        <w:rPr>
          <w:rFonts w:eastAsia="Palatino Linotype"/>
          <w:sz w:val="22"/>
          <w:szCs w:val="22"/>
          <w:lang w:val="es-ES"/>
        </w:rPr>
        <w:t>that</w:t>
      </w:r>
      <w:proofErr w:type="spellEnd"/>
      <w:r>
        <w:rPr>
          <w:rFonts w:eastAsia="Palatino Linotype"/>
          <w:sz w:val="22"/>
          <w:szCs w:val="22"/>
          <w:lang w:val="es-ES"/>
        </w:rPr>
        <w:t xml:space="preserve"> </w:t>
      </w:r>
      <w:proofErr w:type="spellStart"/>
      <w:r>
        <w:rPr>
          <w:rFonts w:eastAsia="Palatino Linotype"/>
          <w:sz w:val="22"/>
          <w:szCs w:val="22"/>
          <w:lang w:val="es-ES"/>
        </w:rPr>
        <w:t>qualify</w:t>
      </w:r>
      <w:proofErr w:type="spellEnd"/>
      <w:r>
        <w:rPr>
          <w:rFonts w:eastAsia="Palatino Linotype"/>
          <w:sz w:val="22"/>
          <w:szCs w:val="22"/>
          <w:lang w:val="es-ES"/>
        </w:rPr>
        <w:t xml:space="preserve"> as </w:t>
      </w:r>
      <w:proofErr w:type="spellStart"/>
      <w:r>
        <w:rPr>
          <w:rFonts w:eastAsia="Palatino Linotype"/>
          <w:sz w:val="22"/>
          <w:szCs w:val="22"/>
          <w:lang w:val="es-ES"/>
        </w:rPr>
        <w:t>national</w:t>
      </w:r>
      <w:proofErr w:type="spellEnd"/>
      <w:r>
        <w:rPr>
          <w:rFonts w:eastAsia="Palatino Linotype"/>
          <w:sz w:val="22"/>
          <w:szCs w:val="22"/>
          <w:lang w:val="es-ES"/>
        </w:rPr>
        <w:t xml:space="preserve"> (</w:t>
      </w:r>
      <w:proofErr w:type="spellStart"/>
      <w:r>
        <w:rPr>
          <w:rFonts w:eastAsia="Palatino Linotype"/>
          <w:sz w:val="22"/>
          <w:szCs w:val="22"/>
          <w:lang w:val="es-ES"/>
        </w:rPr>
        <w:t>Annex</w:t>
      </w:r>
      <w:proofErr w:type="spellEnd"/>
      <w:r>
        <w:rPr>
          <w:rFonts w:eastAsia="Palatino Linotype"/>
          <w:sz w:val="22"/>
          <w:szCs w:val="22"/>
          <w:lang w:val="es-ES"/>
        </w:rPr>
        <w:t xml:space="preserve"> I). The </w:t>
      </w:r>
      <w:proofErr w:type="spellStart"/>
      <w:r>
        <w:rPr>
          <w:rFonts w:eastAsia="Palatino Linotype"/>
          <w:sz w:val="22"/>
          <w:szCs w:val="22"/>
          <w:lang w:val="es-ES"/>
        </w:rPr>
        <w:t>successful</w:t>
      </w:r>
      <w:proofErr w:type="spellEnd"/>
      <w:r>
        <w:rPr>
          <w:rFonts w:eastAsia="Palatino Linotype"/>
          <w:sz w:val="22"/>
          <w:szCs w:val="22"/>
          <w:lang w:val="es-ES"/>
        </w:rPr>
        <w:t xml:space="preserve"> </w:t>
      </w:r>
      <w:proofErr w:type="spellStart"/>
      <w:r>
        <w:rPr>
          <w:rFonts w:eastAsia="Palatino Linotype"/>
          <w:sz w:val="22"/>
          <w:szCs w:val="22"/>
          <w:lang w:val="es-ES"/>
        </w:rPr>
        <w:t>bidder</w:t>
      </w:r>
      <w:proofErr w:type="spellEnd"/>
      <w:r>
        <w:rPr>
          <w:rFonts w:eastAsia="Palatino Linotype"/>
          <w:sz w:val="22"/>
          <w:szCs w:val="22"/>
          <w:lang w:val="es-ES"/>
        </w:rPr>
        <w:t xml:space="preserve">, in </w:t>
      </w:r>
      <w:proofErr w:type="spellStart"/>
      <w:r>
        <w:rPr>
          <w:rFonts w:eastAsia="Palatino Linotype"/>
          <w:sz w:val="22"/>
          <w:szCs w:val="22"/>
          <w:lang w:val="es-ES"/>
        </w:rPr>
        <w:t>accordance</w:t>
      </w:r>
      <w:proofErr w:type="spellEnd"/>
      <w:r>
        <w:rPr>
          <w:rFonts w:eastAsia="Palatino Linotype"/>
          <w:sz w:val="22"/>
          <w:szCs w:val="22"/>
          <w:lang w:val="es-ES"/>
        </w:rPr>
        <w:t xml:space="preserve"> </w:t>
      </w:r>
      <w:proofErr w:type="spellStart"/>
      <w:r>
        <w:rPr>
          <w:rFonts w:eastAsia="Palatino Linotype"/>
          <w:sz w:val="22"/>
          <w:szCs w:val="22"/>
          <w:lang w:val="es-ES"/>
        </w:rPr>
        <w:t>with</w:t>
      </w:r>
      <w:proofErr w:type="spellEnd"/>
      <w:r>
        <w:rPr>
          <w:rFonts w:eastAsia="Palatino Linotype"/>
          <w:sz w:val="22"/>
          <w:szCs w:val="22"/>
          <w:lang w:val="es-ES"/>
        </w:rPr>
        <w:t xml:space="preserve"> </w:t>
      </w:r>
      <w:proofErr w:type="spellStart"/>
      <w:r>
        <w:rPr>
          <w:rFonts w:eastAsia="Palatino Linotype"/>
          <w:sz w:val="22"/>
          <w:szCs w:val="22"/>
          <w:lang w:val="es-ES"/>
        </w:rPr>
        <w:t>this</w:t>
      </w:r>
      <w:proofErr w:type="spellEnd"/>
      <w:r>
        <w:rPr>
          <w:rFonts w:eastAsia="Palatino Linotype"/>
          <w:sz w:val="22"/>
          <w:szCs w:val="22"/>
          <w:lang w:val="es-ES"/>
        </w:rPr>
        <w:t xml:space="preserve"> </w:t>
      </w:r>
      <w:proofErr w:type="spellStart"/>
      <w:r>
        <w:rPr>
          <w:rFonts w:eastAsia="Palatino Linotype"/>
          <w:sz w:val="22"/>
          <w:szCs w:val="22"/>
          <w:lang w:val="es-ES"/>
        </w:rPr>
        <w:t>benefit</w:t>
      </w:r>
      <w:proofErr w:type="spellEnd"/>
      <w:r>
        <w:rPr>
          <w:rFonts w:eastAsia="Palatino Linotype"/>
          <w:sz w:val="22"/>
          <w:szCs w:val="22"/>
          <w:lang w:val="es-ES"/>
        </w:rPr>
        <w:t xml:space="preserve">, </w:t>
      </w:r>
      <w:proofErr w:type="spellStart"/>
      <w:r>
        <w:rPr>
          <w:rFonts w:eastAsia="Palatino Linotype"/>
          <w:sz w:val="22"/>
          <w:szCs w:val="22"/>
          <w:lang w:val="es-ES"/>
        </w:rPr>
        <w:t>must</w:t>
      </w:r>
      <w:proofErr w:type="spellEnd"/>
      <w:r>
        <w:rPr>
          <w:rFonts w:eastAsia="Palatino Linotype"/>
          <w:sz w:val="22"/>
          <w:szCs w:val="22"/>
          <w:lang w:val="es-ES"/>
        </w:rPr>
        <w:t xml:space="preserve"> </w:t>
      </w:r>
      <w:proofErr w:type="spellStart"/>
      <w:r>
        <w:rPr>
          <w:rFonts w:eastAsia="Palatino Linotype"/>
          <w:sz w:val="22"/>
          <w:szCs w:val="22"/>
          <w:lang w:val="es-ES"/>
        </w:rPr>
        <w:t>present</w:t>
      </w:r>
      <w:proofErr w:type="spellEnd"/>
      <w:r>
        <w:rPr>
          <w:rFonts w:eastAsia="Palatino Linotype"/>
          <w:sz w:val="22"/>
          <w:szCs w:val="22"/>
          <w:lang w:val="es-ES"/>
        </w:rPr>
        <w:t xml:space="preserve"> </w:t>
      </w:r>
      <w:proofErr w:type="spellStart"/>
      <w:r>
        <w:rPr>
          <w:rFonts w:eastAsia="Palatino Linotype"/>
          <w:sz w:val="22"/>
          <w:szCs w:val="22"/>
          <w:lang w:val="es-ES"/>
        </w:rPr>
        <w:t>the</w:t>
      </w:r>
      <w:proofErr w:type="spellEnd"/>
      <w:r>
        <w:rPr>
          <w:rFonts w:eastAsia="Palatino Linotype"/>
          <w:sz w:val="22"/>
          <w:szCs w:val="22"/>
          <w:lang w:val="es-ES"/>
        </w:rPr>
        <w:t xml:space="preserve"> </w:t>
      </w:r>
      <w:proofErr w:type="spellStart"/>
      <w:r>
        <w:rPr>
          <w:rFonts w:eastAsia="Palatino Linotype"/>
          <w:sz w:val="22"/>
          <w:szCs w:val="22"/>
          <w:lang w:val="es-ES"/>
        </w:rPr>
        <w:t>corresponding</w:t>
      </w:r>
      <w:proofErr w:type="spellEnd"/>
      <w:r>
        <w:rPr>
          <w:rFonts w:eastAsia="Palatino Linotype"/>
          <w:sz w:val="22"/>
          <w:szCs w:val="22"/>
          <w:lang w:val="es-ES"/>
        </w:rPr>
        <w:t xml:space="preserve"> </w:t>
      </w:r>
      <w:proofErr w:type="spellStart"/>
      <w:r>
        <w:rPr>
          <w:rFonts w:eastAsia="Palatino Linotype"/>
          <w:sz w:val="22"/>
          <w:szCs w:val="22"/>
          <w:lang w:val="es-ES"/>
        </w:rPr>
        <w:t>certificate</w:t>
      </w:r>
      <w:proofErr w:type="spellEnd"/>
      <w:r>
        <w:rPr>
          <w:rFonts w:eastAsia="Palatino Linotype"/>
          <w:sz w:val="22"/>
          <w:szCs w:val="22"/>
          <w:lang w:val="es-ES"/>
        </w:rPr>
        <w:t xml:space="preserve"> </w:t>
      </w:r>
      <w:proofErr w:type="spellStart"/>
      <w:r>
        <w:rPr>
          <w:rFonts w:eastAsia="Palatino Linotype"/>
          <w:sz w:val="22"/>
          <w:szCs w:val="22"/>
          <w:lang w:val="es-ES"/>
        </w:rPr>
        <w:t>of</w:t>
      </w:r>
      <w:proofErr w:type="spellEnd"/>
      <w:r>
        <w:rPr>
          <w:rFonts w:eastAsia="Palatino Linotype"/>
          <w:sz w:val="22"/>
          <w:szCs w:val="22"/>
          <w:lang w:val="es-ES"/>
        </w:rPr>
        <w:t xml:space="preserve"> </w:t>
      </w:r>
      <w:proofErr w:type="spellStart"/>
      <w:r>
        <w:rPr>
          <w:rFonts w:eastAsia="Palatino Linotype"/>
          <w:sz w:val="22"/>
          <w:szCs w:val="22"/>
          <w:lang w:val="es-ES"/>
        </w:rPr>
        <w:t>origin</w:t>
      </w:r>
      <w:proofErr w:type="spellEnd"/>
      <w:r>
        <w:rPr>
          <w:rFonts w:eastAsia="Palatino Linotype"/>
          <w:sz w:val="22"/>
          <w:szCs w:val="22"/>
          <w:lang w:val="es-ES"/>
        </w:rPr>
        <w:t xml:space="preserve"> </w:t>
      </w:r>
      <w:proofErr w:type="spellStart"/>
      <w:r>
        <w:rPr>
          <w:rFonts w:eastAsia="Palatino Linotype"/>
          <w:sz w:val="22"/>
          <w:szCs w:val="22"/>
          <w:lang w:val="es-ES"/>
        </w:rPr>
        <w:t>issued</w:t>
      </w:r>
      <w:proofErr w:type="spellEnd"/>
      <w:r>
        <w:rPr>
          <w:rFonts w:eastAsia="Palatino Linotype"/>
          <w:sz w:val="22"/>
          <w:szCs w:val="22"/>
          <w:lang w:val="es-ES"/>
        </w:rPr>
        <w:t xml:space="preserve"> </w:t>
      </w:r>
      <w:proofErr w:type="spellStart"/>
      <w:r>
        <w:rPr>
          <w:rFonts w:eastAsia="Palatino Linotype"/>
          <w:sz w:val="22"/>
          <w:szCs w:val="22"/>
          <w:lang w:val="es-ES"/>
        </w:rPr>
        <w:t>by</w:t>
      </w:r>
      <w:proofErr w:type="spellEnd"/>
      <w:r>
        <w:rPr>
          <w:rFonts w:eastAsia="Palatino Linotype"/>
          <w:sz w:val="22"/>
          <w:szCs w:val="22"/>
          <w:lang w:val="es-ES"/>
        </w:rPr>
        <w:t xml:space="preserve"> </w:t>
      </w:r>
      <w:proofErr w:type="spellStart"/>
      <w:r>
        <w:rPr>
          <w:rFonts w:eastAsia="Palatino Linotype"/>
          <w:sz w:val="22"/>
          <w:szCs w:val="22"/>
          <w:lang w:val="es-ES"/>
        </w:rPr>
        <w:t>the</w:t>
      </w:r>
      <w:proofErr w:type="spellEnd"/>
      <w:r>
        <w:rPr>
          <w:rFonts w:eastAsia="Palatino Linotype"/>
          <w:sz w:val="22"/>
          <w:szCs w:val="22"/>
          <w:lang w:val="es-ES"/>
        </w:rPr>
        <w:t xml:space="preserve"> </w:t>
      </w:r>
      <w:proofErr w:type="spellStart"/>
      <w:r>
        <w:rPr>
          <w:rFonts w:eastAsia="Palatino Linotype"/>
          <w:sz w:val="22"/>
          <w:szCs w:val="22"/>
          <w:lang w:val="es-ES"/>
        </w:rPr>
        <w:t>Certifying</w:t>
      </w:r>
      <w:proofErr w:type="spellEnd"/>
      <w:r>
        <w:rPr>
          <w:rFonts w:eastAsia="Palatino Linotype"/>
          <w:sz w:val="22"/>
          <w:szCs w:val="22"/>
          <w:lang w:val="es-ES"/>
        </w:rPr>
        <w:t xml:space="preserve"> </w:t>
      </w:r>
      <w:proofErr w:type="spellStart"/>
      <w:r>
        <w:rPr>
          <w:rFonts w:eastAsia="Palatino Linotype"/>
          <w:sz w:val="22"/>
          <w:szCs w:val="22"/>
          <w:lang w:val="es-ES"/>
        </w:rPr>
        <w:t>Entities</w:t>
      </w:r>
      <w:proofErr w:type="spellEnd"/>
      <w:r>
        <w:rPr>
          <w:rFonts w:eastAsia="Palatino Linotype"/>
          <w:sz w:val="22"/>
          <w:szCs w:val="22"/>
          <w:lang w:val="es-ES"/>
        </w:rPr>
        <w:t xml:space="preserve"> </w:t>
      </w:r>
      <w:proofErr w:type="spellStart"/>
      <w:r>
        <w:rPr>
          <w:rFonts w:eastAsia="Palatino Linotype"/>
          <w:sz w:val="22"/>
          <w:szCs w:val="22"/>
          <w:lang w:val="es-ES"/>
        </w:rPr>
        <w:t>within</w:t>
      </w:r>
      <w:proofErr w:type="spellEnd"/>
      <w:r>
        <w:rPr>
          <w:rFonts w:eastAsia="Palatino Linotype"/>
          <w:sz w:val="22"/>
          <w:szCs w:val="22"/>
          <w:lang w:val="es-ES"/>
        </w:rPr>
        <w:t xml:space="preserve"> a </w:t>
      </w:r>
      <w:proofErr w:type="spellStart"/>
      <w:r>
        <w:rPr>
          <w:rFonts w:eastAsia="Palatino Linotype"/>
          <w:sz w:val="22"/>
          <w:szCs w:val="22"/>
          <w:lang w:val="es-ES"/>
        </w:rPr>
        <w:t>period</w:t>
      </w:r>
      <w:proofErr w:type="spellEnd"/>
      <w:r>
        <w:rPr>
          <w:rFonts w:eastAsia="Palatino Linotype"/>
          <w:sz w:val="22"/>
          <w:szCs w:val="22"/>
          <w:lang w:val="es-ES"/>
        </w:rPr>
        <w:t xml:space="preserve"> </w:t>
      </w:r>
      <w:proofErr w:type="spellStart"/>
      <w:r>
        <w:rPr>
          <w:rFonts w:eastAsia="Palatino Linotype"/>
          <w:sz w:val="22"/>
          <w:szCs w:val="22"/>
          <w:lang w:val="es-ES"/>
        </w:rPr>
        <w:t>not</w:t>
      </w:r>
      <w:proofErr w:type="spellEnd"/>
      <w:r>
        <w:rPr>
          <w:rFonts w:eastAsia="Palatino Linotype"/>
          <w:sz w:val="22"/>
          <w:szCs w:val="22"/>
          <w:lang w:val="es-ES"/>
        </w:rPr>
        <w:t xml:space="preserve"> </w:t>
      </w:r>
      <w:proofErr w:type="spellStart"/>
      <w:r>
        <w:rPr>
          <w:rFonts w:eastAsia="Palatino Linotype"/>
          <w:sz w:val="22"/>
          <w:szCs w:val="22"/>
          <w:lang w:val="es-ES"/>
        </w:rPr>
        <w:t>exceeding</w:t>
      </w:r>
      <w:proofErr w:type="spellEnd"/>
      <w:r>
        <w:rPr>
          <w:rFonts w:eastAsia="Palatino Linotype"/>
          <w:sz w:val="22"/>
          <w:szCs w:val="22"/>
          <w:lang w:val="es-ES"/>
        </w:rPr>
        <w:t xml:space="preserve"> 15 </w:t>
      </w:r>
      <w:proofErr w:type="spellStart"/>
      <w:r>
        <w:rPr>
          <w:rFonts w:eastAsia="Palatino Linotype"/>
          <w:sz w:val="22"/>
          <w:szCs w:val="22"/>
          <w:lang w:val="es-ES"/>
        </w:rPr>
        <w:t>business</w:t>
      </w:r>
      <w:proofErr w:type="spellEnd"/>
      <w:r>
        <w:rPr>
          <w:rFonts w:eastAsia="Palatino Linotype"/>
          <w:sz w:val="22"/>
          <w:szCs w:val="22"/>
          <w:lang w:val="es-ES"/>
        </w:rPr>
        <w:t xml:space="preserve"> </w:t>
      </w:r>
      <w:proofErr w:type="spellStart"/>
      <w:r>
        <w:rPr>
          <w:rFonts w:eastAsia="Palatino Linotype"/>
          <w:sz w:val="22"/>
          <w:szCs w:val="22"/>
          <w:lang w:val="es-ES"/>
        </w:rPr>
        <w:t>days</w:t>
      </w:r>
      <w:proofErr w:type="spellEnd"/>
      <w:r>
        <w:rPr>
          <w:rFonts w:eastAsia="Palatino Linotype"/>
          <w:sz w:val="22"/>
          <w:szCs w:val="22"/>
          <w:lang w:val="es-ES"/>
        </w:rPr>
        <w:t xml:space="preserve"> </w:t>
      </w:r>
      <w:proofErr w:type="spellStart"/>
      <w:r>
        <w:rPr>
          <w:rFonts w:eastAsia="Palatino Linotype"/>
          <w:sz w:val="22"/>
          <w:szCs w:val="22"/>
          <w:lang w:val="es-ES"/>
        </w:rPr>
        <w:t>from</w:t>
      </w:r>
      <w:proofErr w:type="spellEnd"/>
      <w:r>
        <w:rPr>
          <w:rFonts w:eastAsia="Palatino Linotype"/>
          <w:sz w:val="22"/>
          <w:szCs w:val="22"/>
          <w:lang w:val="es-ES"/>
        </w:rPr>
        <w:t xml:space="preserve"> </w:t>
      </w:r>
      <w:proofErr w:type="spellStart"/>
      <w:r>
        <w:rPr>
          <w:rFonts w:eastAsia="Palatino Linotype"/>
          <w:sz w:val="22"/>
          <w:szCs w:val="22"/>
          <w:lang w:val="es-ES"/>
        </w:rPr>
        <w:t>the</w:t>
      </w:r>
      <w:proofErr w:type="spellEnd"/>
      <w:r>
        <w:rPr>
          <w:rFonts w:eastAsia="Palatino Linotype"/>
          <w:sz w:val="22"/>
          <w:szCs w:val="22"/>
          <w:lang w:val="es-ES"/>
        </w:rPr>
        <w:t xml:space="preserve"> </w:t>
      </w:r>
      <w:proofErr w:type="spellStart"/>
      <w:r>
        <w:rPr>
          <w:rFonts w:eastAsia="Palatino Linotype"/>
          <w:sz w:val="22"/>
          <w:szCs w:val="22"/>
          <w:lang w:val="es-ES"/>
        </w:rPr>
        <w:t>notification</w:t>
      </w:r>
      <w:proofErr w:type="spellEnd"/>
      <w:r>
        <w:rPr>
          <w:rFonts w:eastAsia="Palatino Linotype"/>
          <w:sz w:val="22"/>
          <w:szCs w:val="22"/>
          <w:lang w:val="es-ES"/>
        </w:rPr>
        <w:t xml:space="preserve"> </w:t>
      </w:r>
      <w:proofErr w:type="spellStart"/>
      <w:r>
        <w:rPr>
          <w:rFonts w:eastAsia="Palatino Linotype"/>
          <w:sz w:val="22"/>
          <w:szCs w:val="22"/>
          <w:lang w:val="es-ES"/>
        </w:rPr>
        <w:t>of</w:t>
      </w:r>
      <w:proofErr w:type="spellEnd"/>
      <w:r>
        <w:rPr>
          <w:rFonts w:eastAsia="Palatino Linotype"/>
          <w:sz w:val="22"/>
          <w:szCs w:val="22"/>
          <w:lang w:val="es-ES"/>
        </w:rPr>
        <w:t xml:space="preserve"> </w:t>
      </w:r>
      <w:proofErr w:type="spellStart"/>
      <w:r>
        <w:rPr>
          <w:rFonts w:eastAsia="Palatino Linotype"/>
          <w:sz w:val="22"/>
          <w:szCs w:val="22"/>
          <w:lang w:val="es-ES"/>
        </w:rPr>
        <w:t>the</w:t>
      </w:r>
      <w:proofErr w:type="spellEnd"/>
      <w:r>
        <w:rPr>
          <w:rFonts w:eastAsia="Palatino Linotype"/>
          <w:sz w:val="22"/>
          <w:szCs w:val="22"/>
          <w:lang w:val="es-ES"/>
        </w:rPr>
        <w:t xml:space="preserve"> </w:t>
      </w:r>
      <w:proofErr w:type="spellStart"/>
      <w:r>
        <w:rPr>
          <w:rFonts w:eastAsia="Palatino Linotype"/>
          <w:sz w:val="22"/>
          <w:szCs w:val="22"/>
          <w:lang w:val="es-ES"/>
        </w:rPr>
        <w:t>award</w:t>
      </w:r>
      <w:proofErr w:type="spellEnd"/>
      <w:r>
        <w:rPr>
          <w:rFonts w:eastAsia="Palatino Linotype"/>
          <w:sz w:val="22"/>
          <w:szCs w:val="22"/>
          <w:lang w:val="es-ES"/>
        </w:rPr>
        <w:t xml:space="preserve"> </w:t>
      </w:r>
      <w:proofErr w:type="spellStart"/>
      <w:r>
        <w:rPr>
          <w:rFonts w:eastAsia="Palatino Linotype"/>
          <w:sz w:val="22"/>
          <w:szCs w:val="22"/>
          <w:lang w:val="es-ES"/>
        </w:rPr>
        <w:t>resolution</w:t>
      </w:r>
      <w:proofErr w:type="spellEnd"/>
      <w:r>
        <w:rPr>
          <w:rFonts w:eastAsia="Palatino Linotype"/>
          <w:sz w:val="22"/>
          <w:szCs w:val="22"/>
          <w:lang w:val="es-ES"/>
        </w:rPr>
        <w:t xml:space="preserve">. In </w:t>
      </w:r>
      <w:proofErr w:type="spellStart"/>
      <w:r>
        <w:rPr>
          <w:rFonts w:eastAsia="Palatino Linotype"/>
          <w:sz w:val="22"/>
          <w:szCs w:val="22"/>
          <w:lang w:val="es-ES"/>
        </w:rPr>
        <w:t>the</w:t>
      </w:r>
      <w:proofErr w:type="spellEnd"/>
      <w:r>
        <w:rPr>
          <w:rFonts w:eastAsia="Palatino Linotype"/>
          <w:sz w:val="22"/>
          <w:szCs w:val="22"/>
          <w:lang w:val="es-ES"/>
        </w:rPr>
        <w:t xml:space="preserve"> </w:t>
      </w:r>
      <w:proofErr w:type="spellStart"/>
      <w:r>
        <w:rPr>
          <w:rFonts w:eastAsia="Palatino Linotype"/>
          <w:sz w:val="22"/>
          <w:szCs w:val="22"/>
          <w:lang w:val="es-ES"/>
        </w:rPr>
        <w:t>absence</w:t>
      </w:r>
      <w:proofErr w:type="spellEnd"/>
      <w:r>
        <w:rPr>
          <w:rFonts w:eastAsia="Palatino Linotype"/>
          <w:sz w:val="22"/>
          <w:szCs w:val="22"/>
          <w:lang w:val="es-ES"/>
        </w:rPr>
        <w:t xml:space="preserve"> </w:t>
      </w:r>
      <w:proofErr w:type="spellStart"/>
      <w:r>
        <w:rPr>
          <w:rFonts w:eastAsia="Palatino Linotype"/>
          <w:sz w:val="22"/>
          <w:szCs w:val="22"/>
          <w:lang w:val="es-ES"/>
        </w:rPr>
        <w:t>of</w:t>
      </w:r>
      <w:proofErr w:type="spellEnd"/>
      <w:r>
        <w:rPr>
          <w:rFonts w:eastAsia="Palatino Linotype"/>
          <w:sz w:val="22"/>
          <w:szCs w:val="22"/>
          <w:lang w:val="es-ES"/>
        </w:rPr>
        <w:t xml:space="preserve"> a </w:t>
      </w:r>
      <w:proofErr w:type="spellStart"/>
      <w:r>
        <w:rPr>
          <w:rFonts w:eastAsia="Palatino Linotype"/>
          <w:sz w:val="22"/>
          <w:szCs w:val="22"/>
          <w:lang w:val="es-ES"/>
        </w:rPr>
        <w:t>declaration</w:t>
      </w:r>
      <w:proofErr w:type="spellEnd"/>
      <w:r>
        <w:rPr>
          <w:rFonts w:eastAsia="Palatino Linotype"/>
          <w:sz w:val="22"/>
          <w:szCs w:val="22"/>
          <w:lang w:val="es-ES"/>
        </w:rPr>
        <w:t xml:space="preserve"> </w:t>
      </w:r>
      <w:proofErr w:type="spellStart"/>
      <w:r>
        <w:rPr>
          <w:rFonts w:eastAsia="Palatino Linotype"/>
          <w:sz w:val="22"/>
          <w:szCs w:val="22"/>
          <w:lang w:val="es-ES"/>
        </w:rPr>
        <w:t>for</w:t>
      </w:r>
      <w:proofErr w:type="spellEnd"/>
      <w:r>
        <w:rPr>
          <w:rFonts w:eastAsia="Palatino Linotype"/>
          <w:sz w:val="22"/>
          <w:szCs w:val="22"/>
          <w:lang w:val="es-ES"/>
        </w:rPr>
        <w:t xml:space="preserve"> </w:t>
      </w:r>
      <w:proofErr w:type="spellStart"/>
      <w:r>
        <w:rPr>
          <w:rFonts w:eastAsia="Palatino Linotype"/>
          <w:sz w:val="22"/>
          <w:szCs w:val="22"/>
          <w:lang w:val="es-ES"/>
        </w:rPr>
        <w:t>the</w:t>
      </w:r>
      <w:proofErr w:type="spellEnd"/>
      <w:r>
        <w:rPr>
          <w:rFonts w:eastAsia="Palatino Linotype"/>
          <w:sz w:val="22"/>
          <w:szCs w:val="22"/>
          <w:lang w:val="es-ES"/>
        </w:rPr>
        <w:t xml:space="preserve"> </w:t>
      </w:r>
      <w:proofErr w:type="spellStart"/>
      <w:r>
        <w:rPr>
          <w:rFonts w:eastAsia="Palatino Linotype"/>
          <w:sz w:val="22"/>
          <w:szCs w:val="22"/>
          <w:lang w:val="es-ES"/>
        </w:rPr>
        <w:t>purposes</w:t>
      </w:r>
      <w:proofErr w:type="spellEnd"/>
      <w:r>
        <w:rPr>
          <w:rFonts w:eastAsia="Palatino Linotype"/>
          <w:sz w:val="22"/>
          <w:szCs w:val="22"/>
          <w:lang w:val="es-ES"/>
        </w:rPr>
        <w:t xml:space="preserve"> </w:t>
      </w:r>
      <w:proofErr w:type="spellStart"/>
      <w:r>
        <w:rPr>
          <w:rFonts w:eastAsia="Palatino Linotype"/>
          <w:sz w:val="22"/>
          <w:szCs w:val="22"/>
          <w:lang w:val="es-ES"/>
        </w:rPr>
        <w:t>of</w:t>
      </w:r>
      <w:proofErr w:type="spellEnd"/>
      <w:r>
        <w:rPr>
          <w:rFonts w:eastAsia="Palatino Linotype"/>
          <w:sz w:val="22"/>
          <w:szCs w:val="22"/>
          <w:lang w:val="es-ES"/>
        </w:rPr>
        <w:t xml:space="preserve"> </w:t>
      </w:r>
      <w:proofErr w:type="spellStart"/>
      <w:r>
        <w:rPr>
          <w:rFonts w:eastAsia="Palatino Linotype"/>
          <w:sz w:val="22"/>
          <w:szCs w:val="22"/>
          <w:lang w:val="es-ES"/>
        </w:rPr>
        <w:t>this</w:t>
      </w:r>
      <w:proofErr w:type="spellEnd"/>
      <w:r>
        <w:rPr>
          <w:rFonts w:eastAsia="Palatino Linotype"/>
          <w:sz w:val="22"/>
          <w:szCs w:val="22"/>
          <w:lang w:val="es-ES"/>
        </w:rPr>
        <w:t xml:space="preserve"> </w:t>
      </w:r>
      <w:proofErr w:type="spellStart"/>
      <w:r>
        <w:rPr>
          <w:rFonts w:eastAsia="Palatino Linotype"/>
          <w:sz w:val="22"/>
          <w:szCs w:val="22"/>
          <w:lang w:val="es-ES"/>
        </w:rPr>
        <w:t>regime</w:t>
      </w:r>
      <w:proofErr w:type="spellEnd"/>
      <w:r>
        <w:rPr>
          <w:rFonts w:eastAsia="Palatino Linotype"/>
          <w:sz w:val="22"/>
          <w:szCs w:val="22"/>
          <w:lang w:val="es-ES"/>
        </w:rPr>
        <w:t xml:space="preserve">, </w:t>
      </w:r>
      <w:proofErr w:type="spellStart"/>
      <w:r>
        <w:rPr>
          <w:rFonts w:eastAsia="Palatino Linotype"/>
          <w:sz w:val="22"/>
          <w:szCs w:val="22"/>
          <w:lang w:val="es-ES"/>
        </w:rPr>
        <w:t>the</w:t>
      </w:r>
      <w:proofErr w:type="spellEnd"/>
      <w:r>
        <w:rPr>
          <w:rFonts w:eastAsia="Palatino Linotype"/>
          <w:sz w:val="22"/>
          <w:szCs w:val="22"/>
          <w:lang w:val="es-ES"/>
        </w:rPr>
        <w:t xml:space="preserve"> </w:t>
      </w:r>
      <w:proofErr w:type="spellStart"/>
      <w:r>
        <w:rPr>
          <w:rFonts w:eastAsia="Palatino Linotype"/>
          <w:sz w:val="22"/>
          <w:szCs w:val="22"/>
          <w:lang w:val="es-ES"/>
        </w:rPr>
        <w:t>goods</w:t>
      </w:r>
      <w:proofErr w:type="spellEnd"/>
      <w:r>
        <w:rPr>
          <w:rFonts w:eastAsia="Palatino Linotype"/>
          <w:sz w:val="22"/>
          <w:szCs w:val="22"/>
          <w:lang w:val="es-ES"/>
        </w:rPr>
        <w:t xml:space="preserve"> </w:t>
      </w:r>
      <w:proofErr w:type="spellStart"/>
      <w:r>
        <w:rPr>
          <w:rFonts w:eastAsia="Palatino Linotype"/>
          <w:sz w:val="22"/>
          <w:szCs w:val="22"/>
          <w:lang w:val="es-ES"/>
        </w:rPr>
        <w:t>will</w:t>
      </w:r>
      <w:proofErr w:type="spellEnd"/>
      <w:r>
        <w:rPr>
          <w:rFonts w:eastAsia="Palatino Linotype"/>
          <w:sz w:val="22"/>
          <w:szCs w:val="22"/>
          <w:lang w:val="es-ES"/>
        </w:rPr>
        <w:t xml:space="preserve"> be </w:t>
      </w:r>
      <w:proofErr w:type="spellStart"/>
      <w:r>
        <w:rPr>
          <w:rFonts w:eastAsia="Palatino Linotype"/>
          <w:sz w:val="22"/>
          <w:szCs w:val="22"/>
          <w:lang w:val="es-ES"/>
        </w:rPr>
        <w:t>considered</w:t>
      </w:r>
      <w:proofErr w:type="spellEnd"/>
      <w:r>
        <w:rPr>
          <w:rFonts w:eastAsia="Palatino Linotype"/>
          <w:sz w:val="22"/>
          <w:szCs w:val="22"/>
          <w:lang w:val="es-ES"/>
        </w:rPr>
        <w:t xml:space="preserve"> as non-</w:t>
      </w:r>
      <w:proofErr w:type="spellStart"/>
      <w:r>
        <w:rPr>
          <w:rFonts w:eastAsia="Palatino Linotype"/>
          <w:sz w:val="22"/>
          <w:szCs w:val="22"/>
          <w:lang w:val="es-ES"/>
        </w:rPr>
        <w:t>national</w:t>
      </w:r>
      <w:proofErr w:type="spellEnd"/>
      <w:r>
        <w:rPr>
          <w:rFonts w:eastAsia="Palatino Linotype"/>
          <w:sz w:val="22"/>
          <w:szCs w:val="22"/>
          <w:lang w:val="es-ES"/>
        </w:rPr>
        <w:t>.</w:t>
      </w:r>
    </w:p>
    <w:p w14:paraId="736C4109" w14:textId="77777777" w:rsidR="00E255F4" w:rsidRDefault="00E255F4">
      <w:pPr>
        <w:ind w:right="-142"/>
        <w:jc w:val="both"/>
        <w:rPr>
          <w:rFonts w:eastAsia="Palatino Linotype"/>
          <w:sz w:val="22"/>
          <w:szCs w:val="22"/>
          <w:lang w:val="es-ES"/>
        </w:rPr>
      </w:pPr>
    </w:p>
    <w:p w14:paraId="1B07F700" w14:textId="77777777" w:rsidR="00E255F4" w:rsidRDefault="00000000">
      <w:pPr>
        <w:ind w:right="-142"/>
        <w:jc w:val="both"/>
        <w:rPr>
          <w:rFonts w:eastAsia="Palatino Linotype"/>
          <w:spacing w:val="-1"/>
          <w:sz w:val="22"/>
          <w:szCs w:val="22"/>
          <w:lang w:val="es-ES"/>
        </w:rPr>
      </w:pPr>
      <w:r>
        <w:rPr>
          <w:rFonts w:eastAsia="Palatino Linotype"/>
          <w:spacing w:val="1"/>
          <w:sz w:val="22"/>
          <w:szCs w:val="22"/>
          <w:lang w:val="es-ES"/>
        </w:rPr>
        <w:t>AND</w:t>
      </w:r>
      <w:r>
        <w:rPr>
          <w:rFonts w:eastAsia="Palatino Linotype"/>
          <w:sz w:val="22"/>
          <w:szCs w:val="22"/>
          <w:lang w:val="es-ES"/>
        </w:rPr>
        <w:t xml:space="preserve">In </w:t>
      </w:r>
      <w:proofErr w:type="spellStart"/>
      <w:r>
        <w:rPr>
          <w:rFonts w:eastAsia="Palatino Linotype"/>
          <w:sz w:val="22"/>
          <w:szCs w:val="22"/>
          <w:lang w:val="es-ES"/>
        </w:rPr>
        <w:t>the</w:t>
      </w:r>
      <w:proofErr w:type="spellEnd"/>
      <w:r>
        <w:rPr>
          <w:rFonts w:eastAsia="Palatino Linotype"/>
          <w:sz w:val="22"/>
          <w:szCs w:val="22"/>
          <w:lang w:val="es-ES"/>
        </w:rPr>
        <w:t xml:space="preserve"> </w:t>
      </w:r>
      <w:proofErr w:type="spellStart"/>
      <w:r>
        <w:rPr>
          <w:rFonts w:eastAsia="Palatino Linotype"/>
          <w:sz w:val="22"/>
          <w:szCs w:val="22"/>
          <w:lang w:val="es-ES"/>
        </w:rPr>
        <w:t>event</w:t>
      </w:r>
      <w:proofErr w:type="spellEnd"/>
      <w:r>
        <w:rPr>
          <w:rFonts w:eastAsia="Palatino Linotype"/>
          <w:sz w:val="22"/>
          <w:szCs w:val="22"/>
          <w:lang w:val="es-ES"/>
        </w:rPr>
        <w:t xml:space="preserve"> </w:t>
      </w:r>
      <w:proofErr w:type="spellStart"/>
      <w:r>
        <w:rPr>
          <w:rFonts w:eastAsia="Palatino Linotype"/>
          <w:sz w:val="22"/>
          <w:szCs w:val="22"/>
          <w:lang w:val="es-ES"/>
        </w:rPr>
        <w:t>that</w:t>
      </w:r>
      <w:proofErr w:type="spellEnd"/>
      <w:r>
        <w:rPr>
          <w:rFonts w:eastAsia="Palatino Linotype"/>
          <w:sz w:val="22"/>
          <w:szCs w:val="22"/>
          <w:lang w:val="es-ES"/>
        </w:rPr>
        <w:t xml:space="preserve"> </w:t>
      </w:r>
      <w:proofErr w:type="spellStart"/>
      <w:r>
        <w:rPr>
          <w:rFonts w:eastAsia="Palatino Linotype"/>
          <w:sz w:val="22"/>
          <w:szCs w:val="22"/>
          <w:lang w:val="es-ES"/>
        </w:rPr>
        <w:t>the</w:t>
      </w:r>
      <w:proofErr w:type="spellEnd"/>
      <w:r>
        <w:rPr>
          <w:rFonts w:eastAsia="Palatino Linotype"/>
          <w:sz w:val="22"/>
          <w:szCs w:val="22"/>
          <w:lang w:val="es-ES"/>
        </w:rPr>
        <w:t xml:space="preserve"> </w:t>
      </w:r>
      <w:proofErr w:type="spellStart"/>
      <w:r>
        <w:rPr>
          <w:rFonts w:eastAsia="Palatino Linotype"/>
          <w:sz w:val="22"/>
          <w:szCs w:val="22"/>
          <w:lang w:val="es-ES"/>
        </w:rPr>
        <w:t>certificate</w:t>
      </w:r>
      <w:proofErr w:type="spellEnd"/>
      <w:r>
        <w:rPr>
          <w:rFonts w:eastAsia="Palatino Linotype"/>
          <w:sz w:val="22"/>
          <w:szCs w:val="22"/>
          <w:lang w:val="es-ES"/>
        </w:rPr>
        <w:t xml:space="preserve"> </w:t>
      </w:r>
      <w:proofErr w:type="spellStart"/>
      <w:r>
        <w:rPr>
          <w:rFonts w:eastAsia="Palatino Linotype"/>
          <w:sz w:val="22"/>
          <w:szCs w:val="22"/>
          <w:lang w:val="es-ES"/>
        </w:rPr>
        <w:t>is</w:t>
      </w:r>
      <w:proofErr w:type="spellEnd"/>
      <w:r>
        <w:rPr>
          <w:rFonts w:eastAsia="Palatino Linotype"/>
          <w:sz w:val="22"/>
          <w:szCs w:val="22"/>
          <w:lang w:val="es-ES"/>
        </w:rPr>
        <w:t xml:space="preserve"> </w:t>
      </w:r>
      <w:proofErr w:type="spellStart"/>
      <w:r>
        <w:rPr>
          <w:rFonts w:eastAsia="Palatino Linotype"/>
          <w:sz w:val="22"/>
          <w:szCs w:val="22"/>
          <w:lang w:val="es-ES"/>
        </w:rPr>
        <w:t>not</w:t>
      </w:r>
      <w:proofErr w:type="spellEnd"/>
      <w:r>
        <w:rPr>
          <w:rFonts w:eastAsia="Palatino Linotype"/>
          <w:sz w:val="22"/>
          <w:szCs w:val="22"/>
          <w:lang w:val="es-ES"/>
        </w:rPr>
        <w:t xml:space="preserve"> </w:t>
      </w:r>
      <w:proofErr w:type="spellStart"/>
      <w:r>
        <w:rPr>
          <w:rFonts w:eastAsia="Palatino Linotype"/>
          <w:sz w:val="22"/>
          <w:szCs w:val="22"/>
          <w:lang w:val="es-ES"/>
        </w:rPr>
        <w:t>submitted</w:t>
      </w:r>
      <w:proofErr w:type="spellEnd"/>
      <w:r>
        <w:rPr>
          <w:rFonts w:eastAsia="Palatino Linotype"/>
          <w:sz w:val="22"/>
          <w:szCs w:val="22"/>
          <w:lang w:val="es-ES"/>
        </w:rPr>
        <w:t xml:space="preserve"> </w:t>
      </w:r>
      <w:proofErr w:type="spellStart"/>
      <w:r>
        <w:rPr>
          <w:rFonts w:eastAsia="Palatino Linotype"/>
          <w:sz w:val="22"/>
          <w:szCs w:val="22"/>
          <w:lang w:val="es-ES"/>
        </w:rPr>
        <w:t>within</w:t>
      </w:r>
      <w:proofErr w:type="spellEnd"/>
      <w:r>
        <w:rPr>
          <w:rFonts w:eastAsia="Palatino Linotype"/>
          <w:sz w:val="22"/>
          <w:szCs w:val="22"/>
          <w:lang w:val="es-ES"/>
        </w:rPr>
        <w:t xml:space="preserve"> </w:t>
      </w:r>
      <w:proofErr w:type="spellStart"/>
      <w:r>
        <w:rPr>
          <w:rFonts w:eastAsia="Palatino Linotype"/>
          <w:sz w:val="22"/>
          <w:szCs w:val="22"/>
          <w:lang w:val="es-ES"/>
        </w:rPr>
        <w:t>the</w:t>
      </w:r>
      <w:proofErr w:type="spellEnd"/>
      <w:r>
        <w:rPr>
          <w:rFonts w:eastAsia="Palatino Linotype"/>
          <w:sz w:val="22"/>
          <w:szCs w:val="22"/>
          <w:lang w:val="es-ES"/>
        </w:rPr>
        <w:t xml:space="preserve"> </w:t>
      </w:r>
      <w:proofErr w:type="spellStart"/>
      <w:r>
        <w:rPr>
          <w:rFonts w:eastAsia="Palatino Linotype"/>
          <w:sz w:val="22"/>
          <w:szCs w:val="22"/>
          <w:lang w:val="es-ES"/>
        </w:rPr>
        <w:t>established</w:t>
      </w:r>
      <w:proofErr w:type="spellEnd"/>
      <w:r>
        <w:rPr>
          <w:rFonts w:eastAsia="Palatino Linotype"/>
          <w:sz w:val="22"/>
          <w:szCs w:val="22"/>
          <w:lang w:val="es-ES"/>
        </w:rPr>
        <w:t xml:space="preserve"> </w:t>
      </w:r>
      <w:proofErr w:type="spellStart"/>
      <w:r>
        <w:rPr>
          <w:rFonts w:eastAsia="Palatino Linotype"/>
          <w:sz w:val="22"/>
          <w:szCs w:val="22"/>
          <w:lang w:val="es-ES"/>
        </w:rPr>
        <w:t>period</w:t>
      </w:r>
      <w:proofErr w:type="spellEnd"/>
      <w:r>
        <w:rPr>
          <w:rFonts w:eastAsia="Palatino Linotype"/>
          <w:sz w:val="22"/>
          <w:szCs w:val="22"/>
          <w:lang w:val="es-ES"/>
        </w:rPr>
        <w:t xml:space="preserve"> </w:t>
      </w:r>
      <w:proofErr w:type="spellStart"/>
      <w:r>
        <w:rPr>
          <w:rFonts w:eastAsia="Palatino Linotype"/>
          <w:sz w:val="22"/>
          <w:szCs w:val="22"/>
          <w:lang w:val="es-ES"/>
        </w:rPr>
        <w:t>or</w:t>
      </w:r>
      <w:proofErr w:type="spellEnd"/>
      <w:r>
        <w:rPr>
          <w:rFonts w:eastAsia="Palatino Linotype"/>
          <w:sz w:val="22"/>
          <w:szCs w:val="22"/>
          <w:lang w:val="es-ES"/>
        </w:rPr>
        <w:t xml:space="preserve"> </w:t>
      </w:r>
      <w:proofErr w:type="spellStart"/>
      <w:r>
        <w:rPr>
          <w:rFonts w:eastAsia="Palatino Linotype"/>
          <w:sz w:val="22"/>
          <w:szCs w:val="22"/>
          <w:lang w:val="es-ES"/>
        </w:rPr>
        <w:t>is</w:t>
      </w:r>
      <w:proofErr w:type="spellEnd"/>
      <w:r>
        <w:rPr>
          <w:rFonts w:eastAsia="Palatino Linotype"/>
          <w:sz w:val="22"/>
          <w:szCs w:val="22"/>
          <w:lang w:val="es-ES"/>
        </w:rPr>
        <w:t xml:space="preserve"> </w:t>
      </w:r>
      <w:proofErr w:type="spellStart"/>
      <w:r>
        <w:rPr>
          <w:rFonts w:eastAsia="Palatino Linotype"/>
          <w:sz w:val="22"/>
          <w:szCs w:val="22"/>
          <w:lang w:val="es-ES"/>
        </w:rPr>
        <w:t>denied</w:t>
      </w:r>
      <w:proofErr w:type="spellEnd"/>
      <w:r>
        <w:rPr>
          <w:rFonts w:eastAsia="Palatino Linotype"/>
          <w:sz w:val="22"/>
          <w:szCs w:val="22"/>
          <w:lang w:val="es-ES"/>
        </w:rPr>
        <w:t xml:space="preserve">, </w:t>
      </w:r>
      <w:proofErr w:type="spellStart"/>
      <w:r>
        <w:rPr>
          <w:rFonts w:eastAsia="Palatino Linotype"/>
          <w:sz w:val="22"/>
          <w:szCs w:val="22"/>
          <w:lang w:val="es-ES"/>
        </w:rPr>
        <w:t>the</w:t>
      </w:r>
      <w:proofErr w:type="spellEnd"/>
      <w:r>
        <w:rPr>
          <w:rFonts w:eastAsia="Palatino Linotype"/>
          <w:sz w:val="22"/>
          <w:szCs w:val="22"/>
          <w:lang w:val="es-ES"/>
        </w:rPr>
        <w:t xml:space="preserve"> </w:t>
      </w:r>
      <w:proofErr w:type="spellStart"/>
      <w:r>
        <w:rPr>
          <w:rFonts w:eastAsia="Palatino Linotype"/>
          <w:sz w:val="22"/>
          <w:szCs w:val="22"/>
          <w:lang w:val="es-ES"/>
        </w:rPr>
        <w:t>award</w:t>
      </w:r>
      <w:proofErr w:type="spellEnd"/>
      <w:r>
        <w:rPr>
          <w:rFonts w:eastAsia="Palatino Linotype"/>
          <w:sz w:val="22"/>
          <w:szCs w:val="22"/>
          <w:lang w:val="es-ES"/>
        </w:rPr>
        <w:t xml:space="preserve"> </w:t>
      </w:r>
      <w:proofErr w:type="spellStart"/>
      <w:r>
        <w:rPr>
          <w:rFonts w:eastAsia="Palatino Linotype"/>
          <w:sz w:val="22"/>
          <w:szCs w:val="22"/>
          <w:lang w:val="es-ES"/>
        </w:rPr>
        <w:t>will</w:t>
      </w:r>
      <w:proofErr w:type="spellEnd"/>
      <w:r>
        <w:rPr>
          <w:rFonts w:eastAsia="Palatino Linotype"/>
          <w:sz w:val="22"/>
          <w:szCs w:val="22"/>
          <w:lang w:val="es-ES"/>
        </w:rPr>
        <w:t xml:space="preserve"> be </w:t>
      </w:r>
      <w:proofErr w:type="spellStart"/>
      <w:r>
        <w:rPr>
          <w:rFonts w:eastAsia="Palatino Linotype"/>
          <w:sz w:val="22"/>
          <w:szCs w:val="22"/>
          <w:lang w:val="es-ES"/>
        </w:rPr>
        <w:t>cancelled</w:t>
      </w:r>
      <w:proofErr w:type="spellEnd"/>
      <w:r>
        <w:rPr>
          <w:rFonts w:eastAsia="Palatino Linotype"/>
          <w:sz w:val="22"/>
          <w:szCs w:val="22"/>
          <w:lang w:val="es-ES"/>
        </w:rPr>
        <w:t xml:space="preserve"> and </w:t>
      </w:r>
      <w:proofErr w:type="spellStart"/>
      <w:r>
        <w:rPr>
          <w:rFonts w:eastAsia="Palatino Linotype"/>
          <w:sz w:val="22"/>
          <w:szCs w:val="22"/>
          <w:lang w:val="es-ES"/>
        </w:rPr>
        <w:t>will</w:t>
      </w:r>
      <w:proofErr w:type="spellEnd"/>
      <w:r>
        <w:rPr>
          <w:rFonts w:eastAsia="Palatino Linotype"/>
          <w:sz w:val="22"/>
          <w:szCs w:val="22"/>
          <w:lang w:val="es-ES"/>
        </w:rPr>
        <w:t xml:space="preserve"> be </w:t>
      </w:r>
      <w:proofErr w:type="spellStart"/>
      <w:r>
        <w:rPr>
          <w:rFonts w:eastAsia="Palatino Linotype"/>
          <w:sz w:val="22"/>
          <w:szCs w:val="22"/>
          <w:lang w:val="es-ES"/>
        </w:rPr>
        <w:t>given</w:t>
      </w:r>
      <w:proofErr w:type="spellEnd"/>
      <w:r>
        <w:rPr>
          <w:rFonts w:eastAsia="Palatino Linotype"/>
          <w:sz w:val="22"/>
          <w:szCs w:val="22"/>
          <w:lang w:val="es-ES"/>
        </w:rPr>
        <w:t xml:space="preserve"> </w:t>
      </w:r>
      <w:proofErr w:type="spellStart"/>
      <w:r>
        <w:rPr>
          <w:rFonts w:eastAsia="Palatino Linotype"/>
          <w:sz w:val="22"/>
          <w:szCs w:val="22"/>
          <w:lang w:val="es-ES"/>
        </w:rPr>
        <w:t>to</w:t>
      </w:r>
      <w:proofErr w:type="spellEnd"/>
      <w:r>
        <w:rPr>
          <w:rFonts w:eastAsia="Palatino Linotype"/>
          <w:sz w:val="22"/>
          <w:szCs w:val="22"/>
          <w:lang w:val="es-ES"/>
        </w:rPr>
        <w:t xml:space="preserve"> </w:t>
      </w:r>
      <w:proofErr w:type="spellStart"/>
      <w:r>
        <w:rPr>
          <w:rFonts w:eastAsia="Palatino Linotype"/>
          <w:sz w:val="22"/>
          <w:szCs w:val="22"/>
          <w:lang w:val="es-ES"/>
        </w:rPr>
        <w:t>the</w:t>
      </w:r>
      <w:proofErr w:type="spellEnd"/>
      <w:r>
        <w:rPr>
          <w:rFonts w:eastAsia="Palatino Linotype"/>
          <w:sz w:val="22"/>
          <w:szCs w:val="22"/>
          <w:lang w:val="es-ES"/>
        </w:rPr>
        <w:t xml:space="preserve"> </w:t>
      </w:r>
      <w:proofErr w:type="spellStart"/>
      <w:r>
        <w:rPr>
          <w:rFonts w:eastAsia="Palatino Linotype"/>
          <w:sz w:val="22"/>
          <w:szCs w:val="22"/>
          <w:lang w:val="es-ES"/>
        </w:rPr>
        <w:t>next</w:t>
      </w:r>
      <w:proofErr w:type="spellEnd"/>
      <w:r>
        <w:rPr>
          <w:rFonts w:eastAsia="Palatino Linotype"/>
          <w:sz w:val="22"/>
          <w:szCs w:val="22"/>
          <w:lang w:val="es-ES"/>
        </w:rPr>
        <w:t xml:space="preserve"> </w:t>
      </w:r>
      <w:proofErr w:type="spellStart"/>
      <w:r>
        <w:rPr>
          <w:rFonts w:eastAsia="Palatino Linotype"/>
          <w:sz w:val="22"/>
          <w:szCs w:val="22"/>
          <w:lang w:val="es-ES"/>
        </w:rPr>
        <w:t>best</w:t>
      </w:r>
      <w:proofErr w:type="spellEnd"/>
      <w:r>
        <w:rPr>
          <w:rFonts w:eastAsia="Palatino Linotype"/>
          <w:sz w:val="22"/>
          <w:szCs w:val="22"/>
          <w:lang w:val="es-ES"/>
        </w:rPr>
        <w:t xml:space="preserve"> </w:t>
      </w:r>
      <w:proofErr w:type="spellStart"/>
      <w:r>
        <w:rPr>
          <w:rFonts w:eastAsia="Palatino Linotype"/>
          <w:sz w:val="22"/>
          <w:szCs w:val="22"/>
          <w:lang w:val="es-ES"/>
        </w:rPr>
        <w:t>offer</w:t>
      </w:r>
      <w:proofErr w:type="spellEnd"/>
      <w:r>
        <w:rPr>
          <w:rFonts w:eastAsia="Palatino Linotype"/>
          <w:sz w:val="22"/>
          <w:szCs w:val="22"/>
          <w:lang w:val="es-ES"/>
        </w:rPr>
        <w:t>.</w:t>
      </w:r>
    </w:p>
    <w:p w14:paraId="1B9B70E0" w14:textId="77777777" w:rsidR="00E255F4" w:rsidRDefault="00E255F4">
      <w:pPr>
        <w:ind w:right="-142"/>
        <w:jc w:val="both"/>
        <w:rPr>
          <w:rFonts w:eastAsia="Palatino Linotype"/>
          <w:spacing w:val="-1"/>
          <w:sz w:val="22"/>
          <w:szCs w:val="22"/>
          <w:lang w:val="es-ES"/>
        </w:rPr>
      </w:pPr>
    </w:p>
    <w:p w14:paraId="35460BDB" w14:textId="77777777" w:rsidR="00E255F4" w:rsidRDefault="00000000">
      <w:pPr>
        <w:rPr>
          <w:rFonts w:eastAsia="Palatino Linotype"/>
          <w:b/>
          <w:spacing w:val="-1"/>
          <w:sz w:val="22"/>
          <w:szCs w:val="22"/>
          <w:lang w:val="es-ES"/>
        </w:rPr>
      </w:pPr>
      <w:r>
        <w:rPr>
          <w:rFonts w:eastAsia="Palatino Linotype"/>
          <w:b/>
          <w:spacing w:val="-1"/>
          <w:sz w:val="22"/>
          <w:szCs w:val="22"/>
          <w:lang w:val="es-ES"/>
        </w:rPr>
        <w:t>SERVICES</w:t>
      </w:r>
    </w:p>
    <w:p w14:paraId="5B41992A" w14:textId="77777777" w:rsidR="00E255F4" w:rsidRDefault="00E255F4">
      <w:pPr>
        <w:ind w:right="-142"/>
        <w:jc w:val="both"/>
        <w:rPr>
          <w:rFonts w:eastAsia="Palatino Linotype"/>
          <w:b/>
          <w:spacing w:val="2"/>
          <w:sz w:val="22"/>
          <w:szCs w:val="22"/>
          <w:lang w:val="es-ES"/>
        </w:rPr>
      </w:pPr>
    </w:p>
    <w:p w14:paraId="7E9DBA78" w14:textId="77777777" w:rsidR="00E255F4" w:rsidRDefault="00000000">
      <w:pPr>
        <w:ind w:right="-142"/>
        <w:jc w:val="both"/>
        <w:rPr>
          <w:rFonts w:eastAsia="Palatino Linotype"/>
          <w:sz w:val="22"/>
          <w:szCs w:val="22"/>
          <w:lang w:val="es-ES"/>
        </w:rPr>
      </w:pPr>
      <w:proofErr w:type="spellStart"/>
      <w:r>
        <w:rPr>
          <w:rFonts w:eastAsia="Palatino Linotype"/>
          <w:spacing w:val="2"/>
          <w:sz w:val="22"/>
          <w:szCs w:val="22"/>
          <w:lang w:val="es-ES"/>
        </w:rPr>
        <w:lastRenderedPageBreak/>
        <w:t>AND</w:t>
      </w:r>
      <w:r>
        <w:rPr>
          <w:rFonts w:eastAsia="Palatino Linotype"/>
          <w:sz w:val="22"/>
          <w:szCs w:val="22"/>
          <w:lang w:val="es-ES"/>
        </w:rPr>
        <w:t>The</w:t>
      </w:r>
      <w:proofErr w:type="spellEnd"/>
      <w:r>
        <w:rPr>
          <w:rFonts w:eastAsia="Palatino Linotype"/>
          <w:sz w:val="22"/>
          <w:szCs w:val="22"/>
          <w:lang w:val="es-ES"/>
        </w:rPr>
        <w:t xml:space="preserve"> </w:t>
      </w:r>
      <w:proofErr w:type="spellStart"/>
      <w:r>
        <w:rPr>
          <w:rFonts w:eastAsia="Palatino Linotype"/>
          <w:sz w:val="22"/>
          <w:szCs w:val="22"/>
          <w:lang w:val="es-ES"/>
        </w:rPr>
        <w:t>preference</w:t>
      </w:r>
      <w:proofErr w:type="spellEnd"/>
      <w:r>
        <w:rPr>
          <w:rFonts w:eastAsia="Palatino Linotype"/>
          <w:sz w:val="22"/>
          <w:szCs w:val="22"/>
          <w:lang w:val="es-ES"/>
        </w:rPr>
        <w:t xml:space="preserve"> </w:t>
      </w:r>
      <w:proofErr w:type="spellStart"/>
      <w:r>
        <w:rPr>
          <w:rFonts w:eastAsia="Palatino Linotype"/>
          <w:sz w:val="22"/>
          <w:szCs w:val="22"/>
          <w:lang w:val="es-ES"/>
        </w:rPr>
        <w:t>margin</w:t>
      </w:r>
      <w:proofErr w:type="spellEnd"/>
      <w:r>
        <w:rPr>
          <w:rFonts w:eastAsia="Palatino Linotype"/>
          <w:sz w:val="22"/>
          <w:szCs w:val="22"/>
          <w:lang w:val="es-ES"/>
        </w:rPr>
        <w:t xml:space="preserve"> </w:t>
      </w:r>
      <w:proofErr w:type="spellStart"/>
      <w:r>
        <w:rPr>
          <w:rFonts w:eastAsia="Palatino Linotype"/>
          <w:sz w:val="22"/>
          <w:szCs w:val="22"/>
          <w:lang w:val="es-ES"/>
        </w:rPr>
        <w:t>for</w:t>
      </w:r>
      <w:proofErr w:type="spellEnd"/>
      <w:r>
        <w:rPr>
          <w:rFonts w:eastAsia="Palatino Linotype"/>
          <w:sz w:val="22"/>
          <w:szCs w:val="22"/>
          <w:lang w:val="es-ES"/>
        </w:rPr>
        <w:t xml:space="preserve"> </w:t>
      </w:r>
      <w:proofErr w:type="spellStart"/>
      <w:r>
        <w:rPr>
          <w:rFonts w:eastAsia="Palatino Linotype"/>
          <w:sz w:val="22"/>
          <w:szCs w:val="22"/>
          <w:lang w:val="es-ES"/>
        </w:rPr>
        <w:t>services</w:t>
      </w:r>
      <w:proofErr w:type="spellEnd"/>
      <w:r>
        <w:rPr>
          <w:rFonts w:eastAsia="Palatino Linotype"/>
          <w:sz w:val="22"/>
          <w:szCs w:val="22"/>
          <w:lang w:val="es-ES"/>
        </w:rPr>
        <w:t xml:space="preserve"> </w:t>
      </w:r>
      <w:proofErr w:type="spellStart"/>
      <w:r>
        <w:rPr>
          <w:rFonts w:eastAsia="Palatino Linotype"/>
          <w:sz w:val="22"/>
          <w:szCs w:val="22"/>
          <w:lang w:val="es-ES"/>
        </w:rPr>
        <w:t>that</w:t>
      </w:r>
      <w:proofErr w:type="spellEnd"/>
      <w:r>
        <w:rPr>
          <w:rFonts w:eastAsia="Palatino Linotype"/>
          <w:sz w:val="22"/>
          <w:szCs w:val="22"/>
          <w:lang w:val="es-ES"/>
        </w:rPr>
        <w:t xml:space="preserve"> </w:t>
      </w:r>
      <w:proofErr w:type="spellStart"/>
      <w:r>
        <w:rPr>
          <w:rFonts w:eastAsia="Palatino Linotype"/>
          <w:sz w:val="22"/>
          <w:szCs w:val="22"/>
          <w:lang w:val="es-ES"/>
        </w:rPr>
        <w:t>qualify</w:t>
      </w:r>
      <w:proofErr w:type="spellEnd"/>
      <w:r>
        <w:rPr>
          <w:rFonts w:eastAsia="Palatino Linotype"/>
          <w:sz w:val="22"/>
          <w:szCs w:val="22"/>
          <w:lang w:val="es-ES"/>
        </w:rPr>
        <w:t xml:space="preserve"> as </w:t>
      </w:r>
      <w:proofErr w:type="spellStart"/>
      <w:r>
        <w:rPr>
          <w:rFonts w:eastAsia="Palatino Linotype"/>
          <w:sz w:val="22"/>
          <w:szCs w:val="22"/>
          <w:lang w:val="es-ES"/>
        </w:rPr>
        <w:t>domestic</w:t>
      </w:r>
      <w:proofErr w:type="spellEnd"/>
      <w:r>
        <w:rPr>
          <w:rFonts w:eastAsia="Palatino Linotype"/>
          <w:sz w:val="22"/>
          <w:szCs w:val="22"/>
          <w:lang w:val="es-ES"/>
        </w:rPr>
        <w:t xml:space="preserve"> </w:t>
      </w:r>
      <w:proofErr w:type="spellStart"/>
      <w:r>
        <w:rPr>
          <w:rFonts w:eastAsia="Palatino Linotype"/>
          <w:sz w:val="22"/>
          <w:szCs w:val="22"/>
          <w:lang w:val="es-ES"/>
        </w:rPr>
        <w:t>will</w:t>
      </w:r>
      <w:proofErr w:type="spellEnd"/>
      <w:r>
        <w:rPr>
          <w:rFonts w:eastAsia="Palatino Linotype"/>
          <w:sz w:val="22"/>
          <w:szCs w:val="22"/>
          <w:lang w:val="es-ES"/>
        </w:rPr>
        <w:t xml:space="preserve"> be 8% </w:t>
      </w:r>
      <w:proofErr w:type="spellStart"/>
      <w:r>
        <w:rPr>
          <w:rFonts w:eastAsia="Palatino Linotype"/>
          <w:sz w:val="22"/>
          <w:szCs w:val="22"/>
          <w:lang w:val="es-ES"/>
        </w:rPr>
        <w:t>of</w:t>
      </w:r>
      <w:proofErr w:type="spellEnd"/>
      <w:r>
        <w:rPr>
          <w:rFonts w:eastAsia="Palatino Linotype"/>
          <w:sz w:val="22"/>
          <w:szCs w:val="22"/>
          <w:lang w:val="es-ES"/>
        </w:rPr>
        <w:t xml:space="preserve"> </w:t>
      </w:r>
      <w:proofErr w:type="spellStart"/>
      <w:r>
        <w:rPr>
          <w:rFonts w:eastAsia="Palatino Linotype"/>
          <w:sz w:val="22"/>
          <w:szCs w:val="22"/>
          <w:lang w:val="es-ES"/>
        </w:rPr>
        <w:t>the</w:t>
      </w:r>
      <w:proofErr w:type="spellEnd"/>
      <w:r>
        <w:rPr>
          <w:rFonts w:eastAsia="Palatino Linotype"/>
          <w:sz w:val="22"/>
          <w:szCs w:val="22"/>
          <w:lang w:val="es-ES"/>
        </w:rPr>
        <w:t xml:space="preserve"> </w:t>
      </w:r>
      <w:proofErr w:type="spellStart"/>
      <w:r>
        <w:rPr>
          <w:rFonts w:eastAsia="Palatino Linotype"/>
          <w:sz w:val="22"/>
          <w:szCs w:val="22"/>
          <w:lang w:val="es-ES"/>
        </w:rPr>
        <w:t>price</w:t>
      </w:r>
      <w:proofErr w:type="spellEnd"/>
      <w:r>
        <w:rPr>
          <w:rFonts w:eastAsia="Palatino Linotype"/>
          <w:sz w:val="22"/>
          <w:szCs w:val="22"/>
          <w:lang w:val="es-ES"/>
        </w:rPr>
        <w:t xml:space="preserve"> </w:t>
      </w:r>
      <w:proofErr w:type="spellStart"/>
      <w:r>
        <w:rPr>
          <w:rFonts w:eastAsia="Palatino Linotype"/>
          <w:sz w:val="22"/>
          <w:szCs w:val="22"/>
          <w:lang w:val="es-ES"/>
        </w:rPr>
        <w:t>compared</w:t>
      </w:r>
      <w:proofErr w:type="spellEnd"/>
      <w:r>
        <w:rPr>
          <w:rFonts w:eastAsia="Palatino Linotype"/>
          <w:sz w:val="22"/>
          <w:szCs w:val="22"/>
          <w:lang w:val="es-ES"/>
        </w:rPr>
        <w:t xml:space="preserve"> </w:t>
      </w:r>
      <w:proofErr w:type="spellStart"/>
      <w:r>
        <w:rPr>
          <w:rFonts w:eastAsia="Palatino Linotype"/>
          <w:sz w:val="22"/>
          <w:szCs w:val="22"/>
          <w:lang w:val="es-ES"/>
        </w:rPr>
        <w:t>to</w:t>
      </w:r>
      <w:proofErr w:type="spellEnd"/>
      <w:r>
        <w:rPr>
          <w:rFonts w:eastAsia="Palatino Linotype"/>
          <w:sz w:val="22"/>
          <w:szCs w:val="22"/>
          <w:lang w:val="es-ES"/>
        </w:rPr>
        <w:t xml:space="preserve"> </w:t>
      </w:r>
      <w:proofErr w:type="spellStart"/>
      <w:r>
        <w:rPr>
          <w:rFonts w:eastAsia="Palatino Linotype"/>
          <w:sz w:val="22"/>
          <w:szCs w:val="22"/>
          <w:lang w:val="es-ES"/>
        </w:rPr>
        <w:t>those</w:t>
      </w:r>
      <w:proofErr w:type="spellEnd"/>
      <w:r>
        <w:rPr>
          <w:rFonts w:eastAsia="Palatino Linotype"/>
          <w:sz w:val="22"/>
          <w:szCs w:val="22"/>
          <w:lang w:val="es-ES"/>
        </w:rPr>
        <w:t xml:space="preserve"> </w:t>
      </w:r>
      <w:proofErr w:type="spellStart"/>
      <w:r>
        <w:rPr>
          <w:rFonts w:eastAsia="Palatino Linotype"/>
          <w:sz w:val="22"/>
          <w:szCs w:val="22"/>
          <w:lang w:val="es-ES"/>
        </w:rPr>
        <w:t>that</w:t>
      </w:r>
      <w:proofErr w:type="spellEnd"/>
      <w:r>
        <w:rPr>
          <w:rFonts w:eastAsia="Palatino Linotype"/>
          <w:sz w:val="22"/>
          <w:szCs w:val="22"/>
          <w:lang w:val="es-ES"/>
        </w:rPr>
        <w:t xml:space="preserve"> do </w:t>
      </w:r>
      <w:proofErr w:type="spellStart"/>
      <w:r>
        <w:rPr>
          <w:rFonts w:eastAsia="Palatino Linotype"/>
          <w:sz w:val="22"/>
          <w:szCs w:val="22"/>
          <w:lang w:val="es-ES"/>
        </w:rPr>
        <w:t>not</w:t>
      </w:r>
      <w:proofErr w:type="spellEnd"/>
      <w:r>
        <w:rPr>
          <w:rFonts w:eastAsia="Palatino Linotype"/>
          <w:sz w:val="22"/>
          <w:szCs w:val="22"/>
          <w:lang w:val="es-ES"/>
        </w:rPr>
        <w:t xml:space="preserve"> </w:t>
      </w:r>
      <w:proofErr w:type="spellStart"/>
      <w:r>
        <w:rPr>
          <w:rFonts w:eastAsia="Palatino Linotype"/>
          <w:sz w:val="22"/>
          <w:szCs w:val="22"/>
          <w:lang w:val="es-ES"/>
        </w:rPr>
        <w:t>qualify</w:t>
      </w:r>
      <w:proofErr w:type="spellEnd"/>
      <w:r>
        <w:rPr>
          <w:rFonts w:eastAsia="Palatino Linotype"/>
          <w:sz w:val="22"/>
          <w:szCs w:val="22"/>
          <w:lang w:val="es-ES"/>
        </w:rPr>
        <w:t xml:space="preserve"> as </w:t>
      </w:r>
      <w:proofErr w:type="spellStart"/>
      <w:r>
        <w:rPr>
          <w:rFonts w:eastAsia="Palatino Linotype"/>
          <w:sz w:val="22"/>
          <w:szCs w:val="22"/>
          <w:lang w:val="es-ES"/>
        </w:rPr>
        <w:t>domestic</w:t>
      </w:r>
      <w:proofErr w:type="spellEnd"/>
      <w:r>
        <w:rPr>
          <w:rFonts w:eastAsia="Palatino Linotype"/>
          <w:sz w:val="22"/>
          <w:szCs w:val="22"/>
          <w:lang w:val="es-ES"/>
        </w:rPr>
        <w:t xml:space="preserve">, </w:t>
      </w:r>
      <w:proofErr w:type="spellStart"/>
      <w:r>
        <w:rPr>
          <w:rFonts w:eastAsia="Palatino Linotype"/>
          <w:sz w:val="22"/>
          <w:szCs w:val="22"/>
          <w:lang w:val="es-ES"/>
        </w:rPr>
        <w:t>according</w:t>
      </w:r>
      <w:proofErr w:type="spellEnd"/>
      <w:r>
        <w:rPr>
          <w:rFonts w:eastAsia="Palatino Linotype"/>
          <w:sz w:val="22"/>
          <w:szCs w:val="22"/>
          <w:lang w:val="es-ES"/>
        </w:rPr>
        <w:t xml:space="preserve"> </w:t>
      </w:r>
      <w:proofErr w:type="spellStart"/>
      <w:r>
        <w:rPr>
          <w:rFonts w:eastAsia="Palatino Linotype"/>
          <w:sz w:val="22"/>
          <w:szCs w:val="22"/>
          <w:lang w:val="es-ES"/>
        </w:rPr>
        <w:t>to</w:t>
      </w:r>
      <w:proofErr w:type="spellEnd"/>
      <w:r>
        <w:rPr>
          <w:rFonts w:eastAsia="Palatino Linotype"/>
          <w:sz w:val="22"/>
          <w:szCs w:val="22"/>
          <w:lang w:val="es-ES"/>
        </w:rPr>
        <w:t xml:space="preserve"> </w:t>
      </w:r>
      <w:proofErr w:type="spellStart"/>
      <w:r>
        <w:rPr>
          <w:rFonts w:eastAsia="Palatino Linotype"/>
          <w:sz w:val="22"/>
          <w:szCs w:val="22"/>
          <w:lang w:val="es-ES"/>
        </w:rPr>
        <w:t>the</w:t>
      </w:r>
      <w:proofErr w:type="spellEnd"/>
      <w:r>
        <w:rPr>
          <w:rFonts w:eastAsia="Palatino Linotype"/>
          <w:sz w:val="22"/>
          <w:szCs w:val="22"/>
          <w:lang w:val="es-ES"/>
        </w:rPr>
        <w:t xml:space="preserve"> </w:t>
      </w:r>
      <w:proofErr w:type="spellStart"/>
      <w:r>
        <w:rPr>
          <w:rFonts w:eastAsia="Palatino Linotype"/>
          <w:sz w:val="22"/>
          <w:szCs w:val="22"/>
          <w:lang w:val="es-ES"/>
        </w:rPr>
        <w:t>evaluation</w:t>
      </w:r>
      <w:proofErr w:type="spellEnd"/>
      <w:r>
        <w:rPr>
          <w:rFonts w:eastAsia="Palatino Linotype"/>
          <w:sz w:val="22"/>
          <w:szCs w:val="22"/>
          <w:lang w:val="es-ES"/>
        </w:rPr>
        <w:t xml:space="preserve"> </w:t>
      </w:r>
      <w:proofErr w:type="spellStart"/>
      <w:r>
        <w:rPr>
          <w:rFonts w:eastAsia="Palatino Linotype"/>
          <w:sz w:val="22"/>
          <w:szCs w:val="22"/>
          <w:lang w:val="es-ES"/>
        </w:rPr>
        <w:t>criteria</w:t>
      </w:r>
      <w:proofErr w:type="spellEnd"/>
      <w:r>
        <w:rPr>
          <w:rFonts w:eastAsia="Palatino Linotype"/>
          <w:sz w:val="22"/>
          <w:szCs w:val="22"/>
          <w:lang w:val="es-ES"/>
        </w:rPr>
        <w:t xml:space="preserve"> </w:t>
      </w:r>
      <w:proofErr w:type="spellStart"/>
      <w:r>
        <w:rPr>
          <w:rFonts w:eastAsia="Palatino Linotype"/>
          <w:sz w:val="22"/>
          <w:szCs w:val="22"/>
          <w:lang w:val="es-ES"/>
        </w:rPr>
        <w:t>determined</w:t>
      </w:r>
      <w:proofErr w:type="spellEnd"/>
      <w:r>
        <w:rPr>
          <w:rFonts w:eastAsia="Palatino Linotype"/>
          <w:sz w:val="22"/>
          <w:szCs w:val="22"/>
          <w:lang w:val="es-ES"/>
        </w:rPr>
        <w:t xml:space="preserve"> in </w:t>
      </w:r>
      <w:proofErr w:type="spellStart"/>
      <w:r>
        <w:rPr>
          <w:rFonts w:eastAsia="Palatino Linotype"/>
          <w:sz w:val="22"/>
          <w:szCs w:val="22"/>
          <w:lang w:val="es-ES"/>
        </w:rPr>
        <w:t>the</w:t>
      </w:r>
      <w:proofErr w:type="spellEnd"/>
      <w:r>
        <w:rPr>
          <w:rFonts w:eastAsia="Palatino Linotype"/>
          <w:sz w:val="22"/>
          <w:szCs w:val="22"/>
          <w:lang w:val="es-ES"/>
        </w:rPr>
        <w:t xml:space="preserve"> Special Tender </w:t>
      </w:r>
      <w:proofErr w:type="spellStart"/>
      <w:r>
        <w:rPr>
          <w:rFonts w:eastAsia="Palatino Linotype"/>
          <w:sz w:val="22"/>
          <w:szCs w:val="22"/>
          <w:lang w:val="es-ES"/>
        </w:rPr>
        <w:t>Documents</w:t>
      </w:r>
      <w:proofErr w:type="spellEnd"/>
      <w:r>
        <w:rPr>
          <w:rFonts w:eastAsia="Palatino Linotype"/>
          <w:sz w:val="22"/>
          <w:szCs w:val="22"/>
          <w:lang w:val="es-ES"/>
        </w:rPr>
        <w:t xml:space="preserve">. </w:t>
      </w:r>
      <w:proofErr w:type="spellStart"/>
      <w:r>
        <w:rPr>
          <w:rFonts w:eastAsia="Palatino Linotype"/>
          <w:sz w:val="22"/>
          <w:szCs w:val="22"/>
          <w:lang w:val="es-ES"/>
        </w:rPr>
        <w:t>When</w:t>
      </w:r>
      <w:proofErr w:type="spellEnd"/>
      <w:r>
        <w:rPr>
          <w:rFonts w:eastAsia="Palatino Linotype"/>
          <w:sz w:val="22"/>
          <w:szCs w:val="22"/>
          <w:lang w:val="es-ES"/>
        </w:rPr>
        <w:t xml:space="preserve"> </w:t>
      </w:r>
      <w:proofErr w:type="spellStart"/>
      <w:r>
        <w:rPr>
          <w:rFonts w:eastAsia="Palatino Linotype"/>
          <w:sz w:val="22"/>
          <w:szCs w:val="22"/>
          <w:lang w:val="es-ES"/>
        </w:rPr>
        <w:t>the</w:t>
      </w:r>
      <w:proofErr w:type="spellEnd"/>
      <w:r>
        <w:rPr>
          <w:rFonts w:eastAsia="Palatino Linotype"/>
          <w:sz w:val="22"/>
          <w:szCs w:val="22"/>
          <w:lang w:val="es-ES"/>
        </w:rPr>
        <w:t xml:space="preserve"> </w:t>
      </w:r>
      <w:proofErr w:type="spellStart"/>
      <w:r>
        <w:rPr>
          <w:rFonts w:eastAsia="Palatino Linotype"/>
          <w:sz w:val="22"/>
          <w:szCs w:val="22"/>
          <w:lang w:val="es-ES"/>
        </w:rPr>
        <w:t>service</w:t>
      </w:r>
      <w:proofErr w:type="spellEnd"/>
      <w:r>
        <w:rPr>
          <w:rFonts w:eastAsia="Palatino Linotype"/>
          <w:sz w:val="22"/>
          <w:szCs w:val="22"/>
          <w:lang w:val="es-ES"/>
        </w:rPr>
        <w:t xml:space="preserve"> </w:t>
      </w:r>
      <w:proofErr w:type="spellStart"/>
      <w:r>
        <w:rPr>
          <w:rFonts w:eastAsia="Palatino Linotype"/>
          <w:sz w:val="22"/>
          <w:szCs w:val="22"/>
          <w:lang w:val="es-ES"/>
        </w:rPr>
        <w:t>includes</w:t>
      </w:r>
      <w:proofErr w:type="spellEnd"/>
      <w:r>
        <w:rPr>
          <w:rFonts w:eastAsia="Palatino Linotype"/>
          <w:sz w:val="22"/>
          <w:szCs w:val="22"/>
          <w:lang w:val="es-ES"/>
        </w:rPr>
        <w:t xml:space="preserve"> </w:t>
      </w:r>
      <w:proofErr w:type="spellStart"/>
      <w:r>
        <w:rPr>
          <w:rFonts w:eastAsia="Palatino Linotype"/>
          <w:sz w:val="22"/>
          <w:szCs w:val="22"/>
          <w:lang w:val="es-ES"/>
        </w:rPr>
        <w:t>the</w:t>
      </w:r>
      <w:proofErr w:type="spellEnd"/>
      <w:r>
        <w:rPr>
          <w:rFonts w:eastAsia="Palatino Linotype"/>
          <w:sz w:val="22"/>
          <w:szCs w:val="22"/>
          <w:lang w:val="es-ES"/>
        </w:rPr>
        <w:t xml:space="preserve"> </w:t>
      </w:r>
      <w:proofErr w:type="spellStart"/>
      <w:r>
        <w:rPr>
          <w:rFonts w:eastAsia="Palatino Linotype"/>
          <w:sz w:val="22"/>
          <w:szCs w:val="22"/>
          <w:lang w:val="es-ES"/>
        </w:rPr>
        <w:t>supply</w:t>
      </w:r>
      <w:proofErr w:type="spellEnd"/>
      <w:r>
        <w:rPr>
          <w:rFonts w:eastAsia="Palatino Linotype"/>
          <w:sz w:val="22"/>
          <w:szCs w:val="22"/>
          <w:lang w:val="es-ES"/>
        </w:rPr>
        <w:t xml:space="preserve"> </w:t>
      </w:r>
      <w:proofErr w:type="spellStart"/>
      <w:r>
        <w:rPr>
          <w:rFonts w:eastAsia="Palatino Linotype"/>
          <w:sz w:val="22"/>
          <w:szCs w:val="22"/>
          <w:lang w:val="es-ES"/>
        </w:rPr>
        <w:t>of</w:t>
      </w:r>
      <w:proofErr w:type="spellEnd"/>
      <w:r>
        <w:rPr>
          <w:rFonts w:eastAsia="Palatino Linotype"/>
          <w:sz w:val="22"/>
          <w:szCs w:val="22"/>
          <w:lang w:val="es-ES"/>
        </w:rPr>
        <w:t xml:space="preserve"> </w:t>
      </w:r>
      <w:proofErr w:type="spellStart"/>
      <w:r>
        <w:rPr>
          <w:rFonts w:eastAsia="Palatino Linotype"/>
          <w:sz w:val="22"/>
          <w:szCs w:val="22"/>
          <w:lang w:val="es-ES"/>
        </w:rPr>
        <w:t>goods</w:t>
      </w:r>
      <w:proofErr w:type="spellEnd"/>
      <w:r>
        <w:rPr>
          <w:rFonts w:eastAsia="Palatino Linotype"/>
          <w:sz w:val="22"/>
          <w:szCs w:val="22"/>
          <w:lang w:val="es-ES"/>
        </w:rPr>
        <w:t xml:space="preserve">, </w:t>
      </w:r>
      <w:proofErr w:type="spellStart"/>
      <w:r>
        <w:rPr>
          <w:rFonts w:eastAsia="Palatino Linotype"/>
          <w:sz w:val="22"/>
          <w:szCs w:val="22"/>
          <w:lang w:val="es-ES"/>
        </w:rPr>
        <w:t>the</w:t>
      </w:r>
      <w:proofErr w:type="spellEnd"/>
      <w:r>
        <w:rPr>
          <w:rFonts w:eastAsia="Palatino Linotype"/>
          <w:sz w:val="22"/>
          <w:szCs w:val="22"/>
          <w:lang w:val="es-ES"/>
        </w:rPr>
        <w:t xml:space="preserve"> </w:t>
      </w:r>
      <w:proofErr w:type="spellStart"/>
      <w:r>
        <w:rPr>
          <w:rFonts w:eastAsia="Palatino Linotype"/>
          <w:sz w:val="22"/>
          <w:szCs w:val="22"/>
          <w:lang w:val="es-ES"/>
        </w:rPr>
        <w:t>amount</w:t>
      </w:r>
      <w:proofErr w:type="spellEnd"/>
      <w:r>
        <w:rPr>
          <w:rFonts w:eastAsia="Palatino Linotype"/>
          <w:sz w:val="22"/>
          <w:szCs w:val="22"/>
          <w:lang w:val="es-ES"/>
        </w:rPr>
        <w:t xml:space="preserve"> </w:t>
      </w:r>
      <w:proofErr w:type="spellStart"/>
      <w:r>
        <w:rPr>
          <w:rFonts w:eastAsia="Palatino Linotype"/>
          <w:sz w:val="22"/>
          <w:szCs w:val="22"/>
          <w:lang w:val="es-ES"/>
        </w:rPr>
        <w:t>to</w:t>
      </w:r>
      <w:proofErr w:type="spellEnd"/>
      <w:r>
        <w:rPr>
          <w:rFonts w:eastAsia="Palatino Linotype"/>
          <w:sz w:val="22"/>
          <w:szCs w:val="22"/>
          <w:lang w:val="es-ES"/>
        </w:rPr>
        <w:t xml:space="preserve"> </w:t>
      </w:r>
      <w:proofErr w:type="spellStart"/>
      <w:r>
        <w:rPr>
          <w:rFonts w:eastAsia="Palatino Linotype"/>
          <w:sz w:val="22"/>
          <w:szCs w:val="22"/>
          <w:lang w:val="es-ES"/>
        </w:rPr>
        <w:t>which</w:t>
      </w:r>
      <w:proofErr w:type="spellEnd"/>
      <w:r>
        <w:rPr>
          <w:rFonts w:eastAsia="Palatino Linotype"/>
          <w:sz w:val="22"/>
          <w:szCs w:val="22"/>
          <w:lang w:val="es-ES"/>
        </w:rPr>
        <w:t xml:space="preserve"> </w:t>
      </w:r>
      <w:proofErr w:type="spellStart"/>
      <w:r>
        <w:rPr>
          <w:rFonts w:eastAsia="Palatino Linotype"/>
          <w:sz w:val="22"/>
          <w:szCs w:val="22"/>
          <w:lang w:val="es-ES"/>
        </w:rPr>
        <w:t>the</w:t>
      </w:r>
      <w:proofErr w:type="spellEnd"/>
      <w:r>
        <w:rPr>
          <w:rFonts w:eastAsia="Palatino Linotype"/>
          <w:sz w:val="22"/>
          <w:szCs w:val="22"/>
          <w:lang w:val="es-ES"/>
        </w:rPr>
        <w:t xml:space="preserve"> </w:t>
      </w:r>
      <w:proofErr w:type="spellStart"/>
      <w:r>
        <w:rPr>
          <w:rFonts w:eastAsia="Palatino Linotype"/>
          <w:sz w:val="22"/>
          <w:szCs w:val="22"/>
          <w:lang w:val="es-ES"/>
        </w:rPr>
        <w:t>preference</w:t>
      </w:r>
      <w:proofErr w:type="spellEnd"/>
      <w:r>
        <w:rPr>
          <w:rFonts w:eastAsia="Palatino Linotype"/>
          <w:sz w:val="22"/>
          <w:szCs w:val="22"/>
          <w:lang w:val="es-ES"/>
        </w:rPr>
        <w:t xml:space="preserve"> </w:t>
      </w:r>
      <w:proofErr w:type="spellStart"/>
      <w:r>
        <w:rPr>
          <w:rFonts w:eastAsia="Palatino Linotype"/>
          <w:sz w:val="22"/>
          <w:szCs w:val="22"/>
          <w:lang w:val="es-ES"/>
        </w:rPr>
        <w:t>margin</w:t>
      </w:r>
      <w:proofErr w:type="spellEnd"/>
      <w:r>
        <w:rPr>
          <w:rFonts w:eastAsia="Palatino Linotype"/>
          <w:sz w:val="22"/>
          <w:szCs w:val="22"/>
          <w:lang w:val="es-ES"/>
        </w:rPr>
        <w:t xml:space="preserve"> </w:t>
      </w:r>
      <w:proofErr w:type="spellStart"/>
      <w:r>
        <w:rPr>
          <w:rFonts w:eastAsia="Palatino Linotype"/>
          <w:sz w:val="22"/>
          <w:szCs w:val="22"/>
          <w:lang w:val="es-ES"/>
        </w:rPr>
        <w:t>will</w:t>
      </w:r>
      <w:proofErr w:type="spellEnd"/>
      <w:r>
        <w:rPr>
          <w:rFonts w:eastAsia="Palatino Linotype"/>
          <w:sz w:val="22"/>
          <w:szCs w:val="22"/>
          <w:lang w:val="es-ES"/>
        </w:rPr>
        <w:t xml:space="preserve"> be </w:t>
      </w:r>
      <w:proofErr w:type="spellStart"/>
      <w:r>
        <w:rPr>
          <w:rFonts w:eastAsia="Palatino Linotype"/>
          <w:sz w:val="22"/>
          <w:szCs w:val="22"/>
          <w:lang w:val="es-ES"/>
        </w:rPr>
        <w:t>applied</w:t>
      </w:r>
      <w:proofErr w:type="spellEnd"/>
      <w:r>
        <w:rPr>
          <w:rFonts w:eastAsia="Palatino Linotype"/>
          <w:sz w:val="22"/>
          <w:szCs w:val="22"/>
          <w:lang w:val="es-ES"/>
        </w:rPr>
        <w:t xml:space="preserve"> </w:t>
      </w:r>
      <w:proofErr w:type="spellStart"/>
      <w:r>
        <w:rPr>
          <w:rFonts w:eastAsia="Palatino Linotype"/>
          <w:sz w:val="22"/>
          <w:szCs w:val="22"/>
          <w:lang w:val="es-ES"/>
        </w:rPr>
        <w:t>will</w:t>
      </w:r>
      <w:proofErr w:type="spellEnd"/>
      <w:r>
        <w:rPr>
          <w:rFonts w:eastAsia="Palatino Linotype"/>
          <w:sz w:val="22"/>
          <w:szCs w:val="22"/>
          <w:lang w:val="es-ES"/>
        </w:rPr>
        <w:t xml:space="preserve"> </w:t>
      </w:r>
      <w:proofErr w:type="spellStart"/>
      <w:r>
        <w:rPr>
          <w:rFonts w:eastAsia="Palatino Linotype"/>
          <w:sz w:val="22"/>
          <w:szCs w:val="22"/>
          <w:lang w:val="es-ES"/>
        </w:rPr>
        <w:t>not</w:t>
      </w:r>
      <w:proofErr w:type="spellEnd"/>
      <w:r>
        <w:rPr>
          <w:rFonts w:eastAsia="Palatino Linotype"/>
          <w:sz w:val="22"/>
          <w:szCs w:val="22"/>
          <w:lang w:val="es-ES"/>
        </w:rPr>
        <w:t xml:space="preserve"> </w:t>
      </w:r>
      <w:proofErr w:type="spellStart"/>
      <w:r>
        <w:rPr>
          <w:rFonts w:eastAsia="Palatino Linotype"/>
          <w:sz w:val="22"/>
          <w:szCs w:val="22"/>
          <w:lang w:val="es-ES"/>
        </w:rPr>
        <w:t>include</w:t>
      </w:r>
      <w:proofErr w:type="spellEnd"/>
      <w:r>
        <w:rPr>
          <w:rFonts w:eastAsia="Palatino Linotype"/>
          <w:sz w:val="22"/>
          <w:szCs w:val="22"/>
          <w:lang w:val="es-ES"/>
        </w:rPr>
        <w:t xml:space="preserve"> </w:t>
      </w:r>
      <w:proofErr w:type="spellStart"/>
      <w:r>
        <w:rPr>
          <w:rFonts w:eastAsia="Palatino Linotype"/>
          <w:sz w:val="22"/>
          <w:szCs w:val="22"/>
          <w:lang w:val="es-ES"/>
        </w:rPr>
        <w:t>the</w:t>
      </w:r>
      <w:proofErr w:type="spellEnd"/>
      <w:r>
        <w:rPr>
          <w:rFonts w:eastAsia="Palatino Linotype"/>
          <w:sz w:val="22"/>
          <w:szCs w:val="22"/>
          <w:lang w:val="es-ES"/>
        </w:rPr>
        <w:t xml:space="preserve"> </w:t>
      </w:r>
      <w:proofErr w:type="spellStart"/>
      <w:r>
        <w:rPr>
          <w:rFonts w:eastAsia="Palatino Linotype"/>
          <w:sz w:val="22"/>
          <w:szCs w:val="22"/>
          <w:lang w:val="es-ES"/>
        </w:rPr>
        <w:t>price</w:t>
      </w:r>
      <w:proofErr w:type="spellEnd"/>
      <w:r>
        <w:rPr>
          <w:rFonts w:eastAsia="Palatino Linotype"/>
          <w:sz w:val="22"/>
          <w:szCs w:val="22"/>
          <w:lang w:val="es-ES"/>
        </w:rPr>
        <w:t xml:space="preserve"> </w:t>
      </w:r>
      <w:proofErr w:type="spellStart"/>
      <w:r>
        <w:rPr>
          <w:rFonts w:eastAsia="Palatino Linotype"/>
          <w:sz w:val="22"/>
          <w:szCs w:val="22"/>
          <w:lang w:val="es-ES"/>
        </w:rPr>
        <w:t>of</w:t>
      </w:r>
      <w:proofErr w:type="spellEnd"/>
      <w:r>
        <w:rPr>
          <w:rFonts w:eastAsia="Palatino Linotype"/>
          <w:sz w:val="22"/>
          <w:szCs w:val="22"/>
          <w:lang w:val="es-ES"/>
        </w:rPr>
        <w:t xml:space="preserve"> </w:t>
      </w:r>
      <w:proofErr w:type="spellStart"/>
      <w:r>
        <w:rPr>
          <w:rFonts w:eastAsia="Palatino Linotype"/>
          <w:sz w:val="22"/>
          <w:szCs w:val="22"/>
          <w:lang w:val="es-ES"/>
        </w:rPr>
        <w:t>those</w:t>
      </w:r>
      <w:proofErr w:type="spellEnd"/>
      <w:r>
        <w:rPr>
          <w:rFonts w:eastAsia="Palatino Linotype"/>
          <w:sz w:val="22"/>
          <w:szCs w:val="22"/>
          <w:lang w:val="es-ES"/>
        </w:rPr>
        <w:t xml:space="preserve"> </w:t>
      </w:r>
      <w:proofErr w:type="spellStart"/>
      <w:r>
        <w:rPr>
          <w:rFonts w:eastAsia="Palatino Linotype"/>
          <w:sz w:val="22"/>
          <w:szCs w:val="22"/>
          <w:lang w:val="es-ES"/>
        </w:rPr>
        <w:t>goods</w:t>
      </w:r>
      <w:proofErr w:type="spellEnd"/>
      <w:r>
        <w:rPr>
          <w:rFonts w:eastAsia="Palatino Linotype"/>
          <w:sz w:val="22"/>
          <w:szCs w:val="22"/>
          <w:lang w:val="es-ES"/>
        </w:rPr>
        <w:t xml:space="preserve"> </w:t>
      </w:r>
      <w:proofErr w:type="spellStart"/>
      <w:r>
        <w:rPr>
          <w:rFonts w:eastAsia="Palatino Linotype"/>
          <w:sz w:val="22"/>
          <w:szCs w:val="22"/>
          <w:lang w:val="es-ES"/>
        </w:rPr>
        <w:t>that</w:t>
      </w:r>
      <w:proofErr w:type="spellEnd"/>
      <w:r>
        <w:rPr>
          <w:rFonts w:eastAsia="Palatino Linotype"/>
          <w:sz w:val="22"/>
          <w:szCs w:val="22"/>
          <w:lang w:val="es-ES"/>
        </w:rPr>
        <w:t xml:space="preserve"> do </w:t>
      </w:r>
      <w:proofErr w:type="spellStart"/>
      <w:r>
        <w:rPr>
          <w:rFonts w:eastAsia="Palatino Linotype"/>
          <w:sz w:val="22"/>
          <w:szCs w:val="22"/>
          <w:lang w:val="es-ES"/>
        </w:rPr>
        <w:t>not</w:t>
      </w:r>
      <w:proofErr w:type="spellEnd"/>
      <w:r>
        <w:rPr>
          <w:rFonts w:eastAsia="Palatino Linotype"/>
          <w:sz w:val="22"/>
          <w:szCs w:val="22"/>
          <w:lang w:val="es-ES"/>
        </w:rPr>
        <w:t xml:space="preserve"> </w:t>
      </w:r>
      <w:proofErr w:type="spellStart"/>
      <w:r>
        <w:rPr>
          <w:rFonts w:eastAsia="Palatino Linotype"/>
          <w:sz w:val="22"/>
          <w:szCs w:val="22"/>
          <w:lang w:val="es-ES"/>
        </w:rPr>
        <w:t>qualify</w:t>
      </w:r>
      <w:proofErr w:type="spellEnd"/>
      <w:r>
        <w:rPr>
          <w:rFonts w:eastAsia="Palatino Linotype"/>
          <w:sz w:val="22"/>
          <w:szCs w:val="22"/>
          <w:lang w:val="es-ES"/>
        </w:rPr>
        <w:t xml:space="preserve"> as </w:t>
      </w:r>
      <w:proofErr w:type="spellStart"/>
      <w:r>
        <w:rPr>
          <w:rFonts w:eastAsia="Palatino Linotype"/>
          <w:sz w:val="22"/>
          <w:szCs w:val="22"/>
          <w:lang w:val="es-ES"/>
        </w:rPr>
        <w:t>domestic</w:t>
      </w:r>
      <w:proofErr w:type="spellEnd"/>
      <w:r>
        <w:rPr>
          <w:rFonts w:eastAsia="Palatino Linotype"/>
          <w:sz w:val="22"/>
          <w:szCs w:val="22"/>
          <w:lang w:val="es-ES"/>
        </w:rPr>
        <w:t xml:space="preserve">. For </w:t>
      </w:r>
      <w:proofErr w:type="spellStart"/>
      <w:r>
        <w:rPr>
          <w:rFonts w:eastAsia="Palatino Linotype"/>
          <w:sz w:val="22"/>
          <w:szCs w:val="22"/>
          <w:lang w:val="es-ES"/>
        </w:rPr>
        <w:t>this</w:t>
      </w:r>
      <w:proofErr w:type="spellEnd"/>
      <w:r>
        <w:rPr>
          <w:rFonts w:eastAsia="Palatino Linotype"/>
          <w:sz w:val="22"/>
          <w:szCs w:val="22"/>
          <w:lang w:val="es-ES"/>
        </w:rPr>
        <w:t xml:space="preserve"> </w:t>
      </w:r>
      <w:proofErr w:type="spellStart"/>
      <w:r>
        <w:rPr>
          <w:rFonts w:eastAsia="Palatino Linotype"/>
          <w:sz w:val="22"/>
          <w:szCs w:val="22"/>
          <w:lang w:val="es-ES"/>
        </w:rPr>
        <w:t>purpose</w:t>
      </w:r>
      <w:proofErr w:type="spellEnd"/>
      <w:r>
        <w:rPr>
          <w:rFonts w:eastAsia="Palatino Linotype"/>
          <w:sz w:val="22"/>
          <w:szCs w:val="22"/>
          <w:lang w:val="es-ES"/>
        </w:rPr>
        <w:t xml:space="preserve">, </w:t>
      </w:r>
      <w:proofErr w:type="spellStart"/>
      <w:r>
        <w:rPr>
          <w:rFonts w:eastAsia="Palatino Linotype"/>
          <w:sz w:val="22"/>
          <w:szCs w:val="22"/>
          <w:lang w:val="es-ES"/>
        </w:rPr>
        <w:t>the</w:t>
      </w:r>
      <w:proofErr w:type="spellEnd"/>
      <w:r>
        <w:rPr>
          <w:rFonts w:eastAsia="Palatino Linotype"/>
          <w:sz w:val="22"/>
          <w:szCs w:val="22"/>
          <w:lang w:val="es-ES"/>
        </w:rPr>
        <w:t xml:space="preserve"> </w:t>
      </w:r>
      <w:proofErr w:type="spellStart"/>
      <w:r>
        <w:rPr>
          <w:rFonts w:eastAsia="Palatino Linotype"/>
          <w:sz w:val="22"/>
          <w:szCs w:val="22"/>
          <w:lang w:val="es-ES"/>
        </w:rPr>
        <w:t>bidder</w:t>
      </w:r>
      <w:proofErr w:type="spellEnd"/>
      <w:r>
        <w:rPr>
          <w:rFonts w:eastAsia="Palatino Linotype"/>
          <w:sz w:val="22"/>
          <w:szCs w:val="22"/>
          <w:lang w:val="es-ES"/>
        </w:rPr>
        <w:t xml:space="preserve"> </w:t>
      </w:r>
      <w:proofErr w:type="spellStart"/>
      <w:r>
        <w:rPr>
          <w:rFonts w:eastAsia="Palatino Linotype"/>
          <w:sz w:val="22"/>
          <w:szCs w:val="22"/>
          <w:lang w:val="es-ES"/>
        </w:rPr>
        <w:t>must</w:t>
      </w:r>
      <w:proofErr w:type="spellEnd"/>
      <w:r>
        <w:rPr>
          <w:rFonts w:eastAsia="Palatino Linotype"/>
          <w:sz w:val="22"/>
          <w:szCs w:val="22"/>
          <w:lang w:val="es-ES"/>
        </w:rPr>
        <w:t xml:space="preserve"> declare </w:t>
      </w:r>
      <w:proofErr w:type="spellStart"/>
      <w:r>
        <w:rPr>
          <w:rFonts w:eastAsia="Palatino Linotype"/>
          <w:sz w:val="22"/>
          <w:szCs w:val="22"/>
          <w:lang w:val="es-ES"/>
        </w:rPr>
        <w:t>the</w:t>
      </w:r>
      <w:proofErr w:type="spellEnd"/>
      <w:r>
        <w:rPr>
          <w:rFonts w:eastAsia="Palatino Linotype"/>
          <w:sz w:val="22"/>
          <w:szCs w:val="22"/>
          <w:lang w:val="es-ES"/>
        </w:rPr>
        <w:t xml:space="preserve"> </w:t>
      </w:r>
      <w:proofErr w:type="spellStart"/>
      <w:r>
        <w:rPr>
          <w:rFonts w:eastAsia="Palatino Linotype"/>
          <w:sz w:val="22"/>
          <w:szCs w:val="22"/>
          <w:lang w:val="es-ES"/>
        </w:rPr>
        <w:t>percentage</w:t>
      </w:r>
      <w:proofErr w:type="spellEnd"/>
      <w:r>
        <w:rPr>
          <w:rFonts w:eastAsia="Palatino Linotype"/>
          <w:sz w:val="22"/>
          <w:szCs w:val="22"/>
          <w:lang w:val="es-ES"/>
        </w:rPr>
        <w:t xml:space="preserve"> </w:t>
      </w:r>
      <w:proofErr w:type="spellStart"/>
      <w:r>
        <w:rPr>
          <w:rFonts w:eastAsia="Palatino Linotype"/>
          <w:sz w:val="22"/>
          <w:szCs w:val="22"/>
          <w:lang w:val="es-ES"/>
        </w:rPr>
        <w:t>of</w:t>
      </w:r>
      <w:proofErr w:type="spellEnd"/>
      <w:r>
        <w:rPr>
          <w:rFonts w:eastAsia="Palatino Linotype"/>
          <w:sz w:val="22"/>
          <w:szCs w:val="22"/>
          <w:lang w:val="es-ES"/>
        </w:rPr>
        <w:t xml:space="preserve"> </w:t>
      </w:r>
      <w:proofErr w:type="spellStart"/>
      <w:r>
        <w:rPr>
          <w:rFonts w:eastAsia="Palatino Linotype"/>
          <w:sz w:val="22"/>
          <w:szCs w:val="22"/>
          <w:lang w:val="es-ES"/>
        </w:rPr>
        <w:t>the</w:t>
      </w:r>
      <w:proofErr w:type="spellEnd"/>
      <w:r>
        <w:rPr>
          <w:rFonts w:eastAsia="Palatino Linotype"/>
          <w:sz w:val="22"/>
          <w:szCs w:val="22"/>
          <w:lang w:val="es-ES"/>
        </w:rPr>
        <w:t xml:space="preserve"> </w:t>
      </w:r>
      <w:proofErr w:type="spellStart"/>
      <w:r>
        <w:rPr>
          <w:rFonts w:eastAsia="Palatino Linotype"/>
          <w:sz w:val="22"/>
          <w:szCs w:val="22"/>
          <w:lang w:val="es-ES"/>
        </w:rPr>
        <w:t>service</w:t>
      </w:r>
      <w:proofErr w:type="spellEnd"/>
      <w:r>
        <w:rPr>
          <w:rFonts w:eastAsia="Palatino Linotype"/>
          <w:sz w:val="22"/>
          <w:szCs w:val="22"/>
          <w:lang w:val="es-ES"/>
        </w:rPr>
        <w:t xml:space="preserve"> </w:t>
      </w:r>
      <w:proofErr w:type="spellStart"/>
      <w:r>
        <w:rPr>
          <w:rFonts w:eastAsia="Palatino Linotype"/>
          <w:sz w:val="22"/>
          <w:szCs w:val="22"/>
          <w:lang w:val="es-ES"/>
        </w:rPr>
        <w:t>price</w:t>
      </w:r>
      <w:proofErr w:type="spellEnd"/>
      <w:r>
        <w:rPr>
          <w:rFonts w:eastAsia="Palatino Linotype"/>
          <w:sz w:val="22"/>
          <w:szCs w:val="22"/>
          <w:lang w:val="es-ES"/>
        </w:rPr>
        <w:t xml:space="preserve"> </w:t>
      </w:r>
      <w:proofErr w:type="spellStart"/>
      <w:r>
        <w:rPr>
          <w:rFonts w:eastAsia="Palatino Linotype"/>
          <w:sz w:val="22"/>
          <w:szCs w:val="22"/>
          <w:lang w:val="es-ES"/>
        </w:rPr>
        <w:t>corresponding</w:t>
      </w:r>
      <w:proofErr w:type="spellEnd"/>
      <w:r>
        <w:rPr>
          <w:rFonts w:eastAsia="Palatino Linotype"/>
          <w:sz w:val="22"/>
          <w:szCs w:val="22"/>
          <w:lang w:val="es-ES"/>
        </w:rPr>
        <w:t xml:space="preserve"> </w:t>
      </w:r>
      <w:proofErr w:type="spellStart"/>
      <w:r>
        <w:rPr>
          <w:rFonts w:eastAsia="Palatino Linotype"/>
          <w:sz w:val="22"/>
          <w:szCs w:val="22"/>
          <w:lang w:val="es-ES"/>
        </w:rPr>
        <w:t>to</w:t>
      </w:r>
      <w:proofErr w:type="spellEnd"/>
      <w:r>
        <w:rPr>
          <w:rFonts w:eastAsia="Palatino Linotype"/>
          <w:sz w:val="22"/>
          <w:szCs w:val="22"/>
          <w:lang w:val="es-ES"/>
        </w:rPr>
        <w:t xml:space="preserve"> </w:t>
      </w:r>
      <w:proofErr w:type="spellStart"/>
      <w:r>
        <w:rPr>
          <w:rFonts w:eastAsia="Palatino Linotype"/>
          <w:sz w:val="22"/>
          <w:szCs w:val="22"/>
          <w:lang w:val="es-ES"/>
        </w:rPr>
        <w:t>goods</w:t>
      </w:r>
      <w:proofErr w:type="spellEnd"/>
      <w:r>
        <w:rPr>
          <w:rFonts w:eastAsia="Palatino Linotype"/>
          <w:sz w:val="22"/>
          <w:szCs w:val="22"/>
          <w:lang w:val="es-ES"/>
        </w:rPr>
        <w:t xml:space="preserve"> </w:t>
      </w:r>
      <w:proofErr w:type="spellStart"/>
      <w:r>
        <w:rPr>
          <w:rFonts w:eastAsia="Palatino Linotype"/>
          <w:sz w:val="22"/>
          <w:szCs w:val="22"/>
          <w:lang w:val="es-ES"/>
        </w:rPr>
        <w:t>that</w:t>
      </w:r>
      <w:proofErr w:type="spellEnd"/>
      <w:r>
        <w:rPr>
          <w:rFonts w:eastAsia="Palatino Linotype"/>
          <w:sz w:val="22"/>
          <w:szCs w:val="22"/>
          <w:lang w:val="es-ES"/>
        </w:rPr>
        <w:t xml:space="preserve"> do </w:t>
      </w:r>
      <w:proofErr w:type="spellStart"/>
      <w:r>
        <w:rPr>
          <w:rFonts w:eastAsia="Palatino Linotype"/>
          <w:sz w:val="22"/>
          <w:szCs w:val="22"/>
          <w:lang w:val="es-ES"/>
        </w:rPr>
        <w:t>not</w:t>
      </w:r>
      <w:proofErr w:type="spellEnd"/>
      <w:r>
        <w:rPr>
          <w:rFonts w:eastAsia="Palatino Linotype"/>
          <w:sz w:val="22"/>
          <w:szCs w:val="22"/>
          <w:lang w:val="es-ES"/>
        </w:rPr>
        <w:t xml:space="preserve"> </w:t>
      </w:r>
      <w:proofErr w:type="spellStart"/>
      <w:r>
        <w:rPr>
          <w:rFonts w:eastAsia="Palatino Linotype"/>
          <w:sz w:val="22"/>
          <w:szCs w:val="22"/>
          <w:lang w:val="es-ES"/>
        </w:rPr>
        <w:t>qualify</w:t>
      </w:r>
      <w:proofErr w:type="spellEnd"/>
      <w:r>
        <w:rPr>
          <w:rFonts w:eastAsia="Palatino Linotype"/>
          <w:sz w:val="22"/>
          <w:szCs w:val="22"/>
          <w:lang w:val="es-ES"/>
        </w:rPr>
        <w:t xml:space="preserve"> as </w:t>
      </w:r>
      <w:proofErr w:type="spellStart"/>
      <w:r>
        <w:rPr>
          <w:rFonts w:eastAsia="Palatino Linotype"/>
          <w:sz w:val="22"/>
          <w:szCs w:val="22"/>
          <w:lang w:val="es-ES"/>
        </w:rPr>
        <w:t>domestic</w:t>
      </w:r>
      <w:proofErr w:type="spellEnd"/>
      <w:r>
        <w:rPr>
          <w:rFonts w:eastAsia="Palatino Linotype"/>
          <w:sz w:val="22"/>
          <w:szCs w:val="22"/>
          <w:lang w:val="es-ES"/>
        </w:rPr>
        <w:t xml:space="preserve"> (</w:t>
      </w:r>
      <w:proofErr w:type="spellStart"/>
      <w:r>
        <w:rPr>
          <w:rFonts w:eastAsia="Palatino Linotype"/>
          <w:sz w:val="22"/>
          <w:szCs w:val="22"/>
          <w:lang w:val="es-ES"/>
        </w:rPr>
        <w:t>Annex</w:t>
      </w:r>
      <w:proofErr w:type="spellEnd"/>
      <w:r>
        <w:rPr>
          <w:rFonts w:eastAsia="Palatino Linotype"/>
          <w:sz w:val="22"/>
          <w:szCs w:val="22"/>
          <w:lang w:val="es-ES"/>
        </w:rPr>
        <w:t xml:space="preserve"> II).</w:t>
      </w:r>
    </w:p>
    <w:p w14:paraId="0407821C" w14:textId="77777777" w:rsidR="00E255F4" w:rsidRDefault="00E255F4">
      <w:pPr>
        <w:ind w:right="-142"/>
        <w:jc w:val="both"/>
        <w:rPr>
          <w:rFonts w:eastAsia="Palatino Linotype"/>
          <w:sz w:val="22"/>
          <w:szCs w:val="22"/>
          <w:lang w:val="es-ES"/>
        </w:rPr>
      </w:pPr>
    </w:p>
    <w:p w14:paraId="2F173108" w14:textId="77777777" w:rsidR="00E255F4" w:rsidRDefault="00000000">
      <w:pPr>
        <w:ind w:right="-142"/>
        <w:jc w:val="both"/>
        <w:rPr>
          <w:rFonts w:eastAsia="Palatino Linotype"/>
          <w:sz w:val="22"/>
          <w:szCs w:val="22"/>
          <w:lang w:val="es-ES"/>
        </w:rPr>
      </w:pPr>
      <w:r>
        <w:rPr>
          <w:rFonts w:eastAsia="Palatino Linotype"/>
          <w:sz w:val="22"/>
          <w:szCs w:val="22"/>
          <w:lang w:val="es-ES"/>
        </w:rPr>
        <w:t xml:space="preserve">In </w:t>
      </w:r>
      <w:proofErr w:type="spellStart"/>
      <w:r>
        <w:rPr>
          <w:rFonts w:eastAsia="Palatino Linotype"/>
          <w:sz w:val="22"/>
          <w:szCs w:val="22"/>
          <w:lang w:val="es-ES"/>
        </w:rPr>
        <w:t>the</w:t>
      </w:r>
      <w:proofErr w:type="spellEnd"/>
      <w:r>
        <w:rPr>
          <w:rFonts w:eastAsia="Palatino Linotype"/>
          <w:sz w:val="22"/>
          <w:szCs w:val="22"/>
          <w:lang w:val="es-ES"/>
        </w:rPr>
        <w:t xml:space="preserve"> </w:t>
      </w:r>
      <w:proofErr w:type="spellStart"/>
      <w:r>
        <w:rPr>
          <w:rFonts w:eastAsia="Palatino Linotype"/>
          <w:sz w:val="22"/>
          <w:szCs w:val="22"/>
          <w:lang w:val="es-ES"/>
        </w:rPr>
        <w:t>event</w:t>
      </w:r>
      <w:proofErr w:type="spellEnd"/>
      <w:r>
        <w:rPr>
          <w:rFonts w:eastAsia="Palatino Linotype"/>
          <w:sz w:val="22"/>
          <w:szCs w:val="22"/>
          <w:lang w:val="es-ES"/>
        </w:rPr>
        <w:t xml:space="preserve"> </w:t>
      </w:r>
      <w:proofErr w:type="spellStart"/>
      <w:r>
        <w:rPr>
          <w:rFonts w:eastAsia="Palatino Linotype"/>
          <w:sz w:val="22"/>
          <w:szCs w:val="22"/>
          <w:lang w:val="es-ES"/>
        </w:rPr>
        <w:t>of</w:t>
      </w:r>
      <w:proofErr w:type="spellEnd"/>
      <w:r>
        <w:rPr>
          <w:rFonts w:eastAsia="Palatino Linotype"/>
          <w:sz w:val="22"/>
          <w:szCs w:val="22"/>
          <w:lang w:val="es-ES"/>
        </w:rPr>
        <w:t xml:space="preserve"> non-</w:t>
      </w:r>
      <w:proofErr w:type="spellStart"/>
      <w:r>
        <w:rPr>
          <w:rFonts w:eastAsia="Palatino Linotype"/>
          <w:sz w:val="22"/>
          <w:szCs w:val="22"/>
          <w:lang w:val="es-ES"/>
        </w:rPr>
        <w:t>declaration</w:t>
      </w:r>
      <w:proofErr w:type="spellEnd"/>
      <w:r>
        <w:rPr>
          <w:rFonts w:eastAsia="Palatino Linotype"/>
          <w:sz w:val="22"/>
          <w:szCs w:val="22"/>
          <w:lang w:val="es-ES"/>
        </w:rPr>
        <w:t xml:space="preserve"> </w:t>
      </w:r>
      <w:proofErr w:type="spellStart"/>
      <w:r>
        <w:rPr>
          <w:rFonts w:eastAsia="Palatino Linotype"/>
          <w:sz w:val="22"/>
          <w:szCs w:val="22"/>
          <w:lang w:val="es-ES"/>
        </w:rPr>
        <w:t>of</w:t>
      </w:r>
      <w:proofErr w:type="spellEnd"/>
      <w:r>
        <w:rPr>
          <w:rFonts w:eastAsia="Palatino Linotype"/>
          <w:sz w:val="22"/>
          <w:szCs w:val="22"/>
          <w:lang w:val="es-ES"/>
        </w:rPr>
        <w:t xml:space="preserve"> </w:t>
      </w:r>
      <w:proofErr w:type="spellStart"/>
      <w:r>
        <w:rPr>
          <w:rFonts w:eastAsia="Palatino Linotype"/>
          <w:sz w:val="22"/>
          <w:szCs w:val="22"/>
          <w:lang w:val="es-ES"/>
        </w:rPr>
        <w:t>the</w:t>
      </w:r>
      <w:proofErr w:type="spellEnd"/>
      <w:r>
        <w:rPr>
          <w:rFonts w:eastAsia="Palatino Linotype"/>
          <w:sz w:val="22"/>
          <w:szCs w:val="22"/>
          <w:lang w:val="es-ES"/>
        </w:rPr>
        <w:t xml:space="preserve"> </w:t>
      </w:r>
      <w:proofErr w:type="spellStart"/>
      <w:r>
        <w:rPr>
          <w:rFonts w:eastAsia="Palatino Linotype"/>
          <w:sz w:val="22"/>
          <w:szCs w:val="22"/>
          <w:lang w:val="es-ES"/>
        </w:rPr>
        <w:t>aforementioned</w:t>
      </w:r>
      <w:proofErr w:type="spellEnd"/>
      <w:r>
        <w:rPr>
          <w:rFonts w:eastAsia="Palatino Linotype"/>
          <w:sz w:val="22"/>
          <w:szCs w:val="22"/>
          <w:lang w:val="es-ES"/>
        </w:rPr>
        <w:t xml:space="preserve"> </w:t>
      </w:r>
      <w:proofErr w:type="spellStart"/>
      <w:r>
        <w:rPr>
          <w:rFonts w:eastAsia="Palatino Linotype"/>
          <w:sz w:val="22"/>
          <w:szCs w:val="22"/>
          <w:lang w:val="es-ES"/>
        </w:rPr>
        <w:t>percentage</w:t>
      </w:r>
      <w:proofErr w:type="spellEnd"/>
      <w:r>
        <w:rPr>
          <w:rFonts w:eastAsia="Palatino Linotype"/>
          <w:sz w:val="22"/>
          <w:szCs w:val="22"/>
          <w:lang w:val="es-ES"/>
        </w:rPr>
        <w:t xml:space="preserve">, </w:t>
      </w:r>
      <w:proofErr w:type="spellStart"/>
      <w:r>
        <w:rPr>
          <w:rFonts w:eastAsia="Palatino Linotype"/>
          <w:sz w:val="22"/>
          <w:szCs w:val="22"/>
          <w:lang w:val="es-ES"/>
        </w:rPr>
        <w:t>the</w:t>
      </w:r>
      <w:proofErr w:type="spellEnd"/>
      <w:r>
        <w:rPr>
          <w:rFonts w:eastAsia="Palatino Linotype"/>
          <w:sz w:val="22"/>
          <w:szCs w:val="22"/>
          <w:lang w:val="es-ES"/>
        </w:rPr>
        <w:t xml:space="preserve"> </w:t>
      </w:r>
      <w:proofErr w:type="spellStart"/>
      <w:r>
        <w:rPr>
          <w:rFonts w:eastAsia="Palatino Linotype"/>
          <w:sz w:val="22"/>
          <w:szCs w:val="22"/>
          <w:lang w:val="es-ES"/>
        </w:rPr>
        <w:t>present</w:t>
      </w:r>
      <w:proofErr w:type="spellEnd"/>
      <w:r>
        <w:rPr>
          <w:rFonts w:eastAsia="Palatino Linotype"/>
          <w:sz w:val="22"/>
          <w:szCs w:val="22"/>
          <w:lang w:val="es-ES"/>
        </w:rPr>
        <w:t xml:space="preserve"> </w:t>
      </w:r>
      <w:proofErr w:type="spellStart"/>
      <w:r>
        <w:rPr>
          <w:rFonts w:eastAsia="Palatino Linotype"/>
          <w:sz w:val="22"/>
          <w:szCs w:val="22"/>
          <w:lang w:val="es-ES"/>
        </w:rPr>
        <w:t>benefit</w:t>
      </w:r>
      <w:proofErr w:type="spellEnd"/>
      <w:r>
        <w:rPr>
          <w:rFonts w:eastAsia="Palatino Linotype"/>
          <w:sz w:val="22"/>
          <w:szCs w:val="22"/>
          <w:lang w:val="es-ES"/>
        </w:rPr>
        <w:t xml:space="preserve"> </w:t>
      </w:r>
      <w:proofErr w:type="spellStart"/>
      <w:r>
        <w:rPr>
          <w:rFonts w:eastAsia="Palatino Linotype"/>
          <w:sz w:val="22"/>
          <w:szCs w:val="22"/>
          <w:lang w:val="es-ES"/>
        </w:rPr>
        <w:t>will</w:t>
      </w:r>
      <w:proofErr w:type="spellEnd"/>
      <w:r>
        <w:rPr>
          <w:rFonts w:eastAsia="Palatino Linotype"/>
          <w:sz w:val="22"/>
          <w:szCs w:val="22"/>
          <w:lang w:val="es-ES"/>
        </w:rPr>
        <w:t xml:space="preserve"> </w:t>
      </w:r>
      <w:proofErr w:type="spellStart"/>
      <w:r>
        <w:rPr>
          <w:rFonts w:eastAsia="Palatino Linotype"/>
          <w:sz w:val="22"/>
          <w:szCs w:val="22"/>
          <w:lang w:val="es-ES"/>
        </w:rPr>
        <w:t>not</w:t>
      </w:r>
      <w:proofErr w:type="spellEnd"/>
      <w:r>
        <w:rPr>
          <w:rFonts w:eastAsia="Palatino Linotype"/>
          <w:sz w:val="22"/>
          <w:szCs w:val="22"/>
          <w:lang w:val="es-ES"/>
        </w:rPr>
        <w:t xml:space="preserve"> be </w:t>
      </w:r>
      <w:proofErr w:type="spellStart"/>
      <w:r>
        <w:rPr>
          <w:rFonts w:eastAsia="Palatino Linotype"/>
          <w:sz w:val="22"/>
          <w:szCs w:val="22"/>
          <w:lang w:val="es-ES"/>
        </w:rPr>
        <w:t>applicable</w:t>
      </w:r>
      <w:proofErr w:type="spellEnd"/>
      <w:r>
        <w:rPr>
          <w:rFonts w:eastAsia="Palatino Linotype"/>
          <w:sz w:val="22"/>
          <w:szCs w:val="22"/>
          <w:lang w:val="es-ES"/>
        </w:rPr>
        <w:t>.</w:t>
      </w:r>
    </w:p>
    <w:p w14:paraId="27C0D6FA" w14:textId="77777777" w:rsidR="00E255F4" w:rsidRDefault="00E255F4">
      <w:pPr>
        <w:ind w:right="-142"/>
        <w:jc w:val="both"/>
        <w:rPr>
          <w:rFonts w:eastAsia="Palatino Linotype"/>
          <w:sz w:val="22"/>
          <w:szCs w:val="22"/>
          <w:lang w:val="es-ES"/>
        </w:rPr>
      </w:pPr>
    </w:p>
    <w:p w14:paraId="2C03EAD8" w14:textId="77777777" w:rsidR="00E255F4" w:rsidRDefault="00000000">
      <w:pPr>
        <w:ind w:right="-142"/>
        <w:jc w:val="both"/>
        <w:rPr>
          <w:rFonts w:eastAsia="Palatino Linotype"/>
          <w:b/>
          <w:i/>
          <w:sz w:val="22"/>
          <w:szCs w:val="22"/>
          <w:lang w:val="es-ES"/>
        </w:rPr>
      </w:pPr>
      <w:proofErr w:type="spellStart"/>
      <w:r>
        <w:rPr>
          <w:rFonts w:eastAsia="Palatino Linotype"/>
          <w:b/>
          <w:i/>
          <w:sz w:val="22"/>
          <w:szCs w:val="22"/>
          <w:lang w:val="es-ES"/>
        </w:rPr>
        <w:t>Calculation</w:t>
      </w:r>
      <w:proofErr w:type="spellEnd"/>
      <w:r>
        <w:rPr>
          <w:rFonts w:eastAsia="Palatino Linotype"/>
          <w:b/>
          <w:i/>
          <w:sz w:val="22"/>
          <w:szCs w:val="22"/>
          <w:lang w:val="es-ES"/>
        </w:rPr>
        <w:t xml:space="preserve"> formulas</w:t>
      </w:r>
    </w:p>
    <w:p w14:paraId="2D5538E3" w14:textId="77777777" w:rsidR="00E255F4" w:rsidRDefault="00E255F4">
      <w:pPr>
        <w:ind w:right="-142"/>
        <w:jc w:val="both"/>
        <w:rPr>
          <w:rFonts w:eastAsia="Palatino Linotype"/>
          <w:b/>
          <w:i/>
          <w:spacing w:val="5"/>
          <w:sz w:val="22"/>
          <w:szCs w:val="22"/>
          <w:lang w:val="es-ES"/>
        </w:rPr>
      </w:pPr>
    </w:p>
    <w:p w14:paraId="39741CD4" w14:textId="77777777" w:rsidR="00E255F4" w:rsidRDefault="00000000">
      <w:pPr>
        <w:ind w:right="-142"/>
        <w:jc w:val="both"/>
        <w:rPr>
          <w:rFonts w:eastAsia="Palatino Linotype"/>
          <w:sz w:val="22"/>
          <w:szCs w:val="22"/>
          <w:lang w:val="es-ES"/>
        </w:rPr>
      </w:pPr>
      <w:proofErr w:type="spellStart"/>
      <w:r>
        <w:rPr>
          <w:rFonts w:eastAsia="Palatino Linotype"/>
          <w:spacing w:val="5"/>
          <w:sz w:val="22"/>
          <w:szCs w:val="22"/>
          <w:lang w:val="es-ES"/>
        </w:rPr>
        <w:t>It</w:t>
      </w:r>
      <w:r>
        <w:rPr>
          <w:rFonts w:eastAsia="Palatino Linotype"/>
          <w:sz w:val="22"/>
          <w:szCs w:val="22"/>
          <w:lang w:val="es-ES"/>
        </w:rPr>
        <w:t>Comparative</w:t>
      </w:r>
      <w:proofErr w:type="spellEnd"/>
      <w:r>
        <w:rPr>
          <w:rFonts w:eastAsia="Palatino Linotype"/>
          <w:sz w:val="22"/>
          <w:szCs w:val="22"/>
          <w:lang w:val="es-ES"/>
        </w:rPr>
        <w:t xml:space="preserve"> </w:t>
      </w:r>
      <w:proofErr w:type="spellStart"/>
      <w:r>
        <w:rPr>
          <w:rFonts w:eastAsia="Palatino Linotype"/>
          <w:sz w:val="22"/>
          <w:szCs w:val="22"/>
          <w:lang w:val="es-ES"/>
        </w:rPr>
        <w:t>prices</w:t>
      </w:r>
      <w:proofErr w:type="spellEnd"/>
      <w:r>
        <w:rPr>
          <w:rFonts w:eastAsia="Palatino Linotype"/>
          <w:sz w:val="22"/>
          <w:szCs w:val="22"/>
          <w:lang w:val="es-ES"/>
        </w:rPr>
        <w:t xml:space="preserve"> </w:t>
      </w:r>
      <w:proofErr w:type="spellStart"/>
      <w:r>
        <w:rPr>
          <w:rFonts w:eastAsia="Palatino Linotype"/>
          <w:sz w:val="22"/>
          <w:szCs w:val="22"/>
          <w:lang w:val="es-ES"/>
        </w:rPr>
        <w:t>of</w:t>
      </w:r>
      <w:proofErr w:type="spellEnd"/>
      <w:r>
        <w:rPr>
          <w:rFonts w:eastAsia="Palatino Linotype"/>
          <w:sz w:val="22"/>
          <w:szCs w:val="22"/>
          <w:lang w:val="es-ES"/>
        </w:rPr>
        <w:t xml:space="preserve"> </w:t>
      </w:r>
      <w:proofErr w:type="spellStart"/>
      <w:r>
        <w:rPr>
          <w:rFonts w:eastAsia="Palatino Linotype"/>
          <w:sz w:val="22"/>
          <w:szCs w:val="22"/>
          <w:lang w:val="es-ES"/>
        </w:rPr>
        <w:t>products</w:t>
      </w:r>
      <w:proofErr w:type="spellEnd"/>
      <w:r>
        <w:rPr>
          <w:rFonts w:eastAsia="Palatino Linotype"/>
          <w:sz w:val="22"/>
          <w:szCs w:val="22"/>
          <w:lang w:val="es-ES"/>
        </w:rPr>
        <w:t xml:space="preserve"> and </w:t>
      </w:r>
      <w:proofErr w:type="spellStart"/>
      <w:r>
        <w:rPr>
          <w:rFonts w:eastAsia="Palatino Linotype"/>
          <w:sz w:val="22"/>
          <w:szCs w:val="22"/>
          <w:lang w:val="es-ES"/>
        </w:rPr>
        <w:t>services</w:t>
      </w:r>
      <w:proofErr w:type="spellEnd"/>
      <w:r>
        <w:rPr>
          <w:rFonts w:eastAsia="Palatino Linotype"/>
          <w:sz w:val="22"/>
          <w:szCs w:val="22"/>
          <w:lang w:val="es-ES"/>
        </w:rPr>
        <w:t xml:space="preserve"> </w:t>
      </w:r>
      <w:proofErr w:type="spellStart"/>
      <w:r>
        <w:rPr>
          <w:rFonts w:eastAsia="Palatino Linotype"/>
          <w:sz w:val="22"/>
          <w:szCs w:val="22"/>
          <w:lang w:val="es-ES"/>
        </w:rPr>
        <w:t>that</w:t>
      </w:r>
      <w:proofErr w:type="spellEnd"/>
      <w:r>
        <w:rPr>
          <w:rFonts w:eastAsia="Palatino Linotype"/>
          <w:sz w:val="22"/>
          <w:szCs w:val="22"/>
          <w:lang w:val="es-ES"/>
        </w:rPr>
        <w:t xml:space="preserve"> </w:t>
      </w:r>
      <w:proofErr w:type="spellStart"/>
      <w:r>
        <w:rPr>
          <w:rFonts w:eastAsia="Palatino Linotype"/>
          <w:sz w:val="22"/>
          <w:szCs w:val="22"/>
          <w:lang w:val="es-ES"/>
        </w:rPr>
        <w:t>qualify</w:t>
      </w:r>
      <w:proofErr w:type="spellEnd"/>
      <w:r>
        <w:rPr>
          <w:rFonts w:eastAsia="Palatino Linotype"/>
          <w:sz w:val="22"/>
          <w:szCs w:val="22"/>
          <w:lang w:val="es-ES"/>
        </w:rPr>
        <w:t xml:space="preserve"> as </w:t>
      </w:r>
      <w:proofErr w:type="spellStart"/>
      <w:r>
        <w:rPr>
          <w:rFonts w:eastAsia="Palatino Linotype"/>
          <w:sz w:val="22"/>
          <w:szCs w:val="22"/>
          <w:lang w:val="es-ES"/>
        </w:rPr>
        <w:t>national</w:t>
      </w:r>
      <w:proofErr w:type="spellEnd"/>
      <w:r>
        <w:rPr>
          <w:rFonts w:eastAsia="Palatino Linotype"/>
          <w:sz w:val="22"/>
          <w:szCs w:val="22"/>
          <w:lang w:val="es-ES"/>
        </w:rPr>
        <w:t xml:space="preserve"> and </w:t>
      </w:r>
      <w:proofErr w:type="spellStart"/>
      <w:r>
        <w:rPr>
          <w:rFonts w:eastAsia="Palatino Linotype"/>
          <w:sz w:val="22"/>
          <w:szCs w:val="22"/>
          <w:lang w:val="es-ES"/>
        </w:rPr>
        <w:t>those</w:t>
      </w:r>
      <w:proofErr w:type="spellEnd"/>
      <w:r>
        <w:rPr>
          <w:rFonts w:eastAsia="Palatino Linotype"/>
          <w:sz w:val="22"/>
          <w:szCs w:val="22"/>
          <w:lang w:val="es-ES"/>
        </w:rPr>
        <w:t xml:space="preserve"> </w:t>
      </w:r>
      <w:proofErr w:type="spellStart"/>
      <w:r>
        <w:rPr>
          <w:rFonts w:eastAsia="Palatino Linotype"/>
          <w:sz w:val="22"/>
          <w:szCs w:val="22"/>
          <w:lang w:val="es-ES"/>
        </w:rPr>
        <w:t>that</w:t>
      </w:r>
      <w:proofErr w:type="spellEnd"/>
      <w:r>
        <w:rPr>
          <w:rFonts w:eastAsia="Palatino Linotype"/>
          <w:sz w:val="22"/>
          <w:szCs w:val="22"/>
          <w:lang w:val="es-ES"/>
        </w:rPr>
        <w:t xml:space="preserve"> do </w:t>
      </w:r>
      <w:proofErr w:type="spellStart"/>
      <w:r>
        <w:rPr>
          <w:rFonts w:eastAsia="Palatino Linotype"/>
          <w:sz w:val="22"/>
          <w:szCs w:val="22"/>
          <w:lang w:val="es-ES"/>
        </w:rPr>
        <w:t>not</w:t>
      </w:r>
      <w:proofErr w:type="spellEnd"/>
      <w:r>
        <w:rPr>
          <w:rFonts w:eastAsia="Palatino Linotype"/>
          <w:sz w:val="22"/>
          <w:szCs w:val="22"/>
          <w:lang w:val="es-ES"/>
        </w:rPr>
        <w:t xml:space="preserve"> </w:t>
      </w:r>
      <w:proofErr w:type="spellStart"/>
      <w:r>
        <w:rPr>
          <w:rFonts w:eastAsia="Palatino Linotype"/>
          <w:sz w:val="22"/>
          <w:szCs w:val="22"/>
          <w:lang w:val="es-ES"/>
        </w:rPr>
        <w:t>qualify</w:t>
      </w:r>
      <w:proofErr w:type="spellEnd"/>
      <w:r>
        <w:rPr>
          <w:rFonts w:eastAsia="Palatino Linotype"/>
          <w:sz w:val="22"/>
          <w:szCs w:val="22"/>
          <w:lang w:val="es-ES"/>
        </w:rPr>
        <w:t xml:space="preserve"> as </w:t>
      </w:r>
      <w:proofErr w:type="spellStart"/>
      <w:r>
        <w:rPr>
          <w:rFonts w:eastAsia="Palatino Linotype"/>
          <w:sz w:val="22"/>
          <w:szCs w:val="22"/>
          <w:lang w:val="es-ES"/>
        </w:rPr>
        <w:t>such</w:t>
      </w:r>
      <w:proofErr w:type="spellEnd"/>
      <w:r>
        <w:rPr>
          <w:rFonts w:eastAsia="Palatino Linotype"/>
          <w:sz w:val="22"/>
          <w:szCs w:val="22"/>
          <w:lang w:val="es-ES"/>
        </w:rPr>
        <w:t xml:space="preserve"> </w:t>
      </w:r>
      <w:proofErr w:type="spellStart"/>
      <w:r>
        <w:rPr>
          <w:rFonts w:eastAsia="Palatino Linotype"/>
          <w:sz w:val="22"/>
          <w:szCs w:val="22"/>
          <w:lang w:val="es-ES"/>
        </w:rPr>
        <w:t>will</w:t>
      </w:r>
      <w:proofErr w:type="spellEnd"/>
      <w:r>
        <w:rPr>
          <w:rFonts w:eastAsia="Palatino Linotype"/>
          <w:sz w:val="22"/>
          <w:szCs w:val="22"/>
          <w:lang w:val="es-ES"/>
        </w:rPr>
        <w:t xml:space="preserve"> be </w:t>
      </w:r>
      <w:proofErr w:type="spellStart"/>
      <w:r>
        <w:rPr>
          <w:rFonts w:eastAsia="Palatino Linotype"/>
          <w:sz w:val="22"/>
          <w:szCs w:val="22"/>
          <w:lang w:val="es-ES"/>
        </w:rPr>
        <w:t>evaluated</w:t>
      </w:r>
      <w:proofErr w:type="spellEnd"/>
      <w:r>
        <w:rPr>
          <w:rFonts w:eastAsia="Palatino Linotype"/>
          <w:sz w:val="22"/>
          <w:szCs w:val="22"/>
          <w:lang w:val="es-ES"/>
        </w:rPr>
        <w:t xml:space="preserve"> </w:t>
      </w:r>
      <w:proofErr w:type="spellStart"/>
      <w:r>
        <w:rPr>
          <w:rFonts w:eastAsia="Palatino Linotype"/>
          <w:sz w:val="22"/>
          <w:szCs w:val="22"/>
          <w:lang w:val="es-ES"/>
        </w:rPr>
        <w:t>according</w:t>
      </w:r>
      <w:proofErr w:type="spellEnd"/>
      <w:r>
        <w:rPr>
          <w:rFonts w:eastAsia="Palatino Linotype"/>
          <w:sz w:val="22"/>
          <w:szCs w:val="22"/>
          <w:lang w:val="es-ES"/>
        </w:rPr>
        <w:t xml:space="preserve"> </w:t>
      </w:r>
      <w:proofErr w:type="spellStart"/>
      <w:r>
        <w:rPr>
          <w:rFonts w:eastAsia="Palatino Linotype"/>
          <w:sz w:val="22"/>
          <w:szCs w:val="22"/>
          <w:lang w:val="es-ES"/>
        </w:rPr>
        <w:t>to</w:t>
      </w:r>
      <w:proofErr w:type="spellEnd"/>
      <w:r>
        <w:rPr>
          <w:rFonts w:eastAsia="Palatino Linotype"/>
          <w:sz w:val="22"/>
          <w:szCs w:val="22"/>
          <w:lang w:val="es-ES"/>
        </w:rPr>
        <w:t xml:space="preserve"> </w:t>
      </w:r>
      <w:proofErr w:type="spellStart"/>
      <w:r>
        <w:rPr>
          <w:rFonts w:eastAsia="Palatino Linotype"/>
          <w:sz w:val="22"/>
          <w:szCs w:val="22"/>
          <w:lang w:val="es-ES"/>
        </w:rPr>
        <w:t>the</w:t>
      </w:r>
      <w:proofErr w:type="spellEnd"/>
      <w:r>
        <w:rPr>
          <w:rFonts w:eastAsia="Palatino Linotype"/>
          <w:sz w:val="22"/>
          <w:szCs w:val="22"/>
          <w:lang w:val="es-ES"/>
        </w:rPr>
        <w:t xml:space="preserve"> </w:t>
      </w:r>
      <w:proofErr w:type="spellStart"/>
      <w:r>
        <w:rPr>
          <w:rFonts w:eastAsia="Palatino Linotype"/>
          <w:sz w:val="22"/>
          <w:szCs w:val="22"/>
          <w:lang w:val="es-ES"/>
        </w:rPr>
        <w:t>following</w:t>
      </w:r>
      <w:proofErr w:type="spellEnd"/>
      <w:r>
        <w:rPr>
          <w:rFonts w:eastAsia="Palatino Linotype"/>
          <w:sz w:val="22"/>
          <w:szCs w:val="22"/>
          <w:lang w:val="es-ES"/>
        </w:rPr>
        <w:t xml:space="preserve"> formulas, </w:t>
      </w:r>
      <w:proofErr w:type="spellStart"/>
      <w:r>
        <w:rPr>
          <w:rFonts w:eastAsia="Palatino Linotype"/>
          <w:sz w:val="22"/>
          <w:szCs w:val="22"/>
          <w:lang w:val="es-ES"/>
        </w:rPr>
        <w:t>without</w:t>
      </w:r>
      <w:proofErr w:type="spellEnd"/>
      <w:r>
        <w:rPr>
          <w:rFonts w:eastAsia="Palatino Linotype"/>
          <w:sz w:val="22"/>
          <w:szCs w:val="22"/>
          <w:lang w:val="es-ES"/>
        </w:rPr>
        <w:t xml:space="preserve"> </w:t>
      </w:r>
      <w:proofErr w:type="spellStart"/>
      <w:r>
        <w:rPr>
          <w:rFonts w:eastAsia="Palatino Linotype"/>
          <w:sz w:val="22"/>
          <w:szCs w:val="22"/>
          <w:lang w:val="es-ES"/>
        </w:rPr>
        <w:t>prejudice</w:t>
      </w:r>
      <w:proofErr w:type="spellEnd"/>
      <w:r>
        <w:rPr>
          <w:rFonts w:eastAsia="Palatino Linotype"/>
          <w:sz w:val="22"/>
          <w:szCs w:val="22"/>
          <w:lang w:val="es-ES"/>
        </w:rPr>
        <w:t xml:space="preserve"> </w:t>
      </w:r>
      <w:proofErr w:type="spellStart"/>
      <w:r>
        <w:rPr>
          <w:rFonts w:eastAsia="Palatino Linotype"/>
          <w:sz w:val="22"/>
          <w:szCs w:val="22"/>
          <w:lang w:val="es-ES"/>
        </w:rPr>
        <w:t>to</w:t>
      </w:r>
      <w:proofErr w:type="spellEnd"/>
      <w:r>
        <w:rPr>
          <w:rFonts w:eastAsia="Palatino Linotype"/>
          <w:sz w:val="22"/>
          <w:szCs w:val="22"/>
          <w:lang w:val="es-ES"/>
        </w:rPr>
        <w:t xml:space="preserve"> </w:t>
      </w:r>
      <w:proofErr w:type="spellStart"/>
      <w:r>
        <w:rPr>
          <w:rFonts w:eastAsia="Palatino Linotype"/>
          <w:sz w:val="22"/>
          <w:szCs w:val="22"/>
          <w:lang w:val="es-ES"/>
        </w:rPr>
        <w:t>the</w:t>
      </w:r>
      <w:proofErr w:type="spellEnd"/>
      <w:r>
        <w:rPr>
          <w:rFonts w:eastAsia="Palatino Linotype"/>
          <w:sz w:val="22"/>
          <w:szCs w:val="22"/>
          <w:lang w:val="es-ES"/>
        </w:rPr>
        <w:t xml:space="preserve"> </w:t>
      </w:r>
      <w:proofErr w:type="spellStart"/>
      <w:r>
        <w:rPr>
          <w:rFonts w:eastAsia="Palatino Linotype"/>
          <w:sz w:val="22"/>
          <w:szCs w:val="22"/>
          <w:lang w:val="es-ES"/>
        </w:rPr>
        <w:t>consideration</w:t>
      </w:r>
      <w:proofErr w:type="spellEnd"/>
      <w:r>
        <w:rPr>
          <w:rFonts w:eastAsia="Palatino Linotype"/>
          <w:sz w:val="22"/>
          <w:szCs w:val="22"/>
          <w:lang w:val="es-ES"/>
        </w:rPr>
        <w:t xml:space="preserve"> </w:t>
      </w:r>
      <w:proofErr w:type="spellStart"/>
      <w:r>
        <w:rPr>
          <w:rFonts w:eastAsia="Palatino Linotype"/>
          <w:sz w:val="22"/>
          <w:szCs w:val="22"/>
          <w:lang w:val="es-ES"/>
        </w:rPr>
        <w:t>of</w:t>
      </w:r>
      <w:proofErr w:type="spellEnd"/>
      <w:r>
        <w:rPr>
          <w:rFonts w:eastAsia="Palatino Linotype"/>
          <w:sz w:val="22"/>
          <w:szCs w:val="22"/>
          <w:lang w:val="es-ES"/>
        </w:rPr>
        <w:t xml:space="preserve"> </w:t>
      </w:r>
      <w:proofErr w:type="spellStart"/>
      <w:r>
        <w:rPr>
          <w:rFonts w:eastAsia="Palatino Linotype"/>
          <w:sz w:val="22"/>
          <w:szCs w:val="22"/>
          <w:lang w:val="es-ES"/>
        </w:rPr>
        <w:t>the</w:t>
      </w:r>
      <w:proofErr w:type="spellEnd"/>
      <w:r>
        <w:rPr>
          <w:rFonts w:eastAsia="Palatino Linotype"/>
          <w:sz w:val="22"/>
          <w:szCs w:val="22"/>
          <w:lang w:val="es-ES"/>
        </w:rPr>
        <w:t xml:space="preserve"> </w:t>
      </w:r>
      <w:proofErr w:type="spellStart"/>
      <w:r>
        <w:rPr>
          <w:rFonts w:eastAsia="Palatino Linotype"/>
          <w:sz w:val="22"/>
          <w:szCs w:val="22"/>
          <w:lang w:val="es-ES"/>
        </w:rPr>
        <w:t>other</w:t>
      </w:r>
      <w:proofErr w:type="spellEnd"/>
      <w:r>
        <w:rPr>
          <w:rFonts w:eastAsia="Palatino Linotype"/>
          <w:sz w:val="22"/>
          <w:szCs w:val="22"/>
          <w:lang w:val="es-ES"/>
        </w:rPr>
        <w:t xml:space="preserve"> </w:t>
      </w:r>
      <w:proofErr w:type="spellStart"/>
      <w:r>
        <w:rPr>
          <w:rFonts w:eastAsia="Palatino Linotype"/>
          <w:sz w:val="22"/>
          <w:szCs w:val="22"/>
          <w:lang w:val="es-ES"/>
        </w:rPr>
        <w:t>criteria</w:t>
      </w:r>
      <w:proofErr w:type="spellEnd"/>
      <w:r>
        <w:rPr>
          <w:rFonts w:eastAsia="Palatino Linotype"/>
          <w:sz w:val="22"/>
          <w:szCs w:val="22"/>
          <w:lang w:val="es-ES"/>
        </w:rPr>
        <w:t xml:space="preserve"> </w:t>
      </w:r>
      <w:proofErr w:type="spellStart"/>
      <w:r>
        <w:rPr>
          <w:rFonts w:eastAsia="Palatino Linotype"/>
          <w:sz w:val="22"/>
          <w:szCs w:val="22"/>
          <w:lang w:val="es-ES"/>
        </w:rPr>
        <w:t>for</w:t>
      </w:r>
      <w:proofErr w:type="spellEnd"/>
      <w:r>
        <w:rPr>
          <w:rFonts w:eastAsia="Palatino Linotype"/>
          <w:sz w:val="22"/>
          <w:szCs w:val="22"/>
          <w:lang w:val="es-ES"/>
        </w:rPr>
        <w:t xml:space="preserve"> </w:t>
      </w:r>
      <w:proofErr w:type="spellStart"/>
      <w:r>
        <w:rPr>
          <w:rFonts w:eastAsia="Palatino Linotype"/>
          <w:sz w:val="22"/>
          <w:szCs w:val="22"/>
          <w:lang w:val="es-ES"/>
        </w:rPr>
        <w:t>evaluating</w:t>
      </w:r>
      <w:proofErr w:type="spellEnd"/>
      <w:r>
        <w:rPr>
          <w:rFonts w:eastAsia="Palatino Linotype"/>
          <w:sz w:val="22"/>
          <w:szCs w:val="22"/>
          <w:lang w:val="es-ES"/>
        </w:rPr>
        <w:t xml:space="preserve"> </w:t>
      </w:r>
      <w:proofErr w:type="spellStart"/>
      <w:r>
        <w:rPr>
          <w:rFonts w:eastAsia="Palatino Linotype"/>
          <w:sz w:val="22"/>
          <w:szCs w:val="22"/>
          <w:lang w:val="es-ES"/>
        </w:rPr>
        <w:t>offers</w:t>
      </w:r>
      <w:proofErr w:type="spellEnd"/>
      <w:r>
        <w:rPr>
          <w:rFonts w:eastAsia="Palatino Linotype"/>
          <w:sz w:val="22"/>
          <w:szCs w:val="22"/>
          <w:lang w:val="es-ES"/>
        </w:rPr>
        <w:t>:</w:t>
      </w:r>
    </w:p>
    <w:p w14:paraId="3682CBFB" w14:textId="77777777" w:rsidR="00E255F4" w:rsidRDefault="00E255F4">
      <w:pPr>
        <w:ind w:right="-142"/>
        <w:jc w:val="both"/>
        <w:rPr>
          <w:rFonts w:eastAsia="Palatino Linotype"/>
          <w:sz w:val="22"/>
          <w:szCs w:val="22"/>
          <w:lang w:val="es-ES"/>
        </w:rPr>
      </w:pPr>
    </w:p>
    <w:p w14:paraId="52D8234A" w14:textId="77777777" w:rsidR="00E255F4" w:rsidRDefault="00000000">
      <w:pPr>
        <w:numPr>
          <w:ilvl w:val="0"/>
          <w:numId w:val="62"/>
        </w:numPr>
        <w:ind w:right="-142" w:hanging="720"/>
        <w:jc w:val="both"/>
        <w:rPr>
          <w:rFonts w:eastAsia="Palatino Linotype"/>
          <w:sz w:val="22"/>
          <w:szCs w:val="22"/>
          <w:lang w:val="es-ES"/>
        </w:rPr>
      </w:pPr>
      <w:proofErr w:type="spellStart"/>
      <w:r>
        <w:rPr>
          <w:rFonts w:eastAsia="Palatino Linotype"/>
          <w:spacing w:val="-1"/>
          <w:sz w:val="22"/>
          <w:szCs w:val="22"/>
          <w:lang w:val="es-ES"/>
        </w:rPr>
        <w:t>Biene</w:t>
      </w:r>
      <w:r>
        <w:rPr>
          <w:rFonts w:eastAsia="Palatino Linotype"/>
          <w:sz w:val="22"/>
          <w:szCs w:val="22"/>
          <w:lang w:val="es-ES"/>
        </w:rPr>
        <w:t>and</w:t>
      </w:r>
      <w:proofErr w:type="spellEnd"/>
      <w:r>
        <w:rPr>
          <w:rFonts w:eastAsia="Palatino Linotype"/>
          <w:sz w:val="22"/>
          <w:szCs w:val="22"/>
          <w:lang w:val="es-ES"/>
        </w:rPr>
        <w:t xml:space="preserve"> </w:t>
      </w:r>
      <w:proofErr w:type="spellStart"/>
      <w:r>
        <w:rPr>
          <w:rFonts w:eastAsia="Palatino Linotype"/>
          <w:sz w:val="22"/>
          <w:szCs w:val="22"/>
          <w:lang w:val="es-ES"/>
        </w:rPr>
        <w:t>services</w:t>
      </w:r>
      <w:proofErr w:type="spellEnd"/>
      <w:r>
        <w:rPr>
          <w:rFonts w:eastAsia="Palatino Linotype"/>
          <w:sz w:val="22"/>
          <w:szCs w:val="22"/>
          <w:lang w:val="es-ES"/>
        </w:rPr>
        <w:t xml:space="preserve"> </w:t>
      </w:r>
      <w:proofErr w:type="spellStart"/>
      <w:r>
        <w:rPr>
          <w:rFonts w:eastAsia="Palatino Linotype"/>
          <w:sz w:val="22"/>
          <w:szCs w:val="22"/>
          <w:lang w:val="es-ES"/>
        </w:rPr>
        <w:t>that</w:t>
      </w:r>
      <w:proofErr w:type="spellEnd"/>
      <w:r>
        <w:rPr>
          <w:rFonts w:eastAsia="Palatino Linotype"/>
          <w:sz w:val="22"/>
          <w:szCs w:val="22"/>
          <w:lang w:val="es-ES"/>
        </w:rPr>
        <w:t xml:space="preserve"> do </w:t>
      </w:r>
      <w:proofErr w:type="spellStart"/>
      <w:r>
        <w:rPr>
          <w:rFonts w:eastAsia="Palatino Linotype"/>
          <w:sz w:val="22"/>
          <w:szCs w:val="22"/>
          <w:lang w:val="es-ES"/>
        </w:rPr>
        <w:t>not</w:t>
      </w:r>
      <w:proofErr w:type="spellEnd"/>
      <w:r>
        <w:rPr>
          <w:rFonts w:eastAsia="Palatino Linotype"/>
          <w:sz w:val="22"/>
          <w:szCs w:val="22"/>
          <w:lang w:val="es-ES"/>
        </w:rPr>
        <w:t xml:space="preserve"> </w:t>
      </w:r>
      <w:proofErr w:type="spellStart"/>
      <w:r>
        <w:rPr>
          <w:rFonts w:eastAsia="Palatino Linotype"/>
          <w:sz w:val="22"/>
          <w:szCs w:val="22"/>
          <w:lang w:val="es-ES"/>
        </w:rPr>
        <w:t>include</w:t>
      </w:r>
      <w:proofErr w:type="spellEnd"/>
      <w:r>
        <w:rPr>
          <w:rFonts w:eastAsia="Palatino Linotype"/>
          <w:sz w:val="22"/>
          <w:szCs w:val="22"/>
          <w:lang w:val="es-ES"/>
        </w:rPr>
        <w:t xml:space="preserve"> </w:t>
      </w:r>
      <w:proofErr w:type="spellStart"/>
      <w:r>
        <w:rPr>
          <w:rFonts w:eastAsia="Palatino Linotype"/>
          <w:sz w:val="22"/>
          <w:szCs w:val="22"/>
          <w:lang w:val="es-ES"/>
        </w:rPr>
        <w:t>goods</w:t>
      </w:r>
      <w:proofErr w:type="spellEnd"/>
    </w:p>
    <w:p w14:paraId="48CEB62F" w14:textId="77777777" w:rsidR="00E255F4" w:rsidRDefault="00E255F4">
      <w:pPr>
        <w:ind w:right="-142"/>
        <w:jc w:val="both"/>
        <w:rPr>
          <w:rFonts w:eastAsia="Palatino Linotype"/>
          <w:sz w:val="22"/>
          <w:szCs w:val="22"/>
          <w:lang w:val="es-ES"/>
        </w:rPr>
      </w:pPr>
    </w:p>
    <w:p w14:paraId="3D2FFCEB" w14:textId="77777777" w:rsidR="00E255F4" w:rsidRDefault="00000000">
      <w:pPr>
        <w:ind w:right="-142"/>
        <w:jc w:val="center"/>
        <w:rPr>
          <w:rFonts w:eastAsia="Palatino Linotype"/>
          <w:spacing w:val="-1"/>
          <w:position w:val="1"/>
          <w:sz w:val="22"/>
          <w:szCs w:val="22"/>
          <w:lang w:val="es-ES"/>
        </w:rPr>
      </w:pPr>
      <w:r>
        <w:rPr>
          <w:rFonts w:eastAsia="Palatino Linotype"/>
          <w:spacing w:val="-1"/>
          <w:position w:val="1"/>
          <w:sz w:val="22"/>
          <w:szCs w:val="22"/>
          <w:lang w:val="es-ES"/>
        </w:rPr>
        <w:t>PCN = PN - (PN x 0.08) PCNN = PNN</w:t>
      </w:r>
    </w:p>
    <w:p w14:paraId="7506A706" w14:textId="77777777" w:rsidR="00E255F4" w:rsidRDefault="00E255F4">
      <w:pPr>
        <w:ind w:right="-142"/>
        <w:jc w:val="both"/>
        <w:rPr>
          <w:rFonts w:eastAsia="Palatino Linotype"/>
          <w:spacing w:val="-1"/>
          <w:position w:val="1"/>
          <w:sz w:val="22"/>
          <w:szCs w:val="22"/>
          <w:lang w:val="es-ES"/>
        </w:rPr>
      </w:pPr>
    </w:p>
    <w:p w14:paraId="1B42815A" w14:textId="77777777" w:rsidR="00E255F4" w:rsidRDefault="00000000">
      <w:pPr>
        <w:numPr>
          <w:ilvl w:val="0"/>
          <w:numId w:val="62"/>
        </w:numPr>
        <w:ind w:right="-142" w:hanging="720"/>
        <w:jc w:val="both"/>
        <w:rPr>
          <w:rFonts w:eastAsia="Palatino Linotype"/>
          <w:sz w:val="22"/>
          <w:szCs w:val="22"/>
          <w:lang w:val="es-ES"/>
        </w:rPr>
      </w:pPr>
      <w:proofErr w:type="spellStart"/>
      <w:r>
        <w:rPr>
          <w:rFonts w:eastAsia="Palatino Linotype"/>
          <w:spacing w:val="-1"/>
          <w:sz w:val="22"/>
          <w:szCs w:val="22"/>
          <w:lang w:val="es-ES"/>
        </w:rPr>
        <w:t>Service</w:t>
      </w:r>
      <w:r>
        <w:rPr>
          <w:rFonts w:eastAsia="Palatino Linotype"/>
          <w:sz w:val="22"/>
          <w:szCs w:val="22"/>
          <w:lang w:val="es-ES"/>
        </w:rPr>
        <w:t>s</w:t>
      </w:r>
      <w:proofErr w:type="spellEnd"/>
      <w:r>
        <w:rPr>
          <w:rFonts w:eastAsia="Palatino Linotype"/>
          <w:sz w:val="22"/>
          <w:szCs w:val="22"/>
          <w:lang w:val="es-ES"/>
        </w:rPr>
        <w:t xml:space="preserve"> </w:t>
      </w:r>
      <w:proofErr w:type="spellStart"/>
      <w:r>
        <w:rPr>
          <w:rFonts w:eastAsia="Palatino Linotype"/>
          <w:sz w:val="22"/>
          <w:szCs w:val="22"/>
          <w:lang w:val="es-ES"/>
        </w:rPr>
        <w:t>that</w:t>
      </w:r>
      <w:proofErr w:type="spellEnd"/>
      <w:r>
        <w:rPr>
          <w:rFonts w:eastAsia="Palatino Linotype"/>
          <w:sz w:val="22"/>
          <w:szCs w:val="22"/>
          <w:lang w:val="es-ES"/>
        </w:rPr>
        <w:t xml:space="preserve"> </w:t>
      </w:r>
      <w:proofErr w:type="spellStart"/>
      <w:r>
        <w:rPr>
          <w:rFonts w:eastAsia="Palatino Linotype"/>
          <w:sz w:val="22"/>
          <w:szCs w:val="22"/>
          <w:lang w:val="es-ES"/>
        </w:rPr>
        <w:t>include</w:t>
      </w:r>
      <w:proofErr w:type="spellEnd"/>
      <w:r>
        <w:rPr>
          <w:rFonts w:eastAsia="Palatino Linotype"/>
          <w:sz w:val="22"/>
          <w:szCs w:val="22"/>
          <w:lang w:val="es-ES"/>
        </w:rPr>
        <w:t xml:space="preserve"> </w:t>
      </w:r>
      <w:proofErr w:type="spellStart"/>
      <w:r>
        <w:rPr>
          <w:rFonts w:eastAsia="Palatino Linotype"/>
          <w:sz w:val="22"/>
          <w:szCs w:val="22"/>
          <w:lang w:val="es-ES"/>
        </w:rPr>
        <w:t>goods</w:t>
      </w:r>
      <w:proofErr w:type="spellEnd"/>
    </w:p>
    <w:p w14:paraId="61690A06" w14:textId="77777777" w:rsidR="00E255F4" w:rsidRDefault="00E255F4">
      <w:pPr>
        <w:ind w:right="-142"/>
        <w:jc w:val="both"/>
        <w:rPr>
          <w:rFonts w:eastAsia="Palatino Linotype"/>
          <w:sz w:val="22"/>
          <w:szCs w:val="22"/>
          <w:lang w:val="es-ES"/>
        </w:rPr>
      </w:pPr>
    </w:p>
    <w:p w14:paraId="15B26817" w14:textId="77777777" w:rsidR="00E255F4" w:rsidRDefault="00000000">
      <w:pPr>
        <w:ind w:right="-142"/>
        <w:jc w:val="center"/>
        <w:rPr>
          <w:rFonts w:eastAsia="Palatino Linotype"/>
          <w:sz w:val="22"/>
          <w:szCs w:val="22"/>
          <w:lang w:val="es-ES"/>
        </w:rPr>
      </w:pPr>
      <w:r>
        <w:rPr>
          <w:rFonts w:eastAsia="Palatino Linotype"/>
          <w:spacing w:val="-1"/>
          <w:position w:val="1"/>
          <w:sz w:val="22"/>
          <w:szCs w:val="22"/>
          <w:lang w:val="es-ES"/>
        </w:rPr>
        <w:t>PC</w:t>
      </w:r>
      <w:r>
        <w:rPr>
          <w:rFonts w:eastAsia="Palatino Linotype"/>
          <w:position w:val="1"/>
          <w:sz w:val="22"/>
          <w:szCs w:val="22"/>
          <w:lang w:val="es-ES"/>
        </w:rPr>
        <w:t>N = PN - PN x (1 - % BNN) x 0.08</w:t>
      </w:r>
    </w:p>
    <w:p w14:paraId="78500102" w14:textId="77777777" w:rsidR="00E255F4" w:rsidRDefault="00E255F4">
      <w:pPr>
        <w:ind w:right="-142"/>
        <w:jc w:val="both"/>
        <w:rPr>
          <w:rFonts w:eastAsia="Palatino Linotype"/>
          <w:sz w:val="22"/>
          <w:szCs w:val="22"/>
          <w:lang w:val="es-ES"/>
        </w:rPr>
      </w:pPr>
    </w:p>
    <w:p w14:paraId="3043B4F2" w14:textId="77777777" w:rsidR="00E255F4" w:rsidRDefault="00000000">
      <w:pPr>
        <w:ind w:right="-142"/>
        <w:jc w:val="both"/>
        <w:rPr>
          <w:rFonts w:eastAsia="Palatino Linotype"/>
          <w:spacing w:val="-1"/>
          <w:position w:val="1"/>
          <w:sz w:val="22"/>
          <w:szCs w:val="22"/>
          <w:lang w:val="es-ES"/>
        </w:rPr>
      </w:pPr>
      <w:proofErr w:type="spellStart"/>
      <w:r>
        <w:rPr>
          <w:rFonts w:eastAsia="Palatino Linotype"/>
          <w:spacing w:val="-1"/>
          <w:position w:val="1"/>
          <w:sz w:val="22"/>
          <w:szCs w:val="22"/>
          <w:lang w:val="es-ES"/>
        </w:rPr>
        <w:t>Where</w:t>
      </w:r>
      <w:proofErr w:type="spellEnd"/>
    </w:p>
    <w:p w14:paraId="30816E46" w14:textId="77777777" w:rsidR="00E255F4" w:rsidRDefault="00E255F4">
      <w:pPr>
        <w:ind w:right="-142"/>
        <w:jc w:val="both"/>
        <w:rPr>
          <w:rFonts w:eastAsia="Palatino Linotype"/>
          <w:spacing w:val="-1"/>
          <w:position w:val="1"/>
          <w:sz w:val="22"/>
          <w:szCs w:val="22"/>
          <w:lang w:val="es-ES"/>
        </w:rPr>
      </w:pPr>
    </w:p>
    <w:p w14:paraId="70703C68" w14:textId="77777777" w:rsidR="00E255F4" w:rsidRDefault="00000000">
      <w:pPr>
        <w:ind w:right="-142"/>
        <w:jc w:val="both"/>
        <w:rPr>
          <w:rFonts w:eastAsia="Palatino Linotype"/>
          <w:sz w:val="22"/>
          <w:szCs w:val="22"/>
          <w:lang w:val="es-ES"/>
        </w:rPr>
      </w:pPr>
      <w:r>
        <w:rPr>
          <w:rFonts w:eastAsia="Palatino Linotype"/>
          <w:spacing w:val="-1"/>
          <w:position w:val="1"/>
          <w:sz w:val="22"/>
          <w:szCs w:val="22"/>
          <w:lang w:val="es-ES"/>
        </w:rPr>
        <w:t>PC</w:t>
      </w:r>
      <w:r>
        <w:rPr>
          <w:rFonts w:eastAsia="Palatino Linotype"/>
          <w:position w:val="1"/>
          <w:sz w:val="22"/>
          <w:szCs w:val="22"/>
          <w:lang w:val="es-ES"/>
        </w:rPr>
        <w:t xml:space="preserve">N = comparative </w:t>
      </w:r>
      <w:proofErr w:type="spellStart"/>
      <w:r>
        <w:rPr>
          <w:rFonts w:eastAsia="Palatino Linotype"/>
          <w:position w:val="1"/>
          <w:sz w:val="22"/>
          <w:szCs w:val="22"/>
          <w:lang w:val="es-ES"/>
        </w:rPr>
        <w:t>price</w:t>
      </w:r>
      <w:proofErr w:type="spellEnd"/>
      <w:r>
        <w:rPr>
          <w:rFonts w:eastAsia="Palatino Linotype"/>
          <w:position w:val="1"/>
          <w:sz w:val="22"/>
          <w:szCs w:val="22"/>
          <w:lang w:val="es-ES"/>
        </w:rPr>
        <w:t xml:space="preserve"> </w:t>
      </w:r>
      <w:proofErr w:type="spellStart"/>
      <w:r>
        <w:rPr>
          <w:rFonts w:eastAsia="Palatino Linotype"/>
          <w:position w:val="1"/>
          <w:sz w:val="22"/>
          <w:szCs w:val="22"/>
          <w:lang w:val="es-ES"/>
        </w:rPr>
        <w:t>of</w:t>
      </w:r>
      <w:proofErr w:type="spellEnd"/>
      <w:r>
        <w:rPr>
          <w:rFonts w:eastAsia="Palatino Linotype"/>
          <w:position w:val="1"/>
          <w:sz w:val="22"/>
          <w:szCs w:val="22"/>
          <w:lang w:val="es-ES"/>
        </w:rPr>
        <w:t xml:space="preserve"> </w:t>
      </w:r>
      <w:proofErr w:type="spellStart"/>
      <w:r>
        <w:rPr>
          <w:rFonts w:eastAsia="Palatino Linotype"/>
          <w:position w:val="1"/>
          <w:sz w:val="22"/>
          <w:szCs w:val="22"/>
          <w:lang w:val="es-ES"/>
        </w:rPr>
        <w:t>the</w:t>
      </w:r>
      <w:proofErr w:type="spellEnd"/>
      <w:r>
        <w:rPr>
          <w:rFonts w:eastAsia="Palatino Linotype"/>
          <w:position w:val="1"/>
          <w:sz w:val="22"/>
          <w:szCs w:val="22"/>
          <w:lang w:val="es-ES"/>
        </w:rPr>
        <w:t xml:space="preserve"> </w:t>
      </w:r>
      <w:proofErr w:type="spellStart"/>
      <w:r>
        <w:rPr>
          <w:rFonts w:eastAsia="Palatino Linotype"/>
          <w:position w:val="1"/>
          <w:sz w:val="22"/>
          <w:szCs w:val="22"/>
          <w:lang w:val="es-ES"/>
        </w:rPr>
        <w:t>national</w:t>
      </w:r>
      <w:proofErr w:type="spellEnd"/>
      <w:r>
        <w:rPr>
          <w:rFonts w:eastAsia="Palatino Linotype"/>
          <w:position w:val="1"/>
          <w:sz w:val="22"/>
          <w:szCs w:val="22"/>
          <w:lang w:val="es-ES"/>
        </w:rPr>
        <w:t xml:space="preserve"> </w:t>
      </w:r>
      <w:proofErr w:type="spellStart"/>
      <w:r>
        <w:rPr>
          <w:rFonts w:eastAsia="Palatino Linotype"/>
          <w:position w:val="1"/>
          <w:sz w:val="22"/>
          <w:szCs w:val="22"/>
          <w:lang w:val="es-ES"/>
        </w:rPr>
        <w:t>product</w:t>
      </w:r>
      <w:proofErr w:type="spellEnd"/>
      <w:r>
        <w:rPr>
          <w:rFonts w:eastAsia="Palatino Linotype"/>
          <w:position w:val="1"/>
          <w:sz w:val="22"/>
          <w:szCs w:val="22"/>
          <w:lang w:val="es-ES"/>
        </w:rPr>
        <w:t xml:space="preserve"> </w:t>
      </w:r>
      <w:proofErr w:type="spellStart"/>
      <w:r>
        <w:rPr>
          <w:rFonts w:eastAsia="Palatino Linotype"/>
          <w:position w:val="1"/>
          <w:sz w:val="22"/>
          <w:szCs w:val="22"/>
          <w:lang w:val="es-ES"/>
        </w:rPr>
        <w:t>with</w:t>
      </w:r>
      <w:proofErr w:type="spellEnd"/>
      <w:r>
        <w:rPr>
          <w:rFonts w:eastAsia="Palatino Linotype"/>
          <w:position w:val="1"/>
          <w:sz w:val="22"/>
          <w:szCs w:val="22"/>
          <w:lang w:val="es-ES"/>
        </w:rPr>
        <w:t xml:space="preserve"> </w:t>
      </w:r>
      <w:proofErr w:type="spellStart"/>
      <w:r>
        <w:rPr>
          <w:rFonts w:eastAsia="Palatino Linotype"/>
          <w:position w:val="1"/>
          <w:sz w:val="22"/>
          <w:szCs w:val="22"/>
          <w:lang w:val="es-ES"/>
        </w:rPr>
        <w:t>the</w:t>
      </w:r>
      <w:proofErr w:type="spellEnd"/>
      <w:r>
        <w:rPr>
          <w:rFonts w:eastAsia="Palatino Linotype"/>
          <w:position w:val="1"/>
          <w:sz w:val="22"/>
          <w:szCs w:val="22"/>
          <w:lang w:val="es-ES"/>
        </w:rPr>
        <w:t xml:space="preserve"> </w:t>
      </w:r>
      <w:proofErr w:type="spellStart"/>
      <w:r>
        <w:rPr>
          <w:rFonts w:eastAsia="Palatino Linotype"/>
          <w:position w:val="1"/>
          <w:sz w:val="22"/>
          <w:szCs w:val="22"/>
          <w:lang w:val="es-ES"/>
        </w:rPr>
        <w:t>application</w:t>
      </w:r>
      <w:proofErr w:type="spellEnd"/>
      <w:r>
        <w:rPr>
          <w:rFonts w:eastAsia="Palatino Linotype"/>
          <w:position w:val="1"/>
          <w:sz w:val="22"/>
          <w:szCs w:val="22"/>
          <w:lang w:val="es-ES"/>
        </w:rPr>
        <w:t xml:space="preserve"> </w:t>
      </w:r>
      <w:proofErr w:type="spellStart"/>
      <w:r>
        <w:rPr>
          <w:rFonts w:eastAsia="Palatino Linotype"/>
          <w:position w:val="1"/>
          <w:sz w:val="22"/>
          <w:szCs w:val="22"/>
          <w:lang w:val="es-ES"/>
        </w:rPr>
        <w:t>of</w:t>
      </w:r>
      <w:proofErr w:type="spellEnd"/>
      <w:r>
        <w:rPr>
          <w:rFonts w:eastAsia="Palatino Linotype"/>
          <w:position w:val="1"/>
          <w:sz w:val="22"/>
          <w:szCs w:val="22"/>
          <w:lang w:val="es-ES"/>
        </w:rPr>
        <w:t xml:space="preserve"> </w:t>
      </w:r>
      <w:proofErr w:type="spellStart"/>
      <w:r>
        <w:rPr>
          <w:rFonts w:eastAsia="Palatino Linotype"/>
          <w:position w:val="1"/>
          <w:sz w:val="22"/>
          <w:szCs w:val="22"/>
          <w:lang w:val="es-ES"/>
        </w:rPr>
        <w:t>the</w:t>
      </w:r>
      <w:proofErr w:type="spellEnd"/>
      <w:r>
        <w:rPr>
          <w:rFonts w:eastAsia="Palatino Linotype"/>
          <w:position w:val="1"/>
          <w:sz w:val="22"/>
          <w:szCs w:val="22"/>
          <w:lang w:val="es-ES"/>
        </w:rPr>
        <w:t xml:space="preserve"> </w:t>
      </w:r>
      <w:proofErr w:type="spellStart"/>
      <w:r>
        <w:rPr>
          <w:rFonts w:eastAsia="Palatino Linotype"/>
          <w:position w:val="1"/>
          <w:sz w:val="22"/>
          <w:szCs w:val="22"/>
          <w:lang w:val="es-ES"/>
        </w:rPr>
        <w:t>preference</w:t>
      </w:r>
      <w:proofErr w:type="spellEnd"/>
      <w:r>
        <w:rPr>
          <w:rFonts w:eastAsia="Palatino Linotype"/>
          <w:position w:val="1"/>
          <w:sz w:val="22"/>
          <w:szCs w:val="22"/>
          <w:lang w:val="es-ES"/>
        </w:rPr>
        <w:t xml:space="preserve"> </w:t>
      </w:r>
      <w:proofErr w:type="spellStart"/>
      <w:r>
        <w:rPr>
          <w:rFonts w:eastAsia="Palatino Linotype"/>
          <w:position w:val="1"/>
          <w:sz w:val="22"/>
          <w:szCs w:val="22"/>
          <w:lang w:val="es-ES"/>
        </w:rPr>
        <w:t>to</w:t>
      </w:r>
      <w:proofErr w:type="spellEnd"/>
      <w:r>
        <w:rPr>
          <w:rFonts w:eastAsia="Palatino Linotype"/>
          <w:position w:val="1"/>
          <w:sz w:val="22"/>
          <w:szCs w:val="22"/>
          <w:lang w:val="es-ES"/>
        </w:rPr>
        <w:t xml:space="preserve"> </w:t>
      </w:r>
      <w:proofErr w:type="spellStart"/>
      <w:r>
        <w:rPr>
          <w:rFonts w:eastAsia="Palatino Linotype"/>
          <w:position w:val="1"/>
          <w:sz w:val="22"/>
          <w:szCs w:val="22"/>
          <w:lang w:val="es-ES"/>
        </w:rPr>
        <w:t>the</w:t>
      </w:r>
      <w:proofErr w:type="spellEnd"/>
      <w:r>
        <w:rPr>
          <w:rFonts w:eastAsia="Palatino Linotype"/>
          <w:position w:val="1"/>
          <w:sz w:val="22"/>
          <w:szCs w:val="22"/>
          <w:lang w:val="es-ES"/>
        </w:rPr>
        <w:t xml:space="preserve"> </w:t>
      </w:r>
      <w:proofErr w:type="spellStart"/>
      <w:r>
        <w:rPr>
          <w:rFonts w:eastAsia="Palatino Linotype"/>
          <w:position w:val="1"/>
          <w:sz w:val="22"/>
          <w:szCs w:val="22"/>
          <w:lang w:val="es-ES"/>
        </w:rPr>
        <w:t>national</w:t>
      </w:r>
      <w:proofErr w:type="spellEnd"/>
      <w:r>
        <w:rPr>
          <w:rFonts w:eastAsia="Palatino Linotype"/>
          <w:position w:val="1"/>
          <w:sz w:val="22"/>
          <w:szCs w:val="22"/>
          <w:lang w:val="es-ES"/>
        </w:rPr>
        <w:t xml:space="preserve"> </w:t>
      </w:r>
      <w:proofErr w:type="spellStart"/>
      <w:r>
        <w:rPr>
          <w:rFonts w:eastAsia="Palatino Linotype"/>
          <w:position w:val="1"/>
          <w:sz w:val="22"/>
          <w:szCs w:val="22"/>
          <w:lang w:val="es-ES"/>
        </w:rPr>
        <w:t>industry</w:t>
      </w:r>
      <w:proofErr w:type="spellEnd"/>
    </w:p>
    <w:p w14:paraId="1CCA5ED7" w14:textId="77777777" w:rsidR="00E255F4" w:rsidRDefault="00000000">
      <w:pPr>
        <w:ind w:right="-142"/>
        <w:jc w:val="both"/>
        <w:rPr>
          <w:rFonts w:eastAsia="Palatino Linotype"/>
          <w:sz w:val="22"/>
          <w:szCs w:val="22"/>
          <w:lang w:val="es-ES"/>
        </w:rPr>
      </w:pPr>
      <w:r>
        <w:rPr>
          <w:rFonts w:eastAsia="Palatino Linotype"/>
          <w:spacing w:val="-1"/>
          <w:position w:val="1"/>
          <w:sz w:val="22"/>
          <w:szCs w:val="22"/>
          <w:lang w:val="es-ES"/>
        </w:rPr>
        <w:t>PCN</w:t>
      </w:r>
      <w:r>
        <w:rPr>
          <w:rFonts w:eastAsia="Palatino Linotype"/>
          <w:position w:val="1"/>
          <w:sz w:val="22"/>
          <w:szCs w:val="22"/>
          <w:lang w:val="es-ES"/>
        </w:rPr>
        <w:t xml:space="preserve">N = comparative </w:t>
      </w:r>
      <w:proofErr w:type="spellStart"/>
      <w:r>
        <w:rPr>
          <w:rFonts w:eastAsia="Palatino Linotype"/>
          <w:position w:val="1"/>
          <w:sz w:val="22"/>
          <w:szCs w:val="22"/>
          <w:lang w:val="es-ES"/>
        </w:rPr>
        <w:t>price</w:t>
      </w:r>
      <w:proofErr w:type="spellEnd"/>
      <w:r>
        <w:rPr>
          <w:rFonts w:eastAsia="Palatino Linotype"/>
          <w:position w:val="1"/>
          <w:sz w:val="22"/>
          <w:szCs w:val="22"/>
          <w:lang w:val="es-ES"/>
        </w:rPr>
        <w:t xml:space="preserve"> </w:t>
      </w:r>
      <w:proofErr w:type="spellStart"/>
      <w:r>
        <w:rPr>
          <w:rFonts w:eastAsia="Palatino Linotype"/>
          <w:position w:val="1"/>
          <w:sz w:val="22"/>
          <w:szCs w:val="22"/>
          <w:lang w:val="es-ES"/>
        </w:rPr>
        <w:t>of</w:t>
      </w:r>
      <w:proofErr w:type="spellEnd"/>
      <w:r>
        <w:rPr>
          <w:rFonts w:eastAsia="Palatino Linotype"/>
          <w:position w:val="1"/>
          <w:sz w:val="22"/>
          <w:szCs w:val="22"/>
          <w:lang w:val="es-ES"/>
        </w:rPr>
        <w:t xml:space="preserve"> </w:t>
      </w:r>
      <w:proofErr w:type="spellStart"/>
      <w:r>
        <w:rPr>
          <w:rFonts w:eastAsia="Palatino Linotype"/>
          <w:position w:val="1"/>
          <w:sz w:val="22"/>
          <w:szCs w:val="22"/>
          <w:lang w:val="es-ES"/>
        </w:rPr>
        <w:t>the</w:t>
      </w:r>
      <w:proofErr w:type="spellEnd"/>
      <w:r>
        <w:rPr>
          <w:rFonts w:eastAsia="Palatino Linotype"/>
          <w:position w:val="1"/>
          <w:sz w:val="22"/>
          <w:szCs w:val="22"/>
          <w:lang w:val="es-ES"/>
        </w:rPr>
        <w:t xml:space="preserve"> </w:t>
      </w:r>
      <w:proofErr w:type="spellStart"/>
      <w:r>
        <w:rPr>
          <w:rFonts w:eastAsia="Palatino Linotype"/>
          <w:position w:val="1"/>
          <w:sz w:val="22"/>
          <w:szCs w:val="22"/>
          <w:lang w:val="es-ES"/>
        </w:rPr>
        <w:t>product</w:t>
      </w:r>
      <w:proofErr w:type="spellEnd"/>
      <w:r>
        <w:rPr>
          <w:rFonts w:eastAsia="Palatino Linotype"/>
          <w:position w:val="1"/>
          <w:sz w:val="22"/>
          <w:szCs w:val="22"/>
          <w:lang w:val="es-ES"/>
        </w:rPr>
        <w:t xml:space="preserve"> </w:t>
      </w:r>
      <w:proofErr w:type="spellStart"/>
      <w:r>
        <w:rPr>
          <w:rFonts w:eastAsia="Palatino Linotype"/>
          <w:position w:val="1"/>
          <w:sz w:val="22"/>
          <w:szCs w:val="22"/>
          <w:lang w:val="es-ES"/>
        </w:rPr>
        <w:t>that</w:t>
      </w:r>
      <w:proofErr w:type="spellEnd"/>
      <w:r>
        <w:rPr>
          <w:rFonts w:eastAsia="Palatino Linotype"/>
          <w:position w:val="1"/>
          <w:sz w:val="22"/>
          <w:szCs w:val="22"/>
          <w:lang w:val="es-ES"/>
        </w:rPr>
        <w:t xml:space="preserve"> </w:t>
      </w:r>
      <w:proofErr w:type="spellStart"/>
      <w:r>
        <w:rPr>
          <w:rFonts w:eastAsia="Palatino Linotype"/>
          <w:position w:val="1"/>
          <w:sz w:val="22"/>
          <w:szCs w:val="22"/>
          <w:lang w:val="es-ES"/>
        </w:rPr>
        <w:t>does</w:t>
      </w:r>
      <w:proofErr w:type="spellEnd"/>
      <w:r>
        <w:rPr>
          <w:rFonts w:eastAsia="Palatino Linotype"/>
          <w:position w:val="1"/>
          <w:sz w:val="22"/>
          <w:szCs w:val="22"/>
          <w:lang w:val="es-ES"/>
        </w:rPr>
        <w:t xml:space="preserve"> </w:t>
      </w:r>
      <w:proofErr w:type="spellStart"/>
      <w:r>
        <w:rPr>
          <w:rFonts w:eastAsia="Palatino Linotype"/>
          <w:position w:val="1"/>
          <w:sz w:val="22"/>
          <w:szCs w:val="22"/>
          <w:lang w:val="es-ES"/>
        </w:rPr>
        <w:t>not</w:t>
      </w:r>
      <w:proofErr w:type="spellEnd"/>
      <w:r>
        <w:rPr>
          <w:rFonts w:eastAsia="Palatino Linotype"/>
          <w:position w:val="1"/>
          <w:sz w:val="22"/>
          <w:szCs w:val="22"/>
          <w:lang w:val="es-ES"/>
        </w:rPr>
        <w:t xml:space="preserve"> </w:t>
      </w:r>
      <w:proofErr w:type="spellStart"/>
      <w:r>
        <w:rPr>
          <w:rFonts w:eastAsia="Palatino Linotype"/>
          <w:position w:val="1"/>
          <w:sz w:val="22"/>
          <w:szCs w:val="22"/>
          <w:lang w:val="es-ES"/>
        </w:rPr>
        <w:t>qualify</w:t>
      </w:r>
      <w:proofErr w:type="spellEnd"/>
      <w:r>
        <w:rPr>
          <w:rFonts w:eastAsia="Palatino Linotype"/>
          <w:position w:val="1"/>
          <w:sz w:val="22"/>
          <w:szCs w:val="22"/>
          <w:lang w:val="es-ES"/>
        </w:rPr>
        <w:t xml:space="preserve"> as </w:t>
      </w:r>
      <w:proofErr w:type="spellStart"/>
      <w:r>
        <w:rPr>
          <w:rFonts w:eastAsia="Palatino Linotype"/>
          <w:position w:val="1"/>
          <w:sz w:val="22"/>
          <w:szCs w:val="22"/>
          <w:lang w:val="es-ES"/>
        </w:rPr>
        <w:t>national</w:t>
      </w:r>
      <w:proofErr w:type="spellEnd"/>
    </w:p>
    <w:p w14:paraId="1AA517BA" w14:textId="77777777" w:rsidR="00E255F4" w:rsidRDefault="00000000">
      <w:pPr>
        <w:ind w:right="-142"/>
        <w:jc w:val="both"/>
        <w:rPr>
          <w:rFonts w:eastAsia="Palatino Linotype"/>
          <w:sz w:val="22"/>
          <w:szCs w:val="22"/>
          <w:lang w:val="es-ES"/>
        </w:rPr>
      </w:pPr>
      <w:r>
        <w:rPr>
          <w:rFonts w:eastAsia="Palatino Linotype"/>
          <w:spacing w:val="-1"/>
          <w:position w:val="1"/>
          <w:sz w:val="22"/>
          <w:szCs w:val="22"/>
          <w:lang w:val="es-ES"/>
        </w:rPr>
        <w:t>P</w:t>
      </w:r>
      <w:r>
        <w:rPr>
          <w:rFonts w:eastAsia="Palatino Linotype"/>
          <w:position w:val="1"/>
          <w:sz w:val="22"/>
          <w:szCs w:val="22"/>
          <w:lang w:val="es-ES"/>
        </w:rPr>
        <w:t xml:space="preserve">N = </w:t>
      </w:r>
      <w:proofErr w:type="spellStart"/>
      <w:r>
        <w:rPr>
          <w:rFonts w:eastAsia="Palatino Linotype"/>
          <w:position w:val="1"/>
          <w:sz w:val="22"/>
          <w:szCs w:val="22"/>
          <w:lang w:val="es-ES"/>
        </w:rPr>
        <w:t>price</w:t>
      </w:r>
      <w:proofErr w:type="spellEnd"/>
      <w:r>
        <w:rPr>
          <w:rFonts w:eastAsia="Palatino Linotype"/>
          <w:position w:val="1"/>
          <w:sz w:val="22"/>
          <w:szCs w:val="22"/>
          <w:lang w:val="es-ES"/>
        </w:rPr>
        <w:t xml:space="preserve"> </w:t>
      </w:r>
      <w:proofErr w:type="spellStart"/>
      <w:r>
        <w:rPr>
          <w:rFonts w:eastAsia="Palatino Linotype"/>
          <w:position w:val="1"/>
          <w:sz w:val="22"/>
          <w:szCs w:val="22"/>
          <w:lang w:val="es-ES"/>
        </w:rPr>
        <w:t>of</w:t>
      </w:r>
      <w:proofErr w:type="spellEnd"/>
      <w:r>
        <w:rPr>
          <w:rFonts w:eastAsia="Palatino Linotype"/>
          <w:position w:val="1"/>
          <w:sz w:val="22"/>
          <w:szCs w:val="22"/>
          <w:lang w:val="es-ES"/>
        </w:rPr>
        <w:t xml:space="preserve"> </w:t>
      </w:r>
      <w:proofErr w:type="spellStart"/>
      <w:r>
        <w:rPr>
          <w:rFonts w:eastAsia="Palatino Linotype"/>
          <w:position w:val="1"/>
          <w:sz w:val="22"/>
          <w:szCs w:val="22"/>
          <w:lang w:val="es-ES"/>
        </w:rPr>
        <w:t>the</w:t>
      </w:r>
      <w:proofErr w:type="spellEnd"/>
      <w:r>
        <w:rPr>
          <w:rFonts w:eastAsia="Palatino Linotype"/>
          <w:position w:val="1"/>
          <w:sz w:val="22"/>
          <w:szCs w:val="22"/>
          <w:lang w:val="es-ES"/>
        </w:rPr>
        <w:t xml:space="preserve"> </w:t>
      </w:r>
      <w:proofErr w:type="spellStart"/>
      <w:r>
        <w:rPr>
          <w:rFonts w:eastAsia="Palatino Linotype"/>
          <w:position w:val="1"/>
          <w:sz w:val="22"/>
          <w:szCs w:val="22"/>
          <w:lang w:val="es-ES"/>
        </w:rPr>
        <w:t>domestic</w:t>
      </w:r>
      <w:proofErr w:type="spellEnd"/>
      <w:r>
        <w:rPr>
          <w:rFonts w:eastAsia="Palatino Linotype"/>
          <w:position w:val="1"/>
          <w:sz w:val="22"/>
          <w:szCs w:val="22"/>
          <w:lang w:val="es-ES"/>
        </w:rPr>
        <w:t xml:space="preserve"> </w:t>
      </w:r>
      <w:proofErr w:type="spellStart"/>
      <w:r>
        <w:rPr>
          <w:rFonts w:eastAsia="Palatino Linotype"/>
          <w:position w:val="1"/>
          <w:sz w:val="22"/>
          <w:szCs w:val="22"/>
          <w:lang w:val="es-ES"/>
        </w:rPr>
        <w:t>product</w:t>
      </w:r>
      <w:proofErr w:type="spellEnd"/>
      <w:r>
        <w:rPr>
          <w:rFonts w:eastAsia="Palatino Linotype"/>
          <w:position w:val="1"/>
          <w:sz w:val="22"/>
          <w:szCs w:val="22"/>
          <w:lang w:val="es-ES"/>
        </w:rPr>
        <w:t xml:space="preserve"> </w:t>
      </w:r>
      <w:proofErr w:type="spellStart"/>
      <w:r>
        <w:rPr>
          <w:rFonts w:eastAsia="Palatino Linotype"/>
          <w:position w:val="1"/>
          <w:sz w:val="22"/>
          <w:szCs w:val="22"/>
          <w:lang w:val="es-ES"/>
        </w:rPr>
        <w:t>delivered</w:t>
      </w:r>
      <w:proofErr w:type="spellEnd"/>
      <w:r>
        <w:rPr>
          <w:rFonts w:eastAsia="Palatino Linotype"/>
          <w:position w:val="1"/>
          <w:sz w:val="22"/>
          <w:szCs w:val="22"/>
          <w:lang w:val="es-ES"/>
        </w:rPr>
        <w:t xml:space="preserve"> </w:t>
      </w:r>
      <w:proofErr w:type="spellStart"/>
      <w:r>
        <w:rPr>
          <w:rFonts w:eastAsia="Palatino Linotype"/>
          <w:position w:val="1"/>
          <w:sz w:val="22"/>
          <w:szCs w:val="22"/>
          <w:lang w:val="es-ES"/>
        </w:rPr>
        <w:t>to</w:t>
      </w:r>
      <w:proofErr w:type="spellEnd"/>
      <w:r>
        <w:rPr>
          <w:rFonts w:eastAsia="Palatino Linotype"/>
          <w:position w:val="1"/>
          <w:sz w:val="22"/>
          <w:szCs w:val="22"/>
          <w:lang w:val="es-ES"/>
        </w:rPr>
        <w:t xml:space="preserve"> </w:t>
      </w:r>
      <w:proofErr w:type="spellStart"/>
      <w:r>
        <w:rPr>
          <w:rFonts w:eastAsia="Palatino Linotype"/>
          <w:position w:val="1"/>
          <w:sz w:val="22"/>
          <w:szCs w:val="22"/>
          <w:lang w:val="es-ES"/>
        </w:rPr>
        <w:t>the</w:t>
      </w:r>
      <w:proofErr w:type="spellEnd"/>
      <w:r>
        <w:rPr>
          <w:rFonts w:eastAsia="Palatino Linotype"/>
          <w:position w:val="1"/>
          <w:sz w:val="22"/>
          <w:szCs w:val="22"/>
          <w:lang w:val="es-ES"/>
        </w:rPr>
        <w:t xml:space="preserve"> </w:t>
      </w:r>
      <w:proofErr w:type="spellStart"/>
      <w:r>
        <w:rPr>
          <w:rFonts w:eastAsia="Palatino Linotype"/>
          <w:position w:val="1"/>
          <w:sz w:val="22"/>
          <w:szCs w:val="22"/>
          <w:lang w:val="es-ES"/>
        </w:rPr>
        <w:t>buyer's</w:t>
      </w:r>
      <w:proofErr w:type="spellEnd"/>
      <w:r>
        <w:rPr>
          <w:rFonts w:eastAsia="Palatino Linotype"/>
          <w:position w:val="1"/>
          <w:sz w:val="22"/>
          <w:szCs w:val="22"/>
          <w:lang w:val="es-ES"/>
        </w:rPr>
        <w:t xml:space="preserve"> </w:t>
      </w:r>
      <w:proofErr w:type="spellStart"/>
      <w:r>
        <w:rPr>
          <w:rFonts w:eastAsia="Palatino Linotype"/>
          <w:position w:val="1"/>
          <w:sz w:val="22"/>
          <w:szCs w:val="22"/>
          <w:lang w:val="es-ES"/>
        </w:rPr>
        <w:t>warehouse</w:t>
      </w:r>
      <w:proofErr w:type="spellEnd"/>
    </w:p>
    <w:p w14:paraId="4A8C0832" w14:textId="77777777" w:rsidR="00E255F4" w:rsidRDefault="00000000">
      <w:pPr>
        <w:ind w:right="-142"/>
        <w:jc w:val="both"/>
        <w:rPr>
          <w:rFonts w:eastAsia="Palatino Linotype"/>
          <w:sz w:val="22"/>
          <w:szCs w:val="22"/>
          <w:lang w:val="es-ES"/>
        </w:rPr>
      </w:pPr>
      <w:r>
        <w:rPr>
          <w:rFonts w:eastAsia="Palatino Linotype"/>
          <w:spacing w:val="-1"/>
          <w:position w:val="1"/>
          <w:sz w:val="22"/>
          <w:szCs w:val="22"/>
          <w:lang w:val="es-ES"/>
        </w:rPr>
        <w:t>PN</w:t>
      </w:r>
      <w:r>
        <w:rPr>
          <w:rFonts w:eastAsia="Palatino Linotype"/>
          <w:position w:val="1"/>
          <w:sz w:val="22"/>
          <w:szCs w:val="22"/>
          <w:lang w:val="es-ES"/>
        </w:rPr>
        <w:t xml:space="preserve">N = </w:t>
      </w:r>
      <w:proofErr w:type="spellStart"/>
      <w:r>
        <w:rPr>
          <w:rFonts w:eastAsia="Palatino Linotype"/>
          <w:position w:val="1"/>
          <w:sz w:val="22"/>
          <w:szCs w:val="22"/>
          <w:lang w:val="es-ES"/>
        </w:rPr>
        <w:t>price</w:t>
      </w:r>
      <w:proofErr w:type="spellEnd"/>
      <w:r>
        <w:rPr>
          <w:rFonts w:eastAsia="Palatino Linotype"/>
          <w:position w:val="1"/>
          <w:sz w:val="22"/>
          <w:szCs w:val="22"/>
          <w:lang w:val="es-ES"/>
        </w:rPr>
        <w:t xml:space="preserve"> </w:t>
      </w:r>
      <w:proofErr w:type="spellStart"/>
      <w:r>
        <w:rPr>
          <w:rFonts w:eastAsia="Palatino Linotype"/>
          <w:position w:val="1"/>
          <w:sz w:val="22"/>
          <w:szCs w:val="22"/>
          <w:lang w:val="es-ES"/>
        </w:rPr>
        <w:t>of</w:t>
      </w:r>
      <w:proofErr w:type="spellEnd"/>
      <w:r>
        <w:rPr>
          <w:rFonts w:eastAsia="Palatino Linotype"/>
          <w:position w:val="1"/>
          <w:sz w:val="22"/>
          <w:szCs w:val="22"/>
          <w:lang w:val="es-ES"/>
        </w:rPr>
        <w:t xml:space="preserve"> </w:t>
      </w:r>
      <w:proofErr w:type="spellStart"/>
      <w:r>
        <w:rPr>
          <w:rFonts w:eastAsia="Palatino Linotype"/>
          <w:position w:val="1"/>
          <w:sz w:val="22"/>
          <w:szCs w:val="22"/>
          <w:lang w:val="es-ES"/>
        </w:rPr>
        <w:t>the</w:t>
      </w:r>
      <w:proofErr w:type="spellEnd"/>
      <w:r>
        <w:rPr>
          <w:rFonts w:eastAsia="Palatino Linotype"/>
          <w:position w:val="1"/>
          <w:sz w:val="22"/>
          <w:szCs w:val="22"/>
          <w:lang w:val="es-ES"/>
        </w:rPr>
        <w:t xml:space="preserve"> </w:t>
      </w:r>
      <w:proofErr w:type="spellStart"/>
      <w:r>
        <w:rPr>
          <w:rFonts w:eastAsia="Palatino Linotype"/>
          <w:position w:val="1"/>
          <w:sz w:val="22"/>
          <w:szCs w:val="22"/>
          <w:lang w:val="es-ES"/>
        </w:rPr>
        <w:t>product</w:t>
      </w:r>
      <w:proofErr w:type="spellEnd"/>
      <w:r>
        <w:rPr>
          <w:rFonts w:eastAsia="Palatino Linotype"/>
          <w:position w:val="1"/>
          <w:sz w:val="22"/>
          <w:szCs w:val="22"/>
          <w:lang w:val="es-ES"/>
        </w:rPr>
        <w:t xml:space="preserve"> </w:t>
      </w:r>
      <w:proofErr w:type="spellStart"/>
      <w:r>
        <w:rPr>
          <w:rFonts w:eastAsia="Palatino Linotype"/>
          <w:position w:val="1"/>
          <w:sz w:val="22"/>
          <w:szCs w:val="22"/>
          <w:lang w:val="es-ES"/>
        </w:rPr>
        <w:t>that</w:t>
      </w:r>
      <w:proofErr w:type="spellEnd"/>
      <w:r>
        <w:rPr>
          <w:rFonts w:eastAsia="Palatino Linotype"/>
          <w:position w:val="1"/>
          <w:sz w:val="22"/>
          <w:szCs w:val="22"/>
          <w:lang w:val="es-ES"/>
        </w:rPr>
        <w:t xml:space="preserve"> </w:t>
      </w:r>
      <w:proofErr w:type="spellStart"/>
      <w:r>
        <w:rPr>
          <w:rFonts w:eastAsia="Palatino Linotype"/>
          <w:position w:val="1"/>
          <w:sz w:val="22"/>
          <w:szCs w:val="22"/>
          <w:lang w:val="es-ES"/>
        </w:rPr>
        <w:t>does</w:t>
      </w:r>
      <w:proofErr w:type="spellEnd"/>
      <w:r>
        <w:rPr>
          <w:rFonts w:eastAsia="Palatino Linotype"/>
          <w:position w:val="1"/>
          <w:sz w:val="22"/>
          <w:szCs w:val="22"/>
          <w:lang w:val="es-ES"/>
        </w:rPr>
        <w:t xml:space="preserve"> </w:t>
      </w:r>
      <w:proofErr w:type="spellStart"/>
      <w:r>
        <w:rPr>
          <w:rFonts w:eastAsia="Palatino Linotype"/>
          <w:position w:val="1"/>
          <w:sz w:val="22"/>
          <w:szCs w:val="22"/>
          <w:lang w:val="es-ES"/>
        </w:rPr>
        <w:t>not</w:t>
      </w:r>
      <w:proofErr w:type="spellEnd"/>
      <w:r>
        <w:rPr>
          <w:rFonts w:eastAsia="Palatino Linotype"/>
          <w:position w:val="1"/>
          <w:sz w:val="22"/>
          <w:szCs w:val="22"/>
          <w:lang w:val="es-ES"/>
        </w:rPr>
        <w:t xml:space="preserve"> </w:t>
      </w:r>
      <w:proofErr w:type="spellStart"/>
      <w:r>
        <w:rPr>
          <w:rFonts w:eastAsia="Palatino Linotype"/>
          <w:position w:val="1"/>
          <w:sz w:val="22"/>
          <w:szCs w:val="22"/>
          <w:lang w:val="es-ES"/>
        </w:rPr>
        <w:t>qualify</w:t>
      </w:r>
      <w:proofErr w:type="spellEnd"/>
      <w:r>
        <w:rPr>
          <w:rFonts w:eastAsia="Palatino Linotype"/>
          <w:position w:val="1"/>
          <w:sz w:val="22"/>
          <w:szCs w:val="22"/>
          <w:lang w:val="es-ES"/>
        </w:rPr>
        <w:t xml:space="preserve"> as </w:t>
      </w:r>
      <w:proofErr w:type="spellStart"/>
      <w:r>
        <w:rPr>
          <w:rFonts w:eastAsia="Palatino Linotype"/>
          <w:position w:val="1"/>
          <w:sz w:val="22"/>
          <w:szCs w:val="22"/>
          <w:lang w:val="es-ES"/>
        </w:rPr>
        <w:t>national</w:t>
      </w:r>
      <w:proofErr w:type="spellEnd"/>
      <w:r>
        <w:rPr>
          <w:rFonts w:eastAsia="Palatino Linotype"/>
          <w:position w:val="1"/>
          <w:sz w:val="22"/>
          <w:szCs w:val="22"/>
          <w:lang w:val="es-ES"/>
        </w:rPr>
        <w:t xml:space="preserve">, </w:t>
      </w:r>
      <w:proofErr w:type="spellStart"/>
      <w:r>
        <w:rPr>
          <w:rFonts w:eastAsia="Palatino Linotype"/>
          <w:position w:val="1"/>
          <w:sz w:val="22"/>
          <w:szCs w:val="22"/>
          <w:lang w:val="es-ES"/>
        </w:rPr>
        <w:t>delivered</w:t>
      </w:r>
      <w:proofErr w:type="spellEnd"/>
      <w:r>
        <w:rPr>
          <w:rFonts w:eastAsia="Palatino Linotype"/>
          <w:position w:val="1"/>
          <w:sz w:val="22"/>
          <w:szCs w:val="22"/>
          <w:lang w:val="es-ES"/>
        </w:rPr>
        <w:t xml:space="preserve"> </w:t>
      </w:r>
      <w:proofErr w:type="spellStart"/>
      <w:r>
        <w:rPr>
          <w:rFonts w:eastAsia="Palatino Linotype"/>
          <w:position w:val="1"/>
          <w:sz w:val="22"/>
          <w:szCs w:val="22"/>
          <w:lang w:val="es-ES"/>
        </w:rPr>
        <w:t>to</w:t>
      </w:r>
      <w:proofErr w:type="spellEnd"/>
      <w:r>
        <w:rPr>
          <w:rFonts w:eastAsia="Palatino Linotype"/>
          <w:position w:val="1"/>
          <w:sz w:val="22"/>
          <w:szCs w:val="22"/>
          <w:lang w:val="es-ES"/>
        </w:rPr>
        <w:t xml:space="preserve"> </w:t>
      </w:r>
      <w:proofErr w:type="spellStart"/>
      <w:r>
        <w:rPr>
          <w:rFonts w:eastAsia="Palatino Linotype"/>
          <w:position w:val="1"/>
          <w:sz w:val="22"/>
          <w:szCs w:val="22"/>
          <w:lang w:val="es-ES"/>
        </w:rPr>
        <w:t>the</w:t>
      </w:r>
      <w:proofErr w:type="spellEnd"/>
      <w:r>
        <w:rPr>
          <w:rFonts w:eastAsia="Palatino Linotype"/>
          <w:position w:val="1"/>
          <w:sz w:val="22"/>
          <w:szCs w:val="22"/>
          <w:lang w:val="es-ES"/>
        </w:rPr>
        <w:t xml:space="preserve"> </w:t>
      </w:r>
      <w:proofErr w:type="spellStart"/>
      <w:r>
        <w:rPr>
          <w:rFonts w:eastAsia="Palatino Linotype"/>
          <w:position w:val="1"/>
          <w:sz w:val="22"/>
          <w:szCs w:val="22"/>
          <w:lang w:val="es-ES"/>
        </w:rPr>
        <w:t>buyer's</w:t>
      </w:r>
      <w:proofErr w:type="spellEnd"/>
      <w:r>
        <w:rPr>
          <w:rFonts w:eastAsia="Palatino Linotype"/>
          <w:position w:val="1"/>
          <w:sz w:val="22"/>
          <w:szCs w:val="22"/>
          <w:lang w:val="es-ES"/>
        </w:rPr>
        <w:t xml:space="preserve"> </w:t>
      </w:r>
      <w:proofErr w:type="spellStart"/>
      <w:r>
        <w:rPr>
          <w:rFonts w:eastAsia="Palatino Linotype"/>
          <w:position w:val="1"/>
          <w:sz w:val="22"/>
          <w:szCs w:val="22"/>
          <w:lang w:val="es-ES"/>
        </w:rPr>
        <w:t>warehouse</w:t>
      </w:r>
      <w:proofErr w:type="spellEnd"/>
    </w:p>
    <w:p w14:paraId="792346E5" w14:textId="77777777" w:rsidR="00E255F4" w:rsidRDefault="00000000">
      <w:pPr>
        <w:ind w:right="-142"/>
        <w:jc w:val="both"/>
        <w:rPr>
          <w:rFonts w:eastAsia="Palatino Linotype"/>
          <w:sz w:val="22"/>
          <w:szCs w:val="22"/>
          <w:lang w:val="es-ES"/>
        </w:rPr>
      </w:pPr>
      <w:r>
        <w:rPr>
          <w:rFonts w:eastAsia="Palatino Linotype"/>
          <w:spacing w:val="-1"/>
          <w:position w:val="1"/>
          <w:sz w:val="22"/>
          <w:szCs w:val="22"/>
          <w:lang w:val="es-ES"/>
        </w:rPr>
        <w:t>%BN</w:t>
      </w:r>
      <w:r>
        <w:rPr>
          <w:rFonts w:eastAsia="Palatino Linotype"/>
          <w:position w:val="1"/>
          <w:sz w:val="22"/>
          <w:szCs w:val="22"/>
          <w:lang w:val="es-ES"/>
        </w:rPr>
        <w:t xml:space="preserve">N = </w:t>
      </w:r>
      <w:proofErr w:type="spellStart"/>
      <w:r>
        <w:rPr>
          <w:rFonts w:eastAsia="Palatino Linotype"/>
          <w:position w:val="1"/>
          <w:sz w:val="22"/>
          <w:szCs w:val="22"/>
          <w:lang w:val="es-ES"/>
        </w:rPr>
        <w:t>percentage</w:t>
      </w:r>
      <w:proofErr w:type="spellEnd"/>
      <w:r>
        <w:rPr>
          <w:rFonts w:eastAsia="Palatino Linotype"/>
          <w:position w:val="1"/>
          <w:sz w:val="22"/>
          <w:szCs w:val="22"/>
          <w:lang w:val="es-ES"/>
        </w:rPr>
        <w:t xml:space="preserve"> </w:t>
      </w:r>
      <w:proofErr w:type="spellStart"/>
      <w:r>
        <w:rPr>
          <w:rFonts w:eastAsia="Palatino Linotype"/>
          <w:position w:val="1"/>
          <w:sz w:val="22"/>
          <w:szCs w:val="22"/>
          <w:lang w:val="es-ES"/>
        </w:rPr>
        <w:t>of</w:t>
      </w:r>
      <w:proofErr w:type="spellEnd"/>
      <w:r>
        <w:rPr>
          <w:rFonts w:eastAsia="Palatino Linotype"/>
          <w:position w:val="1"/>
          <w:sz w:val="22"/>
          <w:szCs w:val="22"/>
          <w:lang w:val="es-ES"/>
        </w:rPr>
        <w:t xml:space="preserve"> </w:t>
      </w:r>
      <w:proofErr w:type="spellStart"/>
      <w:r>
        <w:rPr>
          <w:rFonts w:eastAsia="Palatino Linotype"/>
          <w:position w:val="1"/>
          <w:sz w:val="22"/>
          <w:szCs w:val="22"/>
          <w:lang w:val="es-ES"/>
        </w:rPr>
        <w:t>the</w:t>
      </w:r>
      <w:proofErr w:type="spellEnd"/>
      <w:r>
        <w:rPr>
          <w:rFonts w:eastAsia="Palatino Linotype"/>
          <w:position w:val="1"/>
          <w:sz w:val="22"/>
          <w:szCs w:val="22"/>
          <w:lang w:val="es-ES"/>
        </w:rPr>
        <w:t xml:space="preserve"> </w:t>
      </w:r>
      <w:proofErr w:type="spellStart"/>
      <w:r>
        <w:rPr>
          <w:rFonts w:eastAsia="Palatino Linotype"/>
          <w:position w:val="1"/>
          <w:sz w:val="22"/>
          <w:szCs w:val="22"/>
          <w:lang w:val="es-ES"/>
        </w:rPr>
        <w:t>service</w:t>
      </w:r>
      <w:proofErr w:type="spellEnd"/>
      <w:r>
        <w:rPr>
          <w:rFonts w:eastAsia="Palatino Linotype"/>
          <w:position w:val="1"/>
          <w:sz w:val="22"/>
          <w:szCs w:val="22"/>
          <w:lang w:val="es-ES"/>
        </w:rPr>
        <w:t xml:space="preserve"> </w:t>
      </w:r>
      <w:proofErr w:type="spellStart"/>
      <w:r>
        <w:rPr>
          <w:rFonts w:eastAsia="Palatino Linotype"/>
          <w:position w:val="1"/>
          <w:sz w:val="22"/>
          <w:szCs w:val="22"/>
          <w:lang w:val="es-ES"/>
        </w:rPr>
        <w:t>price</w:t>
      </w:r>
      <w:proofErr w:type="spellEnd"/>
      <w:r>
        <w:rPr>
          <w:rFonts w:eastAsia="Palatino Linotype"/>
          <w:position w:val="1"/>
          <w:sz w:val="22"/>
          <w:szCs w:val="22"/>
          <w:lang w:val="es-ES"/>
        </w:rPr>
        <w:t xml:space="preserve"> </w:t>
      </w:r>
      <w:proofErr w:type="spellStart"/>
      <w:r>
        <w:rPr>
          <w:rFonts w:eastAsia="Palatino Linotype"/>
          <w:position w:val="1"/>
          <w:sz w:val="22"/>
          <w:szCs w:val="22"/>
          <w:lang w:val="es-ES"/>
        </w:rPr>
        <w:t>represented</w:t>
      </w:r>
      <w:proofErr w:type="spellEnd"/>
      <w:r>
        <w:rPr>
          <w:rFonts w:eastAsia="Palatino Linotype"/>
          <w:position w:val="1"/>
          <w:sz w:val="22"/>
          <w:szCs w:val="22"/>
          <w:lang w:val="es-ES"/>
        </w:rPr>
        <w:t xml:space="preserve"> </w:t>
      </w:r>
      <w:proofErr w:type="spellStart"/>
      <w:r>
        <w:rPr>
          <w:rFonts w:eastAsia="Palatino Linotype"/>
          <w:position w:val="1"/>
          <w:sz w:val="22"/>
          <w:szCs w:val="22"/>
          <w:lang w:val="es-ES"/>
        </w:rPr>
        <w:t>by</w:t>
      </w:r>
      <w:proofErr w:type="spellEnd"/>
      <w:r>
        <w:rPr>
          <w:rFonts w:eastAsia="Palatino Linotype"/>
          <w:position w:val="1"/>
          <w:sz w:val="22"/>
          <w:szCs w:val="22"/>
          <w:lang w:val="es-ES"/>
        </w:rPr>
        <w:t xml:space="preserve"> </w:t>
      </w:r>
      <w:proofErr w:type="spellStart"/>
      <w:r>
        <w:rPr>
          <w:rFonts w:eastAsia="Palatino Linotype"/>
          <w:position w:val="1"/>
          <w:sz w:val="22"/>
          <w:szCs w:val="22"/>
          <w:lang w:val="es-ES"/>
        </w:rPr>
        <w:t>goods</w:t>
      </w:r>
      <w:proofErr w:type="spellEnd"/>
      <w:r>
        <w:rPr>
          <w:rFonts w:eastAsia="Palatino Linotype"/>
          <w:position w:val="1"/>
          <w:sz w:val="22"/>
          <w:szCs w:val="22"/>
          <w:lang w:val="es-ES"/>
        </w:rPr>
        <w:t xml:space="preserve"> </w:t>
      </w:r>
      <w:proofErr w:type="spellStart"/>
      <w:r>
        <w:rPr>
          <w:rFonts w:eastAsia="Palatino Linotype"/>
          <w:position w:val="1"/>
          <w:sz w:val="22"/>
          <w:szCs w:val="22"/>
          <w:lang w:val="es-ES"/>
        </w:rPr>
        <w:t>that</w:t>
      </w:r>
      <w:proofErr w:type="spellEnd"/>
      <w:r>
        <w:rPr>
          <w:rFonts w:eastAsia="Palatino Linotype"/>
          <w:position w:val="1"/>
          <w:sz w:val="22"/>
          <w:szCs w:val="22"/>
          <w:lang w:val="es-ES"/>
        </w:rPr>
        <w:t xml:space="preserve"> do </w:t>
      </w:r>
      <w:proofErr w:type="spellStart"/>
      <w:r>
        <w:rPr>
          <w:rFonts w:eastAsia="Palatino Linotype"/>
          <w:position w:val="1"/>
          <w:sz w:val="22"/>
          <w:szCs w:val="22"/>
          <w:lang w:val="es-ES"/>
        </w:rPr>
        <w:t>not</w:t>
      </w:r>
      <w:proofErr w:type="spellEnd"/>
      <w:r>
        <w:rPr>
          <w:rFonts w:eastAsia="Palatino Linotype"/>
          <w:position w:val="1"/>
          <w:sz w:val="22"/>
          <w:szCs w:val="22"/>
          <w:lang w:val="es-ES"/>
        </w:rPr>
        <w:t xml:space="preserve"> </w:t>
      </w:r>
      <w:proofErr w:type="spellStart"/>
      <w:r>
        <w:rPr>
          <w:rFonts w:eastAsia="Palatino Linotype"/>
          <w:position w:val="1"/>
          <w:sz w:val="22"/>
          <w:szCs w:val="22"/>
          <w:lang w:val="es-ES"/>
        </w:rPr>
        <w:t>qualify</w:t>
      </w:r>
      <w:proofErr w:type="spellEnd"/>
      <w:r>
        <w:rPr>
          <w:rFonts w:eastAsia="Palatino Linotype"/>
          <w:position w:val="1"/>
          <w:sz w:val="22"/>
          <w:szCs w:val="22"/>
          <w:lang w:val="es-ES"/>
        </w:rPr>
        <w:t xml:space="preserve"> as </w:t>
      </w:r>
      <w:proofErr w:type="spellStart"/>
      <w:r>
        <w:rPr>
          <w:rFonts w:eastAsia="Palatino Linotype"/>
          <w:position w:val="1"/>
          <w:sz w:val="22"/>
          <w:szCs w:val="22"/>
          <w:lang w:val="es-ES"/>
        </w:rPr>
        <w:t>national</w:t>
      </w:r>
      <w:proofErr w:type="spellEnd"/>
      <w:r>
        <w:rPr>
          <w:rFonts w:eastAsia="Palatino Linotype"/>
          <w:position w:val="1"/>
          <w:sz w:val="22"/>
          <w:szCs w:val="22"/>
          <w:lang w:val="es-ES"/>
        </w:rPr>
        <w:t xml:space="preserve"> (</w:t>
      </w:r>
      <w:proofErr w:type="spellStart"/>
      <w:r>
        <w:rPr>
          <w:rFonts w:eastAsia="Palatino Linotype"/>
          <w:position w:val="1"/>
          <w:sz w:val="22"/>
          <w:szCs w:val="22"/>
          <w:lang w:val="es-ES"/>
        </w:rPr>
        <w:t>declared</w:t>
      </w:r>
      <w:proofErr w:type="spellEnd"/>
      <w:r>
        <w:rPr>
          <w:rFonts w:eastAsia="Palatino Linotype"/>
          <w:position w:val="1"/>
          <w:sz w:val="22"/>
          <w:szCs w:val="22"/>
          <w:lang w:val="es-ES"/>
        </w:rPr>
        <w:t xml:space="preserve"> </w:t>
      </w:r>
      <w:proofErr w:type="spellStart"/>
      <w:r>
        <w:rPr>
          <w:rFonts w:eastAsia="Palatino Linotype"/>
          <w:position w:val="1"/>
          <w:sz w:val="22"/>
          <w:szCs w:val="22"/>
          <w:lang w:val="es-ES"/>
        </w:rPr>
        <w:t>by</w:t>
      </w:r>
      <w:proofErr w:type="spellEnd"/>
      <w:r>
        <w:rPr>
          <w:rFonts w:eastAsia="Palatino Linotype"/>
          <w:position w:val="1"/>
          <w:sz w:val="22"/>
          <w:szCs w:val="22"/>
          <w:lang w:val="es-ES"/>
        </w:rPr>
        <w:t xml:space="preserve"> </w:t>
      </w:r>
      <w:proofErr w:type="spellStart"/>
      <w:r>
        <w:rPr>
          <w:rFonts w:eastAsia="Palatino Linotype"/>
          <w:position w:val="1"/>
          <w:sz w:val="22"/>
          <w:szCs w:val="22"/>
          <w:lang w:val="es-ES"/>
        </w:rPr>
        <w:t>the</w:t>
      </w:r>
      <w:proofErr w:type="spellEnd"/>
      <w:r>
        <w:rPr>
          <w:rFonts w:eastAsia="Palatino Linotype"/>
          <w:position w:val="1"/>
          <w:sz w:val="22"/>
          <w:szCs w:val="22"/>
          <w:lang w:val="es-ES"/>
        </w:rPr>
        <w:t xml:space="preserve"> </w:t>
      </w:r>
      <w:proofErr w:type="spellStart"/>
      <w:r>
        <w:rPr>
          <w:rFonts w:eastAsia="Palatino Linotype"/>
          <w:position w:val="1"/>
          <w:sz w:val="22"/>
          <w:szCs w:val="22"/>
          <w:lang w:val="es-ES"/>
        </w:rPr>
        <w:t>supplier</w:t>
      </w:r>
      <w:proofErr w:type="spellEnd"/>
      <w:r>
        <w:rPr>
          <w:rFonts w:eastAsia="Palatino Linotype"/>
          <w:position w:val="1"/>
          <w:sz w:val="22"/>
          <w:szCs w:val="22"/>
          <w:lang w:val="es-ES"/>
        </w:rPr>
        <w:t>)</w:t>
      </w:r>
    </w:p>
    <w:p w14:paraId="5963AC23" w14:textId="77777777" w:rsidR="00E255F4" w:rsidRDefault="00E255F4">
      <w:pPr>
        <w:ind w:right="-142"/>
        <w:jc w:val="both"/>
        <w:rPr>
          <w:rFonts w:eastAsia="Palatino Linotype"/>
          <w:sz w:val="22"/>
          <w:szCs w:val="22"/>
          <w:lang w:val="es-ES"/>
        </w:rPr>
      </w:pPr>
    </w:p>
    <w:p w14:paraId="5FCF98C0" w14:textId="77777777" w:rsidR="00E255F4" w:rsidRDefault="00000000">
      <w:pPr>
        <w:ind w:right="-142"/>
        <w:jc w:val="both"/>
        <w:rPr>
          <w:rFonts w:eastAsia="Palatino Linotype"/>
          <w:sz w:val="22"/>
          <w:szCs w:val="22"/>
          <w:lang w:val="es-ES"/>
        </w:rPr>
      </w:pPr>
      <w:proofErr w:type="spellStart"/>
      <w:r>
        <w:rPr>
          <w:rFonts w:eastAsia="Palatino Linotype"/>
          <w:spacing w:val="-2"/>
          <w:sz w:val="22"/>
          <w:szCs w:val="22"/>
          <w:lang w:val="es-ES"/>
        </w:rPr>
        <w:t>When</w:t>
      </w:r>
      <w:r>
        <w:rPr>
          <w:rFonts w:eastAsia="Palatino Linotype"/>
          <w:sz w:val="22"/>
          <w:szCs w:val="22"/>
          <w:lang w:val="es-ES"/>
        </w:rPr>
        <w:t>or</w:t>
      </w:r>
      <w:proofErr w:type="spellEnd"/>
      <w:r>
        <w:rPr>
          <w:rFonts w:eastAsia="Palatino Linotype"/>
          <w:sz w:val="22"/>
          <w:szCs w:val="22"/>
          <w:lang w:val="es-ES"/>
        </w:rPr>
        <w:t xml:space="preserve"> </w:t>
      </w:r>
      <w:proofErr w:type="spellStart"/>
      <w:r>
        <w:rPr>
          <w:rFonts w:eastAsia="Palatino Linotype"/>
          <w:sz w:val="22"/>
          <w:szCs w:val="22"/>
          <w:lang w:val="es-ES"/>
        </w:rPr>
        <w:t>if</w:t>
      </w:r>
      <w:proofErr w:type="spellEnd"/>
      <w:r>
        <w:rPr>
          <w:rFonts w:eastAsia="Palatino Linotype"/>
          <w:sz w:val="22"/>
          <w:szCs w:val="22"/>
          <w:lang w:val="es-ES"/>
        </w:rPr>
        <w:t xml:space="preserve"> </w:t>
      </w:r>
      <w:proofErr w:type="spellStart"/>
      <w:r>
        <w:rPr>
          <w:rFonts w:eastAsia="Palatino Linotype"/>
          <w:sz w:val="22"/>
          <w:szCs w:val="22"/>
          <w:lang w:val="es-ES"/>
        </w:rPr>
        <w:t>the</w:t>
      </w:r>
      <w:proofErr w:type="spellEnd"/>
      <w:r>
        <w:rPr>
          <w:rFonts w:eastAsia="Palatino Linotype"/>
          <w:sz w:val="22"/>
          <w:szCs w:val="22"/>
          <w:lang w:val="es-ES"/>
        </w:rPr>
        <w:t xml:space="preserve"> </w:t>
      </w:r>
      <w:proofErr w:type="spellStart"/>
      <w:r>
        <w:rPr>
          <w:rFonts w:eastAsia="Palatino Linotype"/>
          <w:sz w:val="22"/>
          <w:szCs w:val="22"/>
          <w:lang w:val="es-ES"/>
        </w:rPr>
        <w:t>other</w:t>
      </w:r>
      <w:proofErr w:type="spellEnd"/>
      <w:r>
        <w:rPr>
          <w:rFonts w:eastAsia="Palatino Linotype"/>
          <w:sz w:val="22"/>
          <w:szCs w:val="22"/>
          <w:lang w:val="es-ES"/>
        </w:rPr>
        <w:t xml:space="preserve"> </w:t>
      </w:r>
      <w:proofErr w:type="spellStart"/>
      <w:r>
        <w:rPr>
          <w:rFonts w:eastAsia="Palatino Linotype"/>
          <w:sz w:val="22"/>
          <w:szCs w:val="22"/>
          <w:lang w:val="es-ES"/>
        </w:rPr>
        <w:t>evaluation</w:t>
      </w:r>
      <w:proofErr w:type="spellEnd"/>
      <w:r>
        <w:rPr>
          <w:rFonts w:eastAsia="Palatino Linotype"/>
          <w:sz w:val="22"/>
          <w:szCs w:val="22"/>
          <w:lang w:val="es-ES"/>
        </w:rPr>
        <w:t xml:space="preserve"> </w:t>
      </w:r>
      <w:proofErr w:type="spellStart"/>
      <w:r>
        <w:rPr>
          <w:rFonts w:eastAsia="Palatino Linotype"/>
          <w:sz w:val="22"/>
          <w:szCs w:val="22"/>
          <w:lang w:val="es-ES"/>
        </w:rPr>
        <w:t>criteria</w:t>
      </w:r>
      <w:proofErr w:type="spellEnd"/>
      <w:r>
        <w:rPr>
          <w:rFonts w:eastAsia="Palatino Linotype"/>
          <w:sz w:val="22"/>
          <w:szCs w:val="22"/>
          <w:lang w:val="es-ES"/>
        </w:rPr>
        <w:t xml:space="preserve">, </w:t>
      </w:r>
      <w:proofErr w:type="spellStart"/>
      <w:r>
        <w:rPr>
          <w:rFonts w:eastAsia="Palatino Linotype"/>
          <w:sz w:val="22"/>
          <w:szCs w:val="22"/>
          <w:lang w:val="es-ES"/>
        </w:rPr>
        <w:t>established</w:t>
      </w:r>
      <w:proofErr w:type="spellEnd"/>
      <w:r>
        <w:rPr>
          <w:rFonts w:eastAsia="Palatino Linotype"/>
          <w:sz w:val="22"/>
          <w:szCs w:val="22"/>
          <w:lang w:val="es-ES"/>
        </w:rPr>
        <w:t xml:space="preserve"> in </w:t>
      </w:r>
      <w:proofErr w:type="spellStart"/>
      <w:r>
        <w:rPr>
          <w:rFonts w:eastAsia="Palatino Linotype"/>
          <w:sz w:val="22"/>
          <w:szCs w:val="22"/>
          <w:lang w:val="es-ES"/>
        </w:rPr>
        <w:t>the</w:t>
      </w:r>
      <w:proofErr w:type="spellEnd"/>
      <w:r>
        <w:rPr>
          <w:rFonts w:eastAsia="Palatino Linotype"/>
          <w:sz w:val="22"/>
          <w:szCs w:val="22"/>
          <w:lang w:val="es-ES"/>
        </w:rPr>
        <w:t xml:space="preserve"> Special </w:t>
      </w:r>
      <w:proofErr w:type="spellStart"/>
      <w:r>
        <w:rPr>
          <w:rFonts w:eastAsia="Palatino Linotype"/>
          <w:sz w:val="22"/>
          <w:szCs w:val="22"/>
          <w:lang w:val="es-ES"/>
        </w:rPr>
        <w:t>Specifications</w:t>
      </w:r>
      <w:proofErr w:type="spellEnd"/>
      <w:r>
        <w:rPr>
          <w:rFonts w:eastAsia="Palatino Linotype"/>
          <w:sz w:val="22"/>
          <w:szCs w:val="22"/>
          <w:lang w:val="es-ES"/>
        </w:rPr>
        <w:t xml:space="preserve">, </w:t>
      </w:r>
      <w:proofErr w:type="spellStart"/>
      <w:r>
        <w:rPr>
          <w:rFonts w:eastAsia="Palatino Linotype"/>
          <w:sz w:val="22"/>
          <w:szCs w:val="22"/>
          <w:lang w:val="es-ES"/>
        </w:rPr>
        <w:t>have</w:t>
      </w:r>
      <w:proofErr w:type="spellEnd"/>
      <w:r>
        <w:rPr>
          <w:rFonts w:eastAsia="Palatino Linotype"/>
          <w:sz w:val="22"/>
          <w:szCs w:val="22"/>
          <w:lang w:val="es-ES"/>
        </w:rPr>
        <w:t xml:space="preserve"> a </w:t>
      </w:r>
      <w:proofErr w:type="spellStart"/>
      <w:r>
        <w:rPr>
          <w:rFonts w:eastAsia="Palatino Linotype"/>
          <w:sz w:val="22"/>
          <w:szCs w:val="22"/>
          <w:lang w:val="es-ES"/>
        </w:rPr>
        <w:t>monetary</w:t>
      </w:r>
      <w:proofErr w:type="spellEnd"/>
      <w:r>
        <w:rPr>
          <w:rFonts w:eastAsia="Palatino Linotype"/>
          <w:sz w:val="22"/>
          <w:szCs w:val="22"/>
          <w:lang w:val="es-ES"/>
        </w:rPr>
        <w:t xml:space="preserve"> </w:t>
      </w:r>
      <w:proofErr w:type="spellStart"/>
      <w:r>
        <w:rPr>
          <w:rFonts w:eastAsia="Palatino Linotype"/>
          <w:sz w:val="22"/>
          <w:szCs w:val="22"/>
          <w:lang w:val="es-ES"/>
        </w:rPr>
        <w:t>value</w:t>
      </w:r>
      <w:proofErr w:type="spellEnd"/>
      <w:r>
        <w:rPr>
          <w:rFonts w:eastAsia="Palatino Linotype"/>
          <w:sz w:val="22"/>
          <w:szCs w:val="22"/>
          <w:lang w:val="es-ES"/>
        </w:rPr>
        <w:t xml:space="preserve"> </w:t>
      </w:r>
      <w:proofErr w:type="spellStart"/>
      <w:r>
        <w:rPr>
          <w:rFonts w:eastAsia="Palatino Linotype"/>
          <w:sz w:val="22"/>
          <w:szCs w:val="22"/>
          <w:lang w:val="es-ES"/>
        </w:rPr>
        <w:t>assigned</w:t>
      </w:r>
      <w:proofErr w:type="spellEnd"/>
      <w:r>
        <w:rPr>
          <w:rFonts w:eastAsia="Palatino Linotype"/>
          <w:sz w:val="22"/>
          <w:szCs w:val="22"/>
          <w:lang w:val="es-ES"/>
        </w:rPr>
        <w:t xml:space="preserve">, </w:t>
      </w:r>
      <w:proofErr w:type="spellStart"/>
      <w:r>
        <w:rPr>
          <w:rFonts w:eastAsia="Palatino Linotype"/>
          <w:sz w:val="22"/>
          <w:szCs w:val="22"/>
          <w:lang w:val="es-ES"/>
        </w:rPr>
        <w:t>this</w:t>
      </w:r>
      <w:proofErr w:type="spellEnd"/>
      <w:r>
        <w:rPr>
          <w:rFonts w:eastAsia="Palatino Linotype"/>
          <w:sz w:val="22"/>
          <w:szCs w:val="22"/>
          <w:lang w:val="es-ES"/>
        </w:rPr>
        <w:t xml:space="preserve"> </w:t>
      </w:r>
      <w:proofErr w:type="spellStart"/>
      <w:r>
        <w:rPr>
          <w:rFonts w:eastAsia="Palatino Linotype"/>
          <w:sz w:val="22"/>
          <w:szCs w:val="22"/>
          <w:lang w:val="es-ES"/>
        </w:rPr>
        <w:t>will</w:t>
      </w:r>
      <w:proofErr w:type="spellEnd"/>
      <w:r>
        <w:rPr>
          <w:rFonts w:eastAsia="Palatino Linotype"/>
          <w:sz w:val="22"/>
          <w:szCs w:val="22"/>
          <w:lang w:val="es-ES"/>
        </w:rPr>
        <w:t xml:space="preserve"> be </w:t>
      </w:r>
      <w:proofErr w:type="spellStart"/>
      <w:r>
        <w:rPr>
          <w:rFonts w:eastAsia="Palatino Linotype"/>
          <w:sz w:val="22"/>
          <w:szCs w:val="22"/>
          <w:lang w:val="es-ES"/>
        </w:rPr>
        <w:t>added</w:t>
      </w:r>
      <w:proofErr w:type="spellEnd"/>
      <w:r>
        <w:rPr>
          <w:rFonts w:eastAsia="Palatino Linotype"/>
          <w:sz w:val="22"/>
          <w:szCs w:val="22"/>
          <w:lang w:val="es-ES"/>
        </w:rPr>
        <w:t xml:space="preserve"> </w:t>
      </w:r>
      <w:proofErr w:type="spellStart"/>
      <w:r>
        <w:rPr>
          <w:rFonts w:eastAsia="Palatino Linotype"/>
          <w:sz w:val="22"/>
          <w:szCs w:val="22"/>
          <w:lang w:val="es-ES"/>
        </w:rPr>
        <w:t>to</w:t>
      </w:r>
      <w:proofErr w:type="spellEnd"/>
      <w:r>
        <w:rPr>
          <w:rFonts w:eastAsia="Palatino Linotype"/>
          <w:sz w:val="22"/>
          <w:szCs w:val="22"/>
          <w:lang w:val="es-ES"/>
        </w:rPr>
        <w:t xml:space="preserve"> </w:t>
      </w:r>
      <w:proofErr w:type="spellStart"/>
      <w:r>
        <w:rPr>
          <w:rFonts w:eastAsia="Palatino Linotype"/>
          <w:sz w:val="22"/>
          <w:szCs w:val="22"/>
          <w:lang w:val="es-ES"/>
        </w:rPr>
        <w:t>the</w:t>
      </w:r>
      <w:proofErr w:type="spellEnd"/>
      <w:r>
        <w:rPr>
          <w:rFonts w:eastAsia="Palatino Linotype"/>
          <w:sz w:val="22"/>
          <w:szCs w:val="22"/>
          <w:lang w:val="es-ES"/>
        </w:rPr>
        <w:t xml:space="preserve"> comparative </w:t>
      </w:r>
      <w:proofErr w:type="spellStart"/>
      <w:r>
        <w:rPr>
          <w:rFonts w:eastAsia="Palatino Linotype"/>
          <w:sz w:val="22"/>
          <w:szCs w:val="22"/>
          <w:lang w:val="es-ES"/>
        </w:rPr>
        <w:t>price</w:t>
      </w:r>
      <w:proofErr w:type="spellEnd"/>
      <w:r>
        <w:rPr>
          <w:rFonts w:eastAsia="Palatino Linotype"/>
          <w:sz w:val="22"/>
          <w:szCs w:val="22"/>
          <w:lang w:val="es-ES"/>
        </w:rPr>
        <w:t>.</w:t>
      </w:r>
    </w:p>
    <w:p w14:paraId="3A23D604" w14:textId="77777777" w:rsidR="00E255F4" w:rsidRDefault="00E255F4">
      <w:pPr>
        <w:ind w:right="-142"/>
        <w:jc w:val="both"/>
        <w:rPr>
          <w:rFonts w:eastAsia="Palatino Linotype"/>
          <w:spacing w:val="2"/>
          <w:position w:val="1"/>
          <w:sz w:val="22"/>
          <w:szCs w:val="22"/>
          <w:lang w:val="es-ES"/>
        </w:rPr>
      </w:pPr>
    </w:p>
    <w:p w14:paraId="0BD6303F" w14:textId="77777777" w:rsidR="00E255F4" w:rsidRDefault="00000000">
      <w:pPr>
        <w:ind w:right="-142"/>
        <w:jc w:val="both"/>
        <w:rPr>
          <w:rFonts w:eastAsia="Palatino Linotype"/>
          <w:sz w:val="22"/>
          <w:szCs w:val="22"/>
          <w:lang w:val="es-ES"/>
        </w:rPr>
      </w:pPr>
      <w:r>
        <w:rPr>
          <w:rFonts w:eastAsia="Palatino Linotype"/>
          <w:spacing w:val="2"/>
          <w:position w:val="1"/>
          <w:sz w:val="22"/>
          <w:szCs w:val="22"/>
          <w:lang w:val="es-ES"/>
        </w:rPr>
        <w:t>AND</w:t>
      </w:r>
      <w:r>
        <w:rPr>
          <w:rFonts w:eastAsia="Palatino Linotype"/>
          <w:position w:val="1"/>
          <w:sz w:val="22"/>
          <w:szCs w:val="22"/>
          <w:lang w:val="es-ES"/>
        </w:rPr>
        <w:t xml:space="preserve">In </w:t>
      </w:r>
      <w:proofErr w:type="spellStart"/>
      <w:r>
        <w:rPr>
          <w:rFonts w:eastAsia="Palatino Linotype"/>
          <w:position w:val="1"/>
          <w:sz w:val="22"/>
          <w:szCs w:val="22"/>
          <w:lang w:val="es-ES"/>
        </w:rPr>
        <w:t>the</w:t>
      </w:r>
      <w:proofErr w:type="spellEnd"/>
      <w:r>
        <w:rPr>
          <w:rFonts w:eastAsia="Palatino Linotype"/>
          <w:position w:val="1"/>
          <w:sz w:val="22"/>
          <w:szCs w:val="22"/>
          <w:lang w:val="es-ES"/>
        </w:rPr>
        <w:t xml:space="preserve"> case </w:t>
      </w:r>
      <w:proofErr w:type="spellStart"/>
      <w:r>
        <w:rPr>
          <w:rFonts w:eastAsia="Palatino Linotype"/>
          <w:position w:val="1"/>
          <w:sz w:val="22"/>
          <w:szCs w:val="22"/>
          <w:lang w:val="es-ES"/>
        </w:rPr>
        <w:t>of</w:t>
      </w:r>
      <w:proofErr w:type="spellEnd"/>
      <w:r>
        <w:rPr>
          <w:rFonts w:eastAsia="Palatino Linotype"/>
          <w:position w:val="1"/>
          <w:sz w:val="22"/>
          <w:szCs w:val="22"/>
          <w:lang w:val="es-ES"/>
        </w:rPr>
        <w:t xml:space="preserve"> </w:t>
      </w:r>
      <w:proofErr w:type="spellStart"/>
      <w:r>
        <w:rPr>
          <w:rFonts w:eastAsia="Palatino Linotype"/>
          <w:position w:val="1"/>
          <w:sz w:val="22"/>
          <w:szCs w:val="22"/>
          <w:lang w:val="es-ES"/>
        </w:rPr>
        <w:t>goods</w:t>
      </w:r>
      <w:proofErr w:type="spellEnd"/>
      <w:r>
        <w:rPr>
          <w:rFonts w:eastAsia="Palatino Linotype"/>
          <w:position w:val="1"/>
          <w:sz w:val="22"/>
          <w:szCs w:val="22"/>
          <w:lang w:val="es-ES"/>
        </w:rPr>
        <w:t xml:space="preserve">, </w:t>
      </w:r>
      <w:proofErr w:type="spellStart"/>
      <w:r>
        <w:rPr>
          <w:rFonts w:eastAsia="Palatino Linotype"/>
          <w:position w:val="1"/>
          <w:sz w:val="22"/>
          <w:szCs w:val="22"/>
          <w:lang w:val="es-ES"/>
        </w:rPr>
        <w:t>the</w:t>
      </w:r>
      <w:proofErr w:type="spellEnd"/>
      <w:r>
        <w:rPr>
          <w:rFonts w:eastAsia="Palatino Linotype"/>
          <w:position w:val="1"/>
          <w:sz w:val="22"/>
          <w:szCs w:val="22"/>
          <w:lang w:val="es-ES"/>
        </w:rPr>
        <w:t xml:space="preserve"> </w:t>
      </w:r>
      <w:proofErr w:type="spellStart"/>
      <w:r>
        <w:rPr>
          <w:rFonts w:eastAsia="Palatino Linotype"/>
          <w:position w:val="1"/>
          <w:sz w:val="22"/>
          <w:szCs w:val="22"/>
          <w:lang w:val="es-ES"/>
        </w:rPr>
        <w:t>price</w:t>
      </w:r>
      <w:proofErr w:type="spellEnd"/>
      <w:r>
        <w:rPr>
          <w:rFonts w:eastAsia="Palatino Linotype"/>
          <w:position w:val="1"/>
          <w:sz w:val="22"/>
          <w:szCs w:val="22"/>
          <w:lang w:val="es-ES"/>
        </w:rPr>
        <w:t xml:space="preserve"> </w:t>
      </w:r>
      <w:proofErr w:type="spellStart"/>
      <w:r>
        <w:rPr>
          <w:rFonts w:eastAsia="Palatino Linotype"/>
          <w:position w:val="1"/>
          <w:sz w:val="22"/>
          <w:szCs w:val="22"/>
          <w:lang w:val="es-ES"/>
        </w:rPr>
        <w:t>comparison</w:t>
      </w:r>
      <w:proofErr w:type="spellEnd"/>
      <w:r>
        <w:rPr>
          <w:rFonts w:eastAsia="Palatino Linotype"/>
          <w:position w:val="1"/>
          <w:sz w:val="22"/>
          <w:szCs w:val="22"/>
          <w:lang w:val="es-ES"/>
        </w:rPr>
        <w:t xml:space="preserve"> </w:t>
      </w:r>
      <w:proofErr w:type="spellStart"/>
      <w:r>
        <w:rPr>
          <w:rFonts w:eastAsia="Palatino Linotype"/>
          <w:position w:val="1"/>
          <w:sz w:val="22"/>
          <w:szCs w:val="22"/>
          <w:lang w:val="es-ES"/>
        </w:rPr>
        <w:t>between</w:t>
      </w:r>
      <w:proofErr w:type="spellEnd"/>
      <w:r>
        <w:rPr>
          <w:rFonts w:eastAsia="Palatino Linotype"/>
          <w:position w:val="1"/>
          <w:sz w:val="22"/>
          <w:szCs w:val="22"/>
          <w:lang w:val="es-ES"/>
        </w:rPr>
        <w:t xml:space="preserve"> </w:t>
      </w:r>
      <w:proofErr w:type="spellStart"/>
      <w:r>
        <w:rPr>
          <w:rFonts w:eastAsia="Palatino Linotype"/>
          <w:position w:val="1"/>
          <w:sz w:val="22"/>
          <w:szCs w:val="22"/>
          <w:lang w:val="es-ES"/>
        </w:rPr>
        <w:t>products</w:t>
      </w:r>
      <w:proofErr w:type="spellEnd"/>
      <w:r>
        <w:rPr>
          <w:rFonts w:eastAsia="Palatino Linotype"/>
          <w:position w:val="1"/>
          <w:sz w:val="22"/>
          <w:szCs w:val="22"/>
          <w:lang w:val="es-ES"/>
        </w:rPr>
        <w:t xml:space="preserve"> </w:t>
      </w:r>
      <w:proofErr w:type="spellStart"/>
      <w:r>
        <w:rPr>
          <w:rFonts w:eastAsia="Palatino Linotype"/>
          <w:position w:val="1"/>
          <w:sz w:val="22"/>
          <w:szCs w:val="22"/>
          <w:lang w:val="es-ES"/>
        </w:rPr>
        <w:t>that</w:t>
      </w:r>
      <w:proofErr w:type="spellEnd"/>
      <w:r>
        <w:rPr>
          <w:rFonts w:eastAsia="Palatino Linotype"/>
          <w:position w:val="1"/>
          <w:sz w:val="22"/>
          <w:szCs w:val="22"/>
          <w:lang w:val="es-ES"/>
        </w:rPr>
        <w:t xml:space="preserve"> </w:t>
      </w:r>
      <w:proofErr w:type="spellStart"/>
      <w:r>
        <w:rPr>
          <w:rFonts w:eastAsia="Palatino Linotype"/>
          <w:position w:val="1"/>
          <w:sz w:val="22"/>
          <w:szCs w:val="22"/>
          <w:lang w:val="es-ES"/>
        </w:rPr>
        <w:t>qualify</w:t>
      </w:r>
      <w:proofErr w:type="spellEnd"/>
      <w:r>
        <w:rPr>
          <w:rFonts w:eastAsia="Palatino Linotype"/>
          <w:position w:val="1"/>
          <w:sz w:val="22"/>
          <w:szCs w:val="22"/>
          <w:lang w:val="es-ES"/>
        </w:rPr>
        <w:t xml:space="preserve"> as </w:t>
      </w:r>
      <w:proofErr w:type="spellStart"/>
      <w:r>
        <w:rPr>
          <w:rFonts w:eastAsia="Palatino Linotype"/>
          <w:position w:val="1"/>
          <w:sz w:val="22"/>
          <w:szCs w:val="22"/>
          <w:lang w:val="es-ES"/>
        </w:rPr>
        <w:t>national</w:t>
      </w:r>
      <w:proofErr w:type="spellEnd"/>
      <w:r>
        <w:rPr>
          <w:rFonts w:eastAsia="Palatino Linotype"/>
          <w:position w:val="1"/>
          <w:sz w:val="22"/>
          <w:szCs w:val="22"/>
          <w:lang w:val="es-ES"/>
        </w:rPr>
        <w:t xml:space="preserve"> and </w:t>
      </w:r>
      <w:proofErr w:type="spellStart"/>
      <w:r>
        <w:rPr>
          <w:rFonts w:eastAsia="Palatino Linotype"/>
          <w:position w:val="1"/>
          <w:sz w:val="22"/>
          <w:szCs w:val="22"/>
          <w:lang w:val="es-ES"/>
        </w:rPr>
        <w:t>those</w:t>
      </w:r>
      <w:proofErr w:type="spellEnd"/>
      <w:r>
        <w:rPr>
          <w:rFonts w:eastAsia="Palatino Linotype"/>
          <w:position w:val="1"/>
          <w:sz w:val="22"/>
          <w:szCs w:val="22"/>
          <w:lang w:val="es-ES"/>
        </w:rPr>
        <w:t xml:space="preserve"> </w:t>
      </w:r>
      <w:proofErr w:type="spellStart"/>
      <w:r>
        <w:rPr>
          <w:rFonts w:eastAsia="Palatino Linotype"/>
          <w:position w:val="1"/>
          <w:sz w:val="22"/>
          <w:szCs w:val="22"/>
          <w:lang w:val="es-ES"/>
        </w:rPr>
        <w:t>that</w:t>
      </w:r>
      <w:proofErr w:type="spellEnd"/>
      <w:r>
        <w:rPr>
          <w:rFonts w:eastAsia="Palatino Linotype"/>
          <w:position w:val="1"/>
          <w:sz w:val="22"/>
          <w:szCs w:val="22"/>
          <w:lang w:val="es-ES"/>
        </w:rPr>
        <w:t xml:space="preserve"> do </w:t>
      </w:r>
      <w:proofErr w:type="spellStart"/>
      <w:r>
        <w:rPr>
          <w:rFonts w:eastAsia="Palatino Linotype"/>
          <w:position w:val="1"/>
          <w:sz w:val="22"/>
          <w:szCs w:val="22"/>
          <w:lang w:val="es-ES"/>
        </w:rPr>
        <w:t>not</w:t>
      </w:r>
      <w:proofErr w:type="spellEnd"/>
      <w:r>
        <w:rPr>
          <w:rFonts w:eastAsia="Palatino Linotype"/>
          <w:position w:val="1"/>
          <w:sz w:val="22"/>
          <w:szCs w:val="22"/>
          <w:lang w:val="es-ES"/>
        </w:rPr>
        <w:t xml:space="preserve"> </w:t>
      </w:r>
      <w:proofErr w:type="spellStart"/>
      <w:r>
        <w:rPr>
          <w:rFonts w:eastAsia="Palatino Linotype"/>
          <w:position w:val="1"/>
          <w:sz w:val="22"/>
          <w:szCs w:val="22"/>
          <w:lang w:val="es-ES"/>
        </w:rPr>
        <w:t>qualify</w:t>
      </w:r>
      <w:proofErr w:type="spellEnd"/>
      <w:r>
        <w:rPr>
          <w:rFonts w:eastAsia="Palatino Linotype"/>
          <w:position w:val="1"/>
          <w:sz w:val="22"/>
          <w:szCs w:val="22"/>
          <w:lang w:val="es-ES"/>
        </w:rPr>
        <w:t xml:space="preserve">, </w:t>
      </w:r>
      <w:proofErr w:type="spellStart"/>
      <w:r>
        <w:rPr>
          <w:rFonts w:eastAsia="Palatino Linotype"/>
          <w:position w:val="1"/>
          <w:sz w:val="22"/>
          <w:szCs w:val="22"/>
          <w:lang w:val="es-ES"/>
        </w:rPr>
        <w:t>whether</w:t>
      </w:r>
      <w:proofErr w:type="spellEnd"/>
      <w:r>
        <w:rPr>
          <w:rFonts w:eastAsia="Palatino Linotype"/>
          <w:position w:val="1"/>
          <w:sz w:val="22"/>
          <w:szCs w:val="22"/>
          <w:lang w:val="es-ES"/>
        </w:rPr>
        <w:t xml:space="preserve"> </w:t>
      </w:r>
      <w:proofErr w:type="spellStart"/>
      <w:r>
        <w:rPr>
          <w:rFonts w:eastAsia="Palatino Linotype"/>
          <w:position w:val="1"/>
          <w:sz w:val="22"/>
          <w:szCs w:val="22"/>
          <w:lang w:val="es-ES"/>
        </w:rPr>
        <w:t>these</w:t>
      </w:r>
      <w:proofErr w:type="spellEnd"/>
      <w:r>
        <w:rPr>
          <w:rFonts w:eastAsia="Palatino Linotype"/>
          <w:position w:val="1"/>
          <w:sz w:val="22"/>
          <w:szCs w:val="22"/>
          <w:lang w:val="es-ES"/>
        </w:rPr>
        <w:t xml:space="preserve"> are </w:t>
      </w:r>
      <w:proofErr w:type="spellStart"/>
      <w:r>
        <w:rPr>
          <w:rFonts w:eastAsia="Palatino Linotype"/>
          <w:position w:val="1"/>
          <w:sz w:val="22"/>
          <w:szCs w:val="22"/>
          <w:lang w:val="es-ES"/>
        </w:rPr>
        <w:t>quoted</w:t>
      </w:r>
      <w:proofErr w:type="spellEnd"/>
      <w:r>
        <w:rPr>
          <w:rFonts w:eastAsia="Palatino Linotype"/>
          <w:position w:val="1"/>
          <w:sz w:val="22"/>
          <w:szCs w:val="22"/>
          <w:lang w:val="es-ES"/>
        </w:rPr>
        <w:t xml:space="preserve"> </w:t>
      </w:r>
      <w:proofErr w:type="spellStart"/>
      <w:r>
        <w:rPr>
          <w:rFonts w:eastAsia="Palatino Linotype"/>
          <w:position w:val="1"/>
          <w:sz w:val="22"/>
          <w:szCs w:val="22"/>
          <w:lang w:val="es-ES"/>
        </w:rPr>
        <w:t>locally</w:t>
      </w:r>
      <w:proofErr w:type="spellEnd"/>
      <w:r>
        <w:rPr>
          <w:rFonts w:eastAsia="Palatino Linotype"/>
          <w:position w:val="1"/>
          <w:sz w:val="22"/>
          <w:szCs w:val="22"/>
          <w:lang w:val="es-ES"/>
        </w:rPr>
        <w:t xml:space="preserve"> </w:t>
      </w:r>
      <w:proofErr w:type="spellStart"/>
      <w:r>
        <w:rPr>
          <w:rFonts w:eastAsia="Palatino Linotype"/>
          <w:position w:val="1"/>
          <w:sz w:val="22"/>
          <w:szCs w:val="22"/>
          <w:lang w:val="es-ES"/>
        </w:rPr>
        <w:t>or</w:t>
      </w:r>
      <w:proofErr w:type="spellEnd"/>
      <w:r>
        <w:rPr>
          <w:rFonts w:eastAsia="Palatino Linotype"/>
          <w:position w:val="1"/>
          <w:sz w:val="22"/>
          <w:szCs w:val="22"/>
          <w:lang w:val="es-ES"/>
        </w:rPr>
        <w:t xml:space="preserve"> </w:t>
      </w:r>
      <w:proofErr w:type="spellStart"/>
      <w:r>
        <w:rPr>
          <w:rFonts w:eastAsia="Palatino Linotype"/>
          <w:position w:val="1"/>
          <w:sz w:val="22"/>
          <w:szCs w:val="22"/>
          <w:lang w:val="es-ES"/>
        </w:rPr>
        <w:t>imported</w:t>
      </w:r>
      <w:proofErr w:type="spellEnd"/>
      <w:r>
        <w:rPr>
          <w:rFonts w:eastAsia="Palatino Linotype"/>
          <w:position w:val="1"/>
          <w:sz w:val="22"/>
          <w:szCs w:val="22"/>
          <w:lang w:val="es-ES"/>
        </w:rPr>
        <w:t xml:space="preserve">, </w:t>
      </w:r>
      <w:proofErr w:type="spellStart"/>
      <w:r>
        <w:rPr>
          <w:rFonts w:eastAsia="Palatino Linotype"/>
          <w:position w:val="1"/>
          <w:sz w:val="22"/>
          <w:szCs w:val="22"/>
          <w:lang w:val="es-ES"/>
        </w:rPr>
        <w:t>will</w:t>
      </w:r>
      <w:proofErr w:type="spellEnd"/>
      <w:r>
        <w:rPr>
          <w:rFonts w:eastAsia="Palatino Linotype"/>
          <w:position w:val="1"/>
          <w:sz w:val="22"/>
          <w:szCs w:val="22"/>
          <w:lang w:val="es-ES"/>
        </w:rPr>
        <w:t xml:space="preserve"> be </w:t>
      </w:r>
      <w:proofErr w:type="spellStart"/>
      <w:r>
        <w:rPr>
          <w:rFonts w:eastAsia="Palatino Linotype"/>
          <w:position w:val="1"/>
          <w:sz w:val="22"/>
          <w:szCs w:val="22"/>
          <w:lang w:val="es-ES"/>
        </w:rPr>
        <w:t>carried</w:t>
      </w:r>
      <w:proofErr w:type="spellEnd"/>
      <w:r>
        <w:rPr>
          <w:rFonts w:eastAsia="Palatino Linotype"/>
          <w:position w:val="1"/>
          <w:sz w:val="22"/>
          <w:szCs w:val="22"/>
          <w:lang w:val="es-ES"/>
        </w:rPr>
        <w:t xml:space="preserve"> </w:t>
      </w:r>
      <w:proofErr w:type="spellStart"/>
      <w:r>
        <w:rPr>
          <w:rFonts w:eastAsia="Palatino Linotype"/>
          <w:position w:val="1"/>
          <w:sz w:val="22"/>
          <w:szCs w:val="22"/>
          <w:lang w:val="es-ES"/>
        </w:rPr>
        <w:t>out</w:t>
      </w:r>
      <w:proofErr w:type="spellEnd"/>
      <w:r>
        <w:rPr>
          <w:rFonts w:eastAsia="Palatino Linotype"/>
          <w:position w:val="1"/>
          <w:sz w:val="22"/>
          <w:szCs w:val="22"/>
          <w:lang w:val="es-ES"/>
        </w:rPr>
        <w:t xml:space="preserve"> </w:t>
      </w:r>
      <w:proofErr w:type="spellStart"/>
      <w:r>
        <w:rPr>
          <w:rFonts w:eastAsia="Palatino Linotype"/>
          <w:position w:val="1"/>
          <w:sz w:val="22"/>
          <w:szCs w:val="22"/>
          <w:lang w:val="es-ES"/>
        </w:rPr>
        <w:t>considering</w:t>
      </w:r>
      <w:proofErr w:type="spellEnd"/>
      <w:r>
        <w:rPr>
          <w:rFonts w:eastAsia="Palatino Linotype"/>
          <w:position w:val="1"/>
          <w:sz w:val="22"/>
          <w:szCs w:val="22"/>
          <w:lang w:val="es-ES"/>
        </w:rPr>
        <w:t xml:space="preserve">, </w:t>
      </w:r>
      <w:proofErr w:type="spellStart"/>
      <w:r>
        <w:rPr>
          <w:rFonts w:eastAsia="Palatino Linotype"/>
          <w:position w:val="1"/>
          <w:sz w:val="22"/>
          <w:szCs w:val="22"/>
          <w:lang w:val="es-ES"/>
        </w:rPr>
        <w:t>either</w:t>
      </w:r>
      <w:proofErr w:type="spellEnd"/>
      <w:r>
        <w:rPr>
          <w:rFonts w:eastAsia="Palatino Linotype"/>
          <w:position w:val="1"/>
          <w:sz w:val="22"/>
          <w:szCs w:val="22"/>
          <w:lang w:val="es-ES"/>
        </w:rPr>
        <w:t xml:space="preserve"> in a real </w:t>
      </w:r>
      <w:proofErr w:type="spellStart"/>
      <w:r>
        <w:rPr>
          <w:rFonts w:eastAsia="Palatino Linotype"/>
          <w:position w:val="1"/>
          <w:sz w:val="22"/>
          <w:szCs w:val="22"/>
          <w:lang w:val="es-ES"/>
        </w:rPr>
        <w:t>or</w:t>
      </w:r>
      <w:proofErr w:type="spellEnd"/>
      <w:r>
        <w:rPr>
          <w:rFonts w:eastAsia="Palatino Linotype"/>
          <w:position w:val="1"/>
          <w:sz w:val="22"/>
          <w:szCs w:val="22"/>
          <w:lang w:val="es-ES"/>
        </w:rPr>
        <w:t xml:space="preserve"> </w:t>
      </w:r>
      <w:proofErr w:type="spellStart"/>
      <w:r>
        <w:rPr>
          <w:rFonts w:eastAsia="Palatino Linotype"/>
          <w:position w:val="1"/>
          <w:sz w:val="22"/>
          <w:szCs w:val="22"/>
          <w:lang w:val="es-ES"/>
        </w:rPr>
        <w:t>fictitious</w:t>
      </w:r>
      <w:proofErr w:type="spellEnd"/>
      <w:r>
        <w:rPr>
          <w:rFonts w:eastAsia="Palatino Linotype"/>
          <w:position w:val="1"/>
          <w:sz w:val="22"/>
          <w:szCs w:val="22"/>
          <w:lang w:val="es-ES"/>
        </w:rPr>
        <w:t xml:space="preserve"> </w:t>
      </w:r>
      <w:proofErr w:type="spellStart"/>
      <w:r>
        <w:rPr>
          <w:rFonts w:eastAsia="Palatino Linotype"/>
          <w:position w:val="1"/>
          <w:sz w:val="22"/>
          <w:szCs w:val="22"/>
          <w:lang w:val="es-ES"/>
        </w:rPr>
        <w:t>way</w:t>
      </w:r>
      <w:proofErr w:type="spellEnd"/>
      <w:r>
        <w:rPr>
          <w:rFonts w:eastAsia="Palatino Linotype"/>
          <w:position w:val="1"/>
          <w:sz w:val="22"/>
          <w:szCs w:val="22"/>
          <w:lang w:val="es-ES"/>
        </w:rPr>
        <w:t xml:space="preserve">, </w:t>
      </w:r>
      <w:proofErr w:type="spellStart"/>
      <w:r>
        <w:rPr>
          <w:rFonts w:eastAsia="Palatino Linotype"/>
          <w:position w:val="1"/>
          <w:sz w:val="22"/>
          <w:szCs w:val="22"/>
          <w:lang w:val="es-ES"/>
        </w:rPr>
        <w:t>all</w:t>
      </w:r>
      <w:proofErr w:type="spellEnd"/>
      <w:r>
        <w:rPr>
          <w:rFonts w:eastAsia="Palatino Linotype"/>
          <w:position w:val="1"/>
          <w:sz w:val="22"/>
          <w:szCs w:val="22"/>
          <w:lang w:val="es-ES"/>
        </w:rPr>
        <w:t xml:space="preserve"> </w:t>
      </w:r>
      <w:proofErr w:type="spellStart"/>
      <w:r>
        <w:rPr>
          <w:rFonts w:eastAsia="Palatino Linotype"/>
          <w:position w:val="1"/>
          <w:sz w:val="22"/>
          <w:szCs w:val="22"/>
          <w:lang w:val="es-ES"/>
        </w:rPr>
        <w:t>the</w:t>
      </w:r>
      <w:proofErr w:type="spellEnd"/>
      <w:r>
        <w:rPr>
          <w:rFonts w:eastAsia="Palatino Linotype"/>
          <w:position w:val="1"/>
          <w:sz w:val="22"/>
          <w:szCs w:val="22"/>
          <w:lang w:val="es-ES"/>
        </w:rPr>
        <w:t xml:space="preserve"> expenses </w:t>
      </w:r>
      <w:proofErr w:type="spellStart"/>
      <w:r>
        <w:rPr>
          <w:rFonts w:eastAsia="Palatino Linotype"/>
          <w:position w:val="1"/>
          <w:sz w:val="22"/>
          <w:szCs w:val="22"/>
          <w:lang w:val="es-ES"/>
        </w:rPr>
        <w:t>required</w:t>
      </w:r>
      <w:proofErr w:type="spellEnd"/>
      <w:r>
        <w:rPr>
          <w:rFonts w:eastAsia="Palatino Linotype"/>
          <w:position w:val="1"/>
          <w:sz w:val="22"/>
          <w:szCs w:val="22"/>
          <w:lang w:val="es-ES"/>
        </w:rPr>
        <w:t xml:space="preserve"> </w:t>
      </w:r>
      <w:proofErr w:type="spellStart"/>
      <w:r>
        <w:rPr>
          <w:rFonts w:eastAsia="Palatino Linotype"/>
          <w:position w:val="1"/>
          <w:sz w:val="22"/>
          <w:szCs w:val="22"/>
          <w:lang w:val="es-ES"/>
        </w:rPr>
        <w:t>to</w:t>
      </w:r>
      <w:proofErr w:type="spellEnd"/>
      <w:r>
        <w:rPr>
          <w:rFonts w:eastAsia="Palatino Linotype"/>
          <w:position w:val="1"/>
          <w:sz w:val="22"/>
          <w:szCs w:val="22"/>
          <w:lang w:val="es-ES"/>
        </w:rPr>
        <w:t xml:space="preserve"> place </w:t>
      </w:r>
      <w:proofErr w:type="spellStart"/>
      <w:r>
        <w:rPr>
          <w:rFonts w:eastAsia="Palatino Linotype"/>
          <w:position w:val="1"/>
          <w:sz w:val="22"/>
          <w:szCs w:val="22"/>
          <w:lang w:val="es-ES"/>
        </w:rPr>
        <w:t>the</w:t>
      </w:r>
      <w:proofErr w:type="spellEnd"/>
      <w:r>
        <w:rPr>
          <w:rFonts w:eastAsia="Palatino Linotype"/>
          <w:position w:val="1"/>
          <w:sz w:val="22"/>
          <w:szCs w:val="22"/>
          <w:lang w:val="es-ES"/>
        </w:rPr>
        <w:t xml:space="preserve"> </w:t>
      </w:r>
      <w:proofErr w:type="spellStart"/>
      <w:r>
        <w:rPr>
          <w:rFonts w:eastAsia="Palatino Linotype"/>
          <w:position w:val="1"/>
          <w:sz w:val="22"/>
          <w:szCs w:val="22"/>
          <w:lang w:val="es-ES"/>
        </w:rPr>
        <w:t>products</w:t>
      </w:r>
      <w:proofErr w:type="spellEnd"/>
      <w:r>
        <w:rPr>
          <w:rFonts w:eastAsia="Palatino Linotype"/>
          <w:position w:val="1"/>
          <w:sz w:val="22"/>
          <w:szCs w:val="22"/>
          <w:lang w:val="es-ES"/>
        </w:rPr>
        <w:t xml:space="preserve"> in </w:t>
      </w:r>
      <w:proofErr w:type="spellStart"/>
      <w:r>
        <w:rPr>
          <w:rFonts w:eastAsia="Palatino Linotype"/>
          <w:position w:val="1"/>
          <w:sz w:val="22"/>
          <w:szCs w:val="22"/>
          <w:lang w:val="es-ES"/>
        </w:rPr>
        <w:t>the</w:t>
      </w:r>
      <w:proofErr w:type="spellEnd"/>
      <w:r>
        <w:rPr>
          <w:rFonts w:eastAsia="Palatino Linotype"/>
          <w:position w:val="1"/>
          <w:sz w:val="22"/>
          <w:szCs w:val="22"/>
          <w:lang w:val="es-ES"/>
        </w:rPr>
        <w:t xml:space="preserve"> </w:t>
      </w:r>
      <w:proofErr w:type="spellStart"/>
      <w:r>
        <w:rPr>
          <w:rFonts w:eastAsia="Palatino Linotype"/>
          <w:position w:val="1"/>
          <w:sz w:val="22"/>
          <w:szCs w:val="22"/>
          <w:lang w:val="es-ES"/>
        </w:rPr>
        <w:t>buyer's</w:t>
      </w:r>
      <w:proofErr w:type="spellEnd"/>
      <w:r>
        <w:rPr>
          <w:rFonts w:eastAsia="Palatino Linotype"/>
          <w:position w:val="1"/>
          <w:sz w:val="22"/>
          <w:szCs w:val="22"/>
          <w:lang w:val="es-ES"/>
        </w:rPr>
        <w:t xml:space="preserve"> </w:t>
      </w:r>
      <w:proofErr w:type="spellStart"/>
      <w:r>
        <w:rPr>
          <w:rFonts w:eastAsia="Palatino Linotype"/>
          <w:position w:val="1"/>
          <w:sz w:val="22"/>
          <w:szCs w:val="22"/>
          <w:lang w:val="es-ES"/>
        </w:rPr>
        <w:t>warehouses</w:t>
      </w:r>
      <w:proofErr w:type="spellEnd"/>
      <w:r>
        <w:rPr>
          <w:rFonts w:eastAsia="Palatino Linotype"/>
          <w:position w:val="1"/>
          <w:sz w:val="22"/>
          <w:szCs w:val="22"/>
          <w:lang w:val="es-ES"/>
        </w:rPr>
        <w:t xml:space="preserve"> and </w:t>
      </w:r>
      <w:proofErr w:type="spellStart"/>
      <w:r>
        <w:rPr>
          <w:rFonts w:eastAsia="Palatino Linotype"/>
          <w:position w:val="1"/>
          <w:sz w:val="22"/>
          <w:szCs w:val="22"/>
          <w:lang w:val="es-ES"/>
        </w:rPr>
        <w:t>under</w:t>
      </w:r>
      <w:proofErr w:type="spellEnd"/>
      <w:r>
        <w:rPr>
          <w:rFonts w:eastAsia="Palatino Linotype"/>
          <w:position w:val="1"/>
          <w:sz w:val="22"/>
          <w:szCs w:val="22"/>
          <w:lang w:val="es-ES"/>
        </w:rPr>
        <w:t xml:space="preserve"> </w:t>
      </w:r>
      <w:proofErr w:type="spellStart"/>
      <w:r>
        <w:rPr>
          <w:rFonts w:eastAsia="Palatino Linotype"/>
          <w:position w:val="1"/>
          <w:sz w:val="22"/>
          <w:szCs w:val="22"/>
          <w:lang w:val="es-ES"/>
        </w:rPr>
        <w:t>equal</w:t>
      </w:r>
      <w:proofErr w:type="spellEnd"/>
      <w:r>
        <w:rPr>
          <w:rFonts w:eastAsia="Palatino Linotype"/>
          <w:position w:val="1"/>
          <w:sz w:val="22"/>
          <w:szCs w:val="22"/>
          <w:lang w:val="es-ES"/>
        </w:rPr>
        <w:t xml:space="preserve"> </w:t>
      </w:r>
      <w:proofErr w:type="spellStart"/>
      <w:r>
        <w:rPr>
          <w:rFonts w:eastAsia="Palatino Linotype"/>
          <w:position w:val="1"/>
          <w:sz w:val="22"/>
          <w:szCs w:val="22"/>
          <w:lang w:val="es-ES"/>
        </w:rPr>
        <w:t>conditions</w:t>
      </w:r>
      <w:proofErr w:type="spellEnd"/>
      <w:r>
        <w:rPr>
          <w:rFonts w:eastAsia="Palatino Linotype"/>
          <w:position w:val="1"/>
          <w:sz w:val="22"/>
          <w:szCs w:val="22"/>
          <w:lang w:val="es-ES"/>
        </w:rPr>
        <w:t>.</w:t>
      </w:r>
    </w:p>
    <w:p w14:paraId="33059DBB" w14:textId="77777777" w:rsidR="00E255F4" w:rsidRDefault="00E255F4">
      <w:pPr>
        <w:ind w:right="-142"/>
        <w:jc w:val="both"/>
        <w:rPr>
          <w:rFonts w:eastAsia="Palatino Linotype"/>
          <w:sz w:val="22"/>
          <w:szCs w:val="22"/>
          <w:lang w:val="es-ES"/>
        </w:rPr>
      </w:pPr>
    </w:p>
    <w:p w14:paraId="7980D54A" w14:textId="77777777" w:rsidR="00E255F4" w:rsidRDefault="00000000">
      <w:pPr>
        <w:widowControl w:val="0"/>
        <w:ind w:right="-142"/>
        <w:jc w:val="both"/>
        <w:rPr>
          <w:rFonts w:eastAsia="Palatino Linotype"/>
          <w:spacing w:val="-1"/>
          <w:sz w:val="22"/>
          <w:szCs w:val="22"/>
          <w:lang w:val="es-ES"/>
        </w:rPr>
      </w:pPr>
      <w:r>
        <w:rPr>
          <w:rFonts w:eastAsia="Palatino Linotype"/>
          <w:sz w:val="22"/>
          <w:szCs w:val="22"/>
          <w:lang w:val="es-ES"/>
        </w:rPr>
        <w:t xml:space="preserve">The </w:t>
      </w:r>
      <w:proofErr w:type="spellStart"/>
      <w:r>
        <w:rPr>
          <w:rFonts w:eastAsia="Palatino Linotype"/>
          <w:sz w:val="22"/>
          <w:szCs w:val="22"/>
          <w:lang w:val="es-ES"/>
        </w:rPr>
        <w:t>buyer's</w:t>
      </w:r>
      <w:proofErr w:type="spellEnd"/>
      <w:r>
        <w:rPr>
          <w:rFonts w:eastAsia="Palatino Linotype"/>
          <w:sz w:val="22"/>
          <w:szCs w:val="22"/>
          <w:lang w:val="es-ES"/>
        </w:rPr>
        <w:t xml:space="preserve"> </w:t>
      </w:r>
      <w:proofErr w:type="spellStart"/>
      <w:r>
        <w:rPr>
          <w:rFonts w:eastAsia="Palatino Linotype"/>
          <w:sz w:val="22"/>
          <w:szCs w:val="22"/>
          <w:lang w:val="es-ES"/>
        </w:rPr>
        <w:t>warehouses</w:t>
      </w:r>
      <w:proofErr w:type="spellEnd"/>
      <w:r>
        <w:rPr>
          <w:rFonts w:eastAsia="Palatino Linotype"/>
          <w:sz w:val="22"/>
          <w:szCs w:val="22"/>
          <w:lang w:val="es-ES"/>
        </w:rPr>
        <w:t xml:space="preserve"> </w:t>
      </w:r>
      <w:proofErr w:type="spellStart"/>
      <w:r>
        <w:rPr>
          <w:rFonts w:eastAsia="Palatino Linotype"/>
          <w:sz w:val="22"/>
          <w:szCs w:val="22"/>
          <w:lang w:val="es-ES"/>
        </w:rPr>
        <w:t>will</w:t>
      </w:r>
      <w:proofErr w:type="spellEnd"/>
      <w:r>
        <w:rPr>
          <w:rFonts w:eastAsia="Palatino Linotype"/>
          <w:sz w:val="22"/>
          <w:szCs w:val="22"/>
          <w:lang w:val="es-ES"/>
        </w:rPr>
        <w:t xml:space="preserve"> be </w:t>
      </w:r>
      <w:proofErr w:type="spellStart"/>
      <w:r>
        <w:rPr>
          <w:rFonts w:eastAsia="Palatino Linotype"/>
          <w:sz w:val="22"/>
          <w:szCs w:val="22"/>
          <w:lang w:val="es-ES"/>
        </w:rPr>
        <w:t>considered</w:t>
      </w:r>
      <w:proofErr w:type="spellEnd"/>
      <w:r>
        <w:rPr>
          <w:rFonts w:eastAsia="Palatino Linotype"/>
          <w:sz w:val="22"/>
          <w:szCs w:val="22"/>
          <w:lang w:val="es-ES"/>
        </w:rPr>
        <w:t xml:space="preserve"> </w:t>
      </w:r>
      <w:proofErr w:type="spellStart"/>
      <w:r>
        <w:rPr>
          <w:rFonts w:eastAsia="Palatino Linotype"/>
          <w:sz w:val="22"/>
          <w:szCs w:val="22"/>
          <w:lang w:val="es-ES"/>
        </w:rPr>
        <w:t>to</w:t>
      </w:r>
      <w:proofErr w:type="spellEnd"/>
      <w:r>
        <w:rPr>
          <w:rFonts w:eastAsia="Palatino Linotype"/>
          <w:sz w:val="22"/>
          <w:szCs w:val="22"/>
          <w:lang w:val="es-ES"/>
        </w:rPr>
        <w:t xml:space="preserve"> be </w:t>
      </w:r>
      <w:proofErr w:type="spellStart"/>
      <w:r>
        <w:rPr>
          <w:rFonts w:eastAsia="Palatino Linotype"/>
          <w:sz w:val="22"/>
          <w:szCs w:val="22"/>
          <w:lang w:val="es-ES"/>
        </w:rPr>
        <w:t>all</w:t>
      </w:r>
      <w:proofErr w:type="spellEnd"/>
      <w:r>
        <w:rPr>
          <w:rFonts w:eastAsia="Palatino Linotype"/>
          <w:sz w:val="22"/>
          <w:szCs w:val="22"/>
          <w:lang w:val="es-ES"/>
        </w:rPr>
        <w:t xml:space="preserve"> </w:t>
      </w:r>
      <w:proofErr w:type="spellStart"/>
      <w:r>
        <w:rPr>
          <w:rFonts w:eastAsia="Palatino Linotype"/>
          <w:sz w:val="22"/>
          <w:szCs w:val="22"/>
          <w:lang w:val="es-ES"/>
        </w:rPr>
        <w:t>the</w:t>
      </w:r>
      <w:proofErr w:type="spellEnd"/>
      <w:r>
        <w:rPr>
          <w:rFonts w:eastAsia="Palatino Linotype"/>
          <w:sz w:val="22"/>
          <w:szCs w:val="22"/>
          <w:lang w:val="es-ES"/>
        </w:rPr>
        <w:t xml:space="preserve"> usual premises </w:t>
      </w:r>
      <w:proofErr w:type="spellStart"/>
      <w:r>
        <w:rPr>
          <w:rFonts w:eastAsia="Palatino Linotype"/>
          <w:sz w:val="22"/>
          <w:szCs w:val="22"/>
          <w:lang w:val="es-ES"/>
        </w:rPr>
        <w:t>for</w:t>
      </w:r>
      <w:proofErr w:type="spellEnd"/>
      <w:r>
        <w:rPr>
          <w:rFonts w:eastAsia="Palatino Linotype"/>
          <w:sz w:val="22"/>
          <w:szCs w:val="22"/>
          <w:lang w:val="es-ES"/>
        </w:rPr>
        <w:t xml:space="preserve"> </w:t>
      </w:r>
      <w:proofErr w:type="spellStart"/>
      <w:r>
        <w:rPr>
          <w:rFonts w:eastAsia="Palatino Linotype"/>
          <w:sz w:val="22"/>
          <w:szCs w:val="22"/>
          <w:lang w:val="es-ES"/>
        </w:rPr>
        <w:t>receiving</w:t>
      </w:r>
      <w:proofErr w:type="spellEnd"/>
      <w:r>
        <w:rPr>
          <w:rFonts w:eastAsia="Palatino Linotype"/>
          <w:sz w:val="22"/>
          <w:szCs w:val="22"/>
          <w:lang w:val="es-ES"/>
        </w:rPr>
        <w:t xml:space="preserve"> </w:t>
      </w:r>
      <w:proofErr w:type="spellStart"/>
      <w:r>
        <w:rPr>
          <w:rFonts w:eastAsia="Palatino Linotype"/>
          <w:sz w:val="22"/>
          <w:szCs w:val="22"/>
          <w:lang w:val="es-ES"/>
        </w:rPr>
        <w:t>goods</w:t>
      </w:r>
      <w:proofErr w:type="spellEnd"/>
      <w:r>
        <w:rPr>
          <w:rFonts w:eastAsia="Palatino Linotype"/>
          <w:sz w:val="22"/>
          <w:szCs w:val="22"/>
          <w:lang w:val="es-ES"/>
        </w:rPr>
        <w:t xml:space="preserve"> </w:t>
      </w:r>
      <w:proofErr w:type="spellStart"/>
      <w:r>
        <w:rPr>
          <w:rFonts w:eastAsia="Palatino Linotype"/>
          <w:sz w:val="22"/>
          <w:szCs w:val="22"/>
          <w:lang w:val="es-ES"/>
        </w:rPr>
        <w:t>according</w:t>
      </w:r>
      <w:proofErr w:type="spellEnd"/>
      <w:r>
        <w:rPr>
          <w:rFonts w:eastAsia="Palatino Linotype"/>
          <w:sz w:val="22"/>
          <w:szCs w:val="22"/>
          <w:lang w:val="es-ES"/>
        </w:rPr>
        <w:t xml:space="preserve"> </w:t>
      </w:r>
      <w:proofErr w:type="spellStart"/>
      <w:r>
        <w:rPr>
          <w:rFonts w:eastAsia="Palatino Linotype"/>
          <w:sz w:val="22"/>
          <w:szCs w:val="22"/>
          <w:lang w:val="es-ES"/>
        </w:rPr>
        <w:t>to</w:t>
      </w:r>
      <w:proofErr w:type="spellEnd"/>
      <w:r>
        <w:rPr>
          <w:rFonts w:eastAsia="Palatino Linotype"/>
          <w:sz w:val="22"/>
          <w:szCs w:val="22"/>
          <w:lang w:val="es-ES"/>
        </w:rPr>
        <w:t xml:space="preserve"> </w:t>
      </w:r>
      <w:proofErr w:type="spellStart"/>
      <w:r>
        <w:rPr>
          <w:rFonts w:eastAsia="Palatino Linotype"/>
          <w:sz w:val="22"/>
          <w:szCs w:val="22"/>
          <w:lang w:val="es-ES"/>
        </w:rPr>
        <w:t>the</w:t>
      </w:r>
      <w:proofErr w:type="spellEnd"/>
      <w:r>
        <w:rPr>
          <w:rFonts w:eastAsia="Palatino Linotype"/>
          <w:sz w:val="22"/>
          <w:szCs w:val="22"/>
          <w:lang w:val="es-ES"/>
        </w:rPr>
        <w:t xml:space="preserve"> </w:t>
      </w:r>
      <w:proofErr w:type="spellStart"/>
      <w:r>
        <w:rPr>
          <w:rFonts w:eastAsia="Palatino Linotype"/>
          <w:sz w:val="22"/>
          <w:szCs w:val="22"/>
          <w:lang w:val="es-ES"/>
        </w:rPr>
        <w:t>characteristics</w:t>
      </w:r>
      <w:proofErr w:type="spellEnd"/>
      <w:r>
        <w:rPr>
          <w:rFonts w:eastAsia="Palatino Linotype"/>
          <w:sz w:val="22"/>
          <w:szCs w:val="22"/>
          <w:lang w:val="es-ES"/>
        </w:rPr>
        <w:t xml:space="preserve"> </w:t>
      </w:r>
      <w:proofErr w:type="spellStart"/>
      <w:r>
        <w:rPr>
          <w:rFonts w:eastAsia="Palatino Linotype"/>
          <w:sz w:val="22"/>
          <w:szCs w:val="22"/>
          <w:lang w:val="es-ES"/>
        </w:rPr>
        <w:t>of</w:t>
      </w:r>
      <w:proofErr w:type="spellEnd"/>
      <w:r>
        <w:rPr>
          <w:rFonts w:eastAsia="Palatino Linotype"/>
          <w:sz w:val="22"/>
          <w:szCs w:val="22"/>
          <w:lang w:val="es-ES"/>
        </w:rPr>
        <w:t xml:space="preserve"> </w:t>
      </w:r>
      <w:proofErr w:type="spellStart"/>
      <w:r>
        <w:rPr>
          <w:rFonts w:eastAsia="Palatino Linotype"/>
          <w:sz w:val="22"/>
          <w:szCs w:val="22"/>
          <w:lang w:val="es-ES"/>
        </w:rPr>
        <w:t>these</w:t>
      </w:r>
      <w:proofErr w:type="spellEnd"/>
      <w:r>
        <w:rPr>
          <w:rFonts w:eastAsia="Palatino Linotype"/>
          <w:sz w:val="22"/>
          <w:szCs w:val="22"/>
          <w:lang w:val="es-ES"/>
        </w:rPr>
        <w:t xml:space="preserve"> </w:t>
      </w:r>
      <w:proofErr w:type="spellStart"/>
      <w:r>
        <w:rPr>
          <w:rFonts w:eastAsia="Palatino Linotype"/>
          <w:sz w:val="22"/>
          <w:szCs w:val="22"/>
          <w:lang w:val="es-ES"/>
        </w:rPr>
        <w:t>goods</w:t>
      </w:r>
      <w:proofErr w:type="spellEnd"/>
      <w:r>
        <w:rPr>
          <w:rFonts w:eastAsia="Palatino Linotype"/>
          <w:sz w:val="22"/>
          <w:szCs w:val="22"/>
          <w:lang w:val="es-ES"/>
        </w:rPr>
        <w:t xml:space="preserve">, </w:t>
      </w:r>
      <w:proofErr w:type="spellStart"/>
      <w:r>
        <w:rPr>
          <w:rFonts w:eastAsia="Palatino Linotype"/>
          <w:sz w:val="22"/>
          <w:szCs w:val="22"/>
          <w:lang w:val="es-ES"/>
        </w:rPr>
        <w:t>including</w:t>
      </w:r>
      <w:proofErr w:type="spellEnd"/>
      <w:r>
        <w:rPr>
          <w:rFonts w:eastAsia="Palatino Linotype"/>
          <w:sz w:val="22"/>
          <w:szCs w:val="22"/>
          <w:lang w:val="es-ES"/>
        </w:rPr>
        <w:t xml:space="preserve"> workshops.</w:t>
      </w:r>
    </w:p>
    <w:p w14:paraId="5E83673A" w14:textId="77777777" w:rsidR="00E255F4" w:rsidRDefault="00000000">
      <w:pPr>
        <w:widowControl w:val="0"/>
        <w:ind w:right="-142"/>
        <w:jc w:val="both"/>
        <w:rPr>
          <w:rFonts w:eastAsia="Palatino Linotype"/>
          <w:sz w:val="22"/>
          <w:szCs w:val="22"/>
          <w:lang w:val="es-ES"/>
        </w:rPr>
      </w:pPr>
      <w:proofErr w:type="spellStart"/>
      <w:r>
        <w:rPr>
          <w:rFonts w:eastAsia="Palatino Linotype"/>
          <w:spacing w:val="7"/>
          <w:sz w:val="22"/>
          <w:szCs w:val="22"/>
          <w:lang w:val="es-ES"/>
        </w:rPr>
        <w:t>AND</w:t>
      </w:r>
      <w:r>
        <w:rPr>
          <w:rFonts w:eastAsia="Palatino Linotype"/>
          <w:sz w:val="22"/>
          <w:szCs w:val="22"/>
          <w:lang w:val="es-ES"/>
        </w:rPr>
        <w:t>This</w:t>
      </w:r>
      <w:proofErr w:type="spellEnd"/>
      <w:r>
        <w:rPr>
          <w:rFonts w:eastAsia="Palatino Linotype"/>
          <w:sz w:val="22"/>
          <w:szCs w:val="22"/>
          <w:lang w:val="es-ES"/>
        </w:rPr>
        <w:t xml:space="preserve"> </w:t>
      </w:r>
      <w:proofErr w:type="spellStart"/>
      <w:r>
        <w:rPr>
          <w:rFonts w:eastAsia="Palatino Linotype"/>
          <w:sz w:val="22"/>
          <w:szCs w:val="22"/>
          <w:lang w:val="es-ES"/>
        </w:rPr>
        <w:t>comparison</w:t>
      </w:r>
      <w:proofErr w:type="spellEnd"/>
      <w:r>
        <w:rPr>
          <w:rFonts w:eastAsia="Palatino Linotype"/>
          <w:sz w:val="22"/>
          <w:szCs w:val="22"/>
          <w:lang w:val="es-ES"/>
        </w:rPr>
        <w:t xml:space="preserve"> </w:t>
      </w:r>
      <w:proofErr w:type="spellStart"/>
      <w:r>
        <w:rPr>
          <w:rFonts w:eastAsia="Palatino Linotype"/>
          <w:sz w:val="22"/>
          <w:szCs w:val="22"/>
          <w:lang w:val="es-ES"/>
        </w:rPr>
        <w:t>must</w:t>
      </w:r>
      <w:proofErr w:type="spellEnd"/>
      <w:r>
        <w:rPr>
          <w:rFonts w:eastAsia="Palatino Linotype"/>
          <w:sz w:val="22"/>
          <w:szCs w:val="22"/>
          <w:lang w:val="es-ES"/>
        </w:rPr>
        <w:t xml:space="preserve"> </w:t>
      </w:r>
      <w:proofErr w:type="spellStart"/>
      <w:r>
        <w:rPr>
          <w:rFonts w:eastAsia="Palatino Linotype"/>
          <w:sz w:val="22"/>
          <w:szCs w:val="22"/>
          <w:lang w:val="es-ES"/>
        </w:rPr>
        <w:t>include</w:t>
      </w:r>
      <w:proofErr w:type="spellEnd"/>
      <w:r>
        <w:rPr>
          <w:rFonts w:eastAsia="Palatino Linotype"/>
          <w:sz w:val="22"/>
          <w:szCs w:val="22"/>
          <w:lang w:val="es-ES"/>
        </w:rPr>
        <w:t xml:space="preserve"> </w:t>
      </w:r>
      <w:proofErr w:type="spellStart"/>
      <w:r>
        <w:rPr>
          <w:rFonts w:eastAsia="Palatino Linotype"/>
          <w:sz w:val="22"/>
          <w:szCs w:val="22"/>
          <w:lang w:val="es-ES"/>
        </w:rPr>
        <w:t>all</w:t>
      </w:r>
      <w:proofErr w:type="spellEnd"/>
      <w:r>
        <w:rPr>
          <w:rFonts w:eastAsia="Palatino Linotype"/>
          <w:sz w:val="22"/>
          <w:szCs w:val="22"/>
          <w:lang w:val="es-ES"/>
        </w:rPr>
        <w:t xml:space="preserve"> </w:t>
      </w:r>
      <w:proofErr w:type="spellStart"/>
      <w:r>
        <w:rPr>
          <w:rFonts w:eastAsia="Palatino Linotype"/>
          <w:sz w:val="22"/>
          <w:szCs w:val="22"/>
          <w:lang w:val="es-ES"/>
        </w:rPr>
        <w:t>applicable</w:t>
      </w:r>
      <w:proofErr w:type="spellEnd"/>
      <w:r>
        <w:rPr>
          <w:rFonts w:eastAsia="Palatino Linotype"/>
          <w:sz w:val="22"/>
          <w:szCs w:val="22"/>
          <w:lang w:val="es-ES"/>
        </w:rPr>
        <w:t xml:space="preserve"> </w:t>
      </w:r>
      <w:proofErr w:type="spellStart"/>
      <w:r>
        <w:rPr>
          <w:rFonts w:eastAsia="Palatino Linotype"/>
          <w:sz w:val="22"/>
          <w:szCs w:val="22"/>
          <w:lang w:val="es-ES"/>
        </w:rPr>
        <w:t>taxes</w:t>
      </w:r>
      <w:proofErr w:type="spellEnd"/>
      <w:r>
        <w:rPr>
          <w:rFonts w:eastAsia="Palatino Linotype"/>
          <w:sz w:val="22"/>
          <w:szCs w:val="22"/>
          <w:lang w:val="es-ES"/>
        </w:rPr>
        <w:t xml:space="preserve"> (general </w:t>
      </w:r>
      <w:proofErr w:type="spellStart"/>
      <w:r>
        <w:rPr>
          <w:rFonts w:eastAsia="Palatino Linotype"/>
          <w:sz w:val="22"/>
          <w:szCs w:val="22"/>
          <w:lang w:val="es-ES"/>
        </w:rPr>
        <w:t>tariffs</w:t>
      </w:r>
      <w:proofErr w:type="spellEnd"/>
      <w:r>
        <w:rPr>
          <w:rFonts w:eastAsia="Palatino Linotype"/>
          <w:sz w:val="22"/>
          <w:szCs w:val="22"/>
          <w:lang w:val="es-ES"/>
        </w:rPr>
        <w:t xml:space="preserve">, </w:t>
      </w:r>
      <w:proofErr w:type="spellStart"/>
      <w:r>
        <w:rPr>
          <w:rFonts w:eastAsia="Palatino Linotype"/>
          <w:sz w:val="22"/>
          <w:szCs w:val="22"/>
          <w:lang w:val="es-ES"/>
        </w:rPr>
        <w:t>integration</w:t>
      </w:r>
      <w:proofErr w:type="spellEnd"/>
      <w:r>
        <w:rPr>
          <w:rFonts w:eastAsia="Palatino Linotype"/>
          <w:sz w:val="22"/>
          <w:szCs w:val="22"/>
          <w:lang w:val="es-ES"/>
        </w:rPr>
        <w:t xml:space="preserve"> </w:t>
      </w:r>
      <w:proofErr w:type="spellStart"/>
      <w:r>
        <w:rPr>
          <w:rFonts w:eastAsia="Palatino Linotype"/>
          <w:sz w:val="22"/>
          <w:szCs w:val="22"/>
          <w:lang w:val="es-ES"/>
        </w:rPr>
        <w:t>agreement</w:t>
      </w:r>
      <w:proofErr w:type="spellEnd"/>
      <w:r>
        <w:rPr>
          <w:rFonts w:eastAsia="Palatino Linotype"/>
          <w:sz w:val="22"/>
          <w:szCs w:val="22"/>
          <w:lang w:val="es-ES"/>
        </w:rPr>
        <w:t xml:space="preserve"> </w:t>
      </w:r>
      <w:proofErr w:type="spellStart"/>
      <w:r>
        <w:rPr>
          <w:rFonts w:eastAsia="Palatino Linotype"/>
          <w:sz w:val="22"/>
          <w:szCs w:val="22"/>
          <w:lang w:val="es-ES"/>
        </w:rPr>
        <w:t>tariffs</w:t>
      </w:r>
      <w:proofErr w:type="spellEnd"/>
      <w:r>
        <w:rPr>
          <w:rFonts w:eastAsia="Palatino Linotype"/>
          <w:sz w:val="22"/>
          <w:szCs w:val="22"/>
          <w:lang w:val="es-ES"/>
        </w:rPr>
        <w:t xml:space="preserve">, etc.), </w:t>
      </w:r>
      <w:proofErr w:type="spellStart"/>
      <w:r>
        <w:rPr>
          <w:rFonts w:eastAsia="Palatino Linotype"/>
          <w:sz w:val="22"/>
          <w:szCs w:val="22"/>
          <w:lang w:val="es-ES"/>
        </w:rPr>
        <w:t>even</w:t>
      </w:r>
      <w:proofErr w:type="spellEnd"/>
      <w:r>
        <w:rPr>
          <w:rFonts w:eastAsia="Palatino Linotype"/>
          <w:sz w:val="22"/>
          <w:szCs w:val="22"/>
          <w:lang w:val="es-ES"/>
        </w:rPr>
        <w:t xml:space="preserve"> </w:t>
      </w:r>
      <w:proofErr w:type="spellStart"/>
      <w:r>
        <w:rPr>
          <w:rFonts w:eastAsia="Palatino Linotype"/>
          <w:sz w:val="22"/>
          <w:szCs w:val="22"/>
          <w:lang w:val="es-ES"/>
        </w:rPr>
        <w:t>those</w:t>
      </w:r>
      <w:proofErr w:type="spellEnd"/>
      <w:r>
        <w:rPr>
          <w:rFonts w:eastAsia="Palatino Linotype"/>
          <w:sz w:val="22"/>
          <w:szCs w:val="22"/>
          <w:lang w:val="es-ES"/>
        </w:rPr>
        <w:t xml:space="preserve"> </w:t>
      </w:r>
      <w:proofErr w:type="spellStart"/>
      <w:r>
        <w:rPr>
          <w:rFonts w:eastAsia="Palatino Linotype"/>
          <w:sz w:val="22"/>
          <w:szCs w:val="22"/>
          <w:lang w:val="es-ES"/>
        </w:rPr>
        <w:t>from</w:t>
      </w:r>
      <w:proofErr w:type="spellEnd"/>
      <w:r>
        <w:rPr>
          <w:rFonts w:eastAsia="Palatino Linotype"/>
          <w:sz w:val="22"/>
          <w:szCs w:val="22"/>
          <w:lang w:val="es-ES"/>
        </w:rPr>
        <w:t xml:space="preserve"> </w:t>
      </w:r>
      <w:proofErr w:type="spellStart"/>
      <w:r>
        <w:rPr>
          <w:rFonts w:eastAsia="Palatino Linotype"/>
          <w:sz w:val="22"/>
          <w:szCs w:val="22"/>
          <w:lang w:val="es-ES"/>
        </w:rPr>
        <w:t>which</w:t>
      </w:r>
      <w:proofErr w:type="spellEnd"/>
      <w:r>
        <w:rPr>
          <w:rFonts w:eastAsia="Palatino Linotype"/>
          <w:sz w:val="22"/>
          <w:szCs w:val="22"/>
          <w:lang w:val="es-ES"/>
        </w:rPr>
        <w:t xml:space="preserve"> </w:t>
      </w:r>
      <w:proofErr w:type="spellStart"/>
      <w:r>
        <w:rPr>
          <w:rFonts w:eastAsia="Palatino Linotype"/>
          <w:sz w:val="22"/>
          <w:szCs w:val="22"/>
          <w:lang w:val="es-ES"/>
        </w:rPr>
        <w:t>the</w:t>
      </w:r>
      <w:proofErr w:type="spellEnd"/>
      <w:r>
        <w:rPr>
          <w:rFonts w:eastAsia="Palatino Linotype"/>
          <w:sz w:val="22"/>
          <w:szCs w:val="22"/>
          <w:lang w:val="es-ES"/>
        </w:rPr>
        <w:t xml:space="preserve"> </w:t>
      </w:r>
      <w:proofErr w:type="spellStart"/>
      <w:r>
        <w:rPr>
          <w:rFonts w:eastAsia="Palatino Linotype"/>
          <w:sz w:val="22"/>
          <w:szCs w:val="22"/>
          <w:lang w:val="es-ES"/>
        </w:rPr>
        <w:t>Administration</w:t>
      </w:r>
      <w:proofErr w:type="spellEnd"/>
      <w:r>
        <w:rPr>
          <w:rFonts w:eastAsia="Palatino Linotype"/>
          <w:sz w:val="22"/>
          <w:szCs w:val="22"/>
          <w:lang w:val="es-ES"/>
        </w:rPr>
        <w:t xml:space="preserve"> </w:t>
      </w:r>
      <w:proofErr w:type="spellStart"/>
      <w:r>
        <w:rPr>
          <w:rFonts w:eastAsia="Palatino Linotype"/>
          <w:sz w:val="22"/>
          <w:szCs w:val="22"/>
          <w:lang w:val="es-ES"/>
        </w:rPr>
        <w:t>is</w:t>
      </w:r>
      <w:proofErr w:type="spellEnd"/>
      <w:r>
        <w:rPr>
          <w:rFonts w:eastAsia="Palatino Linotype"/>
          <w:sz w:val="22"/>
          <w:szCs w:val="22"/>
          <w:lang w:val="es-ES"/>
        </w:rPr>
        <w:t xml:space="preserve"> </w:t>
      </w:r>
      <w:proofErr w:type="spellStart"/>
      <w:r>
        <w:rPr>
          <w:rFonts w:eastAsia="Palatino Linotype"/>
          <w:sz w:val="22"/>
          <w:szCs w:val="22"/>
          <w:lang w:val="es-ES"/>
        </w:rPr>
        <w:t>exempt</w:t>
      </w:r>
      <w:proofErr w:type="spellEnd"/>
      <w:r>
        <w:rPr>
          <w:rFonts w:eastAsia="Palatino Linotype"/>
          <w:sz w:val="22"/>
          <w:szCs w:val="22"/>
          <w:lang w:val="es-ES"/>
        </w:rPr>
        <w:t>.</w:t>
      </w:r>
    </w:p>
    <w:p w14:paraId="721BF2E9" w14:textId="77777777" w:rsidR="00E255F4" w:rsidRDefault="00000000">
      <w:pPr>
        <w:ind w:right="-142"/>
        <w:jc w:val="both"/>
        <w:rPr>
          <w:rFonts w:eastAsia="Palatino Linotype"/>
          <w:spacing w:val="-1"/>
          <w:sz w:val="22"/>
          <w:szCs w:val="22"/>
          <w:lang w:val="es-ES"/>
        </w:rPr>
      </w:pPr>
      <w:r>
        <w:rPr>
          <w:rFonts w:eastAsia="Palatino Linotype"/>
          <w:spacing w:val="8"/>
          <w:sz w:val="22"/>
          <w:szCs w:val="22"/>
          <w:lang w:val="es-ES"/>
        </w:rPr>
        <w:t>N</w:t>
      </w:r>
      <w:r>
        <w:rPr>
          <w:rFonts w:eastAsia="Palatino Linotype"/>
          <w:sz w:val="22"/>
          <w:szCs w:val="22"/>
          <w:lang w:val="es-ES"/>
        </w:rPr>
        <w:t xml:space="preserve">or </w:t>
      </w:r>
      <w:proofErr w:type="spellStart"/>
      <w:r>
        <w:rPr>
          <w:rFonts w:eastAsia="Palatino Linotype"/>
          <w:sz w:val="22"/>
          <w:szCs w:val="22"/>
          <w:lang w:val="es-ES"/>
        </w:rPr>
        <w:t>the</w:t>
      </w:r>
      <w:proofErr w:type="spellEnd"/>
      <w:r>
        <w:rPr>
          <w:rFonts w:eastAsia="Palatino Linotype"/>
          <w:sz w:val="22"/>
          <w:szCs w:val="22"/>
          <w:lang w:val="es-ES"/>
        </w:rPr>
        <w:t xml:space="preserve"> </w:t>
      </w:r>
      <w:proofErr w:type="spellStart"/>
      <w:r>
        <w:rPr>
          <w:rFonts w:eastAsia="Palatino Linotype"/>
          <w:sz w:val="22"/>
          <w:szCs w:val="22"/>
          <w:lang w:val="es-ES"/>
        </w:rPr>
        <w:t>amounts</w:t>
      </w:r>
      <w:proofErr w:type="spellEnd"/>
      <w:r>
        <w:rPr>
          <w:rFonts w:eastAsia="Palatino Linotype"/>
          <w:sz w:val="22"/>
          <w:szCs w:val="22"/>
          <w:lang w:val="es-ES"/>
        </w:rPr>
        <w:t xml:space="preserve"> </w:t>
      </w:r>
      <w:proofErr w:type="spellStart"/>
      <w:r>
        <w:rPr>
          <w:rFonts w:eastAsia="Palatino Linotype"/>
          <w:sz w:val="22"/>
          <w:szCs w:val="22"/>
          <w:lang w:val="es-ES"/>
        </w:rPr>
        <w:t>corresponding</w:t>
      </w:r>
      <w:proofErr w:type="spellEnd"/>
      <w:r>
        <w:rPr>
          <w:rFonts w:eastAsia="Palatino Linotype"/>
          <w:sz w:val="22"/>
          <w:szCs w:val="22"/>
          <w:lang w:val="es-ES"/>
        </w:rPr>
        <w:t xml:space="preserve"> </w:t>
      </w:r>
      <w:proofErr w:type="spellStart"/>
      <w:r>
        <w:rPr>
          <w:rFonts w:eastAsia="Palatino Linotype"/>
          <w:sz w:val="22"/>
          <w:szCs w:val="22"/>
          <w:lang w:val="es-ES"/>
        </w:rPr>
        <w:t>to</w:t>
      </w:r>
      <w:proofErr w:type="spellEnd"/>
      <w:r>
        <w:rPr>
          <w:rFonts w:eastAsia="Palatino Linotype"/>
          <w:sz w:val="22"/>
          <w:szCs w:val="22"/>
          <w:lang w:val="es-ES"/>
        </w:rPr>
        <w:t xml:space="preserve"> </w:t>
      </w:r>
      <w:proofErr w:type="spellStart"/>
      <w:r>
        <w:rPr>
          <w:rFonts w:eastAsia="Palatino Linotype"/>
          <w:sz w:val="22"/>
          <w:szCs w:val="22"/>
          <w:lang w:val="es-ES"/>
        </w:rPr>
        <w:t>Value</w:t>
      </w:r>
      <w:proofErr w:type="spellEnd"/>
      <w:r>
        <w:rPr>
          <w:rFonts w:eastAsia="Palatino Linotype"/>
          <w:sz w:val="22"/>
          <w:szCs w:val="22"/>
          <w:lang w:val="es-ES"/>
        </w:rPr>
        <w:t xml:space="preserve"> Added Tax </w:t>
      </w:r>
      <w:proofErr w:type="spellStart"/>
      <w:r>
        <w:rPr>
          <w:rFonts w:eastAsia="Palatino Linotype"/>
          <w:sz w:val="22"/>
          <w:szCs w:val="22"/>
          <w:lang w:val="es-ES"/>
        </w:rPr>
        <w:t>will</w:t>
      </w:r>
      <w:proofErr w:type="spellEnd"/>
      <w:r>
        <w:rPr>
          <w:rFonts w:eastAsia="Palatino Linotype"/>
          <w:sz w:val="22"/>
          <w:szCs w:val="22"/>
          <w:lang w:val="es-ES"/>
        </w:rPr>
        <w:t xml:space="preserve"> be </w:t>
      </w:r>
      <w:proofErr w:type="spellStart"/>
      <w:r>
        <w:rPr>
          <w:rFonts w:eastAsia="Palatino Linotype"/>
          <w:sz w:val="22"/>
          <w:szCs w:val="22"/>
          <w:lang w:val="es-ES"/>
        </w:rPr>
        <w:t>included</w:t>
      </w:r>
      <w:proofErr w:type="spellEnd"/>
      <w:r>
        <w:rPr>
          <w:rFonts w:eastAsia="Palatino Linotype"/>
          <w:sz w:val="22"/>
          <w:szCs w:val="22"/>
          <w:lang w:val="es-ES"/>
        </w:rPr>
        <w:t xml:space="preserve"> in </w:t>
      </w:r>
      <w:proofErr w:type="spellStart"/>
      <w:r>
        <w:rPr>
          <w:rFonts w:eastAsia="Palatino Linotype"/>
          <w:sz w:val="22"/>
          <w:szCs w:val="22"/>
          <w:lang w:val="es-ES"/>
        </w:rPr>
        <w:t>the</w:t>
      </w:r>
      <w:proofErr w:type="spellEnd"/>
      <w:r>
        <w:rPr>
          <w:rFonts w:eastAsia="Palatino Linotype"/>
          <w:sz w:val="22"/>
          <w:szCs w:val="22"/>
          <w:lang w:val="es-ES"/>
        </w:rPr>
        <w:t xml:space="preserve"> comparative </w:t>
      </w:r>
      <w:proofErr w:type="spellStart"/>
      <w:r>
        <w:rPr>
          <w:rFonts w:eastAsia="Palatino Linotype"/>
          <w:sz w:val="22"/>
          <w:szCs w:val="22"/>
          <w:lang w:val="es-ES"/>
        </w:rPr>
        <w:t>prices</w:t>
      </w:r>
      <w:proofErr w:type="spellEnd"/>
      <w:r>
        <w:rPr>
          <w:rFonts w:eastAsia="Palatino Linotype"/>
          <w:sz w:val="22"/>
          <w:szCs w:val="22"/>
          <w:lang w:val="es-ES"/>
        </w:rPr>
        <w:t>.</w:t>
      </w:r>
    </w:p>
    <w:p w14:paraId="3542C27E" w14:textId="77777777" w:rsidR="00E255F4" w:rsidRDefault="00E255F4">
      <w:pPr>
        <w:ind w:right="-142"/>
        <w:jc w:val="both"/>
        <w:rPr>
          <w:rFonts w:eastAsia="Palatino Linotype"/>
          <w:spacing w:val="-1"/>
          <w:sz w:val="22"/>
          <w:szCs w:val="22"/>
          <w:lang w:val="es-ES"/>
        </w:rPr>
      </w:pPr>
    </w:p>
    <w:p w14:paraId="5D2C1A56" w14:textId="77777777" w:rsidR="00E255F4" w:rsidRDefault="00000000">
      <w:pPr>
        <w:ind w:left="993" w:right="-142" w:hanging="993"/>
        <w:jc w:val="both"/>
        <w:outlineLvl w:val="0"/>
      </w:pPr>
      <w:bookmarkStart w:id="31" w:name="__RefHeading___Toc225377208"/>
      <w:bookmarkEnd w:id="31"/>
      <w:r>
        <w:rPr>
          <w:rFonts w:eastAsia="Palatino Linotype"/>
          <w:b/>
          <w:spacing w:val="-1"/>
          <w:sz w:val="22"/>
          <w:szCs w:val="22"/>
          <w:lang w:val="es-ES"/>
        </w:rPr>
        <w:lastRenderedPageBreak/>
        <w:t xml:space="preserve">10.5.2 Special </w:t>
      </w:r>
      <w:proofErr w:type="spellStart"/>
      <w:r>
        <w:rPr>
          <w:rFonts w:eastAsia="Palatino Linotype"/>
          <w:b/>
          <w:spacing w:val="-1"/>
          <w:sz w:val="22"/>
          <w:szCs w:val="22"/>
          <w:lang w:val="es-ES"/>
        </w:rPr>
        <w:t>regimes</w:t>
      </w:r>
      <w:proofErr w:type="spellEnd"/>
      <w:r>
        <w:rPr>
          <w:rFonts w:eastAsia="Palatino Linotype"/>
          <w:b/>
          <w:spacing w:val="-1"/>
          <w:sz w:val="22"/>
          <w:szCs w:val="22"/>
          <w:lang w:val="es-ES"/>
        </w:rPr>
        <w:t xml:space="preserve"> </w:t>
      </w:r>
      <w:proofErr w:type="spellStart"/>
      <w:r>
        <w:rPr>
          <w:rFonts w:eastAsia="Palatino Linotype"/>
          <w:b/>
          <w:spacing w:val="-1"/>
          <w:sz w:val="22"/>
          <w:szCs w:val="22"/>
          <w:lang w:val="es-ES"/>
        </w:rPr>
        <w:t>included</w:t>
      </w:r>
      <w:proofErr w:type="spellEnd"/>
      <w:r>
        <w:rPr>
          <w:rFonts w:eastAsia="Palatino Linotype"/>
          <w:b/>
          <w:spacing w:val="-1"/>
          <w:sz w:val="22"/>
          <w:szCs w:val="22"/>
          <w:lang w:val="es-ES"/>
        </w:rPr>
        <w:t xml:space="preserve"> in </w:t>
      </w:r>
      <w:proofErr w:type="spellStart"/>
      <w:r>
        <w:rPr>
          <w:rFonts w:eastAsia="Palatino Linotype"/>
          <w:b/>
          <w:spacing w:val="-1"/>
          <w:sz w:val="22"/>
          <w:szCs w:val="22"/>
          <w:lang w:val="es-ES"/>
        </w:rPr>
        <w:t>the</w:t>
      </w:r>
      <w:proofErr w:type="spellEnd"/>
      <w:r>
        <w:rPr>
          <w:rFonts w:eastAsia="Palatino Linotype"/>
          <w:b/>
          <w:spacing w:val="-1"/>
          <w:sz w:val="22"/>
          <w:szCs w:val="22"/>
          <w:lang w:val="es-ES"/>
        </w:rPr>
        <w:t xml:space="preserve"> Public </w:t>
      </w:r>
      <w:proofErr w:type="spellStart"/>
      <w:r>
        <w:rPr>
          <w:rFonts w:eastAsia="Palatino Linotype"/>
          <w:b/>
          <w:spacing w:val="-1"/>
          <w:sz w:val="22"/>
          <w:szCs w:val="22"/>
          <w:lang w:val="es-ES"/>
        </w:rPr>
        <w:t>Procurement</w:t>
      </w:r>
      <w:proofErr w:type="spellEnd"/>
      <w:r>
        <w:rPr>
          <w:rFonts w:eastAsia="Palatino Linotype"/>
          <w:b/>
          <w:spacing w:val="-1"/>
          <w:sz w:val="22"/>
          <w:szCs w:val="22"/>
          <w:lang w:val="es-ES"/>
        </w:rPr>
        <w:t xml:space="preserve"> </w:t>
      </w:r>
      <w:proofErr w:type="spellStart"/>
      <w:r>
        <w:rPr>
          <w:rFonts w:eastAsia="Palatino Linotype"/>
          <w:b/>
          <w:spacing w:val="-1"/>
          <w:sz w:val="22"/>
          <w:szCs w:val="22"/>
          <w:lang w:val="es-ES"/>
        </w:rPr>
        <w:t>Program</w:t>
      </w:r>
      <w:proofErr w:type="spellEnd"/>
      <w:r>
        <w:rPr>
          <w:rFonts w:eastAsia="Palatino Linotype"/>
          <w:b/>
          <w:spacing w:val="-1"/>
          <w:sz w:val="22"/>
          <w:szCs w:val="22"/>
          <w:lang w:val="es-ES"/>
        </w:rPr>
        <w:t xml:space="preserve"> </w:t>
      </w:r>
      <w:proofErr w:type="spellStart"/>
      <w:r>
        <w:rPr>
          <w:rFonts w:eastAsia="Palatino Linotype"/>
          <w:b/>
          <w:spacing w:val="-1"/>
          <w:sz w:val="22"/>
          <w:szCs w:val="22"/>
          <w:lang w:val="es-ES"/>
        </w:rPr>
        <w:t>for</w:t>
      </w:r>
      <w:proofErr w:type="spellEnd"/>
      <w:r>
        <w:rPr>
          <w:rFonts w:eastAsia="Palatino Linotype"/>
          <w:b/>
          <w:spacing w:val="-1"/>
          <w:sz w:val="22"/>
          <w:szCs w:val="22"/>
          <w:lang w:val="es-ES"/>
        </w:rPr>
        <w:t xml:space="preserve"> </w:t>
      </w:r>
      <w:proofErr w:type="spellStart"/>
      <w:r>
        <w:rPr>
          <w:rFonts w:eastAsia="Palatino Linotype"/>
          <w:b/>
          <w:spacing w:val="-1"/>
          <w:sz w:val="22"/>
          <w:szCs w:val="22"/>
          <w:lang w:val="es-ES"/>
        </w:rPr>
        <w:t>Development</w:t>
      </w:r>
      <w:proofErr w:type="spellEnd"/>
      <w:r>
        <w:rPr>
          <w:rFonts w:eastAsia="Palatino Linotype"/>
          <w:b/>
          <w:spacing w:val="-1"/>
          <w:sz w:val="22"/>
          <w:szCs w:val="22"/>
          <w:lang w:val="es-ES"/>
        </w:rPr>
        <w:tab/>
      </w:r>
    </w:p>
    <w:p w14:paraId="7FFB48C7" w14:textId="77777777" w:rsidR="00E255F4" w:rsidRDefault="00E255F4">
      <w:pPr>
        <w:ind w:right="-142"/>
        <w:jc w:val="both"/>
        <w:rPr>
          <w:rFonts w:eastAsia="Palatino Linotype"/>
          <w:b/>
          <w:i/>
          <w:spacing w:val="-1"/>
          <w:sz w:val="22"/>
          <w:szCs w:val="22"/>
          <w:lang w:val="es-ES"/>
        </w:rPr>
      </w:pPr>
    </w:p>
    <w:p w14:paraId="6623FDF1" w14:textId="77777777" w:rsidR="00E255F4" w:rsidRDefault="00000000">
      <w:pPr>
        <w:rPr>
          <w:rFonts w:eastAsia="Palatino Linotype"/>
          <w:b/>
        </w:rPr>
      </w:pPr>
      <w:r>
        <w:rPr>
          <w:rFonts w:eastAsia="Palatino Linotype"/>
          <w:b/>
        </w:rPr>
        <w:t xml:space="preserve">10.5.2.1 Public </w:t>
      </w:r>
      <w:proofErr w:type="spellStart"/>
      <w:r>
        <w:rPr>
          <w:rFonts w:eastAsia="Palatino Linotype"/>
          <w:b/>
        </w:rPr>
        <w:t>Procurement</w:t>
      </w:r>
      <w:proofErr w:type="spellEnd"/>
      <w:r>
        <w:rPr>
          <w:rFonts w:eastAsia="Palatino Linotype"/>
          <w:b/>
        </w:rPr>
        <w:t xml:space="preserve"> </w:t>
      </w:r>
      <w:proofErr w:type="spellStart"/>
      <w:r>
        <w:rPr>
          <w:rFonts w:eastAsia="Palatino Linotype"/>
          <w:b/>
        </w:rPr>
        <w:t>Subprogram</w:t>
      </w:r>
      <w:proofErr w:type="spellEnd"/>
      <w:r>
        <w:rPr>
          <w:rFonts w:eastAsia="Palatino Linotype"/>
          <w:b/>
        </w:rPr>
        <w:t xml:space="preserve"> </w:t>
      </w:r>
      <w:proofErr w:type="spellStart"/>
      <w:r>
        <w:rPr>
          <w:rFonts w:eastAsia="Palatino Linotype"/>
          <w:b/>
        </w:rPr>
        <w:t>for</w:t>
      </w:r>
      <w:proofErr w:type="spellEnd"/>
      <w:r>
        <w:rPr>
          <w:rFonts w:eastAsia="Palatino Linotype"/>
          <w:b/>
        </w:rPr>
        <w:t xml:space="preserve"> </w:t>
      </w:r>
      <w:proofErr w:type="spellStart"/>
      <w:r>
        <w:rPr>
          <w:rFonts w:eastAsia="Palatino Linotype"/>
          <w:b/>
        </w:rPr>
        <w:t>the</w:t>
      </w:r>
      <w:proofErr w:type="spellEnd"/>
      <w:r>
        <w:rPr>
          <w:rFonts w:eastAsia="Palatino Linotype"/>
          <w:b/>
        </w:rPr>
        <w:t xml:space="preserve"> </w:t>
      </w:r>
      <w:proofErr w:type="spellStart"/>
      <w:r>
        <w:rPr>
          <w:rFonts w:eastAsia="Palatino Linotype"/>
          <w:b/>
        </w:rPr>
        <w:t>Development</w:t>
      </w:r>
      <w:proofErr w:type="spellEnd"/>
      <w:r>
        <w:rPr>
          <w:rFonts w:eastAsia="Palatino Linotype"/>
          <w:b/>
        </w:rPr>
        <w:t xml:space="preserve"> </w:t>
      </w:r>
      <w:proofErr w:type="spellStart"/>
      <w:r>
        <w:rPr>
          <w:rFonts w:eastAsia="Palatino Linotype"/>
          <w:b/>
        </w:rPr>
        <w:t>of</w:t>
      </w:r>
      <w:proofErr w:type="spellEnd"/>
      <w:r>
        <w:rPr>
          <w:rFonts w:eastAsia="Palatino Linotype"/>
          <w:b/>
        </w:rPr>
        <w:t xml:space="preserve"> </w:t>
      </w:r>
      <w:proofErr w:type="spellStart"/>
      <w:r>
        <w:rPr>
          <w:rFonts w:eastAsia="Palatino Linotype"/>
          <w:b/>
        </w:rPr>
        <w:t>MSMEs</w:t>
      </w:r>
      <w:proofErr w:type="spellEnd"/>
      <w:r>
        <w:rPr>
          <w:rFonts w:eastAsia="Palatino Linotype"/>
          <w:b/>
        </w:rPr>
        <w:tab/>
      </w:r>
    </w:p>
    <w:p w14:paraId="0DD1E5F0" w14:textId="77777777" w:rsidR="00E255F4" w:rsidRDefault="00E255F4">
      <w:pPr>
        <w:ind w:right="-142"/>
        <w:jc w:val="both"/>
        <w:rPr>
          <w:rFonts w:eastAsia="Palatino Linotype"/>
          <w:b/>
          <w:spacing w:val="3"/>
          <w:sz w:val="22"/>
          <w:szCs w:val="22"/>
          <w:lang w:val="es-ES"/>
        </w:rPr>
      </w:pPr>
    </w:p>
    <w:p w14:paraId="486EE46E" w14:textId="77777777" w:rsidR="00E255F4" w:rsidRDefault="00000000">
      <w:pPr>
        <w:ind w:right="-142"/>
        <w:jc w:val="both"/>
        <w:rPr>
          <w:rFonts w:eastAsia="Palatino Linotype"/>
          <w:sz w:val="22"/>
          <w:szCs w:val="22"/>
          <w:lang w:val="es-ES"/>
        </w:rPr>
      </w:pPr>
      <w:proofErr w:type="spellStart"/>
      <w:r>
        <w:rPr>
          <w:rFonts w:eastAsia="Palatino Linotype"/>
          <w:spacing w:val="3"/>
          <w:sz w:val="22"/>
          <w:szCs w:val="22"/>
          <w:lang w:val="es-ES"/>
        </w:rPr>
        <w:t>L</w:t>
      </w:r>
      <w:r>
        <w:rPr>
          <w:rFonts w:eastAsia="Palatino Linotype"/>
          <w:sz w:val="22"/>
          <w:szCs w:val="22"/>
          <w:lang w:val="es-ES"/>
        </w:rPr>
        <w:t>The</w:t>
      </w:r>
      <w:proofErr w:type="spellEnd"/>
      <w:r>
        <w:rPr>
          <w:rFonts w:eastAsia="Palatino Linotype"/>
          <w:sz w:val="22"/>
          <w:szCs w:val="22"/>
          <w:lang w:val="es-ES"/>
        </w:rPr>
        <w:t xml:space="preserve"> </w:t>
      </w:r>
      <w:proofErr w:type="spellStart"/>
      <w:r>
        <w:rPr>
          <w:rFonts w:eastAsia="Palatino Linotype"/>
          <w:sz w:val="22"/>
          <w:szCs w:val="22"/>
          <w:lang w:val="es-ES"/>
        </w:rPr>
        <w:t>promotion</w:t>
      </w:r>
      <w:proofErr w:type="spellEnd"/>
      <w:r>
        <w:rPr>
          <w:rFonts w:eastAsia="Palatino Linotype"/>
          <w:sz w:val="22"/>
          <w:szCs w:val="22"/>
          <w:lang w:val="es-ES"/>
        </w:rPr>
        <w:t xml:space="preserve"> </w:t>
      </w:r>
      <w:proofErr w:type="spellStart"/>
      <w:r>
        <w:rPr>
          <w:rFonts w:eastAsia="Palatino Linotype"/>
          <w:sz w:val="22"/>
          <w:szCs w:val="22"/>
          <w:lang w:val="es-ES"/>
        </w:rPr>
        <w:t>of</w:t>
      </w:r>
      <w:proofErr w:type="spellEnd"/>
      <w:r>
        <w:rPr>
          <w:rFonts w:eastAsia="Palatino Linotype"/>
          <w:sz w:val="22"/>
          <w:szCs w:val="22"/>
          <w:lang w:val="es-ES"/>
        </w:rPr>
        <w:t xml:space="preserve"> </w:t>
      </w:r>
      <w:proofErr w:type="spellStart"/>
      <w:r>
        <w:rPr>
          <w:rFonts w:eastAsia="Palatino Linotype"/>
          <w:sz w:val="22"/>
          <w:szCs w:val="22"/>
          <w:lang w:val="es-ES"/>
        </w:rPr>
        <w:t>products</w:t>
      </w:r>
      <w:proofErr w:type="spellEnd"/>
      <w:r>
        <w:rPr>
          <w:rFonts w:eastAsia="Palatino Linotype"/>
          <w:sz w:val="22"/>
          <w:szCs w:val="22"/>
          <w:lang w:val="es-ES"/>
        </w:rPr>
        <w:t xml:space="preserve"> </w:t>
      </w:r>
      <w:proofErr w:type="spellStart"/>
      <w:r>
        <w:rPr>
          <w:rFonts w:eastAsia="Palatino Linotype"/>
          <w:sz w:val="22"/>
          <w:szCs w:val="22"/>
          <w:lang w:val="es-ES"/>
        </w:rPr>
        <w:t>that</w:t>
      </w:r>
      <w:proofErr w:type="spellEnd"/>
      <w:r>
        <w:rPr>
          <w:rFonts w:eastAsia="Palatino Linotype"/>
          <w:sz w:val="22"/>
          <w:szCs w:val="22"/>
          <w:lang w:val="es-ES"/>
        </w:rPr>
        <w:t xml:space="preserve"> </w:t>
      </w:r>
      <w:proofErr w:type="spellStart"/>
      <w:r>
        <w:rPr>
          <w:rFonts w:eastAsia="Palatino Linotype"/>
          <w:sz w:val="22"/>
          <w:szCs w:val="22"/>
          <w:lang w:val="es-ES"/>
        </w:rPr>
        <w:t>qualify</w:t>
      </w:r>
      <w:proofErr w:type="spellEnd"/>
      <w:r>
        <w:rPr>
          <w:rFonts w:eastAsia="Palatino Linotype"/>
          <w:sz w:val="22"/>
          <w:szCs w:val="22"/>
          <w:lang w:val="es-ES"/>
        </w:rPr>
        <w:t xml:space="preserve"> as </w:t>
      </w:r>
      <w:proofErr w:type="spellStart"/>
      <w:r>
        <w:rPr>
          <w:rFonts w:eastAsia="Palatino Linotype"/>
          <w:sz w:val="22"/>
          <w:szCs w:val="22"/>
          <w:lang w:val="es-ES"/>
        </w:rPr>
        <w:t>national</w:t>
      </w:r>
      <w:proofErr w:type="spellEnd"/>
      <w:r>
        <w:rPr>
          <w:rFonts w:eastAsia="Palatino Linotype"/>
          <w:sz w:val="22"/>
          <w:szCs w:val="22"/>
          <w:lang w:val="es-ES"/>
        </w:rPr>
        <w:t xml:space="preserve"> versus </w:t>
      </w:r>
      <w:proofErr w:type="spellStart"/>
      <w:r>
        <w:rPr>
          <w:rFonts w:eastAsia="Palatino Linotype"/>
          <w:sz w:val="22"/>
          <w:szCs w:val="22"/>
          <w:lang w:val="es-ES"/>
        </w:rPr>
        <w:t>those</w:t>
      </w:r>
      <w:proofErr w:type="spellEnd"/>
      <w:r>
        <w:rPr>
          <w:rFonts w:eastAsia="Palatino Linotype"/>
          <w:sz w:val="22"/>
          <w:szCs w:val="22"/>
          <w:lang w:val="es-ES"/>
        </w:rPr>
        <w:t xml:space="preserve"> </w:t>
      </w:r>
      <w:proofErr w:type="spellStart"/>
      <w:r>
        <w:rPr>
          <w:rFonts w:eastAsia="Palatino Linotype"/>
          <w:sz w:val="22"/>
          <w:szCs w:val="22"/>
          <w:lang w:val="es-ES"/>
        </w:rPr>
        <w:t>that</w:t>
      </w:r>
      <w:proofErr w:type="spellEnd"/>
      <w:r>
        <w:rPr>
          <w:rFonts w:eastAsia="Palatino Linotype"/>
          <w:sz w:val="22"/>
          <w:szCs w:val="22"/>
          <w:lang w:val="es-ES"/>
        </w:rPr>
        <w:t xml:space="preserve"> do </w:t>
      </w:r>
      <w:proofErr w:type="spellStart"/>
      <w:r>
        <w:rPr>
          <w:rFonts w:eastAsia="Palatino Linotype"/>
          <w:sz w:val="22"/>
          <w:szCs w:val="22"/>
          <w:lang w:val="es-ES"/>
        </w:rPr>
        <w:t>not</w:t>
      </w:r>
      <w:proofErr w:type="spellEnd"/>
      <w:r>
        <w:rPr>
          <w:rFonts w:eastAsia="Palatino Linotype"/>
          <w:sz w:val="22"/>
          <w:szCs w:val="22"/>
          <w:lang w:val="es-ES"/>
        </w:rPr>
        <w:t xml:space="preserve">, </w:t>
      </w:r>
      <w:proofErr w:type="spellStart"/>
      <w:r>
        <w:rPr>
          <w:rFonts w:eastAsia="Palatino Linotype"/>
          <w:sz w:val="22"/>
          <w:szCs w:val="22"/>
          <w:lang w:val="es-ES"/>
        </w:rPr>
        <w:t>established</w:t>
      </w:r>
      <w:proofErr w:type="spellEnd"/>
      <w:r>
        <w:rPr>
          <w:rFonts w:eastAsia="Palatino Linotype"/>
          <w:sz w:val="22"/>
          <w:szCs w:val="22"/>
          <w:lang w:val="es-ES"/>
        </w:rPr>
        <w:t xml:space="preserve"> in </w:t>
      </w:r>
      <w:proofErr w:type="spellStart"/>
      <w:r>
        <w:rPr>
          <w:rFonts w:eastAsia="Palatino Linotype"/>
          <w:sz w:val="22"/>
          <w:szCs w:val="22"/>
          <w:lang w:val="es-ES"/>
        </w:rPr>
        <w:t>Articles</w:t>
      </w:r>
      <w:proofErr w:type="spellEnd"/>
      <w:r>
        <w:rPr>
          <w:rFonts w:eastAsia="Palatino Linotype"/>
          <w:sz w:val="22"/>
          <w:szCs w:val="22"/>
          <w:lang w:val="es-ES"/>
        </w:rPr>
        <w:t xml:space="preserve"> 59 and 60 </w:t>
      </w:r>
      <w:proofErr w:type="spellStart"/>
      <w:r>
        <w:rPr>
          <w:rFonts w:eastAsia="Palatino Linotype"/>
          <w:sz w:val="22"/>
          <w:szCs w:val="22"/>
          <w:lang w:val="es-ES"/>
        </w:rPr>
        <w:t>lit.</w:t>
      </w:r>
      <w:proofErr w:type="spellEnd"/>
      <w:r>
        <w:rPr>
          <w:rFonts w:eastAsia="Palatino Linotype"/>
          <w:sz w:val="22"/>
          <w:szCs w:val="22"/>
          <w:lang w:val="es-ES"/>
        </w:rPr>
        <w:t xml:space="preserve"> A </w:t>
      </w:r>
      <w:proofErr w:type="spellStart"/>
      <w:r>
        <w:rPr>
          <w:rFonts w:eastAsia="Palatino Linotype"/>
          <w:sz w:val="22"/>
          <w:szCs w:val="22"/>
          <w:lang w:val="es-ES"/>
        </w:rPr>
        <w:t>of</w:t>
      </w:r>
      <w:proofErr w:type="spellEnd"/>
      <w:r>
        <w:rPr>
          <w:rFonts w:eastAsia="Palatino Linotype"/>
          <w:sz w:val="22"/>
          <w:szCs w:val="22"/>
          <w:lang w:val="es-ES"/>
        </w:rPr>
        <w:t xml:space="preserve"> </w:t>
      </w:r>
      <w:proofErr w:type="spellStart"/>
      <w:r>
        <w:rPr>
          <w:rFonts w:eastAsia="Palatino Linotype"/>
          <w:sz w:val="22"/>
          <w:szCs w:val="22"/>
          <w:lang w:val="es-ES"/>
        </w:rPr>
        <w:t>the</w:t>
      </w:r>
      <w:proofErr w:type="spellEnd"/>
      <w:r>
        <w:rPr>
          <w:rFonts w:eastAsia="Palatino Linotype"/>
          <w:sz w:val="22"/>
          <w:szCs w:val="22"/>
          <w:lang w:val="es-ES"/>
        </w:rPr>
        <w:t xml:space="preserve"> TOCAF, as </w:t>
      </w:r>
      <w:proofErr w:type="spellStart"/>
      <w:r>
        <w:rPr>
          <w:rFonts w:eastAsia="Palatino Linotype"/>
          <w:sz w:val="22"/>
          <w:szCs w:val="22"/>
          <w:lang w:val="es-ES"/>
        </w:rPr>
        <w:t>amended</w:t>
      </w:r>
      <w:proofErr w:type="spellEnd"/>
      <w:r>
        <w:rPr>
          <w:rFonts w:eastAsia="Palatino Linotype"/>
          <w:sz w:val="22"/>
          <w:szCs w:val="22"/>
          <w:lang w:val="es-ES"/>
        </w:rPr>
        <w:t xml:space="preserve"> and </w:t>
      </w:r>
      <w:proofErr w:type="spellStart"/>
      <w:r>
        <w:rPr>
          <w:rFonts w:eastAsia="Palatino Linotype"/>
          <w:sz w:val="22"/>
          <w:szCs w:val="22"/>
          <w:lang w:val="es-ES"/>
        </w:rPr>
        <w:t>related</w:t>
      </w:r>
      <w:proofErr w:type="spellEnd"/>
      <w:r>
        <w:rPr>
          <w:rFonts w:eastAsia="Palatino Linotype"/>
          <w:sz w:val="22"/>
          <w:szCs w:val="22"/>
          <w:lang w:val="es-ES"/>
        </w:rPr>
        <w:t xml:space="preserve">, </w:t>
      </w:r>
      <w:proofErr w:type="spellStart"/>
      <w:r>
        <w:rPr>
          <w:rFonts w:eastAsia="Palatino Linotype"/>
          <w:sz w:val="22"/>
          <w:szCs w:val="22"/>
          <w:lang w:val="es-ES"/>
        </w:rPr>
        <w:t>will</w:t>
      </w:r>
      <w:proofErr w:type="spellEnd"/>
      <w:r>
        <w:rPr>
          <w:rFonts w:eastAsia="Palatino Linotype"/>
          <w:sz w:val="22"/>
          <w:szCs w:val="22"/>
          <w:lang w:val="es-ES"/>
        </w:rPr>
        <w:t xml:space="preserve"> </w:t>
      </w:r>
      <w:proofErr w:type="spellStart"/>
      <w:r>
        <w:rPr>
          <w:rFonts w:eastAsia="Palatino Linotype"/>
          <w:sz w:val="22"/>
          <w:szCs w:val="22"/>
          <w:lang w:val="es-ES"/>
        </w:rPr>
        <w:t>have</w:t>
      </w:r>
      <w:proofErr w:type="spellEnd"/>
      <w:r>
        <w:rPr>
          <w:rFonts w:eastAsia="Palatino Linotype"/>
          <w:sz w:val="22"/>
          <w:szCs w:val="22"/>
          <w:lang w:val="es-ES"/>
        </w:rPr>
        <w:t xml:space="preserve"> </w:t>
      </w:r>
      <w:proofErr w:type="spellStart"/>
      <w:r>
        <w:rPr>
          <w:rFonts w:eastAsia="Palatino Linotype"/>
          <w:sz w:val="22"/>
          <w:szCs w:val="22"/>
          <w:lang w:val="es-ES"/>
        </w:rPr>
        <w:t>the</w:t>
      </w:r>
      <w:proofErr w:type="spellEnd"/>
      <w:r>
        <w:rPr>
          <w:rFonts w:eastAsia="Palatino Linotype"/>
          <w:sz w:val="22"/>
          <w:szCs w:val="22"/>
          <w:lang w:val="es-ES"/>
        </w:rPr>
        <w:t xml:space="preserve"> </w:t>
      </w:r>
      <w:proofErr w:type="spellStart"/>
      <w:r>
        <w:rPr>
          <w:rFonts w:eastAsia="Palatino Linotype"/>
          <w:sz w:val="22"/>
          <w:szCs w:val="22"/>
          <w:lang w:val="es-ES"/>
        </w:rPr>
        <w:t>following</w:t>
      </w:r>
      <w:proofErr w:type="spellEnd"/>
      <w:r>
        <w:rPr>
          <w:rFonts w:eastAsia="Palatino Linotype"/>
          <w:sz w:val="22"/>
          <w:szCs w:val="22"/>
          <w:lang w:val="es-ES"/>
        </w:rPr>
        <w:t xml:space="preserve"> </w:t>
      </w:r>
      <w:proofErr w:type="spellStart"/>
      <w:r>
        <w:rPr>
          <w:rFonts w:eastAsia="Palatino Linotype"/>
          <w:sz w:val="22"/>
          <w:szCs w:val="22"/>
          <w:lang w:val="es-ES"/>
        </w:rPr>
        <w:t>scope</w:t>
      </w:r>
      <w:proofErr w:type="spellEnd"/>
      <w:r>
        <w:rPr>
          <w:rFonts w:eastAsia="Palatino Linotype"/>
          <w:sz w:val="22"/>
          <w:szCs w:val="22"/>
          <w:lang w:val="es-ES"/>
        </w:rPr>
        <w:t xml:space="preserve">, </w:t>
      </w:r>
      <w:proofErr w:type="spellStart"/>
      <w:r>
        <w:rPr>
          <w:rFonts w:eastAsia="Palatino Linotype"/>
          <w:sz w:val="22"/>
          <w:szCs w:val="22"/>
          <w:lang w:val="es-ES"/>
        </w:rPr>
        <w:t>nature</w:t>
      </w:r>
      <w:proofErr w:type="spellEnd"/>
      <w:r>
        <w:rPr>
          <w:rFonts w:eastAsia="Palatino Linotype"/>
          <w:sz w:val="22"/>
          <w:szCs w:val="22"/>
          <w:lang w:val="es-ES"/>
        </w:rPr>
        <w:t xml:space="preserve"> and </w:t>
      </w:r>
      <w:proofErr w:type="spellStart"/>
      <w:r>
        <w:rPr>
          <w:rFonts w:eastAsia="Palatino Linotype"/>
          <w:sz w:val="22"/>
          <w:szCs w:val="22"/>
          <w:lang w:val="es-ES"/>
        </w:rPr>
        <w:t>calculation</w:t>
      </w:r>
      <w:proofErr w:type="spellEnd"/>
      <w:r>
        <w:rPr>
          <w:rFonts w:eastAsia="Palatino Linotype"/>
          <w:sz w:val="22"/>
          <w:szCs w:val="22"/>
          <w:lang w:val="es-ES"/>
        </w:rPr>
        <w:t xml:space="preserve"> </w:t>
      </w:r>
      <w:proofErr w:type="spellStart"/>
      <w:r>
        <w:rPr>
          <w:rFonts w:eastAsia="Palatino Linotype"/>
          <w:sz w:val="22"/>
          <w:szCs w:val="22"/>
          <w:lang w:val="es-ES"/>
        </w:rPr>
        <w:t>procedures</w:t>
      </w:r>
      <w:proofErr w:type="spellEnd"/>
      <w:r>
        <w:rPr>
          <w:rFonts w:eastAsia="Palatino Linotype"/>
          <w:sz w:val="22"/>
          <w:szCs w:val="22"/>
          <w:lang w:val="es-ES"/>
        </w:rPr>
        <w:t>:</w:t>
      </w:r>
    </w:p>
    <w:p w14:paraId="613E2B4C" w14:textId="77777777" w:rsidR="00E255F4" w:rsidRDefault="00E255F4">
      <w:pPr>
        <w:ind w:right="-142"/>
        <w:jc w:val="both"/>
        <w:rPr>
          <w:rFonts w:eastAsia="Palatino Linotype"/>
          <w:sz w:val="22"/>
          <w:szCs w:val="22"/>
          <w:lang w:val="es-ES"/>
        </w:rPr>
      </w:pPr>
    </w:p>
    <w:p w14:paraId="290FEC8F" w14:textId="77777777" w:rsidR="00E255F4" w:rsidRDefault="00000000">
      <w:pPr>
        <w:ind w:right="-142"/>
        <w:jc w:val="both"/>
        <w:rPr>
          <w:rFonts w:eastAsia="Palatino Linotype"/>
          <w:sz w:val="22"/>
          <w:szCs w:val="22"/>
          <w:lang w:val="es-ES"/>
        </w:rPr>
      </w:pPr>
      <w:r>
        <w:rPr>
          <w:rFonts w:eastAsia="Palatino Linotype"/>
          <w:b/>
          <w:spacing w:val="-1"/>
          <w:sz w:val="22"/>
          <w:szCs w:val="22"/>
          <w:lang w:val="es-ES"/>
        </w:rPr>
        <w:t>b1</w:t>
      </w:r>
      <w:r>
        <w:rPr>
          <w:rFonts w:eastAsia="Palatino Linotype"/>
          <w:b/>
          <w:sz w:val="22"/>
          <w:szCs w:val="22"/>
          <w:lang w:val="es-ES"/>
        </w:rPr>
        <w:t>)</w:t>
      </w:r>
      <w:r>
        <w:rPr>
          <w:rFonts w:eastAsia="Palatino Linotype"/>
          <w:b/>
          <w:spacing w:val="-2"/>
          <w:sz w:val="22"/>
          <w:szCs w:val="22"/>
          <w:lang w:val="es-ES"/>
        </w:rPr>
        <w:t xml:space="preserve"> </w:t>
      </w:r>
      <w:r>
        <w:rPr>
          <w:rFonts w:eastAsia="Palatino Linotype"/>
          <w:b/>
          <w:spacing w:val="-2"/>
          <w:sz w:val="22"/>
          <w:szCs w:val="22"/>
          <w:lang w:val="es-ES"/>
        </w:rPr>
        <w:tab/>
      </w:r>
      <w:proofErr w:type="spellStart"/>
      <w:r>
        <w:rPr>
          <w:rFonts w:eastAsia="Palatino Linotype"/>
          <w:b/>
          <w:spacing w:val="-1"/>
          <w:sz w:val="22"/>
          <w:szCs w:val="22"/>
          <w:lang w:val="es-ES"/>
        </w:rPr>
        <w:t>Preference</w:t>
      </w:r>
      <w:r>
        <w:rPr>
          <w:rFonts w:eastAsia="Palatino Linotype"/>
          <w:b/>
          <w:sz w:val="22"/>
          <w:szCs w:val="22"/>
          <w:lang w:val="es-ES"/>
        </w:rPr>
        <w:t>a</w:t>
      </w:r>
      <w:proofErr w:type="spellEnd"/>
      <w:r>
        <w:rPr>
          <w:rFonts w:eastAsia="Palatino Linotype"/>
          <w:b/>
          <w:sz w:val="22"/>
          <w:szCs w:val="22"/>
          <w:lang w:val="es-ES"/>
        </w:rPr>
        <w:t xml:space="preserve"> in </w:t>
      </w:r>
      <w:proofErr w:type="spellStart"/>
      <w:r>
        <w:rPr>
          <w:rFonts w:eastAsia="Palatino Linotype"/>
          <w:b/>
          <w:sz w:val="22"/>
          <w:szCs w:val="22"/>
          <w:lang w:val="es-ES"/>
        </w:rPr>
        <w:t>the</w:t>
      </w:r>
      <w:proofErr w:type="spellEnd"/>
      <w:r>
        <w:rPr>
          <w:rFonts w:eastAsia="Palatino Linotype"/>
          <w:b/>
          <w:sz w:val="22"/>
          <w:szCs w:val="22"/>
          <w:lang w:val="es-ES"/>
        </w:rPr>
        <w:t xml:space="preserve"> </w:t>
      </w:r>
      <w:proofErr w:type="spellStart"/>
      <w:r>
        <w:rPr>
          <w:rFonts w:eastAsia="Palatino Linotype"/>
          <w:b/>
          <w:sz w:val="22"/>
          <w:szCs w:val="22"/>
          <w:lang w:val="es-ES"/>
        </w:rPr>
        <w:t>price</w:t>
      </w:r>
      <w:proofErr w:type="spellEnd"/>
    </w:p>
    <w:p w14:paraId="62F2FDA4" w14:textId="77777777" w:rsidR="00E255F4" w:rsidRDefault="00E255F4">
      <w:pPr>
        <w:ind w:right="-142"/>
        <w:jc w:val="both"/>
        <w:rPr>
          <w:rFonts w:eastAsia="Palatino Linotype"/>
          <w:sz w:val="22"/>
          <w:szCs w:val="22"/>
          <w:lang w:val="es-ES"/>
        </w:rPr>
      </w:pPr>
    </w:p>
    <w:p w14:paraId="1EF978A9" w14:textId="77777777" w:rsidR="00E255F4" w:rsidRDefault="00000000">
      <w:pPr>
        <w:ind w:right="-142"/>
        <w:jc w:val="both"/>
        <w:rPr>
          <w:rFonts w:eastAsia="Palatino Linotype"/>
          <w:sz w:val="22"/>
          <w:szCs w:val="22"/>
          <w:lang w:val="es-ES"/>
        </w:rPr>
      </w:pPr>
      <w:proofErr w:type="spellStart"/>
      <w:r>
        <w:rPr>
          <w:rFonts w:eastAsia="Palatino Linotype"/>
          <w:spacing w:val="-1"/>
          <w:sz w:val="22"/>
          <w:szCs w:val="22"/>
          <w:lang w:val="es-ES"/>
        </w:rPr>
        <w:t>Yo</w:t>
      </w:r>
      <w:r>
        <w:rPr>
          <w:rFonts w:eastAsia="Palatino Linotype"/>
          <w:sz w:val="22"/>
          <w:szCs w:val="22"/>
          <w:lang w:val="es-ES"/>
        </w:rPr>
        <w:t>This</w:t>
      </w:r>
      <w:proofErr w:type="spellEnd"/>
      <w:r>
        <w:rPr>
          <w:rFonts w:eastAsia="Palatino Linotype"/>
          <w:sz w:val="22"/>
          <w:szCs w:val="22"/>
          <w:lang w:val="es-ES"/>
        </w:rPr>
        <w:t xml:space="preserve"> </w:t>
      </w:r>
      <w:proofErr w:type="spellStart"/>
      <w:r>
        <w:rPr>
          <w:rFonts w:eastAsia="Palatino Linotype"/>
          <w:sz w:val="22"/>
          <w:szCs w:val="22"/>
          <w:lang w:val="es-ES"/>
        </w:rPr>
        <w:t>will</w:t>
      </w:r>
      <w:proofErr w:type="spellEnd"/>
      <w:r>
        <w:rPr>
          <w:rFonts w:eastAsia="Palatino Linotype"/>
          <w:sz w:val="22"/>
          <w:szCs w:val="22"/>
          <w:lang w:val="es-ES"/>
        </w:rPr>
        <w:t xml:space="preserve"> </w:t>
      </w:r>
      <w:proofErr w:type="spellStart"/>
      <w:r>
        <w:rPr>
          <w:rFonts w:eastAsia="Palatino Linotype"/>
          <w:sz w:val="22"/>
          <w:szCs w:val="22"/>
          <w:lang w:val="es-ES"/>
        </w:rPr>
        <w:t>apply</w:t>
      </w:r>
      <w:proofErr w:type="spellEnd"/>
      <w:r>
        <w:rPr>
          <w:rFonts w:eastAsia="Palatino Linotype"/>
          <w:sz w:val="22"/>
          <w:szCs w:val="22"/>
          <w:lang w:val="es-ES"/>
        </w:rPr>
        <w:t xml:space="preserve"> </w:t>
      </w:r>
      <w:proofErr w:type="spellStart"/>
      <w:r>
        <w:rPr>
          <w:rFonts w:eastAsia="Palatino Linotype"/>
          <w:sz w:val="22"/>
          <w:szCs w:val="22"/>
          <w:lang w:val="es-ES"/>
        </w:rPr>
        <w:t>when</w:t>
      </w:r>
      <w:proofErr w:type="spellEnd"/>
      <w:r>
        <w:rPr>
          <w:rFonts w:eastAsia="Palatino Linotype"/>
          <w:sz w:val="22"/>
          <w:szCs w:val="22"/>
          <w:lang w:val="es-ES"/>
        </w:rPr>
        <w:t xml:space="preserve"> micro, </w:t>
      </w:r>
      <w:proofErr w:type="spellStart"/>
      <w:r>
        <w:rPr>
          <w:rFonts w:eastAsia="Palatino Linotype"/>
          <w:sz w:val="22"/>
          <w:szCs w:val="22"/>
          <w:lang w:val="es-ES"/>
        </w:rPr>
        <w:t>small</w:t>
      </w:r>
      <w:proofErr w:type="spellEnd"/>
      <w:r>
        <w:rPr>
          <w:rFonts w:eastAsia="Palatino Linotype"/>
          <w:sz w:val="22"/>
          <w:szCs w:val="22"/>
          <w:lang w:val="es-ES"/>
        </w:rPr>
        <w:t xml:space="preserve"> and </w:t>
      </w:r>
      <w:proofErr w:type="spellStart"/>
      <w:r>
        <w:rPr>
          <w:rFonts w:eastAsia="Palatino Linotype"/>
          <w:sz w:val="22"/>
          <w:szCs w:val="22"/>
          <w:lang w:val="es-ES"/>
        </w:rPr>
        <w:t>medium-sized</w:t>
      </w:r>
      <w:proofErr w:type="spellEnd"/>
      <w:r>
        <w:rPr>
          <w:rFonts w:eastAsia="Palatino Linotype"/>
          <w:sz w:val="22"/>
          <w:szCs w:val="22"/>
          <w:lang w:val="es-ES"/>
        </w:rPr>
        <w:t xml:space="preserve"> </w:t>
      </w:r>
      <w:proofErr w:type="spellStart"/>
      <w:r>
        <w:rPr>
          <w:rFonts w:eastAsia="Palatino Linotype"/>
          <w:sz w:val="22"/>
          <w:szCs w:val="22"/>
          <w:lang w:val="es-ES"/>
        </w:rPr>
        <w:t>enterprises</w:t>
      </w:r>
      <w:proofErr w:type="spellEnd"/>
      <w:r>
        <w:rPr>
          <w:rFonts w:eastAsia="Palatino Linotype"/>
          <w:sz w:val="22"/>
          <w:szCs w:val="22"/>
          <w:lang w:val="es-ES"/>
        </w:rPr>
        <w:t xml:space="preserve"> (</w:t>
      </w:r>
      <w:proofErr w:type="spellStart"/>
      <w:r>
        <w:rPr>
          <w:rFonts w:eastAsia="Palatino Linotype"/>
          <w:sz w:val="22"/>
          <w:szCs w:val="22"/>
          <w:lang w:val="es-ES"/>
        </w:rPr>
        <w:t>hereinafter</w:t>
      </w:r>
      <w:proofErr w:type="spellEnd"/>
      <w:r>
        <w:rPr>
          <w:rFonts w:eastAsia="Palatino Linotype"/>
          <w:sz w:val="22"/>
          <w:szCs w:val="22"/>
          <w:lang w:val="es-ES"/>
        </w:rPr>
        <w:t xml:space="preserve"> </w:t>
      </w:r>
      <w:proofErr w:type="spellStart"/>
      <w:r>
        <w:rPr>
          <w:rFonts w:eastAsia="Palatino Linotype"/>
          <w:sz w:val="22"/>
          <w:szCs w:val="22"/>
          <w:lang w:val="es-ES"/>
        </w:rPr>
        <w:t>MSMEs</w:t>
      </w:r>
      <w:proofErr w:type="spellEnd"/>
      <w:r>
        <w:rPr>
          <w:rFonts w:eastAsia="Palatino Linotype"/>
          <w:sz w:val="22"/>
          <w:szCs w:val="22"/>
          <w:lang w:val="es-ES"/>
        </w:rPr>
        <w:t xml:space="preserve">) </w:t>
      </w:r>
      <w:proofErr w:type="spellStart"/>
      <w:r>
        <w:rPr>
          <w:rFonts w:eastAsia="Palatino Linotype"/>
          <w:sz w:val="22"/>
          <w:szCs w:val="22"/>
          <w:lang w:val="es-ES"/>
        </w:rPr>
        <w:t>participate</w:t>
      </w:r>
      <w:proofErr w:type="spellEnd"/>
      <w:r>
        <w:rPr>
          <w:rFonts w:eastAsia="Palatino Linotype"/>
          <w:sz w:val="22"/>
          <w:szCs w:val="22"/>
          <w:lang w:val="es-ES"/>
        </w:rPr>
        <w:t xml:space="preserve"> </w:t>
      </w:r>
      <w:proofErr w:type="spellStart"/>
      <w:r>
        <w:rPr>
          <w:rFonts w:eastAsia="Palatino Linotype"/>
          <w:sz w:val="22"/>
          <w:szCs w:val="22"/>
          <w:lang w:val="es-ES"/>
        </w:rPr>
        <w:t>with</w:t>
      </w:r>
      <w:proofErr w:type="spellEnd"/>
      <w:r>
        <w:rPr>
          <w:rFonts w:eastAsia="Palatino Linotype"/>
          <w:sz w:val="22"/>
          <w:szCs w:val="22"/>
          <w:lang w:val="es-ES"/>
        </w:rPr>
        <w:t xml:space="preserve"> </w:t>
      </w:r>
      <w:proofErr w:type="spellStart"/>
      <w:r>
        <w:rPr>
          <w:rFonts w:eastAsia="Palatino Linotype"/>
          <w:sz w:val="22"/>
          <w:szCs w:val="22"/>
          <w:lang w:val="es-ES"/>
        </w:rPr>
        <w:t>goods</w:t>
      </w:r>
      <w:proofErr w:type="spellEnd"/>
      <w:r>
        <w:rPr>
          <w:rFonts w:eastAsia="Palatino Linotype"/>
          <w:sz w:val="22"/>
          <w:szCs w:val="22"/>
          <w:lang w:val="es-ES"/>
        </w:rPr>
        <w:t xml:space="preserve"> </w:t>
      </w:r>
      <w:proofErr w:type="spellStart"/>
      <w:r>
        <w:rPr>
          <w:rFonts w:eastAsia="Palatino Linotype"/>
          <w:sz w:val="22"/>
          <w:szCs w:val="22"/>
          <w:lang w:val="es-ES"/>
        </w:rPr>
        <w:t>of</w:t>
      </w:r>
      <w:proofErr w:type="spellEnd"/>
      <w:r>
        <w:rPr>
          <w:rFonts w:eastAsia="Palatino Linotype"/>
          <w:sz w:val="22"/>
          <w:szCs w:val="22"/>
          <w:lang w:val="es-ES"/>
        </w:rPr>
        <w:t xml:space="preserve"> </w:t>
      </w:r>
      <w:proofErr w:type="spellStart"/>
      <w:r>
        <w:rPr>
          <w:rFonts w:eastAsia="Palatino Linotype"/>
          <w:sz w:val="22"/>
          <w:szCs w:val="22"/>
          <w:lang w:val="es-ES"/>
        </w:rPr>
        <w:t>their</w:t>
      </w:r>
      <w:proofErr w:type="spellEnd"/>
      <w:r>
        <w:rPr>
          <w:rFonts w:eastAsia="Palatino Linotype"/>
          <w:sz w:val="22"/>
          <w:szCs w:val="22"/>
          <w:lang w:val="es-ES"/>
        </w:rPr>
        <w:t xml:space="preserve"> </w:t>
      </w:r>
      <w:proofErr w:type="spellStart"/>
      <w:r>
        <w:rPr>
          <w:rFonts w:eastAsia="Palatino Linotype"/>
          <w:sz w:val="22"/>
          <w:szCs w:val="22"/>
          <w:lang w:val="es-ES"/>
        </w:rPr>
        <w:t>own</w:t>
      </w:r>
      <w:proofErr w:type="spellEnd"/>
      <w:r>
        <w:rPr>
          <w:rFonts w:eastAsia="Palatino Linotype"/>
          <w:sz w:val="22"/>
          <w:szCs w:val="22"/>
          <w:lang w:val="es-ES"/>
        </w:rPr>
        <w:t xml:space="preserve"> </w:t>
      </w:r>
      <w:proofErr w:type="spellStart"/>
      <w:r>
        <w:rPr>
          <w:rFonts w:eastAsia="Palatino Linotype"/>
          <w:sz w:val="22"/>
          <w:szCs w:val="22"/>
          <w:lang w:val="es-ES"/>
        </w:rPr>
        <w:t>production</w:t>
      </w:r>
      <w:proofErr w:type="spellEnd"/>
      <w:r>
        <w:rPr>
          <w:rFonts w:eastAsia="Palatino Linotype"/>
          <w:sz w:val="22"/>
          <w:szCs w:val="22"/>
          <w:lang w:val="es-ES"/>
        </w:rPr>
        <w:t xml:space="preserve"> as </w:t>
      </w:r>
      <w:proofErr w:type="spellStart"/>
      <w:r>
        <w:rPr>
          <w:rFonts w:eastAsia="Palatino Linotype"/>
          <w:sz w:val="22"/>
          <w:szCs w:val="22"/>
          <w:lang w:val="es-ES"/>
        </w:rPr>
        <w:t>well</w:t>
      </w:r>
      <w:proofErr w:type="spellEnd"/>
      <w:r>
        <w:rPr>
          <w:rFonts w:eastAsia="Palatino Linotype"/>
          <w:sz w:val="22"/>
          <w:szCs w:val="22"/>
          <w:lang w:val="es-ES"/>
        </w:rPr>
        <w:t xml:space="preserve"> as </w:t>
      </w:r>
      <w:proofErr w:type="spellStart"/>
      <w:r>
        <w:rPr>
          <w:rFonts w:eastAsia="Palatino Linotype"/>
          <w:sz w:val="22"/>
          <w:szCs w:val="22"/>
          <w:lang w:val="es-ES"/>
        </w:rPr>
        <w:t>with</w:t>
      </w:r>
      <w:proofErr w:type="spellEnd"/>
      <w:r>
        <w:rPr>
          <w:rFonts w:eastAsia="Palatino Linotype"/>
          <w:sz w:val="22"/>
          <w:szCs w:val="22"/>
          <w:lang w:val="es-ES"/>
        </w:rPr>
        <w:t xml:space="preserve"> </w:t>
      </w:r>
      <w:proofErr w:type="spellStart"/>
      <w:r>
        <w:rPr>
          <w:rFonts w:eastAsia="Palatino Linotype"/>
          <w:sz w:val="22"/>
          <w:szCs w:val="22"/>
          <w:lang w:val="es-ES"/>
        </w:rPr>
        <w:t>services</w:t>
      </w:r>
      <w:proofErr w:type="spellEnd"/>
      <w:r>
        <w:rPr>
          <w:rFonts w:eastAsia="Palatino Linotype"/>
          <w:sz w:val="22"/>
          <w:szCs w:val="22"/>
          <w:lang w:val="es-ES"/>
        </w:rPr>
        <w:t xml:space="preserve"> </w:t>
      </w:r>
      <w:proofErr w:type="spellStart"/>
      <w:r>
        <w:rPr>
          <w:rFonts w:eastAsia="Palatino Linotype"/>
          <w:sz w:val="22"/>
          <w:szCs w:val="22"/>
          <w:lang w:val="es-ES"/>
        </w:rPr>
        <w:t>provided</w:t>
      </w:r>
      <w:proofErr w:type="spellEnd"/>
      <w:r>
        <w:rPr>
          <w:rFonts w:eastAsia="Palatino Linotype"/>
          <w:sz w:val="22"/>
          <w:szCs w:val="22"/>
          <w:lang w:val="es-ES"/>
        </w:rPr>
        <w:t xml:space="preserve"> </w:t>
      </w:r>
      <w:proofErr w:type="spellStart"/>
      <w:r>
        <w:rPr>
          <w:rFonts w:eastAsia="Palatino Linotype"/>
          <w:sz w:val="22"/>
          <w:szCs w:val="22"/>
          <w:lang w:val="es-ES"/>
        </w:rPr>
        <w:t>or</w:t>
      </w:r>
      <w:proofErr w:type="spellEnd"/>
      <w:r>
        <w:rPr>
          <w:rFonts w:eastAsia="Palatino Linotype"/>
          <w:sz w:val="22"/>
          <w:szCs w:val="22"/>
          <w:lang w:val="es-ES"/>
        </w:rPr>
        <w:t xml:space="preserve"> </w:t>
      </w:r>
      <w:proofErr w:type="spellStart"/>
      <w:r>
        <w:rPr>
          <w:rFonts w:eastAsia="Palatino Linotype"/>
          <w:sz w:val="22"/>
          <w:szCs w:val="22"/>
          <w:lang w:val="es-ES"/>
        </w:rPr>
        <w:t>performed</w:t>
      </w:r>
      <w:proofErr w:type="spellEnd"/>
      <w:r>
        <w:rPr>
          <w:rFonts w:eastAsia="Palatino Linotype"/>
          <w:sz w:val="22"/>
          <w:szCs w:val="22"/>
          <w:lang w:val="es-ES"/>
        </w:rPr>
        <w:t xml:space="preserve"> </w:t>
      </w:r>
      <w:proofErr w:type="spellStart"/>
      <w:r>
        <w:rPr>
          <w:rFonts w:eastAsia="Palatino Linotype"/>
          <w:sz w:val="22"/>
          <w:szCs w:val="22"/>
          <w:lang w:val="es-ES"/>
        </w:rPr>
        <w:t>directly</w:t>
      </w:r>
      <w:proofErr w:type="spellEnd"/>
      <w:r>
        <w:rPr>
          <w:rFonts w:eastAsia="Palatino Linotype"/>
          <w:sz w:val="22"/>
          <w:szCs w:val="22"/>
          <w:lang w:val="es-ES"/>
        </w:rPr>
        <w:t xml:space="preserve"> </w:t>
      </w:r>
      <w:proofErr w:type="spellStart"/>
      <w:r>
        <w:rPr>
          <w:rFonts w:eastAsia="Palatino Linotype"/>
          <w:sz w:val="22"/>
          <w:szCs w:val="22"/>
          <w:lang w:val="es-ES"/>
        </w:rPr>
        <w:t>by</w:t>
      </w:r>
      <w:proofErr w:type="spellEnd"/>
      <w:r>
        <w:rPr>
          <w:rFonts w:eastAsia="Palatino Linotype"/>
          <w:sz w:val="22"/>
          <w:szCs w:val="22"/>
          <w:lang w:val="es-ES"/>
        </w:rPr>
        <w:t xml:space="preserve"> </w:t>
      </w:r>
      <w:proofErr w:type="spellStart"/>
      <w:r>
        <w:rPr>
          <w:rFonts w:eastAsia="Palatino Linotype"/>
          <w:sz w:val="22"/>
          <w:szCs w:val="22"/>
          <w:lang w:val="es-ES"/>
        </w:rPr>
        <w:t>them</w:t>
      </w:r>
      <w:proofErr w:type="spellEnd"/>
      <w:r>
        <w:rPr>
          <w:rFonts w:eastAsia="Palatino Linotype"/>
          <w:sz w:val="22"/>
          <w:szCs w:val="22"/>
          <w:lang w:val="es-ES"/>
        </w:rPr>
        <w:t xml:space="preserve">, </w:t>
      </w:r>
      <w:proofErr w:type="spellStart"/>
      <w:r>
        <w:rPr>
          <w:rFonts w:eastAsia="Palatino Linotype"/>
          <w:sz w:val="22"/>
          <w:szCs w:val="22"/>
          <w:lang w:val="es-ES"/>
        </w:rPr>
        <w:t>which</w:t>
      </w:r>
      <w:proofErr w:type="spellEnd"/>
      <w:r>
        <w:rPr>
          <w:rFonts w:eastAsia="Palatino Linotype"/>
          <w:sz w:val="22"/>
          <w:szCs w:val="22"/>
          <w:lang w:val="es-ES"/>
        </w:rPr>
        <w:t xml:space="preserve"> </w:t>
      </w:r>
      <w:proofErr w:type="spellStart"/>
      <w:r>
        <w:rPr>
          <w:rFonts w:eastAsia="Palatino Linotype"/>
          <w:sz w:val="22"/>
          <w:szCs w:val="22"/>
          <w:lang w:val="es-ES"/>
        </w:rPr>
        <w:t>qualify</w:t>
      </w:r>
      <w:proofErr w:type="spellEnd"/>
      <w:r>
        <w:rPr>
          <w:rFonts w:eastAsia="Palatino Linotype"/>
          <w:sz w:val="22"/>
          <w:szCs w:val="22"/>
          <w:lang w:val="es-ES"/>
        </w:rPr>
        <w:t xml:space="preserve"> as </w:t>
      </w:r>
      <w:proofErr w:type="spellStart"/>
      <w:r>
        <w:rPr>
          <w:rFonts w:eastAsia="Palatino Linotype"/>
          <w:sz w:val="22"/>
          <w:szCs w:val="22"/>
          <w:lang w:val="es-ES"/>
        </w:rPr>
        <w:t>national</w:t>
      </w:r>
      <w:proofErr w:type="spellEnd"/>
      <w:r>
        <w:rPr>
          <w:rFonts w:eastAsia="Palatino Linotype"/>
          <w:sz w:val="22"/>
          <w:szCs w:val="22"/>
          <w:lang w:val="es-ES"/>
        </w:rPr>
        <w:t xml:space="preserve">. For </w:t>
      </w:r>
      <w:proofErr w:type="spellStart"/>
      <w:r>
        <w:rPr>
          <w:rFonts w:eastAsia="Palatino Linotype"/>
          <w:sz w:val="22"/>
          <w:szCs w:val="22"/>
          <w:lang w:val="es-ES"/>
        </w:rPr>
        <w:t>the</w:t>
      </w:r>
      <w:proofErr w:type="spellEnd"/>
      <w:r>
        <w:rPr>
          <w:rFonts w:eastAsia="Palatino Linotype"/>
          <w:sz w:val="22"/>
          <w:szCs w:val="22"/>
          <w:lang w:val="es-ES"/>
        </w:rPr>
        <w:t xml:space="preserve"> </w:t>
      </w:r>
      <w:proofErr w:type="spellStart"/>
      <w:r>
        <w:rPr>
          <w:rFonts w:eastAsia="Palatino Linotype"/>
          <w:sz w:val="22"/>
          <w:szCs w:val="22"/>
          <w:lang w:val="es-ES"/>
        </w:rPr>
        <w:t>purposes</w:t>
      </w:r>
      <w:proofErr w:type="spellEnd"/>
      <w:r>
        <w:rPr>
          <w:rFonts w:eastAsia="Palatino Linotype"/>
          <w:sz w:val="22"/>
          <w:szCs w:val="22"/>
          <w:lang w:val="es-ES"/>
        </w:rPr>
        <w:t xml:space="preserve"> </w:t>
      </w:r>
      <w:proofErr w:type="spellStart"/>
      <w:r>
        <w:rPr>
          <w:rFonts w:eastAsia="Palatino Linotype"/>
          <w:sz w:val="22"/>
          <w:szCs w:val="22"/>
          <w:lang w:val="es-ES"/>
        </w:rPr>
        <w:t>of</w:t>
      </w:r>
      <w:proofErr w:type="spellEnd"/>
      <w:r>
        <w:rPr>
          <w:rFonts w:eastAsia="Palatino Linotype"/>
          <w:sz w:val="22"/>
          <w:szCs w:val="22"/>
          <w:lang w:val="es-ES"/>
        </w:rPr>
        <w:t xml:space="preserve"> </w:t>
      </w:r>
      <w:proofErr w:type="spellStart"/>
      <w:r>
        <w:rPr>
          <w:rFonts w:eastAsia="Palatino Linotype"/>
          <w:sz w:val="22"/>
          <w:szCs w:val="22"/>
          <w:lang w:val="es-ES"/>
        </w:rPr>
        <w:t>being</w:t>
      </w:r>
      <w:proofErr w:type="spellEnd"/>
      <w:r>
        <w:rPr>
          <w:rFonts w:eastAsia="Palatino Linotype"/>
          <w:sz w:val="22"/>
          <w:szCs w:val="22"/>
          <w:lang w:val="es-ES"/>
        </w:rPr>
        <w:t xml:space="preserve"> </w:t>
      </w:r>
      <w:proofErr w:type="spellStart"/>
      <w:r>
        <w:rPr>
          <w:rFonts w:eastAsia="Palatino Linotype"/>
          <w:sz w:val="22"/>
          <w:szCs w:val="22"/>
          <w:lang w:val="es-ES"/>
        </w:rPr>
        <w:t>covered</w:t>
      </w:r>
      <w:proofErr w:type="spellEnd"/>
      <w:r>
        <w:rPr>
          <w:rFonts w:eastAsia="Palatino Linotype"/>
          <w:sz w:val="22"/>
          <w:szCs w:val="22"/>
          <w:lang w:val="es-ES"/>
        </w:rPr>
        <w:t xml:space="preserve"> </w:t>
      </w:r>
      <w:proofErr w:type="spellStart"/>
      <w:r>
        <w:rPr>
          <w:rFonts w:eastAsia="Palatino Linotype"/>
          <w:sz w:val="22"/>
          <w:szCs w:val="22"/>
          <w:lang w:val="es-ES"/>
        </w:rPr>
        <w:t>by</w:t>
      </w:r>
      <w:proofErr w:type="spellEnd"/>
      <w:r>
        <w:rPr>
          <w:rFonts w:eastAsia="Palatino Linotype"/>
          <w:sz w:val="22"/>
          <w:szCs w:val="22"/>
          <w:lang w:val="es-ES"/>
        </w:rPr>
        <w:t xml:space="preserve"> </w:t>
      </w:r>
      <w:proofErr w:type="spellStart"/>
      <w:r>
        <w:rPr>
          <w:rFonts w:eastAsia="Palatino Linotype"/>
          <w:sz w:val="22"/>
          <w:szCs w:val="22"/>
          <w:lang w:val="es-ES"/>
        </w:rPr>
        <w:t>the</w:t>
      </w:r>
      <w:proofErr w:type="spellEnd"/>
      <w:r>
        <w:rPr>
          <w:rFonts w:eastAsia="Palatino Linotype"/>
          <w:sz w:val="22"/>
          <w:szCs w:val="22"/>
          <w:lang w:val="es-ES"/>
        </w:rPr>
        <w:t xml:space="preserve"> </w:t>
      </w:r>
      <w:proofErr w:type="spellStart"/>
      <w:r>
        <w:rPr>
          <w:rFonts w:eastAsia="Palatino Linotype"/>
          <w:sz w:val="22"/>
          <w:szCs w:val="22"/>
          <w:lang w:val="es-ES"/>
        </w:rPr>
        <w:t>aforementioned</w:t>
      </w:r>
      <w:proofErr w:type="spellEnd"/>
      <w:r>
        <w:rPr>
          <w:rFonts w:eastAsia="Palatino Linotype"/>
          <w:sz w:val="22"/>
          <w:szCs w:val="22"/>
          <w:lang w:val="es-ES"/>
        </w:rPr>
        <w:t xml:space="preserve"> </w:t>
      </w:r>
      <w:proofErr w:type="spellStart"/>
      <w:r>
        <w:rPr>
          <w:rFonts w:eastAsia="Palatino Linotype"/>
          <w:sz w:val="22"/>
          <w:szCs w:val="22"/>
          <w:lang w:val="es-ES"/>
        </w:rPr>
        <w:t>subprogram</w:t>
      </w:r>
      <w:proofErr w:type="spellEnd"/>
      <w:r>
        <w:rPr>
          <w:rFonts w:eastAsia="Palatino Linotype"/>
          <w:sz w:val="22"/>
          <w:szCs w:val="22"/>
          <w:lang w:val="es-ES"/>
        </w:rPr>
        <w:t xml:space="preserve">, </w:t>
      </w:r>
      <w:proofErr w:type="spellStart"/>
      <w:r>
        <w:rPr>
          <w:rFonts w:eastAsia="Palatino Linotype"/>
          <w:sz w:val="22"/>
          <w:szCs w:val="22"/>
          <w:lang w:val="es-ES"/>
        </w:rPr>
        <w:t>the</w:t>
      </w:r>
      <w:proofErr w:type="spellEnd"/>
      <w:r>
        <w:rPr>
          <w:rFonts w:eastAsia="Palatino Linotype"/>
          <w:sz w:val="22"/>
          <w:szCs w:val="22"/>
          <w:lang w:val="es-ES"/>
        </w:rPr>
        <w:t xml:space="preserve"> </w:t>
      </w:r>
      <w:proofErr w:type="spellStart"/>
      <w:r>
        <w:rPr>
          <w:rFonts w:eastAsia="Palatino Linotype"/>
          <w:sz w:val="22"/>
          <w:szCs w:val="22"/>
          <w:lang w:val="es-ES"/>
        </w:rPr>
        <w:t>companies</w:t>
      </w:r>
      <w:proofErr w:type="spellEnd"/>
      <w:r>
        <w:rPr>
          <w:rFonts w:eastAsia="Palatino Linotype"/>
          <w:sz w:val="22"/>
          <w:szCs w:val="22"/>
          <w:lang w:val="es-ES"/>
        </w:rPr>
        <w:t xml:space="preserve"> </w:t>
      </w:r>
      <w:proofErr w:type="spellStart"/>
      <w:r>
        <w:rPr>
          <w:rFonts w:eastAsia="Palatino Linotype"/>
          <w:sz w:val="22"/>
          <w:szCs w:val="22"/>
          <w:lang w:val="es-ES"/>
        </w:rPr>
        <w:t>must</w:t>
      </w:r>
      <w:proofErr w:type="spellEnd"/>
      <w:r>
        <w:rPr>
          <w:rFonts w:eastAsia="Palatino Linotype"/>
          <w:sz w:val="22"/>
          <w:szCs w:val="22"/>
          <w:lang w:val="es-ES"/>
        </w:rPr>
        <w:t xml:space="preserve"> be </w:t>
      </w:r>
      <w:proofErr w:type="spellStart"/>
      <w:r>
        <w:rPr>
          <w:rFonts w:eastAsia="Palatino Linotype"/>
          <w:sz w:val="22"/>
          <w:szCs w:val="22"/>
          <w:lang w:val="es-ES"/>
        </w:rPr>
        <w:t>included</w:t>
      </w:r>
      <w:proofErr w:type="spellEnd"/>
      <w:r>
        <w:rPr>
          <w:rFonts w:eastAsia="Palatino Linotype"/>
          <w:sz w:val="22"/>
          <w:szCs w:val="22"/>
          <w:lang w:val="es-ES"/>
        </w:rPr>
        <w:t xml:space="preserve"> in </w:t>
      </w:r>
      <w:proofErr w:type="spellStart"/>
      <w:r>
        <w:rPr>
          <w:rFonts w:eastAsia="Palatino Linotype"/>
          <w:sz w:val="22"/>
          <w:szCs w:val="22"/>
          <w:lang w:val="es-ES"/>
        </w:rPr>
        <w:t>one</w:t>
      </w:r>
      <w:proofErr w:type="spellEnd"/>
      <w:r>
        <w:rPr>
          <w:rFonts w:eastAsia="Palatino Linotype"/>
          <w:sz w:val="22"/>
          <w:szCs w:val="22"/>
          <w:lang w:val="es-ES"/>
        </w:rPr>
        <w:t xml:space="preserve"> </w:t>
      </w:r>
      <w:proofErr w:type="spellStart"/>
      <w:r>
        <w:rPr>
          <w:rFonts w:eastAsia="Palatino Linotype"/>
          <w:sz w:val="22"/>
          <w:szCs w:val="22"/>
          <w:lang w:val="es-ES"/>
        </w:rPr>
        <w:t>of</w:t>
      </w:r>
      <w:proofErr w:type="spellEnd"/>
      <w:r>
        <w:rPr>
          <w:rFonts w:eastAsia="Palatino Linotype"/>
          <w:sz w:val="22"/>
          <w:szCs w:val="22"/>
          <w:lang w:val="es-ES"/>
        </w:rPr>
        <w:t xml:space="preserve"> </w:t>
      </w:r>
      <w:proofErr w:type="spellStart"/>
      <w:r>
        <w:rPr>
          <w:rFonts w:eastAsia="Palatino Linotype"/>
          <w:sz w:val="22"/>
          <w:szCs w:val="22"/>
          <w:lang w:val="es-ES"/>
        </w:rPr>
        <w:t>the</w:t>
      </w:r>
      <w:proofErr w:type="spellEnd"/>
      <w:r>
        <w:rPr>
          <w:rFonts w:eastAsia="Palatino Linotype"/>
          <w:sz w:val="22"/>
          <w:szCs w:val="22"/>
          <w:lang w:val="es-ES"/>
        </w:rPr>
        <w:t xml:space="preserve"> </w:t>
      </w:r>
      <w:proofErr w:type="spellStart"/>
      <w:r>
        <w:rPr>
          <w:rFonts w:eastAsia="Palatino Linotype"/>
          <w:sz w:val="22"/>
          <w:szCs w:val="22"/>
          <w:lang w:val="es-ES"/>
        </w:rPr>
        <w:t>categories</w:t>
      </w:r>
      <w:proofErr w:type="spellEnd"/>
      <w:r>
        <w:rPr>
          <w:rFonts w:eastAsia="Palatino Linotype"/>
          <w:sz w:val="22"/>
          <w:szCs w:val="22"/>
          <w:lang w:val="es-ES"/>
        </w:rPr>
        <w:t xml:space="preserve"> </w:t>
      </w:r>
      <w:proofErr w:type="spellStart"/>
      <w:r>
        <w:rPr>
          <w:rFonts w:eastAsia="Palatino Linotype"/>
          <w:sz w:val="22"/>
          <w:szCs w:val="22"/>
          <w:lang w:val="es-ES"/>
        </w:rPr>
        <w:t>provided</w:t>
      </w:r>
      <w:proofErr w:type="spellEnd"/>
      <w:r>
        <w:rPr>
          <w:rFonts w:eastAsia="Palatino Linotype"/>
          <w:sz w:val="22"/>
          <w:szCs w:val="22"/>
          <w:lang w:val="es-ES"/>
        </w:rPr>
        <w:t xml:space="preserve"> </w:t>
      </w:r>
      <w:proofErr w:type="spellStart"/>
      <w:r>
        <w:rPr>
          <w:rFonts w:eastAsia="Palatino Linotype"/>
          <w:sz w:val="22"/>
          <w:szCs w:val="22"/>
          <w:lang w:val="es-ES"/>
        </w:rPr>
        <w:t>for</w:t>
      </w:r>
      <w:proofErr w:type="spellEnd"/>
      <w:r>
        <w:rPr>
          <w:rFonts w:eastAsia="Palatino Linotype"/>
          <w:sz w:val="22"/>
          <w:szCs w:val="22"/>
          <w:lang w:val="es-ES"/>
        </w:rPr>
        <w:t xml:space="preserve"> in Decree No. 504/007 </w:t>
      </w:r>
      <w:proofErr w:type="spellStart"/>
      <w:r>
        <w:rPr>
          <w:rFonts w:eastAsia="Palatino Linotype"/>
          <w:sz w:val="22"/>
          <w:szCs w:val="22"/>
          <w:lang w:val="es-ES"/>
        </w:rPr>
        <w:t>of</w:t>
      </w:r>
      <w:proofErr w:type="spellEnd"/>
      <w:r>
        <w:rPr>
          <w:rFonts w:eastAsia="Palatino Linotype"/>
          <w:sz w:val="22"/>
          <w:szCs w:val="22"/>
          <w:lang w:val="es-ES"/>
        </w:rPr>
        <w:t xml:space="preserve"> December 20, 2007 and </w:t>
      </w:r>
      <w:proofErr w:type="spellStart"/>
      <w:r>
        <w:rPr>
          <w:rFonts w:eastAsia="Palatino Linotype"/>
          <w:sz w:val="22"/>
          <w:szCs w:val="22"/>
          <w:lang w:val="es-ES"/>
        </w:rPr>
        <w:t>comply</w:t>
      </w:r>
      <w:proofErr w:type="spellEnd"/>
      <w:r>
        <w:rPr>
          <w:rFonts w:eastAsia="Palatino Linotype"/>
          <w:sz w:val="22"/>
          <w:szCs w:val="22"/>
          <w:lang w:val="es-ES"/>
        </w:rPr>
        <w:t xml:space="preserve"> </w:t>
      </w:r>
      <w:proofErr w:type="spellStart"/>
      <w:r>
        <w:rPr>
          <w:rFonts w:eastAsia="Palatino Linotype"/>
          <w:sz w:val="22"/>
          <w:szCs w:val="22"/>
          <w:lang w:val="es-ES"/>
        </w:rPr>
        <w:t>with</w:t>
      </w:r>
      <w:proofErr w:type="spellEnd"/>
      <w:r>
        <w:rPr>
          <w:rFonts w:eastAsia="Palatino Linotype"/>
          <w:sz w:val="22"/>
          <w:szCs w:val="22"/>
          <w:lang w:val="es-ES"/>
        </w:rPr>
        <w:t xml:space="preserve"> </w:t>
      </w:r>
      <w:proofErr w:type="spellStart"/>
      <w:r>
        <w:rPr>
          <w:rFonts w:eastAsia="Palatino Linotype"/>
          <w:sz w:val="22"/>
          <w:szCs w:val="22"/>
          <w:lang w:val="es-ES"/>
        </w:rPr>
        <w:t>the</w:t>
      </w:r>
      <w:proofErr w:type="spellEnd"/>
      <w:r>
        <w:rPr>
          <w:rFonts w:eastAsia="Palatino Linotype"/>
          <w:sz w:val="22"/>
          <w:szCs w:val="22"/>
          <w:lang w:val="es-ES"/>
        </w:rPr>
        <w:t xml:space="preserve"> </w:t>
      </w:r>
      <w:proofErr w:type="spellStart"/>
      <w:r>
        <w:rPr>
          <w:rFonts w:eastAsia="Palatino Linotype"/>
          <w:sz w:val="22"/>
          <w:szCs w:val="22"/>
          <w:lang w:val="es-ES"/>
        </w:rPr>
        <w:t>provisions</w:t>
      </w:r>
      <w:proofErr w:type="spellEnd"/>
      <w:r>
        <w:rPr>
          <w:rFonts w:eastAsia="Palatino Linotype"/>
          <w:sz w:val="22"/>
          <w:szCs w:val="22"/>
          <w:lang w:val="es-ES"/>
        </w:rPr>
        <w:t xml:space="preserve"> </w:t>
      </w:r>
      <w:proofErr w:type="spellStart"/>
      <w:r>
        <w:rPr>
          <w:rFonts w:eastAsia="Palatino Linotype"/>
          <w:sz w:val="22"/>
          <w:szCs w:val="22"/>
          <w:lang w:val="es-ES"/>
        </w:rPr>
        <w:t>of</w:t>
      </w:r>
      <w:proofErr w:type="spellEnd"/>
      <w:r>
        <w:rPr>
          <w:rFonts w:eastAsia="Palatino Linotype"/>
          <w:sz w:val="22"/>
          <w:szCs w:val="22"/>
          <w:lang w:val="es-ES"/>
        </w:rPr>
        <w:t xml:space="preserve"> Decree No. 371/010 </w:t>
      </w:r>
      <w:proofErr w:type="spellStart"/>
      <w:r>
        <w:rPr>
          <w:rFonts w:eastAsia="Palatino Linotype"/>
          <w:sz w:val="22"/>
          <w:szCs w:val="22"/>
          <w:lang w:val="es-ES"/>
        </w:rPr>
        <w:t>of</w:t>
      </w:r>
      <w:proofErr w:type="spellEnd"/>
      <w:r>
        <w:rPr>
          <w:rFonts w:eastAsia="Palatino Linotype"/>
          <w:sz w:val="22"/>
          <w:szCs w:val="22"/>
          <w:lang w:val="es-ES"/>
        </w:rPr>
        <w:t xml:space="preserve"> December 14, 2010.</w:t>
      </w:r>
    </w:p>
    <w:p w14:paraId="6396BD70" w14:textId="77777777" w:rsidR="00E255F4" w:rsidRDefault="00E255F4">
      <w:pPr>
        <w:ind w:right="-142"/>
        <w:jc w:val="both"/>
        <w:rPr>
          <w:rFonts w:eastAsia="Palatino Linotype"/>
          <w:sz w:val="22"/>
          <w:szCs w:val="22"/>
          <w:lang w:val="es-ES"/>
        </w:rPr>
      </w:pPr>
    </w:p>
    <w:p w14:paraId="28EE6DEC" w14:textId="77777777" w:rsidR="00E255F4" w:rsidRDefault="00000000">
      <w:pPr>
        <w:ind w:right="-142"/>
        <w:jc w:val="both"/>
        <w:rPr>
          <w:rFonts w:eastAsia="Palatino Linotype"/>
          <w:sz w:val="22"/>
          <w:szCs w:val="22"/>
          <w:lang w:val="es-ES"/>
        </w:rPr>
      </w:pPr>
      <w:proofErr w:type="spellStart"/>
      <w:r>
        <w:rPr>
          <w:rFonts w:eastAsia="Palatino Linotype"/>
          <w:spacing w:val="-3"/>
          <w:sz w:val="22"/>
          <w:szCs w:val="22"/>
          <w:lang w:val="es-ES"/>
        </w:rPr>
        <w:t>ii</w:t>
      </w:r>
      <w:r>
        <w:rPr>
          <w:rFonts w:eastAsia="Palatino Linotype"/>
          <w:sz w:val="22"/>
          <w:szCs w:val="22"/>
          <w:lang w:val="es-ES"/>
        </w:rPr>
        <w:t>This</w:t>
      </w:r>
      <w:proofErr w:type="spellEnd"/>
      <w:r>
        <w:rPr>
          <w:rFonts w:eastAsia="Palatino Linotype"/>
          <w:sz w:val="22"/>
          <w:szCs w:val="22"/>
          <w:lang w:val="es-ES"/>
        </w:rPr>
        <w:t xml:space="preserve"> </w:t>
      </w:r>
      <w:proofErr w:type="spellStart"/>
      <w:r>
        <w:rPr>
          <w:rFonts w:eastAsia="Palatino Linotype"/>
          <w:sz w:val="22"/>
          <w:szCs w:val="22"/>
          <w:lang w:val="es-ES"/>
        </w:rPr>
        <w:t>will</w:t>
      </w:r>
      <w:proofErr w:type="spellEnd"/>
      <w:r>
        <w:rPr>
          <w:rFonts w:eastAsia="Palatino Linotype"/>
          <w:sz w:val="22"/>
          <w:szCs w:val="22"/>
          <w:lang w:val="es-ES"/>
        </w:rPr>
        <w:t xml:space="preserve"> </w:t>
      </w:r>
      <w:proofErr w:type="spellStart"/>
      <w:r>
        <w:rPr>
          <w:rFonts w:eastAsia="Palatino Linotype"/>
          <w:sz w:val="22"/>
          <w:szCs w:val="22"/>
          <w:lang w:val="es-ES"/>
        </w:rPr>
        <w:t>apply</w:t>
      </w:r>
      <w:proofErr w:type="spellEnd"/>
      <w:r>
        <w:rPr>
          <w:rFonts w:eastAsia="Palatino Linotype"/>
          <w:sz w:val="22"/>
          <w:szCs w:val="22"/>
          <w:lang w:val="es-ES"/>
        </w:rPr>
        <w:t xml:space="preserve"> </w:t>
      </w:r>
      <w:proofErr w:type="spellStart"/>
      <w:r>
        <w:rPr>
          <w:rFonts w:eastAsia="Palatino Linotype"/>
          <w:sz w:val="22"/>
          <w:szCs w:val="22"/>
          <w:lang w:val="es-ES"/>
        </w:rPr>
        <w:t>whenever</w:t>
      </w:r>
      <w:proofErr w:type="spellEnd"/>
      <w:r>
        <w:rPr>
          <w:rFonts w:eastAsia="Palatino Linotype"/>
          <w:sz w:val="22"/>
          <w:szCs w:val="22"/>
          <w:lang w:val="es-ES"/>
        </w:rPr>
        <w:t xml:space="preserve"> </w:t>
      </w:r>
      <w:proofErr w:type="spellStart"/>
      <w:r>
        <w:rPr>
          <w:rFonts w:eastAsia="Palatino Linotype"/>
          <w:sz w:val="22"/>
          <w:szCs w:val="22"/>
          <w:lang w:val="es-ES"/>
        </w:rPr>
        <w:t>there</w:t>
      </w:r>
      <w:proofErr w:type="spellEnd"/>
      <w:r>
        <w:rPr>
          <w:rFonts w:eastAsia="Palatino Linotype"/>
          <w:sz w:val="22"/>
          <w:szCs w:val="22"/>
          <w:lang w:val="es-ES"/>
        </w:rPr>
        <w:t xml:space="preserve"> </w:t>
      </w:r>
      <w:proofErr w:type="spellStart"/>
      <w:r>
        <w:rPr>
          <w:rFonts w:eastAsia="Palatino Linotype"/>
          <w:sz w:val="22"/>
          <w:szCs w:val="22"/>
          <w:lang w:val="es-ES"/>
        </w:rPr>
        <w:t>is</w:t>
      </w:r>
      <w:proofErr w:type="spellEnd"/>
      <w:r>
        <w:rPr>
          <w:rFonts w:eastAsia="Palatino Linotype"/>
          <w:sz w:val="22"/>
          <w:szCs w:val="22"/>
          <w:lang w:val="es-ES"/>
        </w:rPr>
        <w:t xml:space="preserve"> </w:t>
      </w:r>
      <w:proofErr w:type="spellStart"/>
      <w:r>
        <w:rPr>
          <w:rFonts w:eastAsia="Palatino Linotype"/>
          <w:sz w:val="22"/>
          <w:szCs w:val="22"/>
          <w:lang w:val="es-ES"/>
        </w:rPr>
        <w:t>parity</w:t>
      </w:r>
      <w:proofErr w:type="spellEnd"/>
      <w:r>
        <w:rPr>
          <w:rFonts w:eastAsia="Palatino Linotype"/>
          <w:sz w:val="22"/>
          <w:szCs w:val="22"/>
          <w:lang w:val="es-ES"/>
        </w:rPr>
        <w:t xml:space="preserve"> </w:t>
      </w:r>
      <w:proofErr w:type="spellStart"/>
      <w:r>
        <w:rPr>
          <w:rFonts w:eastAsia="Palatino Linotype"/>
          <w:sz w:val="22"/>
          <w:szCs w:val="22"/>
          <w:lang w:val="es-ES"/>
        </w:rPr>
        <w:t>of</w:t>
      </w:r>
      <w:proofErr w:type="spellEnd"/>
      <w:r>
        <w:rPr>
          <w:rFonts w:eastAsia="Palatino Linotype"/>
          <w:sz w:val="22"/>
          <w:szCs w:val="22"/>
          <w:lang w:val="es-ES"/>
        </w:rPr>
        <w:t xml:space="preserve"> </w:t>
      </w:r>
      <w:proofErr w:type="spellStart"/>
      <w:r>
        <w:rPr>
          <w:rFonts w:eastAsia="Palatino Linotype"/>
          <w:sz w:val="22"/>
          <w:szCs w:val="22"/>
          <w:lang w:val="es-ES"/>
        </w:rPr>
        <w:t>quality</w:t>
      </w:r>
      <w:proofErr w:type="spellEnd"/>
      <w:r>
        <w:rPr>
          <w:rFonts w:eastAsia="Palatino Linotype"/>
          <w:sz w:val="22"/>
          <w:szCs w:val="22"/>
          <w:lang w:val="es-ES"/>
        </w:rPr>
        <w:t xml:space="preserve"> </w:t>
      </w:r>
      <w:proofErr w:type="spellStart"/>
      <w:r>
        <w:rPr>
          <w:rFonts w:eastAsia="Palatino Linotype"/>
          <w:sz w:val="22"/>
          <w:szCs w:val="22"/>
          <w:lang w:val="es-ES"/>
        </w:rPr>
        <w:t>or</w:t>
      </w:r>
      <w:proofErr w:type="spellEnd"/>
      <w:r>
        <w:rPr>
          <w:rFonts w:eastAsia="Palatino Linotype"/>
          <w:sz w:val="22"/>
          <w:szCs w:val="22"/>
          <w:lang w:val="es-ES"/>
        </w:rPr>
        <w:t xml:space="preserve"> </w:t>
      </w:r>
      <w:proofErr w:type="spellStart"/>
      <w:r>
        <w:rPr>
          <w:rFonts w:eastAsia="Palatino Linotype"/>
          <w:sz w:val="22"/>
          <w:szCs w:val="22"/>
          <w:lang w:val="es-ES"/>
        </w:rPr>
        <w:t>suitability</w:t>
      </w:r>
      <w:proofErr w:type="spellEnd"/>
      <w:r>
        <w:rPr>
          <w:rFonts w:eastAsia="Palatino Linotype"/>
          <w:sz w:val="22"/>
          <w:szCs w:val="22"/>
          <w:lang w:val="es-ES"/>
        </w:rPr>
        <w:t xml:space="preserve">. </w:t>
      </w:r>
      <w:proofErr w:type="spellStart"/>
      <w:r>
        <w:rPr>
          <w:rFonts w:eastAsia="Palatino Linotype"/>
          <w:sz w:val="22"/>
          <w:szCs w:val="22"/>
          <w:lang w:val="es-ES"/>
        </w:rPr>
        <w:t>Parity</w:t>
      </w:r>
      <w:proofErr w:type="spellEnd"/>
      <w:r>
        <w:rPr>
          <w:rFonts w:eastAsia="Palatino Linotype"/>
          <w:sz w:val="22"/>
          <w:szCs w:val="22"/>
          <w:lang w:val="es-ES"/>
        </w:rPr>
        <w:t xml:space="preserve"> </w:t>
      </w:r>
      <w:proofErr w:type="spellStart"/>
      <w:r>
        <w:rPr>
          <w:rFonts w:eastAsia="Palatino Linotype"/>
          <w:sz w:val="22"/>
          <w:szCs w:val="22"/>
          <w:lang w:val="es-ES"/>
        </w:rPr>
        <w:t>of</w:t>
      </w:r>
      <w:proofErr w:type="spellEnd"/>
      <w:r>
        <w:rPr>
          <w:rFonts w:eastAsia="Palatino Linotype"/>
          <w:sz w:val="22"/>
          <w:szCs w:val="22"/>
          <w:lang w:val="es-ES"/>
        </w:rPr>
        <w:t xml:space="preserve"> </w:t>
      </w:r>
      <w:proofErr w:type="spellStart"/>
      <w:r>
        <w:rPr>
          <w:rFonts w:eastAsia="Palatino Linotype"/>
          <w:sz w:val="22"/>
          <w:szCs w:val="22"/>
          <w:lang w:val="es-ES"/>
        </w:rPr>
        <w:t>quality</w:t>
      </w:r>
      <w:proofErr w:type="spellEnd"/>
      <w:r>
        <w:rPr>
          <w:rFonts w:eastAsia="Palatino Linotype"/>
          <w:sz w:val="22"/>
          <w:szCs w:val="22"/>
          <w:lang w:val="es-ES"/>
        </w:rPr>
        <w:t xml:space="preserve"> </w:t>
      </w:r>
      <w:proofErr w:type="spellStart"/>
      <w:r>
        <w:rPr>
          <w:rFonts w:eastAsia="Palatino Linotype"/>
          <w:sz w:val="22"/>
          <w:szCs w:val="22"/>
          <w:lang w:val="es-ES"/>
        </w:rPr>
        <w:t>or</w:t>
      </w:r>
      <w:proofErr w:type="spellEnd"/>
      <w:r>
        <w:rPr>
          <w:rFonts w:eastAsia="Palatino Linotype"/>
          <w:sz w:val="22"/>
          <w:szCs w:val="22"/>
          <w:lang w:val="es-ES"/>
        </w:rPr>
        <w:t xml:space="preserve"> </w:t>
      </w:r>
      <w:proofErr w:type="spellStart"/>
      <w:r>
        <w:rPr>
          <w:rFonts w:eastAsia="Palatino Linotype"/>
          <w:sz w:val="22"/>
          <w:szCs w:val="22"/>
          <w:lang w:val="es-ES"/>
        </w:rPr>
        <w:t>suitability</w:t>
      </w:r>
      <w:proofErr w:type="spellEnd"/>
      <w:r>
        <w:rPr>
          <w:rFonts w:eastAsia="Palatino Linotype"/>
          <w:sz w:val="22"/>
          <w:szCs w:val="22"/>
          <w:lang w:val="es-ES"/>
        </w:rPr>
        <w:t xml:space="preserve"> </w:t>
      </w:r>
      <w:proofErr w:type="spellStart"/>
      <w:r>
        <w:rPr>
          <w:rFonts w:eastAsia="Palatino Linotype"/>
          <w:sz w:val="22"/>
          <w:szCs w:val="22"/>
          <w:lang w:val="es-ES"/>
        </w:rPr>
        <w:t>between</w:t>
      </w:r>
      <w:proofErr w:type="spellEnd"/>
      <w:r>
        <w:rPr>
          <w:rFonts w:eastAsia="Palatino Linotype"/>
          <w:sz w:val="22"/>
          <w:szCs w:val="22"/>
          <w:lang w:val="es-ES"/>
        </w:rPr>
        <w:t xml:space="preserve"> </w:t>
      </w:r>
      <w:proofErr w:type="spellStart"/>
      <w:r>
        <w:rPr>
          <w:rFonts w:eastAsia="Palatino Linotype"/>
          <w:sz w:val="22"/>
          <w:szCs w:val="22"/>
          <w:lang w:val="es-ES"/>
        </w:rPr>
        <w:t>bids</w:t>
      </w:r>
      <w:proofErr w:type="spellEnd"/>
      <w:r>
        <w:rPr>
          <w:rFonts w:eastAsia="Palatino Linotype"/>
          <w:sz w:val="22"/>
          <w:szCs w:val="22"/>
          <w:lang w:val="es-ES"/>
        </w:rPr>
        <w:t xml:space="preserve"> </w:t>
      </w:r>
      <w:proofErr w:type="spellStart"/>
      <w:r>
        <w:rPr>
          <w:rFonts w:eastAsia="Palatino Linotype"/>
          <w:sz w:val="22"/>
          <w:szCs w:val="22"/>
          <w:lang w:val="es-ES"/>
        </w:rPr>
        <w:t>is</w:t>
      </w:r>
      <w:proofErr w:type="spellEnd"/>
      <w:r>
        <w:rPr>
          <w:rFonts w:eastAsia="Palatino Linotype"/>
          <w:sz w:val="22"/>
          <w:szCs w:val="22"/>
          <w:lang w:val="es-ES"/>
        </w:rPr>
        <w:t xml:space="preserve"> </w:t>
      </w:r>
      <w:proofErr w:type="spellStart"/>
      <w:r>
        <w:rPr>
          <w:rFonts w:eastAsia="Palatino Linotype"/>
          <w:sz w:val="22"/>
          <w:szCs w:val="22"/>
          <w:lang w:val="es-ES"/>
        </w:rPr>
        <w:t>considered</w:t>
      </w:r>
      <w:proofErr w:type="spellEnd"/>
      <w:r>
        <w:rPr>
          <w:rFonts w:eastAsia="Palatino Linotype"/>
          <w:sz w:val="22"/>
          <w:szCs w:val="22"/>
          <w:lang w:val="es-ES"/>
        </w:rPr>
        <w:t xml:space="preserve"> </w:t>
      </w:r>
      <w:proofErr w:type="spellStart"/>
      <w:r>
        <w:rPr>
          <w:rFonts w:eastAsia="Palatino Linotype"/>
          <w:sz w:val="22"/>
          <w:szCs w:val="22"/>
          <w:lang w:val="es-ES"/>
        </w:rPr>
        <w:t>to</w:t>
      </w:r>
      <w:proofErr w:type="spellEnd"/>
      <w:r>
        <w:rPr>
          <w:rFonts w:eastAsia="Palatino Linotype"/>
          <w:sz w:val="22"/>
          <w:szCs w:val="22"/>
          <w:lang w:val="es-ES"/>
        </w:rPr>
        <w:t xml:space="preserve"> </w:t>
      </w:r>
      <w:proofErr w:type="spellStart"/>
      <w:r>
        <w:rPr>
          <w:rFonts w:eastAsia="Palatino Linotype"/>
          <w:sz w:val="22"/>
          <w:szCs w:val="22"/>
          <w:lang w:val="es-ES"/>
        </w:rPr>
        <w:t>exist</w:t>
      </w:r>
      <w:proofErr w:type="spellEnd"/>
      <w:r>
        <w:rPr>
          <w:rFonts w:eastAsia="Palatino Linotype"/>
          <w:sz w:val="22"/>
          <w:szCs w:val="22"/>
          <w:lang w:val="es-ES"/>
        </w:rPr>
        <w:t xml:space="preserve"> </w:t>
      </w:r>
      <w:proofErr w:type="spellStart"/>
      <w:r>
        <w:rPr>
          <w:rFonts w:eastAsia="Palatino Linotype"/>
          <w:sz w:val="22"/>
          <w:szCs w:val="22"/>
          <w:lang w:val="es-ES"/>
        </w:rPr>
        <w:t>when</w:t>
      </w:r>
      <w:proofErr w:type="spellEnd"/>
      <w:r>
        <w:rPr>
          <w:rFonts w:eastAsia="Palatino Linotype"/>
          <w:sz w:val="22"/>
          <w:szCs w:val="22"/>
          <w:lang w:val="es-ES"/>
        </w:rPr>
        <w:t xml:space="preserve"> </w:t>
      </w:r>
      <w:proofErr w:type="spellStart"/>
      <w:r>
        <w:rPr>
          <w:rFonts w:eastAsia="Palatino Linotype"/>
          <w:sz w:val="22"/>
          <w:szCs w:val="22"/>
          <w:lang w:val="es-ES"/>
        </w:rPr>
        <w:t>they</w:t>
      </w:r>
      <w:proofErr w:type="spellEnd"/>
      <w:r>
        <w:rPr>
          <w:rFonts w:eastAsia="Palatino Linotype"/>
          <w:sz w:val="22"/>
          <w:szCs w:val="22"/>
          <w:lang w:val="es-ES"/>
        </w:rPr>
        <w:t xml:space="preserve"> </w:t>
      </w:r>
      <w:proofErr w:type="spellStart"/>
      <w:r>
        <w:rPr>
          <w:rFonts w:eastAsia="Palatino Linotype"/>
          <w:sz w:val="22"/>
          <w:szCs w:val="22"/>
          <w:lang w:val="es-ES"/>
        </w:rPr>
        <w:t>meet</w:t>
      </w:r>
      <w:proofErr w:type="spellEnd"/>
      <w:r>
        <w:rPr>
          <w:rFonts w:eastAsia="Palatino Linotype"/>
          <w:sz w:val="22"/>
          <w:szCs w:val="22"/>
          <w:lang w:val="es-ES"/>
        </w:rPr>
        <w:t xml:space="preserve"> </w:t>
      </w:r>
      <w:proofErr w:type="spellStart"/>
      <w:r>
        <w:rPr>
          <w:rFonts w:eastAsia="Palatino Linotype"/>
          <w:sz w:val="22"/>
          <w:szCs w:val="22"/>
          <w:lang w:val="es-ES"/>
        </w:rPr>
        <w:t>the</w:t>
      </w:r>
      <w:proofErr w:type="spellEnd"/>
      <w:r>
        <w:rPr>
          <w:rFonts w:eastAsia="Palatino Linotype"/>
          <w:sz w:val="22"/>
          <w:szCs w:val="22"/>
          <w:lang w:val="es-ES"/>
        </w:rPr>
        <w:t xml:space="preserve"> </w:t>
      </w:r>
      <w:proofErr w:type="spellStart"/>
      <w:r>
        <w:rPr>
          <w:rFonts w:eastAsia="Palatino Linotype"/>
          <w:sz w:val="22"/>
          <w:szCs w:val="22"/>
          <w:lang w:val="es-ES"/>
        </w:rPr>
        <w:t>technical</w:t>
      </w:r>
      <w:proofErr w:type="spellEnd"/>
      <w:r>
        <w:rPr>
          <w:rFonts w:eastAsia="Palatino Linotype"/>
          <w:sz w:val="22"/>
          <w:szCs w:val="22"/>
          <w:lang w:val="es-ES"/>
        </w:rPr>
        <w:t xml:space="preserve"> </w:t>
      </w:r>
      <w:proofErr w:type="spellStart"/>
      <w:r>
        <w:rPr>
          <w:rFonts w:eastAsia="Palatino Linotype"/>
          <w:sz w:val="22"/>
          <w:szCs w:val="22"/>
          <w:lang w:val="es-ES"/>
        </w:rPr>
        <w:t>requirements</w:t>
      </w:r>
      <w:proofErr w:type="spellEnd"/>
      <w:r>
        <w:rPr>
          <w:rFonts w:eastAsia="Palatino Linotype"/>
          <w:sz w:val="22"/>
          <w:szCs w:val="22"/>
          <w:lang w:val="es-ES"/>
        </w:rPr>
        <w:t xml:space="preserve"> </w:t>
      </w:r>
      <w:proofErr w:type="spellStart"/>
      <w:r>
        <w:rPr>
          <w:rFonts w:eastAsia="Palatino Linotype"/>
          <w:sz w:val="22"/>
          <w:szCs w:val="22"/>
          <w:lang w:val="es-ES"/>
        </w:rPr>
        <w:t>stipulated</w:t>
      </w:r>
      <w:proofErr w:type="spellEnd"/>
      <w:r>
        <w:rPr>
          <w:rFonts w:eastAsia="Palatino Linotype"/>
          <w:sz w:val="22"/>
          <w:szCs w:val="22"/>
          <w:lang w:val="es-ES"/>
        </w:rPr>
        <w:t xml:space="preserve"> in </w:t>
      </w:r>
      <w:proofErr w:type="spellStart"/>
      <w:r>
        <w:rPr>
          <w:rFonts w:eastAsia="Palatino Linotype"/>
          <w:sz w:val="22"/>
          <w:szCs w:val="22"/>
          <w:lang w:val="es-ES"/>
        </w:rPr>
        <w:t>the</w:t>
      </w:r>
      <w:proofErr w:type="spellEnd"/>
      <w:r>
        <w:rPr>
          <w:rFonts w:eastAsia="Palatino Linotype"/>
          <w:sz w:val="22"/>
          <w:szCs w:val="22"/>
          <w:lang w:val="es-ES"/>
        </w:rPr>
        <w:t xml:space="preserve"> Special </w:t>
      </w:r>
      <w:proofErr w:type="spellStart"/>
      <w:r>
        <w:rPr>
          <w:rFonts w:eastAsia="Palatino Linotype"/>
          <w:sz w:val="22"/>
          <w:szCs w:val="22"/>
          <w:lang w:val="es-ES"/>
        </w:rPr>
        <w:t>Specifications</w:t>
      </w:r>
      <w:proofErr w:type="spellEnd"/>
      <w:r>
        <w:rPr>
          <w:rFonts w:eastAsia="Palatino Linotype"/>
          <w:sz w:val="22"/>
          <w:szCs w:val="22"/>
          <w:lang w:val="es-ES"/>
        </w:rPr>
        <w:t xml:space="preserve">. </w:t>
      </w:r>
      <w:proofErr w:type="spellStart"/>
      <w:r>
        <w:rPr>
          <w:rFonts w:eastAsia="Palatino Linotype"/>
          <w:sz w:val="22"/>
          <w:szCs w:val="22"/>
          <w:lang w:val="es-ES"/>
        </w:rPr>
        <w:t>This</w:t>
      </w:r>
      <w:proofErr w:type="spellEnd"/>
      <w:r>
        <w:rPr>
          <w:rFonts w:eastAsia="Palatino Linotype"/>
          <w:sz w:val="22"/>
          <w:szCs w:val="22"/>
          <w:lang w:val="es-ES"/>
        </w:rPr>
        <w:t xml:space="preserve"> </w:t>
      </w:r>
      <w:proofErr w:type="spellStart"/>
      <w:r>
        <w:rPr>
          <w:rFonts w:eastAsia="Palatino Linotype"/>
          <w:sz w:val="22"/>
          <w:szCs w:val="22"/>
          <w:lang w:val="es-ES"/>
        </w:rPr>
        <w:t>will</w:t>
      </w:r>
      <w:proofErr w:type="spellEnd"/>
      <w:r>
        <w:rPr>
          <w:rFonts w:eastAsia="Palatino Linotype"/>
          <w:sz w:val="22"/>
          <w:szCs w:val="22"/>
          <w:lang w:val="es-ES"/>
        </w:rPr>
        <w:t xml:space="preserve"> </w:t>
      </w:r>
      <w:proofErr w:type="spellStart"/>
      <w:r>
        <w:rPr>
          <w:rFonts w:eastAsia="Palatino Linotype"/>
          <w:sz w:val="22"/>
          <w:szCs w:val="22"/>
          <w:lang w:val="es-ES"/>
        </w:rPr>
        <w:t>not</w:t>
      </w:r>
      <w:proofErr w:type="spellEnd"/>
      <w:r>
        <w:rPr>
          <w:rFonts w:eastAsia="Palatino Linotype"/>
          <w:sz w:val="22"/>
          <w:szCs w:val="22"/>
          <w:lang w:val="es-ES"/>
        </w:rPr>
        <w:t xml:space="preserve"> </w:t>
      </w:r>
      <w:proofErr w:type="spellStart"/>
      <w:r>
        <w:rPr>
          <w:rFonts w:eastAsia="Palatino Linotype"/>
          <w:sz w:val="22"/>
          <w:szCs w:val="22"/>
          <w:lang w:val="es-ES"/>
        </w:rPr>
        <w:t>apply</w:t>
      </w:r>
      <w:proofErr w:type="spellEnd"/>
      <w:r>
        <w:rPr>
          <w:rFonts w:eastAsia="Palatino Linotype"/>
          <w:sz w:val="22"/>
          <w:szCs w:val="22"/>
          <w:lang w:val="es-ES"/>
        </w:rPr>
        <w:t xml:space="preserve"> </w:t>
      </w:r>
      <w:proofErr w:type="spellStart"/>
      <w:r>
        <w:rPr>
          <w:rFonts w:eastAsia="Palatino Linotype"/>
          <w:sz w:val="22"/>
          <w:szCs w:val="22"/>
          <w:lang w:val="es-ES"/>
        </w:rPr>
        <w:t>to</w:t>
      </w:r>
      <w:proofErr w:type="spellEnd"/>
      <w:r>
        <w:rPr>
          <w:rFonts w:eastAsia="Palatino Linotype"/>
          <w:sz w:val="22"/>
          <w:szCs w:val="22"/>
          <w:lang w:val="es-ES"/>
        </w:rPr>
        <w:t xml:space="preserve"> </w:t>
      </w:r>
      <w:proofErr w:type="spellStart"/>
      <w:r>
        <w:rPr>
          <w:rFonts w:eastAsia="Palatino Linotype"/>
          <w:sz w:val="22"/>
          <w:szCs w:val="22"/>
          <w:lang w:val="es-ES"/>
        </w:rPr>
        <w:t>contracts</w:t>
      </w:r>
      <w:proofErr w:type="spellEnd"/>
      <w:r>
        <w:rPr>
          <w:rFonts w:eastAsia="Palatino Linotype"/>
          <w:sz w:val="22"/>
          <w:szCs w:val="22"/>
          <w:lang w:val="es-ES"/>
        </w:rPr>
        <w:t xml:space="preserve"> and </w:t>
      </w:r>
      <w:proofErr w:type="spellStart"/>
      <w:r>
        <w:rPr>
          <w:rFonts w:eastAsia="Palatino Linotype"/>
          <w:sz w:val="22"/>
          <w:szCs w:val="22"/>
          <w:lang w:val="es-ES"/>
        </w:rPr>
        <w:t>acquisitions</w:t>
      </w:r>
      <w:proofErr w:type="spellEnd"/>
      <w:r>
        <w:rPr>
          <w:rFonts w:eastAsia="Palatino Linotype"/>
          <w:sz w:val="22"/>
          <w:szCs w:val="22"/>
          <w:lang w:val="es-ES"/>
        </w:rPr>
        <w:t xml:space="preserve"> </w:t>
      </w:r>
      <w:proofErr w:type="spellStart"/>
      <w:r>
        <w:rPr>
          <w:rFonts w:eastAsia="Palatino Linotype"/>
          <w:sz w:val="22"/>
          <w:szCs w:val="22"/>
          <w:lang w:val="es-ES"/>
        </w:rPr>
        <w:t>of</w:t>
      </w:r>
      <w:proofErr w:type="spellEnd"/>
      <w:r>
        <w:rPr>
          <w:rFonts w:eastAsia="Palatino Linotype"/>
          <w:sz w:val="22"/>
          <w:szCs w:val="22"/>
          <w:lang w:val="es-ES"/>
        </w:rPr>
        <w:t xml:space="preserve"> </w:t>
      </w:r>
      <w:proofErr w:type="spellStart"/>
      <w:r>
        <w:rPr>
          <w:rFonts w:eastAsia="Palatino Linotype"/>
          <w:sz w:val="22"/>
          <w:szCs w:val="22"/>
          <w:lang w:val="es-ES"/>
        </w:rPr>
        <w:t>goods</w:t>
      </w:r>
      <w:proofErr w:type="spellEnd"/>
      <w:r>
        <w:rPr>
          <w:rFonts w:eastAsia="Palatino Linotype"/>
          <w:sz w:val="22"/>
          <w:szCs w:val="22"/>
          <w:lang w:val="es-ES"/>
        </w:rPr>
        <w:t xml:space="preserve"> </w:t>
      </w:r>
      <w:proofErr w:type="spellStart"/>
      <w:r>
        <w:rPr>
          <w:rFonts w:eastAsia="Palatino Linotype"/>
          <w:sz w:val="22"/>
          <w:szCs w:val="22"/>
          <w:lang w:val="es-ES"/>
        </w:rPr>
        <w:t>or</w:t>
      </w:r>
      <w:proofErr w:type="spellEnd"/>
      <w:r>
        <w:rPr>
          <w:rFonts w:eastAsia="Palatino Linotype"/>
          <w:sz w:val="22"/>
          <w:szCs w:val="22"/>
          <w:lang w:val="es-ES"/>
        </w:rPr>
        <w:t xml:space="preserve"> </w:t>
      </w:r>
      <w:proofErr w:type="spellStart"/>
      <w:r>
        <w:rPr>
          <w:rFonts w:eastAsia="Palatino Linotype"/>
          <w:sz w:val="22"/>
          <w:szCs w:val="22"/>
          <w:lang w:val="es-ES"/>
        </w:rPr>
        <w:t>services</w:t>
      </w:r>
      <w:proofErr w:type="spellEnd"/>
      <w:r>
        <w:rPr>
          <w:rFonts w:eastAsia="Palatino Linotype"/>
          <w:sz w:val="22"/>
          <w:szCs w:val="22"/>
          <w:lang w:val="es-ES"/>
        </w:rPr>
        <w:t xml:space="preserve"> </w:t>
      </w:r>
      <w:proofErr w:type="spellStart"/>
      <w:r>
        <w:rPr>
          <w:rFonts w:eastAsia="Palatino Linotype"/>
          <w:sz w:val="22"/>
          <w:szCs w:val="22"/>
          <w:lang w:val="es-ES"/>
        </w:rPr>
        <w:t>carried</w:t>
      </w:r>
      <w:proofErr w:type="spellEnd"/>
      <w:r>
        <w:rPr>
          <w:rFonts w:eastAsia="Palatino Linotype"/>
          <w:sz w:val="22"/>
          <w:szCs w:val="22"/>
          <w:lang w:val="es-ES"/>
        </w:rPr>
        <w:t xml:space="preserve"> </w:t>
      </w:r>
      <w:proofErr w:type="spellStart"/>
      <w:r>
        <w:rPr>
          <w:rFonts w:eastAsia="Palatino Linotype"/>
          <w:sz w:val="22"/>
          <w:szCs w:val="22"/>
          <w:lang w:val="es-ES"/>
        </w:rPr>
        <w:t>out</w:t>
      </w:r>
      <w:proofErr w:type="spellEnd"/>
      <w:r>
        <w:rPr>
          <w:rFonts w:eastAsia="Palatino Linotype"/>
          <w:sz w:val="22"/>
          <w:szCs w:val="22"/>
          <w:lang w:val="es-ES"/>
        </w:rPr>
        <w:t xml:space="preserve"> </w:t>
      </w:r>
      <w:proofErr w:type="spellStart"/>
      <w:r>
        <w:rPr>
          <w:rFonts w:eastAsia="Palatino Linotype"/>
          <w:sz w:val="22"/>
          <w:szCs w:val="22"/>
          <w:lang w:val="es-ES"/>
        </w:rPr>
        <w:t>by</w:t>
      </w:r>
      <w:proofErr w:type="spellEnd"/>
      <w:r>
        <w:rPr>
          <w:rFonts w:eastAsia="Palatino Linotype"/>
          <w:sz w:val="22"/>
          <w:szCs w:val="22"/>
          <w:lang w:val="es-ES"/>
        </w:rPr>
        <w:t xml:space="preserve"> </w:t>
      </w:r>
      <w:proofErr w:type="spellStart"/>
      <w:r>
        <w:rPr>
          <w:rFonts w:eastAsia="Palatino Linotype"/>
          <w:sz w:val="22"/>
          <w:szCs w:val="22"/>
          <w:lang w:val="es-ES"/>
        </w:rPr>
        <w:t>Autonomous</w:t>
      </w:r>
      <w:proofErr w:type="spellEnd"/>
      <w:r>
        <w:rPr>
          <w:rFonts w:eastAsia="Palatino Linotype"/>
          <w:sz w:val="22"/>
          <w:szCs w:val="22"/>
          <w:lang w:val="es-ES"/>
        </w:rPr>
        <w:t xml:space="preserve"> </w:t>
      </w:r>
      <w:proofErr w:type="spellStart"/>
      <w:r>
        <w:rPr>
          <w:rFonts w:eastAsia="Palatino Linotype"/>
          <w:sz w:val="22"/>
          <w:szCs w:val="22"/>
          <w:lang w:val="es-ES"/>
        </w:rPr>
        <w:t>Entities</w:t>
      </w:r>
      <w:proofErr w:type="spellEnd"/>
      <w:r>
        <w:rPr>
          <w:rFonts w:eastAsia="Palatino Linotype"/>
          <w:sz w:val="22"/>
          <w:szCs w:val="22"/>
          <w:lang w:val="es-ES"/>
        </w:rPr>
        <w:t xml:space="preserve"> and Decentralized </w:t>
      </w:r>
      <w:proofErr w:type="spellStart"/>
      <w:r>
        <w:rPr>
          <w:rFonts w:eastAsia="Palatino Linotype"/>
          <w:sz w:val="22"/>
          <w:szCs w:val="22"/>
          <w:lang w:val="es-ES"/>
        </w:rPr>
        <w:t>Services</w:t>
      </w:r>
      <w:proofErr w:type="spellEnd"/>
      <w:r>
        <w:rPr>
          <w:rFonts w:eastAsia="Palatino Linotype"/>
          <w:sz w:val="22"/>
          <w:szCs w:val="22"/>
          <w:lang w:val="es-ES"/>
        </w:rPr>
        <w:t xml:space="preserve"> </w:t>
      </w:r>
      <w:proofErr w:type="spellStart"/>
      <w:r>
        <w:rPr>
          <w:rFonts w:eastAsia="Palatino Linotype"/>
          <w:sz w:val="22"/>
          <w:szCs w:val="22"/>
          <w:lang w:val="es-ES"/>
        </w:rPr>
        <w:t>of</w:t>
      </w:r>
      <w:proofErr w:type="spellEnd"/>
      <w:r>
        <w:rPr>
          <w:rFonts w:eastAsia="Palatino Linotype"/>
          <w:sz w:val="22"/>
          <w:szCs w:val="22"/>
          <w:lang w:val="es-ES"/>
        </w:rPr>
        <w:t xml:space="preserve"> </w:t>
      </w:r>
      <w:proofErr w:type="spellStart"/>
      <w:r>
        <w:rPr>
          <w:rFonts w:eastAsia="Palatino Linotype"/>
          <w:sz w:val="22"/>
          <w:szCs w:val="22"/>
          <w:lang w:val="es-ES"/>
        </w:rPr>
        <w:t>the</w:t>
      </w:r>
      <w:proofErr w:type="spellEnd"/>
      <w:r>
        <w:rPr>
          <w:rFonts w:eastAsia="Palatino Linotype"/>
          <w:sz w:val="22"/>
          <w:szCs w:val="22"/>
          <w:lang w:val="es-ES"/>
        </w:rPr>
        <w:t xml:space="preserve"> </w:t>
      </w:r>
      <w:proofErr w:type="spellStart"/>
      <w:r>
        <w:rPr>
          <w:rFonts w:eastAsia="Palatino Linotype"/>
          <w:sz w:val="22"/>
          <w:szCs w:val="22"/>
          <w:lang w:val="es-ES"/>
        </w:rPr>
        <w:t>State's</w:t>
      </w:r>
      <w:proofErr w:type="spellEnd"/>
      <w:r>
        <w:rPr>
          <w:rFonts w:eastAsia="Palatino Linotype"/>
          <w:sz w:val="22"/>
          <w:szCs w:val="22"/>
          <w:lang w:val="es-ES"/>
        </w:rPr>
        <w:t xml:space="preserve"> industrial, </w:t>
      </w:r>
      <w:proofErr w:type="spellStart"/>
      <w:r>
        <w:rPr>
          <w:rFonts w:eastAsia="Palatino Linotype"/>
          <w:sz w:val="22"/>
          <w:szCs w:val="22"/>
          <w:lang w:val="es-ES"/>
        </w:rPr>
        <w:t>commercial</w:t>
      </w:r>
      <w:proofErr w:type="spellEnd"/>
      <w:r>
        <w:rPr>
          <w:rFonts w:eastAsia="Palatino Linotype"/>
          <w:sz w:val="22"/>
          <w:szCs w:val="22"/>
          <w:lang w:val="es-ES"/>
        </w:rPr>
        <w:t xml:space="preserve">, and </w:t>
      </w:r>
      <w:proofErr w:type="spellStart"/>
      <w:r>
        <w:rPr>
          <w:rFonts w:eastAsia="Palatino Linotype"/>
          <w:sz w:val="22"/>
          <w:szCs w:val="22"/>
          <w:lang w:val="es-ES"/>
        </w:rPr>
        <w:t>financial</w:t>
      </w:r>
      <w:proofErr w:type="spellEnd"/>
      <w:r>
        <w:rPr>
          <w:rFonts w:eastAsia="Palatino Linotype"/>
          <w:sz w:val="22"/>
          <w:szCs w:val="22"/>
          <w:lang w:val="es-ES"/>
        </w:rPr>
        <w:t xml:space="preserve"> </w:t>
      </w:r>
      <w:proofErr w:type="spellStart"/>
      <w:r>
        <w:rPr>
          <w:rFonts w:eastAsia="Palatino Linotype"/>
          <w:sz w:val="22"/>
          <w:szCs w:val="22"/>
          <w:lang w:val="es-ES"/>
        </w:rPr>
        <w:t>domain</w:t>
      </w:r>
      <w:proofErr w:type="spellEnd"/>
      <w:r>
        <w:rPr>
          <w:rFonts w:eastAsia="Palatino Linotype"/>
          <w:sz w:val="22"/>
          <w:szCs w:val="22"/>
          <w:lang w:val="es-ES"/>
        </w:rPr>
        <w:t xml:space="preserve">, </w:t>
      </w:r>
      <w:proofErr w:type="spellStart"/>
      <w:r>
        <w:rPr>
          <w:rFonts w:eastAsia="Palatino Linotype"/>
          <w:sz w:val="22"/>
          <w:szCs w:val="22"/>
          <w:lang w:val="es-ES"/>
        </w:rPr>
        <w:t>intended</w:t>
      </w:r>
      <w:proofErr w:type="spellEnd"/>
      <w:r>
        <w:rPr>
          <w:rFonts w:eastAsia="Palatino Linotype"/>
          <w:sz w:val="22"/>
          <w:szCs w:val="22"/>
          <w:lang w:val="es-ES"/>
        </w:rPr>
        <w:t xml:space="preserve"> </w:t>
      </w:r>
      <w:proofErr w:type="spellStart"/>
      <w:r>
        <w:rPr>
          <w:rFonts w:eastAsia="Palatino Linotype"/>
          <w:sz w:val="22"/>
          <w:szCs w:val="22"/>
          <w:lang w:val="es-ES"/>
        </w:rPr>
        <w:t>for</w:t>
      </w:r>
      <w:proofErr w:type="spellEnd"/>
      <w:r>
        <w:rPr>
          <w:rFonts w:eastAsia="Palatino Linotype"/>
          <w:sz w:val="22"/>
          <w:szCs w:val="22"/>
          <w:lang w:val="es-ES"/>
        </w:rPr>
        <w:t xml:space="preserve"> </w:t>
      </w:r>
      <w:proofErr w:type="spellStart"/>
      <w:r>
        <w:rPr>
          <w:rFonts w:eastAsia="Palatino Linotype"/>
          <w:sz w:val="22"/>
          <w:szCs w:val="22"/>
          <w:lang w:val="es-ES"/>
        </w:rPr>
        <w:t>services</w:t>
      </w:r>
      <w:proofErr w:type="spellEnd"/>
      <w:r>
        <w:rPr>
          <w:rFonts w:eastAsia="Palatino Linotype"/>
          <w:sz w:val="22"/>
          <w:szCs w:val="22"/>
          <w:lang w:val="es-ES"/>
        </w:rPr>
        <w:t xml:space="preserve"> </w:t>
      </w:r>
      <w:proofErr w:type="spellStart"/>
      <w:r>
        <w:rPr>
          <w:rFonts w:eastAsia="Palatino Linotype"/>
          <w:sz w:val="22"/>
          <w:szCs w:val="22"/>
          <w:lang w:val="es-ES"/>
        </w:rPr>
        <w:t>that</w:t>
      </w:r>
      <w:proofErr w:type="spellEnd"/>
      <w:r>
        <w:rPr>
          <w:rFonts w:eastAsia="Palatino Linotype"/>
          <w:sz w:val="22"/>
          <w:szCs w:val="22"/>
          <w:lang w:val="es-ES"/>
        </w:rPr>
        <w:t xml:space="preserve"> are de facto </w:t>
      </w:r>
      <w:proofErr w:type="spellStart"/>
      <w:r>
        <w:rPr>
          <w:rFonts w:eastAsia="Palatino Linotype"/>
          <w:sz w:val="22"/>
          <w:szCs w:val="22"/>
          <w:lang w:val="es-ES"/>
        </w:rPr>
        <w:t>or</w:t>
      </w:r>
      <w:proofErr w:type="spellEnd"/>
      <w:r>
        <w:rPr>
          <w:rFonts w:eastAsia="Palatino Linotype"/>
          <w:sz w:val="22"/>
          <w:szCs w:val="22"/>
          <w:lang w:val="es-ES"/>
        </w:rPr>
        <w:t xml:space="preserve"> de jure </w:t>
      </w:r>
      <w:proofErr w:type="spellStart"/>
      <w:r>
        <w:rPr>
          <w:rFonts w:eastAsia="Palatino Linotype"/>
          <w:sz w:val="22"/>
          <w:szCs w:val="22"/>
          <w:lang w:val="es-ES"/>
        </w:rPr>
        <w:t>subject</w:t>
      </w:r>
      <w:proofErr w:type="spellEnd"/>
      <w:r>
        <w:rPr>
          <w:rFonts w:eastAsia="Palatino Linotype"/>
          <w:sz w:val="22"/>
          <w:szCs w:val="22"/>
          <w:lang w:val="es-ES"/>
        </w:rPr>
        <w:t xml:space="preserve"> </w:t>
      </w:r>
      <w:proofErr w:type="spellStart"/>
      <w:r>
        <w:rPr>
          <w:rFonts w:eastAsia="Palatino Linotype"/>
          <w:sz w:val="22"/>
          <w:szCs w:val="22"/>
          <w:lang w:val="es-ES"/>
        </w:rPr>
        <w:t>to</w:t>
      </w:r>
      <w:proofErr w:type="spellEnd"/>
      <w:r>
        <w:rPr>
          <w:rFonts w:eastAsia="Palatino Linotype"/>
          <w:sz w:val="22"/>
          <w:szCs w:val="22"/>
          <w:lang w:val="es-ES"/>
        </w:rPr>
        <w:t xml:space="preserve"> free </w:t>
      </w:r>
      <w:proofErr w:type="spellStart"/>
      <w:r>
        <w:rPr>
          <w:rFonts w:eastAsia="Palatino Linotype"/>
          <w:sz w:val="22"/>
          <w:szCs w:val="22"/>
          <w:lang w:val="es-ES"/>
        </w:rPr>
        <w:t>competition</w:t>
      </w:r>
      <w:proofErr w:type="spellEnd"/>
      <w:r>
        <w:rPr>
          <w:rFonts w:eastAsia="Palatino Linotype"/>
          <w:sz w:val="22"/>
          <w:szCs w:val="22"/>
          <w:lang w:val="es-ES"/>
        </w:rPr>
        <w:t xml:space="preserve"> </w:t>
      </w:r>
      <w:proofErr w:type="spellStart"/>
      <w:r>
        <w:rPr>
          <w:rFonts w:eastAsia="Palatino Linotype"/>
          <w:sz w:val="22"/>
          <w:szCs w:val="22"/>
          <w:lang w:val="es-ES"/>
        </w:rPr>
        <w:t>regimes</w:t>
      </w:r>
      <w:proofErr w:type="spellEnd"/>
      <w:r>
        <w:rPr>
          <w:rFonts w:eastAsia="Palatino Linotype"/>
          <w:sz w:val="22"/>
          <w:szCs w:val="22"/>
          <w:lang w:val="es-ES"/>
        </w:rPr>
        <w:t>.</w:t>
      </w:r>
    </w:p>
    <w:p w14:paraId="5DFBB05A" w14:textId="77777777" w:rsidR="00E255F4" w:rsidRDefault="00E255F4">
      <w:pPr>
        <w:ind w:right="-142"/>
        <w:jc w:val="both"/>
        <w:rPr>
          <w:rFonts w:eastAsia="Palatino Linotype"/>
          <w:sz w:val="22"/>
          <w:szCs w:val="22"/>
          <w:lang w:val="es-ES"/>
        </w:rPr>
      </w:pPr>
    </w:p>
    <w:p w14:paraId="1BA960B0" w14:textId="77777777" w:rsidR="00E255F4" w:rsidRDefault="00000000">
      <w:pPr>
        <w:ind w:right="-142"/>
        <w:jc w:val="both"/>
        <w:rPr>
          <w:rFonts w:eastAsia="Palatino Linotype"/>
          <w:sz w:val="22"/>
          <w:szCs w:val="22"/>
          <w:lang w:val="es-ES"/>
        </w:rPr>
      </w:pPr>
      <w:proofErr w:type="spellStart"/>
      <w:r>
        <w:rPr>
          <w:rFonts w:eastAsia="Palatino Linotype"/>
          <w:spacing w:val="2"/>
          <w:sz w:val="22"/>
          <w:szCs w:val="22"/>
          <w:lang w:val="es-ES"/>
        </w:rPr>
        <w:t>iii</w:t>
      </w:r>
      <w:r>
        <w:rPr>
          <w:rFonts w:eastAsia="Palatino Linotype"/>
          <w:sz w:val="22"/>
          <w:szCs w:val="22"/>
          <w:lang w:val="es-ES"/>
        </w:rPr>
        <w:t>The</w:t>
      </w:r>
      <w:proofErr w:type="spellEnd"/>
      <w:r>
        <w:rPr>
          <w:rFonts w:eastAsia="Palatino Linotype"/>
          <w:sz w:val="22"/>
          <w:szCs w:val="22"/>
          <w:lang w:val="es-ES"/>
        </w:rPr>
        <w:t xml:space="preserve"> </w:t>
      </w:r>
      <w:proofErr w:type="spellStart"/>
      <w:r>
        <w:rPr>
          <w:rFonts w:eastAsia="Palatino Linotype"/>
          <w:sz w:val="22"/>
          <w:szCs w:val="22"/>
          <w:lang w:val="es-ES"/>
        </w:rPr>
        <w:t>preference</w:t>
      </w:r>
      <w:proofErr w:type="spellEnd"/>
      <w:r>
        <w:rPr>
          <w:rFonts w:eastAsia="Palatino Linotype"/>
          <w:sz w:val="22"/>
          <w:szCs w:val="22"/>
          <w:lang w:val="es-ES"/>
        </w:rPr>
        <w:t xml:space="preserve"> </w:t>
      </w:r>
      <w:proofErr w:type="spellStart"/>
      <w:r>
        <w:rPr>
          <w:rFonts w:eastAsia="Palatino Linotype"/>
          <w:sz w:val="22"/>
          <w:szCs w:val="22"/>
          <w:lang w:val="es-ES"/>
        </w:rPr>
        <w:t>margin</w:t>
      </w:r>
      <w:proofErr w:type="spellEnd"/>
      <w:r>
        <w:rPr>
          <w:rFonts w:eastAsia="Palatino Linotype"/>
          <w:sz w:val="22"/>
          <w:szCs w:val="22"/>
          <w:lang w:val="es-ES"/>
        </w:rPr>
        <w:t xml:space="preserve"> </w:t>
      </w:r>
      <w:proofErr w:type="spellStart"/>
      <w:r>
        <w:rPr>
          <w:rFonts w:eastAsia="Palatino Linotype"/>
          <w:sz w:val="22"/>
          <w:szCs w:val="22"/>
          <w:lang w:val="es-ES"/>
        </w:rPr>
        <w:t>for</w:t>
      </w:r>
      <w:proofErr w:type="spellEnd"/>
      <w:r>
        <w:rPr>
          <w:rFonts w:eastAsia="Palatino Linotype"/>
          <w:sz w:val="22"/>
          <w:szCs w:val="22"/>
          <w:lang w:val="es-ES"/>
        </w:rPr>
        <w:t xml:space="preserve"> </w:t>
      </w:r>
      <w:proofErr w:type="spellStart"/>
      <w:r>
        <w:rPr>
          <w:rFonts w:eastAsia="Palatino Linotype"/>
          <w:sz w:val="22"/>
          <w:szCs w:val="22"/>
          <w:lang w:val="es-ES"/>
        </w:rPr>
        <w:t>products</w:t>
      </w:r>
      <w:proofErr w:type="spellEnd"/>
      <w:r>
        <w:rPr>
          <w:rFonts w:eastAsia="Palatino Linotype"/>
          <w:sz w:val="22"/>
          <w:szCs w:val="22"/>
          <w:lang w:val="es-ES"/>
        </w:rPr>
        <w:t xml:space="preserve"> and </w:t>
      </w:r>
      <w:proofErr w:type="spellStart"/>
      <w:r>
        <w:rPr>
          <w:rFonts w:eastAsia="Palatino Linotype"/>
          <w:sz w:val="22"/>
          <w:szCs w:val="22"/>
          <w:lang w:val="es-ES"/>
        </w:rPr>
        <w:t>services</w:t>
      </w:r>
      <w:proofErr w:type="spellEnd"/>
      <w:r>
        <w:rPr>
          <w:rFonts w:eastAsia="Palatino Linotype"/>
          <w:sz w:val="22"/>
          <w:szCs w:val="22"/>
          <w:lang w:val="es-ES"/>
        </w:rPr>
        <w:t xml:space="preserve"> </w:t>
      </w:r>
      <w:proofErr w:type="spellStart"/>
      <w:r>
        <w:rPr>
          <w:rFonts w:eastAsia="Palatino Linotype"/>
          <w:sz w:val="22"/>
          <w:szCs w:val="22"/>
          <w:lang w:val="es-ES"/>
        </w:rPr>
        <w:t>that</w:t>
      </w:r>
      <w:proofErr w:type="spellEnd"/>
      <w:r>
        <w:rPr>
          <w:rFonts w:eastAsia="Palatino Linotype"/>
          <w:sz w:val="22"/>
          <w:szCs w:val="22"/>
          <w:lang w:val="es-ES"/>
        </w:rPr>
        <w:t xml:space="preserve"> </w:t>
      </w:r>
      <w:proofErr w:type="spellStart"/>
      <w:r>
        <w:rPr>
          <w:rFonts w:eastAsia="Palatino Linotype"/>
          <w:sz w:val="22"/>
          <w:szCs w:val="22"/>
          <w:lang w:val="es-ES"/>
        </w:rPr>
        <w:t>qualify</w:t>
      </w:r>
      <w:proofErr w:type="spellEnd"/>
      <w:r>
        <w:rPr>
          <w:rFonts w:eastAsia="Palatino Linotype"/>
          <w:sz w:val="22"/>
          <w:szCs w:val="22"/>
          <w:lang w:val="es-ES"/>
        </w:rPr>
        <w:t xml:space="preserve"> as </w:t>
      </w:r>
      <w:proofErr w:type="spellStart"/>
      <w:r>
        <w:rPr>
          <w:rFonts w:eastAsia="Palatino Linotype"/>
          <w:sz w:val="22"/>
          <w:szCs w:val="22"/>
          <w:lang w:val="es-ES"/>
        </w:rPr>
        <w:t>national</w:t>
      </w:r>
      <w:proofErr w:type="spellEnd"/>
      <w:r>
        <w:rPr>
          <w:rFonts w:eastAsia="Palatino Linotype"/>
          <w:sz w:val="22"/>
          <w:szCs w:val="22"/>
          <w:lang w:val="es-ES"/>
        </w:rPr>
        <w:t xml:space="preserve"> </w:t>
      </w:r>
      <w:proofErr w:type="spellStart"/>
      <w:r>
        <w:rPr>
          <w:rFonts w:eastAsia="Palatino Linotype"/>
          <w:sz w:val="22"/>
          <w:szCs w:val="22"/>
          <w:lang w:val="es-ES"/>
        </w:rPr>
        <w:t>products</w:t>
      </w:r>
      <w:proofErr w:type="spellEnd"/>
      <w:r>
        <w:rPr>
          <w:rFonts w:eastAsia="Palatino Linotype"/>
          <w:sz w:val="22"/>
          <w:szCs w:val="22"/>
          <w:lang w:val="es-ES"/>
        </w:rPr>
        <w:t xml:space="preserve"> </w:t>
      </w:r>
      <w:proofErr w:type="spellStart"/>
      <w:r>
        <w:rPr>
          <w:rFonts w:eastAsia="Palatino Linotype"/>
          <w:sz w:val="22"/>
          <w:szCs w:val="22"/>
          <w:lang w:val="es-ES"/>
        </w:rPr>
        <w:t>from</w:t>
      </w:r>
      <w:proofErr w:type="spellEnd"/>
      <w:r>
        <w:rPr>
          <w:rFonts w:eastAsia="Palatino Linotype"/>
          <w:sz w:val="22"/>
          <w:szCs w:val="22"/>
          <w:lang w:val="es-ES"/>
        </w:rPr>
        <w:t xml:space="preserve"> micro and </w:t>
      </w:r>
      <w:proofErr w:type="spellStart"/>
      <w:r>
        <w:rPr>
          <w:rFonts w:eastAsia="Palatino Linotype"/>
          <w:sz w:val="22"/>
          <w:szCs w:val="22"/>
          <w:lang w:val="es-ES"/>
        </w:rPr>
        <w:t>small</w:t>
      </w:r>
      <w:proofErr w:type="spellEnd"/>
      <w:r>
        <w:rPr>
          <w:rFonts w:eastAsia="Palatino Linotype"/>
          <w:sz w:val="22"/>
          <w:szCs w:val="22"/>
          <w:lang w:val="es-ES"/>
        </w:rPr>
        <w:t xml:space="preserve"> </w:t>
      </w:r>
      <w:proofErr w:type="spellStart"/>
      <w:r>
        <w:rPr>
          <w:rFonts w:eastAsia="Palatino Linotype"/>
          <w:sz w:val="22"/>
          <w:szCs w:val="22"/>
          <w:lang w:val="es-ES"/>
        </w:rPr>
        <w:t>businesses</w:t>
      </w:r>
      <w:proofErr w:type="spellEnd"/>
      <w:r>
        <w:rPr>
          <w:rFonts w:eastAsia="Palatino Linotype"/>
          <w:sz w:val="22"/>
          <w:szCs w:val="22"/>
          <w:lang w:val="es-ES"/>
        </w:rPr>
        <w:t xml:space="preserve"> </w:t>
      </w:r>
      <w:proofErr w:type="spellStart"/>
      <w:r>
        <w:rPr>
          <w:rFonts w:eastAsia="Palatino Linotype"/>
          <w:sz w:val="22"/>
          <w:szCs w:val="22"/>
          <w:lang w:val="es-ES"/>
        </w:rPr>
        <w:t>will</w:t>
      </w:r>
      <w:proofErr w:type="spellEnd"/>
      <w:r>
        <w:rPr>
          <w:rFonts w:eastAsia="Palatino Linotype"/>
          <w:sz w:val="22"/>
          <w:szCs w:val="22"/>
          <w:lang w:val="es-ES"/>
        </w:rPr>
        <w:t xml:space="preserve"> be</w:t>
      </w:r>
    </w:p>
    <w:p w14:paraId="4BEEFA4E" w14:textId="77777777" w:rsidR="00E255F4" w:rsidRDefault="00000000">
      <w:pPr>
        <w:ind w:right="-142"/>
        <w:jc w:val="both"/>
        <w:rPr>
          <w:rFonts w:eastAsia="Palatino Linotype"/>
          <w:spacing w:val="-1"/>
          <w:position w:val="1"/>
          <w:sz w:val="22"/>
          <w:szCs w:val="22"/>
          <w:lang w:val="es-ES"/>
        </w:rPr>
      </w:pPr>
      <w:r>
        <w:rPr>
          <w:rFonts w:eastAsia="Palatino Linotype"/>
          <w:spacing w:val="-1"/>
          <w:position w:val="1"/>
          <w:sz w:val="22"/>
          <w:szCs w:val="22"/>
          <w:lang w:val="es-ES"/>
        </w:rPr>
        <w:t>8</w:t>
      </w:r>
      <w:r>
        <w:rPr>
          <w:rFonts w:eastAsia="Palatino Linotype"/>
          <w:position w:val="1"/>
          <w:sz w:val="22"/>
          <w:szCs w:val="22"/>
          <w:lang w:val="es-ES"/>
        </w:rPr>
        <w:t xml:space="preserve">% and </w:t>
      </w:r>
      <w:proofErr w:type="spellStart"/>
      <w:r>
        <w:rPr>
          <w:rFonts w:eastAsia="Palatino Linotype"/>
          <w:position w:val="1"/>
          <w:sz w:val="22"/>
          <w:szCs w:val="22"/>
          <w:lang w:val="es-ES"/>
        </w:rPr>
        <w:t>for</w:t>
      </w:r>
      <w:proofErr w:type="spellEnd"/>
      <w:r>
        <w:rPr>
          <w:rFonts w:eastAsia="Palatino Linotype"/>
          <w:position w:val="1"/>
          <w:sz w:val="22"/>
          <w:szCs w:val="22"/>
          <w:lang w:val="es-ES"/>
        </w:rPr>
        <w:t xml:space="preserve"> </w:t>
      </w:r>
      <w:proofErr w:type="spellStart"/>
      <w:r>
        <w:rPr>
          <w:rFonts w:eastAsia="Palatino Linotype"/>
          <w:position w:val="1"/>
          <w:sz w:val="22"/>
          <w:szCs w:val="22"/>
          <w:lang w:val="es-ES"/>
        </w:rPr>
        <w:t>medium-sized</w:t>
      </w:r>
      <w:proofErr w:type="spellEnd"/>
      <w:r>
        <w:rPr>
          <w:rFonts w:eastAsia="Palatino Linotype"/>
          <w:position w:val="1"/>
          <w:sz w:val="22"/>
          <w:szCs w:val="22"/>
          <w:lang w:val="es-ES"/>
        </w:rPr>
        <w:t xml:space="preserve"> </w:t>
      </w:r>
      <w:proofErr w:type="spellStart"/>
      <w:r>
        <w:rPr>
          <w:rFonts w:eastAsia="Palatino Linotype"/>
          <w:position w:val="1"/>
          <w:sz w:val="22"/>
          <w:szCs w:val="22"/>
          <w:lang w:val="es-ES"/>
        </w:rPr>
        <w:t>companies</w:t>
      </w:r>
      <w:proofErr w:type="spellEnd"/>
      <w:r>
        <w:rPr>
          <w:rFonts w:eastAsia="Palatino Linotype"/>
          <w:position w:val="1"/>
          <w:sz w:val="22"/>
          <w:szCs w:val="22"/>
          <w:lang w:val="es-ES"/>
        </w:rPr>
        <w:t xml:space="preserve"> </w:t>
      </w:r>
      <w:proofErr w:type="spellStart"/>
      <w:r>
        <w:rPr>
          <w:rFonts w:eastAsia="Palatino Linotype"/>
          <w:position w:val="1"/>
          <w:sz w:val="22"/>
          <w:szCs w:val="22"/>
          <w:lang w:val="es-ES"/>
        </w:rPr>
        <w:t>of</w:t>
      </w:r>
      <w:proofErr w:type="spellEnd"/>
      <w:r>
        <w:rPr>
          <w:rFonts w:eastAsia="Palatino Linotype"/>
          <w:position w:val="1"/>
          <w:sz w:val="22"/>
          <w:szCs w:val="22"/>
          <w:lang w:val="es-ES"/>
        </w:rPr>
        <w:t xml:space="preserve"> 4% </w:t>
      </w:r>
      <w:proofErr w:type="spellStart"/>
      <w:r>
        <w:rPr>
          <w:rFonts w:eastAsia="Palatino Linotype"/>
          <w:position w:val="1"/>
          <w:sz w:val="22"/>
          <w:szCs w:val="22"/>
          <w:lang w:val="es-ES"/>
        </w:rPr>
        <w:t>when</w:t>
      </w:r>
      <w:proofErr w:type="spellEnd"/>
      <w:r>
        <w:rPr>
          <w:rFonts w:eastAsia="Palatino Linotype"/>
          <w:position w:val="1"/>
          <w:sz w:val="22"/>
          <w:szCs w:val="22"/>
          <w:lang w:val="es-ES"/>
        </w:rPr>
        <w:t xml:space="preserve"> </w:t>
      </w:r>
      <w:proofErr w:type="spellStart"/>
      <w:r>
        <w:rPr>
          <w:rFonts w:eastAsia="Palatino Linotype"/>
          <w:position w:val="1"/>
          <w:sz w:val="22"/>
          <w:szCs w:val="22"/>
          <w:lang w:val="es-ES"/>
        </w:rPr>
        <w:t>they</w:t>
      </w:r>
      <w:proofErr w:type="spellEnd"/>
      <w:r>
        <w:rPr>
          <w:rFonts w:eastAsia="Palatino Linotype"/>
          <w:position w:val="1"/>
          <w:sz w:val="22"/>
          <w:szCs w:val="22"/>
          <w:lang w:val="es-ES"/>
        </w:rPr>
        <w:t xml:space="preserve"> compete </w:t>
      </w:r>
      <w:proofErr w:type="spellStart"/>
      <w:r>
        <w:rPr>
          <w:rFonts w:eastAsia="Palatino Linotype"/>
          <w:position w:val="1"/>
          <w:sz w:val="22"/>
          <w:szCs w:val="22"/>
          <w:lang w:val="es-ES"/>
        </w:rPr>
        <w:t>with</w:t>
      </w:r>
      <w:proofErr w:type="spellEnd"/>
      <w:r>
        <w:rPr>
          <w:rFonts w:eastAsia="Palatino Linotype"/>
          <w:position w:val="1"/>
          <w:sz w:val="22"/>
          <w:szCs w:val="22"/>
          <w:lang w:val="es-ES"/>
        </w:rPr>
        <w:t xml:space="preserve"> </w:t>
      </w:r>
      <w:proofErr w:type="spellStart"/>
      <w:r>
        <w:rPr>
          <w:rFonts w:eastAsia="Palatino Linotype"/>
          <w:position w:val="1"/>
          <w:sz w:val="22"/>
          <w:szCs w:val="22"/>
          <w:lang w:val="es-ES"/>
        </w:rPr>
        <w:t>each</w:t>
      </w:r>
      <w:proofErr w:type="spellEnd"/>
      <w:r>
        <w:rPr>
          <w:rFonts w:eastAsia="Palatino Linotype"/>
          <w:position w:val="1"/>
          <w:sz w:val="22"/>
          <w:szCs w:val="22"/>
          <w:lang w:val="es-ES"/>
        </w:rPr>
        <w:t xml:space="preserve"> </w:t>
      </w:r>
      <w:proofErr w:type="spellStart"/>
      <w:r>
        <w:rPr>
          <w:rFonts w:eastAsia="Palatino Linotype"/>
          <w:position w:val="1"/>
          <w:sz w:val="22"/>
          <w:szCs w:val="22"/>
          <w:lang w:val="es-ES"/>
        </w:rPr>
        <w:t>other</w:t>
      </w:r>
      <w:proofErr w:type="spellEnd"/>
      <w:r>
        <w:rPr>
          <w:rFonts w:eastAsia="Palatino Linotype"/>
          <w:position w:val="1"/>
          <w:sz w:val="22"/>
          <w:szCs w:val="22"/>
          <w:lang w:val="es-ES"/>
        </w:rPr>
        <w:t xml:space="preserve"> </w:t>
      </w:r>
      <w:proofErr w:type="spellStart"/>
      <w:r>
        <w:rPr>
          <w:rFonts w:eastAsia="Palatino Linotype"/>
          <w:position w:val="1"/>
          <w:sz w:val="22"/>
          <w:szCs w:val="22"/>
          <w:lang w:val="es-ES"/>
        </w:rPr>
        <w:t>or</w:t>
      </w:r>
      <w:proofErr w:type="spellEnd"/>
      <w:r>
        <w:rPr>
          <w:rFonts w:eastAsia="Palatino Linotype"/>
          <w:position w:val="1"/>
          <w:sz w:val="22"/>
          <w:szCs w:val="22"/>
          <w:lang w:val="es-ES"/>
        </w:rPr>
        <w:t xml:space="preserve"> </w:t>
      </w:r>
      <w:proofErr w:type="spellStart"/>
      <w:r>
        <w:rPr>
          <w:rFonts w:eastAsia="Palatino Linotype"/>
          <w:position w:val="1"/>
          <w:sz w:val="22"/>
          <w:szCs w:val="22"/>
          <w:lang w:val="es-ES"/>
        </w:rPr>
        <w:t>any</w:t>
      </w:r>
      <w:proofErr w:type="spellEnd"/>
      <w:r>
        <w:rPr>
          <w:rFonts w:eastAsia="Palatino Linotype"/>
          <w:position w:val="1"/>
          <w:sz w:val="22"/>
          <w:szCs w:val="22"/>
          <w:lang w:val="es-ES"/>
        </w:rPr>
        <w:t xml:space="preserve"> </w:t>
      </w:r>
      <w:proofErr w:type="spellStart"/>
      <w:r>
        <w:rPr>
          <w:rFonts w:eastAsia="Palatino Linotype"/>
          <w:position w:val="1"/>
          <w:sz w:val="22"/>
          <w:szCs w:val="22"/>
          <w:lang w:val="es-ES"/>
        </w:rPr>
        <w:t>of</w:t>
      </w:r>
      <w:proofErr w:type="spellEnd"/>
      <w:r>
        <w:rPr>
          <w:rFonts w:eastAsia="Palatino Linotype"/>
          <w:position w:val="1"/>
          <w:sz w:val="22"/>
          <w:szCs w:val="22"/>
          <w:lang w:val="es-ES"/>
        </w:rPr>
        <w:t xml:space="preserve"> </w:t>
      </w:r>
      <w:proofErr w:type="spellStart"/>
      <w:r>
        <w:rPr>
          <w:rFonts w:eastAsia="Palatino Linotype"/>
          <w:position w:val="1"/>
          <w:sz w:val="22"/>
          <w:szCs w:val="22"/>
          <w:lang w:val="es-ES"/>
        </w:rPr>
        <w:t>the</w:t>
      </w:r>
      <w:proofErr w:type="spellEnd"/>
      <w:r>
        <w:rPr>
          <w:rFonts w:eastAsia="Palatino Linotype"/>
          <w:position w:val="1"/>
          <w:sz w:val="22"/>
          <w:szCs w:val="22"/>
          <w:lang w:val="es-ES"/>
        </w:rPr>
        <w:t xml:space="preserve"> </w:t>
      </w:r>
      <w:proofErr w:type="spellStart"/>
      <w:r>
        <w:rPr>
          <w:rFonts w:eastAsia="Palatino Linotype"/>
          <w:position w:val="1"/>
          <w:sz w:val="22"/>
          <w:szCs w:val="22"/>
          <w:lang w:val="es-ES"/>
        </w:rPr>
        <w:t>categories</w:t>
      </w:r>
      <w:proofErr w:type="spellEnd"/>
      <w:r>
        <w:rPr>
          <w:rFonts w:eastAsia="Palatino Linotype"/>
          <w:position w:val="1"/>
          <w:sz w:val="22"/>
          <w:szCs w:val="22"/>
          <w:lang w:val="es-ES"/>
        </w:rPr>
        <w:t xml:space="preserve"> </w:t>
      </w:r>
      <w:proofErr w:type="spellStart"/>
      <w:r>
        <w:rPr>
          <w:rFonts w:eastAsia="Palatino Linotype"/>
          <w:position w:val="1"/>
          <w:sz w:val="22"/>
          <w:szCs w:val="22"/>
          <w:lang w:val="es-ES"/>
        </w:rPr>
        <w:t>or</w:t>
      </w:r>
      <w:proofErr w:type="spellEnd"/>
      <w:r>
        <w:rPr>
          <w:rFonts w:eastAsia="Palatino Linotype"/>
          <w:position w:val="1"/>
          <w:sz w:val="22"/>
          <w:szCs w:val="22"/>
          <w:lang w:val="es-ES"/>
        </w:rPr>
        <w:t xml:space="preserve"> </w:t>
      </w:r>
      <w:proofErr w:type="spellStart"/>
      <w:r>
        <w:rPr>
          <w:rFonts w:eastAsia="Palatino Linotype"/>
          <w:position w:val="1"/>
          <w:sz w:val="22"/>
          <w:szCs w:val="22"/>
          <w:lang w:val="es-ES"/>
        </w:rPr>
        <w:t>all</w:t>
      </w:r>
      <w:proofErr w:type="spellEnd"/>
      <w:r>
        <w:rPr>
          <w:rFonts w:eastAsia="Palatino Linotype"/>
          <w:position w:val="1"/>
          <w:sz w:val="22"/>
          <w:szCs w:val="22"/>
          <w:lang w:val="es-ES"/>
        </w:rPr>
        <w:t xml:space="preserve"> </w:t>
      </w:r>
      <w:proofErr w:type="spellStart"/>
      <w:r>
        <w:rPr>
          <w:rFonts w:eastAsia="Palatino Linotype"/>
          <w:position w:val="1"/>
          <w:sz w:val="22"/>
          <w:szCs w:val="22"/>
          <w:lang w:val="es-ES"/>
        </w:rPr>
        <w:t>of</w:t>
      </w:r>
      <w:proofErr w:type="spellEnd"/>
      <w:r>
        <w:rPr>
          <w:rFonts w:eastAsia="Palatino Linotype"/>
          <w:position w:val="1"/>
          <w:sz w:val="22"/>
          <w:szCs w:val="22"/>
          <w:lang w:val="es-ES"/>
        </w:rPr>
        <w:t xml:space="preserve"> </w:t>
      </w:r>
      <w:proofErr w:type="spellStart"/>
      <w:r>
        <w:rPr>
          <w:rFonts w:eastAsia="Palatino Linotype"/>
          <w:position w:val="1"/>
          <w:sz w:val="22"/>
          <w:szCs w:val="22"/>
          <w:lang w:val="es-ES"/>
        </w:rPr>
        <w:t>them</w:t>
      </w:r>
      <w:proofErr w:type="spellEnd"/>
      <w:r>
        <w:rPr>
          <w:rFonts w:eastAsia="Palatino Linotype"/>
          <w:position w:val="1"/>
          <w:sz w:val="22"/>
          <w:szCs w:val="22"/>
          <w:lang w:val="es-ES"/>
        </w:rPr>
        <w:t xml:space="preserve"> </w:t>
      </w:r>
      <w:proofErr w:type="spellStart"/>
      <w:r>
        <w:rPr>
          <w:rFonts w:eastAsia="Palatino Linotype"/>
          <w:position w:val="1"/>
          <w:sz w:val="22"/>
          <w:szCs w:val="22"/>
          <w:lang w:val="es-ES"/>
        </w:rPr>
        <w:t>against</w:t>
      </w:r>
      <w:proofErr w:type="spellEnd"/>
      <w:r>
        <w:rPr>
          <w:rFonts w:eastAsia="Palatino Linotype"/>
          <w:position w:val="1"/>
          <w:sz w:val="22"/>
          <w:szCs w:val="22"/>
          <w:lang w:val="es-ES"/>
        </w:rPr>
        <w:t xml:space="preserve"> </w:t>
      </w:r>
      <w:proofErr w:type="spellStart"/>
      <w:r>
        <w:rPr>
          <w:rFonts w:eastAsia="Palatino Linotype"/>
          <w:position w:val="1"/>
          <w:sz w:val="22"/>
          <w:szCs w:val="22"/>
          <w:lang w:val="es-ES"/>
        </w:rPr>
        <w:t>national</w:t>
      </w:r>
      <w:proofErr w:type="spellEnd"/>
      <w:r>
        <w:rPr>
          <w:rFonts w:eastAsia="Palatino Linotype"/>
          <w:position w:val="1"/>
          <w:sz w:val="22"/>
          <w:szCs w:val="22"/>
          <w:lang w:val="es-ES"/>
        </w:rPr>
        <w:t xml:space="preserve"> </w:t>
      </w:r>
      <w:proofErr w:type="spellStart"/>
      <w:r>
        <w:rPr>
          <w:rFonts w:eastAsia="Palatino Linotype"/>
          <w:position w:val="1"/>
          <w:sz w:val="22"/>
          <w:szCs w:val="22"/>
          <w:lang w:val="es-ES"/>
        </w:rPr>
        <w:t>products</w:t>
      </w:r>
      <w:proofErr w:type="spellEnd"/>
      <w:r>
        <w:rPr>
          <w:rFonts w:eastAsia="Palatino Linotype"/>
          <w:position w:val="1"/>
          <w:sz w:val="22"/>
          <w:szCs w:val="22"/>
          <w:lang w:val="es-ES"/>
        </w:rPr>
        <w:t xml:space="preserve"> </w:t>
      </w:r>
      <w:proofErr w:type="spellStart"/>
      <w:r>
        <w:rPr>
          <w:rFonts w:eastAsia="Palatino Linotype"/>
          <w:position w:val="1"/>
          <w:sz w:val="22"/>
          <w:szCs w:val="22"/>
          <w:lang w:val="es-ES"/>
        </w:rPr>
        <w:t>or</w:t>
      </w:r>
      <w:proofErr w:type="spellEnd"/>
      <w:r>
        <w:rPr>
          <w:rFonts w:eastAsia="Palatino Linotype"/>
          <w:position w:val="1"/>
          <w:sz w:val="22"/>
          <w:szCs w:val="22"/>
          <w:lang w:val="es-ES"/>
        </w:rPr>
        <w:t xml:space="preserve"> </w:t>
      </w:r>
      <w:proofErr w:type="spellStart"/>
      <w:r>
        <w:rPr>
          <w:rFonts w:eastAsia="Palatino Linotype"/>
          <w:position w:val="1"/>
          <w:sz w:val="22"/>
          <w:szCs w:val="22"/>
          <w:lang w:val="es-ES"/>
        </w:rPr>
        <w:t>services</w:t>
      </w:r>
      <w:proofErr w:type="spellEnd"/>
      <w:r>
        <w:rPr>
          <w:rFonts w:eastAsia="Palatino Linotype"/>
          <w:position w:val="1"/>
          <w:sz w:val="22"/>
          <w:szCs w:val="22"/>
          <w:lang w:val="es-ES"/>
        </w:rPr>
        <w:t xml:space="preserve"> </w:t>
      </w:r>
      <w:proofErr w:type="spellStart"/>
      <w:r>
        <w:rPr>
          <w:rFonts w:eastAsia="Palatino Linotype"/>
          <w:position w:val="1"/>
          <w:sz w:val="22"/>
          <w:szCs w:val="22"/>
          <w:lang w:val="es-ES"/>
        </w:rPr>
        <w:t>that</w:t>
      </w:r>
      <w:proofErr w:type="spellEnd"/>
      <w:r>
        <w:rPr>
          <w:rFonts w:eastAsia="Palatino Linotype"/>
          <w:position w:val="1"/>
          <w:sz w:val="22"/>
          <w:szCs w:val="22"/>
          <w:lang w:val="es-ES"/>
        </w:rPr>
        <w:t xml:space="preserve"> do </w:t>
      </w:r>
      <w:proofErr w:type="spellStart"/>
      <w:r>
        <w:rPr>
          <w:rFonts w:eastAsia="Palatino Linotype"/>
          <w:position w:val="1"/>
          <w:sz w:val="22"/>
          <w:szCs w:val="22"/>
          <w:lang w:val="es-ES"/>
        </w:rPr>
        <w:t>not</w:t>
      </w:r>
      <w:proofErr w:type="spellEnd"/>
      <w:r>
        <w:rPr>
          <w:rFonts w:eastAsia="Palatino Linotype"/>
          <w:position w:val="1"/>
          <w:sz w:val="22"/>
          <w:szCs w:val="22"/>
          <w:lang w:val="es-ES"/>
        </w:rPr>
        <w:t xml:space="preserve"> </w:t>
      </w:r>
      <w:proofErr w:type="spellStart"/>
      <w:r>
        <w:rPr>
          <w:rFonts w:eastAsia="Palatino Linotype"/>
          <w:position w:val="1"/>
          <w:sz w:val="22"/>
          <w:szCs w:val="22"/>
          <w:lang w:val="es-ES"/>
        </w:rPr>
        <w:t>qualify</w:t>
      </w:r>
      <w:proofErr w:type="spellEnd"/>
      <w:r>
        <w:rPr>
          <w:rFonts w:eastAsia="Palatino Linotype"/>
          <w:position w:val="1"/>
          <w:sz w:val="22"/>
          <w:szCs w:val="22"/>
          <w:lang w:val="es-ES"/>
        </w:rPr>
        <w:t xml:space="preserve"> as </w:t>
      </w:r>
      <w:proofErr w:type="spellStart"/>
      <w:r>
        <w:rPr>
          <w:rFonts w:eastAsia="Palatino Linotype"/>
          <w:position w:val="1"/>
          <w:sz w:val="22"/>
          <w:szCs w:val="22"/>
          <w:lang w:val="es-ES"/>
        </w:rPr>
        <w:t>MSMEs</w:t>
      </w:r>
      <w:proofErr w:type="spellEnd"/>
      <w:r>
        <w:rPr>
          <w:rFonts w:eastAsia="Palatino Linotype"/>
          <w:position w:val="1"/>
          <w:sz w:val="22"/>
          <w:szCs w:val="22"/>
          <w:lang w:val="es-ES"/>
        </w:rPr>
        <w:t xml:space="preserve">, and </w:t>
      </w:r>
      <w:proofErr w:type="spellStart"/>
      <w:r>
        <w:rPr>
          <w:rFonts w:eastAsia="Palatino Linotype"/>
          <w:position w:val="1"/>
          <w:sz w:val="22"/>
          <w:szCs w:val="22"/>
          <w:lang w:val="es-ES"/>
        </w:rPr>
        <w:t>provided</w:t>
      </w:r>
      <w:proofErr w:type="spellEnd"/>
      <w:r>
        <w:rPr>
          <w:rFonts w:eastAsia="Palatino Linotype"/>
          <w:position w:val="1"/>
          <w:sz w:val="22"/>
          <w:szCs w:val="22"/>
          <w:lang w:val="es-ES"/>
        </w:rPr>
        <w:t xml:space="preserve"> </w:t>
      </w:r>
      <w:proofErr w:type="spellStart"/>
      <w:r>
        <w:rPr>
          <w:rFonts w:eastAsia="Palatino Linotype"/>
          <w:position w:val="1"/>
          <w:sz w:val="22"/>
          <w:szCs w:val="22"/>
          <w:lang w:val="es-ES"/>
        </w:rPr>
        <w:t>that</w:t>
      </w:r>
      <w:proofErr w:type="spellEnd"/>
      <w:r>
        <w:rPr>
          <w:rFonts w:eastAsia="Palatino Linotype"/>
          <w:position w:val="1"/>
          <w:sz w:val="22"/>
          <w:szCs w:val="22"/>
          <w:lang w:val="es-ES"/>
        </w:rPr>
        <w:t xml:space="preserve"> </w:t>
      </w:r>
      <w:proofErr w:type="spellStart"/>
      <w:r>
        <w:rPr>
          <w:rFonts w:eastAsia="Palatino Linotype"/>
          <w:position w:val="1"/>
          <w:sz w:val="22"/>
          <w:szCs w:val="22"/>
          <w:lang w:val="es-ES"/>
        </w:rPr>
        <w:t>there</w:t>
      </w:r>
      <w:proofErr w:type="spellEnd"/>
      <w:r>
        <w:rPr>
          <w:rFonts w:eastAsia="Palatino Linotype"/>
          <w:position w:val="1"/>
          <w:sz w:val="22"/>
          <w:szCs w:val="22"/>
          <w:lang w:val="es-ES"/>
        </w:rPr>
        <w:t xml:space="preserve"> are no </w:t>
      </w:r>
      <w:proofErr w:type="spellStart"/>
      <w:r>
        <w:rPr>
          <w:rFonts w:eastAsia="Palatino Linotype"/>
          <w:position w:val="1"/>
          <w:sz w:val="22"/>
          <w:szCs w:val="22"/>
          <w:lang w:val="es-ES"/>
        </w:rPr>
        <w:t>offers</w:t>
      </w:r>
      <w:proofErr w:type="spellEnd"/>
      <w:r>
        <w:rPr>
          <w:rFonts w:eastAsia="Palatino Linotype"/>
          <w:position w:val="1"/>
          <w:sz w:val="22"/>
          <w:szCs w:val="22"/>
          <w:lang w:val="es-ES"/>
        </w:rPr>
        <w:t xml:space="preserve"> </w:t>
      </w:r>
      <w:proofErr w:type="spellStart"/>
      <w:r>
        <w:rPr>
          <w:rFonts w:eastAsia="Palatino Linotype"/>
          <w:position w:val="1"/>
          <w:sz w:val="22"/>
          <w:szCs w:val="22"/>
          <w:lang w:val="es-ES"/>
        </w:rPr>
        <w:t>of</w:t>
      </w:r>
      <w:proofErr w:type="spellEnd"/>
      <w:r>
        <w:rPr>
          <w:rFonts w:eastAsia="Palatino Linotype"/>
          <w:position w:val="1"/>
          <w:sz w:val="22"/>
          <w:szCs w:val="22"/>
          <w:lang w:val="es-ES"/>
        </w:rPr>
        <w:t xml:space="preserve"> </w:t>
      </w:r>
      <w:proofErr w:type="spellStart"/>
      <w:r>
        <w:rPr>
          <w:rFonts w:eastAsia="Palatino Linotype"/>
          <w:position w:val="1"/>
          <w:sz w:val="22"/>
          <w:szCs w:val="22"/>
          <w:lang w:val="es-ES"/>
        </w:rPr>
        <w:t>products</w:t>
      </w:r>
      <w:proofErr w:type="spellEnd"/>
      <w:r>
        <w:rPr>
          <w:rFonts w:eastAsia="Palatino Linotype"/>
          <w:position w:val="1"/>
          <w:sz w:val="22"/>
          <w:szCs w:val="22"/>
          <w:lang w:val="es-ES"/>
        </w:rPr>
        <w:t xml:space="preserve"> </w:t>
      </w:r>
      <w:proofErr w:type="spellStart"/>
      <w:r>
        <w:rPr>
          <w:rFonts w:eastAsia="Palatino Linotype"/>
          <w:position w:val="1"/>
          <w:sz w:val="22"/>
          <w:szCs w:val="22"/>
          <w:lang w:val="es-ES"/>
        </w:rPr>
        <w:t>or</w:t>
      </w:r>
      <w:proofErr w:type="spellEnd"/>
      <w:r>
        <w:rPr>
          <w:rFonts w:eastAsia="Palatino Linotype"/>
          <w:position w:val="1"/>
          <w:sz w:val="22"/>
          <w:szCs w:val="22"/>
          <w:lang w:val="es-ES"/>
        </w:rPr>
        <w:t xml:space="preserve"> </w:t>
      </w:r>
      <w:proofErr w:type="spellStart"/>
      <w:r>
        <w:rPr>
          <w:rFonts w:eastAsia="Palatino Linotype"/>
          <w:position w:val="1"/>
          <w:sz w:val="22"/>
          <w:szCs w:val="22"/>
          <w:lang w:val="es-ES"/>
        </w:rPr>
        <w:t>services</w:t>
      </w:r>
      <w:proofErr w:type="spellEnd"/>
      <w:r>
        <w:rPr>
          <w:rFonts w:eastAsia="Palatino Linotype"/>
          <w:position w:val="1"/>
          <w:sz w:val="22"/>
          <w:szCs w:val="22"/>
          <w:lang w:val="es-ES"/>
        </w:rPr>
        <w:t xml:space="preserve"> </w:t>
      </w:r>
      <w:proofErr w:type="spellStart"/>
      <w:r>
        <w:rPr>
          <w:rFonts w:eastAsia="Palatino Linotype"/>
          <w:position w:val="1"/>
          <w:sz w:val="22"/>
          <w:szCs w:val="22"/>
          <w:lang w:val="es-ES"/>
        </w:rPr>
        <w:t>that</w:t>
      </w:r>
      <w:proofErr w:type="spellEnd"/>
      <w:r>
        <w:rPr>
          <w:rFonts w:eastAsia="Palatino Linotype"/>
          <w:position w:val="1"/>
          <w:sz w:val="22"/>
          <w:szCs w:val="22"/>
          <w:lang w:val="es-ES"/>
        </w:rPr>
        <w:t xml:space="preserve"> do </w:t>
      </w:r>
      <w:proofErr w:type="spellStart"/>
      <w:r>
        <w:rPr>
          <w:rFonts w:eastAsia="Palatino Linotype"/>
          <w:position w:val="1"/>
          <w:sz w:val="22"/>
          <w:szCs w:val="22"/>
          <w:lang w:val="es-ES"/>
        </w:rPr>
        <w:t>not</w:t>
      </w:r>
      <w:proofErr w:type="spellEnd"/>
      <w:r>
        <w:rPr>
          <w:rFonts w:eastAsia="Palatino Linotype"/>
          <w:position w:val="1"/>
          <w:sz w:val="22"/>
          <w:szCs w:val="22"/>
          <w:lang w:val="es-ES"/>
        </w:rPr>
        <w:t xml:space="preserve"> </w:t>
      </w:r>
      <w:proofErr w:type="spellStart"/>
      <w:r>
        <w:rPr>
          <w:rFonts w:eastAsia="Palatino Linotype"/>
          <w:position w:val="1"/>
          <w:sz w:val="22"/>
          <w:szCs w:val="22"/>
          <w:lang w:val="es-ES"/>
        </w:rPr>
        <w:t>qualify</w:t>
      </w:r>
      <w:proofErr w:type="spellEnd"/>
      <w:r>
        <w:rPr>
          <w:rFonts w:eastAsia="Palatino Linotype"/>
          <w:position w:val="1"/>
          <w:sz w:val="22"/>
          <w:szCs w:val="22"/>
          <w:lang w:val="es-ES"/>
        </w:rPr>
        <w:t xml:space="preserve"> as </w:t>
      </w:r>
      <w:proofErr w:type="spellStart"/>
      <w:r>
        <w:rPr>
          <w:rFonts w:eastAsia="Palatino Linotype"/>
          <w:position w:val="1"/>
          <w:sz w:val="22"/>
          <w:szCs w:val="22"/>
          <w:lang w:val="es-ES"/>
        </w:rPr>
        <w:t>national</w:t>
      </w:r>
      <w:proofErr w:type="spellEnd"/>
      <w:r>
        <w:rPr>
          <w:rFonts w:eastAsia="Palatino Linotype"/>
          <w:position w:val="1"/>
          <w:sz w:val="22"/>
          <w:szCs w:val="22"/>
          <w:lang w:val="es-ES"/>
        </w:rPr>
        <w:t>.</w:t>
      </w:r>
    </w:p>
    <w:p w14:paraId="2A056F49" w14:textId="77777777" w:rsidR="00E255F4" w:rsidRDefault="00E255F4">
      <w:pPr>
        <w:ind w:right="-142"/>
        <w:jc w:val="both"/>
        <w:rPr>
          <w:rFonts w:eastAsia="Palatino Linotype"/>
          <w:spacing w:val="-1"/>
          <w:position w:val="1"/>
          <w:sz w:val="22"/>
          <w:szCs w:val="22"/>
          <w:lang w:val="es-ES"/>
        </w:rPr>
      </w:pPr>
    </w:p>
    <w:p w14:paraId="2D8AFB0B" w14:textId="77777777" w:rsidR="00E255F4" w:rsidRDefault="00000000">
      <w:pPr>
        <w:ind w:right="-142"/>
        <w:jc w:val="both"/>
        <w:rPr>
          <w:rFonts w:eastAsia="Palatino Linotype"/>
          <w:sz w:val="22"/>
          <w:szCs w:val="22"/>
          <w:lang w:val="es-ES"/>
        </w:rPr>
      </w:pPr>
      <w:proofErr w:type="spellStart"/>
      <w:r>
        <w:rPr>
          <w:rFonts w:eastAsia="Palatino Linotype"/>
          <w:spacing w:val="2"/>
          <w:sz w:val="22"/>
          <w:szCs w:val="22"/>
          <w:lang w:val="es-ES"/>
        </w:rPr>
        <w:t>iv</w:t>
      </w:r>
      <w:proofErr w:type="spellEnd"/>
      <w:r>
        <w:rPr>
          <w:rFonts w:eastAsia="Palatino Linotype"/>
          <w:sz w:val="22"/>
          <w:szCs w:val="22"/>
          <w:lang w:val="es-ES"/>
        </w:rPr>
        <w:t xml:space="preserve">) The </w:t>
      </w:r>
      <w:proofErr w:type="spellStart"/>
      <w:r>
        <w:rPr>
          <w:rFonts w:eastAsia="Palatino Linotype"/>
          <w:sz w:val="22"/>
          <w:szCs w:val="22"/>
          <w:lang w:val="es-ES"/>
        </w:rPr>
        <w:t>preference</w:t>
      </w:r>
      <w:proofErr w:type="spellEnd"/>
      <w:r>
        <w:rPr>
          <w:rFonts w:eastAsia="Palatino Linotype"/>
          <w:sz w:val="22"/>
          <w:szCs w:val="22"/>
          <w:lang w:val="es-ES"/>
        </w:rPr>
        <w:t xml:space="preserve"> </w:t>
      </w:r>
      <w:proofErr w:type="spellStart"/>
      <w:r>
        <w:rPr>
          <w:rFonts w:eastAsia="Palatino Linotype"/>
          <w:sz w:val="22"/>
          <w:szCs w:val="22"/>
          <w:lang w:val="es-ES"/>
        </w:rPr>
        <w:t>margin</w:t>
      </w:r>
      <w:proofErr w:type="spellEnd"/>
      <w:r>
        <w:rPr>
          <w:rFonts w:eastAsia="Palatino Linotype"/>
          <w:sz w:val="22"/>
          <w:szCs w:val="22"/>
          <w:lang w:val="es-ES"/>
        </w:rPr>
        <w:t xml:space="preserve"> </w:t>
      </w:r>
      <w:proofErr w:type="spellStart"/>
      <w:r>
        <w:rPr>
          <w:rFonts w:eastAsia="Palatino Linotype"/>
          <w:sz w:val="22"/>
          <w:szCs w:val="22"/>
          <w:lang w:val="es-ES"/>
        </w:rPr>
        <w:t>for</w:t>
      </w:r>
      <w:proofErr w:type="spellEnd"/>
      <w:r>
        <w:rPr>
          <w:rFonts w:eastAsia="Palatino Linotype"/>
          <w:sz w:val="22"/>
          <w:szCs w:val="22"/>
          <w:lang w:val="es-ES"/>
        </w:rPr>
        <w:t xml:space="preserve"> </w:t>
      </w:r>
      <w:proofErr w:type="spellStart"/>
      <w:r>
        <w:rPr>
          <w:rFonts w:eastAsia="Palatino Linotype"/>
          <w:sz w:val="22"/>
          <w:szCs w:val="22"/>
          <w:lang w:val="es-ES"/>
        </w:rPr>
        <w:t>products</w:t>
      </w:r>
      <w:proofErr w:type="spellEnd"/>
      <w:r>
        <w:rPr>
          <w:rFonts w:eastAsia="Palatino Linotype"/>
          <w:sz w:val="22"/>
          <w:szCs w:val="22"/>
          <w:lang w:val="es-ES"/>
        </w:rPr>
        <w:t xml:space="preserve"> and </w:t>
      </w:r>
      <w:proofErr w:type="spellStart"/>
      <w:r>
        <w:rPr>
          <w:rFonts w:eastAsia="Palatino Linotype"/>
          <w:sz w:val="22"/>
          <w:szCs w:val="22"/>
          <w:lang w:val="es-ES"/>
        </w:rPr>
        <w:t>services</w:t>
      </w:r>
      <w:proofErr w:type="spellEnd"/>
      <w:r>
        <w:rPr>
          <w:rFonts w:eastAsia="Palatino Linotype"/>
          <w:sz w:val="22"/>
          <w:szCs w:val="22"/>
          <w:lang w:val="es-ES"/>
        </w:rPr>
        <w:t xml:space="preserve"> </w:t>
      </w:r>
      <w:proofErr w:type="spellStart"/>
      <w:r>
        <w:rPr>
          <w:rFonts w:eastAsia="Palatino Linotype"/>
          <w:sz w:val="22"/>
          <w:szCs w:val="22"/>
          <w:lang w:val="es-ES"/>
        </w:rPr>
        <w:t>that</w:t>
      </w:r>
      <w:proofErr w:type="spellEnd"/>
      <w:r>
        <w:rPr>
          <w:rFonts w:eastAsia="Palatino Linotype"/>
          <w:sz w:val="22"/>
          <w:szCs w:val="22"/>
          <w:lang w:val="es-ES"/>
        </w:rPr>
        <w:t xml:space="preserve"> </w:t>
      </w:r>
      <w:proofErr w:type="spellStart"/>
      <w:r>
        <w:rPr>
          <w:rFonts w:eastAsia="Palatino Linotype"/>
          <w:sz w:val="22"/>
          <w:szCs w:val="22"/>
          <w:lang w:val="es-ES"/>
        </w:rPr>
        <w:t>qualify</w:t>
      </w:r>
      <w:proofErr w:type="spellEnd"/>
      <w:r>
        <w:rPr>
          <w:rFonts w:eastAsia="Palatino Linotype"/>
          <w:sz w:val="22"/>
          <w:szCs w:val="22"/>
          <w:lang w:val="es-ES"/>
        </w:rPr>
        <w:t xml:space="preserve"> as </w:t>
      </w:r>
      <w:proofErr w:type="spellStart"/>
      <w:r>
        <w:rPr>
          <w:rFonts w:eastAsia="Palatino Linotype"/>
          <w:sz w:val="22"/>
          <w:szCs w:val="22"/>
          <w:lang w:val="es-ES"/>
        </w:rPr>
        <w:t>national</w:t>
      </w:r>
      <w:proofErr w:type="spellEnd"/>
      <w:r>
        <w:rPr>
          <w:rFonts w:eastAsia="Palatino Linotype"/>
          <w:sz w:val="22"/>
          <w:szCs w:val="22"/>
          <w:lang w:val="es-ES"/>
        </w:rPr>
        <w:t xml:space="preserve"> </w:t>
      </w:r>
      <w:proofErr w:type="spellStart"/>
      <w:r>
        <w:rPr>
          <w:rFonts w:eastAsia="Palatino Linotype"/>
          <w:sz w:val="22"/>
          <w:szCs w:val="22"/>
          <w:lang w:val="es-ES"/>
        </w:rPr>
        <w:t>from</w:t>
      </w:r>
      <w:proofErr w:type="spellEnd"/>
      <w:r>
        <w:rPr>
          <w:rFonts w:eastAsia="Palatino Linotype"/>
          <w:sz w:val="22"/>
          <w:szCs w:val="22"/>
          <w:lang w:val="es-ES"/>
        </w:rPr>
        <w:t xml:space="preserve"> micro and </w:t>
      </w:r>
      <w:proofErr w:type="spellStart"/>
      <w:r>
        <w:rPr>
          <w:rFonts w:eastAsia="Palatino Linotype"/>
          <w:sz w:val="22"/>
          <w:szCs w:val="22"/>
          <w:lang w:val="es-ES"/>
        </w:rPr>
        <w:t>small</w:t>
      </w:r>
      <w:proofErr w:type="spellEnd"/>
      <w:r>
        <w:rPr>
          <w:rFonts w:eastAsia="Palatino Linotype"/>
          <w:sz w:val="22"/>
          <w:szCs w:val="22"/>
          <w:lang w:val="es-ES"/>
        </w:rPr>
        <w:t xml:space="preserve"> </w:t>
      </w:r>
      <w:proofErr w:type="spellStart"/>
      <w:r>
        <w:rPr>
          <w:rFonts w:eastAsia="Palatino Linotype"/>
          <w:sz w:val="22"/>
          <w:szCs w:val="22"/>
          <w:lang w:val="es-ES"/>
        </w:rPr>
        <w:t>businesses</w:t>
      </w:r>
      <w:proofErr w:type="spellEnd"/>
      <w:r>
        <w:rPr>
          <w:rFonts w:eastAsia="Palatino Linotype"/>
          <w:sz w:val="22"/>
          <w:szCs w:val="22"/>
          <w:lang w:val="es-ES"/>
        </w:rPr>
        <w:t xml:space="preserve"> </w:t>
      </w:r>
      <w:proofErr w:type="spellStart"/>
      <w:r>
        <w:rPr>
          <w:rFonts w:eastAsia="Palatino Linotype"/>
          <w:sz w:val="22"/>
          <w:szCs w:val="22"/>
          <w:lang w:val="es-ES"/>
        </w:rPr>
        <w:t>will</w:t>
      </w:r>
      <w:proofErr w:type="spellEnd"/>
      <w:r>
        <w:rPr>
          <w:rFonts w:eastAsia="Palatino Linotype"/>
          <w:sz w:val="22"/>
          <w:szCs w:val="22"/>
          <w:lang w:val="es-ES"/>
        </w:rPr>
        <w:t xml:space="preserve"> be 16% and </w:t>
      </w:r>
      <w:proofErr w:type="spellStart"/>
      <w:r>
        <w:rPr>
          <w:rFonts w:eastAsia="Palatino Linotype"/>
          <w:sz w:val="22"/>
          <w:szCs w:val="22"/>
          <w:lang w:val="es-ES"/>
        </w:rPr>
        <w:t>for</w:t>
      </w:r>
      <w:proofErr w:type="spellEnd"/>
      <w:r>
        <w:rPr>
          <w:rFonts w:eastAsia="Palatino Linotype"/>
          <w:sz w:val="22"/>
          <w:szCs w:val="22"/>
          <w:lang w:val="es-ES"/>
        </w:rPr>
        <w:t xml:space="preserve"> </w:t>
      </w:r>
      <w:proofErr w:type="spellStart"/>
      <w:r>
        <w:rPr>
          <w:rFonts w:eastAsia="Palatino Linotype"/>
          <w:sz w:val="22"/>
          <w:szCs w:val="22"/>
          <w:lang w:val="es-ES"/>
        </w:rPr>
        <w:t>medium-sized</w:t>
      </w:r>
      <w:proofErr w:type="spellEnd"/>
      <w:r>
        <w:rPr>
          <w:rFonts w:eastAsia="Palatino Linotype"/>
          <w:sz w:val="22"/>
          <w:szCs w:val="22"/>
          <w:lang w:val="es-ES"/>
        </w:rPr>
        <w:t xml:space="preserve"> </w:t>
      </w:r>
      <w:proofErr w:type="spellStart"/>
      <w:r>
        <w:rPr>
          <w:rFonts w:eastAsia="Palatino Linotype"/>
          <w:sz w:val="22"/>
          <w:szCs w:val="22"/>
          <w:lang w:val="es-ES"/>
        </w:rPr>
        <w:t>businesses</w:t>
      </w:r>
      <w:proofErr w:type="spellEnd"/>
      <w:r>
        <w:rPr>
          <w:rFonts w:eastAsia="Palatino Linotype"/>
          <w:sz w:val="22"/>
          <w:szCs w:val="22"/>
          <w:lang w:val="es-ES"/>
        </w:rPr>
        <w:t xml:space="preserve"> 12% in </w:t>
      </w:r>
      <w:proofErr w:type="spellStart"/>
      <w:r>
        <w:rPr>
          <w:rFonts w:eastAsia="Palatino Linotype"/>
          <w:sz w:val="22"/>
          <w:szCs w:val="22"/>
          <w:lang w:val="es-ES"/>
        </w:rPr>
        <w:t>any</w:t>
      </w:r>
      <w:proofErr w:type="spellEnd"/>
      <w:r>
        <w:rPr>
          <w:rFonts w:eastAsia="Palatino Linotype"/>
          <w:sz w:val="22"/>
          <w:szCs w:val="22"/>
          <w:lang w:val="es-ES"/>
        </w:rPr>
        <w:t xml:space="preserve"> </w:t>
      </w:r>
      <w:proofErr w:type="spellStart"/>
      <w:r>
        <w:rPr>
          <w:rFonts w:eastAsia="Palatino Linotype"/>
          <w:sz w:val="22"/>
          <w:szCs w:val="22"/>
          <w:lang w:val="es-ES"/>
        </w:rPr>
        <w:t>circumstance</w:t>
      </w:r>
      <w:proofErr w:type="spellEnd"/>
      <w:r>
        <w:rPr>
          <w:rFonts w:eastAsia="Palatino Linotype"/>
          <w:sz w:val="22"/>
          <w:szCs w:val="22"/>
          <w:lang w:val="es-ES"/>
        </w:rPr>
        <w:t xml:space="preserve"> in </w:t>
      </w:r>
      <w:proofErr w:type="spellStart"/>
      <w:r>
        <w:rPr>
          <w:rFonts w:eastAsia="Palatino Linotype"/>
          <w:sz w:val="22"/>
          <w:szCs w:val="22"/>
          <w:lang w:val="es-ES"/>
        </w:rPr>
        <w:t>which</w:t>
      </w:r>
      <w:proofErr w:type="spellEnd"/>
      <w:r>
        <w:rPr>
          <w:rFonts w:eastAsia="Palatino Linotype"/>
          <w:sz w:val="22"/>
          <w:szCs w:val="22"/>
          <w:lang w:val="es-ES"/>
        </w:rPr>
        <w:t xml:space="preserve"> a </w:t>
      </w:r>
      <w:proofErr w:type="spellStart"/>
      <w:r>
        <w:rPr>
          <w:rFonts w:eastAsia="Palatino Linotype"/>
          <w:sz w:val="22"/>
          <w:szCs w:val="22"/>
          <w:lang w:val="es-ES"/>
        </w:rPr>
        <w:t>product</w:t>
      </w:r>
      <w:proofErr w:type="spellEnd"/>
      <w:r>
        <w:rPr>
          <w:rFonts w:eastAsia="Palatino Linotype"/>
          <w:sz w:val="22"/>
          <w:szCs w:val="22"/>
          <w:lang w:val="es-ES"/>
        </w:rPr>
        <w:t xml:space="preserve"> </w:t>
      </w:r>
      <w:proofErr w:type="spellStart"/>
      <w:r>
        <w:rPr>
          <w:rFonts w:eastAsia="Palatino Linotype"/>
          <w:sz w:val="22"/>
          <w:szCs w:val="22"/>
          <w:lang w:val="es-ES"/>
        </w:rPr>
        <w:t>or</w:t>
      </w:r>
      <w:proofErr w:type="spellEnd"/>
      <w:r>
        <w:rPr>
          <w:rFonts w:eastAsia="Palatino Linotype"/>
          <w:sz w:val="22"/>
          <w:szCs w:val="22"/>
          <w:lang w:val="es-ES"/>
        </w:rPr>
        <w:t xml:space="preserve"> </w:t>
      </w:r>
      <w:proofErr w:type="spellStart"/>
      <w:r>
        <w:rPr>
          <w:rFonts w:eastAsia="Palatino Linotype"/>
          <w:sz w:val="22"/>
          <w:szCs w:val="22"/>
          <w:lang w:val="es-ES"/>
        </w:rPr>
        <w:t>service</w:t>
      </w:r>
      <w:proofErr w:type="spellEnd"/>
      <w:r>
        <w:rPr>
          <w:rFonts w:eastAsia="Palatino Linotype"/>
          <w:sz w:val="22"/>
          <w:szCs w:val="22"/>
          <w:lang w:val="es-ES"/>
        </w:rPr>
        <w:t xml:space="preserve"> </w:t>
      </w:r>
      <w:proofErr w:type="spellStart"/>
      <w:r>
        <w:rPr>
          <w:rFonts w:eastAsia="Palatino Linotype"/>
          <w:sz w:val="22"/>
          <w:szCs w:val="22"/>
          <w:lang w:val="es-ES"/>
        </w:rPr>
        <w:t>that</w:t>
      </w:r>
      <w:proofErr w:type="spellEnd"/>
      <w:r>
        <w:rPr>
          <w:rFonts w:eastAsia="Palatino Linotype"/>
          <w:sz w:val="22"/>
          <w:szCs w:val="22"/>
          <w:lang w:val="es-ES"/>
        </w:rPr>
        <w:t xml:space="preserve"> </w:t>
      </w:r>
      <w:proofErr w:type="spellStart"/>
      <w:r>
        <w:rPr>
          <w:rFonts w:eastAsia="Palatino Linotype"/>
          <w:sz w:val="22"/>
          <w:szCs w:val="22"/>
          <w:lang w:val="es-ES"/>
        </w:rPr>
        <w:t>does</w:t>
      </w:r>
      <w:proofErr w:type="spellEnd"/>
      <w:r>
        <w:rPr>
          <w:rFonts w:eastAsia="Palatino Linotype"/>
          <w:sz w:val="22"/>
          <w:szCs w:val="22"/>
          <w:lang w:val="es-ES"/>
        </w:rPr>
        <w:t xml:space="preserve"> </w:t>
      </w:r>
      <w:proofErr w:type="spellStart"/>
      <w:r>
        <w:rPr>
          <w:rFonts w:eastAsia="Palatino Linotype"/>
          <w:sz w:val="22"/>
          <w:szCs w:val="22"/>
          <w:lang w:val="es-ES"/>
        </w:rPr>
        <w:t>not</w:t>
      </w:r>
      <w:proofErr w:type="spellEnd"/>
      <w:r>
        <w:rPr>
          <w:rFonts w:eastAsia="Palatino Linotype"/>
          <w:sz w:val="22"/>
          <w:szCs w:val="22"/>
          <w:lang w:val="es-ES"/>
        </w:rPr>
        <w:t xml:space="preserve"> </w:t>
      </w:r>
      <w:proofErr w:type="spellStart"/>
      <w:r>
        <w:rPr>
          <w:rFonts w:eastAsia="Palatino Linotype"/>
          <w:sz w:val="22"/>
          <w:szCs w:val="22"/>
          <w:lang w:val="es-ES"/>
        </w:rPr>
        <w:t>qualify</w:t>
      </w:r>
      <w:proofErr w:type="spellEnd"/>
      <w:r>
        <w:rPr>
          <w:rFonts w:eastAsia="Palatino Linotype"/>
          <w:sz w:val="22"/>
          <w:szCs w:val="22"/>
          <w:lang w:val="es-ES"/>
        </w:rPr>
        <w:t xml:space="preserve"> as </w:t>
      </w:r>
      <w:proofErr w:type="spellStart"/>
      <w:r>
        <w:rPr>
          <w:rFonts w:eastAsia="Palatino Linotype"/>
          <w:sz w:val="22"/>
          <w:szCs w:val="22"/>
          <w:lang w:val="es-ES"/>
        </w:rPr>
        <w:t>national</w:t>
      </w:r>
      <w:proofErr w:type="spellEnd"/>
      <w:r>
        <w:rPr>
          <w:rFonts w:eastAsia="Palatino Linotype"/>
          <w:sz w:val="22"/>
          <w:szCs w:val="22"/>
          <w:lang w:val="es-ES"/>
        </w:rPr>
        <w:t xml:space="preserve"> </w:t>
      </w:r>
      <w:proofErr w:type="spellStart"/>
      <w:r>
        <w:rPr>
          <w:rFonts w:eastAsia="Palatino Linotype"/>
          <w:sz w:val="22"/>
          <w:szCs w:val="22"/>
          <w:lang w:val="es-ES"/>
        </w:rPr>
        <w:t>participates</w:t>
      </w:r>
      <w:proofErr w:type="spellEnd"/>
      <w:r>
        <w:rPr>
          <w:rFonts w:eastAsia="Palatino Linotype"/>
          <w:sz w:val="22"/>
          <w:szCs w:val="22"/>
          <w:lang w:val="es-ES"/>
        </w:rPr>
        <w:t xml:space="preserve"> and </w:t>
      </w:r>
      <w:proofErr w:type="spellStart"/>
      <w:r>
        <w:rPr>
          <w:rFonts w:eastAsia="Palatino Linotype"/>
          <w:sz w:val="22"/>
          <w:szCs w:val="22"/>
          <w:lang w:val="es-ES"/>
        </w:rPr>
        <w:t>its</w:t>
      </w:r>
      <w:proofErr w:type="spellEnd"/>
      <w:r>
        <w:rPr>
          <w:rFonts w:eastAsia="Palatino Linotype"/>
          <w:sz w:val="22"/>
          <w:szCs w:val="22"/>
          <w:lang w:val="es-ES"/>
        </w:rPr>
        <w:t xml:space="preserve"> </w:t>
      </w:r>
      <w:proofErr w:type="spellStart"/>
      <w:r>
        <w:rPr>
          <w:rFonts w:eastAsia="Palatino Linotype"/>
          <w:sz w:val="22"/>
          <w:szCs w:val="22"/>
          <w:lang w:val="es-ES"/>
        </w:rPr>
        <w:t>offer</w:t>
      </w:r>
      <w:proofErr w:type="spellEnd"/>
      <w:r>
        <w:rPr>
          <w:rFonts w:eastAsia="Palatino Linotype"/>
          <w:sz w:val="22"/>
          <w:szCs w:val="22"/>
          <w:lang w:val="es-ES"/>
        </w:rPr>
        <w:t xml:space="preserve"> </w:t>
      </w:r>
      <w:proofErr w:type="spellStart"/>
      <w:r>
        <w:rPr>
          <w:rFonts w:eastAsia="Palatino Linotype"/>
          <w:sz w:val="22"/>
          <w:szCs w:val="22"/>
          <w:lang w:val="es-ES"/>
        </w:rPr>
        <w:t>is</w:t>
      </w:r>
      <w:proofErr w:type="spellEnd"/>
      <w:r>
        <w:rPr>
          <w:rFonts w:eastAsia="Palatino Linotype"/>
          <w:sz w:val="22"/>
          <w:szCs w:val="22"/>
          <w:lang w:val="es-ES"/>
        </w:rPr>
        <w:t xml:space="preserve"> </w:t>
      </w:r>
      <w:proofErr w:type="spellStart"/>
      <w:r>
        <w:rPr>
          <w:rFonts w:eastAsia="Palatino Linotype"/>
          <w:sz w:val="22"/>
          <w:szCs w:val="22"/>
          <w:lang w:val="es-ES"/>
        </w:rPr>
        <w:t>valid</w:t>
      </w:r>
      <w:proofErr w:type="spellEnd"/>
      <w:r>
        <w:rPr>
          <w:rFonts w:eastAsia="Palatino Linotype"/>
          <w:sz w:val="22"/>
          <w:szCs w:val="22"/>
          <w:lang w:val="es-ES"/>
        </w:rPr>
        <w:t>.</w:t>
      </w:r>
    </w:p>
    <w:p w14:paraId="47CD9F53" w14:textId="77777777" w:rsidR="00E255F4" w:rsidRDefault="00E255F4">
      <w:pPr>
        <w:ind w:right="-142"/>
        <w:jc w:val="both"/>
        <w:rPr>
          <w:rFonts w:eastAsia="Palatino Linotype"/>
          <w:sz w:val="22"/>
          <w:szCs w:val="22"/>
          <w:lang w:val="es-ES"/>
        </w:rPr>
      </w:pPr>
    </w:p>
    <w:p w14:paraId="3666142F" w14:textId="77777777" w:rsidR="00E255F4" w:rsidRDefault="00000000">
      <w:pPr>
        <w:ind w:right="-142"/>
        <w:jc w:val="both"/>
        <w:rPr>
          <w:rFonts w:eastAsia="Palatino Linotype"/>
          <w:sz w:val="22"/>
          <w:szCs w:val="22"/>
          <w:lang w:val="es-ES"/>
        </w:rPr>
      </w:pPr>
      <w:proofErr w:type="spellStart"/>
      <w:r>
        <w:rPr>
          <w:rFonts w:eastAsia="Palatino Linotype"/>
          <w:spacing w:val="-1"/>
          <w:sz w:val="22"/>
          <w:szCs w:val="22"/>
          <w:lang w:val="es-ES"/>
        </w:rPr>
        <w:t>v</w:t>
      </w:r>
      <w:r>
        <w:rPr>
          <w:rFonts w:eastAsia="Palatino Linotype"/>
          <w:sz w:val="22"/>
          <w:szCs w:val="22"/>
          <w:lang w:val="es-ES"/>
        </w:rPr>
        <w:t>The</w:t>
      </w:r>
      <w:proofErr w:type="spellEnd"/>
      <w:r>
        <w:rPr>
          <w:rFonts w:eastAsia="Palatino Linotype"/>
          <w:sz w:val="22"/>
          <w:szCs w:val="22"/>
          <w:lang w:val="es-ES"/>
        </w:rPr>
        <w:t xml:space="preserve"> </w:t>
      </w:r>
      <w:proofErr w:type="spellStart"/>
      <w:r>
        <w:rPr>
          <w:rFonts w:eastAsia="Palatino Linotype"/>
          <w:sz w:val="22"/>
          <w:szCs w:val="22"/>
          <w:lang w:val="es-ES"/>
        </w:rPr>
        <w:t>amount</w:t>
      </w:r>
      <w:proofErr w:type="spellEnd"/>
      <w:r>
        <w:rPr>
          <w:rFonts w:eastAsia="Palatino Linotype"/>
          <w:sz w:val="22"/>
          <w:szCs w:val="22"/>
          <w:lang w:val="es-ES"/>
        </w:rPr>
        <w:t xml:space="preserve"> </w:t>
      </w:r>
      <w:proofErr w:type="spellStart"/>
      <w:r>
        <w:rPr>
          <w:rFonts w:eastAsia="Palatino Linotype"/>
          <w:sz w:val="22"/>
          <w:szCs w:val="22"/>
          <w:lang w:val="es-ES"/>
        </w:rPr>
        <w:t>to</w:t>
      </w:r>
      <w:proofErr w:type="spellEnd"/>
      <w:r>
        <w:rPr>
          <w:rFonts w:eastAsia="Palatino Linotype"/>
          <w:sz w:val="22"/>
          <w:szCs w:val="22"/>
          <w:lang w:val="es-ES"/>
        </w:rPr>
        <w:t xml:space="preserve"> </w:t>
      </w:r>
      <w:proofErr w:type="spellStart"/>
      <w:r>
        <w:rPr>
          <w:rFonts w:eastAsia="Palatino Linotype"/>
          <w:sz w:val="22"/>
          <w:szCs w:val="22"/>
          <w:lang w:val="es-ES"/>
        </w:rPr>
        <w:t>which</w:t>
      </w:r>
      <w:proofErr w:type="spellEnd"/>
      <w:r>
        <w:rPr>
          <w:rFonts w:eastAsia="Palatino Linotype"/>
          <w:sz w:val="22"/>
          <w:szCs w:val="22"/>
          <w:lang w:val="es-ES"/>
        </w:rPr>
        <w:t xml:space="preserve"> </w:t>
      </w:r>
      <w:proofErr w:type="spellStart"/>
      <w:r>
        <w:rPr>
          <w:rFonts w:eastAsia="Palatino Linotype"/>
          <w:sz w:val="22"/>
          <w:szCs w:val="22"/>
          <w:lang w:val="es-ES"/>
        </w:rPr>
        <w:t>the</w:t>
      </w:r>
      <w:proofErr w:type="spellEnd"/>
      <w:r>
        <w:rPr>
          <w:rFonts w:eastAsia="Palatino Linotype"/>
          <w:sz w:val="22"/>
          <w:szCs w:val="22"/>
          <w:lang w:val="es-ES"/>
        </w:rPr>
        <w:t xml:space="preserve"> </w:t>
      </w:r>
      <w:proofErr w:type="spellStart"/>
      <w:r>
        <w:rPr>
          <w:rFonts w:eastAsia="Palatino Linotype"/>
          <w:sz w:val="22"/>
          <w:szCs w:val="22"/>
          <w:lang w:val="es-ES"/>
        </w:rPr>
        <w:t>preference</w:t>
      </w:r>
      <w:proofErr w:type="spellEnd"/>
      <w:r>
        <w:rPr>
          <w:rFonts w:eastAsia="Palatino Linotype"/>
          <w:sz w:val="22"/>
          <w:szCs w:val="22"/>
          <w:lang w:val="es-ES"/>
        </w:rPr>
        <w:t xml:space="preserve"> </w:t>
      </w:r>
      <w:proofErr w:type="spellStart"/>
      <w:r>
        <w:rPr>
          <w:rFonts w:eastAsia="Palatino Linotype"/>
          <w:sz w:val="22"/>
          <w:szCs w:val="22"/>
          <w:lang w:val="es-ES"/>
        </w:rPr>
        <w:t>margin</w:t>
      </w:r>
      <w:proofErr w:type="spellEnd"/>
      <w:r>
        <w:rPr>
          <w:rFonts w:eastAsia="Palatino Linotype"/>
          <w:sz w:val="22"/>
          <w:szCs w:val="22"/>
          <w:lang w:val="es-ES"/>
        </w:rPr>
        <w:t xml:space="preserve"> </w:t>
      </w:r>
      <w:proofErr w:type="spellStart"/>
      <w:r>
        <w:rPr>
          <w:rFonts w:eastAsia="Palatino Linotype"/>
          <w:sz w:val="22"/>
          <w:szCs w:val="22"/>
          <w:lang w:val="es-ES"/>
        </w:rPr>
        <w:t>will</w:t>
      </w:r>
      <w:proofErr w:type="spellEnd"/>
      <w:r>
        <w:rPr>
          <w:rFonts w:eastAsia="Palatino Linotype"/>
          <w:sz w:val="22"/>
          <w:szCs w:val="22"/>
          <w:lang w:val="es-ES"/>
        </w:rPr>
        <w:t xml:space="preserve"> be </w:t>
      </w:r>
      <w:proofErr w:type="spellStart"/>
      <w:r>
        <w:rPr>
          <w:rFonts w:eastAsia="Palatino Linotype"/>
          <w:sz w:val="22"/>
          <w:szCs w:val="22"/>
          <w:lang w:val="es-ES"/>
        </w:rPr>
        <w:t>applied</w:t>
      </w:r>
      <w:proofErr w:type="spellEnd"/>
      <w:r>
        <w:rPr>
          <w:rFonts w:eastAsia="Palatino Linotype"/>
          <w:sz w:val="22"/>
          <w:szCs w:val="22"/>
          <w:lang w:val="es-ES"/>
        </w:rPr>
        <w:t xml:space="preserve"> </w:t>
      </w:r>
      <w:proofErr w:type="spellStart"/>
      <w:r>
        <w:rPr>
          <w:rFonts w:eastAsia="Palatino Linotype"/>
          <w:sz w:val="22"/>
          <w:szCs w:val="22"/>
          <w:lang w:val="es-ES"/>
        </w:rPr>
        <w:t>for</w:t>
      </w:r>
      <w:proofErr w:type="spellEnd"/>
      <w:r>
        <w:rPr>
          <w:rFonts w:eastAsia="Palatino Linotype"/>
          <w:sz w:val="22"/>
          <w:szCs w:val="22"/>
          <w:lang w:val="es-ES"/>
        </w:rPr>
        <w:t xml:space="preserve"> </w:t>
      </w:r>
      <w:proofErr w:type="spellStart"/>
      <w:r>
        <w:rPr>
          <w:rFonts w:eastAsia="Palatino Linotype"/>
          <w:sz w:val="22"/>
          <w:szCs w:val="22"/>
          <w:lang w:val="es-ES"/>
        </w:rPr>
        <w:t>services</w:t>
      </w:r>
      <w:proofErr w:type="spellEnd"/>
      <w:r>
        <w:rPr>
          <w:rFonts w:eastAsia="Palatino Linotype"/>
          <w:sz w:val="22"/>
          <w:szCs w:val="22"/>
          <w:lang w:val="es-ES"/>
        </w:rPr>
        <w:t xml:space="preserve"> </w:t>
      </w:r>
      <w:proofErr w:type="spellStart"/>
      <w:r>
        <w:rPr>
          <w:rFonts w:eastAsia="Palatino Linotype"/>
          <w:sz w:val="22"/>
          <w:szCs w:val="22"/>
          <w:lang w:val="es-ES"/>
        </w:rPr>
        <w:t>from</w:t>
      </w:r>
      <w:proofErr w:type="spellEnd"/>
      <w:r>
        <w:rPr>
          <w:rFonts w:eastAsia="Palatino Linotype"/>
          <w:sz w:val="22"/>
          <w:szCs w:val="22"/>
          <w:lang w:val="es-ES"/>
        </w:rPr>
        <w:t xml:space="preserve"> micro, </w:t>
      </w:r>
      <w:proofErr w:type="spellStart"/>
      <w:r>
        <w:rPr>
          <w:rFonts w:eastAsia="Palatino Linotype"/>
          <w:sz w:val="22"/>
          <w:szCs w:val="22"/>
          <w:lang w:val="es-ES"/>
        </w:rPr>
        <w:t>small</w:t>
      </w:r>
      <w:proofErr w:type="spellEnd"/>
      <w:r>
        <w:rPr>
          <w:rFonts w:eastAsia="Palatino Linotype"/>
          <w:sz w:val="22"/>
          <w:szCs w:val="22"/>
          <w:lang w:val="es-ES"/>
        </w:rPr>
        <w:t xml:space="preserve">, and </w:t>
      </w:r>
      <w:proofErr w:type="spellStart"/>
      <w:r>
        <w:rPr>
          <w:rFonts w:eastAsia="Palatino Linotype"/>
          <w:sz w:val="22"/>
          <w:szCs w:val="22"/>
          <w:lang w:val="es-ES"/>
        </w:rPr>
        <w:t>medium-sized</w:t>
      </w:r>
      <w:proofErr w:type="spellEnd"/>
      <w:r>
        <w:rPr>
          <w:rFonts w:eastAsia="Palatino Linotype"/>
          <w:sz w:val="22"/>
          <w:szCs w:val="22"/>
          <w:lang w:val="es-ES"/>
        </w:rPr>
        <w:t xml:space="preserve"> </w:t>
      </w:r>
      <w:proofErr w:type="spellStart"/>
      <w:r>
        <w:rPr>
          <w:rFonts w:eastAsia="Palatino Linotype"/>
          <w:sz w:val="22"/>
          <w:szCs w:val="22"/>
          <w:lang w:val="es-ES"/>
        </w:rPr>
        <w:t>enterprises</w:t>
      </w:r>
      <w:proofErr w:type="spellEnd"/>
      <w:r>
        <w:rPr>
          <w:rFonts w:eastAsia="Palatino Linotype"/>
          <w:sz w:val="22"/>
          <w:szCs w:val="22"/>
          <w:lang w:val="es-ES"/>
        </w:rPr>
        <w:t xml:space="preserve"> </w:t>
      </w:r>
      <w:proofErr w:type="spellStart"/>
      <w:r>
        <w:rPr>
          <w:rFonts w:eastAsia="Palatino Linotype"/>
          <w:sz w:val="22"/>
          <w:szCs w:val="22"/>
          <w:lang w:val="es-ES"/>
        </w:rPr>
        <w:t>that</w:t>
      </w:r>
      <w:proofErr w:type="spellEnd"/>
      <w:r>
        <w:rPr>
          <w:rFonts w:eastAsia="Palatino Linotype"/>
          <w:sz w:val="22"/>
          <w:szCs w:val="22"/>
          <w:lang w:val="es-ES"/>
        </w:rPr>
        <w:t xml:space="preserve"> </w:t>
      </w:r>
      <w:proofErr w:type="spellStart"/>
      <w:r>
        <w:rPr>
          <w:rFonts w:eastAsia="Palatino Linotype"/>
          <w:sz w:val="22"/>
          <w:szCs w:val="22"/>
          <w:lang w:val="es-ES"/>
        </w:rPr>
        <w:t>qualify</w:t>
      </w:r>
      <w:proofErr w:type="spellEnd"/>
      <w:r>
        <w:rPr>
          <w:rFonts w:eastAsia="Palatino Linotype"/>
          <w:sz w:val="22"/>
          <w:szCs w:val="22"/>
          <w:lang w:val="es-ES"/>
        </w:rPr>
        <w:t xml:space="preserve"> as </w:t>
      </w:r>
      <w:proofErr w:type="spellStart"/>
      <w:r>
        <w:rPr>
          <w:rFonts w:eastAsia="Palatino Linotype"/>
          <w:sz w:val="22"/>
          <w:szCs w:val="22"/>
          <w:lang w:val="es-ES"/>
        </w:rPr>
        <w:t>national</w:t>
      </w:r>
      <w:proofErr w:type="spellEnd"/>
      <w:r>
        <w:rPr>
          <w:rFonts w:eastAsia="Palatino Linotype"/>
          <w:sz w:val="22"/>
          <w:szCs w:val="22"/>
          <w:lang w:val="es-ES"/>
        </w:rPr>
        <w:t xml:space="preserve"> and </w:t>
      </w:r>
      <w:proofErr w:type="spellStart"/>
      <w:r>
        <w:rPr>
          <w:rFonts w:eastAsia="Palatino Linotype"/>
          <w:sz w:val="22"/>
          <w:szCs w:val="22"/>
          <w:lang w:val="es-ES"/>
        </w:rPr>
        <w:t>that</w:t>
      </w:r>
      <w:proofErr w:type="spellEnd"/>
      <w:r>
        <w:rPr>
          <w:rFonts w:eastAsia="Palatino Linotype"/>
          <w:sz w:val="22"/>
          <w:szCs w:val="22"/>
          <w:lang w:val="es-ES"/>
        </w:rPr>
        <w:t xml:space="preserve"> </w:t>
      </w:r>
      <w:proofErr w:type="spellStart"/>
      <w:r>
        <w:rPr>
          <w:rFonts w:eastAsia="Palatino Linotype"/>
          <w:sz w:val="22"/>
          <w:szCs w:val="22"/>
          <w:lang w:val="es-ES"/>
        </w:rPr>
        <w:t>includes</w:t>
      </w:r>
      <w:proofErr w:type="spellEnd"/>
      <w:r>
        <w:rPr>
          <w:rFonts w:eastAsia="Palatino Linotype"/>
          <w:sz w:val="22"/>
          <w:szCs w:val="22"/>
          <w:lang w:val="es-ES"/>
        </w:rPr>
        <w:t xml:space="preserve"> </w:t>
      </w:r>
      <w:proofErr w:type="spellStart"/>
      <w:r>
        <w:rPr>
          <w:rFonts w:eastAsia="Palatino Linotype"/>
          <w:sz w:val="22"/>
          <w:szCs w:val="22"/>
          <w:lang w:val="es-ES"/>
        </w:rPr>
        <w:t>the</w:t>
      </w:r>
      <w:proofErr w:type="spellEnd"/>
      <w:r>
        <w:rPr>
          <w:rFonts w:eastAsia="Palatino Linotype"/>
          <w:sz w:val="22"/>
          <w:szCs w:val="22"/>
          <w:lang w:val="es-ES"/>
        </w:rPr>
        <w:t xml:space="preserve"> </w:t>
      </w:r>
      <w:proofErr w:type="spellStart"/>
      <w:r>
        <w:rPr>
          <w:rFonts w:eastAsia="Palatino Linotype"/>
          <w:sz w:val="22"/>
          <w:szCs w:val="22"/>
          <w:lang w:val="es-ES"/>
        </w:rPr>
        <w:t>supply</w:t>
      </w:r>
      <w:proofErr w:type="spellEnd"/>
      <w:r>
        <w:rPr>
          <w:rFonts w:eastAsia="Palatino Linotype"/>
          <w:sz w:val="22"/>
          <w:szCs w:val="22"/>
          <w:lang w:val="es-ES"/>
        </w:rPr>
        <w:t xml:space="preserve"> </w:t>
      </w:r>
      <w:proofErr w:type="spellStart"/>
      <w:r>
        <w:rPr>
          <w:rFonts w:eastAsia="Palatino Linotype"/>
          <w:sz w:val="22"/>
          <w:szCs w:val="22"/>
          <w:lang w:val="es-ES"/>
        </w:rPr>
        <w:t>of</w:t>
      </w:r>
      <w:proofErr w:type="spellEnd"/>
      <w:r>
        <w:rPr>
          <w:rFonts w:eastAsia="Palatino Linotype"/>
          <w:sz w:val="22"/>
          <w:szCs w:val="22"/>
          <w:lang w:val="es-ES"/>
        </w:rPr>
        <w:t xml:space="preserve"> </w:t>
      </w:r>
      <w:proofErr w:type="spellStart"/>
      <w:r>
        <w:rPr>
          <w:rFonts w:eastAsia="Palatino Linotype"/>
          <w:sz w:val="22"/>
          <w:szCs w:val="22"/>
          <w:lang w:val="es-ES"/>
        </w:rPr>
        <w:t>goods</w:t>
      </w:r>
      <w:proofErr w:type="spellEnd"/>
      <w:r>
        <w:rPr>
          <w:rFonts w:eastAsia="Palatino Linotype"/>
          <w:sz w:val="22"/>
          <w:szCs w:val="22"/>
          <w:lang w:val="es-ES"/>
        </w:rPr>
        <w:t xml:space="preserve"> </w:t>
      </w:r>
      <w:proofErr w:type="spellStart"/>
      <w:r>
        <w:rPr>
          <w:rFonts w:eastAsia="Palatino Linotype"/>
          <w:sz w:val="22"/>
          <w:szCs w:val="22"/>
          <w:lang w:val="es-ES"/>
        </w:rPr>
        <w:t>will</w:t>
      </w:r>
      <w:proofErr w:type="spellEnd"/>
      <w:r>
        <w:rPr>
          <w:rFonts w:eastAsia="Palatino Linotype"/>
          <w:sz w:val="22"/>
          <w:szCs w:val="22"/>
          <w:lang w:val="es-ES"/>
        </w:rPr>
        <w:t xml:space="preserve"> </w:t>
      </w:r>
      <w:proofErr w:type="spellStart"/>
      <w:r>
        <w:rPr>
          <w:rFonts w:eastAsia="Palatino Linotype"/>
          <w:sz w:val="22"/>
          <w:szCs w:val="22"/>
          <w:lang w:val="es-ES"/>
        </w:rPr>
        <w:t>not</w:t>
      </w:r>
      <w:proofErr w:type="spellEnd"/>
      <w:r>
        <w:rPr>
          <w:rFonts w:eastAsia="Palatino Linotype"/>
          <w:sz w:val="22"/>
          <w:szCs w:val="22"/>
          <w:lang w:val="es-ES"/>
        </w:rPr>
        <w:t xml:space="preserve"> </w:t>
      </w:r>
      <w:proofErr w:type="spellStart"/>
      <w:r>
        <w:rPr>
          <w:rFonts w:eastAsia="Palatino Linotype"/>
          <w:sz w:val="22"/>
          <w:szCs w:val="22"/>
          <w:lang w:val="es-ES"/>
        </w:rPr>
        <w:t>consider</w:t>
      </w:r>
      <w:proofErr w:type="spellEnd"/>
      <w:r>
        <w:rPr>
          <w:rFonts w:eastAsia="Palatino Linotype"/>
          <w:sz w:val="22"/>
          <w:szCs w:val="22"/>
          <w:lang w:val="es-ES"/>
        </w:rPr>
        <w:t xml:space="preserve"> </w:t>
      </w:r>
      <w:proofErr w:type="spellStart"/>
      <w:r>
        <w:rPr>
          <w:rFonts w:eastAsia="Palatino Linotype"/>
          <w:sz w:val="22"/>
          <w:szCs w:val="22"/>
          <w:lang w:val="es-ES"/>
        </w:rPr>
        <w:t>the</w:t>
      </w:r>
      <w:proofErr w:type="spellEnd"/>
      <w:r>
        <w:rPr>
          <w:rFonts w:eastAsia="Palatino Linotype"/>
          <w:sz w:val="22"/>
          <w:szCs w:val="22"/>
          <w:lang w:val="es-ES"/>
        </w:rPr>
        <w:t xml:space="preserve"> </w:t>
      </w:r>
      <w:proofErr w:type="spellStart"/>
      <w:r>
        <w:rPr>
          <w:rFonts w:eastAsia="Palatino Linotype"/>
          <w:sz w:val="22"/>
          <w:szCs w:val="22"/>
          <w:lang w:val="es-ES"/>
        </w:rPr>
        <w:t>price</w:t>
      </w:r>
      <w:proofErr w:type="spellEnd"/>
      <w:r>
        <w:rPr>
          <w:rFonts w:eastAsia="Palatino Linotype"/>
          <w:sz w:val="22"/>
          <w:szCs w:val="22"/>
          <w:lang w:val="es-ES"/>
        </w:rPr>
        <w:t xml:space="preserve"> </w:t>
      </w:r>
      <w:proofErr w:type="spellStart"/>
      <w:r>
        <w:rPr>
          <w:rFonts w:eastAsia="Palatino Linotype"/>
          <w:sz w:val="22"/>
          <w:szCs w:val="22"/>
          <w:lang w:val="es-ES"/>
        </w:rPr>
        <w:t>of</w:t>
      </w:r>
      <w:proofErr w:type="spellEnd"/>
      <w:r>
        <w:rPr>
          <w:rFonts w:eastAsia="Palatino Linotype"/>
          <w:sz w:val="22"/>
          <w:szCs w:val="22"/>
          <w:lang w:val="es-ES"/>
        </w:rPr>
        <w:t xml:space="preserve"> </w:t>
      </w:r>
      <w:proofErr w:type="spellStart"/>
      <w:r>
        <w:rPr>
          <w:rFonts w:eastAsia="Palatino Linotype"/>
          <w:sz w:val="22"/>
          <w:szCs w:val="22"/>
          <w:lang w:val="es-ES"/>
        </w:rPr>
        <w:t>those</w:t>
      </w:r>
      <w:proofErr w:type="spellEnd"/>
      <w:r>
        <w:rPr>
          <w:rFonts w:eastAsia="Palatino Linotype"/>
          <w:sz w:val="22"/>
          <w:szCs w:val="22"/>
          <w:lang w:val="es-ES"/>
        </w:rPr>
        <w:t xml:space="preserve"> </w:t>
      </w:r>
      <w:proofErr w:type="spellStart"/>
      <w:r>
        <w:rPr>
          <w:rFonts w:eastAsia="Palatino Linotype"/>
          <w:sz w:val="22"/>
          <w:szCs w:val="22"/>
          <w:lang w:val="es-ES"/>
        </w:rPr>
        <w:t>goods</w:t>
      </w:r>
      <w:proofErr w:type="spellEnd"/>
      <w:r>
        <w:rPr>
          <w:rFonts w:eastAsia="Palatino Linotype"/>
          <w:sz w:val="22"/>
          <w:szCs w:val="22"/>
          <w:lang w:val="es-ES"/>
        </w:rPr>
        <w:t xml:space="preserve"> </w:t>
      </w:r>
      <w:proofErr w:type="spellStart"/>
      <w:r>
        <w:rPr>
          <w:rFonts w:eastAsia="Palatino Linotype"/>
          <w:sz w:val="22"/>
          <w:szCs w:val="22"/>
          <w:lang w:val="es-ES"/>
        </w:rPr>
        <w:t>that</w:t>
      </w:r>
      <w:proofErr w:type="spellEnd"/>
      <w:r>
        <w:rPr>
          <w:rFonts w:eastAsia="Palatino Linotype"/>
          <w:sz w:val="22"/>
          <w:szCs w:val="22"/>
          <w:lang w:val="es-ES"/>
        </w:rPr>
        <w:t xml:space="preserve"> do </w:t>
      </w:r>
      <w:proofErr w:type="spellStart"/>
      <w:r>
        <w:rPr>
          <w:rFonts w:eastAsia="Palatino Linotype"/>
          <w:sz w:val="22"/>
          <w:szCs w:val="22"/>
          <w:lang w:val="es-ES"/>
        </w:rPr>
        <w:t>not</w:t>
      </w:r>
      <w:proofErr w:type="spellEnd"/>
      <w:r>
        <w:rPr>
          <w:rFonts w:eastAsia="Palatino Linotype"/>
          <w:sz w:val="22"/>
          <w:szCs w:val="22"/>
          <w:lang w:val="es-ES"/>
        </w:rPr>
        <w:t xml:space="preserve"> </w:t>
      </w:r>
      <w:proofErr w:type="spellStart"/>
      <w:r>
        <w:rPr>
          <w:rFonts w:eastAsia="Palatino Linotype"/>
          <w:sz w:val="22"/>
          <w:szCs w:val="22"/>
          <w:lang w:val="es-ES"/>
        </w:rPr>
        <w:t>qualify</w:t>
      </w:r>
      <w:proofErr w:type="spellEnd"/>
      <w:r>
        <w:rPr>
          <w:rFonts w:eastAsia="Palatino Linotype"/>
          <w:sz w:val="22"/>
          <w:szCs w:val="22"/>
          <w:lang w:val="es-ES"/>
        </w:rPr>
        <w:t xml:space="preserve"> as </w:t>
      </w:r>
      <w:proofErr w:type="spellStart"/>
      <w:r>
        <w:rPr>
          <w:rFonts w:eastAsia="Palatino Linotype"/>
          <w:sz w:val="22"/>
          <w:szCs w:val="22"/>
          <w:lang w:val="es-ES"/>
        </w:rPr>
        <w:t>national</w:t>
      </w:r>
      <w:proofErr w:type="spellEnd"/>
      <w:r>
        <w:rPr>
          <w:rFonts w:eastAsia="Palatino Linotype"/>
          <w:sz w:val="22"/>
          <w:szCs w:val="22"/>
          <w:lang w:val="es-ES"/>
        </w:rPr>
        <w:t xml:space="preserve">. For </w:t>
      </w:r>
      <w:proofErr w:type="spellStart"/>
      <w:r>
        <w:rPr>
          <w:rFonts w:eastAsia="Palatino Linotype"/>
          <w:sz w:val="22"/>
          <w:szCs w:val="22"/>
          <w:lang w:val="es-ES"/>
        </w:rPr>
        <w:t>these</w:t>
      </w:r>
      <w:proofErr w:type="spellEnd"/>
      <w:r>
        <w:rPr>
          <w:rFonts w:eastAsia="Palatino Linotype"/>
          <w:sz w:val="22"/>
          <w:szCs w:val="22"/>
          <w:lang w:val="es-ES"/>
        </w:rPr>
        <w:t xml:space="preserve"> </w:t>
      </w:r>
      <w:proofErr w:type="spellStart"/>
      <w:r>
        <w:rPr>
          <w:rFonts w:eastAsia="Palatino Linotype"/>
          <w:sz w:val="22"/>
          <w:szCs w:val="22"/>
          <w:lang w:val="es-ES"/>
        </w:rPr>
        <w:t>purposes</w:t>
      </w:r>
      <w:proofErr w:type="spellEnd"/>
      <w:r>
        <w:rPr>
          <w:rFonts w:eastAsia="Palatino Linotype"/>
          <w:sz w:val="22"/>
          <w:szCs w:val="22"/>
          <w:lang w:val="es-ES"/>
        </w:rPr>
        <w:t xml:space="preserve">, </w:t>
      </w:r>
      <w:proofErr w:type="spellStart"/>
      <w:r>
        <w:rPr>
          <w:rFonts w:eastAsia="Palatino Linotype"/>
          <w:sz w:val="22"/>
          <w:szCs w:val="22"/>
          <w:lang w:val="es-ES"/>
        </w:rPr>
        <w:t>the</w:t>
      </w:r>
      <w:proofErr w:type="spellEnd"/>
      <w:r>
        <w:rPr>
          <w:rFonts w:eastAsia="Palatino Linotype"/>
          <w:sz w:val="22"/>
          <w:szCs w:val="22"/>
          <w:lang w:val="es-ES"/>
        </w:rPr>
        <w:t xml:space="preserve"> </w:t>
      </w:r>
      <w:proofErr w:type="spellStart"/>
      <w:r>
        <w:rPr>
          <w:rFonts w:eastAsia="Palatino Linotype"/>
          <w:sz w:val="22"/>
          <w:szCs w:val="22"/>
          <w:lang w:val="es-ES"/>
        </w:rPr>
        <w:t>Administration</w:t>
      </w:r>
      <w:proofErr w:type="spellEnd"/>
      <w:r>
        <w:rPr>
          <w:rFonts w:eastAsia="Palatino Linotype"/>
          <w:sz w:val="22"/>
          <w:szCs w:val="22"/>
          <w:lang w:val="es-ES"/>
        </w:rPr>
        <w:t xml:space="preserve"> </w:t>
      </w:r>
      <w:proofErr w:type="spellStart"/>
      <w:r>
        <w:rPr>
          <w:rFonts w:eastAsia="Palatino Linotype"/>
          <w:sz w:val="22"/>
          <w:szCs w:val="22"/>
          <w:lang w:val="es-ES"/>
        </w:rPr>
        <w:t>will</w:t>
      </w:r>
      <w:proofErr w:type="spellEnd"/>
      <w:r>
        <w:rPr>
          <w:rFonts w:eastAsia="Palatino Linotype"/>
          <w:sz w:val="22"/>
          <w:szCs w:val="22"/>
          <w:lang w:val="es-ES"/>
        </w:rPr>
        <w:t xml:space="preserve"> </w:t>
      </w:r>
      <w:proofErr w:type="spellStart"/>
      <w:r>
        <w:rPr>
          <w:rFonts w:eastAsia="Palatino Linotype"/>
          <w:sz w:val="22"/>
          <w:szCs w:val="22"/>
          <w:lang w:val="es-ES"/>
        </w:rPr>
        <w:t>take</w:t>
      </w:r>
      <w:proofErr w:type="spellEnd"/>
      <w:r>
        <w:rPr>
          <w:rFonts w:eastAsia="Palatino Linotype"/>
          <w:sz w:val="22"/>
          <w:szCs w:val="22"/>
          <w:lang w:val="es-ES"/>
        </w:rPr>
        <w:t xml:space="preserve"> </w:t>
      </w:r>
      <w:proofErr w:type="spellStart"/>
      <w:r>
        <w:rPr>
          <w:rFonts w:eastAsia="Palatino Linotype"/>
          <w:sz w:val="22"/>
          <w:szCs w:val="22"/>
          <w:lang w:val="es-ES"/>
        </w:rPr>
        <w:t>into</w:t>
      </w:r>
      <w:proofErr w:type="spellEnd"/>
      <w:r>
        <w:rPr>
          <w:rFonts w:eastAsia="Palatino Linotype"/>
          <w:sz w:val="22"/>
          <w:szCs w:val="22"/>
          <w:lang w:val="es-ES"/>
        </w:rPr>
        <w:t xml:space="preserve"> </w:t>
      </w:r>
      <w:proofErr w:type="spellStart"/>
      <w:r>
        <w:rPr>
          <w:rFonts w:eastAsia="Palatino Linotype"/>
          <w:sz w:val="22"/>
          <w:szCs w:val="22"/>
          <w:lang w:val="es-ES"/>
        </w:rPr>
        <w:t>account</w:t>
      </w:r>
      <w:proofErr w:type="spellEnd"/>
      <w:r>
        <w:rPr>
          <w:rFonts w:eastAsia="Palatino Linotype"/>
          <w:sz w:val="22"/>
          <w:szCs w:val="22"/>
          <w:lang w:val="es-ES"/>
        </w:rPr>
        <w:t xml:space="preserve"> </w:t>
      </w:r>
      <w:proofErr w:type="spellStart"/>
      <w:r>
        <w:rPr>
          <w:rFonts w:eastAsia="Palatino Linotype"/>
          <w:sz w:val="22"/>
          <w:szCs w:val="22"/>
          <w:lang w:val="es-ES"/>
        </w:rPr>
        <w:t>the</w:t>
      </w:r>
      <w:proofErr w:type="spellEnd"/>
      <w:r>
        <w:rPr>
          <w:rFonts w:eastAsia="Palatino Linotype"/>
          <w:sz w:val="22"/>
          <w:szCs w:val="22"/>
          <w:lang w:val="es-ES"/>
        </w:rPr>
        <w:t xml:space="preserve"> </w:t>
      </w:r>
      <w:proofErr w:type="spellStart"/>
      <w:r>
        <w:rPr>
          <w:rFonts w:eastAsia="Palatino Linotype"/>
          <w:sz w:val="22"/>
          <w:szCs w:val="22"/>
          <w:lang w:val="es-ES"/>
        </w:rPr>
        <w:t>percentages</w:t>
      </w:r>
      <w:proofErr w:type="spellEnd"/>
      <w:r>
        <w:rPr>
          <w:rFonts w:eastAsia="Palatino Linotype"/>
          <w:sz w:val="22"/>
          <w:szCs w:val="22"/>
          <w:lang w:val="es-ES"/>
        </w:rPr>
        <w:t xml:space="preserve"> </w:t>
      </w:r>
      <w:proofErr w:type="spellStart"/>
      <w:r>
        <w:rPr>
          <w:rFonts w:eastAsia="Palatino Linotype"/>
          <w:sz w:val="22"/>
          <w:szCs w:val="22"/>
          <w:lang w:val="es-ES"/>
        </w:rPr>
        <w:t>established</w:t>
      </w:r>
      <w:proofErr w:type="spellEnd"/>
      <w:r>
        <w:rPr>
          <w:rFonts w:eastAsia="Palatino Linotype"/>
          <w:sz w:val="22"/>
          <w:szCs w:val="22"/>
          <w:lang w:val="es-ES"/>
        </w:rPr>
        <w:t xml:space="preserve"> in </w:t>
      </w:r>
      <w:proofErr w:type="spellStart"/>
      <w:r>
        <w:rPr>
          <w:rFonts w:eastAsia="Palatino Linotype"/>
          <w:sz w:val="22"/>
          <w:szCs w:val="22"/>
          <w:lang w:val="es-ES"/>
        </w:rPr>
        <w:t>the</w:t>
      </w:r>
      <w:proofErr w:type="spellEnd"/>
      <w:r>
        <w:rPr>
          <w:rFonts w:eastAsia="Palatino Linotype"/>
          <w:sz w:val="22"/>
          <w:szCs w:val="22"/>
          <w:lang w:val="es-ES"/>
        </w:rPr>
        <w:t xml:space="preserve"> </w:t>
      </w:r>
      <w:proofErr w:type="spellStart"/>
      <w:r>
        <w:rPr>
          <w:rFonts w:eastAsia="Palatino Linotype"/>
          <w:sz w:val="22"/>
          <w:szCs w:val="22"/>
          <w:lang w:val="es-ES"/>
        </w:rPr>
        <w:t>certificate</w:t>
      </w:r>
      <w:proofErr w:type="spellEnd"/>
      <w:r>
        <w:rPr>
          <w:rFonts w:eastAsia="Palatino Linotype"/>
          <w:sz w:val="22"/>
          <w:szCs w:val="22"/>
          <w:lang w:val="es-ES"/>
        </w:rPr>
        <w:t xml:space="preserve"> </w:t>
      </w:r>
      <w:proofErr w:type="spellStart"/>
      <w:r>
        <w:rPr>
          <w:rFonts w:eastAsia="Palatino Linotype"/>
          <w:sz w:val="22"/>
          <w:szCs w:val="22"/>
          <w:lang w:val="es-ES"/>
        </w:rPr>
        <w:t>of</w:t>
      </w:r>
      <w:proofErr w:type="spellEnd"/>
      <w:r>
        <w:rPr>
          <w:rFonts w:eastAsia="Palatino Linotype"/>
          <w:sz w:val="22"/>
          <w:szCs w:val="22"/>
          <w:lang w:val="es-ES"/>
        </w:rPr>
        <w:t xml:space="preserve"> </w:t>
      </w:r>
      <w:proofErr w:type="spellStart"/>
      <w:r>
        <w:rPr>
          <w:rFonts w:eastAsia="Palatino Linotype"/>
          <w:sz w:val="22"/>
          <w:szCs w:val="22"/>
          <w:lang w:val="es-ES"/>
        </w:rPr>
        <w:t>participation</w:t>
      </w:r>
      <w:proofErr w:type="spellEnd"/>
      <w:r>
        <w:rPr>
          <w:rFonts w:eastAsia="Palatino Linotype"/>
          <w:sz w:val="22"/>
          <w:szCs w:val="22"/>
          <w:lang w:val="es-ES"/>
        </w:rPr>
        <w:t xml:space="preserve"> in </w:t>
      </w:r>
      <w:proofErr w:type="spellStart"/>
      <w:r>
        <w:rPr>
          <w:rFonts w:eastAsia="Palatino Linotype"/>
          <w:sz w:val="22"/>
          <w:szCs w:val="22"/>
          <w:lang w:val="es-ES"/>
        </w:rPr>
        <w:t>the</w:t>
      </w:r>
      <w:proofErr w:type="spellEnd"/>
      <w:r>
        <w:rPr>
          <w:rFonts w:eastAsia="Palatino Linotype"/>
          <w:sz w:val="22"/>
          <w:szCs w:val="22"/>
          <w:lang w:val="es-ES"/>
        </w:rPr>
        <w:t xml:space="preserve"> </w:t>
      </w:r>
      <w:proofErr w:type="spellStart"/>
      <w:r>
        <w:rPr>
          <w:rFonts w:eastAsia="Palatino Linotype"/>
          <w:sz w:val="22"/>
          <w:szCs w:val="22"/>
          <w:lang w:val="es-ES"/>
        </w:rPr>
        <w:t>public</w:t>
      </w:r>
      <w:proofErr w:type="spellEnd"/>
      <w:r>
        <w:rPr>
          <w:rFonts w:eastAsia="Palatino Linotype"/>
          <w:sz w:val="22"/>
          <w:szCs w:val="22"/>
          <w:lang w:val="es-ES"/>
        </w:rPr>
        <w:t xml:space="preserve"> </w:t>
      </w:r>
      <w:proofErr w:type="spellStart"/>
      <w:r>
        <w:rPr>
          <w:rFonts w:eastAsia="Palatino Linotype"/>
          <w:sz w:val="22"/>
          <w:szCs w:val="22"/>
          <w:lang w:val="es-ES"/>
        </w:rPr>
        <w:t>procurement</w:t>
      </w:r>
      <w:proofErr w:type="spellEnd"/>
      <w:r>
        <w:rPr>
          <w:rFonts w:eastAsia="Palatino Linotype"/>
          <w:sz w:val="22"/>
          <w:szCs w:val="22"/>
          <w:lang w:val="es-ES"/>
        </w:rPr>
        <w:t xml:space="preserve"> </w:t>
      </w:r>
      <w:proofErr w:type="spellStart"/>
      <w:r>
        <w:rPr>
          <w:rFonts w:eastAsia="Palatino Linotype"/>
          <w:sz w:val="22"/>
          <w:szCs w:val="22"/>
          <w:lang w:val="es-ES"/>
        </w:rPr>
        <w:t>program</w:t>
      </w:r>
      <w:proofErr w:type="spellEnd"/>
      <w:r>
        <w:rPr>
          <w:rFonts w:eastAsia="Palatino Linotype"/>
          <w:sz w:val="22"/>
          <w:szCs w:val="22"/>
          <w:lang w:val="es-ES"/>
        </w:rPr>
        <w:t xml:space="preserve"> </w:t>
      </w:r>
      <w:proofErr w:type="spellStart"/>
      <w:r>
        <w:rPr>
          <w:rFonts w:eastAsia="Palatino Linotype"/>
          <w:sz w:val="22"/>
          <w:szCs w:val="22"/>
          <w:lang w:val="es-ES"/>
        </w:rPr>
        <w:t>for</w:t>
      </w:r>
      <w:proofErr w:type="spellEnd"/>
      <w:r>
        <w:rPr>
          <w:rFonts w:eastAsia="Palatino Linotype"/>
          <w:sz w:val="22"/>
          <w:szCs w:val="22"/>
          <w:lang w:val="es-ES"/>
        </w:rPr>
        <w:t xml:space="preserve"> </w:t>
      </w:r>
      <w:proofErr w:type="spellStart"/>
      <w:r>
        <w:rPr>
          <w:rFonts w:eastAsia="Palatino Linotype"/>
          <w:sz w:val="22"/>
          <w:szCs w:val="22"/>
          <w:lang w:val="es-ES"/>
        </w:rPr>
        <w:t>the</w:t>
      </w:r>
      <w:proofErr w:type="spellEnd"/>
      <w:r>
        <w:rPr>
          <w:rFonts w:eastAsia="Palatino Linotype"/>
          <w:sz w:val="22"/>
          <w:szCs w:val="22"/>
          <w:lang w:val="es-ES"/>
        </w:rPr>
        <w:t xml:space="preserve"> </w:t>
      </w:r>
      <w:proofErr w:type="spellStart"/>
      <w:r>
        <w:rPr>
          <w:rFonts w:eastAsia="Palatino Linotype"/>
          <w:sz w:val="22"/>
          <w:szCs w:val="22"/>
          <w:lang w:val="es-ES"/>
        </w:rPr>
        <w:t>development</w:t>
      </w:r>
      <w:proofErr w:type="spellEnd"/>
      <w:r>
        <w:rPr>
          <w:rFonts w:eastAsia="Palatino Linotype"/>
          <w:sz w:val="22"/>
          <w:szCs w:val="22"/>
          <w:lang w:val="es-ES"/>
        </w:rPr>
        <w:t xml:space="preserve"> </w:t>
      </w:r>
      <w:proofErr w:type="spellStart"/>
      <w:r>
        <w:rPr>
          <w:rFonts w:eastAsia="Palatino Linotype"/>
          <w:sz w:val="22"/>
          <w:szCs w:val="22"/>
          <w:lang w:val="es-ES"/>
        </w:rPr>
        <w:t>of</w:t>
      </w:r>
      <w:proofErr w:type="spellEnd"/>
      <w:r>
        <w:rPr>
          <w:rFonts w:eastAsia="Palatino Linotype"/>
          <w:sz w:val="22"/>
          <w:szCs w:val="22"/>
          <w:lang w:val="es-ES"/>
        </w:rPr>
        <w:t xml:space="preserve"> </w:t>
      </w:r>
      <w:proofErr w:type="spellStart"/>
      <w:r>
        <w:rPr>
          <w:rFonts w:eastAsia="Palatino Linotype"/>
          <w:sz w:val="22"/>
          <w:szCs w:val="22"/>
          <w:lang w:val="es-ES"/>
        </w:rPr>
        <w:t>MSMEs</w:t>
      </w:r>
      <w:proofErr w:type="spellEnd"/>
      <w:r>
        <w:rPr>
          <w:rFonts w:eastAsia="Palatino Linotype"/>
          <w:sz w:val="22"/>
          <w:szCs w:val="22"/>
          <w:lang w:val="es-ES"/>
        </w:rPr>
        <w:t xml:space="preserve"> </w:t>
      </w:r>
      <w:proofErr w:type="spellStart"/>
      <w:r>
        <w:rPr>
          <w:rFonts w:eastAsia="Palatino Linotype"/>
          <w:sz w:val="22"/>
          <w:szCs w:val="22"/>
          <w:lang w:val="es-ES"/>
        </w:rPr>
        <w:t>issued</w:t>
      </w:r>
      <w:proofErr w:type="spellEnd"/>
      <w:r>
        <w:rPr>
          <w:rFonts w:eastAsia="Palatino Linotype"/>
          <w:sz w:val="22"/>
          <w:szCs w:val="22"/>
          <w:lang w:val="es-ES"/>
        </w:rPr>
        <w:t xml:space="preserve"> </w:t>
      </w:r>
      <w:proofErr w:type="spellStart"/>
      <w:r>
        <w:rPr>
          <w:rFonts w:eastAsia="Palatino Linotype"/>
          <w:sz w:val="22"/>
          <w:szCs w:val="22"/>
          <w:lang w:val="es-ES"/>
        </w:rPr>
        <w:t>by</w:t>
      </w:r>
      <w:proofErr w:type="spellEnd"/>
      <w:r>
        <w:rPr>
          <w:rFonts w:eastAsia="Palatino Linotype"/>
          <w:sz w:val="22"/>
          <w:szCs w:val="22"/>
          <w:lang w:val="es-ES"/>
        </w:rPr>
        <w:t xml:space="preserve"> DINAPYME.</w:t>
      </w:r>
    </w:p>
    <w:p w14:paraId="05213189" w14:textId="77777777" w:rsidR="00E255F4" w:rsidRDefault="00E255F4">
      <w:pPr>
        <w:ind w:right="-142"/>
        <w:jc w:val="both"/>
        <w:rPr>
          <w:rFonts w:eastAsia="Palatino Linotype"/>
          <w:sz w:val="22"/>
          <w:szCs w:val="22"/>
          <w:lang w:val="es-ES"/>
        </w:rPr>
      </w:pPr>
    </w:p>
    <w:p w14:paraId="6575FBCE" w14:textId="77777777" w:rsidR="00E255F4" w:rsidRDefault="00000000">
      <w:pPr>
        <w:ind w:right="-142"/>
        <w:jc w:val="both"/>
        <w:rPr>
          <w:sz w:val="22"/>
          <w:szCs w:val="22"/>
          <w:lang w:val="es-ES"/>
        </w:rPr>
      </w:pPr>
      <w:r>
        <w:rPr>
          <w:rFonts w:eastAsia="Palatino Linotype"/>
          <w:spacing w:val="-1"/>
          <w:sz w:val="22"/>
          <w:szCs w:val="22"/>
          <w:lang w:val="es-ES"/>
        </w:rPr>
        <w:t xml:space="preserve">I </w:t>
      </w:r>
      <w:proofErr w:type="spellStart"/>
      <w:r>
        <w:rPr>
          <w:rFonts w:eastAsia="Palatino Linotype"/>
          <w:spacing w:val="-1"/>
          <w:sz w:val="22"/>
          <w:szCs w:val="22"/>
          <w:lang w:val="es-ES"/>
        </w:rPr>
        <w:t>saw</w:t>
      </w:r>
      <w:proofErr w:type="spellEnd"/>
      <w:r>
        <w:rPr>
          <w:rFonts w:eastAsia="Palatino Linotype"/>
          <w:sz w:val="22"/>
          <w:szCs w:val="22"/>
          <w:lang w:val="es-ES"/>
        </w:rPr>
        <w:t xml:space="preserve">) In </w:t>
      </w:r>
      <w:proofErr w:type="spellStart"/>
      <w:r>
        <w:rPr>
          <w:rFonts w:eastAsia="Palatino Linotype"/>
          <w:sz w:val="22"/>
          <w:szCs w:val="22"/>
          <w:lang w:val="es-ES"/>
        </w:rPr>
        <w:t>the</w:t>
      </w:r>
      <w:proofErr w:type="spellEnd"/>
      <w:r>
        <w:rPr>
          <w:rFonts w:eastAsia="Palatino Linotype"/>
          <w:sz w:val="22"/>
          <w:szCs w:val="22"/>
          <w:lang w:val="es-ES"/>
        </w:rPr>
        <w:t xml:space="preserve"> case </w:t>
      </w:r>
      <w:proofErr w:type="spellStart"/>
      <w:r>
        <w:rPr>
          <w:rFonts w:eastAsia="Palatino Linotype"/>
          <w:sz w:val="22"/>
          <w:szCs w:val="22"/>
          <w:lang w:val="es-ES"/>
        </w:rPr>
        <w:t>of</w:t>
      </w:r>
      <w:proofErr w:type="spellEnd"/>
      <w:r>
        <w:rPr>
          <w:rFonts w:eastAsia="Palatino Linotype"/>
          <w:sz w:val="22"/>
          <w:szCs w:val="22"/>
          <w:lang w:val="es-ES"/>
        </w:rPr>
        <w:t xml:space="preserve"> </w:t>
      </w:r>
      <w:proofErr w:type="spellStart"/>
      <w:r>
        <w:rPr>
          <w:rFonts w:eastAsia="Palatino Linotype"/>
          <w:sz w:val="22"/>
          <w:szCs w:val="22"/>
          <w:lang w:val="es-ES"/>
        </w:rPr>
        <w:t>goods</w:t>
      </w:r>
      <w:proofErr w:type="spellEnd"/>
      <w:r>
        <w:rPr>
          <w:rFonts w:eastAsia="Palatino Linotype"/>
          <w:sz w:val="22"/>
          <w:szCs w:val="22"/>
          <w:lang w:val="es-ES"/>
        </w:rPr>
        <w:t xml:space="preserve">, </w:t>
      </w:r>
      <w:proofErr w:type="spellStart"/>
      <w:r>
        <w:rPr>
          <w:rFonts w:eastAsia="Palatino Linotype"/>
          <w:sz w:val="22"/>
          <w:szCs w:val="22"/>
          <w:lang w:val="es-ES"/>
        </w:rPr>
        <w:t>the</w:t>
      </w:r>
      <w:proofErr w:type="spellEnd"/>
      <w:r>
        <w:rPr>
          <w:rFonts w:eastAsia="Palatino Linotype"/>
          <w:sz w:val="22"/>
          <w:szCs w:val="22"/>
          <w:lang w:val="es-ES"/>
        </w:rPr>
        <w:t xml:space="preserve"> </w:t>
      </w:r>
      <w:proofErr w:type="spellStart"/>
      <w:r>
        <w:rPr>
          <w:rFonts w:eastAsia="Palatino Linotype"/>
          <w:sz w:val="22"/>
          <w:szCs w:val="22"/>
          <w:lang w:val="es-ES"/>
        </w:rPr>
        <w:t>price</w:t>
      </w:r>
      <w:proofErr w:type="spellEnd"/>
      <w:r>
        <w:rPr>
          <w:rFonts w:eastAsia="Palatino Linotype"/>
          <w:sz w:val="22"/>
          <w:szCs w:val="22"/>
          <w:lang w:val="es-ES"/>
        </w:rPr>
        <w:t xml:space="preserve"> </w:t>
      </w:r>
      <w:proofErr w:type="spellStart"/>
      <w:r>
        <w:rPr>
          <w:rFonts w:eastAsia="Palatino Linotype"/>
          <w:sz w:val="22"/>
          <w:szCs w:val="22"/>
          <w:lang w:val="es-ES"/>
        </w:rPr>
        <w:t>comparison</w:t>
      </w:r>
      <w:proofErr w:type="spellEnd"/>
      <w:r>
        <w:rPr>
          <w:rFonts w:eastAsia="Palatino Linotype"/>
          <w:sz w:val="22"/>
          <w:szCs w:val="22"/>
          <w:lang w:val="es-ES"/>
        </w:rPr>
        <w:t xml:space="preserve"> </w:t>
      </w:r>
      <w:proofErr w:type="spellStart"/>
      <w:r>
        <w:rPr>
          <w:rFonts w:eastAsia="Palatino Linotype"/>
          <w:sz w:val="22"/>
          <w:szCs w:val="22"/>
          <w:lang w:val="es-ES"/>
        </w:rPr>
        <w:t>between</w:t>
      </w:r>
      <w:proofErr w:type="spellEnd"/>
      <w:r>
        <w:rPr>
          <w:rFonts w:eastAsia="Palatino Linotype"/>
          <w:sz w:val="22"/>
          <w:szCs w:val="22"/>
          <w:lang w:val="es-ES"/>
        </w:rPr>
        <w:t xml:space="preserve"> </w:t>
      </w:r>
      <w:proofErr w:type="spellStart"/>
      <w:r>
        <w:rPr>
          <w:rFonts w:eastAsia="Palatino Linotype"/>
          <w:sz w:val="22"/>
          <w:szCs w:val="22"/>
          <w:lang w:val="es-ES"/>
        </w:rPr>
        <w:t>products</w:t>
      </w:r>
      <w:proofErr w:type="spellEnd"/>
      <w:r>
        <w:rPr>
          <w:rFonts w:eastAsia="Palatino Linotype"/>
          <w:sz w:val="22"/>
          <w:szCs w:val="22"/>
          <w:lang w:val="es-ES"/>
        </w:rPr>
        <w:t xml:space="preserve"> </w:t>
      </w:r>
      <w:proofErr w:type="spellStart"/>
      <w:r>
        <w:rPr>
          <w:rFonts w:eastAsia="Palatino Linotype"/>
          <w:sz w:val="22"/>
          <w:szCs w:val="22"/>
          <w:lang w:val="es-ES"/>
        </w:rPr>
        <w:t>offered</w:t>
      </w:r>
      <w:proofErr w:type="spellEnd"/>
      <w:r>
        <w:rPr>
          <w:rFonts w:eastAsia="Palatino Linotype"/>
          <w:sz w:val="22"/>
          <w:szCs w:val="22"/>
          <w:lang w:val="es-ES"/>
        </w:rPr>
        <w:t xml:space="preserve"> </w:t>
      </w:r>
      <w:proofErr w:type="spellStart"/>
      <w:r>
        <w:rPr>
          <w:rFonts w:eastAsia="Palatino Linotype"/>
          <w:sz w:val="22"/>
          <w:szCs w:val="22"/>
          <w:lang w:val="es-ES"/>
        </w:rPr>
        <w:t>by</w:t>
      </w:r>
      <w:proofErr w:type="spellEnd"/>
      <w:r>
        <w:rPr>
          <w:rFonts w:eastAsia="Palatino Linotype"/>
          <w:sz w:val="22"/>
          <w:szCs w:val="22"/>
          <w:lang w:val="es-ES"/>
        </w:rPr>
        <w:t xml:space="preserve"> </w:t>
      </w:r>
      <w:proofErr w:type="spellStart"/>
      <w:r>
        <w:rPr>
          <w:rFonts w:eastAsia="Palatino Linotype"/>
          <w:sz w:val="22"/>
          <w:szCs w:val="22"/>
          <w:lang w:val="es-ES"/>
        </w:rPr>
        <w:t>companies</w:t>
      </w:r>
      <w:proofErr w:type="spellEnd"/>
      <w:r>
        <w:rPr>
          <w:rFonts w:eastAsia="Palatino Linotype"/>
          <w:sz w:val="22"/>
          <w:szCs w:val="22"/>
          <w:lang w:val="es-ES"/>
        </w:rPr>
        <w:t xml:space="preserve"> </w:t>
      </w:r>
      <w:proofErr w:type="spellStart"/>
      <w:r>
        <w:rPr>
          <w:rFonts w:eastAsia="Palatino Linotype"/>
          <w:sz w:val="22"/>
          <w:szCs w:val="22"/>
          <w:lang w:val="es-ES"/>
        </w:rPr>
        <w:t>that</w:t>
      </w:r>
      <w:proofErr w:type="spellEnd"/>
      <w:r>
        <w:rPr>
          <w:rFonts w:eastAsia="Palatino Linotype"/>
          <w:sz w:val="22"/>
          <w:szCs w:val="22"/>
          <w:lang w:val="es-ES"/>
        </w:rPr>
        <w:t xml:space="preserve"> </w:t>
      </w:r>
      <w:proofErr w:type="spellStart"/>
      <w:r>
        <w:rPr>
          <w:rFonts w:eastAsia="Palatino Linotype"/>
          <w:sz w:val="22"/>
          <w:szCs w:val="22"/>
          <w:lang w:val="es-ES"/>
        </w:rPr>
        <w:t>qualify</w:t>
      </w:r>
      <w:proofErr w:type="spellEnd"/>
      <w:r>
        <w:rPr>
          <w:rFonts w:eastAsia="Palatino Linotype"/>
          <w:sz w:val="22"/>
          <w:szCs w:val="22"/>
          <w:lang w:val="es-ES"/>
        </w:rPr>
        <w:t xml:space="preserve"> as </w:t>
      </w:r>
      <w:proofErr w:type="spellStart"/>
      <w:r>
        <w:rPr>
          <w:rFonts w:eastAsia="Palatino Linotype"/>
          <w:sz w:val="22"/>
          <w:szCs w:val="22"/>
          <w:lang w:val="es-ES"/>
        </w:rPr>
        <w:t>MSMEs</w:t>
      </w:r>
      <w:proofErr w:type="spellEnd"/>
      <w:r>
        <w:rPr>
          <w:rFonts w:eastAsia="Palatino Linotype"/>
          <w:sz w:val="22"/>
          <w:szCs w:val="22"/>
          <w:lang w:val="es-ES"/>
        </w:rPr>
        <w:t xml:space="preserve"> and </w:t>
      </w:r>
      <w:proofErr w:type="spellStart"/>
      <w:r>
        <w:rPr>
          <w:rFonts w:eastAsia="Palatino Linotype"/>
          <w:sz w:val="22"/>
          <w:szCs w:val="22"/>
          <w:lang w:val="es-ES"/>
        </w:rPr>
        <w:t>those</w:t>
      </w:r>
      <w:proofErr w:type="spellEnd"/>
      <w:r>
        <w:rPr>
          <w:rFonts w:eastAsia="Palatino Linotype"/>
          <w:sz w:val="22"/>
          <w:szCs w:val="22"/>
          <w:lang w:val="es-ES"/>
        </w:rPr>
        <w:t xml:space="preserve"> </w:t>
      </w:r>
      <w:proofErr w:type="spellStart"/>
      <w:r>
        <w:rPr>
          <w:rFonts w:eastAsia="Palatino Linotype"/>
          <w:sz w:val="22"/>
          <w:szCs w:val="22"/>
          <w:lang w:val="es-ES"/>
        </w:rPr>
        <w:t>that</w:t>
      </w:r>
      <w:proofErr w:type="spellEnd"/>
      <w:r>
        <w:rPr>
          <w:rFonts w:eastAsia="Palatino Linotype"/>
          <w:sz w:val="22"/>
          <w:szCs w:val="22"/>
          <w:lang w:val="es-ES"/>
        </w:rPr>
        <w:t xml:space="preserve"> do </w:t>
      </w:r>
      <w:proofErr w:type="spellStart"/>
      <w:r>
        <w:rPr>
          <w:rFonts w:eastAsia="Palatino Linotype"/>
          <w:sz w:val="22"/>
          <w:szCs w:val="22"/>
          <w:lang w:val="es-ES"/>
        </w:rPr>
        <w:t>not</w:t>
      </w:r>
      <w:proofErr w:type="spellEnd"/>
      <w:r>
        <w:rPr>
          <w:rFonts w:eastAsia="Palatino Linotype"/>
          <w:sz w:val="22"/>
          <w:szCs w:val="22"/>
          <w:lang w:val="es-ES"/>
        </w:rPr>
        <w:t xml:space="preserve"> </w:t>
      </w:r>
      <w:proofErr w:type="spellStart"/>
      <w:r>
        <w:rPr>
          <w:rFonts w:eastAsia="Palatino Linotype"/>
          <w:sz w:val="22"/>
          <w:szCs w:val="22"/>
          <w:lang w:val="es-ES"/>
        </w:rPr>
        <w:t>qualify</w:t>
      </w:r>
      <w:proofErr w:type="spellEnd"/>
      <w:r>
        <w:rPr>
          <w:rFonts w:eastAsia="Palatino Linotype"/>
          <w:sz w:val="22"/>
          <w:szCs w:val="22"/>
          <w:lang w:val="es-ES"/>
        </w:rPr>
        <w:t xml:space="preserve">, </w:t>
      </w:r>
      <w:proofErr w:type="spellStart"/>
      <w:r>
        <w:rPr>
          <w:rFonts w:eastAsia="Palatino Linotype"/>
          <w:sz w:val="22"/>
          <w:szCs w:val="22"/>
          <w:lang w:val="es-ES"/>
        </w:rPr>
        <w:t>whether</w:t>
      </w:r>
      <w:proofErr w:type="spellEnd"/>
      <w:r>
        <w:rPr>
          <w:rFonts w:eastAsia="Palatino Linotype"/>
          <w:sz w:val="22"/>
          <w:szCs w:val="22"/>
          <w:lang w:val="es-ES"/>
        </w:rPr>
        <w:t xml:space="preserve"> </w:t>
      </w:r>
      <w:proofErr w:type="spellStart"/>
      <w:r>
        <w:rPr>
          <w:rFonts w:eastAsia="Palatino Linotype"/>
          <w:sz w:val="22"/>
          <w:szCs w:val="22"/>
          <w:lang w:val="es-ES"/>
        </w:rPr>
        <w:t>these</w:t>
      </w:r>
      <w:proofErr w:type="spellEnd"/>
      <w:r>
        <w:rPr>
          <w:rFonts w:eastAsia="Palatino Linotype"/>
          <w:sz w:val="22"/>
          <w:szCs w:val="22"/>
          <w:lang w:val="es-ES"/>
        </w:rPr>
        <w:t xml:space="preserve"> are </w:t>
      </w:r>
      <w:proofErr w:type="spellStart"/>
      <w:r>
        <w:rPr>
          <w:rFonts w:eastAsia="Palatino Linotype"/>
          <w:sz w:val="22"/>
          <w:szCs w:val="22"/>
          <w:lang w:val="es-ES"/>
        </w:rPr>
        <w:t>quoted</w:t>
      </w:r>
      <w:proofErr w:type="spellEnd"/>
      <w:r>
        <w:rPr>
          <w:rFonts w:eastAsia="Palatino Linotype"/>
          <w:sz w:val="22"/>
          <w:szCs w:val="22"/>
          <w:lang w:val="es-ES"/>
        </w:rPr>
        <w:t xml:space="preserve"> </w:t>
      </w:r>
      <w:proofErr w:type="spellStart"/>
      <w:r>
        <w:rPr>
          <w:rFonts w:eastAsia="Palatino Linotype"/>
          <w:sz w:val="22"/>
          <w:szCs w:val="22"/>
          <w:lang w:val="es-ES"/>
        </w:rPr>
        <w:t>locally</w:t>
      </w:r>
      <w:proofErr w:type="spellEnd"/>
      <w:r>
        <w:rPr>
          <w:rFonts w:eastAsia="Palatino Linotype"/>
          <w:sz w:val="22"/>
          <w:szCs w:val="22"/>
          <w:lang w:val="es-ES"/>
        </w:rPr>
        <w:t xml:space="preserve"> </w:t>
      </w:r>
      <w:proofErr w:type="spellStart"/>
      <w:r>
        <w:rPr>
          <w:rFonts w:eastAsia="Palatino Linotype"/>
          <w:sz w:val="22"/>
          <w:szCs w:val="22"/>
          <w:lang w:val="es-ES"/>
        </w:rPr>
        <w:t>or</w:t>
      </w:r>
      <w:proofErr w:type="spellEnd"/>
      <w:r>
        <w:rPr>
          <w:rFonts w:eastAsia="Palatino Linotype"/>
          <w:sz w:val="22"/>
          <w:szCs w:val="22"/>
          <w:lang w:val="es-ES"/>
        </w:rPr>
        <w:t xml:space="preserve"> </w:t>
      </w:r>
      <w:proofErr w:type="spellStart"/>
      <w:r>
        <w:rPr>
          <w:rFonts w:eastAsia="Palatino Linotype"/>
          <w:sz w:val="22"/>
          <w:szCs w:val="22"/>
          <w:lang w:val="es-ES"/>
        </w:rPr>
        <w:t>to</w:t>
      </w:r>
      <w:proofErr w:type="spellEnd"/>
      <w:r>
        <w:rPr>
          <w:rFonts w:eastAsia="Palatino Linotype"/>
          <w:sz w:val="22"/>
          <w:szCs w:val="22"/>
          <w:lang w:val="es-ES"/>
        </w:rPr>
        <w:t xml:space="preserve"> be </w:t>
      </w:r>
      <w:proofErr w:type="spellStart"/>
      <w:r>
        <w:rPr>
          <w:rFonts w:eastAsia="Palatino Linotype"/>
          <w:sz w:val="22"/>
          <w:szCs w:val="22"/>
          <w:lang w:val="es-ES"/>
        </w:rPr>
        <w:t>imported</w:t>
      </w:r>
      <w:proofErr w:type="spellEnd"/>
      <w:r>
        <w:rPr>
          <w:rFonts w:eastAsia="Palatino Linotype"/>
          <w:sz w:val="22"/>
          <w:szCs w:val="22"/>
          <w:lang w:val="es-ES"/>
        </w:rPr>
        <w:t xml:space="preserve">, </w:t>
      </w:r>
      <w:proofErr w:type="spellStart"/>
      <w:r>
        <w:rPr>
          <w:rFonts w:eastAsia="Palatino Linotype"/>
          <w:sz w:val="22"/>
          <w:szCs w:val="22"/>
          <w:lang w:val="es-ES"/>
        </w:rPr>
        <w:t>will</w:t>
      </w:r>
      <w:proofErr w:type="spellEnd"/>
      <w:r>
        <w:rPr>
          <w:rFonts w:eastAsia="Palatino Linotype"/>
          <w:sz w:val="22"/>
          <w:szCs w:val="22"/>
          <w:lang w:val="es-ES"/>
        </w:rPr>
        <w:t xml:space="preserve"> be </w:t>
      </w:r>
      <w:proofErr w:type="spellStart"/>
      <w:r>
        <w:rPr>
          <w:rFonts w:eastAsia="Palatino Linotype"/>
          <w:sz w:val="22"/>
          <w:szCs w:val="22"/>
          <w:lang w:val="es-ES"/>
        </w:rPr>
        <w:t>carried</w:t>
      </w:r>
      <w:proofErr w:type="spellEnd"/>
      <w:r>
        <w:rPr>
          <w:rFonts w:eastAsia="Palatino Linotype"/>
          <w:sz w:val="22"/>
          <w:szCs w:val="22"/>
          <w:lang w:val="es-ES"/>
        </w:rPr>
        <w:t xml:space="preserve"> </w:t>
      </w:r>
      <w:proofErr w:type="spellStart"/>
      <w:r>
        <w:rPr>
          <w:rFonts w:eastAsia="Palatino Linotype"/>
          <w:sz w:val="22"/>
          <w:szCs w:val="22"/>
          <w:lang w:val="es-ES"/>
        </w:rPr>
        <w:t>out</w:t>
      </w:r>
      <w:proofErr w:type="spellEnd"/>
      <w:r>
        <w:rPr>
          <w:rFonts w:eastAsia="Palatino Linotype"/>
          <w:sz w:val="22"/>
          <w:szCs w:val="22"/>
          <w:lang w:val="es-ES"/>
        </w:rPr>
        <w:t xml:space="preserve"> </w:t>
      </w:r>
      <w:proofErr w:type="spellStart"/>
      <w:r>
        <w:rPr>
          <w:rFonts w:eastAsia="Palatino Linotype"/>
          <w:sz w:val="22"/>
          <w:szCs w:val="22"/>
          <w:lang w:val="es-ES"/>
        </w:rPr>
        <w:t>considering</w:t>
      </w:r>
      <w:proofErr w:type="spellEnd"/>
      <w:r>
        <w:rPr>
          <w:rFonts w:eastAsia="Palatino Linotype"/>
          <w:sz w:val="22"/>
          <w:szCs w:val="22"/>
          <w:lang w:val="es-ES"/>
        </w:rPr>
        <w:t xml:space="preserve">, </w:t>
      </w:r>
      <w:proofErr w:type="spellStart"/>
      <w:r>
        <w:rPr>
          <w:rFonts w:eastAsia="Palatino Linotype"/>
          <w:sz w:val="22"/>
          <w:szCs w:val="22"/>
          <w:lang w:val="es-ES"/>
        </w:rPr>
        <w:t>either</w:t>
      </w:r>
      <w:proofErr w:type="spellEnd"/>
      <w:r>
        <w:rPr>
          <w:rFonts w:eastAsia="Palatino Linotype"/>
          <w:sz w:val="22"/>
          <w:szCs w:val="22"/>
          <w:lang w:val="es-ES"/>
        </w:rPr>
        <w:t xml:space="preserve"> in a real </w:t>
      </w:r>
      <w:proofErr w:type="spellStart"/>
      <w:r>
        <w:rPr>
          <w:rFonts w:eastAsia="Palatino Linotype"/>
          <w:sz w:val="22"/>
          <w:szCs w:val="22"/>
          <w:lang w:val="es-ES"/>
        </w:rPr>
        <w:t>or</w:t>
      </w:r>
      <w:proofErr w:type="spellEnd"/>
      <w:r>
        <w:rPr>
          <w:rFonts w:eastAsia="Palatino Linotype"/>
          <w:sz w:val="22"/>
          <w:szCs w:val="22"/>
          <w:lang w:val="es-ES"/>
        </w:rPr>
        <w:t xml:space="preserve"> </w:t>
      </w:r>
      <w:proofErr w:type="spellStart"/>
      <w:r>
        <w:rPr>
          <w:rFonts w:eastAsia="Palatino Linotype"/>
          <w:sz w:val="22"/>
          <w:szCs w:val="22"/>
          <w:lang w:val="es-ES"/>
        </w:rPr>
        <w:t>fictitious</w:t>
      </w:r>
      <w:proofErr w:type="spellEnd"/>
      <w:r>
        <w:rPr>
          <w:rFonts w:eastAsia="Palatino Linotype"/>
          <w:sz w:val="22"/>
          <w:szCs w:val="22"/>
          <w:lang w:val="es-ES"/>
        </w:rPr>
        <w:t xml:space="preserve"> </w:t>
      </w:r>
      <w:proofErr w:type="spellStart"/>
      <w:r>
        <w:rPr>
          <w:rFonts w:eastAsia="Palatino Linotype"/>
          <w:sz w:val="22"/>
          <w:szCs w:val="22"/>
          <w:lang w:val="es-ES"/>
        </w:rPr>
        <w:t>way</w:t>
      </w:r>
      <w:proofErr w:type="spellEnd"/>
      <w:r>
        <w:rPr>
          <w:rFonts w:eastAsia="Palatino Linotype"/>
          <w:sz w:val="22"/>
          <w:szCs w:val="22"/>
          <w:lang w:val="es-ES"/>
        </w:rPr>
        <w:t xml:space="preserve">, </w:t>
      </w:r>
      <w:proofErr w:type="spellStart"/>
      <w:r>
        <w:rPr>
          <w:rFonts w:eastAsia="Palatino Linotype"/>
          <w:sz w:val="22"/>
          <w:szCs w:val="22"/>
          <w:lang w:val="es-ES"/>
        </w:rPr>
        <w:t>all</w:t>
      </w:r>
      <w:proofErr w:type="spellEnd"/>
      <w:r>
        <w:rPr>
          <w:rFonts w:eastAsia="Palatino Linotype"/>
          <w:sz w:val="22"/>
          <w:szCs w:val="22"/>
          <w:lang w:val="es-ES"/>
        </w:rPr>
        <w:t xml:space="preserve"> </w:t>
      </w:r>
      <w:proofErr w:type="spellStart"/>
      <w:r>
        <w:rPr>
          <w:rFonts w:eastAsia="Palatino Linotype"/>
          <w:sz w:val="22"/>
          <w:szCs w:val="22"/>
          <w:lang w:val="es-ES"/>
        </w:rPr>
        <w:t>the</w:t>
      </w:r>
      <w:proofErr w:type="spellEnd"/>
      <w:r>
        <w:rPr>
          <w:rFonts w:eastAsia="Palatino Linotype"/>
          <w:sz w:val="22"/>
          <w:szCs w:val="22"/>
          <w:lang w:val="es-ES"/>
        </w:rPr>
        <w:t xml:space="preserve"> expenses </w:t>
      </w:r>
      <w:proofErr w:type="spellStart"/>
      <w:r>
        <w:rPr>
          <w:rFonts w:eastAsia="Palatino Linotype"/>
          <w:sz w:val="22"/>
          <w:szCs w:val="22"/>
          <w:lang w:val="es-ES"/>
        </w:rPr>
        <w:t>required</w:t>
      </w:r>
      <w:proofErr w:type="spellEnd"/>
      <w:r>
        <w:rPr>
          <w:rFonts w:eastAsia="Palatino Linotype"/>
          <w:sz w:val="22"/>
          <w:szCs w:val="22"/>
          <w:lang w:val="es-ES"/>
        </w:rPr>
        <w:t xml:space="preserve"> </w:t>
      </w:r>
      <w:proofErr w:type="spellStart"/>
      <w:r>
        <w:rPr>
          <w:rFonts w:eastAsia="Palatino Linotype"/>
          <w:sz w:val="22"/>
          <w:szCs w:val="22"/>
          <w:lang w:val="es-ES"/>
        </w:rPr>
        <w:t>to</w:t>
      </w:r>
      <w:proofErr w:type="spellEnd"/>
      <w:r>
        <w:rPr>
          <w:rFonts w:eastAsia="Palatino Linotype"/>
          <w:sz w:val="22"/>
          <w:szCs w:val="22"/>
          <w:lang w:val="es-ES"/>
        </w:rPr>
        <w:t xml:space="preserve"> place </w:t>
      </w:r>
      <w:proofErr w:type="spellStart"/>
      <w:r>
        <w:rPr>
          <w:rFonts w:eastAsia="Palatino Linotype"/>
          <w:sz w:val="22"/>
          <w:szCs w:val="22"/>
          <w:lang w:val="es-ES"/>
        </w:rPr>
        <w:t>the</w:t>
      </w:r>
      <w:proofErr w:type="spellEnd"/>
      <w:r>
        <w:rPr>
          <w:rFonts w:eastAsia="Palatino Linotype"/>
          <w:sz w:val="22"/>
          <w:szCs w:val="22"/>
          <w:lang w:val="es-ES"/>
        </w:rPr>
        <w:t xml:space="preserve"> </w:t>
      </w:r>
      <w:proofErr w:type="spellStart"/>
      <w:r>
        <w:rPr>
          <w:rFonts w:eastAsia="Palatino Linotype"/>
          <w:sz w:val="22"/>
          <w:szCs w:val="22"/>
          <w:lang w:val="es-ES"/>
        </w:rPr>
        <w:t>products</w:t>
      </w:r>
      <w:proofErr w:type="spellEnd"/>
      <w:r>
        <w:rPr>
          <w:rFonts w:eastAsia="Palatino Linotype"/>
          <w:sz w:val="22"/>
          <w:szCs w:val="22"/>
          <w:lang w:val="es-ES"/>
        </w:rPr>
        <w:t xml:space="preserve"> in </w:t>
      </w:r>
      <w:proofErr w:type="spellStart"/>
      <w:r>
        <w:rPr>
          <w:rFonts w:eastAsia="Palatino Linotype"/>
          <w:sz w:val="22"/>
          <w:szCs w:val="22"/>
          <w:lang w:val="es-ES"/>
        </w:rPr>
        <w:t>the</w:t>
      </w:r>
      <w:proofErr w:type="spellEnd"/>
      <w:r>
        <w:rPr>
          <w:rFonts w:eastAsia="Palatino Linotype"/>
          <w:sz w:val="22"/>
          <w:szCs w:val="22"/>
          <w:lang w:val="es-ES"/>
        </w:rPr>
        <w:t xml:space="preserve"> </w:t>
      </w:r>
      <w:proofErr w:type="spellStart"/>
      <w:r>
        <w:rPr>
          <w:rFonts w:eastAsia="Palatino Linotype"/>
          <w:sz w:val="22"/>
          <w:szCs w:val="22"/>
          <w:lang w:val="es-ES"/>
        </w:rPr>
        <w:t>buyer's</w:t>
      </w:r>
      <w:proofErr w:type="spellEnd"/>
      <w:r>
        <w:rPr>
          <w:rFonts w:eastAsia="Palatino Linotype"/>
          <w:sz w:val="22"/>
          <w:szCs w:val="22"/>
          <w:lang w:val="es-ES"/>
        </w:rPr>
        <w:t xml:space="preserve"> </w:t>
      </w:r>
      <w:proofErr w:type="spellStart"/>
      <w:r>
        <w:rPr>
          <w:rFonts w:eastAsia="Palatino Linotype"/>
          <w:sz w:val="22"/>
          <w:szCs w:val="22"/>
          <w:lang w:val="es-ES"/>
        </w:rPr>
        <w:t>warehouses</w:t>
      </w:r>
      <w:proofErr w:type="spellEnd"/>
      <w:r>
        <w:rPr>
          <w:rFonts w:eastAsia="Palatino Linotype"/>
          <w:sz w:val="22"/>
          <w:szCs w:val="22"/>
          <w:lang w:val="es-ES"/>
        </w:rPr>
        <w:t xml:space="preserve"> and </w:t>
      </w:r>
      <w:proofErr w:type="spellStart"/>
      <w:r>
        <w:rPr>
          <w:rFonts w:eastAsia="Palatino Linotype"/>
          <w:sz w:val="22"/>
          <w:szCs w:val="22"/>
          <w:lang w:val="es-ES"/>
        </w:rPr>
        <w:t>under</w:t>
      </w:r>
      <w:proofErr w:type="spellEnd"/>
      <w:r>
        <w:rPr>
          <w:rFonts w:eastAsia="Palatino Linotype"/>
          <w:sz w:val="22"/>
          <w:szCs w:val="22"/>
          <w:lang w:val="es-ES"/>
        </w:rPr>
        <w:t xml:space="preserve"> </w:t>
      </w:r>
      <w:proofErr w:type="spellStart"/>
      <w:r>
        <w:rPr>
          <w:rFonts w:eastAsia="Palatino Linotype"/>
          <w:sz w:val="22"/>
          <w:szCs w:val="22"/>
          <w:lang w:val="es-ES"/>
        </w:rPr>
        <w:t>equal</w:t>
      </w:r>
      <w:proofErr w:type="spellEnd"/>
      <w:r>
        <w:rPr>
          <w:rFonts w:eastAsia="Palatino Linotype"/>
          <w:sz w:val="22"/>
          <w:szCs w:val="22"/>
          <w:lang w:val="es-ES"/>
        </w:rPr>
        <w:t xml:space="preserve"> </w:t>
      </w:r>
      <w:proofErr w:type="spellStart"/>
      <w:r>
        <w:rPr>
          <w:rFonts w:eastAsia="Palatino Linotype"/>
          <w:sz w:val="22"/>
          <w:szCs w:val="22"/>
          <w:lang w:val="es-ES"/>
        </w:rPr>
        <w:t>conditions</w:t>
      </w:r>
      <w:proofErr w:type="spellEnd"/>
      <w:r>
        <w:rPr>
          <w:rFonts w:eastAsia="Palatino Linotype"/>
          <w:sz w:val="22"/>
          <w:szCs w:val="22"/>
          <w:lang w:val="es-ES"/>
        </w:rPr>
        <w:t>.</w:t>
      </w:r>
    </w:p>
    <w:p w14:paraId="7A4A0006" w14:textId="77777777" w:rsidR="00E255F4" w:rsidRDefault="00E255F4">
      <w:pPr>
        <w:ind w:right="-142"/>
        <w:jc w:val="both"/>
        <w:rPr>
          <w:sz w:val="22"/>
          <w:szCs w:val="22"/>
          <w:lang w:val="es-ES"/>
        </w:rPr>
      </w:pPr>
    </w:p>
    <w:p w14:paraId="03EFDF7E" w14:textId="77777777" w:rsidR="00E255F4" w:rsidRDefault="00000000">
      <w:pPr>
        <w:ind w:right="-142"/>
        <w:jc w:val="both"/>
        <w:rPr>
          <w:rFonts w:eastAsia="Palatino Linotype"/>
          <w:spacing w:val="-1"/>
          <w:sz w:val="22"/>
          <w:szCs w:val="22"/>
          <w:lang w:val="es-ES"/>
        </w:rPr>
      </w:pPr>
      <w:r>
        <w:rPr>
          <w:rFonts w:eastAsia="Palatino Linotype"/>
          <w:spacing w:val="-1"/>
          <w:sz w:val="22"/>
          <w:szCs w:val="22"/>
          <w:lang w:val="es-ES"/>
        </w:rPr>
        <w:t xml:space="preserve">The </w:t>
      </w:r>
      <w:proofErr w:type="spellStart"/>
      <w:r>
        <w:rPr>
          <w:rFonts w:eastAsia="Palatino Linotype"/>
          <w:spacing w:val="-1"/>
          <w:sz w:val="22"/>
          <w:szCs w:val="22"/>
          <w:lang w:val="es-ES"/>
        </w:rPr>
        <w:t>buyer's</w:t>
      </w:r>
      <w:proofErr w:type="spellEnd"/>
      <w:r>
        <w:rPr>
          <w:rFonts w:eastAsia="Palatino Linotype"/>
          <w:spacing w:val="-1"/>
          <w:sz w:val="22"/>
          <w:szCs w:val="22"/>
          <w:lang w:val="es-ES"/>
        </w:rPr>
        <w:t xml:space="preserve"> </w:t>
      </w:r>
      <w:proofErr w:type="spellStart"/>
      <w:r>
        <w:rPr>
          <w:rFonts w:eastAsia="Palatino Linotype"/>
          <w:spacing w:val="-1"/>
          <w:sz w:val="22"/>
          <w:szCs w:val="22"/>
          <w:lang w:val="es-ES"/>
        </w:rPr>
        <w:t>warehouses</w:t>
      </w:r>
      <w:proofErr w:type="spellEnd"/>
      <w:r>
        <w:rPr>
          <w:rFonts w:eastAsia="Palatino Linotype"/>
          <w:spacing w:val="-1"/>
          <w:sz w:val="22"/>
          <w:szCs w:val="22"/>
          <w:lang w:val="es-ES"/>
        </w:rPr>
        <w:t xml:space="preserve"> </w:t>
      </w:r>
      <w:proofErr w:type="spellStart"/>
      <w:r>
        <w:rPr>
          <w:rFonts w:eastAsia="Palatino Linotype"/>
          <w:spacing w:val="-1"/>
          <w:sz w:val="22"/>
          <w:szCs w:val="22"/>
          <w:lang w:val="es-ES"/>
        </w:rPr>
        <w:t>will</w:t>
      </w:r>
      <w:proofErr w:type="spellEnd"/>
      <w:r>
        <w:rPr>
          <w:rFonts w:eastAsia="Palatino Linotype"/>
          <w:spacing w:val="-1"/>
          <w:sz w:val="22"/>
          <w:szCs w:val="22"/>
          <w:lang w:val="es-ES"/>
        </w:rPr>
        <w:t xml:space="preserve"> be </w:t>
      </w:r>
      <w:proofErr w:type="spellStart"/>
      <w:r>
        <w:rPr>
          <w:rFonts w:eastAsia="Palatino Linotype"/>
          <w:spacing w:val="-1"/>
          <w:sz w:val="22"/>
          <w:szCs w:val="22"/>
          <w:lang w:val="es-ES"/>
        </w:rPr>
        <w:t>considered</w:t>
      </w:r>
      <w:proofErr w:type="spellEnd"/>
      <w:r>
        <w:rPr>
          <w:rFonts w:eastAsia="Palatino Linotype"/>
          <w:spacing w:val="-1"/>
          <w:sz w:val="22"/>
          <w:szCs w:val="22"/>
          <w:lang w:val="es-ES"/>
        </w:rPr>
        <w:t xml:space="preserve"> </w:t>
      </w:r>
      <w:proofErr w:type="spellStart"/>
      <w:r>
        <w:rPr>
          <w:rFonts w:eastAsia="Palatino Linotype"/>
          <w:spacing w:val="-1"/>
          <w:sz w:val="22"/>
          <w:szCs w:val="22"/>
          <w:lang w:val="es-ES"/>
        </w:rPr>
        <w:t>to</w:t>
      </w:r>
      <w:proofErr w:type="spellEnd"/>
      <w:r>
        <w:rPr>
          <w:rFonts w:eastAsia="Palatino Linotype"/>
          <w:spacing w:val="-1"/>
          <w:sz w:val="22"/>
          <w:szCs w:val="22"/>
          <w:lang w:val="es-ES"/>
        </w:rPr>
        <w:t xml:space="preserve"> be </w:t>
      </w:r>
      <w:proofErr w:type="spellStart"/>
      <w:r>
        <w:rPr>
          <w:rFonts w:eastAsia="Palatino Linotype"/>
          <w:spacing w:val="-1"/>
          <w:sz w:val="22"/>
          <w:szCs w:val="22"/>
          <w:lang w:val="es-ES"/>
        </w:rPr>
        <w:t>all</w:t>
      </w:r>
      <w:proofErr w:type="spellEnd"/>
      <w:r>
        <w:rPr>
          <w:rFonts w:eastAsia="Palatino Linotype"/>
          <w:spacing w:val="-1"/>
          <w:sz w:val="22"/>
          <w:szCs w:val="22"/>
          <w:lang w:val="es-ES"/>
        </w:rPr>
        <w:t xml:space="preserve"> </w:t>
      </w:r>
      <w:proofErr w:type="spellStart"/>
      <w:r>
        <w:rPr>
          <w:rFonts w:eastAsia="Palatino Linotype"/>
          <w:spacing w:val="-1"/>
          <w:sz w:val="22"/>
          <w:szCs w:val="22"/>
          <w:lang w:val="es-ES"/>
        </w:rPr>
        <w:t>the</w:t>
      </w:r>
      <w:proofErr w:type="spellEnd"/>
      <w:r>
        <w:rPr>
          <w:rFonts w:eastAsia="Palatino Linotype"/>
          <w:spacing w:val="-1"/>
          <w:sz w:val="22"/>
          <w:szCs w:val="22"/>
          <w:lang w:val="es-ES"/>
        </w:rPr>
        <w:t xml:space="preserve"> usual premises </w:t>
      </w:r>
      <w:proofErr w:type="spellStart"/>
      <w:r>
        <w:rPr>
          <w:rFonts w:eastAsia="Palatino Linotype"/>
          <w:spacing w:val="-1"/>
          <w:sz w:val="22"/>
          <w:szCs w:val="22"/>
          <w:lang w:val="es-ES"/>
        </w:rPr>
        <w:t>for</w:t>
      </w:r>
      <w:proofErr w:type="spellEnd"/>
      <w:r>
        <w:rPr>
          <w:rFonts w:eastAsia="Palatino Linotype"/>
          <w:spacing w:val="-1"/>
          <w:sz w:val="22"/>
          <w:szCs w:val="22"/>
          <w:lang w:val="es-ES"/>
        </w:rPr>
        <w:t xml:space="preserve"> </w:t>
      </w:r>
      <w:proofErr w:type="spellStart"/>
      <w:r>
        <w:rPr>
          <w:rFonts w:eastAsia="Palatino Linotype"/>
          <w:spacing w:val="-1"/>
          <w:sz w:val="22"/>
          <w:szCs w:val="22"/>
          <w:lang w:val="es-ES"/>
        </w:rPr>
        <w:t>receiving</w:t>
      </w:r>
      <w:proofErr w:type="spellEnd"/>
      <w:r>
        <w:rPr>
          <w:rFonts w:eastAsia="Palatino Linotype"/>
          <w:spacing w:val="-1"/>
          <w:sz w:val="22"/>
          <w:szCs w:val="22"/>
          <w:lang w:val="es-ES"/>
        </w:rPr>
        <w:t xml:space="preserve"> </w:t>
      </w:r>
      <w:proofErr w:type="spellStart"/>
      <w:r>
        <w:rPr>
          <w:rFonts w:eastAsia="Palatino Linotype"/>
          <w:spacing w:val="-1"/>
          <w:sz w:val="22"/>
          <w:szCs w:val="22"/>
          <w:lang w:val="es-ES"/>
        </w:rPr>
        <w:t>goods</w:t>
      </w:r>
      <w:proofErr w:type="spellEnd"/>
      <w:r>
        <w:rPr>
          <w:rFonts w:eastAsia="Palatino Linotype"/>
          <w:spacing w:val="-1"/>
          <w:sz w:val="22"/>
          <w:szCs w:val="22"/>
          <w:lang w:val="es-ES"/>
        </w:rPr>
        <w:t xml:space="preserve"> </w:t>
      </w:r>
      <w:proofErr w:type="spellStart"/>
      <w:r>
        <w:rPr>
          <w:rFonts w:eastAsia="Palatino Linotype"/>
          <w:spacing w:val="-1"/>
          <w:sz w:val="22"/>
          <w:szCs w:val="22"/>
          <w:lang w:val="es-ES"/>
        </w:rPr>
        <w:t>according</w:t>
      </w:r>
      <w:proofErr w:type="spellEnd"/>
      <w:r>
        <w:rPr>
          <w:rFonts w:eastAsia="Palatino Linotype"/>
          <w:spacing w:val="-1"/>
          <w:sz w:val="22"/>
          <w:szCs w:val="22"/>
          <w:lang w:val="es-ES"/>
        </w:rPr>
        <w:t xml:space="preserve"> </w:t>
      </w:r>
      <w:proofErr w:type="spellStart"/>
      <w:r>
        <w:rPr>
          <w:rFonts w:eastAsia="Palatino Linotype"/>
          <w:spacing w:val="-1"/>
          <w:sz w:val="22"/>
          <w:szCs w:val="22"/>
          <w:lang w:val="es-ES"/>
        </w:rPr>
        <w:t>to</w:t>
      </w:r>
      <w:proofErr w:type="spellEnd"/>
      <w:r>
        <w:rPr>
          <w:rFonts w:eastAsia="Palatino Linotype"/>
          <w:spacing w:val="-1"/>
          <w:sz w:val="22"/>
          <w:szCs w:val="22"/>
          <w:lang w:val="es-ES"/>
        </w:rPr>
        <w:t xml:space="preserve"> </w:t>
      </w:r>
      <w:proofErr w:type="spellStart"/>
      <w:r>
        <w:rPr>
          <w:rFonts w:eastAsia="Palatino Linotype"/>
          <w:spacing w:val="-1"/>
          <w:sz w:val="22"/>
          <w:szCs w:val="22"/>
          <w:lang w:val="es-ES"/>
        </w:rPr>
        <w:t>the</w:t>
      </w:r>
      <w:proofErr w:type="spellEnd"/>
      <w:r>
        <w:rPr>
          <w:rFonts w:eastAsia="Palatino Linotype"/>
          <w:spacing w:val="-1"/>
          <w:sz w:val="22"/>
          <w:szCs w:val="22"/>
          <w:lang w:val="es-ES"/>
        </w:rPr>
        <w:t xml:space="preserve"> </w:t>
      </w:r>
      <w:proofErr w:type="spellStart"/>
      <w:r>
        <w:rPr>
          <w:rFonts w:eastAsia="Palatino Linotype"/>
          <w:spacing w:val="-1"/>
          <w:sz w:val="22"/>
          <w:szCs w:val="22"/>
          <w:lang w:val="es-ES"/>
        </w:rPr>
        <w:t>characteristics</w:t>
      </w:r>
      <w:proofErr w:type="spellEnd"/>
      <w:r>
        <w:rPr>
          <w:rFonts w:eastAsia="Palatino Linotype"/>
          <w:spacing w:val="-1"/>
          <w:sz w:val="22"/>
          <w:szCs w:val="22"/>
          <w:lang w:val="es-ES"/>
        </w:rPr>
        <w:t xml:space="preserve"> </w:t>
      </w:r>
      <w:proofErr w:type="spellStart"/>
      <w:r>
        <w:rPr>
          <w:rFonts w:eastAsia="Palatino Linotype"/>
          <w:spacing w:val="-1"/>
          <w:sz w:val="22"/>
          <w:szCs w:val="22"/>
          <w:lang w:val="es-ES"/>
        </w:rPr>
        <w:t>of</w:t>
      </w:r>
      <w:proofErr w:type="spellEnd"/>
      <w:r>
        <w:rPr>
          <w:rFonts w:eastAsia="Palatino Linotype"/>
          <w:spacing w:val="-1"/>
          <w:sz w:val="22"/>
          <w:szCs w:val="22"/>
          <w:lang w:val="es-ES"/>
        </w:rPr>
        <w:t xml:space="preserve"> </w:t>
      </w:r>
      <w:proofErr w:type="spellStart"/>
      <w:r>
        <w:rPr>
          <w:rFonts w:eastAsia="Palatino Linotype"/>
          <w:spacing w:val="-1"/>
          <w:sz w:val="22"/>
          <w:szCs w:val="22"/>
          <w:lang w:val="es-ES"/>
        </w:rPr>
        <w:t>these</w:t>
      </w:r>
      <w:proofErr w:type="spellEnd"/>
      <w:r>
        <w:rPr>
          <w:rFonts w:eastAsia="Palatino Linotype"/>
          <w:spacing w:val="-1"/>
          <w:sz w:val="22"/>
          <w:szCs w:val="22"/>
          <w:lang w:val="es-ES"/>
        </w:rPr>
        <w:t xml:space="preserve"> </w:t>
      </w:r>
      <w:proofErr w:type="spellStart"/>
      <w:r>
        <w:rPr>
          <w:rFonts w:eastAsia="Palatino Linotype"/>
          <w:spacing w:val="-1"/>
          <w:sz w:val="22"/>
          <w:szCs w:val="22"/>
          <w:lang w:val="es-ES"/>
        </w:rPr>
        <w:t>goods</w:t>
      </w:r>
      <w:proofErr w:type="spellEnd"/>
      <w:r>
        <w:rPr>
          <w:rFonts w:eastAsia="Palatino Linotype"/>
          <w:spacing w:val="-1"/>
          <w:sz w:val="22"/>
          <w:szCs w:val="22"/>
          <w:lang w:val="es-ES"/>
        </w:rPr>
        <w:t xml:space="preserve">, </w:t>
      </w:r>
      <w:proofErr w:type="spellStart"/>
      <w:r>
        <w:rPr>
          <w:rFonts w:eastAsia="Palatino Linotype"/>
          <w:spacing w:val="-1"/>
          <w:sz w:val="22"/>
          <w:szCs w:val="22"/>
          <w:lang w:val="es-ES"/>
        </w:rPr>
        <w:t>including</w:t>
      </w:r>
      <w:proofErr w:type="spellEnd"/>
      <w:r>
        <w:rPr>
          <w:rFonts w:eastAsia="Palatino Linotype"/>
          <w:spacing w:val="-1"/>
          <w:sz w:val="22"/>
          <w:szCs w:val="22"/>
          <w:lang w:val="es-ES"/>
        </w:rPr>
        <w:t xml:space="preserve"> workshops.</w:t>
      </w:r>
    </w:p>
    <w:p w14:paraId="245D9B40" w14:textId="77777777" w:rsidR="00E255F4" w:rsidRDefault="00E255F4">
      <w:pPr>
        <w:ind w:right="-142"/>
        <w:jc w:val="both"/>
        <w:rPr>
          <w:rFonts w:eastAsia="Palatino Linotype"/>
          <w:spacing w:val="-1"/>
          <w:sz w:val="22"/>
          <w:szCs w:val="22"/>
          <w:lang w:val="es-ES"/>
        </w:rPr>
      </w:pPr>
    </w:p>
    <w:p w14:paraId="36199BC0" w14:textId="77777777" w:rsidR="00E255F4" w:rsidRDefault="00000000">
      <w:pPr>
        <w:ind w:right="-142"/>
        <w:jc w:val="both"/>
        <w:rPr>
          <w:rFonts w:eastAsia="Palatino Linotype"/>
          <w:sz w:val="22"/>
          <w:szCs w:val="22"/>
          <w:lang w:val="es-ES"/>
        </w:rPr>
      </w:pPr>
      <w:proofErr w:type="spellStart"/>
      <w:r>
        <w:rPr>
          <w:rFonts w:eastAsia="Palatino Linotype"/>
          <w:spacing w:val="7"/>
          <w:sz w:val="22"/>
          <w:szCs w:val="22"/>
          <w:lang w:val="es-ES"/>
        </w:rPr>
        <w:t>AND</w:t>
      </w:r>
      <w:r>
        <w:rPr>
          <w:rFonts w:eastAsia="Palatino Linotype"/>
          <w:sz w:val="22"/>
          <w:szCs w:val="22"/>
          <w:lang w:val="es-ES"/>
        </w:rPr>
        <w:t>This</w:t>
      </w:r>
      <w:proofErr w:type="spellEnd"/>
      <w:r>
        <w:rPr>
          <w:rFonts w:eastAsia="Palatino Linotype"/>
          <w:sz w:val="22"/>
          <w:szCs w:val="22"/>
          <w:lang w:val="es-ES"/>
        </w:rPr>
        <w:t xml:space="preserve"> </w:t>
      </w:r>
      <w:proofErr w:type="spellStart"/>
      <w:r>
        <w:rPr>
          <w:rFonts w:eastAsia="Palatino Linotype"/>
          <w:sz w:val="22"/>
          <w:szCs w:val="22"/>
          <w:lang w:val="es-ES"/>
        </w:rPr>
        <w:t>comparison</w:t>
      </w:r>
      <w:proofErr w:type="spellEnd"/>
      <w:r>
        <w:rPr>
          <w:rFonts w:eastAsia="Palatino Linotype"/>
          <w:sz w:val="22"/>
          <w:szCs w:val="22"/>
          <w:lang w:val="es-ES"/>
        </w:rPr>
        <w:t xml:space="preserve"> </w:t>
      </w:r>
      <w:proofErr w:type="spellStart"/>
      <w:r>
        <w:rPr>
          <w:rFonts w:eastAsia="Palatino Linotype"/>
          <w:sz w:val="22"/>
          <w:szCs w:val="22"/>
          <w:lang w:val="es-ES"/>
        </w:rPr>
        <w:t>must</w:t>
      </w:r>
      <w:proofErr w:type="spellEnd"/>
      <w:r>
        <w:rPr>
          <w:rFonts w:eastAsia="Palatino Linotype"/>
          <w:sz w:val="22"/>
          <w:szCs w:val="22"/>
          <w:lang w:val="es-ES"/>
        </w:rPr>
        <w:t xml:space="preserve"> </w:t>
      </w:r>
      <w:proofErr w:type="spellStart"/>
      <w:r>
        <w:rPr>
          <w:rFonts w:eastAsia="Palatino Linotype"/>
          <w:sz w:val="22"/>
          <w:szCs w:val="22"/>
          <w:lang w:val="es-ES"/>
        </w:rPr>
        <w:t>include</w:t>
      </w:r>
      <w:proofErr w:type="spellEnd"/>
      <w:r>
        <w:rPr>
          <w:rFonts w:eastAsia="Palatino Linotype"/>
          <w:sz w:val="22"/>
          <w:szCs w:val="22"/>
          <w:lang w:val="es-ES"/>
        </w:rPr>
        <w:t xml:space="preserve"> </w:t>
      </w:r>
      <w:proofErr w:type="spellStart"/>
      <w:r>
        <w:rPr>
          <w:rFonts w:eastAsia="Palatino Linotype"/>
          <w:sz w:val="22"/>
          <w:szCs w:val="22"/>
          <w:lang w:val="es-ES"/>
        </w:rPr>
        <w:t>all</w:t>
      </w:r>
      <w:proofErr w:type="spellEnd"/>
      <w:r>
        <w:rPr>
          <w:rFonts w:eastAsia="Palatino Linotype"/>
          <w:sz w:val="22"/>
          <w:szCs w:val="22"/>
          <w:lang w:val="es-ES"/>
        </w:rPr>
        <w:t xml:space="preserve"> </w:t>
      </w:r>
      <w:proofErr w:type="spellStart"/>
      <w:r>
        <w:rPr>
          <w:rFonts w:eastAsia="Palatino Linotype"/>
          <w:sz w:val="22"/>
          <w:szCs w:val="22"/>
          <w:lang w:val="es-ES"/>
        </w:rPr>
        <w:t>applicable</w:t>
      </w:r>
      <w:proofErr w:type="spellEnd"/>
      <w:r>
        <w:rPr>
          <w:rFonts w:eastAsia="Palatino Linotype"/>
          <w:sz w:val="22"/>
          <w:szCs w:val="22"/>
          <w:lang w:val="es-ES"/>
        </w:rPr>
        <w:t xml:space="preserve"> </w:t>
      </w:r>
      <w:proofErr w:type="spellStart"/>
      <w:r>
        <w:rPr>
          <w:rFonts w:eastAsia="Palatino Linotype"/>
          <w:sz w:val="22"/>
          <w:szCs w:val="22"/>
          <w:lang w:val="es-ES"/>
        </w:rPr>
        <w:t>taxes</w:t>
      </w:r>
      <w:proofErr w:type="spellEnd"/>
      <w:r>
        <w:rPr>
          <w:rFonts w:eastAsia="Palatino Linotype"/>
          <w:sz w:val="22"/>
          <w:szCs w:val="22"/>
          <w:lang w:val="es-ES"/>
        </w:rPr>
        <w:t xml:space="preserve"> (general </w:t>
      </w:r>
      <w:proofErr w:type="spellStart"/>
      <w:r>
        <w:rPr>
          <w:rFonts w:eastAsia="Palatino Linotype"/>
          <w:sz w:val="22"/>
          <w:szCs w:val="22"/>
          <w:lang w:val="es-ES"/>
        </w:rPr>
        <w:t>tariffs</w:t>
      </w:r>
      <w:proofErr w:type="spellEnd"/>
      <w:r>
        <w:rPr>
          <w:rFonts w:eastAsia="Palatino Linotype"/>
          <w:sz w:val="22"/>
          <w:szCs w:val="22"/>
          <w:lang w:val="es-ES"/>
        </w:rPr>
        <w:t xml:space="preserve">, </w:t>
      </w:r>
      <w:proofErr w:type="spellStart"/>
      <w:r>
        <w:rPr>
          <w:rFonts w:eastAsia="Palatino Linotype"/>
          <w:sz w:val="22"/>
          <w:szCs w:val="22"/>
          <w:lang w:val="es-ES"/>
        </w:rPr>
        <w:t>integration</w:t>
      </w:r>
      <w:proofErr w:type="spellEnd"/>
      <w:r>
        <w:rPr>
          <w:rFonts w:eastAsia="Palatino Linotype"/>
          <w:sz w:val="22"/>
          <w:szCs w:val="22"/>
          <w:lang w:val="es-ES"/>
        </w:rPr>
        <w:t xml:space="preserve"> </w:t>
      </w:r>
      <w:proofErr w:type="spellStart"/>
      <w:r>
        <w:rPr>
          <w:rFonts w:eastAsia="Palatino Linotype"/>
          <w:sz w:val="22"/>
          <w:szCs w:val="22"/>
          <w:lang w:val="es-ES"/>
        </w:rPr>
        <w:t>agreement</w:t>
      </w:r>
      <w:proofErr w:type="spellEnd"/>
      <w:r>
        <w:rPr>
          <w:rFonts w:eastAsia="Palatino Linotype"/>
          <w:sz w:val="22"/>
          <w:szCs w:val="22"/>
          <w:lang w:val="es-ES"/>
        </w:rPr>
        <w:t xml:space="preserve"> </w:t>
      </w:r>
      <w:proofErr w:type="spellStart"/>
      <w:r>
        <w:rPr>
          <w:rFonts w:eastAsia="Palatino Linotype"/>
          <w:sz w:val="22"/>
          <w:szCs w:val="22"/>
          <w:lang w:val="es-ES"/>
        </w:rPr>
        <w:t>tariffs</w:t>
      </w:r>
      <w:proofErr w:type="spellEnd"/>
      <w:r>
        <w:rPr>
          <w:rFonts w:eastAsia="Palatino Linotype"/>
          <w:sz w:val="22"/>
          <w:szCs w:val="22"/>
          <w:lang w:val="es-ES"/>
        </w:rPr>
        <w:t xml:space="preserve">, etc.), </w:t>
      </w:r>
      <w:proofErr w:type="spellStart"/>
      <w:r>
        <w:rPr>
          <w:rFonts w:eastAsia="Palatino Linotype"/>
          <w:sz w:val="22"/>
          <w:szCs w:val="22"/>
          <w:lang w:val="es-ES"/>
        </w:rPr>
        <w:t>even</w:t>
      </w:r>
      <w:proofErr w:type="spellEnd"/>
      <w:r>
        <w:rPr>
          <w:rFonts w:eastAsia="Palatino Linotype"/>
          <w:sz w:val="22"/>
          <w:szCs w:val="22"/>
          <w:lang w:val="es-ES"/>
        </w:rPr>
        <w:t xml:space="preserve"> </w:t>
      </w:r>
      <w:proofErr w:type="spellStart"/>
      <w:r>
        <w:rPr>
          <w:rFonts w:eastAsia="Palatino Linotype"/>
          <w:sz w:val="22"/>
          <w:szCs w:val="22"/>
          <w:lang w:val="es-ES"/>
        </w:rPr>
        <w:t>those</w:t>
      </w:r>
      <w:proofErr w:type="spellEnd"/>
      <w:r>
        <w:rPr>
          <w:rFonts w:eastAsia="Palatino Linotype"/>
          <w:sz w:val="22"/>
          <w:szCs w:val="22"/>
          <w:lang w:val="es-ES"/>
        </w:rPr>
        <w:t xml:space="preserve"> </w:t>
      </w:r>
      <w:proofErr w:type="spellStart"/>
      <w:r>
        <w:rPr>
          <w:rFonts w:eastAsia="Palatino Linotype"/>
          <w:sz w:val="22"/>
          <w:szCs w:val="22"/>
          <w:lang w:val="es-ES"/>
        </w:rPr>
        <w:t>from</w:t>
      </w:r>
      <w:proofErr w:type="spellEnd"/>
      <w:r>
        <w:rPr>
          <w:rFonts w:eastAsia="Palatino Linotype"/>
          <w:sz w:val="22"/>
          <w:szCs w:val="22"/>
          <w:lang w:val="es-ES"/>
        </w:rPr>
        <w:t xml:space="preserve"> </w:t>
      </w:r>
      <w:proofErr w:type="spellStart"/>
      <w:r>
        <w:rPr>
          <w:rFonts w:eastAsia="Palatino Linotype"/>
          <w:sz w:val="22"/>
          <w:szCs w:val="22"/>
          <w:lang w:val="es-ES"/>
        </w:rPr>
        <w:t>which</w:t>
      </w:r>
      <w:proofErr w:type="spellEnd"/>
      <w:r>
        <w:rPr>
          <w:rFonts w:eastAsia="Palatino Linotype"/>
          <w:sz w:val="22"/>
          <w:szCs w:val="22"/>
          <w:lang w:val="es-ES"/>
        </w:rPr>
        <w:t xml:space="preserve"> </w:t>
      </w:r>
      <w:proofErr w:type="spellStart"/>
      <w:r>
        <w:rPr>
          <w:rFonts w:eastAsia="Palatino Linotype"/>
          <w:sz w:val="22"/>
          <w:szCs w:val="22"/>
          <w:lang w:val="es-ES"/>
        </w:rPr>
        <w:t>the</w:t>
      </w:r>
      <w:proofErr w:type="spellEnd"/>
      <w:r>
        <w:rPr>
          <w:rFonts w:eastAsia="Palatino Linotype"/>
          <w:sz w:val="22"/>
          <w:szCs w:val="22"/>
          <w:lang w:val="es-ES"/>
        </w:rPr>
        <w:t xml:space="preserve"> </w:t>
      </w:r>
      <w:proofErr w:type="spellStart"/>
      <w:r>
        <w:rPr>
          <w:rFonts w:eastAsia="Palatino Linotype"/>
          <w:sz w:val="22"/>
          <w:szCs w:val="22"/>
          <w:lang w:val="es-ES"/>
        </w:rPr>
        <w:t>Administration</w:t>
      </w:r>
      <w:proofErr w:type="spellEnd"/>
      <w:r>
        <w:rPr>
          <w:rFonts w:eastAsia="Palatino Linotype"/>
          <w:sz w:val="22"/>
          <w:szCs w:val="22"/>
          <w:lang w:val="es-ES"/>
        </w:rPr>
        <w:t xml:space="preserve"> </w:t>
      </w:r>
      <w:proofErr w:type="spellStart"/>
      <w:r>
        <w:rPr>
          <w:rFonts w:eastAsia="Palatino Linotype"/>
          <w:sz w:val="22"/>
          <w:szCs w:val="22"/>
          <w:lang w:val="es-ES"/>
        </w:rPr>
        <w:t>is</w:t>
      </w:r>
      <w:proofErr w:type="spellEnd"/>
      <w:r>
        <w:rPr>
          <w:rFonts w:eastAsia="Palatino Linotype"/>
          <w:sz w:val="22"/>
          <w:szCs w:val="22"/>
          <w:lang w:val="es-ES"/>
        </w:rPr>
        <w:t xml:space="preserve"> </w:t>
      </w:r>
      <w:proofErr w:type="spellStart"/>
      <w:r>
        <w:rPr>
          <w:rFonts w:eastAsia="Palatino Linotype"/>
          <w:sz w:val="22"/>
          <w:szCs w:val="22"/>
          <w:lang w:val="es-ES"/>
        </w:rPr>
        <w:t>exempt</w:t>
      </w:r>
      <w:proofErr w:type="spellEnd"/>
      <w:r>
        <w:rPr>
          <w:rFonts w:eastAsia="Palatino Linotype"/>
          <w:sz w:val="22"/>
          <w:szCs w:val="22"/>
          <w:lang w:val="es-ES"/>
        </w:rPr>
        <w:t>.</w:t>
      </w:r>
    </w:p>
    <w:p w14:paraId="0F78E2C1" w14:textId="77777777" w:rsidR="00E255F4" w:rsidRDefault="00E255F4">
      <w:pPr>
        <w:ind w:right="-142"/>
        <w:jc w:val="both"/>
        <w:rPr>
          <w:rFonts w:eastAsia="Palatino Linotype"/>
          <w:sz w:val="22"/>
          <w:szCs w:val="22"/>
          <w:lang w:val="es-ES"/>
        </w:rPr>
      </w:pPr>
    </w:p>
    <w:p w14:paraId="2B9FBCF6" w14:textId="77777777" w:rsidR="00E255F4" w:rsidRDefault="00000000">
      <w:pPr>
        <w:ind w:right="-142"/>
        <w:jc w:val="both"/>
        <w:rPr>
          <w:rFonts w:eastAsia="Palatino Linotype"/>
          <w:spacing w:val="-1"/>
          <w:sz w:val="22"/>
          <w:szCs w:val="22"/>
          <w:lang w:val="es-ES"/>
        </w:rPr>
      </w:pPr>
      <w:r>
        <w:rPr>
          <w:rFonts w:eastAsia="Palatino Linotype"/>
          <w:spacing w:val="8"/>
          <w:sz w:val="22"/>
          <w:szCs w:val="22"/>
          <w:lang w:val="es-ES"/>
        </w:rPr>
        <w:t>N</w:t>
      </w:r>
      <w:r>
        <w:rPr>
          <w:rFonts w:eastAsia="Palatino Linotype"/>
          <w:sz w:val="22"/>
          <w:szCs w:val="22"/>
          <w:lang w:val="es-ES"/>
        </w:rPr>
        <w:t xml:space="preserve">or </w:t>
      </w:r>
      <w:proofErr w:type="spellStart"/>
      <w:r>
        <w:rPr>
          <w:rFonts w:eastAsia="Palatino Linotype"/>
          <w:sz w:val="22"/>
          <w:szCs w:val="22"/>
          <w:lang w:val="es-ES"/>
        </w:rPr>
        <w:t>the</w:t>
      </w:r>
      <w:proofErr w:type="spellEnd"/>
      <w:r>
        <w:rPr>
          <w:rFonts w:eastAsia="Palatino Linotype"/>
          <w:sz w:val="22"/>
          <w:szCs w:val="22"/>
          <w:lang w:val="es-ES"/>
        </w:rPr>
        <w:t xml:space="preserve"> </w:t>
      </w:r>
      <w:proofErr w:type="spellStart"/>
      <w:r>
        <w:rPr>
          <w:rFonts w:eastAsia="Palatino Linotype"/>
          <w:sz w:val="22"/>
          <w:szCs w:val="22"/>
          <w:lang w:val="es-ES"/>
        </w:rPr>
        <w:t>amounts</w:t>
      </w:r>
      <w:proofErr w:type="spellEnd"/>
      <w:r>
        <w:rPr>
          <w:rFonts w:eastAsia="Palatino Linotype"/>
          <w:sz w:val="22"/>
          <w:szCs w:val="22"/>
          <w:lang w:val="es-ES"/>
        </w:rPr>
        <w:t xml:space="preserve"> </w:t>
      </w:r>
      <w:proofErr w:type="spellStart"/>
      <w:r>
        <w:rPr>
          <w:rFonts w:eastAsia="Palatino Linotype"/>
          <w:sz w:val="22"/>
          <w:szCs w:val="22"/>
          <w:lang w:val="es-ES"/>
        </w:rPr>
        <w:t>corresponding</w:t>
      </w:r>
      <w:proofErr w:type="spellEnd"/>
      <w:r>
        <w:rPr>
          <w:rFonts w:eastAsia="Palatino Linotype"/>
          <w:sz w:val="22"/>
          <w:szCs w:val="22"/>
          <w:lang w:val="es-ES"/>
        </w:rPr>
        <w:t xml:space="preserve"> </w:t>
      </w:r>
      <w:proofErr w:type="spellStart"/>
      <w:r>
        <w:rPr>
          <w:rFonts w:eastAsia="Palatino Linotype"/>
          <w:sz w:val="22"/>
          <w:szCs w:val="22"/>
          <w:lang w:val="es-ES"/>
        </w:rPr>
        <w:t>to</w:t>
      </w:r>
      <w:proofErr w:type="spellEnd"/>
      <w:r>
        <w:rPr>
          <w:rFonts w:eastAsia="Palatino Linotype"/>
          <w:sz w:val="22"/>
          <w:szCs w:val="22"/>
          <w:lang w:val="es-ES"/>
        </w:rPr>
        <w:t xml:space="preserve"> </w:t>
      </w:r>
      <w:proofErr w:type="spellStart"/>
      <w:r>
        <w:rPr>
          <w:rFonts w:eastAsia="Palatino Linotype"/>
          <w:sz w:val="22"/>
          <w:szCs w:val="22"/>
          <w:lang w:val="es-ES"/>
        </w:rPr>
        <w:t>Value</w:t>
      </w:r>
      <w:proofErr w:type="spellEnd"/>
      <w:r>
        <w:rPr>
          <w:rFonts w:eastAsia="Palatino Linotype"/>
          <w:sz w:val="22"/>
          <w:szCs w:val="22"/>
          <w:lang w:val="es-ES"/>
        </w:rPr>
        <w:t xml:space="preserve"> Added Tax </w:t>
      </w:r>
      <w:proofErr w:type="spellStart"/>
      <w:r>
        <w:rPr>
          <w:rFonts w:eastAsia="Palatino Linotype"/>
          <w:sz w:val="22"/>
          <w:szCs w:val="22"/>
          <w:lang w:val="es-ES"/>
        </w:rPr>
        <w:t>will</w:t>
      </w:r>
      <w:proofErr w:type="spellEnd"/>
      <w:r>
        <w:rPr>
          <w:rFonts w:eastAsia="Palatino Linotype"/>
          <w:sz w:val="22"/>
          <w:szCs w:val="22"/>
          <w:lang w:val="es-ES"/>
        </w:rPr>
        <w:t xml:space="preserve"> be </w:t>
      </w:r>
      <w:proofErr w:type="spellStart"/>
      <w:r>
        <w:rPr>
          <w:rFonts w:eastAsia="Palatino Linotype"/>
          <w:sz w:val="22"/>
          <w:szCs w:val="22"/>
          <w:lang w:val="es-ES"/>
        </w:rPr>
        <w:t>included</w:t>
      </w:r>
      <w:proofErr w:type="spellEnd"/>
      <w:r>
        <w:rPr>
          <w:rFonts w:eastAsia="Palatino Linotype"/>
          <w:sz w:val="22"/>
          <w:szCs w:val="22"/>
          <w:lang w:val="es-ES"/>
        </w:rPr>
        <w:t xml:space="preserve"> in </w:t>
      </w:r>
      <w:proofErr w:type="spellStart"/>
      <w:r>
        <w:rPr>
          <w:rFonts w:eastAsia="Palatino Linotype"/>
          <w:sz w:val="22"/>
          <w:szCs w:val="22"/>
          <w:lang w:val="es-ES"/>
        </w:rPr>
        <w:t>the</w:t>
      </w:r>
      <w:proofErr w:type="spellEnd"/>
      <w:r>
        <w:rPr>
          <w:rFonts w:eastAsia="Palatino Linotype"/>
          <w:sz w:val="22"/>
          <w:szCs w:val="22"/>
          <w:lang w:val="es-ES"/>
        </w:rPr>
        <w:t xml:space="preserve"> comparative </w:t>
      </w:r>
      <w:proofErr w:type="spellStart"/>
      <w:r>
        <w:rPr>
          <w:rFonts w:eastAsia="Palatino Linotype"/>
          <w:sz w:val="22"/>
          <w:szCs w:val="22"/>
          <w:lang w:val="es-ES"/>
        </w:rPr>
        <w:t>prices</w:t>
      </w:r>
      <w:proofErr w:type="spellEnd"/>
      <w:r>
        <w:rPr>
          <w:rFonts w:eastAsia="Palatino Linotype"/>
          <w:sz w:val="22"/>
          <w:szCs w:val="22"/>
          <w:lang w:val="es-ES"/>
        </w:rPr>
        <w:t>.</w:t>
      </w:r>
    </w:p>
    <w:p w14:paraId="2A2101B6" w14:textId="77777777" w:rsidR="00E255F4" w:rsidRDefault="00E255F4">
      <w:pPr>
        <w:ind w:right="-142"/>
        <w:jc w:val="both"/>
        <w:rPr>
          <w:rFonts w:eastAsia="Palatino Linotype"/>
          <w:spacing w:val="-1"/>
          <w:sz w:val="22"/>
          <w:szCs w:val="22"/>
          <w:lang w:val="es-ES"/>
        </w:rPr>
      </w:pPr>
    </w:p>
    <w:p w14:paraId="4F4B5C83" w14:textId="77777777" w:rsidR="00E255F4" w:rsidRDefault="00000000">
      <w:pPr>
        <w:ind w:right="-142"/>
        <w:jc w:val="both"/>
        <w:rPr>
          <w:rFonts w:eastAsia="Palatino Linotype"/>
          <w:sz w:val="22"/>
          <w:szCs w:val="22"/>
          <w:lang w:val="es-ES"/>
        </w:rPr>
      </w:pPr>
      <w:proofErr w:type="spellStart"/>
      <w:r>
        <w:rPr>
          <w:rFonts w:eastAsia="Palatino Linotype"/>
          <w:spacing w:val="-3"/>
          <w:sz w:val="22"/>
          <w:szCs w:val="22"/>
          <w:lang w:val="es-ES"/>
        </w:rPr>
        <w:t>vii</w:t>
      </w:r>
      <w:proofErr w:type="spellEnd"/>
      <w:r>
        <w:rPr>
          <w:rFonts w:eastAsia="Palatino Linotype"/>
          <w:sz w:val="22"/>
          <w:szCs w:val="22"/>
          <w:lang w:val="es-ES"/>
        </w:rPr>
        <w:t xml:space="preserve">) The comparative </w:t>
      </w:r>
      <w:proofErr w:type="spellStart"/>
      <w:r>
        <w:rPr>
          <w:rFonts w:eastAsia="Palatino Linotype"/>
          <w:sz w:val="22"/>
          <w:szCs w:val="22"/>
          <w:lang w:val="es-ES"/>
        </w:rPr>
        <w:t>prices</w:t>
      </w:r>
      <w:proofErr w:type="spellEnd"/>
      <w:r>
        <w:rPr>
          <w:rFonts w:eastAsia="Palatino Linotype"/>
          <w:sz w:val="22"/>
          <w:szCs w:val="22"/>
          <w:lang w:val="es-ES"/>
        </w:rPr>
        <w:t xml:space="preserve"> </w:t>
      </w:r>
      <w:proofErr w:type="spellStart"/>
      <w:r>
        <w:rPr>
          <w:rFonts w:eastAsia="Palatino Linotype"/>
          <w:sz w:val="22"/>
          <w:szCs w:val="22"/>
          <w:lang w:val="es-ES"/>
        </w:rPr>
        <w:t>of</w:t>
      </w:r>
      <w:proofErr w:type="spellEnd"/>
      <w:r>
        <w:rPr>
          <w:rFonts w:eastAsia="Palatino Linotype"/>
          <w:sz w:val="22"/>
          <w:szCs w:val="22"/>
          <w:lang w:val="es-ES"/>
        </w:rPr>
        <w:t xml:space="preserve"> </w:t>
      </w:r>
      <w:proofErr w:type="spellStart"/>
      <w:r>
        <w:rPr>
          <w:rFonts w:eastAsia="Palatino Linotype"/>
          <w:sz w:val="22"/>
          <w:szCs w:val="22"/>
          <w:lang w:val="es-ES"/>
        </w:rPr>
        <w:t>products</w:t>
      </w:r>
      <w:proofErr w:type="spellEnd"/>
      <w:r>
        <w:rPr>
          <w:rFonts w:eastAsia="Palatino Linotype"/>
          <w:sz w:val="22"/>
          <w:szCs w:val="22"/>
          <w:lang w:val="es-ES"/>
        </w:rPr>
        <w:t xml:space="preserve"> and </w:t>
      </w:r>
      <w:proofErr w:type="spellStart"/>
      <w:r>
        <w:rPr>
          <w:rFonts w:eastAsia="Palatino Linotype"/>
          <w:sz w:val="22"/>
          <w:szCs w:val="22"/>
          <w:lang w:val="es-ES"/>
        </w:rPr>
        <w:t>services</w:t>
      </w:r>
      <w:proofErr w:type="spellEnd"/>
      <w:r>
        <w:rPr>
          <w:rFonts w:eastAsia="Palatino Linotype"/>
          <w:sz w:val="22"/>
          <w:szCs w:val="22"/>
          <w:lang w:val="es-ES"/>
        </w:rPr>
        <w:t xml:space="preserve"> </w:t>
      </w:r>
      <w:proofErr w:type="spellStart"/>
      <w:r>
        <w:rPr>
          <w:rFonts w:eastAsia="Palatino Linotype"/>
          <w:sz w:val="22"/>
          <w:szCs w:val="22"/>
          <w:lang w:val="es-ES"/>
        </w:rPr>
        <w:t>offered</w:t>
      </w:r>
      <w:proofErr w:type="spellEnd"/>
      <w:r>
        <w:rPr>
          <w:rFonts w:eastAsia="Palatino Linotype"/>
          <w:sz w:val="22"/>
          <w:szCs w:val="22"/>
          <w:lang w:val="es-ES"/>
        </w:rPr>
        <w:t xml:space="preserve"> </w:t>
      </w:r>
      <w:proofErr w:type="spellStart"/>
      <w:r>
        <w:rPr>
          <w:rFonts w:eastAsia="Palatino Linotype"/>
          <w:sz w:val="22"/>
          <w:szCs w:val="22"/>
          <w:lang w:val="es-ES"/>
        </w:rPr>
        <w:t>by</w:t>
      </w:r>
      <w:proofErr w:type="spellEnd"/>
      <w:r>
        <w:rPr>
          <w:rFonts w:eastAsia="Palatino Linotype"/>
          <w:sz w:val="22"/>
          <w:szCs w:val="22"/>
          <w:lang w:val="es-ES"/>
        </w:rPr>
        <w:t xml:space="preserve"> </w:t>
      </w:r>
      <w:proofErr w:type="spellStart"/>
      <w:r>
        <w:rPr>
          <w:rFonts w:eastAsia="Palatino Linotype"/>
          <w:sz w:val="22"/>
          <w:szCs w:val="22"/>
          <w:lang w:val="es-ES"/>
        </w:rPr>
        <w:t>companies</w:t>
      </w:r>
      <w:proofErr w:type="spellEnd"/>
      <w:r>
        <w:rPr>
          <w:rFonts w:eastAsia="Palatino Linotype"/>
          <w:sz w:val="22"/>
          <w:szCs w:val="22"/>
          <w:lang w:val="es-ES"/>
        </w:rPr>
        <w:t xml:space="preserve"> </w:t>
      </w:r>
      <w:proofErr w:type="spellStart"/>
      <w:r>
        <w:rPr>
          <w:rFonts w:eastAsia="Palatino Linotype"/>
          <w:sz w:val="22"/>
          <w:szCs w:val="22"/>
          <w:lang w:val="es-ES"/>
        </w:rPr>
        <w:t>that</w:t>
      </w:r>
      <w:proofErr w:type="spellEnd"/>
      <w:r>
        <w:rPr>
          <w:rFonts w:eastAsia="Palatino Linotype"/>
          <w:sz w:val="22"/>
          <w:szCs w:val="22"/>
          <w:lang w:val="es-ES"/>
        </w:rPr>
        <w:t xml:space="preserve"> </w:t>
      </w:r>
      <w:proofErr w:type="spellStart"/>
      <w:r>
        <w:rPr>
          <w:rFonts w:eastAsia="Palatino Linotype"/>
          <w:sz w:val="22"/>
          <w:szCs w:val="22"/>
          <w:lang w:val="es-ES"/>
        </w:rPr>
        <w:t>qualify</w:t>
      </w:r>
      <w:proofErr w:type="spellEnd"/>
      <w:r>
        <w:rPr>
          <w:rFonts w:eastAsia="Palatino Linotype"/>
          <w:sz w:val="22"/>
          <w:szCs w:val="22"/>
          <w:lang w:val="es-ES"/>
        </w:rPr>
        <w:t xml:space="preserve"> as </w:t>
      </w:r>
      <w:proofErr w:type="spellStart"/>
      <w:r>
        <w:rPr>
          <w:rFonts w:eastAsia="Palatino Linotype"/>
          <w:sz w:val="22"/>
          <w:szCs w:val="22"/>
          <w:lang w:val="es-ES"/>
        </w:rPr>
        <w:t>MSMEs</w:t>
      </w:r>
      <w:proofErr w:type="spellEnd"/>
      <w:r>
        <w:rPr>
          <w:rFonts w:eastAsia="Palatino Linotype"/>
          <w:sz w:val="22"/>
          <w:szCs w:val="22"/>
          <w:lang w:val="es-ES"/>
        </w:rPr>
        <w:t xml:space="preserve"> and </w:t>
      </w:r>
      <w:proofErr w:type="spellStart"/>
      <w:r>
        <w:rPr>
          <w:rFonts w:eastAsia="Palatino Linotype"/>
          <w:sz w:val="22"/>
          <w:szCs w:val="22"/>
          <w:lang w:val="es-ES"/>
        </w:rPr>
        <w:t>those</w:t>
      </w:r>
      <w:proofErr w:type="spellEnd"/>
      <w:r>
        <w:rPr>
          <w:rFonts w:eastAsia="Palatino Linotype"/>
          <w:sz w:val="22"/>
          <w:szCs w:val="22"/>
          <w:lang w:val="es-ES"/>
        </w:rPr>
        <w:t xml:space="preserve"> </w:t>
      </w:r>
      <w:proofErr w:type="spellStart"/>
      <w:r>
        <w:rPr>
          <w:rFonts w:eastAsia="Palatino Linotype"/>
          <w:sz w:val="22"/>
          <w:szCs w:val="22"/>
          <w:lang w:val="es-ES"/>
        </w:rPr>
        <w:t>that</w:t>
      </w:r>
      <w:proofErr w:type="spellEnd"/>
      <w:r>
        <w:rPr>
          <w:rFonts w:eastAsia="Palatino Linotype"/>
          <w:sz w:val="22"/>
          <w:szCs w:val="22"/>
          <w:lang w:val="es-ES"/>
        </w:rPr>
        <w:t xml:space="preserve"> do </w:t>
      </w:r>
      <w:proofErr w:type="spellStart"/>
      <w:r>
        <w:rPr>
          <w:rFonts w:eastAsia="Palatino Linotype"/>
          <w:sz w:val="22"/>
          <w:szCs w:val="22"/>
          <w:lang w:val="es-ES"/>
        </w:rPr>
        <w:t>not</w:t>
      </w:r>
      <w:proofErr w:type="spellEnd"/>
      <w:r>
        <w:rPr>
          <w:rFonts w:eastAsia="Palatino Linotype"/>
          <w:sz w:val="22"/>
          <w:szCs w:val="22"/>
          <w:lang w:val="es-ES"/>
        </w:rPr>
        <w:t xml:space="preserve"> </w:t>
      </w:r>
      <w:proofErr w:type="spellStart"/>
      <w:r>
        <w:rPr>
          <w:rFonts w:eastAsia="Palatino Linotype"/>
          <w:sz w:val="22"/>
          <w:szCs w:val="22"/>
          <w:lang w:val="es-ES"/>
        </w:rPr>
        <w:t>qualify</w:t>
      </w:r>
      <w:proofErr w:type="spellEnd"/>
      <w:r>
        <w:rPr>
          <w:rFonts w:eastAsia="Palatino Linotype"/>
          <w:sz w:val="22"/>
          <w:szCs w:val="22"/>
          <w:lang w:val="es-ES"/>
        </w:rPr>
        <w:t xml:space="preserve"> as </w:t>
      </w:r>
      <w:proofErr w:type="spellStart"/>
      <w:r>
        <w:rPr>
          <w:rFonts w:eastAsia="Palatino Linotype"/>
          <w:sz w:val="22"/>
          <w:szCs w:val="22"/>
          <w:lang w:val="es-ES"/>
        </w:rPr>
        <w:t>such</w:t>
      </w:r>
      <w:proofErr w:type="spellEnd"/>
      <w:r>
        <w:rPr>
          <w:rFonts w:eastAsia="Palatino Linotype"/>
          <w:sz w:val="22"/>
          <w:szCs w:val="22"/>
          <w:lang w:val="es-ES"/>
        </w:rPr>
        <w:t xml:space="preserve"> </w:t>
      </w:r>
      <w:proofErr w:type="spellStart"/>
      <w:r>
        <w:rPr>
          <w:rFonts w:eastAsia="Palatino Linotype"/>
          <w:sz w:val="22"/>
          <w:szCs w:val="22"/>
          <w:lang w:val="es-ES"/>
        </w:rPr>
        <w:t>will</w:t>
      </w:r>
      <w:proofErr w:type="spellEnd"/>
      <w:r>
        <w:rPr>
          <w:rFonts w:eastAsia="Palatino Linotype"/>
          <w:sz w:val="22"/>
          <w:szCs w:val="22"/>
          <w:lang w:val="es-ES"/>
        </w:rPr>
        <w:t xml:space="preserve"> be </w:t>
      </w:r>
      <w:proofErr w:type="spellStart"/>
      <w:r>
        <w:rPr>
          <w:rFonts w:eastAsia="Palatino Linotype"/>
          <w:sz w:val="22"/>
          <w:szCs w:val="22"/>
          <w:lang w:val="es-ES"/>
        </w:rPr>
        <w:t>evaluated</w:t>
      </w:r>
      <w:proofErr w:type="spellEnd"/>
      <w:r>
        <w:rPr>
          <w:rFonts w:eastAsia="Palatino Linotype"/>
          <w:sz w:val="22"/>
          <w:szCs w:val="22"/>
          <w:lang w:val="es-ES"/>
        </w:rPr>
        <w:t xml:space="preserve"> </w:t>
      </w:r>
      <w:proofErr w:type="spellStart"/>
      <w:r>
        <w:rPr>
          <w:rFonts w:eastAsia="Palatino Linotype"/>
          <w:sz w:val="22"/>
          <w:szCs w:val="22"/>
          <w:lang w:val="es-ES"/>
        </w:rPr>
        <w:t>according</w:t>
      </w:r>
      <w:proofErr w:type="spellEnd"/>
      <w:r>
        <w:rPr>
          <w:rFonts w:eastAsia="Palatino Linotype"/>
          <w:sz w:val="22"/>
          <w:szCs w:val="22"/>
          <w:lang w:val="es-ES"/>
        </w:rPr>
        <w:t xml:space="preserve"> </w:t>
      </w:r>
      <w:proofErr w:type="spellStart"/>
      <w:r>
        <w:rPr>
          <w:rFonts w:eastAsia="Palatino Linotype"/>
          <w:sz w:val="22"/>
          <w:szCs w:val="22"/>
          <w:lang w:val="es-ES"/>
        </w:rPr>
        <w:t>to</w:t>
      </w:r>
      <w:proofErr w:type="spellEnd"/>
      <w:r>
        <w:rPr>
          <w:rFonts w:eastAsia="Palatino Linotype"/>
          <w:sz w:val="22"/>
          <w:szCs w:val="22"/>
          <w:lang w:val="es-ES"/>
        </w:rPr>
        <w:t xml:space="preserve"> </w:t>
      </w:r>
      <w:proofErr w:type="spellStart"/>
      <w:r>
        <w:rPr>
          <w:rFonts w:eastAsia="Palatino Linotype"/>
          <w:sz w:val="22"/>
          <w:szCs w:val="22"/>
          <w:lang w:val="es-ES"/>
        </w:rPr>
        <w:t>the</w:t>
      </w:r>
      <w:proofErr w:type="spellEnd"/>
      <w:r>
        <w:rPr>
          <w:rFonts w:eastAsia="Palatino Linotype"/>
          <w:sz w:val="22"/>
          <w:szCs w:val="22"/>
          <w:lang w:val="es-ES"/>
        </w:rPr>
        <w:t xml:space="preserve"> </w:t>
      </w:r>
      <w:proofErr w:type="spellStart"/>
      <w:r>
        <w:rPr>
          <w:rFonts w:eastAsia="Palatino Linotype"/>
          <w:sz w:val="22"/>
          <w:szCs w:val="22"/>
          <w:lang w:val="es-ES"/>
        </w:rPr>
        <w:t>following</w:t>
      </w:r>
      <w:proofErr w:type="spellEnd"/>
      <w:r>
        <w:rPr>
          <w:rFonts w:eastAsia="Palatino Linotype"/>
          <w:sz w:val="22"/>
          <w:szCs w:val="22"/>
          <w:lang w:val="es-ES"/>
        </w:rPr>
        <w:t xml:space="preserve"> formulas, </w:t>
      </w:r>
      <w:proofErr w:type="spellStart"/>
      <w:r>
        <w:rPr>
          <w:rFonts w:eastAsia="Palatino Linotype"/>
          <w:sz w:val="22"/>
          <w:szCs w:val="22"/>
          <w:lang w:val="es-ES"/>
        </w:rPr>
        <w:t>without</w:t>
      </w:r>
      <w:proofErr w:type="spellEnd"/>
      <w:r>
        <w:rPr>
          <w:rFonts w:eastAsia="Palatino Linotype"/>
          <w:sz w:val="22"/>
          <w:szCs w:val="22"/>
          <w:lang w:val="es-ES"/>
        </w:rPr>
        <w:t xml:space="preserve"> </w:t>
      </w:r>
      <w:proofErr w:type="spellStart"/>
      <w:r>
        <w:rPr>
          <w:rFonts w:eastAsia="Palatino Linotype"/>
          <w:sz w:val="22"/>
          <w:szCs w:val="22"/>
          <w:lang w:val="es-ES"/>
        </w:rPr>
        <w:t>prejudice</w:t>
      </w:r>
      <w:proofErr w:type="spellEnd"/>
      <w:r>
        <w:rPr>
          <w:rFonts w:eastAsia="Palatino Linotype"/>
          <w:sz w:val="22"/>
          <w:szCs w:val="22"/>
          <w:lang w:val="es-ES"/>
        </w:rPr>
        <w:t xml:space="preserve"> </w:t>
      </w:r>
      <w:proofErr w:type="spellStart"/>
      <w:r>
        <w:rPr>
          <w:rFonts w:eastAsia="Palatino Linotype"/>
          <w:sz w:val="22"/>
          <w:szCs w:val="22"/>
          <w:lang w:val="es-ES"/>
        </w:rPr>
        <w:t>to</w:t>
      </w:r>
      <w:proofErr w:type="spellEnd"/>
      <w:r>
        <w:rPr>
          <w:rFonts w:eastAsia="Palatino Linotype"/>
          <w:sz w:val="22"/>
          <w:szCs w:val="22"/>
          <w:lang w:val="es-ES"/>
        </w:rPr>
        <w:t xml:space="preserve"> </w:t>
      </w:r>
      <w:proofErr w:type="spellStart"/>
      <w:r>
        <w:rPr>
          <w:rFonts w:eastAsia="Palatino Linotype"/>
          <w:sz w:val="22"/>
          <w:szCs w:val="22"/>
          <w:lang w:val="es-ES"/>
        </w:rPr>
        <w:t>the</w:t>
      </w:r>
      <w:proofErr w:type="spellEnd"/>
      <w:r>
        <w:rPr>
          <w:rFonts w:eastAsia="Palatino Linotype"/>
          <w:sz w:val="22"/>
          <w:szCs w:val="22"/>
          <w:lang w:val="es-ES"/>
        </w:rPr>
        <w:t xml:space="preserve"> </w:t>
      </w:r>
      <w:proofErr w:type="spellStart"/>
      <w:r>
        <w:rPr>
          <w:rFonts w:eastAsia="Palatino Linotype"/>
          <w:sz w:val="22"/>
          <w:szCs w:val="22"/>
          <w:lang w:val="es-ES"/>
        </w:rPr>
        <w:t>consideration</w:t>
      </w:r>
      <w:proofErr w:type="spellEnd"/>
      <w:r>
        <w:rPr>
          <w:rFonts w:eastAsia="Palatino Linotype"/>
          <w:sz w:val="22"/>
          <w:szCs w:val="22"/>
          <w:lang w:val="es-ES"/>
        </w:rPr>
        <w:t xml:space="preserve"> </w:t>
      </w:r>
      <w:proofErr w:type="spellStart"/>
      <w:r>
        <w:rPr>
          <w:rFonts w:eastAsia="Palatino Linotype"/>
          <w:sz w:val="22"/>
          <w:szCs w:val="22"/>
          <w:lang w:val="es-ES"/>
        </w:rPr>
        <w:t>of</w:t>
      </w:r>
      <w:proofErr w:type="spellEnd"/>
      <w:r>
        <w:rPr>
          <w:rFonts w:eastAsia="Palatino Linotype"/>
          <w:sz w:val="22"/>
          <w:szCs w:val="22"/>
          <w:lang w:val="es-ES"/>
        </w:rPr>
        <w:t xml:space="preserve"> </w:t>
      </w:r>
      <w:proofErr w:type="spellStart"/>
      <w:r>
        <w:rPr>
          <w:rFonts w:eastAsia="Palatino Linotype"/>
          <w:sz w:val="22"/>
          <w:szCs w:val="22"/>
          <w:lang w:val="es-ES"/>
        </w:rPr>
        <w:t>the</w:t>
      </w:r>
      <w:proofErr w:type="spellEnd"/>
      <w:r>
        <w:rPr>
          <w:rFonts w:eastAsia="Palatino Linotype"/>
          <w:sz w:val="22"/>
          <w:szCs w:val="22"/>
          <w:lang w:val="es-ES"/>
        </w:rPr>
        <w:t xml:space="preserve"> </w:t>
      </w:r>
      <w:proofErr w:type="spellStart"/>
      <w:r>
        <w:rPr>
          <w:rFonts w:eastAsia="Palatino Linotype"/>
          <w:sz w:val="22"/>
          <w:szCs w:val="22"/>
          <w:lang w:val="es-ES"/>
        </w:rPr>
        <w:t>other</w:t>
      </w:r>
      <w:proofErr w:type="spellEnd"/>
      <w:r>
        <w:rPr>
          <w:rFonts w:eastAsia="Palatino Linotype"/>
          <w:sz w:val="22"/>
          <w:szCs w:val="22"/>
          <w:lang w:val="es-ES"/>
        </w:rPr>
        <w:t xml:space="preserve"> </w:t>
      </w:r>
      <w:proofErr w:type="spellStart"/>
      <w:r>
        <w:rPr>
          <w:rFonts w:eastAsia="Palatino Linotype"/>
          <w:sz w:val="22"/>
          <w:szCs w:val="22"/>
          <w:lang w:val="es-ES"/>
        </w:rPr>
        <w:t>criteria</w:t>
      </w:r>
      <w:proofErr w:type="spellEnd"/>
      <w:r>
        <w:rPr>
          <w:rFonts w:eastAsia="Palatino Linotype"/>
          <w:sz w:val="22"/>
          <w:szCs w:val="22"/>
          <w:lang w:val="es-ES"/>
        </w:rPr>
        <w:t xml:space="preserve"> </w:t>
      </w:r>
      <w:proofErr w:type="spellStart"/>
      <w:r>
        <w:rPr>
          <w:rFonts w:eastAsia="Palatino Linotype"/>
          <w:sz w:val="22"/>
          <w:szCs w:val="22"/>
          <w:lang w:val="es-ES"/>
        </w:rPr>
        <w:t>for</w:t>
      </w:r>
      <w:proofErr w:type="spellEnd"/>
      <w:r>
        <w:rPr>
          <w:rFonts w:eastAsia="Palatino Linotype"/>
          <w:sz w:val="22"/>
          <w:szCs w:val="22"/>
          <w:lang w:val="es-ES"/>
        </w:rPr>
        <w:t xml:space="preserve"> </w:t>
      </w:r>
      <w:proofErr w:type="spellStart"/>
      <w:r>
        <w:rPr>
          <w:rFonts w:eastAsia="Palatino Linotype"/>
          <w:sz w:val="22"/>
          <w:szCs w:val="22"/>
          <w:lang w:val="es-ES"/>
        </w:rPr>
        <w:t>evaluating</w:t>
      </w:r>
      <w:proofErr w:type="spellEnd"/>
      <w:r>
        <w:rPr>
          <w:rFonts w:eastAsia="Palatino Linotype"/>
          <w:sz w:val="22"/>
          <w:szCs w:val="22"/>
          <w:lang w:val="es-ES"/>
        </w:rPr>
        <w:t xml:space="preserve"> </w:t>
      </w:r>
      <w:proofErr w:type="spellStart"/>
      <w:r>
        <w:rPr>
          <w:rFonts w:eastAsia="Palatino Linotype"/>
          <w:sz w:val="22"/>
          <w:szCs w:val="22"/>
          <w:lang w:val="es-ES"/>
        </w:rPr>
        <w:t>offers</w:t>
      </w:r>
      <w:proofErr w:type="spellEnd"/>
      <w:r>
        <w:rPr>
          <w:rFonts w:eastAsia="Palatino Linotype"/>
          <w:sz w:val="22"/>
          <w:szCs w:val="22"/>
          <w:lang w:val="es-ES"/>
        </w:rPr>
        <w:t>:</w:t>
      </w:r>
    </w:p>
    <w:p w14:paraId="1928ECAD" w14:textId="77777777" w:rsidR="00E255F4" w:rsidRDefault="00E255F4">
      <w:pPr>
        <w:ind w:right="-142"/>
        <w:jc w:val="both"/>
        <w:rPr>
          <w:rFonts w:eastAsia="Palatino Linotype"/>
          <w:sz w:val="22"/>
          <w:szCs w:val="22"/>
          <w:lang w:val="es-ES"/>
        </w:rPr>
      </w:pPr>
    </w:p>
    <w:p w14:paraId="520C6F94" w14:textId="77777777" w:rsidR="00E255F4" w:rsidRDefault="00000000">
      <w:pPr>
        <w:numPr>
          <w:ilvl w:val="0"/>
          <w:numId w:val="50"/>
        </w:numPr>
        <w:ind w:right="-142" w:hanging="720"/>
        <w:jc w:val="both"/>
        <w:rPr>
          <w:rFonts w:eastAsia="Palatino Linotype"/>
          <w:sz w:val="22"/>
          <w:szCs w:val="22"/>
          <w:lang w:val="es-ES"/>
        </w:rPr>
      </w:pPr>
      <w:proofErr w:type="spellStart"/>
      <w:r>
        <w:rPr>
          <w:rFonts w:eastAsia="Palatino Linotype"/>
          <w:spacing w:val="-1"/>
          <w:sz w:val="22"/>
          <w:szCs w:val="22"/>
          <w:lang w:val="es-ES"/>
        </w:rPr>
        <w:t>Biene</w:t>
      </w:r>
      <w:r>
        <w:rPr>
          <w:rFonts w:eastAsia="Palatino Linotype"/>
          <w:sz w:val="22"/>
          <w:szCs w:val="22"/>
          <w:lang w:val="es-ES"/>
        </w:rPr>
        <w:t>Services</w:t>
      </w:r>
      <w:proofErr w:type="spellEnd"/>
      <w:r>
        <w:rPr>
          <w:rFonts w:eastAsia="Palatino Linotype"/>
          <w:sz w:val="22"/>
          <w:szCs w:val="22"/>
          <w:lang w:val="es-ES"/>
        </w:rPr>
        <w:t xml:space="preserve"> </w:t>
      </w:r>
      <w:proofErr w:type="spellStart"/>
      <w:r>
        <w:rPr>
          <w:rFonts w:eastAsia="Palatino Linotype"/>
          <w:sz w:val="22"/>
          <w:szCs w:val="22"/>
          <w:lang w:val="es-ES"/>
        </w:rPr>
        <w:t>that</w:t>
      </w:r>
      <w:proofErr w:type="spellEnd"/>
      <w:r>
        <w:rPr>
          <w:rFonts w:eastAsia="Palatino Linotype"/>
          <w:sz w:val="22"/>
          <w:szCs w:val="22"/>
          <w:lang w:val="es-ES"/>
        </w:rPr>
        <w:t xml:space="preserve"> do </w:t>
      </w:r>
      <w:proofErr w:type="spellStart"/>
      <w:r>
        <w:rPr>
          <w:rFonts w:eastAsia="Palatino Linotype"/>
          <w:sz w:val="22"/>
          <w:szCs w:val="22"/>
          <w:lang w:val="es-ES"/>
        </w:rPr>
        <w:t>not</w:t>
      </w:r>
      <w:proofErr w:type="spellEnd"/>
      <w:r>
        <w:rPr>
          <w:rFonts w:eastAsia="Palatino Linotype"/>
          <w:sz w:val="22"/>
          <w:szCs w:val="22"/>
          <w:lang w:val="es-ES"/>
        </w:rPr>
        <w:t xml:space="preserve"> </w:t>
      </w:r>
      <w:proofErr w:type="spellStart"/>
      <w:r>
        <w:rPr>
          <w:rFonts w:eastAsia="Palatino Linotype"/>
          <w:sz w:val="22"/>
          <w:szCs w:val="22"/>
          <w:lang w:val="es-ES"/>
        </w:rPr>
        <w:t>include</w:t>
      </w:r>
      <w:proofErr w:type="spellEnd"/>
      <w:r>
        <w:rPr>
          <w:rFonts w:eastAsia="Palatino Linotype"/>
          <w:sz w:val="22"/>
          <w:szCs w:val="22"/>
          <w:lang w:val="es-ES"/>
        </w:rPr>
        <w:t xml:space="preserve"> </w:t>
      </w:r>
      <w:proofErr w:type="spellStart"/>
      <w:r>
        <w:rPr>
          <w:rFonts w:eastAsia="Palatino Linotype"/>
          <w:sz w:val="22"/>
          <w:szCs w:val="22"/>
          <w:lang w:val="es-ES"/>
        </w:rPr>
        <w:t>goods</w:t>
      </w:r>
      <w:proofErr w:type="spellEnd"/>
      <w:r>
        <w:rPr>
          <w:rFonts w:eastAsia="Palatino Linotype"/>
          <w:sz w:val="22"/>
          <w:szCs w:val="22"/>
          <w:lang w:val="es-ES"/>
        </w:rPr>
        <w:t xml:space="preserve">, </w:t>
      </w:r>
      <w:proofErr w:type="spellStart"/>
      <w:r>
        <w:rPr>
          <w:rFonts w:eastAsia="Palatino Linotype"/>
          <w:sz w:val="22"/>
          <w:szCs w:val="22"/>
          <w:lang w:val="es-ES"/>
        </w:rPr>
        <w:t>provided</w:t>
      </w:r>
      <w:proofErr w:type="spellEnd"/>
      <w:r>
        <w:rPr>
          <w:rFonts w:eastAsia="Palatino Linotype"/>
          <w:sz w:val="22"/>
          <w:szCs w:val="22"/>
          <w:lang w:val="es-ES"/>
        </w:rPr>
        <w:t xml:space="preserve"> </w:t>
      </w:r>
      <w:proofErr w:type="spellStart"/>
      <w:r>
        <w:rPr>
          <w:rFonts w:eastAsia="Palatino Linotype"/>
          <w:sz w:val="22"/>
          <w:szCs w:val="22"/>
          <w:lang w:val="es-ES"/>
        </w:rPr>
        <w:t>by</w:t>
      </w:r>
      <w:proofErr w:type="spellEnd"/>
      <w:r>
        <w:rPr>
          <w:rFonts w:eastAsia="Palatino Linotype"/>
          <w:sz w:val="22"/>
          <w:szCs w:val="22"/>
          <w:lang w:val="es-ES"/>
        </w:rPr>
        <w:t xml:space="preserve"> </w:t>
      </w:r>
      <w:proofErr w:type="spellStart"/>
      <w:r>
        <w:rPr>
          <w:rFonts w:eastAsia="Palatino Linotype"/>
          <w:sz w:val="22"/>
          <w:szCs w:val="22"/>
          <w:lang w:val="es-ES"/>
        </w:rPr>
        <w:t>MSMEs</w:t>
      </w:r>
      <w:proofErr w:type="spellEnd"/>
    </w:p>
    <w:p w14:paraId="42216C96" w14:textId="77777777" w:rsidR="00E255F4" w:rsidRDefault="00E255F4">
      <w:pPr>
        <w:ind w:right="-142"/>
        <w:jc w:val="both"/>
        <w:rPr>
          <w:rFonts w:eastAsia="Palatino Linotype"/>
          <w:position w:val="1"/>
          <w:sz w:val="22"/>
          <w:szCs w:val="22"/>
          <w:lang w:val="es-ES"/>
        </w:rPr>
      </w:pPr>
    </w:p>
    <w:p w14:paraId="174F9EF2" w14:textId="77777777" w:rsidR="00E255F4" w:rsidRDefault="00000000">
      <w:pPr>
        <w:ind w:right="-142"/>
        <w:jc w:val="center"/>
        <w:rPr>
          <w:rFonts w:eastAsia="Palatino Linotype"/>
          <w:position w:val="1"/>
          <w:sz w:val="22"/>
          <w:szCs w:val="22"/>
          <w:lang w:val="es-ES"/>
        </w:rPr>
      </w:pPr>
      <w:r>
        <w:rPr>
          <w:rFonts w:eastAsia="Palatino Linotype"/>
          <w:position w:val="1"/>
          <w:sz w:val="22"/>
          <w:szCs w:val="22"/>
          <w:lang w:val="es-ES"/>
        </w:rPr>
        <w:t>PCM = PM - (PM x B)</w:t>
      </w:r>
    </w:p>
    <w:p w14:paraId="64916555" w14:textId="77777777" w:rsidR="00E255F4" w:rsidRDefault="00E255F4">
      <w:pPr>
        <w:ind w:right="-142"/>
        <w:jc w:val="both"/>
        <w:rPr>
          <w:rFonts w:eastAsia="Palatino Linotype"/>
          <w:spacing w:val="-1"/>
          <w:position w:val="1"/>
          <w:sz w:val="22"/>
          <w:szCs w:val="22"/>
          <w:lang w:val="es-ES"/>
        </w:rPr>
      </w:pPr>
    </w:p>
    <w:p w14:paraId="38E9494B" w14:textId="77777777" w:rsidR="00E255F4" w:rsidRDefault="00000000">
      <w:pPr>
        <w:numPr>
          <w:ilvl w:val="0"/>
          <w:numId w:val="50"/>
        </w:numPr>
        <w:ind w:right="-142" w:hanging="720"/>
        <w:jc w:val="both"/>
      </w:pPr>
      <w:proofErr w:type="spellStart"/>
      <w:r>
        <w:rPr>
          <w:rFonts w:eastAsia="Palatino Linotype"/>
          <w:spacing w:val="-1"/>
          <w:sz w:val="22"/>
          <w:szCs w:val="22"/>
          <w:lang w:val="es-ES"/>
        </w:rPr>
        <w:t>Service</w:t>
      </w:r>
      <w:r>
        <w:rPr>
          <w:rFonts w:eastAsia="Palatino Linotype"/>
          <w:sz w:val="22"/>
          <w:szCs w:val="22"/>
          <w:lang w:val="es-ES"/>
        </w:rPr>
        <w:t>that</w:t>
      </w:r>
      <w:proofErr w:type="spellEnd"/>
      <w:r>
        <w:rPr>
          <w:rFonts w:eastAsia="Palatino Linotype"/>
          <w:sz w:val="22"/>
          <w:szCs w:val="22"/>
          <w:lang w:val="es-ES"/>
        </w:rPr>
        <w:t xml:space="preserve"> </w:t>
      </w:r>
      <w:proofErr w:type="spellStart"/>
      <w:r>
        <w:rPr>
          <w:rFonts w:eastAsia="Palatino Linotype"/>
          <w:sz w:val="22"/>
          <w:szCs w:val="22"/>
          <w:lang w:val="es-ES"/>
        </w:rPr>
        <w:t>include</w:t>
      </w:r>
      <w:proofErr w:type="spellEnd"/>
      <w:r>
        <w:rPr>
          <w:rFonts w:eastAsia="Palatino Linotype"/>
          <w:sz w:val="22"/>
          <w:szCs w:val="22"/>
          <w:lang w:val="es-ES"/>
        </w:rPr>
        <w:t xml:space="preserve"> </w:t>
      </w:r>
      <w:proofErr w:type="spellStart"/>
      <w:r>
        <w:rPr>
          <w:rFonts w:eastAsia="Palatino Linotype"/>
          <w:sz w:val="22"/>
          <w:szCs w:val="22"/>
          <w:lang w:val="es-ES"/>
        </w:rPr>
        <w:t>goods</w:t>
      </w:r>
      <w:proofErr w:type="spellEnd"/>
      <w:r>
        <w:rPr>
          <w:rFonts w:eastAsia="Palatino Linotype"/>
          <w:sz w:val="22"/>
          <w:szCs w:val="22"/>
          <w:lang w:val="es-ES"/>
        </w:rPr>
        <w:t xml:space="preserve">, </w:t>
      </w:r>
      <w:proofErr w:type="spellStart"/>
      <w:r>
        <w:rPr>
          <w:rFonts w:eastAsia="Palatino Linotype"/>
          <w:sz w:val="22"/>
          <w:szCs w:val="22"/>
          <w:lang w:val="es-ES"/>
        </w:rPr>
        <w:t>provided</w:t>
      </w:r>
      <w:proofErr w:type="spellEnd"/>
      <w:r>
        <w:rPr>
          <w:rFonts w:eastAsia="Palatino Linotype"/>
          <w:sz w:val="22"/>
          <w:szCs w:val="22"/>
          <w:lang w:val="es-ES"/>
        </w:rPr>
        <w:t xml:space="preserve"> </w:t>
      </w:r>
      <w:proofErr w:type="spellStart"/>
      <w:r>
        <w:rPr>
          <w:rFonts w:eastAsia="Palatino Linotype"/>
          <w:sz w:val="22"/>
          <w:szCs w:val="22"/>
          <w:lang w:val="es-ES"/>
        </w:rPr>
        <w:t>by</w:t>
      </w:r>
      <w:proofErr w:type="spellEnd"/>
      <w:r>
        <w:rPr>
          <w:rFonts w:eastAsia="Palatino Linotype"/>
          <w:sz w:val="22"/>
          <w:szCs w:val="22"/>
          <w:lang w:val="es-ES"/>
        </w:rPr>
        <w:t xml:space="preserve"> </w:t>
      </w:r>
      <w:proofErr w:type="spellStart"/>
      <w:r>
        <w:rPr>
          <w:rFonts w:eastAsia="Palatino Linotype"/>
          <w:sz w:val="22"/>
          <w:szCs w:val="22"/>
          <w:lang w:val="es-ES"/>
        </w:rPr>
        <w:t>MSMEs</w:t>
      </w:r>
      <w:proofErr w:type="spellEnd"/>
    </w:p>
    <w:p w14:paraId="68AD8CCC" w14:textId="77777777" w:rsidR="00E255F4" w:rsidRDefault="00E255F4">
      <w:pPr>
        <w:ind w:right="-142"/>
        <w:jc w:val="both"/>
        <w:rPr>
          <w:rFonts w:eastAsia="Palatino Linotype"/>
          <w:spacing w:val="-1"/>
          <w:sz w:val="22"/>
          <w:szCs w:val="22"/>
          <w:lang w:val="es-ES"/>
        </w:rPr>
      </w:pPr>
    </w:p>
    <w:p w14:paraId="64FF640B" w14:textId="77777777" w:rsidR="00E255F4" w:rsidRDefault="00000000">
      <w:pPr>
        <w:ind w:right="-142"/>
        <w:jc w:val="center"/>
      </w:pPr>
      <w:r>
        <w:rPr>
          <w:rFonts w:eastAsia="Palatino Linotype"/>
          <w:spacing w:val="-1"/>
          <w:sz w:val="22"/>
          <w:szCs w:val="22"/>
          <w:lang w:val="en-US"/>
        </w:rPr>
        <w:t>PC</w:t>
      </w:r>
      <w:r>
        <w:rPr>
          <w:rFonts w:eastAsia="Palatino Linotype"/>
          <w:sz w:val="22"/>
          <w:szCs w:val="22"/>
          <w:lang w:val="en-US"/>
        </w:rPr>
        <w:t>M = PM - PM x (1 - % BNN) x B</w:t>
      </w:r>
    </w:p>
    <w:p w14:paraId="34ADF674" w14:textId="77777777" w:rsidR="00E255F4" w:rsidRDefault="00E255F4">
      <w:pPr>
        <w:ind w:right="-142"/>
        <w:jc w:val="both"/>
        <w:rPr>
          <w:rFonts w:eastAsia="Palatino Linotype"/>
          <w:spacing w:val="-1"/>
          <w:position w:val="1"/>
          <w:sz w:val="22"/>
          <w:szCs w:val="22"/>
          <w:lang w:val="en-US"/>
        </w:rPr>
      </w:pPr>
    </w:p>
    <w:p w14:paraId="10D48EAB" w14:textId="77777777" w:rsidR="00E255F4" w:rsidRDefault="00000000">
      <w:pPr>
        <w:ind w:right="-142"/>
        <w:jc w:val="both"/>
        <w:rPr>
          <w:rFonts w:eastAsia="Palatino Linotype"/>
          <w:sz w:val="22"/>
          <w:szCs w:val="22"/>
          <w:lang w:val="es-ES"/>
        </w:rPr>
      </w:pPr>
      <w:proofErr w:type="spellStart"/>
      <w:r>
        <w:rPr>
          <w:rFonts w:eastAsia="Palatino Linotype"/>
          <w:spacing w:val="-1"/>
          <w:position w:val="1"/>
          <w:sz w:val="22"/>
          <w:szCs w:val="22"/>
          <w:lang w:val="es-ES"/>
        </w:rPr>
        <w:t>Where</w:t>
      </w:r>
      <w:proofErr w:type="spellEnd"/>
      <w:r>
        <w:rPr>
          <w:rFonts w:eastAsia="Palatino Linotype"/>
          <w:spacing w:val="-1"/>
          <w:position w:val="1"/>
          <w:sz w:val="22"/>
          <w:szCs w:val="22"/>
          <w:lang w:val="es-ES"/>
        </w:rPr>
        <w:t>:</w:t>
      </w:r>
    </w:p>
    <w:p w14:paraId="4571F762" w14:textId="77777777" w:rsidR="00E255F4" w:rsidRDefault="00E255F4">
      <w:pPr>
        <w:ind w:right="-142"/>
        <w:jc w:val="both"/>
        <w:rPr>
          <w:rFonts w:eastAsia="Palatino Linotype"/>
          <w:spacing w:val="-1"/>
          <w:position w:val="1"/>
          <w:sz w:val="22"/>
          <w:szCs w:val="22"/>
          <w:lang w:val="es-ES"/>
        </w:rPr>
      </w:pPr>
    </w:p>
    <w:p w14:paraId="402C4C75" w14:textId="77777777" w:rsidR="00E255F4" w:rsidRDefault="00000000">
      <w:pPr>
        <w:ind w:right="-142"/>
        <w:jc w:val="both"/>
        <w:rPr>
          <w:rFonts w:eastAsia="Palatino Linotype"/>
          <w:sz w:val="22"/>
          <w:szCs w:val="22"/>
          <w:lang w:val="es-ES"/>
        </w:rPr>
      </w:pPr>
      <w:r>
        <w:rPr>
          <w:rFonts w:eastAsia="Palatino Linotype"/>
          <w:spacing w:val="-1"/>
          <w:position w:val="1"/>
          <w:sz w:val="22"/>
          <w:szCs w:val="22"/>
          <w:lang w:val="es-ES"/>
        </w:rPr>
        <w:t>PC</w:t>
      </w:r>
      <w:r>
        <w:rPr>
          <w:rFonts w:eastAsia="Palatino Linotype"/>
          <w:position w:val="1"/>
          <w:sz w:val="22"/>
          <w:szCs w:val="22"/>
          <w:lang w:val="es-ES"/>
        </w:rPr>
        <w:t xml:space="preserve">M = comparative </w:t>
      </w:r>
      <w:proofErr w:type="spellStart"/>
      <w:r>
        <w:rPr>
          <w:rFonts w:eastAsia="Palatino Linotype"/>
          <w:position w:val="1"/>
          <w:sz w:val="22"/>
          <w:szCs w:val="22"/>
          <w:lang w:val="es-ES"/>
        </w:rPr>
        <w:t>price</w:t>
      </w:r>
      <w:proofErr w:type="spellEnd"/>
      <w:r>
        <w:rPr>
          <w:rFonts w:eastAsia="Palatino Linotype"/>
          <w:position w:val="1"/>
          <w:sz w:val="22"/>
          <w:szCs w:val="22"/>
          <w:lang w:val="es-ES"/>
        </w:rPr>
        <w:t xml:space="preserve"> </w:t>
      </w:r>
      <w:proofErr w:type="spellStart"/>
      <w:r>
        <w:rPr>
          <w:rFonts w:eastAsia="Palatino Linotype"/>
          <w:position w:val="1"/>
          <w:sz w:val="22"/>
          <w:szCs w:val="22"/>
          <w:lang w:val="es-ES"/>
        </w:rPr>
        <w:t>of</w:t>
      </w:r>
      <w:proofErr w:type="spellEnd"/>
      <w:r>
        <w:rPr>
          <w:rFonts w:eastAsia="Palatino Linotype"/>
          <w:position w:val="1"/>
          <w:sz w:val="22"/>
          <w:szCs w:val="22"/>
          <w:lang w:val="es-ES"/>
        </w:rPr>
        <w:t xml:space="preserve"> </w:t>
      </w:r>
      <w:proofErr w:type="spellStart"/>
      <w:r>
        <w:rPr>
          <w:rFonts w:eastAsia="Palatino Linotype"/>
          <w:position w:val="1"/>
          <w:sz w:val="22"/>
          <w:szCs w:val="22"/>
          <w:lang w:val="es-ES"/>
        </w:rPr>
        <w:t>the</w:t>
      </w:r>
      <w:proofErr w:type="spellEnd"/>
      <w:r>
        <w:rPr>
          <w:rFonts w:eastAsia="Palatino Linotype"/>
          <w:position w:val="1"/>
          <w:sz w:val="22"/>
          <w:szCs w:val="22"/>
          <w:lang w:val="es-ES"/>
        </w:rPr>
        <w:t xml:space="preserve"> MSME </w:t>
      </w:r>
      <w:proofErr w:type="spellStart"/>
      <w:r>
        <w:rPr>
          <w:rFonts w:eastAsia="Palatino Linotype"/>
          <w:position w:val="1"/>
          <w:sz w:val="22"/>
          <w:szCs w:val="22"/>
          <w:lang w:val="es-ES"/>
        </w:rPr>
        <w:t>product</w:t>
      </w:r>
      <w:proofErr w:type="spellEnd"/>
      <w:r>
        <w:rPr>
          <w:rFonts w:eastAsia="Palatino Linotype"/>
          <w:position w:val="1"/>
          <w:sz w:val="22"/>
          <w:szCs w:val="22"/>
          <w:lang w:val="es-ES"/>
        </w:rPr>
        <w:t xml:space="preserve"> </w:t>
      </w:r>
      <w:proofErr w:type="spellStart"/>
      <w:r>
        <w:rPr>
          <w:rFonts w:eastAsia="Palatino Linotype"/>
          <w:position w:val="1"/>
          <w:sz w:val="22"/>
          <w:szCs w:val="22"/>
          <w:lang w:val="es-ES"/>
        </w:rPr>
        <w:t>with</w:t>
      </w:r>
      <w:proofErr w:type="spellEnd"/>
      <w:r>
        <w:rPr>
          <w:rFonts w:eastAsia="Palatino Linotype"/>
          <w:position w:val="1"/>
          <w:sz w:val="22"/>
          <w:szCs w:val="22"/>
          <w:lang w:val="es-ES"/>
        </w:rPr>
        <w:t xml:space="preserve"> </w:t>
      </w:r>
      <w:proofErr w:type="spellStart"/>
      <w:r>
        <w:rPr>
          <w:rFonts w:eastAsia="Palatino Linotype"/>
          <w:position w:val="1"/>
          <w:sz w:val="22"/>
          <w:szCs w:val="22"/>
          <w:lang w:val="es-ES"/>
        </w:rPr>
        <w:t>the</w:t>
      </w:r>
      <w:proofErr w:type="spellEnd"/>
      <w:r>
        <w:rPr>
          <w:rFonts w:eastAsia="Palatino Linotype"/>
          <w:position w:val="1"/>
          <w:sz w:val="22"/>
          <w:szCs w:val="22"/>
          <w:lang w:val="es-ES"/>
        </w:rPr>
        <w:t xml:space="preserve"> </w:t>
      </w:r>
      <w:proofErr w:type="spellStart"/>
      <w:r>
        <w:rPr>
          <w:rFonts w:eastAsia="Palatino Linotype"/>
          <w:position w:val="1"/>
          <w:sz w:val="22"/>
          <w:szCs w:val="22"/>
          <w:lang w:val="es-ES"/>
        </w:rPr>
        <w:t>application</w:t>
      </w:r>
      <w:proofErr w:type="spellEnd"/>
      <w:r>
        <w:rPr>
          <w:rFonts w:eastAsia="Palatino Linotype"/>
          <w:position w:val="1"/>
          <w:sz w:val="22"/>
          <w:szCs w:val="22"/>
          <w:lang w:val="es-ES"/>
        </w:rPr>
        <w:t xml:space="preserve"> </w:t>
      </w:r>
      <w:proofErr w:type="spellStart"/>
      <w:r>
        <w:rPr>
          <w:rFonts w:eastAsia="Palatino Linotype"/>
          <w:position w:val="1"/>
          <w:sz w:val="22"/>
          <w:szCs w:val="22"/>
          <w:lang w:val="es-ES"/>
        </w:rPr>
        <w:t>of</w:t>
      </w:r>
      <w:proofErr w:type="spellEnd"/>
      <w:r>
        <w:rPr>
          <w:rFonts w:eastAsia="Palatino Linotype"/>
          <w:position w:val="1"/>
          <w:sz w:val="22"/>
          <w:szCs w:val="22"/>
          <w:lang w:val="es-ES"/>
        </w:rPr>
        <w:t xml:space="preserve"> </w:t>
      </w:r>
      <w:proofErr w:type="spellStart"/>
      <w:r>
        <w:rPr>
          <w:rFonts w:eastAsia="Palatino Linotype"/>
          <w:position w:val="1"/>
          <w:sz w:val="22"/>
          <w:szCs w:val="22"/>
          <w:lang w:val="es-ES"/>
        </w:rPr>
        <w:t>the</w:t>
      </w:r>
      <w:proofErr w:type="spellEnd"/>
      <w:r>
        <w:rPr>
          <w:rFonts w:eastAsia="Palatino Linotype"/>
          <w:position w:val="1"/>
          <w:sz w:val="22"/>
          <w:szCs w:val="22"/>
          <w:lang w:val="es-ES"/>
        </w:rPr>
        <w:t xml:space="preserve"> </w:t>
      </w:r>
      <w:proofErr w:type="spellStart"/>
      <w:r>
        <w:rPr>
          <w:rFonts w:eastAsia="Palatino Linotype"/>
          <w:position w:val="1"/>
          <w:sz w:val="22"/>
          <w:szCs w:val="22"/>
          <w:lang w:val="es-ES"/>
        </w:rPr>
        <w:t>preference</w:t>
      </w:r>
      <w:proofErr w:type="spellEnd"/>
      <w:r>
        <w:rPr>
          <w:rFonts w:eastAsia="Palatino Linotype"/>
          <w:position w:val="1"/>
          <w:sz w:val="22"/>
          <w:szCs w:val="22"/>
          <w:lang w:val="es-ES"/>
        </w:rPr>
        <w:t>.</w:t>
      </w:r>
    </w:p>
    <w:p w14:paraId="7E7E06E2" w14:textId="77777777" w:rsidR="00E255F4" w:rsidRDefault="00000000">
      <w:pPr>
        <w:ind w:right="-142"/>
        <w:jc w:val="both"/>
        <w:rPr>
          <w:rFonts w:eastAsia="Palatino Linotype"/>
          <w:sz w:val="22"/>
          <w:szCs w:val="22"/>
          <w:lang w:val="es-ES"/>
        </w:rPr>
      </w:pPr>
      <w:r>
        <w:rPr>
          <w:rFonts w:eastAsia="Palatino Linotype"/>
          <w:spacing w:val="-1"/>
          <w:position w:val="1"/>
          <w:sz w:val="22"/>
          <w:szCs w:val="22"/>
          <w:lang w:val="es-ES"/>
        </w:rPr>
        <w:t>P</w:t>
      </w:r>
      <w:r>
        <w:rPr>
          <w:rFonts w:eastAsia="Palatino Linotype"/>
          <w:position w:val="1"/>
          <w:sz w:val="22"/>
          <w:szCs w:val="22"/>
          <w:lang w:val="es-ES"/>
        </w:rPr>
        <w:t xml:space="preserve">M = </w:t>
      </w:r>
      <w:proofErr w:type="spellStart"/>
      <w:r>
        <w:rPr>
          <w:rFonts w:eastAsia="Palatino Linotype"/>
          <w:position w:val="1"/>
          <w:sz w:val="22"/>
          <w:szCs w:val="22"/>
          <w:lang w:val="es-ES"/>
        </w:rPr>
        <w:t>price</w:t>
      </w:r>
      <w:proofErr w:type="spellEnd"/>
      <w:r>
        <w:rPr>
          <w:rFonts w:eastAsia="Palatino Linotype"/>
          <w:position w:val="1"/>
          <w:sz w:val="22"/>
          <w:szCs w:val="22"/>
          <w:lang w:val="es-ES"/>
        </w:rPr>
        <w:t xml:space="preserve"> </w:t>
      </w:r>
      <w:proofErr w:type="spellStart"/>
      <w:r>
        <w:rPr>
          <w:rFonts w:eastAsia="Palatino Linotype"/>
          <w:position w:val="1"/>
          <w:sz w:val="22"/>
          <w:szCs w:val="22"/>
          <w:lang w:val="es-ES"/>
        </w:rPr>
        <w:t>of</w:t>
      </w:r>
      <w:proofErr w:type="spellEnd"/>
      <w:r>
        <w:rPr>
          <w:rFonts w:eastAsia="Palatino Linotype"/>
          <w:position w:val="1"/>
          <w:sz w:val="22"/>
          <w:szCs w:val="22"/>
          <w:lang w:val="es-ES"/>
        </w:rPr>
        <w:t xml:space="preserve"> </w:t>
      </w:r>
      <w:proofErr w:type="spellStart"/>
      <w:r>
        <w:rPr>
          <w:rFonts w:eastAsia="Palatino Linotype"/>
          <w:position w:val="1"/>
          <w:sz w:val="22"/>
          <w:szCs w:val="22"/>
          <w:lang w:val="es-ES"/>
        </w:rPr>
        <w:t>the</w:t>
      </w:r>
      <w:proofErr w:type="spellEnd"/>
      <w:r>
        <w:rPr>
          <w:rFonts w:eastAsia="Palatino Linotype"/>
          <w:position w:val="1"/>
          <w:sz w:val="22"/>
          <w:szCs w:val="22"/>
          <w:lang w:val="es-ES"/>
        </w:rPr>
        <w:t xml:space="preserve"> MSME </w:t>
      </w:r>
      <w:proofErr w:type="spellStart"/>
      <w:r>
        <w:rPr>
          <w:rFonts w:eastAsia="Palatino Linotype"/>
          <w:position w:val="1"/>
          <w:sz w:val="22"/>
          <w:szCs w:val="22"/>
          <w:lang w:val="es-ES"/>
        </w:rPr>
        <w:t>product</w:t>
      </w:r>
      <w:proofErr w:type="spellEnd"/>
      <w:r>
        <w:rPr>
          <w:rFonts w:eastAsia="Palatino Linotype"/>
          <w:position w:val="1"/>
          <w:sz w:val="22"/>
          <w:szCs w:val="22"/>
          <w:lang w:val="es-ES"/>
        </w:rPr>
        <w:t xml:space="preserve"> placed in </w:t>
      </w:r>
      <w:proofErr w:type="spellStart"/>
      <w:r>
        <w:rPr>
          <w:rFonts w:eastAsia="Palatino Linotype"/>
          <w:position w:val="1"/>
          <w:sz w:val="22"/>
          <w:szCs w:val="22"/>
          <w:lang w:val="es-ES"/>
        </w:rPr>
        <w:t>the</w:t>
      </w:r>
      <w:proofErr w:type="spellEnd"/>
      <w:r>
        <w:rPr>
          <w:rFonts w:eastAsia="Palatino Linotype"/>
          <w:position w:val="1"/>
          <w:sz w:val="22"/>
          <w:szCs w:val="22"/>
          <w:lang w:val="es-ES"/>
        </w:rPr>
        <w:t xml:space="preserve"> </w:t>
      </w:r>
      <w:proofErr w:type="spellStart"/>
      <w:r>
        <w:rPr>
          <w:rFonts w:eastAsia="Palatino Linotype"/>
          <w:position w:val="1"/>
          <w:sz w:val="22"/>
          <w:szCs w:val="22"/>
          <w:lang w:val="es-ES"/>
        </w:rPr>
        <w:t>buyer's</w:t>
      </w:r>
      <w:proofErr w:type="spellEnd"/>
      <w:r>
        <w:rPr>
          <w:rFonts w:eastAsia="Palatino Linotype"/>
          <w:position w:val="1"/>
          <w:sz w:val="22"/>
          <w:szCs w:val="22"/>
          <w:lang w:val="es-ES"/>
        </w:rPr>
        <w:t xml:space="preserve"> </w:t>
      </w:r>
      <w:proofErr w:type="spellStart"/>
      <w:r>
        <w:rPr>
          <w:rFonts w:eastAsia="Palatino Linotype"/>
          <w:position w:val="1"/>
          <w:sz w:val="22"/>
          <w:szCs w:val="22"/>
          <w:lang w:val="es-ES"/>
        </w:rPr>
        <w:t>warehouses</w:t>
      </w:r>
      <w:proofErr w:type="spellEnd"/>
      <w:r>
        <w:rPr>
          <w:rFonts w:eastAsia="Palatino Linotype"/>
          <w:position w:val="1"/>
          <w:sz w:val="22"/>
          <w:szCs w:val="22"/>
          <w:lang w:val="es-ES"/>
        </w:rPr>
        <w:t>.</w:t>
      </w:r>
    </w:p>
    <w:p w14:paraId="43DAF8E6" w14:textId="77777777" w:rsidR="00E255F4" w:rsidRDefault="00000000">
      <w:pPr>
        <w:ind w:right="-142"/>
        <w:jc w:val="both"/>
        <w:rPr>
          <w:rFonts w:eastAsia="Palatino Linotype"/>
          <w:sz w:val="22"/>
          <w:szCs w:val="22"/>
          <w:lang w:val="es-ES"/>
        </w:rPr>
      </w:pPr>
      <w:r>
        <w:rPr>
          <w:rFonts w:eastAsia="Palatino Linotype"/>
          <w:spacing w:val="-1"/>
          <w:position w:val="1"/>
          <w:sz w:val="22"/>
          <w:szCs w:val="22"/>
          <w:lang w:val="es-ES"/>
        </w:rPr>
        <w:t>%BN</w:t>
      </w:r>
      <w:r>
        <w:rPr>
          <w:rFonts w:eastAsia="Palatino Linotype"/>
          <w:position w:val="1"/>
          <w:sz w:val="22"/>
          <w:szCs w:val="22"/>
          <w:lang w:val="es-ES"/>
        </w:rPr>
        <w:t xml:space="preserve">N = </w:t>
      </w:r>
      <w:proofErr w:type="spellStart"/>
      <w:r>
        <w:rPr>
          <w:rFonts w:eastAsia="Palatino Linotype"/>
          <w:position w:val="1"/>
          <w:sz w:val="22"/>
          <w:szCs w:val="22"/>
          <w:lang w:val="es-ES"/>
        </w:rPr>
        <w:t>percentage</w:t>
      </w:r>
      <w:proofErr w:type="spellEnd"/>
      <w:r>
        <w:rPr>
          <w:rFonts w:eastAsia="Palatino Linotype"/>
          <w:position w:val="1"/>
          <w:sz w:val="22"/>
          <w:szCs w:val="22"/>
          <w:lang w:val="es-ES"/>
        </w:rPr>
        <w:t xml:space="preserve"> </w:t>
      </w:r>
      <w:proofErr w:type="spellStart"/>
      <w:r>
        <w:rPr>
          <w:rFonts w:eastAsia="Palatino Linotype"/>
          <w:position w:val="1"/>
          <w:sz w:val="22"/>
          <w:szCs w:val="22"/>
          <w:lang w:val="es-ES"/>
        </w:rPr>
        <w:t>of</w:t>
      </w:r>
      <w:proofErr w:type="spellEnd"/>
      <w:r>
        <w:rPr>
          <w:rFonts w:eastAsia="Palatino Linotype"/>
          <w:position w:val="1"/>
          <w:sz w:val="22"/>
          <w:szCs w:val="22"/>
          <w:lang w:val="es-ES"/>
        </w:rPr>
        <w:t xml:space="preserve"> </w:t>
      </w:r>
      <w:proofErr w:type="spellStart"/>
      <w:r>
        <w:rPr>
          <w:rFonts w:eastAsia="Palatino Linotype"/>
          <w:position w:val="1"/>
          <w:sz w:val="22"/>
          <w:szCs w:val="22"/>
          <w:lang w:val="es-ES"/>
        </w:rPr>
        <w:t>the</w:t>
      </w:r>
      <w:proofErr w:type="spellEnd"/>
      <w:r>
        <w:rPr>
          <w:rFonts w:eastAsia="Palatino Linotype"/>
          <w:position w:val="1"/>
          <w:sz w:val="22"/>
          <w:szCs w:val="22"/>
          <w:lang w:val="es-ES"/>
        </w:rPr>
        <w:t xml:space="preserve"> </w:t>
      </w:r>
      <w:proofErr w:type="spellStart"/>
      <w:r>
        <w:rPr>
          <w:rFonts w:eastAsia="Palatino Linotype"/>
          <w:position w:val="1"/>
          <w:sz w:val="22"/>
          <w:szCs w:val="22"/>
          <w:lang w:val="es-ES"/>
        </w:rPr>
        <w:t>service</w:t>
      </w:r>
      <w:proofErr w:type="spellEnd"/>
      <w:r>
        <w:rPr>
          <w:rFonts w:eastAsia="Palatino Linotype"/>
          <w:position w:val="1"/>
          <w:sz w:val="22"/>
          <w:szCs w:val="22"/>
          <w:lang w:val="es-ES"/>
        </w:rPr>
        <w:t xml:space="preserve"> </w:t>
      </w:r>
      <w:proofErr w:type="spellStart"/>
      <w:r>
        <w:rPr>
          <w:rFonts w:eastAsia="Palatino Linotype"/>
          <w:position w:val="1"/>
          <w:sz w:val="22"/>
          <w:szCs w:val="22"/>
          <w:lang w:val="es-ES"/>
        </w:rPr>
        <w:t>price</w:t>
      </w:r>
      <w:proofErr w:type="spellEnd"/>
      <w:r>
        <w:rPr>
          <w:rFonts w:eastAsia="Palatino Linotype"/>
          <w:position w:val="1"/>
          <w:sz w:val="22"/>
          <w:szCs w:val="22"/>
          <w:lang w:val="es-ES"/>
        </w:rPr>
        <w:t xml:space="preserve"> </w:t>
      </w:r>
      <w:proofErr w:type="spellStart"/>
      <w:r>
        <w:rPr>
          <w:rFonts w:eastAsia="Palatino Linotype"/>
          <w:position w:val="1"/>
          <w:sz w:val="22"/>
          <w:szCs w:val="22"/>
          <w:lang w:val="es-ES"/>
        </w:rPr>
        <w:t>represented</w:t>
      </w:r>
      <w:proofErr w:type="spellEnd"/>
      <w:r>
        <w:rPr>
          <w:rFonts w:eastAsia="Palatino Linotype"/>
          <w:position w:val="1"/>
          <w:sz w:val="22"/>
          <w:szCs w:val="22"/>
          <w:lang w:val="es-ES"/>
        </w:rPr>
        <w:t xml:space="preserve"> </w:t>
      </w:r>
      <w:proofErr w:type="spellStart"/>
      <w:r>
        <w:rPr>
          <w:rFonts w:eastAsia="Palatino Linotype"/>
          <w:position w:val="1"/>
          <w:sz w:val="22"/>
          <w:szCs w:val="22"/>
          <w:lang w:val="es-ES"/>
        </w:rPr>
        <w:t>by</w:t>
      </w:r>
      <w:proofErr w:type="spellEnd"/>
      <w:r>
        <w:rPr>
          <w:rFonts w:eastAsia="Palatino Linotype"/>
          <w:position w:val="1"/>
          <w:sz w:val="22"/>
          <w:szCs w:val="22"/>
          <w:lang w:val="es-ES"/>
        </w:rPr>
        <w:t xml:space="preserve"> </w:t>
      </w:r>
      <w:proofErr w:type="spellStart"/>
      <w:r>
        <w:rPr>
          <w:rFonts w:eastAsia="Palatino Linotype"/>
          <w:position w:val="1"/>
          <w:sz w:val="22"/>
          <w:szCs w:val="22"/>
          <w:lang w:val="es-ES"/>
        </w:rPr>
        <w:t>goods</w:t>
      </w:r>
      <w:proofErr w:type="spellEnd"/>
      <w:r>
        <w:rPr>
          <w:rFonts w:eastAsia="Palatino Linotype"/>
          <w:position w:val="1"/>
          <w:sz w:val="22"/>
          <w:szCs w:val="22"/>
          <w:lang w:val="es-ES"/>
        </w:rPr>
        <w:t xml:space="preserve"> </w:t>
      </w:r>
      <w:proofErr w:type="spellStart"/>
      <w:r>
        <w:rPr>
          <w:rFonts w:eastAsia="Palatino Linotype"/>
          <w:position w:val="1"/>
          <w:sz w:val="22"/>
          <w:szCs w:val="22"/>
          <w:lang w:val="es-ES"/>
        </w:rPr>
        <w:t>that</w:t>
      </w:r>
      <w:proofErr w:type="spellEnd"/>
      <w:r>
        <w:rPr>
          <w:rFonts w:eastAsia="Palatino Linotype"/>
          <w:position w:val="1"/>
          <w:sz w:val="22"/>
          <w:szCs w:val="22"/>
          <w:lang w:val="es-ES"/>
        </w:rPr>
        <w:t xml:space="preserve"> do </w:t>
      </w:r>
      <w:proofErr w:type="spellStart"/>
      <w:r>
        <w:rPr>
          <w:rFonts w:eastAsia="Palatino Linotype"/>
          <w:position w:val="1"/>
          <w:sz w:val="22"/>
          <w:szCs w:val="22"/>
          <w:lang w:val="es-ES"/>
        </w:rPr>
        <w:t>not</w:t>
      </w:r>
      <w:proofErr w:type="spellEnd"/>
      <w:r>
        <w:rPr>
          <w:rFonts w:eastAsia="Palatino Linotype"/>
          <w:position w:val="1"/>
          <w:sz w:val="22"/>
          <w:szCs w:val="22"/>
          <w:lang w:val="es-ES"/>
        </w:rPr>
        <w:t xml:space="preserve"> </w:t>
      </w:r>
      <w:proofErr w:type="spellStart"/>
      <w:r>
        <w:rPr>
          <w:rFonts w:eastAsia="Palatino Linotype"/>
          <w:position w:val="1"/>
          <w:sz w:val="22"/>
          <w:szCs w:val="22"/>
          <w:lang w:val="es-ES"/>
        </w:rPr>
        <w:t>qualify</w:t>
      </w:r>
      <w:proofErr w:type="spellEnd"/>
      <w:r>
        <w:rPr>
          <w:rFonts w:eastAsia="Palatino Linotype"/>
          <w:position w:val="1"/>
          <w:sz w:val="22"/>
          <w:szCs w:val="22"/>
          <w:lang w:val="es-ES"/>
        </w:rPr>
        <w:t xml:space="preserve"> as </w:t>
      </w:r>
      <w:proofErr w:type="spellStart"/>
      <w:r>
        <w:rPr>
          <w:rFonts w:eastAsia="Palatino Linotype"/>
          <w:position w:val="1"/>
          <w:sz w:val="22"/>
          <w:szCs w:val="22"/>
          <w:lang w:val="es-ES"/>
        </w:rPr>
        <w:t>national</w:t>
      </w:r>
      <w:proofErr w:type="spellEnd"/>
      <w:r>
        <w:rPr>
          <w:rFonts w:eastAsia="Palatino Linotype"/>
          <w:position w:val="1"/>
          <w:sz w:val="22"/>
          <w:szCs w:val="22"/>
          <w:lang w:val="es-ES"/>
        </w:rPr>
        <w:t xml:space="preserve"> </w:t>
      </w:r>
      <w:proofErr w:type="spellStart"/>
      <w:r>
        <w:rPr>
          <w:rFonts w:eastAsia="Palatino Linotype"/>
          <w:position w:val="1"/>
          <w:sz w:val="22"/>
          <w:szCs w:val="22"/>
          <w:lang w:val="es-ES"/>
        </w:rPr>
        <w:t>according</w:t>
      </w:r>
      <w:proofErr w:type="spellEnd"/>
      <w:r>
        <w:rPr>
          <w:rFonts w:eastAsia="Palatino Linotype"/>
          <w:position w:val="1"/>
          <w:sz w:val="22"/>
          <w:szCs w:val="22"/>
          <w:lang w:val="es-ES"/>
        </w:rPr>
        <w:t xml:space="preserve"> </w:t>
      </w:r>
      <w:proofErr w:type="spellStart"/>
      <w:r>
        <w:rPr>
          <w:rFonts w:eastAsia="Palatino Linotype"/>
          <w:position w:val="1"/>
          <w:sz w:val="22"/>
          <w:szCs w:val="22"/>
          <w:lang w:val="es-ES"/>
        </w:rPr>
        <w:t>to</w:t>
      </w:r>
      <w:proofErr w:type="spellEnd"/>
      <w:r>
        <w:rPr>
          <w:rFonts w:eastAsia="Palatino Linotype"/>
          <w:position w:val="1"/>
          <w:sz w:val="22"/>
          <w:szCs w:val="22"/>
          <w:lang w:val="es-ES"/>
        </w:rPr>
        <w:t xml:space="preserve"> </w:t>
      </w:r>
      <w:proofErr w:type="spellStart"/>
      <w:r>
        <w:rPr>
          <w:rFonts w:eastAsia="Palatino Linotype"/>
          <w:position w:val="1"/>
          <w:sz w:val="22"/>
          <w:szCs w:val="22"/>
          <w:lang w:val="es-ES"/>
        </w:rPr>
        <w:t>the</w:t>
      </w:r>
      <w:proofErr w:type="spellEnd"/>
      <w:r>
        <w:rPr>
          <w:rFonts w:eastAsia="Palatino Linotype"/>
          <w:position w:val="1"/>
          <w:sz w:val="22"/>
          <w:szCs w:val="22"/>
          <w:lang w:val="es-ES"/>
        </w:rPr>
        <w:t xml:space="preserve"> </w:t>
      </w:r>
      <w:proofErr w:type="spellStart"/>
      <w:r>
        <w:rPr>
          <w:rFonts w:eastAsia="Palatino Linotype"/>
          <w:position w:val="1"/>
          <w:sz w:val="22"/>
          <w:szCs w:val="22"/>
          <w:lang w:val="es-ES"/>
        </w:rPr>
        <w:t>certificate</w:t>
      </w:r>
      <w:proofErr w:type="spellEnd"/>
      <w:r>
        <w:rPr>
          <w:rFonts w:eastAsia="Palatino Linotype"/>
          <w:position w:val="1"/>
          <w:sz w:val="22"/>
          <w:szCs w:val="22"/>
          <w:lang w:val="es-ES"/>
        </w:rPr>
        <w:t xml:space="preserve"> </w:t>
      </w:r>
      <w:proofErr w:type="spellStart"/>
      <w:r>
        <w:rPr>
          <w:rFonts w:eastAsia="Palatino Linotype"/>
          <w:position w:val="1"/>
          <w:sz w:val="22"/>
          <w:szCs w:val="22"/>
          <w:lang w:val="es-ES"/>
        </w:rPr>
        <w:t>of</w:t>
      </w:r>
      <w:proofErr w:type="spellEnd"/>
      <w:r>
        <w:rPr>
          <w:rFonts w:eastAsia="Palatino Linotype"/>
          <w:position w:val="1"/>
          <w:sz w:val="22"/>
          <w:szCs w:val="22"/>
          <w:lang w:val="es-ES"/>
        </w:rPr>
        <w:t xml:space="preserve"> art. 5 </w:t>
      </w:r>
      <w:proofErr w:type="spellStart"/>
      <w:r>
        <w:rPr>
          <w:rFonts w:eastAsia="Palatino Linotype"/>
          <w:position w:val="1"/>
          <w:sz w:val="22"/>
          <w:szCs w:val="22"/>
          <w:lang w:val="es-ES"/>
        </w:rPr>
        <w:t>of</w:t>
      </w:r>
      <w:proofErr w:type="spellEnd"/>
      <w:r>
        <w:rPr>
          <w:rFonts w:eastAsia="Palatino Linotype"/>
          <w:position w:val="1"/>
          <w:sz w:val="22"/>
          <w:szCs w:val="22"/>
          <w:lang w:val="es-ES"/>
        </w:rPr>
        <w:t xml:space="preserve"> Decree No. 371/010.</w:t>
      </w:r>
    </w:p>
    <w:p w14:paraId="428B5F81" w14:textId="77777777" w:rsidR="00E255F4" w:rsidRDefault="00000000">
      <w:pPr>
        <w:ind w:right="-142"/>
        <w:jc w:val="both"/>
        <w:rPr>
          <w:rFonts w:eastAsia="Palatino Linotype"/>
          <w:sz w:val="22"/>
          <w:szCs w:val="22"/>
          <w:lang w:val="es-ES"/>
        </w:rPr>
      </w:pPr>
      <w:r>
        <w:rPr>
          <w:rFonts w:eastAsia="Palatino Linotype"/>
          <w:position w:val="1"/>
          <w:sz w:val="22"/>
          <w:szCs w:val="22"/>
          <w:lang w:val="es-ES"/>
        </w:rPr>
        <w:t xml:space="preserve">B = </w:t>
      </w:r>
      <w:proofErr w:type="spellStart"/>
      <w:r>
        <w:rPr>
          <w:rFonts w:eastAsia="Palatino Linotype"/>
          <w:position w:val="1"/>
          <w:sz w:val="22"/>
          <w:szCs w:val="22"/>
          <w:lang w:val="es-ES"/>
        </w:rPr>
        <w:t>preference</w:t>
      </w:r>
      <w:proofErr w:type="spellEnd"/>
      <w:r>
        <w:rPr>
          <w:rFonts w:eastAsia="Palatino Linotype"/>
          <w:position w:val="1"/>
          <w:sz w:val="22"/>
          <w:szCs w:val="22"/>
          <w:lang w:val="es-ES"/>
        </w:rPr>
        <w:t xml:space="preserve"> in </w:t>
      </w:r>
      <w:proofErr w:type="spellStart"/>
      <w:r>
        <w:rPr>
          <w:rFonts w:eastAsia="Palatino Linotype"/>
          <w:position w:val="1"/>
          <w:sz w:val="22"/>
          <w:szCs w:val="22"/>
          <w:lang w:val="es-ES"/>
        </w:rPr>
        <w:t>accordance</w:t>
      </w:r>
      <w:proofErr w:type="spellEnd"/>
      <w:r>
        <w:rPr>
          <w:rFonts w:eastAsia="Palatino Linotype"/>
          <w:position w:val="1"/>
          <w:sz w:val="22"/>
          <w:szCs w:val="22"/>
          <w:lang w:val="es-ES"/>
        </w:rPr>
        <w:t xml:space="preserve"> </w:t>
      </w:r>
      <w:proofErr w:type="spellStart"/>
      <w:r>
        <w:rPr>
          <w:rFonts w:eastAsia="Palatino Linotype"/>
          <w:position w:val="1"/>
          <w:sz w:val="22"/>
          <w:szCs w:val="22"/>
          <w:lang w:val="es-ES"/>
        </w:rPr>
        <w:t>with</w:t>
      </w:r>
      <w:proofErr w:type="spellEnd"/>
      <w:r>
        <w:rPr>
          <w:rFonts w:eastAsia="Palatino Linotype"/>
          <w:position w:val="1"/>
          <w:sz w:val="22"/>
          <w:szCs w:val="22"/>
          <w:lang w:val="es-ES"/>
        </w:rPr>
        <w:t xml:space="preserve"> </w:t>
      </w:r>
      <w:proofErr w:type="spellStart"/>
      <w:r>
        <w:rPr>
          <w:rFonts w:eastAsia="Palatino Linotype"/>
          <w:position w:val="1"/>
          <w:sz w:val="22"/>
          <w:szCs w:val="22"/>
          <w:lang w:val="es-ES"/>
        </w:rPr>
        <w:t>the</w:t>
      </w:r>
      <w:proofErr w:type="spellEnd"/>
      <w:r>
        <w:rPr>
          <w:rFonts w:eastAsia="Palatino Linotype"/>
          <w:position w:val="1"/>
          <w:sz w:val="22"/>
          <w:szCs w:val="22"/>
          <w:lang w:val="es-ES"/>
        </w:rPr>
        <w:t xml:space="preserve"> </w:t>
      </w:r>
      <w:proofErr w:type="spellStart"/>
      <w:r>
        <w:rPr>
          <w:rFonts w:eastAsia="Palatino Linotype"/>
          <w:position w:val="1"/>
          <w:sz w:val="22"/>
          <w:szCs w:val="22"/>
          <w:lang w:val="es-ES"/>
        </w:rPr>
        <w:t>preceding</w:t>
      </w:r>
      <w:proofErr w:type="spellEnd"/>
      <w:r>
        <w:rPr>
          <w:rFonts w:eastAsia="Palatino Linotype"/>
          <w:position w:val="1"/>
          <w:sz w:val="22"/>
          <w:szCs w:val="22"/>
          <w:lang w:val="es-ES"/>
        </w:rPr>
        <w:t xml:space="preserve"> </w:t>
      </w:r>
      <w:proofErr w:type="spellStart"/>
      <w:r>
        <w:rPr>
          <w:rFonts w:eastAsia="Palatino Linotype"/>
          <w:position w:val="1"/>
          <w:sz w:val="22"/>
          <w:szCs w:val="22"/>
          <w:lang w:val="es-ES"/>
        </w:rPr>
        <w:t>numerals</w:t>
      </w:r>
      <w:proofErr w:type="spellEnd"/>
      <w:r>
        <w:rPr>
          <w:rFonts w:eastAsia="Palatino Linotype"/>
          <w:position w:val="1"/>
          <w:sz w:val="22"/>
          <w:szCs w:val="22"/>
          <w:lang w:val="es-ES"/>
        </w:rPr>
        <w:t xml:space="preserve"> </w:t>
      </w:r>
      <w:proofErr w:type="spellStart"/>
      <w:r>
        <w:rPr>
          <w:rFonts w:eastAsia="Palatino Linotype"/>
          <w:position w:val="1"/>
          <w:sz w:val="22"/>
          <w:szCs w:val="22"/>
          <w:lang w:val="es-ES"/>
        </w:rPr>
        <w:t>iii</w:t>
      </w:r>
      <w:proofErr w:type="spellEnd"/>
      <w:r>
        <w:rPr>
          <w:rFonts w:eastAsia="Palatino Linotype"/>
          <w:position w:val="1"/>
          <w:sz w:val="22"/>
          <w:szCs w:val="22"/>
          <w:lang w:val="es-ES"/>
        </w:rPr>
        <w:t xml:space="preserve">) and </w:t>
      </w:r>
      <w:proofErr w:type="spellStart"/>
      <w:r>
        <w:rPr>
          <w:rFonts w:eastAsia="Palatino Linotype"/>
          <w:position w:val="1"/>
          <w:sz w:val="22"/>
          <w:szCs w:val="22"/>
          <w:lang w:val="es-ES"/>
        </w:rPr>
        <w:t>iv</w:t>
      </w:r>
      <w:proofErr w:type="spellEnd"/>
      <w:r>
        <w:rPr>
          <w:rFonts w:eastAsia="Palatino Linotype"/>
          <w:position w:val="1"/>
          <w:sz w:val="22"/>
          <w:szCs w:val="22"/>
          <w:lang w:val="es-ES"/>
        </w:rPr>
        <w:t>).</w:t>
      </w:r>
    </w:p>
    <w:p w14:paraId="77DBAA6E" w14:textId="77777777" w:rsidR="00E255F4" w:rsidRDefault="00E255F4">
      <w:pPr>
        <w:ind w:right="-142"/>
        <w:jc w:val="both"/>
        <w:rPr>
          <w:rFonts w:eastAsia="Palatino Linotype"/>
          <w:sz w:val="22"/>
          <w:szCs w:val="22"/>
          <w:lang w:val="es-ES"/>
        </w:rPr>
      </w:pPr>
    </w:p>
    <w:p w14:paraId="4126449B" w14:textId="77777777" w:rsidR="00E255F4" w:rsidRDefault="00000000">
      <w:pPr>
        <w:ind w:right="-142"/>
        <w:jc w:val="both"/>
        <w:rPr>
          <w:rFonts w:eastAsia="Palatino Linotype"/>
          <w:sz w:val="22"/>
          <w:szCs w:val="22"/>
          <w:lang w:val="es-ES"/>
        </w:rPr>
      </w:pPr>
      <w:proofErr w:type="spellStart"/>
      <w:r>
        <w:rPr>
          <w:rFonts w:eastAsia="Palatino Linotype"/>
          <w:spacing w:val="-3"/>
          <w:sz w:val="22"/>
          <w:szCs w:val="22"/>
          <w:lang w:val="es-ES"/>
        </w:rPr>
        <w:t>When</w:t>
      </w:r>
      <w:r>
        <w:rPr>
          <w:rFonts w:eastAsia="Palatino Linotype"/>
          <w:sz w:val="22"/>
          <w:szCs w:val="22"/>
          <w:lang w:val="es-ES"/>
        </w:rPr>
        <w:t>or</w:t>
      </w:r>
      <w:proofErr w:type="spellEnd"/>
      <w:r>
        <w:rPr>
          <w:rFonts w:eastAsia="Palatino Linotype"/>
          <w:sz w:val="22"/>
          <w:szCs w:val="22"/>
          <w:lang w:val="es-ES"/>
        </w:rPr>
        <w:t xml:space="preserve"> </w:t>
      </w:r>
      <w:proofErr w:type="spellStart"/>
      <w:r>
        <w:rPr>
          <w:rFonts w:eastAsia="Palatino Linotype"/>
          <w:sz w:val="22"/>
          <w:szCs w:val="22"/>
          <w:lang w:val="es-ES"/>
        </w:rPr>
        <w:t>if</w:t>
      </w:r>
      <w:proofErr w:type="spellEnd"/>
      <w:r>
        <w:rPr>
          <w:rFonts w:eastAsia="Palatino Linotype"/>
          <w:sz w:val="22"/>
          <w:szCs w:val="22"/>
          <w:lang w:val="es-ES"/>
        </w:rPr>
        <w:t xml:space="preserve"> </w:t>
      </w:r>
      <w:proofErr w:type="spellStart"/>
      <w:r>
        <w:rPr>
          <w:rFonts w:eastAsia="Palatino Linotype"/>
          <w:sz w:val="22"/>
          <w:szCs w:val="22"/>
          <w:lang w:val="es-ES"/>
        </w:rPr>
        <w:t>the</w:t>
      </w:r>
      <w:proofErr w:type="spellEnd"/>
      <w:r>
        <w:rPr>
          <w:rFonts w:eastAsia="Palatino Linotype"/>
          <w:sz w:val="22"/>
          <w:szCs w:val="22"/>
          <w:lang w:val="es-ES"/>
        </w:rPr>
        <w:t xml:space="preserve"> </w:t>
      </w:r>
      <w:proofErr w:type="spellStart"/>
      <w:r>
        <w:rPr>
          <w:rFonts w:eastAsia="Palatino Linotype"/>
          <w:sz w:val="22"/>
          <w:szCs w:val="22"/>
          <w:lang w:val="es-ES"/>
        </w:rPr>
        <w:t>other</w:t>
      </w:r>
      <w:proofErr w:type="spellEnd"/>
      <w:r>
        <w:rPr>
          <w:rFonts w:eastAsia="Palatino Linotype"/>
          <w:sz w:val="22"/>
          <w:szCs w:val="22"/>
          <w:lang w:val="es-ES"/>
        </w:rPr>
        <w:t xml:space="preserve"> </w:t>
      </w:r>
      <w:proofErr w:type="spellStart"/>
      <w:r>
        <w:rPr>
          <w:rFonts w:eastAsia="Palatino Linotype"/>
          <w:sz w:val="22"/>
          <w:szCs w:val="22"/>
          <w:lang w:val="es-ES"/>
        </w:rPr>
        <w:t>evaluation</w:t>
      </w:r>
      <w:proofErr w:type="spellEnd"/>
      <w:r>
        <w:rPr>
          <w:rFonts w:eastAsia="Palatino Linotype"/>
          <w:sz w:val="22"/>
          <w:szCs w:val="22"/>
          <w:lang w:val="es-ES"/>
        </w:rPr>
        <w:t xml:space="preserve"> </w:t>
      </w:r>
      <w:proofErr w:type="spellStart"/>
      <w:r>
        <w:rPr>
          <w:rFonts w:eastAsia="Palatino Linotype"/>
          <w:sz w:val="22"/>
          <w:szCs w:val="22"/>
          <w:lang w:val="es-ES"/>
        </w:rPr>
        <w:t>criteria</w:t>
      </w:r>
      <w:proofErr w:type="spellEnd"/>
      <w:r>
        <w:rPr>
          <w:rFonts w:eastAsia="Palatino Linotype"/>
          <w:sz w:val="22"/>
          <w:szCs w:val="22"/>
          <w:lang w:val="es-ES"/>
        </w:rPr>
        <w:t xml:space="preserve">, </w:t>
      </w:r>
      <w:proofErr w:type="spellStart"/>
      <w:r>
        <w:rPr>
          <w:rFonts w:eastAsia="Palatino Linotype"/>
          <w:sz w:val="22"/>
          <w:szCs w:val="22"/>
          <w:lang w:val="es-ES"/>
        </w:rPr>
        <w:t>established</w:t>
      </w:r>
      <w:proofErr w:type="spellEnd"/>
      <w:r>
        <w:rPr>
          <w:rFonts w:eastAsia="Palatino Linotype"/>
          <w:sz w:val="22"/>
          <w:szCs w:val="22"/>
          <w:lang w:val="es-ES"/>
        </w:rPr>
        <w:t xml:space="preserve"> in </w:t>
      </w:r>
      <w:proofErr w:type="spellStart"/>
      <w:r>
        <w:rPr>
          <w:rFonts w:eastAsia="Palatino Linotype"/>
          <w:sz w:val="22"/>
          <w:szCs w:val="22"/>
          <w:lang w:val="es-ES"/>
        </w:rPr>
        <w:t>the</w:t>
      </w:r>
      <w:proofErr w:type="spellEnd"/>
      <w:r>
        <w:rPr>
          <w:rFonts w:eastAsia="Palatino Linotype"/>
          <w:sz w:val="22"/>
          <w:szCs w:val="22"/>
          <w:lang w:val="es-ES"/>
        </w:rPr>
        <w:t xml:space="preserve"> </w:t>
      </w:r>
      <w:proofErr w:type="spellStart"/>
      <w:r>
        <w:rPr>
          <w:rFonts w:eastAsia="Palatino Linotype"/>
          <w:sz w:val="22"/>
          <w:szCs w:val="22"/>
          <w:lang w:val="es-ES"/>
        </w:rPr>
        <w:t>Specifications</w:t>
      </w:r>
      <w:proofErr w:type="spellEnd"/>
      <w:r>
        <w:rPr>
          <w:rFonts w:eastAsia="Palatino Linotype"/>
          <w:sz w:val="22"/>
          <w:szCs w:val="22"/>
          <w:lang w:val="es-ES"/>
        </w:rPr>
        <w:t xml:space="preserve">, </w:t>
      </w:r>
      <w:proofErr w:type="spellStart"/>
      <w:r>
        <w:rPr>
          <w:rFonts w:eastAsia="Palatino Linotype"/>
          <w:sz w:val="22"/>
          <w:szCs w:val="22"/>
          <w:lang w:val="es-ES"/>
        </w:rPr>
        <w:t>have</w:t>
      </w:r>
      <w:proofErr w:type="spellEnd"/>
      <w:r>
        <w:rPr>
          <w:rFonts w:eastAsia="Palatino Linotype"/>
          <w:sz w:val="22"/>
          <w:szCs w:val="22"/>
          <w:lang w:val="es-ES"/>
        </w:rPr>
        <w:t xml:space="preserve"> a </w:t>
      </w:r>
      <w:proofErr w:type="spellStart"/>
      <w:r>
        <w:rPr>
          <w:rFonts w:eastAsia="Palatino Linotype"/>
          <w:sz w:val="22"/>
          <w:szCs w:val="22"/>
          <w:lang w:val="es-ES"/>
        </w:rPr>
        <w:t>monetary</w:t>
      </w:r>
      <w:proofErr w:type="spellEnd"/>
      <w:r>
        <w:rPr>
          <w:rFonts w:eastAsia="Palatino Linotype"/>
          <w:sz w:val="22"/>
          <w:szCs w:val="22"/>
          <w:lang w:val="es-ES"/>
        </w:rPr>
        <w:t xml:space="preserve"> </w:t>
      </w:r>
      <w:proofErr w:type="spellStart"/>
      <w:r>
        <w:rPr>
          <w:rFonts w:eastAsia="Palatino Linotype"/>
          <w:sz w:val="22"/>
          <w:szCs w:val="22"/>
          <w:lang w:val="es-ES"/>
        </w:rPr>
        <w:t>value</w:t>
      </w:r>
      <w:proofErr w:type="spellEnd"/>
      <w:r>
        <w:rPr>
          <w:rFonts w:eastAsia="Palatino Linotype"/>
          <w:sz w:val="22"/>
          <w:szCs w:val="22"/>
          <w:lang w:val="es-ES"/>
        </w:rPr>
        <w:t xml:space="preserve">, </w:t>
      </w:r>
      <w:proofErr w:type="spellStart"/>
      <w:r>
        <w:rPr>
          <w:rFonts w:eastAsia="Palatino Linotype"/>
          <w:sz w:val="22"/>
          <w:szCs w:val="22"/>
          <w:lang w:val="es-ES"/>
        </w:rPr>
        <w:t>it</w:t>
      </w:r>
      <w:proofErr w:type="spellEnd"/>
      <w:r>
        <w:rPr>
          <w:rFonts w:eastAsia="Palatino Linotype"/>
          <w:sz w:val="22"/>
          <w:szCs w:val="22"/>
          <w:lang w:val="es-ES"/>
        </w:rPr>
        <w:t xml:space="preserve"> </w:t>
      </w:r>
      <w:proofErr w:type="spellStart"/>
      <w:r>
        <w:rPr>
          <w:rFonts w:eastAsia="Palatino Linotype"/>
          <w:sz w:val="22"/>
          <w:szCs w:val="22"/>
          <w:lang w:val="es-ES"/>
        </w:rPr>
        <w:t>will</w:t>
      </w:r>
      <w:proofErr w:type="spellEnd"/>
      <w:r>
        <w:rPr>
          <w:rFonts w:eastAsia="Palatino Linotype"/>
          <w:sz w:val="22"/>
          <w:szCs w:val="22"/>
          <w:lang w:val="es-ES"/>
        </w:rPr>
        <w:t xml:space="preserve"> be </w:t>
      </w:r>
      <w:proofErr w:type="spellStart"/>
      <w:r>
        <w:rPr>
          <w:rFonts w:eastAsia="Palatino Linotype"/>
          <w:sz w:val="22"/>
          <w:szCs w:val="22"/>
          <w:lang w:val="es-ES"/>
        </w:rPr>
        <w:t>added</w:t>
      </w:r>
      <w:proofErr w:type="spellEnd"/>
      <w:r>
        <w:rPr>
          <w:rFonts w:eastAsia="Palatino Linotype"/>
          <w:sz w:val="22"/>
          <w:szCs w:val="22"/>
          <w:lang w:val="es-ES"/>
        </w:rPr>
        <w:t xml:space="preserve"> </w:t>
      </w:r>
      <w:proofErr w:type="spellStart"/>
      <w:r>
        <w:rPr>
          <w:rFonts w:eastAsia="Palatino Linotype"/>
          <w:sz w:val="22"/>
          <w:szCs w:val="22"/>
          <w:lang w:val="es-ES"/>
        </w:rPr>
        <w:t>to</w:t>
      </w:r>
      <w:proofErr w:type="spellEnd"/>
      <w:r>
        <w:rPr>
          <w:rFonts w:eastAsia="Palatino Linotype"/>
          <w:sz w:val="22"/>
          <w:szCs w:val="22"/>
          <w:lang w:val="es-ES"/>
        </w:rPr>
        <w:t xml:space="preserve"> </w:t>
      </w:r>
      <w:proofErr w:type="spellStart"/>
      <w:r>
        <w:rPr>
          <w:rFonts w:eastAsia="Palatino Linotype"/>
          <w:sz w:val="22"/>
          <w:szCs w:val="22"/>
          <w:lang w:val="es-ES"/>
        </w:rPr>
        <w:t>the</w:t>
      </w:r>
      <w:proofErr w:type="spellEnd"/>
      <w:r>
        <w:rPr>
          <w:rFonts w:eastAsia="Palatino Linotype"/>
          <w:sz w:val="22"/>
          <w:szCs w:val="22"/>
          <w:lang w:val="es-ES"/>
        </w:rPr>
        <w:t xml:space="preserve"> comparative </w:t>
      </w:r>
      <w:proofErr w:type="spellStart"/>
      <w:r>
        <w:rPr>
          <w:rFonts w:eastAsia="Palatino Linotype"/>
          <w:sz w:val="22"/>
          <w:szCs w:val="22"/>
          <w:lang w:val="es-ES"/>
        </w:rPr>
        <w:t>price</w:t>
      </w:r>
      <w:proofErr w:type="spellEnd"/>
      <w:r>
        <w:rPr>
          <w:rFonts w:eastAsia="Palatino Linotype"/>
          <w:sz w:val="22"/>
          <w:szCs w:val="22"/>
          <w:lang w:val="es-ES"/>
        </w:rPr>
        <w:t>.</w:t>
      </w:r>
    </w:p>
    <w:p w14:paraId="7422D7E1" w14:textId="77777777" w:rsidR="00E255F4" w:rsidRDefault="00E255F4">
      <w:pPr>
        <w:ind w:right="-142"/>
        <w:jc w:val="both"/>
        <w:rPr>
          <w:rFonts w:eastAsia="Palatino Linotype"/>
          <w:sz w:val="22"/>
          <w:szCs w:val="22"/>
          <w:lang w:val="es-ES"/>
        </w:rPr>
      </w:pPr>
    </w:p>
    <w:p w14:paraId="77C0D051" w14:textId="77777777" w:rsidR="00E255F4" w:rsidRDefault="00000000">
      <w:pPr>
        <w:ind w:right="-142"/>
        <w:jc w:val="both"/>
        <w:rPr>
          <w:rFonts w:eastAsia="Palatino Linotype"/>
          <w:spacing w:val="-3"/>
          <w:sz w:val="22"/>
          <w:szCs w:val="22"/>
          <w:lang w:val="es-ES"/>
        </w:rPr>
      </w:pPr>
      <w:r>
        <w:rPr>
          <w:rFonts w:eastAsia="Palatino Linotype"/>
          <w:spacing w:val="-3"/>
          <w:sz w:val="22"/>
          <w:szCs w:val="22"/>
          <w:lang w:val="es-ES"/>
        </w:rPr>
        <w:t xml:space="preserve">In </w:t>
      </w:r>
      <w:proofErr w:type="spellStart"/>
      <w:r>
        <w:rPr>
          <w:rFonts w:eastAsia="Palatino Linotype"/>
          <w:spacing w:val="-3"/>
          <w:sz w:val="22"/>
          <w:szCs w:val="22"/>
          <w:lang w:val="es-ES"/>
        </w:rPr>
        <w:t>the</w:t>
      </w:r>
      <w:proofErr w:type="spellEnd"/>
      <w:r>
        <w:rPr>
          <w:rFonts w:eastAsia="Palatino Linotype"/>
          <w:spacing w:val="-3"/>
          <w:sz w:val="22"/>
          <w:szCs w:val="22"/>
          <w:lang w:val="es-ES"/>
        </w:rPr>
        <w:t xml:space="preserve"> </w:t>
      </w:r>
      <w:proofErr w:type="spellStart"/>
      <w:r>
        <w:rPr>
          <w:rFonts w:eastAsia="Palatino Linotype"/>
          <w:spacing w:val="-3"/>
          <w:sz w:val="22"/>
          <w:szCs w:val="22"/>
          <w:lang w:val="es-ES"/>
        </w:rPr>
        <w:t>event</w:t>
      </w:r>
      <w:proofErr w:type="spellEnd"/>
      <w:r>
        <w:rPr>
          <w:rFonts w:eastAsia="Palatino Linotype"/>
          <w:spacing w:val="-3"/>
          <w:sz w:val="22"/>
          <w:szCs w:val="22"/>
          <w:lang w:val="es-ES"/>
        </w:rPr>
        <w:t xml:space="preserve"> </w:t>
      </w:r>
      <w:proofErr w:type="spellStart"/>
      <w:r>
        <w:rPr>
          <w:rFonts w:eastAsia="Palatino Linotype"/>
          <w:spacing w:val="-3"/>
          <w:sz w:val="22"/>
          <w:szCs w:val="22"/>
          <w:lang w:val="es-ES"/>
        </w:rPr>
        <w:t>of</w:t>
      </w:r>
      <w:proofErr w:type="spellEnd"/>
      <w:r>
        <w:rPr>
          <w:rFonts w:eastAsia="Palatino Linotype"/>
          <w:spacing w:val="-3"/>
          <w:sz w:val="22"/>
          <w:szCs w:val="22"/>
          <w:lang w:val="es-ES"/>
        </w:rPr>
        <w:t xml:space="preserve"> non-</w:t>
      </w:r>
      <w:proofErr w:type="spellStart"/>
      <w:r>
        <w:rPr>
          <w:rFonts w:eastAsia="Palatino Linotype"/>
          <w:spacing w:val="-3"/>
          <w:sz w:val="22"/>
          <w:szCs w:val="22"/>
          <w:lang w:val="es-ES"/>
        </w:rPr>
        <w:t>declaration</w:t>
      </w:r>
      <w:proofErr w:type="spellEnd"/>
      <w:r>
        <w:rPr>
          <w:rFonts w:eastAsia="Palatino Linotype"/>
          <w:spacing w:val="-3"/>
          <w:sz w:val="22"/>
          <w:szCs w:val="22"/>
          <w:lang w:val="es-ES"/>
        </w:rPr>
        <w:t xml:space="preserve"> </w:t>
      </w:r>
      <w:proofErr w:type="spellStart"/>
      <w:r>
        <w:rPr>
          <w:rFonts w:eastAsia="Palatino Linotype"/>
          <w:spacing w:val="-3"/>
          <w:sz w:val="22"/>
          <w:szCs w:val="22"/>
          <w:lang w:val="es-ES"/>
        </w:rPr>
        <w:t>of</w:t>
      </w:r>
      <w:proofErr w:type="spellEnd"/>
      <w:r>
        <w:rPr>
          <w:rFonts w:eastAsia="Palatino Linotype"/>
          <w:spacing w:val="-3"/>
          <w:sz w:val="22"/>
          <w:szCs w:val="22"/>
          <w:lang w:val="es-ES"/>
        </w:rPr>
        <w:t xml:space="preserve"> </w:t>
      </w:r>
      <w:proofErr w:type="spellStart"/>
      <w:r>
        <w:rPr>
          <w:rFonts w:eastAsia="Palatino Linotype"/>
          <w:spacing w:val="-3"/>
          <w:sz w:val="22"/>
          <w:szCs w:val="22"/>
          <w:lang w:val="es-ES"/>
        </w:rPr>
        <w:t>the</w:t>
      </w:r>
      <w:proofErr w:type="spellEnd"/>
      <w:r>
        <w:rPr>
          <w:rFonts w:eastAsia="Palatino Linotype"/>
          <w:spacing w:val="-3"/>
          <w:sz w:val="22"/>
          <w:szCs w:val="22"/>
          <w:lang w:val="es-ES"/>
        </w:rPr>
        <w:t xml:space="preserve"> </w:t>
      </w:r>
      <w:proofErr w:type="spellStart"/>
      <w:r>
        <w:rPr>
          <w:rFonts w:eastAsia="Palatino Linotype"/>
          <w:spacing w:val="-3"/>
          <w:sz w:val="22"/>
          <w:szCs w:val="22"/>
          <w:lang w:val="es-ES"/>
        </w:rPr>
        <w:t>aforementioned</w:t>
      </w:r>
      <w:proofErr w:type="spellEnd"/>
      <w:r>
        <w:rPr>
          <w:rFonts w:eastAsia="Palatino Linotype"/>
          <w:spacing w:val="-3"/>
          <w:sz w:val="22"/>
          <w:szCs w:val="22"/>
          <w:lang w:val="es-ES"/>
        </w:rPr>
        <w:t xml:space="preserve"> </w:t>
      </w:r>
      <w:proofErr w:type="spellStart"/>
      <w:r>
        <w:rPr>
          <w:rFonts w:eastAsia="Palatino Linotype"/>
          <w:spacing w:val="-3"/>
          <w:sz w:val="22"/>
          <w:szCs w:val="22"/>
          <w:lang w:val="es-ES"/>
        </w:rPr>
        <w:t>percentage</w:t>
      </w:r>
      <w:proofErr w:type="spellEnd"/>
      <w:r>
        <w:rPr>
          <w:rFonts w:eastAsia="Palatino Linotype"/>
          <w:spacing w:val="-3"/>
          <w:sz w:val="22"/>
          <w:szCs w:val="22"/>
          <w:lang w:val="es-ES"/>
        </w:rPr>
        <w:t xml:space="preserve">, </w:t>
      </w:r>
      <w:proofErr w:type="spellStart"/>
      <w:r>
        <w:rPr>
          <w:rFonts w:eastAsia="Palatino Linotype"/>
          <w:spacing w:val="-3"/>
          <w:sz w:val="22"/>
          <w:szCs w:val="22"/>
          <w:lang w:val="es-ES"/>
        </w:rPr>
        <w:t>the</w:t>
      </w:r>
      <w:proofErr w:type="spellEnd"/>
      <w:r>
        <w:rPr>
          <w:rFonts w:eastAsia="Palatino Linotype"/>
          <w:spacing w:val="-3"/>
          <w:sz w:val="22"/>
          <w:szCs w:val="22"/>
          <w:lang w:val="es-ES"/>
        </w:rPr>
        <w:t xml:space="preserve"> </w:t>
      </w:r>
      <w:proofErr w:type="spellStart"/>
      <w:r>
        <w:rPr>
          <w:rFonts w:eastAsia="Palatino Linotype"/>
          <w:spacing w:val="-3"/>
          <w:sz w:val="22"/>
          <w:szCs w:val="22"/>
          <w:lang w:val="es-ES"/>
        </w:rPr>
        <w:t>present</w:t>
      </w:r>
      <w:proofErr w:type="spellEnd"/>
      <w:r>
        <w:rPr>
          <w:rFonts w:eastAsia="Palatino Linotype"/>
          <w:spacing w:val="-3"/>
          <w:sz w:val="22"/>
          <w:szCs w:val="22"/>
          <w:lang w:val="es-ES"/>
        </w:rPr>
        <w:t xml:space="preserve"> </w:t>
      </w:r>
      <w:proofErr w:type="spellStart"/>
      <w:r>
        <w:rPr>
          <w:rFonts w:eastAsia="Palatino Linotype"/>
          <w:spacing w:val="-3"/>
          <w:sz w:val="22"/>
          <w:szCs w:val="22"/>
          <w:lang w:val="es-ES"/>
        </w:rPr>
        <w:t>benefit</w:t>
      </w:r>
      <w:proofErr w:type="spellEnd"/>
      <w:r>
        <w:rPr>
          <w:rFonts w:eastAsia="Palatino Linotype"/>
          <w:spacing w:val="-3"/>
          <w:sz w:val="22"/>
          <w:szCs w:val="22"/>
          <w:lang w:val="es-ES"/>
        </w:rPr>
        <w:t xml:space="preserve"> </w:t>
      </w:r>
      <w:proofErr w:type="spellStart"/>
      <w:r>
        <w:rPr>
          <w:rFonts w:eastAsia="Palatino Linotype"/>
          <w:spacing w:val="-3"/>
          <w:sz w:val="22"/>
          <w:szCs w:val="22"/>
          <w:lang w:val="es-ES"/>
        </w:rPr>
        <w:t>will</w:t>
      </w:r>
      <w:proofErr w:type="spellEnd"/>
      <w:r>
        <w:rPr>
          <w:rFonts w:eastAsia="Palatino Linotype"/>
          <w:spacing w:val="-3"/>
          <w:sz w:val="22"/>
          <w:szCs w:val="22"/>
          <w:lang w:val="es-ES"/>
        </w:rPr>
        <w:t xml:space="preserve"> </w:t>
      </w:r>
      <w:proofErr w:type="spellStart"/>
      <w:r>
        <w:rPr>
          <w:rFonts w:eastAsia="Palatino Linotype"/>
          <w:spacing w:val="-3"/>
          <w:sz w:val="22"/>
          <w:szCs w:val="22"/>
          <w:lang w:val="es-ES"/>
        </w:rPr>
        <w:t>not</w:t>
      </w:r>
      <w:proofErr w:type="spellEnd"/>
      <w:r>
        <w:rPr>
          <w:rFonts w:eastAsia="Palatino Linotype"/>
          <w:spacing w:val="-3"/>
          <w:sz w:val="22"/>
          <w:szCs w:val="22"/>
          <w:lang w:val="es-ES"/>
        </w:rPr>
        <w:t xml:space="preserve"> be </w:t>
      </w:r>
      <w:proofErr w:type="spellStart"/>
      <w:r>
        <w:rPr>
          <w:rFonts w:eastAsia="Palatino Linotype"/>
          <w:spacing w:val="-3"/>
          <w:sz w:val="22"/>
          <w:szCs w:val="22"/>
          <w:lang w:val="es-ES"/>
        </w:rPr>
        <w:t>applicable</w:t>
      </w:r>
      <w:proofErr w:type="spellEnd"/>
      <w:r>
        <w:rPr>
          <w:rFonts w:eastAsia="Palatino Linotype"/>
          <w:spacing w:val="-3"/>
          <w:sz w:val="22"/>
          <w:szCs w:val="22"/>
          <w:lang w:val="es-ES"/>
        </w:rPr>
        <w:t>.</w:t>
      </w:r>
    </w:p>
    <w:p w14:paraId="3B049DC0" w14:textId="77777777" w:rsidR="00E255F4" w:rsidRDefault="00E255F4">
      <w:pPr>
        <w:ind w:right="-142"/>
        <w:jc w:val="both"/>
        <w:rPr>
          <w:rFonts w:eastAsia="Palatino Linotype"/>
          <w:spacing w:val="-3"/>
          <w:sz w:val="22"/>
          <w:szCs w:val="22"/>
          <w:lang w:val="es-ES"/>
        </w:rPr>
      </w:pPr>
    </w:p>
    <w:p w14:paraId="3B249F00" w14:textId="77777777" w:rsidR="00E255F4" w:rsidRDefault="00000000">
      <w:pPr>
        <w:ind w:right="-142"/>
        <w:jc w:val="both"/>
        <w:rPr>
          <w:rFonts w:eastAsia="Palatino Linotype"/>
          <w:sz w:val="22"/>
          <w:szCs w:val="22"/>
          <w:lang w:val="es-ES"/>
        </w:rPr>
      </w:pPr>
      <w:r>
        <w:rPr>
          <w:rFonts w:eastAsia="Palatino Linotype"/>
          <w:b/>
          <w:spacing w:val="-1"/>
          <w:sz w:val="22"/>
          <w:szCs w:val="22"/>
          <w:lang w:val="es-ES"/>
        </w:rPr>
        <w:t>b2</w:t>
      </w:r>
      <w:r>
        <w:rPr>
          <w:rFonts w:eastAsia="Palatino Linotype"/>
          <w:b/>
          <w:sz w:val="22"/>
          <w:szCs w:val="22"/>
          <w:lang w:val="es-ES"/>
        </w:rPr>
        <w:t>)</w:t>
      </w:r>
      <w:r>
        <w:rPr>
          <w:rFonts w:eastAsia="Palatino Linotype"/>
          <w:b/>
          <w:spacing w:val="-2"/>
          <w:sz w:val="22"/>
          <w:szCs w:val="22"/>
          <w:lang w:val="es-ES"/>
        </w:rPr>
        <w:t xml:space="preserve"> </w:t>
      </w:r>
      <w:r>
        <w:rPr>
          <w:rFonts w:eastAsia="Palatino Linotype"/>
          <w:b/>
          <w:spacing w:val="-2"/>
          <w:sz w:val="22"/>
          <w:szCs w:val="22"/>
          <w:lang w:val="es-ES"/>
        </w:rPr>
        <w:tab/>
      </w:r>
      <w:proofErr w:type="spellStart"/>
      <w:r>
        <w:rPr>
          <w:rFonts w:eastAsia="Palatino Linotype"/>
          <w:b/>
          <w:spacing w:val="-1"/>
          <w:sz w:val="22"/>
          <w:szCs w:val="22"/>
          <w:lang w:val="es-ES"/>
        </w:rPr>
        <w:t>Reserve</w:t>
      </w:r>
      <w:r>
        <w:rPr>
          <w:rFonts w:eastAsia="Palatino Linotype"/>
          <w:b/>
          <w:sz w:val="22"/>
          <w:szCs w:val="22"/>
          <w:lang w:val="es-ES"/>
        </w:rPr>
        <w:t>a</w:t>
      </w:r>
      <w:proofErr w:type="spellEnd"/>
      <w:r>
        <w:rPr>
          <w:rFonts w:eastAsia="Palatino Linotype"/>
          <w:b/>
          <w:sz w:val="22"/>
          <w:szCs w:val="22"/>
          <w:lang w:val="es-ES"/>
        </w:rPr>
        <w:t xml:space="preserve"> </w:t>
      </w:r>
      <w:proofErr w:type="spellStart"/>
      <w:r>
        <w:rPr>
          <w:rFonts w:eastAsia="Palatino Linotype"/>
          <w:b/>
          <w:sz w:val="22"/>
          <w:szCs w:val="22"/>
          <w:lang w:val="es-ES"/>
        </w:rPr>
        <w:t>market</w:t>
      </w:r>
      <w:proofErr w:type="spellEnd"/>
      <w:r>
        <w:rPr>
          <w:rFonts w:eastAsia="Palatino Linotype"/>
          <w:b/>
          <w:sz w:val="22"/>
          <w:szCs w:val="22"/>
          <w:lang w:val="es-ES"/>
        </w:rPr>
        <w:t xml:space="preserve"> </w:t>
      </w:r>
      <w:proofErr w:type="spellStart"/>
      <w:r>
        <w:rPr>
          <w:rFonts w:eastAsia="Palatino Linotype"/>
          <w:b/>
          <w:sz w:val="22"/>
          <w:szCs w:val="22"/>
          <w:lang w:val="es-ES"/>
        </w:rPr>
        <w:t>for</w:t>
      </w:r>
      <w:proofErr w:type="spellEnd"/>
      <w:r>
        <w:rPr>
          <w:rFonts w:eastAsia="Palatino Linotype"/>
          <w:b/>
          <w:sz w:val="22"/>
          <w:szCs w:val="22"/>
          <w:lang w:val="es-ES"/>
        </w:rPr>
        <w:t xml:space="preserve"> </w:t>
      </w:r>
      <w:proofErr w:type="spellStart"/>
      <w:r>
        <w:rPr>
          <w:rFonts w:eastAsia="Palatino Linotype"/>
          <w:b/>
          <w:sz w:val="22"/>
          <w:szCs w:val="22"/>
          <w:lang w:val="es-ES"/>
        </w:rPr>
        <w:t>MSMEs</w:t>
      </w:r>
      <w:proofErr w:type="spellEnd"/>
    </w:p>
    <w:p w14:paraId="06F48B16" w14:textId="77777777" w:rsidR="00E255F4" w:rsidRDefault="00E255F4">
      <w:pPr>
        <w:ind w:right="-142"/>
        <w:jc w:val="both"/>
        <w:rPr>
          <w:rFonts w:eastAsia="Palatino Linotype"/>
          <w:sz w:val="22"/>
          <w:szCs w:val="22"/>
          <w:lang w:val="es-ES"/>
        </w:rPr>
      </w:pPr>
    </w:p>
    <w:p w14:paraId="6E88746D" w14:textId="77777777" w:rsidR="00E255F4" w:rsidRDefault="00000000">
      <w:pPr>
        <w:ind w:right="-142"/>
        <w:jc w:val="both"/>
        <w:rPr>
          <w:rFonts w:eastAsia="Palatino Linotype"/>
          <w:sz w:val="22"/>
          <w:szCs w:val="22"/>
          <w:lang w:val="es-ES"/>
        </w:rPr>
      </w:pPr>
      <w:r>
        <w:rPr>
          <w:rFonts w:eastAsia="Palatino Linotype"/>
          <w:spacing w:val="3"/>
          <w:sz w:val="22"/>
          <w:szCs w:val="22"/>
          <w:lang w:val="es-ES"/>
        </w:rPr>
        <w:t>Yo</w:t>
      </w:r>
      <w:r>
        <w:rPr>
          <w:rFonts w:eastAsia="Palatino Linotype"/>
          <w:sz w:val="22"/>
          <w:szCs w:val="22"/>
          <w:lang w:val="es-ES"/>
        </w:rPr>
        <w:t xml:space="preserve">) </w:t>
      </w:r>
      <w:proofErr w:type="spellStart"/>
      <w:r>
        <w:rPr>
          <w:rFonts w:eastAsia="Palatino Linotype"/>
          <w:sz w:val="22"/>
          <w:szCs w:val="22"/>
          <w:lang w:val="es-ES"/>
        </w:rPr>
        <w:t>Companies</w:t>
      </w:r>
      <w:proofErr w:type="spellEnd"/>
      <w:r>
        <w:rPr>
          <w:rFonts w:eastAsia="Palatino Linotype"/>
          <w:sz w:val="22"/>
          <w:szCs w:val="22"/>
          <w:lang w:val="es-ES"/>
        </w:rPr>
        <w:t xml:space="preserve"> </w:t>
      </w:r>
      <w:proofErr w:type="spellStart"/>
      <w:r>
        <w:rPr>
          <w:rFonts w:eastAsia="Palatino Linotype"/>
          <w:sz w:val="22"/>
          <w:szCs w:val="22"/>
          <w:lang w:val="es-ES"/>
        </w:rPr>
        <w:t>that</w:t>
      </w:r>
      <w:proofErr w:type="spellEnd"/>
      <w:r>
        <w:rPr>
          <w:rFonts w:eastAsia="Palatino Linotype"/>
          <w:sz w:val="22"/>
          <w:szCs w:val="22"/>
          <w:lang w:val="es-ES"/>
        </w:rPr>
        <w:t xml:space="preserve"> </w:t>
      </w:r>
      <w:proofErr w:type="spellStart"/>
      <w:r>
        <w:rPr>
          <w:rFonts w:eastAsia="Palatino Linotype"/>
          <w:sz w:val="22"/>
          <w:szCs w:val="22"/>
          <w:lang w:val="es-ES"/>
        </w:rPr>
        <w:t>meet</w:t>
      </w:r>
      <w:proofErr w:type="spellEnd"/>
      <w:r>
        <w:rPr>
          <w:rFonts w:eastAsia="Palatino Linotype"/>
          <w:sz w:val="22"/>
          <w:szCs w:val="22"/>
          <w:lang w:val="es-ES"/>
        </w:rPr>
        <w:t xml:space="preserve"> </w:t>
      </w:r>
      <w:proofErr w:type="spellStart"/>
      <w:r>
        <w:rPr>
          <w:rFonts w:eastAsia="Palatino Linotype"/>
          <w:sz w:val="22"/>
          <w:szCs w:val="22"/>
          <w:lang w:val="es-ES"/>
        </w:rPr>
        <w:t>the</w:t>
      </w:r>
      <w:proofErr w:type="spellEnd"/>
      <w:r>
        <w:rPr>
          <w:rFonts w:eastAsia="Palatino Linotype"/>
          <w:sz w:val="22"/>
          <w:szCs w:val="22"/>
          <w:lang w:val="es-ES"/>
        </w:rPr>
        <w:t xml:space="preserve"> </w:t>
      </w:r>
      <w:proofErr w:type="spellStart"/>
      <w:r>
        <w:rPr>
          <w:rFonts w:eastAsia="Palatino Linotype"/>
          <w:sz w:val="22"/>
          <w:szCs w:val="22"/>
          <w:lang w:val="es-ES"/>
        </w:rPr>
        <w:t>requirements</w:t>
      </w:r>
      <w:proofErr w:type="spellEnd"/>
      <w:r>
        <w:rPr>
          <w:rFonts w:eastAsia="Palatino Linotype"/>
          <w:sz w:val="22"/>
          <w:szCs w:val="22"/>
          <w:lang w:val="es-ES"/>
        </w:rPr>
        <w:t xml:space="preserve"> set </w:t>
      </w:r>
      <w:proofErr w:type="spellStart"/>
      <w:r>
        <w:rPr>
          <w:rFonts w:eastAsia="Palatino Linotype"/>
          <w:sz w:val="22"/>
          <w:szCs w:val="22"/>
          <w:lang w:val="es-ES"/>
        </w:rPr>
        <w:t>out</w:t>
      </w:r>
      <w:proofErr w:type="spellEnd"/>
      <w:r>
        <w:rPr>
          <w:rFonts w:eastAsia="Palatino Linotype"/>
          <w:sz w:val="22"/>
          <w:szCs w:val="22"/>
          <w:lang w:val="es-ES"/>
        </w:rPr>
        <w:t xml:space="preserve"> in </w:t>
      </w:r>
      <w:proofErr w:type="spellStart"/>
      <w:r>
        <w:rPr>
          <w:rFonts w:eastAsia="Palatino Linotype"/>
          <w:sz w:val="22"/>
          <w:szCs w:val="22"/>
          <w:lang w:val="es-ES"/>
        </w:rPr>
        <w:t>points</w:t>
      </w:r>
      <w:proofErr w:type="spellEnd"/>
      <w:r>
        <w:rPr>
          <w:rFonts w:eastAsia="Palatino Linotype"/>
          <w:sz w:val="22"/>
          <w:szCs w:val="22"/>
          <w:lang w:val="es-ES"/>
        </w:rPr>
        <w:t xml:space="preserve"> i) and </w:t>
      </w:r>
      <w:proofErr w:type="spellStart"/>
      <w:r>
        <w:rPr>
          <w:rFonts w:eastAsia="Palatino Linotype"/>
          <w:sz w:val="22"/>
          <w:szCs w:val="22"/>
          <w:lang w:val="es-ES"/>
        </w:rPr>
        <w:t>ii</w:t>
      </w:r>
      <w:proofErr w:type="spellEnd"/>
      <w:r>
        <w:rPr>
          <w:rFonts w:eastAsia="Palatino Linotype"/>
          <w:sz w:val="22"/>
          <w:szCs w:val="22"/>
          <w:lang w:val="es-ES"/>
        </w:rPr>
        <w:t xml:space="preserve">) </w:t>
      </w:r>
      <w:proofErr w:type="spellStart"/>
      <w:r>
        <w:rPr>
          <w:rFonts w:eastAsia="Palatino Linotype"/>
          <w:sz w:val="22"/>
          <w:szCs w:val="22"/>
          <w:lang w:val="es-ES"/>
        </w:rPr>
        <w:t>of</w:t>
      </w:r>
      <w:proofErr w:type="spellEnd"/>
      <w:r>
        <w:rPr>
          <w:rFonts w:eastAsia="Palatino Linotype"/>
          <w:sz w:val="22"/>
          <w:szCs w:val="22"/>
          <w:lang w:val="es-ES"/>
        </w:rPr>
        <w:t xml:space="preserve"> </w:t>
      </w:r>
      <w:proofErr w:type="spellStart"/>
      <w:r>
        <w:rPr>
          <w:rFonts w:eastAsia="Palatino Linotype"/>
          <w:sz w:val="22"/>
          <w:szCs w:val="22"/>
          <w:lang w:val="es-ES"/>
        </w:rPr>
        <w:t>the</w:t>
      </w:r>
      <w:proofErr w:type="spellEnd"/>
      <w:r>
        <w:rPr>
          <w:rFonts w:eastAsia="Palatino Linotype"/>
          <w:sz w:val="22"/>
          <w:szCs w:val="22"/>
          <w:lang w:val="es-ES"/>
        </w:rPr>
        <w:t xml:space="preserve"> </w:t>
      </w:r>
      <w:proofErr w:type="spellStart"/>
      <w:r>
        <w:rPr>
          <w:rFonts w:eastAsia="Palatino Linotype"/>
          <w:sz w:val="22"/>
          <w:szCs w:val="22"/>
          <w:lang w:val="es-ES"/>
        </w:rPr>
        <w:t>preceding</w:t>
      </w:r>
      <w:proofErr w:type="spellEnd"/>
      <w:r>
        <w:rPr>
          <w:rFonts w:eastAsia="Palatino Linotype"/>
          <w:sz w:val="22"/>
          <w:szCs w:val="22"/>
          <w:lang w:val="es-ES"/>
        </w:rPr>
        <w:t xml:space="preserve"> b1) </w:t>
      </w:r>
      <w:proofErr w:type="spellStart"/>
      <w:r>
        <w:rPr>
          <w:rFonts w:eastAsia="Palatino Linotype"/>
          <w:sz w:val="22"/>
          <w:szCs w:val="22"/>
          <w:lang w:val="es-ES"/>
        </w:rPr>
        <w:t>may</w:t>
      </w:r>
      <w:proofErr w:type="spellEnd"/>
      <w:r>
        <w:rPr>
          <w:rFonts w:eastAsia="Palatino Linotype"/>
          <w:sz w:val="22"/>
          <w:szCs w:val="22"/>
          <w:lang w:val="es-ES"/>
        </w:rPr>
        <w:t xml:space="preserve"> </w:t>
      </w:r>
      <w:proofErr w:type="spellStart"/>
      <w:r>
        <w:rPr>
          <w:rFonts w:eastAsia="Palatino Linotype"/>
          <w:sz w:val="22"/>
          <w:szCs w:val="22"/>
          <w:lang w:val="es-ES"/>
        </w:rPr>
        <w:t>submit</w:t>
      </w:r>
      <w:proofErr w:type="spellEnd"/>
      <w:r>
        <w:rPr>
          <w:rFonts w:eastAsia="Palatino Linotype"/>
          <w:sz w:val="22"/>
          <w:szCs w:val="22"/>
          <w:lang w:val="es-ES"/>
        </w:rPr>
        <w:t xml:space="preserve"> </w:t>
      </w:r>
      <w:proofErr w:type="spellStart"/>
      <w:r>
        <w:rPr>
          <w:rFonts w:eastAsia="Palatino Linotype"/>
          <w:sz w:val="22"/>
          <w:szCs w:val="22"/>
          <w:lang w:val="es-ES"/>
        </w:rPr>
        <w:t>their</w:t>
      </w:r>
      <w:proofErr w:type="spellEnd"/>
      <w:r>
        <w:rPr>
          <w:rFonts w:eastAsia="Palatino Linotype"/>
          <w:sz w:val="22"/>
          <w:szCs w:val="22"/>
          <w:lang w:val="es-ES"/>
        </w:rPr>
        <w:t xml:space="preserve"> </w:t>
      </w:r>
      <w:proofErr w:type="spellStart"/>
      <w:r>
        <w:rPr>
          <w:rFonts w:eastAsia="Palatino Linotype"/>
          <w:sz w:val="22"/>
          <w:szCs w:val="22"/>
          <w:lang w:val="es-ES"/>
        </w:rPr>
        <w:t>bids</w:t>
      </w:r>
      <w:proofErr w:type="spellEnd"/>
      <w:r>
        <w:rPr>
          <w:rFonts w:eastAsia="Palatino Linotype"/>
          <w:sz w:val="22"/>
          <w:szCs w:val="22"/>
          <w:lang w:val="es-ES"/>
        </w:rPr>
        <w:t xml:space="preserve"> </w:t>
      </w:r>
      <w:proofErr w:type="spellStart"/>
      <w:r>
        <w:rPr>
          <w:rFonts w:eastAsia="Palatino Linotype"/>
          <w:sz w:val="22"/>
          <w:szCs w:val="22"/>
          <w:lang w:val="es-ES"/>
        </w:rPr>
        <w:t>for</w:t>
      </w:r>
      <w:proofErr w:type="spellEnd"/>
      <w:r>
        <w:rPr>
          <w:rFonts w:eastAsia="Palatino Linotype"/>
          <w:sz w:val="22"/>
          <w:szCs w:val="22"/>
          <w:lang w:val="es-ES"/>
        </w:rPr>
        <w:t xml:space="preserve"> </w:t>
      </w:r>
      <w:proofErr w:type="spellStart"/>
      <w:r>
        <w:rPr>
          <w:rFonts w:eastAsia="Palatino Linotype"/>
          <w:sz w:val="22"/>
          <w:szCs w:val="22"/>
          <w:lang w:val="es-ES"/>
        </w:rPr>
        <w:t>contracting</w:t>
      </w:r>
      <w:proofErr w:type="spellEnd"/>
      <w:r>
        <w:rPr>
          <w:rFonts w:eastAsia="Palatino Linotype"/>
          <w:sz w:val="22"/>
          <w:szCs w:val="22"/>
          <w:lang w:val="es-ES"/>
        </w:rPr>
        <w:t xml:space="preserve"> </w:t>
      </w:r>
      <w:proofErr w:type="spellStart"/>
      <w:r>
        <w:rPr>
          <w:rFonts w:eastAsia="Palatino Linotype"/>
          <w:sz w:val="22"/>
          <w:szCs w:val="22"/>
          <w:lang w:val="es-ES"/>
        </w:rPr>
        <w:t>or</w:t>
      </w:r>
      <w:proofErr w:type="spellEnd"/>
      <w:r>
        <w:rPr>
          <w:rFonts w:eastAsia="Palatino Linotype"/>
          <w:sz w:val="22"/>
          <w:szCs w:val="22"/>
          <w:lang w:val="es-ES"/>
        </w:rPr>
        <w:t xml:space="preserve"> </w:t>
      </w:r>
      <w:proofErr w:type="spellStart"/>
      <w:r>
        <w:rPr>
          <w:rFonts w:eastAsia="Palatino Linotype"/>
          <w:sz w:val="22"/>
          <w:szCs w:val="22"/>
          <w:lang w:val="es-ES"/>
        </w:rPr>
        <w:t>acquisition</w:t>
      </w:r>
      <w:proofErr w:type="spellEnd"/>
      <w:r>
        <w:rPr>
          <w:rFonts w:eastAsia="Palatino Linotype"/>
          <w:sz w:val="22"/>
          <w:szCs w:val="22"/>
          <w:lang w:val="es-ES"/>
        </w:rPr>
        <w:t xml:space="preserve"> </w:t>
      </w:r>
      <w:proofErr w:type="spellStart"/>
      <w:r>
        <w:rPr>
          <w:rFonts w:eastAsia="Palatino Linotype"/>
          <w:sz w:val="22"/>
          <w:szCs w:val="22"/>
          <w:lang w:val="es-ES"/>
        </w:rPr>
        <w:t>by</w:t>
      </w:r>
      <w:proofErr w:type="spellEnd"/>
      <w:r>
        <w:rPr>
          <w:rFonts w:eastAsia="Palatino Linotype"/>
          <w:sz w:val="22"/>
          <w:szCs w:val="22"/>
          <w:lang w:val="es-ES"/>
        </w:rPr>
        <w:t xml:space="preserve"> </w:t>
      </w:r>
      <w:proofErr w:type="spellStart"/>
      <w:r>
        <w:rPr>
          <w:rFonts w:eastAsia="Palatino Linotype"/>
          <w:sz w:val="22"/>
          <w:szCs w:val="22"/>
          <w:lang w:val="es-ES"/>
        </w:rPr>
        <w:t>explicitly</w:t>
      </w:r>
      <w:proofErr w:type="spellEnd"/>
      <w:r>
        <w:rPr>
          <w:rFonts w:eastAsia="Palatino Linotype"/>
          <w:sz w:val="22"/>
          <w:szCs w:val="22"/>
          <w:lang w:val="es-ES"/>
        </w:rPr>
        <w:t xml:space="preserve"> </w:t>
      </w:r>
      <w:proofErr w:type="spellStart"/>
      <w:r>
        <w:rPr>
          <w:rFonts w:eastAsia="Palatino Linotype"/>
          <w:sz w:val="22"/>
          <w:szCs w:val="22"/>
          <w:lang w:val="es-ES"/>
        </w:rPr>
        <w:t>invoking</w:t>
      </w:r>
      <w:proofErr w:type="spellEnd"/>
      <w:r>
        <w:rPr>
          <w:rFonts w:eastAsia="Palatino Linotype"/>
          <w:sz w:val="22"/>
          <w:szCs w:val="22"/>
          <w:lang w:val="es-ES"/>
        </w:rPr>
        <w:t xml:space="preserve"> </w:t>
      </w:r>
      <w:proofErr w:type="spellStart"/>
      <w:r>
        <w:rPr>
          <w:rFonts w:eastAsia="Palatino Linotype"/>
          <w:sz w:val="22"/>
          <w:szCs w:val="22"/>
          <w:lang w:val="es-ES"/>
        </w:rPr>
        <w:t>the</w:t>
      </w:r>
      <w:proofErr w:type="spellEnd"/>
      <w:r>
        <w:rPr>
          <w:rFonts w:eastAsia="Palatino Linotype"/>
          <w:sz w:val="22"/>
          <w:szCs w:val="22"/>
          <w:lang w:val="es-ES"/>
        </w:rPr>
        <w:t xml:space="preserve"> Market </w:t>
      </w:r>
      <w:proofErr w:type="spellStart"/>
      <w:r>
        <w:rPr>
          <w:rFonts w:eastAsia="Palatino Linotype"/>
          <w:sz w:val="22"/>
          <w:szCs w:val="22"/>
          <w:lang w:val="es-ES"/>
        </w:rPr>
        <w:t>Reservation</w:t>
      </w:r>
      <w:proofErr w:type="spellEnd"/>
      <w:r>
        <w:rPr>
          <w:rFonts w:eastAsia="Palatino Linotype"/>
          <w:sz w:val="22"/>
          <w:szCs w:val="22"/>
          <w:lang w:val="es-ES"/>
        </w:rPr>
        <w:t xml:space="preserve"> </w:t>
      </w:r>
      <w:proofErr w:type="spellStart"/>
      <w:r>
        <w:rPr>
          <w:rFonts w:eastAsia="Palatino Linotype"/>
          <w:sz w:val="22"/>
          <w:szCs w:val="22"/>
          <w:lang w:val="es-ES"/>
        </w:rPr>
        <w:t>mechanism</w:t>
      </w:r>
      <w:proofErr w:type="spellEnd"/>
      <w:r>
        <w:rPr>
          <w:rFonts w:eastAsia="Palatino Linotype"/>
          <w:sz w:val="22"/>
          <w:szCs w:val="22"/>
          <w:lang w:val="es-ES"/>
        </w:rPr>
        <w:t>.</w:t>
      </w:r>
    </w:p>
    <w:p w14:paraId="03E76499" w14:textId="77777777" w:rsidR="00E255F4" w:rsidRDefault="00E255F4">
      <w:pPr>
        <w:ind w:right="-142"/>
        <w:jc w:val="both"/>
        <w:rPr>
          <w:rFonts w:eastAsia="Palatino Linotype"/>
          <w:sz w:val="22"/>
          <w:szCs w:val="22"/>
          <w:lang w:val="es-ES"/>
        </w:rPr>
      </w:pPr>
    </w:p>
    <w:p w14:paraId="5F0B03BE" w14:textId="77777777" w:rsidR="00E255F4" w:rsidRDefault="00000000">
      <w:pPr>
        <w:widowControl w:val="0"/>
        <w:ind w:right="-142"/>
        <w:jc w:val="both"/>
        <w:rPr>
          <w:rFonts w:eastAsia="Palatino Linotype"/>
          <w:sz w:val="22"/>
          <w:szCs w:val="22"/>
          <w:lang w:val="es-ES"/>
        </w:rPr>
      </w:pPr>
      <w:proofErr w:type="spellStart"/>
      <w:r>
        <w:rPr>
          <w:rFonts w:eastAsia="Palatino Linotype"/>
          <w:spacing w:val="4"/>
          <w:sz w:val="22"/>
          <w:szCs w:val="22"/>
          <w:lang w:val="es-ES"/>
        </w:rPr>
        <w:t>ii</w:t>
      </w:r>
      <w:proofErr w:type="spellEnd"/>
      <w:r>
        <w:rPr>
          <w:rFonts w:eastAsia="Palatino Linotype"/>
          <w:sz w:val="22"/>
          <w:szCs w:val="22"/>
          <w:lang w:val="es-ES"/>
        </w:rPr>
        <w:t xml:space="preserve">) </w:t>
      </w:r>
      <w:proofErr w:type="spellStart"/>
      <w:r>
        <w:rPr>
          <w:rFonts w:eastAsia="Palatino Linotype"/>
          <w:sz w:val="22"/>
          <w:szCs w:val="22"/>
          <w:lang w:val="es-ES"/>
        </w:rPr>
        <w:t>Through</w:t>
      </w:r>
      <w:proofErr w:type="spellEnd"/>
      <w:r>
        <w:rPr>
          <w:rFonts w:eastAsia="Palatino Linotype"/>
          <w:sz w:val="22"/>
          <w:szCs w:val="22"/>
          <w:lang w:val="es-ES"/>
        </w:rPr>
        <w:t xml:space="preserve"> </w:t>
      </w:r>
      <w:proofErr w:type="spellStart"/>
      <w:r>
        <w:rPr>
          <w:rFonts w:eastAsia="Palatino Linotype"/>
          <w:sz w:val="22"/>
          <w:szCs w:val="22"/>
          <w:lang w:val="es-ES"/>
        </w:rPr>
        <w:t>this</w:t>
      </w:r>
      <w:proofErr w:type="spellEnd"/>
      <w:r>
        <w:rPr>
          <w:rFonts w:eastAsia="Palatino Linotype"/>
          <w:sz w:val="22"/>
          <w:szCs w:val="22"/>
          <w:lang w:val="es-ES"/>
        </w:rPr>
        <w:t xml:space="preserve"> </w:t>
      </w:r>
      <w:proofErr w:type="spellStart"/>
      <w:r>
        <w:rPr>
          <w:rFonts w:eastAsia="Palatino Linotype"/>
          <w:sz w:val="22"/>
          <w:szCs w:val="22"/>
          <w:lang w:val="es-ES"/>
        </w:rPr>
        <w:t>mechanism</w:t>
      </w:r>
      <w:proofErr w:type="spellEnd"/>
      <w:r>
        <w:rPr>
          <w:rFonts w:eastAsia="Palatino Linotype"/>
          <w:sz w:val="22"/>
          <w:szCs w:val="22"/>
          <w:lang w:val="es-ES"/>
        </w:rPr>
        <w:t xml:space="preserve"> </w:t>
      </w:r>
      <w:proofErr w:type="spellStart"/>
      <w:r>
        <w:rPr>
          <w:rFonts w:eastAsia="Palatino Linotype"/>
          <w:sz w:val="22"/>
          <w:szCs w:val="22"/>
          <w:lang w:val="es-ES"/>
        </w:rPr>
        <w:t>the</w:t>
      </w:r>
      <w:proofErr w:type="spellEnd"/>
      <w:r>
        <w:rPr>
          <w:rFonts w:eastAsia="Palatino Linotype"/>
          <w:sz w:val="22"/>
          <w:szCs w:val="22"/>
          <w:lang w:val="es-ES"/>
        </w:rPr>
        <w:t xml:space="preserve"> </w:t>
      </w:r>
      <w:proofErr w:type="spellStart"/>
      <w:r>
        <w:rPr>
          <w:rFonts w:eastAsia="Palatino Linotype"/>
          <w:sz w:val="22"/>
          <w:szCs w:val="22"/>
          <w:lang w:val="es-ES"/>
        </w:rPr>
        <w:t>company</w:t>
      </w:r>
      <w:proofErr w:type="spellEnd"/>
      <w:r>
        <w:rPr>
          <w:rFonts w:eastAsia="Palatino Linotype"/>
          <w:sz w:val="22"/>
          <w:szCs w:val="22"/>
          <w:lang w:val="es-ES"/>
        </w:rPr>
        <w:t xml:space="preserve"> </w:t>
      </w:r>
      <w:proofErr w:type="spellStart"/>
      <w:r>
        <w:rPr>
          <w:rFonts w:eastAsia="Palatino Linotype"/>
          <w:sz w:val="22"/>
          <w:szCs w:val="22"/>
          <w:lang w:val="es-ES"/>
        </w:rPr>
        <w:t>must</w:t>
      </w:r>
      <w:proofErr w:type="spellEnd"/>
      <w:r>
        <w:rPr>
          <w:rFonts w:eastAsia="Palatino Linotype"/>
          <w:sz w:val="22"/>
          <w:szCs w:val="22"/>
          <w:lang w:val="es-ES"/>
        </w:rPr>
        <w:t xml:space="preserve"> </w:t>
      </w:r>
      <w:proofErr w:type="spellStart"/>
      <w:r>
        <w:rPr>
          <w:rFonts w:eastAsia="Palatino Linotype"/>
          <w:sz w:val="22"/>
          <w:szCs w:val="22"/>
          <w:lang w:val="es-ES"/>
        </w:rPr>
        <w:t>offer</w:t>
      </w:r>
      <w:proofErr w:type="spellEnd"/>
      <w:r>
        <w:rPr>
          <w:rFonts w:eastAsia="Palatino Linotype"/>
          <w:sz w:val="22"/>
          <w:szCs w:val="22"/>
          <w:lang w:val="es-ES"/>
        </w:rPr>
        <w:t xml:space="preserve"> </w:t>
      </w:r>
      <w:proofErr w:type="spellStart"/>
      <w:r>
        <w:rPr>
          <w:rFonts w:eastAsia="Palatino Linotype"/>
          <w:sz w:val="22"/>
          <w:szCs w:val="22"/>
          <w:lang w:val="es-ES"/>
        </w:rPr>
        <w:t>an</w:t>
      </w:r>
      <w:proofErr w:type="spellEnd"/>
      <w:r>
        <w:rPr>
          <w:rFonts w:eastAsia="Palatino Linotype"/>
          <w:sz w:val="22"/>
          <w:szCs w:val="22"/>
          <w:lang w:val="es-ES"/>
        </w:rPr>
        <w:t xml:space="preserve"> </w:t>
      </w:r>
      <w:proofErr w:type="spellStart"/>
      <w:r>
        <w:rPr>
          <w:rFonts w:eastAsia="Palatino Linotype"/>
          <w:sz w:val="22"/>
          <w:szCs w:val="22"/>
          <w:lang w:val="es-ES"/>
        </w:rPr>
        <w:t>amount</w:t>
      </w:r>
      <w:proofErr w:type="spellEnd"/>
      <w:r>
        <w:rPr>
          <w:rFonts w:eastAsia="Palatino Linotype"/>
          <w:sz w:val="22"/>
          <w:szCs w:val="22"/>
          <w:lang w:val="es-ES"/>
        </w:rPr>
        <w:t xml:space="preserve"> </w:t>
      </w:r>
      <w:proofErr w:type="spellStart"/>
      <w:r>
        <w:rPr>
          <w:rFonts w:eastAsia="Palatino Linotype"/>
          <w:sz w:val="22"/>
          <w:szCs w:val="22"/>
          <w:lang w:val="es-ES"/>
        </w:rPr>
        <w:t>equal</w:t>
      </w:r>
      <w:proofErr w:type="spellEnd"/>
      <w:r>
        <w:rPr>
          <w:rFonts w:eastAsia="Palatino Linotype"/>
          <w:sz w:val="22"/>
          <w:szCs w:val="22"/>
          <w:lang w:val="es-ES"/>
        </w:rPr>
        <w:t xml:space="preserve"> </w:t>
      </w:r>
      <w:proofErr w:type="spellStart"/>
      <w:r>
        <w:rPr>
          <w:rFonts w:eastAsia="Palatino Linotype"/>
          <w:sz w:val="22"/>
          <w:szCs w:val="22"/>
          <w:lang w:val="es-ES"/>
        </w:rPr>
        <w:t>to</w:t>
      </w:r>
      <w:proofErr w:type="spellEnd"/>
      <w:r>
        <w:rPr>
          <w:rFonts w:eastAsia="Palatino Linotype"/>
          <w:sz w:val="22"/>
          <w:szCs w:val="22"/>
          <w:lang w:val="es-ES"/>
        </w:rPr>
        <w:t xml:space="preserve"> 10% </w:t>
      </w:r>
      <w:proofErr w:type="spellStart"/>
      <w:r>
        <w:rPr>
          <w:rFonts w:eastAsia="Palatino Linotype"/>
          <w:sz w:val="22"/>
          <w:szCs w:val="22"/>
          <w:lang w:val="es-ES"/>
        </w:rPr>
        <w:t>of</w:t>
      </w:r>
      <w:proofErr w:type="spellEnd"/>
      <w:r>
        <w:rPr>
          <w:rFonts w:eastAsia="Palatino Linotype"/>
          <w:sz w:val="22"/>
          <w:szCs w:val="22"/>
          <w:lang w:val="es-ES"/>
        </w:rPr>
        <w:t xml:space="preserve"> </w:t>
      </w:r>
      <w:proofErr w:type="spellStart"/>
      <w:r>
        <w:rPr>
          <w:rFonts w:eastAsia="Palatino Linotype"/>
          <w:sz w:val="22"/>
          <w:szCs w:val="22"/>
          <w:lang w:val="es-ES"/>
        </w:rPr>
        <w:t>the</w:t>
      </w:r>
      <w:proofErr w:type="spellEnd"/>
      <w:r>
        <w:rPr>
          <w:rFonts w:eastAsia="Palatino Linotype"/>
          <w:sz w:val="22"/>
          <w:szCs w:val="22"/>
          <w:lang w:val="es-ES"/>
        </w:rPr>
        <w:t xml:space="preserve"> total </w:t>
      </w:r>
      <w:proofErr w:type="spellStart"/>
      <w:r>
        <w:rPr>
          <w:rFonts w:eastAsia="Palatino Linotype"/>
          <w:sz w:val="22"/>
          <w:szCs w:val="22"/>
          <w:lang w:val="es-ES"/>
        </w:rPr>
        <w:t>amount</w:t>
      </w:r>
      <w:proofErr w:type="spellEnd"/>
      <w:r>
        <w:rPr>
          <w:rFonts w:eastAsia="Palatino Linotype"/>
          <w:sz w:val="22"/>
          <w:szCs w:val="22"/>
          <w:lang w:val="es-ES"/>
        </w:rPr>
        <w:t xml:space="preserve"> </w:t>
      </w:r>
      <w:proofErr w:type="spellStart"/>
      <w:r>
        <w:rPr>
          <w:rFonts w:eastAsia="Palatino Linotype"/>
          <w:sz w:val="22"/>
          <w:szCs w:val="22"/>
          <w:lang w:val="es-ES"/>
        </w:rPr>
        <w:t>foreseen</w:t>
      </w:r>
      <w:proofErr w:type="spellEnd"/>
      <w:r>
        <w:rPr>
          <w:rFonts w:eastAsia="Palatino Linotype"/>
          <w:sz w:val="22"/>
          <w:szCs w:val="22"/>
          <w:lang w:val="es-ES"/>
        </w:rPr>
        <w:t xml:space="preserve"> </w:t>
      </w:r>
      <w:proofErr w:type="spellStart"/>
      <w:r>
        <w:rPr>
          <w:rFonts w:eastAsia="Palatino Linotype"/>
          <w:sz w:val="22"/>
          <w:szCs w:val="22"/>
          <w:lang w:val="es-ES"/>
        </w:rPr>
        <w:t>for</w:t>
      </w:r>
      <w:proofErr w:type="spellEnd"/>
      <w:r>
        <w:rPr>
          <w:rFonts w:eastAsia="Palatino Linotype"/>
          <w:sz w:val="22"/>
          <w:szCs w:val="22"/>
          <w:lang w:val="es-ES"/>
        </w:rPr>
        <w:t xml:space="preserve"> </w:t>
      </w:r>
      <w:proofErr w:type="spellStart"/>
      <w:r>
        <w:rPr>
          <w:rFonts w:eastAsia="Palatino Linotype"/>
          <w:sz w:val="22"/>
          <w:szCs w:val="22"/>
          <w:lang w:val="es-ES"/>
        </w:rPr>
        <w:t>the</w:t>
      </w:r>
      <w:proofErr w:type="spellEnd"/>
      <w:r>
        <w:rPr>
          <w:rFonts w:eastAsia="Palatino Linotype"/>
          <w:sz w:val="22"/>
          <w:szCs w:val="22"/>
          <w:lang w:val="es-ES"/>
        </w:rPr>
        <w:t xml:space="preserve"> </w:t>
      </w:r>
      <w:proofErr w:type="spellStart"/>
      <w:r>
        <w:rPr>
          <w:rFonts w:eastAsia="Palatino Linotype"/>
          <w:sz w:val="22"/>
          <w:szCs w:val="22"/>
          <w:lang w:val="es-ES"/>
        </w:rPr>
        <w:t>contract</w:t>
      </w:r>
      <w:proofErr w:type="spellEnd"/>
      <w:r>
        <w:rPr>
          <w:rFonts w:eastAsia="Palatino Linotype"/>
          <w:sz w:val="22"/>
          <w:szCs w:val="22"/>
          <w:lang w:val="es-ES"/>
        </w:rPr>
        <w:t xml:space="preserve"> </w:t>
      </w:r>
      <w:proofErr w:type="spellStart"/>
      <w:r>
        <w:rPr>
          <w:rFonts w:eastAsia="Palatino Linotype"/>
          <w:sz w:val="22"/>
          <w:szCs w:val="22"/>
          <w:lang w:val="es-ES"/>
        </w:rPr>
        <w:t>or</w:t>
      </w:r>
      <w:proofErr w:type="spellEnd"/>
      <w:r>
        <w:rPr>
          <w:rFonts w:eastAsia="Palatino Linotype"/>
          <w:sz w:val="22"/>
          <w:szCs w:val="22"/>
          <w:lang w:val="es-ES"/>
        </w:rPr>
        <w:t xml:space="preserve"> </w:t>
      </w:r>
      <w:proofErr w:type="spellStart"/>
      <w:r>
        <w:rPr>
          <w:rFonts w:eastAsia="Palatino Linotype"/>
          <w:sz w:val="22"/>
          <w:szCs w:val="22"/>
          <w:lang w:val="es-ES"/>
        </w:rPr>
        <w:t>acquisition</w:t>
      </w:r>
      <w:proofErr w:type="spellEnd"/>
      <w:r>
        <w:rPr>
          <w:rFonts w:eastAsia="Palatino Linotype"/>
          <w:sz w:val="22"/>
          <w:szCs w:val="22"/>
          <w:lang w:val="es-ES"/>
        </w:rPr>
        <w:t>.</w:t>
      </w:r>
    </w:p>
    <w:p w14:paraId="449B78C6" w14:textId="77777777" w:rsidR="00E255F4" w:rsidRDefault="00000000">
      <w:pPr>
        <w:widowControl w:val="0"/>
        <w:ind w:right="-142"/>
        <w:jc w:val="both"/>
        <w:rPr>
          <w:rFonts w:eastAsia="Palatino Linotype"/>
          <w:sz w:val="22"/>
          <w:szCs w:val="22"/>
          <w:lang w:val="es-ES"/>
        </w:rPr>
      </w:pPr>
      <w:proofErr w:type="spellStart"/>
      <w:r>
        <w:rPr>
          <w:rFonts w:eastAsia="Palatino Linotype"/>
          <w:spacing w:val="-1"/>
          <w:sz w:val="22"/>
          <w:szCs w:val="22"/>
          <w:lang w:val="es-ES"/>
        </w:rPr>
        <w:t>iii</w:t>
      </w:r>
      <w:proofErr w:type="spellEnd"/>
      <w:r>
        <w:rPr>
          <w:rFonts w:eastAsia="Palatino Linotype"/>
          <w:sz w:val="22"/>
          <w:szCs w:val="22"/>
          <w:lang w:val="es-ES"/>
        </w:rPr>
        <w:t xml:space="preserve">) The </w:t>
      </w:r>
      <w:proofErr w:type="spellStart"/>
      <w:r>
        <w:rPr>
          <w:rFonts w:eastAsia="Palatino Linotype"/>
          <w:sz w:val="22"/>
          <w:szCs w:val="22"/>
          <w:lang w:val="es-ES"/>
        </w:rPr>
        <w:t>company</w:t>
      </w:r>
      <w:proofErr w:type="spellEnd"/>
      <w:r>
        <w:rPr>
          <w:rFonts w:eastAsia="Palatino Linotype"/>
          <w:sz w:val="22"/>
          <w:szCs w:val="22"/>
          <w:lang w:val="es-ES"/>
        </w:rPr>
        <w:t xml:space="preserve"> </w:t>
      </w:r>
      <w:proofErr w:type="spellStart"/>
      <w:r>
        <w:rPr>
          <w:rFonts w:eastAsia="Palatino Linotype"/>
          <w:sz w:val="22"/>
          <w:szCs w:val="22"/>
          <w:lang w:val="es-ES"/>
        </w:rPr>
        <w:t>that</w:t>
      </w:r>
      <w:proofErr w:type="spellEnd"/>
      <w:r>
        <w:rPr>
          <w:rFonts w:eastAsia="Palatino Linotype"/>
          <w:sz w:val="22"/>
          <w:szCs w:val="22"/>
          <w:lang w:val="es-ES"/>
        </w:rPr>
        <w:t xml:space="preserve"> </w:t>
      </w:r>
      <w:proofErr w:type="spellStart"/>
      <w:r>
        <w:rPr>
          <w:rFonts w:eastAsia="Palatino Linotype"/>
          <w:sz w:val="22"/>
          <w:szCs w:val="22"/>
          <w:lang w:val="es-ES"/>
        </w:rPr>
        <w:t>invokes</w:t>
      </w:r>
      <w:proofErr w:type="spellEnd"/>
      <w:r>
        <w:rPr>
          <w:rFonts w:eastAsia="Palatino Linotype"/>
          <w:sz w:val="22"/>
          <w:szCs w:val="22"/>
          <w:lang w:val="es-ES"/>
        </w:rPr>
        <w:t xml:space="preserve"> </w:t>
      </w:r>
      <w:proofErr w:type="spellStart"/>
      <w:r>
        <w:rPr>
          <w:rFonts w:eastAsia="Palatino Linotype"/>
          <w:sz w:val="22"/>
          <w:szCs w:val="22"/>
          <w:lang w:val="es-ES"/>
        </w:rPr>
        <w:t>this</w:t>
      </w:r>
      <w:proofErr w:type="spellEnd"/>
      <w:r>
        <w:rPr>
          <w:rFonts w:eastAsia="Palatino Linotype"/>
          <w:sz w:val="22"/>
          <w:szCs w:val="22"/>
          <w:lang w:val="es-ES"/>
        </w:rPr>
        <w:t xml:space="preserve"> </w:t>
      </w:r>
      <w:proofErr w:type="spellStart"/>
      <w:r>
        <w:rPr>
          <w:rFonts w:eastAsia="Palatino Linotype"/>
          <w:sz w:val="22"/>
          <w:szCs w:val="22"/>
          <w:lang w:val="es-ES"/>
        </w:rPr>
        <w:t>mechanism</w:t>
      </w:r>
      <w:proofErr w:type="spellEnd"/>
      <w:r>
        <w:rPr>
          <w:rFonts w:eastAsia="Palatino Linotype"/>
          <w:sz w:val="22"/>
          <w:szCs w:val="22"/>
          <w:lang w:val="es-ES"/>
        </w:rPr>
        <w:t xml:space="preserve"> </w:t>
      </w:r>
      <w:proofErr w:type="spellStart"/>
      <w:r>
        <w:rPr>
          <w:rFonts w:eastAsia="Palatino Linotype"/>
          <w:sz w:val="22"/>
          <w:szCs w:val="22"/>
          <w:lang w:val="es-ES"/>
        </w:rPr>
        <w:t>may</w:t>
      </w:r>
      <w:proofErr w:type="spellEnd"/>
      <w:r>
        <w:rPr>
          <w:rFonts w:eastAsia="Palatino Linotype"/>
          <w:sz w:val="22"/>
          <w:szCs w:val="22"/>
          <w:lang w:val="es-ES"/>
        </w:rPr>
        <w:t xml:space="preserve"> </w:t>
      </w:r>
      <w:proofErr w:type="spellStart"/>
      <w:r>
        <w:rPr>
          <w:rFonts w:eastAsia="Palatino Linotype"/>
          <w:sz w:val="22"/>
          <w:szCs w:val="22"/>
          <w:lang w:val="es-ES"/>
        </w:rPr>
        <w:t>not</w:t>
      </w:r>
      <w:proofErr w:type="spellEnd"/>
      <w:r>
        <w:rPr>
          <w:rFonts w:eastAsia="Palatino Linotype"/>
          <w:sz w:val="22"/>
          <w:szCs w:val="22"/>
          <w:lang w:val="es-ES"/>
        </w:rPr>
        <w:t xml:space="preserve"> </w:t>
      </w:r>
      <w:proofErr w:type="spellStart"/>
      <w:r>
        <w:rPr>
          <w:rFonts w:eastAsia="Palatino Linotype"/>
          <w:sz w:val="22"/>
          <w:szCs w:val="22"/>
          <w:lang w:val="es-ES"/>
        </w:rPr>
        <w:t>submit</w:t>
      </w:r>
      <w:proofErr w:type="spellEnd"/>
      <w:r>
        <w:rPr>
          <w:rFonts w:eastAsia="Palatino Linotype"/>
          <w:sz w:val="22"/>
          <w:szCs w:val="22"/>
          <w:lang w:val="es-ES"/>
        </w:rPr>
        <w:t xml:space="preserve"> </w:t>
      </w:r>
      <w:proofErr w:type="spellStart"/>
      <w:r>
        <w:rPr>
          <w:rFonts w:eastAsia="Palatino Linotype"/>
          <w:sz w:val="22"/>
          <w:szCs w:val="22"/>
          <w:lang w:val="es-ES"/>
        </w:rPr>
        <w:t>another</w:t>
      </w:r>
      <w:proofErr w:type="spellEnd"/>
      <w:r>
        <w:rPr>
          <w:rFonts w:eastAsia="Palatino Linotype"/>
          <w:sz w:val="22"/>
          <w:szCs w:val="22"/>
          <w:lang w:val="es-ES"/>
        </w:rPr>
        <w:t xml:space="preserve"> </w:t>
      </w:r>
      <w:proofErr w:type="spellStart"/>
      <w:r>
        <w:rPr>
          <w:rFonts w:eastAsia="Palatino Linotype"/>
          <w:sz w:val="22"/>
          <w:szCs w:val="22"/>
          <w:lang w:val="es-ES"/>
        </w:rPr>
        <w:t>offer</w:t>
      </w:r>
      <w:proofErr w:type="spellEnd"/>
      <w:r>
        <w:rPr>
          <w:rFonts w:eastAsia="Palatino Linotype"/>
          <w:sz w:val="22"/>
          <w:szCs w:val="22"/>
          <w:lang w:val="es-ES"/>
        </w:rPr>
        <w:t xml:space="preserve"> </w:t>
      </w:r>
      <w:proofErr w:type="spellStart"/>
      <w:r>
        <w:rPr>
          <w:rFonts w:eastAsia="Palatino Linotype"/>
          <w:sz w:val="22"/>
          <w:szCs w:val="22"/>
          <w:lang w:val="es-ES"/>
        </w:rPr>
        <w:t>or</w:t>
      </w:r>
      <w:proofErr w:type="spellEnd"/>
      <w:r>
        <w:rPr>
          <w:rFonts w:eastAsia="Palatino Linotype"/>
          <w:sz w:val="22"/>
          <w:szCs w:val="22"/>
          <w:lang w:val="es-ES"/>
        </w:rPr>
        <w:t xml:space="preserve"> </w:t>
      </w:r>
      <w:proofErr w:type="spellStart"/>
      <w:r>
        <w:rPr>
          <w:rFonts w:eastAsia="Palatino Linotype"/>
          <w:sz w:val="22"/>
          <w:szCs w:val="22"/>
          <w:lang w:val="es-ES"/>
        </w:rPr>
        <w:t>proposal</w:t>
      </w:r>
      <w:proofErr w:type="spellEnd"/>
      <w:r>
        <w:rPr>
          <w:rFonts w:eastAsia="Palatino Linotype"/>
          <w:sz w:val="22"/>
          <w:szCs w:val="22"/>
          <w:lang w:val="es-ES"/>
        </w:rPr>
        <w:t xml:space="preserve"> </w:t>
      </w:r>
      <w:proofErr w:type="spellStart"/>
      <w:r>
        <w:rPr>
          <w:rFonts w:eastAsia="Palatino Linotype"/>
          <w:sz w:val="22"/>
          <w:szCs w:val="22"/>
          <w:lang w:val="es-ES"/>
        </w:rPr>
        <w:t>within</w:t>
      </w:r>
      <w:proofErr w:type="spellEnd"/>
      <w:r>
        <w:rPr>
          <w:rFonts w:eastAsia="Palatino Linotype"/>
          <w:sz w:val="22"/>
          <w:szCs w:val="22"/>
          <w:lang w:val="es-ES"/>
        </w:rPr>
        <w:t xml:space="preserve"> </w:t>
      </w:r>
      <w:proofErr w:type="spellStart"/>
      <w:r>
        <w:rPr>
          <w:rFonts w:eastAsia="Palatino Linotype"/>
          <w:sz w:val="22"/>
          <w:szCs w:val="22"/>
          <w:lang w:val="es-ES"/>
        </w:rPr>
        <w:t>the</w:t>
      </w:r>
      <w:proofErr w:type="spellEnd"/>
      <w:r>
        <w:rPr>
          <w:rFonts w:eastAsia="Palatino Linotype"/>
          <w:sz w:val="22"/>
          <w:szCs w:val="22"/>
          <w:lang w:val="es-ES"/>
        </w:rPr>
        <w:t xml:space="preserve"> </w:t>
      </w:r>
      <w:proofErr w:type="spellStart"/>
      <w:r>
        <w:rPr>
          <w:rFonts w:eastAsia="Palatino Linotype"/>
          <w:sz w:val="22"/>
          <w:szCs w:val="22"/>
          <w:lang w:val="es-ES"/>
        </w:rPr>
        <w:t>same</w:t>
      </w:r>
      <w:proofErr w:type="spellEnd"/>
      <w:r>
        <w:rPr>
          <w:rFonts w:eastAsia="Palatino Linotype"/>
          <w:sz w:val="22"/>
          <w:szCs w:val="22"/>
          <w:lang w:val="es-ES"/>
        </w:rPr>
        <w:t xml:space="preserve"> </w:t>
      </w:r>
      <w:proofErr w:type="spellStart"/>
      <w:r>
        <w:rPr>
          <w:rFonts w:eastAsia="Palatino Linotype"/>
          <w:sz w:val="22"/>
          <w:szCs w:val="22"/>
          <w:lang w:val="es-ES"/>
        </w:rPr>
        <w:t>bidding</w:t>
      </w:r>
      <w:proofErr w:type="spellEnd"/>
      <w:r>
        <w:rPr>
          <w:rFonts w:eastAsia="Palatino Linotype"/>
          <w:sz w:val="22"/>
          <w:szCs w:val="22"/>
          <w:lang w:val="es-ES"/>
        </w:rPr>
        <w:t xml:space="preserve"> </w:t>
      </w:r>
      <w:proofErr w:type="spellStart"/>
      <w:r>
        <w:rPr>
          <w:rFonts w:eastAsia="Palatino Linotype"/>
          <w:sz w:val="22"/>
          <w:szCs w:val="22"/>
          <w:lang w:val="es-ES"/>
        </w:rPr>
        <w:t>process</w:t>
      </w:r>
      <w:proofErr w:type="spellEnd"/>
      <w:r>
        <w:rPr>
          <w:rFonts w:eastAsia="Palatino Linotype"/>
          <w:sz w:val="22"/>
          <w:szCs w:val="22"/>
          <w:lang w:val="es-ES"/>
        </w:rPr>
        <w:t>.</w:t>
      </w:r>
    </w:p>
    <w:p w14:paraId="1B751B39" w14:textId="77777777" w:rsidR="00E255F4" w:rsidRDefault="00E255F4">
      <w:pPr>
        <w:tabs>
          <w:tab w:val="left" w:pos="7905"/>
        </w:tabs>
        <w:ind w:right="-25"/>
        <w:jc w:val="both"/>
        <w:rPr>
          <w:rFonts w:eastAsia="Palatino Linotype"/>
          <w:sz w:val="22"/>
          <w:szCs w:val="22"/>
          <w:lang w:val="es-ES"/>
        </w:rPr>
      </w:pPr>
    </w:p>
    <w:p w14:paraId="76A224A2" w14:textId="77777777" w:rsidR="00E255F4" w:rsidRDefault="00000000">
      <w:pPr>
        <w:ind w:right="-142"/>
        <w:jc w:val="both"/>
        <w:rPr>
          <w:rFonts w:eastAsia="Palatino Linotype"/>
          <w:sz w:val="22"/>
          <w:szCs w:val="22"/>
          <w:lang w:val="es-ES"/>
        </w:rPr>
      </w:pPr>
      <w:proofErr w:type="spellStart"/>
      <w:r>
        <w:rPr>
          <w:rFonts w:eastAsia="Palatino Linotype"/>
          <w:spacing w:val="-1"/>
          <w:sz w:val="22"/>
          <w:szCs w:val="22"/>
          <w:lang w:val="es-ES"/>
        </w:rPr>
        <w:t>iv</w:t>
      </w:r>
      <w:proofErr w:type="spellEnd"/>
      <w:r>
        <w:rPr>
          <w:rFonts w:eastAsia="Palatino Linotype"/>
          <w:sz w:val="22"/>
          <w:szCs w:val="22"/>
          <w:lang w:val="es-ES"/>
        </w:rPr>
        <w:t xml:space="preserve">) </w:t>
      </w:r>
      <w:proofErr w:type="spellStart"/>
      <w:r>
        <w:rPr>
          <w:rFonts w:eastAsia="Palatino Linotype"/>
          <w:sz w:val="22"/>
          <w:szCs w:val="22"/>
          <w:lang w:val="es-ES"/>
        </w:rPr>
        <w:t>Without</w:t>
      </w:r>
      <w:proofErr w:type="spellEnd"/>
      <w:r>
        <w:rPr>
          <w:rFonts w:eastAsia="Palatino Linotype"/>
          <w:sz w:val="22"/>
          <w:szCs w:val="22"/>
          <w:lang w:val="es-ES"/>
        </w:rPr>
        <w:t xml:space="preserve"> </w:t>
      </w:r>
      <w:proofErr w:type="spellStart"/>
      <w:r>
        <w:rPr>
          <w:rFonts w:eastAsia="Palatino Linotype"/>
          <w:sz w:val="22"/>
          <w:szCs w:val="22"/>
          <w:lang w:val="es-ES"/>
        </w:rPr>
        <w:t>prejudice</w:t>
      </w:r>
      <w:proofErr w:type="spellEnd"/>
      <w:r>
        <w:rPr>
          <w:rFonts w:eastAsia="Palatino Linotype"/>
          <w:sz w:val="22"/>
          <w:szCs w:val="22"/>
          <w:lang w:val="es-ES"/>
        </w:rPr>
        <w:t xml:space="preserve"> </w:t>
      </w:r>
      <w:proofErr w:type="spellStart"/>
      <w:r>
        <w:rPr>
          <w:rFonts w:eastAsia="Palatino Linotype"/>
          <w:sz w:val="22"/>
          <w:szCs w:val="22"/>
          <w:lang w:val="es-ES"/>
        </w:rPr>
        <w:t>to</w:t>
      </w:r>
      <w:proofErr w:type="spellEnd"/>
      <w:r>
        <w:rPr>
          <w:rFonts w:eastAsia="Palatino Linotype"/>
          <w:sz w:val="22"/>
          <w:szCs w:val="22"/>
          <w:lang w:val="es-ES"/>
        </w:rPr>
        <w:t xml:space="preserve"> </w:t>
      </w:r>
      <w:proofErr w:type="spellStart"/>
      <w:r>
        <w:rPr>
          <w:rFonts w:eastAsia="Palatino Linotype"/>
          <w:sz w:val="22"/>
          <w:szCs w:val="22"/>
          <w:lang w:val="es-ES"/>
        </w:rPr>
        <w:t>the</w:t>
      </w:r>
      <w:proofErr w:type="spellEnd"/>
      <w:r>
        <w:rPr>
          <w:rFonts w:eastAsia="Palatino Linotype"/>
          <w:sz w:val="22"/>
          <w:szCs w:val="22"/>
          <w:lang w:val="es-ES"/>
        </w:rPr>
        <w:t xml:space="preserve"> </w:t>
      </w:r>
      <w:proofErr w:type="spellStart"/>
      <w:r>
        <w:rPr>
          <w:rFonts w:eastAsia="Palatino Linotype"/>
          <w:sz w:val="22"/>
          <w:szCs w:val="22"/>
          <w:lang w:val="es-ES"/>
        </w:rPr>
        <w:t>provisions</w:t>
      </w:r>
      <w:proofErr w:type="spellEnd"/>
      <w:r>
        <w:rPr>
          <w:rFonts w:eastAsia="Palatino Linotype"/>
          <w:sz w:val="22"/>
          <w:szCs w:val="22"/>
          <w:lang w:val="es-ES"/>
        </w:rPr>
        <w:t xml:space="preserve"> </w:t>
      </w:r>
      <w:proofErr w:type="spellStart"/>
      <w:r>
        <w:rPr>
          <w:rFonts w:eastAsia="Palatino Linotype"/>
          <w:sz w:val="22"/>
          <w:szCs w:val="22"/>
          <w:lang w:val="es-ES"/>
        </w:rPr>
        <w:t>of</w:t>
      </w:r>
      <w:proofErr w:type="spellEnd"/>
      <w:r>
        <w:rPr>
          <w:rFonts w:eastAsia="Palatino Linotype"/>
          <w:sz w:val="22"/>
          <w:szCs w:val="22"/>
          <w:lang w:val="es-ES"/>
        </w:rPr>
        <w:t xml:space="preserve"> </w:t>
      </w:r>
      <w:proofErr w:type="spellStart"/>
      <w:r>
        <w:rPr>
          <w:rFonts w:eastAsia="Palatino Linotype"/>
          <w:sz w:val="22"/>
          <w:szCs w:val="22"/>
          <w:lang w:val="es-ES"/>
        </w:rPr>
        <w:t>the</w:t>
      </w:r>
      <w:proofErr w:type="spellEnd"/>
      <w:r>
        <w:rPr>
          <w:rFonts w:eastAsia="Palatino Linotype"/>
          <w:sz w:val="22"/>
          <w:szCs w:val="22"/>
          <w:lang w:val="es-ES"/>
        </w:rPr>
        <w:t xml:space="preserve"> </w:t>
      </w:r>
      <w:proofErr w:type="spellStart"/>
      <w:r>
        <w:rPr>
          <w:rFonts w:eastAsia="Palatino Linotype"/>
          <w:sz w:val="22"/>
          <w:szCs w:val="22"/>
          <w:lang w:val="es-ES"/>
        </w:rPr>
        <w:t>following</w:t>
      </w:r>
      <w:proofErr w:type="spellEnd"/>
      <w:r>
        <w:rPr>
          <w:rFonts w:eastAsia="Palatino Linotype"/>
          <w:sz w:val="22"/>
          <w:szCs w:val="22"/>
          <w:lang w:val="es-ES"/>
        </w:rPr>
        <w:t xml:space="preserve"> </w:t>
      </w:r>
      <w:proofErr w:type="spellStart"/>
      <w:r>
        <w:rPr>
          <w:rFonts w:eastAsia="Palatino Linotype"/>
          <w:sz w:val="22"/>
          <w:szCs w:val="22"/>
          <w:lang w:val="es-ES"/>
        </w:rPr>
        <w:t>paragraph</w:t>
      </w:r>
      <w:proofErr w:type="spellEnd"/>
      <w:r>
        <w:rPr>
          <w:rFonts w:eastAsia="Palatino Linotype"/>
          <w:sz w:val="22"/>
          <w:szCs w:val="22"/>
          <w:lang w:val="es-ES"/>
        </w:rPr>
        <w:t xml:space="preserve">, 10% </w:t>
      </w:r>
      <w:proofErr w:type="spellStart"/>
      <w:r>
        <w:rPr>
          <w:rFonts w:eastAsia="Palatino Linotype"/>
          <w:sz w:val="22"/>
          <w:szCs w:val="22"/>
          <w:lang w:val="es-ES"/>
        </w:rPr>
        <w:t>of</w:t>
      </w:r>
      <w:proofErr w:type="spellEnd"/>
      <w:r>
        <w:rPr>
          <w:rFonts w:eastAsia="Palatino Linotype"/>
          <w:sz w:val="22"/>
          <w:szCs w:val="22"/>
          <w:lang w:val="es-ES"/>
        </w:rPr>
        <w:t xml:space="preserve"> </w:t>
      </w:r>
      <w:proofErr w:type="spellStart"/>
      <w:r>
        <w:rPr>
          <w:rFonts w:eastAsia="Palatino Linotype"/>
          <w:sz w:val="22"/>
          <w:szCs w:val="22"/>
          <w:lang w:val="es-ES"/>
        </w:rPr>
        <w:t>the</w:t>
      </w:r>
      <w:proofErr w:type="spellEnd"/>
      <w:r>
        <w:rPr>
          <w:rFonts w:eastAsia="Palatino Linotype"/>
          <w:sz w:val="22"/>
          <w:szCs w:val="22"/>
          <w:lang w:val="es-ES"/>
        </w:rPr>
        <w:t xml:space="preserve"> total </w:t>
      </w:r>
      <w:proofErr w:type="spellStart"/>
      <w:r>
        <w:rPr>
          <w:rFonts w:eastAsia="Palatino Linotype"/>
          <w:sz w:val="22"/>
          <w:szCs w:val="22"/>
          <w:lang w:val="es-ES"/>
        </w:rPr>
        <w:t>value</w:t>
      </w:r>
      <w:proofErr w:type="spellEnd"/>
      <w:r>
        <w:rPr>
          <w:rFonts w:eastAsia="Palatino Linotype"/>
          <w:sz w:val="22"/>
          <w:szCs w:val="22"/>
          <w:lang w:val="es-ES"/>
        </w:rPr>
        <w:t xml:space="preserve"> </w:t>
      </w:r>
      <w:proofErr w:type="spellStart"/>
      <w:r>
        <w:rPr>
          <w:rFonts w:eastAsia="Palatino Linotype"/>
          <w:sz w:val="22"/>
          <w:szCs w:val="22"/>
          <w:lang w:val="es-ES"/>
        </w:rPr>
        <w:t>of</w:t>
      </w:r>
      <w:proofErr w:type="spellEnd"/>
      <w:r>
        <w:rPr>
          <w:rFonts w:eastAsia="Palatino Linotype"/>
          <w:sz w:val="22"/>
          <w:szCs w:val="22"/>
          <w:lang w:val="es-ES"/>
        </w:rPr>
        <w:t xml:space="preserve"> </w:t>
      </w:r>
      <w:proofErr w:type="spellStart"/>
      <w:r>
        <w:rPr>
          <w:rFonts w:eastAsia="Palatino Linotype"/>
          <w:sz w:val="22"/>
          <w:szCs w:val="22"/>
          <w:lang w:val="es-ES"/>
        </w:rPr>
        <w:t>the</w:t>
      </w:r>
      <w:proofErr w:type="spellEnd"/>
      <w:r>
        <w:rPr>
          <w:rFonts w:eastAsia="Palatino Linotype"/>
          <w:sz w:val="22"/>
          <w:szCs w:val="22"/>
          <w:lang w:val="es-ES"/>
        </w:rPr>
        <w:t xml:space="preserve"> </w:t>
      </w:r>
      <w:proofErr w:type="spellStart"/>
      <w:r>
        <w:rPr>
          <w:rFonts w:eastAsia="Palatino Linotype"/>
          <w:sz w:val="22"/>
          <w:szCs w:val="22"/>
          <w:lang w:val="es-ES"/>
        </w:rPr>
        <w:t>tendered</w:t>
      </w:r>
      <w:proofErr w:type="spellEnd"/>
      <w:r>
        <w:rPr>
          <w:rFonts w:eastAsia="Palatino Linotype"/>
          <w:sz w:val="22"/>
          <w:szCs w:val="22"/>
          <w:lang w:val="es-ES"/>
        </w:rPr>
        <w:t xml:space="preserve"> </w:t>
      </w:r>
      <w:proofErr w:type="spellStart"/>
      <w:r>
        <w:rPr>
          <w:rFonts w:eastAsia="Palatino Linotype"/>
          <w:sz w:val="22"/>
          <w:szCs w:val="22"/>
          <w:lang w:val="es-ES"/>
        </w:rPr>
        <w:t>item</w:t>
      </w:r>
      <w:proofErr w:type="spellEnd"/>
      <w:r>
        <w:rPr>
          <w:rFonts w:eastAsia="Palatino Linotype"/>
          <w:sz w:val="22"/>
          <w:szCs w:val="22"/>
          <w:lang w:val="es-ES"/>
        </w:rPr>
        <w:t xml:space="preserve"> </w:t>
      </w:r>
      <w:proofErr w:type="spellStart"/>
      <w:r>
        <w:rPr>
          <w:rFonts w:eastAsia="Palatino Linotype"/>
          <w:sz w:val="22"/>
          <w:szCs w:val="22"/>
          <w:lang w:val="es-ES"/>
        </w:rPr>
        <w:t>shall</w:t>
      </w:r>
      <w:proofErr w:type="spellEnd"/>
      <w:r>
        <w:rPr>
          <w:rFonts w:eastAsia="Palatino Linotype"/>
          <w:sz w:val="22"/>
          <w:szCs w:val="22"/>
          <w:lang w:val="es-ES"/>
        </w:rPr>
        <w:t xml:space="preserve"> be </w:t>
      </w:r>
      <w:proofErr w:type="spellStart"/>
      <w:r>
        <w:rPr>
          <w:rFonts w:eastAsia="Palatino Linotype"/>
          <w:sz w:val="22"/>
          <w:szCs w:val="22"/>
          <w:lang w:val="es-ES"/>
        </w:rPr>
        <w:t>awarded</w:t>
      </w:r>
      <w:proofErr w:type="spellEnd"/>
      <w:r>
        <w:rPr>
          <w:rFonts w:eastAsia="Palatino Linotype"/>
          <w:sz w:val="22"/>
          <w:szCs w:val="22"/>
          <w:lang w:val="es-ES"/>
        </w:rPr>
        <w:t xml:space="preserve"> </w:t>
      </w:r>
      <w:proofErr w:type="spellStart"/>
      <w:r>
        <w:rPr>
          <w:rFonts w:eastAsia="Palatino Linotype"/>
          <w:sz w:val="22"/>
          <w:szCs w:val="22"/>
          <w:lang w:val="es-ES"/>
        </w:rPr>
        <w:t>to</w:t>
      </w:r>
      <w:proofErr w:type="spellEnd"/>
      <w:r>
        <w:rPr>
          <w:rFonts w:eastAsia="Palatino Linotype"/>
          <w:sz w:val="22"/>
          <w:szCs w:val="22"/>
          <w:lang w:val="es-ES"/>
        </w:rPr>
        <w:t xml:space="preserve"> </w:t>
      </w:r>
      <w:proofErr w:type="spellStart"/>
      <w:r>
        <w:rPr>
          <w:rFonts w:eastAsia="Palatino Linotype"/>
          <w:sz w:val="22"/>
          <w:szCs w:val="22"/>
          <w:lang w:val="es-ES"/>
        </w:rPr>
        <w:t>the</w:t>
      </w:r>
      <w:proofErr w:type="spellEnd"/>
      <w:r>
        <w:rPr>
          <w:rFonts w:eastAsia="Palatino Linotype"/>
          <w:sz w:val="22"/>
          <w:szCs w:val="22"/>
          <w:lang w:val="es-ES"/>
        </w:rPr>
        <w:t xml:space="preserve"> </w:t>
      </w:r>
      <w:proofErr w:type="spellStart"/>
      <w:r>
        <w:rPr>
          <w:rFonts w:eastAsia="Palatino Linotype"/>
          <w:sz w:val="22"/>
          <w:szCs w:val="22"/>
          <w:lang w:val="es-ES"/>
        </w:rPr>
        <w:t>best</w:t>
      </w:r>
      <w:proofErr w:type="spellEnd"/>
      <w:r>
        <w:rPr>
          <w:rFonts w:eastAsia="Palatino Linotype"/>
          <w:sz w:val="22"/>
          <w:szCs w:val="22"/>
          <w:lang w:val="es-ES"/>
        </w:rPr>
        <w:t xml:space="preserve"> </w:t>
      </w:r>
      <w:proofErr w:type="spellStart"/>
      <w:r>
        <w:rPr>
          <w:rFonts w:eastAsia="Palatino Linotype"/>
          <w:sz w:val="22"/>
          <w:szCs w:val="22"/>
          <w:lang w:val="es-ES"/>
        </w:rPr>
        <w:t>offer</w:t>
      </w:r>
      <w:proofErr w:type="spellEnd"/>
      <w:r>
        <w:rPr>
          <w:rFonts w:eastAsia="Palatino Linotype"/>
          <w:sz w:val="22"/>
          <w:szCs w:val="22"/>
          <w:lang w:val="es-ES"/>
        </w:rPr>
        <w:t xml:space="preserve"> </w:t>
      </w:r>
      <w:proofErr w:type="spellStart"/>
      <w:r>
        <w:rPr>
          <w:rFonts w:eastAsia="Palatino Linotype"/>
          <w:sz w:val="22"/>
          <w:szCs w:val="22"/>
          <w:lang w:val="es-ES"/>
        </w:rPr>
        <w:t>invoking</w:t>
      </w:r>
      <w:proofErr w:type="spellEnd"/>
      <w:r>
        <w:rPr>
          <w:rFonts w:eastAsia="Palatino Linotype"/>
          <w:sz w:val="22"/>
          <w:szCs w:val="22"/>
          <w:lang w:val="es-ES"/>
        </w:rPr>
        <w:t xml:space="preserve"> </w:t>
      </w:r>
      <w:proofErr w:type="spellStart"/>
      <w:r>
        <w:rPr>
          <w:rFonts w:eastAsia="Palatino Linotype"/>
          <w:sz w:val="22"/>
          <w:szCs w:val="22"/>
          <w:lang w:val="es-ES"/>
        </w:rPr>
        <w:t>the</w:t>
      </w:r>
      <w:proofErr w:type="spellEnd"/>
      <w:r>
        <w:rPr>
          <w:rFonts w:eastAsia="Palatino Linotype"/>
          <w:sz w:val="22"/>
          <w:szCs w:val="22"/>
          <w:lang w:val="es-ES"/>
        </w:rPr>
        <w:t xml:space="preserve"> Market Reserve </w:t>
      </w:r>
      <w:proofErr w:type="spellStart"/>
      <w:r>
        <w:rPr>
          <w:rFonts w:eastAsia="Palatino Linotype"/>
          <w:sz w:val="22"/>
          <w:szCs w:val="22"/>
          <w:lang w:val="es-ES"/>
        </w:rPr>
        <w:t>mechanism</w:t>
      </w:r>
      <w:proofErr w:type="spellEnd"/>
      <w:r>
        <w:rPr>
          <w:rFonts w:eastAsia="Palatino Linotype"/>
          <w:sz w:val="22"/>
          <w:szCs w:val="22"/>
          <w:lang w:val="es-ES"/>
        </w:rPr>
        <w:t xml:space="preserve">. The </w:t>
      </w:r>
      <w:proofErr w:type="spellStart"/>
      <w:r>
        <w:rPr>
          <w:rFonts w:eastAsia="Palatino Linotype"/>
          <w:sz w:val="22"/>
          <w:szCs w:val="22"/>
          <w:lang w:val="es-ES"/>
        </w:rPr>
        <w:t>remaining</w:t>
      </w:r>
      <w:proofErr w:type="spellEnd"/>
      <w:r>
        <w:rPr>
          <w:rFonts w:eastAsia="Palatino Linotype"/>
          <w:sz w:val="22"/>
          <w:szCs w:val="22"/>
          <w:lang w:val="es-ES"/>
        </w:rPr>
        <w:t xml:space="preserve"> </w:t>
      </w:r>
      <w:proofErr w:type="spellStart"/>
      <w:r>
        <w:rPr>
          <w:rFonts w:eastAsia="Palatino Linotype"/>
          <w:sz w:val="22"/>
          <w:szCs w:val="22"/>
          <w:lang w:val="es-ES"/>
        </w:rPr>
        <w:t>portion</w:t>
      </w:r>
      <w:proofErr w:type="spellEnd"/>
      <w:r>
        <w:rPr>
          <w:rFonts w:eastAsia="Palatino Linotype"/>
          <w:sz w:val="22"/>
          <w:szCs w:val="22"/>
          <w:lang w:val="es-ES"/>
        </w:rPr>
        <w:t xml:space="preserve"> </w:t>
      </w:r>
      <w:proofErr w:type="spellStart"/>
      <w:r>
        <w:rPr>
          <w:rFonts w:eastAsia="Palatino Linotype"/>
          <w:sz w:val="22"/>
          <w:szCs w:val="22"/>
          <w:lang w:val="es-ES"/>
        </w:rPr>
        <w:t>shall</w:t>
      </w:r>
      <w:proofErr w:type="spellEnd"/>
      <w:r>
        <w:rPr>
          <w:rFonts w:eastAsia="Palatino Linotype"/>
          <w:sz w:val="22"/>
          <w:szCs w:val="22"/>
          <w:lang w:val="es-ES"/>
        </w:rPr>
        <w:t xml:space="preserve"> be </w:t>
      </w:r>
      <w:proofErr w:type="spellStart"/>
      <w:r>
        <w:rPr>
          <w:rFonts w:eastAsia="Palatino Linotype"/>
          <w:sz w:val="22"/>
          <w:szCs w:val="22"/>
          <w:lang w:val="es-ES"/>
        </w:rPr>
        <w:t>allocated</w:t>
      </w:r>
      <w:proofErr w:type="spellEnd"/>
      <w:r>
        <w:rPr>
          <w:rFonts w:eastAsia="Palatino Linotype"/>
          <w:sz w:val="22"/>
          <w:szCs w:val="22"/>
          <w:lang w:val="es-ES"/>
        </w:rPr>
        <w:t xml:space="preserve"> </w:t>
      </w:r>
      <w:proofErr w:type="spellStart"/>
      <w:r>
        <w:rPr>
          <w:rFonts w:eastAsia="Palatino Linotype"/>
          <w:sz w:val="22"/>
          <w:szCs w:val="22"/>
          <w:lang w:val="es-ES"/>
        </w:rPr>
        <w:t>to</w:t>
      </w:r>
      <w:proofErr w:type="spellEnd"/>
      <w:r>
        <w:rPr>
          <w:rFonts w:eastAsia="Palatino Linotype"/>
          <w:sz w:val="22"/>
          <w:szCs w:val="22"/>
          <w:lang w:val="es-ES"/>
        </w:rPr>
        <w:t xml:space="preserve"> </w:t>
      </w:r>
      <w:proofErr w:type="spellStart"/>
      <w:r>
        <w:rPr>
          <w:rFonts w:eastAsia="Palatino Linotype"/>
          <w:sz w:val="22"/>
          <w:szCs w:val="22"/>
          <w:lang w:val="es-ES"/>
        </w:rPr>
        <w:t>the</w:t>
      </w:r>
      <w:proofErr w:type="spellEnd"/>
      <w:r>
        <w:rPr>
          <w:rFonts w:eastAsia="Palatino Linotype"/>
          <w:sz w:val="22"/>
          <w:szCs w:val="22"/>
          <w:lang w:val="es-ES"/>
        </w:rPr>
        <w:t xml:space="preserve"> </w:t>
      </w:r>
      <w:proofErr w:type="spellStart"/>
      <w:r>
        <w:rPr>
          <w:rFonts w:eastAsia="Palatino Linotype"/>
          <w:sz w:val="22"/>
          <w:szCs w:val="22"/>
          <w:lang w:val="es-ES"/>
        </w:rPr>
        <w:t>best</w:t>
      </w:r>
      <w:proofErr w:type="spellEnd"/>
      <w:r>
        <w:rPr>
          <w:rFonts w:eastAsia="Palatino Linotype"/>
          <w:sz w:val="22"/>
          <w:szCs w:val="22"/>
          <w:lang w:val="es-ES"/>
        </w:rPr>
        <w:t xml:space="preserve"> </w:t>
      </w:r>
      <w:proofErr w:type="spellStart"/>
      <w:r>
        <w:rPr>
          <w:rFonts w:eastAsia="Palatino Linotype"/>
          <w:sz w:val="22"/>
          <w:szCs w:val="22"/>
          <w:lang w:val="es-ES"/>
        </w:rPr>
        <w:t>offer</w:t>
      </w:r>
      <w:proofErr w:type="spellEnd"/>
      <w:r>
        <w:rPr>
          <w:rFonts w:eastAsia="Palatino Linotype"/>
          <w:sz w:val="22"/>
          <w:szCs w:val="22"/>
          <w:lang w:val="es-ES"/>
        </w:rPr>
        <w:t>.</w:t>
      </w:r>
    </w:p>
    <w:p w14:paraId="45644D44" w14:textId="77777777" w:rsidR="00E255F4" w:rsidRDefault="00E255F4">
      <w:pPr>
        <w:ind w:right="-142"/>
        <w:jc w:val="both"/>
        <w:rPr>
          <w:rFonts w:eastAsia="Palatino Linotype"/>
          <w:sz w:val="22"/>
          <w:szCs w:val="22"/>
          <w:lang w:val="es-ES"/>
        </w:rPr>
      </w:pPr>
    </w:p>
    <w:p w14:paraId="33F511A1" w14:textId="77777777" w:rsidR="00E255F4" w:rsidRDefault="00000000">
      <w:pPr>
        <w:ind w:right="-142"/>
        <w:jc w:val="both"/>
        <w:rPr>
          <w:rFonts w:eastAsia="Palatino Linotype"/>
          <w:sz w:val="22"/>
          <w:szCs w:val="22"/>
          <w:lang w:val="es-ES"/>
        </w:rPr>
      </w:pPr>
      <w:proofErr w:type="spellStart"/>
      <w:r>
        <w:rPr>
          <w:rFonts w:eastAsia="Palatino Linotype"/>
          <w:spacing w:val="-1"/>
          <w:sz w:val="22"/>
          <w:szCs w:val="22"/>
          <w:lang w:val="es-ES"/>
        </w:rPr>
        <w:t>v</w:t>
      </w:r>
      <w:r>
        <w:rPr>
          <w:rFonts w:eastAsia="Palatino Linotype"/>
          <w:sz w:val="22"/>
          <w:szCs w:val="22"/>
          <w:lang w:val="es-ES"/>
        </w:rPr>
        <w:t>This</w:t>
      </w:r>
      <w:proofErr w:type="spellEnd"/>
      <w:r>
        <w:rPr>
          <w:rFonts w:eastAsia="Palatino Linotype"/>
          <w:sz w:val="22"/>
          <w:szCs w:val="22"/>
          <w:lang w:val="es-ES"/>
        </w:rPr>
        <w:t xml:space="preserve"> </w:t>
      </w:r>
      <w:proofErr w:type="spellStart"/>
      <w:r>
        <w:rPr>
          <w:rFonts w:eastAsia="Palatino Linotype"/>
          <w:sz w:val="22"/>
          <w:szCs w:val="22"/>
          <w:lang w:val="es-ES"/>
        </w:rPr>
        <w:t>mechanism</w:t>
      </w:r>
      <w:proofErr w:type="spellEnd"/>
      <w:r>
        <w:rPr>
          <w:rFonts w:eastAsia="Palatino Linotype"/>
          <w:sz w:val="22"/>
          <w:szCs w:val="22"/>
          <w:lang w:val="es-ES"/>
        </w:rPr>
        <w:t xml:space="preserve"> </w:t>
      </w:r>
      <w:proofErr w:type="spellStart"/>
      <w:r>
        <w:rPr>
          <w:rFonts w:eastAsia="Palatino Linotype"/>
          <w:sz w:val="22"/>
          <w:szCs w:val="22"/>
          <w:lang w:val="es-ES"/>
        </w:rPr>
        <w:t>does</w:t>
      </w:r>
      <w:proofErr w:type="spellEnd"/>
      <w:r>
        <w:rPr>
          <w:rFonts w:eastAsia="Palatino Linotype"/>
          <w:sz w:val="22"/>
          <w:szCs w:val="22"/>
          <w:lang w:val="es-ES"/>
        </w:rPr>
        <w:t xml:space="preserve"> </w:t>
      </w:r>
      <w:proofErr w:type="spellStart"/>
      <w:r>
        <w:rPr>
          <w:rFonts w:eastAsia="Palatino Linotype"/>
          <w:sz w:val="22"/>
          <w:szCs w:val="22"/>
          <w:lang w:val="es-ES"/>
        </w:rPr>
        <w:t>not</w:t>
      </w:r>
      <w:proofErr w:type="spellEnd"/>
      <w:r>
        <w:rPr>
          <w:rFonts w:eastAsia="Palatino Linotype"/>
          <w:sz w:val="22"/>
          <w:szCs w:val="22"/>
          <w:lang w:val="es-ES"/>
        </w:rPr>
        <w:t xml:space="preserve"> </w:t>
      </w:r>
      <w:proofErr w:type="spellStart"/>
      <w:r>
        <w:rPr>
          <w:rFonts w:eastAsia="Palatino Linotype"/>
          <w:sz w:val="22"/>
          <w:szCs w:val="22"/>
          <w:lang w:val="es-ES"/>
        </w:rPr>
        <w:t>apply</w:t>
      </w:r>
      <w:proofErr w:type="spellEnd"/>
      <w:r>
        <w:rPr>
          <w:rFonts w:eastAsia="Palatino Linotype"/>
          <w:sz w:val="22"/>
          <w:szCs w:val="22"/>
          <w:lang w:val="es-ES"/>
        </w:rPr>
        <w:t xml:space="preserve"> in </w:t>
      </w:r>
      <w:proofErr w:type="spellStart"/>
      <w:r>
        <w:rPr>
          <w:rFonts w:eastAsia="Palatino Linotype"/>
          <w:sz w:val="22"/>
          <w:szCs w:val="22"/>
          <w:lang w:val="es-ES"/>
        </w:rPr>
        <w:t>the</w:t>
      </w:r>
      <w:proofErr w:type="spellEnd"/>
      <w:r>
        <w:rPr>
          <w:rFonts w:eastAsia="Palatino Linotype"/>
          <w:sz w:val="22"/>
          <w:szCs w:val="22"/>
          <w:lang w:val="es-ES"/>
        </w:rPr>
        <w:t xml:space="preserve"> </w:t>
      </w:r>
      <w:proofErr w:type="spellStart"/>
      <w:r>
        <w:rPr>
          <w:rFonts w:eastAsia="Palatino Linotype"/>
          <w:sz w:val="22"/>
          <w:szCs w:val="22"/>
          <w:lang w:val="es-ES"/>
        </w:rPr>
        <w:t>following</w:t>
      </w:r>
      <w:proofErr w:type="spellEnd"/>
      <w:r>
        <w:rPr>
          <w:rFonts w:eastAsia="Palatino Linotype"/>
          <w:sz w:val="22"/>
          <w:szCs w:val="22"/>
          <w:lang w:val="es-ES"/>
        </w:rPr>
        <w:t xml:space="preserve"> cases:</w:t>
      </w:r>
    </w:p>
    <w:p w14:paraId="5BB224DA" w14:textId="77777777" w:rsidR="00E255F4" w:rsidRDefault="00E255F4">
      <w:pPr>
        <w:ind w:right="-142"/>
        <w:jc w:val="both"/>
        <w:rPr>
          <w:rFonts w:eastAsia="Palatino Linotype"/>
          <w:sz w:val="22"/>
          <w:szCs w:val="22"/>
          <w:lang w:val="es-ES"/>
        </w:rPr>
      </w:pPr>
    </w:p>
    <w:p w14:paraId="5C3CB774" w14:textId="77777777" w:rsidR="00E255F4" w:rsidRDefault="00000000">
      <w:pPr>
        <w:ind w:right="-142"/>
        <w:jc w:val="both"/>
        <w:rPr>
          <w:rFonts w:eastAsia="Palatino Linotype"/>
          <w:sz w:val="22"/>
          <w:szCs w:val="22"/>
          <w:lang w:val="es-ES"/>
        </w:rPr>
      </w:pPr>
      <w:proofErr w:type="spellStart"/>
      <w:r>
        <w:rPr>
          <w:rFonts w:eastAsia="Palatino Linotype"/>
          <w:spacing w:val="-1"/>
          <w:sz w:val="22"/>
          <w:szCs w:val="22"/>
          <w:lang w:val="es-ES"/>
        </w:rPr>
        <w:t>to</w:t>
      </w:r>
      <w:proofErr w:type="spellEnd"/>
      <w:r>
        <w:rPr>
          <w:rFonts w:eastAsia="Palatino Linotype"/>
          <w:sz w:val="22"/>
          <w:szCs w:val="22"/>
          <w:lang w:val="es-ES"/>
        </w:rPr>
        <w:t xml:space="preserve">) </w:t>
      </w:r>
      <w:proofErr w:type="spellStart"/>
      <w:r>
        <w:rPr>
          <w:rFonts w:eastAsia="Palatino Linotype"/>
          <w:sz w:val="22"/>
          <w:szCs w:val="22"/>
          <w:lang w:val="es-ES"/>
        </w:rPr>
        <w:t>when</w:t>
      </w:r>
      <w:proofErr w:type="spellEnd"/>
      <w:r>
        <w:rPr>
          <w:rFonts w:eastAsia="Palatino Linotype"/>
          <w:sz w:val="22"/>
          <w:szCs w:val="22"/>
          <w:lang w:val="es-ES"/>
        </w:rPr>
        <w:t xml:space="preserve"> a </w:t>
      </w:r>
      <w:proofErr w:type="spellStart"/>
      <w:r>
        <w:rPr>
          <w:rFonts w:eastAsia="Palatino Linotype"/>
          <w:sz w:val="22"/>
          <w:szCs w:val="22"/>
          <w:lang w:val="es-ES"/>
        </w:rPr>
        <w:t>company</w:t>
      </w:r>
      <w:proofErr w:type="spellEnd"/>
      <w:r>
        <w:rPr>
          <w:rFonts w:eastAsia="Palatino Linotype"/>
          <w:sz w:val="22"/>
          <w:szCs w:val="22"/>
          <w:lang w:val="es-ES"/>
        </w:rPr>
        <w:t xml:space="preserve"> </w:t>
      </w:r>
      <w:proofErr w:type="spellStart"/>
      <w:r>
        <w:rPr>
          <w:rFonts w:eastAsia="Palatino Linotype"/>
          <w:sz w:val="22"/>
          <w:szCs w:val="22"/>
          <w:lang w:val="es-ES"/>
        </w:rPr>
        <w:t>is</w:t>
      </w:r>
      <w:proofErr w:type="spellEnd"/>
      <w:r>
        <w:rPr>
          <w:rFonts w:eastAsia="Palatino Linotype"/>
          <w:sz w:val="22"/>
          <w:szCs w:val="22"/>
          <w:lang w:val="es-ES"/>
        </w:rPr>
        <w:t xml:space="preserve"> </w:t>
      </w:r>
      <w:proofErr w:type="spellStart"/>
      <w:r>
        <w:rPr>
          <w:rFonts w:eastAsia="Palatino Linotype"/>
          <w:sz w:val="22"/>
          <w:szCs w:val="22"/>
          <w:lang w:val="es-ES"/>
        </w:rPr>
        <w:t>the</w:t>
      </w:r>
      <w:proofErr w:type="spellEnd"/>
      <w:r>
        <w:rPr>
          <w:rFonts w:eastAsia="Palatino Linotype"/>
          <w:sz w:val="22"/>
          <w:szCs w:val="22"/>
          <w:lang w:val="es-ES"/>
        </w:rPr>
        <w:t xml:space="preserve"> </w:t>
      </w:r>
      <w:proofErr w:type="spellStart"/>
      <w:r>
        <w:rPr>
          <w:rFonts w:eastAsia="Palatino Linotype"/>
          <w:sz w:val="22"/>
          <w:szCs w:val="22"/>
          <w:lang w:val="es-ES"/>
        </w:rPr>
        <w:t>winner</w:t>
      </w:r>
      <w:proofErr w:type="spellEnd"/>
      <w:r>
        <w:rPr>
          <w:rFonts w:eastAsia="Palatino Linotype"/>
          <w:sz w:val="22"/>
          <w:szCs w:val="22"/>
          <w:lang w:val="es-ES"/>
        </w:rPr>
        <w:t xml:space="preserve"> </w:t>
      </w:r>
      <w:proofErr w:type="spellStart"/>
      <w:r>
        <w:rPr>
          <w:rFonts w:eastAsia="Palatino Linotype"/>
          <w:sz w:val="22"/>
          <w:szCs w:val="22"/>
          <w:lang w:val="es-ES"/>
        </w:rPr>
        <w:t>by</w:t>
      </w:r>
      <w:proofErr w:type="spellEnd"/>
      <w:r>
        <w:rPr>
          <w:rFonts w:eastAsia="Palatino Linotype"/>
          <w:sz w:val="22"/>
          <w:szCs w:val="22"/>
          <w:lang w:val="es-ES"/>
        </w:rPr>
        <w:t xml:space="preserve"> </w:t>
      </w:r>
      <w:proofErr w:type="spellStart"/>
      <w:r>
        <w:rPr>
          <w:rFonts w:eastAsia="Palatino Linotype"/>
          <w:sz w:val="22"/>
          <w:szCs w:val="22"/>
          <w:lang w:val="es-ES"/>
        </w:rPr>
        <w:t>application</w:t>
      </w:r>
      <w:proofErr w:type="spellEnd"/>
      <w:r>
        <w:rPr>
          <w:rFonts w:eastAsia="Palatino Linotype"/>
          <w:sz w:val="22"/>
          <w:szCs w:val="22"/>
          <w:lang w:val="es-ES"/>
        </w:rPr>
        <w:t xml:space="preserve"> </w:t>
      </w:r>
      <w:proofErr w:type="spellStart"/>
      <w:r>
        <w:rPr>
          <w:rFonts w:eastAsia="Palatino Linotype"/>
          <w:sz w:val="22"/>
          <w:szCs w:val="22"/>
          <w:lang w:val="es-ES"/>
        </w:rPr>
        <w:t>of</w:t>
      </w:r>
      <w:proofErr w:type="spellEnd"/>
      <w:r>
        <w:rPr>
          <w:rFonts w:eastAsia="Palatino Linotype"/>
          <w:sz w:val="22"/>
          <w:szCs w:val="22"/>
          <w:lang w:val="es-ES"/>
        </w:rPr>
        <w:t xml:space="preserve"> </w:t>
      </w:r>
      <w:proofErr w:type="spellStart"/>
      <w:r>
        <w:rPr>
          <w:rFonts w:eastAsia="Palatino Linotype"/>
          <w:sz w:val="22"/>
          <w:szCs w:val="22"/>
          <w:lang w:val="es-ES"/>
        </w:rPr>
        <w:t>the</w:t>
      </w:r>
      <w:proofErr w:type="spellEnd"/>
      <w:r>
        <w:rPr>
          <w:rFonts w:eastAsia="Palatino Linotype"/>
          <w:sz w:val="22"/>
          <w:szCs w:val="22"/>
          <w:lang w:val="es-ES"/>
        </w:rPr>
        <w:t xml:space="preserve"> </w:t>
      </w:r>
      <w:proofErr w:type="spellStart"/>
      <w:r>
        <w:rPr>
          <w:rFonts w:eastAsia="Palatino Linotype"/>
          <w:sz w:val="22"/>
          <w:szCs w:val="22"/>
          <w:lang w:val="es-ES"/>
        </w:rPr>
        <w:t>regime</w:t>
      </w:r>
      <w:proofErr w:type="spellEnd"/>
      <w:r>
        <w:rPr>
          <w:rFonts w:eastAsia="Palatino Linotype"/>
          <w:sz w:val="22"/>
          <w:szCs w:val="22"/>
          <w:lang w:val="es-ES"/>
        </w:rPr>
        <w:t xml:space="preserve"> </w:t>
      </w:r>
      <w:proofErr w:type="spellStart"/>
      <w:r>
        <w:rPr>
          <w:rFonts w:eastAsia="Palatino Linotype"/>
          <w:sz w:val="22"/>
          <w:szCs w:val="22"/>
          <w:lang w:val="es-ES"/>
        </w:rPr>
        <w:t>provided</w:t>
      </w:r>
      <w:proofErr w:type="spellEnd"/>
      <w:r>
        <w:rPr>
          <w:rFonts w:eastAsia="Palatino Linotype"/>
          <w:sz w:val="22"/>
          <w:szCs w:val="22"/>
          <w:lang w:val="es-ES"/>
        </w:rPr>
        <w:t xml:space="preserve"> </w:t>
      </w:r>
      <w:proofErr w:type="spellStart"/>
      <w:r>
        <w:rPr>
          <w:rFonts w:eastAsia="Palatino Linotype"/>
          <w:sz w:val="22"/>
          <w:szCs w:val="22"/>
          <w:lang w:val="es-ES"/>
        </w:rPr>
        <w:t>for</w:t>
      </w:r>
      <w:proofErr w:type="spellEnd"/>
      <w:r>
        <w:rPr>
          <w:rFonts w:eastAsia="Palatino Linotype"/>
          <w:sz w:val="22"/>
          <w:szCs w:val="22"/>
          <w:lang w:val="es-ES"/>
        </w:rPr>
        <w:t xml:space="preserve"> in </w:t>
      </w:r>
      <w:proofErr w:type="spellStart"/>
      <w:r>
        <w:rPr>
          <w:rFonts w:eastAsia="Palatino Linotype"/>
          <w:sz w:val="22"/>
          <w:szCs w:val="22"/>
          <w:lang w:val="es-ES"/>
        </w:rPr>
        <w:t>the</w:t>
      </w:r>
      <w:proofErr w:type="spellEnd"/>
      <w:r>
        <w:rPr>
          <w:rFonts w:eastAsia="Palatino Linotype"/>
          <w:sz w:val="22"/>
          <w:szCs w:val="22"/>
          <w:lang w:val="es-ES"/>
        </w:rPr>
        <w:t xml:space="preserve"> </w:t>
      </w:r>
      <w:proofErr w:type="spellStart"/>
      <w:r>
        <w:rPr>
          <w:rFonts w:eastAsia="Palatino Linotype"/>
          <w:sz w:val="22"/>
          <w:szCs w:val="22"/>
          <w:lang w:val="es-ES"/>
        </w:rPr>
        <w:t>preceding</w:t>
      </w:r>
      <w:proofErr w:type="spellEnd"/>
      <w:r>
        <w:rPr>
          <w:rFonts w:eastAsia="Palatino Linotype"/>
          <w:sz w:val="22"/>
          <w:szCs w:val="22"/>
          <w:lang w:val="es-ES"/>
        </w:rPr>
        <w:t xml:space="preserve"> b1.</w:t>
      </w:r>
    </w:p>
    <w:p w14:paraId="2056CB70" w14:textId="77777777" w:rsidR="00E255F4" w:rsidRDefault="00E255F4">
      <w:pPr>
        <w:ind w:right="-142"/>
        <w:jc w:val="both"/>
        <w:rPr>
          <w:rFonts w:eastAsia="Palatino Linotype"/>
          <w:sz w:val="22"/>
          <w:szCs w:val="22"/>
          <w:lang w:val="es-ES"/>
        </w:rPr>
      </w:pPr>
    </w:p>
    <w:p w14:paraId="3CC7498D" w14:textId="77777777" w:rsidR="00E255F4" w:rsidRDefault="00000000">
      <w:pPr>
        <w:ind w:right="-142"/>
        <w:jc w:val="both"/>
        <w:rPr>
          <w:rFonts w:eastAsia="Palatino Linotype"/>
          <w:sz w:val="22"/>
          <w:szCs w:val="22"/>
          <w:lang w:val="es-ES"/>
        </w:rPr>
      </w:pPr>
      <w:r>
        <w:rPr>
          <w:rFonts w:eastAsia="Palatino Linotype"/>
          <w:spacing w:val="-1"/>
          <w:sz w:val="22"/>
          <w:szCs w:val="22"/>
          <w:lang w:val="es-ES"/>
        </w:rPr>
        <w:t>b</w:t>
      </w:r>
      <w:r>
        <w:rPr>
          <w:rFonts w:eastAsia="Palatino Linotype"/>
          <w:sz w:val="22"/>
          <w:szCs w:val="22"/>
          <w:lang w:val="es-ES"/>
        </w:rPr>
        <w:t xml:space="preserve">) </w:t>
      </w:r>
      <w:proofErr w:type="spellStart"/>
      <w:r>
        <w:rPr>
          <w:rFonts w:eastAsia="Palatino Linotype"/>
          <w:sz w:val="22"/>
          <w:szCs w:val="22"/>
          <w:lang w:val="es-ES"/>
        </w:rPr>
        <w:t>when</w:t>
      </w:r>
      <w:proofErr w:type="spellEnd"/>
      <w:r>
        <w:rPr>
          <w:rFonts w:eastAsia="Palatino Linotype"/>
          <w:sz w:val="22"/>
          <w:szCs w:val="22"/>
          <w:lang w:val="es-ES"/>
        </w:rPr>
        <w:t xml:space="preserve"> </w:t>
      </w:r>
      <w:proofErr w:type="spellStart"/>
      <w:r>
        <w:rPr>
          <w:rFonts w:eastAsia="Palatino Linotype"/>
          <w:sz w:val="22"/>
          <w:szCs w:val="22"/>
          <w:lang w:val="es-ES"/>
        </w:rPr>
        <w:t>the</w:t>
      </w:r>
      <w:proofErr w:type="spellEnd"/>
      <w:r>
        <w:rPr>
          <w:rFonts w:eastAsia="Palatino Linotype"/>
          <w:sz w:val="22"/>
          <w:szCs w:val="22"/>
          <w:lang w:val="es-ES"/>
        </w:rPr>
        <w:t xml:space="preserve"> </w:t>
      </w:r>
      <w:proofErr w:type="spellStart"/>
      <w:r>
        <w:rPr>
          <w:rFonts w:eastAsia="Palatino Linotype"/>
          <w:sz w:val="22"/>
          <w:szCs w:val="22"/>
          <w:lang w:val="es-ES"/>
        </w:rPr>
        <w:t>best</w:t>
      </w:r>
      <w:proofErr w:type="spellEnd"/>
      <w:r>
        <w:rPr>
          <w:rFonts w:eastAsia="Palatino Linotype"/>
          <w:sz w:val="22"/>
          <w:szCs w:val="22"/>
          <w:lang w:val="es-ES"/>
        </w:rPr>
        <w:t xml:space="preserve"> </w:t>
      </w:r>
      <w:proofErr w:type="spellStart"/>
      <w:r>
        <w:rPr>
          <w:rFonts w:eastAsia="Palatino Linotype"/>
          <w:sz w:val="22"/>
          <w:szCs w:val="22"/>
          <w:lang w:val="es-ES"/>
        </w:rPr>
        <w:t>offer</w:t>
      </w:r>
      <w:proofErr w:type="spellEnd"/>
      <w:r>
        <w:rPr>
          <w:rFonts w:eastAsia="Palatino Linotype"/>
          <w:sz w:val="22"/>
          <w:szCs w:val="22"/>
          <w:lang w:val="es-ES"/>
        </w:rPr>
        <w:t xml:space="preserve"> </w:t>
      </w:r>
      <w:proofErr w:type="spellStart"/>
      <w:r>
        <w:rPr>
          <w:rFonts w:eastAsia="Palatino Linotype"/>
          <w:sz w:val="22"/>
          <w:szCs w:val="22"/>
          <w:lang w:val="es-ES"/>
        </w:rPr>
        <w:t>under</w:t>
      </w:r>
      <w:proofErr w:type="spellEnd"/>
      <w:r>
        <w:rPr>
          <w:rFonts w:eastAsia="Palatino Linotype"/>
          <w:sz w:val="22"/>
          <w:szCs w:val="22"/>
          <w:lang w:val="es-ES"/>
        </w:rPr>
        <w:t xml:space="preserve"> </w:t>
      </w:r>
      <w:proofErr w:type="spellStart"/>
      <w:r>
        <w:rPr>
          <w:rFonts w:eastAsia="Palatino Linotype"/>
          <w:sz w:val="22"/>
          <w:szCs w:val="22"/>
          <w:lang w:val="es-ES"/>
        </w:rPr>
        <w:t>the</w:t>
      </w:r>
      <w:proofErr w:type="spellEnd"/>
      <w:r>
        <w:rPr>
          <w:rFonts w:eastAsia="Palatino Linotype"/>
          <w:sz w:val="22"/>
          <w:szCs w:val="22"/>
          <w:lang w:val="es-ES"/>
        </w:rPr>
        <w:t xml:space="preserve"> Market Reserve </w:t>
      </w:r>
      <w:proofErr w:type="spellStart"/>
      <w:r>
        <w:rPr>
          <w:rFonts w:eastAsia="Palatino Linotype"/>
          <w:sz w:val="22"/>
          <w:szCs w:val="22"/>
          <w:lang w:val="es-ES"/>
        </w:rPr>
        <w:t>mechanism</w:t>
      </w:r>
      <w:proofErr w:type="spellEnd"/>
      <w:r>
        <w:rPr>
          <w:rFonts w:eastAsia="Palatino Linotype"/>
          <w:sz w:val="22"/>
          <w:szCs w:val="22"/>
          <w:lang w:val="es-ES"/>
        </w:rPr>
        <w:t xml:space="preserve"> </w:t>
      </w:r>
      <w:proofErr w:type="spellStart"/>
      <w:r>
        <w:rPr>
          <w:rFonts w:eastAsia="Palatino Linotype"/>
          <w:sz w:val="22"/>
          <w:szCs w:val="22"/>
          <w:lang w:val="es-ES"/>
        </w:rPr>
        <w:t>exceeds</w:t>
      </w:r>
      <w:proofErr w:type="spellEnd"/>
      <w:r>
        <w:rPr>
          <w:rFonts w:eastAsia="Palatino Linotype"/>
          <w:sz w:val="22"/>
          <w:szCs w:val="22"/>
          <w:lang w:val="es-ES"/>
        </w:rPr>
        <w:t xml:space="preserve"> </w:t>
      </w:r>
      <w:proofErr w:type="spellStart"/>
      <w:r>
        <w:rPr>
          <w:rFonts w:eastAsia="Palatino Linotype"/>
          <w:sz w:val="22"/>
          <w:szCs w:val="22"/>
          <w:lang w:val="es-ES"/>
        </w:rPr>
        <w:t>by</w:t>
      </w:r>
      <w:proofErr w:type="spellEnd"/>
      <w:r>
        <w:rPr>
          <w:rFonts w:eastAsia="Palatino Linotype"/>
          <w:sz w:val="22"/>
          <w:szCs w:val="22"/>
          <w:lang w:val="es-ES"/>
        </w:rPr>
        <w:t xml:space="preserve"> 16% </w:t>
      </w:r>
      <w:proofErr w:type="spellStart"/>
      <w:r>
        <w:rPr>
          <w:rFonts w:eastAsia="Palatino Linotype"/>
          <w:sz w:val="22"/>
          <w:szCs w:val="22"/>
          <w:lang w:val="es-ES"/>
        </w:rPr>
        <w:t>or</w:t>
      </w:r>
      <w:proofErr w:type="spellEnd"/>
      <w:r>
        <w:rPr>
          <w:rFonts w:eastAsia="Palatino Linotype"/>
          <w:sz w:val="22"/>
          <w:szCs w:val="22"/>
          <w:lang w:val="es-ES"/>
        </w:rPr>
        <w:t xml:space="preserve"> more </w:t>
      </w:r>
      <w:proofErr w:type="spellStart"/>
      <w:r>
        <w:rPr>
          <w:rFonts w:eastAsia="Palatino Linotype"/>
          <w:sz w:val="22"/>
          <w:szCs w:val="22"/>
          <w:lang w:val="es-ES"/>
        </w:rPr>
        <w:t>the</w:t>
      </w:r>
      <w:proofErr w:type="spellEnd"/>
      <w:r>
        <w:rPr>
          <w:rFonts w:eastAsia="Palatino Linotype"/>
          <w:sz w:val="22"/>
          <w:szCs w:val="22"/>
          <w:lang w:val="es-ES"/>
        </w:rPr>
        <w:t xml:space="preserve"> </w:t>
      </w:r>
      <w:proofErr w:type="spellStart"/>
      <w:r>
        <w:rPr>
          <w:rFonts w:eastAsia="Palatino Linotype"/>
          <w:sz w:val="22"/>
          <w:szCs w:val="22"/>
          <w:lang w:val="es-ES"/>
        </w:rPr>
        <w:t>best</w:t>
      </w:r>
      <w:proofErr w:type="spellEnd"/>
      <w:r>
        <w:rPr>
          <w:rFonts w:eastAsia="Palatino Linotype"/>
          <w:sz w:val="22"/>
          <w:szCs w:val="22"/>
          <w:lang w:val="es-ES"/>
        </w:rPr>
        <w:t xml:space="preserve"> </w:t>
      </w:r>
      <w:proofErr w:type="spellStart"/>
      <w:r>
        <w:rPr>
          <w:rFonts w:eastAsia="Palatino Linotype"/>
          <w:sz w:val="22"/>
          <w:szCs w:val="22"/>
          <w:lang w:val="es-ES"/>
        </w:rPr>
        <w:t>offer</w:t>
      </w:r>
      <w:proofErr w:type="spellEnd"/>
      <w:r>
        <w:rPr>
          <w:rFonts w:eastAsia="Palatino Linotype"/>
          <w:sz w:val="22"/>
          <w:szCs w:val="22"/>
          <w:lang w:val="es-ES"/>
        </w:rPr>
        <w:t xml:space="preserve"> </w:t>
      </w:r>
      <w:proofErr w:type="spellStart"/>
      <w:r>
        <w:rPr>
          <w:rFonts w:eastAsia="Palatino Linotype"/>
          <w:sz w:val="22"/>
          <w:szCs w:val="22"/>
          <w:lang w:val="es-ES"/>
        </w:rPr>
        <w:t>submitted</w:t>
      </w:r>
      <w:proofErr w:type="spellEnd"/>
      <w:r>
        <w:rPr>
          <w:rFonts w:eastAsia="Palatino Linotype"/>
          <w:sz w:val="22"/>
          <w:szCs w:val="22"/>
          <w:lang w:val="es-ES"/>
        </w:rPr>
        <w:t xml:space="preserve"> </w:t>
      </w:r>
      <w:proofErr w:type="spellStart"/>
      <w:r>
        <w:rPr>
          <w:rFonts w:eastAsia="Palatino Linotype"/>
          <w:sz w:val="22"/>
          <w:szCs w:val="22"/>
          <w:lang w:val="es-ES"/>
        </w:rPr>
        <w:t>for</w:t>
      </w:r>
      <w:proofErr w:type="spellEnd"/>
      <w:r>
        <w:rPr>
          <w:rFonts w:eastAsia="Palatino Linotype"/>
          <w:sz w:val="22"/>
          <w:szCs w:val="22"/>
          <w:lang w:val="es-ES"/>
        </w:rPr>
        <w:t xml:space="preserve"> </w:t>
      </w:r>
      <w:proofErr w:type="spellStart"/>
      <w:r>
        <w:rPr>
          <w:rFonts w:eastAsia="Palatino Linotype"/>
          <w:sz w:val="22"/>
          <w:szCs w:val="22"/>
          <w:lang w:val="es-ES"/>
        </w:rPr>
        <w:t>the</w:t>
      </w:r>
      <w:proofErr w:type="spellEnd"/>
      <w:r>
        <w:rPr>
          <w:rFonts w:eastAsia="Palatino Linotype"/>
          <w:sz w:val="22"/>
          <w:szCs w:val="22"/>
          <w:lang w:val="es-ES"/>
        </w:rPr>
        <w:t xml:space="preserve"> total </w:t>
      </w:r>
      <w:proofErr w:type="spellStart"/>
      <w:r>
        <w:rPr>
          <w:rFonts w:eastAsia="Palatino Linotype"/>
          <w:sz w:val="22"/>
          <w:szCs w:val="22"/>
          <w:lang w:val="es-ES"/>
        </w:rPr>
        <w:t>amount</w:t>
      </w:r>
      <w:proofErr w:type="spellEnd"/>
      <w:r>
        <w:rPr>
          <w:rFonts w:eastAsia="Palatino Linotype"/>
          <w:sz w:val="22"/>
          <w:szCs w:val="22"/>
          <w:lang w:val="es-ES"/>
        </w:rPr>
        <w:t xml:space="preserve"> </w:t>
      </w:r>
      <w:proofErr w:type="spellStart"/>
      <w:r>
        <w:rPr>
          <w:rFonts w:eastAsia="Palatino Linotype"/>
          <w:sz w:val="22"/>
          <w:szCs w:val="22"/>
          <w:lang w:val="es-ES"/>
        </w:rPr>
        <w:t>tendered</w:t>
      </w:r>
      <w:proofErr w:type="spellEnd"/>
      <w:r>
        <w:rPr>
          <w:rFonts w:eastAsia="Palatino Linotype"/>
          <w:sz w:val="22"/>
          <w:szCs w:val="22"/>
          <w:lang w:val="es-ES"/>
        </w:rPr>
        <w:t xml:space="preserve">. The </w:t>
      </w:r>
      <w:proofErr w:type="spellStart"/>
      <w:r>
        <w:rPr>
          <w:rFonts w:eastAsia="Palatino Linotype"/>
          <w:sz w:val="22"/>
          <w:szCs w:val="22"/>
          <w:lang w:val="es-ES"/>
        </w:rPr>
        <w:t>best</w:t>
      </w:r>
      <w:proofErr w:type="spellEnd"/>
      <w:r>
        <w:rPr>
          <w:rFonts w:eastAsia="Palatino Linotype"/>
          <w:sz w:val="22"/>
          <w:szCs w:val="22"/>
          <w:lang w:val="es-ES"/>
        </w:rPr>
        <w:t xml:space="preserve"> </w:t>
      </w:r>
      <w:proofErr w:type="spellStart"/>
      <w:r>
        <w:rPr>
          <w:rFonts w:eastAsia="Palatino Linotype"/>
          <w:sz w:val="22"/>
          <w:szCs w:val="22"/>
          <w:lang w:val="es-ES"/>
        </w:rPr>
        <w:t>offer</w:t>
      </w:r>
      <w:proofErr w:type="spellEnd"/>
      <w:r>
        <w:rPr>
          <w:rFonts w:eastAsia="Palatino Linotype"/>
          <w:sz w:val="22"/>
          <w:szCs w:val="22"/>
          <w:lang w:val="es-ES"/>
        </w:rPr>
        <w:t xml:space="preserve"> </w:t>
      </w:r>
      <w:proofErr w:type="spellStart"/>
      <w:r>
        <w:rPr>
          <w:rFonts w:eastAsia="Palatino Linotype"/>
          <w:sz w:val="22"/>
          <w:szCs w:val="22"/>
          <w:lang w:val="es-ES"/>
        </w:rPr>
        <w:t>is</w:t>
      </w:r>
      <w:proofErr w:type="spellEnd"/>
      <w:r>
        <w:rPr>
          <w:rFonts w:eastAsia="Palatino Linotype"/>
          <w:sz w:val="22"/>
          <w:szCs w:val="22"/>
          <w:lang w:val="es-ES"/>
        </w:rPr>
        <w:t xml:space="preserve"> </w:t>
      </w:r>
      <w:proofErr w:type="spellStart"/>
      <w:r>
        <w:rPr>
          <w:rFonts w:eastAsia="Palatino Linotype"/>
          <w:sz w:val="22"/>
          <w:szCs w:val="22"/>
          <w:lang w:val="es-ES"/>
        </w:rPr>
        <w:t>understood</w:t>
      </w:r>
      <w:proofErr w:type="spellEnd"/>
      <w:r>
        <w:rPr>
          <w:rFonts w:eastAsia="Palatino Linotype"/>
          <w:sz w:val="22"/>
          <w:szCs w:val="22"/>
          <w:lang w:val="es-ES"/>
        </w:rPr>
        <w:t xml:space="preserve"> </w:t>
      </w:r>
      <w:proofErr w:type="spellStart"/>
      <w:r>
        <w:rPr>
          <w:rFonts w:eastAsia="Palatino Linotype"/>
          <w:sz w:val="22"/>
          <w:szCs w:val="22"/>
          <w:lang w:val="es-ES"/>
        </w:rPr>
        <w:t>to</w:t>
      </w:r>
      <w:proofErr w:type="spellEnd"/>
      <w:r>
        <w:rPr>
          <w:rFonts w:eastAsia="Palatino Linotype"/>
          <w:sz w:val="22"/>
          <w:szCs w:val="22"/>
          <w:lang w:val="es-ES"/>
        </w:rPr>
        <w:t xml:space="preserve"> be </w:t>
      </w:r>
      <w:proofErr w:type="spellStart"/>
      <w:r>
        <w:rPr>
          <w:rFonts w:eastAsia="Palatino Linotype"/>
          <w:sz w:val="22"/>
          <w:szCs w:val="22"/>
          <w:lang w:val="es-ES"/>
        </w:rPr>
        <w:t>the</w:t>
      </w:r>
      <w:proofErr w:type="spellEnd"/>
      <w:r>
        <w:rPr>
          <w:rFonts w:eastAsia="Palatino Linotype"/>
          <w:sz w:val="22"/>
          <w:szCs w:val="22"/>
          <w:lang w:val="es-ES"/>
        </w:rPr>
        <w:t xml:space="preserve"> </w:t>
      </w:r>
      <w:proofErr w:type="spellStart"/>
      <w:r>
        <w:rPr>
          <w:rFonts w:eastAsia="Palatino Linotype"/>
          <w:sz w:val="22"/>
          <w:szCs w:val="22"/>
          <w:lang w:val="es-ES"/>
        </w:rPr>
        <w:t>lowest</w:t>
      </w:r>
      <w:proofErr w:type="spellEnd"/>
      <w:r>
        <w:rPr>
          <w:rFonts w:eastAsia="Palatino Linotype"/>
          <w:sz w:val="22"/>
          <w:szCs w:val="22"/>
          <w:lang w:val="es-ES"/>
        </w:rPr>
        <w:t xml:space="preserve"> </w:t>
      </w:r>
      <w:proofErr w:type="spellStart"/>
      <w:r>
        <w:rPr>
          <w:rFonts w:eastAsia="Palatino Linotype"/>
          <w:sz w:val="22"/>
          <w:szCs w:val="22"/>
          <w:lang w:val="es-ES"/>
        </w:rPr>
        <w:t>price</w:t>
      </w:r>
      <w:proofErr w:type="spellEnd"/>
      <w:r>
        <w:rPr>
          <w:rFonts w:eastAsia="Palatino Linotype"/>
          <w:sz w:val="22"/>
          <w:szCs w:val="22"/>
          <w:lang w:val="es-ES"/>
        </w:rPr>
        <w:t xml:space="preserve"> </w:t>
      </w:r>
      <w:proofErr w:type="spellStart"/>
      <w:r>
        <w:rPr>
          <w:rFonts w:eastAsia="Palatino Linotype"/>
          <w:sz w:val="22"/>
          <w:szCs w:val="22"/>
          <w:lang w:val="es-ES"/>
        </w:rPr>
        <w:t>or</w:t>
      </w:r>
      <w:proofErr w:type="spellEnd"/>
      <w:r>
        <w:rPr>
          <w:rFonts w:eastAsia="Palatino Linotype"/>
          <w:sz w:val="22"/>
          <w:szCs w:val="22"/>
          <w:lang w:val="es-ES"/>
        </w:rPr>
        <w:t xml:space="preserve"> </w:t>
      </w:r>
      <w:proofErr w:type="spellStart"/>
      <w:r>
        <w:rPr>
          <w:rFonts w:eastAsia="Palatino Linotype"/>
          <w:sz w:val="22"/>
          <w:szCs w:val="22"/>
          <w:lang w:val="es-ES"/>
        </w:rPr>
        <w:t>the</w:t>
      </w:r>
      <w:proofErr w:type="spellEnd"/>
      <w:r>
        <w:rPr>
          <w:rFonts w:eastAsia="Palatino Linotype"/>
          <w:sz w:val="22"/>
          <w:szCs w:val="22"/>
          <w:lang w:val="es-ES"/>
        </w:rPr>
        <w:t xml:space="preserve"> </w:t>
      </w:r>
      <w:proofErr w:type="spellStart"/>
      <w:r>
        <w:rPr>
          <w:rFonts w:eastAsia="Palatino Linotype"/>
          <w:sz w:val="22"/>
          <w:szCs w:val="22"/>
          <w:lang w:val="es-ES"/>
        </w:rPr>
        <w:t>one</w:t>
      </w:r>
      <w:proofErr w:type="spellEnd"/>
      <w:r>
        <w:rPr>
          <w:rFonts w:eastAsia="Palatino Linotype"/>
          <w:sz w:val="22"/>
          <w:szCs w:val="22"/>
          <w:lang w:val="es-ES"/>
        </w:rPr>
        <w:t xml:space="preserve"> </w:t>
      </w:r>
      <w:proofErr w:type="spellStart"/>
      <w:r>
        <w:rPr>
          <w:rFonts w:eastAsia="Palatino Linotype"/>
          <w:sz w:val="22"/>
          <w:szCs w:val="22"/>
          <w:lang w:val="es-ES"/>
        </w:rPr>
        <w:lastRenderedPageBreak/>
        <w:t>that</w:t>
      </w:r>
      <w:proofErr w:type="spellEnd"/>
      <w:r>
        <w:rPr>
          <w:rFonts w:eastAsia="Palatino Linotype"/>
          <w:sz w:val="22"/>
          <w:szCs w:val="22"/>
          <w:lang w:val="es-ES"/>
        </w:rPr>
        <w:t xml:space="preserve"> </w:t>
      </w:r>
      <w:proofErr w:type="spellStart"/>
      <w:r>
        <w:rPr>
          <w:rFonts w:eastAsia="Palatino Linotype"/>
          <w:sz w:val="22"/>
          <w:szCs w:val="22"/>
          <w:lang w:val="es-ES"/>
        </w:rPr>
        <w:t>obtains</w:t>
      </w:r>
      <w:proofErr w:type="spellEnd"/>
      <w:r>
        <w:rPr>
          <w:rFonts w:eastAsia="Palatino Linotype"/>
          <w:sz w:val="22"/>
          <w:szCs w:val="22"/>
          <w:lang w:val="es-ES"/>
        </w:rPr>
        <w:t xml:space="preserve"> </w:t>
      </w:r>
      <w:proofErr w:type="spellStart"/>
      <w:r>
        <w:rPr>
          <w:rFonts w:eastAsia="Palatino Linotype"/>
          <w:sz w:val="22"/>
          <w:szCs w:val="22"/>
          <w:lang w:val="es-ES"/>
        </w:rPr>
        <w:t>the</w:t>
      </w:r>
      <w:proofErr w:type="spellEnd"/>
      <w:r>
        <w:rPr>
          <w:rFonts w:eastAsia="Palatino Linotype"/>
          <w:sz w:val="22"/>
          <w:szCs w:val="22"/>
          <w:lang w:val="es-ES"/>
        </w:rPr>
        <w:t xml:space="preserve"> </w:t>
      </w:r>
      <w:proofErr w:type="spellStart"/>
      <w:r>
        <w:rPr>
          <w:rFonts w:eastAsia="Palatino Linotype"/>
          <w:sz w:val="22"/>
          <w:szCs w:val="22"/>
          <w:lang w:val="es-ES"/>
        </w:rPr>
        <w:t>best</w:t>
      </w:r>
      <w:proofErr w:type="spellEnd"/>
      <w:r>
        <w:rPr>
          <w:rFonts w:eastAsia="Palatino Linotype"/>
          <w:sz w:val="22"/>
          <w:szCs w:val="22"/>
          <w:lang w:val="es-ES"/>
        </w:rPr>
        <w:t xml:space="preserve"> rating, as </w:t>
      </w:r>
      <w:proofErr w:type="spellStart"/>
      <w:r>
        <w:rPr>
          <w:rFonts w:eastAsia="Palatino Linotype"/>
          <w:sz w:val="22"/>
          <w:szCs w:val="22"/>
          <w:lang w:val="es-ES"/>
        </w:rPr>
        <w:t>applicable</w:t>
      </w:r>
      <w:proofErr w:type="spellEnd"/>
      <w:r>
        <w:rPr>
          <w:rFonts w:eastAsia="Palatino Linotype"/>
          <w:sz w:val="22"/>
          <w:szCs w:val="22"/>
          <w:lang w:val="es-ES"/>
        </w:rPr>
        <w:t xml:space="preserve">, </w:t>
      </w:r>
      <w:proofErr w:type="spellStart"/>
      <w:r>
        <w:rPr>
          <w:rFonts w:eastAsia="Palatino Linotype"/>
          <w:sz w:val="22"/>
          <w:szCs w:val="22"/>
          <w:lang w:val="es-ES"/>
        </w:rPr>
        <w:t>without</w:t>
      </w:r>
      <w:proofErr w:type="spellEnd"/>
      <w:r>
        <w:rPr>
          <w:rFonts w:eastAsia="Palatino Linotype"/>
          <w:sz w:val="22"/>
          <w:szCs w:val="22"/>
          <w:lang w:val="es-ES"/>
        </w:rPr>
        <w:t xml:space="preserve"> </w:t>
      </w:r>
      <w:proofErr w:type="spellStart"/>
      <w:r>
        <w:rPr>
          <w:rFonts w:eastAsia="Palatino Linotype"/>
          <w:sz w:val="22"/>
          <w:szCs w:val="22"/>
          <w:lang w:val="es-ES"/>
        </w:rPr>
        <w:t>prejudice</w:t>
      </w:r>
      <w:proofErr w:type="spellEnd"/>
      <w:r>
        <w:rPr>
          <w:rFonts w:eastAsia="Palatino Linotype"/>
          <w:sz w:val="22"/>
          <w:szCs w:val="22"/>
          <w:lang w:val="es-ES"/>
        </w:rPr>
        <w:t xml:space="preserve"> </w:t>
      </w:r>
      <w:proofErr w:type="spellStart"/>
      <w:r>
        <w:rPr>
          <w:rFonts w:eastAsia="Palatino Linotype"/>
          <w:sz w:val="22"/>
          <w:szCs w:val="22"/>
          <w:lang w:val="es-ES"/>
        </w:rPr>
        <w:t>to</w:t>
      </w:r>
      <w:proofErr w:type="spellEnd"/>
      <w:r>
        <w:rPr>
          <w:rFonts w:eastAsia="Palatino Linotype"/>
          <w:sz w:val="22"/>
          <w:szCs w:val="22"/>
          <w:lang w:val="es-ES"/>
        </w:rPr>
        <w:t xml:space="preserve"> </w:t>
      </w:r>
      <w:proofErr w:type="spellStart"/>
      <w:r>
        <w:rPr>
          <w:rFonts w:eastAsia="Palatino Linotype"/>
          <w:sz w:val="22"/>
          <w:szCs w:val="22"/>
          <w:lang w:val="es-ES"/>
        </w:rPr>
        <w:t>the</w:t>
      </w:r>
      <w:proofErr w:type="spellEnd"/>
      <w:r>
        <w:rPr>
          <w:rFonts w:eastAsia="Palatino Linotype"/>
          <w:sz w:val="22"/>
          <w:szCs w:val="22"/>
          <w:lang w:val="es-ES"/>
        </w:rPr>
        <w:t xml:space="preserve"> </w:t>
      </w:r>
      <w:proofErr w:type="spellStart"/>
      <w:r>
        <w:rPr>
          <w:rFonts w:eastAsia="Palatino Linotype"/>
          <w:sz w:val="22"/>
          <w:szCs w:val="22"/>
          <w:lang w:val="es-ES"/>
        </w:rPr>
        <w:t>possibility</w:t>
      </w:r>
      <w:proofErr w:type="spellEnd"/>
      <w:r>
        <w:rPr>
          <w:rFonts w:eastAsia="Palatino Linotype"/>
          <w:sz w:val="22"/>
          <w:szCs w:val="22"/>
          <w:lang w:val="es-ES"/>
        </w:rPr>
        <w:t xml:space="preserve"> </w:t>
      </w:r>
      <w:proofErr w:type="spellStart"/>
      <w:r>
        <w:rPr>
          <w:rFonts w:eastAsia="Palatino Linotype"/>
          <w:sz w:val="22"/>
          <w:szCs w:val="22"/>
          <w:lang w:val="es-ES"/>
        </w:rPr>
        <w:t>that</w:t>
      </w:r>
      <w:proofErr w:type="spellEnd"/>
      <w:r>
        <w:rPr>
          <w:rFonts w:eastAsia="Palatino Linotype"/>
          <w:sz w:val="22"/>
          <w:szCs w:val="22"/>
          <w:lang w:val="es-ES"/>
        </w:rPr>
        <w:t xml:space="preserve"> </w:t>
      </w:r>
      <w:proofErr w:type="spellStart"/>
      <w:r>
        <w:rPr>
          <w:rFonts w:eastAsia="Palatino Linotype"/>
          <w:sz w:val="22"/>
          <w:szCs w:val="22"/>
          <w:lang w:val="es-ES"/>
        </w:rPr>
        <w:t>another</w:t>
      </w:r>
      <w:proofErr w:type="spellEnd"/>
      <w:r>
        <w:rPr>
          <w:rFonts w:eastAsia="Palatino Linotype"/>
          <w:sz w:val="22"/>
          <w:szCs w:val="22"/>
          <w:lang w:val="es-ES"/>
        </w:rPr>
        <w:t xml:space="preserve"> </w:t>
      </w:r>
      <w:proofErr w:type="spellStart"/>
      <w:r>
        <w:rPr>
          <w:rFonts w:eastAsia="Palatino Linotype"/>
          <w:sz w:val="22"/>
          <w:szCs w:val="22"/>
          <w:lang w:val="es-ES"/>
        </w:rPr>
        <w:t>offer</w:t>
      </w:r>
      <w:proofErr w:type="spellEnd"/>
      <w:r>
        <w:rPr>
          <w:rFonts w:eastAsia="Palatino Linotype"/>
          <w:sz w:val="22"/>
          <w:szCs w:val="22"/>
          <w:lang w:val="es-ES"/>
        </w:rPr>
        <w:t xml:space="preserve"> </w:t>
      </w:r>
      <w:proofErr w:type="spellStart"/>
      <w:r>
        <w:rPr>
          <w:rFonts w:eastAsia="Palatino Linotype"/>
          <w:sz w:val="22"/>
          <w:szCs w:val="22"/>
          <w:lang w:val="es-ES"/>
        </w:rPr>
        <w:t>may</w:t>
      </w:r>
      <w:proofErr w:type="spellEnd"/>
      <w:r>
        <w:rPr>
          <w:rFonts w:eastAsia="Palatino Linotype"/>
          <w:sz w:val="22"/>
          <w:szCs w:val="22"/>
          <w:lang w:val="es-ES"/>
        </w:rPr>
        <w:t xml:space="preserve"> be </w:t>
      </w:r>
      <w:proofErr w:type="spellStart"/>
      <w:r>
        <w:rPr>
          <w:rFonts w:eastAsia="Palatino Linotype"/>
          <w:sz w:val="22"/>
          <w:szCs w:val="22"/>
          <w:lang w:val="es-ES"/>
        </w:rPr>
        <w:t>selected</w:t>
      </w:r>
      <w:proofErr w:type="spellEnd"/>
      <w:r>
        <w:rPr>
          <w:rFonts w:eastAsia="Palatino Linotype"/>
          <w:sz w:val="22"/>
          <w:szCs w:val="22"/>
          <w:lang w:val="es-ES"/>
        </w:rPr>
        <w:t xml:space="preserve"> </w:t>
      </w:r>
      <w:proofErr w:type="spellStart"/>
      <w:r>
        <w:rPr>
          <w:rFonts w:eastAsia="Palatino Linotype"/>
          <w:sz w:val="22"/>
          <w:szCs w:val="22"/>
          <w:lang w:val="es-ES"/>
        </w:rPr>
        <w:t>due</w:t>
      </w:r>
      <w:proofErr w:type="spellEnd"/>
      <w:r>
        <w:rPr>
          <w:rFonts w:eastAsia="Palatino Linotype"/>
          <w:sz w:val="22"/>
          <w:szCs w:val="22"/>
          <w:lang w:val="es-ES"/>
        </w:rPr>
        <w:t xml:space="preserve"> </w:t>
      </w:r>
      <w:proofErr w:type="spellStart"/>
      <w:r>
        <w:rPr>
          <w:rFonts w:eastAsia="Palatino Linotype"/>
          <w:sz w:val="22"/>
          <w:szCs w:val="22"/>
          <w:lang w:val="es-ES"/>
        </w:rPr>
        <w:t>to</w:t>
      </w:r>
      <w:proofErr w:type="spellEnd"/>
      <w:r>
        <w:rPr>
          <w:rFonts w:eastAsia="Palatino Linotype"/>
          <w:sz w:val="22"/>
          <w:szCs w:val="22"/>
          <w:lang w:val="es-ES"/>
        </w:rPr>
        <w:t xml:space="preserve"> </w:t>
      </w:r>
      <w:proofErr w:type="spellStart"/>
      <w:r>
        <w:rPr>
          <w:rFonts w:eastAsia="Palatino Linotype"/>
          <w:sz w:val="22"/>
          <w:szCs w:val="22"/>
          <w:lang w:val="es-ES"/>
        </w:rPr>
        <w:t>the</w:t>
      </w:r>
      <w:proofErr w:type="spellEnd"/>
      <w:r>
        <w:rPr>
          <w:rFonts w:eastAsia="Palatino Linotype"/>
          <w:sz w:val="22"/>
          <w:szCs w:val="22"/>
          <w:lang w:val="es-ES"/>
        </w:rPr>
        <w:t xml:space="preserve"> </w:t>
      </w:r>
      <w:proofErr w:type="spellStart"/>
      <w:r>
        <w:rPr>
          <w:rFonts w:eastAsia="Palatino Linotype"/>
          <w:sz w:val="22"/>
          <w:szCs w:val="22"/>
          <w:lang w:val="es-ES"/>
        </w:rPr>
        <w:t>application</w:t>
      </w:r>
      <w:proofErr w:type="spellEnd"/>
      <w:r>
        <w:rPr>
          <w:rFonts w:eastAsia="Palatino Linotype"/>
          <w:sz w:val="22"/>
          <w:szCs w:val="22"/>
          <w:lang w:val="es-ES"/>
        </w:rPr>
        <w:t xml:space="preserve"> </w:t>
      </w:r>
      <w:proofErr w:type="spellStart"/>
      <w:r>
        <w:rPr>
          <w:rFonts w:eastAsia="Palatino Linotype"/>
          <w:sz w:val="22"/>
          <w:szCs w:val="22"/>
          <w:lang w:val="es-ES"/>
        </w:rPr>
        <w:t>of</w:t>
      </w:r>
      <w:proofErr w:type="spellEnd"/>
      <w:r>
        <w:rPr>
          <w:rFonts w:eastAsia="Palatino Linotype"/>
          <w:sz w:val="22"/>
          <w:szCs w:val="22"/>
          <w:lang w:val="es-ES"/>
        </w:rPr>
        <w:t xml:space="preserve"> </w:t>
      </w:r>
      <w:proofErr w:type="spellStart"/>
      <w:r>
        <w:rPr>
          <w:rFonts w:eastAsia="Palatino Linotype"/>
          <w:sz w:val="22"/>
          <w:szCs w:val="22"/>
          <w:lang w:val="es-ES"/>
        </w:rPr>
        <w:t>the</w:t>
      </w:r>
      <w:proofErr w:type="spellEnd"/>
      <w:r>
        <w:rPr>
          <w:rFonts w:eastAsia="Palatino Linotype"/>
          <w:sz w:val="22"/>
          <w:szCs w:val="22"/>
          <w:lang w:val="es-ES"/>
        </w:rPr>
        <w:t xml:space="preserve"> </w:t>
      </w:r>
      <w:proofErr w:type="spellStart"/>
      <w:r>
        <w:rPr>
          <w:rFonts w:eastAsia="Palatino Linotype"/>
          <w:sz w:val="22"/>
          <w:szCs w:val="22"/>
          <w:lang w:val="es-ES"/>
        </w:rPr>
        <w:t>National</w:t>
      </w:r>
      <w:proofErr w:type="spellEnd"/>
      <w:r>
        <w:rPr>
          <w:rFonts w:eastAsia="Palatino Linotype"/>
          <w:sz w:val="22"/>
          <w:szCs w:val="22"/>
          <w:lang w:val="es-ES"/>
        </w:rPr>
        <w:t xml:space="preserve"> </w:t>
      </w:r>
      <w:proofErr w:type="spellStart"/>
      <w:r>
        <w:rPr>
          <w:rFonts w:eastAsia="Palatino Linotype"/>
          <w:sz w:val="22"/>
          <w:szCs w:val="22"/>
          <w:lang w:val="es-ES"/>
        </w:rPr>
        <w:t>Industry</w:t>
      </w:r>
      <w:proofErr w:type="spellEnd"/>
      <w:r>
        <w:rPr>
          <w:rFonts w:eastAsia="Palatino Linotype"/>
          <w:sz w:val="22"/>
          <w:szCs w:val="22"/>
          <w:lang w:val="es-ES"/>
        </w:rPr>
        <w:t xml:space="preserve"> </w:t>
      </w:r>
      <w:proofErr w:type="spellStart"/>
      <w:r>
        <w:rPr>
          <w:rFonts w:eastAsia="Palatino Linotype"/>
          <w:sz w:val="22"/>
          <w:szCs w:val="22"/>
          <w:lang w:val="es-ES"/>
        </w:rPr>
        <w:t>Preference</w:t>
      </w:r>
      <w:proofErr w:type="spellEnd"/>
      <w:r>
        <w:rPr>
          <w:rFonts w:eastAsia="Palatino Linotype"/>
          <w:sz w:val="22"/>
          <w:szCs w:val="22"/>
          <w:lang w:val="es-ES"/>
        </w:rPr>
        <w:t xml:space="preserve"> (PIN).</w:t>
      </w:r>
    </w:p>
    <w:p w14:paraId="445D7319" w14:textId="77777777" w:rsidR="00E255F4" w:rsidRDefault="00E255F4">
      <w:pPr>
        <w:ind w:right="-142"/>
        <w:jc w:val="both"/>
        <w:rPr>
          <w:rFonts w:eastAsia="Palatino Linotype"/>
          <w:sz w:val="22"/>
          <w:szCs w:val="22"/>
          <w:lang w:val="es-ES"/>
        </w:rPr>
      </w:pPr>
    </w:p>
    <w:p w14:paraId="50156DDB" w14:textId="77777777" w:rsidR="00E255F4" w:rsidRDefault="00000000">
      <w:pPr>
        <w:ind w:right="-142"/>
        <w:jc w:val="both"/>
        <w:rPr>
          <w:rFonts w:eastAsia="Palatino Linotype"/>
          <w:sz w:val="22"/>
          <w:szCs w:val="22"/>
          <w:lang w:val="es-ES"/>
        </w:rPr>
      </w:pPr>
      <w:r>
        <w:rPr>
          <w:rFonts w:eastAsia="Palatino Linotype"/>
          <w:spacing w:val="3"/>
          <w:sz w:val="22"/>
          <w:szCs w:val="22"/>
          <w:lang w:val="es-ES"/>
        </w:rPr>
        <w:t>c</w:t>
      </w:r>
      <w:r>
        <w:rPr>
          <w:rFonts w:eastAsia="Palatino Linotype"/>
          <w:sz w:val="22"/>
          <w:szCs w:val="22"/>
          <w:lang w:val="es-ES"/>
        </w:rPr>
        <w:t xml:space="preserve">) in </w:t>
      </w:r>
      <w:proofErr w:type="spellStart"/>
      <w:r>
        <w:rPr>
          <w:rFonts w:eastAsia="Palatino Linotype"/>
          <w:sz w:val="22"/>
          <w:szCs w:val="22"/>
          <w:lang w:val="es-ES"/>
        </w:rPr>
        <w:t>those</w:t>
      </w:r>
      <w:proofErr w:type="spellEnd"/>
      <w:r>
        <w:rPr>
          <w:rFonts w:eastAsia="Palatino Linotype"/>
          <w:sz w:val="22"/>
          <w:szCs w:val="22"/>
          <w:lang w:val="es-ES"/>
        </w:rPr>
        <w:t xml:space="preserve"> </w:t>
      </w:r>
      <w:proofErr w:type="spellStart"/>
      <w:r>
        <w:rPr>
          <w:rFonts w:eastAsia="Palatino Linotype"/>
          <w:sz w:val="22"/>
          <w:szCs w:val="22"/>
          <w:lang w:val="es-ES"/>
        </w:rPr>
        <w:t>exceptions</w:t>
      </w:r>
      <w:proofErr w:type="spellEnd"/>
      <w:r>
        <w:rPr>
          <w:rFonts w:eastAsia="Palatino Linotype"/>
          <w:sz w:val="22"/>
          <w:szCs w:val="22"/>
          <w:lang w:val="es-ES"/>
        </w:rPr>
        <w:t xml:space="preserve"> </w:t>
      </w:r>
      <w:proofErr w:type="spellStart"/>
      <w:r>
        <w:rPr>
          <w:rFonts w:eastAsia="Palatino Linotype"/>
          <w:sz w:val="22"/>
          <w:szCs w:val="22"/>
          <w:lang w:val="es-ES"/>
        </w:rPr>
        <w:t>where</w:t>
      </w:r>
      <w:proofErr w:type="spellEnd"/>
      <w:r>
        <w:rPr>
          <w:rFonts w:eastAsia="Palatino Linotype"/>
          <w:sz w:val="22"/>
          <w:szCs w:val="22"/>
          <w:lang w:val="es-ES"/>
        </w:rPr>
        <w:t xml:space="preserve"> </w:t>
      </w:r>
      <w:proofErr w:type="spellStart"/>
      <w:r>
        <w:rPr>
          <w:rFonts w:eastAsia="Palatino Linotype"/>
          <w:sz w:val="22"/>
          <w:szCs w:val="22"/>
          <w:lang w:val="es-ES"/>
        </w:rPr>
        <w:t>the</w:t>
      </w:r>
      <w:proofErr w:type="spellEnd"/>
      <w:r>
        <w:rPr>
          <w:rFonts w:eastAsia="Palatino Linotype"/>
          <w:sz w:val="22"/>
          <w:szCs w:val="22"/>
          <w:lang w:val="es-ES"/>
        </w:rPr>
        <w:t xml:space="preserve"> </w:t>
      </w:r>
      <w:proofErr w:type="spellStart"/>
      <w:r>
        <w:rPr>
          <w:rFonts w:eastAsia="Palatino Linotype"/>
          <w:sz w:val="22"/>
          <w:szCs w:val="22"/>
          <w:lang w:val="es-ES"/>
        </w:rPr>
        <w:t>authorizing</w:t>
      </w:r>
      <w:proofErr w:type="spellEnd"/>
      <w:r>
        <w:rPr>
          <w:rFonts w:eastAsia="Palatino Linotype"/>
          <w:sz w:val="22"/>
          <w:szCs w:val="22"/>
          <w:lang w:val="es-ES"/>
        </w:rPr>
        <w:t xml:space="preserve"> </w:t>
      </w:r>
      <w:proofErr w:type="spellStart"/>
      <w:r>
        <w:rPr>
          <w:rFonts w:eastAsia="Palatino Linotype"/>
          <w:sz w:val="22"/>
          <w:szCs w:val="22"/>
          <w:lang w:val="es-ES"/>
        </w:rPr>
        <w:t>officer</w:t>
      </w:r>
      <w:proofErr w:type="spellEnd"/>
      <w:r>
        <w:rPr>
          <w:rFonts w:eastAsia="Palatino Linotype"/>
          <w:sz w:val="22"/>
          <w:szCs w:val="22"/>
          <w:lang w:val="es-ES"/>
        </w:rPr>
        <w:t xml:space="preserve"> </w:t>
      </w:r>
      <w:proofErr w:type="spellStart"/>
      <w:r>
        <w:rPr>
          <w:rFonts w:eastAsia="Palatino Linotype"/>
          <w:sz w:val="22"/>
          <w:szCs w:val="22"/>
          <w:lang w:val="es-ES"/>
        </w:rPr>
        <w:t>of</w:t>
      </w:r>
      <w:proofErr w:type="spellEnd"/>
      <w:r>
        <w:rPr>
          <w:rFonts w:eastAsia="Palatino Linotype"/>
          <w:sz w:val="22"/>
          <w:szCs w:val="22"/>
          <w:lang w:val="es-ES"/>
        </w:rPr>
        <w:t xml:space="preserve"> </w:t>
      </w:r>
      <w:proofErr w:type="spellStart"/>
      <w:r>
        <w:rPr>
          <w:rFonts w:eastAsia="Palatino Linotype"/>
          <w:sz w:val="22"/>
          <w:szCs w:val="22"/>
          <w:lang w:val="es-ES"/>
        </w:rPr>
        <w:t>the</w:t>
      </w:r>
      <w:proofErr w:type="spellEnd"/>
      <w:r>
        <w:rPr>
          <w:rFonts w:eastAsia="Palatino Linotype"/>
          <w:sz w:val="22"/>
          <w:szCs w:val="22"/>
          <w:lang w:val="es-ES"/>
        </w:rPr>
        <w:t xml:space="preserve"> </w:t>
      </w:r>
      <w:proofErr w:type="spellStart"/>
      <w:r>
        <w:rPr>
          <w:rFonts w:eastAsia="Palatino Linotype"/>
          <w:sz w:val="22"/>
          <w:szCs w:val="22"/>
          <w:lang w:val="es-ES"/>
        </w:rPr>
        <w:t>corresponding</w:t>
      </w:r>
      <w:proofErr w:type="spellEnd"/>
      <w:r>
        <w:rPr>
          <w:rFonts w:eastAsia="Palatino Linotype"/>
          <w:sz w:val="22"/>
          <w:szCs w:val="22"/>
          <w:lang w:val="es-ES"/>
        </w:rPr>
        <w:t xml:space="preserve"> </w:t>
      </w:r>
      <w:proofErr w:type="spellStart"/>
      <w:r>
        <w:rPr>
          <w:rFonts w:eastAsia="Palatino Linotype"/>
          <w:sz w:val="22"/>
          <w:szCs w:val="22"/>
          <w:lang w:val="es-ES"/>
        </w:rPr>
        <w:t>expenditure</w:t>
      </w:r>
      <w:proofErr w:type="spellEnd"/>
      <w:r>
        <w:rPr>
          <w:rFonts w:eastAsia="Palatino Linotype"/>
          <w:sz w:val="22"/>
          <w:szCs w:val="22"/>
          <w:lang w:val="es-ES"/>
        </w:rPr>
        <w:t xml:space="preserve"> </w:t>
      </w:r>
      <w:proofErr w:type="spellStart"/>
      <w:r>
        <w:rPr>
          <w:rFonts w:eastAsia="Palatino Linotype"/>
          <w:sz w:val="22"/>
          <w:szCs w:val="22"/>
          <w:lang w:val="es-ES"/>
        </w:rPr>
        <w:t>considers</w:t>
      </w:r>
      <w:proofErr w:type="spellEnd"/>
      <w:r>
        <w:rPr>
          <w:rFonts w:eastAsia="Palatino Linotype"/>
          <w:sz w:val="22"/>
          <w:szCs w:val="22"/>
          <w:lang w:val="es-ES"/>
        </w:rPr>
        <w:t xml:space="preserve"> </w:t>
      </w:r>
      <w:proofErr w:type="spellStart"/>
      <w:r>
        <w:rPr>
          <w:rFonts w:eastAsia="Palatino Linotype"/>
          <w:sz w:val="22"/>
          <w:szCs w:val="22"/>
          <w:lang w:val="es-ES"/>
        </w:rPr>
        <w:t>the</w:t>
      </w:r>
      <w:proofErr w:type="spellEnd"/>
      <w:r>
        <w:rPr>
          <w:rFonts w:eastAsia="Palatino Linotype"/>
          <w:sz w:val="22"/>
          <w:szCs w:val="22"/>
          <w:lang w:val="es-ES"/>
        </w:rPr>
        <w:t xml:space="preserve"> </w:t>
      </w:r>
      <w:proofErr w:type="spellStart"/>
      <w:r>
        <w:rPr>
          <w:rFonts w:eastAsia="Palatino Linotype"/>
          <w:sz w:val="22"/>
          <w:szCs w:val="22"/>
          <w:lang w:val="es-ES"/>
        </w:rPr>
        <w:t>application</w:t>
      </w:r>
      <w:proofErr w:type="spellEnd"/>
      <w:r>
        <w:rPr>
          <w:rFonts w:eastAsia="Palatino Linotype"/>
          <w:sz w:val="22"/>
          <w:szCs w:val="22"/>
          <w:lang w:val="es-ES"/>
        </w:rPr>
        <w:t xml:space="preserve"> </w:t>
      </w:r>
      <w:proofErr w:type="spellStart"/>
      <w:r>
        <w:rPr>
          <w:rFonts w:eastAsia="Palatino Linotype"/>
          <w:sz w:val="22"/>
          <w:szCs w:val="22"/>
          <w:lang w:val="es-ES"/>
        </w:rPr>
        <w:t>of</w:t>
      </w:r>
      <w:proofErr w:type="spellEnd"/>
      <w:r>
        <w:rPr>
          <w:rFonts w:eastAsia="Palatino Linotype"/>
          <w:sz w:val="22"/>
          <w:szCs w:val="22"/>
          <w:lang w:val="es-ES"/>
        </w:rPr>
        <w:t xml:space="preserve"> </w:t>
      </w:r>
      <w:proofErr w:type="spellStart"/>
      <w:r>
        <w:rPr>
          <w:rFonts w:eastAsia="Palatino Linotype"/>
          <w:sz w:val="22"/>
          <w:szCs w:val="22"/>
          <w:lang w:val="es-ES"/>
        </w:rPr>
        <w:t>the</w:t>
      </w:r>
      <w:proofErr w:type="spellEnd"/>
      <w:r>
        <w:rPr>
          <w:rFonts w:eastAsia="Palatino Linotype"/>
          <w:sz w:val="22"/>
          <w:szCs w:val="22"/>
          <w:lang w:val="es-ES"/>
        </w:rPr>
        <w:t xml:space="preserve"> Market Reserve </w:t>
      </w:r>
      <w:proofErr w:type="spellStart"/>
      <w:r>
        <w:rPr>
          <w:rFonts w:eastAsia="Palatino Linotype"/>
          <w:sz w:val="22"/>
          <w:szCs w:val="22"/>
          <w:lang w:val="es-ES"/>
        </w:rPr>
        <w:t>mechanism</w:t>
      </w:r>
      <w:proofErr w:type="spellEnd"/>
      <w:r>
        <w:rPr>
          <w:rFonts w:eastAsia="Palatino Linotype"/>
          <w:sz w:val="22"/>
          <w:szCs w:val="22"/>
          <w:lang w:val="es-ES"/>
        </w:rPr>
        <w:t xml:space="preserve"> </w:t>
      </w:r>
      <w:proofErr w:type="spellStart"/>
      <w:r>
        <w:rPr>
          <w:rFonts w:eastAsia="Palatino Linotype"/>
          <w:sz w:val="22"/>
          <w:szCs w:val="22"/>
          <w:lang w:val="es-ES"/>
        </w:rPr>
        <w:t>impractical</w:t>
      </w:r>
      <w:proofErr w:type="spellEnd"/>
      <w:r>
        <w:rPr>
          <w:rFonts w:eastAsia="Palatino Linotype"/>
          <w:sz w:val="22"/>
          <w:szCs w:val="22"/>
          <w:lang w:val="es-ES"/>
        </w:rPr>
        <w:t xml:space="preserve"> </w:t>
      </w:r>
      <w:proofErr w:type="spellStart"/>
      <w:r>
        <w:rPr>
          <w:rFonts w:eastAsia="Palatino Linotype"/>
          <w:sz w:val="22"/>
          <w:szCs w:val="22"/>
          <w:lang w:val="es-ES"/>
        </w:rPr>
        <w:t>or</w:t>
      </w:r>
      <w:proofErr w:type="spellEnd"/>
      <w:r>
        <w:rPr>
          <w:rFonts w:eastAsia="Palatino Linotype"/>
          <w:sz w:val="22"/>
          <w:szCs w:val="22"/>
          <w:lang w:val="es-ES"/>
        </w:rPr>
        <w:t xml:space="preserve"> </w:t>
      </w:r>
      <w:proofErr w:type="spellStart"/>
      <w:r>
        <w:rPr>
          <w:rFonts w:eastAsia="Palatino Linotype"/>
          <w:sz w:val="22"/>
          <w:szCs w:val="22"/>
          <w:lang w:val="es-ES"/>
        </w:rPr>
        <w:t>inconvenient</w:t>
      </w:r>
      <w:proofErr w:type="spellEnd"/>
      <w:r>
        <w:rPr>
          <w:rFonts w:eastAsia="Palatino Linotype"/>
          <w:sz w:val="22"/>
          <w:szCs w:val="22"/>
          <w:lang w:val="es-ES"/>
        </w:rPr>
        <w:t xml:space="preserve">, in </w:t>
      </w:r>
      <w:proofErr w:type="spellStart"/>
      <w:r>
        <w:rPr>
          <w:rFonts w:eastAsia="Palatino Linotype"/>
          <w:sz w:val="22"/>
          <w:szCs w:val="22"/>
          <w:lang w:val="es-ES"/>
        </w:rPr>
        <w:t>which</w:t>
      </w:r>
      <w:proofErr w:type="spellEnd"/>
      <w:r>
        <w:rPr>
          <w:rFonts w:eastAsia="Palatino Linotype"/>
          <w:sz w:val="22"/>
          <w:szCs w:val="22"/>
          <w:lang w:val="es-ES"/>
        </w:rPr>
        <w:t xml:space="preserve"> case </w:t>
      </w:r>
      <w:proofErr w:type="spellStart"/>
      <w:r>
        <w:rPr>
          <w:rFonts w:eastAsia="Palatino Linotype"/>
          <w:sz w:val="22"/>
          <w:szCs w:val="22"/>
          <w:lang w:val="es-ES"/>
        </w:rPr>
        <w:t>it</w:t>
      </w:r>
      <w:proofErr w:type="spellEnd"/>
      <w:r>
        <w:rPr>
          <w:rFonts w:eastAsia="Palatino Linotype"/>
          <w:sz w:val="22"/>
          <w:szCs w:val="22"/>
          <w:lang w:val="es-ES"/>
        </w:rPr>
        <w:t xml:space="preserve"> </w:t>
      </w:r>
      <w:proofErr w:type="spellStart"/>
      <w:r>
        <w:rPr>
          <w:rFonts w:eastAsia="Palatino Linotype"/>
          <w:sz w:val="22"/>
          <w:szCs w:val="22"/>
          <w:lang w:val="es-ES"/>
        </w:rPr>
        <w:t>shall</w:t>
      </w:r>
      <w:proofErr w:type="spellEnd"/>
      <w:r>
        <w:rPr>
          <w:rFonts w:eastAsia="Palatino Linotype"/>
          <w:sz w:val="22"/>
          <w:szCs w:val="22"/>
          <w:lang w:val="es-ES"/>
        </w:rPr>
        <w:t>:</w:t>
      </w:r>
    </w:p>
    <w:p w14:paraId="61245A5A" w14:textId="77777777" w:rsidR="00E255F4" w:rsidRDefault="00E255F4">
      <w:pPr>
        <w:ind w:right="-142"/>
        <w:jc w:val="both"/>
        <w:rPr>
          <w:rFonts w:eastAsia="Palatino Linotype"/>
          <w:sz w:val="22"/>
          <w:szCs w:val="22"/>
          <w:lang w:val="es-ES"/>
        </w:rPr>
      </w:pPr>
    </w:p>
    <w:p w14:paraId="4AAB08D5" w14:textId="77777777" w:rsidR="00E255F4" w:rsidRDefault="00000000">
      <w:pPr>
        <w:ind w:right="-142"/>
        <w:jc w:val="both"/>
      </w:pPr>
      <w:r>
        <w:rPr>
          <w:rFonts w:eastAsia="Palatino Linotype"/>
          <w:spacing w:val="-1"/>
          <w:sz w:val="22"/>
          <w:szCs w:val="22"/>
          <w:lang w:val="es-ES"/>
        </w:rPr>
        <w:t>1</w:t>
      </w:r>
      <w:r>
        <w:rPr>
          <w:rFonts w:eastAsia="Palatino Linotype"/>
          <w:sz w:val="22"/>
          <w:szCs w:val="22"/>
          <w:lang w:val="es-ES"/>
        </w:rPr>
        <w:t xml:space="preserve">) </w:t>
      </w:r>
      <w:proofErr w:type="spellStart"/>
      <w:r>
        <w:rPr>
          <w:rFonts w:eastAsia="Palatino Linotype"/>
          <w:sz w:val="22"/>
          <w:szCs w:val="22"/>
          <w:lang w:val="es-ES"/>
        </w:rPr>
        <w:t>Establish</w:t>
      </w:r>
      <w:proofErr w:type="spellEnd"/>
      <w:r>
        <w:rPr>
          <w:rFonts w:eastAsia="Palatino Linotype"/>
          <w:sz w:val="22"/>
          <w:szCs w:val="22"/>
          <w:lang w:val="es-ES"/>
        </w:rPr>
        <w:t xml:space="preserve"> </w:t>
      </w:r>
      <w:proofErr w:type="spellStart"/>
      <w:r>
        <w:rPr>
          <w:rFonts w:eastAsia="Palatino Linotype"/>
          <w:sz w:val="22"/>
          <w:szCs w:val="22"/>
          <w:lang w:val="es-ES"/>
        </w:rPr>
        <w:t>this</w:t>
      </w:r>
      <w:proofErr w:type="spellEnd"/>
      <w:r>
        <w:rPr>
          <w:rFonts w:eastAsia="Palatino Linotype"/>
          <w:sz w:val="22"/>
          <w:szCs w:val="22"/>
          <w:lang w:val="es-ES"/>
        </w:rPr>
        <w:t xml:space="preserve"> </w:t>
      </w:r>
      <w:proofErr w:type="spellStart"/>
      <w:r>
        <w:rPr>
          <w:rFonts w:eastAsia="Palatino Linotype"/>
          <w:sz w:val="22"/>
          <w:szCs w:val="22"/>
          <w:lang w:val="es-ES"/>
        </w:rPr>
        <w:t>exception</w:t>
      </w:r>
      <w:proofErr w:type="spellEnd"/>
      <w:r>
        <w:rPr>
          <w:rFonts w:eastAsia="Palatino Linotype"/>
          <w:sz w:val="22"/>
          <w:szCs w:val="22"/>
          <w:lang w:val="es-ES"/>
        </w:rPr>
        <w:t xml:space="preserve"> in </w:t>
      </w:r>
      <w:proofErr w:type="spellStart"/>
      <w:r>
        <w:rPr>
          <w:rFonts w:eastAsia="Palatino Linotype"/>
          <w:sz w:val="22"/>
          <w:szCs w:val="22"/>
          <w:lang w:val="es-ES"/>
        </w:rPr>
        <w:t>the</w:t>
      </w:r>
      <w:proofErr w:type="spellEnd"/>
      <w:r>
        <w:rPr>
          <w:rFonts w:eastAsia="Palatino Linotype"/>
          <w:sz w:val="22"/>
          <w:szCs w:val="22"/>
          <w:lang w:val="es-ES"/>
        </w:rPr>
        <w:t xml:space="preserve"> Special </w:t>
      </w:r>
      <w:proofErr w:type="spellStart"/>
      <w:r>
        <w:rPr>
          <w:rFonts w:eastAsia="Palatino Linotype"/>
          <w:sz w:val="22"/>
          <w:szCs w:val="22"/>
          <w:lang w:val="es-ES"/>
        </w:rPr>
        <w:t>Specifications</w:t>
      </w:r>
      <w:proofErr w:type="spellEnd"/>
      <w:r>
        <w:rPr>
          <w:rFonts w:eastAsia="Palatino Linotype"/>
          <w:sz w:val="22"/>
          <w:szCs w:val="22"/>
          <w:lang w:val="es-ES"/>
        </w:rPr>
        <w:t>, and</w:t>
      </w:r>
    </w:p>
    <w:p w14:paraId="1E7EC0ED" w14:textId="77777777" w:rsidR="00E255F4" w:rsidRDefault="00E255F4">
      <w:pPr>
        <w:ind w:right="-142"/>
        <w:jc w:val="both"/>
        <w:rPr>
          <w:rFonts w:eastAsia="Palatino Linotype"/>
          <w:sz w:val="22"/>
          <w:szCs w:val="22"/>
          <w:lang w:val="es-ES"/>
        </w:rPr>
      </w:pPr>
    </w:p>
    <w:p w14:paraId="7FBC0D00" w14:textId="77777777" w:rsidR="00E255F4" w:rsidRDefault="00000000">
      <w:pPr>
        <w:ind w:right="-142"/>
        <w:jc w:val="both"/>
        <w:rPr>
          <w:rFonts w:eastAsia="Palatino Linotype"/>
          <w:spacing w:val="-1"/>
          <w:sz w:val="22"/>
          <w:szCs w:val="22"/>
          <w:lang w:val="es-ES"/>
        </w:rPr>
      </w:pPr>
      <w:r>
        <w:rPr>
          <w:rFonts w:eastAsia="Palatino Linotype"/>
          <w:spacing w:val="-1"/>
          <w:sz w:val="22"/>
          <w:szCs w:val="22"/>
          <w:lang w:val="es-ES"/>
        </w:rPr>
        <w:t>2</w:t>
      </w:r>
      <w:r>
        <w:rPr>
          <w:rFonts w:eastAsia="Palatino Linotype"/>
          <w:sz w:val="22"/>
          <w:szCs w:val="22"/>
          <w:lang w:val="es-ES"/>
        </w:rPr>
        <w:t xml:space="preserve">) </w:t>
      </w:r>
      <w:proofErr w:type="spellStart"/>
      <w:r>
        <w:rPr>
          <w:rFonts w:eastAsia="Palatino Linotype"/>
          <w:sz w:val="22"/>
          <w:szCs w:val="22"/>
          <w:lang w:val="es-ES"/>
        </w:rPr>
        <w:t>To</w:t>
      </w:r>
      <w:proofErr w:type="spellEnd"/>
      <w:r>
        <w:rPr>
          <w:rFonts w:eastAsia="Palatino Linotype"/>
          <w:sz w:val="22"/>
          <w:szCs w:val="22"/>
          <w:lang w:val="es-ES"/>
        </w:rPr>
        <w:t xml:space="preserve"> </w:t>
      </w:r>
      <w:proofErr w:type="spellStart"/>
      <w:r>
        <w:rPr>
          <w:rFonts w:eastAsia="Palatino Linotype"/>
          <w:sz w:val="22"/>
          <w:szCs w:val="22"/>
          <w:lang w:val="es-ES"/>
        </w:rPr>
        <w:t>justify</w:t>
      </w:r>
      <w:proofErr w:type="spellEnd"/>
      <w:r>
        <w:rPr>
          <w:rFonts w:eastAsia="Palatino Linotype"/>
          <w:sz w:val="22"/>
          <w:szCs w:val="22"/>
          <w:lang w:val="es-ES"/>
        </w:rPr>
        <w:t xml:space="preserve"> </w:t>
      </w:r>
      <w:proofErr w:type="spellStart"/>
      <w:r>
        <w:rPr>
          <w:rFonts w:eastAsia="Palatino Linotype"/>
          <w:sz w:val="22"/>
          <w:szCs w:val="22"/>
          <w:lang w:val="es-ES"/>
        </w:rPr>
        <w:t>their</w:t>
      </w:r>
      <w:proofErr w:type="spellEnd"/>
      <w:r>
        <w:rPr>
          <w:rFonts w:eastAsia="Palatino Linotype"/>
          <w:sz w:val="22"/>
          <w:szCs w:val="22"/>
          <w:lang w:val="es-ES"/>
        </w:rPr>
        <w:t xml:space="preserve"> </w:t>
      </w:r>
      <w:proofErr w:type="spellStart"/>
      <w:r>
        <w:rPr>
          <w:rFonts w:eastAsia="Palatino Linotype"/>
          <w:sz w:val="22"/>
          <w:szCs w:val="22"/>
          <w:lang w:val="es-ES"/>
        </w:rPr>
        <w:t>decision</w:t>
      </w:r>
      <w:proofErr w:type="spellEnd"/>
      <w:r>
        <w:rPr>
          <w:rFonts w:eastAsia="Palatino Linotype"/>
          <w:sz w:val="22"/>
          <w:szCs w:val="22"/>
          <w:lang w:val="es-ES"/>
        </w:rPr>
        <w:t xml:space="preserve"> in </w:t>
      </w:r>
      <w:proofErr w:type="spellStart"/>
      <w:r>
        <w:rPr>
          <w:rFonts w:eastAsia="Palatino Linotype"/>
          <w:sz w:val="22"/>
          <w:szCs w:val="22"/>
          <w:lang w:val="es-ES"/>
        </w:rPr>
        <w:t>all</w:t>
      </w:r>
      <w:proofErr w:type="spellEnd"/>
      <w:r>
        <w:rPr>
          <w:rFonts w:eastAsia="Palatino Linotype"/>
          <w:sz w:val="22"/>
          <w:szCs w:val="22"/>
          <w:lang w:val="es-ES"/>
        </w:rPr>
        <w:t xml:space="preserve"> cases, </w:t>
      </w:r>
      <w:proofErr w:type="spellStart"/>
      <w:r>
        <w:rPr>
          <w:rFonts w:eastAsia="Palatino Linotype"/>
          <w:sz w:val="22"/>
          <w:szCs w:val="22"/>
          <w:lang w:val="es-ES"/>
        </w:rPr>
        <w:t>with</w:t>
      </w:r>
      <w:proofErr w:type="spellEnd"/>
      <w:r>
        <w:rPr>
          <w:rFonts w:eastAsia="Palatino Linotype"/>
          <w:sz w:val="22"/>
          <w:szCs w:val="22"/>
          <w:lang w:val="es-ES"/>
        </w:rPr>
        <w:t xml:space="preserve"> </w:t>
      </w:r>
      <w:proofErr w:type="spellStart"/>
      <w:r>
        <w:rPr>
          <w:rFonts w:eastAsia="Palatino Linotype"/>
          <w:sz w:val="22"/>
          <w:szCs w:val="22"/>
          <w:lang w:val="es-ES"/>
        </w:rPr>
        <w:t>said</w:t>
      </w:r>
      <w:proofErr w:type="spellEnd"/>
      <w:r>
        <w:rPr>
          <w:rFonts w:eastAsia="Palatino Linotype"/>
          <w:sz w:val="22"/>
          <w:szCs w:val="22"/>
          <w:lang w:val="es-ES"/>
        </w:rPr>
        <w:t xml:space="preserve"> </w:t>
      </w:r>
      <w:proofErr w:type="spellStart"/>
      <w:r>
        <w:rPr>
          <w:rFonts w:eastAsia="Palatino Linotype"/>
          <w:sz w:val="22"/>
          <w:szCs w:val="22"/>
          <w:lang w:val="es-ES"/>
        </w:rPr>
        <w:t>justification</w:t>
      </w:r>
      <w:proofErr w:type="spellEnd"/>
      <w:r>
        <w:rPr>
          <w:rFonts w:eastAsia="Palatino Linotype"/>
          <w:sz w:val="22"/>
          <w:szCs w:val="22"/>
          <w:lang w:val="es-ES"/>
        </w:rPr>
        <w:t xml:space="preserve"> </w:t>
      </w:r>
      <w:proofErr w:type="spellStart"/>
      <w:r>
        <w:rPr>
          <w:rFonts w:eastAsia="Palatino Linotype"/>
          <w:sz w:val="22"/>
          <w:szCs w:val="22"/>
          <w:lang w:val="es-ES"/>
        </w:rPr>
        <w:t>being</w:t>
      </w:r>
      <w:proofErr w:type="spellEnd"/>
      <w:r>
        <w:rPr>
          <w:rFonts w:eastAsia="Palatino Linotype"/>
          <w:sz w:val="22"/>
          <w:szCs w:val="22"/>
          <w:lang w:val="es-ES"/>
        </w:rPr>
        <w:t xml:space="preserve"> </w:t>
      </w:r>
      <w:proofErr w:type="spellStart"/>
      <w:r>
        <w:rPr>
          <w:rFonts w:eastAsia="Palatino Linotype"/>
          <w:sz w:val="22"/>
          <w:szCs w:val="22"/>
          <w:lang w:val="es-ES"/>
        </w:rPr>
        <w:t>available</w:t>
      </w:r>
      <w:proofErr w:type="spellEnd"/>
      <w:r>
        <w:rPr>
          <w:rFonts w:eastAsia="Palatino Linotype"/>
          <w:sz w:val="22"/>
          <w:szCs w:val="22"/>
          <w:lang w:val="es-ES"/>
        </w:rPr>
        <w:t xml:space="preserve"> </w:t>
      </w:r>
      <w:proofErr w:type="spellStart"/>
      <w:r>
        <w:rPr>
          <w:rFonts w:eastAsia="Palatino Linotype"/>
          <w:sz w:val="22"/>
          <w:szCs w:val="22"/>
          <w:lang w:val="es-ES"/>
        </w:rPr>
        <w:t>to</w:t>
      </w:r>
      <w:proofErr w:type="spellEnd"/>
      <w:r>
        <w:rPr>
          <w:rFonts w:eastAsia="Palatino Linotype"/>
          <w:sz w:val="22"/>
          <w:szCs w:val="22"/>
          <w:lang w:val="es-ES"/>
        </w:rPr>
        <w:t xml:space="preserve"> </w:t>
      </w:r>
      <w:proofErr w:type="spellStart"/>
      <w:r>
        <w:rPr>
          <w:rFonts w:eastAsia="Palatino Linotype"/>
          <w:sz w:val="22"/>
          <w:szCs w:val="22"/>
          <w:lang w:val="es-ES"/>
        </w:rPr>
        <w:t>any</w:t>
      </w:r>
      <w:proofErr w:type="spellEnd"/>
      <w:r>
        <w:rPr>
          <w:rFonts w:eastAsia="Palatino Linotype"/>
          <w:sz w:val="22"/>
          <w:szCs w:val="22"/>
          <w:lang w:val="es-ES"/>
        </w:rPr>
        <w:t xml:space="preserve"> </w:t>
      </w:r>
      <w:proofErr w:type="spellStart"/>
      <w:r>
        <w:rPr>
          <w:rFonts w:eastAsia="Palatino Linotype"/>
          <w:sz w:val="22"/>
          <w:szCs w:val="22"/>
          <w:lang w:val="es-ES"/>
        </w:rPr>
        <w:t>interested</w:t>
      </w:r>
      <w:proofErr w:type="spellEnd"/>
      <w:r>
        <w:rPr>
          <w:rFonts w:eastAsia="Palatino Linotype"/>
          <w:sz w:val="22"/>
          <w:szCs w:val="22"/>
          <w:lang w:val="es-ES"/>
        </w:rPr>
        <w:t xml:space="preserve"> </w:t>
      </w:r>
      <w:proofErr w:type="spellStart"/>
      <w:r>
        <w:rPr>
          <w:rFonts w:eastAsia="Palatino Linotype"/>
          <w:sz w:val="22"/>
          <w:szCs w:val="22"/>
          <w:lang w:val="es-ES"/>
        </w:rPr>
        <w:t>party</w:t>
      </w:r>
      <w:proofErr w:type="spellEnd"/>
      <w:r>
        <w:rPr>
          <w:rFonts w:eastAsia="Palatino Linotype"/>
          <w:sz w:val="22"/>
          <w:szCs w:val="22"/>
          <w:lang w:val="es-ES"/>
        </w:rPr>
        <w:t xml:space="preserve"> </w:t>
      </w:r>
      <w:proofErr w:type="spellStart"/>
      <w:r>
        <w:rPr>
          <w:rFonts w:eastAsia="Palatino Linotype"/>
          <w:sz w:val="22"/>
          <w:szCs w:val="22"/>
          <w:lang w:val="es-ES"/>
        </w:rPr>
        <w:t>from</w:t>
      </w:r>
      <w:proofErr w:type="spellEnd"/>
      <w:r>
        <w:rPr>
          <w:rFonts w:eastAsia="Palatino Linotype"/>
          <w:sz w:val="22"/>
          <w:szCs w:val="22"/>
          <w:lang w:val="es-ES"/>
        </w:rPr>
        <w:t xml:space="preserve"> </w:t>
      </w:r>
      <w:proofErr w:type="spellStart"/>
      <w:r>
        <w:rPr>
          <w:rFonts w:eastAsia="Palatino Linotype"/>
          <w:sz w:val="22"/>
          <w:szCs w:val="22"/>
          <w:lang w:val="es-ES"/>
        </w:rPr>
        <w:t>the</w:t>
      </w:r>
      <w:proofErr w:type="spellEnd"/>
      <w:r>
        <w:rPr>
          <w:rFonts w:eastAsia="Palatino Linotype"/>
          <w:sz w:val="22"/>
          <w:szCs w:val="22"/>
          <w:lang w:val="es-ES"/>
        </w:rPr>
        <w:t xml:space="preserve"> date </w:t>
      </w:r>
      <w:proofErr w:type="spellStart"/>
      <w:r>
        <w:rPr>
          <w:rFonts w:eastAsia="Palatino Linotype"/>
          <w:sz w:val="22"/>
          <w:szCs w:val="22"/>
          <w:lang w:val="es-ES"/>
        </w:rPr>
        <w:t>of</w:t>
      </w:r>
      <w:proofErr w:type="spellEnd"/>
      <w:r>
        <w:rPr>
          <w:rFonts w:eastAsia="Palatino Linotype"/>
          <w:sz w:val="22"/>
          <w:szCs w:val="22"/>
          <w:lang w:val="es-ES"/>
        </w:rPr>
        <w:t xml:space="preserve"> </w:t>
      </w:r>
      <w:proofErr w:type="spellStart"/>
      <w:r>
        <w:rPr>
          <w:rFonts w:eastAsia="Palatino Linotype"/>
          <w:sz w:val="22"/>
          <w:szCs w:val="22"/>
          <w:lang w:val="es-ES"/>
        </w:rPr>
        <w:t>publication</w:t>
      </w:r>
      <w:proofErr w:type="spellEnd"/>
      <w:r>
        <w:rPr>
          <w:rFonts w:eastAsia="Palatino Linotype"/>
          <w:sz w:val="22"/>
          <w:szCs w:val="22"/>
          <w:lang w:val="es-ES"/>
        </w:rPr>
        <w:t xml:space="preserve"> </w:t>
      </w:r>
      <w:proofErr w:type="spellStart"/>
      <w:r>
        <w:rPr>
          <w:rFonts w:eastAsia="Palatino Linotype"/>
          <w:sz w:val="22"/>
          <w:szCs w:val="22"/>
          <w:lang w:val="es-ES"/>
        </w:rPr>
        <w:t>of</w:t>
      </w:r>
      <w:proofErr w:type="spellEnd"/>
      <w:r>
        <w:rPr>
          <w:rFonts w:eastAsia="Palatino Linotype"/>
          <w:sz w:val="22"/>
          <w:szCs w:val="22"/>
          <w:lang w:val="es-ES"/>
        </w:rPr>
        <w:t xml:space="preserve"> </w:t>
      </w:r>
      <w:proofErr w:type="spellStart"/>
      <w:r>
        <w:rPr>
          <w:rFonts w:eastAsia="Palatino Linotype"/>
          <w:sz w:val="22"/>
          <w:szCs w:val="22"/>
          <w:lang w:val="es-ES"/>
        </w:rPr>
        <w:t>the</w:t>
      </w:r>
      <w:proofErr w:type="spellEnd"/>
      <w:r>
        <w:rPr>
          <w:rFonts w:eastAsia="Palatino Linotype"/>
          <w:sz w:val="22"/>
          <w:szCs w:val="22"/>
          <w:lang w:val="es-ES"/>
        </w:rPr>
        <w:t xml:space="preserve"> Tender.</w:t>
      </w:r>
    </w:p>
    <w:p w14:paraId="6C4BAF16" w14:textId="77777777" w:rsidR="00E255F4" w:rsidRDefault="00E255F4">
      <w:pPr>
        <w:ind w:right="-142"/>
        <w:jc w:val="both"/>
        <w:rPr>
          <w:rFonts w:eastAsia="Palatino Linotype"/>
          <w:spacing w:val="-1"/>
          <w:sz w:val="22"/>
          <w:szCs w:val="22"/>
          <w:lang w:val="es-ES"/>
        </w:rPr>
      </w:pPr>
    </w:p>
    <w:p w14:paraId="2E88C306" w14:textId="77777777" w:rsidR="00E255F4" w:rsidRDefault="00000000">
      <w:pPr>
        <w:ind w:right="-142"/>
        <w:jc w:val="both"/>
        <w:rPr>
          <w:rFonts w:eastAsia="Palatino Linotype"/>
          <w:sz w:val="22"/>
          <w:szCs w:val="22"/>
          <w:lang w:val="es-ES"/>
        </w:rPr>
      </w:pPr>
      <w:r>
        <w:rPr>
          <w:rFonts w:eastAsia="Palatino Linotype"/>
          <w:spacing w:val="-2"/>
          <w:sz w:val="22"/>
          <w:szCs w:val="22"/>
          <w:lang w:val="es-ES"/>
        </w:rPr>
        <w:t>d</w:t>
      </w:r>
      <w:r>
        <w:rPr>
          <w:rFonts w:eastAsia="Palatino Linotype"/>
          <w:sz w:val="22"/>
          <w:szCs w:val="22"/>
          <w:lang w:val="es-ES"/>
        </w:rPr>
        <w:t xml:space="preserve">) </w:t>
      </w:r>
      <w:proofErr w:type="spellStart"/>
      <w:r>
        <w:rPr>
          <w:rFonts w:eastAsia="Palatino Linotype"/>
          <w:sz w:val="22"/>
          <w:szCs w:val="22"/>
          <w:lang w:val="es-ES"/>
        </w:rPr>
        <w:t>when</w:t>
      </w:r>
      <w:proofErr w:type="spellEnd"/>
      <w:r>
        <w:rPr>
          <w:rFonts w:eastAsia="Palatino Linotype"/>
          <w:sz w:val="22"/>
          <w:szCs w:val="22"/>
          <w:lang w:val="es-ES"/>
        </w:rPr>
        <w:t xml:space="preserve"> </w:t>
      </w:r>
      <w:proofErr w:type="spellStart"/>
      <w:r>
        <w:rPr>
          <w:rFonts w:eastAsia="Palatino Linotype"/>
          <w:sz w:val="22"/>
          <w:szCs w:val="22"/>
          <w:lang w:val="es-ES"/>
        </w:rPr>
        <w:t>it</w:t>
      </w:r>
      <w:proofErr w:type="spellEnd"/>
      <w:r>
        <w:rPr>
          <w:rFonts w:eastAsia="Palatino Linotype"/>
          <w:sz w:val="22"/>
          <w:szCs w:val="22"/>
          <w:lang w:val="es-ES"/>
        </w:rPr>
        <w:t xml:space="preserve"> </w:t>
      </w:r>
      <w:proofErr w:type="spellStart"/>
      <w:r>
        <w:rPr>
          <w:rFonts w:eastAsia="Palatino Linotype"/>
          <w:sz w:val="22"/>
          <w:szCs w:val="22"/>
          <w:lang w:val="es-ES"/>
        </w:rPr>
        <w:t>is</w:t>
      </w:r>
      <w:proofErr w:type="spellEnd"/>
      <w:r>
        <w:rPr>
          <w:rFonts w:eastAsia="Palatino Linotype"/>
          <w:sz w:val="22"/>
          <w:szCs w:val="22"/>
          <w:lang w:val="es-ES"/>
        </w:rPr>
        <w:t xml:space="preserve"> a </w:t>
      </w:r>
      <w:proofErr w:type="spellStart"/>
      <w:r>
        <w:rPr>
          <w:rFonts w:eastAsia="Palatino Linotype"/>
          <w:sz w:val="22"/>
          <w:szCs w:val="22"/>
          <w:lang w:val="es-ES"/>
        </w:rPr>
        <w:t>purchase</w:t>
      </w:r>
      <w:proofErr w:type="spellEnd"/>
      <w:r>
        <w:rPr>
          <w:rFonts w:eastAsia="Palatino Linotype"/>
          <w:sz w:val="22"/>
          <w:szCs w:val="22"/>
          <w:lang w:val="es-ES"/>
        </w:rPr>
        <w:t xml:space="preserve"> </w:t>
      </w:r>
      <w:proofErr w:type="spellStart"/>
      <w:r>
        <w:rPr>
          <w:rFonts w:eastAsia="Palatino Linotype"/>
          <w:sz w:val="22"/>
          <w:szCs w:val="22"/>
          <w:lang w:val="es-ES"/>
        </w:rPr>
        <w:t>made</w:t>
      </w:r>
      <w:proofErr w:type="spellEnd"/>
      <w:r>
        <w:rPr>
          <w:rFonts w:eastAsia="Palatino Linotype"/>
          <w:sz w:val="22"/>
          <w:szCs w:val="22"/>
          <w:lang w:val="es-ES"/>
        </w:rPr>
        <w:t xml:space="preserve"> </w:t>
      </w:r>
      <w:proofErr w:type="spellStart"/>
      <w:r>
        <w:rPr>
          <w:rFonts w:eastAsia="Palatino Linotype"/>
          <w:sz w:val="22"/>
          <w:szCs w:val="22"/>
          <w:lang w:val="es-ES"/>
        </w:rPr>
        <w:t>under</w:t>
      </w:r>
      <w:proofErr w:type="spellEnd"/>
      <w:r>
        <w:rPr>
          <w:rFonts w:eastAsia="Palatino Linotype"/>
          <w:sz w:val="22"/>
          <w:szCs w:val="22"/>
          <w:lang w:val="es-ES"/>
        </w:rPr>
        <w:t xml:space="preserve"> </w:t>
      </w:r>
      <w:proofErr w:type="spellStart"/>
      <w:r>
        <w:rPr>
          <w:rFonts w:eastAsia="Palatino Linotype"/>
          <w:sz w:val="22"/>
          <w:szCs w:val="22"/>
          <w:lang w:val="es-ES"/>
        </w:rPr>
        <w:t>the</w:t>
      </w:r>
      <w:proofErr w:type="spellEnd"/>
      <w:r>
        <w:rPr>
          <w:rFonts w:eastAsia="Palatino Linotype"/>
          <w:sz w:val="22"/>
          <w:szCs w:val="22"/>
          <w:lang w:val="es-ES"/>
        </w:rPr>
        <w:t xml:space="preserve"> </w:t>
      </w:r>
      <w:proofErr w:type="spellStart"/>
      <w:r>
        <w:rPr>
          <w:rFonts w:eastAsia="Palatino Linotype"/>
          <w:sz w:val="22"/>
          <w:szCs w:val="22"/>
          <w:lang w:val="es-ES"/>
        </w:rPr>
        <w:t>provisions</w:t>
      </w:r>
      <w:proofErr w:type="spellEnd"/>
      <w:r>
        <w:rPr>
          <w:rFonts w:eastAsia="Palatino Linotype"/>
          <w:sz w:val="22"/>
          <w:szCs w:val="22"/>
          <w:lang w:val="es-ES"/>
        </w:rPr>
        <w:t xml:space="preserve"> </w:t>
      </w:r>
      <w:proofErr w:type="spellStart"/>
      <w:r>
        <w:rPr>
          <w:rFonts w:eastAsia="Palatino Linotype"/>
          <w:sz w:val="22"/>
          <w:szCs w:val="22"/>
          <w:lang w:val="es-ES"/>
        </w:rPr>
        <w:t>of</w:t>
      </w:r>
      <w:proofErr w:type="spellEnd"/>
      <w:r>
        <w:rPr>
          <w:rFonts w:eastAsia="Palatino Linotype"/>
          <w:sz w:val="22"/>
          <w:szCs w:val="22"/>
          <w:lang w:val="es-ES"/>
        </w:rPr>
        <w:t xml:space="preserve"> </w:t>
      </w:r>
      <w:proofErr w:type="spellStart"/>
      <w:r>
        <w:rPr>
          <w:rFonts w:eastAsia="Palatino Linotype"/>
          <w:sz w:val="22"/>
          <w:szCs w:val="22"/>
          <w:lang w:val="es-ES"/>
        </w:rPr>
        <w:t>subparagraph</w:t>
      </w:r>
      <w:proofErr w:type="spellEnd"/>
      <w:r>
        <w:rPr>
          <w:rFonts w:eastAsia="Palatino Linotype"/>
          <w:sz w:val="22"/>
          <w:szCs w:val="22"/>
          <w:lang w:val="es-ES"/>
        </w:rPr>
        <w:t xml:space="preserve"> B and </w:t>
      </w:r>
      <w:proofErr w:type="spellStart"/>
      <w:r>
        <w:rPr>
          <w:rFonts w:eastAsia="Palatino Linotype"/>
          <w:sz w:val="22"/>
          <w:szCs w:val="22"/>
          <w:lang w:val="es-ES"/>
        </w:rPr>
        <w:t>subparagraph</w:t>
      </w:r>
      <w:proofErr w:type="spellEnd"/>
      <w:r>
        <w:rPr>
          <w:rFonts w:eastAsia="Palatino Linotype"/>
          <w:sz w:val="22"/>
          <w:szCs w:val="22"/>
          <w:lang w:val="es-ES"/>
        </w:rPr>
        <w:t xml:space="preserve"> C, </w:t>
      </w:r>
      <w:proofErr w:type="spellStart"/>
      <w:r>
        <w:rPr>
          <w:rFonts w:eastAsia="Palatino Linotype"/>
          <w:sz w:val="22"/>
          <w:szCs w:val="22"/>
          <w:lang w:val="es-ES"/>
        </w:rPr>
        <w:t>numbers</w:t>
      </w:r>
      <w:proofErr w:type="spellEnd"/>
      <w:r>
        <w:rPr>
          <w:rFonts w:eastAsia="Palatino Linotype"/>
          <w:sz w:val="22"/>
          <w:szCs w:val="22"/>
          <w:lang w:val="es-ES"/>
        </w:rPr>
        <w:t xml:space="preserve"> 1, 3 and </w:t>
      </w:r>
      <w:proofErr w:type="spellStart"/>
      <w:r>
        <w:rPr>
          <w:rFonts w:eastAsia="Palatino Linotype"/>
          <w:sz w:val="22"/>
          <w:szCs w:val="22"/>
          <w:lang w:val="es-ES"/>
        </w:rPr>
        <w:t>following</w:t>
      </w:r>
      <w:proofErr w:type="spellEnd"/>
      <w:r>
        <w:rPr>
          <w:rFonts w:eastAsia="Palatino Linotype"/>
          <w:sz w:val="22"/>
          <w:szCs w:val="22"/>
          <w:lang w:val="es-ES"/>
        </w:rPr>
        <w:t xml:space="preserve"> </w:t>
      </w:r>
      <w:proofErr w:type="spellStart"/>
      <w:r>
        <w:rPr>
          <w:rFonts w:eastAsia="Palatino Linotype"/>
          <w:sz w:val="22"/>
          <w:szCs w:val="22"/>
          <w:lang w:val="es-ES"/>
        </w:rPr>
        <w:t>of</w:t>
      </w:r>
      <w:proofErr w:type="spellEnd"/>
      <w:r>
        <w:rPr>
          <w:rFonts w:eastAsia="Palatino Linotype"/>
          <w:sz w:val="22"/>
          <w:szCs w:val="22"/>
          <w:lang w:val="es-ES"/>
        </w:rPr>
        <w:t xml:space="preserve"> </w:t>
      </w:r>
      <w:proofErr w:type="spellStart"/>
      <w:r>
        <w:rPr>
          <w:rFonts w:eastAsia="Palatino Linotype"/>
          <w:sz w:val="22"/>
          <w:szCs w:val="22"/>
          <w:lang w:val="es-ES"/>
        </w:rPr>
        <w:t>Article</w:t>
      </w:r>
      <w:proofErr w:type="spellEnd"/>
      <w:r>
        <w:rPr>
          <w:rFonts w:eastAsia="Palatino Linotype"/>
          <w:sz w:val="22"/>
          <w:szCs w:val="22"/>
          <w:lang w:val="es-ES"/>
        </w:rPr>
        <w:t xml:space="preserve"> 33 </w:t>
      </w:r>
      <w:proofErr w:type="spellStart"/>
      <w:r>
        <w:rPr>
          <w:rFonts w:eastAsia="Palatino Linotype"/>
          <w:sz w:val="22"/>
          <w:szCs w:val="22"/>
          <w:lang w:val="es-ES"/>
        </w:rPr>
        <w:t>of</w:t>
      </w:r>
      <w:proofErr w:type="spellEnd"/>
      <w:r>
        <w:rPr>
          <w:rFonts w:eastAsia="Palatino Linotype"/>
          <w:sz w:val="22"/>
          <w:szCs w:val="22"/>
          <w:lang w:val="es-ES"/>
        </w:rPr>
        <w:t xml:space="preserve"> </w:t>
      </w:r>
      <w:proofErr w:type="spellStart"/>
      <w:r>
        <w:rPr>
          <w:rFonts w:eastAsia="Palatino Linotype"/>
          <w:sz w:val="22"/>
          <w:szCs w:val="22"/>
          <w:lang w:val="es-ES"/>
        </w:rPr>
        <w:t>the</w:t>
      </w:r>
      <w:proofErr w:type="spellEnd"/>
      <w:r>
        <w:rPr>
          <w:rFonts w:eastAsia="Palatino Linotype"/>
          <w:sz w:val="22"/>
          <w:szCs w:val="22"/>
          <w:lang w:val="es-ES"/>
        </w:rPr>
        <w:t xml:space="preserve"> TOCAF.</w:t>
      </w:r>
    </w:p>
    <w:p w14:paraId="4FAE8389" w14:textId="77777777" w:rsidR="00E255F4" w:rsidRDefault="00E255F4">
      <w:pPr>
        <w:ind w:right="-142"/>
        <w:jc w:val="both"/>
        <w:rPr>
          <w:rFonts w:eastAsia="Palatino Linotype"/>
          <w:sz w:val="22"/>
          <w:szCs w:val="22"/>
          <w:lang w:val="es-ES"/>
        </w:rPr>
      </w:pPr>
    </w:p>
    <w:p w14:paraId="74F90E1C" w14:textId="77777777" w:rsidR="00E255F4" w:rsidRDefault="00000000">
      <w:pPr>
        <w:ind w:right="-142"/>
        <w:jc w:val="both"/>
        <w:rPr>
          <w:rFonts w:eastAsia="Palatino Linotype"/>
          <w:spacing w:val="-1"/>
          <w:sz w:val="22"/>
          <w:szCs w:val="22"/>
          <w:lang w:val="es-ES"/>
        </w:rPr>
      </w:pPr>
      <w:r>
        <w:rPr>
          <w:rFonts w:eastAsia="Palatino Linotype"/>
          <w:spacing w:val="5"/>
          <w:sz w:val="22"/>
          <w:szCs w:val="22"/>
          <w:lang w:val="es-ES"/>
        </w:rPr>
        <w:t xml:space="preserve">I </w:t>
      </w:r>
      <w:proofErr w:type="spellStart"/>
      <w:r>
        <w:rPr>
          <w:rFonts w:eastAsia="Palatino Linotype"/>
          <w:spacing w:val="5"/>
          <w:sz w:val="22"/>
          <w:szCs w:val="22"/>
          <w:lang w:val="es-ES"/>
        </w:rPr>
        <w:t>saw</w:t>
      </w:r>
      <w:proofErr w:type="spellEnd"/>
      <w:r>
        <w:rPr>
          <w:rFonts w:eastAsia="Palatino Linotype"/>
          <w:sz w:val="22"/>
          <w:szCs w:val="22"/>
          <w:lang w:val="es-ES"/>
        </w:rPr>
        <w:t xml:space="preserve">) The </w:t>
      </w:r>
      <w:proofErr w:type="spellStart"/>
      <w:r>
        <w:rPr>
          <w:rFonts w:eastAsia="Palatino Linotype"/>
          <w:sz w:val="22"/>
          <w:szCs w:val="22"/>
          <w:lang w:val="es-ES"/>
        </w:rPr>
        <w:t>other</w:t>
      </w:r>
      <w:proofErr w:type="spellEnd"/>
      <w:r>
        <w:rPr>
          <w:rFonts w:eastAsia="Palatino Linotype"/>
          <w:sz w:val="22"/>
          <w:szCs w:val="22"/>
          <w:lang w:val="es-ES"/>
        </w:rPr>
        <w:t xml:space="preserve"> </w:t>
      </w:r>
      <w:proofErr w:type="spellStart"/>
      <w:r>
        <w:rPr>
          <w:rFonts w:eastAsia="Palatino Linotype"/>
          <w:sz w:val="22"/>
          <w:szCs w:val="22"/>
          <w:lang w:val="es-ES"/>
        </w:rPr>
        <w:t>price</w:t>
      </w:r>
      <w:proofErr w:type="spellEnd"/>
      <w:r>
        <w:rPr>
          <w:rFonts w:eastAsia="Palatino Linotype"/>
          <w:sz w:val="22"/>
          <w:szCs w:val="22"/>
          <w:lang w:val="es-ES"/>
        </w:rPr>
        <w:t xml:space="preserve"> </w:t>
      </w:r>
      <w:proofErr w:type="spellStart"/>
      <w:r>
        <w:rPr>
          <w:rFonts w:eastAsia="Palatino Linotype"/>
          <w:sz w:val="22"/>
          <w:szCs w:val="22"/>
          <w:lang w:val="es-ES"/>
        </w:rPr>
        <w:t>preferences</w:t>
      </w:r>
      <w:proofErr w:type="spellEnd"/>
      <w:r>
        <w:rPr>
          <w:rFonts w:eastAsia="Palatino Linotype"/>
          <w:sz w:val="22"/>
          <w:szCs w:val="22"/>
          <w:lang w:val="es-ES"/>
        </w:rPr>
        <w:t xml:space="preserve"> </w:t>
      </w:r>
      <w:proofErr w:type="spellStart"/>
      <w:r>
        <w:rPr>
          <w:rFonts w:eastAsia="Palatino Linotype"/>
          <w:sz w:val="22"/>
          <w:szCs w:val="22"/>
          <w:lang w:val="es-ES"/>
        </w:rPr>
        <w:t>provided</w:t>
      </w:r>
      <w:proofErr w:type="spellEnd"/>
      <w:r>
        <w:rPr>
          <w:rFonts w:eastAsia="Palatino Linotype"/>
          <w:sz w:val="22"/>
          <w:szCs w:val="22"/>
          <w:lang w:val="es-ES"/>
        </w:rPr>
        <w:t xml:space="preserve"> </w:t>
      </w:r>
      <w:proofErr w:type="spellStart"/>
      <w:r>
        <w:rPr>
          <w:rFonts w:eastAsia="Palatino Linotype"/>
          <w:sz w:val="22"/>
          <w:szCs w:val="22"/>
          <w:lang w:val="es-ES"/>
        </w:rPr>
        <w:t>for</w:t>
      </w:r>
      <w:proofErr w:type="spellEnd"/>
      <w:r>
        <w:rPr>
          <w:rFonts w:eastAsia="Palatino Linotype"/>
          <w:sz w:val="22"/>
          <w:szCs w:val="22"/>
          <w:lang w:val="es-ES"/>
        </w:rPr>
        <w:t xml:space="preserve"> in </w:t>
      </w:r>
      <w:proofErr w:type="spellStart"/>
      <w:r>
        <w:rPr>
          <w:rFonts w:eastAsia="Palatino Linotype"/>
          <w:sz w:val="22"/>
          <w:szCs w:val="22"/>
          <w:lang w:val="es-ES"/>
        </w:rPr>
        <w:t>section</w:t>
      </w:r>
      <w:proofErr w:type="spellEnd"/>
      <w:r>
        <w:rPr>
          <w:rFonts w:eastAsia="Palatino Linotype"/>
          <w:sz w:val="22"/>
          <w:szCs w:val="22"/>
          <w:lang w:val="es-ES"/>
        </w:rPr>
        <w:t xml:space="preserve"> 10.5.1 and 10.5.2.1 </w:t>
      </w:r>
      <w:proofErr w:type="spellStart"/>
      <w:r>
        <w:rPr>
          <w:rFonts w:eastAsia="Palatino Linotype"/>
          <w:sz w:val="22"/>
          <w:szCs w:val="22"/>
          <w:lang w:val="es-ES"/>
        </w:rPr>
        <w:t>will</w:t>
      </w:r>
      <w:proofErr w:type="spellEnd"/>
      <w:r>
        <w:rPr>
          <w:rFonts w:eastAsia="Palatino Linotype"/>
          <w:sz w:val="22"/>
          <w:szCs w:val="22"/>
          <w:lang w:val="es-ES"/>
        </w:rPr>
        <w:t xml:space="preserve"> </w:t>
      </w:r>
      <w:proofErr w:type="spellStart"/>
      <w:r>
        <w:rPr>
          <w:rFonts w:eastAsia="Palatino Linotype"/>
          <w:sz w:val="22"/>
          <w:szCs w:val="22"/>
          <w:lang w:val="es-ES"/>
        </w:rPr>
        <w:t>not</w:t>
      </w:r>
      <w:proofErr w:type="spellEnd"/>
      <w:r>
        <w:rPr>
          <w:rFonts w:eastAsia="Palatino Linotype"/>
          <w:sz w:val="22"/>
          <w:szCs w:val="22"/>
          <w:lang w:val="es-ES"/>
        </w:rPr>
        <w:t xml:space="preserve"> </w:t>
      </w:r>
      <w:proofErr w:type="spellStart"/>
      <w:r>
        <w:rPr>
          <w:rFonts w:eastAsia="Palatino Linotype"/>
          <w:sz w:val="22"/>
          <w:szCs w:val="22"/>
          <w:lang w:val="es-ES"/>
        </w:rPr>
        <w:t>apply</w:t>
      </w:r>
      <w:proofErr w:type="spellEnd"/>
      <w:r>
        <w:rPr>
          <w:rFonts w:eastAsia="Palatino Linotype"/>
          <w:sz w:val="22"/>
          <w:szCs w:val="22"/>
          <w:lang w:val="es-ES"/>
        </w:rPr>
        <w:t xml:space="preserve"> </w:t>
      </w:r>
      <w:proofErr w:type="spellStart"/>
      <w:r>
        <w:rPr>
          <w:rFonts w:eastAsia="Palatino Linotype"/>
          <w:sz w:val="22"/>
          <w:szCs w:val="22"/>
          <w:lang w:val="es-ES"/>
        </w:rPr>
        <w:t>to</w:t>
      </w:r>
      <w:proofErr w:type="spellEnd"/>
      <w:r>
        <w:rPr>
          <w:rFonts w:eastAsia="Palatino Linotype"/>
          <w:sz w:val="22"/>
          <w:szCs w:val="22"/>
          <w:lang w:val="es-ES"/>
        </w:rPr>
        <w:t xml:space="preserve"> </w:t>
      </w:r>
      <w:proofErr w:type="spellStart"/>
      <w:r>
        <w:rPr>
          <w:rFonts w:eastAsia="Palatino Linotype"/>
          <w:sz w:val="22"/>
          <w:szCs w:val="22"/>
          <w:lang w:val="es-ES"/>
        </w:rPr>
        <w:t>offers</w:t>
      </w:r>
      <w:proofErr w:type="spellEnd"/>
      <w:r>
        <w:rPr>
          <w:rFonts w:eastAsia="Palatino Linotype"/>
          <w:sz w:val="22"/>
          <w:szCs w:val="22"/>
          <w:lang w:val="es-ES"/>
        </w:rPr>
        <w:t xml:space="preserve"> </w:t>
      </w:r>
      <w:proofErr w:type="spellStart"/>
      <w:r>
        <w:rPr>
          <w:rFonts w:eastAsia="Palatino Linotype"/>
          <w:sz w:val="22"/>
          <w:szCs w:val="22"/>
          <w:lang w:val="es-ES"/>
        </w:rPr>
        <w:t>covered</w:t>
      </w:r>
      <w:proofErr w:type="spellEnd"/>
      <w:r>
        <w:rPr>
          <w:rFonts w:eastAsia="Palatino Linotype"/>
          <w:sz w:val="22"/>
          <w:szCs w:val="22"/>
          <w:lang w:val="es-ES"/>
        </w:rPr>
        <w:t xml:space="preserve"> </w:t>
      </w:r>
      <w:proofErr w:type="spellStart"/>
      <w:r>
        <w:rPr>
          <w:rFonts w:eastAsia="Palatino Linotype"/>
          <w:sz w:val="22"/>
          <w:szCs w:val="22"/>
          <w:lang w:val="es-ES"/>
        </w:rPr>
        <w:t>by</w:t>
      </w:r>
      <w:proofErr w:type="spellEnd"/>
      <w:r>
        <w:rPr>
          <w:rFonts w:eastAsia="Palatino Linotype"/>
          <w:sz w:val="22"/>
          <w:szCs w:val="22"/>
          <w:lang w:val="es-ES"/>
        </w:rPr>
        <w:t xml:space="preserve"> </w:t>
      </w:r>
      <w:proofErr w:type="spellStart"/>
      <w:r>
        <w:rPr>
          <w:rFonts w:eastAsia="Palatino Linotype"/>
          <w:sz w:val="22"/>
          <w:szCs w:val="22"/>
          <w:lang w:val="es-ES"/>
        </w:rPr>
        <w:t>the</w:t>
      </w:r>
      <w:proofErr w:type="spellEnd"/>
      <w:r>
        <w:rPr>
          <w:rFonts w:eastAsia="Palatino Linotype"/>
          <w:sz w:val="22"/>
          <w:szCs w:val="22"/>
          <w:lang w:val="es-ES"/>
        </w:rPr>
        <w:t xml:space="preserve"> Market Reserve </w:t>
      </w:r>
      <w:proofErr w:type="spellStart"/>
      <w:r>
        <w:rPr>
          <w:rFonts w:eastAsia="Palatino Linotype"/>
          <w:sz w:val="22"/>
          <w:szCs w:val="22"/>
          <w:lang w:val="es-ES"/>
        </w:rPr>
        <w:t>mechanism</w:t>
      </w:r>
      <w:proofErr w:type="spellEnd"/>
      <w:r>
        <w:rPr>
          <w:rFonts w:eastAsia="Palatino Linotype"/>
          <w:sz w:val="22"/>
          <w:szCs w:val="22"/>
          <w:lang w:val="es-ES"/>
        </w:rPr>
        <w:t>.</w:t>
      </w:r>
    </w:p>
    <w:p w14:paraId="119F453B" w14:textId="77777777" w:rsidR="00E255F4" w:rsidRDefault="00E255F4">
      <w:pPr>
        <w:ind w:right="-142"/>
        <w:jc w:val="both"/>
        <w:rPr>
          <w:rFonts w:eastAsia="Palatino Linotype"/>
          <w:spacing w:val="-1"/>
          <w:sz w:val="22"/>
          <w:szCs w:val="22"/>
          <w:lang w:val="es-ES"/>
        </w:rPr>
      </w:pPr>
    </w:p>
    <w:p w14:paraId="262FA20E" w14:textId="77777777" w:rsidR="00E255F4" w:rsidRDefault="00000000">
      <w:pPr>
        <w:ind w:left="709" w:right="-142" w:hanging="709"/>
        <w:jc w:val="both"/>
        <w:outlineLvl w:val="0"/>
        <w:rPr>
          <w:rFonts w:eastAsia="Palatino Linotype"/>
          <w:b/>
          <w:spacing w:val="-1"/>
          <w:sz w:val="22"/>
          <w:szCs w:val="22"/>
          <w:lang w:val="es-ES"/>
        </w:rPr>
      </w:pPr>
      <w:bookmarkStart w:id="32" w:name="__RefHeading___Toc225377209"/>
      <w:bookmarkEnd w:id="32"/>
      <w:r>
        <w:rPr>
          <w:rFonts w:eastAsia="Palatino Linotype"/>
          <w:b/>
          <w:spacing w:val="-1"/>
          <w:sz w:val="22"/>
          <w:szCs w:val="22"/>
          <w:lang w:val="es-ES"/>
        </w:rPr>
        <w:t xml:space="preserve">11. Offer </w:t>
      </w:r>
      <w:proofErr w:type="spellStart"/>
      <w:r>
        <w:rPr>
          <w:rFonts w:eastAsia="Palatino Linotype"/>
          <w:b/>
          <w:spacing w:val="-1"/>
          <w:sz w:val="22"/>
          <w:szCs w:val="22"/>
          <w:lang w:val="es-ES"/>
        </w:rPr>
        <w:t>maintenance</w:t>
      </w:r>
      <w:proofErr w:type="spellEnd"/>
      <w:r>
        <w:rPr>
          <w:rFonts w:eastAsia="Palatino Linotype"/>
          <w:b/>
          <w:spacing w:val="-1"/>
          <w:sz w:val="22"/>
          <w:szCs w:val="22"/>
          <w:lang w:val="es-ES"/>
        </w:rPr>
        <w:t xml:space="preserve"> </w:t>
      </w:r>
      <w:proofErr w:type="spellStart"/>
      <w:r>
        <w:rPr>
          <w:rFonts w:eastAsia="Palatino Linotype"/>
          <w:b/>
          <w:spacing w:val="-1"/>
          <w:sz w:val="22"/>
          <w:szCs w:val="22"/>
          <w:lang w:val="es-ES"/>
        </w:rPr>
        <w:t>guarantee</w:t>
      </w:r>
      <w:proofErr w:type="spellEnd"/>
      <w:r>
        <w:rPr>
          <w:rFonts w:eastAsia="Palatino Linotype"/>
          <w:b/>
          <w:spacing w:val="-1"/>
          <w:sz w:val="22"/>
          <w:szCs w:val="22"/>
          <w:lang w:val="es-ES"/>
        </w:rPr>
        <w:tab/>
      </w:r>
    </w:p>
    <w:p w14:paraId="0C68C0B7" w14:textId="77777777" w:rsidR="00E255F4" w:rsidRDefault="00E255F4">
      <w:pPr>
        <w:ind w:right="-142"/>
        <w:jc w:val="both"/>
        <w:rPr>
          <w:rFonts w:eastAsia="Palatino Linotype"/>
          <w:b/>
          <w:spacing w:val="1"/>
          <w:sz w:val="22"/>
          <w:szCs w:val="22"/>
          <w:lang w:val="es-ES"/>
        </w:rPr>
      </w:pPr>
    </w:p>
    <w:p w14:paraId="29B5E6DA" w14:textId="77777777" w:rsidR="00E255F4" w:rsidRDefault="00000000">
      <w:pPr>
        <w:ind w:right="-142"/>
        <w:jc w:val="both"/>
        <w:rPr>
          <w:rFonts w:eastAsia="Palatino Linotype"/>
          <w:sz w:val="22"/>
          <w:szCs w:val="22"/>
          <w:lang w:val="es-ES"/>
        </w:rPr>
      </w:pPr>
      <w:proofErr w:type="spellStart"/>
      <w:r>
        <w:rPr>
          <w:rFonts w:eastAsia="Palatino Linotype"/>
          <w:spacing w:val="1"/>
          <w:sz w:val="22"/>
          <w:szCs w:val="22"/>
          <w:lang w:val="es-ES"/>
        </w:rPr>
        <w:t>AND</w:t>
      </w:r>
      <w:r>
        <w:rPr>
          <w:rFonts w:eastAsia="Palatino Linotype"/>
          <w:sz w:val="22"/>
          <w:szCs w:val="22"/>
          <w:lang w:val="es-ES"/>
        </w:rPr>
        <w:t>The</w:t>
      </w:r>
      <w:proofErr w:type="spellEnd"/>
      <w:r>
        <w:rPr>
          <w:rFonts w:eastAsia="Palatino Linotype"/>
          <w:sz w:val="22"/>
          <w:szCs w:val="22"/>
          <w:lang w:val="es-ES"/>
        </w:rPr>
        <w:t xml:space="preserve"> </w:t>
      </w:r>
      <w:proofErr w:type="spellStart"/>
      <w:r>
        <w:rPr>
          <w:rFonts w:eastAsia="Palatino Linotype"/>
          <w:sz w:val="22"/>
          <w:szCs w:val="22"/>
          <w:lang w:val="es-ES"/>
        </w:rPr>
        <w:t>bidder</w:t>
      </w:r>
      <w:proofErr w:type="spellEnd"/>
      <w:r>
        <w:rPr>
          <w:rFonts w:eastAsia="Palatino Linotype"/>
          <w:sz w:val="22"/>
          <w:szCs w:val="22"/>
          <w:lang w:val="es-ES"/>
        </w:rPr>
        <w:t xml:space="preserve"> </w:t>
      </w:r>
      <w:proofErr w:type="spellStart"/>
      <w:r>
        <w:rPr>
          <w:rFonts w:eastAsia="Palatino Linotype"/>
          <w:sz w:val="22"/>
          <w:szCs w:val="22"/>
          <w:lang w:val="es-ES"/>
        </w:rPr>
        <w:t>may</w:t>
      </w:r>
      <w:proofErr w:type="spellEnd"/>
      <w:r>
        <w:rPr>
          <w:rFonts w:eastAsia="Palatino Linotype"/>
          <w:sz w:val="22"/>
          <w:szCs w:val="22"/>
          <w:lang w:val="es-ES"/>
        </w:rPr>
        <w:t xml:space="preserve"> </w:t>
      </w:r>
      <w:proofErr w:type="spellStart"/>
      <w:r>
        <w:rPr>
          <w:rFonts w:eastAsia="Palatino Linotype"/>
          <w:sz w:val="22"/>
          <w:szCs w:val="22"/>
          <w:lang w:val="es-ES"/>
        </w:rPr>
        <w:t>provide</w:t>
      </w:r>
      <w:proofErr w:type="spellEnd"/>
      <w:r>
        <w:rPr>
          <w:rFonts w:eastAsia="Palatino Linotype"/>
          <w:sz w:val="22"/>
          <w:szCs w:val="22"/>
          <w:lang w:val="es-ES"/>
        </w:rPr>
        <w:t xml:space="preserve"> </w:t>
      </w:r>
      <w:proofErr w:type="spellStart"/>
      <w:r>
        <w:rPr>
          <w:rFonts w:eastAsia="Palatino Linotype"/>
          <w:sz w:val="22"/>
          <w:szCs w:val="22"/>
          <w:lang w:val="es-ES"/>
        </w:rPr>
        <w:t>the</w:t>
      </w:r>
      <w:proofErr w:type="spellEnd"/>
      <w:r>
        <w:rPr>
          <w:rFonts w:eastAsia="Palatino Linotype"/>
          <w:sz w:val="22"/>
          <w:szCs w:val="22"/>
          <w:lang w:val="es-ES"/>
        </w:rPr>
        <w:t xml:space="preserve"> </w:t>
      </w:r>
      <w:proofErr w:type="spellStart"/>
      <w:r>
        <w:rPr>
          <w:rFonts w:eastAsia="Palatino Linotype"/>
          <w:sz w:val="22"/>
          <w:szCs w:val="22"/>
          <w:lang w:val="es-ES"/>
        </w:rPr>
        <w:t>guarantee</w:t>
      </w:r>
      <w:proofErr w:type="spellEnd"/>
      <w:r>
        <w:rPr>
          <w:rFonts w:eastAsia="Palatino Linotype"/>
          <w:sz w:val="22"/>
          <w:szCs w:val="22"/>
          <w:lang w:val="es-ES"/>
        </w:rPr>
        <w:t xml:space="preserve"> </w:t>
      </w:r>
      <w:proofErr w:type="spellStart"/>
      <w:r>
        <w:rPr>
          <w:rFonts w:eastAsia="Palatino Linotype"/>
          <w:sz w:val="22"/>
          <w:szCs w:val="22"/>
          <w:lang w:val="es-ES"/>
        </w:rPr>
        <w:t>by</w:t>
      </w:r>
      <w:proofErr w:type="spellEnd"/>
      <w:r>
        <w:rPr>
          <w:rFonts w:eastAsia="Palatino Linotype"/>
          <w:sz w:val="22"/>
          <w:szCs w:val="22"/>
          <w:lang w:val="es-ES"/>
        </w:rPr>
        <w:t xml:space="preserve"> </w:t>
      </w:r>
      <w:proofErr w:type="spellStart"/>
      <w:r>
        <w:rPr>
          <w:rFonts w:eastAsia="Palatino Linotype"/>
          <w:sz w:val="22"/>
          <w:szCs w:val="22"/>
          <w:lang w:val="es-ES"/>
        </w:rPr>
        <w:t>means</w:t>
      </w:r>
      <w:proofErr w:type="spellEnd"/>
      <w:r>
        <w:rPr>
          <w:rFonts w:eastAsia="Palatino Linotype"/>
          <w:sz w:val="22"/>
          <w:szCs w:val="22"/>
          <w:lang w:val="es-ES"/>
        </w:rPr>
        <w:t xml:space="preserve"> </w:t>
      </w:r>
      <w:proofErr w:type="spellStart"/>
      <w:r>
        <w:rPr>
          <w:rFonts w:eastAsia="Palatino Linotype"/>
          <w:sz w:val="22"/>
          <w:szCs w:val="22"/>
          <w:lang w:val="es-ES"/>
        </w:rPr>
        <w:t>of</w:t>
      </w:r>
      <w:proofErr w:type="spellEnd"/>
      <w:r>
        <w:rPr>
          <w:rFonts w:eastAsia="Palatino Linotype"/>
          <w:sz w:val="22"/>
          <w:szCs w:val="22"/>
          <w:lang w:val="es-ES"/>
        </w:rPr>
        <w:t xml:space="preserve"> a cash </w:t>
      </w:r>
      <w:proofErr w:type="spellStart"/>
      <w:r>
        <w:rPr>
          <w:rFonts w:eastAsia="Palatino Linotype"/>
          <w:sz w:val="22"/>
          <w:szCs w:val="22"/>
          <w:lang w:val="es-ES"/>
        </w:rPr>
        <w:t>deposit</w:t>
      </w:r>
      <w:proofErr w:type="spellEnd"/>
      <w:r>
        <w:rPr>
          <w:rFonts w:eastAsia="Palatino Linotype"/>
          <w:sz w:val="22"/>
          <w:szCs w:val="22"/>
          <w:lang w:val="es-ES"/>
        </w:rPr>
        <w:t xml:space="preserve"> </w:t>
      </w:r>
      <w:proofErr w:type="spellStart"/>
      <w:r>
        <w:rPr>
          <w:rFonts w:eastAsia="Palatino Linotype"/>
          <w:sz w:val="22"/>
          <w:szCs w:val="22"/>
          <w:lang w:val="es-ES"/>
        </w:rPr>
        <w:t>or</w:t>
      </w:r>
      <w:proofErr w:type="spellEnd"/>
      <w:r>
        <w:rPr>
          <w:rFonts w:eastAsia="Palatino Linotype"/>
          <w:sz w:val="22"/>
          <w:szCs w:val="22"/>
          <w:lang w:val="es-ES"/>
        </w:rPr>
        <w:t xml:space="preserve"> </w:t>
      </w:r>
      <w:proofErr w:type="spellStart"/>
      <w:r>
        <w:rPr>
          <w:rFonts w:eastAsia="Palatino Linotype"/>
          <w:sz w:val="22"/>
          <w:szCs w:val="22"/>
          <w:lang w:val="es-ES"/>
        </w:rPr>
        <w:t>public</w:t>
      </w:r>
      <w:proofErr w:type="spellEnd"/>
      <w:r>
        <w:rPr>
          <w:rFonts w:eastAsia="Palatino Linotype"/>
          <w:sz w:val="22"/>
          <w:szCs w:val="22"/>
          <w:lang w:val="es-ES"/>
        </w:rPr>
        <w:t xml:space="preserve"> </w:t>
      </w:r>
      <w:proofErr w:type="spellStart"/>
      <w:r>
        <w:rPr>
          <w:rFonts w:eastAsia="Palatino Linotype"/>
          <w:sz w:val="22"/>
          <w:szCs w:val="22"/>
          <w:lang w:val="es-ES"/>
        </w:rPr>
        <w:t>securities</w:t>
      </w:r>
      <w:proofErr w:type="spellEnd"/>
      <w:r>
        <w:rPr>
          <w:rFonts w:eastAsia="Palatino Linotype"/>
          <w:sz w:val="22"/>
          <w:szCs w:val="22"/>
          <w:lang w:val="es-ES"/>
        </w:rPr>
        <w:t xml:space="preserve">, a </w:t>
      </w:r>
      <w:proofErr w:type="spellStart"/>
      <w:r>
        <w:rPr>
          <w:rFonts w:eastAsia="Palatino Linotype"/>
          <w:sz w:val="22"/>
          <w:szCs w:val="22"/>
          <w:lang w:val="es-ES"/>
        </w:rPr>
        <w:t>bank</w:t>
      </w:r>
      <w:proofErr w:type="spellEnd"/>
      <w:r>
        <w:rPr>
          <w:rFonts w:eastAsia="Palatino Linotype"/>
          <w:sz w:val="22"/>
          <w:szCs w:val="22"/>
          <w:lang w:val="es-ES"/>
        </w:rPr>
        <w:t xml:space="preserve"> </w:t>
      </w:r>
      <w:proofErr w:type="spellStart"/>
      <w:r>
        <w:rPr>
          <w:rFonts w:eastAsia="Palatino Linotype"/>
          <w:sz w:val="22"/>
          <w:szCs w:val="22"/>
          <w:lang w:val="es-ES"/>
        </w:rPr>
        <w:t>guarantee</w:t>
      </w:r>
      <w:proofErr w:type="spellEnd"/>
      <w:r>
        <w:rPr>
          <w:rFonts w:eastAsia="Palatino Linotype"/>
          <w:sz w:val="22"/>
          <w:szCs w:val="22"/>
          <w:lang w:val="es-ES"/>
        </w:rPr>
        <w:t xml:space="preserve"> </w:t>
      </w:r>
      <w:proofErr w:type="spellStart"/>
      <w:r>
        <w:rPr>
          <w:rFonts w:eastAsia="Palatino Linotype"/>
          <w:sz w:val="22"/>
          <w:szCs w:val="22"/>
          <w:lang w:val="es-ES"/>
        </w:rPr>
        <w:t>or</w:t>
      </w:r>
      <w:proofErr w:type="spellEnd"/>
      <w:r>
        <w:rPr>
          <w:rFonts w:eastAsia="Palatino Linotype"/>
          <w:sz w:val="22"/>
          <w:szCs w:val="22"/>
          <w:lang w:val="es-ES"/>
        </w:rPr>
        <w:t xml:space="preserve"> </w:t>
      </w:r>
      <w:proofErr w:type="spellStart"/>
      <w:r>
        <w:rPr>
          <w:rFonts w:eastAsia="Palatino Linotype"/>
          <w:sz w:val="22"/>
          <w:szCs w:val="22"/>
          <w:lang w:val="es-ES"/>
        </w:rPr>
        <w:t>surety</w:t>
      </w:r>
      <w:proofErr w:type="spellEnd"/>
      <w:r>
        <w:rPr>
          <w:rFonts w:eastAsia="Palatino Linotype"/>
          <w:sz w:val="22"/>
          <w:szCs w:val="22"/>
          <w:lang w:val="es-ES"/>
        </w:rPr>
        <w:t xml:space="preserve"> bond, </w:t>
      </w:r>
      <w:proofErr w:type="spellStart"/>
      <w:r>
        <w:rPr>
          <w:rFonts w:eastAsia="Palatino Linotype"/>
          <w:sz w:val="22"/>
          <w:szCs w:val="22"/>
          <w:lang w:val="es-ES"/>
        </w:rPr>
        <w:t>or</w:t>
      </w:r>
      <w:proofErr w:type="spellEnd"/>
      <w:r>
        <w:rPr>
          <w:rFonts w:eastAsia="Palatino Linotype"/>
          <w:sz w:val="22"/>
          <w:szCs w:val="22"/>
          <w:lang w:val="es-ES"/>
        </w:rPr>
        <w:t xml:space="preserve"> a </w:t>
      </w:r>
      <w:proofErr w:type="spellStart"/>
      <w:r>
        <w:rPr>
          <w:rFonts w:eastAsia="Palatino Linotype"/>
          <w:sz w:val="22"/>
          <w:szCs w:val="22"/>
          <w:lang w:val="es-ES"/>
        </w:rPr>
        <w:t>surety</w:t>
      </w:r>
      <w:proofErr w:type="spellEnd"/>
      <w:r>
        <w:rPr>
          <w:rFonts w:eastAsia="Palatino Linotype"/>
          <w:sz w:val="22"/>
          <w:szCs w:val="22"/>
          <w:lang w:val="es-ES"/>
        </w:rPr>
        <w:t xml:space="preserve"> </w:t>
      </w:r>
      <w:proofErr w:type="spellStart"/>
      <w:r>
        <w:rPr>
          <w:rFonts w:eastAsia="Palatino Linotype"/>
          <w:sz w:val="22"/>
          <w:szCs w:val="22"/>
          <w:lang w:val="es-ES"/>
        </w:rPr>
        <w:t>insurance</w:t>
      </w:r>
      <w:proofErr w:type="spellEnd"/>
      <w:r>
        <w:rPr>
          <w:rFonts w:eastAsia="Palatino Linotype"/>
          <w:sz w:val="22"/>
          <w:szCs w:val="22"/>
          <w:lang w:val="es-ES"/>
        </w:rPr>
        <w:t xml:space="preserve"> </w:t>
      </w:r>
      <w:proofErr w:type="spellStart"/>
      <w:r>
        <w:rPr>
          <w:rFonts w:eastAsia="Palatino Linotype"/>
          <w:sz w:val="22"/>
          <w:szCs w:val="22"/>
          <w:lang w:val="es-ES"/>
        </w:rPr>
        <w:t>policy</w:t>
      </w:r>
      <w:proofErr w:type="spellEnd"/>
      <w:r>
        <w:rPr>
          <w:rFonts w:eastAsia="Palatino Linotype"/>
          <w:sz w:val="22"/>
          <w:szCs w:val="22"/>
          <w:lang w:val="es-ES"/>
        </w:rPr>
        <w:t xml:space="preserve">, </w:t>
      </w:r>
      <w:proofErr w:type="spellStart"/>
      <w:r>
        <w:rPr>
          <w:rFonts w:eastAsia="Palatino Linotype"/>
          <w:sz w:val="22"/>
          <w:szCs w:val="22"/>
          <w:lang w:val="es-ES"/>
        </w:rPr>
        <w:t>for</w:t>
      </w:r>
      <w:proofErr w:type="spellEnd"/>
      <w:r>
        <w:rPr>
          <w:rFonts w:eastAsia="Palatino Linotype"/>
          <w:sz w:val="22"/>
          <w:szCs w:val="22"/>
          <w:lang w:val="es-ES"/>
        </w:rPr>
        <w:t xml:space="preserve"> a </w:t>
      </w:r>
      <w:proofErr w:type="spellStart"/>
      <w:r>
        <w:rPr>
          <w:rFonts w:eastAsia="Palatino Linotype"/>
          <w:sz w:val="22"/>
          <w:szCs w:val="22"/>
          <w:lang w:val="es-ES"/>
        </w:rPr>
        <w:t>fixed</w:t>
      </w:r>
      <w:proofErr w:type="spellEnd"/>
      <w:r>
        <w:rPr>
          <w:rFonts w:eastAsia="Palatino Linotype"/>
          <w:sz w:val="22"/>
          <w:szCs w:val="22"/>
          <w:lang w:val="es-ES"/>
        </w:rPr>
        <w:t xml:space="preserve"> </w:t>
      </w:r>
      <w:proofErr w:type="spellStart"/>
      <w:r>
        <w:rPr>
          <w:rFonts w:eastAsia="Palatino Linotype"/>
          <w:sz w:val="22"/>
          <w:szCs w:val="22"/>
          <w:lang w:val="es-ES"/>
        </w:rPr>
        <w:t>value</w:t>
      </w:r>
      <w:proofErr w:type="spellEnd"/>
      <w:r>
        <w:rPr>
          <w:rFonts w:eastAsia="Palatino Linotype"/>
          <w:sz w:val="22"/>
          <w:szCs w:val="22"/>
          <w:lang w:val="es-ES"/>
        </w:rPr>
        <w:t xml:space="preserve"> in </w:t>
      </w:r>
      <w:proofErr w:type="spellStart"/>
      <w:r>
        <w:rPr>
          <w:rFonts w:eastAsia="Palatino Linotype"/>
          <w:sz w:val="22"/>
          <w:szCs w:val="22"/>
          <w:lang w:val="es-ES"/>
        </w:rPr>
        <w:t>national</w:t>
      </w:r>
      <w:proofErr w:type="spellEnd"/>
      <w:r>
        <w:rPr>
          <w:rFonts w:eastAsia="Palatino Linotype"/>
          <w:sz w:val="22"/>
          <w:szCs w:val="22"/>
          <w:lang w:val="es-ES"/>
        </w:rPr>
        <w:t xml:space="preserve"> </w:t>
      </w:r>
      <w:proofErr w:type="spellStart"/>
      <w:r>
        <w:rPr>
          <w:rFonts w:eastAsia="Palatino Linotype"/>
          <w:sz w:val="22"/>
          <w:szCs w:val="22"/>
          <w:lang w:val="es-ES"/>
        </w:rPr>
        <w:t>or</w:t>
      </w:r>
      <w:proofErr w:type="spellEnd"/>
      <w:r>
        <w:rPr>
          <w:rFonts w:eastAsia="Palatino Linotype"/>
          <w:sz w:val="22"/>
          <w:szCs w:val="22"/>
          <w:lang w:val="es-ES"/>
        </w:rPr>
        <w:t xml:space="preserve"> </w:t>
      </w:r>
      <w:proofErr w:type="spellStart"/>
      <w:r>
        <w:rPr>
          <w:rFonts w:eastAsia="Palatino Linotype"/>
          <w:sz w:val="22"/>
          <w:szCs w:val="22"/>
          <w:lang w:val="es-ES"/>
        </w:rPr>
        <w:t>foreign</w:t>
      </w:r>
      <w:proofErr w:type="spellEnd"/>
      <w:r>
        <w:rPr>
          <w:rFonts w:eastAsia="Palatino Linotype"/>
          <w:sz w:val="22"/>
          <w:szCs w:val="22"/>
          <w:lang w:val="es-ES"/>
        </w:rPr>
        <w:t xml:space="preserve"> </w:t>
      </w:r>
      <w:proofErr w:type="spellStart"/>
      <w:r>
        <w:rPr>
          <w:rFonts w:eastAsia="Palatino Linotype"/>
          <w:sz w:val="22"/>
          <w:szCs w:val="22"/>
          <w:lang w:val="es-ES"/>
        </w:rPr>
        <w:t>currency</w:t>
      </w:r>
      <w:proofErr w:type="spellEnd"/>
      <w:r>
        <w:rPr>
          <w:rFonts w:eastAsia="Palatino Linotype"/>
          <w:sz w:val="22"/>
          <w:szCs w:val="22"/>
          <w:lang w:val="es-ES"/>
        </w:rPr>
        <w:t xml:space="preserve"> </w:t>
      </w:r>
      <w:proofErr w:type="spellStart"/>
      <w:r>
        <w:rPr>
          <w:rFonts w:eastAsia="Palatino Linotype"/>
          <w:sz w:val="22"/>
          <w:szCs w:val="22"/>
          <w:lang w:val="es-ES"/>
        </w:rPr>
        <w:t>that</w:t>
      </w:r>
      <w:proofErr w:type="spellEnd"/>
      <w:r>
        <w:rPr>
          <w:rFonts w:eastAsia="Palatino Linotype"/>
          <w:sz w:val="22"/>
          <w:szCs w:val="22"/>
          <w:lang w:val="es-ES"/>
        </w:rPr>
        <w:t xml:space="preserve"> </w:t>
      </w:r>
      <w:proofErr w:type="spellStart"/>
      <w:r>
        <w:rPr>
          <w:rFonts w:eastAsia="Palatino Linotype"/>
          <w:sz w:val="22"/>
          <w:szCs w:val="22"/>
          <w:lang w:val="es-ES"/>
        </w:rPr>
        <w:t>will</w:t>
      </w:r>
      <w:proofErr w:type="spellEnd"/>
      <w:r>
        <w:rPr>
          <w:rFonts w:eastAsia="Palatino Linotype"/>
          <w:sz w:val="22"/>
          <w:szCs w:val="22"/>
          <w:lang w:val="es-ES"/>
        </w:rPr>
        <w:t xml:space="preserve"> be </w:t>
      </w:r>
      <w:proofErr w:type="spellStart"/>
      <w:r>
        <w:rPr>
          <w:rFonts w:eastAsia="Palatino Linotype"/>
          <w:sz w:val="22"/>
          <w:szCs w:val="22"/>
          <w:lang w:val="es-ES"/>
        </w:rPr>
        <w:t>determined</w:t>
      </w:r>
      <w:proofErr w:type="spellEnd"/>
      <w:r>
        <w:rPr>
          <w:rFonts w:eastAsia="Palatino Linotype"/>
          <w:sz w:val="22"/>
          <w:szCs w:val="22"/>
          <w:lang w:val="es-ES"/>
        </w:rPr>
        <w:t xml:space="preserve"> in </w:t>
      </w:r>
      <w:proofErr w:type="spellStart"/>
      <w:r>
        <w:rPr>
          <w:rFonts w:eastAsia="Palatino Linotype"/>
          <w:sz w:val="22"/>
          <w:szCs w:val="22"/>
          <w:lang w:val="es-ES"/>
        </w:rPr>
        <w:t>the</w:t>
      </w:r>
      <w:proofErr w:type="spellEnd"/>
      <w:r>
        <w:rPr>
          <w:rFonts w:eastAsia="Palatino Linotype"/>
          <w:sz w:val="22"/>
          <w:szCs w:val="22"/>
          <w:lang w:val="es-ES"/>
        </w:rPr>
        <w:t xml:space="preserve"> Special </w:t>
      </w:r>
      <w:proofErr w:type="spellStart"/>
      <w:r>
        <w:rPr>
          <w:rFonts w:eastAsia="Palatino Linotype"/>
          <w:sz w:val="22"/>
          <w:szCs w:val="22"/>
          <w:lang w:val="es-ES"/>
        </w:rPr>
        <w:t>Specifications</w:t>
      </w:r>
      <w:proofErr w:type="spellEnd"/>
      <w:r>
        <w:rPr>
          <w:rFonts w:eastAsia="Palatino Linotype"/>
          <w:sz w:val="22"/>
          <w:szCs w:val="22"/>
          <w:lang w:val="es-ES"/>
        </w:rPr>
        <w:t>.</w:t>
      </w:r>
    </w:p>
    <w:p w14:paraId="4265FFC7" w14:textId="77777777" w:rsidR="00E255F4" w:rsidRDefault="00E255F4">
      <w:pPr>
        <w:ind w:right="-142"/>
        <w:jc w:val="both"/>
        <w:rPr>
          <w:rFonts w:eastAsia="Palatino Linotype"/>
          <w:sz w:val="22"/>
          <w:szCs w:val="22"/>
          <w:lang w:val="es-ES"/>
        </w:rPr>
      </w:pPr>
    </w:p>
    <w:p w14:paraId="5E12532D" w14:textId="77777777" w:rsidR="00E255F4" w:rsidRDefault="00000000">
      <w:pPr>
        <w:ind w:right="-142"/>
        <w:jc w:val="both"/>
        <w:rPr>
          <w:rFonts w:eastAsia="Palatino Linotype"/>
          <w:sz w:val="22"/>
          <w:szCs w:val="22"/>
          <w:lang w:val="es-ES"/>
        </w:rPr>
      </w:pPr>
      <w:proofErr w:type="spellStart"/>
      <w:r>
        <w:rPr>
          <w:rFonts w:eastAsia="Palatino Linotype"/>
          <w:spacing w:val="-5"/>
          <w:sz w:val="22"/>
          <w:szCs w:val="22"/>
          <w:lang w:val="es-ES"/>
        </w:rPr>
        <w:t>AND</w:t>
      </w:r>
      <w:r>
        <w:rPr>
          <w:rFonts w:eastAsia="Palatino Linotype"/>
          <w:sz w:val="22"/>
          <w:szCs w:val="22"/>
          <w:lang w:val="es-ES"/>
        </w:rPr>
        <w:t>The</w:t>
      </w:r>
      <w:proofErr w:type="spellEnd"/>
      <w:r>
        <w:rPr>
          <w:rFonts w:eastAsia="Palatino Linotype"/>
          <w:sz w:val="22"/>
          <w:szCs w:val="22"/>
          <w:lang w:val="es-ES"/>
        </w:rPr>
        <w:t xml:space="preserve"> tender </w:t>
      </w:r>
      <w:proofErr w:type="spellStart"/>
      <w:r>
        <w:rPr>
          <w:rFonts w:eastAsia="Palatino Linotype"/>
          <w:sz w:val="22"/>
          <w:szCs w:val="22"/>
          <w:lang w:val="es-ES"/>
        </w:rPr>
        <w:t>documents</w:t>
      </w:r>
      <w:proofErr w:type="spellEnd"/>
      <w:r>
        <w:rPr>
          <w:rFonts w:eastAsia="Palatino Linotype"/>
          <w:sz w:val="22"/>
          <w:szCs w:val="22"/>
          <w:lang w:val="es-ES"/>
        </w:rPr>
        <w:t xml:space="preserve"> </w:t>
      </w:r>
      <w:proofErr w:type="spellStart"/>
      <w:r>
        <w:rPr>
          <w:rFonts w:eastAsia="Palatino Linotype"/>
          <w:sz w:val="22"/>
          <w:szCs w:val="22"/>
          <w:lang w:val="es-ES"/>
        </w:rPr>
        <w:t>themselves</w:t>
      </w:r>
      <w:proofErr w:type="spellEnd"/>
      <w:r>
        <w:rPr>
          <w:rFonts w:eastAsia="Palatino Linotype"/>
          <w:sz w:val="22"/>
          <w:szCs w:val="22"/>
          <w:lang w:val="es-ES"/>
        </w:rPr>
        <w:t xml:space="preserve"> </w:t>
      </w:r>
      <w:proofErr w:type="spellStart"/>
      <w:r>
        <w:rPr>
          <w:rFonts w:eastAsia="Palatino Linotype"/>
          <w:sz w:val="22"/>
          <w:szCs w:val="22"/>
          <w:lang w:val="es-ES"/>
        </w:rPr>
        <w:t>may</w:t>
      </w:r>
      <w:proofErr w:type="spellEnd"/>
      <w:r>
        <w:rPr>
          <w:rFonts w:eastAsia="Palatino Linotype"/>
          <w:sz w:val="22"/>
          <w:szCs w:val="22"/>
          <w:lang w:val="es-ES"/>
        </w:rPr>
        <w:t xml:space="preserve"> </w:t>
      </w:r>
      <w:proofErr w:type="spellStart"/>
      <w:r>
        <w:rPr>
          <w:rFonts w:eastAsia="Palatino Linotype"/>
          <w:sz w:val="22"/>
          <w:szCs w:val="22"/>
          <w:lang w:val="es-ES"/>
        </w:rPr>
        <w:t>stipulate</w:t>
      </w:r>
      <w:proofErr w:type="spellEnd"/>
      <w:r>
        <w:rPr>
          <w:rFonts w:eastAsia="Palatino Linotype"/>
          <w:sz w:val="22"/>
          <w:szCs w:val="22"/>
          <w:lang w:val="es-ES"/>
        </w:rPr>
        <w:t xml:space="preserve"> </w:t>
      </w:r>
      <w:proofErr w:type="spellStart"/>
      <w:r>
        <w:rPr>
          <w:rFonts w:eastAsia="Palatino Linotype"/>
          <w:sz w:val="22"/>
          <w:szCs w:val="22"/>
          <w:lang w:val="es-ES"/>
        </w:rPr>
        <w:t>that</w:t>
      </w:r>
      <w:proofErr w:type="spellEnd"/>
      <w:r>
        <w:rPr>
          <w:rFonts w:eastAsia="Palatino Linotype"/>
          <w:sz w:val="22"/>
          <w:szCs w:val="22"/>
          <w:lang w:val="es-ES"/>
        </w:rPr>
        <w:t xml:space="preserve"> </w:t>
      </w:r>
      <w:proofErr w:type="spellStart"/>
      <w:r>
        <w:rPr>
          <w:rFonts w:eastAsia="Palatino Linotype"/>
          <w:sz w:val="22"/>
          <w:szCs w:val="22"/>
          <w:lang w:val="es-ES"/>
        </w:rPr>
        <w:t>its</w:t>
      </w:r>
      <w:proofErr w:type="spellEnd"/>
      <w:r>
        <w:rPr>
          <w:rFonts w:eastAsia="Palatino Linotype"/>
          <w:sz w:val="22"/>
          <w:szCs w:val="22"/>
          <w:lang w:val="es-ES"/>
        </w:rPr>
        <w:t xml:space="preserve"> </w:t>
      </w:r>
      <w:proofErr w:type="spellStart"/>
      <w:r>
        <w:rPr>
          <w:rFonts w:eastAsia="Palatino Linotype"/>
          <w:sz w:val="22"/>
          <w:szCs w:val="22"/>
          <w:lang w:val="es-ES"/>
        </w:rPr>
        <w:t>formation</w:t>
      </w:r>
      <w:proofErr w:type="spellEnd"/>
      <w:r>
        <w:rPr>
          <w:rFonts w:eastAsia="Palatino Linotype"/>
          <w:sz w:val="22"/>
          <w:szCs w:val="22"/>
          <w:lang w:val="es-ES"/>
        </w:rPr>
        <w:t xml:space="preserve"> </w:t>
      </w:r>
      <w:proofErr w:type="spellStart"/>
      <w:r>
        <w:rPr>
          <w:rFonts w:eastAsia="Palatino Linotype"/>
          <w:sz w:val="22"/>
          <w:szCs w:val="22"/>
          <w:lang w:val="es-ES"/>
        </w:rPr>
        <w:t>is</w:t>
      </w:r>
      <w:proofErr w:type="spellEnd"/>
      <w:r>
        <w:rPr>
          <w:rFonts w:eastAsia="Palatino Linotype"/>
          <w:sz w:val="22"/>
          <w:szCs w:val="22"/>
          <w:lang w:val="es-ES"/>
        </w:rPr>
        <w:t xml:space="preserve"> </w:t>
      </w:r>
      <w:proofErr w:type="spellStart"/>
      <w:r>
        <w:rPr>
          <w:rFonts w:eastAsia="Palatino Linotype"/>
          <w:sz w:val="22"/>
          <w:szCs w:val="22"/>
          <w:lang w:val="es-ES"/>
        </w:rPr>
        <w:t>mandatory</w:t>
      </w:r>
      <w:proofErr w:type="spellEnd"/>
      <w:r>
        <w:rPr>
          <w:rFonts w:eastAsia="Palatino Linotype"/>
          <w:sz w:val="22"/>
          <w:szCs w:val="22"/>
          <w:lang w:val="es-ES"/>
        </w:rPr>
        <w:t xml:space="preserve">. </w:t>
      </w:r>
      <w:proofErr w:type="spellStart"/>
      <w:r>
        <w:rPr>
          <w:rFonts w:eastAsia="Palatino Linotype"/>
          <w:sz w:val="22"/>
          <w:szCs w:val="22"/>
          <w:lang w:val="es-ES"/>
        </w:rPr>
        <w:t>Otherwise</w:t>
      </w:r>
      <w:proofErr w:type="spellEnd"/>
      <w:r>
        <w:rPr>
          <w:rFonts w:eastAsia="Palatino Linotype"/>
          <w:sz w:val="22"/>
          <w:szCs w:val="22"/>
          <w:lang w:val="es-ES"/>
        </w:rPr>
        <w:t xml:space="preserve">, </w:t>
      </w:r>
      <w:proofErr w:type="spellStart"/>
      <w:r>
        <w:rPr>
          <w:rFonts w:eastAsia="Palatino Linotype"/>
          <w:sz w:val="22"/>
          <w:szCs w:val="22"/>
          <w:lang w:val="es-ES"/>
        </w:rPr>
        <w:t>the</w:t>
      </w:r>
      <w:proofErr w:type="spellEnd"/>
      <w:r>
        <w:rPr>
          <w:rFonts w:eastAsia="Palatino Linotype"/>
          <w:sz w:val="22"/>
          <w:szCs w:val="22"/>
          <w:lang w:val="es-ES"/>
        </w:rPr>
        <w:t xml:space="preserve"> </w:t>
      </w:r>
      <w:proofErr w:type="spellStart"/>
      <w:r>
        <w:rPr>
          <w:rFonts w:eastAsia="Palatino Linotype"/>
          <w:sz w:val="22"/>
          <w:szCs w:val="22"/>
          <w:lang w:val="es-ES"/>
        </w:rPr>
        <w:t>bidder</w:t>
      </w:r>
      <w:proofErr w:type="spellEnd"/>
      <w:r>
        <w:rPr>
          <w:rFonts w:eastAsia="Palatino Linotype"/>
          <w:sz w:val="22"/>
          <w:szCs w:val="22"/>
          <w:lang w:val="es-ES"/>
        </w:rPr>
        <w:t xml:space="preserve"> </w:t>
      </w:r>
      <w:proofErr w:type="spellStart"/>
      <w:r>
        <w:rPr>
          <w:rFonts w:eastAsia="Palatino Linotype"/>
          <w:sz w:val="22"/>
          <w:szCs w:val="22"/>
          <w:lang w:val="es-ES"/>
        </w:rPr>
        <w:t>may</w:t>
      </w:r>
      <w:proofErr w:type="spellEnd"/>
      <w:r>
        <w:rPr>
          <w:rFonts w:eastAsia="Palatino Linotype"/>
          <w:sz w:val="22"/>
          <w:szCs w:val="22"/>
          <w:lang w:val="es-ES"/>
        </w:rPr>
        <w:t xml:space="preserve"> </w:t>
      </w:r>
      <w:proofErr w:type="spellStart"/>
      <w:r>
        <w:rPr>
          <w:rFonts w:eastAsia="Palatino Linotype"/>
          <w:sz w:val="22"/>
          <w:szCs w:val="22"/>
          <w:lang w:val="es-ES"/>
        </w:rPr>
        <w:t>choose</w:t>
      </w:r>
      <w:proofErr w:type="spellEnd"/>
      <w:r>
        <w:rPr>
          <w:rFonts w:eastAsia="Palatino Linotype"/>
          <w:sz w:val="22"/>
          <w:szCs w:val="22"/>
          <w:lang w:val="es-ES"/>
        </w:rPr>
        <w:t xml:space="preserve"> </w:t>
      </w:r>
      <w:proofErr w:type="spellStart"/>
      <w:r>
        <w:rPr>
          <w:rFonts w:eastAsia="Palatino Linotype"/>
          <w:sz w:val="22"/>
          <w:szCs w:val="22"/>
          <w:lang w:val="es-ES"/>
        </w:rPr>
        <w:t>whether</w:t>
      </w:r>
      <w:proofErr w:type="spellEnd"/>
      <w:r>
        <w:rPr>
          <w:rFonts w:eastAsia="Palatino Linotype"/>
          <w:sz w:val="22"/>
          <w:szCs w:val="22"/>
          <w:lang w:val="es-ES"/>
        </w:rPr>
        <w:t xml:space="preserve"> </w:t>
      </w:r>
      <w:proofErr w:type="spellStart"/>
      <w:r>
        <w:rPr>
          <w:rFonts w:eastAsia="Palatino Linotype"/>
          <w:sz w:val="22"/>
          <w:szCs w:val="22"/>
          <w:lang w:val="es-ES"/>
        </w:rPr>
        <w:t>or</w:t>
      </w:r>
      <w:proofErr w:type="spellEnd"/>
      <w:r>
        <w:rPr>
          <w:rFonts w:eastAsia="Palatino Linotype"/>
          <w:sz w:val="22"/>
          <w:szCs w:val="22"/>
          <w:lang w:val="es-ES"/>
        </w:rPr>
        <w:t xml:space="preserve"> </w:t>
      </w:r>
      <w:proofErr w:type="spellStart"/>
      <w:r>
        <w:rPr>
          <w:rFonts w:eastAsia="Palatino Linotype"/>
          <w:sz w:val="22"/>
          <w:szCs w:val="22"/>
          <w:lang w:val="es-ES"/>
        </w:rPr>
        <w:t>not</w:t>
      </w:r>
      <w:proofErr w:type="spellEnd"/>
      <w:r>
        <w:rPr>
          <w:rFonts w:eastAsia="Palatino Linotype"/>
          <w:sz w:val="22"/>
          <w:szCs w:val="22"/>
          <w:lang w:val="es-ES"/>
        </w:rPr>
        <w:t xml:space="preserve"> </w:t>
      </w:r>
      <w:proofErr w:type="spellStart"/>
      <w:r>
        <w:rPr>
          <w:rFonts w:eastAsia="Palatino Linotype"/>
          <w:sz w:val="22"/>
          <w:szCs w:val="22"/>
          <w:lang w:val="es-ES"/>
        </w:rPr>
        <w:t>to</w:t>
      </w:r>
      <w:proofErr w:type="spellEnd"/>
      <w:r>
        <w:rPr>
          <w:rFonts w:eastAsia="Palatino Linotype"/>
          <w:sz w:val="22"/>
          <w:szCs w:val="22"/>
          <w:lang w:val="es-ES"/>
        </w:rPr>
        <w:t xml:space="preserve"> </w:t>
      </w:r>
      <w:proofErr w:type="spellStart"/>
      <w:r>
        <w:rPr>
          <w:rFonts w:eastAsia="Palatino Linotype"/>
          <w:sz w:val="22"/>
          <w:szCs w:val="22"/>
          <w:lang w:val="es-ES"/>
        </w:rPr>
        <w:t>form</w:t>
      </w:r>
      <w:proofErr w:type="spellEnd"/>
      <w:r>
        <w:rPr>
          <w:rFonts w:eastAsia="Palatino Linotype"/>
          <w:sz w:val="22"/>
          <w:szCs w:val="22"/>
          <w:lang w:val="es-ES"/>
        </w:rPr>
        <w:t xml:space="preserve"> </w:t>
      </w:r>
      <w:proofErr w:type="spellStart"/>
      <w:r>
        <w:rPr>
          <w:rFonts w:eastAsia="Palatino Linotype"/>
          <w:sz w:val="22"/>
          <w:szCs w:val="22"/>
          <w:lang w:val="es-ES"/>
        </w:rPr>
        <w:t>it</w:t>
      </w:r>
      <w:proofErr w:type="spellEnd"/>
      <w:r>
        <w:rPr>
          <w:rFonts w:eastAsia="Palatino Linotype"/>
          <w:sz w:val="22"/>
          <w:szCs w:val="22"/>
          <w:lang w:val="es-ES"/>
        </w:rPr>
        <w:t>.</w:t>
      </w:r>
    </w:p>
    <w:p w14:paraId="000DD60B" w14:textId="77777777" w:rsidR="00E255F4" w:rsidRDefault="00E255F4">
      <w:pPr>
        <w:ind w:right="-142"/>
        <w:jc w:val="both"/>
        <w:rPr>
          <w:rFonts w:eastAsia="Palatino Linotype"/>
          <w:sz w:val="22"/>
          <w:szCs w:val="22"/>
          <w:lang w:val="es-ES"/>
        </w:rPr>
      </w:pPr>
    </w:p>
    <w:p w14:paraId="2DD91EAB" w14:textId="77777777" w:rsidR="00E255F4" w:rsidRDefault="00000000">
      <w:pPr>
        <w:ind w:right="-142"/>
        <w:jc w:val="both"/>
        <w:rPr>
          <w:rFonts w:eastAsia="Palatino Linotype"/>
          <w:sz w:val="22"/>
          <w:szCs w:val="22"/>
          <w:lang w:val="es-ES"/>
        </w:rPr>
      </w:pPr>
      <w:proofErr w:type="spellStart"/>
      <w:r>
        <w:rPr>
          <w:rFonts w:eastAsia="Palatino Linotype"/>
          <w:spacing w:val="-2"/>
          <w:sz w:val="22"/>
          <w:szCs w:val="22"/>
          <w:lang w:val="es-ES"/>
        </w:rPr>
        <w:t>AND</w:t>
      </w:r>
      <w:r>
        <w:rPr>
          <w:rFonts w:eastAsia="Palatino Linotype"/>
          <w:sz w:val="22"/>
          <w:szCs w:val="22"/>
          <w:lang w:val="es-ES"/>
        </w:rPr>
        <w:t>Under</w:t>
      </w:r>
      <w:proofErr w:type="spellEnd"/>
      <w:r>
        <w:rPr>
          <w:rFonts w:eastAsia="Palatino Linotype"/>
          <w:sz w:val="22"/>
          <w:szCs w:val="22"/>
          <w:lang w:val="es-ES"/>
        </w:rPr>
        <w:t xml:space="preserve"> no </w:t>
      </w:r>
      <w:proofErr w:type="spellStart"/>
      <w:r>
        <w:rPr>
          <w:rFonts w:eastAsia="Palatino Linotype"/>
          <w:sz w:val="22"/>
          <w:szCs w:val="22"/>
          <w:lang w:val="es-ES"/>
        </w:rPr>
        <w:t>circumstances</w:t>
      </w:r>
      <w:proofErr w:type="spellEnd"/>
      <w:r>
        <w:rPr>
          <w:rFonts w:eastAsia="Palatino Linotype"/>
          <w:sz w:val="22"/>
          <w:szCs w:val="22"/>
          <w:lang w:val="es-ES"/>
        </w:rPr>
        <w:t xml:space="preserve"> </w:t>
      </w:r>
      <w:proofErr w:type="spellStart"/>
      <w:r>
        <w:rPr>
          <w:rFonts w:eastAsia="Palatino Linotype"/>
          <w:sz w:val="22"/>
          <w:szCs w:val="22"/>
          <w:lang w:val="es-ES"/>
        </w:rPr>
        <w:t>may</w:t>
      </w:r>
      <w:proofErr w:type="spellEnd"/>
      <w:r>
        <w:rPr>
          <w:rFonts w:eastAsia="Palatino Linotype"/>
          <w:sz w:val="22"/>
          <w:szCs w:val="22"/>
          <w:lang w:val="es-ES"/>
        </w:rPr>
        <w:t xml:space="preserve"> </w:t>
      </w:r>
      <w:proofErr w:type="spellStart"/>
      <w:r>
        <w:rPr>
          <w:rFonts w:eastAsia="Palatino Linotype"/>
          <w:sz w:val="22"/>
          <w:szCs w:val="22"/>
          <w:lang w:val="es-ES"/>
        </w:rPr>
        <w:t>guarantees</w:t>
      </w:r>
      <w:proofErr w:type="spellEnd"/>
      <w:r>
        <w:rPr>
          <w:rFonts w:eastAsia="Palatino Linotype"/>
          <w:sz w:val="22"/>
          <w:szCs w:val="22"/>
          <w:lang w:val="es-ES"/>
        </w:rPr>
        <w:t xml:space="preserve"> be </w:t>
      </w:r>
      <w:proofErr w:type="spellStart"/>
      <w:r>
        <w:rPr>
          <w:rFonts w:eastAsia="Palatino Linotype"/>
          <w:sz w:val="22"/>
          <w:szCs w:val="22"/>
          <w:lang w:val="es-ES"/>
        </w:rPr>
        <w:t>required</w:t>
      </w:r>
      <w:proofErr w:type="spellEnd"/>
      <w:r>
        <w:rPr>
          <w:rFonts w:eastAsia="Palatino Linotype"/>
          <w:sz w:val="22"/>
          <w:szCs w:val="22"/>
          <w:lang w:val="es-ES"/>
        </w:rPr>
        <w:t xml:space="preserve"> </w:t>
      </w:r>
      <w:proofErr w:type="spellStart"/>
      <w:r>
        <w:rPr>
          <w:rFonts w:eastAsia="Palatino Linotype"/>
          <w:sz w:val="22"/>
          <w:szCs w:val="22"/>
          <w:lang w:val="es-ES"/>
        </w:rPr>
        <w:t>for</w:t>
      </w:r>
      <w:proofErr w:type="spellEnd"/>
      <w:r>
        <w:rPr>
          <w:rFonts w:eastAsia="Palatino Linotype"/>
          <w:sz w:val="22"/>
          <w:szCs w:val="22"/>
          <w:lang w:val="es-ES"/>
        </w:rPr>
        <w:t xml:space="preserve"> </w:t>
      </w:r>
      <w:proofErr w:type="spellStart"/>
      <w:r>
        <w:rPr>
          <w:rFonts w:eastAsia="Palatino Linotype"/>
          <w:sz w:val="22"/>
          <w:szCs w:val="22"/>
          <w:lang w:val="es-ES"/>
        </w:rPr>
        <w:t>bids</w:t>
      </w:r>
      <w:proofErr w:type="spellEnd"/>
      <w:r>
        <w:rPr>
          <w:rFonts w:eastAsia="Palatino Linotype"/>
          <w:sz w:val="22"/>
          <w:szCs w:val="22"/>
          <w:lang w:val="es-ES"/>
        </w:rPr>
        <w:t xml:space="preserve"> </w:t>
      </w:r>
      <w:proofErr w:type="spellStart"/>
      <w:r>
        <w:rPr>
          <w:rFonts w:eastAsia="Palatino Linotype"/>
          <w:sz w:val="22"/>
          <w:szCs w:val="22"/>
          <w:lang w:val="es-ES"/>
        </w:rPr>
        <w:t>whose</w:t>
      </w:r>
      <w:proofErr w:type="spellEnd"/>
      <w:r>
        <w:rPr>
          <w:rFonts w:eastAsia="Palatino Linotype"/>
          <w:sz w:val="22"/>
          <w:szCs w:val="22"/>
          <w:lang w:val="es-ES"/>
        </w:rPr>
        <w:t xml:space="preserve"> </w:t>
      </w:r>
      <w:proofErr w:type="spellStart"/>
      <w:r>
        <w:rPr>
          <w:rFonts w:eastAsia="Palatino Linotype"/>
          <w:sz w:val="22"/>
          <w:szCs w:val="22"/>
          <w:lang w:val="es-ES"/>
        </w:rPr>
        <w:t>amounts</w:t>
      </w:r>
      <w:proofErr w:type="spellEnd"/>
      <w:r>
        <w:rPr>
          <w:rFonts w:eastAsia="Palatino Linotype"/>
          <w:sz w:val="22"/>
          <w:szCs w:val="22"/>
          <w:lang w:val="es-ES"/>
        </w:rPr>
        <w:t xml:space="preserve"> are </w:t>
      </w:r>
      <w:proofErr w:type="spellStart"/>
      <w:r>
        <w:rPr>
          <w:rFonts w:eastAsia="Palatino Linotype"/>
          <w:sz w:val="22"/>
          <w:szCs w:val="22"/>
          <w:lang w:val="es-ES"/>
        </w:rPr>
        <w:t>less</w:t>
      </w:r>
      <w:proofErr w:type="spellEnd"/>
      <w:r>
        <w:rPr>
          <w:rFonts w:eastAsia="Palatino Linotype"/>
          <w:sz w:val="22"/>
          <w:szCs w:val="22"/>
          <w:lang w:val="es-ES"/>
        </w:rPr>
        <w:t xml:space="preserve"> </w:t>
      </w:r>
      <w:proofErr w:type="spellStart"/>
      <w:r>
        <w:rPr>
          <w:rFonts w:eastAsia="Palatino Linotype"/>
          <w:sz w:val="22"/>
          <w:szCs w:val="22"/>
          <w:lang w:val="es-ES"/>
        </w:rPr>
        <w:t>than</w:t>
      </w:r>
      <w:proofErr w:type="spellEnd"/>
      <w:r>
        <w:rPr>
          <w:rFonts w:eastAsia="Palatino Linotype"/>
          <w:sz w:val="22"/>
          <w:szCs w:val="22"/>
          <w:lang w:val="es-ES"/>
        </w:rPr>
        <w:t xml:space="preserve"> </w:t>
      </w:r>
      <w:proofErr w:type="spellStart"/>
      <w:r>
        <w:rPr>
          <w:rFonts w:eastAsia="Palatino Linotype"/>
          <w:sz w:val="22"/>
          <w:szCs w:val="22"/>
          <w:lang w:val="es-ES"/>
        </w:rPr>
        <w:t>the</w:t>
      </w:r>
      <w:proofErr w:type="spellEnd"/>
      <w:r>
        <w:rPr>
          <w:rFonts w:eastAsia="Palatino Linotype"/>
          <w:sz w:val="22"/>
          <w:szCs w:val="22"/>
          <w:lang w:val="es-ES"/>
        </w:rPr>
        <w:t xml:space="preserve"> </w:t>
      </w:r>
      <w:proofErr w:type="spellStart"/>
      <w:r>
        <w:rPr>
          <w:rFonts w:eastAsia="Palatino Linotype"/>
          <w:sz w:val="22"/>
          <w:szCs w:val="22"/>
          <w:lang w:val="es-ES"/>
        </w:rPr>
        <w:t>limit</w:t>
      </w:r>
      <w:proofErr w:type="spellEnd"/>
      <w:r>
        <w:rPr>
          <w:rFonts w:eastAsia="Palatino Linotype"/>
          <w:sz w:val="22"/>
          <w:szCs w:val="22"/>
          <w:lang w:val="es-ES"/>
        </w:rPr>
        <w:t xml:space="preserve"> </w:t>
      </w:r>
      <w:proofErr w:type="spellStart"/>
      <w:r>
        <w:rPr>
          <w:rFonts w:eastAsia="Palatino Linotype"/>
          <w:sz w:val="22"/>
          <w:szCs w:val="22"/>
          <w:lang w:val="es-ES"/>
        </w:rPr>
        <w:t>of</w:t>
      </w:r>
      <w:proofErr w:type="spellEnd"/>
      <w:r>
        <w:rPr>
          <w:rFonts w:eastAsia="Palatino Linotype"/>
          <w:sz w:val="22"/>
          <w:szCs w:val="22"/>
          <w:lang w:val="es-ES"/>
        </w:rPr>
        <w:t xml:space="preserve"> </w:t>
      </w:r>
      <w:proofErr w:type="spellStart"/>
      <w:r>
        <w:rPr>
          <w:rFonts w:eastAsia="Palatino Linotype"/>
          <w:sz w:val="22"/>
          <w:szCs w:val="22"/>
          <w:lang w:val="es-ES"/>
        </w:rPr>
        <w:t>the</w:t>
      </w:r>
      <w:proofErr w:type="spellEnd"/>
      <w:r>
        <w:rPr>
          <w:rFonts w:eastAsia="Palatino Linotype"/>
          <w:sz w:val="22"/>
          <w:szCs w:val="22"/>
          <w:lang w:val="es-ES"/>
        </w:rPr>
        <w:t xml:space="preserve"> </w:t>
      </w:r>
      <w:proofErr w:type="spellStart"/>
      <w:r>
        <w:rPr>
          <w:rFonts w:eastAsia="Palatino Linotype"/>
          <w:sz w:val="22"/>
          <w:szCs w:val="22"/>
          <w:lang w:val="es-ES"/>
        </w:rPr>
        <w:t>abbreviated</w:t>
      </w:r>
      <w:proofErr w:type="spellEnd"/>
      <w:r>
        <w:rPr>
          <w:rFonts w:eastAsia="Palatino Linotype"/>
          <w:sz w:val="22"/>
          <w:szCs w:val="22"/>
          <w:lang w:val="es-ES"/>
        </w:rPr>
        <w:t xml:space="preserve"> tender.</w:t>
      </w:r>
    </w:p>
    <w:p w14:paraId="7D7A4236" w14:textId="77777777" w:rsidR="00E255F4" w:rsidRDefault="00E255F4">
      <w:pPr>
        <w:ind w:right="-142"/>
        <w:jc w:val="both"/>
        <w:rPr>
          <w:rFonts w:eastAsia="Palatino Linotype"/>
          <w:sz w:val="22"/>
          <w:szCs w:val="22"/>
          <w:lang w:val="es-ES"/>
        </w:rPr>
      </w:pPr>
    </w:p>
    <w:p w14:paraId="564B1304" w14:textId="77777777" w:rsidR="00E255F4" w:rsidRDefault="00000000">
      <w:pPr>
        <w:ind w:right="-142"/>
        <w:jc w:val="both"/>
        <w:rPr>
          <w:rFonts w:eastAsia="Palatino Linotype"/>
          <w:sz w:val="22"/>
          <w:szCs w:val="22"/>
          <w:lang w:val="es-ES"/>
        </w:rPr>
      </w:pPr>
      <w:proofErr w:type="spellStart"/>
      <w:r>
        <w:rPr>
          <w:rFonts w:eastAsia="Palatino Linotype"/>
          <w:spacing w:val="-3"/>
          <w:sz w:val="22"/>
          <w:szCs w:val="22"/>
          <w:lang w:val="es-ES"/>
        </w:rPr>
        <w:t>AND</w:t>
      </w:r>
      <w:r>
        <w:rPr>
          <w:rFonts w:eastAsia="Palatino Linotype"/>
          <w:sz w:val="22"/>
          <w:szCs w:val="22"/>
          <w:lang w:val="es-ES"/>
        </w:rPr>
        <w:t>The</w:t>
      </w:r>
      <w:proofErr w:type="spellEnd"/>
      <w:r>
        <w:rPr>
          <w:rFonts w:eastAsia="Palatino Linotype"/>
          <w:sz w:val="22"/>
          <w:szCs w:val="22"/>
          <w:lang w:val="es-ES"/>
        </w:rPr>
        <w:t xml:space="preserve"> Special Tender </w:t>
      </w:r>
      <w:proofErr w:type="spellStart"/>
      <w:r>
        <w:rPr>
          <w:rFonts w:eastAsia="Palatino Linotype"/>
          <w:sz w:val="22"/>
          <w:szCs w:val="22"/>
          <w:lang w:val="es-ES"/>
        </w:rPr>
        <w:t>may</w:t>
      </w:r>
      <w:proofErr w:type="spellEnd"/>
      <w:r>
        <w:rPr>
          <w:rFonts w:eastAsia="Palatino Linotype"/>
          <w:sz w:val="22"/>
          <w:szCs w:val="22"/>
          <w:lang w:val="es-ES"/>
        </w:rPr>
        <w:t xml:space="preserve"> </w:t>
      </w:r>
      <w:proofErr w:type="spellStart"/>
      <w:r>
        <w:rPr>
          <w:rFonts w:eastAsia="Palatino Linotype"/>
          <w:sz w:val="22"/>
          <w:szCs w:val="22"/>
          <w:lang w:val="es-ES"/>
        </w:rPr>
        <w:t>establish</w:t>
      </w:r>
      <w:proofErr w:type="spellEnd"/>
      <w:r>
        <w:rPr>
          <w:rFonts w:eastAsia="Palatino Linotype"/>
          <w:sz w:val="22"/>
          <w:szCs w:val="22"/>
          <w:lang w:val="es-ES"/>
        </w:rPr>
        <w:t xml:space="preserve"> </w:t>
      </w:r>
      <w:proofErr w:type="spellStart"/>
      <w:r>
        <w:rPr>
          <w:rFonts w:eastAsia="Palatino Linotype"/>
          <w:sz w:val="22"/>
          <w:szCs w:val="22"/>
          <w:lang w:val="es-ES"/>
        </w:rPr>
        <w:t>different</w:t>
      </w:r>
      <w:proofErr w:type="spellEnd"/>
      <w:r>
        <w:rPr>
          <w:rFonts w:eastAsia="Palatino Linotype"/>
          <w:sz w:val="22"/>
          <w:szCs w:val="22"/>
          <w:lang w:val="es-ES"/>
        </w:rPr>
        <w:t xml:space="preserve"> </w:t>
      </w:r>
      <w:proofErr w:type="spellStart"/>
      <w:r>
        <w:rPr>
          <w:rFonts w:eastAsia="Palatino Linotype"/>
          <w:sz w:val="22"/>
          <w:szCs w:val="22"/>
          <w:lang w:val="es-ES"/>
        </w:rPr>
        <w:t>guarantees</w:t>
      </w:r>
      <w:proofErr w:type="spellEnd"/>
      <w:r>
        <w:rPr>
          <w:rFonts w:eastAsia="Palatino Linotype"/>
          <w:sz w:val="22"/>
          <w:szCs w:val="22"/>
          <w:lang w:val="es-ES"/>
        </w:rPr>
        <w:t xml:space="preserve"> </w:t>
      </w:r>
      <w:proofErr w:type="spellStart"/>
      <w:r>
        <w:rPr>
          <w:rFonts w:eastAsia="Palatino Linotype"/>
          <w:sz w:val="22"/>
          <w:szCs w:val="22"/>
          <w:lang w:val="es-ES"/>
        </w:rPr>
        <w:t>or</w:t>
      </w:r>
      <w:proofErr w:type="spellEnd"/>
      <w:r>
        <w:rPr>
          <w:rFonts w:eastAsia="Palatino Linotype"/>
          <w:sz w:val="22"/>
          <w:szCs w:val="22"/>
          <w:lang w:val="es-ES"/>
        </w:rPr>
        <w:t xml:space="preserve"> </w:t>
      </w:r>
      <w:proofErr w:type="spellStart"/>
      <w:r>
        <w:rPr>
          <w:rFonts w:eastAsia="Palatino Linotype"/>
          <w:sz w:val="22"/>
          <w:szCs w:val="22"/>
          <w:lang w:val="es-ES"/>
        </w:rPr>
        <w:t>exempt</w:t>
      </w:r>
      <w:proofErr w:type="spellEnd"/>
      <w:r>
        <w:rPr>
          <w:rFonts w:eastAsia="Palatino Linotype"/>
          <w:sz w:val="22"/>
          <w:szCs w:val="22"/>
          <w:lang w:val="es-ES"/>
        </w:rPr>
        <w:t xml:space="preserve"> </w:t>
      </w:r>
      <w:proofErr w:type="spellStart"/>
      <w:r>
        <w:rPr>
          <w:rFonts w:eastAsia="Palatino Linotype"/>
          <w:sz w:val="22"/>
          <w:szCs w:val="22"/>
          <w:lang w:val="es-ES"/>
        </w:rPr>
        <w:t>the</w:t>
      </w:r>
      <w:proofErr w:type="spellEnd"/>
      <w:r>
        <w:rPr>
          <w:rFonts w:eastAsia="Palatino Linotype"/>
          <w:sz w:val="22"/>
          <w:szCs w:val="22"/>
          <w:lang w:val="es-ES"/>
        </w:rPr>
        <w:t xml:space="preserve"> </w:t>
      </w:r>
      <w:proofErr w:type="spellStart"/>
      <w:r>
        <w:rPr>
          <w:rFonts w:eastAsia="Palatino Linotype"/>
          <w:sz w:val="22"/>
          <w:szCs w:val="22"/>
          <w:lang w:val="es-ES"/>
        </w:rPr>
        <w:t>bidder</w:t>
      </w:r>
      <w:proofErr w:type="spellEnd"/>
      <w:r>
        <w:rPr>
          <w:rFonts w:eastAsia="Palatino Linotype"/>
          <w:sz w:val="22"/>
          <w:szCs w:val="22"/>
          <w:lang w:val="es-ES"/>
        </w:rPr>
        <w:t xml:space="preserve"> </w:t>
      </w:r>
      <w:proofErr w:type="spellStart"/>
      <w:r>
        <w:rPr>
          <w:rFonts w:eastAsia="Palatino Linotype"/>
          <w:sz w:val="22"/>
          <w:szCs w:val="22"/>
          <w:lang w:val="es-ES"/>
        </w:rPr>
        <w:t>from</w:t>
      </w:r>
      <w:proofErr w:type="spellEnd"/>
      <w:r>
        <w:rPr>
          <w:rFonts w:eastAsia="Palatino Linotype"/>
          <w:sz w:val="22"/>
          <w:szCs w:val="22"/>
          <w:lang w:val="es-ES"/>
        </w:rPr>
        <w:t xml:space="preserve"> </w:t>
      </w:r>
      <w:proofErr w:type="spellStart"/>
      <w:r>
        <w:rPr>
          <w:rFonts w:eastAsia="Palatino Linotype"/>
          <w:sz w:val="22"/>
          <w:szCs w:val="22"/>
          <w:lang w:val="es-ES"/>
        </w:rPr>
        <w:t>their</w:t>
      </w:r>
      <w:proofErr w:type="spellEnd"/>
      <w:r>
        <w:rPr>
          <w:rFonts w:eastAsia="Palatino Linotype"/>
          <w:sz w:val="22"/>
          <w:szCs w:val="22"/>
          <w:lang w:val="es-ES"/>
        </w:rPr>
        <w:t xml:space="preserve"> </w:t>
      </w:r>
      <w:proofErr w:type="spellStart"/>
      <w:r>
        <w:rPr>
          <w:rFonts w:eastAsia="Palatino Linotype"/>
          <w:sz w:val="22"/>
          <w:szCs w:val="22"/>
          <w:lang w:val="es-ES"/>
        </w:rPr>
        <w:t>constitution</w:t>
      </w:r>
      <w:proofErr w:type="spellEnd"/>
      <w:r>
        <w:rPr>
          <w:rFonts w:eastAsia="Palatino Linotype"/>
          <w:sz w:val="22"/>
          <w:szCs w:val="22"/>
          <w:lang w:val="es-ES"/>
        </w:rPr>
        <w:t xml:space="preserve"> </w:t>
      </w:r>
      <w:proofErr w:type="spellStart"/>
      <w:r>
        <w:rPr>
          <w:rFonts w:eastAsia="Palatino Linotype"/>
          <w:sz w:val="22"/>
          <w:szCs w:val="22"/>
          <w:lang w:val="es-ES"/>
        </w:rPr>
        <w:t>when</w:t>
      </w:r>
      <w:proofErr w:type="spellEnd"/>
      <w:r>
        <w:rPr>
          <w:rFonts w:eastAsia="Palatino Linotype"/>
          <w:sz w:val="22"/>
          <w:szCs w:val="22"/>
          <w:lang w:val="es-ES"/>
        </w:rPr>
        <w:t xml:space="preserve"> </w:t>
      </w:r>
      <w:proofErr w:type="spellStart"/>
      <w:r>
        <w:rPr>
          <w:rFonts w:eastAsia="Palatino Linotype"/>
          <w:sz w:val="22"/>
          <w:szCs w:val="22"/>
          <w:lang w:val="es-ES"/>
        </w:rPr>
        <w:t>this</w:t>
      </w:r>
      <w:proofErr w:type="spellEnd"/>
      <w:r>
        <w:rPr>
          <w:rFonts w:eastAsia="Palatino Linotype"/>
          <w:sz w:val="22"/>
          <w:szCs w:val="22"/>
          <w:lang w:val="es-ES"/>
        </w:rPr>
        <w:t xml:space="preserve"> </w:t>
      </w:r>
      <w:proofErr w:type="spellStart"/>
      <w:r>
        <w:rPr>
          <w:rFonts w:eastAsia="Palatino Linotype"/>
          <w:sz w:val="22"/>
          <w:szCs w:val="22"/>
          <w:lang w:val="es-ES"/>
        </w:rPr>
        <w:t>is</w:t>
      </w:r>
      <w:proofErr w:type="spellEnd"/>
      <w:r>
        <w:rPr>
          <w:rFonts w:eastAsia="Palatino Linotype"/>
          <w:sz w:val="22"/>
          <w:szCs w:val="22"/>
          <w:lang w:val="es-ES"/>
        </w:rPr>
        <w:t xml:space="preserve"> </w:t>
      </w:r>
      <w:proofErr w:type="spellStart"/>
      <w:r>
        <w:rPr>
          <w:rFonts w:eastAsia="Palatino Linotype"/>
          <w:sz w:val="22"/>
          <w:szCs w:val="22"/>
          <w:lang w:val="es-ES"/>
        </w:rPr>
        <w:t>convenient</w:t>
      </w:r>
      <w:proofErr w:type="spellEnd"/>
      <w:r>
        <w:rPr>
          <w:rFonts w:eastAsia="Palatino Linotype"/>
          <w:sz w:val="22"/>
          <w:szCs w:val="22"/>
          <w:lang w:val="es-ES"/>
        </w:rPr>
        <w:t xml:space="preserve"> </w:t>
      </w:r>
      <w:proofErr w:type="spellStart"/>
      <w:r>
        <w:rPr>
          <w:rFonts w:eastAsia="Palatino Linotype"/>
          <w:sz w:val="22"/>
          <w:szCs w:val="22"/>
          <w:lang w:val="es-ES"/>
        </w:rPr>
        <w:t>for</w:t>
      </w:r>
      <w:proofErr w:type="spellEnd"/>
      <w:r>
        <w:rPr>
          <w:rFonts w:eastAsia="Palatino Linotype"/>
          <w:sz w:val="22"/>
          <w:szCs w:val="22"/>
          <w:lang w:val="es-ES"/>
        </w:rPr>
        <w:t xml:space="preserve"> </w:t>
      </w:r>
      <w:proofErr w:type="spellStart"/>
      <w:r>
        <w:rPr>
          <w:rFonts w:eastAsia="Palatino Linotype"/>
          <w:sz w:val="22"/>
          <w:szCs w:val="22"/>
          <w:lang w:val="es-ES"/>
        </w:rPr>
        <w:t>the</w:t>
      </w:r>
      <w:proofErr w:type="spellEnd"/>
      <w:r>
        <w:rPr>
          <w:rFonts w:eastAsia="Palatino Linotype"/>
          <w:sz w:val="22"/>
          <w:szCs w:val="22"/>
          <w:lang w:val="es-ES"/>
        </w:rPr>
        <w:t xml:space="preserve"> </w:t>
      </w:r>
      <w:proofErr w:type="spellStart"/>
      <w:r>
        <w:rPr>
          <w:rFonts w:eastAsia="Palatino Linotype"/>
          <w:sz w:val="22"/>
          <w:szCs w:val="22"/>
          <w:lang w:val="es-ES"/>
        </w:rPr>
        <w:t>Administration</w:t>
      </w:r>
      <w:proofErr w:type="spellEnd"/>
      <w:r>
        <w:rPr>
          <w:rFonts w:eastAsia="Palatino Linotype"/>
          <w:sz w:val="22"/>
          <w:szCs w:val="22"/>
          <w:lang w:val="es-ES"/>
        </w:rPr>
        <w:t>.</w:t>
      </w:r>
    </w:p>
    <w:p w14:paraId="192574F8" w14:textId="77777777" w:rsidR="00E255F4" w:rsidRDefault="00E255F4">
      <w:pPr>
        <w:rPr>
          <w:rFonts w:eastAsia="Palatino Linotype"/>
          <w:sz w:val="22"/>
          <w:szCs w:val="22"/>
          <w:lang w:val="es-ES"/>
        </w:rPr>
      </w:pPr>
    </w:p>
    <w:p w14:paraId="4D0512E1" w14:textId="77777777" w:rsidR="00E255F4" w:rsidRDefault="00000000">
      <w:pPr>
        <w:ind w:left="709" w:right="-142" w:hanging="709"/>
        <w:jc w:val="both"/>
        <w:outlineLvl w:val="0"/>
        <w:rPr>
          <w:rFonts w:eastAsia="Palatino Linotype"/>
          <w:b/>
          <w:spacing w:val="-1"/>
          <w:sz w:val="22"/>
          <w:szCs w:val="22"/>
          <w:lang w:val="es-ES"/>
        </w:rPr>
      </w:pPr>
      <w:bookmarkStart w:id="33" w:name="__RefHeading___Toc225377210"/>
      <w:bookmarkEnd w:id="33"/>
      <w:r>
        <w:rPr>
          <w:rFonts w:eastAsia="Palatino Linotype"/>
          <w:b/>
          <w:spacing w:val="-1"/>
          <w:sz w:val="22"/>
          <w:szCs w:val="22"/>
          <w:lang w:val="es-ES"/>
        </w:rPr>
        <w:t xml:space="preserve">11.1 </w:t>
      </w:r>
      <w:proofErr w:type="spellStart"/>
      <w:r>
        <w:rPr>
          <w:rFonts w:eastAsia="Palatino Linotype"/>
          <w:b/>
          <w:spacing w:val="-1"/>
          <w:sz w:val="22"/>
          <w:szCs w:val="22"/>
          <w:lang w:val="es-ES"/>
        </w:rPr>
        <w:t>Execution</w:t>
      </w:r>
      <w:proofErr w:type="spellEnd"/>
      <w:r>
        <w:rPr>
          <w:rFonts w:eastAsia="Palatino Linotype"/>
          <w:b/>
          <w:spacing w:val="-1"/>
          <w:sz w:val="22"/>
          <w:szCs w:val="22"/>
          <w:lang w:val="es-ES"/>
        </w:rPr>
        <w:tab/>
      </w:r>
    </w:p>
    <w:p w14:paraId="56B211D6" w14:textId="77777777" w:rsidR="00E255F4" w:rsidRDefault="00E255F4">
      <w:pPr>
        <w:ind w:right="-142"/>
        <w:jc w:val="both"/>
        <w:rPr>
          <w:rFonts w:eastAsia="Palatino Linotype"/>
          <w:b/>
          <w:spacing w:val="-1"/>
          <w:sz w:val="22"/>
          <w:szCs w:val="22"/>
          <w:lang w:val="es-ES"/>
        </w:rPr>
      </w:pPr>
    </w:p>
    <w:p w14:paraId="08631F41" w14:textId="77777777" w:rsidR="00E255F4" w:rsidRDefault="00000000">
      <w:pPr>
        <w:ind w:right="-142"/>
        <w:jc w:val="both"/>
        <w:rPr>
          <w:rFonts w:eastAsia="Palatino Linotype"/>
          <w:sz w:val="22"/>
          <w:szCs w:val="22"/>
          <w:lang w:val="es-ES"/>
        </w:rPr>
      </w:pPr>
      <w:proofErr w:type="spellStart"/>
      <w:r>
        <w:rPr>
          <w:rFonts w:eastAsia="Palatino Linotype"/>
          <w:spacing w:val="-1"/>
          <w:sz w:val="22"/>
          <w:szCs w:val="22"/>
          <w:lang w:val="es-ES"/>
        </w:rPr>
        <w:t>L</w:t>
      </w:r>
      <w:r>
        <w:rPr>
          <w:rFonts w:eastAsia="Palatino Linotype"/>
          <w:sz w:val="22"/>
          <w:szCs w:val="22"/>
          <w:lang w:val="es-ES"/>
        </w:rPr>
        <w:t>The</w:t>
      </w:r>
      <w:proofErr w:type="spellEnd"/>
      <w:r>
        <w:rPr>
          <w:rFonts w:eastAsia="Palatino Linotype"/>
          <w:sz w:val="22"/>
          <w:szCs w:val="22"/>
          <w:lang w:val="es-ES"/>
        </w:rPr>
        <w:t xml:space="preserve"> </w:t>
      </w:r>
      <w:proofErr w:type="spellStart"/>
      <w:r>
        <w:rPr>
          <w:rFonts w:eastAsia="Palatino Linotype"/>
          <w:sz w:val="22"/>
          <w:szCs w:val="22"/>
          <w:lang w:val="es-ES"/>
        </w:rPr>
        <w:t>guarantee</w:t>
      </w:r>
      <w:proofErr w:type="spellEnd"/>
      <w:r>
        <w:rPr>
          <w:rFonts w:eastAsia="Palatino Linotype"/>
          <w:sz w:val="22"/>
          <w:szCs w:val="22"/>
          <w:lang w:val="es-ES"/>
        </w:rPr>
        <w:t xml:space="preserve"> </w:t>
      </w:r>
      <w:proofErr w:type="spellStart"/>
      <w:r>
        <w:rPr>
          <w:rFonts w:eastAsia="Palatino Linotype"/>
          <w:sz w:val="22"/>
          <w:szCs w:val="22"/>
          <w:lang w:val="es-ES"/>
        </w:rPr>
        <w:t>may</w:t>
      </w:r>
      <w:proofErr w:type="spellEnd"/>
      <w:r>
        <w:rPr>
          <w:rFonts w:eastAsia="Palatino Linotype"/>
          <w:sz w:val="22"/>
          <w:szCs w:val="22"/>
          <w:lang w:val="es-ES"/>
        </w:rPr>
        <w:t xml:space="preserve"> be </w:t>
      </w:r>
      <w:proofErr w:type="spellStart"/>
      <w:r>
        <w:rPr>
          <w:rFonts w:eastAsia="Palatino Linotype"/>
          <w:sz w:val="22"/>
          <w:szCs w:val="22"/>
          <w:lang w:val="es-ES"/>
        </w:rPr>
        <w:t>enforced</w:t>
      </w:r>
      <w:proofErr w:type="spellEnd"/>
      <w:r>
        <w:rPr>
          <w:rFonts w:eastAsia="Palatino Linotype"/>
          <w:sz w:val="22"/>
          <w:szCs w:val="22"/>
          <w:lang w:val="es-ES"/>
        </w:rPr>
        <w:t>:</w:t>
      </w:r>
    </w:p>
    <w:p w14:paraId="5DB2B24A" w14:textId="77777777" w:rsidR="00E255F4" w:rsidRDefault="00000000">
      <w:pPr>
        <w:numPr>
          <w:ilvl w:val="0"/>
          <w:numId w:val="51"/>
        </w:numPr>
        <w:ind w:left="284" w:right="-142" w:hanging="284"/>
        <w:jc w:val="both"/>
        <w:rPr>
          <w:rFonts w:eastAsia="Palatino Linotype"/>
          <w:spacing w:val="-1"/>
          <w:sz w:val="22"/>
          <w:szCs w:val="22"/>
          <w:lang w:val="es-ES"/>
        </w:rPr>
      </w:pPr>
      <w:proofErr w:type="spellStart"/>
      <w:r>
        <w:rPr>
          <w:rFonts w:eastAsia="Palatino Linotype"/>
          <w:spacing w:val="-1"/>
          <w:sz w:val="22"/>
          <w:szCs w:val="22"/>
          <w:lang w:val="es-ES"/>
        </w:rPr>
        <w:t>When</w:t>
      </w:r>
      <w:r>
        <w:rPr>
          <w:rFonts w:eastAsia="Palatino Linotype"/>
          <w:sz w:val="22"/>
          <w:szCs w:val="22"/>
          <w:lang w:val="es-ES"/>
        </w:rPr>
        <w:t>or</w:t>
      </w:r>
      <w:proofErr w:type="spellEnd"/>
      <w:r>
        <w:rPr>
          <w:rFonts w:eastAsia="Palatino Linotype"/>
          <w:sz w:val="22"/>
          <w:szCs w:val="22"/>
          <w:lang w:val="es-ES"/>
        </w:rPr>
        <w:t xml:space="preserve"> </w:t>
      </w:r>
      <w:proofErr w:type="spellStart"/>
      <w:r>
        <w:rPr>
          <w:rFonts w:eastAsia="Palatino Linotype"/>
          <w:sz w:val="22"/>
          <w:szCs w:val="22"/>
          <w:lang w:val="es-ES"/>
        </w:rPr>
        <w:t>the</w:t>
      </w:r>
      <w:proofErr w:type="spellEnd"/>
      <w:r>
        <w:rPr>
          <w:rFonts w:eastAsia="Palatino Linotype"/>
          <w:sz w:val="22"/>
          <w:szCs w:val="22"/>
          <w:lang w:val="es-ES"/>
        </w:rPr>
        <w:t xml:space="preserve"> </w:t>
      </w:r>
      <w:proofErr w:type="spellStart"/>
      <w:r>
        <w:rPr>
          <w:rFonts w:eastAsia="Palatino Linotype"/>
          <w:sz w:val="22"/>
          <w:szCs w:val="22"/>
          <w:lang w:val="es-ES"/>
        </w:rPr>
        <w:t>bidder</w:t>
      </w:r>
      <w:proofErr w:type="spellEnd"/>
      <w:r>
        <w:rPr>
          <w:rFonts w:eastAsia="Palatino Linotype"/>
          <w:sz w:val="22"/>
          <w:szCs w:val="22"/>
          <w:lang w:val="es-ES"/>
        </w:rPr>
        <w:t xml:space="preserve"> </w:t>
      </w:r>
      <w:proofErr w:type="spellStart"/>
      <w:r>
        <w:rPr>
          <w:rFonts w:eastAsia="Palatino Linotype"/>
          <w:sz w:val="22"/>
          <w:szCs w:val="22"/>
          <w:lang w:val="es-ES"/>
        </w:rPr>
        <w:t>withdraws</w:t>
      </w:r>
      <w:proofErr w:type="spellEnd"/>
      <w:r>
        <w:rPr>
          <w:rFonts w:eastAsia="Palatino Linotype"/>
          <w:sz w:val="22"/>
          <w:szCs w:val="22"/>
          <w:lang w:val="es-ES"/>
        </w:rPr>
        <w:t xml:space="preserve"> </w:t>
      </w:r>
      <w:proofErr w:type="spellStart"/>
      <w:r>
        <w:rPr>
          <w:rFonts w:eastAsia="Palatino Linotype"/>
          <w:sz w:val="22"/>
          <w:szCs w:val="22"/>
          <w:lang w:val="es-ES"/>
        </w:rPr>
        <w:t>their</w:t>
      </w:r>
      <w:proofErr w:type="spellEnd"/>
      <w:r>
        <w:rPr>
          <w:rFonts w:eastAsia="Palatino Linotype"/>
          <w:sz w:val="22"/>
          <w:szCs w:val="22"/>
          <w:lang w:val="es-ES"/>
        </w:rPr>
        <w:t xml:space="preserve"> </w:t>
      </w:r>
      <w:proofErr w:type="spellStart"/>
      <w:r>
        <w:rPr>
          <w:rFonts w:eastAsia="Palatino Linotype"/>
          <w:sz w:val="22"/>
          <w:szCs w:val="22"/>
          <w:lang w:val="es-ES"/>
        </w:rPr>
        <w:t>offer</w:t>
      </w:r>
      <w:proofErr w:type="spellEnd"/>
      <w:r>
        <w:rPr>
          <w:rFonts w:eastAsia="Palatino Linotype"/>
          <w:sz w:val="22"/>
          <w:szCs w:val="22"/>
          <w:lang w:val="es-ES"/>
        </w:rPr>
        <w:t xml:space="preserve"> </w:t>
      </w:r>
      <w:proofErr w:type="spellStart"/>
      <w:r>
        <w:rPr>
          <w:rFonts w:eastAsia="Palatino Linotype"/>
          <w:sz w:val="22"/>
          <w:szCs w:val="22"/>
          <w:lang w:val="es-ES"/>
        </w:rPr>
        <w:t>during</w:t>
      </w:r>
      <w:proofErr w:type="spellEnd"/>
      <w:r>
        <w:rPr>
          <w:rFonts w:eastAsia="Palatino Linotype"/>
          <w:sz w:val="22"/>
          <w:szCs w:val="22"/>
          <w:lang w:val="es-ES"/>
        </w:rPr>
        <w:t xml:space="preserve"> </w:t>
      </w:r>
      <w:proofErr w:type="spellStart"/>
      <w:r>
        <w:rPr>
          <w:rFonts w:eastAsia="Palatino Linotype"/>
          <w:sz w:val="22"/>
          <w:szCs w:val="22"/>
          <w:lang w:val="es-ES"/>
        </w:rPr>
        <w:t>their</w:t>
      </w:r>
      <w:proofErr w:type="spellEnd"/>
      <w:r>
        <w:rPr>
          <w:rFonts w:eastAsia="Palatino Linotype"/>
          <w:sz w:val="22"/>
          <w:szCs w:val="22"/>
          <w:lang w:val="es-ES"/>
        </w:rPr>
        <w:t xml:space="preserve"> </w:t>
      </w:r>
      <w:proofErr w:type="spellStart"/>
      <w:r>
        <w:rPr>
          <w:rFonts w:eastAsia="Palatino Linotype"/>
          <w:sz w:val="22"/>
          <w:szCs w:val="22"/>
          <w:lang w:val="es-ES"/>
        </w:rPr>
        <w:t>maintenance</w:t>
      </w:r>
      <w:proofErr w:type="spellEnd"/>
      <w:r>
        <w:rPr>
          <w:rFonts w:eastAsia="Palatino Linotype"/>
          <w:sz w:val="22"/>
          <w:szCs w:val="22"/>
          <w:lang w:val="es-ES"/>
        </w:rPr>
        <w:t xml:space="preserve"> </w:t>
      </w:r>
      <w:proofErr w:type="spellStart"/>
      <w:r>
        <w:rPr>
          <w:rFonts w:eastAsia="Palatino Linotype"/>
          <w:sz w:val="22"/>
          <w:szCs w:val="22"/>
          <w:lang w:val="es-ES"/>
        </w:rPr>
        <w:t>period</w:t>
      </w:r>
      <w:proofErr w:type="spellEnd"/>
      <w:r>
        <w:rPr>
          <w:rFonts w:eastAsia="Palatino Linotype"/>
          <w:sz w:val="22"/>
          <w:szCs w:val="22"/>
          <w:lang w:val="es-ES"/>
        </w:rPr>
        <w:t>.</w:t>
      </w:r>
    </w:p>
    <w:p w14:paraId="2B6EAB22" w14:textId="77777777" w:rsidR="00E255F4" w:rsidRDefault="00E255F4">
      <w:pPr>
        <w:ind w:left="360" w:right="-142"/>
        <w:jc w:val="both"/>
        <w:rPr>
          <w:rFonts w:eastAsia="Palatino Linotype"/>
          <w:spacing w:val="-1"/>
          <w:sz w:val="22"/>
          <w:szCs w:val="22"/>
          <w:lang w:val="es-ES"/>
        </w:rPr>
      </w:pPr>
    </w:p>
    <w:p w14:paraId="4FA8008E" w14:textId="77777777" w:rsidR="00E255F4" w:rsidRDefault="00000000">
      <w:pPr>
        <w:ind w:right="-142"/>
        <w:jc w:val="both"/>
        <w:rPr>
          <w:rFonts w:eastAsia="Palatino Linotype"/>
          <w:sz w:val="22"/>
          <w:szCs w:val="22"/>
          <w:lang w:val="es-ES"/>
        </w:rPr>
      </w:pPr>
      <w:r>
        <w:rPr>
          <w:rFonts w:eastAsia="Palatino Linotype"/>
          <w:spacing w:val="8"/>
          <w:sz w:val="22"/>
          <w:szCs w:val="22"/>
          <w:lang w:val="es-ES"/>
        </w:rPr>
        <w:t>b</w:t>
      </w:r>
      <w:r>
        <w:rPr>
          <w:rFonts w:eastAsia="Palatino Linotype"/>
          <w:sz w:val="22"/>
          <w:szCs w:val="22"/>
          <w:lang w:val="es-ES"/>
        </w:rPr>
        <w:t xml:space="preserve">) </w:t>
      </w:r>
      <w:proofErr w:type="spellStart"/>
      <w:r>
        <w:rPr>
          <w:rFonts w:eastAsia="Palatino Linotype"/>
          <w:sz w:val="22"/>
          <w:szCs w:val="22"/>
          <w:lang w:val="es-ES"/>
        </w:rPr>
        <w:t>When</w:t>
      </w:r>
      <w:proofErr w:type="spellEnd"/>
      <w:r>
        <w:rPr>
          <w:rFonts w:eastAsia="Palatino Linotype"/>
          <w:sz w:val="22"/>
          <w:szCs w:val="22"/>
          <w:lang w:val="es-ES"/>
        </w:rPr>
        <w:t xml:space="preserve"> </w:t>
      </w:r>
      <w:proofErr w:type="spellStart"/>
      <w:r>
        <w:rPr>
          <w:rFonts w:eastAsia="Palatino Linotype"/>
          <w:sz w:val="22"/>
          <w:szCs w:val="22"/>
          <w:lang w:val="es-ES"/>
        </w:rPr>
        <w:t>the</w:t>
      </w:r>
      <w:proofErr w:type="spellEnd"/>
      <w:r>
        <w:rPr>
          <w:rFonts w:eastAsia="Palatino Linotype"/>
          <w:sz w:val="22"/>
          <w:szCs w:val="22"/>
          <w:lang w:val="es-ES"/>
        </w:rPr>
        <w:t xml:space="preserve"> </w:t>
      </w:r>
      <w:proofErr w:type="spellStart"/>
      <w:r>
        <w:rPr>
          <w:rFonts w:eastAsia="Palatino Linotype"/>
          <w:sz w:val="22"/>
          <w:szCs w:val="22"/>
          <w:lang w:val="es-ES"/>
        </w:rPr>
        <w:t>successful</w:t>
      </w:r>
      <w:proofErr w:type="spellEnd"/>
      <w:r>
        <w:rPr>
          <w:rFonts w:eastAsia="Palatino Linotype"/>
          <w:sz w:val="22"/>
          <w:szCs w:val="22"/>
          <w:lang w:val="es-ES"/>
        </w:rPr>
        <w:t xml:space="preserve"> </w:t>
      </w:r>
      <w:proofErr w:type="spellStart"/>
      <w:r>
        <w:rPr>
          <w:rFonts w:eastAsia="Palatino Linotype"/>
          <w:sz w:val="22"/>
          <w:szCs w:val="22"/>
          <w:lang w:val="es-ES"/>
        </w:rPr>
        <w:t>bidder</w:t>
      </w:r>
      <w:proofErr w:type="spellEnd"/>
      <w:r>
        <w:rPr>
          <w:rFonts w:eastAsia="Palatino Linotype"/>
          <w:sz w:val="22"/>
          <w:szCs w:val="22"/>
          <w:lang w:val="es-ES"/>
        </w:rPr>
        <w:t xml:space="preserve"> </w:t>
      </w:r>
      <w:proofErr w:type="spellStart"/>
      <w:r>
        <w:rPr>
          <w:rFonts w:eastAsia="Palatino Linotype"/>
          <w:sz w:val="22"/>
          <w:szCs w:val="22"/>
          <w:lang w:val="es-ES"/>
        </w:rPr>
        <w:t>does</w:t>
      </w:r>
      <w:proofErr w:type="spellEnd"/>
      <w:r>
        <w:rPr>
          <w:rFonts w:eastAsia="Palatino Linotype"/>
          <w:sz w:val="22"/>
          <w:szCs w:val="22"/>
          <w:lang w:val="es-ES"/>
        </w:rPr>
        <w:t xml:space="preserve"> </w:t>
      </w:r>
      <w:proofErr w:type="spellStart"/>
      <w:r>
        <w:rPr>
          <w:rFonts w:eastAsia="Palatino Linotype"/>
          <w:sz w:val="22"/>
          <w:szCs w:val="22"/>
          <w:lang w:val="es-ES"/>
        </w:rPr>
        <w:t>not</w:t>
      </w:r>
      <w:proofErr w:type="spellEnd"/>
      <w:r>
        <w:rPr>
          <w:rFonts w:eastAsia="Palatino Linotype"/>
          <w:sz w:val="22"/>
          <w:szCs w:val="22"/>
          <w:lang w:val="es-ES"/>
        </w:rPr>
        <w:t xml:space="preserve"> </w:t>
      </w:r>
      <w:proofErr w:type="spellStart"/>
      <w:r>
        <w:rPr>
          <w:rFonts w:eastAsia="Palatino Linotype"/>
          <w:sz w:val="22"/>
          <w:szCs w:val="22"/>
          <w:lang w:val="es-ES"/>
        </w:rPr>
        <w:t>provide</w:t>
      </w:r>
      <w:proofErr w:type="spellEnd"/>
      <w:r>
        <w:rPr>
          <w:rFonts w:eastAsia="Palatino Linotype"/>
          <w:sz w:val="22"/>
          <w:szCs w:val="22"/>
          <w:lang w:val="es-ES"/>
        </w:rPr>
        <w:t xml:space="preserve"> </w:t>
      </w:r>
      <w:proofErr w:type="spellStart"/>
      <w:r>
        <w:rPr>
          <w:rFonts w:eastAsia="Palatino Linotype"/>
          <w:sz w:val="22"/>
          <w:szCs w:val="22"/>
          <w:lang w:val="es-ES"/>
        </w:rPr>
        <w:t>the</w:t>
      </w:r>
      <w:proofErr w:type="spellEnd"/>
      <w:r>
        <w:rPr>
          <w:rFonts w:eastAsia="Palatino Linotype"/>
          <w:sz w:val="22"/>
          <w:szCs w:val="22"/>
          <w:lang w:val="es-ES"/>
        </w:rPr>
        <w:t xml:space="preserve"> </w:t>
      </w:r>
      <w:proofErr w:type="spellStart"/>
      <w:r>
        <w:rPr>
          <w:rFonts w:eastAsia="Palatino Linotype"/>
          <w:sz w:val="22"/>
          <w:szCs w:val="22"/>
          <w:lang w:val="es-ES"/>
        </w:rPr>
        <w:t>guarantee</w:t>
      </w:r>
      <w:proofErr w:type="spellEnd"/>
      <w:r>
        <w:rPr>
          <w:rFonts w:eastAsia="Palatino Linotype"/>
          <w:sz w:val="22"/>
          <w:szCs w:val="22"/>
          <w:lang w:val="es-ES"/>
        </w:rPr>
        <w:t xml:space="preserve"> </w:t>
      </w:r>
      <w:proofErr w:type="spellStart"/>
      <w:r>
        <w:rPr>
          <w:rFonts w:eastAsia="Palatino Linotype"/>
          <w:sz w:val="22"/>
          <w:szCs w:val="22"/>
          <w:lang w:val="es-ES"/>
        </w:rPr>
        <w:t>of</w:t>
      </w:r>
      <w:proofErr w:type="spellEnd"/>
      <w:r>
        <w:rPr>
          <w:rFonts w:eastAsia="Palatino Linotype"/>
          <w:sz w:val="22"/>
          <w:szCs w:val="22"/>
          <w:lang w:val="es-ES"/>
        </w:rPr>
        <w:t xml:space="preserve"> </w:t>
      </w:r>
      <w:proofErr w:type="spellStart"/>
      <w:r>
        <w:rPr>
          <w:rFonts w:eastAsia="Palatino Linotype"/>
          <w:sz w:val="22"/>
          <w:szCs w:val="22"/>
          <w:lang w:val="es-ES"/>
        </w:rPr>
        <w:t>faithful</w:t>
      </w:r>
      <w:proofErr w:type="spellEnd"/>
      <w:r>
        <w:rPr>
          <w:rFonts w:eastAsia="Palatino Linotype"/>
          <w:sz w:val="22"/>
          <w:szCs w:val="22"/>
          <w:lang w:val="es-ES"/>
        </w:rPr>
        <w:t xml:space="preserve"> performance </w:t>
      </w:r>
      <w:proofErr w:type="spellStart"/>
      <w:r>
        <w:rPr>
          <w:rFonts w:eastAsia="Palatino Linotype"/>
          <w:sz w:val="22"/>
          <w:szCs w:val="22"/>
          <w:lang w:val="es-ES"/>
        </w:rPr>
        <w:t>of</w:t>
      </w:r>
      <w:proofErr w:type="spellEnd"/>
      <w:r>
        <w:rPr>
          <w:rFonts w:eastAsia="Palatino Linotype"/>
          <w:sz w:val="22"/>
          <w:szCs w:val="22"/>
          <w:lang w:val="es-ES"/>
        </w:rPr>
        <w:t xml:space="preserve"> </w:t>
      </w:r>
      <w:proofErr w:type="spellStart"/>
      <w:r>
        <w:rPr>
          <w:rFonts w:eastAsia="Palatino Linotype"/>
          <w:sz w:val="22"/>
          <w:szCs w:val="22"/>
          <w:lang w:val="es-ES"/>
        </w:rPr>
        <w:t>the</w:t>
      </w:r>
      <w:proofErr w:type="spellEnd"/>
      <w:r>
        <w:rPr>
          <w:rFonts w:eastAsia="Palatino Linotype"/>
          <w:sz w:val="22"/>
          <w:szCs w:val="22"/>
          <w:lang w:val="es-ES"/>
        </w:rPr>
        <w:t xml:space="preserve"> </w:t>
      </w:r>
      <w:proofErr w:type="spellStart"/>
      <w:r>
        <w:rPr>
          <w:rFonts w:eastAsia="Palatino Linotype"/>
          <w:sz w:val="22"/>
          <w:szCs w:val="22"/>
          <w:lang w:val="es-ES"/>
        </w:rPr>
        <w:t>contract</w:t>
      </w:r>
      <w:proofErr w:type="spellEnd"/>
      <w:r>
        <w:rPr>
          <w:rFonts w:eastAsia="Palatino Linotype"/>
          <w:sz w:val="22"/>
          <w:szCs w:val="22"/>
          <w:lang w:val="es-ES"/>
        </w:rPr>
        <w:t xml:space="preserve"> in a </w:t>
      </w:r>
      <w:proofErr w:type="spellStart"/>
      <w:r>
        <w:rPr>
          <w:rFonts w:eastAsia="Palatino Linotype"/>
          <w:sz w:val="22"/>
          <w:szCs w:val="22"/>
          <w:lang w:val="es-ES"/>
        </w:rPr>
        <w:t>timely</w:t>
      </w:r>
      <w:proofErr w:type="spellEnd"/>
      <w:r>
        <w:rPr>
          <w:rFonts w:eastAsia="Palatino Linotype"/>
          <w:sz w:val="22"/>
          <w:szCs w:val="22"/>
          <w:lang w:val="es-ES"/>
        </w:rPr>
        <w:t xml:space="preserve"> </w:t>
      </w:r>
      <w:proofErr w:type="spellStart"/>
      <w:r>
        <w:rPr>
          <w:rFonts w:eastAsia="Palatino Linotype"/>
          <w:sz w:val="22"/>
          <w:szCs w:val="22"/>
          <w:lang w:val="es-ES"/>
        </w:rPr>
        <w:t>manner</w:t>
      </w:r>
      <w:proofErr w:type="spellEnd"/>
      <w:r>
        <w:rPr>
          <w:rFonts w:eastAsia="Palatino Linotype"/>
          <w:sz w:val="22"/>
          <w:szCs w:val="22"/>
          <w:lang w:val="es-ES"/>
        </w:rPr>
        <w:t xml:space="preserve">, </w:t>
      </w:r>
      <w:proofErr w:type="spellStart"/>
      <w:r>
        <w:rPr>
          <w:rFonts w:eastAsia="Palatino Linotype"/>
          <w:sz w:val="22"/>
          <w:szCs w:val="22"/>
          <w:lang w:val="es-ES"/>
        </w:rPr>
        <w:t>when</w:t>
      </w:r>
      <w:proofErr w:type="spellEnd"/>
      <w:r>
        <w:rPr>
          <w:rFonts w:eastAsia="Palatino Linotype"/>
          <w:sz w:val="22"/>
          <w:szCs w:val="22"/>
          <w:lang w:val="es-ES"/>
        </w:rPr>
        <w:t xml:space="preserve"> </w:t>
      </w:r>
      <w:proofErr w:type="spellStart"/>
      <w:r>
        <w:rPr>
          <w:rFonts w:eastAsia="Palatino Linotype"/>
          <w:sz w:val="22"/>
          <w:szCs w:val="22"/>
          <w:lang w:val="es-ES"/>
        </w:rPr>
        <w:t>applicable</w:t>
      </w:r>
      <w:proofErr w:type="spellEnd"/>
      <w:r>
        <w:rPr>
          <w:rFonts w:eastAsia="Palatino Linotype"/>
          <w:sz w:val="22"/>
          <w:szCs w:val="22"/>
          <w:lang w:val="es-ES"/>
        </w:rPr>
        <w:t>.</w:t>
      </w:r>
    </w:p>
    <w:p w14:paraId="7B2A332E" w14:textId="77777777" w:rsidR="00E255F4" w:rsidRDefault="00E255F4">
      <w:pPr>
        <w:ind w:right="-142"/>
        <w:jc w:val="both"/>
        <w:rPr>
          <w:rFonts w:eastAsia="Palatino Linotype"/>
          <w:sz w:val="22"/>
          <w:szCs w:val="22"/>
          <w:lang w:val="es-ES"/>
        </w:rPr>
      </w:pPr>
    </w:p>
    <w:p w14:paraId="1CFA659F" w14:textId="77777777" w:rsidR="00E255F4" w:rsidRDefault="00000000">
      <w:pPr>
        <w:ind w:right="-142"/>
        <w:jc w:val="both"/>
        <w:rPr>
          <w:rFonts w:eastAsia="Palatino Linotype"/>
          <w:sz w:val="22"/>
          <w:szCs w:val="22"/>
          <w:lang w:val="es-ES"/>
        </w:rPr>
      </w:pPr>
      <w:r>
        <w:rPr>
          <w:rFonts w:eastAsia="Palatino Linotype"/>
          <w:spacing w:val="-1"/>
          <w:sz w:val="22"/>
          <w:szCs w:val="22"/>
          <w:lang w:val="es-ES"/>
        </w:rPr>
        <w:t>c</w:t>
      </w:r>
      <w:r>
        <w:rPr>
          <w:rFonts w:eastAsia="Palatino Linotype"/>
          <w:sz w:val="22"/>
          <w:szCs w:val="22"/>
          <w:lang w:val="es-ES"/>
        </w:rPr>
        <w:t xml:space="preserve">) </w:t>
      </w:r>
      <w:proofErr w:type="spellStart"/>
      <w:r>
        <w:rPr>
          <w:rFonts w:eastAsia="Palatino Linotype"/>
          <w:sz w:val="22"/>
          <w:szCs w:val="22"/>
          <w:lang w:val="es-ES"/>
        </w:rPr>
        <w:t>When</w:t>
      </w:r>
      <w:proofErr w:type="spellEnd"/>
      <w:r>
        <w:rPr>
          <w:rFonts w:eastAsia="Palatino Linotype"/>
          <w:sz w:val="22"/>
          <w:szCs w:val="22"/>
          <w:lang w:val="es-ES"/>
        </w:rPr>
        <w:t xml:space="preserve"> </w:t>
      </w:r>
      <w:proofErr w:type="spellStart"/>
      <w:r>
        <w:rPr>
          <w:rFonts w:eastAsia="Palatino Linotype"/>
          <w:sz w:val="22"/>
          <w:szCs w:val="22"/>
          <w:lang w:val="es-ES"/>
        </w:rPr>
        <w:t>the</w:t>
      </w:r>
      <w:proofErr w:type="spellEnd"/>
      <w:r>
        <w:rPr>
          <w:rFonts w:eastAsia="Palatino Linotype"/>
          <w:sz w:val="22"/>
          <w:szCs w:val="22"/>
          <w:lang w:val="es-ES"/>
        </w:rPr>
        <w:t xml:space="preserve"> </w:t>
      </w:r>
      <w:proofErr w:type="spellStart"/>
      <w:r>
        <w:rPr>
          <w:rFonts w:eastAsia="Palatino Linotype"/>
          <w:sz w:val="22"/>
          <w:szCs w:val="22"/>
          <w:lang w:val="es-ES"/>
        </w:rPr>
        <w:t>successful</w:t>
      </w:r>
      <w:proofErr w:type="spellEnd"/>
      <w:r>
        <w:rPr>
          <w:rFonts w:eastAsia="Palatino Linotype"/>
          <w:sz w:val="22"/>
          <w:szCs w:val="22"/>
          <w:lang w:val="es-ES"/>
        </w:rPr>
        <w:t xml:space="preserve"> </w:t>
      </w:r>
      <w:proofErr w:type="spellStart"/>
      <w:r>
        <w:rPr>
          <w:rFonts w:eastAsia="Palatino Linotype"/>
          <w:sz w:val="22"/>
          <w:szCs w:val="22"/>
          <w:lang w:val="es-ES"/>
        </w:rPr>
        <w:t>bidder</w:t>
      </w:r>
      <w:proofErr w:type="spellEnd"/>
      <w:r>
        <w:rPr>
          <w:rFonts w:eastAsia="Palatino Linotype"/>
          <w:sz w:val="22"/>
          <w:szCs w:val="22"/>
          <w:lang w:val="es-ES"/>
        </w:rPr>
        <w:t xml:space="preserve"> </w:t>
      </w:r>
      <w:proofErr w:type="spellStart"/>
      <w:r>
        <w:rPr>
          <w:rFonts w:eastAsia="Palatino Linotype"/>
          <w:sz w:val="22"/>
          <w:szCs w:val="22"/>
          <w:lang w:val="es-ES"/>
        </w:rPr>
        <w:t>refuses</w:t>
      </w:r>
      <w:proofErr w:type="spellEnd"/>
      <w:r>
        <w:rPr>
          <w:rFonts w:eastAsia="Palatino Linotype"/>
          <w:sz w:val="22"/>
          <w:szCs w:val="22"/>
          <w:lang w:val="es-ES"/>
        </w:rPr>
        <w:t xml:space="preserve"> </w:t>
      </w:r>
      <w:proofErr w:type="spellStart"/>
      <w:r>
        <w:rPr>
          <w:rFonts w:eastAsia="Palatino Linotype"/>
          <w:sz w:val="22"/>
          <w:szCs w:val="22"/>
          <w:lang w:val="es-ES"/>
        </w:rPr>
        <w:t>or</w:t>
      </w:r>
      <w:proofErr w:type="spellEnd"/>
      <w:r>
        <w:rPr>
          <w:rFonts w:eastAsia="Palatino Linotype"/>
          <w:sz w:val="22"/>
          <w:szCs w:val="22"/>
          <w:lang w:val="es-ES"/>
        </w:rPr>
        <w:t xml:space="preserve"> </w:t>
      </w:r>
      <w:proofErr w:type="spellStart"/>
      <w:r>
        <w:rPr>
          <w:rFonts w:eastAsia="Palatino Linotype"/>
          <w:sz w:val="22"/>
          <w:szCs w:val="22"/>
          <w:lang w:val="es-ES"/>
        </w:rPr>
        <w:t>fails</w:t>
      </w:r>
      <w:proofErr w:type="spellEnd"/>
      <w:r>
        <w:rPr>
          <w:rFonts w:eastAsia="Palatino Linotype"/>
          <w:sz w:val="22"/>
          <w:szCs w:val="22"/>
          <w:lang w:val="es-ES"/>
        </w:rPr>
        <w:t xml:space="preserve"> </w:t>
      </w:r>
      <w:proofErr w:type="spellStart"/>
      <w:r>
        <w:rPr>
          <w:rFonts w:eastAsia="Palatino Linotype"/>
          <w:sz w:val="22"/>
          <w:szCs w:val="22"/>
          <w:lang w:val="es-ES"/>
        </w:rPr>
        <w:t>to</w:t>
      </w:r>
      <w:proofErr w:type="spellEnd"/>
      <w:r>
        <w:rPr>
          <w:rFonts w:eastAsia="Palatino Linotype"/>
          <w:sz w:val="22"/>
          <w:szCs w:val="22"/>
          <w:lang w:val="es-ES"/>
        </w:rPr>
        <w:t xml:space="preserve"> </w:t>
      </w:r>
      <w:proofErr w:type="spellStart"/>
      <w:r>
        <w:rPr>
          <w:rFonts w:eastAsia="Palatino Linotype"/>
          <w:sz w:val="22"/>
          <w:szCs w:val="22"/>
          <w:lang w:val="es-ES"/>
        </w:rPr>
        <w:t>appear</w:t>
      </w:r>
      <w:proofErr w:type="spellEnd"/>
      <w:r>
        <w:rPr>
          <w:rFonts w:eastAsia="Palatino Linotype"/>
          <w:sz w:val="22"/>
          <w:szCs w:val="22"/>
          <w:lang w:val="es-ES"/>
        </w:rPr>
        <w:t xml:space="preserve"> </w:t>
      </w:r>
      <w:proofErr w:type="spellStart"/>
      <w:r>
        <w:rPr>
          <w:rFonts w:eastAsia="Palatino Linotype"/>
          <w:sz w:val="22"/>
          <w:szCs w:val="22"/>
          <w:lang w:val="es-ES"/>
        </w:rPr>
        <w:t>to</w:t>
      </w:r>
      <w:proofErr w:type="spellEnd"/>
      <w:r>
        <w:rPr>
          <w:rFonts w:eastAsia="Palatino Linotype"/>
          <w:sz w:val="22"/>
          <w:szCs w:val="22"/>
          <w:lang w:val="es-ES"/>
        </w:rPr>
        <w:t xml:space="preserve"> </w:t>
      </w:r>
      <w:proofErr w:type="spellStart"/>
      <w:r>
        <w:rPr>
          <w:rFonts w:eastAsia="Palatino Linotype"/>
          <w:sz w:val="22"/>
          <w:szCs w:val="22"/>
          <w:lang w:val="es-ES"/>
        </w:rPr>
        <w:t>sign</w:t>
      </w:r>
      <w:proofErr w:type="spellEnd"/>
      <w:r>
        <w:rPr>
          <w:rFonts w:eastAsia="Palatino Linotype"/>
          <w:sz w:val="22"/>
          <w:szCs w:val="22"/>
          <w:lang w:val="es-ES"/>
        </w:rPr>
        <w:t xml:space="preserve"> </w:t>
      </w:r>
      <w:proofErr w:type="spellStart"/>
      <w:r>
        <w:rPr>
          <w:rFonts w:eastAsia="Palatino Linotype"/>
          <w:sz w:val="22"/>
          <w:szCs w:val="22"/>
          <w:lang w:val="es-ES"/>
        </w:rPr>
        <w:t>the</w:t>
      </w:r>
      <w:proofErr w:type="spellEnd"/>
      <w:r>
        <w:rPr>
          <w:rFonts w:eastAsia="Palatino Linotype"/>
          <w:sz w:val="22"/>
          <w:szCs w:val="22"/>
          <w:lang w:val="es-ES"/>
        </w:rPr>
        <w:t xml:space="preserve"> </w:t>
      </w:r>
      <w:proofErr w:type="spellStart"/>
      <w:r>
        <w:rPr>
          <w:rFonts w:eastAsia="Palatino Linotype"/>
          <w:sz w:val="22"/>
          <w:szCs w:val="22"/>
          <w:lang w:val="es-ES"/>
        </w:rPr>
        <w:t>contract</w:t>
      </w:r>
      <w:proofErr w:type="spellEnd"/>
      <w:r>
        <w:rPr>
          <w:rFonts w:eastAsia="Palatino Linotype"/>
          <w:sz w:val="22"/>
          <w:szCs w:val="22"/>
          <w:lang w:val="es-ES"/>
        </w:rPr>
        <w:t xml:space="preserve">, </w:t>
      </w:r>
      <w:proofErr w:type="spellStart"/>
      <w:r>
        <w:rPr>
          <w:rFonts w:eastAsia="Palatino Linotype"/>
          <w:sz w:val="22"/>
          <w:szCs w:val="22"/>
          <w:lang w:val="es-ES"/>
        </w:rPr>
        <w:t>having</w:t>
      </w:r>
      <w:proofErr w:type="spellEnd"/>
      <w:r>
        <w:rPr>
          <w:rFonts w:eastAsia="Palatino Linotype"/>
          <w:sz w:val="22"/>
          <w:szCs w:val="22"/>
          <w:lang w:val="es-ES"/>
        </w:rPr>
        <w:t xml:space="preserve"> </w:t>
      </w:r>
      <w:proofErr w:type="spellStart"/>
      <w:r>
        <w:rPr>
          <w:rFonts w:eastAsia="Palatino Linotype"/>
          <w:sz w:val="22"/>
          <w:szCs w:val="22"/>
          <w:lang w:val="es-ES"/>
        </w:rPr>
        <w:t>been</w:t>
      </w:r>
      <w:proofErr w:type="spellEnd"/>
      <w:r>
        <w:rPr>
          <w:rFonts w:eastAsia="Palatino Linotype"/>
          <w:sz w:val="22"/>
          <w:szCs w:val="22"/>
          <w:lang w:val="es-ES"/>
        </w:rPr>
        <w:t xml:space="preserve"> </w:t>
      </w:r>
      <w:proofErr w:type="spellStart"/>
      <w:r>
        <w:rPr>
          <w:rFonts w:eastAsia="Palatino Linotype"/>
          <w:sz w:val="22"/>
          <w:szCs w:val="22"/>
          <w:lang w:val="es-ES"/>
        </w:rPr>
        <w:t>notified</w:t>
      </w:r>
      <w:proofErr w:type="spellEnd"/>
      <w:r>
        <w:rPr>
          <w:rFonts w:eastAsia="Palatino Linotype"/>
          <w:sz w:val="22"/>
          <w:szCs w:val="22"/>
          <w:lang w:val="es-ES"/>
        </w:rPr>
        <w:t xml:space="preserve"> </w:t>
      </w:r>
      <w:proofErr w:type="spellStart"/>
      <w:r>
        <w:rPr>
          <w:rFonts w:eastAsia="Palatino Linotype"/>
          <w:sz w:val="22"/>
          <w:szCs w:val="22"/>
          <w:lang w:val="es-ES"/>
        </w:rPr>
        <w:t>to</w:t>
      </w:r>
      <w:proofErr w:type="spellEnd"/>
      <w:r>
        <w:rPr>
          <w:rFonts w:eastAsia="Palatino Linotype"/>
          <w:sz w:val="22"/>
          <w:szCs w:val="22"/>
          <w:lang w:val="es-ES"/>
        </w:rPr>
        <w:t xml:space="preserve"> do so.</w:t>
      </w:r>
    </w:p>
    <w:p w14:paraId="4D194C9E" w14:textId="77777777" w:rsidR="00E255F4" w:rsidRDefault="00E255F4">
      <w:pPr>
        <w:rPr>
          <w:rFonts w:eastAsia="Palatino Linotype"/>
          <w:sz w:val="22"/>
          <w:szCs w:val="22"/>
          <w:lang w:val="es-ES"/>
        </w:rPr>
      </w:pPr>
    </w:p>
    <w:p w14:paraId="5E9D2AA7" w14:textId="77777777" w:rsidR="00E255F4" w:rsidRDefault="00000000">
      <w:pPr>
        <w:ind w:right="-142"/>
        <w:jc w:val="both"/>
        <w:outlineLvl w:val="0"/>
        <w:rPr>
          <w:rFonts w:eastAsia="Palatino Linotype"/>
          <w:b/>
          <w:spacing w:val="-1"/>
          <w:sz w:val="22"/>
          <w:szCs w:val="22"/>
          <w:lang w:val="es-ES"/>
        </w:rPr>
      </w:pPr>
      <w:bookmarkStart w:id="34" w:name="__RefHeading___Toc225377211"/>
      <w:bookmarkEnd w:id="34"/>
      <w:r>
        <w:rPr>
          <w:rFonts w:eastAsia="Palatino Linotype"/>
          <w:b/>
          <w:spacing w:val="-1"/>
          <w:sz w:val="22"/>
          <w:szCs w:val="22"/>
          <w:lang w:val="es-ES"/>
        </w:rPr>
        <w:t xml:space="preserve">11.2 </w:t>
      </w:r>
      <w:proofErr w:type="spellStart"/>
      <w:r>
        <w:rPr>
          <w:rFonts w:eastAsia="Palatino Linotype"/>
          <w:b/>
          <w:spacing w:val="-1"/>
          <w:sz w:val="22"/>
          <w:szCs w:val="22"/>
          <w:lang w:val="es-ES"/>
        </w:rPr>
        <w:t>Application</w:t>
      </w:r>
      <w:proofErr w:type="spellEnd"/>
      <w:r>
        <w:rPr>
          <w:rFonts w:eastAsia="Palatino Linotype"/>
          <w:b/>
          <w:spacing w:val="-1"/>
          <w:sz w:val="22"/>
          <w:szCs w:val="22"/>
          <w:lang w:val="es-ES"/>
        </w:rPr>
        <w:t xml:space="preserve"> </w:t>
      </w:r>
      <w:proofErr w:type="spellStart"/>
      <w:r>
        <w:rPr>
          <w:rFonts w:eastAsia="Palatino Linotype"/>
          <w:b/>
          <w:spacing w:val="-1"/>
          <w:sz w:val="22"/>
          <w:szCs w:val="22"/>
          <w:lang w:val="es-ES"/>
        </w:rPr>
        <w:t>of</w:t>
      </w:r>
      <w:proofErr w:type="spellEnd"/>
      <w:r>
        <w:rPr>
          <w:rFonts w:eastAsia="Palatino Linotype"/>
          <w:b/>
          <w:spacing w:val="-1"/>
          <w:sz w:val="22"/>
          <w:szCs w:val="22"/>
          <w:lang w:val="es-ES"/>
        </w:rPr>
        <w:t xml:space="preserve"> fine</w:t>
      </w:r>
      <w:r>
        <w:rPr>
          <w:rFonts w:eastAsia="Palatino Linotype"/>
          <w:b/>
          <w:spacing w:val="-1"/>
          <w:sz w:val="22"/>
          <w:szCs w:val="22"/>
          <w:lang w:val="es-ES"/>
        </w:rPr>
        <w:tab/>
      </w:r>
    </w:p>
    <w:p w14:paraId="4E7A4007" w14:textId="77777777" w:rsidR="00E255F4" w:rsidRDefault="00E255F4">
      <w:pPr>
        <w:ind w:right="-142"/>
        <w:jc w:val="both"/>
        <w:rPr>
          <w:rFonts w:eastAsia="Palatino Linotype"/>
          <w:b/>
          <w:spacing w:val="-1"/>
          <w:sz w:val="22"/>
          <w:szCs w:val="22"/>
          <w:lang w:val="es-ES"/>
        </w:rPr>
      </w:pPr>
    </w:p>
    <w:p w14:paraId="42F733F2" w14:textId="77777777" w:rsidR="00E255F4" w:rsidRDefault="00000000">
      <w:pPr>
        <w:ind w:right="-142"/>
        <w:jc w:val="both"/>
        <w:rPr>
          <w:rFonts w:eastAsia="Palatino Linotype"/>
          <w:sz w:val="22"/>
          <w:szCs w:val="22"/>
          <w:lang w:val="es-ES"/>
        </w:rPr>
      </w:pPr>
      <w:proofErr w:type="spellStart"/>
      <w:r>
        <w:rPr>
          <w:rFonts w:eastAsia="Palatino Linotype"/>
          <w:spacing w:val="-1"/>
          <w:sz w:val="22"/>
          <w:szCs w:val="22"/>
          <w:lang w:val="es-ES"/>
        </w:rPr>
        <w:t>AND</w:t>
      </w:r>
      <w:r>
        <w:rPr>
          <w:rFonts w:eastAsia="Palatino Linotype"/>
          <w:sz w:val="22"/>
          <w:szCs w:val="22"/>
          <w:lang w:val="es-ES"/>
        </w:rPr>
        <w:t>If</w:t>
      </w:r>
      <w:proofErr w:type="spellEnd"/>
      <w:r>
        <w:rPr>
          <w:rFonts w:eastAsia="Palatino Linotype"/>
          <w:sz w:val="22"/>
          <w:szCs w:val="22"/>
          <w:lang w:val="es-ES"/>
        </w:rPr>
        <w:t xml:space="preserve"> </w:t>
      </w:r>
      <w:proofErr w:type="spellStart"/>
      <w:r>
        <w:rPr>
          <w:rFonts w:eastAsia="Palatino Linotype"/>
          <w:sz w:val="22"/>
          <w:szCs w:val="22"/>
          <w:lang w:val="es-ES"/>
        </w:rPr>
        <w:t>the</w:t>
      </w:r>
      <w:proofErr w:type="spellEnd"/>
      <w:r>
        <w:rPr>
          <w:rFonts w:eastAsia="Palatino Linotype"/>
          <w:sz w:val="22"/>
          <w:szCs w:val="22"/>
          <w:lang w:val="es-ES"/>
        </w:rPr>
        <w:t xml:space="preserve"> </w:t>
      </w:r>
      <w:proofErr w:type="spellStart"/>
      <w:r>
        <w:rPr>
          <w:rFonts w:eastAsia="Palatino Linotype"/>
          <w:sz w:val="22"/>
          <w:szCs w:val="22"/>
          <w:lang w:val="es-ES"/>
        </w:rPr>
        <w:t>bidder</w:t>
      </w:r>
      <w:proofErr w:type="spellEnd"/>
      <w:r>
        <w:rPr>
          <w:rFonts w:eastAsia="Palatino Linotype"/>
          <w:sz w:val="22"/>
          <w:szCs w:val="22"/>
          <w:lang w:val="es-ES"/>
        </w:rPr>
        <w:t xml:space="preserve"> </w:t>
      </w:r>
      <w:proofErr w:type="spellStart"/>
      <w:r>
        <w:rPr>
          <w:rFonts w:eastAsia="Palatino Linotype"/>
          <w:sz w:val="22"/>
          <w:szCs w:val="22"/>
          <w:lang w:val="es-ES"/>
        </w:rPr>
        <w:t>chooses</w:t>
      </w:r>
      <w:proofErr w:type="spellEnd"/>
      <w:r>
        <w:rPr>
          <w:rFonts w:eastAsia="Palatino Linotype"/>
          <w:sz w:val="22"/>
          <w:szCs w:val="22"/>
          <w:lang w:val="es-ES"/>
        </w:rPr>
        <w:t xml:space="preserve"> </w:t>
      </w:r>
      <w:proofErr w:type="spellStart"/>
      <w:r>
        <w:rPr>
          <w:rFonts w:eastAsia="Palatino Linotype"/>
          <w:sz w:val="22"/>
          <w:szCs w:val="22"/>
          <w:lang w:val="es-ES"/>
        </w:rPr>
        <w:t>not</w:t>
      </w:r>
      <w:proofErr w:type="spellEnd"/>
      <w:r>
        <w:rPr>
          <w:rFonts w:eastAsia="Palatino Linotype"/>
          <w:sz w:val="22"/>
          <w:szCs w:val="22"/>
          <w:lang w:val="es-ES"/>
        </w:rPr>
        <w:t xml:space="preserve"> </w:t>
      </w:r>
      <w:proofErr w:type="spellStart"/>
      <w:r>
        <w:rPr>
          <w:rFonts w:eastAsia="Palatino Linotype"/>
          <w:sz w:val="22"/>
          <w:szCs w:val="22"/>
          <w:lang w:val="es-ES"/>
        </w:rPr>
        <w:t>to</w:t>
      </w:r>
      <w:proofErr w:type="spellEnd"/>
      <w:r>
        <w:rPr>
          <w:rFonts w:eastAsia="Palatino Linotype"/>
          <w:sz w:val="22"/>
          <w:szCs w:val="22"/>
          <w:lang w:val="es-ES"/>
        </w:rPr>
        <w:t xml:space="preserve"> </w:t>
      </w:r>
      <w:proofErr w:type="spellStart"/>
      <w:r>
        <w:rPr>
          <w:rFonts w:eastAsia="Palatino Linotype"/>
          <w:sz w:val="22"/>
          <w:szCs w:val="22"/>
          <w:lang w:val="es-ES"/>
        </w:rPr>
        <w:t>provide</w:t>
      </w:r>
      <w:proofErr w:type="spellEnd"/>
      <w:r>
        <w:rPr>
          <w:rFonts w:eastAsia="Palatino Linotype"/>
          <w:sz w:val="22"/>
          <w:szCs w:val="22"/>
          <w:lang w:val="es-ES"/>
        </w:rPr>
        <w:t xml:space="preserve"> </w:t>
      </w:r>
      <w:proofErr w:type="spellStart"/>
      <w:r>
        <w:rPr>
          <w:rFonts w:eastAsia="Palatino Linotype"/>
          <w:sz w:val="22"/>
          <w:szCs w:val="22"/>
          <w:lang w:val="es-ES"/>
        </w:rPr>
        <w:t>the</w:t>
      </w:r>
      <w:proofErr w:type="spellEnd"/>
      <w:r>
        <w:rPr>
          <w:rFonts w:eastAsia="Palatino Linotype"/>
          <w:sz w:val="22"/>
          <w:szCs w:val="22"/>
          <w:lang w:val="es-ES"/>
        </w:rPr>
        <w:t xml:space="preserve"> </w:t>
      </w:r>
      <w:proofErr w:type="spellStart"/>
      <w:r>
        <w:rPr>
          <w:rFonts w:eastAsia="Palatino Linotype"/>
          <w:sz w:val="22"/>
          <w:szCs w:val="22"/>
          <w:lang w:val="es-ES"/>
        </w:rPr>
        <w:t>bid</w:t>
      </w:r>
      <w:proofErr w:type="spellEnd"/>
      <w:r>
        <w:rPr>
          <w:rFonts w:eastAsia="Palatino Linotype"/>
          <w:sz w:val="22"/>
          <w:szCs w:val="22"/>
          <w:lang w:val="es-ES"/>
        </w:rPr>
        <w:t xml:space="preserve"> </w:t>
      </w:r>
      <w:proofErr w:type="spellStart"/>
      <w:r>
        <w:rPr>
          <w:rFonts w:eastAsia="Palatino Linotype"/>
          <w:sz w:val="22"/>
          <w:szCs w:val="22"/>
          <w:lang w:val="es-ES"/>
        </w:rPr>
        <w:t>security</w:t>
      </w:r>
      <w:proofErr w:type="spellEnd"/>
      <w:r>
        <w:rPr>
          <w:rFonts w:eastAsia="Palatino Linotype"/>
          <w:sz w:val="22"/>
          <w:szCs w:val="22"/>
          <w:lang w:val="es-ES"/>
        </w:rPr>
        <w:t xml:space="preserve">, </w:t>
      </w:r>
      <w:proofErr w:type="spellStart"/>
      <w:r>
        <w:rPr>
          <w:rFonts w:eastAsia="Palatino Linotype"/>
          <w:sz w:val="22"/>
          <w:szCs w:val="22"/>
          <w:lang w:val="es-ES"/>
        </w:rPr>
        <w:t>under</w:t>
      </w:r>
      <w:proofErr w:type="spellEnd"/>
      <w:r>
        <w:rPr>
          <w:rFonts w:eastAsia="Palatino Linotype"/>
          <w:sz w:val="22"/>
          <w:szCs w:val="22"/>
          <w:lang w:val="es-ES"/>
        </w:rPr>
        <w:t xml:space="preserve"> </w:t>
      </w:r>
      <w:proofErr w:type="spellStart"/>
      <w:r>
        <w:rPr>
          <w:rFonts w:eastAsia="Palatino Linotype"/>
          <w:sz w:val="22"/>
          <w:szCs w:val="22"/>
          <w:lang w:val="es-ES"/>
        </w:rPr>
        <w:t>the</w:t>
      </w:r>
      <w:proofErr w:type="spellEnd"/>
      <w:r>
        <w:rPr>
          <w:rFonts w:eastAsia="Palatino Linotype"/>
          <w:sz w:val="22"/>
          <w:szCs w:val="22"/>
          <w:lang w:val="es-ES"/>
        </w:rPr>
        <w:t xml:space="preserve"> </w:t>
      </w:r>
      <w:proofErr w:type="spellStart"/>
      <w:r>
        <w:rPr>
          <w:rFonts w:eastAsia="Palatino Linotype"/>
          <w:sz w:val="22"/>
          <w:szCs w:val="22"/>
          <w:lang w:val="es-ES"/>
        </w:rPr>
        <w:t>same</w:t>
      </w:r>
      <w:proofErr w:type="spellEnd"/>
      <w:r>
        <w:rPr>
          <w:rFonts w:eastAsia="Palatino Linotype"/>
          <w:sz w:val="22"/>
          <w:szCs w:val="22"/>
          <w:lang w:val="es-ES"/>
        </w:rPr>
        <w:t xml:space="preserve"> </w:t>
      </w:r>
      <w:proofErr w:type="spellStart"/>
      <w:r>
        <w:rPr>
          <w:rFonts w:eastAsia="Palatino Linotype"/>
          <w:sz w:val="22"/>
          <w:szCs w:val="22"/>
          <w:lang w:val="es-ES"/>
        </w:rPr>
        <w:t>conditions</w:t>
      </w:r>
      <w:proofErr w:type="spellEnd"/>
      <w:r>
        <w:rPr>
          <w:rFonts w:eastAsia="Palatino Linotype"/>
          <w:sz w:val="22"/>
          <w:szCs w:val="22"/>
          <w:lang w:val="es-ES"/>
        </w:rPr>
        <w:t xml:space="preserve"> as in </w:t>
      </w:r>
      <w:proofErr w:type="spellStart"/>
      <w:r>
        <w:rPr>
          <w:rFonts w:eastAsia="Palatino Linotype"/>
          <w:sz w:val="22"/>
          <w:szCs w:val="22"/>
          <w:lang w:val="es-ES"/>
        </w:rPr>
        <w:t>the</w:t>
      </w:r>
      <w:proofErr w:type="spellEnd"/>
      <w:r>
        <w:rPr>
          <w:rFonts w:eastAsia="Palatino Linotype"/>
          <w:sz w:val="22"/>
          <w:szCs w:val="22"/>
          <w:lang w:val="es-ES"/>
        </w:rPr>
        <w:t xml:space="preserve"> </w:t>
      </w:r>
      <w:proofErr w:type="spellStart"/>
      <w:r>
        <w:rPr>
          <w:rFonts w:eastAsia="Palatino Linotype"/>
          <w:sz w:val="22"/>
          <w:szCs w:val="22"/>
          <w:lang w:val="es-ES"/>
        </w:rPr>
        <w:t>preceding</w:t>
      </w:r>
      <w:proofErr w:type="spellEnd"/>
      <w:r>
        <w:rPr>
          <w:rFonts w:eastAsia="Palatino Linotype"/>
          <w:sz w:val="22"/>
          <w:szCs w:val="22"/>
          <w:lang w:val="es-ES"/>
        </w:rPr>
        <w:t xml:space="preserve"> </w:t>
      </w:r>
      <w:proofErr w:type="spellStart"/>
      <w:r>
        <w:rPr>
          <w:rFonts w:eastAsia="Palatino Linotype"/>
          <w:sz w:val="22"/>
          <w:szCs w:val="22"/>
          <w:lang w:val="es-ES"/>
        </w:rPr>
        <w:t>paragraph</w:t>
      </w:r>
      <w:proofErr w:type="spellEnd"/>
      <w:r>
        <w:rPr>
          <w:rFonts w:eastAsia="Palatino Linotype"/>
          <w:sz w:val="22"/>
          <w:szCs w:val="22"/>
          <w:lang w:val="es-ES"/>
        </w:rPr>
        <w:t xml:space="preserve">, a fine </w:t>
      </w:r>
      <w:proofErr w:type="spellStart"/>
      <w:r>
        <w:rPr>
          <w:rFonts w:eastAsia="Palatino Linotype"/>
          <w:sz w:val="22"/>
          <w:szCs w:val="22"/>
          <w:lang w:val="es-ES"/>
        </w:rPr>
        <w:t>of</w:t>
      </w:r>
      <w:proofErr w:type="spellEnd"/>
      <w:r>
        <w:rPr>
          <w:rFonts w:eastAsia="Palatino Linotype"/>
          <w:sz w:val="22"/>
          <w:szCs w:val="22"/>
          <w:lang w:val="es-ES"/>
        </w:rPr>
        <w:t xml:space="preserve"> 5% </w:t>
      </w:r>
      <w:proofErr w:type="spellStart"/>
      <w:r>
        <w:rPr>
          <w:rFonts w:eastAsia="Palatino Linotype"/>
          <w:sz w:val="22"/>
          <w:szCs w:val="22"/>
          <w:lang w:val="es-ES"/>
        </w:rPr>
        <w:t>of</w:t>
      </w:r>
      <w:proofErr w:type="spellEnd"/>
      <w:r>
        <w:rPr>
          <w:rFonts w:eastAsia="Palatino Linotype"/>
          <w:sz w:val="22"/>
          <w:szCs w:val="22"/>
          <w:lang w:val="es-ES"/>
        </w:rPr>
        <w:t xml:space="preserve"> </w:t>
      </w:r>
      <w:proofErr w:type="spellStart"/>
      <w:r>
        <w:rPr>
          <w:rFonts w:eastAsia="Palatino Linotype"/>
          <w:sz w:val="22"/>
          <w:szCs w:val="22"/>
          <w:lang w:val="es-ES"/>
        </w:rPr>
        <w:t>the</w:t>
      </w:r>
      <w:proofErr w:type="spellEnd"/>
      <w:r>
        <w:rPr>
          <w:rFonts w:eastAsia="Palatino Linotype"/>
          <w:sz w:val="22"/>
          <w:szCs w:val="22"/>
          <w:lang w:val="es-ES"/>
        </w:rPr>
        <w:t xml:space="preserve"> </w:t>
      </w:r>
      <w:proofErr w:type="spellStart"/>
      <w:r>
        <w:rPr>
          <w:rFonts w:eastAsia="Palatino Linotype"/>
          <w:sz w:val="22"/>
          <w:szCs w:val="22"/>
          <w:lang w:val="es-ES"/>
        </w:rPr>
        <w:t>maximum</w:t>
      </w:r>
      <w:proofErr w:type="spellEnd"/>
      <w:r>
        <w:rPr>
          <w:rFonts w:eastAsia="Palatino Linotype"/>
          <w:sz w:val="22"/>
          <w:szCs w:val="22"/>
          <w:lang w:val="es-ES"/>
        </w:rPr>
        <w:t xml:space="preserve"> </w:t>
      </w:r>
      <w:proofErr w:type="spellStart"/>
      <w:r>
        <w:rPr>
          <w:rFonts w:eastAsia="Palatino Linotype"/>
          <w:sz w:val="22"/>
          <w:szCs w:val="22"/>
          <w:lang w:val="es-ES"/>
        </w:rPr>
        <w:t>amount</w:t>
      </w:r>
      <w:proofErr w:type="spellEnd"/>
      <w:r>
        <w:rPr>
          <w:rFonts w:eastAsia="Palatino Linotype"/>
          <w:sz w:val="22"/>
          <w:szCs w:val="22"/>
          <w:lang w:val="es-ES"/>
        </w:rPr>
        <w:t xml:space="preserve"> </w:t>
      </w:r>
      <w:proofErr w:type="spellStart"/>
      <w:r>
        <w:rPr>
          <w:rFonts w:eastAsia="Palatino Linotype"/>
          <w:sz w:val="22"/>
          <w:szCs w:val="22"/>
          <w:lang w:val="es-ES"/>
        </w:rPr>
        <w:t>of</w:t>
      </w:r>
      <w:proofErr w:type="spellEnd"/>
      <w:r>
        <w:rPr>
          <w:rFonts w:eastAsia="Palatino Linotype"/>
          <w:sz w:val="22"/>
          <w:szCs w:val="22"/>
          <w:lang w:val="es-ES"/>
        </w:rPr>
        <w:t xml:space="preserve"> </w:t>
      </w:r>
      <w:proofErr w:type="spellStart"/>
      <w:r>
        <w:rPr>
          <w:rFonts w:eastAsia="Palatino Linotype"/>
          <w:sz w:val="22"/>
          <w:szCs w:val="22"/>
          <w:lang w:val="es-ES"/>
        </w:rPr>
        <w:t>their</w:t>
      </w:r>
      <w:proofErr w:type="spellEnd"/>
      <w:r>
        <w:rPr>
          <w:rFonts w:eastAsia="Palatino Linotype"/>
          <w:sz w:val="22"/>
          <w:szCs w:val="22"/>
          <w:lang w:val="es-ES"/>
        </w:rPr>
        <w:t xml:space="preserve"> </w:t>
      </w:r>
      <w:proofErr w:type="spellStart"/>
      <w:r>
        <w:rPr>
          <w:rFonts w:eastAsia="Palatino Linotype"/>
          <w:sz w:val="22"/>
          <w:szCs w:val="22"/>
          <w:lang w:val="es-ES"/>
        </w:rPr>
        <w:t>bid</w:t>
      </w:r>
      <w:proofErr w:type="spellEnd"/>
      <w:r>
        <w:rPr>
          <w:rFonts w:eastAsia="Palatino Linotype"/>
          <w:sz w:val="22"/>
          <w:szCs w:val="22"/>
          <w:lang w:val="es-ES"/>
        </w:rPr>
        <w:t xml:space="preserve"> </w:t>
      </w:r>
      <w:proofErr w:type="spellStart"/>
      <w:r>
        <w:rPr>
          <w:rFonts w:eastAsia="Palatino Linotype"/>
          <w:sz w:val="22"/>
          <w:szCs w:val="22"/>
          <w:lang w:val="es-ES"/>
        </w:rPr>
        <w:t>will</w:t>
      </w:r>
      <w:proofErr w:type="spellEnd"/>
      <w:r>
        <w:rPr>
          <w:rFonts w:eastAsia="Palatino Linotype"/>
          <w:sz w:val="22"/>
          <w:szCs w:val="22"/>
          <w:lang w:val="es-ES"/>
        </w:rPr>
        <w:t xml:space="preserve"> be </w:t>
      </w:r>
      <w:proofErr w:type="spellStart"/>
      <w:r>
        <w:rPr>
          <w:rFonts w:eastAsia="Palatino Linotype"/>
          <w:sz w:val="22"/>
          <w:szCs w:val="22"/>
          <w:lang w:val="es-ES"/>
        </w:rPr>
        <w:t>applied</w:t>
      </w:r>
      <w:proofErr w:type="spellEnd"/>
      <w:r>
        <w:rPr>
          <w:rFonts w:eastAsia="Palatino Linotype"/>
          <w:sz w:val="22"/>
          <w:szCs w:val="22"/>
          <w:lang w:val="es-ES"/>
        </w:rPr>
        <w:t xml:space="preserve">. The administrative </w:t>
      </w:r>
      <w:proofErr w:type="spellStart"/>
      <w:r>
        <w:rPr>
          <w:rFonts w:eastAsia="Palatino Linotype"/>
          <w:sz w:val="22"/>
          <w:szCs w:val="22"/>
          <w:lang w:val="es-ES"/>
        </w:rPr>
        <w:t>act</w:t>
      </w:r>
      <w:proofErr w:type="spellEnd"/>
      <w:r>
        <w:rPr>
          <w:rFonts w:eastAsia="Palatino Linotype"/>
          <w:sz w:val="22"/>
          <w:szCs w:val="22"/>
          <w:lang w:val="es-ES"/>
        </w:rPr>
        <w:t xml:space="preserve"> </w:t>
      </w:r>
      <w:proofErr w:type="spellStart"/>
      <w:r>
        <w:rPr>
          <w:rFonts w:eastAsia="Palatino Linotype"/>
          <w:sz w:val="22"/>
          <w:szCs w:val="22"/>
          <w:lang w:val="es-ES"/>
        </w:rPr>
        <w:t>or</w:t>
      </w:r>
      <w:proofErr w:type="spellEnd"/>
      <w:r>
        <w:rPr>
          <w:rFonts w:eastAsia="Palatino Linotype"/>
          <w:sz w:val="22"/>
          <w:szCs w:val="22"/>
          <w:lang w:val="es-ES"/>
        </w:rPr>
        <w:t xml:space="preserve"> </w:t>
      </w:r>
      <w:proofErr w:type="spellStart"/>
      <w:r>
        <w:rPr>
          <w:rFonts w:eastAsia="Palatino Linotype"/>
          <w:sz w:val="22"/>
          <w:szCs w:val="22"/>
          <w:lang w:val="es-ES"/>
        </w:rPr>
        <w:t>resolution</w:t>
      </w:r>
      <w:proofErr w:type="spellEnd"/>
      <w:r>
        <w:rPr>
          <w:rFonts w:eastAsia="Palatino Linotype"/>
          <w:sz w:val="22"/>
          <w:szCs w:val="22"/>
          <w:lang w:val="es-ES"/>
        </w:rPr>
        <w:t xml:space="preserve"> </w:t>
      </w:r>
      <w:proofErr w:type="spellStart"/>
      <w:r>
        <w:rPr>
          <w:rFonts w:eastAsia="Palatino Linotype"/>
          <w:sz w:val="22"/>
          <w:szCs w:val="22"/>
          <w:lang w:val="es-ES"/>
        </w:rPr>
        <w:t>imposing</w:t>
      </w:r>
      <w:proofErr w:type="spellEnd"/>
      <w:r>
        <w:rPr>
          <w:rFonts w:eastAsia="Palatino Linotype"/>
          <w:sz w:val="22"/>
          <w:szCs w:val="22"/>
          <w:lang w:val="es-ES"/>
        </w:rPr>
        <w:t xml:space="preserve"> </w:t>
      </w:r>
      <w:proofErr w:type="spellStart"/>
      <w:r>
        <w:rPr>
          <w:rFonts w:eastAsia="Palatino Linotype"/>
          <w:sz w:val="22"/>
          <w:szCs w:val="22"/>
          <w:lang w:val="es-ES"/>
        </w:rPr>
        <w:t>the</w:t>
      </w:r>
      <w:proofErr w:type="spellEnd"/>
      <w:r>
        <w:rPr>
          <w:rFonts w:eastAsia="Palatino Linotype"/>
          <w:sz w:val="22"/>
          <w:szCs w:val="22"/>
          <w:lang w:val="es-ES"/>
        </w:rPr>
        <w:t xml:space="preserve"> fine </w:t>
      </w:r>
      <w:proofErr w:type="spellStart"/>
      <w:r>
        <w:rPr>
          <w:rFonts w:eastAsia="Palatino Linotype"/>
          <w:sz w:val="22"/>
          <w:szCs w:val="22"/>
          <w:lang w:val="es-ES"/>
        </w:rPr>
        <w:t>will</w:t>
      </w:r>
      <w:proofErr w:type="spellEnd"/>
      <w:r>
        <w:rPr>
          <w:rFonts w:eastAsia="Palatino Linotype"/>
          <w:sz w:val="22"/>
          <w:szCs w:val="22"/>
          <w:lang w:val="es-ES"/>
        </w:rPr>
        <w:t xml:space="preserve"> </w:t>
      </w:r>
      <w:proofErr w:type="spellStart"/>
      <w:r>
        <w:rPr>
          <w:rFonts w:eastAsia="Palatino Linotype"/>
          <w:sz w:val="22"/>
          <w:szCs w:val="22"/>
          <w:lang w:val="es-ES"/>
        </w:rPr>
        <w:t>constitute</w:t>
      </w:r>
      <w:proofErr w:type="spellEnd"/>
      <w:r>
        <w:rPr>
          <w:rFonts w:eastAsia="Palatino Linotype"/>
          <w:sz w:val="22"/>
          <w:szCs w:val="22"/>
          <w:lang w:val="es-ES"/>
        </w:rPr>
        <w:t xml:space="preserve"> </w:t>
      </w:r>
      <w:proofErr w:type="spellStart"/>
      <w:r>
        <w:rPr>
          <w:rFonts w:eastAsia="Palatino Linotype"/>
          <w:sz w:val="22"/>
          <w:szCs w:val="22"/>
          <w:lang w:val="es-ES"/>
        </w:rPr>
        <w:t>an</w:t>
      </w:r>
      <w:proofErr w:type="spellEnd"/>
      <w:r>
        <w:rPr>
          <w:rFonts w:eastAsia="Palatino Linotype"/>
          <w:sz w:val="22"/>
          <w:szCs w:val="22"/>
          <w:lang w:val="es-ES"/>
        </w:rPr>
        <w:t xml:space="preserve"> </w:t>
      </w:r>
      <w:proofErr w:type="spellStart"/>
      <w:r>
        <w:rPr>
          <w:rFonts w:eastAsia="Palatino Linotype"/>
          <w:sz w:val="22"/>
          <w:szCs w:val="22"/>
          <w:lang w:val="es-ES"/>
        </w:rPr>
        <w:t>enforceable</w:t>
      </w:r>
      <w:proofErr w:type="spellEnd"/>
      <w:r>
        <w:rPr>
          <w:rFonts w:eastAsia="Palatino Linotype"/>
          <w:sz w:val="22"/>
          <w:szCs w:val="22"/>
          <w:lang w:val="es-ES"/>
        </w:rPr>
        <w:t xml:space="preserve"> </w:t>
      </w:r>
      <w:proofErr w:type="spellStart"/>
      <w:r>
        <w:rPr>
          <w:rFonts w:eastAsia="Palatino Linotype"/>
          <w:sz w:val="22"/>
          <w:szCs w:val="22"/>
          <w:lang w:val="es-ES"/>
        </w:rPr>
        <w:t>instrument</w:t>
      </w:r>
      <w:proofErr w:type="spellEnd"/>
      <w:r>
        <w:rPr>
          <w:rFonts w:eastAsia="Palatino Linotype"/>
          <w:sz w:val="22"/>
          <w:szCs w:val="22"/>
          <w:lang w:val="es-ES"/>
        </w:rPr>
        <w:t xml:space="preserve">, </w:t>
      </w:r>
      <w:proofErr w:type="spellStart"/>
      <w:r>
        <w:rPr>
          <w:rFonts w:eastAsia="Palatino Linotype"/>
          <w:sz w:val="22"/>
          <w:szCs w:val="22"/>
          <w:lang w:val="es-ES"/>
        </w:rPr>
        <w:t>without</w:t>
      </w:r>
      <w:proofErr w:type="spellEnd"/>
      <w:r>
        <w:rPr>
          <w:rFonts w:eastAsia="Palatino Linotype"/>
          <w:sz w:val="22"/>
          <w:szCs w:val="22"/>
          <w:lang w:val="es-ES"/>
        </w:rPr>
        <w:t xml:space="preserve"> </w:t>
      </w:r>
      <w:proofErr w:type="spellStart"/>
      <w:r>
        <w:rPr>
          <w:rFonts w:eastAsia="Palatino Linotype"/>
          <w:sz w:val="22"/>
          <w:szCs w:val="22"/>
          <w:lang w:val="es-ES"/>
        </w:rPr>
        <w:t>prejudice</w:t>
      </w:r>
      <w:proofErr w:type="spellEnd"/>
      <w:r>
        <w:rPr>
          <w:rFonts w:eastAsia="Palatino Linotype"/>
          <w:sz w:val="22"/>
          <w:szCs w:val="22"/>
          <w:lang w:val="es-ES"/>
        </w:rPr>
        <w:t xml:space="preserve"> </w:t>
      </w:r>
      <w:proofErr w:type="spellStart"/>
      <w:r>
        <w:rPr>
          <w:rFonts w:eastAsia="Palatino Linotype"/>
          <w:sz w:val="22"/>
          <w:szCs w:val="22"/>
          <w:lang w:val="es-ES"/>
        </w:rPr>
        <w:t>to</w:t>
      </w:r>
      <w:proofErr w:type="spellEnd"/>
      <w:r>
        <w:rPr>
          <w:rFonts w:eastAsia="Palatino Linotype"/>
          <w:sz w:val="22"/>
          <w:szCs w:val="22"/>
          <w:lang w:val="es-ES"/>
        </w:rPr>
        <w:t xml:space="preserve"> </w:t>
      </w:r>
      <w:proofErr w:type="spellStart"/>
      <w:r>
        <w:rPr>
          <w:rFonts w:eastAsia="Palatino Linotype"/>
          <w:sz w:val="22"/>
          <w:szCs w:val="22"/>
          <w:lang w:val="es-ES"/>
        </w:rPr>
        <w:lastRenderedPageBreak/>
        <w:t>compensation</w:t>
      </w:r>
      <w:proofErr w:type="spellEnd"/>
      <w:r>
        <w:rPr>
          <w:rFonts w:eastAsia="Palatino Linotype"/>
          <w:sz w:val="22"/>
          <w:szCs w:val="22"/>
          <w:lang w:val="es-ES"/>
        </w:rPr>
        <w:t xml:space="preserve"> </w:t>
      </w:r>
      <w:proofErr w:type="spellStart"/>
      <w:r>
        <w:rPr>
          <w:rFonts w:eastAsia="Palatino Linotype"/>
          <w:sz w:val="22"/>
          <w:szCs w:val="22"/>
          <w:lang w:val="es-ES"/>
        </w:rPr>
        <w:t>for</w:t>
      </w:r>
      <w:proofErr w:type="spellEnd"/>
      <w:r>
        <w:rPr>
          <w:rFonts w:eastAsia="Palatino Linotype"/>
          <w:sz w:val="22"/>
          <w:szCs w:val="22"/>
          <w:lang w:val="es-ES"/>
        </w:rPr>
        <w:t xml:space="preserve"> </w:t>
      </w:r>
      <w:proofErr w:type="spellStart"/>
      <w:r>
        <w:rPr>
          <w:rFonts w:eastAsia="Palatino Linotype"/>
          <w:sz w:val="22"/>
          <w:szCs w:val="22"/>
          <w:lang w:val="es-ES"/>
        </w:rPr>
        <w:t>any</w:t>
      </w:r>
      <w:proofErr w:type="spellEnd"/>
      <w:r>
        <w:rPr>
          <w:rFonts w:eastAsia="Palatino Linotype"/>
          <w:sz w:val="22"/>
          <w:szCs w:val="22"/>
          <w:lang w:val="es-ES"/>
        </w:rPr>
        <w:t xml:space="preserve"> </w:t>
      </w:r>
      <w:proofErr w:type="spellStart"/>
      <w:r>
        <w:rPr>
          <w:rFonts w:eastAsia="Palatino Linotype"/>
          <w:sz w:val="22"/>
          <w:szCs w:val="22"/>
          <w:lang w:val="es-ES"/>
        </w:rPr>
        <w:t>damages</w:t>
      </w:r>
      <w:proofErr w:type="spellEnd"/>
      <w:r>
        <w:rPr>
          <w:rFonts w:eastAsia="Palatino Linotype"/>
          <w:sz w:val="22"/>
          <w:szCs w:val="22"/>
          <w:lang w:val="es-ES"/>
        </w:rPr>
        <w:t xml:space="preserve"> </w:t>
      </w:r>
      <w:proofErr w:type="spellStart"/>
      <w:r>
        <w:rPr>
          <w:rFonts w:eastAsia="Palatino Linotype"/>
          <w:sz w:val="22"/>
          <w:szCs w:val="22"/>
          <w:lang w:val="es-ES"/>
        </w:rPr>
        <w:t>that</w:t>
      </w:r>
      <w:proofErr w:type="spellEnd"/>
      <w:r>
        <w:rPr>
          <w:rFonts w:eastAsia="Palatino Linotype"/>
          <w:sz w:val="22"/>
          <w:szCs w:val="22"/>
          <w:lang w:val="es-ES"/>
        </w:rPr>
        <w:t xml:space="preserve"> </w:t>
      </w:r>
      <w:proofErr w:type="spellStart"/>
      <w:r>
        <w:rPr>
          <w:rFonts w:eastAsia="Palatino Linotype"/>
          <w:sz w:val="22"/>
          <w:szCs w:val="22"/>
          <w:lang w:val="es-ES"/>
        </w:rPr>
        <w:t>such</w:t>
      </w:r>
      <w:proofErr w:type="spellEnd"/>
      <w:r>
        <w:rPr>
          <w:rFonts w:eastAsia="Palatino Linotype"/>
          <w:sz w:val="22"/>
          <w:szCs w:val="22"/>
          <w:lang w:val="es-ES"/>
        </w:rPr>
        <w:t xml:space="preserve"> non-</w:t>
      </w:r>
      <w:proofErr w:type="spellStart"/>
      <w:r>
        <w:rPr>
          <w:rFonts w:eastAsia="Palatino Linotype"/>
          <w:sz w:val="22"/>
          <w:szCs w:val="22"/>
          <w:lang w:val="es-ES"/>
        </w:rPr>
        <w:t>compliance</w:t>
      </w:r>
      <w:proofErr w:type="spellEnd"/>
      <w:r>
        <w:rPr>
          <w:rFonts w:eastAsia="Palatino Linotype"/>
          <w:sz w:val="22"/>
          <w:szCs w:val="22"/>
          <w:lang w:val="es-ES"/>
        </w:rPr>
        <w:t xml:space="preserve"> </w:t>
      </w:r>
      <w:proofErr w:type="spellStart"/>
      <w:r>
        <w:rPr>
          <w:rFonts w:eastAsia="Palatino Linotype"/>
          <w:sz w:val="22"/>
          <w:szCs w:val="22"/>
          <w:lang w:val="es-ES"/>
        </w:rPr>
        <w:t>may</w:t>
      </w:r>
      <w:proofErr w:type="spellEnd"/>
      <w:r>
        <w:rPr>
          <w:rFonts w:eastAsia="Palatino Linotype"/>
          <w:sz w:val="22"/>
          <w:szCs w:val="22"/>
          <w:lang w:val="es-ES"/>
        </w:rPr>
        <w:t xml:space="preserve"> </w:t>
      </w:r>
      <w:proofErr w:type="spellStart"/>
      <w:r>
        <w:rPr>
          <w:rFonts w:eastAsia="Palatino Linotype"/>
          <w:sz w:val="22"/>
          <w:szCs w:val="22"/>
          <w:lang w:val="es-ES"/>
        </w:rPr>
        <w:t>have</w:t>
      </w:r>
      <w:proofErr w:type="spellEnd"/>
      <w:r>
        <w:rPr>
          <w:rFonts w:eastAsia="Palatino Linotype"/>
          <w:sz w:val="22"/>
          <w:szCs w:val="22"/>
          <w:lang w:val="es-ES"/>
        </w:rPr>
        <w:t xml:space="preserve"> </w:t>
      </w:r>
      <w:proofErr w:type="spellStart"/>
      <w:r>
        <w:rPr>
          <w:rFonts w:eastAsia="Palatino Linotype"/>
          <w:sz w:val="22"/>
          <w:szCs w:val="22"/>
          <w:lang w:val="es-ES"/>
        </w:rPr>
        <w:t>caused</w:t>
      </w:r>
      <w:proofErr w:type="spellEnd"/>
      <w:r>
        <w:rPr>
          <w:rFonts w:eastAsia="Palatino Linotype"/>
          <w:sz w:val="22"/>
          <w:szCs w:val="22"/>
          <w:lang w:val="es-ES"/>
        </w:rPr>
        <w:t xml:space="preserve"> </w:t>
      </w:r>
      <w:proofErr w:type="spellStart"/>
      <w:r>
        <w:rPr>
          <w:rFonts w:eastAsia="Palatino Linotype"/>
          <w:sz w:val="22"/>
          <w:szCs w:val="22"/>
          <w:lang w:val="es-ES"/>
        </w:rPr>
        <w:t>to</w:t>
      </w:r>
      <w:proofErr w:type="spellEnd"/>
      <w:r>
        <w:rPr>
          <w:rFonts w:eastAsia="Palatino Linotype"/>
          <w:sz w:val="22"/>
          <w:szCs w:val="22"/>
          <w:lang w:val="es-ES"/>
        </w:rPr>
        <w:t xml:space="preserve"> </w:t>
      </w:r>
      <w:proofErr w:type="spellStart"/>
      <w:r>
        <w:rPr>
          <w:rFonts w:eastAsia="Palatino Linotype"/>
          <w:sz w:val="22"/>
          <w:szCs w:val="22"/>
          <w:lang w:val="es-ES"/>
        </w:rPr>
        <w:t>the</w:t>
      </w:r>
      <w:proofErr w:type="spellEnd"/>
      <w:r>
        <w:rPr>
          <w:rFonts w:eastAsia="Palatino Linotype"/>
          <w:sz w:val="22"/>
          <w:szCs w:val="22"/>
          <w:lang w:val="es-ES"/>
        </w:rPr>
        <w:t xml:space="preserve"> </w:t>
      </w:r>
      <w:proofErr w:type="spellStart"/>
      <w:r>
        <w:rPr>
          <w:rFonts w:eastAsia="Palatino Linotype"/>
          <w:sz w:val="22"/>
          <w:szCs w:val="22"/>
          <w:lang w:val="es-ES"/>
        </w:rPr>
        <w:t>Administration</w:t>
      </w:r>
      <w:proofErr w:type="spellEnd"/>
      <w:r>
        <w:rPr>
          <w:rFonts w:eastAsia="Palatino Linotype"/>
          <w:sz w:val="22"/>
          <w:szCs w:val="22"/>
          <w:lang w:val="es-ES"/>
        </w:rPr>
        <w:t xml:space="preserve">, and </w:t>
      </w:r>
      <w:proofErr w:type="spellStart"/>
      <w:r>
        <w:rPr>
          <w:rFonts w:eastAsia="Palatino Linotype"/>
          <w:sz w:val="22"/>
          <w:szCs w:val="22"/>
          <w:lang w:val="es-ES"/>
        </w:rPr>
        <w:t>notification</w:t>
      </w:r>
      <w:proofErr w:type="spellEnd"/>
      <w:r>
        <w:rPr>
          <w:rFonts w:eastAsia="Palatino Linotype"/>
          <w:sz w:val="22"/>
          <w:szCs w:val="22"/>
          <w:lang w:val="es-ES"/>
        </w:rPr>
        <w:t xml:space="preserve"> </w:t>
      </w:r>
      <w:proofErr w:type="spellStart"/>
      <w:r>
        <w:rPr>
          <w:rFonts w:eastAsia="Palatino Linotype"/>
          <w:sz w:val="22"/>
          <w:szCs w:val="22"/>
          <w:lang w:val="es-ES"/>
        </w:rPr>
        <w:t>of</w:t>
      </w:r>
      <w:proofErr w:type="spellEnd"/>
      <w:r>
        <w:rPr>
          <w:rFonts w:eastAsia="Palatino Linotype"/>
          <w:sz w:val="22"/>
          <w:szCs w:val="22"/>
          <w:lang w:val="es-ES"/>
        </w:rPr>
        <w:t xml:space="preserve"> </w:t>
      </w:r>
      <w:proofErr w:type="spellStart"/>
      <w:r>
        <w:rPr>
          <w:rFonts w:eastAsia="Palatino Linotype"/>
          <w:sz w:val="22"/>
          <w:szCs w:val="22"/>
          <w:lang w:val="es-ES"/>
        </w:rPr>
        <w:t>the</w:t>
      </w:r>
      <w:proofErr w:type="spellEnd"/>
      <w:r>
        <w:rPr>
          <w:rFonts w:eastAsia="Palatino Linotype"/>
          <w:sz w:val="22"/>
          <w:szCs w:val="22"/>
          <w:lang w:val="es-ES"/>
        </w:rPr>
        <w:t xml:space="preserve"> </w:t>
      </w:r>
      <w:proofErr w:type="spellStart"/>
      <w:r>
        <w:rPr>
          <w:rFonts w:eastAsia="Palatino Linotype"/>
          <w:sz w:val="22"/>
          <w:szCs w:val="22"/>
          <w:lang w:val="es-ES"/>
        </w:rPr>
        <w:t>fact</w:t>
      </w:r>
      <w:proofErr w:type="spellEnd"/>
      <w:r>
        <w:rPr>
          <w:rFonts w:eastAsia="Palatino Linotype"/>
          <w:sz w:val="22"/>
          <w:szCs w:val="22"/>
          <w:lang w:val="es-ES"/>
        </w:rPr>
        <w:t xml:space="preserve"> </w:t>
      </w:r>
      <w:proofErr w:type="spellStart"/>
      <w:r>
        <w:rPr>
          <w:rFonts w:eastAsia="Palatino Linotype"/>
          <w:sz w:val="22"/>
          <w:szCs w:val="22"/>
          <w:lang w:val="es-ES"/>
        </w:rPr>
        <w:t>to</w:t>
      </w:r>
      <w:proofErr w:type="spellEnd"/>
      <w:r>
        <w:rPr>
          <w:rFonts w:eastAsia="Palatino Linotype"/>
          <w:sz w:val="22"/>
          <w:szCs w:val="22"/>
          <w:lang w:val="es-ES"/>
        </w:rPr>
        <w:t xml:space="preserve"> </w:t>
      </w:r>
      <w:proofErr w:type="spellStart"/>
      <w:r>
        <w:rPr>
          <w:rFonts w:eastAsia="Palatino Linotype"/>
          <w:sz w:val="22"/>
          <w:szCs w:val="22"/>
          <w:lang w:val="es-ES"/>
        </w:rPr>
        <w:t>the</w:t>
      </w:r>
      <w:proofErr w:type="spellEnd"/>
      <w:r>
        <w:rPr>
          <w:rFonts w:eastAsia="Palatino Linotype"/>
          <w:sz w:val="22"/>
          <w:szCs w:val="22"/>
          <w:lang w:val="es-ES"/>
        </w:rPr>
        <w:t xml:space="preserve"> RUPE (</w:t>
      </w:r>
      <w:proofErr w:type="gramStart"/>
      <w:r>
        <w:rPr>
          <w:rFonts w:eastAsia="Palatino Linotype"/>
          <w:sz w:val="22"/>
          <w:szCs w:val="22"/>
          <w:lang w:val="es-ES"/>
        </w:rPr>
        <w:t>Single</w:t>
      </w:r>
      <w:proofErr w:type="gramEnd"/>
      <w:r>
        <w:rPr>
          <w:rFonts w:eastAsia="Palatino Linotype"/>
          <w:sz w:val="22"/>
          <w:szCs w:val="22"/>
          <w:lang w:val="es-ES"/>
        </w:rPr>
        <w:t xml:space="preserve"> </w:t>
      </w:r>
      <w:proofErr w:type="spellStart"/>
      <w:r>
        <w:rPr>
          <w:rFonts w:eastAsia="Palatino Linotype"/>
          <w:sz w:val="22"/>
          <w:szCs w:val="22"/>
          <w:lang w:val="es-ES"/>
        </w:rPr>
        <w:t>Registry</w:t>
      </w:r>
      <w:proofErr w:type="spellEnd"/>
      <w:r>
        <w:rPr>
          <w:rFonts w:eastAsia="Palatino Linotype"/>
          <w:sz w:val="22"/>
          <w:szCs w:val="22"/>
          <w:lang w:val="es-ES"/>
        </w:rPr>
        <w:t xml:space="preserve"> </w:t>
      </w:r>
      <w:proofErr w:type="spellStart"/>
      <w:r>
        <w:rPr>
          <w:rFonts w:eastAsia="Palatino Linotype"/>
          <w:sz w:val="22"/>
          <w:szCs w:val="22"/>
          <w:lang w:val="es-ES"/>
        </w:rPr>
        <w:t>of</w:t>
      </w:r>
      <w:proofErr w:type="spellEnd"/>
      <w:r>
        <w:rPr>
          <w:rFonts w:eastAsia="Palatino Linotype"/>
          <w:sz w:val="22"/>
          <w:szCs w:val="22"/>
          <w:lang w:val="es-ES"/>
        </w:rPr>
        <w:t xml:space="preserve"> Public </w:t>
      </w:r>
      <w:proofErr w:type="spellStart"/>
      <w:r>
        <w:rPr>
          <w:rFonts w:eastAsia="Palatino Linotype"/>
          <w:sz w:val="22"/>
          <w:szCs w:val="22"/>
          <w:lang w:val="es-ES"/>
        </w:rPr>
        <w:t>Entities</w:t>
      </w:r>
      <w:proofErr w:type="spellEnd"/>
      <w:r>
        <w:rPr>
          <w:rFonts w:eastAsia="Palatino Linotype"/>
          <w:sz w:val="22"/>
          <w:szCs w:val="22"/>
          <w:lang w:val="es-ES"/>
        </w:rPr>
        <w:t>).</w:t>
      </w:r>
    </w:p>
    <w:p w14:paraId="209097DE" w14:textId="77777777" w:rsidR="00E255F4" w:rsidRDefault="00E255F4">
      <w:pPr>
        <w:rPr>
          <w:rFonts w:eastAsia="Palatino Linotype"/>
          <w:sz w:val="22"/>
          <w:szCs w:val="22"/>
          <w:lang w:val="es-ES"/>
        </w:rPr>
      </w:pPr>
    </w:p>
    <w:p w14:paraId="661EE807" w14:textId="77777777" w:rsidR="00E255F4" w:rsidRDefault="00000000">
      <w:pPr>
        <w:spacing w:after="240"/>
        <w:ind w:right="-142"/>
        <w:jc w:val="both"/>
        <w:outlineLvl w:val="0"/>
        <w:rPr>
          <w:rFonts w:eastAsia="Palatino Linotype"/>
          <w:b/>
          <w:spacing w:val="-1"/>
          <w:sz w:val="22"/>
          <w:szCs w:val="22"/>
          <w:lang w:val="es-ES"/>
        </w:rPr>
      </w:pPr>
      <w:bookmarkStart w:id="35" w:name="__RefHeading___Toc225377212"/>
      <w:bookmarkEnd w:id="35"/>
      <w:r>
        <w:rPr>
          <w:rFonts w:eastAsia="Palatino Linotype"/>
          <w:b/>
          <w:spacing w:val="-1"/>
          <w:sz w:val="22"/>
          <w:szCs w:val="22"/>
          <w:lang w:val="es-ES"/>
        </w:rPr>
        <w:t xml:space="preserve">12 </w:t>
      </w:r>
      <w:proofErr w:type="spellStart"/>
      <w:r>
        <w:rPr>
          <w:rFonts w:eastAsia="Palatino Linotype"/>
          <w:b/>
          <w:spacing w:val="-1"/>
          <w:sz w:val="22"/>
          <w:szCs w:val="22"/>
          <w:lang w:val="es-ES"/>
        </w:rPr>
        <w:t>Presentation</w:t>
      </w:r>
      <w:proofErr w:type="spellEnd"/>
      <w:r>
        <w:rPr>
          <w:rFonts w:eastAsia="Palatino Linotype"/>
          <w:b/>
          <w:spacing w:val="-1"/>
          <w:sz w:val="22"/>
          <w:szCs w:val="22"/>
          <w:lang w:val="es-ES"/>
        </w:rPr>
        <w:t xml:space="preserve">, </w:t>
      </w:r>
      <w:proofErr w:type="spellStart"/>
      <w:r>
        <w:rPr>
          <w:rFonts w:eastAsia="Palatino Linotype"/>
          <w:b/>
          <w:spacing w:val="-1"/>
          <w:sz w:val="22"/>
          <w:szCs w:val="22"/>
          <w:lang w:val="es-ES"/>
        </w:rPr>
        <w:t>Confidentiality</w:t>
      </w:r>
      <w:proofErr w:type="spellEnd"/>
      <w:r>
        <w:rPr>
          <w:rFonts w:eastAsia="Palatino Linotype"/>
          <w:b/>
          <w:spacing w:val="-1"/>
          <w:sz w:val="22"/>
          <w:szCs w:val="22"/>
          <w:lang w:val="es-ES"/>
        </w:rPr>
        <w:t xml:space="preserve"> and </w:t>
      </w:r>
      <w:proofErr w:type="spellStart"/>
      <w:r>
        <w:rPr>
          <w:rFonts w:eastAsia="Palatino Linotype"/>
          <w:b/>
          <w:spacing w:val="-1"/>
          <w:sz w:val="22"/>
          <w:szCs w:val="22"/>
          <w:lang w:val="es-ES"/>
        </w:rPr>
        <w:t>Opening</w:t>
      </w:r>
      <w:proofErr w:type="spellEnd"/>
      <w:r>
        <w:rPr>
          <w:rFonts w:eastAsia="Palatino Linotype"/>
          <w:b/>
          <w:spacing w:val="-1"/>
          <w:sz w:val="22"/>
          <w:szCs w:val="22"/>
          <w:lang w:val="es-ES"/>
        </w:rPr>
        <w:t xml:space="preserve"> </w:t>
      </w:r>
      <w:proofErr w:type="spellStart"/>
      <w:r>
        <w:rPr>
          <w:rFonts w:eastAsia="Palatino Linotype"/>
          <w:b/>
          <w:spacing w:val="-1"/>
          <w:sz w:val="22"/>
          <w:szCs w:val="22"/>
          <w:lang w:val="es-ES"/>
        </w:rPr>
        <w:t>of</w:t>
      </w:r>
      <w:proofErr w:type="spellEnd"/>
      <w:r>
        <w:rPr>
          <w:rFonts w:eastAsia="Palatino Linotype"/>
          <w:b/>
          <w:spacing w:val="-1"/>
          <w:sz w:val="22"/>
          <w:szCs w:val="22"/>
          <w:lang w:val="es-ES"/>
        </w:rPr>
        <w:t xml:space="preserve"> </w:t>
      </w:r>
      <w:proofErr w:type="spellStart"/>
      <w:r>
        <w:rPr>
          <w:rFonts w:eastAsia="Palatino Linotype"/>
          <w:b/>
          <w:spacing w:val="-1"/>
          <w:sz w:val="22"/>
          <w:szCs w:val="22"/>
          <w:lang w:val="es-ES"/>
        </w:rPr>
        <w:t>Bids</w:t>
      </w:r>
      <w:proofErr w:type="spellEnd"/>
      <w:r>
        <w:rPr>
          <w:rFonts w:eastAsia="Palatino Linotype"/>
          <w:b/>
          <w:spacing w:val="-1"/>
          <w:sz w:val="22"/>
          <w:szCs w:val="22"/>
          <w:lang w:val="es-ES"/>
        </w:rPr>
        <w:tab/>
      </w:r>
    </w:p>
    <w:p w14:paraId="4AB84037" w14:textId="77777777" w:rsidR="00E255F4" w:rsidRDefault="00000000">
      <w:pPr>
        <w:ind w:right="-142"/>
        <w:jc w:val="both"/>
        <w:outlineLvl w:val="0"/>
        <w:rPr>
          <w:rFonts w:eastAsia="Palatino Linotype"/>
          <w:b/>
          <w:spacing w:val="-1"/>
          <w:sz w:val="22"/>
          <w:szCs w:val="22"/>
          <w:lang w:val="es-ES"/>
        </w:rPr>
      </w:pPr>
      <w:bookmarkStart w:id="36" w:name="__RefHeading___Toc225377213"/>
      <w:bookmarkEnd w:id="36"/>
      <w:r>
        <w:rPr>
          <w:rFonts w:eastAsia="Palatino Linotype"/>
          <w:b/>
          <w:spacing w:val="-1"/>
          <w:sz w:val="22"/>
          <w:szCs w:val="22"/>
          <w:lang w:val="es-ES"/>
        </w:rPr>
        <w:t xml:space="preserve">12.1 </w:t>
      </w:r>
      <w:proofErr w:type="spellStart"/>
      <w:r>
        <w:rPr>
          <w:rFonts w:eastAsia="Palatino Linotype"/>
          <w:b/>
          <w:spacing w:val="-1"/>
          <w:sz w:val="22"/>
          <w:szCs w:val="22"/>
          <w:lang w:val="es-ES"/>
        </w:rPr>
        <w:t>Presentation</w:t>
      </w:r>
      <w:proofErr w:type="spellEnd"/>
      <w:r>
        <w:rPr>
          <w:rFonts w:eastAsia="Palatino Linotype"/>
          <w:b/>
          <w:spacing w:val="-1"/>
          <w:sz w:val="22"/>
          <w:szCs w:val="22"/>
          <w:lang w:val="es-ES"/>
        </w:rPr>
        <w:tab/>
      </w:r>
    </w:p>
    <w:p w14:paraId="1984587F" w14:textId="77777777" w:rsidR="00E255F4" w:rsidRDefault="00E255F4">
      <w:pPr>
        <w:ind w:right="-142"/>
        <w:jc w:val="both"/>
        <w:rPr>
          <w:rFonts w:eastAsia="Palatino Linotype"/>
          <w:b/>
          <w:spacing w:val="1"/>
          <w:sz w:val="22"/>
          <w:szCs w:val="22"/>
          <w:lang w:val="es-ES"/>
        </w:rPr>
      </w:pPr>
    </w:p>
    <w:p w14:paraId="0543C3CD" w14:textId="77777777" w:rsidR="00E255F4" w:rsidRDefault="00000000">
      <w:pPr>
        <w:ind w:right="-142"/>
        <w:jc w:val="both"/>
        <w:rPr>
          <w:rFonts w:eastAsia="Palatino Linotype"/>
          <w:sz w:val="22"/>
          <w:szCs w:val="22"/>
          <w:lang w:val="es-ES"/>
        </w:rPr>
      </w:pPr>
      <w:proofErr w:type="spellStart"/>
      <w:r>
        <w:rPr>
          <w:rFonts w:eastAsia="Palatino Linotype"/>
          <w:spacing w:val="1"/>
          <w:sz w:val="22"/>
          <w:szCs w:val="22"/>
          <w:lang w:val="es-ES"/>
        </w:rPr>
        <w:t>L</w:t>
      </w:r>
      <w:r>
        <w:rPr>
          <w:rFonts w:eastAsia="Palatino Linotype"/>
          <w:sz w:val="22"/>
          <w:szCs w:val="22"/>
          <w:lang w:val="es-ES"/>
        </w:rPr>
        <w:t>The</w:t>
      </w:r>
      <w:proofErr w:type="spellEnd"/>
      <w:r>
        <w:rPr>
          <w:rFonts w:eastAsia="Palatino Linotype"/>
          <w:sz w:val="22"/>
          <w:szCs w:val="22"/>
          <w:lang w:val="es-ES"/>
        </w:rPr>
        <w:t xml:space="preserve"> </w:t>
      </w:r>
      <w:proofErr w:type="spellStart"/>
      <w:r>
        <w:rPr>
          <w:rFonts w:eastAsia="Palatino Linotype"/>
          <w:sz w:val="22"/>
          <w:szCs w:val="22"/>
          <w:lang w:val="es-ES"/>
        </w:rPr>
        <w:t>submission</w:t>
      </w:r>
      <w:proofErr w:type="spellEnd"/>
      <w:r>
        <w:rPr>
          <w:rFonts w:eastAsia="Palatino Linotype"/>
          <w:sz w:val="22"/>
          <w:szCs w:val="22"/>
          <w:lang w:val="es-ES"/>
        </w:rPr>
        <w:t xml:space="preserve"> </w:t>
      </w:r>
      <w:proofErr w:type="spellStart"/>
      <w:r>
        <w:rPr>
          <w:rFonts w:eastAsia="Palatino Linotype"/>
          <w:sz w:val="22"/>
          <w:szCs w:val="22"/>
          <w:lang w:val="es-ES"/>
        </w:rPr>
        <w:t>of</w:t>
      </w:r>
      <w:proofErr w:type="spellEnd"/>
      <w:r>
        <w:rPr>
          <w:rFonts w:eastAsia="Palatino Linotype"/>
          <w:sz w:val="22"/>
          <w:szCs w:val="22"/>
          <w:lang w:val="es-ES"/>
        </w:rPr>
        <w:t xml:space="preserve"> </w:t>
      </w:r>
      <w:proofErr w:type="spellStart"/>
      <w:r>
        <w:rPr>
          <w:rFonts w:eastAsia="Palatino Linotype"/>
          <w:sz w:val="22"/>
          <w:szCs w:val="22"/>
          <w:lang w:val="es-ES"/>
        </w:rPr>
        <w:t>bids</w:t>
      </w:r>
      <w:proofErr w:type="spellEnd"/>
      <w:r>
        <w:rPr>
          <w:rFonts w:eastAsia="Palatino Linotype"/>
          <w:sz w:val="22"/>
          <w:szCs w:val="22"/>
          <w:lang w:val="es-ES"/>
        </w:rPr>
        <w:t xml:space="preserve"> </w:t>
      </w:r>
      <w:proofErr w:type="spellStart"/>
      <w:r>
        <w:rPr>
          <w:rFonts w:eastAsia="Palatino Linotype"/>
          <w:sz w:val="22"/>
          <w:szCs w:val="22"/>
          <w:lang w:val="es-ES"/>
        </w:rPr>
        <w:t>may</w:t>
      </w:r>
      <w:proofErr w:type="spellEnd"/>
      <w:r>
        <w:rPr>
          <w:rFonts w:eastAsia="Palatino Linotype"/>
          <w:sz w:val="22"/>
          <w:szCs w:val="22"/>
          <w:lang w:val="es-ES"/>
        </w:rPr>
        <w:t xml:space="preserve"> be </w:t>
      </w:r>
      <w:proofErr w:type="spellStart"/>
      <w:r>
        <w:rPr>
          <w:rFonts w:eastAsia="Palatino Linotype"/>
          <w:sz w:val="22"/>
          <w:szCs w:val="22"/>
          <w:lang w:val="es-ES"/>
        </w:rPr>
        <w:t>made</w:t>
      </w:r>
      <w:proofErr w:type="spellEnd"/>
      <w:r>
        <w:rPr>
          <w:rFonts w:eastAsia="Palatino Linotype"/>
          <w:sz w:val="22"/>
          <w:szCs w:val="22"/>
          <w:lang w:val="es-ES"/>
        </w:rPr>
        <w:t xml:space="preserve"> in </w:t>
      </w:r>
      <w:proofErr w:type="spellStart"/>
      <w:r>
        <w:rPr>
          <w:rFonts w:eastAsia="Palatino Linotype"/>
          <w:sz w:val="22"/>
          <w:szCs w:val="22"/>
          <w:lang w:val="es-ES"/>
        </w:rPr>
        <w:t>person</w:t>
      </w:r>
      <w:proofErr w:type="spellEnd"/>
      <w:r>
        <w:rPr>
          <w:rFonts w:eastAsia="Palatino Linotype"/>
          <w:sz w:val="22"/>
          <w:szCs w:val="22"/>
          <w:lang w:val="es-ES"/>
        </w:rPr>
        <w:t xml:space="preserve"> </w:t>
      </w:r>
      <w:proofErr w:type="spellStart"/>
      <w:r>
        <w:rPr>
          <w:rFonts w:eastAsia="Palatino Linotype"/>
          <w:sz w:val="22"/>
          <w:szCs w:val="22"/>
          <w:lang w:val="es-ES"/>
        </w:rPr>
        <w:t>against</w:t>
      </w:r>
      <w:proofErr w:type="spellEnd"/>
      <w:r>
        <w:rPr>
          <w:rFonts w:eastAsia="Palatino Linotype"/>
          <w:sz w:val="22"/>
          <w:szCs w:val="22"/>
          <w:lang w:val="es-ES"/>
        </w:rPr>
        <w:t xml:space="preserve"> </w:t>
      </w:r>
      <w:proofErr w:type="spellStart"/>
      <w:r>
        <w:rPr>
          <w:rFonts w:eastAsia="Palatino Linotype"/>
          <w:sz w:val="22"/>
          <w:szCs w:val="22"/>
          <w:lang w:val="es-ES"/>
        </w:rPr>
        <w:t>receipt</w:t>
      </w:r>
      <w:proofErr w:type="spellEnd"/>
      <w:r>
        <w:rPr>
          <w:rFonts w:eastAsia="Palatino Linotype"/>
          <w:sz w:val="22"/>
          <w:szCs w:val="22"/>
          <w:lang w:val="es-ES"/>
        </w:rPr>
        <w:t xml:space="preserve">, </w:t>
      </w:r>
      <w:proofErr w:type="spellStart"/>
      <w:r>
        <w:rPr>
          <w:rFonts w:eastAsia="Palatino Linotype"/>
          <w:sz w:val="22"/>
          <w:szCs w:val="22"/>
          <w:lang w:val="es-ES"/>
        </w:rPr>
        <w:t>or</w:t>
      </w:r>
      <w:proofErr w:type="spellEnd"/>
      <w:r>
        <w:rPr>
          <w:rFonts w:eastAsia="Palatino Linotype"/>
          <w:sz w:val="22"/>
          <w:szCs w:val="22"/>
          <w:lang w:val="es-ES"/>
        </w:rPr>
        <w:t xml:space="preserve"> </w:t>
      </w:r>
      <w:proofErr w:type="spellStart"/>
      <w:r>
        <w:rPr>
          <w:rFonts w:eastAsia="Palatino Linotype"/>
          <w:sz w:val="22"/>
          <w:szCs w:val="22"/>
          <w:lang w:val="es-ES"/>
        </w:rPr>
        <w:t>by</w:t>
      </w:r>
      <w:proofErr w:type="spellEnd"/>
      <w:r>
        <w:rPr>
          <w:rFonts w:eastAsia="Palatino Linotype"/>
          <w:sz w:val="22"/>
          <w:szCs w:val="22"/>
          <w:lang w:val="es-ES"/>
        </w:rPr>
        <w:t xml:space="preserve"> mail, fax, online </w:t>
      </w:r>
      <w:proofErr w:type="spellStart"/>
      <w:r>
        <w:rPr>
          <w:rFonts w:eastAsia="Palatino Linotype"/>
          <w:sz w:val="22"/>
          <w:szCs w:val="22"/>
          <w:lang w:val="es-ES"/>
        </w:rPr>
        <w:t>through</w:t>
      </w:r>
      <w:proofErr w:type="spellEnd"/>
      <w:r>
        <w:rPr>
          <w:rFonts w:eastAsia="Palatino Linotype"/>
          <w:sz w:val="22"/>
          <w:szCs w:val="22"/>
          <w:lang w:val="es-ES"/>
        </w:rPr>
        <w:t xml:space="preserve"> </w:t>
      </w:r>
      <w:proofErr w:type="spellStart"/>
      <w:r>
        <w:rPr>
          <w:rFonts w:eastAsia="Palatino Linotype"/>
          <w:sz w:val="22"/>
          <w:szCs w:val="22"/>
          <w:lang w:val="es-ES"/>
        </w:rPr>
        <w:t>the</w:t>
      </w:r>
      <w:proofErr w:type="spellEnd"/>
      <w:r>
        <w:rPr>
          <w:rFonts w:eastAsia="Palatino Linotype"/>
          <w:sz w:val="22"/>
          <w:szCs w:val="22"/>
          <w:lang w:val="es-ES"/>
        </w:rPr>
        <w:t xml:space="preserve"> State </w:t>
      </w:r>
      <w:proofErr w:type="spellStart"/>
      <w:r>
        <w:rPr>
          <w:rFonts w:eastAsia="Palatino Linotype"/>
          <w:sz w:val="22"/>
          <w:szCs w:val="22"/>
          <w:lang w:val="es-ES"/>
        </w:rPr>
        <w:t>Procurement</w:t>
      </w:r>
      <w:proofErr w:type="spellEnd"/>
      <w:r>
        <w:rPr>
          <w:rFonts w:eastAsia="Palatino Linotype"/>
          <w:sz w:val="22"/>
          <w:szCs w:val="22"/>
          <w:lang w:val="es-ES"/>
        </w:rPr>
        <w:t xml:space="preserve"> and </w:t>
      </w:r>
      <w:proofErr w:type="spellStart"/>
      <w:r>
        <w:rPr>
          <w:rFonts w:eastAsia="Palatino Linotype"/>
          <w:sz w:val="22"/>
          <w:szCs w:val="22"/>
          <w:lang w:val="es-ES"/>
        </w:rPr>
        <w:t>Contracting</w:t>
      </w:r>
      <w:proofErr w:type="spellEnd"/>
      <w:r>
        <w:rPr>
          <w:rFonts w:eastAsia="Palatino Linotype"/>
          <w:sz w:val="22"/>
          <w:szCs w:val="22"/>
          <w:lang w:val="es-ES"/>
        </w:rPr>
        <w:t xml:space="preserve"> </w:t>
      </w:r>
      <w:proofErr w:type="spellStart"/>
      <w:r>
        <w:rPr>
          <w:rFonts w:eastAsia="Palatino Linotype"/>
          <w:sz w:val="22"/>
          <w:szCs w:val="22"/>
          <w:lang w:val="es-ES"/>
        </w:rPr>
        <w:t>websites</w:t>
      </w:r>
      <w:proofErr w:type="spellEnd"/>
      <w:r>
        <w:rPr>
          <w:rFonts w:eastAsia="Palatino Linotype"/>
          <w:sz w:val="22"/>
          <w:szCs w:val="22"/>
          <w:lang w:val="es-ES"/>
        </w:rPr>
        <w:t xml:space="preserve"> </w:t>
      </w:r>
      <w:proofErr w:type="spellStart"/>
      <w:r>
        <w:rPr>
          <w:rFonts w:eastAsia="Palatino Linotype"/>
          <w:sz w:val="22"/>
          <w:szCs w:val="22"/>
          <w:lang w:val="es-ES"/>
        </w:rPr>
        <w:t>or</w:t>
      </w:r>
      <w:proofErr w:type="spellEnd"/>
      <w:r>
        <w:rPr>
          <w:rFonts w:eastAsia="Palatino Linotype"/>
          <w:sz w:val="22"/>
          <w:szCs w:val="22"/>
          <w:lang w:val="es-ES"/>
        </w:rPr>
        <w:t xml:space="preserve"> </w:t>
      </w:r>
      <w:proofErr w:type="spellStart"/>
      <w:r>
        <w:rPr>
          <w:rFonts w:eastAsia="Palatino Linotype"/>
          <w:sz w:val="22"/>
          <w:szCs w:val="22"/>
          <w:lang w:val="es-ES"/>
        </w:rPr>
        <w:t>other</w:t>
      </w:r>
      <w:proofErr w:type="spellEnd"/>
      <w:r>
        <w:rPr>
          <w:rFonts w:eastAsia="Palatino Linotype"/>
          <w:sz w:val="22"/>
          <w:szCs w:val="22"/>
          <w:lang w:val="es-ES"/>
        </w:rPr>
        <w:t xml:space="preserve"> remote </w:t>
      </w:r>
      <w:proofErr w:type="spellStart"/>
      <w:r>
        <w:rPr>
          <w:rFonts w:eastAsia="Palatino Linotype"/>
          <w:sz w:val="22"/>
          <w:szCs w:val="22"/>
          <w:lang w:val="es-ES"/>
        </w:rPr>
        <w:t>means</w:t>
      </w:r>
      <w:proofErr w:type="spellEnd"/>
      <w:r>
        <w:rPr>
          <w:rFonts w:eastAsia="Palatino Linotype"/>
          <w:sz w:val="22"/>
          <w:szCs w:val="22"/>
          <w:lang w:val="es-ES"/>
        </w:rPr>
        <w:t xml:space="preserve"> </w:t>
      </w:r>
      <w:proofErr w:type="spellStart"/>
      <w:r>
        <w:rPr>
          <w:rFonts w:eastAsia="Palatino Linotype"/>
          <w:sz w:val="22"/>
          <w:szCs w:val="22"/>
          <w:lang w:val="es-ES"/>
        </w:rPr>
        <w:t>of</w:t>
      </w:r>
      <w:proofErr w:type="spellEnd"/>
      <w:r>
        <w:rPr>
          <w:rFonts w:eastAsia="Palatino Linotype"/>
          <w:sz w:val="22"/>
          <w:szCs w:val="22"/>
          <w:lang w:val="es-ES"/>
        </w:rPr>
        <w:t xml:space="preserve"> </w:t>
      </w:r>
      <w:proofErr w:type="spellStart"/>
      <w:r>
        <w:rPr>
          <w:rFonts w:eastAsia="Palatino Linotype"/>
          <w:sz w:val="22"/>
          <w:szCs w:val="22"/>
          <w:lang w:val="es-ES"/>
        </w:rPr>
        <w:t>electronic</w:t>
      </w:r>
      <w:proofErr w:type="spellEnd"/>
      <w:r>
        <w:rPr>
          <w:rFonts w:eastAsia="Palatino Linotype"/>
          <w:sz w:val="22"/>
          <w:szCs w:val="22"/>
          <w:lang w:val="es-ES"/>
        </w:rPr>
        <w:t xml:space="preserve"> </w:t>
      </w:r>
      <w:proofErr w:type="spellStart"/>
      <w:r>
        <w:rPr>
          <w:rFonts w:eastAsia="Palatino Linotype"/>
          <w:sz w:val="22"/>
          <w:szCs w:val="22"/>
          <w:lang w:val="es-ES"/>
        </w:rPr>
        <w:t>communication</w:t>
      </w:r>
      <w:proofErr w:type="spellEnd"/>
      <w:r>
        <w:rPr>
          <w:rFonts w:eastAsia="Palatino Linotype"/>
          <w:sz w:val="22"/>
          <w:szCs w:val="22"/>
          <w:lang w:val="es-ES"/>
        </w:rPr>
        <w:t xml:space="preserve"> as </w:t>
      </w:r>
      <w:proofErr w:type="spellStart"/>
      <w:r>
        <w:rPr>
          <w:rFonts w:eastAsia="Palatino Linotype"/>
          <w:sz w:val="22"/>
          <w:szCs w:val="22"/>
          <w:lang w:val="es-ES"/>
        </w:rPr>
        <w:t>provided</w:t>
      </w:r>
      <w:proofErr w:type="spellEnd"/>
      <w:r>
        <w:rPr>
          <w:rFonts w:eastAsia="Palatino Linotype"/>
          <w:sz w:val="22"/>
          <w:szCs w:val="22"/>
          <w:lang w:val="es-ES"/>
        </w:rPr>
        <w:t xml:space="preserve"> in </w:t>
      </w:r>
      <w:proofErr w:type="spellStart"/>
      <w:r>
        <w:rPr>
          <w:rFonts w:eastAsia="Palatino Linotype"/>
          <w:sz w:val="22"/>
          <w:szCs w:val="22"/>
          <w:lang w:val="es-ES"/>
        </w:rPr>
        <w:t>the</w:t>
      </w:r>
      <w:proofErr w:type="spellEnd"/>
      <w:r>
        <w:rPr>
          <w:rFonts w:eastAsia="Palatino Linotype"/>
          <w:sz w:val="22"/>
          <w:szCs w:val="22"/>
          <w:lang w:val="es-ES"/>
        </w:rPr>
        <w:t xml:space="preserve"> </w:t>
      </w:r>
      <w:proofErr w:type="spellStart"/>
      <w:r>
        <w:rPr>
          <w:rFonts w:eastAsia="Palatino Linotype"/>
          <w:sz w:val="22"/>
          <w:szCs w:val="22"/>
          <w:lang w:val="es-ES"/>
        </w:rPr>
        <w:t>call</w:t>
      </w:r>
      <w:proofErr w:type="spellEnd"/>
      <w:r>
        <w:rPr>
          <w:rFonts w:eastAsia="Palatino Linotype"/>
          <w:sz w:val="22"/>
          <w:szCs w:val="22"/>
          <w:lang w:val="es-ES"/>
        </w:rPr>
        <w:t xml:space="preserve">, </w:t>
      </w:r>
      <w:proofErr w:type="spellStart"/>
      <w:r>
        <w:rPr>
          <w:rFonts w:eastAsia="Palatino Linotype"/>
          <w:sz w:val="22"/>
          <w:szCs w:val="22"/>
          <w:lang w:val="es-ES"/>
        </w:rPr>
        <w:t>those</w:t>
      </w:r>
      <w:proofErr w:type="spellEnd"/>
      <w:r>
        <w:rPr>
          <w:rFonts w:eastAsia="Palatino Linotype"/>
          <w:sz w:val="22"/>
          <w:szCs w:val="22"/>
          <w:lang w:val="es-ES"/>
        </w:rPr>
        <w:t xml:space="preserve"> </w:t>
      </w:r>
      <w:proofErr w:type="spellStart"/>
      <w:r>
        <w:rPr>
          <w:rFonts w:eastAsia="Palatino Linotype"/>
          <w:sz w:val="22"/>
          <w:szCs w:val="22"/>
          <w:lang w:val="es-ES"/>
        </w:rPr>
        <w:t>that</w:t>
      </w:r>
      <w:proofErr w:type="spellEnd"/>
      <w:r>
        <w:rPr>
          <w:rFonts w:eastAsia="Palatino Linotype"/>
          <w:sz w:val="22"/>
          <w:szCs w:val="22"/>
          <w:lang w:val="es-ES"/>
        </w:rPr>
        <w:t xml:space="preserve"> </w:t>
      </w:r>
      <w:proofErr w:type="spellStart"/>
      <w:r>
        <w:rPr>
          <w:rFonts w:eastAsia="Palatino Linotype"/>
          <w:sz w:val="22"/>
          <w:szCs w:val="22"/>
          <w:lang w:val="es-ES"/>
        </w:rPr>
        <w:t>arrive</w:t>
      </w:r>
      <w:proofErr w:type="spellEnd"/>
      <w:r>
        <w:rPr>
          <w:rFonts w:eastAsia="Palatino Linotype"/>
          <w:sz w:val="22"/>
          <w:szCs w:val="22"/>
          <w:lang w:val="es-ES"/>
        </w:rPr>
        <w:t xml:space="preserve"> </w:t>
      </w:r>
      <w:proofErr w:type="spellStart"/>
      <w:r>
        <w:rPr>
          <w:rFonts w:eastAsia="Palatino Linotype"/>
          <w:sz w:val="22"/>
          <w:szCs w:val="22"/>
          <w:lang w:val="es-ES"/>
        </w:rPr>
        <w:t>outside</w:t>
      </w:r>
      <w:proofErr w:type="spellEnd"/>
      <w:r>
        <w:rPr>
          <w:rFonts w:eastAsia="Palatino Linotype"/>
          <w:sz w:val="22"/>
          <w:szCs w:val="22"/>
          <w:lang w:val="es-ES"/>
        </w:rPr>
        <w:t xml:space="preserve"> </w:t>
      </w:r>
      <w:proofErr w:type="spellStart"/>
      <w:r>
        <w:rPr>
          <w:rFonts w:eastAsia="Palatino Linotype"/>
          <w:sz w:val="22"/>
          <w:szCs w:val="22"/>
          <w:lang w:val="es-ES"/>
        </w:rPr>
        <w:t>the</w:t>
      </w:r>
      <w:proofErr w:type="spellEnd"/>
      <w:r>
        <w:rPr>
          <w:rFonts w:eastAsia="Palatino Linotype"/>
          <w:sz w:val="22"/>
          <w:szCs w:val="22"/>
          <w:lang w:val="es-ES"/>
        </w:rPr>
        <w:t xml:space="preserve"> </w:t>
      </w:r>
      <w:proofErr w:type="spellStart"/>
      <w:r>
        <w:rPr>
          <w:rFonts w:eastAsia="Palatino Linotype"/>
          <w:sz w:val="22"/>
          <w:szCs w:val="22"/>
          <w:lang w:val="es-ES"/>
        </w:rPr>
        <w:t>conditions</w:t>
      </w:r>
      <w:proofErr w:type="spellEnd"/>
      <w:r>
        <w:rPr>
          <w:rFonts w:eastAsia="Palatino Linotype"/>
          <w:sz w:val="22"/>
          <w:szCs w:val="22"/>
          <w:lang w:val="es-ES"/>
        </w:rPr>
        <w:t xml:space="preserve"> </w:t>
      </w:r>
      <w:proofErr w:type="spellStart"/>
      <w:r>
        <w:rPr>
          <w:rFonts w:eastAsia="Palatino Linotype"/>
          <w:sz w:val="22"/>
          <w:szCs w:val="22"/>
          <w:lang w:val="es-ES"/>
        </w:rPr>
        <w:t>established</w:t>
      </w:r>
      <w:proofErr w:type="spellEnd"/>
      <w:r>
        <w:rPr>
          <w:rFonts w:eastAsia="Palatino Linotype"/>
          <w:sz w:val="22"/>
          <w:szCs w:val="22"/>
          <w:lang w:val="es-ES"/>
        </w:rPr>
        <w:t xml:space="preserve"> in </w:t>
      </w:r>
      <w:proofErr w:type="spellStart"/>
      <w:r>
        <w:rPr>
          <w:rFonts w:eastAsia="Palatino Linotype"/>
          <w:sz w:val="22"/>
          <w:szCs w:val="22"/>
          <w:lang w:val="es-ES"/>
        </w:rPr>
        <w:t>the</w:t>
      </w:r>
      <w:proofErr w:type="spellEnd"/>
      <w:r>
        <w:rPr>
          <w:rFonts w:eastAsia="Palatino Linotype"/>
          <w:sz w:val="22"/>
          <w:szCs w:val="22"/>
          <w:lang w:val="es-ES"/>
        </w:rPr>
        <w:t xml:space="preserve"> Particular </w:t>
      </w:r>
      <w:proofErr w:type="spellStart"/>
      <w:r>
        <w:rPr>
          <w:rFonts w:eastAsia="Palatino Linotype"/>
          <w:sz w:val="22"/>
          <w:szCs w:val="22"/>
          <w:lang w:val="es-ES"/>
        </w:rPr>
        <w:t>Specification</w:t>
      </w:r>
      <w:proofErr w:type="spellEnd"/>
      <w:r>
        <w:rPr>
          <w:rFonts w:eastAsia="Palatino Linotype"/>
          <w:sz w:val="22"/>
          <w:szCs w:val="22"/>
          <w:lang w:val="es-ES"/>
        </w:rPr>
        <w:t xml:space="preserve"> </w:t>
      </w:r>
      <w:proofErr w:type="spellStart"/>
      <w:r>
        <w:rPr>
          <w:rFonts w:eastAsia="Palatino Linotype"/>
          <w:sz w:val="22"/>
          <w:szCs w:val="22"/>
          <w:lang w:val="es-ES"/>
        </w:rPr>
        <w:t>will</w:t>
      </w:r>
      <w:proofErr w:type="spellEnd"/>
      <w:r>
        <w:rPr>
          <w:rFonts w:eastAsia="Palatino Linotype"/>
          <w:sz w:val="22"/>
          <w:szCs w:val="22"/>
          <w:lang w:val="es-ES"/>
        </w:rPr>
        <w:t xml:space="preserve"> </w:t>
      </w:r>
      <w:proofErr w:type="spellStart"/>
      <w:r>
        <w:rPr>
          <w:rFonts w:eastAsia="Palatino Linotype"/>
          <w:sz w:val="22"/>
          <w:szCs w:val="22"/>
          <w:lang w:val="es-ES"/>
        </w:rPr>
        <w:t>not</w:t>
      </w:r>
      <w:proofErr w:type="spellEnd"/>
      <w:r>
        <w:rPr>
          <w:rFonts w:eastAsia="Palatino Linotype"/>
          <w:sz w:val="22"/>
          <w:szCs w:val="22"/>
          <w:lang w:val="es-ES"/>
        </w:rPr>
        <w:t xml:space="preserve"> be </w:t>
      </w:r>
      <w:proofErr w:type="spellStart"/>
      <w:r>
        <w:rPr>
          <w:rFonts w:eastAsia="Palatino Linotype"/>
          <w:sz w:val="22"/>
          <w:szCs w:val="22"/>
          <w:lang w:val="es-ES"/>
        </w:rPr>
        <w:t>accepted</w:t>
      </w:r>
      <w:proofErr w:type="spellEnd"/>
      <w:r>
        <w:rPr>
          <w:rFonts w:eastAsia="Palatino Linotype"/>
          <w:sz w:val="22"/>
          <w:szCs w:val="22"/>
          <w:lang w:val="es-ES"/>
        </w:rPr>
        <w:t>.</w:t>
      </w:r>
    </w:p>
    <w:p w14:paraId="13BB43C7" w14:textId="77777777" w:rsidR="00E255F4" w:rsidRDefault="00E255F4">
      <w:pPr>
        <w:ind w:right="-142"/>
        <w:jc w:val="both"/>
        <w:rPr>
          <w:rFonts w:eastAsia="Palatino Linotype"/>
          <w:spacing w:val="-2"/>
          <w:sz w:val="22"/>
          <w:szCs w:val="22"/>
          <w:lang w:val="es-ES"/>
        </w:rPr>
      </w:pPr>
    </w:p>
    <w:p w14:paraId="1223D488" w14:textId="77777777" w:rsidR="00E255F4" w:rsidRDefault="00000000">
      <w:pPr>
        <w:ind w:right="-142"/>
        <w:jc w:val="both"/>
        <w:rPr>
          <w:rFonts w:eastAsia="Palatino Linotype"/>
          <w:sz w:val="22"/>
          <w:szCs w:val="22"/>
          <w:lang w:val="es-ES"/>
        </w:rPr>
      </w:pPr>
      <w:proofErr w:type="spellStart"/>
      <w:r>
        <w:rPr>
          <w:rFonts w:eastAsia="Palatino Linotype"/>
          <w:spacing w:val="-2"/>
          <w:sz w:val="22"/>
          <w:szCs w:val="22"/>
          <w:lang w:val="es-ES"/>
        </w:rPr>
        <w:t>AND</w:t>
      </w:r>
      <w:r>
        <w:rPr>
          <w:rFonts w:eastAsia="Palatino Linotype"/>
          <w:sz w:val="22"/>
          <w:szCs w:val="22"/>
          <w:lang w:val="es-ES"/>
        </w:rPr>
        <w:t>The</w:t>
      </w:r>
      <w:proofErr w:type="spellEnd"/>
      <w:r>
        <w:rPr>
          <w:rFonts w:eastAsia="Palatino Linotype"/>
          <w:sz w:val="22"/>
          <w:szCs w:val="22"/>
          <w:lang w:val="es-ES"/>
        </w:rPr>
        <w:t xml:space="preserve"> </w:t>
      </w:r>
      <w:proofErr w:type="spellStart"/>
      <w:r>
        <w:rPr>
          <w:rFonts w:eastAsia="Palatino Linotype"/>
          <w:sz w:val="22"/>
          <w:szCs w:val="22"/>
          <w:lang w:val="es-ES"/>
        </w:rPr>
        <w:t>safekeeping</w:t>
      </w:r>
      <w:proofErr w:type="spellEnd"/>
      <w:r>
        <w:rPr>
          <w:rFonts w:eastAsia="Palatino Linotype"/>
          <w:sz w:val="22"/>
          <w:szCs w:val="22"/>
          <w:lang w:val="es-ES"/>
        </w:rPr>
        <w:t xml:space="preserve"> </w:t>
      </w:r>
      <w:proofErr w:type="spellStart"/>
      <w:r>
        <w:rPr>
          <w:rFonts w:eastAsia="Palatino Linotype"/>
          <w:sz w:val="22"/>
          <w:szCs w:val="22"/>
          <w:lang w:val="es-ES"/>
        </w:rPr>
        <w:t>of</w:t>
      </w:r>
      <w:proofErr w:type="spellEnd"/>
      <w:r>
        <w:rPr>
          <w:rFonts w:eastAsia="Palatino Linotype"/>
          <w:sz w:val="22"/>
          <w:szCs w:val="22"/>
          <w:lang w:val="es-ES"/>
        </w:rPr>
        <w:t xml:space="preserve"> </w:t>
      </w:r>
      <w:proofErr w:type="spellStart"/>
      <w:r>
        <w:rPr>
          <w:rFonts w:eastAsia="Palatino Linotype"/>
          <w:sz w:val="22"/>
          <w:szCs w:val="22"/>
          <w:lang w:val="es-ES"/>
        </w:rPr>
        <w:t>the</w:t>
      </w:r>
      <w:proofErr w:type="spellEnd"/>
      <w:r>
        <w:rPr>
          <w:rFonts w:eastAsia="Palatino Linotype"/>
          <w:sz w:val="22"/>
          <w:szCs w:val="22"/>
          <w:lang w:val="es-ES"/>
        </w:rPr>
        <w:t xml:space="preserve"> </w:t>
      </w:r>
      <w:proofErr w:type="spellStart"/>
      <w:r>
        <w:rPr>
          <w:rFonts w:eastAsia="Palatino Linotype"/>
          <w:sz w:val="22"/>
          <w:szCs w:val="22"/>
          <w:lang w:val="es-ES"/>
        </w:rPr>
        <w:t>bids</w:t>
      </w:r>
      <w:proofErr w:type="spellEnd"/>
      <w:r>
        <w:rPr>
          <w:rFonts w:eastAsia="Palatino Linotype"/>
          <w:sz w:val="22"/>
          <w:szCs w:val="22"/>
          <w:lang w:val="es-ES"/>
        </w:rPr>
        <w:t xml:space="preserve">, in </w:t>
      </w:r>
      <w:proofErr w:type="spellStart"/>
      <w:r>
        <w:rPr>
          <w:rFonts w:eastAsia="Palatino Linotype"/>
          <w:sz w:val="22"/>
          <w:szCs w:val="22"/>
          <w:lang w:val="es-ES"/>
        </w:rPr>
        <w:t>all</w:t>
      </w:r>
      <w:proofErr w:type="spellEnd"/>
      <w:r>
        <w:rPr>
          <w:rFonts w:eastAsia="Palatino Linotype"/>
          <w:sz w:val="22"/>
          <w:szCs w:val="22"/>
          <w:lang w:val="es-ES"/>
        </w:rPr>
        <w:t xml:space="preserve"> cases, </w:t>
      </w:r>
      <w:proofErr w:type="spellStart"/>
      <w:r>
        <w:rPr>
          <w:rFonts w:eastAsia="Palatino Linotype"/>
          <w:sz w:val="22"/>
          <w:szCs w:val="22"/>
          <w:lang w:val="es-ES"/>
        </w:rPr>
        <w:t>will</w:t>
      </w:r>
      <w:proofErr w:type="spellEnd"/>
      <w:r>
        <w:rPr>
          <w:rFonts w:eastAsia="Palatino Linotype"/>
          <w:sz w:val="22"/>
          <w:szCs w:val="22"/>
          <w:lang w:val="es-ES"/>
        </w:rPr>
        <w:t xml:space="preserve"> be </w:t>
      </w:r>
      <w:proofErr w:type="spellStart"/>
      <w:r>
        <w:rPr>
          <w:rFonts w:eastAsia="Palatino Linotype"/>
          <w:sz w:val="22"/>
          <w:szCs w:val="22"/>
          <w:lang w:val="es-ES"/>
        </w:rPr>
        <w:t>the</w:t>
      </w:r>
      <w:proofErr w:type="spellEnd"/>
      <w:r>
        <w:rPr>
          <w:rFonts w:eastAsia="Palatino Linotype"/>
          <w:sz w:val="22"/>
          <w:szCs w:val="22"/>
          <w:lang w:val="es-ES"/>
        </w:rPr>
        <w:t xml:space="preserve"> </w:t>
      </w:r>
      <w:proofErr w:type="spellStart"/>
      <w:r>
        <w:rPr>
          <w:rFonts w:eastAsia="Palatino Linotype"/>
          <w:sz w:val="22"/>
          <w:szCs w:val="22"/>
          <w:lang w:val="es-ES"/>
        </w:rPr>
        <w:t>responsibility</w:t>
      </w:r>
      <w:proofErr w:type="spellEnd"/>
      <w:r>
        <w:rPr>
          <w:rFonts w:eastAsia="Palatino Linotype"/>
          <w:sz w:val="22"/>
          <w:szCs w:val="22"/>
          <w:lang w:val="es-ES"/>
        </w:rPr>
        <w:t xml:space="preserve"> </w:t>
      </w:r>
      <w:proofErr w:type="spellStart"/>
      <w:r>
        <w:rPr>
          <w:rFonts w:eastAsia="Palatino Linotype"/>
          <w:sz w:val="22"/>
          <w:szCs w:val="22"/>
          <w:lang w:val="es-ES"/>
        </w:rPr>
        <w:t>of</w:t>
      </w:r>
      <w:proofErr w:type="spellEnd"/>
      <w:r>
        <w:rPr>
          <w:rFonts w:eastAsia="Palatino Linotype"/>
          <w:sz w:val="22"/>
          <w:szCs w:val="22"/>
          <w:lang w:val="es-ES"/>
        </w:rPr>
        <w:t xml:space="preserve"> </w:t>
      </w:r>
      <w:proofErr w:type="spellStart"/>
      <w:r>
        <w:rPr>
          <w:rFonts w:eastAsia="Palatino Linotype"/>
          <w:sz w:val="22"/>
          <w:szCs w:val="22"/>
          <w:lang w:val="es-ES"/>
        </w:rPr>
        <w:t>the</w:t>
      </w:r>
      <w:proofErr w:type="spellEnd"/>
      <w:r>
        <w:rPr>
          <w:rFonts w:eastAsia="Palatino Linotype"/>
          <w:sz w:val="22"/>
          <w:szCs w:val="22"/>
          <w:lang w:val="es-ES"/>
        </w:rPr>
        <w:t xml:space="preserve"> </w:t>
      </w:r>
      <w:proofErr w:type="spellStart"/>
      <w:r>
        <w:rPr>
          <w:rFonts w:eastAsia="Palatino Linotype"/>
          <w:sz w:val="22"/>
          <w:szCs w:val="22"/>
          <w:lang w:val="es-ES"/>
        </w:rPr>
        <w:t>contracting</w:t>
      </w:r>
      <w:proofErr w:type="spellEnd"/>
      <w:r>
        <w:rPr>
          <w:rFonts w:eastAsia="Palatino Linotype"/>
          <w:sz w:val="22"/>
          <w:szCs w:val="22"/>
          <w:lang w:val="es-ES"/>
        </w:rPr>
        <w:t xml:space="preserve"> </w:t>
      </w:r>
      <w:proofErr w:type="spellStart"/>
      <w:r>
        <w:rPr>
          <w:rFonts w:eastAsia="Palatino Linotype"/>
          <w:sz w:val="22"/>
          <w:szCs w:val="22"/>
          <w:lang w:val="es-ES"/>
        </w:rPr>
        <w:t>Administration</w:t>
      </w:r>
      <w:proofErr w:type="spellEnd"/>
      <w:r>
        <w:rPr>
          <w:rFonts w:eastAsia="Palatino Linotype"/>
          <w:sz w:val="22"/>
          <w:szCs w:val="22"/>
          <w:lang w:val="es-ES"/>
        </w:rPr>
        <w:t xml:space="preserve">, </w:t>
      </w:r>
      <w:proofErr w:type="spellStart"/>
      <w:r>
        <w:rPr>
          <w:rFonts w:eastAsia="Palatino Linotype"/>
          <w:sz w:val="22"/>
          <w:szCs w:val="22"/>
          <w:lang w:val="es-ES"/>
        </w:rPr>
        <w:t>ensuring</w:t>
      </w:r>
      <w:proofErr w:type="spellEnd"/>
      <w:r>
        <w:rPr>
          <w:rFonts w:eastAsia="Palatino Linotype"/>
          <w:sz w:val="22"/>
          <w:szCs w:val="22"/>
          <w:lang w:val="es-ES"/>
        </w:rPr>
        <w:t xml:space="preserve"> </w:t>
      </w:r>
      <w:proofErr w:type="spellStart"/>
      <w:r>
        <w:rPr>
          <w:rFonts w:eastAsia="Palatino Linotype"/>
          <w:sz w:val="22"/>
          <w:szCs w:val="22"/>
          <w:lang w:val="es-ES"/>
        </w:rPr>
        <w:t>their</w:t>
      </w:r>
      <w:proofErr w:type="spellEnd"/>
      <w:r>
        <w:rPr>
          <w:rFonts w:eastAsia="Palatino Linotype"/>
          <w:sz w:val="22"/>
          <w:szCs w:val="22"/>
          <w:lang w:val="es-ES"/>
        </w:rPr>
        <w:t xml:space="preserve"> </w:t>
      </w:r>
      <w:proofErr w:type="spellStart"/>
      <w:r>
        <w:rPr>
          <w:rFonts w:eastAsia="Palatino Linotype"/>
          <w:sz w:val="22"/>
          <w:szCs w:val="22"/>
          <w:lang w:val="es-ES"/>
        </w:rPr>
        <w:t>confidentiality</w:t>
      </w:r>
      <w:proofErr w:type="spellEnd"/>
      <w:r>
        <w:rPr>
          <w:rFonts w:eastAsia="Palatino Linotype"/>
          <w:sz w:val="22"/>
          <w:szCs w:val="22"/>
          <w:lang w:val="es-ES"/>
        </w:rPr>
        <w:t xml:space="preserve"> and </w:t>
      </w:r>
      <w:proofErr w:type="spellStart"/>
      <w:r>
        <w:rPr>
          <w:rFonts w:eastAsia="Palatino Linotype"/>
          <w:sz w:val="22"/>
          <w:szCs w:val="22"/>
          <w:lang w:val="es-ES"/>
        </w:rPr>
        <w:t>inviolability</w:t>
      </w:r>
      <w:proofErr w:type="spellEnd"/>
      <w:r>
        <w:rPr>
          <w:rFonts w:eastAsia="Palatino Linotype"/>
          <w:sz w:val="22"/>
          <w:szCs w:val="22"/>
          <w:lang w:val="es-ES"/>
        </w:rPr>
        <w:t xml:space="preserve"> </w:t>
      </w:r>
      <w:proofErr w:type="spellStart"/>
      <w:r>
        <w:rPr>
          <w:rFonts w:eastAsia="Palatino Linotype"/>
          <w:sz w:val="22"/>
          <w:szCs w:val="22"/>
          <w:lang w:val="es-ES"/>
        </w:rPr>
        <w:t>until</w:t>
      </w:r>
      <w:proofErr w:type="spellEnd"/>
      <w:r>
        <w:rPr>
          <w:rFonts w:eastAsia="Palatino Linotype"/>
          <w:sz w:val="22"/>
          <w:szCs w:val="22"/>
          <w:lang w:val="es-ES"/>
        </w:rPr>
        <w:t xml:space="preserve"> </w:t>
      </w:r>
      <w:proofErr w:type="spellStart"/>
      <w:r>
        <w:rPr>
          <w:rFonts w:eastAsia="Palatino Linotype"/>
          <w:sz w:val="22"/>
          <w:szCs w:val="22"/>
          <w:lang w:val="es-ES"/>
        </w:rPr>
        <w:t>the</w:t>
      </w:r>
      <w:proofErr w:type="spellEnd"/>
      <w:r>
        <w:rPr>
          <w:rFonts w:eastAsia="Palatino Linotype"/>
          <w:sz w:val="22"/>
          <w:szCs w:val="22"/>
          <w:lang w:val="es-ES"/>
        </w:rPr>
        <w:t xml:space="preserve"> time </w:t>
      </w:r>
      <w:proofErr w:type="spellStart"/>
      <w:r>
        <w:rPr>
          <w:rFonts w:eastAsia="Palatino Linotype"/>
          <w:sz w:val="22"/>
          <w:szCs w:val="22"/>
          <w:lang w:val="es-ES"/>
        </w:rPr>
        <w:t>of</w:t>
      </w:r>
      <w:proofErr w:type="spellEnd"/>
      <w:r>
        <w:rPr>
          <w:rFonts w:eastAsia="Palatino Linotype"/>
          <w:sz w:val="22"/>
          <w:szCs w:val="22"/>
          <w:lang w:val="es-ES"/>
        </w:rPr>
        <w:t xml:space="preserve"> </w:t>
      </w:r>
      <w:proofErr w:type="spellStart"/>
      <w:r>
        <w:rPr>
          <w:rFonts w:eastAsia="Palatino Linotype"/>
          <w:sz w:val="22"/>
          <w:szCs w:val="22"/>
          <w:lang w:val="es-ES"/>
        </w:rPr>
        <w:t>opening</w:t>
      </w:r>
      <w:proofErr w:type="spellEnd"/>
      <w:r>
        <w:rPr>
          <w:rFonts w:eastAsia="Palatino Linotype"/>
          <w:sz w:val="22"/>
          <w:szCs w:val="22"/>
          <w:lang w:val="es-ES"/>
        </w:rPr>
        <w:t>.</w:t>
      </w:r>
    </w:p>
    <w:p w14:paraId="039D1178" w14:textId="77777777" w:rsidR="00E255F4" w:rsidRDefault="00E255F4">
      <w:pPr>
        <w:ind w:right="-142"/>
        <w:jc w:val="both"/>
        <w:rPr>
          <w:rFonts w:eastAsia="Palatino Linotype"/>
          <w:b/>
          <w:spacing w:val="-1"/>
          <w:sz w:val="22"/>
          <w:szCs w:val="22"/>
          <w:lang w:val="es-ES"/>
        </w:rPr>
      </w:pPr>
    </w:p>
    <w:p w14:paraId="3BB3D494" w14:textId="77777777" w:rsidR="00E255F4" w:rsidRDefault="00000000">
      <w:pPr>
        <w:ind w:right="-142"/>
        <w:jc w:val="both"/>
        <w:rPr>
          <w:rFonts w:eastAsia="Palatino Linotype"/>
          <w:sz w:val="22"/>
          <w:szCs w:val="22"/>
          <w:lang w:val="es-ES"/>
        </w:rPr>
      </w:pPr>
      <w:r>
        <w:rPr>
          <w:rFonts w:eastAsia="Palatino Linotype"/>
          <w:b/>
          <w:spacing w:val="-1"/>
          <w:sz w:val="22"/>
          <w:szCs w:val="22"/>
          <w:lang w:val="es-ES"/>
        </w:rPr>
        <w:t>12.</w:t>
      </w:r>
      <w:r>
        <w:rPr>
          <w:rFonts w:eastAsia="Palatino Linotype"/>
          <w:b/>
          <w:sz w:val="22"/>
          <w:szCs w:val="22"/>
          <w:lang w:val="es-ES"/>
        </w:rPr>
        <w:t>2</w:t>
      </w:r>
      <w:r>
        <w:rPr>
          <w:rFonts w:eastAsia="Palatino Linotype"/>
          <w:b/>
          <w:sz w:val="22"/>
          <w:szCs w:val="22"/>
          <w:lang w:val="es-ES"/>
        </w:rPr>
        <w:tab/>
      </w:r>
      <w:proofErr w:type="spellStart"/>
      <w:r>
        <w:rPr>
          <w:rFonts w:eastAsia="Palatino Linotype"/>
          <w:b/>
          <w:spacing w:val="-1"/>
          <w:sz w:val="22"/>
          <w:szCs w:val="22"/>
          <w:lang w:val="es-ES"/>
        </w:rPr>
        <w:t>Confidentiality</w:t>
      </w:r>
      <w:proofErr w:type="spellEnd"/>
    </w:p>
    <w:p w14:paraId="7CEEFD24" w14:textId="77777777" w:rsidR="00E255F4" w:rsidRDefault="00E255F4">
      <w:pPr>
        <w:ind w:right="-142"/>
        <w:jc w:val="both"/>
        <w:rPr>
          <w:rFonts w:eastAsia="Palatino Linotype"/>
          <w:spacing w:val="-3"/>
          <w:sz w:val="22"/>
          <w:szCs w:val="22"/>
          <w:lang w:val="es-ES"/>
        </w:rPr>
      </w:pPr>
    </w:p>
    <w:p w14:paraId="777243F0" w14:textId="77777777" w:rsidR="00E255F4" w:rsidRDefault="00000000">
      <w:pPr>
        <w:ind w:right="-142"/>
        <w:jc w:val="both"/>
        <w:rPr>
          <w:rFonts w:eastAsia="Palatino Linotype"/>
          <w:spacing w:val="-1"/>
          <w:position w:val="1"/>
          <w:sz w:val="22"/>
          <w:szCs w:val="22"/>
          <w:lang w:val="es-ES"/>
        </w:rPr>
      </w:pPr>
      <w:proofErr w:type="spellStart"/>
      <w:r>
        <w:rPr>
          <w:rFonts w:eastAsia="Palatino Linotype"/>
          <w:spacing w:val="-3"/>
          <w:sz w:val="22"/>
          <w:szCs w:val="22"/>
          <w:lang w:val="es-ES"/>
        </w:rPr>
        <w:t>AND</w:t>
      </w:r>
      <w:r>
        <w:rPr>
          <w:rFonts w:eastAsia="Palatino Linotype"/>
          <w:sz w:val="22"/>
          <w:szCs w:val="22"/>
          <w:lang w:val="es-ES"/>
        </w:rPr>
        <w:t>The</w:t>
      </w:r>
      <w:proofErr w:type="spellEnd"/>
      <w:r>
        <w:rPr>
          <w:rFonts w:eastAsia="Palatino Linotype"/>
          <w:sz w:val="22"/>
          <w:szCs w:val="22"/>
          <w:lang w:val="es-ES"/>
        </w:rPr>
        <w:t xml:space="preserve"> </w:t>
      </w:r>
      <w:proofErr w:type="spellStart"/>
      <w:r>
        <w:rPr>
          <w:rFonts w:eastAsia="Palatino Linotype"/>
          <w:sz w:val="22"/>
          <w:szCs w:val="22"/>
          <w:lang w:val="es-ES"/>
        </w:rPr>
        <w:t>bidder</w:t>
      </w:r>
      <w:proofErr w:type="spellEnd"/>
      <w:r>
        <w:rPr>
          <w:rFonts w:eastAsia="Palatino Linotype"/>
          <w:sz w:val="22"/>
          <w:szCs w:val="22"/>
          <w:lang w:val="es-ES"/>
        </w:rPr>
        <w:t xml:space="preserve"> </w:t>
      </w:r>
      <w:proofErr w:type="spellStart"/>
      <w:r>
        <w:rPr>
          <w:rFonts w:eastAsia="Palatino Linotype"/>
          <w:sz w:val="22"/>
          <w:szCs w:val="22"/>
          <w:lang w:val="es-ES"/>
        </w:rPr>
        <w:t>may</w:t>
      </w:r>
      <w:proofErr w:type="spellEnd"/>
      <w:r>
        <w:rPr>
          <w:rFonts w:eastAsia="Palatino Linotype"/>
          <w:sz w:val="22"/>
          <w:szCs w:val="22"/>
          <w:lang w:val="es-ES"/>
        </w:rPr>
        <w:t xml:space="preserve"> declare </w:t>
      </w:r>
      <w:proofErr w:type="spellStart"/>
      <w:r>
        <w:rPr>
          <w:rFonts w:eastAsia="Palatino Linotype"/>
          <w:sz w:val="22"/>
          <w:szCs w:val="22"/>
          <w:lang w:val="es-ES"/>
        </w:rPr>
        <w:t>the</w:t>
      </w:r>
      <w:proofErr w:type="spellEnd"/>
      <w:r>
        <w:rPr>
          <w:rFonts w:eastAsia="Palatino Linotype"/>
          <w:sz w:val="22"/>
          <w:szCs w:val="22"/>
          <w:lang w:val="es-ES"/>
        </w:rPr>
        <w:t xml:space="preserve"> </w:t>
      </w:r>
      <w:proofErr w:type="spellStart"/>
      <w:r>
        <w:rPr>
          <w:rFonts w:eastAsia="Palatino Linotype"/>
          <w:sz w:val="22"/>
          <w:szCs w:val="22"/>
          <w:lang w:val="es-ES"/>
        </w:rPr>
        <w:t>following</w:t>
      </w:r>
      <w:proofErr w:type="spellEnd"/>
      <w:r>
        <w:rPr>
          <w:rFonts w:eastAsia="Palatino Linotype"/>
          <w:sz w:val="22"/>
          <w:szCs w:val="22"/>
          <w:lang w:val="es-ES"/>
        </w:rPr>
        <w:t xml:space="preserve"> </w:t>
      </w:r>
      <w:proofErr w:type="spellStart"/>
      <w:r>
        <w:rPr>
          <w:rFonts w:eastAsia="Palatino Linotype"/>
          <w:sz w:val="22"/>
          <w:szCs w:val="22"/>
          <w:lang w:val="es-ES"/>
        </w:rPr>
        <w:t>information</w:t>
      </w:r>
      <w:proofErr w:type="spellEnd"/>
      <w:r>
        <w:rPr>
          <w:rFonts w:eastAsia="Palatino Linotype"/>
          <w:sz w:val="22"/>
          <w:szCs w:val="22"/>
          <w:lang w:val="es-ES"/>
        </w:rPr>
        <w:t xml:space="preserve"> as </w:t>
      </w:r>
      <w:proofErr w:type="spellStart"/>
      <w:r>
        <w:rPr>
          <w:rFonts w:eastAsia="Palatino Linotype"/>
          <w:sz w:val="22"/>
          <w:szCs w:val="22"/>
          <w:lang w:val="es-ES"/>
        </w:rPr>
        <w:t>confidential</w:t>
      </w:r>
      <w:proofErr w:type="spellEnd"/>
      <w:r>
        <w:rPr>
          <w:rFonts w:eastAsia="Palatino Linotype"/>
          <w:sz w:val="22"/>
          <w:szCs w:val="22"/>
          <w:lang w:val="es-ES"/>
        </w:rPr>
        <w:t xml:space="preserve">, </w:t>
      </w:r>
      <w:proofErr w:type="spellStart"/>
      <w:r>
        <w:rPr>
          <w:rFonts w:eastAsia="Palatino Linotype"/>
          <w:sz w:val="22"/>
          <w:szCs w:val="22"/>
          <w:lang w:val="es-ES"/>
        </w:rPr>
        <w:t>duly</w:t>
      </w:r>
      <w:proofErr w:type="spellEnd"/>
      <w:r>
        <w:rPr>
          <w:rFonts w:eastAsia="Palatino Linotype"/>
          <w:sz w:val="22"/>
          <w:szCs w:val="22"/>
          <w:lang w:val="es-ES"/>
        </w:rPr>
        <w:t xml:space="preserve"> </w:t>
      </w:r>
      <w:proofErr w:type="spellStart"/>
      <w:r>
        <w:rPr>
          <w:rFonts w:eastAsia="Palatino Linotype"/>
          <w:sz w:val="22"/>
          <w:szCs w:val="22"/>
          <w:lang w:val="es-ES"/>
        </w:rPr>
        <w:t>specifying</w:t>
      </w:r>
      <w:proofErr w:type="spellEnd"/>
      <w:r>
        <w:rPr>
          <w:rFonts w:eastAsia="Palatino Linotype"/>
          <w:sz w:val="22"/>
          <w:szCs w:val="22"/>
          <w:lang w:val="es-ES"/>
        </w:rPr>
        <w:t xml:space="preserve"> </w:t>
      </w:r>
      <w:proofErr w:type="spellStart"/>
      <w:r>
        <w:rPr>
          <w:rFonts w:eastAsia="Palatino Linotype"/>
          <w:sz w:val="22"/>
          <w:szCs w:val="22"/>
          <w:lang w:val="es-ES"/>
        </w:rPr>
        <w:t>it</w:t>
      </w:r>
      <w:proofErr w:type="spellEnd"/>
      <w:r>
        <w:rPr>
          <w:rFonts w:eastAsia="Palatino Linotype"/>
          <w:sz w:val="22"/>
          <w:szCs w:val="22"/>
          <w:lang w:val="es-ES"/>
        </w:rPr>
        <w:t>:</w:t>
      </w:r>
    </w:p>
    <w:p w14:paraId="75A543BF" w14:textId="77777777" w:rsidR="00E255F4" w:rsidRDefault="00E255F4">
      <w:pPr>
        <w:ind w:right="-142"/>
        <w:jc w:val="both"/>
        <w:rPr>
          <w:rFonts w:eastAsia="Palatino Linotype"/>
          <w:spacing w:val="-1"/>
          <w:position w:val="1"/>
          <w:sz w:val="22"/>
          <w:szCs w:val="22"/>
          <w:lang w:val="es-ES"/>
        </w:rPr>
      </w:pPr>
    </w:p>
    <w:p w14:paraId="6024F670" w14:textId="77777777" w:rsidR="00E255F4" w:rsidRDefault="00000000">
      <w:pPr>
        <w:tabs>
          <w:tab w:val="left" w:pos="567"/>
        </w:tabs>
        <w:ind w:right="-142"/>
        <w:jc w:val="both"/>
        <w:rPr>
          <w:rFonts w:eastAsia="Palatino Linotype"/>
          <w:sz w:val="22"/>
          <w:szCs w:val="22"/>
          <w:lang w:val="es-ES"/>
        </w:rPr>
      </w:pPr>
      <w:r>
        <w:rPr>
          <w:rFonts w:eastAsia="Palatino Linotype"/>
          <w:spacing w:val="-1"/>
          <w:sz w:val="22"/>
          <w:szCs w:val="22"/>
          <w:lang w:val="es-ES"/>
        </w:rPr>
        <w:t>*l</w:t>
      </w:r>
      <w:r>
        <w:rPr>
          <w:rFonts w:eastAsia="Palatino Linotype"/>
          <w:spacing w:val="-1"/>
          <w:sz w:val="22"/>
          <w:szCs w:val="22"/>
          <w:lang w:val="es-ES"/>
        </w:rPr>
        <w:tab/>
      </w:r>
      <w:r>
        <w:rPr>
          <w:rFonts w:eastAsia="Palatino Linotype"/>
          <w:sz w:val="22"/>
          <w:szCs w:val="22"/>
          <w:lang w:val="es-ES"/>
        </w:rPr>
        <w:t xml:space="preserve">relative </w:t>
      </w:r>
      <w:proofErr w:type="spellStart"/>
      <w:r>
        <w:rPr>
          <w:rFonts w:eastAsia="Palatino Linotype"/>
          <w:sz w:val="22"/>
          <w:szCs w:val="22"/>
          <w:lang w:val="es-ES"/>
        </w:rPr>
        <w:t>to</w:t>
      </w:r>
      <w:proofErr w:type="spellEnd"/>
      <w:r>
        <w:rPr>
          <w:rFonts w:eastAsia="Palatino Linotype"/>
          <w:sz w:val="22"/>
          <w:szCs w:val="22"/>
          <w:lang w:val="es-ES"/>
        </w:rPr>
        <w:t xml:space="preserve"> </w:t>
      </w:r>
      <w:proofErr w:type="spellStart"/>
      <w:r>
        <w:rPr>
          <w:rFonts w:eastAsia="Palatino Linotype"/>
          <w:sz w:val="22"/>
          <w:szCs w:val="22"/>
          <w:lang w:val="es-ES"/>
        </w:rPr>
        <w:t>its</w:t>
      </w:r>
      <w:proofErr w:type="spellEnd"/>
      <w:r>
        <w:rPr>
          <w:rFonts w:eastAsia="Palatino Linotype"/>
          <w:sz w:val="22"/>
          <w:szCs w:val="22"/>
          <w:lang w:val="es-ES"/>
        </w:rPr>
        <w:t xml:space="preserve"> </w:t>
      </w:r>
      <w:proofErr w:type="spellStart"/>
      <w:r>
        <w:rPr>
          <w:rFonts w:eastAsia="Palatino Linotype"/>
          <w:sz w:val="22"/>
          <w:szCs w:val="22"/>
          <w:lang w:val="es-ES"/>
        </w:rPr>
        <w:t>clients</w:t>
      </w:r>
      <w:proofErr w:type="spellEnd"/>
      <w:r>
        <w:rPr>
          <w:rFonts w:eastAsia="Palatino Linotype"/>
          <w:sz w:val="22"/>
          <w:szCs w:val="22"/>
          <w:lang w:val="es-ES"/>
        </w:rPr>
        <w:t>;</w:t>
      </w:r>
    </w:p>
    <w:p w14:paraId="050F10DD" w14:textId="77777777" w:rsidR="00E255F4" w:rsidRDefault="00000000">
      <w:pPr>
        <w:tabs>
          <w:tab w:val="left" w:pos="567"/>
        </w:tabs>
        <w:ind w:right="-142"/>
        <w:jc w:val="both"/>
        <w:rPr>
          <w:rFonts w:eastAsia="Palatino Linotype"/>
          <w:sz w:val="22"/>
          <w:szCs w:val="22"/>
          <w:lang w:val="es-ES"/>
        </w:rPr>
      </w:pPr>
      <w:r>
        <w:rPr>
          <w:rFonts w:eastAsia="Palatino Linotype"/>
          <w:spacing w:val="-1"/>
          <w:sz w:val="22"/>
          <w:szCs w:val="22"/>
          <w:lang w:val="es-ES"/>
        </w:rPr>
        <w:t>*l</w:t>
      </w:r>
      <w:r>
        <w:rPr>
          <w:rFonts w:eastAsia="Palatino Linotype"/>
          <w:spacing w:val="-1"/>
          <w:sz w:val="22"/>
          <w:szCs w:val="22"/>
          <w:lang w:val="es-ES"/>
        </w:rPr>
        <w:tab/>
      </w:r>
      <w:proofErr w:type="spellStart"/>
      <w:r>
        <w:rPr>
          <w:rFonts w:eastAsia="Palatino Linotype"/>
          <w:sz w:val="22"/>
          <w:szCs w:val="22"/>
          <w:lang w:val="es-ES"/>
        </w:rPr>
        <w:t>that</w:t>
      </w:r>
      <w:proofErr w:type="spellEnd"/>
      <w:r>
        <w:rPr>
          <w:rFonts w:eastAsia="Palatino Linotype"/>
          <w:sz w:val="22"/>
          <w:szCs w:val="22"/>
          <w:lang w:val="es-ES"/>
        </w:rPr>
        <w:t xml:space="preserve"> </w:t>
      </w:r>
      <w:proofErr w:type="spellStart"/>
      <w:r>
        <w:rPr>
          <w:rFonts w:eastAsia="Palatino Linotype"/>
          <w:sz w:val="22"/>
          <w:szCs w:val="22"/>
          <w:lang w:val="es-ES"/>
        </w:rPr>
        <w:t>may</w:t>
      </w:r>
      <w:proofErr w:type="spellEnd"/>
      <w:r>
        <w:rPr>
          <w:rFonts w:eastAsia="Palatino Linotype"/>
          <w:sz w:val="22"/>
          <w:szCs w:val="22"/>
          <w:lang w:val="es-ES"/>
        </w:rPr>
        <w:t xml:space="preserve"> be </w:t>
      </w:r>
      <w:proofErr w:type="spellStart"/>
      <w:r>
        <w:rPr>
          <w:rFonts w:eastAsia="Palatino Linotype"/>
          <w:sz w:val="22"/>
          <w:szCs w:val="22"/>
          <w:lang w:val="es-ES"/>
        </w:rPr>
        <w:t>subject</w:t>
      </w:r>
      <w:proofErr w:type="spellEnd"/>
      <w:r>
        <w:rPr>
          <w:rFonts w:eastAsia="Palatino Linotype"/>
          <w:sz w:val="22"/>
          <w:szCs w:val="22"/>
          <w:lang w:val="es-ES"/>
        </w:rPr>
        <w:t xml:space="preserve"> </w:t>
      </w:r>
      <w:proofErr w:type="spellStart"/>
      <w:r>
        <w:rPr>
          <w:rFonts w:eastAsia="Palatino Linotype"/>
          <w:sz w:val="22"/>
          <w:szCs w:val="22"/>
          <w:lang w:val="es-ES"/>
        </w:rPr>
        <w:t>to</w:t>
      </w:r>
      <w:proofErr w:type="spellEnd"/>
      <w:r>
        <w:rPr>
          <w:rFonts w:eastAsia="Palatino Linotype"/>
          <w:sz w:val="22"/>
          <w:szCs w:val="22"/>
          <w:lang w:val="es-ES"/>
        </w:rPr>
        <w:t xml:space="preserve"> </w:t>
      </w:r>
      <w:proofErr w:type="spellStart"/>
      <w:r>
        <w:rPr>
          <w:rFonts w:eastAsia="Palatino Linotype"/>
          <w:sz w:val="22"/>
          <w:szCs w:val="22"/>
          <w:lang w:val="es-ES"/>
        </w:rPr>
        <w:t>intellectual</w:t>
      </w:r>
      <w:proofErr w:type="spellEnd"/>
      <w:r>
        <w:rPr>
          <w:rFonts w:eastAsia="Palatino Linotype"/>
          <w:sz w:val="22"/>
          <w:szCs w:val="22"/>
          <w:lang w:val="es-ES"/>
        </w:rPr>
        <w:t xml:space="preserve"> </w:t>
      </w:r>
      <w:proofErr w:type="spellStart"/>
      <w:r>
        <w:rPr>
          <w:rFonts w:eastAsia="Palatino Linotype"/>
          <w:sz w:val="22"/>
          <w:szCs w:val="22"/>
          <w:lang w:val="es-ES"/>
        </w:rPr>
        <w:t>property</w:t>
      </w:r>
      <w:proofErr w:type="spellEnd"/>
      <w:r>
        <w:rPr>
          <w:rFonts w:eastAsia="Palatino Linotype"/>
          <w:sz w:val="22"/>
          <w:szCs w:val="22"/>
          <w:lang w:val="es-ES"/>
        </w:rPr>
        <w:t>;</w:t>
      </w:r>
    </w:p>
    <w:p w14:paraId="2E06B086" w14:textId="77777777" w:rsidR="00E255F4" w:rsidRDefault="00000000">
      <w:pPr>
        <w:tabs>
          <w:tab w:val="left" w:pos="567"/>
        </w:tabs>
        <w:ind w:right="-142"/>
        <w:jc w:val="both"/>
        <w:rPr>
          <w:rFonts w:eastAsia="Palatino Linotype"/>
          <w:sz w:val="22"/>
          <w:szCs w:val="22"/>
          <w:lang w:val="es-ES"/>
        </w:rPr>
      </w:pPr>
      <w:r>
        <w:rPr>
          <w:rFonts w:eastAsia="Palatino Linotype"/>
          <w:spacing w:val="-1"/>
          <w:sz w:val="22"/>
          <w:szCs w:val="22"/>
          <w:lang w:val="es-ES"/>
        </w:rPr>
        <w:t>*l</w:t>
      </w:r>
      <w:r>
        <w:rPr>
          <w:rFonts w:eastAsia="Palatino Linotype"/>
          <w:spacing w:val="-1"/>
          <w:sz w:val="22"/>
          <w:szCs w:val="22"/>
          <w:lang w:val="es-ES"/>
        </w:rPr>
        <w:tab/>
      </w:r>
      <w:proofErr w:type="spellStart"/>
      <w:r>
        <w:rPr>
          <w:rFonts w:eastAsia="Palatino Linotype"/>
          <w:sz w:val="22"/>
          <w:szCs w:val="22"/>
          <w:lang w:val="es-ES"/>
        </w:rPr>
        <w:t>that</w:t>
      </w:r>
      <w:proofErr w:type="spellEnd"/>
      <w:r>
        <w:rPr>
          <w:rFonts w:eastAsia="Palatino Linotype"/>
          <w:sz w:val="22"/>
          <w:szCs w:val="22"/>
          <w:lang w:val="es-ES"/>
        </w:rPr>
        <w:t xml:space="preserve"> </w:t>
      </w:r>
      <w:proofErr w:type="spellStart"/>
      <w:r>
        <w:rPr>
          <w:rFonts w:eastAsia="Palatino Linotype"/>
          <w:sz w:val="22"/>
          <w:szCs w:val="22"/>
          <w:lang w:val="es-ES"/>
        </w:rPr>
        <w:t>refers</w:t>
      </w:r>
      <w:proofErr w:type="spellEnd"/>
      <w:r>
        <w:rPr>
          <w:rFonts w:eastAsia="Palatino Linotype"/>
          <w:sz w:val="22"/>
          <w:szCs w:val="22"/>
          <w:lang w:val="es-ES"/>
        </w:rPr>
        <w:t xml:space="preserve"> </w:t>
      </w:r>
      <w:proofErr w:type="spellStart"/>
      <w:r>
        <w:rPr>
          <w:rFonts w:eastAsia="Palatino Linotype"/>
          <w:sz w:val="22"/>
          <w:szCs w:val="22"/>
          <w:lang w:val="es-ES"/>
        </w:rPr>
        <w:t>to</w:t>
      </w:r>
      <w:proofErr w:type="spellEnd"/>
      <w:r>
        <w:rPr>
          <w:rFonts w:eastAsia="Palatino Linotype"/>
          <w:sz w:val="22"/>
          <w:szCs w:val="22"/>
          <w:lang w:val="es-ES"/>
        </w:rPr>
        <w:t xml:space="preserve"> </w:t>
      </w:r>
      <w:proofErr w:type="spellStart"/>
      <w:r>
        <w:rPr>
          <w:rFonts w:eastAsia="Palatino Linotype"/>
          <w:sz w:val="22"/>
          <w:szCs w:val="22"/>
          <w:lang w:val="es-ES"/>
        </w:rPr>
        <w:t>the</w:t>
      </w:r>
      <w:proofErr w:type="spellEnd"/>
      <w:r>
        <w:rPr>
          <w:rFonts w:eastAsia="Palatino Linotype"/>
          <w:sz w:val="22"/>
          <w:szCs w:val="22"/>
          <w:lang w:val="es-ES"/>
        </w:rPr>
        <w:t xml:space="preserve"> </w:t>
      </w:r>
      <w:proofErr w:type="spellStart"/>
      <w:r>
        <w:rPr>
          <w:rFonts w:eastAsia="Palatino Linotype"/>
          <w:sz w:val="22"/>
          <w:szCs w:val="22"/>
          <w:lang w:val="es-ES"/>
        </w:rPr>
        <w:t>offeror's</w:t>
      </w:r>
      <w:proofErr w:type="spellEnd"/>
      <w:r>
        <w:rPr>
          <w:rFonts w:eastAsia="Palatino Linotype"/>
          <w:sz w:val="22"/>
          <w:szCs w:val="22"/>
          <w:lang w:val="es-ES"/>
        </w:rPr>
        <w:t xml:space="preserve"> </w:t>
      </w:r>
      <w:proofErr w:type="spellStart"/>
      <w:r>
        <w:rPr>
          <w:rFonts w:eastAsia="Palatino Linotype"/>
          <w:sz w:val="22"/>
          <w:szCs w:val="22"/>
          <w:lang w:val="es-ES"/>
        </w:rPr>
        <w:t>assets</w:t>
      </w:r>
      <w:proofErr w:type="spellEnd"/>
      <w:r>
        <w:rPr>
          <w:rFonts w:eastAsia="Palatino Linotype"/>
          <w:sz w:val="22"/>
          <w:szCs w:val="22"/>
          <w:lang w:val="es-ES"/>
        </w:rPr>
        <w:t>;</w:t>
      </w:r>
    </w:p>
    <w:p w14:paraId="51AECE09" w14:textId="77777777" w:rsidR="00E255F4" w:rsidRDefault="00000000">
      <w:pPr>
        <w:tabs>
          <w:tab w:val="left" w:pos="567"/>
        </w:tabs>
        <w:ind w:left="567" w:right="-142" w:hanging="567"/>
        <w:jc w:val="both"/>
        <w:rPr>
          <w:rFonts w:eastAsia="Palatino Linotype"/>
          <w:sz w:val="22"/>
          <w:szCs w:val="22"/>
          <w:lang w:val="es-ES"/>
        </w:rPr>
      </w:pPr>
      <w:r>
        <w:rPr>
          <w:rFonts w:eastAsia="Palatino Linotype"/>
          <w:spacing w:val="-1"/>
          <w:sz w:val="22"/>
          <w:szCs w:val="22"/>
          <w:lang w:val="es-ES"/>
        </w:rPr>
        <w:t>*l</w:t>
      </w:r>
      <w:r>
        <w:rPr>
          <w:rFonts w:eastAsia="Palatino Linotype"/>
          <w:spacing w:val="-1"/>
          <w:sz w:val="22"/>
          <w:szCs w:val="22"/>
          <w:lang w:val="es-ES"/>
        </w:rPr>
        <w:tab/>
      </w:r>
      <w:proofErr w:type="spellStart"/>
      <w:r>
        <w:rPr>
          <w:rFonts w:eastAsia="Palatino Linotype"/>
          <w:sz w:val="22"/>
          <w:szCs w:val="22"/>
          <w:lang w:val="es-ES"/>
        </w:rPr>
        <w:t>that</w:t>
      </w:r>
      <w:proofErr w:type="spellEnd"/>
      <w:r>
        <w:rPr>
          <w:rFonts w:eastAsia="Palatino Linotype"/>
          <w:sz w:val="22"/>
          <w:szCs w:val="22"/>
          <w:lang w:val="es-ES"/>
        </w:rPr>
        <w:t xml:space="preserve"> </w:t>
      </w:r>
      <w:proofErr w:type="spellStart"/>
      <w:r>
        <w:rPr>
          <w:rFonts w:eastAsia="Palatino Linotype"/>
          <w:sz w:val="22"/>
          <w:szCs w:val="22"/>
          <w:lang w:val="es-ES"/>
        </w:rPr>
        <w:t>includes</w:t>
      </w:r>
      <w:proofErr w:type="spellEnd"/>
      <w:r>
        <w:rPr>
          <w:rFonts w:eastAsia="Palatino Linotype"/>
          <w:sz w:val="22"/>
          <w:szCs w:val="22"/>
          <w:lang w:val="es-ES"/>
        </w:rPr>
        <w:t xml:space="preserve"> </w:t>
      </w:r>
      <w:proofErr w:type="spellStart"/>
      <w:r>
        <w:rPr>
          <w:rFonts w:eastAsia="Palatino Linotype"/>
          <w:sz w:val="22"/>
          <w:szCs w:val="22"/>
          <w:lang w:val="es-ES"/>
        </w:rPr>
        <w:t>facts</w:t>
      </w:r>
      <w:proofErr w:type="spellEnd"/>
      <w:r>
        <w:rPr>
          <w:rFonts w:eastAsia="Palatino Linotype"/>
          <w:sz w:val="22"/>
          <w:szCs w:val="22"/>
          <w:lang w:val="es-ES"/>
        </w:rPr>
        <w:t xml:space="preserve"> </w:t>
      </w:r>
      <w:proofErr w:type="spellStart"/>
      <w:r>
        <w:rPr>
          <w:rFonts w:eastAsia="Palatino Linotype"/>
          <w:sz w:val="22"/>
          <w:szCs w:val="22"/>
          <w:lang w:val="es-ES"/>
        </w:rPr>
        <w:t>or</w:t>
      </w:r>
      <w:proofErr w:type="spellEnd"/>
      <w:r>
        <w:rPr>
          <w:rFonts w:eastAsia="Palatino Linotype"/>
          <w:sz w:val="22"/>
          <w:szCs w:val="22"/>
          <w:lang w:val="es-ES"/>
        </w:rPr>
        <w:t xml:space="preserve"> </w:t>
      </w:r>
      <w:proofErr w:type="spellStart"/>
      <w:r>
        <w:rPr>
          <w:rFonts w:eastAsia="Palatino Linotype"/>
          <w:sz w:val="22"/>
          <w:szCs w:val="22"/>
          <w:lang w:val="es-ES"/>
        </w:rPr>
        <w:t>acts</w:t>
      </w:r>
      <w:proofErr w:type="spellEnd"/>
      <w:r>
        <w:rPr>
          <w:rFonts w:eastAsia="Palatino Linotype"/>
          <w:sz w:val="22"/>
          <w:szCs w:val="22"/>
          <w:lang w:val="es-ES"/>
        </w:rPr>
        <w:t xml:space="preserve"> </w:t>
      </w:r>
      <w:proofErr w:type="spellStart"/>
      <w:r>
        <w:rPr>
          <w:rFonts w:eastAsia="Palatino Linotype"/>
          <w:sz w:val="22"/>
          <w:szCs w:val="22"/>
          <w:lang w:val="es-ES"/>
        </w:rPr>
        <w:t>of</w:t>
      </w:r>
      <w:proofErr w:type="spellEnd"/>
      <w:r>
        <w:rPr>
          <w:rFonts w:eastAsia="Palatino Linotype"/>
          <w:sz w:val="22"/>
          <w:szCs w:val="22"/>
          <w:lang w:val="es-ES"/>
        </w:rPr>
        <w:t xml:space="preserve"> </w:t>
      </w:r>
      <w:proofErr w:type="spellStart"/>
      <w:r>
        <w:rPr>
          <w:rFonts w:eastAsia="Palatino Linotype"/>
          <w:sz w:val="22"/>
          <w:szCs w:val="22"/>
          <w:lang w:val="es-ES"/>
        </w:rPr>
        <w:t>an</w:t>
      </w:r>
      <w:proofErr w:type="spellEnd"/>
      <w:r>
        <w:rPr>
          <w:rFonts w:eastAsia="Palatino Linotype"/>
          <w:sz w:val="22"/>
          <w:szCs w:val="22"/>
          <w:lang w:val="es-ES"/>
        </w:rPr>
        <w:t xml:space="preserve"> </w:t>
      </w:r>
      <w:proofErr w:type="spellStart"/>
      <w:r>
        <w:rPr>
          <w:rFonts w:eastAsia="Palatino Linotype"/>
          <w:sz w:val="22"/>
          <w:szCs w:val="22"/>
          <w:lang w:val="es-ES"/>
        </w:rPr>
        <w:t>economic</w:t>
      </w:r>
      <w:proofErr w:type="spellEnd"/>
      <w:r>
        <w:rPr>
          <w:rFonts w:eastAsia="Palatino Linotype"/>
          <w:sz w:val="22"/>
          <w:szCs w:val="22"/>
          <w:lang w:val="es-ES"/>
        </w:rPr>
        <w:t xml:space="preserve">, </w:t>
      </w:r>
      <w:proofErr w:type="spellStart"/>
      <w:r>
        <w:rPr>
          <w:rFonts w:eastAsia="Palatino Linotype"/>
          <w:sz w:val="22"/>
          <w:szCs w:val="22"/>
          <w:lang w:val="es-ES"/>
        </w:rPr>
        <w:t>accounting</w:t>
      </w:r>
      <w:proofErr w:type="spellEnd"/>
      <w:r>
        <w:rPr>
          <w:rFonts w:eastAsia="Palatino Linotype"/>
          <w:sz w:val="22"/>
          <w:szCs w:val="22"/>
          <w:lang w:val="es-ES"/>
        </w:rPr>
        <w:t xml:space="preserve">, legal </w:t>
      </w:r>
      <w:proofErr w:type="spellStart"/>
      <w:r>
        <w:rPr>
          <w:rFonts w:eastAsia="Palatino Linotype"/>
          <w:sz w:val="22"/>
          <w:szCs w:val="22"/>
          <w:lang w:val="es-ES"/>
        </w:rPr>
        <w:t>or</w:t>
      </w:r>
      <w:proofErr w:type="spellEnd"/>
      <w:r>
        <w:rPr>
          <w:rFonts w:eastAsia="Palatino Linotype"/>
          <w:sz w:val="22"/>
          <w:szCs w:val="22"/>
          <w:lang w:val="es-ES"/>
        </w:rPr>
        <w:t xml:space="preserve"> administrative </w:t>
      </w:r>
      <w:proofErr w:type="spellStart"/>
      <w:r>
        <w:rPr>
          <w:rFonts w:eastAsia="Palatino Linotype"/>
          <w:sz w:val="22"/>
          <w:szCs w:val="22"/>
          <w:lang w:val="es-ES"/>
        </w:rPr>
        <w:t>nature</w:t>
      </w:r>
      <w:proofErr w:type="spellEnd"/>
      <w:r>
        <w:rPr>
          <w:rFonts w:eastAsia="Palatino Linotype"/>
          <w:sz w:val="22"/>
          <w:szCs w:val="22"/>
          <w:lang w:val="es-ES"/>
        </w:rPr>
        <w:t xml:space="preserve">, </w:t>
      </w:r>
      <w:proofErr w:type="spellStart"/>
      <w:r>
        <w:rPr>
          <w:rFonts w:eastAsia="Palatino Linotype"/>
          <w:sz w:val="22"/>
          <w:szCs w:val="22"/>
          <w:lang w:val="es-ES"/>
        </w:rPr>
        <w:t>relating</w:t>
      </w:r>
      <w:proofErr w:type="spellEnd"/>
      <w:r>
        <w:rPr>
          <w:rFonts w:eastAsia="Palatino Linotype"/>
          <w:sz w:val="22"/>
          <w:szCs w:val="22"/>
          <w:lang w:val="es-ES"/>
        </w:rPr>
        <w:t xml:space="preserve"> </w:t>
      </w:r>
      <w:proofErr w:type="spellStart"/>
      <w:r>
        <w:rPr>
          <w:rFonts w:eastAsia="Palatino Linotype"/>
          <w:sz w:val="22"/>
          <w:szCs w:val="22"/>
          <w:lang w:val="es-ES"/>
        </w:rPr>
        <w:t>to</w:t>
      </w:r>
      <w:proofErr w:type="spellEnd"/>
      <w:r>
        <w:rPr>
          <w:rFonts w:eastAsia="Palatino Linotype"/>
          <w:sz w:val="22"/>
          <w:szCs w:val="22"/>
          <w:lang w:val="es-ES"/>
        </w:rPr>
        <w:t xml:space="preserve"> </w:t>
      </w:r>
      <w:proofErr w:type="spellStart"/>
      <w:r>
        <w:rPr>
          <w:rFonts w:eastAsia="Palatino Linotype"/>
          <w:sz w:val="22"/>
          <w:szCs w:val="22"/>
          <w:lang w:val="es-ES"/>
        </w:rPr>
        <w:t>the</w:t>
      </w:r>
      <w:proofErr w:type="spellEnd"/>
      <w:r>
        <w:rPr>
          <w:rFonts w:eastAsia="Palatino Linotype"/>
          <w:sz w:val="22"/>
          <w:szCs w:val="22"/>
          <w:lang w:val="es-ES"/>
        </w:rPr>
        <w:t xml:space="preserve"> </w:t>
      </w:r>
      <w:proofErr w:type="spellStart"/>
      <w:r>
        <w:rPr>
          <w:rFonts w:eastAsia="Palatino Linotype"/>
          <w:sz w:val="22"/>
          <w:szCs w:val="22"/>
          <w:lang w:val="es-ES"/>
        </w:rPr>
        <w:t>offeror</w:t>
      </w:r>
      <w:proofErr w:type="spellEnd"/>
      <w:r>
        <w:rPr>
          <w:rFonts w:eastAsia="Palatino Linotype"/>
          <w:sz w:val="22"/>
          <w:szCs w:val="22"/>
          <w:lang w:val="es-ES"/>
        </w:rPr>
        <w:t xml:space="preserve">, </w:t>
      </w:r>
      <w:proofErr w:type="spellStart"/>
      <w:r>
        <w:rPr>
          <w:rFonts w:eastAsia="Palatino Linotype"/>
          <w:sz w:val="22"/>
          <w:szCs w:val="22"/>
          <w:lang w:val="es-ES"/>
        </w:rPr>
        <w:t>that</w:t>
      </w:r>
      <w:proofErr w:type="spellEnd"/>
      <w:r>
        <w:rPr>
          <w:rFonts w:eastAsia="Palatino Linotype"/>
          <w:sz w:val="22"/>
          <w:szCs w:val="22"/>
          <w:lang w:val="es-ES"/>
        </w:rPr>
        <w:t xml:space="preserve"> </w:t>
      </w:r>
      <w:proofErr w:type="spellStart"/>
      <w:r>
        <w:rPr>
          <w:rFonts w:eastAsia="Palatino Linotype"/>
          <w:sz w:val="22"/>
          <w:szCs w:val="22"/>
          <w:lang w:val="es-ES"/>
        </w:rPr>
        <w:t>could</w:t>
      </w:r>
      <w:proofErr w:type="spellEnd"/>
      <w:r>
        <w:rPr>
          <w:rFonts w:eastAsia="Palatino Linotype"/>
          <w:sz w:val="22"/>
          <w:szCs w:val="22"/>
          <w:lang w:val="es-ES"/>
        </w:rPr>
        <w:t xml:space="preserve"> be </w:t>
      </w:r>
      <w:proofErr w:type="spellStart"/>
      <w:r>
        <w:rPr>
          <w:rFonts w:eastAsia="Palatino Linotype"/>
          <w:sz w:val="22"/>
          <w:szCs w:val="22"/>
          <w:lang w:val="es-ES"/>
        </w:rPr>
        <w:t>useful</w:t>
      </w:r>
      <w:proofErr w:type="spellEnd"/>
      <w:r>
        <w:rPr>
          <w:rFonts w:eastAsia="Palatino Linotype"/>
          <w:sz w:val="22"/>
          <w:szCs w:val="22"/>
          <w:lang w:val="es-ES"/>
        </w:rPr>
        <w:t xml:space="preserve"> </w:t>
      </w:r>
      <w:proofErr w:type="spellStart"/>
      <w:r>
        <w:rPr>
          <w:rFonts w:eastAsia="Palatino Linotype"/>
          <w:sz w:val="22"/>
          <w:szCs w:val="22"/>
          <w:lang w:val="es-ES"/>
        </w:rPr>
        <w:t>to</w:t>
      </w:r>
      <w:proofErr w:type="spellEnd"/>
      <w:r>
        <w:rPr>
          <w:rFonts w:eastAsia="Palatino Linotype"/>
          <w:sz w:val="22"/>
          <w:szCs w:val="22"/>
          <w:lang w:val="es-ES"/>
        </w:rPr>
        <w:t xml:space="preserve"> a </w:t>
      </w:r>
      <w:proofErr w:type="spellStart"/>
      <w:r>
        <w:rPr>
          <w:rFonts w:eastAsia="Palatino Linotype"/>
          <w:sz w:val="22"/>
          <w:szCs w:val="22"/>
          <w:lang w:val="es-ES"/>
        </w:rPr>
        <w:t>competitor</w:t>
      </w:r>
      <w:proofErr w:type="spellEnd"/>
      <w:r>
        <w:rPr>
          <w:rFonts w:eastAsia="Palatino Linotype"/>
          <w:sz w:val="22"/>
          <w:szCs w:val="22"/>
          <w:lang w:val="es-ES"/>
        </w:rPr>
        <w:t>;</w:t>
      </w:r>
    </w:p>
    <w:p w14:paraId="3A230271" w14:textId="77777777" w:rsidR="00E255F4" w:rsidRDefault="00000000">
      <w:pPr>
        <w:tabs>
          <w:tab w:val="left" w:pos="567"/>
        </w:tabs>
        <w:ind w:left="567" w:right="-142" w:hanging="567"/>
        <w:jc w:val="both"/>
        <w:rPr>
          <w:rFonts w:eastAsia="Palatino Linotype"/>
          <w:sz w:val="22"/>
          <w:szCs w:val="22"/>
          <w:lang w:val="es-ES"/>
        </w:rPr>
      </w:pPr>
      <w:r>
        <w:rPr>
          <w:rFonts w:eastAsia="Palatino Linotype"/>
          <w:spacing w:val="4"/>
          <w:sz w:val="22"/>
          <w:szCs w:val="22"/>
          <w:lang w:val="es-ES"/>
        </w:rPr>
        <w:t>*l</w:t>
      </w:r>
      <w:r>
        <w:rPr>
          <w:rFonts w:eastAsia="Palatino Linotype"/>
          <w:spacing w:val="4"/>
          <w:sz w:val="22"/>
          <w:szCs w:val="22"/>
          <w:lang w:val="es-ES"/>
        </w:rPr>
        <w:tab/>
      </w:r>
      <w:proofErr w:type="spellStart"/>
      <w:r>
        <w:rPr>
          <w:rFonts w:eastAsia="Palatino Linotype"/>
          <w:sz w:val="22"/>
          <w:szCs w:val="22"/>
          <w:lang w:val="es-ES"/>
        </w:rPr>
        <w:t>that</w:t>
      </w:r>
      <w:proofErr w:type="spellEnd"/>
      <w:r>
        <w:rPr>
          <w:rFonts w:eastAsia="Palatino Linotype"/>
          <w:sz w:val="22"/>
          <w:szCs w:val="22"/>
          <w:lang w:val="es-ES"/>
        </w:rPr>
        <w:t xml:space="preserve"> </w:t>
      </w:r>
      <w:proofErr w:type="spellStart"/>
      <w:r>
        <w:rPr>
          <w:rFonts w:eastAsia="Palatino Linotype"/>
          <w:sz w:val="22"/>
          <w:szCs w:val="22"/>
          <w:lang w:val="es-ES"/>
        </w:rPr>
        <w:t>it</w:t>
      </w:r>
      <w:proofErr w:type="spellEnd"/>
      <w:r>
        <w:rPr>
          <w:rFonts w:eastAsia="Palatino Linotype"/>
          <w:sz w:val="22"/>
          <w:szCs w:val="22"/>
          <w:lang w:val="es-ES"/>
        </w:rPr>
        <w:t xml:space="preserve"> </w:t>
      </w:r>
      <w:proofErr w:type="spellStart"/>
      <w:r>
        <w:rPr>
          <w:rFonts w:eastAsia="Palatino Linotype"/>
          <w:sz w:val="22"/>
          <w:szCs w:val="22"/>
          <w:lang w:val="es-ES"/>
        </w:rPr>
        <w:t>is</w:t>
      </w:r>
      <w:proofErr w:type="spellEnd"/>
      <w:r>
        <w:rPr>
          <w:rFonts w:eastAsia="Palatino Linotype"/>
          <w:sz w:val="22"/>
          <w:szCs w:val="22"/>
          <w:lang w:val="es-ES"/>
        </w:rPr>
        <w:t xml:space="preserve"> </w:t>
      </w:r>
      <w:proofErr w:type="spellStart"/>
      <w:r>
        <w:rPr>
          <w:rFonts w:eastAsia="Palatino Linotype"/>
          <w:sz w:val="22"/>
          <w:szCs w:val="22"/>
          <w:lang w:val="es-ES"/>
        </w:rPr>
        <w:t>protected</w:t>
      </w:r>
      <w:proofErr w:type="spellEnd"/>
      <w:r>
        <w:rPr>
          <w:rFonts w:eastAsia="Palatino Linotype"/>
          <w:sz w:val="22"/>
          <w:szCs w:val="22"/>
          <w:lang w:val="es-ES"/>
        </w:rPr>
        <w:t xml:space="preserve"> </w:t>
      </w:r>
      <w:proofErr w:type="spellStart"/>
      <w:r>
        <w:rPr>
          <w:rFonts w:eastAsia="Palatino Linotype"/>
          <w:sz w:val="22"/>
          <w:szCs w:val="22"/>
          <w:lang w:val="es-ES"/>
        </w:rPr>
        <w:t>by</w:t>
      </w:r>
      <w:proofErr w:type="spellEnd"/>
      <w:r>
        <w:rPr>
          <w:rFonts w:eastAsia="Palatino Linotype"/>
          <w:sz w:val="22"/>
          <w:szCs w:val="22"/>
          <w:lang w:val="es-ES"/>
        </w:rPr>
        <w:t xml:space="preserve"> a contractual </w:t>
      </w:r>
      <w:proofErr w:type="spellStart"/>
      <w:r>
        <w:rPr>
          <w:rFonts w:eastAsia="Palatino Linotype"/>
          <w:sz w:val="22"/>
          <w:szCs w:val="22"/>
          <w:lang w:val="es-ES"/>
        </w:rPr>
        <w:t>confidentiality</w:t>
      </w:r>
      <w:proofErr w:type="spellEnd"/>
      <w:r>
        <w:rPr>
          <w:rFonts w:eastAsia="Palatino Linotype"/>
          <w:sz w:val="22"/>
          <w:szCs w:val="22"/>
          <w:lang w:val="es-ES"/>
        </w:rPr>
        <w:t xml:space="preserve"> </w:t>
      </w:r>
      <w:proofErr w:type="spellStart"/>
      <w:r>
        <w:rPr>
          <w:rFonts w:eastAsia="Palatino Linotype"/>
          <w:sz w:val="22"/>
          <w:szCs w:val="22"/>
          <w:lang w:val="es-ES"/>
        </w:rPr>
        <w:t>clause</w:t>
      </w:r>
      <w:proofErr w:type="spellEnd"/>
      <w:r>
        <w:rPr>
          <w:rFonts w:eastAsia="Palatino Linotype"/>
          <w:sz w:val="22"/>
          <w:szCs w:val="22"/>
          <w:lang w:val="es-ES"/>
        </w:rPr>
        <w:t>;</w:t>
      </w:r>
    </w:p>
    <w:p w14:paraId="6C21745A" w14:textId="77777777" w:rsidR="00E255F4" w:rsidRDefault="00000000">
      <w:pPr>
        <w:tabs>
          <w:tab w:val="left" w:pos="567"/>
        </w:tabs>
        <w:ind w:left="567" w:right="-142" w:hanging="567"/>
        <w:jc w:val="both"/>
        <w:rPr>
          <w:rFonts w:eastAsia="Palatino Linotype"/>
          <w:sz w:val="22"/>
          <w:szCs w:val="22"/>
          <w:lang w:val="es-ES"/>
        </w:rPr>
      </w:pPr>
      <w:r>
        <w:rPr>
          <w:rFonts w:eastAsia="Palatino Linotype"/>
          <w:sz w:val="22"/>
          <w:szCs w:val="22"/>
          <w:lang w:val="es-ES"/>
        </w:rPr>
        <w:t>*and</w:t>
      </w:r>
      <w:r>
        <w:rPr>
          <w:rFonts w:eastAsia="Palatino Linotype"/>
          <w:sz w:val="22"/>
          <w:szCs w:val="22"/>
          <w:lang w:val="es-ES"/>
        </w:rPr>
        <w:tab/>
      </w:r>
      <w:proofErr w:type="spellStart"/>
      <w:r>
        <w:rPr>
          <w:rFonts w:eastAsia="Palatino Linotype"/>
          <w:spacing w:val="26"/>
          <w:sz w:val="22"/>
          <w:szCs w:val="22"/>
          <w:lang w:val="es-ES"/>
        </w:rPr>
        <w:t>that</w:t>
      </w:r>
      <w:r>
        <w:rPr>
          <w:rFonts w:eastAsia="Palatino Linotype"/>
          <w:sz w:val="22"/>
          <w:szCs w:val="22"/>
          <w:lang w:val="es-ES"/>
        </w:rPr>
        <w:t>of</w:t>
      </w:r>
      <w:proofErr w:type="spellEnd"/>
      <w:r>
        <w:rPr>
          <w:rFonts w:eastAsia="Palatino Linotype"/>
          <w:sz w:val="22"/>
          <w:szCs w:val="22"/>
          <w:lang w:val="es-ES"/>
        </w:rPr>
        <w:t xml:space="preserve"> a similar </w:t>
      </w:r>
      <w:proofErr w:type="spellStart"/>
      <w:r>
        <w:rPr>
          <w:rFonts w:eastAsia="Palatino Linotype"/>
          <w:sz w:val="22"/>
          <w:szCs w:val="22"/>
          <w:lang w:val="es-ES"/>
        </w:rPr>
        <w:t>nature</w:t>
      </w:r>
      <w:proofErr w:type="spellEnd"/>
      <w:r>
        <w:rPr>
          <w:rFonts w:eastAsia="Palatino Linotype"/>
          <w:sz w:val="22"/>
          <w:szCs w:val="22"/>
          <w:lang w:val="es-ES"/>
        </w:rPr>
        <w:t xml:space="preserve"> in </w:t>
      </w:r>
      <w:proofErr w:type="spellStart"/>
      <w:r>
        <w:rPr>
          <w:rFonts w:eastAsia="Palatino Linotype"/>
          <w:sz w:val="22"/>
          <w:szCs w:val="22"/>
          <w:lang w:val="es-ES"/>
        </w:rPr>
        <w:t>accordance</w:t>
      </w:r>
      <w:proofErr w:type="spellEnd"/>
      <w:r>
        <w:rPr>
          <w:rFonts w:eastAsia="Palatino Linotype"/>
          <w:sz w:val="22"/>
          <w:szCs w:val="22"/>
          <w:lang w:val="es-ES"/>
        </w:rPr>
        <w:t xml:space="preserve"> </w:t>
      </w:r>
      <w:proofErr w:type="spellStart"/>
      <w:r>
        <w:rPr>
          <w:rFonts w:eastAsia="Palatino Linotype"/>
          <w:sz w:val="22"/>
          <w:szCs w:val="22"/>
          <w:lang w:val="es-ES"/>
        </w:rPr>
        <w:t>with</w:t>
      </w:r>
      <w:proofErr w:type="spellEnd"/>
      <w:r>
        <w:rPr>
          <w:rFonts w:eastAsia="Palatino Linotype"/>
          <w:sz w:val="22"/>
          <w:szCs w:val="22"/>
          <w:lang w:val="es-ES"/>
        </w:rPr>
        <w:t xml:space="preserve"> </w:t>
      </w:r>
      <w:proofErr w:type="spellStart"/>
      <w:r>
        <w:rPr>
          <w:rFonts w:eastAsia="Palatino Linotype"/>
          <w:sz w:val="22"/>
          <w:szCs w:val="22"/>
          <w:lang w:val="es-ES"/>
        </w:rPr>
        <w:t>what</w:t>
      </w:r>
      <w:proofErr w:type="spellEnd"/>
      <w:r>
        <w:rPr>
          <w:rFonts w:eastAsia="Palatino Linotype"/>
          <w:sz w:val="22"/>
          <w:szCs w:val="22"/>
          <w:lang w:val="es-ES"/>
        </w:rPr>
        <w:t xml:space="preserve"> </w:t>
      </w:r>
      <w:proofErr w:type="spellStart"/>
      <w:r>
        <w:rPr>
          <w:rFonts w:eastAsia="Palatino Linotype"/>
          <w:sz w:val="22"/>
          <w:szCs w:val="22"/>
          <w:lang w:val="es-ES"/>
        </w:rPr>
        <w:t>is</w:t>
      </w:r>
      <w:proofErr w:type="spellEnd"/>
      <w:r>
        <w:rPr>
          <w:rFonts w:eastAsia="Palatino Linotype"/>
          <w:sz w:val="22"/>
          <w:szCs w:val="22"/>
          <w:lang w:val="es-ES"/>
        </w:rPr>
        <w:t xml:space="preserve"> </w:t>
      </w:r>
      <w:proofErr w:type="spellStart"/>
      <w:r>
        <w:rPr>
          <w:rFonts w:eastAsia="Palatino Linotype"/>
          <w:sz w:val="22"/>
          <w:szCs w:val="22"/>
          <w:lang w:val="es-ES"/>
        </w:rPr>
        <w:t>established</w:t>
      </w:r>
      <w:proofErr w:type="spellEnd"/>
      <w:r>
        <w:rPr>
          <w:rFonts w:eastAsia="Palatino Linotype"/>
          <w:sz w:val="22"/>
          <w:szCs w:val="22"/>
          <w:lang w:val="es-ES"/>
        </w:rPr>
        <w:t xml:space="preserve"> in </w:t>
      </w:r>
      <w:proofErr w:type="spellStart"/>
      <w:r>
        <w:rPr>
          <w:rFonts w:eastAsia="Palatino Linotype"/>
          <w:sz w:val="22"/>
          <w:szCs w:val="22"/>
          <w:lang w:val="es-ES"/>
        </w:rPr>
        <w:t>the</w:t>
      </w:r>
      <w:proofErr w:type="spellEnd"/>
      <w:r>
        <w:rPr>
          <w:rFonts w:eastAsia="Palatino Linotype"/>
          <w:sz w:val="22"/>
          <w:szCs w:val="22"/>
          <w:lang w:val="es-ES"/>
        </w:rPr>
        <w:t xml:space="preserve"> Special </w:t>
      </w:r>
      <w:proofErr w:type="spellStart"/>
      <w:r>
        <w:rPr>
          <w:rFonts w:eastAsia="Palatino Linotype"/>
          <w:sz w:val="22"/>
          <w:szCs w:val="22"/>
          <w:lang w:val="es-ES"/>
        </w:rPr>
        <w:t>Specifications</w:t>
      </w:r>
      <w:proofErr w:type="spellEnd"/>
      <w:r>
        <w:rPr>
          <w:rFonts w:eastAsia="Palatino Linotype"/>
          <w:sz w:val="22"/>
          <w:szCs w:val="22"/>
          <w:lang w:val="es-ES"/>
        </w:rPr>
        <w:t>.</w:t>
      </w:r>
    </w:p>
    <w:p w14:paraId="5A798F97" w14:textId="77777777" w:rsidR="00E255F4" w:rsidRDefault="00E255F4">
      <w:pPr>
        <w:ind w:right="-142"/>
        <w:jc w:val="both"/>
        <w:rPr>
          <w:rFonts w:eastAsia="Palatino Linotype"/>
          <w:spacing w:val="-1"/>
          <w:sz w:val="22"/>
          <w:szCs w:val="22"/>
          <w:lang w:val="es-ES"/>
        </w:rPr>
      </w:pPr>
    </w:p>
    <w:p w14:paraId="0486671B" w14:textId="77777777" w:rsidR="00E255F4" w:rsidRDefault="00000000">
      <w:pPr>
        <w:ind w:right="-142"/>
        <w:jc w:val="both"/>
        <w:rPr>
          <w:rFonts w:eastAsia="Palatino Linotype"/>
          <w:sz w:val="22"/>
          <w:szCs w:val="22"/>
          <w:lang w:val="es-ES"/>
        </w:rPr>
      </w:pPr>
      <w:proofErr w:type="spellStart"/>
      <w:r>
        <w:rPr>
          <w:rFonts w:eastAsia="Palatino Linotype"/>
          <w:spacing w:val="-1"/>
          <w:sz w:val="22"/>
          <w:szCs w:val="22"/>
          <w:lang w:val="es-ES"/>
        </w:rPr>
        <w:t>L</w:t>
      </w:r>
      <w:r>
        <w:rPr>
          <w:rFonts w:eastAsia="Palatino Linotype"/>
          <w:sz w:val="22"/>
          <w:szCs w:val="22"/>
          <w:lang w:val="es-ES"/>
        </w:rPr>
        <w:t>The</w:t>
      </w:r>
      <w:proofErr w:type="spellEnd"/>
      <w:r>
        <w:rPr>
          <w:rFonts w:eastAsia="Palatino Linotype"/>
          <w:sz w:val="22"/>
          <w:szCs w:val="22"/>
          <w:lang w:val="es-ES"/>
        </w:rPr>
        <w:t xml:space="preserve"> </w:t>
      </w:r>
      <w:proofErr w:type="spellStart"/>
      <w:r>
        <w:rPr>
          <w:rFonts w:eastAsia="Palatino Linotype"/>
          <w:sz w:val="22"/>
          <w:szCs w:val="22"/>
          <w:lang w:val="es-ES"/>
        </w:rPr>
        <w:t>information</w:t>
      </w:r>
      <w:proofErr w:type="spellEnd"/>
      <w:r>
        <w:rPr>
          <w:rFonts w:eastAsia="Palatino Linotype"/>
          <w:sz w:val="22"/>
          <w:szCs w:val="22"/>
          <w:lang w:val="es-ES"/>
        </w:rPr>
        <w:t xml:space="preserve"> </w:t>
      </w:r>
      <w:proofErr w:type="spellStart"/>
      <w:r>
        <w:rPr>
          <w:rFonts w:eastAsia="Palatino Linotype"/>
          <w:sz w:val="22"/>
          <w:szCs w:val="22"/>
          <w:lang w:val="es-ES"/>
        </w:rPr>
        <w:t>declared</w:t>
      </w:r>
      <w:proofErr w:type="spellEnd"/>
      <w:r>
        <w:rPr>
          <w:rFonts w:eastAsia="Palatino Linotype"/>
          <w:sz w:val="22"/>
          <w:szCs w:val="22"/>
          <w:lang w:val="es-ES"/>
        </w:rPr>
        <w:t xml:space="preserve"> as </w:t>
      </w:r>
      <w:proofErr w:type="spellStart"/>
      <w:r>
        <w:rPr>
          <w:rFonts w:eastAsia="Palatino Linotype"/>
          <w:sz w:val="22"/>
          <w:szCs w:val="22"/>
          <w:lang w:val="es-ES"/>
        </w:rPr>
        <w:t>confidential</w:t>
      </w:r>
      <w:proofErr w:type="spellEnd"/>
      <w:r>
        <w:rPr>
          <w:rFonts w:eastAsia="Palatino Linotype"/>
          <w:sz w:val="22"/>
          <w:szCs w:val="22"/>
          <w:lang w:val="es-ES"/>
        </w:rPr>
        <w:t xml:space="preserve"> </w:t>
      </w:r>
      <w:proofErr w:type="spellStart"/>
      <w:r>
        <w:rPr>
          <w:rFonts w:eastAsia="Palatino Linotype"/>
          <w:sz w:val="22"/>
          <w:szCs w:val="22"/>
          <w:lang w:val="es-ES"/>
        </w:rPr>
        <w:t>must</w:t>
      </w:r>
      <w:proofErr w:type="spellEnd"/>
      <w:r>
        <w:rPr>
          <w:rFonts w:eastAsia="Palatino Linotype"/>
          <w:sz w:val="22"/>
          <w:szCs w:val="22"/>
          <w:lang w:val="es-ES"/>
        </w:rPr>
        <w:t xml:space="preserve"> be </w:t>
      </w:r>
      <w:proofErr w:type="spellStart"/>
      <w:r>
        <w:rPr>
          <w:rFonts w:eastAsia="Palatino Linotype"/>
          <w:sz w:val="22"/>
          <w:szCs w:val="22"/>
          <w:lang w:val="es-ES"/>
        </w:rPr>
        <w:t>submitted</w:t>
      </w:r>
      <w:proofErr w:type="spellEnd"/>
      <w:r>
        <w:rPr>
          <w:rFonts w:eastAsia="Palatino Linotype"/>
          <w:sz w:val="22"/>
          <w:szCs w:val="22"/>
          <w:lang w:val="es-ES"/>
        </w:rPr>
        <w:t xml:space="preserve"> </w:t>
      </w:r>
      <w:proofErr w:type="spellStart"/>
      <w:r>
        <w:rPr>
          <w:rFonts w:eastAsia="Palatino Linotype"/>
          <w:sz w:val="22"/>
          <w:szCs w:val="22"/>
          <w:lang w:val="es-ES"/>
        </w:rPr>
        <w:t>separately</w:t>
      </w:r>
      <w:proofErr w:type="spellEnd"/>
      <w:r>
        <w:rPr>
          <w:rFonts w:eastAsia="Palatino Linotype"/>
          <w:sz w:val="22"/>
          <w:szCs w:val="22"/>
          <w:lang w:val="es-ES"/>
        </w:rPr>
        <w:t xml:space="preserve"> </w:t>
      </w:r>
      <w:proofErr w:type="spellStart"/>
      <w:r>
        <w:rPr>
          <w:rFonts w:eastAsia="Palatino Linotype"/>
          <w:sz w:val="22"/>
          <w:szCs w:val="22"/>
          <w:lang w:val="es-ES"/>
        </w:rPr>
        <w:t>from</w:t>
      </w:r>
      <w:proofErr w:type="spellEnd"/>
      <w:r>
        <w:rPr>
          <w:rFonts w:eastAsia="Palatino Linotype"/>
          <w:sz w:val="22"/>
          <w:szCs w:val="22"/>
          <w:lang w:val="es-ES"/>
        </w:rPr>
        <w:t xml:space="preserve"> </w:t>
      </w:r>
      <w:proofErr w:type="spellStart"/>
      <w:r>
        <w:rPr>
          <w:rFonts w:eastAsia="Palatino Linotype"/>
          <w:sz w:val="22"/>
          <w:szCs w:val="22"/>
          <w:lang w:val="es-ES"/>
        </w:rPr>
        <w:t>the</w:t>
      </w:r>
      <w:proofErr w:type="spellEnd"/>
      <w:r>
        <w:rPr>
          <w:rFonts w:eastAsia="Palatino Linotype"/>
          <w:sz w:val="22"/>
          <w:szCs w:val="22"/>
          <w:lang w:val="es-ES"/>
        </w:rPr>
        <w:t xml:space="preserve"> </w:t>
      </w:r>
      <w:proofErr w:type="spellStart"/>
      <w:r>
        <w:rPr>
          <w:rFonts w:eastAsia="Palatino Linotype"/>
          <w:sz w:val="22"/>
          <w:szCs w:val="22"/>
          <w:lang w:val="es-ES"/>
        </w:rPr>
        <w:t>rest</w:t>
      </w:r>
      <w:proofErr w:type="spellEnd"/>
      <w:r>
        <w:rPr>
          <w:rFonts w:eastAsia="Palatino Linotype"/>
          <w:sz w:val="22"/>
          <w:szCs w:val="22"/>
          <w:lang w:val="es-ES"/>
        </w:rPr>
        <w:t xml:space="preserve"> </w:t>
      </w:r>
      <w:proofErr w:type="spellStart"/>
      <w:r>
        <w:rPr>
          <w:rFonts w:eastAsia="Palatino Linotype"/>
          <w:sz w:val="22"/>
          <w:szCs w:val="22"/>
          <w:lang w:val="es-ES"/>
        </w:rPr>
        <w:t>of</w:t>
      </w:r>
      <w:proofErr w:type="spellEnd"/>
      <w:r>
        <w:rPr>
          <w:rFonts w:eastAsia="Palatino Linotype"/>
          <w:sz w:val="22"/>
          <w:szCs w:val="22"/>
          <w:lang w:val="es-ES"/>
        </w:rPr>
        <w:t xml:space="preserve"> </w:t>
      </w:r>
      <w:proofErr w:type="spellStart"/>
      <w:r>
        <w:rPr>
          <w:rFonts w:eastAsia="Palatino Linotype"/>
          <w:sz w:val="22"/>
          <w:szCs w:val="22"/>
          <w:lang w:val="es-ES"/>
        </w:rPr>
        <w:t>the</w:t>
      </w:r>
      <w:proofErr w:type="spellEnd"/>
      <w:r>
        <w:rPr>
          <w:rFonts w:eastAsia="Palatino Linotype"/>
          <w:sz w:val="22"/>
          <w:szCs w:val="22"/>
          <w:lang w:val="es-ES"/>
        </w:rPr>
        <w:t xml:space="preserve"> </w:t>
      </w:r>
      <w:proofErr w:type="spellStart"/>
      <w:r>
        <w:rPr>
          <w:rFonts w:eastAsia="Palatino Linotype"/>
          <w:sz w:val="22"/>
          <w:szCs w:val="22"/>
          <w:lang w:val="es-ES"/>
        </w:rPr>
        <w:t>offer</w:t>
      </w:r>
      <w:proofErr w:type="spellEnd"/>
      <w:r>
        <w:rPr>
          <w:rFonts w:eastAsia="Palatino Linotype"/>
          <w:sz w:val="22"/>
          <w:szCs w:val="22"/>
          <w:lang w:val="es-ES"/>
        </w:rPr>
        <w:t xml:space="preserve">, </w:t>
      </w:r>
      <w:proofErr w:type="spellStart"/>
      <w:r>
        <w:rPr>
          <w:rFonts w:eastAsia="Palatino Linotype"/>
          <w:sz w:val="22"/>
          <w:szCs w:val="22"/>
          <w:lang w:val="es-ES"/>
        </w:rPr>
        <w:t>either</w:t>
      </w:r>
      <w:proofErr w:type="spellEnd"/>
      <w:r>
        <w:rPr>
          <w:rFonts w:eastAsia="Palatino Linotype"/>
          <w:sz w:val="22"/>
          <w:szCs w:val="22"/>
          <w:lang w:val="es-ES"/>
        </w:rPr>
        <w:t xml:space="preserve"> in </w:t>
      </w:r>
      <w:proofErr w:type="spellStart"/>
      <w:r>
        <w:rPr>
          <w:rFonts w:eastAsia="Palatino Linotype"/>
          <w:sz w:val="22"/>
          <w:szCs w:val="22"/>
          <w:lang w:val="es-ES"/>
        </w:rPr>
        <w:t>an</w:t>
      </w:r>
      <w:proofErr w:type="spellEnd"/>
      <w:r>
        <w:rPr>
          <w:rFonts w:eastAsia="Palatino Linotype"/>
          <w:sz w:val="22"/>
          <w:szCs w:val="22"/>
          <w:lang w:val="es-ES"/>
        </w:rPr>
        <w:t xml:space="preserve"> </w:t>
      </w:r>
      <w:proofErr w:type="spellStart"/>
      <w:r>
        <w:rPr>
          <w:rFonts w:eastAsia="Palatino Linotype"/>
          <w:sz w:val="22"/>
          <w:szCs w:val="22"/>
          <w:lang w:val="es-ES"/>
        </w:rPr>
        <w:t>envelope</w:t>
      </w:r>
      <w:proofErr w:type="spellEnd"/>
      <w:r>
        <w:rPr>
          <w:rFonts w:eastAsia="Palatino Linotype"/>
          <w:sz w:val="22"/>
          <w:szCs w:val="22"/>
          <w:lang w:val="es-ES"/>
        </w:rPr>
        <w:t xml:space="preserve"> </w:t>
      </w:r>
      <w:proofErr w:type="spellStart"/>
      <w:r>
        <w:rPr>
          <w:rFonts w:eastAsia="Palatino Linotype"/>
          <w:sz w:val="22"/>
          <w:szCs w:val="22"/>
          <w:lang w:val="es-ES"/>
        </w:rPr>
        <w:t>or</w:t>
      </w:r>
      <w:proofErr w:type="spellEnd"/>
      <w:r>
        <w:rPr>
          <w:rFonts w:eastAsia="Palatino Linotype"/>
          <w:sz w:val="22"/>
          <w:szCs w:val="22"/>
          <w:lang w:val="es-ES"/>
        </w:rPr>
        <w:t xml:space="preserve"> as a digital file. In </w:t>
      </w:r>
      <w:proofErr w:type="spellStart"/>
      <w:r>
        <w:rPr>
          <w:rFonts w:eastAsia="Palatino Linotype"/>
          <w:sz w:val="22"/>
          <w:szCs w:val="22"/>
          <w:lang w:val="es-ES"/>
        </w:rPr>
        <w:t>all</w:t>
      </w:r>
      <w:proofErr w:type="spellEnd"/>
      <w:r>
        <w:rPr>
          <w:rFonts w:eastAsia="Palatino Linotype"/>
          <w:sz w:val="22"/>
          <w:szCs w:val="22"/>
          <w:lang w:val="es-ES"/>
        </w:rPr>
        <w:t xml:space="preserve"> cases, </w:t>
      </w:r>
      <w:proofErr w:type="spellStart"/>
      <w:r>
        <w:rPr>
          <w:rFonts w:eastAsia="Palatino Linotype"/>
          <w:sz w:val="22"/>
          <w:szCs w:val="22"/>
          <w:lang w:val="es-ES"/>
        </w:rPr>
        <w:t>it</w:t>
      </w:r>
      <w:proofErr w:type="spellEnd"/>
      <w:r>
        <w:rPr>
          <w:rFonts w:eastAsia="Palatino Linotype"/>
          <w:sz w:val="22"/>
          <w:szCs w:val="22"/>
          <w:lang w:val="es-ES"/>
        </w:rPr>
        <w:t xml:space="preserve"> </w:t>
      </w:r>
      <w:proofErr w:type="spellStart"/>
      <w:r>
        <w:rPr>
          <w:rFonts w:eastAsia="Palatino Linotype"/>
          <w:sz w:val="22"/>
          <w:szCs w:val="22"/>
          <w:lang w:val="es-ES"/>
        </w:rPr>
        <w:t>must</w:t>
      </w:r>
      <w:proofErr w:type="spellEnd"/>
      <w:r>
        <w:rPr>
          <w:rFonts w:eastAsia="Palatino Linotype"/>
          <w:sz w:val="22"/>
          <w:szCs w:val="22"/>
          <w:lang w:val="es-ES"/>
        </w:rPr>
        <w:t xml:space="preserve"> be </w:t>
      </w:r>
      <w:proofErr w:type="spellStart"/>
      <w:r>
        <w:rPr>
          <w:rFonts w:eastAsia="Palatino Linotype"/>
          <w:sz w:val="22"/>
          <w:szCs w:val="22"/>
          <w:lang w:val="es-ES"/>
        </w:rPr>
        <w:t>identified</w:t>
      </w:r>
      <w:proofErr w:type="spellEnd"/>
      <w:r>
        <w:rPr>
          <w:rFonts w:eastAsia="Palatino Linotype"/>
          <w:sz w:val="22"/>
          <w:szCs w:val="22"/>
          <w:lang w:val="es-ES"/>
        </w:rPr>
        <w:t xml:space="preserve"> as “Confidential Information”.</w:t>
      </w:r>
    </w:p>
    <w:p w14:paraId="332E22B8" w14:textId="77777777" w:rsidR="00E255F4" w:rsidRDefault="00E255F4">
      <w:pPr>
        <w:ind w:right="-142"/>
        <w:jc w:val="both"/>
        <w:rPr>
          <w:rFonts w:eastAsia="Palatino Linotype"/>
          <w:spacing w:val="-3"/>
          <w:sz w:val="22"/>
          <w:szCs w:val="22"/>
          <w:lang w:val="es-ES"/>
        </w:rPr>
      </w:pPr>
    </w:p>
    <w:p w14:paraId="0BF6B142" w14:textId="77777777" w:rsidR="00E255F4" w:rsidRDefault="00000000">
      <w:pPr>
        <w:ind w:right="-142"/>
        <w:jc w:val="both"/>
        <w:rPr>
          <w:rFonts w:eastAsia="Palatino Linotype"/>
          <w:sz w:val="22"/>
          <w:szCs w:val="22"/>
          <w:lang w:val="es-ES"/>
        </w:rPr>
      </w:pPr>
      <w:proofErr w:type="spellStart"/>
      <w:r>
        <w:rPr>
          <w:rFonts w:eastAsia="Palatino Linotype"/>
          <w:spacing w:val="-3"/>
          <w:sz w:val="22"/>
          <w:szCs w:val="22"/>
          <w:lang w:val="es-ES"/>
        </w:rPr>
        <w:t>AND</w:t>
      </w:r>
      <w:r>
        <w:rPr>
          <w:rFonts w:eastAsia="Palatino Linotype"/>
          <w:sz w:val="22"/>
          <w:szCs w:val="22"/>
          <w:lang w:val="es-ES"/>
        </w:rPr>
        <w:t>The</w:t>
      </w:r>
      <w:proofErr w:type="spellEnd"/>
      <w:r>
        <w:rPr>
          <w:rFonts w:eastAsia="Palatino Linotype"/>
          <w:sz w:val="22"/>
          <w:szCs w:val="22"/>
          <w:lang w:val="es-ES"/>
        </w:rPr>
        <w:t xml:space="preserve"> </w:t>
      </w:r>
      <w:proofErr w:type="spellStart"/>
      <w:r>
        <w:rPr>
          <w:rFonts w:eastAsia="Palatino Linotype"/>
          <w:sz w:val="22"/>
          <w:szCs w:val="22"/>
          <w:lang w:val="es-ES"/>
        </w:rPr>
        <w:t>bidder</w:t>
      </w:r>
      <w:proofErr w:type="spellEnd"/>
      <w:r>
        <w:rPr>
          <w:rFonts w:eastAsia="Palatino Linotype"/>
          <w:sz w:val="22"/>
          <w:szCs w:val="22"/>
          <w:lang w:val="es-ES"/>
        </w:rPr>
        <w:t xml:space="preserve"> </w:t>
      </w:r>
      <w:proofErr w:type="spellStart"/>
      <w:r>
        <w:rPr>
          <w:rFonts w:eastAsia="Palatino Linotype"/>
          <w:sz w:val="22"/>
          <w:szCs w:val="22"/>
          <w:lang w:val="es-ES"/>
        </w:rPr>
        <w:t>who</w:t>
      </w:r>
      <w:proofErr w:type="spellEnd"/>
      <w:r>
        <w:rPr>
          <w:rFonts w:eastAsia="Palatino Linotype"/>
          <w:sz w:val="22"/>
          <w:szCs w:val="22"/>
          <w:lang w:val="es-ES"/>
        </w:rPr>
        <w:t xml:space="preserve"> </w:t>
      </w:r>
      <w:proofErr w:type="spellStart"/>
      <w:r>
        <w:rPr>
          <w:rFonts w:eastAsia="Palatino Linotype"/>
          <w:sz w:val="22"/>
          <w:szCs w:val="22"/>
          <w:lang w:val="es-ES"/>
        </w:rPr>
        <w:t>submits</w:t>
      </w:r>
      <w:proofErr w:type="spellEnd"/>
      <w:r>
        <w:rPr>
          <w:rFonts w:eastAsia="Palatino Linotype"/>
          <w:sz w:val="22"/>
          <w:szCs w:val="22"/>
          <w:lang w:val="es-ES"/>
        </w:rPr>
        <w:t xml:space="preserve"> </w:t>
      </w:r>
      <w:proofErr w:type="spellStart"/>
      <w:r>
        <w:rPr>
          <w:rFonts w:eastAsia="Palatino Linotype"/>
          <w:sz w:val="22"/>
          <w:szCs w:val="22"/>
          <w:lang w:val="es-ES"/>
        </w:rPr>
        <w:t>confidential</w:t>
      </w:r>
      <w:proofErr w:type="spellEnd"/>
      <w:r>
        <w:rPr>
          <w:rFonts w:eastAsia="Palatino Linotype"/>
          <w:sz w:val="22"/>
          <w:szCs w:val="22"/>
          <w:lang w:val="es-ES"/>
        </w:rPr>
        <w:t xml:space="preserve"> </w:t>
      </w:r>
      <w:proofErr w:type="spellStart"/>
      <w:r>
        <w:rPr>
          <w:rFonts w:eastAsia="Palatino Linotype"/>
          <w:sz w:val="22"/>
          <w:szCs w:val="22"/>
          <w:lang w:val="es-ES"/>
        </w:rPr>
        <w:t>information</w:t>
      </w:r>
      <w:proofErr w:type="spellEnd"/>
      <w:r>
        <w:rPr>
          <w:rFonts w:eastAsia="Palatino Linotype"/>
          <w:sz w:val="22"/>
          <w:szCs w:val="22"/>
          <w:lang w:val="es-ES"/>
        </w:rPr>
        <w:t xml:space="preserve"> </w:t>
      </w:r>
      <w:proofErr w:type="spellStart"/>
      <w:r>
        <w:rPr>
          <w:rFonts w:eastAsia="Palatino Linotype"/>
          <w:sz w:val="22"/>
          <w:szCs w:val="22"/>
          <w:lang w:val="es-ES"/>
        </w:rPr>
        <w:t>must</w:t>
      </w:r>
      <w:proofErr w:type="spellEnd"/>
      <w:r>
        <w:rPr>
          <w:rFonts w:eastAsia="Palatino Linotype"/>
          <w:sz w:val="22"/>
          <w:szCs w:val="22"/>
          <w:lang w:val="es-ES"/>
        </w:rPr>
        <w:t xml:space="preserve"> </w:t>
      </w:r>
      <w:proofErr w:type="spellStart"/>
      <w:r>
        <w:rPr>
          <w:rFonts w:eastAsia="Palatino Linotype"/>
          <w:sz w:val="22"/>
          <w:szCs w:val="22"/>
          <w:lang w:val="es-ES"/>
        </w:rPr>
        <w:t>submit</w:t>
      </w:r>
      <w:proofErr w:type="spellEnd"/>
      <w:r>
        <w:rPr>
          <w:rFonts w:eastAsia="Palatino Linotype"/>
          <w:sz w:val="22"/>
          <w:szCs w:val="22"/>
          <w:lang w:val="es-ES"/>
        </w:rPr>
        <w:t xml:space="preserve"> in </w:t>
      </w:r>
      <w:proofErr w:type="spellStart"/>
      <w:r>
        <w:rPr>
          <w:rFonts w:eastAsia="Palatino Linotype"/>
          <w:sz w:val="22"/>
          <w:szCs w:val="22"/>
          <w:lang w:val="es-ES"/>
        </w:rPr>
        <w:t>the</w:t>
      </w:r>
      <w:proofErr w:type="spellEnd"/>
      <w:r>
        <w:rPr>
          <w:rFonts w:eastAsia="Palatino Linotype"/>
          <w:sz w:val="22"/>
          <w:szCs w:val="22"/>
          <w:lang w:val="es-ES"/>
        </w:rPr>
        <w:t xml:space="preserve"> </w:t>
      </w:r>
      <w:proofErr w:type="spellStart"/>
      <w:r>
        <w:rPr>
          <w:rFonts w:eastAsia="Palatino Linotype"/>
          <w:sz w:val="22"/>
          <w:szCs w:val="22"/>
          <w:lang w:val="es-ES"/>
        </w:rPr>
        <w:t>bid</w:t>
      </w:r>
      <w:proofErr w:type="spellEnd"/>
      <w:r>
        <w:rPr>
          <w:rFonts w:eastAsia="Palatino Linotype"/>
          <w:sz w:val="22"/>
          <w:szCs w:val="22"/>
          <w:lang w:val="es-ES"/>
        </w:rPr>
        <w:t xml:space="preserve"> a “non-</w:t>
      </w:r>
      <w:proofErr w:type="spellStart"/>
      <w:r>
        <w:rPr>
          <w:rFonts w:eastAsia="Palatino Linotype"/>
          <w:sz w:val="22"/>
          <w:szCs w:val="22"/>
          <w:lang w:val="es-ES"/>
        </w:rPr>
        <w:t>confidential</w:t>
      </w:r>
      <w:proofErr w:type="spellEnd"/>
      <w:r>
        <w:rPr>
          <w:rFonts w:eastAsia="Palatino Linotype"/>
          <w:sz w:val="22"/>
          <w:szCs w:val="22"/>
          <w:lang w:val="es-ES"/>
        </w:rPr>
        <w:t xml:space="preserve"> </w:t>
      </w:r>
      <w:proofErr w:type="spellStart"/>
      <w:r>
        <w:rPr>
          <w:rFonts w:eastAsia="Palatino Linotype"/>
          <w:sz w:val="22"/>
          <w:szCs w:val="22"/>
          <w:lang w:val="es-ES"/>
        </w:rPr>
        <w:t>summary</w:t>
      </w:r>
      <w:proofErr w:type="spellEnd"/>
      <w:r>
        <w:rPr>
          <w:rFonts w:eastAsia="Palatino Linotype"/>
          <w:sz w:val="22"/>
          <w:szCs w:val="22"/>
          <w:lang w:val="es-ES"/>
        </w:rPr>
        <w:t xml:space="preserve">” </w:t>
      </w:r>
      <w:proofErr w:type="spellStart"/>
      <w:r>
        <w:rPr>
          <w:rFonts w:eastAsia="Palatino Linotype"/>
          <w:sz w:val="22"/>
          <w:szCs w:val="22"/>
          <w:lang w:val="es-ES"/>
        </w:rPr>
        <w:t>of</w:t>
      </w:r>
      <w:proofErr w:type="spellEnd"/>
      <w:r>
        <w:rPr>
          <w:rFonts w:eastAsia="Palatino Linotype"/>
          <w:sz w:val="22"/>
          <w:szCs w:val="22"/>
          <w:lang w:val="es-ES"/>
        </w:rPr>
        <w:t xml:space="preserve"> </w:t>
      </w:r>
      <w:proofErr w:type="spellStart"/>
      <w:r>
        <w:rPr>
          <w:rFonts w:eastAsia="Palatino Linotype"/>
          <w:sz w:val="22"/>
          <w:szCs w:val="22"/>
          <w:lang w:val="es-ES"/>
        </w:rPr>
        <w:t>said</w:t>
      </w:r>
      <w:proofErr w:type="spellEnd"/>
      <w:r>
        <w:rPr>
          <w:rFonts w:eastAsia="Palatino Linotype"/>
          <w:sz w:val="22"/>
          <w:szCs w:val="22"/>
          <w:lang w:val="es-ES"/>
        </w:rPr>
        <w:t xml:space="preserve"> </w:t>
      </w:r>
      <w:proofErr w:type="spellStart"/>
      <w:r>
        <w:rPr>
          <w:rFonts w:eastAsia="Palatino Linotype"/>
          <w:sz w:val="22"/>
          <w:szCs w:val="22"/>
          <w:lang w:val="es-ES"/>
        </w:rPr>
        <w:t>information</w:t>
      </w:r>
      <w:proofErr w:type="spellEnd"/>
      <w:r>
        <w:rPr>
          <w:rFonts w:eastAsia="Palatino Linotype"/>
          <w:sz w:val="22"/>
          <w:szCs w:val="22"/>
          <w:lang w:val="es-ES"/>
        </w:rPr>
        <w:t xml:space="preserve">, </w:t>
      </w:r>
      <w:proofErr w:type="spellStart"/>
      <w:r>
        <w:rPr>
          <w:rFonts w:eastAsia="Palatino Linotype"/>
          <w:sz w:val="22"/>
          <w:szCs w:val="22"/>
          <w:lang w:val="es-ES"/>
        </w:rPr>
        <w:t>which</w:t>
      </w:r>
      <w:proofErr w:type="spellEnd"/>
      <w:r>
        <w:rPr>
          <w:rFonts w:eastAsia="Palatino Linotype"/>
          <w:sz w:val="22"/>
          <w:szCs w:val="22"/>
          <w:lang w:val="es-ES"/>
        </w:rPr>
        <w:t xml:space="preserve"> </w:t>
      </w:r>
      <w:proofErr w:type="spellStart"/>
      <w:r>
        <w:rPr>
          <w:rFonts w:eastAsia="Palatino Linotype"/>
          <w:sz w:val="22"/>
          <w:szCs w:val="22"/>
          <w:lang w:val="es-ES"/>
        </w:rPr>
        <w:t>is</w:t>
      </w:r>
      <w:proofErr w:type="spellEnd"/>
      <w:r>
        <w:rPr>
          <w:rFonts w:eastAsia="Palatino Linotype"/>
          <w:sz w:val="22"/>
          <w:szCs w:val="22"/>
          <w:lang w:val="es-ES"/>
        </w:rPr>
        <w:t xml:space="preserve"> </w:t>
      </w:r>
      <w:proofErr w:type="spellStart"/>
      <w:r>
        <w:rPr>
          <w:rFonts w:eastAsia="Palatino Linotype"/>
          <w:sz w:val="22"/>
          <w:szCs w:val="22"/>
          <w:lang w:val="es-ES"/>
        </w:rPr>
        <w:t>brief</w:t>
      </w:r>
      <w:proofErr w:type="spellEnd"/>
      <w:r>
        <w:rPr>
          <w:rFonts w:eastAsia="Palatino Linotype"/>
          <w:sz w:val="22"/>
          <w:szCs w:val="22"/>
          <w:lang w:val="es-ES"/>
        </w:rPr>
        <w:t xml:space="preserve"> and concise (Decree No. 232/010 </w:t>
      </w:r>
      <w:proofErr w:type="spellStart"/>
      <w:r>
        <w:rPr>
          <w:rFonts w:eastAsia="Palatino Linotype"/>
          <w:sz w:val="22"/>
          <w:szCs w:val="22"/>
          <w:lang w:val="es-ES"/>
        </w:rPr>
        <w:t>of</w:t>
      </w:r>
      <w:proofErr w:type="spellEnd"/>
      <w:r>
        <w:rPr>
          <w:rFonts w:eastAsia="Palatino Linotype"/>
          <w:sz w:val="22"/>
          <w:szCs w:val="22"/>
          <w:lang w:val="es-ES"/>
        </w:rPr>
        <w:t xml:space="preserve"> August 2, 2010).</w:t>
      </w:r>
    </w:p>
    <w:p w14:paraId="11FADE3D" w14:textId="77777777" w:rsidR="00E255F4" w:rsidRDefault="00E255F4">
      <w:pPr>
        <w:ind w:right="-142"/>
        <w:jc w:val="both"/>
        <w:rPr>
          <w:rFonts w:eastAsia="Palatino Linotype"/>
          <w:spacing w:val="-1"/>
          <w:position w:val="1"/>
          <w:sz w:val="22"/>
          <w:szCs w:val="22"/>
          <w:lang w:val="es-ES"/>
        </w:rPr>
      </w:pPr>
    </w:p>
    <w:p w14:paraId="602C728B" w14:textId="77777777" w:rsidR="00E255F4" w:rsidRDefault="00000000">
      <w:pPr>
        <w:ind w:right="-142"/>
        <w:jc w:val="both"/>
        <w:rPr>
          <w:rFonts w:eastAsia="Palatino Linotype"/>
          <w:spacing w:val="-1"/>
          <w:position w:val="1"/>
          <w:sz w:val="22"/>
          <w:szCs w:val="22"/>
          <w:lang w:val="es-ES"/>
        </w:rPr>
      </w:pPr>
      <w:proofErr w:type="spellStart"/>
      <w:r>
        <w:rPr>
          <w:rFonts w:eastAsia="Palatino Linotype"/>
          <w:spacing w:val="-1"/>
          <w:position w:val="1"/>
          <w:sz w:val="22"/>
          <w:szCs w:val="22"/>
          <w:lang w:val="es-ES"/>
        </w:rPr>
        <w:t>N</w:t>
      </w:r>
      <w:r>
        <w:rPr>
          <w:rFonts w:eastAsia="Palatino Linotype"/>
          <w:position w:val="1"/>
          <w:sz w:val="22"/>
          <w:szCs w:val="22"/>
          <w:lang w:val="es-ES"/>
        </w:rPr>
        <w:t>Prices</w:t>
      </w:r>
      <w:proofErr w:type="spellEnd"/>
      <w:r>
        <w:rPr>
          <w:rFonts w:eastAsia="Palatino Linotype"/>
          <w:position w:val="1"/>
          <w:sz w:val="22"/>
          <w:szCs w:val="22"/>
          <w:lang w:val="es-ES"/>
        </w:rPr>
        <w:t xml:space="preserve">, </w:t>
      </w:r>
      <w:proofErr w:type="spellStart"/>
      <w:r>
        <w:rPr>
          <w:rFonts w:eastAsia="Palatino Linotype"/>
          <w:position w:val="1"/>
          <w:sz w:val="22"/>
          <w:szCs w:val="22"/>
          <w:lang w:val="es-ES"/>
        </w:rPr>
        <w:t>descriptions</w:t>
      </w:r>
      <w:proofErr w:type="spellEnd"/>
      <w:r>
        <w:rPr>
          <w:rFonts w:eastAsia="Palatino Linotype"/>
          <w:position w:val="1"/>
          <w:sz w:val="22"/>
          <w:szCs w:val="22"/>
          <w:lang w:val="es-ES"/>
        </w:rPr>
        <w:t xml:space="preserve"> </w:t>
      </w:r>
      <w:proofErr w:type="spellStart"/>
      <w:r>
        <w:rPr>
          <w:rFonts w:eastAsia="Palatino Linotype"/>
          <w:position w:val="1"/>
          <w:sz w:val="22"/>
          <w:szCs w:val="22"/>
          <w:lang w:val="es-ES"/>
        </w:rPr>
        <w:t>of</w:t>
      </w:r>
      <w:proofErr w:type="spellEnd"/>
      <w:r>
        <w:rPr>
          <w:rFonts w:eastAsia="Palatino Linotype"/>
          <w:position w:val="1"/>
          <w:sz w:val="22"/>
          <w:szCs w:val="22"/>
          <w:lang w:val="es-ES"/>
        </w:rPr>
        <w:t xml:space="preserve"> </w:t>
      </w:r>
      <w:proofErr w:type="spellStart"/>
      <w:r>
        <w:rPr>
          <w:rFonts w:eastAsia="Palatino Linotype"/>
          <w:position w:val="1"/>
          <w:sz w:val="22"/>
          <w:szCs w:val="22"/>
          <w:lang w:val="es-ES"/>
        </w:rPr>
        <w:t>goods</w:t>
      </w:r>
      <w:proofErr w:type="spellEnd"/>
      <w:r>
        <w:rPr>
          <w:rFonts w:eastAsia="Palatino Linotype"/>
          <w:position w:val="1"/>
          <w:sz w:val="22"/>
          <w:szCs w:val="22"/>
          <w:lang w:val="es-ES"/>
        </w:rPr>
        <w:t xml:space="preserve"> and </w:t>
      </w:r>
      <w:proofErr w:type="spellStart"/>
      <w:r>
        <w:rPr>
          <w:rFonts w:eastAsia="Palatino Linotype"/>
          <w:position w:val="1"/>
          <w:sz w:val="22"/>
          <w:szCs w:val="22"/>
          <w:lang w:val="es-ES"/>
        </w:rPr>
        <w:t>services</w:t>
      </w:r>
      <w:proofErr w:type="spellEnd"/>
      <w:r>
        <w:rPr>
          <w:rFonts w:eastAsia="Palatino Linotype"/>
          <w:position w:val="1"/>
          <w:sz w:val="22"/>
          <w:szCs w:val="22"/>
          <w:lang w:val="es-ES"/>
        </w:rPr>
        <w:t xml:space="preserve"> </w:t>
      </w:r>
      <w:proofErr w:type="spellStart"/>
      <w:r>
        <w:rPr>
          <w:rFonts w:eastAsia="Palatino Linotype"/>
          <w:position w:val="1"/>
          <w:sz w:val="22"/>
          <w:szCs w:val="22"/>
          <w:lang w:val="es-ES"/>
        </w:rPr>
        <w:t>offered</w:t>
      </w:r>
      <w:proofErr w:type="spellEnd"/>
      <w:r>
        <w:rPr>
          <w:rFonts w:eastAsia="Palatino Linotype"/>
          <w:position w:val="1"/>
          <w:sz w:val="22"/>
          <w:szCs w:val="22"/>
          <w:lang w:val="es-ES"/>
        </w:rPr>
        <w:t xml:space="preserve">, and general </w:t>
      </w:r>
      <w:proofErr w:type="spellStart"/>
      <w:r>
        <w:rPr>
          <w:rFonts w:eastAsia="Palatino Linotype"/>
          <w:position w:val="1"/>
          <w:sz w:val="22"/>
          <w:szCs w:val="22"/>
          <w:lang w:val="es-ES"/>
        </w:rPr>
        <w:t>terms</w:t>
      </w:r>
      <w:proofErr w:type="spellEnd"/>
      <w:r>
        <w:rPr>
          <w:rFonts w:eastAsia="Palatino Linotype"/>
          <w:position w:val="1"/>
          <w:sz w:val="22"/>
          <w:szCs w:val="22"/>
          <w:lang w:val="es-ES"/>
        </w:rPr>
        <w:t xml:space="preserve"> and </w:t>
      </w:r>
      <w:proofErr w:type="spellStart"/>
      <w:r>
        <w:rPr>
          <w:rFonts w:eastAsia="Palatino Linotype"/>
          <w:position w:val="1"/>
          <w:sz w:val="22"/>
          <w:szCs w:val="22"/>
          <w:lang w:val="es-ES"/>
        </w:rPr>
        <w:t>conditions</w:t>
      </w:r>
      <w:proofErr w:type="spellEnd"/>
      <w:r>
        <w:rPr>
          <w:rFonts w:eastAsia="Palatino Linotype"/>
          <w:position w:val="1"/>
          <w:sz w:val="22"/>
          <w:szCs w:val="22"/>
          <w:lang w:val="es-ES"/>
        </w:rPr>
        <w:t xml:space="preserve"> </w:t>
      </w:r>
      <w:proofErr w:type="spellStart"/>
      <w:r>
        <w:rPr>
          <w:rFonts w:eastAsia="Palatino Linotype"/>
          <w:position w:val="1"/>
          <w:sz w:val="22"/>
          <w:szCs w:val="22"/>
          <w:lang w:val="es-ES"/>
        </w:rPr>
        <w:t>of</w:t>
      </w:r>
      <w:proofErr w:type="spellEnd"/>
      <w:r>
        <w:rPr>
          <w:rFonts w:eastAsia="Palatino Linotype"/>
          <w:position w:val="1"/>
          <w:sz w:val="22"/>
          <w:szCs w:val="22"/>
          <w:lang w:val="es-ES"/>
        </w:rPr>
        <w:t xml:space="preserve"> </w:t>
      </w:r>
      <w:proofErr w:type="spellStart"/>
      <w:r>
        <w:rPr>
          <w:rFonts w:eastAsia="Palatino Linotype"/>
          <w:position w:val="1"/>
          <w:sz w:val="22"/>
          <w:szCs w:val="22"/>
          <w:lang w:val="es-ES"/>
        </w:rPr>
        <w:t>the</w:t>
      </w:r>
      <w:proofErr w:type="spellEnd"/>
      <w:r>
        <w:rPr>
          <w:rFonts w:eastAsia="Palatino Linotype"/>
          <w:position w:val="1"/>
          <w:sz w:val="22"/>
          <w:szCs w:val="22"/>
          <w:lang w:val="es-ES"/>
        </w:rPr>
        <w:t xml:space="preserve"> </w:t>
      </w:r>
      <w:proofErr w:type="spellStart"/>
      <w:r>
        <w:rPr>
          <w:rFonts w:eastAsia="Palatino Linotype"/>
          <w:position w:val="1"/>
          <w:sz w:val="22"/>
          <w:szCs w:val="22"/>
          <w:lang w:val="es-ES"/>
        </w:rPr>
        <w:t>offer</w:t>
      </w:r>
      <w:proofErr w:type="spellEnd"/>
      <w:r>
        <w:rPr>
          <w:rFonts w:eastAsia="Palatino Linotype"/>
          <w:position w:val="1"/>
          <w:sz w:val="22"/>
          <w:szCs w:val="22"/>
          <w:lang w:val="es-ES"/>
        </w:rPr>
        <w:t xml:space="preserve"> </w:t>
      </w:r>
      <w:proofErr w:type="spellStart"/>
      <w:r>
        <w:rPr>
          <w:rFonts w:eastAsia="Palatino Linotype"/>
          <w:position w:val="1"/>
          <w:sz w:val="22"/>
          <w:szCs w:val="22"/>
          <w:lang w:val="es-ES"/>
        </w:rPr>
        <w:t>will</w:t>
      </w:r>
      <w:proofErr w:type="spellEnd"/>
      <w:r>
        <w:rPr>
          <w:rFonts w:eastAsia="Palatino Linotype"/>
          <w:position w:val="1"/>
          <w:sz w:val="22"/>
          <w:szCs w:val="22"/>
          <w:lang w:val="es-ES"/>
        </w:rPr>
        <w:t xml:space="preserve"> </w:t>
      </w:r>
      <w:proofErr w:type="spellStart"/>
      <w:r>
        <w:rPr>
          <w:rFonts w:eastAsia="Palatino Linotype"/>
          <w:position w:val="1"/>
          <w:sz w:val="22"/>
          <w:szCs w:val="22"/>
          <w:lang w:val="es-ES"/>
        </w:rPr>
        <w:t>not</w:t>
      </w:r>
      <w:proofErr w:type="spellEnd"/>
      <w:r>
        <w:rPr>
          <w:rFonts w:eastAsia="Palatino Linotype"/>
          <w:position w:val="1"/>
          <w:sz w:val="22"/>
          <w:szCs w:val="22"/>
          <w:lang w:val="es-ES"/>
        </w:rPr>
        <w:t xml:space="preserve"> be </w:t>
      </w:r>
      <w:proofErr w:type="spellStart"/>
      <w:r>
        <w:rPr>
          <w:rFonts w:eastAsia="Palatino Linotype"/>
          <w:position w:val="1"/>
          <w:sz w:val="22"/>
          <w:szCs w:val="22"/>
          <w:lang w:val="es-ES"/>
        </w:rPr>
        <w:t>considered</w:t>
      </w:r>
      <w:proofErr w:type="spellEnd"/>
      <w:r>
        <w:rPr>
          <w:rFonts w:eastAsia="Palatino Linotype"/>
          <w:position w:val="1"/>
          <w:sz w:val="22"/>
          <w:szCs w:val="22"/>
          <w:lang w:val="es-ES"/>
        </w:rPr>
        <w:t xml:space="preserve"> </w:t>
      </w:r>
      <w:proofErr w:type="spellStart"/>
      <w:r>
        <w:rPr>
          <w:rFonts w:eastAsia="Palatino Linotype"/>
          <w:position w:val="1"/>
          <w:sz w:val="22"/>
          <w:szCs w:val="22"/>
          <w:lang w:val="es-ES"/>
        </w:rPr>
        <w:t>confidential</w:t>
      </w:r>
      <w:proofErr w:type="spellEnd"/>
      <w:r>
        <w:rPr>
          <w:rFonts w:eastAsia="Palatino Linotype"/>
          <w:position w:val="1"/>
          <w:sz w:val="22"/>
          <w:szCs w:val="22"/>
          <w:lang w:val="es-ES"/>
        </w:rPr>
        <w:t>.</w:t>
      </w:r>
    </w:p>
    <w:p w14:paraId="24333B07" w14:textId="77777777" w:rsidR="00E255F4" w:rsidRDefault="00E255F4">
      <w:pPr>
        <w:ind w:right="-142"/>
        <w:jc w:val="both"/>
        <w:rPr>
          <w:rFonts w:eastAsia="Palatino Linotype"/>
          <w:spacing w:val="-1"/>
          <w:position w:val="1"/>
          <w:sz w:val="22"/>
          <w:szCs w:val="22"/>
          <w:lang w:val="es-ES"/>
        </w:rPr>
      </w:pPr>
    </w:p>
    <w:p w14:paraId="5C6C5109" w14:textId="77777777" w:rsidR="00E255F4" w:rsidRDefault="00E255F4">
      <w:pPr>
        <w:ind w:right="-142"/>
        <w:jc w:val="both"/>
        <w:rPr>
          <w:rFonts w:eastAsia="Palatino Linotype"/>
          <w:b/>
          <w:spacing w:val="-1"/>
          <w:sz w:val="22"/>
          <w:szCs w:val="22"/>
          <w:lang w:val="es-ES"/>
        </w:rPr>
      </w:pPr>
    </w:p>
    <w:p w14:paraId="426DA9C6" w14:textId="77777777" w:rsidR="00E255F4" w:rsidRDefault="00000000">
      <w:pPr>
        <w:ind w:right="-142"/>
        <w:jc w:val="both"/>
        <w:rPr>
          <w:rFonts w:eastAsia="Palatino Linotype"/>
          <w:sz w:val="22"/>
          <w:szCs w:val="22"/>
          <w:lang w:val="es-ES"/>
        </w:rPr>
      </w:pPr>
      <w:r>
        <w:rPr>
          <w:rFonts w:eastAsia="Palatino Linotype"/>
          <w:b/>
          <w:spacing w:val="-1"/>
          <w:sz w:val="22"/>
          <w:szCs w:val="22"/>
          <w:lang w:val="es-ES"/>
        </w:rPr>
        <w:t>12.</w:t>
      </w:r>
      <w:r>
        <w:rPr>
          <w:rFonts w:eastAsia="Palatino Linotype"/>
          <w:b/>
          <w:sz w:val="22"/>
          <w:szCs w:val="22"/>
          <w:lang w:val="es-ES"/>
        </w:rPr>
        <w:t>3</w:t>
      </w:r>
      <w:r>
        <w:rPr>
          <w:rFonts w:eastAsia="Palatino Linotype"/>
          <w:b/>
          <w:sz w:val="22"/>
          <w:szCs w:val="22"/>
          <w:lang w:val="es-ES"/>
        </w:rPr>
        <w:tab/>
      </w:r>
      <w:proofErr w:type="spellStart"/>
      <w:r>
        <w:rPr>
          <w:rFonts w:eastAsia="Palatino Linotype"/>
          <w:b/>
          <w:spacing w:val="-2"/>
          <w:sz w:val="22"/>
          <w:szCs w:val="22"/>
          <w:lang w:val="es-ES"/>
        </w:rPr>
        <w:t>Opening</w:t>
      </w:r>
      <w:proofErr w:type="spellEnd"/>
    </w:p>
    <w:p w14:paraId="0416F32A" w14:textId="77777777" w:rsidR="00E255F4" w:rsidRDefault="00E255F4">
      <w:pPr>
        <w:ind w:right="-142"/>
        <w:jc w:val="both"/>
        <w:rPr>
          <w:rFonts w:eastAsia="Palatino Linotype"/>
          <w:spacing w:val="-1"/>
          <w:sz w:val="22"/>
          <w:szCs w:val="22"/>
          <w:lang w:val="es-ES"/>
        </w:rPr>
      </w:pPr>
    </w:p>
    <w:p w14:paraId="7F7B4AC0" w14:textId="77777777" w:rsidR="00E255F4" w:rsidRDefault="00000000">
      <w:pPr>
        <w:ind w:right="-142"/>
        <w:jc w:val="both"/>
        <w:rPr>
          <w:rFonts w:eastAsia="Palatino Linotype"/>
          <w:sz w:val="22"/>
          <w:szCs w:val="22"/>
          <w:lang w:val="es-ES"/>
        </w:rPr>
      </w:pPr>
      <w:proofErr w:type="spellStart"/>
      <w:r>
        <w:rPr>
          <w:rFonts w:eastAsia="Palatino Linotype"/>
          <w:spacing w:val="-1"/>
          <w:sz w:val="22"/>
          <w:szCs w:val="22"/>
          <w:lang w:val="es-ES"/>
        </w:rPr>
        <w:t>L</w:t>
      </w:r>
      <w:r>
        <w:rPr>
          <w:rFonts w:eastAsia="Palatino Linotype"/>
          <w:sz w:val="22"/>
          <w:szCs w:val="22"/>
          <w:lang w:val="es-ES"/>
        </w:rPr>
        <w:t>The</w:t>
      </w:r>
      <w:proofErr w:type="spellEnd"/>
      <w:r>
        <w:rPr>
          <w:rFonts w:eastAsia="Palatino Linotype"/>
          <w:sz w:val="22"/>
          <w:szCs w:val="22"/>
          <w:lang w:val="es-ES"/>
        </w:rPr>
        <w:t xml:space="preserve"> </w:t>
      </w:r>
      <w:proofErr w:type="spellStart"/>
      <w:r>
        <w:rPr>
          <w:rFonts w:eastAsia="Palatino Linotype"/>
          <w:sz w:val="22"/>
          <w:szCs w:val="22"/>
          <w:lang w:val="es-ES"/>
        </w:rPr>
        <w:t>opening</w:t>
      </w:r>
      <w:proofErr w:type="spellEnd"/>
      <w:r>
        <w:rPr>
          <w:rFonts w:eastAsia="Palatino Linotype"/>
          <w:sz w:val="22"/>
          <w:szCs w:val="22"/>
          <w:lang w:val="es-ES"/>
        </w:rPr>
        <w:t xml:space="preserve"> </w:t>
      </w:r>
      <w:proofErr w:type="spellStart"/>
      <w:r>
        <w:rPr>
          <w:rFonts w:eastAsia="Palatino Linotype"/>
          <w:sz w:val="22"/>
          <w:szCs w:val="22"/>
          <w:lang w:val="es-ES"/>
        </w:rPr>
        <w:t>of</w:t>
      </w:r>
      <w:proofErr w:type="spellEnd"/>
      <w:r>
        <w:rPr>
          <w:rFonts w:eastAsia="Palatino Linotype"/>
          <w:sz w:val="22"/>
          <w:szCs w:val="22"/>
          <w:lang w:val="es-ES"/>
        </w:rPr>
        <w:t xml:space="preserve"> </w:t>
      </w:r>
      <w:proofErr w:type="spellStart"/>
      <w:r>
        <w:rPr>
          <w:rFonts w:eastAsia="Palatino Linotype"/>
          <w:sz w:val="22"/>
          <w:szCs w:val="22"/>
          <w:lang w:val="es-ES"/>
        </w:rPr>
        <w:t>bids</w:t>
      </w:r>
      <w:proofErr w:type="spellEnd"/>
      <w:r>
        <w:rPr>
          <w:rFonts w:eastAsia="Palatino Linotype"/>
          <w:sz w:val="22"/>
          <w:szCs w:val="22"/>
          <w:lang w:val="es-ES"/>
        </w:rPr>
        <w:t xml:space="preserve"> </w:t>
      </w:r>
      <w:proofErr w:type="spellStart"/>
      <w:r>
        <w:rPr>
          <w:rFonts w:eastAsia="Palatino Linotype"/>
          <w:sz w:val="22"/>
          <w:szCs w:val="22"/>
          <w:lang w:val="es-ES"/>
        </w:rPr>
        <w:t>will</w:t>
      </w:r>
      <w:proofErr w:type="spellEnd"/>
      <w:r>
        <w:rPr>
          <w:rFonts w:eastAsia="Palatino Linotype"/>
          <w:sz w:val="22"/>
          <w:szCs w:val="22"/>
          <w:lang w:val="es-ES"/>
        </w:rPr>
        <w:t xml:space="preserve"> be </w:t>
      </w:r>
      <w:proofErr w:type="spellStart"/>
      <w:r>
        <w:rPr>
          <w:rFonts w:eastAsia="Palatino Linotype"/>
          <w:sz w:val="22"/>
          <w:szCs w:val="22"/>
          <w:lang w:val="es-ES"/>
        </w:rPr>
        <w:t>conducted</w:t>
      </w:r>
      <w:proofErr w:type="spellEnd"/>
      <w:r>
        <w:rPr>
          <w:rFonts w:eastAsia="Palatino Linotype"/>
          <w:sz w:val="22"/>
          <w:szCs w:val="22"/>
          <w:lang w:val="es-ES"/>
        </w:rPr>
        <w:t xml:space="preserve"> </w:t>
      </w:r>
      <w:proofErr w:type="spellStart"/>
      <w:r>
        <w:rPr>
          <w:rFonts w:eastAsia="Palatino Linotype"/>
          <w:sz w:val="22"/>
          <w:szCs w:val="22"/>
          <w:lang w:val="es-ES"/>
        </w:rPr>
        <w:t>publicly</w:t>
      </w:r>
      <w:proofErr w:type="spellEnd"/>
      <w:r>
        <w:rPr>
          <w:rFonts w:eastAsia="Palatino Linotype"/>
          <w:sz w:val="22"/>
          <w:szCs w:val="22"/>
          <w:lang w:val="es-ES"/>
        </w:rPr>
        <w:t xml:space="preserve"> at </w:t>
      </w:r>
      <w:proofErr w:type="spellStart"/>
      <w:r>
        <w:rPr>
          <w:rFonts w:eastAsia="Palatino Linotype"/>
          <w:sz w:val="22"/>
          <w:szCs w:val="22"/>
          <w:lang w:val="es-ES"/>
        </w:rPr>
        <w:t>the</w:t>
      </w:r>
      <w:proofErr w:type="spellEnd"/>
      <w:r>
        <w:rPr>
          <w:rFonts w:eastAsia="Palatino Linotype"/>
          <w:sz w:val="22"/>
          <w:szCs w:val="22"/>
          <w:lang w:val="es-ES"/>
        </w:rPr>
        <w:t xml:space="preserve"> place, date, and time </w:t>
      </w:r>
      <w:proofErr w:type="spellStart"/>
      <w:r>
        <w:rPr>
          <w:rFonts w:eastAsia="Palatino Linotype"/>
          <w:sz w:val="22"/>
          <w:szCs w:val="22"/>
          <w:lang w:val="es-ES"/>
        </w:rPr>
        <w:t>specified</w:t>
      </w:r>
      <w:proofErr w:type="spellEnd"/>
      <w:r>
        <w:rPr>
          <w:rFonts w:eastAsia="Palatino Linotype"/>
          <w:sz w:val="22"/>
          <w:szCs w:val="22"/>
          <w:lang w:val="es-ES"/>
        </w:rPr>
        <w:t xml:space="preserve"> in </w:t>
      </w:r>
      <w:proofErr w:type="spellStart"/>
      <w:r>
        <w:rPr>
          <w:rFonts w:eastAsia="Palatino Linotype"/>
          <w:sz w:val="22"/>
          <w:szCs w:val="22"/>
          <w:lang w:val="es-ES"/>
        </w:rPr>
        <w:t>the</w:t>
      </w:r>
      <w:proofErr w:type="spellEnd"/>
      <w:r>
        <w:rPr>
          <w:rFonts w:eastAsia="Palatino Linotype"/>
          <w:sz w:val="22"/>
          <w:szCs w:val="22"/>
          <w:lang w:val="es-ES"/>
        </w:rPr>
        <w:t xml:space="preserve"> </w:t>
      </w:r>
      <w:proofErr w:type="spellStart"/>
      <w:r>
        <w:rPr>
          <w:rFonts w:eastAsia="Palatino Linotype"/>
          <w:sz w:val="22"/>
          <w:szCs w:val="22"/>
          <w:lang w:val="es-ES"/>
        </w:rPr>
        <w:t>publications</w:t>
      </w:r>
      <w:proofErr w:type="spellEnd"/>
      <w:r>
        <w:rPr>
          <w:rFonts w:eastAsia="Palatino Linotype"/>
          <w:sz w:val="22"/>
          <w:szCs w:val="22"/>
          <w:lang w:val="es-ES"/>
        </w:rPr>
        <w:t xml:space="preserve">, in </w:t>
      </w:r>
      <w:proofErr w:type="spellStart"/>
      <w:r>
        <w:rPr>
          <w:rFonts w:eastAsia="Palatino Linotype"/>
          <w:sz w:val="22"/>
          <w:szCs w:val="22"/>
          <w:lang w:val="es-ES"/>
        </w:rPr>
        <w:t>the</w:t>
      </w:r>
      <w:proofErr w:type="spellEnd"/>
      <w:r>
        <w:rPr>
          <w:rFonts w:eastAsia="Palatino Linotype"/>
          <w:sz w:val="22"/>
          <w:szCs w:val="22"/>
          <w:lang w:val="es-ES"/>
        </w:rPr>
        <w:t xml:space="preserve"> </w:t>
      </w:r>
      <w:proofErr w:type="spellStart"/>
      <w:r>
        <w:rPr>
          <w:rFonts w:eastAsia="Palatino Linotype"/>
          <w:sz w:val="22"/>
          <w:szCs w:val="22"/>
          <w:lang w:val="es-ES"/>
        </w:rPr>
        <w:t>presence</w:t>
      </w:r>
      <w:proofErr w:type="spellEnd"/>
      <w:r>
        <w:rPr>
          <w:rFonts w:eastAsia="Palatino Linotype"/>
          <w:sz w:val="22"/>
          <w:szCs w:val="22"/>
          <w:lang w:val="es-ES"/>
        </w:rPr>
        <w:t xml:space="preserve"> </w:t>
      </w:r>
      <w:proofErr w:type="spellStart"/>
      <w:r>
        <w:rPr>
          <w:rFonts w:eastAsia="Palatino Linotype"/>
          <w:sz w:val="22"/>
          <w:szCs w:val="22"/>
          <w:lang w:val="es-ES"/>
        </w:rPr>
        <w:t>of</w:t>
      </w:r>
      <w:proofErr w:type="spellEnd"/>
      <w:r>
        <w:rPr>
          <w:rFonts w:eastAsia="Palatino Linotype"/>
          <w:sz w:val="22"/>
          <w:szCs w:val="22"/>
          <w:lang w:val="es-ES"/>
        </w:rPr>
        <w:t xml:space="preserve"> </w:t>
      </w:r>
      <w:proofErr w:type="spellStart"/>
      <w:r>
        <w:rPr>
          <w:rFonts w:eastAsia="Palatino Linotype"/>
          <w:sz w:val="22"/>
          <w:szCs w:val="22"/>
          <w:lang w:val="es-ES"/>
        </w:rPr>
        <w:t>officials</w:t>
      </w:r>
      <w:proofErr w:type="spellEnd"/>
      <w:r>
        <w:rPr>
          <w:rFonts w:eastAsia="Palatino Linotype"/>
          <w:sz w:val="22"/>
          <w:szCs w:val="22"/>
          <w:lang w:val="es-ES"/>
        </w:rPr>
        <w:t xml:space="preserve"> </w:t>
      </w:r>
      <w:proofErr w:type="spellStart"/>
      <w:r>
        <w:rPr>
          <w:rFonts w:eastAsia="Palatino Linotype"/>
          <w:sz w:val="22"/>
          <w:szCs w:val="22"/>
          <w:lang w:val="es-ES"/>
        </w:rPr>
        <w:t>designated</w:t>
      </w:r>
      <w:proofErr w:type="spellEnd"/>
      <w:r>
        <w:rPr>
          <w:rFonts w:eastAsia="Palatino Linotype"/>
          <w:sz w:val="22"/>
          <w:szCs w:val="22"/>
          <w:lang w:val="es-ES"/>
        </w:rPr>
        <w:t xml:space="preserve"> </w:t>
      </w:r>
      <w:proofErr w:type="spellStart"/>
      <w:r>
        <w:rPr>
          <w:rFonts w:eastAsia="Palatino Linotype"/>
          <w:sz w:val="22"/>
          <w:szCs w:val="22"/>
          <w:lang w:val="es-ES"/>
        </w:rPr>
        <w:t>for</w:t>
      </w:r>
      <w:proofErr w:type="spellEnd"/>
      <w:r>
        <w:rPr>
          <w:rFonts w:eastAsia="Palatino Linotype"/>
          <w:sz w:val="22"/>
          <w:szCs w:val="22"/>
          <w:lang w:val="es-ES"/>
        </w:rPr>
        <w:t xml:space="preserve"> </w:t>
      </w:r>
      <w:proofErr w:type="spellStart"/>
      <w:r>
        <w:rPr>
          <w:rFonts w:eastAsia="Palatino Linotype"/>
          <w:sz w:val="22"/>
          <w:szCs w:val="22"/>
          <w:lang w:val="es-ES"/>
        </w:rPr>
        <w:t>this</w:t>
      </w:r>
      <w:proofErr w:type="spellEnd"/>
      <w:r>
        <w:rPr>
          <w:rFonts w:eastAsia="Palatino Linotype"/>
          <w:sz w:val="22"/>
          <w:szCs w:val="22"/>
          <w:lang w:val="es-ES"/>
        </w:rPr>
        <w:t xml:space="preserve"> </w:t>
      </w:r>
      <w:proofErr w:type="spellStart"/>
      <w:r>
        <w:rPr>
          <w:rFonts w:eastAsia="Palatino Linotype"/>
          <w:sz w:val="22"/>
          <w:szCs w:val="22"/>
          <w:lang w:val="es-ES"/>
        </w:rPr>
        <w:t>purpose</w:t>
      </w:r>
      <w:proofErr w:type="spellEnd"/>
      <w:r>
        <w:rPr>
          <w:rFonts w:eastAsia="Palatino Linotype"/>
          <w:sz w:val="22"/>
          <w:szCs w:val="22"/>
          <w:lang w:val="es-ES"/>
        </w:rPr>
        <w:t xml:space="preserve"> </w:t>
      </w:r>
      <w:proofErr w:type="spellStart"/>
      <w:r>
        <w:rPr>
          <w:rFonts w:eastAsia="Palatino Linotype"/>
          <w:sz w:val="22"/>
          <w:szCs w:val="22"/>
          <w:lang w:val="es-ES"/>
        </w:rPr>
        <w:t>by</w:t>
      </w:r>
      <w:proofErr w:type="spellEnd"/>
      <w:r>
        <w:rPr>
          <w:rFonts w:eastAsia="Palatino Linotype"/>
          <w:sz w:val="22"/>
          <w:szCs w:val="22"/>
          <w:lang w:val="es-ES"/>
        </w:rPr>
        <w:t xml:space="preserve"> </w:t>
      </w:r>
      <w:proofErr w:type="spellStart"/>
      <w:r>
        <w:rPr>
          <w:rFonts w:eastAsia="Palatino Linotype"/>
          <w:sz w:val="22"/>
          <w:szCs w:val="22"/>
          <w:lang w:val="es-ES"/>
        </w:rPr>
        <w:t>the</w:t>
      </w:r>
      <w:proofErr w:type="spellEnd"/>
      <w:r>
        <w:rPr>
          <w:rFonts w:eastAsia="Palatino Linotype"/>
          <w:sz w:val="22"/>
          <w:szCs w:val="22"/>
          <w:lang w:val="es-ES"/>
        </w:rPr>
        <w:t xml:space="preserve"> </w:t>
      </w:r>
      <w:proofErr w:type="spellStart"/>
      <w:r>
        <w:rPr>
          <w:rFonts w:eastAsia="Palatino Linotype"/>
          <w:sz w:val="22"/>
          <w:szCs w:val="22"/>
          <w:lang w:val="es-ES"/>
        </w:rPr>
        <w:t>bidding</w:t>
      </w:r>
      <w:proofErr w:type="spellEnd"/>
      <w:r>
        <w:rPr>
          <w:rFonts w:eastAsia="Palatino Linotype"/>
          <w:sz w:val="22"/>
          <w:szCs w:val="22"/>
          <w:lang w:val="es-ES"/>
        </w:rPr>
        <w:t xml:space="preserve"> Public </w:t>
      </w:r>
      <w:proofErr w:type="spellStart"/>
      <w:r>
        <w:rPr>
          <w:rFonts w:eastAsia="Palatino Linotype"/>
          <w:sz w:val="22"/>
          <w:szCs w:val="22"/>
          <w:lang w:val="es-ES"/>
        </w:rPr>
        <w:t>Administration</w:t>
      </w:r>
      <w:proofErr w:type="spellEnd"/>
      <w:r>
        <w:rPr>
          <w:rFonts w:eastAsia="Palatino Linotype"/>
          <w:sz w:val="22"/>
          <w:szCs w:val="22"/>
          <w:lang w:val="es-ES"/>
        </w:rPr>
        <w:t xml:space="preserve"> and </w:t>
      </w:r>
      <w:proofErr w:type="spellStart"/>
      <w:r>
        <w:rPr>
          <w:rFonts w:eastAsia="Palatino Linotype"/>
          <w:sz w:val="22"/>
          <w:szCs w:val="22"/>
          <w:lang w:val="es-ES"/>
        </w:rPr>
        <w:t>the</w:t>
      </w:r>
      <w:proofErr w:type="spellEnd"/>
      <w:r>
        <w:rPr>
          <w:rFonts w:eastAsia="Palatino Linotype"/>
          <w:sz w:val="22"/>
          <w:szCs w:val="22"/>
          <w:lang w:val="es-ES"/>
        </w:rPr>
        <w:t xml:space="preserve"> </w:t>
      </w:r>
      <w:proofErr w:type="spellStart"/>
      <w:r>
        <w:rPr>
          <w:rFonts w:eastAsia="Palatino Linotype"/>
          <w:sz w:val="22"/>
          <w:szCs w:val="22"/>
          <w:lang w:val="es-ES"/>
        </w:rPr>
        <w:t>bidders</w:t>
      </w:r>
      <w:proofErr w:type="spellEnd"/>
      <w:r>
        <w:rPr>
          <w:rFonts w:eastAsia="Palatino Linotype"/>
          <w:sz w:val="22"/>
          <w:szCs w:val="22"/>
          <w:lang w:val="es-ES"/>
        </w:rPr>
        <w:t xml:space="preserve"> </w:t>
      </w:r>
      <w:proofErr w:type="spellStart"/>
      <w:r>
        <w:rPr>
          <w:rFonts w:eastAsia="Palatino Linotype"/>
          <w:sz w:val="22"/>
          <w:szCs w:val="22"/>
          <w:lang w:val="es-ES"/>
        </w:rPr>
        <w:t>or</w:t>
      </w:r>
      <w:proofErr w:type="spellEnd"/>
      <w:r>
        <w:rPr>
          <w:rFonts w:eastAsia="Palatino Linotype"/>
          <w:sz w:val="22"/>
          <w:szCs w:val="22"/>
          <w:lang w:val="es-ES"/>
        </w:rPr>
        <w:t xml:space="preserve"> </w:t>
      </w:r>
      <w:proofErr w:type="spellStart"/>
      <w:r>
        <w:rPr>
          <w:rFonts w:eastAsia="Palatino Linotype"/>
          <w:sz w:val="22"/>
          <w:szCs w:val="22"/>
          <w:lang w:val="es-ES"/>
        </w:rPr>
        <w:t>their</w:t>
      </w:r>
      <w:proofErr w:type="spellEnd"/>
      <w:r>
        <w:rPr>
          <w:rFonts w:eastAsia="Palatino Linotype"/>
          <w:sz w:val="22"/>
          <w:szCs w:val="22"/>
          <w:lang w:val="es-ES"/>
        </w:rPr>
        <w:t xml:space="preserve"> representatives </w:t>
      </w:r>
      <w:proofErr w:type="spellStart"/>
      <w:r>
        <w:rPr>
          <w:rFonts w:eastAsia="Palatino Linotype"/>
          <w:sz w:val="22"/>
          <w:szCs w:val="22"/>
          <w:lang w:val="es-ES"/>
        </w:rPr>
        <w:t>who</w:t>
      </w:r>
      <w:proofErr w:type="spellEnd"/>
      <w:r>
        <w:rPr>
          <w:rFonts w:eastAsia="Palatino Linotype"/>
          <w:sz w:val="22"/>
          <w:szCs w:val="22"/>
          <w:lang w:val="es-ES"/>
        </w:rPr>
        <w:t xml:space="preserve"> </w:t>
      </w:r>
      <w:proofErr w:type="spellStart"/>
      <w:r>
        <w:rPr>
          <w:rFonts w:eastAsia="Palatino Linotype"/>
          <w:sz w:val="22"/>
          <w:szCs w:val="22"/>
          <w:lang w:val="es-ES"/>
        </w:rPr>
        <w:t>wish</w:t>
      </w:r>
      <w:proofErr w:type="spellEnd"/>
      <w:r>
        <w:rPr>
          <w:rFonts w:eastAsia="Palatino Linotype"/>
          <w:sz w:val="22"/>
          <w:szCs w:val="22"/>
          <w:lang w:val="es-ES"/>
        </w:rPr>
        <w:t xml:space="preserve"> </w:t>
      </w:r>
      <w:proofErr w:type="spellStart"/>
      <w:r>
        <w:rPr>
          <w:rFonts w:eastAsia="Palatino Linotype"/>
          <w:sz w:val="22"/>
          <w:szCs w:val="22"/>
          <w:lang w:val="es-ES"/>
        </w:rPr>
        <w:t>to</w:t>
      </w:r>
      <w:proofErr w:type="spellEnd"/>
      <w:r>
        <w:rPr>
          <w:rFonts w:eastAsia="Palatino Linotype"/>
          <w:sz w:val="22"/>
          <w:szCs w:val="22"/>
          <w:lang w:val="es-ES"/>
        </w:rPr>
        <w:t xml:space="preserve"> </w:t>
      </w:r>
      <w:proofErr w:type="spellStart"/>
      <w:r>
        <w:rPr>
          <w:rFonts w:eastAsia="Palatino Linotype"/>
          <w:sz w:val="22"/>
          <w:szCs w:val="22"/>
          <w:lang w:val="es-ES"/>
        </w:rPr>
        <w:t>attend</w:t>
      </w:r>
      <w:proofErr w:type="spellEnd"/>
      <w:r>
        <w:rPr>
          <w:rFonts w:eastAsia="Palatino Linotype"/>
          <w:sz w:val="22"/>
          <w:szCs w:val="22"/>
          <w:lang w:val="es-ES"/>
        </w:rPr>
        <w:t xml:space="preserve">. In </w:t>
      </w:r>
      <w:proofErr w:type="spellStart"/>
      <w:r>
        <w:rPr>
          <w:rFonts w:eastAsia="Palatino Linotype"/>
          <w:sz w:val="22"/>
          <w:szCs w:val="22"/>
          <w:lang w:val="es-ES"/>
        </w:rPr>
        <w:t>the</w:t>
      </w:r>
      <w:proofErr w:type="spellEnd"/>
      <w:r>
        <w:rPr>
          <w:rFonts w:eastAsia="Palatino Linotype"/>
          <w:sz w:val="22"/>
          <w:szCs w:val="22"/>
          <w:lang w:val="es-ES"/>
        </w:rPr>
        <w:t xml:space="preserve"> case </w:t>
      </w:r>
      <w:proofErr w:type="spellStart"/>
      <w:r>
        <w:rPr>
          <w:rFonts w:eastAsia="Palatino Linotype"/>
          <w:sz w:val="22"/>
          <w:szCs w:val="22"/>
          <w:lang w:val="es-ES"/>
        </w:rPr>
        <w:t>of</w:t>
      </w:r>
      <w:proofErr w:type="spellEnd"/>
      <w:r>
        <w:rPr>
          <w:rFonts w:eastAsia="Palatino Linotype"/>
          <w:sz w:val="22"/>
          <w:szCs w:val="22"/>
          <w:lang w:val="es-ES"/>
        </w:rPr>
        <w:t xml:space="preserve"> </w:t>
      </w:r>
      <w:proofErr w:type="spellStart"/>
      <w:r>
        <w:rPr>
          <w:rFonts w:eastAsia="Palatino Linotype"/>
          <w:sz w:val="22"/>
          <w:szCs w:val="22"/>
          <w:lang w:val="es-ES"/>
        </w:rPr>
        <w:t>electronic</w:t>
      </w:r>
      <w:proofErr w:type="spellEnd"/>
      <w:r>
        <w:rPr>
          <w:rFonts w:eastAsia="Palatino Linotype"/>
          <w:sz w:val="22"/>
          <w:szCs w:val="22"/>
          <w:lang w:val="es-ES"/>
        </w:rPr>
        <w:t xml:space="preserve"> </w:t>
      </w:r>
      <w:proofErr w:type="spellStart"/>
      <w:r>
        <w:rPr>
          <w:rFonts w:eastAsia="Palatino Linotype"/>
          <w:sz w:val="22"/>
          <w:szCs w:val="22"/>
          <w:lang w:val="es-ES"/>
        </w:rPr>
        <w:t>opening</w:t>
      </w:r>
      <w:proofErr w:type="spellEnd"/>
      <w:r>
        <w:rPr>
          <w:rFonts w:eastAsia="Palatino Linotype"/>
          <w:sz w:val="22"/>
          <w:szCs w:val="22"/>
          <w:lang w:val="es-ES"/>
        </w:rPr>
        <w:t xml:space="preserve">, </w:t>
      </w:r>
      <w:proofErr w:type="spellStart"/>
      <w:r>
        <w:rPr>
          <w:rFonts w:eastAsia="Palatino Linotype"/>
          <w:sz w:val="22"/>
          <w:szCs w:val="22"/>
          <w:lang w:val="es-ES"/>
        </w:rPr>
        <w:t>it</w:t>
      </w:r>
      <w:proofErr w:type="spellEnd"/>
      <w:r>
        <w:rPr>
          <w:rFonts w:eastAsia="Palatino Linotype"/>
          <w:sz w:val="22"/>
          <w:szCs w:val="22"/>
          <w:lang w:val="es-ES"/>
        </w:rPr>
        <w:t xml:space="preserve"> </w:t>
      </w:r>
      <w:proofErr w:type="spellStart"/>
      <w:r>
        <w:rPr>
          <w:rFonts w:eastAsia="Palatino Linotype"/>
          <w:sz w:val="22"/>
          <w:szCs w:val="22"/>
          <w:lang w:val="es-ES"/>
        </w:rPr>
        <w:t>will</w:t>
      </w:r>
      <w:proofErr w:type="spellEnd"/>
      <w:r>
        <w:rPr>
          <w:rFonts w:eastAsia="Palatino Linotype"/>
          <w:sz w:val="22"/>
          <w:szCs w:val="22"/>
          <w:lang w:val="es-ES"/>
        </w:rPr>
        <w:t xml:space="preserve"> be </w:t>
      </w:r>
      <w:proofErr w:type="spellStart"/>
      <w:r>
        <w:rPr>
          <w:rFonts w:eastAsia="Palatino Linotype"/>
          <w:sz w:val="22"/>
          <w:szCs w:val="22"/>
          <w:lang w:val="es-ES"/>
        </w:rPr>
        <w:t>carried</w:t>
      </w:r>
      <w:proofErr w:type="spellEnd"/>
      <w:r>
        <w:rPr>
          <w:rFonts w:eastAsia="Palatino Linotype"/>
          <w:sz w:val="22"/>
          <w:szCs w:val="22"/>
          <w:lang w:val="es-ES"/>
        </w:rPr>
        <w:t xml:space="preserve"> </w:t>
      </w:r>
      <w:proofErr w:type="spellStart"/>
      <w:r>
        <w:rPr>
          <w:rFonts w:eastAsia="Palatino Linotype"/>
          <w:sz w:val="22"/>
          <w:szCs w:val="22"/>
          <w:lang w:val="es-ES"/>
        </w:rPr>
        <w:t>out</w:t>
      </w:r>
      <w:proofErr w:type="spellEnd"/>
      <w:r>
        <w:rPr>
          <w:rFonts w:eastAsia="Palatino Linotype"/>
          <w:sz w:val="22"/>
          <w:szCs w:val="22"/>
          <w:lang w:val="es-ES"/>
        </w:rPr>
        <w:t xml:space="preserve"> </w:t>
      </w:r>
      <w:proofErr w:type="spellStart"/>
      <w:r>
        <w:rPr>
          <w:rFonts w:eastAsia="Palatino Linotype"/>
          <w:sz w:val="22"/>
          <w:szCs w:val="22"/>
          <w:lang w:val="es-ES"/>
        </w:rPr>
        <w:t>automatically</w:t>
      </w:r>
      <w:proofErr w:type="spellEnd"/>
      <w:r>
        <w:rPr>
          <w:rFonts w:eastAsia="Palatino Linotype"/>
          <w:sz w:val="22"/>
          <w:szCs w:val="22"/>
          <w:lang w:val="es-ES"/>
        </w:rPr>
        <w:t xml:space="preserve">, and </w:t>
      </w:r>
      <w:proofErr w:type="spellStart"/>
      <w:r>
        <w:rPr>
          <w:rFonts w:eastAsia="Palatino Linotype"/>
          <w:sz w:val="22"/>
          <w:szCs w:val="22"/>
          <w:lang w:val="es-ES"/>
        </w:rPr>
        <w:t>the</w:t>
      </w:r>
      <w:proofErr w:type="spellEnd"/>
      <w:r>
        <w:rPr>
          <w:rFonts w:eastAsia="Palatino Linotype"/>
          <w:sz w:val="22"/>
          <w:szCs w:val="22"/>
          <w:lang w:val="es-ES"/>
        </w:rPr>
        <w:t xml:space="preserve"> minutes </w:t>
      </w:r>
      <w:proofErr w:type="spellStart"/>
      <w:r>
        <w:rPr>
          <w:rFonts w:eastAsia="Palatino Linotype"/>
          <w:sz w:val="22"/>
          <w:szCs w:val="22"/>
          <w:lang w:val="es-ES"/>
        </w:rPr>
        <w:t>will</w:t>
      </w:r>
      <w:proofErr w:type="spellEnd"/>
      <w:r>
        <w:rPr>
          <w:rFonts w:eastAsia="Palatino Linotype"/>
          <w:sz w:val="22"/>
          <w:szCs w:val="22"/>
          <w:lang w:val="es-ES"/>
        </w:rPr>
        <w:t xml:space="preserve"> be </w:t>
      </w:r>
      <w:proofErr w:type="spellStart"/>
      <w:r>
        <w:rPr>
          <w:rFonts w:eastAsia="Palatino Linotype"/>
          <w:sz w:val="22"/>
          <w:szCs w:val="22"/>
          <w:lang w:val="es-ES"/>
        </w:rPr>
        <w:t>sent</w:t>
      </w:r>
      <w:proofErr w:type="spellEnd"/>
      <w:r>
        <w:rPr>
          <w:rFonts w:eastAsia="Palatino Linotype"/>
          <w:sz w:val="22"/>
          <w:szCs w:val="22"/>
          <w:lang w:val="es-ES"/>
        </w:rPr>
        <w:t xml:space="preserve"> </w:t>
      </w:r>
      <w:proofErr w:type="spellStart"/>
      <w:r>
        <w:rPr>
          <w:rFonts w:eastAsia="Palatino Linotype"/>
          <w:sz w:val="22"/>
          <w:szCs w:val="22"/>
          <w:lang w:val="es-ES"/>
        </w:rPr>
        <w:t>to</w:t>
      </w:r>
      <w:proofErr w:type="spellEnd"/>
      <w:r>
        <w:rPr>
          <w:rFonts w:eastAsia="Palatino Linotype"/>
          <w:sz w:val="22"/>
          <w:szCs w:val="22"/>
          <w:lang w:val="es-ES"/>
        </w:rPr>
        <w:t xml:space="preserve"> </w:t>
      </w:r>
      <w:proofErr w:type="spellStart"/>
      <w:r>
        <w:rPr>
          <w:rFonts w:eastAsia="Palatino Linotype"/>
          <w:sz w:val="22"/>
          <w:szCs w:val="22"/>
          <w:lang w:val="es-ES"/>
        </w:rPr>
        <w:t>the</w:t>
      </w:r>
      <w:proofErr w:type="spellEnd"/>
      <w:r>
        <w:rPr>
          <w:rFonts w:eastAsia="Palatino Linotype"/>
          <w:sz w:val="22"/>
          <w:szCs w:val="22"/>
          <w:lang w:val="es-ES"/>
        </w:rPr>
        <w:t xml:space="preserve"> </w:t>
      </w:r>
      <w:proofErr w:type="spellStart"/>
      <w:r>
        <w:rPr>
          <w:rFonts w:eastAsia="Palatino Linotype"/>
          <w:sz w:val="22"/>
          <w:szCs w:val="22"/>
          <w:lang w:val="es-ES"/>
        </w:rPr>
        <w:t>bidders</w:t>
      </w:r>
      <w:proofErr w:type="spellEnd"/>
      <w:r>
        <w:rPr>
          <w:rFonts w:eastAsia="Palatino Linotype"/>
          <w:sz w:val="22"/>
          <w:szCs w:val="22"/>
          <w:lang w:val="es-ES"/>
        </w:rPr>
        <w:t xml:space="preserve">' email </w:t>
      </w:r>
      <w:proofErr w:type="spellStart"/>
      <w:r>
        <w:rPr>
          <w:rFonts w:eastAsia="Palatino Linotype"/>
          <w:sz w:val="22"/>
          <w:szCs w:val="22"/>
          <w:lang w:val="es-ES"/>
        </w:rPr>
        <w:t>addresses</w:t>
      </w:r>
      <w:proofErr w:type="spellEnd"/>
      <w:r>
        <w:rPr>
          <w:rFonts w:eastAsia="Palatino Linotype"/>
          <w:sz w:val="22"/>
          <w:szCs w:val="22"/>
          <w:lang w:val="es-ES"/>
        </w:rPr>
        <w:t>.</w:t>
      </w:r>
    </w:p>
    <w:p w14:paraId="37EFA64E" w14:textId="77777777" w:rsidR="00E255F4" w:rsidRDefault="00E255F4">
      <w:pPr>
        <w:ind w:right="-142"/>
        <w:jc w:val="both"/>
        <w:rPr>
          <w:rFonts w:eastAsia="Palatino Linotype"/>
          <w:spacing w:val="-1"/>
          <w:sz w:val="22"/>
          <w:szCs w:val="22"/>
          <w:lang w:val="es-ES"/>
        </w:rPr>
      </w:pPr>
    </w:p>
    <w:p w14:paraId="7FCBD03B" w14:textId="77777777" w:rsidR="00E255F4" w:rsidRDefault="00000000">
      <w:pPr>
        <w:ind w:right="-142"/>
        <w:jc w:val="both"/>
        <w:rPr>
          <w:rFonts w:eastAsia="Palatino Linotype"/>
          <w:sz w:val="22"/>
          <w:szCs w:val="22"/>
          <w:lang w:val="es-ES"/>
        </w:rPr>
      </w:pPr>
      <w:r>
        <w:rPr>
          <w:rFonts w:eastAsia="Palatino Linotype"/>
          <w:spacing w:val="-1"/>
          <w:sz w:val="22"/>
          <w:szCs w:val="22"/>
          <w:lang w:val="es-ES"/>
        </w:rPr>
        <w:t>AND</w:t>
      </w:r>
      <w:r>
        <w:rPr>
          <w:rFonts w:eastAsia="Palatino Linotype"/>
          <w:sz w:val="22"/>
          <w:szCs w:val="22"/>
          <w:lang w:val="es-ES"/>
        </w:rPr>
        <w:t xml:space="preserve">In </w:t>
      </w:r>
      <w:proofErr w:type="spellStart"/>
      <w:r>
        <w:rPr>
          <w:rFonts w:eastAsia="Palatino Linotype"/>
          <w:sz w:val="22"/>
          <w:szCs w:val="22"/>
          <w:lang w:val="es-ES"/>
        </w:rPr>
        <w:t>this</w:t>
      </w:r>
      <w:proofErr w:type="spellEnd"/>
      <w:r>
        <w:rPr>
          <w:rFonts w:eastAsia="Palatino Linotype"/>
          <w:sz w:val="22"/>
          <w:szCs w:val="22"/>
          <w:lang w:val="es-ES"/>
        </w:rPr>
        <w:t xml:space="preserve"> </w:t>
      </w:r>
      <w:proofErr w:type="spellStart"/>
      <w:r>
        <w:rPr>
          <w:rFonts w:eastAsia="Palatino Linotype"/>
          <w:sz w:val="22"/>
          <w:szCs w:val="22"/>
          <w:lang w:val="es-ES"/>
        </w:rPr>
        <w:t>act</w:t>
      </w:r>
      <w:proofErr w:type="spellEnd"/>
      <w:r>
        <w:rPr>
          <w:rFonts w:eastAsia="Palatino Linotype"/>
          <w:sz w:val="22"/>
          <w:szCs w:val="22"/>
          <w:lang w:val="es-ES"/>
        </w:rPr>
        <w:t xml:space="preserve">, no </w:t>
      </w:r>
      <w:proofErr w:type="spellStart"/>
      <w:r>
        <w:rPr>
          <w:rFonts w:eastAsia="Palatino Linotype"/>
          <w:sz w:val="22"/>
          <w:szCs w:val="22"/>
          <w:lang w:val="es-ES"/>
        </w:rPr>
        <w:t>proposal</w:t>
      </w:r>
      <w:proofErr w:type="spellEnd"/>
      <w:r>
        <w:rPr>
          <w:rFonts w:eastAsia="Palatino Linotype"/>
          <w:sz w:val="22"/>
          <w:szCs w:val="22"/>
          <w:lang w:val="es-ES"/>
        </w:rPr>
        <w:t xml:space="preserve"> </w:t>
      </w:r>
      <w:proofErr w:type="spellStart"/>
      <w:r>
        <w:rPr>
          <w:rFonts w:eastAsia="Palatino Linotype"/>
          <w:sz w:val="22"/>
          <w:szCs w:val="22"/>
          <w:lang w:val="es-ES"/>
        </w:rPr>
        <w:t>may</w:t>
      </w:r>
      <w:proofErr w:type="spellEnd"/>
      <w:r>
        <w:rPr>
          <w:rFonts w:eastAsia="Palatino Linotype"/>
          <w:sz w:val="22"/>
          <w:szCs w:val="22"/>
          <w:lang w:val="es-ES"/>
        </w:rPr>
        <w:t xml:space="preserve"> be </w:t>
      </w:r>
      <w:proofErr w:type="spellStart"/>
      <w:r>
        <w:rPr>
          <w:rFonts w:eastAsia="Palatino Linotype"/>
          <w:sz w:val="22"/>
          <w:szCs w:val="22"/>
          <w:lang w:val="es-ES"/>
        </w:rPr>
        <w:t>rejected</w:t>
      </w:r>
      <w:proofErr w:type="spellEnd"/>
      <w:r>
        <w:rPr>
          <w:rFonts w:eastAsia="Palatino Linotype"/>
          <w:sz w:val="22"/>
          <w:szCs w:val="22"/>
          <w:lang w:val="es-ES"/>
        </w:rPr>
        <w:t xml:space="preserve"> </w:t>
      </w:r>
      <w:proofErr w:type="spellStart"/>
      <w:r>
        <w:rPr>
          <w:rFonts w:eastAsia="Palatino Linotype"/>
          <w:sz w:val="22"/>
          <w:szCs w:val="22"/>
          <w:lang w:val="es-ES"/>
        </w:rPr>
        <w:t>without</w:t>
      </w:r>
      <w:proofErr w:type="spellEnd"/>
      <w:r>
        <w:rPr>
          <w:rFonts w:eastAsia="Palatino Linotype"/>
          <w:sz w:val="22"/>
          <w:szCs w:val="22"/>
          <w:lang w:val="es-ES"/>
        </w:rPr>
        <w:t xml:space="preserve"> </w:t>
      </w:r>
      <w:proofErr w:type="spellStart"/>
      <w:r>
        <w:rPr>
          <w:rFonts w:eastAsia="Palatino Linotype"/>
          <w:sz w:val="22"/>
          <w:szCs w:val="22"/>
          <w:lang w:val="es-ES"/>
        </w:rPr>
        <w:t>prejudice</w:t>
      </w:r>
      <w:proofErr w:type="spellEnd"/>
      <w:r>
        <w:rPr>
          <w:rFonts w:eastAsia="Palatino Linotype"/>
          <w:sz w:val="22"/>
          <w:szCs w:val="22"/>
          <w:lang w:val="es-ES"/>
        </w:rPr>
        <w:t xml:space="preserve"> </w:t>
      </w:r>
      <w:proofErr w:type="spellStart"/>
      <w:r>
        <w:rPr>
          <w:rFonts w:eastAsia="Palatino Linotype"/>
          <w:sz w:val="22"/>
          <w:szCs w:val="22"/>
          <w:lang w:val="es-ES"/>
        </w:rPr>
        <w:t>to</w:t>
      </w:r>
      <w:proofErr w:type="spellEnd"/>
      <w:r>
        <w:rPr>
          <w:rFonts w:eastAsia="Palatino Linotype"/>
          <w:sz w:val="22"/>
          <w:szCs w:val="22"/>
          <w:lang w:val="es-ES"/>
        </w:rPr>
        <w:t xml:space="preserve"> </w:t>
      </w:r>
      <w:proofErr w:type="spellStart"/>
      <w:r>
        <w:rPr>
          <w:rFonts w:eastAsia="Palatino Linotype"/>
          <w:sz w:val="22"/>
          <w:szCs w:val="22"/>
          <w:lang w:val="es-ES"/>
        </w:rPr>
        <w:t>its</w:t>
      </w:r>
      <w:proofErr w:type="spellEnd"/>
      <w:r>
        <w:rPr>
          <w:rFonts w:eastAsia="Palatino Linotype"/>
          <w:sz w:val="22"/>
          <w:szCs w:val="22"/>
          <w:lang w:val="es-ES"/>
        </w:rPr>
        <w:t xml:space="preserve"> </w:t>
      </w:r>
      <w:proofErr w:type="spellStart"/>
      <w:r>
        <w:rPr>
          <w:rFonts w:eastAsia="Palatino Linotype"/>
          <w:sz w:val="22"/>
          <w:szCs w:val="22"/>
          <w:lang w:val="es-ES"/>
        </w:rPr>
        <w:t>subsequent</w:t>
      </w:r>
      <w:proofErr w:type="spellEnd"/>
      <w:r>
        <w:rPr>
          <w:rFonts w:eastAsia="Palatino Linotype"/>
          <w:sz w:val="22"/>
          <w:szCs w:val="22"/>
          <w:lang w:val="es-ES"/>
        </w:rPr>
        <w:t xml:space="preserve"> </w:t>
      </w:r>
      <w:proofErr w:type="spellStart"/>
      <w:r>
        <w:rPr>
          <w:rFonts w:eastAsia="Palatino Linotype"/>
          <w:sz w:val="22"/>
          <w:szCs w:val="22"/>
          <w:lang w:val="es-ES"/>
        </w:rPr>
        <w:t>invalidation</w:t>
      </w:r>
      <w:proofErr w:type="spellEnd"/>
      <w:r>
        <w:rPr>
          <w:rFonts w:eastAsia="Palatino Linotype"/>
          <w:sz w:val="22"/>
          <w:szCs w:val="22"/>
          <w:lang w:val="es-ES"/>
        </w:rPr>
        <w:t xml:space="preserve">, and </w:t>
      </w:r>
      <w:proofErr w:type="spellStart"/>
      <w:r>
        <w:rPr>
          <w:rFonts w:eastAsia="Palatino Linotype"/>
          <w:sz w:val="22"/>
          <w:szCs w:val="22"/>
          <w:lang w:val="es-ES"/>
        </w:rPr>
        <w:t>it</w:t>
      </w:r>
      <w:proofErr w:type="spellEnd"/>
      <w:r>
        <w:rPr>
          <w:rFonts w:eastAsia="Palatino Linotype"/>
          <w:sz w:val="22"/>
          <w:szCs w:val="22"/>
          <w:lang w:val="es-ES"/>
        </w:rPr>
        <w:t xml:space="preserve"> </w:t>
      </w:r>
      <w:proofErr w:type="spellStart"/>
      <w:r>
        <w:rPr>
          <w:rFonts w:eastAsia="Palatino Linotype"/>
          <w:sz w:val="22"/>
          <w:szCs w:val="22"/>
          <w:lang w:val="es-ES"/>
        </w:rPr>
        <w:t>will</w:t>
      </w:r>
      <w:proofErr w:type="spellEnd"/>
      <w:r>
        <w:rPr>
          <w:rFonts w:eastAsia="Palatino Linotype"/>
          <w:sz w:val="22"/>
          <w:szCs w:val="22"/>
          <w:lang w:val="es-ES"/>
        </w:rPr>
        <w:t xml:space="preserve"> be </w:t>
      </w:r>
      <w:proofErr w:type="spellStart"/>
      <w:r>
        <w:rPr>
          <w:rFonts w:eastAsia="Palatino Linotype"/>
          <w:sz w:val="22"/>
          <w:szCs w:val="22"/>
          <w:lang w:val="es-ES"/>
        </w:rPr>
        <w:t>checked</w:t>
      </w:r>
      <w:proofErr w:type="spellEnd"/>
      <w:r>
        <w:rPr>
          <w:rFonts w:eastAsia="Palatino Linotype"/>
          <w:sz w:val="22"/>
          <w:szCs w:val="22"/>
          <w:lang w:val="es-ES"/>
        </w:rPr>
        <w:t xml:space="preserve"> </w:t>
      </w:r>
      <w:proofErr w:type="spellStart"/>
      <w:r>
        <w:rPr>
          <w:rFonts w:eastAsia="Palatino Linotype"/>
          <w:sz w:val="22"/>
          <w:szCs w:val="22"/>
          <w:lang w:val="es-ES"/>
        </w:rPr>
        <w:t>whether</w:t>
      </w:r>
      <w:proofErr w:type="spellEnd"/>
      <w:r>
        <w:rPr>
          <w:rFonts w:eastAsia="Palatino Linotype"/>
          <w:sz w:val="22"/>
          <w:szCs w:val="22"/>
          <w:lang w:val="es-ES"/>
        </w:rPr>
        <w:t xml:space="preserve"> </w:t>
      </w:r>
      <w:proofErr w:type="spellStart"/>
      <w:r>
        <w:rPr>
          <w:rFonts w:eastAsia="Palatino Linotype"/>
          <w:sz w:val="22"/>
          <w:szCs w:val="22"/>
          <w:lang w:val="es-ES"/>
        </w:rPr>
        <w:t>the</w:t>
      </w:r>
      <w:proofErr w:type="spellEnd"/>
      <w:r>
        <w:rPr>
          <w:rFonts w:eastAsia="Palatino Linotype"/>
          <w:sz w:val="22"/>
          <w:szCs w:val="22"/>
          <w:lang w:val="es-ES"/>
        </w:rPr>
        <w:t xml:space="preserve"> </w:t>
      </w:r>
      <w:proofErr w:type="spellStart"/>
      <w:r>
        <w:rPr>
          <w:rFonts w:eastAsia="Palatino Linotype"/>
          <w:sz w:val="22"/>
          <w:szCs w:val="22"/>
          <w:lang w:val="es-ES"/>
        </w:rPr>
        <w:t>guarantee</w:t>
      </w:r>
      <w:proofErr w:type="spellEnd"/>
      <w:r>
        <w:rPr>
          <w:rFonts w:eastAsia="Palatino Linotype"/>
          <w:sz w:val="22"/>
          <w:szCs w:val="22"/>
          <w:lang w:val="es-ES"/>
        </w:rPr>
        <w:t xml:space="preserve"> has </w:t>
      </w:r>
      <w:proofErr w:type="spellStart"/>
      <w:r>
        <w:rPr>
          <w:rFonts w:eastAsia="Palatino Linotype"/>
          <w:sz w:val="22"/>
          <w:szCs w:val="22"/>
          <w:lang w:val="es-ES"/>
        </w:rPr>
        <w:t>been</w:t>
      </w:r>
      <w:proofErr w:type="spellEnd"/>
      <w:r>
        <w:rPr>
          <w:rFonts w:eastAsia="Palatino Linotype"/>
          <w:sz w:val="22"/>
          <w:szCs w:val="22"/>
          <w:lang w:val="es-ES"/>
        </w:rPr>
        <w:t xml:space="preserve"> </w:t>
      </w:r>
      <w:proofErr w:type="spellStart"/>
      <w:r>
        <w:rPr>
          <w:rFonts w:eastAsia="Palatino Linotype"/>
          <w:sz w:val="22"/>
          <w:szCs w:val="22"/>
          <w:lang w:val="es-ES"/>
        </w:rPr>
        <w:t>established</w:t>
      </w:r>
      <w:proofErr w:type="spellEnd"/>
      <w:r>
        <w:rPr>
          <w:rFonts w:eastAsia="Palatino Linotype"/>
          <w:sz w:val="22"/>
          <w:szCs w:val="22"/>
          <w:lang w:val="es-ES"/>
        </w:rPr>
        <w:t xml:space="preserve">, </w:t>
      </w:r>
      <w:proofErr w:type="spellStart"/>
      <w:r>
        <w:rPr>
          <w:rFonts w:eastAsia="Palatino Linotype"/>
          <w:sz w:val="22"/>
          <w:szCs w:val="22"/>
          <w:lang w:val="es-ES"/>
        </w:rPr>
        <w:t>where</w:t>
      </w:r>
      <w:proofErr w:type="spellEnd"/>
      <w:r>
        <w:rPr>
          <w:rFonts w:eastAsia="Palatino Linotype"/>
          <w:sz w:val="22"/>
          <w:szCs w:val="22"/>
          <w:lang w:val="es-ES"/>
        </w:rPr>
        <w:t xml:space="preserve"> </w:t>
      </w:r>
      <w:proofErr w:type="spellStart"/>
      <w:r>
        <w:rPr>
          <w:rFonts w:eastAsia="Palatino Linotype"/>
          <w:sz w:val="22"/>
          <w:szCs w:val="22"/>
          <w:lang w:val="es-ES"/>
        </w:rPr>
        <w:t>applicable</w:t>
      </w:r>
      <w:proofErr w:type="spellEnd"/>
      <w:r>
        <w:rPr>
          <w:rFonts w:eastAsia="Palatino Linotype"/>
          <w:sz w:val="22"/>
          <w:szCs w:val="22"/>
          <w:lang w:val="es-ES"/>
        </w:rPr>
        <w:t>.</w:t>
      </w:r>
    </w:p>
    <w:p w14:paraId="490055BA" w14:textId="77777777" w:rsidR="00E255F4" w:rsidRDefault="00E255F4">
      <w:pPr>
        <w:ind w:right="-142"/>
        <w:jc w:val="both"/>
        <w:rPr>
          <w:rFonts w:eastAsia="Palatino Linotype"/>
          <w:spacing w:val="-3"/>
          <w:sz w:val="22"/>
          <w:szCs w:val="22"/>
          <w:lang w:val="es-ES"/>
        </w:rPr>
      </w:pPr>
    </w:p>
    <w:p w14:paraId="2CE5A8CC" w14:textId="77777777" w:rsidR="00E255F4" w:rsidRDefault="00000000">
      <w:pPr>
        <w:ind w:right="-142"/>
        <w:jc w:val="both"/>
        <w:rPr>
          <w:rFonts w:eastAsia="Palatino Linotype"/>
          <w:sz w:val="22"/>
          <w:szCs w:val="22"/>
          <w:lang w:val="es-ES"/>
        </w:rPr>
      </w:pPr>
      <w:proofErr w:type="spellStart"/>
      <w:r>
        <w:rPr>
          <w:rFonts w:eastAsia="Palatino Linotype"/>
          <w:spacing w:val="-3"/>
          <w:sz w:val="22"/>
          <w:szCs w:val="22"/>
          <w:lang w:val="es-ES"/>
        </w:rPr>
        <w:lastRenderedPageBreak/>
        <w:t>L</w:t>
      </w:r>
      <w:r>
        <w:rPr>
          <w:rFonts w:eastAsia="Palatino Linotype"/>
          <w:sz w:val="22"/>
          <w:szCs w:val="22"/>
          <w:lang w:val="es-ES"/>
        </w:rPr>
        <w:t>The</w:t>
      </w:r>
      <w:proofErr w:type="spellEnd"/>
      <w:r>
        <w:rPr>
          <w:rFonts w:eastAsia="Palatino Linotype"/>
          <w:sz w:val="22"/>
          <w:szCs w:val="22"/>
          <w:lang w:val="es-ES"/>
        </w:rPr>
        <w:t xml:space="preserve"> </w:t>
      </w:r>
      <w:proofErr w:type="spellStart"/>
      <w:r>
        <w:rPr>
          <w:rFonts w:eastAsia="Palatino Linotype"/>
          <w:sz w:val="22"/>
          <w:szCs w:val="22"/>
          <w:lang w:val="es-ES"/>
        </w:rPr>
        <w:t>initial</w:t>
      </w:r>
      <w:proofErr w:type="spellEnd"/>
      <w:r>
        <w:rPr>
          <w:rFonts w:eastAsia="Palatino Linotype"/>
          <w:sz w:val="22"/>
          <w:szCs w:val="22"/>
          <w:lang w:val="es-ES"/>
        </w:rPr>
        <w:t xml:space="preserve"> </w:t>
      </w:r>
      <w:proofErr w:type="spellStart"/>
      <w:r>
        <w:rPr>
          <w:rFonts w:eastAsia="Palatino Linotype"/>
          <w:sz w:val="22"/>
          <w:szCs w:val="22"/>
          <w:lang w:val="es-ES"/>
        </w:rPr>
        <w:t>acceptance</w:t>
      </w:r>
      <w:proofErr w:type="spellEnd"/>
      <w:r>
        <w:rPr>
          <w:rFonts w:eastAsia="Palatino Linotype"/>
          <w:sz w:val="22"/>
          <w:szCs w:val="22"/>
          <w:lang w:val="es-ES"/>
        </w:rPr>
        <w:t xml:space="preserve"> </w:t>
      </w:r>
      <w:proofErr w:type="spellStart"/>
      <w:r>
        <w:rPr>
          <w:rFonts w:eastAsia="Palatino Linotype"/>
          <w:sz w:val="22"/>
          <w:szCs w:val="22"/>
          <w:lang w:val="es-ES"/>
        </w:rPr>
        <w:t>of</w:t>
      </w:r>
      <w:proofErr w:type="spellEnd"/>
      <w:r>
        <w:rPr>
          <w:rFonts w:eastAsia="Palatino Linotype"/>
          <w:sz w:val="22"/>
          <w:szCs w:val="22"/>
          <w:lang w:val="es-ES"/>
        </w:rPr>
        <w:t xml:space="preserve"> a </w:t>
      </w:r>
      <w:proofErr w:type="spellStart"/>
      <w:r>
        <w:rPr>
          <w:rFonts w:eastAsia="Palatino Linotype"/>
          <w:sz w:val="22"/>
          <w:szCs w:val="22"/>
          <w:lang w:val="es-ES"/>
        </w:rPr>
        <w:t>proposal</w:t>
      </w:r>
      <w:proofErr w:type="spellEnd"/>
      <w:r>
        <w:rPr>
          <w:rFonts w:eastAsia="Palatino Linotype"/>
          <w:sz w:val="22"/>
          <w:szCs w:val="22"/>
          <w:lang w:val="es-ES"/>
        </w:rPr>
        <w:t xml:space="preserve"> </w:t>
      </w:r>
      <w:proofErr w:type="spellStart"/>
      <w:r>
        <w:rPr>
          <w:rFonts w:eastAsia="Palatino Linotype"/>
          <w:sz w:val="22"/>
          <w:szCs w:val="22"/>
          <w:lang w:val="es-ES"/>
        </w:rPr>
        <w:t>will</w:t>
      </w:r>
      <w:proofErr w:type="spellEnd"/>
      <w:r>
        <w:rPr>
          <w:rFonts w:eastAsia="Palatino Linotype"/>
          <w:sz w:val="22"/>
          <w:szCs w:val="22"/>
          <w:lang w:val="es-ES"/>
        </w:rPr>
        <w:t xml:space="preserve"> </w:t>
      </w:r>
      <w:proofErr w:type="spellStart"/>
      <w:r>
        <w:rPr>
          <w:rFonts w:eastAsia="Palatino Linotype"/>
          <w:sz w:val="22"/>
          <w:szCs w:val="22"/>
          <w:lang w:val="es-ES"/>
        </w:rPr>
        <w:t>not</w:t>
      </w:r>
      <w:proofErr w:type="spellEnd"/>
      <w:r>
        <w:rPr>
          <w:rFonts w:eastAsia="Palatino Linotype"/>
          <w:sz w:val="22"/>
          <w:szCs w:val="22"/>
          <w:lang w:val="es-ES"/>
        </w:rPr>
        <w:t xml:space="preserve"> be </w:t>
      </w:r>
      <w:proofErr w:type="spellStart"/>
      <w:r>
        <w:rPr>
          <w:rFonts w:eastAsia="Palatino Linotype"/>
          <w:sz w:val="22"/>
          <w:szCs w:val="22"/>
          <w:lang w:val="es-ES"/>
        </w:rPr>
        <w:t>an</w:t>
      </w:r>
      <w:proofErr w:type="spellEnd"/>
      <w:r>
        <w:rPr>
          <w:rFonts w:eastAsia="Palatino Linotype"/>
          <w:sz w:val="22"/>
          <w:szCs w:val="22"/>
          <w:lang w:val="es-ES"/>
        </w:rPr>
        <w:t xml:space="preserve"> </w:t>
      </w:r>
      <w:proofErr w:type="spellStart"/>
      <w:r>
        <w:rPr>
          <w:rFonts w:eastAsia="Palatino Linotype"/>
          <w:sz w:val="22"/>
          <w:szCs w:val="22"/>
          <w:lang w:val="es-ES"/>
        </w:rPr>
        <w:t>obstacle</w:t>
      </w:r>
      <w:proofErr w:type="spellEnd"/>
      <w:r>
        <w:rPr>
          <w:rFonts w:eastAsia="Palatino Linotype"/>
          <w:sz w:val="22"/>
          <w:szCs w:val="22"/>
          <w:lang w:val="es-ES"/>
        </w:rPr>
        <w:t xml:space="preserve"> </w:t>
      </w:r>
      <w:proofErr w:type="spellStart"/>
      <w:r>
        <w:rPr>
          <w:rFonts w:eastAsia="Palatino Linotype"/>
          <w:sz w:val="22"/>
          <w:szCs w:val="22"/>
          <w:lang w:val="es-ES"/>
        </w:rPr>
        <w:t>to</w:t>
      </w:r>
      <w:proofErr w:type="spellEnd"/>
      <w:r>
        <w:rPr>
          <w:rFonts w:eastAsia="Palatino Linotype"/>
          <w:sz w:val="22"/>
          <w:szCs w:val="22"/>
          <w:lang w:val="es-ES"/>
        </w:rPr>
        <w:t xml:space="preserve"> </w:t>
      </w:r>
      <w:proofErr w:type="spellStart"/>
      <w:r>
        <w:rPr>
          <w:rFonts w:eastAsia="Palatino Linotype"/>
          <w:sz w:val="22"/>
          <w:szCs w:val="22"/>
          <w:lang w:val="es-ES"/>
        </w:rPr>
        <w:t>its</w:t>
      </w:r>
      <w:proofErr w:type="spellEnd"/>
      <w:r>
        <w:rPr>
          <w:rFonts w:eastAsia="Palatino Linotype"/>
          <w:sz w:val="22"/>
          <w:szCs w:val="22"/>
          <w:lang w:val="es-ES"/>
        </w:rPr>
        <w:t xml:space="preserve"> </w:t>
      </w:r>
      <w:proofErr w:type="spellStart"/>
      <w:r>
        <w:rPr>
          <w:rFonts w:eastAsia="Palatino Linotype"/>
          <w:sz w:val="22"/>
          <w:szCs w:val="22"/>
          <w:lang w:val="es-ES"/>
        </w:rPr>
        <w:t>rejection</w:t>
      </w:r>
      <w:proofErr w:type="spellEnd"/>
      <w:r>
        <w:rPr>
          <w:rFonts w:eastAsia="Palatino Linotype"/>
          <w:sz w:val="22"/>
          <w:szCs w:val="22"/>
          <w:lang w:val="es-ES"/>
        </w:rPr>
        <w:t xml:space="preserve"> </w:t>
      </w:r>
      <w:proofErr w:type="spellStart"/>
      <w:r>
        <w:rPr>
          <w:rFonts w:eastAsia="Palatino Linotype"/>
          <w:sz w:val="22"/>
          <w:szCs w:val="22"/>
          <w:lang w:val="es-ES"/>
        </w:rPr>
        <w:t>if</w:t>
      </w:r>
      <w:proofErr w:type="spellEnd"/>
      <w:r>
        <w:rPr>
          <w:rFonts w:eastAsia="Palatino Linotype"/>
          <w:sz w:val="22"/>
          <w:szCs w:val="22"/>
          <w:lang w:val="es-ES"/>
        </w:rPr>
        <w:t xml:space="preserve"> </w:t>
      </w:r>
      <w:proofErr w:type="spellStart"/>
      <w:r>
        <w:rPr>
          <w:rFonts w:eastAsia="Palatino Linotype"/>
          <w:sz w:val="22"/>
          <w:szCs w:val="22"/>
          <w:lang w:val="es-ES"/>
        </w:rPr>
        <w:t>defects</w:t>
      </w:r>
      <w:proofErr w:type="spellEnd"/>
      <w:r>
        <w:rPr>
          <w:rFonts w:eastAsia="Palatino Linotype"/>
          <w:sz w:val="22"/>
          <w:szCs w:val="22"/>
          <w:lang w:val="es-ES"/>
        </w:rPr>
        <w:t xml:space="preserve"> are </w:t>
      </w:r>
      <w:proofErr w:type="spellStart"/>
      <w:r>
        <w:rPr>
          <w:rFonts w:eastAsia="Palatino Linotype"/>
          <w:sz w:val="22"/>
          <w:szCs w:val="22"/>
          <w:lang w:val="es-ES"/>
        </w:rPr>
        <w:t>subsequently</w:t>
      </w:r>
      <w:proofErr w:type="spellEnd"/>
      <w:r>
        <w:rPr>
          <w:rFonts w:eastAsia="Palatino Linotype"/>
          <w:sz w:val="22"/>
          <w:szCs w:val="22"/>
          <w:lang w:val="es-ES"/>
        </w:rPr>
        <w:t xml:space="preserve"> </w:t>
      </w:r>
      <w:proofErr w:type="spellStart"/>
      <w:r>
        <w:rPr>
          <w:rFonts w:eastAsia="Palatino Linotype"/>
          <w:sz w:val="22"/>
          <w:szCs w:val="22"/>
          <w:lang w:val="es-ES"/>
        </w:rPr>
        <w:t>found</w:t>
      </w:r>
      <w:proofErr w:type="spellEnd"/>
      <w:r>
        <w:rPr>
          <w:rFonts w:eastAsia="Palatino Linotype"/>
          <w:sz w:val="22"/>
          <w:szCs w:val="22"/>
          <w:lang w:val="es-ES"/>
        </w:rPr>
        <w:t xml:space="preserve"> </w:t>
      </w:r>
      <w:proofErr w:type="spellStart"/>
      <w:r>
        <w:rPr>
          <w:rFonts w:eastAsia="Palatino Linotype"/>
          <w:sz w:val="22"/>
          <w:szCs w:val="22"/>
          <w:lang w:val="es-ES"/>
        </w:rPr>
        <w:t>that</w:t>
      </w:r>
      <w:proofErr w:type="spellEnd"/>
      <w:r>
        <w:rPr>
          <w:rFonts w:eastAsia="Palatino Linotype"/>
          <w:sz w:val="22"/>
          <w:szCs w:val="22"/>
          <w:lang w:val="es-ES"/>
        </w:rPr>
        <w:t xml:space="preserve"> </w:t>
      </w:r>
      <w:proofErr w:type="spellStart"/>
      <w:r>
        <w:rPr>
          <w:rFonts w:eastAsia="Palatino Linotype"/>
          <w:sz w:val="22"/>
          <w:szCs w:val="22"/>
          <w:lang w:val="es-ES"/>
        </w:rPr>
        <w:t>violate</w:t>
      </w:r>
      <w:proofErr w:type="spellEnd"/>
      <w:r>
        <w:rPr>
          <w:rFonts w:eastAsia="Palatino Linotype"/>
          <w:sz w:val="22"/>
          <w:szCs w:val="22"/>
          <w:lang w:val="es-ES"/>
        </w:rPr>
        <w:t xml:space="preserve"> </w:t>
      </w:r>
      <w:proofErr w:type="spellStart"/>
      <w:r>
        <w:rPr>
          <w:rFonts w:eastAsia="Palatino Linotype"/>
          <w:sz w:val="22"/>
          <w:szCs w:val="22"/>
          <w:lang w:val="es-ES"/>
        </w:rPr>
        <w:t>the</w:t>
      </w:r>
      <w:proofErr w:type="spellEnd"/>
      <w:r>
        <w:rPr>
          <w:rFonts w:eastAsia="Palatino Linotype"/>
          <w:sz w:val="22"/>
          <w:szCs w:val="22"/>
          <w:lang w:val="es-ES"/>
        </w:rPr>
        <w:t xml:space="preserve"> legal </w:t>
      </w:r>
      <w:proofErr w:type="spellStart"/>
      <w:r>
        <w:rPr>
          <w:rFonts w:eastAsia="Palatino Linotype"/>
          <w:sz w:val="22"/>
          <w:szCs w:val="22"/>
          <w:lang w:val="es-ES"/>
        </w:rPr>
        <w:t>requirements</w:t>
      </w:r>
      <w:proofErr w:type="spellEnd"/>
      <w:r>
        <w:rPr>
          <w:rFonts w:eastAsia="Palatino Linotype"/>
          <w:sz w:val="22"/>
          <w:szCs w:val="22"/>
          <w:lang w:val="es-ES"/>
        </w:rPr>
        <w:t xml:space="preserve"> </w:t>
      </w:r>
      <w:proofErr w:type="spellStart"/>
      <w:r>
        <w:rPr>
          <w:rFonts w:eastAsia="Palatino Linotype"/>
          <w:sz w:val="22"/>
          <w:szCs w:val="22"/>
          <w:lang w:val="es-ES"/>
        </w:rPr>
        <w:t>or</w:t>
      </w:r>
      <w:proofErr w:type="spellEnd"/>
      <w:r>
        <w:rPr>
          <w:rFonts w:eastAsia="Palatino Linotype"/>
          <w:sz w:val="22"/>
          <w:szCs w:val="22"/>
          <w:lang w:val="es-ES"/>
        </w:rPr>
        <w:t xml:space="preserve"> </w:t>
      </w:r>
      <w:proofErr w:type="spellStart"/>
      <w:r>
        <w:rPr>
          <w:rFonts w:eastAsia="Palatino Linotype"/>
          <w:sz w:val="22"/>
          <w:szCs w:val="22"/>
          <w:lang w:val="es-ES"/>
        </w:rPr>
        <w:t>those</w:t>
      </w:r>
      <w:proofErr w:type="spellEnd"/>
      <w:r>
        <w:rPr>
          <w:rFonts w:eastAsia="Palatino Linotype"/>
          <w:sz w:val="22"/>
          <w:szCs w:val="22"/>
          <w:lang w:val="es-ES"/>
        </w:rPr>
        <w:t xml:space="preserve"> </w:t>
      </w:r>
      <w:proofErr w:type="spellStart"/>
      <w:r>
        <w:rPr>
          <w:rFonts w:eastAsia="Palatino Linotype"/>
          <w:sz w:val="22"/>
          <w:szCs w:val="22"/>
          <w:lang w:val="es-ES"/>
        </w:rPr>
        <w:t>substantial</w:t>
      </w:r>
      <w:proofErr w:type="spellEnd"/>
      <w:r>
        <w:rPr>
          <w:rFonts w:eastAsia="Palatino Linotype"/>
          <w:sz w:val="22"/>
          <w:szCs w:val="22"/>
          <w:lang w:val="es-ES"/>
        </w:rPr>
        <w:t xml:space="preserve"> </w:t>
      </w:r>
      <w:proofErr w:type="spellStart"/>
      <w:r>
        <w:rPr>
          <w:rFonts w:eastAsia="Palatino Linotype"/>
          <w:sz w:val="22"/>
          <w:szCs w:val="22"/>
          <w:lang w:val="es-ES"/>
        </w:rPr>
        <w:t>requirements</w:t>
      </w:r>
      <w:proofErr w:type="spellEnd"/>
      <w:r>
        <w:rPr>
          <w:rFonts w:eastAsia="Palatino Linotype"/>
          <w:sz w:val="22"/>
          <w:szCs w:val="22"/>
          <w:lang w:val="es-ES"/>
        </w:rPr>
        <w:t xml:space="preserve"> </w:t>
      </w:r>
      <w:proofErr w:type="spellStart"/>
      <w:r>
        <w:rPr>
          <w:rFonts w:eastAsia="Palatino Linotype"/>
          <w:sz w:val="22"/>
          <w:szCs w:val="22"/>
          <w:lang w:val="es-ES"/>
        </w:rPr>
        <w:t>contained</w:t>
      </w:r>
      <w:proofErr w:type="spellEnd"/>
      <w:r>
        <w:rPr>
          <w:rFonts w:eastAsia="Palatino Linotype"/>
          <w:sz w:val="22"/>
          <w:szCs w:val="22"/>
          <w:lang w:val="es-ES"/>
        </w:rPr>
        <w:t xml:space="preserve"> in </w:t>
      </w:r>
      <w:proofErr w:type="spellStart"/>
      <w:r>
        <w:rPr>
          <w:rFonts w:eastAsia="Palatino Linotype"/>
          <w:sz w:val="22"/>
          <w:szCs w:val="22"/>
          <w:lang w:val="es-ES"/>
        </w:rPr>
        <w:t>the</w:t>
      </w:r>
      <w:proofErr w:type="spellEnd"/>
      <w:r>
        <w:rPr>
          <w:rFonts w:eastAsia="Palatino Linotype"/>
          <w:sz w:val="22"/>
          <w:szCs w:val="22"/>
          <w:lang w:val="es-ES"/>
        </w:rPr>
        <w:t xml:space="preserve"> respective </w:t>
      </w:r>
      <w:proofErr w:type="spellStart"/>
      <w:r>
        <w:rPr>
          <w:rFonts w:eastAsia="Palatino Linotype"/>
          <w:sz w:val="22"/>
          <w:szCs w:val="22"/>
          <w:lang w:val="es-ES"/>
        </w:rPr>
        <w:t>Specifications</w:t>
      </w:r>
      <w:proofErr w:type="spellEnd"/>
      <w:r>
        <w:rPr>
          <w:rFonts w:eastAsia="Palatino Linotype"/>
          <w:sz w:val="22"/>
          <w:szCs w:val="22"/>
          <w:lang w:val="es-ES"/>
        </w:rPr>
        <w:t>.</w:t>
      </w:r>
    </w:p>
    <w:p w14:paraId="018966FD" w14:textId="77777777" w:rsidR="00E255F4" w:rsidRDefault="00E255F4">
      <w:pPr>
        <w:ind w:right="-142"/>
        <w:jc w:val="both"/>
        <w:rPr>
          <w:rFonts w:eastAsia="Palatino Linotype"/>
          <w:spacing w:val="-3"/>
          <w:sz w:val="22"/>
          <w:szCs w:val="22"/>
          <w:lang w:val="es-ES"/>
        </w:rPr>
      </w:pPr>
    </w:p>
    <w:p w14:paraId="0F40B953" w14:textId="77777777" w:rsidR="00E255F4" w:rsidRDefault="00000000">
      <w:pPr>
        <w:ind w:right="-142"/>
        <w:jc w:val="both"/>
        <w:rPr>
          <w:rFonts w:eastAsia="Palatino Linotype"/>
          <w:sz w:val="22"/>
          <w:szCs w:val="22"/>
          <w:lang w:val="es-ES"/>
        </w:rPr>
      </w:pPr>
      <w:proofErr w:type="spellStart"/>
      <w:r>
        <w:rPr>
          <w:rFonts w:eastAsia="Palatino Linotype"/>
          <w:spacing w:val="-3"/>
          <w:sz w:val="22"/>
          <w:szCs w:val="22"/>
          <w:lang w:val="es-ES"/>
        </w:rPr>
        <w:t>S</w:t>
      </w:r>
      <w:r>
        <w:rPr>
          <w:rFonts w:eastAsia="Palatino Linotype"/>
          <w:sz w:val="22"/>
          <w:szCs w:val="22"/>
          <w:lang w:val="es-ES"/>
        </w:rPr>
        <w:t>Substantial</w:t>
      </w:r>
      <w:proofErr w:type="spellEnd"/>
      <w:r>
        <w:rPr>
          <w:rFonts w:eastAsia="Palatino Linotype"/>
          <w:sz w:val="22"/>
          <w:szCs w:val="22"/>
          <w:lang w:val="es-ES"/>
        </w:rPr>
        <w:t xml:space="preserve"> </w:t>
      </w:r>
      <w:proofErr w:type="spellStart"/>
      <w:r>
        <w:rPr>
          <w:rFonts w:eastAsia="Palatino Linotype"/>
          <w:sz w:val="22"/>
          <w:szCs w:val="22"/>
          <w:lang w:val="es-ES"/>
        </w:rPr>
        <w:t>deviations</w:t>
      </w:r>
      <w:proofErr w:type="spellEnd"/>
      <w:r>
        <w:rPr>
          <w:rFonts w:eastAsia="Palatino Linotype"/>
          <w:sz w:val="22"/>
          <w:szCs w:val="22"/>
          <w:lang w:val="es-ES"/>
        </w:rPr>
        <w:t xml:space="preserve"> </w:t>
      </w:r>
      <w:proofErr w:type="spellStart"/>
      <w:r>
        <w:rPr>
          <w:rFonts w:eastAsia="Palatino Linotype"/>
          <w:sz w:val="22"/>
          <w:szCs w:val="22"/>
          <w:lang w:val="es-ES"/>
        </w:rPr>
        <w:t>will</w:t>
      </w:r>
      <w:proofErr w:type="spellEnd"/>
      <w:r>
        <w:rPr>
          <w:rFonts w:eastAsia="Palatino Linotype"/>
          <w:sz w:val="22"/>
          <w:szCs w:val="22"/>
          <w:lang w:val="es-ES"/>
        </w:rPr>
        <w:t xml:space="preserve"> be </w:t>
      </w:r>
      <w:proofErr w:type="spellStart"/>
      <w:r>
        <w:rPr>
          <w:rFonts w:eastAsia="Palatino Linotype"/>
          <w:sz w:val="22"/>
          <w:szCs w:val="22"/>
          <w:lang w:val="es-ES"/>
        </w:rPr>
        <w:t>considered</w:t>
      </w:r>
      <w:proofErr w:type="spellEnd"/>
      <w:r>
        <w:rPr>
          <w:rFonts w:eastAsia="Palatino Linotype"/>
          <w:sz w:val="22"/>
          <w:szCs w:val="22"/>
          <w:lang w:val="es-ES"/>
        </w:rPr>
        <w:t xml:space="preserve"> </w:t>
      </w:r>
      <w:proofErr w:type="spellStart"/>
      <w:r>
        <w:rPr>
          <w:rFonts w:eastAsia="Palatino Linotype"/>
          <w:sz w:val="22"/>
          <w:szCs w:val="22"/>
          <w:lang w:val="es-ES"/>
        </w:rPr>
        <w:t>those</w:t>
      </w:r>
      <w:proofErr w:type="spellEnd"/>
      <w:r>
        <w:rPr>
          <w:rFonts w:eastAsia="Palatino Linotype"/>
          <w:sz w:val="22"/>
          <w:szCs w:val="22"/>
          <w:lang w:val="es-ES"/>
        </w:rPr>
        <w:t xml:space="preserve"> </w:t>
      </w:r>
      <w:proofErr w:type="spellStart"/>
      <w:r>
        <w:rPr>
          <w:rFonts w:eastAsia="Palatino Linotype"/>
          <w:sz w:val="22"/>
          <w:szCs w:val="22"/>
          <w:lang w:val="es-ES"/>
        </w:rPr>
        <w:t>that</w:t>
      </w:r>
      <w:proofErr w:type="spellEnd"/>
      <w:r>
        <w:rPr>
          <w:rFonts w:eastAsia="Palatino Linotype"/>
          <w:sz w:val="22"/>
          <w:szCs w:val="22"/>
          <w:lang w:val="es-ES"/>
        </w:rPr>
        <w:t xml:space="preserve"> </w:t>
      </w:r>
      <w:proofErr w:type="spellStart"/>
      <w:r>
        <w:rPr>
          <w:rFonts w:eastAsia="Palatino Linotype"/>
          <w:sz w:val="22"/>
          <w:szCs w:val="22"/>
          <w:lang w:val="es-ES"/>
        </w:rPr>
        <w:t>cannot</w:t>
      </w:r>
      <w:proofErr w:type="spellEnd"/>
      <w:r>
        <w:rPr>
          <w:rFonts w:eastAsia="Palatino Linotype"/>
          <w:sz w:val="22"/>
          <w:szCs w:val="22"/>
          <w:lang w:val="es-ES"/>
        </w:rPr>
        <w:t xml:space="preserve"> be </w:t>
      </w:r>
      <w:proofErr w:type="spellStart"/>
      <w:r>
        <w:rPr>
          <w:rFonts w:eastAsia="Palatino Linotype"/>
          <w:sz w:val="22"/>
          <w:szCs w:val="22"/>
          <w:lang w:val="es-ES"/>
        </w:rPr>
        <w:t>remedied</w:t>
      </w:r>
      <w:proofErr w:type="spellEnd"/>
      <w:r>
        <w:rPr>
          <w:rFonts w:eastAsia="Palatino Linotype"/>
          <w:sz w:val="22"/>
          <w:szCs w:val="22"/>
          <w:lang w:val="es-ES"/>
        </w:rPr>
        <w:t xml:space="preserve"> </w:t>
      </w:r>
      <w:proofErr w:type="spellStart"/>
      <w:r>
        <w:rPr>
          <w:rFonts w:eastAsia="Palatino Linotype"/>
          <w:sz w:val="22"/>
          <w:szCs w:val="22"/>
          <w:lang w:val="es-ES"/>
        </w:rPr>
        <w:t>without</w:t>
      </w:r>
      <w:proofErr w:type="spellEnd"/>
      <w:r>
        <w:rPr>
          <w:rFonts w:eastAsia="Palatino Linotype"/>
          <w:sz w:val="22"/>
          <w:szCs w:val="22"/>
          <w:lang w:val="es-ES"/>
        </w:rPr>
        <w:t xml:space="preserve"> </w:t>
      </w:r>
      <w:proofErr w:type="spellStart"/>
      <w:r>
        <w:rPr>
          <w:rFonts w:eastAsia="Palatino Linotype"/>
          <w:sz w:val="22"/>
          <w:szCs w:val="22"/>
          <w:lang w:val="es-ES"/>
        </w:rPr>
        <w:t>materially</w:t>
      </w:r>
      <w:proofErr w:type="spellEnd"/>
      <w:r>
        <w:rPr>
          <w:rFonts w:eastAsia="Palatino Linotype"/>
          <w:sz w:val="22"/>
          <w:szCs w:val="22"/>
          <w:lang w:val="es-ES"/>
        </w:rPr>
        <w:t xml:space="preserve"> </w:t>
      </w:r>
      <w:proofErr w:type="spellStart"/>
      <w:r>
        <w:rPr>
          <w:rFonts w:eastAsia="Palatino Linotype"/>
          <w:sz w:val="22"/>
          <w:szCs w:val="22"/>
          <w:lang w:val="es-ES"/>
        </w:rPr>
        <w:t>altering</w:t>
      </w:r>
      <w:proofErr w:type="spellEnd"/>
      <w:r>
        <w:rPr>
          <w:rFonts w:eastAsia="Palatino Linotype"/>
          <w:sz w:val="22"/>
          <w:szCs w:val="22"/>
          <w:lang w:val="es-ES"/>
        </w:rPr>
        <w:t xml:space="preserve"> </w:t>
      </w:r>
      <w:proofErr w:type="spellStart"/>
      <w:r>
        <w:rPr>
          <w:rFonts w:eastAsia="Palatino Linotype"/>
          <w:sz w:val="22"/>
          <w:szCs w:val="22"/>
          <w:lang w:val="es-ES"/>
        </w:rPr>
        <w:t>the</w:t>
      </w:r>
      <w:proofErr w:type="spellEnd"/>
      <w:r>
        <w:rPr>
          <w:rFonts w:eastAsia="Palatino Linotype"/>
          <w:sz w:val="22"/>
          <w:szCs w:val="22"/>
          <w:lang w:val="es-ES"/>
        </w:rPr>
        <w:t xml:space="preserve"> </w:t>
      </w:r>
      <w:proofErr w:type="spellStart"/>
      <w:r>
        <w:rPr>
          <w:rFonts w:eastAsia="Palatino Linotype"/>
          <w:sz w:val="22"/>
          <w:szCs w:val="22"/>
          <w:lang w:val="es-ES"/>
        </w:rPr>
        <w:t>equality</w:t>
      </w:r>
      <w:proofErr w:type="spellEnd"/>
      <w:r>
        <w:rPr>
          <w:rFonts w:eastAsia="Palatino Linotype"/>
          <w:sz w:val="22"/>
          <w:szCs w:val="22"/>
          <w:lang w:val="es-ES"/>
        </w:rPr>
        <w:t xml:space="preserve"> </w:t>
      </w:r>
      <w:proofErr w:type="spellStart"/>
      <w:r>
        <w:rPr>
          <w:rFonts w:eastAsia="Palatino Linotype"/>
          <w:sz w:val="22"/>
          <w:szCs w:val="22"/>
          <w:lang w:val="es-ES"/>
        </w:rPr>
        <w:t>of</w:t>
      </w:r>
      <w:proofErr w:type="spellEnd"/>
      <w:r>
        <w:rPr>
          <w:rFonts w:eastAsia="Palatino Linotype"/>
          <w:sz w:val="22"/>
          <w:szCs w:val="22"/>
          <w:lang w:val="es-ES"/>
        </w:rPr>
        <w:t xml:space="preserve"> </w:t>
      </w:r>
      <w:proofErr w:type="spellStart"/>
      <w:r>
        <w:rPr>
          <w:rFonts w:eastAsia="Palatino Linotype"/>
          <w:sz w:val="22"/>
          <w:szCs w:val="22"/>
          <w:lang w:val="es-ES"/>
        </w:rPr>
        <w:t>the</w:t>
      </w:r>
      <w:proofErr w:type="spellEnd"/>
      <w:r>
        <w:rPr>
          <w:rFonts w:eastAsia="Palatino Linotype"/>
          <w:sz w:val="22"/>
          <w:szCs w:val="22"/>
          <w:lang w:val="es-ES"/>
        </w:rPr>
        <w:t xml:space="preserve"> </w:t>
      </w:r>
      <w:proofErr w:type="spellStart"/>
      <w:r>
        <w:rPr>
          <w:rFonts w:eastAsia="Palatino Linotype"/>
          <w:sz w:val="22"/>
          <w:szCs w:val="22"/>
          <w:lang w:val="es-ES"/>
        </w:rPr>
        <w:t>bidders</w:t>
      </w:r>
      <w:proofErr w:type="spellEnd"/>
      <w:r>
        <w:rPr>
          <w:rFonts w:eastAsia="Palatino Linotype"/>
          <w:sz w:val="22"/>
          <w:szCs w:val="22"/>
          <w:lang w:val="es-ES"/>
        </w:rPr>
        <w:t>.</w:t>
      </w:r>
    </w:p>
    <w:p w14:paraId="41126E95" w14:textId="77777777" w:rsidR="00E255F4" w:rsidRDefault="00E255F4">
      <w:pPr>
        <w:ind w:right="-142"/>
        <w:jc w:val="both"/>
        <w:rPr>
          <w:rFonts w:eastAsia="Palatino Linotype"/>
          <w:spacing w:val="-1"/>
          <w:sz w:val="22"/>
          <w:szCs w:val="22"/>
          <w:lang w:val="es-ES"/>
        </w:rPr>
      </w:pPr>
    </w:p>
    <w:p w14:paraId="7B292FC4" w14:textId="77777777" w:rsidR="00E255F4" w:rsidRDefault="00000000">
      <w:pPr>
        <w:ind w:right="-142"/>
        <w:jc w:val="both"/>
        <w:rPr>
          <w:rFonts w:eastAsia="Palatino Linotype"/>
          <w:sz w:val="22"/>
          <w:szCs w:val="22"/>
          <w:lang w:val="es-ES"/>
        </w:rPr>
      </w:pPr>
      <w:proofErr w:type="spellStart"/>
      <w:r>
        <w:rPr>
          <w:rFonts w:eastAsia="Palatino Linotype"/>
          <w:spacing w:val="-1"/>
          <w:sz w:val="22"/>
          <w:szCs w:val="22"/>
          <w:lang w:val="es-ES"/>
        </w:rPr>
        <w:t>It</w:t>
      </w:r>
      <w:r>
        <w:rPr>
          <w:rFonts w:eastAsia="Palatino Linotype"/>
          <w:sz w:val="22"/>
          <w:szCs w:val="22"/>
          <w:lang w:val="es-ES"/>
        </w:rPr>
        <w:t>Bidders</w:t>
      </w:r>
      <w:proofErr w:type="spellEnd"/>
      <w:r>
        <w:rPr>
          <w:rFonts w:eastAsia="Palatino Linotype"/>
          <w:sz w:val="22"/>
          <w:szCs w:val="22"/>
          <w:lang w:val="es-ES"/>
        </w:rPr>
        <w:t xml:space="preserve"> </w:t>
      </w:r>
      <w:proofErr w:type="spellStart"/>
      <w:r>
        <w:rPr>
          <w:rFonts w:eastAsia="Palatino Linotype"/>
          <w:sz w:val="22"/>
          <w:szCs w:val="22"/>
          <w:lang w:val="es-ES"/>
        </w:rPr>
        <w:t>may</w:t>
      </w:r>
      <w:proofErr w:type="spellEnd"/>
      <w:r>
        <w:rPr>
          <w:rFonts w:eastAsia="Palatino Linotype"/>
          <w:sz w:val="22"/>
          <w:szCs w:val="22"/>
          <w:lang w:val="es-ES"/>
        </w:rPr>
        <w:t xml:space="preserve"> </w:t>
      </w:r>
      <w:proofErr w:type="spellStart"/>
      <w:r>
        <w:rPr>
          <w:rFonts w:eastAsia="Palatino Linotype"/>
          <w:sz w:val="22"/>
          <w:szCs w:val="22"/>
          <w:lang w:val="es-ES"/>
        </w:rPr>
        <w:t>request</w:t>
      </w:r>
      <w:proofErr w:type="spellEnd"/>
      <w:r>
        <w:rPr>
          <w:rFonts w:eastAsia="Palatino Linotype"/>
          <w:sz w:val="22"/>
          <w:szCs w:val="22"/>
          <w:lang w:val="es-ES"/>
        </w:rPr>
        <w:t xml:space="preserve"> </w:t>
      </w:r>
      <w:proofErr w:type="spellStart"/>
      <w:r>
        <w:rPr>
          <w:rFonts w:eastAsia="Palatino Linotype"/>
          <w:sz w:val="22"/>
          <w:szCs w:val="22"/>
          <w:lang w:val="es-ES"/>
        </w:rPr>
        <w:t>the</w:t>
      </w:r>
      <w:proofErr w:type="spellEnd"/>
      <w:r>
        <w:rPr>
          <w:rFonts w:eastAsia="Palatino Linotype"/>
          <w:sz w:val="22"/>
          <w:szCs w:val="22"/>
          <w:lang w:val="es-ES"/>
        </w:rPr>
        <w:t xml:space="preserve"> </w:t>
      </w:r>
      <w:proofErr w:type="spellStart"/>
      <w:r>
        <w:rPr>
          <w:rFonts w:eastAsia="Palatino Linotype"/>
          <w:sz w:val="22"/>
          <w:szCs w:val="22"/>
          <w:lang w:val="es-ES"/>
        </w:rPr>
        <w:t>Administration</w:t>
      </w:r>
      <w:proofErr w:type="spellEnd"/>
      <w:r>
        <w:rPr>
          <w:rFonts w:eastAsia="Palatino Linotype"/>
          <w:sz w:val="22"/>
          <w:szCs w:val="22"/>
          <w:lang w:val="es-ES"/>
        </w:rPr>
        <w:t xml:space="preserve"> </w:t>
      </w:r>
      <w:proofErr w:type="spellStart"/>
      <w:r>
        <w:rPr>
          <w:rFonts w:eastAsia="Palatino Linotype"/>
          <w:sz w:val="22"/>
          <w:szCs w:val="22"/>
          <w:lang w:val="es-ES"/>
        </w:rPr>
        <w:t>to</w:t>
      </w:r>
      <w:proofErr w:type="spellEnd"/>
      <w:r>
        <w:rPr>
          <w:rFonts w:eastAsia="Palatino Linotype"/>
          <w:sz w:val="22"/>
          <w:szCs w:val="22"/>
          <w:lang w:val="es-ES"/>
        </w:rPr>
        <w:t xml:space="preserve"> </w:t>
      </w:r>
      <w:proofErr w:type="spellStart"/>
      <w:r>
        <w:rPr>
          <w:rFonts w:eastAsia="Palatino Linotype"/>
          <w:sz w:val="22"/>
          <w:szCs w:val="22"/>
          <w:lang w:val="es-ES"/>
        </w:rPr>
        <w:t>provide</w:t>
      </w:r>
      <w:proofErr w:type="spellEnd"/>
      <w:r>
        <w:rPr>
          <w:rFonts w:eastAsia="Palatino Linotype"/>
          <w:sz w:val="22"/>
          <w:szCs w:val="22"/>
          <w:lang w:val="es-ES"/>
        </w:rPr>
        <w:t xml:space="preserve"> </w:t>
      </w:r>
      <w:proofErr w:type="spellStart"/>
      <w:r>
        <w:rPr>
          <w:rFonts w:eastAsia="Palatino Linotype"/>
          <w:sz w:val="22"/>
          <w:szCs w:val="22"/>
          <w:lang w:val="es-ES"/>
        </w:rPr>
        <w:t>them</w:t>
      </w:r>
      <w:proofErr w:type="spellEnd"/>
      <w:r>
        <w:rPr>
          <w:rFonts w:eastAsia="Palatino Linotype"/>
          <w:sz w:val="22"/>
          <w:szCs w:val="22"/>
          <w:lang w:val="es-ES"/>
        </w:rPr>
        <w:t xml:space="preserve"> </w:t>
      </w:r>
      <w:proofErr w:type="spellStart"/>
      <w:r>
        <w:rPr>
          <w:rFonts w:eastAsia="Palatino Linotype"/>
          <w:sz w:val="22"/>
          <w:szCs w:val="22"/>
          <w:lang w:val="es-ES"/>
        </w:rPr>
        <w:t>with</w:t>
      </w:r>
      <w:proofErr w:type="spellEnd"/>
      <w:r>
        <w:rPr>
          <w:rFonts w:eastAsia="Palatino Linotype"/>
          <w:sz w:val="22"/>
          <w:szCs w:val="22"/>
          <w:lang w:val="es-ES"/>
        </w:rPr>
        <w:t xml:space="preserve"> a </w:t>
      </w:r>
      <w:proofErr w:type="spellStart"/>
      <w:r>
        <w:rPr>
          <w:rFonts w:eastAsia="Palatino Linotype"/>
          <w:sz w:val="22"/>
          <w:szCs w:val="22"/>
          <w:lang w:val="es-ES"/>
        </w:rPr>
        <w:t>copy</w:t>
      </w:r>
      <w:proofErr w:type="spellEnd"/>
      <w:r>
        <w:rPr>
          <w:rFonts w:eastAsia="Palatino Linotype"/>
          <w:sz w:val="22"/>
          <w:szCs w:val="22"/>
          <w:lang w:val="es-ES"/>
        </w:rPr>
        <w:t xml:space="preserve"> </w:t>
      </w:r>
      <w:proofErr w:type="spellStart"/>
      <w:r>
        <w:rPr>
          <w:rFonts w:eastAsia="Palatino Linotype"/>
          <w:sz w:val="22"/>
          <w:szCs w:val="22"/>
          <w:lang w:val="es-ES"/>
        </w:rPr>
        <w:t>or</w:t>
      </w:r>
      <w:proofErr w:type="spellEnd"/>
      <w:r>
        <w:rPr>
          <w:rFonts w:eastAsia="Palatino Linotype"/>
          <w:sz w:val="22"/>
          <w:szCs w:val="22"/>
          <w:lang w:val="es-ES"/>
        </w:rPr>
        <w:t xml:space="preserve"> </w:t>
      </w:r>
      <w:proofErr w:type="spellStart"/>
      <w:r>
        <w:rPr>
          <w:rFonts w:eastAsia="Palatino Linotype"/>
          <w:sz w:val="22"/>
          <w:szCs w:val="22"/>
          <w:lang w:val="es-ES"/>
        </w:rPr>
        <w:t>electronic</w:t>
      </w:r>
      <w:proofErr w:type="spellEnd"/>
      <w:r>
        <w:rPr>
          <w:rFonts w:eastAsia="Palatino Linotype"/>
          <w:sz w:val="22"/>
          <w:szCs w:val="22"/>
          <w:lang w:val="es-ES"/>
        </w:rPr>
        <w:t xml:space="preserve"> file </w:t>
      </w:r>
      <w:proofErr w:type="spellStart"/>
      <w:r>
        <w:rPr>
          <w:rFonts w:eastAsia="Palatino Linotype"/>
          <w:sz w:val="22"/>
          <w:szCs w:val="22"/>
          <w:lang w:val="es-ES"/>
        </w:rPr>
        <w:t>of</w:t>
      </w:r>
      <w:proofErr w:type="spellEnd"/>
      <w:r>
        <w:rPr>
          <w:rFonts w:eastAsia="Palatino Linotype"/>
          <w:sz w:val="22"/>
          <w:szCs w:val="22"/>
          <w:lang w:val="es-ES"/>
        </w:rPr>
        <w:t xml:space="preserve"> </w:t>
      </w:r>
      <w:proofErr w:type="spellStart"/>
      <w:r>
        <w:rPr>
          <w:rFonts w:eastAsia="Palatino Linotype"/>
          <w:sz w:val="22"/>
          <w:szCs w:val="22"/>
          <w:lang w:val="es-ES"/>
        </w:rPr>
        <w:t>the</w:t>
      </w:r>
      <w:proofErr w:type="spellEnd"/>
      <w:r>
        <w:rPr>
          <w:rFonts w:eastAsia="Palatino Linotype"/>
          <w:sz w:val="22"/>
          <w:szCs w:val="22"/>
          <w:lang w:val="es-ES"/>
        </w:rPr>
        <w:t xml:space="preserve"> </w:t>
      </w:r>
      <w:proofErr w:type="spellStart"/>
      <w:r>
        <w:rPr>
          <w:rFonts w:eastAsia="Palatino Linotype"/>
          <w:sz w:val="22"/>
          <w:szCs w:val="22"/>
          <w:lang w:val="es-ES"/>
        </w:rPr>
        <w:t>submitted</w:t>
      </w:r>
      <w:proofErr w:type="spellEnd"/>
      <w:r>
        <w:rPr>
          <w:rFonts w:eastAsia="Palatino Linotype"/>
          <w:sz w:val="22"/>
          <w:szCs w:val="22"/>
          <w:lang w:val="es-ES"/>
        </w:rPr>
        <w:t xml:space="preserve"> </w:t>
      </w:r>
      <w:proofErr w:type="spellStart"/>
      <w:r>
        <w:rPr>
          <w:rFonts w:eastAsia="Palatino Linotype"/>
          <w:sz w:val="22"/>
          <w:szCs w:val="22"/>
          <w:lang w:val="es-ES"/>
        </w:rPr>
        <w:t>bids</w:t>
      </w:r>
      <w:proofErr w:type="spellEnd"/>
      <w:r>
        <w:rPr>
          <w:rFonts w:eastAsia="Palatino Linotype"/>
          <w:sz w:val="22"/>
          <w:szCs w:val="22"/>
          <w:lang w:val="es-ES"/>
        </w:rPr>
        <w:t xml:space="preserve"> </w:t>
      </w:r>
      <w:proofErr w:type="spellStart"/>
      <w:r>
        <w:rPr>
          <w:rFonts w:eastAsia="Palatino Linotype"/>
          <w:sz w:val="22"/>
          <w:szCs w:val="22"/>
          <w:lang w:val="es-ES"/>
        </w:rPr>
        <w:t>for</w:t>
      </w:r>
      <w:proofErr w:type="spellEnd"/>
      <w:r>
        <w:rPr>
          <w:rFonts w:eastAsia="Palatino Linotype"/>
          <w:sz w:val="22"/>
          <w:szCs w:val="22"/>
          <w:lang w:val="es-ES"/>
        </w:rPr>
        <w:t xml:space="preserve"> </w:t>
      </w:r>
      <w:proofErr w:type="spellStart"/>
      <w:r>
        <w:rPr>
          <w:rFonts w:eastAsia="Palatino Linotype"/>
          <w:sz w:val="22"/>
          <w:szCs w:val="22"/>
          <w:lang w:val="es-ES"/>
        </w:rPr>
        <w:t>analysis</w:t>
      </w:r>
      <w:proofErr w:type="spellEnd"/>
      <w:r>
        <w:rPr>
          <w:rFonts w:eastAsia="Palatino Linotype"/>
          <w:sz w:val="22"/>
          <w:szCs w:val="22"/>
          <w:lang w:val="es-ES"/>
        </w:rPr>
        <w:t xml:space="preserve">. The </w:t>
      </w:r>
      <w:proofErr w:type="spellStart"/>
      <w:r>
        <w:rPr>
          <w:rFonts w:eastAsia="Palatino Linotype"/>
          <w:sz w:val="22"/>
          <w:szCs w:val="22"/>
          <w:lang w:val="es-ES"/>
        </w:rPr>
        <w:t>cost</w:t>
      </w:r>
      <w:proofErr w:type="spellEnd"/>
      <w:r>
        <w:rPr>
          <w:rFonts w:eastAsia="Palatino Linotype"/>
          <w:sz w:val="22"/>
          <w:szCs w:val="22"/>
          <w:lang w:val="es-ES"/>
        </w:rPr>
        <w:t xml:space="preserve"> </w:t>
      </w:r>
      <w:proofErr w:type="spellStart"/>
      <w:r>
        <w:rPr>
          <w:rFonts w:eastAsia="Palatino Linotype"/>
          <w:sz w:val="22"/>
          <w:szCs w:val="22"/>
          <w:lang w:val="es-ES"/>
        </w:rPr>
        <w:t>will</w:t>
      </w:r>
      <w:proofErr w:type="spellEnd"/>
      <w:r>
        <w:rPr>
          <w:rFonts w:eastAsia="Palatino Linotype"/>
          <w:sz w:val="22"/>
          <w:szCs w:val="22"/>
          <w:lang w:val="es-ES"/>
        </w:rPr>
        <w:t xml:space="preserve"> be borne </w:t>
      </w:r>
      <w:proofErr w:type="spellStart"/>
      <w:r>
        <w:rPr>
          <w:rFonts w:eastAsia="Palatino Linotype"/>
          <w:sz w:val="22"/>
          <w:szCs w:val="22"/>
          <w:lang w:val="es-ES"/>
        </w:rPr>
        <w:t>by</w:t>
      </w:r>
      <w:proofErr w:type="spellEnd"/>
      <w:r>
        <w:rPr>
          <w:rFonts w:eastAsia="Palatino Linotype"/>
          <w:sz w:val="22"/>
          <w:szCs w:val="22"/>
          <w:lang w:val="es-ES"/>
        </w:rPr>
        <w:t xml:space="preserve"> </w:t>
      </w:r>
      <w:proofErr w:type="spellStart"/>
      <w:r>
        <w:rPr>
          <w:rFonts w:eastAsia="Palatino Linotype"/>
          <w:sz w:val="22"/>
          <w:szCs w:val="22"/>
          <w:lang w:val="es-ES"/>
        </w:rPr>
        <w:t>the</w:t>
      </w:r>
      <w:proofErr w:type="spellEnd"/>
      <w:r>
        <w:rPr>
          <w:rFonts w:eastAsia="Palatino Linotype"/>
          <w:sz w:val="22"/>
          <w:szCs w:val="22"/>
          <w:lang w:val="es-ES"/>
        </w:rPr>
        <w:t xml:space="preserve"> </w:t>
      </w:r>
      <w:proofErr w:type="spellStart"/>
      <w:r>
        <w:rPr>
          <w:rFonts w:eastAsia="Palatino Linotype"/>
          <w:sz w:val="22"/>
          <w:szCs w:val="22"/>
          <w:lang w:val="es-ES"/>
        </w:rPr>
        <w:t>requesting</w:t>
      </w:r>
      <w:proofErr w:type="spellEnd"/>
      <w:r>
        <w:rPr>
          <w:rFonts w:eastAsia="Palatino Linotype"/>
          <w:sz w:val="22"/>
          <w:szCs w:val="22"/>
          <w:lang w:val="es-ES"/>
        </w:rPr>
        <w:t xml:space="preserve"> </w:t>
      </w:r>
      <w:proofErr w:type="spellStart"/>
      <w:r>
        <w:rPr>
          <w:rFonts w:eastAsia="Palatino Linotype"/>
          <w:sz w:val="22"/>
          <w:szCs w:val="22"/>
          <w:lang w:val="es-ES"/>
        </w:rPr>
        <w:t>party</w:t>
      </w:r>
      <w:proofErr w:type="spellEnd"/>
      <w:r>
        <w:rPr>
          <w:rFonts w:eastAsia="Palatino Linotype"/>
          <w:sz w:val="22"/>
          <w:szCs w:val="22"/>
          <w:lang w:val="es-ES"/>
        </w:rPr>
        <w:t>.</w:t>
      </w:r>
    </w:p>
    <w:p w14:paraId="761A6E6E" w14:textId="77777777" w:rsidR="00E255F4" w:rsidRDefault="00E255F4">
      <w:pPr>
        <w:ind w:right="-142"/>
        <w:jc w:val="both"/>
        <w:rPr>
          <w:rFonts w:eastAsia="Palatino Linotype"/>
          <w:spacing w:val="-1"/>
          <w:sz w:val="22"/>
          <w:szCs w:val="22"/>
          <w:lang w:val="es-ES"/>
        </w:rPr>
      </w:pPr>
    </w:p>
    <w:p w14:paraId="6F0B7874" w14:textId="77777777" w:rsidR="00E255F4" w:rsidRDefault="00000000">
      <w:pPr>
        <w:ind w:right="-142"/>
        <w:jc w:val="both"/>
        <w:rPr>
          <w:rFonts w:eastAsia="Palatino Linotype"/>
          <w:sz w:val="22"/>
          <w:szCs w:val="22"/>
          <w:lang w:val="es-ES"/>
        </w:rPr>
      </w:pPr>
      <w:proofErr w:type="spellStart"/>
      <w:r>
        <w:rPr>
          <w:rFonts w:eastAsia="Palatino Linotype"/>
          <w:spacing w:val="-1"/>
          <w:sz w:val="22"/>
          <w:szCs w:val="22"/>
          <w:lang w:val="es-ES"/>
        </w:rPr>
        <w:t>Open</w:t>
      </w:r>
      <w:r>
        <w:rPr>
          <w:rFonts w:eastAsia="Palatino Linotype"/>
          <w:sz w:val="22"/>
          <w:szCs w:val="22"/>
          <w:lang w:val="es-ES"/>
        </w:rPr>
        <w:t>or</w:t>
      </w:r>
      <w:proofErr w:type="spellEnd"/>
      <w:r>
        <w:rPr>
          <w:rFonts w:eastAsia="Palatino Linotype"/>
          <w:sz w:val="22"/>
          <w:szCs w:val="22"/>
          <w:lang w:val="es-ES"/>
        </w:rPr>
        <w:t xml:space="preserve"> </w:t>
      </w:r>
      <w:proofErr w:type="spellStart"/>
      <w:r>
        <w:rPr>
          <w:rFonts w:eastAsia="Palatino Linotype"/>
          <w:sz w:val="22"/>
          <w:szCs w:val="22"/>
          <w:lang w:val="es-ES"/>
        </w:rPr>
        <w:t>the</w:t>
      </w:r>
      <w:proofErr w:type="spellEnd"/>
      <w:r>
        <w:rPr>
          <w:rFonts w:eastAsia="Palatino Linotype"/>
          <w:sz w:val="22"/>
          <w:szCs w:val="22"/>
          <w:lang w:val="es-ES"/>
        </w:rPr>
        <w:t xml:space="preserve"> </w:t>
      </w:r>
      <w:proofErr w:type="spellStart"/>
      <w:r>
        <w:rPr>
          <w:rFonts w:eastAsia="Palatino Linotype"/>
          <w:sz w:val="22"/>
          <w:szCs w:val="22"/>
          <w:lang w:val="es-ES"/>
        </w:rPr>
        <w:t>act</w:t>
      </w:r>
      <w:proofErr w:type="spellEnd"/>
      <w:r>
        <w:rPr>
          <w:rFonts w:eastAsia="Palatino Linotype"/>
          <w:sz w:val="22"/>
          <w:szCs w:val="22"/>
          <w:lang w:val="es-ES"/>
        </w:rPr>
        <w:t xml:space="preserve"> </w:t>
      </w:r>
      <w:proofErr w:type="spellStart"/>
      <w:r>
        <w:rPr>
          <w:rFonts w:eastAsia="Palatino Linotype"/>
          <w:sz w:val="22"/>
          <w:szCs w:val="22"/>
          <w:lang w:val="es-ES"/>
        </w:rPr>
        <w:t>may</w:t>
      </w:r>
      <w:proofErr w:type="spellEnd"/>
      <w:r>
        <w:rPr>
          <w:rFonts w:eastAsia="Palatino Linotype"/>
          <w:sz w:val="22"/>
          <w:szCs w:val="22"/>
          <w:lang w:val="es-ES"/>
        </w:rPr>
        <w:t xml:space="preserve"> </w:t>
      </w:r>
      <w:proofErr w:type="spellStart"/>
      <w:r>
        <w:rPr>
          <w:rFonts w:eastAsia="Palatino Linotype"/>
          <w:sz w:val="22"/>
          <w:szCs w:val="22"/>
          <w:lang w:val="es-ES"/>
        </w:rPr>
        <w:t>not</w:t>
      </w:r>
      <w:proofErr w:type="spellEnd"/>
      <w:r>
        <w:rPr>
          <w:rFonts w:eastAsia="Palatino Linotype"/>
          <w:sz w:val="22"/>
          <w:szCs w:val="22"/>
          <w:lang w:val="es-ES"/>
        </w:rPr>
        <w:t xml:space="preserve"> introduce </w:t>
      </w:r>
      <w:proofErr w:type="spellStart"/>
      <w:r>
        <w:rPr>
          <w:rFonts w:eastAsia="Palatino Linotype"/>
          <w:sz w:val="22"/>
          <w:szCs w:val="22"/>
          <w:lang w:val="es-ES"/>
        </w:rPr>
        <w:t>any</w:t>
      </w:r>
      <w:proofErr w:type="spellEnd"/>
      <w:r>
        <w:rPr>
          <w:rFonts w:eastAsia="Palatino Linotype"/>
          <w:sz w:val="22"/>
          <w:szCs w:val="22"/>
          <w:lang w:val="es-ES"/>
        </w:rPr>
        <w:t xml:space="preserve"> </w:t>
      </w:r>
      <w:proofErr w:type="spellStart"/>
      <w:r>
        <w:rPr>
          <w:rFonts w:eastAsia="Palatino Linotype"/>
          <w:sz w:val="22"/>
          <w:szCs w:val="22"/>
          <w:lang w:val="es-ES"/>
        </w:rPr>
        <w:t>modification</w:t>
      </w:r>
      <w:proofErr w:type="spellEnd"/>
      <w:r>
        <w:rPr>
          <w:rFonts w:eastAsia="Palatino Linotype"/>
          <w:sz w:val="22"/>
          <w:szCs w:val="22"/>
          <w:lang w:val="es-ES"/>
        </w:rPr>
        <w:t xml:space="preserve"> </w:t>
      </w:r>
      <w:proofErr w:type="spellStart"/>
      <w:r>
        <w:rPr>
          <w:rFonts w:eastAsia="Palatino Linotype"/>
          <w:sz w:val="22"/>
          <w:szCs w:val="22"/>
          <w:lang w:val="es-ES"/>
        </w:rPr>
        <w:t>to</w:t>
      </w:r>
      <w:proofErr w:type="spellEnd"/>
      <w:r>
        <w:rPr>
          <w:rFonts w:eastAsia="Palatino Linotype"/>
          <w:sz w:val="22"/>
          <w:szCs w:val="22"/>
          <w:lang w:val="es-ES"/>
        </w:rPr>
        <w:t xml:space="preserve"> </w:t>
      </w:r>
      <w:proofErr w:type="spellStart"/>
      <w:r>
        <w:rPr>
          <w:rFonts w:eastAsia="Palatino Linotype"/>
          <w:sz w:val="22"/>
          <w:szCs w:val="22"/>
          <w:lang w:val="es-ES"/>
        </w:rPr>
        <w:t>the</w:t>
      </w:r>
      <w:proofErr w:type="spellEnd"/>
      <w:r>
        <w:rPr>
          <w:rFonts w:eastAsia="Palatino Linotype"/>
          <w:sz w:val="22"/>
          <w:szCs w:val="22"/>
          <w:lang w:val="es-ES"/>
        </w:rPr>
        <w:t xml:space="preserve"> </w:t>
      </w:r>
      <w:proofErr w:type="spellStart"/>
      <w:r>
        <w:rPr>
          <w:rFonts w:eastAsia="Palatino Linotype"/>
          <w:sz w:val="22"/>
          <w:szCs w:val="22"/>
          <w:lang w:val="es-ES"/>
        </w:rPr>
        <w:t>proposals</w:t>
      </w:r>
      <w:proofErr w:type="spellEnd"/>
      <w:r>
        <w:rPr>
          <w:rFonts w:eastAsia="Palatino Linotype"/>
          <w:sz w:val="22"/>
          <w:szCs w:val="22"/>
          <w:lang w:val="es-ES"/>
        </w:rPr>
        <w:t xml:space="preserve">, </w:t>
      </w:r>
      <w:proofErr w:type="spellStart"/>
      <w:r>
        <w:rPr>
          <w:rFonts w:eastAsia="Palatino Linotype"/>
          <w:sz w:val="22"/>
          <w:szCs w:val="22"/>
          <w:lang w:val="es-ES"/>
        </w:rPr>
        <w:t>although</w:t>
      </w:r>
      <w:proofErr w:type="spellEnd"/>
      <w:r>
        <w:rPr>
          <w:rFonts w:eastAsia="Palatino Linotype"/>
          <w:sz w:val="22"/>
          <w:szCs w:val="22"/>
          <w:lang w:val="es-ES"/>
        </w:rPr>
        <w:t xml:space="preserve"> </w:t>
      </w:r>
      <w:proofErr w:type="spellStart"/>
      <w:r>
        <w:rPr>
          <w:rFonts w:eastAsia="Palatino Linotype"/>
          <w:sz w:val="22"/>
          <w:szCs w:val="22"/>
          <w:lang w:val="es-ES"/>
        </w:rPr>
        <w:t>the</w:t>
      </w:r>
      <w:proofErr w:type="spellEnd"/>
      <w:r>
        <w:rPr>
          <w:rFonts w:eastAsia="Palatino Linotype"/>
          <w:sz w:val="22"/>
          <w:szCs w:val="22"/>
          <w:lang w:val="es-ES"/>
        </w:rPr>
        <w:t xml:space="preserve"> </w:t>
      </w:r>
      <w:proofErr w:type="spellStart"/>
      <w:r>
        <w:rPr>
          <w:rFonts w:eastAsia="Palatino Linotype"/>
          <w:sz w:val="22"/>
          <w:szCs w:val="22"/>
          <w:lang w:val="es-ES"/>
        </w:rPr>
        <w:t>bidders</w:t>
      </w:r>
      <w:proofErr w:type="spellEnd"/>
      <w:r>
        <w:rPr>
          <w:rFonts w:eastAsia="Palatino Linotype"/>
          <w:sz w:val="22"/>
          <w:szCs w:val="22"/>
          <w:lang w:val="es-ES"/>
        </w:rPr>
        <w:t xml:space="preserve"> </w:t>
      </w:r>
      <w:proofErr w:type="spellStart"/>
      <w:r>
        <w:rPr>
          <w:rFonts w:eastAsia="Palatino Linotype"/>
          <w:sz w:val="22"/>
          <w:szCs w:val="22"/>
          <w:lang w:val="es-ES"/>
        </w:rPr>
        <w:t>or</w:t>
      </w:r>
      <w:proofErr w:type="spellEnd"/>
      <w:r>
        <w:rPr>
          <w:rFonts w:eastAsia="Palatino Linotype"/>
          <w:sz w:val="22"/>
          <w:szCs w:val="22"/>
          <w:lang w:val="es-ES"/>
        </w:rPr>
        <w:t xml:space="preserve"> </w:t>
      </w:r>
      <w:proofErr w:type="spellStart"/>
      <w:r>
        <w:rPr>
          <w:rFonts w:eastAsia="Palatino Linotype"/>
          <w:sz w:val="22"/>
          <w:szCs w:val="22"/>
          <w:lang w:val="es-ES"/>
        </w:rPr>
        <w:t>their</w:t>
      </w:r>
      <w:proofErr w:type="spellEnd"/>
      <w:r>
        <w:rPr>
          <w:rFonts w:eastAsia="Palatino Linotype"/>
          <w:sz w:val="22"/>
          <w:szCs w:val="22"/>
          <w:lang w:val="es-ES"/>
        </w:rPr>
        <w:t xml:space="preserve"> representatives </w:t>
      </w:r>
      <w:proofErr w:type="spellStart"/>
      <w:r>
        <w:rPr>
          <w:rFonts w:eastAsia="Palatino Linotype"/>
          <w:sz w:val="22"/>
          <w:szCs w:val="22"/>
          <w:lang w:val="es-ES"/>
        </w:rPr>
        <w:t>may</w:t>
      </w:r>
      <w:proofErr w:type="spellEnd"/>
      <w:r>
        <w:rPr>
          <w:rFonts w:eastAsia="Palatino Linotype"/>
          <w:sz w:val="22"/>
          <w:szCs w:val="22"/>
          <w:lang w:val="es-ES"/>
        </w:rPr>
        <w:t xml:space="preserve"> </w:t>
      </w:r>
      <w:proofErr w:type="spellStart"/>
      <w:r>
        <w:rPr>
          <w:rFonts w:eastAsia="Palatino Linotype"/>
          <w:sz w:val="22"/>
          <w:szCs w:val="22"/>
          <w:lang w:val="es-ES"/>
        </w:rPr>
        <w:t>make</w:t>
      </w:r>
      <w:proofErr w:type="spellEnd"/>
      <w:r>
        <w:rPr>
          <w:rFonts w:eastAsia="Palatino Linotype"/>
          <w:sz w:val="22"/>
          <w:szCs w:val="22"/>
          <w:lang w:val="es-ES"/>
        </w:rPr>
        <w:t xml:space="preserve"> </w:t>
      </w:r>
      <w:proofErr w:type="spellStart"/>
      <w:r>
        <w:rPr>
          <w:rFonts w:eastAsia="Palatino Linotype"/>
          <w:sz w:val="22"/>
          <w:szCs w:val="22"/>
          <w:lang w:val="es-ES"/>
        </w:rPr>
        <w:t>any</w:t>
      </w:r>
      <w:proofErr w:type="spellEnd"/>
      <w:r>
        <w:rPr>
          <w:rFonts w:eastAsia="Palatino Linotype"/>
          <w:sz w:val="22"/>
          <w:szCs w:val="22"/>
          <w:lang w:val="es-ES"/>
        </w:rPr>
        <w:t xml:space="preserve"> </w:t>
      </w:r>
      <w:proofErr w:type="spellStart"/>
      <w:r>
        <w:rPr>
          <w:rFonts w:eastAsia="Palatino Linotype"/>
          <w:sz w:val="22"/>
          <w:szCs w:val="22"/>
          <w:lang w:val="es-ES"/>
        </w:rPr>
        <w:t>statements</w:t>
      </w:r>
      <w:proofErr w:type="spellEnd"/>
      <w:r>
        <w:rPr>
          <w:rFonts w:eastAsia="Palatino Linotype"/>
          <w:sz w:val="22"/>
          <w:szCs w:val="22"/>
          <w:lang w:val="es-ES"/>
        </w:rPr>
        <w:t xml:space="preserve">, </w:t>
      </w:r>
      <w:proofErr w:type="spellStart"/>
      <w:r>
        <w:rPr>
          <w:rFonts w:eastAsia="Palatino Linotype"/>
          <w:sz w:val="22"/>
          <w:szCs w:val="22"/>
          <w:lang w:val="es-ES"/>
        </w:rPr>
        <w:t>clarifications</w:t>
      </w:r>
      <w:proofErr w:type="spellEnd"/>
      <w:r>
        <w:rPr>
          <w:rFonts w:eastAsia="Palatino Linotype"/>
          <w:sz w:val="22"/>
          <w:szCs w:val="22"/>
          <w:lang w:val="es-ES"/>
        </w:rPr>
        <w:t xml:space="preserve"> </w:t>
      </w:r>
      <w:proofErr w:type="spellStart"/>
      <w:r>
        <w:rPr>
          <w:rFonts w:eastAsia="Palatino Linotype"/>
          <w:sz w:val="22"/>
          <w:szCs w:val="22"/>
          <w:lang w:val="es-ES"/>
        </w:rPr>
        <w:t>or</w:t>
      </w:r>
      <w:proofErr w:type="spellEnd"/>
      <w:r>
        <w:rPr>
          <w:rFonts w:eastAsia="Palatino Linotype"/>
          <w:sz w:val="22"/>
          <w:szCs w:val="22"/>
          <w:lang w:val="es-ES"/>
        </w:rPr>
        <w:t xml:space="preserve"> </w:t>
      </w:r>
      <w:proofErr w:type="spellStart"/>
      <w:r>
        <w:rPr>
          <w:rFonts w:eastAsia="Palatino Linotype"/>
          <w:sz w:val="22"/>
          <w:szCs w:val="22"/>
          <w:lang w:val="es-ES"/>
        </w:rPr>
        <w:t>exceptions</w:t>
      </w:r>
      <w:proofErr w:type="spellEnd"/>
      <w:r>
        <w:rPr>
          <w:rFonts w:eastAsia="Palatino Linotype"/>
          <w:sz w:val="22"/>
          <w:szCs w:val="22"/>
          <w:lang w:val="es-ES"/>
        </w:rPr>
        <w:t xml:space="preserve"> </w:t>
      </w:r>
      <w:proofErr w:type="spellStart"/>
      <w:r>
        <w:rPr>
          <w:rFonts w:eastAsia="Palatino Linotype"/>
          <w:sz w:val="22"/>
          <w:szCs w:val="22"/>
          <w:lang w:val="es-ES"/>
        </w:rPr>
        <w:t>they</w:t>
      </w:r>
      <w:proofErr w:type="spellEnd"/>
      <w:r>
        <w:rPr>
          <w:rFonts w:eastAsia="Palatino Linotype"/>
          <w:sz w:val="22"/>
          <w:szCs w:val="22"/>
          <w:lang w:val="es-ES"/>
        </w:rPr>
        <w:t xml:space="preserve"> </w:t>
      </w:r>
      <w:proofErr w:type="spellStart"/>
      <w:r>
        <w:rPr>
          <w:rFonts w:eastAsia="Palatino Linotype"/>
          <w:sz w:val="22"/>
          <w:szCs w:val="22"/>
          <w:lang w:val="es-ES"/>
        </w:rPr>
        <w:t>wish</w:t>
      </w:r>
      <w:proofErr w:type="spellEnd"/>
      <w:r>
        <w:rPr>
          <w:rFonts w:eastAsia="Palatino Linotype"/>
          <w:sz w:val="22"/>
          <w:szCs w:val="22"/>
          <w:lang w:val="es-ES"/>
        </w:rPr>
        <w:t>.</w:t>
      </w:r>
    </w:p>
    <w:p w14:paraId="2618FC25" w14:textId="77777777" w:rsidR="00E255F4" w:rsidRDefault="00E255F4">
      <w:pPr>
        <w:ind w:right="-142"/>
        <w:jc w:val="both"/>
        <w:rPr>
          <w:rFonts w:eastAsia="Palatino Linotype"/>
          <w:spacing w:val="-1"/>
          <w:sz w:val="22"/>
          <w:szCs w:val="22"/>
          <w:lang w:val="es-ES"/>
        </w:rPr>
      </w:pPr>
    </w:p>
    <w:p w14:paraId="278DD09D" w14:textId="77777777" w:rsidR="00E255F4" w:rsidRDefault="00000000">
      <w:pPr>
        <w:ind w:right="-142"/>
        <w:jc w:val="both"/>
      </w:pPr>
      <w:proofErr w:type="spellStart"/>
      <w:r>
        <w:rPr>
          <w:rFonts w:eastAsia="Palatino Linotype"/>
          <w:spacing w:val="-1"/>
          <w:sz w:val="22"/>
          <w:szCs w:val="22"/>
          <w:lang w:val="es-ES"/>
        </w:rPr>
        <w:t>Finish</w:t>
      </w:r>
      <w:r>
        <w:rPr>
          <w:rFonts w:eastAsia="Palatino Linotype"/>
          <w:sz w:val="22"/>
          <w:szCs w:val="22"/>
          <w:lang w:val="es-ES"/>
        </w:rPr>
        <w:t>or</w:t>
      </w:r>
      <w:proofErr w:type="spellEnd"/>
      <w:r>
        <w:rPr>
          <w:rFonts w:eastAsia="Palatino Linotype"/>
          <w:sz w:val="22"/>
          <w:szCs w:val="22"/>
          <w:lang w:val="es-ES"/>
        </w:rPr>
        <w:t xml:space="preserve"> </w:t>
      </w:r>
      <w:proofErr w:type="spellStart"/>
      <w:r>
        <w:rPr>
          <w:rFonts w:eastAsia="Palatino Linotype"/>
          <w:sz w:val="22"/>
          <w:szCs w:val="22"/>
          <w:lang w:val="es-ES"/>
        </w:rPr>
        <w:t>the</w:t>
      </w:r>
      <w:proofErr w:type="spellEnd"/>
      <w:r>
        <w:rPr>
          <w:rFonts w:eastAsia="Palatino Linotype"/>
          <w:sz w:val="22"/>
          <w:szCs w:val="22"/>
          <w:lang w:val="es-ES"/>
        </w:rPr>
        <w:t xml:space="preserve"> </w:t>
      </w:r>
      <w:proofErr w:type="spellStart"/>
      <w:r>
        <w:rPr>
          <w:rFonts w:eastAsia="Palatino Linotype"/>
          <w:sz w:val="22"/>
          <w:szCs w:val="22"/>
          <w:lang w:val="es-ES"/>
        </w:rPr>
        <w:t>act</w:t>
      </w:r>
      <w:proofErr w:type="spellEnd"/>
      <w:r>
        <w:rPr>
          <w:rFonts w:eastAsia="Palatino Linotype"/>
          <w:sz w:val="22"/>
          <w:szCs w:val="22"/>
          <w:lang w:val="es-ES"/>
        </w:rPr>
        <w:t xml:space="preserve"> </w:t>
      </w:r>
      <w:proofErr w:type="spellStart"/>
      <w:r>
        <w:rPr>
          <w:rFonts w:eastAsia="Palatino Linotype"/>
          <w:sz w:val="22"/>
          <w:szCs w:val="22"/>
          <w:lang w:val="es-ES"/>
        </w:rPr>
        <w:t>will</w:t>
      </w:r>
      <w:proofErr w:type="spellEnd"/>
      <w:r>
        <w:rPr>
          <w:rFonts w:eastAsia="Palatino Linotype"/>
          <w:sz w:val="22"/>
          <w:szCs w:val="22"/>
          <w:lang w:val="es-ES"/>
        </w:rPr>
        <w:t xml:space="preserve"> be </w:t>
      </w:r>
      <w:proofErr w:type="spellStart"/>
      <w:r>
        <w:rPr>
          <w:rFonts w:eastAsia="Palatino Linotype"/>
          <w:sz w:val="22"/>
          <w:szCs w:val="22"/>
          <w:lang w:val="es-ES"/>
        </w:rPr>
        <w:t>recorded</w:t>
      </w:r>
      <w:proofErr w:type="spellEnd"/>
      <w:r>
        <w:rPr>
          <w:rFonts w:eastAsia="Palatino Linotype"/>
          <w:sz w:val="22"/>
          <w:szCs w:val="22"/>
          <w:lang w:val="es-ES"/>
        </w:rPr>
        <w:t xml:space="preserve"> in a </w:t>
      </w:r>
      <w:proofErr w:type="spellStart"/>
      <w:r>
        <w:rPr>
          <w:rFonts w:eastAsia="Palatino Linotype"/>
          <w:sz w:val="22"/>
          <w:szCs w:val="22"/>
          <w:lang w:val="es-ES"/>
        </w:rPr>
        <w:t>detailed</w:t>
      </w:r>
      <w:proofErr w:type="spellEnd"/>
      <w:r>
        <w:rPr>
          <w:rFonts w:eastAsia="Palatino Linotype"/>
          <w:sz w:val="22"/>
          <w:szCs w:val="22"/>
          <w:lang w:val="es-ES"/>
        </w:rPr>
        <w:t xml:space="preserve"> </w:t>
      </w:r>
      <w:proofErr w:type="spellStart"/>
      <w:r>
        <w:rPr>
          <w:rFonts w:eastAsia="Palatino Linotype"/>
          <w:sz w:val="22"/>
          <w:szCs w:val="22"/>
          <w:lang w:val="es-ES"/>
        </w:rPr>
        <w:t>report</w:t>
      </w:r>
      <w:proofErr w:type="spellEnd"/>
      <w:r>
        <w:rPr>
          <w:rFonts w:eastAsia="Palatino Linotype"/>
          <w:sz w:val="22"/>
          <w:szCs w:val="22"/>
          <w:lang w:val="es-ES"/>
        </w:rPr>
        <w:t xml:space="preserve"> </w:t>
      </w:r>
      <w:proofErr w:type="spellStart"/>
      <w:r>
        <w:rPr>
          <w:rFonts w:eastAsia="Palatino Linotype"/>
          <w:sz w:val="22"/>
          <w:szCs w:val="22"/>
          <w:lang w:val="es-ES"/>
        </w:rPr>
        <w:t>which</w:t>
      </w:r>
      <w:proofErr w:type="spellEnd"/>
      <w:r>
        <w:rPr>
          <w:rFonts w:eastAsia="Palatino Linotype"/>
          <w:sz w:val="22"/>
          <w:szCs w:val="22"/>
          <w:lang w:val="es-ES"/>
        </w:rPr>
        <w:t xml:space="preserve"> </w:t>
      </w:r>
      <w:proofErr w:type="spellStart"/>
      <w:r>
        <w:rPr>
          <w:rFonts w:eastAsia="Palatino Linotype"/>
          <w:sz w:val="22"/>
          <w:szCs w:val="22"/>
          <w:lang w:val="es-ES"/>
        </w:rPr>
        <w:t>will</w:t>
      </w:r>
      <w:proofErr w:type="spellEnd"/>
      <w:r>
        <w:rPr>
          <w:rFonts w:eastAsia="Palatino Linotype"/>
          <w:sz w:val="22"/>
          <w:szCs w:val="22"/>
          <w:lang w:val="es-ES"/>
        </w:rPr>
        <w:t xml:space="preserve"> be </w:t>
      </w:r>
      <w:proofErr w:type="spellStart"/>
      <w:r>
        <w:rPr>
          <w:rFonts w:eastAsia="Palatino Linotype"/>
          <w:sz w:val="22"/>
          <w:szCs w:val="22"/>
          <w:lang w:val="es-ES"/>
        </w:rPr>
        <w:t>signed</w:t>
      </w:r>
      <w:proofErr w:type="spellEnd"/>
      <w:r>
        <w:rPr>
          <w:rFonts w:eastAsia="Palatino Linotype"/>
          <w:sz w:val="22"/>
          <w:szCs w:val="22"/>
          <w:lang w:val="es-ES"/>
        </w:rPr>
        <w:t xml:space="preserve"> </w:t>
      </w:r>
      <w:proofErr w:type="spellStart"/>
      <w:r>
        <w:rPr>
          <w:rFonts w:eastAsia="Palatino Linotype"/>
          <w:sz w:val="22"/>
          <w:szCs w:val="22"/>
          <w:lang w:val="es-ES"/>
        </w:rPr>
        <w:t>by</w:t>
      </w:r>
      <w:proofErr w:type="spellEnd"/>
      <w:r>
        <w:rPr>
          <w:rFonts w:eastAsia="Palatino Linotype"/>
          <w:sz w:val="22"/>
          <w:szCs w:val="22"/>
          <w:lang w:val="es-ES"/>
        </w:rPr>
        <w:t xml:space="preserve"> </w:t>
      </w:r>
      <w:proofErr w:type="spellStart"/>
      <w:r>
        <w:rPr>
          <w:rFonts w:eastAsia="Palatino Linotype"/>
          <w:sz w:val="22"/>
          <w:szCs w:val="22"/>
          <w:lang w:val="es-ES"/>
        </w:rPr>
        <w:t>the</w:t>
      </w:r>
      <w:proofErr w:type="spellEnd"/>
      <w:r>
        <w:rPr>
          <w:rFonts w:eastAsia="Palatino Linotype"/>
          <w:sz w:val="22"/>
          <w:szCs w:val="22"/>
          <w:lang w:val="es-ES"/>
        </w:rPr>
        <w:t xml:space="preserve"> </w:t>
      </w:r>
      <w:proofErr w:type="spellStart"/>
      <w:r>
        <w:rPr>
          <w:rFonts w:eastAsia="Palatino Linotype"/>
          <w:sz w:val="22"/>
          <w:szCs w:val="22"/>
          <w:lang w:val="es-ES"/>
        </w:rPr>
        <w:t>acting</w:t>
      </w:r>
      <w:proofErr w:type="spellEnd"/>
      <w:r>
        <w:rPr>
          <w:rFonts w:eastAsia="Palatino Linotype"/>
          <w:sz w:val="22"/>
          <w:szCs w:val="22"/>
          <w:lang w:val="es-ES"/>
        </w:rPr>
        <w:t xml:space="preserve"> </w:t>
      </w:r>
      <w:proofErr w:type="spellStart"/>
      <w:r>
        <w:rPr>
          <w:rFonts w:eastAsia="Palatino Linotype"/>
          <w:sz w:val="22"/>
          <w:szCs w:val="22"/>
          <w:lang w:val="es-ES"/>
        </w:rPr>
        <w:t>officials</w:t>
      </w:r>
      <w:proofErr w:type="spellEnd"/>
      <w:r>
        <w:rPr>
          <w:rFonts w:eastAsia="Palatino Linotype"/>
          <w:sz w:val="22"/>
          <w:szCs w:val="22"/>
          <w:lang w:val="es-ES"/>
        </w:rPr>
        <w:t xml:space="preserve"> and </w:t>
      </w:r>
      <w:proofErr w:type="spellStart"/>
      <w:r>
        <w:rPr>
          <w:rFonts w:eastAsia="Palatino Linotype"/>
          <w:sz w:val="22"/>
          <w:szCs w:val="22"/>
          <w:lang w:val="es-ES"/>
        </w:rPr>
        <w:t>the</w:t>
      </w:r>
      <w:proofErr w:type="spellEnd"/>
      <w:r>
        <w:rPr>
          <w:rFonts w:eastAsia="Palatino Linotype"/>
          <w:sz w:val="22"/>
          <w:szCs w:val="22"/>
          <w:lang w:val="es-ES"/>
        </w:rPr>
        <w:t xml:space="preserve"> </w:t>
      </w:r>
      <w:proofErr w:type="spellStart"/>
      <w:r>
        <w:rPr>
          <w:rFonts w:eastAsia="Palatino Linotype"/>
          <w:sz w:val="22"/>
          <w:szCs w:val="22"/>
          <w:lang w:val="es-ES"/>
        </w:rPr>
        <w:t>bidders</w:t>
      </w:r>
      <w:proofErr w:type="spellEnd"/>
      <w:r>
        <w:rPr>
          <w:rFonts w:eastAsia="Palatino Linotype"/>
          <w:sz w:val="22"/>
          <w:szCs w:val="22"/>
          <w:lang w:val="es-ES"/>
        </w:rPr>
        <w:t xml:space="preserve"> </w:t>
      </w:r>
      <w:proofErr w:type="spellStart"/>
      <w:r>
        <w:rPr>
          <w:rFonts w:eastAsia="Palatino Linotype"/>
          <w:sz w:val="22"/>
          <w:szCs w:val="22"/>
          <w:lang w:val="es-ES"/>
        </w:rPr>
        <w:t>who</w:t>
      </w:r>
      <w:proofErr w:type="spellEnd"/>
      <w:r>
        <w:rPr>
          <w:rFonts w:eastAsia="Palatino Linotype"/>
          <w:sz w:val="22"/>
          <w:szCs w:val="22"/>
          <w:lang w:val="es-ES"/>
        </w:rPr>
        <w:t xml:space="preserve"> </w:t>
      </w:r>
      <w:proofErr w:type="spellStart"/>
      <w:r>
        <w:rPr>
          <w:rFonts w:eastAsia="Palatino Linotype"/>
          <w:sz w:val="22"/>
          <w:szCs w:val="22"/>
          <w:lang w:val="es-ES"/>
        </w:rPr>
        <w:t>have</w:t>
      </w:r>
      <w:proofErr w:type="spellEnd"/>
      <w:r>
        <w:rPr>
          <w:rFonts w:eastAsia="Palatino Linotype"/>
          <w:sz w:val="22"/>
          <w:szCs w:val="22"/>
          <w:lang w:val="es-ES"/>
        </w:rPr>
        <w:t xml:space="preserve"> </w:t>
      </w:r>
      <w:proofErr w:type="spellStart"/>
      <w:r>
        <w:rPr>
          <w:rFonts w:eastAsia="Palatino Linotype"/>
          <w:sz w:val="22"/>
          <w:szCs w:val="22"/>
          <w:lang w:val="es-ES"/>
        </w:rPr>
        <w:t>submitted</w:t>
      </w:r>
      <w:proofErr w:type="spellEnd"/>
      <w:r>
        <w:rPr>
          <w:rFonts w:eastAsia="Palatino Linotype"/>
          <w:sz w:val="22"/>
          <w:szCs w:val="22"/>
          <w:lang w:val="es-ES"/>
        </w:rPr>
        <w:t xml:space="preserve"> </w:t>
      </w:r>
      <w:proofErr w:type="spellStart"/>
      <w:r>
        <w:rPr>
          <w:rFonts w:eastAsia="Palatino Linotype"/>
          <w:sz w:val="22"/>
          <w:szCs w:val="22"/>
          <w:lang w:val="es-ES"/>
        </w:rPr>
        <w:t>records</w:t>
      </w:r>
      <w:proofErr w:type="spellEnd"/>
      <w:r>
        <w:rPr>
          <w:rFonts w:eastAsia="Palatino Linotype"/>
          <w:sz w:val="22"/>
          <w:szCs w:val="22"/>
          <w:lang w:val="es-ES"/>
        </w:rPr>
        <w:t xml:space="preserve"> </w:t>
      </w:r>
      <w:proofErr w:type="spellStart"/>
      <w:r>
        <w:rPr>
          <w:rFonts w:eastAsia="Palatino Linotype"/>
          <w:sz w:val="22"/>
          <w:szCs w:val="22"/>
          <w:lang w:val="es-ES"/>
        </w:rPr>
        <w:t>therein</w:t>
      </w:r>
      <w:proofErr w:type="spellEnd"/>
      <w:r>
        <w:rPr>
          <w:rFonts w:eastAsia="Palatino Linotype"/>
          <w:sz w:val="22"/>
          <w:szCs w:val="22"/>
          <w:lang w:val="es-ES"/>
        </w:rPr>
        <w:t xml:space="preserve">, as </w:t>
      </w:r>
      <w:proofErr w:type="spellStart"/>
      <w:r>
        <w:rPr>
          <w:rFonts w:eastAsia="Palatino Linotype"/>
          <w:sz w:val="22"/>
          <w:szCs w:val="22"/>
          <w:lang w:val="es-ES"/>
        </w:rPr>
        <w:t>well</w:t>
      </w:r>
      <w:proofErr w:type="spellEnd"/>
      <w:r>
        <w:rPr>
          <w:rFonts w:eastAsia="Palatino Linotype"/>
          <w:sz w:val="22"/>
          <w:szCs w:val="22"/>
          <w:lang w:val="es-ES"/>
        </w:rPr>
        <w:t xml:space="preserve"> as </w:t>
      </w:r>
      <w:proofErr w:type="spellStart"/>
      <w:r>
        <w:rPr>
          <w:rFonts w:eastAsia="Palatino Linotype"/>
          <w:sz w:val="22"/>
          <w:szCs w:val="22"/>
          <w:lang w:val="es-ES"/>
        </w:rPr>
        <w:t>by</w:t>
      </w:r>
      <w:proofErr w:type="spellEnd"/>
      <w:r>
        <w:rPr>
          <w:rFonts w:eastAsia="Palatino Linotype"/>
          <w:sz w:val="22"/>
          <w:szCs w:val="22"/>
          <w:lang w:val="es-ES"/>
        </w:rPr>
        <w:t xml:space="preserve"> </w:t>
      </w:r>
      <w:proofErr w:type="spellStart"/>
      <w:r>
        <w:rPr>
          <w:rFonts w:eastAsia="Palatino Linotype"/>
          <w:sz w:val="22"/>
          <w:szCs w:val="22"/>
          <w:lang w:val="es-ES"/>
        </w:rPr>
        <w:t>the</w:t>
      </w:r>
      <w:proofErr w:type="spellEnd"/>
      <w:r>
        <w:rPr>
          <w:rFonts w:eastAsia="Palatino Linotype"/>
          <w:sz w:val="22"/>
          <w:szCs w:val="22"/>
          <w:lang w:val="es-ES"/>
        </w:rPr>
        <w:t xml:space="preserve"> </w:t>
      </w:r>
      <w:proofErr w:type="spellStart"/>
      <w:r>
        <w:rPr>
          <w:rFonts w:eastAsia="Palatino Linotype"/>
          <w:sz w:val="22"/>
          <w:szCs w:val="22"/>
          <w:lang w:val="es-ES"/>
        </w:rPr>
        <w:t>other</w:t>
      </w:r>
      <w:proofErr w:type="spellEnd"/>
      <w:r>
        <w:rPr>
          <w:rFonts w:eastAsia="Palatino Linotype"/>
          <w:sz w:val="22"/>
          <w:szCs w:val="22"/>
          <w:lang w:val="es-ES"/>
        </w:rPr>
        <w:t xml:space="preserve"> </w:t>
      </w:r>
      <w:proofErr w:type="spellStart"/>
      <w:r>
        <w:rPr>
          <w:rFonts w:eastAsia="Palatino Linotype"/>
          <w:sz w:val="22"/>
          <w:szCs w:val="22"/>
          <w:lang w:val="es-ES"/>
        </w:rPr>
        <w:t>bidders</w:t>
      </w:r>
      <w:proofErr w:type="spellEnd"/>
      <w:r>
        <w:rPr>
          <w:rFonts w:eastAsia="Palatino Linotype"/>
          <w:sz w:val="22"/>
          <w:szCs w:val="22"/>
          <w:lang w:val="es-ES"/>
        </w:rPr>
        <w:t xml:space="preserve"> </w:t>
      </w:r>
      <w:proofErr w:type="spellStart"/>
      <w:r>
        <w:rPr>
          <w:rFonts w:eastAsia="Palatino Linotype"/>
          <w:sz w:val="22"/>
          <w:szCs w:val="22"/>
          <w:lang w:val="es-ES"/>
        </w:rPr>
        <w:t>who</w:t>
      </w:r>
      <w:proofErr w:type="spellEnd"/>
      <w:r>
        <w:rPr>
          <w:rFonts w:eastAsia="Palatino Linotype"/>
          <w:sz w:val="22"/>
          <w:szCs w:val="22"/>
          <w:lang w:val="es-ES"/>
        </w:rPr>
        <w:t xml:space="preserve"> </w:t>
      </w:r>
      <w:proofErr w:type="spellStart"/>
      <w:r>
        <w:rPr>
          <w:rFonts w:eastAsia="Palatino Linotype"/>
          <w:sz w:val="22"/>
          <w:szCs w:val="22"/>
          <w:lang w:val="es-ES"/>
        </w:rPr>
        <w:t>wish</w:t>
      </w:r>
      <w:proofErr w:type="spellEnd"/>
      <w:r>
        <w:rPr>
          <w:rFonts w:eastAsia="Palatino Linotype"/>
          <w:sz w:val="22"/>
          <w:szCs w:val="22"/>
          <w:lang w:val="es-ES"/>
        </w:rPr>
        <w:t xml:space="preserve"> </w:t>
      </w:r>
      <w:proofErr w:type="spellStart"/>
      <w:r>
        <w:rPr>
          <w:rFonts w:eastAsia="Palatino Linotype"/>
          <w:sz w:val="22"/>
          <w:szCs w:val="22"/>
          <w:lang w:val="es-ES"/>
        </w:rPr>
        <w:t>to</w:t>
      </w:r>
      <w:proofErr w:type="spellEnd"/>
      <w:r>
        <w:rPr>
          <w:rFonts w:eastAsia="Palatino Linotype"/>
          <w:sz w:val="22"/>
          <w:szCs w:val="22"/>
          <w:lang w:val="es-ES"/>
        </w:rPr>
        <w:t xml:space="preserve"> do so.</w:t>
      </w:r>
    </w:p>
    <w:p w14:paraId="0688E138" w14:textId="77777777" w:rsidR="00E255F4" w:rsidRDefault="00E255F4">
      <w:pPr>
        <w:ind w:right="-142"/>
        <w:jc w:val="both"/>
        <w:rPr>
          <w:rFonts w:eastAsia="Palatino Linotype"/>
          <w:sz w:val="22"/>
          <w:szCs w:val="22"/>
          <w:lang w:val="es-ES"/>
        </w:rPr>
      </w:pPr>
    </w:p>
    <w:p w14:paraId="4C34CE13" w14:textId="77777777" w:rsidR="00E255F4" w:rsidRDefault="00000000">
      <w:pPr>
        <w:spacing w:after="240"/>
        <w:ind w:right="-142"/>
        <w:jc w:val="both"/>
        <w:outlineLvl w:val="0"/>
        <w:rPr>
          <w:rFonts w:eastAsia="Palatino Linotype"/>
          <w:b/>
          <w:spacing w:val="-1"/>
          <w:sz w:val="22"/>
          <w:szCs w:val="22"/>
          <w:lang w:val="es-ES"/>
        </w:rPr>
      </w:pPr>
      <w:bookmarkStart w:id="37" w:name="__RefHeading___Toc225377214"/>
      <w:bookmarkEnd w:id="37"/>
      <w:r>
        <w:rPr>
          <w:rFonts w:eastAsia="Palatino Linotype"/>
          <w:b/>
          <w:spacing w:val="-1"/>
          <w:sz w:val="22"/>
          <w:szCs w:val="22"/>
          <w:lang w:val="es-ES"/>
        </w:rPr>
        <w:t xml:space="preserve">13 </w:t>
      </w:r>
      <w:proofErr w:type="spellStart"/>
      <w:r>
        <w:rPr>
          <w:rFonts w:eastAsia="Palatino Linotype"/>
          <w:b/>
          <w:spacing w:val="-1"/>
          <w:sz w:val="22"/>
          <w:szCs w:val="22"/>
          <w:lang w:val="es-ES"/>
        </w:rPr>
        <w:t>Defects</w:t>
      </w:r>
      <w:proofErr w:type="spellEnd"/>
      <w:r>
        <w:rPr>
          <w:rFonts w:eastAsia="Palatino Linotype"/>
          <w:b/>
          <w:spacing w:val="-1"/>
          <w:sz w:val="22"/>
          <w:szCs w:val="22"/>
          <w:lang w:val="es-ES"/>
        </w:rPr>
        <w:t xml:space="preserve">, </w:t>
      </w:r>
      <w:proofErr w:type="spellStart"/>
      <w:r>
        <w:rPr>
          <w:rFonts w:eastAsia="Palatino Linotype"/>
          <w:b/>
          <w:spacing w:val="-1"/>
          <w:sz w:val="22"/>
          <w:szCs w:val="22"/>
          <w:lang w:val="es-ES"/>
        </w:rPr>
        <w:t>shortcomings</w:t>
      </w:r>
      <w:proofErr w:type="spellEnd"/>
      <w:r>
        <w:rPr>
          <w:rFonts w:eastAsia="Palatino Linotype"/>
          <w:b/>
          <w:spacing w:val="-1"/>
          <w:sz w:val="22"/>
          <w:szCs w:val="22"/>
          <w:lang w:val="es-ES"/>
        </w:rPr>
        <w:t xml:space="preserve"> </w:t>
      </w:r>
      <w:proofErr w:type="spellStart"/>
      <w:r>
        <w:rPr>
          <w:rFonts w:eastAsia="Palatino Linotype"/>
          <w:b/>
          <w:spacing w:val="-1"/>
          <w:sz w:val="22"/>
          <w:szCs w:val="22"/>
          <w:lang w:val="es-ES"/>
        </w:rPr>
        <w:t>or</w:t>
      </w:r>
      <w:proofErr w:type="spellEnd"/>
      <w:r>
        <w:rPr>
          <w:rFonts w:eastAsia="Palatino Linotype"/>
          <w:b/>
          <w:spacing w:val="-1"/>
          <w:sz w:val="22"/>
          <w:szCs w:val="22"/>
          <w:lang w:val="es-ES"/>
        </w:rPr>
        <w:t xml:space="preserve"> </w:t>
      </w:r>
      <w:proofErr w:type="spellStart"/>
      <w:r>
        <w:rPr>
          <w:rFonts w:eastAsia="Palatino Linotype"/>
          <w:b/>
          <w:spacing w:val="-1"/>
          <w:sz w:val="22"/>
          <w:szCs w:val="22"/>
          <w:lang w:val="es-ES"/>
        </w:rPr>
        <w:t>errors</w:t>
      </w:r>
      <w:proofErr w:type="spellEnd"/>
      <w:r>
        <w:rPr>
          <w:rFonts w:eastAsia="Palatino Linotype"/>
          <w:b/>
          <w:spacing w:val="-1"/>
          <w:sz w:val="22"/>
          <w:szCs w:val="22"/>
          <w:lang w:val="es-ES"/>
        </w:rPr>
        <w:t xml:space="preserve"> in </w:t>
      </w:r>
      <w:proofErr w:type="spellStart"/>
      <w:r>
        <w:rPr>
          <w:rFonts w:eastAsia="Palatino Linotype"/>
          <w:b/>
          <w:spacing w:val="-1"/>
          <w:sz w:val="22"/>
          <w:szCs w:val="22"/>
          <w:lang w:val="es-ES"/>
        </w:rPr>
        <w:t>the</w:t>
      </w:r>
      <w:proofErr w:type="spellEnd"/>
      <w:r>
        <w:rPr>
          <w:rFonts w:eastAsia="Palatino Linotype"/>
          <w:b/>
          <w:spacing w:val="-1"/>
          <w:sz w:val="22"/>
          <w:szCs w:val="22"/>
          <w:lang w:val="es-ES"/>
        </w:rPr>
        <w:t xml:space="preserve"> </w:t>
      </w:r>
      <w:proofErr w:type="spellStart"/>
      <w:r>
        <w:rPr>
          <w:rFonts w:eastAsia="Palatino Linotype"/>
          <w:b/>
          <w:spacing w:val="-1"/>
          <w:sz w:val="22"/>
          <w:szCs w:val="22"/>
          <w:lang w:val="es-ES"/>
        </w:rPr>
        <w:t>offers</w:t>
      </w:r>
      <w:proofErr w:type="spellEnd"/>
      <w:r>
        <w:rPr>
          <w:rFonts w:eastAsia="Palatino Linotype"/>
          <w:b/>
          <w:spacing w:val="-1"/>
          <w:sz w:val="22"/>
          <w:szCs w:val="22"/>
          <w:lang w:val="es-ES"/>
        </w:rPr>
        <w:tab/>
      </w:r>
    </w:p>
    <w:p w14:paraId="20D2999A" w14:textId="77777777" w:rsidR="00E255F4" w:rsidRDefault="00000000">
      <w:pPr>
        <w:ind w:right="-142"/>
        <w:jc w:val="both"/>
        <w:rPr>
          <w:rFonts w:eastAsia="Palatino Linotype"/>
          <w:sz w:val="22"/>
          <w:szCs w:val="22"/>
          <w:lang w:val="es-ES"/>
        </w:rPr>
      </w:pPr>
      <w:proofErr w:type="spellStart"/>
      <w:r>
        <w:rPr>
          <w:rFonts w:eastAsia="Palatino Linotype"/>
          <w:spacing w:val="1"/>
          <w:sz w:val="22"/>
          <w:szCs w:val="22"/>
          <w:lang w:val="es-ES"/>
        </w:rPr>
        <w:t>L</w:t>
      </w:r>
      <w:r>
        <w:rPr>
          <w:rFonts w:eastAsia="Palatino Linotype"/>
          <w:sz w:val="22"/>
          <w:szCs w:val="22"/>
          <w:lang w:val="es-ES"/>
        </w:rPr>
        <w:t>The</w:t>
      </w:r>
      <w:proofErr w:type="spellEnd"/>
      <w:r>
        <w:rPr>
          <w:rFonts w:eastAsia="Palatino Linotype"/>
          <w:sz w:val="22"/>
          <w:szCs w:val="22"/>
          <w:lang w:val="es-ES"/>
        </w:rPr>
        <w:t xml:space="preserve"> </w:t>
      </w:r>
      <w:proofErr w:type="spellStart"/>
      <w:r>
        <w:rPr>
          <w:rFonts w:eastAsia="Palatino Linotype"/>
          <w:sz w:val="22"/>
          <w:szCs w:val="22"/>
          <w:lang w:val="es-ES"/>
        </w:rPr>
        <w:t>Administration</w:t>
      </w:r>
      <w:proofErr w:type="spellEnd"/>
      <w:r>
        <w:rPr>
          <w:rFonts w:eastAsia="Palatino Linotype"/>
          <w:sz w:val="22"/>
          <w:szCs w:val="22"/>
          <w:lang w:val="es-ES"/>
        </w:rPr>
        <w:t xml:space="preserve"> </w:t>
      </w:r>
      <w:proofErr w:type="spellStart"/>
      <w:r>
        <w:rPr>
          <w:rFonts w:eastAsia="Palatino Linotype"/>
          <w:sz w:val="22"/>
          <w:szCs w:val="22"/>
          <w:lang w:val="es-ES"/>
        </w:rPr>
        <w:t>may</w:t>
      </w:r>
      <w:proofErr w:type="spellEnd"/>
      <w:r>
        <w:rPr>
          <w:rFonts w:eastAsia="Palatino Linotype"/>
          <w:sz w:val="22"/>
          <w:szCs w:val="22"/>
          <w:lang w:val="es-ES"/>
        </w:rPr>
        <w:t xml:space="preserve"> </w:t>
      </w:r>
      <w:proofErr w:type="spellStart"/>
      <w:r>
        <w:rPr>
          <w:rFonts w:eastAsia="Palatino Linotype"/>
          <w:sz w:val="22"/>
          <w:szCs w:val="22"/>
          <w:lang w:val="es-ES"/>
        </w:rPr>
        <w:t>grant</w:t>
      </w:r>
      <w:proofErr w:type="spellEnd"/>
      <w:r>
        <w:rPr>
          <w:rFonts w:eastAsia="Palatino Linotype"/>
          <w:sz w:val="22"/>
          <w:szCs w:val="22"/>
          <w:lang w:val="es-ES"/>
        </w:rPr>
        <w:t xml:space="preserve"> </w:t>
      </w:r>
      <w:proofErr w:type="spellStart"/>
      <w:r>
        <w:rPr>
          <w:rFonts w:eastAsia="Palatino Linotype"/>
          <w:sz w:val="22"/>
          <w:szCs w:val="22"/>
          <w:lang w:val="es-ES"/>
        </w:rPr>
        <w:t>proponents</w:t>
      </w:r>
      <w:proofErr w:type="spellEnd"/>
      <w:r>
        <w:rPr>
          <w:rFonts w:eastAsia="Palatino Linotype"/>
          <w:sz w:val="22"/>
          <w:szCs w:val="22"/>
          <w:lang w:val="es-ES"/>
        </w:rPr>
        <w:t xml:space="preserve"> a </w:t>
      </w:r>
      <w:proofErr w:type="spellStart"/>
      <w:r>
        <w:rPr>
          <w:rFonts w:eastAsia="Palatino Linotype"/>
          <w:sz w:val="22"/>
          <w:szCs w:val="22"/>
          <w:lang w:val="es-ES"/>
        </w:rPr>
        <w:t>maximum</w:t>
      </w:r>
      <w:proofErr w:type="spellEnd"/>
      <w:r>
        <w:rPr>
          <w:rFonts w:eastAsia="Palatino Linotype"/>
          <w:sz w:val="22"/>
          <w:szCs w:val="22"/>
          <w:lang w:val="es-ES"/>
        </w:rPr>
        <w:t xml:space="preserve"> </w:t>
      </w:r>
      <w:proofErr w:type="spellStart"/>
      <w:r>
        <w:rPr>
          <w:rFonts w:eastAsia="Palatino Linotype"/>
          <w:sz w:val="22"/>
          <w:szCs w:val="22"/>
          <w:lang w:val="es-ES"/>
        </w:rPr>
        <w:t>period</w:t>
      </w:r>
      <w:proofErr w:type="spellEnd"/>
      <w:r>
        <w:rPr>
          <w:rFonts w:eastAsia="Palatino Linotype"/>
          <w:sz w:val="22"/>
          <w:szCs w:val="22"/>
          <w:lang w:val="es-ES"/>
        </w:rPr>
        <w:t xml:space="preserve"> </w:t>
      </w:r>
      <w:proofErr w:type="spellStart"/>
      <w:r>
        <w:rPr>
          <w:rFonts w:eastAsia="Palatino Linotype"/>
          <w:sz w:val="22"/>
          <w:szCs w:val="22"/>
          <w:lang w:val="es-ES"/>
        </w:rPr>
        <w:t>of</w:t>
      </w:r>
      <w:proofErr w:type="spellEnd"/>
      <w:r>
        <w:rPr>
          <w:rFonts w:eastAsia="Palatino Linotype"/>
          <w:sz w:val="22"/>
          <w:szCs w:val="22"/>
          <w:lang w:val="es-ES"/>
        </w:rPr>
        <w:t xml:space="preserve"> </w:t>
      </w:r>
      <w:proofErr w:type="spellStart"/>
      <w:r>
        <w:rPr>
          <w:rFonts w:eastAsia="Palatino Linotype"/>
          <w:sz w:val="22"/>
          <w:szCs w:val="22"/>
          <w:lang w:val="es-ES"/>
        </w:rPr>
        <w:t>two</w:t>
      </w:r>
      <w:proofErr w:type="spellEnd"/>
      <w:r>
        <w:rPr>
          <w:rFonts w:eastAsia="Palatino Linotype"/>
          <w:sz w:val="22"/>
          <w:szCs w:val="22"/>
          <w:lang w:val="es-ES"/>
        </w:rPr>
        <w:t xml:space="preserve"> </w:t>
      </w:r>
      <w:proofErr w:type="spellStart"/>
      <w:r>
        <w:rPr>
          <w:rFonts w:eastAsia="Palatino Linotype"/>
          <w:sz w:val="22"/>
          <w:szCs w:val="22"/>
          <w:lang w:val="es-ES"/>
        </w:rPr>
        <w:t>days</w:t>
      </w:r>
      <w:proofErr w:type="spellEnd"/>
      <w:r>
        <w:rPr>
          <w:rFonts w:eastAsia="Palatino Linotype"/>
          <w:sz w:val="22"/>
          <w:szCs w:val="22"/>
          <w:lang w:val="es-ES"/>
        </w:rPr>
        <w:t xml:space="preserve"> </w:t>
      </w:r>
      <w:proofErr w:type="spellStart"/>
      <w:r>
        <w:rPr>
          <w:rFonts w:eastAsia="Palatino Linotype"/>
          <w:sz w:val="22"/>
          <w:szCs w:val="22"/>
          <w:lang w:val="es-ES"/>
        </w:rPr>
        <w:t>to</w:t>
      </w:r>
      <w:proofErr w:type="spellEnd"/>
      <w:r>
        <w:rPr>
          <w:rFonts w:eastAsia="Palatino Linotype"/>
          <w:sz w:val="22"/>
          <w:szCs w:val="22"/>
          <w:lang w:val="es-ES"/>
        </w:rPr>
        <w:t xml:space="preserve"> </w:t>
      </w:r>
      <w:proofErr w:type="spellStart"/>
      <w:r>
        <w:rPr>
          <w:rFonts w:eastAsia="Palatino Linotype"/>
          <w:sz w:val="22"/>
          <w:szCs w:val="22"/>
          <w:lang w:val="es-ES"/>
        </w:rPr>
        <w:t>remedy</w:t>
      </w:r>
      <w:proofErr w:type="spellEnd"/>
      <w:r>
        <w:rPr>
          <w:rFonts w:eastAsia="Palatino Linotype"/>
          <w:sz w:val="22"/>
          <w:szCs w:val="22"/>
          <w:lang w:val="es-ES"/>
        </w:rPr>
        <w:t xml:space="preserve"> </w:t>
      </w:r>
      <w:proofErr w:type="spellStart"/>
      <w:r>
        <w:rPr>
          <w:rFonts w:eastAsia="Palatino Linotype"/>
          <w:sz w:val="22"/>
          <w:szCs w:val="22"/>
          <w:lang w:val="es-ES"/>
        </w:rPr>
        <w:t>defects</w:t>
      </w:r>
      <w:proofErr w:type="spellEnd"/>
      <w:r>
        <w:rPr>
          <w:rFonts w:eastAsia="Palatino Linotype"/>
          <w:sz w:val="22"/>
          <w:szCs w:val="22"/>
          <w:lang w:val="es-ES"/>
        </w:rPr>
        <w:t xml:space="preserve">, formal </w:t>
      </w:r>
      <w:proofErr w:type="spellStart"/>
      <w:r>
        <w:rPr>
          <w:rFonts w:eastAsia="Palatino Linotype"/>
          <w:sz w:val="22"/>
          <w:szCs w:val="22"/>
          <w:lang w:val="es-ES"/>
        </w:rPr>
        <w:t>deficiencies</w:t>
      </w:r>
      <w:proofErr w:type="spellEnd"/>
      <w:r>
        <w:rPr>
          <w:rFonts w:eastAsia="Palatino Linotype"/>
          <w:sz w:val="22"/>
          <w:szCs w:val="22"/>
          <w:lang w:val="es-ES"/>
        </w:rPr>
        <w:t xml:space="preserve"> </w:t>
      </w:r>
      <w:proofErr w:type="spellStart"/>
      <w:r>
        <w:rPr>
          <w:rFonts w:eastAsia="Palatino Linotype"/>
          <w:sz w:val="22"/>
          <w:szCs w:val="22"/>
          <w:lang w:val="es-ES"/>
        </w:rPr>
        <w:t>or</w:t>
      </w:r>
      <w:proofErr w:type="spellEnd"/>
      <w:r>
        <w:rPr>
          <w:rFonts w:eastAsia="Palatino Linotype"/>
          <w:sz w:val="22"/>
          <w:szCs w:val="22"/>
          <w:lang w:val="es-ES"/>
        </w:rPr>
        <w:t xml:space="preserve"> </w:t>
      </w:r>
      <w:proofErr w:type="spellStart"/>
      <w:r>
        <w:rPr>
          <w:rFonts w:eastAsia="Palatino Linotype"/>
          <w:sz w:val="22"/>
          <w:szCs w:val="22"/>
          <w:lang w:val="es-ES"/>
        </w:rPr>
        <w:t>obvious</w:t>
      </w:r>
      <w:proofErr w:type="spellEnd"/>
      <w:r>
        <w:rPr>
          <w:rFonts w:eastAsia="Palatino Linotype"/>
          <w:sz w:val="22"/>
          <w:szCs w:val="22"/>
          <w:lang w:val="es-ES"/>
        </w:rPr>
        <w:t xml:space="preserve"> </w:t>
      </w:r>
      <w:proofErr w:type="spellStart"/>
      <w:r>
        <w:rPr>
          <w:rFonts w:eastAsia="Palatino Linotype"/>
          <w:sz w:val="22"/>
          <w:szCs w:val="22"/>
          <w:lang w:val="es-ES"/>
        </w:rPr>
        <w:t>or</w:t>
      </w:r>
      <w:proofErr w:type="spellEnd"/>
      <w:r>
        <w:rPr>
          <w:rFonts w:eastAsia="Palatino Linotype"/>
          <w:sz w:val="22"/>
          <w:szCs w:val="22"/>
          <w:lang w:val="es-ES"/>
        </w:rPr>
        <w:t xml:space="preserve"> </w:t>
      </w:r>
      <w:proofErr w:type="spellStart"/>
      <w:r>
        <w:rPr>
          <w:rFonts w:eastAsia="Palatino Linotype"/>
          <w:sz w:val="22"/>
          <w:szCs w:val="22"/>
          <w:lang w:val="es-ES"/>
        </w:rPr>
        <w:t>minor</w:t>
      </w:r>
      <w:proofErr w:type="spellEnd"/>
      <w:r>
        <w:rPr>
          <w:rFonts w:eastAsia="Palatino Linotype"/>
          <w:sz w:val="22"/>
          <w:szCs w:val="22"/>
          <w:lang w:val="es-ES"/>
        </w:rPr>
        <w:t xml:space="preserve"> </w:t>
      </w:r>
      <w:proofErr w:type="spellStart"/>
      <w:r>
        <w:rPr>
          <w:rFonts w:eastAsia="Palatino Linotype"/>
          <w:sz w:val="22"/>
          <w:szCs w:val="22"/>
          <w:lang w:val="es-ES"/>
        </w:rPr>
        <w:t>errors</w:t>
      </w:r>
      <w:proofErr w:type="spellEnd"/>
      <w:r>
        <w:rPr>
          <w:rFonts w:eastAsia="Palatino Linotype"/>
          <w:sz w:val="22"/>
          <w:szCs w:val="22"/>
          <w:lang w:val="es-ES"/>
        </w:rPr>
        <w:t xml:space="preserve">; </w:t>
      </w:r>
      <w:proofErr w:type="spellStart"/>
      <w:r>
        <w:rPr>
          <w:rFonts w:eastAsia="Palatino Linotype"/>
          <w:sz w:val="22"/>
          <w:szCs w:val="22"/>
          <w:lang w:val="es-ES"/>
        </w:rPr>
        <w:t>this</w:t>
      </w:r>
      <w:proofErr w:type="spellEnd"/>
      <w:r>
        <w:rPr>
          <w:rFonts w:eastAsia="Palatino Linotype"/>
          <w:sz w:val="22"/>
          <w:szCs w:val="22"/>
          <w:lang w:val="es-ES"/>
        </w:rPr>
        <w:t xml:space="preserve"> </w:t>
      </w:r>
      <w:proofErr w:type="spellStart"/>
      <w:r>
        <w:rPr>
          <w:rFonts w:eastAsia="Palatino Linotype"/>
          <w:sz w:val="22"/>
          <w:szCs w:val="22"/>
          <w:lang w:val="es-ES"/>
        </w:rPr>
        <w:t>period</w:t>
      </w:r>
      <w:proofErr w:type="spellEnd"/>
      <w:r>
        <w:rPr>
          <w:rFonts w:eastAsia="Palatino Linotype"/>
          <w:sz w:val="22"/>
          <w:szCs w:val="22"/>
          <w:lang w:val="es-ES"/>
        </w:rPr>
        <w:t xml:space="preserve"> </w:t>
      </w:r>
      <w:proofErr w:type="spellStart"/>
      <w:r>
        <w:rPr>
          <w:rFonts w:eastAsia="Palatino Linotype"/>
          <w:sz w:val="22"/>
          <w:szCs w:val="22"/>
          <w:lang w:val="es-ES"/>
        </w:rPr>
        <w:t>may</w:t>
      </w:r>
      <w:proofErr w:type="spellEnd"/>
      <w:r>
        <w:rPr>
          <w:rFonts w:eastAsia="Palatino Linotype"/>
          <w:sz w:val="22"/>
          <w:szCs w:val="22"/>
          <w:lang w:val="es-ES"/>
        </w:rPr>
        <w:t xml:space="preserve"> be extended </w:t>
      </w:r>
      <w:proofErr w:type="spellStart"/>
      <w:r>
        <w:rPr>
          <w:rFonts w:eastAsia="Palatino Linotype"/>
          <w:sz w:val="22"/>
          <w:szCs w:val="22"/>
          <w:lang w:val="es-ES"/>
        </w:rPr>
        <w:t>for</w:t>
      </w:r>
      <w:proofErr w:type="spellEnd"/>
      <w:r>
        <w:rPr>
          <w:rFonts w:eastAsia="Palatino Linotype"/>
          <w:sz w:val="22"/>
          <w:szCs w:val="22"/>
          <w:lang w:val="es-ES"/>
        </w:rPr>
        <w:t xml:space="preserve"> </w:t>
      </w:r>
      <w:proofErr w:type="spellStart"/>
      <w:r>
        <w:rPr>
          <w:rFonts w:eastAsia="Palatino Linotype"/>
          <w:sz w:val="22"/>
          <w:szCs w:val="22"/>
          <w:lang w:val="es-ES"/>
        </w:rPr>
        <w:t>suppliers</w:t>
      </w:r>
      <w:proofErr w:type="spellEnd"/>
      <w:r>
        <w:rPr>
          <w:rFonts w:eastAsia="Palatino Linotype"/>
          <w:sz w:val="22"/>
          <w:szCs w:val="22"/>
          <w:lang w:val="es-ES"/>
        </w:rPr>
        <w:t xml:space="preserve"> </w:t>
      </w:r>
      <w:proofErr w:type="spellStart"/>
      <w:r>
        <w:rPr>
          <w:rFonts w:eastAsia="Palatino Linotype"/>
          <w:sz w:val="22"/>
          <w:szCs w:val="22"/>
          <w:lang w:val="es-ES"/>
        </w:rPr>
        <w:t>from</w:t>
      </w:r>
      <w:proofErr w:type="spellEnd"/>
      <w:r>
        <w:rPr>
          <w:rFonts w:eastAsia="Palatino Linotype"/>
          <w:sz w:val="22"/>
          <w:szCs w:val="22"/>
          <w:lang w:val="es-ES"/>
        </w:rPr>
        <w:t xml:space="preserve"> </w:t>
      </w:r>
      <w:proofErr w:type="spellStart"/>
      <w:r>
        <w:rPr>
          <w:rFonts w:eastAsia="Palatino Linotype"/>
          <w:sz w:val="22"/>
          <w:szCs w:val="22"/>
          <w:lang w:val="es-ES"/>
        </w:rPr>
        <w:t>abroad</w:t>
      </w:r>
      <w:proofErr w:type="spellEnd"/>
      <w:r>
        <w:rPr>
          <w:rFonts w:eastAsia="Palatino Linotype"/>
          <w:sz w:val="22"/>
          <w:szCs w:val="22"/>
          <w:lang w:val="es-ES"/>
        </w:rPr>
        <w:t xml:space="preserve"> and in </w:t>
      </w:r>
      <w:proofErr w:type="spellStart"/>
      <w:r>
        <w:rPr>
          <w:rFonts w:eastAsia="Palatino Linotype"/>
          <w:sz w:val="22"/>
          <w:szCs w:val="22"/>
          <w:lang w:val="es-ES"/>
        </w:rPr>
        <w:t>that</w:t>
      </w:r>
      <w:proofErr w:type="spellEnd"/>
      <w:r>
        <w:rPr>
          <w:rFonts w:eastAsia="Palatino Linotype"/>
          <w:sz w:val="22"/>
          <w:szCs w:val="22"/>
          <w:lang w:val="es-ES"/>
        </w:rPr>
        <w:t xml:space="preserve"> case </w:t>
      </w:r>
      <w:proofErr w:type="spellStart"/>
      <w:r>
        <w:rPr>
          <w:rFonts w:eastAsia="Palatino Linotype"/>
          <w:sz w:val="22"/>
          <w:szCs w:val="22"/>
          <w:lang w:val="es-ES"/>
        </w:rPr>
        <w:t>it</w:t>
      </w:r>
      <w:proofErr w:type="spellEnd"/>
      <w:r>
        <w:rPr>
          <w:rFonts w:eastAsia="Palatino Linotype"/>
          <w:sz w:val="22"/>
          <w:szCs w:val="22"/>
          <w:lang w:val="es-ES"/>
        </w:rPr>
        <w:t xml:space="preserve"> </w:t>
      </w:r>
      <w:proofErr w:type="spellStart"/>
      <w:r>
        <w:rPr>
          <w:rFonts w:eastAsia="Palatino Linotype"/>
          <w:sz w:val="22"/>
          <w:szCs w:val="22"/>
          <w:lang w:val="es-ES"/>
        </w:rPr>
        <w:t>will</w:t>
      </w:r>
      <w:proofErr w:type="spellEnd"/>
      <w:r>
        <w:rPr>
          <w:rFonts w:eastAsia="Palatino Linotype"/>
          <w:sz w:val="22"/>
          <w:szCs w:val="22"/>
          <w:lang w:val="es-ES"/>
        </w:rPr>
        <w:t xml:space="preserve"> </w:t>
      </w:r>
      <w:proofErr w:type="spellStart"/>
      <w:r>
        <w:rPr>
          <w:rFonts w:eastAsia="Palatino Linotype"/>
          <w:sz w:val="22"/>
          <w:szCs w:val="22"/>
          <w:lang w:val="es-ES"/>
        </w:rPr>
        <w:t>apply</w:t>
      </w:r>
      <w:proofErr w:type="spellEnd"/>
      <w:r>
        <w:rPr>
          <w:rFonts w:eastAsia="Palatino Linotype"/>
          <w:sz w:val="22"/>
          <w:szCs w:val="22"/>
          <w:lang w:val="es-ES"/>
        </w:rPr>
        <w:t xml:space="preserve"> </w:t>
      </w:r>
      <w:proofErr w:type="spellStart"/>
      <w:r>
        <w:rPr>
          <w:rFonts w:eastAsia="Palatino Linotype"/>
          <w:sz w:val="22"/>
          <w:szCs w:val="22"/>
          <w:lang w:val="es-ES"/>
        </w:rPr>
        <w:t>to</w:t>
      </w:r>
      <w:proofErr w:type="spellEnd"/>
      <w:r>
        <w:rPr>
          <w:rFonts w:eastAsia="Palatino Linotype"/>
          <w:sz w:val="22"/>
          <w:szCs w:val="22"/>
          <w:lang w:val="es-ES"/>
        </w:rPr>
        <w:t xml:space="preserve"> </w:t>
      </w:r>
      <w:proofErr w:type="spellStart"/>
      <w:r>
        <w:rPr>
          <w:rFonts w:eastAsia="Palatino Linotype"/>
          <w:sz w:val="22"/>
          <w:szCs w:val="22"/>
          <w:lang w:val="es-ES"/>
        </w:rPr>
        <w:t>all</w:t>
      </w:r>
      <w:proofErr w:type="spellEnd"/>
      <w:r>
        <w:rPr>
          <w:rFonts w:eastAsia="Palatino Linotype"/>
          <w:sz w:val="22"/>
          <w:szCs w:val="22"/>
          <w:lang w:val="es-ES"/>
        </w:rPr>
        <w:t xml:space="preserve"> </w:t>
      </w:r>
      <w:proofErr w:type="spellStart"/>
      <w:r>
        <w:rPr>
          <w:rFonts w:eastAsia="Palatino Linotype"/>
          <w:sz w:val="22"/>
          <w:szCs w:val="22"/>
          <w:lang w:val="es-ES"/>
        </w:rPr>
        <w:t>bidders</w:t>
      </w:r>
      <w:proofErr w:type="spellEnd"/>
      <w:r>
        <w:rPr>
          <w:rFonts w:eastAsia="Palatino Linotype"/>
          <w:sz w:val="22"/>
          <w:szCs w:val="22"/>
          <w:lang w:val="es-ES"/>
        </w:rPr>
        <w:t>.</w:t>
      </w:r>
    </w:p>
    <w:p w14:paraId="4A5B7599" w14:textId="77777777" w:rsidR="00E255F4" w:rsidRDefault="00E255F4">
      <w:pPr>
        <w:ind w:right="-142"/>
        <w:jc w:val="both"/>
        <w:rPr>
          <w:rFonts w:eastAsia="Palatino Linotype"/>
          <w:spacing w:val="-1"/>
          <w:sz w:val="22"/>
          <w:szCs w:val="22"/>
          <w:lang w:val="es-ES"/>
        </w:rPr>
      </w:pPr>
    </w:p>
    <w:p w14:paraId="31BB4174" w14:textId="77777777" w:rsidR="00E255F4" w:rsidRDefault="00000000">
      <w:pPr>
        <w:ind w:right="-142"/>
        <w:jc w:val="both"/>
        <w:rPr>
          <w:rFonts w:eastAsia="Palatino Linotype"/>
          <w:sz w:val="22"/>
          <w:szCs w:val="22"/>
          <w:lang w:val="es-ES"/>
        </w:rPr>
      </w:pPr>
      <w:proofErr w:type="spellStart"/>
      <w:r>
        <w:rPr>
          <w:rFonts w:eastAsia="Palatino Linotype"/>
          <w:spacing w:val="-1"/>
          <w:sz w:val="22"/>
          <w:szCs w:val="22"/>
          <w:lang w:val="es-ES"/>
        </w:rPr>
        <w:t>AND</w:t>
      </w:r>
      <w:r>
        <w:rPr>
          <w:rFonts w:eastAsia="Palatino Linotype"/>
          <w:sz w:val="22"/>
          <w:szCs w:val="22"/>
          <w:lang w:val="es-ES"/>
        </w:rPr>
        <w:t>The</w:t>
      </w:r>
      <w:proofErr w:type="spellEnd"/>
      <w:r>
        <w:rPr>
          <w:rFonts w:eastAsia="Palatino Linotype"/>
          <w:sz w:val="22"/>
          <w:szCs w:val="22"/>
          <w:lang w:val="es-ES"/>
        </w:rPr>
        <w:t xml:space="preserve"> </w:t>
      </w:r>
      <w:proofErr w:type="spellStart"/>
      <w:r>
        <w:rPr>
          <w:rFonts w:eastAsia="Palatino Linotype"/>
          <w:sz w:val="22"/>
          <w:szCs w:val="22"/>
          <w:lang w:val="es-ES"/>
        </w:rPr>
        <w:t>aforementioned</w:t>
      </w:r>
      <w:proofErr w:type="spellEnd"/>
      <w:r>
        <w:rPr>
          <w:rFonts w:eastAsia="Palatino Linotype"/>
          <w:sz w:val="22"/>
          <w:szCs w:val="22"/>
          <w:lang w:val="es-ES"/>
        </w:rPr>
        <w:t xml:space="preserve"> </w:t>
      </w:r>
      <w:proofErr w:type="spellStart"/>
      <w:r>
        <w:rPr>
          <w:rFonts w:eastAsia="Palatino Linotype"/>
          <w:sz w:val="22"/>
          <w:szCs w:val="22"/>
          <w:lang w:val="es-ES"/>
        </w:rPr>
        <w:t>deadline</w:t>
      </w:r>
      <w:proofErr w:type="spellEnd"/>
      <w:r>
        <w:rPr>
          <w:rFonts w:eastAsia="Palatino Linotype"/>
          <w:sz w:val="22"/>
          <w:szCs w:val="22"/>
          <w:lang w:val="es-ES"/>
        </w:rPr>
        <w:t xml:space="preserve"> </w:t>
      </w:r>
      <w:proofErr w:type="spellStart"/>
      <w:r>
        <w:rPr>
          <w:rFonts w:eastAsia="Palatino Linotype"/>
          <w:sz w:val="22"/>
          <w:szCs w:val="22"/>
          <w:lang w:val="es-ES"/>
        </w:rPr>
        <w:t>will</w:t>
      </w:r>
      <w:proofErr w:type="spellEnd"/>
      <w:r>
        <w:rPr>
          <w:rFonts w:eastAsia="Palatino Linotype"/>
          <w:sz w:val="22"/>
          <w:szCs w:val="22"/>
          <w:lang w:val="es-ES"/>
        </w:rPr>
        <w:t xml:space="preserve"> </w:t>
      </w:r>
      <w:proofErr w:type="spellStart"/>
      <w:r>
        <w:rPr>
          <w:rFonts w:eastAsia="Palatino Linotype"/>
          <w:sz w:val="22"/>
          <w:szCs w:val="22"/>
          <w:lang w:val="es-ES"/>
        </w:rPr>
        <w:t>not</w:t>
      </w:r>
      <w:proofErr w:type="spellEnd"/>
      <w:r>
        <w:rPr>
          <w:rFonts w:eastAsia="Palatino Linotype"/>
          <w:sz w:val="22"/>
          <w:szCs w:val="22"/>
          <w:lang w:val="es-ES"/>
        </w:rPr>
        <w:t xml:space="preserve"> be </w:t>
      </w:r>
      <w:proofErr w:type="spellStart"/>
      <w:r>
        <w:rPr>
          <w:rFonts w:eastAsia="Palatino Linotype"/>
          <w:sz w:val="22"/>
          <w:szCs w:val="22"/>
          <w:lang w:val="es-ES"/>
        </w:rPr>
        <w:t>granted</w:t>
      </w:r>
      <w:proofErr w:type="spellEnd"/>
      <w:r>
        <w:rPr>
          <w:rFonts w:eastAsia="Palatino Linotype"/>
          <w:sz w:val="22"/>
          <w:szCs w:val="22"/>
          <w:lang w:val="es-ES"/>
        </w:rPr>
        <w:t xml:space="preserve"> </w:t>
      </w:r>
      <w:proofErr w:type="spellStart"/>
      <w:r>
        <w:rPr>
          <w:rFonts w:eastAsia="Palatino Linotype"/>
          <w:sz w:val="22"/>
          <w:szCs w:val="22"/>
          <w:lang w:val="es-ES"/>
        </w:rPr>
        <w:t>when</w:t>
      </w:r>
      <w:proofErr w:type="spellEnd"/>
      <w:r>
        <w:rPr>
          <w:rFonts w:eastAsia="Palatino Linotype"/>
          <w:sz w:val="22"/>
          <w:szCs w:val="22"/>
          <w:lang w:val="es-ES"/>
        </w:rPr>
        <w:t xml:space="preserve">, in </w:t>
      </w:r>
      <w:proofErr w:type="spellStart"/>
      <w:r>
        <w:rPr>
          <w:rFonts w:eastAsia="Palatino Linotype"/>
          <w:sz w:val="22"/>
          <w:szCs w:val="22"/>
          <w:lang w:val="es-ES"/>
        </w:rPr>
        <w:t>the</w:t>
      </w:r>
      <w:proofErr w:type="spellEnd"/>
      <w:r>
        <w:rPr>
          <w:rFonts w:eastAsia="Palatino Linotype"/>
          <w:sz w:val="22"/>
          <w:szCs w:val="22"/>
          <w:lang w:val="es-ES"/>
        </w:rPr>
        <w:t xml:space="preserve"> </w:t>
      </w:r>
      <w:proofErr w:type="spellStart"/>
      <w:r>
        <w:rPr>
          <w:rFonts w:eastAsia="Palatino Linotype"/>
          <w:sz w:val="22"/>
          <w:szCs w:val="22"/>
          <w:lang w:val="es-ES"/>
        </w:rPr>
        <w:t>opinion</w:t>
      </w:r>
      <w:proofErr w:type="spellEnd"/>
      <w:r>
        <w:rPr>
          <w:rFonts w:eastAsia="Palatino Linotype"/>
          <w:sz w:val="22"/>
          <w:szCs w:val="22"/>
          <w:lang w:val="es-ES"/>
        </w:rPr>
        <w:t xml:space="preserve"> </w:t>
      </w:r>
      <w:proofErr w:type="spellStart"/>
      <w:r>
        <w:rPr>
          <w:rFonts w:eastAsia="Palatino Linotype"/>
          <w:sz w:val="22"/>
          <w:szCs w:val="22"/>
          <w:lang w:val="es-ES"/>
        </w:rPr>
        <w:t>of</w:t>
      </w:r>
      <w:proofErr w:type="spellEnd"/>
      <w:r>
        <w:rPr>
          <w:rFonts w:eastAsia="Palatino Linotype"/>
          <w:sz w:val="22"/>
          <w:szCs w:val="22"/>
          <w:lang w:val="es-ES"/>
        </w:rPr>
        <w:t xml:space="preserve"> </w:t>
      </w:r>
      <w:proofErr w:type="spellStart"/>
      <w:r>
        <w:rPr>
          <w:rFonts w:eastAsia="Palatino Linotype"/>
          <w:sz w:val="22"/>
          <w:szCs w:val="22"/>
          <w:lang w:val="es-ES"/>
        </w:rPr>
        <w:t>the</w:t>
      </w:r>
      <w:proofErr w:type="spellEnd"/>
      <w:r>
        <w:rPr>
          <w:rFonts w:eastAsia="Palatino Linotype"/>
          <w:sz w:val="22"/>
          <w:szCs w:val="22"/>
          <w:lang w:val="es-ES"/>
        </w:rPr>
        <w:t xml:space="preserve"> </w:t>
      </w:r>
      <w:proofErr w:type="spellStart"/>
      <w:r>
        <w:rPr>
          <w:rFonts w:eastAsia="Palatino Linotype"/>
          <w:sz w:val="22"/>
          <w:szCs w:val="22"/>
          <w:lang w:val="es-ES"/>
        </w:rPr>
        <w:t>Administration</w:t>
      </w:r>
      <w:proofErr w:type="spellEnd"/>
      <w:r>
        <w:rPr>
          <w:rFonts w:eastAsia="Palatino Linotype"/>
          <w:sz w:val="22"/>
          <w:szCs w:val="22"/>
          <w:lang w:val="es-ES"/>
        </w:rPr>
        <w:t xml:space="preserve">, </w:t>
      </w:r>
      <w:proofErr w:type="spellStart"/>
      <w:r>
        <w:rPr>
          <w:rFonts w:eastAsia="Palatino Linotype"/>
          <w:sz w:val="22"/>
          <w:szCs w:val="22"/>
          <w:lang w:val="es-ES"/>
        </w:rPr>
        <w:t>the</w:t>
      </w:r>
      <w:proofErr w:type="spellEnd"/>
      <w:r>
        <w:rPr>
          <w:rFonts w:eastAsia="Palatino Linotype"/>
          <w:sz w:val="22"/>
          <w:szCs w:val="22"/>
          <w:lang w:val="es-ES"/>
        </w:rPr>
        <w:t xml:space="preserve"> </w:t>
      </w:r>
      <w:proofErr w:type="spellStart"/>
      <w:r>
        <w:rPr>
          <w:rFonts w:eastAsia="Palatino Linotype"/>
          <w:sz w:val="22"/>
          <w:szCs w:val="22"/>
          <w:lang w:val="es-ES"/>
        </w:rPr>
        <w:t>equality</w:t>
      </w:r>
      <w:proofErr w:type="spellEnd"/>
      <w:r>
        <w:rPr>
          <w:rFonts w:eastAsia="Palatino Linotype"/>
          <w:sz w:val="22"/>
          <w:szCs w:val="22"/>
          <w:lang w:val="es-ES"/>
        </w:rPr>
        <w:t xml:space="preserve"> </w:t>
      </w:r>
      <w:proofErr w:type="spellStart"/>
      <w:r>
        <w:rPr>
          <w:rFonts w:eastAsia="Palatino Linotype"/>
          <w:sz w:val="22"/>
          <w:szCs w:val="22"/>
          <w:lang w:val="es-ES"/>
        </w:rPr>
        <w:t>of</w:t>
      </w:r>
      <w:proofErr w:type="spellEnd"/>
      <w:r>
        <w:rPr>
          <w:rFonts w:eastAsia="Palatino Linotype"/>
          <w:sz w:val="22"/>
          <w:szCs w:val="22"/>
          <w:lang w:val="es-ES"/>
        </w:rPr>
        <w:t xml:space="preserve"> </w:t>
      </w:r>
      <w:proofErr w:type="spellStart"/>
      <w:r>
        <w:rPr>
          <w:rFonts w:eastAsia="Palatino Linotype"/>
          <w:sz w:val="22"/>
          <w:szCs w:val="22"/>
          <w:lang w:val="es-ES"/>
        </w:rPr>
        <w:t>the</w:t>
      </w:r>
      <w:proofErr w:type="spellEnd"/>
      <w:r>
        <w:rPr>
          <w:rFonts w:eastAsia="Palatino Linotype"/>
          <w:sz w:val="22"/>
          <w:szCs w:val="22"/>
          <w:lang w:val="es-ES"/>
        </w:rPr>
        <w:t xml:space="preserve"> </w:t>
      </w:r>
      <w:proofErr w:type="spellStart"/>
      <w:r>
        <w:rPr>
          <w:rFonts w:eastAsia="Palatino Linotype"/>
          <w:sz w:val="22"/>
          <w:szCs w:val="22"/>
          <w:lang w:val="es-ES"/>
        </w:rPr>
        <w:t>bidders</w:t>
      </w:r>
      <w:proofErr w:type="spellEnd"/>
      <w:r>
        <w:rPr>
          <w:rFonts w:eastAsia="Palatino Linotype"/>
          <w:sz w:val="22"/>
          <w:szCs w:val="22"/>
          <w:lang w:val="es-ES"/>
        </w:rPr>
        <w:t xml:space="preserve"> </w:t>
      </w:r>
      <w:proofErr w:type="spellStart"/>
      <w:r>
        <w:rPr>
          <w:rFonts w:eastAsia="Palatino Linotype"/>
          <w:sz w:val="22"/>
          <w:szCs w:val="22"/>
          <w:lang w:val="es-ES"/>
        </w:rPr>
        <w:t>is</w:t>
      </w:r>
      <w:proofErr w:type="spellEnd"/>
      <w:r>
        <w:rPr>
          <w:rFonts w:eastAsia="Palatino Linotype"/>
          <w:sz w:val="22"/>
          <w:szCs w:val="22"/>
          <w:lang w:val="es-ES"/>
        </w:rPr>
        <w:t xml:space="preserve"> </w:t>
      </w:r>
      <w:proofErr w:type="spellStart"/>
      <w:r>
        <w:rPr>
          <w:rFonts w:eastAsia="Palatino Linotype"/>
          <w:sz w:val="22"/>
          <w:szCs w:val="22"/>
          <w:lang w:val="es-ES"/>
        </w:rPr>
        <w:t>materially</w:t>
      </w:r>
      <w:proofErr w:type="spellEnd"/>
      <w:r>
        <w:rPr>
          <w:rFonts w:eastAsia="Palatino Linotype"/>
          <w:sz w:val="22"/>
          <w:szCs w:val="22"/>
          <w:lang w:val="es-ES"/>
        </w:rPr>
        <w:t xml:space="preserve"> </w:t>
      </w:r>
      <w:proofErr w:type="spellStart"/>
      <w:r>
        <w:rPr>
          <w:rFonts w:eastAsia="Palatino Linotype"/>
          <w:sz w:val="22"/>
          <w:szCs w:val="22"/>
          <w:lang w:val="es-ES"/>
        </w:rPr>
        <w:t>altered</w:t>
      </w:r>
      <w:proofErr w:type="spellEnd"/>
      <w:r>
        <w:rPr>
          <w:rFonts w:eastAsia="Palatino Linotype"/>
          <w:sz w:val="22"/>
          <w:szCs w:val="22"/>
          <w:lang w:val="es-ES"/>
        </w:rPr>
        <w:t xml:space="preserve">, </w:t>
      </w:r>
      <w:proofErr w:type="spellStart"/>
      <w:r>
        <w:rPr>
          <w:rFonts w:eastAsia="Palatino Linotype"/>
          <w:sz w:val="22"/>
          <w:szCs w:val="22"/>
          <w:lang w:val="es-ES"/>
        </w:rPr>
        <w:t>or</w:t>
      </w:r>
      <w:proofErr w:type="spellEnd"/>
      <w:r>
        <w:rPr>
          <w:rFonts w:eastAsia="Palatino Linotype"/>
          <w:sz w:val="22"/>
          <w:szCs w:val="22"/>
          <w:lang w:val="es-ES"/>
        </w:rPr>
        <w:t xml:space="preserve"> </w:t>
      </w:r>
      <w:proofErr w:type="spellStart"/>
      <w:r>
        <w:rPr>
          <w:rFonts w:eastAsia="Palatino Linotype"/>
          <w:sz w:val="22"/>
          <w:szCs w:val="22"/>
          <w:lang w:val="es-ES"/>
        </w:rPr>
        <w:t>when</w:t>
      </w:r>
      <w:proofErr w:type="spellEnd"/>
      <w:r>
        <w:rPr>
          <w:rFonts w:eastAsia="Palatino Linotype"/>
          <w:sz w:val="22"/>
          <w:szCs w:val="22"/>
          <w:lang w:val="es-ES"/>
        </w:rPr>
        <w:t xml:space="preserve"> </w:t>
      </w:r>
      <w:proofErr w:type="spellStart"/>
      <w:r>
        <w:rPr>
          <w:rFonts w:eastAsia="Palatino Linotype"/>
          <w:sz w:val="22"/>
          <w:szCs w:val="22"/>
          <w:lang w:val="es-ES"/>
        </w:rPr>
        <w:t>the</w:t>
      </w:r>
      <w:proofErr w:type="spellEnd"/>
      <w:r>
        <w:rPr>
          <w:rFonts w:eastAsia="Palatino Linotype"/>
          <w:sz w:val="22"/>
          <w:szCs w:val="22"/>
          <w:lang w:val="es-ES"/>
        </w:rPr>
        <w:t xml:space="preserve"> </w:t>
      </w:r>
      <w:proofErr w:type="spellStart"/>
      <w:r>
        <w:rPr>
          <w:rFonts w:eastAsia="Palatino Linotype"/>
          <w:sz w:val="22"/>
          <w:szCs w:val="22"/>
          <w:lang w:val="es-ES"/>
        </w:rPr>
        <w:t>existence</w:t>
      </w:r>
      <w:proofErr w:type="spellEnd"/>
      <w:r>
        <w:rPr>
          <w:rFonts w:eastAsia="Palatino Linotype"/>
          <w:sz w:val="22"/>
          <w:szCs w:val="22"/>
          <w:lang w:val="es-ES"/>
        </w:rPr>
        <w:t xml:space="preserve"> </w:t>
      </w:r>
      <w:proofErr w:type="spellStart"/>
      <w:r>
        <w:rPr>
          <w:rFonts w:eastAsia="Palatino Linotype"/>
          <w:sz w:val="22"/>
          <w:szCs w:val="22"/>
          <w:lang w:val="es-ES"/>
        </w:rPr>
        <w:t>of</w:t>
      </w:r>
      <w:proofErr w:type="spellEnd"/>
      <w:r>
        <w:rPr>
          <w:rFonts w:eastAsia="Palatino Linotype"/>
          <w:sz w:val="22"/>
          <w:szCs w:val="22"/>
          <w:lang w:val="es-ES"/>
        </w:rPr>
        <w:t xml:space="preserve"> </w:t>
      </w:r>
      <w:proofErr w:type="spellStart"/>
      <w:r>
        <w:rPr>
          <w:rFonts w:eastAsia="Palatino Linotype"/>
          <w:sz w:val="22"/>
          <w:szCs w:val="22"/>
          <w:lang w:val="es-ES"/>
        </w:rPr>
        <w:t>any</w:t>
      </w:r>
      <w:proofErr w:type="spellEnd"/>
      <w:r>
        <w:rPr>
          <w:rFonts w:eastAsia="Palatino Linotype"/>
          <w:sz w:val="22"/>
          <w:szCs w:val="22"/>
          <w:lang w:val="es-ES"/>
        </w:rPr>
        <w:t xml:space="preserve"> </w:t>
      </w:r>
      <w:proofErr w:type="spellStart"/>
      <w:r>
        <w:rPr>
          <w:rFonts w:eastAsia="Palatino Linotype"/>
          <w:sz w:val="22"/>
          <w:szCs w:val="22"/>
          <w:lang w:val="es-ES"/>
        </w:rPr>
        <w:t>maneuver</w:t>
      </w:r>
      <w:proofErr w:type="spellEnd"/>
      <w:r>
        <w:rPr>
          <w:rFonts w:eastAsia="Palatino Linotype"/>
          <w:sz w:val="22"/>
          <w:szCs w:val="22"/>
          <w:lang w:val="es-ES"/>
        </w:rPr>
        <w:t xml:space="preserve"> </w:t>
      </w:r>
      <w:proofErr w:type="spellStart"/>
      <w:r>
        <w:rPr>
          <w:rFonts w:eastAsia="Palatino Linotype"/>
          <w:sz w:val="22"/>
          <w:szCs w:val="22"/>
          <w:lang w:val="es-ES"/>
        </w:rPr>
        <w:t>intended</w:t>
      </w:r>
      <w:proofErr w:type="spellEnd"/>
      <w:r>
        <w:rPr>
          <w:rFonts w:eastAsia="Palatino Linotype"/>
          <w:sz w:val="22"/>
          <w:szCs w:val="22"/>
          <w:lang w:val="es-ES"/>
        </w:rPr>
        <w:t xml:space="preserve"> </w:t>
      </w:r>
      <w:proofErr w:type="spellStart"/>
      <w:r>
        <w:rPr>
          <w:rFonts w:eastAsia="Palatino Linotype"/>
          <w:sz w:val="22"/>
          <w:szCs w:val="22"/>
          <w:lang w:val="es-ES"/>
        </w:rPr>
        <w:t>to</w:t>
      </w:r>
      <w:proofErr w:type="spellEnd"/>
      <w:r>
        <w:rPr>
          <w:rFonts w:eastAsia="Palatino Linotype"/>
          <w:sz w:val="22"/>
          <w:szCs w:val="22"/>
          <w:lang w:val="es-ES"/>
        </w:rPr>
        <w:t xml:space="preserve"> </w:t>
      </w:r>
      <w:proofErr w:type="spellStart"/>
      <w:r>
        <w:rPr>
          <w:rFonts w:eastAsia="Palatino Linotype"/>
          <w:sz w:val="22"/>
          <w:szCs w:val="22"/>
          <w:lang w:val="es-ES"/>
        </w:rPr>
        <w:t>obtain</w:t>
      </w:r>
      <w:proofErr w:type="spellEnd"/>
      <w:r>
        <w:rPr>
          <w:rFonts w:eastAsia="Palatino Linotype"/>
          <w:sz w:val="22"/>
          <w:szCs w:val="22"/>
          <w:lang w:val="es-ES"/>
        </w:rPr>
        <w:t xml:space="preserve"> </w:t>
      </w:r>
      <w:proofErr w:type="spellStart"/>
      <w:r>
        <w:rPr>
          <w:rFonts w:eastAsia="Palatino Linotype"/>
          <w:sz w:val="22"/>
          <w:szCs w:val="22"/>
          <w:lang w:val="es-ES"/>
        </w:rPr>
        <w:t>an</w:t>
      </w:r>
      <w:proofErr w:type="spellEnd"/>
      <w:r>
        <w:rPr>
          <w:rFonts w:eastAsia="Palatino Linotype"/>
          <w:sz w:val="22"/>
          <w:szCs w:val="22"/>
          <w:lang w:val="es-ES"/>
        </w:rPr>
        <w:t xml:space="preserve"> </w:t>
      </w:r>
      <w:proofErr w:type="spellStart"/>
      <w:r>
        <w:rPr>
          <w:rFonts w:eastAsia="Palatino Linotype"/>
          <w:sz w:val="22"/>
          <w:szCs w:val="22"/>
          <w:lang w:val="es-ES"/>
        </w:rPr>
        <w:t>undue</w:t>
      </w:r>
      <w:proofErr w:type="spellEnd"/>
      <w:r>
        <w:rPr>
          <w:rFonts w:eastAsia="Palatino Linotype"/>
          <w:sz w:val="22"/>
          <w:szCs w:val="22"/>
          <w:lang w:val="es-ES"/>
        </w:rPr>
        <w:t xml:space="preserve"> </w:t>
      </w:r>
      <w:proofErr w:type="spellStart"/>
      <w:r>
        <w:rPr>
          <w:rFonts w:eastAsia="Palatino Linotype"/>
          <w:sz w:val="22"/>
          <w:szCs w:val="22"/>
          <w:lang w:val="es-ES"/>
        </w:rPr>
        <w:t>advantage</w:t>
      </w:r>
      <w:proofErr w:type="spellEnd"/>
      <w:r>
        <w:rPr>
          <w:rFonts w:eastAsia="Palatino Linotype"/>
          <w:sz w:val="22"/>
          <w:szCs w:val="22"/>
          <w:lang w:val="es-ES"/>
        </w:rPr>
        <w:t xml:space="preserve"> </w:t>
      </w:r>
      <w:proofErr w:type="spellStart"/>
      <w:r>
        <w:rPr>
          <w:rFonts w:eastAsia="Palatino Linotype"/>
          <w:sz w:val="22"/>
          <w:szCs w:val="22"/>
          <w:lang w:val="es-ES"/>
        </w:rPr>
        <w:t>is</w:t>
      </w:r>
      <w:proofErr w:type="spellEnd"/>
      <w:r>
        <w:rPr>
          <w:rFonts w:eastAsia="Palatino Linotype"/>
          <w:sz w:val="22"/>
          <w:szCs w:val="22"/>
          <w:lang w:val="es-ES"/>
        </w:rPr>
        <w:t xml:space="preserve"> </w:t>
      </w:r>
      <w:proofErr w:type="spellStart"/>
      <w:r>
        <w:rPr>
          <w:rFonts w:eastAsia="Palatino Linotype"/>
          <w:sz w:val="22"/>
          <w:szCs w:val="22"/>
          <w:lang w:val="es-ES"/>
        </w:rPr>
        <w:t>presumed</w:t>
      </w:r>
      <w:proofErr w:type="spellEnd"/>
      <w:r>
        <w:rPr>
          <w:rFonts w:eastAsia="Palatino Linotype"/>
          <w:sz w:val="22"/>
          <w:szCs w:val="22"/>
          <w:lang w:val="es-ES"/>
        </w:rPr>
        <w:t>.</w:t>
      </w:r>
    </w:p>
    <w:p w14:paraId="77CAD4EE" w14:textId="77777777" w:rsidR="00E255F4" w:rsidRDefault="00E255F4">
      <w:pPr>
        <w:rPr>
          <w:rFonts w:eastAsia="Palatino Linotype"/>
          <w:sz w:val="22"/>
          <w:szCs w:val="22"/>
          <w:lang w:val="es-ES"/>
        </w:rPr>
      </w:pPr>
    </w:p>
    <w:p w14:paraId="3B57ADD7" w14:textId="77777777" w:rsidR="00E255F4" w:rsidRDefault="00000000">
      <w:pPr>
        <w:ind w:right="-142"/>
        <w:jc w:val="both"/>
        <w:outlineLvl w:val="0"/>
        <w:rPr>
          <w:rFonts w:eastAsia="Palatino Linotype"/>
          <w:b/>
          <w:spacing w:val="-1"/>
          <w:sz w:val="22"/>
          <w:szCs w:val="22"/>
          <w:lang w:val="es-ES"/>
        </w:rPr>
      </w:pPr>
      <w:bookmarkStart w:id="38" w:name="__RefHeading___Toc225377215"/>
      <w:bookmarkEnd w:id="38"/>
      <w:r>
        <w:rPr>
          <w:rFonts w:eastAsia="Palatino Linotype"/>
          <w:b/>
          <w:spacing w:val="-1"/>
          <w:sz w:val="22"/>
          <w:szCs w:val="22"/>
          <w:lang w:val="es-ES"/>
        </w:rPr>
        <w:t xml:space="preserve">13.1 </w:t>
      </w:r>
      <w:proofErr w:type="spellStart"/>
      <w:r>
        <w:rPr>
          <w:rFonts w:eastAsia="Palatino Linotype"/>
          <w:b/>
          <w:spacing w:val="-1"/>
          <w:sz w:val="22"/>
          <w:szCs w:val="22"/>
          <w:lang w:val="es-ES"/>
        </w:rPr>
        <w:t>Advisory</w:t>
      </w:r>
      <w:proofErr w:type="spellEnd"/>
      <w:r>
        <w:rPr>
          <w:rFonts w:eastAsia="Palatino Linotype"/>
          <w:b/>
          <w:spacing w:val="-1"/>
          <w:sz w:val="22"/>
          <w:szCs w:val="22"/>
          <w:lang w:val="es-ES"/>
        </w:rPr>
        <w:t xml:space="preserve"> </w:t>
      </w:r>
      <w:proofErr w:type="spellStart"/>
      <w:r>
        <w:rPr>
          <w:rFonts w:eastAsia="Palatino Linotype"/>
          <w:b/>
          <w:spacing w:val="-1"/>
          <w:sz w:val="22"/>
          <w:szCs w:val="22"/>
          <w:lang w:val="es-ES"/>
        </w:rPr>
        <w:t>Committee</w:t>
      </w:r>
      <w:proofErr w:type="spellEnd"/>
      <w:r>
        <w:rPr>
          <w:rFonts w:eastAsia="Palatino Linotype"/>
          <w:b/>
          <w:spacing w:val="-1"/>
          <w:sz w:val="22"/>
          <w:szCs w:val="22"/>
          <w:lang w:val="es-ES"/>
        </w:rPr>
        <w:t xml:space="preserve"> </w:t>
      </w:r>
      <w:proofErr w:type="spellStart"/>
      <w:r>
        <w:rPr>
          <w:rFonts w:eastAsia="Palatino Linotype"/>
          <w:b/>
          <w:spacing w:val="-1"/>
          <w:sz w:val="22"/>
          <w:szCs w:val="22"/>
          <w:lang w:val="es-ES"/>
        </w:rPr>
        <w:t>on</w:t>
      </w:r>
      <w:proofErr w:type="spellEnd"/>
      <w:r>
        <w:rPr>
          <w:rFonts w:eastAsia="Palatino Linotype"/>
          <w:b/>
          <w:spacing w:val="-1"/>
          <w:sz w:val="22"/>
          <w:szCs w:val="22"/>
          <w:lang w:val="es-ES"/>
        </w:rPr>
        <w:t xml:space="preserve"> </w:t>
      </w:r>
      <w:proofErr w:type="spellStart"/>
      <w:r>
        <w:rPr>
          <w:rFonts w:eastAsia="Palatino Linotype"/>
          <w:b/>
          <w:spacing w:val="-1"/>
          <w:sz w:val="22"/>
          <w:szCs w:val="22"/>
          <w:lang w:val="es-ES"/>
        </w:rPr>
        <w:t>Awards</w:t>
      </w:r>
      <w:proofErr w:type="spellEnd"/>
      <w:r>
        <w:rPr>
          <w:rFonts w:eastAsia="Palatino Linotype"/>
          <w:b/>
          <w:spacing w:val="-1"/>
          <w:sz w:val="22"/>
          <w:szCs w:val="22"/>
          <w:lang w:val="es-ES"/>
        </w:rPr>
        <w:tab/>
      </w:r>
    </w:p>
    <w:p w14:paraId="2DB4E2DB" w14:textId="77777777" w:rsidR="00E255F4" w:rsidRDefault="00E255F4">
      <w:pPr>
        <w:ind w:right="-142"/>
        <w:jc w:val="both"/>
        <w:rPr>
          <w:rFonts w:eastAsia="Palatino Linotype"/>
          <w:b/>
          <w:spacing w:val="5"/>
          <w:sz w:val="22"/>
          <w:szCs w:val="22"/>
          <w:lang w:val="es-ES"/>
        </w:rPr>
      </w:pPr>
    </w:p>
    <w:p w14:paraId="0F6FA58E" w14:textId="77777777" w:rsidR="00E255F4" w:rsidRDefault="00000000">
      <w:pPr>
        <w:ind w:right="-142"/>
        <w:jc w:val="both"/>
        <w:rPr>
          <w:rFonts w:eastAsia="Palatino Linotype"/>
          <w:sz w:val="22"/>
          <w:szCs w:val="22"/>
          <w:lang w:val="es-ES"/>
        </w:rPr>
      </w:pPr>
      <w:proofErr w:type="spellStart"/>
      <w:r>
        <w:rPr>
          <w:rFonts w:eastAsia="Palatino Linotype"/>
          <w:spacing w:val="5"/>
          <w:sz w:val="22"/>
          <w:szCs w:val="22"/>
          <w:lang w:val="es-ES"/>
        </w:rPr>
        <w:t>The</w:t>
      </w:r>
      <w:r>
        <w:rPr>
          <w:rFonts w:eastAsia="Palatino Linotype"/>
          <w:sz w:val="22"/>
          <w:szCs w:val="22"/>
          <w:lang w:val="es-ES"/>
        </w:rPr>
        <w:t>The</w:t>
      </w:r>
      <w:proofErr w:type="spellEnd"/>
      <w:r>
        <w:rPr>
          <w:rFonts w:eastAsia="Palatino Linotype"/>
          <w:sz w:val="22"/>
          <w:szCs w:val="22"/>
          <w:lang w:val="es-ES"/>
        </w:rPr>
        <w:t xml:space="preserve"> </w:t>
      </w:r>
      <w:proofErr w:type="spellStart"/>
      <w:r>
        <w:rPr>
          <w:rFonts w:eastAsia="Palatino Linotype"/>
          <w:sz w:val="22"/>
          <w:szCs w:val="22"/>
          <w:lang w:val="es-ES"/>
        </w:rPr>
        <w:t>offers</w:t>
      </w:r>
      <w:proofErr w:type="spellEnd"/>
      <w:r>
        <w:rPr>
          <w:rFonts w:eastAsia="Palatino Linotype"/>
          <w:sz w:val="22"/>
          <w:szCs w:val="22"/>
          <w:lang w:val="es-ES"/>
        </w:rPr>
        <w:t xml:space="preserve"> </w:t>
      </w:r>
      <w:proofErr w:type="spellStart"/>
      <w:r>
        <w:rPr>
          <w:rFonts w:eastAsia="Palatino Linotype"/>
          <w:sz w:val="22"/>
          <w:szCs w:val="22"/>
          <w:lang w:val="es-ES"/>
        </w:rPr>
        <w:t>will</w:t>
      </w:r>
      <w:proofErr w:type="spellEnd"/>
      <w:r>
        <w:rPr>
          <w:rFonts w:eastAsia="Palatino Linotype"/>
          <w:sz w:val="22"/>
          <w:szCs w:val="22"/>
          <w:lang w:val="es-ES"/>
        </w:rPr>
        <w:t xml:space="preserve"> be </w:t>
      </w:r>
      <w:proofErr w:type="spellStart"/>
      <w:r>
        <w:rPr>
          <w:rFonts w:eastAsia="Palatino Linotype"/>
          <w:sz w:val="22"/>
          <w:szCs w:val="22"/>
          <w:lang w:val="es-ES"/>
        </w:rPr>
        <w:t>studied</w:t>
      </w:r>
      <w:proofErr w:type="spellEnd"/>
      <w:r>
        <w:rPr>
          <w:rFonts w:eastAsia="Palatino Linotype"/>
          <w:sz w:val="22"/>
          <w:szCs w:val="22"/>
          <w:lang w:val="es-ES"/>
        </w:rPr>
        <w:t xml:space="preserve"> </w:t>
      </w:r>
      <w:proofErr w:type="spellStart"/>
      <w:r>
        <w:rPr>
          <w:rFonts w:eastAsia="Palatino Linotype"/>
          <w:sz w:val="22"/>
          <w:szCs w:val="22"/>
          <w:lang w:val="es-ES"/>
        </w:rPr>
        <w:t>by</w:t>
      </w:r>
      <w:proofErr w:type="spellEnd"/>
      <w:r>
        <w:rPr>
          <w:rFonts w:eastAsia="Palatino Linotype"/>
          <w:sz w:val="22"/>
          <w:szCs w:val="22"/>
          <w:lang w:val="es-ES"/>
        </w:rPr>
        <w:t xml:space="preserve"> </w:t>
      </w:r>
      <w:proofErr w:type="spellStart"/>
      <w:r>
        <w:rPr>
          <w:rFonts w:eastAsia="Palatino Linotype"/>
          <w:sz w:val="22"/>
          <w:szCs w:val="22"/>
          <w:lang w:val="es-ES"/>
        </w:rPr>
        <w:t>an</w:t>
      </w:r>
      <w:proofErr w:type="spellEnd"/>
      <w:r>
        <w:rPr>
          <w:rFonts w:eastAsia="Palatino Linotype"/>
          <w:sz w:val="22"/>
          <w:szCs w:val="22"/>
          <w:lang w:val="es-ES"/>
        </w:rPr>
        <w:t xml:space="preserve"> </w:t>
      </w:r>
      <w:proofErr w:type="spellStart"/>
      <w:r>
        <w:rPr>
          <w:rFonts w:eastAsia="Palatino Linotype"/>
          <w:sz w:val="22"/>
          <w:szCs w:val="22"/>
          <w:lang w:val="es-ES"/>
        </w:rPr>
        <w:t>Advisory</w:t>
      </w:r>
      <w:proofErr w:type="spellEnd"/>
      <w:r>
        <w:rPr>
          <w:rFonts w:eastAsia="Palatino Linotype"/>
          <w:sz w:val="22"/>
          <w:szCs w:val="22"/>
          <w:lang w:val="es-ES"/>
        </w:rPr>
        <w:t xml:space="preserve"> </w:t>
      </w:r>
      <w:proofErr w:type="spellStart"/>
      <w:r>
        <w:rPr>
          <w:rFonts w:eastAsia="Palatino Linotype"/>
          <w:sz w:val="22"/>
          <w:szCs w:val="22"/>
          <w:lang w:val="es-ES"/>
        </w:rPr>
        <w:t>Committee</w:t>
      </w:r>
      <w:proofErr w:type="spellEnd"/>
      <w:r>
        <w:rPr>
          <w:rFonts w:eastAsia="Palatino Linotype"/>
          <w:sz w:val="22"/>
          <w:szCs w:val="22"/>
          <w:lang w:val="es-ES"/>
        </w:rPr>
        <w:t xml:space="preserve"> </w:t>
      </w:r>
      <w:proofErr w:type="spellStart"/>
      <w:r>
        <w:rPr>
          <w:rFonts w:eastAsia="Palatino Linotype"/>
          <w:sz w:val="22"/>
          <w:szCs w:val="22"/>
          <w:lang w:val="es-ES"/>
        </w:rPr>
        <w:t>on</w:t>
      </w:r>
      <w:proofErr w:type="spellEnd"/>
      <w:r>
        <w:rPr>
          <w:rFonts w:eastAsia="Palatino Linotype"/>
          <w:sz w:val="22"/>
          <w:szCs w:val="22"/>
          <w:lang w:val="es-ES"/>
        </w:rPr>
        <w:t xml:space="preserve"> </w:t>
      </w:r>
      <w:proofErr w:type="spellStart"/>
      <w:r>
        <w:rPr>
          <w:rFonts w:eastAsia="Palatino Linotype"/>
          <w:sz w:val="22"/>
          <w:szCs w:val="22"/>
          <w:lang w:val="es-ES"/>
        </w:rPr>
        <w:t>Awards</w:t>
      </w:r>
      <w:proofErr w:type="spellEnd"/>
      <w:r>
        <w:rPr>
          <w:rFonts w:eastAsia="Palatino Linotype"/>
          <w:sz w:val="22"/>
          <w:szCs w:val="22"/>
          <w:lang w:val="es-ES"/>
        </w:rPr>
        <w:t xml:space="preserve">, </w:t>
      </w:r>
      <w:proofErr w:type="spellStart"/>
      <w:r>
        <w:rPr>
          <w:rFonts w:eastAsia="Palatino Linotype"/>
          <w:sz w:val="22"/>
          <w:szCs w:val="22"/>
          <w:lang w:val="es-ES"/>
        </w:rPr>
        <w:t>which</w:t>
      </w:r>
      <w:proofErr w:type="spellEnd"/>
      <w:r>
        <w:rPr>
          <w:rFonts w:eastAsia="Palatino Linotype"/>
          <w:sz w:val="22"/>
          <w:szCs w:val="22"/>
          <w:lang w:val="es-ES"/>
        </w:rPr>
        <w:t xml:space="preserve"> </w:t>
      </w:r>
      <w:proofErr w:type="spellStart"/>
      <w:r>
        <w:rPr>
          <w:rFonts w:eastAsia="Palatino Linotype"/>
          <w:sz w:val="22"/>
          <w:szCs w:val="22"/>
          <w:lang w:val="es-ES"/>
        </w:rPr>
        <w:t>is</w:t>
      </w:r>
      <w:proofErr w:type="spellEnd"/>
      <w:r>
        <w:rPr>
          <w:rFonts w:eastAsia="Palatino Linotype"/>
          <w:sz w:val="22"/>
          <w:szCs w:val="22"/>
          <w:lang w:val="es-ES"/>
        </w:rPr>
        <w:t xml:space="preserve"> </w:t>
      </w:r>
      <w:proofErr w:type="spellStart"/>
      <w:r>
        <w:rPr>
          <w:rFonts w:eastAsia="Palatino Linotype"/>
          <w:sz w:val="22"/>
          <w:szCs w:val="22"/>
          <w:lang w:val="es-ES"/>
        </w:rPr>
        <w:t>responsible</w:t>
      </w:r>
      <w:proofErr w:type="spellEnd"/>
      <w:r>
        <w:rPr>
          <w:rFonts w:eastAsia="Palatino Linotype"/>
          <w:sz w:val="22"/>
          <w:szCs w:val="22"/>
          <w:lang w:val="es-ES"/>
        </w:rPr>
        <w:t xml:space="preserve"> </w:t>
      </w:r>
      <w:proofErr w:type="spellStart"/>
      <w:r>
        <w:rPr>
          <w:rFonts w:eastAsia="Palatino Linotype"/>
          <w:sz w:val="22"/>
          <w:szCs w:val="22"/>
          <w:lang w:val="es-ES"/>
        </w:rPr>
        <w:t>for</w:t>
      </w:r>
      <w:proofErr w:type="spellEnd"/>
      <w:r>
        <w:rPr>
          <w:rFonts w:eastAsia="Palatino Linotype"/>
          <w:sz w:val="22"/>
          <w:szCs w:val="22"/>
          <w:lang w:val="es-ES"/>
        </w:rPr>
        <w:t xml:space="preserve"> </w:t>
      </w:r>
      <w:proofErr w:type="spellStart"/>
      <w:r>
        <w:rPr>
          <w:rFonts w:eastAsia="Palatino Linotype"/>
          <w:sz w:val="22"/>
          <w:szCs w:val="22"/>
          <w:lang w:val="es-ES"/>
        </w:rPr>
        <w:t>providing</w:t>
      </w:r>
      <w:proofErr w:type="spellEnd"/>
      <w:r>
        <w:rPr>
          <w:rFonts w:eastAsia="Palatino Linotype"/>
          <w:sz w:val="22"/>
          <w:szCs w:val="22"/>
          <w:lang w:val="es-ES"/>
        </w:rPr>
        <w:t xml:space="preserve"> </w:t>
      </w:r>
      <w:proofErr w:type="spellStart"/>
      <w:r>
        <w:rPr>
          <w:rFonts w:eastAsia="Palatino Linotype"/>
          <w:sz w:val="22"/>
          <w:szCs w:val="22"/>
          <w:lang w:val="es-ES"/>
        </w:rPr>
        <w:t>reasoned</w:t>
      </w:r>
      <w:proofErr w:type="spellEnd"/>
      <w:r>
        <w:rPr>
          <w:rFonts w:eastAsia="Palatino Linotype"/>
          <w:sz w:val="22"/>
          <w:szCs w:val="22"/>
          <w:lang w:val="es-ES"/>
        </w:rPr>
        <w:t xml:space="preserve"> </w:t>
      </w:r>
      <w:proofErr w:type="spellStart"/>
      <w:r>
        <w:rPr>
          <w:rFonts w:eastAsia="Palatino Linotype"/>
          <w:sz w:val="22"/>
          <w:szCs w:val="22"/>
          <w:lang w:val="es-ES"/>
        </w:rPr>
        <w:t>information</w:t>
      </w:r>
      <w:proofErr w:type="spellEnd"/>
      <w:r>
        <w:rPr>
          <w:rFonts w:eastAsia="Palatino Linotype"/>
          <w:sz w:val="22"/>
          <w:szCs w:val="22"/>
          <w:lang w:val="es-ES"/>
        </w:rPr>
        <w:t xml:space="preserve"> </w:t>
      </w:r>
      <w:proofErr w:type="spellStart"/>
      <w:r>
        <w:rPr>
          <w:rFonts w:eastAsia="Palatino Linotype"/>
          <w:sz w:val="22"/>
          <w:szCs w:val="22"/>
          <w:lang w:val="es-ES"/>
        </w:rPr>
        <w:t>on</w:t>
      </w:r>
      <w:proofErr w:type="spellEnd"/>
      <w:r>
        <w:rPr>
          <w:rFonts w:eastAsia="Palatino Linotype"/>
          <w:sz w:val="22"/>
          <w:szCs w:val="22"/>
          <w:lang w:val="es-ES"/>
        </w:rPr>
        <w:t xml:space="preserve"> </w:t>
      </w:r>
      <w:proofErr w:type="spellStart"/>
      <w:r>
        <w:rPr>
          <w:rFonts w:eastAsia="Palatino Linotype"/>
          <w:sz w:val="22"/>
          <w:szCs w:val="22"/>
          <w:lang w:val="es-ES"/>
        </w:rPr>
        <w:t>the</w:t>
      </w:r>
      <w:proofErr w:type="spellEnd"/>
      <w:r>
        <w:rPr>
          <w:rFonts w:eastAsia="Palatino Linotype"/>
          <w:sz w:val="22"/>
          <w:szCs w:val="22"/>
          <w:lang w:val="es-ES"/>
        </w:rPr>
        <w:t xml:space="preserve"> </w:t>
      </w:r>
      <w:proofErr w:type="spellStart"/>
      <w:r>
        <w:rPr>
          <w:rFonts w:eastAsia="Palatino Linotype"/>
          <w:sz w:val="22"/>
          <w:szCs w:val="22"/>
          <w:lang w:val="es-ES"/>
        </w:rPr>
        <w:t>admissibility</w:t>
      </w:r>
      <w:proofErr w:type="spellEnd"/>
      <w:r>
        <w:rPr>
          <w:rFonts w:eastAsia="Palatino Linotype"/>
          <w:sz w:val="22"/>
          <w:szCs w:val="22"/>
          <w:lang w:val="es-ES"/>
        </w:rPr>
        <w:t xml:space="preserve"> and </w:t>
      </w:r>
      <w:proofErr w:type="spellStart"/>
      <w:r>
        <w:rPr>
          <w:rFonts w:eastAsia="Palatino Linotype"/>
          <w:sz w:val="22"/>
          <w:szCs w:val="22"/>
          <w:lang w:val="es-ES"/>
        </w:rPr>
        <w:t>suitability</w:t>
      </w:r>
      <w:proofErr w:type="spellEnd"/>
      <w:r>
        <w:rPr>
          <w:rFonts w:eastAsia="Palatino Linotype"/>
          <w:sz w:val="22"/>
          <w:szCs w:val="22"/>
          <w:lang w:val="es-ES"/>
        </w:rPr>
        <w:t xml:space="preserve"> </w:t>
      </w:r>
      <w:proofErr w:type="spellStart"/>
      <w:r>
        <w:rPr>
          <w:rFonts w:eastAsia="Palatino Linotype"/>
          <w:sz w:val="22"/>
          <w:szCs w:val="22"/>
          <w:lang w:val="es-ES"/>
        </w:rPr>
        <w:t>of</w:t>
      </w:r>
      <w:proofErr w:type="spellEnd"/>
      <w:r>
        <w:rPr>
          <w:rFonts w:eastAsia="Palatino Linotype"/>
          <w:sz w:val="22"/>
          <w:szCs w:val="22"/>
          <w:lang w:val="es-ES"/>
        </w:rPr>
        <w:t xml:space="preserve"> </w:t>
      </w:r>
      <w:proofErr w:type="spellStart"/>
      <w:r>
        <w:rPr>
          <w:rFonts w:eastAsia="Palatino Linotype"/>
          <w:sz w:val="22"/>
          <w:szCs w:val="22"/>
          <w:lang w:val="es-ES"/>
        </w:rPr>
        <w:t>the</w:t>
      </w:r>
      <w:proofErr w:type="spellEnd"/>
      <w:r>
        <w:rPr>
          <w:rFonts w:eastAsia="Palatino Linotype"/>
          <w:sz w:val="22"/>
          <w:szCs w:val="22"/>
          <w:lang w:val="es-ES"/>
        </w:rPr>
        <w:t xml:space="preserve"> </w:t>
      </w:r>
      <w:proofErr w:type="spellStart"/>
      <w:r>
        <w:rPr>
          <w:rFonts w:eastAsia="Palatino Linotype"/>
          <w:sz w:val="22"/>
          <w:szCs w:val="22"/>
          <w:lang w:val="es-ES"/>
        </w:rPr>
        <w:t>offers</w:t>
      </w:r>
      <w:proofErr w:type="spellEnd"/>
      <w:r>
        <w:rPr>
          <w:rFonts w:eastAsia="Palatino Linotype"/>
          <w:sz w:val="22"/>
          <w:szCs w:val="22"/>
          <w:lang w:val="es-ES"/>
        </w:rPr>
        <w:t>.</w:t>
      </w:r>
    </w:p>
    <w:p w14:paraId="492F02B1" w14:textId="77777777" w:rsidR="00E255F4" w:rsidRDefault="00E255F4">
      <w:pPr>
        <w:ind w:right="-142"/>
        <w:jc w:val="both"/>
        <w:rPr>
          <w:rFonts w:eastAsia="Palatino Linotype"/>
          <w:sz w:val="22"/>
          <w:szCs w:val="22"/>
          <w:lang w:val="es-ES"/>
        </w:rPr>
      </w:pPr>
    </w:p>
    <w:p w14:paraId="2B870C6E" w14:textId="77777777" w:rsidR="00E255F4" w:rsidRDefault="00000000">
      <w:pPr>
        <w:ind w:right="-142"/>
        <w:jc w:val="both"/>
      </w:pPr>
      <w:r>
        <w:rPr>
          <w:rFonts w:eastAsia="Palatino Linotype"/>
          <w:sz w:val="22"/>
          <w:szCs w:val="22"/>
          <w:lang w:val="es-ES"/>
        </w:rPr>
        <w:t xml:space="preserve">For </w:t>
      </w:r>
      <w:proofErr w:type="spellStart"/>
      <w:r>
        <w:rPr>
          <w:rFonts w:eastAsia="Palatino Linotype"/>
          <w:sz w:val="22"/>
          <w:szCs w:val="22"/>
          <w:lang w:val="es-ES"/>
        </w:rPr>
        <w:t>the</w:t>
      </w:r>
      <w:proofErr w:type="spellEnd"/>
      <w:r>
        <w:rPr>
          <w:rFonts w:eastAsia="Palatino Linotype"/>
          <w:sz w:val="22"/>
          <w:szCs w:val="22"/>
          <w:lang w:val="es-ES"/>
        </w:rPr>
        <w:t xml:space="preserve"> </w:t>
      </w:r>
      <w:proofErr w:type="spellStart"/>
      <w:r>
        <w:rPr>
          <w:rFonts w:eastAsia="Palatino Linotype"/>
          <w:sz w:val="22"/>
          <w:szCs w:val="22"/>
          <w:lang w:val="es-ES"/>
        </w:rPr>
        <w:t>purpose</w:t>
      </w:r>
      <w:proofErr w:type="spellEnd"/>
      <w:r>
        <w:rPr>
          <w:rFonts w:eastAsia="Palatino Linotype"/>
          <w:sz w:val="22"/>
          <w:szCs w:val="22"/>
          <w:lang w:val="es-ES"/>
        </w:rPr>
        <w:t xml:space="preserve"> </w:t>
      </w:r>
      <w:proofErr w:type="spellStart"/>
      <w:r>
        <w:rPr>
          <w:rFonts w:eastAsia="Palatino Linotype"/>
          <w:sz w:val="22"/>
          <w:szCs w:val="22"/>
          <w:lang w:val="es-ES"/>
        </w:rPr>
        <w:t>of</w:t>
      </w:r>
      <w:proofErr w:type="spellEnd"/>
      <w:r>
        <w:rPr>
          <w:rFonts w:eastAsia="Palatino Linotype"/>
          <w:sz w:val="22"/>
          <w:szCs w:val="22"/>
          <w:lang w:val="es-ES"/>
        </w:rPr>
        <w:t xml:space="preserve"> </w:t>
      </w:r>
      <w:proofErr w:type="spellStart"/>
      <w:r>
        <w:rPr>
          <w:rFonts w:eastAsia="Palatino Linotype"/>
          <w:sz w:val="22"/>
          <w:szCs w:val="22"/>
          <w:lang w:val="es-ES"/>
        </w:rPr>
        <w:t>producing</w:t>
      </w:r>
      <w:proofErr w:type="spellEnd"/>
      <w:r>
        <w:rPr>
          <w:rFonts w:eastAsia="Palatino Linotype"/>
          <w:sz w:val="22"/>
          <w:szCs w:val="22"/>
          <w:lang w:val="es-ES"/>
        </w:rPr>
        <w:t xml:space="preserve"> </w:t>
      </w:r>
      <w:proofErr w:type="spellStart"/>
      <w:r>
        <w:rPr>
          <w:rFonts w:eastAsia="Palatino Linotype"/>
          <w:sz w:val="22"/>
          <w:szCs w:val="22"/>
          <w:lang w:val="es-ES"/>
        </w:rPr>
        <w:t>its</w:t>
      </w:r>
      <w:proofErr w:type="spellEnd"/>
      <w:r>
        <w:rPr>
          <w:rFonts w:eastAsia="Palatino Linotype"/>
          <w:sz w:val="22"/>
          <w:szCs w:val="22"/>
          <w:lang w:val="es-ES"/>
        </w:rPr>
        <w:t xml:space="preserve"> </w:t>
      </w:r>
      <w:proofErr w:type="spellStart"/>
      <w:r>
        <w:rPr>
          <w:rFonts w:eastAsia="Palatino Linotype"/>
          <w:sz w:val="22"/>
          <w:szCs w:val="22"/>
          <w:lang w:val="es-ES"/>
        </w:rPr>
        <w:t>report</w:t>
      </w:r>
      <w:proofErr w:type="spellEnd"/>
      <w:r>
        <w:rPr>
          <w:rFonts w:eastAsia="Palatino Linotype"/>
          <w:sz w:val="22"/>
          <w:szCs w:val="22"/>
          <w:lang w:val="es-ES"/>
        </w:rPr>
        <w:t xml:space="preserve">, </w:t>
      </w:r>
      <w:proofErr w:type="spellStart"/>
      <w:r>
        <w:rPr>
          <w:rFonts w:eastAsia="Palatino Linotype"/>
          <w:sz w:val="22"/>
          <w:szCs w:val="22"/>
          <w:lang w:val="es-ES"/>
        </w:rPr>
        <w:t>the</w:t>
      </w:r>
      <w:proofErr w:type="spellEnd"/>
      <w:r>
        <w:rPr>
          <w:rFonts w:eastAsia="Palatino Linotype"/>
          <w:sz w:val="22"/>
          <w:szCs w:val="22"/>
          <w:lang w:val="es-ES"/>
        </w:rPr>
        <w:t xml:space="preserve"> </w:t>
      </w:r>
      <w:proofErr w:type="spellStart"/>
      <w:r>
        <w:rPr>
          <w:rFonts w:eastAsia="Palatino Linotype"/>
          <w:sz w:val="22"/>
          <w:szCs w:val="22"/>
          <w:lang w:val="es-ES"/>
        </w:rPr>
        <w:t>Advisory</w:t>
      </w:r>
      <w:proofErr w:type="spellEnd"/>
      <w:r>
        <w:rPr>
          <w:rFonts w:eastAsia="Palatino Linotype"/>
          <w:sz w:val="22"/>
          <w:szCs w:val="22"/>
          <w:lang w:val="es-ES"/>
        </w:rPr>
        <w:t xml:space="preserve"> </w:t>
      </w:r>
      <w:proofErr w:type="spellStart"/>
      <w:r>
        <w:rPr>
          <w:rFonts w:eastAsia="Palatino Linotype"/>
          <w:sz w:val="22"/>
          <w:szCs w:val="22"/>
          <w:lang w:val="es-ES"/>
        </w:rPr>
        <w:t>Committee</w:t>
      </w:r>
      <w:proofErr w:type="spellEnd"/>
      <w:r>
        <w:rPr>
          <w:rFonts w:eastAsia="Palatino Linotype"/>
          <w:sz w:val="22"/>
          <w:szCs w:val="22"/>
          <w:lang w:val="es-ES"/>
        </w:rPr>
        <w:t xml:space="preserve"> </w:t>
      </w:r>
      <w:proofErr w:type="spellStart"/>
      <w:r>
        <w:rPr>
          <w:rFonts w:eastAsia="Palatino Linotype"/>
          <w:sz w:val="22"/>
          <w:szCs w:val="22"/>
          <w:lang w:val="es-ES"/>
        </w:rPr>
        <w:t>on</w:t>
      </w:r>
      <w:proofErr w:type="spellEnd"/>
      <w:r>
        <w:rPr>
          <w:rFonts w:eastAsia="Palatino Linotype"/>
          <w:sz w:val="22"/>
          <w:szCs w:val="22"/>
          <w:lang w:val="es-ES"/>
        </w:rPr>
        <w:t xml:space="preserve"> </w:t>
      </w:r>
      <w:proofErr w:type="spellStart"/>
      <w:r>
        <w:rPr>
          <w:rFonts w:eastAsia="Palatino Linotype"/>
          <w:sz w:val="22"/>
          <w:szCs w:val="22"/>
          <w:lang w:val="es-ES"/>
        </w:rPr>
        <w:t>Awards</w:t>
      </w:r>
      <w:proofErr w:type="spellEnd"/>
      <w:r>
        <w:rPr>
          <w:rFonts w:eastAsia="Palatino Linotype"/>
          <w:sz w:val="22"/>
          <w:szCs w:val="22"/>
          <w:lang w:val="es-ES"/>
        </w:rPr>
        <w:t xml:space="preserve"> </w:t>
      </w:r>
      <w:proofErr w:type="spellStart"/>
      <w:r>
        <w:rPr>
          <w:rFonts w:eastAsia="Palatino Linotype"/>
          <w:sz w:val="22"/>
          <w:szCs w:val="22"/>
          <w:lang w:val="es-ES"/>
        </w:rPr>
        <w:t>may</w:t>
      </w:r>
      <w:proofErr w:type="spellEnd"/>
      <w:r>
        <w:rPr>
          <w:rFonts w:eastAsia="Palatino Linotype"/>
          <w:sz w:val="22"/>
          <w:szCs w:val="22"/>
          <w:lang w:val="es-ES"/>
        </w:rPr>
        <w:t>:</w:t>
      </w:r>
    </w:p>
    <w:p w14:paraId="76F4A06A" w14:textId="77777777" w:rsidR="00E255F4" w:rsidRDefault="00E255F4">
      <w:pPr>
        <w:ind w:right="-142"/>
        <w:jc w:val="both"/>
        <w:rPr>
          <w:rFonts w:eastAsia="Palatino Linotype"/>
          <w:spacing w:val="-1"/>
          <w:position w:val="1"/>
          <w:sz w:val="22"/>
          <w:szCs w:val="22"/>
          <w:lang w:val="es-ES"/>
        </w:rPr>
      </w:pPr>
    </w:p>
    <w:p w14:paraId="21BAF526" w14:textId="77777777" w:rsidR="00E255F4" w:rsidRDefault="00000000">
      <w:pPr>
        <w:ind w:right="-142"/>
        <w:jc w:val="both"/>
        <w:rPr>
          <w:rFonts w:eastAsia="Palatino Linotype"/>
          <w:spacing w:val="-2"/>
          <w:sz w:val="22"/>
          <w:szCs w:val="22"/>
          <w:lang w:val="es-ES"/>
        </w:rPr>
      </w:pPr>
      <w:r>
        <w:rPr>
          <w:rFonts w:eastAsia="Palatino Linotype"/>
          <w:spacing w:val="-1"/>
          <w:sz w:val="22"/>
          <w:szCs w:val="22"/>
          <w:lang w:val="es-ES"/>
        </w:rPr>
        <w:t>1</w:t>
      </w:r>
      <w:r>
        <w:rPr>
          <w:rFonts w:eastAsia="Palatino Linotype"/>
          <w:sz w:val="22"/>
          <w:szCs w:val="22"/>
          <w:lang w:val="es-ES"/>
        </w:rPr>
        <w:t>.</w:t>
      </w:r>
      <w:r>
        <w:rPr>
          <w:rFonts w:eastAsia="Palatino Linotype"/>
          <w:sz w:val="22"/>
          <w:szCs w:val="22"/>
          <w:lang w:val="es-ES"/>
        </w:rPr>
        <w:tab/>
      </w:r>
      <w:proofErr w:type="spellStart"/>
      <w:r>
        <w:rPr>
          <w:rFonts w:eastAsia="Palatino Linotype"/>
          <w:spacing w:val="-2"/>
          <w:sz w:val="22"/>
          <w:szCs w:val="22"/>
          <w:lang w:val="es-ES"/>
        </w:rPr>
        <w:t>Request</w:t>
      </w:r>
      <w:r>
        <w:rPr>
          <w:rFonts w:eastAsia="Palatino Linotype"/>
          <w:sz w:val="22"/>
          <w:szCs w:val="22"/>
          <w:lang w:val="es-ES"/>
        </w:rPr>
        <w:t>any</w:t>
      </w:r>
      <w:proofErr w:type="spellEnd"/>
      <w:r>
        <w:rPr>
          <w:rFonts w:eastAsia="Palatino Linotype"/>
          <w:sz w:val="22"/>
          <w:szCs w:val="22"/>
          <w:lang w:val="es-ES"/>
        </w:rPr>
        <w:t xml:space="preserve"> </w:t>
      </w:r>
      <w:proofErr w:type="spellStart"/>
      <w:r>
        <w:rPr>
          <w:rFonts w:eastAsia="Palatino Linotype"/>
          <w:sz w:val="22"/>
          <w:szCs w:val="22"/>
          <w:lang w:val="es-ES"/>
        </w:rPr>
        <w:t>bidder</w:t>
      </w:r>
      <w:proofErr w:type="spellEnd"/>
      <w:r>
        <w:rPr>
          <w:rFonts w:eastAsia="Palatino Linotype"/>
          <w:sz w:val="22"/>
          <w:szCs w:val="22"/>
          <w:lang w:val="es-ES"/>
        </w:rPr>
        <w:t xml:space="preserve"> </w:t>
      </w:r>
      <w:proofErr w:type="spellStart"/>
      <w:r>
        <w:rPr>
          <w:rFonts w:eastAsia="Palatino Linotype"/>
          <w:sz w:val="22"/>
          <w:szCs w:val="22"/>
          <w:lang w:val="es-ES"/>
        </w:rPr>
        <w:t>may</w:t>
      </w:r>
      <w:proofErr w:type="spellEnd"/>
      <w:r>
        <w:rPr>
          <w:rFonts w:eastAsia="Palatino Linotype"/>
          <w:sz w:val="22"/>
          <w:szCs w:val="22"/>
          <w:lang w:val="es-ES"/>
        </w:rPr>
        <w:t xml:space="preserve"> </w:t>
      </w:r>
      <w:proofErr w:type="spellStart"/>
      <w:r>
        <w:rPr>
          <w:rFonts w:eastAsia="Palatino Linotype"/>
          <w:sz w:val="22"/>
          <w:szCs w:val="22"/>
          <w:lang w:val="es-ES"/>
        </w:rPr>
        <w:t>provide</w:t>
      </w:r>
      <w:proofErr w:type="spellEnd"/>
      <w:r>
        <w:rPr>
          <w:rFonts w:eastAsia="Palatino Linotype"/>
          <w:sz w:val="22"/>
          <w:szCs w:val="22"/>
          <w:lang w:val="es-ES"/>
        </w:rPr>
        <w:t xml:space="preserve"> </w:t>
      </w:r>
      <w:proofErr w:type="spellStart"/>
      <w:r>
        <w:rPr>
          <w:rFonts w:eastAsia="Palatino Linotype"/>
          <w:sz w:val="22"/>
          <w:szCs w:val="22"/>
          <w:lang w:val="es-ES"/>
        </w:rPr>
        <w:t>the</w:t>
      </w:r>
      <w:proofErr w:type="spellEnd"/>
      <w:r>
        <w:rPr>
          <w:rFonts w:eastAsia="Palatino Linotype"/>
          <w:sz w:val="22"/>
          <w:szCs w:val="22"/>
          <w:lang w:val="es-ES"/>
        </w:rPr>
        <w:t xml:space="preserve"> </w:t>
      </w:r>
      <w:proofErr w:type="spellStart"/>
      <w:r>
        <w:rPr>
          <w:rFonts w:eastAsia="Palatino Linotype"/>
          <w:sz w:val="22"/>
          <w:szCs w:val="22"/>
          <w:lang w:val="es-ES"/>
        </w:rPr>
        <w:t>necessary</w:t>
      </w:r>
      <w:proofErr w:type="spellEnd"/>
      <w:r>
        <w:rPr>
          <w:rFonts w:eastAsia="Palatino Linotype"/>
          <w:sz w:val="22"/>
          <w:szCs w:val="22"/>
          <w:lang w:val="es-ES"/>
        </w:rPr>
        <w:t xml:space="preserve"> </w:t>
      </w:r>
      <w:proofErr w:type="spellStart"/>
      <w:r>
        <w:rPr>
          <w:rFonts w:eastAsia="Palatino Linotype"/>
          <w:sz w:val="22"/>
          <w:szCs w:val="22"/>
          <w:lang w:val="es-ES"/>
        </w:rPr>
        <w:t>clarifications</w:t>
      </w:r>
      <w:proofErr w:type="spellEnd"/>
      <w:r>
        <w:rPr>
          <w:rFonts w:eastAsia="Palatino Linotype"/>
          <w:sz w:val="22"/>
          <w:szCs w:val="22"/>
          <w:lang w:val="es-ES"/>
        </w:rPr>
        <w:t xml:space="preserve">, and </w:t>
      </w:r>
      <w:proofErr w:type="spellStart"/>
      <w:r>
        <w:rPr>
          <w:rFonts w:eastAsia="Palatino Linotype"/>
          <w:sz w:val="22"/>
          <w:szCs w:val="22"/>
          <w:lang w:val="es-ES"/>
        </w:rPr>
        <w:t>may</w:t>
      </w:r>
      <w:proofErr w:type="spellEnd"/>
      <w:r>
        <w:rPr>
          <w:rFonts w:eastAsia="Palatino Linotype"/>
          <w:sz w:val="22"/>
          <w:szCs w:val="22"/>
          <w:lang w:val="es-ES"/>
        </w:rPr>
        <w:t xml:space="preserve"> </w:t>
      </w:r>
      <w:proofErr w:type="spellStart"/>
      <w:r>
        <w:rPr>
          <w:rFonts w:eastAsia="Palatino Linotype"/>
          <w:sz w:val="22"/>
          <w:szCs w:val="22"/>
          <w:lang w:val="es-ES"/>
        </w:rPr>
        <w:t>not</w:t>
      </w:r>
      <w:proofErr w:type="spellEnd"/>
      <w:r>
        <w:rPr>
          <w:rFonts w:eastAsia="Palatino Linotype"/>
          <w:sz w:val="22"/>
          <w:szCs w:val="22"/>
          <w:lang w:val="es-ES"/>
        </w:rPr>
        <w:t xml:space="preserve"> </w:t>
      </w:r>
      <w:proofErr w:type="spellStart"/>
      <w:r>
        <w:rPr>
          <w:rFonts w:eastAsia="Palatino Linotype"/>
          <w:sz w:val="22"/>
          <w:szCs w:val="22"/>
          <w:lang w:val="es-ES"/>
        </w:rPr>
        <w:t>request</w:t>
      </w:r>
      <w:proofErr w:type="spellEnd"/>
      <w:r>
        <w:rPr>
          <w:rFonts w:eastAsia="Palatino Linotype"/>
          <w:sz w:val="22"/>
          <w:szCs w:val="22"/>
          <w:lang w:val="es-ES"/>
        </w:rPr>
        <w:t xml:space="preserve"> </w:t>
      </w:r>
      <w:proofErr w:type="spellStart"/>
      <w:r>
        <w:rPr>
          <w:rFonts w:eastAsia="Palatino Linotype"/>
          <w:sz w:val="22"/>
          <w:szCs w:val="22"/>
          <w:lang w:val="es-ES"/>
        </w:rPr>
        <w:t>or</w:t>
      </w:r>
      <w:proofErr w:type="spellEnd"/>
      <w:r>
        <w:rPr>
          <w:rFonts w:eastAsia="Palatino Linotype"/>
          <w:sz w:val="22"/>
          <w:szCs w:val="22"/>
          <w:lang w:val="es-ES"/>
        </w:rPr>
        <w:t xml:space="preserve"> </w:t>
      </w:r>
      <w:proofErr w:type="spellStart"/>
      <w:r>
        <w:rPr>
          <w:rFonts w:eastAsia="Palatino Linotype"/>
          <w:sz w:val="22"/>
          <w:szCs w:val="22"/>
          <w:lang w:val="es-ES"/>
        </w:rPr>
        <w:t>allow</w:t>
      </w:r>
      <w:proofErr w:type="spellEnd"/>
      <w:r>
        <w:rPr>
          <w:rFonts w:eastAsia="Palatino Linotype"/>
          <w:sz w:val="22"/>
          <w:szCs w:val="22"/>
          <w:lang w:val="es-ES"/>
        </w:rPr>
        <w:t xml:space="preserve"> </w:t>
      </w:r>
      <w:proofErr w:type="spellStart"/>
      <w:r>
        <w:rPr>
          <w:rFonts w:eastAsia="Palatino Linotype"/>
          <w:sz w:val="22"/>
          <w:szCs w:val="22"/>
          <w:lang w:val="es-ES"/>
        </w:rPr>
        <w:t>the</w:t>
      </w:r>
      <w:proofErr w:type="spellEnd"/>
      <w:r>
        <w:rPr>
          <w:rFonts w:eastAsia="Palatino Linotype"/>
          <w:sz w:val="22"/>
          <w:szCs w:val="22"/>
          <w:lang w:val="es-ES"/>
        </w:rPr>
        <w:t xml:space="preserve"> </w:t>
      </w:r>
      <w:proofErr w:type="spellStart"/>
      <w:r>
        <w:rPr>
          <w:rFonts w:eastAsia="Palatino Linotype"/>
          <w:sz w:val="22"/>
          <w:szCs w:val="22"/>
          <w:lang w:val="es-ES"/>
        </w:rPr>
        <w:t>content</w:t>
      </w:r>
      <w:proofErr w:type="spellEnd"/>
      <w:r>
        <w:rPr>
          <w:rFonts w:eastAsia="Palatino Linotype"/>
          <w:sz w:val="22"/>
          <w:szCs w:val="22"/>
          <w:lang w:val="es-ES"/>
        </w:rPr>
        <w:t xml:space="preserve"> </w:t>
      </w:r>
      <w:proofErr w:type="spellStart"/>
      <w:r>
        <w:rPr>
          <w:rFonts w:eastAsia="Palatino Linotype"/>
          <w:sz w:val="22"/>
          <w:szCs w:val="22"/>
          <w:lang w:val="es-ES"/>
        </w:rPr>
        <w:t>of</w:t>
      </w:r>
      <w:proofErr w:type="spellEnd"/>
      <w:r>
        <w:rPr>
          <w:rFonts w:eastAsia="Palatino Linotype"/>
          <w:sz w:val="22"/>
          <w:szCs w:val="22"/>
          <w:lang w:val="es-ES"/>
        </w:rPr>
        <w:t xml:space="preserve"> </w:t>
      </w:r>
      <w:proofErr w:type="spellStart"/>
      <w:r>
        <w:rPr>
          <w:rFonts w:eastAsia="Palatino Linotype"/>
          <w:sz w:val="22"/>
          <w:szCs w:val="22"/>
          <w:lang w:val="es-ES"/>
        </w:rPr>
        <w:t>the</w:t>
      </w:r>
      <w:proofErr w:type="spellEnd"/>
      <w:r>
        <w:rPr>
          <w:rFonts w:eastAsia="Palatino Linotype"/>
          <w:sz w:val="22"/>
          <w:szCs w:val="22"/>
          <w:lang w:val="es-ES"/>
        </w:rPr>
        <w:t xml:space="preserve"> </w:t>
      </w:r>
      <w:proofErr w:type="spellStart"/>
      <w:r>
        <w:rPr>
          <w:rFonts w:eastAsia="Palatino Linotype"/>
          <w:sz w:val="22"/>
          <w:szCs w:val="22"/>
          <w:lang w:val="es-ES"/>
        </w:rPr>
        <w:t>offer</w:t>
      </w:r>
      <w:proofErr w:type="spellEnd"/>
      <w:r>
        <w:rPr>
          <w:rFonts w:eastAsia="Palatino Linotype"/>
          <w:sz w:val="22"/>
          <w:szCs w:val="22"/>
          <w:lang w:val="es-ES"/>
        </w:rPr>
        <w:t xml:space="preserve"> </w:t>
      </w:r>
      <w:proofErr w:type="spellStart"/>
      <w:r>
        <w:rPr>
          <w:rFonts w:eastAsia="Palatino Linotype"/>
          <w:sz w:val="22"/>
          <w:szCs w:val="22"/>
          <w:lang w:val="es-ES"/>
        </w:rPr>
        <w:t>to</w:t>
      </w:r>
      <w:proofErr w:type="spellEnd"/>
      <w:r>
        <w:rPr>
          <w:rFonts w:eastAsia="Palatino Linotype"/>
          <w:sz w:val="22"/>
          <w:szCs w:val="22"/>
          <w:lang w:val="es-ES"/>
        </w:rPr>
        <w:t xml:space="preserve"> be </w:t>
      </w:r>
      <w:proofErr w:type="spellStart"/>
      <w:r>
        <w:rPr>
          <w:rFonts w:eastAsia="Palatino Linotype"/>
          <w:sz w:val="22"/>
          <w:szCs w:val="22"/>
          <w:lang w:val="es-ES"/>
        </w:rPr>
        <w:t>modified</w:t>
      </w:r>
      <w:proofErr w:type="spellEnd"/>
      <w:r>
        <w:rPr>
          <w:rFonts w:eastAsia="Palatino Linotype"/>
          <w:sz w:val="22"/>
          <w:szCs w:val="22"/>
          <w:lang w:val="es-ES"/>
        </w:rPr>
        <w:t>.</w:t>
      </w:r>
    </w:p>
    <w:p w14:paraId="1C5B8959" w14:textId="77777777" w:rsidR="00E255F4" w:rsidRDefault="00000000">
      <w:pPr>
        <w:ind w:right="-142"/>
        <w:jc w:val="both"/>
        <w:rPr>
          <w:rFonts w:eastAsia="Palatino Linotype"/>
          <w:spacing w:val="-1"/>
          <w:sz w:val="22"/>
          <w:szCs w:val="22"/>
          <w:lang w:val="es-ES"/>
        </w:rPr>
      </w:pPr>
      <w:r>
        <w:rPr>
          <w:rFonts w:eastAsia="Palatino Linotype"/>
          <w:spacing w:val="-1"/>
          <w:sz w:val="22"/>
          <w:szCs w:val="22"/>
          <w:lang w:val="es-ES"/>
        </w:rPr>
        <w:t>2</w:t>
      </w:r>
      <w:r>
        <w:rPr>
          <w:rFonts w:eastAsia="Palatino Linotype"/>
          <w:sz w:val="22"/>
          <w:szCs w:val="22"/>
          <w:lang w:val="es-ES"/>
        </w:rPr>
        <w:t>.</w:t>
      </w:r>
      <w:r>
        <w:rPr>
          <w:rFonts w:eastAsia="Palatino Linotype"/>
          <w:sz w:val="22"/>
          <w:szCs w:val="22"/>
          <w:lang w:val="es-ES"/>
        </w:rPr>
        <w:tab/>
      </w:r>
      <w:proofErr w:type="spellStart"/>
      <w:r>
        <w:rPr>
          <w:rFonts w:eastAsia="Palatino Linotype"/>
          <w:spacing w:val="-1"/>
          <w:sz w:val="22"/>
          <w:szCs w:val="22"/>
          <w:lang w:val="es-ES"/>
        </w:rPr>
        <w:t>Collects</w:t>
      </w:r>
      <w:r>
        <w:rPr>
          <w:rFonts w:eastAsia="Palatino Linotype"/>
          <w:sz w:val="22"/>
          <w:szCs w:val="22"/>
          <w:lang w:val="es-ES"/>
        </w:rPr>
        <w:t>and</w:t>
      </w:r>
      <w:proofErr w:type="spellEnd"/>
      <w:r>
        <w:rPr>
          <w:rFonts w:eastAsia="Palatino Linotype"/>
          <w:sz w:val="22"/>
          <w:szCs w:val="22"/>
          <w:lang w:val="es-ES"/>
        </w:rPr>
        <w:t xml:space="preserve"> </w:t>
      </w:r>
      <w:proofErr w:type="spellStart"/>
      <w:r>
        <w:rPr>
          <w:rFonts w:eastAsia="Palatino Linotype"/>
          <w:sz w:val="22"/>
          <w:szCs w:val="22"/>
          <w:lang w:val="es-ES"/>
        </w:rPr>
        <w:t>other</w:t>
      </w:r>
      <w:proofErr w:type="spellEnd"/>
      <w:r>
        <w:rPr>
          <w:rFonts w:eastAsia="Palatino Linotype"/>
          <w:sz w:val="22"/>
          <w:szCs w:val="22"/>
          <w:lang w:val="es-ES"/>
        </w:rPr>
        <w:t xml:space="preserve"> </w:t>
      </w:r>
      <w:proofErr w:type="spellStart"/>
      <w:r>
        <w:rPr>
          <w:rFonts w:eastAsia="Palatino Linotype"/>
          <w:sz w:val="22"/>
          <w:szCs w:val="22"/>
          <w:lang w:val="es-ES"/>
        </w:rPr>
        <w:t>advice</w:t>
      </w:r>
      <w:proofErr w:type="spellEnd"/>
      <w:r>
        <w:rPr>
          <w:rFonts w:eastAsia="Palatino Linotype"/>
          <w:sz w:val="22"/>
          <w:szCs w:val="22"/>
          <w:lang w:val="es-ES"/>
        </w:rPr>
        <w:t xml:space="preserve">, </w:t>
      </w:r>
      <w:proofErr w:type="spellStart"/>
      <w:r>
        <w:rPr>
          <w:rFonts w:eastAsia="Palatino Linotype"/>
          <w:sz w:val="22"/>
          <w:szCs w:val="22"/>
          <w:lang w:val="es-ES"/>
        </w:rPr>
        <w:t>expressly</w:t>
      </w:r>
      <w:proofErr w:type="spellEnd"/>
      <w:r>
        <w:rPr>
          <w:rFonts w:eastAsia="Palatino Linotype"/>
          <w:sz w:val="22"/>
          <w:szCs w:val="22"/>
          <w:lang w:val="es-ES"/>
        </w:rPr>
        <w:t xml:space="preserve"> </w:t>
      </w:r>
      <w:proofErr w:type="spellStart"/>
      <w:r>
        <w:rPr>
          <w:rFonts w:eastAsia="Palatino Linotype"/>
          <w:sz w:val="22"/>
          <w:szCs w:val="22"/>
          <w:lang w:val="es-ES"/>
        </w:rPr>
        <w:t>stating</w:t>
      </w:r>
      <w:proofErr w:type="spellEnd"/>
      <w:r>
        <w:rPr>
          <w:rFonts w:eastAsia="Palatino Linotype"/>
          <w:sz w:val="22"/>
          <w:szCs w:val="22"/>
          <w:lang w:val="es-ES"/>
        </w:rPr>
        <w:t xml:space="preserve"> </w:t>
      </w:r>
      <w:proofErr w:type="spellStart"/>
      <w:r>
        <w:rPr>
          <w:rFonts w:eastAsia="Palatino Linotype"/>
          <w:sz w:val="22"/>
          <w:szCs w:val="22"/>
          <w:lang w:val="es-ES"/>
        </w:rPr>
        <w:t>that</w:t>
      </w:r>
      <w:proofErr w:type="spellEnd"/>
      <w:r>
        <w:rPr>
          <w:rFonts w:eastAsia="Palatino Linotype"/>
          <w:sz w:val="22"/>
          <w:szCs w:val="22"/>
          <w:lang w:val="es-ES"/>
        </w:rPr>
        <w:t xml:space="preserve"> </w:t>
      </w:r>
      <w:proofErr w:type="spellStart"/>
      <w:r>
        <w:rPr>
          <w:rFonts w:eastAsia="Palatino Linotype"/>
          <w:sz w:val="22"/>
          <w:szCs w:val="22"/>
          <w:lang w:val="es-ES"/>
        </w:rPr>
        <w:t>those</w:t>
      </w:r>
      <w:proofErr w:type="spellEnd"/>
      <w:r>
        <w:rPr>
          <w:rFonts w:eastAsia="Palatino Linotype"/>
          <w:sz w:val="22"/>
          <w:szCs w:val="22"/>
          <w:lang w:val="es-ES"/>
        </w:rPr>
        <w:t xml:space="preserve"> </w:t>
      </w:r>
      <w:proofErr w:type="spellStart"/>
      <w:r>
        <w:rPr>
          <w:rFonts w:eastAsia="Palatino Linotype"/>
          <w:sz w:val="22"/>
          <w:szCs w:val="22"/>
          <w:lang w:val="es-ES"/>
        </w:rPr>
        <w:t>who</w:t>
      </w:r>
      <w:proofErr w:type="spellEnd"/>
      <w:r>
        <w:rPr>
          <w:rFonts w:eastAsia="Palatino Linotype"/>
          <w:sz w:val="22"/>
          <w:szCs w:val="22"/>
          <w:lang w:val="es-ES"/>
        </w:rPr>
        <w:t xml:space="preserve"> </w:t>
      </w:r>
      <w:proofErr w:type="spellStart"/>
      <w:r>
        <w:rPr>
          <w:rFonts w:eastAsia="Palatino Linotype"/>
          <w:sz w:val="22"/>
          <w:szCs w:val="22"/>
          <w:lang w:val="es-ES"/>
        </w:rPr>
        <w:t>intervene</w:t>
      </w:r>
      <w:proofErr w:type="spellEnd"/>
      <w:r>
        <w:rPr>
          <w:rFonts w:eastAsia="Palatino Linotype"/>
          <w:sz w:val="22"/>
          <w:szCs w:val="22"/>
          <w:lang w:val="es-ES"/>
        </w:rPr>
        <w:t xml:space="preserve"> in </w:t>
      </w:r>
      <w:proofErr w:type="spellStart"/>
      <w:r>
        <w:rPr>
          <w:rFonts w:eastAsia="Palatino Linotype"/>
          <w:sz w:val="22"/>
          <w:szCs w:val="22"/>
          <w:lang w:val="es-ES"/>
        </w:rPr>
        <w:t>such</w:t>
      </w:r>
      <w:proofErr w:type="spellEnd"/>
      <w:r>
        <w:rPr>
          <w:rFonts w:eastAsia="Palatino Linotype"/>
          <w:sz w:val="22"/>
          <w:szCs w:val="22"/>
          <w:lang w:val="es-ES"/>
        </w:rPr>
        <w:t xml:space="preserve"> </w:t>
      </w:r>
      <w:proofErr w:type="spellStart"/>
      <w:r>
        <w:rPr>
          <w:rFonts w:eastAsia="Palatino Linotype"/>
          <w:sz w:val="22"/>
          <w:szCs w:val="22"/>
          <w:lang w:val="es-ES"/>
        </w:rPr>
        <w:t>capacity</w:t>
      </w:r>
      <w:proofErr w:type="spellEnd"/>
      <w:r>
        <w:rPr>
          <w:rFonts w:eastAsia="Palatino Linotype"/>
          <w:sz w:val="22"/>
          <w:szCs w:val="22"/>
          <w:lang w:val="es-ES"/>
        </w:rPr>
        <w:t xml:space="preserve"> </w:t>
      </w:r>
      <w:proofErr w:type="spellStart"/>
      <w:r>
        <w:rPr>
          <w:rFonts w:eastAsia="Palatino Linotype"/>
          <w:sz w:val="22"/>
          <w:szCs w:val="22"/>
          <w:lang w:val="es-ES"/>
        </w:rPr>
        <w:t>must</w:t>
      </w:r>
      <w:proofErr w:type="spellEnd"/>
      <w:r>
        <w:rPr>
          <w:rFonts w:eastAsia="Palatino Linotype"/>
          <w:sz w:val="22"/>
          <w:szCs w:val="22"/>
          <w:lang w:val="es-ES"/>
        </w:rPr>
        <w:t xml:space="preserve"> recuse </w:t>
      </w:r>
      <w:proofErr w:type="spellStart"/>
      <w:r>
        <w:rPr>
          <w:rFonts w:eastAsia="Palatino Linotype"/>
          <w:sz w:val="22"/>
          <w:szCs w:val="22"/>
          <w:lang w:val="es-ES"/>
        </w:rPr>
        <w:t>themselves</w:t>
      </w:r>
      <w:proofErr w:type="spellEnd"/>
      <w:r>
        <w:rPr>
          <w:rFonts w:eastAsia="Palatino Linotype"/>
          <w:sz w:val="22"/>
          <w:szCs w:val="22"/>
          <w:lang w:val="es-ES"/>
        </w:rPr>
        <w:t xml:space="preserve"> </w:t>
      </w:r>
      <w:proofErr w:type="spellStart"/>
      <w:r>
        <w:rPr>
          <w:rFonts w:eastAsia="Palatino Linotype"/>
          <w:sz w:val="22"/>
          <w:szCs w:val="22"/>
          <w:lang w:val="es-ES"/>
        </w:rPr>
        <w:t>when</w:t>
      </w:r>
      <w:proofErr w:type="spellEnd"/>
      <w:r>
        <w:rPr>
          <w:rFonts w:eastAsia="Palatino Linotype"/>
          <w:sz w:val="22"/>
          <w:szCs w:val="22"/>
          <w:lang w:val="es-ES"/>
        </w:rPr>
        <w:t xml:space="preserve"> </w:t>
      </w:r>
      <w:proofErr w:type="spellStart"/>
      <w:r>
        <w:rPr>
          <w:rFonts w:eastAsia="Palatino Linotype"/>
          <w:sz w:val="22"/>
          <w:szCs w:val="22"/>
          <w:lang w:val="es-ES"/>
        </w:rPr>
        <w:t>there</w:t>
      </w:r>
      <w:proofErr w:type="spellEnd"/>
      <w:r>
        <w:rPr>
          <w:rFonts w:eastAsia="Palatino Linotype"/>
          <w:sz w:val="22"/>
          <w:szCs w:val="22"/>
          <w:lang w:val="es-ES"/>
        </w:rPr>
        <w:t xml:space="preserve"> </w:t>
      </w:r>
      <w:proofErr w:type="spellStart"/>
      <w:r>
        <w:rPr>
          <w:rFonts w:eastAsia="Palatino Linotype"/>
          <w:sz w:val="22"/>
          <w:szCs w:val="22"/>
          <w:lang w:val="es-ES"/>
        </w:rPr>
        <w:t>is</w:t>
      </w:r>
      <w:proofErr w:type="spellEnd"/>
      <w:r>
        <w:rPr>
          <w:rFonts w:eastAsia="Palatino Linotype"/>
          <w:sz w:val="22"/>
          <w:szCs w:val="22"/>
          <w:lang w:val="es-ES"/>
        </w:rPr>
        <w:t xml:space="preserve"> </w:t>
      </w:r>
      <w:proofErr w:type="spellStart"/>
      <w:r>
        <w:rPr>
          <w:rFonts w:eastAsia="Palatino Linotype"/>
          <w:sz w:val="22"/>
          <w:szCs w:val="22"/>
          <w:lang w:val="es-ES"/>
        </w:rPr>
        <w:t>any</w:t>
      </w:r>
      <w:proofErr w:type="spellEnd"/>
      <w:r>
        <w:rPr>
          <w:rFonts w:eastAsia="Palatino Linotype"/>
          <w:sz w:val="22"/>
          <w:szCs w:val="22"/>
          <w:lang w:val="es-ES"/>
        </w:rPr>
        <w:t xml:space="preserve"> </w:t>
      </w:r>
      <w:proofErr w:type="spellStart"/>
      <w:r>
        <w:rPr>
          <w:rFonts w:eastAsia="Palatino Linotype"/>
          <w:sz w:val="22"/>
          <w:szCs w:val="22"/>
          <w:lang w:val="es-ES"/>
        </w:rPr>
        <w:t>verifiable</w:t>
      </w:r>
      <w:proofErr w:type="spellEnd"/>
      <w:r>
        <w:rPr>
          <w:rFonts w:eastAsia="Palatino Linotype"/>
          <w:sz w:val="22"/>
          <w:szCs w:val="22"/>
          <w:lang w:val="es-ES"/>
        </w:rPr>
        <w:t xml:space="preserve"> </w:t>
      </w:r>
      <w:proofErr w:type="spellStart"/>
      <w:r>
        <w:rPr>
          <w:rFonts w:eastAsia="Palatino Linotype"/>
          <w:sz w:val="22"/>
          <w:szCs w:val="22"/>
          <w:lang w:val="es-ES"/>
        </w:rPr>
        <w:t>circumstance</w:t>
      </w:r>
      <w:proofErr w:type="spellEnd"/>
      <w:r>
        <w:rPr>
          <w:rFonts w:eastAsia="Palatino Linotype"/>
          <w:sz w:val="22"/>
          <w:szCs w:val="22"/>
          <w:lang w:val="es-ES"/>
        </w:rPr>
        <w:t xml:space="preserve"> </w:t>
      </w:r>
      <w:proofErr w:type="spellStart"/>
      <w:r>
        <w:rPr>
          <w:rFonts w:eastAsia="Palatino Linotype"/>
          <w:sz w:val="22"/>
          <w:szCs w:val="22"/>
          <w:lang w:val="es-ES"/>
        </w:rPr>
        <w:t>that</w:t>
      </w:r>
      <w:proofErr w:type="spellEnd"/>
      <w:r>
        <w:rPr>
          <w:rFonts w:eastAsia="Palatino Linotype"/>
          <w:sz w:val="22"/>
          <w:szCs w:val="22"/>
          <w:lang w:val="es-ES"/>
        </w:rPr>
        <w:t xml:space="preserve"> </w:t>
      </w:r>
      <w:proofErr w:type="spellStart"/>
      <w:r>
        <w:rPr>
          <w:rFonts w:eastAsia="Palatino Linotype"/>
          <w:sz w:val="22"/>
          <w:szCs w:val="22"/>
          <w:lang w:val="es-ES"/>
        </w:rPr>
        <w:t>may</w:t>
      </w:r>
      <w:proofErr w:type="spellEnd"/>
      <w:r>
        <w:rPr>
          <w:rFonts w:eastAsia="Palatino Linotype"/>
          <w:sz w:val="22"/>
          <w:szCs w:val="22"/>
          <w:lang w:val="es-ES"/>
        </w:rPr>
        <w:t xml:space="preserve"> </w:t>
      </w:r>
      <w:proofErr w:type="spellStart"/>
      <w:r>
        <w:rPr>
          <w:rFonts w:eastAsia="Palatino Linotype"/>
          <w:sz w:val="22"/>
          <w:szCs w:val="22"/>
          <w:lang w:val="es-ES"/>
        </w:rPr>
        <w:t>affect</w:t>
      </w:r>
      <w:proofErr w:type="spellEnd"/>
      <w:r>
        <w:rPr>
          <w:rFonts w:eastAsia="Palatino Linotype"/>
          <w:sz w:val="22"/>
          <w:szCs w:val="22"/>
          <w:lang w:val="es-ES"/>
        </w:rPr>
        <w:t xml:space="preserve"> </w:t>
      </w:r>
      <w:proofErr w:type="spellStart"/>
      <w:r>
        <w:rPr>
          <w:rFonts w:eastAsia="Palatino Linotype"/>
          <w:sz w:val="22"/>
          <w:szCs w:val="22"/>
          <w:lang w:val="es-ES"/>
        </w:rPr>
        <w:t>their</w:t>
      </w:r>
      <w:proofErr w:type="spellEnd"/>
      <w:r>
        <w:rPr>
          <w:rFonts w:eastAsia="Palatino Linotype"/>
          <w:sz w:val="22"/>
          <w:szCs w:val="22"/>
          <w:lang w:val="es-ES"/>
        </w:rPr>
        <w:t xml:space="preserve"> </w:t>
      </w:r>
      <w:proofErr w:type="spellStart"/>
      <w:r>
        <w:rPr>
          <w:rFonts w:eastAsia="Palatino Linotype"/>
          <w:sz w:val="22"/>
          <w:szCs w:val="22"/>
          <w:lang w:val="es-ES"/>
        </w:rPr>
        <w:t>impartiality</w:t>
      </w:r>
      <w:proofErr w:type="spellEnd"/>
      <w:r>
        <w:rPr>
          <w:rFonts w:eastAsia="Palatino Linotype"/>
          <w:sz w:val="22"/>
          <w:szCs w:val="22"/>
          <w:lang w:val="es-ES"/>
        </w:rPr>
        <w:t>.</w:t>
      </w:r>
    </w:p>
    <w:p w14:paraId="7EB0ED4D" w14:textId="77777777" w:rsidR="00E255F4" w:rsidRDefault="00E255F4">
      <w:pPr>
        <w:ind w:right="-142"/>
        <w:jc w:val="both"/>
        <w:rPr>
          <w:rFonts w:eastAsia="Palatino Linotype"/>
          <w:spacing w:val="-1"/>
          <w:sz w:val="22"/>
          <w:szCs w:val="22"/>
          <w:lang w:val="es-ES"/>
        </w:rPr>
      </w:pPr>
    </w:p>
    <w:p w14:paraId="648C983C" w14:textId="77777777" w:rsidR="00E255F4" w:rsidRDefault="00000000">
      <w:pPr>
        <w:ind w:right="-142"/>
        <w:jc w:val="both"/>
        <w:rPr>
          <w:rFonts w:eastAsia="Palatino Linotype"/>
          <w:sz w:val="22"/>
          <w:szCs w:val="22"/>
          <w:lang w:val="es-ES"/>
        </w:rPr>
      </w:pPr>
      <w:proofErr w:type="spellStart"/>
      <w:r>
        <w:rPr>
          <w:rFonts w:eastAsia="Palatino Linotype"/>
          <w:sz w:val="22"/>
          <w:szCs w:val="22"/>
          <w:lang w:val="es-ES"/>
        </w:rPr>
        <w:t>Finally</w:t>
      </w:r>
      <w:proofErr w:type="spellEnd"/>
      <w:r>
        <w:rPr>
          <w:rFonts w:eastAsia="Palatino Linotype"/>
          <w:sz w:val="22"/>
          <w:szCs w:val="22"/>
          <w:lang w:val="es-ES"/>
        </w:rPr>
        <w:t xml:space="preserve">, </w:t>
      </w:r>
      <w:proofErr w:type="spellStart"/>
      <w:r>
        <w:rPr>
          <w:rFonts w:eastAsia="Palatino Linotype"/>
          <w:sz w:val="22"/>
          <w:szCs w:val="22"/>
          <w:lang w:val="es-ES"/>
        </w:rPr>
        <w:t>the</w:t>
      </w:r>
      <w:proofErr w:type="spellEnd"/>
      <w:r>
        <w:rPr>
          <w:rFonts w:eastAsia="Palatino Linotype"/>
          <w:sz w:val="22"/>
          <w:szCs w:val="22"/>
          <w:lang w:val="es-ES"/>
        </w:rPr>
        <w:t xml:space="preserve"> </w:t>
      </w:r>
      <w:proofErr w:type="spellStart"/>
      <w:r>
        <w:rPr>
          <w:rFonts w:eastAsia="Palatino Linotype"/>
          <w:sz w:val="22"/>
          <w:szCs w:val="22"/>
          <w:lang w:val="es-ES"/>
        </w:rPr>
        <w:t>Adjudication</w:t>
      </w:r>
      <w:proofErr w:type="spellEnd"/>
      <w:r>
        <w:rPr>
          <w:rFonts w:eastAsia="Palatino Linotype"/>
          <w:sz w:val="22"/>
          <w:szCs w:val="22"/>
          <w:lang w:val="es-ES"/>
        </w:rPr>
        <w:t xml:space="preserve"> </w:t>
      </w:r>
      <w:proofErr w:type="spellStart"/>
      <w:r>
        <w:rPr>
          <w:rFonts w:eastAsia="Palatino Linotype"/>
          <w:sz w:val="22"/>
          <w:szCs w:val="22"/>
          <w:lang w:val="es-ES"/>
        </w:rPr>
        <w:t>Advisory</w:t>
      </w:r>
      <w:proofErr w:type="spellEnd"/>
      <w:r>
        <w:rPr>
          <w:rFonts w:eastAsia="Palatino Linotype"/>
          <w:sz w:val="22"/>
          <w:szCs w:val="22"/>
          <w:lang w:val="es-ES"/>
        </w:rPr>
        <w:t xml:space="preserve"> </w:t>
      </w:r>
      <w:proofErr w:type="spellStart"/>
      <w:r>
        <w:rPr>
          <w:rFonts w:eastAsia="Palatino Linotype"/>
          <w:sz w:val="22"/>
          <w:szCs w:val="22"/>
          <w:lang w:val="es-ES"/>
        </w:rPr>
        <w:t>Commission</w:t>
      </w:r>
      <w:proofErr w:type="spellEnd"/>
      <w:r>
        <w:rPr>
          <w:rFonts w:eastAsia="Palatino Linotype"/>
          <w:sz w:val="22"/>
          <w:szCs w:val="22"/>
          <w:lang w:val="es-ES"/>
        </w:rPr>
        <w:t xml:space="preserve"> </w:t>
      </w:r>
      <w:proofErr w:type="spellStart"/>
      <w:r>
        <w:rPr>
          <w:rFonts w:eastAsia="Palatino Linotype"/>
          <w:sz w:val="22"/>
          <w:szCs w:val="22"/>
          <w:lang w:val="es-ES"/>
        </w:rPr>
        <w:t>will</w:t>
      </w:r>
      <w:proofErr w:type="spellEnd"/>
      <w:r>
        <w:rPr>
          <w:rFonts w:eastAsia="Palatino Linotype"/>
          <w:sz w:val="22"/>
          <w:szCs w:val="22"/>
          <w:lang w:val="es-ES"/>
        </w:rPr>
        <w:t xml:space="preserve"> </w:t>
      </w:r>
      <w:proofErr w:type="spellStart"/>
      <w:r>
        <w:rPr>
          <w:rFonts w:eastAsia="Palatino Linotype"/>
          <w:sz w:val="22"/>
          <w:szCs w:val="22"/>
          <w:lang w:val="es-ES"/>
        </w:rPr>
        <w:t>issue</w:t>
      </w:r>
      <w:proofErr w:type="spellEnd"/>
      <w:r>
        <w:rPr>
          <w:rFonts w:eastAsia="Palatino Linotype"/>
          <w:sz w:val="22"/>
          <w:szCs w:val="22"/>
          <w:lang w:val="es-ES"/>
        </w:rPr>
        <w:t xml:space="preserve"> </w:t>
      </w:r>
      <w:proofErr w:type="spellStart"/>
      <w:r>
        <w:rPr>
          <w:rFonts w:eastAsia="Palatino Linotype"/>
          <w:sz w:val="22"/>
          <w:szCs w:val="22"/>
          <w:lang w:val="es-ES"/>
        </w:rPr>
        <w:t>its</w:t>
      </w:r>
      <w:proofErr w:type="spellEnd"/>
      <w:r>
        <w:rPr>
          <w:rFonts w:eastAsia="Palatino Linotype"/>
          <w:sz w:val="22"/>
          <w:szCs w:val="22"/>
          <w:lang w:val="es-ES"/>
        </w:rPr>
        <w:t xml:space="preserve"> </w:t>
      </w:r>
      <w:proofErr w:type="spellStart"/>
      <w:r>
        <w:rPr>
          <w:rFonts w:eastAsia="Palatino Linotype"/>
          <w:sz w:val="22"/>
          <w:szCs w:val="22"/>
          <w:lang w:val="es-ES"/>
        </w:rPr>
        <w:t>report</w:t>
      </w:r>
      <w:proofErr w:type="spellEnd"/>
      <w:r>
        <w:rPr>
          <w:rFonts w:eastAsia="Palatino Linotype"/>
          <w:sz w:val="22"/>
          <w:szCs w:val="22"/>
          <w:lang w:val="es-ES"/>
        </w:rPr>
        <w:t xml:space="preserve">, </w:t>
      </w:r>
      <w:proofErr w:type="spellStart"/>
      <w:r>
        <w:rPr>
          <w:rFonts w:eastAsia="Palatino Linotype"/>
          <w:sz w:val="22"/>
          <w:szCs w:val="22"/>
          <w:lang w:val="es-ES"/>
        </w:rPr>
        <w:t>which</w:t>
      </w:r>
      <w:proofErr w:type="spellEnd"/>
      <w:r>
        <w:rPr>
          <w:rFonts w:eastAsia="Palatino Linotype"/>
          <w:sz w:val="22"/>
          <w:szCs w:val="22"/>
          <w:lang w:val="es-ES"/>
        </w:rPr>
        <w:t xml:space="preserve"> </w:t>
      </w:r>
      <w:proofErr w:type="spellStart"/>
      <w:r>
        <w:rPr>
          <w:rFonts w:eastAsia="Palatino Linotype"/>
          <w:sz w:val="22"/>
          <w:szCs w:val="22"/>
          <w:lang w:val="es-ES"/>
        </w:rPr>
        <w:t>must</w:t>
      </w:r>
      <w:proofErr w:type="spellEnd"/>
      <w:r>
        <w:rPr>
          <w:rFonts w:eastAsia="Palatino Linotype"/>
          <w:sz w:val="22"/>
          <w:szCs w:val="22"/>
          <w:lang w:val="es-ES"/>
        </w:rPr>
        <w:t xml:space="preserve"> </w:t>
      </w:r>
      <w:proofErr w:type="spellStart"/>
      <w:r>
        <w:rPr>
          <w:rFonts w:eastAsia="Palatino Linotype"/>
          <w:sz w:val="22"/>
          <w:szCs w:val="22"/>
          <w:lang w:val="es-ES"/>
        </w:rPr>
        <w:t>contain</w:t>
      </w:r>
      <w:proofErr w:type="spellEnd"/>
      <w:r>
        <w:rPr>
          <w:rFonts w:eastAsia="Palatino Linotype"/>
          <w:sz w:val="22"/>
          <w:szCs w:val="22"/>
          <w:lang w:val="es-ES"/>
        </w:rPr>
        <w:t xml:space="preserve"> </w:t>
      </w:r>
      <w:proofErr w:type="spellStart"/>
      <w:r>
        <w:rPr>
          <w:rFonts w:eastAsia="Palatino Linotype"/>
          <w:sz w:val="22"/>
          <w:szCs w:val="22"/>
          <w:lang w:val="es-ES"/>
        </w:rPr>
        <w:t>the</w:t>
      </w:r>
      <w:proofErr w:type="spellEnd"/>
      <w:r>
        <w:rPr>
          <w:rFonts w:eastAsia="Palatino Linotype"/>
          <w:sz w:val="22"/>
          <w:szCs w:val="22"/>
          <w:lang w:val="es-ES"/>
        </w:rPr>
        <w:t xml:space="preserve"> </w:t>
      </w:r>
      <w:proofErr w:type="spellStart"/>
      <w:r>
        <w:rPr>
          <w:rFonts w:eastAsia="Palatino Linotype"/>
          <w:sz w:val="22"/>
          <w:szCs w:val="22"/>
          <w:lang w:val="es-ES"/>
        </w:rPr>
        <w:t>grounds</w:t>
      </w:r>
      <w:proofErr w:type="spellEnd"/>
      <w:r>
        <w:rPr>
          <w:rFonts w:eastAsia="Palatino Linotype"/>
          <w:sz w:val="22"/>
          <w:szCs w:val="22"/>
          <w:lang w:val="es-ES"/>
        </w:rPr>
        <w:t xml:space="preserve"> </w:t>
      </w:r>
      <w:proofErr w:type="spellStart"/>
      <w:r>
        <w:rPr>
          <w:rFonts w:eastAsia="Palatino Linotype"/>
          <w:sz w:val="22"/>
          <w:szCs w:val="22"/>
          <w:lang w:val="es-ES"/>
        </w:rPr>
        <w:t>that</w:t>
      </w:r>
      <w:proofErr w:type="spellEnd"/>
      <w:r>
        <w:rPr>
          <w:rFonts w:eastAsia="Palatino Linotype"/>
          <w:sz w:val="22"/>
          <w:szCs w:val="22"/>
          <w:lang w:val="es-ES"/>
        </w:rPr>
        <w:t xml:space="preserve"> </w:t>
      </w:r>
      <w:proofErr w:type="spellStart"/>
      <w:r>
        <w:rPr>
          <w:rFonts w:eastAsia="Palatino Linotype"/>
          <w:sz w:val="22"/>
          <w:szCs w:val="22"/>
          <w:lang w:val="es-ES"/>
        </w:rPr>
        <w:t>support</w:t>
      </w:r>
      <w:proofErr w:type="spellEnd"/>
      <w:r>
        <w:rPr>
          <w:rFonts w:eastAsia="Palatino Linotype"/>
          <w:sz w:val="22"/>
          <w:szCs w:val="22"/>
          <w:lang w:val="es-ES"/>
        </w:rPr>
        <w:t xml:space="preserve"> </w:t>
      </w:r>
      <w:proofErr w:type="spellStart"/>
      <w:r>
        <w:rPr>
          <w:rFonts w:eastAsia="Palatino Linotype"/>
          <w:sz w:val="22"/>
          <w:szCs w:val="22"/>
          <w:lang w:val="es-ES"/>
        </w:rPr>
        <w:t>its</w:t>
      </w:r>
      <w:proofErr w:type="spellEnd"/>
      <w:r>
        <w:rPr>
          <w:rFonts w:eastAsia="Palatino Linotype"/>
          <w:sz w:val="22"/>
          <w:szCs w:val="22"/>
          <w:lang w:val="es-ES"/>
        </w:rPr>
        <w:t xml:space="preserve"> </w:t>
      </w:r>
      <w:proofErr w:type="spellStart"/>
      <w:r>
        <w:rPr>
          <w:rFonts w:eastAsia="Palatino Linotype"/>
          <w:sz w:val="22"/>
          <w:szCs w:val="22"/>
          <w:lang w:val="es-ES"/>
        </w:rPr>
        <w:t>admissibility</w:t>
      </w:r>
      <w:proofErr w:type="spellEnd"/>
      <w:r>
        <w:rPr>
          <w:rFonts w:eastAsia="Palatino Linotype"/>
          <w:sz w:val="22"/>
          <w:szCs w:val="22"/>
          <w:lang w:val="es-ES"/>
        </w:rPr>
        <w:t xml:space="preserve"> </w:t>
      </w:r>
      <w:proofErr w:type="spellStart"/>
      <w:r>
        <w:rPr>
          <w:rFonts w:eastAsia="Palatino Linotype"/>
          <w:sz w:val="22"/>
          <w:szCs w:val="22"/>
          <w:lang w:val="es-ES"/>
        </w:rPr>
        <w:t>judgment</w:t>
      </w:r>
      <w:proofErr w:type="spellEnd"/>
      <w:r>
        <w:rPr>
          <w:rFonts w:eastAsia="Palatino Linotype"/>
          <w:sz w:val="22"/>
          <w:szCs w:val="22"/>
          <w:lang w:val="es-ES"/>
        </w:rPr>
        <w:t xml:space="preserve"> and </w:t>
      </w:r>
      <w:proofErr w:type="spellStart"/>
      <w:r>
        <w:rPr>
          <w:rFonts w:eastAsia="Palatino Linotype"/>
          <w:sz w:val="22"/>
          <w:szCs w:val="22"/>
          <w:lang w:val="es-ES"/>
        </w:rPr>
        <w:t>its</w:t>
      </w:r>
      <w:proofErr w:type="spellEnd"/>
      <w:r>
        <w:rPr>
          <w:rFonts w:eastAsia="Palatino Linotype"/>
          <w:sz w:val="22"/>
          <w:szCs w:val="22"/>
          <w:lang w:val="es-ES"/>
        </w:rPr>
        <w:t xml:space="preserve"> </w:t>
      </w:r>
      <w:proofErr w:type="spellStart"/>
      <w:r>
        <w:rPr>
          <w:rFonts w:eastAsia="Palatino Linotype"/>
          <w:sz w:val="22"/>
          <w:szCs w:val="22"/>
          <w:lang w:val="es-ES"/>
        </w:rPr>
        <w:t>choice</w:t>
      </w:r>
      <w:proofErr w:type="spellEnd"/>
      <w:r>
        <w:rPr>
          <w:rFonts w:eastAsia="Palatino Linotype"/>
          <w:sz w:val="22"/>
          <w:szCs w:val="22"/>
          <w:lang w:val="es-ES"/>
        </w:rPr>
        <w:t xml:space="preserve"> </w:t>
      </w:r>
      <w:proofErr w:type="spellStart"/>
      <w:r>
        <w:rPr>
          <w:rFonts w:eastAsia="Palatino Linotype"/>
          <w:sz w:val="22"/>
          <w:szCs w:val="22"/>
          <w:lang w:val="es-ES"/>
        </w:rPr>
        <w:t>of</w:t>
      </w:r>
      <w:proofErr w:type="spellEnd"/>
      <w:r>
        <w:rPr>
          <w:rFonts w:eastAsia="Palatino Linotype"/>
          <w:sz w:val="22"/>
          <w:szCs w:val="22"/>
          <w:lang w:val="es-ES"/>
        </w:rPr>
        <w:t xml:space="preserve"> </w:t>
      </w:r>
      <w:proofErr w:type="spellStart"/>
      <w:r>
        <w:rPr>
          <w:rFonts w:eastAsia="Palatino Linotype"/>
          <w:sz w:val="22"/>
          <w:szCs w:val="22"/>
          <w:lang w:val="es-ES"/>
        </w:rPr>
        <w:t>the</w:t>
      </w:r>
      <w:proofErr w:type="spellEnd"/>
      <w:r>
        <w:rPr>
          <w:rFonts w:eastAsia="Palatino Linotype"/>
          <w:sz w:val="22"/>
          <w:szCs w:val="22"/>
          <w:lang w:val="es-ES"/>
        </w:rPr>
        <w:t xml:space="preserve"> </w:t>
      </w:r>
      <w:proofErr w:type="spellStart"/>
      <w:r>
        <w:rPr>
          <w:rFonts w:eastAsia="Palatino Linotype"/>
          <w:sz w:val="22"/>
          <w:szCs w:val="22"/>
          <w:lang w:val="es-ES"/>
        </w:rPr>
        <w:t>most</w:t>
      </w:r>
      <w:proofErr w:type="spellEnd"/>
      <w:r>
        <w:rPr>
          <w:rFonts w:eastAsia="Palatino Linotype"/>
          <w:sz w:val="22"/>
          <w:szCs w:val="22"/>
          <w:lang w:val="es-ES"/>
        </w:rPr>
        <w:t xml:space="preserve"> </w:t>
      </w:r>
      <w:proofErr w:type="spellStart"/>
      <w:r>
        <w:rPr>
          <w:rFonts w:eastAsia="Palatino Linotype"/>
          <w:sz w:val="22"/>
          <w:szCs w:val="22"/>
          <w:lang w:val="es-ES"/>
        </w:rPr>
        <w:t>convenient</w:t>
      </w:r>
      <w:proofErr w:type="spellEnd"/>
      <w:r>
        <w:rPr>
          <w:rFonts w:eastAsia="Palatino Linotype"/>
          <w:sz w:val="22"/>
          <w:szCs w:val="22"/>
          <w:lang w:val="es-ES"/>
        </w:rPr>
        <w:t xml:space="preserve"> </w:t>
      </w:r>
      <w:proofErr w:type="spellStart"/>
      <w:r>
        <w:rPr>
          <w:rFonts w:eastAsia="Palatino Linotype"/>
          <w:sz w:val="22"/>
          <w:szCs w:val="22"/>
          <w:lang w:val="es-ES"/>
        </w:rPr>
        <w:t>offer</w:t>
      </w:r>
      <w:proofErr w:type="spellEnd"/>
      <w:r>
        <w:rPr>
          <w:rFonts w:eastAsia="Palatino Linotype"/>
          <w:sz w:val="22"/>
          <w:szCs w:val="22"/>
          <w:lang w:val="es-ES"/>
        </w:rPr>
        <w:t xml:space="preserve">, </w:t>
      </w:r>
      <w:proofErr w:type="spellStart"/>
      <w:r>
        <w:rPr>
          <w:rFonts w:eastAsia="Palatino Linotype"/>
          <w:sz w:val="22"/>
          <w:szCs w:val="22"/>
          <w:lang w:val="es-ES"/>
        </w:rPr>
        <w:t>explaining</w:t>
      </w:r>
      <w:proofErr w:type="spellEnd"/>
      <w:r>
        <w:rPr>
          <w:rFonts w:eastAsia="Palatino Linotype"/>
          <w:sz w:val="22"/>
          <w:szCs w:val="22"/>
          <w:lang w:val="es-ES"/>
        </w:rPr>
        <w:t xml:space="preserve"> </w:t>
      </w:r>
      <w:proofErr w:type="spellStart"/>
      <w:r>
        <w:rPr>
          <w:rFonts w:eastAsia="Palatino Linotype"/>
          <w:sz w:val="22"/>
          <w:szCs w:val="22"/>
          <w:lang w:val="es-ES"/>
        </w:rPr>
        <w:t>the</w:t>
      </w:r>
      <w:proofErr w:type="spellEnd"/>
      <w:r>
        <w:rPr>
          <w:rFonts w:eastAsia="Palatino Linotype"/>
          <w:sz w:val="22"/>
          <w:szCs w:val="22"/>
          <w:lang w:val="es-ES"/>
        </w:rPr>
        <w:t xml:space="preserve"> </w:t>
      </w:r>
      <w:proofErr w:type="spellStart"/>
      <w:r>
        <w:rPr>
          <w:rFonts w:eastAsia="Palatino Linotype"/>
          <w:sz w:val="22"/>
          <w:szCs w:val="22"/>
          <w:lang w:val="es-ES"/>
        </w:rPr>
        <w:t>reasons</w:t>
      </w:r>
      <w:proofErr w:type="spellEnd"/>
      <w:r>
        <w:rPr>
          <w:rFonts w:eastAsia="Palatino Linotype"/>
          <w:sz w:val="22"/>
          <w:szCs w:val="22"/>
          <w:lang w:val="es-ES"/>
        </w:rPr>
        <w:t xml:space="preserve"> </w:t>
      </w:r>
      <w:proofErr w:type="spellStart"/>
      <w:r>
        <w:rPr>
          <w:rFonts w:eastAsia="Palatino Linotype"/>
          <w:sz w:val="22"/>
          <w:szCs w:val="22"/>
          <w:lang w:val="es-ES"/>
        </w:rPr>
        <w:t>for</w:t>
      </w:r>
      <w:proofErr w:type="spellEnd"/>
      <w:r>
        <w:rPr>
          <w:rFonts w:eastAsia="Palatino Linotype"/>
          <w:sz w:val="22"/>
          <w:szCs w:val="22"/>
          <w:lang w:val="es-ES"/>
        </w:rPr>
        <w:t xml:space="preserve"> </w:t>
      </w:r>
      <w:proofErr w:type="spellStart"/>
      <w:r>
        <w:rPr>
          <w:rFonts w:eastAsia="Palatino Linotype"/>
          <w:sz w:val="22"/>
          <w:szCs w:val="22"/>
          <w:lang w:val="es-ES"/>
        </w:rPr>
        <w:t>it</w:t>
      </w:r>
      <w:proofErr w:type="spellEnd"/>
      <w:r>
        <w:rPr>
          <w:rFonts w:eastAsia="Palatino Linotype"/>
          <w:sz w:val="22"/>
          <w:szCs w:val="22"/>
          <w:lang w:val="es-ES"/>
        </w:rPr>
        <w:t>.</w:t>
      </w:r>
    </w:p>
    <w:p w14:paraId="00B919FB" w14:textId="77777777" w:rsidR="00E255F4" w:rsidRDefault="00E255F4">
      <w:pPr>
        <w:ind w:right="-142"/>
        <w:jc w:val="both"/>
        <w:rPr>
          <w:rFonts w:eastAsia="Palatino Linotype"/>
          <w:spacing w:val="-1"/>
          <w:sz w:val="22"/>
          <w:szCs w:val="22"/>
          <w:lang w:val="es-ES"/>
        </w:rPr>
      </w:pPr>
    </w:p>
    <w:p w14:paraId="5826600A" w14:textId="77777777" w:rsidR="00E255F4" w:rsidRDefault="00000000">
      <w:pPr>
        <w:ind w:right="-142"/>
        <w:jc w:val="both"/>
        <w:rPr>
          <w:rFonts w:eastAsia="Palatino Linotype"/>
          <w:sz w:val="22"/>
          <w:szCs w:val="22"/>
          <w:lang w:val="es-ES"/>
        </w:rPr>
      </w:pPr>
      <w:proofErr w:type="spellStart"/>
      <w:r>
        <w:rPr>
          <w:rFonts w:eastAsia="Palatino Linotype"/>
          <w:spacing w:val="-1"/>
          <w:sz w:val="22"/>
          <w:szCs w:val="22"/>
          <w:lang w:val="es-ES"/>
        </w:rPr>
        <w:t>AND</w:t>
      </w:r>
      <w:r>
        <w:rPr>
          <w:rFonts w:eastAsia="Palatino Linotype"/>
          <w:sz w:val="22"/>
          <w:szCs w:val="22"/>
          <w:lang w:val="es-ES"/>
        </w:rPr>
        <w:t>The</w:t>
      </w:r>
      <w:proofErr w:type="spellEnd"/>
      <w:r>
        <w:rPr>
          <w:rFonts w:eastAsia="Palatino Linotype"/>
          <w:sz w:val="22"/>
          <w:szCs w:val="22"/>
          <w:lang w:val="es-ES"/>
        </w:rPr>
        <w:t xml:space="preserve"> </w:t>
      </w:r>
      <w:proofErr w:type="spellStart"/>
      <w:r>
        <w:rPr>
          <w:rFonts w:eastAsia="Palatino Linotype"/>
          <w:sz w:val="22"/>
          <w:szCs w:val="22"/>
          <w:lang w:val="es-ES"/>
        </w:rPr>
        <w:t>decision</w:t>
      </w:r>
      <w:proofErr w:type="spellEnd"/>
      <w:r>
        <w:rPr>
          <w:rFonts w:eastAsia="Palatino Linotype"/>
          <w:sz w:val="22"/>
          <w:szCs w:val="22"/>
          <w:lang w:val="es-ES"/>
        </w:rPr>
        <w:t xml:space="preserve"> </w:t>
      </w:r>
      <w:proofErr w:type="spellStart"/>
      <w:r>
        <w:rPr>
          <w:rFonts w:eastAsia="Palatino Linotype"/>
          <w:sz w:val="22"/>
          <w:szCs w:val="22"/>
          <w:lang w:val="es-ES"/>
        </w:rPr>
        <w:t>must</w:t>
      </w:r>
      <w:proofErr w:type="spellEnd"/>
      <w:r>
        <w:rPr>
          <w:rFonts w:eastAsia="Palatino Linotype"/>
          <w:sz w:val="22"/>
          <w:szCs w:val="22"/>
          <w:lang w:val="es-ES"/>
        </w:rPr>
        <w:t xml:space="preserve"> be </w:t>
      </w:r>
      <w:proofErr w:type="spellStart"/>
      <w:r>
        <w:rPr>
          <w:rFonts w:eastAsia="Palatino Linotype"/>
          <w:sz w:val="22"/>
          <w:szCs w:val="22"/>
          <w:lang w:val="es-ES"/>
        </w:rPr>
        <w:t>made</w:t>
      </w:r>
      <w:proofErr w:type="spellEnd"/>
      <w:r>
        <w:rPr>
          <w:rFonts w:eastAsia="Palatino Linotype"/>
          <w:sz w:val="22"/>
          <w:szCs w:val="22"/>
          <w:lang w:val="es-ES"/>
        </w:rPr>
        <w:t xml:space="preserve"> </w:t>
      </w:r>
      <w:proofErr w:type="spellStart"/>
      <w:r>
        <w:rPr>
          <w:rFonts w:eastAsia="Palatino Linotype"/>
          <w:sz w:val="22"/>
          <w:szCs w:val="22"/>
          <w:lang w:val="es-ES"/>
        </w:rPr>
        <w:t>on</w:t>
      </w:r>
      <w:proofErr w:type="spellEnd"/>
      <w:r>
        <w:rPr>
          <w:rFonts w:eastAsia="Palatino Linotype"/>
          <w:sz w:val="22"/>
          <w:szCs w:val="22"/>
          <w:lang w:val="es-ES"/>
        </w:rPr>
        <w:t xml:space="preserve"> </w:t>
      </w:r>
      <w:proofErr w:type="spellStart"/>
      <w:r>
        <w:rPr>
          <w:rFonts w:eastAsia="Palatino Linotype"/>
          <w:sz w:val="22"/>
          <w:szCs w:val="22"/>
          <w:lang w:val="es-ES"/>
        </w:rPr>
        <w:t>each</w:t>
      </w:r>
      <w:proofErr w:type="spellEnd"/>
      <w:r>
        <w:rPr>
          <w:rFonts w:eastAsia="Palatino Linotype"/>
          <w:sz w:val="22"/>
          <w:szCs w:val="22"/>
          <w:lang w:val="es-ES"/>
        </w:rPr>
        <w:t xml:space="preserve"> </w:t>
      </w:r>
      <w:proofErr w:type="spellStart"/>
      <w:r>
        <w:rPr>
          <w:rFonts w:eastAsia="Palatino Linotype"/>
          <w:sz w:val="22"/>
          <w:szCs w:val="22"/>
          <w:lang w:val="es-ES"/>
        </w:rPr>
        <w:t>item</w:t>
      </w:r>
      <w:proofErr w:type="spellEnd"/>
      <w:r>
        <w:rPr>
          <w:rFonts w:eastAsia="Palatino Linotype"/>
          <w:sz w:val="22"/>
          <w:szCs w:val="22"/>
          <w:lang w:val="es-ES"/>
        </w:rPr>
        <w:t xml:space="preserve">, </w:t>
      </w:r>
      <w:proofErr w:type="spellStart"/>
      <w:r>
        <w:rPr>
          <w:rFonts w:eastAsia="Palatino Linotype"/>
          <w:sz w:val="22"/>
          <w:szCs w:val="22"/>
          <w:lang w:val="es-ES"/>
        </w:rPr>
        <w:t>unless</w:t>
      </w:r>
      <w:proofErr w:type="spellEnd"/>
      <w:r>
        <w:rPr>
          <w:rFonts w:eastAsia="Palatino Linotype"/>
          <w:sz w:val="22"/>
          <w:szCs w:val="22"/>
          <w:lang w:val="es-ES"/>
        </w:rPr>
        <w:t xml:space="preserve"> a </w:t>
      </w:r>
      <w:proofErr w:type="spellStart"/>
      <w:r>
        <w:rPr>
          <w:rFonts w:eastAsia="Palatino Linotype"/>
          <w:sz w:val="22"/>
          <w:szCs w:val="22"/>
          <w:lang w:val="es-ES"/>
        </w:rPr>
        <w:t>different</w:t>
      </w:r>
      <w:proofErr w:type="spellEnd"/>
      <w:r>
        <w:rPr>
          <w:rFonts w:eastAsia="Palatino Linotype"/>
          <w:sz w:val="22"/>
          <w:szCs w:val="22"/>
          <w:lang w:val="es-ES"/>
        </w:rPr>
        <w:t xml:space="preserve"> </w:t>
      </w:r>
      <w:proofErr w:type="spellStart"/>
      <w:r>
        <w:rPr>
          <w:rFonts w:eastAsia="Palatino Linotype"/>
          <w:sz w:val="22"/>
          <w:szCs w:val="22"/>
          <w:lang w:val="es-ES"/>
        </w:rPr>
        <w:t>criterion</w:t>
      </w:r>
      <w:proofErr w:type="spellEnd"/>
      <w:r>
        <w:rPr>
          <w:rFonts w:eastAsia="Palatino Linotype"/>
          <w:sz w:val="22"/>
          <w:szCs w:val="22"/>
          <w:lang w:val="es-ES"/>
        </w:rPr>
        <w:t xml:space="preserve"> </w:t>
      </w:r>
      <w:proofErr w:type="spellStart"/>
      <w:r>
        <w:rPr>
          <w:rFonts w:eastAsia="Palatino Linotype"/>
          <w:sz w:val="22"/>
          <w:szCs w:val="22"/>
          <w:lang w:val="es-ES"/>
        </w:rPr>
        <w:t>is</w:t>
      </w:r>
      <w:proofErr w:type="spellEnd"/>
      <w:r>
        <w:rPr>
          <w:rFonts w:eastAsia="Palatino Linotype"/>
          <w:sz w:val="22"/>
          <w:szCs w:val="22"/>
          <w:lang w:val="es-ES"/>
        </w:rPr>
        <w:t xml:space="preserve"> </w:t>
      </w:r>
      <w:proofErr w:type="spellStart"/>
      <w:r>
        <w:rPr>
          <w:rFonts w:eastAsia="Palatino Linotype"/>
          <w:sz w:val="22"/>
          <w:szCs w:val="22"/>
          <w:lang w:val="es-ES"/>
        </w:rPr>
        <w:t>established</w:t>
      </w:r>
      <w:proofErr w:type="spellEnd"/>
      <w:r>
        <w:rPr>
          <w:rFonts w:eastAsia="Palatino Linotype"/>
          <w:sz w:val="22"/>
          <w:szCs w:val="22"/>
          <w:lang w:val="es-ES"/>
        </w:rPr>
        <w:t xml:space="preserve"> in </w:t>
      </w:r>
      <w:proofErr w:type="spellStart"/>
      <w:r>
        <w:rPr>
          <w:rFonts w:eastAsia="Palatino Linotype"/>
          <w:sz w:val="22"/>
          <w:szCs w:val="22"/>
          <w:lang w:val="es-ES"/>
        </w:rPr>
        <w:t>the</w:t>
      </w:r>
      <w:proofErr w:type="spellEnd"/>
      <w:r>
        <w:rPr>
          <w:rFonts w:eastAsia="Palatino Linotype"/>
          <w:sz w:val="22"/>
          <w:szCs w:val="22"/>
          <w:lang w:val="es-ES"/>
        </w:rPr>
        <w:t xml:space="preserve"> Special </w:t>
      </w:r>
      <w:proofErr w:type="spellStart"/>
      <w:r>
        <w:rPr>
          <w:rFonts w:eastAsia="Palatino Linotype"/>
          <w:sz w:val="22"/>
          <w:szCs w:val="22"/>
          <w:lang w:val="es-ES"/>
        </w:rPr>
        <w:t>Specifications</w:t>
      </w:r>
      <w:proofErr w:type="spellEnd"/>
      <w:r>
        <w:rPr>
          <w:rFonts w:eastAsia="Palatino Linotype"/>
          <w:sz w:val="22"/>
          <w:szCs w:val="22"/>
          <w:lang w:val="es-ES"/>
        </w:rPr>
        <w:t>.</w:t>
      </w:r>
    </w:p>
    <w:p w14:paraId="533F3FC4" w14:textId="77777777" w:rsidR="00E255F4" w:rsidRDefault="00E255F4">
      <w:pPr>
        <w:ind w:right="-142"/>
        <w:jc w:val="both"/>
        <w:rPr>
          <w:rFonts w:eastAsia="Palatino Linotype"/>
          <w:spacing w:val="-1"/>
          <w:sz w:val="22"/>
          <w:szCs w:val="22"/>
          <w:lang w:val="es-ES"/>
        </w:rPr>
      </w:pPr>
    </w:p>
    <w:p w14:paraId="3C7E293B" w14:textId="77777777" w:rsidR="00E255F4" w:rsidRDefault="00000000">
      <w:pPr>
        <w:ind w:right="-142"/>
        <w:jc w:val="both"/>
        <w:rPr>
          <w:rFonts w:eastAsia="Palatino Linotype"/>
          <w:sz w:val="22"/>
          <w:szCs w:val="22"/>
          <w:lang w:val="es-ES"/>
        </w:rPr>
      </w:pPr>
      <w:proofErr w:type="spellStart"/>
      <w:r>
        <w:rPr>
          <w:rFonts w:eastAsia="Palatino Linotype"/>
          <w:spacing w:val="-1"/>
          <w:sz w:val="22"/>
          <w:szCs w:val="22"/>
          <w:lang w:val="es-ES"/>
        </w:rPr>
        <w:t>AND</w:t>
      </w:r>
      <w:r>
        <w:rPr>
          <w:rFonts w:eastAsia="Palatino Linotype"/>
          <w:sz w:val="22"/>
          <w:szCs w:val="22"/>
          <w:lang w:val="es-ES"/>
        </w:rPr>
        <w:t>The</w:t>
      </w:r>
      <w:proofErr w:type="spellEnd"/>
      <w:r>
        <w:rPr>
          <w:rFonts w:eastAsia="Palatino Linotype"/>
          <w:sz w:val="22"/>
          <w:szCs w:val="22"/>
          <w:lang w:val="es-ES"/>
        </w:rPr>
        <w:t xml:space="preserve"> </w:t>
      </w:r>
      <w:proofErr w:type="spellStart"/>
      <w:r>
        <w:rPr>
          <w:rFonts w:eastAsia="Palatino Linotype"/>
          <w:sz w:val="22"/>
          <w:szCs w:val="22"/>
          <w:lang w:val="es-ES"/>
        </w:rPr>
        <w:t>opinion</w:t>
      </w:r>
      <w:proofErr w:type="spellEnd"/>
      <w:r>
        <w:rPr>
          <w:rFonts w:eastAsia="Palatino Linotype"/>
          <w:sz w:val="22"/>
          <w:szCs w:val="22"/>
          <w:lang w:val="es-ES"/>
        </w:rPr>
        <w:t xml:space="preserve"> </w:t>
      </w:r>
      <w:proofErr w:type="spellStart"/>
      <w:r>
        <w:rPr>
          <w:rFonts w:eastAsia="Palatino Linotype"/>
          <w:sz w:val="22"/>
          <w:szCs w:val="22"/>
          <w:lang w:val="es-ES"/>
        </w:rPr>
        <w:t>of</w:t>
      </w:r>
      <w:proofErr w:type="spellEnd"/>
      <w:r>
        <w:rPr>
          <w:rFonts w:eastAsia="Palatino Linotype"/>
          <w:sz w:val="22"/>
          <w:szCs w:val="22"/>
          <w:lang w:val="es-ES"/>
        </w:rPr>
        <w:t xml:space="preserve"> </w:t>
      </w:r>
      <w:proofErr w:type="spellStart"/>
      <w:r>
        <w:rPr>
          <w:rFonts w:eastAsia="Palatino Linotype"/>
          <w:sz w:val="22"/>
          <w:szCs w:val="22"/>
          <w:lang w:val="es-ES"/>
        </w:rPr>
        <w:t>the</w:t>
      </w:r>
      <w:proofErr w:type="spellEnd"/>
      <w:r>
        <w:rPr>
          <w:rFonts w:eastAsia="Palatino Linotype"/>
          <w:sz w:val="22"/>
          <w:szCs w:val="22"/>
          <w:lang w:val="es-ES"/>
        </w:rPr>
        <w:t xml:space="preserve"> </w:t>
      </w:r>
      <w:proofErr w:type="spellStart"/>
      <w:r>
        <w:rPr>
          <w:rFonts w:eastAsia="Palatino Linotype"/>
          <w:sz w:val="22"/>
          <w:szCs w:val="22"/>
          <w:lang w:val="es-ES"/>
        </w:rPr>
        <w:t>Adjudication</w:t>
      </w:r>
      <w:proofErr w:type="spellEnd"/>
      <w:r>
        <w:rPr>
          <w:rFonts w:eastAsia="Palatino Linotype"/>
          <w:sz w:val="22"/>
          <w:szCs w:val="22"/>
          <w:lang w:val="es-ES"/>
        </w:rPr>
        <w:t xml:space="preserve"> </w:t>
      </w:r>
      <w:proofErr w:type="spellStart"/>
      <w:r>
        <w:rPr>
          <w:rFonts w:eastAsia="Palatino Linotype"/>
          <w:sz w:val="22"/>
          <w:szCs w:val="22"/>
          <w:lang w:val="es-ES"/>
        </w:rPr>
        <w:t>Advisory</w:t>
      </w:r>
      <w:proofErr w:type="spellEnd"/>
      <w:r>
        <w:rPr>
          <w:rFonts w:eastAsia="Palatino Linotype"/>
          <w:sz w:val="22"/>
          <w:szCs w:val="22"/>
          <w:lang w:val="es-ES"/>
        </w:rPr>
        <w:t xml:space="preserve"> </w:t>
      </w:r>
      <w:proofErr w:type="spellStart"/>
      <w:r>
        <w:rPr>
          <w:rFonts w:eastAsia="Palatino Linotype"/>
          <w:sz w:val="22"/>
          <w:szCs w:val="22"/>
          <w:lang w:val="es-ES"/>
        </w:rPr>
        <w:t>Commission</w:t>
      </w:r>
      <w:proofErr w:type="spellEnd"/>
      <w:r>
        <w:rPr>
          <w:rFonts w:eastAsia="Palatino Linotype"/>
          <w:sz w:val="22"/>
          <w:szCs w:val="22"/>
          <w:lang w:val="es-ES"/>
        </w:rPr>
        <w:t xml:space="preserve"> </w:t>
      </w:r>
      <w:proofErr w:type="spellStart"/>
      <w:r>
        <w:rPr>
          <w:rFonts w:eastAsia="Palatino Linotype"/>
          <w:sz w:val="22"/>
          <w:szCs w:val="22"/>
          <w:lang w:val="es-ES"/>
        </w:rPr>
        <w:t>does</w:t>
      </w:r>
      <w:proofErr w:type="spellEnd"/>
      <w:r>
        <w:rPr>
          <w:rFonts w:eastAsia="Palatino Linotype"/>
          <w:sz w:val="22"/>
          <w:szCs w:val="22"/>
          <w:lang w:val="es-ES"/>
        </w:rPr>
        <w:t xml:space="preserve"> </w:t>
      </w:r>
      <w:proofErr w:type="spellStart"/>
      <w:r>
        <w:rPr>
          <w:rFonts w:eastAsia="Palatino Linotype"/>
          <w:sz w:val="22"/>
          <w:szCs w:val="22"/>
          <w:lang w:val="es-ES"/>
        </w:rPr>
        <w:t>not</w:t>
      </w:r>
      <w:proofErr w:type="spellEnd"/>
      <w:r>
        <w:rPr>
          <w:rFonts w:eastAsia="Palatino Linotype"/>
          <w:sz w:val="22"/>
          <w:szCs w:val="22"/>
          <w:lang w:val="es-ES"/>
        </w:rPr>
        <w:t xml:space="preserve"> </w:t>
      </w:r>
      <w:proofErr w:type="spellStart"/>
      <w:r>
        <w:rPr>
          <w:rFonts w:eastAsia="Palatino Linotype"/>
          <w:sz w:val="22"/>
          <w:szCs w:val="22"/>
          <w:lang w:val="es-ES"/>
        </w:rPr>
        <w:t>generate</w:t>
      </w:r>
      <w:proofErr w:type="spellEnd"/>
      <w:r>
        <w:rPr>
          <w:rFonts w:eastAsia="Palatino Linotype"/>
          <w:sz w:val="22"/>
          <w:szCs w:val="22"/>
          <w:lang w:val="es-ES"/>
        </w:rPr>
        <w:t xml:space="preserve"> </w:t>
      </w:r>
      <w:proofErr w:type="spellStart"/>
      <w:r>
        <w:rPr>
          <w:rFonts w:eastAsia="Palatino Linotype"/>
          <w:sz w:val="22"/>
          <w:szCs w:val="22"/>
          <w:lang w:val="es-ES"/>
        </w:rPr>
        <w:t>any</w:t>
      </w:r>
      <w:proofErr w:type="spellEnd"/>
      <w:r>
        <w:rPr>
          <w:rFonts w:eastAsia="Palatino Linotype"/>
          <w:sz w:val="22"/>
          <w:szCs w:val="22"/>
          <w:lang w:val="es-ES"/>
        </w:rPr>
        <w:t xml:space="preserve"> </w:t>
      </w:r>
      <w:proofErr w:type="spellStart"/>
      <w:r>
        <w:rPr>
          <w:rFonts w:eastAsia="Palatino Linotype"/>
          <w:sz w:val="22"/>
          <w:szCs w:val="22"/>
          <w:lang w:val="es-ES"/>
        </w:rPr>
        <w:t>rights</w:t>
      </w:r>
      <w:proofErr w:type="spellEnd"/>
      <w:r>
        <w:rPr>
          <w:rFonts w:eastAsia="Palatino Linotype"/>
          <w:sz w:val="22"/>
          <w:szCs w:val="22"/>
          <w:lang w:val="es-ES"/>
        </w:rPr>
        <w:t xml:space="preserve"> in favor </w:t>
      </w:r>
      <w:proofErr w:type="spellStart"/>
      <w:r>
        <w:rPr>
          <w:rFonts w:eastAsia="Palatino Linotype"/>
          <w:sz w:val="22"/>
          <w:szCs w:val="22"/>
          <w:lang w:val="es-ES"/>
        </w:rPr>
        <w:t>of</w:t>
      </w:r>
      <w:proofErr w:type="spellEnd"/>
      <w:r>
        <w:rPr>
          <w:rFonts w:eastAsia="Palatino Linotype"/>
          <w:sz w:val="22"/>
          <w:szCs w:val="22"/>
          <w:lang w:val="es-ES"/>
        </w:rPr>
        <w:t xml:space="preserve"> </w:t>
      </w:r>
      <w:proofErr w:type="spellStart"/>
      <w:r>
        <w:rPr>
          <w:rFonts w:eastAsia="Palatino Linotype"/>
          <w:sz w:val="22"/>
          <w:szCs w:val="22"/>
          <w:lang w:val="es-ES"/>
        </w:rPr>
        <w:t>the</w:t>
      </w:r>
      <w:proofErr w:type="spellEnd"/>
      <w:r>
        <w:rPr>
          <w:rFonts w:eastAsia="Palatino Linotype"/>
          <w:sz w:val="22"/>
          <w:szCs w:val="22"/>
          <w:lang w:val="es-ES"/>
        </w:rPr>
        <w:t xml:space="preserve"> </w:t>
      </w:r>
      <w:proofErr w:type="spellStart"/>
      <w:r>
        <w:rPr>
          <w:rFonts w:eastAsia="Palatino Linotype"/>
          <w:sz w:val="22"/>
          <w:szCs w:val="22"/>
          <w:lang w:val="es-ES"/>
        </w:rPr>
        <w:t>bidders</w:t>
      </w:r>
      <w:proofErr w:type="spellEnd"/>
      <w:r>
        <w:rPr>
          <w:rFonts w:eastAsia="Palatino Linotype"/>
          <w:sz w:val="22"/>
          <w:szCs w:val="22"/>
          <w:lang w:val="es-ES"/>
        </w:rPr>
        <w:t>.</w:t>
      </w:r>
    </w:p>
    <w:p w14:paraId="4F008CE8" w14:textId="77777777" w:rsidR="00E255F4" w:rsidRDefault="00E255F4">
      <w:pPr>
        <w:rPr>
          <w:rFonts w:eastAsia="Palatino Linotype"/>
          <w:sz w:val="22"/>
          <w:szCs w:val="22"/>
          <w:lang w:val="es-ES"/>
        </w:rPr>
      </w:pPr>
    </w:p>
    <w:p w14:paraId="632A7D44" w14:textId="77777777" w:rsidR="00E255F4" w:rsidRDefault="00000000">
      <w:pPr>
        <w:ind w:right="-142"/>
        <w:jc w:val="both"/>
        <w:outlineLvl w:val="0"/>
        <w:rPr>
          <w:rFonts w:eastAsia="Palatino Linotype"/>
          <w:b/>
          <w:spacing w:val="-1"/>
          <w:sz w:val="22"/>
          <w:szCs w:val="22"/>
          <w:lang w:val="es-ES"/>
        </w:rPr>
      </w:pPr>
      <w:bookmarkStart w:id="39" w:name="__RefHeading___Toc225377216"/>
      <w:bookmarkEnd w:id="39"/>
      <w:r>
        <w:rPr>
          <w:rFonts w:eastAsia="Palatino Linotype"/>
          <w:b/>
          <w:spacing w:val="-1"/>
          <w:sz w:val="22"/>
          <w:szCs w:val="22"/>
          <w:lang w:val="es-ES"/>
        </w:rPr>
        <w:lastRenderedPageBreak/>
        <w:t xml:space="preserve">13.2 </w:t>
      </w:r>
      <w:proofErr w:type="spellStart"/>
      <w:r>
        <w:rPr>
          <w:rFonts w:eastAsia="Palatino Linotype"/>
          <w:b/>
          <w:spacing w:val="-1"/>
          <w:sz w:val="22"/>
          <w:szCs w:val="22"/>
          <w:lang w:val="es-ES"/>
        </w:rPr>
        <w:t>Admissibility</w:t>
      </w:r>
      <w:proofErr w:type="spellEnd"/>
      <w:r>
        <w:rPr>
          <w:rFonts w:eastAsia="Palatino Linotype"/>
          <w:b/>
          <w:spacing w:val="-1"/>
          <w:sz w:val="22"/>
          <w:szCs w:val="22"/>
          <w:lang w:val="es-ES"/>
        </w:rPr>
        <w:t xml:space="preserve"> </w:t>
      </w:r>
      <w:proofErr w:type="spellStart"/>
      <w:r>
        <w:rPr>
          <w:rFonts w:eastAsia="Palatino Linotype"/>
          <w:b/>
          <w:spacing w:val="-1"/>
          <w:sz w:val="22"/>
          <w:szCs w:val="22"/>
          <w:lang w:val="es-ES"/>
        </w:rPr>
        <w:t>of</w:t>
      </w:r>
      <w:proofErr w:type="spellEnd"/>
      <w:r>
        <w:rPr>
          <w:rFonts w:eastAsia="Palatino Linotype"/>
          <w:b/>
          <w:spacing w:val="-1"/>
          <w:sz w:val="22"/>
          <w:szCs w:val="22"/>
          <w:lang w:val="es-ES"/>
        </w:rPr>
        <w:t xml:space="preserve"> </w:t>
      </w:r>
      <w:proofErr w:type="spellStart"/>
      <w:r>
        <w:rPr>
          <w:rFonts w:eastAsia="Palatino Linotype"/>
          <w:b/>
          <w:spacing w:val="-1"/>
          <w:sz w:val="22"/>
          <w:szCs w:val="22"/>
          <w:lang w:val="es-ES"/>
        </w:rPr>
        <w:t>offers</w:t>
      </w:r>
      <w:proofErr w:type="spellEnd"/>
      <w:r>
        <w:rPr>
          <w:rFonts w:eastAsia="Palatino Linotype"/>
          <w:b/>
          <w:spacing w:val="-1"/>
          <w:sz w:val="22"/>
          <w:szCs w:val="22"/>
          <w:lang w:val="es-ES"/>
        </w:rPr>
        <w:tab/>
      </w:r>
    </w:p>
    <w:p w14:paraId="70148380" w14:textId="77777777" w:rsidR="00E255F4" w:rsidRDefault="00E255F4">
      <w:pPr>
        <w:ind w:right="-142"/>
        <w:jc w:val="both"/>
        <w:rPr>
          <w:rFonts w:eastAsia="Palatino Linotype"/>
          <w:b/>
          <w:spacing w:val="-1"/>
          <w:sz w:val="22"/>
          <w:szCs w:val="22"/>
          <w:lang w:val="es-ES"/>
        </w:rPr>
      </w:pPr>
    </w:p>
    <w:p w14:paraId="5E05B19F" w14:textId="77777777" w:rsidR="00E255F4" w:rsidRDefault="00000000">
      <w:pPr>
        <w:ind w:right="-142"/>
        <w:jc w:val="both"/>
        <w:rPr>
          <w:rFonts w:eastAsia="Palatino Linotype"/>
          <w:spacing w:val="-1"/>
          <w:sz w:val="22"/>
          <w:szCs w:val="22"/>
          <w:lang w:val="es-ES"/>
        </w:rPr>
      </w:pPr>
      <w:proofErr w:type="spellStart"/>
      <w:r>
        <w:rPr>
          <w:rFonts w:eastAsia="Palatino Linotype"/>
          <w:spacing w:val="-1"/>
          <w:sz w:val="22"/>
          <w:szCs w:val="22"/>
          <w:lang w:val="es-ES"/>
        </w:rPr>
        <w:t>L</w:t>
      </w:r>
      <w:r>
        <w:rPr>
          <w:rFonts w:eastAsia="Palatino Linotype"/>
          <w:sz w:val="22"/>
          <w:szCs w:val="22"/>
          <w:lang w:val="es-ES"/>
        </w:rPr>
        <w:t>The</w:t>
      </w:r>
      <w:proofErr w:type="spellEnd"/>
      <w:r>
        <w:rPr>
          <w:rFonts w:eastAsia="Palatino Linotype"/>
          <w:sz w:val="22"/>
          <w:szCs w:val="22"/>
          <w:lang w:val="es-ES"/>
        </w:rPr>
        <w:t xml:space="preserve"> </w:t>
      </w:r>
      <w:proofErr w:type="spellStart"/>
      <w:r>
        <w:rPr>
          <w:rFonts w:eastAsia="Palatino Linotype"/>
          <w:sz w:val="22"/>
          <w:szCs w:val="22"/>
          <w:lang w:val="es-ES"/>
        </w:rPr>
        <w:t>acting</w:t>
      </w:r>
      <w:proofErr w:type="spellEnd"/>
      <w:r>
        <w:rPr>
          <w:rFonts w:eastAsia="Palatino Linotype"/>
          <w:sz w:val="22"/>
          <w:szCs w:val="22"/>
          <w:lang w:val="es-ES"/>
        </w:rPr>
        <w:t xml:space="preserve"> </w:t>
      </w:r>
      <w:proofErr w:type="spellStart"/>
      <w:r>
        <w:rPr>
          <w:rFonts w:eastAsia="Palatino Linotype"/>
          <w:sz w:val="22"/>
          <w:szCs w:val="22"/>
          <w:lang w:val="es-ES"/>
        </w:rPr>
        <w:t>Administration</w:t>
      </w:r>
      <w:proofErr w:type="spellEnd"/>
      <w:r>
        <w:rPr>
          <w:rFonts w:eastAsia="Palatino Linotype"/>
          <w:sz w:val="22"/>
          <w:szCs w:val="22"/>
          <w:lang w:val="es-ES"/>
        </w:rPr>
        <w:t xml:space="preserve"> </w:t>
      </w:r>
      <w:proofErr w:type="spellStart"/>
      <w:r>
        <w:rPr>
          <w:rFonts w:eastAsia="Palatino Linotype"/>
          <w:sz w:val="22"/>
          <w:szCs w:val="22"/>
          <w:lang w:val="es-ES"/>
        </w:rPr>
        <w:t>will</w:t>
      </w:r>
      <w:proofErr w:type="spellEnd"/>
      <w:r>
        <w:rPr>
          <w:rFonts w:eastAsia="Palatino Linotype"/>
          <w:sz w:val="22"/>
          <w:szCs w:val="22"/>
          <w:lang w:val="es-ES"/>
        </w:rPr>
        <w:t xml:space="preserve"> </w:t>
      </w:r>
      <w:proofErr w:type="spellStart"/>
      <w:r>
        <w:rPr>
          <w:rFonts w:eastAsia="Palatino Linotype"/>
          <w:sz w:val="22"/>
          <w:szCs w:val="22"/>
          <w:lang w:val="es-ES"/>
        </w:rPr>
        <w:t>carry</w:t>
      </w:r>
      <w:proofErr w:type="spellEnd"/>
      <w:r>
        <w:rPr>
          <w:rFonts w:eastAsia="Palatino Linotype"/>
          <w:sz w:val="22"/>
          <w:szCs w:val="22"/>
          <w:lang w:val="es-ES"/>
        </w:rPr>
        <w:t xml:space="preserve"> </w:t>
      </w:r>
      <w:proofErr w:type="spellStart"/>
      <w:r>
        <w:rPr>
          <w:rFonts w:eastAsia="Palatino Linotype"/>
          <w:sz w:val="22"/>
          <w:szCs w:val="22"/>
          <w:lang w:val="es-ES"/>
        </w:rPr>
        <w:t>out</w:t>
      </w:r>
      <w:proofErr w:type="spellEnd"/>
      <w:r>
        <w:rPr>
          <w:rFonts w:eastAsia="Palatino Linotype"/>
          <w:sz w:val="22"/>
          <w:szCs w:val="22"/>
          <w:lang w:val="es-ES"/>
        </w:rPr>
        <w:t xml:space="preserve"> </w:t>
      </w:r>
      <w:proofErr w:type="spellStart"/>
      <w:r>
        <w:rPr>
          <w:rFonts w:eastAsia="Palatino Linotype"/>
          <w:sz w:val="22"/>
          <w:szCs w:val="22"/>
          <w:lang w:val="es-ES"/>
        </w:rPr>
        <w:t>the</w:t>
      </w:r>
      <w:proofErr w:type="spellEnd"/>
      <w:r>
        <w:rPr>
          <w:rFonts w:eastAsia="Palatino Linotype"/>
          <w:sz w:val="22"/>
          <w:szCs w:val="22"/>
          <w:lang w:val="es-ES"/>
        </w:rPr>
        <w:t xml:space="preserve"> </w:t>
      </w:r>
      <w:proofErr w:type="spellStart"/>
      <w:r>
        <w:rPr>
          <w:rFonts w:eastAsia="Palatino Linotype"/>
          <w:sz w:val="22"/>
          <w:szCs w:val="22"/>
          <w:lang w:val="es-ES"/>
        </w:rPr>
        <w:t>admissibility</w:t>
      </w:r>
      <w:proofErr w:type="spellEnd"/>
      <w:r>
        <w:rPr>
          <w:rFonts w:eastAsia="Palatino Linotype"/>
          <w:sz w:val="22"/>
          <w:szCs w:val="22"/>
          <w:lang w:val="es-ES"/>
        </w:rPr>
        <w:t xml:space="preserve"> </w:t>
      </w:r>
      <w:proofErr w:type="spellStart"/>
      <w:r>
        <w:rPr>
          <w:rFonts w:eastAsia="Palatino Linotype"/>
          <w:sz w:val="22"/>
          <w:szCs w:val="22"/>
          <w:lang w:val="es-ES"/>
        </w:rPr>
        <w:t>analysis</w:t>
      </w:r>
      <w:proofErr w:type="spellEnd"/>
      <w:r>
        <w:rPr>
          <w:rFonts w:eastAsia="Palatino Linotype"/>
          <w:sz w:val="22"/>
          <w:szCs w:val="22"/>
          <w:lang w:val="es-ES"/>
        </w:rPr>
        <w:t xml:space="preserve"> </w:t>
      </w:r>
      <w:proofErr w:type="spellStart"/>
      <w:r>
        <w:rPr>
          <w:rFonts w:eastAsia="Palatino Linotype"/>
          <w:sz w:val="22"/>
          <w:szCs w:val="22"/>
          <w:lang w:val="es-ES"/>
        </w:rPr>
        <w:t>of</w:t>
      </w:r>
      <w:proofErr w:type="spellEnd"/>
      <w:r>
        <w:rPr>
          <w:rFonts w:eastAsia="Palatino Linotype"/>
          <w:sz w:val="22"/>
          <w:szCs w:val="22"/>
          <w:lang w:val="es-ES"/>
        </w:rPr>
        <w:t xml:space="preserve"> </w:t>
      </w:r>
      <w:proofErr w:type="spellStart"/>
      <w:r>
        <w:rPr>
          <w:rFonts w:eastAsia="Palatino Linotype"/>
          <w:sz w:val="22"/>
          <w:szCs w:val="22"/>
          <w:lang w:val="es-ES"/>
        </w:rPr>
        <w:t>the</w:t>
      </w:r>
      <w:proofErr w:type="spellEnd"/>
      <w:r>
        <w:rPr>
          <w:rFonts w:eastAsia="Palatino Linotype"/>
          <w:sz w:val="22"/>
          <w:szCs w:val="22"/>
          <w:lang w:val="es-ES"/>
        </w:rPr>
        <w:t xml:space="preserve"> </w:t>
      </w:r>
      <w:proofErr w:type="spellStart"/>
      <w:r>
        <w:rPr>
          <w:rFonts w:eastAsia="Palatino Linotype"/>
          <w:sz w:val="22"/>
          <w:szCs w:val="22"/>
          <w:lang w:val="es-ES"/>
        </w:rPr>
        <w:t>proposals</w:t>
      </w:r>
      <w:proofErr w:type="spellEnd"/>
      <w:r>
        <w:rPr>
          <w:rFonts w:eastAsia="Palatino Linotype"/>
          <w:sz w:val="22"/>
          <w:szCs w:val="22"/>
          <w:lang w:val="es-ES"/>
        </w:rPr>
        <w:t xml:space="preserve">, </w:t>
      </w:r>
      <w:proofErr w:type="spellStart"/>
      <w:r>
        <w:rPr>
          <w:rFonts w:eastAsia="Palatino Linotype"/>
          <w:sz w:val="22"/>
          <w:szCs w:val="22"/>
          <w:lang w:val="es-ES"/>
        </w:rPr>
        <w:t>which</w:t>
      </w:r>
      <w:proofErr w:type="spellEnd"/>
      <w:r>
        <w:rPr>
          <w:rFonts w:eastAsia="Palatino Linotype"/>
          <w:sz w:val="22"/>
          <w:szCs w:val="22"/>
          <w:lang w:val="es-ES"/>
        </w:rPr>
        <w:t xml:space="preserve"> </w:t>
      </w:r>
      <w:proofErr w:type="spellStart"/>
      <w:r>
        <w:rPr>
          <w:rFonts w:eastAsia="Palatino Linotype"/>
          <w:sz w:val="22"/>
          <w:szCs w:val="22"/>
          <w:lang w:val="es-ES"/>
        </w:rPr>
        <w:t>implies</w:t>
      </w:r>
      <w:proofErr w:type="spellEnd"/>
      <w:r>
        <w:rPr>
          <w:rFonts w:eastAsia="Palatino Linotype"/>
          <w:sz w:val="22"/>
          <w:szCs w:val="22"/>
          <w:lang w:val="es-ES"/>
        </w:rPr>
        <w:t xml:space="preserve"> </w:t>
      </w:r>
      <w:proofErr w:type="spellStart"/>
      <w:r>
        <w:rPr>
          <w:rFonts w:eastAsia="Palatino Linotype"/>
          <w:sz w:val="22"/>
          <w:szCs w:val="22"/>
          <w:lang w:val="es-ES"/>
        </w:rPr>
        <w:t>determining</w:t>
      </w:r>
      <w:proofErr w:type="spellEnd"/>
      <w:r>
        <w:rPr>
          <w:rFonts w:eastAsia="Palatino Linotype"/>
          <w:sz w:val="22"/>
          <w:szCs w:val="22"/>
          <w:lang w:val="es-ES"/>
        </w:rPr>
        <w:t xml:space="preserve"> </w:t>
      </w:r>
      <w:proofErr w:type="spellStart"/>
      <w:r>
        <w:rPr>
          <w:rFonts w:eastAsia="Palatino Linotype"/>
          <w:sz w:val="22"/>
          <w:szCs w:val="22"/>
          <w:lang w:val="es-ES"/>
        </w:rPr>
        <w:t>whether</w:t>
      </w:r>
      <w:proofErr w:type="spellEnd"/>
      <w:r>
        <w:rPr>
          <w:rFonts w:eastAsia="Palatino Linotype"/>
          <w:sz w:val="22"/>
          <w:szCs w:val="22"/>
          <w:lang w:val="es-ES"/>
        </w:rPr>
        <w:t xml:space="preserve"> </w:t>
      </w:r>
      <w:proofErr w:type="spellStart"/>
      <w:r>
        <w:rPr>
          <w:rFonts w:eastAsia="Palatino Linotype"/>
          <w:sz w:val="22"/>
          <w:szCs w:val="22"/>
          <w:lang w:val="es-ES"/>
        </w:rPr>
        <w:t>the</w:t>
      </w:r>
      <w:proofErr w:type="spellEnd"/>
      <w:r>
        <w:rPr>
          <w:rFonts w:eastAsia="Palatino Linotype"/>
          <w:sz w:val="22"/>
          <w:szCs w:val="22"/>
          <w:lang w:val="es-ES"/>
        </w:rPr>
        <w:t xml:space="preserve"> </w:t>
      </w:r>
      <w:proofErr w:type="spellStart"/>
      <w:r>
        <w:rPr>
          <w:rFonts w:eastAsia="Palatino Linotype"/>
          <w:sz w:val="22"/>
          <w:szCs w:val="22"/>
          <w:lang w:val="es-ES"/>
        </w:rPr>
        <w:t>offers</w:t>
      </w:r>
      <w:proofErr w:type="spellEnd"/>
      <w:r>
        <w:rPr>
          <w:rFonts w:eastAsia="Palatino Linotype"/>
          <w:sz w:val="22"/>
          <w:szCs w:val="22"/>
          <w:lang w:val="es-ES"/>
        </w:rPr>
        <w:t xml:space="preserve"> </w:t>
      </w:r>
      <w:proofErr w:type="spellStart"/>
      <w:r>
        <w:rPr>
          <w:rFonts w:eastAsia="Palatino Linotype"/>
          <w:sz w:val="22"/>
          <w:szCs w:val="22"/>
          <w:lang w:val="es-ES"/>
        </w:rPr>
        <w:t>submitted</w:t>
      </w:r>
      <w:proofErr w:type="spellEnd"/>
      <w:r>
        <w:rPr>
          <w:rFonts w:eastAsia="Palatino Linotype"/>
          <w:sz w:val="22"/>
          <w:szCs w:val="22"/>
          <w:lang w:val="es-ES"/>
        </w:rPr>
        <w:t xml:space="preserve"> </w:t>
      </w:r>
      <w:proofErr w:type="spellStart"/>
      <w:r>
        <w:rPr>
          <w:rFonts w:eastAsia="Palatino Linotype"/>
          <w:sz w:val="22"/>
          <w:szCs w:val="22"/>
          <w:lang w:val="es-ES"/>
        </w:rPr>
        <w:t>comply</w:t>
      </w:r>
      <w:proofErr w:type="spellEnd"/>
      <w:r>
        <w:rPr>
          <w:rFonts w:eastAsia="Palatino Linotype"/>
          <w:sz w:val="22"/>
          <w:szCs w:val="22"/>
          <w:lang w:val="es-ES"/>
        </w:rPr>
        <w:t xml:space="preserve"> </w:t>
      </w:r>
      <w:proofErr w:type="spellStart"/>
      <w:r>
        <w:rPr>
          <w:rFonts w:eastAsia="Palatino Linotype"/>
          <w:sz w:val="22"/>
          <w:szCs w:val="22"/>
          <w:lang w:val="es-ES"/>
        </w:rPr>
        <w:t>with</w:t>
      </w:r>
      <w:proofErr w:type="spellEnd"/>
      <w:r>
        <w:rPr>
          <w:rFonts w:eastAsia="Palatino Linotype"/>
          <w:sz w:val="22"/>
          <w:szCs w:val="22"/>
          <w:lang w:val="es-ES"/>
        </w:rPr>
        <w:t xml:space="preserve"> </w:t>
      </w:r>
      <w:proofErr w:type="spellStart"/>
      <w:r>
        <w:rPr>
          <w:rFonts w:eastAsia="Palatino Linotype"/>
          <w:sz w:val="22"/>
          <w:szCs w:val="22"/>
          <w:lang w:val="es-ES"/>
        </w:rPr>
        <w:t>the</w:t>
      </w:r>
      <w:proofErr w:type="spellEnd"/>
      <w:r>
        <w:rPr>
          <w:rFonts w:eastAsia="Palatino Linotype"/>
          <w:sz w:val="22"/>
          <w:szCs w:val="22"/>
          <w:lang w:val="es-ES"/>
        </w:rPr>
        <w:t xml:space="preserve"> </w:t>
      </w:r>
      <w:proofErr w:type="spellStart"/>
      <w:r>
        <w:rPr>
          <w:rFonts w:eastAsia="Palatino Linotype"/>
          <w:sz w:val="22"/>
          <w:szCs w:val="22"/>
          <w:lang w:val="es-ES"/>
        </w:rPr>
        <w:t>current</w:t>
      </w:r>
      <w:proofErr w:type="spellEnd"/>
      <w:r>
        <w:rPr>
          <w:rFonts w:eastAsia="Palatino Linotype"/>
          <w:sz w:val="22"/>
          <w:szCs w:val="22"/>
          <w:lang w:val="es-ES"/>
        </w:rPr>
        <w:t xml:space="preserve"> </w:t>
      </w:r>
      <w:proofErr w:type="spellStart"/>
      <w:r>
        <w:rPr>
          <w:rFonts w:eastAsia="Palatino Linotype"/>
          <w:sz w:val="22"/>
          <w:szCs w:val="22"/>
          <w:lang w:val="es-ES"/>
        </w:rPr>
        <w:t>regulations</w:t>
      </w:r>
      <w:proofErr w:type="spellEnd"/>
      <w:r>
        <w:rPr>
          <w:rFonts w:eastAsia="Palatino Linotype"/>
          <w:sz w:val="22"/>
          <w:szCs w:val="22"/>
          <w:lang w:val="es-ES"/>
        </w:rPr>
        <w:t xml:space="preserve"> </w:t>
      </w:r>
      <w:proofErr w:type="spellStart"/>
      <w:r>
        <w:rPr>
          <w:rFonts w:eastAsia="Palatino Linotype"/>
          <w:sz w:val="22"/>
          <w:szCs w:val="22"/>
          <w:lang w:val="es-ES"/>
        </w:rPr>
        <w:t>on</w:t>
      </w:r>
      <w:proofErr w:type="spellEnd"/>
      <w:r>
        <w:rPr>
          <w:rFonts w:eastAsia="Palatino Linotype"/>
          <w:sz w:val="22"/>
          <w:szCs w:val="22"/>
          <w:lang w:val="es-ES"/>
        </w:rPr>
        <w:t xml:space="preserve"> </w:t>
      </w:r>
      <w:proofErr w:type="spellStart"/>
      <w:r>
        <w:rPr>
          <w:rFonts w:eastAsia="Palatino Linotype"/>
          <w:sz w:val="22"/>
          <w:szCs w:val="22"/>
          <w:lang w:val="es-ES"/>
        </w:rPr>
        <w:t>the</w:t>
      </w:r>
      <w:proofErr w:type="spellEnd"/>
      <w:r>
        <w:rPr>
          <w:rFonts w:eastAsia="Palatino Linotype"/>
          <w:sz w:val="22"/>
          <w:szCs w:val="22"/>
          <w:lang w:val="es-ES"/>
        </w:rPr>
        <w:t xml:space="preserve"> </w:t>
      </w:r>
      <w:proofErr w:type="spellStart"/>
      <w:r>
        <w:rPr>
          <w:rFonts w:eastAsia="Palatino Linotype"/>
          <w:sz w:val="22"/>
          <w:szCs w:val="22"/>
          <w:lang w:val="es-ES"/>
        </w:rPr>
        <w:t>matter</w:t>
      </w:r>
      <w:proofErr w:type="spellEnd"/>
      <w:r>
        <w:rPr>
          <w:rFonts w:eastAsia="Palatino Linotype"/>
          <w:sz w:val="22"/>
          <w:szCs w:val="22"/>
          <w:lang w:val="es-ES"/>
        </w:rPr>
        <w:t xml:space="preserve">, </w:t>
      </w:r>
      <w:proofErr w:type="spellStart"/>
      <w:r>
        <w:rPr>
          <w:rFonts w:eastAsia="Palatino Linotype"/>
          <w:sz w:val="22"/>
          <w:szCs w:val="22"/>
          <w:lang w:val="es-ES"/>
        </w:rPr>
        <w:t>which</w:t>
      </w:r>
      <w:proofErr w:type="spellEnd"/>
      <w:r>
        <w:rPr>
          <w:rFonts w:eastAsia="Palatino Linotype"/>
          <w:sz w:val="22"/>
          <w:szCs w:val="22"/>
          <w:lang w:val="es-ES"/>
        </w:rPr>
        <w:t xml:space="preserve"> </w:t>
      </w:r>
      <w:proofErr w:type="spellStart"/>
      <w:r>
        <w:rPr>
          <w:rFonts w:eastAsia="Palatino Linotype"/>
          <w:sz w:val="22"/>
          <w:szCs w:val="22"/>
          <w:lang w:val="es-ES"/>
        </w:rPr>
        <w:t>includes</w:t>
      </w:r>
      <w:proofErr w:type="spellEnd"/>
      <w:r>
        <w:rPr>
          <w:rFonts w:eastAsia="Palatino Linotype"/>
          <w:sz w:val="22"/>
          <w:szCs w:val="22"/>
          <w:lang w:val="es-ES"/>
        </w:rPr>
        <w:t xml:space="preserve">, </w:t>
      </w:r>
      <w:proofErr w:type="spellStart"/>
      <w:r>
        <w:rPr>
          <w:rFonts w:eastAsia="Palatino Linotype"/>
          <w:sz w:val="22"/>
          <w:szCs w:val="22"/>
          <w:lang w:val="es-ES"/>
        </w:rPr>
        <w:t>among</w:t>
      </w:r>
      <w:proofErr w:type="spellEnd"/>
      <w:r>
        <w:rPr>
          <w:rFonts w:eastAsia="Palatino Linotype"/>
          <w:sz w:val="22"/>
          <w:szCs w:val="22"/>
          <w:lang w:val="es-ES"/>
        </w:rPr>
        <w:t xml:space="preserve"> </w:t>
      </w:r>
      <w:proofErr w:type="spellStart"/>
      <w:r>
        <w:rPr>
          <w:rFonts w:eastAsia="Palatino Linotype"/>
          <w:sz w:val="22"/>
          <w:szCs w:val="22"/>
          <w:lang w:val="es-ES"/>
        </w:rPr>
        <w:t>others</w:t>
      </w:r>
      <w:proofErr w:type="spellEnd"/>
      <w:r>
        <w:rPr>
          <w:rFonts w:eastAsia="Palatino Linotype"/>
          <w:sz w:val="22"/>
          <w:szCs w:val="22"/>
          <w:lang w:val="es-ES"/>
        </w:rPr>
        <w:t xml:space="preserve">, </w:t>
      </w:r>
      <w:proofErr w:type="spellStart"/>
      <w:r>
        <w:rPr>
          <w:rFonts w:eastAsia="Palatino Linotype"/>
          <w:sz w:val="22"/>
          <w:szCs w:val="22"/>
          <w:lang w:val="es-ES"/>
        </w:rPr>
        <w:t>the</w:t>
      </w:r>
      <w:proofErr w:type="spellEnd"/>
      <w:r>
        <w:rPr>
          <w:rFonts w:eastAsia="Palatino Linotype"/>
          <w:sz w:val="22"/>
          <w:szCs w:val="22"/>
          <w:lang w:val="es-ES"/>
        </w:rPr>
        <w:t xml:space="preserve"> </w:t>
      </w:r>
      <w:proofErr w:type="spellStart"/>
      <w:r>
        <w:rPr>
          <w:rFonts w:eastAsia="Palatino Linotype"/>
          <w:sz w:val="22"/>
          <w:szCs w:val="22"/>
          <w:lang w:val="es-ES"/>
        </w:rPr>
        <w:t>provisions</w:t>
      </w:r>
      <w:proofErr w:type="spellEnd"/>
      <w:r>
        <w:rPr>
          <w:rFonts w:eastAsia="Palatino Linotype"/>
          <w:sz w:val="22"/>
          <w:szCs w:val="22"/>
          <w:lang w:val="es-ES"/>
        </w:rPr>
        <w:t xml:space="preserve"> </w:t>
      </w:r>
      <w:proofErr w:type="spellStart"/>
      <w:r>
        <w:rPr>
          <w:rFonts w:eastAsia="Palatino Linotype"/>
          <w:sz w:val="22"/>
          <w:szCs w:val="22"/>
          <w:lang w:val="es-ES"/>
        </w:rPr>
        <w:t>of</w:t>
      </w:r>
      <w:proofErr w:type="spellEnd"/>
      <w:r>
        <w:rPr>
          <w:rFonts w:eastAsia="Palatino Linotype"/>
          <w:sz w:val="22"/>
          <w:szCs w:val="22"/>
          <w:lang w:val="es-ES"/>
        </w:rPr>
        <w:t xml:space="preserve"> </w:t>
      </w:r>
      <w:proofErr w:type="spellStart"/>
      <w:r>
        <w:rPr>
          <w:rFonts w:eastAsia="Palatino Linotype"/>
          <w:sz w:val="22"/>
          <w:szCs w:val="22"/>
          <w:lang w:val="es-ES"/>
        </w:rPr>
        <w:t>the</w:t>
      </w:r>
      <w:proofErr w:type="spellEnd"/>
      <w:r>
        <w:rPr>
          <w:rFonts w:eastAsia="Palatino Linotype"/>
          <w:sz w:val="22"/>
          <w:szCs w:val="22"/>
          <w:lang w:val="es-ES"/>
        </w:rPr>
        <w:t xml:space="preserve"> </w:t>
      </w:r>
      <w:proofErr w:type="spellStart"/>
      <w:r>
        <w:rPr>
          <w:rFonts w:eastAsia="Palatino Linotype"/>
          <w:sz w:val="22"/>
          <w:szCs w:val="22"/>
          <w:lang w:val="es-ES"/>
        </w:rPr>
        <w:t>current</w:t>
      </w:r>
      <w:proofErr w:type="spellEnd"/>
      <w:r>
        <w:rPr>
          <w:rFonts w:eastAsia="Palatino Linotype"/>
          <w:sz w:val="22"/>
          <w:szCs w:val="22"/>
          <w:lang w:val="es-ES"/>
        </w:rPr>
        <w:t xml:space="preserve"> State </w:t>
      </w:r>
      <w:proofErr w:type="spellStart"/>
      <w:r>
        <w:rPr>
          <w:rFonts w:eastAsia="Palatino Linotype"/>
          <w:sz w:val="22"/>
          <w:szCs w:val="22"/>
          <w:lang w:val="es-ES"/>
        </w:rPr>
        <w:t>Accounting</w:t>
      </w:r>
      <w:proofErr w:type="spellEnd"/>
      <w:r>
        <w:rPr>
          <w:rFonts w:eastAsia="Palatino Linotype"/>
          <w:sz w:val="22"/>
          <w:szCs w:val="22"/>
          <w:lang w:val="es-ES"/>
        </w:rPr>
        <w:t xml:space="preserve"> and </w:t>
      </w:r>
      <w:proofErr w:type="spellStart"/>
      <w:r>
        <w:rPr>
          <w:rFonts w:eastAsia="Palatino Linotype"/>
          <w:sz w:val="22"/>
          <w:szCs w:val="22"/>
          <w:lang w:val="es-ES"/>
        </w:rPr>
        <w:t>Financial</w:t>
      </w:r>
      <w:proofErr w:type="spellEnd"/>
      <w:r>
        <w:rPr>
          <w:rFonts w:eastAsia="Palatino Linotype"/>
          <w:sz w:val="22"/>
          <w:szCs w:val="22"/>
          <w:lang w:val="es-ES"/>
        </w:rPr>
        <w:t xml:space="preserve"> </w:t>
      </w:r>
      <w:proofErr w:type="spellStart"/>
      <w:r>
        <w:rPr>
          <w:rFonts w:eastAsia="Palatino Linotype"/>
          <w:sz w:val="22"/>
          <w:szCs w:val="22"/>
          <w:lang w:val="es-ES"/>
        </w:rPr>
        <w:t>Administration</w:t>
      </w:r>
      <w:proofErr w:type="spellEnd"/>
      <w:r>
        <w:rPr>
          <w:rFonts w:eastAsia="Palatino Linotype"/>
          <w:sz w:val="22"/>
          <w:szCs w:val="22"/>
          <w:lang w:val="es-ES"/>
        </w:rPr>
        <w:t xml:space="preserve"> Text, as </w:t>
      </w:r>
      <w:proofErr w:type="spellStart"/>
      <w:r>
        <w:rPr>
          <w:rFonts w:eastAsia="Palatino Linotype"/>
          <w:sz w:val="22"/>
          <w:szCs w:val="22"/>
          <w:lang w:val="es-ES"/>
        </w:rPr>
        <w:t>well</w:t>
      </w:r>
      <w:proofErr w:type="spellEnd"/>
      <w:r>
        <w:rPr>
          <w:rFonts w:eastAsia="Palatino Linotype"/>
          <w:sz w:val="22"/>
          <w:szCs w:val="22"/>
          <w:lang w:val="es-ES"/>
        </w:rPr>
        <w:t xml:space="preserve"> as </w:t>
      </w:r>
      <w:proofErr w:type="spellStart"/>
      <w:r>
        <w:rPr>
          <w:rFonts w:eastAsia="Palatino Linotype"/>
          <w:sz w:val="22"/>
          <w:szCs w:val="22"/>
          <w:lang w:val="es-ES"/>
        </w:rPr>
        <w:t>those</w:t>
      </w:r>
      <w:proofErr w:type="spellEnd"/>
      <w:r>
        <w:rPr>
          <w:rFonts w:eastAsia="Palatino Linotype"/>
          <w:sz w:val="22"/>
          <w:szCs w:val="22"/>
          <w:lang w:val="es-ES"/>
        </w:rPr>
        <w:t xml:space="preserve"> </w:t>
      </w:r>
      <w:proofErr w:type="spellStart"/>
      <w:r>
        <w:rPr>
          <w:rFonts w:eastAsia="Palatino Linotype"/>
          <w:sz w:val="22"/>
          <w:szCs w:val="22"/>
          <w:lang w:val="es-ES"/>
        </w:rPr>
        <w:t>contained</w:t>
      </w:r>
      <w:proofErr w:type="spellEnd"/>
      <w:r>
        <w:rPr>
          <w:rFonts w:eastAsia="Palatino Linotype"/>
          <w:sz w:val="22"/>
          <w:szCs w:val="22"/>
          <w:lang w:val="es-ES"/>
        </w:rPr>
        <w:t xml:space="preserve"> in </w:t>
      </w:r>
      <w:proofErr w:type="spellStart"/>
      <w:r>
        <w:rPr>
          <w:rFonts w:eastAsia="Palatino Linotype"/>
          <w:sz w:val="22"/>
          <w:szCs w:val="22"/>
          <w:lang w:val="es-ES"/>
        </w:rPr>
        <w:t>the</w:t>
      </w:r>
      <w:proofErr w:type="spellEnd"/>
      <w:r>
        <w:rPr>
          <w:rFonts w:eastAsia="Palatino Linotype"/>
          <w:sz w:val="22"/>
          <w:szCs w:val="22"/>
          <w:lang w:val="es-ES"/>
        </w:rPr>
        <w:t xml:space="preserve"> </w:t>
      </w:r>
      <w:proofErr w:type="spellStart"/>
      <w:r>
        <w:rPr>
          <w:rFonts w:eastAsia="Palatino Linotype"/>
          <w:sz w:val="22"/>
          <w:szCs w:val="22"/>
          <w:lang w:val="es-ES"/>
        </w:rPr>
        <w:t>applicable</w:t>
      </w:r>
      <w:proofErr w:type="spellEnd"/>
      <w:r>
        <w:rPr>
          <w:rFonts w:eastAsia="Palatino Linotype"/>
          <w:sz w:val="22"/>
          <w:szCs w:val="22"/>
          <w:lang w:val="es-ES"/>
        </w:rPr>
        <w:t xml:space="preserve"> </w:t>
      </w:r>
      <w:proofErr w:type="gramStart"/>
      <w:r>
        <w:rPr>
          <w:rFonts w:eastAsia="Palatino Linotype"/>
          <w:sz w:val="22"/>
          <w:szCs w:val="22"/>
          <w:lang w:val="es-ES"/>
        </w:rPr>
        <w:t>Single</w:t>
      </w:r>
      <w:proofErr w:type="gramEnd"/>
      <w:r>
        <w:rPr>
          <w:rFonts w:eastAsia="Palatino Linotype"/>
          <w:sz w:val="22"/>
          <w:szCs w:val="22"/>
          <w:lang w:val="es-ES"/>
        </w:rPr>
        <w:t xml:space="preserve"> </w:t>
      </w:r>
      <w:proofErr w:type="spellStart"/>
      <w:r>
        <w:rPr>
          <w:rFonts w:eastAsia="Palatino Linotype"/>
          <w:sz w:val="22"/>
          <w:szCs w:val="22"/>
          <w:lang w:val="es-ES"/>
        </w:rPr>
        <w:t>Specification</w:t>
      </w:r>
      <w:proofErr w:type="spellEnd"/>
      <w:r>
        <w:rPr>
          <w:rFonts w:eastAsia="Palatino Linotype"/>
          <w:sz w:val="22"/>
          <w:szCs w:val="22"/>
          <w:lang w:val="es-ES"/>
        </w:rPr>
        <w:t xml:space="preserve"> and in </w:t>
      </w:r>
      <w:proofErr w:type="spellStart"/>
      <w:r>
        <w:rPr>
          <w:rFonts w:eastAsia="Palatino Linotype"/>
          <w:sz w:val="22"/>
          <w:szCs w:val="22"/>
          <w:lang w:val="es-ES"/>
        </w:rPr>
        <w:t>the</w:t>
      </w:r>
      <w:proofErr w:type="spellEnd"/>
      <w:r>
        <w:rPr>
          <w:rFonts w:eastAsia="Palatino Linotype"/>
          <w:sz w:val="22"/>
          <w:szCs w:val="22"/>
          <w:lang w:val="es-ES"/>
        </w:rPr>
        <w:t xml:space="preserve"> Special </w:t>
      </w:r>
      <w:proofErr w:type="spellStart"/>
      <w:r>
        <w:rPr>
          <w:rFonts w:eastAsia="Palatino Linotype"/>
          <w:sz w:val="22"/>
          <w:szCs w:val="22"/>
          <w:lang w:val="es-ES"/>
        </w:rPr>
        <w:t>Conditions</w:t>
      </w:r>
      <w:proofErr w:type="spellEnd"/>
      <w:r>
        <w:rPr>
          <w:rFonts w:eastAsia="Palatino Linotype"/>
          <w:sz w:val="22"/>
          <w:szCs w:val="22"/>
          <w:lang w:val="es-ES"/>
        </w:rPr>
        <w:t xml:space="preserve"> </w:t>
      </w:r>
      <w:proofErr w:type="spellStart"/>
      <w:r>
        <w:rPr>
          <w:rFonts w:eastAsia="Palatino Linotype"/>
          <w:sz w:val="22"/>
          <w:szCs w:val="22"/>
          <w:lang w:val="es-ES"/>
        </w:rPr>
        <w:t>that</w:t>
      </w:r>
      <w:proofErr w:type="spellEnd"/>
      <w:r>
        <w:rPr>
          <w:rFonts w:eastAsia="Palatino Linotype"/>
          <w:sz w:val="22"/>
          <w:szCs w:val="22"/>
          <w:lang w:val="es-ES"/>
        </w:rPr>
        <w:t xml:space="preserve"> </w:t>
      </w:r>
      <w:proofErr w:type="spellStart"/>
      <w:r>
        <w:rPr>
          <w:rFonts w:eastAsia="Palatino Linotype"/>
          <w:sz w:val="22"/>
          <w:szCs w:val="22"/>
          <w:lang w:val="es-ES"/>
        </w:rPr>
        <w:t>govern</w:t>
      </w:r>
      <w:proofErr w:type="spellEnd"/>
      <w:r>
        <w:rPr>
          <w:rFonts w:eastAsia="Palatino Linotype"/>
          <w:sz w:val="22"/>
          <w:szCs w:val="22"/>
          <w:lang w:val="es-ES"/>
        </w:rPr>
        <w:t xml:space="preserve"> </w:t>
      </w:r>
      <w:proofErr w:type="spellStart"/>
      <w:r>
        <w:rPr>
          <w:rFonts w:eastAsia="Palatino Linotype"/>
          <w:sz w:val="22"/>
          <w:szCs w:val="22"/>
          <w:lang w:val="es-ES"/>
        </w:rPr>
        <w:t>the</w:t>
      </w:r>
      <w:proofErr w:type="spellEnd"/>
      <w:r>
        <w:rPr>
          <w:rFonts w:eastAsia="Palatino Linotype"/>
          <w:sz w:val="22"/>
          <w:szCs w:val="22"/>
          <w:lang w:val="es-ES"/>
        </w:rPr>
        <w:t xml:space="preserve"> </w:t>
      </w:r>
      <w:proofErr w:type="spellStart"/>
      <w:r>
        <w:rPr>
          <w:rFonts w:eastAsia="Palatino Linotype"/>
          <w:sz w:val="22"/>
          <w:szCs w:val="22"/>
          <w:lang w:val="es-ES"/>
        </w:rPr>
        <w:t>procedure</w:t>
      </w:r>
      <w:proofErr w:type="spellEnd"/>
      <w:r>
        <w:rPr>
          <w:rFonts w:eastAsia="Palatino Linotype"/>
          <w:sz w:val="22"/>
          <w:szCs w:val="22"/>
          <w:lang w:val="es-ES"/>
        </w:rPr>
        <w:t xml:space="preserve"> in </w:t>
      </w:r>
      <w:proofErr w:type="spellStart"/>
      <w:r>
        <w:rPr>
          <w:rFonts w:eastAsia="Palatino Linotype"/>
          <w:sz w:val="22"/>
          <w:szCs w:val="22"/>
          <w:lang w:val="es-ES"/>
        </w:rPr>
        <w:t>question</w:t>
      </w:r>
      <w:proofErr w:type="spellEnd"/>
      <w:r>
        <w:rPr>
          <w:rFonts w:eastAsia="Palatino Linotype"/>
          <w:sz w:val="22"/>
          <w:szCs w:val="22"/>
          <w:lang w:val="es-ES"/>
        </w:rPr>
        <w:t>.</w:t>
      </w:r>
    </w:p>
    <w:p w14:paraId="1B7BFECD" w14:textId="77777777" w:rsidR="00E255F4" w:rsidRDefault="00E255F4">
      <w:pPr>
        <w:ind w:right="-142"/>
        <w:jc w:val="both"/>
        <w:rPr>
          <w:rFonts w:eastAsia="Palatino Linotype"/>
          <w:spacing w:val="-1"/>
          <w:sz w:val="22"/>
          <w:szCs w:val="22"/>
          <w:lang w:val="es-ES"/>
        </w:rPr>
      </w:pPr>
    </w:p>
    <w:p w14:paraId="7EEAB05F" w14:textId="77777777" w:rsidR="00E255F4" w:rsidRDefault="00000000">
      <w:pPr>
        <w:ind w:right="-142"/>
        <w:jc w:val="both"/>
        <w:outlineLvl w:val="0"/>
        <w:rPr>
          <w:rFonts w:eastAsia="Palatino Linotype"/>
          <w:b/>
          <w:spacing w:val="-1"/>
          <w:sz w:val="22"/>
          <w:szCs w:val="22"/>
          <w:lang w:val="es-ES"/>
        </w:rPr>
      </w:pPr>
      <w:bookmarkStart w:id="40" w:name="__RefHeading___Toc225377217"/>
      <w:bookmarkEnd w:id="40"/>
      <w:r>
        <w:rPr>
          <w:rFonts w:eastAsia="Palatino Linotype"/>
          <w:b/>
          <w:spacing w:val="-1"/>
          <w:sz w:val="22"/>
          <w:szCs w:val="22"/>
          <w:lang w:val="es-ES"/>
        </w:rPr>
        <w:t xml:space="preserve">13.3 </w:t>
      </w:r>
      <w:proofErr w:type="spellStart"/>
      <w:r>
        <w:rPr>
          <w:rFonts w:eastAsia="Palatino Linotype"/>
          <w:b/>
          <w:spacing w:val="-1"/>
          <w:sz w:val="22"/>
          <w:szCs w:val="22"/>
          <w:lang w:val="es-ES"/>
        </w:rPr>
        <w:t>Evaluation</w:t>
      </w:r>
      <w:proofErr w:type="spellEnd"/>
      <w:r>
        <w:rPr>
          <w:rFonts w:eastAsia="Palatino Linotype"/>
          <w:b/>
          <w:spacing w:val="-1"/>
          <w:sz w:val="22"/>
          <w:szCs w:val="22"/>
          <w:lang w:val="es-ES"/>
        </w:rPr>
        <w:tab/>
      </w:r>
    </w:p>
    <w:p w14:paraId="0C7D2BAB" w14:textId="77777777" w:rsidR="00E255F4" w:rsidRDefault="00E255F4">
      <w:pPr>
        <w:ind w:right="-142"/>
        <w:jc w:val="both"/>
        <w:rPr>
          <w:rFonts w:eastAsia="Palatino Linotype"/>
          <w:b/>
          <w:spacing w:val="-1"/>
          <w:sz w:val="22"/>
          <w:szCs w:val="22"/>
          <w:lang w:val="es-ES"/>
        </w:rPr>
      </w:pPr>
    </w:p>
    <w:p w14:paraId="3900FC0A" w14:textId="77777777" w:rsidR="00E255F4" w:rsidRDefault="00000000">
      <w:pPr>
        <w:ind w:right="-142"/>
        <w:jc w:val="both"/>
      </w:pPr>
      <w:proofErr w:type="spellStart"/>
      <w:r>
        <w:rPr>
          <w:rFonts w:eastAsia="Palatino Linotype"/>
          <w:spacing w:val="-1"/>
          <w:sz w:val="22"/>
          <w:szCs w:val="22"/>
          <w:lang w:val="es-ES"/>
        </w:rPr>
        <w:t>AND</w:t>
      </w:r>
      <w:r>
        <w:rPr>
          <w:rFonts w:eastAsia="Palatino Linotype"/>
          <w:sz w:val="22"/>
          <w:szCs w:val="22"/>
          <w:lang w:val="es-ES"/>
        </w:rPr>
        <w:t>The</w:t>
      </w:r>
      <w:proofErr w:type="spellEnd"/>
      <w:r>
        <w:rPr>
          <w:rFonts w:eastAsia="Palatino Linotype"/>
          <w:sz w:val="22"/>
          <w:szCs w:val="22"/>
          <w:lang w:val="es-ES"/>
        </w:rPr>
        <w:t xml:space="preserve"> Special </w:t>
      </w:r>
      <w:proofErr w:type="spellStart"/>
      <w:r>
        <w:rPr>
          <w:rFonts w:eastAsia="Palatino Linotype"/>
          <w:sz w:val="22"/>
          <w:szCs w:val="22"/>
          <w:lang w:val="es-ES"/>
        </w:rPr>
        <w:t>Conditions</w:t>
      </w:r>
      <w:proofErr w:type="spellEnd"/>
      <w:r>
        <w:rPr>
          <w:rFonts w:eastAsia="Palatino Linotype"/>
          <w:sz w:val="22"/>
          <w:szCs w:val="22"/>
          <w:lang w:val="es-ES"/>
        </w:rPr>
        <w:t xml:space="preserve"> </w:t>
      </w:r>
      <w:proofErr w:type="spellStart"/>
      <w:r>
        <w:rPr>
          <w:rFonts w:eastAsia="Palatino Linotype"/>
          <w:sz w:val="22"/>
          <w:szCs w:val="22"/>
          <w:lang w:val="es-ES"/>
        </w:rPr>
        <w:t>document</w:t>
      </w:r>
      <w:proofErr w:type="spellEnd"/>
      <w:r>
        <w:rPr>
          <w:rFonts w:eastAsia="Palatino Linotype"/>
          <w:sz w:val="22"/>
          <w:szCs w:val="22"/>
          <w:lang w:val="es-ES"/>
        </w:rPr>
        <w:t xml:space="preserve"> </w:t>
      </w:r>
      <w:proofErr w:type="spellStart"/>
      <w:r>
        <w:rPr>
          <w:rFonts w:eastAsia="Palatino Linotype"/>
          <w:sz w:val="22"/>
          <w:szCs w:val="22"/>
          <w:lang w:val="es-ES"/>
        </w:rPr>
        <w:t>must</w:t>
      </w:r>
      <w:proofErr w:type="spellEnd"/>
      <w:r>
        <w:rPr>
          <w:rFonts w:eastAsia="Palatino Linotype"/>
          <w:sz w:val="22"/>
          <w:szCs w:val="22"/>
          <w:lang w:val="es-ES"/>
        </w:rPr>
        <w:t xml:space="preserve"> </w:t>
      </w:r>
      <w:proofErr w:type="spellStart"/>
      <w:r>
        <w:rPr>
          <w:rFonts w:eastAsia="Palatino Linotype"/>
          <w:sz w:val="22"/>
          <w:szCs w:val="22"/>
          <w:lang w:val="es-ES"/>
        </w:rPr>
        <w:t>establish</w:t>
      </w:r>
      <w:proofErr w:type="spellEnd"/>
      <w:r>
        <w:rPr>
          <w:rFonts w:eastAsia="Palatino Linotype"/>
          <w:sz w:val="22"/>
          <w:szCs w:val="22"/>
          <w:lang w:val="es-ES"/>
        </w:rPr>
        <w:t xml:space="preserve"> </w:t>
      </w:r>
      <w:proofErr w:type="spellStart"/>
      <w:r>
        <w:rPr>
          <w:rFonts w:eastAsia="Palatino Linotype"/>
          <w:sz w:val="22"/>
          <w:szCs w:val="22"/>
          <w:lang w:val="es-ES"/>
        </w:rPr>
        <w:t>the</w:t>
      </w:r>
      <w:proofErr w:type="spellEnd"/>
      <w:r>
        <w:rPr>
          <w:rFonts w:eastAsia="Palatino Linotype"/>
          <w:sz w:val="22"/>
          <w:szCs w:val="22"/>
          <w:lang w:val="es-ES"/>
        </w:rPr>
        <w:t xml:space="preserve"> </w:t>
      </w:r>
      <w:proofErr w:type="spellStart"/>
      <w:r>
        <w:rPr>
          <w:rFonts w:eastAsia="Palatino Linotype"/>
          <w:sz w:val="22"/>
          <w:szCs w:val="22"/>
          <w:lang w:val="es-ES"/>
        </w:rPr>
        <w:t>evaluation</w:t>
      </w:r>
      <w:proofErr w:type="spellEnd"/>
      <w:r>
        <w:rPr>
          <w:rFonts w:eastAsia="Palatino Linotype"/>
          <w:sz w:val="22"/>
          <w:szCs w:val="22"/>
          <w:lang w:val="es-ES"/>
        </w:rPr>
        <w:t xml:space="preserve"> </w:t>
      </w:r>
      <w:proofErr w:type="spellStart"/>
      <w:r>
        <w:rPr>
          <w:rFonts w:eastAsia="Palatino Linotype"/>
          <w:sz w:val="22"/>
          <w:szCs w:val="22"/>
          <w:lang w:val="es-ES"/>
        </w:rPr>
        <w:t>criteria</w:t>
      </w:r>
      <w:proofErr w:type="spellEnd"/>
      <w:r>
        <w:rPr>
          <w:rFonts w:eastAsia="Palatino Linotype"/>
          <w:sz w:val="22"/>
          <w:szCs w:val="22"/>
          <w:lang w:val="es-ES"/>
        </w:rPr>
        <w:t xml:space="preserve">, </w:t>
      </w:r>
      <w:proofErr w:type="spellStart"/>
      <w:r>
        <w:rPr>
          <w:rFonts w:eastAsia="Palatino Linotype"/>
          <w:sz w:val="22"/>
          <w:szCs w:val="22"/>
          <w:lang w:val="es-ES"/>
        </w:rPr>
        <w:t>according</w:t>
      </w:r>
      <w:proofErr w:type="spellEnd"/>
      <w:r>
        <w:rPr>
          <w:rFonts w:eastAsia="Palatino Linotype"/>
          <w:sz w:val="22"/>
          <w:szCs w:val="22"/>
          <w:lang w:val="es-ES"/>
        </w:rPr>
        <w:t xml:space="preserve"> </w:t>
      </w:r>
      <w:proofErr w:type="spellStart"/>
      <w:r>
        <w:rPr>
          <w:rFonts w:eastAsia="Palatino Linotype"/>
          <w:sz w:val="22"/>
          <w:szCs w:val="22"/>
          <w:lang w:val="es-ES"/>
        </w:rPr>
        <w:t>to</w:t>
      </w:r>
      <w:proofErr w:type="spellEnd"/>
      <w:r>
        <w:rPr>
          <w:rFonts w:eastAsia="Palatino Linotype"/>
          <w:sz w:val="22"/>
          <w:szCs w:val="22"/>
          <w:lang w:val="es-ES"/>
        </w:rPr>
        <w:t xml:space="preserve"> </w:t>
      </w:r>
      <w:proofErr w:type="spellStart"/>
      <w:r>
        <w:rPr>
          <w:rFonts w:eastAsia="Palatino Linotype"/>
          <w:sz w:val="22"/>
          <w:szCs w:val="22"/>
          <w:lang w:val="es-ES"/>
        </w:rPr>
        <w:t>one</w:t>
      </w:r>
      <w:proofErr w:type="spellEnd"/>
      <w:r>
        <w:rPr>
          <w:rFonts w:eastAsia="Palatino Linotype"/>
          <w:sz w:val="22"/>
          <w:szCs w:val="22"/>
          <w:lang w:val="es-ES"/>
        </w:rPr>
        <w:t xml:space="preserve"> </w:t>
      </w:r>
      <w:proofErr w:type="spellStart"/>
      <w:r>
        <w:rPr>
          <w:rFonts w:eastAsia="Palatino Linotype"/>
          <w:sz w:val="22"/>
          <w:szCs w:val="22"/>
          <w:lang w:val="es-ES"/>
        </w:rPr>
        <w:t>of</w:t>
      </w:r>
      <w:proofErr w:type="spellEnd"/>
      <w:r>
        <w:rPr>
          <w:rFonts w:eastAsia="Palatino Linotype"/>
          <w:sz w:val="22"/>
          <w:szCs w:val="22"/>
          <w:lang w:val="es-ES"/>
        </w:rPr>
        <w:t xml:space="preserve"> </w:t>
      </w:r>
      <w:proofErr w:type="spellStart"/>
      <w:r>
        <w:rPr>
          <w:rFonts w:eastAsia="Palatino Linotype"/>
          <w:sz w:val="22"/>
          <w:szCs w:val="22"/>
          <w:lang w:val="es-ES"/>
        </w:rPr>
        <w:t>the</w:t>
      </w:r>
      <w:proofErr w:type="spellEnd"/>
      <w:r>
        <w:rPr>
          <w:rFonts w:eastAsia="Palatino Linotype"/>
          <w:sz w:val="22"/>
          <w:szCs w:val="22"/>
          <w:lang w:val="es-ES"/>
        </w:rPr>
        <w:t xml:space="preserve"> </w:t>
      </w:r>
      <w:proofErr w:type="spellStart"/>
      <w:r>
        <w:rPr>
          <w:rFonts w:eastAsia="Palatino Linotype"/>
          <w:sz w:val="22"/>
          <w:szCs w:val="22"/>
          <w:lang w:val="es-ES"/>
        </w:rPr>
        <w:t>following</w:t>
      </w:r>
      <w:proofErr w:type="spellEnd"/>
      <w:r>
        <w:rPr>
          <w:rFonts w:eastAsia="Palatino Linotype"/>
          <w:sz w:val="22"/>
          <w:szCs w:val="22"/>
          <w:lang w:val="es-ES"/>
        </w:rPr>
        <w:t xml:space="preserve"> </w:t>
      </w:r>
      <w:proofErr w:type="spellStart"/>
      <w:r>
        <w:rPr>
          <w:rFonts w:eastAsia="Palatino Linotype"/>
          <w:sz w:val="22"/>
          <w:szCs w:val="22"/>
          <w:lang w:val="es-ES"/>
        </w:rPr>
        <w:t>systems</w:t>
      </w:r>
      <w:proofErr w:type="spellEnd"/>
      <w:r>
        <w:rPr>
          <w:rFonts w:eastAsia="Palatino Linotype"/>
          <w:sz w:val="22"/>
          <w:szCs w:val="22"/>
          <w:lang w:val="es-ES"/>
        </w:rPr>
        <w:t>:</w:t>
      </w:r>
    </w:p>
    <w:p w14:paraId="75D1D8F5" w14:textId="77777777" w:rsidR="00E255F4" w:rsidRDefault="00E255F4">
      <w:pPr>
        <w:ind w:right="-142"/>
        <w:jc w:val="both"/>
        <w:rPr>
          <w:rFonts w:eastAsia="Palatino Linotype"/>
          <w:spacing w:val="-1"/>
          <w:sz w:val="22"/>
          <w:szCs w:val="22"/>
          <w:lang w:val="es-ES"/>
        </w:rPr>
      </w:pPr>
    </w:p>
    <w:p w14:paraId="0E7D1A3B" w14:textId="77777777" w:rsidR="00E255F4" w:rsidRDefault="00000000">
      <w:pPr>
        <w:numPr>
          <w:ilvl w:val="0"/>
          <w:numId w:val="70"/>
        </w:numPr>
        <w:ind w:left="0" w:right="-142" w:firstLine="0"/>
        <w:jc w:val="both"/>
      </w:pPr>
      <w:proofErr w:type="spellStart"/>
      <w:r>
        <w:rPr>
          <w:rFonts w:eastAsia="Palatino Linotype"/>
          <w:spacing w:val="2"/>
          <w:sz w:val="22"/>
          <w:szCs w:val="22"/>
          <w:lang w:val="es-ES"/>
        </w:rPr>
        <w:t>Determination</w:t>
      </w:r>
      <w:r>
        <w:rPr>
          <w:rFonts w:eastAsia="Palatino Linotype"/>
          <w:sz w:val="22"/>
          <w:szCs w:val="22"/>
          <w:lang w:val="es-ES"/>
        </w:rPr>
        <w:t>n</w:t>
      </w:r>
      <w:proofErr w:type="spellEnd"/>
      <w:r>
        <w:rPr>
          <w:rFonts w:eastAsia="Palatino Linotype"/>
          <w:sz w:val="22"/>
          <w:szCs w:val="22"/>
          <w:lang w:val="es-ES"/>
        </w:rPr>
        <w:t xml:space="preserve"> </w:t>
      </w:r>
      <w:proofErr w:type="spellStart"/>
      <w:r>
        <w:rPr>
          <w:rFonts w:eastAsia="Palatino Linotype"/>
          <w:sz w:val="22"/>
          <w:szCs w:val="22"/>
          <w:lang w:val="es-ES"/>
        </w:rPr>
        <w:t>of</w:t>
      </w:r>
      <w:proofErr w:type="spellEnd"/>
      <w:r>
        <w:rPr>
          <w:rFonts w:eastAsia="Palatino Linotype"/>
          <w:sz w:val="22"/>
          <w:szCs w:val="22"/>
          <w:lang w:val="es-ES"/>
        </w:rPr>
        <w:t xml:space="preserve"> </w:t>
      </w:r>
      <w:proofErr w:type="spellStart"/>
      <w:r>
        <w:rPr>
          <w:rFonts w:eastAsia="Palatino Linotype"/>
          <w:sz w:val="22"/>
          <w:szCs w:val="22"/>
          <w:lang w:val="es-ES"/>
        </w:rPr>
        <w:t>the</w:t>
      </w:r>
      <w:proofErr w:type="spellEnd"/>
      <w:r>
        <w:rPr>
          <w:rFonts w:eastAsia="Palatino Linotype"/>
          <w:sz w:val="22"/>
          <w:szCs w:val="22"/>
          <w:lang w:val="es-ES"/>
        </w:rPr>
        <w:t xml:space="preserve"> </w:t>
      </w:r>
      <w:proofErr w:type="spellStart"/>
      <w:r>
        <w:rPr>
          <w:rFonts w:eastAsia="Palatino Linotype"/>
          <w:sz w:val="22"/>
          <w:szCs w:val="22"/>
          <w:lang w:val="es-ES"/>
        </w:rPr>
        <w:t>main</w:t>
      </w:r>
      <w:proofErr w:type="spellEnd"/>
      <w:r>
        <w:rPr>
          <w:rFonts w:eastAsia="Palatino Linotype"/>
          <w:sz w:val="22"/>
          <w:szCs w:val="22"/>
          <w:lang w:val="es-ES"/>
        </w:rPr>
        <w:t xml:space="preserve"> </w:t>
      </w:r>
      <w:proofErr w:type="spellStart"/>
      <w:r>
        <w:rPr>
          <w:rFonts w:eastAsia="Palatino Linotype"/>
          <w:sz w:val="22"/>
          <w:szCs w:val="22"/>
          <w:lang w:val="es-ES"/>
        </w:rPr>
        <w:t>factors</w:t>
      </w:r>
      <w:proofErr w:type="spellEnd"/>
      <w:r>
        <w:rPr>
          <w:rFonts w:eastAsia="Palatino Linotype"/>
          <w:sz w:val="22"/>
          <w:szCs w:val="22"/>
          <w:lang w:val="es-ES"/>
        </w:rPr>
        <w:t xml:space="preserve"> (</w:t>
      </w:r>
      <w:proofErr w:type="spellStart"/>
      <w:r>
        <w:rPr>
          <w:rFonts w:eastAsia="Palatino Linotype"/>
          <w:sz w:val="22"/>
          <w:szCs w:val="22"/>
          <w:lang w:val="es-ES"/>
        </w:rPr>
        <w:t>quantitative</w:t>
      </w:r>
      <w:proofErr w:type="spellEnd"/>
      <w:r>
        <w:rPr>
          <w:rFonts w:eastAsia="Palatino Linotype"/>
          <w:sz w:val="22"/>
          <w:szCs w:val="22"/>
          <w:lang w:val="es-ES"/>
        </w:rPr>
        <w:t xml:space="preserve"> and/</w:t>
      </w:r>
      <w:proofErr w:type="spellStart"/>
      <w:r>
        <w:rPr>
          <w:rFonts w:eastAsia="Palatino Linotype"/>
          <w:sz w:val="22"/>
          <w:szCs w:val="22"/>
          <w:lang w:val="es-ES"/>
        </w:rPr>
        <w:t>or</w:t>
      </w:r>
      <w:proofErr w:type="spellEnd"/>
      <w:r>
        <w:rPr>
          <w:rFonts w:eastAsia="Palatino Linotype"/>
          <w:sz w:val="22"/>
          <w:szCs w:val="22"/>
          <w:lang w:val="es-ES"/>
        </w:rPr>
        <w:t xml:space="preserve"> </w:t>
      </w:r>
      <w:proofErr w:type="spellStart"/>
      <w:r>
        <w:rPr>
          <w:rFonts w:eastAsia="Palatino Linotype"/>
          <w:sz w:val="22"/>
          <w:szCs w:val="22"/>
          <w:lang w:val="es-ES"/>
        </w:rPr>
        <w:t>qualitative</w:t>
      </w:r>
      <w:proofErr w:type="spellEnd"/>
      <w:r>
        <w:rPr>
          <w:rFonts w:eastAsia="Palatino Linotype"/>
          <w:sz w:val="22"/>
          <w:szCs w:val="22"/>
          <w:lang w:val="es-ES"/>
        </w:rPr>
        <w:t xml:space="preserve">) </w:t>
      </w:r>
      <w:proofErr w:type="spellStart"/>
      <w:r>
        <w:rPr>
          <w:rFonts w:eastAsia="Palatino Linotype"/>
          <w:sz w:val="22"/>
          <w:szCs w:val="22"/>
          <w:lang w:val="es-ES"/>
        </w:rPr>
        <w:t>that</w:t>
      </w:r>
      <w:proofErr w:type="spellEnd"/>
      <w:r>
        <w:rPr>
          <w:rFonts w:eastAsia="Palatino Linotype"/>
          <w:sz w:val="22"/>
          <w:szCs w:val="22"/>
          <w:lang w:val="es-ES"/>
        </w:rPr>
        <w:t xml:space="preserve"> </w:t>
      </w:r>
      <w:proofErr w:type="spellStart"/>
      <w:r>
        <w:rPr>
          <w:rFonts w:eastAsia="Palatino Linotype"/>
          <w:sz w:val="22"/>
          <w:szCs w:val="22"/>
          <w:lang w:val="es-ES"/>
        </w:rPr>
        <w:t>will</w:t>
      </w:r>
      <w:proofErr w:type="spellEnd"/>
      <w:r>
        <w:rPr>
          <w:rFonts w:eastAsia="Palatino Linotype"/>
          <w:sz w:val="22"/>
          <w:szCs w:val="22"/>
          <w:lang w:val="es-ES"/>
        </w:rPr>
        <w:t xml:space="preserve"> be </w:t>
      </w:r>
      <w:proofErr w:type="spellStart"/>
      <w:r>
        <w:rPr>
          <w:rFonts w:eastAsia="Palatino Linotype"/>
          <w:sz w:val="22"/>
          <w:szCs w:val="22"/>
          <w:lang w:val="es-ES"/>
        </w:rPr>
        <w:t>taken</w:t>
      </w:r>
      <w:proofErr w:type="spellEnd"/>
      <w:r>
        <w:rPr>
          <w:rFonts w:eastAsia="Palatino Linotype"/>
          <w:sz w:val="22"/>
          <w:szCs w:val="22"/>
          <w:lang w:val="es-ES"/>
        </w:rPr>
        <w:t xml:space="preserve"> </w:t>
      </w:r>
      <w:proofErr w:type="spellStart"/>
      <w:r>
        <w:rPr>
          <w:rFonts w:eastAsia="Palatino Linotype"/>
          <w:sz w:val="22"/>
          <w:szCs w:val="22"/>
          <w:lang w:val="es-ES"/>
        </w:rPr>
        <w:t>into</w:t>
      </w:r>
      <w:proofErr w:type="spellEnd"/>
      <w:r>
        <w:rPr>
          <w:rFonts w:eastAsia="Palatino Linotype"/>
          <w:sz w:val="22"/>
          <w:szCs w:val="22"/>
          <w:lang w:val="es-ES"/>
        </w:rPr>
        <w:t xml:space="preserve"> </w:t>
      </w:r>
      <w:proofErr w:type="spellStart"/>
      <w:r>
        <w:rPr>
          <w:rFonts w:eastAsia="Palatino Linotype"/>
          <w:sz w:val="22"/>
          <w:szCs w:val="22"/>
          <w:lang w:val="es-ES"/>
        </w:rPr>
        <w:t>account</w:t>
      </w:r>
      <w:proofErr w:type="spellEnd"/>
      <w:r>
        <w:rPr>
          <w:rFonts w:eastAsia="Palatino Linotype"/>
          <w:sz w:val="22"/>
          <w:szCs w:val="22"/>
          <w:lang w:val="es-ES"/>
        </w:rPr>
        <w:t xml:space="preserve"> </w:t>
      </w:r>
      <w:proofErr w:type="spellStart"/>
      <w:r>
        <w:rPr>
          <w:rFonts w:eastAsia="Palatino Linotype"/>
          <w:sz w:val="22"/>
          <w:szCs w:val="22"/>
          <w:lang w:val="es-ES"/>
        </w:rPr>
        <w:t>to</w:t>
      </w:r>
      <w:proofErr w:type="spellEnd"/>
      <w:r>
        <w:rPr>
          <w:rFonts w:eastAsia="Palatino Linotype"/>
          <w:sz w:val="22"/>
          <w:szCs w:val="22"/>
          <w:lang w:val="es-ES"/>
        </w:rPr>
        <w:t xml:space="preserve"> </w:t>
      </w:r>
      <w:proofErr w:type="spellStart"/>
      <w:r>
        <w:rPr>
          <w:rFonts w:eastAsia="Palatino Linotype"/>
          <w:sz w:val="22"/>
          <w:szCs w:val="22"/>
          <w:lang w:val="es-ES"/>
        </w:rPr>
        <w:t>evaluate</w:t>
      </w:r>
      <w:proofErr w:type="spellEnd"/>
      <w:r>
        <w:rPr>
          <w:rFonts w:eastAsia="Palatino Linotype"/>
          <w:sz w:val="22"/>
          <w:szCs w:val="22"/>
          <w:lang w:val="es-ES"/>
        </w:rPr>
        <w:t xml:space="preserve"> </w:t>
      </w:r>
      <w:proofErr w:type="spellStart"/>
      <w:r>
        <w:rPr>
          <w:rFonts w:eastAsia="Palatino Linotype"/>
          <w:sz w:val="22"/>
          <w:szCs w:val="22"/>
          <w:lang w:val="es-ES"/>
        </w:rPr>
        <w:t>the</w:t>
      </w:r>
      <w:proofErr w:type="spellEnd"/>
      <w:r>
        <w:rPr>
          <w:rFonts w:eastAsia="Palatino Linotype"/>
          <w:sz w:val="22"/>
          <w:szCs w:val="22"/>
          <w:lang w:val="es-ES"/>
        </w:rPr>
        <w:t xml:space="preserve"> </w:t>
      </w:r>
      <w:proofErr w:type="spellStart"/>
      <w:r>
        <w:rPr>
          <w:rFonts w:eastAsia="Palatino Linotype"/>
          <w:sz w:val="22"/>
          <w:szCs w:val="22"/>
          <w:lang w:val="es-ES"/>
        </w:rPr>
        <w:t>offers</w:t>
      </w:r>
      <w:proofErr w:type="spellEnd"/>
      <w:r>
        <w:rPr>
          <w:rFonts w:eastAsia="Palatino Linotype"/>
          <w:sz w:val="22"/>
          <w:szCs w:val="22"/>
          <w:lang w:val="es-ES"/>
        </w:rPr>
        <w:t xml:space="preserve">, as </w:t>
      </w:r>
      <w:proofErr w:type="spellStart"/>
      <w:r>
        <w:rPr>
          <w:rFonts w:eastAsia="Palatino Linotype"/>
          <w:sz w:val="22"/>
          <w:szCs w:val="22"/>
          <w:lang w:val="es-ES"/>
        </w:rPr>
        <w:t>well</w:t>
      </w:r>
      <w:proofErr w:type="spellEnd"/>
      <w:r>
        <w:rPr>
          <w:rFonts w:eastAsia="Palatino Linotype"/>
          <w:sz w:val="22"/>
          <w:szCs w:val="22"/>
          <w:lang w:val="es-ES"/>
        </w:rPr>
        <w:t xml:space="preserve"> as </w:t>
      </w:r>
      <w:proofErr w:type="spellStart"/>
      <w:r>
        <w:rPr>
          <w:rFonts w:eastAsia="Palatino Linotype"/>
          <w:sz w:val="22"/>
          <w:szCs w:val="22"/>
          <w:lang w:val="es-ES"/>
        </w:rPr>
        <w:t>the</w:t>
      </w:r>
      <w:proofErr w:type="spellEnd"/>
      <w:r>
        <w:rPr>
          <w:rFonts w:eastAsia="Palatino Linotype"/>
          <w:sz w:val="22"/>
          <w:szCs w:val="22"/>
          <w:lang w:val="es-ES"/>
        </w:rPr>
        <w:t xml:space="preserve"> </w:t>
      </w:r>
      <w:proofErr w:type="spellStart"/>
      <w:r>
        <w:rPr>
          <w:rFonts w:eastAsia="Palatino Linotype"/>
          <w:sz w:val="22"/>
          <w:szCs w:val="22"/>
          <w:lang w:val="es-ES"/>
        </w:rPr>
        <w:t>weighting</w:t>
      </w:r>
      <w:proofErr w:type="spellEnd"/>
      <w:r>
        <w:rPr>
          <w:rFonts w:eastAsia="Palatino Linotype"/>
          <w:sz w:val="22"/>
          <w:szCs w:val="22"/>
          <w:lang w:val="es-ES"/>
        </w:rPr>
        <w:t xml:space="preserve"> </w:t>
      </w:r>
      <w:proofErr w:type="spellStart"/>
      <w:r>
        <w:rPr>
          <w:rFonts w:eastAsia="Palatino Linotype"/>
          <w:sz w:val="22"/>
          <w:szCs w:val="22"/>
          <w:lang w:val="es-ES"/>
        </w:rPr>
        <w:t>of</w:t>
      </w:r>
      <w:proofErr w:type="spellEnd"/>
      <w:r>
        <w:rPr>
          <w:rFonts w:eastAsia="Palatino Linotype"/>
          <w:sz w:val="22"/>
          <w:szCs w:val="22"/>
          <w:lang w:val="es-ES"/>
        </w:rPr>
        <w:t xml:space="preserve"> </w:t>
      </w:r>
      <w:proofErr w:type="spellStart"/>
      <w:r>
        <w:rPr>
          <w:rFonts w:eastAsia="Palatino Linotype"/>
          <w:sz w:val="22"/>
          <w:szCs w:val="22"/>
          <w:lang w:val="es-ES"/>
        </w:rPr>
        <w:t>each</w:t>
      </w:r>
      <w:proofErr w:type="spellEnd"/>
      <w:r>
        <w:rPr>
          <w:rFonts w:eastAsia="Palatino Linotype"/>
          <w:sz w:val="22"/>
          <w:szCs w:val="22"/>
          <w:lang w:val="es-ES"/>
        </w:rPr>
        <w:t xml:space="preserve"> </w:t>
      </w:r>
      <w:proofErr w:type="spellStart"/>
      <w:r>
        <w:rPr>
          <w:rFonts w:eastAsia="Palatino Linotype"/>
          <w:sz w:val="22"/>
          <w:szCs w:val="22"/>
          <w:lang w:val="es-ES"/>
        </w:rPr>
        <w:t>one</w:t>
      </w:r>
      <w:proofErr w:type="spellEnd"/>
      <w:r>
        <w:rPr>
          <w:rFonts w:eastAsia="Palatino Linotype"/>
          <w:sz w:val="22"/>
          <w:szCs w:val="22"/>
          <w:lang w:val="es-ES"/>
        </w:rPr>
        <w:t xml:space="preserve"> </w:t>
      </w:r>
      <w:proofErr w:type="spellStart"/>
      <w:r>
        <w:rPr>
          <w:rFonts w:eastAsia="Palatino Linotype"/>
          <w:sz w:val="22"/>
          <w:szCs w:val="22"/>
          <w:lang w:val="es-ES"/>
        </w:rPr>
        <w:t>for</w:t>
      </w:r>
      <w:proofErr w:type="spellEnd"/>
      <w:r>
        <w:rPr>
          <w:rFonts w:eastAsia="Palatino Linotype"/>
          <w:sz w:val="22"/>
          <w:szCs w:val="22"/>
          <w:lang w:val="es-ES"/>
        </w:rPr>
        <w:t xml:space="preserve"> </w:t>
      </w:r>
      <w:proofErr w:type="spellStart"/>
      <w:r>
        <w:rPr>
          <w:rFonts w:eastAsia="Palatino Linotype"/>
          <w:sz w:val="22"/>
          <w:szCs w:val="22"/>
          <w:lang w:val="es-ES"/>
        </w:rPr>
        <w:t>the</w:t>
      </w:r>
      <w:proofErr w:type="spellEnd"/>
      <w:r>
        <w:rPr>
          <w:rFonts w:eastAsia="Palatino Linotype"/>
          <w:sz w:val="22"/>
          <w:szCs w:val="22"/>
          <w:lang w:val="es-ES"/>
        </w:rPr>
        <w:t xml:space="preserve"> </w:t>
      </w:r>
      <w:proofErr w:type="spellStart"/>
      <w:r>
        <w:rPr>
          <w:rFonts w:eastAsia="Palatino Linotype"/>
          <w:sz w:val="22"/>
          <w:szCs w:val="22"/>
          <w:lang w:val="es-ES"/>
        </w:rPr>
        <w:t>purpose</w:t>
      </w:r>
      <w:proofErr w:type="spellEnd"/>
      <w:r>
        <w:rPr>
          <w:rFonts w:eastAsia="Palatino Linotype"/>
          <w:sz w:val="22"/>
          <w:szCs w:val="22"/>
          <w:lang w:val="es-ES"/>
        </w:rPr>
        <w:t xml:space="preserve"> </w:t>
      </w:r>
      <w:proofErr w:type="spellStart"/>
      <w:r>
        <w:rPr>
          <w:rFonts w:eastAsia="Palatino Linotype"/>
          <w:sz w:val="22"/>
          <w:szCs w:val="22"/>
          <w:lang w:val="es-ES"/>
        </w:rPr>
        <w:t>of</w:t>
      </w:r>
      <w:proofErr w:type="spellEnd"/>
      <w:r>
        <w:rPr>
          <w:rFonts w:eastAsia="Palatino Linotype"/>
          <w:sz w:val="22"/>
          <w:szCs w:val="22"/>
          <w:lang w:val="es-ES"/>
        </w:rPr>
        <w:t xml:space="preserve"> </w:t>
      </w:r>
      <w:proofErr w:type="spellStart"/>
      <w:r>
        <w:rPr>
          <w:rFonts w:eastAsia="Palatino Linotype"/>
          <w:sz w:val="22"/>
          <w:szCs w:val="22"/>
          <w:lang w:val="es-ES"/>
        </w:rPr>
        <w:t>determining</w:t>
      </w:r>
      <w:proofErr w:type="spellEnd"/>
      <w:r>
        <w:rPr>
          <w:rFonts w:eastAsia="Palatino Linotype"/>
          <w:sz w:val="22"/>
          <w:szCs w:val="22"/>
          <w:lang w:val="es-ES"/>
        </w:rPr>
        <w:t xml:space="preserve"> </w:t>
      </w:r>
      <w:proofErr w:type="spellStart"/>
      <w:r>
        <w:rPr>
          <w:rFonts w:eastAsia="Palatino Linotype"/>
          <w:sz w:val="22"/>
          <w:szCs w:val="22"/>
          <w:lang w:val="es-ES"/>
        </w:rPr>
        <w:t>the</w:t>
      </w:r>
      <w:proofErr w:type="spellEnd"/>
      <w:r>
        <w:rPr>
          <w:rFonts w:eastAsia="Palatino Linotype"/>
          <w:sz w:val="22"/>
          <w:szCs w:val="22"/>
          <w:lang w:val="es-ES"/>
        </w:rPr>
        <w:t xml:space="preserve"> rating </w:t>
      </w:r>
      <w:proofErr w:type="spellStart"/>
      <w:r>
        <w:rPr>
          <w:rFonts w:eastAsia="Palatino Linotype"/>
          <w:sz w:val="22"/>
          <w:szCs w:val="22"/>
          <w:lang w:val="es-ES"/>
        </w:rPr>
        <w:t>assigned</w:t>
      </w:r>
      <w:proofErr w:type="spellEnd"/>
      <w:r>
        <w:rPr>
          <w:rFonts w:eastAsia="Palatino Linotype"/>
          <w:sz w:val="22"/>
          <w:szCs w:val="22"/>
          <w:lang w:val="es-ES"/>
        </w:rPr>
        <w:t xml:space="preserve"> </w:t>
      </w:r>
      <w:proofErr w:type="spellStart"/>
      <w:r>
        <w:rPr>
          <w:rFonts w:eastAsia="Palatino Linotype"/>
          <w:sz w:val="22"/>
          <w:szCs w:val="22"/>
          <w:lang w:val="es-ES"/>
        </w:rPr>
        <w:t>to</w:t>
      </w:r>
      <w:proofErr w:type="spellEnd"/>
      <w:r>
        <w:rPr>
          <w:rFonts w:eastAsia="Palatino Linotype"/>
          <w:sz w:val="22"/>
          <w:szCs w:val="22"/>
          <w:lang w:val="es-ES"/>
        </w:rPr>
        <w:t xml:space="preserve"> </w:t>
      </w:r>
      <w:proofErr w:type="spellStart"/>
      <w:r>
        <w:rPr>
          <w:rFonts w:eastAsia="Palatino Linotype"/>
          <w:sz w:val="22"/>
          <w:szCs w:val="22"/>
          <w:lang w:val="es-ES"/>
        </w:rPr>
        <w:t>each</w:t>
      </w:r>
      <w:proofErr w:type="spellEnd"/>
      <w:r>
        <w:rPr>
          <w:rFonts w:eastAsia="Palatino Linotype"/>
          <w:sz w:val="22"/>
          <w:szCs w:val="22"/>
          <w:lang w:val="es-ES"/>
        </w:rPr>
        <w:t xml:space="preserve"> </w:t>
      </w:r>
      <w:proofErr w:type="spellStart"/>
      <w:r>
        <w:rPr>
          <w:rFonts w:eastAsia="Palatino Linotype"/>
          <w:sz w:val="22"/>
          <w:szCs w:val="22"/>
          <w:lang w:val="es-ES"/>
        </w:rPr>
        <w:t>offer</w:t>
      </w:r>
      <w:proofErr w:type="spellEnd"/>
      <w:r>
        <w:rPr>
          <w:rFonts w:eastAsia="Palatino Linotype"/>
          <w:sz w:val="22"/>
          <w:szCs w:val="22"/>
          <w:lang w:val="es-ES"/>
        </w:rPr>
        <w:t xml:space="preserve">, </w:t>
      </w:r>
      <w:proofErr w:type="spellStart"/>
      <w:r>
        <w:rPr>
          <w:rFonts w:eastAsia="Palatino Linotype"/>
          <w:sz w:val="22"/>
          <w:szCs w:val="22"/>
          <w:lang w:val="es-ES"/>
        </w:rPr>
        <w:t>where</w:t>
      </w:r>
      <w:proofErr w:type="spellEnd"/>
      <w:r>
        <w:rPr>
          <w:rFonts w:eastAsia="Palatino Linotype"/>
          <w:sz w:val="22"/>
          <w:szCs w:val="22"/>
          <w:lang w:val="es-ES"/>
        </w:rPr>
        <w:t xml:space="preserve"> </w:t>
      </w:r>
      <w:proofErr w:type="spellStart"/>
      <w:r>
        <w:rPr>
          <w:rFonts w:eastAsia="Palatino Linotype"/>
          <w:sz w:val="22"/>
          <w:szCs w:val="22"/>
          <w:lang w:val="es-ES"/>
        </w:rPr>
        <w:t>applicable</w:t>
      </w:r>
      <w:proofErr w:type="spellEnd"/>
      <w:r>
        <w:rPr>
          <w:rFonts w:eastAsia="Palatino Linotype"/>
          <w:sz w:val="22"/>
          <w:szCs w:val="22"/>
          <w:lang w:val="es-ES"/>
        </w:rPr>
        <w:t xml:space="preserve"> (Arts. 48 Lit. C and 65 final </w:t>
      </w:r>
      <w:proofErr w:type="spellStart"/>
      <w:r>
        <w:rPr>
          <w:rFonts w:eastAsia="Palatino Linotype"/>
          <w:sz w:val="22"/>
          <w:szCs w:val="22"/>
          <w:lang w:val="es-ES"/>
        </w:rPr>
        <w:t>of</w:t>
      </w:r>
      <w:proofErr w:type="spellEnd"/>
      <w:r>
        <w:rPr>
          <w:rFonts w:eastAsia="Palatino Linotype"/>
          <w:sz w:val="22"/>
          <w:szCs w:val="22"/>
          <w:lang w:val="es-ES"/>
        </w:rPr>
        <w:t xml:space="preserve"> </w:t>
      </w:r>
      <w:proofErr w:type="spellStart"/>
      <w:r>
        <w:rPr>
          <w:rFonts w:eastAsia="Palatino Linotype"/>
          <w:sz w:val="22"/>
          <w:szCs w:val="22"/>
          <w:lang w:val="es-ES"/>
        </w:rPr>
        <w:t>the</w:t>
      </w:r>
      <w:proofErr w:type="spellEnd"/>
      <w:r>
        <w:rPr>
          <w:rFonts w:eastAsia="Palatino Linotype"/>
          <w:sz w:val="22"/>
          <w:szCs w:val="22"/>
          <w:lang w:val="es-ES"/>
        </w:rPr>
        <w:t xml:space="preserve"> TOCAF).</w:t>
      </w:r>
    </w:p>
    <w:p w14:paraId="7063FA36" w14:textId="77777777" w:rsidR="00E255F4" w:rsidRDefault="00E255F4">
      <w:pPr>
        <w:ind w:right="-142"/>
        <w:jc w:val="both"/>
        <w:rPr>
          <w:rFonts w:eastAsia="Palatino Linotype"/>
          <w:spacing w:val="-1"/>
          <w:sz w:val="22"/>
          <w:szCs w:val="22"/>
          <w:lang w:val="es-ES"/>
        </w:rPr>
      </w:pPr>
    </w:p>
    <w:p w14:paraId="4682CCF9" w14:textId="77777777" w:rsidR="00E255F4" w:rsidRDefault="00000000">
      <w:pPr>
        <w:ind w:right="-142"/>
        <w:jc w:val="both"/>
        <w:rPr>
          <w:rFonts w:eastAsia="Palatino Linotype"/>
          <w:sz w:val="22"/>
          <w:szCs w:val="22"/>
          <w:lang w:val="es-ES"/>
        </w:rPr>
      </w:pPr>
      <w:r>
        <w:rPr>
          <w:rFonts w:eastAsia="Palatino Linotype"/>
          <w:spacing w:val="-1"/>
          <w:sz w:val="22"/>
          <w:szCs w:val="22"/>
          <w:lang w:val="es-ES"/>
        </w:rPr>
        <w:t>b</w:t>
      </w:r>
      <w:r>
        <w:rPr>
          <w:rFonts w:eastAsia="Palatino Linotype"/>
          <w:sz w:val="22"/>
          <w:szCs w:val="22"/>
          <w:lang w:val="es-ES"/>
        </w:rPr>
        <w:t>)</w:t>
      </w:r>
      <w:r>
        <w:rPr>
          <w:rFonts w:eastAsia="Palatino Linotype"/>
          <w:spacing w:val="-14"/>
          <w:sz w:val="22"/>
          <w:szCs w:val="22"/>
          <w:lang w:val="es-ES"/>
        </w:rPr>
        <w:t xml:space="preserve"> </w:t>
      </w:r>
      <w:r>
        <w:rPr>
          <w:rFonts w:eastAsia="Palatino Linotype"/>
          <w:spacing w:val="-14"/>
          <w:sz w:val="22"/>
          <w:szCs w:val="22"/>
          <w:lang w:val="es-ES"/>
        </w:rPr>
        <w:tab/>
      </w:r>
      <w:r>
        <w:rPr>
          <w:rFonts w:eastAsia="Palatino Linotype"/>
          <w:spacing w:val="-1"/>
          <w:sz w:val="22"/>
          <w:szCs w:val="22"/>
          <w:lang w:val="es-ES"/>
        </w:rPr>
        <w:t>Use</w:t>
      </w:r>
      <w:r>
        <w:rPr>
          <w:rFonts w:eastAsia="Palatino Linotype"/>
          <w:sz w:val="22"/>
          <w:szCs w:val="22"/>
          <w:lang w:val="es-ES"/>
        </w:rPr>
        <w:t xml:space="preserve">n </w:t>
      </w:r>
      <w:proofErr w:type="spellStart"/>
      <w:r>
        <w:rPr>
          <w:rFonts w:eastAsia="Palatino Linotype"/>
          <w:sz w:val="22"/>
          <w:szCs w:val="22"/>
          <w:lang w:val="es-ES"/>
        </w:rPr>
        <w:t>of</w:t>
      </w:r>
      <w:proofErr w:type="spellEnd"/>
      <w:r>
        <w:rPr>
          <w:rFonts w:eastAsia="Palatino Linotype"/>
          <w:sz w:val="22"/>
          <w:szCs w:val="22"/>
          <w:lang w:val="es-ES"/>
        </w:rPr>
        <w:t xml:space="preserve"> </w:t>
      </w:r>
      <w:proofErr w:type="spellStart"/>
      <w:r>
        <w:rPr>
          <w:rFonts w:eastAsia="Palatino Linotype"/>
          <w:sz w:val="22"/>
          <w:szCs w:val="22"/>
          <w:lang w:val="es-ES"/>
        </w:rPr>
        <w:t>the</w:t>
      </w:r>
      <w:proofErr w:type="spellEnd"/>
      <w:r>
        <w:rPr>
          <w:rFonts w:eastAsia="Palatino Linotype"/>
          <w:sz w:val="22"/>
          <w:szCs w:val="22"/>
          <w:lang w:val="es-ES"/>
        </w:rPr>
        <w:t xml:space="preserve"> </w:t>
      </w:r>
      <w:proofErr w:type="spellStart"/>
      <w:r>
        <w:rPr>
          <w:rFonts w:eastAsia="Palatino Linotype"/>
          <w:sz w:val="22"/>
          <w:szCs w:val="22"/>
          <w:lang w:val="es-ES"/>
        </w:rPr>
        <w:t>price</w:t>
      </w:r>
      <w:proofErr w:type="spellEnd"/>
      <w:r>
        <w:rPr>
          <w:rFonts w:eastAsia="Palatino Linotype"/>
          <w:sz w:val="22"/>
          <w:szCs w:val="22"/>
          <w:lang w:val="es-ES"/>
        </w:rPr>
        <w:t xml:space="preserve"> factor </w:t>
      </w:r>
      <w:proofErr w:type="spellStart"/>
      <w:r>
        <w:rPr>
          <w:rFonts w:eastAsia="Palatino Linotype"/>
          <w:sz w:val="22"/>
          <w:szCs w:val="22"/>
          <w:lang w:val="es-ES"/>
        </w:rPr>
        <w:t>exclusively</w:t>
      </w:r>
      <w:proofErr w:type="spellEnd"/>
      <w:r>
        <w:rPr>
          <w:rFonts w:eastAsia="Palatino Linotype"/>
          <w:sz w:val="22"/>
          <w:szCs w:val="22"/>
          <w:lang w:val="es-ES"/>
        </w:rPr>
        <w:t xml:space="preserve">, </w:t>
      </w:r>
      <w:proofErr w:type="spellStart"/>
      <w:r>
        <w:rPr>
          <w:rFonts w:eastAsia="Palatino Linotype"/>
          <w:sz w:val="22"/>
          <w:szCs w:val="22"/>
          <w:lang w:val="es-ES"/>
        </w:rPr>
        <w:t>or</w:t>
      </w:r>
      <w:proofErr w:type="spellEnd"/>
      <w:r>
        <w:rPr>
          <w:rFonts w:eastAsia="Palatino Linotype"/>
          <w:sz w:val="22"/>
          <w:szCs w:val="22"/>
          <w:lang w:val="es-ES"/>
        </w:rPr>
        <w:t xml:space="preserve"> </w:t>
      </w:r>
      <w:proofErr w:type="spellStart"/>
      <w:r>
        <w:rPr>
          <w:rFonts w:eastAsia="Palatino Linotype"/>
          <w:sz w:val="22"/>
          <w:szCs w:val="22"/>
          <w:lang w:val="es-ES"/>
        </w:rPr>
        <w:t>other</w:t>
      </w:r>
      <w:proofErr w:type="spellEnd"/>
      <w:r>
        <w:rPr>
          <w:rFonts w:eastAsia="Palatino Linotype"/>
          <w:sz w:val="22"/>
          <w:szCs w:val="22"/>
          <w:lang w:val="es-ES"/>
        </w:rPr>
        <w:t xml:space="preserve"> </w:t>
      </w:r>
      <w:proofErr w:type="spellStart"/>
      <w:r>
        <w:rPr>
          <w:rFonts w:eastAsia="Palatino Linotype"/>
          <w:sz w:val="22"/>
          <w:szCs w:val="22"/>
          <w:lang w:val="es-ES"/>
        </w:rPr>
        <w:t>quantitative</w:t>
      </w:r>
      <w:proofErr w:type="spellEnd"/>
      <w:r>
        <w:rPr>
          <w:rFonts w:eastAsia="Palatino Linotype"/>
          <w:sz w:val="22"/>
          <w:szCs w:val="22"/>
          <w:lang w:val="es-ES"/>
        </w:rPr>
        <w:t xml:space="preserve"> </w:t>
      </w:r>
      <w:proofErr w:type="spellStart"/>
      <w:r>
        <w:rPr>
          <w:rFonts w:eastAsia="Palatino Linotype"/>
          <w:sz w:val="22"/>
          <w:szCs w:val="22"/>
          <w:lang w:val="es-ES"/>
        </w:rPr>
        <w:t>element</w:t>
      </w:r>
      <w:proofErr w:type="spellEnd"/>
      <w:r>
        <w:rPr>
          <w:rFonts w:eastAsia="Palatino Linotype"/>
          <w:sz w:val="22"/>
          <w:szCs w:val="22"/>
          <w:lang w:val="es-ES"/>
        </w:rPr>
        <w:t xml:space="preserve">, </w:t>
      </w:r>
      <w:proofErr w:type="spellStart"/>
      <w:r>
        <w:rPr>
          <w:rFonts w:eastAsia="Palatino Linotype"/>
          <w:sz w:val="22"/>
          <w:szCs w:val="22"/>
          <w:lang w:val="es-ES"/>
        </w:rPr>
        <w:t>which</w:t>
      </w:r>
      <w:proofErr w:type="spellEnd"/>
      <w:r>
        <w:rPr>
          <w:rFonts w:eastAsia="Palatino Linotype"/>
          <w:sz w:val="22"/>
          <w:szCs w:val="22"/>
          <w:lang w:val="es-ES"/>
        </w:rPr>
        <w:t xml:space="preserve"> </w:t>
      </w:r>
      <w:proofErr w:type="spellStart"/>
      <w:r>
        <w:rPr>
          <w:rFonts w:eastAsia="Palatino Linotype"/>
          <w:sz w:val="22"/>
          <w:szCs w:val="22"/>
          <w:lang w:val="es-ES"/>
        </w:rPr>
        <w:t>will</w:t>
      </w:r>
      <w:proofErr w:type="spellEnd"/>
      <w:r>
        <w:rPr>
          <w:rFonts w:eastAsia="Palatino Linotype"/>
          <w:sz w:val="22"/>
          <w:szCs w:val="22"/>
          <w:lang w:val="es-ES"/>
        </w:rPr>
        <w:t xml:space="preserve"> be </w:t>
      </w:r>
      <w:proofErr w:type="spellStart"/>
      <w:r>
        <w:rPr>
          <w:rFonts w:eastAsia="Palatino Linotype"/>
          <w:sz w:val="22"/>
          <w:szCs w:val="22"/>
          <w:lang w:val="es-ES"/>
        </w:rPr>
        <w:t>applied</w:t>
      </w:r>
      <w:proofErr w:type="spellEnd"/>
      <w:r>
        <w:rPr>
          <w:rFonts w:eastAsia="Palatino Linotype"/>
          <w:sz w:val="22"/>
          <w:szCs w:val="22"/>
          <w:lang w:val="es-ES"/>
        </w:rPr>
        <w:t xml:space="preserve"> </w:t>
      </w:r>
      <w:proofErr w:type="spellStart"/>
      <w:r>
        <w:rPr>
          <w:rFonts w:eastAsia="Palatino Linotype"/>
          <w:sz w:val="22"/>
          <w:szCs w:val="22"/>
          <w:lang w:val="es-ES"/>
        </w:rPr>
        <w:t>only</w:t>
      </w:r>
      <w:proofErr w:type="spellEnd"/>
      <w:r>
        <w:rPr>
          <w:rFonts w:eastAsia="Palatino Linotype"/>
          <w:sz w:val="22"/>
          <w:szCs w:val="22"/>
          <w:lang w:val="es-ES"/>
        </w:rPr>
        <w:t xml:space="preserve"> </w:t>
      </w:r>
      <w:proofErr w:type="spellStart"/>
      <w:r>
        <w:rPr>
          <w:rFonts w:eastAsia="Palatino Linotype"/>
          <w:sz w:val="22"/>
          <w:szCs w:val="22"/>
          <w:lang w:val="es-ES"/>
        </w:rPr>
        <w:t>to</w:t>
      </w:r>
      <w:proofErr w:type="spellEnd"/>
      <w:r>
        <w:rPr>
          <w:rFonts w:eastAsia="Palatino Linotype"/>
          <w:sz w:val="22"/>
          <w:szCs w:val="22"/>
          <w:lang w:val="es-ES"/>
        </w:rPr>
        <w:t xml:space="preserve"> </w:t>
      </w:r>
      <w:proofErr w:type="spellStart"/>
      <w:r>
        <w:rPr>
          <w:rFonts w:eastAsia="Palatino Linotype"/>
          <w:sz w:val="22"/>
          <w:szCs w:val="22"/>
          <w:lang w:val="es-ES"/>
        </w:rPr>
        <w:t>those</w:t>
      </w:r>
      <w:proofErr w:type="spellEnd"/>
      <w:r>
        <w:rPr>
          <w:rFonts w:eastAsia="Palatino Linotype"/>
          <w:sz w:val="22"/>
          <w:szCs w:val="22"/>
          <w:lang w:val="es-ES"/>
        </w:rPr>
        <w:t xml:space="preserve"> </w:t>
      </w:r>
      <w:proofErr w:type="spellStart"/>
      <w:r>
        <w:rPr>
          <w:rFonts w:eastAsia="Palatino Linotype"/>
          <w:sz w:val="22"/>
          <w:szCs w:val="22"/>
          <w:lang w:val="es-ES"/>
        </w:rPr>
        <w:t>who</w:t>
      </w:r>
      <w:proofErr w:type="spellEnd"/>
      <w:r>
        <w:rPr>
          <w:rFonts w:eastAsia="Palatino Linotype"/>
          <w:sz w:val="22"/>
          <w:szCs w:val="22"/>
          <w:lang w:val="es-ES"/>
        </w:rPr>
        <w:t xml:space="preserve"> </w:t>
      </w:r>
      <w:proofErr w:type="spellStart"/>
      <w:r>
        <w:rPr>
          <w:rFonts w:eastAsia="Palatino Linotype"/>
          <w:sz w:val="22"/>
          <w:szCs w:val="22"/>
          <w:lang w:val="es-ES"/>
        </w:rPr>
        <w:t>meet</w:t>
      </w:r>
      <w:proofErr w:type="spellEnd"/>
      <w:r>
        <w:rPr>
          <w:rFonts w:eastAsia="Palatino Linotype"/>
          <w:sz w:val="22"/>
          <w:szCs w:val="22"/>
          <w:lang w:val="es-ES"/>
        </w:rPr>
        <w:t xml:space="preserve"> </w:t>
      </w:r>
      <w:proofErr w:type="spellStart"/>
      <w:r>
        <w:rPr>
          <w:rFonts w:eastAsia="Palatino Linotype"/>
          <w:sz w:val="22"/>
          <w:szCs w:val="22"/>
          <w:lang w:val="es-ES"/>
        </w:rPr>
        <w:t>the</w:t>
      </w:r>
      <w:proofErr w:type="spellEnd"/>
      <w:r>
        <w:rPr>
          <w:rFonts w:eastAsia="Palatino Linotype"/>
          <w:sz w:val="22"/>
          <w:szCs w:val="22"/>
          <w:lang w:val="es-ES"/>
        </w:rPr>
        <w:t xml:space="preserve"> </w:t>
      </w:r>
      <w:proofErr w:type="spellStart"/>
      <w:r>
        <w:rPr>
          <w:rFonts w:eastAsia="Palatino Linotype"/>
          <w:sz w:val="22"/>
          <w:szCs w:val="22"/>
          <w:lang w:val="es-ES"/>
        </w:rPr>
        <w:t>minimum</w:t>
      </w:r>
      <w:proofErr w:type="spellEnd"/>
      <w:r>
        <w:rPr>
          <w:rFonts w:eastAsia="Palatino Linotype"/>
          <w:sz w:val="22"/>
          <w:szCs w:val="22"/>
          <w:lang w:val="es-ES"/>
        </w:rPr>
        <w:t xml:space="preserve"> </w:t>
      </w:r>
      <w:proofErr w:type="spellStart"/>
      <w:r>
        <w:rPr>
          <w:rFonts w:eastAsia="Palatino Linotype"/>
          <w:sz w:val="22"/>
          <w:szCs w:val="22"/>
          <w:lang w:val="es-ES"/>
        </w:rPr>
        <w:t>requirements</w:t>
      </w:r>
      <w:proofErr w:type="spellEnd"/>
      <w:r>
        <w:rPr>
          <w:rFonts w:eastAsia="Palatino Linotype"/>
          <w:sz w:val="22"/>
          <w:szCs w:val="22"/>
          <w:lang w:val="es-ES"/>
        </w:rPr>
        <w:t xml:space="preserve"> set </w:t>
      </w:r>
      <w:proofErr w:type="spellStart"/>
      <w:r>
        <w:rPr>
          <w:rFonts w:eastAsia="Palatino Linotype"/>
          <w:sz w:val="22"/>
          <w:szCs w:val="22"/>
          <w:lang w:val="es-ES"/>
        </w:rPr>
        <w:t>out</w:t>
      </w:r>
      <w:proofErr w:type="spellEnd"/>
      <w:r>
        <w:rPr>
          <w:rFonts w:eastAsia="Palatino Linotype"/>
          <w:sz w:val="22"/>
          <w:szCs w:val="22"/>
          <w:lang w:val="es-ES"/>
        </w:rPr>
        <w:t xml:space="preserve"> in </w:t>
      </w:r>
      <w:proofErr w:type="spellStart"/>
      <w:r>
        <w:rPr>
          <w:rFonts w:eastAsia="Palatino Linotype"/>
          <w:sz w:val="22"/>
          <w:szCs w:val="22"/>
          <w:lang w:val="es-ES"/>
        </w:rPr>
        <w:t>the</w:t>
      </w:r>
      <w:proofErr w:type="spellEnd"/>
      <w:r>
        <w:rPr>
          <w:rFonts w:eastAsia="Palatino Linotype"/>
          <w:sz w:val="22"/>
          <w:szCs w:val="22"/>
          <w:lang w:val="es-ES"/>
        </w:rPr>
        <w:t xml:space="preserve"> </w:t>
      </w:r>
      <w:proofErr w:type="spellStart"/>
      <w:r>
        <w:rPr>
          <w:rFonts w:eastAsia="Palatino Linotype"/>
          <w:sz w:val="22"/>
          <w:szCs w:val="22"/>
          <w:lang w:val="es-ES"/>
        </w:rPr>
        <w:t>terms</w:t>
      </w:r>
      <w:proofErr w:type="spellEnd"/>
      <w:r>
        <w:rPr>
          <w:rFonts w:eastAsia="Palatino Linotype"/>
          <w:sz w:val="22"/>
          <w:szCs w:val="22"/>
          <w:lang w:val="es-ES"/>
        </w:rPr>
        <w:t xml:space="preserve"> </w:t>
      </w:r>
      <w:proofErr w:type="spellStart"/>
      <w:r>
        <w:rPr>
          <w:rFonts w:eastAsia="Palatino Linotype"/>
          <w:sz w:val="22"/>
          <w:szCs w:val="22"/>
          <w:lang w:val="es-ES"/>
        </w:rPr>
        <w:t>of</w:t>
      </w:r>
      <w:proofErr w:type="spellEnd"/>
      <w:r>
        <w:rPr>
          <w:rFonts w:eastAsia="Palatino Linotype"/>
          <w:sz w:val="22"/>
          <w:szCs w:val="22"/>
          <w:lang w:val="es-ES"/>
        </w:rPr>
        <w:t xml:space="preserve"> </w:t>
      </w:r>
      <w:proofErr w:type="spellStart"/>
      <w:r>
        <w:rPr>
          <w:rFonts w:eastAsia="Palatino Linotype"/>
          <w:sz w:val="22"/>
          <w:szCs w:val="22"/>
          <w:lang w:val="es-ES"/>
        </w:rPr>
        <w:t>the</w:t>
      </w:r>
      <w:proofErr w:type="spellEnd"/>
      <w:r>
        <w:rPr>
          <w:rFonts w:eastAsia="Palatino Linotype"/>
          <w:sz w:val="22"/>
          <w:szCs w:val="22"/>
          <w:lang w:val="es-ES"/>
        </w:rPr>
        <w:t xml:space="preserve"> </w:t>
      </w:r>
      <w:proofErr w:type="spellStart"/>
      <w:r>
        <w:rPr>
          <w:rFonts w:eastAsia="Palatino Linotype"/>
          <w:sz w:val="22"/>
          <w:szCs w:val="22"/>
          <w:lang w:val="es-ES"/>
        </w:rPr>
        <w:t>call</w:t>
      </w:r>
      <w:proofErr w:type="spellEnd"/>
      <w:r>
        <w:rPr>
          <w:rFonts w:eastAsia="Palatino Linotype"/>
          <w:sz w:val="22"/>
          <w:szCs w:val="22"/>
          <w:lang w:val="es-ES"/>
        </w:rPr>
        <w:t xml:space="preserve"> (Art. 68 </w:t>
      </w:r>
      <w:proofErr w:type="spellStart"/>
      <w:r>
        <w:rPr>
          <w:rFonts w:eastAsia="Palatino Linotype"/>
          <w:sz w:val="22"/>
          <w:szCs w:val="22"/>
          <w:lang w:val="es-ES"/>
        </w:rPr>
        <w:t>paragraph</w:t>
      </w:r>
      <w:proofErr w:type="spellEnd"/>
      <w:r>
        <w:rPr>
          <w:rFonts w:eastAsia="Palatino Linotype"/>
          <w:sz w:val="22"/>
          <w:szCs w:val="22"/>
          <w:lang w:val="es-ES"/>
        </w:rPr>
        <w:t xml:space="preserve"> 3 </w:t>
      </w:r>
      <w:proofErr w:type="spellStart"/>
      <w:r>
        <w:rPr>
          <w:rFonts w:eastAsia="Palatino Linotype"/>
          <w:sz w:val="22"/>
          <w:szCs w:val="22"/>
          <w:lang w:val="es-ES"/>
        </w:rPr>
        <w:t>of</w:t>
      </w:r>
      <w:proofErr w:type="spellEnd"/>
      <w:r>
        <w:rPr>
          <w:rFonts w:eastAsia="Palatino Linotype"/>
          <w:sz w:val="22"/>
          <w:szCs w:val="22"/>
          <w:lang w:val="es-ES"/>
        </w:rPr>
        <w:t xml:space="preserve"> </w:t>
      </w:r>
      <w:proofErr w:type="spellStart"/>
      <w:r>
        <w:rPr>
          <w:rFonts w:eastAsia="Palatino Linotype"/>
          <w:sz w:val="22"/>
          <w:szCs w:val="22"/>
          <w:lang w:val="es-ES"/>
        </w:rPr>
        <w:t>the</w:t>
      </w:r>
      <w:proofErr w:type="spellEnd"/>
      <w:r>
        <w:rPr>
          <w:rFonts w:eastAsia="Palatino Linotype"/>
          <w:sz w:val="22"/>
          <w:szCs w:val="22"/>
          <w:lang w:val="es-ES"/>
        </w:rPr>
        <w:t xml:space="preserve"> TOCAF).</w:t>
      </w:r>
    </w:p>
    <w:p w14:paraId="22FE40E7" w14:textId="77777777" w:rsidR="00E255F4" w:rsidRDefault="00E255F4">
      <w:pPr>
        <w:rPr>
          <w:rFonts w:eastAsia="Palatino Linotype"/>
          <w:sz w:val="22"/>
          <w:szCs w:val="22"/>
          <w:lang w:val="es-ES"/>
        </w:rPr>
      </w:pPr>
    </w:p>
    <w:p w14:paraId="0F0CAC99" w14:textId="77777777" w:rsidR="00E255F4" w:rsidRDefault="00000000">
      <w:pPr>
        <w:ind w:right="-142"/>
        <w:jc w:val="both"/>
        <w:outlineLvl w:val="0"/>
        <w:rPr>
          <w:rFonts w:eastAsia="Palatino Linotype"/>
          <w:b/>
          <w:spacing w:val="-1"/>
          <w:sz w:val="22"/>
          <w:szCs w:val="22"/>
          <w:lang w:val="es-ES"/>
        </w:rPr>
      </w:pPr>
      <w:bookmarkStart w:id="41" w:name="__RefHeading___Toc225377218"/>
      <w:bookmarkEnd w:id="41"/>
      <w:r>
        <w:rPr>
          <w:rFonts w:eastAsia="Palatino Linotype"/>
          <w:b/>
          <w:spacing w:val="-1"/>
          <w:sz w:val="22"/>
          <w:szCs w:val="22"/>
          <w:lang w:val="es-ES"/>
        </w:rPr>
        <w:t xml:space="preserve">13.4 Offer </w:t>
      </w:r>
      <w:proofErr w:type="spellStart"/>
      <w:r>
        <w:rPr>
          <w:rFonts w:eastAsia="Palatino Linotype"/>
          <w:b/>
          <w:spacing w:val="-1"/>
          <w:sz w:val="22"/>
          <w:szCs w:val="22"/>
          <w:lang w:val="es-ES"/>
        </w:rPr>
        <w:t>Improvements</w:t>
      </w:r>
      <w:proofErr w:type="spellEnd"/>
      <w:r>
        <w:rPr>
          <w:rFonts w:eastAsia="Palatino Linotype"/>
          <w:b/>
          <w:spacing w:val="-1"/>
          <w:sz w:val="22"/>
          <w:szCs w:val="22"/>
          <w:lang w:val="es-ES"/>
        </w:rPr>
        <w:tab/>
      </w:r>
    </w:p>
    <w:p w14:paraId="7446126A" w14:textId="77777777" w:rsidR="00E255F4" w:rsidRDefault="00E255F4">
      <w:pPr>
        <w:ind w:right="-142"/>
        <w:jc w:val="both"/>
        <w:rPr>
          <w:rFonts w:eastAsia="Palatino Linotype"/>
          <w:b/>
          <w:spacing w:val="-1"/>
          <w:sz w:val="22"/>
          <w:szCs w:val="22"/>
          <w:lang w:val="es-ES"/>
        </w:rPr>
      </w:pPr>
    </w:p>
    <w:p w14:paraId="3F3D6C7C" w14:textId="77777777" w:rsidR="00E255F4" w:rsidRDefault="00000000">
      <w:pPr>
        <w:ind w:right="-142"/>
        <w:jc w:val="both"/>
        <w:rPr>
          <w:rFonts w:eastAsia="Palatino Linotype"/>
          <w:sz w:val="22"/>
          <w:szCs w:val="22"/>
          <w:lang w:val="es-ES"/>
        </w:rPr>
      </w:pPr>
      <w:proofErr w:type="spellStart"/>
      <w:r>
        <w:rPr>
          <w:rFonts w:eastAsia="Palatino Linotype"/>
          <w:spacing w:val="-1"/>
          <w:sz w:val="22"/>
          <w:szCs w:val="22"/>
          <w:lang w:val="es-ES"/>
        </w:rPr>
        <w:t>S</w:t>
      </w:r>
      <w:r>
        <w:rPr>
          <w:rFonts w:eastAsia="Palatino Linotype"/>
          <w:sz w:val="22"/>
          <w:szCs w:val="22"/>
          <w:lang w:val="es-ES"/>
        </w:rPr>
        <w:t>If</w:t>
      </w:r>
      <w:proofErr w:type="spellEnd"/>
      <w:r>
        <w:rPr>
          <w:rFonts w:eastAsia="Palatino Linotype"/>
          <w:sz w:val="22"/>
          <w:szCs w:val="22"/>
          <w:lang w:val="es-ES"/>
        </w:rPr>
        <w:t xml:space="preserve"> </w:t>
      </w:r>
      <w:proofErr w:type="spellStart"/>
      <w:r>
        <w:rPr>
          <w:rFonts w:eastAsia="Palatino Linotype"/>
          <w:sz w:val="22"/>
          <w:szCs w:val="22"/>
          <w:lang w:val="es-ES"/>
        </w:rPr>
        <w:t>the</w:t>
      </w:r>
      <w:proofErr w:type="spellEnd"/>
      <w:r>
        <w:rPr>
          <w:rFonts w:eastAsia="Palatino Linotype"/>
          <w:sz w:val="22"/>
          <w:szCs w:val="22"/>
          <w:lang w:val="es-ES"/>
        </w:rPr>
        <w:t xml:space="preserve"> </w:t>
      </w:r>
      <w:proofErr w:type="spellStart"/>
      <w:r>
        <w:rPr>
          <w:rFonts w:eastAsia="Palatino Linotype"/>
          <w:sz w:val="22"/>
          <w:szCs w:val="22"/>
          <w:lang w:val="es-ES"/>
        </w:rPr>
        <w:t>comparison</w:t>
      </w:r>
      <w:proofErr w:type="spellEnd"/>
      <w:r>
        <w:rPr>
          <w:rFonts w:eastAsia="Palatino Linotype"/>
          <w:sz w:val="22"/>
          <w:szCs w:val="22"/>
          <w:lang w:val="es-ES"/>
        </w:rPr>
        <w:t xml:space="preserve"> </w:t>
      </w:r>
      <w:proofErr w:type="spellStart"/>
      <w:r>
        <w:rPr>
          <w:rFonts w:eastAsia="Palatino Linotype"/>
          <w:sz w:val="22"/>
          <w:szCs w:val="22"/>
          <w:lang w:val="es-ES"/>
        </w:rPr>
        <w:t>made</w:t>
      </w:r>
      <w:proofErr w:type="spellEnd"/>
      <w:r>
        <w:rPr>
          <w:rFonts w:eastAsia="Palatino Linotype"/>
          <w:sz w:val="22"/>
          <w:szCs w:val="22"/>
          <w:lang w:val="es-ES"/>
        </w:rPr>
        <w:t xml:space="preserve"> </w:t>
      </w:r>
      <w:proofErr w:type="spellStart"/>
      <w:r>
        <w:rPr>
          <w:rFonts w:eastAsia="Palatino Linotype"/>
          <w:sz w:val="22"/>
          <w:szCs w:val="22"/>
          <w:lang w:val="es-ES"/>
        </w:rPr>
        <w:t>reveals</w:t>
      </w:r>
      <w:proofErr w:type="spellEnd"/>
      <w:r>
        <w:rPr>
          <w:rFonts w:eastAsia="Palatino Linotype"/>
          <w:sz w:val="22"/>
          <w:szCs w:val="22"/>
          <w:lang w:val="es-ES"/>
        </w:rPr>
        <w:t xml:space="preserve"> </w:t>
      </w:r>
      <w:proofErr w:type="spellStart"/>
      <w:r>
        <w:rPr>
          <w:rFonts w:eastAsia="Palatino Linotype"/>
          <w:sz w:val="22"/>
          <w:szCs w:val="22"/>
          <w:lang w:val="es-ES"/>
        </w:rPr>
        <w:t>two</w:t>
      </w:r>
      <w:proofErr w:type="spellEnd"/>
      <w:r>
        <w:rPr>
          <w:rFonts w:eastAsia="Palatino Linotype"/>
          <w:sz w:val="22"/>
          <w:szCs w:val="22"/>
          <w:lang w:val="es-ES"/>
        </w:rPr>
        <w:t xml:space="preserve"> </w:t>
      </w:r>
      <w:proofErr w:type="spellStart"/>
      <w:r>
        <w:rPr>
          <w:rFonts w:eastAsia="Palatino Linotype"/>
          <w:sz w:val="22"/>
          <w:szCs w:val="22"/>
          <w:lang w:val="es-ES"/>
        </w:rPr>
        <w:t>or</w:t>
      </w:r>
      <w:proofErr w:type="spellEnd"/>
      <w:r>
        <w:rPr>
          <w:rFonts w:eastAsia="Palatino Linotype"/>
          <w:sz w:val="22"/>
          <w:szCs w:val="22"/>
          <w:lang w:val="es-ES"/>
        </w:rPr>
        <w:t xml:space="preserve"> more </w:t>
      </w:r>
      <w:proofErr w:type="spellStart"/>
      <w:r>
        <w:rPr>
          <w:rFonts w:eastAsia="Palatino Linotype"/>
          <w:sz w:val="22"/>
          <w:szCs w:val="22"/>
          <w:lang w:val="es-ES"/>
        </w:rPr>
        <w:t>offers</w:t>
      </w:r>
      <w:proofErr w:type="spellEnd"/>
      <w:r>
        <w:rPr>
          <w:rFonts w:eastAsia="Palatino Linotype"/>
          <w:sz w:val="22"/>
          <w:szCs w:val="22"/>
          <w:lang w:val="es-ES"/>
        </w:rPr>
        <w:t xml:space="preserve"> </w:t>
      </w:r>
      <w:proofErr w:type="spellStart"/>
      <w:r>
        <w:rPr>
          <w:rFonts w:eastAsia="Palatino Linotype"/>
          <w:sz w:val="22"/>
          <w:szCs w:val="22"/>
          <w:lang w:val="es-ES"/>
        </w:rPr>
        <w:t>that</w:t>
      </w:r>
      <w:proofErr w:type="spellEnd"/>
      <w:r>
        <w:rPr>
          <w:rFonts w:eastAsia="Palatino Linotype"/>
          <w:sz w:val="22"/>
          <w:szCs w:val="22"/>
          <w:lang w:val="es-ES"/>
        </w:rPr>
        <w:t xml:space="preserve"> </w:t>
      </w:r>
      <w:proofErr w:type="spellStart"/>
      <w:r>
        <w:rPr>
          <w:rFonts w:eastAsia="Palatino Linotype"/>
          <w:sz w:val="22"/>
          <w:szCs w:val="22"/>
          <w:lang w:val="es-ES"/>
        </w:rPr>
        <w:t>receive</w:t>
      </w:r>
      <w:proofErr w:type="spellEnd"/>
      <w:r>
        <w:rPr>
          <w:rFonts w:eastAsia="Palatino Linotype"/>
          <w:sz w:val="22"/>
          <w:szCs w:val="22"/>
          <w:lang w:val="es-ES"/>
        </w:rPr>
        <w:t xml:space="preserve"> a similar rating </w:t>
      </w:r>
      <w:proofErr w:type="spellStart"/>
      <w:r>
        <w:rPr>
          <w:rFonts w:eastAsia="Palatino Linotype"/>
          <w:sz w:val="22"/>
          <w:szCs w:val="22"/>
          <w:lang w:val="es-ES"/>
        </w:rPr>
        <w:t>or</w:t>
      </w:r>
      <w:proofErr w:type="spellEnd"/>
      <w:r>
        <w:rPr>
          <w:rFonts w:eastAsia="Palatino Linotype"/>
          <w:sz w:val="22"/>
          <w:szCs w:val="22"/>
          <w:lang w:val="es-ES"/>
        </w:rPr>
        <w:t xml:space="preserve"> </w:t>
      </w:r>
      <w:proofErr w:type="spellStart"/>
      <w:r>
        <w:rPr>
          <w:rFonts w:eastAsia="Palatino Linotype"/>
          <w:sz w:val="22"/>
          <w:szCs w:val="22"/>
          <w:lang w:val="es-ES"/>
        </w:rPr>
        <w:t>have</w:t>
      </w:r>
      <w:proofErr w:type="spellEnd"/>
      <w:r>
        <w:rPr>
          <w:rFonts w:eastAsia="Palatino Linotype"/>
          <w:sz w:val="22"/>
          <w:szCs w:val="22"/>
          <w:lang w:val="es-ES"/>
        </w:rPr>
        <w:t xml:space="preserve"> a similar </w:t>
      </w:r>
      <w:proofErr w:type="spellStart"/>
      <w:r>
        <w:rPr>
          <w:rFonts w:eastAsia="Palatino Linotype"/>
          <w:sz w:val="22"/>
          <w:szCs w:val="22"/>
          <w:lang w:val="es-ES"/>
        </w:rPr>
        <w:t>price</w:t>
      </w:r>
      <w:proofErr w:type="spellEnd"/>
      <w:r>
        <w:rPr>
          <w:rFonts w:eastAsia="Palatino Linotype"/>
          <w:sz w:val="22"/>
          <w:szCs w:val="22"/>
          <w:lang w:val="es-ES"/>
        </w:rPr>
        <w:t xml:space="preserve">, </w:t>
      </w:r>
      <w:proofErr w:type="spellStart"/>
      <w:r>
        <w:rPr>
          <w:rFonts w:eastAsia="Palatino Linotype"/>
          <w:sz w:val="22"/>
          <w:szCs w:val="22"/>
          <w:lang w:val="es-ES"/>
        </w:rPr>
        <w:t>depending</w:t>
      </w:r>
      <w:proofErr w:type="spellEnd"/>
      <w:r>
        <w:rPr>
          <w:rFonts w:eastAsia="Palatino Linotype"/>
          <w:sz w:val="22"/>
          <w:szCs w:val="22"/>
          <w:lang w:val="es-ES"/>
        </w:rPr>
        <w:t xml:space="preserve"> </w:t>
      </w:r>
      <w:proofErr w:type="spellStart"/>
      <w:r>
        <w:rPr>
          <w:rFonts w:eastAsia="Palatino Linotype"/>
          <w:sz w:val="22"/>
          <w:szCs w:val="22"/>
          <w:lang w:val="es-ES"/>
        </w:rPr>
        <w:t>on</w:t>
      </w:r>
      <w:proofErr w:type="spellEnd"/>
      <w:r>
        <w:rPr>
          <w:rFonts w:eastAsia="Palatino Linotype"/>
          <w:sz w:val="22"/>
          <w:szCs w:val="22"/>
          <w:lang w:val="es-ES"/>
        </w:rPr>
        <w:t xml:space="preserve"> </w:t>
      </w:r>
      <w:proofErr w:type="spellStart"/>
      <w:r>
        <w:rPr>
          <w:rFonts w:eastAsia="Palatino Linotype"/>
          <w:sz w:val="22"/>
          <w:szCs w:val="22"/>
          <w:lang w:val="es-ES"/>
        </w:rPr>
        <w:t>the</w:t>
      </w:r>
      <w:proofErr w:type="spellEnd"/>
      <w:r>
        <w:rPr>
          <w:rFonts w:eastAsia="Palatino Linotype"/>
          <w:sz w:val="22"/>
          <w:szCs w:val="22"/>
          <w:lang w:val="es-ES"/>
        </w:rPr>
        <w:t xml:space="preserve"> </w:t>
      </w:r>
      <w:proofErr w:type="spellStart"/>
      <w:r>
        <w:rPr>
          <w:rFonts w:eastAsia="Palatino Linotype"/>
          <w:sz w:val="22"/>
          <w:szCs w:val="22"/>
          <w:lang w:val="es-ES"/>
        </w:rPr>
        <w:t>evaluation</w:t>
      </w:r>
      <w:proofErr w:type="spellEnd"/>
      <w:r>
        <w:rPr>
          <w:rFonts w:eastAsia="Palatino Linotype"/>
          <w:sz w:val="22"/>
          <w:szCs w:val="22"/>
          <w:lang w:val="es-ES"/>
        </w:rPr>
        <w:t xml:space="preserve"> </w:t>
      </w:r>
      <w:proofErr w:type="spellStart"/>
      <w:r>
        <w:rPr>
          <w:rFonts w:eastAsia="Palatino Linotype"/>
          <w:sz w:val="22"/>
          <w:szCs w:val="22"/>
          <w:lang w:val="es-ES"/>
        </w:rPr>
        <w:t>criteria</w:t>
      </w:r>
      <w:proofErr w:type="spellEnd"/>
      <w:r>
        <w:rPr>
          <w:rFonts w:eastAsia="Palatino Linotype"/>
          <w:sz w:val="22"/>
          <w:szCs w:val="22"/>
          <w:lang w:val="es-ES"/>
        </w:rPr>
        <w:t xml:space="preserve"> </w:t>
      </w:r>
      <w:proofErr w:type="spellStart"/>
      <w:r>
        <w:rPr>
          <w:rFonts w:eastAsia="Palatino Linotype"/>
          <w:sz w:val="22"/>
          <w:szCs w:val="22"/>
          <w:lang w:val="es-ES"/>
        </w:rPr>
        <w:t>applied</w:t>
      </w:r>
      <w:proofErr w:type="spellEnd"/>
      <w:r>
        <w:rPr>
          <w:rFonts w:eastAsia="Palatino Linotype"/>
          <w:sz w:val="22"/>
          <w:szCs w:val="22"/>
          <w:lang w:val="es-ES"/>
        </w:rPr>
        <w:t xml:space="preserve">, </w:t>
      </w:r>
      <w:proofErr w:type="spellStart"/>
      <w:r>
        <w:rPr>
          <w:rFonts w:eastAsia="Palatino Linotype"/>
          <w:sz w:val="22"/>
          <w:szCs w:val="22"/>
          <w:lang w:val="es-ES"/>
        </w:rPr>
        <w:t>the</w:t>
      </w:r>
      <w:proofErr w:type="spellEnd"/>
      <w:r>
        <w:rPr>
          <w:rFonts w:eastAsia="Palatino Linotype"/>
          <w:sz w:val="22"/>
          <w:szCs w:val="22"/>
          <w:lang w:val="es-ES"/>
        </w:rPr>
        <w:t xml:space="preserve"> </w:t>
      </w:r>
      <w:proofErr w:type="spellStart"/>
      <w:r>
        <w:rPr>
          <w:rFonts w:eastAsia="Palatino Linotype"/>
          <w:sz w:val="22"/>
          <w:szCs w:val="22"/>
          <w:lang w:val="es-ES"/>
        </w:rPr>
        <w:t>Adjudication</w:t>
      </w:r>
      <w:proofErr w:type="spellEnd"/>
      <w:r>
        <w:rPr>
          <w:rFonts w:eastAsia="Palatino Linotype"/>
          <w:sz w:val="22"/>
          <w:szCs w:val="22"/>
          <w:lang w:val="es-ES"/>
        </w:rPr>
        <w:t xml:space="preserve"> </w:t>
      </w:r>
      <w:proofErr w:type="spellStart"/>
      <w:r>
        <w:rPr>
          <w:rFonts w:eastAsia="Palatino Linotype"/>
          <w:sz w:val="22"/>
          <w:szCs w:val="22"/>
          <w:lang w:val="es-ES"/>
        </w:rPr>
        <w:t>Advisory</w:t>
      </w:r>
      <w:proofErr w:type="spellEnd"/>
      <w:r>
        <w:rPr>
          <w:rFonts w:eastAsia="Palatino Linotype"/>
          <w:sz w:val="22"/>
          <w:szCs w:val="22"/>
          <w:lang w:val="es-ES"/>
        </w:rPr>
        <w:t xml:space="preserve"> </w:t>
      </w:r>
      <w:proofErr w:type="spellStart"/>
      <w:r>
        <w:rPr>
          <w:rFonts w:eastAsia="Palatino Linotype"/>
          <w:sz w:val="22"/>
          <w:szCs w:val="22"/>
          <w:lang w:val="es-ES"/>
        </w:rPr>
        <w:t>Commission</w:t>
      </w:r>
      <w:proofErr w:type="spellEnd"/>
      <w:r>
        <w:rPr>
          <w:rFonts w:eastAsia="Palatino Linotype"/>
          <w:sz w:val="22"/>
          <w:szCs w:val="22"/>
          <w:lang w:val="es-ES"/>
        </w:rPr>
        <w:t xml:space="preserve">, </w:t>
      </w:r>
      <w:proofErr w:type="spellStart"/>
      <w:r>
        <w:rPr>
          <w:rFonts w:eastAsia="Palatino Linotype"/>
          <w:sz w:val="22"/>
          <w:szCs w:val="22"/>
          <w:lang w:val="es-ES"/>
        </w:rPr>
        <w:t>or</w:t>
      </w:r>
      <w:proofErr w:type="spellEnd"/>
      <w:r>
        <w:rPr>
          <w:rFonts w:eastAsia="Palatino Linotype"/>
          <w:sz w:val="22"/>
          <w:szCs w:val="22"/>
          <w:lang w:val="es-ES"/>
        </w:rPr>
        <w:t xml:space="preserve"> </w:t>
      </w:r>
      <w:proofErr w:type="spellStart"/>
      <w:r>
        <w:rPr>
          <w:rFonts w:eastAsia="Palatino Linotype"/>
          <w:sz w:val="22"/>
          <w:szCs w:val="22"/>
          <w:lang w:val="es-ES"/>
        </w:rPr>
        <w:t>the</w:t>
      </w:r>
      <w:proofErr w:type="spellEnd"/>
      <w:r>
        <w:rPr>
          <w:rFonts w:eastAsia="Palatino Linotype"/>
          <w:sz w:val="22"/>
          <w:szCs w:val="22"/>
          <w:lang w:val="es-ES"/>
        </w:rPr>
        <w:t xml:space="preserve"> </w:t>
      </w:r>
      <w:proofErr w:type="spellStart"/>
      <w:r>
        <w:rPr>
          <w:rFonts w:eastAsia="Palatino Linotype"/>
          <w:sz w:val="22"/>
          <w:szCs w:val="22"/>
          <w:lang w:val="es-ES"/>
        </w:rPr>
        <w:t>ordering</w:t>
      </w:r>
      <w:proofErr w:type="spellEnd"/>
      <w:r>
        <w:rPr>
          <w:rFonts w:eastAsia="Palatino Linotype"/>
          <w:sz w:val="22"/>
          <w:szCs w:val="22"/>
          <w:lang w:val="es-ES"/>
        </w:rPr>
        <w:t xml:space="preserve"> </w:t>
      </w:r>
      <w:proofErr w:type="spellStart"/>
      <w:r>
        <w:rPr>
          <w:rFonts w:eastAsia="Palatino Linotype"/>
          <w:sz w:val="22"/>
          <w:szCs w:val="22"/>
          <w:lang w:val="es-ES"/>
        </w:rPr>
        <w:t>authority</w:t>
      </w:r>
      <w:proofErr w:type="spellEnd"/>
      <w:r>
        <w:rPr>
          <w:rFonts w:eastAsia="Palatino Linotype"/>
          <w:sz w:val="22"/>
          <w:szCs w:val="22"/>
          <w:lang w:val="es-ES"/>
        </w:rPr>
        <w:t xml:space="preserve">, as </w:t>
      </w:r>
      <w:proofErr w:type="spellStart"/>
      <w:r>
        <w:rPr>
          <w:rFonts w:eastAsia="Palatino Linotype"/>
          <w:sz w:val="22"/>
          <w:szCs w:val="22"/>
          <w:lang w:val="es-ES"/>
        </w:rPr>
        <w:t>the</w:t>
      </w:r>
      <w:proofErr w:type="spellEnd"/>
      <w:r>
        <w:rPr>
          <w:rFonts w:eastAsia="Palatino Linotype"/>
          <w:sz w:val="22"/>
          <w:szCs w:val="22"/>
          <w:lang w:val="es-ES"/>
        </w:rPr>
        <w:t xml:space="preserve"> case </w:t>
      </w:r>
      <w:proofErr w:type="spellStart"/>
      <w:r>
        <w:rPr>
          <w:rFonts w:eastAsia="Palatino Linotype"/>
          <w:sz w:val="22"/>
          <w:szCs w:val="22"/>
          <w:lang w:val="es-ES"/>
        </w:rPr>
        <w:t>may</w:t>
      </w:r>
      <w:proofErr w:type="spellEnd"/>
      <w:r>
        <w:rPr>
          <w:rFonts w:eastAsia="Palatino Linotype"/>
          <w:sz w:val="22"/>
          <w:szCs w:val="22"/>
          <w:lang w:val="es-ES"/>
        </w:rPr>
        <w:t xml:space="preserve"> be, </w:t>
      </w:r>
      <w:proofErr w:type="spellStart"/>
      <w:r>
        <w:rPr>
          <w:rFonts w:eastAsia="Palatino Linotype"/>
          <w:sz w:val="22"/>
          <w:szCs w:val="22"/>
          <w:lang w:val="es-ES"/>
        </w:rPr>
        <w:t>may</w:t>
      </w:r>
      <w:proofErr w:type="spellEnd"/>
      <w:r>
        <w:rPr>
          <w:rFonts w:eastAsia="Palatino Linotype"/>
          <w:sz w:val="22"/>
          <w:szCs w:val="22"/>
          <w:lang w:val="es-ES"/>
        </w:rPr>
        <w:t xml:space="preserve"> invite </w:t>
      </w:r>
      <w:proofErr w:type="spellStart"/>
      <w:r>
        <w:rPr>
          <w:rFonts w:eastAsia="Palatino Linotype"/>
          <w:sz w:val="22"/>
          <w:szCs w:val="22"/>
          <w:lang w:val="es-ES"/>
        </w:rPr>
        <w:t>the</w:t>
      </w:r>
      <w:proofErr w:type="spellEnd"/>
      <w:r>
        <w:rPr>
          <w:rFonts w:eastAsia="Palatino Linotype"/>
          <w:sz w:val="22"/>
          <w:szCs w:val="22"/>
          <w:lang w:val="es-ES"/>
        </w:rPr>
        <w:t xml:space="preserve"> respective </w:t>
      </w:r>
      <w:proofErr w:type="spellStart"/>
      <w:r>
        <w:rPr>
          <w:rFonts w:eastAsia="Palatino Linotype"/>
          <w:sz w:val="22"/>
          <w:szCs w:val="22"/>
          <w:lang w:val="es-ES"/>
        </w:rPr>
        <w:t>bidders</w:t>
      </w:r>
      <w:proofErr w:type="spellEnd"/>
      <w:r>
        <w:rPr>
          <w:rFonts w:eastAsia="Palatino Linotype"/>
          <w:sz w:val="22"/>
          <w:szCs w:val="22"/>
          <w:lang w:val="es-ES"/>
        </w:rPr>
        <w:t xml:space="preserve"> </w:t>
      </w:r>
      <w:proofErr w:type="spellStart"/>
      <w:r>
        <w:rPr>
          <w:rFonts w:eastAsia="Palatino Linotype"/>
          <w:sz w:val="22"/>
          <w:szCs w:val="22"/>
          <w:lang w:val="es-ES"/>
        </w:rPr>
        <w:t>to</w:t>
      </w:r>
      <w:proofErr w:type="spellEnd"/>
      <w:r>
        <w:rPr>
          <w:rFonts w:eastAsia="Palatino Linotype"/>
          <w:sz w:val="22"/>
          <w:szCs w:val="22"/>
          <w:lang w:val="es-ES"/>
        </w:rPr>
        <w:t xml:space="preserve"> </w:t>
      </w:r>
      <w:proofErr w:type="spellStart"/>
      <w:r>
        <w:rPr>
          <w:rFonts w:eastAsia="Palatino Linotype"/>
          <w:sz w:val="22"/>
          <w:szCs w:val="22"/>
          <w:lang w:val="es-ES"/>
        </w:rPr>
        <w:t>improve</w:t>
      </w:r>
      <w:proofErr w:type="spellEnd"/>
      <w:r>
        <w:rPr>
          <w:rFonts w:eastAsia="Palatino Linotype"/>
          <w:sz w:val="22"/>
          <w:szCs w:val="22"/>
          <w:lang w:val="es-ES"/>
        </w:rPr>
        <w:t xml:space="preserve"> </w:t>
      </w:r>
      <w:proofErr w:type="spellStart"/>
      <w:r>
        <w:rPr>
          <w:rFonts w:eastAsia="Palatino Linotype"/>
          <w:sz w:val="22"/>
          <w:szCs w:val="22"/>
          <w:lang w:val="es-ES"/>
        </w:rPr>
        <w:t>their</w:t>
      </w:r>
      <w:proofErr w:type="spellEnd"/>
      <w:r>
        <w:rPr>
          <w:rFonts w:eastAsia="Palatino Linotype"/>
          <w:sz w:val="22"/>
          <w:szCs w:val="22"/>
          <w:lang w:val="es-ES"/>
        </w:rPr>
        <w:t xml:space="preserve"> </w:t>
      </w:r>
      <w:proofErr w:type="spellStart"/>
      <w:r>
        <w:rPr>
          <w:rFonts w:eastAsia="Palatino Linotype"/>
          <w:sz w:val="22"/>
          <w:szCs w:val="22"/>
          <w:lang w:val="es-ES"/>
        </w:rPr>
        <w:t>offers</w:t>
      </w:r>
      <w:proofErr w:type="spellEnd"/>
      <w:r>
        <w:rPr>
          <w:rFonts w:eastAsia="Palatino Linotype"/>
          <w:sz w:val="22"/>
          <w:szCs w:val="22"/>
          <w:lang w:val="es-ES"/>
        </w:rPr>
        <w:t xml:space="preserve">, </w:t>
      </w:r>
      <w:proofErr w:type="spellStart"/>
      <w:r>
        <w:rPr>
          <w:rFonts w:eastAsia="Palatino Linotype"/>
          <w:sz w:val="22"/>
          <w:szCs w:val="22"/>
          <w:lang w:val="es-ES"/>
        </w:rPr>
        <w:t>granting</w:t>
      </w:r>
      <w:proofErr w:type="spellEnd"/>
      <w:r>
        <w:rPr>
          <w:rFonts w:eastAsia="Palatino Linotype"/>
          <w:sz w:val="22"/>
          <w:szCs w:val="22"/>
          <w:lang w:val="es-ES"/>
        </w:rPr>
        <w:t xml:space="preserve"> </w:t>
      </w:r>
      <w:proofErr w:type="spellStart"/>
      <w:r>
        <w:rPr>
          <w:rFonts w:eastAsia="Palatino Linotype"/>
          <w:sz w:val="22"/>
          <w:szCs w:val="22"/>
          <w:lang w:val="es-ES"/>
        </w:rPr>
        <w:t>them</w:t>
      </w:r>
      <w:proofErr w:type="spellEnd"/>
      <w:r>
        <w:rPr>
          <w:rFonts w:eastAsia="Palatino Linotype"/>
          <w:sz w:val="22"/>
          <w:szCs w:val="22"/>
          <w:lang w:val="es-ES"/>
        </w:rPr>
        <w:t xml:space="preserve"> a </w:t>
      </w:r>
      <w:proofErr w:type="spellStart"/>
      <w:r>
        <w:rPr>
          <w:rFonts w:eastAsia="Palatino Linotype"/>
          <w:sz w:val="22"/>
          <w:szCs w:val="22"/>
          <w:lang w:val="es-ES"/>
        </w:rPr>
        <w:t>period</w:t>
      </w:r>
      <w:proofErr w:type="spellEnd"/>
      <w:r>
        <w:rPr>
          <w:rFonts w:eastAsia="Palatino Linotype"/>
          <w:sz w:val="22"/>
          <w:szCs w:val="22"/>
          <w:lang w:val="es-ES"/>
        </w:rPr>
        <w:t xml:space="preserve"> </w:t>
      </w:r>
      <w:proofErr w:type="spellStart"/>
      <w:r>
        <w:rPr>
          <w:rFonts w:eastAsia="Palatino Linotype"/>
          <w:sz w:val="22"/>
          <w:szCs w:val="22"/>
          <w:lang w:val="es-ES"/>
        </w:rPr>
        <w:t>of</w:t>
      </w:r>
      <w:proofErr w:type="spellEnd"/>
      <w:r>
        <w:rPr>
          <w:rFonts w:eastAsia="Palatino Linotype"/>
          <w:sz w:val="22"/>
          <w:szCs w:val="22"/>
          <w:lang w:val="es-ES"/>
        </w:rPr>
        <w:t xml:space="preserve"> no </w:t>
      </w:r>
      <w:proofErr w:type="spellStart"/>
      <w:r>
        <w:rPr>
          <w:rFonts w:eastAsia="Palatino Linotype"/>
          <w:sz w:val="22"/>
          <w:szCs w:val="22"/>
          <w:lang w:val="es-ES"/>
        </w:rPr>
        <w:t>less</w:t>
      </w:r>
      <w:proofErr w:type="spellEnd"/>
      <w:r>
        <w:rPr>
          <w:rFonts w:eastAsia="Palatino Linotype"/>
          <w:sz w:val="22"/>
          <w:szCs w:val="22"/>
          <w:lang w:val="es-ES"/>
        </w:rPr>
        <w:t xml:space="preserve"> </w:t>
      </w:r>
      <w:proofErr w:type="spellStart"/>
      <w:r>
        <w:rPr>
          <w:rFonts w:eastAsia="Palatino Linotype"/>
          <w:sz w:val="22"/>
          <w:szCs w:val="22"/>
          <w:lang w:val="es-ES"/>
        </w:rPr>
        <w:t>than</w:t>
      </w:r>
      <w:proofErr w:type="spellEnd"/>
      <w:r>
        <w:rPr>
          <w:rFonts w:eastAsia="Palatino Linotype"/>
          <w:sz w:val="22"/>
          <w:szCs w:val="22"/>
          <w:lang w:val="es-ES"/>
        </w:rPr>
        <w:t xml:space="preserve"> </w:t>
      </w:r>
      <w:proofErr w:type="spellStart"/>
      <w:r>
        <w:rPr>
          <w:rFonts w:eastAsia="Palatino Linotype"/>
          <w:sz w:val="22"/>
          <w:szCs w:val="22"/>
          <w:lang w:val="es-ES"/>
        </w:rPr>
        <w:t>two</w:t>
      </w:r>
      <w:proofErr w:type="spellEnd"/>
      <w:r>
        <w:rPr>
          <w:rFonts w:eastAsia="Palatino Linotype"/>
          <w:sz w:val="22"/>
          <w:szCs w:val="22"/>
          <w:lang w:val="es-ES"/>
        </w:rPr>
        <w:t xml:space="preserve"> </w:t>
      </w:r>
      <w:proofErr w:type="spellStart"/>
      <w:r>
        <w:rPr>
          <w:rFonts w:eastAsia="Palatino Linotype"/>
          <w:sz w:val="22"/>
          <w:szCs w:val="22"/>
          <w:lang w:val="es-ES"/>
        </w:rPr>
        <w:t>days</w:t>
      </w:r>
      <w:proofErr w:type="spellEnd"/>
      <w:r>
        <w:rPr>
          <w:rFonts w:eastAsia="Palatino Linotype"/>
          <w:sz w:val="22"/>
          <w:szCs w:val="22"/>
          <w:lang w:val="es-ES"/>
        </w:rPr>
        <w:t xml:space="preserve"> </w:t>
      </w:r>
      <w:proofErr w:type="spellStart"/>
      <w:r>
        <w:rPr>
          <w:rFonts w:eastAsia="Palatino Linotype"/>
          <w:sz w:val="22"/>
          <w:szCs w:val="22"/>
          <w:lang w:val="es-ES"/>
        </w:rPr>
        <w:t>to</w:t>
      </w:r>
      <w:proofErr w:type="spellEnd"/>
      <w:r>
        <w:rPr>
          <w:rFonts w:eastAsia="Palatino Linotype"/>
          <w:sz w:val="22"/>
          <w:szCs w:val="22"/>
          <w:lang w:val="es-ES"/>
        </w:rPr>
        <w:t xml:space="preserve"> </w:t>
      </w:r>
      <w:proofErr w:type="spellStart"/>
      <w:r>
        <w:rPr>
          <w:rFonts w:eastAsia="Palatino Linotype"/>
          <w:sz w:val="22"/>
          <w:szCs w:val="22"/>
          <w:lang w:val="es-ES"/>
        </w:rPr>
        <w:t>submit</w:t>
      </w:r>
      <w:proofErr w:type="spellEnd"/>
      <w:r>
        <w:rPr>
          <w:rFonts w:eastAsia="Palatino Linotype"/>
          <w:sz w:val="22"/>
          <w:szCs w:val="22"/>
          <w:lang w:val="es-ES"/>
        </w:rPr>
        <w:t xml:space="preserve"> </w:t>
      </w:r>
      <w:proofErr w:type="spellStart"/>
      <w:r>
        <w:rPr>
          <w:rFonts w:eastAsia="Palatino Linotype"/>
          <w:sz w:val="22"/>
          <w:szCs w:val="22"/>
          <w:lang w:val="es-ES"/>
        </w:rPr>
        <w:t>them</w:t>
      </w:r>
      <w:proofErr w:type="spellEnd"/>
      <w:r>
        <w:rPr>
          <w:rFonts w:eastAsia="Palatino Linotype"/>
          <w:sz w:val="22"/>
          <w:szCs w:val="22"/>
          <w:lang w:val="es-ES"/>
        </w:rPr>
        <w:t>.</w:t>
      </w:r>
    </w:p>
    <w:p w14:paraId="3277B42E" w14:textId="77777777" w:rsidR="00E255F4" w:rsidRDefault="00E255F4">
      <w:pPr>
        <w:ind w:right="-142"/>
        <w:jc w:val="both"/>
        <w:rPr>
          <w:rFonts w:eastAsia="Palatino Linotype"/>
          <w:spacing w:val="-1"/>
          <w:sz w:val="22"/>
          <w:szCs w:val="22"/>
          <w:lang w:val="es-ES"/>
        </w:rPr>
      </w:pPr>
    </w:p>
    <w:p w14:paraId="3548081A" w14:textId="77777777" w:rsidR="00E255F4" w:rsidRDefault="00000000">
      <w:pPr>
        <w:ind w:right="-142"/>
        <w:jc w:val="both"/>
        <w:rPr>
          <w:rFonts w:eastAsia="Palatino Linotype"/>
          <w:sz w:val="22"/>
          <w:szCs w:val="22"/>
          <w:lang w:val="es-ES"/>
        </w:rPr>
      </w:pPr>
      <w:proofErr w:type="spellStart"/>
      <w:r>
        <w:rPr>
          <w:rFonts w:eastAsia="Palatino Linotype"/>
          <w:spacing w:val="-1"/>
          <w:sz w:val="22"/>
          <w:szCs w:val="22"/>
          <w:lang w:val="es-ES"/>
        </w:rPr>
        <w:t>S</w:t>
      </w:r>
      <w:r>
        <w:rPr>
          <w:rFonts w:eastAsia="Palatino Linotype"/>
          <w:sz w:val="22"/>
          <w:szCs w:val="22"/>
          <w:lang w:val="es-ES"/>
        </w:rPr>
        <w:t>Offers</w:t>
      </w:r>
      <w:proofErr w:type="spellEnd"/>
      <w:r>
        <w:rPr>
          <w:rFonts w:eastAsia="Palatino Linotype"/>
          <w:sz w:val="22"/>
          <w:szCs w:val="22"/>
          <w:lang w:val="es-ES"/>
        </w:rPr>
        <w:t xml:space="preserve"> </w:t>
      </w:r>
      <w:proofErr w:type="spellStart"/>
      <w:r>
        <w:rPr>
          <w:rFonts w:eastAsia="Palatino Linotype"/>
          <w:sz w:val="22"/>
          <w:szCs w:val="22"/>
          <w:lang w:val="es-ES"/>
        </w:rPr>
        <w:t>will</w:t>
      </w:r>
      <w:proofErr w:type="spellEnd"/>
      <w:r>
        <w:rPr>
          <w:rFonts w:eastAsia="Palatino Linotype"/>
          <w:sz w:val="22"/>
          <w:szCs w:val="22"/>
          <w:lang w:val="es-ES"/>
        </w:rPr>
        <w:t xml:space="preserve"> be </w:t>
      </w:r>
      <w:proofErr w:type="spellStart"/>
      <w:r>
        <w:rPr>
          <w:rFonts w:eastAsia="Palatino Linotype"/>
          <w:sz w:val="22"/>
          <w:szCs w:val="22"/>
          <w:lang w:val="es-ES"/>
        </w:rPr>
        <w:t>considered</w:t>
      </w:r>
      <w:proofErr w:type="spellEnd"/>
      <w:r>
        <w:rPr>
          <w:rFonts w:eastAsia="Palatino Linotype"/>
          <w:sz w:val="22"/>
          <w:szCs w:val="22"/>
          <w:lang w:val="es-ES"/>
        </w:rPr>
        <w:t xml:space="preserve"> </w:t>
      </w:r>
      <w:proofErr w:type="spellStart"/>
      <w:r>
        <w:rPr>
          <w:rFonts w:eastAsia="Palatino Linotype"/>
          <w:sz w:val="22"/>
          <w:szCs w:val="22"/>
          <w:lang w:val="es-ES"/>
        </w:rPr>
        <w:t>to</w:t>
      </w:r>
      <w:proofErr w:type="spellEnd"/>
      <w:r>
        <w:rPr>
          <w:rFonts w:eastAsia="Palatino Linotype"/>
          <w:sz w:val="22"/>
          <w:szCs w:val="22"/>
          <w:lang w:val="es-ES"/>
        </w:rPr>
        <w:t xml:space="preserve"> </w:t>
      </w:r>
      <w:proofErr w:type="spellStart"/>
      <w:r>
        <w:rPr>
          <w:rFonts w:eastAsia="Palatino Linotype"/>
          <w:sz w:val="22"/>
          <w:szCs w:val="22"/>
          <w:lang w:val="es-ES"/>
        </w:rPr>
        <w:t>have</w:t>
      </w:r>
      <w:proofErr w:type="spellEnd"/>
      <w:r>
        <w:rPr>
          <w:rFonts w:eastAsia="Palatino Linotype"/>
          <w:sz w:val="22"/>
          <w:szCs w:val="22"/>
          <w:lang w:val="es-ES"/>
        </w:rPr>
        <w:t xml:space="preserve"> a similar rating </w:t>
      </w:r>
      <w:proofErr w:type="spellStart"/>
      <w:r>
        <w:rPr>
          <w:rFonts w:eastAsia="Palatino Linotype"/>
          <w:sz w:val="22"/>
          <w:szCs w:val="22"/>
          <w:lang w:val="es-ES"/>
        </w:rPr>
        <w:t>if</w:t>
      </w:r>
      <w:proofErr w:type="spellEnd"/>
      <w:r>
        <w:rPr>
          <w:rFonts w:eastAsia="Palatino Linotype"/>
          <w:sz w:val="22"/>
          <w:szCs w:val="22"/>
          <w:lang w:val="es-ES"/>
        </w:rPr>
        <w:t xml:space="preserve"> </w:t>
      </w:r>
      <w:proofErr w:type="spellStart"/>
      <w:r>
        <w:rPr>
          <w:rFonts w:eastAsia="Palatino Linotype"/>
          <w:sz w:val="22"/>
          <w:szCs w:val="22"/>
          <w:lang w:val="es-ES"/>
        </w:rPr>
        <w:t>they</w:t>
      </w:r>
      <w:proofErr w:type="spellEnd"/>
      <w:r>
        <w:rPr>
          <w:rFonts w:eastAsia="Palatino Linotype"/>
          <w:sz w:val="22"/>
          <w:szCs w:val="22"/>
          <w:lang w:val="es-ES"/>
        </w:rPr>
        <w:t xml:space="preserve"> do </w:t>
      </w:r>
      <w:proofErr w:type="spellStart"/>
      <w:r>
        <w:rPr>
          <w:rFonts w:eastAsia="Palatino Linotype"/>
          <w:sz w:val="22"/>
          <w:szCs w:val="22"/>
          <w:lang w:val="es-ES"/>
        </w:rPr>
        <w:t>not</w:t>
      </w:r>
      <w:proofErr w:type="spellEnd"/>
      <w:r>
        <w:rPr>
          <w:rFonts w:eastAsia="Palatino Linotype"/>
          <w:sz w:val="22"/>
          <w:szCs w:val="22"/>
          <w:lang w:val="es-ES"/>
        </w:rPr>
        <w:t xml:space="preserve"> </w:t>
      </w:r>
      <w:proofErr w:type="spellStart"/>
      <w:r>
        <w:rPr>
          <w:rFonts w:eastAsia="Palatino Linotype"/>
          <w:sz w:val="22"/>
          <w:szCs w:val="22"/>
          <w:lang w:val="es-ES"/>
        </w:rPr>
        <w:t>differ</w:t>
      </w:r>
      <w:proofErr w:type="spellEnd"/>
      <w:r>
        <w:rPr>
          <w:rFonts w:eastAsia="Palatino Linotype"/>
          <w:sz w:val="22"/>
          <w:szCs w:val="22"/>
          <w:lang w:val="es-ES"/>
        </w:rPr>
        <w:t xml:space="preserve"> </w:t>
      </w:r>
      <w:proofErr w:type="spellStart"/>
      <w:r>
        <w:rPr>
          <w:rFonts w:eastAsia="Palatino Linotype"/>
          <w:sz w:val="22"/>
          <w:szCs w:val="22"/>
          <w:lang w:val="es-ES"/>
        </w:rPr>
        <w:t>by</w:t>
      </w:r>
      <w:proofErr w:type="spellEnd"/>
      <w:r>
        <w:rPr>
          <w:rFonts w:eastAsia="Palatino Linotype"/>
          <w:sz w:val="22"/>
          <w:szCs w:val="22"/>
          <w:lang w:val="es-ES"/>
        </w:rPr>
        <w:t xml:space="preserve"> more </w:t>
      </w:r>
      <w:proofErr w:type="spellStart"/>
      <w:r>
        <w:rPr>
          <w:rFonts w:eastAsia="Palatino Linotype"/>
          <w:sz w:val="22"/>
          <w:szCs w:val="22"/>
          <w:lang w:val="es-ES"/>
        </w:rPr>
        <w:t>than</w:t>
      </w:r>
      <w:proofErr w:type="spellEnd"/>
      <w:r>
        <w:rPr>
          <w:rFonts w:eastAsia="Palatino Linotype"/>
          <w:sz w:val="22"/>
          <w:szCs w:val="22"/>
          <w:lang w:val="es-ES"/>
        </w:rPr>
        <w:t xml:space="preserve"> 5% (</w:t>
      </w:r>
      <w:proofErr w:type="spellStart"/>
      <w:r>
        <w:rPr>
          <w:rFonts w:eastAsia="Palatino Linotype"/>
          <w:sz w:val="22"/>
          <w:szCs w:val="22"/>
          <w:lang w:val="es-ES"/>
        </w:rPr>
        <w:t>five</w:t>
      </w:r>
      <w:proofErr w:type="spellEnd"/>
      <w:r>
        <w:rPr>
          <w:rFonts w:eastAsia="Palatino Linotype"/>
          <w:sz w:val="22"/>
          <w:szCs w:val="22"/>
          <w:lang w:val="es-ES"/>
        </w:rPr>
        <w:t xml:space="preserve"> </w:t>
      </w:r>
      <w:proofErr w:type="spellStart"/>
      <w:r>
        <w:rPr>
          <w:rFonts w:eastAsia="Palatino Linotype"/>
          <w:sz w:val="22"/>
          <w:szCs w:val="22"/>
          <w:lang w:val="es-ES"/>
        </w:rPr>
        <w:t>percent</w:t>
      </w:r>
      <w:proofErr w:type="spellEnd"/>
      <w:r>
        <w:rPr>
          <w:rFonts w:eastAsia="Palatino Linotype"/>
          <w:sz w:val="22"/>
          <w:szCs w:val="22"/>
          <w:lang w:val="es-ES"/>
        </w:rPr>
        <w:t xml:space="preserve">) </w:t>
      </w:r>
      <w:proofErr w:type="spellStart"/>
      <w:r>
        <w:rPr>
          <w:rFonts w:eastAsia="Palatino Linotype"/>
          <w:sz w:val="22"/>
          <w:szCs w:val="22"/>
          <w:lang w:val="es-ES"/>
        </w:rPr>
        <w:t>from</w:t>
      </w:r>
      <w:proofErr w:type="spellEnd"/>
      <w:r>
        <w:rPr>
          <w:rFonts w:eastAsia="Palatino Linotype"/>
          <w:sz w:val="22"/>
          <w:szCs w:val="22"/>
          <w:lang w:val="es-ES"/>
        </w:rPr>
        <w:t xml:space="preserve"> </w:t>
      </w:r>
      <w:proofErr w:type="spellStart"/>
      <w:r>
        <w:rPr>
          <w:rFonts w:eastAsia="Palatino Linotype"/>
          <w:sz w:val="22"/>
          <w:szCs w:val="22"/>
          <w:lang w:val="es-ES"/>
        </w:rPr>
        <w:t>the</w:t>
      </w:r>
      <w:proofErr w:type="spellEnd"/>
      <w:r>
        <w:rPr>
          <w:rFonts w:eastAsia="Palatino Linotype"/>
          <w:sz w:val="22"/>
          <w:szCs w:val="22"/>
          <w:lang w:val="es-ES"/>
        </w:rPr>
        <w:t xml:space="preserve"> </w:t>
      </w:r>
      <w:proofErr w:type="spellStart"/>
      <w:r>
        <w:rPr>
          <w:rFonts w:eastAsia="Palatino Linotype"/>
          <w:sz w:val="22"/>
          <w:szCs w:val="22"/>
          <w:lang w:val="es-ES"/>
        </w:rPr>
        <w:t>highest</w:t>
      </w:r>
      <w:proofErr w:type="spellEnd"/>
      <w:r>
        <w:rPr>
          <w:rFonts w:eastAsia="Palatino Linotype"/>
          <w:sz w:val="22"/>
          <w:szCs w:val="22"/>
          <w:lang w:val="es-ES"/>
        </w:rPr>
        <w:t xml:space="preserve"> </w:t>
      </w:r>
      <w:proofErr w:type="spellStart"/>
      <w:r>
        <w:rPr>
          <w:rFonts w:eastAsia="Palatino Linotype"/>
          <w:sz w:val="22"/>
          <w:szCs w:val="22"/>
          <w:lang w:val="es-ES"/>
        </w:rPr>
        <w:t>rated</w:t>
      </w:r>
      <w:proofErr w:type="spellEnd"/>
      <w:r>
        <w:rPr>
          <w:rFonts w:eastAsia="Palatino Linotype"/>
          <w:sz w:val="22"/>
          <w:szCs w:val="22"/>
          <w:lang w:val="es-ES"/>
        </w:rPr>
        <w:t xml:space="preserve"> </w:t>
      </w:r>
      <w:proofErr w:type="spellStart"/>
      <w:r>
        <w:rPr>
          <w:rFonts w:eastAsia="Palatino Linotype"/>
          <w:sz w:val="22"/>
          <w:szCs w:val="22"/>
          <w:lang w:val="es-ES"/>
        </w:rPr>
        <w:t>offer</w:t>
      </w:r>
      <w:proofErr w:type="spellEnd"/>
      <w:r>
        <w:rPr>
          <w:rFonts w:eastAsia="Palatino Linotype"/>
          <w:sz w:val="22"/>
          <w:szCs w:val="22"/>
          <w:lang w:val="es-ES"/>
        </w:rPr>
        <w:t xml:space="preserve"> </w:t>
      </w:r>
      <w:proofErr w:type="spellStart"/>
      <w:r>
        <w:rPr>
          <w:rFonts w:eastAsia="Palatino Linotype"/>
          <w:sz w:val="22"/>
          <w:szCs w:val="22"/>
          <w:lang w:val="es-ES"/>
        </w:rPr>
        <w:t>according</w:t>
      </w:r>
      <w:proofErr w:type="spellEnd"/>
      <w:r>
        <w:rPr>
          <w:rFonts w:eastAsia="Palatino Linotype"/>
          <w:sz w:val="22"/>
          <w:szCs w:val="22"/>
          <w:lang w:val="es-ES"/>
        </w:rPr>
        <w:t xml:space="preserve"> </w:t>
      </w:r>
      <w:proofErr w:type="spellStart"/>
      <w:r>
        <w:rPr>
          <w:rFonts w:eastAsia="Palatino Linotype"/>
          <w:sz w:val="22"/>
          <w:szCs w:val="22"/>
          <w:lang w:val="es-ES"/>
        </w:rPr>
        <w:t>to</w:t>
      </w:r>
      <w:proofErr w:type="spellEnd"/>
      <w:r>
        <w:rPr>
          <w:rFonts w:eastAsia="Palatino Linotype"/>
          <w:sz w:val="22"/>
          <w:szCs w:val="22"/>
          <w:lang w:val="es-ES"/>
        </w:rPr>
        <w:t xml:space="preserve"> </w:t>
      </w:r>
      <w:proofErr w:type="spellStart"/>
      <w:r>
        <w:rPr>
          <w:rFonts w:eastAsia="Palatino Linotype"/>
          <w:sz w:val="22"/>
          <w:szCs w:val="22"/>
          <w:lang w:val="es-ES"/>
        </w:rPr>
        <w:t>the</w:t>
      </w:r>
      <w:proofErr w:type="spellEnd"/>
      <w:r>
        <w:rPr>
          <w:rFonts w:eastAsia="Palatino Linotype"/>
          <w:sz w:val="22"/>
          <w:szCs w:val="22"/>
          <w:lang w:val="es-ES"/>
        </w:rPr>
        <w:t xml:space="preserve"> </w:t>
      </w:r>
      <w:proofErr w:type="spellStart"/>
      <w:r>
        <w:rPr>
          <w:rFonts w:eastAsia="Palatino Linotype"/>
          <w:sz w:val="22"/>
          <w:szCs w:val="22"/>
          <w:lang w:val="es-ES"/>
        </w:rPr>
        <w:t>quantified</w:t>
      </w:r>
      <w:proofErr w:type="spellEnd"/>
      <w:r>
        <w:rPr>
          <w:rFonts w:eastAsia="Palatino Linotype"/>
          <w:sz w:val="22"/>
          <w:szCs w:val="22"/>
          <w:lang w:val="es-ES"/>
        </w:rPr>
        <w:t xml:space="preserve"> </w:t>
      </w:r>
      <w:proofErr w:type="spellStart"/>
      <w:r>
        <w:rPr>
          <w:rFonts w:eastAsia="Palatino Linotype"/>
          <w:sz w:val="22"/>
          <w:szCs w:val="22"/>
          <w:lang w:val="es-ES"/>
        </w:rPr>
        <w:t>criteria</w:t>
      </w:r>
      <w:proofErr w:type="spellEnd"/>
      <w:r>
        <w:rPr>
          <w:rFonts w:eastAsia="Palatino Linotype"/>
          <w:sz w:val="22"/>
          <w:szCs w:val="22"/>
          <w:lang w:val="es-ES"/>
        </w:rPr>
        <w:t xml:space="preserve"> </w:t>
      </w:r>
      <w:proofErr w:type="spellStart"/>
      <w:r>
        <w:rPr>
          <w:rFonts w:eastAsia="Palatino Linotype"/>
          <w:sz w:val="22"/>
          <w:szCs w:val="22"/>
          <w:lang w:val="es-ES"/>
        </w:rPr>
        <w:t>defined</w:t>
      </w:r>
      <w:proofErr w:type="spellEnd"/>
      <w:r>
        <w:rPr>
          <w:rFonts w:eastAsia="Palatino Linotype"/>
          <w:sz w:val="22"/>
          <w:szCs w:val="22"/>
          <w:lang w:val="es-ES"/>
        </w:rPr>
        <w:t xml:space="preserve"> in </w:t>
      </w:r>
      <w:proofErr w:type="spellStart"/>
      <w:r>
        <w:rPr>
          <w:rFonts w:eastAsia="Palatino Linotype"/>
          <w:sz w:val="22"/>
          <w:szCs w:val="22"/>
          <w:lang w:val="es-ES"/>
        </w:rPr>
        <w:t>the</w:t>
      </w:r>
      <w:proofErr w:type="spellEnd"/>
      <w:r>
        <w:rPr>
          <w:rFonts w:eastAsia="Palatino Linotype"/>
          <w:sz w:val="22"/>
          <w:szCs w:val="22"/>
          <w:lang w:val="es-ES"/>
        </w:rPr>
        <w:t xml:space="preserve"> </w:t>
      </w:r>
      <w:proofErr w:type="spellStart"/>
      <w:r>
        <w:rPr>
          <w:rFonts w:eastAsia="Palatino Linotype"/>
          <w:sz w:val="22"/>
          <w:szCs w:val="22"/>
          <w:lang w:val="es-ES"/>
        </w:rPr>
        <w:t>Terms</w:t>
      </w:r>
      <w:proofErr w:type="spellEnd"/>
      <w:r>
        <w:rPr>
          <w:rFonts w:eastAsia="Palatino Linotype"/>
          <w:sz w:val="22"/>
          <w:szCs w:val="22"/>
          <w:lang w:val="es-ES"/>
        </w:rPr>
        <w:t xml:space="preserve"> and </w:t>
      </w:r>
      <w:proofErr w:type="spellStart"/>
      <w:r>
        <w:rPr>
          <w:rFonts w:eastAsia="Palatino Linotype"/>
          <w:sz w:val="22"/>
          <w:szCs w:val="22"/>
          <w:lang w:val="es-ES"/>
        </w:rPr>
        <w:t>Conditions</w:t>
      </w:r>
      <w:proofErr w:type="spellEnd"/>
      <w:r>
        <w:rPr>
          <w:rFonts w:eastAsia="Palatino Linotype"/>
          <w:sz w:val="22"/>
          <w:szCs w:val="22"/>
          <w:lang w:val="es-ES"/>
        </w:rPr>
        <w:t>.</w:t>
      </w:r>
    </w:p>
    <w:p w14:paraId="276B9A8C" w14:textId="77777777" w:rsidR="00E255F4" w:rsidRDefault="00E255F4">
      <w:pPr>
        <w:ind w:right="-142"/>
        <w:jc w:val="both"/>
        <w:rPr>
          <w:rFonts w:eastAsia="Palatino Linotype"/>
          <w:spacing w:val="-3"/>
          <w:sz w:val="22"/>
          <w:szCs w:val="22"/>
          <w:lang w:val="es-ES"/>
        </w:rPr>
      </w:pPr>
    </w:p>
    <w:p w14:paraId="6614C32D" w14:textId="77777777" w:rsidR="00E255F4" w:rsidRDefault="00000000">
      <w:pPr>
        <w:ind w:right="-142"/>
        <w:jc w:val="both"/>
        <w:rPr>
          <w:rFonts w:eastAsia="Palatino Linotype"/>
          <w:sz w:val="22"/>
          <w:szCs w:val="22"/>
          <w:lang w:val="es-ES"/>
        </w:rPr>
      </w:pPr>
      <w:proofErr w:type="spellStart"/>
      <w:r>
        <w:rPr>
          <w:rFonts w:eastAsia="Palatino Linotype"/>
          <w:spacing w:val="-3"/>
          <w:sz w:val="22"/>
          <w:szCs w:val="22"/>
          <w:lang w:val="es-ES"/>
        </w:rPr>
        <w:t>S</w:t>
      </w:r>
      <w:r>
        <w:rPr>
          <w:rFonts w:eastAsia="Palatino Linotype"/>
          <w:sz w:val="22"/>
          <w:szCs w:val="22"/>
          <w:lang w:val="es-ES"/>
        </w:rPr>
        <w:t>Offers</w:t>
      </w:r>
      <w:proofErr w:type="spellEnd"/>
      <w:r>
        <w:rPr>
          <w:rFonts w:eastAsia="Palatino Linotype"/>
          <w:sz w:val="22"/>
          <w:szCs w:val="22"/>
          <w:lang w:val="es-ES"/>
        </w:rPr>
        <w:t xml:space="preserve"> </w:t>
      </w:r>
      <w:proofErr w:type="spellStart"/>
      <w:r>
        <w:rPr>
          <w:rFonts w:eastAsia="Palatino Linotype"/>
          <w:sz w:val="22"/>
          <w:szCs w:val="22"/>
          <w:lang w:val="es-ES"/>
        </w:rPr>
        <w:t>will</w:t>
      </w:r>
      <w:proofErr w:type="spellEnd"/>
      <w:r>
        <w:rPr>
          <w:rFonts w:eastAsia="Palatino Linotype"/>
          <w:sz w:val="22"/>
          <w:szCs w:val="22"/>
          <w:lang w:val="es-ES"/>
        </w:rPr>
        <w:t xml:space="preserve"> be </w:t>
      </w:r>
      <w:proofErr w:type="spellStart"/>
      <w:r>
        <w:rPr>
          <w:rFonts w:eastAsia="Palatino Linotype"/>
          <w:sz w:val="22"/>
          <w:szCs w:val="22"/>
          <w:lang w:val="es-ES"/>
        </w:rPr>
        <w:t>considered</w:t>
      </w:r>
      <w:proofErr w:type="spellEnd"/>
      <w:r>
        <w:rPr>
          <w:rFonts w:eastAsia="Palatino Linotype"/>
          <w:sz w:val="22"/>
          <w:szCs w:val="22"/>
          <w:lang w:val="es-ES"/>
        </w:rPr>
        <w:t xml:space="preserve"> </w:t>
      </w:r>
      <w:proofErr w:type="spellStart"/>
      <w:r>
        <w:rPr>
          <w:rFonts w:eastAsia="Palatino Linotype"/>
          <w:sz w:val="22"/>
          <w:szCs w:val="22"/>
          <w:lang w:val="es-ES"/>
        </w:rPr>
        <w:t>similarly</w:t>
      </w:r>
      <w:proofErr w:type="spellEnd"/>
      <w:r>
        <w:rPr>
          <w:rFonts w:eastAsia="Palatino Linotype"/>
          <w:sz w:val="22"/>
          <w:szCs w:val="22"/>
          <w:lang w:val="es-ES"/>
        </w:rPr>
        <w:t xml:space="preserve"> </w:t>
      </w:r>
      <w:proofErr w:type="spellStart"/>
      <w:r>
        <w:rPr>
          <w:rFonts w:eastAsia="Palatino Linotype"/>
          <w:sz w:val="22"/>
          <w:szCs w:val="22"/>
          <w:lang w:val="es-ES"/>
        </w:rPr>
        <w:t>priced</w:t>
      </w:r>
      <w:proofErr w:type="spellEnd"/>
      <w:r>
        <w:rPr>
          <w:rFonts w:eastAsia="Palatino Linotype"/>
          <w:sz w:val="22"/>
          <w:szCs w:val="22"/>
          <w:lang w:val="es-ES"/>
        </w:rPr>
        <w:t xml:space="preserve"> </w:t>
      </w:r>
      <w:proofErr w:type="spellStart"/>
      <w:r>
        <w:rPr>
          <w:rFonts w:eastAsia="Palatino Linotype"/>
          <w:sz w:val="22"/>
          <w:szCs w:val="22"/>
          <w:lang w:val="es-ES"/>
        </w:rPr>
        <w:t>if</w:t>
      </w:r>
      <w:proofErr w:type="spellEnd"/>
      <w:r>
        <w:rPr>
          <w:rFonts w:eastAsia="Palatino Linotype"/>
          <w:sz w:val="22"/>
          <w:szCs w:val="22"/>
          <w:lang w:val="es-ES"/>
        </w:rPr>
        <w:t xml:space="preserve"> </w:t>
      </w:r>
      <w:proofErr w:type="spellStart"/>
      <w:r>
        <w:rPr>
          <w:rFonts w:eastAsia="Palatino Linotype"/>
          <w:sz w:val="22"/>
          <w:szCs w:val="22"/>
          <w:lang w:val="es-ES"/>
        </w:rPr>
        <w:t>they</w:t>
      </w:r>
      <w:proofErr w:type="spellEnd"/>
      <w:r>
        <w:rPr>
          <w:rFonts w:eastAsia="Palatino Linotype"/>
          <w:sz w:val="22"/>
          <w:szCs w:val="22"/>
          <w:lang w:val="es-ES"/>
        </w:rPr>
        <w:t xml:space="preserve"> do </w:t>
      </w:r>
      <w:proofErr w:type="spellStart"/>
      <w:r>
        <w:rPr>
          <w:rFonts w:eastAsia="Palatino Linotype"/>
          <w:sz w:val="22"/>
          <w:szCs w:val="22"/>
          <w:lang w:val="es-ES"/>
        </w:rPr>
        <w:t>not</w:t>
      </w:r>
      <w:proofErr w:type="spellEnd"/>
      <w:r>
        <w:rPr>
          <w:rFonts w:eastAsia="Palatino Linotype"/>
          <w:sz w:val="22"/>
          <w:szCs w:val="22"/>
          <w:lang w:val="es-ES"/>
        </w:rPr>
        <w:t xml:space="preserve"> </w:t>
      </w:r>
      <w:proofErr w:type="spellStart"/>
      <w:r>
        <w:rPr>
          <w:rFonts w:eastAsia="Palatino Linotype"/>
          <w:sz w:val="22"/>
          <w:szCs w:val="22"/>
          <w:lang w:val="es-ES"/>
        </w:rPr>
        <w:t>differ</w:t>
      </w:r>
      <w:proofErr w:type="spellEnd"/>
      <w:r>
        <w:rPr>
          <w:rFonts w:eastAsia="Palatino Linotype"/>
          <w:sz w:val="22"/>
          <w:szCs w:val="22"/>
          <w:lang w:val="es-ES"/>
        </w:rPr>
        <w:t xml:space="preserve"> </w:t>
      </w:r>
      <w:proofErr w:type="spellStart"/>
      <w:r>
        <w:rPr>
          <w:rFonts w:eastAsia="Palatino Linotype"/>
          <w:sz w:val="22"/>
          <w:szCs w:val="22"/>
          <w:lang w:val="es-ES"/>
        </w:rPr>
        <w:t>by</w:t>
      </w:r>
      <w:proofErr w:type="spellEnd"/>
      <w:r>
        <w:rPr>
          <w:rFonts w:eastAsia="Palatino Linotype"/>
          <w:sz w:val="22"/>
          <w:szCs w:val="22"/>
          <w:lang w:val="es-ES"/>
        </w:rPr>
        <w:t xml:space="preserve"> more </w:t>
      </w:r>
      <w:proofErr w:type="spellStart"/>
      <w:r>
        <w:rPr>
          <w:rFonts w:eastAsia="Palatino Linotype"/>
          <w:sz w:val="22"/>
          <w:szCs w:val="22"/>
          <w:lang w:val="es-ES"/>
        </w:rPr>
        <w:t>than</w:t>
      </w:r>
      <w:proofErr w:type="spellEnd"/>
      <w:r>
        <w:rPr>
          <w:rFonts w:eastAsia="Palatino Linotype"/>
          <w:sz w:val="22"/>
          <w:szCs w:val="22"/>
          <w:lang w:val="es-ES"/>
        </w:rPr>
        <w:t xml:space="preserve"> 5% (</w:t>
      </w:r>
      <w:proofErr w:type="spellStart"/>
      <w:r>
        <w:rPr>
          <w:rFonts w:eastAsia="Palatino Linotype"/>
          <w:sz w:val="22"/>
          <w:szCs w:val="22"/>
          <w:lang w:val="es-ES"/>
        </w:rPr>
        <w:t>five</w:t>
      </w:r>
      <w:proofErr w:type="spellEnd"/>
      <w:r>
        <w:rPr>
          <w:rFonts w:eastAsia="Palatino Linotype"/>
          <w:sz w:val="22"/>
          <w:szCs w:val="22"/>
          <w:lang w:val="es-ES"/>
        </w:rPr>
        <w:t xml:space="preserve"> </w:t>
      </w:r>
      <w:proofErr w:type="spellStart"/>
      <w:r>
        <w:rPr>
          <w:rFonts w:eastAsia="Palatino Linotype"/>
          <w:sz w:val="22"/>
          <w:szCs w:val="22"/>
          <w:lang w:val="es-ES"/>
        </w:rPr>
        <w:t>percent</w:t>
      </w:r>
      <w:proofErr w:type="spellEnd"/>
      <w:r>
        <w:rPr>
          <w:rFonts w:eastAsia="Palatino Linotype"/>
          <w:sz w:val="22"/>
          <w:szCs w:val="22"/>
          <w:lang w:val="es-ES"/>
        </w:rPr>
        <w:t xml:space="preserve">) </w:t>
      </w:r>
      <w:proofErr w:type="spellStart"/>
      <w:r>
        <w:rPr>
          <w:rFonts w:eastAsia="Palatino Linotype"/>
          <w:sz w:val="22"/>
          <w:szCs w:val="22"/>
          <w:lang w:val="es-ES"/>
        </w:rPr>
        <w:t>from</w:t>
      </w:r>
      <w:proofErr w:type="spellEnd"/>
      <w:r>
        <w:rPr>
          <w:rFonts w:eastAsia="Palatino Linotype"/>
          <w:sz w:val="22"/>
          <w:szCs w:val="22"/>
          <w:lang w:val="es-ES"/>
        </w:rPr>
        <w:t xml:space="preserve"> </w:t>
      </w:r>
      <w:proofErr w:type="spellStart"/>
      <w:r>
        <w:rPr>
          <w:rFonts w:eastAsia="Palatino Linotype"/>
          <w:sz w:val="22"/>
          <w:szCs w:val="22"/>
          <w:lang w:val="es-ES"/>
        </w:rPr>
        <w:t>the</w:t>
      </w:r>
      <w:proofErr w:type="spellEnd"/>
      <w:r>
        <w:rPr>
          <w:rFonts w:eastAsia="Palatino Linotype"/>
          <w:sz w:val="22"/>
          <w:szCs w:val="22"/>
          <w:lang w:val="es-ES"/>
        </w:rPr>
        <w:t xml:space="preserve"> </w:t>
      </w:r>
      <w:proofErr w:type="spellStart"/>
      <w:r>
        <w:rPr>
          <w:rFonts w:eastAsia="Palatino Linotype"/>
          <w:sz w:val="22"/>
          <w:szCs w:val="22"/>
          <w:lang w:val="es-ES"/>
        </w:rPr>
        <w:t>lowest</w:t>
      </w:r>
      <w:proofErr w:type="spellEnd"/>
      <w:r>
        <w:rPr>
          <w:rFonts w:eastAsia="Palatino Linotype"/>
          <w:sz w:val="22"/>
          <w:szCs w:val="22"/>
          <w:lang w:val="es-ES"/>
        </w:rPr>
        <w:t xml:space="preserve"> </w:t>
      </w:r>
      <w:proofErr w:type="spellStart"/>
      <w:r>
        <w:rPr>
          <w:rFonts w:eastAsia="Palatino Linotype"/>
          <w:sz w:val="22"/>
          <w:szCs w:val="22"/>
          <w:lang w:val="es-ES"/>
        </w:rPr>
        <w:t>price</w:t>
      </w:r>
      <w:proofErr w:type="spellEnd"/>
      <w:r>
        <w:rPr>
          <w:rFonts w:eastAsia="Palatino Linotype"/>
          <w:sz w:val="22"/>
          <w:szCs w:val="22"/>
          <w:lang w:val="es-ES"/>
        </w:rPr>
        <w:t>.</w:t>
      </w:r>
    </w:p>
    <w:p w14:paraId="459078C7" w14:textId="77777777" w:rsidR="00E255F4" w:rsidRDefault="00000000">
      <w:pPr>
        <w:ind w:right="-142"/>
        <w:jc w:val="both"/>
        <w:rPr>
          <w:rFonts w:eastAsia="Palatino Linotype"/>
          <w:spacing w:val="-1"/>
          <w:sz w:val="22"/>
          <w:szCs w:val="22"/>
          <w:lang w:val="es-ES"/>
        </w:rPr>
      </w:pPr>
      <w:r>
        <w:rPr>
          <w:rFonts w:eastAsia="Palatino Linotype"/>
          <w:spacing w:val="-1"/>
          <w:sz w:val="22"/>
          <w:szCs w:val="22"/>
          <w:lang w:val="es-ES"/>
        </w:rPr>
        <w:t>AND</w:t>
      </w:r>
      <w:r>
        <w:rPr>
          <w:rFonts w:eastAsia="Palatino Linotype"/>
          <w:sz w:val="22"/>
          <w:szCs w:val="22"/>
          <w:lang w:val="es-ES"/>
        </w:rPr>
        <w:t xml:space="preserve">In </w:t>
      </w:r>
      <w:proofErr w:type="spellStart"/>
      <w:r>
        <w:rPr>
          <w:rFonts w:eastAsia="Palatino Linotype"/>
          <w:sz w:val="22"/>
          <w:szCs w:val="22"/>
          <w:lang w:val="es-ES"/>
        </w:rPr>
        <w:t>the</w:t>
      </w:r>
      <w:proofErr w:type="spellEnd"/>
      <w:r>
        <w:rPr>
          <w:rFonts w:eastAsia="Palatino Linotype"/>
          <w:sz w:val="22"/>
          <w:szCs w:val="22"/>
          <w:lang w:val="es-ES"/>
        </w:rPr>
        <w:t xml:space="preserve"> </w:t>
      </w:r>
      <w:proofErr w:type="spellStart"/>
      <w:r>
        <w:rPr>
          <w:rFonts w:eastAsia="Palatino Linotype"/>
          <w:sz w:val="22"/>
          <w:szCs w:val="22"/>
          <w:lang w:val="es-ES"/>
        </w:rPr>
        <w:t>event</w:t>
      </w:r>
      <w:proofErr w:type="spellEnd"/>
      <w:r>
        <w:rPr>
          <w:rFonts w:eastAsia="Palatino Linotype"/>
          <w:sz w:val="22"/>
          <w:szCs w:val="22"/>
          <w:lang w:val="es-ES"/>
        </w:rPr>
        <w:t xml:space="preserve"> </w:t>
      </w:r>
      <w:proofErr w:type="spellStart"/>
      <w:r>
        <w:rPr>
          <w:rFonts w:eastAsia="Palatino Linotype"/>
          <w:sz w:val="22"/>
          <w:szCs w:val="22"/>
          <w:lang w:val="es-ES"/>
        </w:rPr>
        <w:t>that</w:t>
      </w:r>
      <w:proofErr w:type="spellEnd"/>
      <w:r>
        <w:rPr>
          <w:rFonts w:eastAsia="Palatino Linotype"/>
          <w:sz w:val="22"/>
          <w:szCs w:val="22"/>
          <w:lang w:val="es-ES"/>
        </w:rPr>
        <w:t xml:space="preserve">, as a </w:t>
      </w:r>
      <w:proofErr w:type="spellStart"/>
      <w:r>
        <w:rPr>
          <w:rFonts w:eastAsia="Palatino Linotype"/>
          <w:sz w:val="22"/>
          <w:szCs w:val="22"/>
          <w:lang w:val="es-ES"/>
        </w:rPr>
        <w:t>result</w:t>
      </w:r>
      <w:proofErr w:type="spellEnd"/>
      <w:r>
        <w:rPr>
          <w:rFonts w:eastAsia="Palatino Linotype"/>
          <w:sz w:val="22"/>
          <w:szCs w:val="22"/>
          <w:lang w:val="es-ES"/>
        </w:rPr>
        <w:t xml:space="preserve"> </w:t>
      </w:r>
      <w:proofErr w:type="spellStart"/>
      <w:r>
        <w:rPr>
          <w:rFonts w:eastAsia="Palatino Linotype"/>
          <w:sz w:val="22"/>
          <w:szCs w:val="22"/>
          <w:lang w:val="es-ES"/>
        </w:rPr>
        <w:t>of</w:t>
      </w:r>
      <w:proofErr w:type="spellEnd"/>
      <w:r>
        <w:rPr>
          <w:rFonts w:eastAsia="Palatino Linotype"/>
          <w:sz w:val="22"/>
          <w:szCs w:val="22"/>
          <w:lang w:val="es-ES"/>
        </w:rPr>
        <w:t xml:space="preserve"> </w:t>
      </w:r>
      <w:proofErr w:type="spellStart"/>
      <w:r>
        <w:rPr>
          <w:rFonts w:eastAsia="Palatino Linotype"/>
          <w:sz w:val="22"/>
          <w:szCs w:val="22"/>
          <w:lang w:val="es-ES"/>
        </w:rPr>
        <w:t>the</w:t>
      </w:r>
      <w:proofErr w:type="spellEnd"/>
      <w:r>
        <w:rPr>
          <w:rFonts w:eastAsia="Palatino Linotype"/>
          <w:sz w:val="22"/>
          <w:szCs w:val="22"/>
          <w:lang w:val="es-ES"/>
        </w:rPr>
        <w:t xml:space="preserve"> </w:t>
      </w:r>
      <w:proofErr w:type="spellStart"/>
      <w:r>
        <w:rPr>
          <w:rFonts w:eastAsia="Palatino Linotype"/>
          <w:sz w:val="22"/>
          <w:szCs w:val="22"/>
          <w:lang w:val="es-ES"/>
        </w:rPr>
        <w:t>improvement</w:t>
      </w:r>
      <w:proofErr w:type="spellEnd"/>
      <w:r>
        <w:rPr>
          <w:rFonts w:eastAsia="Palatino Linotype"/>
          <w:sz w:val="22"/>
          <w:szCs w:val="22"/>
          <w:lang w:val="es-ES"/>
        </w:rPr>
        <w:t xml:space="preserve"> </w:t>
      </w:r>
      <w:proofErr w:type="spellStart"/>
      <w:r>
        <w:rPr>
          <w:rFonts w:eastAsia="Palatino Linotype"/>
          <w:sz w:val="22"/>
          <w:szCs w:val="22"/>
          <w:lang w:val="es-ES"/>
        </w:rPr>
        <w:t>of</w:t>
      </w:r>
      <w:proofErr w:type="spellEnd"/>
      <w:r>
        <w:rPr>
          <w:rFonts w:eastAsia="Palatino Linotype"/>
          <w:sz w:val="22"/>
          <w:szCs w:val="22"/>
          <w:lang w:val="es-ES"/>
        </w:rPr>
        <w:t xml:space="preserve"> </w:t>
      </w:r>
      <w:proofErr w:type="spellStart"/>
      <w:r>
        <w:rPr>
          <w:rFonts w:eastAsia="Palatino Linotype"/>
          <w:sz w:val="22"/>
          <w:szCs w:val="22"/>
          <w:lang w:val="es-ES"/>
        </w:rPr>
        <w:t>offers</w:t>
      </w:r>
      <w:proofErr w:type="spellEnd"/>
      <w:r>
        <w:rPr>
          <w:rFonts w:eastAsia="Palatino Linotype"/>
          <w:sz w:val="22"/>
          <w:szCs w:val="22"/>
          <w:lang w:val="es-ES"/>
        </w:rPr>
        <w:t xml:space="preserve">, </w:t>
      </w:r>
      <w:proofErr w:type="spellStart"/>
      <w:r>
        <w:rPr>
          <w:rFonts w:eastAsia="Palatino Linotype"/>
          <w:sz w:val="22"/>
          <w:szCs w:val="22"/>
          <w:lang w:val="es-ES"/>
        </w:rPr>
        <w:t>two</w:t>
      </w:r>
      <w:proofErr w:type="spellEnd"/>
      <w:r>
        <w:rPr>
          <w:rFonts w:eastAsia="Palatino Linotype"/>
          <w:sz w:val="22"/>
          <w:szCs w:val="22"/>
          <w:lang w:val="es-ES"/>
        </w:rPr>
        <w:t xml:space="preserve"> </w:t>
      </w:r>
      <w:proofErr w:type="spellStart"/>
      <w:r>
        <w:rPr>
          <w:rFonts w:eastAsia="Palatino Linotype"/>
          <w:sz w:val="22"/>
          <w:szCs w:val="22"/>
          <w:lang w:val="es-ES"/>
        </w:rPr>
        <w:t>or</w:t>
      </w:r>
      <w:proofErr w:type="spellEnd"/>
      <w:r>
        <w:rPr>
          <w:rFonts w:eastAsia="Palatino Linotype"/>
          <w:sz w:val="22"/>
          <w:szCs w:val="22"/>
          <w:lang w:val="es-ES"/>
        </w:rPr>
        <w:t xml:space="preserve"> more </w:t>
      </w:r>
      <w:proofErr w:type="spellStart"/>
      <w:r>
        <w:rPr>
          <w:rFonts w:eastAsia="Palatino Linotype"/>
          <w:sz w:val="22"/>
          <w:szCs w:val="22"/>
          <w:lang w:val="es-ES"/>
        </w:rPr>
        <w:t>offers</w:t>
      </w:r>
      <w:proofErr w:type="spellEnd"/>
      <w:r>
        <w:rPr>
          <w:rFonts w:eastAsia="Palatino Linotype"/>
          <w:sz w:val="22"/>
          <w:szCs w:val="22"/>
          <w:lang w:val="es-ES"/>
        </w:rPr>
        <w:t xml:space="preserve"> are </w:t>
      </w:r>
      <w:proofErr w:type="spellStart"/>
      <w:r>
        <w:rPr>
          <w:rFonts w:eastAsia="Palatino Linotype"/>
          <w:sz w:val="22"/>
          <w:szCs w:val="22"/>
          <w:lang w:val="es-ES"/>
        </w:rPr>
        <w:t>equal</w:t>
      </w:r>
      <w:proofErr w:type="spellEnd"/>
      <w:r>
        <w:rPr>
          <w:rFonts w:eastAsia="Palatino Linotype"/>
          <w:sz w:val="22"/>
          <w:szCs w:val="22"/>
          <w:lang w:val="es-ES"/>
        </w:rPr>
        <w:t xml:space="preserve"> in </w:t>
      </w:r>
      <w:proofErr w:type="spellStart"/>
      <w:r>
        <w:rPr>
          <w:rFonts w:eastAsia="Palatino Linotype"/>
          <w:sz w:val="22"/>
          <w:szCs w:val="22"/>
          <w:lang w:val="es-ES"/>
        </w:rPr>
        <w:t>value</w:t>
      </w:r>
      <w:proofErr w:type="spellEnd"/>
      <w:r>
        <w:rPr>
          <w:rFonts w:eastAsia="Palatino Linotype"/>
          <w:sz w:val="22"/>
          <w:szCs w:val="22"/>
          <w:lang w:val="es-ES"/>
        </w:rPr>
        <w:t xml:space="preserve">, a </w:t>
      </w:r>
      <w:proofErr w:type="spellStart"/>
      <w:r>
        <w:rPr>
          <w:rFonts w:eastAsia="Palatino Linotype"/>
          <w:sz w:val="22"/>
          <w:szCs w:val="22"/>
          <w:lang w:val="es-ES"/>
        </w:rPr>
        <w:t>downward</w:t>
      </w:r>
      <w:proofErr w:type="spellEnd"/>
      <w:r>
        <w:rPr>
          <w:rFonts w:eastAsia="Palatino Linotype"/>
          <w:sz w:val="22"/>
          <w:szCs w:val="22"/>
          <w:lang w:val="es-ES"/>
        </w:rPr>
        <w:t xml:space="preserve"> </w:t>
      </w:r>
      <w:proofErr w:type="spellStart"/>
      <w:r>
        <w:rPr>
          <w:rFonts w:eastAsia="Palatino Linotype"/>
          <w:sz w:val="22"/>
          <w:szCs w:val="22"/>
          <w:lang w:val="es-ES"/>
        </w:rPr>
        <w:t>price</w:t>
      </w:r>
      <w:proofErr w:type="spellEnd"/>
      <w:r>
        <w:rPr>
          <w:rFonts w:eastAsia="Palatino Linotype"/>
          <w:sz w:val="22"/>
          <w:szCs w:val="22"/>
          <w:lang w:val="es-ES"/>
        </w:rPr>
        <w:t xml:space="preserve"> </w:t>
      </w:r>
      <w:proofErr w:type="spellStart"/>
      <w:r>
        <w:rPr>
          <w:rFonts w:eastAsia="Palatino Linotype"/>
          <w:sz w:val="22"/>
          <w:szCs w:val="22"/>
          <w:lang w:val="es-ES"/>
        </w:rPr>
        <w:t>bidding</w:t>
      </w:r>
      <w:proofErr w:type="spellEnd"/>
      <w:r>
        <w:rPr>
          <w:rFonts w:eastAsia="Palatino Linotype"/>
          <w:sz w:val="22"/>
          <w:szCs w:val="22"/>
          <w:lang w:val="es-ES"/>
        </w:rPr>
        <w:t xml:space="preserve"> </w:t>
      </w:r>
      <w:proofErr w:type="spellStart"/>
      <w:r>
        <w:rPr>
          <w:rFonts w:eastAsia="Palatino Linotype"/>
          <w:sz w:val="22"/>
          <w:szCs w:val="22"/>
          <w:lang w:val="es-ES"/>
        </w:rPr>
        <w:t>process</w:t>
      </w:r>
      <w:proofErr w:type="spellEnd"/>
      <w:r>
        <w:rPr>
          <w:rFonts w:eastAsia="Palatino Linotype"/>
          <w:sz w:val="22"/>
          <w:szCs w:val="22"/>
          <w:lang w:val="es-ES"/>
        </w:rPr>
        <w:t xml:space="preserve"> </w:t>
      </w:r>
      <w:proofErr w:type="spellStart"/>
      <w:r>
        <w:rPr>
          <w:rFonts w:eastAsia="Palatino Linotype"/>
          <w:sz w:val="22"/>
          <w:szCs w:val="22"/>
          <w:lang w:val="es-ES"/>
        </w:rPr>
        <w:t>may</w:t>
      </w:r>
      <w:proofErr w:type="spellEnd"/>
      <w:r>
        <w:rPr>
          <w:rFonts w:eastAsia="Palatino Linotype"/>
          <w:sz w:val="22"/>
          <w:szCs w:val="22"/>
          <w:lang w:val="es-ES"/>
        </w:rPr>
        <w:t xml:space="preserve"> be </w:t>
      </w:r>
      <w:proofErr w:type="spellStart"/>
      <w:r>
        <w:rPr>
          <w:rFonts w:eastAsia="Palatino Linotype"/>
          <w:sz w:val="22"/>
          <w:szCs w:val="22"/>
          <w:lang w:val="es-ES"/>
        </w:rPr>
        <w:t>promoted</w:t>
      </w:r>
      <w:proofErr w:type="spellEnd"/>
      <w:r>
        <w:rPr>
          <w:rFonts w:eastAsia="Palatino Linotype"/>
          <w:sz w:val="22"/>
          <w:szCs w:val="22"/>
          <w:lang w:val="es-ES"/>
        </w:rPr>
        <w:t xml:space="preserve"> </w:t>
      </w:r>
      <w:proofErr w:type="spellStart"/>
      <w:r>
        <w:rPr>
          <w:rFonts w:eastAsia="Palatino Linotype"/>
          <w:sz w:val="22"/>
          <w:szCs w:val="22"/>
          <w:lang w:val="es-ES"/>
        </w:rPr>
        <w:t>between</w:t>
      </w:r>
      <w:proofErr w:type="spellEnd"/>
      <w:r>
        <w:rPr>
          <w:rFonts w:eastAsia="Palatino Linotype"/>
          <w:sz w:val="22"/>
          <w:szCs w:val="22"/>
          <w:lang w:val="es-ES"/>
        </w:rPr>
        <w:t xml:space="preserve"> </w:t>
      </w:r>
      <w:proofErr w:type="spellStart"/>
      <w:r>
        <w:rPr>
          <w:rFonts w:eastAsia="Palatino Linotype"/>
          <w:sz w:val="22"/>
          <w:szCs w:val="22"/>
          <w:lang w:val="es-ES"/>
        </w:rPr>
        <w:t>them</w:t>
      </w:r>
      <w:proofErr w:type="spellEnd"/>
      <w:r>
        <w:rPr>
          <w:rFonts w:eastAsia="Palatino Linotype"/>
          <w:sz w:val="22"/>
          <w:szCs w:val="22"/>
          <w:lang w:val="es-ES"/>
        </w:rPr>
        <w:t xml:space="preserve">, </w:t>
      </w:r>
      <w:proofErr w:type="spellStart"/>
      <w:r>
        <w:rPr>
          <w:rFonts w:eastAsia="Palatino Linotype"/>
          <w:sz w:val="22"/>
          <w:szCs w:val="22"/>
          <w:lang w:val="es-ES"/>
        </w:rPr>
        <w:t>the</w:t>
      </w:r>
      <w:proofErr w:type="spellEnd"/>
      <w:r>
        <w:rPr>
          <w:rFonts w:eastAsia="Palatino Linotype"/>
          <w:sz w:val="22"/>
          <w:szCs w:val="22"/>
          <w:lang w:val="es-ES"/>
        </w:rPr>
        <w:t xml:space="preserve"> </w:t>
      </w:r>
      <w:proofErr w:type="spellStart"/>
      <w:r>
        <w:rPr>
          <w:rFonts w:eastAsia="Palatino Linotype"/>
          <w:sz w:val="22"/>
          <w:szCs w:val="22"/>
          <w:lang w:val="es-ES"/>
        </w:rPr>
        <w:t>award</w:t>
      </w:r>
      <w:proofErr w:type="spellEnd"/>
      <w:r>
        <w:rPr>
          <w:rFonts w:eastAsia="Palatino Linotype"/>
          <w:sz w:val="22"/>
          <w:szCs w:val="22"/>
          <w:lang w:val="es-ES"/>
        </w:rPr>
        <w:t xml:space="preserve"> </w:t>
      </w:r>
      <w:proofErr w:type="spellStart"/>
      <w:r>
        <w:rPr>
          <w:rFonts w:eastAsia="Palatino Linotype"/>
          <w:sz w:val="22"/>
          <w:szCs w:val="22"/>
          <w:lang w:val="es-ES"/>
        </w:rPr>
        <w:t>may</w:t>
      </w:r>
      <w:proofErr w:type="spellEnd"/>
      <w:r>
        <w:rPr>
          <w:rFonts w:eastAsia="Palatino Linotype"/>
          <w:sz w:val="22"/>
          <w:szCs w:val="22"/>
          <w:lang w:val="es-ES"/>
        </w:rPr>
        <w:t xml:space="preserve"> be </w:t>
      </w:r>
      <w:proofErr w:type="spellStart"/>
      <w:r>
        <w:rPr>
          <w:rFonts w:eastAsia="Palatino Linotype"/>
          <w:sz w:val="22"/>
          <w:szCs w:val="22"/>
          <w:lang w:val="es-ES"/>
        </w:rPr>
        <w:t>divided</w:t>
      </w:r>
      <w:proofErr w:type="spellEnd"/>
      <w:r>
        <w:rPr>
          <w:rFonts w:eastAsia="Palatino Linotype"/>
          <w:sz w:val="22"/>
          <w:szCs w:val="22"/>
          <w:lang w:val="es-ES"/>
        </w:rPr>
        <w:t xml:space="preserve"> </w:t>
      </w:r>
      <w:proofErr w:type="spellStart"/>
      <w:r>
        <w:rPr>
          <w:rFonts w:eastAsia="Palatino Linotype"/>
          <w:sz w:val="22"/>
          <w:szCs w:val="22"/>
          <w:lang w:val="es-ES"/>
        </w:rPr>
        <w:t>between</w:t>
      </w:r>
      <w:proofErr w:type="spellEnd"/>
      <w:r>
        <w:rPr>
          <w:rFonts w:eastAsia="Palatino Linotype"/>
          <w:sz w:val="22"/>
          <w:szCs w:val="22"/>
          <w:lang w:val="es-ES"/>
        </w:rPr>
        <w:t xml:space="preserve"> </w:t>
      </w:r>
      <w:proofErr w:type="spellStart"/>
      <w:r>
        <w:rPr>
          <w:rFonts w:eastAsia="Palatino Linotype"/>
          <w:sz w:val="22"/>
          <w:szCs w:val="22"/>
          <w:lang w:val="es-ES"/>
        </w:rPr>
        <w:t>two</w:t>
      </w:r>
      <w:proofErr w:type="spellEnd"/>
      <w:r>
        <w:rPr>
          <w:rFonts w:eastAsia="Palatino Linotype"/>
          <w:sz w:val="22"/>
          <w:szCs w:val="22"/>
          <w:lang w:val="es-ES"/>
        </w:rPr>
        <w:t xml:space="preserve"> </w:t>
      </w:r>
      <w:proofErr w:type="spellStart"/>
      <w:r>
        <w:rPr>
          <w:rFonts w:eastAsia="Palatino Linotype"/>
          <w:sz w:val="22"/>
          <w:szCs w:val="22"/>
          <w:lang w:val="es-ES"/>
        </w:rPr>
        <w:t>or</w:t>
      </w:r>
      <w:proofErr w:type="spellEnd"/>
      <w:r>
        <w:rPr>
          <w:rFonts w:eastAsia="Palatino Linotype"/>
          <w:sz w:val="22"/>
          <w:szCs w:val="22"/>
          <w:lang w:val="es-ES"/>
        </w:rPr>
        <w:t xml:space="preserve"> more </w:t>
      </w:r>
      <w:proofErr w:type="spellStart"/>
      <w:r>
        <w:rPr>
          <w:rFonts w:eastAsia="Palatino Linotype"/>
          <w:sz w:val="22"/>
          <w:szCs w:val="22"/>
          <w:lang w:val="es-ES"/>
        </w:rPr>
        <w:t>bidders</w:t>
      </w:r>
      <w:proofErr w:type="spellEnd"/>
      <w:r>
        <w:rPr>
          <w:rFonts w:eastAsia="Palatino Linotype"/>
          <w:sz w:val="22"/>
          <w:szCs w:val="22"/>
          <w:lang w:val="es-ES"/>
        </w:rPr>
        <w:t xml:space="preserve">, </w:t>
      </w:r>
      <w:proofErr w:type="spellStart"/>
      <w:r>
        <w:rPr>
          <w:rFonts w:eastAsia="Palatino Linotype"/>
          <w:sz w:val="22"/>
          <w:szCs w:val="22"/>
          <w:lang w:val="es-ES"/>
        </w:rPr>
        <w:t>or</w:t>
      </w:r>
      <w:proofErr w:type="spellEnd"/>
      <w:r>
        <w:rPr>
          <w:rFonts w:eastAsia="Palatino Linotype"/>
          <w:sz w:val="22"/>
          <w:szCs w:val="22"/>
          <w:lang w:val="es-ES"/>
        </w:rPr>
        <w:t xml:space="preserve"> a </w:t>
      </w:r>
      <w:proofErr w:type="spellStart"/>
      <w:r>
        <w:rPr>
          <w:rFonts w:eastAsia="Palatino Linotype"/>
          <w:sz w:val="22"/>
          <w:szCs w:val="22"/>
          <w:lang w:val="es-ES"/>
        </w:rPr>
        <w:t>draw</w:t>
      </w:r>
      <w:proofErr w:type="spellEnd"/>
      <w:r>
        <w:rPr>
          <w:rFonts w:eastAsia="Palatino Linotype"/>
          <w:sz w:val="22"/>
          <w:szCs w:val="22"/>
          <w:lang w:val="es-ES"/>
        </w:rPr>
        <w:t xml:space="preserve"> </w:t>
      </w:r>
      <w:proofErr w:type="spellStart"/>
      <w:r>
        <w:rPr>
          <w:rFonts w:eastAsia="Palatino Linotype"/>
          <w:sz w:val="22"/>
          <w:szCs w:val="22"/>
          <w:lang w:val="es-ES"/>
        </w:rPr>
        <w:t>may</w:t>
      </w:r>
      <w:proofErr w:type="spellEnd"/>
      <w:r>
        <w:rPr>
          <w:rFonts w:eastAsia="Palatino Linotype"/>
          <w:sz w:val="22"/>
          <w:szCs w:val="22"/>
          <w:lang w:val="es-ES"/>
        </w:rPr>
        <w:t xml:space="preserve"> be </w:t>
      </w:r>
      <w:proofErr w:type="spellStart"/>
      <w:r>
        <w:rPr>
          <w:rFonts w:eastAsia="Palatino Linotype"/>
          <w:sz w:val="22"/>
          <w:szCs w:val="22"/>
          <w:lang w:val="es-ES"/>
        </w:rPr>
        <w:t>held</w:t>
      </w:r>
      <w:proofErr w:type="spellEnd"/>
      <w:r>
        <w:rPr>
          <w:rFonts w:eastAsia="Palatino Linotype"/>
          <w:sz w:val="22"/>
          <w:szCs w:val="22"/>
          <w:lang w:val="es-ES"/>
        </w:rPr>
        <w:t>.</w:t>
      </w:r>
    </w:p>
    <w:p w14:paraId="5276458E" w14:textId="77777777" w:rsidR="00E255F4" w:rsidRDefault="00E255F4">
      <w:pPr>
        <w:ind w:right="-142"/>
        <w:jc w:val="both"/>
        <w:rPr>
          <w:rFonts w:eastAsia="Palatino Linotype"/>
          <w:spacing w:val="-1"/>
          <w:sz w:val="22"/>
          <w:szCs w:val="22"/>
          <w:lang w:val="es-ES"/>
        </w:rPr>
      </w:pPr>
    </w:p>
    <w:p w14:paraId="1E573B92" w14:textId="77777777" w:rsidR="00E255F4" w:rsidRDefault="00000000">
      <w:pPr>
        <w:ind w:right="-142"/>
        <w:jc w:val="both"/>
        <w:outlineLvl w:val="0"/>
        <w:rPr>
          <w:rFonts w:eastAsia="Palatino Linotype"/>
          <w:b/>
          <w:spacing w:val="-1"/>
          <w:sz w:val="22"/>
          <w:szCs w:val="22"/>
          <w:lang w:val="es-ES"/>
        </w:rPr>
      </w:pPr>
      <w:bookmarkStart w:id="42" w:name="__RefHeading___Toc225377219"/>
      <w:bookmarkEnd w:id="42"/>
      <w:r>
        <w:rPr>
          <w:rFonts w:eastAsia="Palatino Linotype"/>
          <w:b/>
          <w:spacing w:val="-1"/>
          <w:sz w:val="22"/>
          <w:szCs w:val="22"/>
          <w:lang w:val="es-ES"/>
        </w:rPr>
        <w:t xml:space="preserve">13.5 </w:t>
      </w:r>
      <w:proofErr w:type="spellStart"/>
      <w:r>
        <w:rPr>
          <w:rFonts w:eastAsia="Palatino Linotype"/>
          <w:b/>
          <w:spacing w:val="-1"/>
          <w:sz w:val="22"/>
          <w:szCs w:val="22"/>
          <w:lang w:val="es-ES"/>
        </w:rPr>
        <w:t>Negotiations</w:t>
      </w:r>
      <w:proofErr w:type="spellEnd"/>
      <w:r>
        <w:rPr>
          <w:rFonts w:eastAsia="Palatino Linotype"/>
          <w:b/>
          <w:spacing w:val="-1"/>
          <w:sz w:val="22"/>
          <w:szCs w:val="22"/>
          <w:lang w:val="es-ES"/>
        </w:rPr>
        <w:tab/>
      </w:r>
    </w:p>
    <w:p w14:paraId="1395017F" w14:textId="77777777" w:rsidR="00E255F4" w:rsidRDefault="00E255F4">
      <w:pPr>
        <w:ind w:right="-142"/>
        <w:jc w:val="both"/>
        <w:rPr>
          <w:rFonts w:eastAsia="Palatino Linotype"/>
          <w:b/>
          <w:spacing w:val="-1"/>
          <w:sz w:val="22"/>
          <w:szCs w:val="22"/>
          <w:lang w:val="es-ES"/>
        </w:rPr>
      </w:pPr>
    </w:p>
    <w:p w14:paraId="5667141E" w14:textId="77777777" w:rsidR="00E255F4" w:rsidRDefault="00000000">
      <w:pPr>
        <w:ind w:right="-142"/>
        <w:jc w:val="both"/>
        <w:rPr>
          <w:rFonts w:eastAsia="Palatino Linotype"/>
          <w:sz w:val="22"/>
          <w:szCs w:val="22"/>
          <w:lang w:val="es-ES"/>
        </w:rPr>
      </w:pPr>
      <w:proofErr w:type="spellStart"/>
      <w:r>
        <w:rPr>
          <w:rFonts w:eastAsia="Palatino Linotype"/>
          <w:spacing w:val="-1"/>
          <w:sz w:val="22"/>
          <w:szCs w:val="22"/>
          <w:lang w:val="es-ES"/>
        </w:rPr>
        <w:t>AND</w:t>
      </w:r>
      <w:r>
        <w:rPr>
          <w:rFonts w:eastAsia="Palatino Linotype"/>
          <w:sz w:val="22"/>
          <w:szCs w:val="22"/>
          <w:lang w:val="es-ES"/>
        </w:rPr>
        <w:t>The</w:t>
      </w:r>
      <w:proofErr w:type="spellEnd"/>
      <w:r>
        <w:rPr>
          <w:rFonts w:eastAsia="Palatino Linotype"/>
          <w:sz w:val="22"/>
          <w:szCs w:val="22"/>
          <w:lang w:val="es-ES"/>
        </w:rPr>
        <w:t xml:space="preserve"> Special </w:t>
      </w:r>
      <w:proofErr w:type="spellStart"/>
      <w:r>
        <w:rPr>
          <w:rFonts w:eastAsia="Palatino Linotype"/>
          <w:sz w:val="22"/>
          <w:szCs w:val="22"/>
          <w:lang w:val="es-ES"/>
        </w:rPr>
        <w:t>Specifications</w:t>
      </w:r>
      <w:proofErr w:type="spellEnd"/>
      <w:r>
        <w:rPr>
          <w:rFonts w:eastAsia="Palatino Linotype"/>
          <w:sz w:val="22"/>
          <w:szCs w:val="22"/>
          <w:lang w:val="es-ES"/>
        </w:rPr>
        <w:t xml:space="preserve"> </w:t>
      </w:r>
      <w:proofErr w:type="spellStart"/>
      <w:r>
        <w:rPr>
          <w:rFonts w:eastAsia="Palatino Linotype"/>
          <w:sz w:val="22"/>
          <w:szCs w:val="22"/>
          <w:lang w:val="es-ES"/>
        </w:rPr>
        <w:t>may</w:t>
      </w:r>
      <w:proofErr w:type="spellEnd"/>
      <w:r>
        <w:rPr>
          <w:rFonts w:eastAsia="Palatino Linotype"/>
          <w:sz w:val="22"/>
          <w:szCs w:val="22"/>
          <w:lang w:val="es-ES"/>
        </w:rPr>
        <w:t xml:space="preserve"> </w:t>
      </w:r>
      <w:proofErr w:type="spellStart"/>
      <w:r>
        <w:rPr>
          <w:rFonts w:eastAsia="Palatino Linotype"/>
          <w:sz w:val="22"/>
          <w:szCs w:val="22"/>
          <w:lang w:val="es-ES"/>
        </w:rPr>
        <w:t>establish</w:t>
      </w:r>
      <w:proofErr w:type="spellEnd"/>
      <w:r>
        <w:rPr>
          <w:rFonts w:eastAsia="Palatino Linotype"/>
          <w:sz w:val="22"/>
          <w:szCs w:val="22"/>
          <w:lang w:val="es-ES"/>
        </w:rPr>
        <w:t xml:space="preserve"> </w:t>
      </w:r>
      <w:proofErr w:type="spellStart"/>
      <w:r>
        <w:rPr>
          <w:rFonts w:eastAsia="Palatino Linotype"/>
          <w:sz w:val="22"/>
          <w:szCs w:val="22"/>
          <w:lang w:val="es-ES"/>
        </w:rPr>
        <w:t>that</w:t>
      </w:r>
      <w:proofErr w:type="spellEnd"/>
      <w:r>
        <w:rPr>
          <w:rFonts w:eastAsia="Palatino Linotype"/>
          <w:sz w:val="22"/>
          <w:szCs w:val="22"/>
          <w:lang w:val="es-ES"/>
        </w:rPr>
        <w:t xml:space="preserve"> </w:t>
      </w:r>
      <w:proofErr w:type="spellStart"/>
      <w:r>
        <w:rPr>
          <w:rFonts w:eastAsia="Palatino Linotype"/>
          <w:sz w:val="22"/>
          <w:szCs w:val="22"/>
          <w:lang w:val="es-ES"/>
        </w:rPr>
        <w:t>if</w:t>
      </w:r>
      <w:proofErr w:type="spellEnd"/>
      <w:r>
        <w:rPr>
          <w:rFonts w:eastAsia="Palatino Linotype"/>
          <w:sz w:val="22"/>
          <w:szCs w:val="22"/>
          <w:lang w:val="es-ES"/>
        </w:rPr>
        <w:t xml:space="preserve"> </w:t>
      </w:r>
      <w:proofErr w:type="spellStart"/>
      <w:r>
        <w:rPr>
          <w:rFonts w:eastAsia="Palatino Linotype"/>
          <w:sz w:val="22"/>
          <w:szCs w:val="22"/>
          <w:lang w:val="es-ES"/>
        </w:rPr>
        <w:t>there</w:t>
      </w:r>
      <w:proofErr w:type="spellEnd"/>
      <w:r>
        <w:rPr>
          <w:rFonts w:eastAsia="Palatino Linotype"/>
          <w:sz w:val="22"/>
          <w:szCs w:val="22"/>
          <w:lang w:val="es-ES"/>
        </w:rPr>
        <w:t xml:space="preserve"> are similar </w:t>
      </w:r>
      <w:proofErr w:type="spellStart"/>
      <w:r>
        <w:rPr>
          <w:rFonts w:eastAsia="Palatino Linotype"/>
          <w:sz w:val="22"/>
          <w:szCs w:val="22"/>
          <w:lang w:val="es-ES"/>
        </w:rPr>
        <w:t>offers</w:t>
      </w:r>
      <w:proofErr w:type="spellEnd"/>
      <w:r>
        <w:rPr>
          <w:rFonts w:eastAsia="Palatino Linotype"/>
          <w:sz w:val="22"/>
          <w:szCs w:val="22"/>
          <w:lang w:val="es-ES"/>
        </w:rPr>
        <w:t xml:space="preserve"> in </w:t>
      </w:r>
      <w:proofErr w:type="spellStart"/>
      <w:r>
        <w:rPr>
          <w:rFonts w:eastAsia="Palatino Linotype"/>
          <w:sz w:val="22"/>
          <w:szCs w:val="22"/>
          <w:lang w:val="es-ES"/>
        </w:rPr>
        <w:t>the</w:t>
      </w:r>
      <w:proofErr w:type="spellEnd"/>
      <w:r>
        <w:rPr>
          <w:rFonts w:eastAsia="Palatino Linotype"/>
          <w:sz w:val="22"/>
          <w:szCs w:val="22"/>
          <w:lang w:val="es-ES"/>
        </w:rPr>
        <w:t xml:space="preserve"> </w:t>
      </w:r>
      <w:proofErr w:type="spellStart"/>
      <w:r>
        <w:rPr>
          <w:rFonts w:eastAsia="Palatino Linotype"/>
          <w:sz w:val="22"/>
          <w:szCs w:val="22"/>
          <w:lang w:val="es-ES"/>
        </w:rPr>
        <w:t>terms</w:t>
      </w:r>
      <w:proofErr w:type="spellEnd"/>
      <w:r>
        <w:rPr>
          <w:rFonts w:eastAsia="Palatino Linotype"/>
          <w:sz w:val="22"/>
          <w:szCs w:val="22"/>
          <w:lang w:val="es-ES"/>
        </w:rPr>
        <w:t xml:space="preserve"> </w:t>
      </w:r>
      <w:proofErr w:type="spellStart"/>
      <w:r>
        <w:rPr>
          <w:rFonts w:eastAsia="Palatino Linotype"/>
          <w:sz w:val="22"/>
          <w:szCs w:val="22"/>
          <w:lang w:val="es-ES"/>
        </w:rPr>
        <w:t>defined</w:t>
      </w:r>
      <w:proofErr w:type="spellEnd"/>
      <w:r>
        <w:rPr>
          <w:rFonts w:eastAsia="Palatino Linotype"/>
          <w:sz w:val="22"/>
          <w:szCs w:val="22"/>
          <w:lang w:val="es-ES"/>
        </w:rPr>
        <w:t xml:space="preserve"> </w:t>
      </w:r>
      <w:proofErr w:type="spellStart"/>
      <w:r>
        <w:rPr>
          <w:rFonts w:eastAsia="Palatino Linotype"/>
          <w:sz w:val="22"/>
          <w:szCs w:val="22"/>
          <w:lang w:val="es-ES"/>
        </w:rPr>
        <w:t>by</w:t>
      </w:r>
      <w:proofErr w:type="spellEnd"/>
      <w:r>
        <w:rPr>
          <w:rFonts w:eastAsia="Palatino Linotype"/>
          <w:sz w:val="22"/>
          <w:szCs w:val="22"/>
          <w:lang w:val="es-ES"/>
        </w:rPr>
        <w:t xml:space="preserve"> </w:t>
      </w:r>
      <w:proofErr w:type="spellStart"/>
      <w:r>
        <w:rPr>
          <w:rFonts w:eastAsia="Palatino Linotype"/>
          <w:sz w:val="22"/>
          <w:szCs w:val="22"/>
          <w:lang w:val="es-ES"/>
        </w:rPr>
        <w:t>Article</w:t>
      </w:r>
      <w:proofErr w:type="spellEnd"/>
      <w:r>
        <w:rPr>
          <w:rFonts w:eastAsia="Palatino Linotype"/>
          <w:sz w:val="22"/>
          <w:szCs w:val="22"/>
          <w:lang w:val="es-ES"/>
        </w:rPr>
        <w:t xml:space="preserve"> 66 </w:t>
      </w:r>
      <w:proofErr w:type="spellStart"/>
      <w:r>
        <w:rPr>
          <w:rFonts w:eastAsia="Palatino Linotype"/>
          <w:sz w:val="22"/>
          <w:szCs w:val="22"/>
          <w:lang w:val="es-ES"/>
        </w:rPr>
        <w:t>of</w:t>
      </w:r>
      <w:proofErr w:type="spellEnd"/>
      <w:r>
        <w:rPr>
          <w:rFonts w:eastAsia="Palatino Linotype"/>
          <w:sz w:val="22"/>
          <w:szCs w:val="22"/>
          <w:lang w:val="es-ES"/>
        </w:rPr>
        <w:t xml:space="preserve"> </w:t>
      </w:r>
      <w:proofErr w:type="spellStart"/>
      <w:r>
        <w:rPr>
          <w:rFonts w:eastAsia="Palatino Linotype"/>
          <w:sz w:val="22"/>
          <w:szCs w:val="22"/>
          <w:lang w:val="es-ES"/>
        </w:rPr>
        <w:t>the</w:t>
      </w:r>
      <w:proofErr w:type="spellEnd"/>
      <w:r>
        <w:rPr>
          <w:rFonts w:eastAsia="Palatino Linotype"/>
          <w:sz w:val="22"/>
          <w:szCs w:val="22"/>
          <w:lang w:val="es-ES"/>
        </w:rPr>
        <w:t xml:space="preserve"> TOCAF, </w:t>
      </w:r>
      <w:proofErr w:type="spellStart"/>
      <w:r>
        <w:rPr>
          <w:rFonts w:eastAsia="Palatino Linotype"/>
          <w:sz w:val="22"/>
          <w:szCs w:val="22"/>
          <w:lang w:val="es-ES"/>
        </w:rPr>
        <w:t>negotiations</w:t>
      </w:r>
      <w:proofErr w:type="spellEnd"/>
      <w:r>
        <w:rPr>
          <w:rFonts w:eastAsia="Palatino Linotype"/>
          <w:sz w:val="22"/>
          <w:szCs w:val="22"/>
          <w:lang w:val="es-ES"/>
        </w:rPr>
        <w:t xml:space="preserve"> </w:t>
      </w:r>
      <w:proofErr w:type="spellStart"/>
      <w:r>
        <w:rPr>
          <w:rFonts w:eastAsia="Palatino Linotype"/>
          <w:sz w:val="22"/>
          <w:szCs w:val="22"/>
          <w:lang w:val="es-ES"/>
        </w:rPr>
        <w:t>may</w:t>
      </w:r>
      <w:proofErr w:type="spellEnd"/>
      <w:r>
        <w:rPr>
          <w:rFonts w:eastAsia="Palatino Linotype"/>
          <w:sz w:val="22"/>
          <w:szCs w:val="22"/>
          <w:lang w:val="es-ES"/>
        </w:rPr>
        <w:t xml:space="preserve"> be </w:t>
      </w:r>
      <w:proofErr w:type="spellStart"/>
      <w:r>
        <w:rPr>
          <w:rFonts w:eastAsia="Palatino Linotype"/>
          <w:sz w:val="22"/>
          <w:szCs w:val="22"/>
          <w:lang w:val="es-ES"/>
        </w:rPr>
        <w:t>entered</w:t>
      </w:r>
      <w:proofErr w:type="spellEnd"/>
      <w:r>
        <w:rPr>
          <w:rFonts w:eastAsia="Palatino Linotype"/>
          <w:sz w:val="22"/>
          <w:szCs w:val="22"/>
          <w:lang w:val="es-ES"/>
        </w:rPr>
        <w:t xml:space="preserve"> </w:t>
      </w:r>
      <w:proofErr w:type="spellStart"/>
      <w:r>
        <w:rPr>
          <w:rFonts w:eastAsia="Palatino Linotype"/>
          <w:sz w:val="22"/>
          <w:szCs w:val="22"/>
          <w:lang w:val="es-ES"/>
        </w:rPr>
        <w:t>into</w:t>
      </w:r>
      <w:proofErr w:type="spellEnd"/>
      <w:r>
        <w:rPr>
          <w:rFonts w:eastAsia="Palatino Linotype"/>
          <w:sz w:val="22"/>
          <w:szCs w:val="22"/>
          <w:lang w:val="es-ES"/>
        </w:rPr>
        <w:t xml:space="preserve"> </w:t>
      </w:r>
      <w:proofErr w:type="spellStart"/>
      <w:r>
        <w:rPr>
          <w:rFonts w:eastAsia="Palatino Linotype"/>
          <w:sz w:val="22"/>
          <w:szCs w:val="22"/>
          <w:lang w:val="es-ES"/>
        </w:rPr>
        <w:t>with</w:t>
      </w:r>
      <w:proofErr w:type="spellEnd"/>
      <w:r>
        <w:rPr>
          <w:rFonts w:eastAsia="Palatino Linotype"/>
          <w:sz w:val="22"/>
          <w:szCs w:val="22"/>
          <w:lang w:val="es-ES"/>
        </w:rPr>
        <w:t xml:space="preserve"> </w:t>
      </w:r>
      <w:proofErr w:type="spellStart"/>
      <w:r>
        <w:rPr>
          <w:rFonts w:eastAsia="Palatino Linotype"/>
          <w:sz w:val="22"/>
          <w:szCs w:val="22"/>
          <w:lang w:val="es-ES"/>
        </w:rPr>
        <w:t>the</w:t>
      </w:r>
      <w:proofErr w:type="spellEnd"/>
      <w:r>
        <w:rPr>
          <w:rFonts w:eastAsia="Palatino Linotype"/>
          <w:sz w:val="22"/>
          <w:szCs w:val="22"/>
          <w:lang w:val="es-ES"/>
        </w:rPr>
        <w:t xml:space="preserve"> respective </w:t>
      </w:r>
      <w:proofErr w:type="spellStart"/>
      <w:r>
        <w:rPr>
          <w:rFonts w:eastAsia="Palatino Linotype"/>
          <w:sz w:val="22"/>
          <w:szCs w:val="22"/>
          <w:lang w:val="es-ES"/>
        </w:rPr>
        <w:t>bidders</w:t>
      </w:r>
      <w:proofErr w:type="spellEnd"/>
      <w:r>
        <w:rPr>
          <w:rFonts w:eastAsia="Palatino Linotype"/>
          <w:sz w:val="22"/>
          <w:szCs w:val="22"/>
          <w:lang w:val="es-ES"/>
        </w:rPr>
        <w:t xml:space="preserve">, in </w:t>
      </w:r>
      <w:proofErr w:type="spellStart"/>
      <w:r>
        <w:rPr>
          <w:rFonts w:eastAsia="Palatino Linotype"/>
          <w:sz w:val="22"/>
          <w:szCs w:val="22"/>
          <w:lang w:val="es-ES"/>
        </w:rPr>
        <w:t>order</w:t>
      </w:r>
      <w:proofErr w:type="spellEnd"/>
      <w:r>
        <w:rPr>
          <w:rFonts w:eastAsia="Palatino Linotype"/>
          <w:sz w:val="22"/>
          <w:szCs w:val="22"/>
          <w:lang w:val="es-ES"/>
        </w:rPr>
        <w:t xml:space="preserve"> </w:t>
      </w:r>
      <w:proofErr w:type="spellStart"/>
      <w:r>
        <w:rPr>
          <w:rFonts w:eastAsia="Palatino Linotype"/>
          <w:sz w:val="22"/>
          <w:szCs w:val="22"/>
          <w:lang w:val="es-ES"/>
        </w:rPr>
        <w:t>to</w:t>
      </w:r>
      <w:proofErr w:type="spellEnd"/>
      <w:r>
        <w:rPr>
          <w:rFonts w:eastAsia="Palatino Linotype"/>
          <w:sz w:val="22"/>
          <w:szCs w:val="22"/>
          <w:lang w:val="es-ES"/>
        </w:rPr>
        <w:t xml:space="preserve"> </w:t>
      </w:r>
      <w:proofErr w:type="spellStart"/>
      <w:r>
        <w:rPr>
          <w:rFonts w:eastAsia="Palatino Linotype"/>
          <w:sz w:val="22"/>
          <w:szCs w:val="22"/>
          <w:lang w:val="es-ES"/>
        </w:rPr>
        <w:t>obtain</w:t>
      </w:r>
      <w:proofErr w:type="spellEnd"/>
      <w:r>
        <w:rPr>
          <w:rFonts w:eastAsia="Palatino Linotype"/>
          <w:sz w:val="22"/>
          <w:szCs w:val="22"/>
          <w:lang w:val="es-ES"/>
        </w:rPr>
        <w:t xml:space="preserve"> </w:t>
      </w:r>
      <w:proofErr w:type="spellStart"/>
      <w:r>
        <w:rPr>
          <w:rFonts w:eastAsia="Palatino Linotype"/>
          <w:sz w:val="22"/>
          <w:szCs w:val="22"/>
          <w:lang w:val="es-ES"/>
        </w:rPr>
        <w:t>better</w:t>
      </w:r>
      <w:proofErr w:type="spellEnd"/>
      <w:r>
        <w:rPr>
          <w:rFonts w:eastAsia="Palatino Linotype"/>
          <w:sz w:val="22"/>
          <w:szCs w:val="22"/>
          <w:lang w:val="es-ES"/>
        </w:rPr>
        <w:t xml:space="preserve"> </w:t>
      </w:r>
      <w:proofErr w:type="spellStart"/>
      <w:r>
        <w:rPr>
          <w:rFonts w:eastAsia="Palatino Linotype"/>
          <w:sz w:val="22"/>
          <w:szCs w:val="22"/>
          <w:lang w:val="es-ES"/>
        </w:rPr>
        <w:t>technical</w:t>
      </w:r>
      <w:proofErr w:type="spellEnd"/>
      <w:r>
        <w:rPr>
          <w:rFonts w:eastAsia="Palatino Linotype"/>
          <w:sz w:val="22"/>
          <w:szCs w:val="22"/>
          <w:lang w:val="es-ES"/>
        </w:rPr>
        <w:t xml:space="preserve">, </w:t>
      </w:r>
      <w:proofErr w:type="spellStart"/>
      <w:r>
        <w:rPr>
          <w:rFonts w:eastAsia="Palatino Linotype"/>
          <w:sz w:val="22"/>
          <w:szCs w:val="22"/>
          <w:lang w:val="es-ES"/>
        </w:rPr>
        <w:t>quality</w:t>
      </w:r>
      <w:proofErr w:type="spellEnd"/>
      <w:r>
        <w:rPr>
          <w:rFonts w:eastAsia="Palatino Linotype"/>
          <w:sz w:val="22"/>
          <w:szCs w:val="22"/>
          <w:lang w:val="es-ES"/>
        </w:rPr>
        <w:t xml:space="preserve"> </w:t>
      </w:r>
      <w:proofErr w:type="spellStart"/>
      <w:r>
        <w:rPr>
          <w:rFonts w:eastAsia="Palatino Linotype"/>
          <w:sz w:val="22"/>
          <w:szCs w:val="22"/>
          <w:lang w:val="es-ES"/>
        </w:rPr>
        <w:t>or</w:t>
      </w:r>
      <w:proofErr w:type="spellEnd"/>
      <w:r>
        <w:rPr>
          <w:rFonts w:eastAsia="Palatino Linotype"/>
          <w:sz w:val="22"/>
          <w:szCs w:val="22"/>
          <w:lang w:val="es-ES"/>
        </w:rPr>
        <w:t xml:space="preserve"> </w:t>
      </w:r>
      <w:proofErr w:type="spellStart"/>
      <w:r>
        <w:rPr>
          <w:rFonts w:eastAsia="Palatino Linotype"/>
          <w:sz w:val="22"/>
          <w:szCs w:val="22"/>
          <w:lang w:val="es-ES"/>
        </w:rPr>
        <w:t>price</w:t>
      </w:r>
      <w:proofErr w:type="spellEnd"/>
      <w:r>
        <w:rPr>
          <w:rFonts w:eastAsia="Palatino Linotype"/>
          <w:sz w:val="22"/>
          <w:szCs w:val="22"/>
          <w:lang w:val="es-ES"/>
        </w:rPr>
        <w:t xml:space="preserve"> </w:t>
      </w:r>
      <w:proofErr w:type="spellStart"/>
      <w:r>
        <w:rPr>
          <w:rFonts w:eastAsia="Palatino Linotype"/>
          <w:sz w:val="22"/>
          <w:szCs w:val="22"/>
          <w:lang w:val="es-ES"/>
        </w:rPr>
        <w:t>conditions</w:t>
      </w:r>
      <w:proofErr w:type="spellEnd"/>
      <w:r>
        <w:rPr>
          <w:rFonts w:eastAsia="Palatino Linotype"/>
          <w:sz w:val="22"/>
          <w:szCs w:val="22"/>
          <w:lang w:val="es-ES"/>
        </w:rPr>
        <w:t>.</w:t>
      </w:r>
    </w:p>
    <w:p w14:paraId="4B7B9877" w14:textId="77777777" w:rsidR="00E255F4" w:rsidRDefault="00E255F4">
      <w:pPr>
        <w:ind w:right="-142"/>
        <w:jc w:val="both"/>
        <w:rPr>
          <w:rFonts w:eastAsia="Palatino Linotype"/>
          <w:sz w:val="22"/>
          <w:szCs w:val="22"/>
          <w:lang w:val="es-ES"/>
        </w:rPr>
      </w:pPr>
    </w:p>
    <w:p w14:paraId="5F94F7B4" w14:textId="77777777" w:rsidR="00E255F4" w:rsidRDefault="00000000">
      <w:pPr>
        <w:ind w:right="-142"/>
        <w:jc w:val="both"/>
        <w:rPr>
          <w:rFonts w:eastAsia="Palatino Linotype"/>
          <w:sz w:val="22"/>
          <w:szCs w:val="22"/>
          <w:lang w:val="es-ES"/>
        </w:rPr>
      </w:pPr>
      <w:proofErr w:type="spellStart"/>
      <w:r>
        <w:rPr>
          <w:rFonts w:eastAsia="Palatino Linotype"/>
          <w:spacing w:val="-3"/>
          <w:sz w:val="22"/>
          <w:szCs w:val="22"/>
          <w:lang w:val="es-ES"/>
        </w:rPr>
        <w:t>S</w:t>
      </w:r>
      <w:r>
        <w:rPr>
          <w:rFonts w:eastAsia="Palatino Linotype"/>
          <w:sz w:val="22"/>
          <w:szCs w:val="22"/>
          <w:lang w:val="es-ES"/>
        </w:rPr>
        <w:t>Offers</w:t>
      </w:r>
      <w:proofErr w:type="spellEnd"/>
      <w:r>
        <w:rPr>
          <w:rFonts w:eastAsia="Palatino Linotype"/>
          <w:sz w:val="22"/>
          <w:szCs w:val="22"/>
          <w:lang w:val="es-ES"/>
        </w:rPr>
        <w:t xml:space="preserve"> </w:t>
      </w:r>
      <w:proofErr w:type="spellStart"/>
      <w:r>
        <w:rPr>
          <w:rFonts w:eastAsia="Palatino Linotype"/>
          <w:sz w:val="22"/>
          <w:szCs w:val="22"/>
          <w:lang w:val="es-ES"/>
        </w:rPr>
        <w:t>will</w:t>
      </w:r>
      <w:proofErr w:type="spellEnd"/>
      <w:r>
        <w:rPr>
          <w:rFonts w:eastAsia="Palatino Linotype"/>
          <w:sz w:val="22"/>
          <w:szCs w:val="22"/>
          <w:lang w:val="es-ES"/>
        </w:rPr>
        <w:t xml:space="preserve"> be </w:t>
      </w:r>
      <w:proofErr w:type="spellStart"/>
      <w:r>
        <w:rPr>
          <w:rFonts w:eastAsia="Palatino Linotype"/>
          <w:sz w:val="22"/>
          <w:szCs w:val="22"/>
          <w:lang w:val="es-ES"/>
        </w:rPr>
        <w:t>considered</w:t>
      </w:r>
      <w:proofErr w:type="spellEnd"/>
      <w:r>
        <w:rPr>
          <w:rFonts w:eastAsia="Palatino Linotype"/>
          <w:sz w:val="22"/>
          <w:szCs w:val="22"/>
          <w:lang w:val="es-ES"/>
        </w:rPr>
        <w:t xml:space="preserve"> similar </w:t>
      </w:r>
      <w:proofErr w:type="spellStart"/>
      <w:r>
        <w:rPr>
          <w:rFonts w:eastAsia="Palatino Linotype"/>
          <w:sz w:val="22"/>
          <w:szCs w:val="22"/>
          <w:lang w:val="es-ES"/>
        </w:rPr>
        <w:t>when</w:t>
      </w:r>
      <w:proofErr w:type="spellEnd"/>
      <w:r>
        <w:rPr>
          <w:rFonts w:eastAsia="Palatino Linotype"/>
          <w:sz w:val="22"/>
          <w:szCs w:val="22"/>
          <w:lang w:val="es-ES"/>
        </w:rPr>
        <w:t xml:space="preserve"> </w:t>
      </w:r>
      <w:proofErr w:type="spellStart"/>
      <w:r>
        <w:rPr>
          <w:rFonts w:eastAsia="Palatino Linotype"/>
          <w:sz w:val="22"/>
          <w:szCs w:val="22"/>
          <w:lang w:val="es-ES"/>
        </w:rPr>
        <w:t>their</w:t>
      </w:r>
      <w:proofErr w:type="spellEnd"/>
      <w:r>
        <w:rPr>
          <w:rFonts w:eastAsia="Palatino Linotype"/>
          <w:sz w:val="22"/>
          <w:szCs w:val="22"/>
          <w:lang w:val="es-ES"/>
        </w:rPr>
        <w:t xml:space="preserve"> rating </w:t>
      </w:r>
      <w:proofErr w:type="spellStart"/>
      <w:r>
        <w:rPr>
          <w:rFonts w:eastAsia="Palatino Linotype"/>
          <w:sz w:val="22"/>
          <w:szCs w:val="22"/>
          <w:lang w:val="es-ES"/>
        </w:rPr>
        <w:t>is</w:t>
      </w:r>
      <w:proofErr w:type="spellEnd"/>
      <w:r>
        <w:rPr>
          <w:rFonts w:eastAsia="Palatino Linotype"/>
          <w:sz w:val="22"/>
          <w:szCs w:val="22"/>
          <w:lang w:val="es-ES"/>
        </w:rPr>
        <w:t xml:space="preserve"> similar </w:t>
      </w:r>
      <w:proofErr w:type="spellStart"/>
      <w:r>
        <w:rPr>
          <w:rFonts w:eastAsia="Palatino Linotype"/>
          <w:sz w:val="22"/>
          <w:szCs w:val="22"/>
          <w:lang w:val="es-ES"/>
        </w:rPr>
        <w:t>or</w:t>
      </w:r>
      <w:proofErr w:type="spellEnd"/>
      <w:r>
        <w:rPr>
          <w:rFonts w:eastAsia="Palatino Linotype"/>
          <w:sz w:val="22"/>
          <w:szCs w:val="22"/>
          <w:lang w:val="es-ES"/>
        </w:rPr>
        <w:t xml:space="preserve"> </w:t>
      </w:r>
      <w:proofErr w:type="spellStart"/>
      <w:r>
        <w:rPr>
          <w:rFonts w:eastAsia="Palatino Linotype"/>
          <w:sz w:val="22"/>
          <w:szCs w:val="22"/>
          <w:lang w:val="es-ES"/>
        </w:rPr>
        <w:t>their</w:t>
      </w:r>
      <w:proofErr w:type="spellEnd"/>
      <w:r>
        <w:rPr>
          <w:rFonts w:eastAsia="Palatino Linotype"/>
          <w:sz w:val="22"/>
          <w:szCs w:val="22"/>
          <w:lang w:val="es-ES"/>
        </w:rPr>
        <w:t xml:space="preserve"> </w:t>
      </w:r>
      <w:proofErr w:type="spellStart"/>
      <w:r>
        <w:rPr>
          <w:rFonts w:eastAsia="Palatino Linotype"/>
          <w:sz w:val="22"/>
          <w:szCs w:val="22"/>
          <w:lang w:val="es-ES"/>
        </w:rPr>
        <w:t>price</w:t>
      </w:r>
      <w:proofErr w:type="spellEnd"/>
      <w:r>
        <w:rPr>
          <w:rFonts w:eastAsia="Palatino Linotype"/>
          <w:sz w:val="22"/>
          <w:szCs w:val="22"/>
          <w:lang w:val="es-ES"/>
        </w:rPr>
        <w:t xml:space="preserve"> </w:t>
      </w:r>
      <w:proofErr w:type="spellStart"/>
      <w:r>
        <w:rPr>
          <w:rFonts w:eastAsia="Palatino Linotype"/>
          <w:sz w:val="22"/>
          <w:szCs w:val="22"/>
          <w:lang w:val="es-ES"/>
        </w:rPr>
        <w:t>is</w:t>
      </w:r>
      <w:proofErr w:type="spellEnd"/>
      <w:r>
        <w:rPr>
          <w:rFonts w:eastAsia="Palatino Linotype"/>
          <w:sz w:val="22"/>
          <w:szCs w:val="22"/>
          <w:lang w:val="es-ES"/>
        </w:rPr>
        <w:t xml:space="preserve"> similar, </w:t>
      </w:r>
      <w:proofErr w:type="spellStart"/>
      <w:r>
        <w:rPr>
          <w:rFonts w:eastAsia="Palatino Linotype"/>
          <w:sz w:val="22"/>
          <w:szCs w:val="22"/>
          <w:lang w:val="es-ES"/>
        </w:rPr>
        <w:t>according</w:t>
      </w:r>
      <w:proofErr w:type="spellEnd"/>
      <w:r>
        <w:rPr>
          <w:rFonts w:eastAsia="Palatino Linotype"/>
          <w:sz w:val="22"/>
          <w:szCs w:val="22"/>
          <w:lang w:val="es-ES"/>
        </w:rPr>
        <w:t xml:space="preserve"> </w:t>
      </w:r>
      <w:proofErr w:type="spellStart"/>
      <w:r>
        <w:rPr>
          <w:rFonts w:eastAsia="Palatino Linotype"/>
          <w:sz w:val="22"/>
          <w:szCs w:val="22"/>
          <w:lang w:val="es-ES"/>
        </w:rPr>
        <w:t>to</w:t>
      </w:r>
      <w:proofErr w:type="spellEnd"/>
      <w:r>
        <w:rPr>
          <w:rFonts w:eastAsia="Palatino Linotype"/>
          <w:sz w:val="22"/>
          <w:szCs w:val="22"/>
          <w:lang w:val="es-ES"/>
        </w:rPr>
        <w:t xml:space="preserve"> </w:t>
      </w:r>
      <w:proofErr w:type="spellStart"/>
      <w:r>
        <w:rPr>
          <w:rFonts w:eastAsia="Palatino Linotype"/>
          <w:sz w:val="22"/>
          <w:szCs w:val="22"/>
          <w:lang w:val="es-ES"/>
        </w:rPr>
        <w:t>the</w:t>
      </w:r>
      <w:proofErr w:type="spellEnd"/>
      <w:r>
        <w:rPr>
          <w:rFonts w:eastAsia="Palatino Linotype"/>
          <w:sz w:val="22"/>
          <w:szCs w:val="22"/>
          <w:lang w:val="es-ES"/>
        </w:rPr>
        <w:t xml:space="preserve"> </w:t>
      </w:r>
      <w:proofErr w:type="spellStart"/>
      <w:r>
        <w:rPr>
          <w:rFonts w:eastAsia="Palatino Linotype"/>
          <w:sz w:val="22"/>
          <w:szCs w:val="22"/>
          <w:lang w:val="es-ES"/>
        </w:rPr>
        <w:t>evaluation</w:t>
      </w:r>
      <w:proofErr w:type="spellEnd"/>
      <w:r>
        <w:rPr>
          <w:rFonts w:eastAsia="Palatino Linotype"/>
          <w:sz w:val="22"/>
          <w:szCs w:val="22"/>
          <w:lang w:val="es-ES"/>
        </w:rPr>
        <w:t xml:space="preserve"> </w:t>
      </w:r>
      <w:proofErr w:type="spellStart"/>
      <w:r>
        <w:rPr>
          <w:rFonts w:eastAsia="Palatino Linotype"/>
          <w:sz w:val="22"/>
          <w:szCs w:val="22"/>
          <w:lang w:val="es-ES"/>
        </w:rPr>
        <w:t>criteria</w:t>
      </w:r>
      <w:proofErr w:type="spellEnd"/>
      <w:r>
        <w:rPr>
          <w:rFonts w:eastAsia="Palatino Linotype"/>
          <w:sz w:val="22"/>
          <w:szCs w:val="22"/>
          <w:lang w:val="es-ES"/>
        </w:rPr>
        <w:t xml:space="preserve"> set </w:t>
      </w:r>
      <w:proofErr w:type="spellStart"/>
      <w:r>
        <w:rPr>
          <w:rFonts w:eastAsia="Palatino Linotype"/>
          <w:sz w:val="22"/>
          <w:szCs w:val="22"/>
          <w:lang w:val="es-ES"/>
        </w:rPr>
        <w:t>out</w:t>
      </w:r>
      <w:proofErr w:type="spellEnd"/>
      <w:r>
        <w:rPr>
          <w:rFonts w:eastAsia="Palatino Linotype"/>
          <w:sz w:val="22"/>
          <w:szCs w:val="22"/>
          <w:lang w:val="es-ES"/>
        </w:rPr>
        <w:t xml:space="preserve"> in </w:t>
      </w:r>
      <w:proofErr w:type="spellStart"/>
      <w:r>
        <w:rPr>
          <w:rFonts w:eastAsia="Palatino Linotype"/>
          <w:sz w:val="22"/>
          <w:szCs w:val="22"/>
          <w:lang w:val="es-ES"/>
        </w:rPr>
        <w:t>the</w:t>
      </w:r>
      <w:proofErr w:type="spellEnd"/>
      <w:r>
        <w:rPr>
          <w:rFonts w:eastAsia="Palatino Linotype"/>
          <w:sz w:val="22"/>
          <w:szCs w:val="22"/>
          <w:lang w:val="es-ES"/>
        </w:rPr>
        <w:t xml:space="preserve"> </w:t>
      </w:r>
      <w:proofErr w:type="spellStart"/>
      <w:r>
        <w:rPr>
          <w:rFonts w:eastAsia="Palatino Linotype"/>
          <w:sz w:val="22"/>
          <w:szCs w:val="22"/>
          <w:lang w:val="es-ES"/>
        </w:rPr>
        <w:t>terms</w:t>
      </w:r>
      <w:proofErr w:type="spellEnd"/>
      <w:r>
        <w:rPr>
          <w:rFonts w:eastAsia="Palatino Linotype"/>
          <w:sz w:val="22"/>
          <w:szCs w:val="22"/>
          <w:lang w:val="es-ES"/>
        </w:rPr>
        <w:t xml:space="preserve"> </w:t>
      </w:r>
      <w:proofErr w:type="spellStart"/>
      <w:r>
        <w:rPr>
          <w:rFonts w:eastAsia="Palatino Linotype"/>
          <w:sz w:val="22"/>
          <w:szCs w:val="22"/>
          <w:lang w:val="es-ES"/>
        </w:rPr>
        <w:t>of</w:t>
      </w:r>
      <w:proofErr w:type="spellEnd"/>
      <w:r>
        <w:rPr>
          <w:rFonts w:eastAsia="Palatino Linotype"/>
          <w:sz w:val="22"/>
          <w:szCs w:val="22"/>
          <w:lang w:val="es-ES"/>
        </w:rPr>
        <w:t xml:space="preserve"> </w:t>
      </w:r>
      <w:proofErr w:type="spellStart"/>
      <w:r>
        <w:rPr>
          <w:rFonts w:eastAsia="Palatino Linotype"/>
          <w:sz w:val="22"/>
          <w:szCs w:val="22"/>
          <w:lang w:val="es-ES"/>
        </w:rPr>
        <w:t>the</w:t>
      </w:r>
      <w:proofErr w:type="spellEnd"/>
      <w:r>
        <w:rPr>
          <w:rFonts w:eastAsia="Palatino Linotype"/>
          <w:sz w:val="22"/>
          <w:szCs w:val="22"/>
          <w:lang w:val="es-ES"/>
        </w:rPr>
        <w:t xml:space="preserve"> </w:t>
      </w:r>
      <w:proofErr w:type="spellStart"/>
      <w:r>
        <w:rPr>
          <w:rFonts w:eastAsia="Palatino Linotype"/>
          <w:sz w:val="22"/>
          <w:szCs w:val="22"/>
          <w:lang w:val="es-ES"/>
        </w:rPr>
        <w:t>call</w:t>
      </w:r>
      <w:proofErr w:type="spellEnd"/>
      <w:r>
        <w:rPr>
          <w:rFonts w:eastAsia="Palatino Linotype"/>
          <w:sz w:val="22"/>
          <w:szCs w:val="22"/>
          <w:lang w:val="es-ES"/>
        </w:rPr>
        <w:t>.</w:t>
      </w:r>
    </w:p>
    <w:p w14:paraId="70EF927F" w14:textId="77777777" w:rsidR="00E255F4" w:rsidRDefault="00E255F4">
      <w:pPr>
        <w:rPr>
          <w:rFonts w:eastAsia="Palatino Linotype"/>
          <w:sz w:val="22"/>
          <w:szCs w:val="22"/>
          <w:lang w:val="es-ES"/>
        </w:rPr>
      </w:pPr>
    </w:p>
    <w:p w14:paraId="31D417BC" w14:textId="77777777" w:rsidR="00E255F4" w:rsidRDefault="00000000">
      <w:pPr>
        <w:ind w:right="-142"/>
        <w:jc w:val="both"/>
        <w:outlineLvl w:val="0"/>
      </w:pPr>
      <w:bookmarkStart w:id="43" w:name="__RefHeading___Toc225377220"/>
      <w:bookmarkEnd w:id="43"/>
      <w:r>
        <w:rPr>
          <w:rFonts w:eastAsia="Palatino Linotype"/>
          <w:b/>
          <w:spacing w:val="-1"/>
          <w:sz w:val="22"/>
          <w:szCs w:val="22"/>
          <w:lang w:val="es-ES"/>
        </w:rPr>
        <w:t xml:space="preserve">13.6 </w:t>
      </w:r>
      <w:proofErr w:type="spellStart"/>
      <w:r>
        <w:rPr>
          <w:rFonts w:eastAsia="Palatino Linotype"/>
          <w:b/>
          <w:spacing w:val="-1"/>
          <w:sz w:val="22"/>
          <w:szCs w:val="22"/>
          <w:lang w:val="es-ES"/>
        </w:rPr>
        <w:t>Clearly</w:t>
      </w:r>
      <w:proofErr w:type="spellEnd"/>
      <w:r>
        <w:rPr>
          <w:rFonts w:eastAsia="Palatino Linotype"/>
          <w:b/>
          <w:spacing w:val="-1"/>
          <w:sz w:val="22"/>
          <w:szCs w:val="22"/>
          <w:lang w:val="es-ES"/>
        </w:rPr>
        <w:t xml:space="preserve"> </w:t>
      </w:r>
      <w:proofErr w:type="spellStart"/>
      <w:r>
        <w:rPr>
          <w:rFonts w:eastAsia="Palatino Linotype"/>
          <w:b/>
          <w:spacing w:val="-1"/>
          <w:sz w:val="22"/>
          <w:szCs w:val="22"/>
          <w:lang w:val="es-ES"/>
        </w:rPr>
        <w:t>Inconvenient</w:t>
      </w:r>
      <w:proofErr w:type="spellEnd"/>
      <w:r>
        <w:rPr>
          <w:rFonts w:eastAsia="Palatino Linotype"/>
          <w:b/>
          <w:spacing w:val="-1"/>
          <w:sz w:val="22"/>
          <w:szCs w:val="22"/>
          <w:lang w:val="es-ES"/>
        </w:rPr>
        <w:t xml:space="preserve"> Price</w:t>
      </w:r>
      <w:r>
        <w:rPr>
          <w:rFonts w:eastAsia="Palatino Linotype"/>
          <w:b/>
          <w:spacing w:val="-1"/>
          <w:sz w:val="22"/>
          <w:szCs w:val="22"/>
          <w:lang w:val="es-ES"/>
        </w:rPr>
        <w:tab/>
      </w:r>
    </w:p>
    <w:p w14:paraId="309F5C0B" w14:textId="77777777" w:rsidR="00E255F4" w:rsidRDefault="00E255F4">
      <w:pPr>
        <w:ind w:right="-142"/>
        <w:jc w:val="both"/>
        <w:rPr>
          <w:rFonts w:eastAsia="Palatino Linotype"/>
          <w:b/>
          <w:spacing w:val="4"/>
          <w:sz w:val="22"/>
          <w:szCs w:val="22"/>
          <w:lang w:val="es-ES"/>
        </w:rPr>
      </w:pPr>
    </w:p>
    <w:p w14:paraId="6C9AD62E" w14:textId="77777777" w:rsidR="00E255F4" w:rsidRDefault="00000000">
      <w:pPr>
        <w:ind w:right="-142"/>
        <w:jc w:val="both"/>
        <w:rPr>
          <w:rFonts w:eastAsia="Palatino Linotype"/>
          <w:sz w:val="22"/>
          <w:szCs w:val="22"/>
          <w:lang w:val="es-ES"/>
        </w:rPr>
      </w:pPr>
      <w:proofErr w:type="spellStart"/>
      <w:r>
        <w:rPr>
          <w:rFonts w:eastAsia="Palatino Linotype"/>
          <w:spacing w:val="4"/>
          <w:sz w:val="22"/>
          <w:szCs w:val="22"/>
          <w:lang w:val="es-ES"/>
        </w:rPr>
        <w:lastRenderedPageBreak/>
        <w:t>S</w:t>
      </w:r>
      <w:r>
        <w:rPr>
          <w:rFonts w:eastAsia="Palatino Linotype"/>
          <w:sz w:val="22"/>
          <w:szCs w:val="22"/>
          <w:lang w:val="es-ES"/>
        </w:rPr>
        <w:t>If</w:t>
      </w:r>
      <w:proofErr w:type="spellEnd"/>
      <w:r>
        <w:rPr>
          <w:rFonts w:eastAsia="Palatino Linotype"/>
          <w:sz w:val="22"/>
          <w:szCs w:val="22"/>
          <w:lang w:val="es-ES"/>
        </w:rPr>
        <w:t xml:space="preserve"> </w:t>
      </w:r>
      <w:proofErr w:type="spellStart"/>
      <w:r>
        <w:rPr>
          <w:rFonts w:eastAsia="Palatino Linotype"/>
          <w:sz w:val="22"/>
          <w:szCs w:val="22"/>
          <w:lang w:val="es-ES"/>
        </w:rPr>
        <w:t>the</w:t>
      </w:r>
      <w:proofErr w:type="spellEnd"/>
      <w:r>
        <w:rPr>
          <w:rFonts w:eastAsia="Palatino Linotype"/>
          <w:sz w:val="22"/>
          <w:szCs w:val="22"/>
          <w:lang w:val="es-ES"/>
        </w:rPr>
        <w:t xml:space="preserve"> </w:t>
      </w:r>
      <w:proofErr w:type="spellStart"/>
      <w:r>
        <w:rPr>
          <w:rFonts w:eastAsia="Palatino Linotype"/>
          <w:sz w:val="22"/>
          <w:szCs w:val="22"/>
          <w:lang w:val="es-ES"/>
        </w:rPr>
        <w:t>prices</w:t>
      </w:r>
      <w:proofErr w:type="spellEnd"/>
      <w:r>
        <w:rPr>
          <w:rFonts w:eastAsia="Palatino Linotype"/>
          <w:sz w:val="22"/>
          <w:szCs w:val="22"/>
          <w:lang w:val="es-ES"/>
        </w:rPr>
        <w:t xml:space="preserve"> </w:t>
      </w:r>
      <w:proofErr w:type="spellStart"/>
      <w:r>
        <w:rPr>
          <w:rFonts w:eastAsia="Palatino Linotype"/>
          <w:sz w:val="22"/>
          <w:szCs w:val="22"/>
          <w:lang w:val="es-ES"/>
        </w:rPr>
        <w:t>of</w:t>
      </w:r>
      <w:proofErr w:type="spellEnd"/>
      <w:r>
        <w:rPr>
          <w:rFonts w:eastAsia="Palatino Linotype"/>
          <w:sz w:val="22"/>
          <w:szCs w:val="22"/>
          <w:lang w:val="es-ES"/>
        </w:rPr>
        <w:t xml:space="preserve"> </w:t>
      </w:r>
      <w:proofErr w:type="spellStart"/>
      <w:r>
        <w:rPr>
          <w:rFonts w:eastAsia="Palatino Linotype"/>
          <w:sz w:val="22"/>
          <w:szCs w:val="22"/>
          <w:lang w:val="es-ES"/>
        </w:rPr>
        <w:t>the</w:t>
      </w:r>
      <w:proofErr w:type="spellEnd"/>
      <w:r>
        <w:rPr>
          <w:rFonts w:eastAsia="Palatino Linotype"/>
          <w:sz w:val="22"/>
          <w:szCs w:val="22"/>
          <w:lang w:val="es-ES"/>
        </w:rPr>
        <w:t xml:space="preserve"> </w:t>
      </w:r>
      <w:proofErr w:type="spellStart"/>
      <w:r>
        <w:rPr>
          <w:rFonts w:eastAsia="Palatino Linotype"/>
          <w:sz w:val="22"/>
          <w:szCs w:val="22"/>
          <w:lang w:val="es-ES"/>
        </w:rPr>
        <w:t>offer</w:t>
      </w:r>
      <w:proofErr w:type="spellEnd"/>
      <w:r>
        <w:rPr>
          <w:rFonts w:eastAsia="Palatino Linotype"/>
          <w:sz w:val="22"/>
          <w:szCs w:val="22"/>
          <w:lang w:val="es-ES"/>
        </w:rPr>
        <w:t xml:space="preserve">(s) </w:t>
      </w:r>
      <w:proofErr w:type="spellStart"/>
      <w:r>
        <w:rPr>
          <w:rFonts w:eastAsia="Palatino Linotype"/>
          <w:sz w:val="22"/>
          <w:szCs w:val="22"/>
          <w:lang w:val="es-ES"/>
        </w:rPr>
        <w:t>received</w:t>
      </w:r>
      <w:proofErr w:type="spellEnd"/>
      <w:r>
        <w:rPr>
          <w:rFonts w:eastAsia="Palatino Linotype"/>
          <w:sz w:val="22"/>
          <w:szCs w:val="22"/>
          <w:lang w:val="es-ES"/>
        </w:rPr>
        <w:t xml:space="preserve"> are </w:t>
      </w:r>
      <w:proofErr w:type="spellStart"/>
      <w:r>
        <w:rPr>
          <w:rFonts w:eastAsia="Palatino Linotype"/>
          <w:sz w:val="22"/>
          <w:szCs w:val="22"/>
          <w:lang w:val="es-ES"/>
        </w:rPr>
        <w:t>considered</w:t>
      </w:r>
      <w:proofErr w:type="spellEnd"/>
      <w:r>
        <w:rPr>
          <w:rFonts w:eastAsia="Palatino Linotype"/>
          <w:sz w:val="22"/>
          <w:szCs w:val="22"/>
          <w:lang w:val="es-ES"/>
        </w:rPr>
        <w:t xml:space="preserve"> </w:t>
      </w:r>
      <w:proofErr w:type="spellStart"/>
      <w:r>
        <w:rPr>
          <w:rFonts w:eastAsia="Palatino Linotype"/>
          <w:sz w:val="22"/>
          <w:szCs w:val="22"/>
          <w:lang w:val="es-ES"/>
        </w:rPr>
        <w:t>manifestly</w:t>
      </w:r>
      <w:proofErr w:type="spellEnd"/>
      <w:r>
        <w:rPr>
          <w:rFonts w:eastAsia="Palatino Linotype"/>
          <w:sz w:val="22"/>
          <w:szCs w:val="22"/>
          <w:lang w:val="es-ES"/>
        </w:rPr>
        <w:t xml:space="preserve"> </w:t>
      </w:r>
      <w:proofErr w:type="spellStart"/>
      <w:r>
        <w:rPr>
          <w:rFonts w:eastAsia="Palatino Linotype"/>
          <w:sz w:val="22"/>
          <w:szCs w:val="22"/>
          <w:lang w:val="es-ES"/>
        </w:rPr>
        <w:t>unfavorable</w:t>
      </w:r>
      <w:proofErr w:type="spellEnd"/>
      <w:r>
        <w:rPr>
          <w:rFonts w:eastAsia="Palatino Linotype"/>
          <w:sz w:val="22"/>
          <w:szCs w:val="22"/>
          <w:lang w:val="es-ES"/>
        </w:rPr>
        <w:t xml:space="preserve">, </w:t>
      </w:r>
      <w:proofErr w:type="spellStart"/>
      <w:r>
        <w:rPr>
          <w:rFonts w:eastAsia="Palatino Linotype"/>
          <w:sz w:val="22"/>
          <w:szCs w:val="22"/>
          <w:lang w:val="es-ES"/>
        </w:rPr>
        <w:t>the</w:t>
      </w:r>
      <w:proofErr w:type="spellEnd"/>
      <w:r>
        <w:rPr>
          <w:rFonts w:eastAsia="Palatino Linotype"/>
          <w:sz w:val="22"/>
          <w:szCs w:val="22"/>
          <w:lang w:val="es-ES"/>
        </w:rPr>
        <w:t xml:space="preserve"> </w:t>
      </w:r>
      <w:proofErr w:type="spellStart"/>
      <w:r>
        <w:rPr>
          <w:rFonts w:eastAsia="Palatino Linotype"/>
          <w:sz w:val="22"/>
          <w:szCs w:val="22"/>
          <w:lang w:val="es-ES"/>
        </w:rPr>
        <w:t>computer</w:t>
      </w:r>
      <w:proofErr w:type="spellEnd"/>
      <w:r>
        <w:rPr>
          <w:rFonts w:eastAsia="Palatino Linotype"/>
          <w:sz w:val="22"/>
          <w:szCs w:val="22"/>
          <w:lang w:val="es-ES"/>
        </w:rPr>
        <w:t xml:space="preserve"> </w:t>
      </w:r>
      <w:proofErr w:type="spellStart"/>
      <w:r>
        <w:rPr>
          <w:rFonts w:eastAsia="Palatino Linotype"/>
          <w:sz w:val="22"/>
          <w:szCs w:val="22"/>
          <w:lang w:val="es-ES"/>
        </w:rPr>
        <w:t>or</w:t>
      </w:r>
      <w:proofErr w:type="spellEnd"/>
      <w:r>
        <w:rPr>
          <w:rFonts w:eastAsia="Palatino Linotype"/>
          <w:sz w:val="22"/>
          <w:szCs w:val="22"/>
          <w:lang w:val="es-ES"/>
        </w:rPr>
        <w:t xml:space="preserve">, </w:t>
      </w:r>
      <w:proofErr w:type="spellStart"/>
      <w:r>
        <w:rPr>
          <w:rFonts w:eastAsia="Palatino Linotype"/>
          <w:sz w:val="22"/>
          <w:szCs w:val="22"/>
          <w:lang w:val="es-ES"/>
        </w:rPr>
        <w:t>where</w:t>
      </w:r>
      <w:proofErr w:type="spellEnd"/>
      <w:r>
        <w:rPr>
          <w:rFonts w:eastAsia="Palatino Linotype"/>
          <w:sz w:val="22"/>
          <w:szCs w:val="22"/>
          <w:lang w:val="es-ES"/>
        </w:rPr>
        <w:t xml:space="preserve"> </w:t>
      </w:r>
      <w:proofErr w:type="spellStart"/>
      <w:r>
        <w:rPr>
          <w:rFonts w:eastAsia="Palatino Linotype"/>
          <w:sz w:val="22"/>
          <w:szCs w:val="22"/>
          <w:lang w:val="es-ES"/>
        </w:rPr>
        <w:t>appropriate</w:t>
      </w:r>
      <w:proofErr w:type="spellEnd"/>
      <w:r>
        <w:rPr>
          <w:rFonts w:eastAsia="Palatino Linotype"/>
          <w:sz w:val="22"/>
          <w:szCs w:val="22"/>
          <w:lang w:val="es-ES"/>
        </w:rPr>
        <w:t xml:space="preserve">, </w:t>
      </w:r>
      <w:proofErr w:type="spellStart"/>
      <w:r>
        <w:rPr>
          <w:rFonts w:eastAsia="Palatino Linotype"/>
          <w:sz w:val="22"/>
          <w:szCs w:val="22"/>
          <w:lang w:val="es-ES"/>
        </w:rPr>
        <w:t>the</w:t>
      </w:r>
      <w:proofErr w:type="spellEnd"/>
      <w:r>
        <w:rPr>
          <w:rFonts w:eastAsia="Palatino Linotype"/>
          <w:sz w:val="22"/>
          <w:szCs w:val="22"/>
          <w:lang w:val="es-ES"/>
        </w:rPr>
        <w:t xml:space="preserve"> </w:t>
      </w:r>
      <w:proofErr w:type="spellStart"/>
      <w:r>
        <w:rPr>
          <w:rFonts w:eastAsia="Palatino Linotype"/>
          <w:sz w:val="22"/>
          <w:szCs w:val="22"/>
          <w:lang w:val="es-ES"/>
        </w:rPr>
        <w:t>Advisory</w:t>
      </w:r>
      <w:proofErr w:type="spellEnd"/>
      <w:r>
        <w:rPr>
          <w:rFonts w:eastAsia="Palatino Linotype"/>
          <w:sz w:val="22"/>
          <w:szCs w:val="22"/>
          <w:lang w:val="es-ES"/>
        </w:rPr>
        <w:t xml:space="preserve"> </w:t>
      </w:r>
      <w:proofErr w:type="spellStart"/>
      <w:r>
        <w:rPr>
          <w:rFonts w:eastAsia="Palatino Linotype"/>
          <w:sz w:val="22"/>
          <w:szCs w:val="22"/>
          <w:lang w:val="es-ES"/>
        </w:rPr>
        <w:t>Committee</w:t>
      </w:r>
      <w:proofErr w:type="spellEnd"/>
      <w:r>
        <w:rPr>
          <w:rFonts w:eastAsia="Palatino Linotype"/>
          <w:sz w:val="22"/>
          <w:szCs w:val="22"/>
          <w:lang w:val="es-ES"/>
        </w:rPr>
        <w:t xml:space="preserve"> </w:t>
      </w:r>
      <w:proofErr w:type="spellStart"/>
      <w:r>
        <w:rPr>
          <w:rFonts w:eastAsia="Palatino Linotype"/>
          <w:sz w:val="22"/>
          <w:szCs w:val="22"/>
          <w:lang w:val="es-ES"/>
        </w:rPr>
        <w:t>for</w:t>
      </w:r>
      <w:proofErr w:type="spellEnd"/>
      <w:r>
        <w:rPr>
          <w:rFonts w:eastAsia="Palatino Linotype"/>
          <w:sz w:val="22"/>
          <w:szCs w:val="22"/>
          <w:lang w:val="es-ES"/>
        </w:rPr>
        <w:t xml:space="preserve"> </w:t>
      </w:r>
      <w:proofErr w:type="spellStart"/>
      <w:r>
        <w:rPr>
          <w:rFonts w:eastAsia="Palatino Linotype"/>
          <w:sz w:val="22"/>
          <w:szCs w:val="22"/>
          <w:lang w:val="es-ES"/>
        </w:rPr>
        <w:t>Awards</w:t>
      </w:r>
      <w:proofErr w:type="spellEnd"/>
      <w:r>
        <w:rPr>
          <w:rFonts w:eastAsia="Palatino Linotype"/>
          <w:sz w:val="22"/>
          <w:szCs w:val="22"/>
          <w:lang w:val="es-ES"/>
        </w:rPr>
        <w:t xml:space="preserve"> </w:t>
      </w:r>
      <w:proofErr w:type="spellStart"/>
      <w:r>
        <w:rPr>
          <w:rFonts w:eastAsia="Palatino Linotype"/>
          <w:sz w:val="22"/>
          <w:szCs w:val="22"/>
          <w:lang w:val="es-ES"/>
        </w:rPr>
        <w:t>duly</w:t>
      </w:r>
      <w:proofErr w:type="spellEnd"/>
      <w:r>
        <w:rPr>
          <w:rFonts w:eastAsia="Palatino Linotype"/>
          <w:sz w:val="22"/>
          <w:szCs w:val="22"/>
          <w:lang w:val="es-ES"/>
        </w:rPr>
        <w:t xml:space="preserve"> </w:t>
      </w:r>
      <w:proofErr w:type="spellStart"/>
      <w:r>
        <w:rPr>
          <w:rFonts w:eastAsia="Palatino Linotype"/>
          <w:sz w:val="22"/>
          <w:szCs w:val="22"/>
          <w:lang w:val="es-ES"/>
        </w:rPr>
        <w:t>authorized</w:t>
      </w:r>
      <w:proofErr w:type="spellEnd"/>
      <w:r>
        <w:rPr>
          <w:rFonts w:eastAsia="Palatino Linotype"/>
          <w:sz w:val="22"/>
          <w:szCs w:val="22"/>
          <w:lang w:val="es-ES"/>
        </w:rPr>
        <w:t xml:space="preserve"> </w:t>
      </w:r>
      <w:proofErr w:type="spellStart"/>
      <w:r>
        <w:rPr>
          <w:rFonts w:eastAsia="Palatino Linotype"/>
          <w:sz w:val="22"/>
          <w:szCs w:val="22"/>
          <w:lang w:val="es-ES"/>
        </w:rPr>
        <w:t>by</w:t>
      </w:r>
      <w:proofErr w:type="spellEnd"/>
      <w:r>
        <w:rPr>
          <w:rFonts w:eastAsia="Palatino Linotype"/>
          <w:sz w:val="22"/>
          <w:szCs w:val="22"/>
          <w:lang w:val="es-ES"/>
        </w:rPr>
        <w:t xml:space="preserve"> </w:t>
      </w:r>
      <w:proofErr w:type="spellStart"/>
      <w:r>
        <w:rPr>
          <w:rFonts w:eastAsia="Palatino Linotype"/>
          <w:sz w:val="22"/>
          <w:szCs w:val="22"/>
          <w:lang w:val="es-ES"/>
        </w:rPr>
        <w:t>it</w:t>
      </w:r>
      <w:proofErr w:type="spellEnd"/>
      <w:r>
        <w:rPr>
          <w:rFonts w:eastAsia="Palatino Linotype"/>
          <w:sz w:val="22"/>
          <w:szCs w:val="22"/>
          <w:lang w:val="es-ES"/>
        </w:rPr>
        <w:t xml:space="preserve">, </w:t>
      </w:r>
      <w:proofErr w:type="spellStart"/>
      <w:r>
        <w:rPr>
          <w:rFonts w:eastAsia="Palatino Linotype"/>
          <w:sz w:val="22"/>
          <w:szCs w:val="22"/>
          <w:lang w:val="es-ES"/>
        </w:rPr>
        <w:t>may</w:t>
      </w:r>
      <w:proofErr w:type="spellEnd"/>
      <w:r>
        <w:rPr>
          <w:rFonts w:eastAsia="Palatino Linotype"/>
          <w:sz w:val="22"/>
          <w:szCs w:val="22"/>
          <w:lang w:val="es-ES"/>
        </w:rPr>
        <w:t xml:space="preserve"> </w:t>
      </w:r>
      <w:proofErr w:type="spellStart"/>
      <w:r>
        <w:rPr>
          <w:rFonts w:eastAsia="Palatino Linotype"/>
          <w:sz w:val="22"/>
          <w:szCs w:val="22"/>
          <w:lang w:val="es-ES"/>
        </w:rPr>
        <w:t>directly</w:t>
      </w:r>
      <w:proofErr w:type="spellEnd"/>
      <w:r>
        <w:rPr>
          <w:rFonts w:eastAsia="Palatino Linotype"/>
          <w:sz w:val="22"/>
          <w:szCs w:val="22"/>
          <w:lang w:val="es-ES"/>
        </w:rPr>
        <w:t xml:space="preserve"> </w:t>
      </w:r>
      <w:proofErr w:type="spellStart"/>
      <w:r>
        <w:rPr>
          <w:rFonts w:eastAsia="Palatino Linotype"/>
          <w:sz w:val="22"/>
          <w:szCs w:val="22"/>
          <w:lang w:val="es-ES"/>
        </w:rPr>
        <w:t>request</w:t>
      </w:r>
      <w:proofErr w:type="spellEnd"/>
      <w:r>
        <w:rPr>
          <w:rFonts w:eastAsia="Palatino Linotype"/>
          <w:sz w:val="22"/>
          <w:szCs w:val="22"/>
          <w:lang w:val="es-ES"/>
        </w:rPr>
        <w:t xml:space="preserve"> </w:t>
      </w:r>
      <w:proofErr w:type="spellStart"/>
      <w:r>
        <w:rPr>
          <w:rFonts w:eastAsia="Palatino Linotype"/>
          <w:sz w:val="22"/>
          <w:szCs w:val="22"/>
          <w:lang w:val="es-ES"/>
        </w:rPr>
        <w:t>improvements</w:t>
      </w:r>
      <w:proofErr w:type="spellEnd"/>
      <w:r>
        <w:rPr>
          <w:rFonts w:eastAsia="Palatino Linotype"/>
          <w:sz w:val="22"/>
          <w:szCs w:val="22"/>
          <w:lang w:val="es-ES"/>
        </w:rPr>
        <w:t xml:space="preserve"> in </w:t>
      </w:r>
      <w:proofErr w:type="spellStart"/>
      <w:r>
        <w:rPr>
          <w:rFonts w:eastAsia="Palatino Linotype"/>
          <w:sz w:val="22"/>
          <w:szCs w:val="22"/>
          <w:lang w:val="es-ES"/>
        </w:rPr>
        <w:t>their</w:t>
      </w:r>
      <w:proofErr w:type="spellEnd"/>
      <w:r>
        <w:rPr>
          <w:rFonts w:eastAsia="Palatino Linotype"/>
          <w:sz w:val="22"/>
          <w:szCs w:val="22"/>
          <w:lang w:val="es-ES"/>
        </w:rPr>
        <w:t xml:space="preserve"> </w:t>
      </w:r>
      <w:proofErr w:type="spellStart"/>
      <w:r>
        <w:rPr>
          <w:rFonts w:eastAsia="Palatino Linotype"/>
          <w:sz w:val="22"/>
          <w:szCs w:val="22"/>
          <w:lang w:val="es-ES"/>
        </w:rPr>
        <w:t>technical</w:t>
      </w:r>
      <w:proofErr w:type="spellEnd"/>
      <w:r>
        <w:rPr>
          <w:rFonts w:eastAsia="Palatino Linotype"/>
          <w:sz w:val="22"/>
          <w:szCs w:val="22"/>
          <w:lang w:val="es-ES"/>
        </w:rPr>
        <w:t xml:space="preserve"> </w:t>
      </w:r>
      <w:proofErr w:type="spellStart"/>
      <w:r>
        <w:rPr>
          <w:rFonts w:eastAsia="Palatino Linotype"/>
          <w:sz w:val="22"/>
          <w:szCs w:val="22"/>
          <w:lang w:val="es-ES"/>
        </w:rPr>
        <w:t>conditions</w:t>
      </w:r>
      <w:proofErr w:type="spellEnd"/>
      <w:r>
        <w:rPr>
          <w:rFonts w:eastAsia="Palatino Linotype"/>
          <w:sz w:val="22"/>
          <w:szCs w:val="22"/>
          <w:lang w:val="es-ES"/>
        </w:rPr>
        <w:t xml:space="preserve">, </w:t>
      </w:r>
      <w:proofErr w:type="spellStart"/>
      <w:r>
        <w:rPr>
          <w:rFonts w:eastAsia="Palatino Linotype"/>
          <w:sz w:val="22"/>
          <w:szCs w:val="22"/>
          <w:lang w:val="es-ES"/>
        </w:rPr>
        <w:t>price</w:t>
      </w:r>
      <w:proofErr w:type="spellEnd"/>
      <w:r>
        <w:rPr>
          <w:rFonts w:eastAsia="Palatino Linotype"/>
          <w:sz w:val="22"/>
          <w:szCs w:val="22"/>
          <w:lang w:val="es-ES"/>
        </w:rPr>
        <w:t xml:space="preserve">, </w:t>
      </w:r>
      <w:proofErr w:type="spellStart"/>
      <w:r>
        <w:rPr>
          <w:rFonts w:eastAsia="Palatino Linotype"/>
          <w:sz w:val="22"/>
          <w:szCs w:val="22"/>
          <w:lang w:val="es-ES"/>
        </w:rPr>
        <w:t>deadline</w:t>
      </w:r>
      <w:proofErr w:type="spellEnd"/>
      <w:r>
        <w:rPr>
          <w:rFonts w:eastAsia="Palatino Linotype"/>
          <w:sz w:val="22"/>
          <w:szCs w:val="22"/>
          <w:lang w:val="es-ES"/>
        </w:rPr>
        <w:t xml:space="preserve"> </w:t>
      </w:r>
      <w:proofErr w:type="spellStart"/>
      <w:r>
        <w:rPr>
          <w:rFonts w:eastAsia="Palatino Linotype"/>
          <w:sz w:val="22"/>
          <w:szCs w:val="22"/>
          <w:lang w:val="es-ES"/>
        </w:rPr>
        <w:t>or</w:t>
      </w:r>
      <w:proofErr w:type="spellEnd"/>
      <w:r>
        <w:rPr>
          <w:rFonts w:eastAsia="Palatino Linotype"/>
          <w:sz w:val="22"/>
          <w:szCs w:val="22"/>
          <w:lang w:val="es-ES"/>
        </w:rPr>
        <w:t xml:space="preserve"> </w:t>
      </w:r>
      <w:proofErr w:type="spellStart"/>
      <w:r>
        <w:rPr>
          <w:rFonts w:eastAsia="Palatino Linotype"/>
          <w:sz w:val="22"/>
          <w:szCs w:val="22"/>
          <w:lang w:val="es-ES"/>
        </w:rPr>
        <w:t>quality</w:t>
      </w:r>
      <w:proofErr w:type="spellEnd"/>
      <w:r>
        <w:rPr>
          <w:rFonts w:eastAsia="Palatino Linotype"/>
          <w:sz w:val="22"/>
          <w:szCs w:val="22"/>
          <w:lang w:val="es-ES"/>
        </w:rPr>
        <w:t>.</w:t>
      </w:r>
    </w:p>
    <w:p w14:paraId="0B1787CB" w14:textId="77777777" w:rsidR="00E255F4" w:rsidRDefault="00E255F4">
      <w:pPr>
        <w:rPr>
          <w:rFonts w:eastAsia="Palatino Linotype"/>
          <w:sz w:val="22"/>
          <w:szCs w:val="22"/>
          <w:lang w:val="es-ES"/>
        </w:rPr>
      </w:pPr>
    </w:p>
    <w:p w14:paraId="20C12B93" w14:textId="77777777" w:rsidR="00E255F4" w:rsidRDefault="00000000">
      <w:pPr>
        <w:ind w:right="-142"/>
        <w:jc w:val="both"/>
        <w:outlineLvl w:val="0"/>
        <w:rPr>
          <w:rFonts w:eastAsia="Palatino Linotype"/>
          <w:b/>
          <w:spacing w:val="-1"/>
          <w:sz w:val="22"/>
          <w:szCs w:val="22"/>
          <w:lang w:val="es-ES"/>
        </w:rPr>
      </w:pPr>
      <w:bookmarkStart w:id="44" w:name="__RefHeading___Toc225377221"/>
      <w:bookmarkEnd w:id="44"/>
      <w:r>
        <w:rPr>
          <w:rFonts w:eastAsia="Palatino Linotype"/>
          <w:b/>
          <w:spacing w:val="-1"/>
          <w:sz w:val="22"/>
          <w:szCs w:val="22"/>
          <w:lang w:val="es-ES"/>
        </w:rPr>
        <w:t xml:space="preserve">13.7 View </w:t>
      </w:r>
      <w:proofErr w:type="spellStart"/>
      <w:r>
        <w:rPr>
          <w:rFonts w:eastAsia="Palatino Linotype"/>
          <w:b/>
          <w:spacing w:val="-1"/>
          <w:sz w:val="22"/>
          <w:szCs w:val="22"/>
          <w:lang w:val="es-ES"/>
        </w:rPr>
        <w:t>of</w:t>
      </w:r>
      <w:proofErr w:type="spellEnd"/>
      <w:r>
        <w:rPr>
          <w:rFonts w:eastAsia="Palatino Linotype"/>
          <w:b/>
          <w:spacing w:val="-1"/>
          <w:sz w:val="22"/>
          <w:szCs w:val="22"/>
          <w:lang w:val="es-ES"/>
        </w:rPr>
        <w:t xml:space="preserve"> </w:t>
      </w:r>
      <w:proofErr w:type="spellStart"/>
      <w:r>
        <w:rPr>
          <w:rFonts w:eastAsia="Palatino Linotype"/>
          <w:b/>
          <w:spacing w:val="-1"/>
          <w:sz w:val="22"/>
          <w:szCs w:val="22"/>
          <w:lang w:val="es-ES"/>
        </w:rPr>
        <w:t>the</w:t>
      </w:r>
      <w:proofErr w:type="spellEnd"/>
      <w:r>
        <w:rPr>
          <w:rFonts w:eastAsia="Palatino Linotype"/>
          <w:b/>
          <w:spacing w:val="-1"/>
          <w:sz w:val="22"/>
          <w:szCs w:val="22"/>
          <w:lang w:val="es-ES"/>
        </w:rPr>
        <w:t xml:space="preserve"> </w:t>
      </w:r>
      <w:proofErr w:type="spellStart"/>
      <w:r>
        <w:rPr>
          <w:rFonts w:eastAsia="Palatino Linotype"/>
          <w:b/>
          <w:spacing w:val="-1"/>
          <w:sz w:val="22"/>
          <w:szCs w:val="22"/>
          <w:lang w:val="es-ES"/>
        </w:rPr>
        <w:t>proceedings</w:t>
      </w:r>
      <w:proofErr w:type="spellEnd"/>
      <w:r>
        <w:rPr>
          <w:rFonts w:eastAsia="Palatino Linotype"/>
          <w:b/>
          <w:spacing w:val="-1"/>
          <w:sz w:val="22"/>
          <w:szCs w:val="22"/>
          <w:lang w:val="es-ES"/>
        </w:rPr>
        <w:tab/>
      </w:r>
    </w:p>
    <w:p w14:paraId="2DB15C0D" w14:textId="77777777" w:rsidR="00E255F4" w:rsidRDefault="00E255F4">
      <w:pPr>
        <w:ind w:right="-142"/>
        <w:jc w:val="both"/>
        <w:rPr>
          <w:rFonts w:eastAsia="Palatino Linotype"/>
          <w:b/>
          <w:spacing w:val="-1"/>
          <w:sz w:val="22"/>
          <w:szCs w:val="22"/>
          <w:lang w:val="es-ES"/>
        </w:rPr>
      </w:pPr>
    </w:p>
    <w:p w14:paraId="08253AAA" w14:textId="77777777" w:rsidR="00E255F4" w:rsidRDefault="00000000">
      <w:pPr>
        <w:ind w:right="-142"/>
        <w:jc w:val="both"/>
        <w:rPr>
          <w:rFonts w:eastAsia="Palatino Linotype"/>
          <w:sz w:val="22"/>
          <w:szCs w:val="22"/>
          <w:lang w:val="es-ES"/>
        </w:rPr>
      </w:pPr>
      <w:r>
        <w:rPr>
          <w:rFonts w:eastAsia="Palatino Linotype"/>
          <w:spacing w:val="-1"/>
          <w:sz w:val="22"/>
          <w:szCs w:val="22"/>
          <w:lang w:val="es-ES"/>
        </w:rPr>
        <w:t>AND</w:t>
      </w:r>
      <w:r>
        <w:rPr>
          <w:rFonts w:eastAsia="Palatino Linotype"/>
          <w:sz w:val="22"/>
          <w:szCs w:val="22"/>
          <w:lang w:val="es-ES"/>
        </w:rPr>
        <w:t xml:space="preserve">In </w:t>
      </w:r>
      <w:proofErr w:type="spellStart"/>
      <w:r>
        <w:rPr>
          <w:rFonts w:eastAsia="Palatino Linotype"/>
          <w:sz w:val="22"/>
          <w:szCs w:val="22"/>
          <w:lang w:val="es-ES"/>
        </w:rPr>
        <w:t>any</w:t>
      </w:r>
      <w:proofErr w:type="spellEnd"/>
      <w:r>
        <w:rPr>
          <w:rFonts w:eastAsia="Palatino Linotype"/>
          <w:sz w:val="22"/>
          <w:szCs w:val="22"/>
          <w:lang w:val="es-ES"/>
        </w:rPr>
        <w:t xml:space="preserve"> competitive </w:t>
      </w:r>
      <w:proofErr w:type="spellStart"/>
      <w:r>
        <w:rPr>
          <w:rFonts w:eastAsia="Palatino Linotype"/>
          <w:sz w:val="22"/>
          <w:szCs w:val="22"/>
          <w:lang w:val="es-ES"/>
        </w:rPr>
        <w:t>procurement</w:t>
      </w:r>
      <w:proofErr w:type="spellEnd"/>
      <w:r>
        <w:rPr>
          <w:rFonts w:eastAsia="Palatino Linotype"/>
          <w:sz w:val="22"/>
          <w:szCs w:val="22"/>
          <w:lang w:val="es-ES"/>
        </w:rPr>
        <w:t xml:space="preserve"> </w:t>
      </w:r>
      <w:proofErr w:type="spellStart"/>
      <w:r>
        <w:rPr>
          <w:rFonts w:eastAsia="Palatino Linotype"/>
          <w:sz w:val="22"/>
          <w:szCs w:val="22"/>
          <w:lang w:val="es-ES"/>
        </w:rPr>
        <w:t>procedure</w:t>
      </w:r>
      <w:proofErr w:type="spellEnd"/>
      <w:r>
        <w:rPr>
          <w:rFonts w:eastAsia="Palatino Linotype"/>
          <w:sz w:val="22"/>
          <w:szCs w:val="22"/>
          <w:lang w:val="es-ES"/>
        </w:rPr>
        <w:t xml:space="preserve"> </w:t>
      </w:r>
      <w:proofErr w:type="spellStart"/>
      <w:r>
        <w:rPr>
          <w:rFonts w:eastAsia="Palatino Linotype"/>
          <w:sz w:val="22"/>
          <w:szCs w:val="22"/>
          <w:lang w:val="es-ES"/>
        </w:rPr>
        <w:t>whose</w:t>
      </w:r>
      <w:proofErr w:type="spellEnd"/>
      <w:r>
        <w:rPr>
          <w:rFonts w:eastAsia="Palatino Linotype"/>
          <w:sz w:val="22"/>
          <w:szCs w:val="22"/>
          <w:lang w:val="es-ES"/>
        </w:rPr>
        <w:t xml:space="preserve"> </w:t>
      </w:r>
      <w:proofErr w:type="spellStart"/>
      <w:r>
        <w:rPr>
          <w:rFonts w:eastAsia="Palatino Linotype"/>
          <w:sz w:val="22"/>
          <w:szCs w:val="22"/>
          <w:lang w:val="es-ES"/>
        </w:rPr>
        <w:t>value</w:t>
      </w:r>
      <w:proofErr w:type="spellEnd"/>
      <w:r>
        <w:rPr>
          <w:rFonts w:eastAsia="Palatino Linotype"/>
          <w:sz w:val="22"/>
          <w:szCs w:val="22"/>
          <w:lang w:val="es-ES"/>
        </w:rPr>
        <w:t xml:space="preserve"> </w:t>
      </w:r>
      <w:proofErr w:type="spellStart"/>
      <w:r>
        <w:rPr>
          <w:rFonts w:eastAsia="Palatino Linotype"/>
          <w:sz w:val="22"/>
          <w:szCs w:val="22"/>
          <w:lang w:val="es-ES"/>
        </w:rPr>
        <w:t>exceeds</w:t>
      </w:r>
      <w:proofErr w:type="spellEnd"/>
      <w:r>
        <w:rPr>
          <w:rFonts w:eastAsia="Palatino Linotype"/>
          <w:sz w:val="22"/>
          <w:szCs w:val="22"/>
          <w:lang w:val="es-ES"/>
        </w:rPr>
        <w:t xml:space="preserve"> </w:t>
      </w:r>
      <w:proofErr w:type="spellStart"/>
      <w:r>
        <w:rPr>
          <w:rFonts w:eastAsia="Palatino Linotype"/>
          <w:sz w:val="22"/>
          <w:szCs w:val="22"/>
          <w:lang w:val="es-ES"/>
        </w:rPr>
        <w:t>four</w:t>
      </w:r>
      <w:proofErr w:type="spellEnd"/>
      <w:r>
        <w:rPr>
          <w:rFonts w:eastAsia="Palatino Linotype"/>
          <w:sz w:val="22"/>
          <w:szCs w:val="22"/>
          <w:lang w:val="es-ES"/>
        </w:rPr>
        <w:t xml:space="preserve"> times </w:t>
      </w:r>
      <w:proofErr w:type="spellStart"/>
      <w:r>
        <w:rPr>
          <w:rFonts w:eastAsia="Palatino Linotype"/>
          <w:sz w:val="22"/>
          <w:szCs w:val="22"/>
          <w:lang w:val="es-ES"/>
        </w:rPr>
        <w:t>the</w:t>
      </w:r>
      <w:proofErr w:type="spellEnd"/>
      <w:r>
        <w:rPr>
          <w:rFonts w:eastAsia="Palatino Linotype"/>
          <w:sz w:val="22"/>
          <w:szCs w:val="22"/>
          <w:lang w:val="es-ES"/>
        </w:rPr>
        <w:t xml:space="preserve"> </w:t>
      </w:r>
      <w:proofErr w:type="spellStart"/>
      <w:r>
        <w:rPr>
          <w:rFonts w:eastAsia="Palatino Linotype"/>
          <w:sz w:val="22"/>
          <w:szCs w:val="22"/>
          <w:lang w:val="es-ES"/>
        </w:rPr>
        <w:t>maximum</w:t>
      </w:r>
      <w:proofErr w:type="spellEnd"/>
      <w:r>
        <w:rPr>
          <w:rFonts w:eastAsia="Palatino Linotype"/>
          <w:sz w:val="22"/>
          <w:szCs w:val="22"/>
          <w:lang w:val="es-ES"/>
        </w:rPr>
        <w:t xml:space="preserve"> </w:t>
      </w:r>
      <w:proofErr w:type="spellStart"/>
      <w:r>
        <w:rPr>
          <w:rFonts w:eastAsia="Palatino Linotype"/>
          <w:sz w:val="22"/>
          <w:szCs w:val="22"/>
          <w:lang w:val="es-ES"/>
        </w:rPr>
        <w:t>amount</w:t>
      </w:r>
      <w:proofErr w:type="spellEnd"/>
      <w:r>
        <w:rPr>
          <w:rFonts w:eastAsia="Palatino Linotype"/>
          <w:sz w:val="22"/>
          <w:szCs w:val="22"/>
          <w:lang w:val="es-ES"/>
        </w:rPr>
        <w:t xml:space="preserve"> </w:t>
      </w:r>
      <w:proofErr w:type="spellStart"/>
      <w:r>
        <w:rPr>
          <w:rFonts w:eastAsia="Palatino Linotype"/>
          <w:sz w:val="22"/>
          <w:szCs w:val="22"/>
          <w:lang w:val="es-ES"/>
        </w:rPr>
        <w:t>for</w:t>
      </w:r>
      <w:proofErr w:type="spellEnd"/>
      <w:r>
        <w:rPr>
          <w:rFonts w:eastAsia="Palatino Linotype"/>
          <w:sz w:val="22"/>
          <w:szCs w:val="22"/>
          <w:lang w:val="es-ES"/>
        </w:rPr>
        <w:t xml:space="preserve"> </w:t>
      </w:r>
      <w:proofErr w:type="spellStart"/>
      <w:r>
        <w:rPr>
          <w:rFonts w:eastAsia="Palatino Linotype"/>
          <w:sz w:val="22"/>
          <w:szCs w:val="22"/>
          <w:lang w:val="es-ES"/>
        </w:rPr>
        <w:t>the</w:t>
      </w:r>
      <w:proofErr w:type="spellEnd"/>
      <w:r>
        <w:rPr>
          <w:rFonts w:eastAsia="Palatino Linotype"/>
          <w:sz w:val="22"/>
          <w:szCs w:val="22"/>
          <w:lang w:val="es-ES"/>
        </w:rPr>
        <w:t xml:space="preserve"> </w:t>
      </w:r>
      <w:proofErr w:type="spellStart"/>
      <w:r>
        <w:rPr>
          <w:rFonts w:eastAsia="Palatino Linotype"/>
          <w:sz w:val="22"/>
          <w:szCs w:val="22"/>
          <w:lang w:val="es-ES"/>
        </w:rPr>
        <w:t>corresponding</w:t>
      </w:r>
      <w:proofErr w:type="spellEnd"/>
      <w:r>
        <w:rPr>
          <w:rFonts w:eastAsia="Palatino Linotype"/>
          <w:sz w:val="22"/>
          <w:szCs w:val="22"/>
          <w:lang w:val="es-ES"/>
        </w:rPr>
        <w:t xml:space="preserve"> </w:t>
      </w:r>
      <w:proofErr w:type="spellStart"/>
      <w:r>
        <w:rPr>
          <w:rFonts w:eastAsia="Palatino Linotype"/>
          <w:sz w:val="22"/>
          <w:szCs w:val="22"/>
          <w:lang w:val="es-ES"/>
        </w:rPr>
        <w:t>abbreviated</w:t>
      </w:r>
      <w:proofErr w:type="spellEnd"/>
      <w:r>
        <w:rPr>
          <w:rFonts w:eastAsia="Palatino Linotype"/>
          <w:sz w:val="22"/>
          <w:szCs w:val="22"/>
          <w:lang w:val="es-ES"/>
        </w:rPr>
        <w:t xml:space="preserve"> tender </w:t>
      </w:r>
      <w:proofErr w:type="spellStart"/>
      <w:r>
        <w:rPr>
          <w:rFonts w:eastAsia="Palatino Linotype"/>
          <w:sz w:val="22"/>
          <w:szCs w:val="22"/>
          <w:lang w:val="es-ES"/>
        </w:rPr>
        <w:t>of</w:t>
      </w:r>
      <w:proofErr w:type="spellEnd"/>
      <w:r>
        <w:rPr>
          <w:rFonts w:eastAsia="Palatino Linotype"/>
          <w:sz w:val="22"/>
          <w:szCs w:val="22"/>
          <w:lang w:val="es-ES"/>
        </w:rPr>
        <w:t xml:space="preserve"> </w:t>
      </w:r>
      <w:proofErr w:type="spellStart"/>
      <w:r>
        <w:rPr>
          <w:rFonts w:eastAsia="Palatino Linotype"/>
          <w:sz w:val="22"/>
          <w:szCs w:val="22"/>
          <w:lang w:val="es-ES"/>
        </w:rPr>
        <w:t>the</w:t>
      </w:r>
      <w:proofErr w:type="spellEnd"/>
      <w:r>
        <w:rPr>
          <w:rFonts w:eastAsia="Palatino Linotype"/>
          <w:sz w:val="22"/>
          <w:szCs w:val="22"/>
          <w:lang w:val="es-ES"/>
        </w:rPr>
        <w:t xml:space="preserve"> </w:t>
      </w:r>
      <w:proofErr w:type="spellStart"/>
      <w:r>
        <w:rPr>
          <w:rFonts w:eastAsia="Palatino Linotype"/>
          <w:sz w:val="22"/>
          <w:szCs w:val="22"/>
          <w:lang w:val="es-ES"/>
        </w:rPr>
        <w:t>agency</w:t>
      </w:r>
      <w:proofErr w:type="spellEnd"/>
      <w:r>
        <w:rPr>
          <w:rFonts w:eastAsia="Palatino Linotype"/>
          <w:sz w:val="22"/>
          <w:szCs w:val="22"/>
          <w:lang w:val="es-ES"/>
        </w:rPr>
        <w:t xml:space="preserve">, once </w:t>
      </w:r>
      <w:proofErr w:type="spellStart"/>
      <w:r>
        <w:rPr>
          <w:rFonts w:eastAsia="Palatino Linotype"/>
          <w:sz w:val="22"/>
          <w:szCs w:val="22"/>
          <w:lang w:val="es-ES"/>
        </w:rPr>
        <w:t>the</w:t>
      </w:r>
      <w:proofErr w:type="spellEnd"/>
      <w:r>
        <w:rPr>
          <w:rFonts w:eastAsia="Palatino Linotype"/>
          <w:sz w:val="22"/>
          <w:szCs w:val="22"/>
          <w:lang w:val="es-ES"/>
        </w:rPr>
        <w:t xml:space="preserve"> </w:t>
      </w:r>
      <w:proofErr w:type="spellStart"/>
      <w:r>
        <w:rPr>
          <w:rFonts w:eastAsia="Palatino Linotype"/>
          <w:sz w:val="22"/>
          <w:szCs w:val="22"/>
          <w:lang w:val="es-ES"/>
        </w:rPr>
        <w:t>decision</w:t>
      </w:r>
      <w:proofErr w:type="spellEnd"/>
      <w:r>
        <w:rPr>
          <w:rFonts w:eastAsia="Palatino Linotype"/>
          <w:sz w:val="22"/>
          <w:szCs w:val="22"/>
          <w:lang w:val="es-ES"/>
        </w:rPr>
        <w:t xml:space="preserve"> </w:t>
      </w:r>
      <w:proofErr w:type="spellStart"/>
      <w:r>
        <w:rPr>
          <w:rFonts w:eastAsia="Palatino Linotype"/>
          <w:sz w:val="22"/>
          <w:szCs w:val="22"/>
          <w:lang w:val="es-ES"/>
        </w:rPr>
        <w:t>of</w:t>
      </w:r>
      <w:proofErr w:type="spellEnd"/>
      <w:r>
        <w:rPr>
          <w:rFonts w:eastAsia="Palatino Linotype"/>
          <w:sz w:val="22"/>
          <w:szCs w:val="22"/>
          <w:lang w:val="es-ES"/>
        </w:rPr>
        <w:t xml:space="preserve"> </w:t>
      </w:r>
      <w:proofErr w:type="spellStart"/>
      <w:r>
        <w:rPr>
          <w:rFonts w:eastAsia="Palatino Linotype"/>
          <w:sz w:val="22"/>
          <w:szCs w:val="22"/>
          <w:lang w:val="es-ES"/>
        </w:rPr>
        <w:t>the</w:t>
      </w:r>
      <w:proofErr w:type="spellEnd"/>
      <w:r>
        <w:rPr>
          <w:rFonts w:eastAsia="Palatino Linotype"/>
          <w:sz w:val="22"/>
          <w:szCs w:val="22"/>
          <w:lang w:val="es-ES"/>
        </w:rPr>
        <w:t xml:space="preserve"> </w:t>
      </w:r>
      <w:proofErr w:type="spellStart"/>
      <w:r>
        <w:rPr>
          <w:rFonts w:eastAsia="Palatino Linotype"/>
          <w:sz w:val="22"/>
          <w:szCs w:val="22"/>
          <w:lang w:val="es-ES"/>
        </w:rPr>
        <w:t>Advisory</w:t>
      </w:r>
      <w:proofErr w:type="spellEnd"/>
      <w:r>
        <w:rPr>
          <w:rFonts w:eastAsia="Palatino Linotype"/>
          <w:sz w:val="22"/>
          <w:szCs w:val="22"/>
          <w:lang w:val="es-ES"/>
        </w:rPr>
        <w:t xml:space="preserve"> </w:t>
      </w:r>
      <w:proofErr w:type="spellStart"/>
      <w:r>
        <w:rPr>
          <w:rFonts w:eastAsia="Palatino Linotype"/>
          <w:sz w:val="22"/>
          <w:szCs w:val="22"/>
          <w:lang w:val="es-ES"/>
        </w:rPr>
        <w:t>Committee</w:t>
      </w:r>
      <w:proofErr w:type="spellEnd"/>
      <w:r>
        <w:rPr>
          <w:rFonts w:eastAsia="Palatino Linotype"/>
          <w:sz w:val="22"/>
          <w:szCs w:val="22"/>
          <w:lang w:val="es-ES"/>
        </w:rPr>
        <w:t xml:space="preserve"> </w:t>
      </w:r>
      <w:proofErr w:type="spellStart"/>
      <w:r>
        <w:rPr>
          <w:rFonts w:eastAsia="Palatino Linotype"/>
          <w:sz w:val="22"/>
          <w:szCs w:val="22"/>
          <w:lang w:val="es-ES"/>
        </w:rPr>
        <w:t>on</w:t>
      </w:r>
      <w:proofErr w:type="spellEnd"/>
      <w:r>
        <w:rPr>
          <w:rFonts w:eastAsia="Palatino Linotype"/>
          <w:sz w:val="22"/>
          <w:szCs w:val="22"/>
          <w:lang w:val="es-ES"/>
        </w:rPr>
        <w:t xml:space="preserve"> </w:t>
      </w:r>
      <w:proofErr w:type="spellStart"/>
      <w:r>
        <w:rPr>
          <w:rFonts w:eastAsia="Palatino Linotype"/>
          <w:sz w:val="22"/>
          <w:szCs w:val="22"/>
          <w:lang w:val="es-ES"/>
        </w:rPr>
        <w:t>Awards</w:t>
      </w:r>
      <w:proofErr w:type="spellEnd"/>
      <w:r>
        <w:rPr>
          <w:rFonts w:eastAsia="Palatino Linotype"/>
          <w:sz w:val="22"/>
          <w:szCs w:val="22"/>
          <w:lang w:val="es-ES"/>
        </w:rPr>
        <w:t xml:space="preserve"> has </w:t>
      </w:r>
      <w:proofErr w:type="spellStart"/>
      <w:r>
        <w:rPr>
          <w:rFonts w:eastAsia="Palatino Linotype"/>
          <w:sz w:val="22"/>
          <w:szCs w:val="22"/>
          <w:lang w:val="es-ES"/>
        </w:rPr>
        <w:t>been</w:t>
      </w:r>
      <w:proofErr w:type="spellEnd"/>
      <w:r>
        <w:rPr>
          <w:rFonts w:eastAsia="Palatino Linotype"/>
          <w:sz w:val="22"/>
          <w:szCs w:val="22"/>
          <w:lang w:val="es-ES"/>
        </w:rPr>
        <w:t xml:space="preserve"> </w:t>
      </w:r>
      <w:proofErr w:type="spellStart"/>
      <w:r>
        <w:rPr>
          <w:rFonts w:eastAsia="Palatino Linotype"/>
          <w:sz w:val="22"/>
          <w:szCs w:val="22"/>
          <w:lang w:val="es-ES"/>
        </w:rPr>
        <w:t>obtained</w:t>
      </w:r>
      <w:proofErr w:type="spellEnd"/>
      <w:r>
        <w:rPr>
          <w:rFonts w:eastAsia="Palatino Linotype"/>
          <w:sz w:val="22"/>
          <w:szCs w:val="22"/>
          <w:lang w:val="es-ES"/>
        </w:rPr>
        <w:t xml:space="preserve"> and </w:t>
      </w:r>
      <w:proofErr w:type="spellStart"/>
      <w:r>
        <w:rPr>
          <w:rFonts w:eastAsia="Palatino Linotype"/>
          <w:sz w:val="22"/>
          <w:szCs w:val="22"/>
          <w:lang w:val="es-ES"/>
        </w:rPr>
        <w:t>before</w:t>
      </w:r>
      <w:proofErr w:type="spellEnd"/>
      <w:r>
        <w:rPr>
          <w:rFonts w:eastAsia="Palatino Linotype"/>
          <w:sz w:val="22"/>
          <w:szCs w:val="22"/>
          <w:lang w:val="es-ES"/>
        </w:rPr>
        <w:t xml:space="preserve"> </w:t>
      </w:r>
      <w:proofErr w:type="spellStart"/>
      <w:r>
        <w:rPr>
          <w:rFonts w:eastAsia="Palatino Linotype"/>
          <w:sz w:val="22"/>
          <w:szCs w:val="22"/>
          <w:lang w:val="es-ES"/>
        </w:rPr>
        <w:t>the</w:t>
      </w:r>
      <w:proofErr w:type="spellEnd"/>
      <w:r>
        <w:rPr>
          <w:rFonts w:eastAsia="Palatino Linotype"/>
          <w:sz w:val="22"/>
          <w:szCs w:val="22"/>
          <w:lang w:val="es-ES"/>
        </w:rPr>
        <w:t xml:space="preserve"> </w:t>
      </w:r>
      <w:proofErr w:type="spellStart"/>
      <w:r>
        <w:rPr>
          <w:rFonts w:eastAsia="Palatino Linotype"/>
          <w:sz w:val="22"/>
          <w:szCs w:val="22"/>
          <w:lang w:val="es-ES"/>
        </w:rPr>
        <w:t>award</w:t>
      </w:r>
      <w:proofErr w:type="spellEnd"/>
      <w:r>
        <w:rPr>
          <w:rFonts w:eastAsia="Palatino Linotype"/>
          <w:sz w:val="22"/>
          <w:szCs w:val="22"/>
          <w:lang w:val="es-ES"/>
        </w:rPr>
        <w:t xml:space="preserve"> </w:t>
      </w:r>
      <w:proofErr w:type="spellStart"/>
      <w:r>
        <w:rPr>
          <w:rFonts w:eastAsia="Palatino Linotype"/>
          <w:sz w:val="22"/>
          <w:szCs w:val="22"/>
          <w:lang w:val="es-ES"/>
        </w:rPr>
        <w:t>or</w:t>
      </w:r>
      <w:proofErr w:type="spellEnd"/>
      <w:r>
        <w:rPr>
          <w:rFonts w:eastAsia="Palatino Linotype"/>
          <w:sz w:val="22"/>
          <w:szCs w:val="22"/>
          <w:lang w:val="es-ES"/>
        </w:rPr>
        <w:t xml:space="preserve"> </w:t>
      </w:r>
      <w:proofErr w:type="spellStart"/>
      <w:r>
        <w:rPr>
          <w:rFonts w:eastAsia="Palatino Linotype"/>
          <w:sz w:val="22"/>
          <w:szCs w:val="22"/>
          <w:lang w:val="es-ES"/>
        </w:rPr>
        <w:t>rejection</w:t>
      </w:r>
      <w:proofErr w:type="spellEnd"/>
      <w:r>
        <w:rPr>
          <w:rFonts w:eastAsia="Palatino Linotype"/>
          <w:sz w:val="22"/>
          <w:szCs w:val="22"/>
          <w:lang w:val="es-ES"/>
        </w:rPr>
        <w:t xml:space="preserve"> </w:t>
      </w:r>
      <w:proofErr w:type="spellStart"/>
      <w:r>
        <w:rPr>
          <w:rFonts w:eastAsia="Palatino Linotype"/>
          <w:sz w:val="22"/>
          <w:szCs w:val="22"/>
          <w:lang w:val="es-ES"/>
        </w:rPr>
        <w:t>of</w:t>
      </w:r>
      <w:proofErr w:type="spellEnd"/>
      <w:r>
        <w:rPr>
          <w:rFonts w:eastAsia="Palatino Linotype"/>
          <w:sz w:val="22"/>
          <w:szCs w:val="22"/>
          <w:lang w:val="es-ES"/>
        </w:rPr>
        <w:t xml:space="preserve"> </w:t>
      </w:r>
      <w:proofErr w:type="spellStart"/>
      <w:r>
        <w:rPr>
          <w:rFonts w:eastAsia="Palatino Linotype"/>
          <w:sz w:val="22"/>
          <w:szCs w:val="22"/>
          <w:lang w:val="es-ES"/>
        </w:rPr>
        <w:t>the</w:t>
      </w:r>
      <w:proofErr w:type="spellEnd"/>
      <w:r>
        <w:rPr>
          <w:rFonts w:eastAsia="Palatino Linotype"/>
          <w:sz w:val="22"/>
          <w:szCs w:val="22"/>
          <w:lang w:val="es-ES"/>
        </w:rPr>
        <w:t xml:space="preserve"> </w:t>
      </w:r>
      <w:proofErr w:type="spellStart"/>
      <w:r>
        <w:rPr>
          <w:rFonts w:eastAsia="Palatino Linotype"/>
          <w:sz w:val="22"/>
          <w:szCs w:val="22"/>
          <w:lang w:val="es-ES"/>
        </w:rPr>
        <w:t>offers</w:t>
      </w:r>
      <w:proofErr w:type="spellEnd"/>
      <w:r>
        <w:rPr>
          <w:rFonts w:eastAsia="Palatino Linotype"/>
          <w:sz w:val="22"/>
          <w:szCs w:val="22"/>
          <w:lang w:val="es-ES"/>
        </w:rPr>
        <w:t xml:space="preserve"> </w:t>
      </w:r>
      <w:proofErr w:type="spellStart"/>
      <w:r>
        <w:rPr>
          <w:rFonts w:eastAsia="Palatino Linotype"/>
          <w:sz w:val="22"/>
          <w:szCs w:val="22"/>
          <w:lang w:val="es-ES"/>
        </w:rPr>
        <w:t>for</w:t>
      </w:r>
      <w:proofErr w:type="spellEnd"/>
      <w:r>
        <w:rPr>
          <w:rFonts w:eastAsia="Palatino Linotype"/>
          <w:sz w:val="22"/>
          <w:szCs w:val="22"/>
          <w:lang w:val="es-ES"/>
        </w:rPr>
        <w:t xml:space="preserve"> </w:t>
      </w:r>
      <w:proofErr w:type="spellStart"/>
      <w:r>
        <w:rPr>
          <w:rFonts w:eastAsia="Palatino Linotype"/>
          <w:sz w:val="22"/>
          <w:szCs w:val="22"/>
          <w:lang w:val="es-ES"/>
        </w:rPr>
        <w:t>departure</w:t>
      </w:r>
      <w:proofErr w:type="spellEnd"/>
      <w:r>
        <w:rPr>
          <w:rFonts w:eastAsia="Palatino Linotype"/>
          <w:sz w:val="22"/>
          <w:szCs w:val="22"/>
          <w:lang w:val="es-ES"/>
        </w:rPr>
        <w:t xml:space="preserve"> </w:t>
      </w:r>
      <w:proofErr w:type="spellStart"/>
      <w:r>
        <w:rPr>
          <w:rFonts w:eastAsia="Palatino Linotype"/>
          <w:sz w:val="22"/>
          <w:szCs w:val="22"/>
          <w:lang w:val="es-ES"/>
        </w:rPr>
        <w:t>from</w:t>
      </w:r>
      <w:proofErr w:type="spellEnd"/>
      <w:r>
        <w:rPr>
          <w:rFonts w:eastAsia="Palatino Linotype"/>
          <w:sz w:val="22"/>
          <w:szCs w:val="22"/>
          <w:lang w:val="es-ES"/>
        </w:rPr>
        <w:t xml:space="preserve"> </w:t>
      </w:r>
      <w:proofErr w:type="spellStart"/>
      <w:r>
        <w:rPr>
          <w:rFonts w:eastAsia="Palatino Linotype"/>
          <w:sz w:val="22"/>
          <w:szCs w:val="22"/>
          <w:lang w:val="es-ES"/>
        </w:rPr>
        <w:t>the</w:t>
      </w:r>
      <w:proofErr w:type="spellEnd"/>
      <w:r>
        <w:rPr>
          <w:rFonts w:eastAsia="Palatino Linotype"/>
          <w:sz w:val="22"/>
          <w:szCs w:val="22"/>
          <w:lang w:val="es-ES"/>
        </w:rPr>
        <w:t xml:space="preserve"> rules </w:t>
      </w:r>
      <w:proofErr w:type="spellStart"/>
      <w:r>
        <w:rPr>
          <w:rFonts w:eastAsia="Palatino Linotype"/>
          <w:sz w:val="22"/>
          <w:szCs w:val="22"/>
          <w:lang w:val="es-ES"/>
        </w:rPr>
        <w:t>or</w:t>
      </w:r>
      <w:proofErr w:type="spellEnd"/>
      <w:r>
        <w:rPr>
          <w:rFonts w:eastAsia="Palatino Linotype"/>
          <w:sz w:val="22"/>
          <w:szCs w:val="22"/>
          <w:lang w:val="es-ES"/>
        </w:rPr>
        <w:t xml:space="preserve"> </w:t>
      </w:r>
      <w:proofErr w:type="spellStart"/>
      <w:r>
        <w:rPr>
          <w:rFonts w:eastAsia="Palatino Linotype"/>
          <w:sz w:val="22"/>
          <w:szCs w:val="22"/>
          <w:lang w:val="es-ES"/>
        </w:rPr>
        <w:t>pre-established</w:t>
      </w:r>
      <w:proofErr w:type="spellEnd"/>
      <w:r>
        <w:rPr>
          <w:rFonts w:eastAsia="Palatino Linotype"/>
          <w:sz w:val="22"/>
          <w:szCs w:val="22"/>
          <w:lang w:val="es-ES"/>
        </w:rPr>
        <w:t xml:space="preserve"> </w:t>
      </w:r>
      <w:proofErr w:type="spellStart"/>
      <w:r>
        <w:rPr>
          <w:rFonts w:eastAsia="Palatino Linotype"/>
          <w:sz w:val="22"/>
          <w:szCs w:val="22"/>
          <w:lang w:val="es-ES"/>
        </w:rPr>
        <w:t>conditions</w:t>
      </w:r>
      <w:proofErr w:type="spellEnd"/>
      <w:r>
        <w:rPr>
          <w:rFonts w:eastAsia="Palatino Linotype"/>
          <w:sz w:val="22"/>
          <w:szCs w:val="22"/>
          <w:lang w:val="es-ES"/>
        </w:rPr>
        <w:t xml:space="preserve">, </w:t>
      </w:r>
      <w:proofErr w:type="spellStart"/>
      <w:r>
        <w:rPr>
          <w:rFonts w:eastAsia="Palatino Linotype"/>
          <w:sz w:val="22"/>
          <w:szCs w:val="22"/>
          <w:lang w:val="es-ES"/>
        </w:rPr>
        <w:t>the</w:t>
      </w:r>
      <w:proofErr w:type="spellEnd"/>
      <w:r>
        <w:rPr>
          <w:rFonts w:eastAsia="Palatino Linotype"/>
          <w:sz w:val="22"/>
          <w:szCs w:val="22"/>
          <w:lang w:val="es-ES"/>
        </w:rPr>
        <w:t xml:space="preserve"> </w:t>
      </w:r>
      <w:proofErr w:type="spellStart"/>
      <w:r>
        <w:rPr>
          <w:rFonts w:eastAsia="Palatino Linotype"/>
          <w:sz w:val="22"/>
          <w:szCs w:val="22"/>
          <w:lang w:val="es-ES"/>
        </w:rPr>
        <w:t>Administration</w:t>
      </w:r>
      <w:proofErr w:type="spellEnd"/>
      <w:r>
        <w:rPr>
          <w:rFonts w:eastAsia="Palatino Linotype"/>
          <w:sz w:val="22"/>
          <w:szCs w:val="22"/>
          <w:lang w:val="es-ES"/>
        </w:rPr>
        <w:t xml:space="preserve"> </w:t>
      </w:r>
      <w:proofErr w:type="spellStart"/>
      <w:r>
        <w:rPr>
          <w:rFonts w:eastAsia="Palatino Linotype"/>
          <w:sz w:val="22"/>
          <w:szCs w:val="22"/>
          <w:lang w:val="es-ES"/>
        </w:rPr>
        <w:t>must</w:t>
      </w:r>
      <w:proofErr w:type="spellEnd"/>
      <w:r>
        <w:rPr>
          <w:rFonts w:eastAsia="Palatino Linotype"/>
          <w:sz w:val="22"/>
          <w:szCs w:val="22"/>
          <w:lang w:val="es-ES"/>
        </w:rPr>
        <w:t xml:space="preserve"> </w:t>
      </w:r>
      <w:proofErr w:type="spellStart"/>
      <w:r>
        <w:rPr>
          <w:rFonts w:eastAsia="Palatino Linotype"/>
          <w:sz w:val="22"/>
          <w:szCs w:val="22"/>
          <w:lang w:val="es-ES"/>
        </w:rPr>
        <w:t>give</w:t>
      </w:r>
      <w:proofErr w:type="spellEnd"/>
      <w:r>
        <w:rPr>
          <w:rFonts w:eastAsia="Palatino Linotype"/>
          <w:sz w:val="22"/>
          <w:szCs w:val="22"/>
          <w:lang w:val="es-ES"/>
        </w:rPr>
        <w:t xml:space="preserve"> </w:t>
      </w:r>
      <w:proofErr w:type="spellStart"/>
      <w:r>
        <w:rPr>
          <w:rFonts w:eastAsia="Palatino Linotype"/>
          <w:sz w:val="22"/>
          <w:szCs w:val="22"/>
          <w:lang w:val="es-ES"/>
        </w:rPr>
        <w:t>the</w:t>
      </w:r>
      <w:proofErr w:type="spellEnd"/>
      <w:r>
        <w:rPr>
          <w:rFonts w:eastAsia="Palatino Linotype"/>
          <w:sz w:val="22"/>
          <w:szCs w:val="22"/>
          <w:lang w:val="es-ES"/>
        </w:rPr>
        <w:t xml:space="preserve"> </w:t>
      </w:r>
      <w:proofErr w:type="spellStart"/>
      <w:r>
        <w:rPr>
          <w:rFonts w:eastAsia="Palatino Linotype"/>
          <w:sz w:val="22"/>
          <w:szCs w:val="22"/>
          <w:lang w:val="es-ES"/>
        </w:rPr>
        <w:t>bidders</w:t>
      </w:r>
      <w:proofErr w:type="spellEnd"/>
      <w:r>
        <w:rPr>
          <w:rFonts w:eastAsia="Palatino Linotype"/>
          <w:sz w:val="22"/>
          <w:szCs w:val="22"/>
          <w:lang w:val="es-ES"/>
        </w:rPr>
        <w:t xml:space="preserve"> </w:t>
      </w:r>
      <w:proofErr w:type="spellStart"/>
      <w:r>
        <w:rPr>
          <w:rFonts w:eastAsia="Palatino Linotype"/>
          <w:sz w:val="22"/>
          <w:szCs w:val="22"/>
          <w:lang w:val="es-ES"/>
        </w:rPr>
        <w:t>access</w:t>
      </w:r>
      <w:proofErr w:type="spellEnd"/>
      <w:r>
        <w:rPr>
          <w:rFonts w:eastAsia="Palatino Linotype"/>
          <w:sz w:val="22"/>
          <w:szCs w:val="22"/>
          <w:lang w:val="es-ES"/>
        </w:rPr>
        <w:t xml:space="preserve"> </w:t>
      </w:r>
      <w:proofErr w:type="spellStart"/>
      <w:r>
        <w:rPr>
          <w:rFonts w:eastAsia="Palatino Linotype"/>
          <w:sz w:val="22"/>
          <w:szCs w:val="22"/>
          <w:lang w:val="es-ES"/>
        </w:rPr>
        <w:t>to</w:t>
      </w:r>
      <w:proofErr w:type="spellEnd"/>
      <w:r>
        <w:rPr>
          <w:rFonts w:eastAsia="Palatino Linotype"/>
          <w:sz w:val="22"/>
          <w:szCs w:val="22"/>
          <w:lang w:val="es-ES"/>
        </w:rPr>
        <w:t xml:space="preserve"> </w:t>
      </w:r>
      <w:proofErr w:type="spellStart"/>
      <w:r>
        <w:rPr>
          <w:rFonts w:eastAsia="Palatino Linotype"/>
          <w:sz w:val="22"/>
          <w:szCs w:val="22"/>
          <w:lang w:val="es-ES"/>
        </w:rPr>
        <w:t>the</w:t>
      </w:r>
      <w:proofErr w:type="spellEnd"/>
      <w:r>
        <w:rPr>
          <w:rFonts w:eastAsia="Palatino Linotype"/>
          <w:sz w:val="22"/>
          <w:szCs w:val="22"/>
          <w:lang w:val="es-ES"/>
        </w:rPr>
        <w:t xml:space="preserve"> file, </w:t>
      </w:r>
      <w:proofErr w:type="spellStart"/>
      <w:r>
        <w:rPr>
          <w:rFonts w:eastAsia="Palatino Linotype"/>
          <w:sz w:val="22"/>
          <w:szCs w:val="22"/>
          <w:lang w:val="es-ES"/>
        </w:rPr>
        <w:t>except</w:t>
      </w:r>
      <w:proofErr w:type="spellEnd"/>
      <w:r>
        <w:rPr>
          <w:rFonts w:eastAsia="Palatino Linotype"/>
          <w:sz w:val="22"/>
          <w:szCs w:val="22"/>
          <w:lang w:val="es-ES"/>
        </w:rPr>
        <w:t xml:space="preserve"> </w:t>
      </w:r>
      <w:proofErr w:type="spellStart"/>
      <w:r>
        <w:rPr>
          <w:rFonts w:eastAsia="Palatino Linotype"/>
          <w:sz w:val="22"/>
          <w:szCs w:val="22"/>
          <w:lang w:val="es-ES"/>
        </w:rPr>
        <w:t>for</w:t>
      </w:r>
      <w:proofErr w:type="spellEnd"/>
      <w:r>
        <w:rPr>
          <w:rFonts w:eastAsia="Palatino Linotype"/>
          <w:sz w:val="22"/>
          <w:szCs w:val="22"/>
          <w:lang w:val="es-ES"/>
        </w:rPr>
        <w:t xml:space="preserve"> </w:t>
      </w:r>
      <w:proofErr w:type="spellStart"/>
      <w:r>
        <w:rPr>
          <w:rFonts w:eastAsia="Palatino Linotype"/>
          <w:sz w:val="22"/>
          <w:szCs w:val="22"/>
          <w:lang w:val="es-ES"/>
        </w:rPr>
        <w:t>that</w:t>
      </w:r>
      <w:proofErr w:type="spellEnd"/>
      <w:r>
        <w:rPr>
          <w:rFonts w:eastAsia="Palatino Linotype"/>
          <w:sz w:val="22"/>
          <w:szCs w:val="22"/>
          <w:lang w:val="es-ES"/>
        </w:rPr>
        <w:t xml:space="preserve"> </w:t>
      </w:r>
      <w:proofErr w:type="spellStart"/>
      <w:r>
        <w:rPr>
          <w:rFonts w:eastAsia="Palatino Linotype"/>
          <w:sz w:val="22"/>
          <w:szCs w:val="22"/>
          <w:lang w:val="es-ES"/>
        </w:rPr>
        <w:t>confidential</w:t>
      </w:r>
      <w:proofErr w:type="spellEnd"/>
      <w:r>
        <w:rPr>
          <w:rFonts w:eastAsia="Palatino Linotype"/>
          <w:sz w:val="22"/>
          <w:szCs w:val="22"/>
          <w:lang w:val="es-ES"/>
        </w:rPr>
        <w:t xml:space="preserve"> </w:t>
      </w:r>
      <w:proofErr w:type="spellStart"/>
      <w:r>
        <w:rPr>
          <w:rFonts w:eastAsia="Palatino Linotype"/>
          <w:sz w:val="22"/>
          <w:szCs w:val="22"/>
          <w:lang w:val="es-ES"/>
        </w:rPr>
        <w:t>information</w:t>
      </w:r>
      <w:proofErr w:type="spellEnd"/>
      <w:r>
        <w:rPr>
          <w:rFonts w:eastAsia="Palatino Linotype"/>
          <w:sz w:val="22"/>
          <w:szCs w:val="22"/>
          <w:lang w:val="es-ES"/>
        </w:rPr>
        <w:t xml:space="preserve"> </w:t>
      </w:r>
      <w:proofErr w:type="spellStart"/>
      <w:r>
        <w:rPr>
          <w:rFonts w:eastAsia="Palatino Linotype"/>
          <w:sz w:val="22"/>
          <w:szCs w:val="22"/>
          <w:lang w:val="es-ES"/>
        </w:rPr>
        <w:t>contained</w:t>
      </w:r>
      <w:proofErr w:type="spellEnd"/>
      <w:r>
        <w:rPr>
          <w:rFonts w:eastAsia="Palatino Linotype"/>
          <w:sz w:val="22"/>
          <w:szCs w:val="22"/>
          <w:lang w:val="es-ES"/>
        </w:rPr>
        <w:t xml:space="preserve"> in </w:t>
      </w:r>
      <w:proofErr w:type="spellStart"/>
      <w:r>
        <w:rPr>
          <w:rFonts w:eastAsia="Palatino Linotype"/>
          <w:sz w:val="22"/>
          <w:szCs w:val="22"/>
          <w:lang w:val="es-ES"/>
        </w:rPr>
        <w:t>the</w:t>
      </w:r>
      <w:proofErr w:type="spellEnd"/>
      <w:r>
        <w:rPr>
          <w:rFonts w:eastAsia="Palatino Linotype"/>
          <w:sz w:val="22"/>
          <w:szCs w:val="22"/>
          <w:lang w:val="es-ES"/>
        </w:rPr>
        <w:t xml:space="preserve"> </w:t>
      </w:r>
      <w:proofErr w:type="spellStart"/>
      <w:r>
        <w:rPr>
          <w:rFonts w:eastAsia="Palatino Linotype"/>
          <w:sz w:val="22"/>
          <w:szCs w:val="22"/>
          <w:lang w:val="es-ES"/>
        </w:rPr>
        <w:t>offers</w:t>
      </w:r>
      <w:proofErr w:type="spellEnd"/>
      <w:r>
        <w:rPr>
          <w:rFonts w:eastAsia="Palatino Linotype"/>
          <w:sz w:val="22"/>
          <w:szCs w:val="22"/>
          <w:lang w:val="es-ES"/>
        </w:rPr>
        <w:t xml:space="preserve"> </w:t>
      </w:r>
      <w:proofErr w:type="spellStart"/>
      <w:r>
        <w:rPr>
          <w:rFonts w:eastAsia="Palatino Linotype"/>
          <w:sz w:val="22"/>
          <w:szCs w:val="22"/>
          <w:lang w:val="es-ES"/>
        </w:rPr>
        <w:t>with</w:t>
      </w:r>
      <w:proofErr w:type="spellEnd"/>
      <w:r>
        <w:rPr>
          <w:rFonts w:eastAsia="Palatino Linotype"/>
          <w:sz w:val="22"/>
          <w:szCs w:val="22"/>
          <w:lang w:val="es-ES"/>
        </w:rPr>
        <w:t xml:space="preserve"> </w:t>
      </w:r>
      <w:proofErr w:type="spellStart"/>
      <w:r>
        <w:rPr>
          <w:rFonts w:eastAsia="Palatino Linotype"/>
          <w:sz w:val="22"/>
          <w:szCs w:val="22"/>
          <w:lang w:val="es-ES"/>
        </w:rPr>
        <w:t>respect</w:t>
      </w:r>
      <w:proofErr w:type="spellEnd"/>
      <w:r>
        <w:rPr>
          <w:rFonts w:eastAsia="Palatino Linotype"/>
          <w:sz w:val="22"/>
          <w:szCs w:val="22"/>
          <w:lang w:val="es-ES"/>
        </w:rPr>
        <w:t xml:space="preserve"> </w:t>
      </w:r>
      <w:proofErr w:type="spellStart"/>
      <w:r>
        <w:rPr>
          <w:rFonts w:eastAsia="Palatino Linotype"/>
          <w:sz w:val="22"/>
          <w:szCs w:val="22"/>
          <w:lang w:val="es-ES"/>
        </w:rPr>
        <w:t>to</w:t>
      </w:r>
      <w:proofErr w:type="spellEnd"/>
      <w:r>
        <w:rPr>
          <w:rFonts w:eastAsia="Palatino Linotype"/>
          <w:sz w:val="22"/>
          <w:szCs w:val="22"/>
          <w:lang w:val="es-ES"/>
        </w:rPr>
        <w:t xml:space="preserve"> </w:t>
      </w:r>
      <w:proofErr w:type="spellStart"/>
      <w:r>
        <w:rPr>
          <w:rFonts w:eastAsia="Palatino Linotype"/>
          <w:sz w:val="22"/>
          <w:szCs w:val="22"/>
          <w:lang w:val="es-ES"/>
        </w:rPr>
        <w:t>which</w:t>
      </w:r>
      <w:proofErr w:type="spellEnd"/>
      <w:r>
        <w:rPr>
          <w:rFonts w:eastAsia="Palatino Linotype"/>
          <w:sz w:val="22"/>
          <w:szCs w:val="22"/>
          <w:lang w:val="es-ES"/>
        </w:rPr>
        <w:t xml:space="preserve"> </w:t>
      </w:r>
      <w:proofErr w:type="spellStart"/>
      <w:r>
        <w:rPr>
          <w:rFonts w:eastAsia="Palatino Linotype"/>
          <w:sz w:val="22"/>
          <w:szCs w:val="22"/>
          <w:lang w:val="es-ES"/>
        </w:rPr>
        <w:t>the</w:t>
      </w:r>
      <w:proofErr w:type="spellEnd"/>
      <w:r>
        <w:rPr>
          <w:rFonts w:eastAsia="Palatino Linotype"/>
          <w:sz w:val="22"/>
          <w:szCs w:val="22"/>
          <w:lang w:val="es-ES"/>
        </w:rPr>
        <w:t xml:space="preserve"> </w:t>
      </w:r>
      <w:proofErr w:type="spellStart"/>
      <w:r>
        <w:rPr>
          <w:rFonts w:eastAsia="Palatino Linotype"/>
          <w:sz w:val="22"/>
          <w:szCs w:val="22"/>
          <w:lang w:val="es-ES"/>
        </w:rPr>
        <w:t>current</w:t>
      </w:r>
      <w:proofErr w:type="spellEnd"/>
      <w:r>
        <w:rPr>
          <w:rFonts w:eastAsia="Palatino Linotype"/>
          <w:sz w:val="22"/>
          <w:szCs w:val="22"/>
          <w:lang w:val="es-ES"/>
        </w:rPr>
        <w:t xml:space="preserve"> </w:t>
      </w:r>
      <w:proofErr w:type="spellStart"/>
      <w:r>
        <w:rPr>
          <w:rFonts w:eastAsia="Palatino Linotype"/>
          <w:sz w:val="22"/>
          <w:szCs w:val="22"/>
          <w:lang w:val="es-ES"/>
        </w:rPr>
        <w:t>regulations</w:t>
      </w:r>
      <w:proofErr w:type="spellEnd"/>
      <w:r>
        <w:rPr>
          <w:rFonts w:eastAsia="Palatino Linotype"/>
          <w:sz w:val="22"/>
          <w:szCs w:val="22"/>
          <w:lang w:val="es-ES"/>
        </w:rPr>
        <w:t xml:space="preserve"> </w:t>
      </w:r>
      <w:proofErr w:type="spellStart"/>
      <w:r>
        <w:rPr>
          <w:rFonts w:eastAsia="Palatino Linotype"/>
          <w:sz w:val="22"/>
          <w:szCs w:val="22"/>
          <w:lang w:val="es-ES"/>
        </w:rPr>
        <w:t>on</w:t>
      </w:r>
      <w:proofErr w:type="spellEnd"/>
      <w:r>
        <w:rPr>
          <w:rFonts w:eastAsia="Palatino Linotype"/>
          <w:sz w:val="22"/>
          <w:szCs w:val="22"/>
          <w:lang w:val="es-ES"/>
        </w:rPr>
        <w:t xml:space="preserve"> </w:t>
      </w:r>
      <w:proofErr w:type="spellStart"/>
      <w:r>
        <w:rPr>
          <w:rFonts w:eastAsia="Palatino Linotype"/>
          <w:sz w:val="22"/>
          <w:szCs w:val="22"/>
          <w:lang w:val="es-ES"/>
        </w:rPr>
        <w:t>the</w:t>
      </w:r>
      <w:proofErr w:type="spellEnd"/>
      <w:r>
        <w:rPr>
          <w:rFonts w:eastAsia="Palatino Linotype"/>
          <w:sz w:val="22"/>
          <w:szCs w:val="22"/>
          <w:lang w:val="es-ES"/>
        </w:rPr>
        <w:t xml:space="preserve"> </w:t>
      </w:r>
      <w:proofErr w:type="spellStart"/>
      <w:r>
        <w:rPr>
          <w:rFonts w:eastAsia="Palatino Linotype"/>
          <w:sz w:val="22"/>
          <w:szCs w:val="22"/>
          <w:lang w:val="es-ES"/>
        </w:rPr>
        <w:t>matter</w:t>
      </w:r>
      <w:proofErr w:type="spellEnd"/>
      <w:r>
        <w:rPr>
          <w:rFonts w:eastAsia="Palatino Linotype"/>
          <w:sz w:val="22"/>
          <w:szCs w:val="22"/>
          <w:lang w:val="es-ES"/>
        </w:rPr>
        <w:t xml:space="preserve"> </w:t>
      </w:r>
      <w:proofErr w:type="spellStart"/>
      <w:r>
        <w:rPr>
          <w:rFonts w:eastAsia="Palatino Linotype"/>
          <w:sz w:val="22"/>
          <w:szCs w:val="22"/>
          <w:lang w:val="es-ES"/>
        </w:rPr>
        <w:t>have</w:t>
      </w:r>
      <w:proofErr w:type="spellEnd"/>
      <w:r>
        <w:rPr>
          <w:rFonts w:eastAsia="Palatino Linotype"/>
          <w:sz w:val="22"/>
          <w:szCs w:val="22"/>
          <w:lang w:val="es-ES"/>
        </w:rPr>
        <w:t xml:space="preserve"> </w:t>
      </w:r>
      <w:proofErr w:type="spellStart"/>
      <w:r>
        <w:rPr>
          <w:rFonts w:eastAsia="Palatino Linotype"/>
          <w:sz w:val="22"/>
          <w:szCs w:val="22"/>
          <w:lang w:val="es-ES"/>
        </w:rPr>
        <w:t>been</w:t>
      </w:r>
      <w:proofErr w:type="spellEnd"/>
      <w:r>
        <w:rPr>
          <w:rFonts w:eastAsia="Palatino Linotype"/>
          <w:sz w:val="22"/>
          <w:szCs w:val="22"/>
          <w:lang w:val="es-ES"/>
        </w:rPr>
        <w:t xml:space="preserve"> </w:t>
      </w:r>
      <w:proofErr w:type="spellStart"/>
      <w:r>
        <w:rPr>
          <w:rFonts w:eastAsia="Palatino Linotype"/>
          <w:sz w:val="22"/>
          <w:szCs w:val="22"/>
          <w:lang w:val="es-ES"/>
        </w:rPr>
        <w:t>complied</w:t>
      </w:r>
      <w:proofErr w:type="spellEnd"/>
      <w:r>
        <w:rPr>
          <w:rFonts w:eastAsia="Palatino Linotype"/>
          <w:sz w:val="22"/>
          <w:szCs w:val="22"/>
          <w:lang w:val="es-ES"/>
        </w:rPr>
        <w:t xml:space="preserve"> </w:t>
      </w:r>
      <w:proofErr w:type="spellStart"/>
      <w:r>
        <w:rPr>
          <w:rFonts w:eastAsia="Palatino Linotype"/>
          <w:sz w:val="22"/>
          <w:szCs w:val="22"/>
          <w:lang w:val="es-ES"/>
        </w:rPr>
        <w:t>with</w:t>
      </w:r>
      <w:proofErr w:type="spellEnd"/>
      <w:r>
        <w:rPr>
          <w:rFonts w:eastAsia="Palatino Linotype"/>
          <w:sz w:val="22"/>
          <w:szCs w:val="22"/>
          <w:lang w:val="es-ES"/>
        </w:rPr>
        <w:t xml:space="preserve"> </w:t>
      </w:r>
      <w:proofErr w:type="spellStart"/>
      <w:r>
        <w:rPr>
          <w:rFonts w:eastAsia="Palatino Linotype"/>
          <w:sz w:val="22"/>
          <w:szCs w:val="22"/>
          <w:lang w:val="es-ES"/>
        </w:rPr>
        <w:t>to</w:t>
      </w:r>
      <w:proofErr w:type="spellEnd"/>
      <w:r>
        <w:rPr>
          <w:rFonts w:eastAsia="Palatino Linotype"/>
          <w:sz w:val="22"/>
          <w:szCs w:val="22"/>
          <w:lang w:val="es-ES"/>
        </w:rPr>
        <w:t xml:space="preserve"> be </w:t>
      </w:r>
      <w:proofErr w:type="spellStart"/>
      <w:r>
        <w:rPr>
          <w:rFonts w:eastAsia="Palatino Linotype"/>
          <w:sz w:val="22"/>
          <w:szCs w:val="22"/>
          <w:lang w:val="es-ES"/>
        </w:rPr>
        <w:t>considered</w:t>
      </w:r>
      <w:proofErr w:type="spellEnd"/>
      <w:r>
        <w:rPr>
          <w:rFonts w:eastAsia="Palatino Linotype"/>
          <w:sz w:val="22"/>
          <w:szCs w:val="22"/>
          <w:lang w:val="es-ES"/>
        </w:rPr>
        <w:t xml:space="preserve"> as </w:t>
      </w:r>
      <w:proofErr w:type="spellStart"/>
      <w:r>
        <w:rPr>
          <w:rFonts w:eastAsia="Palatino Linotype"/>
          <w:sz w:val="22"/>
          <w:szCs w:val="22"/>
          <w:lang w:val="es-ES"/>
        </w:rPr>
        <w:t>such</w:t>
      </w:r>
      <w:proofErr w:type="spellEnd"/>
      <w:r>
        <w:rPr>
          <w:rFonts w:eastAsia="Palatino Linotype"/>
          <w:sz w:val="22"/>
          <w:szCs w:val="22"/>
          <w:lang w:val="es-ES"/>
        </w:rPr>
        <w:t xml:space="preserve"> (Law No. 18,381 and Arts. 28 </w:t>
      </w:r>
      <w:proofErr w:type="spellStart"/>
      <w:r>
        <w:rPr>
          <w:rFonts w:eastAsia="Palatino Linotype"/>
          <w:sz w:val="22"/>
          <w:szCs w:val="22"/>
          <w:lang w:val="es-ES"/>
        </w:rPr>
        <w:t>to</w:t>
      </w:r>
      <w:proofErr w:type="spellEnd"/>
      <w:r>
        <w:rPr>
          <w:rFonts w:eastAsia="Palatino Linotype"/>
          <w:sz w:val="22"/>
          <w:szCs w:val="22"/>
          <w:lang w:val="es-ES"/>
        </w:rPr>
        <w:t xml:space="preserve"> 32 </w:t>
      </w:r>
      <w:proofErr w:type="spellStart"/>
      <w:r>
        <w:rPr>
          <w:rFonts w:eastAsia="Palatino Linotype"/>
          <w:sz w:val="22"/>
          <w:szCs w:val="22"/>
          <w:lang w:val="es-ES"/>
        </w:rPr>
        <w:t>of</w:t>
      </w:r>
      <w:proofErr w:type="spellEnd"/>
      <w:r>
        <w:rPr>
          <w:rFonts w:eastAsia="Palatino Linotype"/>
          <w:sz w:val="22"/>
          <w:szCs w:val="22"/>
          <w:lang w:val="es-ES"/>
        </w:rPr>
        <w:t xml:space="preserve"> Decree No. 232/010) and </w:t>
      </w:r>
      <w:proofErr w:type="spellStart"/>
      <w:r>
        <w:rPr>
          <w:rFonts w:eastAsia="Palatino Linotype"/>
          <w:sz w:val="22"/>
          <w:szCs w:val="22"/>
          <w:lang w:val="es-ES"/>
        </w:rPr>
        <w:t>must</w:t>
      </w:r>
      <w:proofErr w:type="spellEnd"/>
      <w:r>
        <w:rPr>
          <w:rFonts w:eastAsia="Palatino Linotype"/>
          <w:sz w:val="22"/>
          <w:szCs w:val="22"/>
          <w:lang w:val="es-ES"/>
        </w:rPr>
        <w:t xml:space="preserve"> </w:t>
      </w:r>
      <w:proofErr w:type="spellStart"/>
      <w:r>
        <w:rPr>
          <w:rFonts w:eastAsia="Palatino Linotype"/>
          <w:sz w:val="22"/>
          <w:szCs w:val="22"/>
          <w:lang w:val="es-ES"/>
        </w:rPr>
        <w:t>have</w:t>
      </w:r>
      <w:proofErr w:type="spellEnd"/>
      <w:r>
        <w:rPr>
          <w:rFonts w:eastAsia="Palatino Linotype"/>
          <w:sz w:val="22"/>
          <w:szCs w:val="22"/>
          <w:lang w:val="es-ES"/>
        </w:rPr>
        <w:t xml:space="preserve"> </w:t>
      </w:r>
      <w:proofErr w:type="spellStart"/>
      <w:r>
        <w:rPr>
          <w:rFonts w:eastAsia="Palatino Linotype"/>
          <w:sz w:val="22"/>
          <w:szCs w:val="22"/>
          <w:lang w:val="es-ES"/>
        </w:rPr>
        <w:t>been</w:t>
      </w:r>
      <w:proofErr w:type="spellEnd"/>
      <w:r>
        <w:rPr>
          <w:rFonts w:eastAsia="Palatino Linotype"/>
          <w:sz w:val="22"/>
          <w:szCs w:val="22"/>
          <w:lang w:val="es-ES"/>
        </w:rPr>
        <w:t xml:space="preserve"> </w:t>
      </w:r>
      <w:proofErr w:type="spellStart"/>
      <w:r>
        <w:rPr>
          <w:rFonts w:eastAsia="Palatino Linotype"/>
          <w:sz w:val="22"/>
          <w:szCs w:val="22"/>
          <w:lang w:val="es-ES"/>
        </w:rPr>
        <w:t>presented</w:t>
      </w:r>
      <w:proofErr w:type="spellEnd"/>
      <w:r>
        <w:rPr>
          <w:rFonts w:eastAsia="Palatino Linotype"/>
          <w:sz w:val="22"/>
          <w:szCs w:val="22"/>
          <w:lang w:val="es-ES"/>
        </w:rPr>
        <w:t xml:space="preserve"> in </w:t>
      </w:r>
      <w:proofErr w:type="spellStart"/>
      <w:r>
        <w:rPr>
          <w:rFonts w:eastAsia="Palatino Linotype"/>
          <w:sz w:val="22"/>
          <w:szCs w:val="22"/>
          <w:lang w:val="es-ES"/>
        </w:rPr>
        <w:t>that</w:t>
      </w:r>
      <w:proofErr w:type="spellEnd"/>
      <w:r>
        <w:rPr>
          <w:rFonts w:eastAsia="Palatino Linotype"/>
          <w:sz w:val="22"/>
          <w:szCs w:val="22"/>
          <w:lang w:val="es-ES"/>
        </w:rPr>
        <w:t xml:space="preserve"> </w:t>
      </w:r>
      <w:proofErr w:type="spellStart"/>
      <w:r>
        <w:rPr>
          <w:rFonts w:eastAsia="Palatino Linotype"/>
          <w:sz w:val="22"/>
          <w:szCs w:val="22"/>
          <w:lang w:val="es-ES"/>
        </w:rPr>
        <w:t>character</w:t>
      </w:r>
      <w:proofErr w:type="spellEnd"/>
      <w:r>
        <w:rPr>
          <w:rFonts w:eastAsia="Palatino Linotype"/>
          <w:sz w:val="22"/>
          <w:szCs w:val="22"/>
          <w:lang w:val="es-ES"/>
        </w:rPr>
        <w:t xml:space="preserve"> (Art. 10 Law No. 18,381).</w:t>
      </w:r>
    </w:p>
    <w:p w14:paraId="17483A5E" w14:textId="77777777" w:rsidR="00E255F4" w:rsidRDefault="00E255F4">
      <w:pPr>
        <w:ind w:right="-142"/>
        <w:jc w:val="both"/>
        <w:rPr>
          <w:rFonts w:eastAsia="Palatino Linotype"/>
          <w:sz w:val="22"/>
          <w:szCs w:val="22"/>
          <w:lang w:val="es-ES"/>
        </w:rPr>
      </w:pPr>
    </w:p>
    <w:p w14:paraId="48F3DAE0" w14:textId="77777777" w:rsidR="00E255F4" w:rsidRDefault="00000000">
      <w:pPr>
        <w:ind w:right="-142"/>
        <w:jc w:val="both"/>
        <w:rPr>
          <w:rFonts w:eastAsia="Palatino Linotype"/>
          <w:sz w:val="22"/>
          <w:szCs w:val="22"/>
          <w:lang w:val="es-ES"/>
        </w:rPr>
      </w:pPr>
      <w:r>
        <w:rPr>
          <w:rFonts w:eastAsia="Palatino Linotype"/>
          <w:sz w:val="22"/>
          <w:szCs w:val="22"/>
          <w:lang w:val="es-ES"/>
        </w:rPr>
        <w:t xml:space="preserve">For </w:t>
      </w:r>
      <w:proofErr w:type="spellStart"/>
      <w:r>
        <w:rPr>
          <w:rFonts w:eastAsia="Palatino Linotype"/>
          <w:sz w:val="22"/>
          <w:szCs w:val="22"/>
          <w:lang w:val="es-ES"/>
        </w:rPr>
        <w:t>this</w:t>
      </w:r>
      <w:proofErr w:type="spellEnd"/>
      <w:r>
        <w:rPr>
          <w:rFonts w:eastAsia="Palatino Linotype"/>
          <w:sz w:val="22"/>
          <w:szCs w:val="22"/>
          <w:lang w:val="es-ES"/>
        </w:rPr>
        <w:t xml:space="preserve"> </w:t>
      </w:r>
      <w:proofErr w:type="spellStart"/>
      <w:r>
        <w:rPr>
          <w:rFonts w:eastAsia="Palatino Linotype"/>
          <w:sz w:val="22"/>
          <w:szCs w:val="22"/>
          <w:lang w:val="es-ES"/>
        </w:rPr>
        <w:t>purpose</w:t>
      </w:r>
      <w:proofErr w:type="spellEnd"/>
      <w:r>
        <w:rPr>
          <w:rFonts w:eastAsia="Palatino Linotype"/>
          <w:sz w:val="22"/>
          <w:szCs w:val="22"/>
          <w:lang w:val="es-ES"/>
        </w:rPr>
        <w:t xml:space="preserve">, </w:t>
      </w:r>
      <w:proofErr w:type="spellStart"/>
      <w:r>
        <w:rPr>
          <w:rFonts w:eastAsia="Palatino Linotype"/>
          <w:sz w:val="22"/>
          <w:szCs w:val="22"/>
          <w:lang w:val="es-ES"/>
        </w:rPr>
        <w:t>the</w:t>
      </w:r>
      <w:proofErr w:type="spellEnd"/>
      <w:r>
        <w:rPr>
          <w:rFonts w:eastAsia="Palatino Linotype"/>
          <w:sz w:val="22"/>
          <w:szCs w:val="22"/>
          <w:lang w:val="es-ES"/>
        </w:rPr>
        <w:t xml:space="preserve"> file </w:t>
      </w:r>
      <w:proofErr w:type="spellStart"/>
      <w:r>
        <w:rPr>
          <w:rFonts w:eastAsia="Palatino Linotype"/>
          <w:sz w:val="22"/>
          <w:szCs w:val="22"/>
          <w:lang w:val="es-ES"/>
        </w:rPr>
        <w:t>will</w:t>
      </w:r>
      <w:proofErr w:type="spellEnd"/>
      <w:r>
        <w:rPr>
          <w:rFonts w:eastAsia="Palatino Linotype"/>
          <w:sz w:val="22"/>
          <w:szCs w:val="22"/>
          <w:lang w:val="es-ES"/>
        </w:rPr>
        <w:t xml:space="preserve"> be </w:t>
      </w:r>
      <w:proofErr w:type="spellStart"/>
      <w:r>
        <w:rPr>
          <w:rFonts w:eastAsia="Palatino Linotype"/>
          <w:sz w:val="22"/>
          <w:szCs w:val="22"/>
          <w:lang w:val="es-ES"/>
        </w:rPr>
        <w:t>made</w:t>
      </w:r>
      <w:proofErr w:type="spellEnd"/>
      <w:r>
        <w:rPr>
          <w:rFonts w:eastAsia="Palatino Linotype"/>
          <w:sz w:val="22"/>
          <w:szCs w:val="22"/>
          <w:lang w:val="es-ES"/>
        </w:rPr>
        <w:t xml:space="preserve"> </w:t>
      </w:r>
      <w:proofErr w:type="spellStart"/>
      <w:r>
        <w:rPr>
          <w:rFonts w:eastAsia="Palatino Linotype"/>
          <w:sz w:val="22"/>
          <w:szCs w:val="22"/>
          <w:lang w:val="es-ES"/>
        </w:rPr>
        <w:t>available</w:t>
      </w:r>
      <w:proofErr w:type="spellEnd"/>
      <w:r>
        <w:rPr>
          <w:rFonts w:eastAsia="Palatino Linotype"/>
          <w:sz w:val="22"/>
          <w:szCs w:val="22"/>
          <w:lang w:val="es-ES"/>
        </w:rPr>
        <w:t xml:space="preserve"> </w:t>
      </w:r>
      <w:proofErr w:type="spellStart"/>
      <w:r>
        <w:rPr>
          <w:rFonts w:eastAsia="Palatino Linotype"/>
          <w:sz w:val="22"/>
          <w:szCs w:val="22"/>
          <w:lang w:val="es-ES"/>
        </w:rPr>
        <w:t>for</w:t>
      </w:r>
      <w:proofErr w:type="spellEnd"/>
      <w:r>
        <w:rPr>
          <w:rFonts w:eastAsia="Palatino Linotype"/>
          <w:sz w:val="22"/>
          <w:szCs w:val="22"/>
          <w:lang w:val="es-ES"/>
        </w:rPr>
        <w:t xml:space="preserve"> a </w:t>
      </w:r>
      <w:proofErr w:type="spellStart"/>
      <w:r>
        <w:rPr>
          <w:rFonts w:eastAsia="Palatino Linotype"/>
          <w:sz w:val="22"/>
          <w:szCs w:val="22"/>
          <w:lang w:val="es-ES"/>
        </w:rPr>
        <w:t>period</w:t>
      </w:r>
      <w:proofErr w:type="spellEnd"/>
      <w:r>
        <w:rPr>
          <w:rFonts w:eastAsia="Palatino Linotype"/>
          <w:sz w:val="22"/>
          <w:szCs w:val="22"/>
          <w:lang w:val="es-ES"/>
        </w:rPr>
        <w:t xml:space="preserve"> </w:t>
      </w:r>
      <w:proofErr w:type="spellStart"/>
      <w:r>
        <w:rPr>
          <w:rFonts w:eastAsia="Palatino Linotype"/>
          <w:sz w:val="22"/>
          <w:szCs w:val="22"/>
          <w:lang w:val="es-ES"/>
        </w:rPr>
        <w:t>of</w:t>
      </w:r>
      <w:proofErr w:type="spellEnd"/>
      <w:r>
        <w:rPr>
          <w:rFonts w:eastAsia="Palatino Linotype"/>
          <w:sz w:val="22"/>
          <w:szCs w:val="22"/>
          <w:lang w:val="es-ES"/>
        </w:rPr>
        <w:t xml:space="preserve"> </w:t>
      </w:r>
      <w:proofErr w:type="spellStart"/>
      <w:r>
        <w:rPr>
          <w:rFonts w:eastAsia="Palatino Linotype"/>
          <w:sz w:val="22"/>
          <w:szCs w:val="22"/>
          <w:lang w:val="es-ES"/>
        </w:rPr>
        <w:t>five</w:t>
      </w:r>
      <w:proofErr w:type="spellEnd"/>
      <w:r>
        <w:rPr>
          <w:rFonts w:eastAsia="Palatino Linotype"/>
          <w:sz w:val="22"/>
          <w:szCs w:val="22"/>
          <w:lang w:val="es-ES"/>
        </w:rPr>
        <w:t xml:space="preserve"> </w:t>
      </w:r>
      <w:proofErr w:type="spellStart"/>
      <w:r>
        <w:rPr>
          <w:rFonts w:eastAsia="Palatino Linotype"/>
          <w:sz w:val="22"/>
          <w:szCs w:val="22"/>
          <w:lang w:val="es-ES"/>
        </w:rPr>
        <w:t>days</w:t>
      </w:r>
      <w:proofErr w:type="spellEnd"/>
      <w:r>
        <w:rPr>
          <w:rFonts w:eastAsia="Palatino Linotype"/>
          <w:sz w:val="22"/>
          <w:szCs w:val="22"/>
          <w:lang w:val="es-ES"/>
        </w:rPr>
        <w:t xml:space="preserve">, and </w:t>
      </w:r>
      <w:proofErr w:type="spellStart"/>
      <w:r>
        <w:rPr>
          <w:rFonts w:eastAsia="Palatino Linotype"/>
          <w:sz w:val="22"/>
          <w:szCs w:val="22"/>
          <w:lang w:val="es-ES"/>
        </w:rPr>
        <w:t>the</w:t>
      </w:r>
      <w:proofErr w:type="spellEnd"/>
      <w:r>
        <w:rPr>
          <w:rFonts w:eastAsia="Palatino Linotype"/>
          <w:sz w:val="22"/>
          <w:szCs w:val="22"/>
          <w:lang w:val="es-ES"/>
        </w:rPr>
        <w:t xml:space="preserve"> </w:t>
      </w:r>
      <w:proofErr w:type="spellStart"/>
      <w:r>
        <w:rPr>
          <w:rFonts w:eastAsia="Palatino Linotype"/>
          <w:sz w:val="22"/>
          <w:szCs w:val="22"/>
          <w:lang w:val="es-ES"/>
        </w:rPr>
        <w:t>interested</w:t>
      </w:r>
      <w:proofErr w:type="spellEnd"/>
      <w:r>
        <w:rPr>
          <w:rFonts w:eastAsia="Palatino Linotype"/>
          <w:sz w:val="22"/>
          <w:szCs w:val="22"/>
          <w:lang w:val="es-ES"/>
        </w:rPr>
        <w:t xml:space="preserve"> </w:t>
      </w:r>
      <w:proofErr w:type="spellStart"/>
      <w:r>
        <w:rPr>
          <w:rFonts w:eastAsia="Palatino Linotype"/>
          <w:sz w:val="22"/>
          <w:szCs w:val="22"/>
          <w:lang w:val="es-ES"/>
        </w:rPr>
        <w:t>parties</w:t>
      </w:r>
      <w:proofErr w:type="spellEnd"/>
      <w:r>
        <w:rPr>
          <w:rFonts w:eastAsia="Palatino Linotype"/>
          <w:sz w:val="22"/>
          <w:szCs w:val="22"/>
          <w:lang w:val="es-ES"/>
        </w:rPr>
        <w:t xml:space="preserve"> </w:t>
      </w:r>
      <w:proofErr w:type="spellStart"/>
      <w:r>
        <w:rPr>
          <w:rFonts w:eastAsia="Palatino Linotype"/>
          <w:sz w:val="22"/>
          <w:szCs w:val="22"/>
          <w:lang w:val="es-ES"/>
        </w:rPr>
        <w:t>will</w:t>
      </w:r>
      <w:proofErr w:type="spellEnd"/>
      <w:r>
        <w:rPr>
          <w:rFonts w:eastAsia="Palatino Linotype"/>
          <w:sz w:val="22"/>
          <w:szCs w:val="22"/>
          <w:lang w:val="es-ES"/>
        </w:rPr>
        <w:t xml:space="preserve"> be </w:t>
      </w:r>
      <w:proofErr w:type="spellStart"/>
      <w:r>
        <w:rPr>
          <w:rFonts w:eastAsia="Palatino Linotype"/>
          <w:sz w:val="22"/>
          <w:szCs w:val="22"/>
          <w:lang w:val="es-ES"/>
        </w:rPr>
        <w:t>notified</w:t>
      </w:r>
      <w:proofErr w:type="spellEnd"/>
      <w:r>
        <w:rPr>
          <w:rFonts w:eastAsia="Palatino Linotype"/>
          <w:sz w:val="22"/>
          <w:szCs w:val="22"/>
          <w:lang w:val="es-ES"/>
        </w:rPr>
        <w:t xml:space="preserve"> </w:t>
      </w:r>
      <w:proofErr w:type="spellStart"/>
      <w:r>
        <w:rPr>
          <w:rFonts w:eastAsia="Palatino Linotype"/>
          <w:sz w:val="22"/>
          <w:szCs w:val="22"/>
          <w:lang w:val="es-ES"/>
        </w:rPr>
        <w:t>within</w:t>
      </w:r>
      <w:proofErr w:type="spellEnd"/>
      <w:r>
        <w:rPr>
          <w:rFonts w:eastAsia="Palatino Linotype"/>
          <w:sz w:val="22"/>
          <w:szCs w:val="22"/>
          <w:lang w:val="es-ES"/>
        </w:rPr>
        <w:t xml:space="preserve"> </w:t>
      </w:r>
      <w:proofErr w:type="spellStart"/>
      <w:r>
        <w:rPr>
          <w:rFonts w:eastAsia="Palatino Linotype"/>
          <w:sz w:val="22"/>
          <w:szCs w:val="22"/>
          <w:lang w:val="es-ES"/>
        </w:rPr>
        <w:t>twenty-four</w:t>
      </w:r>
      <w:proofErr w:type="spellEnd"/>
      <w:r>
        <w:rPr>
          <w:rFonts w:eastAsia="Palatino Linotype"/>
          <w:sz w:val="22"/>
          <w:szCs w:val="22"/>
          <w:lang w:val="es-ES"/>
        </w:rPr>
        <w:t xml:space="preserve"> </w:t>
      </w:r>
      <w:proofErr w:type="spellStart"/>
      <w:r>
        <w:rPr>
          <w:rFonts w:eastAsia="Palatino Linotype"/>
          <w:sz w:val="22"/>
          <w:szCs w:val="22"/>
          <w:lang w:val="es-ES"/>
        </w:rPr>
        <w:t>hours</w:t>
      </w:r>
      <w:proofErr w:type="spellEnd"/>
      <w:r>
        <w:rPr>
          <w:rFonts w:eastAsia="Palatino Linotype"/>
          <w:sz w:val="22"/>
          <w:szCs w:val="22"/>
          <w:lang w:val="es-ES"/>
        </w:rPr>
        <w:t xml:space="preserve"> </w:t>
      </w:r>
      <w:proofErr w:type="spellStart"/>
      <w:r>
        <w:rPr>
          <w:rFonts w:eastAsia="Palatino Linotype"/>
          <w:sz w:val="22"/>
          <w:szCs w:val="22"/>
          <w:lang w:val="es-ES"/>
        </w:rPr>
        <w:t>of</w:t>
      </w:r>
      <w:proofErr w:type="spellEnd"/>
      <w:r>
        <w:rPr>
          <w:rFonts w:eastAsia="Palatino Linotype"/>
          <w:sz w:val="22"/>
          <w:szCs w:val="22"/>
          <w:lang w:val="es-ES"/>
        </w:rPr>
        <w:t xml:space="preserve"> </w:t>
      </w:r>
      <w:proofErr w:type="spellStart"/>
      <w:r>
        <w:rPr>
          <w:rFonts w:eastAsia="Palatino Linotype"/>
          <w:sz w:val="22"/>
          <w:szCs w:val="22"/>
          <w:lang w:val="es-ES"/>
        </w:rPr>
        <w:t>the</w:t>
      </w:r>
      <w:proofErr w:type="spellEnd"/>
      <w:r>
        <w:rPr>
          <w:rFonts w:eastAsia="Palatino Linotype"/>
          <w:sz w:val="22"/>
          <w:szCs w:val="22"/>
          <w:lang w:val="es-ES"/>
        </w:rPr>
        <w:t xml:space="preserve"> </w:t>
      </w:r>
      <w:proofErr w:type="spellStart"/>
      <w:r>
        <w:rPr>
          <w:rFonts w:eastAsia="Palatino Linotype"/>
          <w:sz w:val="22"/>
          <w:szCs w:val="22"/>
          <w:lang w:val="es-ES"/>
        </w:rPr>
        <w:t>aforementioned</w:t>
      </w:r>
      <w:proofErr w:type="spellEnd"/>
      <w:r>
        <w:rPr>
          <w:rFonts w:eastAsia="Palatino Linotype"/>
          <w:sz w:val="22"/>
          <w:szCs w:val="22"/>
          <w:lang w:val="es-ES"/>
        </w:rPr>
        <w:t xml:space="preserve"> </w:t>
      </w:r>
      <w:proofErr w:type="spellStart"/>
      <w:r>
        <w:rPr>
          <w:rFonts w:eastAsia="Palatino Linotype"/>
          <w:sz w:val="22"/>
          <w:szCs w:val="22"/>
          <w:lang w:val="es-ES"/>
        </w:rPr>
        <w:t>procedure</w:t>
      </w:r>
      <w:proofErr w:type="spellEnd"/>
      <w:r>
        <w:rPr>
          <w:rFonts w:eastAsia="Palatino Linotype"/>
          <w:sz w:val="22"/>
          <w:szCs w:val="22"/>
          <w:lang w:val="es-ES"/>
        </w:rPr>
        <w:t xml:space="preserve"> </w:t>
      </w:r>
      <w:proofErr w:type="spellStart"/>
      <w:r>
        <w:rPr>
          <w:rFonts w:eastAsia="Palatino Linotype"/>
          <w:sz w:val="22"/>
          <w:szCs w:val="22"/>
          <w:lang w:val="es-ES"/>
        </w:rPr>
        <w:t>being</w:t>
      </w:r>
      <w:proofErr w:type="spellEnd"/>
      <w:r>
        <w:rPr>
          <w:rFonts w:eastAsia="Palatino Linotype"/>
          <w:sz w:val="22"/>
          <w:szCs w:val="22"/>
          <w:lang w:val="es-ES"/>
        </w:rPr>
        <w:t xml:space="preserve"> </w:t>
      </w:r>
      <w:proofErr w:type="spellStart"/>
      <w:r>
        <w:rPr>
          <w:rFonts w:eastAsia="Palatino Linotype"/>
          <w:sz w:val="22"/>
          <w:szCs w:val="22"/>
          <w:lang w:val="es-ES"/>
        </w:rPr>
        <w:t>arranged</w:t>
      </w:r>
      <w:proofErr w:type="spellEnd"/>
      <w:r>
        <w:rPr>
          <w:rFonts w:eastAsia="Palatino Linotype"/>
          <w:sz w:val="22"/>
          <w:szCs w:val="22"/>
          <w:lang w:val="es-ES"/>
        </w:rPr>
        <w:t>.</w:t>
      </w:r>
    </w:p>
    <w:p w14:paraId="4E209C17" w14:textId="77777777" w:rsidR="00E255F4" w:rsidRDefault="00E255F4">
      <w:pPr>
        <w:ind w:right="-142"/>
        <w:jc w:val="both"/>
        <w:rPr>
          <w:rFonts w:eastAsia="Palatino Linotype"/>
          <w:spacing w:val="3"/>
          <w:sz w:val="22"/>
          <w:szCs w:val="22"/>
          <w:lang w:val="es-ES"/>
        </w:rPr>
      </w:pPr>
    </w:p>
    <w:p w14:paraId="5410FA97" w14:textId="77777777" w:rsidR="00E255F4" w:rsidRDefault="00000000">
      <w:pPr>
        <w:ind w:right="-142"/>
        <w:jc w:val="both"/>
      </w:pPr>
      <w:proofErr w:type="spellStart"/>
      <w:r>
        <w:rPr>
          <w:rFonts w:eastAsia="Palatino Linotype"/>
          <w:spacing w:val="3"/>
          <w:sz w:val="22"/>
          <w:szCs w:val="22"/>
          <w:lang w:val="es-ES"/>
        </w:rPr>
        <w:t>It</w:t>
      </w:r>
      <w:r>
        <w:rPr>
          <w:rFonts w:eastAsia="Palatino Linotype"/>
          <w:sz w:val="22"/>
          <w:szCs w:val="22"/>
          <w:lang w:val="es-ES"/>
        </w:rPr>
        <w:t>Bidders</w:t>
      </w:r>
      <w:proofErr w:type="spellEnd"/>
      <w:r>
        <w:rPr>
          <w:rFonts w:eastAsia="Palatino Linotype"/>
          <w:sz w:val="22"/>
          <w:szCs w:val="22"/>
          <w:lang w:val="es-ES"/>
        </w:rPr>
        <w:t xml:space="preserve"> </w:t>
      </w:r>
      <w:proofErr w:type="spellStart"/>
      <w:r>
        <w:rPr>
          <w:rFonts w:eastAsia="Palatino Linotype"/>
          <w:sz w:val="22"/>
          <w:szCs w:val="22"/>
          <w:lang w:val="es-ES"/>
        </w:rPr>
        <w:t>may</w:t>
      </w:r>
      <w:proofErr w:type="spellEnd"/>
      <w:r>
        <w:rPr>
          <w:rFonts w:eastAsia="Palatino Linotype"/>
          <w:sz w:val="22"/>
          <w:szCs w:val="22"/>
          <w:lang w:val="es-ES"/>
        </w:rPr>
        <w:t xml:space="preserve"> </w:t>
      </w:r>
      <w:proofErr w:type="spellStart"/>
      <w:r>
        <w:rPr>
          <w:rFonts w:eastAsia="Palatino Linotype"/>
          <w:sz w:val="22"/>
          <w:szCs w:val="22"/>
          <w:lang w:val="es-ES"/>
        </w:rPr>
        <w:t>submit</w:t>
      </w:r>
      <w:proofErr w:type="spellEnd"/>
      <w:r>
        <w:rPr>
          <w:rFonts w:eastAsia="Palatino Linotype"/>
          <w:sz w:val="22"/>
          <w:szCs w:val="22"/>
          <w:lang w:val="es-ES"/>
        </w:rPr>
        <w:t xml:space="preserve"> in </w:t>
      </w:r>
      <w:proofErr w:type="spellStart"/>
      <w:r>
        <w:rPr>
          <w:rFonts w:eastAsia="Palatino Linotype"/>
          <w:sz w:val="22"/>
          <w:szCs w:val="22"/>
          <w:lang w:val="es-ES"/>
        </w:rPr>
        <w:t>writing</w:t>
      </w:r>
      <w:proofErr w:type="spellEnd"/>
      <w:r>
        <w:rPr>
          <w:rFonts w:eastAsia="Palatino Linotype"/>
          <w:sz w:val="22"/>
          <w:szCs w:val="22"/>
          <w:lang w:val="es-ES"/>
        </w:rPr>
        <w:t xml:space="preserve">, </w:t>
      </w:r>
      <w:proofErr w:type="spellStart"/>
      <w:r>
        <w:rPr>
          <w:rFonts w:eastAsia="Palatino Linotype"/>
          <w:sz w:val="22"/>
          <w:szCs w:val="22"/>
          <w:lang w:val="es-ES"/>
        </w:rPr>
        <w:t>within</w:t>
      </w:r>
      <w:proofErr w:type="spellEnd"/>
      <w:r>
        <w:rPr>
          <w:rFonts w:eastAsia="Palatino Linotype"/>
          <w:sz w:val="22"/>
          <w:szCs w:val="22"/>
          <w:lang w:val="es-ES"/>
        </w:rPr>
        <w:t xml:space="preserve"> </w:t>
      </w:r>
      <w:proofErr w:type="spellStart"/>
      <w:r>
        <w:rPr>
          <w:rFonts w:eastAsia="Palatino Linotype"/>
          <w:sz w:val="22"/>
          <w:szCs w:val="22"/>
          <w:lang w:val="es-ES"/>
        </w:rPr>
        <w:t>the</w:t>
      </w:r>
      <w:proofErr w:type="spellEnd"/>
      <w:r>
        <w:rPr>
          <w:rFonts w:eastAsia="Palatino Linotype"/>
          <w:sz w:val="22"/>
          <w:szCs w:val="22"/>
          <w:lang w:val="es-ES"/>
        </w:rPr>
        <w:t xml:space="preserve"> </w:t>
      </w:r>
      <w:proofErr w:type="spellStart"/>
      <w:r>
        <w:rPr>
          <w:rFonts w:eastAsia="Palatino Linotype"/>
          <w:sz w:val="22"/>
          <w:szCs w:val="22"/>
          <w:lang w:val="es-ES"/>
        </w:rPr>
        <w:t>period</w:t>
      </w:r>
      <w:proofErr w:type="spellEnd"/>
      <w:r>
        <w:rPr>
          <w:rFonts w:eastAsia="Palatino Linotype"/>
          <w:sz w:val="22"/>
          <w:szCs w:val="22"/>
          <w:lang w:val="es-ES"/>
        </w:rPr>
        <w:t xml:space="preserve"> </w:t>
      </w:r>
      <w:proofErr w:type="spellStart"/>
      <w:r>
        <w:rPr>
          <w:rFonts w:eastAsia="Palatino Linotype"/>
          <w:sz w:val="22"/>
          <w:szCs w:val="22"/>
          <w:lang w:val="es-ES"/>
        </w:rPr>
        <w:t>established</w:t>
      </w:r>
      <w:proofErr w:type="spellEnd"/>
      <w:r>
        <w:rPr>
          <w:rFonts w:eastAsia="Palatino Linotype"/>
          <w:sz w:val="22"/>
          <w:szCs w:val="22"/>
          <w:lang w:val="es-ES"/>
        </w:rPr>
        <w:t xml:space="preserve"> in </w:t>
      </w:r>
      <w:proofErr w:type="spellStart"/>
      <w:r>
        <w:rPr>
          <w:rFonts w:eastAsia="Palatino Linotype"/>
          <w:sz w:val="22"/>
          <w:szCs w:val="22"/>
          <w:lang w:val="es-ES"/>
        </w:rPr>
        <w:t>the</w:t>
      </w:r>
      <w:proofErr w:type="spellEnd"/>
      <w:r>
        <w:rPr>
          <w:rFonts w:eastAsia="Palatino Linotype"/>
          <w:sz w:val="22"/>
          <w:szCs w:val="22"/>
          <w:lang w:val="es-ES"/>
        </w:rPr>
        <w:t xml:space="preserve"> </w:t>
      </w:r>
      <w:proofErr w:type="spellStart"/>
      <w:r>
        <w:rPr>
          <w:rFonts w:eastAsia="Palatino Linotype"/>
          <w:sz w:val="22"/>
          <w:szCs w:val="22"/>
          <w:lang w:val="es-ES"/>
        </w:rPr>
        <w:t>preceding</w:t>
      </w:r>
      <w:proofErr w:type="spellEnd"/>
      <w:r>
        <w:rPr>
          <w:rFonts w:eastAsia="Palatino Linotype"/>
          <w:sz w:val="22"/>
          <w:szCs w:val="22"/>
          <w:lang w:val="es-ES"/>
        </w:rPr>
        <w:t xml:space="preserve"> </w:t>
      </w:r>
      <w:proofErr w:type="spellStart"/>
      <w:r>
        <w:rPr>
          <w:rFonts w:eastAsia="Palatino Linotype"/>
          <w:sz w:val="22"/>
          <w:szCs w:val="22"/>
          <w:lang w:val="es-ES"/>
        </w:rPr>
        <w:t>paragraph</w:t>
      </w:r>
      <w:proofErr w:type="spellEnd"/>
      <w:r>
        <w:rPr>
          <w:rFonts w:eastAsia="Palatino Linotype"/>
          <w:sz w:val="22"/>
          <w:szCs w:val="22"/>
          <w:lang w:val="es-ES"/>
        </w:rPr>
        <w:t xml:space="preserve">, </w:t>
      </w:r>
      <w:proofErr w:type="spellStart"/>
      <w:r>
        <w:rPr>
          <w:rFonts w:eastAsia="Palatino Linotype"/>
          <w:sz w:val="22"/>
          <w:szCs w:val="22"/>
          <w:lang w:val="es-ES"/>
        </w:rPr>
        <w:t>their</w:t>
      </w:r>
      <w:proofErr w:type="spellEnd"/>
      <w:r>
        <w:rPr>
          <w:rFonts w:eastAsia="Palatino Linotype"/>
          <w:sz w:val="22"/>
          <w:szCs w:val="22"/>
          <w:lang w:val="es-ES"/>
        </w:rPr>
        <w:t xml:space="preserve"> </w:t>
      </w:r>
      <w:proofErr w:type="spellStart"/>
      <w:r>
        <w:rPr>
          <w:rFonts w:eastAsia="Palatino Linotype"/>
          <w:sz w:val="22"/>
          <w:szCs w:val="22"/>
          <w:lang w:val="es-ES"/>
        </w:rPr>
        <w:t>considerations</w:t>
      </w:r>
      <w:proofErr w:type="spellEnd"/>
      <w:r>
        <w:rPr>
          <w:rFonts w:eastAsia="Palatino Linotype"/>
          <w:sz w:val="22"/>
          <w:szCs w:val="22"/>
          <w:lang w:val="es-ES"/>
        </w:rPr>
        <w:t xml:space="preserve"> </w:t>
      </w:r>
      <w:proofErr w:type="spellStart"/>
      <w:r>
        <w:rPr>
          <w:rFonts w:eastAsia="Palatino Linotype"/>
          <w:sz w:val="22"/>
          <w:szCs w:val="22"/>
          <w:lang w:val="es-ES"/>
        </w:rPr>
        <w:t>regarding</w:t>
      </w:r>
      <w:proofErr w:type="spellEnd"/>
      <w:r>
        <w:rPr>
          <w:rFonts w:eastAsia="Palatino Linotype"/>
          <w:sz w:val="22"/>
          <w:szCs w:val="22"/>
          <w:lang w:val="es-ES"/>
        </w:rPr>
        <w:t xml:space="preserve"> </w:t>
      </w:r>
      <w:proofErr w:type="spellStart"/>
      <w:r>
        <w:rPr>
          <w:rFonts w:eastAsia="Palatino Linotype"/>
          <w:sz w:val="22"/>
          <w:szCs w:val="22"/>
          <w:lang w:val="es-ES"/>
        </w:rPr>
        <w:t>the</w:t>
      </w:r>
      <w:proofErr w:type="spellEnd"/>
      <w:r>
        <w:rPr>
          <w:rFonts w:eastAsia="Palatino Linotype"/>
          <w:sz w:val="22"/>
          <w:szCs w:val="22"/>
          <w:lang w:val="es-ES"/>
        </w:rPr>
        <w:t xml:space="preserve"> </w:t>
      </w:r>
      <w:proofErr w:type="spellStart"/>
      <w:r>
        <w:rPr>
          <w:rFonts w:eastAsia="Palatino Linotype"/>
          <w:sz w:val="22"/>
          <w:szCs w:val="22"/>
          <w:lang w:val="es-ES"/>
        </w:rPr>
        <w:t>process</w:t>
      </w:r>
      <w:proofErr w:type="spellEnd"/>
      <w:r>
        <w:rPr>
          <w:rFonts w:eastAsia="Palatino Linotype"/>
          <w:sz w:val="22"/>
          <w:szCs w:val="22"/>
          <w:lang w:val="es-ES"/>
        </w:rPr>
        <w:t xml:space="preserve"> </w:t>
      </w:r>
      <w:proofErr w:type="spellStart"/>
      <w:r>
        <w:rPr>
          <w:rFonts w:eastAsia="Palatino Linotype"/>
          <w:sz w:val="22"/>
          <w:szCs w:val="22"/>
          <w:lang w:val="es-ES"/>
        </w:rPr>
        <w:t>completed</w:t>
      </w:r>
      <w:proofErr w:type="spellEnd"/>
      <w:r>
        <w:rPr>
          <w:rFonts w:eastAsia="Palatino Linotype"/>
          <w:sz w:val="22"/>
          <w:szCs w:val="22"/>
          <w:lang w:val="es-ES"/>
        </w:rPr>
        <w:t xml:space="preserve"> </w:t>
      </w:r>
      <w:proofErr w:type="spellStart"/>
      <w:r>
        <w:rPr>
          <w:rFonts w:eastAsia="Palatino Linotype"/>
          <w:sz w:val="22"/>
          <w:szCs w:val="22"/>
          <w:lang w:val="es-ES"/>
        </w:rPr>
        <w:t>to</w:t>
      </w:r>
      <w:proofErr w:type="spellEnd"/>
      <w:r>
        <w:rPr>
          <w:rFonts w:eastAsia="Palatino Linotype"/>
          <w:sz w:val="22"/>
          <w:szCs w:val="22"/>
          <w:lang w:val="es-ES"/>
        </w:rPr>
        <w:t xml:space="preserve"> date and </w:t>
      </w:r>
      <w:proofErr w:type="spellStart"/>
      <w:r>
        <w:rPr>
          <w:rFonts w:eastAsia="Palatino Linotype"/>
          <w:sz w:val="22"/>
          <w:szCs w:val="22"/>
          <w:lang w:val="es-ES"/>
        </w:rPr>
        <w:t>the</w:t>
      </w:r>
      <w:proofErr w:type="spellEnd"/>
      <w:r>
        <w:rPr>
          <w:rFonts w:eastAsia="Palatino Linotype"/>
          <w:sz w:val="22"/>
          <w:szCs w:val="22"/>
          <w:lang w:val="es-ES"/>
        </w:rPr>
        <w:t xml:space="preserve"> </w:t>
      </w:r>
      <w:proofErr w:type="spellStart"/>
      <w:r>
        <w:rPr>
          <w:rFonts w:eastAsia="Palatino Linotype"/>
          <w:sz w:val="22"/>
          <w:szCs w:val="22"/>
          <w:lang w:val="es-ES"/>
        </w:rPr>
        <w:t>opinion</w:t>
      </w:r>
      <w:proofErr w:type="spellEnd"/>
      <w:r>
        <w:rPr>
          <w:rFonts w:eastAsia="Palatino Linotype"/>
          <w:sz w:val="22"/>
          <w:szCs w:val="22"/>
          <w:lang w:val="es-ES"/>
        </w:rPr>
        <w:t xml:space="preserve"> </w:t>
      </w:r>
      <w:proofErr w:type="spellStart"/>
      <w:r>
        <w:rPr>
          <w:rFonts w:eastAsia="Palatino Linotype"/>
          <w:sz w:val="22"/>
          <w:szCs w:val="22"/>
          <w:lang w:val="es-ES"/>
        </w:rPr>
        <w:t>or</w:t>
      </w:r>
      <w:proofErr w:type="spellEnd"/>
      <w:r>
        <w:rPr>
          <w:rFonts w:eastAsia="Palatino Linotype"/>
          <w:sz w:val="22"/>
          <w:szCs w:val="22"/>
          <w:lang w:val="es-ES"/>
        </w:rPr>
        <w:t xml:space="preserve"> </w:t>
      </w:r>
      <w:proofErr w:type="spellStart"/>
      <w:r>
        <w:rPr>
          <w:rFonts w:eastAsia="Palatino Linotype"/>
          <w:sz w:val="22"/>
          <w:szCs w:val="22"/>
          <w:lang w:val="es-ES"/>
        </w:rPr>
        <w:t>report</w:t>
      </w:r>
      <w:proofErr w:type="spellEnd"/>
      <w:r>
        <w:rPr>
          <w:rFonts w:eastAsia="Palatino Linotype"/>
          <w:sz w:val="22"/>
          <w:szCs w:val="22"/>
          <w:lang w:val="es-ES"/>
        </w:rPr>
        <w:t xml:space="preserve"> </w:t>
      </w:r>
      <w:proofErr w:type="spellStart"/>
      <w:r>
        <w:rPr>
          <w:rFonts w:eastAsia="Palatino Linotype"/>
          <w:sz w:val="22"/>
          <w:szCs w:val="22"/>
          <w:lang w:val="es-ES"/>
        </w:rPr>
        <w:t>of</w:t>
      </w:r>
      <w:proofErr w:type="spellEnd"/>
      <w:r>
        <w:rPr>
          <w:rFonts w:eastAsia="Palatino Linotype"/>
          <w:sz w:val="22"/>
          <w:szCs w:val="22"/>
          <w:lang w:val="es-ES"/>
        </w:rPr>
        <w:t xml:space="preserve"> </w:t>
      </w:r>
      <w:proofErr w:type="spellStart"/>
      <w:r>
        <w:rPr>
          <w:rFonts w:eastAsia="Palatino Linotype"/>
          <w:sz w:val="22"/>
          <w:szCs w:val="22"/>
          <w:lang w:val="es-ES"/>
        </w:rPr>
        <w:t>the</w:t>
      </w:r>
      <w:proofErr w:type="spellEnd"/>
      <w:r>
        <w:rPr>
          <w:rFonts w:eastAsia="Palatino Linotype"/>
          <w:sz w:val="22"/>
          <w:szCs w:val="22"/>
          <w:lang w:val="es-ES"/>
        </w:rPr>
        <w:t xml:space="preserve"> </w:t>
      </w:r>
      <w:proofErr w:type="spellStart"/>
      <w:r>
        <w:rPr>
          <w:rFonts w:eastAsia="Palatino Linotype"/>
          <w:sz w:val="22"/>
          <w:szCs w:val="22"/>
          <w:lang w:val="es-ES"/>
        </w:rPr>
        <w:t>Advisory</w:t>
      </w:r>
      <w:proofErr w:type="spellEnd"/>
      <w:r>
        <w:rPr>
          <w:rFonts w:eastAsia="Palatino Linotype"/>
          <w:sz w:val="22"/>
          <w:szCs w:val="22"/>
          <w:lang w:val="es-ES"/>
        </w:rPr>
        <w:t xml:space="preserve"> </w:t>
      </w:r>
      <w:proofErr w:type="spellStart"/>
      <w:r>
        <w:rPr>
          <w:rFonts w:eastAsia="Palatino Linotype"/>
          <w:sz w:val="22"/>
          <w:szCs w:val="22"/>
          <w:lang w:val="es-ES"/>
        </w:rPr>
        <w:t>Committee</w:t>
      </w:r>
      <w:proofErr w:type="spellEnd"/>
      <w:r>
        <w:rPr>
          <w:rFonts w:eastAsia="Palatino Linotype"/>
          <w:sz w:val="22"/>
          <w:szCs w:val="22"/>
          <w:lang w:val="es-ES"/>
        </w:rPr>
        <w:t xml:space="preserve"> </w:t>
      </w:r>
      <w:proofErr w:type="spellStart"/>
      <w:r>
        <w:rPr>
          <w:rFonts w:eastAsia="Palatino Linotype"/>
          <w:sz w:val="22"/>
          <w:szCs w:val="22"/>
          <w:lang w:val="es-ES"/>
        </w:rPr>
        <w:t>on</w:t>
      </w:r>
      <w:proofErr w:type="spellEnd"/>
      <w:r>
        <w:rPr>
          <w:rFonts w:eastAsia="Palatino Linotype"/>
          <w:sz w:val="22"/>
          <w:szCs w:val="22"/>
          <w:lang w:val="es-ES"/>
        </w:rPr>
        <w:t xml:space="preserve"> </w:t>
      </w:r>
      <w:proofErr w:type="spellStart"/>
      <w:r>
        <w:rPr>
          <w:rFonts w:eastAsia="Palatino Linotype"/>
          <w:sz w:val="22"/>
          <w:szCs w:val="22"/>
          <w:lang w:val="es-ES"/>
        </w:rPr>
        <w:t>Awards</w:t>
      </w:r>
      <w:proofErr w:type="spellEnd"/>
      <w:r>
        <w:rPr>
          <w:rFonts w:eastAsia="Palatino Linotype"/>
          <w:sz w:val="22"/>
          <w:szCs w:val="22"/>
          <w:lang w:val="es-ES"/>
        </w:rPr>
        <w:t xml:space="preserve">. </w:t>
      </w:r>
      <w:proofErr w:type="spellStart"/>
      <w:r>
        <w:rPr>
          <w:rFonts w:eastAsia="Palatino Linotype"/>
          <w:sz w:val="22"/>
          <w:szCs w:val="22"/>
          <w:lang w:val="es-ES"/>
        </w:rPr>
        <w:t>It</w:t>
      </w:r>
      <w:proofErr w:type="spellEnd"/>
      <w:r>
        <w:rPr>
          <w:rFonts w:eastAsia="Palatino Linotype"/>
          <w:sz w:val="22"/>
          <w:szCs w:val="22"/>
          <w:lang w:val="es-ES"/>
        </w:rPr>
        <w:t xml:space="preserve"> </w:t>
      </w:r>
      <w:proofErr w:type="spellStart"/>
      <w:r>
        <w:rPr>
          <w:rFonts w:eastAsia="Palatino Linotype"/>
          <w:sz w:val="22"/>
          <w:szCs w:val="22"/>
          <w:lang w:val="es-ES"/>
        </w:rPr>
        <w:t>will</w:t>
      </w:r>
      <w:proofErr w:type="spellEnd"/>
      <w:r>
        <w:rPr>
          <w:rFonts w:eastAsia="Palatino Linotype"/>
          <w:sz w:val="22"/>
          <w:szCs w:val="22"/>
          <w:lang w:val="es-ES"/>
        </w:rPr>
        <w:t xml:space="preserve"> </w:t>
      </w:r>
      <w:proofErr w:type="spellStart"/>
      <w:r>
        <w:rPr>
          <w:rFonts w:eastAsia="Palatino Linotype"/>
          <w:sz w:val="22"/>
          <w:szCs w:val="22"/>
          <w:lang w:val="es-ES"/>
        </w:rPr>
        <w:t>not</w:t>
      </w:r>
      <w:proofErr w:type="spellEnd"/>
      <w:r>
        <w:rPr>
          <w:rFonts w:eastAsia="Palatino Linotype"/>
          <w:sz w:val="22"/>
          <w:szCs w:val="22"/>
          <w:lang w:val="es-ES"/>
        </w:rPr>
        <w:t xml:space="preserve"> be </w:t>
      </w:r>
      <w:proofErr w:type="spellStart"/>
      <w:r>
        <w:rPr>
          <w:rFonts w:eastAsia="Palatino Linotype"/>
          <w:sz w:val="22"/>
          <w:szCs w:val="22"/>
          <w:lang w:val="es-ES"/>
        </w:rPr>
        <w:t>necessary</w:t>
      </w:r>
      <w:proofErr w:type="spellEnd"/>
      <w:r>
        <w:rPr>
          <w:rFonts w:eastAsia="Palatino Linotype"/>
          <w:sz w:val="22"/>
          <w:szCs w:val="22"/>
          <w:lang w:val="es-ES"/>
        </w:rPr>
        <w:t xml:space="preserve"> </w:t>
      </w:r>
      <w:proofErr w:type="spellStart"/>
      <w:r>
        <w:rPr>
          <w:rFonts w:eastAsia="Palatino Linotype"/>
          <w:sz w:val="22"/>
          <w:szCs w:val="22"/>
          <w:lang w:val="es-ES"/>
        </w:rPr>
        <w:t>to</w:t>
      </w:r>
      <w:proofErr w:type="spellEnd"/>
      <w:r>
        <w:rPr>
          <w:rFonts w:eastAsia="Palatino Linotype"/>
          <w:sz w:val="22"/>
          <w:szCs w:val="22"/>
          <w:lang w:val="es-ES"/>
        </w:rPr>
        <w:t xml:space="preserve"> </w:t>
      </w:r>
      <w:proofErr w:type="spellStart"/>
      <w:r>
        <w:rPr>
          <w:rFonts w:eastAsia="Palatino Linotype"/>
          <w:sz w:val="22"/>
          <w:szCs w:val="22"/>
          <w:lang w:val="es-ES"/>
        </w:rPr>
        <w:t>wait</w:t>
      </w:r>
      <w:proofErr w:type="spellEnd"/>
      <w:r>
        <w:rPr>
          <w:rFonts w:eastAsia="Palatino Linotype"/>
          <w:sz w:val="22"/>
          <w:szCs w:val="22"/>
          <w:lang w:val="es-ES"/>
        </w:rPr>
        <w:t xml:space="preserve"> </w:t>
      </w:r>
      <w:proofErr w:type="spellStart"/>
      <w:r>
        <w:rPr>
          <w:rFonts w:eastAsia="Palatino Linotype"/>
          <w:sz w:val="22"/>
          <w:szCs w:val="22"/>
          <w:lang w:val="es-ES"/>
        </w:rPr>
        <w:t>for</w:t>
      </w:r>
      <w:proofErr w:type="spellEnd"/>
      <w:r>
        <w:rPr>
          <w:rFonts w:eastAsia="Palatino Linotype"/>
          <w:sz w:val="22"/>
          <w:szCs w:val="22"/>
          <w:lang w:val="es-ES"/>
        </w:rPr>
        <w:t xml:space="preserve"> </w:t>
      </w:r>
      <w:proofErr w:type="spellStart"/>
      <w:r>
        <w:rPr>
          <w:rFonts w:eastAsia="Palatino Linotype"/>
          <w:sz w:val="22"/>
          <w:szCs w:val="22"/>
          <w:lang w:val="es-ES"/>
        </w:rPr>
        <w:t>this</w:t>
      </w:r>
      <w:proofErr w:type="spellEnd"/>
      <w:r>
        <w:rPr>
          <w:rFonts w:eastAsia="Palatino Linotype"/>
          <w:sz w:val="22"/>
          <w:szCs w:val="22"/>
          <w:lang w:val="es-ES"/>
        </w:rPr>
        <w:t xml:space="preserve"> </w:t>
      </w:r>
      <w:proofErr w:type="spellStart"/>
      <w:r>
        <w:rPr>
          <w:rFonts w:eastAsia="Palatino Linotype"/>
          <w:sz w:val="22"/>
          <w:szCs w:val="22"/>
          <w:lang w:val="es-ES"/>
        </w:rPr>
        <w:t>period</w:t>
      </w:r>
      <w:proofErr w:type="spellEnd"/>
      <w:r>
        <w:rPr>
          <w:rFonts w:eastAsia="Palatino Linotype"/>
          <w:sz w:val="22"/>
          <w:szCs w:val="22"/>
          <w:lang w:val="es-ES"/>
        </w:rPr>
        <w:t xml:space="preserve"> </w:t>
      </w:r>
      <w:proofErr w:type="spellStart"/>
      <w:r>
        <w:rPr>
          <w:rFonts w:eastAsia="Palatino Linotype"/>
          <w:sz w:val="22"/>
          <w:szCs w:val="22"/>
          <w:lang w:val="es-ES"/>
        </w:rPr>
        <w:t>to</w:t>
      </w:r>
      <w:proofErr w:type="spellEnd"/>
      <w:r>
        <w:rPr>
          <w:rFonts w:eastAsia="Palatino Linotype"/>
          <w:sz w:val="22"/>
          <w:szCs w:val="22"/>
          <w:lang w:val="es-ES"/>
        </w:rPr>
        <w:t xml:space="preserve"> </w:t>
      </w:r>
      <w:proofErr w:type="spellStart"/>
      <w:r>
        <w:rPr>
          <w:rFonts w:eastAsia="Palatino Linotype"/>
          <w:sz w:val="22"/>
          <w:szCs w:val="22"/>
          <w:lang w:val="es-ES"/>
        </w:rPr>
        <w:t>elapse</w:t>
      </w:r>
      <w:proofErr w:type="spellEnd"/>
      <w:r>
        <w:rPr>
          <w:rFonts w:eastAsia="Palatino Linotype"/>
          <w:sz w:val="22"/>
          <w:szCs w:val="22"/>
          <w:lang w:val="es-ES"/>
        </w:rPr>
        <w:t xml:space="preserve"> </w:t>
      </w:r>
      <w:proofErr w:type="spellStart"/>
      <w:r>
        <w:rPr>
          <w:rFonts w:eastAsia="Palatino Linotype"/>
          <w:sz w:val="22"/>
          <w:szCs w:val="22"/>
          <w:lang w:val="es-ES"/>
        </w:rPr>
        <w:t>if</w:t>
      </w:r>
      <w:proofErr w:type="spellEnd"/>
      <w:r>
        <w:rPr>
          <w:rFonts w:eastAsia="Palatino Linotype"/>
          <w:sz w:val="22"/>
          <w:szCs w:val="22"/>
          <w:lang w:val="es-ES"/>
        </w:rPr>
        <w:t xml:space="preserve"> </w:t>
      </w:r>
      <w:proofErr w:type="spellStart"/>
      <w:r>
        <w:rPr>
          <w:rFonts w:eastAsia="Palatino Linotype"/>
          <w:sz w:val="22"/>
          <w:szCs w:val="22"/>
          <w:lang w:val="es-ES"/>
        </w:rPr>
        <w:t>the</w:t>
      </w:r>
      <w:proofErr w:type="spellEnd"/>
      <w:r>
        <w:rPr>
          <w:rFonts w:eastAsia="Palatino Linotype"/>
          <w:sz w:val="22"/>
          <w:szCs w:val="22"/>
          <w:lang w:val="es-ES"/>
        </w:rPr>
        <w:t xml:space="preserve"> </w:t>
      </w:r>
      <w:proofErr w:type="spellStart"/>
      <w:r>
        <w:rPr>
          <w:rFonts w:eastAsia="Palatino Linotype"/>
          <w:sz w:val="22"/>
          <w:szCs w:val="22"/>
          <w:lang w:val="es-ES"/>
        </w:rPr>
        <w:t>interested</w:t>
      </w:r>
      <w:proofErr w:type="spellEnd"/>
      <w:r>
        <w:rPr>
          <w:rFonts w:eastAsia="Palatino Linotype"/>
          <w:sz w:val="22"/>
          <w:szCs w:val="22"/>
          <w:lang w:val="es-ES"/>
        </w:rPr>
        <w:t xml:space="preserve"> </w:t>
      </w:r>
      <w:proofErr w:type="spellStart"/>
      <w:r>
        <w:rPr>
          <w:rFonts w:eastAsia="Palatino Linotype"/>
          <w:sz w:val="22"/>
          <w:szCs w:val="22"/>
          <w:lang w:val="es-ES"/>
        </w:rPr>
        <w:t>parties</w:t>
      </w:r>
      <w:proofErr w:type="spellEnd"/>
      <w:r>
        <w:rPr>
          <w:rFonts w:eastAsia="Palatino Linotype"/>
          <w:sz w:val="22"/>
          <w:szCs w:val="22"/>
          <w:lang w:val="es-ES"/>
        </w:rPr>
        <w:t xml:space="preserve"> </w:t>
      </w:r>
      <w:proofErr w:type="spellStart"/>
      <w:r>
        <w:rPr>
          <w:rFonts w:eastAsia="Palatino Linotype"/>
          <w:sz w:val="22"/>
          <w:szCs w:val="22"/>
          <w:lang w:val="es-ES"/>
        </w:rPr>
        <w:t>state</w:t>
      </w:r>
      <w:proofErr w:type="spellEnd"/>
      <w:r>
        <w:rPr>
          <w:rFonts w:eastAsia="Palatino Linotype"/>
          <w:sz w:val="22"/>
          <w:szCs w:val="22"/>
          <w:lang w:val="es-ES"/>
        </w:rPr>
        <w:t xml:space="preserve"> </w:t>
      </w:r>
      <w:proofErr w:type="spellStart"/>
      <w:r>
        <w:rPr>
          <w:rFonts w:eastAsia="Palatino Linotype"/>
          <w:sz w:val="22"/>
          <w:szCs w:val="22"/>
          <w:lang w:val="es-ES"/>
        </w:rPr>
        <w:t>that</w:t>
      </w:r>
      <w:proofErr w:type="spellEnd"/>
      <w:r>
        <w:rPr>
          <w:rFonts w:eastAsia="Palatino Linotype"/>
          <w:sz w:val="22"/>
          <w:szCs w:val="22"/>
          <w:lang w:val="es-ES"/>
        </w:rPr>
        <w:t xml:space="preserve"> </w:t>
      </w:r>
      <w:proofErr w:type="spellStart"/>
      <w:r>
        <w:rPr>
          <w:rFonts w:eastAsia="Palatino Linotype"/>
          <w:sz w:val="22"/>
          <w:szCs w:val="22"/>
          <w:lang w:val="es-ES"/>
        </w:rPr>
        <w:t>they</w:t>
      </w:r>
      <w:proofErr w:type="spellEnd"/>
      <w:r>
        <w:rPr>
          <w:rFonts w:eastAsia="Palatino Linotype"/>
          <w:sz w:val="22"/>
          <w:szCs w:val="22"/>
          <w:lang w:val="es-ES"/>
        </w:rPr>
        <w:t xml:space="preserve"> </w:t>
      </w:r>
      <w:proofErr w:type="spellStart"/>
      <w:r>
        <w:rPr>
          <w:rFonts w:eastAsia="Palatino Linotype"/>
          <w:sz w:val="22"/>
          <w:szCs w:val="22"/>
          <w:lang w:val="es-ES"/>
        </w:rPr>
        <w:t>have</w:t>
      </w:r>
      <w:proofErr w:type="spellEnd"/>
      <w:r>
        <w:rPr>
          <w:rFonts w:eastAsia="Palatino Linotype"/>
          <w:sz w:val="22"/>
          <w:szCs w:val="22"/>
          <w:lang w:val="es-ES"/>
        </w:rPr>
        <w:t xml:space="preserve"> no </w:t>
      </w:r>
      <w:proofErr w:type="spellStart"/>
      <w:r>
        <w:rPr>
          <w:rFonts w:eastAsia="Palatino Linotype"/>
          <w:sz w:val="22"/>
          <w:szCs w:val="22"/>
          <w:lang w:val="es-ES"/>
        </w:rPr>
        <w:t>considerations</w:t>
      </w:r>
      <w:proofErr w:type="spellEnd"/>
      <w:r>
        <w:rPr>
          <w:rFonts w:eastAsia="Palatino Linotype"/>
          <w:sz w:val="22"/>
          <w:szCs w:val="22"/>
          <w:lang w:val="es-ES"/>
        </w:rPr>
        <w:t xml:space="preserve"> </w:t>
      </w:r>
      <w:proofErr w:type="spellStart"/>
      <w:r>
        <w:rPr>
          <w:rFonts w:eastAsia="Palatino Linotype"/>
          <w:sz w:val="22"/>
          <w:szCs w:val="22"/>
          <w:lang w:val="es-ES"/>
        </w:rPr>
        <w:t>to</w:t>
      </w:r>
      <w:proofErr w:type="spellEnd"/>
      <w:r>
        <w:rPr>
          <w:rFonts w:eastAsia="Palatino Linotype"/>
          <w:sz w:val="22"/>
          <w:szCs w:val="22"/>
          <w:lang w:val="es-ES"/>
        </w:rPr>
        <w:t xml:space="preserve"> </w:t>
      </w:r>
      <w:proofErr w:type="spellStart"/>
      <w:r>
        <w:rPr>
          <w:rFonts w:eastAsia="Palatino Linotype"/>
          <w:sz w:val="22"/>
          <w:szCs w:val="22"/>
          <w:lang w:val="es-ES"/>
        </w:rPr>
        <w:t>make</w:t>
      </w:r>
      <w:proofErr w:type="spellEnd"/>
      <w:r>
        <w:rPr>
          <w:rFonts w:eastAsia="Palatino Linotype"/>
          <w:sz w:val="22"/>
          <w:szCs w:val="22"/>
          <w:lang w:val="es-ES"/>
        </w:rPr>
        <w:t>.</w:t>
      </w:r>
    </w:p>
    <w:p w14:paraId="2A6A63B3" w14:textId="77777777" w:rsidR="00E255F4" w:rsidRDefault="00E255F4">
      <w:pPr>
        <w:ind w:right="-142"/>
        <w:jc w:val="both"/>
        <w:rPr>
          <w:rFonts w:eastAsia="Palatino Linotype"/>
          <w:spacing w:val="-1"/>
          <w:sz w:val="22"/>
          <w:szCs w:val="22"/>
          <w:lang w:val="es-ES"/>
        </w:rPr>
      </w:pPr>
    </w:p>
    <w:p w14:paraId="4E7F92A2" w14:textId="77777777" w:rsidR="00E255F4" w:rsidRDefault="00000000">
      <w:pPr>
        <w:ind w:right="-142"/>
        <w:jc w:val="both"/>
        <w:rPr>
          <w:rFonts w:eastAsia="Palatino Linotype"/>
          <w:sz w:val="22"/>
          <w:szCs w:val="22"/>
          <w:lang w:val="es-ES"/>
        </w:rPr>
      </w:pPr>
      <w:proofErr w:type="spellStart"/>
      <w:r>
        <w:rPr>
          <w:rFonts w:eastAsia="Palatino Linotype"/>
          <w:spacing w:val="-1"/>
          <w:sz w:val="22"/>
          <w:szCs w:val="22"/>
          <w:lang w:val="es-ES"/>
        </w:rPr>
        <w:t>It</w:t>
      </w:r>
      <w:r>
        <w:rPr>
          <w:rFonts w:eastAsia="Palatino Linotype"/>
          <w:sz w:val="22"/>
          <w:szCs w:val="22"/>
          <w:lang w:val="es-ES"/>
        </w:rPr>
        <w:t>Any</w:t>
      </w:r>
      <w:proofErr w:type="spellEnd"/>
      <w:r>
        <w:rPr>
          <w:rFonts w:eastAsia="Palatino Linotype"/>
          <w:sz w:val="22"/>
          <w:szCs w:val="22"/>
          <w:lang w:val="es-ES"/>
        </w:rPr>
        <w:t xml:space="preserve"> </w:t>
      </w:r>
      <w:proofErr w:type="spellStart"/>
      <w:r>
        <w:rPr>
          <w:rFonts w:eastAsia="Palatino Linotype"/>
          <w:sz w:val="22"/>
          <w:szCs w:val="22"/>
          <w:lang w:val="es-ES"/>
        </w:rPr>
        <w:t>written</w:t>
      </w:r>
      <w:proofErr w:type="spellEnd"/>
      <w:r>
        <w:rPr>
          <w:rFonts w:eastAsia="Palatino Linotype"/>
          <w:sz w:val="22"/>
          <w:szCs w:val="22"/>
          <w:lang w:val="es-ES"/>
        </w:rPr>
        <w:t xml:space="preserve"> </w:t>
      </w:r>
      <w:proofErr w:type="spellStart"/>
      <w:r>
        <w:rPr>
          <w:rFonts w:eastAsia="Palatino Linotype"/>
          <w:sz w:val="22"/>
          <w:szCs w:val="22"/>
          <w:lang w:val="es-ES"/>
        </w:rPr>
        <w:t>submissions</w:t>
      </w:r>
      <w:proofErr w:type="spellEnd"/>
      <w:r>
        <w:rPr>
          <w:rFonts w:eastAsia="Palatino Linotype"/>
          <w:sz w:val="22"/>
          <w:szCs w:val="22"/>
          <w:lang w:val="es-ES"/>
        </w:rPr>
        <w:t xml:space="preserve"> </w:t>
      </w:r>
      <w:proofErr w:type="spellStart"/>
      <w:r>
        <w:rPr>
          <w:rFonts w:eastAsia="Palatino Linotype"/>
          <w:sz w:val="22"/>
          <w:szCs w:val="22"/>
          <w:lang w:val="es-ES"/>
        </w:rPr>
        <w:t>or</w:t>
      </w:r>
      <w:proofErr w:type="spellEnd"/>
      <w:r>
        <w:rPr>
          <w:rFonts w:eastAsia="Palatino Linotype"/>
          <w:sz w:val="22"/>
          <w:szCs w:val="22"/>
          <w:lang w:val="es-ES"/>
        </w:rPr>
        <w:t xml:space="preserve"> </w:t>
      </w:r>
      <w:proofErr w:type="spellStart"/>
      <w:r>
        <w:rPr>
          <w:rFonts w:eastAsia="Palatino Linotype"/>
          <w:sz w:val="22"/>
          <w:szCs w:val="22"/>
          <w:lang w:val="es-ES"/>
        </w:rPr>
        <w:t>challenges</w:t>
      </w:r>
      <w:proofErr w:type="spellEnd"/>
      <w:r>
        <w:rPr>
          <w:rFonts w:eastAsia="Palatino Linotype"/>
          <w:sz w:val="22"/>
          <w:szCs w:val="22"/>
          <w:lang w:val="es-ES"/>
        </w:rPr>
        <w:t xml:space="preserve"> </w:t>
      </w:r>
      <w:proofErr w:type="spellStart"/>
      <w:r>
        <w:rPr>
          <w:rFonts w:eastAsia="Palatino Linotype"/>
          <w:sz w:val="22"/>
          <w:szCs w:val="22"/>
          <w:lang w:val="es-ES"/>
        </w:rPr>
        <w:t>made</w:t>
      </w:r>
      <w:proofErr w:type="spellEnd"/>
      <w:r>
        <w:rPr>
          <w:rFonts w:eastAsia="Palatino Linotype"/>
          <w:sz w:val="22"/>
          <w:szCs w:val="22"/>
          <w:lang w:val="es-ES"/>
        </w:rPr>
        <w:t xml:space="preserve"> at </w:t>
      </w:r>
      <w:proofErr w:type="spellStart"/>
      <w:r>
        <w:rPr>
          <w:rFonts w:eastAsia="Palatino Linotype"/>
          <w:sz w:val="22"/>
          <w:szCs w:val="22"/>
          <w:lang w:val="es-ES"/>
        </w:rPr>
        <w:t>this</w:t>
      </w:r>
      <w:proofErr w:type="spellEnd"/>
      <w:r>
        <w:rPr>
          <w:rFonts w:eastAsia="Palatino Linotype"/>
          <w:sz w:val="22"/>
          <w:szCs w:val="22"/>
          <w:lang w:val="es-ES"/>
        </w:rPr>
        <w:t xml:space="preserve"> </w:t>
      </w:r>
      <w:proofErr w:type="spellStart"/>
      <w:r>
        <w:rPr>
          <w:rFonts w:eastAsia="Palatino Linotype"/>
          <w:sz w:val="22"/>
          <w:szCs w:val="22"/>
          <w:lang w:val="es-ES"/>
        </w:rPr>
        <w:t>stage</w:t>
      </w:r>
      <w:proofErr w:type="spellEnd"/>
      <w:r>
        <w:rPr>
          <w:rFonts w:eastAsia="Palatino Linotype"/>
          <w:sz w:val="22"/>
          <w:szCs w:val="22"/>
          <w:lang w:val="es-ES"/>
        </w:rPr>
        <w:t xml:space="preserve"> </w:t>
      </w:r>
      <w:proofErr w:type="spellStart"/>
      <w:r>
        <w:rPr>
          <w:rFonts w:eastAsia="Palatino Linotype"/>
          <w:sz w:val="22"/>
          <w:szCs w:val="22"/>
          <w:lang w:val="es-ES"/>
        </w:rPr>
        <w:t>by</w:t>
      </w:r>
      <w:proofErr w:type="spellEnd"/>
      <w:r>
        <w:rPr>
          <w:rFonts w:eastAsia="Palatino Linotype"/>
          <w:sz w:val="22"/>
          <w:szCs w:val="22"/>
          <w:lang w:val="es-ES"/>
        </w:rPr>
        <w:t xml:space="preserve"> </w:t>
      </w:r>
      <w:proofErr w:type="spellStart"/>
      <w:r>
        <w:rPr>
          <w:rFonts w:eastAsia="Palatino Linotype"/>
          <w:sz w:val="22"/>
          <w:szCs w:val="22"/>
          <w:lang w:val="es-ES"/>
        </w:rPr>
        <w:t>interested</w:t>
      </w:r>
      <w:proofErr w:type="spellEnd"/>
      <w:r>
        <w:rPr>
          <w:rFonts w:eastAsia="Palatino Linotype"/>
          <w:sz w:val="22"/>
          <w:szCs w:val="22"/>
          <w:lang w:val="es-ES"/>
        </w:rPr>
        <w:t xml:space="preserve"> </w:t>
      </w:r>
      <w:proofErr w:type="spellStart"/>
      <w:r>
        <w:rPr>
          <w:rFonts w:eastAsia="Palatino Linotype"/>
          <w:sz w:val="22"/>
          <w:szCs w:val="22"/>
          <w:lang w:val="es-ES"/>
        </w:rPr>
        <w:t>parties</w:t>
      </w:r>
      <w:proofErr w:type="spellEnd"/>
      <w:r>
        <w:rPr>
          <w:rFonts w:eastAsia="Palatino Linotype"/>
          <w:sz w:val="22"/>
          <w:szCs w:val="22"/>
          <w:lang w:val="es-ES"/>
        </w:rPr>
        <w:t xml:space="preserve"> </w:t>
      </w:r>
      <w:proofErr w:type="spellStart"/>
      <w:r>
        <w:rPr>
          <w:rFonts w:eastAsia="Palatino Linotype"/>
          <w:sz w:val="22"/>
          <w:szCs w:val="22"/>
          <w:lang w:val="es-ES"/>
        </w:rPr>
        <w:t>will</w:t>
      </w:r>
      <w:proofErr w:type="spellEnd"/>
      <w:r>
        <w:rPr>
          <w:rFonts w:eastAsia="Palatino Linotype"/>
          <w:sz w:val="22"/>
          <w:szCs w:val="22"/>
          <w:lang w:val="es-ES"/>
        </w:rPr>
        <w:t xml:space="preserve"> be </w:t>
      </w:r>
      <w:proofErr w:type="spellStart"/>
      <w:r>
        <w:rPr>
          <w:rFonts w:eastAsia="Palatino Linotype"/>
          <w:sz w:val="22"/>
          <w:szCs w:val="22"/>
          <w:lang w:val="es-ES"/>
        </w:rPr>
        <w:t>considered</w:t>
      </w:r>
      <w:proofErr w:type="spellEnd"/>
      <w:r>
        <w:rPr>
          <w:rFonts w:eastAsia="Palatino Linotype"/>
          <w:sz w:val="22"/>
          <w:szCs w:val="22"/>
          <w:lang w:val="es-ES"/>
        </w:rPr>
        <w:t xml:space="preserve"> </w:t>
      </w:r>
      <w:proofErr w:type="spellStart"/>
      <w:r>
        <w:rPr>
          <w:rFonts w:eastAsia="Palatino Linotype"/>
          <w:sz w:val="22"/>
          <w:szCs w:val="22"/>
          <w:lang w:val="es-ES"/>
        </w:rPr>
        <w:t>by</w:t>
      </w:r>
      <w:proofErr w:type="spellEnd"/>
      <w:r>
        <w:rPr>
          <w:rFonts w:eastAsia="Palatino Linotype"/>
          <w:sz w:val="22"/>
          <w:szCs w:val="22"/>
          <w:lang w:val="es-ES"/>
        </w:rPr>
        <w:t xml:space="preserve"> </w:t>
      </w:r>
      <w:proofErr w:type="spellStart"/>
      <w:r>
        <w:rPr>
          <w:rFonts w:eastAsia="Palatino Linotype"/>
          <w:sz w:val="22"/>
          <w:szCs w:val="22"/>
          <w:lang w:val="es-ES"/>
        </w:rPr>
        <w:t>the</w:t>
      </w:r>
      <w:proofErr w:type="spellEnd"/>
      <w:r>
        <w:rPr>
          <w:rFonts w:eastAsia="Palatino Linotype"/>
          <w:sz w:val="22"/>
          <w:szCs w:val="22"/>
          <w:lang w:val="es-ES"/>
        </w:rPr>
        <w:t xml:space="preserve"> </w:t>
      </w:r>
      <w:proofErr w:type="spellStart"/>
      <w:r>
        <w:rPr>
          <w:rFonts w:eastAsia="Palatino Linotype"/>
          <w:sz w:val="22"/>
          <w:szCs w:val="22"/>
          <w:lang w:val="es-ES"/>
        </w:rPr>
        <w:t>Administration</w:t>
      </w:r>
      <w:proofErr w:type="spellEnd"/>
      <w:r>
        <w:rPr>
          <w:rFonts w:eastAsia="Palatino Linotype"/>
          <w:sz w:val="22"/>
          <w:szCs w:val="22"/>
          <w:lang w:val="es-ES"/>
        </w:rPr>
        <w:t xml:space="preserve"> as a </w:t>
      </w:r>
      <w:proofErr w:type="spellStart"/>
      <w:r>
        <w:rPr>
          <w:rFonts w:eastAsia="Palatino Linotype"/>
          <w:sz w:val="22"/>
          <w:szCs w:val="22"/>
          <w:lang w:val="es-ES"/>
        </w:rPr>
        <w:t>petition</w:t>
      </w:r>
      <w:proofErr w:type="spellEnd"/>
      <w:r>
        <w:rPr>
          <w:rFonts w:eastAsia="Palatino Linotype"/>
          <w:sz w:val="22"/>
          <w:szCs w:val="22"/>
          <w:lang w:val="es-ES"/>
        </w:rPr>
        <w:t xml:space="preserve">, in </w:t>
      </w:r>
      <w:proofErr w:type="spellStart"/>
      <w:r>
        <w:rPr>
          <w:rFonts w:eastAsia="Palatino Linotype"/>
          <w:sz w:val="22"/>
          <w:szCs w:val="22"/>
          <w:lang w:val="es-ES"/>
        </w:rPr>
        <w:t>accordance</w:t>
      </w:r>
      <w:proofErr w:type="spellEnd"/>
      <w:r>
        <w:rPr>
          <w:rFonts w:eastAsia="Palatino Linotype"/>
          <w:sz w:val="22"/>
          <w:szCs w:val="22"/>
          <w:lang w:val="es-ES"/>
        </w:rPr>
        <w:t xml:space="preserve"> </w:t>
      </w:r>
      <w:proofErr w:type="spellStart"/>
      <w:r>
        <w:rPr>
          <w:rFonts w:eastAsia="Palatino Linotype"/>
          <w:sz w:val="22"/>
          <w:szCs w:val="22"/>
          <w:lang w:val="es-ES"/>
        </w:rPr>
        <w:t>with</w:t>
      </w:r>
      <w:proofErr w:type="spellEnd"/>
      <w:r>
        <w:rPr>
          <w:rFonts w:eastAsia="Palatino Linotype"/>
          <w:sz w:val="22"/>
          <w:szCs w:val="22"/>
          <w:lang w:val="es-ES"/>
        </w:rPr>
        <w:t xml:space="preserve"> </w:t>
      </w:r>
      <w:proofErr w:type="spellStart"/>
      <w:r>
        <w:rPr>
          <w:rFonts w:eastAsia="Palatino Linotype"/>
          <w:sz w:val="22"/>
          <w:szCs w:val="22"/>
          <w:lang w:val="es-ES"/>
        </w:rPr>
        <w:t>the</w:t>
      </w:r>
      <w:proofErr w:type="spellEnd"/>
      <w:r>
        <w:rPr>
          <w:rFonts w:eastAsia="Palatino Linotype"/>
          <w:sz w:val="22"/>
          <w:szCs w:val="22"/>
          <w:lang w:val="es-ES"/>
        </w:rPr>
        <w:t xml:space="preserve"> </w:t>
      </w:r>
      <w:proofErr w:type="spellStart"/>
      <w:r>
        <w:rPr>
          <w:rFonts w:eastAsia="Palatino Linotype"/>
          <w:sz w:val="22"/>
          <w:szCs w:val="22"/>
          <w:lang w:val="es-ES"/>
        </w:rPr>
        <w:t>provisions</w:t>
      </w:r>
      <w:proofErr w:type="spellEnd"/>
      <w:r>
        <w:rPr>
          <w:rFonts w:eastAsia="Palatino Linotype"/>
          <w:sz w:val="22"/>
          <w:szCs w:val="22"/>
          <w:lang w:val="es-ES"/>
        </w:rPr>
        <w:t xml:space="preserve"> </w:t>
      </w:r>
      <w:proofErr w:type="spellStart"/>
      <w:r>
        <w:rPr>
          <w:rFonts w:eastAsia="Palatino Linotype"/>
          <w:sz w:val="22"/>
          <w:szCs w:val="22"/>
          <w:lang w:val="es-ES"/>
        </w:rPr>
        <w:t>of</w:t>
      </w:r>
      <w:proofErr w:type="spellEnd"/>
      <w:r>
        <w:rPr>
          <w:rFonts w:eastAsia="Palatino Linotype"/>
          <w:sz w:val="22"/>
          <w:szCs w:val="22"/>
          <w:lang w:val="es-ES"/>
        </w:rPr>
        <w:t xml:space="preserve"> </w:t>
      </w:r>
      <w:proofErr w:type="spellStart"/>
      <w:r>
        <w:rPr>
          <w:rFonts w:eastAsia="Palatino Linotype"/>
          <w:sz w:val="22"/>
          <w:szCs w:val="22"/>
          <w:lang w:val="es-ES"/>
        </w:rPr>
        <w:t>Articles</w:t>
      </w:r>
      <w:proofErr w:type="spellEnd"/>
      <w:r>
        <w:rPr>
          <w:rFonts w:eastAsia="Palatino Linotype"/>
          <w:sz w:val="22"/>
          <w:szCs w:val="22"/>
          <w:lang w:val="es-ES"/>
        </w:rPr>
        <w:t xml:space="preserve"> 30 and 318 </w:t>
      </w:r>
      <w:proofErr w:type="spellStart"/>
      <w:r>
        <w:rPr>
          <w:rFonts w:eastAsia="Palatino Linotype"/>
          <w:sz w:val="22"/>
          <w:szCs w:val="22"/>
          <w:lang w:val="es-ES"/>
        </w:rPr>
        <w:t>of</w:t>
      </w:r>
      <w:proofErr w:type="spellEnd"/>
      <w:r>
        <w:rPr>
          <w:rFonts w:eastAsia="Palatino Linotype"/>
          <w:sz w:val="22"/>
          <w:szCs w:val="22"/>
          <w:lang w:val="es-ES"/>
        </w:rPr>
        <w:t xml:space="preserve"> </w:t>
      </w:r>
      <w:proofErr w:type="spellStart"/>
      <w:r>
        <w:rPr>
          <w:rFonts w:eastAsia="Palatino Linotype"/>
          <w:sz w:val="22"/>
          <w:szCs w:val="22"/>
          <w:lang w:val="es-ES"/>
        </w:rPr>
        <w:t>the</w:t>
      </w:r>
      <w:proofErr w:type="spellEnd"/>
      <w:r>
        <w:rPr>
          <w:rFonts w:eastAsia="Palatino Linotype"/>
          <w:sz w:val="22"/>
          <w:szCs w:val="22"/>
          <w:lang w:val="es-ES"/>
        </w:rPr>
        <w:t xml:space="preserve"> </w:t>
      </w:r>
      <w:proofErr w:type="spellStart"/>
      <w:r>
        <w:rPr>
          <w:rFonts w:eastAsia="Palatino Linotype"/>
          <w:sz w:val="22"/>
          <w:szCs w:val="22"/>
          <w:lang w:val="es-ES"/>
        </w:rPr>
        <w:t>Constitution</w:t>
      </w:r>
      <w:proofErr w:type="spellEnd"/>
      <w:r>
        <w:rPr>
          <w:rFonts w:eastAsia="Palatino Linotype"/>
          <w:sz w:val="22"/>
          <w:szCs w:val="22"/>
          <w:lang w:val="es-ES"/>
        </w:rPr>
        <w:t xml:space="preserve"> </w:t>
      </w:r>
      <w:proofErr w:type="spellStart"/>
      <w:r>
        <w:rPr>
          <w:rFonts w:eastAsia="Palatino Linotype"/>
          <w:sz w:val="22"/>
          <w:szCs w:val="22"/>
          <w:lang w:val="es-ES"/>
        </w:rPr>
        <w:t>of</w:t>
      </w:r>
      <w:proofErr w:type="spellEnd"/>
      <w:r>
        <w:rPr>
          <w:rFonts w:eastAsia="Palatino Linotype"/>
          <w:sz w:val="22"/>
          <w:szCs w:val="22"/>
          <w:lang w:val="es-ES"/>
        </w:rPr>
        <w:t xml:space="preserve"> </w:t>
      </w:r>
      <w:proofErr w:type="spellStart"/>
      <w:r>
        <w:rPr>
          <w:rFonts w:eastAsia="Palatino Linotype"/>
          <w:sz w:val="22"/>
          <w:szCs w:val="22"/>
          <w:lang w:val="es-ES"/>
        </w:rPr>
        <w:t>the</w:t>
      </w:r>
      <w:proofErr w:type="spellEnd"/>
      <w:r>
        <w:rPr>
          <w:rFonts w:eastAsia="Palatino Linotype"/>
          <w:sz w:val="22"/>
          <w:szCs w:val="22"/>
          <w:lang w:val="es-ES"/>
        </w:rPr>
        <w:t xml:space="preserve"> </w:t>
      </w:r>
      <w:proofErr w:type="spellStart"/>
      <w:r>
        <w:rPr>
          <w:rFonts w:eastAsia="Palatino Linotype"/>
          <w:sz w:val="22"/>
          <w:szCs w:val="22"/>
          <w:lang w:val="es-ES"/>
        </w:rPr>
        <w:t>Republic</w:t>
      </w:r>
      <w:proofErr w:type="spellEnd"/>
      <w:r>
        <w:rPr>
          <w:rFonts w:eastAsia="Palatino Linotype"/>
          <w:sz w:val="22"/>
          <w:szCs w:val="22"/>
          <w:lang w:val="es-ES"/>
        </w:rPr>
        <w:t xml:space="preserve">, </w:t>
      </w:r>
      <w:proofErr w:type="spellStart"/>
      <w:r>
        <w:rPr>
          <w:rFonts w:eastAsia="Palatino Linotype"/>
          <w:sz w:val="22"/>
          <w:szCs w:val="22"/>
          <w:lang w:val="es-ES"/>
        </w:rPr>
        <w:t>to</w:t>
      </w:r>
      <w:proofErr w:type="spellEnd"/>
      <w:r>
        <w:rPr>
          <w:rFonts w:eastAsia="Palatino Linotype"/>
          <w:sz w:val="22"/>
          <w:szCs w:val="22"/>
          <w:lang w:val="es-ES"/>
        </w:rPr>
        <w:t xml:space="preserve"> be </w:t>
      </w:r>
      <w:proofErr w:type="spellStart"/>
      <w:r>
        <w:rPr>
          <w:rFonts w:eastAsia="Palatino Linotype"/>
          <w:sz w:val="22"/>
          <w:szCs w:val="22"/>
          <w:lang w:val="es-ES"/>
        </w:rPr>
        <w:t>taken</w:t>
      </w:r>
      <w:proofErr w:type="spellEnd"/>
      <w:r>
        <w:rPr>
          <w:rFonts w:eastAsia="Palatino Linotype"/>
          <w:sz w:val="22"/>
          <w:szCs w:val="22"/>
          <w:lang w:val="es-ES"/>
        </w:rPr>
        <w:t xml:space="preserve"> </w:t>
      </w:r>
      <w:proofErr w:type="spellStart"/>
      <w:r>
        <w:rPr>
          <w:rFonts w:eastAsia="Palatino Linotype"/>
          <w:sz w:val="22"/>
          <w:szCs w:val="22"/>
          <w:lang w:val="es-ES"/>
        </w:rPr>
        <w:t>into</w:t>
      </w:r>
      <w:proofErr w:type="spellEnd"/>
      <w:r>
        <w:rPr>
          <w:rFonts w:eastAsia="Palatino Linotype"/>
          <w:sz w:val="22"/>
          <w:szCs w:val="22"/>
          <w:lang w:val="es-ES"/>
        </w:rPr>
        <w:t xml:space="preserve"> </w:t>
      </w:r>
      <w:proofErr w:type="spellStart"/>
      <w:r>
        <w:rPr>
          <w:rFonts w:eastAsia="Palatino Linotype"/>
          <w:sz w:val="22"/>
          <w:szCs w:val="22"/>
          <w:lang w:val="es-ES"/>
        </w:rPr>
        <w:t>account</w:t>
      </w:r>
      <w:proofErr w:type="spellEnd"/>
      <w:r>
        <w:rPr>
          <w:rFonts w:eastAsia="Palatino Linotype"/>
          <w:sz w:val="22"/>
          <w:szCs w:val="22"/>
          <w:lang w:val="es-ES"/>
        </w:rPr>
        <w:t xml:space="preserve"> </w:t>
      </w:r>
      <w:proofErr w:type="spellStart"/>
      <w:r>
        <w:rPr>
          <w:rFonts w:eastAsia="Palatino Linotype"/>
          <w:sz w:val="22"/>
          <w:szCs w:val="22"/>
          <w:lang w:val="es-ES"/>
        </w:rPr>
        <w:t>when</w:t>
      </w:r>
      <w:proofErr w:type="spellEnd"/>
      <w:r>
        <w:rPr>
          <w:rFonts w:eastAsia="Palatino Linotype"/>
          <w:sz w:val="22"/>
          <w:szCs w:val="22"/>
          <w:lang w:val="es-ES"/>
        </w:rPr>
        <w:t xml:space="preserve"> </w:t>
      </w:r>
      <w:proofErr w:type="spellStart"/>
      <w:r>
        <w:rPr>
          <w:rFonts w:eastAsia="Palatino Linotype"/>
          <w:sz w:val="22"/>
          <w:szCs w:val="22"/>
          <w:lang w:val="es-ES"/>
        </w:rPr>
        <w:t>issuing</w:t>
      </w:r>
      <w:proofErr w:type="spellEnd"/>
      <w:r>
        <w:rPr>
          <w:rFonts w:eastAsia="Palatino Linotype"/>
          <w:sz w:val="22"/>
          <w:szCs w:val="22"/>
          <w:lang w:val="es-ES"/>
        </w:rPr>
        <w:t xml:space="preserve"> </w:t>
      </w:r>
      <w:proofErr w:type="spellStart"/>
      <w:r>
        <w:rPr>
          <w:rFonts w:eastAsia="Palatino Linotype"/>
          <w:sz w:val="22"/>
          <w:szCs w:val="22"/>
          <w:lang w:val="es-ES"/>
        </w:rPr>
        <w:t>the</w:t>
      </w:r>
      <w:proofErr w:type="spellEnd"/>
      <w:r>
        <w:rPr>
          <w:rFonts w:eastAsia="Palatino Linotype"/>
          <w:sz w:val="22"/>
          <w:szCs w:val="22"/>
          <w:lang w:val="es-ES"/>
        </w:rPr>
        <w:t xml:space="preserve"> </w:t>
      </w:r>
      <w:proofErr w:type="spellStart"/>
      <w:r>
        <w:rPr>
          <w:rFonts w:eastAsia="Palatino Linotype"/>
          <w:sz w:val="22"/>
          <w:szCs w:val="22"/>
          <w:lang w:val="es-ES"/>
        </w:rPr>
        <w:t>award</w:t>
      </w:r>
      <w:proofErr w:type="spellEnd"/>
      <w:r>
        <w:rPr>
          <w:rFonts w:eastAsia="Palatino Linotype"/>
          <w:sz w:val="22"/>
          <w:szCs w:val="22"/>
          <w:lang w:val="es-ES"/>
        </w:rPr>
        <w:t xml:space="preserve"> </w:t>
      </w:r>
      <w:proofErr w:type="spellStart"/>
      <w:r>
        <w:rPr>
          <w:rFonts w:eastAsia="Palatino Linotype"/>
          <w:sz w:val="22"/>
          <w:szCs w:val="22"/>
          <w:lang w:val="es-ES"/>
        </w:rPr>
        <w:t>decision</w:t>
      </w:r>
      <w:proofErr w:type="spellEnd"/>
      <w:r>
        <w:rPr>
          <w:rFonts w:eastAsia="Palatino Linotype"/>
          <w:sz w:val="22"/>
          <w:szCs w:val="22"/>
          <w:lang w:val="es-ES"/>
        </w:rPr>
        <w:t xml:space="preserve">, and </w:t>
      </w:r>
      <w:proofErr w:type="spellStart"/>
      <w:r>
        <w:rPr>
          <w:rFonts w:eastAsia="Palatino Linotype"/>
          <w:sz w:val="22"/>
          <w:szCs w:val="22"/>
          <w:lang w:val="es-ES"/>
        </w:rPr>
        <w:t>regarding</w:t>
      </w:r>
      <w:proofErr w:type="spellEnd"/>
      <w:r>
        <w:rPr>
          <w:rFonts w:eastAsia="Palatino Linotype"/>
          <w:sz w:val="22"/>
          <w:szCs w:val="22"/>
          <w:lang w:val="es-ES"/>
        </w:rPr>
        <w:t xml:space="preserve"> </w:t>
      </w:r>
      <w:proofErr w:type="spellStart"/>
      <w:r>
        <w:rPr>
          <w:rFonts w:eastAsia="Palatino Linotype"/>
          <w:sz w:val="22"/>
          <w:szCs w:val="22"/>
          <w:lang w:val="es-ES"/>
        </w:rPr>
        <w:t>which</w:t>
      </w:r>
      <w:proofErr w:type="spellEnd"/>
      <w:r>
        <w:rPr>
          <w:rFonts w:eastAsia="Palatino Linotype"/>
          <w:sz w:val="22"/>
          <w:szCs w:val="22"/>
          <w:lang w:val="es-ES"/>
        </w:rPr>
        <w:t xml:space="preserve"> </w:t>
      </w:r>
      <w:proofErr w:type="spellStart"/>
      <w:r>
        <w:rPr>
          <w:rFonts w:eastAsia="Palatino Linotype"/>
          <w:sz w:val="22"/>
          <w:szCs w:val="22"/>
          <w:lang w:val="es-ES"/>
        </w:rPr>
        <w:t>petition</w:t>
      </w:r>
      <w:proofErr w:type="spellEnd"/>
      <w:r>
        <w:rPr>
          <w:rFonts w:eastAsia="Palatino Linotype"/>
          <w:sz w:val="22"/>
          <w:szCs w:val="22"/>
          <w:lang w:val="es-ES"/>
        </w:rPr>
        <w:t xml:space="preserve"> </w:t>
      </w:r>
      <w:proofErr w:type="spellStart"/>
      <w:r>
        <w:rPr>
          <w:rFonts w:eastAsia="Palatino Linotype"/>
          <w:sz w:val="22"/>
          <w:szCs w:val="22"/>
          <w:lang w:val="es-ES"/>
        </w:rPr>
        <w:t>there</w:t>
      </w:r>
      <w:proofErr w:type="spellEnd"/>
      <w:r>
        <w:rPr>
          <w:rFonts w:eastAsia="Palatino Linotype"/>
          <w:sz w:val="22"/>
          <w:szCs w:val="22"/>
          <w:lang w:val="es-ES"/>
        </w:rPr>
        <w:t xml:space="preserve"> </w:t>
      </w:r>
      <w:proofErr w:type="spellStart"/>
      <w:r>
        <w:rPr>
          <w:rFonts w:eastAsia="Palatino Linotype"/>
          <w:sz w:val="22"/>
          <w:szCs w:val="22"/>
          <w:lang w:val="es-ES"/>
        </w:rPr>
        <w:t>must</w:t>
      </w:r>
      <w:proofErr w:type="spellEnd"/>
      <w:r>
        <w:rPr>
          <w:rFonts w:eastAsia="Palatino Linotype"/>
          <w:sz w:val="22"/>
          <w:szCs w:val="22"/>
          <w:lang w:val="es-ES"/>
        </w:rPr>
        <w:t xml:space="preserve"> be a </w:t>
      </w:r>
      <w:proofErr w:type="spellStart"/>
      <w:r>
        <w:rPr>
          <w:rFonts w:eastAsia="Palatino Linotype"/>
          <w:sz w:val="22"/>
          <w:szCs w:val="22"/>
          <w:lang w:val="es-ES"/>
        </w:rPr>
        <w:t>reasoned</w:t>
      </w:r>
      <w:proofErr w:type="spellEnd"/>
      <w:r>
        <w:rPr>
          <w:rFonts w:eastAsia="Palatino Linotype"/>
          <w:sz w:val="22"/>
          <w:szCs w:val="22"/>
          <w:lang w:val="es-ES"/>
        </w:rPr>
        <w:t xml:space="preserve"> </w:t>
      </w:r>
      <w:proofErr w:type="spellStart"/>
      <w:r>
        <w:rPr>
          <w:rFonts w:eastAsia="Palatino Linotype"/>
          <w:sz w:val="22"/>
          <w:szCs w:val="22"/>
          <w:lang w:val="es-ES"/>
        </w:rPr>
        <w:t>report</w:t>
      </w:r>
      <w:proofErr w:type="spellEnd"/>
      <w:r>
        <w:rPr>
          <w:rFonts w:eastAsia="Palatino Linotype"/>
          <w:sz w:val="22"/>
          <w:szCs w:val="22"/>
          <w:lang w:val="es-ES"/>
        </w:rPr>
        <w:t>.</w:t>
      </w:r>
    </w:p>
    <w:p w14:paraId="0F292B12" w14:textId="77777777" w:rsidR="00E255F4" w:rsidRDefault="00E255F4">
      <w:pPr>
        <w:ind w:right="-142"/>
        <w:jc w:val="both"/>
        <w:rPr>
          <w:rFonts w:eastAsia="Palatino Linotype"/>
          <w:spacing w:val="-1"/>
          <w:sz w:val="22"/>
          <w:szCs w:val="22"/>
          <w:lang w:val="es-ES"/>
        </w:rPr>
      </w:pPr>
    </w:p>
    <w:p w14:paraId="3965F954" w14:textId="77777777" w:rsidR="00E255F4" w:rsidRDefault="00000000">
      <w:pPr>
        <w:ind w:right="-142"/>
        <w:jc w:val="both"/>
        <w:rPr>
          <w:rFonts w:eastAsia="Palatino Linotype"/>
          <w:sz w:val="22"/>
          <w:szCs w:val="22"/>
          <w:lang w:val="es-ES"/>
        </w:rPr>
      </w:pPr>
      <w:proofErr w:type="spellStart"/>
      <w:r>
        <w:rPr>
          <w:rFonts w:eastAsia="Palatino Linotype"/>
          <w:spacing w:val="-1"/>
          <w:sz w:val="22"/>
          <w:szCs w:val="22"/>
          <w:lang w:val="es-ES"/>
        </w:rPr>
        <w:t>AND</w:t>
      </w:r>
      <w:r>
        <w:rPr>
          <w:rFonts w:eastAsia="Palatino Linotype"/>
          <w:sz w:val="22"/>
          <w:szCs w:val="22"/>
          <w:lang w:val="es-ES"/>
        </w:rPr>
        <w:t>The</w:t>
      </w:r>
      <w:proofErr w:type="spellEnd"/>
      <w:r>
        <w:rPr>
          <w:rFonts w:eastAsia="Palatino Linotype"/>
          <w:sz w:val="22"/>
          <w:szCs w:val="22"/>
          <w:lang w:val="es-ES"/>
        </w:rPr>
        <w:t xml:space="preserve"> </w:t>
      </w:r>
      <w:proofErr w:type="spellStart"/>
      <w:r>
        <w:rPr>
          <w:rFonts w:eastAsia="Palatino Linotype"/>
          <w:sz w:val="22"/>
          <w:szCs w:val="22"/>
          <w:lang w:val="es-ES"/>
        </w:rPr>
        <w:t>interested</w:t>
      </w:r>
      <w:proofErr w:type="spellEnd"/>
      <w:r>
        <w:rPr>
          <w:rFonts w:eastAsia="Palatino Linotype"/>
          <w:sz w:val="22"/>
          <w:szCs w:val="22"/>
          <w:lang w:val="es-ES"/>
        </w:rPr>
        <w:t xml:space="preserve"> </w:t>
      </w:r>
      <w:proofErr w:type="spellStart"/>
      <w:r>
        <w:rPr>
          <w:rFonts w:eastAsia="Palatino Linotype"/>
          <w:sz w:val="22"/>
          <w:szCs w:val="22"/>
          <w:lang w:val="es-ES"/>
        </w:rPr>
        <w:t>party</w:t>
      </w:r>
      <w:proofErr w:type="spellEnd"/>
      <w:r>
        <w:rPr>
          <w:rFonts w:eastAsia="Palatino Linotype"/>
          <w:sz w:val="22"/>
          <w:szCs w:val="22"/>
          <w:lang w:val="es-ES"/>
        </w:rPr>
        <w:t xml:space="preserve"> </w:t>
      </w:r>
      <w:proofErr w:type="spellStart"/>
      <w:r>
        <w:rPr>
          <w:rFonts w:eastAsia="Palatino Linotype"/>
          <w:sz w:val="22"/>
          <w:szCs w:val="22"/>
          <w:lang w:val="es-ES"/>
        </w:rPr>
        <w:t>will</w:t>
      </w:r>
      <w:proofErr w:type="spellEnd"/>
      <w:r>
        <w:rPr>
          <w:rFonts w:eastAsia="Palatino Linotype"/>
          <w:sz w:val="22"/>
          <w:szCs w:val="22"/>
          <w:lang w:val="es-ES"/>
        </w:rPr>
        <w:t xml:space="preserve"> </w:t>
      </w:r>
      <w:proofErr w:type="spellStart"/>
      <w:r>
        <w:rPr>
          <w:rFonts w:eastAsia="Palatino Linotype"/>
          <w:sz w:val="22"/>
          <w:szCs w:val="22"/>
          <w:lang w:val="es-ES"/>
        </w:rPr>
        <w:t>send</w:t>
      </w:r>
      <w:proofErr w:type="spellEnd"/>
      <w:r>
        <w:rPr>
          <w:rFonts w:eastAsia="Palatino Linotype"/>
          <w:sz w:val="22"/>
          <w:szCs w:val="22"/>
          <w:lang w:val="es-ES"/>
        </w:rPr>
        <w:t xml:space="preserve"> a </w:t>
      </w:r>
      <w:proofErr w:type="spellStart"/>
      <w:r>
        <w:rPr>
          <w:rFonts w:eastAsia="Palatino Linotype"/>
          <w:sz w:val="22"/>
          <w:szCs w:val="22"/>
          <w:lang w:val="es-ES"/>
        </w:rPr>
        <w:t>copy</w:t>
      </w:r>
      <w:proofErr w:type="spellEnd"/>
      <w:r>
        <w:rPr>
          <w:rFonts w:eastAsia="Palatino Linotype"/>
          <w:sz w:val="22"/>
          <w:szCs w:val="22"/>
          <w:lang w:val="es-ES"/>
        </w:rPr>
        <w:t xml:space="preserve"> </w:t>
      </w:r>
      <w:proofErr w:type="spellStart"/>
      <w:r>
        <w:rPr>
          <w:rFonts w:eastAsia="Palatino Linotype"/>
          <w:sz w:val="22"/>
          <w:szCs w:val="22"/>
          <w:lang w:val="es-ES"/>
        </w:rPr>
        <w:t>of</w:t>
      </w:r>
      <w:proofErr w:type="spellEnd"/>
      <w:r>
        <w:rPr>
          <w:rFonts w:eastAsia="Palatino Linotype"/>
          <w:sz w:val="22"/>
          <w:szCs w:val="22"/>
          <w:lang w:val="es-ES"/>
        </w:rPr>
        <w:t xml:space="preserve"> </w:t>
      </w:r>
      <w:proofErr w:type="spellStart"/>
      <w:r>
        <w:rPr>
          <w:rFonts w:eastAsia="Palatino Linotype"/>
          <w:sz w:val="22"/>
          <w:szCs w:val="22"/>
          <w:lang w:val="es-ES"/>
        </w:rPr>
        <w:t>the</w:t>
      </w:r>
      <w:proofErr w:type="spellEnd"/>
      <w:r>
        <w:rPr>
          <w:rFonts w:eastAsia="Palatino Linotype"/>
          <w:sz w:val="22"/>
          <w:szCs w:val="22"/>
          <w:lang w:val="es-ES"/>
        </w:rPr>
        <w:t xml:space="preserve"> </w:t>
      </w:r>
      <w:proofErr w:type="spellStart"/>
      <w:r>
        <w:rPr>
          <w:rFonts w:eastAsia="Palatino Linotype"/>
          <w:sz w:val="22"/>
          <w:szCs w:val="22"/>
          <w:lang w:val="es-ES"/>
        </w:rPr>
        <w:t>document</w:t>
      </w:r>
      <w:proofErr w:type="spellEnd"/>
      <w:r>
        <w:rPr>
          <w:rFonts w:eastAsia="Palatino Linotype"/>
          <w:sz w:val="22"/>
          <w:szCs w:val="22"/>
          <w:lang w:val="es-ES"/>
        </w:rPr>
        <w:t xml:space="preserve"> </w:t>
      </w:r>
      <w:proofErr w:type="spellStart"/>
      <w:r>
        <w:rPr>
          <w:rFonts w:eastAsia="Palatino Linotype"/>
          <w:sz w:val="22"/>
          <w:szCs w:val="22"/>
          <w:lang w:val="es-ES"/>
        </w:rPr>
        <w:t>or</w:t>
      </w:r>
      <w:proofErr w:type="spellEnd"/>
      <w:r>
        <w:rPr>
          <w:rFonts w:eastAsia="Palatino Linotype"/>
          <w:sz w:val="22"/>
          <w:szCs w:val="22"/>
          <w:lang w:val="es-ES"/>
        </w:rPr>
        <w:t xml:space="preserve"> appeal </w:t>
      </w:r>
      <w:proofErr w:type="spellStart"/>
      <w:r>
        <w:rPr>
          <w:rFonts w:eastAsia="Palatino Linotype"/>
          <w:sz w:val="22"/>
          <w:szCs w:val="22"/>
          <w:lang w:val="es-ES"/>
        </w:rPr>
        <w:t>submitted</w:t>
      </w:r>
      <w:proofErr w:type="spellEnd"/>
      <w:r>
        <w:rPr>
          <w:rFonts w:eastAsia="Palatino Linotype"/>
          <w:sz w:val="22"/>
          <w:szCs w:val="22"/>
          <w:lang w:val="es-ES"/>
        </w:rPr>
        <w:t xml:space="preserve"> </w:t>
      </w:r>
      <w:proofErr w:type="spellStart"/>
      <w:r>
        <w:rPr>
          <w:rFonts w:eastAsia="Palatino Linotype"/>
          <w:sz w:val="22"/>
          <w:szCs w:val="22"/>
          <w:lang w:val="es-ES"/>
        </w:rPr>
        <w:t>to</w:t>
      </w:r>
      <w:proofErr w:type="spellEnd"/>
      <w:r>
        <w:rPr>
          <w:rFonts w:eastAsia="Palatino Linotype"/>
          <w:sz w:val="22"/>
          <w:szCs w:val="22"/>
          <w:lang w:val="es-ES"/>
        </w:rPr>
        <w:t xml:space="preserve"> </w:t>
      </w:r>
      <w:proofErr w:type="spellStart"/>
      <w:r>
        <w:rPr>
          <w:rFonts w:eastAsia="Palatino Linotype"/>
          <w:sz w:val="22"/>
          <w:szCs w:val="22"/>
          <w:lang w:val="es-ES"/>
        </w:rPr>
        <w:t>the</w:t>
      </w:r>
      <w:proofErr w:type="spellEnd"/>
      <w:r>
        <w:rPr>
          <w:rFonts w:eastAsia="Palatino Linotype"/>
          <w:sz w:val="22"/>
          <w:szCs w:val="22"/>
          <w:lang w:val="es-ES"/>
        </w:rPr>
        <w:t xml:space="preserve"> Court </w:t>
      </w:r>
      <w:proofErr w:type="spellStart"/>
      <w:r>
        <w:rPr>
          <w:rFonts w:eastAsia="Palatino Linotype"/>
          <w:sz w:val="22"/>
          <w:szCs w:val="22"/>
          <w:lang w:val="es-ES"/>
        </w:rPr>
        <w:t>of</w:t>
      </w:r>
      <w:proofErr w:type="spellEnd"/>
      <w:r>
        <w:rPr>
          <w:rFonts w:eastAsia="Palatino Linotype"/>
          <w:sz w:val="22"/>
          <w:szCs w:val="22"/>
          <w:lang w:val="es-ES"/>
        </w:rPr>
        <w:t xml:space="preserve"> </w:t>
      </w:r>
      <w:proofErr w:type="spellStart"/>
      <w:r>
        <w:rPr>
          <w:rFonts w:eastAsia="Palatino Linotype"/>
          <w:sz w:val="22"/>
          <w:szCs w:val="22"/>
          <w:lang w:val="es-ES"/>
        </w:rPr>
        <w:t>Auditors</w:t>
      </w:r>
      <w:proofErr w:type="spellEnd"/>
      <w:r>
        <w:rPr>
          <w:rFonts w:eastAsia="Palatino Linotype"/>
          <w:sz w:val="22"/>
          <w:szCs w:val="22"/>
          <w:lang w:val="es-ES"/>
        </w:rPr>
        <w:t xml:space="preserve">, </w:t>
      </w:r>
      <w:proofErr w:type="spellStart"/>
      <w:r>
        <w:rPr>
          <w:rFonts w:eastAsia="Palatino Linotype"/>
          <w:sz w:val="22"/>
          <w:szCs w:val="22"/>
          <w:lang w:val="es-ES"/>
        </w:rPr>
        <w:t>having</w:t>
      </w:r>
      <w:proofErr w:type="spellEnd"/>
      <w:r>
        <w:rPr>
          <w:rFonts w:eastAsia="Palatino Linotype"/>
          <w:sz w:val="22"/>
          <w:szCs w:val="22"/>
          <w:lang w:val="es-ES"/>
        </w:rPr>
        <w:t xml:space="preserve"> a </w:t>
      </w:r>
      <w:proofErr w:type="spellStart"/>
      <w:r>
        <w:rPr>
          <w:rFonts w:eastAsia="Palatino Linotype"/>
          <w:sz w:val="22"/>
          <w:szCs w:val="22"/>
          <w:lang w:val="es-ES"/>
        </w:rPr>
        <w:t>period</w:t>
      </w:r>
      <w:proofErr w:type="spellEnd"/>
      <w:r>
        <w:rPr>
          <w:rFonts w:eastAsia="Palatino Linotype"/>
          <w:sz w:val="22"/>
          <w:szCs w:val="22"/>
          <w:lang w:val="es-ES"/>
        </w:rPr>
        <w:t xml:space="preserve"> </w:t>
      </w:r>
      <w:proofErr w:type="spellStart"/>
      <w:r>
        <w:rPr>
          <w:rFonts w:eastAsia="Palatino Linotype"/>
          <w:sz w:val="22"/>
          <w:szCs w:val="22"/>
          <w:lang w:val="es-ES"/>
        </w:rPr>
        <w:t>of</w:t>
      </w:r>
      <w:proofErr w:type="spellEnd"/>
      <w:r>
        <w:rPr>
          <w:rFonts w:eastAsia="Palatino Linotype"/>
          <w:sz w:val="22"/>
          <w:szCs w:val="22"/>
          <w:lang w:val="es-ES"/>
        </w:rPr>
        <w:t xml:space="preserve"> </w:t>
      </w:r>
      <w:proofErr w:type="spellStart"/>
      <w:r>
        <w:rPr>
          <w:rFonts w:eastAsia="Palatino Linotype"/>
          <w:sz w:val="22"/>
          <w:szCs w:val="22"/>
          <w:lang w:val="es-ES"/>
        </w:rPr>
        <w:t>forty-eight</w:t>
      </w:r>
      <w:proofErr w:type="spellEnd"/>
      <w:r>
        <w:rPr>
          <w:rFonts w:eastAsia="Palatino Linotype"/>
          <w:sz w:val="22"/>
          <w:szCs w:val="22"/>
          <w:lang w:val="es-ES"/>
        </w:rPr>
        <w:t xml:space="preserve"> </w:t>
      </w:r>
      <w:proofErr w:type="spellStart"/>
      <w:r>
        <w:rPr>
          <w:rFonts w:eastAsia="Palatino Linotype"/>
          <w:sz w:val="22"/>
          <w:szCs w:val="22"/>
          <w:lang w:val="es-ES"/>
        </w:rPr>
        <w:t>hours</w:t>
      </w:r>
      <w:proofErr w:type="spellEnd"/>
      <w:r>
        <w:rPr>
          <w:rFonts w:eastAsia="Palatino Linotype"/>
          <w:sz w:val="22"/>
          <w:szCs w:val="22"/>
          <w:lang w:val="es-ES"/>
        </w:rPr>
        <w:t xml:space="preserve"> </w:t>
      </w:r>
      <w:proofErr w:type="spellStart"/>
      <w:r>
        <w:rPr>
          <w:rFonts w:eastAsia="Palatino Linotype"/>
          <w:sz w:val="22"/>
          <w:szCs w:val="22"/>
          <w:lang w:val="es-ES"/>
        </w:rPr>
        <w:t>for</w:t>
      </w:r>
      <w:proofErr w:type="spellEnd"/>
      <w:r>
        <w:rPr>
          <w:rFonts w:eastAsia="Palatino Linotype"/>
          <w:sz w:val="22"/>
          <w:szCs w:val="22"/>
          <w:lang w:val="es-ES"/>
        </w:rPr>
        <w:t xml:space="preserve"> </w:t>
      </w:r>
      <w:proofErr w:type="spellStart"/>
      <w:r>
        <w:rPr>
          <w:rFonts w:eastAsia="Palatino Linotype"/>
          <w:sz w:val="22"/>
          <w:szCs w:val="22"/>
          <w:lang w:val="es-ES"/>
        </w:rPr>
        <w:t>this</w:t>
      </w:r>
      <w:proofErr w:type="spellEnd"/>
      <w:r>
        <w:rPr>
          <w:rFonts w:eastAsia="Palatino Linotype"/>
          <w:sz w:val="22"/>
          <w:szCs w:val="22"/>
          <w:lang w:val="es-ES"/>
        </w:rPr>
        <w:t xml:space="preserve"> </w:t>
      </w:r>
      <w:proofErr w:type="spellStart"/>
      <w:r>
        <w:rPr>
          <w:rFonts w:eastAsia="Palatino Linotype"/>
          <w:sz w:val="22"/>
          <w:szCs w:val="22"/>
          <w:lang w:val="es-ES"/>
        </w:rPr>
        <w:t>purpose</w:t>
      </w:r>
      <w:proofErr w:type="spellEnd"/>
      <w:r>
        <w:rPr>
          <w:rFonts w:eastAsia="Palatino Linotype"/>
          <w:sz w:val="22"/>
          <w:szCs w:val="22"/>
          <w:lang w:val="es-ES"/>
        </w:rPr>
        <w:t>.</w:t>
      </w:r>
    </w:p>
    <w:p w14:paraId="181AD04D" w14:textId="77777777" w:rsidR="00E255F4" w:rsidRDefault="00E255F4">
      <w:pPr>
        <w:ind w:right="-142"/>
        <w:jc w:val="both"/>
        <w:rPr>
          <w:rFonts w:eastAsia="Palatino Linotype"/>
          <w:sz w:val="22"/>
          <w:szCs w:val="22"/>
          <w:lang w:val="es-ES"/>
        </w:rPr>
      </w:pPr>
    </w:p>
    <w:p w14:paraId="57B5EA12" w14:textId="77777777" w:rsidR="00E255F4" w:rsidRDefault="00000000">
      <w:pPr>
        <w:spacing w:after="240"/>
        <w:ind w:right="-142"/>
        <w:jc w:val="both"/>
        <w:outlineLvl w:val="0"/>
        <w:rPr>
          <w:rFonts w:eastAsia="Palatino Linotype"/>
          <w:b/>
          <w:spacing w:val="-1"/>
          <w:sz w:val="22"/>
          <w:szCs w:val="22"/>
          <w:lang w:val="es-ES"/>
        </w:rPr>
      </w:pPr>
      <w:bookmarkStart w:id="45" w:name="__RefHeading___Toc225377222"/>
      <w:bookmarkEnd w:id="45"/>
      <w:r>
        <w:rPr>
          <w:rFonts w:eastAsia="Palatino Linotype"/>
          <w:b/>
          <w:spacing w:val="-1"/>
          <w:sz w:val="22"/>
          <w:szCs w:val="22"/>
          <w:lang w:val="es-ES"/>
        </w:rPr>
        <w:t xml:space="preserve">14 </w:t>
      </w:r>
      <w:proofErr w:type="spellStart"/>
      <w:r>
        <w:rPr>
          <w:rFonts w:eastAsia="Palatino Linotype"/>
          <w:b/>
          <w:spacing w:val="-1"/>
          <w:sz w:val="22"/>
          <w:szCs w:val="22"/>
          <w:lang w:val="es-ES"/>
        </w:rPr>
        <w:t>Award</w:t>
      </w:r>
      <w:proofErr w:type="spellEnd"/>
      <w:r>
        <w:rPr>
          <w:rFonts w:eastAsia="Palatino Linotype"/>
          <w:b/>
          <w:spacing w:val="-1"/>
          <w:sz w:val="22"/>
          <w:szCs w:val="22"/>
          <w:lang w:val="es-ES"/>
        </w:rPr>
        <w:tab/>
      </w:r>
    </w:p>
    <w:p w14:paraId="78E1950B" w14:textId="77777777" w:rsidR="00E255F4" w:rsidRDefault="00000000">
      <w:pPr>
        <w:ind w:right="-142"/>
        <w:jc w:val="both"/>
        <w:outlineLvl w:val="0"/>
        <w:rPr>
          <w:rFonts w:eastAsia="Palatino Linotype"/>
          <w:b/>
          <w:spacing w:val="-1"/>
          <w:sz w:val="22"/>
          <w:szCs w:val="22"/>
          <w:lang w:val="es-ES"/>
        </w:rPr>
      </w:pPr>
      <w:bookmarkStart w:id="46" w:name="__RefHeading___Toc225377223"/>
      <w:bookmarkEnd w:id="46"/>
      <w:r>
        <w:rPr>
          <w:rFonts w:eastAsia="Palatino Linotype"/>
          <w:b/>
          <w:spacing w:val="-1"/>
          <w:sz w:val="22"/>
          <w:szCs w:val="22"/>
          <w:lang w:val="es-ES"/>
        </w:rPr>
        <w:t xml:space="preserve">14.1 </w:t>
      </w:r>
      <w:proofErr w:type="spellStart"/>
      <w:r>
        <w:rPr>
          <w:rFonts w:eastAsia="Palatino Linotype"/>
          <w:b/>
          <w:spacing w:val="-1"/>
          <w:sz w:val="22"/>
          <w:szCs w:val="22"/>
          <w:lang w:val="es-ES"/>
        </w:rPr>
        <w:t>Dictation</w:t>
      </w:r>
      <w:proofErr w:type="spellEnd"/>
      <w:r>
        <w:rPr>
          <w:rFonts w:eastAsia="Palatino Linotype"/>
          <w:b/>
          <w:spacing w:val="-1"/>
          <w:sz w:val="22"/>
          <w:szCs w:val="22"/>
          <w:lang w:val="es-ES"/>
        </w:rPr>
        <w:t xml:space="preserve"> </w:t>
      </w:r>
      <w:proofErr w:type="spellStart"/>
      <w:r>
        <w:rPr>
          <w:rFonts w:eastAsia="Palatino Linotype"/>
          <w:b/>
          <w:spacing w:val="-1"/>
          <w:sz w:val="22"/>
          <w:szCs w:val="22"/>
          <w:lang w:val="es-ES"/>
        </w:rPr>
        <w:t>of</w:t>
      </w:r>
      <w:proofErr w:type="spellEnd"/>
      <w:r>
        <w:rPr>
          <w:rFonts w:eastAsia="Palatino Linotype"/>
          <w:b/>
          <w:spacing w:val="-1"/>
          <w:sz w:val="22"/>
          <w:szCs w:val="22"/>
          <w:lang w:val="es-ES"/>
        </w:rPr>
        <w:t xml:space="preserve"> </w:t>
      </w:r>
      <w:proofErr w:type="spellStart"/>
      <w:r>
        <w:rPr>
          <w:rFonts w:eastAsia="Palatino Linotype"/>
          <w:b/>
          <w:spacing w:val="-1"/>
          <w:sz w:val="22"/>
          <w:szCs w:val="22"/>
          <w:lang w:val="es-ES"/>
        </w:rPr>
        <w:t>the</w:t>
      </w:r>
      <w:proofErr w:type="spellEnd"/>
      <w:r>
        <w:rPr>
          <w:rFonts w:eastAsia="Palatino Linotype"/>
          <w:b/>
          <w:spacing w:val="-1"/>
          <w:sz w:val="22"/>
          <w:szCs w:val="22"/>
          <w:lang w:val="es-ES"/>
        </w:rPr>
        <w:t xml:space="preserve"> </w:t>
      </w:r>
      <w:proofErr w:type="spellStart"/>
      <w:r>
        <w:rPr>
          <w:rFonts w:eastAsia="Palatino Linotype"/>
          <w:b/>
          <w:spacing w:val="-1"/>
          <w:sz w:val="22"/>
          <w:szCs w:val="22"/>
          <w:lang w:val="es-ES"/>
        </w:rPr>
        <w:t>act</w:t>
      </w:r>
      <w:proofErr w:type="spellEnd"/>
      <w:r>
        <w:rPr>
          <w:rFonts w:eastAsia="Palatino Linotype"/>
          <w:b/>
          <w:spacing w:val="-1"/>
          <w:sz w:val="22"/>
          <w:szCs w:val="22"/>
          <w:lang w:val="es-ES"/>
        </w:rPr>
        <w:tab/>
      </w:r>
    </w:p>
    <w:p w14:paraId="011FC567" w14:textId="77777777" w:rsidR="00E255F4" w:rsidRDefault="00000000">
      <w:pPr>
        <w:ind w:right="-142"/>
        <w:jc w:val="both"/>
        <w:rPr>
          <w:rFonts w:eastAsia="Palatino Linotype"/>
          <w:sz w:val="22"/>
          <w:szCs w:val="22"/>
          <w:lang w:val="es-ES"/>
        </w:rPr>
      </w:pPr>
      <w:proofErr w:type="spellStart"/>
      <w:r>
        <w:rPr>
          <w:rFonts w:eastAsia="Palatino Linotype"/>
          <w:spacing w:val="-1"/>
          <w:sz w:val="22"/>
          <w:szCs w:val="22"/>
          <w:lang w:val="es-ES"/>
        </w:rPr>
        <w:t>Receive</w:t>
      </w:r>
      <w:r>
        <w:rPr>
          <w:rFonts w:eastAsia="Palatino Linotype"/>
          <w:sz w:val="22"/>
          <w:szCs w:val="22"/>
          <w:lang w:val="es-ES"/>
        </w:rPr>
        <w:t>or</w:t>
      </w:r>
      <w:proofErr w:type="spellEnd"/>
      <w:r>
        <w:rPr>
          <w:rFonts w:eastAsia="Palatino Linotype"/>
          <w:sz w:val="22"/>
          <w:szCs w:val="22"/>
          <w:lang w:val="es-ES"/>
        </w:rPr>
        <w:t xml:space="preserve"> </w:t>
      </w:r>
      <w:proofErr w:type="spellStart"/>
      <w:r>
        <w:rPr>
          <w:rFonts w:eastAsia="Palatino Linotype"/>
          <w:sz w:val="22"/>
          <w:szCs w:val="22"/>
          <w:lang w:val="es-ES"/>
        </w:rPr>
        <w:t>the</w:t>
      </w:r>
      <w:proofErr w:type="spellEnd"/>
      <w:r>
        <w:rPr>
          <w:rFonts w:eastAsia="Palatino Linotype"/>
          <w:sz w:val="22"/>
          <w:szCs w:val="22"/>
          <w:lang w:val="es-ES"/>
        </w:rPr>
        <w:t xml:space="preserve"> </w:t>
      </w:r>
      <w:proofErr w:type="spellStart"/>
      <w:r>
        <w:rPr>
          <w:rFonts w:eastAsia="Palatino Linotype"/>
          <w:sz w:val="22"/>
          <w:szCs w:val="22"/>
          <w:lang w:val="es-ES"/>
        </w:rPr>
        <w:t>report</w:t>
      </w:r>
      <w:proofErr w:type="spellEnd"/>
      <w:r>
        <w:rPr>
          <w:rFonts w:eastAsia="Palatino Linotype"/>
          <w:sz w:val="22"/>
          <w:szCs w:val="22"/>
          <w:lang w:val="es-ES"/>
        </w:rPr>
        <w:t xml:space="preserve"> </w:t>
      </w:r>
      <w:proofErr w:type="spellStart"/>
      <w:r>
        <w:rPr>
          <w:rFonts w:eastAsia="Palatino Linotype"/>
          <w:sz w:val="22"/>
          <w:szCs w:val="22"/>
          <w:lang w:val="es-ES"/>
        </w:rPr>
        <w:t>of</w:t>
      </w:r>
      <w:proofErr w:type="spellEnd"/>
      <w:r>
        <w:rPr>
          <w:rFonts w:eastAsia="Palatino Linotype"/>
          <w:sz w:val="22"/>
          <w:szCs w:val="22"/>
          <w:lang w:val="es-ES"/>
        </w:rPr>
        <w:t xml:space="preserve"> </w:t>
      </w:r>
      <w:proofErr w:type="spellStart"/>
      <w:r>
        <w:rPr>
          <w:rFonts w:eastAsia="Palatino Linotype"/>
          <w:sz w:val="22"/>
          <w:szCs w:val="22"/>
          <w:lang w:val="es-ES"/>
        </w:rPr>
        <w:t>the</w:t>
      </w:r>
      <w:proofErr w:type="spellEnd"/>
      <w:r>
        <w:rPr>
          <w:rFonts w:eastAsia="Palatino Linotype"/>
          <w:sz w:val="22"/>
          <w:szCs w:val="22"/>
          <w:lang w:val="es-ES"/>
        </w:rPr>
        <w:t xml:space="preserve"> </w:t>
      </w:r>
      <w:proofErr w:type="spellStart"/>
      <w:r>
        <w:rPr>
          <w:rFonts w:eastAsia="Palatino Linotype"/>
          <w:sz w:val="22"/>
          <w:szCs w:val="22"/>
          <w:lang w:val="es-ES"/>
        </w:rPr>
        <w:t>Advisory</w:t>
      </w:r>
      <w:proofErr w:type="spellEnd"/>
      <w:r>
        <w:rPr>
          <w:rFonts w:eastAsia="Palatino Linotype"/>
          <w:sz w:val="22"/>
          <w:szCs w:val="22"/>
          <w:lang w:val="es-ES"/>
        </w:rPr>
        <w:t xml:space="preserve"> </w:t>
      </w:r>
      <w:proofErr w:type="spellStart"/>
      <w:r>
        <w:rPr>
          <w:rFonts w:eastAsia="Palatino Linotype"/>
          <w:sz w:val="22"/>
          <w:szCs w:val="22"/>
          <w:lang w:val="es-ES"/>
        </w:rPr>
        <w:t>Committee</w:t>
      </w:r>
      <w:proofErr w:type="spellEnd"/>
      <w:r>
        <w:rPr>
          <w:rFonts w:eastAsia="Palatino Linotype"/>
          <w:sz w:val="22"/>
          <w:szCs w:val="22"/>
          <w:lang w:val="es-ES"/>
        </w:rPr>
        <w:t xml:space="preserve"> </w:t>
      </w:r>
      <w:proofErr w:type="spellStart"/>
      <w:r>
        <w:rPr>
          <w:rFonts w:eastAsia="Palatino Linotype"/>
          <w:sz w:val="22"/>
          <w:szCs w:val="22"/>
          <w:lang w:val="es-ES"/>
        </w:rPr>
        <w:t>on</w:t>
      </w:r>
      <w:proofErr w:type="spellEnd"/>
      <w:r>
        <w:rPr>
          <w:rFonts w:eastAsia="Palatino Linotype"/>
          <w:sz w:val="22"/>
          <w:szCs w:val="22"/>
          <w:lang w:val="es-ES"/>
        </w:rPr>
        <w:t xml:space="preserve"> </w:t>
      </w:r>
      <w:proofErr w:type="spellStart"/>
      <w:r>
        <w:rPr>
          <w:rFonts w:eastAsia="Palatino Linotype"/>
          <w:sz w:val="22"/>
          <w:szCs w:val="22"/>
          <w:lang w:val="es-ES"/>
        </w:rPr>
        <w:t>Awards</w:t>
      </w:r>
      <w:proofErr w:type="spellEnd"/>
      <w:r>
        <w:rPr>
          <w:rFonts w:eastAsia="Palatino Linotype"/>
          <w:sz w:val="22"/>
          <w:szCs w:val="22"/>
          <w:lang w:val="es-ES"/>
        </w:rPr>
        <w:t xml:space="preserve"> and once </w:t>
      </w:r>
      <w:proofErr w:type="spellStart"/>
      <w:r>
        <w:rPr>
          <w:rFonts w:eastAsia="Palatino Linotype"/>
          <w:sz w:val="22"/>
          <w:szCs w:val="22"/>
          <w:lang w:val="es-ES"/>
        </w:rPr>
        <w:t>the</w:t>
      </w:r>
      <w:proofErr w:type="spellEnd"/>
      <w:r>
        <w:rPr>
          <w:rFonts w:eastAsia="Palatino Linotype"/>
          <w:sz w:val="22"/>
          <w:szCs w:val="22"/>
          <w:lang w:val="es-ES"/>
        </w:rPr>
        <w:t xml:space="preserve"> </w:t>
      </w:r>
      <w:proofErr w:type="spellStart"/>
      <w:r>
        <w:rPr>
          <w:rFonts w:eastAsia="Palatino Linotype"/>
          <w:sz w:val="22"/>
          <w:szCs w:val="22"/>
          <w:lang w:val="es-ES"/>
        </w:rPr>
        <w:t>hearing</w:t>
      </w:r>
      <w:proofErr w:type="spellEnd"/>
      <w:r>
        <w:rPr>
          <w:rFonts w:eastAsia="Palatino Linotype"/>
          <w:sz w:val="22"/>
          <w:szCs w:val="22"/>
          <w:lang w:val="es-ES"/>
        </w:rPr>
        <w:t xml:space="preserve"> has </w:t>
      </w:r>
      <w:proofErr w:type="spellStart"/>
      <w:r>
        <w:rPr>
          <w:rFonts w:eastAsia="Palatino Linotype"/>
          <w:sz w:val="22"/>
          <w:szCs w:val="22"/>
          <w:lang w:val="es-ES"/>
        </w:rPr>
        <w:t>been</w:t>
      </w:r>
      <w:proofErr w:type="spellEnd"/>
      <w:r>
        <w:rPr>
          <w:rFonts w:eastAsia="Palatino Linotype"/>
          <w:sz w:val="22"/>
          <w:szCs w:val="22"/>
          <w:lang w:val="es-ES"/>
        </w:rPr>
        <w:t xml:space="preserve"> </w:t>
      </w:r>
      <w:proofErr w:type="spellStart"/>
      <w:r>
        <w:rPr>
          <w:rFonts w:eastAsia="Palatino Linotype"/>
          <w:sz w:val="22"/>
          <w:szCs w:val="22"/>
          <w:lang w:val="es-ES"/>
        </w:rPr>
        <w:t>completed</w:t>
      </w:r>
      <w:proofErr w:type="spellEnd"/>
      <w:r>
        <w:rPr>
          <w:rFonts w:eastAsia="Palatino Linotype"/>
          <w:sz w:val="22"/>
          <w:szCs w:val="22"/>
          <w:lang w:val="es-ES"/>
        </w:rPr>
        <w:t xml:space="preserve">, </w:t>
      </w:r>
      <w:proofErr w:type="spellStart"/>
      <w:r>
        <w:rPr>
          <w:rFonts w:eastAsia="Palatino Linotype"/>
          <w:sz w:val="22"/>
          <w:szCs w:val="22"/>
          <w:lang w:val="es-ES"/>
        </w:rPr>
        <w:t>if</w:t>
      </w:r>
      <w:proofErr w:type="spellEnd"/>
      <w:r>
        <w:rPr>
          <w:rFonts w:eastAsia="Palatino Linotype"/>
          <w:sz w:val="22"/>
          <w:szCs w:val="22"/>
          <w:lang w:val="es-ES"/>
        </w:rPr>
        <w:t xml:space="preserve"> </w:t>
      </w:r>
      <w:proofErr w:type="spellStart"/>
      <w:r>
        <w:rPr>
          <w:rFonts w:eastAsia="Palatino Linotype"/>
          <w:sz w:val="22"/>
          <w:szCs w:val="22"/>
          <w:lang w:val="es-ES"/>
        </w:rPr>
        <w:t>applicable</w:t>
      </w:r>
      <w:proofErr w:type="spellEnd"/>
      <w:r>
        <w:rPr>
          <w:rFonts w:eastAsia="Palatino Linotype"/>
          <w:sz w:val="22"/>
          <w:szCs w:val="22"/>
          <w:lang w:val="es-ES"/>
        </w:rPr>
        <w:t xml:space="preserve">, </w:t>
      </w:r>
      <w:proofErr w:type="spellStart"/>
      <w:r>
        <w:rPr>
          <w:rFonts w:eastAsia="Palatino Linotype"/>
          <w:sz w:val="22"/>
          <w:szCs w:val="22"/>
          <w:lang w:val="es-ES"/>
        </w:rPr>
        <w:t>the</w:t>
      </w:r>
      <w:proofErr w:type="spellEnd"/>
      <w:r>
        <w:rPr>
          <w:rFonts w:eastAsia="Palatino Linotype"/>
          <w:sz w:val="22"/>
          <w:szCs w:val="22"/>
          <w:lang w:val="es-ES"/>
        </w:rPr>
        <w:t xml:space="preserve"> </w:t>
      </w:r>
      <w:proofErr w:type="spellStart"/>
      <w:r>
        <w:rPr>
          <w:rFonts w:eastAsia="Palatino Linotype"/>
          <w:sz w:val="22"/>
          <w:szCs w:val="22"/>
          <w:lang w:val="es-ES"/>
        </w:rPr>
        <w:t>competent</w:t>
      </w:r>
      <w:proofErr w:type="spellEnd"/>
      <w:r>
        <w:rPr>
          <w:rFonts w:eastAsia="Palatino Linotype"/>
          <w:sz w:val="22"/>
          <w:szCs w:val="22"/>
          <w:lang w:val="es-ES"/>
        </w:rPr>
        <w:t xml:space="preserve"> </w:t>
      </w:r>
      <w:proofErr w:type="spellStart"/>
      <w:r>
        <w:rPr>
          <w:rFonts w:eastAsia="Palatino Linotype"/>
          <w:sz w:val="22"/>
          <w:szCs w:val="22"/>
          <w:lang w:val="es-ES"/>
        </w:rPr>
        <w:t>officer</w:t>
      </w:r>
      <w:proofErr w:type="spellEnd"/>
      <w:r>
        <w:rPr>
          <w:rFonts w:eastAsia="Palatino Linotype"/>
          <w:sz w:val="22"/>
          <w:szCs w:val="22"/>
          <w:lang w:val="es-ES"/>
        </w:rPr>
        <w:t xml:space="preserve"> </w:t>
      </w:r>
      <w:proofErr w:type="spellStart"/>
      <w:r>
        <w:rPr>
          <w:rFonts w:eastAsia="Palatino Linotype"/>
          <w:sz w:val="22"/>
          <w:szCs w:val="22"/>
          <w:lang w:val="es-ES"/>
        </w:rPr>
        <w:t>will</w:t>
      </w:r>
      <w:proofErr w:type="spellEnd"/>
      <w:r>
        <w:rPr>
          <w:rFonts w:eastAsia="Palatino Linotype"/>
          <w:sz w:val="22"/>
          <w:szCs w:val="22"/>
          <w:lang w:val="es-ES"/>
        </w:rPr>
        <w:t xml:space="preserve"> </w:t>
      </w:r>
      <w:proofErr w:type="spellStart"/>
      <w:r>
        <w:rPr>
          <w:rFonts w:eastAsia="Palatino Linotype"/>
          <w:sz w:val="22"/>
          <w:szCs w:val="22"/>
          <w:lang w:val="es-ES"/>
        </w:rPr>
        <w:t>have</w:t>
      </w:r>
      <w:proofErr w:type="spellEnd"/>
      <w:r>
        <w:rPr>
          <w:rFonts w:eastAsia="Palatino Linotype"/>
          <w:sz w:val="22"/>
          <w:szCs w:val="22"/>
          <w:lang w:val="es-ES"/>
        </w:rPr>
        <w:t xml:space="preserve"> </w:t>
      </w:r>
      <w:proofErr w:type="spellStart"/>
      <w:r>
        <w:rPr>
          <w:rFonts w:eastAsia="Palatino Linotype"/>
          <w:sz w:val="22"/>
          <w:szCs w:val="22"/>
          <w:lang w:val="es-ES"/>
        </w:rPr>
        <w:t>the</w:t>
      </w:r>
      <w:proofErr w:type="spellEnd"/>
      <w:r>
        <w:rPr>
          <w:rFonts w:eastAsia="Palatino Linotype"/>
          <w:sz w:val="22"/>
          <w:szCs w:val="22"/>
          <w:lang w:val="es-ES"/>
        </w:rPr>
        <w:t xml:space="preserve"> tentative </w:t>
      </w:r>
      <w:proofErr w:type="spellStart"/>
      <w:r>
        <w:rPr>
          <w:rFonts w:eastAsia="Palatino Linotype"/>
          <w:sz w:val="22"/>
          <w:szCs w:val="22"/>
          <w:lang w:val="es-ES"/>
        </w:rPr>
        <w:t>period</w:t>
      </w:r>
      <w:proofErr w:type="spellEnd"/>
      <w:r>
        <w:rPr>
          <w:rFonts w:eastAsia="Palatino Linotype"/>
          <w:sz w:val="22"/>
          <w:szCs w:val="22"/>
          <w:lang w:val="es-ES"/>
        </w:rPr>
        <w:t xml:space="preserve"> </w:t>
      </w:r>
      <w:proofErr w:type="spellStart"/>
      <w:r>
        <w:rPr>
          <w:rFonts w:eastAsia="Palatino Linotype"/>
          <w:sz w:val="22"/>
          <w:szCs w:val="22"/>
          <w:lang w:val="es-ES"/>
        </w:rPr>
        <w:t>established</w:t>
      </w:r>
      <w:proofErr w:type="spellEnd"/>
      <w:r>
        <w:rPr>
          <w:rFonts w:eastAsia="Palatino Linotype"/>
          <w:sz w:val="22"/>
          <w:szCs w:val="22"/>
          <w:lang w:val="es-ES"/>
        </w:rPr>
        <w:t xml:space="preserve"> in </w:t>
      </w:r>
      <w:proofErr w:type="spellStart"/>
      <w:r>
        <w:rPr>
          <w:rFonts w:eastAsia="Palatino Linotype"/>
          <w:sz w:val="22"/>
          <w:szCs w:val="22"/>
          <w:lang w:val="es-ES"/>
        </w:rPr>
        <w:t>the</w:t>
      </w:r>
      <w:proofErr w:type="spellEnd"/>
      <w:r>
        <w:rPr>
          <w:rFonts w:eastAsia="Palatino Linotype"/>
          <w:sz w:val="22"/>
          <w:szCs w:val="22"/>
          <w:lang w:val="es-ES"/>
        </w:rPr>
        <w:t xml:space="preserve"> </w:t>
      </w:r>
      <w:proofErr w:type="spellStart"/>
      <w:r>
        <w:rPr>
          <w:rFonts w:eastAsia="Palatino Linotype"/>
          <w:sz w:val="22"/>
          <w:szCs w:val="22"/>
          <w:lang w:val="es-ES"/>
        </w:rPr>
        <w:t>contracting</w:t>
      </w:r>
      <w:proofErr w:type="spellEnd"/>
      <w:r>
        <w:rPr>
          <w:rFonts w:eastAsia="Palatino Linotype"/>
          <w:sz w:val="22"/>
          <w:szCs w:val="22"/>
          <w:lang w:val="es-ES"/>
        </w:rPr>
        <w:t xml:space="preserve"> </w:t>
      </w:r>
      <w:proofErr w:type="spellStart"/>
      <w:r>
        <w:rPr>
          <w:rFonts w:eastAsia="Palatino Linotype"/>
          <w:sz w:val="22"/>
          <w:szCs w:val="22"/>
          <w:lang w:val="es-ES"/>
        </w:rPr>
        <w:t>procedures</w:t>
      </w:r>
      <w:proofErr w:type="spellEnd"/>
      <w:r>
        <w:rPr>
          <w:rFonts w:eastAsia="Palatino Linotype"/>
          <w:sz w:val="22"/>
          <w:szCs w:val="22"/>
          <w:lang w:val="es-ES"/>
        </w:rPr>
        <w:t xml:space="preserve"> </w:t>
      </w:r>
      <w:proofErr w:type="spellStart"/>
      <w:r>
        <w:rPr>
          <w:rFonts w:eastAsia="Palatino Linotype"/>
          <w:sz w:val="22"/>
          <w:szCs w:val="22"/>
          <w:lang w:val="es-ES"/>
        </w:rPr>
        <w:t>of</w:t>
      </w:r>
      <w:proofErr w:type="spellEnd"/>
      <w:r>
        <w:rPr>
          <w:rFonts w:eastAsia="Palatino Linotype"/>
          <w:sz w:val="22"/>
          <w:szCs w:val="22"/>
          <w:lang w:val="es-ES"/>
        </w:rPr>
        <w:t xml:space="preserve"> </w:t>
      </w:r>
      <w:proofErr w:type="spellStart"/>
      <w:r>
        <w:rPr>
          <w:rFonts w:eastAsia="Palatino Linotype"/>
          <w:sz w:val="22"/>
          <w:szCs w:val="22"/>
          <w:lang w:val="es-ES"/>
        </w:rPr>
        <w:t>the</w:t>
      </w:r>
      <w:proofErr w:type="spellEnd"/>
      <w:r>
        <w:rPr>
          <w:rFonts w:eastAsia="Palatino Linotype"/>
          <w:sz w:val="22"/>
          <w:szCs w:val="22"/>
          <w:lang w:val="es-ES"/>
        </w:rPr>
        <w:t xml:space="preserve"> </w:t>
      </w:r>
      <w:proofErr w:type="spellStart"/>
      <w:r>
        <w:rPr>
          <w:rFonts w:eastAsia="Palatino Linotype"/>
          <w:sz w:val="22"/>
          <w:szCs w:val="22"/>
          <w:lang w:val="es-ES"/>
        </w:rPr>
        <w:t>body</w:t>
      </w:r>
      <w:proofErr w:type="spellEnd"/>
      <w:r>
        <w:rPr>
          <w:rFonts w:eastAsia="Palatino Linotype"/>
          <w:sz w:val="22"/>
          <w:szCs w:val="22"/>
          <w:lang w:val="es-ES"/>
        </w:rPr>
        <w:t xml:space="preserve"> </w:t>
      </w:r>
      <w:proofErr w:type="spellStart"/>
      <w:r>
        <w:rPr>
          <w:rFonts w:eastAsia="Palatino Linotype"/>
          <w:sz w:val="22"/>
          <w:szCs w:val="22"/>
          <w:lang w:val="es-ES"/>
        </w:rPr>
        <w:t>within</w:t>
      </w:r>
      <w:proofErr w:type="spellEnd"/>
      <w:r>
        <w:rPr>
          <w:rFonts w:eastAsia="Palatino Linotype"/>
          <w:sz w:val="22"/>
          <w:szCs w:val="22"/>
          <w:lang w:val="es-ES"/>
        </w:rPr>
        <w:t xml:space="preserve"> </w:t>
      </w:r>
      <w:proofErr w:type="spellStart"/>
      <w:r>
        <w:rPr>
          <w:rFonts w:eastAsia="Palatino Linotype"/>
          <w:sz w:val="22"/>
          <w:szCs w:val="22"/>
          <w:lang w:val="es-ES"/>
        </w:rPr>
        <w:t>which</w:t>
      </w:r>
      <w:proofErr w:type="spellEnd"/>
      <w:r>
        <w:rPr>
          <w:rFonts w:eastAsia="Palatino Linotype"/>
          <w:sz w:val="22"/>
          <w:szCs w:val="22"/>
          <w:lang w:val="es-ES"/>
        </w:rPr>
        <w:t xml:space="preserve"> </w:t>
      </w:r>
      <w:proofErr w:type="spellStart"/>
      <w:r>
        <w:rPr>
          <w:rFonts w:eastAsia="Palatino Linotype"/>
          <w:sz w:val="22"/>
          <w:szCs w:val="22"/>
          <w:lang w:val="es-ES"/>
        </w:rPr>
        <w:t>it</w:t>
      </w:r>
      <w:proofErr w:type="spellEnd"/>
      <w:r>
        <w:rPr>
          <w:rFonts w:eastAsia="Palatino Linotype"/>
          <w:sz w:val="22"/>
          <w:szCs w:val="22"/>
          <w:lang w:val="es-ES"/>
        </w:rPr>
        <w:t xml:space="preserve"> </w:t>
      </w:r>
      <w:proofErr w:type="spellStart"/>
      <w:r>
        <w:rPr>
          <w:rFonts w:eastAsia="Palatino Linotype"/>
          <w:sz w:val="22"/>
          <w:szCs w:val="22"/>
          <w:lang w:val="es-ES"/>
        </w:rPr>
        <w:t>must</w:t>
      </w:r>
      <w:proofErr w:type="spellEnd"/>
      <w:r>
        <w:rPr>
          <w:rFonts w:eastAsia="Palatino Linotype"/>
          <w:sz w:val="22"/>
          <w:szCs w:val="22"/>
          <w:lang w:val="es-ES"/>
        </w:rPr>
        <w:t xml:space="preserve"> </w:t>
      </w:r>
      <w:proofErr w:type="spellStart"/>
      <w:r>
        <w:rPr>
          <w:rFonts w:eastAsia="Palatino Linotype"/>
          <w:sz w:val="22"/>
          <w:szCs w:val="22"/>
          <w:lang w:val="es-ES"/>
        </w:rPr>
        <w:t>award</w:t>
      </w:r>
      <w:proofErr w:type="spellEnd"/>
      <w:r>
        <w:rPr>
          <w:rFonts w:eastAsia="Palatino Linotype"/>
          <w:sz w:val="22"/>
          <w:szCs w:val="22"/>
          <w:lang w:val="es-ES"/>
        </w:rPr>
        <w:t xml:space="preserve">, declare </w:t>
      </w:r>
      <w:proofErr w:type="spellStart"/>
      <w:r>
        <w:rPr>
          <w:rFonts w:eastAsia="Palatino Linotype"/>
          <w:sz w:val="22"/>
          <w:szCs w:val="22"/>
          <w:lang w:val="es-ES"/>
        </w:rPr>
        <w:t>void</w:t>
      </w:r>
      <w:proofErr w:type="spellEnd"/>
      <w:r>
        <w:rPr>
          <w:rFonts w:eastAsia="Palatino Linotype"/>
          <w:sz w:val="22"/>
          <w:szCs w:val="22"/>
          <w:lang w:val="es-ES"/>
        </w:rPr>
        <w:t xml:space="preserve"> </w:t>
      </w:r>
      <w:proofErr w:type="spellStart"/>
      <w:r>
        <w:rPr>
          <w:rFonts w:eastAsia="Palatino Linotype"/>
          <w:sz w:val="22"/>
          <w:szCs w:val="22"/>
          <w:lang w:val="es-ES"/>
        </w:rPr>
        <w:t>or</w:t>
      </w:r>
      <w:proofErr w:type="spellEnd"/>
      <w:r>
        <w:rPr>
          <w:rFonts w:eastAsia="Palatino Linotype"/>
          <w:sz w:val="22"/>
          <w:szCs w:val="22"/>
          <w:lang w:val="es-ES"/>
        </w:rPr>
        <w:t xml:space="preserve"> </w:t>
      </w:r>
      <w:proofErr w:type="spellStart"/>
      <w:r>
        <w:rPr>
          <w:rFonts w:eastAsia="Palatino Linotype"/>
          <w:sz w:val="22"/>
          <w:szCs w:val="22"/>
          <w:lang w:val="es-ES"/>
        </w:rPr>
        <w:t>reject</w:t>
      </w:r>
      <w:proofErr w:type="spellEnd"/>
      <w:r>
        <w:rPr>
          <w:rFonts w:eastAsia="Palatino Linotype"/>
          <w:sz w:val="22"/>
          <w:szCs w:val="22"/>
          <w:lang w:val="es-ES"/>
        </w:rPr>
        <w:t xml:space="preserve"> </w:t>
      </w:r>
      <w:proofErr w:type="spellStart"/>
      <w:r>
        <w:rPr>
          <w:rFonts w:eastAsia="Palatino Linotype"/>
          <w:sz w:val="22"/>
          <w:szCs w:val="22"/>
          <w:lang w:val="es-ES"/>
        </w:rPr>
        <w:t>all</w:t>
      </w:r>
      <w:proofErr w:type="spellEnd"/>
      <w:r>
        <w:rPr>
          <w:rFonts w:eastAsia="Palatino Linotype"/>
          <w:sz w:val="22"/>
          <w:szCs w:val="22"/>
          <w:lang w:val="es-ES"/>
        </w:rPr>
        <w:t xml:space="preserve"> </w:t>
      </w:r>
      <w:proofErr w:type="spellStart"/>
      <w:r>
        <w:rPr>
          <w:rFonts w:eastAsia="Palatino Linotype"/>
          <w:sz w:val="22"/>
          <w:szCs w:val="22"/>
          <w:lang w:val="es-ES"/>
        </w:rPr>
        <w:t>offers</w:t>
      </w:r>
      <w:proofErr w:type="spellEnd"/>
      <w:r>
        <w:rPr>
          <w:rFonts w:eastAsia="Palatino Linotype"/>
          <w:sz w:val="22"/>
          <w:szCs w:val="22"/>
          <w:lang w:val="es-ES"/>
        </w:rPr>
        <w:t xml:space="preserve">, </w:t>
      </w:r>
      <w:proofErr w:type="spellStart"/>
      <w:r>
        <w:rPr>
          <w:rFonts w:eastAsia="Palatino Linotype"/>
          <w:sz w:val="22"/>
          <w:szCs w:val="22"/>
          <w:lang w:val="es-ES"/>
        </w:rPr>
        <w:t>which</w:t>
      </w:r>
      <w:proofErr w:type="spellEnd"/>
      <w:r>
        <w:rPr>
          <w:rFonts w:eastAsia="Palatino Linotype"/>
          <w:sz w:val="22"/>
          <w:szCs w:val="22"/>
          <w:lang w:val="es-ES"/>
        </w:rPr>
        <w:t xml:space="preserve"> </w:t>
      </w:r>
      <w:proofErr w:type="spellStart"/>
      <w:r>
        <w:rPr>
          <w:rFonts w:eastAsia="Palatino Linotype"/>
          <w:sz w:val="22"/>
          <w:szCs w:val="22"/>
          <w:lang w:val="es-ES"/>
        </w:rPr>
        <w:t>must</w:t>
      </w:r>
      <w:proofErr w:type="spellEnd"/>
      <w:r>
        <w:rPr>
          <w:rFonts w:eastAsia="Palatino Linotype"/>
          <w:sz w:val="22"/>
          <w:szCs w:val="22"/>
          <w:lang w:val="es-ES"/>
        </w:rPr>
        <w:t xml:space="preserve"> be </w:t>
      </w:r>
      <w:proofErr w:type="spellStart"/>
      <w:r>
        <w:rPr>
          <w:rFonts w:eastAsia="Palatino Linotype"/>
          <w:sz w:val="22"/>
          <w:szCs w:val="22"/>
          <w:lang w:val="es-ES"/>
        </w:rPr>
        <w:t>published</w:t>
      </w:r>
      <w:proofErr w:type="spellEnd"/>
      <w:r>
        <w:rPr>
          <w:rFonts w:eastAsia="Palatino Linotype"/>
          <w:sz w:val="22"/>
          <w:szCs w:val="22"/>
          <w:lang w:val="es-ES"/>
        </w:rPr>
        <w:t xml:space="preserve"> </w:t>
      </w:r>
      <w:proofErr w:type="spellStart"/>
      <w:r>
        <w:rPr>
          <w:rFonts w:eastAsia="Palatino Linotype"/>
          <w:sz w:val="22"/>
          <w:szCs w:val="22"/>
          <w:lang w:val="es-ES"/>
        </w:rPr>
        <w:t>on</w:t>
      </w:r>
      <w:proofErr w:type="spellEnd"/>
      <w:r>
        <w:rPr>
          <w:rFonts w:eastAsia="Palatino Linotype"/>
          <w:sz w:val="22"/>
          <w:szCs w:val="22"/>
          <w:lang w:val="es-ES"/>
        </w:rPr>
        <w:t xml:space="preserve"> </w:t>
      </w:r>
      <w:proofErr w:type="spellStart"/>
      <w:r>
        <w:rPr>
          <w:rFonts w:eastAsia="Palatino Linotype"/>
          <w:sz w:val="22"/>
          <w:szCs w:val="22"/>
          <w:lang w:val="es-ES"/>
        </w:rPr>
        <w:t>the</w:t>
      </w:r>
      <w:proofErr w:type="spellEnd"/>
      <w:r>
        <w:rPr>
          <w:rFonts w:eastAsia="Palatino Linotype"/>
          <w:sz w:val="22"/>
          <w:szCs w:val="22"/>
          <w:lang w:val="es-ES"/>
        </w:rPr>
        <w:t xml:space="preserve"> </w:t>
      </w:r>
      <w:proofErr w:type="spellStart"/>
      <w:r>
        <w:rPr>
          <w:rFonts w:eastAsia="Palatino Linotype"/>
          <w:sz w:val="22"/>
          <w:szCs w:val="22"/>
          <w:lang w:val="es-ES"/>
        </w:rPr>
        <w:t>website</w:t>
      </w:r>
      <w:proofErr w:type="spellEnd"/>
      <w:r>
        <w:rPr>
          <w:rFonts w:eastAsia="Palatino Linotype"/>
          <w:sz w:val="22"/>
          <w:szCs w:val="22"/>
          <w:lang w:val="es-ES"/>
        </w:rPr>
        <w:t xml:space="preserve"> </w:t>
      </w:r>
      <w:proofErr w:type="spellStart"/>
      <w:r>
        <w:rPr>
          <w:rFonts w:eastAsia="Palatino Linotype"/>
          <w:sz w:val="22"/>
          <w:szCs w:val="22"/>
          <w:lang w:val="es-ES"/>
        </w:rPr>
        <w:t>of</w:t>
      </w:r>
      <w:proofErr w:type="spellEnd"/>
      <w:r>
        <w:rPr>
          <w:rFonts w:eastAsia="Palatino Linotype"/>
          <w:sz w:val="22"/>
          <w:szCs w:val="22"/>
          <w:lang w:val="es-ES"/>
        </w:rPr>
        <w:t xml:space="preserve"> State </w:t>
      </w:r>
      <w:proofErr w:type="spellStart"/>
      <w:r>
        <w:rPr>
          <w:rFonts w:eastAsia="Palatino Linotype"/>
          <w:sz w:val="22"/>
          <w:szCs w:val="22"/>
          <w:lang w:val="es-ES"/>
        </w:rPr>
        <w:t>Purchases</w:t>
      </w:r>
      <w:proofErr w:type="spellEnd"/>
      <w:r>
        <w:rPr>
          <w:rFonts w:eastAsia="Palatino Linotype"/>
          <w:sz w:val="22"/>
          <w:szCs w:val="22"/>
          <w:lang w:val="es-ES"/>
        </w:rPr>
        <w:t xml:space="preserve"> and </w:t>
      </w:r>
      <w:proofErr w:type="spellStart"/>
      <w:r>
        <w:rPr>
          <w:rFonts w:eastAsia="Palatino Linotype"/>
          <w:sz w:val="22"/>
          <w:szCs w:val="22"/>
          <w:lang w:val="es-ES"/>
        </w:rPr>
        <w:t>Contracts</w:t>
      </w:r>
      <w:proofErr w:type="spellEnd"/>
      <w:r>
        <w:rPr>
          <w:rFonts w:eastAsia="Palatino Linotype"/>
          <w:sz w:val="22"/>
          <w:szCs w:val="22"/>
          <w:lang w:val="es-ES"/>
        </w:rPr>
        <w:t xml:space="preserve">, as </w:t>
      </w:r>
      <w:proofErr w:type="spellStart"/>
      <w:r>
        <w:rPr>
          <w:rFonts w:eastAsia="Palatino Linotype"/>
          <w:sz w:val="22"/>
          <w:szCs w:val="22"/>
          <w:lang w:val="es-ES"/>
        </w:rPr>
        <w:t>well</w:t>
      </w:r>
      <w:proofErr w:type="spellEnd"/>
      <w:r>
        <w:rPr>
          <w:rFonts w:eastAsia="Palatino Linotype"/>
          <w:sz w:val="22"/>
          <w:szCs w:val="22"/>
          <w:lang w:val="es-ES"/>
        </w:rPr>
        <w:t xml:space="preserve"> as </w:t>
      </w:r>
      <w:proofErr w:type="spellStart"/>
      <w:r>
        <w:rPr>
          <w:rFonts w:eastAsia="Palatino Linotype"/>
          <w:sz w:val="22"/>
          <w:szCs w:val="22"/>
          <w:lang w:val="es-ES"/>
        </w:rPr>
        <w:t>request</w:t>
      </w:r>
      <w:proofErr w:type="spellEnd"/>
      <w:r>
        <w:rPr>
          <w:rFonts w:eastAsia="Palatino Linotype"/>
          <w:sz w:val="22"/>
          <w:szCs w:val="22"/>
          <w:lang w:val="es-ES"/>
        </w:rPr>
        <w:t xml:space="preserve"> </w:t>
      </w:r>
      <w:proofErr w:type="spellStart"/>
      <w:r>
        <w:rPr>
          <w:rFonts w:eastAsia="Palatino Linotype"/>
          <w:sz w:val="22"/>
          <w:szCs w:val="22"/>
          <w:lang w:val="es-ES"/>
        </w:rPr>
        <w:t>further</w:t>
      </w:r>
      <w:proofErr w:type="spellEnd"/>
      <w:r>
        <w:rPr>
          <w:rFonts w:eastAsia="Palatino Linotype"/>
          <w:sz w:val="22"/>
          <w:szCs w:val="22"/>
          <w:lang w:val="es-ES"/>
        </w:rPr>
        <w:t xml:space="preserve"> </w:t>
      </w:r>
      <w:proofErr w:type="spellStart"/>
      <w:r>
        <w:rPr>
          <w:rFonts w:eastAsia="Palatino Linotype"/>
          <w:sz w:val="22"/>
          <w:szCs w:val="22"/>
          <w:lang w:val="es-ES"/>
        </w:rPr>
        <w:t>information</w:t>
      </w:r>
      <w:proofErr w:type="spellEnd"/>
      <w:r>
        <w:rPr>
          <w:rFonts w:eastAsia="Palatino Linotype"/>
          <w:sz w:val="22"/>
          <w:szCs w:val="22"/>
          <w:lang w:val="es-ES"/>
        </w:rPr>
        <w:t xml:space="preserve"> </w:t>
      </w:r>
      <w:proofErr w:type="spellStart"/>
      <w:r>
        <w:rPr>
          <w:rFonts w:eastAsia="Palatino Linotype"/>
          <w:sz w:val="22"/>
          <w:szCs w:val="22"/>
          <w:lang w:val="es-ES"/>
        </w:rPr>
        <w:t>or</w:t>
      </w:r>
      <w:proofErr w:type="spellEnd"/>
      <w:r>
        <w:rPr>
          <w:rFonts w:eastAsia="Palatino Linotype"/>
          <w:sz w:val="22"/>
          <w:szCs w:val="22"/>
          <w:lang w:val="es-ES"/>
        </w:rPr>
        <w:t xml:space="preserve"> </w:t>
      </w:r>
      <w:proofErr w:type="spellStart"/>
      <w:r>
        <w:rPr>
          <w:rFonts w:eastAsia="Palatino Linotype"/>
          <w:sz w:val="22"/>
          <w:szCs w:val="22"/>
          <w:lang w:val="es-ES"/>
        </w:rPr>
        <w:t>follow</w:t>
      </w:r>
      <w:proofErr w:type="spellEnd"/>
      <w:r>
        <w:rPr>
          <w:rFonts w:eastAsia="Palatino Linotype"/>
          <w:sz w:val="22"/>
          <w:szCs w:val="22"/>
          <w:lang w:val="es-ES"/>
        </w:rPr>
        <w:t xml:space="preserve"> </w:t>
      </w:r>
      <w:proofErr w:type="spellStart"/>
      <w:r>
        <w:rPr>
          <w:rFonts w:eastAsia="Palatino Linotype"/>
          <w:sz w:val="22"/>
          <w:szCs w:val="22"/>
          <w:lang w:val="es-ES"/>
        </w:rPr>
        <w:t>other</w:t>
      </w:r>
      <w:proofErr w:type="spellEnd"/>
      <w:r>
        <w:rPr>
          <w:rFonts w:eastAsia="Palatino Linotype"/>
          <w:sz w:val="22"/>
          <w:szCs w:val="22"/>
          <w:lang w:val="es-ES"/>
        </w:rPr>
        <w:t xml:space="preserve"> </w:t>
      </w:r>
      <w:proofErr w:type="spellStart"/>
      <w:r>
        <w:rPr>
          <w:rFonts w:eastAsia="Palatino Linotype"/>
          <w:sz w:val="22"/>
          <w:szCs w:val="22"/>
          <w:lang w:val="es-ES"/>
        </w:rPr>
        <w:t>courses</w:t>
      </w:r>
      <w:proofErr w:type="spellEnd"/>
      <w:r>
        <w:rPr>
          <w:rFonts w:eastAsia="Palatino Linotype"/>
          <w:sz w:val="22"/>
          <w:szCs w:val="22"/>
          <w:lang w:val="es-ES"/>
        </w:rPr>
        <w:t xml:space="preserve"> </w:t>
      </w:r>
      <w:proofErr w:type="spellStart"/>
      <w:r>
        <w:rPr>
          <w:rFonts w:eastAsia="Palatino Linotype"/>
          <w:sz w:val="22"/>
          <w:szCs w:val="22"/>
          <w:lang w:val="es-ES"/>
        </w:rPr>
        <w:t>of</w:t>
      </w:r>
      <w:proofErr w:type="spellEnd"/>
      <w:r>
        <w:rPr>
          <w:rFonts w:eastAsia="Palatino Linotype"/>
          <w:sz w:val="22"/>
          <w:szCs w:val="22"/>
          <w:lang w:val="es-ES"/>
        </w:rPr>
        <w:t xml:space="preserve"> </w:t>
      </w:r>
      <w:proofErr w:type="spellStart"/>
      <w:r>
        <w:rPr>
          <w:rFonts w:eastAsia="Palatino Linotype"/>
          <w:sz w:val="22"/>
          <w:szCs w:val="22"/>
          <w:lang w:val="es-ES"/>
        </w:rPr>
        <w:t>action</w:t>
      </w:r>
      <w:proofErr w:type="spellEnd"/>
      <w:r>
        <w:rPr>
          <w:rFonts w:eastAsia="Palatino Linotype"/>
          <w:sz w:val="22"/>
          <w:szCs w:val="22"/>
          <w:lang w:val="es-ES"/>
        </w:rPr>
        <w:t xml:space="preserve"> </w:t>
      </w:r>
      <w:proofErr w:type="spellStart"/>
      <w:r>
        <w:rPr>
          <w:rFonts w:eastAsia="Palatino Linotype"/>
          <w:sz w:val="22"/>
          <w:szCs w:val="22"/>
          <w:lang w:val="es-ES"/>
        </w:rPr>
        <w:t>for</w:t>
      </w:r>
      <w:proofErr w:type="spellEnd"/>
      <w:r>
        <w:rPr>
          <w:rFonts w:eastAsia="Palatino Linotype"/>
          <w:sz w:val="22"/>
          <w:szCs w:val="22"/>
          <w:lang w:val="es-ES"/>
        </w:rPr>
        <w:t xml:space="preserve"> </w:t>
      </w:r>
      <w:proofErr w:type="spellStart"/>
      <w:r>
        <w:rPr>
          <w:rFonts w:eastAsia="Palatino Linotype"/>
          <w:sz w:val="22"/>
          <w:szCs w:val="22"/>
          <w:lang w:val="es-ES"/>
        </w:rPr>
        <w:t>reasons</w:t>
      </w:r>
      <w:proofErr w:type="spellEnd"/>
      <w:r>
        <w:rPr>
          <w:rFonts w:eastAsia="Palatino Linotype"/>
          <w:sz w:val="22"/>
          <w:szCs w:val="22"/>
          <w:lang w:val="es-ES"/>
        </w:rPr>
        <w:t xml:space="preserve"> </w:t>
      </w:r>
      <w:proofErr w:type="spellStart"/>
      <w:r>
        <w:rPr>
          <w:rFonts w:eastAsia="Palatino Linotype"/>
          <w:sz w:val="22"/>
          <w:szCs w:val="22"/>
          <w:lang w:val="es-ES"/>
        </w:rPr>
        <w:t>of</w:t>
      </w:r>
      <w:proofErr w:type="spellEnd"/>
      <w:r>
        <w:rPr>
          <w:rFonts w:eastAsia="Palatino Linotype"/>
          <w:sz w:val="22"/>
          <w:szCs w:val="22"/>
          <w:lang w:val="es-ES"/>
        </w:rPr>
        <w:t xml:space="preserve"> </w:t>
      </w:r>
      <w:proofErr w:type="spellStart"/>
      <w:r>
        <w:rPr>
          <w:rFonts w:eastAsia="Palatino Linotype"/>
          <w:sz w:val="22"/>
          <w:szCs w:val="22"/>
          <w:lang w:val="es-ES"/>
        </w:rPr>
        <w:t>good</w:t>
      </w:r>
      <w:proofErr w:type="spellEnd"/>
      <w:r>
        <w:rPr>
          <w:rFonts w:eastAsia="Palatino Linotype"/>
          <w:sz w:val="22"/>
          <w:szCs w:val="22"/>
          <w:lang w:val="es-ES"/>
        </w:rPr>
        <w:t xml:space="preserve"> </w:t>
      </w:r>
      <w:proofErr w:type="spellStart"/>
      <w:r>
        <w:rPr>
          <w:rFonts w:eastAsia="Palatino Linotype"/>
          <w:sz w:val="22"/>
          <w:szCs w:val="22"/>
          <w:lang w:val="es-ES"/>
        </w:rPr>
        <w:t>administration</w:t>
      </w:r>
      <w:proofErr w:type="spellEnd"/>
      <w:r>
        <w:rPr>
          <w:rFonts w:eastAsia="Palatino Linotype"/>
          <w:sz w:val="22"/>
          <w:szCs w:val="22"/>
          <w:lang w:val="es-ES"/>
        </w:rPr>
        <w:t>.</w:t>
      </w:r>
    </w:p>
    <w:p w14:paraId="3AE4C461" w14:textId="77777777" w:rsidR="00E255F4" w:rsidRDefault="00E255F4">
      <w:pPr>
        <w:ind w:right="-142"/>
        <w:jc w:val="both"/>
        <w:rPr>
          <w:rFonts w:eastAsia="Palatino Linotype"/>
          <w:spacing w:val="-3"/>
          <w:sz w:val="22"/>
          <w:szCs w:val="22"/>
          <w:lang w:val="es-ES"/>
        </w:rPr>
      </w:pPr>
    </w:p>
    <w:p w14:paraId="754E8D69" w14:textId="77777777" w:rsidR="00E255F4" w:rsidRDefault="00000000">
      <w:pPr>
        <w:ind w:right="-142"/>
        <w:jc w:val="both"/>
        <w:rPr>
          <w:rFonts w:eastAsia="Palatino Linotype"/>
          <w:sz w:val="22"/>
          <w:szCs w:val="22"/>
          <w:lang w:val="es-ES"/>
        </w:rPr>
      </w:pPr>
      <w:proofErr w:type="spellStart"/>
      <w:r>
        <w:rPr>
          <w:rFonts w:eastAsia="Palatino Linotype"/>
          <w:spacing w:val="-3"/>
          <w:sz w:val="22"/>
          <w:szCs w:val="22"/>
          <w:lang w:val="es-ES"/>
        </w:rPr>
        <w:t>AND</w:t>
      </w:r>
      <w:r>
        <w:rPr>
          <w:rFonts w:eastAsia="Palatino Linotype"/>
          <w:sz w:val="22"/>
          <w:szCs w:val="22"/>
          <w:lang w:val="es-ES"/>
        </w:rPr>
        <w:t>The</w:t>
      </w:r>
      <w:proofErr w:type="spellEnd"/>
      <w:r>
        <w:rPr>
          <w:rFonts w:eastAsia="Palatino Linotype"/>
          <w:sz w:val="22"/>
          <w:szCs w:val="22"/>
          <w:lang w:val="es-ES"/>
        </w:rPr>
        <w:t xml:space="preserve"> </w:t>
      </w:r>
      <w:proofErr w:type="spellStart"/>
      <w:r>
        <w:rPr>
          <w:rFonts w:eastAsia="Palatino Linotype"/>
          <w:sz w:val="22"/>
          <w:szCs w:val="22"/>
          <w:lang w:val="es-ES"/>
        </w:rPr>
        <w:t>computer</w:t>
      </w:r>
      <w:proofErr w:type="spellEnd"/>
      <w:r>
        <w:rPr>
          <w:rFonts w:eastAsia="Palatino Linotype"/>
          <w:sz w:val="22"/>
          <w:szCs w:val="22"/>
          <w:lang w:val="es-ES"/>
        </w:rPr>
        <w:t xml:space="preserve"> </w:t>
      </w:r>
      <w:proofErr w:type="spellStart"/>
      <w:r>
        <w:rPr>
          <w:rFonts w:eastAsia="Palatino Linotype"/>
          <w:sz w:val="22"/>
          <w:szCs w:val="22"/>
          <w:lang w:val="es-ES"/>
        </w:rPr>
        <w:t>will</w:t>
      </w:r>
      <w:proofErr w:type="spellEnd"/>
      <w:r>
        <w:rPr>
          <w:rFonts w:eastAsia="Palatino Linotype"/>
          <w:sz w:val="22"/>
          <w:szCs w:val="22"/>
          <w:lang w:val="es-ES"/>
        </w:rPr>
        <w:t xml:space="preserve"> </w:t>
      </w:r>
      <w:proofErr w:type="spellStart"/>
      <w:r>
        <w:rPr>
          <w:rFonts w:eastAsia="Palatino Linotype"/>
          <w:sz w:val="22"/>
          <w:szCs w:val="22"/>
          <w:lang w:val="es-ES"/>
        </w:rPr>
        <w:t>award</w:t>
      </w:r>
      <w:proofErr w:type="spellEnd"/>
      <w:r>
        <w:rPr>
          <w:rFonts w:eastAsia="Palatino Linotype"/>
          <w:sz w:val="22"/>
          <w:szCs w:val="22"/>
          <w:lang w:val="es-ES"/>
        </w:rPr>
        <w:t xml:space="preserve"> </w:t>
      </w:r>
      <w:proofErr w:type="spellStart"/>
      <w:r>
        <w:rPr>
          <w:rFonts w:eastAsia="Palatino Linotype"/>
          <w:sz w:val="22"/>
          <w:szCs w:val="22"/>
          <w:lang w:val="es-ES"/>
        </w:rPr>
        <w:t>the</w:t>
      </w:r>
      <w:proofErr w:type="spellEnd"/>
      <w:r>
        <w:rPr>
          <w:rFonts w:eastAsia="Palatino Linotype"/>
          <w:sz w:val="22"/>
          <w:szCs w:val="22"/>
          <w:lang w:val="es-ES"/>
        </w:rPr>
        <w:t xml:space="preserve"> </w:t>
      </w:r>
      <w:proofErr w:type="spellStart"/>
      <w:r>
        <w:rPr>
          <w:rFonts w:eastAsia="Palatino Linotype"/>
          <w:sz w:val="22"/>
          <w:szCs w:val="22"/>
          <w:lang w:val="es-ES"/>
        </w:rPr>
        <w:t>contract</w:t>
      </w:r>
      <w:proofErr w:type="spellEnd"/>
      <w:r>
        <w:rPr>
          <w:rFonts w:eastAsia="Palatino Linotype"/>
          <w:sz w:val="22"/>
          <w:szCs w:val="22"/>
          <w:lang w:val="es-ES"/>
        </w:rPr>
        <w:t xml:space="preserve"> </w:t>
      </w:r>
      <w:proofErr w:type="spellStart"/>
      <w:r>
        <w:rPr>
          <w:rFonts w:eastAsia="Palatino Linotype"/>
          <w:sz w:val="22"/>
          <w:szCs w:val="22"/>
          <w:lang w:val="es-ES"/>
        </w:rPr>
        <w:t>to</w:t>
      </w:r>
      <w:proofErr w:type="spellEnd"/>
      <w:r>
        <w:rPr>
          <w:rFonts w:eastAsia="Palatino Linotype"/>
          <w:sz w:val="22"/>
          <w:szCs w:val="22"/>
          <w:lang w:val="es-ES"/>
        </w:rPr>
        <w:t xml:space="preserve"> </w:t>
      </w:r>
      <w:proofErr w:type="spellStart"/>
      <w:r>
        <w:rPr>
          <w:rFonts w:eastAsia="Palatino Linotype"/>
          <w:sz w:val="22"/>
          <w:szCs w:val="22"/>
          <w:lang w:val="es-ES"/>
        </w:rPr>
        <w:t>the</w:t>
      </w:r>
      <w:proofErr w:type="spellEnd"/>
      <w:r>
        <w:rPr>
          <w:rFonts w:eastAsia="Palatino Linotype"/>
          <w:sz w:val="22"/>
          <w:szCs w:val="22"/>
          <w:lang w:val="es-ES"/>
        </w:rPr>
        <w:t xml:space="preserve"> </w:t>
      </w:r>
      <w:proofErr w:type="spellStart"/>
      <w:r>
        <w:rPr>
          <w:rFonts w:eastAsia="Palatino Linotype"/>
          <w:sz w:val="22"/>
          <w:szCs w:val="22"/>
          <w:lang w:val="es-ES"/>
        </w:rPr>
        <w:t>offer</w:t>
      </w:r>
      <w:proofErr w:type="spellEnd"/>
      <w:r>
        <w:rPr>
          <w:rFonts w:eastAsia="Palatino Linotype"/>
          <w:sz w:val="22"/>
          <w:szCs w:val="22"/>
          <w:lang w:val="es-ES"/>
        </w:rPr>
        <w:t xml:space="preserve"> </w:t>
      </w:r>
      <w:proofErr w:type="spellStart"/>
      <w:r>
        <w:rPr>
          <w:rFonts w:eastAsia="Palatino Linotype"/>
          <w:sz w:val="22"/>
          <w:szCs w:val="22"/>
          <w:lang w:val="es-ES"/>
        </w:rPr>
        <w:t>most</w:t>
      </w:r>
      <w:proofErr w:type="spellEnd"/>
      <w:r>
        <w:rPr>
          <w:rFonts w:eastAsia="Palatino Linotype"/>
          <w:sz w:val="22"/>
          <w:szCs w:val="22"/>
          <w:lang w:val="es-ES"/>
        </w:rPr>
        <w:t xml:space="preserve"> </w:t>
      </w:r>
      <w:proofErr w:type="spellStart"/>
      <w:r>
        <w:rPr>
          <w:rFonts w:eastAsia="Palatino Linotype"/>
          <w:sz w:val="22"/>
          <w:szCs w:val="22"/>
          <w:lang w:val="es-ES"/>
        </w:rPr>
        <w:t>advantageous</w:t>
      </w:r>
      <w:proofErr w:type="spellEnd"/>
      <w:r>
        <w:rPr>
          <w:rFonts w:eastAsia="Palatino Linotype"/>
          <w:sz w:val="22"/>
          <w:szCs w:val="22"/>
          <w:lang w:val="es-ES"/>
        </w:rPr>
        <w:t xml:space="preserve"> </w:t>
      </w:r>
      <w:proofErr w:type="spellStart"/>
      <w:r>
        <w:rPr>
          <w:rFonts w:eastAsia="Palatino Linotype"/>
          <w:sz w:val="22"/>
          <w:szCs w:val="22"/>
          <w:lang w:val="es-ES"/>
        </w:rPr>
        <w:t>to</w:t>
      </w:r>
      <w:proofErr w:type="spellEnd"/>
      <w:r>
        <w:rPr>
          <w:rFonts w:eastAsia="Palatino Linotype"/>
          <w:sz w:val="22"/>
          <w:szCs w:val="22"/>
          <w:lang w:val="es-ES"/>
        </w:rPr>
        <w:t xml:space="preserve"> </w:t>
      </w:r>
      <w:proofErr w:type="spellStart"/>
      <w:r>
        <w:rPr>
          <w:rFonts w:eastAsia="Palatino Linotype"/>
          <w:sz w:val="22"/>
          <w:szCs w:val="22"/>
          <w:lang w:val="es-ES"/>
        </w:rPr>
        <w:t>the</w:t>
      </w:r>
      <w:proofErr w:type="spellEnd"/>
      <w:r>
        <w:rPr>
          <w:rFonts w:eastAsia="Palatino Linotype"/>
          <w:sz w:val="22"/>
          <w:szCs w:val="22"/>
          <w:lang w:val="es-ES"/>
        </w:rPr>
        <w:t xml:space="preserve"> </w:t>
      </w:r>
      <w:proofErr w:type="spellStart"/>
      <w:r>
        <w:rPr>
          <w:rFonts w:eastAsia="Palatino Linotype"/>
          <w:sz w:val="22"/>
          <w:szCs w:val="22"/>
          <w:lang w:val="es-ES"/>
        </w:rPr>
        <w:t>interests</w:t>
      </w:r>
      <w:proofErr w:type="spellEnd"/>
      <w:r>
        <w:rPr>
          <w:rFonts w:eastAsia="Palatino Linotype"/>
          <w:sz w:val="22"/>
          <w:szCs w:val="22"/>
          <w:lang w:val="es-ES"/>
        </w:rPr>
        <w:t xml:space="preserve"> </w:t>
      </w:r>
      <w:proofErr w:type="spellStart"/>
      <w:r>
        <w:rPr>
          <w:rFonts w:eastAsia="Palatino Linotype"/>
          <w:sz w:val="22"/>
          <w:szCs w:val="22"/>
          <w:lang w:val="es-ES"/>
        </w:rPr>
        <w:t>of</w:t>
      </w:r>
      <w:proofErr w:type="spellEnd"/>
      <w:r>
        <w:rPr>
          <w:rFonts w:eastAsia="Palatino Linotype"/>
          <w:sz w:val="22"/>
          <w:szCs w:val="22"/>
          <w:lang w:val="es-ES"/>
        </w:rPr>
        <w:t xml:space="preserve"> </w:t>
      </w:r>
      <w:proofErr w:type="spellStart"/>
      <w:r>
        <w:rPr>
          <w:rFonts w:eastAsia="Palatino Linotype"/>
          <w:sz w:val="22"/>
          <w:szCs w:val="22"/>
          <w:lang w:val="es-ES"/>
        </w:rPr>
        <w:t>the</w:t>
      </w:r>
      <w:proofErr w:type="spellEnd"/>
      <w:r>
        <w:rPr>
          <w:rFonts w:eastAsia="Palatino Linotype"/>
          <w:sz w:val="22"/>
          <w:szCs w:val="22"/>
          <w:lang w:val="es-ES"/>
        </w:rPr>
        <w:t xml:space="preserve"> Public </w:t>
      </w:r>
      <w:proofErr w:type="spellStart"/>
      <w:r>
        <w:rPr>
          <w:rFonts w:eastAsia="Palatino Linotype"/>
          <w:sz w:val="22"/>
          <w:szCs w:val="22"/>
          <w:lang w:val="es-ES"/>
        </w:rPr>
        <w:t>Administration</w:t>
      </w:r>
      <w:proofErr w:type="spellEnd"/>
      <w:r>
        <w:rPr>
          <w:rFonts w:eastAsia="Palatino Linotype"/>
          <w:sz w:val="22"/>
          <w:szCs w:val="22"/>
          <w:lang w:val="es-ES"/>
        </w:rPr>
        <w:t xml:space="preserve"> and </w:t>
      </w:r>
      <w:proofErr w:type="spellStart"/>
      <w:r>
        <w:rPr>
          <w:rFonts w:eastAsia="Palatino Linotype"/>
          <w:sz w:val="22"/>
          <w:szCs w:val="22"/>
          <w:lang w:val="es-ES"/>
        </w:rPr>
        <w:t>the</w:t>
      </w:r>
      <w:proofErr w:type="spellEnd"/>
      <w:r>
        <w:rPr>
          <w:rFonts w:eastAsia="Palatino Linotype"/>
          <w:sz w:val="22"/>
          <w:szCs w:val="22"/>
          <w:lang w:val="es-ES"/>
        </w:rPr>
        <w:t xml:space="preserve"> </w:t>
      </w:r>
      <w:proofErr w:type="spellStart"/>
      <w:r>
        <w:rPr>
          <w:rFonts w:eastAsia="Palatino Linotype"/>
          <w:sz w:val="22"/>
          <w:szCs w:val="22"/>
          <w:lang w:val="es-ES"/>
        </w:rPr>
        <w:t>needs</w:t>
      </w:r>
      <w:proofErr w:type="spellEnd"/>
      <w:r>
        <w:rPr>
          <w:rFonts w:eastAsia="Palatino Linotype"/>
          <w:sz w:val="22"/>
          <w:szCs w:val="22"/>
          <w:lang w:val="es-ES"/>
        </w:rPr>
        <w:t xml:space="preserve"> </w:t>
      </w:r>
      <w:proofErr w:type="spellStart"/>
      <w:r>
        <w:rPr>
          <w:rFonts w:eastAsia="Palatino Linotype"/>
          <w:sz w:val="22"/>
          <w:szCs w:val="22"/>
          <w:lang w:val="es-ES"/>
        </w:rPr>
        <w:t>of</w:t>
      </w:r>
      <w:proofErr w:type="spellEnd"/>
      <w:r>
        <w:rPr>
          <w:rFonts w:eastAsia="Palatino Linotype"/>
          <w:sz w:val="22"/>
          <w:szCs w:val="22"/>
          <w:lang w:val="es-ES"/>
        </w:rPr>
        <w:t xml:space="preserve"> </w:t>
      </w:r>
      <w:proofErr w:type="spellStart"/>
      <w:r>
        <w:rPr>
          <w:rFonts w:eastAsia="Palatino Linotype"/>
          <w:sz w:val="22"/>
          <w:szCs w:val="22"/>
          <w:lang w:val="es-ES"/>
        </w:rPr>
        <w:t>the</w:t>
      </w:r>
      <w:proofErr w:type="spellEnd"/>
      <w:r>
        <w:rPr>
          <w:rFonts w:eastAsia="Palatino Linotype"/>
          <w:sz w:val="22"/>
          <w:szCs w:val="22"/>
          <w:lang w:val="es-ES"/>
        </w:rPr>
        <w:t xml:space="preserve"> </w:t>
      </w:r>
      <w:proofErr w:type="spellStart"/>
      <w:r>
        <w:rPr>
          <w:rFonts w:eastAsia="Palatino Linotype"/>
          <w:sz w:val="22"/>
          <w:szCs w:val="22"/>
          <w:lang w:val="es-ES"/>
        </w:rPr>
        <w:t>service</w:t>
      </w:r>
      <w:proofErr w:type="spellEnd"/>
      <w:r>
        <w:rPr>
          <w:rFonts w:eastAsia="Palatino Linotype"/>
          <w:sz w:val="22"/>
          <w:szCs w:val="22"/>
          <w:lang w:val="es-ES"/>
        </w:rPr>
        <w:t xml:space="preserve">, </w:t>
      </w:r>
      <w:proofErr w:type="spellStart"/>
      <w:r>
        <w:rPr>
          <w:rFonts w:eastAsia="Palatino Linotype"/>
          <w:sz w:val="22"/>
          <w:szCs w:val="22"/>
          <w:lang w:val="es-ES"/>
        </w:rPr>
        <w:t>taking</w:t>
      </w:r>
      <w:proofErr w:type="spellEnd"/>
      <w:r>
        <w:rPr>
          <w:rFonts w:eastAsia="Palatino Linotype"/>
          <w:sz w:val="22"/>
          <w:szCs w:val="22"/>
          <w:lang w:val="es-ES"/>
        </w:rPr>
        <w:t xml:space="preserve"> </w:t>
      </w:r>
      <w:proofErr w:type="spellStart"/>
      <w:r>
        <w:rPr>
          <w:rFonts w:eastAsia="Palatino Linotype"/>
          <w:sz w:val="22"/>
          <w:szCs w:val="22"/>
          <w:lang w:val="es-ES"/>
        </w:rPr>
        <w:t>into</w:t>
      </w:r>
      <w:proofErr w:type="spellEnd"/>
      <w:r>
        <w:rPr>
          <w:rFonts w:eastAsia="Palatino Linotype"/>
          <w:sz w:val="22"/>
          <w:szCs w:val="22"/>
          <w:lang w:val="es-ES"/>
        </w:rPr>
        <w:t xml:space="preserve"> </w:t>
      </w:r>
      <w:proofErr w:type="spellStart"/>
      <w:r>
        <w:rPr>
          <w:rFonts w:eastAsia="Palatino Linotype"/>
          <w:sz w:val="22"/>
          <w:szCs w:val="22"/>
          <w:lang w:val="es-ES"/>
        </w:rPr>
        <w:t>account</w:t>
      </w:r>
      <w:proofErr w:type="spellEnd"/>
      <w:r>
        <w:rPr>
          <w:rFonts w:eastAsia="Palatino Linotype"/>
          <w:sz w:val="22"/>
          <w:szCs w:val="22"/>
          <w:lang w:val="es-ES"/>
        </w:rPr>
        <w:t xml:space="preserve"> </w:t>
      </w:r>
      <w:proofErr w:type="spellStart"/>
      <w:r>
        <w:rPr>
          <w:rFonts w:eastAsia="Palatino Linotype"/>
          <w:sz w:val="22"/>
          <w:szCs w:val="22"/>
          <w:lang w:val="es-ES"/>
        </w:rPr>
        <w:t>the</w:t>
      </w:r>
      <w:proofErr w:type="spellEnd"/>
      <w:r>
        <w:rPr>
          <w:rFonts w:eastAsia="Palatino Linotype"/>
          <w:sz w:val="22"/>
          <w:szCs w:val="22"/>
          <w:lang w:val="es-ES"/>
        </w:rPr>
        <w:t xml:space="preserve"> </w:t>
      </w:r>
      <w:proofErr w:type="spellStart"/>
      <w:r>
        <w:rPr>
          <w:rFonts w:eastAsia="Palatino Linotype"/>
          <w:sz w:val="22"/>
          <w:szCs w:val="22"/>
          <w:lang w:val="es-ES"/>
        </w:rPr>
        <w:t>opinion</w:t>
      </w:r>
      <w:proofErr w:type="spellEnd"/>
      <w:r>
        <w:rPr>
          <w:rFonts w:eastAsia="Palatino Linotype"/>
          <w:sz w:val="22"/>
          <w:szCs w:val="22"/>
          <w:lang w:val="es-ES"/>
        </w:rPr>
        <w:t xml:space="preserve"> </w:t>
      </w:r>
      <w:proofErr w:type="spellStart"/>
      <w:r>
        <w:rPr>
          <w:rFonts w:eastAsia="Palatino Linotype"/>
          <w:sz w:val="22"/>
          <w:szCs w:val="22"/>
          <w:lang w:val="es-ES"/>
        </w:rPr>
        <w:t>of</w:t>
      </w:r>
      <w:proofErr w:type="spellEnd"/>
      <w:r>
        <w:rPr>
          <w:rFonts w:eastAsia="Palatino Linotype"/>
          <w:sz w:val="22"/>
          <w:szCs w:val="22"/>
          <w:lang w:val="es-ES"/>
        </w:rPr>
        <w:t xml:space="preserve"> </w:t>
      </w:r>
      <w:proofErr w:type="spellStart"/>
      <w:r>
        <w:rPr>
          <w:rFonts w:eastAsia="Palatino Linotype"/>
          <w:sz w:val="22"/>
          <w:szCs w:val="22"/>
          <w:lang w:val="es-ES"/>
        </w:rPr>
        <w:t>the</w:t>
      </w:r>
      <w:proofErr w:type="spellEnd"/>
      <w:r>
        <w:rPr>
          <w:rFonts w:eastAsia="Palatino Linotype"/>
          <w:sz w:val="22"/>
          <w:szCs w:val="22"/>
          <w:lang w:val="es-ES"/>
        </w:rPr>
        <w:t xml:space="preserve"> </w:t>
      </w:r>
      <w:proofErr w:type="spellStart"/>
      <w:r>
        <w:rPr>
          <w:rFonts w:eastAsia="Palatino Linotype"/>
          <w:sz w:val="22"/>
          <w:szCs w:val="22"/>
          <w:lang w:val="es-ES"/>
        </w:rPr>
        <w:t>Advisory</w:t>
      </w:r>
      <w:proofErr w:type="spellEnd"/>
      <w:r>
        <w:rPr>
          <w:rFonts w:eastAsia="Palatino Linotype"/>
          <w:sz w:val="22"/>
          <w:szCs w:val="22"/>
          <w:lang w:val="es-ES"/>
        </w:rPr>
        <w:t xml:space="preserve"> </w:t>
      </w:r>
      <w:proofErr w:type="spellStart"/>
      <w:r>
        <w:rPr>
          <w:rFonts w:eastAsia="Palatino Linotype"/>
          <w:sz w:val="22"/>
          <w:szCs w:val="22"/>
          <w:lang w:val="es-ES"/>
        </w:rPr>
        <w:t>Committee</w:t>
      </w:r>
      <w:proofErr w:type="spellEnd"/>
      <w:r>
        <w:rPr>
          <w:rFonts w:eastAsia="Palatino Linotype"/>
          <w:sz w:val="22"/>
          <w:szCs w:val="22"/>
          <w:lang w:val="es-ES"/>
        </w:rPr>
        <w:t xml:space="preserve"> </w:t>
      </w:r>
      <w:proofErr w:type="spellStart"/>
      <w:r>
        <w:rPr>
          <w:rFonts w:eastAsia="Palatino Linotype"/>
          <w:sz w:val="22"/>
          <w:szCs w:val="22"/>
          <w:lang w:val="es-ES"/>
        </w:rPr>
        <w:t>on</w:t>
      </w:r>
      <w:proofErr w:type="spellEnd"/>
      <w:r>
        <w:rPr>
          <w:rFonts w:eastAsia="Palatino Linotype"/>
          <w:sz w:val="22"/>
          <w:szCs w:val="22"/>
          <w:lang w:val="es-ES"/>
        </w:rPr>
        <w:t xml:space="preserve"> </w:t>
      </w:r>
      <w:proofErr w:type="spellStart"/>
      <w:r>
        <w:rPr>
          <w:rFonts w:eastAsia="Palatino Linotype"/>
          <w:sz w:val="22"/>
          <w:szCs w:val="22"/>
          <w:lang w:val="es-ES"/>
        </w:rPr>
        <w:t>Contract</w:t>
      </w:r>
      <w:proofErr w:type="spellEnd"/>
      <w:r>
        <w:rPr>
          <w:rFonts w:eastAsia="Palatino Linotype"/>
          <w:sz w:val="22"/>
          <w:szCs w:val="22"/>
          <w:lang w:val="es-ES"/>
        </w:rPr>
        <w:t xml:space="preserve"> </w:t>
      </w:r>
      <w:proofErr w:type="spellStart"/>
      <w:r>
        <w:rPr>
          <w:rFonts w:eastAsia="Palatino Linotype"/>
          <w:sz w:val="22"/>
          <w:szCs w:val="22"/>
          <w:lang w:val="es-ES"/>
        </w:rPr>
        <w:t>Awards</w:t>
      </w:r>
      <w:proofErr w:type="spellEnd"/>
      <w:r>
        <w:rPr>
          <w:rFonts w:eastAsia="Palatino Linotype"/>
          <w:sz w:val="22"/>
          <w:szCs w:val="22"/>
          <w:lang w:val="es-ES"/>
        </w:rPr>
        <w:t xml:space="preserve">. </w:t>
      </w:r>
      <w:proofErr w:type="spellStart"/>
      <w:r>
        <w:rPr>
          <w:rFonts w:eastAsia="Palatino Linotype"/>
          <w:sz w:val="22"/>
          <w:szCs w:val="22"/>
          <w:lang w:val="es-ES"/>
        </w:rPr>
        <w:t>If</w:t>
      </w:r>
      <w:proofErr w:type="spellEnd"/>
      <w:r>
        <w:rPr>
          <w:rFonts w:eastAsia="Palatino Linotype"/>
          <w:sz w:val="22"/>
          <w:szCs w:val="22"/>
          <w:lang w:val="es-ES"/>
        </w:rPr>
        <w:t xml:space="preserve"> </w:t>
      </w:r>
      <w:proofErr w:type="spellStart"/>
      <w:r>
        <w:rPr>
          <w:rFonts w:eastAsia="Palatino Linotype"/>
          <w:sz w:val="22"/>
          <w:szCs w:val="22"/>
          <w:lang w:val="es-ES"/>
        </w:rPr>
        <w:t>the</w:t>
      </w:r>
      <w:proofErr w:type="spellEnd"/>
      <w:r>
        <w:rPr>
          <w:rFonts w:eastAsia="Palatino Linotype"/>
          <w:sz w:val="22"/>
          <w:szCs w:val="22"/>
          <w:lang w:val="es-ES"/>
        </w:rPr>
        <w:t xml:space="preserve"> </w:t>
      </w:r>
      <w:proofErr w:type="spellStart"/>
      <w:r>
        <w:rPr>
          <w:rFonts w:eastAsia="Palatino Linotype"/>
          <w:sz w:val="22"/>
          <w:szCs w:val="22"/>
          <w:lang w:val="es-ES"/>
        </w:rPr>
        <w:t>computer</w:t>
      </w:r>
      <w:proofErr w:type="spellEnd"/>
      <w:r>
        <w:rPr>
          <w:rFonts w:eastAsia="Palatino Linotype"/>
          <w:sz w:val="22"/>
          <w:szCs w:val="22"/>
          <w:lang w:val="es-ES"/>
        </w:rPr>
        <w:t xml:space="preserve"> </w:t>
      </w:r>
      <w:proofErr w:type="spellStart"/>
      <w:r>
        <w:rPr>
          <w:rFonts w:eastAsia="Palatino Linotype"/>
          <w:sz w:val="22"/>
          <w:szCs w:val="22"/>
          <w:lang w:val="es-ES"/>
        </w:rPr>
        <w:t>deviates</w:t>
      </w:r>
      <w:proofErr w:type="spellEnd"/>
      <w:r>
        <w:rPr>
          <w:rFonts w:eastAsia="Palatino Linotype"/>
          <w:sz w:val="22"/>
          <w:szCs w:val="22"/>
          <w:lang w:val="es-ES"/>
        </w:rPr>
        <w:t xml:space="preserve"> </w:t>
      </w:r>
      <w:proofErr w:type="spellStart"/>
      <w:r>
        <w:rPr>
          <w:rFonts w:eastAsia="Palatino Linotype"/>
          <w:sz w:val="22"/>
          <w:szCs w:val="22"/>
          <w:lang w:val="es-ES"/>
        </w:rPr>
        <w:t>from</w:t>
      </w:r>
      <w:proofErr w:type="spellEnd"/>
      <w:r>
        <w:rPr>
          <w:rFonts w:eastAsia="Palatino Linotype"/>
          <w:sz w:val="22"/>
          <w:szCs w:val="22"/>
          <w:lang w:val="es-ES"/>
        </w:rPr>
        <w:t xml:space="preserve"> </w:t>
      </w:r>
      <w:proofErr w:type="spellStart"/>
      <w:r>
        <w:rPr>
          <w:rFonts w:eastAsia="Palatino Linotype"/>
          <w:sz w:val="22"/>
          <w:szCs w:val="22"/>
          <w:lang w:val="es-ES"/>
        </w:rPr>
        <w:t>this</w:t>
      </w:r>
      <w:proofErr w:type="spellEnd"/>
      <w:r>
        <w:rPr>
          <w:rFonts w:eastAsia="Palatino Linotype"/>
          <w:sz w:val="22"/>
          <w:szCs w:val="22"/>
          <w:lang w:val="es-ES"/>
        </w:rPr>
        <w:t xml:space="preserve"> </w:t>
      </w:r>
      <w:proofErr w:type="spellStart"/>
      <w:r>
        <w:rPr>
          <w:rFonts w:eastAsia="Palatino Linotype"/>
          <w:sz w:val="22"/>
          <w:szCs w:val="22"/>
          <w:lang w:val="es-ES"/>
        </w:rPr>
        <w:t>opinion</w:t>
      </w:r>
      <w:proofErr w:type="spellEnd"/>
      <w:r>
        <w:rPr>
          <w:rFonts w:eastAsia="Palatino Linotype"/>
          <w:sz w:val="22"/>
          <w:szCs w:val="22"/>
          <w:lang w:val="es-ES"/>
        </w:rPr>
        <w:t xml:space="preserve">, </w:t>
      </w:r>
      <w:proofErr w:type="spellStart"/>
      <w:r>
        <w:rPr>
          <w:rFonts w:eastAsia="Palatino Linotype"/>
          <w:sz w:val="22"/>
          <w:szCs w:val="22"/>
          <w:lang w:val="es-ES"/>
        </w:rPr>
        <w:t>the</w:t>
      </w:r>
      <w:proofErr w:type="spellEnd"/>
      <w:r>
        <w:rPr>
          <w:rFonts w:eastAsia="Palatino Linotype"/>
          <w:sz w:val="22"/>
          <w:szCs w:val="22"/>
          <w:lang w:val="es-ES"/>
        </w:rPr>
        <w:t xml:space="preserve"> </w:t>
      </w:r>
      <w:proofErr w:type="spellStart"/>
      <w:r>
        <w:rPr>
          <w:rFonts w:eastAsia="Palatino Linotype"/>
          <w:sz w:val="22"/>
          <w:szCs w:val="22"/>
          <w:lang w:val="es-ES"/>
        </w:rPr>
        <w:t>grounds</w:t>
      </w:r>
      <w:proofErr w:type="spellEnd"/>
      <w:r>
        <w:rPr>
          <w:rFonts w:eastAsia="Palatino Linotype"/>
          <w:sz w:val="22"/>
          <w:szCs w:val="22"/>
          <w:lang w:val="es-ES"/>
        </w:rPr>
        <w:t xml:space="preserve"> </w:t>
      </w:r>
      <w:proofErr w:type="spellStart"/>
      <w:r>
        <w:rPr>
          <w:rFonts w:eastAsia="Palatino Linotype"/>
          <w:sz w:val="22"/>
          <w:szCs w:val="22"/>
          <w:lang w:val="es-ES"/>
        </w:rPr>
        <w:t>for</w:t>
      </w:r>
      <w:proofErr w:type="spellEnd"/>
      <w:r>
        <w:rPr>
          <w:rFonts w:eastAsia="Palatino Linotype"/>
          <w:sz w:val="22"/>
          <w:szCs w:val="22"/>
          <w:lang w:val="es-ES"/>
        </w:rPr>
        <w:t xml:space="preserve"> </w:t>
      </w:r>
      <w:proofErr w:type="spellStart"/>
      <w:r>
        <w:rPr>
          <w:rFonts w:eastAsia="Palatino Linotype"/>
          <w:sz w:val="22"/>
          <w:szCs w:val="22"/>
          <w:lang w:val="es-ES"/>
        </w:rPr>
        <w:t>the</w:t>
      </w:r>
      <w:proofErr w:type="spellEnd"/>
      <w:r>
        <w:rPr>
          <w:rFonts w:eastAsia="Palatino Linotype"/>
          <w:sz w:val="22"/>
          <w:szCs w:val="22"/>
          <w:lang w:val="es-ES"/>
        </w:rPr>
        <w:t xml:space="preserve"> </w:t>
      </w:r>
      <w:proofErr w:type="spellStart"/>
      <w:r>
        <w:rPr>
          <w:rFonts w:eastAsia="Palatino Linotype"/>
          <w:sz w:val="22"/>
          <w:szCs w:val="22"/>
          <w:lang w:val="es-ES"/>
        </w:rPr>
        <w:t>differing</w:t>
      </w:r>
      <w:proofErr w:type="spellEnd"/>
      <w:r>
        <w:rPr>
          <w:rFonts w:eastAsia="Palatino Linotype"/>
          <w:sz w:val="22"/>
          <w:szCs w:val="22"/>
          <w:lang w:val="es-ES"/>
        </w:rPr>
        <w:t xml:space="preserve"> </w:t>
      </w:r>
      <w:proofErr w:type="spellStart"/>
      <w:r>
        <w:rPr>
          <w:rFonts w:eastAsia="Palatino Linotype"/>
          <w:sz w:val="22"/>
          <w:szCs w:val="22"/>
          <w:lang w:val="es-ES"/>
        </w:rPr>
        <w:t>decision</w:t>
      </w:r>
      <w:proofErr w:type="spellEnd"/>
      <w:r>
        <w:rPr>
          <w:rFonts w:eastAsia="Palatino Linotype"/>
          <w:sz w:val="22"/>
          <w:szCs w:val="22"/>
          <w:lang w:val="es-ES"/>
        </w:rPr>
        <w:t xml:space="preserve"> </w:t>
      </w:r>
      <w:proofErr w:type="spellStart"/>
      <w:r>
        <w:rPr>
          <w:rFonts w:eastAsia="Palatino Linotype"/>
          <w:sz w:val="22"/>
          <w:szCs w:val="22"/>
          <w:lang w:val="es-ES"/>
        </w:rPr>
        <w:t>must</w:t>
      </w:r>
      <w:proofErr w:type="spellEnd"/>
      <w:r>
        <w:rPr>
          <w:rFonts w:eastAsia="Palatino Linotype"/>
          <w:sz w:val="22"/>
          <w:szCs w:val="22"/>
          <w:lang w:val="es-ES"/>
        </w:rPr>
        <w:t xml:space="preserve"> be </w:t>
      </w:r>
      <w:proofErr w:type="spellStart"/>
      <w:r>
        <w:rPr>
          <w:rFonts w:eastAsia="Palatino Linotype"/>
          <w:sz w:val="22"/>
          <w:szCs w:val="22"/>
          <w:lang w:val="es-ES"/>
        </w:rPr>
        <w:t>expressly</w:t>
      </w:r>
      <w:proofErr w:type="spellEnd"/>
      <w:r>
        <w:rPr>
          <w:rFonts w:eastAsia="Palatino Linotype"/>
          <w:sz w:val="22"/>
          <w:szCs w:val="22"/>
          <w:lang w:val="es-ES"/>
        </w:rPr>
        <w:t xml:space="preserve"> </w:t>
      </w:r>
      <w:proofErr w:type="spellStart"/>
      <w:r>
        <w:rPr>
          <w:rFonts w:eastAsia="Palatino Linotype"/>
          <w:sz w:val="22"/>
          <w:szCs w:val="22"/>
          <w:lang w:val="es-ES"/>
        </w:rPr>
        <w:t>stated</w:t>
      </w:r>
      <w:proofErr w:type="spellEnd"/>
      <w:r>
        <w:rPr>
          <w:rFonts w:eastAsia="Palatino Linotype"/>
          <w:sz w:val="22"/>
          <w:szCs w:val="22"/>
          <w:lang w:val="es-ES"/>
        </w:rPr>
        <w:t>.</w:t>
      </w:r>
    </w:p>
    <w:p w14:paraId="6193E815" w14:textId="77777777" w:rsidR="00E255F4" w:rsidRDefault="00E255F4">
      <w:pPr>
        <w:rPr>
          <w:rFonts w:eastAsia="Palatino Linotype"/>
          <w:sz w:val="22"/>
          <w:szCs w:val="22"/>
          <w:lang w:val="es-ES"/>
        </w:rPr>
      </w:pPr>
    </w:p>
    <w:p w14:paraId="023B600C" w14:textId="77777777" w:rsidR="00E255F4" w:rsidRDefault="00000000">
      <w:pPr>
        <w:ind w:right="-142"/>
        <w:jc w:val="both"/>
        <w:outlineLvl w:val="0"/>
        <w:rPr>
          <w:rFonts w:eastAsia="Palatino Linotype"/>
          <w:b/>
          <w:spacing w:val="-1"/>
          <w:sz w:val="22"/>
          <w:szCs w:val="22"/>
          <w:lang w:val="es-ES"/>
        </w:rPr>
      </w:pPr>
      <w:bookmarkStart w:id="47" w:name="__RefHeading___Toc225377224"/>
      <w:bookmarkEnd w:id="47"/>
      <w:r>
        <w:rPr>
          <w:rFonts w:eastAsia="Palatino Linotype"/>
          <w:b/>
          <w:spacing w:val="-1"/>
          <w:sz w:val="22"/>
          <w:szCs w:val="22"/>
          <w:lang w:val="es-ES"/>
        </w:rPr>
        <w:t xml:space="preserve">14.2 Formal </w:t>
      </w:r>
      <w:proofErr w:type="spellStart"/>
      <w:r>
        <w:rPr>
          <w:rFonts w:eastAsia="Palatino Linotype"/>
          <w:b/>
          <w:spacing w:val="-1"/>
          <w:sz w:val="22"/>
          <w:szCs w:val="22"/>
          <w:lang w:val="es-ES"/>
        </w:rPr>
        <w:t>requirements</w:t>
      </w:r>
      <w:proofErr w:type="spellEnd"/>
      <w:r>
        <w:rPr>
          <w:rFonts w:eastAsia="Palatino Linotype"/>
          <w:b/>
          <w:spacing w:val="-1"/>
          <w:sz w:val="22"/>
          <w:szCs w:val="22"/>
          <w:lang w:val="es-ES"/>
        </w:rPr>
        <w:tab/>
      </w:r>
    </w:p>
    <w:p w14:paraId="3AE06DD9" w14:textId="77777777" w:rsidR="00E255F4" w:rsidRDefault="00E255F4">
      <w:pPr>
        <w:rPr>
          <w:rFonts w:eastAsia="Palatino Linotype"/>
          <w:b/>
          <w:spacing w:val="-1"/>
          <w:sz w:val="22"/>
          <w:szCs w:val="22"/>
          <w:lang w:val="es-ES"/>
        </w:rPr>
      </w:pPr>
    </w:p>
    <w:p w14:paraId="4EE2EE3B" w14:textId="77777777" w:rsidR="00E255F4" w:rsidRDefault="00000000">
      <w:pPr>
        <w:ind w:right="-142"/>
        <w:jc w:val="both"/>
        <w:rPr>
          <w:rFonts w:eastAsia="Palatino Linotype"/>
          <w:sz w:val="22"/>
          <w:szCs w:val="22"/>
          <w:lang w:val="es-ES"/>
        </w:rPr>
      </w:pPr>
      <w:proofErr w:type="spellStart"/>
      <w:r>
        <w:rPr>
          <w:rFonts w:eastAsia="Palatino Linotype"/>
          <w:spacing w:val="-1"/>
          <w:sz w:val="22"/>
          <w:szCs w:val="22"/>
          <w:lang w:val="es-ES"/>
        </w:rPr>
        <w:lastRenderedPageBreak/>
        <w:t>A</w:t>
      </w:r>
      <w:r>
        <w:rPr>
          <w:rFonts w:eastAsia="Palatino Linotype"/>
          <w:sz w:val="22"/>
          <w:szCs w:val="22"/>
          <w:lang w:val="es-ES"/>
        </w:rPr>
        <w:t>Once</w:t>
      </w:r>
      <w:proofErr w:type="spellEnd"/>
      <w:r>
        <w:rPr>
          <w:rFonts w:eastAsia="Palatino Linotype"/>
          <w:sz w:val="22"/>
          <w:szCs w:val="22"/>
          <w:lang w:val="es-ES"/>
        </w:rPr>
        <w:t xml:space="preserve"> </w:t>
      </w:r>
      <w:proofErr w:type="spellStart"/>
      <w:r>
        <w:rPr>
          <w:rFonts w:eastAsia="Palatino Linotype"/>
          <w:sz w:val="22"/>
          <w:szCs w:val="22"/>
          <w:lang w:val="es-ES"/>
        </w:rPr>
        <w:t>the</w:t>
      </w:r>
      <w:proofErr w:type="spellEnd"/>
      <w:r>
        <w:rPr>
          <w:rFonts w:eastAsia="Palatino Linotype"/>
          <w:sz w:val="22"/>
          <w:szCs w:val="22"/>
          <w:lang w:val="es-ES"/>
        </w:rPr>
        <w:t xml:space="preserve"> </w:t>
      </w:r>
      <w:proofErr w:type="spellStart"/>
      <w:r>
        <w:rPr>
          <w:rFonts w:eastAsia="Palatino Linotype"/>
          <w:sz w:val="22"/>
          <w:szCs w:val="22"/>
          <w:lang w:val="es-ES"/>
        </w:rPr>
        <w:t>award</w:t>
      </w:r>
      <w:proofErr w:type="spellEnd"/>
      <w:r>
        <w:rPr>
          <w:rFonts w:eastAsia="Palatino Linotype"/>
          <w:sz w:val="22"/>
          <w:szCs w:val="22"/>
          <w:lang w:val="es-ES"/>
        </w:rPr>
        <w:t xml:space="preserve"> </w:t>
      </w:r>
      <w:proofErr w:type="spellStart"/>
      <w:r>
        <w:rPr>
          <w:rFonts w:eastAsia="Palatino Linotype"/>
          <w:sz w:val="22"/>
          <w:szCs w:val="22"/>
          <w:lang w:val="es-ES"/>
        </w:rPr>
        <w:t>decision</w:t>
      </w:r>
      <w:proofErr w:type="spellEnd"/>
      <w:r>
        <w:rPr>
          <w:rFonts w:eastAsia="Palatino Linotype"/>
          <w:sz w:val="22"/>
          <w:szCs w:val="22"/>
          <w:lang w:val="es-ES"/>
        </w:rPr>
        <w:t xml:space="preserve"> has </w:t>
      </w:r>
      <w:proofErr w:type="spellStart"/>
      <w:r>
        <w:rPr>
          <w:rFonts w:eastAsia="Palatino Linotype"/>
          <w:sz w:val="22"/>
          <w:szCs w:val="22"/>
          <w:lang w:val="es-ES"/>
        </w:rPr>
        <w:t>been</w:t>
      </w:r>
      <w:proofErr w:type="spellEnd"/>
      <w:r>
        <w:rPr>
          <w:rFonts w:eastAsia="Palatino Linotype"/>
          <w:sz w:val="22"/>
          <w:szCs w:val="22"/>
          <w:lang w:val="es-ES"/>
        </w:rPr>
        <w:t xml:space="preserve"> </w:t>
      </w:r>
      <w:proofErr w:type="spellStart"/>
      <w:r>
        <w:rPr>
          <w:rFonts w:eastAsia="Palatino Linotype"/>
          <w:sz w:val="22"/>
          <w:szCs w:val="22"/>
          <w:lang w:val="es-ES"/>
        </w:rPr>
        <w:t>issued</w:t>
      </w:r>
      <w:proofErr w:type="spellEnd"/>
      <w:r>
        <w:rPr>
          <w:rFonts w:eastAsia="Palatino Linotype"/>
          <w:sz w:val="22"/>
          <w:szCs w:val="22"/>
          <w:lang w:val="es-ES"/>
        </w:rPr>
        <w:t xml:space="preserve"> and prior </w:t>
      </w:r>
      <w:proofErr w:type="spellStart"/>
      <w:r>
        <w:rPr>
          <w:rFonts w:eastAsia="Palatino Linotype"/>
          <w:sz w:val="22"/>
          <w:szCs w:val="22"/>
          <w:lang w:val="es-ES"/>
        </w:rPr>
        <w:t>to</w:t>
      </w:r>
      <w:proofErr w:type="spellEnd"/>
      <w:r>
        <w:rPr>
          <w:rFonts w:eastAsia="Palatino Linotype"/>
          <w:sz w:val="22"/>
          <w:szCs w:val="22"/>
          <w:lang w:val="es-ES"/>
        </w:rPr>
        <w:t xml:space="preserve"> </w:t>
      </w:r>
      <w:proofErr w:type="spellStart"/>
      <w:r>
        <w:rPr>
          <w:rFonts w:eastAsia="Palatino Linotype"/>
          <w:sz w:val="22"/>
          <w:szCs w:val="22"/>
          <w:lang w:val="es-ES"/>
        </w:rPr>
        <w:t>its</w:t>
      </w:r>
      <w:proofErr w:type="spellEnd"/>
      <w:r>
        <w:rPr>
          <w:rFonts w:eastAsia="Palatino Linotype"/>
          <w:sz w:val="22"/>
          <w:szCs w:val="22"/>
          <w:lang w:val="es-ES"/>
        </w:rPr>
        <w:t xml:space="preserve"> </w:t>
      </w:r>
      <w:proofErr w:type="spellStart"/>
      <w:r>
        <w:rPr>
          <w:rFonts w:eastAsia="Palatino Linotype"/>
          <w:sz w:val="22"/>
          <w:szCs w:val="22"/>
          <w:lang w:val="es-ES"/>
        </w:rPr>
        <w:t>notification</w:t>
      </w:r>
      <w:proofErr w:type="spellEnd"/>
      <w:r>
        <w:rPr>
          <w:rFonts w:eastAsia="Palatino Linotype"/>
          <w:sz w:val="22"/>
          <w:szCs w:val="22"/>
          <w:lang w:val="es-ES"/>
        </w:rPr>
        <w:t xml:space="preserve">, </w:t>
      </w:r>
      <w:proofErr w:type="spellStart"/>
      <w:r>
        <w:rPr>
          <w:rFonts w:eastAsia="Palatino Linotype"/>
          <w:sz w:val="22"/>
          <w:szCs w:val="22"/>
          <w:lang w:val="es-ES"/>
        </w:rPr>
        <w:t>the</w:t>
      </w:r>
      <w:proofErr w:type="spellEnd"/>
      <w:r>
        <w:rPr>
          <w:rFonts w:eastAsia="Palatino Linotype"/>
          <w:sz w:val="22"/>
          <w:szCs w:val="22"/>
          <w:lang w:val="es-ES"/>
        </w:rPr>
        <w:t xml:space="preserve"> </w:t>
      </w:r>
      <w:proofErr w:type="spellStart"/>
      <w:r>
        <w:rPr>
          <w:rFonts w:eastAsia="Palatino Linotype"/>
          <w:sz w:val="22"/>
          <w:szCs w:val="22"/>
          <w:lang w:val="es-ES"/>
        </w:rPr>
        <w:t>successful</w:t>
      </w:r>
      <w:proofErr w:type="spellEnd"/>
      <w:r>
        <w:rPr>
          <w:rFonts w:eastAsia="Palatino Linotype"/>
          <w:sz w:val="22"/>
          <w:szCs w:val="22"/>
          <w:lang w:val="es-ES"/>
        </w:rPr>
        <w:t xml:space="preserve"> </w:t>
      </w:r>
      <w:proofErr w:type="spellStart"/>
      <w:r>
        <w:rPr>
          <w:rFonts w:eastAsia="Palatino Linotype"/>
          <w:sz w:val="22"/>
          <w:szCs w:val="22"/>
          <w:lang w:val="es-ES"/>
        </w:rPr>
        <w:t>bidder</w:t>
      </w:r>
      <w:proofErr w:type="spellEnd"/>
      <w:r>
        <w:rPr>
          <w:rFonts w:eastAsia="Palatino Linotype"/>
          <w:sz w:val="22"/>
          <w:szCs w:val="22"/>
          <w:lang w:val="es-ES"/>
        </w:rPr>
        <w:t xml:space="preserve"> </w:t>
      </w:r>
      <w:proofErr w:type="spellStart"/>
      <w:r>
        <w:rPr>
          <w:rFonts w:eastAsia="Palatino Linotype"/>
          <w:sz w:val="22"/>
          <w:szCs w:val="22"/>
          <w:lang w:val="es-ES"/>
        </w:rPr>
        <w:t>will</w:t>
      </w:r>
      <w:proofErr w:type="spellEnd"/>
      <w:r>
        <w:rPr>
          <w:rFonts w:eastAsia="Palatino Linotype"/>
          <w:sz w:val="22"/>
          <w:szCs w:val="22"/>
          <w:lang w:val="es-ES"/>
        </w:rPr>
        <w:t xml:space="preserve"> be </w:t>
      </w:r>
      <w:proofErr w:type="spellStart"/>
      <w:r>
        <w:rPr>
          <w:rFonts w:eastAsia="Palatino Linotype"/>
          <w:sz w:val="22"/>
          <w:szCs w:val="22"/>
          <w:lang w:val="es-ES"/>
        </w:rPr>
        <w:t>required</w:t>
      </w:r>
      <w:proofErr w:type="spellEnd"/>
      <w:r>
        <w:rPr>
          <w:rFonts w:eastAsia="Palatino Linotype"/>
          <w:sz w:val="22"/>
          <w:szCs w:val="22"/>
          <w:lang w:val="es-ES"/>
        </w:rPr>
        <w:t xml:space="preserve">, </w:t>
      </w:r>
      <w:proofErr w:type="spellStart"/>
      <w:r>
        <w:rPr>
          <w:rFonts w:eastAsia="Palatino Linotype"/>
          <w:sz w:val="22"/>
          <w:szCs w:val="22"/>
          <w:lang w:val="es-ES"/>
        </w:rPr>
        <w:t>within</w:t>
      </w:r>
      <w:proofErr w:type="spellEnd"/>
      <w:r>
        <w:rPr>
          <w:rFonts w:eastAsia="Palatino Linotype"/>
          <w:sz w:val="22"/>
          <w:szCs w:val="22"/>
          <w:lang w:val="es-ES"/>
        </w:rPr>
        <w:t xml:space="preserve"> </w:t>
      </w:r>
      <w:proofErr w:type="spellStart"/>
      <w:r>
        <w:rPr>
          <w:rFonts w:eastAsia="Palatino Linotype"/>
          <w:sz w:val="22"/>
          <w:szCs w:val="22"/>
          <w:lang w:val="es-ES"/>
        </w:rPr>
        <w:t>the</w:t>
      </w:r>
      <w:proofErr w:type="spellEnd"/>
      <w:r>
        <w:rPr>
          <w:rFonts w:eastAsia="Palatino Linotype"/>
          <w:sz w:val="22"/>
          <w:szCs w:val="22"/>
          <w:lang w:val="es-ES"/>
        </w:rPr>
        <w:t xml:space="preserve"> </w:t>
      </w:r>
      <w:proofErr w:type="spellStart"/>
      <w:r>
        <w:rPr>
          <w:rFonts w:eastAsia="Palatino Linotype"/>
          <w:sz w:val="22"/>
          <w:szCs w:val="22"/>
          <w:lang w:val="es-ES"/>
        </w:rPr>
        <w:t>period</w:t>
      </w:r>
      <w:proofErr w:type="spellEnd"/>
      <w:r>
        <w:rPr>
          <w:rFonts w:eastAsia="Palatino Linotype"/>
          <w:sz w:val="22"/>
          <w:szCs w:val="22"/>
          <w:lang w:val="es-ES"/>
        </w:rPr>
        <w:t xml:space="preserve"> </w:t>
      </w:r>
      <w:proofErr w:type="spellStart"/>
      <w:r>
        <w:rPr>
          <w:rFonts w:eastAsia="Palatino Linotype"/>
          <w:sz w:val="22"/>
          <w:szCs w:val="22"/>
          <w:lang w:val="es-ES"/>
        </w:rPr>
        <w:t>determined</w:t>
      </w:r>
      <w:proofErr w:type="spellEnd"/>
      <w:r>
        <w:rPr>
          <w:rFonts w:eastAsia="Palatino Linotype"/>
          <w:sz w:val="22"/>
          <w:szCs w:val="22"/>
          <w:lang w:val="es-ES"/>
        </w:rPr>
        <w:t xml:space="preserve"> </w:t>
      </w:r>
      <w:proofErr w:type="spellStart"/>
      <w:r>
        <w:rPr>
          <w:rFonts w:eastAsia="Palatino Linotype"/>
          <w:sz w:val="22"/>
          <w:szCs w:val="22"/>
          <w:lang w:val="es-ES"/>
        </w:rPr>
        <w:t>by</w:t>
      </w:r>
      <w:proofErr w:type="spellEnd"/>
      <w:r>
        <w:rPr>
          <w:rFonts w:eastAsia="Palatino Linotype"/>
          <w:sz w:val="22"/>
          <w:szCs w:val="22"/>
          <w:lang w:val="es-ES"/>
        </w:rPr>
        <w:t xml:space="preserve"> </w:t>
      </w:r>
      <w:proofErr w:type="spellStart"/>
      <w:r>
        <w:rPr>
          <w:rFonts w:eastAsia="Palatino Linotype"/>
          <w:sz w:val="22"/>
          <w:szCs w:val="22"/>
          <w:lang w:val="es-ES"/>
        </w:rPr>
        <w:t>the</w:t>
      </w:r>
      <w:proofErr w:type="spellEnd"/>
      <w:r>
        <w:rPr>
          <w:rFonts w:eastAsia="Palatino Linotype"/>
          <w:sz w:val="22"/>
          <w:szCs w:val="22"/>
          <w:lang w:val="es-ES"/>
        </w:rPr>
        <w:t xml:space="preserve"> </w:t>
      </w:r>
      <w:proofErr w:type="spellStart"/>
      <w:r>
        <w:rPr>
          <w:rFonts w:eastAsia="Palatino Linotype"/>
          <w:sz w:val="22"/>
          <w:szCs w:val="22"/>
          <w:lang w:val="es-ES"/>
        </w:rPr>
        <w:t>administration</w:t>
      </w:r>
      <w:proofErr w:type="spellEnd"/>
      <w:r>
        <w:rPr>
          <w:rFonts w:eastAsia="Palatino Linotype"/>
          <w:sz w:val="22"/>
          <w:szCs w:val="22"/>
          <w:lang w:val="es-ES"/>
        </w:rPr>
        <w:t xml:space="preserve">, </w:t>
      </w:r>
      <w:proofErr w:type="spellStart"/>
      <w:r>
        <w:rPr>
          <w:rFonts w:eastAsia="Palatino Linotype"/>
          <w:sz w:val="22"/>
          <w:szCs w:val="22"/>
          <w:lang w:val="es-ES"/>
        </w:rPr>
        <w:t>to</w:t>
      </w:r>
      <w:proofErr w:type="spellEnd"/>
      <w:r>
        <w:rPr>
          <w:rFonts w:eastAsia="Palatino Linotype"/>
          <w:sz w:val="22"/>
          <w:szCs w:val="22"/>
          <w:lang w:val="es-ES"/>
        </w:rPr>
        <w:t xml:space="preserve"> </w:t>
      </w:r>
      <w:proofErr w:type="spellStart"/>
      <w:r>
        <w:rPr>
          <w:rFonts w:eastAsia="Palatino Linotype"/>
          <w:sz w:val="22"/>
          <w:szCs w:val="22"/>
          <w:lang w:val="es-ES"/>
        </w:rPr>
        <w:t>submit</w:t>
      </w:r>
      <w:proofErr w:type="spellEnd"/>
      <w:r>
        <w:rPr>
          <w:rFonts w:eastAsia="Palatino Linotype"/>
          <w:sz w:val="22"/>
          <w:szCs w:val="22"/>
          <w:lang w:val="es-ES"/>
        </w:rPr>
        <w:t xml:space="preserve"> </w:t>
      </w:r>
      <w:proofErr w:type="spellStart"/>
      <w:r>
        <w:rPr>
          <w:rFonts w:eastAsia="Palatino Linotype"/>
          <w:sz w:val="22"/>
          <w:szCs w:val="22"/>
          <w:lang w:val="es-ES"/>
        </w:rPr>
        <w:t>all</w:t>
      </w:r>
      <w:proofErr w:type="spellEnd"/>
      <w:r>
        <w:rPr>
          <w:rFonts w:eastAsia="Palatino Linotype"/>
          <w:sz w:val="22"/>
          <w:szCs w:val="22"/>
          <w:lang w:val="es-ES"/>
        </w:rPr>
        <w:t xml:space="preserve"> </w:t>
      </w:r>
      <w:proofErr w:type="spellStart"/>
      <w:r>
        <w:rPr>
          <w:rFonts w:eastAsia="Palatino Linotype"/>
          <w:sz w:val="22"/>
          <w:szCs w:val="22"/>
          <w:lang w:val="es-ES"/>
        </w:rPr>
        <w:t>the</w:t>
      </w:r>
      <w:proofErr w:type="spellEnd"/>
      <w:r>
        <w:rPr>
          <w:rFonts w:eastAsia="Palatino Linotype"/>
          <w:sz w:val="22"/>
          <w:szCs w:val="22"/>
          <w:lang w:val="es-ES"/>
        </w:rPr>
        <w:t xml:space="preserve"> formal </w:t>
      </w:r>
      <w:proofErr w:type="spellStart"/>
      <w:r>
        <w:rPr>
          <w:rFonts w:eastAsia="Palatino Linotype"/>
          <w:sz w:val="22"/>
          <w:szCs w:val="22"/>
          <w:lang w:val="es-ES"/>
        </w:rPr>
        <w:t>requirements</w:t>
      </w:r>
      <w:proofErr w:type="spellEnd"/>
      <w:r>
        <w:rPr>
          <w:rFonts w:eastAsia="Palatino Linotype"/>
          <w:sz w:val="22"/>
          <w:szCs w:val="22"/>
          <w:lang w:val="es-ES"/>
        </w:rPr>
        <w:t xml:space="preserve"> </w:t>
      </w:r>
      <w:proofErr w:type="spellStart"/>
      <w:r>
        <w:rPr>
          <w:rFonts w:eastAsia="Palatino Linotype"/>
          <w:sz w:val="22"/>
          <w:szCs w:val="22"/>
          <w:lang w:val="es-ES"/>
        </w:rPr>
        <w:t>that</w:t>
      </w:r>
      <w:proofErr w:type="spellEnd"/>
      <w:r>
        <w:rPr>
          <w:rFonts w:eastAsia="Palatino Linotype"/>
          <w:sz w:val="22"/>
          <w:szCs w:val="22"/>
          <w:lang w:val="es-ES"/>
        </w:rPr>
        <w:t xml:space="preserve"> </w:t>
      </w:r>
      <w:proofErr w:type="spellStart"/>
      <w:r>
        <w:rPr>
          <w:rFonts w:eastAsia="Palatino Linotype"/>
          <w:sz w:val="22"/>
          <w:szCs w:val="22"/>
          <w:lang w:val="es-ES"/>
        </w:rPr>
        <w:t>correspond</w:t>
      </w:r>
      <w:proofErr w:type="spellEnd"/>
      <w:r>
        <w:rPr>
          <w:rFonts w:eastAsia="Palatino Linotype"/>
          <w:sz w:val="22"/>
          <w:szCs w:val="22"/>
          <w:lang w:val="es-ES"/>
        </w:rPr>
        <w:t xml:space="preserve"> </w:t>
      </w:r>
      <w:proofErr w:type="spellStart"/>
      <w:r>
        <w:rPr>
          <w:rFonts w:eastAsia="Palatino Linotype"/>
          <w:sz w:val="22"/>
          <w:szCs w:val="22"/>
          <w:lang w:val="es-ES"/>
        </w:rPr>
        <w:t>to</w:t>
      </w:r>
      <w:proofErr w:type="spellEnd"/>
      <w:r>
        <w:rPr>
          <w:rFonts w:eastAsia="Palatino Linotype"/>
          <w:sz w:val="22"/>
          <w:szCs w:val="22"/>
          <w:lang w:val="es-ES"/>
        </w:rPr>
        <w:t xml:space="preserve"> </w:t>
      </w:r>
      <w:proofErr w:type="spellStart"/>
      <w:r>
        <w:rPr>
          <w:rFonts w:eastAsia="Palatino Linotype"/>
          <w:sz w:val="22"/>
          <w:szCs w:val="22"/>
          <w:lang w:val="es-ES"/>
        </w:rPr>
        <w:t>prove</w:t>
      </w:r>
      <w:proofErr w:type="spellEnd"/>
      <w:r>
        <w:rPr>
          <w:rFonts w:eastAsia="Palatino Linotype"/>
          <w:sz w:val="22"/>
          <w:szCs w:val="22"/>
          <w:lang w:val="es-ES"/>
        </w:rPr>
        <w:t xml:space="preserve"> </w:t>
      </w:r>
      <w:proofErr w:type="spellStart"/>
      <w:r>
        <w:rPr>
          <w:rFonts w:eastAsia="Palatino Linotype"/>
          <w:sz w:val="22"/>
          <w:szCs w:val="22"/>
          <w:lang w:val="es-ES"/>
        </w:rPr>
        <w:t>that</w:t>
      </w:r>
      <w:proofErr w:type="spellEnd"/>
      <w:r>
        <w:rPr>
          <w:rFonts w:eastAsia="Palatino Linotype"/>
          <w:sz w:val="22"/>
          <w:szCs w:val="22"/>
          <w:lang w:val="es-ES"/>
        </w:rPr>
        <w:t xml:space="preserve"> </w:t>
      </w:r>
      <w:proofErr w:type="spellStart"/>
      <w:r>
        <w:rPr>
          <w:rFonts w:eastAsia="Palatino Linotype"/>
          <w:sz w:val="22"/>
          <w:szCs w:val="22"/>
          <w:lang w:val="es-ES"/>
        </w:rPr>
        <w:t>it</w:t>
      </w:r>
      <w:proofErr w:type="spellEnd"/>
      <w:r>
        <w:rPr>
          <w:rFonts w:eastAsia="Palatino Linotype"/>
          <w:sz w:val="22"/>
          <w:szCs w:val="22"/>
          <w:lang w:val="es-ES"/>
        </w:rPr>
        <w:t xml:space="preserve"> </w:t>
      </w:r>
      <w:proofErr w:type="spellStart"/>
      <w:r>
        <w:rPr>
          <w:rFonts w:eastAsia="Palatino Linotype"/>
          <w:sz w:val="22"/>
          <w:szCs w:val="22"/>
          <w:lang w:val="es-ES"/>
        </w:rPr>
        <w:t>is</w:t>
      </w:r>
      <w:proofErr w:type="spellEnd"/>
      <w:r>
        <w:rPr>
          <w:rFonts w:eastAsia="Palatino Linotype"/>
          <w:sz w:val="22"/>
          <w:szCs w:val="22"/>
          <w:lang w:val="es-ES"/>
        </w:rPr>
        <w:t xml:space="preserve"> in a position </w:t>
      </w:r>
      <w:proofErr w:type="spellStart"/>
      <w:r>
        <w:rPr>
          <w:rFonts w:eastAsia="Palatino Linotype"/>
          <w:sz w:val="22"/>
          <w:szCs w:val="22"/>
          <w:lang w:val="es-ES"/>
        </w:rPr>
        <w:t>to</w:t>
      </w:r>
      <w:proofErr w:type="spellEnd"/>
      <w:r>
        <w:rPr>
          <w:rFonts w:eastAsia="Palatino Linotype"/>
          <w:sz w:val="22"/>
          <w:szCs w:val="22"/>
          <w:lang w:val="es-ES"/>
        </w:rPr>
        <w:t xml:space="preserve"> </w:t>
      </w:r>
      <w:proofErr w:type="spellStart"/>
      <w:r>
        <w:rPr>
          <w:rFonts w:eastAsia="Palatino Linotype"/>
          <w:sz w:val="22"/>
          <w:szCs w:val="22"/>
          <w:lang w:val="es-ES"/>
        </w:rPr>
        <w:t>contract</w:t>
      </w:r>
      <w:proofErr w:type="spellEnd"/>
      <w:r>
        <w:rPr>
          <w:rFonts w:eastAsia="Palatino Linotype"/>
          <w:sz w:val="22"/>
          <w:szCs w:val="22"/>
          <w:lang w:val="es-ES"/>
        </w:rPr>
        <w:t xml:space="preserve"> </w:t>
      </w:r>
      <w:proofErr w:type="spellStart"/>
      <w:r>
        <w:rPr>
          <w:rFonts w:eastAsia="Palatino Linotype"/>
          <w:sz w:val="22"/>
          <w:szCs w:val="22"/>
          <w:lang w:val="es-ES"/>
        </w:rPr>
        <w:t>with</w:t>
      </w:r>
      <w:proofErr w:type="spellEnd"/>
      <w:r>
        <w:rPr>
          <w:rFonts w:eastAsia="Palatino Linotype"/>
          <w:sz w:val="22"/>
          <w:szCs w:val="22"/>
          <w:lang w:val="es-ES"/>
        </w:rPr>
        <w:t xml:space="preserve"> </w:t>
      </w:r>
      <w:proofErr w:type="spellStart"/>
      <w:r>
        <w:rPr>
          <w:rFonts w:eastAsia="Palatino Linotype"/>
          <w:sz w:val="22"/>
          <w:szCs w:val="22"/>
          <w:lang w:val="es-ES"/>
        </w:rPr>
        <w:t>the</w:t>
      </w:r>
      <w:proofErr w:type="spellEnd"/>
      <w:r>
        <w:rPr>
          <w:rFonts w:eastAsia="Palatino Linotype"/>
          <w:sz w:val="22"/>
          <w:szCs w:val="22"/>
          <w:lang w:val="es-ES"/>
        </w:rPr>
        <w:t xml:space="preserve"> State.</w:t>
      </w:r>
    </w:p>
    <w:p w14:paraId="72DA3A74" w14:textId="77777777" w:rsidR="00E255F4" w:rsidRDefault="00E255F4">
      <w:pPr>
        <w:ind w:right="-142"/>
        <w:jc w:val="both"/>
        <w:rPr>
          <w:rFonts w:eastAsia="Palatino Linotype"/>
          <w:spacing w:val="-1"/>
          <w:sz w:val="22"/>
          <w:szCs w:val="22"/>
          <w:lang w:val="es-ES"/>
        </w:rPr>
      </w:pPr>
    </w:p>
    <w:p w14:paraId="390158FF" w14:textId="77777777" w:rsidR="00E255F4" w:rsidRDefault="00000000">
      <w:pPr>
        <w:ind w:right="-142"/>
        <w:jc w:val="both"/>
        <w:rPr>
          <w:rFonts w:eastAsia="Palatino Linotype"/>
          <w:sz w:val="22"/>
          <w:szCs w:val="22"/>
          <w:lang w:val="es-ES"/>
        </w:rPr>
      </w:pPr>
      <w:proofErr w:type="spellStart"/>
      <w:r>
        <w:rPr>
          <w:rFonts w:eastAsia="Palatino Linotype"/>
          <w:spacing w:val="-1"/>
          <w:sz w:val="22"/>
          <w:szCs w:val="22"/>
          <w:lang w:val="es-ES"/>
        </w:rPr>
        <w:t>AND</w:t>
      </w:r>
      <w:r>
        <w:rPr>
          <w:rFonts w:eastAsia="Palatino Linotype"/>
          <w:sz w:val="22"/>
          <w:szCs w:val="22"/>
          <w:lang w:val="es-ES"/>
        </w:rPr>
        <w:t>Under</w:t>
      </w:r>
      <w:proofErr w:type="spellEnd"/>
      <w:r>
        <w:rPr>
          <w:rFonts w:eastAsia="Palatino Linotype"/>
          <w:sz w:val="22"/>
          <w:szCs w:val="22"/>
          <w:lang w:val="es-ES"/>
        </w:rPr>
        <w:t xml:space="preserve"> no </w:t>
      </w:r>
      <w:proofErr w:type="spellStart"/>
      <w:r>
        <w:rPr>
          <w:rFonts w:eastAsia="Palatino Linotype"/>
          <w:sz w:val="22"/>
          <w:szCs w:val="22"/>
          <w:lang w:val="es-ES"/>
        </w:rPr>
        <w:t>circumstances</w:t>
      </w:r>
      <w:proofErr w:type="spellEnd"/>
      <w:r>
        <w:rPr>
          <w:rFonts w:eastAsia="Palatino Linotype"/>
          <w:sz w:val="22"/>
          <w:szCs w:val="22"/>
          <w:lang w:val="es-ES"/>
        </w:rPr>
        <w:t xml:space="preserve"> </w:t>
      </w:r>
      <w:proofErr w:type="spellStart"/>
      <w:r>
        <w:rPr>
          <w:rFonts w:eastAsia="Palatino Linotype"/>
          <w:sz w:val="22"/>
          <w:szCs w:val="22"/>
          <w:lang w:val="es-ES"/>
        </w:rPr>
        <w:t>may</w:t>
      </w:r>
      <w:proofErr w:type="spellEnd"/>
      <w:r>
        <w:rPr>
          <w:rFonts w:eastAsia="Palatino Linotype"/>
          <w:sz w:val="22"/>
          <w:szCs w:val="22"/>
          <w:lang w:val="es-ES"/>
        </w:rPr>
        <w:t xml:space="preserve"> </w:t>
      </w:r>
      <w:proofErr w:type="spellStart"/>
      <w:r>
        <w:rPr>
          <w:rFonts w:eastAsia="Palatino Linotype"/>
          <w:sz w:val="22"/>
          <w:szCs w:val="22"/>
          <w:lang w:val="es-ES"/>
        </w:rPr>
        <w:t>documentation</w:t>
      </w:r>
      <w:proofErr w:type="spellEnd"/>
      <w:r>
        <w:rPr>
          <w:rFonts w:eastAsia="Palatino Linotype"/>
          <w:sz w:val="22"/>
          <w:szCs w:val="22"/>
          <w:lang w:val="es-ES"/>
        </w:rPr>
        <w:t xml:space="preserve"> be </w:t>
      </w:r>
      <w:proofErr w:type="spellStart"/>
      <w:r>
        <w:rPr>
          <w:rFonts w:eastAsia="Palatino Linotype"/>
          <w:sz w:val="22"/>
          <w:szCs w:val="22"/>
          <w:lang w:val="es-ES"/>
        </w:rPr>
        <w:t>requested</w:t>
      </w:r>
      <w:proofErr w:type="spellEnd"/>
      <w:r>
        <w:rPr>
          <w:rFonts w:eastAsia="Palatino Linotype"/>
          <w:sz w:val="22"/>
          <w:szCs w:val="22"/>
          <w:lang w:val="es-ES"/>
        </w:rPr>
        <w:t xml:space="preserve"> </w:t>
      </w:r>
      <w:proofErr w:type="spellStart"/>
      <w:r>
        <w:rPr>
          <w:rFonts w:eastAsia="Palatino Linotype"/>
          <w:sz w:val="22"/>
          <w:szCs w:val="22"/>
          <w:lang w:val="es-ES"/>
        </w:rPr>
        <w:t>that</w:t>
      </w:r>
      <w:proofErr w:type="spellEnd"/>
      <w:r>
        <w:rPr>
          <w:rFonts w:eastAsia="Palatino Linotype"/>
          <w:sz w:val="22"/>
          <w:szCs w:val="22"/>
          <w:lang w:val="es-ES"/>
        </w:rPr>
        <w:t xml:space="preserve"> can be </w:t>
      </w:r>
      <w:proofErr w:type="spellStart"/>
      <w:r>
        <w:rPr>
          <w:rFonts w:eastAsia="Palatino Linotype"/>
          <w:sz w:val="22"/>
          <w:szCs w:val="22"/>
          <w:lang w:val="es-ES"/>
        </w:rPr>
        <w:t>accessed</w:t>
      </w:r>
      <w:proofErr w:type="spellEnd"/>
      <w:r>
        <w:rPr>
          <w:rFonts w:eastAsia="Palatino Linotype"/>
          <w:sz w:val="22"/>
          <w:szCs w:val="22"/>
          <w:lang w:val="es-ES"/>
        </w:rPr>
        <w:t xml:space="preserve"> </w:t>
      </w:r>
      <w:proofErr w:type="spellStart"/>
      <w:r>
        <w:rPr>
          <w:rFonts w:eastAsia="Palatino Linotype"/>
          <w:sz w:val="22"/>
          <w:szCs w:val="22"/>
          <w:lang w:val="es-ES"/>
        </w:rPr>
        <w:t>through</w:t>
      </w:r>
      <w:proofErr w:type="spellEnd"/>
      <w:r>
        <w:rPr>
          <w:rFonts w:eastAsia="Palatino Linotype"/>
          <w:sz w:val="22"/>
          <w:szCs w:val="22"/>
          <w:lang w:val="es-ES"/>
        </w:rPr>
        <w:t xml:space="preserve"> </w:t>
      </w:r>
      <w:proofErr w:type="spellStart"/>
      <w:r>
        <w:rPr>
          <w:rFonts w:eastAsia="Palatino Linotype"/>
          <w:sz w:val="22"/>
          <w:szCs w:val="22"/>
          <w:lang w:val="es-ES"/>
        </w:rPr>
        <w:t>the</w:t>
      </w:r>
      <w:proofErr w:type="spellEnd"/>
      <w:r>
        <w:rPr>
          <w:rFonts w:eastAsia="Palatino Linotype"/>
          <w:sz w:val="22"/>
          <w:szCs w:val="22"/>
          <w:lang w:val="es-ES"/>
        </w:rPr>
        <w:t xml:space="preserve"> RUPE </w:t>
      </w:r>
      <w:proofErr w:type="spellStart"/>
      <w:r>
        <w:rPr>
          <w:rFonts w:eastAsia="Palatino Linotype"/>
          <w:sz w:val="22"/>
          <w:szCs w:val="22"/>
          <w:lang w:val="es-ES"/>
        </w:rPr>
        <w:t>or</w:t>
      </w:r>
      <w:proofErr w:type="spellEnd"/>
      <w:r>
        <w:rPr>
          <w:rFonts w:eastAsia="Palatino Linotype"/>
          <w:sz w:val="22"/>
          <w:szCs w:val="22"/>
          <w:lang w:val="es-ES"/>
        </w:rPr>
        <w:t xml:space="preserve"> </w:t>
      </w:r>
      <w:proofErr w:type="spellStart"/>
      <w:r>
        <w:rPr>
          <w:rFonts w:eastAsia="Palatino Linotype"/>
          <w:sz w:val="22"/>
          <w:szCs w:val="22"/>
          <w:lang w:val="es-ES"/>
        </w:rPr>
        <w:t>any</w:t>
      </w:r>
      <w:proofErr w:type="spellEnd"/>
      <w:r>
        <w:rPr>
          <w:rFonts w:eastAsia="Palatino Linotype"/>
          <w:sz w:val="22"/>
          <w:szCs w:val="22"/>
          <w:lang w:val="es-ES"/>
        </w:rPr>
        <w:t xml:space="preserve"> </w:t>
      </w:r>
      <w:proofErr w:type="spellStart"/>
      <w:r>
        <w:rPr>
          <w:rFonts w:eastAsia="Palatino Linotype"/>
          <w:sz w:val="22"/>
          <w:szCs w:val="22"/>
          <w:lang w:val="es-ES"/>
        </w:rPr>
        <w:t>other</w:t>
      </w:r>
      <w:proofErr w:type="spellEnd"/>
      <w:r>
        <w:rPr>
          <w:rFonts w:eastAsia="Palatino Linotype"/>
          <w:sz w:val="22"/>
          <w:szCs w:val="22"/>
          <w:lang w:val="es-ES"/>
        </w:rPr>
        <w:t xml:space="preserve"> </w:t>
      </w:r>
      <w:proofErr w:type="spellStart"/>
      <w:r>
        <w:rPr>
          <w:rFonts w:eastAsia="Palatino Linotype"/>
          <w:sz w:val="22"/>
          <w:szCs w:val="22"/>
          <w:lang w:val="es-ES"/>
        </w:rPr>
        <w:t>freely</w:t>
      </w:r>
      <w:proofErr w:type="spellEnd"/>
      <w:r>
        <w:rPr>
          <w:rFonts w:eastAsia="Palatino Linotype"/>
          <w:sz w:val="22"/>
          <w:szCs w:val="22"/>
          <w:lang w:val="es-ES"/>
        </w:rPr>
        <w:t xml:space="preserve"> </w:t>
      </w:r>
      <w:proofErr w:type="spellStart"/>
      <w:r>
        <w:rPr>
          <w:rFonts w:eastAsia="Palatino Linotype"/>
          <w:sz w:val="22"/>
          <w:szCs w:val="22"/>
          <w:lang w:val="es-ES"/>
        </w:rPr>
        <w:t>accessible</w:t>
      </w:r>
      <w:proofErr w:type="spellEnd"/>
      <w:r>
        <w:rPr>
          <w:rFonts w:eastAsia="Palatino Linotype"/>
          <w:sz w:val="22"/>
          <w:szCs w:val="22"/>
          <w:lang w:val="es-ES"/>
        </w:rPr>
        <w:t xml:space="preserve"> </w:t>
      </w:r>
      <w:proofErr w:type="spellStart"/>
      <w:r>
        <w:rPr>
          <w:rFonts w:eastAsia="Palatino Linotype"/>
          <w:sz w:val="22"/>
          <w:szCs w:val="22"/>
          <w:lang w:val="es-ES"/>
        </w:rPr>
        <w:t>information</w:t>
      </w:r>
      <w:proofErr w:type="spellEnd"/>
      <w:r>
        <w:rPr>
          <w:rFonts w:eastAsia="Palatino Linotype"/>
          <w:sz w:val="22"/>
          <w:szCs w:val="22"/>
          <w:lang w:val="es-ES"/>
        </w:rPr>
        <w:t xml:space="preserve"> </w:t>
      </w:r>
      <w:proofErr w:type="spellStart"/>
      <w:r>
        <w:rPr>
          <w:rFonts w:eastAsia="Palatino Linotype"/>
          <w:sz w:val="22"/>
          <w:szCs w:val="22"/>
          <w:lang w:val="es-ES"/>
        </w:rPr>
        <w:t>system</w:t>
      </w:r>
      <w:proofErr w:type="spellEnd"/>
      <w:r>
        <w:rPr>
          <w:rFonts w:eastAsia="Palatino Linotype"/>
          <w:sz w:val="22"/>
          <w:szCs w:val="22"/>
          <w:lang w:val="es-ES"/>
        </w:rPr>
        <w:t>.</w:t>
      </w:r>
    </w:p>
    <w:p w14:paraId="03BFF500" w14:textId="77777777" w:rsidR="00E255F4" w:rsidRDefault="00E255F4">
      <w:pPr>
        <w:ind w:right="-142"/>
        <w:jc w:val="both"/>
        <w:rPr>
          <w:rFonts w:eastAsia="Palatino Linotype"/>
          <w:sz w:val="22"/>
          <w:szCs w:val="22"/>
          <w:lang w:val="es-ES"/>
        </w:rPr>
      </w:pPr>
    </w:p>
    <w:p w14:paraId="7626A39D" w14:textId="77777777" w:rsidR="00E255F4" w:rsidRDefault="00000000">
      <w:pPr>
        <w:spacing w:after="240"/>
        <w:ind w:right="-142"/>
        <w:jc w:val="both"/>
        <w:outlineLvl w:val="0"/>
        <w:rPr>
          <w:rFonts w:eastAsia="Palatino Linotype"/>
          <w:b/>
          <w:spacing w:val="-1"/>
          <w:sz w:val="22"/>
          <w:szCs w:val="22"/>
          <w:lang w:val="es-ES"/>
        </w:rPr>
      </w:pPr>
      <w:bookmarkStart w:id="48" w:name="__RefHeading___Toc225377225"/>
      <w:bookmarkEnd w:id="48"/>
      <w:r>
        <w:rPr>
          <w:rFonts w:eastAsia="Palatino Linotype"/>
          <w:b/>
          <w:spacing w:val="-1"/>
          <w:sz w:val="22"/>
          <w:szCs w:val="22"/>
          <w:lang w:val="es-ES"/>
        </w:rPr>
        <w:t xml:space="preserve">15 </w:t>
      </w:r>
      <w:proofErr w:type="spellStart"/>
      <w:r>
        <w:rPr>
          <w:rFonts w:eastAsia="Palatino Linotype"/>
          <w:b/>
          <w:spacing w:val="-1"/>
          <w:sz w:val="22"/>
          <w:szCs w:val="22"/>
          <w:lang w:val="es-ES"/>
        </w:rPr>
        <w:t>Contract</w:t>
      </w:r>
      <w:proofErr w:type="spellEnd"/>
      <w:r>
        <w:rPr>
          <w:rFonts w:eastAsia="Palatino Linotype"/>
          <w:b/>
          <w:spacing w:val="-1"/>
          <w:sz w:val="22"/>
          <w:szCs w:val="22"/>
          <w:lang w:val="es-ES"/>
        </w:rPr>
        <w:t xml:space="preserve"> </w:t>
      </w:r>
      <w:proofErr w:type="spellStart"/>
      <w:r>
        <w:rPr>
          <w:rFonts w:eastAsia="Palatino Linotype"/>
          <w:b/>
          <w:spacing w:val="-1"/>
          <w:sz w:val="22"/>
          <w:szCs w:val="22"/>
          <w:lang w:val="es-ES"/>
        </w:rPr>
        <w:t>increase</w:t>
      </w:r>
      <w:proofErr w:type="spellEnd"/>
      <w:r>
        <w:rPr>
          <w:rFonts w:eastAsia="Palatino Linotype"/>
          <w:b/>
          <w:spacing w:val="-1"/>
          <w:sz w:val="22"/>
          <w:szCs w:val="22"/>
          <w:lang w:val="es-ES"/>
        </w:rPr>
        <w:t xml:space="preserve"> </w:t>
      </w:r>
      <w:proofErr w:type="spellStart"/>
      <w:r>
        <w:rPr>
          <w:rFonts w:eastAsia="Palatino Linotype"/>
          <w:b/>
          <w:spacing w:val="-1"/>
          <w:sz w:val="22"/>
          <w:szCs w:val="22"/>
          <w:lang w:val="es-ES"/>
        </w:rPr>
        <w:t>or</w:t>
      </w:r>
      <w:proofErr w:type="spellEnd"/>
      <w:r>
        <w:rPr>
          <w:rFonts w:eastAsia="Palatino Linotype"/>
          <w:b/>
          <w:spacing w:val="-1"/>
          <w:sz w:val="22"/>
          <w:szCs w:val="22"/>
          <w:lang w:val="es-ES"/>
        </w:rPr>
        <w:t xml:space="preserve"> </w:t>
      </w:r>
      <w:proofErr w:type="spellStart"/>
      <w:r>
        <w:rPr>
          <w:rFonts w:eastAsia="Palatino Linotype"/>
          <w:b/>
          <w:spacing w:val="-1"/>
          <w:sz w:val="22"/>
          <w:szCs w:val="22"/>
          <w:lang w:val="es-ES"/>
        </w:rPr>
        <w:t>decrease</w:t>
      </w:r>
      <w:proofErr w:type="spellEnd"/>
      <w:r>
        <w:rPr>
          <w:rFonts w:eastAsia="Palatino Linotype"/>
          <w:b/>
          <w:spacing w:val="-1"/>
          <w:sz w:val="22"/>
          <w:szCs w:val="22"/>
          <w:lang w:val="es-ES"/>
        </w:rPr>
        <w:tab/>
      </w:r>
    </w:p>
    <w:p w14:paraId="435FBB17" w14:textId="77777777" w:rsidR="00E255F4" w:rsidRDefault="00E255F4">
      <w:pPr>
        <w:ind w:right="-142"/>
        <w:jc w:val="both"/>
        <w:rPr>
          <w:rFonts w:eastAsia="Palatino Linotype"/>
          <w:b/>
          <w:spacing w:val="-1"/>
          <w:sz w:val="22"/>
          <w:szCs w:val="22"/>
          <w:lang w:val="es-ES"/>
        </w:rPr>
      </w:pPr>
    </w:p>
    <w:p w14:paraId="4A994157" w14:textId="77777777" w:rsidR="00E255F4" w:rsidRDefault="00000000">
      <w:pPr>
        <w:ind w:right="-142"/>
        <w:jc w:val="both"/>
        <w:rPr>
          <w:rFonts w:eastAsia="Palatino Linotype"/>
          <w:sz w:val="22"/>
          <w:szCs w:val="22"/>
          <w:lang w:val="es-ES"/>
        </w:rPr>
      </w:pPr>
      <w:proofErr w:type="spellStart"/>
      <w:r>
        <w:rPr>
          <w:rFonts w:eastAsia="Palatino Linotype"/>
          <w:spacing w:val="-1"/>
          <w:sz w:val="22"/>
          <w:szCs w:val="22"/>
          <w:lang w:val="es-ES"/>
        </w:rPr>
        <w:t>L</w:t>
      </w:r>
      <w:r>
        <w:rPr>
          <w:rFonts w:eastAsia="Palatino Linotype"/>
          <w:sz w:val="22"/>
          <w:szCs w:val="22"/>
          <w:lang w:val="es-ES"/>
        </w:rPr>
        <w:t>The</w:t>
      </w:r>
      <w:proofErr w:type="spellEnd"/>
      <w:r>
        <w:rPr>
          <w:rFonts w:eastAsia="Palatino Linotype"/>
          <w:sz w:val="22"/>
          <w:szCs w:val="22"/>
          <w:lang w:val="es-ES"/>
        </w:rPr>
        <w:t xml:space="preserve"> </w:t>
      </w:r>
      <w:proofErr w:type="spellStart"/>
      <w:r>
        <w:rPr>
          <w:rFonts w:eastAsia="Palatino Linotype"/>
          <w:sz w:val="22"/>
          <w:szCs w:val="22"/>
          <w:lang w:val="es-ES"/>
        </w:rPr>
        <w:t>Administration</w:t>
      </w:r>
      <w:proofErr w:type="spellEnd"/>
      <w:r>
        <w:rPr>
          <w:rFonts w:eastAsia="Palatino Linotype"/>
          <w:sz w:val="22"/>
          <w:szCs w:val="22"/>
          <w:lang w:val="es-ES"/>
        </w:rPr>
        <w:t xml:space="preserve"> reserves </w:t>
      </w:r>
      <w:proofErr w:type="spellStart"/>
      <w:r>
        <w:rPr>
          <w:rFonts w:eastAsia="Palatino Linotype"/>
          <w:sz w:val="22"/>
          <w:szCs w:val="22"/>
          <w:lang w:val="es-ES"/>
        </w:rPr>
        <w:t>the</w:t>
      </w:r>
      <w:proofErr w:type="spellEnd"/>
      <w:r>
        <w:rPr>
          <w:rFonts w:eastAsia="Palatino Linotype"/>
          <w:sz w:val="22"/>
          <w:szCs w:val="22"/>
          <w:lang w:val="es-ES"/>
        </w:rPr>
        <w:t xml:space="preserve"> </w:t>
      </w:r>
      <w:proofErr w:type="spellStart"/>
      <w:r>
        <w:rPr>
          <w:rFonts w:eastAsia="Palatino Linotype"/>
          <w:sz w:val="22"/>
          <w:szCs w:val="22"/>
          <w:lang w:val="es-ES"/>
        </w:rPr>
        <w:t>right</w:t>
      </w:r>
      <w:proofErr w:type="spellEnd"/>
      <w:r>
        <w:rPr>
          <w:rFonts w:eastAsia="Palatino Linotype"/>
          <w:sz w:val="22"/>
          <w:szCs w:val="22"/>
          <w:lang w:val="es-ES"/>
        </w:rPr>
        <w:t xml:space="preserve"> </w:t>
      </w:r>
      <w:proofErr w:type="spellStart"/>
      <w:r>
        <w:rPr>
          <w:rFonts w:eastAsia="Palatino Linotype"/>
          <w:sz w:val="22"/>
          <w:szCs w:val="22"/>
          <w:lang w:val="es-ES"/>
        </w:rPr>
        <w:t>to</w:t>
      </w:r>
      <w:proofErr w:type="spellEnd"/>
      <w:r>
        <w:rPr>
          <w:rFonts w:eastAsia="Palatino Linotype"/>
          <w:sz w:val="22"/>
          <w:szCs w:val="22"/>
          <w:lang w:val="es-ES"/>
        </w:rPr>
        <w:t xml:space="preserve"> </w:t>
      </w:r>
      <w:proofErr w:type="spellStart"/>
      <w:r>
        <w:rPr>
          <w:rFonts w:eastAsia="Palatino Linotype"/>
          <w:sz w:val="22"/>
          <w:szCs w:val="22"/>
          <w:lang w:val="es-ES"/>
        </w:rPr>
        <w:t>unilaterally</w:t>
      </w:r>
      <w:proofErr w:type="spellEnd"/>
      <w:r>
        <w:rPr>
          <w:rFonts w:eastAsia="Palatino Linotype"/>
          <w:sz w:val="22"/>
          <w:szCs w:val="22"/>
          <w:lang w:val="es-ES"/>
        </w:rPr>
        <w:t xml:space="preserve"> </w:t>
      </w:r>
      <w:proofErr w:type="spellStart"/>
      <w:r>
        <w:rPr>
          <w:rFonts w:eastAsia="Palatino Linotype"/>
          <w:sz w:val="22"/>
          <w:szCs w:val="22"/>
          <w:lang w:val="es-ES"/>
        </w:rPr>
        <w:t>increase</w:t>
      </w:r>
      <w:proofErr w:type="spellEnd"/>
      <w:r>
        <w:rPr>
          <w:rFonts w:eastAsia="Palatino Linotype"/>
          <w:sz w:val="22"/>
          <w:szCs w:val="22"/>
          <w:lang w:val="es-ES"/>
        </w:rPr>
        <w:t xml:space="preserve"> </w:t>
      </w:r>
      <w:proofErr w:type="spellStart"/>
      <w:r>
        <w:rPr>
          <w:rFonts w:eastAsia="Palatino Linotype"/>
          <w:sz w:val="22"/>
          <w:szCs w:val="22"/>
          <w:lang w:val="es-ES"/>
        </w:rPr>
        <w:t>or</w:t>
      </w:r>
      <w:proofErr w:type="spellEnd"/>
      <w:r>
        <w:rPr>
          <w:rFonts w:eastAsia="Palatino Linotype"/>
          <w:sz w:val="22"/>
          <w:szCs w:val="22"/>
          <w:lang w:val="es-ES"/>
        </w:rPr>
        <w:t xml:space="preserve"> </w:t>
      </w:r>
      <w:proofErr w:type="spellStart"/>
      <w:r>
        <w:rPr>
          <w:rFonts w:eastAsia="Palatino Linotype"/>
          <w:sz w:val="22"/>
          <w:szCs w:val="22"/>
          <w:lang w:val="es-ES"/>
        </w:rPr>
        <w:t>decrease</w:t>
      </w:r>
      <w:proofErr w:type="spellEnd"/>
      <w:r>
        <w:rPr>
          <w:rFonts w:eastAsia="Palatino Linotype"/>
          <w:sz w:val="22"/>
          <w:szCs w:val="22"/>
          <w:lang w:val="es-ES"/>
        </w:rPr>
        <w:t xml:space="preserve"> </w:t>
      </w:r>
      <w:proofErr w:type="spellStart"/>
      <w:r>
        <w:rPr>
          <w:rFonts w:eastAsia="Palatino Linotype"/>
          <w:sz w:val="22"/>
          <w:szCs w:val="22"/>
          <w:lang w:val="es-ES"/>
        </w:rPr>
        <w:t>the</w:t>
      </w:r>
      <w:proofErr w:type="spellEnd"/>
      <w:r>
        <w:rPr>
          <w:rFonts w:eastAsia="Palatino Linotype"/>
          <w:sz w:val="22"/>
          <w:szCs w:val="22"/>
          <w:lang w:val="es-ES"/>
        </w:rPr>
        <w:t xml:space="preserve"> </w:t>
      </w:r>
      <w:proofErr w:type="spellStart"/>
      <w:r>
        <w:rPr>
          <w:rFonts w:eastAsia="Palatino Linotype"/>
          <w:sz w:val="22"/>
          <w:szCs w:val="22"/>
          <w:lang w:val="es-ES"/>
        </w:rPr>
        <w:t>services</w:t>
      </w:r>
      <w:proofErr w:type="spellEnd"/>
      <w:r>
        <w:rPr>
          <w:rFonts w:eastAsia="Palatino Linotype"/>
          <w:sz w:val="22"/>
          <w:szCs w:val="22"/>
          <w:lang w:val="es-ES"/>
        </w:rPr>
        <w:t xml:space="preserve"> </w:t>
      </w:r>
      <w:proofErr w:type="spellStart"/>
      <w:r>
        <w:rPr>
          <w:rFonts w:eastAsia="Palatino Linotype"/>
          <w:sz w:val="22"/>
          <w:szCs w:val="22"/>
          <w:lang w:val="es-ES"/>
        </w:rPr>
        <w:t>covered</w:t>
      </w:r>
      <w:proofErr w:type="spellEnd"/>
      <w:r>
        <w:rPr>
          <w:rFonts w:eastAsia="Palatino Linotype"/>
          <w:sz w:val="22"/>
          <w:szCs w:val="22"/>
          <w:lang w:val="es-ES"/>
        </w:rPr>
        <w:t xml:space="preserve"> </w:t>
      </w:r>
      <w:proofErr w:type="spellStart"/>
      <w:r>
        <w:rPr>
          <w:rFonts w:eastAsia="Palatino Linotype"/>
          <w:sz w:val="22"/>
          <w:szCs w:val="22"/>
          <w:lang w:val="es-ES"/>
        </w:rPr>
        <w:t>by</w:t>
      </w:r>
      <w:proofErr w:type="spellEnd"/>
      <w:r>
        <w:rPr>
          <w:rFonts w:eastAsia="Palatino Linotype"/>
          <w:sz w:val="22"/>
          <w:szCs w:val="22"/>
          <w:lang w:val="es-ES"/>
        </w:rPr>
        <w:t xml:space="preserve"> </w:t>
      </w:r>
      <w:proofErr w:type="spellStart"/>
      <w:r>
        <w:rPr>
          <w:rFonts w:eastAsia="Palatino Linotype"/>
          <w:sz w:val="22"/>
          <w:szCs w:val="22"/>
          <w:lang w:val="es-ES"/>
        </w:rPr>
        <w:t>the</w:t>
      </w:r>
      <w:proofErr w:type="spellEnd"/>
      <w:r>
        <w:rPr>
          <w:rFonts w:eastAsia="Palatino Linotype"/>
          <w:sz w:val="22"/>
          <w:szCs w:val="22"/>
          <w:lang w:val="es-ES"/>
        </w:rPr>
        <w:t xml:space="preserve"> </w:t>
      </w:r>
      <w:proofErr w:type="spellStart"/>
      <w:r>
        <w:rPr>
          <w:rFonts w:eastAsia="Palatino Linotype"/>
          <w:sz w:val="22"/>
          <w:szCs w:val="22"/>
          <w:lang w:val="es-ES"/>
        </w:rPr>
        <w:t>contract</w:t>
      </w:r>
      <w:proofErr w:type="spellEnd"/>
      <w:r>
        <w:rPr>
          <w:rFonts w:eastAsia="Palatino Linotype"/>
          <w:sz w:val="22"/>
          <w:szCs w:val="22"/>
          <w:lang w:val="es-ES"/>
        </w:rPr>
        <w:t xml:space="preserve"> up </w:t>
      </w:r>
      <w:proofErr w:type="spellStart"/>
      <w:r>
        <w:rPr>
          <w:rFonts w:eastAsia="Palatino Linotype"/>
          <w:sz w:val="22"/>
          <w:szCs w:val="22"/>
          <w:lang w:val="es-ES"/>
        </w:rPr>
        <w:t>to</w:t>
      </w:r>
      <w:proofErr w:type="spellEnd"/>
      <w:r>
        <w:rPr>
          <w:rFonts w:eastAsia="Palatino Linotype"/>
          <w:sz w:val="22"/>
          <w:szCs w:val="22"/>
          <w:lang w:val="es-ES"/>
        </w:rPr>
        <w:t xml:space="preserve"> a </w:t>
      </w:r>
      <w:proofErr w:type="spellStart"/>
      <w:r>
        <w:rPr>
          <w:rFonts w:eastAsia="Palatino Linotype"/>
          <w:sz w:val="22"/>
          <w:szCs w:val="22"/>
          <w:lang w:val="es-ES"/>
        </w:rPr>
        <w:t>maximum</w:t>
      </w:r>
      <w:proofErr w:type="spellEnd"/>
      <w:r>
        <w:rPr>
          <w:rFonts w:eastAsia="Palatino Linotype"/>
          <w:sz w:val="22"/>
          <w:szCs w:val="22"/>
          <w:lang w:val="es-ES"/>
        </w:rPr>
        <w:t xml:space="preserve"> </w:t>
      </w:r>
      <w:proofErr w:type="spellStart"/>
      <w:r>
        <w:rPr>
          <w:rFonts w:eastAsia="Palatino Linotype"/>
          <w:sz w:val="22"/>
          <w:szCs w:val="22"/>
          <w:lang w:val="es-ES"/>
        </w:rPr>
        <w:t>of</w:t>
      </w:r>
      <w:proofErr w:type="spellEnd"/>
      <w:r>
        <w:rPr>
          <w:rFonts w:eastAsia="Palatino Linotype"/>
          <w:sz w:val="22"/>
          <w:szCs w:val="22"/>
          <w:lang w:val="es-ES"/>
        </w:rPr>
        <w:t xml:space="preserve"> 20% and 10%, </w:t>
      </w:r>
      <w:proofErr w:type="spellStart"/>
      <w:r>
        <w:rPr>
          <w:rFonts w:eastAsia="Palatino Linotype"/>
          <w:sz w:val="22"/>
          <w:szCs w:val="22"/>
          <w:lang w:val="es-ES"/>
        </w:rPr>
        <w:t>respectively</w:t>
      </w:r>
      <w:proofErr w:type="spellEnd"/>
      <w:r>
        <w:rPr>
          <w:rFonts w:eastAsia="Palatino Linotype"/>
          <w:sz w:val="22"/>
          <w:szCs w:val="22"/>
          <w:lang w:val="es-ES"/>
        </w:rPr>
        <w:t xml:space="preserve">, </w:t>
      </w:r>
      <w:proofErr w:type="spellStart"/>
      <w:r>
        <w:rPr>
          <w:rFonts w:eastAsia="Palatino Linotype"/>
          <w:sz w:val="22"/>
          <w:szCs w:val="22"/>
          <w:lang w:val="es-ES"/>
        </w:rPr>
        <w:t>respecting</w:t>
      </w:r>
      <w:proofErr w:type="spellEnd"/>
      <w:r>
        <w:rPr>
          <w:rFonts w:eastAsia="Palatino Linotype"/>
          <w:sz w:val="22"/>
          <w:szCs w:val="22"/>
          <w:lang w:val="es-ES"/>
        </w:rPr>
        <w:t xml:space="preserve"> </w:t>
      </w:r>
      <w:proofErr w:type="spellStart"/>
      <w:r>
        <w:rPr>
          <w:rFonts w:eastAsia="Palatino Linotype"/>
          <w:sz w:val="22"/>
          <w:szCs w:val="22"/>
          <w:lang w:val="es-ES"/>
        </w:rPr>
        <w:t>the</w:t>
      </w:r>
      <w:proofErr w:type="spellEnd"/>
      <w:r>
        <w:rPr>
          <w:rFonts w:eastAsia="Palatino Linotype"/>
          <w:sz w:val="22"/>
          <w:szCs w:val="22"/>
          <w:lang w:val="es-ES"/>
        </w:rPr>
        <w:t xml:space="preserve"> original </w:t>
      </w:r>
      <w:proofErr w:type="spellStart"/>
      <w:r>
        <w:rPr>
          <w:rFonts w:eastAsia="Palatino Linotype"/>
          <w:sz w:val="22"/>
          <w:szCs w:val="22"/>
          <w:lang w:val="es-ES"/>
        </w:rPr>
        <w:t>conditions</w:t>
      </w:r>
      <w:proofErr w:type="spellEnd"/>
      <w:r>
        <w:rPr>
          <w:rFonts w:eastAsia="Palatino Linotype"/>
          <w:sz w:val="22"/>
          <w:szCs w:val="22"/>
          <w:lang w:val="es-ES"/>
        </w:rPr>
        <w:t xml:space="preserve"> and </w:t>
      </w:r>
      <w:proofErr w:type="spellStart"/>
      <w:r>
        <w:rPr>
          <w:rFonts w:eastAsia="Palatino Linotype"/>
          <w:sz w:val="22"/>
          <w:szCs w:val="22"/>
          <w:lang w:val="es-ES"/>
        </w:rPr>
        <w:t>modalities</w:t>
      </w:r>
      <w:proofErr w:type="spellEnd"/>
      <w:r>
        <w:rPr>
          <w:rFonts w:eastAsia="Palatino Linotype"/>
          <w:sz w:val="22"/>
          <w:szCs w:val="22"/>
          <w:lang w:val="es-ES"/>
        </w:rPr>
        <w:t>.</w:t>
      </w:r>
    </w:p>
    <w:p w14:paraId="746C743A" w14:textId="77777777" w:rsidR="00E255F4" w:rsidRDefault="00E255F4">
      <w:pPr>
        <w:ind w:right="-142"/>
        <w:jc w:val="both"/>
        <w:rPr>
          <w:rFonts w:eastAsia="Palatino Linotype"/>
          <w:spacing w:val="-3"/>
          <w:sz w:val="22"/>
          <w:szCs w:val="22"/>
          <w:lang w:val="es-ES"/>
        </w:rPr>
      </w:pPr>
    </w:p>
    <w:p w14:paraId="7FB3DC2A" w14:textId="77777777" w:rsidR="00E255F4" w:rsidRDefault="00000000">
      <w:pPr>
        <w:ind w:right="-142"/>
        <w:jc w:val="both"/>
        <w:rPr>
          <w:rFonts w:eastAsia="Palatino Linotype"/>
          <w:sz w:val="22"/>
          <w:szCs w:val="22"/>
          <w:lang w:val="es-ES"/>
        </w:rPr>
      </w:pPr>
      <w:proofErr w:type="spellStart"/>
      <w:r>
        <w:rPr>
          <w:rFonts w:eastAsia="Palatino Linotype"/>
          <w:spacing w:val="-3"/>
          <w:sz w:val="22"/>
          <w:szCs w:val="22"/>
          <w:lang w:val="es-ES"/>
        </w:rPr>
        <w:t>Also</w:t>
      </w:r>
      <w:r>
        <w:rPr>
          <w:rFonts w:eastAsia="Palatino Linotype"/>
          <w:sz w:val="22"/>
          <w:szCs w:val="22"/>
          <w:lang w:val="es-ES"/>
        </w:rPr>
        <w:t>They</w:t>
      </w:r>
      <w:proofErr w:type="spellEnd"/>
      <w:r>
        <w:rPr>
          <w:rFonts w:eastAsia="Palatino Linotype"/>
          <w:sz w:val="22"/>
          <w:szCs w:val="22"/>
          <w:lang w:val="es-ES"/>
        </w:rPr>
        <w:t xml:space="preserve"> </w:t>
      </w:r>
      <w:proofErr w:type="spellStart"/>
      <w:r>
        <w:rPr>
          <w:rFonts w:eastAsia="Palatino Linotype"/>
          <w:sz w:val="22"/>
          <w:szCs w:val="22"/>
          <w:lang w:val="es-ES"/>
        </w:rPr>
        <w:t>may</w:t>
      </w:r>
      <w:proofErr w:type="spellEnd"/>
      <w:r>
        <w:rPr>
          <w:rFonts w:eastAsia="Palatino Linotype"/>
          <w:sz w:val="22"/>
          <w:szCs w:val="22"/>
          <w:lang w:val="es-ES"/>
        </w:rPr>
        <w:t xml:space="preserve"> </w:t>
      </w:r>
      <w:proofErr w:type="spellStart"/>
      <w:r>
        <w:rPr>
          <w:rFonts w:eastAsia="Palatino Linotype"/>
          <w:sz w:val="22"/>
          <w:szCs w:val="22"/>
          <w:lang w:val="es-ES"/>
        </w:rPr>
        <w:t>not</w:t>
      </w:r>
      <w:proofErr w:type="spellEnd"/>
      <w:r>
        <w:rPr>
          <w:rFonts w:eastAsia="Palatino Linotype"/>
          <w:sz w:val="22"/>
          <w:szCs w:val="22"/>
          <w:lang w:val="es-ES"/>
        </w:rPr>
        <w:t xml:space="preserve"> be </w:t>
      </w:r>
      <w:proofErr w:type="spellStart"/>
      <w:r>
        <w:rPr>
          <w:rFonts w:eastAsia="Palatino Linotype"/>
          <w:sz w:val="22"/>
          <w:szCs w:val="22"/>
          <w:lang w:val="es-ES"/>
        </w:rPr>
        <w:t>increased</w:t>
      </w:r>
      <w:proofErr w:type="spellEnd"/>
      <w:r>
        <w:rPr>
          <w:rFonts w:eastAsia="Palatino Linotype"/>
          <w:sz w:val="22"/>
          <w:szCs w:val="22"/>
          <w:lang w:val="es-ES"/>
        </w:rPr>
        <w:t xml:space="preserve"> </w:t>
      </w:r>
      <w:proofErr w:type="spellStart"/>
      <w:r>
        <w:rPr>
          <w:rFonts w:eastAsia="Palatino Linotype"/>
          <w:sz w:val="22"/>
          <w:szCs w:val="22"/>
          <w:lang w:val="es-ES"/>
        </w:rPr>
        <w:t>or</w:t>
      </w:r>
      <w:proofErr w:type="spellEnd"/>
      <w:r>
        <w:rPr>
          <w:rFonts w:eastAsia="Palatino Linotype"/>
          <w:sz w:val="22"/>
          <w:szCs w:val="22"/>
          <w:lang w:val="es-ES"/>
        </w:rPr>
        <w:t xml:space="preserve"> </w:t>
      </w:r>
      <w:proofErr w:type="spellStart"/>
      <w:r>
        <w:rPr>
          <w:rFonts w:eastAsia="Palatino Linotype"/>
          <w:sz w:val="22"/>
          <w:szCs w:val="22"/>
          <w:lang w:val="es-ES"/>
        </w:rPr>
        <w:t>decreased</w:t>
      </w:r>
      <w:proofErr w:type="spellEnd"/>
      <w:r>
        <w:rPr>
          <w:rFonts w:eastAsia="Palatino Linotype"/>
          <w:sz w:val="22"/>
          <w:szCs w:val="22"/>
          <w:lang w:val="es-ES"/>
        </w:rPr>
        <w:t xml:space="preserve"> in </w:t>
      </w:r>
      <w:proofErr w:type="spellStart"/>
      <w:r>
        <w:rPr>
          <w:rFonts w:eastAsia="Palatino Linotype"/>
          <w:sz w:val="22"/>
          <w:szCs w:val="22"/>
          <w:lang w:val="es-ES"/>
        </w:rPr>
        <w:t>greater</w:t>
      </w:r>
      <w:proofErr w:type="spellEnd"/>
      <w:r>
        <w:rPr>
          <w:rFonts w:eastAsia="Palatino Linotype"/>
          <w:sz w:val="22"/>
          <w:szCs w:val="22"/>
          <w:lang w:val="es-ES"/>
        </w:rPr>
        <w:t xml:space="preserve"> </w:t>
      </w:r>
      <w:proofErr w:type="spellStart"/>
      <w:r>
        <w:rPr>
          <w:rFonts w:eastAsia="Palatino Linotype"/>
          <w:sz w:val="22"/>
          <w:szCs w:val="22"/>
          <w:lang w:val="es-ES"/>
        </w:rPr>
        <w:t>proportions</w:t>
      </w:r>
      <w:proofErr w:type="spellEnd"/>
      <w:r>
        <w:rPr>
          <w:rFonts w:eastAsia="Palatino Linotype"/>
          <w:sz w:val="22"/>
          <w:szCs w:val="22"/>
          <w:lang w:val="es-ES"/>
        </w:rPr>
        <w:t xml:space="preserve"> </w:t>
      </w:r>
      <w:proofErr w:type="spellStart"/>
      <w:r>
        <w:rPr>
          <w:rFonts w:eastAsia="Palatino Linotype"/>
          <w:sz w:val="22"/>
          <w:szCs w:val="22"/>
          <w:lang w:val="es-ES"/>
        </w:rPr>
        <w:t>than</w:t>
      </w:r>
      <w:proofErr w:type="spellEnd"/>
      <w:r>
        <w:rPr>
          <w:rFonts w:eastAsia="Palatino Linotype"/>
          <w:sz w:val="22"/>
          <w:szCs w:val="22"/>
          <w:lang w:val="es-ES"/>
        </w:rPr>
        <w:t xml:space="preserve"> </w:t>
      </w:r>
      <w:proofErr w:type="spellStart"/>
      <w:r>
        <w:rPr>
          <w:rFonts w:eastAsia="Palatino Linotype"/>
          <w:sz w:val="22"/>
          <w:szCs w:val="22"/>
          <w:lang w:val="es-ES"/>
        </w:rPr>
        <w:t>those</w:t>
      </w:r>
      <w:proofErr w:type="spellEnd"/>
      <w:r>
        <w:rPr>
          <w:rFonts w:eastAsia="Palatino Linotype"/>
          <w:sz w:val="22"/>
          <w:szCs w:val="22"/>
          <w:lang w:val="es-ES"/>
        </w:rPr>
        <w:t xml:space="preserve"> </w:t>
      </w:r>
      <w:proofErr w:type="spellStart"/>
      <w:r>
        <w:rPr>
          <w:rFonts w:eastAsia="Palatino Linotype"/>
          <w:sz w:val="22"/>
          <w:szCs w:val="22"/>
          <w:lang w:val="es-ES"/>
        </w:rPr>
        <w:t>indicated</w:t>
      </w:r>
      <w:proofErr w:type="spellEnd"/>
      <w:r>
        <w:rPr>
          <w:rFonts w:eastAsia="Palatino Linotype"/>
          <w:sz w:val="22"/>
          <w:szCs w:val="22"/>
          <w:lang w:val="es-ES"/>
        </w:rPr>
        <w:t xml:space="preserve">, </w:t>
      </w:r>
      <w:proofErr w:type="spellStart"/>
      <w:r>
        <w:rPr>
          <w:rFonts w:eastAsia="Palatino Linotype"/>
          <w:sz w:val="22"/>
          <w:szCs w:val="22"/>
          <w:lang w:val="es-ES"/>
        </w:rPr>
        <w:t>with</w:t>
      </w:r>
      <w:proofErr w:type="spellEnd"/>
      <w:r>
        <w:rPr>
          <w:rFonts w:eastAsia="Palatino Linotype"/>
          <w:sz w:val="22"/>
          <w:szCs w:val="22"/>
          <w:lang w:val="es-ES"/>
        </w:rPr>
        <w:t xml:space="preserve"> </w:t>
      </w:r>
      <w:proofErr w:type="spellStart"/>
      <w:r>
        <w:rPr>
          <w:rFonts w:eastAsia="Palatino Linotype"/>
          <w:sz w:val="22"/>
          <w:szCs w:val="22"/>
          <w:lang w:val="es-ES"/>
        </w:rPr>
        <w:t>the</w:t>
      </w:r>
      <w:proofErr w:type="spellEnd"/>
      <w:r>
        <w:rPr>
          <w:rFonts w:eastAsia="Palatino Linotype"/>
          <w:sz w:val="22"/>
          <w:szCs w:val="22"/>
          <w:lang w:val="es-ES"/>
        </w:rPr>
        <w:t xml:space="preserve"> prior </w:t>
      </w:r>
      <w:proofErr w:type="spellStart"/>
      <w:r>
        <w:rPr>
          <w:rFonts w:eastAsia="Palatino Linotype"/>
          <w:sz w:val="22"/>
          <w:szCs w:val="22"/>
          <w:lang w:val="es-ES"/>
        </w:rPr>
        <w:t>consent</w:t>
      </w:r>
      <w:proofErr w:type="spellEnd"/>
      <w:r>
        <w:rPr>
          <w:rFonts w:eastAsia="Palatino Linotype"/>
          <w:sz w:val="22"/>
          <w:szCs w:val="22"/>
          <w:lang w:val="es-ES"/>
        </w:rPr>
        <w:t xml:space="preserve"> </w:t>
      </w:r>
      <w:proofErr w:type="spellStart"/>
      <w:r>
        <w:rPr>
          <w:rFonts w:eastAsia="Palatino Linotype"/>
          <w:sz w:val="22"/>
          <w:szCs w:val="22"/>
          <w:lang w:val="es-ES"/>
        </w:rPr>
        <w:t>of</w:t>
      </w:r>
      <w:proofErr w:type="spellEnd"/>
      <w:r>
        <w:rPr>
          <w:rFonts w:eastAsia="Palatino Linotype"/>
          <w:sz w:val="22"/>
          <w:szCs w:val="22"/>
          <w:lang w:val="es-ES"/>
        </w:rPr>
        <w:t xml:space="preserve"> </w:t>
      </w:r>
      <w:proofErr w:type="spellStart"/>
      <w:r>
        <w:rPr>
          <w:rFonts w:eastAsia="Palatino Linotype"/>
          <w:sz w:val="22"/>
          <w:szCs w:val="22"/>
          <w:lang w:val="es-ES"/>
        </w:rPr>
        <w:t>the</w:t>
      </w:r>
      <w:proofErr w:type="spellEnd"/>
      <w:r>
        <w:rPr>
          <w:rFonts w:eastAsia="Palatino Linotype"/>
          <w:sz w:val="22"/>
          <w:szCs w:val="22"/>
          <w:lang w:val="es-ES"/>
        </w:rPr>
        <w:t xml:space="preserve"> </w:t>
      </w:r>
      <w:proofErr w:type="spellStart"/>
      <w:r>
        <w:rPr>
          <w:rFonts w:eastAsia="Palatino Linotype"/>
          <w:sz w:val="22"/>
          <w:szCs w:val="22"/>
          <w:lang w:val="es-ES"/>
        </w:rPr>
        <w:t>successful</w:t>
      </w:r>
      <w:proofErr w:type="spellEnd"/>
      <w:r>
        <w:rPr>
          <w:rFonts w:eastAsia="Palatino Linotype"/>
          <w:sz w:val="22"/>
          <w:szCs w:val="22"/>
          <w:lang w:val="es-ES"/>
        </w:rPr>
        <w:t xml:space="preserve"> </w:t>
      </w:r>
      <w:proofErr w:type="spellStart"/>
      <w:r>
        <w:rPr>
          <w:rFonts w:eastAsia="Palatino Linotype"/>
          <w:sz w:val="22"/>
          <w:szCs w:val="22"/>
          <w:lang w:val="es-ES"/>
        </w:rPr>
        <w:t>bidder</w:t>
      </w:r>
      <w:proofErr w:type="spellEnd"/>
      <w:r>
        <w:rPr>
          <w:rFonts w:eastAsia="Palatino Linotype"/>
          <w:sz w:val="22"/>
          <w:szCs w:val="22"/>
          <w:lang w:val="es-ES"/>
        </w:rPr>
        <w:t xml:space="preserve">, </w:t>
      </w:r>
      <w:proofErr w:type="spellStart"/>
      <w:r>
        <w:rPr>
          <w:rFonts w:eastAsia="Palatino Linotype"/>
          <w:sz w:val="22"/>
          <w:szCs w:val="22"/>
          <w:lang w:val="es-ES"/>
        </w:rPr>
        <w:t>respecting</w:t>
      </w:r>
      <w:proofErr w:type="spellEnd"/>
      <w:r>
        <w:rPr>
          <w:rFonts w:eastAsia="Palatino Linotype"/>
          <w:sz w:val="22"/>
          <w:szCs w:val="22"/>
          <w:lang w:val="es-ES"/>
        </w:rPr>
        <w:t xml:space="preserve"> </w:t>
      </w:r>
      <w:proofErr w:type="spellStart"/>
      <w:r>
        <w:rPr>
          <w:rFonts w:eastAsia="Palatino Linotype"/>
          <w:sz w:val="22"/>
          <w:szCs w:val="22"/>
          <w:lang w:val="es-ES"/>
        </w:rPr>
        <w:t>the</w:t>
      </w:r>
      <w:proofErr w:type="spellEnd"/>
      <w:r>
        <w:rPr>
          <w:rFonts w:eastAsia="Palatino Linotype"/>
          <w:sz w:val="22"/>
          <w:szCs w:val="22"/>
          <w:lang w:val="es-ES"/>
        </w:rPr>
        <w:t xml:space="preserve"> </w:t>
      </w:r>
      <w:proofErr w:type="spellStart"/>
      <w:r>
        <w:rPr>
          <w:rFonts w:eastAsia="Palatino Linotype"/>
          <w:sz w:val="22"/>
          <w:szCs w:val="22"/>
          <w:lang w:val="es-ES"/>
        </w:rPr>
        <w:t>conditions</w:t>
      </w:r>
      <w:proofErr w:type="spellEnd"/>
      <w:r>
        <w:rPr>
          <w:rFonts w:eastAsia="Palatino Linotype"/>
          <w:sz w:val="22"/>
          <w:szCs w:val="22"/>
          <w:lang w:val="es-ES"/>
        </w:rPr>
        <w:t xml:space="preserve"> </w:t>
      </w:r>
      <w:proofErr w:type="spellStart"/>
      <w:r>
        <w:rPr>
          <w:rFonts w:eastAsia="Palatino Linotype"/>
          <w:sz w:val="22"/>
          <w:szCs w:val="22"/>
          <w:lang w:val="es-ES"/>
        </w:rPr>
        <w:t>that</w:t>
      </w:r>
      <w:proofErr w:type="spellEnd"/>
      <w:r>
        <w:rPr>
          <w:rFonts w:eastAsia="Palatino Linotype"/>
          <w:sz w:val="22"/>
          <w:szCs w:val="22"/>
          <w:lang w:val="es-ES"/>
        </w:rPr>
        <w:t xml:space="preserve"> </w:t>
      </w:r>
      <w:proofErr w:type="spellStart"/>
      <w:r>
        <w:rPr>
          <w:rFonts w:eastAsia="Palatino Linotype"/>
          <w:sz w:val="22"/>
          <w:szCs w:val="22"/>
          <w:lang w:val="es-ES"/>
        </w:rPr>
        <w:t>govern</w:t>
      </w:r>
      <w:proofErr w:type="spellEnd"/>
      <w:r>
        <w:rPr>
          <w:rFonts w:eastAsia="Palatino Linotype"/>
          <w:sz w:val="22"/>
          <w:szCs w:val="22"/>
          <w:lang w:val="es-ES"/>
        </w:rPr>
        <w:t xml:space="preserve"> </w:t>
      </w:r>
      <w:proofErr w:type="spellStart"/>
      <w:r>
        <w:rPr>
          <w:rFonts w:eastAsia="Palatino Linotype"/>
          <w:sz w:val="22"/>
          <w:szCs w:val="22"/>
          <w:lang w:val="es-ES"/>
        </w:rPr>
        <w:t>the</w:t>
      </w:r>
      <w:proofErr w:type="spellEnd"/>
      <w:r>
        <w:rPr>
          <w:rFonts w:eastAsia="Palatino Linotype"/>
          <w:sz w:val="22"/>
          <w:szCs w:val="22"/>
          <w:lang w:val="es-ES"/>
        </w:rPr>
        <w:t xml:space="preserve"> </w:t>
      </w:r>
      <w:proofErr w:type="spellStart"/>
      <w:r>
        <w:rPr>
          <w:rFonts w:eastAsia="Palatino Linotype"/>
          <w:sz w:val="22"/>
          <w:szCs w:val="22"/>
          <w:lang w:val="es-ES"/>
        </w:rPr>
        <w:t>contract</w:t>
      </w:r>
      <w:proofErr w:type="spellEnd"/>
      <w:r>
        <w:rPr>
          <w:rFonts w:eastAsia="Palatino Linotype"/>
          <w:sz w:val="22"/>
          <w:szCs w:val="22"/>
          <w:lang w:val="es-ES"/>
        </w:rPr>
        <w:t>.</w:t>
      </w:r>
    </w:p>
    <w:p w14:paraId="32122448" w14:textId="77777777" w:rsidR="00E255F4" w:rsidRDefault="00E255F4">
      <w:pPr>
        <w:ind w:right="-142"/>
        <w:jc w:val="both"/>
        <w:rPr>
          <w:rFonts w:eastAsia="Palatino Linotype"/>
          <w:sz w:val="22"/>
          <w:szCs w:val="22"/>
          <w:lang w:val="es-ES"/>
        </w:rPr>
      </w:pPr>
    </w:p>
    <w:p w14:paraId="7D069CB8" w14:textId="77777777" w:rsidR="00E255F4" w:rsidRDefault="00000000">
      <w:pPr>
        <w:ind w:right="-142"/>
        <w:jc w:val="both"/>
        <w:rPr>
          <w:rFonts w:eastAsia="Palatino Linotype"/>
          <w:sz w:val="22"/>
          <w:szCs w:val="22"/>
          <w:lang w:val="es-ES"/>
        </w:rPr>
      </w:pPr>
      <w:r>
        <w:rPr>
          <w:rFonts w:eastAsia="Palatino Linotype"/>
          <w:sz w:val="22"/>
          <w:szCs w:val="22"/>
          <w:lang w:val="es-ES"/>
        </w:rPr>
        <w:t xml:space="preserve">In no case </w:t>
      </w:r>
      <w:proofErr w:type="spellStart"/>
      <w:r>
        <w:rPr>
          <w:rFonts w:eastAsia="Palatino Linotype"/>
          <w:sz w:val="22"/>
          <w:szCs w:val="22"/>
          <w:lang w:val="es-ES"/>
        </w:rPr>
        <w:t>may</w:t>
      </w:r>
      <w:proofErr w:type="spellEnd"/>
      <w:r>
        <w:rPr>
          <w:rFonts w:eastAsia="Palatino Linotype"/>
          <w:sz w:val="22"/>
          <w:szCs w:val="22"/>
          <w:lang w:val="es-ES"/>
        </w:rPr>
        <w:t xml:space="preserve"> </w:t>
      </w:r>
      <w:proofErr w:type="spellStart"/>
      <w:r>
        <w:rPr>
          <w:rFonts w:eastAsia="Palatino Linotype"/>
          <w:sz w:val="22"/>
          <w:szCs w:val="22"/>
          <w:lang w:val="es-ES"/>
        </w:rPr>
        <w:t>the</w:t>
      </w:r>
      <w:proofErr w:type="spellEnd"/>
      <w:r>
        <w:rPr>
          <w:rFonts w:eastAsia="Palatino Linotype"/>
          <w:sz w:val="22"/>
          <w:szCs w:val="22"/>
          <w:lang w:val="es-ES"/>
        </w:rPr>
        <w:t xml:space="preserve"> </w:t>
      </w:r>
      <w:proofErr w:type="spellStart"/>
      <w:r>
        <w:rPr>
          <w:rFonts w:eastAsia="Palatino Linotype"/>
          <w:sz w:val="22"/>
          <w:szCs w:val="22"/>
          <w:lang w:val="es-ES"/>
        </w:rPr>
        <w:t>increases</w:t>
      </w:r>
      <w:proofErr w:type="spellEnd"/>
      <w:r>
        <w:rPr>
          <w:rFonts w:eastAsia="Palatino Linotype"/>
          <w:sz w:val="22"/>
          <w:szCs w:val="22"/>
          <w:lang w:val="es-ES"/>
        </w:rPr>
        <w:t xml:space="preserve"> </w:t>
      </w:r>
      <w:proofErr w:type="spellStart"/>
      <w:r>
        <w:rPr>
          <w:rFonts w:eastAsia="Palatino Linotype"/>
          <w:sz w:val="22"/>
          <w:szCs w:val="22"/>
          <w:lang w:val="es-ES"/>
        </w:rPr>
        <w:t>exceed</w:t>
      </w:r>
      <w:proofErr w:type="spellEnd"/>
      <w:r>
        <w:rPr>
          <w:rFonts w:eastAsia="Palatino Linotype"/>
          <w:sz w:val="22"/>
          <w:szCs w:val="22"/>
          <w:lang w:val="es-ES"/>
        </w:rPr>
        <w:t xml:space="preserve"> 100% </w:t>
      </w:r>
      <w:proofErr w:type="spellStart"/>
      <w:r>
        <w:rPr>
          <w:rFonts w:eastAsia="Palatino Linotype"/>
          <w:sz w:val="22"/>
          <w:szCs w:val="22"/>
          <w:lang w:val="es-ES"/>
        </w:rPr>
        <w:t>of</w:t>
      </w:r>
      <w:proofErr w:type="spellEnd"/>
      <w:r>
        <w:rPr>
          <w:rFonts w:eastAsia="Palatino Linotype"/>
          <w:sz w:val="22"/>
          <w:szCs w:val="22"/>
          <w:lang w:val="es-ES"/>
        </w:rPr>
        <w:t xml:space="preserve"> </w:t>
      </w:r>
      <w:proofErr w:type="spellStart"/>
      <w:r>
        <w:rPr>
          <w:rFonts w:eastAsia="Palatino Linotype"/>
          <w:sz w:val="22"/>
          <w:szCs w:val="22"/>
          <w:lang w:val="es-ES"/>
        </w:rPr>
        <w:t>the</w:t>
      </w:r>
      <w:proofErr w:type="spellEnd"/>
      <w:r>
        <w:rPr>
          <w:rFonts w:eastAsia="Palatino Linotype"/>
          <w:sz w:val="22"/>
          <w:szCs w:val="22"/>
          <w:lang w:val="es-ES"/>
        </w:rPr>
        <w:t xml:space="preserve"> </w:t>
      </w:r>
      <w:proofErr w:type="spellStart"/>
      <w:r>
        <w:rPr>
          <w:rFonts w:eastAsia="Palatino Linotype"/>
          <w:sz w:val="22"/>
          <w:szCs w:val="22"/>
          <w:lang w:val="es-ES"/>
        </w:rPr>
        <w:t>object</w:t>
      </w:r>
      <w:proofErr w:type="spellEnd"/>
      <w:r>
        <w:rPr>
          <w:rFonts w:eastAsia="Palatino Linotype"/>
          <w:sz w:val="22"/>
          <w:szCs w:val="22"/>
          <w:lang w:val="es-ES"/>
        </w:rPr>
        <w:t xml:space="preserve"> </w:t>
      </w:r>
      <w:proofErr w:type="spellStart"/>
      <w:r>
        <w:rPr>
          <w:rFonts w:eastAsia="Palatino Linotype"/>
          <w:sz w:val="22"/>
          <w:szCs w:val="22"/>
          <w:lang w:val="es-ES"/>
        </w:rPr>
        <w:t>of</w:t>
      </w:r>
      <w:proofErr w:type="spellEnd"/>
      <w:r>
        <w:rPr>
          <w:rFonts w:eastAsia="Palatino Linotype"/>
          <w:sz w:val="22"/>
          <w:szCs w:val="22"/>
          <w:lang w:val="es-ES"/>
        </w:rPr>
        <w:t xml:space="preserve"> </w:t>
      </w:r>
      <w:proofErr w:type="spellStart"/>
      <w:r>
        <w:rPr>
          <w:rFonts w:eastAsia="Palatino Linotype"/>
          <w:sz w:val="22"/>
          <w:szCs w:val="22"/>
          <w:lang w:val="es-ES"/>
        </w:rPr>
        <w:t>the</w:t>
      </w:r>
      <w:proofErr w:type="spellEnd"/>
      <w:r>
        <w:rPr>
          <w:rFonts w:eastAsia="Palatino Linotype"/>
          <w:sz w:val="22"/>
          <w:szCs w:val="22"/>
          <w:lang w:val="es-ES"/>
        </w:rPr>
        <w:t xml:space="preserve"> </w:t>
      </w:r>
      <w:proofErr w:type="spellStart"/>
      <w:r>
        <w:rPr>
          <w:rFonts w:eastAsia="Palatino Linotype"/>
          <w:sz w:val="22"/>
          <w:szCs w:val="22"/>
          <w:lang w:val="es-ES"/>
        </w:rPr>
        <w:t>contract</w:t>
      </w:r>
      <w:proofErr w:type="spellEnd"/>
      <w:r>
        <w:rPr>
          <w:rFonts w:eastAsia="Palatino Linotype"/>
          <w:sz w:val="22"/>
          <w:szCs w:val="22"/>
          <w:lang w:val="es-ES"/>
        </w:rPr>
        <w:t>.</w:t>
      </w:r>
    </w:p>
    <w:p w14:paraId="01B73263" w14:textId="77777777" w:rsidR="00E255F4" w:rsidRDefault="00E255F4">
      <w:pPr>
        <w:ind w:right="-142"/>
        <w:jc w:val="both"/>
        <w:rPr>
          <w:rFonts w:eastAsia="Palatino Linotype"/>
          <w:spacing w:val="-1"/>
          <w:sz w:val="22"/>
          <w:szCs w:val="22"/>
          <w:lang w:val="es-ES"/>
        </w:rPr>
      </w:pPr>
    </w:p>
    <w:p w14:paraId="6C14B709" w14:textId="77777777" w:rsidR="00E255F4" w:rsidRDefault="00000000">
      <w:pPr>
        <w:ind w:right="-142"/>
        <w:jc w:val="both"/>
        <w:rPr>
          <w:rFonts w:eastAsia="Palatino Linotype"/>
          <w:sz w:val="22"/>
          <w:szCs w:val="22"/>
          <w:lang w:val="es-ES"/>
        </w:rPr>
      </w:pPr>
      <w:proofErr w:type="spellStart"/>
      <w:r>
        <w:rPr>
          <w:rFonts w:eastAsia="Palatino Linotype"/>
          <w:spacing w:val="-1"/>
          <w:sz w:val="22"/>
          <w:szCs w:val="22"/>
          <w:lang w:val="es-ES"/>
        </w:rPr>
        <w:t>It</w:t>
      </w:r>
      <w:r>
        <w:rPr>
          <w:rFonts w:eastAsia="Palatino Linotype"/>
          <w:sz w:val="22"/>
          <w:szCs w:val="22"/>
          <w:lang w:val="es-ES"/>
        </w:rPr>
        <w:t>The</w:t>
      </w:r>
      <w:proofErr w:type="spellEnd"/>
      <w:r>
        <w:rPr>
          <w:rFonts w:eastAsia="Palatino Linotype"/>
          <w:sz w:val="22"/>
          <w:szCs w:val="22"/>
          <w:lang w:val="es-ES"/>
        </w:rPr>
        <w:t xml:space="preserve"> </w:t>
      </w:r>
      <w:proofErr w:type="spellStart"/>
      <w:r>
        <w:rPr>
          <w:rFonts w:eastAsia="Palatino Linotype"/>
          <w:sz w:val="22"/>
          <w:szCs w:val="22"/>
          <w:lang w:val="es-ES"/>
        </w:rPr>
        <w:t>percentages</w:t>
      </w:r>
      <w:proofErr w:type="spellEnd"/>
      <w:r>
        <w:rPr>
          <w:rFonts w:eastAsia="Palatino Linotype"/>
          <w:sz w:val="22"/>
          <w:szCs w:val="22"/>
          <w:lang w:val="es-ES"/>
        </w:rPr>
        <w:t xml:space="preserve"> </w:t>
      </w:r>
      <w:proofErr w:type="spellStart"/>
      <w:r>
        <w:rPr>
          <w:rFonts w:eastAsia="Palatino Linotype"/>
          <w:sz w:val="22"/>
          <w:szCs w:val="22"/>
          <w:lang w:val="es-ES"/>
        </w:rPr>
        <w:t>referred</w:t>
      </w:r>
      <w:proofErr w:type="spellEnd"/>
      <w:r>
        <w:rPr>
          <w:rFonts w:eastAsia="Palatino Linotype"/>
          <w:sz w:val="22"/>
          <w:szCs w:val="22"/>
          <w:lang w:val="es-ES"/>
        </w:rPr>
        <w:t xml:space="preserve"> </w:t>
      </w:r>
      <w:proofErr w:type="spellStart"/>
      <w:r>
        <w:rPr>
          <w:rFonts w:eastAsia="Palatino Linotype"/>
          <w:sz w:val="22"/>
          <w:szCs w:val="22"/>
          <w:lang w:val="es-ES"/>
        </w:rPr>
        <w:t>to</w:t>
      </w:r>
      <w:proofErr w:type="spellEnd"/>
      <w:r>
        <w:rPr>
          <w:rFonts w:eastAsia="Palatino Linotype"/>
          <w:sz w:val="22"/>
          <w:szCs w:val="22"/>
          <w:lang w:val="es-ES"/>
        </w:rPr>
        <w:t xml:space="preserve"> </w:t>
      </w:r>
      <w:proofErr w:type="spellStart"/>
      <w:r>
        <w:rPr>
          <w:rFonts w:eastAsia="Palatino Linotype"/>
          <w:sz w:val="22"/>
          <w:szCs w:val="22"/>
          <w:lang w:val="es-ES"/>
        </w:rPr>
        <w:t>above</w:t>
      </w:r>
      <w:proofErr w:type="spellEnd"/>
      <w:r>
        <w:rPr>
          <w:rFonts w:eastAsia="Palatino Linotype"/>
          <w:sz w:val="22"/>
          <w:szCs w:val="22"/>
          <w:lang w:val="es-ES"/>
        </w:rPr>
        <w:t xml:space="preserve"> are </w:t>
      </w:r>
      <w:proofErr w:type="spellStart"/>
      <w:r>
        <w:rPr>
          <w:rFonts w:eastAsia="Palatino Linotype"/>
          <w:sz w:val="22"/>
          <w:szCs w:val="22"/>
          <w:lang w:val="es-ES"/>
        </w:rPr>
        <w:t>applied</w:t>
      </w:r>
      <w:proofErr w:type="spellEnd"/>
      <w:r>
        <w:rPr>
          <w:rFonts w:eastAsia="Palatino Linotype"/>
          <w:sz w:val="22"/>
          <w:szCs w:val="22"/>
          <w:lang w:val="es-ES"/>
        </w:rPr>
        <w:t xml:space="preserve"> </w:t>
      </w:r>
      <w:proofErr w:type="spellStart"/>
      <w:r>
        <w:rPr>
          <w:rFonts w:eastAsia="Palatino Linotype"/>
          <w:sz w:val="22"/>
          <w:szCs w:val="22"/>
          <w:lang w:val="es-ES"/>
        </w:rPr>
        <w:t>to</w:t>
      </w:r>
      <w:proofErr w:type="spellEnd"/>
      <w:r>
        <w:rPr>
          <w:rFonts w:eastAsia="Palatino Linotype"/>
          <w:sz w:val="22"/>
          <w:szCs w:val="22"/>
          <w:lang w:val="es-ES"/>
        </w:rPr>
        <w:t xml:space="preserve"> </w:t>
      </w:r>
      <w:proofErr w:type="spellStart"/>
      <w:r>
        <w:rPr>
          <w:rFonts w:eastAsia="Palatino Linotype"/>
          <w:sz w:val="22"/>
          <w:szCs w:val="22"/>
          <w:lang w:val="es-ES"/>
        </w:rPr>
        <w:t>each</w:t>
      </w:r>
      <w:proofErr w:type="spellEnd"/>
      <w:r>
        <w:rPr>
          <w:rFonts w:eastAsia="Palatino Linotype"/>
          <w:sz w:val="22"/>
          <w:szCs w:val="22"/>
          <w:lang w:val="es-ES"/>
        </w:rPr>
        <w:t xml:space="preserve"> </w:t>
      </w:r>
      <w:proofErr w:type="spellStart"/>
      <w:r>
        <w:rPr>
          <w:rFonts w:eastAsia="Palatino Linotype"/>
          <w:sz w:val="22"/>
          <w:szCs w:val="22"/>
          <w:lang w:val="es-ES"/>
        </w:rPr>
        <w:t>of</w:t>
      </w:r>
      <w:proofErr w:type="spellEnd"/>
      <w:r>
        <w:rPr>
          <w:rFonts w:eastAsia="Palatino Linotype"/>
          <w:sz w:val="22"/>
          <w:szCs w:val="22"/>
          <w:lang w:val="es-ES"/>
        </w:rPr>
        <w:t xml:space="preserve"> </w:t>
      </w:r>
      <w:proofErr w:type="spellStart"/>
      <w:r>
        <w:rPr>
          <w:rFonts w:eastAsia="Palatino Linotype"/>
          <w:sz w:val="22"/>
          <w:szCs w:val="22"/>
          <w:lang w:val="es-ES"/>
        </w:rPr>
        <w:t>the</w:t>
      </w:r>
      <w:proofErr w:type="spellEnd"/>
      <w:r>
        <w:rPr>
          <w:rFonts w:eastAsia="Palatino Linotype"/>
          <w:sz w:val="22"/>
          <w:szCs w:val="22"/>
          <w:lang w:val="es-ES"/>
        </w:rPr>
        <w:t xml:space="preserve"> </w:t>
      </w:r>
      <w:proofErr w:type="spellStart"/>
      <w:r>
        <w:rPr>
          <w:rFonts w:eastAsia="Palatino Linotype"/>
          <w:sz w:val="22"/>
          <w:szCs w:val="22"/>
          <w:lang w:val="es-ES"/>
        </w:rPr>
        <w:t>services</w:t>
      </w:r>
      <w:proofErr w:type="spellEnd"/>
      <w:r>
        <w:rPr>
          <w:rFonts w:eastAsia="Palatino Linotype"/>
          <w:sz w:val="22"/>
          <w:szCs w:val="22"/>
          <w:lang w:val="es-ES"/>
        </w:rPr>
        <w:t xml:space="preserve"> </w:t>
      </w:r>
      <w:proofErr w:type="spellStart"/>
      <w:r>
        <w:rPr>
          <w:rFonts w:eastAsia="Palatino Linotype"/>
          <w:sz w:val="22"/>
          <w:szCs w:val="22"/>
          <w:lang w:val="es-ES"/>
        </w:rPr>
        <w:t>covered</w:t>
      </w:r>
      <w:proofErr w:type="spellEnd"/>
      <w:r>
        <w:rPr>
          <w:rFonts w:eastAsia="Palatino Linotype"/>
          <w:sz w:val="22"/>
          <w:szCs w:val="22"/>
          <w:lang w:val="es-ES"/>
        </w:rPr>
        <w:t xml:space="preserve"> </w:t>
      </w:r>
      <w:proofErr w:type="spellStart"/>
      <w:r>
        <w:rPr>
          <w:rFonts w:eastAsia="Palatino Linotype"/>
          <w:sz w:val="22"/>
          <w:szCs w:val="22"/>
          <w:lang w:val="es-ES"/>
        </w:rPr>
        <w:t>by</w:t>
      </w:r>
      <w:proofErr w:type="spellEnd"/>
      <w:r>
        <w:rPr>
          <w:rFonts w:eastAsia="Palatino Linotype"/>
          <w:sz w:val="22"/>
          <w:szCs w:val="22"/>
          <w:lang w:val="es-ES"/>
        </w:rPr>
        <w:t xml:space="preserve"> </w:t>
      </w:r>
      <w:proofErr w:type="spellStart"/>
      <w:r>
        <w:rPr>
          <w:rFonts w:eastAsia="Palatino Linotype"/>
          <w:sz w:val="22"/>
          <w:szCs w:val="22"/>
          <w:lang w:val="es-ES"/>
        </w:rPr>
        <w:t>the</w:t>
      </w:r>
      <w:proofErr w:type="spellEnd"/>
      <w:r>
        <w:rPr>
          <w:rFonts w:eastAsia="Palatino Linotype"/>
          <w:sz w:val="22"/>
          <w:szCs w:val="22"/>
          <w:lang w:val="es-ES"/>
        </w:rPr>
        <w:t xml:space="preserve"> </w:t>
      </w:r>
      <w:proofErr w:type="spellStart"/>
      <w:r>
        <w:rPr>
          <w:rFonts w:eastAsia="Palatino Linotype"/>
          <w:sz w:val="22"/>
          <w:szCs w:val="22"/>
          <w:lang w:val="es-ES"/>
        </w:rPr>
        <w:t>contract</w:t>
      </w:r>
      <w:proofErr w:type="spellEnd"/>
      <w:r>
        <w:rPr>
          <w:rFonts w:eastAsia="Palatino Linotype"/>
          <w:sz w:val="22"/>
          <w:szCs w:val="22"/>
          <w:lang w:val="es-ES"/>
        </w:rPr>
        <w:t>.</w:t>
      </w:r>
    </w:p>
    <w:p w14:paraId="71BEC184" w14:textId="77777777" w:rsidR="00E255F4" w:rsidRDefault="00E255F4">
      <w:pPr>
        <w:ind w:right="-142"/>
        <w:jc w:val="both"/>
        <w:rPr>
          <w:rFonts w:eastAsia="Palatino Linotype"/>
          <w:spacing w:val="-1"/>
          <w:sz w:val="22"/>
          <w:szCs w:val="22"/>
          <w:lang w:val="es-ES"/>
        </w:rPr>
      </w:pPr>
    </w:p>
    <w:p w14:paraId="3E12CF6D" w14:textId="77777777" w:rsidR="00E255F4" w:rsidRDefault="00000000">
      <w:pPr>
        <w:ind w:right="-142"/>
        <w:jc w:val="both"/>
        <w:rPr>
          <w:rFonts w:eastAsia="Palatino Linotype"/>
          <w:sz w:val="22"/>
          <w:szCs w:val="22"/>
          <w:lang w:val="es-ES"/>
        </w:rPr>
      </w:pPr>
      <w:proofErr w:type="spellStart"/>
      <w:r>
        <w:rPr>
          <w:rFonts w:eastAsia="Palatino Linotype"/>
          <w:spacing w:val="-1"/>
          <w:sz w:val="22"/>
          <w:szCs w:val="22"/>
          <w:lang w:val="es-ES"/>
        </w:rPr>
        <w:t>The</w:t>
      </w:r>
      <w:r>
        <w:rPr>
          <w:rFonts w:eastAsia="Palatino Linotype"/>
          <w:sz w:val="22"/>
          <w:szCs w:val="22"/>
          <w:lang w:val="es-ES"/>
        </w:rPr>
        <w:t>Resolutions</w:t>
      </w:r>
      <w:proofErr w:type="spellEnd"/>
      <w:r>
        <w:rPr>
          <w:rFonts w:eastAsia="Palatino Linotype"/>
          <w:sz w:val="22"/>
          <w:szCs w:val="22"/>
          <w:lang w:val="es-ES"/>
        </w:rPr>
        <w:t xml:space="preserve"> </w:t>
      </w:r>
      <w:proofErr w:type="spellStart"/>
      <w:r>
        <w:rPr>
          <w:rFonts w:eastAsia="Palatino Linotype"/>
          <w:sz w:val="22"/>
          <w:szCs w:val="22"/>
          <w:lang w:val="es-ES"/>
        </w:rPr>
        <w:t>regarding</w:t>
      </w:r>
      <w:proofErr w:type="spellEnd"/>
      <w:r>
        <w:rPr>
          <w:rFonts w:eastAsia="Palatino Linotype"/>
          <w:sz w:val="22"/>
          <w:szCs w:val="22"/>
          <w:lang w:val="es-ES"/>
        </w:rPr>
        <w:t xml:space="preserve"> </w:t>
      </w:r>
      <w:proofErr w:type="spellStart"/>
      <w:r>
        <w:rPr>
          <w:rFonts w:eastAsia="Palatino Linotype"/>
          <w:sz w:val="22"/>
          <w:szCs w:val="22"/>
          <w:lang w:val="es-ES"/>
        </w:rPr>
        <w:t>contract</w:t>
      </w:r>
      <w:proofErr w:type="spellEnd"/>
      <w:r>
        <w:rPr>
          <w:rFonts w:eastAsia="Palatino Linotype"/>
          <w:sz w:val="22"/>
          <w:szCs w:val="22"/>
          <w:lang w:val="es-ES"/>
        </w:rPr>
        <w:t xml:space="preserve"> </w:t>
      </w:r>
      <w:proofErr w:type="spellStart"/>
      <w:r>
        <w:rPr>
          <w:rFonts w:eastAsia="Palatino Linotype"/>
          <w:sz w:val="22"/>
          <w:szCs w:val="22"/>
          <w:lang w:val="es-ES"/>
        </w:rPr>
        <w:t>extensions</w:t>
      </w:r>
      <w:proofErr w:type="spellEnd"/>
      <w:r>
        <w:rPr>
          <w:rFonts w:eastAsia="Palatino Linotype"/>
          <w:sz w:val="22"/>
          <w:szCs w:val="22"/>
          <w:lang w:val="es-ES"/>
        </w:rPr>
        <w:t xml:space="preserve"> </w:t>
      </w:r>
      <w:proofErr w:type="spellStart"/>
      <w:r>
        <w:rPr>
          <w:rFonts w:eastAsia="Palatino Linotype"/>
          <w:sz w:val="22"/>
          <w:szCs w:val="22"/>
          <w:lang w:val="es-ES"/>
        </w:rPr>
        <w:t>must</w:t>
      </w:r>
      <w:proofErr w:type="spellEnd"/>
      <w:r>
        <w:rPr>
          <w:rFonts w:eastAsia="Palatino Linotype"/>
          <w:sz w:val="22"/>
          <w:szCs w:val="22"/>
          <w:lang w:val="es-ES"/>
        </w:rPr>
        <w:t xml:space="preserve"> be </w:t>
      </w:r>
      <w:proofErr w:type="spellStart"/>
      <w:r>
        <w:rPr>
          <w:rFonts w:eastAsia="Palatino Linotype"/>
          <w:sz w:val="22"/>
          <w:szCs w:val="22"/>
          <w:lang w:val="es-ES"/>
        </w:rPr>
        <w:t>published</w:t>
      </w:r>
      <w:proofErr w:type="spellEnd"/>
      <w:r>
        <w:rPr>
          <w:rFonts w:eastAsia="Palatino Linotype"/>
          <w:sz w:val="22"/>
          <w:szCs w:val="22"/>
          <w:lang w:val="es-ES"/>
        </w:rPr>
        <w:t xml:space="preserve"> </w:t>
      </w:r>
      <w:proofErr w:type="spellStart"/>
      <w:r>
        <w:rPr>
          <w:rFonts w:eastAsia="Palatino Linotype"/>
          <w:sz w:val="22"/>
          <w:szCs w:val="22"/>
          <w:lang w:val="es-ES"/>
        </w:rPr>
        <w:t>on</w:t>
      </w:r>
      <w:proofErr w:type="spellEnd"/>
      <w:r>
        <w:rPr>
          <w:rFonts w:eastAsia="Palatino Linotype"/>
          <w:sz w:val="22"/>
          <w:szCs w:val="22"/>
          <w:lang w:val="es-ES"/>
        </w:rPr>
        <w:t xml:space="preserve"> </w:t>
      </w:r>
      <w:proofErr w:type="spellStart"/>
      <w:r>
        <w:rPr>
          <w:rFonts w:eastAsia="Palatino Linotype"/>
          <w:sz w:val="22"/>
          <w:szCs w:val="22"/>
          <w:lang w:val="es-ES"/>
        </w:rPr>
        <w:t>the</w:t>
      </w:r>
      <w:proofErr w:type="spellEnd"/>
      <w:r>
        <w:rPr>
          <w:rFonts w:eastAsia="Palatino Linotype"/>
          <w:sz w:val="22"/>
          <w:szCs w:val="22"/>
          <w:lang w:val="es-ES"/>
        </w:rPr>
        <w:t xml:space="preserve"> State </w:t>
      </w:r>
      <w:proofErr w:type="spellStart"/>
      <w:r>
        <w:rPr>
          <w:rFonts w:eastAsia="Palatino Linotype"/>
          <w:sz w:val="22"/>
          <w:szCs w:val="22"/>
          <w:lang w:val="es-ES"/>
        </w:rPr>
        <w:t>Procurement</w:t>
      </w:r>
      <w:proofErr w:type="spellEnd"/>
      <w:r>
        <w:rPr>
          <w:rFonts w:eastAsia="Palatino Linotype"/>
          <w:sz w:val="22"/>
          <w:szCs w:val="22"/>
          <w:lang w:val="es-ES"/>
        </w:rPr>
        <w:t xml:space="preserve"> and </w:t>
      </w:r>
      <w:proofErr w:type="spellStart"/>
      <w:r>
        <w:rPr>
          <w:rFonts w:eastAsia="Palatino Linotype"/>
          <w:sz w:val="22"/>
          <w:szCs w:val="22"/>
          <w:lang w:val="es-ES"/>
        </w:rPr>
        <w:t>Contracting</w:t>
      </w:r>
      <w:proofErr w:type="spellEnd"/>
      <w:r>
        <w:rPr>
          <w:rFonts w:eastAsia="Palatino Linotype"/>
          <w:sz w:val="22"/>
          <w:szCs w:val="22"/>
          <w:lang w:val="es-ES"/>
        </w:rPr>
        <w:t xml:space="preserve"> </w:t>
      </w:r>
      <w:proofErr w:type="spellStart"/>
      <w:r>
        <w:rPr>
          <w:rFonts w:eastAsia="Palatino Linotype"/>
          <w:sz w:val="22"/>
          <w:szCs w:val="22"/>
          <w:lang w:val="es-ES"/>
        </w:rPr>
        <w:t>website</w:t>
      </w:r>
      <w:proofErr w:type="spellEnd"/>
      <w:r>
        <w:rPr>
          <w:rFonts w:eastAsia="Palatino Linotype"/>
          <w:sz w:val="22"/>
          <w:szCs w:val="22"/>
          <w:lang w:val="es-ES"/>
        </w:rPr>
        <w:t>.</w:t>
      </w:r>
    </w:p>
    <w:p w14:paraId="72AC66C8" w14:textId="77777777" w:rsidR="00E255F4" w:rsidRDefault="00E255F4">
      <w:pPr>
        <w:rPr>
          <w:rFonts w:eastAsia="Palatino Linotype"/>
          <w:sz w:val="22"/>
          <w:szCs w:val="22"/>
          <w:lang w:val="es-ES"/>
        </w:rPr>
      </w:pPr>
    </w:p>
    <w:p w14:paraId="5AEFECDB" w14:textId="77777777" w:rsidR="00E255F4" w:rsidRDefault="00000000">
      <w:pPr>
        <w:ind w:right="-142"/>
        <w:jc w:val="both"/>
        <w:outlineLvl w:val="0"/>
        <w:rPr>
          <w:rFonts w:eastAsia="Palatino Linotype"/>
          <w:sz w:val="22"/>
          <w:szCs w:val="22"/>
          <w:lang w:val="es-ES"/>
        </w:rPr>
      </w:pPr>
      <w:bookmarkStart w:id="49" w:name="__RefHeading___Toc225377226"/>
      <w:bookmarkEnd w:id="49"/>
      <w:r>
        <w:rPr>
          <w:rFonts w:eastAsia="Palatino Linotype"/>
          <w:b/>
          <w:spacing w:val="-1"/>
          <w:sz w:val="22"/>
          <w:szCs w:val="22"/>
          <w:lang w:val="es-ES"/>
        </w:rPr>
        <w:t>1</w:t>
      </w:r>
      <w:r>
        <w:rPr>
          <w:rFonts w:eastAsia="Palatino Linotype"/>
          <w:b/>
          <w:sz w:val="22"/>
          <w:szCs w:val="22"/>
          <w:lang w:val="es-ES"/>
        </w:rPr>
        <w:t>6</w:t>
      </w:r>
      <w:r>
        <w:rPr>
          <w:rFonts w:eastAsia="Palatino Linotype"/>
          <w:b/>
          <w:spacing w:val="-2"/>
          <w:sz w:val="22"/>
          <w:szCs w:val="22"/>
          <w:lang w:val="es-ES"/>
        </w:rPr>
        <w:t xml:space="preserve"> </w:t>
      </w:r>
      <w:r>
        <w:rPr>
          <w:rFonts w:eastAsia="Palatino Linotype"/>
          <w:b/>
          <w:spacing w:val="-2"/>
          <w:sz w:val="22"/>
          <w:szCs w:val="22"/>
          <w:lang w:val="es-ES"/>
        </w:rPr>
        <w:tab/>
      </w:r>
      <w:proofErr w:type="spellStart"/>
      <w:r>
        <w:rPr>
          <w:rFonts w:eastAsia="Palatino Linotype"/>
          <w:b/>
          <w:spacing w:val="-1"/>
          <w:sz w:val="22"/>
          <w:szCs w:val="22"/>
          <w:lang w:val="es-ES"/>
        </w:rPr>
        <w:t>Notification</w:t>
      </w:r>
      <w:proofErr w:type="spellEnd"/>
    </w:p>
    <w:p w14:paraId="415E8478" w14:textId="77777777" w:rsidR="00E255F4" w:rsidRDefault="00E255F4">
      <w:pPr>
        <w:ind w:right="-142"/>
        <w:jc w:val="both"/>
        <w:rPr>
          <w:rFonts w:eastAsia="Palatino Linotype"/>
          <w:spacing w:val="-1"/>
          <w:sz w:val="22"/>
          <w:szCs w:val="22"/>
          <w:lang w:val="es-ES"/>
        </w:rPr>
      </w:pPr>
    </w:p>
    <w:p w14:paraId="620CD38C" w14:textId="77777777" w:rsidR="00E255F4" w:rsidRDefault="00000000">
      <w:pPr>
        <w:ind w:right="-142"/>
        <w:jc w:val="both"/>
        <w:rPr>
          <w:rFonts w:eastAsia="Palatino Linotype"/>
          <w:sz w:val="22"/>
          <w:szCs w:val="22"/>
          <w:lang w:val="es-ES"/>
        </w:rPr>
      </w:pPr>
      <w:proofErr w:type="spellStart"/>
      <w:r>
        <w:rPr>
          <w:rFonts w:eastAsia="Palatino Linotype"/>
          <w:spacing w:val="-1"/>
          <w:sz w:val="22"/>
          <w:szCs w:val="22"/>
          <w:lang w:val="es-ES"/>
        </w:rPr>
        <w:t>AND</w:t>
      </w:r>
      <w:r>
        <w:rPr>
          <w:rFonts w:eastAsia="Palatino Linotype"/>
          <w:sz w:val="22"/>
          <w:szCs w:val="22"/>
          <w:lang w:val="es-ES"/>
        </w:rPr>
        <w:t>The</w:t>
      </w:r>
      <w:proofErr w:type="spellEnd"/>
      <w:r>
        <w:rPr>
          <w:rFonts w:eastAsia="Palatino Linotype"/>
          <w:sz w:val="22"/>
          <w:szCs w:val="22"/>
          <w:lang w:val="es-ES"/>
        </w:rPr>
        <w:t xml:space="preserve"> administrative </w:t>
      </w:r>
      <w:proofErr w:type="spellStart"/>
      <w:r>
        <w:rPr>
          <w:rFonts w:eastAsia="Palatino Linotype"/>
          <w:sz w:val="22"/>
          <w:szCs w:val="22"/>
          <w:lang w:val="es-ES"/>
        </w:rPr>
        <w:t>act</w:t>
      </w:r>
      <w:proofErr w:type="spellEnd"/>
      <w:r>
        <w:rPr>
          <w:rFonts w:eastAsia="Palatino Linotype"/>
          <w:sz w:val="22"/>
          <w:szCs w:val="22"/>
          <w:lang w:val="es-ES"/>
        </w:rPr>
        <w:t xml:space="preserve"> </w:t>
      </w:r>
      <w:proofErr w:type="spellStart"/>
      <w:r>
        <w:rPr>
          <w:rFonts w:eastAsia="Palatino Linotype"/>
          <w:sz w:val="22"/>
          <w:szCs w:val="22"/>
          <w:lang w:val="es-ES"/>
        </w:rPr>
        <w:t>that</w:t>
      </w:r>
      <w:proofErr w:type="spellEnd"/>
      <w:r>
        <w:rPr>
          <w:rFonts w:eastAsia="Palatino Linotype"/>
          <w:sz w:val="22"/>
          <w:szCs w:val="22"/>
          <w:lang w:val="es-ES"/>
        </w:rPr>
        <w:t xml:space="preserve"> </w:t>
      </w:r>
      <w:proofErr w:type="spellStart"/>
      <w:r>
        <w:rPr>
          <w:rFonts w:eastAsia="Palatino Linotype"/>
          <w:sz w:val="22"/>
          <w:szCs w:val="22"/>
          <w:lang w:val="es-ES"/>
        </w:rPr>
        <w:t>orders</w:t>
      </w:r>
      <w:proofErr w:type="spellEnd"/>
      <w:r>
        <w:rPr>
          <w:rFonts w:eastAsia="Palatino Linotype"/>
          <w:sz w:val="22"/>
          <w:szCs w:val="22"/>
          <w:lang w:val="es-ES"/>
        </w:rPr>
        <w:t xml:space="preserve"> </w:t>
      </w:r>
      <w:proofErr w:type="spellStart"/>
      <w:r>
        <w:rPr>
          <w:rFonts w:eastAsia="Palatino Linotype"/>
          <w:sz w:val="22"/>
          <w:szCs w:val="22"/>
          <w:lang w:val="es-ES"/>
        </w:rPr>
        <w:t>the</w:t>
      </w:r>
      <w:proofErr w:type="spellEnd"/>
      <w:r>
        <w:rPr>
          <w:rFonts w:eastAsia="Palatino Linotype"/>
          <w:sz w:val="22"/>
          <w:szCs w:val="22"/>
          <w:lang w:val="es-ES"/>
        </w:rPr>
        <w:t xml:space="preserve"> </w:t>
      </w:r>
      <w:proofErr w:type="spellStart"/>
      <w:r>
        <w:rPr>
          <w:rFonts w:eastAsia="Palatino Linotype"/>
          <w:sz w:val="22"/>
          <w:szCs w:val="22"/>
          <w:lang w:val="es-ES"/>
        </w:rPr>
        <w:t>award</w:t>
      </w:r>
      <w:proofErr w:type="spellEnd"/>
      <w:r>
        <w:rPr>
          <w:rFonts w:eastAsia="Palatino Linotype"/>
          <w:sz w:val="22"/>
          <w:szCs w:val="22"/>
          <w:lang w:val="es-ES"/>
        </w:rPr>
        <w:t xml:space="preserve"> </w:t>
      </w:r>
      <w:proofErr w:type="spellStart"/>
      <w:r>
        <w:rPr>
          <w:rFonts w:eastAsia="Palatino Linotype"/>
          <w:sz w:val="22"/>
          <w:szCs w:val="22"/>
          <w:lang w:val="es-ES"/>
        </w:rPr>
        <w:t>or</w:t>
      </w:r>
      <w:proofErr w:type="spellEnd"/>
      <w:r>
        <w:rPr>
          <w:rFonts w:eastAsia="Palatino Linotype"/>
          <w:sz w:val="22"/>
          <w:szCs w:val="22"/>
          <w:lang w:val="es-ES"/>
        </w:rPr>
        <w:t xml:space="preserve"> </w:t>
      </w:r>
      <w:proofErr w:type="spellStart"/>
      <w:r>
        <w:rPr>
          <w:rFonts w:eastAsia="Palatino Linotype"/>
          <w:sz w:val="22"/>
          <w:szCs w:val="22"/>
          <w:lang w:val="es-ES"/>
        </w:rPr>
        <w:t>rejection</w:t>
      </w:r>
      <w:proofErr w:type="spellEnd"/>
      <w:r>
        <w:rPr>
          <w:rFonts w:eastAsia="Palatino Linotype"/>
          <w:sz w:val="22"/>
          <w:szCs w:val="22"/>
          <w:lang w:val="es-ES"/>
        </w:rPr>
        <w:t xml:space="preserve"> </w:t>
      </w:r>
      <w:proofErr w:type="spellStart"/>
      <w:r>
        <w:rPr>
          <w:rFonts w:eastAsia="Palatino Linotype"/>
          <w:sz w:val="22"/>
          <w:szCs w:val="22"/>
          <w:lang w:val="es-ES"/>
        </w:rPr>
        <w:t>of</w:t>
      </w:r>
      <w:proofErr w:type="spellEnd"/>
      <w:r>
        <w:rPr>
          <w:rFonts w:eastAsia="Palatino Linotype"/>
          <w:sz w:val="22"/>
          <w:szCs w:val="22"/>
          <w:lang w:val="es-ES"/>
        </w:rPr>
        <w:t xml:space="preserve"> </w:t>
      </w:r>
      <w:proofErr w:type="spellStart"/>
      <w:r>
        <w:rPr>
          <w:rFonts w:eastAsia="Palatino Linotype"/>
          <w:sz w:val="22"/>
          <w:szCs w:val="22"/>
          <w:lang w:val="es-ES"/>
        </w:rPr>
        <w:t>bids</w:t>
      </w:r>
      <w:proofErr w:type="spellEnd"/>
      <w:r>
        <w:rPr>
          <w:rFonts w:eastAsia="Palatino Linotype"/>
          <w:sz w:val="22"/>
          <w:szCs w:val="22"/>
          <w:lang w:val="es-ES"/>
        </w:rPr>
        <w:t xml:space="preserve"> </w:t>
      </w:r>
      <w:proofErr w:type="spellStart"/>
      <w:r>
        <w:rPr>
          <w:rFonts w:eastAsia="Palatino Linotype"/>
          <w:sz w:val="22"/>
          <w:szCs w:val="22"/>
          <w:lang w:val="es-ES"/>
        </w:rPr>
        <w:t>will</w:t>
      </w:r>
      <w:proofErr w:type="spellEnd"/>
      <w:r>
        <w:rPr>
          <w:rFonts w:eastAsia="Palatino Linotype"/>
          <w:sz w:val="22"/>
          <w:szCs w:val="22"/>
          <w:lang w:val="es-ES"/>
        </w:rPr>
        <w:t xml:space="preserve"> be </w:t>
      </w:r>
      <w:proofErr w:type="spellStart"/>
      <w:r>
        <w:rPr>
          <w:rFonts w:eastAsia="Palatino Linotype"/>
          <w:sz w:val="22"/>
          <w:szCs w:val="22"/>
          <w:lang w:val="es-ES"/>
        </w:rPr>
        <w:t>notified</w:t>
      </w:r>
      <w:proofErr w:type="spellEnd"/>
      <w:r>
        <w:rPr>
          <w:rFonts w:eastAsia="Palatino Linotype"/>
          <w:sz w:val="22"/>
          <w:szCs w:val="22"/>
          <w:lang w:val="es-ES"/>
        </w:rPr>
        <w:t xml:space="preserve"> </w:t>
      </w:r>
      <w:proofErr w:type="spellStart"/>
      <w:r>
        <w:rPr>
          <w:rFonts w:eastAsia="Palatino Linotype"/>
          <w:sz w:val="22"/>
          <w:szCs w:val="22"/>
          <w:lang w:val="es-ES"/>
        </w:rPr>
        <w:t>to</w:t>
      </w:r>
      <w:proofErr w:type="spellEnd"/>
      <w:r>
        <w:rPr>
          <w:rFonts w:eastAsia="Palatino Linotype"/>
          <w:sz w:val="22"/>
          <w:szCs w:val="22"/>
          <w:lang w:val="es-ES"/>
        </w:rPr>
        <w:t xml:space="preserve"> </w:t>
      </w:r>
      <w:proofErr w:type="spellStart"/>
      <w:r>
        <w:rPr>
          <w:rFonts w:eastAsia="Palatino Linotype"/>
          <w:sz w:val="22"/>
          <w:szCs w:val="22"/>
          <w:lang w:val="es-ES"/>
        </w:rPr>
        <w:t>all</w:t>
      </w:r>
      <w:proofErr w:type="spellEnd"/>
      <w:r>
        <w:rPr>
          <w:rFonts w:eastAsia="Palatino Linotype"/>
          <w:sz w:val="22"/>
          <w:szCs w:val="22"/>
          <w:lang w:val="es-ES"/>
        </w:rPr>
        <w:t xml:space="preserve"> </w:t>
      </w:r>
      <w:proofErr w:type="spellStart"/>
      <w:r>
        <w:rPr>
          <w:rFonts w:eastAsia="Palatino Linotype"/>
          <w:sz w:val="22"/>
          <w:szCs w:val="22"/>
          <w:lang w:val="es-ES"/>
        </w:rPr>
        <w:t>bidders</w:t>
      </w:r>
      <w:proofErr w:type="spellEnd"/>
      <w:r>
        <w:rPr>
          <w:rFonts w:eastAsia="Palatino Linotype"/>
          <w:sz w:val="22"/>
          <w:szCs w:val="22"/>
          <w:lang w:val="es-ES"/>
        </w:rPr>
        <w:t>.</w:t>
      </w:r>
    </w:p>
    <w:p w14:paraId="211C878A" w14:textId="77777777" w:rsidR="00E255F4" w:rsidRDefault="00E255F4">
      <w:pPr>
        <w:rPr>
          <w:rFonts w:eastAsia="Palatino Linotype"/>
          <w:sz w:val="22"/>
          <w:szCs w:val="22"/>
          <w:lang w:val="es-ES"/>
        </w:rPr>
      </w:pPr>
    </w:p>
    <w:p w14:paraId="5E887F44" w14:textId="77777777" w:rsidR="00E255F4" w:rsidRDefault="00000000">
      <w:pPr>
        <w:ind w:right="-142"/>
        <w:jc w:val="both"/>
        <w:outlineLvl w:val="0"/>
        <w:rPr>
          <w:rFonts w:eastAsia="Palatino Linotype"/>
          <w:sz w:val="22"/>
          <w:szCs w:val="22"/>
          <w:lang w:val="es-ES"/>
        </w:rPr>
      </w:pPr>
      <w:bookmarkStart w:id="50" w:name="__RefHeading___Toc225377227"/>
      <w:bookmarkEnd w:id="50"/>
      <w:r>
        <w:rPr>
          <w:rFonts w:eastAsia="Palatino Linotype"/>
          <w:b/>
          <w:spacing w:val="-1"/>
          <w:sz w:val="22"/>
          <w:szCs w:val="22"/>
          <w:lang w:val="es-ES"/>
        </w:rPr>
        <w:t>1</w:t>
      </w:r>
      <w:r>
        <w:rPr>
          <w:rFonts w:eastAsia="Palatino Linotype"/>
          <w:b/>
          <w:sz w:val="22"/>
          <w:szCs w:val="22"/>
          <w:lang w:val="es-ES"/>
        </w:rPr>
        <w:t>7</w:t>
      </w:r>
      <w:r>
        <w:rPr>
          <w:rFonts w:eastAsia="Palatino Linotype"/>
          <w:b/>
          <w:spacing w:val="-2"/>
          <w:sz w:val="22"/>
          <w:szCs w:val="22"/>
          <w:lang w:val="es-ES"/>
        </w:rPr>
        <w:t xml:space="preserve"> </w:t>
      </w:r>
      <w:r>
        <w:rPr>
          <w:rFonts w:eastAsia="Palatino Linotype"/>
          <w:b/>
          <w:spacing w:val="-2"/>
          <w:sz w:val="22"/>
          <w:szCs w:val="22"/>
          <w:lang w:val="es-ES"/>
        </w:rPr>
        <w:tab/>
      </w:r>
      <w:proofErr w:type="spellStart"/>
      <w:r>
        <w:rPr>
          <w:rFonts w:eastAsia="Palatino Linotype"/>
          <w:b/>
          <w:spacing w:val="-1"/>
          <w:sz w:val="22"/>
          <w:szCs w:val="22"/>
          <w:lang w:val="es-ES"/>
        </w:rPr>
        <w:t>Return</w:t>
      </w:r>
      <w:r>
        <w:rPr>
          <w:rFonts w:eastAsia="Palatino Linotype"/>
          <w:b/>
          <w:sz w:val="22"/>
          <w:szCs w:val="22"/>
          <w:lang w:val="es-ES"/>
        </w:rPr>
        <w:t>n</w:t>
      </w:r>
      <w:proofErr w:type="spellEnd"/>
      <w:r>
        <w:rPr>
          <w:rFonts w:eastAsia="Palatino Linotype"/>
          <w:b/>
          <w:sz w:val="22"/>
          <w:szCs w:val="22"/>
          <w:lang w:val="es-ES"/>
        </w:rPr>
        <w:t xml:space="preserve"> </w:t>
      </w:r>
      <w:proofErr w:type="spellStart"/>
      <w:r>
        <w:rPr>
          <w:rFonts w:eastAsia="Palatino Linotype"/>
          <w:b/>
          <w:sz w:val="22"/>
          <w:szCs w:val="22"/>
          <w:lang w:val="es-ES"/>
        </w:rPr>
        <w:t>of</w:t>
      </w:r>
      <w:proofErr w:type="spellEnd"/>
      <w:r>
        <w:rPr>
          <w:rFonts w:eastAsia="Palatino Linotype"/>
          <w:b/>
          <w:sz w:val="22"/>
          <w:szCs w:val="22"/>
          <w:lang w:val="es-ES"/>
        </w:rPr>
        <w:t xml:space="preserve"> </w:t>
      </w:r>
      <w:proofErr w:type="spellStart"/>
      <w:r>
        <w:rPr>
          <w:rFonts w:eastAsia="Palatino Linotype"/>
          <w:b/>
          <w:sz w:val="22"/>
          <w:szCs w:val="22"/>
          <w:lang w:val="es-ES"/>
        </w:rPr>
        <w:t>the</w:t>
      </w:r>
      <w:proofErr w:type="spellEnd"/>
      <w:r>
        <w:rPr>
          <w:rFonts w:eastAsia="Palatino Linotype"/>
          <w:b/>
          <w:sz w:val="22"/>
          <w:szCs w:val="22"/>
          <w:lang w:val="es-ES"/>
        </w:rPr>
        <w:t xml:space="preserve"> </w:t>
      </w:r>
      <w:proofErr w:type="spellStart"/>
      <w:r>
        <w:rPr>
          <w:rFonts w:eastAsia="Palatino Linotype"/>
          <w:b/>
          <w:sz w:val="22"/>
          <w:szCs w:val="22"/>
          <w:lang w:val="es-ES"/>
        </w:rPr>
        <w:t>offer</w:t>
      </w:r>
      <w:proofErr w:type="spellEnd"/>
      <w:r>
        <w:rPr>
          <w:rFonts w:eastAsia="Palatino Linotype"/>
          <w:b/>
          <w:sz w:val="22"/>
          <w:szCs w:val="22"/>
          <w:lang w:val="es-ES"/>
        </w:rPr>
        <w:t xml:space="preserve"> </w:t>
      </w:r>
      <w:proofErr w:type="spellStart"/>
      <w:r>
        <w:rPr>
          <w:rFonts w:eastAsia="Palatino Linotype"/>
          <w:b/>
          <w:sz w:val="22"/>
          <w:szCs w:val="22"/>
          <w:lang w:val="es-ES"/>
        </w:rPr>
        <w:t>maintenance</w:t>
      </w:r>
      <w:proofErr w:type="spellEnd"/>
      <w:r>
        <w:rPr>
          <w:rFonts w:eastAsia="Palatino Linotype"/>
          <w:b/>
          <w:sz w:val="22"/>
          <w:szCs w:val="22"/>
          <w:lang w:val="es-ES"/>
        </w:rPr>
        <w:t xml:space="preserve"> </w:t>
      </w:r>
      <w:proofErr w:type="spellStart"/>
      <w:r>
        <w:rPr>
          <w:rFonts w:eastAsia="Palatino Linotype"/>
          <w:b/>
          <w:sz w:val="22"/>
          <w:szCs w:val="22"/>
          <w:lang w:val="es-ES"/>
        </w:rPr>
        <w:t>guarantees</w:t>
      </w:r>
      <w:proofErr w:type="spellEnd"/>
    </w:p>
    <w:p w14:paraId="35872E24" w14:textId="77777777" w:rsidR="00E255F4" w:rsidRDefault="00E255F4">
      <w:pPr>
        <w:ind w:right="-142"/>
        <w:jc w:val="both"/>
        <w:rPr>
          <w:rFonts w:eastAsia="Palatino Linotype"/>
          <w:spacing w:val="-1"/>
          <w:sz w:val="22"/>
          <w:szCs w:val="22"/>
          <w:lang w:val="es-ES"/>
        </w:rPr>
      </w:pPr>
    </w:p>
    <w:p w14:paraId="1E01FE23" w14:textId="77777777" w:rsidR="00E255F4" w:rsidRDefault="00000000">
      <w:pPr>
        <w:ind w:right="-142"/>
        <w:jc w:val="both"/>
        <w:rPr>
          <w:rFonts w:eastAsia="Palatino Linotype"/>
          <w:sz w:val="22"/>
          <w:szCs w:val="22"/>
          <w:lang w:val="es-ES"/>
        </w:rPr>
      </w:pPr>
      <w:proofErr w:type="spellStart"/>
      <w:r>
        <w:rPr>
          <w:rFonts w:eastAsia="Palatino Linotype"/>
          <w:spacing w:val="-1"/>
          <w:sz w:val="22"/>
          <w:szCs w:val="22"/>
          <w:lang w:val="es-ES"/>
        </w:rPr>
        <w:t>When</w:t>
      </w:r>
      <w:r>
        <w:rPr>
          <w:rFonts w:eastAsia="Palatino Linotype"/>
          <w:sz w:val="22"/>
          <w:szCs w:val="22"/>
          <w:lang w:val="es-ES"/>
        </w:rPr>
        <w:t>or</w:t>
      </w:r>
      <w:proofErr w:type="spellEnd"/>
      <w:r>
        <w:rPr>
          <w:rFonts w:eastAsia="Palatino Linotype"/>
          <w:sz w:val="22"/>
          <w:szCs w:val="22"/>
          <w:lang w:val="es-ES"/>
        </w:rPr>
        <w:t xml:space="preserve"> </w:t>
      </w:r>
      <w:proofErr w:type="spellStart"/>
      <w:r>
        <w:rPr>
          <w:rFonts w:eastAsia="Palatino Linotype"/>
          <w:sz w:val="22"/>
          <w:szCs w:val="22"/>
          <w:lang w:val="es-ES"/>
        </w:rPr>
        <w:t>if</w:t>
      </w:r>
      <w:proofErr w:type="spellEnd"/>
      <w:r>
        <w:rPr>
          <w:rFonts w:eastAsia="Palatino Linotype"/>
          <w:sz w:val="22"/>
          <w:szCs w:val="22"/>
          <w:lang w:val="es-ES"/>
        </w:rPr>
        <w:t xml:space="preserve"> </w:t>
      </w:r>
      <w:proofErr w:type="spellStart"/>
      <w:r>
        <w:rPr>
          <w:rFonts w:eastAsia="Palatino Linotype"/>
          <w:sz w:val="22"/>
          <w:szCs w:val="22"/>
          <w:lang w:val="es-ES"/>
        </w:rPr>
        <w:t>all</w:t>
      </w:r>
      <w:proofErr w:type="spellEnd"/>
      <w:r>
        <w:rPr>
          <w:rFonts w:eastAsia="Palatino Linotype"/>
          <w:sz w:val="22"/>
          <w:szCs w:val="22"/>
          <w:lang w:val="es-ES"/>
        </w:rPr>
        <w:t xml:space="preserve"> </w:t>
      </w:r>
      <w:proofErr w:type="spellStart"/>
      <w:r>
        <w:rPr>
          <w:rFonts w:eastAsia="Palatino Linotype"/>
          <w:sz w:val="22"/>
          <w:szCs w:val="22"/>
          <w:lang w:val="es-ES"/>
        </w:rPr>
        <w:t>offers</w:t>
      </w:r>
      <w:proofErr w:type="spellEnd"/>
      <w:r>
        <w:rPr>
          <w:rFonts w:eastAsia="Palatino Linotype"/>
          <w:sz w:val="22"/>
          <w:szCs w:val="22"/>
          <w:lang w:val="es-ES"/>
        </w:rPr>
        <w:t xml:space="preserve"> </w:t>
      </w:r>
      <w:proofErr w:type="spellStart"/>
      <w:r>
        <w:rPr>
          <w:rFonts w:eastAsia="Palatino Linotype"/>
          <w:sz w:val="22"/>
          <w:szCs w:val="22"/>
          <w:lang w:val="es-ES"/>
        </w:rPr>
        <w:t>have</w:t>
      </w:r>
      <w:proofErr w:type="spellEnd"/>
      <w:r>
        <w:rPr>
          <w:rFonts w:eastAsia="Palatino Linotype"/>
          <w:sz w:val="22"/>
          <w:szCs w:val="22"/>
          <w:lang w:val="es-ES"/>
        </w:rPr>
        <w:t xml:space="preserve"> </w:t>
      </w:r>
      <w:proofErr w:type="spellStart"/>
      <w:r>
        <w:rPr>
          <w:rFonts w:eastAsia="Palatino Linotype"/>
          <w:sz w:val="22"/>
          <w:szCs w:val="22"/>
          <w:lang w:val="es-ES"/>
        </w:rPr>
        <w:t>been</w:t>
      </w:r>
      <w:proofErr w:type="spellEnd"/>
      <w:r>
        <w:rPr>
          <w:rFonts w:eastAsia="Palatino Linotype"/>
          <w:sz w:val="22"/>
          <w:szCs w:val="22"/>
          <w:lang w:val="es-ES"/>
        </w:rPr>
        <w:t xml:space="preserve"> </w:t>
      </w:r>
      <w:proofErr w:type="spellStart"/>
      <w:r>
        <w:rPr>
          <w:rFonts w:eastAsia="Palatino Linotype"/>
          <w:sz w:val="22"/>
          <w:szCs w:val="22"/>
          <w:lang w:val="es-ES"/>
        </w:rPr>
        <w:t>rejected</w:t>
      </w:r>
      <w:proofErr w:type="spellEnd"/>
      <w:r>
        <w:rPr>
          <w:rFonts w:eastAsia="Palatino Linotype"/>
          <w:sz w:val="22"/>
          <w:szCs w:val="22"/>
          <w:lang w:val="es-ES"/>
        </w:rPr>
        <w:t xml:space="preserve">, </w:t>
      </w:r>
      <w:proofErr w:type="spellStart"/>
      <w:r>
        <w:rPr>
          <w:rFonts w:eastAsia="Palatino Linotype"/>
          <w:sz w:val="22"/>
          <w:szCs w:val="22"/>
          <w:lang w:val="es-ES"/>
        </w:rPr>
        <w:t>the</w:t>
      </w:r>
      <w:proofErr w:type="spellEnd"/>
      <w:r>
        <w:rPr>
          <w:rFonts w:eastAsia="Palatino Linotype"/>
          <w:sz w:val="22"/>
          <w:szCs w:val="22"/>
          <w:lang w:val="es-ES"/>
        </w:rPr>
        <w:t xml:space="preserve"> </w:t>
      </w:r>
      <w:proofErr w:type="spellStart"/>
      <w:r>
        <w:rPr>
          <w:rFonts w:eastAsia="Palatino Linotype"/>
          <w:sz w:val="22"/>
          <w:szCs w:val="22"/>
          <w:lang w:val="es-ES"/>
        </w:rPr>
        <w:t>bid</w:t>
      </w:r>
      <w:proofErr w:type="spellEnd"/>
      <w:r>
        <w:rPr>
          <w:rFonts w:eastAsia="Palatino Linotype"/>
          <w:sz w:val="22"/>
          <w:szCs w:val="22"/>
          <w:lang w:val="es-ES"/>
        </w:rPr>
        <w:t xml:space="preserve"> </w:t>
      </w:r>
      <w:proofErr w:type="spellStart"/>
      <w:r>
        <w:rPr>
          <w:rFonts w:eastAsia="Palatino Linotype"/>
          <w:sz w:val="22"/>
          <w:szCs w:val="22"/>
          <w:lang w:val="es-ES"/>
        </w:rPr>
        <w:t>maintenance</w:t>
      </w:r>
      <w:proofErr w:type="spellEnd"/>
      <w:r>
        <w:rPr>
          <w:rFonts w:eastAsia="Palatino Linotype"/>
          <w:sz w:val="22"/>
          <w:szCs w:val="22"/>
          <w:lang w:val="es-ES"/>
        </w:rPr>
        <w:t xml:space="preserve"> </w:t>
      </w:r>
      <w:proofErr w:type="spellStart"/>
      <w:r>
        <w:rPr>
          <w:rFonts w:eastAsia="Palatino Linotype"/>
          <w:sz w:val="22"/>
          <w:szCs w:val="22"/>
          <w:lang w:val="es-ES"/>
        </w:rPr>
        <w:t>guarantees</w:t>
      </w:r>
      <w:proofErr w:type="spellEnd"/>
      <w:r>
        <w:rPr>
          <w:rFonts w:eastAsia="Palatino Linotype"/>
          <w:sz w:val="22"/>
          <w:szCs w:val="22"/>
          <w:lang w:val="es-ES"/>
        </w:rPr>
        <w:t xml:space="preserve"> </w:t>
      </w:r>
      <w:proofErr w:type="spellStart"/>
      <w:r>
        <w:rPr>
          <w:rFonts w:eastAsia="Palatino Linotype"/>
          <w:sz w:val="22"/>
          <w:szCs w:val="22"/>
          <w:lang w:val="es-ES"/>
        </w:rPr>
        <w:t>provided</w:t>
      </w:r>
      <w:proofErr w:type="spellEnd"/>
      <w:r>
        <w:rPr>
          <w:rFonts w:eastAsia="Palatino Linotype"/>
          <w:sz w:val="22"/>
          <w:szCs w:val="22"/>
          <w:lang w:val="es-ES"/>
        </w:rPr>
        <w:t xml:space="preserve"> </w:t>
      </w:r>
      <w:proofErr w:type="spellStart"/>
      <w:r>
        <w:rPr>
          <w:rFonts w:eastAsia="Palatino Linotype"/>
          <w:sz w:val="22"/>
          <w:szCs w:val="22"/>
          <w:lang w:val="es-ES"/>
        </w:rPr>
        <w:t>will</w:t>
      </w:r>
      <w:proofErr w:type="spellEnd"/>
      <w:r>
        <w:rPr>
          <w:rFonts w:eastAsia="Palatino Linotype"/>
          <w:sz w:val="22"/>
          <w:szCs w:val="22"/>
          <w:lang w:val="es-ES"/>
        </w:rPr>
        <w:t xml:space="preserve"> be </w:t>
      </w:r>
      <w:proofErr w:type="spellStart"/>
      <w:r>
        <w:rPr>
          <w:rFonts w:eastAsia="Palatino Linotype"/>
          <w:sz w:val="22"/>
          <w:szCs w:val="22"/>
          <w:lang w:val="es-ES"/>
        </w:rPr>
        <w:t>returned</w:t>
      </w:r>
      <w:proofErr w:type="spellEnd"/>
      <w:r>
        <w:rPr>
          <w:rFonts w:eastAsia="Palatino Linotype"/>
          <w:sz w:val="22"/>
          <w:szCs w:val="22"/>
          <w:lang w:val="es-ES"/>
        </w:rPr>
        <w:t>.</w:t>
      </w:r>
    </w:p>
    <w:p w14:paraId="4D7F3D23" w14:textId="77777777" w:rsidR="00E255F4" w:rsidRDefault="00E255F4">
      <w:pPr>
        <w:ind w:right="-142"/>
        <w:jc w:val="both"/>
        <w:rPr>
          <w:rFonts w:eastAsia="Palatino Linotype"/>
          <w:sz w:val="22"/>
          <w:szCs w:val="22"/>
          <w:lang w:val="es-ES"/>
        </w:rPr>
      </w:pPr>
    </w:p>
    <w:p w14:paraId="255938F0" w14:textId="77777777" w:rsidR="00E255F4" w:rsidRDefault="00000000">
      <w:pPr>
        <w:ind w:right="-142"/>
        <w:jc w:val="both"/>
        <w:rPr>
          <w:rFonts w:eastAsia="Palatino Linotype"/>
          <w:sz w:val="22"/>
          <w:szCs w:val="22"/>
          <w:lang w:val="es-ES"/>
        </w:rPr>
      </w:pPr>
      <w:proofErr w:type="spellStart"/>
      <w:r>
        <w:rPr>
          <w:rFonts w:eastAsia="Palatino Linotype"/>
          <w:spacing w:val="1"/>
          <w:position w:val="1"/>
          <w:sz w:val="22"/>
          <w:szCs w:val="22"/>
          <w:lang w:val="es-ES"/>
        </w:rPr>
        <w:t>Awarded</w:t>
      </w:r>
      <w:r>
        <w:rPr>
          <w:rFonts w:eastAsia="Palatino Linotype"/>
          <w:position w:val="1"/>
          <w:sz w:val="22"/>
          <w:szCs w:val="22"/>
          <w:lang w:val="es-ES"/>
        </w:rPr>
        <w:t>Once</w:t>
      </w:r>
      <w:proofErr w:type="spellEnd"/>
      <w:r>
        <w:rPr>
          <w:rFonts w:eastAsia="Palatino Linotype"/>
          <w:position w:val="1"/>
          <w:sz w:val="22"/>
          <w:szCs w:val="22"/>
          <w:lang w:val="es-ES"/>
        </w:rPr>
        <w:t xml:space="preserve"> a </w:t>
      </w:r>
      <w:proofErr w:type="spellStart"/>
      <w:r>
        <w:rPr>
          <w:rFonts w:eastAsia="Palatino Linotype"/>
          <w:position w:val="1"/>
          <w:sz w:val="22"/>
          <w:szCs w:val="22"/>
          <w:lang w:val="es-ES"/>
        </w:rPr>
        <w:t>proposal</w:t>
      </w:r>
      <w:proofErr w:type="spellEnd"/>
      <w:r>
        <w:rPr>
          <w:rFonts w:eastAsia="Palatino Linotype"/>
          <w:position w:val="1"/>
          <w:sz w:val="22"/>
          <w:szCs w:val="22"/>
          <w:lang w:val="es-ES"/>
        </w:rPr>
        <w:t xml:space="preserve"> has </w:t>
      </w:r>
      <w:proofErr w:type="spellStart"/>
      <w:r>
        <w:rPr>
          <w:rFonts w:eastAsia="Palatino Linotype"/>
          <w:position w:val="1"/>
          <w:sz w:val="22"/>
          <w:szCs w:val="22"/>
          <w:lang w:val="es-ES"/>
        </w:rPr>
        <w:t>been</w:t>
      </w:r>
      <w:proofErr w:type="spellEnd"/>
      <w:r>
        <w:rPr>
          <w:rFonts w:eastAsia="Palatino Linotype"/>
          <w:position w:val="1"/>
          <w:sz w:val="22"/>
          <w:szCs w:val="22"/>
          <w:lang w:val="es-ES"/>
        </w:rPr>
        <w:t xml:space="preserve"> </w:t>
      </w:r>
      <w:proofErr w:type="spellStart"/>
      <w:r>
        <w:rPr>
          <w:rFonts w:eastAsia="Palatino Linotype"/>
          <w:position w:val="1"/>
          <w:sz w:val="22"/>
          <w:szCs w:val="22"/>
          <w:lang w:val="es-ES"/>
        </w:rPr>
        <w:t>submitted</w:t>
      </w:r>
      <w:proofErr w:type="spellEnd"/>
      <w:r>
        <w:rPr>
          <w:rFonts w:eastAsia="Palatino Linotype"/>
          <w:position w:val="1"/>
          <w:sz w:val="22"/>
          <w:szCs w:val="22"/>
          <w:lang w:val="es-ES"/>
        </w:rPr>
        <w:t xml:space="preserve"> and </w:t>
      </w:r>
      <w:proofErr w:type="spellStart"/>
      <w:r>
        <w:rPr>
          <w:rFonts w:eastAsia="Palatino Linotype"/>
          <w:position w:val="1"/>
          <w:sz w:val="22"/>
          <w:szCs w:val="22"/>
          <w:lang w:val="es-ES"/>
        </w:rPr>
        <w:t>the</w:t>
      </w:r>
      <w:proofErr w:type="spellEnd"/>
      <w:r>
        <w:rPr>
          <w:rFonts w:eastAsia="Palatino Linotype"/>
          <w:position w:val="1"/>
          <w:sz w:val="22"/>
          <w:szCs w:val="22"/>
          <w:lang w:val="es-ES"/>
        </w:rPr>
        <w:t xml:space="preserve"> </w:t>
      </w:r>
      <w:proofErr w:type="spellStart"/>
      <w:r>
        <w:rPr>
          <w:rFonts w:eastAsia="Palatino Linotype"/>
          <w:position w:val="1"/>
          <w:sz w:val="22"/>
          <w:szCs w:val="22"/>
          <w:lang w:val="es-ES"/>
        </w:rPr>
        <w:t>contract</w:t>
      </w:r>
      <w:proofErr w:type="spellEnd"/>
      <w:r>
        <w:rPr>
          <w:rFonts w:eastAsia="Palatino Linotype"/>
          <w:position w:val="1"/>
          <w:sz w:val="22"/>
          <w:szCs w:val="22"/>
          <w:lang w:val="es-ES"/>
        </w:rPr>
        <w:t xml:space="preserve"> has </w:t>
      </w:r>
      <w:proofErr w:type="spellStart"/>
      <w:r>
        <w:rPr>
          <w:rFonts w:eastAsia="Palatino Linotype"/>
          <w:position w:val="1"/>
          <w:sz w:val="22"/>
          <w:szCs w:val="22"/>
          <w:lang w:val="es-ES"/>
        </w:rPr>
        <w:t>been</w:t>
      </w:r>
      <w:proofErr w:type="spellEnd"/>
      <w:r>
        <w:rPr>
          <w:rFonts w:eastAsia="Palatino Linotype"/>
          <w:position w:val="1"/>
          <w:sz w:val="22"/>
          <w:szCs w:val="22"/>
          <w:lang w:val="es-ES"/>
        </w:rPr>
        <w:t xml:space="preserve"> </w:t>
      </w:r>
      <w:proofErr w:type="spellStart"/>
      <w:r>
        <w:rPr>
          <w:rFonts w:eastAsia="Palatino Linotype"/>
          <w:position w:val="1"/>
          <w:sz w:val="22"/>
          <w:szCs w:val="22"/>
          <w:lang w:val="es-ES"/>
        </w:rPr>
        <w:t>perfected</w:t>
      </w:r>
      <w:proofErr w:type="spellEnd"/>
      <w:r>
        <w:rPr>
          <w:rFonts w:eastAsia="Palatino Linotype"/>
          <w:position w:val="1"/>
          <w:sz w:val="22"/>
          <w:szCs w:val="22"/>
          <w:lang w:val="es-ES"/>
        </w:rPr>
        <w:t xml:space="preserve"> in </w:t>
      </w:r>
      <w:proofErr w:type="spellStart"/>
      <w:r>
        <w:rPr>
          <w:rFonts w:eastAsia="Palatino Linotype"/>
          <w:position w:val="1"/>
          <w:sz w:val="22"/>
          <w:szCs w:val="22"/>
          <w:lang w:val="es-ES"/>
        </w:rPr>
        <w:t>accordance</w:t>
      </w:r>
      <w:proofErr w:type="spellEnd"/>
      <w:r>
        <w:rPr>
          <w:rFonts w:eastAsia="Palatino Linotype"/>
          <w:position w:val="1"/>
          <w:sz w:val="22"/>
          <w:szCs w:val="22"/>
          <w:lang w:val="es-ES"/>
        </w:rPr>
        <w:t xml:space="preserve"> </w:t>
      </w:r>
      <w:proofErr w:type="spellStart"/>
      <w:r>
        <w:rPr>
          <w:rFonts w:eastAsia="Palatino Linotype"/>
          <w:position w:val="1"/>
          <w:sz w:val="22"/>
          <w:szCs w:val="22"/>
          <w:lang w:val="es-ES"/>
        </w:rPr>
        <w:t>with</w:t>
      </w:r>
      <w:proofErr w:type="spellEnd"/>
      <w:r>
        <w:rPr>
          <w:rFonts w:eastAsia="Palatino Linotype"/>
          <w:position w:val="1"/>
          <w:sz w:val="22"/>
          <w:szCs w:val="22"/>
          <w:lang w:val="es-ES"/>
        </w:rPr>
        <w:t xml:space="preserve"> </w:t>
      </w:r>
      <w:proofErr w:type="spellStart"/>
      <w:r>
        <w:rPr>
          <w:rFonts w:eastAsia="Palatino Linotype"/>
          <w:position w:val="1"/>
          <w:sz w:val="22"/>
          <w:szCs w:val="22"/>
          <w:lang w:val="es-ES"/>
        </w:rPr>
        <w:t>Article</w:t>
      </w:r>
      <w:proofErr w:type="spellEnd"/>
      <w:r>
        <w:rPr>
          <w:rFonts w:eastAsia="Palatino Linotype"/>
          <w:position w:val="1"/>
          <w:sz w:val="22"/>
          <w:szCs w:val="22"/>
          <w:lang w:val="es-ES"/>
        </w:rPr>
        <w:t xml:space="preserve"> 69 </w:t>
      </w:r>
      <w:proofErr w:type="spellStart"/>
      <w:r>
        <w:rPr>
          <w:rFonts w:eastAsia="Palatino Linotype"/>
          <w:position w:val="1"/>
          <w:sz w:val="22"/>
          <w:szCs w:val="22"/>
          <w:lang w:val="es-ES"/>
        </w:rPr>
        <w:t>of</w:t>
      </w:r>
      <w:proofErr w:type="spellEnd"/>
      <w:r>
        <w:rPr>
          <w:rFonts w:eastAsia="Palatino Linotype"/>
          <w:position w:val="1"/>
          <w:sz w:val="22"/>
          <w:szCs w:val="22"/>
          <w:lang w:val="es-ES"/>
        </w:rPr>
        <w:t xml:space="preserve"> </w:t>
      </w:r>
      <w:proofErr w:type="spellStart"/>
      <w:r>
        <w:rPr>
          <w:rFonts w:eastAsia="Palatino Linotype"/>
          <w:position w:val="1"/>
          <w:sz w:val="22"/>
          <w:szCs w:val="22"/>
          <w:lang w:val="es-ES"/>
        </w:rPr>
        <w:t>the</w:t>
      </w:r>
      <w:proofErr w:type="spellEnd"/>
      <w:r>
        <w:rPr>
          <w:rFonts w:eastAsia="Palatino Linotype"/>
          <w:position w:val="1"/>
          <w:sz w:val="22"/>
          <w:szCs w:val="22"/>
          <w:lang w:val="es-ES"/>
        </w:rPr>
        <w:t xml:space="preserve"> TOCAF, </w:t>
      </w:r>
      <w:proofErr w:type="spellStart"/>
      <w:r>
        <w:rPr>
          <w:rFonts w:eastAsia="Palatino Linotype"/>
          <w:position w:val="1"/>
          <w:sz w:val="22"/>
          <w:szCs w:val="22"/>
          <w:lang w:val="es-ES"/>
        </w:rPr>
        <w:t>the</w:t>
      </w:r>
      <w:proofErr w:type="spellEnd"/>
      <w:r>
        <w:rPr>
          <w:rFonts w:eastAsia="Palatino Linotype"/>
          <w:position w:val="1"/>
          <w:sz w:val="22"/>
          <w:szCs w:val="22"/>
          <w:lang w:val="es-ES"/>
        </w:rPr>
        <w:t xml:space="preserve"> </w:t>
      </w:r>
      <w:proofErr w:type="spellStart"/>
      <w:r>
        <w:rPr>
          <w:rFonts w:eastAsia="Palatino Linotype"/>
          <w:position w:val="1"/>
          <w:sz w:val="22"/>
          <w:szCs w:val="22"/>
          <w:lang w:val="es-ES"/>
        </w:rPr>
        <w:t>bid</w:t>
      </w:r>
      <w:proofErr w:type="spellEnd"/>
      <w:r>
        <w:rPr>
          <w:rFonts w:eastAsia="Palatino Linotype"/>
          <w:position w:val="1"/>
          <w:sz w:val="22"/>
          <w:szCs w:val="22"/>
          <w:lang w:val="es-ES"/>
        </w:rPr>
        <w:t xml:space="preserve"> </w:t>
      </w:r>
      <w:proofErr w:type="spellStart"/>
      <w:r>
        <w:rPr>
          <w:rFonts w:eastAsia="Palatino Linotype"/>
          <w:position w:val="1"/>
          <w:sz w:val="22"/>
          <w:szCs w:val="22"/>
          <w:lang w:val="es-ES"/>
        </w:rPr>
        <w:t>maintenance</w:t>
      </w:r>
      <w:proofErr w:type="spellEnd"/>
      <w:r>
        <w:rPr>
          <w:rFonts w:eastAsia="Palatino Linotype"/>
          <w:position w:val="1"/>
          <w:sz w:val="22"/>
          <w:szCs w:val="22"/>
          <w:lang w:val="es-ES"/>
        </w:rPr>
        <w:t xml:space="preserve"> </w:t>
      </w:r>
      <w:proofErr w:type="spellStart"/>
      <w:r>
        <w:rPr>
          <w:rFonts w:eastAsia="Palatino Linotype"/>
          <w:position w:val="1"/>
          <w:sz w:val="22"/>
          <w:szCs w:val="22"/>
          <w:lang w:val="es-ES"/>
        </w:rPr>
        <w:t>guarantees</w:t>
      </w:r>
      <w:proofErr w:type="spellEnd"/>
      <w:r>
        <w:rPr>
          <w:rFonts w:eastAsia="Palatino Linotype"/>
          <w:position w:val="1"/>
          <w:sz w:val="22"/>
          <w:szCs w:val="22"/>
          <w:lang w:val="es-ES"/>
        </w:rPr>
        <w:t xml:space="preserve"> </w:t>
      </w:r>
      <w:proofErr w:type="spellStart"/>
      <w:r>
        <w:rPr>
          <w:rFonts w:eastAsia="Palatino Linotype"/>
          <w:position w:val="1"/>
          <w:sz w:val="22"/>
          <w:szCs w:val="22"/>
          <w:lang w:val="es-ES"/>
        </w:rPr>
        <w:t>provided</w:t>
      </w:r>
      <w:proofErr w:type="spellEnd"/>
      <w:r>
        <w:rPr>
          <w:rFonts w:eastAsia="Palatino Linotype"/>
          <w:position w:val="1"/>
          <w:sz w:val="22"/>
          <w:szCs w:val="22"/>
          <w:lang w:val="es-ES"/>
        </w:rPr>
        <w:t xml:space="preserve"> </w:t>
      </w:r>
      <w:proofErr w:type="spellStart"/>
      <w:r>
        <w:rPr>
          <w:rFonts w:eastAsia="Palatino Linotype"/>
          <w:position w:val="1"/>
          <w:sz w:val="22"/>
          <w:szCs w:val="22"/>
          <w:lang w:val="es-ES"/>
        </w:rPr>
        <w:t>to</w:t>
      </w:r>
      <w:proofErr w:type="spellEnd"/>
      <w:r>
        <w:rPr>
          <w:rFonts w:eastAsia="Palatino Linotype"/>
          <w:position w:val="1"/>
          <w:sz w:val="22"/>
          <w:szCs w:val="22"/>
          <w:lang w:val="es-ES"/>
        </w:rPr>
        <w:t xml:space="preserve"> </w:t>
      </w:r>
      <w:proofErr w:type="spellStart"/>
      <w:r>
        <w:rPr>
          <w:rFonts w:eastAsia="Palatino Linotype"/>
          <w:position w:val="1"/>
          <w:sz w:val="22"/>
          <w:szCs w:val="22"/>
          <w:lang w:val="es-ES"/>
        </w:rPr>
        <w:t>the</w:t>
      </w:r>
      <w:proofErr w:type="spellEnd"/>
      <w:r>
        <w:rPr>
          <w:rFonts w:eastAsia="Palatino Linotype"/>
          <w:position w:val="1"/>
          <w:sz w:val="22"/>
          <w:szCs w:val="22"/>
          <w:lang w:val="es-ES"/>
        </w:rPr>
        <w:t xml:space="preserve"> </w:t>
      </w:r>
      <w:proofErr w:type="spellStart"/>
      <w:r>
        <w:rPr>
          <w:rFonts w:eastAsia="Palatino Linotype"/>
          <w:position w:val="1"/>
          <w:sz w:val="22"/>
          <w:szCs w:val="22"/>
          <w:lang w:val="es-ES"/>
        </w:rPr>
        <w:t>remaining</w:t>
      </w:r>
      <w:proofErr w:type="spellEnd"/>
      <w:r>
        <w:rPr>
          <w:rFonts w:eastAsia="Palatino Linotype"/>
          <w:position w:val="1"/>
          <w:sz w:val="22"/>
          <w:szCs w:val="22"/>
          <w:lang w:val="es-ES"/>
        </w:rPr>
        <w:t xml:space="preserve"> </w:t>
      </w:r>
      <w:proofErr w:type="spellStart"/>
      <w:r>
        <w:rPr>
          <w:rFonts w:eastAsia="Palatino Linotype"/>
          <w:position w:val="1"/>
          <w:sz w:val="22"/>
          <w:szCs w:val="22"/>
          <w:lang w:val="es-ES"/>
        </w:rPr>
        <w:t>bidders</w:t>
      </w:r>
      <w:proofErr w:type="spellEnd"/>
      <w:r>
        <w:rPr>
          <w:rFonts w:eastAsia="Palatino Linotype"/>
          <w:position w:val="1"/>
          <w:sz w:val="22"/>
          <w:szCs w:val="22"/>
          <w:lang w:val="es-ES"/>
        </w:rPr>
        <w:t xml:space="preserve"> </w:t>
      </w:r>
      <w:proofErr w:type="spellStart"/>
      <w:r>
        <w:rPr>
          <w:rFonts w:eastAsia="Palatino Linotype"/>
          <w:position w:val="1"/>
          <w:sz w:val="22"/>
          <w:szCs w:val="22"/>
          <w:lang w:val="es-ES"/>
        </w:rPr>
        <w:t>will</w:t>
      </w:r>
      <w:proofErr w:type="spellEnd"/>
      <w:r>
        <w:rPr>
          <w:rFonts w:eastAsia="Palatino Linotype"/>
          <w:position w:val="1"/>
          <w:sz w:val="22"/>
          <w:szCs w:val="22"/>
          <w:lang w:val="es-ES"/>
        </w:rPr>
        <w:t xml:space="preserve"> be </w:t>
      </w:r>
      <w:proofErr w:type="spellStart"/>
      <w:r>
        <w:rPr>
          <w:rFonts w:eastAsia="Palatino Linotype"/>
          <w:position w:val="1"/>
          <w:sz w:val="22"/>
          <w:szCs w:val="22"/>
          <w:lang w:val="es-ES"/>
        </w:rPr>
        <w:t>returned</w:t>
      </w:r>
      <w:proofErr w:type="spellEnd"/>
      <w:r>
        <w:rPr>
          <w:rFonts w:eastAsia="Palatino Linotype"/>
          <w:position w:val="1"/>
          <w:sz w:val="22"/>
          <w:szCs w:val="22"/>
          <w:lang w:val="es-ES"/>
        </w:rPr>
        <w:t>.</w:t>
      </w:r>
    </w:p>
    <w:p w14:paraId="6AEA2521" w14:textId="77777777" w:rsidR="00E255F4" w:rsidRDefault="00E255F4">
      <w:pPr>
        <w:ind w:right="-142"/>
        <w:jc w:val="both"/>
        <w:rPr>
          <w:rFonts w:eastAsia="Palatino Linotype"/>
          <w:spacing w:val="-1"/>
          <w:position w:val="1"/>
          <w:sz w:val="22"/>
          <w:szCs w:val="22"/>
          <w:lang w:val="es-ES"/>
        </w:rPr>
      </w:pPr>
    </w:p>
    <w:p w14:paraId="339F49F1" w14:textId="77777777" w:rsidR="00E255F4" w:rsidRDefault="00000000">
      <w:pPr>
        <w:ind w:right="-142"/>
        <w:jc w:val="both"/>
        <w:rPr>
          <w:rFonts w:eastAsia="Palatino Linotype"/>
          <w:sz w:val="22"/>
          <w:szCs w:val="22"/>
          <w:lang w:val="es-ES"/>
        </w:rPr>
      </w:pPr>
      <w:proofErr w:type="spellStart"/>
      <w:r>
        <w:rPr>
          <w:rFonts w:eastAsia="Palatino Linotype"/>
          <w:spacing w:val="-1"/>
          <w:position w:val="1"/>
          <w:sz w:val="22"/>
          <w:szCs w:val="22"/>
          <w:lang w:val="es-ES"/>
        </w:rPr>
        <w:t>TO</w:t>
      </w:r>
      <w:r>
        <w:rPr>
          <w:rFonts w:eastAsia="Palatino Linotype"/>
          <w:position w:val="1"/>
          <w:sz w:val="22"/>
          <w:szCs w:val="22"/>
          <w:lang w:val="es-ES"/>
        </w:rPr>
        <w:t>The</w:t>
      </w:r>
      <w:proofErr w:type="spellEnd"/>
      <w:r>
        <w:rPr>
          <w:rFonts w:eastAsia="Palatino Linotype"/>
          <w:position w:val="1"/>
          <w:sz w:val="22"/>
          <w:szCs w:val="22"/>
          <w:lang w:val="es-ES"/>
        </w:rPr>
        <w:t xml:space="preserve"> </w:t>
      </w:r>
      <w:proofErr w:type="spellStart"/>
      <w:r>
        <w:rPr>
          <w:rFonts w:eastAsia="Palatino Linotype"/>
          <w:position w:val="1"/>
          <w:sz w:val="22"/>
          <w:szCs w:val="22"/>
          <w:lang w:val="es-ES"/>
        </w:rPr>
        <w:t>successful</w:t>
      </w:r>
      <w:proofErr w:type="spellEnd"/>
      <w:r>
        <w:rPr>
          <w:rFonts w:eastAsia="Palatino Linotype"/>
          <w:position w:val="1"/>
          <w:sz w:val="22"/>
          <w:szCs w:val="22"/>
          <w:lang w:val="es-ES"/>
        </w:rPr>
        <w:t xml:space="preserve"> </w:t>
      </w:r>
      <w:proofErr w:type="spellStart"/>
      <w:r>
        <w:rPr>
          <w:rFonts w:eastAsia="Palatino Linotype"/>
          <w:position w:val="1"/>
          <w:sz w:val="22"/>
          <w:szCs w:val="22"/>
          <w:lang w:val="es-ES"/>
        </w:rPr>
        <w:t>bidder's</w:t>
      </w:r>
      <w:proofErr w:type="spellEnd"/>
      <w:r>
        <w:rPr>
          <w:rFonts w:eastAsia="Palatino Linotype"/>
          <w:position w:val="1"/>
          <w:sz w:val="22"/>
          <w:szCs w:val="22"/>
          <w:lang w:val="es-ES"/>
        </w:rPr>
        <w:t xml:space="preserve"> </w:t>
      </w:r>
      <w:proofErr w:type="spellStart"/>
      <w:r>
        <w:rPr>
          <w:rFonts w:eastAsia="Palatino Linotype"/>
          <w:position w:val="1"/>
          <w:sz w:val="22"/>
          <w:szCs w:val="22"/>
          <w:lang w:val="es-ES"/>
        </w:rPr>
        <w:t>bid</w:t>
      </w:r>
      <w:proofErr w:type="spellEnd"/>
      <w:r>
        <w:rPr>
          <w:rFonts w:eastAsia="Palatino Linotype"/>
          <w:position w:val="1"/>
          <w:sz w:val="22"/>
          <w:szCs w:val="22"/>
          <w:lang w:val="es-ES"/>
        </w:rPr>
        <w:t xml:space="preserve"> </w:t>
      </w:r>
      <w:proofErr w:type="spellStart"/>
      <w:r>
        <w:rPr>
          <w:rFonts w:eastAsia="Palatino Linotype"/>
          <w:position w:val="1"/>
          <w:sz w:val="22"/>
          <w:szCs w:val="22"/>
          <w:lang w:val="es-ES"/>
        </w:rPr>
        <w:t>maintenance</w:t>
      </w:r>
      <w:proofErr w:type="spellEnd"/>
      <w:r>
        <w:rPr>
          <w:rFonts w:eastAsia="Palatino Linotype"/>
          <w:position w:val="1"/>
          <w:sz w:val="22"/>
          <w:szCs w:val="22"/>
          <w:lang w:val="es-ES"/>
        </w:rPr>
        <w:t xml:space="preserve"> </w:t>
      </w:r>
      <w:proofErr w:type="spellStart"/>
      <w:r>
        <w:rPr>
          <w:rFonts w:eastAsia="Palatino Linotype"/>
          <w:position w:val="1"/>
          <w:sz w:val="22"/>
          <w:szCs w:val="22"/>
          <w:lang w:val="es-ES"/>
        </w:rPr>
        <w:t>guarantee</w:t>
      </w:r>
      <w:proofErr w:type="spellEnd"/>
      <w:r>
        <w:rPr>
          <w:rFonts w:eastAsia="Palatino Linotype"/>
          <w:position w:val="1"/>
          <w:sz w:val="22"/>
          <w:szCs w:val="22"/>
          <w:lang w:val="es-ES"/>
        </w:rPr>
        <w:t xml:space="preserve"> </w:t>
      </w:r>
      <w:proofErr w:type="spellStart"/>
      <w:r>
        <w:rPr>
          <w:rFonts w:eastAsia="Palatino Linotype"/>
          <w:position w:val="1"/>
          <w:sz w:val="22"/>
          <w:szCs w:val="22"/>
          <w:lang w:val="es-ES"/>
        </w:rPr>
        <w:t>will</w:t>
      </w:r>
      <w:proofErr w:type="spellEnd"/>
      <w:r>
        <w:rPr>
          <w:rFonts w:eastAsia="Palatino Linotype"/>
          <w:position w:val="1"/>
          <w:sz w:val="22"/>
          <w:szCs w:val="22"/>
          <w:lang w:val="es-ES"/>
        </w:rPr>
        <w:t xml:space="preserve"> be </w:t>
      </w:r>
      <w:proofErr w:type="spellStart"/>
      <w:r>
        <w:rPr>
          <w:rFonts w:eastAsia="Palatino Linotype"/>
          <w:position w:val="1"/>
          <w:sz w:val="22"/>
          <w:szCs w:val="22"/>
          <w:lang w:val="es-ES"/>
        </w:rPr>
        <w:t>returned</w:t>
      </w:r>
      <w:proofErr w:type="spellEnd"/>
      <w:r>
        <w:rPr>
          <w:rFonts w:eastAsia="Palatino Linotype"/>
          <w:position w:val="1"/>
          <w:sz w:val="22"/>
          <w:szCs w:val="22"/>
          <w:lang w:val="es-ES"/>
        </w:rPr>
        <w:t xml:space="preserve"> once </w:t>
      </w:r>
      <w:proofErr w:type="spellStart"/>
      <w:r>
        <w:rPr>
          <w:rFonts w:eastAsia="Palatino Linotype"/>
          <w:position w:val="1"/>
          <w:sz w:val="22"/>
          <w:szCs w:val="22"/>
          <w:lang w:val="es-ES"/>
        </w:rPr>
        <w:t>the</w:t>
      </w:r>
      <w:proofErr w:type="spellEnd"/>
      <w:r>
        <w:rPr>
          <w:rFonts w:eastAsia="Palatino Linotype"/>
          <w:position w:val="1"/>
          <w:sz w:val="22"/>
          <w:szCs w:val="22"/>
          <w:lang w:val="es-ES"/>
        </w:rPr>
        <w:t xml:space="preserve"> </w:t>
      </w:r>
      <w:proofErr w:type="spellStart"/>
      <w:r>
        <w:rPr>
          <w:rFonts w:eastAsia="Palatino Linotype"/>
          <w:position w:val="1"/>
          <w:sz w:val="22"/>
          <w:szCs w:val="22"/>
          <w:lang w:val="es-ES"/>
        </w:rPr>
        <w:t>contract</w:t>
      </w:r>
      <w:proofErr w:type="spellEnd"/>
      <w:r>
        <w:rPr>
          <w:rFonts w:eastAsia="Palatino Linotype"/>
          <w:position w:val="1"/>
          <w:sz w:val="22"/>
          <w:szCs w:val="22"/>
          <w:lang w:val="es-ES"/>
        </w:rPr>
        <w:t xml:space="preserve"> has </w:t>
      </w:r>
      <w:proofErr w:type="spellStart"/>
      <w:r>
        <w:rPr>
          <w:rFonts w:eastAsia="Palatino Linotype"/>
          <w:position w:val="1"/>
          <w:sz w:val="22"/>
          <w:szCs w:val="22"/>
          <w:lang w:val="es-ES"/>
        </w:rPr>
        <w:t>been</w:t>
      </w:r>
      <w:proofErr w:type="spellEnd"/>
      <w:r>
        <w:rPr>
          <w:rFonts w:eastAsia="Palatino Linotype"/>
          <w:position w:val="1"/>
          <w:sz w:val="22"/>
          <w:szCs w:val="22"/>
          <w:lang w:val="es-ES"/>
        </w:rPr>
        <w:t xml:space="preserve"> </w:t>
      </w:r>
      <w:proofErr w:type="spellStart"/>
      <w:r>
        <w:rPr>
          <w:rFonts w:eastAsia="Palatino Linotype"/>
          <w:position w:val="1"/>
          <w:sz w:val="22"/>
          <w:szCs w:val="22"/>
          <w:lang w:val="es-ES"/>
        </w:rPr>
        <w:t>perfected</w:t>
      </w:r>
      <w:proofErr w:type="spellEnd"/>
      <w:r>
        <w:rPr>
          <w:rFonts w:eastAsia="Palatino Linotype"/>
          <w:position w:val="1"/>
          <w:sz w:val="22"/>
          <w:szCs w:val="22"/>
          <w:lang w:val="es-ES"/>
        </w:rPr>
        <w:t xml:space="preserve"> and </w:t>
      </w:r>
      <w:proofErr w:type="spellStart"/>
      <w:r>
        <w:rPr>
          <w:rFonts w:eastAsia="Palatino Linotype"/>
          <w:position w:val="1"/>
          <w:sz w:val="22"/>
          <w:szCs w:val="22"/>
          <w:lang w:val="es-ES"/>
        </w:rPr>
        <w:t>the</w:t>
      </w:r>
      <w:proofErr w:type="spellEnd"/>
      <w:r>
        <w:rPr>
          <w:rFonts w:eastAsia="Palatino Linotype"/>
          <w:position w:val="1"/>
          <w:sz w:val="22"/>
          <w:szCs w:val="22"/>
          <w:lang w:val="es-ES"/>
        </w:rPr>
        <w:t xml:space="preserve"> performance bond has </w:t>
      </w:r>
      <w:proofErr w:type="spellStart"/>
      <w:r>
        <w:rPr>
          <w:rFonts w:eastAsia="Palatino Linotype"/>
          <w:position w:val="1"/>
          <w:sz w:val="22"/>
          <w:szCs w:val="22"/>
          <w:lang w:val="es-ES"/>
        </w:rPr>
        <w:t>been</w:t>
      </w:r>
      <w:proofErr w:type="spellEnd"/>
      <w:r>
        <w:rPr>
          <w:rFonts w:eastAsia="Palatino Linotype"/>
          <w:position w:val="1"/>
          <w:sz w:val="22"/>
          <w:szCs w:val="22"/>
          <w:lang w:val="es-ES"/>
        </w:rPr>
        <w:t xml:space="preserve"> </w:t>
      </w:r>
      <w:proofErr w:type="spellStart"/>
      <w:r>
        <w:rPr>
          <w:rFonts w:eastAsia="Palatino Linotype"/>
          <w:position w:val="1"/>
          <w:sz w:val="22"/>
          <w:szCs w:val="22"/>
          <w:lang w:val="es-ES"/>
        </w:rPr>
        <w:t>established</w:t>
      </w:r>
      <w:proofErr w:type="spellEnd"/>
      <w:r>
        <w:rPr>
          <w:rFonts w:eastAsia="Palatino Linotype"/>
          <w:position w:val="1"/>
          <w:sz w:val="22"/>
          <w:szCs w:val="22"/>
          <w:lang w:val="es-ES"/>
        </w:rPr>
        <w:t xml:space="preserve">, </w:t>
      </w:r>
      <w:proofErr w:type="spellStart"/>
      <w:r>
        <w:rPr>
          <w:rFonts w:eastAsia="Palatino Linotype"/>
          <w:position w:val="1"/>
          <w:sz w:val="22"/>
          <w:szCs w:val="22"/>
          <w:lang w:val="es-ES"/>
        </w:rPr>
        <w:t>if</w:t>
      </w:r>
      <w:proofErr w:type="spellEnd"/>
      <w:r>
        <w:rPr>
          <w:rFonts w:eastAsia="Palatino Linotype"/>
          <w:position w:val="1"/>
          <w:sz w:val="22"/>
          <w:szCs w:val="22"/>
          <w:lang w:val="es-ES"/>
        </w:rPr>
        <w:t xml:space="preserve"> </w:t>
      </w:r>
      <w:proofErr w:type="spellStart"/>
      <w:r>
        <w:rPr>
          <w:rFonts w:eastAsia="Palatino Linotype"/>
          <w:position w:val="1"/>
          <w:sz w:val="22"/>
          <w:szCs w:val="22"/>
          <w:lang w:val="es-ES"/>
        </w:rPr>
        <w:t>applicable</w:t>
      </w:r>
      <w:proofErr w:type="spellEnd"/>
      <w:r>
        <w:rPr>
          <w:rFonts w:eastAsia="Palatino Linotype"/>
          <w:position w:val="1"/>
          <w:sz w:val="22"/>
          <w:szCs w:val="22"/>
          <w:lang w:val="es-ES"/>
        </w:rPr>
        <w:t>.</w:t>
      </w:r>
    </w:p>
    <w:p w14:paraId="00E46C36" w14:textId="77777777" w:rsidR="00E255F4" w:rsidRDefault="00E255F4">
      <w:pPr>
        <w:ind w:right="-142"/>
        <w:jc w:val="both"/>
        <w:rPr>
          <w:rFonts w:eastAsia="Palatino Linotype"/>
          <w:sz w:val="22"/>
          <w:szCs w:val="22"/>
          <w:lang w:val="es-ES"/>
        </w:rPr>
      </w:pPr>
    </w:p>
    <w:p w14:paraId="5617F5EF" w14:textId="77777777" w:rsidR="00E255F4" w:rsidRDefault="00000000">
      <w:pPr>
        <w:ind w:right="-142"/>
        <w:jc w:val="both"/>
        <w:outlineLvl w:val="0"/>
        <w:rPr>
          <w:rFonts w:eastAsia="Palatino Linotype"/>
          <w:b/>
          <w:spacing w:val="-1"/>
          <w:sz w:val="22"/>
          <w:szCs w:val="22"/>
          <w:lang w:val="es-ES"/>
        </w:rPr>
      </w:pPr>
      <w:bookmarkStart w:id="51" w:name="__RefHeading___Toc225377228"/>
      <w:bookmarkEnd w:id="51"/>
      <w:r>
        <w:rPr>
          <w:rFonts w:eastAsia="Palatino Linotype"/>
          <w:b/>
          <w:spacing w:val="-1"/>
          <w:sz w:val="22"/>
          <w:szCs w:val="22"/>
          <w:lang w:val="es-ES"/>
        </w:rPr>
        <w:t xml:space="preserve">18 </w:t>
      </w:r>
      <w:proofErr w:type="spellStart"/>
      <w:r>
        <w:rPr>
          <w:rFonts w:eastAsia="Palatino Linotype"/>
          <w:b/>
          <w:spacing w:val="-1"/>
          <w:sz w:val="22"/>
          <w:szCs w:val="22"/>
          <w:lang w:val="es-ES"/>
        </w:rPr>
        <w:t>Contract</w:t>
      </w:r>
      <w:proofErr w:type="spellEnd"/>
      <w:r>
        <w:rPr>
          <w:rFonts w:eastAsia="Palatino Linotype"/>
          <w:b/>
          <w:spacing w:val="-1"/>
          <w:sz w:val="22"/>
          <w:szCs w:val="22"/>
          <w:lang w:val="es-ES"/>
        </w:rPr>
        <w:t xml:space="preserve"> </w:t>
      </w:r>
      <w:proofErr w:type="spellStart"/>
      <w:r>
        <w:rPr>
          <w:rFonts w:eastAsia="Palatino Linotype"/>
          <w:b/>
          <w:spacing w:val="-1"/>
          <w:sz w:val="22"/>
          <w:szCs w:val="22"/>
          <w:lang w:val="es-ES"/>
        </w:rPr>
        <w:t>completion</w:t>
      </w:r>
      <w:proofErr w:type="spellEnd"/>
      <w:r>
        <w:rPr>
          <w:rFonts w:eastAsia="Palatino Linotype"/>
          <w:b/>
          <w:spacing w:val="-1"/>
          <w:sz w:val="22"/>
          <w:szCs w:val="22"/>
          <w:lang w:val="es-ES"/>
        </w:rPr>
        <w:tab/>
      </w:r>
    </w:p>
    <w:p w14:paraId="7042B301" w14:textId="77777777" w:rsidR="00E255F4" w:rsidRDefault="00E255F4">
      <w:pPr>
        <w:ind w:right="-142"/>
        <w:jc w:val="both"/>
        <w:rPr>
          <w:rFonts w:eastAsia="Palatino Linotype"/>
          <w:b/>
          <w:spacing w:val="-1"/>
          <w:sz w:val="22"/>
          <w:szCs w:val="22"/>
          <w:lang w:val="es-ES"/>
        </w:rPr>
      </w:pPr>
    </w:p>
    <w:p w14:paraId="49DA2938" w14:textId="77777777" w:rsidR="00E255F4" w:rsidRDefault="00000000">
      <w:pPr>
        <w:ind w:right="-142"/>
        <w:jc w:val="both"/>
        <w:rPr>
          <w:rFonts w:eastAsia="Palatino Linotype"/>
          <w:sz w:val="22"/>
          <w:szCs w:val="22"/>
          <w:lang w:val="es-ES"/>
        </w:rPr>
      </w:pPr>
      <w:proofErr w:type="spellStart"/>
      <w:r>
        <w:rPr>
          <w:rFonts w:eastAsia="Palatino Linotype"/>
          <w:spacing w:val="-1"/>
          <w:sz w:val="22"/>
          <w:szCs w:val="22"/>
          <w:lang w:val="es-ES"/>
        </w:rPr>
        <w:t>AND</w:t>
      </w:r>
      <w:r>
        <w:rPr>
          <w:rFonts w:eastAsia="Palatino Linotype"/>
          <w:sz w:val="22"/>
          <w:szCs w:val="22"/>
          <w:lang w:val="es-ES"/>
        </w:rPr>
        <w:t>The</w:t>
      </w:r>
      <w:proofErr w:type="spellEnd"/>
      <w:r>
        <w:rPr>
          <w:rFonts w:eastAsia="Palatino Linotype"/>
          <w:sz w:val="22"/>
          <w:szCs w:val="22"/>
          <w:lang w:val="es-ES"/>
        </w:rPr>
        <w:t xml:space="preserve"> </w:t>
      </w:r>
      <w:proofErr w:type="spellStart"/>
      <w:r>
        <w:rPr>
          <w:rFonts w:eastAsia="Palatino Linotype"/>
          <w:sz w:val="22"/>
          <w:szCs w:val="22"/>
          <w:lang w:val="es-ES"/>
        </w:rPr>
        <w:t>contract</w:t>
      </w:r>
      <w:proofErr w:type="spellEnd"/>
      <w:r>
        <w:rPr>
          <w:rFonts w:eastAsia="Palatino Linotype"/>
          <w:sz w:val="22"/>
          <w:szCs w:val="22"/>
          <w:lang w:val="es-ES"/>
        </w:rPr>
        <w:t xml:space="preserve"> </w:t>
      </w:r>
      <w:proofErr w:type="spellStart"/>
      <w:r>
        <w:rPr>
          <w:rFonts w:eastAsia="Palatino Linotype"/>
          <w:sz w:val="22"/>
          <w:szCs w:val="22"/>
          <w:lang w:val="es-ES"/>
        </w:rPr>
        <w:t>will</w:t>
      </w:r>
      <w:proofErr w:type="spellEnd"/>
      <w:r>
        <w:rPr>
          <w:rFonts w:eastAsia="Palatino Linotype"/>
          <w:sz w:val="22"/>
          <w:szCs w:val="22"/>
          <w:lang w:val="es-ES"/>
        </w:rPr>
        <w:t xml:space="preserve"> be </w:t>
      </w:r>
      <w:proofErr w:type="spellStart"/>
      <w:r>
        <w:rPr>
          <w:rFonts w:eastAsia="Palatino Linotype"/>
          <w:sz w:val="22"/>
          <w:szCs w:val="22"/>
          <w:lang w:val="es-ES"/>
        </w:rPr>
        <w:t>perfected</w:t>
      </w:r>
      <w:proofErr w:type="spellEnd"/>
      <w:r>
        <w:rPr>
          <w:rFonts w:eastAsia="Palatino Linotype"/>
          <w:sz w:val="22"/>
          <w:szCs w:val="22"/>
          <w:lang w:val="es-ES"/>
        </w:rPr>
        <w:t xml:space="preserve"> </w:t>
      </w:r>
      <w:proofErr w:type="spellStart"/>
      <w:r>
        <w:rPr>
          <w:rFonts w:eastAsia="Palatino Linotype"/>
          <w:sz w:val="22"/>
          <w:szCs w:val="22"/>
          <w:lang w:val="es-ES"/>
        </w:rPr>
        <w:t>with</w:t>
      </w:r>
      <w:proofErr w:type="spellEnd"/>
      <w:r>
        <w:rPr>
          <w:rFonts w:eastAsia="Palatino Linotype"/>
          <w:sz w:val="22"/>
          <w:szCs w:val="22"/>
          <w:lang w:val="es-ES"/>
        </w:rPr>
        <w:t xml:space="preserve"> </w:t>
      </w:r>
      <w:proofErr w:type="spellStart"/>
      <w:r>
        <w:rPr>
          <w:rFonts w:eastAsia="Palatino Linotype"/>
          <w:sz w:val="22"/>
          <w:szCs w:val="22"/>
          <w:lang w:val="es-ES"/>
        </w:rPr>
        <w:t>the</w:t>
      </w:r>
      <w:proofErr w:type="spellEnd"/>
      <w:r>
        <w:rPr>
          <w:rFonts w:eastAsia="Palatino Linotype"/>
          <w:sz w:val="22"/>
          <w:szCs w:val="22"/>
          <w:lang w:val="es-ES"/>
        </w:rPr>
        <w:t xml:space="preserve"> </w:t>
      </w:r>
      <w:proofErr w:type="spellStart"/>
      <w:r>
        <w:rPr>
          <w:rFonts w:eastAsia="Palatino Linotype"/>
          <w:sz w:val="22"/>
          <w:szCs w:val="22"/>
          <w:lang w:val="es-ES"/>
        </w:rPr>
        <w:t>notification</w:t>
      </w:r>
      <w:proofErr w:type="spellEnd"/>
      <w:r>
        <w:rPr>
          <w:rFonts w:eastAsia="Palatino Linotype"/>
          <w:sz w:val="22"/>
          <w:szCs w:val="22"/>
          <w:lang w:val="es-ES"/>
        </w:rPr>
        <w:t xml:space="preserve"> </w:t>
      </w:r>
      <w:proofErr w:type="spellStart"/>
      <w:r>
        <w:rPr>
          <w:rFonts w:eastAsia="Palatino Linotype"/>
          <w:sz w:val="22"/>
          <w:szCs w:val="22"/>
          <w:lang w:val="es-ES"/>
        </w:rPr>
        <w:t>to</w:t>
      </w:r>
      <w:proofErr w:type="spellEnd"/>
      <w:r>
        <w:rPr>
          <w:rFonts w:eastAsia="Palatino Linotype"/>
          <w:sz w:val="22"/>
          <w:szCs w:val="22"/>
          <w:lang w:val="es-ES"/>
        </w:rPr>
        <w:t xml:space="preserve"> </w:t>
      </w:r>
      <w:proofErr w:type="spellStart"/>
      <w:r>
        <w:rPr>
          <w:rFonts w:eastAsia="Palatino Linotype"/>
          <w:sz w:val="22"/>
          <w:szCs w:val="22"/>
          <w:lang w:val="es-ES"/>
        </w:rPr>
        <w:t>the</w:t>
      </w:r>
      <w:proofErr w:type="spellEnd"/>
      <w:r>
        <w:rPr>
          <w:rFonts w:eastAsia="Palatino Linotype"/>
          <w:sz w:val="22"/>
          <w:szCs w:val="22"/>
          <w:lang w:val="es-ES"/>
        </w:rPr>
        <w:t xml:space="preserve"> </w:t>
      </w:r>
      <w:proofErr w:type="spellStart"/>
      <w:r>
        <w:rPr>
          <w:rFonts w:eastAsia="Palatino Linotype"/>
          <w:sz w:val="22"/>
          <w:szCs w:val="22"/>
          <w:lang w:val="es-ES"/>
        </w:rPr>
        <w:t>bidder</w:t>
      </w:r>
      <w:proofErr w:type="spellEnd"/>
      <w:r>
        <w:rPr>
          <w:rFonts w:eastAsia="Palatino Linotype"/>
          <w:sz w:val="22"/>
          <w:szCs w:val="22"/>
          <w:lang w:val="es-ES"/>
        </w:rPr>
        <w:t xml:space="preserve"> </w:t>
      </w:r>
      <w:proofErr w:type="spellStart"/>
      <w:r>
        <w:rPr>
          <w:rFonts w:eastAsia="Palatino Linotype"/>
          <w:sz w:val="22"/>
          <w:szCs w:val="22"/>
          <w:lang w:val="es-ES"/>
        </w:rPr>
        <w:t>of</w:t>
      </w:r>
      <w:proofErr w:type="spellEnd"/>
      <w:r>
        <w:rPr>
          <w:rFonts w:eastAsia="Palatino Linotype"/>
          <w:sz w:val="22"/>
          <w:szCs w:val="22"/>
          <w:lang w:val="es-ES"/>
        </w:rPr>
        <w:t xml:space="preserve"> </w:t>
      </w:r>
      <w:proofErr w:type="spellStart"/>
      <w:r>
        <w:rPr>
          <w:rFonts w:eastAsia="Palatino Linotype"/>
          <w:sz w:val="22"/>
          <w:szCs w:val="22"/>
          <w:lang w:val="es-ES"/>
        </w:rPr>
        <w:t>the</w:t>
      </w:r>
      <w:proofErr w:type="spellEnd"/>
      <w:r>
        <w:rPr>
          <w:rFonts w:eastAsia="Palatino Linotype"/>
          <w:sz w:val="22"/>
          <w:szCs w:val="22"/>
          <w:lang w:val="es-ES"/>
        </w:rPr>
        <w:t xml:space="preserve"> </w:t>
      </w:r>
      <w:proofErr w:type="spellStart"/>
      <w:r>
        <w:rPr>
          <w:rFonts w:eastAsia="Palatino Linotype"/>
          <w:sz w:val="22"/>
          <w:szCs w:val="22"/>
          <w:lang w:val="es-ES"/>
        </w:rPr>
        <w:t>act</w:t>
      </w:r>
      <w:proofErr w:type="spellEnd"/>
      <w:r>
        <w:rPr>
          <w:rFonts w:eastAsia="Palatino Linotype"/>
          <w:sz w:val="22"/>
          <w:szCs w:val="22"/>
          <w:lang w:val="es-ES"/>
        </w:rPr>
        <w:t xml:space="preserve"> </w:t>
      </w:r>
      <w:proofErr w:type="spellStart"/>
      <w:r>
        <w:rPr>
          <w:rFonts w:eastAsia="Palatino Linotype"/>
          <w:sz w:val="22"/>
          <w:szCs w:val="22"/>
          <w:lang w:val="es-ES"/>
        </w:rPr>
        <w:t>that</w:t>
      </w:r>
      <w:proofErr w:type="spellEnd"/>
      <w:r>
        <w:rPr>
          <w:rFonts w:eastAsia="Palatino Linotype"/>
          <w:sz w:val="22"/>
          <w:szCs w:val="22"/>
          <w:lang w:val="es-ES"/>
        </w:rPr>
        <w:t xml:space="preserve"> </w:t>
      </w:r>
      <w:proofErr w:type="spellStart"/>
      <w:r>
        <w:rPr>
          <w:rFonts w:eastAsia="Palatino Linotype"/>
          <w:sz w:val="22"/>
          <w:szCs w:val="22"/>
          <w:lang w:val="es-ES"/>
        </w:rPr>
        <w:t>orders</w:t>
      </w:r>
      <w:proofErr w:type="spellEnd"/>
      <w:r>
        <w:rPr>
          <w:rFonts w:eastAsia="Palatino Linotype"/>
          <w:sz w:val="22"/>
          <w:szCs w:val="22"/>
          <w:lang w:val="es-ES"/>
        </w:rPr>
        <w:t xml:space="preserve"> </w:t>
      </w:r>
      <w:proofErr w:type="spellStart"/>
      <w:r>
        <w:rPr>
          <w:rFonts w:eastAsia="Palatino Linotype"/>
          <w:sz w:val="22"/>
          <w:szCs w:val="22"/>
          <w:lang w:val="es-ES"/>
        </w:rPr>
        <w:t>its</w:t>
      </w:r>
      <w:proofErr w:type="spellEnd"/>
      <w:r>
        <w:rPr>
          <w:rFonts w:eastAsia="Palatino Linotype"/>
          <w:sz w:val="22"/>
          <w:szCs w:val="22"/>
          <w:lang w:val="es-ES"/>
        </w:rPr>
        <w:t xml:space="preserve"> </w:t>
      </w:r>
      <w:proofErr w:type="spellStart"/>
      <w:r>
        <w:rPr>
          <w:rFonts w:eastAsia="Palatino Linotype"/>
          <w:sz w:val="22"/>
          <w:szCs w:val="22"/>
          <w:lang w:val="es-ES"/>
        </w:rPr>
        <w:t>award</w:t>
      </w:r>
      <w:proofErr w:type="spellEnd"/>
      <w:r>
        <w:rPr>
          <w:rFonts w:eastAsia="Palatino Linotype"/>
          <w:sz w:val="22"/>
          <w:szCs w:val="22"/>
          <w:lang w:val="es-ES"/>
        </w:rPr>
        <w:t xml:space="preserve"> </w:t>
      </w:r>
      <w:proofErr w:type="spellStart"/>
      <w:r>
        <w:rPr>
          <w:rFonts w:eastAsia="Palatino Linotype"/>
          <w:sz w:val="22"/>
          <w:szCs w:val="22"/>
          <w:lang w:val="es-ES"/>
        </w:rPr>
        <w:t>issued</w:t>
      </w:r>
      <w:proofErr w:type="spellEnd"/>
      <w:r>
        <w:rPr>
          <w:rFonts w:eastAsia="Palatino Linotype"/>
          <w:sz w:val="22"/>
          <w:szCs w:val="22"/>
          <w:lang w:val="es-ES"/>
        </w:rPr>
        <w:t xml:space="preserve"> </w:t>
      </w:r>
      <w:proofErr w:type="spellStart"/>
      <w:r>
        <w:rPr>
          <w:rFonts w:eastAsia="Palatino Linotype"/>
          <w:sz w:val="22"/>
          <w:szCs w:val="22"/>
          <w:lang w:val="es-ES"/>
        </w:rPr>
        <w:t>by</w:t>
      </w:r>
      <w:proofErr w:type="spellEnd"/>
      <w:r>
        <w:rPr>
          <w:rFonts w:eastAsia="Palatino Linotype"/>
          <w:sz w:val="22"/>
          <w:szCs w:val="22"/>
          <w:lang w:val="es-ES"/>
        </w:rPr>
        <w:t xml:space="preserve"> </w:t>
      </w:r>
      <w:proofErr w:type="spellStart"/>
      <w:r>
        <w:rPr>
          <w:rFonts w:eastAsia="Palatino Linotype"/>
          <w:sz w:val="22"/>
          <w:szCs w:val="22"/>
          <w:lang w:val="es-ES"/>
        </w:rPr>
        <w:t>the</w:t>
      </w:r>
      <w:proofErr w:type="spellEnd"/>
      <w:r>
        <w:rPr>
          <w:rFonts w:eastAsia="Palatino Linotype"/>
          <w:sz w:val="22"/>
          <w:szCs w:val="22"/>
          <w:lang w:val="es-ES"/>
        </w:rPr>
        <w:t xml:space="preserve"> </w:t>
      </w:r>
      <w:proofErr w:type="spellStart"/>
      <w:r>
        <w:rPr>
          <w:rFonts w:eastAsia="Palatino Linotype"/>
          <w:sz w:val="22"/>
          <w:szCs w:val="22"/>
          <w:lang w:val="es-ES"/>
        </w:rPr>
        <w:t>competent</w:t>
      </w:r>
      <w:proofErr w:type="spellEnd"/>
      <w:r>
        <w:rPr>
          <w:rFonts w:eastAsia="Palatino Linotype"/>
          <w:sz w:val="22"/>
          <w:szCs w:val="22"/>
          <w:lang w:val="es-ES"/>
        </w:rPr>
        <w:t xml:space="preserve"> </w:t>
      </w:r>
      <w:proofErr w:type="spellStart"/>
      <w:r>
        <w:rPr>
          <w:rFonts w:eastAsia="Palatino Linotype"/>
          <w:sz w:val="22"/>
          <w:szCs w:val="22"/>
          <w:lang w:val="es-ES"/>
        </w:rPr>
        <w:t>authority</w:t>
      </w:r>
      <w:proofErr w:type="spellEnd"/>
      <w:r>
        <w:rPr>
          <w:rFonts w:eastAsia="Palatino Linotype"/>
          <w:sz w:val="22"/>
          <w:szCs w:val="22"/>
          <w:lang w:val="es-ES"/>
        </w:rPr>
        <w:t xml:space="preserve">, after </w:t>
      </w:r>
      <w:proofErr w:type="spellStart"/>
      <w:r>
        <w:rPr>
          <w:rFonts w:eastAsia="Palatino Linotype"/>
          <w:sz w:val="22"/>
          <w:szCs w:val="22"/>
          <w:lang w:val="es-ES"/>
        </w:rPr>
        <w:t>the</w:t>
      </w:r>
      <w:proofErr w:type="spellEnd"/>
      <w:r>
        <w:rPr>
          <w:rFonts w:eastAsia="Palatino Linotype"/>
          <w:sz w:val="22"/>
          <w:szCs w:val="22"/>
          <w:lang w:val="es-ES"/>
        </w:rPr>
        <w:t xml:space="preserve"> </w:t>
      </w:r>
      <w:proofErr w:type="spellStart"/>
      <w:r>
        <w:rPr>
          <w:rFonts w:eastAsia="Palatino Linotype"/>
          <w:sz w:val="22"/>
          <w:szCs w:val="22"/>
          <w:lang w:val="es-ES"/>
        </w:rPr>
        <w:t>intervention</w:t>
      </w:r>
      <w:proofErr w:type="spellEnd"/>
      <w:r>
        <w:rPr>
          <w:rFonts w:eastAsia="Palatino Linotype"/>
          <w:sz w:val="22"/>
          <w:szCs w:val="22"/>
          <w:lang w:val="es-ES"/>
        </w:rPr>
        <w:t xml:space="preserve"> </w:t>
      </w:r>
      <w:proofErr w:type="spellStart"/>
      <w:r>
        <w:rPr>
          <w:rFonts w:eastAsia="Palatino Linotype"/>
          <w:sz w:val="22"/>
          <w:szCs w:val="22"/>
          <w:lang w:val="es-ES"/>
        </w:rPr>
        <w:t>of</w:t>
      </w:r>
      <w:proofErr w:type="spellEnd"/>
      <w:r>
        <w:rPr>
          <w:rFonts w:eastAsia="Palatino Linotype"/>
          <w:sz w:val="22"/>
          <w:szCs w:val="22"/>
          <w:lang w:val="es-ES"/>
        </w:rPr>
        <w:t xml:space="preserve"> </w:t>
      </w:r>
      <w:proofErr w:type="spellStart"/>
      <w:r>
        <w:rPr>
          <w:rFonts w:eastAsia="Palatino Linotype"/>
          <w:sz w:val="22"/>
          <w:szCs w:val="22"/>
          <w:lang w:val="es-ES"/>
        </w:rPr>
        <w:t>the</w:t>
      </w:r>
      <w:proofErr w:type="spellEnd"/>
      <w:r>
        <w:rPr>
          <w:rFonts w:eastAsia="Palatino Linotype"/>
          <w:sz w:val="22"/>
          <w:szCs w:val="22"/>
          <w:lang w:val="es-ES"/>
        </w:rPr>
        <w:t xml:space="preserve"> Court </w:t>
      </w:r>
      <w:proofErr w:type="spellStart"/>
      <w:r>
        <w:rPr>
          <w:rFonts w:eastAsia="Palatino Linotype"/>
          <w:sz w:val="22"/>
          <w:szCs w:val="22"/>
          <w:lang w:val="es-ES"/>
        </w:rPr>
        <w:t>of</w:t>
      </w:r>
      <w:proofErr w:type="spellEnd"/>
      <w:r>
        <w:rPr>
          <w:rFonts w:eastAsia="Palatino Linotype"/>
          <w:sz w:val="22"/>
          <w:szCs w:val="22"/>
          <w:lang w:val="es-ES"/>
        </w:rPr>
        <w:t xml:space="preserve"> </w:t>
      </w:r>
      <w:proofErr w:type="spellStart"/>
      <w:r>
        <w:rPr>
          <w:rFonts w:eastAsia="Palatino Linotype"/>
          <w:sz w:val="22"/>
          <w:szCs w:val="22"/>
          <w:lang w:val="es-ES"/>
        </w:rPr>
        <w:t>Accounts</w:t>
      </w:r>
      <w:proofErr w:type="spellEnd"/>
      <w:r>
        <w:rPr>
          <w:rFonts w:eastAsia="Palatino Linotype"/>
          <w:sz w:val="22"/>
          <w:szCs w:val="22"/>
          <w:lang w:val="es-ES"/>
        </w:rPr>
        <w:t xml:space="preserve"> </w:t>
      </w:r>
      <w:proofErr w:type="spellStart"/>
      <w:r>
        <w:rPr>
          <w:rFonts w:eastAsia="Palatino Linotype"/>
          <w:sz w:val="22"/>
          <w:szCs w:val="22"/>
          <w:lang w:val="es-ES"/>
        </w:rPr>
        <w:t>of</w:t>
      </w:r>
      <w:proofErr w:type="spellEnd"/>
      <w:r>
        <w:rPr>
          <w:rFonts w:eastAsia="Palatino Linotype"/>
          <w:sz w:val="22"/>
          <w:szCs w:val="22"/>
          <w:lang w:val="es-ES"/>
        </w:rPr>
        <w:t xml:space="preserve"> </w:t>
      </w:r>
      <w:proofErr w:type="spellStart"/>
      <w:r>
        <w:rPr>
          <w:rFonts w:eastAsia="Palatino Linotype"/>
          <w:sz w:val="22"/>
          <w:szCs w:val="22"/>
          <w:lang w:val="es-ES"/>
        </w:rPr>
        <w:t>the</w:t>
      </w:r>
      <w:proofErr w:type="spellEnd"/>
      <w:r>
        <w:rPr>
          <w:rFonts w:eastAsia="Palatino Linotype"/>
          <w:sz w:val="22"/>
          <w:szCs w:val="22"/>
          <w:lang w:val="es-ES"/>
        </w:rPr>
        <w:t xml:space="preserve"> </w:t>
      </w:r>
      <w:proofErr w:type="spellStart"/>
      <w:r>
        <w:rPr>
          <w:rFonts w:eastAsia="Palatino Linotype"/>
          <w:sz w:val="22"/>
          <w:szCs w:val="22"/>
          <w:lang w:val="es-ES"/>
        </w:rPr>
        <w:t>Republic</w:t>
      </w:r>
      <w:proofErr w:type="spellEnd"/>
      <w:r>
        <w:rPr>
          <w:rFonts w:eastAsia="Palatino Linotype"/>
          <w:sz w:val="22"/>
          <w:szCs w:val="22"/>
          <w:lang w:val="es-ES"/>
        </w:rPr>
        <w:t>.</w:t>
      </w:r>
    </w:p>
    <w:p w14:paraId="516C2CEC" w14:textId="77777777" w:rsidR="00E255F4" w:rsidRDefault="00E255F4">
      <w:pPr>
        <w:ind w:right="-142"/>
        <w:jc w:val="both"/>
        <w:rPr>
          <w:rFonts w:eastAsia="Palatino Linotype"/>
          <w:sz w:val="22"/>
          <w:szCs w:val="22"/>
          <w:lang w:val="es-ES"/>
        </w:rPr>
      </w:pPr>
    </w:p>
    <w:p w14:paraId="3E0442EF" w14:textId="77777777" w:rsidR="00E255F4" w:rsidRDefault="00000000">
      <w:pPr>
        <w:ind w:right="-142"/>
        <w:jc w:val="both"/>
        <w:rPr>
          <w:rFonts w:eastAsia="Palatino Linotype"/>
          <w:sz w:val="22"/>
          <w:szCs w:val="22"/>
          <w:lang w:val="es-ES"/>
        </w:rPr>
      </w:pPr>
      <w:proofErr w:type="spellStart"/>
      <w:r>
        <w:rPr>
          <w:rFonts w:eastAsia="Palatino Linotype"/>
          <w:spacing w:val="1"/>
          <w:sz w:val="22"/>
          <w:szCs w:val="22"/>
          <w:lang w:val="es-ES"/>
        </w:rPr>
        <w:t>L</w:t>
      </w:r>
      <w:r>
        <w:rPr>
          <w:rFonts w:eastAsia="Palatino Linotype"/>
          <w:sz w:val="22"/>
          <w:szCs w:val="22"/>
          <w:lang w:val="es-ES"/>
        </w:rPr>
        <w:t>The</w:t>
      </w:r>
      <w:proofErr w:type="spellEnd"/>
      <w:r>
        <w:rPr>
          <w:rFonts w:eastAsia="Palatino Linotype"/>
          <w:sz w:val="22"/>
          <w:szCs w:val="22"/>
          <w:lang w:val="es-ES"/>
        </w:rPr>
        <w:t xml:space="preserve"> </w:t>
      </w:r>
      <w:proofErr w:type="spellStart"/>
      <w:r>
        <w:rPr>
          <w:rFonts w:eastAsia="Palatino Linotype"/>
          <w:sz w:val="22"/>
          <w:szCs w:val="22"/>
          <w:lang w:val="es-ES"/>
        </w:rPr>
        <w:t>administration</w:t>
      </w:r>
      <w:proofErr w:type="spellEnd"/>
      <w:r>
        <w:rPr>
          <w:rFonts w:eastAsia="Palatino Linotype"/>
          <w:sz w:val="22"/>
          <w:szCs w:val="22"/>
          <w:lang w:val="es-ES"/>
        </w:rPr>
        <w:t xml:space="preserve"> </w:t>
      </w:r>
      <w:proofErr w:type="spellStart"/>
      <w:r>
        <w:rPr>
          <w:rFonts w:eastAsia="Palatino Linotype"/>
          <w:sz w:val="22"/>
          <w:szCs w:val="22"/>
          <w:lang w:val="es-ES"/>
        </w:rPr>
        <w:t>may</w:t>
      </w:r>
      <w:proofErr w:type="spellEnd"/>
      <w:r>
        <w:rPr>
          <w:rFonts w:eastAsia="Palatino Linotype"/>
          <w:sz w:val="22"/>
          <w:szCs w:val="22"/>
          <w:lang w:val="es-ES"/>
        </w:rPr>
        <w:t xml:space="preserve"> </w:t>
      </w:r>
      <w:proofErr w:type="spellStart"/>
      <w:r>
        <w:rPr>
          <w:rFonts w:eastAsia="Palatino Linotype"/>
          <w:sz w:val="22"/>
          <w:szCs w:val="22"/>
          <w:lang w:val="es-ES"/>
        </w:rPr>
        <w:t>establish</w:t>
      </w:r>
      <w:proofErr w:type="spellEnd"/>
      <w:r>
        <w:rPr>
          <w:rFonts w:eastAsia="Palatino Linotype"/>
          <w:sz w:val="22"/>
          <w:szCs w:val="22"/>
          <w:lang w:val="es-ES"/>
        </w:rPr>
        <w:t xml:space="preserve"> in </w:t>
      </w:r>
      <w:proofErr w:type="spellStart"/>
      <w:r>
        <w:rPr>
          <w:rFonts w:eastAsia="Palatino Linotype"/>
          <w:sz w:val="22"/>
          <w:szCs w:val="22"/>
          <w:lang w:val="es-ES"/>
        </w:rPr>
        <w:t>the</w:t>
      </w:r>
      <w:proofErr w:type="spellEnd"/>
      <w:r>
        <w:rPr>
          <w:rFonts w:eastAsia="Palatino Linotype"/>
          <w:sz w:val="22"/>
          <w:szCs w:val="22"/>
          <w:lang w:val="es-ES"/>
        </w:rPr>
        <w:t xml:space="preserve"> Special </w:t>
      </w:r>
      <w:proofErr w:type="spellStart"/>
      <w:r>
        <w:rPr>
          <w:rFonts w:eastAsia="Palatino Linotype"/>
          <w:sz w:val="22"/>
          <w:szCs w:val="22"/>
          <w:lang w:val="es-ES"/>
        </w:rPr>
        <w:t>Specifications</w:t>
      </w:r>
      <w:proofErr w:type="spellEnd"/>
      <w:r>
        <w:rPr>
          <w:rFonts w:eastAsia="Palatino Linotype"/>
          <w:sz w:val="22"/>
          <w:szCs w:val="22"/>
          <w:lang w:val="es-ES"/>
        </w:rPr>
        <w:t xml:space="preserve"> </w:t>
      </w:r>
      <w:proofErr w:type="spellStart"/>
      <w:r>
        <w:rPr>
          <w:rFonts w:eastAsia="Palatino Linotype"/>
          <w:sz w:val="22"/>
          <w:szCs w:val="22"/>
          <w:lang w:val="es-ES"/>
        </w:rPr>
        <w:t>or</w:t>
      </w:r>
      <w:proofErr w:type="spellEnd"/>
      <w:r>
        <w:rPr>
          <w:rFonts w:eastAsia="Palatino Linotype"/>
          <w:sz w:val="22"/>
          <w:szCs w:val="22"/>
          <w:lang w:val="es-ES"/>
        </w:rPr>
        <w:t xml:space="preserve"> in </w:t>
      </w:r>
      <w:proofErr w:type="spellStart"/>
      <w:r>
        <w:rPr>
          <w:rFonts w:eastAsia="Palatino Linotype"/>
          <w:sz w:val="22"/>
          <w:szCs w:val="22"/>
          <w:lang w:val="es-ES"/>
        </w:rPr>
        <w:t>the</w:t>
      </w:r>
      <w:proofErr w:type="spellEnd"/>
      <w:r>
        <w:rPr>
          <w:rFonts w:eastAsia="Palatino Linotype"/>
          <w:sz w:val="22"/>
          <w:szCs w:val="22"/>
          <w:lang w:val="es-ES"/>
        </w:rPr>
        <w:t xml:space="preserve"> </w:t>
      </w:r>
      <w:proofErr w:type="spellStart"/>
      <w:r>
        <w:rPr>
          <w:rFonts w:eastAsia="Palatino Linotype"/>
          <w:sz w:val="22"/>
          <w:szCs w:val="22"/>
          <w:lang w:val="es-ES"/>
        </w:rPr>
        <w:t>award</w:t>
      </w:r>
      <w:proofErr w:type="spellEnd"/>
      <w:r>
        <w:rPr>
          <w:rFonts w:eastAsia="Palatino Linotype"/>
          <w:sz w:val="22"/>
          <w:szCs w:val="22"/>
          <w:lang w:val="es-ES"/>
        </w:rPr>
        <w:t xml:space="preserve"> </w:t>
      </w:r>
      <w:proofErr w:type="spellStart"/>
      <w:r>
        <w:rPr>
          <w:rFonts w:eastAsia="Palatino Linotype"/>
          <w:sz w:val="22"/>
          <w:szCs w:val="22"/>
          <w:lang w:val="es-ES"/>
        </w:rPr>
        <w:t>resolution</w:t>
      </w:r>
      <w:proofErr w:type="spellEnd"/>
      <w:r>
        <w:rPr>
          <w:rFonts w:eastAsia="Palatino Linotype"/>
          <w:sz w:val="22"/>
          <w:szCs w:val="22"/>
          <w:lang w:val="es-ES"/>
        </w:rPr>
        <w:t xml:space="preserve">, </w:t>
      </w:r>
      <w:proofErr w:type="spellStart"/>
      <w:r>
        <w:rPr>
          <w:rFonts w:eastAsia="Palatino Linotype"/>
          <w:sz w:val="22"/>
          <w:szCs w:val="22"/>
          <w:lang w:val="es-ES"/>
        </w:rPr>
        <w:t>the</w:t>
      </w:r>
      <w:proofErr w:type="spellEnd"/>
      <w:r>
        <w:rPr>
          <w:rFonts w:eastAsia="Palatino Linotype"/>
          <w:sz w:val="22"/>
          <w:szCs w:val="22"/>
          <w:lang w:val="es-ES"/>
        </w:rPr>
        <w:t xml:space="preserve"> </w:t>
      </w:r>
      <w:proofErr w:type="spellStart"/>
      <w:r>
        <w:rPr>
          <w:rFonts w:eastAsia="Palatino Linotype"/>
          <w:sz w:val="22"/>
          <w:szCs w:val="22"/>
          <w:lang w:val="es-ES"/>
        </w:rPr>
        <w:t>written</w:t>
      </w:r>
      <w:proofErr w:type="spellEnd"/>
      <w:r>
        <w:rPr>
          <w:rFonts w:eastAsia="Palatino Linotype"/>
          <w:sz w:val="22"/>
          <w:szCs w:val="22"/>
          <w:lang w:val="es-ES"/>
        </w:rPr>
        <w:t xml:space="preserve"> </w:t>
      </w:r>
      <w:proofErr w:type="spellStart"/>
      <w:r>
        <w:rPr>
          <w:rFonts w:eastAsia="Palatino Linotype"/>
          <w:sz w:val="22"/>
          <w:szCs w:val="22"/>
          <w:lang w:val="es-ES"/>
        </w:rPr>
        <w:t>form</w:t>
      </w:r>
      <w:proofErr w:type="spellEnd"/>
      <w:r>
        <w:rPr>
          <w:rFonts w:eastAsia="Palatino Linotype"/>
          <w:sz w:val="22"/>
          <w:szCs w:val="22"/>
          <w:lang w:val="es-ES"/>
        </w:rPr>
        <w:t xml:space="preserve"> </w:t>
      </w:r>
      <w:proofErr w:type="spellStart"/>
      <w:r>
        <w:rPr>
          <w:rFonts w:eastAsia="Palatino Linotype"/>
          <w:sz w:val="22"/>
          <w:szCs w:val="22"/>
          <w:lang w:val="es-ES"/>
        </w:rPr>
        <w:t>or</w:t>
      </w:r>
      <w:proofErr w:type="spellEnd"/>
      <w:r>
        <w:rPr>
          <w:rFonts w:eastAsia="Palatino Linotype"/>
          <w:sz w:val="22"/>
          <w:szCs w:val="22"/>
          <w:lang w:val="es-ES"/>
        </w:rPr>
        <w:t xml:space="preserve"> formal </w:t>
      </w:r>
      <w:proofErr w:type="spellStart"/>
      <w:r>
        <w:rPr>
          <w:rFonts w:eastAsia="Palatino Linotype"/>
          <w:sz w:val="22"/>
          <w:szCs w:val="22"/>
          <w:lang w:val="es-ES"/>
        </w:rPr>
        <w:t>requirements</w:t>
      </w:r>
      <w:proofErr w:type="spellEnd"/>
      <w:r>
        <w:rPr>
          <w:rFonts w:eastAsia="Palatino Linotype"/>
          <w:sz w:val="22"/>
          <w:szCs w:val="22"/>
          <w:lang w:val="es-ES"/>
        </w:rPr>
        <w:t xml:space="preserve"> </w:t>
      </w:r>
      <w:proofErr w:type="spellStart"/>
      <w:r>
        <w:rPr>
          <w:rFonts w:eastAsia="Palatino Linotype"/>
          <w:sz w:val="22"/>
          <w:szCs w:val="22"/>
          <w:lang w:val="es-ES"/>
        </w:rPr>
        <w:t>to</w:t>
      </w:r>
      <w:proofErr w:type="spellEnd"/>
      <w:r>
        <w:rPr>
          <w:rFonts w:eastAsia="Palatino Linotype"/>
          <w:sz w:val="22"/>
          <w:szCs w:val="22"/>
          <w:lang w:val="es-ES"/>
        </w:rPr>
        <w:t xml:space="preserve"> be </w:t>
      </w:r>
      <w:proofErr w:type="spellStart"/>
      <w:r>
        <w:rPr>
          <w:rFonts w:eastAsia="Palatino Linotype"/>
          <w:sz w:val="22"/>
          <w:szCs w:val="22"/>
          <w:lang w:val="es-ES"/>
        </w:rPr>
        <w:t>met</w:t>
      </w:r>
      <w:proofErr w:type="spellEnd"/>
      <w:r>
        <w:rPr>
          <w:rFonts w:eastAsia="Palatino Linotype"/>
          <w:sz w:val="22"/>
          <w:szCs w:val="22"/>
          <w:lang w:val="es-ES"/>
        </w:rPr>
        <w:t xml:space="preserve"> after </w:t>
      </w:r>
      <w:proofErr w:type="spellStart"/>
      <w:r>
        <w:rPr>
          <w:rFonts w:eastAsia="Palatino Linotype"/>
          <w:sz w:val="22"/>
          <w:szCs w:val="22"/>
          <w:lang w:val="es-ES"/>
        </w:rPr>
        <w:t>the</w:t>
      </w:r>
      <w:proofErr w:type="spellEnd"/>
      <w:r>
        <w:rPr>
          <w:rFonts w:eastAsia="Palatino Linotype"/>
          <w:sz w:val="22"/>
          <w:szCs w:val="22"/>
          <w:lang w:val="es-ES"/>
        </w:rPr>
        <w:t xml:space="preserve"> </w:t>
      </w:r>
      <w:proofErr w:type="spellStart"/>
      <w:r>
        <w:rPr>
          <w:rFonts w:eastAsia="Palatino Linotype"/>
          <w:sz w:val="22"/>
          <w:szCs w:val="22"/>
          <w:lang w:val="es-ES"/>
        </w:rPr>
        <w:t>issuance</w:t>
      </w:r>
      <w:proofErr w:type="spellEnd"/>
      <w:r>
        <w:rPr>
          <w:rFonts w:eastAsia="Palatino Linotype"/>
          <w:sz w:val="22"/>
          <w:szCs w:val="22"/>
          <w:lang w:val="es-ES"/>
        </w:rPr>
        <w:t xml:space="preserve"> </w:t>
      </w:r>
      <w:proofErr w:type="spellStart"/>
      <w:r>
        <w:rPr>
          <w:rFonts w:eastAsia="Palatino Linotype"/>
          <w:sz w:val="22"/>
          <w:szCs w:val="22"/>
          <w:lang w:val="es-ES"/>
        </w:rPr>
        <w:t>of</w:t>
      </w:r>
      <w:proofErr w:type="spellEnd"/>
      <w:r>
        <w:rPr>
          <w:rFonts w:eastAsia="Palatino Linotype"/>
          <w:sz w:val="22"/>
          <w:szCs w:val="22"/>
          <w:lang w:val="es-ES"/>
        </w:rPr>
        <w:t xml:space="preserve"> </w:t>
      </w:r>
      <w:proofErr w:type="spellStart"/>
      <w:r>
        <w:rPr>
          <w:rFonts w:eastAsia="Palatino Linotype"/>
          <w:sz w:val="22"/>
          <w:szCs w:val="22"/>
          <w:lang w:val="es-ES"/>
        </w:rPr>
        <w:t>the</w:t>
      </w:r>
      <w:proofErr w:type="spellEnd"/>
      <w:r>
        <w:rPr>
          <w:rFonts w:eastAsia="Palatino Linotype"/>
          <w:sz w:val="22"/>
          <w:szCs w:val="22"/>
          <w:lang w:val="es-ES"/>
        </w:rPr>
        <w:t xml:space="preserve"> </w:t>
      </w:r>
      <w:proofErr w:type="spellStart"/>
      <w:r>
        <w:rPr>
          <w:rFonts w:eastAsia="Palatino Linotype"/>
          <w:sz w:val="22"/>
          <w:szCs w:val="22"/>
          <w:lang w:val="es-ES"/>
        </w:rPr>
        <w:t>aforementioned</w:t>
      </w:r>
      <w:proofErr w:type="spellEnd"/>
      <w:r>
        <w:rPr>
          <w:rFonts w:eastAsia="Palatino Linotype"/>
          <w:sz w:val="22"/>
          <w:szCs w:val="22"/>
          <w:lang w:val="es-ES"/>
        </w:rPr>
        <w:t xml:space="preserve"> </w:t>
      </w:r>
      <w:proofErr w:type="spellStart"/>
      <w:r>
        <w:rPr>
          <w:rFonts w:eastAsia="Palatino Linotype"/>
          <w:sz w:val="22"/>
          <w:szCs w:val="22"/>
          <w:lang w:val="es-ES"/>
        </w:rPr>
        <w:t>act</w:t>
      </w:r>
      <w:proofErr w:type="spellEnd"/>
      <w:r>
        <w:rPr>
          <w:rFonts w:eastAsia="Palatino Linotype"/>
          <w:sz w:val="22"/>
          <w:szCs w:val="22"/>
          <w:lang w:val="es-ES"/>
        </w:rPr>
        <w:t xml:space="preserve"> </w:t>
      </w:r>
      <w:proofErr w:type="spellStart"/>
      <w:r>
        <w:rPr>
          <w:rFonts w:eastAsia="Palatino Linotype"/>
          <w:sz w:val="22"/>
          <w:szCs w:val="22"/>
          <w:lang w:val="es-ES"/>
        </w:rPr>
        <w:t>or</w:t>
      </w:r>
      <w:proofErr w:type="spellEnd"/>
      <w:r>
        <w:rPr>
          <w:rFonts w:eastAsia="Palatino Linotype"/>
          <w:sz w:val="22"/>
          <w:szCs w:val="22"/>
          <w:lang w:val="es-ES"/>
        </w:rPr>
        <w:t xml:space="preserve"> </w:t>
      </w:r>
      <w:proofErr w:type="spellStart"/>
      <w:r>
        <w:rPr>
          <w:rFonts w:eastAsia="Palatino Linotype"/>
          <w:sz w:val="22"/>
          <w:szCs w:val="22"/>
          <w:lang w:val="es-ES"/>
        </w:rPr>
        <w:t>if</w:t>
      </w:r>
      <w:proofErr w:type="spellEnd"/>
      <w:r>
        <w:rPr>
          <w:rFonts w:eastAsia="Palatino Linotype"/>
          <w:sz w:val="22"/>
          <w:szCs w:val="22"/>
          <w:lang w:val="es-ES"/>
        </w:rPr>
        <w:t xml:space="preserve"> </w:t>
      </w:r>
      <w:proofErr w:type="spellStart"/>
      <w:r>
        <w:rPr>
          <w:rFonts w:eastAsia="Palatino Linotype"/>
          <w:sz w:val="22"/>
          <w:szCs w:val="22"/>
          <w:lang w:val="es-ES"/>
        </w:rPr>
        <w:t>there</w:t>
      </w:r>
      <w:proofErr w:type="spellEnd"/>
      <w:r>
        <w:rPr>
          <w:rFonts w:eastAsia="Palatino Linotype"/>
          <w:sz w:val="22"/>
          <w:szCs w:val="22"/>
          <w:lang w:val="es-ES"/>
        </w:rPr>
        <w:t xml:space="preserve"> are </w:t>
      </w:r>
      <w:proofErr w:type="spellStart"/>
      <w:r>
        <w:rPr>
          <w:rFonts w:eastAsia="Palatino Linotype"/>
          <w:sz w:val="22"/>
          <w:szCs w:val="22"/>
          <w:lang w:val="es-ES"/>
        </w:rPr>
        <w:t>other</w:t>
      </w:r>
      <w:proofErr w:type="spellEnd"/>
      <w:r>
        <w:rPr>
          <w:rFonts w:eastAsia="Palatino Linotype"/>
          <w:sz w:val="22"/>
          <w:szCs w:val="22"/>
          <w:lang w:val="es-ES"/>
        </w:rPr>
        <w:t xml:space="preserve"> suspensive </w:t>
      </w:r>
      <w:proofErr w:type="spellStart"/>
      <w:r>
        <w:rPr>
          <w:rFonts w:eastAsia="Palatino Linotype"/>
          <w:sz w:val="22"/>
          <w:szCs w:val="22"/>
          <w:lang w:val="es-ES"/>
        </w:rPr>
        <w:t>conditions</w:t>
      </w:r>
      <w:proofErr w:type="spellEnd"/>
      <w:r>
        <w:rPr>
          <w:rFonts w:eastAsia="Palatino Linotype"/>
          <w:sz w:val="22"/>
          <w:szCs w:val="22"/>
          <w:lang w:val="es-ES"/>
        </w:rPr>
        <w:t xml:space="preserve"> </w:t>
      </w:r>
      <w:proofErr w:type="spellStart"/>
      <w:r>
        <w:rPr>
          <w:rFonts w:eastAsia="Palatino Linotype"/>
          <w:sz w:val="22"/>
          <w:szCs w:val="22"/>
          <w:lang w:val="es-ES"/>
        </w:rPr>
        <w:t>that</w:t>
      </w:r>
      <w:proofErr w:type="spellEnd"/>
      <w:r>
        <w:rPr>
          <w:rFonts w:eastAsia="Palatino Linotype"/>
          <w:sz w:val="22"/>
          <w:szCs w:val="22"/>
          <w:lang w:val="es-ES"/>
        </w:rPr>
        <w:t xml:space="preserve"> </w:t>
      </w:r>
      <w:proofErr w:type="spellStart"/>
      <w:r>
        <w:rPr>
          <w:rFonts w:eastAsia="Palatino Linotype"/>
          <w:sz w:val="22"/>
          <w:szCs w:val="22"/>
          <w:lang w:val="es-ES"/>
        </w:rPr>
        <w:t>prevent</w:t>
      </w:r>
      <w:proofErr w:type="spellEnd"/>
      <w:r>
        <w:rPr>
          <w:rFonts w:eastAsia="Palatino Linotype"/>
          <w:sz w:val="22"/>
          <w:szCs w:val="22"/>
          <w:lang w:val="es-ES"/>
        </w:rPr>
        <w:t xml:space="preserve"> </w:t>
      </w:r>
      <w:proofErr w:type="spellStart"/>
      <w:r>
        <w:rPr>
          <w:rFonts w:eastAsia="Palatino Linotype"/>
          <w:sz w:val="22"/>
          <w:szCs w:val="22"/>
          <w:lang w:val="es-ES"/>
        </w:rPr>
        <w:t>the</w:t>
      </w:r>
      <w:proofErr w:type="spellEnd"/>
      <w:r>
        <w:rPr>
          <w:rFonts w:eastAsia="Palatino Linotype"/>
          <w:sz w:val="22"/>
          <w:szCs w:val="22"/>
          <w:lang w:val="es-ES"/>
        </w:rPr>
        <w:t xml:space="preserve"> </w:t>
      </w:r>
      <w:proofErr w:type="spellStart"/>
      <w:r>
        <w:rPr>
          <w:rFonts w:eastAsia="Palatino Linotype"/>
          <w:sz w:val="22"/>
          <w:szCs w:val="22"/>
          <w:lang w:val="es-ES"/>
        </w:rPr>
        <w:t>perfection</w:t>
      </w:r>
      <w:proofErr w:type="spellEnd"/>
      <w:r>
        <w:rPr>
          <w:rFonts w:eastAsia="Palatino Linotype"/>
          <w:sz w:val="22"/>
          <w:szCs w:val="22"/>
          <w:lang w:val="es-ES"/>
        </w:rPr>
        <w:t xml:space="preserve"> </w:t>
      </w:r>
      <w:proofErr w:type="spellStart"/>
      <w:r>
        <w:rPr>
          <w:rFonts w:eastAsia="Palatino Linotype"/>
          <w:sz w:val="22"/>
          <w:szCs w:val="22"/>
          <w:lang w:val="es-ES"/>
        </w:rPr>
        <w:t>of</w:t>
      </w:r>
      <w:proofErr w:type="spellEnd"/>
      <w:r>
        <w:rPr>
          <w:rFonts w:eastAsia="Palatino Linotype"/>
          <w:sz w:val="22"/>
          <w:szCs w:val="22"/>
          <w:lang w:val="es-ES"/>
        </w:rPr>
        <w:t xml:space="preserve"> </w:t>
      </w:r>
      <w:proofErr w:type="spellStart"/>
      <w:r>
        <w:rPr>
          <w:rFonts w:eastAsia="Palatino Linotype"/>
          <w:sz w:val="22"/>
          <w:szCs w:val="22"/>
          <w:lang w:val="es-ES"/>
        </w:rPr>
        <w:t>the</w:t>
      </w:r>
      <w:proofErr w:type="spellEnd"/>
      <w:r>
        <w:rPr>
          <w:rFonts w:eastAsia="Palatino Linotype"/>
          <w:sz w:val="22"/>
          <w:szCs w:val="22"/>
          <w:lang w:val="es-ES"/>
        </w:rPr>
        <w:t xml:space="preserve"> </w:t>
      </w:r>
      <w:proofErr w:type="spellStart"/>
      <w:r>
        <w:rPr>
          <w:rFonts w:eastAsia="Palatino Linotype"/>
          <w:sz w:val="22"/>
          <w:szCs w:val="22"/>
          <w:lang w:val="es-ES"/>
        </w:rPr>
        <w:t>contract</w:t>
      </w:r>
      <w:proofErr w:type="spellEnd"/>
      <w:r>
        <w:rPr>
          <w:rFonts w:eastAsia="Palatino Linotype"/>
          <w:sz w:val="22"/>
          <w:szCs w:val="22"/>
          <w:lang w:val="es-ES"/>
        </w:rPr>
        <w:t>.</w:t>
      </w:r>
    </w:p>
    <w:p w14:paraId="4488A590" w14:textId="77777777" w:rsidR="00E255F4" w:rsidRDefault="00E255F4">
      <w:pPr>
        <w:rPr>
          <w:rFonts w:eastAsia="Palatino Linotype"/>
          <w:sz w:val="22"/>
          <w:szCs w:val="22"/>
          <w:lang w:val="es-ES"/>
        </w:rPr>
      </w:pPr>
    </w:p>
    <w:p w14:paraId="49445DE1" w14:textId="77777777" w:rsidR="00E255F4" w:rsidRDefault="00000000">
      <w:pPr>
        <w:spacing w:after="240"/>
        <w:ind w:right="-142"/>
        <w:jc w:val="both"/>
        <w:outlineLvl w:val="0"/>
        <w:rPr>
          <w:rFonts w:eastAsia="Palatino Linotype"/>
          <w:sz w:val="22"/>
          <w:szCs w:val="22"/>
          <w:lang w:val="es-ES"/>
        </w:rPr>
      </w:pPr>
      <w:bookmarkStart w:id="52" w:name="__RefHeading___Toc225377229"/>
      <w:bookmarkEnd w:id="52"/>
      <w:r>
        <w:rPr>
          <w:rFonts w:eastAsia="Palatino Linotype"/>
          <w:b/>
          <w:spacing w:val="-1"/>
          <w:sz w:val="22"/>
          <w:szCs w:val="22"/>
          <w:lang w:val="es-ES"/>
        </w:rPr>
        <w:lastRenderedPageBreak/>
        <w:t>1</w:t>
      </w:r>
      <w:r>
        <w:rPr>
          <w:rFonts w:eastAsia="Palatino Linotype"/>
          <w:b/>
          <w:sz w:val="22"/>
          <w:szCs w:val="22"/>
          <w:lang w:val="es-ES"/>
        </w:rPr>
        <w:t>9</w:t>
      </w:r>
      <w:r>
        <w:rPr>
          <w:rFonts w:eastAsia="Palatino Linotype"/>
          <w:b/>
          <w:spacing w:val="-2"/>
          <w:sz w:val="22"/>
          <w:szCs w:val="22"/>
          <w:lang w:val="es-ES"/>
        </w:rPr>
        <w:t xml:space="preserve"> </w:t>
      </w:r>
      <w:r>
        <w:rPr>
          <w:rFonts w:eastAsia="Palatino Linotype"/>
          <w:b/>
          <w:spacing w:val="-2"/>
          <w:sz w:val="22"/>
          <w:szCs w:val="22"/>
          <w:lang w:val="es-ES"/>
        </w:rPr>
        <w:tab/>
      </w:r>
      <w:r>
        <w:rPr>
          <w:rFonts w:eastAsia="Palatino Linotype"/>
          <w:b/>
          <w:spacing w:val="-1"/>
          <w:sz w:val="22"/>
          <w:szCs w:val="22"/>
          <w:lang w:val="es-ES"/>
        </w:rPr>
        <w:t xml:space="preserve">I </w:t>
      </w:r>
      <w:proofErr w:type="spellStart"/>
      <w:r>
        <w:rPr>
          <w:rFonts w:eastAsia="Palatino Linotype"/>
          <w:b/>
          <w:spacing w:val="-1"/>
          <w:sz w:val="22"/>
          <w:szCs w:val="22"/>
          <w:lang w:val="es-ES"/>
        </w:rPr>
        <w:t>guaranteed</w:t>
      </w:r>
      <w:r>
        <w:rPr>
          <w:rFonts w:eastAsia="Palatino Linotype"/>
          <w:b/>
          <w:sz w:val="22"/>
          <w:szCs w:val="22"/>
          <w:lang w:val="es-ES"/>
        </w:rPr>
        <w:t>to</w:t>
      </w:r>
      <w:proofErr w:type="spellEnd"/>
      <w:r>
        <w:rPr>
          <w:rFonts w:eastAsia="Palatino Linotype"/>
          <w:b/>
          <w:sz w:val="22"/>
          <w:szCs w:val="22"/>
          <w:lang w:val="es-ES"/>
        </w:rPr>
        <w:t xml:space="preserve"> </w:t>
      </w:r>
      <w:proofErr w:type="spellStart"/>
      <w:r>
        <w:rPr>
          <w:rFonts w:eastAsia="Palatino Linotype"/>
          <w:b/>
          <w:sz w:val="22"/>
          <w:szCs w:val="22"/>
          <w:lang w:val="es-ES"/>
        </w:rPr>
        <w:t>faithfully</w:t>
      </w:r>
      <w:proofErr w:type="spellEnd"/>
      <w:r>
        <w:rPr>
          <w:rFonts w:eastAsia="Palatino Linotype"/>
          <w:b/>
          <w:sz w:val="22"/>
          <w:szCs w:val="22"/>
          <w:lang w:val="es-ES"/>
        </w:rPr>
        <w:t xml:space="preserve"> </w:t>
      </w:r>
      <w:proofErr w:type="spellStart"/>
      <w:r>
        <w:rPr>
          <w:rFonts w:eastAsia="Palatino Linotype"/>
          <w:b/>
          <w:sz w:val="22"/>
          <w:szCs w:val="22"/>
          <w:lang w:val="es-ES"/>
        </w:rPr>
        <w:t>fulfill</w:t>
      </w:r>
      <w:proofErr w:type="spellEnd"/>
      <w:r>
        <w:rPr>
          <w:rFonts w:eastAsia="Palatino Linotype"/>
          <w:b/>
          <w:sz w:val="22"/>
          <w:szCs w:val="22"/>
          <w:lang w:val="es-ES"/>
        </w:rPr>
        <w:t xml:space="preserve"> </w:t>
      </w:r>
      <w:proofErr w:type="spellStart"/>
      <w:r>
        <w:rPr>
          <w:rFonts w:eastAsia="Palatino Linotype"/>
          <w:b/>
          <w:sz w:val="22"/>
          <w:szCs w:val="22"/>
          <w:lang w:val="es-ES"/>
        </w:rPr>
        <w:t>the</w:t>
      </w:r>
      <w:proofErr w:type="spellEnd"/>
      <w:r>
        <w:rPr>
          <w:rFonts w:eastAsia="Palatino Linotype"/>
          <w:b/>
          <w:sz w:val="22"/>
          <w:szCs w:val="22"/>
          <w:lang w:val="es-ES"/>
        </w:rPr>
        <w:t xml:space="preserve"> </w:t>
      </w:r>
      <w:proofErr w:type="spellStart"/>
      <w:r>
        <w:rPr>
          <w:rFonts w:eastAsia="Palatino Linotype"/>
          <w:b/>
          <w:sz w:val="22"/>
          <w:szCs w:val="22"/>
          <w:lang w:val="es-ES"/>
        </w:rPr>
        <w:t>contract</w:t>
      </w:r>
      <w:proofErr w:type="spellEnd"/>
    </w:p>
    <w:p w14:paraId="5ED24F09" w14:textId="77777777" w:rsidR="00E255F4" w:rsidRDefault="00000000">
      <w:pPr>
        <w:ind w:right="-142"/>
        <w:jc w:val="both"/>
        <w:outlineLvl w:val="0"/>
        <w:rPr>
          <w:rFonts w:eastAsia="Palatino Linotype"/>
          <w:b/>
          <w:spacing w:val="-1"/>
          <w:sz w:val="22"/>
          <w:szCs w:val="22"/>
          <w:lang w:val="es-ES"/>
        </w:rPr>
      </w:pPr>
      <w:bookmarkStart w:id="53" w:name="__RefHeading___Toc225377230"/>
      <w:bookmarkEnd w:id="53"/>
      <w:r>
        <w:rPr>
          <w:rFonts w:eastAsia="Palatino Linotype"/>
          <w:b/>
          <w:spacing w:val="-1"/>
          <w:sz w:val="22"/>
          <w:szCs w:val="22"/>
          <w:lang w:val="es-ES"/>
        </w:rPr>
        <w:t xml:space="preserve">19.1 </w:t>
      </w:r>
      <w:proofErr w:type="spellStart"/>
      <w:r>
        <w:rPr>
          <w:rFonts w:eastAsia="Palatino Linotype"/>
          <w:b/>
          <w:spacing w:val="-1"/>
          <w:sz w:val="22"/>
          <w:szCs w:val="22"/>
          <w:lang w:val="es-ES"/>
        </w:rPr>
        <w:t>Constitution</w:t>
      </w:r>
      <w:proofErr w:type="spellEnd"/>
      <w:r>
        <w:rPr>
          <w:rFonts w:eastAsia="Palatino Linotype"/>
          <w:b/>
          <w:spacing w:val="-1"/>
          <w:sz w:val="22"/>
          <w:szCs w:val="22"/>
          <w:lang w:val="es-ES"/>
        </w:rPr>
        <w:tab/>
      </w:r>
    </w:p>
    <w:p w14:paraId="452F055B" w14:textId="77777777" w:rsidR="00E255F4" w:rsidRDefault="00E255F4">
      <w:pPr>
        <w:ind w:right="-142"/>
        <w:jc w:val="both"/>
        <w:rPr>
          <w:rFonts w:eastAsia="Palatino Linotype"/>
          <w:b/>
          <w:spacing w:val="6"/>
          <w:sz w:val="22"/>
          <w:szCs w:val="22"/>
          <w:lang w:val="es-ES"/>
        </w:rPr>
      </w:pPr>
    </w:p>
    <w:p w14:paraId="37ED3BEA" w14:textId="77777777" w:rsidR="00E255F4" w:rsidRDefault="00000000">
      <w:pPr>
        <w:ind w:right="-142"/>
        <w:jc w:val="both"/>
        <w:rPr>
          <w:rFonts w:eastAsia="Palatino Linotype"/>
          <w:sz w:val="22"/>
          <w:szCs w:val="22"/>
          <w:lang w:val="es-ES"/>
        </w:rPr>
      </w:pPr>
      <w:proofErr w:type="spellStart"/>
      <w:r>
        <w:rPr>
          <w:rFonts w:eastAsia="Palatino Linotype"/>
          <w:spacing w:val="6"/>
          <w:sz w:val="22"/>
          <w:szCs w:val="22"/>
          <w:lang w:val="es-ES"/>
        </w:rPr>
        <w:t>When</w:t>
      </w:r>
      <w:r>
        <w:rPr>
          <w:rFonts w:eastAsia="Palatino Linotype"/>
          <w:sz w:val="22"/>
          <w:szCs w:val="22"/>
          <w:lang w:val="es-ES"/>
        </w:rPr>
        <w:t>or</w:t>
      </w:r>
      <w:proofErr w:type="spellEnd"/>
      <w:r>
        <w:rPr>
          <w:rFonts w:eastAsia="Palatino Linotype"/>
          <w:sz w:val="22"/>
          <w:szCs w:val="22"/>
          <w:lang w:val="es-ES"/>
        </w:rPr>
        <w:t xml:space="preserve"> </w:t>
      </w:r>
      <w:proofErr w:type="spellStart"/>
      <w:r>
        <w:rPr>
          <w:rFonts w:eastAsia="Palatino Linotype"/>
          <w:sz w:val="22"/>
          <w:szCs w:val="22"/>
          <w:lang w:val="es-ES"/>
        </w:rPr>
        <w:t>if</w:t>
      </w:r>
      <w:proofErr w:type="spellEnd"/>
      <w:r>
        <w:rPr>
          <w:rFonts w:eastAsia="Palatino Linotype"/>
          <w:sz w:val="22"/>
          <w:szCs w:val="22"/>
          <w:lang w:val="es-ES"/>
        </w:rPr>
        <w:t xml:space="preserve"> </w:t>
      </w:r>
      <w:proofErr w:type="spellStart"/>
      <w:r>
        <w:rPr>
          <w:rFonts w:eastAsia="Palatino Linotype"/>
          <w:sz w:val="22"/>
          <w:szCs w:val="22"/>
          <w:lang w:val="es-ES"/>
        </w:rPr>
        <w:t>the</w:t>
      </w:r>
      <w:proofErr w:type="spellEnd"/>
      <w:r>
        <w:rPr>
          <w:rFonts w:eastAsia="Palatino Linotype"/>
          <w:sz w:val="22"/>
          <w:szCs w:val="22"/>
          <w:lang w:val="es-ES"/>
        </w:rPr>
        <w:t xml:space="preserve"> total </w:t>
      </w:r>
      <w:proofErr w:type="spellStart"/>
      <w:r>
        <w:rPr>
          <w:rFonts w:eastAsia="Palatino Linotype"/>
          <w:sz w:val="22"/>
          <w:szCs w:val="22"/>
          <w:lang w:val="es-ES"/>
        </w:rPr>
        <w:t>awarded</w:t>
      </w:r>
      <w:proofErr w:type="spellEnd"/>
      <w:r>
        <w:rPr>
          <w:rFonts w:eastAsia="Palatino Linotype"/>
          <w:sz w:val="22"/>
          <w:szCs w:val="22"/>
          <w:lang w:val="es-ES"/>
        </w:rPr>
        <w:t xml:space="preserve"> </w:t>
      </w:r>
      <w:proofErr w:type="spellStart"/>
      <w:r>
        <w:rPr>
          <w:rFonts w:eastAsia="Palatino Linotype"/>
          <w:sz w:val="22"/>
          <w:szCs w:val="22"/>
          <w:lang w:val="es-ES"/>
        </w:rPr>
        <w:t>amount</w:t>
      </w:r>
      <w:proofErr w:type="spellEnd"/>
      <w:r>
        <w:rPr>
          <w:rFonts w:eastAsia="Palatino Linotype"/>
          <w:sz w:val="22"/>
          <w:szCs w:val="22"/>
          <w:lang w:val="es-ES"/>
        </w:rPr>
        <w:t xml:space="preserve"> </w:t>
      </w:r>
      <w:proofErr w:type="spellStart"/>
      <w:r>
        <w:rPr>
          <w:rFonts w:eastAsia="Palatino Linotype"/>
          <w:sz w:val="22"/>
          <w:szCs w:val="22"/>
          <w:lang w:val="es-ES"/>
        </w:rPr>
        <w:t>exceeds</w:t>
      </w:r>
      <w:proofErr w:type="spellEnd"/>
      <w:r>
        <w:rPr>
          <w:rFonts w:eastAsia="Palatino Linotype"/>
          <w:sz w:val="22"/>
          <w:szCs w:val="22"/>
          <w:lang w:val="es-ES"/>
        </w:rPr>
        <w:t xml:space="preserve"> 40% </w:t>
      </w:r>
      <w:proofErr w:type="spellStart"/>
      <w:r>
        <w:rPr>
          <w:rFonts w:eastAsia="Palatino Linotype"/>
          <w:sz w:val="22"/>
          <w:szCs w:val="22"/>
          <w:lang w:val="es-ES"/>
        </w:rPr>
        <w:t>of</w:t>
      </w:r>
      <w:proofErr w:type="spellEnd"/>
      <w:r>
        <w:rPr>
          <w:rFonts w:eastAsia="Palatino Linotype"/>
          <w:sz w:val="22"/>
          <w:szCs w:val="22"/>
          <w:lang w:val="es-ES"/>
        </w:rPr>
        <w:t xml:space="preserve"> </w:t>
      </w:r>
      <w:proofErr w:type="spellStart"/>
      <w:r>
        <w:rPr>
          <w:rFonts w:eastAsia="Palatino Linotype"/>
          <w:sz w:val="22"/>
          <w:szCs w:val="22"/>
          <w:lang w:val="es-ES"/>
        </w:rPr>
        <w:t>the</w:t>
      </w:r>
      <w:proofErr w:type="spellEnd"/>
      <w:r>
        <w:rPr>
          <w:rFonts w:eastAsia="Palatino Linotype"/>
          <w:sz w:val="22"/>
          <w:szCs w:val="22"/>
          <w:lang w:val="es-ES"/>
        </w:rPr>
        <w:t xml:space="preserve"> </w:t>
      </w:r>
      <w:proofErr w:type="spellStart"/>
      <w:r>
        <w:rPr>
          <w:rFonts w:eastAsia="Palatino Linotype"/>
          <w:sz w:val="22"/>
          <w:szCs w:val="22"/>
          <w:lang w:val="es-ES"/>
        </w:rPr>
        <w:t>limit</w:t>
      </w:r>
      <w:proofErr w:type="spellEnd"/>
      <w:r>
        <w:rPr>
          <w:rFonts w:eastAsia="Palatino Linotype"/>
          <w:sz w:val="22"/>
          <w:szCs w:val="22"/>
          <w:lang w:val="es-ES"/>
        </w:rPr>
        <w:t xml:space="preserve"> </w:t>
      </w:r>
      <w:proofErr w:type="spellStart"/>
      <w:r>
        <w:rPr>
          <w:rFonts w:eastAsia="Palatino Linotype"/>
          <w:sz w:val="22"/>
          <w:szCs w:val="22"/>
          <w:lang w:val="es-ES"/>
        </w:rPr>
        <w:t>for</w:t>
      </w:r>
      <w:proofErr w:type="spellEnd"/>
      <w:r>
        <w:rPr>
          <w:rFonts w:eastAsia="Palatino Linotype"/>
          <w:sz w:val="22"/>
          <w:szCs w:val="22"/>
          <w:lang w:val="es-ES"/>
        </w:rPr>
        <w:t xml:space="preserve"> </w:t>
      </w:r>
      <w:proofErr w:type="spellStart"/>
      <w:r>
        <w:rPr>
          <w:rFonts w:eastAsia="Palatino Linotype"/>
          <w:sz w:val="22"/>
          <w:szCs w:val="22"/>
          <w:lang w:val="es-ES"/>
        </w:rPr>
        <w:t>the</w:t>
      </w:r>
      <w:proofErr w:type="spellEnd"/>
      <w:r>
        <w:rPr>
          <w:rFonts w:eastAsia="Palatino Linotype"/>
          <w:sz w:val="22"/>
          <w:szCs w:val="22"/>
          <w:lang w:val="es-ES"/>
        </w:rPr>
        <w:t xml:space="preserve"> </w:t>
      </w:r>
      <w:proofErr w:type="spellStart"/>
      <w:r>
        <w:rPr>
          <w:rFonts w:eastAsia="Palatino Linotype"/>
          <w:sz w:val="22"/>
          <w:szCs w:val="22"/>
          <w:lang w:val="es-ES"/>
        </w:rPr>
        <w:t>abbreviated</w:t>
      </w:r>
      <w:proofErr w:type="spellEnd"/>
      <w:r>
        <w:rPr>
          <w:rFonts w:eastAsia="Palatino Linotype"/>
          <w:sz w:val="22"/>
          <w:szCs w:val="22"/>
          <w:lang w:val="es-ES"/>
        </w:rPr>
        <w:t xml:space="preserve"> </w:t>
      </w:r>
      <w:proofErr w:type="spellStart"/>
      <w:r>
        <w:rPr>
          <w:rFonts w:eastAsia="Palatino Linotype"/>
          <w:sz w:val="22"/>
          <w:szCs w:val="22"/>
          <w:lang w:val="es-ES"/>
        </w:rPr>
        <w:t>bidding</w:t>
      </w:r>
      <w:proofErr w:type="spellEnd"/>
      <w:r>
        <w:rPr>
          <w:rFonts w:eastAsia="Palatino Linotype"/>
          <w:sz w:val="22"/>
          <w:szCs w:val="22"/>
          <w:lang w:val="es-ES"/>
        </w:rPr>
        <w:t xml:space="preserve"> </w:t>
      </w:r>
      <w:proofErr w:type="spellStart"/>
      <w:r>
        <w:rPr>
          <w:rFonts w:eastAsia="Palatino Linotype"/>
          <w:sz w:val="22"/>
          <w:szCs w:val="22"/>
          <w:lang w:val="es-ES"/>
        </w:rPr>
        <w:t>process</w:t>
      </w:r>
      <w:proofErr w:type="spellEnd"/>
      <w:r>
        <w:rPr>
          <w:rFonts w:eastAsia="Palatino Linotype"/>
          <w:sz w:val="22"/>
          <w:szCs w:val="22"/>
          <w:lang w:val="es-ES"/>
        </w:rPr>
        <w:t xml:space="preserve"> </w:t>
      </w:r>
      <w:proofErr w:type="spellStart"/>
      <w:r>
        <w:rPr>
          <w:rFonts w:eastAsia="Palatino Linotype"/>
          <w:sz w:val="22"/>
          <w:szCs w:val="22"/>
          <w:lang w:val="es-ES"/>
        </w:rPr>
        <w:t>established</w:t>
      </w:r>
      <w:proofErr w:type="spellEnd"/>
      <w:r>
        <w:rPr>
          <w:rFonts w:eastAsia="Palatino Linotype"/>
          <w:sz w:val="22"/>
          <w:szCs w:val="22"/>
          <w:lang w:val="es-ES"/>
        </w:rPr>
        <w:t xml:space="preserve"> in </w:t>
      </w:r>
      <w:proofErr w:type="spellStart"/>
      <w:r>
        <w:rPr>
          <w:rFonts w:eastAsia="Palatino Linotype"/>
          <w:sz w:val="22"/>
          <w:szCs w:val="22"/>
          <w:lang w:val="es-ES"/>
        </w:rPr>
        <w:t>Article</w:t>
      </w:r>
      <w:proofErr w:type="spellEnd"/>
      <w:r>
        <w:rPr>
          <w:rFonts w:eastAsia="Palatino Linotype"/>
          <w:sz w:val="22"/>
          <w:szCs w:val="22"/>
          <w:lang w:val="es-ES"/>
        </w:rPr>
        <w:t xml:space="preserve"> 33 </w:t>
      </w:r>
      <w:proofErr w:type="spellStart"/>
      <w:r>
        <w:rPr>
          <w:rFonts w:eastAsia="Palatino Linotype"/>
          <w:sz w:val="22"/>
          <w:szCs w:val="22"/>
          <w:lang w:val="es-ES"/>
        </w:rPr>
        <w:t>of</w:t>
      </w:r>
      <w:proofErr w:type="spellEnd"/>
      <w:r>
        <w:rPr>
          <w:rFonts w:eastAsia="Palatino Linotype"/>
          <w:sz w:val="22"/>
          <w:szCs w:val="22"/>
          <w:lang w:val="es-ES"/>
        </w:rPr>
        <w:t xml:space="preserve"> </w:t>
      </w:r>
      <w:proofErr w:type="spellStart"/>
      <w:r>
        <w:rPr>
          <w:rFonts w:eastAsia="Palatino Linotype"/>
          <w:sz w:val="22"/>
          <w:szCs w:val="22"/>
          <w:lang w:val="es-ES"/>
        </w:rPr>
        <w:t>the</w:t>
      </w:r>
      <w:proofErr w:type="spellEnd"/>
      <w:r>
        <w:rPr>
          <w:rFonts w:eastAsia="Palatino Linotype"/>
          <w:sz w:val="22"/>
          <w:szCs w:val="22"/>
          <w:lang w:val="es-ES"/>
        </w:rPr>
        <w:t xml:space="preserve"> TOCAF, </w:t>
      </w:r>
      <w:proofErr w:type="spellStart"/>
      <w:r>
        <w:rPr>
          <w:rFonts w:eastAsia="Palatino Linotype"/>
          <w:sz w:val="22"/>
          <w:szCs w:val="22"/>
          <w:lang w:val="es-ES"/>
        </w:rPr>
        <w:t>the</w:t>
      </w:r>
      <w:proofErr w:type="spellEnd"/>
      <w:r>
        <w:rPr>
          <w:rFonts w:eastAsia="Palatino Linotype"/>
          <w:sz w:val="22"/>
          <w:szCs w:val="22"/>
          <w:lang w:val="es-ES"/>
        </w:rPr>
        <w:t xml:space="preserve"> </w:t>
      </w:r>
      <w:proofErr w:type="spellStart"/>
      <w:r>
        <w:rPr>
          <w:rFonts w:eastAsia="Palatino Linotype"/>
          <w:sz w:val="22"/>
          <w:szCs w:val="22"/>
          <w:lang w:val="es-ES"/>
        </w:rPr>
        <w:t>successful</w:t>
      </w:r>
      <w:proofErr w:type="spellEnd"/>
      <w:r>
        <w:rPr>
          <w:rFonts w:eastAsia="Palatino Linotype"/>
          <w:sz w:val="22"/>
          <w:szCs w:val="22"/>
          <w:lang w:val="es-ES"/>
        </w:rPr>
        <w:t xml:space="preserve"> </w:t>
      </w:r>
      <w:proofErr w:type="spellStart"/>
      <w:r>
        <w:rPr>
          <w:rFonts w:eastAsia="Palatino Linotype"/>
          <w:sz w:val="22"/>
          <w:szCs w:val="22"/>
          <w:lang w:val="es-ES"/>
        </w:rPr>
        <w:t>bidder</w:t>
      </w:r>
      <w:proofErr w:type="spellEnd"/>
      <w:r>
        <w:rPr>
          <w:rFonts w:eastAsia="Palatino Linotype"/>
          <w:sz w:val="22"/>
          <w:szCs w:val="22"/>
          <w:lang w:val="es-ES"/>
        </w:rPr>
        <w:t xml:space="preserve"> </w:t>
      </w:r>
      <w:proofErr w:type="spellStart"/>
      <w:r>
        <w:rPr>
          <w:rFonts w:eastAsia="Palatino Linotype"/>
          <w:sz w:val="22"/>
          <w:szCs w:val="22"/>
          <w:lang w:val="es-ES"/>
        </w:rPr>
        <w:t>shall</w:t>
      </w:r>
      <w:proofErr w:type="spellEnd"/>
      <w:r>
        <w:rPr>
          <w:rFonts w:eastAsia="Palatino Linotype"/>
          <w:sz w:val="22"/>
          <w:szCs w:val="22"/>
          <w:lang w:val="es-ES"/>
        </w:rPr>
        <w:t xml:space="preserve"> </w:t>
      </w:r>
      <w:proofErr w:type="spellStart"/>
      <w:r>
        <w:rPr>
          <w:rFonts w:eastAsia="Palatino Linotype"/>
          <w:sz w:val="22"/>
          <w:szCs w:val="22"/>
          <w:lang w:val="es-ES"/>
        </w:rPr>
        <w:t>provide</w:t>
      </w:r>
      <w:proofErr w:type="spellEnd"/>
      <w:r>
        <w:rPr>
          <w:rFonts w:eastAsia="Palatino Linotype"/>
          <w:sz w:val="22"/>
          <w:szCs w:val="22"/>
          <w:lang w:val="es-ES"/>
        </w:rPr>
        <w:t xml:space="preserve"> a </w:t>
      </w:r>
      <w:proofErr w:type="spellStart"/>
      <w:r>
        <w:rPr>
          <w:rFonts w:eastAsia="Palatino Linotype"/>
          <w:sz w:val="22"/>
          <w:szCs w:val="22"/>
          <w:lang w:val="es-ES"/>
        </w:rPr>
        <w:t>guarantee</w:t>
      </w:r>
      <w:proofErr w:type="spellEnd"/>
      <w:r>
        <w:rPr>
          <w:rFonts w:eastAsia="Palatino Linotype"/>
          <w:sz w:val="22"/>
          <w:szCs w:val="22"/>
          <w:lang w:val="es-ES"/>
        </w:rPr>
        <w:t xml:space="preserve"> </w:t>
      </w:r>
      <w:proofErr w:type="spellStart"/>
      <w:r>
        <w:rPr>
          <w:rFonts w:eastAsia="Palatino Linotype"/>
          <w:sz w:val="22"/>
          <w:szCs w:val="22"/>
          <w:lang w:val="es-ES"/>
        </w:rPr>
        <w:t>equivalent</w:t>
      </w:r>
      <w:proofErr w:type="spellEnd"/>
      <w:r>
        <w:rPr>
          <w:rFonts w:eastAsia="Palatino Linotype"/>
          <w:sz w:val="22"/>
          <w:szCs w:val="22"/>
          <w:lang w:val="es-ES"/>
        </w:rPr>
        <w:t xml:space="preserve"> </w:t>
      </w:r>
      <w:proofErr w:type="spellStart"/>
      <w:r>
        <w:rPr>
          <w:rFonts w:eastAsia="Palatino Linotype"/>
          <w:sz w:val="22"/>
          <w:szCs w:val="22"/>
          <w:lang w:val="es-ES"/>
        </w:rPr>
        <w:t>to</w:t>
      </w:r>
      <w:proofErr w:type="spellEnd"/>
      <w:r>
        <w:rPr>
          <w:rFonts w:eastAsia="Palatino Linotype"/>
          <w:sz w:val="22"/>
          <w:szCs w:val="22"/>
          <w:lang w:val="es-ES"/>
        </w:rPr>
        <w:t xml:space="preserve"> 5% </w:t>
      </w:r>
      <w:proofErr w:type="spellStart"/>
      <w:r>
        <w:rPr>
          <w:rFonts w:eastAsia="Palatino Linotype"/>
          <w:sz w:val="22"/>
          <w:szCs w:val="22"/>
          <w:lang w:val="es-ES"/>
        </w:rPr>
        <w:t>of</w:t>
      </w:r>
      <w:proofErr w:type="spellEnd"/>
      <w:r>
        <w:rPr>
          <w:rFonts w:eastAsia="Palatino Linotype"/>
          <w:sz w:val="22"/>
          <w:szCs w:val="22"/>
          <w:lang w:val="es-ES"/>
        </w:rPr>
        <w:t xml:space="preserve"> </w:t>
      </w:r>
      <w:proofErr w:type="spellStart"/>
      <w:r>
        <w:rPr>
          <w:rFonts w:eastAsia="Palatino Linotype"/>
          <w:sz w:val="22"/>
          <w:szCs w:val="22"/>
          <w:lang w:val="es-ES"/>
        </w:rPr>
        <w:t>the</w:t>
      </w:r>
      <w:proofErr w:type="spellEnd"/>
      <w:r>
        <w:rPr>
          <w:rFonts w:eastAsia="Palatino Linotype"/>
          <w:sz w:val="22"/>
          <w:szCs w:val="22"/>
          <w:lang w:val="es-ES"/>
        </w:rPr>
        <w:t xml:space="preserve"> </w:t>
      </w:r>
      <w:proofErr w:type="spellStart"/>
      <w:r>
        <w:rPr>
          <w:rFonts w:eastAsia="Palatino Linotype"/>
          <w:sz w:val="22"/>
          <w:szCs w:val="22"/>
          <w:lang w:val="es-ES"/>
        </w:rPr>
        <w:t>award</w:t>
      </w:r>
      <w:proofErr w:type="spellEnd"/>
      <w:r>
        <w:rPr>
          <w:rFonts w:eastAsia="Palatino Linotype"/>
          <w:sz w:val="22"/>
          <w:szCs w:val="22"/>
          <w:lang w:val="es-ES"/>
        </w:rPr>
        <w:t xml:space="preserve"> </w:t>
      </w:r>
      <w:proofErr w:type="spellStart"/>
      <w:r>
        <w:rPr>
          <w:rFonts w:eastAsia="Palatino Linotype"/>
          <w:sz w:val="22"/>
          <w:szCs w:val="22"/>
          <w:lang w:val="es-ES"/>
        </w:rPr>
        <w:t>amount</w:t>
      </w:r>
      <w:proofErr w:type="spellEnd"/>
      <w:r>
        <w:rPr>
          <w:rFonts w:eastAsia="Palatino Linotype"/>
          <w:sz w:val="22"/>
          <w:szCs w:val="22"/>
          <w:lang w:val="es-ES"/>
        </w:rPr>
        <w:t xml:space="preserve">. </w:t>
      </w:r>
      <w:proofErr w:type="spellStart"/>
      <w:r>
        <w:rPr>
          <w:rFonts w:eastAsia="Palatino Linotype"/>
          <w:sz w:val="22"/>
          <w:szCs w:val="22"/>
          <w:lang w:val="es-ES"/>
        </w:rPr>
        <w:t>This</w:t>
      </w:r>
      <w:proofErr w:type="spellEnd"/>
      <w:r>
        <w:rPr>
          <w:rFonts w:eastAsia="Palatino Linotype"/>
          <w:sz w:val="22"/>
          <w:szCs w:val="22"/>
          <w:lang w:val="es-ES"/>
        </w:rPr>
        <w:t xml:space="preserve"> </w:t>
      </w:r>
      <w:proofErr w:type="spellStart"/>
      <w:r>
        <w:rPr>
          <w:rFonts w:eastAsia="Palatino Linotype"/>
          <w:sz w:val="22"/>
          <w:szCs w:val="22"/>
          <w:lang w:val="es-ES"/>
        </w:rPr>
        <w:t>guarantee</w:t>
      </w:r>
      <w:proofErr w:type="spellEnd"/>
      <w:r>
        <w:rPr>
          <w:rFonts w:eastAsia="Palatino Linotype"/>
          <w:sz w:val="22"/>
          <w:szCs w:val="22"/>
          <w:lang w:val="es-ES"/>
        </w:rPr>
        <w:t xml:space="preserve"> </w:t>
      </w:r>
      <w:proofErr w:type="spellStart"/>
      <w:r>
        <w:rPr>
          <w:rFonts w:eastAsia="Palatino Linotype"/>
          <w:sz w:val="22"/>
          <w:szCs w:val="22"/>
          <w:lang w:val="es-ES"/>
        </w:rPr>
        <w:t>may</w:t>
      </w:r>
      <w:proofErr w:type="spellEnd"/>
      <w:r>
        <w:rPr>
          <w:rFonts w:eastAsia="Palatino Linotype"/>
          <w:sz w:val="22"/>
          <w:szCs w:val="22"/>
          <w:lang w:val="es-ES"/>
        </w:rPr>
        <w:t xml:space="preserve"> be </w:t>
      </w:r>
      <w:proofErr w:type="spellStart"/>
      <w:r>
        <w:rPr>
          <w:rFonts w:eastAsia="Palatino Linotype"/>
          <w:sz w:val="22"/>
          <w:szCs w:val="22"/>
          <w:lang w:val="es-ES"/>
        </w:rPr>
        <w:t>increased</w:t>
      </w:r>
      <w:proofErr w:type="spellEnd"/>
      <w:r>
        <w:rPr>
          <w:rFonts w:eastAsia="Palatino Linotype"/>
          <w:sz w:val="22"/>
          <w:szCs w:val="22"/>
          <w:lang w:val="es-ES"/>
        </w:rPr>
        <w:t xml:space="preserve"> </w:t>
      </w:r>
      <w:proofErr w:type="spellStart"/>
      <w:r>
        <w:rPr>
          <w:rFonts w:eastAsia="Palatino Linotype"/>
          <w:sz w:val="22"/>
          <w:szCs w:val="22"/>
          <w:lang w:val="es-ES"/>
        </w:rPr>
        <w:t>by</w:t>
      </w:r>
      <w:proofErr w:type="spellEnd"/>
      <w:r>
        <w:rPr>
          <w:rFonts w:eastAsia="Palatino Linotype"/>
          <w:sz w:val="22"/>
          <w:szCs w:val="22"/>
          <w:lang w:val="es-ES"/>
        </w:rPr>
        <w:t xml:space="preserve"> </w:t>
      </w:r>
      <w:proofErr w:type="spellStart"/>
      <w:r>
        <w:rPr>
          <w:rFonts w:eastAsia="Palatino Linotype"/>
          <w:sz w:val="22"/>
          <w:szCs w:val="22"/>
          <w:lang w:val="es-ES"/>
        </w:rPr>
        <w:t>withholding</w:t>
      </w:r>
      <w:proofErr w:type="spellEnd"/>
      <w:r>
        <w:rPr>
          <w:rFonts w:eastAsia="Palatino Linotype"/>
          <w:sz w:val="22"/>
          <w:szCs w:val="22"/>
          <w:lang w:val="es-ES"/>
        </w:rPr>
        <w:t xml:space="preserve"> </w:t>
      </w:r>
      <w:proofErr w:type="spellStart"/>
      <w:r>
        <w:rPr>
          <w:rFonts w:eastAsia="Palatino Linotype"/>
          <w:sz w:val="22"/>
          <w:szCs w:val="22"/>
          <w:lang w:val="es-ES"/>
        </w:rPr>
        <w:t>subsequent</w:t>
      </w:r>
      <w:proofErr w:type="spellEnd"/>
      <w:r>
        <w:rPr>
          <w:rFonts w:eastAsia="Palatino Linotype"/>
          <w:sz w:val="22"/>
          <w:szCs w:val="22"/>
          <w:lang w:val="es-ES"/>
        </w:rPr>
        <w:t xml:space="preserve"> </w:t>
      </w:r>
      <w:proofErr w:type="spellStart"/>
      <w:r>
        <w:rPr>
          <w:rFonts w:eastAsia="Palatino Linotype"/>
          <w:sz w:val="22"/>
          <w:szCs w:val="22"/>
          <w:lang w:val="es-ES"/>
        </w:rPr>
        <w:t>payments</w:t>
      </w:r>
      <w:proofErr w:type="spellEnd"/>
      <w:r>
        <w:rPr>
          <w:rFonts w:eastAsia="Palatino Linotype"/>
          <w:sz w:val="22"/>
          <w:szCs w:val="22"/>
          <w:lang w:val="es-ES"/>
        </w:rPr>
        <w:t xml:space="preserve">, </w:t>
      </w:r>
      <w:proofErr w:type="spellStart"/>
      <w:r>
        <w:rPr>
          <w:rFonts w:eastAsia="Palatino Linotype"/>
          <w:sz w:val="22"/>
          <w:szCs w:val="22"/>
          <w:lang w:val="es-ES"/>
        </w:rPr>
        <w:t>which</w:t>
      </w:r>
      <w:proofErr w:type="spellEnd"/>
      <w:r>
        <w:rPr>
          <w:rFonts w:eastAsia="Palatino Linotype"/>
          <w:sz w:val="22"/>
          <w:szCs w:val="22"/>
          <w:lang w:val="es-ES"/>
        </w:rPr>
        <w:t xml:space="preserve"> </w:t>
      </w:r>
      <w:proofErr w:type="spellStart"/>
      <w:r>
        <w:rPr>
          <w:rFonts w:eastAsia="Palatino Linotype"/>
          <w:sz w:val="22"/>
          <w:szCs w:val="22"/>
          <w:lang w:val="es-ES"/>
        </w:rPr>
        <w:t>must</w:t>
      </w:r>
      <w:proofErr w:type="spellEnd"/>
      <w:r>
        <w:rPr>
          <w:rFonts w:eastAsia="Palatino Linotype"/>
          <w:sz w:val="22"/>
          <w:szCs w:val="22"/>
          <w:lang w:val="es-ES"/>
        </w:rPr>
        <w:t xml:space="preserve"> be </w:t>
      </w:r>
      <w:proofErr w:type="spellStart"/>
      <w:r>
        <w:rPr>
          <w:rFonts w:eastAsia="Palatino Linotype"/>
          <w:sz w:val="22"/>
          <w:szCs w:val="22"/>
          <w:lang w:val="es-ES"/>
        </w:rPr>
        <w:t>stipulated</w:t>
      </w:r>
      <w:proofErr w:type="spellEnd"/>
      <w:r>
        <w:rPr>
          <w:rFonts w:eastAsia="Palatino Linotype"/>
          <w:sz w:val="22"/>
          <w:szCs w:val="22"/>
          <w:lang w:val="es-ES"/>
        </w:rPr>
        <w:t xml:space="preserve"> in </w:t>
      </w:r>
      <w:proofErr w:type="spellStart"/>
      <w:r>
        <w:rPr>
          <w:rFonts w:eastAsia="Palatino Linotype"/>
          <w:sz w:val="22"/>
          <w:szCs w:val="22"/>
          <w:lang w:val="es-ES"/>
        </w:rPr>
        <w:t>the</w:t>
      </w:r>
      <w:proofErr w:type="spellEnd"/>
      <w:r>
        <w:rPr>
          <w:rFonts w:eastAsia="Palatino Linotype"/>
          <w:sz w:val="22"/>
          <w:szCs w:val="22"/>
          <w:lang w:val="es-ES"/>
        </w:rPr>
        <w:t xml:space="preserve"> Special Tender </w:t>
      </w:r>
      <w:proofErr w:type="spellStart"/>
      <w:r>
        <w:rPr>
          <w:rFonts w:eastAsia="Palatino Linotype"/>
          <w:sz w:val="22"/>
          <w:szCs w:val="22"/>
          <w:lang w:val="es-ES"/>
        </w:rPr>
        <w:t>Documents</w:t>
      </w:r>
      <w:proofErr w:type="spellEnd"/>
      <w:r>
        <w:rPr>
          <w:rFonts w:eastAsia="Palatino Linotype"/>
          <w:sz w:val="22"/>
          <w:szCs w:val="22"/>
          <w:lang w:val="es-ES"/>
        </w:rPr>
        <w:t>.</w:t>
      </w:r>
    </w:p>
    <w:p w14:paraId="23206144" w14:textId="77777777" w:rsidR="00E255F4" w:rsidRDefault="00E255F4">
      <w:pPr>
        <w:ind w:right="-142"/>
        <w:jc w:val="both"/>
        <w:rPr>
          <w:rFonts w:eastAsia="Palatino Linotype"/>
          <w:spacing w:val="2"/>
          <w:sz w:val="22"/>
          <w:szCs w:val="22"/>
          <w:lang w:val="es-ES"/>
        </w:rPr>
      </w:pPr>
    </w:p>
    <w:p w14:paraId="2C403EB4" w14:textId="77777777" w:rsidR="00E255F4" w:rsidRDefault="00000000">
      <w:pPr>
        <w:ind w:right="-142"/>
        <w:jc w:val="both"/>
        <w:rPr>
          <w:rFonts w:eastAsia="Palatino Linotype"/>
          <w:sz w:val="22"/>
          <w:szCs w:val="22"/>
          <w:lang w:val="es-ES"/>
        </w:rPr>
      </w:pPr>
      <w:proofErr w:type="spellStart"/>
      <w:r>
        <w:rPr>
          <w:rFonts w:eastAsia="Palatino Linotype"/>
          <w:spacing w:val="2"/>
          <w:sz w:val="22"/>
          <w:szCs w:val="22"/>
          <w:lang w:val="es-ES"/>
        </w:rPr>
        <w:t>AND</w:t>
      </w:r>
      <w:r>
        <w:rPr>
          <w:rFonts w:eastAsia="Palatino Linotype"/>
          <w:sz w:val="22"/>
          <w:szCs w:val="22"/>
          <w:lang w:val="es-ES"/>
        </w:rPr>
        <w:t>The</w:t>
      </w:r>
      <w:proofErr w:type="spellEnd"/>
      <w:r>
        <w:rPr>
          <w:rFonts w:eastAsia="Palatino Linotype"/>
          <w:sz w:val="22"/>
          <w:szCs w:val="22"/>
          <w:lang w:val="es-ES"/>
        </w:rPr>
        <w:t xml:space="preserve"> </w:t>
      </w:r>
      <w:proofErr w:type="spellStart"/>
      <w:r>
        <w:rPr>
          <w:rFonts w:eastAsia="Palatino Linotype"/>
          <w:sz w:val="22"/>
          <w:szCs w:val="22"/>
          <w:lang w:val="es-ES"/>
        </w:rPr>
        <w:t>successful</w:t>
      </w:r>
      <w:proofErr w:type="spellEnd"/>
      <w:r>
        <w:rPr>
          <w:rFonts w:eastAsia="Palatino Linotype"/>
          <w:sz w:val="22"/>
          <w:szCs w:val="22"/>
          <w:lang w:val="es-ES"/>
        </w:rPr>
        <w:t xml:space="preserve"> </w:t>
      </w:r>
      <w:proofErr w:type="spellStart"/>
      <w:r>
        <w:rPr>
          <w:rFonts w:eastAsia="Palatino Linotype"/>
          <w:sz w:val="22"/>
          <w:szCs w:val="22"/>
          <w:lang w:val="es-ES"/>
        </w:rPr>
        <w:t>bidder</w:t>
      </w:r>
      <w:proofErr w:type="spellEnd"/>
      <w:r>
        <w:rPr>
          <w:rFonts w:eastAsia="Palatino Linotype"/>
          <w:sz w:val="22"/>
          <w:szCs w:val="22"/>
          <w:lang w:val="es-ES"/>
        </w:rPr>
        <w:t xml:space="preserve"> </w:t>
      </w:r>
      <w:proofErr w:type="spellStart"/>
      <w:r>
        <w:rPr>
          <w:rFonts w:eastAsia="Palatino Linotype"/>
          <w:sz w:val="22"/>
          <w:szCs w:val="22"/>
          <w:lang w:val="es-ES"/>
        </w:rPr>
        <w:t>will</w:t>
      </w:r>
      <w:proofErr w:type="spellEnd"/>
      <w:r>
        <w:rPr>
          <w:rFonts w:eastAsia="Palatino Linotype"/>
          <w:sz w:val="22"/>
          <w:szCs w:val="22"/>
          <w:lang w:val="es-ES"/>
        </w:rPr>
        <w:t xml:space="preserve"> </w:t>
      </w:r>
      <w:proofErr w:type="spellStart"/>
      <w:r>
        <w:rPr>
          <w:rFonts w:eastAsia="Palatino Linotype"/>
          <w:sz w:val="22"/>
          <w:szCs w:val="22"/>
          <w:lang w:val="es-ES"/>
        </w:rPr>
        <w:t>provide</w:t>
      </w:r>
      <w:proofErr w:type="spellEnd"/>
      <w:r>
        <w:rPr>
          <w:rFonts w:eastAsia="Palatino Linotype"/>
          <w:sz w:val="22"/>
          <w:szCs w:val="22"/>
          <w:lang w:val="es-ES"/>
        </w:rPr>
        <w:t xml:space="preserve"> </w:t>
      </w:r>
      <w:proofErr w:type="spellStart"/>
      <w:r>
        <w:rPr>
          <w:rFonts w:eastAsia="Palatino Linotype"/>
          <w:sz w:val="22"/>
          <w:szCs w:val="22"/>
          <w:lang w:val="es-ES"/>
        </w:rPr>
        <w:t>the</w:t>
      </w:r>
      <w:proofErr w:type="spellEnd"/>
      <w:r>
        <w:rPr>
          <w:rFonts w:eastAsia="Palatino Linotype"/>
          <w:sz w:val="22"/>
          <w:szCs w:val="22"/>
          <w:lang w:val="es-ES"/>
        </w:rPr>
        <w:t xml:space="preserve"> </w:t>
      </w:r>
      <w:proofErr w:type="spellStart"/>
      <w:r>
        <w:rPr>
          <w:rFonts w:eastAsia="Palatino Linotype"/>
          <w:sz w:val="22"/>
          <w:szCs w:val="22"/>
          <w:lang w:val="es-ES"/>
        </w:rPr>
        <w:t>guarantee</w:t>
      </w:r>
      <w:proofErr w:type="spellEnd"/>
      <w:r>
        <w:rPr>
          <w:rFonts w:eastAsia="Palatino Linotype"/>
          <w:sz w:val="22"/>
          <w:szCs w:val="22"/>
          <w:lang w:val="es-ES"/>
        </w:rPr>
        <w:t xml:space="preserve"> </w:t>
      </w:r>
      <w:proofErr w:type="spellStart"/>
      <w:r>
        <w:rPr>
          <w:rFonts w:eastAsia="Palatino Linotype"/>
          <w:sz w:val="22"/>
          <w:szCs w:val="22"/>
          <w:lang w:val="es-ES"/>
        </w:rPr>
        <w:t>by</w:t>
      </w:r>
      <w:proofErr w:type="spellEnd"/>
      <w:r>
        <w:rPr>
          <w:rFonts w:eastAsia="Palatino Linotype"/>
          <w:sz w:val="22"/>
          <w:szCs w:val="22"/>
          <w:lang w:val="es-ES"/>
        </w:rPr>
        <w:t xml:space="preserve"> </w:t>
      </w:r>
      <w:proofErr w:type="spellStart"/>
      <w:r>
        <w:rPr>
          <w:rFonts w:eastAsia="Palatino Linotype"/>
          <w:sz w:val="22"/>
          <w:szCs w:val="22"/>
          <w:lang w:val="es-ES"/>
        </w:rPr>
        <w:t>means</w:t>
      </w:r>
      <w:proofErr w:type="spellEnd"/>
      <w:r>
        <w:rPr>
          <w:rFonts w:eastAsia="Palatino Linotype"/>
          <w:sz w:val="22"/>
          <w:szCs w:val="22"/>
          <w:lang w:val="es-ES"/>
        </w:rPr>
        <w:t xml:space="preserve"> </w:t>
      </w:r>
      <w:proofErr w:type="spellStart"/>
      <w:r>
        <w:rPr>
          <w:rFonts w:eastAsia="Palatino Linotype"/>
          <w:sz w:val="22"/>
          <w:szCs w:val="22"/>
          <w:lang w:val="es-ES"/>
        </w:rPr>
        <w:t>of</w:t>
      </w:r>
      <w:proofErr w:type="spellEnd"/>
      <w:r>
        <w:rPr>
          <w:rFonts w:eastAsia="Palatino Linotype"/>
          <w:sz w:val="22"/>
          <w:szCs w:val="22"/>
          <w:lang w:val="es-ES"/>
        </w:rPr>
        <w:t xml:space="preserve"> a cash </w:t>
      </w:r>
      <w:proofErr w:type="spellStart"/>
      <w:r>
        <w:rPr>
          <w:rFonts w:eastAsia="Palatino Linotype"/>
          <w:sz w:val="22"/>
          <w:szCs w:val="22"/>
          <w:lang w:val="es-ES"/>
        </w:rPr>
        <w:t>deposit</w:t>
      </w:r>
      <w:proofErr w:type="spellEnd"/>
      <w:r>
        <w:rPr>
          <w:rFonts w:eastAsia="Palatino Linotype"/>
          <w:sz w:val="22"/>
          <w:szCs w:val="22"/>
          <w:lang w:val="es-ES"/>
        </w:rPr>
        <w:t xml:space="preserve"> </w:t>
      </w:r>
      <w:proofErr w:type="spellStart"/>
      <w:r>
        <w:rPr>
          <w:rFonts w:eastAsia="Palatino Linotype"/>
          <w:sz w:val="22"/>
          <w:szCs w:val="22"/>
          <w:lang w:val="es-ES"/>
        </w:rPr>
        <w:t>or</w:t>
      </w:r>
      <w:proofErr w:type="spellEnd"/>
      <w:r>
        <w:rPr>
          <w:rFonts w:eastAsia="Palatino Linotype"/>
          <w:sz w:val="22"/>
          <w:szCs w:val="22"/>
          <w:lang w:val="es-ES"/>
        </w:rPr>
        <w:t xml:space="preserve"> </w:t>
      </w:r>
      <w:proofErr w:type="spellStart"/>
      <w:r>
        <w:rPr>
          <w:rFonts w:eastAsia="Palatino Linotype"/>
          <w:sz w:val="22"/>
          <w:szCs w:val="22"/>
          <w:lang w:val="es-ES"/>
        </w:rPr>
        <w:t>public</w:t>
      </w:r>
      <w:proofErr w:type="spellEnd"/>
      <w:r>
        <w:rPr>
          <w:rFonts w:eastAsia="Palatino Linotype"/>
          <w:sz w:val="22"/>
          <w:szCs w:val="22"/>
          <w:lang w:val="es-ES"/>
        </w:rPr>
        <w:t xml:space="preserve"> </w:t>
      </w:r>
      <w:proofErr w:type="spellStart"/>
      <w:r>
        <w:rPr>
          <w:rFonts w:eastAsia="Palatino Linotype"/>
          <w:sz w:val="22"/>
          <w:szCs w:val="22"/>
          <w:lang w:val="es-ES"/>
        </w:rPr>
        <w:t>securities</w:t>
      </w:r>
      <w:proofErr w:type="spellEnd"/>
      <w:r>
        <w:rPr>
          <w:rFonts w:eastAsia="Palatino Linotype"/>
          <w:sz w:val="22"/>
          <w:szCs w:val="22"/>
          <w:lang w:val="es-ES"/>
        </w:rPr>
        <w:t xml:space="preserve">, a bond </w:t>
      </w:r>
      <w:proofErr w:type="spellStart"/>
      <w:r>
        <w:rPr>
          <w:rFonts w:eastAsia="Palatino Linotype"/>
          <w:sz w:val="22"/>
          <w:szCs w:val="22"/>
          <w:lang w:val="es-ES"/>
        </w:rPr>
        <w:t>or</w:t>
      </w:r>
      <w:proofErr w:type="spellEnd"/>
      <w:r>
        <w:rPr>
          <w:rFonts w:eastAsia="Palatino Linotype"/>
          <w:sz w:val="22"/>
          <w:szCs w:val="22"/>
          <w:lang w:val="es-ES"/>
        </w:rPr>
        <w:t xml:space="preserve"> </w:t>
      </w:r>
      <w:proofErr w:type="spellStart"/>
      <w:r>
        <w:rPr>
          <w:rFonts w:eastAsia="Palatino Linotype"/>
          <w:sz w:val="22"/>
          <w:szCs w:val="22"/>
          <w:lang w:val="es-ES"/>
        </w:rPr>
        <w:t>bank</w:t>
      </w:r>
      <w:proofErr w:type="spellEnd"/>
      <w:r>
        <w:rPr>
          <w:rFonts w:eastAsia="Palatino Linotype"/>
          <w:sz w:val="22"/>
          <w:szCs w:val="22"/>
          <w:lang w:val="es-ES"/>
        </w:rPr>
        <w:t xml:space="preserve"> </w:t>
      </w:r>
      <w:proofErr w:type="spellStart"/>
      <w:r>
        <w:rPr>
          <w:rFonts w:eastAsia="Palatino Linotype"/>
          <w:sz w:val="22"/>
          <w:szCs w:val="22"/>
          <w:lang w:val="es-ES"/>
        </w:rPr>
        <w:t>guarantee</w:t>
      </w:r>
      <w:proofErr w:type="spellEnd"/>
      <w:r>
        <w:rPr>
          <w:rFonts w:eastAsia="Palatino Linotype"/>
          <w:sz w:val="22"/>
          <w:szCs w:val="22"/>
          <w:lang w:val="es-ES"/>
        </w:rPr>
        <w:t xml:space="preserve">, </w:t>
      </w:r>
      <w:proofErr w:type="spellStart"/>
      <w:r>
        <w:rPr>
          <w:rFonts w:eastAsia="Palatino Linotype"/>
          <w:sz w:val="22"/>
          <w:szCs w:val="22"/>
          <w:lang w:val="es-ES"/>
        </w:rPr>
        <w:t>or</w:t>
      </w:r>
      <w:proofErr w:type="spellEnd"/>
      <w:r>
        <w:rPr>
          <w:rFonts w:eastAsia="Palatino Linotype"/>
          <w:sz w:val="22"/>
          <w:szCs w:val="22"/>
          <w:lang w:val="es-ES"/>
        </w:rPr>
        <w:t xml:space="preserve"> a </w:t>
      </w:r>
      <w:proofErr w:type="spellStart"/>
      <w:r>
        <w:rPr>
          <w:rFonts w:eastAsia="Palatino Linotype"/>
          <w:sz w:val="22"/>
          <w:szCs w:val="22"/>
          <w:lang w:val="es-ES"/>
        </w:rPr>
        <w:t>surety</w:t>
      </w:r>
      <w:proofErr w:type="spellEnd"/>
      <w:r>
        <w:rPr>
          <w:rFonts w:eastAsia="Palatino Linotype"/>
          <w:sz w:val="22"/>
          <w:szCs w:val="22"/>
          <w:lang w:val="es-ES"/>
        </w:rPr>
        <w:t xml:space="preserve"> </w:t>
      </w:r>
      <w:proofErr w:type="spellStart"/>
      <w:r>
        <w:rPr>
          <w:rFonts w:eastAsia="Palatino Linotype"/>
          <w:sz w:val="22"/>
          <w:szCs w:val="22"/>
          <w:lang w:val="es-ES"/>
        </w:rPr>
        <w:t>insurance</w:t>
      </w:r>
      <w:proofErr w:type="spellEnd"/>
      <w:r>
        <w:rPr>
          <w:rFonts w:eastAsia="Palatino Linotype"/>
          <w:sz w:val="22"/>
          <w:szCs w:val="22"/>
          <w:lang w:val="es-ES"/>
        </w:rPr>
        <w:t xml:space="preserve"> </w:t>
      </w:r>
      <w:proofErr w:type="spellStart"/>
      <w:r>
        <w:rPr>
          <w:rFonts w:eastAsia="Palatino Linotype"/>
          <w:sz w:val="22"/>
          <w:szCs w:val="22"/>
          <w:lang w:val="es-ES"/>
        </w:rPr>
        <w:t>policy</w:t>
      </w:r>
      <w:proofErr w:type="spellEnd"/>
      <w:r>
        <w:rPr>
          <w:rFonts w:eastAsia="Palatino Linotype"/>
          <w:sz w:val="22"/>
          <w:szCs w:val="22"/>
          <w:lang w:val="es-ES"/>
        </w:rPr>
        <w:t>.</w:t>
      </w:r>
    </w:p>
    <w:p w14:paraId="37B2406E" w14:textId="77777777" w:rsidR="00E255F4" w:rsidRDefault="00E255F4">
      <w:pPr>
        <w:ind w:right="-142"/>
        <w:jc w:val="both"/>
        <w:rPr>
          <w:rFonts w:eastAsia="Palatino Linotype"/>
          <w:spacing w:val="5"/>
          <w:sz w:val="22"/>
          <w:szCs w:val="22"/>
          <w:lang w:val="es-ES"/>
        </w:rPr>
      </w:pPr>
    </w:p>
    <w:p w14:paraId="4C5E88E9" w14:textId="77777777" w:rsidR="00E255F4" w:rsidRDefault="00000000">
      <w:pPr>
        <w:ind w:right="-142"/>
        <w:jc w:val="both"/>
        <w:rPr>
          <w:rFonts w:eastAsia="Palatino Linotype"/>
          <w:sz w:val="22"/>
          <w:szCs w:val="22"/>
          <w:lang w:val="es-ES"/>
        </w:rPr>
      </w:pPr>
      <w:proofErr w:type="spellStart"/>
      <w:r>
        <w:rPr>
          <w:rFonts w:eastAsia="Palatino Linotype"/>
          <w:spacing w:val="5"/>
          <w:sz w:val="22"/>
          <w:szCs w:val="22"/>
          <w:lang w:val="es-ES"/>
        </w:rPr>
        <w:t>L</w:t>
      </w:r>
      <w:r>
        <w:rPr>
          <w:rFonts w:eastAsia="Palatino Linotype"/>
          <w:sz w:val="22"/>
          <w:szCs w:val="22"/>
          <w:lang w:val="es-ES"/>
        </w:rPr>
        <w:t>The</w:t>
      </w:r>
      <w:proofErr w:type="spellEnd"/>
      <w:r>
        <w:rPr>
          <w:rFonts w:eastAsia="Palatino Linotype"/>
          <w:sz w:val="22"/>
          <w:szCs w:val="22"/>
          <w:lang w:val="es-ES"/>
        </w:rPr>
        <w:t xml:space="preserve"> </w:t>
      </w:r>
      <w:proofErr w:type="spellStart"/>
      <w:r>
        <w:rPr>
          <w:rFonts w:eastAsia="Palatino Linotype"/>
          <w:sz w:val="22"/>
          <w:szCs w:val="22"/>
          <w:lang w:val="es-ES"/>
        </w:rPr>
        <w:t>Administration</w:t>
      </w:r>
      <w:proofErr w:type="spellEnd"/>
      <w:r>
        <w:rPr>
          <w:rFonts w:eastAsia="Palatino Linotype"/>
          <w:sz w:val="22"/>
          <w:szCs w:val="22"/>
          <w:lang w:val="es-ES"/>
        </w:rPr>
        <w:t xml:space="preserve"> </w:t>
      </w:r>
      <w:proofErr w:type="spellStart"/>
      <w:r>
        <w:rPr>
          <w:rFonts w:eastAsia="Palatino Linotype"/>
          <w:sz w:val="22"/>
          <w:szCs w:val="22"/>
          <w:lang w:val="es-ES"/>
        </w:rPr>
        <w:t>may</w:t>
      </w:r>
      <w:proofErr w:type="spellEnd"/>
      <w:r>
        <w:rPr>
          <w:rFonts w:eastAsia="Palatino Linotype"/>
          <w:sz w:val="22"/>
          <w:szCs w:val="22"/>
          <w:lang w:val="es-ES"/>
        </w:rPr>
        <w:t xml:space="preserve"> </w:t>
      </w:r>
      <w:proofErr w:type="spellStart"/>
      <w:r>
        <w:rPr>
          <w:rFonts w:eastAsia="Palatino Linotype"/>
          <w:sz w:val="22"/>
          <w:szCs w:val="22"/>
          <w:lang w:val="es-ES"/>
        </w:rPr>
        <w:t>establish</w:t>
      </w:r>
      <w:proofErr w:type="spellEnd"/>
      <w:r>
        <w:rPr>
          <w:rFonts w:eastAsia="Palatino Linotype"/>
          <w:sz w:val="22"/>
          <w:szCs w:val="22"/>
          <w:lang w:val="es-ES"/>
        </w:rPr>
        <w:t xml:space="preserve"> in </w:t>
      </w:r>
      <w:proofErr w:type="spellStart"/>
      <w:r>
        <w:rPr>
          <w:rFonts w:eastAsia="Palatino Linotype"/>
          <w:sz w:val="22"/>
          <w:szCs w:val="22"/>
          <w:lang w:val="es-ES"/>
        </w:rPr>
        <w:t>the</w:t>
      </w:r>
      <w:proofErr w:type="spellEnd"/>
      <w:r>
        <w:rPr>
          <w:rFonts w:eastAsia="Palatino Linotype"/>
          <w:sz w:val="22"/>
          <w:szCs w:val="22"/>
          <w:lang w:val="es-ES"/>
        </w:rPr>
        <w:t xml:space="preserve"> Special </w:t>
      </w:r>
      <w:proofErr w:type="spellStart"/>
      <w:r>
        <w:rPr>
          <w:rFonts w:eastAsia="Palatino Linotype"/>
          <w:sz w:val="22"/>
          <w:szCs w:val="22"/>
          <w:lang w:val="es-ES"/>
        </w:rPr>
        <w:t>Specifications</w:t>
      </w:r>
      <w:proofErr w:type="spellEnd"/>
      <w:r>
        <w:rPr>
          <w:rFonts w:eastAsia="Palatino Linotype"/>
          <w:sz w:val="22"/>
          <w:szCs w:val="22"/>
          <w:lang w:val="es-ES"/>
        </w:rPr>
        <w:t xml:space="preserve">, </w:t>
      </w:r>
      <w:proofErr w:type="spellStart"/>
      <w:r>
        <w:rPr>
          <w:rFonts w:eastAsia="Palatino Linotype"/>
          <w:sz w:val="22"/>
          <w:szCs w:val="22"/>
          <w:lang w:val="es-ES"/>
        </w:rPr>
        <w:t>guarantees</w:t>
      </w:r>
      <w:proofErr w:type="spellEnd"/>
      <w:r>
        <w:rPr>
          <w:rFonts w:eastAsia="Palatino Linotype"/>
          <w:sz w:val="22"/>
          <w:szCs w:val="22"/>
          <w:lang w:val="es-ES"/>
        </w:rPr>
        <w:t xml:space="preserve"> </w:t>
      </w:r>
      <w:proofErr w:type="spellStart"/>
      <w:r>
        <w:rPr>
          <w:rFonts w:eastAsia="Palatino Linotype"/>
          <w:sz w:val="22"/>
          <w:szCs w:val="22"/>
          <w:lang w:val="es-ES"/>
        </w:rPr>
        <w:t>or</w:t>
      </w:r>
      <w:proofErr w:type="spellEnd"/>
      <w:r>
        <w:rPr>
          <w:rFonts w:eastAsia="Palatino Linotype"/>
          <w:sz w:val="22"/>
          <w:szCs w:val="22"/>
          <w:lang w:val="es-ES"/>
        </w:rPr>
        <w:t xml:space="preserve"> </w:t>
      </w:r>
      <w:proofErr w:type="spellStart"/>
      <w:r>
        <w:rPr>
          <w:rFonts w:eastAsia="Palatino Linotype"/>
          <w:sz w:val="22"/>
          <w:szCs w:val="22"/>
          <w:lang w:val="es-ES"/>
        </w:rPr>
        <w:t>amounts</w:t>
      </w:r>
      <w:proofErr w:type="spellEnd"/>
      <w:r>
        <w:rPr>
          <w:rFonts w:eastAsia="Palatino Linotype"/>
          <w:sz w:val="22"/>
          <w:szCs w:val="22"/>
          <w:lang w:val="es-ES"/>
        </w:rPr>
        <w:t xml:space="preserve"> </w:t>
      </w:r>
      <w:proofErr w:type="spellStart"/>
      <w:r>
        <w:rPr>
          <w:rFonts w:eastAsia="Palatino Linotype"/>
          <w:sz w:val="22"/>
          <w:szCs w:val="22"/>
          <w:lang w:val="es-ES"/>
        </w:rPr>
        <w:t>different</w:t>
      </w:r>
      <w:proofErr w:type="spellEnd"/>
      <w:r>
        <w:rPr>
          <w:rFonts w:eastAsia="Palatino Linotype"/>
          <w:sz w:val="22"/>
          <w:szCs w:val="22"/>
          <w:lang w:val="es-ES"/>
        </w:rPr>
        <w:t xml:space="preserve"> </w:t>
      </w:r>
      <w:proofErr w:type="spellStart"/>
      <w:r>
        <w:rPr>
          <w:rFonts w:eastAsia="Palatino Linotype"/>
          <w:sz w:val="22"/>
          <w:szCs w:val="22"/>
          <w:lang w:val="es-ES"/>
        </w:rPr>
        <w:t>from</w:t>
      </w:r>
      <w:proofErr w:type="spellEnd"/>
      <w:r>
        <w:rPr>
          <w:rFonts w:eastAsia="Palatino Linotype"/>
          <w:sz w:val="22"/>
          <w:szCs w:val="22"/>
          <w:lang w:val="es-ES"/>
        </w:rPr>
        <w:t xml:space="preserve"> </w:t>
      </w:r>
      <w:proofErr w:type="spellStart"/>
      <w:r>
        <w:rPr>
          <w:rFonts w:eastAsia="Palatino Linotype"/>
          <w:sz w:val="22"/>
          <w:szCs w:val="22"/>
          <w:lang w:val="es-ES"/>
        </w:rPr>
        <w:t>those</w:t>
      </w:r>
      <w:proofErr w:type="spellEnd"/>
      <w:r>
        <w:rPr>
          <w:rFonts w:eastAsia="Palatino Linotype"/>
          <w:sz w:val="22"/>
          <w:szCs w:val="22"/>
          <w:lang w:val="es-ES"/>
        </w:rPr>
        <w:t xml:space="preserve"> </w:t>
      </w:r>
      <w:proofErr w:type="spellStart"/>
      <w:r>
        <w:rPr>
          <w:rFonts w:eastAsia="Palatino Linotype"/>
          <w:sz w:val="22"/>
          <w:szCs w:val="22"/>
          <w:lang w:val="es-ES"/>
        </w:rPr>
        <w:t>expressed</w:t>
      </w:r>
      <w:proofErr w:type="spellEnd"/>
      <w:r>
        <w:rPr>
          <w:rFonts w:eastAsia="Palatino Linotype"/>
          <w:sz w:val="22"/>
          <w:szCs w:val="22"/>
          <w:lang w:val="es-ES"/>
        </w:rPr>
        <w:t xml:space="preserve"> </w:t>
      </w:r>
      <w:proofErr w:type="spellStart"/>
      <w:r>
        <w:rPr>
          <w:rFonts w:eastAsia="Palatino Linotype"/>
          <w:sz w:val="22"/>
          <w:szCs w:val="22"/>
          <w:lang w:val="es-ES"/>
        </w:rPr>
        <w:t>above</w:t>
      </w:r>
      <w:proofErr w:type="spellEnd"/>
      <w:r>
        <w:rPr>
          <w:rFonts w:eastAsia="Palatino Linotype"/>
          <w:sz w:val="22"/>
          <w:szCs w:val="22"/>
          <w:lang w:val="es-ES"/>
        </w:rPr>
        <w:t xml:space="preserve">, determine </w:t>
      </w:r>
      <w:proofErr w:type="spellStart"/>
      <w:r>
        <w:rPr>
          <w:rFonts w:eastAsia="Palatino Linotype"/>
          <w:sz w:val="22"/>
          <w:szCs w:val="22"/>
          <w:lang w:val="es-ES"/>
        </w:rPr>
        <w:t>that</w:t>
      </w:r>
      <w:proofErr w:type="spellEnd"/>
      <w:r>
        <w:rPr>
          <w:rFonts w:eastAsia="Palatino Linotype"/>
          <w:sz w:val="22"/>
          <w:szCs w:val="22"/>
          <w:lang w:val="es-ES"/>
        </w:rPr>
        <w:t xml:space="preserve"> </w:t>
      </w:r>
      <w:proofErr w:type="spellStart"/>
      <w:r>
        <w:rPr>
          <w:rFonts w:eastAsia="Palatino Linotype"/>
          <w:sz w:val="22"/>
          <w:szCs w:val="22"/>
          <w:lang w:val="es-ES"/>
        </w:rPr>
        <w:t>they</w:t>
      </w:r>
      <w:proofErr w:type="spellEnd"/>
      <w:r>
        <w:rPr>
          <w:rFonts w:eastAsia="Palatino Linotype"/>
          <w:sz w:val="22"/>
          <w:szCs w:val="22"/>
          <w:lang w:val="es-ES"/>
        </w:rPr>
        <w:t xml:space="preserve"> are </w:t>
      </w:r>
      <w:proofErr w:type="spellStart"/>
      <w:r>
        <w:rPr>
          <w:rFonts w:eastAsia="Palatino Linotype"/>
          <w:sz w:val="22"/>
          <w:szCs w:val="22"/>
          <w:lang w:val="es-ES"/>
        </w:rPr>
        <w:t>mandatory</w:t>
      </w:r>
      <w:proofErr w:type="spellEnd"/>
      <w:r>
        <w:rPr>
          <w:rFonts w:eastAsia="Palatino Linotype"/>
          <w:sz w:val="22"/>
          <w:szCs w:val="22"/>
          <w:lang w:val="es-ES"/>
        </w:rPr>
        <w:t xml:space="preserve"> </w:t>
      </w:r>
      <w:proofErr w:type="spellStart"/>
      <w:r>
        <w:rPr>
          <w:rFonts w:eastAsia="Palatino Linotype"/>
          <w:sz w:val="22"/>
          <w:szCs w:val="22"/>
          <w:lang w:val="es-ES"/>
        </w:rPr>
        <w:t>when</w:t>
      </w:r>
      <w:proofErr w:type="spellEnd"/>
      <w:r>
        <w:rPr>
          <w:rFonts w:eastAsia="Palatino Linotype"/>
          <w:sz w:val="22"/>
          <w:szCs w:val="22"/>
          <w:lang w:val="es-ES"/>
        </w:rPr>
        <w:t xml:space="preserve"> </w:t>
      </w:r>
      <w:proofErr w:type="spellStart"/>
      <w:r>
        <w:rPr>
          <w:rFonts w:eastAsia="Palatino Linotype"/>
          <w:sz w:val="22"/>
          <w:szCs w:val="22"/>
          <w:lang w:val="es-ES"/>
        </w:rPr>
        <w:t>the</w:t>
      </w:r>
      <w:proofErr w:type="spellEnd"/>
      <w:r>
        <w:rPr>
          <w:rFonts w:eastAsia="Palatino Linotype"/>
          <w:sz w:val="22"/>
          <w:szCs w:val="22"/>
          <w:lang w:val="es-ES"/>
        </w:rPr>
        <w:t xml:space="preserve"> </w:t>
      </w:r>
      <w:proofErr w:type="spellStart"/>
      <w:r>
        <w:rPr>
          <w:rFonts w:eastAsia="Palatino Linotype"/>
          <w:sz w:val="22"/>
          <w:szCs w:val="22"/>
          <w:lang w:val="es-ES"/>
        </w:rPr>
        <w:t>contract</w:t>
      </w:r>
      <w:proofErr w:type="spellEnd"/>
      <w:r>
        <w:rPr>
          <w:rFonts w:eastAsia="Palatino Linotype"/>
          <w:sz w:val="22"/>
          <w:szCs w:val="22"/>
          <w:lang w:val="es-ES"/>
        </w:rPr>
        <w:t xml:space="preserve"> </w:t>
      </w:r>
      <w:proofErr w:type="spellStart"/>
      <w:r>
        <w:rPr>
          <w:rFonts w:eastAsia="Palatino Linotype"/>
          <w:sz w:val="22"/>
          <w:szCs w:val="22"/>
          <w:lang w:val="es-ES"/>
        </w:rPr>
        <w:t>justifies</w:t>
      </w:r>
      <w:proofErr w:type="spellEnd"/>
      <w:r>
        <w:rPr>
          <w:rFonts w:eastAsia="Palatino Linotype"/>
          <w:sz w:val="22"/>
          <w:szCs w:val="22"/>
          <w:lang w:val="es-ES"/>
        </w:rPr>
        <w:t xml:space="preserve"> </w:t>
      </w:r>
      <w:proofErr w:type="spellStart"/>
      <w:r>
        <w:rPr>
          <w:rFonts w:eastAsia="Palatino Linotype"/>
          <w:sz w:val="22"/>
          <w:szCs w:val="22"/>
          <w:lang w:val="es-ES"/>
        </w:rPr>
        <w:t>it</w:t>
      </w:r>
      <w:proofErr w:type="spellEnd"/>
      <w:r>
        <w:rPr>
          <w:rFonts w:eastAsia="Palatino Linotype"/>
          <w:sz w:val="22"/>
          <w:szCs w:val="22"/>
          <w:lang w:val="es-ES"/>
        </w:rPr>
        <w:t xml:space="preserve"> </w:t>
      </w:r>
      <w:proofErr w:type="spellStart"/>
      <w:r>
        <w:rPr>
          <w:rFonts w:eastAsia="Palatino Linotype"/>
          <w:sz w:val="22"/>
          <w:szCs w:val="22"/>
          <w:lang w:val="es-ES"/>
        </w:rPr>
        <w:t>or</w:t>
      </w:r>
      <w:proofErr w:type="spellEnd"/>
      <w:r>
        <w:rPr>
          <w:rFonts w:eastAsia="Palatino Linotype"/>
          <w:sz w:val="22"/>
          <w:szCs w:val="22"/>
          <w:lang w:val="es-ES"/>
        </w:rPr>
        <w:t xml:space="preserve"> </w:t>
      </w:r>
      <w:proofErr w:type="spellStart"/>
      <w:r>
        <w:rPr>
          <w:rFonts w:eastAsia="Palatino Linotype"/>
          <w:sz w:val="22"/>
          <w:szCs w:val="22"/>
          <w:lang w:val="es-ES"/>
        </w:rPr>
        <w:t>exempt</w:t>
      </w:r>
      <w:proofErr w:type="spellEnd"/>
      <w:r>
        <w:rPr>
          <w:rFonts w:eastAsia="Palatino Linotype"/>
          <w:sz w:val="22"/>
          <w:szCs w:val="22"/>
          <w:lang w:val="es-ES"/>
        </w:rPr>
        <w:t xml:space="preserve"> </w:t>
      </w:r>
      <w:proofErr w:type="spellStart"/>
      <w:r>
        <w:rPr>
          <w:rFonts w:eastAsia="Palatino Linotype"/>
          <w:sz w:val="22"/>
          <w:szCs w:val="22"/>
          <w:lang w:val="es-ES"/>
        </w:rPr>
        <w:t>from</w:t>
      </w:r>
      <w:proofErr w:type="spellEnd"/>
      <w:r>
        <w:rPr>
          <w:rFonts w:eastAsia="Palatino Linotype"/>
          <w:sz w:val="22"/>
          <w:szCs w:val="22"/>
          <w:lang w:val="es-ES"/>
        </w:rPr>
        <w:t xml:space="preserve"> </w:t>
      </w:r>
      <w:proofErr w:type="spellStart"/>
      <w:r>
        <w:rPr>
          <w:rFonts w:eastAsia="Palatino Linotype"/>
          <w:sz w:val="22"/>
          <w:szCs w:val="22"/>
          <w:lang w:val="es-ES"/>
        </w:rPr>
        <w:t>the</w:t>
      </w:r>
      <w:proofErr w:type="spellEnd"/>
      <w:r>
        <w:rPr>
          <w:rFonts w:eastAsia="Palatino Linotype"/>
          <w:sz w:val="22"/>
          <w:szCs w:val="22"/>
          <w:lang w:val="es-ES"/>
        </w:rPr>
        <w:t xml:space="preserve"> </w:t>
      </w:r>
      <w:proofErr w:type="spellStart"/>
      <w:r>
        <w:rPr>
          <w:rFonts w:eastAsia="Palatino Linotype"/>
          <w:sz w:val="22"/>
          <w:szCs w:val="22"/>
          <w:lang w:val="es-ES"/>
        </w:rPr>
        <w:t>presentation</w:t>
      </w:r>
      <w:proofErr w:type="spellEnd"/>
      <w:r>
        <w:rPr>
          <w:rFonts w:eastAsia="Palatino Linotype"/>
          <w:sz w:val="22"/>
          <w:szCs w:val="22"/>
          <w:lang w:val="es-ES"/>
        </w:rPr>
        <w:t xml:space="preserve"> </w:t>
      </w:r>
      <w:proofErr w:type="spellStart"/>
      <w:r>
        <w:rPr>
          <w:rFonts w:eastAsia="Palatino Linotype"/>
          <w:sz w:val="22"/>
          <w:szCs w:val="22"/>
          <w:lang w:val="es-ES"/>
        </w:rPr>
        <w:t>when</w:t>
      </w:r>
      <w:proofErr w:type="spellEnd"/>
      <w:r>
        <w:rPr>
          <w:rFonts w:eastAsia="Palatino Linotype"/>
          <w:sz w:val="22"/>
          <w:szCs w:val="22"/>
          <w:lang w:val="es-ES"/>
        </w:rPr>
        <w:t xml:space="preserve"> </w:t>
      </w:r>
      <w:proofErr w:type="spellStart"/>
      <w:r>
        <w:rPr>
          <w:rFonts w:eastAsia="Palatino Linotype"/>
          <w:sz w:val="22"/>
          <w:szCs w:val="22"/>
          <w:lang w:val="es-ES"/>
        </w:rPr>
        <w:t>it</w:t>
      </w:r>
      <w:proofErr w:type="spellEnd"/>
      <w:r>
        <w:rPr>
          <w:rFonts w:eastAsia="Palatino Linotype"/>
          <w:sz w:val="22"/>
          <w:szCs w:val="22"/>
          <w:lang w:val="es-ES"/>
        </w:rPr>
        <w:t xml:space="preserve"> </w:t>
      </w:r>
      <w:proofErr w:type="spellStart"/>
      <w:r>
        <w:rPr>
          <w:rFonts w:eastAsia="Palatino Linotype"/>
          <w:sz w:val="22"/>
          <w:szCs w:val="22"/>
          <w:lang w:val="es-ES"/>
        </w:rPr>
        <w:t>is</w:t>
      </w:r>
      <w:proofErr w:type="spellEnd"/>
      <w:r>
        <w:rPr>
          <w:rFonts w:eastAsia="Palatino Linotype"/>
          <w:sz w:val="22"/>
          <w:szCs w:val="22"/>
          <w:lang w:val="es-ES"/>
        </w:rPr>
        <w:t xml:space="preserve"> </w:t>
      </w:r>
      <w:proofErr w:type="spellStart"/>
      <w:r>
        <w:rPr>
          <w:rFonts w:eastAsia="Palatino Linotype"/>
          <w:sz w:val="22"/>
          <w:szCs w:val="22"/>
          <w:lang w:val="es-ES"/>
        </w:rPr>
        <w:t>convenient</w:t>
      </w:r>
      <w:proofErr w:type="spellEnd"/>
      <w:r>
        <w:rPr>
          <w:rFonts w:eastAsia="Palatino Linotype"/>
          <w:sz w:val="22"/>
          <w:szCs w:val="22"/>
          <w:lang w:val="es-ES"/>
        </w:rPr>
        <w:t xml:space="preserve"> </w:t>
      </w:r>
      <w:proofErr w:type="spellStart"/>
      <w:r>
        <w:rPr>
          <w:rFonts w:eastAsia="Palatino Linotype"/>
          <w:sz w:val="22"/>
          <w:szCs w:val="22"/>
          <w:lang w:val="es-ES"/>
        </w:rPr>
        <w:t>for</w:t>
      </w:r>
      <w:proofErr w:type="spellEnd"/>
      <w:r>
        <w:rPr>
          <w:rFonts w:eastAsia="Palatino Linotype"/>
          <w:sz w:val="22"/>
          <w:szCs w:val="22"/>
          <w:lang w:val="es-ES"/>
        </w:rPr>
        <w:t xml:space="preserve"> </w:t>
      </w:r>
      <w:proofErr w:type="spellStart"/>
      <w:r>
        <w:rPr>
          <w:rFonts w:eastAsia="Palatino Linotype"/>
          <w:sz w:val="22"/>
          <w:szCs w:val="22"/>
          <w:lang w:val="es-ES"/>
        </w:rPr>
        <w:t>it</w:t>
      </w:r>
      <w:proofErr w:type="spellEnd"/>
      <w:r>
        <w:rPr>
          <w:rFonts w:eastAsia="Palatino Linotype"/>
          <w:sz w:val="22"/>
          <w:szCs w:val="22"/>
          <w:lang w:val="es-ES"/>
        </w:rPr>
        <w:t>.</w:t>
      </w:r>
    </w:p>
    <w:p w14:paraId="61B74163" w14:textId="77777777" w:rsidR="00E255F4" w:rsidRDefault="00E255F4">
      <w:pPr>
        <w:ind w:right="-142"/>
        <w:jc w:val="both"/>
        <w:rPr>
          <w:rFonts w:eastAsia="Palatino Linotype"/>
          <w:sz w:val="22"/>
          <w:szCs w:val="22"/>
          <w:lang w:val="es-ES"/>
        </w:rPr>
      </w:pPr>
    </w:p>
    <w:p w14:paraId="4E545EA3" w14:textId="77777777" w:rsidR="00E255F4" w:rsidRDefault="00000000">
      <w:pPr>
        <w:ind w:right="-142"/>
        <w:jc w:val="both"/>
        <w:rPr>
          <w:rFonts w:eastAsia="Palatino Linotype"/>
          <w:sz w:val="22"/>
          <w:szCs w:val="22"/>
          <w:lang w:val="es-ES"/>
        </w:rPr>
      </w:pPr>
      <w:r>
        <w:rPr>
          <w:rFonts w:eastAsia="Palatino Linotype"/>
          <w:sz w:val="22"/>
          <w:szCs w:val="22"/>
          <w:lang w:val="es-ES"/>
        </w:rPr>
        <w:t xml:space="preserve">For </w:t>
      </w:r>
      <w:proofErr w:type="spellStart"/>
      <w:r>
        <w:rPr>
          <w:rFonts w:eastAsia="Palatino Linotype"/>
          <w:sz w:val="22"/>
          <w:szCs w:val="22"/>
          <w:lang w:val="es-ES"/>
        </w:rPr>
        <w:t>the</w:t>
      </w:r>
      <w:proofErr w:type="spellEnd"/>
      <w:r>
        <w:rPr>
          <w:rFonts w:eastAsia="Palatino Linotype"/>
          <w:sz w:val="22"/>
          <w:szCs w:val="22"/>
          <w:lang w:val="es-ES"/>
        </w:rPr>
        <w:t xml:space="preserve"> </w:t>
      </w:r>
      <w:proofErr w:type="spellStart"/>
      <w:r>
        <w:rPr>
          <w:rFonts w:eastAsia="Palatino Linotype"/>
          <w:sz w:val="22"/>
          <w:szCs w:val="22"/>
          <w:lang w:val="es-ES"/>
        </w:rPr>
        <w:t>purpose</w:t>
      </w:r>
      <w:proofErr w:type="spellEnd"/>
      <w:r>
        <w:rPr>
          <w:rFonts w:eastAsia="Palatino Linotype"/>
          <w:sz w:val="22"/>
          <w:szCs w:val="22"/>
          <w:lang w:val="es-ES"/>
        </w:rPr>
        <w:t xml:space="preserve"> </w:t>
      </w:r>
      <w:proofErr w:type="spellStart"/>
      <w:r>
        <w:rPr>
          <w:rFonts w:eastAsia="Palatino Linotype"/>
          <w:sz w:val="22"/>
          <w:szCs w:val="22"/>
          <w:lang w:val="es-ES"/>
        </w:rPr>
        <w:t>of</w:t>
      </w:r>
      <w:proofErr w:type="spellEnd"/>
      <w:r>
        <w:rPr>
          <w:rFonts w:eastAsia="Palatino Linotype"/>
          <w:sz w:val="22"/>
          <w:szCs w:val="22"/>
          <w:lang w:val="es-ES"/>
        </w:rPr>
        <w:t xml:space="preserve"> </w:t>
      </w:r>
      <w:proofErr w:type="spellStart"/>
      <w:r>
        <w:rPr>
          <w:rFonts w:eastAsia="Palatino Linotype"/>
          <w:sz w:val="22"/>
          <w:szCs w:val="22"/>
          <w:lang w:val="es-ES"/>
        </w:rPr>
        <w:t>determining</w:t>
      </w:r>
      <w:proofErr w:type="spellEnd"/>
      <w:r>
        <w:rPr>
          <w:rFonts w:eastAsia="Palatino Linotype"/>
          <w:sz w:val="22"/>
          <w:szCs w:val="22"/>
          <w:lang w:val="es-ES"/>
        </w:rPr>
        <w:t xml:space="preserve"> </w:t>
      </w:r>
      <w:proofErr w:type="spellStart"/>
      <w:r>
        <w:rPr>
          <w:rFonts w:eastAsia="Palatino Linotype"/>
          <w:sz w:val="22"/>
          <w:szCs w:val="22"/>
          <w:lang w:val="es-ES"/>
        </w:rPr>
        <w:t>the</w:t>
      </w:r>
      <w:proofErr w:type="spellEnd"/>
      <w:r>
        <w:rPr>
          <w:rFonts w:eastAsia="Palatino Linotype"/>
          <w:sz w:val="22"/>
          <w:szCs w:val="22"/>
          <w:lang w:val="es-ES"/>
        </w:rPr>
        <w:t xml:space="preserve"> </w:t>
      </w:r>
      <w:proofErr w:type="spellStart"/>
      <w:r>
        <w:rPr>
          <w:rFonts w:eastAsia="Palatino Linotype"/>
          <w:sz w:val="22"/>
          <w:szCs w:val="22"/>
          <w:lang w:val="es-ES"/>
        </w:rPr>
        <w:t>amount</w:t>
      </w:r>
      <w:proofErr w:type="spellEnd"/>
      <w:r>
        <w:rPr>
          <w:rFonts w:eastAsia="Palatino Linotype"/>
          <w:sz w:val="22"/>
          <w:szCs w:val="22"/>
          <w:lang w:val="es-ES"/>
        </w:rPr>
        <w:t xml:space="preserve"> </w:t>
      </w:r>
      <w:proofErr w:type="spellStart"/>
      <w:r>
        <w:rPr>
          <w:rFonts w:eastAsia="Palatino Linotype"/>
          <w:sz w:val="22"/>
          <w:szCs w:val="22"/>
          <w:lang w:val="es-ES"/>
        </w:rPr>
        <w:t>of</w:t>
      </w:r>
      <w:proofErr w:type="spellEnd"/>
      <w:r>
        <w:rPr>
          <w:rFonts w:eastAsia="Palatino Linotype"/>
          <w:sz w:val="22"/>
          <w:szCs w:val="22"/>
          <w:lang w:val="es-ES"/>
        </w:rPr>
        <w:t xml:space="preserve"> </w:t>
      </w:r>
      <w:proofErr w:type="spellStart"/>
      <w:r>
        <w:rPr>
          <w:rFonts w:eastAsia="Palatino Linotype"/>
          <w:sz w:val="22"/>
          <w:szCs w:val="22"/>
          <w:lang w:val="es-ES"/>
        </w:rPr>
        <w:t>the</w:t>
      </w:r>
      <w:proofErr w:type="spellEnd"/>
      <w:r>
        <w:rPr>
          <w:rFonts w:eastAsia="Palatino Linotype"/>
          <w:sz w:val="22"/>
          <w:szCs w:val="22"/>
          <w:lang w:val="es-ES"/>
        </w:rPr>
        <w:t xml:space="preserve"> </w:t>
      </w:r>
      <w:proofErr w:type="spellStart"/>
      <w:r>
        <w:rPr>
          <w:rFonts w:eastAsia="Palatino Linotype"/>
          <w:sz w:val="22"/>
          <w:szCs w:val="22"/>
          <w:lang w:val="es-ES"/>
        </w:rPr>
        <w:t>guarantee</w:t>
      </w:r>
      <w:proofErr w:type="spellEnd"/>
      <w:r>
        <w:rPr>
          <w:rFonts w:eastAsia="Palatino Linotype"/>
          <w:sz w:val="22"/>
          <w:szCs w:val="22"/>
          <w:lang w:val="es-ES"/>
        </w:rPr>
        <w:t xml:space="preserve">, </w:t>
      </w:r>
      <w:proofErr w:type="spellStart"/>
      <w:r>
        <w:rPr>
          <w:rFonts w:eastAsia="Palatino Linotype"/>
          <w:sz w:val="22"/>
          <w:szCs w:val="22"/>
          <w:lang w:val="es-ES"/>
        </w:rPr>
        <w:t>public</w:t>
      </w:r>
      <w:proofErr w:type="spellEnd"/>
      <w:r>
        <w:rPr>
          <w:rFonts w:eastAsia="Palatino Linotype"/>
          <w:sz w:val="22"/>
          <w:szCs w:val="22"/>
          <w:lang w:val="es-ES"/>
        </w:rPr>
        <w:t xml:space="preserve"> </w:t>
      </w:r>
      <w:proofErr w:type="spellStart"/>
      <w:r>
        <w:rPr>
          <w:rFonts w:eastAsia="Palatino Linotype"/>
          <w:sz w:val="22"/>
          <w:szCs w:val="22"/>
          <w:lang w:val="es-ES"/>
        </w:rPr>
        <w:t>securities</w:t>
      </w:r>
      <w:proofErr w:type="spellEnd"/>
      <w:r>
        <w:rPr>
          <w:rFonts w:eastAsia="Palatino Linotype"/>
          <w:sz w:val="22"/>
          <w:szCs w:val="22"/>
          <w:lang w:val="es-ES"/>
        </w:rPr>
        <w:t xml:space="preserve"> </w:t>
      </w:r>
      <w:proofErr w:type="spellStart"/>
      <w:r>
        <w:rPr>
          <w:rFonts w:eastAsia="Palatino Linotype"/>
          <w:sz w:val="22"/>
          <w:szCs w:val="22"/>
          <w:lang w:val="es-ES"/>
        </w:rPr>
        <w:t>will</w:t>
      </w:r>
      <w:proofErr w:type="spellEnd"/>
      <w:r>
        <w:rPr>
          <w:rFonts w:eastAsia="Palatino Linotype"/>
          <w:sz w:val="22"/>
          <w:szCs w:val="22"/>
          <w:lang w:val="es-ES"/>
        </w:rPr>
        <w:t xml:space="preserve"> be </w:t>
      </w:r>
      <w:proofErr w:type="spellStart"/>
      <w:r>
        <w:rPr>
          <w:rFonts w:eastAsia="Palatino Linotype"/>
          <w:sz w:val="22"/>
          <w:szCs w:val="22"/>
          <w:lang w:val="es-ES"/>
        </w:rPr>
        <w:t>considered</w:t>
      </w:r>
      <w:proofErr w:type="spellEnd"/>
      <w:r>
        <w:rPr>
          <w:rFonts w:eastAsia="Palatino Linotype"/>
          <w:sz w:val="22"/>
          <w:szCs w:val="22"/>
          <w:lang w:val="es-ES"/>
        </w:rPr>
        <w:t xml:space="preserve"> at </w:t>
      </w:r>
      <w:proofErr w:type="spellStart"/>
      <w:r>
        <w:rPr>
          <w:rFonts w:eastAsia="Palatino Linotype"/>
          <w:sz w:val="22"/>
          <w:szCs w:val="22"/>
          <w:lang w:val="es-ES"/>
        </w:rPr>
        <w:t>their</w:t>
      </w:r>
      <w:proofErr w:type="spellEnd"/>
      <w:r>
        <w:rPr>
          <w:rFonts w:eastAsia="Palatino Linotype"/>
          <w:sz w:val="22"/>
          <w:szCs w:val="22"/>
          <w:lang w:val="es-ES"/>
        </w:rPr>
        <w:t xml:space="preserve"> nominal </w:t>
      </w:r>
      <w:proofErr w:type="spellStart"/>
      <w:r>
        <w:rPr>
          <w:rFonts w:eastAsia="Palatino Linotype"/>
          <w:sz w:val="22"/>
          <w:szCs w:val="22"/>
          <w:lang w:val="es-ES"/>
        </w:rPr>
        <w:t>value</w:t>
      </w:r>
      <w:proofErr w:type="spellEnd"/>
      <w:r>
        <w:rPr>
          <w:rFonts w:eastAsia="Palatino Linotype"/>
          <w:sz w:val="22"/>
          <w:szCs w:val="22"/>
          <w:lang w:val="es-ES"/>
        </w:rPr>
        <w:t xml:space="preserve">, </w:t>
      </w:r>
      <w:proofErr w:type="spellStart"/>
      <w:r>
        <w:rPr>
          <w:rFonts w:eastAsia="Palatino Linotype"/>
          <w:sz w:val="22"/>
          <w:szCs w:val="22"/>
          <w:lang w:val="es-ES"/>
        </w:rPr>
        <w:t>unless</w:t>
      </w:r>
      <w:proofErr w:type="spellEnd"/>
      <w:r>
        <w:rPr>
          <w:rFonts w:eastAsia="Palatino Linotype"/>
          <w:sz w:val="22"/>
          <w:szCs w:val="22"/>
          <w:lang w:val="es-ES"/>
        </w:rPr>
        <w:t xml:space="preserve"> </w:t>
      </w:r>
      <w:proofErr w:type="spellStart"/>
      <w:r>
        <w:rPr>
          <w:rFonts w:eastAsia="Palatino Linotype"/>
          <w:sz w:val="22"/>
          <w:szCs w:val="22"/>
          <w:lang w:val="es-ES"/>
        </w:rPr>
        <w:t>the</w:t>
      </w:r>
      <w:proofErr w:type="spellEnd"/>
      <w:r>
        <w:rPr>
          <w:rFonts w:eastAsia="Palatino Linotype"/>
          <w:sz w:val="22"/>
          <w:szCs w:val="22"/>
          <w:lang w:val="es-ES"/>
        </w:rPr>
        <w:t xml:space="preserve"> </w:t>
      </w:r>
      <w:proofErr w:type="spellStart"/>
      <w:r>
        <w:rPr>
          <w:rFonts w:eastAsia="Palatino Linotype"/>
          <w:sz w:val="22"/>
          <w:szCs w:val="22"/>
          <w:lang w:val="es-ES"/>
        </w:rPr>
        <w:t>Administration</w:t>
      </w:r>
      <w:proofErr w:type="spellEnd"/>
      <w:r>
        <w:rPr>
          <w:rFonts w:eastAsia="Palatino Linotype"/>
          <w:sz w:val="22"/>
          <w:szCs w:val="22"/>
          <w:lang w:val="es-ES"/>
        </w:rPr>
        <w:t xml:space="preserve"> </w:t>
      </w:r>
      <w:proofErr w:type="spellStart"/>
      <w:r>
        <w:rPr>
          <w:rFonts w:eastAsia="Palatino Linotype"/>
          <w:sz w:val="22"/>
          <w:szCs w:val="22"/>
          <w:lang w:val="es-ES"/>
        </w:rPr>
        <w:t>considers</w:t>
      </w:r>
      <w:proofErr w:type="spellEnd"/>
      <w:r>
        <w:rPr>
          <w:rFonts w:eastAsia="Palatino Linotype"/>
          <w:sz w:val="22"/>
          <w:szCs w:val="22"/>
          <w:lang w:val="es-ES"/>
        </w:rPr>
        <w:t xml:space="preserve"> </w:t>
      </w:r>
      <w:proofErr w:type="spellStart"/>
      <w:r>
        <w:rPr>
          <w:rFonts w:eastAsia="Palatino Linotype"/>
          <w:sz w:val="22"/>
          <w:szCs w:val="22"/>
          <w:lang w:val="es-ES"/>
        </w:rPr>
        <w:t>that</w:t>
      </w:r>
      <w:proofErr w:type="spellEnd"/>
      <w:r>
        <w:rPr>
          <w:rFonts w:eastAsia="Palatino Linotype"/>
          <w:sz w:val="22"/>
          <w:szCs w:val="22"/>
          <w:lang w:val="es-ES"/>
        </w:rPr>
        <w:t xml:space="preserve"> </w:t>
      </w:r>
      <w:proofErr w:type="spellStart"/>
      <w:r>
        <w:rPr>
          <w:rFonts w:eastAsia="Palatino Linotype"/>
          <w:sz w:val="22"/>
          <w:szCs w:val="22"/>
          <w:lang w:val="es-ES"/>
        </w:rPr>
        <w:t>this</w:t>
      </w:r>
      <w:proofErr w:type="spellEnd"/>
      <w:r>
        <w:rPr>
          <w:rFonts w:eastAsia="Palatino Linotype"/>
          <w:sz w:val="22"/>
          <w:szCs w:val="22"/>
          <w:lang w:val="es-ES"/>
        </w:rPr>
        <w:t xml:space="preserve"> </w:t>
      </w:r>
      <w:proofErr w:type="spellStart"/>
      <w:r>
        <w:rPr>
          <w:rFonts w:eastAsia="Palatino Linotype"/>
          <w:sz w:val="22"/>
          <w:szCs w:val="22"/>
          <w:lang w:val="es-ES"/>
        </w:rPr>
        <w:t>is</w:t>
      </w:r>
      <w:proofErr w:type="spellEnd"/>
      <w:r>
        <w:rPr>
          <w:rFonts w:eastAsia="Palatino Linotype"/>
          <w:sz w:val="22"/>
          <w:szCs w:val="22"/>
          <w:lang w:val="es-ES"/>
        </w:rPr>
        <w:t xml:space="preserve"> </w:t>
      </w:r>
      <w:proofErr w:type="spellStart"/>
      <w:r>
        <w:rPr>
          <w:rFonts w:eastAsia="Palatino Linotype"/>
          <w:sz w:val="22"/>
          <w:szCs w:val="22"/>
          <w:lang w:val="es-ES"/>
        </w:rPr>
        <w:t>substantially</w:t>
      </w:r>
      <w:proofErr w:type="spellEnd"/>
      <w:r>
        <w:rPr>
          <w:rFonts w:eastAsia="Palatino Linotype"/>
          <w:sz w:val="22"/>
          <w:szCs w:val="22"/>
          <w:lang w:val="es-ES"/>
        </w:rPr>
        <w:t xml:space="preserve"> </w:t>
      </w:r>
      <w:proofErr w:type="spellStart"/>
      <w:r>
        <w:rPr>
          <w:rFonts w:eastAsia="Palatino Linotype"/>
          <w:sz w:val="22"/>
          <w:szCs w:val="22"/>
          <w:lang w:val="es-ES"/>
        </w:rPr>
        <w:t>higher</w:t>
      </w:r>
      <w:proofErr w:type="spellEnd"/>
      <w:r>
        <w:rPr>
          <w:rFonts w:eastAsia="Palatino Linotype"/>
          <w:sz w:val="22"/>
          <w:szCs w:val="22"/>
          <w:lang w:val="es-ES"/>
        </w:rPr>
        <w:t xml:space="preserve"> </w:t>
      </w:r>
      <w:proofErr w:type="spellStart"/>
      <w:r>
        <w:rPr>
          <w:rFonts w:eastAsia="Palatino Linotype"/>
          <w:sz w:val="22"/>
          <w:szCs w:val="22"/>
          <w:lang w:val="es-ES"/>
        </w:rPr>
        <w:t>than</w:t>
      </w:r>
      <w:proofErr w:type="spellEnd"/>
      <w:r>
        <w:rPr>
          <w:rFonts w:eastAsia="Palatino Linotype"/>
          <w:sz w:val="22"/>
          <w:szCs w:val="22"/>
          <w:lang w:val="es-ES"/>
        </w:rPr>
        <w:t xml:space="preserve"> </w:t>
      </w:r>
      <w:proofErr w:type="spellStart"/>
      <w:r>
        <w:rPr>
          <w:rFonts w:eastAsia="Palatino Linotype"/>
          <w:sz w:val="22"/>
          <w:szCs w:val="22"/>
          <w:lang w:val="es-ES"/>
        </w:rPr>
        <w:t>their</w:t>
      </w:r>
      <w:proofErr w:type="spellEnd"/>
      <w:r>
        <w:rPr>
          <w:rFonts w:eastAsia="Palatino Linotype"/>
          <w:sz w:val="22"/>
          <w:szCs w:val="22"/>
          <w:lang w:val="es-ES"/>
        </w:rPr>
        <w:t xml:space="preserve"> </w:t>
      </w:r>
      <w:proofErr w:type="spellStart"/>
      <w:r>
        <w:rPr>
          <w:rFonts w:eastAsia="Palatino Linotype"/>
          <w:sz w:val="22"/>
          <w:szCs w:val="22"/>
          <w:lang w:val="es-ES"/>
        </w:rPr>
        <w:t>market</w:t>
      </w:r>
      <w:proofErr w:type="spellEnd"/>
      <w:r>
        <w:rPr>
          <w:rFonts w:eastAsia="Palatino Linotype"/>
          <w:sz w:val="22"/>
          <w:szCs w:val="22"/>
          <w:lang w:val="es-ES"/>
        </w:rPr>
        <w:t xml:space="preserve"> </w:t>
      </w:r>
      <w:proofErr w:type="spellStart"/>
      <w:r>
        <w:rPr>
          <w:rFonts w:eastAsia="Palatino Linotype"/>
          <w:sz w:val="22"/>
          <w:szCs w:val="22"/>
          <w:lang w:val="es-ES"/>
        </w:rPr>
        <w:t>value</w:t>
      </w:r>
      <w:proofErr w:type="spellEnd"/>
      <w:r>
        <w:rPr>
          <w:rFonts w:eastAsia="Palatino Linotype"/>
          <w:sz w:val="22"/>
          <w:szCs w:val="22"/>
          <w:lang w:val="es-ES"/>
        </w:rPr>
        <w:t>.</w:t>
      </w:r>
    </w:p>
    <w:p w14:paraId="15BF6DBB" w14:textId="77777777" w:rsidR="00E255F4" w:rsidRDefault="00E255F4">
      <w:pPr>
        <w:ind w:right="-142"/>
        <w:jc w:val="both"/>
        <w:rPr>
          <w:rFonts w:eastAsia="Palatino Linotype"/>
          <w:spacing w:val="-1"/>
          <w:sz w:val="22"/>
          <w:szCs w:val="22"/>
          <w:lang w:val="es-ES"/>
        </w:rPr>
      </w:pPr>
    </w:p>
    <w:p w14:paraId="6BE16297" w14:textId="77777777" w:rsidR="00E255F4" w:rsidRDefault="00000000">
      <w:pPr>
        <w:ind w:right="-142"/>
        <w:jc w:val="both"/>
        <w:rPr>
          <w:rFonts w:eastAsia="Palatino Linotype"/>
          <w:sz w:val="22"/>
          <w:szCs w:val="22"/>
          <w:lang w:val="es-ES"/>
        </w:rPr>
      </w:pPr>
      <w:proofErr w:type="spellStart"/>
      <w:r>
        <w:rPr>
          <w:rFonts w:eastAsia="Palatino Linotype"/>
          <w:spacing w:val="-1"/>
          <w:sz w:val="22"/>
          <w:szCs w:val="22"/>
          <w:lang w:val="es-ES"/>
        </w:rPr>
        <w:t>When</w:t>
      </w:r>
      <w:r>
        <w:rPr>
          <w:rFonts w:eastAsia="Palatino Linotype"/>
          <w:sz w:val="22"/>
          <w:szCs w:val="22"/>
          <w:lang w:val="es-ES"/>
        </w:rPr>
        <w:t>or</w:t>
      </w:r>
      <w:proofErr w:type="spellEnd"/>
      <w:r>
        <w:rPr>
          <w:rFonts w:eastAsia="Palatino Linotype"/>
          <w:sz w:val="22"/>
          <w:szCs w:val="22"/>
          <w:lang w:val="es-ES"/>
        </w:rPr>
        <w:t xml:space="preserve"> </w:t>
      </w:r>
      <w:proofErr w:type="spellStart"/>
      <w:r>
        <w:rPr>
          <w:rFonts w:eastAsia="Palatino Linotype"/>
          <w:sz w:val="22"/>
          <w:szCs w:val="22"/>
          <w:lang w:val="es-ES"/>
        </w:rPr>
        <w:t>if</w:t>
      </w:r>
      <w:proofErr w:type="spellEnd"/>
      <w:r>
        <w:rPr>
          <w:rFonts w:eastAsia="Palatino Linotype"/>
          <w:sz w:val="22"/>
          <w:szCs w:val="22"/>
          <w:lang w:val="es-ES"/>
        </w:rPr>
        <w:t xml:space="preserve"> </w:t>
      </w:r>
      <w:proofErr w:type="spellStart"/>
      <w:r>
        <w:rPr>
          <w:rFonts w:eastAsia="Palatino Linotype"/>
          <w:sz w:val="22"/>
          <w:szCs w:val="22"/>
          <w:lang w:val="es-ES"/>
        </w:rPr>
        <w:t>the</w:t>
      </w:r>
      <w:proofErr w:type="spellEnd"/>
      <w:r>
        <w:rPr>
          <w:rFonts w:eastAsia="Palatino Linotype"/>
          <w:sz w:val="22"/>
          <w:szCs w:val="22"/>
          <w:lang w:val="es-ES"/>
        </w:rPr>
        <w:t xml:space="preserve"> </w:t>
      </w:r>
      <w:proofErr w:type="spellStart"/>
      <w:r>
        <w:rPr>
          <w:rFonts w:eastAsia="Palatino Linotype"/>
          <w:sz w:val="22"/>
          <w:szCs w:val="22"/>
          <w:lang w:val="es-ES"/>
        </w:rPr>
        <w:t>guarantee</w:t>
      </w:r>
      <w:proofErr w:type="spellEnd"/>
      <w:r>
        <w:rPr>
          <w:rFonts w:eastAsia="Palatino Linotype"/>
          <w:sz w:val="22"/>
          <w:szCs w:val="22"/>
          <w:lang w:val="es-ES"/>
        </w:rPr>
        <w:t xml:space="preserve"> </w:t>
      </w:r>
      <w:proofErr w:type="spellStart"/>
      <w:r>
        <w:rPr>
          <w:rFonts w:eastAsia="Palatino Linotype"/>
          <w:sz w:val="22"/>
          <w:szCs w:val="22"/>
          <w:lang w:val="es-ES"/>
        </w:rPr>
        <w:t>is</w:t>
      </w:r>
      <w:proofErr w:type="spellEnd"/>
      <w:r>
        <w:rPr>
          <w:rFonts w:eastAsia="Palatino Linotype"/>
          <w:sz w:val="22"/>
          <w:szCs w:val="22"/>
          <w:lang w:val="es-ES"/>
        </w:rPr>
        <w:t xml:space="preserve"> </w:t>
      </w:r>
      <w:proofErr w:type="spellStart"/>
      <w:r>
        <w:rPr>
          <w:rFonts w:eastAsia="Palatino Linotype"/>
          <w:sz w:val="22"/>
          <w:szCs w:val="22"/>
          <w:lang w:val="es-ES"/>
        </w:rPr>
        <w:t>constituted</w:t>
      </w:r>
      <w:proofErr w:type="spellEnd"/>
      <w:r>
        <w:rPr>
          <w:rFonts w:eastAsia="Palatino Linotype"/>
          <w:sz w:val="22"/>
          <w:szCs w:val="22"/>
          <w:lang w:val="es-ES"/>
        </w:rPr>
        <w:t xml:space="preserve"> in </w:t>
      </w:r>
      <w:proofErr w:type="spellStart"/>
      <w:r>
        <w:rPr>
          <w:rFonts w:eastAsia="Palatino Linotype"/>
          <w:sz w:val="22"/>
          <w:szCs w:val="22"/>
          <w:lang w:val="es-ES"/>
        </w:rPr>
        <w:t>foreign</w:t>
      </w:r>
      <w:proofErr w:type="spellEnd"/>
      <w:r>
        <w:rPr>
          <w:rFonts w:eastAsia="Palatino Linotype"/>
          <w:sz w:val="22"/>
          <w:szCs w:val="22"/>
          <w:lang w:val="es-ES"/>
        </w:rPr>
        <w:t xml:space="preserve"> </w:t>
      </w:r>
      <w:proofErr w:type="spellStart"/>
      <w:r>
        <w:rPr>
          <w:rFonts w:eastAsia="Palatino Linotype"/>
          <w:sz w:val="22"/>
          <w:szCs w:val="22"/>
          <w:lang w:val="es-ES"/>
        </w:rPr>
        <w:t>currency</w:t>
      </w:r>
      <w:proofErr w:type="spellEnd"/>
      <w:r>
        <w:rPr>
          <w:rFonts w:eastAsia="Palatino Linotype"/>
          <w:sz w:val="22"/>
          <w:szCs w:val="22"/>
          <w:lang w:val="es-ES"/>
        </w:rPr>
        <w:t xml:space="preserve">, </w:t>
      </w:r>
      <w:proofErr w:type="spellStart"/>
      <w:r>
        <w:rPr>
          <w:rFonts w:eastAsia="Palatino Linotype"/>
          <w:sz w:val="22"/>
          <w:szCs w:val="22"/>
          <w:lang w:val="es-ES"/>
        </w:rPr>
        <w:t>the</w:t>
      </w:r>
      <w:proofErr w:type="spellEnd"/>
      <w:r>
        <w:rPr>
          <w:rFonts w:eastAsia="Palatino Linotype"/>
          <w:sz w:val="22"/>
          <w:szCs w:val="22"/>
          <w:lang w:val="es-ES"/>
        </w:rPr>
        <w:t xml:space="preserve"> </w:t>
      </w:r>
      <w:proofErr w:type="spellStart"/>
      <w:r>
        <w:rPr>
          <w:rFonts w:eastAsia="Palatino Linotype"/>
          <w:sz w:val="22"/>
          <w:szCs w:val="22"/>
          <w:lang w:val="es-ES"/>
        </w:rPr>
        <w:t>interbank</w:t>
      </w:r>
      <w:proofErr w:type="spellEnd"/>
      <w:r>
        <w:rPr>
          <w:rFonts w:eastAsia="Palatino Linotype"/>
          <w:sz w:val="22"/>
          <w:szCs w:val="22"/>
          <w:lang w:val="es-ES"/>
        </w:rPr>
        <w:t xml:space="preserve"> </w:t>
      </w:r>
      <w:proofErr w:type="spellStart"/>
      <w:r>
        <w:rPr>
          <w:rFonts w:eastAsia="Palatino Linotype"/>
          <w:sz w:val="22"/>
          <w:szCs w:val="22"/>
          <w:lang w:val="es-ES"/>
        </w:rPr>
        <w:t>selling</w:t>
      </w:r>
      <w:proofErr w:type="spellEnd"/>
      <w:r>
        <w:rPr>
          <w:rFonts w:eastAsia="Palatino Linotype"/>
          <w:sz w:val="22"/>
          <w:szCs w:val="22"/>
          <w:lang w:val="es-ES"/>
        </w:rPr>
        <w:t xml:space="preserve"> and </w:t>
      </w:r>
      <w:proofErr w:type="spellStart"/>
      <w:r>
        <w:rPr>
          <w:rFonts w:eastAsia="Palatino Linotype"/>
          <w:sz w:val="22"/>
          <w:szCs w:val="22"/>
          <w:lang w:val="es-ES"/>
        </w:rPr>
        <w:t>arbitrage</w:t>
      </w:r>
      <w:proofErr w:type="spellEnd"/>
      <w:r>
        <w:rPr>
          <w:rFonts w:eastAsia="Palatino Linotype"/>
          <w:sz w:val="22"/>
          <w:szCs w:val="22"/>
          <w:lang w:val="es-ES"/>
        </w:rPr>
        <w:t xml:space="preserve"> </w:t>
      </w:r>
      <w:proofErr w:type="spellStart"/>
      <w:r>
        <w:rPr>
          <w:rFonts w:eastAsia="Palatino Linotype"/>
          <w:sz w:val="22"/>
          <w:szCs w:val="22"/>
          <w:lang w:val="es-ES"/>
        </w:rPr>
        <w:t>exchange</w:t>
      </w:r>
      <w:proofErr w:type="spellEnd"/>
      <w:r>
        <w:rPr>
          <w:rFonts w:eastAsia="Palatino Linotype"/>
          <w:sz w:val="22"/>
          <w:szCs w:val="22"/>
          <w:lang w:val="es-ES"/>
        </w:rPr>
        <w:t xml:space="preserve"> </w:t>
      </w:r>
      <w:proofErr w:type="spellStart"/>
      <w:r>
        <w:rPr>
          <w:rFonts w:eastAsia="Palatino Linotype"/>
          <w:sz w:val="22"/>
          <w:szCs w:val="22"/>
          <w:lang w:val="es-ES"/>
        </w:rPr>
        <w:t>rate</w:t>
      </w:r>
      <w:proofErr w:type="spellEnd"/>
      <w:r>
        <w:rPr>
          <w:rFonts w:eastAsia="Palatino Linotype"/>
          <w:sz w:val="22"/>
          <w:szCs w:val="22"/>
          <w:lang w:val="es-ES"/>
        </w:rPr>
        <w:t xml:space="preserve"> in </w:t>
      </w:r>
      <w:proofErr w:type="spellStart"/>
      <w:r>
        <w:rPr>
          <w:rFonts w:eastAsia="Palatino Linotype"/>
          <w:sz w:val="22"/>
          <w:szCs w:val="22"/>
          <w:lang w:val="es-ES"/>
        </w:rPr>
        <w:t>force</w:t>
      </w:r>
      <w:proofErr w:type="spellEnd"/>
      <w:r>
        <w:rPr>
          <w:rFonts w:eastAsia="Palatino Linotype"/>
          <w:sz w:val="22"/>
          <w:szCs w:val="22"/>
          <w:lang w:val="es-ES"/>
        </w:rPr>
        <w:t xml:space="preserve"> at </w:t>
      </w:r>
      <w:proofErr w:type="spellStart"/>
      <w:r>
        <w:rPr>
          <w:rFonts w:eastAsia="Palatino Linotype"/>
          <w:sz w:val="22"/>
          <w:szCs w:val="22"/>
          <w:lang w:val="es-ES"/>
        </w:rPr>
        <w:t>the</w:t>
      </w:r>
      <w:proofErr w:type="spellEnd"/>
      <w:r>
        <w:rPr>
          <w:rFonts w:eastAsia="Palatino Linotype"/>
          <w:sz w:val="22"/>
          <w:szCs w:val="22"/>
          <w:lang w:val="es-ES"/>
        </w:rPr>
        <w:t xml:space="preserve"> </w:t>
      </w:r>
      <w:proofErr w:type="spellStart"/>
      <w:r>
        <w:rPr>
          <w:rFonts w:eastAsia="Palatino Linotype"/>
          <w:sz w:val="22"/>
          <w:szCs w:val="22"/>
          <w:lang w:val="es-ES"/>
        </w:rPr>
        <w:t>close</w:t>
      </w:r>
      <w:proofErr w:type="spellEnd"/>
      <w:r>
        <w:rPr>
          <w:rFonts w:eastAsia="Palatino Linotype"/>
          <w:sz w:val="22"/>
          <w:szCs w:val="22"/>
          <w:lang w:val="es-ES"/>
        </w:rPr>
        <w:t xml:space="preserve"> </w:t>
      </w:r>
      <w:proofErr w:type="spellStart"/>
      <w:r>
        <w:rPr>
          <w:rFonts w:eastAsia="Palatino Linotype"/>
          <w:sz w:val="22"/>
          <w:szCs w:val="22"/>
          <w:lang w:val="es-ES"/>
        </w:rPr>
        <w:t>of</w:t>
      </w:r>
      <w:proofErr w:type="spellEnd"/>
      <w:r>
        <w:rPr>
          <w:rFonts w:eastAsia="Palatino Linotype"/>
          <w:sz w:val="22"/>
          <w:szCs w:val="22"/>
          <w:lang w:val="es-ES"/>
        </w:rPr>
        <w:t xml:space="preserve"> </w:t>
      </w:r>
      <w:proofErr w:type="spellStart"/>
      <w:r>
        <w:rPr>
          <w:rFonts w:eastAsia="Palatino Linotype"/>
          <w:sz w:val="22"/>
          <w:szCs w:val="22"/>
          <w:lang w:val="es-ES"/>
        </w:rPr>
        <w:t>the</w:t>
      </w:r>
      <w:proofErr w:type="spellEnd"/>
      <w:r>
        <w:rPr>
          <w:rFonts w:eastAsia="Palatino Linotype"/>
          <w:sz w:val="22"/>
          <w:szCs w:val="22"/>
          <w:lang w:val="es-ES"/>
        </w:rPr>
        <w:t xml:space="preserve"> Exchange </w:t>
      </w:r>
      <w:proofErr w:type="spellStart"/>
      <w:r>
        <w:rPr>
          <w:rFonts w:eastAsia="Palatino Linotype"/>
          <w:sz w:val="22"/>
          <w:szCs w:val="22"/>
          <w:lang w:val="es-ES"/>
        </w:rPr>
        <w:t>Desk</w:t>
      </w:r>
      <w:proofErr w:type="spellEnd"/>
      <w:r>
        <w:rPr>
          <w:rFonts w:eastAsia="Palatino Linotype"/>
          <w:sz w:val="22"/>
          <w:szCs w:val="22"/>
          <w:lang w:val="es-ES"/>
        </w:rPr>
        <w:t xml:space="preserve"> </w:t>
      </w:r>
      <w:proofErr w:type="spellStart"/>
      <w:r>
        <w:rPr>
          <w:rFonts w:eastAsia="Palatino Linotype"/>
          <w:sz w:val="22"/>
          <w:szCs w:val="22"/>
          <w:lang w:val="es-ES"/>
        </w:rPr>
        <w:t>of</w:t>
      </w:r>
      <w:proofErr w:type="spellEnd"/>
      <w:r>
        <w:rPr>
          <w:rFonts w:eastAsia="Palatino Linotype"/>
          <w:sz w:val="22"/>
          <w:szCs w:val="22"/>
          <w:lang w:val="es-ES"/>
        </w:rPr>
        <w:t xml:space="preserve"> </w:t>
      </w:r>
      <w:proofErr w:type="spellStart"/>
      <w:r>
        <w:rPr>
          <w:rFonts w:eastAsia="Palatino Linotype"/>
          <w:sz w:val="22"/>
          <w:szCs w:val="22"/>
          <w:lang w:val="es-ES"/>
        </w:rPr>
        <w:t>the</w:t>
      </w:r>
      <w:proofErr w:type="spellEnd"/>
      <w:r>
        <w:rPr>
          <w:rFonts w:eastAsia="Palatino Linotype"/>
          <w:sz w:val="22"/>
          <w:szCs w:val="22"/>
          <w:lang w:val="es-ES"/>
        </w:rPr>
        <w:t xml:space="preserve"> Central Bank </w:t>
      </w:r>
      <w:proofErr w:type="spellStart"/>
      <w:r>
        <w:rPr>
          <w:rFonts w:eastAsia="Palatino Linotype"/>
          <w:sz w:val="22"/>
          <w:szCs w:val="22"/>
          <w:lang w:val="es-ES"/>
        </w:rPr>
        <w:t>of</w:t>
      </w:r>
      <w:proofErr w:type="spellEnd"/>
      <w:r>
        <w:rPr>
          <w:rFonts w:eastAsia="Palatino Linotype"/>
          <w:sz w:val="22"/>
          <w:szCs w:val="22"/>
          <w:lang w:val="es-ES"/>
        </w:rPr>
        <w:t xml:space="preserve"> Uruguay </w:t>
      </w:r>
      <w:proofErr w:type="spellStart"/>
      <w:r>
        <w:rPr>
          <w:rFonts w:eastAsia="Palatino Linotype"/>
          <w:sz w:val="22"/>
          <w:szCs w:val="22"/>
          <w:lang w:val="es-ES"/>
        </w:rPr>
        <w:t>on</w:t>
      </w:r>
      <w:proofErr w:type="spellEnd"/>
      <w:r>
        <w:rPr>
          <w:rFonts w:eastAsia="Palatino Linotype"/>
          <w:sz w:val="22"/>
          <w:szCs w:val="22"/>
          <w:lang w:val="es-ES"/>
        </w:rPr>
        <w:t xml:space="preserve"> </w:t>
      </w:r>
      <w:proofErr w:type="spellStart"/>
      <w:r>
        <w:rPr>
          <w:rFonts w:eastAsia="Palatino Linotype"/>
          <w:sz w:val="22"/>
          <w:szCs w:val="22"/>
          <w:lang w:val="es-ES"/>
        </w:rPr>
        <w:t>the</w:t>
      </w:r>
      <w:proofErr w:type="spellEnd"/>
      <w:r>
        <w:rPr>
          <w:rFonts w:eastAsia="Palatino Linotype"/>
          <w:sz w:val="22"/>
          <w:szCs w:val="22"/>
          <w:lang w:val="es-ES"/>
        </w:rPr>
        <w:t xml:space="preserve"> </w:t>
      </w:r>
      <w:proofErr w:type="spellStart"/>
      <w:r>
        <w:rPr>
          <w:rFonts w:eastAsia="Palatino Linotype"/>
          <w:sz w:val="22"/>
          <w:szCs w:val="22"/>
          <w:lang w:val="es-ES"/>
        </w:rPr>
        <w:t>day</w:t>
      </w:r>
      <w:proofErr w:type="spellEnd"/>
      <w:r>
        <w:rPr>
          <w:rFonts w:eastAsia="Palatino Linotype"/>
          <w:sz w:val="22"/>
          <w:szCs w:val="22"/>
          <w:lang w:val="es-ES"/>
        </w:rPr>
        <w:t xml:space="preserve"> prior </w:t>
      </w:r>
      <w:proofErr w:type="spellStart"/>
      <w:r>
        <w:rPr>
          <w:rFonts w:eastAsia="Palatino Linotype"/>
          <w:sz w:val="22"/>
          <w:szCs w:val="22"/>
          <w:lang w:val="es-ES"/>
        </w:rPr>
        <w:t>to</w:t>
      </w:r>
      <w:proofErr w:type="spellEnd"/>
      <w:r>
        <w:rPr>
          <w:rFonts w:eastAsia="Palatino Linotype"/>
          <w:sz w:val="22"/>
          <w:szCs w:val="22"/>
          <w:lang w:val="es-ES"/>
        </w:rPr>
        <w:t xml:space="preserve"> </w:t>
      </w:r>
      <w:proofErr w:type="spellStart"/>
      <w:r>
        <w:rPr>
          <w:rFonts w:eastAsia="Palatino Linotype"/>
          <w:sz w:val="22"/>
          <w:szCs w:val="22"/>
          <w:lang w:val="es-ES"/>
        </w:rPr>
        <w:t>the</w:t>
      </w:r>
      <w:proofErr w:type="spellEnd"/>
      <w:r>
        <w:rPr>
          <w:rFonts w:eastAsia="Palatino Linotype"/>
          <w:sz w:val="22"/>
          <w:szCs w:val="22"/>
          <w:lang w:val="es-ES"/>
        </w:rPr>
        <w:t xml:space="preserve"> </w:t>
      </w:r>
      <w:proofErr w:type="spellStart"/>
      <w:r>
        <w:rPr>
          <w:rFonts w:eastAsia="Palatino Linotype"/>
          <w:sz w:val="22"/>
          <w:szCs w:val="22"/>
          <w:lang w:val="es-ES"/>
        </w:rPr>
        <w:t>constitution</w:t>
      </w:r>
      <w:proofErr w:type="spellEnd"/>
      <w:r>
        <w:rPr>
          <w:rFonts w:eastAsia="Palatino Linotype"/>
          <w:sz w:val="22"/>
          <w:szCs w:val="22"/>
          <w:lang w:val="es-ES"/>
        </w:rPr>
        <w:t xml:space="preserve"> </w:t>
      </w:r>
      <w:proofErr w:type="spellStart"/>
      <w:r>
        <w:rPr>
          <w:rFonts w:eastAsia="Palatino Linotype"/>
          <w:sz w:val="22"/>
          <w:szCs w:val="22"/>
          <w:lang w:val="es-ES"/>
        </w:rPr>
        <w:t>of</w:t>
      </w:r>
      <w:proofErr w:type="spellEnd"/>
      <w:r>
        <w:rPr>
          <w:rFonts w:eastAsia="Palatino Linotype"/>
          <w:sz w:val="22"/>
          <w:szCs w:val="22"/>
          <w:lang w:val="es-ES"/>
        </w:rPr>
        <w:t xml:space="preserve"> </w:t>
      </w:r>
      <w:proofErr w:type="spellStart"/>
      <w:r>
        <w:rPr>
          <w:rFonts w:eastAsia="Palatino Linotype"/>
          <w:sz w:val="22"/>
          <w:szCs w:val="22"/>
          <w:lang w:val="es-ES"/>
        </w:rPr>
        <w:t>the</w:t>
      </w:r>
      <w:proofErr w:type="spellEnd"/>
      <w:r>
        <w:rPr>
          <w:rFonts w:eastAsia="Palatino Linotype"/>
          <w:sz w:val="22"/>
          <w:szCs w:val="22"/>
          <w:lang w:val="es-ES"/>
        </w:rPr>
        <w:t xml:space="preserve"> </w:t>
      </w:r>
      <w:proofErr w:type="spellStart"/>
      <w:r>
        <w:rPr>
          <w:rFonts w:eastAsia="Palatino Linotype"/>
          <w:sz w:val="22"/>
          <w:szCs w:val="22"/>
          <w:lang w:val="es-ES"/>
        </w:rPr>
        <w:t>guarantee</w:t>
      </w:r>
      <w:proofErr w:type="spellEnd"/>
      <w:r>
        <w:rPr>
          <w:rFonts w:eastAsia="Palatino Linotype"/>
          <w:sz w:val="22"/>
          <w:szCs w:val="22"/>
          <w:lang w:val="es-ES"/>
        </w:rPr>
        <w:t xml:space="preserve"> </w:t>
      </w:r>
      <w:proofErr w:type="spellStart"/>
      <w:r>
        <w:rPr>
          <w:rFonts w:eastAsia="Palatino Linotype"/>
          <w:sz w:val="22"/>
          <w:szCs w:val="22"/>
          <w:lang w:val="es-ES"/>
        </w:rPr>
        <w:t>will</w:t>
      </w:r>
      <w:proofErr w:type="spellEnd"/>
      <w:r>
        <w:rPr>
          <w:rFonts w:eastAsia="Palatino Linotype"/>
          <w:sz w:val="22"/>
          <w:szCs w:val="22"/>
          <w:lang w:val="es-ES"/>
        </w:rPr>
        <w:t xml:space="preserve"> be </w:t>
      </w:r>
      <w:proofErr w:type="spellStart"/>
      <w:r>
        <w:rPr>
          <w:rFonts w:eastAsia="Palatino Linotype"/>
          <w:sz w:val="22"/>
          <w:szCs w:val="22"/>
          <w:lang w:val="es-ES"/>
        </w:rPr>
        <w:t>used</w:t>
      </w:r>
      <w:proofErr w:type="spellEnd"/>
      <w:r>
        <w:rPr>
          <w:rFonts w:eastAsia="Palatino Linotype"/>
          <w:sz w:val="22"/>
          <w:szCs w:val="22"/>
          <w:lang w:val="es-ES"/>
        </w:rPr>
        <w:t>.</w:t>
      </w:r>
    </w:p>
    <w:p w14:paraId="40903BE2" w14:textId="77777777" w:rsidR="00E255F4" w:rsidRDefault="00E255F4">
      <w:pPr>
        <w:rPr>
          <w:rFonts w:eastAsia="Palatino Linotype"/>
          <w:sz w:val="22"/>
          <w:szCs w:val="22"/>
          <w:lang w:val="es-ES"/>
        </w:rPr>
      </w:pPr>
    </w:p>
    <w:p w14:paraId="78561ED8" w14:textId="77777777" w:rsidR="00E255F4" w:rsidRDefault="00000000">
      <w:pPr>
        <w:ind w:right="-142"/>
        <w:jc w:val="both"/>
        <w:outlineLvl w:val="0"/>
        <w:rPr>
          <w:rFonts w:eastAsia="Palatino Linotype"/>
          <w:b/>
          <w:spacing w:val="-1"/>
          <w:sz w:val="22"/>
          <w:szCs w:val="22"/>
          <w:lang w:val="es-ES"/>
        </w:rPr>
      </w:pPr>
      <w:bookmarkStart w:id="54" w:name="__RefHeading___Toc225377231"/>
      <w:bookmarkEnd w:id="54"/>
      <w:r>
        <w:rPr>
          <w:rFonts w:eastAsia="Palatino Linotype"/>
          <w:b/>
          <w:spacing w:val="-1"/>
          <w:sz w:val="22"/>
          <w:szCs w:val="22"/>
          <w:lang w:val="es-ES"/>
        </w:rPr>
        <w:t xml:space="preserve">19.2 </w:t>
      </w:r>
      <w:proofErr w:type="spellStart"/>
      <w:r>
        <w:rPr>
          <w:rFonts w:eastAsia="Palatino Linotype"/>
          <w:b/>
          <w:spacing w:val="-1"/>
          <w:sz w:val="22"/>
          <w:szCs w:val="22"/>
          <w:lang w:val="es-ES"/>
        </w:rPr>
        <w:t>Option</w:t>
      </w:r>
      <w:proofErr w:type="spellEnd"/>
      <w:r>
        <w:rPr>
          <w:rFonts w:eastAsia="Palatino Linotype"/>
          <w:b/>
          <w:spacing w:val="-1"/>
          <w:sz w:val="22"/>
          <w:szCs w:val="22"/>
          <w:lang w:val="es-ES"/>
        </w:rPr>
        <w:t xml:space="preserve"> </w:t>
      </w:r>
      <w:proofErr w:type="spellStart"/>
      <w:r>
        <w:rPr>
          <w:rFonts w:eastAsia="Palatino Linotype"/>
          <w:b/>
          <w:spacing w:val="-1"/>
          <w:sz w:val="22"/>
          <w:szCs w:val="22"/>
          <w:lang w:val="es-ES"/>
        </w:rPr>
        <w:t>not</w:t>
      </w:r>
      <w:proofErr w:type="spellEnd"/>
      <w:r>
        <w:rPr>
          <w:rFonts w:eastAsia="Palatino Linotype"/>
          <w:b/>
          <w:spacing w:val="-1"/>
          <w:sz w:val="22"/>
          <w:szCs w:val="22"/>
          <w:lang w:val="es-ES"/>
        </w:rPr>
        <w:t xml:space="preserve"> </w:t>
      </w:r>
      <w:proofErr w:type="spellStart"/>
      <w:r>
        <w:rPr>
          <w:rFonts w:eastAsia="Palatino Linotype"/>
          <w:b/>
          <w:spacing w:val="-1"/>
          <w:sz w:val="22"/>
          <w:szCs w:val="22"/>
          <w:lang w:val="es-ES"/>
        </w:rPr>
        <w:t>to</w:t>
      </w:r>
      <w:proofErr w:type="spellEnd"/>
      <w:r>
        <w:rPr>
          <w:rFonts w:eastAsia="Palatino Linotype"/>
          <w:b/>
          <w:spacing w:val="-1"/>
          <w:sz w:val="22"/>
          <w:szCs w:val="22"/>
          <w:lang w:val="es-ES"/>
        </w:rPr>
        <w:t xml:space="preserve"> </w:t>
      </w:r>
      <w:proofErr w:type="spellStart"/>
      <w:r>
        <w:rPr>
          <w:rFonts w:eastAsia="Palatino Linotype"/>
          <w:b/>
          <w:spacing w:val="-1"/>
          <w:sz w:val="22"/>
          <w:szCs w:val="22"/>
          <w:lang w:val="es-ES"/>
        </w:rPr>
        <w:t>submit</w:t>
      </w:r>
      <w:proofErr w:type="spellEnd"/>
      <w:r>
        <w:rPr>
          <w:rFonts w:eastAsia="Palatino Linotype"/>
          <w:b/>
          <w:spacing w:val="-1"/>
          <w:sz w:val="22"/>
          <w:szCs w:val="22"/>
          <w:lang w:val="es-ES"/>
        </w:rPr>
        <w:t xml:space="preserve"> </w:t>
      </w:r>
      <w:proofErr w:type="spellStart"/>
      <w:r>
        <w:rPr>
          <w:rFonts w:eastAsia="Palatino Linotype"/>
          <w:b/>
          <w:spacing w:val="-1"/>
          <w:sz w:val="22"/>
          <w:szCs w:val="22"/>
          <w:lang w:val="es-ES"/>
        </w:rPr>
        <w:t>the</w:t>
      </w:r>
      <w:proofErr w:type="spellEnd"/>
      <w:r>
        <w:rPr>
          <w:rFonts w:eastAsia="Palatino Linotype"/>
          <w:b/>
          <w:spacing w:val="-1"/>
          <w:sz w:val="22"/>
          <w:szCs w:val="22"/>
          <w:lang w:val="es-ES"/>
        </w:rPr>
        <w:t xml:space="preserve"> </w:t>
      </w:r>
      <w:proofErr w:type="spellStart"/>
      <w:r>
        <w:rPr>
          <w:rFonts w:eastAsia="Palatino Linotype"/>
          <w:b/>
          <w:spacing w:val="-1"/>
          <w:sz w:val="22"/>
          <w:szCs w:val="22"/>
          <w:lang w:val="es-ES"/>
        </w:rPr>
        <w:t>guarantee</w:t>
      </w:r>
      <w:proofErr w:type="spellEnd"/>
      <w:r>
        <w:rPr>
          <w:rFonts w:eastAsia="Palatino Linotype"/>
          <w:b/>
          <w:spacing w:val="-1"/>
          <w:sz w:val="22"/>
          <w:szCs w:val="22"/>
          <w:lang w:val="es-ES"/>
        </w:rPr>
        <w:tab/>
      </w:r>
    </w:p>
    <w:p w14:paraId="1AEA4B31" w14:textId="77777777" w:rsidR="00E255F4" w:rsidRDefault="00E255F4">
      <w:pPr>
        <w:ind w:right="-142"/>
        <w:jc w:val="both"/>
        <w:rPr>
          <w:rFonts w:eastAsia="Palatino Linotype"/>
          <w:b/>
          <w:spacing w:val="-3"/>
          <w:sz w:val="22"/>
          <w:szCs w:val="22"/>
          <w:lang w:val="es-ES"/>
        </w:rPr>
      </w:pPr>
    </w:p>
    <w:p w14:paraId="2953610E" w14:textId="77777777" w:rsidR="00E255F4" w:rsidRDefault="00000000">
      <w:pPr>
        <w:ind w:right="-142"/>
        <w:jc w:val="both"/>
        <w:rPr>
          <w:rFonts w:eastAsia="Palatino Linotype"/>
          <w:sz w:val="22"/>
          <w:szCs w:val="22"/>
          <w:lang w:val="es-ES"/>
        </w:rPr>
      </w:pPr>
      <w:proofErr w:type="spellStart"/>
      <w:r>
        <w:rPr>
          <w:rFonts w:eastAsia="Palatino Linotype"/>
          <w:spacing w:val="-3"/>
          <w:sz w:val="22"/>
          <w:szCs w:val="22"/>
          <w:lang w:val="es-ES"/>
        </w:rPr>
        <w:t>AND</w:t>
      </w:r>
      <w:r>
        <w:rPr>
          <w:rFonts w:eastAsia="Palatino Linotype"/>
          <w:sz w:val="22"/>
          <w:szCs w:val="22"/>
          <w:lang w:val="es-ES"/>
        </w:rPr>
        <w:t>The</w:t>
      </w:r>
      <w:proofErr w:type="spellEnd"/>
      <w:r>
        <w:rPr>
          <w:rFonts w:eastAsia="Palatino Linotype"/>
          <w:sz w:val="22"/>
          <w:szCs w:val="22"/>
          <w:lang w:val="es-ES"/>
        </w:rPr>
        <w:t xml:space="preserve"> Special Tender </w:t>
      </w:r>
      <w:proofErr w:type="spellStart"/>
      <w:r>
        <w:rPr>
          <w:rFonts w:eastAsia="Palatino Linotype"/>
          <w:sz w:val="22"/>
          <w:szCs w:val="22"/>
          <w:lang w:val="es-ES"/>
        </w:rPr>
        <w:t>may</w:t>
      </w:r>
      <w:proofErr w:type="spellEnd"/>
      <w:r>
        <w:rPr>
          <w:rFonts w:eastAsia="Palatino Linotype"/>
          <w:sz w:val="22"/>
          <w:szCs w:val="22"/>
          <w:lang w:val="es-ES"/>
        </w:rPr>
        <w:t xml:space="preserve"> </w:t>
      </w:r>
      <w:proofErr w:type="spellStart"/>
      <w:r>
        <w:rPr>
          <w:rFonts w:eastAsia="Palatino Linotype"/>
          <w:sz w:val="22"/>
          <w:szCs w:val="22"/>
          <w:lang w:val="es-ES"/>
        </w:rPr>
        <w:t>establish</w:t>
      </w:r>
      <w:proofErr w:type="spellEnd"/>
      <w:r>
        <w:rPr>
          <w:rFonts w:eastAsia="Palatino Linotype"/>
          <w:sz w:val="22"/>
          <w:szCs w:val="22"/>
          <w:lang w:val="es-ES"/>
        </w:rPr>
        <w:t xml:space="preserve"> </w:t>
      </w:r>
      <w:proofErr w:type="spellStart"/>
      <w:r>
        <w:rPr>
          <w:rFonts w:eastAsia="Palatino Linotype"/>
          <w:sz w:val="22"/>
          <w:szCs w:val="22"/>
          <w:lang w:val="es-ES"/>
        </w:rPr>
        <w:t>the</w:t>
      </w:r>
      <w:proofErr w:type="spellEnd"/>
      <w:r>
        <w:rPr>
          <w:rFonts w:eastAsia="Palatino Linotype"/>
          <w:sz w:val="22"/>
          <w:szCs w:val="22"/>
          <w:lang w:val="es-ES"/>
        </w:rPr>
        <w:t xml:space="preserve"> </w:t>
      </w:r>
      <w:proofErr w:type="spellStart"/>
      <w:r>
        <w:rPr>
          <w:rFonts w:eastAsia="Palatino Linotype"/>
          <w:sz w:val="22"/>
          <w:szCs w:val="22"/>
          <w:lang w:val="es-ES"/>
        </w:rPr>
        <w:t>right</w:t>
      </w:r>
      <w:proofErr w:type="spellEnd"/>
      <w:r>
        <w:rPr>
          <w:rFonts w:eastAsia="Palatino Linotype"/>
          <w:sz w:val="22"/>
          <w:szCs w:val="22"/>
          <w:lang w:val="es-ES"/>
        </w:rPr>
        <w:t xml:space="preserve"> </w:t>
      </w:r>
      <w:proofErr w:type="spellStart"/>
      <w:r>
        <w:rPr>
          <w:rFonts w:eastAsia="Palatino Linotype"/>
          <w:sz w:val="22"/>
          <w:szCs w:val="22"/>
          <w:lang w:val="es-ES"/>
        </w:rPr>
        <w:t>of</w:t>
      </w:r>
      <w:proofErr w:type="spellEnd"/>
      <w:r>
        <w:rPr>
          <w:rFonts w:eastAsia="Palatino Linotype"/>
          <w:sz w:val="22"/>
          <w:szCs w:val="22"/>
          <w:lang w:val="es-ES"/>
        </w:rPr>
        <w:t xml:space="preserve"> </w:t>
      </w:r>
      <w:proofErr w:type="spellStart"/>
      <w:r>
        <w:rPr>
          <w:rFonts w:eastAsia="Palatino Linotype"/>
          <w:sz w:val="22"/>
          <w:szCs w:val="22"/>
          <w:lang w:val="es-ES"/>
        </w:rPr>
        <w:t>successful</w:t>
      </w:r>
      <w:proofErr w:type="spellEnd"/>
      <w:r>
        <w:rPr>
          <w:rFonts w:eastAsia="Palatino Linotype"/>
          <w:sz w:val="22"/>
          <w:szCs w:val="22"/>
          <w:lang w:val="es-ES"/>
        </w:rPr>
        <w:t xml:space="preserve"> </w:t>
      </w:r>
      <w:proofErr w:type="spellStart"/>
      <w:r>
        <w:rPr>
          <w:rFonts w:eastAsia="Palatino Linotype"/>
          <w:sz w:val="22"/>
          <w:szCs w:val="22"/>
          <w:lang w:val="es-ES"/>
        </w:rPr>
        <w:t>bidders</w:t>
      </w:r>
      <w:proofErr w:type="spellEnd"/>
      <w:r>
        <w:rPr>
          <w:rFonts w:eastAsia="Palatino Linotype"/>
          <w:sz w:val="22"/>
          <w:szCs w:val="22"/>
          <w:lang w:val="es-ES"/>
        </w:rPr>
        <w:t xml:space="preserve"> </w:t>
      </w:r>
      <w:proofErr w:type="spellStart"/>
      <w:r>
        <w:rPr>
          <w:rFonts w:eastAsia="Palatino Linotype"/>
          <w:sz w:val="22"/>
          <w:szCs w:val="22"/>
          <w:lang w:val="es-ES"/>
        </w:rPr>
        <w:t>to</w:t>
      </w:r>
      <w:proofErr w:type="spellEnd"/>
      <w:r>
        <w:rPr>
          <w:rFonts w:eastAsia="Palatino Linotype"/>
          <w:sz w:val="22"/>
          <w:szCs w:val="22"/>
          <w:lang w:val="es-ES"/>
        </w:rPr>
        <w:t xml:space="preserve"> </w:t>
      </w:r>
      <w:proofErr w:type="spellStart"/>
      <w:r>
        <w:rPr>
          <w:rFonts w:eastAsia="Palatino Linotype"/>
          <w:sz w:val="22"/>
          <w:szCs w:val="22"/>
          <w:lang w:val="es-ES"/>
        </w:rPr>
        <w:t>choose</w:t>
      </w:r>
      <w:proofErr w:type="spellEnd"/>
      <w:r>
        <w:rPr>
          <w:rFonts w:eastAsia="Palatino Linotype"/>
          <w:sz w:val="22"/>
          <w:szCs w:val="22"/>
          <w:lang w:val="es-ES"/>
        </w:rPr>
        <w:t xml:space="preserve"> </w:t>
      </w:r>
      <w:proofErr w:type="spellStart"/>
      <w:r>
        <w:rPr>
          <w:rFonts w:eastAsia="Palatino Linotype"/>
          <w:sz w:val="22"/>
          <w:szCs w:val="22"/>
          <w:lang w:val="es-ES"/>
        </w:rPr>
        <w:t>not</w:t>
      </w:r>
      <w:proofErr w:type="spellEnd"/>
      <w:r>
        <w:rPr>
          <w:rFonts w:eastAsia="Palatino Linotype"/>
          <w:sz w:val="22"/>
          <w:szCs w:val="22"/>
          <w:lang w:val="es-ES"/>
        </w:rPr>
        <w:t xml:space="preserve"> </w:t>
      </w:r>
      <w:proofErr w:type="spellStart"/>
      <w:r>
        <w:rPr>
          <w:rFonts w:eastAsia="Palatino Linotype"/>
          <w:sz w:val="22"/>
          <w:szCs w:val="22"/>
          <w:lang w:val="es-ES"/>
        </w:rPr>
        <w:t>to</w:t>
      </w:r>
      <w:proofErr w:type="spellEnd"/>
      <w:r>
        <w:rPr>
          <w:rFonts w:eastAsia="Palatino Linotype"/>
          <w:sz w:val="22"/>
          <w:szCs w:val="22"/>
          <w:lang w:val="es-ES"/>
        </w:rPr>
        <w:t xml:space="preserve"> </w:t>
      </w:r>
      <w:proofErr w:type="spellStart"/>
      <w:r>
        <w:rPr>
          <w:rFonts w:eastAsia="Palatino Linotype"/>
          <w:sz w:val="22"/>
          <w:szCs w:val="22"/>
          <w:lang w:val="es-ES"/>
        </w:rPr>
        <w:t>submit</w:t>
      </w:r>
      <w:proofErr w:type="spellEnd"/>
      <w:r>
        <w:rPr>
          <w:rFonts w:eastAsia="Palatino Linotype"/>
          <w:sz w:val="22"/>
          <w:szCs w:val="22"/>
          <w:lang w:val="es-ES"/>
        </w:rPr>
        <w:t xml:space="preserve"> a </w:t>
      </w:r>
      <w:proofErr w:type="spellStart"/>
      <w:r>
        <w:rPr>
          <w:rFonts w:eastAsia="Palatino Linotype"/>
          <w:sz w:val="22"/>
          <w:szCs w:val="22"/>
          <w:lang w:val="es-ES"/>
        </w:rPr>
        <w:t>guarantee</w:t>
      </w:r>
      <w:proofErr w:type="spellEnd"/>
      <w:r>
        <w:rPr>
          <w:rFonts w:eastAsia="Palatino Linotype"/>
          <w:sz w:val="22"/>
          <w:szCs w:val="22"/>
          <w:lang w:val="es-ES"/>
        </w:rPr>
        <w:t xml:space="preserve">. </w:t>
      </w:r>
      <w:proofErr w:type="spellStart"/>
      <w:r>
        <w:rPr>
          <w:rFonts w:eastAsia="Palatino Linotype"/>
          <w:sz w:val="22"/>
          <w:szCs w:val="22"/>
          <w:lang w:val="es-ES"/>
        </w:rPr>
        <w:t>If</w:t>
      </w:r>
      <w:proofErr w:type="spellEnd"/>
      <w:r>
        <w:rPr>
          <w:rFonts w:eastAsia="Palatino Linotype"/>
          <w:sz w:val="22"/>
          <w:szCs w:val="22"/>
          <w:lang w:val="es-ES"/>
        </w:rPr>
        <w:t xml:space="preserve"> </w:t>
      </w:r>
      <w:proofErr w:type="spellStart"/>
      <w:r>
        <w:rPr>
          <w:rFonts w:eastAsia="Palatino Linotype"/>
          <w:sz w:val="22"/>
          <w:szCs w:val="22"/>
          <w:lang w:val="es-ES"/>
        </w:rPr>
        <w:t>this</w:t>
      </w:r>
      <w:proofErr w:type="spellEnd"/>
      <w:r>
        <w:rPr>
          <w:rFonts w:eastAsia="Palatino Linotype"/>
          <w:sz w:val="22"/>
          <w:szCs w:val="22"/>
          <w:lang w:val="es-ES"/>
        </w:rPr>
        <w:t xml:space="preserve"> </w:t>
      </w:r>
      <w:proofErr w:type="spellStart"/>
      <w:r>
        <w:rPr>
          <w:rFonts w:eastAsia="Palatino Linotype"/>
          <w:sz w:val="22"/>
          <w:szCs w:val="22"/>
          <w:lang w:val="es-ES"/>
        </w:rPr>
        <w:t>right</w:t>
      </w:r>
      <w:proofErr w:type="spellEnd"/>
      <w:r>
        <w:rPr>
          <w:rFonts w:eastAsia="Palatino Linotype"/>
          <w:sz w:val="22"/>
          <w:szCs w:val="22"/>
          <w:lang w:val="es-ES"/>
        </w:rPr>
        <w:t xml:space="preserve"> </w:t>
      </w:r>
      <w:proofErr w:type="spellStart"/>
      <w:r>
        <w:rPr>
          <w:rFonts w:eastAsia="Palatino Linotype"/>
          <w:sz w:val="22"/>
          <w:szCs w:val="22"/>
          <w:lang w:val="es-ES"/>
        </w:rPr>
        <w:t>is</w:t>
      </w:r>
      <w:proofErr w:type="spellEnd"/>
      <w:r>
        <w:rPr>
          <w:rFonts w:eastAsia="Palatino Linotype"/>
          <w:sz w:val="22"/>
          <w:szCs w:val="22"/>
          <w:lang w:val="es-ES"/>
        </w:rPr>
        <w:t xml:space="preserve"> </w:t>
      </w:r>
      <w:proofErr w:type="spellStart"/>
      <w:r>
        <w:rPr>
          <w:rFonts w:eastAsia="Palatino Linotype"/>
          <w:sz w:val="22"/>
          <w:szCs w:val="22"/>
          <w:lang w:val="es-ES"/>
        </w:rPr>
        <w:t>exercised</w:t>
      </w:r>
      <w:proofErr w:type="spellEnd"/>
      <w:r>
        <w:rPr>
          <w:rFonts w:eastAsia="Palatino Linotype"/>
          <w:sz w:val="22"/>
          <w:szCs w:val="22"/>
          <w:lang w:val="es-ES"/>
        </w:rPr>
        <w:t xml:space="preserve">, </w:t>
      </w:r>
      <w:proofErr w:type="spellStart"/>
      <w:r>
        <w:rPr>
          <w:rFonts w:eastAsia="Palatino Linotype"/>
          <w:sz w:val="22"/>
          <w:szCs w:val="22"/>
          <w:lang w:val="es-ES"/>
        </w:rPr>
        <w:t>the</w:t>
      </w:r>
      <w:proofErr w:type="spellEnd"/>
      <w:r>
        <w:rPr>
          <w:rFonts w:eastAsia="Palatino Linotype"/>
          <w:sz w:val="22"/>
          <w:szCs w:val="22"/>
          <w:lang w:val="es-ES"/>
        </w:rPr>
        <w:t xml:space="preserve"> </w:t>
      </w:r>
      <w:proofErr w:type="spellStart"/>
      <w:r>
        <w:rPr>
          <w:rFonts w:eastAsia="Palatino Linotype"/>
          <w:sz w:val="22"/>
          <w:szCs w:val="22"/>
          <w:lang w:val="es-ES"/>
        </w:rPr>
        <w:t>breach</w:t>
      </w:r>
      <w:proofErr w:type="spellEnd"/>
      <w:r>
        <w:rPr>
          <w:rFonts w:eastAsia="Palatino Linotype"/>
          <w:sz w:val="22"/>
          <w:szCs w:val="22"/>
          <w:lang w:val="es-ES"/>
        </w:rPr>
        <w:t xml:space="preserve"> </w:t>
      </w:r>
      <w:proofErr w:type="spellStart"/>
      <w:r>
        <w:rPr>
          <w:rFonts w:eastAsia="Palatino Linotype"/>
          <w:sz w:val="22"/>
          <w:szCs w:val="22"/>
          <w:lang w:val="es-ES"/>
        </w:rPr>
        <w:t>of</w:t>
      </w:r>
      <w:proofErr w:type="spellEnd"/>
      <w:r>
        <w:rPr>
          <w:rFonts w:eastAsia="Palatino Linotype"/>
          <w:sz w:val="22"/>
          <w:szCs w:val="22"/>
          <w:lang w:val="es-ES"/>
        </w:rPr>
        <w:t xml:space="preserve"> </w:t>
      </w:r>
      <w:proofErr w:type="spellStart"/>
      <w:r>
        <w:rPr>
          <w:rFonts w:eastAsia="Palatino Linotype"/>
          <w:sz w:val="22"/>
          <w:szCs w:val="22"/>
          <w:lang w:val="es-ES"/>
        </w:rPr>
        <w:t>contract</w:t>
      </w:r>
      <w:proofErr w:type="spellEnd"/>
      <w:r>
        <w:rPr>
          <w:rFonts w:eastAsia="Palatino Linotype"/>
          <w:sz w:val="22"/>
          <w:szCs w:val="22"/>
          <w:lang w:val="es-ES"/>
        </w:rPr>
        <w:t xml:space="preserve"> </w:t>
      </w:r>
      <w:proofErr w:type="spellStart"/>
      <w:r>
        <w:rPr>
          <w:rFonts w:eastAsia="Palatino Linotype"/>
          <w:sz w:val="22"/>
          <w:szCs w:val="22"/>
          <w:lang w:val="es-ES"/>
        </w:rPr>
        <w:t>will</w:t>
      </w:r>
      <w:proofErr w:type="spellEnd"/>
      <w:r>
        <w:rPr>
          <w:rFonts w:eastAsia="Palatino Linotype"/>
          <w:sz w:val="22"/>
          <w:szCs w:val="22"/>
          <w:lang w:val="es-ES"/>
        </w:rPr>
        <w:t xml:space="preserve"> be </w:t>
      </w:r>
      <w:proofErr w:type="spellStart"/>
      <w:r>
        <w:rPr>
          <w:rFonts w:eastAsia="Palatino Linotype"/>
          <w:sz w:val="22"/>
          <w:szCs w:val="22"/>
          <w:lang w:val="es-ES"/>
        </w:rPr>
        <w:t>penalized</w:t>
      </w:r>
      <w:proofErr w:type="spellEnd"/>
      <w:r>
        <w:rPr>
          <w:rFonts w:eastAsia="Palatino Linotype"/>
          <w:sz w:val="22"/>
          <w:szCs w:val="22"/>
          <w:lang w:val="es-ES"/>
        </w:rPr>
        <w:t xml:space="preserve"> </w:t>
      </w:r>
      <w:proofErr w:type="spellStart"/>
      <w:r>
        <w:rPr>
          <w:rFonts w:eastAsia="Palatino Linotype"/>
          <w:sz w:val="22"/>
          <w:szCs w:val="22"/>
          <w:lang w:val="es-ES"/>
        </w:rPr>
        <w:t>with</w:t>
      </w:r>
      <w:proofErr w:type="spellEnd"/>
      <w:r>
        <w:rPr>
          <w:rFonts w:eastAsia="Palatino Linotype"/>
          <w:sz w:val="22"/>
          <w:szCs w:val="22"/>
          <w:lang w:val="es-ES"/>
        </w:rPr>
        <w:t xml:space="preserve"> a fine </w:t>
      </w:r>
      <w:proofErr w:type="spellStart"/>
      <w:r>
        <w:rPr>
          <w:rFonts w:eastAsia="Palatino Linotype"/>
          <w:sz w:val="22"/>
          <w:szCs w:val="22"/>
          <w:lang w:val="es-ES"/>
        </w:rPr>
        <w:t>equivalent</w:t>
      </w:r>
      <w:proofErr w:type="spellEnd"/>
      <w:r>
        <w:rPr>
          <w:rFonts w:eastAsia="Palatino Linotype"/>
          <w:sz w:val="22"/>
          <w:szCs w:val="22"/>
          <w:lang w:val="es-ES"/>
        </w:rPr>
        <w:t xml:space="preserve"> </w:t>
      </w:r>
      <w:proofErr w:type="spellStart"/>
      <w:r>
        <w:rPr>
          <w:rFonts w:eastAsia="Palatino Linotype"/>
          <w:sz w:val="22"/>
          <w:szCs w:val="22"/>
          <w:lang w:val="es-ES"/>
        </w:rPr>
        <w:t>to</w:t>
      </w:r>
      <w:proofErr w:type="spellEnd"/>
      <w:r>
        <w:rPr>
          <w:rFonts w:eastAsia="Palatino Linotype"/>
          <w:sz w:val="22"/>
          <w:szCs w:val="22"/>
          <w:lang w:val="es-ES"/>
        </w:rPr>
        <w:t xml:space="preserve"> 10% (ten </w:t>
      </w:r>
      <w:proofErr w:type="spellStart"/>
      <w:r>
        <w:rPr>
          <w:rFonts w:eastAsia="Palatino Linotype"/>
          <w:sz w:val="22"/>
          <w:szCs w:val="22"/>
          <w:lang w:val="es-ES"/>
        </w:rPr>
        <w:t>percent</w:t>
      </w:r>
      <w:proofErr w:type="spellEnd"/>
      <w:r>
        <w:rPr>
          <w:rFonts w:eastAsia="Palatino Linotype"/>
          <w:sz w:val="22"/>
          <w:szCs w:val="22"/>
          <w:lang w:val="es-ES"/>
        </w:rPr>
        <w:t xml:space="preserve">) </w:t>
      </w:r>
      <w:proofErr w:type="spellStart"/>
      <w:r>
        <w:rPr>
          <w:rFonts w:eastAsia="Palatino Linotype"/>
          <w:sz w:val="22"/>
          <w:szCs w:val="22"/>
          <w:lang w:val="es-ES"/>
        </w:rPr>
        <w:t>of</w:t>
      </w:r>
      <w:proofErr w:type="spellEnd"/>
      <w:r>
        <w:rPr>
          <w:rFonts w:eastAsia="Palatino Linotype"/>
          <w:sz w:val="22"/>
          <w:szCs w:val="22"/>
          <w:lang w:val="es-ES"/>
        </w:rPr>
        <w:t xml:space="preserve"> </w:t>
      </w:r>
      <w:proofErr w:type="spellStart"/>
      <w:r>
        <w:rPr>
          <w:rFonts w:eastAsia="Palatino Linotype"/>
          <w:sz w:val="22"/>
          <w:szCs w:val="22"/>
          <w:lang w:val="es-ES"/>
        </w:rPr>
        <w:t>the</w:t>
      </w:r>
      <w:proofErr w:type="spellEnd"/>
      <w:r>
        <w:rPr>
          <w:rFonts w:eastAsia="Palatino Linotype"/>
          <w:sz w:val="22"/>
          <w:szCs w:val="22"/>
          <w:lang w:val="es-ES"/>
        </w:rPr>
        <w:t xml:space="preserve"> </w:t>
      </w:r>
      <w:proofErr w:type="spellStart"/>
      <w:r>
        <w:rPr>
          <w:rFonts w:eastAsia="Palatino Linotype"/>
          <w:sz w:val="22"/>
          <w:szCs w:val="22"/>
          <w:lang w:val="es-ES"/>
        </w:rPr>
        <w:t>award</w:t>
      </w:r>
      <w:proofErr w:type="spellEnd"/>
      <w:r>
        <w:rPr>
          <w:rFonts w:eastAsia="Palatino Linotype"/>
          <w:sz w:val="22"/>
          <w:szCs w:val="22"/>
          <w:lang w:val="es-ES"/>
        </w:rPr>
        <w:t xml:space="preserve"> </w:t>
      </w:r>
      <w:proofErr w:type="spellStart"/>
      <w:r>
        <w:rPr>
          <w:rFonts w:eastAsia="Palatino Linotype"/>
          <w:sz w:val="22"/>
          <w:szCs w:val="22"/>
          <w:lang w:val="es-ES"/>
        </w:rPr>
        <w:t>amount</w:t>
      </w:r>
      <w:proofErr w:type="spellEnd"/>
      <w:r>
        <w:rPr>
          <w:rFonts w:eastAsia="Palatino Linotype"/>
          <w:sz w:val="22"/>
          <w:szCs w:val="22"/>
          <w:lang w:val="es-ES"/>
        </w:rPr>
        <w:t>.</w:t>
      </w:r>
    </w:p>
    <w:p w14:paraId="7EBF3025" w14:textId="77777777" w:rsidR="00E255F4" w:rsidRDefault="00E255F4">
      <w:pPr>
        <w:rPr>
          <w:rFonts w:eastAsia="Palatino Linotype"/>
          <w:sz w:val="22"/>
          <w:szCs w:val="22"/>
          <w:lang w:val="es-ES"/>
        </w:rPr>
      </w:pPr>
    </w:p>
    <w:p w14:paraId="07A70863" w14:textId="77777777" w:rsidR="00E255F4" w:rsidRDefault="00000000">
      <w:pPr>
        <w:ind w:right="-142"/>
        <w:jc w:val="both"/>
        <w:outlineLvl w:val="0"/>
        <w:rPr>
          <w:rFonts w:eastAsia="Palatino Linotype"/>
          <w:b/>
          <w:spacing w:val="-1"/>
          <w:sz w:val="22"/>
          <w:szCs w:val="22"/>
          <w:lang w:val="es-ES"/>
        </w:rPr>
      </w:pPr>
      <w:bookmarkStart w:id="55" w:name="__RefHeading___Toc225377232"/>
      <w:bookmarkEnd w:id="55"/>
      <w:r>
        <w:rPr>
          <w:rFonts w:eastAsia="Palatino Linotype"/>
          <w:b/>
          <w:spacing w:val="-1"/>
          <w:sz w:val="22"/>
          <w:szCs w:val="22"/>
          <w:lang w:val="es-ES"/>
        </w:rPr>
        <w:t xml:space="preserve">19.3 </w:t>
      </w:r>
      <w:proofErr w:type="spellStart"/>
      <w:r>
        <w:rPr>
          <w:rFonts w:eastAsia="Palatino Linotype"/>
          <w:b/>
          <w:spacing w:val="-1"/>
          <w:sz w:val="22"/>
          <w:szCs w:val="22"/>
          <w:lang w:val="es-ES"/>
        </w:rPr>
        <w:t>Failure</w:t>
      </w:r>
      <w:proofErr w:type="spellEnd"/>
      <w:r>
        <w:rPr>
          <w:rFonts w:eastAsia="Palatino Linotype"/>
          <w:b/>
          <w:spacing w:val="-1"/>
          <w:sz w:val="22"/>
          <w:szCs w:val="22"/>
          <w:lang w:val="es-ES"/>
        </w:rPr>
        <w:t xml:space="preserve"> </w:t>
      </w:r>
      <w:proofErr w:type="spellStart"/>
      <w:r>
        <w:rPr>
          <w:rFonts w:eastAsia="Palatino Linotype"/>
          <w:b/>
          <w:spacing w:val="-1"/>
          <w:sz w:val="22"/>
          <w:szCs w:val="22"/>
          <w:lang w:val="es-ES"/>
        </w:rPr>
        <w:t>to</w:t>
      </w:r>
      <w:proofErr w:type="spellEnd"/>
      <w:r>
        <w:rPr>
          <w:rFonts w:eastAsia="Palatino Linotype"/>
          <w:b/>
          <w:spacing w:val="-1"/>
          <w:sz w:val="22"/>
          <w:szCs w:val="22"/>
          <w:lang w:val="es-ES"/>
        </w:rPr>
        <w:t xml:space="preserve"> </w:t>
      </w:r>
      <w:proofErr w:type="spellStart"/>
      <w:r>
        <w:rPr>
          <w:rFonts w:eastAsia="Palatino Linotype"/>
          <w:b/>
          <w:spacing w:val="-1"/>
          <w:sz w:val="22"/>
          <w:szCs w:val="22"/>
          <w:lang w:val="es-ES"/>
        </w:rPr>
        <w:t>establish</w:t>
      </w:r>
      <w:proofErr w:type="spellEnd"/>
      <w:r>
        <w:rPr>
          <w:rFonts w:eastAsia="Palatino Linotype"/>
          <w:b/>
          <w:spacing w:val="-1"/>
          <w:sz w:val="22"/>
          <w:szCs w:val="22"/>
          <w:lang w:val="es-ES"/>
        </w:rPr>
        <w:t xml:space="preserve"> </w:t>
      </w:r>
      <w:proofErr w:type="spellStart"/>
      <w:r>
        <w:rPr>
          <w:rFonts w:eastAsia="Palatino Linotype"/>
          <w:b/>
          <w:spacing w:val="-1"/>
          <w:sz w:val="22"/>
          <w:szCs w:val="22"/>
          <w:lang w:val="es-ES"/>
        </w:rPr>
        <w:t>the</w:t>
      </w:r>
      <w:proofErr w:type="spellEnd"/>
      <w:r>
        <w:rPr>
          <w:rFonts w:eastAsia="Palatino Linotype"/>
          <w:b/>
          <w:spacing w:val="-1"/>
          <w:sz w:val="22"/>
          <w:szCs w:val="22"/>
          <w:lang w:val="es-ES"/>
        </w:rPr>
        <w:t xml:space="preserve"> </w:t>
      </w:r>
      <w:proofErr w:type="spellStart"/>
      <w:r>
        <w:rPr>
          <w:rFonts w:eastAsia="Palatino Linotype"/>
          <w:b/>
          <w:spacing w:val="-1"/>
          <w:sz w:val="22"/>
          <w:szCs w:val="22"/>
          <w:lang w:val="es-ES"/>
        </w:rPr>
        <w:t>guarantee</w:t>
      </w:r>
      <w:proofErr w:type="spellEnd"/>
      <w:r>
        <w:rPr>
          <w:rFonts w:eastAsia="Palatino Linotype"/>
          <w:b/>
          <w:spacing w:val="-1"/>
          <w:sz w:val="22"/>
          <w:szCs w:val="22"/>
          <w:lang w:val="es-ES"/>
        </w:rPr>
        <w:tab/>
      </w:r>
    </w:p>
    <w:p w14:paraId="2DF964B4" w14:textId="77777777" w:rsidR="00E255F4" w:rsidRDefault="00E255F4">
      <w:pPr>
        <w:ind w:right="-142"/>
        <w:jc w:val="both"/>
        <w:rPr>
          <w:rFonts w:eastAsia="Palatino Linotype"/>
          <w:b/>
          <w:spacing w:val="-1"/>
          <w:sz w:val="22"/>
          <w:szCs w:val="22"/>
          <w:lang w:val="es-ES"/>
        </w:rPr>
      </w:pPr>
    </w:p>
    <w:p w14:paraId="539923B5" w14:textId="77777777" w:rsidR="00E255F4" w:rsidRDefault="00000000">
      <w:pPr>
        <w:ind w:right="-142"/>
        <w:jc w:val="both"/>
      </w:pPr>
      <w:proofErr w:type="spellStart"/>
      <w:r>
        <w:rPr>
          <w:rFonts w:eastAsia="Palatino Linotype"/>
          <w:spacing w:val="-1"/>
          <w:sz w:val="22"/>
          <w:szCs w:val="22"/>
          <w:lang w:val="es-ES"/>
        </w:rPr>
        <w:t>L</w:t>
      </w:r>
      <w:r>
        <w:rPr>
          <w:rFonts w:eastAsia="Palatino Linotype"/>
          <w:sz w:val="22"/>
          <w:szCs w:val="22"/>
          <w:lang w:val="es-ES"/>
        </w:rPr>
        <w:t>Failure</w:t>
      </w:r>
      <w:proofErr w:type="spellEnd"/>
      <w:r>
        <w:rPr>
          <w:rFonts w:eastAsia="Palatino Linotype"/>
          <w:sz w:val="22"/>
          <w:szCs w:val="22"/>
          <w:lang w:val="es-ES"/>
        </w:rPr>
        <w:t xml:space="preserve"> </w:t>
      </w:r>
      <w:proofErr w:type="spellStart"/>
      <w:r>
        <w:rPr>
          <w:rFonts w:eastAsia="Palatino Linotype"/>
          <w:sz w:val="22"/>
          <w:szCs w:val="22"/>
          <w:lang w:val="es-ES"/>
        </w:rPr>
        <w:t>to</w:t>
      </w:r>
      <w:proofErr w:type="spellEnd"/>
      <w:r>
        <w:rPr>
          <w:rFonts w:eastAsia="Palatino Linotype"/>
          <w:sz w:val="22"/>
          <w:szCs w:val="22"/>
          <w:lang w:val="es-ES"/>
        </w:rPr>
        <w:t xml:space="preserve"> </w:t>
      </w:r>
      <w:proofErr w:type="spellStart"/>
      <w:r>
        <w:rPr>
          <w:rFonts w:eastAsia="Palatino Linotype"/>
          <w:sz w:val="22"/>
          <w:szCs w:val="22"/>
          <w:lang w:val="es-ES"/>
        </w:rPr>
        <w:t>establish</w:t>
      </w:r>
      <w:proofErr w:type="spellEnd"/>
      <w:r>
        <w:rPr>
          <w:rFonts w:eastAsia="Palatino Linotype"/>
          <w:sz w:val="22"/>
          <w:szCs w:val="22"/>
          <w:lang w:val="es-ES"/>
        </w:rPr>
        <w:t xml:space="preserve"> </w:t>
      </w:r>
      <w:proofErr w:type="spellStart"/>
      <w:r>
        <w:rPr>
          <w:rFonts w:eastAsia="Palatino Linotype"/>
          <w:sz w:val="22"/>
          <w:szCs w:val="22"/>
          <w:lang w:val="es-ES"/>
        </w:rPr>
        <w:t>the</w:t>
      </w:r>
      <w:proofErr w:type="spellEnd"/>
      <w:r>
        <w:rPr>
          <w:rFonts w:eastAsia="Palatino Linotype"/>
          <w:sz w:val="22"/>
          <w:szCs w:val="22"/>
          <w:lang w:val="es-ES"/>
        </w:rPr>
        <w:t xml:space="preserve"> </w:t>
      </w:r>
      <w:proofErr w:type="spellStart"/>
      <w:r>
        <w:rPr>
          <w:rFonts w:eastAsia="Palatino Linotype"/>
          <w:sz w:val="22"/>
          <w:szCs w:val="22"/>
          <w:lang w:val="es-ES"/>
        </w:rPr>
        <w:t>guarantee</w:t>
      </w:r>
      <w:proofErr w:type="spellEnd"/>
      <w:r>
        <w:rPr>
          <w:rFonts w:eastAsia="Palatino Linotype"/>
          <w:sz w:val="22"/>
          <w:szCs w:val="22"/>
          <w:lang w:val="es-ES"/>
        </w:rPr>
        <w:t xml:space="preserve"> </w:t>
      </w:r>
      <w:proofErr w:type="spellStart"/>
      <w:r>
        <w:rPr>
          <w:rFonts w:eastAsia="Palatino Linotype"/>
          <w:sz w:val="22"/>
          <w:szCs w:val="22"/>
          <w:lang w:val="es-ES"/>
        </w:rPr>
        <w:t>of</w:t>
      </w:r>
      <w:proofErr w:type="spellEnd"/>
      <w:r>
        <w:rPr>
          <w:rFonts w:eastAsia="Palatino Linotype"/>
          <w:sz w:val="22"/>
          <w:szCs w:val="22"/>
          <w:lang w:val="es-ES"/>
        </w:rPr>
        <w:t xml:space="preserve"> </w:t>
      </w:r>
      <w:proofErr w:type="spellStart"/>
      <w:r>
        <w:rPr>
          <w:rFonts w:eastAsia="Palatino Linotype"/>
          <w:sz w:val="22"/>
          <w:szCs w:val="22"/>
          <w:lang w:val="es-ES"/>
        </w:rPr>
        <w:t>faithful</w:t>
      </w:r>
      <w:proofErr w:type="spellEnd"/>
      <w:r>
        <w:rPr>
          <w:rFonts w:eastAsia="Palatino Linotype"/>
          <w:sz w:val="22"/>
          <w:szCs w:val="22"/>
          <w:lang w:val="es-ES"/>
        </w:rPr>
        <w:t xml:space="preserve"> performance </w:t>
      </w:r>
      <w:proofErr w:type="spellStart"/>
      <w:r>
        <w:rPr>
          <w:rFonts w:eastAsia="Palatino Linotype"/>
          <w:sz w:val="22"/>
          <w:szCs w:val="22"/>
          <w:lang w:val="es-ES"/>
        </w:rPr>
        <w:t>of</w:t>
      </w:r>
      <w:proofErr w:type="spellEnd"/>
      <w:r>
        <w:rPr>
          <w:rFonts w:eastAsia="Palatino Linotype"/>
          <w:sz w:val="22"/>
          <w:szCs w:val="22"/>
          <w:lang w:val="es-ES"/>
        </w:rPr>
        <w:t xml:space="preserve"> </w:t>
      </w:r>
      <w:proofErr w:type="spellStart"/>
      <w:r>
        <w:rPr>
          <w:rFonts w:eastAsia="Palatino Linotype"/>
          <w:sz w:val="22"/>
          <w:szCs w:val="22"/>
          <w:lang w:val="es-ES"/>
        </w:rPr>
        <w:t>the</w:t>
      </w:r>
      <w:proofErr w:type="spellEnd"/>
      <w:r>
        <w:rPr>
          <w:rFonts w:eastAsia="Palatino Linotype"/>
          <w:sz w:val="22"/>
          <w:szCs w:val="22"/>
          <w:lang w:val="es-ES"/>
        </w:rPr>
        <w:t xml:space="preserve"> </w:t>
      </w:r>
      <w:proofErr w:type="spellStart"/>
      <w:r>
        <w:rPr>
          <w:rFonts w:eastAsia="Palatino Linotype"/>
          <w:sz w:val="22"/>
          <w:szCs w:val="22"/>
          <w:lang w:val="es-ES"/>
        </w:rPr>
        <w:t>contract</w:t>
      </w:r>
      <w:proofErr w:type="spellEnd"/>
      <w:r>
        <w:rPr>
          <w:rFonts w:eastAsia="Palatino Linotype"/>
          <w:sz w:val="22"/>
          <w:szCs w:val="22"/>
          <w:lang w:val="es-ES"/>
        </w:rPr>
        <w:t xml:space="preserve"> in a </w:t>
      </w:r>
      <w:proofErr w:type="spellStart"/>
      <w:r>
        <w:rPr>
          <w:rFonts w:eastAsia="Palatino Linotype"/>
          <w:sz w:val="22"/>
          <w:szCs w:val="22"/>
          <w:lang w:val="es-ES"/>
        </w:rPr>
        <w:t>timely</w:t>
      </w:r>
      <w:proofErr w:type="spellEnd"/>
      <w:r>
        <w:rPr>
          <w:rFonts w:eastAsia="Palatino Linotype"/>
          <w:sz w:val="22"/>
          <w:szCs w:val="22"/>
          <w:lang w:val="es-ES"/>
        </w:rPr>
        <w:t xml:space="preserve"> </w:t>
      </w:r>
      <w:proofErr w:type="spellStart"/>
      <w:r>
        <w:rPr>
          <w:rFonts w:eastAsia="Palatino Linotype"/>
          <w:sz w:val="22"/>
          <w:szCs w:val="22"/>
          <w:lang w:val="es-ES"/>
        </w:rPr>
        <w:t>manner</w:t>
      </w:r>
      <w:proofErr w:type="spellEnd"/>
      <w:r>
        <w:rPr>
          <w:rFonts w:eastAsia="Palatino Linotype"/>
          <w:sz w:val="22"/>
          <w:szCs w:val="22"/>
          <w:lang w:val="es-ES"/>
        </w:rPr>
        <w:t xml:space="preserve">, in cases </w:t>
      </w:r>
      <w:proofErr w:type="spellStart"/>
      <w:r>
        <w:rPr>
          <w:rFonts w:eastAsia="Palatino Linotype"/>
          <w:sz w:val="22"/>
          <w:szCs w:val="22"/>
          <w:lang w:val="es-ES"/>
        </w:rPr>
        <w:t>where</w:t>
      </w:r>
      <w:proofErr w:type="spellEnd"/>
      <w:r>
        <w:rPr>
          <w:rFonts w:eastAsia="Palatino Linotype"/>
          <w:sz w:val="22"/>
          <w:szCs w:val="22"/>
          <w:lang w:val="es-ES"/>
        </w:rPr>
        <w:t xml:space="preserve"> </w:t>
      </w:r>
      <w:proofErr w:type="spellStart"/>
      <w:r>
        <w:rPr>
          <w:rFonts w:eastAsia="Palatino Linotype"/>
          <w:sz w:val="22"/>
          <w:szCs w:val="22"/>
          <w:lang w:val="es-ES"/>
        </w:rPr>
        <w:t>it</w:t>
      </w:r>
      <w:proofErr w:type="spellEnd"/>
      <w:r>
        <w:rPr>
          <w:rFonts w:eastAsia="Palatino Linotype"/>
          <w:sz w:val="22"/>
          <w:szCs w:val="22"/>
          <w:lang w:val="es-ES"/>
        </w:rPr>
        <w:t xml:space="preserve"> </w:t>
      </w:r>
      <w:proofErr w:type="spellStart"/>
      <w:r>
        <w:rPr>
          <w:rFonts w:eastAsia="Palatino Linotype"/>
          <w:sz w:val="22"/>
          <w:szCs w:val="22"/>
          <w:lang w:val="es-ES"/>
        </w:rPr>
        <w:t>is</w:t>
      </w:r>
      <w:proofErr w:type="spellEnd"/>
      <w:r>
        <w:rPr>
          <w:rFonts w:eastAsia="Palatino Linotype"/>
          <w:sz w:val="22"/>
          <w:szCs w:val="22"/>
          <w:lang w:val="es-ES"/>
        </w:rPr>
        <w:t xml:space="preserve"> </w:t>
      </w:r>
      <w:proofErr w:type="spellStart"/>
      <w:r>
        <w:rPr>
          <w:rFonts w:eastAsia="Palatino Linotype"/>
          <w:sz w:val="22"/>
          <w:szCs w:val="22"/>
          <w:lang w:val="es-ES"/>
        </w:rPr>
        <w:t>required</w:t>
      </w:r>
      <w:proofErr w:type="spellEnd"/>
      <w:r>
        <w:rPr>
          <w:rFonts w:eastAsia="Palatino Linotype"/>
          <w:sz w:val="22"/>
          <w:szCs w:val="22"/>
          <w:lang w:val="es-ES"/>
        </w:rPr>
        <w:t xml:space="preserve">, </w:t>
      </w:r>
      <w:proofErr w:type="spellStart"/>
      <w:r>
        <w:rPr>
          <w:rFonts w:eastAsia="Palatino Linotype"/>
          <w:sz w:val="22"/>
          <w:szCs w:val="22"/>
          <w:lang w:val="es-ES"/>
        </w:rPr>
        <w:t>will</w:t>
      </w:r>
      <w:proofErr w:type="spellEnd"/>
      <w:r>
        <w:rPr>
          <w:rFonts w:eastAsia="Palatino Linotype"/>
          <w:sz w:val="22"/>
          <w:szCs w:val="22"/>
          <w:lang w:val="es-ES"/>
        </w:rPr>
        <w:t xml:space="preserve"> cause </w:t>
      </w:r>
      <w:proofErr w:type="spellStart"/>
      <w:r>
        <w:rPr>
          <w:rFonts w:eastAsia="Palatino Linotype"/>
          <w:sz w:val="22"/>
          <w:szCs w:val="22"/>
          <w:lang w:val="es-ES"/>
        </w:rPr>
        <w:t>the</w:t>
      </w:r>
      <w:proofErr w:type="spellEnd"/>
      <w:r>
        <w:rPr>
          <w:rFonts w:eastAsia="Palatino Linotype"/>
          <w:sz w:val="22"/>
          <w:szCs w:val="22"/>
          <w:lang w:val="es-ES"/>
        </w:rPr>
        <w:t xml:space="preserve"> </w:t>
      </w:r>
      <w:proofErr w:type="spellStart"/>
      <w:r>
        <w:rPr>
          <w:rFonts w:eastAsia="Palatino Linotype"/>
          <w:sz w:val="22"/>
          <w:szCs w:val="22"/>
          <w:lang w:val="es-ES"/>
        </w:rPr>
        <w:t>rights</w:t>
      </w:r>
      <w:proofErr w:type="spellEnd"/>
      <w:r>
        <w:rPr>
          <w:rFonts w:eastAsia="Palatino Linotype"/>
          <w:sz w:val="22"/>
          <w:szCs w:val="22"/>
          <w:lang w:val="es-ES"/>
        </w:rPr>
        <w:t xml:space="preserve"> </w:t>
      </w:r>
      <w:proofErr w:type="spellStart"/>
      <w:r>
        <w:rPr>
          <w:rFonts w:eastAsia="Palatino Linotype"/>
          <w:sz w:val="22"/>
          <w:szCs w:val="22"/>
          <w:lang w:val="es-ES"/>
        </w:rPr>
        <w:t>of</w:t>
      </w:r>
      <w:proofErr w:type="spellEnd"/>
      <w:r>
        <w:rPr>
          <w:rFonts w:eastAsia="Palatino Linotype"/>
          <w:sz w:val="22"/>
          <w:szCs w:val="22"/>
          <w:lang w:val="es-ES"/>
        </w:rPr>
        <w:t xml:space="preserve"> </w:t>
      </w:r>
      <w:proofErr w:type="spellStart"/>
      <w:r>
        <w:rPr>
          <w:rFonts w:eastAsia="Palatino Linotype"/>
          <w:sz w:val="22"/>
          <w:szCs w:val="22"/>
          <w:lang w:val="es-ES"/>
        </w:rPr>
        <w:t>the</w:t>
      </w:r>
      <w:proofErr w:type="spellEnd"/>
      <w:r>
        <w:rPr>
          <w:rFonts w:eastAsia="Palatino Linotype"/>
          <w:sz w:val="22"/>
          <w:szCs w:val="22"/>
          <w:lang w:val="es-ES"/>
        </w:rPr>
        <w:t xml:space="preserve"> </w:t>
      </w:r>
      <w:proofErr w:type="spellStart"/>
      <w:r>
        <w:rPr>
          <w:rFonts w:eastAsia="Palatino Linotype"/>
          <w:sz w:val="22"/>
          <w:szCs w:val="22"/>
          <w:lang w:val="es-ES"/>
        </w:rPr>
        <w:t>successful</w:t>
      </w:r>
      <w:proofErr w:type="spellEnd"/>
      <w:r>
        <w:rPr>
          <w:rFonts w:eastAsia="Palatino Linotype"/>
          <w:sz w:val="22"/>
          <w:szCs w:val="22"/>
          <w:lang w:val="es-ES"/>
        </w:rPr>
        <w:t xml:space="preserve"> </w:t>
      </w:r>
      <w:proofErr w:type="spellStart"/>
      <w:r>
        <w:rPr>
          <w:rFonts w:eastAsia="Palatino Linotype"/>
          <w:sz w:val="22"/>
          <w:szCs w:val="22"/>
          <w:lang w:val="es-ES"/>
        </w:rPr>
        <w:t>bidder</w:t>
      </w:r>
      <w:proofErr w:type="spellEnd"/>
      <w:r>
        <w:rPr>
          <w:rFonts w:eastAsia="Palatino Linotype"/>
          <w:sz w:val="22"/>
          <w:szCs w:val="22"/>
          <w:lang w:val="es-ES"/>
        </w:rPr>
        <w:t xml:space="preserve"> </w:t>
      </w:r>
      <w:proofErr w:type="spellStart"/>
      <w:r>
        <w:rPr>
          <w:rFonts w:eastAsia="Palatino Linotype"/>
          <w:sz w:val="22"/>
          <w:szCs w:val="22"/>
          <w:lang w:val="es-ES"/>
        </w:rPr>
        <w:t>to</w:t>
      </w:r>
      <w:proofErr w:type="spellEnd"/>
      <w:r>
        <w:rPr>
          <w:rFonts w:eastAsia="Palatino Linotype"/>
          <w:sz w:val="22"/>
          <w:szCs w:val="22"/>
          <w:lang w:val="es-ES"/>
        </w:rPr>
        <w:t xml:space="preserve"> expire, and </w:t>
      </w:r>
      <w:proofErr w:type="spellStart"/>
      <w:r>
        <w:rPr>
          <w:rFonts w:eastAsia="Palatino Linotype"/>
          <w:sz w:val="22"/>
          <w:szCs w:val="22"/>
          <w:lang w:val="es-ES"/>
        </w:rPr>
        <w:t>the</w:t>
      </w:r>
      <w:proofErr w:type="spellEnd"/>
      <w:r>
        <w:rPr>
          <w:rFonts w:eastAsia="Palatino Linotype"/>
          <w:sz w:val="22"/>
          <w:szCs w:val="22"/>
          <w:lang w:val="es-ES"/>
        </w:rPr>
        <w:t xml:space="preserve"> </w:t>
      </w:r>
      <w:proofErr w:type="spellStart"/>
      <w:r>
        <w:rPr>
          <w:rFonts w:eastAsia="Palatino Linotype"/>
          <w:sz w:val="22"/>
          <w:szCs w:val="22"/>
          <w:lang w:val="es-ES"/>
        </w:rPr>
        <w:t>Administration</w:t>
      </w:r>
      <w:proofErr w:type="spellEnd"/>
      <w:r>
        <w:rPr>
          <w:rFonts w:eastAsia="Palatino Linotype"/>
          <w:sz w:val="22"/>
          <w:szCs w:val="22"/>
          <w:lang w:val="es-ES"/>
        </w:rPr>
        <w:t xml:space="preserve"> </w:t>
      </w:r>
      <w:proofErr w:type="spellStart"/>
      <w:r>
        <w:rPr>
          <w:rFonts w:eastAsia="Palatino Linotype"/>
          <w:sz w:val="22"/>
          <w:szCs w:val="22"/>
          <w:lang w:val="es-ES"/>
        </w:rPr>
        <w:t>may</w:t>
      </w:r>
      <w:proofErr w:type="spellEnd"/>
      <w:r>
        <w:rPr>
          <w:rFonts w:eastAsia="Palatino Linotype"/>
          <w:sz w:val="22"/>
          <w:szCs w:val="22"/>
          <w:lang w:val="es-ES"/>
        </w:rPr>
        <w:t xml:space="preserve"> </w:t>
      </w:r>
      <w:proofErr w:type="spellStart"/>
      <w:r>
        <w:rPr>
          <w:rFonts w:eastAsia="Palatino Linotype"/>
          <w:sz w:val="22"/>
          <w:szCs w:val="22"/>
          <w:lang w:val="es-ES"/>
        </w:rPr>
        <w:t>make</w:t>
      </w:r>
      <w:proofErr w:type="spellEnd"/>
      <w:r>
        <w:rPr>
          <w:rFonts w:eastAsia="Palatino Linotype"/>
          <w:sz w:val="22"/>
          <w:szCs w:val="22"/>
          <w:lang w:val="es-ES"/>
        </w:rPr>
        <w:t xml:space="preserve"> use </w:t>
      </w:r>
      <w:proofErr w:type="spellStart"/>
      <w:r>
        <w:rPr>
          <w:rFonts w:eastAsia="Palatino Linotype"/>
          <w:sz w:val="22"/>
          <w:szCs w:val="22"/>
          <w:lang w:val="es-ES"/>
        </w:rPr>
        <w:t>of</w:t>
      </w:r>
      <w:proofErr w:type="spellEnd"/>
      <w:r>
        <w:rPr>
          <w:rFonts w:eastAsia="Palatino Linotype"/>
          <w:sz w:val="22"/>
          <w:szCs w:val="22"/>
          <w:lang w:val="es-ES"/>
        </w:rPr>
        <w:t xml:space="preserve"> </w:t>
      </w:r>
      <w:proofErr w:type="spellStart"/>
      <w:r>
        <w:rPr>
          <w:rFonts w:eastAsia="Palatino Linotype"/>
          <w:sz w:val="22"/>
          <w:szCs w:val="22"/>
          <w:lang w:val="es-ES"/>
        </w:rPr>
        <w:t>the</w:t>
      </w:r>
      <w:proofErr w:type="spellEnd"/>
      <w:r>
        <w:rPr>
          <w:rFonts w:eastAsia="Palatino Linotype"/>
          <w:sz w:val="22"/>
          <w:szCs w:val="22"/>
          <w:lang w:val="es-ES"/>
        </w:rPr>
        <w:t xml:space="preserve"> </w:t>
      </w:r>
      <w:proofErr w:type="spellStart"/>
      <w:r>
        <w:rPr>
          <w:rFonts w:eastAsia="Palatino Linotype"/>
          <w:sz w:val="22"/>
          <w:szCs w:val="22"/>
          <w:lang w:val="es-ES"/>
        </w:rPr>
        <w:t>power</w:t>
      </w:r>
      <w:proofErr w:type="spellEnd"/>
      <w:r>
        <w:rPr>
          <w:rFonts w:eastAsia="Palatino Linotype"/>
          <w:sz w:val="22"/>
          <w:szCs w:val="22"/>
          <w:lang w:val="es-ES"/>
        </w:rPr>
        <w:t xml:space="preserve"> </w:t>
      </w:r>
      <w:proofErr w:type="spellStart"/>
      <w:r>
        <w:rPr>
          <w:rFonts w:eastAsia="Palatino Linotype"/>
          <w:sz w:val="22"/>
          <w:szCs w:val="22"/>
          <w:lang w:val="es-ES"/>
        </w:rPr>
        <w:t>established</w:t>
      </w:r>
      <w:proofErr w:type="spellEnd"/>
      <w:r>
        <w:rPr>
          <w:rFonts w:eastAsia="Palatino Linotype"/>
          <w:sz w:val="22"/>
          <w:szCs w:val="22"/>
          <w:lang w:val="es-ES"/>
        </w:rPr>
        <w:t xml:space="preserve"> in </w:t>
      </w:r>
      <w:proofErr w:type="spellStart"/>
      <w:r>
        <w:rPr>
          <w:rFonts w:eastAsia="Palatino Linotype"/>
          <w:sz w:val="22"/>
          <w:szCs w:val="22"/>
          <w:lang w:val="es-ES"/>
        </w:rPr>
        <w:t>the</w:t>
      </w:r>
      <w:proofErr w:type="spellEnd"/>
      <w:r>
        <w:rPr>
          <w:rFonts w:eastAsia="Palatino Linotype"/>
          <w:sz w:val="22"/>
          <w:szCs w:val="22"/>
          <w:lang w:val="es-ES"/>
        </w:rPr>
        <w:t xml:space="preserve"> final </w:t>
      </w:r>
      <w:proofErr w:type="spellStart"/>
      <w:r>
        <w:rPr>
          <w:rFonts w:eastAsia="Palatino Linotype"/>
          <w:sz w:val="22"/>
          <w:szCs w:val="22"/>
          <w:lang w:val="es-ES"/>
        </w:rPr>
        <w:t>paragraph</w:t>
      </w:r>
      <w:proofErr w:type="spellEnd"/>
      <w:r>
        <w:rPr>
          <w:rFonts w:eastAsia="Palatino Linotype"/>
          <w:sz w:val="22"/>
          <w:szCs w:val="22"/>
          <w:lang w:val="es-ES"/>
        </w:rPr>
        <w:t xml:space="preserve"> </w:t>
      </w:r>
      <w:proofErr w:type="spellStart"/>
      <w:r>
        <w:rPr>
          <w:rFonts w:eastAsia="Palatino Linotype"/>
          <w:sz w:val="22"/>
          <w:szCs w:val="22"/>
          <w:lang w:val="es-ES"/>
        </w:rPr>
        <w:t>of</w:t>
      </w:r>
      <w:proofErr w:type="spellEnd"/>
      <w:r>
        <w:rPr>
          <w:rFonts w:eastAsia="Palatino Linotype"/>
          <w:sz w:val="22"/>
          <w:szCs w:val="22"/>
          <w:lang w:val="es-ES"/>
        </w:rPr>
        <w:t xml:space="preserve"> art. 70 </w:t>
      </w:r>
      <w:proofErr w:type="spellStart"/>
      <w:r>
        <w:rPr>
          <w:rFonts w:eastAsia="Palatino Linotype"/>
          <w:sz w:val="22"/>
          <w:szCs w:val="22"/>
          <w:lang w:val="es-ES"/>
        </w:rPr>
        <w:t>of</w:t>
      </w:r>
      <w:proofErr w:type="spellEnd"/>
      <w:r>
        <w:rPr>
          <w:rFonts w:eastAsia="Palatino Linotype"/>
          <w:sz w:val="22"/>
          <w:szCs w:val="22"/>
          <w:lang w:val="es-ES"/>
        </w:rPr>
        <w:t xml:space="preserve"> </w:t>
      </w:r>
      <w:proofErr w:type="spellStart"/>
      <w:r>
        <w:rPr>
          <w:rFonts w:eastAsia="Palatino Linotype"/>
          <w:sz w:val="22"/>
          <w:szCs w:val="22"/>
          <w:lang w:val="es-ES"/>
        </w:rPr>
        <w:t>the</w:t>
      </w:r>
      <w:proofErr w:type="spellEnd"/>
      <w:r>
        <w:rPr>
          <w:rFonts w:eastAsia="Palatino Linotype"/>
          <w:sz w:val="22"/>
          <w:szCs w:val="22"/>
          <w:lang w:val="es-ES"/>
        </w:rPr>
        <w:t xml:space="preserve"> TOCAF.</w:t>
      </w:r>
    </w:p>
    <w:p w14:paraId="34FBBA2F" w14:textId="77777777" w:rsidR="00E255F4" w:rsidRDefault="00E255F4">
      <w:pPr>
        <w:rPr>
          <w:rFonts w:eastAsia="Palatino Linotype"/>
          <w:sz w:val="22"/>
          <w:szCs w:val="22"/>
          <w:lang w:val="es-ES"/>
        </w:rPr>
      </w:pPr>
    </w:p>
    <w:p w14:paraId="38227856" w14:textId="77777777" w:rsidR="00E255F4" w:rsidRDefault="00000000">
      <w:pPr>
        <w:ind w:right="-142"/>
        <w:jc w:val="both"/>
        <w:outlineLvl w:val="0"/>
        <w:rPr>
          <w:rFonts w:eastAsia="Palatino Linotype"/>
          <w:b/>
          <w:spacing w:val="-1"/>
          <w:sz w:val="22"/>
          <w:szCs w:val="22"/>
          <w:lang w:val="es-ES"/>
        </w:rPr>
      </w:pPr>
      <w:bookmarkStart w:id="56" w:name="__RefHeading___Toc225377233"/>
      <w:bookmarkEnd w:id="56"/>
      <w:r>
        <w:rPr>
          <w:rFonts w:eastAsia="Palatino Linotype"/>
          <w:b/>
          <w:spacing w:val="-1"/>
          <w:sz w:val="22"/>
          <w:szCs w:val="22"/>
          <w:lang w:val="es-ES"/>
        </w:rPr>
        <w:t xml:space="preserve">19.4 </w:t>
      </w:r>
      <w:proofErr w:type="spellStart"/>
      <w:r>
        <w:rPr>
          <w:rFonts w:eastAsia="Palatino Linotype"/>
          <w:b/>
          <w:spacing w:val="-1"/>
          <w:sz w:val="22"/>
          <w:szCs w:val="22"/>
          <w:lang w:val="es-ES"/>
        </w:rPr>
        <w:t>Warranty</w:t>
      </w:r>
      <w:proofErr w:type="spellEnd"/>
      <w:r>
        <w:rPr>
          <w:rFonts w:eastAsia="Palatino Linotype"/>
          <w:b/>
          <w:spacing w:val="-1"/>
          <w:sz w:val="22"/>
          <w:szCs w:val="22"/>
          <w:lang w:val="es-ES"/>
        </w:rPr>
        <w:t xml:space="preserve"> </w:t>
      </w:r>
      <w:proofErr w:type="spellStart"/>
      <w:r>
        <w:rPr>
          <w:rFonts w:eastAsia="Palatino Linotype"/>
          <w:b/>
          <w:spacing w:val="-1"/>
          <w:sz w:val="22"/>
          <w:szCs w:val="22"/>
          <w:lang w:val="es-ES"/>
        </w:rPr>
        <w:t>Enforcement</w:t>
      </w:r>
      <w:proofErr w:type="spellEnd"/>
      <w:r>
        <w:rPr>
          <w:rFonts w:eastAsia="Palatino Linotype"/>
          <w:b/>
          <w:spacing w:val="-1"/>
          <w:sz w:val="22"/>
          <w:szCs w:val="22"/>
          <w:lang w:val="es-ES"/>
        </w:rPr>
        <w:tab/>
      </w:r>
    </w:p>
    <w:p w14:paraId="1D6F5E3A" w14:textId="77777777" w:rsidR="00E255F4" w:rsidRDefault="00E255F4">
      <w:pPr>
        <w:ind w:right="-142"/>
        <w:jc w:val="both"/>
        <w:rPr>
          <w:rFonts w:eastAsia="Palatino Linotype"/>
          <w:b/>
          <w:spacing w:val="-1"/>
          <w:sz w:val="22"/>
          <w:szCs w:val="22"/>
          <w:lang w:val="es-ES"/>
        </w:rPr>
      </w:pPr>
    </w:p>
    <w:p w14:paraId="547E8886" w14:textId="77777777" w:rsidR="00E255F4" w:rsidRDefault="00000000">
      <w:pPr>
        <w:ind w:right="-142"/>
        <w:jc w:val="both"/>
        <w:rPr>
          <w:rFonts w:eastAsia="Palatino Linotype"/>
          <w:sz w:val="22"/>
          <w:szCs w:val="22"/>
          <w:lang w:val="es-ES"/>
        </w:rPr>
      </w:pPr>
      <w:proofErr w:type="spellStart"/>
      <w:r>
        <w:rPr>
          <w:rFonts w:eastAsia="Palatino Linotype"/>
          <w:spacing w:val="-1"/>
          <w:sz w:val="22"/>
          <w:szCs w:val="22"/>
          <w:lang w:val="es-ES"/>
        </w:rPr>
        <w:t>L</w:t>
      </w:r>
      <w:r>
        <w:rPr>
          <w:rFonts w:eastAsia="Palatino Linotype"/>
          <w:sz w:val="22"/>
          <w:szCs w:val="22"/>
          <w:lang w:val="es-ES"/>
        </w:rPr>
        <w:t>The</w:t>
      </w:r>
      <w:proofErr w:type="spellEnd"/>
      <w:r>
        <w:rPr>
          <w:rFonts w:eastAsia="Palatino Linotype"/>
          <w:sz w:val="22"/>
          <w:szCs w:val="22"/>
          <w:lang w:val="es-ES"/>
        </w:rPr>
        <w:t xml:space="preserve"> </w:t>
      </w:r>
      <w:proofErr w:type="spellStart"/>
      <w:r>
        <w:rPr>
          <w:rFonts w:eastAsia="Palatino Linotype"/>
          <w:sz w:val="22"/>
          <w:szCs w:val="22"/>
          <w:lang w:val="es-ES"/>
        </w:rPr>
        <w:t>guarantee</w:t>
      </w:r>
      <w:proofErr w:type="spellEnd"/>
      <w:r>
        <w:rPr>
          <w:rFonts w:eastAsia="Palatino Linotype"/>
          <w:sz w:val="22"/>
          <w:szCs w:val="22"/>
          <w:lang w:val="es-ES"/>
        </w:rPr>
        <w:t xml:space="preserve"> </w:t>
      </w:r>
      <w:proofErr w:type="spellStart"/>
      <w:r>
        <w:rPr>
          <w:rFonts w:eastAsia="Palatino Linotype"/>
          <w:sz w:val="22"/>
          <w:szCs w:val="22"/>
          <w:lang w:val="es-ES"/>
        </w:rPr>
        <w:t>of</w:t>
      </w:r>
      <w:proofErr w:type="spellEnd"/>
      <w:r>
        <w:rPr>
          <w:rFonts w:eastAsia="Palatino Linotype"/>
          <w:sz w:val="22"/>
          <w:szCs w:val="22"/>
          <w:lang w:val="es-ES"/>
        </w:rPr>
        <w:t xml:space="preserve"> </w:t>
      </w:r>
      <w:proofErr w:type="spellStart"/>
      <w:r>
        <w:rPr>
          <w:rFonts w:eastAsia="Palatino Linotype"/>
          <w:sz w:val="22"/>
          <w:szCs w:val="22"/>
          <w:lang w:val="es-ES"/>
        </w:rPr>
        <w:t>faithful</w:t>
      </w:r>
      <w:proofErr w:type="spellEnd"/>
      <w:r>
        <w:rPr>
          <w:rFonts w:eastAsia="Palatino Linotype"/>
          <w:sz w:val="22"/>
          <w:szCs w:val="22"/>
          <w:lang w:val="es-ES"/>
        </w:rPr>
        <w:t xml:space="preserve"> performance </w:t>
      </w:r>
      <w:proofErr w:type="spellStart"/>
      <w:r>
        <w:rPr>
          <w:rFonts w:eastAsia="Palatino Linotype"/>
          <w:sz w:val="22"/>
          <w:szCs w:val="22"/>
          <w:lang w:val="es-ES"/>
        </w:rPr>
        <w:t>of</w:t>
      </w:r>
      <w:proofErr w:type="spellEnd"/>
      <w:r>
        <w:rPr>
          <w:rFonts w:eastAsia="Palatino Linotype"/>
          <w:sz w:val="22"/>
          <w:szCs w:val="22"/>
          <w:lang w:val="es-ES"/>
        </w:rPr>
        <w:t xml:space="preserve"> </w:t>
      </w:r>
      <w:proofErr w:type="spellStart"/>
      <w:r>
        <w:rPr>
          <w:rFonts w:eastAsia="Palatino Linotype"/>
          <w:sz w:val="22"/>
          <w:szCs w:val="22"/>
          <w:lang w:val="es-ES"/>
        </w:rPr>
        <w:t>the</w:t>
      </w:r>
      <w:proofErr w:type="spellEnd"/>
      <w:r>
        <w:rPr>
          <w:rFonts w:eastAsia="Palatino Linotype"/>
          <w:sz w:val="22"/>
          <w:szCs w:val="22"/>
          <w:lang w:val="es-ES"/>
        </w:rPr>
        <w:t xml:space="preserve"> </w:t>
      </w:r>
      <w:proofErr w:type="spellStart"/>
      <w:r>
        <w:rPr>
          <w:rFonts w:eastAsia="Palatino Linotype"/>
          <w:sz w:val="22"/>
          <w:szCs w:val="22"/>
          <w:lang w:val="es-ES"/>
        </w:rPr>
        <w:t>contract</w:t>
      </w:r>
      <w:proofErr w:type="spellEnd"/>
      <w:r>
        <w:rPr>
          <w:rFonts w:eastAsia="Palatino Linotype"/>
          <w:sz w:val="22"/>
          <w:szCs w:val="22"/>
          <w:lang w:val="es-ES"/>
        </w:rPr>
        <w:t xml:space="preserve"> </w:t>
      </w:r>
      <w:proofErr w:type="spellStart"/>
      <w:r>
        <w:rPr>
          <w:rFonts w:eastAsia="Palatino Linotype"/>
          <w:sz w:val="22"/>
          <w:szCs w:val="22"/>
          <w:lang w:val="es-ES"/>
        </w:rPr>
        <w:t>may</w:t>
      </w:r>
      <w:proofErr w:type="spellEnd"/>
      <w:r>
        <w:rPr>
          <w:rFonts w:eastAsia="Palatino Linotype"/>
          <w:sz w:val="22"/>
          <w:szCs w:val="22"/>
          <w:lang w:val="es-ES"/>
        </w:rPr>
        <w:t xml:space="preserve"> be </w:t>
      </w:r>
      <w:proofErr w:type="spellStart"/>
      <w:r>
        <w:rPr>
          <w:rFonts w:eastAsia="Palatino Linotype"/>
          <w:sz w:val="22"/>
          <w:szCs w:val="22"/>
          <w:lang w:val="es-ES"/>
        </w:rPr>
        <w:t>executed</w:t>
      </w:r>
      <w:proofErr w:type="spellEnd"/>
      <w:r>
        <w:rPr>
          <w:rFonts w:eastAsia="Palatino Linotype"/>
          <w:sz w:val="22"/>
          <w:szCs w:val="22"/>
          <w:lang w:val="es-ES"/>
        </w:rPr>
        <w:t xml:space="preserve"> in </w:t>
      </w:r>
      <w:proofErr w:type="spellStart"/>
      <w:r>
        <w:rPr>
          <w:rFonts w:eastAsia="Palatino Linotype"/>
          <w:sz w:val="22"/>
          <w:szCs w:val="22"/>
          <w:lang w:val="es-ES"/>
        </w:rPr>
        <w:t>the</w:t>
      </w:r>
      <w:proofErr w:type="spellEnd"/>
      <w:r>
        <w:rPr>
          <w:rFonts w:eastAsia="Palatino Linotype"/>
          <w:sz w:val="22"/>
          <w:szCs w:val="22"/>
          <w:lang w:val="es-ES"/>
        </w:rPr>
        <w:t xml:space="preserve"> </w:t>
      </w:r>
      <w:proofErr w:type="spellStart"/>
      <w:r>
        <w:rPr>
          <w:rFonts w:eastAsia="Palatino Linotype"/>
          <w:sz w:val="22"/>
          <w:szCs w:val="22"/>
          <w:lang w:val="es-ES"/>
        </w:rPr>
        <w:t>event</w:t>
      </w:r>
      <w:proofErr w:type="spellEnd"/>
      <w:r>
        <w:rPr>
          <w:rFonts w:eastAsia="Palatino Linotype"/>
          <w:sz w:val="22"/>
          <w:szCs w:val="22"/>
          <w:lang w:val="es-ES"/>
        </w:rPr>
        <w:t xml:space="preserve"> </w:t>
      </w:r>
      <w:proofErr w:type="spellStart"/>
      <w:r>
        <w:rPr>
          <w:rFonts w:eastAsia="Palatino Linotype"/>
          <w:sz w:val="22"/>
          <w:szCs w:val="22"/>
          <w:lang w:val="es-ES"/>
        </w:rPr>
        <w:t>that</w:t>
      </w:r>
      <w:proofErr w:type="spellEnd"/>
      <w:r>
        <w:rPr>
          <w:rFonts w:eastAsia="Palatino Linotype"/>
          <w:sz w:val="22"/>
          <w:szCs w:val="22"/>
          <w:lang w:val="es-ES"/>
        </w:rPr>
        <w:t xml:space="preserve"> </w:t>
      </w:r>
      <w:proofErr w:type="spellStart"/>
      <w:r>
        <w:rPr>
          <w:rFonts w:eastAsia="Palatino Linotype"/>
          <w:sz w:val="22"/>
          <w:szCs w:val="22"/>
          <w:lang w:val="es-ES"/>
        </w:rPr>
        <w:t>the</w:t>
      </w:r>
      <w:proofErr w:type="spellEnd"/>
      <w:r>
        <w:rPr>
          <w:rFonts w:eastAsia="Palatino Linotype"/>
          <w:sz w:val="22"/>
          <w:szCs w:val="22"/>
          <w:lang w:val="es-ES"/>
        </w:rPr>
        <w:t xml:space="preserve"> </w:t>
      </w:r>
      <w:proofErr w:type="spellStart"/>
      <w:r>
        <w:rPr>
          <w:rFonts w:eastAsia="Palatino Linotype"/>
          <w:sz w:val="22"/>
          <w:szCs w:val="22"/>
          <w:lang w:val="es-ES"/>
        </w:rPr>
        <w:t>successful</w:t>
      </w:r>
      <w:proofErr w:type="spellEnd"/>
      <w:r>
        <w:rPr>
          <w:rFonts w:eastAsia="Palatino Linotype"/>
          <w:sz w:val="22"/>
          <w:szCs w:val="22"/>
          <w:lang w:val="es-ES"/>
        </w:rPr>
        <w:t xml:space="preserve"> </w:t>
      </w:r>
      <w:proofErr w:type="spellStart"/>
      <w:r>
        <w:rPr>
          <w:rFonts w:eastAsia="Palatino Linotype"/>
          <w:sz w:val="22"/>
          <w:szCs w:val="22"/>
          <w:lang w:val="es-ES"/>
        </w:rPr>
        <w:t>bidder</w:t>
      </w:r>
      <w:proofErr w:type="spellEnd"/>
      <w:r>
        <w:rPr>
          <w:rFonts w:eastAsia="Palatino Linotype"/>
          <w:sz w:val="22"/>
          <w:szCs w:val="22"/>
          <w:lang w:val="es-ES"/>
        </w:rPr>
        <w:t xml:space="preserve"> </w:t>
      </w:r>
      <w:proofErr w:type="spellStart"/>
      <w:r>
        <w:rPr>
          <w:rFonts w:eastAsia="Palatino Linotype"/>
          <w:sz w:val="22"/>
          <w:szCs w:val="22"/>
          <w:lang w:val="es-ES"/>
        </w:rPr>
        <w:t>fails</w:t>
      </w:r>
      <w:proofErr w:type="spellEnd"/>
      <w:r>
        <w:rPr>
          <w:rFonts w:eastAsia="Palatino Linotype"/>
          <w:sz w:val="22"/>
          <w:szCs w:val="22"/>
          <w:lang w:val="es-ES"/>
        </w:rPr>
        <w:t xml:space="preserve"> </w:t>
      </w:r>
      <w:proofErr w:type="spellStart"/>
      <w:r>
        <w:rPr>
          <w:rFonts w:eastAsia="Palatino Linotype"/>
          <w:sz w:val="22"/>
          <w:szCs w:val="22"/>
          <w:lang w:val="es-ES"/>
        </w:rPr>
        <w:t>to</w:t>
      </w:r>
      <w:proofErr w:type="spellEnd"/>
      <w:r>
        <w:rPr>
          <w:rFonts w:eastAsia="Palatino Linotype"/>
          <w:sz w:val="22"/>
          <w:szCs w:val="22"/>
          <w:lang w:val="es-ES"/>
        </w:rPr>
        <w:t xml:space="preserve"> </w:t>
      </w:r>
      <w:proofErr w:type="spellStart"/>
      <w:r>
        <w:rPr>
          <w:rFonts w:eastAsia="Palatino Linotype"/>
          <w:sz w:val="22"/>
          <w:szCs w:val="22"/>
          <w:lang w:val="es-ES"/>
        </w:rPr>
        <w:t>comply</w:t>
      </w:r>
      <w:proofErr w:type="spellEnd"/>
      <w:r>
        <w:rPr>
          <w:rFonts w:eastAsia="Palatino Linotype"/>
          <w:sz w:val="22"/>
          <w:szCs w:val="22"/>
          <w:lang w:val="es-ES"/>
        </w:rPr>
        <w:t xml:space="preserve"> </w:t>
      </w:r>
      <w:proofErr w:type="spellStart"/>
      <w:r>
        <w:rPr>
          <w:rFonts w:eastAsia="Palatino Linotype"/>
          <w:sz w:val="22"/>
          <w:szCs w:val="22"/>
          <w:lang w:val="es-ES"/>
        </w:rPr>
        <w:t>with</w:t>
      </w:r>
      <w:proofErr w:type="spellEnd"/>
      <w:r>
        <w:rPr>
          <w:rFonts w:eastAsia="Palatino Linotype"/>
          <w:sz w:val="22"/>
          <w:szCs w:val="22"/>
          <w:lang w:val="es-ES"/>
        </w:rPr>
        <w:t xml:space="preserve"> </w:t>
      </w:r>
      <w:proofErr w:type="spellStart"/>
      <w:r>
        <w:rPr>
          <w:rFonts w:eastAsia="Palatino Linotype"/>
          <w:sz w:val="22"/>
          <w:szCs w:val="22"/>
          <w:lang w:val="es-ES"/>
        </w:rPr>
        <w:t>the</w:t>
      </w:r>
      <w:proofErr w:type="spellEnd"/>
      <w:r>
        <w:rPr>
          <w:rFonts w:eastAsia="Palatino Linotype"/>
          <w:sz w:val="22"/>
          <w:szCs w:val="22"/>
          <w:lang w:val="es-ES"/>
        </w:rPr>
        <w:t xml:space="preserve"> contractual </w:t>
      </w:r>
      <w:proofErr w:type="spellStart"/>
      <w:r>
        <w:rPr>
          <w:rFonts w:eastAsia="Palatino Linotype"/>
          <w:sz w:val="22"/>
          <w:szCs w:val="22"/>
          <w:lang w:val="es-ES"/>
        </w:rPr>
        <w:t>obligations</w:t>
      </w:r>
      <w:proofErr w:type="spellEnd"/>
      <w:r>
        <w:rPr>
          <w:rFonts w:eastAsia="Palatino Linotype"/>
          <w:sz w:val="22"/>
          <w:szCs w:val="22"/>
          <w:lang w:val="es-ES"/>
        </w:rPr>
        <w:t>.</w:t>
      </w:r>
    </w:p>
    <w:p w14:paraId="15485207" w14:textId="77777777" w:rsidR="00E255F4" w:rsidRDefault="00E255F4">
      <w:pPr>
        <w:rPr>
          <w:rFonts w:eastAsia="Palatino Linotype"/>
          <w:sz w:val="22"/>
          <w:szCs w:val="22"/>
          <w:lang w:val="es-ES"/>
        </w:rPr>
      </w:pPr>
    </w:p>
    <w:p w14:paraId="127F85C0" w14:textId="77777777" w:rsidR="00E255F4" w:rsidRDefault="00000000">
      <w:pPr>
        <w:ind w:right="-142"/>
        <w:jc w:val="both"/>
        <w:outlineLvl w:val="0"/>
        <w:rPr>
          <w:rFonts w:eastAsia="Palatino Linotype"/>
          <w:b/>
          <w:spacing w:val="-1"/>
          <w:sz w:val="22"/>
          <w:szCs w:val="22"/>
          <w:lang w:val="es-ES"/>
        </w:rPr>
      </w:pPr>
      <w:bookmarkStart w:id="57" w:name="__RefHeading___Toc225377234"/>
      <w:bookmarkEnd w:id="57"/>
      <w:r>
        <w:rPr>
          <w:rFonts w:eastAsia="Palatino Linotype"/>
          <w:b/>
          <w:spacing w:val="-1"/>
          <w:sz w:val="22"/>
          <w:szCs w:val="22"/>
          <w:lang w:val="es-ES"/>
        </w:rPr>
        <w:t xml:space="preserve">20 </w:t>
      </w:r>
      <w:proofErr w:type="spellStart"/>
      <w:r>
        <w:rPr>
          <w:rFonts w:eastAsia="Palatino Linotype"/>
          <w:b/>
          <w:spacing w:val="-1"/>
          <w:sz w:val="22"/>
          <w:szCs w:val="22"/>
          <w:lang w:val="es-ES"/>
        </w:rPr>
        <w:t>Quality</w:t>
      </w:r>
      <w:proofErr w:type="spellEnd"/>
      <w:r>
        <w:rPr>
          <w:rFonts w:eastAsia="Palatino Linotype"/>
          <w:b/>
          <w:spacing w:val="-1"/>
          <w:sz w:val="22"/>
          <w:szCs w:val="22"/>
          <w:lang w:val="es-ES"/>
        </w:rPr>
        <w:t xml:space="preserve"> control</w:t>
      </w:r>
      <w:r>
        <w:rPr>
          <w:rFonts w:eastAsia="Palatino Linotype"/>
          <w:b/>
          <w:spacing w:val="-1"/>
          <w:sz w:val="22"/>
          <w:szCs w:val="22"/>
          <w:lang w:val="es-ES"/>
        </w:rPr>
        <w:tab/>
      </w:r>
    </w:p>
    <w:p w14:paraId="413ADADC" w14:textId="77777777" w:rsidR="00E255F4" w:rsidRDefault="00E255F4">
      <w:pPr>
        <w:ind w:right="-142"/>
        <w:jc w:val="both"/>
        <w:rPr>
          <w:rFonts w:eastAsia="Palatino Linotype"/>
          <w:b/>
          <w:spacing w:val="-1"/>
          <w:sz w:val="22"/>
          <w:szCs w:val="22"/>
          <w:lang w:val="es-ES"/>
        </w:rPr>
      </w:pPr>
    </w:p>
    <w:p w14:paraId="09EB0809" w14:textId="77777777" w:rsidR="00E255F4" w:rsidRDefault="00000000">
      <w:pPr>
        <w:ind w:right="-142"/>
        <w:jc w:val="both"/>
        <w:rPr>
          <w:rFonts w:eastAsia="Palatino Linotype"/>
          <w:spacing w:val="-1"/>
          <w:sz w:val="22"/>
          <w:szCs w:val="22"/>
          <w:lang w:val="es-ES"/>
        </w:rPr>
      </w:pPr>
      <w:proofErr w:type="spellStart"/>
      <w:r>
        <w:rPr>
          <w:rFonts w:eastAsia="Palatino Linotype"/>
          <w:spacing w:val="-1"/>
          <w:sz w:val="22"/>
          <w:szCs w:val="22"/>
          <w:lang w:val="es-ES"/>
        </w:rPr>
        <w:t>L</w:t>
      </w:r>
      <w:r>
        <w:rPr>
          <w:rFonts w:eastAsia="Palatino Linotype"/>
          <w:sz w:val="22"/>
          <w:szCs w:val="22"/>
          <w:lang w:val="es-ES"/>
        </w:rPr>
        <w:t>The</w:t>
      </w:r>
      <w:proofErr w:type="spellEnd"/>
      <w:r>
        <w:rPr>
          <w:rFonts w:eastAsia="Palatino Linotype"/>
          <w:sz w:val="22"/>
          <w:szCs w:val="22"/>
          <w:lang w:val="es-ES"/>
        </w:rPr>
        <w:t xml:space="preserve"> Public </w:t>
      </w:r>
      <w:proofErr w:type="spellStart"/>
      <w:r>
        <w:rPr>
          <w:rFonts w:eastAsia="Palatino Linotype"/>
          <w:sz w:val="22"/>
          <w:szCs w:val="22"/>
          <w:lang w:val="es-ES"/>
        </w:rPr>
        <w:t>Administration</w:t>
      </w:r>
      <w:proofErr w:type="spellEnd"/>
      <w:r>
        <w:rPr>
          <w:rFonts w:eastAsia="Palatino Linotype"/>
          <w:sz w:val="22"/>
          <w:szCs w:val="22"/>
          <w:lang w:val="es-ES"/>
        </w:rPr>
        <w:t xml:space="preserve"> </w:t>
      </w:r>
      <w:proofErr w:type="spellStart"/>
      <w:r>
        <w:rPr>
          <w:rFonts w:eastAsia="Palatino Linotype"/>
          <w:sz w:val="22"/>
          <w:szCs w:val="22"/>
          <w:lang w:val="es-ES"/>
        </w:rPr>
        <w:t>may</w:t>
      </w:r>
      <w:proofErr w:type="spellEnd"/>
      <w:r>
        <w:rPr>
          <w:rFonts w:eastAsia="Palatino Linotype"/>
          <w:sz w:val="22"/>
          <w:szCs w:val="22"/>
          <w:lang w:val="es-ES"/>
        </w:rPr>
        <w:t xml:space="preserve"> </w:t>
      </w:r>
      <w:proofErr w:type="spellStart"/>
      <w:r>
        <w:rPr>
          <w:rFonts w:eastAsia="Palatino Linotype"/>
          <w:sz w:val="22"/>
          <w:szCs w:val="22"/>
          <w:lang w:val="es-ES"/>
        </w:rPr>
        <w:t>carry</w:t>
      </w:r>
      <w:proofErr w:type="spellEnd"/>
      <w:r>
        <w:rPr>
          <w:rFonts w:eastAsia="Palatino Linotype"/>
          <w:sz w:val="22"/>
          <w:szCs w:val="22"/>
          <w:lang w:val="es-ES"/>
        </w:rPr>
        <w:t xml:space="preserve"> </w:t>
      </w:r>
      <w:proofErr w:type="spellStart"/>
      <w:r>
        <w:rPr>
          <w:rFonts w:eastAsia="Palatino Linotype"/>
          <w:sz w:val="22"/>
          <w:szCs w:val="22"/>
          <w:lang w:val="es-ES"/>
        </w:rPr>
        <w:t>out</w:t>
      </w:r>
      <w:proofErr w:type="spellEnd"/>
      <w:r>
        <w:rPr>
          <w:rFonts w:eastAsia="Palatino Linotype"/>
          <w:sz w:val="22"/>
          <w:szCs w:val="22"/>
          <w:lang w:val="es-ES"/>
        </w:rPr>
        <w:t xml:space="preserve">, </w:t>
      </w:r>
      <w:proofErr w:type="spellStart"/>
      <w:r>
        <w:rPr>
          <w:rFonts w:eastAsia="Palatino Linotype"/>
          <w:sz w:val="22"/>
          <w:szCs w:val="22"/>
          <w:lang w:val="es-ES"/>
        </w:rPr>
        <w:t>directly</w:t>
      </w:r>
      <w:proofErr w:type="spellEnd"/>
      <w:r>
        <w:rPr>
          <w:rFonts w:eastAsia="Palatino Linotype"/>
          <w:sz w:val="22"/>
          <w:szCs w:val="22"/>
          <w:lang w:val="es-ES"/>
        </w:rPr>
        <w:t xml:space="preserve"> </w:t>
      </w:r>
      <w:proofErr w:type="spellStart"/>
      <w:r>
        <w:rPr>
          <w:rFonts w:eastAsia="Palatino Linotype"/>
          <w:sz w:val="22"/>
          <w:szCs w:val="22"/>
          <w:lang w:val="es-ES"/>
        </w:rPr>
        <w:t>or</w:t>
      </w:r>
      <w:proofErr w:type="spellEnd"/>
      <w:r>
        <w:rPr>
          <w:rFonts w:eastAsia="Palatino Linotype"/>
          <w:sz w:val="22"/>
          <w:szCs w:val="22"/>
          <w:lang w:val="es-ES"/>
        </w:rPr>
        <w:t xml:space="preserve"> </w:t>
      </w:r>
      <w:proofErr w:type="spellStart"/>
      <w:r>
        <w:rPr>
          <w:rFonts w:eastAsia="Palatino Linotype"/>
          <w:sz w:val="22"/>
          <w:szCs w:val="22"/>
          <w:lang w:val="es-ES"/>
        </w:rPr>
        <w:t>through</w:t>
      </w:r>
      <w:proofErr w:type="spellEnd"/>
      <w:r>
        <w:rPr>
          <w:rFonts w:eastAsia="Palatino Linotype"/>
          <w:sz w:val="22"/>
          <w:szCs w:val="22"/>
          <w:lang w:val="es-ES"/>
        </w:rPr>
        <w:t xml:space="preserve"> </w:t>
      </w:r>
      <w:proofErr w:type="spellStart"/>
      <w:r>
        <w:rPr>
          <w:rFonts w:eastAsia="Palatino Linotype"/>
          <w:sz w:val="22"/>
          <w:szCs w:val="22"/>
          <w:lang w:val="es-ES"/>
        </w:rPr>
        <w:t>standardization</w:t>
      </w:r>
      <w:proofErr w:type="spellEnd"/>
      <w:r>
        <w:rPr>
          <w:rFonts w:eastAsia="Palatino Linotype"/>
          <w:sz w:val="22"/>
          <w:szCs w:val="22"/>
          <w:lang w:val="es-ES"/>
        </w:rPr>
        <w:t xml:space="preserve"> and </w:t>
      </w:r>
      <w:proofErr w:type="spellStart"/>
      <w:r>
        <w:rPr>
          <w:rFonts w:eastAsia="Palatino Linotype"/>
          <w:sz w:val="22"/>
          <w:szCs w:val="22"/>
          <w:lang w:val="es-ES"/>
        </w:rPr>
        <w:t>certification</w:t>
      </w:r>
      <w:proofErr w:type="spellEnd"/>
      <w:r>
        <w:rPr>
          <w:rFonts w:eastAsia="Palatino Linotype"/>
          <w:sz w:val="22"/>
          <w:szCs w:val="22"/>
          <w:lang w:val="es-ES"/>
        </w:rPr>
        <w:t xml:space="preserve"> </w:t>
      </w:r>
      <w:proofErr w:type="spellStart"/>
      <w:r>
        <w:rPr>
          <w:rFonts w:eastAsia="Palatino Linotype"/>
          <w:sz w:val="22"/>
          <w:szCs w:val="22"/>
          <w:lang w:val="es-ES"/>
        </w:rPr>
        <w:t>bodies</w:t>
      </w:r>
      <w:proofErr w:type="spellEnd"/>
      <w:r>
        <w:rPr>
          <w:rFonts w:eastAsia="Palatino Linotype"/>
          <w:sz w:val="22"/>
          <w:szCs w:val="22"/>
          <w:lang w:val="es-ES"/>
        </w:rPr>
        <w:t xml:space="preserve">, </w:t>
      </w:r>
      <w:proofErr w:type="spellStart"/>
      <w:r>
        <w:rPr>
          <w:rFonts w:eastAsia="Palatino Linotype"/>
          <w:sz w:val="22"/>
          <w:szCs w:val="22"/>
          <w:lang w:val="es-ES"/>
        </w:rPr>
        <w:t>quality</w:t>
      </w:r>
      <w:proofErr w:type="spellEnd"/>
      <w:r>
        <w:rPr>
          <w:rFonts w:eastAsia="Palatino Linotype"/>
          <w:sz w:val="22"/>
          <w:szCs w:val="22"/>
          <w:lang w:val="es-ES"/>
        </w:rPr>
        <w:t xml:space="preserve"> </w:t>
      </w:r>
      <w:proofErr w:type="spellStart"/>
      <w:r>
        <w:rPr>
          <w:rFonts w:eastAsia="Palatino Linotype"/>
          <w:sz w:val="22"/>
          <w:szCs w:val="22"/>
          <w:lang w:val="es-ES"/>
        </w:rPr>
        <w:t>controls</w:t>
      </w:r>
      <w:proofErr w:type="spellEnd"/>
      <w:r>
        <w:rPr>
          <w:rFonts w:eastAsia="Palatino Linotype"/>
          <w:sz w:val="22"/>
          <w:szCs w:val="22"/>
          <w:lang w:val="es-ES"/>
        </w:rPr>
        <w:t xml:space="preserve"> </w:t>
      </w:r>
      <w:proofErr w:type="spellStart"/>
      <w:r>
        <w:rPr>
          <w:rFonts w:eastAsia="Palatino Linotype"/>
          <w:sz w:val="22"/>
          <w:szCs w:val="22"/>
          <w:lang w:val="es-ES"/>
        </w:rPr>
        <w:t>of</w:t>
      </w:r>
      <w:proofErr w:type="spellEnd"/>
      <w:r>
        <w:rPr>
          <w:rFonts w:eastAsia="Palatino Linotype"/>
          <w:sz w:val="22"/>
          <w:szCs w:val="22"/>
          <w:lang w:val="es-ES"/>
        </w:rPr>
        <w:t xml:space="preserve"> </w:t>
      </w:r>
      <w:proofErr w:type="spellStart"/>
      <w:r>
        <w:rPr>
          <w:rFonts w:eastAsia="Palatino Linotype"/>
          <w:sz w:val="22"/>
          <w:szCs w:val="22"/>
          <w:lang w:val="es-ES"/>
        </w:rPr>
        <w:t>the</w:t>
      </w:r>
      <w:proofErr w:type="spellEnd"/>
      <w:r>
        <w:rPr>
          <w:rFonts w:eastAsia="Palatino Linotype"/>
          <w:sz w:val="22"/>
          <w:szCs w:val="22"/>
          <w:lang w:val="es-ES"/>
        </w:rPr>
        <w:t xml:space="preserve"> </w:t>
      </w:r>
      <w:proofErr w:type="spellStart"/>
      <w:r>
        <w:rPr>
          <w:rFonts w:eastAsia="Palatino Linotype"/>
          <w:sz w:val="22"/>
          <w:szCs w:val="22"/>
          <w:lang w:val="es-ES"/>
        </w:rPr>
        <w:t>products</w:t>
      </w:r>
      <w:proofErr w:type="spellEnd"/>
      <w:r>
        <w:rPr>
          <w:rFonts w:eastAsia="Palatino Linotype"/>
          <w:sz w:val="22"/>
          <w:szCs w:val="22"/>
          <w:lang w:val="es-ES"/>
        </w:rPr>
        <w:t xml:space="preserve"> </w:t>
      </w:r>
      <w:proofErr w:type="spellStart"/>
      <w:r>
        <w:rPr>
          <w:rFonts w:eastAsia="Palatino Linotype"/>
          <w:sz w:val="22"/>
          <w:szCs w:val="22"/>
          <w:lang w:val="es-ES"/>
        </w:rPr>
        <w:t>offered</w:t>
      </w:r>
      <w:proofErr w:type="spellEnd"/>
      <w:r>
        <w:rPr>
          <w:rFonts w:eastAsia="Palatino Linotype"/>
          <w:sz w:val="22"/>
          <w:szCs w:val="22"/>
          <w:lang w:val="es-ES"/>
        </w:rPr>
        <w:t xml:space="preserve"> </w:t>
      </w:r>
      <w:proofErr w:type="spellStart"/>
      <w:r>
        <w:rPr>
          <w:rFonts w:eastAsia="Palatino Linotype"/>
          <w:sz w:val="22"/>
          <w:szCs w:val="22"/>
          <w:lang w:val="es-ES"/>
        </w:rPr>
        <w:t>or</w:t>
      </w:r>
      <w:proofErr w:type="spellEnd"/>
      <w:r>
        <w:rPr>
          <w:rFonts w:eastAsia="Palatino Linotype"/>
          <w:sz w:val="22"/>
          <w:szCs w:val="22"/>
          <w:lang w:val="es-ES"/>
        </w:rPr>
        <w:t xml:space="preserve"> </w:t>
      </w:r>
      <w:proofErr w:type="spellStart"/>
      <w:r>
        <w:rPr>
          <w:rFonts w:eastAsia="Palatino Linotype"/>
          <w:sz w:val="22"/>
          <w:szCs w:val="22"/>
          <w:lang w:val="es-ES"/>
        </w:rPr>
        <w:t>contracted</w:t>
      </w:r>
      <w:proofErr w:type="spellEnd"/>
      <w:r>
        <w:rPr>
          <w:rFonts w:eastAsia="Palatino Linotype"/>
          <w:sz w:val="22"/>
          <w:szCs w:val="22"/>
          <w:lang w:val="es-ES"/>
        </w:rPr>
        <w:t>.</w:t>
      </w:r>
    </w:p>
    <w:p w14:paraId="189FFA25" w14:textId="77777777" w:rsidR="00E255F4" w:rsidRDefault="00E255F4">
      <w:pPr>
        <w:ind w:right="-142"/>
        <w:jc w:val="both"/>
        <w:rPr>
          <w:rFonts w:eastAsia="Palatino Linotype"/>
          <w:spacing w:val="-1"/>
          <w:sz w:val="22"/>
          <w:szCs w:val="22"/>
          <w:lang w:val="es-ES"/>
        </w:rPr>
      </w:pPr>
    </w:p>
    <w:p w14:paraId="4C4C0BBF" w14:textId="77777777" w:rsidR="00E255F4" w:rsidRDefault="00000000">
      <w:pPr>
        <w:ind w:right="-142"/>
        <w:jc w:val="both"/>
        <w:rPr>
          <w:rFonts w:eastAsia="Palatino Linotype"/>
          <w:sz w:val="22"/>
          <w:szCs w:val="22"/>
          <w:lang w:val="es-ES"/>
        </w:rPr>
      </w:pPr>
      <w:r>
        <w:rPr>
          <w:rFonts w:eastAsia="Palatino Linotype"/>
          <w:spacing w:val="-1"/>
          <w:sz w:val="22"/>
          <w:szCs w:val="22"/>
          <w:lang w:val="es-ES"/>
        </w:rPr>
        <w:t>AND</w:t>
      </w:r>
      <w:r>
        <w:rPr>
          <w:rFonts w:eastAsia="Palatino Linotype"/>
          <w:sz w:val="22"/>
          <w:szCs w:val="22"/>
          <w:lang w:val="es-ES"/>
        </w:rPr>
        <w:t xml:space="preserve">In cases </w:t>
      </w:r>
      <w:proofErr w:type="spellStart"/>
      <w:r>
        <w:rPr>
          <w:rFonts w:eastAsia="Palatino Linotype"/>
          <w:sz w:val="22"/>
          <w:szCs w:val="22"/>
          <w:lang w:val="es-ES"/>
        </w:rPr>
        <w:t>where</w:t>
      </w:r>
      <w:proofErr w:type="spellEnd"/>
      <w:r>
        <w:rPr>
          <w:rFonts w:eastAsia="Palatino Linotype"/>
          <w:sz w:val="22"/>
          <w:szCs w:val="22"/>
          <w:lang w:val="es-ES"/>
        </w:rPr>
        <w:t xml:space="preserve"> </w:t>
      </w:r>
      <w:proofErr w:type="spellStart"/>
      <w:r>
        <w:rPr>
          <w:rFonts w:eastAsia="Palatino Linotype"/>
          <w:sz w:val="22"/>
          <w:szCs w:val="22"/>
          <w:lang w:val="es-ES"/>
        </w:rPr>
        <w:t>the</w:t>
      </w:r>
      <w:proofErr w:type="spellEnd"/>
      <w:r>
        <w:rPr>
          <w:rFonts w:eastAsia="Palatino Linotype"/>
          <w:sz w:val="22"/>
          <w:szCs w:val="22"/>
          <w:lang w:val="es-ES"/>
        </w:rPr>
        <w:t xml:space="preserve"> State </w:t>
      </w:r>
      <w:proofErr w:type="spellStart"/>
      <w:r>
        <w:rPr>
          <w:rFonts w:eastAsia="Palatino Linotype"/>
          <w:sz w:val="22"/>
          <w:szCs w:val="22"/>
          <w:lang w:val="es-ES"/>
        </w:rPr>
        <w:t>Procurement</w:t>
      </w:r>
      <w:proofErr w:type="spellEnd"/>
      <w:r>
        <w:rPr>
          <w:rFonts w:eastAsia="Palatino Linotype"/>
          <w:sz w:val="22"/>
          <w:szCs w:val="22"/>
          <w:lang w:val="es-ES"/>
        </w:rPr>
        <w:t xml:space="preserve"> and </w:t>
      </w:r>
      <w:proofErr w:type="spellStart"/>
      <w:r>
        <w:rPr>
          <w:rFonts w:eastAsia="Palatino Linotype"/>
          <w:sz w:val="22"/>
          <w:szCs w:val="22"/>
          <w:lang w:val="es-ES"/>
        </w:rPr>
        <w:t>Contracting</w:t>
      </w:r>
      <w:proofErr w:type="spellEnd"/>
      <w:r>
        <w:rPr>
          <w:rFonts w:eastAsia="Palatino Linotype"/>
          <w:sz w:val="22"/>
          <w:szCs w:val="22"/>
          <w:lang w:val="es-ES"/>
        </w:rPr>
        <w:t xml:space="preserve"> Agency </w:t>
      </w:r>
      <w:proofErr w:type="spellStart"/>
      <w:r>
        <w:rPr>
          <w:rFonts w:eastAsia="Palatino Linotype"/>
          <w:sz w:val="22"/>
          <w:szCs w:val="22"/>
          <w:lang w:val="es-ES"/>
        </w:rPr>
        <w:t>develops</w:t>
      </w:r>
      <w:proofErr w:type="spellEnd"/>
      <w:r>
        <w:rPr>
          <w:rFonts w:eastAsia="Palatino Linotype"/>
          <w:sz w:val="22"/>
          <w:szCs w:val="22"/>
          <w:lang w:val="es-ES"/>
        </w:rPr>
        <w:t xml:space="preserve"> </w:t>
      </w:r>
      <w:proofErr w:type="spellStart"/>
      <w:r>
        <w:rPr>
          <w:rFonts w:eastAsia="Palatino Linotype"/>
          <w:sz w:val="22"/>
          <w:szCs w:val="22"/>
          <w:lang w:val="es-ES"/>
        </w:rPr>
        <w:t>quality</w:t>
      </w:r>
      <w:proofErr w:type="spellEnd"/>
      <w:r>
        <w:rPr>
          <w:rFonts w:eastAsia="Palatino Linotype"/>
          <w:sz w:val="22"/>
          <w:szCs w:val="22"/>
          <w:lang w:val="es-ES"/>
        </w:rPr>
        <w:t xml:space="preserve"> </w:t>
      </w:r>
      <w:proofErr w:type="spellStart"/>
      <w:r>
        <w:rPr>
          <w:rFonts w:eastAsia="Palatino Linotype"/>
          <w:sz w:val="22"/>
          <w:szCs w:val="22"/>
          <w:lang w:val="es-ES"/>
        </w:rPr>
        <w:t>standards</w:t>
      </w:r>
      <w:proofErr w:type="spellEnd"/>
      <w:r>
        <w:rPr>
          <w:rFonts w:eastAsia="Palatino Linotype"/>
          <w:sz w:val="22"/>
          <w:szCs w:val="22"/>
          <w:lang w:val="es-ES"/>
        </w:rPr>
        <w:t xml:space="preserve"> </w:t>
      </w:r>
      <w:proofErr w:type="spellStart"/>
      <w:r>
        <w:rPr>
          <w:rFonts w:eastAsia="Palatino Linotype"/>
          <w:sz w:val="22"/>
          <w:szCs w:val="22"/>
          <w:lang w:val="es-ES"/>
        </w:rPr>
        <w:t>for</w:t>
      </w:r>
      <w:proofErr w:type="spellEnd"/>
      <w:r>
        <w:rPr>
          <w:rFonts w:eastAsia="Palatino Linotype"/>
          <w:sz w:val="22"/>
          <w:szCs w:val="22"/>
          <w:lang w:val="es-ES"/>
        </w:rPr>
        <w:t xml:space="preserve"> </w:t>
      </w:r>
      <w:proofErr w:type="spellStart"/>
      <w:r>
        <w:rPr>
          <w:rFonts w:eastAsia="Palatino Linotype"/>
          <w:sz w:val="22"/>
          <w:szCs w:val="22"/>
          <w:lang w:val="es-ES"/>
        </w:rPr>
        <w:t>products</w:t>
      </w:r>
      <w:proofErr w:type="spellEnd"/>
      <w:r>
        <w:rPr>
          <w:rFonts w:eastAsia="Palatino Linotype"/>
          <w:sz w:val="22"/>
          <w:szCs w:val="22"/>
          <w:lang w:val="es-ES"/>
        </w:rPr>
        <w:t xml:space="preserve"> and </w:t>
      </w:r>
      <w:proofErr w:type="spellStart"/>
      <w:r>
        <w:rPr>
          <w:rFonts w:eastAsia="Palatino Linotype"/>
          <w:sz w:val="22"/>
          <w:szCs w:val="22"/>
          <w:lang w:val="es-ES"/>
        </w:rPr>
        <w:t>services</w:t>
      </w:r>
      <w:proofErr w:type="spellEnd"/>
      <w:r>
        <w:rPr>
          <w:rFonts w:eastAsia="Palatino Linotype"/>
          <w:sz w:val="22"/>
          <w:szCs w:val="22"/>
          <w:lang w:val="es-ES"/>
        </w:rPr>
        <w:t xml:space="preserve">, </w:t>
      </w:r>
      <w:proofErr w:type="spellStart"/>
      <w:r>
        <w:rPr>
          <w:rFonts w:eastAsia="Palatino Linotype"/>
          <w:sz w:val="22"/>
          <w:szCs w:val="22"/>
          <w:lang w:val="es-ES"/>
        </w:rPr>
        <w:t>these</w:t>
      </w:r>
      <w:proofErr w:type="spellEnd"/>
      <w:r>
        <w:rPr>
          <w:rFonts w:eastAsia="Palatino Linotype"/>
          <w:sz w:val="22"/>
          <w:szCs w:val="22"/>
          <w:lang w:val="es-ES"/>
        </w:rPr>
        <w:t xml:space="preserve"> </w:t>
      </w:r>
      <w:proofErr w:type="spellStart"/>
      <w:r>
        <w:rPr>
          <w:rFonts w:eastAsia="Palatino Linotype"/>
          <w:sz w:val="22"/>
          <w:szCs w:val="22"/>
          <w:lang w:val="es-ES"/>
        </w:rPr>
        <w:t>standards</w:t>
      </w:r>
      <w:proofErr w:type="spellEnd"/>
      <w:r>
        <w:rPr>
          <w:rFonts w:eastAsia="Palatino Linotype"/>
          <w:sz w:val="22"/>
          <w:szCs w:val="22"/>
          <w:lang w:val="es-ES"/>
        </w:rPr>
        <w:t xml:space="preserve"> </w:t>
      </w:r>
      <w:proofErr w:type="spellStart"/>
      <w:r>
        <w:rPr>
          <w:rFonts w:eastAsia="Palatino Linotype"/>
          <w:sz w:val="22"/>
          <w:szCs w:val="22"/>
          <w:lang w:val="es-ES"/>
        </w:rPr>
        <w:t>must</w:t>
      </w:r>
      <w:proofErr w:type="spellEnd"/>
      <w:r>
        <w:rPr>
          <w:rFonts w:eastAsia="Palatino Linotype"/>
          <w:sz w:val="22"/>
          <w:szCs w:val="22"/>
          <w:lang w:val="es-ES"/>
        </w:rPr>
        <w:t xml:space="preserve"> be </w:t>
      </w:r>
      <w:proofErr w:type="spellStart"/>
      <w:r>
        <w:rPr>
          <w:rFonts w:eastAsia="Palatino Linotype"/>
          <w:sz w:val="22"/>
          <w:szCs w:val="22"/>
          <w:lang w:val="es-ES"/>
        </w:rPr>
        <w:t>taken</w:t>
      </w:r>
      <w:proofErr w:type="spellEnd"/>
      <w:r>
        <w:rPr>
          <w:rFonts w:eastAsia="Palatino Linotype"/>
          <w:sz w:val="22"/>
          <w:szCs w:val="22"/>
          <w:lang w:val="es-ES"/>
        </w:rPr>
        <w:t xml:space="preserve"> </w:t>
      </w:r>
      <w:proofErr w:type="spellStart"/>
      <w:r>
        <w:rPr>
          <w:rFonts w:eastAsia="Palatino Linotype"/>
          <w:sz w:val="22"/>
          <w:szCs w:val="22"/>
          <w:lang w:val="es-ES"/>
        </w:rPr>
        <w:t>into</w:t>
      </w:r>
      <w:proofErr w:type="spellEnd"/>
      <w:r>
        <w:rPr>
          <w:rFonts w:eastAsia="Palatino Linotype"/>
          <w:sz w:val="22"/>
          <w:szCs w:val="22"/>
          <w:lang w:val="es-ES"/>
        </w:rPr>
        <w:t xml:space="preserve"> </w:t>
      </w:r>
      <w:proofErr w:type="spellStart"/>
      <w:r>
        <w:rPr>
          <w:rFonts w:eastAsia="Palatino Linotype"/>
          <w:sz w:val="22"/>
          <w:szCs w:val="22"/>
          <w:lang w:val="es-ES"/>
        </w:rPr>
        <w:t>account</w:t>
      </w:r>
      <w:proofErr w:type="spellEnd"/>
      <w:r>
        <w:rPr>
          <w:rFonts w:eastAsia="Palatino Linotype"/>
          <w:sz w:val="22"/>
          <w:szCs w:val="22"/>
          <w:lang w:val="es-ES"/>
        </w:rPr>
        <w:t>.</w:t>
      </w:r>
    </w:p>
    <w:p w14:paraId="1C6B81F8" w14:textId="77777777" w:rsidR="00E255F4" w:rsidRDefault="00E255F4">
      <w:pPr>
        <w:rPr>
          <w:rFonts w:eastAsia="Palatino Linotype"/>
          <w:sz w:val="22"/>
          <w:szCs w:val="22"/>
          <w:lang w:val="es-ES"/>
        </w:rPr>
      </w:pPr>
    </w:p>
    <w:p w14:paraId="6365C9EE" w14:textId="77777777" w:rsidR="00E255F4" w:rsidRDefault="00000000">
      <w:pPr>
        <w:ind w:right="-142"/>
        <w:jc w:val="both"/>
        <w:outlineLvl w:val="0"/>
        <w:rPr>
          <w:rFonts w:eastAsia="Palatino Linotype"/>
          <w:sz w:val="22"/>
          <w:szCs w:val="22"/>
          <w:lang w:val="es-ES"/>
        </w:rPr>
      </w:pPr>
      <w:bookmarkStart w:id="58" w:name="__RefHeading___Toc225377235"/>
      <w:bookmarkEnd w:id="58"/>
      <w:r>
        <w:rPr>
          <w:rFonts w:eastAsia="Palatino Linotype"/>
          <w:b/>
          <w:spacing w:val="-1"/>
          <w:sz w:val="22"/>
          <w:szCs w:val="22"/>
          <w:lang w:val="es-ES"/>
        </w:rPr>
        <w:t>2</w:t>
      </w:r>
      <w:r>
        <w:rPr>
          <w:rFonts w:eastAsia="Palatino Linotype"/>
          <w:b/>
          <w:sz w:val="22"/>
          <w:szCs w:val="22"/>
          <w:lang w:val="es-ES"/>
        </w:rPr>
        <w:t>1</w:t>
      </w:r>
      <w:r>
        <w:rPr>
          <w:rFonts w:eastAsia="Palatino Linotype"/>
          <w:b/>
          <w:spacing w:val="-2"/>
          <w:sz w:val="22"/>
          <w:szCs w:val="22"/>
          <w:lang w:val="es-ES"/>
        </w:rPr>
        <w:t xml:space="preserve"> </w:t>
      </w:r>
      <w:r>
        <w:rPr>
          <w:rFonts w:eastAsia="Palatino Linotype"/>
          <w:b/>
          <w:spacing w:val="-2"/>
          <w:sz w:val="22"/>
          <w:szCs w:val="22"/>
          <w:lang w:val="es-ES"/>
        </w:rPr>
        <w:tab/>
      </w:r>
      <w:proofErr w:type="spellStart"/>
      <w:r>
        <w:rPr>
          <w:rFonts w:eastAsia="Palatino Linotype"/>
          <w:b/>
          <w:spacing w:val="-1"/>
          <w:sz w:val="22"/>
          <w:szCs w:val="22"/>
          <w:lang w:val="es-ES"/>
        </w:rPr>
        <w:t>Compliance</w:t>
      </w:r>
      <w:r>
        <w:rPr>
          <w:rFonts w:eastAsia="Palatino Linotype"/>
          <w:b/>
          <w:sz w:val="22"/>
          <w:szCs w:val="22"/>
          <w:lang w:val="es-ES"/>
        </w:rPr>
        <w:t>or</w:t>
      </w:r>
      <w:proofErr w:type="spellEnd"/>
      <w:r>
        <w:rPr>
          <w:rFonts w:eastAsia="Palatino Linotype"/>
          <w:b/>
          <w:sz w:val="22"/>
          <w:szCs w:val="22"/>
          <w:lang w:val="es-ES"/>
        </w:rPr>
        <w:t xml:space="preserve"> personal </w:t>
      </w:r>
      <w:proofErr w:type="spellStart"/>
      <w:r>
        <w:rPr>
          <w:rFonts w:eastAsia="Palatino Linotype"/>
          <w:b/>
          <w:sz w:val="22"/>
          <w:szCs w:val="22"/>
          <w:lang w:val="es-ES"/>
        </w:rPr>
        <w:t>obligations</w:t>
      </w:r>
      <w:proofErr w:type="spellEnd"/>
    </w:p>
    <w:p w14:paraId="53008A33" w14:textId="77777777" w:rsidR="00E255F4" w:rsidRDefault="00E255F4">
      <w:pPr>
        <w:ind w:right="-142"/>
        <w:jc w:val="both"/>
        <w:rPr>
          <w:rFonts w:eastAsia="Palatino Linotype"/>
          <w:spacing w:val="-1"/>
          <w:sz w:val="22"/>
          <w:szCs w:val="22"/>
          <w:lang w:val="es-ES"/>
        </w:rPr>
      </w:pPr>
    </w:p>
    <w:p w14:paraId="56C29F17" w14:textId="77777777" w:rsidR="00E255F4" w:rsidRDefault="00000000">
      <w:pPr>
        <w:ind w:right="-142"/>
        <w:jc w:val="both"/>
        <w:rPr>
          <w:rFonts w:eastAsia="Palatino Linotype"/>
          <w:sz w:val="22"/>
          <w:szCs w:val="22"/>
          <w:lang w:val="es-ES"/>
        </w:rPr>
      </w:pPr>
      <w:proofErr w:type="spellStart"/>
      <w:r>
        <w:rPr>
          <w:rFonts w:eastAsia="Palatino Linotype"/>
          <w:spacing w:val="-1"/>
          <w:sz w:val="22"/>
          <w:szCs w:val="22"/>
          <w:lang w:val="es-ES"/>
        </w:rPr>
        <w:t>AND</w:t>
      </w:r>
      <w:r>
        <w:rPr>
          <w:rFonts w:eastAsia="Palatino Linotype"/>
          <w:sz w:val="22"/>
          <w:szCs w:val="22"/>
          <w:lang w:val="es-ES"/>
        </w:rPr>
        <w:t>The</w:t>
      </w:r>
      <w:proofErr w:type="spellEnd"/>
      <w:r>
        <w:rPr>
          <w:rFonts w:eastAsia="Palatino Linotype"/>
          <w:sz w:val="22"/>
          <w:szCs w:val="22"/>
          <w:lang w:val="es-ES"/>
        </w:rPr>
        <w:t xml:space="preserve"> </w:t>
      </w:r>
      <w:proofErr w:type="spellStart"/>
      <w:r>
        <w:rPr>
          <w:rFonts w:eastAsia="Palatino Linotype"/>
          <w:sz w:val="22"/>
          <w:szCs w:val="22"/>
          <w:lang w:val="es-ES"/>
        </w:rPr>
        <w:t>contractor</w:t>
      </w:r>
      <w:proofErr w:type="spellEnd"/>
      <w:r>
        <w:rPr>
          <w:rFonts w:eastAsia="Palatino Linotype"/>
          <w:sz w:val="22"/>
          <w:szCs w:val="22"/>
          <w:lang w:val="es-ES"/>
        </w:rPr>
        <w:t xml:space="preserve"> </w:t>
      </w:r>
      <w:proofErr w:type="spellStart"/>
      <w:r>
        <w:rPr>
          <w:rFonts w:eastAsia="Palatino Linotype"/>
          <w:sz w:val="22"/>
          <w:szCs w:val="22"/>
          <w:lang w:val="es-ES"/>
        </w:rPr>
        <w:t>shall</w:t>
      </w:r>
      <w:proofErr w:type="spellEnd"/>
      <w:r>
        <w:rPr>
          <w:rFonts w:eastAsia="Palatino Linotype"/>
          <w:sz w:val="22"/>
          <w:szCs w:val="22"/>
          <w:lang w:val="es-ES"/>
        </w:rPr>
        <w:t xml:space="preserve"> </w:t>
      </w:r>
      <w:proofErr w:type="spellStart"/>
      <w:r>
        <w:rPr>
          <w:rFonts w:eastAsia="Palatino Linotype"/>
          <w:sz w:val="22"/>
          <w:szCs w:val="22"/>
          <w:lang w:val="es-ES"/>
        </w:rPr>
        <w:t>personally</w:t>
      </w:r>
      <w:proofErr w:type="spellEnd"/>
      <w:r>
        <w:rPr>
          <w:rFonts w:eastAsia="Palatino Linotype"/>
          <w:sz w:val="22"/>
          <w:szCs w:val="22"/>
          <w:lang w:val="es-ES"/>
        </w:rPr>
        <w:t xml:space="preserve"> </w:t>
      </w:r>
      <w:proofErr w:type="spellStart"/>
      <w:r>
        <w:rPr>
          <w:rFonts w:eastAsia="Palatino Linotype"/>
          <w:sz w:val="22"/>
          <w:szCs w:val="22"/>
          <w:lang w:val="es-ES"/>
        </w:rPr>
        <w:t>fulfill</w:t>
      </w:r>
      <w:proofErr w:type="spellEnd"/>
      <w:r>
        <w:rPr>
          <w:rFonts w:eastAsia="Palatino Linotype"/>
          <w:sz w:val="22"/>
          <w:szCs w:val="22"/>
          <w:lang w:val="es-ES"/>
        </w:rPr>
        <w:t xml:space="preserve"> </w:t>
      </w:r>
      <w:proofErr w:type="spellStart"/>
      <w:r>
        <w:rPr>
          <w:rFonts w:eastAsia="Palatino Linotype"/>
          <w:sz w:val="22"/>
          <w:szCs w:val="22"/>
          <w:lang w:val="es-ES"/>
        </w:rPr>
        <w:t>the</w:t>
      </w:r>
      <w:proofErr w:type="spellEnd"/>
      <w:r>
        <w:rPr>
          <w:rFonts w:eastAsia="Palatino Linotype"/>
          <w:sz w:val="22"/>
          <w:szCs w:val="22"/>
          <w:lang w:val="es-ES"/>
        </w:rPr>
        <w:t xml:space="preserve"> </w:t>
      </w:r>
      <w:proofErr w:type="spellStart"/>
      <w:r>
        <w:rPr>
          <w:rFonts w:eastAsia="Palatino Linotype"/>
          <w:sz w:val="22"/>
          <w:szCs w:val="22"/>
          <w:lang w:val="es-ES"/>
        </w:rPr>
        <w:t>obligations</w:t>
      </w:r>
      <w:proofErr w:type="spellEnd"/>
      <w:r>
        <w:rPr>
          <w:rFonts w:eastAsia="Palatino Linotype"/>
          <w:sz w:val="22"/>
          <w:szCs w:val="22"/>
          <w:lang w:val="es-ES"/>
        </w:rPr>
        <w:t xml:space="preserve"> </w:t>
      </w:r>
      <w:proofErr w:type="spellStart"/>
      <w:r>
        <w:rPr>
          <w:rFonts w:eastAsia="Palatino Linotype"/>
          <w:sz w:val="22"/>
          <w:szCs w:val="22"/>
          <w:lang w:val="es-ES"/>
        </w:rPr>
        <w:t>assumed</w:t>
      </w:r>
      <w:proofErr w:type="spellEnd"/>
      <w:r>
        <w:rPr>
          <w:rFonts w:eastAsia="Palatino Linotype"/>
          <w:sz w:val="22"/>
          <w:szCs w:val="22"/>
          <w:lang w:val="es-ES"/>
        </w:rPr>
        <w:t xml:space="preserve">. The </w:t>
      </w:r>
      <w:proofErr w:type="spellStart"/>
      <w:r>
        <w:rPr>
          <w:rFonts w:eastAsia="Palatino Linotype"/>
          <w:sz w:val="22"/>
          <w:szCs w:val="22"/>
          <w:lang w:val="es-ES"/>
        </w:rPr>
        <w:t>assignment</w:t>
      </w:r>
      <w:proofErr w:type="spellEnd"/>
      <w:r>
        <w:rPr>
          <w:rFonts w:eastAsia="Palatino Linotype"/>
          <w:sz w:val="22"/>
          <w:szCs w:val="22"/>
          <w:lang w:val="es-ES"/>
        </w:rPr>
        <w:t xml:space="preserve"> </w:t>
      </w:r>
      <w:proofErr w:type="spellStart"/>
      <w:r>
        <w:rPr>
          <w:rFonts w:eastAsia="Palatino Linotype"/>
          <w:sz w:val="22"/>
          <w:szCs w:val="22"/>
          <w:lang w:val="es-ES"/>
        </w:rPr>
        <w:t>of</w:t>
      </w:r>
      <w:proofErr w:type="spellEnd"/>
      <w:r>
        <w:rPr>
          <w:rFonts w:eastAsia="Palatino Linotype"/>
          <w:sz w:val="22"/>
          <w:szCs w:val="22"/>
          <w:lang w:val="es-ES"/>
        </w:rPr>
        <w:t xml:space="preserve"> </w:t>
      </w:r>
      <w:proofErr w:type="spellStart"/>
      <w:r>
        <w:rPr>
          <w:rFonts w:eastAsia="Palatino Linotype"/>
          <w:sz w:val="22"/>
          <w:szCs w:val="22"/>
          <w:lang w:val="es-ES"/>
        </w:rPr>
        <w:t>the</w:t>
      </w:r>
      <w:proofErr w:type="spellEnd"/>
      <w:r>
        <w:rPr>
          <w:rFonts w:eastAsia="Palatino Linotype"/>
          <w:sz w:val="22"/>
          <w:szCs w:val="22"/>
          <w:lang w:val="es-ES"/>
        </w:rPr>
        <w:t xml:space="preserve"> </w:t>
      </w:r>
      <w:proofErr w:type="spellStart"/>
      <w:r>
        <w:rPr>
          <w:rFonts w:eastAsia="Palatino Linotype"/>
          <w:sz w:val="22"/>
          <w:szCs w:val="22"/>
          <w:lang w:val="es-ES"/>
        </w:rPr>
        <w:t>contract</w:t>
      </w:r>
      <w:proofErr w:type="spellEnd"/>
      <w:r>
        <w:rPr>
          <w:rFonts w:eastAsia="Palatino Linotype"/>
          <w:sz w:val="22"/>
          <w:szCs w:val="22"/>
          <w:lang w:val="es-ES"/>
        </w:rPr>
        <w:t xml:space="preserve"> </w:t>
      </w:r>
      <w:proofErr w:type="spellStart"/>
      <w:r>
        <w:rPr>
          <w:rFonts w:eastAsia="Palatino Linotype"/>
          <w:sz w:val="22"/>
          <w:szCs w:val="22"/>
          <w:lang w:val="es-ES"/>
        </w:rPr>
        <w:t>may</w:t>
      </w:r>
      <w:proofErr w:type="spellEnd"/>
      <w:r>
        <w:rPr>
          <w:rFonts w:eastAsia="Palatino Linotype"/>
          <w:sz w:val="22"/>
          <w:szCs w:val="22"/>
          <w:lang w:val="es-ES"/>
        </w:rPr>
        <w:t xml:space="preserve"> </w:t>
      </w:r>
      <w:proofErr w:type="spellStart"/>
      <w:r>
        <w:rPr>
          <w:rFonts w:eastAsia="Palatino Linotype"/>
          <w:sz w:val="22"/>
          <w:szCs w:val="22"/>
          <w:lang w:val="es-ES"/>
        </w:rPr>
        <w:t>only</w:t>
      </w:r>
      <w:proofErr w:type="spellEnd"/>
      <w:r>
        <w:rPr>
          <w:rFonts w:eastAsia="Palatino Linotype"/>
          <w:sz w:val="22"/>
          <w:szCs w:val="22"/>
          <w:lang w:val="es-ES"/>
        </w:rPr>
        <w:t xml:space="preserve"> be </w:t>
      </w:r>
      <w:proofErr w:type="spellStart"/>
      <w:r>
        <w:rPr>
          <w:rFonts w:eastAsia="Palatino Linotype"/>
          <w:sz w:val="22"/>
          <w:szCs w:val="22"/>
          <w:lang w:val="es-ES"/>
        </w:rPr>
        <w:t>verified</w:t>
      </w:r>
      <w:proofErr w:type="spellEnd"/>
      <w:r>
        <w:rPr>
          <w:rFonts w:eastAsia="Palatino Linotype"/>
          <w:sz w:val="22"/>
          <w:szCs w:val="22"/>
          <w:lang w:val="es-ES"/>
        </w:rPr>
        <w:t xml:space="preserve"> </w:t>
      </w:r>
      <w:proofErr w:type="spellStart"/>
      <w:r>
        <w:rPr>
          <w:rFonts w:eastAsia="Palatino Linotype"/>
          <w:sz w:val="22"/>
          <w:szCs w:val="22"/>
          <w:lang w:val="es-ES"/>
        </w:rPr>
        <w:t>upon</w:t>
      </w:r>
      <w:proofErr w:type="spellEnd"/>
      <w:r>
        <w:rPr>
          <w:rFonts w:eastAsia="Palatino Linotype"/>
          <w:sz w:val="22"/>
          <w:szCs w:val="22"/>
          <w:lang w:val="es-ES"/>
        </w:rPr>
        <w:t xml:space="preserve"> a </w:t>
      </w:r>
      <w:proofErr w:type="spellStart"/>
      <w:r>
        <w:rPr>
          <w:rFonts w:eastAsia="Palatino Linotype"/>
          <w:sz w:val="22"/>
          <w:szCs w:val="22"/>
          <w:lang w:val="es-ES"/>
        </w:rPr>
        <w:t>duly</w:t>
      </w:r>
      <w:proofErr w:type="spellEnd"/>
      <w:r>
        <w:rPr>
          <w:rFonts w:eastAsia="Palatino Linotype"/>
          <w:sz w:val="22"/>
          <w:szCs w:val="22"/>
          <w:lang w:val="es-ES"/>
        </w:rPr>
        <w:t xml:space="preserve"> </w:t>
      </w:r>
      <w:proofErr w:type="spellStart"/>
      <w:r>
        <w:rPr>
          <w:rFonts w:eastAsia="Palatino Linotype"/>
          <w:sz w:val="22"/>
          <w:szCs w:val="22"/>
          <w:lang w:val="es-ES"/>
        </w:rPr>
        <w:t>justified</w:t>
      </w:r>
      <w:proofErr w:type="spellEnd"/>
      <w:r>
        <w:rPr>
          <w:rFonts w:eastAsia="Palatino Linotype"/>
          <w:sz w:val="22"/>
          <w:szCs w:val="22"/>
          <w:lang w:val="es-ES"/>
        </w:rPr>
        <w:t xml:space="preserve"> </w:t>
      </w:r>
      <w:proofErr w:type="spellStart"/>
      <w:r>
        <w:rPr>
          <w:rFonts w:eastAsia="Palatino Linotype"/>
          <w:sz w:val="22"/>
          <w:szCs w:val="22"/>
          <w:lang w:val="es-ES"/>
        </w:rPr>
        <w:t>request</w:t>
      </w:r>
      <w:proofErr w:type="spellEnd"/>
      <w:r>
        <w:rPr>
          <w:rFonts w:eastAsia="Palatino Linotype"/>
          <w:sz w:val="22"/>
          <w:szCs w:val="22"/>
          <w:lang w:val="es-ES"/>
        </w:rPr>
        <w:t xml:space="preserve"> </w:t>
      </w:r>
      <w:proofErr w:type="spellStart"/>
      <w:r>
        <w:rPr>
          <w:rFonts w:eastAsia="Palatino Linotype"/>
          <w:sz w:val="22"/>
          <w:szCs w:val="22"/>
          <w:lang w:val="es-ES"/>
        </w:rPr>
        <w:t>from</w:t>
      </w:r>
      <w:proofErr w:type="spellEnd"/>
      <w:r>
        <w:rPr>
          <w:rFonts w:eastAsia="Palatino Linotype"/>
          <w:sz w:val="22"/>
          <w:szCs w:val="22"/>
          <w:lang w:val="es-ES"/>
        </w:rPr>
        <w:t xml:space="preserve"> </w:t>
      </w:r>
      <w:proofErr w:type="spellStart"/>
      <w:r>
        <w:rPr>
          <w:rFonts w:eastAsia="Palatino Linotype"/>
          <w:sz w:val="22"/>
          <w:szCs w:val="22"/>
          <w:lang w:val="es-ES"/>
        </w:rPr>
        <w:t>the</w:t>
      </w:r>
      <w:proofErr w:type="spellEnd"/>
      <w:r>
        <w:rPr>
          <w:rFonts w:eastAsia="Palatino Linotype"/>
          <w:sz w:val="22"/>
          <w:szCs w:val="22"/>
          <w:lang w:val="es-ES"/>
        </w:rPr>
        <w:t xml:space="preserve"> </w:t>
      </w:r>
      <w:proofErr w:type="spellStart"/>
      <w:r>
        <w:rPr>
          <w:rFonts w:eastAsia="Palatino Linotype"/>
          <w:sz w:val="22"/>
          <w:szCs w:val="22"/>
          <w:lang w:val="es-ES"/>
        </w:rPr>
        <w:t>contractor</w:t>
      </w:r>
      <w:proofErr w:type="spellEnd"/>
      <w:r>
        <w:rPr>
          <w:rFonts w:eastAsia="Palatino Linotype"/>
          <w:sz w:val="22"/>
          <w:szCs w:val="22"/>
          <w:lang w:val="es-ES"/>
        </w:rPr>
        <w:t xml:space="preserve"> and </w:t>
      </w:r>
      <w:proofErr w:type="spellStart"/>
      <w:r>
        <w:rPr>
          <w:rFonts w:eastAsia="Palatino Linotype"/>
          <w:sz w:val="22"/>
          <w:szCs w:val="22"/>
          <w:lang w:val="es-ES"/>
        </w:rPr>
        <w:t>with</w:t>
      </w:r>
      <w:proofErr w:type="spellEnd"/>
      <w:r>
        <w:rPr>
          <w:rFonts w:eastAsia="Palatino Linotype"/>
          <w:sz w:val="22"/>
          <w:szCs w:val="22"/>
          <w:lang w:val="es-ES"/>
        </w:rPr>
        <w:t xml:space="preserve"> </w:t>
      </w:r>
      <w:proofErr w:type="spellStart"/>
      <w:r>
        <w:rPr>
          <w:rFonts w:eastAsia="Palatino Linotype"/>
          <w:sz w:val="22"/>
          <w:szCs w:val="22"/>
          <w:lang w:val="es-ES"/>
        </w:rPr>
        <w:t>the</w:t>
      </w:r>
      <w:proofErr w:type="spellEnd"/>
      <w:r>
        <w:rPr>
          <w:rFonts w:eastAsia="Palatino Linotype"/>
          <w:sz w:val="22"/>
          <w:szCs w:val="22"/>
          <w:lang w:val="es-ES"/>
        </w:rPr>
        <w:t xml:space="preserve"> </w:t>
      </w:r>
      <w:proofErr w:type="spellStart"/>
      <w:r>
        <w:rPr>
          <w:rFonts w:eastAsia="Palatino Linotype"/>
          <w:sz w:val="22"/>
          <w:szCs w:val="22"/>
          <w:lang w:val="es-ES"/>
        </w:rPr>
        <w:t>written</w:t>
      </w:r>
      <w:proofErr w:type="spellEnd"/>
      <w:r>
        <w:rPr>
          <w:rFonts w:eastAsia="Palatino Linotype"/>
          <w:sz w:val="22"/>
          <w:szCs w:val="22"/>
          <w:lang w:val="es-ES"/>
        </w:rPr>
        <w:t xml:space="preserve"> </w:t>
      </w:r>
      <w:proofErr w:type="spellStart"/>
      <w:r>
        <w:rPr>
          <w:rFonts w:eastAsia="Palatino Linotype"/>
          <w:sz w:val="22"/>
          <w:szCs w:val="22"/>
          <w:lang w:val="es-ES"/>
        </w:rPr>
        <w:t>consent</w:t>
      </w:r>
      <w:proofErr w:type="spellEnd"/>
      <w:r>
        <w:rPr>
          <w:rFonts w:eastAsia="Palatino Linotype"/>
          <w:sz w:val="22"/>
          <w:szCs w:val="22"/>
          <w:lang w:val="es-ES"/>
        </w:rPr>
        <w:t xml:space="preserve"> </w:t>
      </w:r>
      <w:proofErr w:type="spellStart"/>
      <w:r>
        <w:rPr>
          <w:rFonts w:eastAsia="Palatino Linotype"/>
          <w:sz w:val="22"/>
          <w:szCs w:val="22"/>
          <w:lang w:val="es-ES"/>
        </w:rPr>
        <w:t>of</w:t>
      </w:r>
      <w:proofErr w:type="spellEnd"/>
      <w:r>
        <w:rPr>
          <w:rFonts w:eastAsia="Palatino Linotype"/>
          <w:sz w:val="22"/>
          <w:szCs w:val="22"/>
          <w:lang w:val="es-ES"/>
        </w:rPr>
        <w:t xml:space="preserve"> </w:t>
      </w:r>
      <w:proofErr w:type="spellStart"/>
      <w:r>
        <w:rPr>
          <w:rFonts w:eastAsia="Palatino Linotype"/>
          <w:sz w:val="22"/>
          <w:szCs w:val="22"/>
          <w:lang w:val="es-ES"/>
        </w:rPr>
        <w:t>the</w:t>
      </w:r>
      <w:proofErr w:type="spellEnd"/>
      <w:r>
        <w:rPr>
          <w:rFonts w:eastAsia="Palatino Linotype"/>
          <w:sz w:val="22"/>
          <w:szCs w:val="22"/>
          <w:lang w:val="es-ES"/>
        </w:rPr>
        <w:t xml:space="preserve"> </w:t>
      </w:r>
      <w:proofErr w:type="spellStart"/>
      <w:r>
        <w:rPr>
          <w:rFonts w:eastAsia="Palatino Linotype"/>
          <w:sz w:val="22"/>
          <w:szCs w:val="22"/>
          <w:lang w:val="es-ES"/>
        </w:rPr>
        <w:t>contracting</w:t>
      </w:r>
      <w:proofErr w:type="spellEnd"/>
      <w:r>
        <w:rPr>
          <w:rFonts w:eastAsia="Palatino Linotype"/>
          <w:sz w:val="22"/>
          <w:szCs w:val="22"/>
          <w:lang w:val="es-ES"/>
        </w:rPr>
        <w:t xml:space="preserve"> </w:t>
      </w:r>
      <w:proofErr w:type="spellStart"/>
      <w:r>
        <w:rPr>
          <w:rFonts w:eastAsia="Palatino Linotype"/>
          <w:sz w:val="22"/>
          <w:szCs w:val="22"/>
          <w:lang w:val="es-ES"/>
        </w:rPr>
        <w:t>entity</w:t>
      </w:r>
      <w:proofErr w:type="spellEnd"/>
      <w:r>
        <w:rPr>
          <w:rFonts w:eastAsia="Palatino Linotype"/>
          <w:sz w:val="22"/>
          <w:szCs w:val="22"/>
          <w:lang w:val="es-ES"/>
        </w:rPr>
        <w:t xml:space="preserve">, after </w:t>
      </w:r>
      <w:proofErr w:type="spellStart"/>
      <w:r>
        <w:rPr>
          <w:rFonts w:eastAsia="Palatino Linotype"/>
          <w:sz w:val="22"/>
          <w:szCs w:val="22"/>
          <w:lang w:val="es-ES"/>
        </w:rPr>
        <w:t>demonstrating</w:t>
      </w:r>
      <w:proofErr w:type="spellEnd"/>
      <w:r>
        <w:rPr>
          <w:rFonts w:eastAsia="Palatino Linotype"/>
          <w:sz w:val="22"/>
          <w:szCs w:val="22"/>
          <w:lang w:val="es-ES"/>
        </w:rPr>
        <w:t xml:space="preserve"> </w:t>
      </w:r>
      <w:proofErr w:type="spellStart"/>
      <w:r>
        <w:rPr>
          <w:rFonts w:eastAsia="Palatino Linotype"/>
          <w:sz w:val="22"/>
          <w:szCs w:val="22"/>
          <w:lang w:val="es-ES"/>
        </w:rPr>
        <w:t>that</w:t>
      </w:r>
      <w:proofErr w:type="spellEnd"/>
      <w:r>
        <w:rPr>
          <w:rFonts w:eastAsia="Palatino Linotype"/>
          <w:sz w:val="22"/>
          <w:szCs w:val="22"/>
          <w:lang w:val="es-ES"/>
        </w:rPr>
        <w:t xml:space="preserve"> </w:t>
      </w:r>
      <w:proofErr w:type="spellStart"/>
      <w:r>
        <w:rPr>
          <w:rFonts w:eastAsia="Palatino Linotype"/>
          <w:sz w:val="22"/>
          <w:szCs w:val="22"/>
          <w:lang w:val="es-ES"/>
        </w:rPr>
        <w:t>the</w:t>
      </w:r>
      <w:proofErr w:type="spellEnd"/>
      <w:r>
        <w:rPr>
          <w:rFonts w:eastAsia="Palatino Linotype"/>
          <w:sz w:val="22"/>
          <w:szCs w:val="22"/>
          <w:lang w:val="es-ES"/>
        </w:rPr>
        <w:t xml:space="preserve"> </w:t>
      </w:r>
      <w:proofErr w:type="spellStart"/>
      <w:r>
        <w:rPr>
          <w:rFonts w:eastAsia="Palatino Linotype"/>
          <w:sz w:val="22"/>
          <w:szCs w:val="22"/>
          <w:lang w:val="es-ES"/>
        </w:rPr>
        <w:t>assignee</w:t>
      </w:r>
      <w:proofErr w:type="spellEnd"/>
      <w:r>
        <w:rPr>
          <w:rFonts w:eastAsia="Palatino Linotype"/>
          <w:sz w:val="22"/>
          <w:szCs w:val="22"/>
          <w:lang w:val="es-ES"/>
        </w:rPr>
        <w:t xml:space="preserve"> </w:t>
      </w:r>
      <w:proofErr w:type="spellStart"/>
      <w:r>
        <w:rPr>
          <w:rFonts w:eastAsia="Palatino Linotype"/>
          <w:sz w:val="22"/>
          <w:szCs w:val="22"/>
          <w:lang w:val="es-ES"/>
        </w:rPr>
        <w:t>provides</w:t>
      </w:r>
      <w:proofErr w:type="spellEnd"/>
      <w:r>
        <w:rPr>
          <w:rFonts w:eastAsia="Palatino Linotype"/>
          <w:sz w:val="22"/>
          <w:szCs w:val="22"/>
          <w:lang w:val="es-ES"/>
        </w:rPr>
        <w:t xml:space="preserve"> </w:t>
      </w:r>
      <w:proofErr w:type="spellStart"/>
      <w:r>
        <w:rPr>
          <w:rFonts w:eastAsia="Palatino Linotype"/>
          <w:sz w:val="22"/>
          <w:szCs w:val="22"/>
          <w:lang w:val="es-ES"/>
        </w:rPr>
        <w:t>the</w:t>
      </w:r>
      <w:proofErr w:type="spellEnd"/>
      <w:r>
        <w:rPr>
          <w:rFonts w:eastAsia="Palatino Linotype"/>
          <w:sz w:val="22"/>
          <w:szCs w:val="22"/>
          <w:lang w:val="es-ES"/>
        </w:rPr>
        <w:t xml:space="preserve"> </w:t>
      </w:r>
      <w:proofErr w:type="spellStart"/>
      <w:r>
        <w:rPr>
          <w:rFonts w:eastAsia="Palatino Linotype"/>
          <w:sz w:val="22"/>
          <w:szCs w:val="22"/>
          <w:lang w:val="es-ES"/>
        </w:rPr>
        <w:t>same</w:t>
      </w:r>
      <w:proofErr w:type="spellEnd"/>
      <w:r>
        <w:rPr>
          <w:rFonts w:eastAsia="Palatino Linotype"/>
          <w:sz w:val="22"/>
          <w:szCs w:val="22"/>
          <w:lang w:val="es-ES"/>
        </w:rPr>
        <w:t xml:space="preserve"> </w:t>
      </w:r>
      <w:proofErr w:type="spellStart"/>
      <w:r>
        <w:rPr>
          <w:rFonts w:eastAsia="Palatino Linotype"/>
          <w:sz w:val="22"/>
          <w:szCs w:val="22"/>
          <w:lang w:val="es-ES"/>
        </w:rPr>
        <w:t>guarantees</w:t>
      </w:r>
      <w:proofErr w:type="spellEnd"/>
      <w:r>
        <w:rPr>
          <w:rFonts w:eastAsia="Palatino Linotype"/>
          <w:sz w:val="22"/>
          <w:szCs w:val="22"/>
          <w:lang w:val="es-ES"/>
        </w:rPr>
        <w:t xml:space="preserve"> </w:t>
      </w:r>
      <w:proofErr w:type="spellStart"/>
      <w:r>
        <w:rPr>
          <w:rFonts w:eastAsia="Palatino Linotype"/>
          <w:sz w:val="22"/>
          <w:szCs w:val="22"/>
          <w:lang w:val="es-ES"/>
        </w:rPr>
        <w:t>of</w:t>
      </w:r>
      <w:proofErr w:type="spellEnd"/>
      <w:r>
        <w:rPr>
          <w:rFonts w:eastAsia="Palatino Linotype"/>
          <w:sz w:val="22"/>
          <w:szCs w:val="22"/>
          <w:lang w:val="es-ES"/>
        </w:rPr>
        <w:t xml:space="preserve"> performance, and </w:t>
      </w:r>
      <w:proofErr w:type="spellStart"/>
      <w:r>
        <w:rPr>
          <w:rFonts w:eastAsia="Palatino Linotype"/>
          <w:sz w:val="22"/>
          <w:szCs w:val="22"/>
          <w:lang w:val="es-ES"/>
        </w:rPr>
        <w:t>the</w:t>
      </w:r>
      <w:proofErr w:type="spellEnd"/>
      <w:r>
        <w:rPr>
          <w:rFonts w:eastAsia="Palatino Linotype"/>
          <w:sz w:val="22"/>
          <w:szCs w:val="22"/>
          <w:lang w:val="es-ES"/>
        </w:rPr>
        <w:t xml:space="preserve"> </w:t>
      </w:r>
      <w:proofErr w:type="spellStart"/>
      <w:r>
        <w:rPr>
          <w:rFonts w:eastAsia="Palatino Linotype"/>
          <w:sz w:val="22"/>
          <w:szCs w:val="22"/>
          <w:lang w:val="es-ES"/>
        </w:rPr>
        <w:t>fact</w:t>
      </w:r>
      <w:proofErr w:type="spellEnd"/>
      <w:r>
        <w:rPr>
          <w:rFonts w:eastAsia="Palatino Linotype"/>
          <w:sz w:val="22"/>
          <w:szCs w:val="22"/>
          <w:lang w:val="es-ES"/>
        </w:rPr>
        <w:t xml:space="preserve"> </w:t>
      </w:r>
      <w:proofErr w:type="spellStart"/>
      <w:r>
        <w:rPr>
          <w:rFonts w:eastAsia="Palatino Linotype"/>
          <w:sz w:val="22"/>
          <w:szCs w:val="22"/>
          <w:lang w:val="es-ES"/>
        </w:rPr>
        <w:t>shall</w:t>
      </w:r>
      <w:proofErr w:type="spellEnd"/>
      <w:r>
        <w:rPr>
          <w:rFonts w:eastAsia="Palatino Linotype"/>
          <w:sz w:val="22"/>
          <w:szCs w:val="22"/>
          <w:lang w:val="es-ES"/>
        </w:rPr>
        <w:t xml:space="preserve"> be </w:t>
      </w:r>
      <w:proofErr w:type="spellStart"/>
      <w:r>
        <w:rPr>
          <w:rFonts w:eastAsia="Palatino Linotype"/>
          <w:sz w:val="22"/>
          <w:szCs w:val="22"/>
          <w:lang w:val="es-ES"/>
        </w:rPr>
        <w:t>registered</w:t>
      </w:r>
      <w:proofErr w:type="spellEnd"/>
      <w:r>
        <w:rPr>
          <w:rFonts w:eastAsia="Palatino Linotype"/>
          <w:sz w:val="22"/>
          <w:szCs w:val="22"/>
          <w:lang w:val="es-ES"/>
        </w:rPr>
        <w:t xml:space="preserve"> in </w:t>
      </w:r>
      <w:proofErr w:type="spellStart"/>
      <w:r>
        <w:rPr>
          <w:rFonts w:eastAsia="Palatino Linotype"/>
          <w:sz w:val="22"/>
          <w:szCs w:val="22"/>
          <w:lang w:val="es-ES"/>
        </w:rPr>
        <w:t>the</w:t>
      </w:r>
      <w:proofErr w:type="spellEnd"/>
      <w:r>
        <w:rPr>
          <w:rFonts w:eastAsia="Palatino Linotype"/>
          <w:sz w:val="22"/>
          <w:szCs w:val="22"/>
          <w:lang w:val="es-ES"/>
        </w:rPr>
        <w:t xml:space="preserve"> RUPE.</w:t>
      </w:r>
    </w:p>
    <w:p w14:paraId="035E2A06" w14:textId="77777777" w:rsidR="00E255F4" w:rsidRDefault="00E255F4">
      <w:pPr>
        <w:ind w:right="-142"/>
        <w:jc w:val="both"/>
        <w:rPr>
          <w:rFonts w:eastAsia="Palatino Linotype"/>
          <w:sz w:val="22"/>
          <w:szCs w:val="22"/>
          <w:lang w:val="es-ES"/>
        </w:rPr>
      </w:pPr>
    </w:p>
    <w:p w14:paraId="4E7ED489" w14:textId="77777777" w:rsidR="00E255F4" w:rsidRDefault="00000000">
      <w:pPr>
        <w:ind w:right="-142"/>
        <w:jc w:val="both"/>
        <w:rPr>
          <w:rFonts w:eastAsia="Palatino Linotype"/>
          <w:sz w:val="22"/>
          <w:szCs w:val="22"/>
          <w:lang w:val="es-ES"/>
        </w:rPr>
      </w:pPr>
      <w:r>
        <w:rPr>
          <w:rFonts w:eastAsia="Palatino Linotype"/>
          <w:spacing w:val="-1"/>
          <w:sz w:val="22"/>
          <w:szCs w:val="22"/>
          <w:lang w:val="es-ES"/>
        </w:rPr>
        <w:t>AND</w:t>
      </w:r>
      <w:r>
        <w:rPr>
          <w:rFonts w:eastAsia="Palatino Linotype"/>
          <w:sz w:val="22"/>
          <w:szCs w:val="22"/>
          <w:lang w:val="es-ES"/>
        </w:rPr>
        <w:t xml:space="preserve">In </w:t>
      </w:r>
      <w:proofErr w:type="spellStart"/>
      <w:r>
        <w:rPr>
          <w:rFonts w:eastAsia="Palatino Linotype"/>
          <w:sz w:val="22"/>
          <w:szCs w:val="22"/>
          <w:lang w:val="es-ES"/>
        </w:rPr>
        <w:t>all</w:t>
      </w:r>
      <w:proofErr w:type="spellEnd"/>
      <w:r>
        <w:rPr>
          <w:rFonts w:eastAsia="Palatino Linotype"/>
          <w:sz w:val="22"/>
          <w:szCs w:val="22"/>
          <w:lang w:val="es-ES"/>
        </w:rPr>
        <w:t xml:space="preserve"> cases </w:t>
      </w:r>
      <w:proofErr w:type="spellStart"/>
      <w:r>
        <w:rPr>
          <w:rFonts w:eastAsia="Palatino Linotype"/>
          <w:sz w:val="22"/>
          <w:szCs w:val="22"/>
          <w:lang w:val="es-ES"/>
        </w:rPr>
        <w:t>the</w:t>
      </w:r>
      <w:proofErr w:type="spellEnd"/>
      <w:r>
        <w:rPr>
          <w:rFonts w:eastAsia="Palatino Linotype"/>
          <w:sz w:val="22"/>
          <w:szCs w:val="22"/>
          <w:lang w:val="es-ES"/>
        </w:rPr>
        <w:t xml:space="preserve"> </w:t>
      </w:r>
      <w:proofErr w:type="spellStart"/>
      <w:r>
        <w:rPr>
          <w:rFonts w:eastAsia="Palatino Linotype"/>
          <w:sz w:val="22"/>
          <w:szCs w:val="22"/>
          <w:lang w:val="es-ES"/>
        </w:rPr>
        <w:t>assignee</w:t>
      </w:r>
      <w:proofErr w:type="spellEnd"/>
      <w:r>
        <w:rPr>
          <w:rFonts w:eastAsia="Palatino Linotype"/>
          <w:sz w:val="22"/>
          <w:szCs w:val="22"/>
          <w:lang w:val="es-ES"/>
        </w:rPr>
        <w:t xml:space="preserve"> </w:t>
      </w:r>
      <w:proofErr w:type="spellStart"/>
      <w:r>
        <w:rPr>
          <w:rFonts w:eastAsia="Palatino Linotype"/>
          <w:sz w:val="22"/>
          <w:szCs w:val="22"/>
          <w:lang w:val="es-ES"/>
        </w:rPr>
        <w:t>must</w:t>
      </w:r>
      <w:proofErr w:type="spellEnd"/>
      <w:r>
        <w:rPr>
          <w:rFonts w:eastAsia="Palatino Linotype"/>
          <w:sz w:val="22"/>
          <w:szCs w:val="22"/>
          <w:lang w:val="es-ES"/>
        </w:rPr>
        <w:t xml:space="preserve"> </w:t>
      </w:r>
      <w:proofErr w:type="spellStart"/>
      <w:r>
        <w:rPr>
          <w:rFonts w:eastAsia="Palatino Linotype"/>
          <w:sz w:val="22"/>
          <w:szCs w:val="22"/>
          <w:lang w:val="es-ES"/>
        </w:rPr>
        <w:t>prove</w:t>
      </w:r>
      <w:proofErr w:type="spellEnd"/>
      <w:r>
        <w:rPr>
          <w:rFonts w:eastAsia="Palatino Linotype"/>
          <w:sz w:val="22"/>
          <w:szCs w:val="22"/>
          <w:lang w:val="es-ES"/>
        </w:rPr>
        <w:t xml:space="preserve"> </w:t>
      </w:r>
      <w:proofErr w:type="spellStart"/>
      <w:r>
        <w:rPr>
          <w:rFonts w:eastAsia="Palatino Linotype"/>
          <w:sz w:val="22"/>
          <w:szCs w:val="22"/>
          <w:lang w:val="es-ES"/>
        </w:rPr>
        <w:t>that</w:t>
      </w:r>
      <w:proofErr w:type="spellEnd"/>
      <w:r>
        <w:rPr>
          <w:rFonts w:eastAsia="Palatino Linotype"/>
          <w:sz w:val="22"/>
          <w:szCs w:val="22"/>
          <w:lang w:val="es-ES"/>
        </w:rPr>
        <w:t xml:space="preserve"> </w:t>
      </w:r>
      <w:proofErr w:type="spellStart"/>
      <w:r>
        <w:rPr>
          <w:rFonts w:eastAsia="Palatino Linotype"/>
          <w:sz w:val="22"/>
          <w:szCs w:val="22"/>
          <w:lang w:val="es-ES"/>
        </w:rPr>
        <w:t>it</w:t>
      </w:r>
      <w:proofErr w:type="spellEnd"/>
      <w:r>
        <w:rPr>
          <w:rFonts w:eastAsia="Palatino Linotype"/>
          <w:sz w:val="22"/>
          <w:szCs w:val="22"/>
          <w:lang w:val="es-ES"/>
        </w:rPr>
        <w:t xml:space="preserve"> has </w:t>
      </w:r>
      <w:proofErr w:type="spellStart"/>
      <w:r>
        <w:rPr>
          <w:rFonts w:eastAsia="Palatino Linotype"/>
          <w:sz w:val="22"/>
          <w:szCs w:val="22"/>
          <w:lang w:val="es-ES"/>
        </w:rPr>
        <w:t>the</w:t>
      </w:r>
      <w:proofErr w:type="spellEnd"/>
      <w:r>
        <w:rPr>
          <w:rFonts w:eastAsia="Palatino Linotype"/>
          <w:sz w:val="22"/>
          <w:szCs w:val="22"/>
          <w:lang w:val="es-ES"/>
        </w:rPr>
        <w:t xml:space="preserve"> </w:t>
      </w:r>
      <w:proofErr w:type="spellStart"/>
      <w:r>
        <w:rPr>
          <w:rFonts w:eastAsia="Palatino Linotype"/>
          <w:sz w:val="22"/>
          <w:szCs w:val="22"/>
          <w:lang w:val="es-ES"/>
        </w:rPr>
        <w:t>capacity</w:t>
      </w:r>
      <w:proofErr w:type="spellEnd"/>
      <w:r>
        <w:rPr>
          <w:rFonts w:eastAsia="Palatino Linotype"/>
          <w:sz w:val="22"/>
          <w:szCs w:val="22"/>
          <w:lang w:val="es-ES"/>
        </w:rPr>
        <w:t xml:space="preserve"> </w:t>
      </w:r>
      <w:proofErr w:type="spellStart"/>
      <w:r>
        <w:rPr>
          <w:rFonts w:eastAsia="Palatino Linotype"/>
          <w:sz w:val="22"/>
          <w:szCs w:val="22"/>
          <w:lang w:val="es-ES"/>
        </w:rPr>
        <w:t>to</w:t>
      </w:r>
      <w:proofErr w:type="spellEnd"/>
      <w:r>
        <w:rPr>
          <w:rFonts w:eastAsia="Palatino Linotype"/>
          <w:sz w:val="22"/>
          <w:szCs w:val="22"/>
          <w:lang w:val="es-ES"/>
        </w:rPr>
        <w:t xml:space="preserve"> </w:t>
      </w:r>
      <w:proofErr w:type="spellStart"/>
      <w:r>
        <w:rPr>
          <w:rFonts w:eastAsia="Palatino Linotype"/>
          <w:sz w:val="22"/>
          <w:szCs w:val="22"/>
          <w:lang w:val="es-ES"/>
        </w:rPr>
        <w:t>contract</w:t>
      </w:r>
      <w:proofErr w:type="spellEnd"/>
      <w:r>
        <w:rPr>
          <w:rFonts w:eastAsia="Palatino Linotype"/>
          <w:sz w:val="22"/>
          <w:szCs w:val="22"/>
          <w:lang w:val="es-ES"/>
        </w:rPr>
        <w:t xml:space="preserve"> </w:t>
      </w:r>
      <w:proofErr w:type="spellStart"/>
      <w:r>
        <w:rPr>
          <w:rFonts w:eastAsia="Palatino Linotype"/>
          <w:sz w:val="22"/>
          <w:szCs w:val="22"/>
          <w:lang w:val="es-ES"/>
        </w:rPr>
        <w:t>with</w:t>
      </w:r>
      <w:proofErr w:type="spellEnd"/>
      <w:r>
        <w:rPr>
          <w:rFonts w:eastAsia="Palatino Linotype"/>
          <w:sz w:val="22"/>
          <w:szCs w:val="22"/>
          <w:lang w:val="es-ES"/>
        </w:rPr>
        <w:t xml:space="preserve"> </w:t>
      </w:r>
      <w:proofErr w:type="spellStart"/>
      <w:r>
        <w:rPr>
          <w:rFonts w:eastAsia="Palatino Linotype"/>
          <w:sz w:val="22"/>
          <w:szCs w:val="22"/>
          <w:lang w:val="es-ES"/>
        </w:rPr>
        <w:t>the</w:t>
      </w:r>
      <w:proofErr w:type="spellEnd"/>
      <w:r>
        <w:rPr>
          <w:rFonts w:eastAsia="Palatino Linotype"/>
          <w:sz w:val="22"/>
          <w:szCs w:val="22"/>
          <w:lang w:val="es-ES"/>
        </w:rPr>
        <w:t xml:space="preserve"> State and </w:t>
      </w:r>
      <w:proofErr w:type="spellStart"/>
      <w:r>
        <w:rPr>
          <w:rFonts w:eastAsia="Palatino Linotype"/>
          <w:sz w:val="22"/>
          <w:szCs w:val="22"/>
          <w:lang w:val="es-ES"/>
        </w:rPr>
        <w:t>that</w:t>
      </w:r>
      <w:proofErr w:type="spellEnd"/>
      <w:r>
        <w:rPr>
          <w:rFonts w:eastAsia="Palatino Linotype"/>
          <w:sz w:val="22"/>
          <w:szCs w:val="22"/>
          <w:lang w:val="es-ES"/>
        </w:rPr>
        <w:t xml:space="preserve"> </w:t>
      </w:r>
      <w:proofErr w:type="spellStart"/>
      <w:r>
        <w:rPr>
          <w:rFonts w:eastAsia="Palatino Linotype"/>
          <w:sz w:val="22"/>
          <w:szCs w:val="22"/>
          <w:lang w:val="es-ES"/>
        </w:rPr>
        <w:t>it</w:t>
      </w:r>
      <w:proofErr w:type="spellEnd"/>
      <w:r>
        <w:rPr>
          <w:rFonts w:eastAsia="Palatino Linotype"/>
          <w:sz w:val="22"/>
          <w:szCs w:val="22"/>
          <w:lang w:val="es-ES"/>
        </w:rPr>
        <w:t xml:space="preserve"> </w:t>
      </w:r>
      <w:proofErr w:type="spellStart"/>
      <w:r>
        <w:rPr>
          <w:rFonts w:eastAsia="Palatino Linotype"/>
          <w:sz w:val="22"/>
          <w:szCs w:val="22"/>
          <w:lang w:val="es-ES"/>
        </w:rPr>
        <w:t>meets</w:t>
      </w:r>
      <w:proofErr w:type="spellEnd"/>
      <w:r>
        <w:rPr>
          <w:rFonts w:eastAsia="Palatino Linotype"/>
          <w:sz w:val="22"/>
          <w:szCs w:val="22"/>
          <w:lang w:val="es-ES"/>
        </w:rPr>
        <w:t xml:space="preserve"> </w:t>
      </w:r>
      <w:proofErr w:type="spellStart"/>
      <w:r>
        <w:rPr>
          <w:rFonts w:eastAsia="Palatino Linotype"/>
          <w:sz w:val="22"/>
          <w:szCs w:val="22"/>
          <w:lang w:val="es-ES"/>
        </w:rPr>
        <w:t>the</w:t>
      </w:r>
      <w:proofErr w:type="spellEnd"/>
      <w:r>
        <w:rPr>
          <w:rFonts w:eastAsia="Palatino Linotype"/>
          <w:sz w:val="22"/>
          <w:szCs w:val="22"/>
          <w:lang w:val="es-ES"/>
        </w:rPr>
        <w:t xml:space="preserve"> </w:t>
      </w:r>
      <w:proofErr w:type="spellStart"/>
      <w:r>
        <w:rPr>
          <w:rFonts w:eastAsia="Palatino Linotype"/>
          <w:sz w:val="22"/>
          <w:szCs w:val="22"/>
          <w:lang w:val="es-ES"/>
        </w:rPr>
        <w:t>requirements</w:t>
      </w:r>
      <w:proofErr w:type="spellEnd"/>
      <w:r>
        <w:rPr>
          <w:rFonts w:eastAsia="Palatino Linotype"/>
          <w:sz w:val="22"/>
          <w:szCs w:val="22"/>
          <w:lang w:val="es-ES"/>
        </w:rPr>
        <w:t xml:space="preserve"> </w:t>
      </w:r>
      <w:proofErr w:type="spellStart"/>
      <w:r>
        <w:rPr>
          <w:rFonts w:eastAsia="Palatino Linotype"/>
          <w:sz w:val="22"/>
          <w:szCs w:val="22"/>
          <w:lang w:val="es-ES"/>
        </w:rPr>
        <w:t>demanded</w:t>
      </w:r>
      <w:proofErr w:type="spellEnd"/>
      <w:r>
        <w:rPr>
          <w:rFonts w:eastAsia="Palatino Linotype"/>
          <w:sz w:val="22"/>
          <w:szCs w:val="22"/>
          <w:lang w:val="es-ES"/>
        </w:rPr>
        <w:t xml:space="preserve"> </w:t>
      </w:r>
      <w:proofErr w:type="spellStart"/>
      <w:r>
        <w:rPr>
          <w:rFonts w:eastAsia="Palatino Linotype"/>
          <w:sz w:val="22"/>
          <w:szCs w:val="22"/>
          <w:lang w:val="es-ES"/>
        </w:rPr>
        <w:t>to</w:t>
      </w:r>
      <w:proofErr w:type="spellEnd"/>
      <w:r>
        <w:rPr>
          <w:rFonts w:eastAsia="Palatino Linotype"/>
          <w:sz w:val="22"/>
          <w:szCs w:val="22"/>
          <w:lang w:val="es-ES"/>
        </w:rPr>
        <w:t xml:space="preserve"> </w:t>
      </w:r>
      <w:proofErr w:type="spellStart"/>
      <w:r>
        <w:rPr>
          <w:rFonts w:eastAsia="Palatino Linotype"/>
          <w:sz w:val="22"/>
          <w:szCs w:val="22"/>
          <w:lang w:val="es-ES"/>
        </w:rPr>
        <w:t>contract</w:t>
      </w:r>
      <w:proofErr w:type="spellEnd"/>
      <w:r>
        <w:rPr>
          <w:rFonts w:eastAsia="Palatino Linotype"/>
          <w:sz w:val="22"/>
          <w:szCs w:val="22"/>
          <w:lang w:val="es-ES"/>
        </w:rPr>
        <w:t xml:space="preserve"> </w:t>
      </w:r>
      <w:proofErr w:type="spellStart"/>
      <w:r>
        <w:rPr>
          <w:rFonts w:eastAsia="Palatino Linotype"/>
          <w:sz w:val="22"/>
          <w:szCs w:val="22"/>
          <w:lang w:val="es-ES"/>
        </w:rPr>
        <w:t>with</w:t>
      </w:r>
      <w:proofErr w:type="spellEnd"/>
      <w:r>
        <w:rPr>
          <w:rFonts w:eastAsia="Palatino Linotype"/>
          <w:sz w:val="22"/>
          <w:szCs w:val="22"/>
          <w:lang w:val="es-ES"/>
        </w:rPr>
        <w:t xml:space="preserve"> </w:t>
      </w:r>
      <w:proofErr w:type="spellStart"/>
      <w:r>
        <w:rPr>
          <w:rFonts w:eastAsia="Palatino Linotype"/>
          <w:sz w:val="22"/>
          <w:szCs w:val="22"/>
          <w:lang w:val="es-ES"/>
        </w:rPr>
        <w:t>it</w:t>
      </w:r>
      <w:proofErr w:type="spellEnd"/>
      <w:r>
        <w:rPr>
          <w:rFonts w:eastAsia="Palatino Linotype"/>
          <w:sz w:val="22"/>
          <w:szCs w:val="22"/>
          <w:lang w:val="es-ES"/>
        </w:rPr>
        <w:t>.</w:t>
      </w:r>
    </w:p>
    <w:p w14:paraId="72AC79FC" w14:textId="77777777" w:rsidR="00E255F4" w:rsidRDefault="00000000">
      <w:pPr>
        <w:ind w:right="-142"/>
        <w:jc w:val="both"/>
        <w:rPr>
          <w:rFonts w:eastAsia="Palatino Linotype"/>
          <w:sz w:val="22"/>
          <w:szCs w:val="22"/>
          <w:lang w:val="es-ES"/>
        </w:rPr>
      </w:pPr>
      <w:proofErr w:type="spellStart"/>
      <w:r>
        <w:rPr>
          <w:rFonts w:eastAsia="Palatino Linotype"/>
          <w:spacing w:val="-15"/>
          <w:position w:val="1"/>
          <w:sz w:val="22"/>
          <w:szCs w:val="22"/>
          <w:lang w:val="es-ES"/>
        </w:rPr>
        <w:t>Also</w:t>
      </w:r>
      <w:r>
        <w:rPr>
          <w:rFonts w:eastAsia="Palatino Linotype"/>
          <w:position w:val="1"/>
          <w:sz w:val="22"/>
          <w:szCs w:val="22"/>
          <w:lang w:val="es-ES"/>
        </w:rPr>
        <w:t>Authorization</w:t>
      </w:r>
      <w:proofErr w:type="spellEnd"/>
      <w:r>
        <w:rPr>
          <w:rFonts w:eastAsia="Palatino Linotype"/>
          <w:position w:val="1"/>
          <w:sz w:val="22"/>
          <w:szCs w:val="22"/>
          <w:lang w:val="es-ES"/>
        </w:rPr>
        <w:t xml:space="preserve"> </w:t>
      </w:r>
      <w:proofErr w:type="spellStart"/>
      <w:r>
        <w:rPr>
          <w:rFonts w:eastAsia="Palatino Linotype"/>
          <w:position w:val="1"/>
          <w:sz w:val="22"/>
          <w:szCs w:val="22"/>
          <w:lang w:val="es-ES"/>
        </w:rPr>
        <w:t>from</w:t>
      </w:r>
      <w:proofErr w:type="spellEnd"/>
      <w:r>
        <w:rPr>
          <w:rFonts w:eastAsia="Palatino Linotype"/>
          <w:position w:val="1"/>
          <w:sz w:val="22"/>
          <w:szCs w:val="22"/>
          <w:lang w:val="es-ES"/>
        </w:rPr>
        <w:t xml:space="preserve"> </w:t>
      </w:r>
      <w:proofErr w:type="spellStart"/>
      <w:r>
        <w:rPr>
          <w:rFonts w:eastAsia="Palatino Linotype"/>
          <w:position w:val="1"/>
          <w:sz w:val="22"/>
          <w:szCs w:val="22"/>
          <w:lang w:val="es-ES"/>
        </w:rPr>
        <w:t>the</w:t>
      </w:r>
      <w:proofErr w:type="spellEnd"/>
      <w:r>
        <w:rPr>
          <w:rFonts w:eastAsia="Palatino Linotype"/>
          <w:position w:val="1"/>
          <w:sz w:val="22"/>
          <w:szCs w:val="22"/>
          <w:lang w:val="es-ES"/>
        </w:rPr>
        <w:t xml:space="preserve"> </w:t>
      </w:r>
      <w:proofErr w:type="spellStart"/>
      <w:r>
        <w:rPr>
          <w:rFonts w:eastAsia="Palatino Linotype"/>
          <w:position w:val="1"/>
          <w:sz w:val="22"/>
          <w:szCs w:val="22"/>
          <w:lang w:val="es-ES"/>
        </w:rPr>
        <w:t>contracting</w:t>
      </w:r>
      <w:proofErr w:type="spellEnd"/>
      <w:r>
        <w:rPr>
          <w:rFonts w:eastAsia="Palatino Linotype"/>
          <w:position w:val="1"/>
          <w:sz w:val="22"/>
          <w:szCs w:val="22"/>
          <w:lang w:val="es-ES"/>
        </w:rPr>
        <w:t xml:space="preserve"> </w:t>
      </w:r>
      <w:proofErr w:type="spellStart"/>
      <w:r>
        <w:rPr>
          <w:rFonts w:eastAsia="Palatino Linotype"/>
          <w:position w:val="1"/>
          <w:sz w:val="22"/>
          <w:szCs w:val="22"/>
          <w:lang w:val="es-ES"/>
        </w:rPr>
        <w:t>body</w:t>
      </w:r>
      <w:proofErr w:type="spellEnd"/>
      <w:r>
        <w:rPr>
          <w:rFonts w:eastAsia="Palatino Linotype"/>
          <w:position w:val="1"/>
          <w:sz w:val="22"/>
          <w:szCs w:val="22"/>
          <w:lang w:val="es-ES"/>
        </w:rPr>
        <w:t xml:space="preserve"> </w:t>
      </w:r>
      <w:proofErr w:type="spellStart"/>
      <w:r>
        <w:rPr>
          <w:rFonts w:eastAsia="Palatino Linotype"/>
          <w:position w:val="1"/>
          <w:sz w:val="22"/>
          <w:szCs w:val="22"/>
          <w:lang w:val="es-ES"/>
        </w:rPr>
        <w:t>will</w:t>
      </w:r>
      <w:proofErr w:type="spellEnd"/>
      <w:r>
        <w:rPr>
          <w:rFonts w:eastAsia="Palatino Linotype"/>
          <w:position w:val="1"/>
          <w:sz w:val="22"/>
          <w:szCs w:val="22"/>
          <w:lang w:val="es-ES"/>
        </w:rPr>
        <w:t xml:space="preserve"> </w:t>
      </w:r>
      <w:proofErr w:type="spellStart"/>
      <w:r>
        <w:rPr>
          <w:rFonts w:eastAsia="Palatino Linotype"/>
          <w:position w:val="1"/>
          <w:sz w:val="22"/>
          <w:szCs w:val="22"/>
          <w:lang w:val="es-ES"/>
        </w:rPr>
        <w:t>not</w:t>
      </w:r>
      <w:proofErr w:type="spellEnd"/>
      <w:r>
        <w:rPr>
          <w:rFonts w:eastAsia="Palatino Linotype"/>
          <w:position w:val="1"/>
          <w:sz w:val="22"/>
          <w:szCs w:val="22"/>
          <w:lang w:val="es-ES"/>
        </w:rPr>
        <w:t xml:space="preserve"> be </w:t>
      </w:r>
      <w:proofErr w:type="spellStart"/>
      <w:r>
        <w:rPr>
          <w:rFonts w:eastAsia="Palatino Linotype"/>
          <w:position w:val="1"/>
          <w:sz w:val="22"/>
          <w:szCs w:val="22"/>
          <w:lang w:val="es-ES"/>
        </w:rPr>
        <w:t>required</w:t>
      </w:r>
      <w:proofErr w:type="spellEnd"/>
      <w:r>
        <w:rPr>
          <w:rFonts w:eastAsia="Palatino Linotype"/>
          <w:position w:val="1"/>
          <w:sz w:val="22"/>
          <w:szCs w:val="22"/>
          <w:lang w:val="es-ES"/>
        </w:rPr>
        <w:t xml:space="preserve"> </w:t>
      </w:r>
      <w:proofErr w:type="spellStart"/>
      <w:r>
        <w:rPr>
          <w:rFonts w:eastAsia="Palatino Linotype"/>
          <w:position w:val="1"/>
          <w:sz w:val="22"/>
          <w:szCs w:val="22"/>
          <w:lang w:val="es-ES"/>
        </w:rPr>
        <w:t>to</w:t>
      </w:r>
      <w:proofErr w:type="spellEnd"/>
      <w:r>
        <w:rPr>
          <w:rFonts w:eastAsia="Palatino Linotype"/>
          <w:position w:val="1"/>
          <w:sz w:val="22"/>
          <w:szCs w:val="22"/>
          <w:lang w:val="es-ES"/>
        </w:rPr>
        <w:t xml:space="preserve"> </w:t>
      </w:r>
      <w:proofErr w:type="spellStart"/>
      <w:r>
        <w:rPr>
          <w:rFonts w:eastAsia="Palatino Linotype"/>
          <w:position w:val="1"/>
          <w:sz w:val="22"/>
          <w:szCs w:val="22"/>
          <w:lang w:val="es-ES"/>
        </w:rPr>
        <w:t>subcontract</w:t>
      </w:r>
      <w:proofErr w:type="spellEnd"/>
      <w:r>
        <w:rPr>
          <w:rFonts w:eastAsia="Palatino Linotype"/>
          <w:position w:val="1"/>
          <w:sz w:val="22"/>
          <w:szCs w:val="22"/>
          <w:lang w:val="es-ES"/>
        </w:rPr>
        <w:t xml:space="preserve"> in </w:t>
      </w:r>
      <w:proofErr w:type="spellStart"/>
      <w:r>
        <w:rPr>
          <w:rFonts w:eastAsia="Palatino Linotype"/>
          <w:position w:val="1"/>
          <w:sz w:val="22"/>
          <w:szCs w:val="22"/>
          <w:lang w:val="es-ES"/>
        </w:rPr>
        <w:t>whole</w:t>
      </w:r>
      <w:proofErr w:type="spellEnd"/>
      <w:r>
        <w:rPr>
          <w:rFonts w:eastAsia="Palatino Linotype"/>
          <w:position w:val="1"/>
          <w:sz w:val="22"/>
          <w:szCs w:val="22"/>
          <w:lang w:val="es-ES"/>
        </w:rPr>
        <w:t xml:space="preserve"> </w:t>
      </w:r>
      <w:proofErr w:type="spellStart"/>
      <w:r>
        <w:rPr>
          <w:rFonts w:eastAsia="Palatino Linotype"/>
          <w:position w:val="1"/>
          <w:sz w:val="22"/>
          <w:szCs w:val="22"/>
          <w:lang w:val="es-ES"/>
        </w:rPr>
        <w:t>or</w:t>
      </w:r>
      <w:proofErr w:type="spellEnd"/>
      <w:r>
        <w:rPr>
          <w:rFonts w:eastAsia="Palatino Linotype"/>
          <w:position w:val="1"/>
          <w:sz w:val="22"/>
          <w:szCs w:val="22"/>
          <w:lang w:val="es-ES"/>
        </w:rPr>
        <w:t xml:space="preserve"> in </w:t>
      </w:r>
      <w:proofErr w:type="spellStart"/>
      <w:r>
        <w:rPr>
          <w:rFonts w:eastAsia="Palatino Linotype"/>
          <w:position w:val="1"/>
          <w:sz w:val="22"/>
          <w:szCs w:val="22"/>
          <w:lang w:val="es-ES"/>
        </w:rPr>
        <w:t>part</w:t>
      </w:r>
      <w:proofErr w:type="spellEnd"/>
      <w:r>
        <w:rPr>
          <w:rFonts w:eastAsia="Palatino Linotype"/>
          <w:position w:val="1"/>
          <w:sz w:val="22"/>
          <w:szCs w:val="22"/>
          <w:lang w:val="es-ES"/>
        </w:rPr>
        <w:t>.</w:t>
      </w:r>
    </w:p>
    <w:p w14:paraId="5DD0C02A" w14:textId="77777777" w:rsidR="00E255F4" w:rsidRDefault="00E255F4">
      <w:pPr>
        <w:rPr>
          <w:rFonts w:eastAsia="Palatino Linotype"/>
          <w:sz w:val="22"/>
          <w:szCs w:val="22"/>
          <w:lang w:val="es-ES"/>
        </w:rPr>
      </w:pPr>
    </w:p>
    <w:p w14:paraId="2C6902C5" w14:textId="77777777" w:rsidR="00E255F4" w:rsidRDefault="00000000">
      <w:pPr>
        <w:ind w:right="-142"/>
        <w:jc w:val="both"/>
        <w:outlineLvl w:val="0"/>
        <w:rPr>
          <w:rFonts w:eastAsia="Palatino Linotype"/>
          <w:b/>
          <w:spacing w:val="-1"/>
          <w:sz w:val="22"/>
          <w:szCs w:val="22"/>
          <w:lang w:val="es-ES"/>
        </w:rPr>
      </w:pPr>
      <w:bookmarkStart w:id="59" w:name="__RefHeading___Toc225377236"/>
      <w:bookmarkEnd w:id="59"/>
      <w:r>
        <w:rPr>
          <w:rFonts w:eastAsia="Palatino Linotype"/>
          <w:b/>
          <w:spacing w:val="-1"/>
          <w:sz w:val="22"/>
          <w:szCs w:val="22"/>
          <w:lang w:val="es-ES"/>
        </w:rPr>
        <w:t>22 Mora</w:t>
      </w:r>
      <w:r>
        <w:rPr>
          <w:rFonts w:eastAsia="Palatino Linotype"/>
          <w:b/>
          <w:spacing w:val="-1"/>
          <w:sz w:val="22"/>
          <w:szCs w:val="22"/>
          <w:lang w:val="es-ES"/>
        </w:rPr>
        <w:tab/>
      </w:r>
    </w:p>
    <w:p w14:paraId="539C0E8A" w14:textId="77777777" w:rsidR="00E255F4" w:rsidRDefault="00E255F4">
      <w:pPr>
        <w:ind w:right="-142"/>
        <w:jc w:val="both"/>
        <w:rPr>
          <w:rFonts w:eastAsia="Palatino Linotype"/>
          <w:b/>
          <w:spacing w:val="-1"/>
          <w:sz w:val="22"/>
          <w:szCs w:val="22"/>
          <w:lang w:val="es-ES"/>
        </w:rPr>
      </w:pPr>
    </w:p>
    <w:p w14:paraId="24E6AF35" w14:textId="77777777" w:rsidR="00E255F4" w:rsidRDefault="00000000">
      <w:pPr>
        <w:ind w:right="-142"/>
        <w:jc w:val="both"/>
        <w:rPr>
          <w:rFonts w:eastAsia="Palatino Linotype"/>
          <w:sz w:val="22"/>
          <w:szCs w:val="22"/>
          <w:lang w:val="es-ES"/>
        </w:rPr>
      </w:pPr>
      <w:proofErr w:type="spellStart"/>
      <w:r>
        <w:rPr>
          <w:rFonts w:eastAsia="Palatino Linotype"/>
          <w:spacing w:val="-1"/>
          <w:sz w:val="22"/>
          <w:szCs w:val="22"/>
          <w:lang w:val="es-ES"/>
        </w:rPr>
        <w:t>L</w:t>
      </w:r>
      <w:r>
        <w:rPr>
          <w:rFonts w:eastAsia="Palatino Linotype"/>
          <w:sz w:val="22"/>
          <w:szCs w:val="22"/>
          <w:lang w:val="es-ES"/>
        </w:rPr>
        <w:t>Default</w:t>
      </w:r>
      <w:proofErr w:type="spellEnd"/>
      <w:r>
        <w:rPr>
          <w:rFonts w:eastAsia="Palatino Linotype"/>
          <w:sz w:val="22"/>
          <w:szCs w:val="22"/>
          <w:lang w:val="es-ES"/>
        </w:rPr>
        <w:t xml:space="preserve"> </w:t>
      </w:r>
      <w:proofErr w:type="spellStart"/>
      <w:r>
        <w:rPr>
          <w:rFonts w:eastAsia="Palatino Linotype"/>
          <w:sz w:val="22"/>
          <w:szCs w:val="22"/>
          <w:lang w:val="es-ES"/>
        </w:rPr>
        <w:t>is</w:t>
      </w:r>
      <w:proofErr w:type="spellEnd"/>
      <w:r>
        <w:rPr>
          <w:rFonts w:eastAsia="Palatino Linotype"/>
          <w:sz w:val="22"/>
          <w:szCs w:val="22"/>
          <w:lang w:val="es-ES"/>
        </w:rPr>
        <w:t xml:space="preserve"> </w:t>
      </w:r>
      <w:proofErr w:type="spellStart"/>
      <w:r>
        <w:rPr>
          <w:rFonts w:eastAsia="Palatino Linotype"/>
          <w:sz w:val="22"/>
          <w:szCs w:val="22"/>
          <w:lang w:val="es-ES"/>
        </w:rPr>
        <w:t>established</w:t>
      </w:r>
      <w:proofErr w:type="spellEnd"/>
      <w:r>
        <w:rPr>
          <w:rFonts w:eastAsia="Palatino Linotype"/>
          <w:sz w:val="22"/>
          <w:szCs w:val="22"/>
          <w:lang w:val="es-ES"/>
        </w:rPr>
        <w:t xml:space="preserve"> </w:t>
      </w:r>
      <w:proofErr w:type="spellStart"/>
      <w:r>
        <w:rPr>
          <w:rFonts w:eastAsia="Palatino Linotype"/>
          <w:sz w:val="22"/>
          <w:szCs w:val="22"/>
          <w:lang w:val="es-ES"/>
        </w:rPr>
        <w:t>by</w:t>
      </w:r>
      <w:proofErr w:type="spellEnd"/>
      <w:r>
        <w:rPr>
          <w:rFonts w:eastAsia="Palatino Linotype"/>
          <w:sz w:val="22"/>
          <w:szCs w:val="22"/>
          <w:lang w:val="es-ES"/>
        </w:rPr>
        <w:t xml:space="preserve"> </w:t>
      </w:r>
      <w:proofErr w:type="spellStart"/>
      <w:r>
        <w:rPr>
          <w:rFonts w:eastAsia="Palatino Linotype"/>
          <w:sz w:val="22"/>
          <w:szCs w:val="22"/>
          <w:lang w:val="es-ES"/>
        </w:rPr>
        <w:t>the</w:t>
      </w:r>
      <w:proofErr w:type="spellEnd"/>
      <w:r>
        <w:rPr>
          <w:rFonts w:eastAsia="Palatino Linotype"/>
          <w:sz w:val="22"/>
          <w:szCs w:val="22"/>
          <w:lang w:val="es-ES"/>
        </w:rPr>
        <w:t xml:space="preserve"> </w:t>
      </w:r>
      <w:proofErr w:type="spellStart"/>
      <w:r>
        <w:rPr>
          <w:rFonts w:eastAsia="Palatino Linotype"/>
          <w:sz w:val="22"/>
          <w:szCs w:val="22"/>
          <w:lang w:val="es-ES"/>
        </w:rPr>
        <w:t>breach</w:t>
      </w:r>
      <w:proofErr w:type="spellEnd"/>
      <w:r>
        <w:rPr>
          <w:rFonts w:eastAsia="Palatino Linotype"/>
          <w:sz w:val="22"/>
          <w:szCs w:val="22"/>
          <w:lang w:val="es-ES"/>
        </w:rPr>
        <w:t xml:space="preserve"> </w:t>
      </w:r>
      <w:proofErr w:type="spellStart"/>
      <w:r>
        <w:rPr>
          <w:rFonts w:eastAsia="Palatino Linotype"/>
          <w:sz w:val="22"/>
          <w:szCs w:val="22"/>
          <w:lang w:val="es-ES"/>
        </w:rPr>
        <w:t>of</w:t>
      </w:r>
      <w:proofErr w:type="spellEnd"/>
      <w:r>
        <w:rPr>
          <w:rFonts w:eastAsia="Palatino Linotype"/>
          <w:sz w:val="22"/>
          <w:szCs w:val="22"/>
          <w:lang w:val="es-ES"/>
        </w:rPr>
        <w:t xml:space="preserve"> contractual </w:t>
      </w:r>
      <w:proofErr w:type="spellStart"/>
      <w:r>
        <w:rPr>
          <w:rFonts w:eastAsia="Palatino Linotype"/>
          <w:sz w:val="22"/>
          <w:szCs w:val="22"/>
          <w:lang w:val="es-ES"/>
        </w:rPr>
        <w:t>obligations</w:t>
      </w:r>
      <w:proofErr w:type="spellEnd"/>
      <w:r>
        <w:rPr>
          <w:rFonts w:eastAsia="Palatino Linotype"/>
          <w:sz w:val="22"/>
          <w:szCs w:val="22"/>
          <w:lang w:val="es-ES"/>
        </w:rPr>
        <w:t xml:space="preserve"> and </w:t>
      </w:r>
      <w:proofErr w:type="spellStart"/>
      <w:r>
        <w:rPr>
          <w:rFonts w:eastAsia="Palatino Linotype"/>
          <w:sz w:val="22"/>
          <w:szCs w:val="22"/>
          <w:lang w:val="es-ES"/>
        </w:rPr>
        <w:t>will</w:t>
      </w:r>
      <w:proofErr w:type="spellEnd"/>
      <w:r>
        <w:rPr>
          <w:rFonts w:eastAsia="Palatino Linotype"/>
          <w:sz w:val="22"/>
          <w:szCs w:val="22"/>
          <w:lang w:val="es-ES"/>
        </w:rPr>
        <w:t xml:space="preserve"> </w:t>
      </w:r>
      <w:proofErr w:type="spellStart"/>
      <w:r>
        <w:rPr>
          <w:rFonts w:eastAsia="Palatino Linotype"/>
          <w:sz w:val="22"/>
          <w:szCs w:val="22"/>
          <w:lang w:val="es-ES"/>
        </w:rPr>
        <w:t>occur</w:t>
      </w:r>
      <w:proofErr w:type="spellEnd"/>
      <w:r>
        <w:rPr>
          <w:rFonts w:eastAsia="Palatino Linotype"/>
          <w:sz w:val="22"/>
          <w:szCs w:val="22"/>
          <w:lang w:val="es-ES"/>
        </w:rPr>
        <w:t xml:space="preserve"> </w:t>
      </w:r>
      <w:proofErr w:type="spellStart"/>
      <w:r>
        <w:rPr>
          <w:rFonts w:eastAsia="Palatino Linotype"/>
          <w:sz w:val="22"/>
          <w:szCs w:val="22"/>
          <w:lang w:val="es-ES"/>
        </w:rPr>
        <w:t>by</w:t>
      </w:r>
      <w:proofErr w:type="spellEnd"/>
      <w:r>
        <w:rPr>
          <w:rFonts w:eastAsia="Palatino Linotype"/>
          <w:sz w:val="22"/>
          <w:szCs w:val="22"/>
          <w:lang w:val="es-ES"/>
        </w:rPr>
        <w:t xml:space="preserve"> </w:t>
      </w:r>
      <w:proofErr w:type="spellStart"/>
      <w:r>
        <w:rPr>
          <w:rFonts w:eastAsia="Palatino Linotype"/>
          <w:sz w:val="22"/>
          <w:szCs w:val="22"/>
          <w:lang w:val="es-ES"/>
        </w:rPr>
        <w:t>operation</w:t>
      </w:r>
      <w:proofErr w:type="spellEnd"/>
      <w:r>
        <w:rPr>
          <w:rFonts w:eastAsia="Palatino Linotype"/>
          <w:sz w:val="22"/>
          <w:szCs w:val="22"/>
          <w:lang w:val="es-ES"/>
        </w:rPr>
        <w:t xml:space="preserve"> </w:t>
      </w:r>
      <w:proofErr w:type="spellStart"/>
      <w:r>
        <w:rPr>
          <w:rFonts w:eastAsia="Palatino Linotype"/>
          <w:sz w:val="22"/>
          <w:szCs w:val="22"/>
          <w:lang w:val="es-ES"/>
        </w:rPr>
        <w:t>of</w:t>
      </w:r>
      <w:proofErr w:type="spellEnd"/>
      <w:r>
        <w:rPr>
          <w:rFonts w:eastAsia="Palatino Linotype"/>
          <w:sz w:val="22"/>
          <w:szCs w:val="22"/>
          <w:lang w:val="es-ES"/>
        </w:rPr>
        <w:t xml:space="preserve"> </w:t>
      </w:r>
      <w:proofErr w:type="spellStart"/>
      <w:r>
        <w:rPr>
          <w:rFonts w:eastAsia="Palatino Linotype"/>
          <w:sz w:val="22"/>
          <w:szCs w:val="22"/>
          <w:lang w:val="es-ES"/>
        </w:rPr>
        <w:t>law</w:t>
      </w:r>
      <w:proofErr w:type="spellEnd"/>
      <w:r>
        <w:rPr>
          <w:rFonts w:eastAsia="Palatino Linotype"/>
          <w:sz w:val="22"/>
          <w:szCs w:val="22"/>
          <w:lang w:val="es-ES"/>
        </w:rPr>
        <w:t xml:space="preserve"> </w:t>
      </w:r>
      <w:proofErr w:type="spellStart"/>
      <w:r>
        <w:rPr>
          <w:rFonts w:eastAsia="Palatino Linotype"/>
          <w:sz w:val="22"/>
          <w:szCs w:val="22"/>
          <w:lang w:val="es-ES"/>
        </w:rPr>
        <w:t>by</w:t>
      </w:r>
      <w:proofErr w:type="spellEnd"/>
      <w:r>
        <w:rPr>
          <w:rFonts w:eastAsia="Palatino Linotype"/>
          <w:sz w:val="22"/>
          <w:szCs w:val="22"/>
          <w:lang w:val="es-ES"/>
        </w:rPr>
        <w:t xml:space="preserve"> </w:t>
      </w:r>
      <w:proofErr w:type="spellStart"/>
      <w:r>
        <w:rPr>
          <w:rFonts w:eastAsia="Palatino Linotype"/>
          <w:sz w:val="22"/>
          <w:szCs w:val="22"/>
          <w:lang w:val="es-ES"/>
        </w:rPr>
        <w:t>the</w:t>
      </w:r>
      <w:proofErr w:type="spellEnd"/>
      <w:r>
        <w:rPr>
          <w:rFonts w:eastAsia="Palatino Linotype"/>
          <w:sz w:val="22"/>
          <w:szCs w:val="22"/>
          <w:lang w:val="es-ES"/>
        </w:rPr>
        <w:t xml:space="preserve"> mere </w:t>
      </w:r>
      <w:proofErr w:type="spellStart"/>
      <w:r>
        <w:rPr>
          <w:rFonts w:eastAsia="Palatino Linotype"/>
          <w:sz w:val="22"/>
          <w:szCs w:val="22"/>
          <w:lang w:val="es-ES"/>
        </w:rPr>
        <w:t>expiration</w:t>
      </w:r>
      <w:proofErr w:type="spellEnd"/>
      <w:r>
        <w:rPr>
          <w:rFonts w:eastAsia="Palatino Linotype"/>
          <w:sz w:val="22"/>
          <w:szCs w:val="22"/>
          <w:lang w:val="es-ES"/>
        </w:rPr>
        <w:t xml:space="preserve"> </w:t>
      </w:r>
      <w:proofErr w:type="spellStart"/>
      <w:r>
        <w:rPr>
          <w:rFonts w:eastAsia="Palatino Linotype"/>
          <w:sz w:val="22"/>
          <w:szCs w:val="22"/>
          <w:lang w:val="es-ES"/>
        </w:rPr>
        <w:t>of</w:t>
      </w:r>
      <w:proofErr w:type="spellEnd"/>
      <w:r>
        <w:rPr>
          <w:rFonts w:eastAsia="Palatino Linotype"/>
          <w:sz w:val="22"/>
          <w:szCs w:val="22"/>
          <w:lang w:val="es-ES"/>
        </w:rPr>
        <w:t xml:space="preserve"> </w:t>
      </w:r>
      <w:proofErr w:type="spellStart"/>
      <w:r>
        <w:rPr>
          <w:rFonts w:eastAsia="Palatino Linotype"/>
          <w:sz w:val="22"/>
          <w:szCs w:val="22"/>
          <w:lang w:val="es-ES"/>
        </w:rPr>
        <w:t>the</w:t>
      </w:r>
      <w:proofErr w:type="spellEnd"/>
      <w:r>
        <w:rPr>
          <w:rFonts w:eastAsia="Palatino Linotype"/>
          <w:sz w:val="22"/>
          <w:szCs w:val="22"/>
          <w:lang w:val="es-ES"/>
        </w:rPr>
        <w:t xml:space="preserve"> </w:t>
      </w:r>
      <w:proofErr w:type="spellStart"/>
      <w:r>
        <w:rPr>
          <w:rFonts w:eastAsia="Palatino Linotype"/>
          <w:sz w:val="22"/>
          <w:szCs w:val="22"/>
          <w:lang w:val="es-ES"/>
        </w:rPr>
        <w:t>established</w:t>
      </w:r>
      <w:proofErr w:type="spellEnd"/>
      <w:r>
        <w:rPr>
          <w:rFonts w:eastAsia="Palatino Linotype"/>
          <w:sz w:val="22"/>
          <w:szCs w:val="22"/>
          <w:lang w:val="es-ES"/>
        </w:rPr>
        <w:t xml:space="preserve"> </w:t>
      </w:r>
      <w:proofErr w:type="spellStart"/>
      <w:r>
        <w:rPr>
          <w:rFonts w:eastAsia="Palatino Linotype"/>
          <w:sz w:val="22"/>
          <w:szCs w:val="22"/>
          <w:lang w:val="es-ES"/>
        </w:rPr>
        <w:t>terms</w:t>
      </w:r>
      <w:proofErr w:type="spellEnd"/>
      <w:r>
        <w:rPr>
          <w:rFonts w:eastAsia="Palatino Linotype"/>
          <w:sz w:val="22"/>
          <w:szCs w:val="22"/>
          <w:lang w:val="es-ES"/>
        </w:rPr>
        <w:t xml:space="preserve">, </w:t>
      </w:r>
      <w:proofErr w:type="spellStart"/>
      <w:r>
        <w:rPr>
          <w:rFonts w:eastAsia="Palatino Linotype"/>
          <w:sz w:val="22"/>
          <w:szCs w:val="22"/>
          <w:lang w:val="es-ES"/>
        </w:rPr>
        <w:t>without</w:t>
      </w:r>
      <w:proofErr w:type="spellEnd"/>
      <w:r>
        <w:rPr>
          <w:rFonts w:eastAsia="Palatino Linotype"/>
          <w:sz w:val="22"/>
          <w:szCs w:val="22"/>
          <w:lang w:val="es-ES"/>
        </w:rPr>
        <w:t xml:space="preserve"> </w:t>
      </w:r>
      <w:proofErr w:type="spellStart"/>
      <w:r>
        <w:rPr>
          <w:rFonts w:eastAsia="Palatino Linotype"/>
          <w:sz w:val="22"/>
          <w:szCs w:val="22"/>
          <w:lang w:val="es-ES"/>
        </w:rPr>
        <w:t>the</w:t>
      </w:r>
      <w:proofErr w:type="spellEnd"/>
      <w:r>
        <w:rPr>
          <w:rFonts w:eastAsia="Palatino Linotype"/>
          <w:sz w:val="22"/>
          <w:szCs w:val="22"/>
          <w:lang w:val="es-ES"/>
        </w:rPr>
        <w:t xml:space="preserve"> </w:t>
      </w:r>
      <w:proofErr w:type="spellStart"/>
      <w:r>
        <w:rPr>
          <w:rFonts w:eastAsia="Palatino Linotype"/>
          <w:sz w:val="22"/>
          <w:szCs w:val="22"/>
          <w:lang w:val="es-ES"/>
        </w:rPr>
        <w:t>need</w:t>
      </w:r>
      <w:proofErr w:type="spellEnd"/>
      <w:r>
        <w:rPr>
          <w:rFonts w:eastAsia="Palatino Linotype"/>
          <w:sz w:val="22"/>
          <w:szCs w:val="22"/>
          <w:lang w:val="es-ES"/>
        </w:rPr>
        <w:t xml:space="preserve"> </w:t>
      </w:r>
      <w:proofErr w:type="spellStart"/>
      <w:r>
        <w:rPr>
          <w:rFonts w:eastAsia="Palatino Linotype"/>
          <w:sz w:val="22"/>
          <w:szCs w:val="22"/>
          <w:lang w:val="es-ES"/>
        </w:rPr>
        <w:t>for</w:t>
      </w:r>
      <w:proofErr w:type="spellEnd"/>
      <w:r>
        <w:rPr>
          <w:rFonts w:eastAsia="Palatino Linotype"/>
          <w:sz w:val="22"/>
          <w:szCs w:val="22"/>
          <w:lang w:val="es-ES"/>
        </w:rPr>
        <w:t xml:space="preserve"> </w:t>
      </w:r>
      <w:proofErr w:type="spellStart"/>
      <w:r>
        <w:rPr>
          <w:rFonts w:eastAsia="Palatino Linotype"/>
          <w:sz w:val="22"/>
          <w:szCs w:val="22"/>
          <w:lang w:val="es-ES"/>
        </w:rPr>
        <w:t>any</w:t>
      </w:r>
      <w:proofErr w:type="spellEnd"/>
      <w:r>
        <w:rPr>
          <w:rFonts w:eastAsia="Palatino Linotype"/>
          <w:sz w:val="22"/>
          <w:szCs w:val="22"/>
          <w:lang w:val="es-ES"/>
        </w:rPr>
        <w:t xml:space="preserve"> judicial </w:t>
      </w:r>
      <w:proofErr w:type="spellStart"/>
      <w:r>
        <w:rPr>
          <w:rFonts w:eastAsia="Palatino Linotype"/>
          <w:sz w:val="22"/>
          <w:szCs w:val="22"/>
          <w:lang w:val="es-ES"/>
        </w:rPr>
        <w:t>or</w:t>
      </w:r>
      <w:proofErr w:type="spellEnd"/>
      <w:r>
        <w:rPr>
          <w:rFonts w:eastAsia="Palatino Linotype"/>
          <w:sz w:val="22"/>
          <w:szCs w:val="22"/>
          <w:lang w:val="es-ES"/>
        </w:rPr>
        <w:t xml:space="preserve"> extrajudicial </w:t>
      </w:r>
      <w:proofErr w:type="spellStart"/>
      <w:r>
        <w:rPr>
          <w:rFonts w:eastAsia="Palatino Linotype"/>
          <w:sz w:val="22"/>
          <w:szCs w:val="22"/>
          <w:lang w:val="es-ES"/>
        </w:rPr>
        <w:t>interpellation</w:t>
      </w:r>
      <w:proofErr w:type="spellEnd"/>
      <w:r>
        <w:rPr>
          <w:rFonts w:eastAsia="Palatino Linotype"/>
          <w:sz w:val="22"/>
          <w:szCs w:val="22"/>
          <w:lang w:val="es-ES"/>
        </w:rPr>
        <w:t>.</w:t>
      </w:r>
    </w:p>
    <w:p w14:paraId="40DC4D62" w14:textId="77777777" w:rsidR="00E255F4" w:rsidRDefault="00E255F4">
      <w:pPr>
        <w:rPr>
          <w:rFonts w:eastAsia="Palatino Linotype"/>
          <w:sz w:val="22"/>
          <w:szCs w:val="22"/>
          <w:lang w:val="es-ES"/>
        </w:rPr>
      </w:pPr>
    </w:p>
    <w:p w14:paraId="5E918D3B" w14:textId="77777777" w:rsidR="00E255F4" w:rsidRDefault="00000000">
      <w:pPr>
        <w:ind w:right="-142"/>
        <w:jc w:val="both"/>
        <w:outlineLvl w:val="0"/>
        <w:rPr>
          <w:rFonts w:eastAsia="Palatino Linotype"/>
          <w:sz w:val="22"/>
          <w:szCs w:val="22"/>
          <w:lang w:val="es-ES"/>
        </w:rPr>
      </w:pPr>
      <w:bookmarkStart w:id="60" w:name="__RefHeading___Toc225377237"/>
      <w:bookmarkEnd w:id="60"/>
      <w:r>
        <w:rPr>
          <w:rFonts w:eastAsia="Palatino Linotype"/>
          <w:b/>
          <w:spacing w:val="-1"/>
          <w:sz w:val="22"/>
          <w:szCs w:val="22"/>
          <w:lang w:val="es-ES"/>
        </w:rPr>
        <w:t>2</w:t>
      </w:r>
      <w:r>
        <w:rPr>
          <w:rFonts w:eastAsia="Palatino Linotype"/>
          <w:b/>
          <w:sz w:val="22"/>
          <w:szCs w:val="22"/>
          <w:lang w:val="es-ES"/>
        </w:rPr>
        <w:t>3</w:t>
      </w:r>
      <w:r>
        <w:rPr>
          <w:rFonts w:eastAsia="Palatino Linotype"/>
          <w:b/>
          <w:spacing w:val="-2"/>
          <w:sz w:val="22"/>
          <w:szCs w:val="22"/>
          <w:lang w:val="es-ES"/>
        </w:rPr>
        <w:t xml:space="preserve"> </w:t>
      </w:r>
      <w:r>
        <w:rPr>
          <w:rFonts w:eastAsia="Palatino Linotype"/>
          <w:b/>
          <w:spacing w:val="-2"/>
          <w:sz w:val="22"/>
          <w:szCs w:val="22"/>
          <w:lang w:val="es-ES"/>
        </w:rPr>
        <w:tab/>
      </w:r>
      <w:proofErr w:type="spellStart"/>
      <w:r>
        <w:rPr>
          <w:rFonts w:eastAsia="Palatino Linotype"/>
          <w:b/>
          <w:spacing w:val="-1"/>
          <w:sz w:val="22"/>
          <w:szCs w:val="22"/>
          <w:lang w:val="es-ES"/>
        </w:rPr>
        <w:t>Penalties</w:t>
      </w:r>
      <w:proofErr w:type="spellEnd"/>
    </w:p>
    <w:p w14:paraId="10E3E81A" w14:textId="77777777" w:rsidR="00E255F4" w:rsidRDefault="00E255F4">
      <w:pPr>
        <w:rPr>
          <w:rFonts w:eastAsia="Palatino Linotype"/>
          <w:sz w:val="22"/>
          <w:szCs w:val="22"/>
          <w:lang w:val="es-ES"/>
        </w:rPr>
      </w:pPr>
    </w:p>
    <w:p w14:paraId="124BF4DB" w14:textId="77777777" w:rsidR="00E255F4" w:rsidRDefault="00000000">
      <w:pPr>
        <w:ind w:right="-142"/>
        <w:rPr>
          <w:rFonts w:eastAsia="Palatino Linotype"/>
          <w:sz w:val="22"/>
          <w:szCs w:val="22"/>
          <w:lang w:val="es-ES"/>
        </w:rPr>
      </w:pPr>
      <w:proofErr w:type="spellStart"/>
      <w:r>
        <w:rPr>
          <w:rFonts w:eastAsia="Palatino Linotype"/>
          <w:spacing w:val="-1"/>
          <w:sz w:val="22"/>
          <w:szCs w:val="22"/>
          <w:lang w:val="es-ES"/>
        </w:rPr>
        <w:t>The</w:t>
      </w:r>
      <w:r>
        <w:rPr>
          <w:rFonts w:eastAsia="Palatino Linotype"/>
          <w:sz w:val="22"/>
          <w:szCs w:val="22"/>
          <w:lang w:val="es-ES"/>
        </w:rPr>
        <w:t>The</w:t>
      </w:r>
      <w:proofErr w:type="spellEnd"/>
      <w:r>
        <w:rPr>
          <w:rFonts w:eastAsia="Palatino Linotype"/>
          <w:sz w:val="22"/>
          <w:szCs w:val="22"/>
          <w:lang w:val="es-ES"/>
        </w:rPr>
        <w:t xml:space="preserve"> </w:t>
      </w:r>
      <w:proofErr w:type="spellStart"/>
      <w:r>
        <w:rPr>
          <w:rFonts w:eastAsia="Palatino Linotype"/>
          <w:sz w:val="22"/>
          <w:szCs w:val="22"/>
          <w:lang w:val="es-ES"/>
        </w:rPr>
        <w:t>penalties</w:t>
      </w:r>
      <w:proofErr w:type="spellEnd"/>
      <w:r>
        <w:rPr>
          <w:rFonts w:eastAsia="Palatino Linotype"/>
          <w:sz w:val="22"/>
          <w:szCs w:val="22"/>
          <w:lang w:val="es-ES"/>
        </w:rPr>
        <w:t xml:space="preserve"> </w:t>
      </w:r>
      <w:proofErr w:type="spellStart"/>
      <w:r>
        <w:rPr>
          <w:rFonts w:eastAsia="Palatino Linotype"/>
          <w:sz w:val="22"/>
          <w:szCs w:val="22"/>
          <w:lang w:val="es-ES"/>
        </w:rPr>
        <w:t>for</w:t>
      </w:r>
      <w:proofErr w:type="spellEnd"/>
      <w:r>
        <w:rPr>
          <w:rFonts w:eastAsia="Palatino Linotype"/>
          <w:sz w:val="22"/>
          <w:szCs w:val="22"/>
          <w:lang w:val="es-ES"/>
        </w:rPr>
        <w:t xml:space="preserve"> late </w:t>
      </w:r>
      <w:proofErr w:type="spellStart"/>
      <w:r>
        <w:rPr>
          <w:rFonts w:eastAsia="Palatino Linotype"/>
          <w:sz w:val="22"/>
          <w:szCs w:val="22"/>
          <w:lang w:val="es-ES"/>
        </w:rPr>
        <w:t>payment</w:t>
      </w:r>
      <w:proofErr w:type="spellEnd"/>
      <w:r>
        <w:rPr>
          <w:rFonts w:eastAsia="Palatino Linotype"/>
          <w:sz w:val="22"/>
          <w:szCs w:val="22"/>
          <w:lang w:val="es-ES"/>
        </w:rPr>
        <w:t xml:space="preserve"> </w:t>
      </w:r>
      <w:proofErr w:type="spellStart"/>
      <w:r>
        <w:rPr>
          <w:rFonts w:eastAsia="Palatino Linotype"/>
          <w:sz w:val="22"/>
          <w:szCs w:val="22"/>
          <w:lang w:val="es-ES"/>
        </w:rPr>
        <w:t>may</w:t>
      </w:r>
      <w:proofErr w:type="spellEnd"/>
      <w:r>
        <w:rPr>
          <w:rFonts w:eastAsia="Palatino Linotype"/>
          <w:sz w:val="22"/>
          <w:szCs w:val="22"/>
          <w:lang w:val="es-ES"/>
        </w:rPr>
        <w:t xml:space="preserve"> be:</w:t>
      </w:r>
    </w:p>
    <w:p w14:paraId="06FD2D02" w14:textId="77777777" w:rsidR="00E255F4" w:rsidRDefault="00E255F4">
      <w:pPr>
        <w:ind w:right="-142"/>
        <w:jc w:val="both"/>
        <w:rPr>
          <w:rFonts w:eastAsia="Palatino Linotype"/>
          <w:spacing w:val="-1"/>
          <w:position w:val="1"/>
          <w:sz w:val="22"/>
          <w:szCs w:val="22"/>
          <w:lang w:val="es-ES"/>
        </w:rPr>
      </w:pPr>
    </w:p>
    <w:p w14:paraId="39B46916" w14:textId="77777777" w:rsidR="00E255F4" w:rsidRDefault="00000000">
      <w:pPr>
        <w:ind w:left="709" w:right="-142" w:hanging="709"/>
        <w:jc w:val="both"/>
        <w:rPr>
          <w:rFonts w:eastAsia="Palatino Linotype"/>
          <w:spacing w:val="-1"/>
          <w:position w:val="1"/>
          <w:sz w:val="22"/>
          <w:szCs w:val="22"/>
          <w:lang w:val="es-ES"/>
        </w:rPr>
      </w:pPr>
      <w:r>
        <w:rPr>
          <w:rFonts w:eastAsia="Palatino Linotype"/>
          <w:spacing w:val="-1"/>
          <w:position w:val="1"/>
          <w:sz w:val="22"/>
          <w:szCs w:val="22"/>
          <w:lang w:val="es-ES"/>
        </w:rPr>
        <w:t>TO</w:t>
      </w:r>
      <w:r>
        <w:rPr>
          <w:rFonts w:eastAsia="Palatino Linotype"/>
          <w:position w:val="1"/>
          <w:sz w:val="22"/>
          <w:szCs w:val="22"/>
          <w:lang w:val="es-ES"/>
        </w:rPr>
        <w:t>)</w:t>
      </w:r>
      <w:r>
        <w:rPr>
          <w:rFonts w:eastAsia="Palatino Linotype"/>
          <w:position w:val="1"/>
          <w:sz w:val="22"/>
          <w:szCs w:val="22"/>
          <w:lang w:val="es-ES"/>
        </w:rPr>
        <w:tab/>
      </w:r>
      <w:proofErr w:type="spellStart"/>
      <w:r>
        <w:rPr>
          <w:rFonts w:eastAsia="Palatino Linotype"/>
          <w:spacing w:val="-1"/>
          <w:position w:val="1"/>
          <w:sz w:val="22"/>
          <w:szCs w:val="22"/>
          <w:lang w:val="es-ES"/>
        </w:rPr>
        <w:t>or</w:t>
      </w:r>
      <w:r>
        <w:rPr>
          <w:rFonts w:eastAsia="Palatino Linotype"/>
          <w:position w:val="1"/>
          <w:sz w:val="22"/>
          <w:szCs w:val="22"/>
          <w:lang w:val="es-ES"/>
        </w:rPr>
        <w:t>n</w:t>
      </w:r>
      <w:proofErr w:type="spellEnd"/>
      <w:r>
        <w:rPr>
          <w:rFonts w:eastAsia="Palatino Linotype"/>
          <w:position w:val="1"/>
          <w:sz w:val="22"/>
          <w:szCs w:val="22"/>
          <w:lang w:val="es-ES"/>
        </w:rPr>
        <w:t xml:space="preserve"> </w:t>
      </w:r>
      <w:proofErr w:type="spellStart"/>
      <w:r>
        <w:rPr>
          <w:rFonts w:eastAsia="Palatino Linotype"/>
          <w:position w:val="1"/>
          <w:sz w:val="22"/>
          <w:szCs w:val="22"/>
          <w:lang w:val="es-ES"/>
        </w:rPr>
        <w:t>percentage</w:t>
      </w:r>
      <w:proofErr w:type="spellEnd"/>
      <w:r>
        <w:rPr>
          <w:rFonts w:eastAsia="Palatino Linotype"/>
          <w:position w:val="1"/>
          <w:sz w:val="22"/>
          <w:szCs w:val="22"/>
          <w:lang w:val="es-ES"/>
        </w:rPr>
        <w:t xml:space="preserve"> </w:t>
      </w:r>
      <w:proofErr w:type="spellStart"/>
      <w:r>
        <w:rPr>
          <w:rFonts w:eastAsia="Palatino Linotype"/>
          <w:position w:val="1"/>
          <w:sz w:val="22"/>
          <w:szCs w:val="22"/>
          <w:lang w:val="es-ES"/>
        </w:rPr>
        <w:t>of</w:t>
      </w:r>
      <w:proofErr w:type="spellEnd"/>
      <w:r>
        <w:rPr>
          <w:rFonts w:eastAsia="Palatino Linotype"/>
          <w:position w:val="1"/>
          <w:sz w:val="22"/>
          <w:szCs w:val="22"/>
          <w:lang w:val="es-ES"/>
        </w:rPr>
        <w:t xml:space="preserve"> </w:t>
      </w:r>
      <w:proofErr w:type="spellStart"/>
      <w:r>
        <w:rPr>
          <w:rFonts w:eastAsia="Palatino Linotype"/>
          <w:position w:val="1"/>
          <w:sz w:val="22"/>
          <w:szCs w:val="22"/>
          <w:lang w:val="es-ES"/>
        </w:rPr>
        <w:t>the</w:t>
      </w:r>
      <w:proofErr w:type="spellEnd"/>
      <w:r>
        <w:rPr>
          <w:rFonts w:eastAsia="Palatino Linotype"/>
          <w:position w:val="1"/>
          <w:sz w:val="22"/>
          <w:szCs w:val="22"/>
          <w:lang w:val="es-ES"/>
        </w:rPr>
        <w:t xml:space="preserve"> total </w:t>
      </w:r>
      <w:proofErr w:type="spellStart"/>
      <w:r>
        <w:rPr>
          <w:rFonts w:eastAsia="Palatino Linotype"/>
          <w:position w:val="1"/>
          <w:sz w:val="22"/>
          <w:szCs w:val="22"/>
          <w:lang w:val="es-ES"/>
        </w:rPr>
        <w:t>contract</w:t>
      </w:r>
      <w:proofErr w:type="spellEnd"/>
      <w:r>
        <w:rPr>
          <w:rFonts w:eastAsia="Palatino Linotype"/>
          <w:position w:val="1"/>
          <w:sz w:val="22"/>
          <w:szCs w:val="22"/>
          <w:lang w:val="es-ES"/>
        </w:rPr>
        <w:t xml:space="preserve"> </w:t>
      </w:r>
      <w:proofErr w:type="spellStart"/>
      <w:r>
        <w:rPr>
          <w:rFonts w:eastAsia="Palatino Linotype"/>
          <w:position w:val="1"/>
          <w:sz w:val="22"/>
          <w:szCs w:val="22"/>
          <w:lang w:val="es-ES"/>
        </w:rPr>
        <w:t>amount</w:t>
      </w:r>
      <w:proofErr w:type="spellEnd"/>
      <w:r>
        <w:rPr>
          <w:rFonts w:eastAsia="Palatino Linotype"/>
          <w:position w:val="1"/>
          <w:sz w:val="22"/>
          <w:szCs w:val="22"/>
          <w:lang w:val="es-ES"/>
        </w:rPr>
        <w:t xml:space="preserve">, </w:t>
      </w:r>
      <w:proofErr w:type="spellStart"/>
      <w:r>
        <w:rPr>
          <w:rFonts w:eastAsia="Palatino Linotype"/>
          <w:position w:val="1"/>
          <w:sz w:val="22"/>
          <w:szCs w:val="22"/>
          <w:lang w:val="es-ES"/>
        </w:rPr>
        <w:t>or</w:t>
      </w:r>
      <w:proofErr w:type="spellEnd"/>
      <w:r>
        <w:rPr>
          <w:rFonts w:eastAsia="Palatino Linotype"/>
          <w:position w:val="1"/>
          <w:sz w:val="22"/>
          <w:szCs w:val="22"/>
          <w:lang w:val="es-ES"/>
        </w:rPr>
        <w:t xml:space="preserve"> </w:t>
      </w:r>
      <w:proofErr w:type="spellStart"/>
      <w:r>
        <w:rPr>
          <w:rFonts w:eastAsia="Palatino Linotype"/>
          <w:position w:val="1"/>
          <w:sz w:val="22"/>
          <w:szCs w:val="22"/>
          <w:lang w:val="es-ES"/>
        </w:rPr>
        <w:t>the</w:t>
      </w:r>
      <w:proofErr w:type="spellEnd"/>
      <w:r>
        <w:rPr>
          <w:rFonts w:eastAsia="Palatino Linotype"/>
          <w:position w:val="1"/>
          <w:sz w:val="22"/>
          <w:szCs w:val="22"/>
          <w:lang w:val="es-ES"/>
        </w:rPr>
        <w:t xml:space="preserve"> </w:t>
      </w:r>
      <w:proofErr w:type="spellStart"/>
      <w:r>
        <w:rPr>
          <w:rFonts w:eastAsia="Palatino Linotype"/>
          <w:position w:val="1"/>
          <w:sz w:val="22"/>
          <w:szCs w:val="22"/>
          <w:lang w:val="es-ES"/>
        </w:rPr>
        <w:t>corresponding</w:t>
      </w:r>
      <w:proofErr w:type="spellEnd"/>
      <w:r>
        <w:rPr>
          <w:rFonts w:eastAsia="Palatino Linotype"/>
          <w:position w:val="1"/>
          <w:sz w:val="22"/>
          <w:szCs w:val="22"/>
          <w:lang w:val="es-ES"/>
        </w:rPr>
        <w:t xml:space="preserve"> share, </w:t>
      </w:r>
      <w:proofErr w:type="spellStart"/>
      <w:r>
        <w:rPr>
          <w:rFonts w:eastAsia="Palatino Linotype"/>
          <w:position w:val="1"/>
          <w:sz w:val="22"/>
          <w:szCs w:val="22"/>
          <w:lang w:val="es-ES"/>
        </w:rPr>
        <w:t>for</w:t>
      </w:r>
      <w:proofErr w:type="spellEnd"/>
      <w:r>
        <w:rPr>
          <w:rFonts w:eastAsia="Palatino Linotype"/>
          <w:position w:val="1"/>
          <w:sz w:val="22"/>
          <w:szCs w:val="22"/>
          <w:lang w:val="es-ES"/>
        </w:rPr>
        <w:t xml:space="preserve"> non-</w:t>
      </w:r>
      <w:proofErr w:type="spellStart"/>
      <w:r>
        <w:rPr>
          <w:rFonts w:eastAsia="Palatino Linotype"/>
          <w:position w:val="1"/>
          <w:sz w:val="22"/>
          <w:szCs w:val="22"/>
          <w:lang w:val="es-ES"/>
        </w:rPr>
        <w:t>compliance</w:t>
      </w:r>
      <w:proofErr w:type="spellEnd"/>
      <w:r>
        <w:rPr>
          <w:rFonts w:eastAsia="Palatino Linotype"/>
          <w:position w:val="1"/>
          <w:sz w:val="22"/>
          <w:szCs w:val="22"/>
          <w:lang w:val="es-ES"/>
        </w:rPr>
        <w:t>.</w:t>
      </w:r>
    </w:p>
    <w:p w14:paraId="59305625" w14:textId="77777777" w:rsidR="00E255F4" w:rsidRDefault="00E255F4">
      <w:pPr>
        <w:ind w:left="709" w:right="-142" w:hanging="709"/>
        <w:jc w:val="both"/>
        <w:rPr>
          <w:rFonts w:eastAsia="Palatino Linotype"/>
          <w:spacing w:val="-1"/>
          <w:position w:val="1"/>
          <w:sz w:val="22"/>
          <w:szCs w:val="22"/>
          <w:lang w:val="es-ES"/>
        </w:rPr>
      </w:pPr>
    </w:p>
    <w:p w14:paraId="2E65AB86" w14:textId="77777777" w:rsidR="00E255F4" w:rsidRDefault="00000000">
      <w:pPr>
        <w:ind w:left="709" w:right="-142" w:hanging="709"/>
        <w:jc w:val="both"/>
        <w:rPr>
          <w:rFonts w:eastAsia="Palatino Linotype"/>
          <w:sz w:val="22"/>
          <w:szCs w:val="22"/>
          <w:lang w:val="es-ES"/>
        </w:rPr>
      </w:pPr>
      <w:r>
        <w:rPr>
          <w:rFonts w:eastAsia="Palatino Linotype"/>
          <w:spacing w:val="-1"/>
          <w:position w:val="1"/>
          <w:sz w:val="22"/>
          <w:szCs w:val="22"/>
          <w:lang w:val="es-ES"/>
        </w:rPr>
        <w:t>B</w:t>
      </w:r>
      <w:r>
        <w:rPr>
          <w:rFonts w:eastAsia="Palatino Linotype"/>
          <w:position w:val="1"/>
          <w:sz w:val="22"/>
          <w:szCs w:val="22"/>
          <w:lang w:val="es-ES"/>
        </w:rPr>
        <w:t>)</w:t>
      </w:r>
      <w:r>
        <w:rPr>
          <w:rFonts w:eastAsia="Palatino Linotype"/>
          <w:spacing w:val="15"/>
          <w:position w:val="1"/>
          <w:sz w:val="22"/>
          <w:szCs w:val="22"/>
          <w:lang w:val="es-ES"/>
        </w:rPr>
        <w:t xml:space="preserve"> </w:t>
      </w:r>
      <w:r>
        <w:rPr>
          <w:rFonts w:eastAsia="Palatino Linotype"/>
          <w:spacing w:val="15"/>
          <w:position w:val="1"/>
          <w:sz w:val="22"/>
          <w:szCs w:val="22"/>
          <w:lang w:val="es-ES"/>
        </w:rPr>
        <w:tab/>
      </w:r>
      <w:proofErr w:type="spellStart"/>
      <w:r>
        <w:rPr>
          <w:rFonts w:eastAsia="Palatino Linotype"/>
          <w:spacing w:val="-1"/>
          <w:position w:val="1"/>
          <w:sz w:val="22"/>
          <w:szCs w:val="22"/>
          <w:lang w:val="es-ES"/>
        </w:rPr>
        <w:t>or</w:t>
      </w:r>
      <w:r>
        <w:rPr>
          <w:rFonts w:eastAsia="Palatino Linotype"/>
          <w:position w:val="1"/>
          <w:sz w:val="22"/>
          <w:szCs w:val="22"/>
          <w:lang w:val="es-ES"/>
        </w:rPr>
        <w:t>n</w:t>
      </w:r>
      <w:proofErr w:type="spellEnd"/>
      <w:r>
        <w:rPr>
          <w:rFonts w:eastAsia="Palatino Linotype"/>
          <w:position w:val="1"/>
          <w:sz w:val="22"/>
          <w:szCs w:val="22"/>
          <w:lang w:val="es-ES"/>
        </w:rPr>
        <w:t xml:space="preserve"> </w:t>
      </w:r>
      <w:proofErr w:type="spellStart"/>
      <w:r>
        <w:rPr>
          <w:rFonts w:eastAsia="Palatino Linotype"/>
          <w:position w:val="1"/>
          <w:sz w:val="22"/>
          <w:szCs w:val="22"/>
          <w:lang w:val="es-ES"/>
        </w:rPr>
        <w:t>percentage</w:t>
      </w:r>
      <w:proofErr w:type="spellEnd"/>
      <w:r>
        <w:rPr>
          <w:rFonts w:eastAsia="Palatino Linotype"/>
          <w:position w:val="1"/>
          <w:sz w:val="22"/>
          <w:szCs w:val="22"/>
          <w:lang w:val="es-ES"/>
        </w:rPr>
        <w:t xml:space="preserve"> </w:t>
      </w:r>
      <w:proofErr w:type="spellStart"/>
      <w:r>
        <w:rPr>
          <w:rFonts w:eastAsia="Palatino Linotype"/>
          <w:position w:val="1"/>
          <w:sz w:val="22"/>
          <w:szCs w:val="22"/>
          <w:lang w:val="es-ES"/>
        </w:rPr>
        <w:t>of</w:t>
      </w:r>
      <w:proofErr w:type="spellEnd"/>
      <w:r>
        <w:rPr>
          <w:rFonts w:eastAsia="Palatino Linotype"/>
          <w:position w:val="1"/>
          <w:sz w:val="22"/>
          <w:szCs w:val="22"/>
          <w:lang w:val="es-ES"/>
        </w:rPr>
        <w:t xml:space="preserve"> </w:t>
      </w:r>
      <w:proofErr w:type="spellStart"/>
      <w:r>
        <w:rPr>
          <w:rFonts w:eastAsia="Palatino Linotype"/>
          <w:position w:val="1"/>
          <w:sz w:val="22"/>
          <w:szCs w:val="22"/>
          <w:lang w:val="es-ES"/>
        </w:rPr>
        <w:t>said</w:t>
      </w:r>
      <w:proofErr w:type="spellEnd"/>
      <w:r>
        <w:rPr>
          <w:rFonts w:eastAsia="Palatino Linotype"/>
          <w:position w:val="1"/>
          <w:sz w:val="22"/>
          <w:szCs w:val="22"/>
          <w:lang w:val="es-ES"/>
        </w:rPr>
        <w:t xml:space="preserve"> </w:t>
      </w:r>
      <w:proofErr w:type="spellStart"/>
      <w:r>
        <w:rPr>
          <w:rFonts w:eastAsia="Palatino Linotype"/>
          <w:position w:val="1"/>
          <w:sz w:val="22"/>
          <w:szCs w:val="22"/>
          <w:lang w:val="es-ES"/>
        </w:rPr>
        <w:t>amount</w:t>
      </w:r>
      <w:proofErr w:type="spellEnd"/>
      <w:r>
        <w:rPr>
          <w:rFonts w:eastAsia="Palatino Linotype"/>
          <w:position w:val="1"/>
          <w:sz w:val="22"/>
          <w:szCs w:val="22"/>
          <w:lang w:val="es-ES"/>
        </w:rPr>
        <w:t xml:space="preserve"> </w:t>
      </w:r>
      <w:proofErr w:type="spellStart"/>
      <w:r>
        <w:rPr>
          <w:rFonts w:eastAsia="Palatino Linotype"/>
          <w:position w:val="1"/>
          <w:sz w:val="22"/>
          <w:szCs w:val="22"/>
          <w:lang w:val="es-ES"/>
        </w:rPr>
        <w:t>or</w:t>
      </w:r>
      <w:proofErr w:type="spellEnd"/>
      <w:r>
        <w:rPr>
          <w:rFonts w:eastAsia="Palatino Linotype"/>
          <w:position w:val="1"/>
          <w:sz w:val="22"/>
          <w:szCs w:val="22"/>
          <w:lang w:val="es-ES"/>
        </w:rPr>
        <w:t xml:space="preserve"> share, </w:t>
      </w:r>
      <w:proofErr w:type="spellStart"/>
      <w:r>
        <w:rPr>
          <w:rFonts w:eastAsia="Palatino Linotype"/>
          <w:position w:val="1"/>
          <w:sz w:val="22"/>
          <w:szCs w:val="22"/>
          <w:lang w:val="es-ES"/>
        </w:rPr>
        <w:t>proportional</w:t>
      </w:r>
      <w:proofErr w:type="spellEnd"/>
      <w:r>
        <w:rPr>
          <w:rFonts w:eastAsia="Palatino Linotype"/>
          <w:position w:val="1"/>
          <w:sz w:val="22"/>
          <w:szCs w:val="22"/>
          <w:lang w:val="es-ES"/>
        </w:rPr>
        <w:t xml:space="preserve"> </w:t>
      </w:r>
      <w:proofErr w:type="spellStart"/>
      <w:r>
        <w:rPr>
          <w:rFonts w:eastAsia="Palatino Linotype"/>
          <w:position w:val="1"/>
          <w:sz w:val="22"/>
          <w:szCs w:val="22"/>
          <w:lang w:val="es-ES"/>
        </w:rPr>
        <w:t>to</w:t>
      </w:r>
      <w:proofErr w:type="spellEnd"/>
      <w:r>
        <w:rPr>
          <w:rFonts w:eastAsia="Palatino Linotype"/>
          <w:position w:val="1"/>
          <w:sz w:val="22"/>
          <w:szCs w:val="22"/>
          <w:lang w:val="es-ES"/>
        </w:rPr>
        <w:t xml:space="preserve"> </w:t>
      </w:r>
      <w:proofErr w:type="spellStart"/>
      <w:r>
        <w:rPr>
          <w:rFonts w:eastAsia="Palatino Linotype"/>
          <w:position w:val="1"/>
          <w:sz w:val="22"/>
          <w:szCs w:val="22"/>
          <w:lang w:val="es-ES"/>
        </w:rPr>
        <w:t>the</w:t>
      </w:r>
      <w:proofErr w:type="spellEnd"/>
      <w:r>
        <w:rPr>
          <w:rFonts w:eastAsia="Palatino Linotype"/>
          <w:position w:val="1"/>
          <w:sz w:val="22"/>
          <w:szCs w:val="22"/>
          <w:lang w:val="es-ES"/>
        </w:rPr>
        <w:t xml:space="preserve"> </w:t>
      </w:r>
      <w:proofErr w:type="spellStart"/>
      <w:r>
        <w:rPr>
          <w:rFonts w:eastAsia="Palatino Linotype"/>
          <w:position w:val="1"/>
          <w:sz w:val="22"/>
          <w:szCs w:val="22"/>
          <w:lang w:val="es-ES"/>
        </w:rPr>
        <w:t>period</w:t>
      </w:r>
      <w:proofErr w:type="spellEnd"/>
      <w:r>
        <w:rPr>
          <w:rFonts w:eastAsia="Palatino Linotype"/>
          <w:position w:val="1"/>
          <w:sz w:val="22"/>
          <w:szCs w:val="22"/>
          <w:lang w:val="es-ES"/>
        </w:rPr>
        <w:t xml:space="preserve"> </w:t>
      </w:r>
      <w:proofErr w:type="spellStart"/>
      <w:r>
        <w:rPr>
          <w:rFonts w:eastAsia="Palatino Linotype"/>
          <w:position w:val="1"/>
          <w:sz w:val="22"/>
          <w:szCs w:val="22"/>
          <w:lang w:val="es-ES"/>
        </w:rPr>
        <w:t>of</w:t>
      </w:r>
      <w:proofErr w:type="spellEnd"/>
      <w:r>
        <w:rPr>
          <w:rFonts w:eastAsia="Palatino Linotype"/>
          <w:position w:val="1"/>
          <w:sz w:val="22"/>
          <w:szCs w:val="22"/>
          <w:lang w:val="es-ES"/>
        </w:rPr>
        <w:t xml:space="preserve"> non-</w:t>
      </w:r>
      <w:proofErr w:type="spellStart"/>
      <w:r>
        <w:rPr>
          <w:rFonts w:eastAsia="Palatino Linotype"/>
          <w:position w:val="1"/>
          <w:sz w:val="22"/>
          <w:szCs w:val="22"/>
          <w:lang w:val="es-ES"/>
        </w:rPr>
        <w:t>compliance</w:t>
      </w:r>
      <w:proofErr w:type="spellEnd"/>
      <w:r>
        <w:rPr>
          <w:rFonts w:eastAsia="Palatino Linotype"/>
          <w:position w:val="1"/>
          <w:sz w:val="22"/>
          <w:szCs w:val="22"/>
          <w:lang w:val="es-ES"/>
        </w:rPr>
        <w:t>.</w:t>
      </w:r>
    </w:p>
    <w:p w14:paraId="0D72049B" w14:textId="77777777" w:rsidR="00E255F4" w:rsidRDefault="00000000">
      <w:pPr>
        <w:ind w:left="709" w:right="-142" w:hanging="1"/>
        <w:jc w:val="both"/>
        <w:rPr>
          <w:rFonts w:eastAsia="Palatino Linotype"/>
          <w:position w:val="1"/>
          <w:sz w:val="22"/>
          <w:szCs w:val="22"/>
          <w:lang w:val="es-ES"/>
        </w:rPr>
      </w:pPr>
      <w:proofErr w:type="spellStart"/>
      <w:r>
        <w:rPr>
          <w:rFonts w:eastAsia="Palatino Linotype"/>
          <w:spacing w:val="-7"/>
          <w:position w:val="1"/>
          <w:sz w:val="22"/>
          <w:szCs w:val="22"/>
          <w:lang w:val="es-ES"/>
        </w:rPr>
        <w:t>AND</w:t>
      </w:r>
      <w:r>
        <w:rPr>
          <w:rFonts w:eastAsia="Palatino Linotype"/>
          <w:position w:val="1"/>
          <w:sz w:val="22"/>
          <w:szCs w:val="22"/>
          <w:lang w:val="es-ES"/>
        </w:rPr>
        <w:t>The</w:t>
      </w:r>
      <w:proofErr w:type="spellEnd"/>
      <w:r>
        <w:rPr>
          <w:rFonts w:eastAsia="Palatino Linotype"/>
          <w:position w:val="1"/>
          <w:sz w:val="22"/>
          <w:szCs w:val="22"/>
          <w:lang w:val="es-ES"/>
        </w:rPr>
        <w:t xml:space="preserve"> Special </w:t>
      </w:r>
      <w:proofErr w:type="spellStart"/>
      <w:r>
        <w:rPr>
          <w:rFonts w:eastAsia="Palatino Linotype"/>
          <w:position w:val="1"/>
          <w:sz w:val="22"/>
          <w:szCs w:val="22"/>
          <w:lang w:val="es-ES"/>
        </w:rPr>
        <w:t>Specifications</w:t>
      </w:r>
      <w:proofErr w:type="spellEnd"/>
      <w:r>
        <w:rPr>
          <w:rFonts w:eastAsia="Palatino Linotype"/>
          <w:position w:val="1"/>
          <w:sz w:val="22"/>
          <w:szCs w:val="22"/>
          <w:lang w:val="es-ES"/>
        </w:rPr>
        <w:t xml:space="preserve"> </w:t>
      </w:r>
      <w:proofErr w:type="spellStart"/>
      <w:r>
        <w:rPr>
          <w:rFonts w:eastAsia="Palatino Linotype"/>
          <w:position w:val="1"/>
          <w:sz w:val="22"/>
          <w:szCs w:val="22"/>
          <w:lang w:val="es-ES"/>
        </w:rPr>
        <w:t>will</w:t>
      </w:r>
      <w:proofErr w:type="spellEnd"/>
      <w:r>
        <w:rPr>
          <w:rFonts w:eastAsia="Palatino Linotype"/>
          <w:position w:val="1"/>
          <w:sz w:val="22"/>
          <w:szCs w:val="22"/>
          <w:lang w:val="es-ES"/>
        </w:rPr>
        <w:t xml:space="preserve"> determine </w:t>
      </w:r>
      <w:proofErr w:type="spellStart"/>
      <w:r>
        <w:rPr>
          <w:rFonts w:eastAsia="Palatino Linotype"/>
          <w:position w:val="1"/>
          <w:sz w:val="22"/>
          <w:szCs w:val="22"/>
          <w:lang w:val="es-ES"/>
        </w:rPr>
        <w:t>these</w:t>
      </w:r>
      <w:proofErr w:type="spellEnd"/>
      <w:r>
        <w:rPr>
          <w:rFonts w:eastAsia="Palatino Linotype"/>
          <w:position w:val="1"/>
          <w:sz w:val="22"/>
          <w:szCs w:val="22"/>
          <w:lang w:val="es-ES"/>
        </w:rPr>
        <w:t xml:space="preserve"> </w:t>
      </w:r>
      <w:proofErr w:type="spellStart"/>
      <w:r>
        <w:rPr>
          <w:rFonts w:eastAsia="Palatino Linotype"/>
          <w:position w:val="1"/>
          <w:sz w:val="22"/>
          <w:szCs w:val="22"/>
          <w:lang w:val="es-ES"/>
        </w:rPr>
        <w:t>percentages</w:t>
      </w:r>
      <w:proofErr w:type="spellEnd"/>
      <w:r>
        <w:rPr>
          <w:rFonts w:eastAsia="Palatino Linotype"/>
          <w:position w:val="1"/>
          <w:sz w:val="22"/>
          <w:szCs w:val="22"/>
          <w:lang w:val="es-ES"/>
        </w:rPr>
        <w:t xml:space="preserve"> and </w:t>
      </w:r>
      <w:proofErr w:type="spellStart"/>
      <w:r>
        <w:rPr>
          <w:rFonts w:eastAsia="Palatino Linotype"/>
          <w:position w:val="1"/>
          <w:sz w:val="22"/>
          <w:szCs w:val="22"/>
          <w:lang w:val="es-ES"/>
        </w:rPr>
        <w:t>their</w:t>
      </w:r>
      <w:proofErr w:type="spellEnd"/>
      <w:r>
        <w:rPr>
          <w:rFonts w:eastAsia="Palatino Linotype"/>
          <w:position w:val="1"/>
          <w:sz w:val="22"/>
          <w:szCs w:val="22"/>
          <w:lang w:val="es-ES"/>
        </w:rPr>
        <w:t xml:space="preserve"> </w:t>
      </w:r>
      <w:proofErr w:type="spellStart"/>
      <w:r>
        <w:rPr>
          <w:rFonts w:eastAsia="Palatino Linotype"/>
          <w:position w:val="1"/>
          <w:sz w:val="22"/>
          <w:szCs w:val="22"/>
          <w:lang w:val="es-ES"/>
        </w:rPr>
        <w:t>maximum</w:t>
      </w:r>
      <w:proofErr w:type="spellEnd"/>
      <w:r>
        <w:rPr>
          <w:rFonts w:eastAsia="Palatino Linotype"/>
          <w:position w:val="1"/>
          <w:sz w:val="22"/>
          <w:szCs w:val="22"/>
          <w:lang w:val="es-ES"/>
        </w:rPr>
        <w:t xml:space="preserve"> </w:t>
      </w:r>
      <w:proofErr w:type="spellStart"/>
      <w:r>
        <w:rPr>
          <w:rFonts w:eastAsia="Palatino Linotype"/>
          <w:position w:val="1"/>
          <w:sz w:val="22"/>
          <w:szCs w:val="22"/>
          <w:lang w:val="es-ES"/>
        </w:rPr>
        <w:t>limit</w:t>
      </w:r>
      <w:proofErr w:type="spellEnd"/>
      <w:r>
        <w:rPr>
          <w:rFonts w:eastAsia="Palatino Linotype"/>
          <w:position w:val="1"/>
          <w:sz w:val="22"/>
          <w:szCs w:val="22"/>
          <w:lang w:val="es-ES"/>
        </w:rPr>
        <w:t>.</w:t>
      </w:r>
    </w:p>
    <w:p w14:paraId="6A276860" w14:textId="77777777" w:rsidR="00E255F4" w:rsidRDefault="00E255F4">
      <w:pPr>
        <w:ind w:left="709" w:right="-142" w:hanging="1"/>
        <w:jc w:val="both"/>
        <w:rPr>
          <w:rFonts w:eastAsia="Palatino Linotype"/>
          <w:position w:val="1"/>
          <w:sz w:val="22"/>
          <w:szCs w:val="22"/>
          <w:lang w:val="es-ES"/>
        </w:rPr>
      </w:pPr>
    </w:p>
    <w:p w14:paraId="04DC2251" w14:textId="77777777" w:rsidR="00E255F4" w:rsidRDefault="00000000">
      <w:pPr>
        <w:ind w:left="709" w:right="-142" w:hanging="709"/>
        <w:jc w:val="both"/>
        <w:rPr>
          <w:rFonts w:eastAsia="Palatino Linotype"/>
          <w:sz w:val="22"/>
          <w:szCs w:val="22"/>
          <w:lang w:val="es-ES"/>
        </w:rPr>
      </w:pPr>
      <w:r>
        <w:rPr>
          <w:rFonts w:eastAsia="Palatino Linotype"/>
          <w:spacing w:val="-1"/>
          <w:position w:val="1"/>
          <w:sz w:val="22"/>
          <w:szCs w:val="22"/>
          <w:lang w:val="es-ES"/>
        </w:rPr>
        <w:t>C</w:t>
      </w:r>
      <w:r>
        <w:rPr>
          <w:rFonts w:eastAsia="Palatino Linotype"/>
          <w:position w:val="1"/>
          <w:sz w:val="22"/>
          <w:szCs w:val="22"/>
          <w:lang w:val="es-ES"/>
        </w:rPr>
        <w:t>)</w:t>
      </w:r>
      <w:r>
        <w:rPr>
          <w:rFonts w:eastAsia="Palatino Linotype"/>
          <w:spacing w:val="-2"/>
          <w:position w:val="1"/>
          <w:sz w:val="22"/>
          <w:szCs w:val="22"/>
          <w:lang w:val="es-ES"/>
        </w:rPr>
        <w:t xml:space="preserve"> </w:t>
      </w:r>
      <w:r>
        <w:rPr>
          <w:rFonts w:eastAsia="Palatino Linotype"/>
          <w:spacing w:val="-2"/>
          <w:position w:val="1"/>
          <w:sz w:val="22"/>
          <w:szCs w:val="22"/>
          <w:lang w:val="es-ES"/>
        </w:rPr>
        <w:tab/>
      </w:r>
      <w:r>
        <w:rPr>
          <w:rFonts w:eastAsia="Palatino Linotype"/>
          <w:spacing w:val="-1"/>
          <w:position w:val="1"/>
          <w:sz w:val="22"/>
          <w:szCs w:val="22"/>
          <w:lang w:val="es-ES"/>
        </w:rPr>
        <w:t>sum</w:t>
      </w:r>
      <w:r>
        <w:rPr>
          <w:rFonts w:eastAsia="Palatino Linotype"/>
          <w:position w:val="1"/>
          <w:sz w:val="22"/>
          <w:szCs w:val="22"/>
          <w:lang w:val="es-ES"/>
        </w:rPr>
        <w:t xml:space="preserve">a </w:t>
      </w:r>
      <w:proofErr w:type="spellStart"/>
      <w:r>
        <w:rPr>
          <w:rFonts w:eastAsia="Palatino Linotype"/>
          <w:position w:val="1"/>
          <w:sz w:val="22"/>
          <w:szCs w:val="22"/>
          <w:lang w:val="es-ES"/>
        </w:rPr>
        <w:t>fixed</w:t>
      </w:r>
      <w:proofErr w:type="spellEnd"/>
      <w:r>
        <w:rPr>
          <w:rFonts w:eastAsia="Palatino Linotype"/>
          <w:position w:val="1"/>
          <w:sz w:val="22"/>
          <w:szCs w:val="22"/>
          <w:lang w:val="es-ES"/>
        </w:rPr>
        <w:t>.</w:t>
      </w:r>
    </w:p>
    <w:p w14:paraId="0C1D1F12" w14:textId="77777777" w:rsidR="00E255F4" w:rsidRDefault="00E255F4">
      <w:pPr>
        <w:ind w:right="-142"/>
        <w:jc w:val="both"/>
        <w:rPr>
          <w:rFonts w:eastAsia="Palatino Linotype"/>
          <w:spacing w:val="-1"/>
          <w:position w:val="1"/>
          <w:sz w:val="22"/>
          <w:szCs w:val="22"/>
          <w:lang w:val="es-ES"/>
        </w:rPr>
      </w:pPr>
    </w:p>
    <w:p w14:paraId="543DBE5E" w14:textId="77777777" w:rsidR="00E255F4" w:rsidRDefault="00000000">
      <w:pPr>
        <w:ind w:right="-142"/>
        <w:jc w:val="both"/>
        <w:rPr>
          <w:rFonts w:eastAsia="Palatino Linotype"/>
          <w:sz w:val="22"/>
          <w:szCs w:val="22"/>
          <w:lang w:val="es-ES"/>
        </w:rPr>
      </w:pPr>
      <w:proofErr w:type="spellStart"/>
      <w:r>
        <w:rPr>
          <w:rFonts w:eastAsia="Palatino Linotype"/>
          <w:spacing w:val="-1"/>
          <w:position w:val="1"/>
          <w:sz w:val="22"/>
          <w:szCs w:val="22"/>
          <w:lang w:val="es-ES"/>
        </w:rPr>
        <w:t>The</w:t>
      </w:r>
      <w:r>
        <w:rPr>
          <w:rFonts w:eastAsia="Palatino Linotype"/>
          <w:position w:val="1"/>
          <w:sz w:val="22"/>
          <w:szCs w:val="22"/>
          <w:lang w:val="es-ES"/>
        </w:rPr>
        <w:t>The</w:t>
      </w:r>
      <w:proofErr w:type="spellEnd"/>
      <w:r>
        <w:rPr>
          <w:rFonts w:eastAsia="Palatino Linotype"/>
          <w:position w:val="1"/>
          <w:sz w:val="22"/>
          <w:szCs w:val="22"/>
          <w:lang w:val="es-ES"/>
        </w:rPr>
        <w:t xml:space="preserve"> </w:t>
      </w:r>
      <w:proofErr w:type="spellStart"/>
      <w:r>
        <w:rPr>
          <w:rFonts w:eastAsia="Palatino Linotype"/>
          <w:position w:val="1"/>
          <w:sz w:val="22"/>
          <w:szCs w:val="22"/>
          <w:lang w:val="es-ES"/>
        </w:rPr>
        <w:t>penalties</w:t>
      </w:r>
      <w:proofErr w:type="spellEnd"/>
      <w:r>
        <w:rPr>
          <w:rFonts w:eastAsia="Palatino Linotype"/>
          <w:position w:val="1"/>
          <w:sz w:val="22"/>
          <w:szCs w:val="22"/>
          <w:lang w:val="es-ES"/>
        </w:rPr>
        <w:t xml:space="preserve"> </w:t>
      </w:r>
      <w:proofErr w:type="spellStart"/>
      <w:r>
        <w:rPr>
          <w:rFonts w:eastAsia="Palatino Linotype"/>
          <w:position w:val="1"/>
          <w:sz w:val="22"/>
          <w:szCs w:val="22"/>
          <w:lang w:val="es-ES"/>
        </w:rPr>
        <w:t>for</w:t>
      </w:r>
      <w:proofErr w:type="spellEnd"/>
      <w:r>
        <w:rPr>
          <w:rFonts w:eastAsia="Palatino Linotype"/>
          <w:position w:val="1"/>
          <w:sz w:val="22"/>
          <w:szCs w:val="22"/>
          <w:lang w:val="es-ES"/>
        </w:rPr>
        <w:t xml:space="preserve"> late </w:t>
      </w:r>
      <w:proofErr w:type="spellStart"/>
      <w:r>
        <w:rPr>
          <w:rFonts w:eastAsia="Palatino Linotype"/>
          <w:position w:val="1"/>
          <w:sz w:val="22"/>
          <w:szCs w:val="22"/>
          <w:lang w:val="es-ES"/>
        </w:rPr>
        <w:t>payment</w:t>
      </w:r>
      <w:proofErr w:type="spellEnd"/>
      <w:r>
        <w:rPr>
          <w:rFonts w:eastAsia="Palatino Linotype"/>
          <w:position w:val="1"/>
          <w:sz w:val="22"/>
          <w:szCs w:val="22"/>
          <w:lang w:val="es-ES"/>
        </w:rPr>
        <w:t xml:space="preserve"> </w:t>
      </w:r>
      <w:proofErr w:type="spellStart"/>
      <w:r>
        <w:rPr>
          <w:rFonts w:eastAsia="Palatino Linotype"/>
          <w:position w:val="1"/>
          <w:sz w:val="22"/>
          <w:szCs w:val="22"/>
          <w:lang w:val="es-ES"/>
        </w:rPr>
        <w:t>will</w:t>
      </w:r>
      <w:proofErr w:type="spellEnd"/>
      <w:r>
        <w:rPr>
          <w:rFonts w:eastAsia="Palatino Linotype"/>
          <w:position w:val="1"/>
          <w:sz w:val="22"/>
          <w:szCs w:val="22"/>
          <w:lang w:val="es-ES"/>
        </w:rPr>
        <w:t xml:space="preserve"> be </w:t>
      </w:r>
      <w:proofErr w:type="spellStart"/>
      <w:r>
        <w:rPr>
          <w:rFonts w:eastAsia="Palatino Linotype"/>
          <w:position w:val="1"/>
          <w:sz w:val="22"/>
          <w:szCs w:val="22"/>
          <w:lang w:val="es-ES"/>
        </w:rPr>
        <w:t>applied</w:t>
      </w:r>
      <w:proofErr w:type="spellEnd"/>
      <w:r>
        <w:rPr>
          <w:rFonts w:eastAsia="Palatino Linotype"/>
          <w:position w:val="1"/>
          <w:sz w:val="22"/>
          <w:szCs w:val="22"/>
          <w:lang w:val="es-ES"/>
        </w:rPr>
        <w:t xml:space="preserve"> </w:t>
      </w:r>
      <w:proofErr w:type="spellStart"/>
      <w:r>
        <w:rPr>
          <w:rFonts w:eastAsia="Palatino Linotype"/>
          <w:position w:val="1"/>
          <w:sz w:val="22"/>
          <w:szCs w:val="22"/>
          <w:lang w:val="es-ES"/>
        </w:rPr>
        <w:t>regardless</w:t>
      </w:r>
      <w:proofErr w:type="spellEnd"/>
      <w:r>
        <w:rPr>
          <w:rFonts w:eastAsia="Palatino Linotype"/>
          <w:position w:val="1"/>
          <w:sz w:val="22"/>
          <w:szCs w:val="22"/>
          <w:lang w:val="es-ES"/>
        </w:rPr>
        <w:t xml:space="preserve"> </w:t>
      </w:r>
      <w:proofErr w:type="spellStart"/>
      <w:r>
        <w:rPr>
          <w:rFonts w:eastAsia="Palatino Linotype"/>
          <w:position w:val="1"/>
          <w:sz w:val="22"/>
          <w:szCs w:val="22"/>
          <w:lang w:val="es-ES"/>
        </w:rPr>
        <w:t>of</w:t>
      </w:r>
      <w:proofErr w:type="spellEnd"/>
      <w:r>
        <w:rPr>
          <w:rFonts w:eastAsia="Palatino Linotype"/>
          <w:position w:val="1"/>
          <w:sz w:val="22"/>
          <w:szCs w:val="22"/>
          <w:lang w:val="es-ES"/>
        </w:rPr>
        <w:t xml:space="preserve"> </w:t>
      </w:r>
      <w:proofErr w:type="spellStart"/>
      <w:r>
        <w:rPr>
          <w:rFonts w:eastAsia="Palatino Linotype"/>
          <w:position w:val="1"/>
          <w:sz w:val="22"/>
          <w:szCs w:val="22"/>
          <w:lang w:val="es-ES"/>
        </w:rPr>
        <w:t>any</w:t>
      </w:r>
      <w:proofErr w:type="spellEnd"/>
      <w:r>
        <w:rPr>
          <w:rFonts w:eastAsia="Palatino Linotype"/>
          <w:position w:val="1"/>
          <w:sz w:val="22"/>
          <w:szCs w:val="22"/>
          <w:lang w:val="es-ES"/>
        </w:rPr>
        <w:t xml:space="preserve"> </w:t>
      </w:r>
      <w:proofErr w:type="spellStart"/>
      <w:r>
        <w:rPr>
          <w:rFonts w:eastAsia="Palatino Linotype"/>
          <w:position w:val="1"/>
          <w:sz w:val="22"/>
          <w:szCs w:val="22"/>
          <w:lang w:val="es-ES"/>
        </w:rPr>
        <w:t>compensation</w:t>
      </w:r>
      <w:proofErr w:type="spellEnd"/>
      <w:r>
        <w:rPr>
          <w:rFonts w:eastAsia="Palatino Linotype"/>
          <w:position w:val="1"/>
          <w:sz w:val="22"/>
          <w:szCs w:val="22"/>
          <w:lang w:val="es-ES"/>
        </w:rPr>
        <w:t xml:space="preserve"> </w:t>
      </w:r>
      <w:proofErr w:type="spellStart"/>
      <w:r>
        <w:rPr>
          <w:rFonts w:eastAsia="Palatino Linotype"/>
          <w:position w:val="1"/>
          <w:sz w:val="22"/>
          <w:szCs w:val="22"/>
          <w:lang w:val="es-ES"/>
        </w:rPr>
        <w:t>for</w:t>
      </w:r>
      <w:proofErr w:type="spellEnd"/>
      <w:r>
        <w:rPr>
          <w:rFonts w:eastAsia="Palatino Linotype"/>
          <w:position w:val="1"/>
          <w:sz w:val="22"/>
          <w:szCs w:val="22"/>
          <w:lang w:val="es-ES"/>
        </w:rPr>
        <w:t xml:space="preserve"> </w:t>
      </w:r>
      <w:proofErr w:type="spellStart"/>
      <w:r>
        <w:rPr>
          <w:rFonts w:eastAsia="Palatino Linotype"/>
          <w:position w:val="1"/>
          <w:sz w:val="22"/>
          <w:szCs w:val="22"/>
          <w:lang w:val="es-ES"/>
        </w:rPr>
        <w:t>damages</w:t>
      </w:r>
      <w:proofErr w:type="spellEnd"/>
      <w:r>
        <w:rPr>
          <w:rFonts w:eastAsia="Palatino Linotype"/>
          <w:position w:val="1"/>
          <w:sz w:val="22"/>
          <w:szCs w:val="22"/>
          <w:lang w:val="es-ES"/>
        </w:rPr>
        <w:t xml:space="preserve"> </w:t>
      </w:r>
      <w:proofErr w:type="spellStart"/>
      <w:r>
        <w:rPr>
          <w:rFonts w:eastAsia="Palatino Linotype"/>
          <w:position w:val="1"/>
          <w:sz w:val="22"/>
          <w:szCs w:val="22"/>
          <w:lang w:val="es-ES"/>
        </w:rPr>
        <w:t>that</w:t>
      </w:r>
      <w:proofErr w:type="spellEnd"/>
      <w:r>
        <w:rPr>
          <w:rFonts w:eastAsia="Palatino Linotype"/>
          <w:position w:val="1"/>
          <w:sz w:val="22"/>
          <w:szCs w:val="22"/>
          <w:lang w:val="es-ES"/>
        </w:rPr>
        <w:t xml:space="preserve"> </w:t>
      </w:r>
      <w:proofErr w:type="spellStart"/>
      <w:r>
        <w:rPr>
          <w:rFonts w:eastAsia="Palatino Linotype"/>
          <w:position w:val="1"/>
          <w:sz w:val="22"/>
          <w:szCs w:val="22"/>
          <w:lang w:val="es-ES"/>
        </w:rPr>
        <w:t>may</w:t>
      </w:r>
      <w:proofErr w:type="spellEnd"/>
      <w:r>
        <w:rPr>
          <w:rFonts w:eastAsia="Palatino Linotype"/>
          <w:position w:val="1"/>
          <w:sz w:val="22"/>
          <w:szCs w:val="22"/>
          <w:lang w:val="es-ES"/>
        </w:rPr>
        <w:t xml:space="preserve"> be </w:t>
      </w:r>
      <w:proofErr w:type="spellStart"/>
      <w:r>
        <w:rPr>
          <w:rFonts w:eastAsia="Palatino Linotype"/>
          <w:position w:val="1"/>
          <w:sz w:val="22"/>
          <w:szCs w:val="22"/>
          <w:lang w:val="es-ES"/>
        </w:rPr>
        <w:t>due</w:t>
      </w:r>
      <w:proofErr w:type="spellEnd"/>
      <w:r>
        <w:rPr>
          <w:rFonts w:eastAsia="Palatino Linotype"/>
          <w:position w:val="1"/>
          <w:sz w:val="22"/>
          <w:szCs w:val="22"/>
          <w:lang w:val="es-ES"/>
        </w:rPr>
        <w:t>.</w:t>
      </w:r>
    </w:p>
    <w:p w14:paraId="5FBD0B44" w14:textId="77777777" w:rsidR="00E255F4" w:rsidRDefault="00000000">
      <w:pPr>
        <w:ind w:right="-142"/>
        <w:jc w:val="both"/>
        <w:rPr>
          <w:rFonts w:eastAsia="Palatino Linotype"/>
          <w:spacing w:val="-1"/>
          <w:sz w:val="22"/>
          <w:szCs w:val="22"/>
          <w:lang w:val="es-ES"/>
        </w:rPr>
      </w:pPr>
      <w:r>
        <w:rPr>
          <w:rFonts w:eastAsia="Palatino Linotype"/>
          <w:spacing w:val="-1"/>
          <w:sz w:val="22"/>
          <w:szCs w:val="22"/>
          <w:lang w:val="es-ES"/>
        </w:rPr>
        <w:t>AND</w:t>
      </w:r>
      <w:r>
        <w:rPr>
          <w:rFonts w:eastAsia="Palatino Linotype"/>
          <w:sz w:val="22"/>
          <w:szCs w:val="22"/>
          <w:lang w:val="es-ES"/>
        </w:rPr>
        <w:t xml:space="preserve">In </w:t>
      </w:r>
      <w:proofErr w:type="spellStart"/>
      <w:r>
        <w:rPr>
          <w:rFonts w:eastAsia="Palatino Linotype"/>
          <w:sz w:val="22"/>
          <w:szCs w:val="22"/>
          <w:lang w:val="es-ES"/>
        </w:rPr>
        <w:t>the</w:t>
      </w:r>
      <w:proofErr w:type="spellEnd"/>
      <w:r>
        <w:rPr>
          <w:rFonts w:eastAsia="Palatino Linotype"/>
          <w:sz w:val="22"/>
          <w:szCs w:val="22"/>
          <w:lang w:val="es-ES"/>
        </w:rPr>
        <w:t xml:space="preserve"> </w:t>
      </w:r>
      <w:proofErr w:type="spellStart"/>
      <w:r>
        <w:rPr>
          <w:rFonts w:eastAsia="Palatino Linotype"/>
          <w:sz w:val="22"/>
          <w:szCs w:val="22"/>
          <w:lang w:val="es-ES"/>
        </w:rPr>
        <w:t>event</w:t>
      </w:r>
      <w:proofErr w:type="spellEnd"/>
      <w:r>
        <w:rPr>
          <w:rFonts w:eastAsia="Palatino Linotype"/>
          <w:sz w:val="22"/>
          <w:szCs w:val="22"/>
          <w:lang w:val="es-ES"/>
        </w:rPr>
        <w:t xml:space="preserve"> </w:t>
      </w:r>
      <w:proofErr w:type="spellStart"/>
      <w:r>
        <w:rPr>
          <w:rFonts w:eastAsia="Palatino Linotype"/>
          <w:sz w:val="22"/>
          <w:szCs w:val="22"/>
          <w:lang w:val="es-ES"/>
        </w:rPr>
        <w:t>that</w:t>
      </w:r>
      <w:proofErr w:type="spellEnd"/>
      <w:r>
        <w:rPr>
          <w:rFonts w:eastAsia="Palatino Linotype"/>
          <w:sz w:val="22"/>
          <w:szCs w:val="22"/>
          <w:lang w:val="es-ES"/>
        </w:rPr>
        <w:t xml:space="preserve"> </w:t>
      </w:r>
      <w:proofErr w:type="spellStart"/>
      <w:r>
        <w:rPr>
          <w:rFonts w:eastAsia="Palatino Linotype"/>
          <w:sz w:val="22"/>
          <w:szCs w:val="22"/>
          <w:lang w:val="es-ES"/>
        </w:rPr>
        <w:t>the</w:t>
      </w:r>
      <w:proofErr w:type="spellEnd"/>
      <w:r>
        <w:rPr>
          <w:rFonts w:eastAsia="Palatino Linotype"/>
          <w:sz w:val="22"/>
          <w:szCs w:val="22"/>
          <w:lang w:val="es-ES"/>
        </w:rPr>
        <w:t xml:space="preserve"> </w:t>
      </w:r>
      <w:proofErr w:type="spellStart"/>
      <w:r>
        <w:rPr>
          <w:rFonts w:eastAsia="Palatino Linotype"/>
          <w:sz w:val="22"/>
          <w:szCs w:val="22"/>
          <w:lang w:val="es-ES"/>
        </w:rPr>
        <w:t>Administration</w:t>
      </w:r>
      <w:proofErr w:type="spellEnd"/>
      <w:r>
        <w:rPr>
          <w:rFonts w:eastAsia="Palatino Linotype"/>
          <w:sz w:val="22"/>
          <w:szCs w:val="22"/>
          <w:lang w:val="es-ES"/>
        </w:rPr>
        <w:t xml:space="preserve"> </w:t>
      </w:r>
      <w:proofErr w:type="spellStart"/>
      <w:r>
        <w:rPr>
          <w:rFonts w:eastAsia="Palatino Linotype"/>
          <w:sz w:val="22"/>
          <w:szCs w:val="22"/>
          <w:lang w:val="es-ES"/>
        </w:rPr>
        <w:t>establishes</w:t>
      </w:r>
      <w:proofErr w:type="spellEnd"/>
      <w:r>
        <w:rPr>
          <w:rFonts w:eastAsia="Palatino Linotype"/>
          <w:sz w:val="22"/>
          <w:szCs w:val="22"/>
          <w:lang w:val="es-ES"/>
        </w:rPr>
        <w:t xml:space="preserve"> in </w:t>
      </w:r>
      <w:proofErr w:type="spellStart"/>
      <w:r>
        <w:rPr>
          <w:rFonts w:eastAsia="Palatino Linotype"/>
          <w:sz w:val="22"/>
          <w:szCs w:val="22"/>
          <w:lang w:val="es-ES"/>
        </w:rPr>
        <w:t>the</w:t>
      </w:r>
      <w:proofErr w:type="spellEnd"/>
      <w:r>
        <w:rPr>
          <w:rFonts w:eastAsia="Palatino Linotype"/>
          <w:sz w:val="22"/>
          <w:szCs w:val="22"/>
          <w:lang w:val="es-ES"/>
        </w:rPr>
        <w:t xml:space="preserve"> Special </w:t>
      </w:r>
      <w:proofErr w:type="spellStart"/>
      <w:r>
        <w:rPr>
          <w:rFonts w:eastAsia="Palatino Linotype"/>
          <w:sz w:val="22"/>
          <w:szCs w:val="22"/>
          <w:lang w:val="es-ES"/>
        </w:rPr>
        <w:t>Specifications</w:t>
      </w:r>
      <w:proofErr w:type="spellEnd"/>
      <w:r>
        <w:rPr>
          <w:rFonts w:eastAsia="Palatino Linotype"/>
          <w:sz w:val="22"/>
          <w:szCs w:val="22"/>
          <w:lang w:val="es-ES"/>
        </w:rPr>
        <w:t xml:space="preserve"> </w:t>
      </w:r>
      <w:proofErr w:type="spellStart"/>
      <w:r>
        <w:rPr>
          <w:rFonts w:eastAsia="Palatino Linotype"/>
          <w:sz w:val="22"/>
          <w:szCs w:val="22"/>
          <w:lang w:val="es-ES"/>
        </w:rPr>
        <w:t>the</w:t>
      </w:r>
      <w:proofErr w:type="spellEnd"/>
      <w:r>
        <w:rPr>
          <w:rFonts w:eastAsia="Palatino Linotype"/>
          <w:sz w:val="22"/>
          <w:szCs w:val="22"/>
          <w:lang w:val="es-ES"/>
        </w:rPr>
        <w:t xml:space="preserve"> </w:t>
      </w:r>
      <w:proofErr w:type="spellStart"/>
      <w:r>
        <w:rPr>
          <w:rFonts w:eastAsia="Palatino Linotype"/>
          <w:sz w:val="22"/>
          <w:szCs w:val="22"/>
          <w:lang w:val="es-ES"/>
        </w:rPr>
        <w:t>right</w:t>
      </w:r>
      <w:proofErr w:type="spellEnd"/>
      <w:r>
        <w:rPr>
          <w:rFonts w:eastAsia="Palatino Linotype"/>
          <w:sz w:val="22"/>
          <w:szCs w:val="22"/>
          <w:lang w:val="es-ES"/>
        </w:rPr>
        <w:t xml:space="preserve"> </w:t>
      </w:r>
      <w:proofErr w:type="spellStart"/>
      <w:r>
        <w:rPr>
          <w:rFonts w:eastAsia="Palatino Linotype"/>
          <w:sz w:val="22"/>
          <w:szCs w:val="22"/>
          <w:lang w:val="es-ES"/>
        </w:rPr>
        <w:t>of</w:t>
      </w:r>
      <w:proofErr w:type="spellEnd"/>
      <w:r>
        <w:rPr>
          <w:rFonts w:eastAsia="Palatino Linotype"/>
          <w:sz w:val="22"/>
          <w:szCs w:val="22"/>
          <w:lang w:val="es-ES"/>
        </w:rPr>
        <w:t xml:space="preserve"> </w:t>
      </w:r>
      <w:proofErr w:type="spellStart"/>
      <w:r>
        <w:rPr>
          <w:rFonts w:eastAsia="Palatino Linotype"/>
          <w:sz w:val="22"/>
          <w:szCs w:val="22"/>
          <w:lang w:val="es-ES"/>
        </w:rPr>
        <w:t>the</w:t>
      </w:r>
      <w:proofErr w:type="spellEnd"/>
      <w:r>
        <w:rPr>
          <w:rFonts w:eastAsia="Palatino Linotype"/>
          <w:sz w:val="22"/>
          <w:szCs w:val="22"/>
          <w:lang w:val="es-ES"/>
        </w:rPr>
        <w:t xml:space="preserve"> </w:t>
      </w:r>
      <w:proofErr w:type="spellStart"/>
      <w:r>
        <w:rPr>
          <w:rFonts w:eastAsia="Palatino Linotype"/>
          <w:sz w:val="22"/>
          <w:szCs w:val="22"/>
          <w:lang w:val="es-ES"/>
        </w:rPr>
        <w:t>successful</w:t>
      </w:r>
      <w:proofErr w:type="spellEnd"/>
      <w:r>
        <w:rPr>
          <w:rFonts w:eastAsia="Palatino Linotype"/>
          <w:sz w:val="22"/>
          <w:szCs w:val="22"/>
          <w:lang w:val="es-ES"/>
        </w:rPr>
        <w:t xml:space="preserve"> </w:t>
      </w:r>
      <w:proofErr w:type="spellStart"/>
      <w:r>
        <w:rPr>
          <w:rFonts w:eastAsia="Palatino Linotype"/>
          <w:sz w:val="22"/>
          <w:szCs w:val="22"/>
          <w:lang w:val="es-ES"/>
        </w:rPr>
        <w:t>bidders</w:t>
      </w:r>
      <w:proofErr w:type="spellEnd"/>
      <w:r>
        <w:rPr>
          <w:rFonts w:eastAsia="Palatino Linotype"/>
          <w:sz w:val="22"/>
          <w:szCs w:val="22"/>
          <w:lang w:val="es-ES"/>
        </w:rPr>
        <w:t xml:space="preserve"> </w:t>
      </w:r>
      <w:proofErr w:type="spellStart"/>
      <w:r>
        <w:rPr>
          <w:rFonts w:eastAsia="Palatino Linotype"/>
          <w:sz w:val="22"/>
          <w:szCs w:val="22"/>
          <w:lang w:val="es-ES"/>
        </w:rPr>
        <w:t>to</w:t>
      </w:r>
      <w:proofErr w:type="spellEnd"/>
      <w:r>
        <w:rPr>
          <w:rFonts w:eastAsia="Palatino Linotype"/>
          <w:sz w:val="22"/>
          <w:szCs w:val="22"/>
          <w:lang w:val="es-ES"/>
        </w:rPr>
        <w:t xml:space="preserve"> </w:t>
      </w:r>
      <w:proofErr w:type="spellStart"/>
      <w:r>
        <w:rPr>
          <w:rFonts w:eastAsia="Palatino Linotype"/>
          <w:sz w:val="22"/>
          <w:szCs w:val="22"/>
          <w:lang w:val="es-ES"/>
        </w:rPr>
        <w:t>opt</w:t>
      </w:r>
      <w:proofErr w:type="spellEnd"/>
      <w:r>
        <w:rPr>
          <w:rFonts w:eastAsia="Palatino Linotype"/>
          <w:sz w:val="22"/>
          <w:szCs w:val="22"/>
          <w:lang w:val="es-ES"/>
        </w:rPr>
        <w:t xml:space="preserve"> </w:t>
      </w:r>
      <w:proofErr w:type="spellStart"/>
      <w:r>
        <w:rPr>
          <w:rFonts w:eastAsia="Palatino Linotype"/>
          <w:sz w:val="22"/>
          <w:szCs w:val="22"/>
          <w:lang w:val="es-ES"/>
        </w:rPr>
        <w:t>not</w:t>
      </w:r>
      <w:proofErr w:type="spellEnd"/>
      <w:r>
        <w:rPr>
          <w:rFonts w:eastAsia="Palatino Linotype"/>
          <w:sz w:val="22"/>
          <w:szCs w:val="22"/>
          <w:lang w:val="es-ES"/>
        </w:rPr>
        <w:t xml:space="preserve"> </w:t>
      </w:r>
      <w:proofErr w:type="spellStart"/>
      <w:r>
        <w:rPr>
          <w:rFonts w:eastAsia="Palatino Linotype"/>
          <w:sz w:val="22"/>
          <w:szCs w:val="22"/>
          <w:lang w:val="es-ES"/>
        </w:rPr>
        <w:t>to</w:t>
      </w:r>
      <w:proofErr w:type="spellEnd"/>
      <w:r>
        <w:rPr>
          <w:rFonts w:eastAsia="Palatino Linotype"/>
          <w:sz w:val="22"/>
          <w:szCs w:val="22"/>
          <w:lang w:val="es-ES"/>
        </w:rPr>
        <w:t xml:space="preserve"> </w:t>
      </w:r>
      <w:proofErr w:type="spellStart"/>
      <w:r>
        <w:rPr>
          <w:rFonts w:eastAsia="Palatino Linotype"/>
          <w:sz w:val="22"/>
          <w:szCs w:val="22"/>
          <w:lang w:val="es-ES"/>
        </w:rPr>
        <w:t>present</w:t>
      </w:r>
      <w:proofErr w:type="spellEnd"/>
      <w:r>
        <w:rPr>
          <w:rFonts w:eastAsia="Palatino Linotype"/>
          <w:sz w:val="22"/>
          <w:szCs w:val="22"/>
          <w:lang w:val="es-ES"/>
        </w:rPr>
        <w:t xml:space="preserve"> a </w:t>
      </w:r>
      <w:proofErr w:type="spellStart"/>
      <w:r>
        <w:rPr>
          <w:rFonts w:eastAsia="Palatino Linotype"/>
          <w:sz w:val="22"/>
          <w:szCs w:val="22"/>
          <w:lang w:val="es-ES"/>
        </w:rPr>
        <w:t>guarantee</w:t>
      </w:r>
      <w:proofErr w:type="spellEnd"/>
      <w:r>
        <w:rPr>
          <w:rFonts w:eastAsia="Palatino Linotype"/>
          <w:sz w:val="22"/>
          <w:szCs w:val="22"/>
          <w:lang w:val="es-ES"/>
        </w:rPr>
        <w:t xml:space="preserve"> </w:t>
      </w:r>
      <w:proofErr w:type="spellStart"/>
      <w:r>
        <w:rPr>
          <w:rFonts w:eastAsia="Palatino Linotype"/>
          <w:sz w:val="22"/>
          <w:szCs w:val="22"/>
          <w:lang w:val="es-ES"/>
        </w:rPr>
        <w:t>of</w:t>
      </w:r>
      <w:proofErr w:type="spellEnd"/>
      <w:r>
        <w:rPr>
          <w:rFonts w:eastAsia="Palatino Linotype"/>
          <w:sz w:val="22"/>
          <w:szCs w:val="22"/>
          <w:lang w:val="es-ES"/>
        </w:rPr>
        <w:t xml:space="preserve"> </w:t>
      </w:r>
      <w:proofErr w:type="spellStart"/>
      <w:r>
        <w:rPr>
          <w:rFonts w:eastAsia="Palatino Linotype"/>
          <w:sz w:val="22"/>
          <w:szCs w:val="22"/>
          <w:lang w:val="es-ES"/>
        </w:rPr>
        <w:t>faithful</w:t>
      </w:r>
      <w:proofErr w:type="spellEnd"/>
      <w:r>
        <w:rPr>
          <w:rFonts w:eastAsia="Palatino Linotype"/>
          <w:sz w:val="22"/>
          <w:szCs w:val="22"/>
          <w:lang w:val="es-ES"/>
        </w:rPr>
        <w:t xml:space="preserve"> performance </w:t>
      </w:r>
      <w:proofErr w:type="spellStart"/>
      <w:r>
        <w:rPr>
          <w:rFonts w:eastAsia="Palatino Linotype"/>
          <w:sz w:val="22"/>
          <w:szCs w:val="22"/>
          <w:lang w:val="es-ES"/>
        </w:rPr>
        <w:t>of</w:t>
      </w:r>
      <w:proofErr w:type="spellEnd"/>
      <w:r>
        <w:rPr>
          <w:rFonts w:eastAsia="Palatino Linotype"/>
          <w:sz w:val="22"/>
          <w:szCs w:val="22"/>
          <w:lang w:val="es-ES"/>
        </w:rPr>
        <w:t xml:space="preserve"> </w:t>
      </w:r>
      <w:proofErr w:type="spellStart"/>
      <w:r>
        <w:rPr>
          <w:rFonts w:eastAsia="Palatino Linotype"/>
          <w:sz w:val="22"/>
          <w:szCs w:val="22"/>
          <w:lang w:val="es-ES"/>
        </w:rPr>
        <w:t>the</w:t>
      </w:r>
      <w:proofErr w:type="spellEnd"/>
      <w:r>
        <w:rPr>
          <w:rFonts w:eastAsia="Palatino Linotype"/>
          <w:sz w:val="22"/>
          <w:szCs w:val="22"/>
          <w:lang w:val="es-ES"/>
        </w:rPr>
        <w:t xml:space="preserve"> </w:t>
      </w:r>
      <w:proofErr w:type="spellStart"/>
      <w:r>
        <w:rPr>
          <w:rFonts w:eastAsia="Palatino Linotype"/>
          <w:sz w:val="22"/>
          <w:szCs w:val="22"/>
          <w:lang w:val="es-ES"/>
        </w:rPr>
        <w:t>contract</w:t>
      </w:r>
      <w:proofErr w:type="spellEnd"/>
      <w:r>
        <w:rPr>
          <w:rFonts w:eastAsia="Palatino Linotype"/>
          <w:sz w:val="22"/>
          <w:szCs w:val="22"/>
          <w:lang w:val="es-ES"/>
        </w:rPr>
        <w:t xml:space="preserve">, and </w:t>
      </w:r>
      <w:proofErr w:type="spellStart"/>
      <w:r>
        <w:rPr>
          <w:rFonts w:eastAsia="Palatino Linotype"/>
          <w:sz w:val="22"/>
          <w:szCs w:val="22"/>
          <w:lang w:val="es-ES"/>
        </w:rPr>
        <w:t>the</w:t>
      </w:r>
      <w:proofErr w:type="spellEnd"/>
      <w:r>
        <w:rPr>
          <w:rFonts w:eastAsia="Palatino Linotype"/>
          <w:sz w:val="22"/>
          <w:szCs w:val="22"/>
          <w:lang w:val="es-ES"/>
        </w:rPr>
        <w:t xml:space="preserve"> </w:t>
      </w:r>
      <w:proofErr w:type="spellStart"/>
      <w:r>
        <w:rPr>
          <w:rFonts w:eastAsia="Palatino Linotype"/>
          <w:sz w:val="22"/>
          <w:szCs w:val="22"/>
          <w:lang w:val="es-ES"/>
        </w:rPr>
        <w:t>contract</w:t>
      </w:r>
      <w:proofErr w:type="spellEnd"/>
      <w:r>
        <w:rPr>
          <w:rFonts w:eastAsia="Palatino Linotype"/>
          <w:sz w:val="22"/>
          <w:szCs w:val="22"/>
          <w:lang w:val="es-ES"/>
        </w:rPr>
        <w:t xml:space="preserve"> </w:t>
      </w:r>
      <w:proofErr w:type="spellStart"/>
      <w:r>
        <w:rPr>
          <w:rFonts w:eastAsia="Palatino Linotype"/>
          <w:sz w:val="22"/>
          <w:szCs w:val="22"/>
          <w:lang w:val="es-ES"/>
        </w:rPr>
        <w:t>is</w:t>
      </w:r>
      <w:proofErr w:type="spellEnd"/>
      <w:r>
        <w:rPr>
          <w:rFonts w:eastAsia="Palatino Linotype"/>
          <w:sz w:val="22"/>
          <w:szCs w:val="22"/>
          <w:lang w:val="es-ES"/>
        </w:rPr>
        <w:t xml:space="preserve"> </w:t>
      </w:r>
      <w:proofErr w:type="spellStart"/>
      <w:r>
        <w:rPr>
          <w:rFonts w:eastAsia="Palatino Linotype"/>
          <w:sz w:val="22"/>
          <w:szCs w:val="22"/>
          <w:lang w:val="es-ES"/>
        </w:rPr>
        <w:t>breached</w:t>
      </w:r>
      <w:proofErr w:type="spellEnd"/>
      <w:r>
        <w:rPr>
          <w:rFonts w:eastAsia="Palatino Linotype"/>
          <w:sz w:val="22"/>
          <w:szCs w:val="22"/>
          <w:lang w:val="es-ES"/>
        </w:rPr>
        <w:t xml:space="preserve">, </w:t>
      </w:r>
      <w:proofErr w:type="spellStart"/>
      <w:r>
        <w:rPr>
          <w:rFonts w:eastAsia="Palatino Linotype"/>
          <w:sz w:val="22"/>
          <w:szCs w:val="22"/>
          <w:lang w:val="es-ES"/>
        </w:rPr>
        <w:t>the</w:t>
      </w:r>
      <w:proofErr w:type="spellEnd"/>
      <w:r>
        <w:rPr>
          <w:rFonts w:eastAsia="Palatino Linotype"/>
          <w:sz w:val="22"/>
          <w:szCs w:val="22"/>
          <w:lang w:val="es-ES"/>
        </w:rPr>
        <w:t xml:space="preserve"> administrative </w:t>
      </w:r>
      <w:proofErr w:type="spellStart"/>
      <w:r>
        <w:rPr>
          <w:rFonts w:eastAsia="Palatino Linotype"/>
          <w:sz w:val="22"/>
          <w:szCs w:val="22"/>
          <w:lang w:val="es-ES"/>
        </w:rPr>
        <w:t>act</w:t>
      </w:r>
      <w:proofErr w:type="spellEnd"/>
      <w:r>
        <w:rPr>
          <w:rFonts w:eastAsia="Palatino Linotype"/>
          <w:sz w:val="22"/>
          <w:szCs w:val="22"/>
          <w:lang w:val="es-ES"/>
        </w:rPr>
        <w:t xml:space="preserve"> </w:t>
      </w:r>
      <w:proofErr w:type="spellStart"/>
      <w:r>
        <w:rPr>
          <w:rFonts w:eastAsia="Palatino Linotype"/>
          <w:sz w:val="22"/>
          <w:szCs w:val="22"/>
          <w:lang w:val="es-ES"/>
        </w:rPr>
        <w:t>that</w:t>
      </w:r>
      <w:proofErr w:type="spellEnd"/>
      <w:r>
        <w:rPr>
          <w:rFonts w:eastAsia="Palatino Linotype"/>
          <w:sz w:val="22"/>
          <w:szCs w:val="22"/>
          <w:lang w:val="es-ES"/>
        </w:rPr>
        <w:t xml:space="preserve"> </w:t>
      </w:r>
      <w:proofErr w:type="spellStart"/>
      <w:r>
        <w:rPr>
          <w:rFonts w:eastAsia="Palatino Linotype"/>
          <w:sz w:val="22"/>
          <w:szCs w:val="22"/>
          <w:lang w:val="es-ES"/>
        </w:rPr>
        <w:t>imposes</w:t>
      </w:r>
      <w:proofErr w:type="spellEnd"/>
      <w:r>
        <w:rPr>
          <w:rFonts w:eastAsia="Palatino Linotype"/>
          <w:sz w:val="22"/>
          <w:szCs w:val="22"/>
          <w:lang w:val="es-ES"/>
        </w:rPr>
        <w:t xml:space="preserve"> </w:t>
      </w:r>
      <w:proofErr w:type="spellStart"/>
      <w:r>
        <w:rPr>
          <w:rFonts w:eastAsia="Palatino Linotype"/>
          <w:sz w:val="22"/>
          <w:szCs w:val="22"/>
          <w:lang w:val="es-ES"/>
        </w:rPr>
        <w:t>the</w:t>
      </w:r>
      <w:proofErr w:type="spellEnd"/>
      <w:r>
        <w:rPr>
          <w:rFonts w:eastAsia="Palatino Linotype"/>
          <w:sz w:val="22"/>
          <w:szCs w:val="22"/>
          <w:lang w:val="es-ES"/>
        </w:rPr>
        <w:t xml:space="preserve"> fine </w:t>
      </w:r>
      <w:proofErr w:type="spellStart"/>
      <w:r>
        <w:rPr>
          <w:rFonts w:eastAsia="Palatino Linotype"/>
          <w:sz w:val="22"/>
          <w:szCs w:val="22"/>
          <w:lang w:val="es-ES"/>
        </w:rPr>
        <w:t>will</w:t>
      </w:r>
      <w:proofErr w:type="spellEnd"/>
      <w:r>
        <w:rPr>
          <w:rFonts w:eastAsia="Palatino Linotype"/>
          <w:sz w:val="22"/>
          <w:szCs w:val="22"/>
          <w:lang w:val="es-ES"/>
        </w:rPr>
        <w:t xml:space="preserve"> be </w:t>
      </w:r>
      <w:proofErr w:type="spellStart"/>
      <w:r>
        <w:rPr>
          <w:rFonts w:eastAsia="Palatino Linotype"/>
          <w:sz w:val="22"/>
          <w:szCs w:val="22"/>
          <w:lang w:val="es-ES"/>
        </w:rPr>
        <w:t>an</w:t>
      </w:r>
      <w:proofErr w:type="spellEnd"/>
      <w:r>
        <w:rPr>
          <w:rFonts w:eastAsia="Palatino Linotype"/>
          <w:sz w:val="22"/>
          <w:szCs w:val="22"/>
          <w:lang w:val="es-ES"/>
        </w:rPr>
        <w:t xml:space="preserve"> </w:t>
      </w:r>
      <w:proofErr w:type="spellStart"/>
      <w:r>
        <w:rPr>
          <w:rFonts w:eastAsia="Palatino Linotype"/>
          <w:sz w:val="22"/>
          <w:szCs w:val="22"/>
          <w:lang w:val="es-ES"/>
        </w:rPr>
        <w:t>enforceable</w:t>
      </w:r>
      <w:proofErr w:type="spellEnd"/>
      <w:r>
        <w:rPr>
          <w:rFonts w:eastAsia="Palatino Linotype"/>
          <w:sz w:val="22"/>
          <w:szCs w:val="22"/>
          <w:lang w:val="es-ES"/>
        </w:rPr>
        <w:t xml:space="preserve"> </w:t>
      </w:r>
      <w:proofErr w:type="spellStart"/>
      <w:r>
        <w:rPr>
          <w:rFonts w:eastAsia="Palatino Linotype"/>
          <w:sz w:val="22"/>
          <w:szCs w:val="22"/>
          <w:lang w:val="es-ES"/>
        </w:rPr>
        <w:t>title</w:t>
      </w:r>
      <w:proofErr w:type="spellEnd"/>
      <w:r>
        <w:rPr>
          <w:rFonts w:eastAsia="Palatino Linotype"/>
          <w:sz w:val="22"/>
          <w:szCs w:val="22"/>
          <w:lang w:val="es-ES"/>
        </w:rPr>
        <w:t xml:space="preserve">, </w:t>
      </w:r>
      <w:proofErr w:type="spellStart"/>
      <w:r>
        <w:rPr>
          <w:rFonts w:eastAsia="Palatino Linotype"/>
          <w:sz w:val="22"/>
          <w:szCs w:val="22"/>
          <w:lang w:val="es-ES"/>
        </w:rPr>
        <w:t>without</w:t>
      </w:r>
      <w:proofErr w:type="spellEnd"/>
      <w:r>
        <w:rPr>
          <w:rFonts w:eastAsia="Palatino Linotype"/>
          <w:sz w:val="22"/>
          <w:szCs w:val="22"/>
          <w:lang w:val="es-ES"/>
        </w:rPr>
        <w:t xml:space="preserve"> </w:t>
      </w:r>
      <w:proofErr w:type="spellStart"/>
      <w:r>
        <w:rPr>
          <w:rFonts w:eastAsia="Palatino Linotype"/>
          <w:sz w:val="22"/>
          <w:szCs w:val="22"/>
          <w:lang w:val="es-ES"/>
        </w:rPr>
        <w:t>prejudice</w:t>
      </w:r>
      <w:proofErr w:type="spellEnd"/>
      <w:r>
        <w:rPr>
          <w:rFonts w:eastAsia="Palatino Linotype"/>
          <w:sz w:val="22"/>
          <w:szCs w:val="22"/>
          <w:lang w:val="es-ES"/>
        </w:rPr>
        <w:t xml:space="preserve"> </w:t>
      </w:r>
      <w:proofErr w:type="spellStart"/>
      <w:r>
        <w:rPr>
          <w:rFonts w:eastAsia="Palatino Linotype"/>
          <w:sz w:val="22"/>
          <w:szCs w:val="22"/>
          <w:lang w:val="es-ES"/>
        </w:rPr>
        <w:t>to</w:t>
      </w:r>
      <w:proofErr w:type="spellEnd"/>
      <w:r>
        <w:rPr>
          <w:rFonts w:eastAsia="Palatino Linotype"/>
          <w:sz w:val="22"/>
          <w:szCs w:val="22"/>
          <w:lang w:val="es-ES"/>
        </w:rPr>
        <w:t xml:space="preserve"> </w:t>
      </w:r>
      <w:proofErr w:type="spellStart"/>
      <w:r>
        <w:rPr>
          <w:rFonts w:eastAsia="Palatino Linotype"/>
          <w:sz w:val="22"/>
          <w:szCs w:val="22"/>
          <w:lang w:val="es-ES"/>
        </w:rPr>
        <w:t>the</w:t>
      </w:r>
      <w:proofErr w:type="spellEnd"/>
      <w:r>
        <w:rPr>
          <w:rFonts w:eastAsia="Palatino Linotype"/>
          <w:sz w:val="22"/>
          <w:szCs w:val="22"/>
          <w:lang w:val="es-ES"/>
        </w:rPr>
        <w:t xml:space="preserve"> </w:t>
      </w:r>
      <w:proofErr w:type="spellStart"/>
      <w:r>
        <w:rPr>
          <w:rFonts w:eastAsia="Palatino Linotype"/>
          <w:sz w:val="22"/>
          <w:szCs w:val="22"/>
          <w:lang w:val="es-ES"/>
        </w:rPr>
        <w:t>compensation</w:t>
      </w:r>
      <w:proofErr w:type="spellEnd"/>
      <w:r>
        <w:rPr>
          <w:rFonts w:eastAsia="Palatino Linotype"/>
          <w:sz w:val="22"/>
          <w:szCs w:val="22"/>
          <w:lang w:val="es-ES"/>
        </w:rPr>
        <w:t xml:space="preserve"> </w:t>
      </w:r>
      <w:proofErr w:type="spellStart"/>
      <w:r>
        <w:rPr>
          <w:rFonts w:eastAsia="Palatino Linotype"/>
          <w:sz w:val="22"/>
          <w:szCs w:val="22"/>
          <w:lang w:val="es-ES"/>
        </w:rPr>
        <w:t>of</w:t>
      </w:r>
      <w:proofErr w:type="spellEnd"/>
      <w:r>
        <w:rPr>
          <w:rFonts w:eastAsia="Palatino Linotype"/>
          <w:sz w:val="22"/>
          <w:szCs w:val="22"/>
          <w:lang w:val="es-ES"/>
        </w:rPr>
        <w:t xml:space="preserve"> </w:t>
      </w:r>
      <w:proofErr w:type="spellStart"/>
      <w:r>
        <w:rPr>
          <w:rFonts w:eastAsia="Palatino Linotype"/>
          <w:sz w:val="22"/>
          <w:szCs w:val="22"/>
          <w:lang w:val="es-ES"/>
        </w:rPr>
        <w:t>any</w:t>
      </w:r>
      <w:proofErr w:type="spellEnd"/>
      <w:r>
        <w:rPr>
          <w:rFonts w:eastAsia="Palatino Linotype"/>
          <w:sz w:val="22"/>
          <w:szCs w:val="22"/>
          <w:lang w:val="es-ES"/>
        </w:rPr>
        <w:t xml:space="preserve"> </w:t>
      </w:r>
      <w:proofErr w:type="spellStart"/>
      <w:r>
        <w:rPr>
          <w:rFonts w:eastAsia="Palatino Linotype"/>
          <w:sz w:val="22"/>
          <w:szCs w:val="22"/>
          <w:lang w:val="es-ES"/>
        </w:rPr>
        <w:t>damages</w:t>
      </w:r>
      <w:proofErr w:type="spellEnd"/>
      <w:r>
        <w:rPr>
          <w:rFonts w:eastAsia="Palatino Linotype"/>
          <w:sz w:val="22"/>
          <w:szCs w:val="22"/>
          <w:lang w:val="es-ES"/>
        </w:rPr>
        <w:t xml:space="preserve"> </w:t>
      </w:r>
      <w:proofErr w:type="spellStart"/>
      <w:r>
        <w:rPr>
          <w:rFonts w:eastAsia="Palatino Linotype"/>
          <w:sz w:val="22"/>
          <w:szCs w:val="22"/>
          <w:lang w:val="es-ES"/>
        </w:rPr>
        <w:t>that</w:t>
      </w:r>
      <w:proofErr w:type="spellEnd"/>
      <w:r>
        <w:rPr>
          <w:rFonts w:eastAsia="Palatino Linotype"/>
          <w:sz w:val="22"/>
          <w:szCs w:val="22"/>
          <w:lang w:val="es-ES"/>
        </w:rPr>
        <w:t xml:space="preserve"> </w:t>
      </w:r>
      <w:proofErr w:type="spellStart"/>
      <w:r>
        <w:rPr>
          <w:rFonts w:eastAsia="Palatino Linotype"/>
          <w:sz w:val="22"/>
          <w:szCs w:val="22"/>
          <w:lang w:val="es-ES"/>
        </w:rPr>
        <w:t>said</w:t>
      </w:r>
      <w:proofErr w:type="spellEnd"/>
      <w:r>
        <w:rPr>
          <w:rFonts w:eastAsia="Palatino Linotype"/>
          <w:sz w:val="22"/>
          <w:szCs w:val="22"/>
          <w:lang w:val="es-ES"/>
        </w:rPr>
        <w:t xml:space="preserve"> </w:t>
      </w:r>
      <w:proofErr w:type="spellStart"/>
      <w:r>
        <w:rPr>
          <w:rFonts w:eastAsia="Palatino Linotype"/>
          <w:sz w:val="22"/>
          <w:szCs w:val="22"/>
          <w:lang w:val="es-ES"/>
        </w:rPr>
        <w:t>breach</w:t>
      </w:r>
      <w:proofErr w:type="spellEnd"/>
      <w:r>
        <w:rPr>
          <w:rFonts w:eastAsia="Palatino Linotype"/>
          <w:sz w:val="22"/>
          <w:szCs w:val="22"/>
          <w:lang w:val="es-ES"/>
        </w:rPr>
        <w:t xml:space="preserve"> </w:t>
      </w:r>
      <w:proofErr w:type="spellStart"/>
      <w:r>
        <w:rPr>
          <w:rFonts w:eastAsia="Palatino Linotype"/>
          <w:sz w:val="22"/>
          <w:szCs w:val="22"/>
          <w:lang w:val="es-ES"/>
        </w:rPr>
        <w:t>may</w:t>
      </w:r>
      <w:proofErr w:type="spellEnd"/>
      <w:r>
        <w:rPr>
          <w:rFonts w:eastAsia="Palatino Linotype"/>
          <w:sz w:val="22"/>
          <w:szCs w:val="22"/>
          <w:lang w:val="es-ES"/>
        </w:rPr>
        <w:t xml:space="preserve"> </w:t>
      </w:r>
      <w:proofErr w:type="spellStart"/>
      <w:r>
        <w:rPr>
          <w:rFonts w:eastAsia="Palatino Linotype"/>
          <w:sz w:val="22"/>
          <w:szCs w:val="22"/>
          <w:lang w:val="es-ES"/>
        </w:rPr>
        <w:t>have</w:t>
      </w:r>
      <w:proofErr w:type="spellEnd"/>
      <w:r>
        <w:rPr>
          <w:rFonts w:eastAsia="Palatino Linotype"/>
          <w:sz w:val="22"/>
          <w:szCs w:val="22"/>
          <w:lang w:val="es-ES"/>
        </w:rPr>
        <w:t xml:space="preserve"> </w:t>
      </w:r>
      <w:proofErr w:type="spellStart"/>
      <w:r>
        <w:rPr>
          <w:rFonts w:eastAsia="Palatino Linotype"/>
          <w:sz w:val="22"/>
          <w:szCs w:val="22"/>
          <w:lang w:val="es-ES"/>
        </w:rPr>
        <w:t>caused</w:t>
      </w:r>
      <w:proofErr w:type="spellEnd"/>
      <w:r>
        <w:rPr>
          <w:rFonts w:eastAsia="Palatino Linotype"/>
          <w:sz w:val="22"/>
          <w:szCs w:val="22"/>
          <w:lang w:val="es-ES"/>
        </w:rPr>
        <w:t xml:space="preserve"> </w:t>
      </w:r>
      <w:proofErr w:type="spellStart"/>
      <w:r>
        <w:rPr>
          <w:rFonts w:eastAsia="Palatino Linotype"/>
          <w:sz w:val="22"/>
          <w:szCs w:val="22"/>
          <w:lang w:val="es-ES"/>
        </w:rPr>
        <w:t>to</w:t>
      </w:r>
      <w:proofErr w:type="spellEnd"/>
      <w:r>
        <w:rPr>
          <w:rFonts w:eastAsia="Palatino Linotype"/>
          <w:sz w:val="22"/>
          <w:szCs w:val="22"/>
          <w:lang w:val="es-ES"/>
        </w:rPr>
        <w:t xml:space="preserve"> </w:t>
      </w:r>
      <w:proofErr w:type="spellStart"/>
      <w:r>
        <w:rPr>
          <w:rFonts w:eastAsia="Palatino Linotype"/>
          <w:sz w:val="22"/>
          <w:szCs w:val="22"/>
          <w:lang w:val="es-ES"/>
        </w:rPr>
        <w:t>the</w:t>
      </w:r>
      <w:proofErr w:type="spellEnd"/>
      <w:r>
        <w:rPr>
          <w:rFonts w:eastAsia="Palatino Linotype"/>
          <w:sz w:val="22"/>
          <w:szCs w:val="22"/>
          <w:lang w:val="es-ES"/>
        </w:rPr>
        <w:t xml:space="preserve"> </w:t>
      </w:r>
      <w:proofErr w:type="spellStart"/>
      <w:r>
        <w:rPr>
          <w:rFonts w:eastAsia="Palatino Linotype"/>
          <w:sz w:val="22"/>
          <w:szCs w:val="22"/>
          <w:lang w:val="es-ES"/>
        </w:rPr>
        <w:t>Administration</w:t>
      </w:r>
      <w:proofErr w:type="spellEnd"/>
      <w:r>
        <w:rPr>
          <w:rFonts w:eastAsia="Palatino Linotype"/>
          <w:sz w:val="22"/>
          <w:szCs w:val="22"/>
          <w:lang w:val="es-ES"/>
        </w:rPr>
        <w:t xml:space="preserve"> and </w:t>
      </w:r>
      <w:proofErr w:type="spellStart"/>
      <w:r>
        <w:rPr>
          <w:rFonts w:eastAsia="Palatino Linotype"/>
          <w:sz w:val="22"/>
          <w:szCs w:val="22"/>
          <w:lang w:val="es-ES"/>
        </w:rPr>
        <w:t>the</w:t>
      </w:r>
      <w:proofErr w:type="spellEnd"/>
      <w:r>
        <w:rPr>
          <w:rFonts w:eastAsia="Palatino Linotype"/>
          <w:sz w:val="22"/>
          <w:szCs w:val="22"/>
          <w:lang w:val="es-ES"/>
        </w:rPr>
        <w:t xml:space="preserve"> </w:t>
      </w:r>
      <w:proofErr w:type="spellStart"/>
      <w:r>
        <w:rPr>
          <w:rFonts w:eastAsia="Palatino Linotype"/>
          <w:sz w:val="22"/>
          <w:szCs w:val="22"/>
          <w:lang w:val="es-ES"/>
        </w:rPr>
        <w:t>communication</w:t>
      </w:r>
      <w:proofErr w:type="spellEnd"/>
      <w:r>
        <w:rPr>
          <w:rFonts w:eastAsia="Palatino Linotype"/>
          <w:sz w:val="22"/>
          <w:szCs w:val="22"/>
          <w:lang w:val="es-ES"/>
        </w:rPr>
        <w:t xml:space="preserve"> </w:t>
      </w:r>
      <w:proofErr w:type="spellStart"/>
      <w:r>
        <w:rPr>
          <w:rFonts w:eastAsia="Palatino Linotype"/>
          <w:sz w:val="22"/>
          <w:szCs w:val="22"/>
          <w:lang w:val="es-ES"/>
        </w:rPr>
        <w:t>of</w:t>
      </w:r>
      <w:proofErr w:type="spellEnd"/>
      <w:r>
        <w:rPr>
          <w:rFonts w:eastAsia="Palatino Linotype"/>
          <w:sz w:val="22"/>
          <w:szCs w:val="22"/>
          <w:lang w:val="es-ES"/>
        </w:rPr>
        <w:t xml:space="preserve"> </w:t>
      </w:r>
      <w:proofErr w:type="spellStart"/>
      <w:r>
        <w:rPr>
          <w:rFonts w:eastAsia="Palatino Linotype"/>
          <w:sz w:val="22"/>
          <w:szCs w:val="22"/>
          <w:lang w:val="es-ES"/>
        </w:rPr>
        <w:t>the</w:t>
      </w:r>
      <w:proofErr w:type="spellEnd"/>
      <w:r>
        <w:rPr>
          <w:rFonts w:eastAsia="Palatino Linotype"/>
          <w:sz w:val="22"/>
          <w:szCs w:val="22"/>
          <w:lang w:val="es-ES"/>
        </w:rPr>
        <w:t xml:space="preserve"> </w:t>
      </w:r>
      <w:proofErr w:type="spellStart"/>
      <w:r>
        <w:rPr>
          <w:rFonts w:eastAsia="Palatino Linotype"/>
          <w:sz w:val="22"/>
          <w:szCs w:val="22"/>
          <w:lang w:val="es-ES"/>
        </w:rPr>
        <w:t>fact</w:t>
      </w:r>
      <w:proofErr w:type="spellEnd"/>
      <w:r>
        <w:rPr>
          <w:rFonts w:eastAsia="Palatino Linotype"/>
          <w:sz w:val="22"/>
          <w:szCs w:val="22"/>
          <w:lang w:val="es-ES"/>
        </w:rPr>
        <w:t xml:space="preserve"> </w:t>
      </w:r>
      <w:proofErr w:type="spellStart"/>
      <w:r>
        <w:rPr>
          <w:rFonts w:eastAsia="Palatino Linotype"/>
          <w:sz w:val="22"/>
          <w:szCs w:val="22"/>
          <w:lang w:val="es-ES"/>
        </w:rPr>
        <w:t>to</w:t>
      </w:r>
      <w:proofErr w:type="spellEnd"/>
      <w:r>
        <w:rPr>
          <w:rFonts w:eastAsia="Palatino Linotype"/>
          <w:sz w:val="22"/>
          <w:szCs w:val="22"/>
          <w:lang w:val="es-ES"/>
        </w:rPr>
        <w:t xml:space="preserve"> </w:t>
      </w:r>
      <w:proofErr w:type="spellStart"/>
      <w:r>
        <w:rPr>
          <w:rFonts w:eastAsia="Palatino Linotype"/>
          <w:sz w:val="22"/>
          <w:szCs w:val="22"/>
          <w:lang w:val="es-ES"/>
        </w:rPr>
        <w:t>the</w:t>
      </w:r>
      <w:proofErr w:type="spellEnd"/>
      <w:r>
        <w:rPr>
          <w:rFonts w:eastAsia="Palatino Linotype"/>
          <w:sz w:val="22"/>
          <w:szCs w:val="22"/>
          <w:lang w:val="es-ES"/>
        </w:rPr>
        <w:t xml:space="preserve"> RUPE.</w:t>
      </w:r>
    </w:p>
    <w:p w14:paraId="726617DA" w14:textId="77777777" w:rsidR="00E255F4" w:rsidRDefault="00E255F4">
      <w:pPr>
        <w:ind w:right="-142"/>
        <w:jc w:val="both"/>
        <w:rPr>
          <w:rFonts w:eastAsia="Palatino Linotype"/>
          <w:spacing w:val="-1"/>
          <w:sz w:val="22"/>
          <w:szCs w:val="22"/>
          <w:lang w:val="es-ES"/>
        </w:rPr>
      </w:pPr>
    </w:p>
    <w:p w14:paraId="51ADF277" w14:textId="77777777" w:rsidR="00E255F4" w:rsidRDefault="00000000">
      <w:pPr>
        <w:ind w:right="-142"/>
        <w:jc w:val="both"/>
        <w:outlineLvl w:val="0"/>
        <w:rPr>
          <w:rFonts w:eastAsia="Palatino Linotype"/>
          <w:sz w:val="22"/>
          <w:szCs w:val="22"/>
          <w:lang w:val="es-ES"/>
        </w:rPr>
      </w:pPr>
      <w:bookmarkStart w:id="61" w:name="__RefHeading___Toc225377238"/>
      <w:bookmarkEnd w:id="61"/>
      <w:r>
        <w:rPr>
          <w:rFonts w:eastAsia="Palatino Linotype"/>
          <w:b/>
          <w:spacing w:val="-1"/>
          <w:sz w:val="22"/>
          <w:szCs w:val="22"/>
          <w:lang w:val="es-ES"/>
        </w:rPr>
        <w:t>2</w:t>
      </w:r>
      <w:r>
        <w:rPr>
          <w:rFonts w:eastAsia="Palatino Linotype"/>
          <w:b/>
          <w:sz w:val="22"/>
          <w:szCs w:val="22"/>
          <w:lang w:val="es-ES"/>
        </w:rPr>
        <w:t>4</w:t>
      </w:r>
      <w:r>
        <w:rPr>
          <w:rFonts w:eastAsia="Palatino Linotype"/>
          <w:b/>
          <w:spacing w:val="-2"/>
          <w:sz w:val="22"/>
          <w:szCs w:val="22"/>
          <w:lang w:val="es-ES"/>
        </w:rPr>
        <w:t xml:space="preserve"> </w:t>
      </w:r>
      <w:r>
        <w:rPr>
          <w:rFonts w:eastAsia="Palatino Linotype"/>
          <w:b/>
          <w:spacing w:val="-2"/>
          <w:sz w:val="22"/>
          <w:szCs w:val="22"/>
          <w:lang w:val="es-ES"/>
        </w:rPr>
        <w:tab/>
      </w:r>
      <w:proofErr w:type="spellStart"/>
      <w:r>
        <w:rPr>
          <w:rFonts w:eastAsia="Palatino Linotype"/>
          <w:b/>
          <w:spacing w:val="-1"/>
          <w:sz w:val="22"/>
          <w:szCs w:val="22"/>
          <w:lang w:val="es-ES"/>
        </w:rPr>
        <w:t>Import</w:t>
      </w:r>
      <w:proofErr w:type="spellEnd"/>
    </w:p>
    <w:p w14:paraId="193BAB34" w14:textId="77777777" w:rsidR="00E255F4" w:rsidRDefault="00E255F4">
      <w:pPr>
        <w:ind w:right="-142"/>
        <w:jc w:val="both"/>
        <w:rPr>
          <w:rFonts w:eastAsia="Palatino Linotype"/>
          <w:spacing w:val="1"/>
          <w:sz w:val="22"/>
          <w:szCs w:val="22"/>
          <w:lang w:val="es-ES"/>
        </w:rPr>
      </w:pPr>
    </w:p>
    <w:p w14:paraId="2123B9EB" w14:textId="77777777" w:rsidR="00E255F4" w:rsidRDefault="00000000">
      <w:pPr>
        <w:ind w:right="-142"/>
        <w:jc w:val="both"/>
        <w:rPr>
          <w:rFonts w:eastAsia="Palatino Linotype"/>
          <w:sz w:val="22"/>
          <w:szCs w:val="22"/>
          <w:lang w:val="es-ES"/>
        </w:rPr>
      </w:pPr>
      <w:r>
        <w:rPr>
          <w:rFonts w:eastAsia="Palatino Linotype"/>
          <w:spacing w:val="1"/>
          <w:sz w:val="22"/>
          <w:szCs w:val="22"/>
          <w:lang w:val="es-ES"/>
        </w:rPr>
        <w:t>AND</w:t>
      </w:r>
      <w:r>
        <w:rPr>
          <w:rFonts w:eastAsia="Palatino Linotype"/>
          <w:sz w:val="22"/>
          <w:szCs w:val="22"/>
          <w:lang w:val="es-ES"/>
        </w:rPr>
        <w:t xml:space="preserve">In </w:t>
      </w:r>
      <w:proofErr w:type="spellStart"/>
      <w:r>
        <w:rPr>
          <w:rFonts w:eastAsia="Palatino Linotype"/>
          <w:sz w:val="22"/>
          <w:szCs w:val="22"/>
          <w:lang w:val="es-ES"/>
        </w:rPr>
        <w:t>the</w:t>
      </w:r>
      <w:proofErr w:type="spellEnd"/>
      <w:r>
        <w:rPr>
          <w:rFonts w:eastAsia="Palatino Linotype"/>
          <w:sz w:val="22"/>
          <w:szCs w:val="22"/>
          <w:lang w:val="es-ES"/>
        </w:rPr>
        <w:t xml:space="preserve"> case </w:t>
      </w:r>
      <w:proofErr w:type="spellStart"/>
      <w:r>
        <w:rPr>
          <w:rFonts w:eastAsia="Palatino Linotype"/>
          <w:sz w:val="22"/>
          <w:szCs w:val="22"/>
          <w:lang w:val="es-ES"/>
        </w:rPr>
        <w:t>of</w:t>
      </w:r>
      <w:proofErr w:type="spellEnd"/>
      <w:r>
        <w:rPr>
          <w:rFonts w:eastAsia="Palatino Linotype"/>
          <w:sz w:val="22"/>
          <w:szCs w:val="22"/>
          <w:lang w:val="es-ES"/>
        </w:rPr>
        <w:t xml:space="preserve"> </w:t>
      </w:r>
      <w:proofErr w:type="spellStart"/>
      <w:r>
        <w:rPr>
          <w:rFonts w:eastAsia="Palatino Linotype"/>
          <w:sz w:val="22"/>
          <w:szCs w:val="22"/>
          <w:lang w:val="es-ES"/>
        </w:rPr>
        <w:t>goods</w:t>
      </w:r>
      <w:proofErr w:type="spellEnd"/>
      <w:r>
        <w:rPr>
          <w:rFonts w:eastAsia="Palatino Linotype"/>
          <w:sz w:val="22"/>
          <w:szCs w:val="22"/>
          <w:lang w:val="es-ES"/>
        </w:rPr>
        <w:t xml:space="preserve"> </w:t>
      </w:r>
      <w:proofErr w:type="spellStart"/>
      <w:r>
        <w:rPr>
          <w:rFonts w:eastAsia="Palatino Linotype"/>
          <w:sz w:val="22"/>
          <w:szCs w:val="22"/>
          <w:lang w:val="es-ES"/>
        </w:rPr>
        <w:t>to</w:t>
      </w:r>
      <w:proofErr w:type="spellEnd"/>
      <w:r>
        <w:rPr>
          <w:rFonts w:eastAsia="Palatino Linotype"/>
          <w:sz w:val="22"/>
          <w:szCs w:val="22"/>
          <w:lang w:val="es-ES"/>
        </w:rPr>
        <w:t xml:space="preserve"> be </w:t>
      </w:r>
      <w:proofErr w:type="spellStart"/>
      <w:r>
        <w:rPr>
          <w:rFonts w:eastAsia="Palatino Linotype"/>
          <w:sz w:val="22"/>
          <w:szCs w:val="22"/>
          <w:lang w:val="es-ES"/>
        </w:rPr>
        <w:t>imported</w:t>
      </w:r>
      <w:proofErr w:type="spellEnd"/>
      <w:r>
        <w:rPr>
          <w:rFonts w:eastAsia="Palatino Linotype"/>
          <w:sz w:val="22"/>
          <w:szCs w:val="22"/>
          <w:lang w:val="es-ES"/>
        </w:rPr>
        <w:t xml:space="preserve"> </w:t>
      </w:r>
      <w:proofErr w:type="spellStart"/>
      <w:r>
        <w:rPr>
          <w:rFonts w:eastAsia="Palatino Linotype"/>
          <w:sz w:val="22"/>
          <w:szCs w:val="22"/>
          <w:lang w:val="es-ES"/>
        </w:rPr>
        <w:t>by</w:t>
      </w:r>
      <w:proofErr w:type="spellEnd"/>
      <w:r>
        <w:rPr>
          <w:rFonts w:eastAsia="Palatino Linotype"/>
          <w:sz w:val="22"/>
          <w:szCs w:val="22"/>
          <w:lang w:val="es-ES"/>
        </w:rPr>
        <w:t xml:space="preserve"> </w:t>
      </w:r>
      <w:proofErr w:type="spellStart"/>
      <w:r>
        <w:rPr>
          <w:rFonts w:eastAsia="Palatino Linotype"/>
          <w:sz w:val="22"/>
          <w:szCs w:val="22"/>
          <w:lang w:val="es-ES"/>
        </w:rPr>
        <w:t>the</w:t>
      </w:r>
      <w:proofErr w:type="spellEnd"/>
      <w:r>
        <w:rPr>
          <w:rFonts w:eastAsia="Palatino Linotype"/>
          <w:sz w:val="22"/>
          <w:szCs w:val="22"/>
          <w:lang w:val="es-ES"/>
        </w:rPr>
        <w:t xml:space="preserve"> </w:t>
      </w:r>
      <w:proofErr w:type="spellStart"/>
      <w:r>
        <w:rPr>
          <w:rFonts w:eastAsia="Palatino Linotype"/>
          <w:sz w:val="22"/>
          <w:szCs w:val="22"/>
          <w:lang w:val="es-ES"/>
        </w:rPr>
        <w:t>Administration</w:t>
      </w:r>
      <w:proofErr w:type="spellEnd"/>
      <w:r>
        <w:rPr>
          <w:rFonts w:eastAsia="Palatino Linotype"/>
          <w:sz w:val="22"/>
          <w:szCs w:val="22"/>
          <w:lang w:val="es-ES"/>
        </w:rPr>
        <w:t xml:space="preserve">, </w:t>
      </w:r>
      <w:proofErr w:type="spellStart"/>
      <w:r>
        <w:rPr>
          <w:rFonts w:eastAsia="Palatino Linotype"/>
          <w:sz w:val="22"/>
          <w:szCs w:val="22"/>
          <w:lang w:val="es-ES"/>
        </w:rPr>
        <w:t>the</w:t>
      </w:r>
      <w:proofErr w:type="spellEnd"/>
      <w:r>
        <w:rPr>
          <w:rFonts w:eastAsia="Palatino Linotype"/>
          <w:sz w:val="22"/>
          <w:szCs w:val="22"/>
          <w:lang w:val="es-ES"/>
        </w:rPr>
        <w:t xml:space="preserve"> </w:t>
      </w:r>
      <w:proofErr w:type="spellStart"/>
      <w:r>
        <w:rPr>
          <w:rFonts w:eastAsia="Palatino Linotype"/>
          <w:sz w:val="22"/>
          <w:szCs w:val="22"/>
          <w:lang w:val="es-ES"/>
        </w:rPr>
        <w:t>conditions</w:t>
      </w:r>
      <w:proofErr w:type="spellEnd"/>
      <w:r>
        <w:rPr>
          <w:rFonts w:eastAsia="Palatino Linotype"/>
          <w:sz w:val="22"/>
          <w:szCs w:val="22"/>
          <w:lang w:val="es-ES"/>
        </w:rPr>
        <w:t xml:space="preserve"> and </w:t>
      </w:r>
      <w:proofErr w:type="spellStart"/>
      <w:r>
        <w:rPr>
          <w:rFonts w:eastAsia="Palatino Linotype"/>
          <w:sz w:val="22"/>
          <w:szCs w:val="22"/>
          <w:lang w:val="es-ES"/>
        </w:rPr>
        <w:t>requirements</w:t>
      </w:r>
      <w:proofErr w:type="spellEnd"/>
      <w:r>
        <w:rPr>
          <w:rFonts w:eastAsia="Palatino Linotype"/>
          <w:sz w:val="22"/>
          <w:szCs w:val="22"/>
          <w:lang w:val="es-ES"/>
        </w:rPr>
        <w:t xml:space="preserve"> </w:t>
      </w:r>
      <w:proofErr w:type="spellStart"/>
      <w:r>
        <w:rPr>
          <w:rFonts w:eastAsia="Palatino Linotype"/>
          <w:sz w:val="22"/>
          <w:szCs w:val="22"/>
          <w:lang w:val="es-ES"/>
        </w:rPr>
        <w:t>to</w:t>
      </w:r>
      <w:proofErr w:type="spellEnd"/>
      <w:r>
        <w:rPr>
          <w:rFonts w:eastAsia="Palatino Linotype"/>
          <w:sz w:val="22"/>
          <w:szCs w:val="22"/>
          <w:lang w:val="es-ES"/>
        </w:rPr>
        <w:t xml:space="preserve"> be </w:t>
      </w:r>
      <w:proofErr w:type="spellStart"/>
      <w:r>
        <w:rPr>
          <w:rFonts w:eastAsia="Palatino Linotype"/>
          <w:sz w:val="22"/>
          <w:szCs w:val="22"/>
          <w:lang w:val="es-ES"/>
        </w:rPr>
        <w:t>met</w:t>
      </w:r>
      <w:proofErr w:type="spellEnd"/>
      <w:r>
        <w:rPr>
          <w:rFonts w:eastAsia="Palatino Linotype"/>
          <w:sz w:val="22"/>
          <w:szCs w:val="22"/>
          <w:lang w:val="es-ES"/>
        </w:rPr>
        <w:t xml:space="preserve"> </w:t>
      </w:r>
      <w:proofErr w:type="spellStart"/>
      <w:r>
        <w:rPr>
          <w:rFonts w:eastAsia="Palatino Linotype"/>
          <w:sz w:val="22"/>
          <w:szCs w:val="22"/>
          <w:lang w:val="es-ES"/>
        </w:rPr>
        <w:t>by</w:t>
      </w:r>
      <w:proofErr w:type="spellEnd"/>
      <w:r>
        <w:rPr>
          <w:rFonts w:eastAsia="Palatino Linotype"/>
          <w:sz w:val="22"/>
          <w:szCs w:val="22"/>
          <w:lang w:val="es-ES"/>
        </w:rPr>
        <w:t xml:space="preserve"> </w:t>
      </w:r>
      <w:proofErr w:type="spellStart"/>
      <w:r>
        <w:rPr>
          <w:rFonts w:eastAsia="Palatino Linotype"/>
          <w:sz w:val="22"/>
          <w:szCs w:val="22"/>
          <w:lang w:val="es-ES"/>
        </w:rPr>
        <w:t>the</w:t>
      </w:r>
      <w:proofErr w:type="spellEnd"/>
      <w:r>
        <w:rPr>
          <w:rFonts w:eastAsia="Palatino Linotype"/>
          <w:sz w:val="22"/>
          <w:szCs w:val="22"/>
          <w:lang w:val="es-ES"/>
        </w:rPr>
        <w:t xml:space="preserve"> </w:t>
      </w:r>
      <w:proofErr w:type="spellStart"/>
      <w:r>
        <w:rPr>
          <w:rFonts w:eastAsia="Palatino Linotype"/>
          <w:sz w:val="22"/>
          <w:szCs w:val="22"/>
          <w:lang w:val="es-ES"/>
        </w:rPr>
        <w:t>bidders</w:t>
      </w:r>
      <w:proofErr w:type="spellEnd"/>
      <w:r>
        <w:rPr>
          <w:rFonts w:eastAsia="Palatino Linotype"/>
          <w:sz w:val="22"/>
          <w:szCs w:val="22"/>
          <w:lang w:val="es-ES"/>
        </w:rPr>
        <w:t xml:space="preserve"> and </w:t>
      </w:r>
      <w:proofErr w:type="spellStart"/>
      <w:r>
        <w:rPr>
          <w:rFonts w:eastAsia="Palatino Linotype"/>
          <w:sz w:val="22"/>
          <w:szCs w:val="22"/>
          <w:lang w:val="es-ES"/>
        </w:rPr>
        <w:t>awardees</w:t>
      </w:r>
      <w:proofErr w:type="spellEnd"/>
      <w:r>
        <w:rPr>
          <w:rFonts w:eastAsia="Palatino Linotype"/>
          <w:sz w:val="22"/>
          <w:szCs w:val="22"/>
          <w:lang w:val="es-ES"/>
        </w:rPr>
        <w:t xml:space="preserve"> </w:t>
      </w:r>
      <w:proofErr w:type="spellStart"/>
      <w:r>
        <w:rPr>
          <w:rFonts w:eastAsia="Palatino Linotype"/>
          <w:sz w:val="22"/>
          <w:szCs w:val="22"/>
          <w:lang w:val="es-ES"/>
        </w:rPr>
        <w:t>will</w:t>
      </w:r>
      <w:proofErr w:type="spellEnd"/>
      <w:r>
        <w:rPr>
          <w:rFonts w:eastAsia="Palatino Linotype"/>
          <w:sz w:val="22"/>
          <w:szCs w:val="22"/>
          <w:lang w:val="es-ES"/>
        </w:rPr>
        <w:t xml:space="preserve"> be </w:t>
      </w:r>
      <w:proofErr w:type="spellStart"/>
      <w:r>
        <w:rPr>
          <w:rFonts w:eastAsia="Palatino Linotype"/>
          <w:sz w:val="22"/>
          <w:szCs w:val="22"/>
          <w:lang w:val="es-ES"/>
        </w:rPr>
        <w:t>established</w:t>
      </w:r>
      <w:proofErr w:type="spellEnd"/>
      <w:r>
        <w:rPr>
          <w:rFonts w:eastAsia="Palatino Linotype"/>
          <w:sz w:val="22"/>
          <w:szCs w:val="22"/>
          <w:lang w:val="es-ES"/>
        </w:rPr>
        <w:t xml:space="preserve"> in </w:t>
      </w:r>
      <w:proofErr w:type="spellStart"/>
      <w:r>
        <w:rPr>
          <w:rFonts w:eastAsia="Palatino Linotype"/>
          <w:sz w:val="22"/>
          <w:szCs w:val="22"/>
          <w:lang w:val="es-ES"/>
        </w:rPr>
        <w:t>the</w:t>
      </w:r>
      <w:proofErr w:type="spellEnd"/>
      <w:r>
        <w:rPr>
          <w:rFonts w:eastAsia="Palatino Linotype"/>
          <w:sz w:val="22"/>
          <w:szCs w:val="22"/>
          <w:lang w:val="es-ES"/>
        </w:rPr>
        <w:t xml:space="preserve"> Special </w:t>
      </w:r>
      <w:proofErr w:type="spellStart"/>
      <w:r>
        <w:rPr>
          <w:rFonts w:eastAsia="Palatino Linotype"/>
          <w:sz w:val="22"/>
          <w:szCs w:val="22"/>
          <w:lang w:val="es-ES"/>
        </w:rPr>
        <w:t>Specifications</w:t>
      </w:r>
      <w:proofErr w:type="spellEnd"/>
      <w:r>
        <w:rPr>
          <w:rFonts w:eastAsia="Palatino Linotype"/>
          <w:sz w:val="22"/>
          <w:szCs w:val="22"/>
          <w:lang w:val="es-ES"/>
        </w:rPr>
        <w:t>.</w:t>
      </w:r>
    </w:p>
    <w:p w14:paraId="72A01F8B" w14:textId="77777777" w:rsidR="00E255F4" w:rsidRDefault="00E255F4">
      <w:pPr>
        <w:rPr>
          <w:rFonts w:eastAsia="Palatino Linotype"/>
          <w:sz w:val="22"/>
          <w:szCs w:val="22"/>
          <w:lang w:val="es-ES"/>
        </w:rPr>
      </w:pPr>
    </w:p>
    <w:p w14:paraId="03E71A06" w14:textId="77777777" w:rsidR="00E255F4" w:rsidRDefault="00000000">
      <w:pPr>
        <w:ind w:right="-142"/>
        <w:jc w:val="both"/>
        <w:outlineLvl w:val="0"/>
        <w:rPr>
          <w:rFonts w:eastAsia="Palatino Linotype"/>
          <w:sz w:val="22"/>
          <w:szCs w:val="22"/>
          <w:lang w:val="es-ES"/>
        </w:rPr>
      </w:pPr>
      <w:bookmarkStart w:id="62" w:name="__RefHeading___Toc225377239"/>
      <w:bookmarkEnd w:id="62"/>
      <w:r>
        <w:rPr>
          <w:rFonts w:eastAsia="Palatino Linotype"/>
          <w:b/>
          <w:spacing w:val="-1"/>
          <w:sz w:val="22"/>
          <w:szCs w:val="22"/>
          <w:lang w:val="es-ES"/>
        </w:rPr>
        <w:t>2</w:t>
      </w:r>
      <w:r>
        <w:rPr>
          <w:rFonts w:eastAsia="Palatino Linotype"/>
          <w:b/>
          <w:sz w:val="22"/>
          <w:szCs w:val="22"/>
          <w:lang w:val="es-ES"/>
        </w:rPr>
        <w:t>5</w:t>
      </w:r>
      <w:r>
        <w:rPr>
          <w:rFonts w:eastAsia="Palatino Linotype"/>
          <w:b/>
          <w:spacing w:val="-2"/>
          <w:sz w:val="22"/>
          <w:szCs w:val="22"/>
          <w:lang w:val="es-ES"/>
        </w:rPr>
        <w:t xml:space="preserve"> </w:t>
      </w:r>
      <w:r>
        <w:rPr>
          <w:rFonts w:eastAsia="Palatino Linotype"/>
          <w:b/>
          <w:spacing w:val="-2"/>
          <w:sz w:val="22"/>
          <w:szCs w:val="22"/>
          <w:lang w:val="es-ES"/>
        </w:rPr>
        <w:tab/>
      </w:r>
      <w:proofErr w:type="spellStart"/>
      <w:r>
        <w:rPr>
          <w:rFonts w:eastAsia="Palatino Linotype"/>
          <w:b/>
          <w:spacing w:val="-1"/>
          <w:sz w:val="22"/>
          <w:szCs w:val="22"/>
          <w:lang w:val="es-ES"/>
        </w:rPr>
        <w:t>Reception</w:t>
      </w:r>
      <w:proofErr w:type="spellEnd"/>
    </w:p>
    <w:p w14:paraId="53DE1BD7" w14:textId="77777777" w:rsidR="00E255F4" w:rsidRDefault="00E255F4">
      <w:pPr>
        <w:ind w:right="-142"/>
        <w:jc w:val="both"/>
        <w:rPr>
          <w:rFonts w:eastAsia="Palatino Linotype"/>
          <w:spacing w:val="-2"/>
          <w:sz w:val="22"/>
          <w:szCs w:val="22"/>
          <w:lang w:val="es-ES"/>
        </w:rPr>
      </w:pPr>
    </w:p>
    <w:p w14:paraId="0ADEE1C6" w14:textId="77777777" w:rsidR="00E255F4" w:rsidRDefault="00000000">
      <w:pPr>
        <w:ind w:right="-142"/>
        <w:jc w:val="both"/>
        <w:rPr>
          <w:rFonts w:eastAsia="Palatino Linotype"/>
          <w:sz w:val="22"/>
          <w:szCs w:val="22"/>
          <w:lang w:val="es-ES"/>
        </w:rPr>
      </w:pPr>
      <w:proofErr w:type="spellStart"/>
      <w:r>
        <w:rPr>
          <w:rFonts w:eastAsia="Palatino Linotype"/>
          <w:spacing w:val="-2"/>
          <w:sz w:val="22"/>
          <w:szCs w:val="22"/>
          <w:lang w:val="es-ES"/>
        </w:rPr>
        <w:t>AND</w:t>
      </w:r>
      <w:r>
        <w:rPr>
          <w:rFonts w:eastAsia="Palatino Linotype"/>
          <w:sz w:val="22"/>
          <w:szCs w:val="22"/>
          <w:lang w:val="es-ES"/>
        </w:rPr>
        <w:t>The</w:t>
      </w:r>
      <w:proofErr w:type="spellEnd"/>
      <w:r>
        <w:rPr>
          <w:rFonts w:eastAsia="Palatino Linotype"/>
          <w:sz w:val="22"/>
          <w:szCs w:val="22"/>
          <w:lang w:val="es-ES"/>
        </w:rPr>
        <w:t xml:space="preserve"> </w:t>
      </w:r>
      <w:proofErr w:type="spellStart"/>
      <w:r>
        <w:rPr>
          <w:rFonts w:eastAsia="Palatino Linotype"/>
          <w:sz w:val="22"/>
          <w:szCs w:val="22"/>
          <w:lang w:val="es-ES"/>
        </w:rPr>
        <w:t>successful</w:t>
      </w:r>
      <w:proofErr w:type="spellEnd"/>
      <w:r>
        <w:rPr>
          <w:rFonts w:eastAsia="Palatino Linotype"/>
          <w:sz w:val="22"/>
          <w:szCs w:val="22"/>
          <w:lang w:val="es-ES"/>
        </w:rPr>
        <w:t xml:space="preserve"> </w:t>
      </w:r>
      <w:proofErr w:type="spellStart"/>
      <w:r>
        <w:rPr>
          <w:rFonts w:eastAsia="Palatino Linotype"/>
          <w:sz w:val="22"/>
          <w:szCs w:val="22"/>
          <w:lang w:val="es-ES"/>
        </w:rPr>
        <w:t>bidder</w:t>
      </w:r>
      <w:proofErr w:type="spellEnd"/>
      <w:r>
        <w:rPr>
          <w:rFonts w:eastAsia="Palatino Linotype"/>
          <w:sz w:val="22"/>
          <w:szCs w:val="22"/>
          <w:lang w:val="es-ES"/>
        </w:rPr>
        <w:t xml:space="preserve"> </w:t>
      </w:r>
      <w:proofErr w:type="spellStart"/>
      <w:r>
        <w:rPr>
          <w:rFonts w:eastAsia="Palatino Linotype"/>
          <w:sz w:val="22"/>
          <w:szCs w:val="22"/>
          <w:lang w:val="es-ES"/>
        </w:rPr>
        <w:t>must</w:t>
      </w:r>
      <w:proofErr w:type="spellEnd"/>
      <w:r>
        <w:rPr>
          <w:rFonts w:eastAsia="Palatino Linotype"/>
          <w:sz w:val="22"/>
          <w:szCs w:val="22"/>
          <w:lang w:val="es-ES"/>
        </w:rPr>
        <w:t xml:space="preserve"> </w:t>
      </w:r>
      <w:proofErr w:type="spellStart"/>
      <w:r>
        <w:rPr>
          <w:rFonts w:eastAsia="Palatino Linotype"/>
          <w:sz w:val="22"/>
          <w:szCs w:val="22"/>
          <w:lang w:val="es-ES"/>
        </w:rPr>
        <w:t>deliver</w:t>
      </w:r>
      <w:proofErr w:type="spellEnd"/>
      <w:r>
        <w:rPr>
          <w:rFonts w:eastAsia="Palatino Linotype"/>
          <w:sz w:val="22"/>
          <w:szCs w:val="22"/>
          <w:lang w:val="es-ES"/>
        </w:rPr>
        <w:t xml:space="preserve"> </w:t>
      </w:r>
      <w:proofErr w:type="spellStart"/>
      <w:r>
        <w:rPr>
          <w:rFonts w:eastAsia="Palatino Linotype"/>
          <w:sz w:val="22"/>
          <w:szCs w:val="22"/>
          <w:lang w:val="es-ES"/>
        </w:rPr>
        <w:t>the</w:t>
      </w:r>
      <w:proofErr w:type="spellEnd"/>
      <w:r>
        <w:rPr>
          <w:rFonts w:eastAsia="Palatino Linotype"/>
          <w:sz w:val="22"/>
          <w:szCs w:val="22"/>
          <w:lang w:val="es-ES"/>
        </w:rPr>
        <w:t xml:space="preserve"> </w:t>
      </w:r>
      <w:proofErr w:type="spellStart"/>
      <w:r>
        <w:rPr>
          <w:rFonts w:eastAsia="Palatino Linotype"/>
          <w:sz w:val="22"/>
          <w:szCs w:val="22"/>
          <w:lang w:val="es-ES"/>
        </w:rPr>
        <w:t>goods</w:t>
      </w:r>
      <w:proofErr w:type="spellEnd"/>
      <w:r>
        <w:rPr>
          <w:rFonts w:eastAsia="Palatino Linotype"/>
          <w:sz w:val="22"/>
          <w:szCs w:val="22"/>
          <w:lang w:val="es-ES"/>
        </w:rPr>
        <w:t xml:space="preserve"> </w:t>
      </w:r>
      <w:proofErr w:type="spellStart"/>
      <w:r>
        <w:rPr>
          <w:rFonts w:eastAsia="Palatino Linotype"/>
          <w:sz w:val="22"/>
          <w:szCs w:val="22"/>
          <w:lang w:val="es-ES"/>
        </w:rPr>
        <w:t>or</w:t>
      </w:r>
      <w:proofErr w:type="spellEnd"/>
      <w:r>
        <w:rPr>
          <w:rFonts w:eastAsia="Palatino Linotype"/>
          <w:sz w:val="22"/>
          <w:szCs w:val="22"/>
          <w:lang w:val="es-ES"/>
        </w:rPr>
        <w:t xml:space="preserve"> </w:t>
      </w:r>
      <w:proofErr w:type="spellStart"/>
      <w:r>
        <w:rPr>
          <w:rFonts w:eastAsia="Palatino Linotype"/>
          <w:sz w:val="22"/>
          <w:szCs w:val="22"/>
          <w:lang w:val="es-ES"/>
        </w:rPr>
        <w:t>provide</w:t>
      </w:r>
      <w:proofErr w:type="spellEnd"/>
      <w:r>
        <w:rPr>
          <w:rFonts w:eastAsia="Palatino Linotype"/>
          <w:sz w:val="22"/>
          <w:szCs w:val="22"/>
          <w:lang w:val="es-ES"/>
        </w:rPr>
        <w:t xml:space="preserve"> </w:t>
      </w:r>
      <w:proofErr w:type="spellStart"/>
      <w:r>
        <w:rPr>
          <w:rFonts w:eastAsia="Palatino Linotype"/>
          <w:sz w:val="22"/>
          <w:szCs w:val="22"/>
          <w:lang w:val="es-ES"/>
        </w:rPr>
        <w:t>the</w:t>
      </w:r>
      <w:proofErr w:type="spellEnd"/>
      <w:r>
        <w:rPr>
          <w:rFonts w:eastAsia="Palatino Linotype"/>
          <w:sz w:val="22"/>
          <w:szCs w:val="22"/>
          <w:lang w:val="es-ES"/>
        </w:rPr>
        <w:t xml:space="preserve"> </w:t>
      </w:r>
      <w:proofErr w:type="spellStart"/>
      <w:r>
        <w:rPr>
          <w:rFonts w:eastAsia="Palatino Linotype"/>
          <w:sz w:val="22"/>
          <w:szCs w:val="22"/>
          <w:lang w:val="es-ES"/>
        </w:rPr>
        <w:t>services</w:t>
      </w:r>
      <w:proofErr w:type="spellEnd"/>
      <w:r>
        <w:rPr>
          <w:rFonts w:eastAsia="Palatino Linotype"/>
          <w:sz w:val="22"/>
          <w:szCs w:val="22"/>
          <w:lang w:val="es-ES"/>
        </w:rPr>
        <w:t xml:space="preserve"> </w:t>
      </w:r>
      <w:proofErr w:type="spellStart"/>
      <w:r>
        <w:rPr>
          <w:rFonts w:eastAsia="Palatino Linotype"/>
          <w:sz w:val="22"/>
          <w:szCs w:val="22"/>
          <w:lang w:val="es-ES"/>
        </w:rPr>
        <w:t>under</w:t>
      </w:r>
      <w:proofErr w:type="spellEnd"/>
      <w:r>
        <w:rPr>
          <w:rFonts w:eastAsia="Palatino Linotype"/>
          <w:sz w:val="22"/>
          <w:szCs w:val="22"/>
          <w:lang w:val="es-ES"/>
        </w:rPr>
        <w:t xml:space="preserve"> </w:t>
      </w:r>
      <w:proofErr w:type="spellStart"/>
      <w:r>
        <w:rPr>
          <w:rFonts w:eastAsia="Palatino Linotype"/>
          <w:sz w:val="22"/>
          <w:szCs w:val="22"/>
          <w:lang w:val="es-ES"/>
        </w:rPr>
        <w:t>the</w:t>
      </w:r>
      <w:proofErr w:type="spellEnd"/>
      <w:r>
        <w:rPr>
          <w:rFonts w:eastAsia="Palatino Linotype"/>
          <w:sz w:val="22"/>
          <w:szCs w:val="22"/>
          <w:lang w:val="es-ES"/>
        </w:rPr>
        <w:t xml:space="preserve"> </w:t>
      </w:r>
      <w:proofErr w:type="spellStart"/>
      <w:r>
        <w:rPr>
          <w:rFonts w:eastAsia="Palatino Linotype"/>
          <w:sz w:val="22"/>
          <w:szCs w:val="22"/>
          <w:lang w:val="es-ES"/>
        </w:rPr>
        <w:t>conditions</w:t>
      </w:r>
      <w:proofErr w:type="spellEnd"/>
      <w:r>
        <w:rPr>
          <w:rFonts w:eastAsia="Palatino Linotype"/>
          <w:sz w:val="22"/>
          <w:szCs w:val="22"/>
          <w:lang w:val="es-ES"/>
        </w:rPr>
        <w:t xml:space="preserve"> and </w:t>
      </w:r>
      <w:proofErr w:type="spellStart"/>
      <w:r>
        <w:rPr>
          <w:rFonts w:eastAsia="Palatino Linotype"/>
          <w:sz w:val="22"/>
          <w:szCs w:val="22"/>
          <w:lang w:val="es-ES"/>
        </w:rPr>
        <w:t>deadlines</w:t>
      </w:r>
      <w:proofErr w:type="spellEnd"/>
      <w:r>
        <w:rPr>
          <w:rFonts w:eastAsia="Palatino Linotype"/>
          <w:sz w:val="22"/>
          <w:szCs w:val="22"/>
          <w:lang w:val="es-ES"/>
        </w:rPr>
        <w:t xml:space="preserve"> </w:t>
      </w:r>
      <w:proofErr w:type="spellStart"/>
      <w:r>
        <w:rPr>
          <w:rFonts w:eastAsia="Palatino Linotype"/>
          <w:sz w:val="22"/>
          <w:szCs w:val="22"/>
          <w:lang w:val="es-ES"/>
        </w:rPr>
        <w:t>stipulated</w:t>
      </w:r>
      <w:proofErr w:type="spellEnd"/>
      <w:r>
        <w:rPr>
          <w:rFonts w:eastAsia="Palatino Linotype"/>
          <w:sz w:val="22"/>
          <w:szCs w:val="22"/>
          <w:lang w:val="es-ES"/>
        </w:rPr>
        <w:t xml:space="preserve"> in </w:t>
      </w:r>
      <w:proofErr w:type="spellStart"/>
      <w:r>
        <w:rPr>
          <w:rFonts w:eastAsia="Palatino Linotype"/>
          <w:sz w:val="22"/>
          <w:szCs w:val="22"/>
          <w:lang w:val="es-ES"/>
        </w:rPr>
        <w:t>the</w:t>
      </w:r>
      <w:proofErr w:type="spellEnd"/>
      <w:r>
        <w:rPr>
          <w:rFonts w:eastAsia="Palatino Linotype"/>
          <w:sz w:val="22"/>
          <w:szCs w:val="22"/>
          <w:lang w:val="es-ES"/>
        </w:rPr>
        <w:t xml:space="preserve"> </w:t>
      </w:r>
      <w:proofErr w:type="spellStart"/>
      <w:r>
        <w:rPr>
          <w:rFonts w:eastAsia="Palatino Linotype"/>
          <w:sz w:val="22"/>
          <w:szCs w:val="22"/>
          <w:lang w:val="es-ES"/>
        </w:rPr>
        <w:t>contract</w:t>
      </w:r>
      <w:proofErr w:type="spellEnd"/>
      <w:r>
        <w:rPr>
          <w:rFonts w:eastAsia="Palatino Linotype"/>
          <w:sz w:val="22"/>
          <w:szCs w:val="22"/>
          <w:lang w:val="es-ES"/>
        </w:rPr>
        <w:t>.</w:t>
      </w:r>
    </w:p>
    <w:p w14:paraId="2388142A" w14:textId="77777777" w:rsidR="00E255F4" w:rsidRDefault="00E255F4">
      <w:pPr>
        <w:ind w:right="-142"/>
        <w:jc w:val="both"/>
        <w:rPr>
          <w:rFonts w:eastAsia="Palatino Linotype"/>
          <w:position w:val="1"/>
          <w:sz w:val="22"/>
          <w:szCs w:val="22"/>
          <w:lang w:val="es-ES"/>
        </w:rPr>
      </w:pPr>
    </w:p>
    <w:p w14:paraId="367A61AE" w14:textId="77777777" w:rsidR="00E255F4" w:rsidRDefault="00000000">
      <w:pPr>
        <w:ind w:right="-142"/>
        <w:jc w:val="both"/>
        <w:rPr>
          <w:rFonts w:eastAsia="Palatino Linotype"/>
          <w:sz w:val="22"/>
          <w:szCs w:val="22"/>
          <w:lang w:val="es-ES"/>
        </w:rPr>
      </w:pPr>
      <w:r>
        <w:rPr>
          <w:rFonts w:eastAsia="Palatino Linotype"/>
          <w:position w:val="1"/>
          <w:sz w:val="22"/>
          <w:szCs w:val="22"/>
          <w:lang w:val="es-ES"/>
        </w:rPr>
        <w:lastRenderedPageBreak/>
        <w:t xml:space="preserve">The </w:t>
      </w:r>
      <w:proofErr w:type="spellStart"/>
      <w:r>
        <w:rPr>
          <w:rFonts w:eastAsia="Palatino Linotype"/>
          <w:position w:val="1"/>
          <w:sz w:val="22"/>
          <w:szCs w:val="22"/>
          <w:lang w:val="es-ES"/>
        </w:rPr>
        <w:t>Administration</w:t>
      </w:r>
      <w:proofErr w:type="spellEnd"/>
      <w:r>
        <w:rPr>
          <w:rFonts w:eastAsia="Palatino Linotype"/>
          <w:position w:val="1"/>
          <w:sz w:val="22"/>
          <w:szCs w:val="22"/>
          <w:lang w:val="es-ES"/>
        </w:rPr>
        <w:t xml:space="preserve"> </w:t>
      </w:r>
      <w:proofErr w:type="spellStart"/>
      <w:r>
        <w:rPr>
          <w:rFonts w:eastAsia="Palatino Linotype"/>
          <w:position w:val="1"/>
          <w:sz w:val="22"/>
          <w:szCs w:val="22"/>
          <w:lang w:val="es-ES"/>
        </w:rPr>
        <w:t>will</w:t>
      </w:r>
      <w:proofErr w:type="spellEnd"/>
      <w:r>
        <w:rPr>
          <w:rFonts w:eastAsia="Palatino Linotype"/>
          <w:position w:val="1"/>
          <w:sz w:val="22"/>
          <w:szCs w:val="22"/>
          <w:lang w:val="es-ES"/>
        </w:rPr>
        <w:t xml:space="preserve"> </w:t>
      </w:r>
      <w:proofErr w:type="spellStart"/>
      <w:r>
        <w:rPr>
          <w:rFonts w:eastAsia="Palatino Linotype"/>
          <w:position w:val="1"/>
          <w:sz w:val="22"/>
          <w:szCs w:val="22"/>
          <w:lang w:val="es-ES"/>
        </w:rPr>
        <w:t>carry</w:t>
      </w:r>
      <w:proofErr w:type="spellEnd"/>
      <w:r>
        <w:rPr>
          <w:rFonts w:eastAsia="Palatino Linotype"/>
          <w:position w:val="1"/>
          <w:sz w:val="22"/>
          <w:szCs w:val="22"/>
          <w:lang w:val="es-ES"/>
        </w:rPr>
        <w:t xml:space="preserve"> </w:t>
      </w:r>
      <w:proofErr w:type="spellStart"/>
      <w:r>
        <w:rPr>
          <w:rFonts w:eastAsia="Palatino Linotype"/>
          <w:position w:val="1"/>
          <w:sz w:val="22"/>
          <w:szCs w:val="22"/>
          <w:lang w:val="es-ES"/>
        </w:rPr>
        <w:t>out</w:t>
      </w:r>
      <w:proofErr w:type="spellEnd"/>
      <w:r>
        <w:rPr>
          <w:rFonts w:eastAsia="Palatino Linotype"/>
          <w:position w:val="1"/>
          <w:sz w:val="22"/>
          <w:szCs w:val="22"/>
          <w:lang w:val="es-ES"/>
        </w:rPr>
        <w:t xml:space="preserve"> </w:t>
      </w:r>
      <w:proofErr w:type="spellStart"/>
      <w:r>
        <w:rPr>
          <w:rFonts w:eastAsia="Palatino Linotype"/>
          <w:position w:val="1"/>
          <w:sz w:val="22"/>
          <w:szCs w:val="22"/>
          <w:lang w:val="es-ES"/>
        </w:rPr>
        <w:t>the</w:t>
      </w:r>
      <w:proofErr w:type="spellEnd"/>
      <w:r>
        <w:rPr>
          <w:rFonts w:eastAsia="Palatino Linotype"/>
          <w:position w:val="1"/>
          <w:sz w:val="22"/>
          <w:szCs w:val="22"/>
          <w:lang w:val="es-ES"/>
        </w:rPr>
        <w:t xml:space="preserve"> </w:t>
      </w:r>
      <w:proofErr w:type="spellStart"/>
      <w:r>
        <w:rPr>
          <w:rFonts w:eastAsia="Palatino Linotype"/>
          <w:position w:val="1"/>
          <w:sz w:val="22"/>
          <w:szCs w:val="22"/>
          <w:lang w:val="es-ES"/>
        </w:rPr>
        <w:t>relevant</w:t>
      </w:r>
      <w:proofErr w:type="spellEnd"/>
      <w:r>
        <w:rPr>
          <w:rFonts w:eastAsia="Palatino Linotype"/>
          <w:position w:val="1"/>
          <w:sz w:val="22"/>
          <w:szCs w:val="22"/>
          <w:lang w:val="es-ES"/>
        </w:rPr>
        <w:t xml:space="preserve"> </w:t>
      </w:r>
      <w:proofErr w:type="spellStart"/>
      <w:r>
        <w:rPr>
          <w:rFonts w:eastAsia="Palatino Linotype"/>
          <w:position w:val="1"/>
          <w:sz w:val="22"/>
          <w:szCs w:val="22"/>
          <w:lang w:val="es-ES"/>
        </w:rPr>
        <w:t>quality</w:t>
      </w:r>
      <w:proofErr w:type="spellEnd"/>
      <w:r>
        <w:rPr>
          <w:rFonts w:eastAsia="Palatino Linotype"/>
          <w:position w:val="1"/>
          <w:sz w:val="22"/>
          <w:szCs w:val="22"/>
          <w:lang w:val="es-ES"/>
        </w:rPr>
        <w:t xml:space="preserve"> </w:t>
      </w:r>
      <w:proofErr w:type="spellStart"/>
      <w:r>
        <w:rPr>
          <w:rFonts w:eastAsia="Palatino Linotype"/>
          <w:position w:val="1"/>
          <w:sz w:val="22"/>
          <w:szCs w:val="22"/>
          <w:lang w:val="es-ES"/>
        </w:rPr>
        <w:t>controls</w:t>
      </w:r>
      <w:proofErr w:type="spellEnd"/>
      <w:r>
        <w:rPr>
          <w:rFonts w:eastAsia="Palatino Linotype"/>
          <w:position w:val="1"/>
          <w:sz w:val="22"/>
          <w:szCs w:val="22"/>
          <w:lang w:val="es-ES"/>
        </w:rPr>
        <w:t xml:space="preserve">. </w:t>
      </w:r>
      <w:proofErr w:type="spellStart"/>
      <w:r>
        <w:rPr>
          <w:rFonts w:eastAsia="Palatino Linotype"/>
          <w:position w:val="1"/>
          <w:sz w:val="22"/>
          <w:szCs w:val="22"/>
          <w:lang w:val="es-ES"/>
        </w:rPr>
        <w:t>If</w:t>
      </w:r>
      <w:proofErr w:type="spellEnd"/>
      <w:r>
        <w:rPr>
          <w:rFonts w:eastAsia="Palatino Linotype"/>
          <w:position w:val="1"/>
          <w:sz w:val="22"/>
          <w:szCs w:val="22"/>
          <w:lang w:val="es-ES"/>
        </w:rPr>
        <w:t xml:space="preserve"> </w:t>
      </w:r>
      <w:proofErr w:type="spellStart"/>
      <w:r>
        <w:rPr>
          <w:rFonts w:eastAsia="Palatino Linotype"/>
          <w:position w:val="1"/>
          <w:sz w:val="22"/>
          <w:szCs w:val="22"/>
          <w:lang w:val="es-ES"/>
        </w:rPr>
        <w:t>any</w:t>
      </w:r>
      <w:proofErr w:type="spellEnd"/>
      <w:r>
        <w:rPr>
          <w:rFonts w:eastAsia="Palatino Linotype"/>
          <w:position w:val="1"/>
          <w:sz w:val="22"/>
          <w:szCs w:val="22"/>
          <w:lang w:val="es-ES"/>
        </w:rPr>
        <w:t xml:space="preserve"> </w:t>
      </w:r>
      <w:proofErr w:type="spellStart"/>
      <w:r>
        <w:rPr>
          <w:rFonts w:eastAsia="Palatino Linotype"/>
          <w:position w:val="1"/>
          <w:sz w:val="22"/>
          <w:szCs w:val="22"/>
          <w:lang w:val="es-ES"/>
        </w:rPr>
        <w:t>item</w:t>
      </w:r>
      <w:proofErr w:type="spellEnd"/>
      <w:r>
        <w:rPr>
          <w:rFonts w:eastAsia="Palatino Linotype"/>
          <w:position w:val="1"/>
          <w:sz w:val="22"/>
          <w:szCs w:val="22"/>
          <w:lang w:val="es-ES"/>
        </w:rPr>
        <w:t xml:space="preserve"> </w:t>
      </w:r>
      <w:proofErr w:type="spellStart"/>
      <w:r>
        <w:rPr>
          <w:rFonts w:eastAsia="Palatino Linotype"/>
          <w:position w:val="1"/>
          <w:sz w:val="22"/>
          <w:szCs w:val="22"/>
          <w:lang w:val="es-ES"/>
        </w:rPr>
        <w:t>fails</w:t>
      </w:r>
      <w:proofErr w:type="spellEnd"/>
      <w:r>
        <w:rPr>
          <w:rFonts w:eastAsia="Palatino Linotype"/>
          <w:position w:val="1"/>
          <w:sz w:val="22"/>
          <w:szCs w:val="22"/>
          <w:lang w:val="es-ES"/>
        </w:rPr>
        <w:t xml:space="preserve"> </w:t>
      </w:r>
      <w:proofErr w:type="spellStart"/>
      <w:r>
        <w:rPr>
          <w:rFonts w:eastAsia="Palatino Linotype"/>
          <w:position w:val="1"/>
          <w:sz w:val="22"/>
          <w:szCs w:val="22"/>
          <w:lang w:val="es-ES"/>
        </w:rPr>
        <w:t>to</w:t>
      </w:r>
      <w:proofErr w:type="spellEnd"/>
      <w:r>
        <w:rPr>
          <w:rFonts w:eastAsia="Palatino Linotype"/>
          <w:position w:val="1"/>
          <w:sz w:val="22"/>
          <w:szCs w:val="22"/>
          <w:lang w:val="es-ES"/>
        </w:rPr>
        <w:t xml:space="preserve"> </w:t>
      </w:r>
      <w:proofErr w:type="spellStart"/>
      <w:r>
        <w:rPr>
          <w:rFonts w:eastAsia="Palatino Linotype"/>
          <w:position w:val="1"/>
          <w:sz w:val="22"/>
          <w:szCs w:val="22"/>
          <w:lang w:val="es-ES"/>
        </w:rPr>
        <w:t>meet</w:t>
      </w:r>
      <w:proofErr w:type="spellEnd"/>
      <w:r>
        <w:rPr>
          <w:rFonts w:eastAsia="Palatino Linotype"/>
          <w:position w:val="1"/>
          <w:sz w:val="22"/>
          <w:szCs w:val="22"/>
          <w:lang w:val="es-ES"/>
        </w:rPr>
        <w:t xml:space="preserve"> </w:t>
      </w:r>
      <w:proofErr w:type="spellStart"/>
      <w:r>
        <w:rPr>
          <w:rFonts w:eastAsia="Palatino Linotype"/>
          <w:position w:val="1"/>
          <w:sz w:val="22"/>
          <w:szCs w:val="22"/>
          <w:lang w:val="es-ES"/>
        </w:rPr>
        <w:t>the</w:t>
      </w:r>
      <w:proofErr w:type="spellEnd"/>
      <w:r>
        <w:rPr>
          <w:rFonts w:eastAsia="Palatino Linotype"/>
          <w:position w:val="1"/>
          <w:sz w:val="22"/>
          <w:szCs w:val="22"/>
          <w:lang w:val="es-ES"/>
        </w:rPr>
        <w:t xml:space="preserve"> </w:t>
      </w:r>
      <w:proofErr w:type="spellStart"/>
      <w:r>
        <w:rPr>
          <w:rFonts w:eastAsia="Palatino Linotype"/>
          <w:position w:val="1"/>
          <w:sz w:val="22"/>
          <w:szCs w:val="22"/>
          <w:lang w:val="es-ES"/>
        </w:rPr>
        <w:t>requirements</w:t>
      </w:r>
      <w:proofErr w:type="spellEnd"/>
      <w:r>
        <w:rPr>
          <w:rFonts w:eastAsia="Palatino Linotype"/>
          <w:position w:val="1"/>
          <w:sz w:val="22"/>
          <w:szCs w:val="22"/>
          <w:lang w:val="es-ES"/>
        </w:rPr>
        <w:t xml:space="preserve">, </w:t>
      </w:r>
      <w:proofErr w:type="spellStart"/>
      <w:r>
        <w:rPr>
          <w:rFonts w:eastAsia="Palatino Linotype"/>
          <w:position w:val="1"/>
          <w:sz w:val="22"/>
          <w:szCs w:val="22"/>
          <w:lang w:val="es-ES"/>
        </w:rPr>
        <w:t>the</w:t>
      </w:r>
      <w:proofErr w:type="spellEnd"/>
      <w:r>
        <w:rPr>
          <w:rFonts w:eastAsia="Palatino Linotype"/>
          <w:position w:val="1"/>
          <w:sz w:val="22"/>
          <w:szCs w:val="22"/>
          <w:lang w:val="es-ES"/>
        </w:rPr>
        <w:t xml:space="preserve"> </w:t>
      </w:r>
      <w:proofErr w:type="spellStart"/>
      <w:r>
        <w:rPr>
          <w:rFonts w:eastAsia="Palatino Linotype"/>
          <w:position w:val="1"/>
          <w:sz w:val="22"/>
          <w:szCs w:val="22"/>
          <w:lang w:val="es-ES"/>
        </w:rPr>
        <w:t>supplier</w:t>
      </w:r>
      <w:proofErr w:type="spellEnd"/>
      <w:r>
        <w:rPr>
          <w:rFonts w:eastAsia="Palatino Linotype"/>
          <w:position w:val="1"/>
          <w:sz w:val="22"/>
          <w:szCs w:val="22"/>
          <w:lang w:val="es-ES"/>
        </w:rPr>
        <w:t xml:space="preserve">, at </w:t>
      </w:r>
      <w:proofErr w:type="spellStart"/>
      <w:r>
        <w:rPr>
          <w:rFonts w:eastAsia="Palatino Linotype"/>
          <w:position w:val="1"/>
          <w:sz w:val="22"/>
          <w:szCs w:val="22"/>
          <w:lang w:val="es-ES"/>
        </w:rPr>
        <w:t>its</w:t>
      </w:r>
      <w:proofErr w:type="spellEnd"/>
      <w:r>
        <w:rPr>
          <w:rFonts w:eastAsia="Palatino Linotype"/>
          <w:position w:val="1"/>
          <w:sz w:val="22"/>
          <w:szCs w:val="22"/>
          <w:lang w:val="es-ES"/>
        </w:rPr>
        <w:t xml:space="preserve"> </w:t>
      </w:r>
      <w:proofErr w:type="spellStart"/>
      <w:r>
        <w:rPr>
          <w:rFonts w:eastAsia="Palatino Linotype"/>
          <w:position w:val="1"/>
          <w:sz w:val="22"/>
          <w:szCs w:val="22"/>
          <w:lang w:val="es-ES"/>
        </w:rPr>
        <w:t>own</w:t>
      </w:r>
      <w:proofErr w:type="spellEnd"/>
      <w:r>
        <w:rPr>
          <w:rFonts w:eastAsia="Palatino Linotype"/>
          <w:position w:val="1"/>
          <w:sz w:val="22"/>
          <w:szCs w:val="22"/>
          <w:lang w:val="es-ES"/>
        </w:rPr>
        <w:t xml:space="preserve"> expense and </w:t>
      </w:r>
      <w:proofErr w:type="spellStart"/>
      <w:r>
        <w:rPr>
          <w:rFonts w:eastAsia="Palatino Linotype"/>
          <w:position w:val="1"/>
          <w:sz w:val="22"/>
          <w:szCs w:val="22"/>
          <w:lang w:val="es-ES"/>
        </w:rPr>
        <w:t>within</w:t>
      </w:r>
      <w:proofErr w:type="spellEnd"/>
      <w:r>
        <w:rPr>
          <w:rFonts w:eastAsia="Palatino Linotype"/>
          <w:position w:val="1"/>
          <w:sz w:val="22"/>
          <w:szCs w:val="22"/>
          <w:lang w:val="es-ES"/>
        </w:rPr>
        <w:t xml:space="preserve"> </w:t>
      </w:r>
      <w:proofErr w:type="spellStart"/>
      <w:r>
        <w:rPr>
          <w:rFonts w:eastAsia="Palatino Linotype"/>
          <w:position w:val="1"/>
          <w:sz w:val="22"/>
          <w:szCs w:val="22"/>
          <w:lang w:val="es-ES"/>
        </w:rPr>
        <w:t>the</w:t>
      </w:r>
      <w:proofErr w:type="spellEnd"/>
      <w:r>
        <w:rPr>
          <w:rFonts w:eastAsia="Palatino Linotype"/>
          <w:position w:val="1"/>
          <w:sz w:val="22"/>
          <w:szCs w:val="22"/>
          <w:lang w:val="es-ES"/>
        </w:rPr>
        <w:t xml:space="preserve"> </w:t>
      </w:r>
      <w:proofErr w:type="spellStart"/>
      <w:r>
        <w:rPr>
          <w:rFonts w:eastAsia="Palatino Linotype"/>
          <w:position w:val="1"/>
          <w:sz w:val="22"/>
          <w:szCs w:val="22"/>
          <w:lang w:val="es-ES"/>
        </w:rPr>
        <w:t>timeframe</w:t>
      </w:r>
      <w:proofErr w:type="spellEnd"/>
      <w:r>
        <w:rPr>
          <w:rFonts w:eastAsia="Palatino Linotype"/>
          <w:position w:val="1"/>
          <w:sz w:val="22"/>
          <w:szCs w:val="22"/>
          <w:lang w:val="es-ES"/>
        </w:rPr>
        <w:t xml:space="preserve"> </w:t>
      </w:r>
      <w:proofErr w:type="spellStart"/>
      <w:r>
        <w:rPr>
          <w:rFonts w:eastAsia="Palatino Linotype"/>
          <w:position w:val="1"/>
          <w:sz w:val="22"/>
          <w:szCs w:val="22"/>
          <w:lang w:val="es-ES"/>
        </w:rPr>
        <w:t>established</w:t>
      </w:r>
      <w:proofErr w:type="spellEnd"/>
      <w:r>
        <w:rPr>
          <w:rFonts w:eastAsia="Palatino Linotype"/>
          <w:position w:val="1"/>
          <w:sz w:val="22"/>
          <w:szCs w:val="22"/>
          <w:lang w:val="es-ES"/>
        </w:rPr>
        <w:t xml:space="preserve"> in </w:t>
      </w:r>
      <w:proofErr w:type="spellStart"/>
      <w:r>
        <w:rPr>
          <w:rFonts w:eastAsia="Palatino Linotype"/>
          <w:position w:val="1"/>
          <w:sz w:val="22"/>
          <w:szCs w:val="22"/>
          <w:lang w:val="es-ES"/>
        </w:rPr>
        <w:t>the</w:t>
      </w:r>
      <w:proofErr w:type="spellEnd"/>
      <w:r>
        <w:rPr>
          <w:rFonts w:eastAsia="Palatino Linotype"/>
          <w:position w:val="1"/>
          <w:sz w:val="22"/>
          <w:szCs w:val="22"/>
          <w:lang w:val="es-ES"/>
        </w:rPr>
        <w:t xml:space="preserve"> Special </w:t>
      </w:r>
      <w:proofErr w:type="spellStart"/>
      <w:r>
        <w:rPr>
          <w:rFonts w:eastAsia="Palatino Linotype"/>
          <w:position w:val="1"/>
          <w:sz w:val="22"/>
          <w:szCs w:val="22"/>
          <w:lang w:val="es-ES"/>
        </w:rPr>
        <w:t>Specifications</w:t>
      </w:r>
      <w:proofErr w:type="spellEnd"/>
      <w:r>
        <w:rPr>
          <w:rFonts w:eastAsia="Palatino Linotype"/>
          <w:position w:val="1"/>
          <w:sz w:val="22"/>
          <w:szCs w:val="22"/>
          <w:lang w:val="es-ES"/>
        </w:rPr>
        <w:t xml:space="preserve">, </w:t>
      </w:r>
      <w:proofErr w:type="spellStart"/>
      <w:r>
        <w:rPr>
          <w:rFonts w:eastAsia="Palatino Linotype"/>
          <w:position w:val="1"/>
          <w:sz w:val="22"/>
          <w:szCs w:val="22"/>
          <w:lang w:val="es-ES"/>
        </w:rPr>
        <w:t>must</w:t>
      </w:r>
      <w:proofErr w:type="spellEnd"/>
      <w:r>
        <w:rPr>
          <w:rFonts w:eastAsia="Palatino Linotype"/>
          <w:position w:val="1"/>
          <w:sz w:val="22"/>
          <w:szCs w:val="22"/>
          <w:lang w:val="es-ES"/>
        </w:rPr>
        <w:t xml:space="preserve"> </w:t>
      </w:r>
      <w:proofErr w:type="spellStart"/>
      <w:r>
        <w:rPr>
          <w:rFonts w:eastAsia="Palatino Linotype"/>
          <w:position w:val="1"/>
          <w:sz w:val="22"/>
          <w:szCs w:val="22"/>
          <w:lang w:val="es-ES"/>
        </w:rPr>
        <w:t>replace</w:t>
      </w:r>
      <w:proofErr w:type="spellEnd"/>
      <w:r>
        <w:rPr>
          <w:rFonts w:eastAsia="Palatino Linotype"/>
          <w:position w:val="1"/>
          <w:sz w:val="22"/>
          <w:szCs w:val="22"/>
          <w:lang w:val="es-ES"/>
        </w:rPr>
        <w:t xml:space="preserve"> </w:t>
      </w:r>
      <w:proofErr w:type="spellStart"/>
      <w:r>
        <w:rPr>
          <w:rFonts w:eastAsia="Palatino Linotype"/>
          <w:position w:val="1"/>
          <w:sz w:val="22"/>
          <w:szCs w:val="22"/>
          <w:lang w:val="es-ES"/>
        </w:rPr>
        <w:t>it</w:t>
      </w:r>
      <w:proofErr w:type="spellEnd"/>
      <w:r>
        <w:rPr>
          <w:rFonts w:eastAsia="Palatino Linotype"/>
          <w:position w:val="1"/>
          <w:sz w:val="22"/>
          <w:szCs w:val="22"/>
          <w:lang w:val="es-ES"/>
        </w:rPr>
        <w:t xml:space="preserve"> </w:t>
      </w:r>
      <w:proofErr w:type="spellStart"/>
      <w:r>
        <w:rPr>
          <w:rFonts w:eastAsia="Palatino Linotype"/>
          <w:position w:val="1"/>
          <w:sz w:val="22"/>
          <w:szCs w:val="22"/>
          <w:lang w:val="es-ES"/>
        </w:rPr>
        <w:t>with</w:t>
      </w:r>
      <w:proofErr w:type="spellEnd"/>
      <w:r>
        <w:rPr>
          <w:rFonts w:eastAsia="Palatino Linotype"/>
          <w:position w:val="1"/>
          <w:sz w:val="22"/>
          <w:szCs w:val="22"/>
          <w:lang w:val="es-ES"/>
        </w:rPr>
        <w:t xml:space="preserve"> </w:t>
      </w:r>
      <w:proofErr w:type="spellStart"/>
      <w:r>
        <w:rPr>
          <w:rFonts w:eastAsia="Palatino Linotype"/>
          <w:position w:val="1"/>
          <w:sz w:val="22"/>
          <w:szCs w:val="22"/>
          <w:lang w:val="es-ES"/>
        </w:rPr>
        <w:t>the</w:t>
      </w:r>
      <w:proofErr w:type="spellEnd"/>
      <w:r>
        <w:rPr>
          <w:rFonts w:eastAsia="Palatino Linotype"/>
          <w:position w:val="1"/>
          <w:sz w:val="22"/>
          <w:szCs w:val="22"/>
          <w:lang w:val="es-ES"/>
        </w:rPr>
        <w:t xml:space="preserve"> </w:t>
      </w:r>
      <w:proofErr w:type="spellStart"/>
      <w:r>
        <w:rPr>
          <w:rFonts w:eastAsia="Palatino Linotype"/>
          <w:position w:val="1"/>
          <w:sz w:val="22"/>
          <w:szCs w:val="22"/>
          <w:lang w:val="es-ES"/>
        </w:rPr>
        <w:t>appropriate</w:t>
      </w:r>
      <w:proofErr w:type="spellEnd"/>
      <w:r>
        <w:rPr>
          <w:rFonts w:eastAsia="Palatino Linotype"/>
          <w:position w:val="1"/>
          <w:sz w:val="22"/>
          <w:szCs w:val="22"/>
          <w:lang w:val="es-ES"/>
        </w:rPr>
        <w:t xml:space="preserve"> </w:t>
      </w:r>
      <w:proofErr w:type="spellStart"/>
      <w:r>
        <w:rPr>
          <w:rFonts w:eastAsia="Palatino Linotype"/>
          <w:position w:val="1"/>
          <w:sz w:val="22"/>
          <w:szCs w:val="22"/>
          <w:lang w:val="es-ES"/>
        </w:rPr>
        <w:t>item</w:t>
      </w:r>
      <w:proofErr w:type="spellEnd"/>
      <w:r>
        <w:rPr>
          <w:rFonts w:eastAsia="Palatino Linotype"/>
          <w:position w:val="1"/>
          <w:sz w:val="22"/>
          <w:szCs w:val="22"/>
          <w:lang w:val="es-ES"/>
        </w:rPr>
        <w:t xml:space="preserve">. </w:t>
      </w:r>
      <w:proofErr w:type="spellStart"/>
      <w:r>
        <w:rPr>
          <w:rFonts w:eastAsia="Palatino Linotype"/>
          <w:position w:val="1"/>
          <w:sz w:val="22"/>
          <w:szCs w:val="22"/>
          <w:lang w:val="es-ES"/>
        </w:rPr>
        <w:t>Acceptance</w:t>
      </w:r>
      <w:proofErr w:type="spellEnd"/>
      <w:r>
        <w:rPr>
          <w:rFonts w:eastAsia="Palatino Linotype"/>
          <w:position w:val="1"/>
          <w:sz w:val="22"/>
          <w:szCs w:val="22"/>
          <w:lang w:val="es-ES"/>
        </w:rPr>
        <w:t xml:space="preserve"> </w:t>
      </w:r>
      <w:proofErr w:type="spellStart"/>
      <w:r>
        <w:rPr>
          <w:rFonts w:eastAsia="Palatino Linotype"/>
          <w:position w:val="1"/>
          <w:sz w:val="22"/>
          <w:szCs w:val="22"/>
          <w:lang w:val="es-ES"/>
        </w:rPr>
        <w:t>will</w:t>
      </w:r>
      <w:proofErr w:type="spellEnd"/>
      <w:r>
        <w:rPr>
          <w:rFonts w:eastAsia="Palatino Linotype"/>
          <w:position w:val="1"/>
          <w:sz w:val="22"/>
          <w:szCs w:val="22"/>
          <w:lang w:val="es-ES"/>
        </w:rPr>
        <w:t xml:space="preserve"> </w:t>
      </w:r>
      <w:proofErr w:type="spellStart"/>
      <w:r>
        <w:rPr>
          <w:rFonts w:eastAsia="Palatino Linotype"/>
          <w:position w:val="1"/>
          <w:sz w:val="22"/>
          <w:szCs w:val="22"/>
          <w:lang w:val="es-ES"/>
        </w:rPr>
        <w:t>not</w:t>
      </w:r>
      <w:proofErr w:type="spellEnd"/>
      <w:r>
        <w:rPr>
          <w:rFonts w:eastAsia="Palatino Linotype"/>
          <w:position w:val="1"/>
          <w:sz w:val="22"/>
          <w:szCs w:val="22"/>
          <w:lang w:val="es-ES"/>
        </w:rPr>
        <w:t xml:space="preserve"> be </w:t>
      </w:r>
      <w:proofErr w:type="spellStart"/>
      <w:r>
        <w:rPr>
          <w:rFonts w:eastAsia="Palatino Linotype"/>
          <w:position w:val="1"/>
          <w:sz w:val="22"/>
          <w:szCs w:val="22"/>
          <w:lang w:val="es-ES"/>
        </w:rPr>
        <w:t>processed</w:t>
      </w:r>
      <w:proofErr w:type="spellEnd"/>
      <w:r>
        <w:rPr>
          <w:rFonts w:eastAsia="Palatino Linotype"/>
          <w:position w:val="1"/>
          <w:sz w:val="22"/>
          <w:szCs w:val="22"/>
          <w:lang w:val="es-ES"/>
        </w:rPr>
        <w:t xml:space="preserve"> </w:t>
      </w:r>
      <w:proofErr w:type="spellStart"/>
      <w:r>
        <w:rPr>
          <w:rFonts w:eastAsia="Palatino Linotype"/>
          <w:position w:val="1"/>
          <w:sz w:val="22"/>
          <w:szCs w:val="22"/>
          <w:lang w:val="es-ES"/>
        </w:rPr>
        <w:t>until</w:t>
      </w:r>
      <w:proofErr w:type="spellEnd"/>
      <w:r>
        <w:rPr>
          <w:rFonts w:eastAsia="Palatino Linotype"/>
          <w:position w:val="1"/>
          <w:sz w:val="22"/>
          <w:szCs w:val="22"/>
          <w:lang w:val="es-ES"/>
        </w:rPr>
        <w:t xml:space="preserve"> </w:t>
      </w:r>
      <w:proofErr w:type="spellStart"/>
      <w:r>
        <w:rPr>
          <w:rFonts w:eastAsia="Palatino Linotype"/>
          <w:position w:val="1"/>
          <w:sz w:val="22"/>
          <w:szCs w:val="22"/>
          <w:lang w:val="es-ES"/>
        </w:rPr>
        <w:t>this</w:t>
      </w:r>
      <w:proofErr w:type="spellEnd"/>
      <w:r>
        <w:rPr>
          <w:rFonts w:eastAsia="Palatino Linotype"/>
          <w:position w:val="1"/>
          <w:sz w:val="22"/>
          <w:szCs w:val="22"/>
          <w:lang w:val="es-ES"/>
        </w:rPr>
        <w:t xml:space="preserve"> </w:t>
      </w:r>
      <w:proofErr w:type="spellStart"/>
      <w:r>
        <w:rPr>
          <w:rFonts w:eastAsia="Palatino Linotype"/>
          <w:position w:val="1"/>
          <w:sz w:val="22"/>
          <w:szCs w:val="22"/>
          <w:lang w:val="es-ES"/>
        </w:rPr>
        <w:t>requirement</w:t>
      </w:r>
      <w:proofErr w:type="spellEnd"/>
      <w:r>
        <w:rPr>
          <w:rFonts w:eastAsia="Palatino Linotype"/>
          <w:position w:val="1"/>
          <w:sz w:val="22"/>
          <w:szCs w:val="22"/>
          <w:lang w:val="es-ES"/>
        </w:rPr>
        <w:t xml:space="preserve"> has </w:t>
      </w:r>
      <w:proofErr w:type="spellStart"/>
      <w:r>
        <w:rPr>
          <w:rFonts w:eastAsia="Palatino Linotype"/>
          <w:position w:val="1"/>
          <w:sz w:val="22"/>
          <w:szCs w:val="22"/>
          <w:lang w:val="es-ES"/>
        </w:rPr>
        <w:t>been</w:t>
      </w:r>
      <w:proofErr w:type="spellEnd"/>
      <w:r>
        <w:rPr>
          <w:rFonts w:eastAsia="Palatino Linotype"/>
          <w:position w:val="1"/>
          <w:sz w:val="22"/>
          <w:szCs w:val="22"/>
          <w:lang w:val="es-ES"/>
        </w:rPr>
        <w:t xml:space="preserve"> </w:t>
      </w:r>
      <w:proofErr w:type="spellStart"/>
      <w:r>
        <w:rPr>
          <w:rFonts w:eastAsia="Palatino Linotype"/>
          <w:position w:val="1"/>
          <w:sz w:val="22"/>
          <w:szCs w:val="22"/>
          <w:lang w:val="es-ES"/>
        </w:rPr>
        <w:t>met</w:t>
      </w:r>
      <w:proofErr w:type="spellEnd"/>
      <w:r>
        <w:rPr>
          <w:rFonts w:eastAsia="Palatino Linotype"/>
          <w:position w:val="1"/>
          <w:sz w:val="22"/>
          <w:szCs w:val="22"/>
          <w:lang w:val="es-ES"/>
        </w:rPr>
        <w:t xml:space="preserve">, </w:t>
      </w:r>
      <w:proofErr w:type="spellStart"/>
      <w:r>
        <w:rPr>
          <w:rFonts w:eastAsia="Palatino Linotype"/>
          <w:position w:val="1"/>
          <w:sz w:val="22"/>
          <w:szCs w:val="22"/>
          <w:lang w:val="es-ES"/>
        </w:rPr>
        <w:t>without</w:t>
      </w:r>
      <w:proofErr w:type="spellEnd"/>
      <w:r>
        <w:rPr>
          <w:rFonts w:eastAsia="Palatino Linotype"/>
          <w:position w:val="1"/>
          <w:sz w:val="22"/>
          <w:szCs w:val="22"/>
          <w:lang w:val="es-ES"/>
        </w:rPr>
        <w:t xml:space="preserve"> </w:t>
      </w:r>
      <w:proofErr w:type="spellStart"/>
      <w:r>
        <w:rPr>
          <w:rFonts w:eastAsia="Palatino Linotype"/>
          <w:position w:val="1"/>
          <w:sz w:val="22"/>
          <w:szCs w:val="22"/>
          <w:lang w:val="es-ES"/>
        </w:rPr>
        <w:t>prejudice</w:t>
      </w:r>
      <w:proofErr w:type="spellEnd"/>
      <w:r>
        <w:rPr>
          <w:rFonts w:eastAsia="Palatino Linotype"/>
          <w:position w:val="1"/>
          <w:sz w:val="22"/>
          <w:szCs w:val="22"/>
          <w:lang w:val="es-ES"/>
        </w:rPr>
        <w:t xml:space="preserve"> </w:t>
      </w:r>
      <w:proofErr w:type="spellStart"/>
      <w:r>
        <w:rPr>
          <w:rFonts w:eastAsia="Palatino Linotype"/>
          <w:position w:val="1"/>
          <w:sz w:val="22"/>
          <w:szCs w:val="22"/>
          <w:lang w:val="es-ES"/>
        </w:rPr>
        <w:t>to</w:t>
      </w:r>
      <w:proofErr w:type="spellEnd"/>
      <w:r>
        <w:rPr>
          <w:rFonts w:eastAsia="Palatino Linotype"/>
          <w:position w:val="1"/>
          <w:sz w:val="22"/>
          <w:szCs w:val="22"/>
          <w:lang w:val="es-ES"/>
        </w:rPr>
        <w:t xml:space="preserve"> </w:t>
      </w:r>
      <w:proofErr w:type="spellStart"/>
      <w:r>
        <w:rPr>
          <w:rFonts w:eastAsia="Palatino Linotype"/>
          <w:position w:val="1"/>
          <w:sz w:val="22"/>
          <w:szCs w:val="22"/>
          <w:lang w:val="es-ES"/>
        </w:rPr>
        <w:t>the</w:t>
      </w:r>
      <w:proofErr w:type="spellEnd"/>
      <w:r>
        <w:rPr>
          <w:rFonts w:eastAsia="Palatino Linotype"/>
          <w:position w:val="1"/>
          <w:sz w:val="22"/>
          <w:szCs w:val="22"/>
          <w:lang w:val="es-ES"/>
        </w:rPr>
        <w:t xml:space="preserve"> </w:t>
      </w:r>
      <w:proofErr w:type="spellStart"/>
      <w:r>
        <w:rPr>
          <w:rFonts w:eastAsia="Palatino Linotype"/>
          <w:position w:val="1"/>
          <w:sz w:val="22"/>
          <w:szCs w:val="22"/>
          <w:lang w:val="es-ES"/>
        </w:rPr>
        <w:t>application</w:t>
      </w:r>
      <w:proofErr w:type="spellEnd"/>
      <w:r>
        <w:rPr>
          <w:rFonts w:eastAsia="Palatino Linotype"/>
          <w:position w:val="1"/>
          <w:sz w:val="22"/>
          <w:szCs w:val="22"/>
          <w:lang w:val="es-ES"/>
        </w:rPr>
        <w:t xml:space="preserve"> </w:t>
      </w:r>
      <w:proofErr w:type="spellStart"/>
      <w:r>
        <w:rPr>
          <w:rFonts w:eastAsia="Palatino Linotype"/>
          <w:position w:val="1"/>
          <w:sz w:val="22"/>
          <w:szCs w:val="22"/>
          <w:lang w:val="es-ES"/>
        </w:rPr>
        <w:t>of</w:t>
      </w:r>
      <w:proofErr w:type="spellEnd"/>
      <w:r>
        <w:rPr>
          <w:rFonts w:eastAsia="Palatino Linotype"/>
          <w:position w:val="1"/>
          <w:sz w:val="22"/>
          <w:szCs w:val="22"/>
          <w:lang w:val="es-ES"/>
        </w:rPr>
        <w:t xml:space="preserve"> </w:t>
      </w:r>
      <w:proofErr w:type="spellStart"/>
      <w:r>
        <w:rPr>
          <w:rFonts w:eastAsia="Palatino Linotype"/>
          <w:position w:val="1"/>
          <w:sz w:val="22"/>
          <w:szCs w:val="22"/>
          <w:lang w:val="es-ES"/>
        </w:rPr>
        <w:t>any</w:t>
      </w:r>
      <w:proofErr w:type="spellEnd"/>
      <w:r>
        <w:rPr>
          <w:rFonts w:eastAsia="Palatino Linotype"/>
          <w:position w:val="1"/>
          <w:sz w:val="22"/>
          <w:szCs w:val="22"/>
          <w:lang w:val="es-ES"/>
        </w:rPr>
        <w:t xml:space="preserve"> </w:t>
      </w:r>
      <w:proofErr w:type="spellStart"/>
      <w:r>
        <w:rPr>
          <w:rFonts w:eastAsia="Palatino Linotype"/>
          <w:position w:val="1"/>
          <w:sz w:val="22"/>
          <w:szCs w:val="22"/>
          <w:lang w:val="es-ES"/>
        </w:rPr>
        <w:t>applicable</w:t>
      </w:r>
      <w:proofErr w:type="spellEnd"/>
      <w:r>
        <w:rPr>
          <w:rFonts w:eastAsia="Palatino Linotype"/>
          <w:position w:val="1"/>
          <w:sz w:val="22"/>
          <w:szCs w:val="22"/>
          <w:lang w:val="es-ES"/>
        </w:rPr>
        <w:t xml:space="preserve"> fines.</w:t>
      </w:r>
    </w:p>
    <w:p w14:paraId="1002228F" w14:textId="77777777" w:rsidR="00E255F4" w:rsidRDefault="00E255F4">
      <w:pPr>
        <w:ind w:right="-142"/>
        <w:jc w:val="both"/>
        <w:rPr>
          <w:rFonts w:eastAsia="Palatino Linotype"/>
          <w:spacing w:val="-3"/>
          <w:position w:val="1"/>
          <w:sz w:val="22"/>
          <w:szCs w:val="22"/>
          <w:lang w:val="es-ES"/>
        </w:rPr>
      </w:pPr>
    </w:p>
    <w:p w14:paraId="3CF49354" w14:textId="77777777" w:rsidR="00E255F4" w:rsidRDefault="00000000">
      <w:pPr>
        <w:ind w:right="-142"/>
        <w:jc w:val="both"/>
        <w:rPr>
          <w:rFonts w:eastAsia="Palatino Linotype"/>
          <w:sz w:val="22"/>
          <w:szCs w:val="22"/>
          <w:lang w:val="es-ES"/>
        </w:rPr>
      </w:pPr>
      <w:proofErr w:type="spellStart"/>
      <w:r>
        <w:rPr>
          <w:rFonts w:eastAsia="Palatino Linotype"/>
          <w:spacing w:val="-3"/>
          <w:position w:val="1"/>
          <w:sz w:val="22"/>
          <w:szCs w:val="22"/>
          <w:lang w:val="es-ES"/>
        </w:rPr>
        <w:t>S</w:t>
      </w:r>
      <w:r>
        <w:rPr>
          <w:rFonts w:eastAsia="Palatino Linotype"/>
          <w:position w:val="1"/>
          <w:sz w:val="22"/>
          <w:szCs w:val="22"/>
          <w:lang w:val="es-ES"/>
        </w:rPr>
        <w:t>If</w:t>
      </w:r>
      <w:proofErr w:type="spellEnd"/>
      <w:r>
        <w:rPr>
          <w:rFonts w:eastAsia="Palatino Linotype"/>
          <w:position w:val="1"/>
          <w:sz w:val="22"/>
          <w:szCs w:val="22"/>
          <w:lang w:val="es-ES"/>
        </w:rPr>
        <w:t xml:space="preserve">, after </w:t>
      </w:r>
      <w:proofErr w:type="spellStart"/>
      <w:r>
        <w:rPr>
          <w:rFonts w:eastAsia="Palatino Linotype"/>
          <w:position w:val="1"/>
          <w:sz w:val="22"/>
          <w:szCs w:val="22"/>
          <w:lang w:val="es-ES"/>
        </w:rPr>
        <w:t>the</w:t>
      </w:r>
      <w:proofErr w:type="spellEnd"/>
      <w:r>
        <w:rPr>
          <w:rFonts w:eastAsia="Palatino Linotype"/>
          <w:position w:val="1"/>
          <w:sz w:val="22"/>
          <w:szCs w:val="22"/>
          <w:lang w:val="es-ES"/>
        </w:rPr>
        <w:t xml:space="preserve"> </w:t>
      </w:r>
      <w:proofErr w:type="spellStart"/>
      <w:r>
        <w:rPr>
          <w:rFonts w:eastAsia="Palatino Linotype"/>
          <w:position w:val="1"/>
          <w:sz w:val="22"/>
          <w:szCs w:val="22"/>
          <w:lang w:val="es-ES"/>
        </w:rPr>
        <w:t>aforementioned</w:t>
      </w:r>
      <w:proofErr w:type="spellEnd"/>
      <w:r>
        <w:rPr>
          <w:rFonts w:eastAsia="Palatino Linotype"/>
          <w:position w:val="1"/>
          <w:sz w:val="22"/>
          <w:szCs w:val="22"/>
          <w:lang w:val="es-ES"/>
        </w:rPr>
        <w:t xml:space="preserve"> </w:t>
      </w:r>
      <w:proofErr w:type="spellStart"/>
      <w:r>
        <w:rPr>
          <w:rFonts w:eastAsia="Palatino Linotype"/>
          <w:position w:val="1"/>
          <w:sz w:val="22"/>
          <w:szCs w:val="22"/>
          <w:lang w:val="es-ES"/>
        </w:rPr>
        <w:t>deadline</w:t>
      </w:r>
      <w:proofErr w:type="spellEnd"/>
      <w:r>
        <w:rPr>
          <w:rFonts w:eastAsia="Palatino Linotype"/>
          <w:position w:val="1"/>
          <w:sz w:val="22"/>
          <w:szCs w:val="22"/>
          <w:lang w:val="es-ES"/>
        </w:rPr>
        <w:t xml:space="preserve">, </w:t>
      </w:r>
      <w:proofErr w:type="spellStart"/>
      <w:r>
        <w:rPr>
          <w:rFonts w:eastAsia="Palatino Linotype"/>
          <w:position w:val="1"/>
          <w:sz w:val="22"/>
          <w:szCs w:val="22"/>
          <w:lang w:val="es-ES"/>
        </w:rPr>
        <w:t>the</w:t>
      </w:r>
      <w:proofErr w:type="spellEnd"/>
      <w:r>
        <w:rPr>
          <w:rFonts w:eastAsia="Palatino Linotype"/>
          <w:position w:val="1"/>
          <w:sz w:val="22"/>
          <w:szCs w:val="22"/>
          <w:lang w:val="es-ES"/>
        </w:rPr>
        <w:t xml:space="preserve"> </w:t>
      </w:r>
      <w:proofErr w:type="spellStart"/>
      <w:r>
        <w:rPr>
          <w:rFonts w:eastAsia="Palatino Linotype"/>
          <w:position w:val="1"/>
          <w:sz w:val="22"/>
          <w:szCs w:val="22"/>
          <w:lang w:val="es-ES"/>
        </w:rPr>
        <w:t>supplier</w:t>
      </w:r>
      <w:proofErr w:type="spellEnd"/>
      <w:r>
        <w:rPr>
          <w:rFonts w:eastAsia="Palatino Linotype"/>
          <w:position w:val="1"/>
          <w:sz w:val="22"/>
          <w:szCs w:val="22"/>
          <w:lang w:val="es-ES"/>
        </w:rPr>
        <w:t xml:space="preserve"> has </w:t>
      </w:r>
      <w:proofErr w:type="spellStart"/>
      <w:r>
        <w:rPr>
          <w:rFonts w:eastAsia="Palatino Linotype"/>
          <w:position w:val="1"/>
          <w:sz w:val="22"/>
          <w:szCs w:val="22"/>
          <w:lang w:val="es-ES"/>
        </w:rPr>
        <w:t>not</w:t>
      </w:r>
      <w:proofErr w:type="spellEnd"/>
      <w:r>
        <w:rPr>
          <w:rFonts w:eastAsia="Palatino Linotype"/>
          <w:position w:val="1"/>
          <w:sz w:val="22"/>
          <w:szCs w:val="22"/>
          <w:lang w:val="es-ES"/>
        </w:rPr>
        <w:t xml:space="preserve"> </w:t>
      </w:r>
      <w:proofErr w:type="spellStart"/>
      <w:r>
        <w:rPr>
          <w:rFonts w:eastAsia="Palatino Linotype"/>
          <w:position w:val="1"/>
          <w:sz w:val="22"/>
          <w:szCs w:val="22"/>
          <w:lang w:val="es-ES"/>
        </w:rPr>
        <w:t>made</w:t>
      </w:r>
      <w:proofErr w:type="spellEnd"/>
      <w:r>
        <w:rPr>
          <w:rFonts w:eastAsia="Palatino Linotype"/>
          <w:position w:val="1"/>
          <w:sz w:val="22"/>
          <w:szCs w:val="22"/>
          <w:lang w:val="es-ES"/>
        </w:rPr>
        <w:t xml:space="preserve"> </w:t>
      </w:r>
      <w:proofErr w:type="spellStart"/>
      <w:r>
        <w:rPr>
          <w:rFonts w:eastAsia="Palatino Linotype"/>
          <w:position w:val="1"/>
          <w:sz w:val="22"/>
          <w:szCs w:val="22"/>
          <w:lang w:val="es-ES"/>
        </w:rPr>
        <w:t>the</w:t>
      </w:r>
      <w:proofErr w:type="spellEnd"/>
      <w:r>
        <w:rPr>
          <w:rFonts w:eastAsia="Palatino Linotype"/>
          <w:position w:val="1"/>
          <w:sz w:val="22"/>
          <w:szCs w:val="22"/>
          <w:lang w:val="es-ES"/>
        </w:rPr>
        <w:t xml:space="preserve"> </w:t>
      </w:r>
      <w:proofErr w:type="spellStart"/>
      <w:r>
        <w:rPr>
          <w:rFonts w:eastAsia="Palatino Linotype"/>
          <w:position w:val="1"/>
          <w:sz w:val="22"/>
          <w:szCs w:val="22"/>
          <w:lang w:val="es-ES"/>
        </w:rPr>
        <w:t>replacement</w:t>
      </w:r>
      <w:proofErr w:type="spellEnd"/>
      <w:r>
        <w:rPr>
          <w:rFonts w:eastAsia="Palatino Linotype"/>
          <w:position w:val="1"/>
          <w:sz w:val="22"/>
          <w:szCs w:val="22"/>
          <w:lang w:val="es-ES"/>
        </w:rPr>
        <w:t xml:space="preserve">, </w:t>
      </w:r>
      <w:proofErr w:type="spellStart"/>
      <w:r>
        <w:rPr>
          <w:rFonts w:eastAsia="Palatino Linotype"/>
          <w:position w:val="1"/>
          <w:sz w:val="22"/>
          <w:szCs w:val="22"/>
          <w:lang w:val="es-ES"/>
        </w:rPr>
        <w:t>nor</w:t>
      </w:r>
      <w:proofErr w:type="spellEnd"/>
      <w:r>
        <w:rPr>
          <w:rFonts w:eastAsia="Palatino Linotype"/>
          <w:position w:val="1"/>
          <w:sz w:val="22"/>
          <w:szCs w:val="22"/>
          <w:lang w:val="es-ES"/>
        </w:rPr>
        <w:t xml:space="preserve"> </w:t>
      </w:r>
      <w:proofErr w:type="spellStart"/>
      <w:r>
        <w:rPr>
          <w:rFonts w:eastAsia="Palatino Linotype"/>
          <w:position w:val="1"/>
          <w:sz w:val="22"/>
          <w:szCs w:val="22"/>
          <w:lang w:val="es-ES"/>
        </w:rPr>
        <w:t>justified</w:t>
      </w:r>
      <w:proofErr w:type="spellEnd"/>
      <w:r>
        <w:rPr>
          <w:rFonts w:eastAsia="Palatino Linotype"/>
          <w:position w:val="1"/>
          <w:sz w:val="22"/>
          <w:szCs w:val="22"/>
          <w:lang w:val="es-ES"/>
        </w:rPr>
        <w:t xml:space="preserve"> </w:t>
      </w:r>
      <w:proofErr w:type="spellStart"/>
      <w:r>
        <w:rPr>
          <w:rFonts w:eastAsia="Palatino Linotype"/>
          <w:position w:val="1"/>
          <w:sz w:val="22"/>
          <w:szCs w:val="22"/>
          <w:lang w:val="es-ES"/>
        </w:rPr>
        <w:t>to</w:t>
      </w:r>
      <w:proofErr w:type="spellEnd"/>
      <w:r>
        <w:rPr>
          <w:rFonts w:eastAsia="Palatino Linotype"/>
          <w:position w:val="1"/>
          <w:sz w:val="22"/>
          <w:szCs w:val="22"/>
          <w:lang w:val="es-ES"/>
        </w:rPr>
        <w:t xml:space="preserve"> </w:t>
      </w:r>
      <w:proofErr w:type="spellStart"/>
      <w:r>
        <w:rPr>
          <w:rFonts w:eastAsia="Palatino Linotype"/>
          <w:position w:val="1"/>
          <w:sz w:val="22"/>
          <w:szCs w:val="22"/>
          <w:lang w:val="es-ES"/>
        </w:rPr>
        <w:t>the</w:t>
      </w:r>
      <w:proofErr w:type="spellEnd"/>
      <w:r>
        <w:rPr>
          <w:rFonts w:eastAsia="Palatino Linotype"/>
          <w:position w:val="1"/>
          <w:sz w:val="22"/>
          <w:szCs w:val="22"/>
          <w:lang w:val="es-ES"/>
        </w:rPr>
        <w:t xml:space="preserve"> </w:t>
      </w:r>
      <w:proofErr w:type="spellStart"/>
      <w:r>
        <w:rPr>
          <w:rFonts w:eastAsia="Palatino Linotype"/>
          <w:position w:val="1"/>
          <w:sz w:val="22"/>
          <w:szCs w:val="22"/>
          <w:lang w:val="es-ES"/>
        </w:rPr>
        <w:t>satisfaction</w:t>
      </w:r>
      <w:proofErr w:type="spellEnd"/>
      <w:r>
        <w:rPr>
          <w:rFonts w:eastAsia="Palatino Linotype"/>
          <w:position w:val="1"/>
          <w:sz w:val="22"/>
          <w:szCs w:val="22"/>
          <w:lang w:val="es-ES"/>
        </w:rPr>
        <w:t xml:space="preserve"> </w:t>
      </w:r>
      <w:proofErr w:type="spellStart"/>
      <w:r>
        <w:rPr>
          <w:rFonts w:eastAsia="Palatino Linotype"/>
          <w:position w:val="1"/>
          <w:sz w:val="22"/>
          <w:szCs w:val="22"/>
          <w:lang w:val="es-ES"/>
        </w:rPr>
        <w:t>of</w:t>
      </w:r>
      <w:proofErr w:type="spellEnd"/>
      <w:r>
        <w:rPr>
          <w:rFonts w:eastAsia="Palatino Linotype"/>
          <w:position w:val="1"/>
          <w:sz w:val="22"/>
          <w:szCs w:val="22"/>
          <w:lang w:val="es-ES"/>
        </w:rPr>
        <w:t xml:space="preserve"> </w:t>
      </w:r>
      <w:proofErr w:type="spellStart"/>
      <w:r>
        <w:rPr>
          <w:rFonts w:eastAsia="Palatino Linotype"/>
          <w:position w:val="1"/>
          <w:sz w:val="22"/>
          <w:szCs w:val="22"/>
          <w:lang w:val="es-ES"/>
        </w:rPr>
        <w:t>the</w:t>
      </w:r>
      <w:proofErr w:type="spellEnd"/>
      <w:r>
        <w:rPr>
          <w:rFonts w:eastAsia="Palatino Linotype"/>
          <w:position w:val="1"/>
          <w:sz w:val="22"/>
          <w:szCs w:val="22"/>
          <w:lang w:val="es-ES"/>
        </w:rPr>
        <w:t xml:space="preserve"> </w:t>
      </w:r>
      <w:proofErr w:type="spellStart"/>
      <w:r>
        <w:rPr>
          <w:rFonts w:eastAsia="Palatino Linotype"/>
          <w:position w:val="1"/>
          <w:sz w:val="22"/>
          <w:szCs w:val="22"/>
          <w:lang w:val="es-ES"/>
        </w:rPr>
        <w:t>Administration</w:t>
      </w:r>
      <w:proofErr w:type="spellEnd"/>
      <w:r>
        <w:rPr>
          <w:rFonts w:eastAsia="Palatino Linotype"/>
          <w:position w:val="1"/>
          <w:sz w:val="22"/>
          <w:szCs w:val="22"/>
          <w:lang w:val="es-ES"/>
        </w:rPr>
        <w:t xml:space="preserve"> </w:t>
      </w:r>
      <w:proofErr w:type="spellStart"/>
      <w:r>
        <w:rPr>
          <w:rFonts w:eastAsia="Palatino Linotype"/>
          <w:position w:val="1"/>
          <w:sz w:val="22"/>
          <w:szCs w:val="22"/>
          <w:lang w:val="es-ES"/>
        </w:rPr>
        <w:t>the</w:t>
      </w:r>
      <w:proofErr w:type="spellEnd"/>
      <w:r>
        <w:rPr>
          <w:rFonts w:eastAsia="Palatino Linotype"/>
          <w:position w:val="1"/>
          <w:sz w:val="22"/>
          <w:szCs w:val="22"/>
          <w:lang w:val="es-ES"/>
        </w:rPr>
        <w:t xml:space="preserve"> </w:t>
      </w:r>
      <w:proofErr w:type="spellStart"/>
      <w:r>
        <w:rPr>
          <w:rFonts w:eastAsia="Palatino Linotype"/>
          <w:position w:val="1"/>
          <w:sz w:val="22"/>
          <w:szCs w:val="22"/>
          <w:lang w:val="es-ES"/>
        </w:rPr>
        <w:t>delay</w:t>
      </w:r>
      <w:proofErr w:type="spellEnd"/>
      <w:r>
        <w:rPr>
          <w:rFonts w:eastAsia="Palatino Linotype"/>
          <w:position w:val="1"/>
          <w:sz w:val="22"/>
          <w:szCs w:val="22"/>
          <w:lang w:val="es-ES"/>
        </w:rPr>
        <w:t xml:space="preserve"> </w:t>
      </w:r>
      <w:proofErr w:type="spellStart"/>
      <w:r>
        <w:rPr>
          <w:rFonts w:eastAsia="Palatino Linotype"/>
          <w:position w:val="1"/>
          <w:sz w:val="22"/>
          <w:szCs w:val="22"/>
          <w:lang w:val="es-ES"/>
        </w:rPr>
        <w:t>caused</w:t>
      </w:r>
      <w:proofErr w:type="spellEnd"/>
      <w:r>
        <w:rPr>
          <w:rFonts w:eastAsia="Palatino Linotype"/>
          <w:position w:val="1"/>
          <w:sz w:val="22"/>
          <w:szCs w:val="22"/>
          <w:lang w:val="es-ES"/>
        </w:rPr>
        <w:t xml:space="preserve">, </w:t>
      </w:r>
      <w:proofErr w:type="spellStart"/>
      <w:r>
        <w:rPr>
          <w:rFonts w:eastAsia="Palatino Linotype"/>
          <w:position w:val="1"/>
          <w:sz w:val="22"/>
          <w:szCs w:val="22"/>
          <w:lang w:val="es-ES"/>
        </w:rPr>
        <w:t>the</w:t>
      </w:r>
      <w:proofErr w:type="spellEnd"/>
      <w:r>
        <w:rPr>
          <w:rFonts w:eastAsia="Palatino Linotype"/>
          <w:position w:val="1"/>
          <w:sz w:val="22"/>
          <w:szCs w:val="22"/>
          <w:lang w:val="es-ES"/>
        </w:rPr>
        <w:t xml:space="preserve"> </w:t>
      </w:r>
      <w:proofErr w:type="spellStart"/>
      <w:r>
        <w:rPr>
          <w:rFonts w:eastAsia="Palatino Linotype"/>
          <w:position w:val="1"/>
          <w:sz w:val="22"/>
          <w:szCs w:val="22"/>
          <w:lang w:val="es-ES"/>
        </w:rPr>
        <w:t>Guarantee</w:t>
      </w:r>
      <w:proofErr w:type="spellEnd"/>
      <w:r>
        <w:rPr>
          <w:rFonts w:eastAsia="Palatino Linotype"/>
          <w:position w:val="1"/>
          <w:sz w:val="22"/>
          <w:szCs w:val="22"/>
          <w:lang w:val="es-ES"/>
        </w:rPr>
        <w:t xml:space="preserve"> </w:t>
      </w:r>
      <w:proofErr w:type="spellStart"/>
      <w:r>
        <w:rPr>
          <w:rFonts w:eastAsia="Palatino Linotype"/>
          <w:position w:val="1"/>
          <w:sz w:val="22"/>
          <w:szCs w:val="22"/>
          <w:lang w:val="es-ES"/>
        </w:rPr>
        <w:t>of</w:t>
      </w:r>
      <w:proofErr w:type="spellEnd"/>
      <w:r>
        <w:rPr>
          <w:rFonts w:eastAsia="Palatino Linotype"/>
          <w:position w:val="1"/>
          <w:sz w:val="22"/>
          <w:szCs w:val="22"/>
          <w:lang w:val="es-ES"/>
        </w:rPr>
        <w:t xml:space="preserve"> Faithful </w:t>
      </w:r>
      <w:proofErr w:type="spellStart"/>
      <w:r>
        <w:rPr>
          <w:rFonts w:eastAsia="Palatino Linotype"/>
          <w:position w:val="1"/>
          <w:sz w:val="22"/>
          <w:szCs w:val="22"/>
          <w:lang w:val="es-ES"/>
        </w:rPr>
        <w:t>Compliance</w:t>
      </w:r>
      <w:proofErr w:type="spellEnd"/>
      <w:r>
        <w:rPr>
          <w:rFonts w:eastAsia="Palatino Linotype"/>
          <w:position w:val="1"/>
          <w:sz w:val="22"/>
          <w:szCs w:val="22"/>
          <w:lang w:val="es-ES"/>
        </w:rPr>
        <w:t xml:space="preserve"> </w:t>
      </w:r>
      <w:proofErr w:type="spellStart"/>
      <w:r>
        <w:rPr>
          <w:rFonts w:eastAsia="Palatino Linotype"/>
          <w:position w:val="1"/>
          <w:sz w:val="22"/>
          <w:szCs w:val="22"/>
          <w:lang w:val="es-ES"/>
        </w:rPr>
        <w:t>of</w:t>
      </w:r>
      <w:proofErr w:type="spellEnd"/>
      <w:r>
        <w:rPr>
          <w:rFonts w:eastAsia="Palatino Linotype"/>
          <w:position w:val="1"/>
          <w:sz w:val="22"/>
          <w:szCs w:val="22"/>
          <w:lang w:val="es-ES"/>
        </w:rPr>
        <w:t xml:space="preserve"> </w:t>
      </w:r>
      <w:proofErr w:type="spellStart"/>
      <w:r>
        <w:rPr>
          <w:rFonts w:eastAsia="Palatino Linotype"/>
          <w:position w:val="1"/>
          <w:sz w:val="22"/>
          <w:szCs w:val="22"/>
          <w:lang w:val="es-ES"/>
        </w:rPr>
        <w:t>the</w:t>
      </w:r>
      <w:proofErr w:type="spellEnd"/>
      <w:r>
        <w:rPr>
          <w:rFonts w:eastAsia="Palatino Linotype"/>
          <w:position w:val="1"/>
          <w:sz w:val="22"/>
          <w:szCs w:val="22"/>
          <w:lang w:val="es-ES"/>
        </w:rPr>
        <w:t xml:space="preserve"> </w:t>
      </w:r>
      <w:proofErr w:type="spellStart"/>
      <w:r>
        <w:rPr>
          <w:rFonts w:eastAsia="Palatino Linotype"/>
          <w:position w:val="1"/>
          <w:sz w:val="22"/>
          <w:szCs w:val="22"/>
          <w:lang w:val="es-ES"/>
        </w:rPr>
        <w:t>Contract</w:t>
      </w:r>
      <w:proofErr w:type="spellEnd"/>
      <w:r>
        <w:rPr>
          <w:rFonts w:eastAsia="Palatino Linotype"/>
          <w:position w:val="1"/>
          <w:sz w:val="22"/>
          <w:szCs w:val="22"/>
          <w:lang w:val="es-ES"/>
        </w:rPr>
        <w:t xml:space="preserve"> </w:t>
      </w:r>
      <w:proofErr w:type="spellStart"/>
      <w:r>
        <w:rPr>
          <w:rFonts w:eastAsia="Palatino Linotype"/>
          <w:position w:val="1"/>
          <w:sz w:val="22"/>
          <w:szCs w:val="22"/>
          <w:lang w:val="es-ES"/>
        </w:rPr>
        <w:t>may</w:t>
      </w:r>
      <w:proofErr w:type="spellEnd"/>
      <w:r>
        <w:rPr>
          <w:rFonts w:eastAsia="Palatino Linotype"/>
          <w:position w:val="1"/>
          <w:sz w:val="22"/>
          <w:szCs w:val="22"/>
          <w:lang w:val="es-ES"/>
        </w:rPr>
        <w:t xml:space="preserve"> be </w:t>
      </w:r>
      <w:proofErr w:type="spellStart"/>
      <w:r>
        <w:rPr>
          <w:rFonts w:eastAsia="Palatino Linotype"/>
          <w:position w:val="1"/>
          <w:sz w:val="22"/>
          <w:szCs w:val="22"/>
          <w:lang w:val="es-ES"/>
        </w:rPr>
        <w:t>executed</w:t>
      </w:r>
      <w:proofErr w:type="spellEnd"/>
      <w:r>
        <w:rPr>
          <w:rFonts w:eastAsia="Palatino Linotype"/>
          <w:position w:val="1"/>
          <w:sz w:val="22"/>
          <w:szCs w:val="22"/>
          <w:lang w:val="es-ES"/>
        </w:rPr>
        <w:t xml:space="preserve"> </w:t>
      </w:r>
      <w:proofErr w:type="spellStart"/>
      <w:r>
        <w:rPr>
          <w:rFonts w:eastAsia="Palatino Linotype"/>
          <w:position w:val="1"/>
          <w:sz w:val="22"/>
          <w:szCs w:val="22"/>
          <w:lang w:val="es-ES"/>
        </w:rPr>
        <w:t>or</w:t>
      </w:r>
      <w:proofErr w:type="spellEnd"/>
      <w:r>
        <w:rPr>
          <w:rFonts w:eastAsia="Palatino Linotype"/>
          <w:position w:val="1"/>
          <w:sz w:val="22"/>
          <w:szCs w:val="22"/>
          <w:lang w:val="es-ES"/>
        </w:rPr>
        <w:t xml:space="preserve">, </w:t>
      </w:r>
      <w:proofErr w:type="spellStart"/>
      <w:r>
        <w:rPr>
          <w:rFonts w:eastAsia="Palatino Linotype"/>
          <w:position w:val="1"/>
          <w:sz w:val="22"/>
          <w:szCs w:val="22"/>
          <w:lang w:val="es-ES"/>
        </w:rPr>
        <w:t>if</w:t>
      </w:r>
      <w:proofErr w:type="spellEnd"/>
      <w:r>
        <w:rPr>
          <w:rFonts w:eastAsia="Palatino Linotype"/>
          <w:position w:val="1"/>
          <w:sz w:val="22"/>
          <w:szCs w:val="22"/>
          <w:lang w:val="es-ES"/>
        </w:rPr>
        <w:t xml:space="preserve"> </w:t>
      </w:r>
      <w:proofErr w:type="spellStart"/>
      <w:r>
        <w:rPr>
          <w:rFonts w:eastAsia="Palatino Linotype"/>
          <w:position w:val="1"/>
          <w:sz w:val="22"/>
          <w:szCs w:val="22"/>
          <w:lang w:val="es-ES"/>
        </w:rPr>
        <w:t>the</w:t>
      </w:r>
      <w:proofErr w:type="spellEnd"/>
      <w:r>
        <w:rPr>
          <w:rFonts w:eastAsia="Palatino Linotype"/>
          <w:position w:val="1"/>
          <w:sz w:val="22"/>
          <w:szCs w:val="22"/>
          <w:lang w:val="es-ES"/>
        </w:rPr>
        <w:t xml:space="preserve"> </w:t>
      </w:r>
      <w:proofErr w:type="spellStart"/>
      <w:r>
        <w:rPr>
          <w:rFonts w:eastAsia="Palatino Linotype"/>
          <w:position w:val="1"/>
          <w:sz w:val="22"/>
          <w:szCs w:val="22"/>
          <w:lang w:val="es-ES"/>
        </w:rPr>
        <w:t>successful</w:t>
      </w:r>
      <w:proofErr w:type="spellEnd"/>
      <w:r>
        <w:rPr>
          <w:rFonts w:eastAsia="Palatino Linotype"/>
          <w:position w:val="1"/>
          <w:sz w:val="22"/>
          <w:szCs w:val="22"/>
          <w:lang w:val="es-ES"/>
        </w:rPr>
        <w:t xml:space="preserve"> </w:t>
      </w:r>
      <w:proofErr w:type="spellStart"/>
      <w:r>
        <w:rPr>
          <w:rFonts w:eastAsia="Palatino Linotype"/>
          <w:position w:val="1"/>
          <w:sz w:val="22"/>
          <w:szCs w:val="22"/>
          <w:lang w:val="es-ES"/>
        </w:rPr>
        <w:t>bidder</w:t>
      </w:r>
      <w:proofErr w:type="spellEnd"/>
      <w:r>
        <w:rPr>
          <w:rFonts w:eastAsia="Palatino Linotype"/>
          <w:position w:val="1"/>
          <w:sz w:val="22"/>
          <w:szCs w:val="22"/>
          <w:lang w:val="es-ES"/>
        </w:rPr>
        <w:t xml:space="preserve"> has </w:t>
      </w:r>
      <w:proofErr w:type="spellStart"/>
      <w:r>
        <w:rPr>
          <w:rFonts w:eastAsia="Palatino Linotype"/>
          <w:position w:val="1"/>
          <w:sz w:val="22"/>
          <w:szCs w:val="22"/>
          <w:lang w:val="es-ES"/>
        </w:rPr>
        <w:t>opted</w:t>
      </w:r>
      <w:proofErr w:type="spellEnd"/>
      <w:r>
        <w:rPr>
          <w:rFonts w:eastAsia="Palatino Linotype"/>
          <w:position w:val="1"/>
          <w:sz w:val="22"/>
          <w:szCs w:val="22"/>
          <w:lang w:val="es-ES"/>
        </w:rPr>
        <w:t xml:space="preserve"> </w:t>
      </w:r>
      <w:proofErr w:type="spellStart"/>
      <w:r>
        <w:rPr>
          <w:rFonts w:eastAsia="Palatino Linotype"/>
          <w:position w:val="1"/>
          <w:sz w:val="22"/>
          <w:szCs w:val="22"/>
          <w:lang w:val="es-ES"/>
        </w:rPr>
        <w:t>not</w:t>
      </w:r>
      <w:proofErr w:type="spellEnd"/>
      <w:r>
        <w:rPr>
          <w:rFonts w:eastAsia="Palatino Linotype"/>
          <w:position w:val="1"/>
          <w:sz w:val="22"/>
          <w:szCs w:val="22"/>
          <w:lang w:val="es-ES"/>
        </w:rPr>
        <w:t xml:space="preserve"> </w:t>
      </w:r>
      <w:proofErr w:type="spellStart"/>
      <w:r>
        <w:rPr>
          <w:rFonts w:eastAsia="Palatino Linotype"/>
          <w:position w:val="1"/>
          <w:sz w:val="22"/>
          <w:szCs w:val="22"/>
          <w:lang w:val="es-ES"/>
        </w:rPr>
        <w:t>to</w:t>
      </w:r>
      <w:proofErr w:type="spellEnd"/>
      <w:r>
        <w:rPr>
          <w:rFonts w:eastAsia="Palatino Linotype"/>
          <w:position w:val="1"/>
          <w:sz w:val="22"/>
          <w:szCs w:val="22"/>
          <w:lang w:val="es-ES"/>
        </w:rPr>
        <w:t xml:space="preserve"> </w:t>
      </w:r>
      <w:proofErr w:type="spellStart"/>
      <w:r>
        <w:rPr>
          <w:rFonts w:eastAsia="Palatino Linotype"/>
          <w:position w:val="1"/>
          <w:sz w:val="22"/>
          <w:szCs w:val="22"/>
          <w:lang w:val="es-ES"/>
        </w:rPr>
        <w:t>present</w:t>
      </w:r>
      <w:proofErr w:type="spellEnd"/>
      <w:r>
        <w:rPr>
          <w:rFonts w:eastAsia="Palatino Linotype"/>
          <w:position w:val="1"/>
          <w:sz w:val="22"/>
          <w:szCs w:val="22"/>
          <w:lang w:val="es-ES"/>
        </w:rPr>
        <w:t xml:space="preserve"> a </w:t>
      </w:r>
      <w:proofErr w:type="spellStart"/>
      <w:r>
        <w:rPr>
          <w:rFonts w:eastAsia="Palatino Linotype"/>
          <w:position w:val="1"/>
          <w:sz w:val="22"/>
          <w:szCs w:val="22"/>
          <w:lang w:val="es-ES"/>
        </w:rPr>
        <w:t>guarantee</w:t>
      </w:r>
      <w:proofErr w:type="spellEnd"/>
      <w:r>
        <w:rPr>
          <w:rFonts w:eastAsia="Palatino Linotype"/>
          <w:position w:val="1"/>
          <w:sz w:val="22"/>
          <w:szCs w:val="22"/>
          <w:lang w:val="es-ES"/>
        </w:rPr>
        <w:t xml:space="preserve">, in </w:t>
      </w:r>
      <w:proofErr w:type="spellStart"/>
      <w:r>
        <w:rPr>
          <w:rFonts w:eastAsia="Palatino Linotype"/>
          <w:position w:val="1"/>
          <w:sz w:val="22"/>
          <w:szCs w:val="22"/>
          <w:lang w:val="es-ES"/>
        </w:rPr>
        <w:t>accordance</w:t>
      </w:r>
      <w:proofErr w:type="spellEnd"/>
      <w:r>
        <w:rPr>
          <w:rFonts w:eastAsia="Palatino Linotype"/>
          <w:position w:val="1"/>
          <w:sz w:val="22"/>
          <w:szCs w:val="22"/>
          <w:lang w:val="es-ES"/>
        </w:rPr>
        <w:t xml:space="preserve"> </w:t>
      </w:r>
      <w:proofErr w:type="spellStart"/>
      <w:r>
        <w:rPr>
          <w:rFonts w:eastAsia="Palatino Linotype"/>
          <w:position w:val="1"/>
          <w:sz w:val="22"/>
          <w:szCs w:val="22"/>
          <w:lang w:val="es-ES"/>
        </w:rPr>
        <w:t>with</w:t>
      </w:r>
      <w:proofErr w:type="spellEnd"/>
      <w:r>
        <w:rPr>
          <w:rFonts w:eastAsia="Palatino Linotype"/>
          <w:position w:val="1"/>
          <w:sz w:val="22"/>
          <w:szCs w:val="22"/>
          <w:lang w:val="es-ES"/>
        </w:rPr>
        <w:t xml:space="preserve"> </w:t>
      </w:r>
      <w:proofErr w:type="spellStart"/>
      <w:r>
        <w:rPr>
          <w:rFonts w:eastAsia="Palatino Linotype"/>
          <w:position w:val="1"/>
          <w:sz w:val="22"/>
          <w:szCs w:val="22"/>
          <w:lang w:val="es-ES"/>
        </w:rPr>
        <w:t>the</w:t>
      </w:r>
      <w:proofErr w:type="spellEnd"/>
      <w:r>
        <w:rPr>
          <w:rFonts w:eastAsia="Palatino Linotype"/>
          <w:position w:val="1"/>
          <w:sz w:val="22"/>
          <w:szCs w:val="22"/>
          <w:lang w:val="es-ES"/>
        </w:rPr>
        <w:t xml:space="preserve"> </w:t>
      </w:r>
      <w:proofErr w:type="spellStart"/>
      <w:r>
        <w:rPr>
          <w:rFonts w:eastAsia="Palatino Linotype"/>
          <w:position w:val="1"/>
          <w:sz w:val="22"/>
          <w:szCs w:val="22"/>
          <w:lang w:val="es-ES"/>
        </w:rPr>
        <w:t>provisions</w:t>
      </w:r>
      <w:proofErr w:type="spellEnd"/>
      <w:r>
        <w:rPr>
          <w:rFonts w:eastAsia="Palatino Linotype"/>
          <w:position w:val="1"/>
          <w:sz w:val="22"/>
          <w:szCs w:val="22"/>
          <w:lang w:val="es-ES"/>
        </w:rPr>
        <w:t xml:space="preserve"> </w:t>
      </w:r>
      <w:proofErr w:type="spellStart"/>
      <w:r>
        <w:rPr>
          <w:rFonts w:eastAsia="Palatino Linotype"/>
          <w:position w:val="1"/>
          <w:sz w:val="22"/>
          <w:szCs w:val="22"/>
          <w:lang w:val="es-ES"/>
        </w:rPr>
        <w:t>of</w:t>
      </w:r>
      <w:proofErr w:type="spellEnd"/>
      <w:r>
        <w:rPr>
          <w:rFonts w:eastAsia="Palatino Linotype"/>
          <w:position w:val="1"/>
          <w:sz w:val="22"/>
          <w:szCs w:val="22"/>
          <w:lang w:val="es-ES"/>
        </w:rPr>
        <w:t xml:space="preserve"> </w:t>
      </w:r>
      <w:proofErr w:type="spellStart"/>
      <w:r>
        <w:rPr>
          <w:rFonts w:eastAsia="Palatino Linotype"/>
          <w:position w:val="1"/>
          <w:sz w:val="22"/>
          <w:szCs w:val="22"/>
          <w:lang w:val="es-ES"/>
        </w:rPr>
        <w:t>Article</w:t>
      </w:r>
      <w:proofErr w:type="spellEnd"/>
      <w:r>
        <w:rPr>
          <w:rFonts w:eastAsia="Palatino Linotype"/>
          <w:position w:val="1"/>
          <w:sz w:val="22"/>
          <w:szCs w:val="22"/>
          <w:lang w:val="es-ES"/>
        </w:rPr>
        <w:t xml:space="preserve"> 64, </w:t>
      </w:r>
      <w:proofErr w:type="spellStart"/>
      <w:r>
        <w:rPr>
          <w:rFonts w:eastAsia="Palatino Linotype"/>
          <w:position w:val="1"/>
          <w:sz w:val="22"/>
          <w:szCs w:val="22"/>
          <w:lang w:val="es-ES"/>
        </w:rPr>
        <w:t>paragraph</w:t>
      </w:r>
      <w:proofErr w:type="spellEnd"/>
      <w:r>
        <w:rPr>
          <w:rFonts w:eastAsia="Palatino Linotype"/>
          <w:position w:val="1"/>
          <w:sz w:val="22"/>
          <w:szCs w:val="22"/>
          <w:lang w:val="es-ES"/>
        </w:rPr>
        <w:t xml:space="preserve"> 4 </w:t>
      </w:r>
      <w:proofErr w:type="spellStart"/>
      <w:r>
        <w:rPr>
          <w:rFonts w:eastAsia="Palatino Linotype"/>
          <w:position w:val="1"/>
          <w:sz w:val="22"/>
          <w:szCs w:val="22"/>
          <w:lang w:val="es-ES"/>
        </w:rPr>
        <w:t>of</w:t>
      </w:r>
      <w:proofErr w:type="spellEnd"/>
      <w:r>
        <w:rPr>
          <w:rFonts w:eastAsia="Palatino Linotype"/>
          <w:position w:val="1"/>
          <w:sz w:val="22"/>
          <w:szCs w:val="22"/>
          <w:lang w:val="es-ES"/>
        </w:rPr>
        <w:t xml:space="preserve"> </w:t>
      </w:r>
      <w:proofErr w:type="spellStart"/>
      <w:r>
        <w:rPr>
          <w:rFonts w:eastAsia="Palatino Linotype"/>
          <w:position w:val="1"/>
          <w:sz w:val="22"/>
          <w:szCs w:val="22"/>
          <w:lang w:val="es-ES"/>
        </w:rPr>
        <w:t>the</w:t>
      </w:r>
      <w:proofErr w:type="spellEnd"/>
      <w:r>
        <w:rPr>
          <w:rFonts w:eastAsia="Palatino Linotype"/>
          <w:position w:val="1"/>
          <w:sz w:val="22"/>
          <w:szCs w:val="22"/>
          <w:lang w:val="es-ES"/>
        </w:rPr>
        <w:t xml:space="preserve"> TOCAF, </w:t>
      </w:r>
      <w:proofErr w:type="spellStart"/>
      <w:r>
        <w:rPr>
          <w:rFonts w:eastAsia="Palatino Linotype"/>
          <w:position w:val="1"/>
          <w:sz w:val="22"/>
          <w:szCs w:val="22"/>
          <w:lang w:val="es-ES"/>
        </w:rPr>
        <w:t>the</w:t>
      </w:r>
      <w:proofErr w:type="spellEnd"/>
      <w:r>
        <w:rPr>
          <w:rFonts w:eastAsia="Palatino Linotype"/>
          <w:position w:val="1"/>
          <w:sz w:val="22"/>
          <w:szCs w:val="22"/>
          <w:lang w:val="es-ES"/>
        </w:rPr>
        <w:t xml:space="preserve"> fine </w:t>
      </w:r>
      <w:proofErr w:type="spellStart"/>
      <w:r>
        <w:rPr>
          <w:rFonts w:eastAsia="Palatino Linotype"/>
          <w:position w:val="1"/>
          <w:sz w:val="22"/>
          <w:szCs w:val="22"/>
          <w:lang w:val="es-ES"/>
        </w:rPr>
        <w:t>provided</w:t>
      </w:r>
      <w:proofErr w:type="spellEnd"/>
      <w:r>
        <w:rPr>
          <w:rFonts w:eastAsia="Palatino Linotype"/>
          <w:position w:val="1"/>
          <w:sz w:val="22"/>
          <w:szCs w:val="22"/>
          <w:lang w:val="es-ES"/>
        </w:rPr>
        <w:t xml:space="preserve"> </w:t>
      </w:r>
      <w:proofErr w:type="spellStart"/>
      <w:r>
        <w:rPr>
          <w:rFonts w:eastAsia="Palatino Linotype"/>
          <w:position w:val="1"/>
          <w:sz w:val="22"/>
          <w:szCs w:val="22"/>
          <w:lang w:val="es-ES"/>
        </w:rPr>
        <w:t>for</w:t>
      </w:r>
      <w:proofErr w:type="spellEnd"/>
      <w:r>
        <w:rPr>
          <w:rFonts w:eastAsia="Palatino Linotype"/>
          <w:position w:val="1"/>
          <w:sz w:val="22"/>
          <w:szCs w:val="22"/>
          <w:lang w:val="es-ES"/>
        </w:rPr>
        <w:t xml:space="preserve"> in </w:t>
      </w:r>
      <w:proofErr w:type="spellStart"/>
      <w:r>
        <w:rPr>
          <w:rFonts w:eastAsia="Palatino Linotype"/>
          <w:position w:val="1"/>
          <w:sz w:val="22"/>
          <w:szCs w:val="22"/>
          <w:lang w:val="es-ES"/>
        </w:rPr>
        <w:t>the</w:t>
      </w:r>
      <w:proofErr w:type="spellEnd"/>
      <w:r>
        <w:rPr>
          <w:rFonts w:eastAsia="Palatino Linotype"/>
          <w:position w:val="1"/>
          <w:sz w:val="22"/>
          <w:szCs w:val="22"/>
          <w:lang w:val="es-ES"/>
        </w:rPr>
        <w:t xml:space="preserve"> </w:t>
      </w:r>
      <w:proofErr w:type="spellStart"/>
      <w:r>
        <w:rPr>
          <w:rFonts w:eastAsia="Palatino Linotype"/>
          <w:position w:val="1"/>
          <w:sz w:val="22"/>
          <w:szCs w:val="22"/>
          <w:lang w:val="es-ES"/>
        </w:rPr>
        <w:t>aforementioned</w:t>
      </w:r>
      <w:proofErr w:type="spellEnd"/>
      <w:r>
        <w:rPr>
          <w:rFonts w:eastAsia="Palatino Linotype"/>
          <w:position w:val="1"/>
          <w:sz w:val="22"/>
          <w:szCs w:val="22"/>
          <w:lang w:val="es-ES"/>
        </w:rPr>
        <w:t xml:space="preserve"> </w:t>
      </w:r>
      <w:proofErr w:type="spellStart"/>
      <w:r>
        <w:rPr>
          <w:rFonts w:eastAsia="Palatino Linotype"/>
          <w:position w:val="1"/>
          <w:sz w:val="22"/>
          <w:szCs w:val="22"/>
          <w:lang w:val="es-ES"/>
        </w:rPr>
        <w:t>article</w:t>
      </w:r>
      <w:proofErr w:type="spellEnd"/>
      <w:r>
        <w:rPr>
          <w:rFonts w:eastAsia="Palatino Linotype"/>
          <w:position w:val="1"/>
          <w:sz w:val="22"/>
          <w:szCs w:val="22"/>
          <w:lang w:val="es-ES"/>
        </w:rPr>
        <w:t xml:space="preserve"> </w:t>
      </w:r>
      <w:proofErr w:type="spellStart"/>
      <w:r>
        <w:rPr>
          <w:rFonts w:eastAsia="Palatino Linotype"/>
          <w:position w:val="1"/>
          <w:sz w:val="22"/>
          <w:szCs w:val="22"/>
          <w:lang w:val="es-ES"/>
        </w:rPr>
        <w:t>may</w:t>
      </w:r>
      <w:proofErr w:type="spellEnd"/>
      <w:r>
        <w:rPr>
          <w:rFonts w:eastAsia="Palatino Linotype"/>
          <w:position w:val="1"/>
          <w:sz w:val="22"/>
          <w:szCs w:val="22"/>
          <w:lang w:val="es-ES"/>
        </w:rPr>
        <w:t xml:space="preserve"> be </w:t>
      </w:r>
      <w:proofErr w:type="spellStart"/>
      <w:r>
        <w:rPr>
          <w:rFonts w:eastAsia="Palatino Linotype"/>
          <w:position w:val="1"/>
          <w:sz w:val="22"/>
          <w:szCs w:val="22"/>
          <w:lang w:val="es-ES"/>
        </w:rPr>
        <w:t>applied</w:t>
      </w:r>
      <w:proofErr w:type="spellEnd"/>
      <w:r>
        <w:rPr>
          <w:rFonts w:eastAsia="Palatino Linotype"/>
          <w:position w:val="1"/>
          <w:sz w:val="22"/>
          <w:szCs w:val="22"/>
          <w:lang w:val="es-ES"/>
        </w:rPr>
        <w:t xml:space="preserve">, </w:t>
      </w:r>
      <w:proofErr w:type="spellStart"/>
      <w:r>
        <w:rPr>
          <w:rFonts w:eastAsia="Palatino Linotype"/>
          <w:position w:val="1"/>
          <w:sz w:val="22"/>
          <w:szCs w:val="22"/>
          <w:lang w:val="es-ES"/>
        </w:rPr>
        <w:t>communicating</w:t>
      </w:r>
      <w:proofErr w:type="spellEnd"/>
      <w:r>
        <w:rPr>
          <w:rFonts w:eastAsia="Palatino Linotype"/>
          <w:position w:val="1"/>
          <w:sz w:val="22"/>
          <w:szCs w:val="22"/>
          <w:lang w:val="es-ES"/>
        </w:rPr>
        <w:t xml:space="preserve"> </w:t>
      </w:r>
      <w:proofErr w:type="spellStart"/>
      <w:r>
        <w:rPr>
          <w:rFonts w:eastAsia="Palatino Linotype"/>
          <w:position w:val="1"/>
          <w:sz w:val="22"/>
          <w:szCs w:val="22"/>
          <w:lang w:val="es-ES"/>
        </w:rPr>
        <w:t>to</w:t>
      </w:r>
      <w:proofErr w:type="spellEnd"/>
      <w:r>
        <w:rPr>
          <w:rFonts w:eastAsia="Palatino Linotype"/>
          <w:position w:val="1"/>
          <w:sz w:val="22"/>
          <w:szCs w:val="22"/>
          <w:lang w:val="es-ES"/>
        </w:rPr>
        <w:t xml:space="preserve"> </w:t>
      </w:r>
      <w:proofErr w:type="spellStart"/>
      <w:r>
        <w:rPr>
          <w:rFonts w:eastAsia="Palatino Linotype"/>
          <w:position w:val="1"/>
          <w:sz w:val="22"/>
          <w:szCs w:val="22"/>
          <w:lang w:val="es-ES"/>
        </w:rPr>
        <w:t>the</w:t>
      </w:r>
      <w:proofErr w:type="spellEnd"/>
      <w:r>
        <w:rPr>
          <w:rFonts w:eastAsia="Palatino Linotype"/>
          <w:position w:val="1"/>
          <w:sz w:val="22"/>
          <w:szCs w:val="22"/>
          <w:lang w:val="es-ES"/>
        </w:rPr>
        <w:t xml:space="preserve"> RUPE.</w:t>
      </w:r>
    </w:p>
    <w:p w14:paraId="0DC4CD05" w14:textId="77777777" w:rsidR="00E255F4" w:rsidRDefault="00E255F4">
      <w:pPr>
        <w:rPr>
          <w:rFonts w:eastAsia="Palatino Linotype"/>
          <w:sz w:val="22"/>
          <w:szCs w:val="22"/>
          <w:lang w:val="es-ES"/>
        </w:rPr>
      </w:pPr>
    </w:p>
    <w:p w14:paraId="51F9E194" w14:textId="77777777" w:rsidR="00E255F4" w:rsidRDefault="00000000">
      <w:pPr>
        <w:ind w:right="-142"/>
        <w:jc w:val="both"/>
        <w:outlineLvl w:val="0"/>
        <w:rPr>
          <w:rFonts w:eastAsia="Palatino Linotype"/>
          <w:sz w:val="22"/>
          <w:szCs w:val="22"/>
          <w:lang w:val="es-ES"/>
        </w:rPr>
      </w:pPr>
      <w:bookmarkStart w:id="63" w:name="__RefHeading___Toc225377240"/>
      <w:bookmarkEnd w:id="63"/>
      <w:r>
        <w:rPr>
          <w:rFonts w:eastAsia="Palatino Linotype"/>
          <w:b/>
          <w:spacing w:val="-1"/>
          <w:sz w:val="22"/>
          <w:szCs w:val="22"/>
          <w:lang w:val="es-ES"/>
        </w:rPr>
        <w:t>2</w:t>
      </w:r>
      <w:r>
        <w:rPr>
          <w:rFonts w:eastAsia="Palatino Linotype"/>
          <w:b/>
          <w:sz w:val="22"/>
          <w:szCs w:val="22"/>
          <w:lang w:val="es-ES"/>
        </w:rPr>
        <w:t>6</w:t>
      </w:r>
      <w:r>
        <w:rPr>
          <w:rFonts w:eastAsia="Palatino Linotype"/>
          <w:b/>
          <w:spacing w:val="-2"/>
          <w:sz w:val="22"/>
          <w:szCs w:val="22"/>
          <w:lang w:val="es-ES"/>
        </w:rPr>
        <w:t xml:space="preserve"> </w:t>
      </w:r>
      <w:r>
        <w:rPr>
          <w:rFonts w:eastAsia="Palatino Linotype"/>
          <w:b/>
          <w:spacing w:val="-2"/>
          <w:sz w:val="22"/>
          <w:szCs w:val="22"/>
          <w:lang w:val="es-ES"/>
        </w:rPr>
        <w:tab/>
      </w:r>
      <w:proofErr w:type="spellStart"/>
      <w:r>
        <w:rPr>
          <w:rFonts w:eastAsia="Palatino Linotype"/>
          <w:b/>
          <w:spacing w:val="-1"/>
          <w:sz w:val="22"/>
          <w:szCs w:val="22"/>
          <w:lang w:val="es-ES"/>
        </w:rPr>
        <w:t>Rescission</w:t>
      </w:r>
      <w:proofErr w:type="spellEnd"/>
    </w:p>
    <w:p w14:paraId="7A4FBD69" w14:textId="77777777" w:rsidR="00E255F4" w:rsidRDefault="00E255F4">
      <w:pPr>
        <w:ind w:right="-142"/>
        <w:jc w:val="both"/>
        <w:rPr>
          <w:rFonts w:eastAsia="Palatino Linotype"/>
          <w:spacing w:val="-2"/>
          <w:sz w:val="22"/>
          <w:szCs w:val="22"/>
          <w:lang w:val="es-ES"/>
        </w:rPr>
      </w:pPr>
    </w:p>
    <w:p w14:paraId="60224C65" w14:textId="77777777" w:rsidR="00E255F4" w:rsidRDefault="00000000">
      <w:pPr>
        <w:ind w:right="-142"/>
        <w:jc w:val="both"/>
        <w:rPr>
          <w:rFonts w:eastAsia="Palatino Linotype"/>
          <w:sz w:val="22"/>
          <w:szCs w:val="22"/>
          <w:lang w:val="es-ES"/>
        </w:rPr>
      </w:pPr>
      <w:proofErr w:type="spellStart"/>
      <w:r>
        <w:rPr>
          <w:rFonts w:eastAsia="Palatino Linotype"/>
          <w:spacing w:val="-2"/>
          <w:sz w:val="22"/>
          <w:szCs w:val="22"/>
          <w:lang w:val="es-ES"/>
        </w:rPr>
        <w:t>L</w:t>
      </w:r>
      <w:r>
        <w:rPr>
          <w:rFonts w:eastAsia="Palatino Linotype"/>
          <w:sz w:val="22"/>
          <w:szCs w:val="22"/>
          <w:lang w:val="es-ES"/>
        </w:rPr>
        <w:t>The</w:t>
      </w:r>
      <w:proofErr w:type="spellEnd"/>
      <w:r>
        <w:rPr>
          <w:rFonts w:eastAsia="Palatino Linotype"/>
          <w:sz w:val="22"/>
          <w:szCs w:val="22"/>
          <w:lang w:val="es-ES"/>
        </w:rPr>
        <w:t xml:space="preserve"> </w:t>
      </w:r>
      <w:proofErr w:type="spellStart"/>
      <w:r>
        <w:rPr>
          <w:rFonts w:eastAsia="Palatino Linotype"/>
          <w:sz w:val="22"/>
          <w:szCs w:val="22"/>
          <w:lang w:val="es-ES"/>
        </w:rPr>
        <w:t>Administration</w:t>
      </w:r>
      <w:proofErr w:type="spellEnd"/>
      <w:r>
        <w:rPr>
          <w:rFonts w:eastAsia="Palatino Linotype"/>
          <w:sz w:val="22"/>
          <w:szCs w:val="22"/>
          <w:lang w:val="es-ES"/>
        </w:rPr>
        <w:t xml:space="preserve"> </w:t>
      </w:r>
      <w:proofErr w:type="spellStart"/>
      <w:r>
        <w:rPr>
          <w:rFonts w:eastAsia="Palatino Linotype"/>
          <w:sz w:val="22"/>
          <w:szCs w:val="22"/>
          <w:lang w:val="es-ES"/>
        </w:rPr>
        <w:t>may</w:t>
      </w:r>
      <w:proofErr w:type="spellEnd"/>
      <w:r>
        <w:rPr>
          <w:rFonts w:eastAsia="Palatino Linotype"/>
          <w:sz w:val="22"/>
          <w:szCs w:val="22"/>
          <w:lang w:val="es-ES"/>
        </w:rPr>
        <w:t xml:space="preserve"> </w:t>
      </w:r>
      <w:proofErr w:type="spellStart"/>
      <w:r>
        <w:rPr>
          <w:rFonts w:eastAsia="Palatino Linotype"/>
          <w:sz w:val="22"/>
          <w:szCs w:val="22"/>
          <w:lang w:val="es-ES"/>
        </w:rPr>
        <w:t>unilaterally</w:t>
      </w:r>
      <w:proofErr w:type="spellEnd"/>
      <w:r>
        <w:rPr>
          <w:rFonts w:eastAsia="Palatino Linotype"/>
          <w:sz w:val="22"/>
          <w:szCs w:val="22"/>
          <w:lang w:val="es-ES"/>
        </w:rPr>
        <w:t xml:space="preserve"> </w:t>
      </w:r>
      <w:proofErr w:type="spellStart"/>
      <w:r>
        <w:rPr>
          <w:rFonts w:eastAsia="Palatino Linotype"/>
          <w:sz w:val="22"/>
          <w:szCs w:val="22"/>
          <w:lang w:val="es-ES"/>
        </w:rPr>
        <w:t>terminate</w:t>
      </w:r>
      <w:proofErr w:type="spellEnd"/>
      <w:r>
        <w:rPr>
          <w:rFonts w:eastAsia="Palatino Linotype"/>
          <w:sz w:val="22"/>
          <w:szCs w:val="22"/>
          <w:lang w:val="es-ES"/>
        </w:rPr>
        <w:t xml:space="preserve"> </w:t>
      </w:r>
      <w:proofErr w:type="spellStart"/>
      <w:r>
        <w:rPr>
          <w:rFonts w:eastAsia="Palatino Linotype"/>
          <w:sz w:val="22"/>
          <w:szCs w:val="22"/>
          <w:lang w:val="es-ES"/>
        </w:rPr>
        <w:t>the</w:t>
      </w:r>
      <w:proofErr w:type="spellEnd"/>
      <w:r>
        <w:rPr>
          <w:rFonts w:eastAsia="Palatino Linotype"/>
          <w:sz w:val="22"/>
          <w:szCs w:val="22"/>
          <w:lang w:val="es-ES"/>
        </w:rPr>
        <w:t xml:space="preserve"> </w:t>
      </w:r>
      <w:proofErr w:type="spellStart"/>
      <w:r>
        <w:rPr>
          <w:rFonts w:eastAsia="Palatino Linotype"/>
          <w:sz w:val="22"/>
          <w:szCs w:val="22"/>
          <w:lang w:val="es-ES"/>
        </w:rPr>
        <w:t>contract</w:t>
      </w:r>
      <w:proofErr w:type="spellEnd"/>
      <w:r>
        <w:rPr>
          <w:rFonts w:eastAsia="Palatino Linotype"/>
          <w:sz w:val="22"/>
          <w:szCs w:val="22"/>
          <w:lang w:val="es-ES"/>
        </w:rPr>
        <w:t xml:space="preserve"> </w:t>
      </w:r>
      <w:proofErr w:type="spellStart"/>
      <w:r>
        <w:rPr>
          <w:rFonts w:eastAsia="Palatino Linotype"/>
          <w:sz w:val="22"/>
          <w:szCs w:val="22"/>
          <w:lang w:val="es-ES"/>
        </w:rPr>
        <w:t>due</w:t>
      </w:r>
      <w:proofErr w:type="spellEnd"/>
      <w:r>
        <w:rPr>
          <w:rFonts w:eastAsia="Palatino Linotype"/>
          <w:sz w:val="22"/>
          <w:szCs w:val="22"/>
          <w:lang w:val="es-ES"/>
        </w:rPr>
        <w:t xml:space="preserve"> </w:t>
      </w:r>
      <w:proofErr w:type="spellStart"/>
      <w:r>
        <w:rPr>
          <w:rFonts w:eastAsia="Palatino Linotype"/>
          <w:sz w:val="22"/>
          <w:szCs w:val="22"/>
          <w:lang w:val="es-ES"/>
        </w:rPr>
        <w:t>to</w:t>
      </w:r>
      <w:proofErr w:type="spellEnd"/>
      <w:r>
        <w:rPr>
          <w:rFonts w:eastAsia="Palatino Linotype"/>
          <w:sz w:val="22"/>
          <w:szCs w:val="22"/>
          <w:lang w:val="es-ES"/>
        </w:rPr>
        <w:t xml:space="preserve"> </w:t>
      </w:r>
      <w:proofErr w:type="spellStart"/>
      <w:r>
        <w:rPr>
          <w:rFonts w:eastAsia="Palatino Linotype"/>
          <w:sz w:val="22"/>
          <w:szCs w:val="22"/>
          <w:lang w:val="es-ES"/>
        </w:rPr>
        <w:t>serious</w:t>
      </w:r>
      <w:proofErr w:type="spellEnd"/>
      <w:r>
        <w:rPr>
          <w:rFonts w:eastAsia="Palatino Linotype"/>
          <w:sz w:val="22"/>
          <w:szCs w:val="22"/>
          <w:lang w:val="es-ES"/>
        </w:rPr>
        <w:t xml:space="preserve"> </w:t>
      </w:r>
      <w:proofErr w:type="spellStart"/>
      <w:r>
        <w:rPr>
          <w:rFonts w:eastAsia="Palatino Linotype"/>
          <w:sz w:val="22"/>
          <w:szCs w:val="22"/>
          <w:lang w:val="es-ES"/>
        </w:rPr>
        <w:t>breach</w:t>
      </w:r>
      <w:proofErr w:type="spellEnd"/>
      <w:r>
        <w:rPr>
          <w:rFonts w:eastAsia="Palatino Linotype"/>
          <w:sz w:val="22"/>
          <w:szCs w:val="22"/>
          <w:lang w:val="es-ES"/>
        </w:rPr>
        <w:t xml:space="preserve"> </w:t>
      </w:r>
      <w:proofErr w:type="spellStart"/>
      <w:r>
        <w:rPr>
          <w:rFonts w:eastAsia="Palatino Linotype"/>
          <w:sz w:val="22"/>
          <w:szCs w:val="22"/>
          <w:lang w:val="es-ES"/>
        </w:rPr>
        <w:t>by</w:t>
      </w:r>
      <w:proofErr w:type="spellEnd"/>
      <w:r>
        <w:rPr>
          <w:rFonts w:eastAsia="Palatino Linotype"/>
          <w:sz w:val="22"/>
          <w:szCs w:val="22"/>
          <w:lang w:val="es-ES"/>
        </w:rPr>
        <w:t xml:space="preserve"> </w:t>
      </w:r>
      <w:proofErr w:type="spellStart"/>
      <w:r>
        <w:rPr>
          <w:rFonts w:eastAsia="Palatino Linotype"/>
          <w:sz w:val="22"/>
          <w:szCs w:val="22"/>
          <w:lang w:val="es-ES"/>
        </w:rPr>
        <w:t>the</w:t>
      </w:r>
      <w:proofErr w:type="spellEnd"/>
      <w:r>
        <w:rPr>
          <w:rFonts w:eastAsia="Palatino Linotype"/>
          <w:sz w:val="22"/>
          <w:szCs w:val="22"/>
          <w:lang w:val="es-ES"/>
        </w:rPr>
        <w:t xml:space="preserve"> </w:t>
      </w:r>
      <w:proofErr w:type="spellStart"/>
      <w:r>
        <w:rPr>
          <w:rFonts w:eastAsia="Palatino Linotype"/>
          <w:sz w:val="22"/>
          <w:szCs w:val="22"/>
          <w:lang w:val="es-ES"/>
        </w:rPr>
        <w:t>successful</w:t>
      </w:r>
      <w:proofErr w:type="spellEnd"/>
      <w:r>
        <w:rPr>
          <w:rFonts w:eastAsia="Palatino Linotype"/>
          <w:sz w:val="22"/>
          <w:szCs w:val="22"/>
          <w:lang w:val="es-ES"/>
        </w:rPr>
        <w:t xml:space="preserve"> </w:t>
      </w:r>
      <w:proofErr w:type="spellStart"/>
      <w:r>
        <w:rPr>
          <w:rFonts w:eastAsia="Palatino Linotype"/>
          <w:sz w:val="22"/>
          <w:szCs w:val="22"/>
          <w:lang w:val="es-ES"/>
        </w:rPr>
        <w:t>bidder</w:t>
      </w:r>
      <w:proofErr w:type="spellEnd"/>
      <w:r>
        <w:rPr>
          <w:rFonts w:eastAsia="Palatino Linotype"/>
          <w:sz w:val="22"/>
          <w:szCs w:val="22"/>
          <w:lang w:val="es-ES"/>
        </w:rPr>
        <w:t xml:space="preserve">, and </w:t>
      </w:r>
      <w:proofErr w:type="spellStart"/>
      <w:r>
        <w:rPr>
          <w:rFonts w:eastAsia="Palatino Linotype"/>
          <w:sz w:val="22"/>
          <w:szCs w:val="22"/>
          <w:lang w:val="es-ES"/>
        </w:rPr>
        <w:t>must</w:t>
      </w:r>
      <w:proofErr w:type="spellEnd"/>
      <w:r>
        <w:rPr>
          <w:rFonts w:eastAsia="Palatino Linotype"/>
          <w:sz w:val="22"/>
          <w:szCs w:val="22"/>
          <w:lang w:val="es-ES"/>
        </w:rPr>
        <w:t xml:space="preserve"> </w:t>
      </w:r>
      <w:proofErr w:type="spellStart"/>
      <w:r>
        <w:rPr>
          <w:rFonts w:eastAsia="Palatino Linotype"/>
          <w:sz w:val="22"/>
          <w:szCs w:val="22"/>
          <w:lang w:val="es-ES"/>
        </w:rPr>
        <w:t>notify</w:t>
      </w:r>
      <w:proofErr w:type="spellEnd"/>
      <w:r>
        <w:rPr>
          <w:rFonts w:eastAsia="Palatino Linotype"/>
          <w:sz w:val="22"/>
          <w:szCs w:val="22"/>
          <w:lang w:val="es-ES"/>
        </w:rPr>
        <w:t xml:space="preserve"> </w:t>
      </w:r>
      <w:proofErr w:type="spellStart"/>
      <w:r>
        <w:rPr>
          <w:rFonts w:eastAsia="Palatino Linotype"/>
          <w:sz w:val="22"/>
          <w:szCs w:val="22"/>
          <w:lang w:val="es-ES"/>
        </w:rPr>
        <w:t>them</w:t>
      </w:r>
      <w:proofErr w:type="spellEnd"/>
      <w:r>
        <w:rPr>
          <w:rFonts w:eastAsia="Palatino Linotype"/>
          <w:sz w:val="22"/>
          <w:szCs w:val="22"/>
          <w:lang w:val="es-ES"/>
        </w:rPr>
        <w:t xml:space="preserve"> </w:t>
      </w:r>
      <w:proofErr w:type="spellStart"/>
      <w:r>
        <w:rPr>
          <w:rFonts w:eastAsia="Palatino Linotype"/>
          <w:sz w:val="22"/>
          <w:szCs w:val="22"/>
          <w:lang w:val="es-ES"/>
        </w:rPr>
        <w:t>accordingly</w:t>
      </w:r>
      <w:proofErr w:type="spellEnd"/>
      <w:r>
        <w:rPr>
          <w:rFonts w:eastAsia="Palatino Linotype"/>
          <w:sz w:val="22"/>
          <w:szCs w:val="22"/>
          <w:lang w:val="es-ES"/>
        </w:rPr>
        <w:t>.</w:t>
      </w:r>
    </w:p>
    <w:p w14:paraId="1ED9A439" w14:textId="77777777" w:rsidR="00E255F4" w:rsidRDefault="00E255F4">
      <w:pPr>
        <w:ind w:right="-142"/>
        <w:jc w:val="both"/>
        <w:rPr>
          <w:rFonts w:eastAsia="Palatino Linotype"/>
          <w:spacing w:val="2"/>
          <w:sz w:val="22"/>
          <w:szCs w:val="22"/>
          <w:lang w:val="es-ES"/>
        </w:rPr>
      </w:pPr>
    </w:p>
    <w:p w14:paraId="1E7DD6E8" w14:textId="77777777" w:rsidR="00E255F4" w:rsidRDefault="00000000">
      <w:pPr>
        <w:ind w:right="-142"/>
        <w:jc w:val="both"/>
      </w:pPr>
      <w:proofErr w:type="spellStart"/>
      <w:r>
        <w:rPr>
          <w:rFonts w:eastAsia="Palatino Linotype"/>
          <w:spacing w:val="2"/>
          <w:sz w:val="22"/>
          <w:szCs w:val="22"/>
          <w:lang w:val="es-ES"/>
        </w:rPr>
        <w:t>N</w:t>
      </w:r>
      <w:r>
        <w:rPr>
          <w:rFonts w:eastAsia="Palatino Linotype"/>
          <w:sz w:val="22"/>
          <w:szCs w:val="22"/>
          <w:lang w:val="es-ES"/>
        </w:rPr>
        <w:t>However</w:t>
      </w:r>
      <w:proofErr w:type="spellEnd"/>
      <w:r>
        <w:rPr>
          <w:rFonts w:eastAsia="Palatino Linotype"/>
          <w:sz w:val="22"/>
          <w:szCs w:val="22"/>
          <w:lang w:val="es-ES"/>
        </w:rPr>
        <w:t xml:space="preserve">, </w:t>
      </w:r>
      <w:proofErr w:type="spellStart"/>
      <w:r>
        <w:rPr>
          <w:rFonts w:eastAsia="Palatino Linotype"/>
          <w:sz w:val="22"/>
          <w:szCs w:val="22"/>
          <w:lang w:val="es-ES"/>
        </w:rPr>
        <w:t>it</w:t>
      </w:r>
      <w:proofErr w:type="spellEnd"/>
      <w:r>
        <w:rPr>
          <w:rFonts w:eastAsia="Palatino Linotype"/>
          <w:sz w:val="22"/>
          <w:szCs w:val="22"/>
          <w:lang w:val="es-ES"/>
        </w:rPr>
        <w:t xml:space="preserve"> </w:t>
      </w:r>
      <w:proofErr w:type="spellStart"/>
      <w:r>
        <w:rPr>
          <w:rFonts w:eastAsia="Palatino Linotype"/>
          <w:sz w:val="22"/>
          <w:szCs w:val="22"/>
          <w:lang w:val="es-ES"/>
        </w:rPr>
        <w:t>will</w:t>
      </w:r>
      <w:proofErr w:type="spellEnd"/>
      <w:r>
        <w:rPr>
          <w:rFonts w:eastAsia="Palatino Linotype"/>
          <w:sz w:val="22"/>
          <w:szCs w:val="22"/>
          <w:lang w:val="es-ES"/>
        </w:rPr>
        <w:t xml:space="preserve"> </w:t>
      </w:r>
      <w:proofErr w:type="spellStart"/>
      <w:r>
        <w:rPr>
          <w:rFonts w:eastAsia="Palatino Linotype"/>
          <w:sz w:val="22"/>
          <w:szCs w:val="22"/>
          <w:lang w:val="es-ES"/>
        </w:rPr>
        <w:t>occur</w:t>
      </w:r>
      <w:proofErr w:type="spellEnd"/>
      <w:r>
        <w:rPr>
          <w:rFonts w:eastAsia="Palatino Linotype"/>
          <w:sz w:val="22"/>
          <w:szCs w:val="22"/>
          <w:lang w:val="es-ES"/>
        </w:rPr>
        <w:t xml:space="preserve"> </w:t>
      </w:r>
      <w:proofErr w:type="spellStart"/>
      <w:r>
        <w:rPr>
          <w:rFonts w:eastAsia="Palatino Linotype"/>
          <w:sz w:val="22"/>
          <w:szCs w:val="22"/>
          <w:lang w:val="es-ES"/>
        </w:rPr>
        <w:t>automatically</w:t>
      </w:r>
      <w:proofErr w:type="spellEnd"/>
      <w:r>
        <w:rPr>
          <w:rFonts w:eastAsia="Palatino Linotype"/>
          <w:sz w:val="22"/>
          <w:szCs w:val="22"/>
          <w:lang w:val="es-ES"/>
        </w:rPr>
        <w:t xml:space="preserve"> </w:t>
      </w:r>
      <w:proofErr w:type="spellStart"/>
      <w:r>
        <w:rPr>
          <w:rFonts w:eastAsia="Palatino Linotype"/>
          <w:sz w:val="22"/>
          <w:szCs w:val="22"/>
          <w:lang w:val="es-ES"/>
        </w:rPr>
        <w:t>due</w:t>
      </w:r>
      <w:proofErr w:type="spellEnd"/>
      <w:r>
        <w:rPr>
          <w:rFonts w:eastAsia="Palatino Linotype"/>
          <w:sz w:val="22"/>
          <w:szCs w:val="22"/>
          <w:lang w:val="es-ES"/>
        </w:rPr>
        <w:t xml:space="preserve"> </w:t>
      </w:r>
      <w:proofErr w:type="spellStart"/>
      <w:r>
        <w:rPr>
          <w:rFonts w:eastAsia="Palatino Linotype"/>
          <w:sz w:val="22"/>
          <w:szCs w:val="22"/>
          <w:lang w:val="es-ES"/>
        </w:rPr>
        <w:t>to</w:t>
      </w:r>
      <w:proofErr w:type="spellEnd"/>
      <w:r>
        <w:rPr>
          <w:rFonts w:eastAsia="Palatino Linotype"/>
          <w:sz w:val="22"/>
          <w:szCs w:val="22"/>
          <w:lang w:val="es-ES"/>
        </w:rPr>
        <w:t xml:space="preserve"> </w:t>
      </w:r>
      <w:proofErr w:type="spellStart"/>
      <w:r>
        <w:rPr>
          <w:rFonts w:eastAsia="Palatino Linotype"/>
          <w:sz w:val="22"/>
          <w:szCs w:val="22"/>
          <w:lang w:val="es-ES"/>
        </w:rPr>
        <w:t>the</w:t>
      </w:r>
      <w:proofErr w:type="spellEnd"/>
      <w:r>
        <w:rPr>
          <w:rFonts w:eastAsia="Palatino Linotype"/>
          <w:sz w:val="22"/>
          <w:szCs w:val="22"/>
          <w:lang w:val="es-ES"/>
        </w:rPr>
        <w:t xml:space="preserve"> </w:t>
      </w:r>
      <w:proofErr w:type="spellStart"/>
      <w:r>
        <w:rPr>
          <w:rFonts w:eastAsia="Palatino Linotype"/>
          <w:sz w:val="22"/>
          <w:szCs w:val="22"/>
          <w:lang w:val="es-ES"/>
        </w:rPr>
        <w:t>supervening</w:t>
      </w:r>
      <w:proofErr w:type="spellEnd"/>
      <w:r>
        <w:rPr>
          <w:rFonts w:eastAsia="Palatino Linotype"/>
          <w:sz w:val="22"/>
          <w:szCs w:val="22"/>
          <w:lang w:val="es-ES"/>
        </w:rPr>
        <w:t xml:space="preserve"> </w:t>
      </w:r>
      <w:proofErr w:type="spellStart"/>
      <w:r>
        <w:rPr>
          <w:rFonts w:eastAsia="Palatino Linotype"/>
          <w:sz w:val="22"/>
          <w:szCs w:val="22"/>
          <w:lang w:val="es-ES"/>
        </w:rPr>
        <w:t>disqualification</w:t>
      </w:r>
      <w:proofErr w:type="spellEnd"/>
      <w:r>
        <w:rPr>
          <w:rFonts w:eastAsia="Palatino Linotype"/>
          <w:sz w:val="22"/>
          <w:szCs w:val="22"/>
          <w:lang w:val="es-ES"/>
        </w:rPr>
        <w:t xml:space="preserve"> </w:t>
      </w:r>
      <w:proofErr w:type="spellStart"/>
      <w:r>
        <w:rPr>
          <w:rFonts w:eastAsia="Palatino Linotype"/>
          <w:sz w:val="22"/>
          <w:szCs w:val="22"/>
          <w:lang w:val="es-ES"/>
        </w:rPr>
        <w:t>for</w:t>
      </w:r>
      <w:proofErr w:type="spellEnd"/>
      <w:r>
        <w:rPr>
          <w:rFonts w:eastAsia="Palatino Linotype"/>
          <w:sz w:val="22"/>
          <w:szCs w:val="22"/>
          <w:lang w:val="es-ES"/>
        </w:rPr>
        <w:t xml:space="preserve"> </w:t>
      </w:r>
      <w:proofErr w:type="spellStart"/>
      <w:r>
        <w:rPr>
          <w:rFonts w:eastAsia="Palatino Linotype"/>
          <w:sz w:val="22"/>
          <w:szCs w:val="22"/>
          <w:lang w:val="es-ES"/>
        </w:rPr>
        <w:t>any</w:t>
      </w:r>
      <w:proofErr w:type="spellEnd"/>
      <w:r>
        <w:rPr>
          <w:rFonts w:eastAsia="Palatino Linotype"/>
          <w:sz w:val="22"/>
          <w:szCs w:val="22"/>
          <w:lang w:val="es-ES"/>
        </w:rPr>
        <w:t xml:space="preserve"> </w:t>
      </w:r>
      <w:proofErr w:type="spellStart"/>
      <w:r>
        <w:rPr>
          <w:rFonts w:eastAsia="Palatino Linotype"/>
          <w:sz w:val="22"/>
          <w:szCs w:val="22"/>
          <w:lang w:val="es-ES"/>
        </w:rPr>
        <w:t>of</w:t>
      </w:r>
      <w:proofErr w:type="spellEnd"/>
      <w:r>
        <w:rPr>
          <w:rFonts w:eastAsia="Palatino Linotype"/>
          <w:sz w:val="22"/>
          <w:szCs w:val="22"/>
          <w:lang w:val="es-ES"/>
        </w:rPr>
        <w:t xml:space="preserve"> </w:t>
      </w:r>
      <w:proofErr w:type="spellStart"/>
      <w:r>
        <w:rPr>
          <w:rFonts w:eastAsia="Palatino Linotype"/>
          <w:sz w:val="22"/>
          <w:szCs w:val="22"/>
          <w:lang w:val="es-ES"/>
        </w:rPr>
        <w:t>the</w:t>
      </w:r>
      <w:proofErr w:type="spellEnd"/>
      <w:r>
        <w:rPr>
          <w:rFonts w:eastAsia="Palatino Linotype"/>
          <w:sz w:val="22"/>
          <w:szCs w:val="22"/>
          <w:lang w:val="es-ES"/>
        </w:rPr>
        <w:t xml:space="preserve"> </w:t>
      </w:r>
      <w:proofErr w:type="spellStart"/>
      <w:r>
        <w:rPr>
          <w:rFonts w:eastAsia="Palatino Linotype"/>
          <w:sz w:val="22"/>
          <w:szCs w:val="22"/>
          <w:lang w:val="es-ES"/>
        </w:rPr>
        <w:t>reasons</w:t>
      </w:r>
      <w:proofErr w:type="spellEnd"/>
      <w:r>
        <w:rPr>
          <w:rFonts w:eastAsia="Palatino Linotype"/>
          <w:sz w:val="22"/>
          <w:szCs w:val="22"/>
          <w:lang w:val="es-ES"/>
        </w:rPr>
        <w:t xml:space="preserve"> </w:t>
      </w:r>
      <w:proofErr w:type="spellStart"/>
      <w:r>
        <w:rPr>
          <w:rFonts w:eastAsia="Palatino Linotype"/>
          <w:sz w:val="22"/>
          <w:szCs w:val="22"/>
          <w:lang w:val="es-ES"/>
        </w:rPr>
        <w:t>provided</w:t>
      </w:r>
      <w:proofErr w:type="spellEnd"/>
      <w:r>
        <w:rPr>
          <w:rFonts w:eastAsia="Palatino Linotype"/>
          <w:sz w:val="22"/>
          <w:szCs w:val="22"/>
          <w:lang w:val="es-ES"/>
        </w:rPr>
        <w:t xml:space="preserve"> </w:t>
      </w:r>
      <w:proofErr w:type="spellStart"/>
      <w:r>
        <w:rPr>
          <w:rFonts w:eastAsia="Palatino Linotype"/>
          <w:sz w:val="22"/>
          <w:szCs w:val="22"/>
          <w:lang w:val="es-ES"/>
        </w:rPr>
        <w:t>for</w:t>
      </w:r>
      <w:proofErr w:type="spellEnd"/>
      <w:r>
        <w:rPr>
          <w:rFonts w:eastAsia="Palatino Linotype"/>
          <w:sz w:val="22"/>
          <w:szCs w:val="22"/>
          <w:lang w:val="es-ES"/>
        </w:rPr>
        <w:t xml:space="preserve"> in </w:t>
      </w:r>
      <w:proofErr w:type="spellStart"/>
      <w:r>
        <w:rPr>
          <w:rFonts w:eastAsia="Palatino Linotype"/>
          <w:sz w:val="22"/>
          <w:szCs w:val="22"/>
          <w:lang w:val="es-ES"/>
        </w:rPr>
        <w:t>the</w:t>
      </w:r>
      <w:proofErr w:type="spellEnd"/>
      <w:r>
        <w:rPr>
          <w:rFonts w:eastAsia="Palatino Linotype"/>
          <w:sz w:val="22"/>
          <w:szCs w:val="22"/>
          <w:lang w:val="es-ES"/>
        </w:rPr>
        <w:t xml:space="preserve"> </w:t>
      </w:r>
      <w:proofErr w:type="spellStart"/>
      <w:r>
        <w:rPr>
          <w:rFonts w:eastAsia="Palatino Linotype"/>
          <w:sz w:val="22"/>
          <w:szCs w:val="22"/>
          <w:lang w:val="es-ES"/>
        </w:rPr>
        <w:t>law</w:t>
      </w:r>
      <w:proofErr w:type="spellEnd"/>
      <w:r>
        <w:rPr>
          <w:rFonts w:eastAsia="Palatino Linotype"/>
          <w:sz w:val="22"/>
          <w:szCs w:val="22"/>
          <w:lang w:val="es-ES"/>
        </w:rPr>
        <w:t>.</w:t>
      </w:r>
    </w:p>
    <w:p w14:paraId="5CAA3E99" w14:textId="77777777" w:rsidR="00E255F4" w:rsidRDefault="00E255F4">
      <w:pPr>
        <w:ind w:right="-142"/>
        <w:jc w:val="both"/>
        <w:rPr>
          <w:rFonts w:eastAsia="Palatino Linotype"/>
          <w:spacing w:val="7"/>
          <w:sz w:val="22"/>
          <w:szCs w:val="22"/>
          <w:lang w:val="es-ES"/>
        </w:rPr>
      </w:pPr>
    </w:p>
    <w:p w14:paraId="0A3055E4" w14:textId="77777777" w:rsidR="00E255F4" w:rsidRDefault="00000000">
      <w:pPr>
        <w:ind w:right="-142"/>
        <w:jc w:val="both"/>
        <w:rPr>
          <w:rFonts w:eastAsia="Palatino Linotype"/>
          <w:sz w:val="22"/>
          <w:szCs w:val="22"/>
          <w:lang w:val="es-ES"/>
        </w:rPr>
      </w:pPr>
      <w:proofErr w:type="spellStart"/>
      <w:r>
        <w:rPr>
          <w:rFonts w:eastAsia="Palatino Linotype"/>
          <w:spacing w:val="7"/>
          <w:sz w:val="22"/>
          <w:szCs w:val="22"/>
          <w:lang w:val="es-ES"/>
        </w:rPr>
        <w:t>L</w:t>
      </w:r>
      <w:r>
        <w:rPr>
          <w:rFonts w:eastAsia="Palatino Linotype"/>
          <w:sz w:val="22"/>
          <w:szCs w:val="22"/>
          <w:lang w:val="es-ES"/>
        </w:rPr>
        <w:t>The</w:t>
      </w:r>
      <w:proofErr w:type="spellEnd"/>
      <w:r>
        <w:rPr>
          <w:rFonts w:eastAsia="Palatino Linotype"/>
          <w:sz w:val="22"/>
          <w:szCs w:val="22"/>
          <w:lang w:val="es-ES"/>
        </w:rPr>
        <w:t xml:space="preserve"> </w:t>
      </w:r>
      <w:proofErr w:type="spellStart"/>
      <w:r>
        <w:rPr>
          <w:rFonts w:eastAsia="Palatino Linotype"/>
          <w:sz w:val="22"/>
          <w:szCs w:val="22"/>
          <w:lang w:val="es-ES"/>
        </w:rPr>
        <w:t>termination</w:t>
      </w:r>
      <w:proofErr w:type="spellEnd"/>
      <w:r>
        <w:rPr>
          <w:rFonts w:eastAsia="Palatino Linotype"/>
          <w:sz w:val="22"/>
          <w:szCs w:val="22"/>
          <w:lang w:val="es-ES"/>
        </w:rPr>
        <w:t xml:space="preserve"> </w:t>
      </w:r>
      <w:proofErr w:type="spellStart"/>
      <w:r>
        <w:rPr>
          <w:rFonts w:eastAsia="Palatino Linotype"/>
          <w:sz w:val="22"/>
          <w:szCs w:val="22"/>
          <w:lang w:val="es-ES"/>
        </w:rPr>
        <w:t>due</w:t>
      </w:r>
      <w:proofErr w:type="spellEnd"/>
      <w:r>
        <w:rPr>
          <w:rFonts w:eastAsia="Palatino Linotype"/>
          <w:sz w:val="22"/>
          <w:szCs w:val="22"/>
          <w:lang w:val="es-ES"/>
        </w:rPr>
        <w:t xml:space="preserve"> </w:t>
      </w:r>
      <w:proofErr w:type="spellStart"/>
      <w:r>
        <w:rPr>
          <w:rFonts w:eastAsia="Palatino Linotype"/>
          <w:sz w:val="22"/>
          <w:szCs w:val="22"/>
          <w:lang w:val="es-ES"/>
        </w:rPr>
        <w:t>to</w:t>
      </w:r>
      <w:proofErr w:type="spellEnd"/>
      <w:r>
        <w:rPr>
          <w:rFonts w:eastAsia="Palatino Linotype"/>
          <w:sz w:val="22"/>
          <w:szCs w:val="22"/>
          <w:lang w:val="es-ES"/>
        </w:rPr>
        <w:t xml:space="preserve"> </w:t>
      </w:r>
      <w:proofErr w:type="spellStart"/>
      <w:r>
        <w:rPr>
          <w:rFonts w:eastAsia="Palatino Linotype"/>
          <w:sz w:val="22"/>
          <w:szCs w:val="22"/>
          <w:lang w:val="es-ES"/>
        </w:rPr>
        <w:t>breach</w:t>
      </w:r>
      <w:proofErr w:type="spellEnd"/>
      <w:r>
        <w:rPr>
          <w:rFonts w:eastAsia="Palatino Linotype"/>
          <w:sz w:val="22"/>
          <w:szCs w:val="22"/>
          <w:lang w:val="es-ES"/>
        </w:rPr>
        <w:t xml:space="preserve"> </w:t>
      </w:r>
      <w:proofErr w:type="spellStart"/>
      <w:r>
        <w:rPr>
          <w:rFonts w:eastAsia="Palatino Linotype"/>
          <w:sz w:val="22"/>
          <w:szCs w:val="22"/>
          <w:lang w:val="es-ES"/>
        </w:rPr>
        <w:t>by</w:t>
      </w:r>
      <w:proofErr w:type="spellEnd"/>
      <w:r>
        <w:rPr>
          <w:rFonts w:eastAsia="Palatino Linotype"/>
          <w:sz w:val="22"/>
          <w:szCs w:val="22"/>
          <w:lang w:val="es-ES"/>
        </w:rPr>
        <w:t xml:space="preserve"> </w:t>
      </w:r>
      <w:proofErr w:type="spellStart"/>
      <w:r>
        <w:rPr>
          <w:rFonts w:eastAsia="Palatino Linotype"/>
          <w:sz w:val="22"/>
          <w:szCs w:val="22"/>
          <w:lang w:val="es-ES"/>
        </w:rPr>
        <w:t>the</w:t>
      </w:r>
      <w:proofErr w:type="spellEnd"/>
      <w:r>
        <w:rPr>
          <w:rFonts w:eastAsia="Palatino Linotype"/>
          <w:sz w:val="22"/>
          <w:szCs w:val="22"/>
          <w:lang w:val="es-ES"/>
        </w:rPr>
        <w:t xml:space="preserve"> </w:t>
      </w:r>
      <w:proofErr w:type="spellStart"/>
      <w:r>
        <w:rPr>
          <w:rFonts w:eastAsia="Palatino Linotype"/>
          <w:sz w:val="22"/>
          <w:szCs w:val="22"/>
          <w:lang w:val="es-ES"/>
        </w:rPr>
        <w:t>contractor</w:t>
      </w:r>
      <w:proofErr w:type="spellEnd"/>
      <w:r>
        <w:rPr>
          <w:rFonts w:eastAsia="Palatino Linotype"/>
          <w:sz w:val="22"/>
          <w:szCs w:val="22"/>
          <w:lang w:val="es-ES"/>
        </w:rPr>
        <w:t xml:space="preserve"> </w:t>
      </w:r>
      <w:proofErr w:type="spellStart"/>
      <w:r>
        <w:rPr>
          <w:rFonts w:eastAsia="Palatino Linotype"/>
          <w:sz w:val="22"/>
          <w:szCs w:val="22"/>
          <w:lang w:val="es-ES"/>
        </w:rPr>
        <w:t>will</w:t>
      </w:r>
      <w:proofErr w:type="spellEnd"/>
      <w:r>
        <w:rPr>
          <w:rFonts w:eastAsia="Palatino Linotype"/>
          <w:sz w:val="22"/>
          <w:szCs w:val="22"/>
          <w:lang w:val="es-ES"/>
        </w:rPr>
        <w:t xml:space="preserve"> </w:t>
      </w:r>
      <w:proofErr w:type="spellStart"/>
      <w:r>
        <w:rPr>
          <w:rFonts w:eastAsia="Palatino Linotype"/>
          <w:sz w:val="22"/>
          <w:szCs w:val="22"/>
          <w:lang w:val="es-ES"/>
        </w:rPr>
        <w:t>entail</w:t>
      </w:r>
      <w:proofErr w:type="spellEnd"/>
      <w:r>
        <w:rPr>
          <w:rFonts w:eastAsia="Palatino Linotype"/>
          <w:sz w:val="22"/>
          <w:szCs w:val="22"/>
          <w:lang w:val="es-ES"/>
        </w:rPr>
        <w:t xml:space="preserve"> </w:t>
      </w:r>
      <w:proofErr w:type="spellStart"/>
      <w:r>
        <w:rPr>
          <w:rFonts w:eastAsia="Palatino Linotype"/>
          <w:sz w:val="22"/>
          <w:szCs w:val="22"/>
          <w:lang w:val="es-ES"/>
        </w:rPr>
        <w:t>their</w:t>
      </w:r>
      <w:proofErr w:type="spellEnd"/>
      <w:r>
        <w:rPr>
          <w:rFonts w:eastAsia="Palatino Linotype"/>
          <w:sz w:val="22"/>
          <w:szCs w:val="22"/>
          <w:lang w:val="es-ES"/>
        </w:rPr>
        <w:t xml:space="preserve"> </w:t>
      </w:r>
      <w:proofErr w:type="spellStart"/>
      <w:r>
        <w:rPr>
          <w:rFonts w:eastAsia="Palatino Linotype"/>
          <w:sz w:val="22"/>
          <w:szCs w:val="22"/>
          <w:lang w:val="es-ES"/>
        </w:rPr>
        <w:t>liability</w:t>
      </w:r>
      <w:proofErr w:type="spellEnd"/>
      <w:r>
        <w:rPr>
          <w:rFonts w:eastAsia="Palatino Linotype"/>
          <w:sz w:val="22"/>
          <w:szCs w:val="22"/>
          <w:lang w:val="es-ES"/>
        </w:rPr>
        <w:t xml:space="preserve"> </w:t>
      </w:r>
      <w:proofErr w:type="spellStart"/>
      <w:r>
        <w:rPr>
          <w:rFonts w:eastAsia="Palatino Linotype"/>
          <w:sz w:val="22"/>
          <w:szCs w:val="22"/>
          <w:lang w:val="es-ES"/>
        </w:rPr>
        <w:t>for</w:t>
      </w:r>
      <w:proofErr w:type="spellEnd"/>
      <w:r>
        <w:rPr>
          <w:rFonts w:eastAsia="Palatino Linotype"/>
          <w:sz w:val="22"/>
          <w:szCs w:val="22"/>
          <w:lang w:val="es-ES"/>
        </w:rPr>
        <w:t xml:space="preserve"> </w:t>
      </w:r>
      <w:proofErr w:type="spellStart"/>
      <w:r>
        <w:rPr>
          <w:rFonts w:eastAsia="Palatino Linotype"/>
          <w:sz w:val="22"/>
          <w:szCs w:val="22"/>
          <w:lang w:val="es-ES"/>
        </w:rPr>
        <w:t>the</w:t>
      </w:r>
      <w:proofErr w:type="spellEnd"/>
      <w:r>
        <w:rPr>
          <w:rFonts w:eastAsia="Palatino Linotype"/>
          <w:sz w:val="22"/>
          <w:szCs w:val="22"/>
          <w:lang w:val="es-ES"/>
        </w:rPr>
        <w:t xml:space="preserve"> </w:t>
      </w:r>
      <w:proofErr w:type="spellStart"/>
      <w:r>
        <w:rPr>
          <w:rFonts w:eastAsia="Palatino Linotype"/>
          <w:sz w:val="22"/>
          <w:szCs w:val="22"/>
          <w:lang w:val="es-ES"/>
        </w:rPr>
        <w:t>damages</w:t>
      </w:r>
      <w:proofErr w:type="spellEnd"/>
      <w:r>
        <w:rPr>
          <w:rFonts w:eastAsia="Palatino Linotype"/>
          <w:sz w:val="22"/>
          <w:szCs w:val="22"/>
          <w:lang w:val="es-ES"/>
        </w:rPr>
        <w:t xml:space="preserve"> </w:t>
      </w:r>
      <w:proofErr w:type="spellStart"/>
      <w:r>
        <w:rPr>
          <w:rFonts w:eastAsia="Palatino Linotype"/>
          <w:sz w:val="22"/>
          <w:szCs w:val="22"/>
          <w:lang w:val="es-ES"/>
        </w:rPr>
        <w:t>caused</w:t>
      </w:r>
      <w:proofErr w:type="spellEnd"/>
      <w:r>
        <w:rPr>
          <w:rFonts w:eastAsia="Palatino Linotype"/>
          <w:sz w:val="22"/>
          <w:szCs w:val="22"/>
          <w:lang w:val="es-ES"/>
        </w:rPr>
        <w:t xml:space="preserve"> </w:t>
      </w:r>
      <w:proofErr w:type="spellStart"/>
      <w:r>
        <w:rPr>
          <w:rFonts w:eastAsia="Palatino Linotype"/>
          <w:sz w:val="22"/>
          <w:szCs w:val="22"/>
          <w:lang w:val="es-ES"/>
        </w:rPr>
        <w:t>to</w:t>
      </w:r>
      <w:proofErr w:type="spellEnd"/>
      <w:r>
        <w:rPr>
          <w:rFonts w:eastAsia="Palatino Linotype"/>
          <w:sz w:val="22"/>
          <w:szCs w:val="22"/>
          <w:lang w:val="es-ES"/>
        </w:rPr>
        <w:t xml:space="preserve"> </w:t>
      </w:r>
      <w:proofErr w:type="spellStart"/>
      <w:r>
        <w:rPr>
          <w:rFonts w:eastAsia="Palatino Linotype"/>
          <w:sz w:val="22"/>
          <w:szCs w:val="22"/>
          <w:lang w:val="es-ES"/>
        </w:rPr>
        <w:t>the</w:t>
      </w:r>
      <w:proofErr w:type="spellEnd"/>
      <w:r>
        <w:rPr>
          <w:rFonts w:eastAsia="Palatino Linotype"/>
          <w:sz w:val="22"/>
          <w:szCs w:val="22"/>
          <w:lang w:val="es-ES"/>
        </w:rPr>
        <w:t xml:space="preserve"> </w:t>
      </w:r>
      <w:proofErr w:type="spellStart"/>
      <w:r>
        <w:rPr>
          <w:rFonts w:eastAsia="Palatino Linotype"/>
          <w:sz w:val="22"/>
          <w:szCs w:val="22"/>
          <w:lang w:val="es-ES"/>
        </w:rPr>
        <w:t>Administration</w:t>
      </w:r>
      <w:proofErr w:type="spellEnd"/>
      <w:r>
        <w:rPr>
          <w:rFonts w:eastAsia="Palatino Linotype"/>
          <w:sz w:val="22"/>
          <w:szCs w:val="22"/>
          <w:lang w:val="es-ES"/>
        </w:rPr>
        <w:t xml:space="preserve"> and </w:t>
      </w:r>
      <w:proofErr w:type="spellStart"/>
      <w:r>
        <w:rPr>
          <w:rFonts w:eastAsia="Palatino Linotype"/>
          <w:sz w:val="22"/>
          <w:szCs w:val="22"/>
          <w:lang w:val="es-ES"/>
        </w:rPr>
        <w:t>the</w:t>
      </w:r>
      <w:proofErr w:type="spellEnd"/>
      <w:r>
        <w:rPr>
          <w:rFonts w:eastAsia="Palatino Linotype"/>
          <w:sz w:val="22"/>
          <w:szCs w:val="22"/>
          <w:lang w:val="es-ES"/>
        </w:rPr>
        <w:t xml:space="preserve"> </w:t>
      </w:r>
      <w:proofErr w:type="spellStart"/>
      <w:r>
        <w:rPr>
          <w:rFonts w:eastAsia="Palatino Linotype"/>
          <w:sz w:val="22"/>
          <w:szCs w:val="22"/>
          <w:lang w:val="es-ES"/>
        </w:rPr>
        <w:t>execution</w:t>
      </w:r>
      <w:proofErr w:type="spellEnd"/>
      <w:r>
        <w:rPr>
          <w:rFonts w:eastAsia="Palatino Linotype"/>
          <w:sz w:val="22"/>
          <w:szCs w:val="22"/>
          <w:lang w:val="es-ES"/>
        </w:rPr>
        <w:t xml:space="preserve"> </w:t>
      </w:r>
      <w:proofErr w:type="spellStart"/>
      <w:r>
        <w:rPr>
          <w:rFonts w:eastAsia="Palatino Linotype"/>
          <w:sz w:val="22"/>
          <w:szCs w:val="22"/>
          <w:lang w:val="es-ES"/>
        </w:rPr>
        <w:t>of</w:t>
      </w:r>
      <w:proofErr w:type="spellEnd"/>
      <w:r>
        <w:rPr>
          <w:rFonts w:eastAsia="Palatino Linotype"/>
          <w:sz w:val="22"/>
          <w:szCs w:val="22"/>
          <w:lang w:val="es-ES"/>
        </w:rPr>
        <w:t xml:space="preserve"> </w:t>
      </w:r>
      <w:proofErr w:type="spellStart"/>
      <w:r>
        <w:rPr>
          <w:rFonts w:eastAsia="Palatino Linotype"/>
          <w:sz w:val="22"/>
          <w:szCs w:val="22"/>
          <w:lang w:val="es-ES"/>
        </w:rPr>
        <w:t>the</w:t>
      </w:r>
      <w:proofErr w:type="spellEnd"/>
      <w:r>
        <w:rPr>
          <w:rFonts w:eastAsia="Palatino Linotype"/>
          <w:sz w:val="22"/>
          <w:szCs w:val="22"/>
          <w:lang w:val="es-ES"/>
        </w:rPr>
        <w:t xml:space="preserve"> </w:t>
      </w:r>
      <w:proofErr w:type="spellStart"/>
      <w:r>
        <w:rPr>
          <w:rFonts w:eastAsia="Palatino Linotype"/>
          <w:sz w:val="22"/>
          <w:szCs w:val="22"/>
          <w:lang w:val="es-ES"/>
        </w:rPr>
        <w:t>guarantee</w:t>
      </w:r>
      <w:proofErr w:type="spellEnd"/>
      <w:r>
        <w:rPr>
          <w:rFonts w:eastAsia="Palatino Linotype"/>
          <w:sz w:val="22"/>
          <w:szCs w:val="22"/>
          <w:lang w:val="es-ES"/>
        </w:rPr>
        <w:t xml:space="preserve"> </w:t>
      </w:r>
      <w:proofErr w:type="spellStart"/>
      <w:r>
        <w:rPr>
          <w:rFonts w:eastAsia="Palatino Linotype"/>
          <w:sz w:val="22"/>
          <w:szCs w:val="22"/>
          <w:lang w:val="es-ES"/>
        </w:rPr>
        <w:t>of</w:t>
      </w:r>
      <w:proofErr w:type="spellEnd"/>
      <w:r>
        <w:rPr>
          <w:rFonts w:eastAsia="Palatino Linotype"/>
          <w:sz w:val="22"/>
          <w:szCs w:val="22"/>
          <w:lang w:val="es-ES"/>
        </w:rPr>
        <w:t xml:space="preserve"> </w:t>
      </w:r>
      <w:proofErr w:type="spellStart"/>
      <w:r>
        <w:rPr>
          <w:rFonts w:eastAsia="Palatino Linotype"/>
          <w:sz w:val="22"/>
          <w:szCs w:val="22"/>
          <w:lang w:val="es-ES"/>
        </w:rPr>
        <w:t>faithful</w:t>
      </w:r>
      <w:proofErr w:type="spellEnd"/>
      <w:r>
        <w:rPr>
          <w:rFonts w:eastAsia="Palatino Linotype"/>
          <w:sz w:val="22"/>
          <w:szCs w:val="22"/>
          <w:lang w:val="es-ES"/>
        </w:rPr>
        <w:t xml:space="preserve"> performance </w:t>
      </w:r>
      <w:proofErr w:type="spellStart"/>
      <w:r>
        <w:rPr>
          <w:rFonts w:eastAsia="Palatino Linotype"/>
          <w:sz w:val="22"/>
          <w:szCs w:val="22"/>
          <w:lang w:val="es-ES"/>
        </w:rPr>
        <w:t>of</w:t>
      </w:r>
      <w:proofErr w:type="spellEnd"/>
      <w:r>
        <w:rPr>
          <w:rFonts w:eastAsia="Palatino Linotype"/>
          <w:sz w:val="22"/>
          <w:szCs w:val="22"/>
          <w:lang w:val="es-ES"/>
        </w:rPr>
        <w:t xml:space="preserve"> </w:t>
      </w:r>
      <w:proofErr w:type="spellStart"/>
      <w:r>
        <w:rPr>
          <w:rFonts w:eastAsia="Palatino Linotype"/>
          <w:sz w:val="22"/>
          <w:szCs w:val="22"/>
          <w:lang w:val="es-ES"/>
        </w:rPr>
        <w:t>the</w:t>
      </w:r>
      <w:proofErr w:type="spellEnd"/>
      <w:r>
        <w:rPr>
          <w:rFonts w:eastAsia="Palatino Linotype"/>
          <w:sz w:val="22"/>
          <w:szCs w:val="22"/>
          <w:lang w:val="es-ES"/>
        </w:rPr>
        <w:t xml:space="preserve"> </w:t>
      </w:r>
      <w:proofErr w:type="spellStart"/>
      <w:r>
        <w:rPr>
          <w:rFonts w:eastAsia="Palatino Linotype"/>
          <w:sz w:val="22"/>
          <w:szCs w:val="22"/>
          <w:lang w:val="es-ES"/>
        </w:rPr>
        <w:t>contract</w:t>
      </w:r>
      <w:proofErr w:type="spellEnd"/>
      <w:r>
        <w:rPr>
          <w:rFonts w:eastAsia="Palatino Linotype"/>
          <w:sz w:val="22"/>
          <w:szCs w:val="22"/>
          <w:lang w:val="es-ES"/>
        </w:rPr>
        <w:t xml:space="preserve"> </w:t>
      </w:r>
      <w:proofErr w:type="spellStart"/>
      <w:r>
        <w:rPr>
          <w:rFonts w:eastAsia="Palatino Linotype"/>
          <w:sz w:val="22"/>
          <w:szCs w:val="22"/>
          <w:lang w:val="es-ES"/>
        </w:rPr>
        <w:t>or</w:t>
      </w:r>
      <w:proofErr w:type="spellEnd"/>
      <w:r>
        <w:rPr>
          <w:rFonts w:eastAsia="Palatino Linotype"/>
          <w:sz w:val="22"/>
          <w:szCs w:val="22"/>
          <w:lang w:val="es-ES"/>
        </w:rPr>
        <w:t xml:space="preserve"> </w:t>
      </w:r>
      <w:proofErr w:type="spellStart"/>
      <w:r>
        <w:rPr>
          <w:rFonts w:eastAsia="Palatino Linotype"/>
          <w:sz w:val="22"/>
          <w:szCs w:val="22"/>
          <w:lang w:val="es-ES"/>
        </w:rPr>
        <w:t>the</w:t>
      </w:r>
      <w:proofErr w:type="spellEnd"/>
      <w:r>
        <w:rPr>
          <w:rFonts w:eastAsia="Palatino Linotype"/>
          <w:sz w:val="22"/>
          <w:szCs w:val="22"/>
          <w:lang w:val="es-ES"/>
        </w:rPr>
        <w:t xml:space="preserve"> </w:t>
      </w:r>
      <w:proofErr w:type="spellStart"/>
      <w:r>
        <w:rPr>
          <w:rFonts w:eastAsia="Palatino Linotype"/>
          <w:sz w:val="22"/>
          <w:szCs w:val="22"/>
          <w:lang w:val="es-ES"/>
        </w:rPr>
        <w:t>application</w:t>
      </w:r>
      <w:proofErr w:type="spellEnd"/>
      <w:r>
        <w:rPr>
          <w:rFonts w:eastAsia="Palatino Linotype"/>
          <w:sz w:val="22"/>
          <w:szCs w:val="22"/>
          <w:lang w:val="es-ES"/>
        </w:rPr>
        <w:t xml:space="preserve"> </w:t>
      </w:r>
      <w:proofErr w:type="spellStart"/>
      <w:r>
        <w:rPr>
          <w:rFonts w:eastAsia="Palatino Linotype"/>
          <w:sz w:val="22"/>
          <w:szCs w:val="22"/>
          <w:lang w:val="es-ES"/>
        </w:rPr>
        <w:t>of</w:t>
      </w:r>
      <w:proofErr w:type="spellEnd"/>
      <w:r>
        <w:rPr>
          <w:rFonts w:eastAsia="Palatino Linotype"/>
          <w:sz w:val="22"/>
          <w:szCs w:val="22"/>
          <w:lang w:val="es-ES"/>
        </w:rPr>
        <w:t xml:space="preserve"> </w:t>
      </w:r>
      <w:proofErr w:type="spellStart"/>
      <w:r>
        <w:rPr>
          <w:rFonts w:eastAsia="Palatino Linotype"/>
          <w:sz w:val="22"/>
          <w:szCs w:val="22"/>
          <w:lang w:val="es-ES"/>
        </w:rPr>
        <w:t>the</w:t>
      </w:r>
      <w:proofErr w:type="spellEnd"/>
      <w:r>
        <w:rPr>
          <w:rFonts w:eastAsia="Palatino Linotype"/>
          <w:sz w:val="22"/>
          <w:szCs w:val="22"/>
          <w:lang w:val="es-ES"/>
        </w:rPr>
        <w:t xml:space="preserve"> fine </w:t>
      </w:r>
      <w:proofErr w:type="spellStart"/>
      <w:r>
        <w:rPr>
          <w:rFonts w:eastAsia="Palatino Linotype"/>
          <w:sz w:val="22"/>
          <w:szCs w:val="22"/>
          <w:lang w:val="es-ES"/>
        </w:rPr>
        <w:t>provided</w:t>
      </w:r>
      <w:proofErr w:type="spellEnd"/>
      <w:r>
        <w:rPr>
          <w:rFonts w:eastAsia="Palatino Linotype"/>
          <w:sz w:val="22"/>
          <w:szCs w:val="22"/>
          <w:lang w:val="es-ES"/>
        </w:rPr>
        <w:t xml:space="preserve"> </w:t>
      </w:r>
      <w:proofErr w:type="spellStart"/>
      <w:r>
        <w:rPr>
          <w:rFonts w:eastAsia="Palatino Linotype"/>
          <w:sz w:val="22"/>
          <w:szCs w:val="22"/>
          <w:lang w:val="es-ES"/>
        </w:rPr>
        <w:t>for</w:t>
      </w:r>
      <w:proofErr w:type="spellEnd"/>
      <w:r>
        <w:rPr>
          <w:rFonts w:eastAsia="Palatino Linotype"/>
          <w:sz w:val="22"/>
          <w:szCs w:val="22"/>
          <w:lang w:val="es-ES"/>
        </w:rPr>
        <w:t xml:space="preserve"> in art. 64 </w:t>
      </w:r>
      <w:proofErr w:type="spellStart"/>
      <w:r>
        <w:rPr>
          <w:rFonts w:eastAsia="Palatino Linotype"/>
          <w:sz w:val="22"/>
          <w:szCs w:val="22"/>
          <w:lang w:val="es-ES"/>
        </w:rPr>
        <w:t>paragraph</w:t>
      </w:r>
      <w:proofErr w:type="spellEnd"/>
      <w:r>
        <w:rPr>
          <w:rFonts w:eastAsia="Palatino Linotype"/>
          <w:sz w:val="22"/>
          <w:szCs w:val="22"/>
          <w:lang w:val="es-ES"/>
        </w:rPr>
        <w:t xml:space="preserve"> 4 </w:t>
      </w:r>
      <w:proofErr w:type="spellStart"/>
      <w:r>
        <w:rPr>
          <w:rFonts w:eastAsia="Palatino Linotype"/>
          <w:sz w:val="22"/>
          <w:szCs w:val="22"/>
          <w:lang w:val="es-ES"/>
        </w:rPr>
        <w:t>of</w:t>
      </w:r>
      <w:proofErr w:type="spellEnd"/>
      <w:r>
        <w:rPr>
          <w:rFonts w:eastAsia="Palatino Linotype"/>
          <w:sz w:val="22"/>
          <w:szCs w:val="22"/>
          <w:lang w:val="es-ES"/>
        </w:rPr>
        <w:t xml:space="preserve"> </w:t>
      </w:r>
      <w:proofErr w:type="spellStart"/>
      <w:r>
        <w:rPr>
          <w:rFonts w:eastAsia="Palatino Linotype"/>
          <w:sz w:val="22"/>
          <w:szCs w:val="22"/>
          <w:lang w:val="es-ES"/>
        </w:rPr>
        <w:t>the</w:t>
      </w:r>
      <w:proofErr w:type="spellEnd"/>
      <w:r>
        <w:rPr>
          <w:rFonts w:eastAsia="Palatino Linotype"/>
          <w:sz w:val="22"/>
          <w:szCs w:val="22"/>
          <w:lang w:val="es-ES"/>
        </w:rPr>
        <w:t xml:space="preserve"> TOCAF, in </w:t>
      </w:r>
      <w:proofErr w:type="spellStart"/>
      <w:r>
        <w:rPr>
          <w:rFonts w:eastAsia="Palatino Linotype"/>
          <w:sz w:val="22"/>
          <w:szCs w:val="22"/>
          <w:lang w:val="es-ES"/>
        </w:rPr>
        <w:t>the</w:t>
      </w:r>
      <w:proofErr w:type="spellEnd"/>
      <w:r>
        <w:rPr>
          <w:rFonts w:eastAsia="Palatino Linotype"/>
          <w:sz w:val="22"/>
          <w:szCs w:val="22"/>
          <w:lang w:val="es-ES"/>
        </w:rPr>
        <w:t xml:space="preserve"> </w:t>
      </w:r>
      <w:proofErr w:type="spellStart"/>
      <w:r>
        <w:rPr>
          <w:rFonts w:eastAsia="Palatino Linotype"/>
          <w:sz w:val="22"/>
          <w:szCs w:val="22"/>
          <w:lang w:val="es-ES"/>
        </w:rPr>
        <w:t>event</w:t>
      </w:r>
      <w:proofErr w:type="spellEnd"/>
      <w:r>
        <w:rPr>
          <w:rFonts w:eastAsia="Palatino Linotype"/>
          <w:sz w:val="22"/>
          <w:szCs w:val="22"/>
          <w:lang w:val="es-ES"/>
        </w:rPr>
        <w:t xml:space="preserve"> </w:t>
      </w:r>
      <w:proofErr w:type="spellStart"/>
      <w:r>
        <w:rPr>
          <w:rFonts w:eastAsia="Palatino Linotype"/>
          <w:sz w:val="22"/>
          <w:szCs w:val="22"/>
          <w:lang w:val="es-ES"/>
        </w:rPr>
        <w:t>that</w:t>
      </w:r>
      <w:proofErr w:type="spellEnd"/>
      <w:r>
        <w:rPr>
          <w:rFonts w:eastAsia="Palatino Linotype"/>
          <w:sz w:val="22"/>
          <w:szCs w:val="22"/>
          <w:lang w:val="es-ES"/>
        </w:rPr>
        <w:t xml:space="preserve"> </w:t>
      </w:r>
      <w:proofErr w:type="spellStart"/>
      <w:r>
        <w:rPr>
          <w:rFonts w:eastAsia="Palatino Linotype"/>
          <w:sz w:val="22"/>
          <w:szCs w:val="22"/>
          <w:lang w:val="es-ES"/>
        </w:rPr>
        <w:t>the</w:t>
      </w:r>
      <w:proofErr w:type="spellEnd"/>
      <w:r>
        <w:rPr>
          <w:rFonts w:eastAsia="Palatino Linotype"/>
          <w:sz w:val="22"/>
          <w:szCs w:val="22"/>
          <w:lang w:val="es-ES"/>
        </w:rPr>
        <w:t xml:space="preserve"> </w:t>
      </w:r>
      <w:proofErr w:type="spellStart"/>
      <w:r>
        <w:rPr>
          <w:rFonts w:eastAsia="Palatino Linotype"/>
          <w:sz w:val="22"/>
          <w:szCs w:val="22"/>
          <w:lang w:val="es-ES"/>
        </w:rPr>
        <w:t>bidder</w:t>
      </w:r>
      <w:proofErr w:type="spellEnd"/>
      <w:r>
        <w:rPr>
          <w:rFonts w:eastAsia="Palatino Linotype"/>
          <w:sz w:val="22"/>
          <w:szCs w:val="22"/>
          <w:lang w:val="es-ES"/>
        </w:rPr>
        <w:t xml:space="preserve"> has </w:t>
      </w:r>
      <w:proofErr w:type="spellStart"/>
      <w:r>
        <w:rPr>
          <w:rFonts w:eastAsia="Palatino Linotype"/>
          <w:sz w:val="22"/>
          <w:szCs w:val="22"/>
          <w:lang w:val="es-ES"/>
        </w:rPr>
        <w:t>opted</w:t>
      </w:r>
      <w:proofErr w:type="spellEnd"/>
      <w:r>
        <w:rPr>
          <w:rFonts w:eastAsia="Palatino Linotype"/>
          <w:sz w:val="22"/>
          <w:szCs w:val="22"/>
          <w:lang w:val="es-ES"/>
        </w:rPr>
        <w:t xml:space="preserve"> </w:t>
      </w:r>
      <w:proofErr w:type="spellStart"/>
      <w:r>
        <w:rPr>
          <w:rFonts w:eastAsia="Palatino Linotype"/>
          <w:sz w:val="22"/>
          <w:szCs w:val="22"/>
          <w:lang w:val="es-ES"/>
        </w:rPr>
        <w:t>not</w:t>
      </w:r>
      <w:proofErr w:type="spellEnd"/>
      <w:r>
        <w:rPr>
          <w:rFonts w:eastAsia="Palatino Linotype"/>
          <w:sz w:val="22"/>
          <w:szCs w:val="22"/>
          <w:lang w:val="es-ES"/>
        </w:rPr>
        <w:t xml:space="preserve"> </w:t>
      </w:r>
      <w:proofErr w:type="spellStart"/>
      <w:r>
        <w:rPr>
          <w:rFonts w:eastAsia="Palatino Linotype"/>
          <w:sz w:val="22"/>
          <w:szCs w:val="22"/>
          <w:lang w:val="es-ES"/>
        </w:rPr>
        <w:t>to</w:t>
      </w:r>
      <w:proofErr w:type="spellEnd"/>
      <w:r>
        <w:rPr>
          <w:rFonts w:eastAsia="Palatino Linotype"/>
          <w:sz w:val="22"/>
          <w:szCs w:val="22"/>
          <w:lang w:val="es-ES"/>
        </w:rPr>
        <w:t xml:space="preserve"> </w:t>
      </w:r>
      <w:proofErr w:type="spellStart"/>
      <w:r>
        <w:rPr>
          <w:rFonts w:eastAsia="Palatino Linotype"/>
          <w:sz w:val="22"/>
          <w:szCs w:val="22"/>
          <w:lang w:val="es-ES"/>
        </w:rPr>
        <w:t>present</w:t>
      </w:r>
      <w:proofErr w:type="spellEnd"/>
      <w:r>
        <w:rPr>
          <w:rFonts w:eastAsia="Palatino Linotype"/>
          <w:sz w:val="22"/>
          <w:szCs w:val="22"/>
          <w:lang w:val="es-ES"/>
        </w:rPr>
        <w:t xml:space="preserve"> a </w:t>
      </w:r>
      <w:proofErr w:type="spellStart"/>
      <w:r>
        <w:rPr>
          <w:rFonts w:eastAsia="Palatino Linotype"/>
          <w:sz w:val="22"/>
          <w:szCs w:val="22"/>
          <w:lang w:val="es-ES"/>
        </w:rPr>
        <w:t>guarantee</w:t>
      </w:r>
      <w:proofErr w:type="spellEnd"/>
      <w:r>
        <w:rPr>
          <w:rFonts w:eastAsia="Palatino Linotype"/>
          <w:sz w:val="22"/>
          <w:szCs w:val="22"/>
          <w:lang w:val="es-ES"/>
        </w:rPr>
        <w:t xml:space="preserve">, </w:t>
      </w:r>
      <w:proofErr w:type="spellStart"/>
      <w:r>
        <w:rPr>
          <w:rFonts w:eastAsia="Palatino Linotype"/>
          <w:sz w:val="22"/>
          <w:szCs w:val="22"/>
          <w:lang w:val="es-ES"/>
        </w:rPr>
        <w:t>without</w:t>
      </w:r>
      <w:proofErr w:type="spellEnd"/>
      <w:r>
        <w:rPr>
          <w:rFonts w:eastAsia="Palatino Linotype"/>
          <w:sz w:val="22"/>
          <w:szCs w:val="22"/>
          <w:lang w:val="es-ES"/>
        </w:rPr>
        <w:t xml:space="preserve"> </w:t>
      </w:r>
      <w:proofErr w:type="spellStart"/>
      <w:r>
        <w:rPr>
          <w:rFonts w:eastAsia="Palatino Linotype"/>
          <w:sz w:val="22"/>
          <w:szCs w:val="22"/>
          <w:lang w:val="es-ES"/>
        </w:rPr>
        <w:t>prejudice</w:t>
      </w:r>
      <w:proofErr w:type="spellEnd"/>
      <w:r>
        <w:rPr>
          <w:rFonts w:eastAsia="Palatino Linotype"/>
          <w:sz w:val="22"/>
          <w:szCs w:val="22"/>
          <w:lang w:val="es-ES"/>
        </w:rPr>
        <w:t xml:space="preserve"> </w:t>
      </w:r>
      <w:proofErr w:type="spellStart"/>
      <w:r>
        <w:rPr>
          <w:rFonts w:eastAsia="Palatino Linotype"/>
          <w:sz w:val="22"/>
          <w:szCs w:val="22"/>
          <w:lang w:val="es-ES"/>
        </w:rPr>
        <w:t>to</w:t>
      </w:r>
      <w:proofErr w:type="spellEnd"/>
      <w:r>
        <w:rPr>
          <w:rFonts w:eastAsia="Palatino Linotype"/>
          <w:sz w:val="22"/>
          <w:szCs w:val="22"/>
          <w:lang w:val="es-ES"/>
        </w:rPr>
        <w:t xml:space="preserve"> </w:t>
      </w:r>
      <w:proofErr w:type="spellStart"/>
      <w:r>
        <w:rPr>
          <w:rFonts w:eastAsia="Palatino Linotype"/>
          <w:sz w:val="22"/>
          <w:szCs w:val="22"/>
          <w:lang w:val="es-ES"/>
        </w:rPr>
        <w:t>the</w:t>
      </w:r>
      <w:proofErr w:type="spellEnd"/>
      <w:r>
        <w:rPr>
          <w:rFonts w:eastAsia="Palatino Linotype"/>
          <w:sz w:val="22"/>
          <w:szCs w:val="22"/>
          <w:lang w:val="es-ES"/>
        </w:rPr>
        <w:t xml:space="preserve"> </w:t>
      </w:r>
      <w:proofErr w:type="spellStart"/>
      <w:r>
        <w:rPr>
          <w:rFonts w:eastAsia="Palatino Linotype"/>
          <w:sz w:val="22"/>
          <w:szCs w:val="22"/>
          <w:lang w:val="es-ES"/>
        </w:rPr>
        <w:t>payment</w:t>
      </w:r>
      <w:proofErr w:type="spellEnd"/>
      <w:r>
        <w:rPr>
          <w:rFonts w:eastAsia="Palatino Linotype"/>
          <w:sz w:val="22"/>
          <w:szCs w:val="22"/>
          <w:lang w:val="es-ES"/>
        </w:rPr>
        <w:t xml:space="preserve"> </w:t>
      </w:r>
      <w:proofErr w:type="spellStart"/>
      <w:r>
        <w:rPr>
          <w:rFonts w:eastAsia="Palatino Linotype"/>
          <w:sz w:val="22"/>
          <w:szCs w:val="22"/>
          <w:lang w:val="es-ES"/>
        </w:rPr>
        <w:t>of</w:t>
      </w:r>
      <w:proofErr w:type="spellEnd"/>
      <w:r>
        <w:rPr>
          <w:rFonts w:eastAsia="Palatino Linotype"/>
          <w:sz w:val="22"/>
          <w:szCs w:val="22"/>
          <w:lang w:val="es-ES"/>
        </w:rPr>
        <w:t xml:space="preserve"> </w:t>
      </w:r>
      <w:proofErr w:type="spellStart"/>
      <w:r>
        <w:rPr>
          <w:rFonts w:eastAsia="Palatino Linotype"/>
          <w:sz w:val="22"/>
          <w:szCs w:val="22"/>
          <w:lang w:val="es-ES"/>
        </w:rPr>
        <w:t>the</w:t>
      </w:r>
      <w:proofErr w:type="spellEnd"/>
      <w:r>
        <w:rPr>
          <w:rFonts w:eastAsia="Palatino Linotype"/>
          <w:sz w:val="22"/>
          <w:szCs w:val="22"/>
          <w:lang w:val="es-ES"/>
        </w:rPr>
        <w:t xml:space="preserve"> </w:t>
      </w:r>
      <w:proofErr w:type="spellStart"/>
      <w:r>
        <w:rPr>
          <w:rFonts w:eastAsia="Palatino Linotype"/>
          <w:sz w:val="22"/>
          <w:szCs w:val="22"/>
          <w:lang w:val="es-ES"/>
        </w:rPr>
        <w:t>other</w:t>
      </w:r>
      <w:proofErr w:type="spellEnd"/>
      <w:r>
        <w:rPr>
          <w:rFonts w:eastAsia="Palatino Linotype"/>
          <w:sz w:val="22"/>
          <w:szCs w:val="22"/>
          <w:lang w:val="es-ES"/>
        </w:rPr>
        <w:t xml:space="preserve"> fines </w:t>
      </w:r>
      <w:proofErr w:type="spellStart"/>
      <w:r>
        <w:rPr>
          <w:rFonts w:eastAsia="Palatino Linotype"/>
          <w:sz w:val="22"/>
          <w:szCs w:val="22"/>
          <w:lang w:val="es-ES"/>
        </w:rPr>
        <w:t>that</w:t>
      </w:r>
      <w:proofErr w:type="spellEnd"/>
      <w:r>
        <w:rPr>
          <w:rFonts w:eastAsia="Palatino Linotype"/>
          <w:sz w:val="22"/>
          <w:szCs w:val="22"/>
          <w:lang w:val="es-ES"/>
        </w:rPr>
        <w:t xml:space="preserve"> </w:t>
      </w:r>
      <w:proofErr w:type="spellStart"/>
      <w:r>
        <w:rPr>
          <w:rFonts w:eastAsia="Palatino Linotype"/>
          <w:sz w:val="22"/>
          <w:szCs w:val="22"/>
          <w:lang w:val="es-ES"/>
        </w:rPr>
        <w:t>correspond</w:t>
      </w:r>
      <w:proofErr w:type="spellEnd"/>
      <w:r>
        <w:rPr>
          <w:rFonts w:eastAsia="Palatino Linotype"/>
          <w:sz w:val="22"/>
          <w:szCs w:val="22"/>
          <w:lang w:val="es-ES"/>
        </w:rPr>
        <w:t xml:space="preserve">, </w:t>
      </w:r>
      <w:proofErr w:type="spellStart"/>
      <w:r>
        <w:rPr>
          <w:rFonts w:eastAsia="Palatino Linotype"/>
          <w:sz w:val="22"/>
          <w:szCs w:val="22"/>
          <w:lang w:val="es-ES"/>
        </w:rPr>
        <w:t>making</w:t>
      </w:r>
      <w:proofErr w:type="spellEnd"/>
      <w:r>
        <w:rPr>
          <w:rFonts w:eastAsia="Palatino Linotype"/>
          <w:sz w:val="22"/>
          <w:szCs w:val="22"/>
          <w:lang w:val="es-ES"/>
        </w:rPr>
        <w:t xml:space="preserve"> </w:t>
      </w:r>
      <w:proofErr w:type="spellStart"/>
      <w:r>
        <w:rPr>
          <w:rFonts w:eastAsia="Palatino Linotype"/>
          <w:sz w:val="22"/>
          <w:szCs w:val="22"/>
          <w:lang w:val="es-ES"/>
        </w:rPr>
        <w:t>the</w:t>
      </w:r>
      <w:proofErr w:type="spellEnd"/>
      <w:r>
        <w:rPr>
          <w:rFonts w:eastAsia="Palatino Linotype"/>
          <w:sz w:val="22"/>
          <w:szCs w:val="22"/>
          <w:lang w:val="es-ES"/>
        </w:rPr>
        <w:t xml:space="preserve"> </w:t>
      </w:r>
      <w:proofErr w:type="spellStart"/>
      <w:r>
        <w:rPr>
          <w:rFonts w:eastAsia="Palatino Linotype"/>
          <w:sz w:val="22"/>
          <w:szCs w:val="22"/>
          <w:lang w:val="es-ES"/>
        </w:rPr>
        <w:t>communication</w:t>
      </w:r>
      <w:proofErr w:type="spellEnd"/>
      <w:r>
        <w:rPr>
          <w:rFonts w:eastAsia="Palatino Linotype"/>
          <w:sz w:val="22"/>
          <w:szCs w:val="22"/>
          <w:lang w:val="es-ES"/>
        </w:rPr>
        <w:t xml:space="preserve"> </w:t>
      </w:r>
      <w:proofErr w:type="spellStart"/>
      <w:r>
        <w:rPr>
          <w:rFonts w:eastAsia="Palatino Linotype"/>
          <w:sz w:val="22"/>
          <w:szCs w:val="22"/>
          <w:lang w:val="es-ES"/>
        </w:rPr>
        <w:t>to</w:t>
      </w:r>
      <w:proofErr w:type="spellEnd"/>
      <w:r>
        <w:rPr>
          <w:rFonts w:eastAsia="Palatino Linotype"/>
          <w:sz w:val="22"/>
          <w:szCs w:val="22"/>
          <w:lang w:val="es-ES"/>
        </w:rPr>
        <w:t xml:space="preserve"> </w:t>
      </w:r>
      <w:proofErr w:type="spellStart"/>
      <w:r>
        <w:rPr>
          <w:rFonts w:eastAsia="Palatino Linotype"/>
          <w:sz w:val="22"/>
          <w:szCs w:val="22"/>
          <w:lang w:val="es-ES"/>
        </w:rPr>
        <w:t>the</w:t>
      </w:r>
      <w:proofErr w:type="spellEnd"/>
      <w:r>
        <w:rPr>
          <w:rFonts w:eastAsia="Palatino Linotype"/>
          <w:sz w:val="22"/>
          <w:szCs w:val="22"/>
          <w:lang w:val="es-ES"/>
        </w:rPr>
        <w:t xml:space="preserve"> RUPE.</w:t>
      </w:r>
    </w:p>
    <w:p w14:paraId="7B5BCB4A" w14:textId="77777777" w:rsidR="00E255F4" w:rsidRDefault="00E255F4">
      <w:pPr>
        <w:ind w:right="-142"/>
        <w:jc w:val="both"/>
        <w:rPr>
          <w:rFonts w:eastAsia="Palatino Linotype"/>
          <w:spacing w:val="-1"/>
          <w:sz w:val="22"/>
          <w:szCs w:val="22"/>
          <w:lang w:val="es-ES"/>
        </w:rPr>
      </w:pPr>
    </w:p>
    <w:p w14:paraId="0B92D052" w14:textId="77777777" w:rsidR="00E255F4" w:rsidRDefault="00000000">
      <w:pPr>
        <w:ind w:right="-142"/>
        <w:jc w:val="both"/>
        <w:rPr>
          <w:rFonts w:eastAsia="Palatino Linotype"/>
          <w:spacing w:val="-1"/>
          <w:sz w:val="22"/>
          <w:szCs w:val="22"/>
          <w:lang w:val="es-ES"/>
        </w:rPr>
      </w:pPr>
      <w:r>
        <w:rPr>
          <w:rFonts w:eastAsia="Palatino Linotype"/>
          <w:spacing w:val="-1"/>
          <w:sz w:val="22"/>
          <w:szCs w:val="22"/>
          <w:lang w:val="es-ES"/>
        </w:rPr>
        <w:t>AND</w:t>
      </w:r>
      <w:r>
        <w:rPr>
          <w:rFonts w:eastAsia="Palatino Linotype"/>
          <w:sz w:val="22"/>
          <w:szCs w:val="22"/>
          <w:lang w:val="es-ES"/>
        </w:rPr>
        <w:t xml:space="preserve">In </w:t>
      </w:r>
      <w:proofErr w:type="spellStart"/>
      <w:r>
        <w:rPr>
          <w:rFonts w:eastAsia="Palatino Linotype"/>
          <w:sz w:val="22"/>
          <w:szCs w:val="22"/>
          <w:lang w:val="es-ES"/>
        </w:rPr>
        <w:t>the</w:t>
      </w:r>
      <w:proofErr w:type="spellEnd"/>
      <w:r>
        <w:rPr>
          <w:rFonts w:eastAsia="Palatino Linotype"/>
          <w:sz w:val="22"/>
          <w:szCs w:val="22"/>
          <w:lang w:val="es-ES"/>
        </w:rPr>
        <w:t xml:space="preserve"> </w:t>
      </w:r>
      <w:proofErr w:type="spellStart"/>
      <w:r>
        <w:rPr>
          <w:rFonts w:eastAsia="Palatino Linotype"/>
          <w:sz w:val="22"/>
          <w:szCs w:val="22"/>
          <w:lang w:val="es-ES"/>
        </w:rPr>
        <w:t>event</w:t>
      </w:r>
      <w:proofErr w:type="spellEnd"/>
      <w:r>
        <w:rPr>
          <w:rFonts w:eastAsia="Palatino Linotype"/>
          <w:sz w:val="22"/>
          <w:szCs w:val="22"/>
          <w:lang w:val="es-ES"/>
        </w:rPr>
        <w:t xml:space="preserve"> </w:t>
      </w:r>
      <w:proofErr w:type="spellStart"/>
      <w:r>
        <w:rPr>
          <w:rFonts w:eastAsia="Palatino Linotype"/>
          <w:sz w:val="22"/>
          <w:szCs w:val="22"/>
          <w:lang w:val="es-ES"/>
        </w:rPr>
        <w:t>of</w:t>
      </w:r>
      <w:proofErr w:type="spellEnd"/>
      <w:r>
        <w:rPr>
          <w:rFonts w:eastAsia="Palatino Linotype"/>
          <w:sz w:val="22"/>
          <w:szCs w:val="22"/>
          <w:lang w:val="es-ES"/>
        </w:rPr>
        <w:t xml:space="preserve"> </w:t>
      </w:r>
      <w:proofErr w:type="spellStart"/>
      <w:r>
        <w:rPr>
          <w:rFonts w:eastAsia="Palatino Linotype"/>
          <w:sz w:val="22"/>
          <w:szCs w:val="22"/>
          <w:lang w:val="es-ES"/>
        </w:rPr>
        <w:t>contract</w:t>
      </w:r>
      <w:proofErr w:type="spellEnd"/>
      <w:r>
        <w:rPr>
          <w:rFonts w:eastAsia="Palatino Linotype"/>
          <w:sz w:val="22"/>
          <w:szCs w:val="22"/>
          <w:lang w:val="es-ES"/>
        </w:rPr>
        <w:t xml:space="preserve"> </w:t>
      </w:r>
      <w:proofErr w:type="spellStart"/>
      <w:r>
        <w:rPr>
          <w:rFonts w:eastAsia="Palatino Linotype"/>
          <w:sz w:val="22"/>
          <w:szCs w:val="22"/>
          <w:lang w:val="es-ES"/>
        </w:rPr>
        <w:t>termination</w:t>
      </w:r>
      <w:proofErr w:type="spellEnd"/>
      <w:r>
        <w:rPr>
          <w:rFonts w:eastAsia="Palatino Linotype"/>
          <w:sz w:val="22"/>
          <w:szCs w:val="22"/>
          <w:lang w:val="es-ES"/>
        </w:rPr>
        <w:t xml:space="preserve"> </w:t>
      </w:r>
      <w:proofErr w:type="spellStart"/>
      <w:r>
        <w:rPr>
          <w:rFonts w:eastAsia="Palatino Linotype"/>
          <w:sz w:val="22"/>
          <w:szCs w:val="22"/>
          <w:lang w:val="es-ES"/>
        </w:rPr>
        <w:t>before</w:t>
      </w:r>
      <w:proofErr w:type="spellEnd"/>
      <w:r>
        <w:rPr>
          <w:rFonts w:eastAsia="Palatino Linotype"/>
          <w:sz w:val="22"/>
          <w:szCs w:val="22"/>
          <w:lang w:val="es-ES"/>
        </w:rPr>
        <w:t xml:space="preserve"> </w:t>
      </w:r>
      <w:proofErr w:type="spellStart"/>
      <w:r>
        <w:rPr>
          <w:rFonts w:eastAsia="Palatino Linotype"/>
          <w:sz w:val="22"/>
          <w:szCs w:val="22"/>
          <w:lang w:val="es-ES"/>
        </w:rPr>
        <w:t>its</w:t>
      </w:r>
      <w:proofErr w:type="spellEnd"/>
      <w:r>
        <w:rPr>
          <w:rFonts w:eastAsia="Palatino Linotype"/>
          <w:sz w:val="22"/>
          <w:szCs w:val="22"/>
          <w:lang w:val="es-ES"/>
        </w:rPr>
        <w:t xml:space="preserve"> </w:t>
      </w:r>
      <w:proofErr w:type="spellStart"/>
      <w:r>
        <w:rPr>
          <w:rFonts w:eastAsia="Palatino Linotype"/>
          <w:sz w:val="22"/>
          <w:szCs w:val="22"/>
          <w:lang w:val="es-ES"/>
        </w:rPr>
        <w:t>physical</w:t>
      </w:r>
      <w:proofErr w:type="spellEnd"/>
      <w:r>
        <w:rPr>
          <w:rFonts w:eastAsia="Palatino Linotype"/>
          <w:sz w:val="22"/>
          <w:szCs w:val="22"/>
          <w:lang w:val="es-ES"/>
        </w:rPr>
        <w:t xml:space="preserve"> </w:t>
      </w:r>
      <w:proofErr w:type="spellStart"/>
      <w:r>
        <w:rPr>
          <w:rFonts w:eastAsia="Palatino Linotype"/>
          <w:sz w:val="22"/>
          <w:szCs w:val="22"/>
          <w:lang w:val="es-ES"/>
        </w:rPr>
        <w:t>execution</w:t>
      </w:r>
      <w:proofErr w:type="spellEnd"/>
      <w:r>
        <w:rPr>
          <w:rFonts w:eastAsia="Palatino Linotype"/>
          <w:sz w:val="22"/>
          <w:szCs w:val="22"/>
          <w:lang w:val="es-ES"/>
        </w:rPr>
        <w:t xml:space="preserve"> </w:t>
      </w:r>
      <w:proofErr w:type="spellStart"/>
      <w:r>
        <w:rPr>
          <w:rFonts w:eastAsia="Palatino Linotype"/>
          <w:sz w:val="22"/>
          <w:szCs w:val="22"/>
          <w:lang w:val="es-ES"/>
        </w:rPr>
        <w:t>begins</w:t>
      </w:r>
      <w:proofErr w:type="spellEnd"/>
      <w:r>
        <w:rPr>
          <w:rFonts w:eastAsia="Palatino Linotype"/>
          <w:sz w:val="22"/>
          <w:szCs w:val="22"/>
          <w:lang w:val="es-ES"/>
        </w:rPr>
        <w:t xml:space="preserve">, </w:t>
      </w:r>
      <w:proofErr w:type="spellStart"/>
      <w:r>
        <w:rPr>
          <w:rFonts w:eastAsia="Palatino Linotype"/>
          <w:sz w:val="22"/>
          <w:szCs w:val="22"/>
          <w:lang w:val="es-ES"/>
        </w:rPr>
        <w:t>the</w:t>
      </w:r>
      <w:proofErr w:type="spellEnd"/>
      <w:r>
        <w:rPr>
          <w:rFonts w:eastAsia="Palatino Linotype"/>
          <w:sz w:val="22"/>
          <w:szCs w:val="22"/>
          <w:lang w:val="es-ES"/>
        </w:rPr>
        <w:t xml:space="preserve"> </w:t>
      </w:r>
      <w:proofErr w:type="spellStart"/>
      <w:r>
        <w:rPr>
          <w:rFonts w:eastAsia="Palatino Linotype"/>
          <w:sz w:val="22"/>
          <w:szCs w:val="22"/>
          <w:lang w:val="es-ES"/>
        </w:rPr>
        <w:t>contracting</w:t>
      </w:r>
      <w:proofErr w:type="spellEnd"/>
      <w:r>
        <w:rPr>
          <w:rFonts w:eastAsia="Palatino Linotype"/>
          <w:sz w:val="22"/>
          <w:szCs w:val="22"/>
          <w:lang w:val="es-ES"/>
        </w:rPr>
        <w:t xml:space="preserve"> </w:t>
      </w:r>
      <w:proofErr w:type="spellStart"/>
      <w:r>
        <w:rPr>
          <w:rFonts w:eastAsia="Palatino Linotype"/>
          <w:sz w:val="22"/>
          <w:szCs w:val="22"/>
          <w:lang w:val="es-ES"/>
        </w:rPr>
        <w:t>authority</w:t>
      </w:r>
      <w:proofErr w:type="spellEnd"/>
      <w:r>
        <w:rPr>
          <w:rFonts w:eastAsia="Palatino Linotype"/>
          <w:sz w:val="22"/>
          <w:szCs w:val="22"/>
          <w:lang w:val="es-ES"/>
        </w:rPr>
        <w:t xml:space="preserve"> </w:t>
      </w:r>
      <w:proofErr w:type="spellStart"/>
      <w:r>
        <w:rPr>
          <w:rFonts w:eastAsia="Palatino Linotype"/>
          <w:sz w:val="22"/>
          <w:szCs w:val="22"/>
          <w:lang w:val="es-ES"/>
        </w:rPr>
        <w:t>may</w:t>
      </w:r>
      <w:proofErr w:type="spellEnd"/>
      <w:r>
        <w:rPr>
          <w:rFonts w:eastAsia="Palatino Linotype"/>
          <w:sz w:val="22"/>
          <w:szCs w:val="22"/>
          <w:lang w:val="es-ES"/>
        </w:rPr>
        <w:t xml:space="preserve"> </w:t>
      </w:r>
      <w:proofErr w:type="spellStart"/>
      <w:r>
        <w:rPr>
          <w:rFonts w:eastAsia="Palatino Linotype"/>
          <w:sz w:val="22"/>
          <w:szCs w:val="22"/>
          <w:lang w:val="es-ES"/>
        </w:rPr>
        <w:t>award</w:t>
      </w:r>
      <w:proofErr w:type="spellEnd"/>
      <w:r>
        <w:rPr>
          <w:rFonts w:eastAsia="Palatino Linotype"/>
          <w:sz w:val="22"/>
          <w:szCs w:val="22"/>
          <w:lang w:val="es-ES"/>
        </w:rPr>
        <w:t xml:space="preserve"> </w:t>
      </w:r>
      <w:proofErr w:type="spellStart"/>
      <w:r>
        <w:rPr>
          <w:rFonts w:eastAsia="Palatino Linotype"/>
          <w:sz w:val="22"/>
          <w:szCs w:val="22"/>
          <w:lang w:val="es-ES"/>
        </w:rPr>
        <w:t>the</w:t>
      </w:r>
      <w:proofErr w:type="spellEnd"/>
      <w:r>
        <w:rPr>
          <w:rFonts w:eastAsia="Palatino Linotype"/>
          <w:sz w:val="22"/>
          <w:szCs w:val="22"/>
          <w:lang w:val="es-ES"/>
        </w:rPr>
        <w:t xml:space="preserve"> </w:t>
      </w:r>
      <w:proofErr w:type="spellStart"/>
      <w:r>
        <w:rPr>
          <w:rFonts w:eastAsia="Palatino Linotype"/>
          <w:sz w:val="22"/>
          <w:szCs w:val="22"/>
          <w:lang w:val="es-ES"/>
        </w:rPr>
        <w:t>contract</w:t>
      </w:r>
      <w:proofErr w:type="spellEnd"/>
      <w:r>
        <w:rPr>
          <w:rFonts w:eastAsia="Palatino Linotype"/>
          <w:sz w:val="22"/>
          <w:szCs w:val="22"/>
          <w:lang w:val="es-ES"/>
        </w:rPr>
        <w:t xml:space="preserve"> </w:t>
      </w:r>
      <w:proofErr w:type="spellStart"/>
      <w:r>
        <w:rPr>
          <w:rFonts w:eastAsia="Palatino Linotype"/>
          <w:sz w:val="22"/>
          <w:szCs w:val="22"/>
          <w:lang w:val="es-ES"/>
        </w:rPr>
        <w:t>to</w:t>
      </w:r>
      <w:proofErr w:type="spellEnd"/>
      <w:r>
        <w:rPr>
          <w:rFonts w:eastAsia="Palatino Linotype"/>
          <w:sz w:val="22"/>
          <w:szCs w:val="22"/>
          <w:lang w:val="es-ES"/>
        </w:rPr>
        <w:t xml:space="preserve"> </w:t>
      </w:r>
      <w:proofErr w:type="spellStart"/>
      <w:r>
        <w:rPr>
          <w:rFonts w:eastAsia="Palatino Linotype"/>
          <w:sz w:val="22"/>
          <w:szCs w:val="22"/>
          <w:lang w:val="es-ES"/>
        </w:rPr>
        <w:t>the</w:t>
      </w:r>
      <w:proofErr w:type="spellEnd"/>
      <w:r>
        <w:rPr>
          <w:rFonts w:eastAsia="Palatino Linotype"/>
          <w:sz w:val="22"/>
          <w:szCs w:val="22"/>
          <w:lang w:val="es-ES"/>
        </w:rPr>
        <w:t xml:space="preserve"> </w:t>
      </w:r>
      <w:proofErr w:type="spellStart"/>
      <w:r>
        <w:rPr>
          <w:rFonts w:eastAsia="Palatino Linotype"/>
          <w:sz w:val="22"/>
          <w:szCs w:val="22"/>
          <w:lang w:val="es-ES"/>
        </w:rPr>
        <w:t>next</w:t>
      </w:r>
      <w:proofErr w:type="spellEnd"/>
      <w:r>
        <w:rPr>
          <w:rFonts w:eastAsia="Palatino Linotype"/>
          <w:sz w:val="22"/>
          <w:szCs w:val="22"/>
          <w:lang w:val="es-ES"/>
        </w:rPr>
        <w:t xml:space="preserve"> </w:t>
      </w:r>
      <w:proofErr w:type="spellStart"/>
      <w:r>
        <w:rPr>
          <w:rFonts w:eastAsia="Palatino Linotype"/>
          <w:sz w:val="22"/>
          <w:szCs w:val="22"/>
          <w:lang w:val="es-ES"/>
        </w:rPr>
        <w:t>highest</w:t>
      </w:r>
      <w:proofErr w:type="spellEnd"/>
      <w:r>
        <w:rPr>
          <w:rFonts w:eastAsia="Palatino Linotype"/>
          <w:sz w:val="22"/>
          <w:szCs w:val="22"/>
          <w:lang w:val="es-ES"/>
        </w:rPr>
        <w:t xml:space="preserve"> </w:t>
      </w:r>
      <w:proofErr w:type="spellStart"/>
      <w:r>
        <w:rPr>
          <w:rFonts w:eastAsia="Palatino Linotype"/>
          <w:sz w:val="22"/>
          <w:szCs w:val="22"/>
          <w:lang w:val="es-ES"/>
        </w:rPr>
        <w:t>bidder</w:t>
      </w:r>
      <w:proofErr w:type="spellEnd"/>
      <w:r>
        <w:rPr>
          <w:rFonts w:eastAsia="Palatino Linotype"/>
          <w:sz w:val="22"/>
          <w:szCs w:val="22"/>
          <w:lang w:val="es-ES"/>
        </w:rPr>
        <w:t xml:space="preserve"> in </w:t>
      </w:r>
      <w:proofErr w:type="spellStart"/>
      <w:r>
        <w:rPr>
          <w:rFonts w:eastAsia="Palatino Linotype"/>
          <w:sz w:val="22"/>
          <w:szCs w:val="22"/>
          <w:lang w:val="es-ES"/>
        </w:rPr>
        <w:t>that</w:t>
      </w:r>
      <w:proofErr w:type="spellEnd"/>
      <w:r>
        <w:rPr>
          <w:rFonts w:eastAsia="Palatino Linotype"/>
          <w:sz w:val="22"/>
          <w:szCs w:val="22"/>
          <w:lang w:val="es-ES"/>
        </w:rPr>
        <w:t xml:space="preserve"> </w:t>
      </w:r>
      <w:proofErr w:type="spellStart"/>
      <w:r>
        <w:rPr>
          <w:rFonts w:eastAsia="Palatino Linotype"/>
          <w:sz w:val="22"/>
          <w:szCs w:val="22"/>
          <w:lang w:val="es-ES"/>
        </w:rPr>
        <w:t>procurement</w:t>
      </w:r>
      <w:proofErr w:type="spellEnd"/>
      <w:r>
        <w:rPr>
          <w:rFonts w:eastAsia="Palatino Linotype"/>
          <w:sz w:val="22"/>
          <w:szCs w:val="22"/>
          <w:lang w:val="es-ES"/>
        </w:rPr>
        <w:t xml:space="preserve"> </w:t>
      </w:r>
      <w:proofErr w:type="spellStart"/>
      <w:r>
        <w:rPr>
          <w:rFonts w:eastAsia="Palatino Linotype"/>
          <w:sz w:val="22"/>
          <w:szCs w:val="22"/>
          <w:lang w:val="es-ES"/>
        </w:rPr>
        <w:t>process</w:t>
      </w:r>
      <w:proofErr w:type="spellEnd"/>
      <w:r>
        <w:rPr>
          <w:rFonts w:eastAsia="Palatino Linotype"/>
          <w:sz w:val="22"/>
          <w:szCs w:val="22"/>
          <w:lang w:val="es-ES"/>
        </w:rPr>
        <w:t xml:space="preserve">, </w:t>
      </w:r>
      <w:proofErr w:type="spellStart"/>
      <w:r>
        <w:rPr>
          <w:rFonts w:eastAsia="Palatino Linotype"/>
          <w:sz w:val="22"/>
          <w:szCs w:val="22"/>
          <w:lang w:val="es-ES"/>
        </w:rPr>
        <w:t>subject</w:t>
      </w:r>
      <w:proofErr w:type="spellEnd"/>
      <w:r>
        <w:rPr>
          <w:rFonts w:eastAsia="Palatino Linotype"/>
          <w:sz w:val="22"/>
          <w:szCs w:val="22"/>
          <w:lang w:val="es-ES"/>
        </w:rPr>
        <w:t xml:space="preserve"> </w:t>
      </w:r>
      <w:proofErr w:type="spellStart"/>
      <w:r>
        <w:rPr>
          <w:rFonts w:eastAsia="Palatino Linotype"/>
          <w:sz w:val="22"/>
          <w:szCs w:val="22"/>
          <w:lang w:val="es-ES"/>
        </w:rPr>
        <w:t>to</w:t>
      </w:r>
      <w:proofErr w:type="spellEnd"/>
      <w:r>
        <w:rPr>
          <w:rFonts w:eastAsia="Palatino Linotype"/>
          <w:sz w:val="22"/>
          <w:szCs w:val="22"/>
          <w:lang w:val="es-ES"/>
        </w:rPr>
        <w:t xml:space="preserve"> </w:t>
      </w:r>
      <w:proofErr w:type="spellStart"/>
      <w:r>
        <w:rPr>
          <w:rFonts w:eastAsia="Palatino Linotype"/>
          <w:sz w:val="22"/>
          <w:szCs w:val="22"/>
          <w:lang w:val="es-ES"/>
        </w:rPr>
        <w:t>their</w:t>
      </w:r>
      <w:proofErr w:type="spellEnd"/>
      <w:r>
        <w:rPr>
          <w:rFonts w:eastAsia="Palatino Linotype"/>
          <w:sz w:val="22"/>
          <w:szCs w:val="22"/>
          <w:lang w:val="es-ES"/>
        </w:rPr>
        <w:t xml:space="preserve"> </w:t>
      </w:r>
      <w:proofErr w:type="spellStart"/>
      <w:r>
        <w:rPr>
          <w:rFonts w:eastAsia="Palatino Linotype"/>
          <w:sz w:val="22"/>
          <w:szCs w:val="22"/>
          <w:lang w:val="es-ES"/>
        </w:rPr>
        <w:t>acceptance</w:t>
      </w:r>
      <w:proofErr w:type="spellEnd"/>
      <w:r>
        <w:rPr>
          <w:rFonts w:eastAsia="Palatino Linotype"/>
          <w:sz w:val="22"/>
          <w:szCs w:val="22"/>
          <w:lang w:val="es-ES"/>
        </w:rPr>
        <w:t xml:space="preserve">. </w:t>
      </w:r>
      <w:proofErr w:type="spellStart"/>
      <w:r>
        <w:rPr>
          <w:rFonts w:eastAsia="Palatino Linotype"/>
          <w:sz w:val="22"/>
          <w:szCs w:val="22"/>
          <w:lang w:val="es-ES"/>
        </w:rPr>
        <w:t>If</w:t>
      </w:r>
      <w:proofErr w:type="spellEnd"/>
      <w:r>
        <w:rPr>
          <w:rFonts w:eastAsia="Palatino Linotype"/>
          <w:sz w:val="22"/>
          <w:szCs w:val="22"/>
          <w:lang w:val="es-ES"/>
        </w:rPr>
        <w:t xml:space="preserve"> </w:t>
      </w:r>
      <w:proofErr w:type="spellStart"/>
      <w:r>
        <w:rPr>
          <w:rFonts w:eastAsia="Palatino Linotype"/>
          <w:sz w:val="22"/>
          <w:szCs w:val="22"/>
          <w:lang w:val="es-ES"/>
        </w:rPr>
        <w:t>the</w:t>
      </w:r>
      <w:proofErr w:type="spellEnd"/>
      <w:r>
        <w:rPr>
          <w:rFonts w:eastAsia="Palatino Linotype"/>
          <w:sz w:val="22"/>
          <w:szCs w:val="22"/>
          <w:lang w:val="es-ES"/>
        </w:rPr>
        <w:t xml:space="preserve"> </w:t>
      </w:r>
      <w:proofErr w:type="spellStart"/>
      <w:r>
        <w:rPr>
          <w:rFonts w:eastAsia="Palatino Linotype"/>
          <w:sz w:val="22"/>
          <w:szCs w:val="22"/>
          <w:lang w:val="es-ES"/>
        </w:rPr>
        <w:t>bidder</w:t>
      </w:r>
      <w:proofErr w:type="spellEnd"/>
      <w:r>
        <w:rPr>
          <w:rFonts w:eastAsia="Palatino Linotype"/>
          <w:sz w:val="22"/>
          <w:szCs w:val="22"/>
          <w:lang w:val="es-ES"/>
        </w:rPr>
        <w:t xml:space="preserve"> </w:t>
      </w:r>
      <w:proofErr w:type="spellStart"/>
      <w:r>
        <w:rPr>
          <w:rFonts w:eastAsia="Palatino Linotype"/>
          <w:sz w:val="22"/>
          <w:szCs w:val="22"/>
          <w:lang w:val="es-ES"/>
        </w:rPr>
        <w:t>does</w:t>
      </w:r>
      <w:proofErr w:type="spellEnd"/>
      <w:r>
        <w:rPr>
          <w:rFonts w:eastAsia="Palatino Linotype"/>
          <w:sz w:val="22"/>
          <w:szCs w:val="22"/>
          <w:lang w:val="es-ES"/>
        </w:rPr>
        <w:t xml:space="preserve"> </w:t>
      </w:r>
      <w:proofErr w:type="spellStart"/>
      <w:r>
        <w:rPr>
          <w:rFonts w:eastAsia="Palatino Linotype"/>
          <w:sz w:val="22"/>
          <w:szCs w:val="22"/>
          <w:lang w:val="es-ES"/>
        </w:rPr>
        <w:t>not</w:t>
      </w:r>
      <w:proofErr w:type="spellEnd"/>
      <w:r>
        <w:rPr>
          <w:rFonts w:eastAsia="Palatino Linotype"/>
          <w:sz w:val="22"/>
          <w:szCs w:val="22"/>
          <w:lang w:val="es-ES"/>
        </w:rPr>
        <w:t xml:space="preserve"> </w:t>
      </w:r>
      <w:proofErr w:type="spellStart"/>
      <w:r>
        <w:rPr>
          <w:rFonts w:eastAsia="Palatino Linotype"/>
          <w:sz w:val="22"/>
          <w:szCs w:val="22"/>
          <w:lang w:val="es-ES"/>
        </w:rPr>
        <w:t>accept</w:t>
      </w:r>
      <w:proofErr w:type="spellEnd"/>
      <w:r>
        <w:rPr>
          <w:rFonts w:eastAsia="Palatino Linotype"/>
          <w:sz w:val="22"/>
          <w:szCs w:val="22"/>
          <w:lang w:val="es-ES"/>
        </w:rPr>
        <w:t xml:space="preserve">, </w:t>
      </w:r>
      <w:proofErr w:type="spellStart"/>
      <w:r>
        <w:rPr>
          <w:rFonts w:eastAsia="Palatino Linotype"/>
          <w:sz w:val="22"/>
          <w:szCs w:val="22"/>
          <w:lang w:val="es-ES"/>
        </w:rPr>
        <w:t>the</w:t>
      </w:r>
      <w:proofErr w:type="spellEnd"/>
      <w:r>
        <w:rPr>
          <w:rFonts w:eastAsia="Palatino Linotype"/>
          <w:sz w:val="22"/>
          <w:szCs w:val="22"/>
          <w:lang w:val="es-ES"/>
        </w:rPr>
        <w:t xml:space="preserve"> </w:t>
      </w:r>
      <w:proofErr w:type="spellStart"/>
      <w:r>
        <w:rPr>
          <w:rFonts w:eastAsia="Palatino Linotype"/>
          <w:sz w:val="22"/>
          <w:szCs w:val="22"/>
          <w:lang w:val="es-ES"/>
        </w:rPr>
        <w:t>order</w:t>
      </w:r>
      <w:proofErr w:type="spellEnd"/>
      <w:r>
        <w:rPr>
          <w:rFonts w:eastAsia="Palatino Linotype"/>
          <w:sz w:val="22"/>
          <w:szCs w:val="22"/>
          <w:lang w:val="es-ES"/>
        </w:rPr>
        <w:t xml:space="preserve"> </w:t>
      </w:r>
      <w:proofErr w:type="spellStart"/>
      <w:r>
        <w:rPr>
          <w:rFonts w:eastAsia="Palatino Linotype"/>
          <w:sz w:val="22"/>
          <w:szCs w:val="22"/>
          <w:lang w:val="es-ES"/>
        </w:rPr>
        <w:t>of</w:t>
      </w:r>
      <w:proofErr w:type="spellEnd"/>
      <w:r>
        <w:rPr>
          <w:rFonts w:eastAsia="Palatino Linotype"/>
          <w:sz w:val="22"/>
          <w:szCs w:val="22"/>
          <w:lang w:val="es-ES"/>
        </w:rPr>
        <w:t xml:space="preserve"> </w:t>
      </w:r>
      <w:proofErr w:type="spellStart"/>
      <w:r>
        <w:rPr>
          <w:rFonts w:eastAsia="Palatino Linotype"/>
          <w:sz w:val="22"/>
          <w:szCs w:val="22"/>
          <w:lang w:val="es-ES"/>
        </w:rPr>
        <w:t>priority</w:t>
      </w:r>
      <w:proofErr w:type="spellEnd"/>
      <w:r>
        <w:rPr>
          <w:rFonts w:eastAsia="Palatino Linotype"/>
          <w:sz w:val="22"/>
          <w:szCs w:val="22"/>
          <w:lang w:val="es-ES"/>
        </w:rPr>
        <w:t xml:space="preserve"> </w:t>
      </w:r>
      <w:proofErr w:type="spellStart"/>
      <w:r>
        <w:rPr>
          <w:rFonts w:eastAsia="Palatino Linotype"/>
          <w:sz w:val="22"/>
          <w:szCs w:val="22"/>
          <w:lang w:val="es-ES"/>
        </w:rPr>
        <w:t>resulting</w:t>
      </w:r>
      <w:proofErr w:type="spellEnd"/>
      <w:r>
        <w:rPr>
          <w:rFonts w:eastAsia="Palatino Linotype"/>
          <w:sz w:val="22"/>
          <w:szCs w:val="22"/>
          <w:lang w:val="es-ES"/>
        </w:rPr>
        <w:t xml:space="preserve"> </w:t>
      </w:r>
      <w:proofErr w:type="spellStart"/>
      <w:r>
        <w:rPr>
          <w:rFonts w:eastAsia="Palatino Linotype"/>
          <w:sz w:val="22"/>
          <w:szCs w:val="22"/>
          <w:lang w:val="es-ES"/>
        </w:rPr>
        <w:t>from</w:t>
      </w:r>
      <w:proofErr w:type="spellEnd"/>
      <w:r>
        <w:rPr>
          <w:rFonts w:eastAsia="Palatino Linotype"/>
          <w:sz w:val="22"/>
          <w:szCs w:val="22"/>
          <w:lang w:val="es-ES"/>
        </w:rPr>
        <w:t xml:space="preserve"> </w:t>
      </w:r>
      <w:proofErr w:type="spellStart"/>
      <w:r>
        <w:rPr>
          <w:rFonts w:eastAsia="Palatino Linotype"/>
          <w:sz w:val="22"/>
          <w:szCs w:val="22"/>
          <w:lang w:val="es-ES"/>
        </w:rPr>
        <w:t>the</w:t>
      </w:r>
      <w:proofErr w:type="spellEnd"/>
      <w:r>
        <w:rPr>
          <w:rFonts w:eastAsia="Palatino Linotype"/>
          <w:sz w:val="22"/>
          <w:szCs w:val="22"/>
          <w:lang w:val="es-ES"/>
        </w:rPr>
        <w:t xml:space="preserve"> </w:t>
      </w:r>
      <w:proofErr w:type="spellStart"/>
      <w:r>
        <w:rPr>
          <w:rFonts w:eastAsia="Palatino Linotype"/>
          <w:sz w:val="22"/>
          <w:szCs w:val="22"/>
          <w:lang w:val="es-ES"/>
        </w:rPr>
        <w:t>evaluation</w:t>
      </w:r>
      <w:proofErr w:type="spellEnd"/>
      <w:r>
        <w:rPr>
          <w:rFonts w:eastAsia="Palatino Linotype"/>
          <w:sz w:val="22"/>
          <w:szCs w:val="22"/>
          <w:lang w:val="es-ES"/>
        </w:rPr>
        <w:t xml:space="preserve"> </w:t>
      </w:r>
      <w:proofErr w:type="spellStart"/>
      <w:r>
        <w:rPr>
          <w:rFonts w:eastAsia="Palatino Linotype"/>
          <w:sz w:val="22"/>
          <w:szCs w:val="22"/>
          <w:lang w:val="es-ES"/>
        </w:rPr>
        <w:t>of</w:t>
      </w:r>
      <w:proofErr w:type="spellEnd"/>
      <w:r>
        <w:rPr>
          <w:rFonts w:eastAsia="Palatino Linotype"/>
          <w:sz w:val="22"/>
          <w:szCs w:val="22"/>
          <w:lang w:val="es-ES"/>
        </w:rPr>
        <w:t xml:space="preserve"> </w:t>
      </w:r>
      <w:proofErr w:type="spellStart"/>
      <w:r>
        <w:rPr>
          <w:rFonts w:eastAsia="Palatino Linotype"/>
          <w:sz w:val="22"/>
          <w:szCs w:val="22"/>
          <w:lang w:val="es-ES"/>
        </w:rPr>
        <w:t>the</w:t>
      </w:r>
      <w:proofErr w:type="spellEnd"/>
      <w:r>
        <w:rPr>
          <w:rFonts w:eastAsia="Palatino Linotype"/>
          <w:sz w:val="22"/>
          <w:szCs w:val="22"/>
          <w:lang w:val="es-ES"/>
        </w:rPr>
        <w:t xml:space="preserve"> </w:t>
      </w:r>
      <w:proofErr w:type="spellStart"/>
      <w:r>
        <w:rPr>
          <w:rFonts w:eastAsia="Palatino Linotype"/>
          <w:sz w:val="22"/>
          <w:szCs w:val="22"/>
          <w:lang w:val="es-ES"/>
        </w:rPr>
        <w:t>offers</w:t>
      </w:r>
      <w:proofErr w:type="spellEnd"/>
      <w:r>
        <w:rPr>
          <w:rFonts w:eastAsia="Palatino Linotype"/>
          <w:sz w:val="22"/>
          <w:szCs w:val="22"/>
          <w:lang w:val="es-ES"/>
        </w:rPr>
        <w:t xml:space="preserve"> </w:t>
      </w:r>
      <w:proofErr w:type="spellStart"/>
      <w:r>
        <w:rPr>
          <w:rFonts w:eastAsia="Palatino Linotype"/>
          <w:sz w:val="22"/>
          <w:szCs w:val="22"/>
          <w:lang w:val="es-ES"/>
        </w:rPr>
        <w:t>may</w:t>
      </w:r>
      <w:proofErr w:type="spellEnd"/>
      <w:r>
        <w:rPr>
          <w:rFonts w:eastAsia="Palatino Linotype"/>
          <w:sz w:val="22"/>
          <w:szCs w:val="22"/>
          <w:lang w:val="es-ES"/>
        </w:rPr>
        <w:t xml:space="preserve"> be </w:t>
      </w:r>
      <w:proofErr w:type="spellStart"/>
      <w:r>
        <w:rPr>
          <w:rFonts w:eastAsia="Palatino Linotype"/>
          <w:sz w:val="22"/>
          <w:szCs w:val="22"/>
          <w:lang w:val="es-ES"/>
        </w:rPr>
        <w:t>followed</w:t>
      </w:r>
      <w:proofErr w:type="spellEnd"/>
      <w:r>
        <w:rPr>
          <w:rFonts w:eastAsia="Palatino Linotype"/>
          <w:sz w:val="22"/>
          <w:szCs w:val="22"/>
          <w:lang w:val="es-ES"/>
        </w:rPr>
        <w:t>.</w:t>
      </w:r>
    </w:p>
    <w:p w14:paraId="1A4E85C6" w14:textId="77777777" w:rsidR="00E255F4" w:rsidRDefault="00E255F4">
      <w:pPr>
        <w:rPr>
          <w:rFonts w:eastAsia="Palatino Linotype"/>
          <w:spacing w:val="-1"/>
          <w:sz w:val="22"/>
          <w:szCs w:val="22"/>
          <w:lang w:val="es-ES"/>
        </w:rPr>
      </w:pPr>
    </w:p>
    <w:p w14:paraId="516EC84F" w14:textId="77777777" w:rsidR="00E255F4" w:rsidRDefault="00000000">
      <w:pPr>
        <w:ind w:right="-142"/>
        <w:jc w:val="both"/>
        <w:outlineLvl w:val="0"/>
        <w:rPr>
          <w:rFonts w:eastAsia="Palatino Linotype"/>
          <w:sz w:val="22"/>
          <w:szCs w:val="22"/>
          <w:lang w:val="es-ES"/>
        </w:rPr>
      </w:pPr>
      <w:bookmarkStart w:id="64" w:name="__RefHeading___Toc225377241"/>
      <w:bookmarkEnd w:id="64"/>
      <w:r>
        <w:rPr>
          <w:rFonts w:eastAsia="Palatino Linotype"/>
          <w:b/>
          <w:spacing w:val="-1"/>
          <w:sz w:val="22"/>
          <w:szCs w:val="22"/>
          <w:lang w:val="es-ES"/>
        </w:rPr>
        <w:t>2</w:t>
      </w:r>
      <w:r>
        <w:rPr>
          <w:rFonts w:eastAsia="Palatino Linotype"/>
          <w:b/>
          <w:sz w:val="22"/>
          <w:szCs w:val="22"/>
          <w:lang w:val="es-ES"/>
        </w:rPr>
        <w:t>7</w:t>
      </w:r>
      <w:r>
        <w:rPr>
          <w:rFonts w:eastAsia="Palatino Linotype"/>
          <w:b/>
          <w:spacing w:val="-2"/>
          <w:sz w:val="22"/>
          <w:szCs w:val="22"/>
          <w:lang w:val="es-ES"/>
        </w:rPr>
        <w:t xml:space="preserve"> </w:t>
      </w:r>
      <w:r>
        <w:rPr>
          <w:rFonts w:eastAsia="Palatino Linotype"/>
          <w:b/>
          <w:spacing w:val="-2"/>
          <w:sz w:val="22"/>
          <w:szCs w:val="22"/>
          <w:lang w:val="es-ES"/>
        </w:rPr>
        <w:tab/>
      </w:r>
      <w:proofErr w:type="spellStart"/>
      <w:r>
        <w:rPr>
          <w:rFonts w:eastAsia="Palatino Linotype"/>
          <w:b/>
          <w:spacing w:val="-1"/>
          <w:sz w:val="22"/>
          <w:szCs w:val="22"/>
          <w:lang w:val="es-ES"/>
        </w:rPr>
        <w:t>Return</w:t>
      </w:r>
      <w:r>
        <w:rPr>
          <w:rFonts w:eastAsia="Palatino Linotype"/>
          <w:b/>
          <w:sz w:val="22"/>
          <w:szCs w:val="22"/>
          <w:lang w:val="es-ES"/>
        </w:rPr>
        <w:t>n</w:t>
      </w:r>
      <w:proofErr w:type="spellEnd"/>
      <w:r>
        <w:rPr>
          <w:rFonts w:eastAsia="Palatino Linotype"/>
          <w:b/>
          <w:sz w:val="22"/>
          <w:szCs w:val="22"/>
          <w:lang w:val="es-ES"/>
        </w:rPr>
        <w:t xml:space="preserve"> </w:t>
      </w:r>
      <w:proofErr w:type="spellStart"/>
      <w:r>
        <w:rPr>
          <w:rFonts w:eastAsia="Palatino Linotype"/>
          <w:b/>
          <w:sz w:val="22"/>
          <w:szCs w:val="22"/>
          <w:lang w:val="es-ES"/>
        </w:rPr>
        <w:t>of</w:t>
      </w:r>
      <w:proofErr w:type="spellEnd"/>
      <w:r>
        <w:rPr>
          <w:rFonts w:eastAsia="Palatino Linotype"/>
          <w:b/>
          <w:sz w:val="22"/>
          <w:szCs w:val="22"/>
          <w:lang w:val="es-ES"/>
        </w:rPr>
        <w:t xml:space="preserve"> </w:t>
      </w:r>
      <w:proofErr w:type="spellStart"/>
      <w:r>
        <w:rPr>
          <w:rFonts w:eastAsia="Palatino Linotype"/>
          <w:b/>
          <w:sz w:val="22"/>
          <w:szCs w:val="22"/>
          <w:lang w:val="es-ES"/>
        </w:rPr>
        <w:t>the</w:t>
      </w:r>
      <w:proofErr w:type="spellEnd"/>
      <w:r>
        <w:rPr>
          <w:rFonts w:eastAsia="Palatino Linotype"/>
          <w:b/>
          <w:sz w:val="22"/>
          <w:szCs w:val="22"/>
          <w:lang w:val="es-ES"/>
        </w:rPr>
        <w:t xml:space="preserve"> </w:t>
      </w:r>
      <w:proofErr w:type="spellStart"/>
      <w:r>
        <w:rPr>
          <w:rFonts w:eastAsia="Palatino Linotype"/>
          <w:b/>
          <w:sz w:val="22"/>
          <w:szCs w:val="22"/>
          <w:lang w:val="es-ES"/>
        </w:rPr>
        <w:t>guarantee</w:t>
      </w:r>
      <w:proofErr w:type="spellEnd"/>
      <w:r>
        <w:rPr>
          <w:rFonts w:eastAsia="Palatino Linotype"/>
          <w:b/>
          <w:sz w:val="22"/>
          <w:szCs w:val="22"/>
          <w:lang w:val="es-ES"/>
        </w:rPr>
        <w:t xml:space="preserve"> </w:t>
      </w:r>
      <w:proofErr w:type="spellStart"/>
      <w:r>
        <w:rPr>
          <w:rFonts w:eastAsia="Palatino Linotype"/>
          <w:b/>
          <w:sz w:val="22"/>
          <w:szCs w:val="22"/>
          <w:lang w:val="es-ES"/>
        </w:rPr>
        <w:t>of</w:t>
      </w:r>
      <w:proofErr w:type="spellEnd"/>
      <w:r>
        <w:rPr>
          <w:rFonts w:eastAsia="Palatino Linotype"/>
          <w:b/>
          <w:sz w:val="22"/>
          <w:szCs w:val="22"/>
          <w:lang w:val="es-ES"/>
        </w:rPr>
        <w:t xml:space="preserve"> </w:t>
      </w:r>
      <w:proofErr w:type="spellStart"/>
      <w:r>
        <w:rPr>
          <w:rFonts w:eastAsia="Palatino Linotype"/>
          <w:b/>
          <w:sz w:val="22"/>
          <w:szCs w:val="22"/>
          <w:lang w:val="es-ES"/>
        </w:rPr>
        <w:t>faithful</w:t>
      </w:r>
      <w:proofErr w:type="spellEnd"/>
      <w:r>
        <w:rPr>
          <w:rFonts w:eastAsia="Palatino Linotype"/>
          <w:b/>
          <w:sz w:val="22"/>
          <w:szCs w:val="22"/>
          <w:lang w:val="es-ES"/>
        </w:rPr>
        <w:t xml:space="preserve"> performance </w:t>
      </w:r>
      <w:proofErr w:type="spellStart"/>
      <w:r>
        <w:rPr>
          <w:rFonts w:eastAsia="Palatino Linotype"/>
          <w:b/>
          <w:sz w:val="22"/>
          <w:szCs w:val="22"/>
          <w:lang w:val="es-ES"/>
        </w:rPr>
        <w:t>of</w:t>
      </w:r>
      <w:proofErr w:type="spellEnd"/>
      <w:r>
        <w:rPr>
          <w:rFonts w:eastAsia="Palatino Linotype"/>
          <w:b/>
          <w:sz w:val="22"/>
          <w:szCs w:val="22"/>
          <w:lang w:val="es-ES"/>
        </w:rPr>
        <w:t xml:space="preserve"> </w:t>
      </w:r>
      <w:proofErr w:type="spellStart"/>
      <w:r>
        <w:rPr>
          <w:rFonts w:eastAsia="Palatino Linotype"/>
          <w:b/>
          <w:sz w:val="22"/>
          <w:szCs w:val="22"/>
          <w:lang w:val="es-ES"/>
        </w:rPr>
        <w:t>contract</w:t>
      </w:r>
      <w:proofErr w:type="spellEnd"/>
    </w:p>
    <w:p w14:paraId="22074E33" w14:textId="77777777" w:rsidR="00E255F4" w:rsidRDefault="00E255F4">
      <w:pPr>
        <w:ind w:right="-142"/>
        <w:jc w:val="both"/>
        <w:rPr>
          <w:rFonts w:eastAsia="Palatino Linotype"/>
          <w:spacing w:val="-3"/>
          <w:sz w:val="22"/>
          <w:szCs w:val="22"/>
          <w:lang w:val="es-ES"/>
        </w:rPr>
      </w:pPr>
    </w:p>
    <w:p w14:paraId="0D4FC9A8" w14:textId="77777777" w:rsidR="00E255F4" w:rsidRDefault="00000000">
      <w:pPr>
        <w:ind w:right="-142"/>
        <w:jc w:val="both"/>
        <w:rPr>
          <w:rFonts w:eastAsia="Palatino Linotype"/>
          <w:spacing w:val="-1"/>
          <w:sz w:val="22"/>
          <w:szCs w:val="22"/>
          <w:lang w:val="es-ES"/>
        </w:rPr>
      </w:pPr>
      <w:proofErr w:type="spellStart"/>
      <w:r>
        <w:rPr>
          <w:rFonts w:eastAsia="Palatino Linotype"/>
          <w:spacing w:val="-3"/>
          <w:sz w:val="22"/>
          <w:szCs w:val="22"/>
          <w:lang w:val="es-ES"/>
        </w:rPr>
        <w:t>L</w:t>
      </w:r>
      <w:r>
        <w:rPr>
          <w:rFonts w:eastAsia="Palatino Linotype"/>
          <w:sz w:val="22"/>
          <w:szCs w:val="22"/>
          <w:lang w:val="es-ES"/>
        </w:rPr>
        <w:t>The</w:t>
      </w:r>
      <w:proofErr w:type="spellEnd"/>
      <w:r>
        <w:rPr>
          <w:rFonts w:eastAsia="Palatino Linotype"/>
          <w:sz w:val="22"/>
          <w:szCs w:val="22"/>
          <w:lang w:val="es-ES"/>
        </w:rPr>
        <w:t xml:space="preserve"> </w:t>
      </w:r>
      <w:proofErr w:type="spellStart"/>
      <w:r>
        <w:rPr>
          <w:rFonts w:eastAsia="Palatino Linotype"/>
          <w:sz w:val="22"/>
          <w:szCs w:val="22"/>
          <w:lang w:val="es-ES"/>
        </w:rPr>
        <w:t>guarantee</w:t>
      </w:r>
      <w:proofErr w:type="spellEnd"/>
      <w:r>
        <w:rPr>
          <w:rFonts w:eastAsia="Palatino Linotype"/>
          <w:sz w:val="22"/>
          <w:szCs w:val="22"/>
          <w:lang w:val="es-ES"/>
        </w:rPr>
        <w:t xml:space="preserve"> </w:t>
      </w:r>
      <w:proofErr w:type="spellStart"/>
      <w:r>
        <w:rPr>
          <w:rFonts w:eastAsia="Palatino Linotype"/>
          <w:sz w:val="22"/>
          <w:szCs w:val="22"/>
          <w:lang w:val="es-ES"/>
        </w:rPr>
        <w:t>of</w:t>
      </w:r>
      <w:proofErr w:type="spellEnd"/>
      <w:r>
        <w:rPr>
          <w:rFonts w:eastAsia="Palatino Linotype"/>
          <w:sz w:val="22"/>
          <w:szCs w:val="22"/>
          <w:lang w:val="es-ES"/>
        </w:rPr>
        <w:t xml:space="preserve"> </w:t>
      </w:r>
      <w:proofErr w:type="spellStart"/>
      <w:r>
        <w:rPr>
          <w:rFonts w:eastAsia="Palatino Linotype"/>
          <w:sz w:val="22"/>
          <w:szCs w:val="22"/>
          <w:lang w:val="es-ES"/>
        </w:rPr>
        <w:t>faithful</w:t>
      </w:r>
      <w:proofErr w:type="spellEnd"/>
      <w:r>
        <w:rPr>
          <w:rFonts w:eastAsia="Palatino Linotype"/>
          <w:sz w:val="22"/>
          <w:szCs w:val="22"/>
          <w:lang w:val="es-ES"/>
        </w:rPr>
        <w:t xml:space="preserve"> performance </w:t>
      </w:r>
      <w:proofErr w:type="spellStart"/>
      <w:r>
        <w:rPr>
          <w:rFonts w:eastAsia="Palatino Linotype"/>
          <w:sz w:val="22"/>
          <w:szCs w:val="22"/>
          <w:lang w:val="es-ES"/>
        </w:rPr>
        <w:t>of</w:t>
      </w:r>
      <w:proofErr w:type="spellEnd"/>
      <w:r>
        <w:rPr>
          <w:rFonts w:eastAsia="Palatino Linotype"/>
          <w:sz w:val="22"/>
          <w:szCs w:val="22"/>
          <w:lang w:val="es-ES"/>
        </w:rPr>
        <w:t xml:space="preserve"> </w:t>
      </w:r>
      <w:proofErr w:type="spellStart"/>
      <w:r>
        <w:rPr>
          <w:rFonts w:eastAsia="Palatino Linotype"/>
          <w:sz w:val="22"/>
          <w:szCs w:val="22"/>
          <w:lang w:val="es-ES"/>
        </w:rPr>
        <w:t>the</w:t>
      </w:r>
      <w:proofErr w:type="spellEnd"/>
      <w:r>
        <w:rPr>
          <w:rFonts w:eastAsia="Palatino Linotype"/>
          <w:sz w:val="22"/>
          <w:szCs w:val="22"/>
          <w:lang w:val="es-ES"/>
        </w:rPr>
        <w:t xml:space="preserve"> </w:t>
      </w:r>
      <w:proofErr w:type="spellStart"/>
      <w:r>
        <w:rPr>
          <w:rFonts w:eastAsia="Palatino Linotype"/>
          <w:sz w:val="22"/>
          <w:szCs w:val="22"/>
          <w:lang w:val="es-ES"/>
        </w:rPr>
        <w:t>contract</w:t>
      </w:r>
      <w:proofErr w:type="spellEnd"/>
      <w:r>
        <w:rPr>
          <w:rFonts w:eastAsia="Palatino Linotype"/>
          <w:sz w:val="22"/>
          <w:szCs w:val="22"/>
          <w:lang w:val="es-ES"/>
        </w:rPr>
        <w:t xml:space="preserve"> </w:t>
      </w:r>
      <w:proofErr w:type="spellStart"/>
      <w:r>
        <w:rPr>
          <w:rFonts w:eastAsia="Palatino Linotype"/>
          <w:sz w:val="22"/>
          <w:szCs w:val="22"/>
          <w:lang w:val="es-ES"/>
        </w:rPr>
        <w:t>will</w:t>
      </w:r>
      <w:proofErr w:type="spellEnd"/>
      <w:r>
        <w:rPr>
          <w:rFonts w:eastAsia="Palatino Linotype"/>
          <w:sz w:val="22"/>
          <w:szCs w:val="22"/>
          <w:lang w:val="es-ES"/>
        </w:rPr>
        <w:t xml:space="preserve"> be </w:t>
      </w:r>
      <w:proofErr w:type="spellStart"/>
      <w:r>
        <w:rPr>
          <w:rFonts w:eastAsia="Palatino Linotype"/>
          <w:sz w:val="22"/>
          <w:szCs w:val="22"/>
          <w:lang w:val="es-ES"/>
        </w:rPr>
        <w:t>returned</w:t>
      </w:r>
      <w:proofErr w:type="spellEnd"/>
      <w:r>
        <w:rPr>
          <w:rFonts w:eastAsia="Palatino Linotype"/>
          <w:sz w:val="22"/>
          <w:szCs w:val="22"/>
          <w:lang w:val="es-ES"/>
        </w:rPr>
        <w:t xml:space="preserve"> ex </w:t>
      </w:r>
      <w:proofErr w:type="spellStart"/>
      <w:r>
        <w:rPr>
          <w:rFonts w:eastAsia="Palatino Linotype"/>
          <w:sz w:val="22"/>
          <w:szCs w:val="22"/>
          <w:lang w:val="es-ES"/>
        </w:rPr>
        <w:t>officio</w:t>
      </w:r>
      <w:proofErr w:type="spellEnd"/>
      <w:r>
        <w:rPr>
          <w:rFonts w:eastAsia="Palatino Linotype"/>
          <w:sz w:val="22"/>
          <w:szCs w:val="22"/>
          <w:lang w:val="es-ES"/>
        </w:rPr>
        <w:t xml:space="preserve"> </w:t>
      </w:r>
      <w:proofErr w:type="spellStart"/>
      <w:r>
        <w:rPr>
          <w:rFonts w:eastAsia="Palatino Linotype"/>
          <w:sz w:val="22"/>
          <w:szCs w:val="22"/>
          <w:lang w:val="es-ES"/>
        </w:rPr>
        <w:t>by</w:t>
      </w:r>
      <w:proofErr w:type="spellEnd"/>
      <w:r>
        <w:rPr>
          <w:rFonts w:eastAsia="Palatino Linotype"/>
          <w:sz w:val="22"/>
          <w:szCs w:val="22"/>
          <w:lang w:val="es-ES"/>
        </w:rPr>
        <w:t xml:space="preserve"> </w:t>
      </w:r>
      <w:proofErr w:type="spellStart"/>
      <w:r>
        <w:rPr>
          <w:rFonts w:eastAsia="Palatino Linotype"/>
          <w:sz w:val="22"/>
          <w:szCs w:val="22"/>
          <w:lang w:val="es-ES"/>
        </w:rPr>
        <w:t>the</w:t>
      </w:r>
      <w:proofErr w:type="spellEnd"/>
      <w:r>
        <w:rPr>
          <w:rFonts w:eastAsia="Palatino Linotype"/>
          <w:sz w:val="22"/>
          <w:szCs w:val="22"/>
          <w:lang w:val="es-ES"/>
        </w:rPr>
        <w:t xml:space="preserve"> </w:t>
      </w:r>
      <w:proofErr w:type="spellStart"/>
      <w:r>
        <w:rPr>
          <w:rFonts w:eastAsia="Palatino Linotype"/>
          <w:sz w:val="22"/>
          <w:szCs w:val="22"/>
          <w:lang w:val="es-ES"/>
        </w:rPr>
        <w:t>Administration</w:t>
      </w:r>
      <w:proofErr w:type="spellEnd"/>
      <w:r>
        <w:rPr>
          <w:rFonts w:eastAsia="Palatino Linotype"/>
          <w:sz w:val="22"/>
          <w:szCs w:val="22"/>
          <w:lang w:val="es-ES"/>
        </w:rPr>
        <w:t xml:space="preserve">, once </w:t>
      </w:r>
      <w:proofErr w:type="spellStart"/>
      <w:r>
        <w:rPr>
          <w:rFonts w:eastAsia="Palatino Linotype"/>
          <w:sz w:val="22"/>
          <w:szCs w:val="22"/>
          <w:lang w:val="es-ES"/>
        </w:rPr>
        <w:t>compliance</w:t>
      </w:r>
      <w:proofErr w:type="spellEnd"/>
      <w:r>
        <w:rPr>
          <w:rFonts w:eastAsia="Palatino Linotype"/>
          <w:sz w:val="22"/>
          <w:szCs w:val="22"/>
          <w:lang w:val="es-ES"/>
        </w:rPr>
        <w:t xml:space="preserve"> </w:t>
      </w:r>
      <w:proofErr w:type="spellStart"/>
      <w:r>
        <w:rPr>
          <w:rFonts w:eastAsia="Palatino Linotype"/>
          <w:sz w:val="22"/>
          <w:szCs w:val="22"/>
          <w:lang w:val="es-ES"/>
        </w:rPr>
        <w:t>with</w:t>
      </w:r>
      <w:proofErr w:type="spellEnd"/>
      <w:r>
        <w:rPr>
          <w:rFonts w:eastAsia="Palatino Linotype"/>
          <w:sz w:val="22"/>
          <w:szCs w:val="22"/>
          <w:lang w:val="es-ES"/>
        </w:rPr>
        <w:t xml:space="preserve"> </w:t>
      </w:r>
      <w:proofErr w:type="spellStart"/>
      <w:r>
        <w:rPr>
          <w:rFonts w:eastAsia="Palatino Linotype"/>
          <w:sz w:val="22"/>
          <w:szCs w:val="22"/>
          <w:lang w:val="es-ES"/>
        </w:rPr>
        <w:t>all</w:t>
      </w:r>
      <w:proofErr w:type="spellEnd"/>
      <w:r>
        <w:rPr>
          <w:rFonts w:eastAsia="Palatino Linotype"/>
          <w:sz w:val="22"/>
          <w:szCs w:val="22"/>
          <w:lang w:val="es-ES"/>
        </w:rPr>
        <w:t xml:space="preserve"> contractual </w:t>
      </w:r>
      <w:proofErr w:type="spellStart"/>
      <w:r>
        <w:rPr>
          <w:rFonts w:eastAsia="Palatino Linotype"/>
          <w:sz w:val="22"/>
          <w:szCs w:val="22"/>
          <w:lang w:val="es-ES"/>
        </w:rPr>
        <w:t>obligations</w:t>
      </w:r>
      <w:proofErr w:type="spellEnd"/>
      <w:r>
        <w:rPr>
          <w:rFonts w:eastAsia="Palatino Linotype"/>
          <w:sz w:val="22"/>
          <w:szCs w:val="22"/>
          <w:lang w:val="es-ES"/>
        </w:rPr>
        <w:t xml:space="preserve"> has </w:t>
      </w:r>
      <w:proofErr w:type="spellStart"/>
      <w:r>
        <w:rPr>
          <w:rFonts w:eastAsia="Palatino Linotype"/>
          <w:sz w:val="22"/>
          <w:szCs w:val="22"/>
          <w:lang w:val="es-ES"/>
        </w:rPr>
        <w:t>been</w:t>
      </w:r>
      <w:proofErr w:type="spellEnd"/>
      <w:r>
        <w:rPr>
          <w:rFonts w:eastAsia="Palatino Linotype"/>
          <w:sz w:val="22"/>
          <w:szCs w:val="22"/>
          <w:lang w:val="es-ES"/>
        </w:rPr>
        <w:t xml:space="preserve"> </w:t>
      </w:r>
      <w:proofErr w:type="spellStart"/>
      <w:r>
        <w:rPr>
          <w:rFonts w:eastAsia="Palatino Linotype"/>
          <w:sz w:val="22"/>
          <w:szCs w:val="22"/>
          <w:lang w:val="es-ES"/>
        </w:rPr>
        <w:t>verified</w:t>
      </w:r>
      <w:proofErr w:type="spellEnd"/>
      <w:r>
        <w:rPr>
          <w:rFonts w:eastAsia="Palatino Linotype"/>
          <w:sz w:val="22"/>
          <w:szCs w:val="22"/>
          <w:lang w:val="es-ES"/>
        </w:rPr>
        <w:t>.</w:t>
      </w:r>
    </w:p>
    <w:p w14:paraId="48F7DE50" w14:textId="77777777" w:rsidR="00E255F4" w:rsidRDefault="00E255F4">
      <w:pPr>
        <w:ind w:right="-142"/>
        <w:jc w:val="both"/>
        <w:rPr>
          <w:rFonts w:eastAsia="Palatino Linotype"/>
          <w:spacing w:val="-1"/>
          <w:sz w:val="22"/>
          <w:szCs w:val="22"/>
          <w:lang w:val="es-ES"/>
        </w:rPr>
      </w:pPr>
    </w:p>
    <w:p w14:paraId="68188A50" w14:textId="77777777" w:rsidR="00E255F4" w:rsidRDefault="00E255F4">
      <w:pPr>
        <w:rPr>
          <w:rFonts w:eastAsia="Palatino Linotype"/>
          <w:sz w:val="22"/>
          <w:szCs w:val="22"/>
          <w:lang w:val="es-ES"/>
        </w:rPr>
      </w:pPr>
    </w:p>
    <w:p w14:paraId="107F0472" w14:textId="77777777" w:rsidR="00E255F4" w:rsidRDefault="00000000">
      <w:pPr>
        <w:ind w:right="-142"/>
        <w:jc w:val="both"/>
        <w:outlineLvl w:val="0"/>
        <w:rPr>
          <w:rFonts w:eastAsia="Palatino Linotype"/>
          <w:b/>
          <w:spacing w:val="-1"/>
          <w:sz w:val="22"/>
          <w:szCs w:val="22"/>
          <w:lang w:val="es-ES"/>
        </w:rPr>
      </w:pPr>
      <w:bookmarkStart w:id="65" w:name="__RefHeading___Toc225377242"/>
      <w:bookmarkEnd w:id="65"/>
      <w:r>
        <w:rPr>
          <w:rFonts w:eastAsia="Palatino Linotype"/>
          <w:b/>
          <w:spacing w:val="-1"/>
          <w:sz w:val="22"/>
          <w:szCs w:val="22"/>
          <w:lang w:val="es-ES"/>
        </w:rPr>
        <w:t>2</w:t>
      </w:r>
      <w:r>
        <w:rPr>
          <w:rFonts w:eastAsia="Palatino Linotype"/>
          <w:b/>
          <w:sz w:val="22"/>
          <w:szCs w:val="22"/>
          <w:lang w:val="es-ES"/>
        </w:rPr>
        <w:t>8</w:t>
      </w:r>
      <w:r>
        <w:rPr>
          <w:rFonts w:eastAsia="Palatino Linotype"/>
          <w:b/>
          <w:spacing w:val="-2"/>
          <w:sz w:val="22"/>
          <w:szCs w:val="22"/>
          <w:lang w:val="es-ES"/>
        </w:rPr>
        <w:t xml:space="preserve"> </w:t>
      </w:r>
      <w:r>
        <w:rPr>
          <w:rFonts w:eastAsia="Palatino Linotype"/>
          <w:b/>
          <w:spacing w:val="-2"/>
          <w:sz w:val="22"/>
          <w:szCs w:val="22"/>
          <w:lang w:val="es-ES"/>
        </w:rPr>
        <w:tab/>
      </w:r>
      <w:proofErr w:type="spellStart"/>
      <w:r>
        <w:rPr>
          <w:rFonts w:eastAsia="Palatino Linotype"/>
          <w:b/>
          <w:spacing w:val="-1"/>
          <w:sz w:val="22"/>
          <w:szCs w:val="22"/>
          <w:lang w:val="es-ES"/>
        </w:rPr>
        <w:t>Payments</w:t>
      </w:r>
      <w:proofErr w:type="spellEnd"/>
    </w:p>
    <w:p w14:paraId="73DA33AC" w14:textId="77777777" w:rsidR="00E255F4" w:rsidRDefault="00E255F4">
      <w:pPr>
        <w:rPr>
          <w:rFonts w:eastAsia="Palatino Linotype"/>
          <w:b/>
          <w:spacing w:val="-1"/>
          <w:sz w:val="22"/>
          <w:szCs w:val="22"/>
          <w:lang w:val="es-ES"/>
        </w:rPr>
      </w:pPr>
    </w:p>
    <w:p w14:paraId="14FD3869" w14:textId="77777777" w:rsidR="00E255F4" w:rsidRDefault="00000000">
      <w:pPr>
        <w:ind w:right="-142"/>
        <w:jc w:val="both"/>
        <w:rPr>
          <w:rFonts w:eastAsia="Palatino Linotype"/>
          <w:spacing w:val="-1"/>
          <w:sz w:val="22"/>
          <w:szCs w:val="22"/>
          <w:lang w:val="es-ES"/>
        </w:rPr>
      </w:pPr>
      <w:proofErr w:type="spellStart"/>
      <w:r>
        <w:rPr>
          <w:rFonts w:eastAsia="Palatino Linotype"/>
          <w:spacing w:val="-1"/>
          <w:sz w:val="22"/>
          <w:szCs w:val="22"/>
          <w:lang w:val="es-ES"/>
        </w:rPr>
        <w:t>AND</w:t>
      </w:r>
      <w:r>
        <w:rPr>
          <w:rFonts w:eastAsia="Palatino Linotype"/>
          <w:sz w:val="22"/>
          <w:szCs w:val="22"/>
          <w:lang w:val="es-ES"/>
        </w:rPr>
        <w:t>The</w:t>
      </w:r>
      <w:proofErr w:type="spellEnd"/>
      <w:r>
        <w:rPr>
          <w:rFonts w:eastAsia="Palatino Linotype"/>
          <w:sz w:val="22"/>
          <w:szCs w:val="22"/>
          <w:lang w:val="es-ES"/>
        </w:rPr>
        <w:t xml:space="preserve"> Special </w:t>
      </w:r>
      <w:proofErr w:type="spellStart"/>
      <w:r>
        <w:rPr>
          <w:rFonts w:eastAsia="Palatino Linotype"/>
          <w:sz w:val="22"/>
          <w:szCs w:val="22"/>
          <w:lang w:val="es-ES"/>
        </w:rPr>
        <w:t>Specifications</w:t>
      </w:r>
      <w:proofErr w:type="spellEnd"/>
      <w:r>
        <w:rPr>
          <w:rFonts w:eastAsia="Palatino Linotype"/>
          <w:sz w:val="22"/>
          <w:szCs w:val="22"/>
          <w:lang w:val="es-ES"/>
        </w:rPr>
        <w:t xml:space="preserve"> </w:t>
      </w:r>
      <w:proofErr w:type="spellStart"/>
      <w:r>
        <w:rPr>
          <w:rFonts w:eastAsia="Palatino Linotype"/>
          <w:sz w:val="22"/>
          <w:szCs w:val="22"/>
          <w:lang w:val="es-ES"/>
        </w:rPr>
        <w:t>will</w:t>
      </w:r>
      <w:proofErr w:type="spellEnd"/>
      <w:r>
        <w:rPr>
          <w:rFonts w:eastAsia="Palatino Linotype"/>
          <w:sz w:val="22"/>
          <w:szCs w:val="22"/>
          <w:lang w:val="es-ES"/>
        </w:rPr>
        <w:t xml:space="preserve"> </w:t>
      </w:r>
      <w:proofErr w:type="spellStart"/>
      <w:r>
        <w:rPr>
          <w:rFonts w:eastAsia="Palatino Linotype"/>
          <w:sz w:val="22"/>
          <w:szCs w:val="22"/>
          <w:lang w:val="es-ES"/>
        </w:rPr>
        <w:t>establish</w:t>
      </w:r>
      <w:proofErr w:type="spellEnd"/>
      <w:r>
        <w:rPr>
          <w:rFonts w:eastAsia="Palatino Linotype"/>
          <w:sz w:val="22"/>
          <w:szCs w:val="22"/>
          <w:lang w:val="es-ES"/>
        </w:rPr>
        <w:t xml:space="preserve"> </w:t>
      </w:r>
      <w:proofErr w:type="spellStart"/>
      <w:r>
        <w:rPr>
          <w:rFonts w:eastAsia="Palatino Linotype"/>
          <w:sz w:val="22"/>
          <w:szCs w:val="22"/>
          <w:lang w:val="es-ES"/>
        </w:rPr>
        <w:t>the</w:t>
      </w:r>
      <w:proofErr w:type="spellEnd"/>
      <w:r>
        <w:rPr>
          <w:rFonts w:eastAsia="Palatino Linotype"/>
          <w:sz w:val="22"/>
          <w:szCs w:val="22"/>
          <w:lang w:val="es-ES"/>
        </w:rPr>
        <w:t xml:space="preserve"> </w:t>
      </w:r>
      <w:proofErr w:type="spellStart"/>
      <w:r>
        <w:rPr>
          <w:rFonts w:eastAsia="Palatino Linotype"/>
          <w:sz w:val="22"/>
          <w:szCs w:val="22"/>
          <w:lang w:val="es-ES"/>
        </w:rPr>
        <w:t>conditions</w:t>
      </w:r>
      <w:proofErr w:type="spellEnd"/>
      <w:r>
        <w:rPr>
          <w:rFonts w:eastAsia="Palatino Linotype"/>
          <w:sz w:val="22"/>
          <w:szCs w:val="22"/>
          <w:lang w:val="es-ES"/>
        </w:rPr>
        <w:t xml:space="preserve"> and </w:t>
      </w:r>
      <w:proofErr w:type="spellStart"/>
      <w:r>
        <w:rPr>
          <w:rFonts w:eastAsia="Palatino Linotype"/>
          <w:sz w:val="22"/>
          <w:szCs w:val="22"/>
          <w:lang w:val="es-ES"/>
        </w:rPr>
        <w:t>methods</w:t>
      </w:r>
      <w:proofErr w:type="spellEnd"/>
      <w:r>
        <w:rPr>
          <w:rFonts w:eastAsia="Palatino Linotype"/>
          <w:sz w:val="22"/>
          <w:szCs w:val="22"/>
          <w:lang w:val="es-ES"/>
        </w:rPr>
        <w:t xml:space="preserve"> </w:t>
      </w:r>
      <w:proofErr w:type="spellStart"/>
      <w:r>
        <w:rPr>
          <w:rFonts w:eastAsia="Palatino Linotype"/>
          <w:sz w:val="22"/>
          <w:szCs w:val="22"/>
          <w:lang w:val="es-ES"/>
        </w:rPr>
        <w:t>of</w:t>
      </w:r>
      <w:proofErr w:type="spellEnd"/>
      <w:r>
        <w:rPr>
          <w:rFonts w:eastAsia="Palatino Linotype"/>
          <w:sz w:val="22"/>
          <w:szCs w:val="22"/>
          <w:lang w:val="es-ES"/>
        </w:rPr>
        <w:t xml:space="preserve"> </w:t>
      </w:r>
      <w:proofErr w:type="spellStart"/>
      <w:r>
        <w:rPr>
          <w:rFonts w:eastAsia="Palatino Linotype"/>
          <w:sz w:val="22"/>
          <w:szCs w:val="22"/>
          <w:lang w:val="es-ES"/>
        </w:rPr>
        <w:t>payment</w:t>
      </w:r>
      <w:proofErr w:type="spellEnd"/>
      <w:r>
        <w:rPr>
          <w:rFonts w:eastAsia="Palatino Linotype"/>
          <w:sz w:val="22"/>
          <w:szCs w:val="22"/>
          <w:lang w:val="es-ES"/>
        </w:rPr>
        <w:t xml:space="preserve">. In </w:t>
      </w:r>
      <w:proofErr w:type="spellStart"/>
      <w:r>
        <w:rPr>
          <w:rFonts w:eastAsia="Palatino Linotype"/>
          <w:sz w:val="22"/>
          <w:szCs w:val="22"/>
          <w:lang w:val="es-ES"/>
        </w:rPr>
        <w:t>all</w:t>
      </w:r>
      <w:proofErr w:type="spellEnd"/>
      <w:r>
        <w:rPr>
          <w:rFonts w:eastAsia="Palatino Linotype"/>
          <w:sz w:val="22"/>
          <w:szCs w:val="22"/>
          <w:lang w:val="es-ES"/>
        </w:rPr>
        <w:t xml:space="preserve"> </w:t>
      </w:r>
      <w:proofErr w:type="spellStart"/>
      <w:r>
        <w:rPr>
          <w:rFonts w:eastAsia="Palatino Linotype"/>
          <w:sz w:val="22"/>
          <w:szCs w:val="22"/>
          <w:lang w:val="es-ES"/>
        </w:rPr>
        <w:t>payments</w:t>
      </w:r>
      <w:proofErr w:type="spellEnd"/>
      <w:r>
        <w:rPr>
          <w:rFonts w:eastAsia="Palatino Linotype"/>
          <w:sz w:val="22"/>
          <w:szCs w:val="22"/>
          <w:lang w:val="es-ES"/>
        </w:rPr>
        <w:t xml:space="preserve">, </w:t>
      </w:r>
      <w:proofErr w:type="spellStart"/>
      <w:r>
        <w:rPr>
          <w:rFonts w:eastAsia="Palatino Linotype"/>
          <w:sz w:val="22"/>
          <w:szCs w:val="22"/>
          <w:lang w:val="es-ES"/>
        </w:rPr>
        <w:t>the</w:t>
      </w:r>
      <w:proofErr w:type="spellEnd"/>
      <w:r>
        <w:rPr>
          <w:rFonts w:eastAsia="Palatino Linotype"/>
          <w:sz w:val="22"/>
          <w:szCs w:val="22"/>
          <w:lang w:val="es-ES"/>
        </w:rPr>
        <w:t xml:space="preserve"> </w:t>
      </w:r>
      <w:proofErr w:type="spellStart"/>
      <w:r>
        <w:rPr>
          <w:rFonts w:eastAsia="Palatino Linotype"/>
          <w:sz w:val="22"/>
          <w:szCs w:val="22"/>
          <w:lang w:val="es-ES"/>
        </w:rPr>
        <w:t>Administration</w:t>
      </w:r>
      <w:proofErr w:type="spellEnd"/>
      <w:r>
        <w:rPr>
          <w:rFonts w:eastAsia="Palatino Linotype"/>
          <w:sz w:val="22"/>
          <w:szCs w:val="22"/>
          <w:lang w:val="es-ES"/>
        </w:rPr>
        <w:t xml:space="preserve"> </w:t>
      </w:r>
      <w:proofErr w:type="spellStart"/>
      <w:r>
        <w:rPr>
          <w:rFonts w:eastAsia="Palatino Linotype"/>
          <w:sz w:val="22"/>
          <w:szCs w:val="22"/>
          <w:lang w:val="es-ES"/>
        </w:rPr>
        <w:t>may</w:t>
      </w:r>
      <w:proofErr w:type="spellEnd"/>
      <w:r>
        <w:rPr>
          <w:rFonts w:eastAsia="Palatino Linotype"/>
          <w:sz w:val="22"/>
          <w:szCs w:val="22"/>
          <w:lang w:val="es-ES"/>
        </w:rPr>
        <w:t xml:space="preserve"> </w:t>
      </w:r>
      <w:proofErr w:type="spellStart"/>
      <w:r>
        <w:rPr>
          <w:rFonts w:eastAsia="Palatino Linotype"/>
          <w:sz w:val="22"/>
          <w:szCs w:val="22"/>
          <w:lang w:val="es-ES"/>
        </w:rPr>
        <w:t>deduct</w:t>
      </w:r>
      <w:proofErr w:type="spellEnd"/>
      <w:r>
        <w:rPr>
          <w:rFonts w:eastAsia="Palatino Linotype"/>
          <w:sz w:val="22"/>
          <w:szCs w:val="22"/>
          <w:lang w:val="es-ES"/>
        </w:rPr>
        <w:t xml:space="preserve"> </w:t>
      </w:r>
      <w:proofErr w:type="spellStart"/>
      <w:r>
        <w:rPr>
          <w:rFonts w:eastAsia="Palatino Linotype"/>
          <w:sz w:val="22"/>
          <w:szCs w:val="22"/>
          <w:lang w:val="es-ES"/>
        </w:rPr>
        <w:t>from</w:t>
      </w:r>
      <w:proofErr w:type="spellEnd"/>
      <w:r>
        <w:rPr>
          <w:rFonts w:eastAsia="Palatino Linotype"/>
          <w:sz w:val="22"/>
          <w:szCs w:val="22"/>
          <w:lang w:val="es-ES"/>
        </w:rPr>
        <w:t xml:space="preserve"> </w:t>
      </w:r>
      <w:proofErr w:type="spellStart"/>
      <w:r>
        <w:rPr>
          <w:rFonts w:eastAsia="Palatino Linotype"/>
          <w:sz w:val="22"/>
          <w:szCs w:val="22"/>
          <w:lang w:val="es-ES"/>
        </w:rPr>
        <w:t>the</w:t>
      </w:r>
      <w:proofErr w:type="spellEnd"/>
      <w:r>
        <w:rPr>
          <w:rFonts w:eastAsia="Palatino Linotype"/>
          <w:sz w:val="22"/>
          <w:szCs w:val="22"/>
          <w:lang w:val="es-ES"/>
        </w:rPr>
        <w:t xml:space="preserve"> </w:t>
      </w:r>
      <w:proofErr w:type="spellStart"/>
      <w:r>
        <w:rPr>
          <w:rFonts w:eastAsia="Palatino Linotype"/>
          <w:sz w:val="22"/>
          <w:szCs w:val="22"/>
          <w:lang w:val="es-ES"/>
        </w:rPr>
        <w:t>amount</w:t>
      </w:r>
      <w:proofErr w:type="spellEnd"/>
      <w:r>
        <w:rPr>
          <w:rFonts w:eastAsia="Palatino Linotype"/>
          <w:sz w:val="22"/>
          <w:szCs w:val="22"/>
          <w:lang w:val="es-ES"/>
        </w:rPr>
        <w:t xml:space="preserve"> </w:t>
      </w:r>
      <w:proofErr w:type="spellStart"/>
      <w:r>
        <w:rPr>
          <w:rFonts w:eastAsia="Palatino Linotype"/>
          <w:sz w:val="22"/>
          <w:szCs w:val="22"/>
          <w:lang w:val="es-ES"/>
        </w:rPr>
        <w:t>to</w:t>
      </w:r>
      <w:proofErr w:type="spellEnd"/>
      <w:r>
        <w:rPr>
          <w:rFonts w:eastAsia="Palatino Linotype"/>
          <w:sz w:val="22"/>
          <w:szCs w:val="22"/>
          <w:lang w:val="es-ES"/>
        </w:rPr>
        <w:t xml:space="preserve"> be </w:t>
      </w:r>
      <w:proofErr w:type="spellStart"/>
      <w:r>
        <w:rPr>
          <w:rFonts w:eastAsia="Palatino Linotype"/>
          <w:sz w:val="22"/>
          <w:szCs w:val="22"/>
          <w:lang w:val="es-ES"/>
        </w:rPr>
        <w:t>paid</w:t>
      </w:r>
      <w:proofErr w:type="spellEnd"/>
      <w:r>
        <w:rPr>
          <w:rFonts w:eastAsia="Palatino Linotype"/>
          <w:sz w:val="22"/>
          <w:szCs w:val="22"/>
          <w:lang w:val="es-ES"/>
        </w:rPr>
        <w:t xml:space="preserve"> </w:t>
      </w:r>
      <w:proofErr w:type="spellStart"/>
      <w:r>
        <w:rPr>
          <w:rFonts w:eastAsia="Palatino Linotype"/>
          <w:sz w:val="22"/>
          <w:szCs w:val="22"/>
          <w:lang w:val="es-ES"/>
        </w:rPr>
        <w:t>the</w:t>
      </w:r>
      <w:proofErr w:type="spellEnd"/>
      <w:r>
        <w:rPr>
          <w:rFonts w:eastAsia="Palatino Linotype"/>
          <w:sz w:val="22"/>
          <w:szCs w:val="22"/>
          <w:lang w:val="es-ES"/>
        </w:rPr>
        <w:t xml:space="preserve"> sum </w:t>
      </w:r>
      <w:proofErr w:type="spellStart"/>
      <w:r>
        <w:rPr>
          <w:rFonts w:eastAsia="Palatino Linotype"/>
          <w:sz w:val="22"/>
          <w:szCs w:val="22"/>
          <w:lang w:val="es-ES"/>
        </w:rPr>
        <w:t>corresponding</w:t>
      </w:r>
      <w:proofErr w:type="spellEnd"/>
      <w:r>
        <w:rPr>
          <w:rFonts w:eastAsia="Palatino Linotype"/>
          <w:sz w:val="22"/>
          <w:szCs w:val="22"/>
          <w:lang w:val="es-ES"/>
        </w:rPr>
        <w:t xml:space="preserve"> </w:t>
      </w:r>
      <w:proofErr w:type="spellStart"/>
      <w:r>
        <w:rPr>
          <w:rFonts w:eastAsia="Palatino Linotype"/>
          <w:sz w:val="22"/>
          <w:szCs w:val="22"/>
          <w:lang w:val="es-ES"/>
        </w:rPr>
        <w:t>to</w:t>
      </w:r>
      <w:proofErr w:type="spellEnd"/>
      <w:r>
        <w:rPr>
          <w:rFonts w:eastAsia="Palatino Linotype"/>
          <w:sz w:val="22"/>
          <w:szCs w:val="22"/>
          <w:lang w:val="es-ES"/>
        </w:rPr>
        <w:t xml:space="preserve"> </w:t>
      </w:r>
      <w:proofErr w:type="spellStart"/>
      <w:r>
        <w:rPr>
          <w:rFonts w:eastAsia="Palatino Linotype"/>
          <w:sz w:val="22"/>
          <w:szCs w:val="22"/>
          <w:lang w:val="es-ES"/>
        </w:rPr>
        <w:t>any</w:t>
      </w:r>
      <w:proofErr w:type="spellEnd"/>
      <w:r>
        <w:rPr>
          <w:rFonts w:eastAsia="Palatino Linotype"/>
          <w:sz w:val="22"/>
          <w:szCs w:val="22"/>
          <w:lang w:val="es-ES"/>
        </w:rPr>
        <w:t xml:space="preserve"> </w:t>
      </w:r>
      <w:proofErr w:type="spellStart"/>
      <w:r>
        <w:rPr>
          <w:rFonts w:eastAsia="Palatino Linotype"/>
          <w:sz w:val="22"/>
          <w:szCs w:val="22"/>
          <w:lang w:val="es-ES"/>
        </w:rPr>
        <w:t>debt</w:t>
      </w:r>
      <w:proofErr w:type="spellEnd"/>
      <w:r>
        <w:rPr>
          <w:rFonts w:eastAsia="Palatino Linotype"/>
          <w:sz w:val="22"/>
          <w:szCs w:val="22"/>
          <w:lang w:val="es-ES"/>
        </w:rPr>
        <w:t xml:space="preserve"> </w:t>
      </w:r>
      <w:proofErr w:type="spellStart"/>
      <w:r>
        <w:rPr>
          <w:rFonts w:eastAsia="Palatino Linotype"/>
          <w:sz w:val="22"/>
          <w:szCs w:val="22"/>
          <w:lang w:val="es-ES"/>
        </w:rPr>
        <w:t>that</w:t>
      </w:r>
      <w:proofErr w:type="spellEnd"/>
      <w:r>
        <w:rPr>
          <w:rFonts w:eastAsia="Palatino Linotype"/>
          <w:sz w:val="22"/>
          <w:szCs w:val="22"/>
          <w:lang w:val="es-ES"/>
        </w:rPr>
        <w:t xml:space="preserve"> </w:t>
      </w:r>
      <w:proofErr w:type="spellStart"/>
      <w:r>
        <w:rPr>
          <w:rFonts w:eastAsia="Palatino Linotype"/>
          <w:sz w:val="22"/>
          <w:szCs w:val="22"/>
          <w:lang w:val="es-ES"/>
        </w:rPr>
        <w:t>the</w:t>
      </w:r>
      <w:proofErr w:type="spellEnd"/>
      <w:r>
        <w:rPr>
          <w:rFonts w:eastAsia="Palatino Linotype"/>
          <w:sz w:val="22"/>
          <w:szCs w:val="22"/>
          <w:lang w:val="es-ES"/>
        </w:rPr>
        <w:t xml:space="preserve"> </w:t>
      </w:r>
      <w:proofErr w:type="spellStart"/>
      <w:r>
        <w:rPr>
          <w:rFonts w:eastAsia="Palatino Linotype"/>
          <w:sz w:val="22"/>
          <w:szCs w:val="22"/>
          <w:lang w:val="es-ES"/>
        </w:rPr>
        <w:t>contractor</w:t>
      </w:r>
      <w:proofErr w:type="spellEnd"/>
      <w:r>
        <w:rPr>
          <w:rFonts w:eastAsia="Palatino Linotype"/>
          <w:sz w:val="22"/>
          <w:szCs w:val="22"/>
          <w:lang w:val="es-ES"/>
        </w:rPr>
        <w:t xml:space="preserve"> </w:t>
      </w:r>
      <w:proofErr w:type="spellStart"/>
      <w:r>
        <w:rPr>
          <w:rFonts w:eastAsia="Palatino Linotype"/>
          <w:sz w:val="22"/>
          <w:szCs w:val="22"/>
          <w:lang w:val="es-ES"/>
        </w:rPr>
        <w:t>may</w:t>
      </w:r>
      <w:proofErr w:type="spellEnd"/>
      <w:r>
        <w:rPr>
          <w:rFonts w:eastAsia="Palatino Linotype"/>
          <w:sz w:val="22"/>
          <w:szCs w:val="22"/>
          <w:lang w:val="es-ES"/>
        </w:rPr>
        <w:t xml:space="preserve"> </w:t>
      </w:r>
      <w:proofErr w:type="spellStart"/>
      <w:r>
        <w:rPr>
          <w:rFonts w:eastAsia="Palatino Linotype"/>
          <w:sz w:val="22"/>
          <w:szCs w:val="22"/>
          <w:lang w:val="es-ES"/>
        </w:rPr>
        <w:t>have</w:t>
      </w:r>
      <w:proofErr w:type="spellEnd"/>
      <w:r>
        <w:rPr>
          <w:rFonts w:eastAsia="Palatino Linotype"/>
          <w:sz w:val="22"/>
          <w:szCs w:val="22"/>
          <w:lang w:val="es-ES"/>
        </w:rPr>
        <w:t xml:space="preserve"> </w:t>
      </w:r>
      <w:proofErr w:type="spellStart"/>
      <w:r>
        <w:rPr>
          <w:rFonts w:eastAsia="Palatino Linotype"/>
          <w:sz w:val="22"/>
          <w:szCs w:val="22"/>
          <w:lang w:val="es-ES"/>
        </w:rPr>
        <w:t>with</w:t>
      </w:r>
      <w:proofErr w:type="spellEnd"/>
      <w:r>
        <w:rPr>
          <w:rFonts w:eastAsia="Palatino Linotype"/>
          <w:sz w:val="22"/>
          <w:szCs w:val="22"/>
          <w:lang w:val="es-ES"/>
        </w:rPr>
        <w:t xml:space="preserve"> </w:t>
      </w:r>
      <w:proofErr w:type="spellStart"/>
      <w:r>
        <w:rPr>
          <w:rFonts w:eastAsia="Palatino Linotype"/>
          <w:sz w:val="22"/>
          <w:szCs w:val="22"/>
          <w:lang w:val="es-ES"/>
        </w:rPr>
        <w:t>the</w:t>
      </w:r>
      <w:proofErr w:type="spellEnd"/>
      <w:r>
        <w:rPr>
          <w:rFonts w:eastAsia="Palatino Linotype"/>
          <w:sz w:val="22"/>
          <w:szCs w:val="22"/>
          <w:lang w:val="es-ES"/>
        </w:rPr>
        <w:t xml:space="preserve"> </w:t>
      </w:r>
      <w:proofErr w:type="spellStart"/>
      <w:r>
        <w:rPr>
          <w:rFonts w:eastAsia="Palatino Linotype"/>
          <w:sz w:val="22"/>
          <w:szCs w:val="22"/>
          <w:lang w:val="es-ES"/>
        </w:rPr>
        <w:t>contracting</w:t>
      </w:r>
      <w:proofErr w:type="spellEnd"/>
      <w:r>
        <w:rPr>
          <w:rFonts w:eastAsia="Palatino Linotype"/>
          <w:sz w:val="22"/>
          <w:szCs w:val="22"/>
          <w:lang w:val="es-ES"/>
        </w:rPr>
        <w:t xml:space="preserve"> </w:t>
      </w:r>
      <w:proofErr w:type="spellStart"/>
      <w:r>
        <w:rPr>
          <w:rFonts w:eastAsia="Palatino Linotype"/>
          <w:sz w:val="22"/>
          <w:szCs w:val="22"/>
          <w:lang w:val="es-ES"/>
        </w:rPr>
        <w:t>body</w:t>
      </w:r>
      <w:proofErr w:type="spellEnd"/>
      <w:r>
        <w:rPr>
          <w:rFonts w:eastAsia="Palatino Linotype"/>
          <w:sz w:val="22"/>
          <w:szCs w:val="22"/>
          <w:lang w:val="es-ES"/>
        </w:rPr>
        <w:t xml:space="preserve">, </w:t>
      </w:r>
      <w:proofErr w:type="spellStart"/>
      <w:r>
        <w:rPr>
          <w:rFonts w:eastAsia="Palatino Linotype"/>
          <w:sz w:val="22"/>
          <w:szCs w:val="22"/>
          <w:lang w:val="es-ES"/>
        </w:rPr>
        <w:t>relating</w:t>
      </w:r>
      <w:proofErr w:type="spellEnd"/>
      <w:r>
        <w:rPr>
          <w:rFonts w:eastAsia="Palatino Linotype"/>
          <w:sz w:val="22"/>
          <w:szCs w:val="22"/>
          <w:lang w:val="es-ES"/>
        </w:rPr>
        <w:t xml:space="preserve"> </w:t>
      </w:r>
      <w:proofErr w:type="spellStart"/>
      <w:r>
        <w:rPr>
          <w:rFonts w:eastAsia="Palatino Linotype"/>
          <w:sz w:val="22"/>
          <w:szCs w:val="22"/>
          <w:lang w:val="es-ES"/>
        </w:rPr>
        <w:t>to</w:t>
      </w:r>
      <w:proofErr w:type="spellEnd"/>
      <w:r>
        <w:rPr>
          <w:rFonts w:eastAsia="Palatino Linotype"/>
          <w:sz w:val="22"/>
          <w:szCs w:val="22"/>
          <w:lang w:val="es-ES"/>
        </w:rPr>
        <w:t xml:space="preserve"> </w:t>
      </w:r>
      <w:proofErr w:type="spellStart"/>
      <w:r>
        <w:rPr>
          <w:rFonts w:eastAsia="Palatino Linotype"/>
          <w:sz w:val="22"/>
          <w:szCs w:val="22"/>
          <w:lang w:val="es-ES"/>
        </w:rPr>
        <w:t>the</w:t>
      </w:r>
      <w:proofErr w:type="spellEnd"/>
      <w:r>
        <w:rPr>
          <w:rFonts w:eastAsia="Palatino Linotype"/>
          <w:sz w:val="22"/>
          <w:szCs w:val="22"/>
          <w:lang w:val="es-ES"/>
        </w:rPr>
        <w:t xml:space="preserve"> </w:t>
      </w:r>
      <w:proofErr w:type="spellStart"/>
      <w:r>
        <w:rPr>
          <w:rFonts w:eastAsia="Palatino Linotype"/>
          <w:sz w:val="22"/>
          <w:szCs w:val="22"/>
          <w:lang w:val="es-ES"/>
        </w:rPr>
        <w:t>contract</w:t>
      </w:r>
      <w:proofErr w:type="spellEnd"/>
      <w:r>
        <w:rPr>
          <w:rFonts w:eastAsia="Palatino Linotype"/>
          <w:sz w:val="22"/>
          <w:szCs w:val="22"/>
          <w:lang w:val="es-ES"/>
        </w:rPr>
        <w:t>.</w:t>
      </w:r>
      <w:r>
        <w:br w:type="page"/>
      </w:r>
    </w:p>
    <w:p w14:paraId="5169CF69" w14:textId="77777777" w:rsidR="00E255F4" w:rsidRDefault="00000000">
      <w:pPr>
        <w:pStyle w:val="Ttulo1"/>
        <w:numPr>
          <w:ilvl w:val="0"/>
          <w:numId w:val="0"/>
        </w:numPr>
        <w:spacing w:before="0" w:after="0"/>
        <w:ind w:left="720"/>
        <w:jc w:val="center"/>
        <w:rPr>
          <w:rFonts w:eastAsia="Palatino Linotype"/>
          <w:color w:val="548DD4"/>
          <w:sz w:val="28"/>
          <w:szCs w:val="28"/>
          <w:lang w:val="pt-BR"/>
        </w:rPr>
      </w:pPr>
      <w:bookmarkStart w:id="66" w:name="__RefHeading___Toc225377243"/>
      <w:bookmarkEnd w:id="66"/>
      <w:r>
        <w:rPr>
          <w:rFonts w:ascii="Times New Roman" w:eastAsia="Palatino Linotype" w:hAnsi="Times New Roman" w:cs="Times New Roman"/>
          <w:b w:val="0"/>
          <w:color w:val="548DD4"/>
          <w:sz w:val="28"/>
          <w:szCs w:val="28"/>
          <w:lang w:val="es-ES"/>
        </w:rPr>
        <w:lastRenderedPageBreak/>
        <w:t>ANNEX I</w:t>
      </w:r>
    </w:p>
    <w:p w14:paraId="6346E2FB" w14:textId="77777777" w:rsidR="00E255F4" w:rsidRDefault="00000000">
      <w:pPr>
        <w:ind w:right="-34" w:firstLine="284"/>
        <w:jc w:val="center"/>
        <w:outlineLvl w:val="0"/>
        <w:rPr>
          <w:rFonts w:eastAsia="Palatino Linotype"/>
          <w:color w:val="548DD4"/>
          <w:sz w:val="28"/>
          <w:szCs w:val="24"/>
          <w:lang w:val="pt-BR"/>
        </w:rPr>
      </w:pPr>
      <w:bookmarkStart w:id="67" w:name="__RefHeading___Toc225377244"/>
      <w:bookmarkEnd w:id="67"/>
      <w:proofErr w:type="spellStart"/>
      <w:r>
        <w:rPr>
          <w:rFonts w:eastAsia="Palatino Linotype"/>
          <w:color w:val="548DD4"/>
          <w:sz w:val="28"/>
          <w:szCs w:val="24"/>
          <w:lang w:val="pt-BR"/>
        </w:rPr>
        <w:t>Declaration</w:t>
      </w:r>
      <w:proofErr w:type="spellEnd"/>
      <w:r>
        <w:rPr>
          <w:rFonts w:eastAsia="Palatino Linotype"/>
          <w:color w:val="548DD4"/>
          <w:sz w:val="28"/>
          <w:szCs w:val="24"/>
          <w:lang w:val="pt-BR"/>
        </w:rPr>
        <w:t xml:space="preserve"> </w:t>
      </w:r>
      <w:proofErr w:type="spellStart"/>
      <w:r>
        <w:rPr>
          <w:rFonts w:eastAsia="Palatino Linotype"/>
          <w:color w:val="548DD4"/>
          <w:sz w:val="28"/>
          <w:szCs w:val="24"/>
          <w:lang w:val="pt-BR"/>
        </w:rPr>
        <w:t>template</w:t>
      </w:r>
      <w:proofErr w:type="spellEnd"/>
      <w:r>
        <w:rPr>
          <w:rFonts w:eastAsia="Palatino Linotype"/>
          <w:color w:val="548DD4"/>
          <w:sz w:val="28"/>
          <w:szCs w:val="24"/>
          <w:lang w:val="pt-BR"/>
        </w:rPr>
        <w:t xml:space="preserve"> for ASSETS </w:t>
      </w:r>
      <w:proofErr w:type="spellStart"/>
      <w:r>
        <w:rPr>
          <w:rFonts w:eastAsia="Palatino Linotype"/>
          <w:color w:val="548DD4"/>
          <w:sz w:val="28"/>
          <w:szCs w:val="24"/>
          <w:lang w:val="pt-BR"/>
        </w:rPr>
        <w:t>that</w:t>
      </w:r>
      <w:proofErr w:type="spellEnd"/>
      <w:r>
        <w:rPr>
          <w:rFonts w:eastAsia="Palatino Linotype"/>
          <w:color w:val="548DD4"/>
          <w:sz w:val="28"/>
          <w:szCs w:val="24"/>
          <w:lang w:val="pt-BR"/>
        </w:rPr>
        <w:t xml:space="preserve"> </w:t>
      </w:r>
      <w:proofErr w:type="spellStart"/>
      <w:r>
        <w:rPr>
          <w:rFonts w:eastAsia="Palatino Linotype"/>
          <w:color w:val="548DD4"/>
          <w:sz w:val="28"/>
          <w:szCs w:val="24"/>
          <w:lang w:val="pt-BR"/>
        </w:rPr>
        <w:t>qualify</w:t>
      </w:r>
      <w:proofErr w:type="spellEnd"/>
      <w:r>
        <w:rPr>
          <w:rFonts w:eastAsia="Palatino Linotype"/>
          <w:color w:val="548DD4"/>
          <w:sz w:val="28"/>
          <w:szCs w:val="24"/>
          <w:lang w:val="pt-BR"/>
        </w:rPr>
        <w:t xml:space="preserve"> as </w:t>
      </w:r>
      <w:proofErr w:type="spellStart"/>
      <w:r>
        <w:rPr>
          <w:rFonts w:eastAsia="Palatino Linotype"/>
          <w:color w:val="548DD4"/>
          <w:sz w:val="28"/>
          <w:szCs w:val="24"/>
          <w:lang w:val="pt-BR"/>
        </w:rPr>
        <w:t>national</w:t>
      </w:r>
      <w:proofErr w:type="spellEnd"/>
    </w:p>
    <w:p w14:paraId="317EB058" w14:textId="77777777" w:rsidR="00E255F4" w:rsidRDefault="00E255F4">
      <w:pPr>
        <w:spacing w:before="1" w:line="360" w:lineRule="auto"/>
        <w:ind w:right="-142"/>
        <w:jc w:val="both"/>
        <w:rPr>
          <w:rFonts w:eastAsia="Palatino Linotype"/>
          <w:color w:val="548DD4"/>
          <w:sz w:val="24"/>
          <w:szCs w:val="24"/>
          <w:lang w:val="es-ES"/>
        </w:rPr>
      </w:pPr>
    </w:p>
    <w:p w14:paraId="643FEECB" w14:textId="77777777" w:rsidR="00E255F4" w:rsidRDefault="00E255F4">
      <w:pPr>
        <w:ind w:right="-142"/>
        <w:jc w:val="both"/>
        <w:rPr>
          <w:rFonts w:eastAsia="Palatino Linotype"/>
          <w:spacing w:val="-3"/>
          <w:sz w:val="24"/>
          <w:szCs w:val="24"/>
          <w:lang w:val="es-ES"/>
        </w:rPr>
      </w:pPr>
    </w:p>
    <w:p w14:paraId="03B8BEE3" w14:textId="77777777" w:rsidR="00E255F4" w:rsidRDefault="00000000">
      <w:pPr>
        <w:ind w:right="-142"/>
        <w:jc w:val="both"/>
        <w:rPr>
          <w:rFonts w:eastAsia="Palatino Linotype"/>
          <w:sz w:val="22"/>
          <w:szCs w:val="24"/>
          <w:lang w:val="es-ES"/>
        </w:rPr>
      </w:pPr>
      <w:proofErr w:type="spellStart"/>
      <w:r>
        <w:rPr>
          <w:rFonts w:eastAsia="Palatino Linotype"/>
          <w:spacing w:val="-3"/>
          <w:sz w:val="22"/>
          <w:szCs w:val="24"/>
          <w:lang w:val="es-ES"/>
        </w:rPr>
        <w:t>AND</w:t>
      </w:r>
      <w:r>
        <w:rPr>
          <w:rFonts w:eastAsia="Palatino Linotype"/>
          <w:sz w:val="22"/>
          <w:szCs w:val="24"/>
          <w:lang w:val="es-ES"/>
        </w:rPr>
        <w:t>The</w:t>
      </w:r>
      <w:proofErr w:type="spellEnd"/>
      <w:r>
        <w:rPr>
          <w:rFonts w:eastAsia="Palatino Linotype"/>
          <w:sz w:val="22"/>
          <w:szCs w:val="24"/>
          <w:lang w:val="es-ES"/>
        </w:rPr>
        <w:t xml:space="preserve"> </w:t>
      </w:r>
      <w:proofErr w:type="spellStart"/>
      <w:r>
        <w:rPr>
          <w:rFonts w:eastAsia="Palatino Linotype"/>
          <w:sz w:val="22"/>
          <w:szCs w:val="24"/>
          <w:lang w:val="es-ES"/>
        </w:rPr>
        <w:t>undersigned</w:t>
      </w:r>
      <w:proofErr w:type="spellEnd"/>
      <w:r>
        <w:rPr>
          <w:rFonts w:eastAsia="Palatino Linotype"/>
          <w:sz w:val="22"/>
          <w:szCs w:val="24"/>
          <w:lang w:val="es-ES"/>
        </w:rPr>
        <w:t xml:space="preserve"> (NAME OF THE PERSON WHO SIGNS AND HAS SUFFICIENT POWERS TO REPRESENT THE OFFERING COMPANY) </w:t>
      </w:r>
      <w:proofErr w:type="spellStart"/>
      <w:r>
        <w:rPr>
          <w:rFonts w:eastAsia="Palatino Linotype"/>
          <w:sz w:val="22"/>
          <w:szCs w:val="24"/>
          <w:lang w:val="es-ES"/>
        </w:rPr>
        <w:t>on</w:t>
      </w:r>
      <w:proofErr w:type="spellEnd"/>
      <w:r>
        <w:rPr>
          <w:rFonts w:eastAsia="Palatino Linotype"/>
          <w:sz w:val="22"/>
          <w:szCs w:val="24"/>
          <w:lang w:val="es-ES"/>
        </w:rPr>
        <w:t xml:space="preserve"> </w:t>
      </w:r>
      <w:proofErr w:type="spellStart"/>
      <w:r>
        <w:rPr>
          <w:rFonts w:eastAsia="Palatino Linotype"/>
          <w:sz w:val="22"/>
          <w:szCs w:val="24"/>
          <w:lang w:val="es-ES"/>
        </w:rPr>
        <w:t>behalf</w:t>
      </w:r>
      <w:proofErr w:type="spellEnd"/>
      <w:r>
        <w:rPr>
          <w:rFonts w:eastAsia="Palatino Linotype"/>
          <w:sz w:val="22"/>
          <w:szCs w:val="24"/>
          <w:lang w:val="es-ES"/>
        </w:rPr>
        <w:t xml:space="preserve"> </w:t>
      </w:r>
      <w:proofErr w:type="spellStart"/>
      <w:r>
        <w:rPr>
          <w:rFonts w:eastAsia="Palatino Linotype"/>
          <w:sz w:val="22"/>
          <w:szCs w:val="24"/>
          <w:lang w:val="es-ES"/>
        </w:rPr>
        <w:t>of</w:t>
      </w:r>
      <w:proofErr w:type="spellEnd"/>
      <w:r>
        <w:rPr>
          <w:rFonts w:eastAsia="Palatino Linotype"/>
          <w:sz w:val="22"/>
          <w:szCs w:val="24"/>
          <w:lang w:val="es-ES"/>
        </w:rPr>
        <w:t xml:space="preserve"> (NAME OF THE OFFERING COMPANY) declares </w:t>
      </w:r>
      <w:proofErr w:type="spellStart"/>
      <w:r>
        <w:rPr>
          <w:rFonts w:eastAsia="Palatino Linotype"/>
          <w:sz w:val="22"/>
          <w:szCs w:val="24"/>
          <w:lang w:val="es-ES"/>
        </w:rPr>
        <w:t>that</w:t>
      </w:r>
      <w:proofErr w:type="spellEnd"/>
      <w:r>
        <w:rPr>
          <w:rFonts w:eastAsia="Palatino Linotype"/>
          <w:sz w:val="22"/>
          <w:szCs w:val="24"/>
          <w:lang w:val="es-ES"/>
        </w:rPr>
        <w:t xml:space="preserve"> </w:t>
      </w:r>
      <w:proofErr w:type="spellStart"/>
      <w:r>
        <w:rPr>
          <w:rFonts w:eastAsia="Palatino Linotype"/>
          <w:sz w:val="22"/>
          <w:szCs w:val="24"/>
          <w:lang w:val="es-ES"/>
        </w:rPr>
        <w:t>the</w:t>
      </w:r>
      <w:proofErr w:type="spellEnd"/>
      <w:r>
        <w:rPr>
          <w:rFonts w:eastAsia="Palatino Linotype"/>
          <w:sz w:val="22"/>
          <w:szCs w:val="24"/>
          <w:lang w:val="es-ES"/>
        </w:rPr>
        <w:t xml:space="preserve"> </w:t>
      </w:r>
      <w:proofErr w:type="spellStart"/>
      <w:r>
        <w:rPr>
          <w:rFonts w:eastAsia="Palatino Linotype"/>
          <w:sz w:val="22"/>
          <w:szCs w:val="24"/>
          <w:lang w:val="es-ES"/>
        </w:rPr>
        <w:t>goods</w:t>
      </w:r>
      <w:proofErr w:type="spellEnd"/>
      <w:r>
        <w:rPr>
          <w:rFonts w:eastAsia="Palatino Linotype"/>
          <w:sz w:val="22"/>
          <w:szCs w:val="24"/>
          <w:lang w:val="es-ES"/>
        </w:rPr>
        <w:t xml:space="preserve"> </w:t>
      </w:r>
      <w:proofErr w:type="spellStart"/>
      <w:r>
        <w:rPr>
          <w:rFonts w:eastAsia="Palatino Linotype"/>
          <w:sz w:val="22"/>
          <w:szCs w:val="24"/>
          <w:lang w:val="es-ES"/>
        </w:rPr>
        <w:t>included</w:t>
      </w:r>
      <w:proofErr w:type="spellEnd"/>
      <w:r>
        <w:rPr>
          <w:rFonts w:eastAsia="Palatino Linotype"/>
          <w:sz w:val="22"/>
          <w:szCs w:val="24"/>
          <w:lang w:val="es-ES"/>
        </w:rPr>
        <w:t xml:space="preserve"> in </w:t>
      </w:r>
      <w:proofErr w:type="spellStart"/>
      <w:r>
        <w:rPr>
          <w:rFonts w:eastAsia="Palatino Linotype"/>
          <w:sz w:val="22"/>
          <w:szCs w:val="24"/>
          <w:lang w:val="es-ES"/>
        </w:rPr>
        <w:t>the</w:t>
      </w:r>
      <w:proofErr w:type="spellEnd"/>
      <w:r>
        <w:rPr>
          <w:rFonts w:eastAsia="Palatino Linotype"/>
          <w:sz w:val="22"/>
          <w:szCs w:val="24"/>
          <w:lang w:val="es-ES"/>
        </w:rPr>
        <w:t xml:space="preserve"> </w:t>
      </w:r>
      <w:proofErr w:type="spellStart"/>
      <w:r>
        <w:rPr>
          <w:rFonts w:eastAsia="Palatino Linotype"/>
          <w:sz w:val="22"/>
          <w:szCs w:val="24"/>
          <w:lang w:val="es-ES"/>
        </w:rPr>
        <w:t>offer</w:t>
      </w:r>
      <w:proofErr w:type="spellEnd"/>
      <w:r>
        <w:rPr>
          <w:rFonts w:eastAsia="Palatino Linotype"/>
          <w:sz w:val="22"/>
          <w:szCs w:val="24"/>
          <w:lang w:val="es-ES"/>
        </w:rPr>
        <w:t xml:space="preserve"> </w:t>
      </w:r>
      <w:proofErr w:type="spellStart"/>
      <w:r>
        <w:rPr>
          <w:rFonts w:eastAsia="Palatino Linotype"/>
          <w:sz w:val="22"/>
          <w:szCs w:val="24"/>
          <w:lang w:val="es-ES"/>
        </w:rPr>
        <w:t>detailed</w:t>
      </w:r>
      <w:proofErr w:type="spellEnd"/>
      <w:r>
        <w:rPr>
          <w:rFonts w:eastAsia="Palatino Linotype"/>
          <w:sz w:val="22"/>
          <w:szCs w:val="24"/>
          <w:lang w:val="es-ES"/>
        </w:rPr>
        <w:t xml:space="preserve"> </w:t>
      </w:r>
      <w:proofErr w:type="spellStart"/>
      <w:r>
        <w:rPr>
          <w:rFonts w:eastAsia="Palatino Linotype"/>
          <w:sz w:val="22"/>
          <w:szCs w:val="24"/>
          <w:lang w:val="es-ES"/>
        </w:rPr>
        <w:t>below</w:t>
      </w:r>
      <w:proofErr w:type="spellEnd"/>
      <w:r>
        <w:rPr>
          <w:rFonts w:eastAsia="Palatino Linotype"/>
          <w:sz w:val="22"/>
          <w:szCs w:val="24"/>
          <w:lang w:val="es-ES"/>
        </w:rPr>
        <w:t xml:space="preserve"> </w:t>
      </w:r>
      <w:proofErr w:type="spellStart"/>
      <w:r>
        <w:rPr>
          <w:rFonts w:eastAsia="Palatino Linotype"/>
          <w:sz w:val="22"/>
          <w:szCs w:val="24"/>
          <w:lang w:val="es-ES"/>
        </w:rPr>
        <w:t>qualify</w:t>
      </w:r>
      <w:proofErr w:type="spellEnd"/>
      <w:r>
        <w:rPr>
          <w:rFonts w:eastAsia="Palatino Linotype"/>
          <w:sz w:val="22"/>
          <w:szCs w:val="24"/>
          <w:lang w:val="es-ES"/>
        </w:rPr>
        <w:t xml:space="preserve"> as </w:t>
      </w:r>
      <w:proofErr w:type="spellStart"/>
      <w:r>
        <w:rPr>
          <w:rFonts w:eastAsia="Palatino Linotype"/>
          <w:sz w:val="22"/>
          <w:szCs w:val="24"/>
          <w:lang w:val="es-ES"/>
        </w:rPr>
        <w:t>national</w:t>
      </w:r>
      <w:proofErr w:type="spellEnd"/>
      <w:r>
        <w:rPr>
          <w:rFonts w:eastAsia="Palatino Linotype"/>
          <w:sz w:val="22"/>
          <w:szCs w:val="24"/>
          <w:lang w:val="es-ES"/>
        </w:rPr>
        <w:t xml:space="preserve"> in </w:t>
      </w:r>
      <w:proofErr w:type="spellStart"/>
      <w:r>
        <w:rPr>
          <w:rFonts w:eastAsia="Palatino Linotype"/>
          <w:sz w:val="22"/>
          <w:szCs w:val="24"/>
          <w:lang w:val="es-ES"/>
        </w:rPr>
        <w:t>accordance</w:t>
      </w:r>
      <w:proofErr w:type="spellEnd"/>
      <w:r>
        <w:rPr>
          <w:rFonts w:eastAsia="Palatino Linotype"/>
          <w:sz w:val="22"/>
          <w:szCs w:val="24"/>
          <w:lang w:val="es-ES"/>
        </w:rPr>
        <w:t xml:space="preserve"> </w:t>
      </w:r>
      <w:proofErr w:type="spellStart"/>
      <w:r>
        <w:rPr>
          <w:rFonts w:eastAsia="Palatino Linotype"/>
          <w:sz w:val="22"/>
          <w:szCs w:val="24"/>
          <w:lang w:val="es-ES"/>
        </w:rPr>
        <w:t>with</w:t>
      </w:r>
      <w:proofErr w:type="spellEnd"/>
      <w:r>
        <w:rPr>
          <w:rFonts w:eastAsia="Palatino Linotype"/>
          <w:sz w:val="22"/>
          <w:szCs w:val="24"/>
          <w:lang w:val="es-ES"/>
        </w:rPr>
        <w:t xml:space="preserve"> </w:t>
      </w:r>
      <w:proofErr w:type="spellStart"/>
      <w:r>
        <w:rPr>
          <w:rFonts w:eastAsia="Palatino Linotype"/>
          <w:sz w:val="22"/>
          <w:szCs w:val="24"/>
          <w:lang w:val="es-ES"/>
        </w:rPr>
        <w:t>current</w:t>
      </w:r>
      <w:proofErr w:type="spellEnd"/>
      <w:r>
        <w:rPr>
          <w:rFonts w:eastAsia="Palatino Linotype"/>
          <w:sz w:val="22"/>
          <w:szCs w:val="24"/>
          <w:lang w:val="es-ES"/>
        </w:rPr>
        <w:t xml:space="preserve"> </w:t>
      </w:r>
      <w:proofErr w:type="spellStart"/>
      <w:r>
        <w:rPr>
          <w:rFonts w:eastAsia="Palatino Linotype"/>
          <w:sz w:val="22"/>
          <w:szCs w:val="24"/>
          <w:lang w:val="es-ES"/>
        </w:rPr>
        <w:t>regulations</w:t>
      </w:r>
      <w:proofErr w:type="spellEnd"/>
      <w:r>
        <w:rPr>
          <w:rFonts w:eastAsia="Palatino Linotype"/>
          <w:sz w:val="22"/>
          <w:szCs w:val="24"/>
          <w:lang w:val="es-ES"/>
        </w:rPr>
        <w:t>.</w:t>
      </w:r>
    </w:p>
    <w:p w14:paraId="617FB579" w14:textId="77777777" w:rsidR="00E255F4" w:rsidRDefault="00E255F4">
      <w:pPr>
        <w:spacing w:before="8"/>
        <w:ind w:right="-142"/>
        <w:jc w:val="both"/>
        <w:rPr>
          <w:rFonts w:eastAsia="Palatino Linotype"/>
          <w:sz w:val="22"/>
          <w:szCs w:val="24"/>
          <w:lang w:val="es-ES"/>
        </w:rPr>
      </w:pPr>
    </w:p>
    <w:p w14:paraId="7B61C6D5" w14:textId="77777777" w:rsidR="00E255F4" w:rsidRDefault="00000000">
      <w:pPr>
        <w:ind w:right="-142"/>
        <w:jc w:val="both"/>
        <w:rPr>
          <w:rFonts w:eastAsia="Palatino Linotype"/>
          <w:sz w:val="22"/>
          <w:szCs w:val="24"/>
          <w:lang w:val="es-ES"/>
        </w:rPr>
      </w:pPr>
      <w:proofErr w:type="spellStart"/>
      <w:r>
        <w:rPr>
          <w:rFonts w:eastAsia="Palatino Linotype"/>
          <w:spacing w:val="-7"/>
          <w:sz w:val="22"/>
          <w:szCs w:val="24"/>
          <w:lang w:val="es-ES"/>
        </w:rPr>
        <w:t>Po</w:t>
      </w:r>
      <w:r>
        <w:rPr>
          <w:rFonts w:eastAsia="Palatino Linotype"/>
          <w:sz w:val="22"/>
          <w:szCs w:val="24"/>
          <w:lang w:val="es-ES"/>
        </w:rPr>
        <w:t>Therefore</w:t>
      </w:r>
      <w:proofErr w:type="spellEnd"/>
      <w:r>
        <w:rPr>
          <w:rFonts w:eastAsia="Palatino Linotype"/>
          <w:sz w:val="22"/>
          <w:szCs w:val="24"/>
          <w:lang w:val="es-ES"/>
        </w:rPr>
        <w:t xml:space="preserve">, </w:t>
      </w:r>
      <w:proofErr w:type="spellStart"/>
      <w:r>
        <w:rPr>
          <w:rFonts w:eastAsia="Palatino Linotype"/>
          <w:sz w:val="22"/>
          <w:szCs w:val="24"/>
          <w:lang w:val="es-ES"/>
        </w:rPr>
        <w:t>it</w:t>
      </w:r>
      <w:proofErr w:type="spellEnd"/>
      <w:r>
        <w:rPr>
          <w:rFonts w:eastAsia="Palatino Linotype"/>
          <w:sz w:val="22"/>
          <w:szCs w:val="24"/>
          <w:lang w:val="es-ES"/>
        </w:rPr>
        <w:t xml:space="preserve"> </w:t>
      </w:r>
      <w:proofErr w:type="spellStart"/>
      <w:r>
        <w:rPr>
          <w:rFonts w:eastAsia="Palatino Linotype"/>
          <w:sz w:val="22"/>
          <w:szCs w:val="24"/>
          <w:lang w:val="es-ES"/>
        </w:rPr>
        <w:t>requests</w:t>
      </w:r>
      <w:proofErr w:type="spellEnd"/>
      <w:r>
        <w:rPr>
          <w:rFonts w:eastAsia="Palatino Linotype"/>
          <w:sz w:val="22"/>
          <w:szCs w:val="24"/>
          <w:lang w:val="es-ES"/>
        </w:rPr>
        <w:t xml:space="preserve"> </w:t>
      </w:r>
      <w:proofErr w:type="spellStart"/>
      <w:r>
        <w:rPr>
          <w:rFonts w:eastAsia="Palatino Linotype"/>
          <w:sz w:val="22"/>
          <w:szCs w:val="24"/>
          <w:lang w:val="es-ES"/>
        </w:rPr>
        <w:t>the</w:t>
      </w:r>
      <w:proofErr w:type="spellEnd"/>
      <w:r>
        <w:rPr>
          <w:rFonts w:eastAsia="Palatino Linotype"/>
          <w:sz w:val="22"/>
          <w:szCs w:val="24"/>
          <w:lang w:val="es-ES"/>
        </w:rPr>
        <w:t xml:space="preserve"> </w:t>
      </w:r>
      <w:proofErr w:type="spellStart"/>
      <w:r>
        <w:rPr>
          <w:rFonts w:eastAsia="Palatino Linotype"/>
          <w:sz w:val="22"/>
          <w:szCs w:val="24"/>
          <w:lang w:val="es-ES"/>
        </w:rPr>
        <w:t>application</w:t>
      </w:r>
      <w:proofErr w:type="spellEnd"/>
      <w:r>
        <w:rPr>
          <w:rFonts w:eastAsia="Palatino Linotype"/>
          <w:sz w:val="22"/>
          <w:szCs w:val="24"/>
          <w:lang w:val="es-ES"/>
        </w:rPr>
        <w:t xml:space="preserve"> </w:t>
      </w:r>
      <w:proofErr w:type="spellStart"/>
      <w:r>
        <w:rPr>
          <w:rFonts w:eastAsia="Palatino Linotype"/>
          <w:sz w:val="22"/>
          <w:szCs w:val="24"/>
          <w:lang w:val="es-ES"/>
        </w:rPr>
        <w:t>of</w:t>
      </w:r>
      <w:proofErr w:type="spellEnd"/>
      <w:r>
        <w:rPr>
          <w:rFonts w:eastAsia="Palatino Linotype"/>
          <w:sz w:val="22"/>
          <w:szCs w:val="24"/>
          <w:lang w:val="es-ES"/>
        </w:rPr>
        <w:t xml:space="preserve"> </w:t>
      </w:r>
      <w:proofErr w:type="spellStart"/>
      <w:r>
        <w:rPr>
          <w:rFonts w:eastAsia="Palatino Linotype"/>
          <w:sz w:val="22"/>
          <w:szCs w:val="24"/>
          <w:lang w:val="es-ES"/>
        </w:rPr>
        <w:t>the</w:t>
      </w:r>
      <w:proofErr w:type="spellEnd"/>
      <w:r>
        <w:rPr>
          <w:rFonts w:eastAsia="Palatino Linotype"/>
          <w:sz w:val="22"/>
          <w:szCs w:val="24"/>
          <w:lang w:val="es-ES"/>
        </w:rPr>
        <w:t xml:space="preserve"> </w:t>
      </w:r>
      <w:proofErr w:type="spellStart"/>
      <w:r>
        <w:rPr>
          <w:rFonts w:eastAsia="Palatino Linotype"/>
          <w:sz w:val="22"/>
          <w:szCs w:val="24"/>
          <w:lang w:val="es-ES"/>
        </w:rPr>
        <w:t>benefit</w:t>
      </w:r>
      <w:proofErr w:type="spellEnd"/>
      <w:r>
        <w:rPr>
          <w:rFonts w:eastAsia="Palatino Linotype"/>
          <w:sz w:val="22"/>
          <w:szCs w:val="24"/>
          <w:lang w:val="es-ES"/>
        </w:rPr>
        <w:t xml:space="preserve"> </w:t>
      </w:r>
      <w:proofErr w:type="spellStart"/>
      <w:r>
        <w:rPr>
          <w:rFonts w:eastAsia="Palatino Linotype"/>
          <w:sz w:val="22"/>
          <w:szCs w:val="24"/>
          <w:lang w:val="es-ES"/>
        </w:rPr>
        <w:t>enshrined</w:t>
      </w:r>
      <w:proofErr w:type="spellEnd"/>
      <w:r>
        <w:rPr>
          <w:rFonts w:eastAsia="Palatino Linotype"/>
          <w:sz w:val="22"/>
          <w:szCs w:val="24"/>
          <w:lang w:val="es-ES"/>
        </w:rPr>
        <w:t xml:space="preserve"> in </w:t>
      </w:r>
      <w:proofErr w:type="spellStart"/>
      <w:r>
        <w:rPr>
          <w:rFonts w:eastAsia="Palatino Linotype"/>
          <w:sz w:val="22"/>
          <w:szCs w:val="24"/>
          <w:lang w:val="es-ES"/>
        </w:rPr>
        <w:t>Article</w:t>
      </w:r>
      <w:proofErr w:type="spellEnd"/>
      <w:r>
        <w:rPr>
          <w:rFonts w:eastAsia="Palatino Linotype"/>
          <w:sz w:val="22"/>
          <w:szCs w:val="24"/>
          <w:lang w:val="es-ES"/>
        </w:rPr>
        <w:t xml:space="preserve"> 58 </w:t>
      </w:r>
      <w:proofErr w:type="spellStart"/>
      <w:r>
        <w:rPr>
          <w:rFonts w:eastAsia="Palatino Linotype"/>
          <w:sz w:val="22"/>
          <w:szCs w:val="24"/>
          <w:lang w:val="es-ES"/>
        </w:rPr>
        <w:t>of</w:t>
      </w:r>
      <w:proofErr w:type="spellEnd"/>
      <w:r>
        <w:rPr>
          <w:rFonts w:eastAsia="Palatino Linotype"/>
          <w:sz w:val="22"/>
          <w:szCs w:val="24"/>
          <w:lang w:val="es-ES"/>
        </w:rPr>
        <w:t xml:space="preserve"> </w:t>
      </w:r>
      <w:proofErr w:type="spellStart"/>
      <w:r>
        <w:rPr>
          <w:rFonts w:eastAsia="Palatino Linotype"/>
          <w:sz w:val="22"/>
          <w:szCs w:val="24"/>
          <w:lang w:val="es-ES"/>
        </w:rPr>
        <w:t>the</w:t>
      </w:r>
      <w:proofErr w:type="spellEnd"/>
      <w:r>
        <w:rPr>
          <w:rFonts w:eastAsia="Palatino Linotype"/>
          <w:sz w:val="22"/>
          <w:szCs w:val="24"/>
          <w:lang w:val="es-ES"/>
        </w:rPr>
        <w:t xml:space="preserve"> TOCAF.</w:t>
      </w:r>
    </w:p>
    <w:p w14:paraId="7115DE73" w14:textId="77777777" w:rsidR="00E255F4" w:rsidRDefault="00E255F4">
      <w:pPr>
        <w:spacing w:before="1" w:line="360" w:lineRule="auto"/>
        <w:jc w:val="both"/>
        <w:rPr>
          <w:rFonts w:eastAsia="Palatino Linotype"/>
          <w:sz w:val="22"/>
          <w:szCs w:val="24"/>
          <w:lang w:val="es-ES"/>
        </w:rPr>
      </w:pPr>
    </w:p>
    <w:p w14:paraId="6F03D264" w14:textId="77777777" w:rsidR="00E255F4" w:rsidRDefault="00000000">
      <w:pPr>
        <w:tabs>
          <w:tab w:val="left" w:pos="10490"/>
        </w:tabs>
        <w:spacing w:line="360" w:lineRule="auto"/>
        <w:ind w:right="8"/>
        <w:jc w:val="center"/>
        <w:rPr>
          <w:rFonts w:eastAsia="Palatino Linotype"/>
          <w:sz w:val="22"/>
          <w:szCs w:val="24"/>
          <w:lang w:val="es-ES"/>
        </w:rPr>
      </w:pPr>
      <w:r>
        <w:rPr>
          <w:rFonts w:eastAsia="Palatino Linotype"/>
          <w:sz w:val="22"/>
          <w:szCs w:val="24"/>
          <w:lang w:val="es-ES"/>
        </w:rPr>
        <w:t>____________________</w:t>
      </w:r>
    </w:p>
    <w:p w14:paraId="00AB46D6" w14:textId="77777777" w:rsidR="00E255F4" w:rsidRDefault="00000000">
      <w:pPr>
        <w:tabs>
          <w:tab w:val="left" w:pos="10490"/>
        </w:tabs>
        <w:spacing w:line="360" w:lineRule="auto"/>
        <w:ind w:right="8"/>
        <w:jc w:val="center"/>
        <w:rPr>
          <w:rFonts w:eastAsia="Palatino Linotype"/>
          <w:sz w:val="22"/>
          <w:szCs w:val="24"/>
          <w:lang w:val="es-ES"/>
        </w:rPr>
      </w:pPr>
      <w:proofErr w:type="spellStart"/>
      <w:r>
        <w:rPr>
          <w:rFonts w:eastAsia="Palatino Linotype"/>
          <w:sz w:val="22"/>
          <w:szCs w:val="24"/>
          <w:lang w:val="es-ES"/>
        </w:rPr>
        <w:t>Authorized</w:t>
      </w:r>
      <w:proofErr w:type="spellEnd"/>
      <w:r>
        <w:rPr>
          <w:rFonts w:eastAsia="Palatino Linotype"/>
          <w:sz w:val="22"/>
          <w:szCs w:val="24"/>
          <w:lang w:val="es-ES"/>
        </w:rPr>
        <w:t xml:space="preserve"> </w:t>
      </w:r>
      <w:proofErr w:type="spellStart"/>
      <w:r>
        <w:rPr>
          <w:rFonts w:eastAsia="Palatino Linotype"/>
          <w:sz w:val="22"/>
          <w:szCs w:val="24"/>
          <w:lang w:val="es-ES"/>
        </w:rPr>
        <w:t>signature</w:t>
      </w:r>
      <w:proofErr w:type="spellEnd"/>
    </w:p>
    <w:p w14:paraId="45C920A3" w14:textId="77777777" w:rsidR="00E255F4" w:rsidRDefault="00E255F4">
      <w:pPr>
        <w:tabs>
          <w:tab w:val="left" w:pos="10490"/>
        </w:tabs>
        <w:spacing w:line="360" w:lineRule="auto"/>
        <w:ind w:right="8"/>
        <w:jc w:val="center"/>
        <w:rPr>
          <w:rFonts w:eastAsia="Palatino Linotype"/>
          <w:sz w:val="22"/>
          <w:szCs w:val="24"/>
          <w:lang w:val="es-ES"/>
        </w:rPr>
      </w:pPr>
    </w:p>
    <w:p w14:paraId="4FF5DD17" w14:textId="77777777" w:rsidR="00E255F4" w:rsidRDefault="00E255F4">
      <w:pPr>
        <w:tabs>
          <w:tab w:val="left" w:pos="10490"/>
        </w:tabs>
        <w:spacing w:line="360" w:lineRule="auto"/>
        <w:ind w:right="8"/>
        <w:jc w:val="center"/>
        <w:rPr>
          <w:rFonts w:eastAsia="Palatino Linotype"/>
          <w:sz w:val="22"/>
          <w:szCs w:val="24"/>
          <w:lang w:val="es-ES"/>
        </w:rPr>
      </w:pPr>
    </w:p>
    <w:p w14:paraId="262F926D" w14:textId="77777777" w:rsidR="00E255F4" w:rsidRDefault="00E255F4">
      <w:pPr>
        <w:tabs>
          <w:tab w:val="left" w:pos="10490"/>
        </w:tabs>
        <w:spacing w:line="360" w:lineRule="auto"/>
        <w:ind w:right="8"/>
        <w:jc w:val="center"/>
        <w:rPr>
          <w:rFonts w:eastAsia="Palatino Linotype"/>
          <w:sz w:val="22"/>
          <w:szCs w:val="24"/>
          <w:lang w:val="es-ES"/>
        </w:rPr>
      </w:pPr>
    </w:p>
    <w:p w14:paraId="0A1115A0" w14:textId="77777777" w:rsidR="00E255F4" w:rsidRDefault="00000000">
      <w:pPr>
        <w:ind w:right="-34" w:firstLine="284"/>
        <w:jc w:val="center"/>
        <w:outlineLvl w:val="0"/>
        <w:rPr>
          <w:rFonts w:eastAsia="Palatino Linotype"/>
          <w:color w:val="548DD4"/>
          <w:sz w:val="28"/>
          <w:szCs w:val="24"/>
          <w:lang w:val="pt-BR"/>
        </w:rPr>
      </w:pPr>
      <w:bookmarkStart w:id="68" w:name="__RefHeading___Toc225377245"/>
      <w:bookmarkEnd w:id="68"/>
      <w:r>
        <w:rPr>
          <w:rFonts w:eastAsia="Palatino Linotype"/>
          <w:color w:val="548DD4"/>
          <w:sz w:val="28"/>
          <w:szCs w:val="24"/>
          <w:lang w:val="pt-BR"/>
        </w:rPr>
        <w:t>ANNEX II</w:t>
      </w:r>
    </w:p>
    <w:p w14:paraId="4C774D2D" w14:textId="77777777" w:rsidR="00E255F4" w:rsidRDefault="00000000">
      <w:pPr>
        <w:ind w:right="-34" w:firstLine="284"/>
        <w:jc w:val="center"/>
        <w:outlineLvl w:val="0"/>
        <w:rPr>
          <w:rFonts w:eastAsia="Palatino Linotype"/>
          <w:color w:val="548DD4"/>
          <w:sz w:val="28"/>
          <w:szCs w:val="24"/>
        </w:rPr>
      </w:pPr>
      <w:bookmarkStart w:id="69" w:name="__RefHeading___Toc131_3847131730"/>
      <w:bookmarkStart w:id="70" w:name="__RefHeading___Toc225377246"/>
      <w:bookmarkEnd w:id="69"/>
      <w:proofErr w:type="spellStart"/>
      <w:r>
        <w:rPr>
          <w:rFonts w:eastAsia="Palatino Linotype"/>
          <w:color w:val="548DD4"/>
          <w:sz w:val="28"/>
          <w:szCs w:val="24"/>
        </w:rPr>
        <w:t>Declaration</w:t>
      </w:r>
      <w:proofErr w:type="spellEnd"/>
      <w:r>
        <w:rPr>
          <w:rFonts w:eastAsia="Palatino Linotype"/>
          <w:color w:val="548DD4"/>
          <w:sz w:val="28"/>
          <w:szCs w:val="24"/>
        </w:rPr>
        <w:t xml:space="preserve"> </w:t>
      </w:r>
      <w:proofErr w:type="spellStart"/>
      <w:r>
        <w:rPr>
          <w:rFonts w:eastAsia="Palatino Linotype"/>
          <w:color w:val="548DD4"/>
          <w:sz w:val="28"/>
          <w:szCs w:val="24"/>
        </w:rPr>
        <w:t>template</w:t>
      </w:r>
      <w:proofErr w:type="spellEnd"/>
      <w:r>
        <w:rPr>
          <w:rFonts w:eastAsia="Palatino Linotype"/>
          <w:color w:val="548DD4"/>
          <w:sz w:val="28"/>
          <w:szCs w:val="24"/>
        </w:rPr>
        <w:t xml:space="preserve"> </w:t>
      </w:r>
      <w:proofErr w:type="spellStart"/>
      <w:r>
        <w:rPr>
          <w:rFonts w:eastAsia="Palatino Linotype"/>
          <w:color w:val="548DD4"/>
          <w:sz w:val="28"/>
          <w:szCs w:val="24"/>
        </w:rPr>
        <w:t>for</w:t>
      </w:r>
      <w:proofErr w:type="spellEnd"/>
      <w:r>
        <w:rPr>
          <w:rFonts w:eastAsia="Palatino Linotype"/>
          <w:color w:val="548DD4"/>
          <w:sz w:val="28"/>
          <w:szCs w:val="24"/>
        </w:rPr>
        <w:t xml:space="preserve"> SERVICES (WITH </w:t>
      </w:r>
      <w:proofErr w:type="spellStart"/>
      <w:r>
        <w:rPr>
          <w:rFonts w:eastAsia="Palatino Linotype"/>
          <w:color w:val="548DD4"/>
          <w:sz w:val="28"/>
          <w:szCs w:val="24"/>
        </w:rPr>
        <w:t>Supply</w:t>
      </w:r>
      <w:proofErr w:type="spellEnd"/>
      <w:r>
        <w:rPr>
          <w:rFonts w:eastAsia="Palatino Linotype"/>
          <w:color w:val="548DD4"/>
          <w:sz w:val="28"/>
          <w:szCs w:val="24"/>
        </w:rPr>
        <w:t xml:space="preserve"> </w:t>
      </w:r>
      <w:proofErr w:type="spellStart"/>
      <w:r>
        <w:rPr>
          <w:rFonts w:eastAsia="Palatino Linotype"/>
          <w:color w:val="548DD4"/>
          <w:sz w:val="28"/>
          <w:szCs w:val="24"/>
        </w:rPr>
        <w:t>of</w:t>
      </w:r>
      <w:proofErr w:type="spellEnd"/>
      <w:r>
        <w:rPr>
          <w:rFonts w:eastAsia="Palatino Linotype"/>
          <w:color w:val="548DD4"/>
          <w:sz w:val="28"/>
          <w:szCs w:val="24"/>
        </w:rPr>
        <w:t xml:space="preserve"> </w:t>
      </w:r>
      <w:proofErr w:type="spellStart"/>
      <w:r>
        <w:rPr>
          <w:rFonts w:eastAsia="Palatino Linotype"/>
          <w:color w:val="548DD4"/>
          <w:sz w:val="28"/>
          <w:szCs w:val="24"/>
        </w:rPr>
        <w:t>goods</w:t>
      </w:r>
      <w:proofErr w:type="spellEnd"/>
      <w:r>
        <w:rPr>
          <w:rFonts w:eastAsia="Palatino Linotype"/>
          <w:color w:val="548DD4"/>
          <w:sz w:val="28"/>
          <w:szCs w:val="24"/>
        </w:rPr>
        <w:t xml:space="preserve">) </w:t>
      </w:r>
      <w:proofErr w:type="spellStart"/>
      <w:r>
        <w:rPr>
          <w:rFonts w:eastAsia="Palatino Linotype"/>
          <w:color w:val="548DD4"/>
          <w:sz w:val="28"/>
          <w:szCs w:val="24"/>
        </w:rPr>
        <w:t>that</w:t>
      </w:r>
      <w:proofErr w:type="spellEnd"/>
      <w:r>
        <w:rPr>
          <w:rFonts w:eastAsia="Palatino Linotype"/>
          <w:color w:val="548DD4"/>
          <w:sz w:val="28"/>
          <w:szCs w:val="24"/>
        </w:rPr>
        <w:t xml:space="preserve"> </w:t>
      </w:r>
      <w:proofErr w:type="spellStart"/>
      <w:r>
        <w:rPr>
          <w:rFonts w:eastAsia="Palatino Linotype"/>
          <w:color w:val="548DD4"/>
          <w:sz w:val="28"/>
          <w:szCs w:val="24"/>
        </w:rPr>
        <w:t>qualify</w:t>
      </w:r>
      <w:proofErr w:type="spellEnd"/>
      <w:r>
        <w:rPr>
          <w:rFonts w:eastAsia="Palatino Linotype"/>
          <w:color w:val="548DD4"/>
          <w:sz w:val="28"/>
          <w:szCs w:val="24"/>
        </w:rPr>
        <w:t xml:space="preserve"> as </w:t>
      </w:r>
      <w:proofErr w:type="spellStart"/>
      <w:r>
        <w:rPr>
          <w:rFonts w:eastAsia="Palatino Linotype"/>
          <w:color w:val="548DD4"/>
          <w:sz w:val="28"/>
          <w:szCs w:val="24"/>
        </w:rPr>
        <w:t>national</w:t>
      </w:r>
      <w:bookmarkEnd w:id="70"/>
      <w:proofErr w:type="spellEnd"/>
    </w:p>
    <w:p w14:paraId="17D89E14" w14:textId="77777777" w:rsidR="00E255F4" w:rsidRDefault="00E255F4">
      <w:pPr>
        <w:rPr>
          <w:rFonts w:eastAsia="Palatino Linotype"/>
          <w:color w:val="548DD4"/>
          <w:sz w:val="28"/>
          <w:szCs w:val="24"/>
          <w:lang w:val="pt-BR"/>
        </w:rPr>
      </w:pPr>
    </w:p>
    <w:p w14:paraId="6C3519DD" w14:textId="77777777" w:rsidR="00E255F4" w:rsidRDefault="00E255F4">
      <w:pPr>
        <w:rPr>
          <w:rFonts w:eastAsia="Palatino Linotype"/>
          <w:lang w:val="pt-BR"/>
        </w:rPr>
      </w:pPr>
    </w:p>
    <w:p w14:paraId="4C2E20C1" w14:textId="77777777" w:rsidR="00E255F4" w:rsidRDefault="00000000">
      <w:pPr>
        <w:ind w:right="-709"/>
        <w:jc w:val="both"/>
      </w:pPr>
      <w:proofErr w:type="spellStart"/>
      <w:r>
        <w:rPr>
          <w:rFonts w:eastAsia="Palatino Linotype"/>
          <w:spacing w:val="-3"/>
          <w:sz w:val="22"/>
          <w:szCs w:val="24"/>
          <w:lang w:val="es-ES"/>
        </w:rPr>
        <w:t>AND</w:t>
      </w:r>
      <w:r>
        <w:rPr>
          <w:rFonts w:eastAsia="Palatino Linotype"/>
          <w:sz w:val="22"/>
          <w:szCs w:val="24"/>
          <w:lang w:val="es-ES"/>
        </w:rPr>
        <w:t>The</w:t>
      </w:r>
      <w:proofErr w:type="spellEnd"/>
      <w:r>
        <w:rPr>
          <w:rFonts w:eastAsia="Palatino Linotype"/>
          <w:sz w:val="22"/>
          <w:szCs w:val="24"/>
          <w:lang w:val="es-ES"/>
        </w:rPr>
        <w:t xml:space="preserve"> </w:t>
      </w:r>
      <w:proofErr w:type="spellStart"/>
      <w:r>
        <w:rPr>
          <w:rFonts w:eastAsia="Palatino Linotype"/>
          <w:sz w:val="22"/>
          <w:szCs w:val="24"/>
          <w:lang w:val="es-ES"/>
        </w:rPr>
        <w:t>undersigned</w:t>
      </w:r>
      <w:proofErr w:type="spellEnd"/>
      <w:r>
        <w:rPr>
          <w:rFonts w:eastAsia="Palatino Linotype"/>
          <w:sz w:val="22"/>
          <w:szCs w:val="24"/>
          <w:lang w:val="es-ES"/>
        </w:rPr>
        <w:t xml:space="preserve"> (NAME OF THE PERSON WHO SIGNS AND HAS SUFFICIENT POWERS TO REPRESENT THE OFFERING COMPANY) </w:t>
      </w:r>
      <w:proofErr w:type="spellStart"/>
      <w:r>
        <w:rPr>
          <w:rFonts w:eastAsia="Palatino Linotype"/>
          <w:sz w:val="22"/>
          <w:szCs w:val="24"/>
          <w:lang w:val="es-ES"/>
        </w:rPr>
        <w:t>on</w:t>
      </w:r>
      <w:proofErr w:type="spellEnd"/>
      <w:r>
        <w:rPr>
          <w:rFonts w:eastAsia="Palatino Linotype"/>
          <w:sz w:val="22"/>
          <w:szCs w:val="24"/>
          <w:lang w:val="es-ES"/>
        </w:rPr>
        <w:t xml:space="preserve"> </w:t>
      </w:r>
      <w:proofErr w:type="spellStart"/>
      <w:r>
        <w:rPr>
          <w:rFonts w:eastAsia="Palatino Linotype"/>
          <w:sz w:val="22"/>
          <w:szCs w:val="24"/>
          <w:lang w:val="es-ES"/>
        </w:rPr>
        <w:t>behalf</w:t>
      </w:r>
      <w:proofErr w:type="spellEnd"/>
      <w:r>
        <w:rPr>
          <w:rFonts w:eastAsia="Palatino Linotype"/>
          <w:sz w:val="22"/>
          <w:szCs w:val="24"/>
          <w:lang w:val="es-ES"/>
        </w:rPr>
        <w:t xml:space="preserve"> </w:t>
      </w:r>
      <w:proofErr w:type="spellStart"/>
      <w:r>
        <w:rPr>
          <w:rFonts w:eastAsia="Palatino Linotype"/>
          <w:sz w:val="22"/>
          <w:szCs w:val="24"/>
          <w:lang w:val="es-ES"/>
        </w:rPr>
        <w:t>of</w:t>
      </w:r>
      <w:proofErr w:type="spellEnd"/>
      <w:r>
        <w:rPr>
          <w:rFonts w:eastAsia="Palatino Linotype"/>
          <w:sz w:val="22"/>
          <w:szCs w:val="24"/>
          <w:lang w:val="es-ES"/>
        </w:rPr>
        <w:t xml:space="preserve"> (NAME OF THE OFFERING COMPANY) declares </w:t>
      </w:r>
      <w:proofErr w:type="spellStart"/>
      <w:r>
        <w:rPr>
          <w:rFonts w:eastAsia="Palatino Linotype"/>
          <w:sz w:val="22"/>
          <w:szCs w:val="24"/>
          <w:lang w:val="es-ES"/>
        </w:rPr>
        <w:t>that</w:t>
      </w:r>
      <w:proofErr w:type="spellEnd"/>
      <w:r>
        <w:rPr>
          <w:rFonts w:eastAsia="Palatino Linotype"/>
          <w:sz w:val="22"/>
          <w:szCs w:val="24"/>
          <w:lang w:val="es-ES"/>
        </w:rPr>
        <w:t xml:space="preserve"> </w:t>
      </w:r>
      <w:proofErr w:type="spellStart"/>
      <w:r>
        <w:rPr>
          <w:rFonts w:eastAsia="Palatino Linotype"/>
          <w:sz w:val="22"/>
          <w:szCs w:val="24"/>
          <w:lang w:val="es-ES"/>
        </w:rPr>
        <w:t>its</w:t>
      </w:r>
      <w:proofErr w:type="spellEnd"/>
      <w:r>
        <w:rPr>
          <w:rFonts w:eastAsia="Palatino Linotype"/>
          <w:sz w:val="22"/>
          <w:szCs w:val="24"/>
          <w:lang w:val="es-ES"/>
        </w:rPr>
        <w:t xml:space="preserve"> </w:t>
      </w:r>
      <w:proofErr w:type="spellStart"/>
      <w:r>
        <w:rPr>
          <w:rFonts w:eastAsia="Palatino Linotype"/>
          <w:sz w:val="22"/>
          <w:szCs w:val="24"/>
          <w:lang w:val="es-ES"/>
        </w:rPr>
        <w:t>offer</w:t>
      </w:r>
      <w:proofErr w:type="spellEnd"/>
      <w:r>
        <w:rPr>
          <w:rFonts w:eastAsia="Palatino Linotype"/>
          <w:sz w:val="22"/>
          <w:szCs w:val="24"/>
          <w:lang w:val="es-ES"/>
        </w:rPr>
        <w:t xml:space="preserve"> </w:t>
      </w:r>
      <w:proofErr w:type="spellStart"/>
      <w:r>
        <w:rPr>
          <w:rFonts w:eastAsia="Palatino Linotype"/>
          <w:sz w:val="22"/>
          <w:szCs w:val="24"/>
          <w:lang w:val="es-ES"/>
        </w:rPr>
        <w:t>qualifies</w:t>
      </w:r>
      <w:proofErr w:type="spellEnd"/>
      <w:r>
        <w:rPr>
          <w:rFonts w:eastAsia="Palatino Linotype"/>
          <w:sz w:val="22"/>
          <w:szCs w:val="24"/>
          <w:lang w:val="es-ES"/>
        </w:rPr>
        <w:t xml:space="preserve"> as </w:t>
      </w:r>
      <w:proofErr w:type="spellStart"/>
      <w:r>
        <w:rPr>
          <w:rFonts w:eastAsia="Palatino Linotype"/>
          <w:sz w:val="22"/>
          <w:szCs w:val="24"/>
          <w:lang w:val="es-ES"/>
        </w:rPr>
        <w:t>national</w:t>
      </w:r>
      <w:proofErr w:type="spellEnd"/>
      <w:r>
        <w:rPr>
          <w:rFonts w:eastAsia="Palatino Linotype"/>
          <w:sz w:val="22"/>
          <w:szCs w:val="24"/>
          <w:lang w:val="es-ES"/>
        </w:rPr>
        <w:t xml:space="preserve"> in </w:t>
      </w:r>
      <w:proofErr w:type="spellStart"/>
      <w:r>
        <w:rPr>
          <w:rFonts w:eastAsia="Palatino Linotype"/>
          <w:sz w:val="22"/>
          <w:szCs w:val="24"/>
          <w:lang w:val="es-ES"/>
        </w:rPr>
        <w:t>accordance</w:t>
      </w:r>
      <w:proofErr w:type="spellEnd"/>
      <w:r>
        <w:rPr>
          <w:rFonts w:eastAsia="Palatino Linotype"/>
          <w:sz w:val="22"/>
          <w:szCs w:val="24"/>
          <w:lang w:val="es-ES"/>
        </w:rPr>
        <w:t xml:space="preserve"> </w:t>
      </w:r>
      <w:proofErr w:type="spellStart"/>
      <w:r>
        <w:rPr>
          <w:rFonts w:eastAsia="Palatino Linotype"/>
          <w:sz w:val="22"/>
          <w:szCs w:val="24"/>
          <w:lang w:val="es-ES"/>
        </w:rPr>
        <w:t>with</w:t>
      </w:r>
      <w:proofErr w:type="spellEnd"/>
      <w:r>
        <w:rPr>
          <w:rFonts w:eastAsia="Palatino Linotype"/>
          <w:sz w:val="22"/>
          <w:szCs w:val="24"/>
          <w:lang w:val="es-ES"/>
        </w:rPr>
        <w:t xml:space="preserve"> </w:t>
      </w:r>
      <w:proofErr w:type="spellStart"/>
      <w:r>
        <w:rPr>
          <w:rFonts w:eastAsia="Palatino Linotype"/>
          <w:sz w:val="22"/>
          <w:szCs w:val="24"/>
          <w:lang w:val="es-ES"/>
        </w:rPr>
        <w:t>the</w:t>
      </w:r>
      <w:proofErr w:type="spellEnd"/>
      <w:r>
        <w:rPr>
          <w:rFonts w:eastAsia="Palatino Linotype"/>
          <w:sz w:val="22"/>
          <w:szCs w:val="24"/>
          <w:lang w:val="es-ES"/>
        </w:rPr>
        <w:t xml:space="preserve"> </w:t>
      </w:r>
      <w:proofErr w:type="spellStart"/>
      <w:r>
        <w:rPr>
          <w:rFonts w:eastAsia="Palatino Linotype"/>
          <w:sz w:val="22"/>
          <w:szCs w:val="24"/>
          <w:lang w:val="es-ES"/>
        </w:rPr>
        <w:t>provisions</w:t>
      </w:r>
      <w:proofErr w:type="spellEnd"/>
      <w:r>
        <w:rPr>
          <w:rFonts w:eastAsia="Palatino Linotype"/>
          <w:sz w:val="22"/>
          <w:szCs w:val="24"/>
          <w:lang w:val="es-ES"/>
        </w:rPr>
        <w:t xml:space="preserve"> </w:t>
      </w:r>
      <w:proofErr w:type="spellStart"/>
      <w:r>
        <w:rPr>
          <w:rFonts w:eastAsia="Palatino Linotype"/>
          <w:sz w:val="22"/>
          <w:szCs w:val="24"/>
          <w:lang w:val="es-ES"/>
        </w:rPr>
        <w:t>of</w:t>
      </w:r>
      <w:proofErr w:type="spellEnd"/>
      <w:r>
        <w:rPr>
          <w:rFonts w:eastAsia="Palatino Linotype"/>
          <w:sz w:val="22"/>
          <w:szCs w:val="24"/>
          <w:lang w:val="es-ES"/>
        </w:rPr>
        <w:t xml:space="preserve"> art. 8 </w:t>
      </w:r>
      <w:proofErr w:type="spellStart"/>
      <w:r>
        <w:rPr>
          <w:rFonts w:eastAsia="Palatino Linotype"/>
          <w:sz w:val="22"/>
          <w:szCs w:val="24"/>
          <w:lang w:val="es-ES"/>
        </w:rPr>
        <w:t>of</w:t>
      </w:r>
      <w:proofErr w:type="spellEnd"/>
      <w:r>
        <w:rPr>
          <w:rFonts w:eastAsia="Palatino Linotype"/>
          <w:sz w:val="22"/>
          <w:szCs w:val="24"/>
          <w:lang w:val="es-ES"/>
        </w:rPr>
        <w:t xml:space="preserve"> Decree No. 13/009.</w:t>
      </w:r>
    </w:p>
    <w:p w14:paraId="20AB747E" w14:textId="77777777" w:rsidR="00E255F4" w:rsidRDefault="00E255F4">
      <w:pPr>
        <w:ind w:right="-709"/>
        <w:jc w:val="both"/>
        <w:rPr>
          <w:rFonts w:eastAsia="Palatino Linotype"/>
          <w:spacing w:val="-1"/>
          <w:sz w:val="22"/>
          <w:szCs w:val="24"/>
          <w:lang w:val="es-ES"/>
        </w:rPr>
      </w:pPr>
    </w:p>
    <w:p w14:paraId="6CA0BA39" w14:textId="77777777" w:rsidR="00E255F4" w:rsidRDefault="00000000">
      <w:pPr>
        <w:ind w:right="-709"/>
        <w:jc w:val="both"/>
        <w:rPr>
          <w:rFonts w:eastAsia="Palatino Linotype"/>
          <w:sz w:val="22"/>
          <w:szCs w:val="24"/>
          <w:lang w:val="es-ES"/>
        </w:rPr>
      </w:pPr>
      <w:proofErr w:type="spellStart"/>
      <w:r>
        <w:rPr>
          <w:rFonts w:eastAsia="Palatino Linotype"/>
          <w:spacing w:val="-1"/>
          <w:sz w:val="22"/>
          <w:szCs w:val="24"/>
          <w:lang w:val="es-ES"/>
        </w:rPr>
        <w:t>It</w:t>
      </w:r>
      <w:proofErr w:type="spellEnd"/>
      <w:r>
        <w:rPr>
          <w:rFonts w:eastAsia="Palatino Linotype"/>
          <w:spacing w:val="-1"/>
          <w:sz w:val="22"/>
          <w:szCs w:val="24"/>
          <w:lang w:val="es-ES"/>
        </w:rPr>
        <w:t xml:space="preserve"> </w:t>
      </w:r>
      <w:proofErr w:type="spellStart"/>
      <w:r>
        <w:rPr>
          <w:rFonts w:eastAsia="Palatino Linotype"/>
          <w:spacing w:val="-1"/>
          <w:sz w:val="22"/>
          <w:szCs w:val="24"/>
          <w:lang w:val="es-ES"/>
        </w:rPr>
        <w:t>also</w:t>
      </w:r>
      <w:proofErr w:type="spellEnd"/>
      <w:r>
        <w:rPr>
          <w:rFonts w:eastAsia="Palatino Linotype"/>
          <w:spacing w:val="-1"/>
          <w:sz w:val="22"/>
          <w:szCs w:val="24"/>
          <w:lang w:val="es-ES"/>
        </w:rPr>
        <w:t xml:space="preserve"> declares </w:t>
      </w:r>
      <w:proofErr w:type="spellStart"/>
      <w:r>
        <w:rPr>
          <w:rFonts w:eastAsia="Palatino Linotype"/>
          <w:spacing w:val="-1"/>
          <w:sz w:val="22"/>
          <w:szCs w:val="24"/>
          <w:lang w:val="es-ES"/>
        </w:rPr>
        <w:t>that</w:t>
      </w:r>
      <w:proofErr w:type="spellEnd"/>
      <w:r>
        <w:rPr>
          <w:rFonts w:eastAsia="Palatino Linotype"/>
          <w:spacing w:val="-1"/>
          <w:sz w:val="22"/>
          <w:szCs w:val="24"/>
          <w:lang w:val="es-ES"/>
        </w:rPr>
        <w:t xml:space="preserve"> </w:t>
      </w:r>
      <w:proofErr w:type="spellStart"/>
      <w:r>
        <w:rPr>
          <w:rFonts w:eastAsia="Palatino Linotype"/>
          <w:spacing w:val="-1"/>
          <w:sz w:val="22"/>
          <w:szCs w:val="24"/>
          <w:lang w:val="es-ES"/>
        </w:rPr>
        <w:t>the</w:t>
      </w:r>
      <w:proofErr w:type="spellEnd"/>
      <w:r>
        <w:rPr>
          <w:rFonts w:eastAsia="Palatino Linotype"/>
          <w:spacing w:val="-1"/>
          <w:sz w:val="22"/>
          <w:szCs w:val="24"/>
          <w:lang w:val="es-ES"/>
        </w:rPr>
        <w:t xml:space="preserve"> </w:t>
      </w:r>
      <w:proofErr w:type="spellStart"/>
      <w:r>
        <w:rPr>
          <w:rFonts w:eastAsia="Palatino Linotype"/>
          <w:spacing w:val="-1"/>
          <w:sz w:val="22"/>
          <w:szCs w:val="24"/>
          <w:lang w:val="es-ES"/>
        </w:rPr>
        <w:t>service</w:t>
      </w:r>
      <w:proofErr w:type="spellEnd"/>
      <w:r>
        <w:rPr>
          <w:rFonts w:eastAsia="Palatino Linotype"/>
          <w:spacing w:val="-1"/>
          <w:sz w:val="22"/>
          <w:szCs w:val="24"/>
          <w:lang w:val="es-ES"/>
        </w:rPr>
        <w:t xml:space="preserve">(s) </w:t>
      </w:r>
      <w:proofErr w:type="spellStart"/>
      <w:r>
        <w:rPr>
          <w:rFonts w:eastAsia="Palatino Linotype"/>
          <w:spacing w:val="-1"/>
          <w:sz w:val="22"/>
          <w:szCs w:val="24"/>
          <w:lang w:val="es-ES"/>
        </w:rPr>
        <w:t>offered</w:t>
      </w:r>
      <w:proofErr w:type="spellEnd"/>
      <w:r>
        <w:rPr>
          <w:rFonts w:eastAsia="Palatino Linotype"/>
          <w:spacing w:val="-1"/>
          <w:sz w:val="22"/>
          <w:szCs w:val="24"/>
          <w:lang w:val="es-ES"/>
        </w:rPr>
        <w:t xml:space="preserve"> </w:t>
      </w:r>
      <w:proofErr w:type="spellStart"/>
      <w:r>
        <w:rPr>
          <w:rFonts w:eastAsia="Palatino Linotype"/>
          <w:spacing w:val="-1"/>
          <w:sz w:val="22"/>
          <w:szCs w:val="24"/>
          <w:lang w:val="es-ES"/>
        </w:rPr>
        <w:t>include</w:t>
      </w:r>
      <w:proofErr w:type="spellEnd"/>
      <w:r>
        <w:rPr>
          <w:rFonts w:eastAsia="Palatino Linotype"/>
          <w:spacing w:val="-1"/>
          <w:sz w:val="22"/>
          <w:szCs w:val="24"/>
          <w:lang w:val="es-ES"/>
        </w:rPr>
        <w:t xml:space="preserve"> </w:t>
      </w:r>
      <w:proofErr w:type="spellStart"/>
      <w:r>
        <w:rPr>
          <w:rFonts w:eastAsia="Palatino Linotype"/>
          <w:spacing w:val="-1"/>
          <w:sz w:val="22"/>
          <w:szCs w:val="24"/>
          <w:lang w:val="es-ES"/>
        </w:rPr>
        <w:t>the</w:t>
      </w:r>
      <w:proofErr w:type="spellEnd"/>
      <w:r>
        <w:rPr>
          <w:rFonts w:eastAsia="Palatino Linotype"/>
          <w:spacing w:val="-1"/>
          <w:sz w:val="22"/>
          <w:szCs w:val="24"/>
          <w:lang w:val="es-ES"/>
        </w:rPr>
        <w:t xml:space="preserve"> </w:t>
      </w:r>
      <w:proofErr w:type="spellStart"/>
      <w:r>
        <w:rPr>
          <w:rFonts w:eastAsia="Palatino Linotype"/>
          <w:spacing w:val="-1"/>
          <w:sz w:val="22"/>
          <w:szCs w:val="24"/>
          <w:lang w:val="es-ES"/>
        </w:rPr>
        <w:t>supply</w:t>
      </w:r>
      <w:proofErr w:type="spellEnd"/>
      <w:r>
        <w:rPr>
          <w:rFonts w:eastAsia="Palatino Linotype"/>
          <w:spacing w:val="-1"/>
          <w:sz w:val="22"/>
          <w:szCs w:val="24"/>
          <w:lang w:val="es-ES"/>
        </w:rPr>
        <w:t xml:space="preserve"> </w:t>
      </w:r>
      <w:proofErr w:type="spellStart"/>
      <w:r>
        <w:rPr>
          <w:rFonts w:eastAsia="Palatino Linotype"/>
          <w:spacing w:val="-1"/>
          <w:sz w:val="22"/>
          <w:szCs w:val="24"/>
          <w:lang w:val="es-ES"/>
        </w:rPr>
        <w:t>of</w:t>
      </w:r>
      <w:proofErr w:type="spellEnd"/>
      <w:r>
        <w:rPr>
          <w:rFonts w:eastAsia="Palatino Linotype"/>
          <w:spacing w:val="-1"/>
          <w:sz w:val="22"/>
          <w:szCs w:val="24"/>
          <w:lang w:val="es-ES"/>
        </w:rPr>
        <w:t xml:space="preserve"> </w:t>
      </w:r>
      <w:proofErr w:type="spellStart"/>
      <w:r>
        <w:rPr>
          <w:rFonts w:eastAsia="Palatino Linotype"/>
          <w:spacing w:val="-1"/>
          <w:sz w:val="22"/>
          <w:szCs w:val="24"/>
          <w:lang w:val="es-ES"/>
        </w:rPr>
        <w:t>goods</w:t>
      </w:r>
      <w:proofErr w:type="spellEnd"/>
      <w:r>
        <w:rPr>
          <w:rFonts w:eastAsia="Palatino Linotype"/>
          <w:spacing w:val="-1"/>
          <w:sz w:val="22"/>
          <w:szCs w:val="24"/>
          <w:lang w:val="es-ES"/>
        </w:rPr>
        <w:t xml:space="preserve"> and </w:t>
      </w:r>
      <w:proofErr w:type="spellStart"/>
      <w:r>
        <w:rPr>
          <w:rFonts w:eastAsia="Palatino Linotype"/>
          <w:spacing w:val="-1"/>
          <w:sz w:val="22"/>
          <w:szCs w:val="24"/>
          <w:lang w:val="es-ES"/>
        </w:rPr>
        <w:t>those</w:t>
      </w:r>
      <w:proofErr w:type="spellEnd"/>
      <w:r>
        <w:rPr>
          <w:rFonts w:eastAsia="Palatino Linotype"/>
          <w:spacing w:val="-1"/>
          <w:sz w:val="22"/>
          <w:szCs w:val="24"/>
          <w:lang w:val="es-ES"/>
        </w:rPr>
        <w:t xml:space="preserve"> </w:t>
      </w:r>
      <w:proofErr w:type="spellStart"/>
      <w:r>
        <w:rPr>
          <w:rFonts w:eastAsia="Palatino Linotype"/>
          <w:spacing w:val="-1"/>
          <w:sz w:val="22"/>
          <w:szCs w:val="24"/>
          <w:lang w:val="es-ES"/>
        </w:rPr>
        <w:t>that</w:t>
      </w:r>
      <w:proofErr w:type="spellEnd"/>
      <w:r>
        <w:rPr>
          <w:rFonts w:eastAsia="Palatino Linotype"/>
          <w:spacing w:val="-1"/>
          <w:sz w:val="22"/>
          <w:szCs w:val="24"/>
          <w:lang w:val="es-ES"/>
        </w:rPr>
        <w:t xml:space="preserve"> DO NOT QUALIFY AS NATIONAL </w:t>
      </w:r>
      <w:proofErr w:type="spellStart"/>
      <w:r>
        <w:rPr>
          <w:rFonts w:eastAsia="Palatino Linotype"/>
          <w:spacing w:val="-1"/>
          <w:sz w:val="22"/>
          <w:szCs w:val="24"/>
          <w:lang w:val="es-ES"/>
        </w:rPr>
        <w:t>represent</w:t>
      </w:r>
      <w:proofErr w:type="spellEnd"/>
      <w:r>
        <w:rPr>
          <w:rFonts w:eastAsia="Palatino Linotype"/>
          <w:spacing w:val="-1"/>
          <w:sz w:val="22"/>
          <w:szCs w:val="24"/>
          <w:lang w:val="es-ES"/>
        </w:rPr>
        <w:t xml:space="preserve"> XX% </w:t>
      </w:r>
      <w:proofErr w:type="spellStart"/>
      <w:r>
        <w:rPr>
          <w:rFonts w:eastAsia="Palatino Linotype"/>
          <w:spacing w:val="-1"/>
          <w:sz w:val="22"/>
          <w:szCs w:val="24"/>
          <w:lang w:val="es-ES"/>
        </w:rPr>
        <w:t>of</w:t>
      </w:r>
      <w:proofErr w:type="spellEnd"/>
      <w:r>
        <w:rPr>
          <w:rFonts w:eastAsia="Palatino Linotype"/>
          <w:spacing w:val="-1"/>
          <w:sz w:val="22"/>
          <w:szCs w:val="24"/>
          <w:lang w:val="es-ES"/>
        </w:rPr>
        <w:t xml:space="preserve"> </w:t>
      </w:r>
      <w:proofErr w:type="spellStart"/>
      <w:r>
        <w:rPr>
          <w:rFonts w:eastAsia="Palatino Linotype"/>
          <w:spacing w:val="-1"/>
          <w:sz w:val="22"/>
          <w:szCs w:val="24"/>
          <w:lang w:val="es-ES"/>
        </w:rPr>
        <w:t>the</w:t>
      </w:r>
      <w:proofErr w:type="spellEnd"/>
      <w:r>
        <w:rPr>
          <w:rFonts w:eastAsia="Palatino Linotype"/>
          <w:spacing w:val="-1"/>
          <w:sz w:val="22"/>
          <w:szCs w:val="24"/>
          <w:lang w:val="es-ES"/>
        </w:rPr>
        <w:t xml:space="preserve"> </w:t>
      </w:r>
      <w:proofErr w:type="spellStart"/>
      <w:r>
        <w:rPr>
          <w:rFonts w:eastAsia="Palatino Linotype"/>
          <w:spacing w:val="-1"/>
          <w:sz w:val="22"/>
          <w:szCs w:val="24"/>
          <w:lang w:val="es-ES"/>
        </w:rPr>
        <w:t>offered</w:t>
      </w:r>
      <w:proofErr w:type="spellEnd"/>
      <w:r>
        <w:rPr>
          <w:rFonts w:eastAsia="Palatino Linotype"/>
          <w:spacing w:val="-1"/>
          <w:sz w:val="22"/>
          <w:szCs w:val="24"/>
          <w:lang w:val="es-ES"/>
        </w:rPr>
        <w:t xml:space="preserve"> </w:t>
      </w:r>
      <w:proofErr w:type="spellStart"/>
      <w:r>
        <w:rPr>
          <w:rFonts w:eastAsia="Palatino Linotype"/>
          <w:spacing w:val="-1"/>
          <w:sz w:val="22"/>
          <w:szCs w:val="24"/>
          <w:lang w:val="es-ES"/>
        </w:rPr>
        <w:t>price</w:t>
      </w:r>
      <w:proofErr w:type="spellEnd"/>
      <w:r>
        <w:rPr>
          <w:rFonts w:eastAsia="Palatino Linotype"/>
          <w:spacing w:val="-1"/>
          <w:sz w:val="22"/>
          <w:szCs w:val="24"/>
          <w:lang w:val="es-ES"/>
        </w:rPr>
        <w:t xml:space="preserve"> (</w:t>
      </w:r>
      <w:proofErr w:type="spellStart"/>
      <w:r>
        <w:rPr>
          <w:rFonts w:eastAsia="Palatino Linotype"/>
          <w:spacing w:val="-1"/>
          <w:sz w:val="22"/>
          <w:szCs w:val="24"/>
          <w:lang w:val="es-ES"/>
        </w:rPr>
        <w:t>if</w:t>
      </w:r>
      <w:proofErr w:type="spellEnd"/>
      <w:r>
        <w:rPr>
          <w:rFonts w:eastAsia="Palatino Linotype"/>
          <w:spacing w:val="-1"/>
          <w:sz w:val="22"/>
          <w:szCs w:val="24"/>
          <w:lang w:val="es-ES"/>
        </w:rPr>
        <w:t xml:space="preserve"> </w:t>
      </w:r>
      <w:proofErr w:type="spellStart"/>
      <w:r>
        <w:rPr>
          <w:rFonts w:eastAsia="Palatino Linotype"/>
          <w:spacing w:val="-1"/>
          <w:sz w:val="22"/>
          <w:szCs w:val="24"/>
          <w:lang w:val="es-ES"/>
        </w:rPr>
        <w:t>there</w:t>
      </w:r>
      <w:proofErr w:type="spellEnd"/>
      <w:r>
        <w:rPr>
          <w:rFonts w:eastAsia="Palatino Linotype"/>
          <w:spacing w:val="-1"/>
          <w:sz w:val="22"/>
          <w:szCs w:val="24"/>
          <w:lang w:val="es-ES"/>
        </w:rPr>
        <w:t xml:space="preserve"> are </w:t>
      </w:r>
      <w:proofErr w:type="spellStart"/>
      <w:r>
        <w:rPr>
          <w:rFonts w:eastAsia="Palatino Linotype"/>
          <w:spacing w:val="-1"/>
          <w:sz w:val="22"/>
          <w:szCs w:val="24"/>
          <w:lang w:val="es-ES"/>
        </w:rPr>
        <w:t>several</w:t>
      </w:r>
      <w:proofErr w:type="spellEnd"/>
      <w:r>
        <w:rPr>
          <w:rFonts w:eastAsia="Palatino Linotype"/>
          <w:spacing w:val="-1"/>
          <w:sz w:val="22"/>
          <w:szCs w:val="24"/>
          <w:lang w:val="es-ES"/>
        </w:rPr>
        <w:t xml:space="preserve"> </w:t>
      </w:r>
      <w:proofErr w:type="spellStart"/>
      <w:r>
        <w:rPr>
          <w:rFonts w:eastAsia="Palatino Linotype"/>
          <w:spacing w:val="-1"/>
          <w:sz w:val="22"/>
          <w:szCs w:val="24"/>
          <w:lang w:val="es-ES"/>
        </w:rPr>
        <w:t>services</w:t>
      </w:r>
      <w:proofErr w:type="spellEnd"/>
      <w:r>
        <w:rPr>
          <w:rFonts w:eastAsia="Palatino Linotype"/>
          <w:spacing w:val="-1"/>
          <w:sz w:val="22"/>
          <w:szCs w:val="24"/>
          <w:lang w:val="es-ES"/>
        </w:rPr>
        <w:t xml:space="preserve"> </w:t>
      </w:r>
      <w:proofErr w:type="spellStart"/>
      <w:r>
        <w:rPr>
          <w:rFonts w:eastAsia="Palatino Linotype"/>
          <w:spacing w:val="-1"/>
          <w:sz w:val="22"/>
          <w:szCs w:val="24"/>
          <w:lang w:val="es-ES"/>
        </w:rPr>
        <w:t>offered</w:t>
      </w:r>
      <w:proofErr w:type="spellEnd"/>
      <w:r>
        <w:rPr>
          <w:rFonts w:eastAsia="Palatino Linotype"/>
          <w:spacing w:val="-1"/>
          <w:sz w:val="22"/>
          <w:szCs w:val="24"/>
          <w:lang w:val="es-ES"/>
        </w:rPr>
        <w:t xml:space="preserve">, </w:t>
      </w:r>
      <w:proofErr w:type="spellStart"/>
      <w:r>
        <w:rPr>
          <w:rFonts w:eastAsia="Palatino Linotype"/>
          <w:spacing w:val="-1"/>
          <w:sz w:val="22"/>
          <w:szCs w:val="24"/>
          <w:lang w:val="es-ES"/>
        </w:rPr>
        <w:t>the</w:t>
      </w:r>
      <w:proofErr w:type="spellEnd"/>
      <w:r>
        <w:rPr>
          <w:rFonts w:eastAsia="Palatino Linotype"/>
          <w:spacing w:val="-1"/>
          <w:sz w:val="22"/>
          <w:szCs w:val="24"/>
          <w:lang w:val="es-ES"/>
        </w:rPr>
        <w:t xml:space="preserve"> </w:t>
      </w:r>
      <w:proofErr w:type="spellStart"/>
      <w:r>
        <w:rPr>
          <w:rFonts w:eastAsia="Palatino Linotype"/>
          <w:spacing w:val="-1"/>
          <w:sz w:val="22"/>
          <w:szCs w:val="24"/>
          <w:lang w:val="es-ES"/>
        </w:rPr>
        <w:t>percentage</w:t>
      </w:r>
      <w:proofErr w:type="spellEnd"/>
      <w:r>
        <w:rPr>
          <w:rFonts w:eastAsia="Palatino Linotype"/>
          <w:spacing w:val="-1"/>
          <w:sz w:val="22"/>
          <w:szCs w:val="24"/>
          <w:lang w:val="es-ES"/>
        </w:rPr>
        <w:t xml:space="preserve"> </w:t>
      </w:r>
      <w:proofErr w:type="spellStart"/>
      <w:r>
        <w:rPr>
          <w:rFonts w:eastAsia="Palatino Linotype"/>
          <w:spacing w:val="-1"/>
          <w:sz w:val="22"/>
          <w:szCs w:val="24"/>
          <w:lang w:val="es-ES"/>
        </w:rPr>
        <w:t>must</w:t>
      </w:r>
      <w:proofErr w:type="spellEnd"/>
      <w:r>
        <w:rPr>
          <w:rFonts w:eastAsia="Palatino Linotype"/>
          <w:spacing w:val="-1"/>
          <w:sz w:val="22"/>
          <w:szCs w:val="24"/>
          <w:lang w:val="es-ES"/>
        </w:rPr>
        <w:t xml:space="preserve"> be </w:t>
      </w:r>
      <w:proofErr w:type="spellStart"/>
      <w:r>
        <w:rPr>
          <w:rFonts w:eastAsia="Palatino Linotype"/>
          <w:spacing w:val="-1"/>
          <w:sz w:val="22"/>
          <w:szCs w:val="24"/>
          <w:lang w:val="es-ES"/>
        </w:rPr>
        <w:t>detailed</w:t>
      </w:r>
      <w:proofErr w:type="spellEnd"/>
      <w:r>
        <w:rPr>
          <w:rFonts w:eastAsia="Palatino Linotype"/>
          <w:spacing w:val="-1"/>
          <w:sz w:val="22"/>
          <w:szCs w:val="24"/>
          <w:lang w:val="es-ES"/>
        </w:rPr>
        <w:t xml:space="preserve"> in </w:t>
      </w:r>
      <w:proofErr w:type="spellStart"/>
      <w:r>
        <w:rPr>
          <w:rFonts w:eastAsia="Palatino Linotype"/>
          <w:spacing w:val="-1"/>
          <w:sz w:val="22"/>
          <w:szCs w:val="24"/>
          <w:lang w:val="es-ES"/>
        </w:rPr>
        <w:t>each</w:t>
      </w:r>
      <w:proofErr w:type="spellEnd"/>
      <w:r>
        <w:rPr>
          <w:rFonts w:eastAsia="Palatino Linotype"/>
          <w:spacing w:val="-1"/>
          <w:sz w:val="22"/>
          <w:szCs w:val="24"/>
          <w:lang w:val="es-ES"/>
        </w:rPr>
        <w:t xml:space="preserve"> case).</w:t>
      </w:r>
    </w:p>
    <w:p w14:paraId="6D14FC3D" w14:textId="77777777" w:rsidR="00E255F4" w:rsidRDefault="00E255F4">
      <w:pPr>
        <w:spacing w:before="8"/>
        <w:ind w:right="-709"/>
        <w:jc w:val="both"/>
        <w:rPr>
          <w:rFonts w:eastAsia="Palatino Linotype"/>
          <w:sz w:val="22"/>
          <w:szCs w:val="24"/>
          <w:lang w:val="es-ES"/>
        </w:rPr>
      </w:pPr>
    </w:p>
    <w:p w14:paraId="591DA0C7" w14:textId="77777777" w:rsidR="00E255F4" w:rsidRDefault="00000000">
      <w:pPr>
        <w:ind w:right="-709"/>
        <w:jc w:val="both"/>
        <w:rPr>
          <w:rFonts w:eastAsia="Palatino Linotype"/>
          <w:sz w:val="22"/>
          <w:szCs w:val="24"/>
          <w:lang w:val="es-ES"/>
        </w:rPr>
      </w:pPr>
      <w:proofErr w:type="spellStart"/>
      <w:r>
        <w:rPr>
          <w:rFonts w:eastAsia="Palatino Linotype"/>
          <w:spacing w:val="-7"/>
          <w:sz w:val="22"/>
          <w:szCs w:val="24"/>
          <w:lang w:val="es-ES"/>
        </w:rPr>
        <w:t>Po</w:t>
      </w:r>
      <w:r>
        <w:rPr>
          <w:rFonts w:eastAsia="Palatino Linotype"/>
          <w:sz w:val="22"/>
          <w:szCs w:val="24"/>
          <w:lang w:val="es-ES"/>
        </w:rPr>
        <w:t>Therefore</w:t>
      </w:r>
      <w:proofErr w:type="spellEnd"/>
      <w:r>
        <w:rPr>
          <w:rFonts w:eastAsia="Palatino Linotype"/>
          <w:sz w:val="22"/>
          <w:szCs w:val="24"/>
          <w:lang w:val="es-ES"/>
        </w:rPr>
        <w:t xml:space="preserve">, </w:t>
      </w:r>
      <w:proofErr w:type="spellStart"/>
      <w:r>
        <w:rPr>
          <w:rFonts w:eastAsia="Palatino Linotype"/>
          <w:sz w:val="22"/>
          <w:szCs w:val="24"/>
          <w:lang w:val="es-ES"/>
        </w:rPr>
        <w:t>it</w:t>
      </w:r>
      <w:proofErr w:type="spellEnd"/>
      <w:r>
        <w:rPr>
          <w:rFonts w:eastAsia="Palatino Linotype"/>
          <w:sz w:val="22"/>
          <w:szCs w:val="24"/>
          <w:lang w:val="es-ES"/>
        </w:rPr>
        <w:t xml:space="preserve"> </w:t>
      </w:r>
      <w:proofErr w:type="spellStart"/>
      <w:r>
        <w:rPr>
          <w:rFonts w:eastAsia="Palatino Linotype"/>
          <w:sz w:val="22"/>
          <w:szCs w:val="24"/>
          <w:lang w:val="es-ES"/>
        </w:rPr>
        <w:t>requests</w:t>
      </w:r>
      <w:proofErr w:type="spellEnd"/>
      <w:r>
        <w:rPr>
          <w:rFonts w:eastAsia="Palatino Linotype"/>
          <w:sz w:val="22"/>
          <w:szCs w:val="24"/>
          <w:lang w:val="es-ES"/>
        </w:rPr>
        <w:t xml:space="preserve"> </w:t>
      </w:r>
      <w:proofErr w:type="spellStart"/>
      <w:r>
        <w:rPr>
          <w:rFonts w:eastAsia="Palatino Linotype"/>
          <w:sz w:val="22"/>
          <w:szCs w:val="24"/>
          <w:lang w:val="es-ES"/>
        </w:rPr>
        <w:t>the</w:t>
      </w:r>
      <w:proofErr w:type="spellEnd"/>
      <w:r>
        <w:rPr>
          <w:rFonts w:eastAsia="Palatino Linotype"/>
          <w:sz w:val="22"/>
          <w:szCs w:val="24"/>
          <w:lang w:val="es-ES"/>
        </w:rPr>
        <w:t xml:space="preserve"> </w:t>
      </w:r>
      <w:proofErr w:type="spellStart"/>
      <w:r>
        <w:rPr>
          <w:rFonts w:eastAsia="Palatino Linotype"/>
          <w:sz w:val="22"/>
          <w:szCs w:val="24"/>
          <w:lang w:val="es-ES"/>
        </w:rPr>
        <w:t>application</w:t>
      </w:r>
      <w:proofErr w:type="spellEnd"/>
      <w:r>
        <w:rPr>
          <w:rFonts w:eastAsia="Palatino Linotype"/>
          <w:sz w:val="22"/>
          <w:szCs w:val="24"/>
          <w:lang w:val="es-ES"/>
        </w:rPr>
        <w:t xml:space="preserve"> </w:t>
      </w:r>
      <w:proofErr w:type="spellStart"/>
      <w:r>
        <w:rPr>
          <w:rFonts w:eastAsia="Palatino Linotype"/>
          <w:sz w:val="22"/>
          <w:szCs w:val="24"/>
          <w:lang w:val="es-ES"/>
        </w:rPr>
        <w:t>of</w:t>
      </w:r>
      <w:proofErr w:type="spellEnd"/>
      <w:r>
        <w:rPr>
          <w:rFonts w:eastAsia="Palatino Linotype"/>
          <w:sz w:val="22"/>
          <w:szCs w:val="24"/>
          <w:lang w:val="es-ES"/>
        </w:rPr>
        <w:t xml:space="preserve"> </w:t>
      </w:r>
      <w:proofErr w:type="spellStart"/>
      <w:r>
        <w:rPr>
          <w:rFonts w:eastAsia="Palatino Linotype"/>
          <w:sz w:val="22"/>
          <w:szCs w:val="24"/>
          <w:lang w:val="es-ES"/>
        </w:rPr>
        <w:t>the</w:t>
      </w:r>
      <w:proofErr w:type="spellEnd"/>
      <w:r>
        <w:rPr>
          <w:rFonts w:eastAsia="Palatino Linotype"/>
          <w:sz w:val="22"/>
          <w:szCs w:val="24"/>
          <w:lang w:val="es-ES"/>
        </w:rPr>
        <w:t xml:space="preserve"> </w:t>
      </w:r>
      <w:proofErr w:type="spellStart"/>
      <w:r>
        <w:rPr>
          <w:rFonts w:eastAsia="Palatino Linotype"/>
          <w:sz w:val="22"/>
          <w:szCs w:val="24"/>
          <w:lang w:val="es-ES"/>
        </w:rPr>
        <w:t>benefit</w:t>
      </w:r>
      <w:proofErr w:type="spellEnd"/>
      <w:r>
        <w:rPr>
          <w:rFonts w:eastAsia="Palatino Linotype"/>
          <w:sz w:val="22"/>
          <w:szCs w:val="24"/>
          <w:lang w:val="es-ES"/>
        </w:rPr>
        <w:t xml:space="preserve"> </w:t>
      </w:r>
      <w:proofErr w:type="spellStart"/>
      <w:r>
        <w:rPr>
          <w:rFonts w:eastAsia="Palatino Linotype"/>
          <w:sz w:val="22"/>
          <w:szCs w:val="24"/>
          <w:lang w:val="es-ES"/>
        </w:rPr>
        <w:t>enshrined</w:t>
      </w:r>
      <w:proofErr w:type="spellEnd"/>
      <w:r>
        <w:rPr>
          <w:rFonts w:eastAsia="Palatino Linotype"/>
          <w:sz w:val="22"/>
          <w:szCs w:val="24"/>
          <w:lang w:val="es-ES"/>
        </w:rPr>
        <w:t xml:space="preserve"> in </w:t>
      </w:r>
      <w:proofErr w:type="spellStart"/>
      <w:r>
        <w:rPr>
          <w:rFonts w:eastAsia="Palatino Linotype"/>
          <w:sz w:val="22"/>
          <w:szCs w:val="24"/>
          <w:lang w:val="es-ES"/>
        </w:rPr>
        <w:t>Article</w:t>
      </w:r>
      <w:proofErr w:type="spellEnd"/>
      <w:r>
        <w:rPr>
          <w:rFonts w:eastAsia="Palatino Linotype"/>
          <w:sz w:val="22"/>
          <w:szCs w:val="24"/>
          <w:lang w:val="es-ES"/>
        </w:rPr>
        <w:t xml:space="preserve"> 58 </w:t>
      </w:r>
      <w:proofErr w:type="spellStart"/>
      <w:r>
        <w:rPr>
          <w:rFonts w:eastAsia="Palatino Linotype"/>
          <w:sz w:val="22"/>
          <w:szCs w:val="24"/>
          <w:lang w:val="es-ES"/>
        </w:rPr>
        <w:t>of</w:t>
      </w:r>
      <w:proofErr w:type="spellEnd"/>
      <w:r>
        <w:rPr>
          <w:rFonts w:eastAsia="Palatino Linotype"/>
          <w:sz w:val="22"/>
          <w:szCs w:val="24"/>
          <w:lang w:val="es-ES"/>
        </w:rPr>
        <w:t xml:space="preserve"> </w:t>
      </w:r>
      <w:proofErr w:type="spellStart"/>
      <w:r>
        <w:rPr>
          <w:rFonts w:eastAsia="Palatino Linotype"/>
          <w:sz w:val="22"/>
          <w:szCs w:val="24"/>
          <w:lang w:val="es-ES"/>
        </w:rPr>
        <w:t>the</w:t>
      </w:r>
      <w:proofErr w:type="spellEnd"/>
      <w:r>
        <w:rPr>
          <w:rFonts w:eastAsia="Palatino Linotype"/>
          <w:sz w:val="22"/>
          <w:szCs w:val="24"/>
          <w:lang w:val="es-ES"/>
        </w:rPr>
        <w:t xml:space="preserve"> TOCAF.</w:t>
      </w:r>
    </w:p>
    <w:p w14:paraId="60ADCC6E" w14:textId="77777777" w:rsidR="00E255F4" w:rsidRDefault="00E255F4">
      <w:pPr>
        <w:spacing w:before="1" w:line="360" w:lineRule="auto"/>
        <w:ind w:right="-709"/>
        <w:jc w:val="both"/>
        <w:rPr>
          <w:rFonts w:eastAsia="Palatino Linotype"/>
          <w:sz w:val="22"/>
          <w:szCs w:val="24"/>
          <w:lang w:val="es-ES"/>
        </w:rPr>
      </w:pPr>
    </w:p>
    <w:p w14:paraId="06888583" w14:textId="77777777" w:rsidR="00E255F4" w:rsidRDefault="00000000">
      <w:pPr>
        <w:tabs>
          <w:tab w:val="left" w:pos="10490"/>
        </w:tabs>
        <w:spacing w:line="360" w:lineRule="auto"/>
        <w:ind w:right="-709"/>
        <w:jc w:val="center"/>
        <w:rPr>
          <w:rFonts w:eastAsia="Palatino Linotype"/>
          <w:sz w:val="22"/>
          <w:szCs w:val="24"/>
          <w:lang w:val="es-ES"/>
        </w:rPr>
      </w:pPr>
      <w:r>
        <w:rPr>
          <w:rFonts w:eastAsia="Palatino Linotype"/>
          <w:sz w:val="22"/>
          <w:szCs w:val="24"/>
          <w:lang w:val="es-ES"/>
        </w:rPr>
        <w:t>____________________</w:t>
      </w:r>
    </w:p>
    <w:p w14:paraId="3E769522" w14:textId="77777777" w:rsidR="00E255F4" w:rsidRDefault="00000000">
      <w:pPr>
        <w:tabs>
          <w:tab w:val="left" w:pos="10490"/>
        </w:tabs>
        <w:spacing w:line="360" w:lineRule="auto"/>
        <w:ind w:right="-709"/>
        <w:jc w:val="center"/>
        <w:rPr>
          <w:rFonts w:eastAsia="Palatino Linotype"/>
          <w:sz w:val="22"/>
          <w:szCs w:val="24"/>
          <w:lang w:val="es-ES"/>
        </w:rPr>
      </w:pPr>
      <w:proofErr w:type="spellStart"/>
      <w:r>
        <w:rPr>
          <w:rFonts w:eastAsia="Palatino Linotype"/>
          <w:sz w:val="22"/>
          <w:szCs w:val="24"/>
          <w:lang w:val="es-ES"/>
        </w:rPr>
        <w:t>Authorized</w:t>
      </w:r>
      <w:proofErr w:type="spellEnd"/>
      <w:r>
        <w:rPr>
          <w:rFonts w:eastAsia="Palatino Linotype"/>
          <w:sz w:val="22"/>
          <w:szCs w:val="24"/>
          <w:lang w:val="es-ES"/>
        </w:rPr>
        <w:t xml:space="preserve"> </w:t>
      </w:r>
      <w:proofErr w:type="spellStart"/>
      <w:r>
        <w:rPr>
          <w:rFonts w:eastAsia="Palatino Linotype"/>
          <w:sz w:val="22"/>
          <w:szCs w:val="24"/>
          <w:lang w:val="es-ES"/>
        </w:rPr>
        <w:t>signature</w:t>
      </w:r>
      <w:proofErr w:type="spellEnd"/>
      <w:r>
        <w:br w:type="page"/>
      </w:r>
    </w:p>
    <w:p w14:paraId="66440913" w14:textId="77777777" w:rsidR="00E255F4" w:rsidRDefault="00000000">
      <w:pPr>
        <w:pStyle w:val="Ttulo1"/>
        <w:numPr>
          <w:ilvl w:val="0"/>
          <w:numId w:val="0"/>
        </w:numPr>
        <w:spacing w:before="0" w:after="0"/>
        <w:ind w:left="720"/>
        <w:jc w:val="center"/>
        <w:rPr>
          <w:rFonts w:eastAsia="Palatino Linotype"/>
          <w:lang w:val="es-ES"/>
        </w:rPr>
      </w:pPr>
      <w:bookmarkStart w:id="71" w:name="__RefHeading___Toc225377247"/>
      <w:bookmarkEnd w:id="71"/>
      <w:r>
        <w:rPr>
          <w:rFonts w:ascii="Times New Roman" w:eastAsia="Palatino Linotype" w:hAnsi="Times New Roman" w:cs="Times New Roman"/>
          <w:b w:val="0"/>
          <w:color w:val="548DD4"/>
          <w:sz w:val="28"/>
          <w:szCs w:val="24"/>
          <w:lang w:val="es-ES"/>
        </w:rPr>
        <w:lastRenderedPageBreak/>
        <w:t>ANNEX III</w:t>
      </w:r>
    </w:p>
    <w:p w14:paraId="5B1D01EE" w14:textId="77777777" w:rsidR="00E255F4" w:rsidRDefault="00000000">
      <w:pPr>
        <w:pStyle w:val="Ttulo1"/>
        <w:numPr>
          <w:ilvl w:val="0"/>
          <w:numId w:val="0"/>
        </w:numPr>
        <w:spacing w:before="0" w:after="0"/>
        <w:ind w:left="720"/>
        <w:jc w:val="center"/>
        <w:rPr>
          <w:rFonts w:ascii="Times New Roman" w:eastAsia="Palatino Linotype" w:hAnsi="Times New Roman" w:cs="Times New Roman"/>
          <w:b w:val="0"/>
          <w:color w:val="548DD4"/>
          <w:sz w:val="28"/>
          <w:szCs w:val="24"/>
          <w:lang w:val="es-ES"/>
        </w:rPr>
      </w:pPr>
      <w:bookmarkStart w:id="72" w:name="__RefHeading___Toc133_3847131730"/>
      <w:bookmarkStart w:id="73" w:name="__RefHeading___Toc225377248"/>
      <w:bookmarkEnd w:id="72"/>
      <w:r>
        <w:rPr>
          <w:rFonts w:ascii="Times New Roman" w:eastAsia="Palatino Linotype" w:hAnsi="Times New Roman" w:cs="Times New Roman"/>
          <w:b w:val="0"/>
          <w:color w:val="548DD4"/>
          <w:sz w:val="28"/>
          <w:szCs w:val="24"/>
          <w:lang w:val="es-ES"/>
        </w:rPr>
        <w:t xml:space="preserve">Special </w:t>
      </w:r>
      <w:proofErr w:type="spellStart"/>
      <w:r>
        <w:rPr>
          <w:rFonts w:ascii="Times New Roman" w:eastAsia="Palatino Linotype" w:hAnsi="Times New Roman" w:cs="Times New Roman"/>
          <w:b w:val="0"/>
          <w:color w:val="548DD4"/>
          <w:sz w:val="28"/>
          <w:szCs w:val="24"/>
          <w:lang w:val="es-ES"/>
        </w:rPr>
        <w:t>Conditions</w:t>
      </w:r>
      <w:bookmarkEnd w:id="73"/>
      <w:proofErr w:type="spellEnd"/>
    </w:p>
    <w:p w14:paraId="02DFF41C" w14:textId="77777777" w:rsidR="00E255F4" w:rsidRDefault="00E255F4">
      <w:pPr>
        <w:rPr>
          <w:rFonts w:eastAsia="Palatino Linotype"/>
          <w:b/>
          <w:color w:val="548DD4"/>
          <w:sz w:val="28"/>
          <w:szCs w:val="24"/>
          <w:lang w:val="es-ES"/>
        </w:rPr>
      </w:pPr>
    </w:p>
    <w:tbl>
      <w:tblPr>
        <w:tblW w:w="9778" w:type="dxa"/>
        <w:tblInd w:w="3" w:type="dxa"/>
        <w:tblLayout w:type="fixed"/>
        <w:tblLook w:val="04A0" w:firstRow="1" w:lastRow="0" w:firstColumn="1" w:lastColumn="0" w:noHBand="0" w:noVBand="1"/>
      </w:tblPr>
      <w:tblGrid>
        <w:gridCol w:w="730"/>
        <w:gridCol w:w="9048"/>
      </w:tblGrid>
      <w:tr w:rsidR="00E255F4" w14:paraId="512F6E5A" w14:textId="77777777">
        <w:tc>
          <w:tcPr>
            <w:tcW w:w="730" w:type="dxa"/>
            <w:tcBorders>
              <w:top w:val="single" w:sz="4" w:space="0" w:color="000000"/>
              <w:left w:val="single" w:sz="4" w:space="0" w:color="000000"/>
              <w:bottom w:val="single" w:sz="4" w:space="0" w:color="000000"/>
              <w:right w:val="single" w:sz="4" w:space="0" w:color="000000"/>
            </w:tcBorders>
          </w:tcPr>
          <w:p w14:paraId="64A4982F" w14:textId="77777777" w:rsidR="00E255F4" w:rsidRDefault="00000000">
            <w:pPr>
              <w:ind w:right="-36"/>
              <w:rPr>
                <w:rFonts w:eastAsia="Palatino Linotype"/>
                <w:b/>
                <w:sz w:val="22"/>
                <w:szCs w:val="24"/>
                <w:lang w:val="es-ES"/>
              </w:rPr>
            </w:pPr>
            <w:r>
              <w:rPr>
                <w:rFonts w:eastAsia="Palatino Linotype"/>
                <w:b/>
                <w:sz w:val="22"/>
                <w:szCs w:val="22"/>
                <w:lang w:val="es-ES"/>
              </w:rPr>
              <w:t>1.5</w:t>
            </w:r>
          </w:p>
        </w:tc>
        <w:tc>
          <w:tcPr>
            <w:tcW w:w="9048" w:type="dxa"/>
            <w:tcBorders>
              <w:top w:val="single" w:sz="4" w:space="0" w:color="000000"/>
              <w:left w:val="single" w:sz="4" w:space="0" w:color="000000"/>
              <w:bottom w:val="single" w:sz="4" w:space="0" w:color="000000"/>
              <w:right w:val="single" w:sz="4" w:space="0" w:color="000000"/>
            </w:tcBorders>
          </w:tcPr>
          <w:p w14:paraId="196F1DE4" w14:textId="77777777" w:rsidR="00E255F4" w:rsidRDefault="00000000">
            <w:pPr>
              <w:ind w:right="-34"/>
              <w:rPr>
                <w:rFonts w:eastAsia="Palatino Linotype"/>
                <w:b/>
                <w:spacing w:val="-1"/>
                <w:sz w:val="22"/>
                <w:szCs w:val="22"/>
                <w:lang w:val="es-ES"/>
              </w:rPr>
            </w:pPr>
            <w:proofErr w:type="spellStart"/>
            <w:r>
              <w:rPr>
                <w:rFonts w:eastAsia="Palatino Linotype"/>
                <w:b/>
                <w:spacing w:val="-1"/>
                <w:sz w:val="22"/>
                <w:szCs w:val="22"/>
                <w:lang w:val="es-ES"/>
              </w:rPr>
              <w:t>Communications</w:t>
            </w:r>
            <w:proofErr w:type="spellEnd"/>
          </w:p>
          <w:p w14:paraId="56DA8400" w14:textId="77777777" w:rsidR="00E255F4" w:rsidRDefault="00000000">
            <w:pPr>
              <w:spacing w:after="120"/>
              <w:ind w:right="-34"/>
              <w:rPr>
                <w:rFonts w:eastAsia="Palatino Linotype"/>
                <w:spacing w:val="-1"/>
                <w:sz w:val="22"/>
                <w:szCs w:val="22"/>
                <w:lang w:val="es-ES"/>
              </w:rPr>
            </w:pPr>
            <w:proofErr w:type="spellStart"/>
            <w:r>
              <w:rPr>
                <w:rFonts w:eastAsia="Palatino Linotype"/>
                <w:spacing w:val="-1"/>
                <w:sz w:val="22"/>
                <w:szCs w:val="22"/>
                <w:lang w:val="es-ES"/>
              </w:rPr>
              <w:t>It</w:t>
            </w:r>
            <w:proofErr w:type="spellEnd"/>
            <w:r>
              <w:rPr>
                <w:rFonts w:eastAsia="Palatino Linotype"/>
                <w:spacing w:val="-1"/>
                <w:sz w:val="22"/>
                <w:szCs w:val="22"/>
                <w:lang w:val="es-ES"/>
              </w:rPr>
              <w:t xml:space="preserve"> </w:t>
            </w:r>
            <w:proofErr w:type="spellStart"/>
            <w:r>
              <w:rPr>
                <w:rFonts w:eastAsia="Palatino Linotype"/>
                <w:spacing w:val="-1"/>
                <w:sz w:val="22"/>
                <w:szCs w:val="22"/>
                <w:lang w:val="es-ES"/>
              </w:rPr>
              <w:t>is</w:t>
            </w:r>
            <w:proofErr w:type="spellEnd"/>
            <w:r>
              <w:rPr>
                <w:rFonts w:eastAsia="Palatino Linotype"/>
                <w:spacing w:val="-1"/>
                <w:sz w:val="22"/>
                <w:szCs w:val="22"/>
                <w:lang w:val="es-ES"/>
              </w:rPr>
              <w:t xml:space="preserve"> </w:t>
            </w:r>
            <w:proofErr w:type="spellStart"/>
            <w:r>
              <w:rPr>
                <w:rFonts w:eastAsia="Palatino Linotype"/>
                <w:spacing w:val="-1"/>
                <w:sz w:val="22"/>
                <w:szCs w:val="22"/>
                <w:lang w:val="es-ES"/>
              </w:rPr>
              <w:t>added</w:t>
            </w:r>
            <w:proofErr w:type="spellEnd"/>
            <w:r>
              <w:rPr>
                <w:rFonts w:eastAsia="Palatino Linotype"/>
                <w:spacing w:val="-1"/>
                <w:sz w:val="22"/>
                <w:szCs w:val="22"/>
                <w:lang w:val="es-ES"/>
              </w:rPr>
              <w:t>:</w:t>
            </w:r>
          </w:p>
          <w:p w14:paraId="1806DB7B" w14:textId="77777777" w:rsidR="00E255F4" w:rsidRDefault="00000000">
            <w:pPr>
              <w:widowControl w:val="0"/>
              <w:spacing w:line="360" w:lineRule="auto"/>
              <w:ind w:right="-34"/>
              <w:jc w:val="both"/>
            </w:pPr>
            <w:proofErr w:type="spellStart"/>
            <w:r>
              <w:rPr>
                <w:rFonts w:eastAsia="Palatino Linotype"/>
                <w:b/>
                <w:spacing w:val="-1"/>
                <w:sz w:val="22"/>
                <w:szCs w:val="22"/>
              </w:rPr>
              <w:t>Communications</w:t>
            </w:r>
            <w:proofErr w:type="spellEnd"/>
            <w:r>
              <w:rPr>
                <w:rFonts w:eastAsia="Palatino Linotype"/>
                <w:b/>
                <w:spacing w:val="-1"/>
                <w:sz w:val="22"/>
                <w:szCs w:val="22"/>
              </w:rPr>
              <w:t xml:space="preserve"> </w:t>
            </w:r>
            <w:proofErr w:type="spellStart"/>
            <w:r>
              <w:rPr>
                <w:rFonts w:eastAsia="Palatino Linotype"/>
                <w:b/>
                <w:spacing w:val="-1"/>
                <w:sz w:val="22"/>
                <w:szCs w:val="22"/>
              </w:rPr>
              <w:t>to</w:t>
            </w:r>
            <w:proofErr w:type="spellEnd"/>
            <w:r>
              <w:rPr>
                <w:rFonts w:eastAsia="Palatino Linotype"/>
                <w:b/>
                <w:spacing w:val="-1"/>
                <w:sz w:val="22"/>
                <w:szCs w:val="22"/>
              </w:rPr>
              <w:t xml:space="preserve"> OSE</w:t>
            </w:r>
          </w:p>
          <w:p w14:paraId="5A1EAB3D" w14:textId="77777777" w:rsidR="00E255F4" w:rsidRDefault="00000000">
            <w:pPr>
              <w:widowControl w:val="0"/>
              <w:spacing w:line="240" w:lineRule="auto"/>
              <w:ind w:right="-36"/>
              <w:jc w:val="both"/>
            </w:pPr>
            <w:proofErr w:type="spellStart"/>
            <w:r>
              <w:rPr>
                <w:rFonts w:eastAsia="Palatino Linotype"/>
                <w:spacing w:val="-1"/>
                <w:position w:val="1"/>
                <w:sz w:val="22"/>
                <w:szCs w:val="22"/>
              </w:rPr>
              <w:t>Communications</w:t>
            </w:r>
            <w:proofErr w:type="spellEnd"/>
            <w:r>
              <w:rPr>
                <w:rFonts w:eastAsia="Palatino Linotype"/>
                <w:spacing w:val="-1"/>
                <w:position w:val="1"/>
                <w:sz w:val="22"/>
                <w:szCs w:val="22"/>
              </w:rPr>
              <w:t xml:space="preserve"> </w:t>
            </w:r>
            <w:proofErr w:type="spellStart"/>
            <w:r>
              <w:rPr>
                <w:rFonts w:eastAsia="Palatino Linotype"/>
                <w:spacing w:val="-1"/>
                <w:position w:val="1"/>
                <w:sz w:val="22"/>
                <w:szCs w:val="22"/>
              </w:rPr>
              <w:t>to</w:t>
            </w:r>
            <w:proofErr w:type="spellEnd"/>
            <w:r>
              <w:rPr>
                <w:rFonts w:eastAsia="Palatino Linotype"/>
                <w:spacing w:val="-1"/>
                <w:position w:val="1"/>
                <w:sz w:val="22"/>
                <w:szCs w:val="22"/>
              </w:rPr>
              <w:t xml:space="preserve"> OSE </w:t>
            </w:r>
            <w:proofErr w:type="spellStart"/>
            <w:r>
              <w:rPr>
                <w:rFonts w:eastAsia="Palatino Linotype"/>
                <w:spacing w:val="-1"/>
                <w:position w:val="1"/>
                <w:sz w:val="22"/>
                <w:szCs w:val="22"/>
              </w:rPr>
              <w:t>will</w:t>
            </w:r>
            <w:proofErr w:type="spellEnd"/>
            <w:r>
              <w:rPr>
                <w:rFonts w:eastAsia="Palatino Linotype"/>
                <w:spacing w:val="-1"/>
                <w:position w:val="1"/>
                <w:sz w:val="22"/>
                <w:szCs w:val="22"/>
              </w:rPr>
              <w:t xml:space="preserve"> be </w:t>
            </w:r>
            <w:proofErr w:type="spellStart"/>
            <w:r>
              <w:rPr>
                <w:rFonts w:eastAsia="Palatino Linotype"/>
                <w:spacing w:val="-1"/>
                <w:position w:val="1"/>
                <w:sz w:val="22"/>
                <w:szCs w:val="22"/>
              </w:rPr>
              <w:t>made</w:t>
            </w:r>
            <w:proofErr w:type="spellEnd"/>
            <w:r>
              <w:rPr>
                <w:rFonts w:eastAsia="Palatino Linotype"/>
                <w:spacing w:val="-1"/>
                <w:position w:val="1"/>
                <w:sz w:val="22"/>
                <w:szCs w:val="22"/>
              </w:rPr>
              <w:t xml:space="preserve"> </w:t>
            </w:r>
            <w:proofErr w:type="spellStart"/>
            <w:r>
              <w:rPr>
                <w:rFonts w:eastAsia="Palatino Linotype"/>
                <w:spacing w:val="-1"/>
                <w:position w:val="1"/>
                <w:sz w:val="22"/>
                <w:szCs w:val="22"/>
              </w:rPr>
              <w:t>to</w:t>
            </w:r>
            <w:proofErr w:type="spellEnd"/>
            <w:r>
              <w:rPr>
                <w:rFonts w:eastAsia="Palatino Linotype"/>
                <w:spacing w:val="-1"/>
                <w:position w:val="1"/>
                <w:sz w:val="22"/>
                <w:szCs w:val="22"/>
              </w:rPr>
              <w:t xml:space="preserve"> </w:t>
            </w:r>
            <w:proofErr w:type="spellStart"/>
            <w:r>
              <w:rPr>
                <w:rFonts w:eastAsia="Palatino Linotype"/>
                <w:spacing w:val="-1"/>
                <w:position w:val="1"/>
                <w:sz w:val="22"/>
                <w:szCs w:val="22"/>
              </w:rPr>
              <w:t>the</w:t>
            </w:r>
            <w:proofErr w:type="spellEnd"/>
            <w:r>
              <w:rPr>
                <w:rFonts w:eastAsia="Palatino Linotype"/>
                <w:spacing w:val="-1"/>
                <w:position w:val="1"/>
                <w:sz w:val="22"/>
                <w:szCs w:val="22"/>
              </w:rPr>
              <w:t xml:space="preserve"> OSE Bidding Office</w:t>
            </w:r>
          </w:p>
          <w:p w14:paraId="659C2DC8" w14:textId="77777777" w:rsidR="00E255F4" w:rsidRDefault="00000000">
            <w:pPr>
              <w:widowControl w:val="0"/>
              <w:spacing w:line="240" w:lineRule="auto"/>
              <w:ind w:right="117"/>
              <w:jc w:val="both"/>
              <w:rPr>
                <w:rFonts w:eastAsia="Palatino Linotype"/>
                <w:position w:val="1"/>
                <w:sz w:val="22"/>
                <w:szCs w:val="22"/>
              </w:rPr>
            </w:pPr>
            <w:proofErr w:type="spellStart"/>
            <w:r>
              <w:rPr>
                <w:rFonts w:eastAsia="Palatino Linotype"/>
                <w:position w:val="1"/>
                <w:sz w:val="22"/>
                <w:szCs w:val="22"/>
              </w:rPr>
              <w:t>Address</w:t>
            </w:r>
            <w:proofErr w:type="spellEnd"/>
            <w:r>
              <w:rPr>
                <w:rFonts w:eastAsia="Palatino Linotype"/>
                <w:position w:val="1"/>
                <w:sz w:val="22"/>
                <w:szCs w:val="22"/>
              </w:rPr>
              <w:t>: Av. San Martín 3235 - Montevideo - Uruguay</w:t>
            </w:r>
          </w:p>
          <w:p w14:paraId="33953DB4" w14:textId="77777777" w:rsidR="00E255F4" w:rsidRDefault="00000000">
            <w:pPr>
              <w:spacing w:after="120"/>
              <w:ind w:right="-34"/>
            </w:pPr>
            <w:r>
              <w:rPr>
                <w:rFonts w:eastAsia="Palatino Linotype"/>
                <w:position w:val="1"/>
                <w:sz w:val="22"/>
                <w:szCs w:val="22"/>
              </w:rPr>
              <w:t xml:space="preserve">Email:  </w:t>
            </w:r>
            <w:hyperlink r:id="rId16" w:tgtFrame="_blank">
              <w:r w:rsidR="00E255F4">
                <w:rPr>
                  <w:rStyle w:val="Hipervnculo"/>
                  <w:sz w:val="22"/>
                  <w:szCs w:val="22"/>
                  <w:lang w:val="es-ES"/>
                </w:rPr>
                <w:t>licbienesyprodq@ose.com.uy</w:t>
              </w:r>
            </w:hyperlink>
            <w:r>
              <w:rPr>
                <w:rFonts w:eastAsia="Palatino Linotype"/>
                <w:position w:val="1"/>
                <w:sz w:val="22"/>
                <w:szCs w:val="22"/>
              </w:rPr>
              <w:t xml:space="preserve">   </w:t>
            </w:r>
          </w:p>
          <w:p w14:paraId="7F6CF961" w14:textId="77777777" w:rsidR="00E255F4" w:rsidRDefault="00000000">
            <w:pPr>
              <w:widowControl w:val="0"/>
              <w:spacing w:line="360" w:lineRule="auto"/>
              <w:ind w:right="-36"/>
              <w:jc w:val="both"/>
              <w:rPr>
                <w:rFonts w:eastAsia="Palatino Linotype"/>
                <w:spacing w:val="-1"/>
                <w:position w:val="1"/>
                <w:sz w:val="22"/>
                <w:szCs w:val="22"/>
              </w:rPr>
            </w:pPr>
            <w:r>
              <w:rPr>
                <w:rFonts w:eastAsia="Palatino Linotype"/>
                <w:b/>
                <w:spacing w:val="-1"/>
                <w:sz w:val="22"/>
                <w:szCs w:val="22"/>
              </w:rPr>
              <w:t xml:space="preserve">OSE </w:t>
            </w:r>
            <w:proofErr w:type="spellStart"/>
            <w:r>
              <w:rPr>
                <w:rFonts w:eastAsia="Palatino Linotype"/>
                <w:b/>
                <w:spacing w:val="-1"/>
                <w:sz w:val="22"/>
                <w:szCs w:val="22"/>
              </w:rPr>
              <w:t>Communications</w:t>
            </w:r>
            <w:proofErr w:type="spellEnd"/>
          </w:p>
          <w:p w14:paraId="12A7FA06" w14:textId="77777777" w:rsidR="00E255F4" w:rsidRDefault="00000000">
            <w:pPr>
              <w:ind w:right="-36"/>
              <w:rPr>
                <w:rFonts w:eastAsia="Palatino Linotype"/>
                <w:position w:val="1"/>
                <w:sz w:val="22"/>
                <w:szCs w:val="22"/>
                <w:lang w:val="es-ES"/>
              </w:rPr>
            </w:pPr>
            <w:r>
              <w:rPr>
                <w:rFonts w:eastAsia="Palatino Linotype"/>
                <w:spacing w:val="-1"/>
                <w:sz w:val="22"/>
                <w:szCs w:val="22"/>
              </w:rPr>
              <w:t xml:space="preserve">OSE </w:t>
            </w:r>
            <w:proofErr w:type="spellStart"/>
            <w:r>
              <w:rPr>
                <w:rFonts w:eastAsia="Palatino Linotype"/>
                <w:spacing w:val="-1"/>
                <w:sz w:val="22"/>
                <w:szCs w:val="22"/>
              </w:rPr>
              <w:t>communications</w:t>
            </w:r>
            <w:proofErr w:type="spellEnd"/>
            <w:r>
              <w:rPr>
                <w:rFonts w:eastAsia="Palatino Linotype"/>
                <w:spacing w:val="-1"/>
                <w:sz w:val="22"/>
                <w:szCs w:val="22"/>
              </w:rPr>
              <w:t xml:space="preserve"> </w:t>
            </w:r>
            <w:proofErr w:type="spellStart"/>
            <w:r>
              <w:rPr>
                <w:rFonts w:eastAsia="Palatino Linotype"/>
                <w:spacing w:val="-1"/>
                <w:sz w:val="22"/>
                <w:szCs w:val="22"/>
              </w:rPr>
              <w:t>will</w:t>
            </w:r>
            <w:proofErr w:type="spellEnd"/>
            <w:r>
              <w:rPr>
                <w:rFonts w:eastAsia="Palatino Linotype"/>
                <w:spacing w:val="-1"/>
                <w:sz w:val="22"/>
                <w:szCs w:val="22"/>
              </w:rPr>
              <w:t xml:space="preserve"> be </w:t>
            </w:r>
            <w:proofErr w:type="spellStart"/>
            <w:r>
              <w:rPr>
                <w:rFonts w:eastAsia="Palatino Linotype"/>
                <w:spacing w:val="-1"/>
                <w:sz w:val="22"/>
                <w:szCs w:val="22"/>
              </w:rPr>
              <w:t>sent</w:t>
            </w:r>
            <w:proofErr w:type="spellEnd"/>
            <w:r>
              <w:rPr>
                <w:rFonts w:eastAsia="Palatino Linotype"/>
                <w:spacing w:val="-1"/>
                <w:sz w:val="22"/>
                <w:szCs w:val="22"/>
              </w:rPr>
              <w:t xml:space="preserve"> </w:t>
            </w:r>
            <w:proofErr w:type="spellStart"/>
            <w:r>
              <w:rPr>
                <w:rFonts w:eastAsia="Palatino Linotype"/>
                <w:spacing w:val="-1"/>
                <w:sz w:val="22"/>
                <w:szCs w:val="22"/>
              </w:rPr>
              <w:t>to</w:t>
            </w:r>
            <w:proofErr w:type="spellEnd"/>
            <w:r>
              <w:rPr>
                <w:rFonts w:eastAsia="Palatino Linotype"/>
                <w:spacing w:val="-1"/>
                <w:sz w:val="22"/>
                <w:szCs w:val="22"/>
              </w:rPr>
              <w:t xml:space="preserve"> </w:t>
            </w:r>
            <w:proofErr w:type="spellStart"/>
            <w:r>
              <w:rPr>
                <w:rFonts w:eastAsia="Palatino Linotype"/>
                <w:spacing w:val="-1"/>
                <w:sz w:val="22"/>
                <w:szCs w:val="22"/>
              </w:rPr>
              <w:t>the</w:t>
            </w:r>
            <w:proofErr w:type="spellEnd"/>
            <w:r>
              <w:rPr>
                <w:rFonts w:eastAsia="Palatino Linotype"/>
                <w:spacing w:val="-1"/>
                <w:sz w:val="22"/>
                <w:szCs w:val="22"/>
              </w:rPr>
              <w:t xml:space="preserve"> email </w:t>
            </w:r>
            <w:proofErr w:type="spellStart"/>
            <w:r>
              <w:rPr>
                <w:rFonts w:eastAsia="Palatino Linotype"/>
                <w:spacing w:val="-1"/>
                <w:sz w:val="22"/>
                <w:szCs w:val="22"/>
              </w:rPr>
              <w:t>address</w:t>
            </w:r>
            <w:proofErr w:type="spellEnd"/>
            <w:r>
              <w:rPr>
                <w:rFonts w:eastAsia="Palatino Linotype"/>
                <w:spacing w:val="-1"/>
                <w:sz w:val="22"/>
                <w:szCs w:val="22"/>
              </w:rPr>
              <w:t xml:space="preserve"> </w:t>
            </w:r>
            <w:proofErr w:type="spellStart"/>
            <w:r>
              <w:rPr>
                <w:rFonts w:eastAsia="Palatino Linotype"/>
                <w:spacing w:val="-1"/>
                <w:sz w:val="22"/>
                <w:szCs w:val="22"/>
              </w:rPr>
              <w:t>of</w:t>
            </w:r>
            <w:proofErr w:type="spellEnd"/>
            <w:r>
              <w:rPr>
                <w:rFonts w:eastAsia="Palatino Linotype"/>
                <w:spacing w:val="-1"/>
                <w:sz w:val="22"/>
                <w:szCs w:val="22"/>
              </w:rPr>
              <w:t xml:space="preserve"> </w:t>
            </w:r>
            <w:proofErr w:type="spellStart"/>
            <w:r>
              <w:rPr>
                <w:rFonts w:eastAsia="Palatino Linotype"/>
                <w:spacing w:val="-1"/>
                <w:sz w:val="22"/>
                <w:szCs w:val="22"/>
              </w:rPr>
              <w:t>the</w:t>
            </w:r>
            <w:proofErr w:type="spellEnd"/>
            <w:r>
              <w:rPr>
                <w:rFonts w:eastAsia="Palatino Linotype"/>
                <w:spacing w:val="-1"/>
                <w:sz w:val="22"/>
                <w:szCs w:val="22"/>
              </w:rPr>
              <w:t xml:space="preserve"> </w:t>
            </w:r>
            <w:proofErr w:type="spellStart"/>
            <w:r>
              <w:rPr>
                <w:rFonts w:eastAsia="Palatino Linotype"/>
                <w:spacing w:val="-1"/>
                <w:sz w:val="22"/>
                <w:szCs w:val="22"/>
              </w:rPr>
              <w:t>interested</w:t>
            </w:r>
            <w:proofErr w:type="spellEnd"/>
            <w:r>
              <w:rPr>
                <w:rFonts w:eastAsia="Palatino Linotype"/>
                <w:spacing w:val="-1"/>
                <w:sz w:val="22"/>
                <w:szCs w:val="22"/>
              </w:rPr>
              <w:t xml:space="preserve"> </w:t>
            </w:r>
            <w:proofErr w:type="spellStart"/>
            <w:r>
              <w:rPr>
                <w:rFonts w:eastAsia="Palatino Linotype"/>
                <w:spacing w:val="-1"/>
                <w:sz w:val="22"/>
                <w:szCs w:val="22"/>
              </w:rPr>
              <w:t>party</w:t>
            </w:r>
            <w:proofErr w:type="spellEnd"/>
            <w:r>
              <w:rPr>
                <w:rFonts w:eastAsia="Palatino Linotype"/>
                <w:spacing w:val="-1"/>
                <w:sz w:val="22"/>
                <w:szCs w:val="22"/>
              </w:rPr>
              <w:t xml:space="preserve"> </w:t>
            </w:r>
            <w:proofErr w:type="spellStart"/>
            <w:r>
              <w:rPr>
                <w:rFonts w:eastAsia="Palatino Linotype"/>
                <w:spacing w:val="-1"/>
                <w:sz w:val="22"/>
                <w:szCs w:val="22"/>
              </w:rPr>
              <w:t>registered</w:t>
            </w:r>
            <w:proofErr w:type="spellEnd"/>
            <w:r>
              <w:rPr>
                <w:rFonts w:eastAsia="Palatino Linotype"/>
                <w:spacing w:val="-1"/>
                <w:sz w:val="22"/>
                <w:szCs w:val="22"/>
              </w:rPr>
              <w:t xml:space="preserve"> in </w:t>
            </w:r>
            <w:proofErr w:type="spellStart"/>
            <w:r>
              <w:rPr>
                <w:rFonts w:eastAsia="Palatino Linotype"/>
                <w:spacing w:val="-1"/>
                <w:sz w:val="22"/>
                <w:szCs w:val="22"/>
              </w:rPr>
              <w:t>the</w:t>
            </w:r>
            <w:proofErr w:type="spellEnd"/>
            <w:r>
              <w:rPr>
                <w:rFonts w:eastAsia="Palatino Linotype"/>
                <w:spacing w:val="-1"/>
                <w:sz w:val="22"/>
                <w:szCs w:val="22"/>
              </w:rPr>
              <w:t xml:space="preserve"> RUPE.</w:t>
            </w:r>
          </w:p>
        </w:tc>
      </w:tr>
      <w:tr w:rsidR="00E255F4" w14:paraId="6F46EB28" w14:textId="77777777">
        <w:tc>
          <w:tcPr>
            <w:tcW w:w="730" w:type="dxa"/>
            <w:tcBorders>
              <w:top w:val="single" w:sz="4" w:space="0" w:color="000000"/>
              <w:left w:val="single" w:sz="4" w:space="0" w:color="000000"/>
              <w:bottom w:val="single" w:sz="4" w:space="0" w:color="000000"/>
              <w:right w:val="single" w:sz="4" w:space="0" w:color="000000"/>
            </w:tcBorders>
          </w:tcPr>
          <w:p w14:paraId="23A9590D" w14:textId="77777777" w:rsidR="00E255F4" w:rsidRDefault="00000000">
            <w:pPr>
              <w:ind w:right="-36"/>
              <w:rPr>
                <w:rFonts w:eastAsia="Palatino Linotype"/>
                <w:b/>
                <w:sz w:val="22"/>
                <w:szCs w:val="24"/>
                <w:lang w:val="es-ES"/>
              </w:rPr>
            </w:pPr>
            <w:r>
              <w:rPr>
                <w:rFonts w:eastAsia="Palatino Linotype"/>
                <w:b/>
                <w:sz w:val="22"/>
                <w:szCs w:val="22"/>
                <w:lang w:val="es-ES"/>
              </w:rPr>
              <w:t>1.6</w:t>
            </w:r>
          </w:p>
        </w:tc>
        <w:tc>
          <w:tcPr>
            <w:tcW w:w="9048" w:type="dxa"/>
            <w:tcBorders>
              <w:top w:val="single" w:sz="4" w:space="0" w:color="000000"/>
              <w:left w:val="single" w:sz="4" w:space="0" w:color="000000"/>
              <w:bottom w:val="single" w:sz="4" w:space="0" w:color="000000"/>
              <w:right w:val="single" w:sz="4" w:space="0" w:color="000000"/>
            </w:tcBorders>
          </w:tcPr>
          <w:p w14:paraId="32C9FFD8" w14:textId="77777777" w:rsidR="00E255F4" w:rsidRDefault="00000000">
            <w:pPr>
              <w:pStyle w:val="Prrafodelista"/>
              <w:ind w:left="0"/>
              <w:rPr>
                <w:rFonts w:eastAsia="Palatino Linotype"/>
                <w:b/>
                <w:bCs/>
                <w:color w:val="000000"/>
                <w:spacing w:val="-1"/>
                <w:kern w:val="2"/>
                <w:sz w:val="22"/>
                <w:szCs w:val="22"/>
                <w:lang w:val="es-ES" w:eastAsia="en-US"/>
              </w:rPr>
            </w:pPr>
            <w:proofErr w:type="spellStart"/>
            <w:r>
              <w:rPr>
                <w:rFonts w:eastAsia="Palatino Linotype"/>
                <w:b/>
                <w:bCs/>
                <w:color w:val="000000"/>
                <w:spacing w:val="-1"/>
                <w:kern w:val="2"/>
                <w:sz w:val="22"/>
                <w:szCs w:val="22"/>
                <w:lang w:val="es-ES" w:eastAsia="en-US"/>
              </w:rPr>
              <w:t>Competent</w:t>
            </w:r>
            <w:proofErr w:type="spellEnd"/>
            <w:r>
              <w:rPr>
                <w:rFonts w:eastAsia="Palatino Linotype"/>
                <w:b/>
                <w:bCs/>
                <w:color w:val="000000"/>
                <w:spacing w:val="-1"/>
                <w:kern w:val="2"/>
                <w:sz w:val="22"/>
                <w:szCs w:val="22"/>
                <w:lang w:val="es-ES" w:eastAsia="en-US"/>
              </w:rPr>
              <w:t xml:space="preserve"> </w:t>
            </w:r>
            <w:proofErr w:type="spellStart"/>
            <w:r>
              <w:rPr>
                <w:rFonts w:eastAsia="Palatino Linotype"/>
                <w:b/>
                <w:bCs/>
                <w:color w:val="000000"/>
                <w:spacing w:val="-1"/>
                <w:kern w:val="2"/>
                <w:sz w:val="22"/>
                <w:szCs w:val="22"/>
                <w:lang w:val="es-ES" w:eastAsia="en-US"/>
              </w:rPr>
              <w:t>jurisdiction</w:t>
            </w:r>
            <w:proofErr w:type="spellEnd"/>
          </w:p>
          <w:p w14:paraId="0A68DD2F" w14:textId="77777777" w:rsidR="00E255F4" w:rsidRDefault="00000000">
            <w:pPr>
              <w:rPr>
                <w:rFonts w:eastAsia="Palatino Linotype"/>
                <w:spacing w:val="-1"/>
                <w:sz w:val="22"/>
                <w:szCs w:val="22"/>
                <w:lang w:val="es-ES"/>
              </w:rPr>
            </w:pPr>
            <w:proofErr w:type="spellStart"/>
            <w:r>
              <w:rPr>
                <w:rFonts w:eastAsia="Palatino Linotype"/>
                <w:spacing w:val="-1"/>
                <w:sz w:val="22"/>
                <w:szCs w:val="22"/>
                <w:lang w:val="es-ES"/>
              </w:rPr>
              <w:t>It</w:t>
            </w:r>
            <w:proofErr w:type="spellEnd"/>
            <w:r>
              <w:rPr>
                <w:rFonts w:eastAsia="Palatino Linotype"/>
                <w:spacing w:val="-1"/>
                <w:sz w:val="22"/>
                <w:szCs w:val="22"/>
                <w:lang w:val="es-ES"/>
              </w:rPr>
              <w:t xml:space="preserve"> </w:t>
            </w:r>
            <w:proofErr w:type="spellStart"/>
            <w:r>
              <w:rPr>
                <w:rFonts w:eastAsia="Palatino Linotype"/>
                <w:spacing w:val="-1"/>
                <w:sz w:val="22"/>
                <w:szCs w:val="22"/>
                <w:lang w:val="es-ES"/>
              </w:rPr>
              <w:t>is</w:t>
            </w:r>
            <w:proofErr w:type="spellEnd"/>
            <w:r>
              <w:rPr>
                <w:rFonts w:eastAsia="Palatino Linotype"/>
                <w:spacing w:val="-1"/>
                <w:sz w:val="22"/>
                <w:szCs w:val="22"/>
                <w:lang w:val="es-ES"/>
              </w:rPr>
              <w:t xml:space="preserve"> </w:t>
            </w:r>
            <w:proofErr w:type="spellStart"/>
            <w:r>
              <w:rPr>
                <w:rFonts w:eastAsia="Palatino Linotype"/>
                <w:spacing w:val="-1"/>
                <w:sz w:val="22"/>
                <w:szCs w:val="22"/>
                <w:lang w:val="es-ES"/>
              </w:rPr>
              <w:t>added</w:t>
            </w:r>
            <w:proofErr w:type="spellEnd"/>
            <w:r>
              <w:rPr>
                <w:rFonts w:eastAsia="Palatino Linotype"/>
                <w:spacing w:val="-1"/>
                <w:sz w:val="22"/>
                <w:szCs w:val="22"/>
                <w:lang w:val="es-ES"/>
              </w:rPr>
              <w:t>:</w:t>
            </w:r>
          </w:p>
          <w:p w14:paraId="73FA1423" w14:textId="77777777" w:rsidR="00E255F4" w:rsidRDefault="00E255F4">
            <w:pPr>
              <w:rPr>
                <w:rFonts w:eastAsia="Palatino Linotype"/>
                <w:spacing w:val="-1"/>
                <w:sz w:val="22"/>
                <w:szCs w:val="22"/>
                <w:lang w:val="es-ES"/>
              </w:rPr>
            </w:pPr>
          </w:p>
          <w:p w14:paraId="5BE3682B" w14:textId="77777777" w:rsidR="00E255F4" w:rsidRDefault="00000000">
            <w:pPr>
              <w:widowControl w:val="0"/>
              <w:spacing w:line="360" w:lineRule="auto"/>
              <w:ind w:right="-36"/>
              <w:jc w:val="both"/>
              <w:rPr>
                <w:rFonts w:eastAsia="Palatino Linotype"/>
                <w:b/>
                <w:spacing w:val="-1"/>
                <w:sz w:val="22"/>
                <w:szCs w:val="22"/>
                <w:lang w:val="es-ES"/>
              </w:rPr>
            </w:pPr>
            <w:r>
              <w:rPr>
                <w:rFonts w:eastAsia="Palatino Linotype"/>
                <w:b/>
                <w:spacing w:val="-1"/>
                <w:sz w:val="22"/>
                <w:szCs w:val="22"/>
                <w:lang w:val="es-ES"/>
              </w:rPr>
              <w:t xml:space="preserve">Judicial </w:t>
            </w:r>
            <w:proofErr w:type="spellStart"/>
            <w:r>
              <w:rPr>
                <w:rFonts w:eastAsia="Palatino Linotype"/>
                <w:b/>
                <w:spacing w:val="-1"/>
                <w:sz w:val="22"/>
                <w:szCs w:val="22"/>
                <w:lang w:val="es-ES"/>
              </w:rPr>
              <w:t>jurisdiction</w:t>
            </w:r>
            <w:proofErr w:type="spellEnd"/>
          </w:p>
          <w:p w14:paraId="3E20115D" w14:textId="77777777" w:rsidR="00E255F4" w:rsidRDefault="00000000">
            <w:pPr>
              <w:ind w:right="-34"/>
              <w:jc w:val="both"/>
            </w:pPr>
            <w:r>
              <w:rPr>
                <w:sz w:val="22"/>
                <w:szCs w:val="22"/>
                <w:lang w:val="es-ES"/>
              </w:rPr>
              <w:t xml:space="preserve">For </w:t>
            </w:r>
            <w:proofErr w:type="spellStart"/>
            <w:r>
              <w:rPr>
                <w:sz w:val="22"/>
                <w:szCs w:val="22"/>
                <w:lang w:val="es-ES"/>
              </w:rPr>
              <w:t>all</w:t>
            </w:r>
            <w:proofErr w:type="spellEnd"/>
            <w:r>
              <w:rPr>
                <w:sz w:val="22"/>
                <w:szCs w:val="22"/>
                <w:lang w:val="es-ES"/>
              </w:rPr>
              <w:t xml:space="preserve"> legal and extrajudicial </w:t>
            </w:r>
            <w:proofErr w:type="spellStart"/>
            <w:r>
              <w:rPr>
                <w:sz w:val="22"/>
                <w:szCs w:val="22"/>
                <w:lang w:val="es-ES"/>
              </w:rPr>
              <w:t>purposes</w:t>
            </w:r>
            <w:proofErr w:type="spellEnd"/>
            <w:r>
              <w:rPr>
                <w:sz w:val="22"/>
                <w:szCs w:val="22"/>
                <w:lang w:val="es-ES"/>
              </w:rPr>
              <w:t xml:space="preserve"> </w:t>
            </w:r>
            <w:proofErr w:type="spellStart"/>
            <w:r>
              <w:rPr>
                <w:sz w:val="22"/>
                <w:szCs w:val="22"/>
                <w:lang w:val="es-ES"/>
              </w:rPr>
              <w:t>related</w:t>
            </w:r>
            <w:proofErr w:type="spellEnd"/>
            <w:r>
              <w:rPr>
                <w:sz w:val="22"/>
                <w:szCs w:val="22"/>
                <w:lang w:val="es-ES"/>
              </w:rPr>
              <w:t xml:space="preserve"> </w:t>
            </w:r>
            <w:proofErr w:type="spellStart"/>
            <w:r>
              <w:rPr>
                <w:sz w:val="22"/>
                <w:szCs w:val="22"/>
                <w:lang w:val="es-ES"/>
              </w:rPr>
              <w:t>to</w:t>
            </w:r>
            <w:proofErr w:type="spellEnd"/>
            <w:r>
              <w:rPr>
                <w:sz w:val="22"/>
                <w:szCs w:val="22"/>
                <w:lang w:val="es-ES"/>
              </w:rPr>
              <w:t xml:space="preserve"> </w:t>
            </w:r>
            <w:proofErr w:type="spellStart"/>
            <w:r>
              <w:rPr>
                <w:sz w:val="22"/>
                <w:szCs w:val="22"/>
                <w:lang w:val="es-ES"/>
              </w:rPr>
              <w:t>these</w:t>
            </w:r>
            <w:proofErr w:type="spellEnd"/>
            <w:r>
              <w:rPr>
                <w:sz w:val="22"/>
                <w:szCs w:val="22"/>
                <w:lang w:val="es-ES"/>
              </w:rPr>
              <w:t xml:space="preserve"> </w:t>
            </w:r>
            <w:proofErr w:type="spellStart"/>
            <w:r>
              <w:rPr>
                <w:sz w:val="22"/>
                <w:szCs w:val="22"/>
                <w:lang w:val="es-ES"/>
              </w:rPr>
              <w:t>Terms</w:t>
            </w:r>
            <w:proofErr w:type="spellEnd"/>
            <w:r>
              <w:rPr>
                <w:sz w:val="22"/>
                <w:szCs w:val="22"/>
                <w:lang w:val="es-ES"/>
              </w:rPr>
              <w:t xml:space="preserve"> and </w:t>
            </w:r>
            <w:proofErr w:type="spellStart"/>
            <w:r>
              <w:rPr>
                <w:sz w:val="22"/>
                <w:szCs w:val="22"/>
                <w:lang w:val="es-ES"/>
              </w:rPr>
              <w:t>Conditions</w:t>
            </w:r>
            <w:proofErr w:type="spellEnd"/>
            <w:r>
              <w:rPr>
                <w:sz w:val="22"/>
                <w:szCs w:val="22"/>
                <w:lang w:val="es-ES"/>
              </w:rPr>
              <w:t xml:space="preserve">, </w:t>
            </w:r>
            <w:proofErr w:type="spellStart"/>
            <w:r>
              <w:rPr>
                <w:sz w:val="22"/>
                <w:szCs w:val="22"/>
                <w:lang w:val="es-ES"/>
              </w:rPr>
              <w:t>the</w:t>
            </w:r>
            <w:proofErr w:type="spellEnd"/>
            <w:r>
              <w:rPr>
                <w:sz w:val="22"/>
                <w:szCs w:val="22"/>
                <w:lang w:val="es-ES"/>
              </w:rPr>
              <w:t xml:space="preserve"> </w:t>
            </w:r>
            <w:proofErr w:type="spellStart"/>
            <w:r>
              <w:rPr>
                <w:sz w:val="22"/>
                <w:szCs w:val="22"/>
                <w:lang w:val="es-ES"/>
              </w:rPr>
              <w:t>bidding</w:t>
            </w:r>
            <w:proofErr w:type="spellEnd"/>
            <w:r>
              <w:rPr>
                <w:sz w:val="22"/>
                <w:szCs w:val="22"/>
                <w:lang w:val="es-ES"/>
              </w:rPr>
              <w:t xml:space="preserve"> </w:t>
            </w:r>
            <w:proofErr w:type="spellStart"/>
            <w:r>
              <w:rPr>
                <w:sz w:val="22"/>
                <w:szCs w:val="22"/>
                <w:lang w:val="es-ES"/>
              </w:rPr>
              <w:t>process</w:t>
            </w:r>
            <w:proofErr w:type="spellEnd"/>
            <w:r>
              <w:rPr>
                <w:sz w:val="22"/>
                <w:szCs w:val="22"/>
                <w:lang w:val="es-ES"/>
              </w:rPr>
              <w:t xml:space="preserve"> </w:t>
            </w:r>
            <w:proofErr w:type="spellStart"/>
            <w:r>
              <w:rPr>
                <w:sz w:val="22"/>
                <w:szCs w:val="22"/>
                <w:lang w:val="es-ES"/>
              </w:rPr>
              <w:t>of</w:t>
            </w:r>
            <w:proofErr w:type="spellEnd"/>
            <w:r>
              <w:rPr>
                <w:sz w:val="22"/>
                <w:szCs w:val="22"/>
                <w:lang w:val="es-ES"/>
              </w:rPr>
              <w:t xml:space="preserve"> </w:t>
            </w:r>
            <w:proofErr w:type="spellStart"/>
            <w:r>
              <w:rPr>
                <w:sz w:val="22"/>
                <w:szCs w:val="22"/>
                <w:lang w:val="es-ES"/>
              </w:rPr>
              <w:t>which</w:t>
            </w:r>
            <w:proofErr w:type="spellEnd"/>
            <w:r>
              <w:rPr>
                <w:sz w:val="22"/>
                <w:szCs w:val="22"/>
                <w:lang w:val="es-ES"/>
              </w:rPr>
              <w:t xml:space="preserve"> </w:t>
            </w:r>
            <w:proofErr w:type="spellStart"/>
            <w:r>
              <w:rPr>
                <w:sz w:val="22"/>
                <w:szCs w:val="22"/>
                <w:lang w:val="es-ES"/>
              </w:rPr>
              <w:t>they</w:t>
            </w:r>
            <w:proofErr w:type="spellEnd"/>
            <w:r>
              <w:rPr>
                <w:sz w:val="22"/>
                <w:szCs w:val="22"/>
                <w:lang w:val="es-ES"/>
              </w:rPr>
              <w:t xml:space="preserve"> </w:t>
            </w:r>
            <w:proofErr w:type="spellStart"/>
            <w:r>
              <w:rPr>
                <w:sz w:val="22"/>
                <w:szCs w:val="22"/>
                <w:lang w:val="es-ES"/>
              </w:rPr>
              <w:t>form</w:t>
            </w:r>
            <w:proofErr w:type="spellEnd"/>
            <w:r>
              <w:rPr>
                <w:sz w:val="22"/>
                <w:szCs w:val="22"/>
                <w:lang w:val="es-ES"/>
              </w:rPr>
              <w:t xml:space="preserve"> </w:t>
            </w:r>
            <w:proofErr w:type="spellStart"/>
            <w:r>
              <w:rPr>
                <w:sz w:val="22"/>
                <w:szCs w:val="22"/>
                <w:lang w:val="es-ES"/>
              </w:rPr>
              <w:t>part</w:t>
            </w:r>
            <w:proofErr w:type="spellEnd"/>
            <w:r>
              <w:rPr>
                <w:sz w:val="22"/>
                <w:szCs w:val="22"/>
                <w:lang w:val="es-ES"/>
              </w:rPr>
              <w:t xml:space="preserve">, and </w:t>
            </w:r>
            <w:proofErr w:type="spellStart"/>
            <w:r>
              <w:rPr>
                <w:sz w:val="22"/>
                <w:szCs w:val="22"/>
                <w:lang w:val="es-ES"/>
              </w:rPr>
              <w:t>the</w:t>
            </w:r>
            <w:proofErr w:type="spellEnd"/>
            <w:r>
              <w:rPr>
                <w:sz w:val="22"/>
                <w:szCs w:val="22"/>
                <w:lang w:val="es-ES"/>
              </w:rPr>
              <w:t xml:space="preserve"> contractual </w:t>
            </w:r>
            <w:proofErr w:type="spellStart"/>
            <w:r>
              <w:rPr>
                <w:sz w:val="22"/>
                <w:szCs w:val="22"/>
                <w:lang w:val="es-ES"/>
              </w:rPr>
              <w:t>relationship</w:t>
            </w:r>
            <w:proofErr w:type="spellEnd"/>
            <w:r>
              <w:rPr>
                <w:sz w:val="22"/>
                <w:szCs w:val="22"/>
                <w:lang w:val="es-ES"/>
              </w:rPr>
              <w:t xml:space="preserve"> </w:t>
            </w:r>
            <w:proofErr w:type="spellStart"/>
            <w:r>
              <w:rPr>
                <w:sz w:val="22"/>
                <w:szCs w:val="22"/>
                <w:lang w:val="es-ES"/>
              </w:rPr>
              <w:t>to</w:t>
            </w:r>
            <w:proofErr w:type="spellEnd"/>
            <w:r>
              <w:rPr>
                <w:sz w:val="22"/>
                <w:szCs w:val="22"/>
                <w:lang w:val="es-ES"/>
              </w:rPr>
              <w:t xml:space="preserve"> be </w:t>
            </w:r>
            <w:proofErr w:type="spellStart"/>
            <w:r>
              <w:rPr>
                <w:sz w:val="22"/>
                <w:szCs w:val="22"/>
                <w:lang w:val="es-ES"/>
              </w:rPr>
              <w:t>formalized</w:t>
            </w:r>
            <w:proofErr w:type="spellEnd"/>
            <w:r>
              <w:rPr>
                <w:sz w:val="22"/>
                <w:szCs w:val="22"/>
                <w:lang w:val="es-ES"/>
              </w:rPr>
              <w:t xml:space="preserve"> as </w:t>
            </w:r>
            <w:proofErr w:type="spellStart"/>
            <w:r>
              <w:rPr>
                <w:sz w:val="22"/>
                <w:szCs w:val="22"/>
                <w:lang w:val="es-ES"/>
              </w:rPr>
              <w:t>established</w:t>
            </w:r>
            <w:proofErr w:type="spellEnd"/>
            <w:r>
              <w:rPr>
                <w:sz w:val="22"/>
                <w:szCs w:val="22"/>
                <w:lang w:val="es-ES"/>
              </w:rPr>
              <w:t xml:space="preserve"> in </w:t>
            </w:r>
            <w:proofErr w:type="spellStart"/>
            <w:r>
              <w:rPr>
                <w:sz w:val="22"/>
                <w:szCs w:val="22"/>
                <w:lang w:val="es-ES"/>
              </w:rPr>
              <w:t>Article</w:t>
            </w:r>
            <w:proofErr w:type="spellEnd"/>
            <w:r>
              <w:rPr>
                <w:sz w:val="22"/>
                <w:szCs w:val="22"/>
                <w:lang w:val="es-ES"/>
              </w:rPr>
              <w:t xml:space="preserve"> 69 </w:t>
            </w:r>
            <w:proofErr w:type="spellStart"/>
            <w:r>
              <w:rPr>
                <w:sz w:val="22"/>
                <w:szCs w:val="22"/>
                <w:lang w:val="es-ES"/>
              </w:rPr>
              <w:t>of</w:t>
            </w:r>
            <w:proofErr w:type="spellEnd"/>
            <w:r>
              <w:rPr>
                <w:sz w:val="22"/>
                <w:szCs w:val="22"/>
                <w:lang w:val="es-ES"/>
              </w:rPr>
              <w:t xml:space="preserve"> </w:t>
            </w:r>
            <w:proofErr w:type="spellStart"/>
            <w:r>
              <w:rPr>
                <w:sz w:val="22"/>
                <w:szCs w:val="22"/>
                <w:lang w:val="es-ES"/>
              </w:rPr>
              <w:t>the</w:t>
            </w:r>
            <w:proofErr w:type="spellEnd"/>
            <w:r>
              <w:rPr>
                <w:sz w:val="22"/>
                <w:szCs w:val="22"/>
                <w:lang w:val="es-ES"/>
              </w:rPr>
              <w:t xml:space="preserve"> TOCAF (</w:t>
            </w:r>
            <w:proofErr w:type="spellStart"/>
            <w:r>
              <w:rPr>
                <w:sz w:val="22"/>
                <w:szCs w:val="22"/>
                <w:lang w:val="es-ES"/>
              </w:rPr>
              <w:t>Consolidated</w:t>
            </w:r>
            <w:proofErr w:type="spellEnd"/>
            <w:r>
              <w:rPr>
                <w:sz w:val="22"/>
                <w:szCs w:val="22"/>
                <w:lang w:val="es-ES"/>
              </w:rPr>
              <w:t xml:space="preserve"> Text </w:t>
            </w:r>
            <w:proofErr w:type="spellStart"/>
            <w:r>
              <w:rPr>
                <w:sz w:val="22"/>
                <w:szCs w:val="22"/>
                <w:lang w:val="es-ES"/>
              </w:rPr>
              <w:t>of</w:t>
            </w:r>
            <w:proofErr w:type="spellEnd"/>
            <w:r>
              <w:rPr>
                <w:sz w:val="22"/>
                <w:szCs w:val="22"/>
                <w:lang w:val="es-ES"/>
              </w:rPr>
              <w:t xml:space="preserve"> </w:t>
            </w:r>
            <w:proofErr w:type="spellStart"/>
            <w:r>
              <w:rPr>
                <w:sz w:val="22"/>
                <w:szCs w:val="22"/>
                <w:lang w:val="es-ES"/>
              </w:rPr>
              <w:t>Accounting</w:t>
            </w:r>
            <w:proofErr w:type="spellEnd"/>
            <w:r>
              <w:rPr>
                <w:sz w:val="22"/>
                <w:szCs w:val="22"/>
                <w:lang w:val="es-ES"/>
              </w:rPr>
              <w:t xml:space="preserve"> and </w:t>
            </w:r>
            <w:proofErr w:type="spellStart"/>
            <w:r>
              <w:rPr>
                <w:sz w:val="22"/>
                <w:szCs w:val="22"/>
                <w:lang w:val="es-ES"/>
              </w:rPr>
              <w:t>Financial</w:t>
            </w:r>
            <w:proofErr w:type="spellEnd"/>
            <w:r>
              <w:rPr>
                <w:sz w:val="22"/>
                <w:szCs w:val="22"/>
                <w:lang w:val="es-ES"/>
              </w:rPr>
              <w:t xml:space="preserve"> </w:t>
            </w:r>
            <w:proofErr w:type="spellStart"/>
            <w:r>
              <w:rPr>
                <w:sz w:val="22"/>
                <w:szCs w:val="22"/>
                <w:lang w:val="es-ES"/>
              </w:rPr>
              <w:t>Administration</w:t>
            </w:r>
            <w:proofErr w:type="spellEnd"/>
            <w:r>
              <w:rPr>
                <w:sz w:val="22"/>
                <w:szCs w:val="22"/>
                <w:lang w:val="es-ES"/>
              </w:rPr>
              <w:t xml:space="preserve"> </w:t>
            </w:r>
            <w:proofErr w:type="spellStart"/>
            <w:r>
              <w:rPr>
                <w:sz w:val="22"/>
                <w:szCs w:val="22"/>
                <w:lang w:val="es-ES"/>
              </w:rPr>
              <w:t>Regulations</w:t>
            </w:r>
            <w:proofErr w:type="spellEnd"/>
            <w:r>
              <w:rPr>
                <w:sz w:val="22"/>
                <w:szCs w:val="22"/>
                <w:lang w:val="es-ES"/>
              </w:rPr>
              <w:t xml:space="preserve">), </w:t>
            </w:r>
            <w:proofErr w:type="spellStart"/>
            <w:r>
              <w:rPr>
                <w:sz w:val="22"/>
                <w:szCs w:val="22"/>
                <w:lang w:val="es-ES"/>
              </w:rPr>
              <w:t>it</w:t>
            </w:r>
            <w:proofErr w:type="spellEnd"/>
            <w:r>
              <w:rPr>
                <w:sz w:val="22"/>
                <w:szCs w:val="22"/>
                <w:lang w:val="es-ES"/>
              </w:rPr>
              <w:t xml:space="preserve"> </w:t>
            </w:r>
            <w:proofErr w:type="spellStart"/>
            <w:r>
              <w:rPr>
                <w:sz w:val="22"/>
                <w:szCs w:val="22"/>
                <w:lang w:val="es-ES"/>
              </w:rPr>
              <w:t>is</w:t>
            </w:r>
            <w:proofErr w:type="spellEnd"/>
            <w:r>
              <w:rPr>
                <w:sz w:val="22"/>
                <w:szCs w:val="22"/>
                <w:lang w:val="es-ES"/>
              </w:rPr>
              <w:t xml:space="preserve"> </w:t>
            </w:r>
            <w:proofErr w:type="spellStart"/>
            <w:r>
              <w:rPr>
                <w:sz w:val="22"/>
                <w:szCs w:val="22"/>
                <w:lang w:val="es-ES"/>
              </w:rPr>
              <w:t>established</w:t>
            </w:r>
            <w:proofErr w:type="spellEnd"/>
            <w:r>
              <w:rPr>
                <w:sz w:val="22"/>
                <w:szCs w:val="22"/>
                <w:lang w:val="es-ES"/>
              </w:rPr>
              <w:t xml:space="preserve"> </w:t>
            </w:r>
            <w:proofErr w:type="spellStart"/>
            <w:r>
              <w:rPr>
                <w:sz w:val="22"/>
                <w:szCs w:val="22"/>
                <w:lang w:val="es-ES"/>
              </w:rPr>
              <w:t>that</w:t>
            </w:r>
            <w:proofErr w:type="spellEnd"/>
            <w:r>
              <w:rPr>
                <w:sz w:val="22"/>
                <w:szCs w:val="22"/>
                <w:lang w:val="es-ES"/>
              </w:rPr>
              <w:t xml:space="preserve"> </w:t>
            </w:r>
            <w:proofErr w:type="spellStart"/>
            <w:r>
              <w:rPr>
                <w:sz w:val="22"/>
                <w:szCs w:val="22"/>
                <w:lang w:val="es-ES"/>
              </w:rPr>
              <w:t>any</w:t>
            </w:r>
            <w:proofErr w:type="spellEnd"/>
            <w:r>
              <w:rPr>
                <w:sz w:val="22"/>
                <w:szCs w:val="22"/>
                <w:lang w:val="es-ES"/>
              </w:rPr>
              <w:t xml:space="preserve"> legal </w:t>
            </w:r>
            <w:proofErr w:type="spellStart"/>
            <w:r>
              <w:rPr>
                <w:sz w:val="22"/>
                <w:szCs w:val="22"/>
                <w:lang w:val="es-ES"/>
              </w:rPr>
              <w:t>proceedings</w:t>
            </w:r>
            <w:proofErr w:type="spellEnd"/>
            <w:r>
              <w:rPr>
                <w:sz w:val="22"/>
                <w:szCs w:val="22"/>
                <w:lang w:val="es-ES"/>
              </w:rPr>
              <w:t xml:space="preserve"> </w:t>
            </w:r>
            <w:proofErr w:type="spellStart"/>
            <w:r>
              <w:rPr>
                <w:sz w:val="22"/>
                <w:szCs w:val="22"/>
                <w:lang w:val="es-ES"/>
              </w:rPr>
              <w:t>initiated</w:t>
            </w:r>
            <w:proofErr w:type="spellEnd"/>
            <w:r>
              <w:rPr>
                <w:sz w:val="22"/>
                <w:szCs w:val="22"/>
                <w:lang w:val="es-ES"/>
              </w:rPr>
              <w:t xml:space="preserve"> </w:t>
            </w:r>
            <w:proofErr w:type="spellStart"/>
            <w:r>
              <w:rPr>
                <w:sz w:val="22"/>
                <w:szCs w:val="22"/>
                <w:lang w:val="es-ES"/>
              </w:rPr>
              <w:t>will</w:t>
            </w:r>
            <w:proofErr w:type="spellEnd"/>
            <w:r>
              <w:rPr>
                <w:sz w:val="22"/>
                <w:szCs w:val="22"/>
                <w:lang w:val="es-ES"/>
              </w:rPr>
              <w:t xml:space="preserve"> be </w:t>
            </w:r>
            <w:proofErr w:type="spellStart"/>
            <w:r>
              <w:rPr>
                <w:sz w:val="22"/>
                <w:szCs w:val="22"/>
                <w:lang w:val="es-ES"/>
              </w:rPr>
              <w:t>submitted</w:t>
            </w:r>
            <w:proofErr w:type="spellEnd"/>
            <w:r>
              <w:rPr>
                <w:sz w:val="22"/>
                <w:szCs w:val="22"/>
                <w:lang w:val="es-ES"/>
              </w:rPr>
              <w:t xml:space="preserve"> </w:t>
            </w:r>
            <w:proofErr w:type="spellStart"/>
            <w:r>
              <w:rPr>
                <w:sz w:val="22"/>
                <w:szCs w:val="22"/>
                <w:lang w:val="es-ES"/>
              </w:rPr>
              <w:t>to</w:t>
            </w:r>
            <w:proofErr w:type="spellEnd"/>
            <w:r>
              <w:rPr>
                <w:sz w:val="22"/>
                <w:szCs w:val="22"/>
                <w:lang w:val="es-ES"/>
              </w:rPr>
              <w:t xml:space="preserve"> </w:t>
            </w:r>
            <w:proofErr w:type="spellStart"/>
            <w:r>
              <w:rPr>
                <w:sz w:val="22"/>
                <w:szCs w:val="22"/>
                <w:lang w:val="es-ES"/>
              </w:rPr>
              <w:t>the</w:t>
            </w:r>
            <w:proofErr w:type="spellEnd"/>
            <w:r>
              <w:rPr>
                <w:sz w:val="22"/>
                <w:szCs w:val="22"/>
                <w:lang w:val="es-ES"/>
              </w:rPr>
              <w:t xml:space="preserve"> </w:t>
            </w:r>
            <w:proofErr w:type="spellStart"/>
            <w:r>
              <w:rPr>
                <w:sz w:val="22"/>
                <w:szCs w:val="22"/>
                <w:lang w:val="es-ES"/>
              </w:rPr>
              <w:t>Ordinary</w:t>
            </w:r>
            <w:proofErr w:type="spellEnd"/>
            <w:r>
              <w:rPr>
                <w:sz w:val="22"/>
                <w:szCs w:val="22"/>
                <w:lang w:val="es-ES"/>
              </w:rPr>
              <w:t xml:space="preserve"> Courts </w:t>
            </w:r>
            <w:proofErr w:type="spellStart"/>
            <w:r>
              <w:rPr>
                <w:sz w:val="22"/>
                <w:szCs w:val="22"/>
                <w:lang w:val="es-ES"/>
              </w:rPr>
              <w:t>of</w:t>
            </w:r>
            <w:proofErr w:type="spellEnd"/>
            <w:r>
              <w:rPr>
                <w:sz w:val="22"/>
                <w:szCs w:val="22"/>
                <w:lang w:val="es-ES"/>
              </w:rPr>
              <w:t xml:space="preserve"> Justice </w:t>
            </w:r>
            <w:proofErr w:type="spellStart"/>
            <w:r>
              <w:rPr>
                <w:sz w:val="22"/>
                <w:szCs w:val="22"/>
                <w:lang w:val="es-ES"/>
              </w:rPr>
              <w:t>of</w:t>
            </w:r>
            <w:proofErr w:type="spellEnd"/>
            <w:r>
              <w:rPr>
                <w:sz w:val="22"/>
                <w:szCs w:val="22"/>
                <w:lang w:val="es-ES"/>
              </w:rPr>
              <w:t xml:space="preserve"> </w:t>
            </w:r>
            <w:proofErr w:type="spellStart"/>
            <w:r>
              <w:rPr>
                <w:sz w:val="22"/>
                <w:szCs w:val="22"/>
                <w:lang w:val="es-ES"/>
              </w:rPr>
              <w:t>the</w:t>
            </w:r>
            <w:proofErr w:type="spellEnd"/>
            <w:r>
              <w:rPr>
                <w:sz w:val="22"/>
                <w:szCs w:val="22"/>
                <w:lang w:val="es-ES"/>
              </w:rPr>
              <w:t xml:space="preserve"> </w:t>
            </w:r>
            <w:proofErr w:type="spellStart"/>
            <w:r>
              <w:rPr>
                <w:sz w:val="22"/>
                <w:szCs w:val="22"/>
                <w:lang w:val="es-ES"/>
              </w:rPr>
              <w:t>Department</w:t>
            </w:r>
            <w:proofErr w:type="spellEnd"/>
            <w:r>
              <w:rPr>
                <w:sz w:val="22"/>
                <w:szCs w:val="22"/>
                <w:lang w:val="es-ES"/>
              </w:rPr>
              <w:t xml:space="preserve"> </w:t>
            </w:r>
            <w:proofErr w:type="spellStart"/>
            <w:r>
              <w:rPr>
                <w:sz w:val="22"/>
                <w:szCs w:val="22"/>
                <w:lang w:val="es-ES"/>
              </w:rPr>
              <w:t>of</w:t>
            </w:r>
            <w:proofErr w:type="spellEnd"/>
            <w:r>
              <w:rPr>
                <w:sz w:val="22"/>
                <w:szCs w:val="22"/>
                <w:lang w:val="es-ES"/>
              </w:rPr>
              <w:t xml:space="preserve"> Montevideo, as </w:t>
            </w:r>
            <w:proofErr w:type="spellStart"/>
            <w:r>
              <w:rPr>
                <w:sz w:val="22"/>
                <w:szCs w:val="22"/>
                <w:lang w:val="es-ES"/>
              </w:rPr>
              <w:t>determined</w:t>
            </w:r>
            <w:proofErr w:type="spellEnd"/>
            <w:r>
              <w:rPr>
                <w:sz w:val="22"/>
                <w:szCs w:val="22"/>
                <w:lang w:val="es-ES"/>
              </w:rPr>
              <w:t xml:space="preserve"> </w:t>
            </w:r>
            <w:proofErr w:type="spellStart"/>
            <w:r>
              <w:rPr>
                <w:sz w:val="22"/>
                <w:szCs w:val="22"/>
                <w:lang w:val="es-ES"/>
              </w:rPr>
              <w:t>by</w:t>
            </w:r>
            <w:proofErr w:type="spellEnd"/>
            <w:r>
              <w:rPr>
                <w:sz w:val="22"/>
                <w:szCs w:val="22"/>
                <w:lang w:val="es-ES"/>
              </w:rPr>
              <w:t xml:space="preserve"> </w:t>
            </w:r>
            <w:proofErr w:type="spellStart"/>
            <w:r>
              <w:rPr>
                <w:sz w:val="22"/>
                <w:szCs w:val="22"/>
                <w:lang w:val="es-ES"/>
              </w:rPr>
              <w:t>the</w:t>
            </w:r>
            <w:proofErr w:type="spellEnd"/>
            <w:r>
              <w:rPr>
                <w:sz w:val="22"/>
                <w:szCs w:val="22"/>
                <w:lang w:val="es-ES"/>
              </w:rPr>
              <w:t xml:space="preserve"> </w:t>
            </w:r>
            <w:proofErr w:type="spellStart"/>
            <w:r>
              <w:rPr>
                <w:sz w:val="22"/>
                <w:szCs w:val="22"/>
                <w:lang w:val="es-ES"/>
              </w:rPr>
              <w:t>relevant</w:t>
            </w:r>
            <w:proofErr w:type="spellEnd"/>
            <w:r>
              <w:rPr>
                <w:sz w:val="22"/>
                <w:szCs w:val="22"/>
                <w:lang w:val="es-ES"/>
              </w:rPr>
              <w:t xml:space="preserve"> </w:t>
            </w:r>
            <w:proofErr w:type="spellStart"/>
            <w:r>
              <w:rPr>
                <w:sz w:val="22"/>
                <w:szCs w:val="22"/>
                <w:lang w:val="es-ES"/>
              </w:rPr>
              <w:t>court</w:t>
            </w:r>
            <w:proofErr w:type="spellEnd"/>
            <w:r>
              <w:rPr>
                <w:sz w:val="22"/>
                <w:szCs w:val="22"/>
                <w:lang w:val="es-ES"/>
              </w:rPr>
              <w:t xml:space="preserve"> and </w:t>
            </w:r>
            <w:proofErr w:type="spellStart"/>
            <w:r>
              <w:rPr>
                <w:sz w:val="22"/>
                <w:szCs w:val="22"/>
                <w:lang w:val="es-ES"/>
              </w:rPr>
              <w:t>subject</w:t>
            </w:r>
            <w:proofErr w:type="spellEnd"/>
            <w:r>
              <w:rPr>
                <w:sz w:val="22"/>
                <w:szCs w:val="22"/>
                <w:lang w:val="es-ES"/>
              </w:rPr>
              <w:t xml:space="preserve"> </w:t>
            </w:r>
            <w:proofErr w:type="spellStart"/>
            <w:r>
              <w:rPr>
                <w:sz w:val="22"/>
                <w:szCs w:val="22"/>
                <w:lang w:val="es-ES"/>
              </w:rPr>
              <w:t>matter</w:t>
            </w:r>
            <w:proofErr w:type="spellEnd"/>
            <w:r>
              <w:rPr>
                <w:sz w:val="22"/>
                <w:szCs w:val="22"/>
                <w:lang w:val="es-ES"/>
              </w:rPr>
              <w:t xml:space="preserve">. The </w:t>
            </w:r>
            <w:proofErr w:type="spellStart"/>
            <w:r>
              <w:rPr>
                <w:sz w:val="22"/>
                <w:szCs w:val="22"/>
                <w:lang w:val="es-ES"/>
              </w:rPr>
              <w:t>submission</w:t>
            </w:r>
            <w:proofErr w:type="spellEnd"/>
            <w:r>
              <w:rPr>
                <w:sz w:val="22"/>
                <w:szCs w:val="22"/>
                <w:lang w:val="es-ES"/>
              </w:rPr>
              <w:t xml:space="preserve"> </w:t>
            </w:r>
            <w:proofErr w:type="spellStart"/>
            <w:r>
              <w:rPr>
                <w:sz w:val="22"/>
                <w:szCs w:val="22"/>
                <w:lang w:val="es-ES"/>
              </w:rPr>
              <w:t>of</w:t>
            </w:r>
            <w:proofErr w:type="spellEnd"/>
            <w:r>
              <w:rPr>
                <w:sz w:val="22"/>
                <w:szCs w:val="22"/>
                <w:lang w:val="es-ES"/>
              </w:rPr>
              <w:t xml:space="preserve"> a </w:t>
            </w:r>
            <w:proofErr w:type="spellStart"/>
            <w:r>
              <w:rPr>
                <w:sz w:val="22"/>
                <w:szCs w:val="22"/>
                <w:lang w:val="es-ES"/>
              </w:rPr>
              <w:t>bid</w:t>
            </w:r>
            <w:proofErr w:type="spellEnd"/>
            <w:r>
              <w:rPr>
                <w:sz w:val="22"/>
                <w:szCs w:val="22"/>
                <w:lang w:val="es-ES"/>
              </w:rPr>
              <w:t xml:space="preserve"> </w:t>
            </w:r>
            <w:proofErr w:type="spellStart"/>
            <w:r>
              <w:rPr>
                <w:sz w:val="22"/>
                <w:szCs w:val="22"/>
                <w:lang w:val="es-ES"/>
              </w:rPr>
              <w:t>will</w:t>
            </w:r>
            <w:proofErr w:type="spellEnd"/>
            <w:r>
              <w:rPr>
                <w:sz w:val="22"/>
                <w:szCs w:val="22"/>
                <w:lang w:val="es-ES"/>
              </w:rPr>
              <w:t xml:space="preserve"> </w:t>
            </w:r>
            <w:proofErr w:type="spellStart"/>
            <w:r>
              <w:rPr>
                <w:sz w:val="22"/>
                <w:szCs w:val="22"/>
                <w:lang w:val="es-ES"/>
              </w:rPr>
              <w:t>necessarily</w:t>
            </w:r>
            <w:proofErr w:type="spellEnd"/>
            <w:r>
              <w:rPr>
                <w:sz w:val="22"/>
                <w:szCs w:val="22"/>
                <w:lang w:val="es-ES"/>
              </w:rPr>
              <w:t xml:space="preserve"> </w:t>
            </w:r>
            <w:proofErr w:type="spellStart"/>
            <w:r>
              <w:rPr>
                <w:sz w:val="22"/>
                <w:szCs w:val="22"/>
                <w:lang w:val="es-ES"/>
              </w:rPr>
              <w:t>imply</w:t>
            </w:r>
            <w:proofErr w:type="spellEnd"/>
            <w:r>
              <w:rPr>
                <w:sz w:val="22"/>
                <w:szCs w:val="22"/>
                <w:lang w:val="es-ES"/>
              </w:rPr>
              <w:t xml:space="preserve"> </w:t>
            </w:r>
            <w:proofErr w:type="spellStart"/>
            <w:r>
              <w:rPr>
                <w:sz w:val="22"/>
                <w:szCs w:val="22"/>
                <w:lang w:val="es-ES"/>
              </w:rPr>
              <w:t>acceptance</w:t>
            </w:r>
            <w:proofErr w:type="spellEnd"/>
            <w:r>
              <w:rPr>
                <w:sz w:val="22"/>
                <w:szCs w:val="22"/>
                <w:lang w:val="es-ES"/>
              </w:rPr>
              <w:t xml:space="preserve"> </w:t>
            </w:r>
            <w:proofErr w:type="spellStart"/>
            <w:r>
              <w:rPr>
                <w:sz w:val="22"/>
                <w:szCs w:val="22"/>
                <w:lang w:val="es-ES"/>
              </w:rPr>
              <w:t>of</w:t>
            </w:r>
            <w:proofErr w:type="spellEnd"/>
            <w:r>
              <w:rPr>
                <w:sz w:val="22"/>
                <w:szCs w:val="22"/>
                <w:lang w:val="es-ES"/>
              </w:rPr>
              <w:t xml:space="preserve"> </w:t>
            </w:r>
            <w:proofErr w:type="spellStart"/>
            <w:r>
              <w:rPr>
                <w:sz w:val="22"/>
                <w:szCs w:val="22"/>
                <w:lang w:val="es-ES"/>
              </w:rPr>
              <w:t>this</w:t>
            </w:r>
            <w:proofErr w:type="spellEnd"/>
            <w:r>
              <w:rPr>
                <w:sz w:val="22"/>
                <w:szCs w:val="22"/>
                <w:lang w:val="es-ES"/>
              </w:rPr>
              <w:t xml:space="preserve"> </w:t>
            </w:r>
            <w:proofErr w:type="spellStart"/>
            <w:r>
              <w:rPr>
                <w:sz w:val="22"/>
                <w:szCs w:val="22"/>
                <w:lang w:val="es-ES"/>
              </w:rPr>
              <w:t>extension</w:t>
            </w:r>
            <w:proofErr w:type="spellEnd"/>
            <w:r>
              <w:rPr>
                <w:sz w:val="22"/>
                <w:szCs w:val="22"/>
                <w:lang w:val="es-ES"/>
              </w:rPr>
              <w:t xml:space="preserve"> </w:t>
            </w:r>
            <w:proofErr w:type="spellStart"/>
            <w:r>
              <w:rPr>
                <w:sz w:val="22"/>
                <w:szCs w:val="22"/>
                <w:lang w:val="es-ES"/>
              </w:rPr>
              <w:t>of</w:t>
            </w:r>
            <w:proofErr w:type="spellEnd"/>
            <w:r>
              <w:rPr>
                <w:sz w:val="22"/>
                <w:szCs w:val="22"/>
                <w:lang w:val="es-ES"/>
              </w:rPr>
              <w:t xml:space="preserve"> </w:t>
            </w:r>
            <w:proofErr w:type="spellStart"/>
            <w:r>
              <w:rPr>
                <w:sz w:val="22"/>
                <w:szCs w:val="22"/>
                <w:lang w:val="es-ES"/>
              </w:rPr>
              <w:t>jurisdiction</w:t>
            </w:r>
            <w:proofErr w:type="spellEnd"/>
            <w:r>
              <w:rPr>
                <w:sz w:val="22"/>
                <w:szCs w:val="22"/>
                <w:lang w:val="es-ES"/>
              </w:rPr>
              <w:t xml:space="preserve">, as </w:t>
            </w:r>
            <w:proofErr w:type="spellStart"/>
            <w:r>
              <w:rPr>
                <w:sz w:val="22"/>
                <w:szCs w:val="22"/>
                <w:lang w:val="es-ES"/>
              </w:rPr>
              <w:t>well</w:t>
            </w:r>
            <w:proofErr w:type="spellEnd"/>
            <w:r>
              <w:rPr>
                <w:sz w:val="22"/>
                <w:szCs w:val="22"/>
                <w:lang w:val="es-ES"/>
              </w:rPr>
              <w:t xml:space="preserve"> as </w:t>
            </w:r>
            <w:proofErr w:type="spellStart"/>
            <w:r>
              <w:rPr>
                <w:sz w:val="22"/>
                <w:szCs w:val="22"/>
                <w:lang w:val="es-ES"/>
              </w:rPr>
              <w:t>all</w:t>
            </w:r>
            <w:proofErr w:type="spellEnd"/>
            <w:r>
              <w:rPr>
                <w:sz w:val="22"/>
                <w:szCs w:val="22"/>
                <w:lang w:val="es-ES"/>
              </w:rPr>
              <w:t xml:space="preserve"> </w:t>
            </w:r>
            <w:proofErr w:type="spellStart"/>
            <w:r>
              <w:rPr>
                <w:sz w:val="22"/>
                <w:szCs w:val="22"/>
                <w:lang w:val="es-ES"/>
              </w:rPr>
              <w:t>the</w:t>
            </w:r>
            <w:proofErr w:type="spellEnd"/>
            <w:r>
              <w:rPr>
                <w:sz w:val="22"/>
                <w:szCs w:val="22"/>
                <w:lang w:val="es-ES"/>
              </w:rPr>
              <w:t xml:space="preserve"> </w:t>
            </w:r>
            <w:proofErr w:type="spellStart"/>
            <w:r>
              <w:rPr>
                <w:sz w:val="22"/>
                <w:szCs w:val="22"/>
                <w:lang w:val="es-ES"/>
              </w:rPr>
              <w:t>conditions</w:t>
            </w:r>
            <w:proofErr w:type="spellEnd"/>
            <w:r>
              <w:rPr>
                <w:sz w:val="22"/>
                <w:szCs w:val="22"/>
                <w:lang w:val="es-ES"/>
              </w:rPr>
              <w:t xml:space="preserve"> </w:t>
            </w:r>
            <w:proofErr w:type="spellStart"/>
            <w:r>
              <w:rPr>
                <w:sz w:val="22"/>
                <w:szCs w:val="22"/>
                <w:lang w:val="es-ES"/>
              </w:rPr>
              <w:t>established</w:t>
            </w:r>
            <w:proofErr w:type="spellEnd"/>
            <w:r>
              <w:rPr>
                <w:sz w:val="22"/>
                <w:szCs w:val="22"/>
                <w:lang w:val="es-ES"/>
              </w:rPr>
              <w:t xml:space="preserve"> in </w:t>
            </w:r>
            <w:proofErr w:type="spellStart"/>
            <w:r>
              <w:rPr>
                <w:sz w:val="22"/>
                <w:szCs w:val="22"/>
                <w:lang w:val="es-ES"/>
              </w:rPr>
              <w:t>these</w:t>
            </w:r>
            <w:proofErr w:type="spellEnd"/>
            <w:r>
              <w:rPr>
                <w:sz w:val="22"/>
                <w:szCs w:val="22"/>
                <w:lang w:val="es-ES"/>
              </w:rPr>
              <w:t xml:space="preserve"> </w:t>
            </w:r>
            <w:proofErr w:type="spellStart"/>
            <w:r>
              <w:rPr>
                <w:sz w:val="22"/>
                <w:szCs w:val="22"/>
                <w:lang w:val="es-ES"/>
              </w:rPr>
              <w:t>Terms</w:t>
            </w:r>
            <w:proofErr w:type="spellEnd"/>
            <w:r>
              <w:rPr>
                <w:sz w:val="22"/>
                <w:szCs w:val="22"/>
                <w:lang w:val="es-ES"/>
              </w:rPr>
              <w:t xml:space="preserve"> and </w:t>
            </w:r>
            <w:proofErr w:type="spellStart"/>
            <w:r>
              <w:rPr>
                <w:sz w:val="22"/>
                <w:szCs w:val="22"/>
                <w:lang w:val="es-ES"/>
              </w:rPr>
              <w:t>Conditions</w:t>
            </w:r>
            <w:proofErr w:type="spellEnd"/>
            <w:r>
              <w:rPr>
                <w:sz w:val="22"/>
                <w:szCs w:val="22"/>
                <w:lang w:val="es-ES"/>
              </w:rPr>
              <w:t>.</w:t>
            </w:r>
          </w:p>
        </w:tc>
      </w:tr>
      <w:tr w:rsidR="00E255F4" w14:paraId="0995CC50" w14:textId="77777777">
        <w:tc>
          <w:tcPr>
            <w:tcW w:w="730" w:type="dxa"/>
            <w:tcBorders>
              <w:top w:val="single" w:sz="4" w:space="0" w:color="000000"/>
              <w:left w:val="single" w:sz="4" w:space="0" w:color="000000"/>
              <w:bottom w:val="single" w:sz="4" w:space="0" w:color="000000"/>
              <w:right w:val="single" w:sz="4" w:space="0" w:color="000000"/>
            </w:tcBorders>
          </w:tcPr>
          <w:p w14:paraId="0EB85D96" w14:textId="77777777" w:rsidR="00E255F4" w:rsidRDefault="00000000">
            <w:pPr>
              <w:ind w:right="-36"/>
              <w:jc w:val="both"/>
              <w:rPr>
                <w:rFonts w:eastAsia="Palatino Linotype"/>
                <w:b/>
                <w:sz w:val="22"/>
                <w:szCs w:val="22"/>
              </w:rPr>
            </w:pPr>
            <w:r>
              <w:rPr>
                <w:rFonts w:eastAsia="Palatino Linotype"/>
                <w:b/>
                <w:sz w:val="22"/>
                <w:szCs w:val="22"/>
              </w:rPr>
              <w:t>3</w:t>
            </w:r>
          </w:p>
        </w:tc>
        <w:tc>
          <w:tcPr>
            <w:tcW w:w="9048" w:type="dxa"/>
            <w:tcBorders>
              <w:top w:val="single" w:sz="4" w:space="0" w:color="000000"/>
              <w:left w:val="single" w:sz="4" w:space="0" w:color="000000"/>
              <w:bottom w:val="single" w:sz="4" w:space="0" w:color="000000"/>
              <w:right w:val="single" w:sz="4" w:space="0" w:color="000000"/>
            </w:tcBorders>
          </w:tcPr>
          <w:p w14:paraId="51EB074D" w14:textId="77777777" w:rsidR="00E255F4" w:rsidRDefault="00000000">
            <w:pPr>
              <w:ind w:right="-36"/>
              <w:jc w:val="both"/>
              <w:rPr>
                <w:rFonts w:eastAsia="Palatino Linotype"/>
                <w:b/>
                <w:spacing w:val="-1"/>
                <w:sz w:val="22"/>
                <w:szCs w:val="22"/>
              </w:rPr>
            </w:pPr>
            <w:proofErr w:type="spellStart"/>
            <w:r>
              <w:rPr>
                <w:rFonts w:eastAsia="Palatino Linotype"/>
                <w:b/>
                <w:spacing w:val="-1"/>
                <w:sz w:val="22"/>
                <w:szCs w:val="22"/>
              </w:rPr>
              <w:t>Clarifications</w:t>
            </w:r>
            <w:proofErr w:type="spellEnd"/>
            <w:r>
              <w:rPr>
                <w:rFonts w:eastAsia="Palatino Linotype"/>
                <w:b/>
                <w:spacing w:val="-1"/>
                <w:sz w:val="22"/>
                <w:szCs w:val="22"/>
              </w:rPr>
              <w:t xml:space="preserve"> </w:t>
            </w:r>
            <w:proofErr w:type="spellStart"/>
            <w:r>
              <w:rPr>
                <w:rFonts w:eastAsia="Palatino Linotype"/>
                <w:b/>
                <w:spacing w:val="-1"/>
                <w:sz w:val="22"/>
                <w:szCs w:val="22"/>
              </w:rPr>
              <w:t>of</w:t>
            </w:r>
            <w:proofErr w:type="spellEnd"/>
            <w:r>
              <w:rPr>
                <w:rFonts w:eastAsia="Palatino Linotype"/>
                <w:b/>
                <w:spacing w:val="-1"/>
                <w:sz w:val="22"/>
                <w:szCs w:val="22"/>
              </w:rPr>
              <w:t xml:space="preserve"> </w:t>
            </w:r>
            <w:proofErr w:type="spellStart"/>
            <w:r>
              <w:rPr>
                <w:rFonts w:eastAsia="Palatino Linotype"/>
                <w:b/>
                <w:spacing w:val="-1"/>
                <w:sz w:val="22"/>
                <w:szCs w:val="22"/>
              </w:rPr>
              <w:t>the</w:t>
            </w:r>
            <w:proofErr w:type="spellEnd"/>
            <w:r>
              <w:rPr>
                <w:rFonts w:eastAsia="Palatino Linotype"/>
                <w:b/>
                <w:spacing w:val="-1"/>
                <w:sz w:val="22"/>
                <w:szCs w:val="22"/>
              </w:rPr>
              <w:t xml:space="preserve"> </w:t>
            </w:r>
            <w:proofErr w:type="spellStart"/>
            <w:r>
              <w:rPr>
                <w:rFonts w:eastAsia="Palatino Linotype"/>
                <w:b/>
                <w:spacing w:val="-1"/>
                <w:sz w:val="22"/>
                <w:szCs w:val="22"/>
              </w:rPr>
              <w:t>Specifications</w:t>
            </w:r>
            <w:proofErr w:type="spellEnd"/>
          </w:p>
          <w:p w14:paraId="4083FD93" w14:textId="77777777" w:rsidR="00E255F4" w:rsidRDefault="00000000">
            <w:pPr>
              <w:ind w:right="117"/>
              <w:jc w:val="both"/>
              <w:rPr>
                <w:rFonts w:eastAsia="Palatino Linotype"/>
                <w:position w:val="1"/>
                <w:sz w:val="22"/>
                <w:szCs w:val="22"/>
              </w:rPr>
            </w:pPr>
            <w:proofErr w:type="spellStart"/>
            <w:r>
              <w:rPr>
                <w:rFonts w:eastAsia="Palatino Linotype"/>
                <w:position w:val="1"/>
                <w:sz w:val="22"/>
                <w:szCs w:val="22"/>
              </w:rPr>
              <w:t>It</w:t>
            </w:r>
            <w:proofErr w:type="spellEnd"/>
            <w:r>
              <w:rPr>
                <w:rFonts w:eastAsia="Palatino Linotype"/>
                <w:position w:val="1"/>
                <w:sz w:val="22"/>
                <w:szCs w:val="22"/>
              </w:rPr>
              <w:t xml:space="preserve"> </w:t>
            </w:r>
            <w:proofErr w:type="spellStart"/>
            <w:r>
              <w:rPr>
                <w:rFonts w:eastAsia="Palatino Linotype"/>
                <w:position w:val="1"/>
                <w:sz w:val="22"/>
                <w:szCs w:val="22"/>
              </w:rPr>
              <w:t>is</w:t>
            </w:r>
            <w:proofErr w:type="spellEnd"/>
            <w:r>
              <w:rPr>
                <w:rFonts w:eastAsia="Palatino Linotype"/>
                <w:position w:val="1"/>
                <w:sz w:val="22"/>
                <w:szCs w:val="22"/>
              </w:rPr>
              <w:t xml:space="preserve"> </w:t>
            </w:r>
            <w:proofErr w:type="spellStart"/>
            <w:r>
              <w:rPr>
                <w:rFonts w:eastAsia="Palatino Linotype"/>
                <w:position w:val="1"/>
                <w:sz w:val="22"/>
                <w:szCs w:val="22"/>
              </w:rPr>
              <w:t>added</w:t>
            </w:r>
            <w:proofErr w:type="spellEnd"/>
            <w:r>
              <w:rPr>
                <w:rFonts w:eastAsia="Palatino Linotype"/>
                <w:position w:val="1"/>
                <w:sz w:val="22"/>
                <w:szCs w:val="22"/>
              </w:rPr>
              <w:t>:</w:t>
            </w:r>
          </w:p>
          <w:p w14:paraId="22A3B9C2" w14:textId="77777777" w:rsidR="00E255F4" w:rsidRDefault="00E255F4">
            <w:pPr>
              <w:ind w:right="117"/>
              <w:jc w:val="both"/>
              <w:rPr>
                <w:rFonts w:eastAsia="Palatino Linotype"/>
                <w:b/>
                <w:position w:val="1"/>
                <w:sz w:val="22"/>
                <w:szCs w:val="22"/>
              </w:rPr>
            </w:pPr>
          </w:p>
          <w:p w14:paraId="7E1A1AA5" w14:textId="77777777" w:rsidR="00E255F4" w:rsidRDefault="00000000">
            <w:pPr>
              <w:tabs>
                <w:tab w:val="left" w:pos="7689"/>
              </w:tabs>
              <w:jc w:val="both"/>
              <w:rPr>
                <w:rFonts w:eastAsia="Palatino Linotype"/>
                <w:position w:val="1"/>
                <w:sz w:val="22"/>
                <w:szCs w:val="22"/>
              </w:rPr>
            </w:pPr>
            <w:proofErr w:type="spellStart"/>
            <w:r>
              <w:rPr>
                <w:rFonts w:eastAsia="Palatino Linotype"/>
                <w:position w:val="1"/>
                <w:sz w:val="22"/>
                <w:szCs w:val="22"/>
              </w:rPr>
              <w:t>Requests</w:t>
            </w:r>
            <w:proofErr w:type="spellEnd"/>
            <w:r>
              <w:rPr>
                <w:rFonts w:eastAsia="Palatino Linotype"/>
                <w:position w:val="1"/>
                <w:sz w:val="22"/>
                <w:szCs w:val="22"/>
              </w:rPr>
              <w:t xml:space="preserve"> </w:t>
            </w:r>
            <w:proofErr w:type="spellStart"/>
            <w:r>
              <w:rPr>
                <w:rFonts w:eastAsia="Palatino Linotype"/>
                <w:position w:val="1"/>
                <w:sz w:val="22"/>
                <w:szCs w:val="22"/>
              </w:rPr>
              <w:t>for</w:t>
            </w:r>
            <w:proofErr w:type="spellEnd"/>
            <w:r>
              <w:rPr>
                <w:rFonts w:eastAsia="Palatino Linotype"/>
                <w:position w:val="1"/>
                <w:sz w:val="22"/>
                <w:szCs w:val="22"/>
              </w:rPr>
              <w:t xml:space="preserve"> </w:t>
            </w:r>
            <w:proofErr w:type="spellStart"/>
            <w:r>
              <w:rPr>
                <w:rFonts w:eastAsia="Palatino Linotype"/>
                <w:position w:val="1"/>
                <w:sz w:val="22"/>
                <w:szCs w:val="22"/>
              </w:rPr>
              <w:t>clarification</w:t>
            </w:r>
            <w:proofErr w:type="spellEnd"/>
            <w:r>
              <w:rPr>
                <w:rFonts w:eastAsia="Palatino Linotype"/>
                <w:position w:val="1"/>
                <w:sz w:val="22"/>
                <w:szCs w:val="22"/>
              </w:rPr>
              <w:t xml:space="preserve"> </w:t>
            </w:r>
            <w:proofErr w:type="spellStart"/>
            <w:r>
              <w:rPr>
                <w:rFonts w:eastAsia="Palatino Linotype"/>
                <w:position w:val="1"/>
                <w:sz w:val="22"/>
                <w:szCs w:val="22"/>
              </w:rPr>
              <w:t>may</w:t>
            </w:r>
            <w:proofErr w:type="spellEnd"/>
            <w:r>
              <w:rPr>
                <w:rFonts w:eastAsia="Palatino Linotype"/>
                <w:position w:val="1"/>
                <w:sz w:val="22"/>
                <w:szCs w:val="22"/>
              </w:rPr>
              <w:t xml:space="preserve"> be </w:t>
            </w:r>
            <w:proofErr w:type="spellStart"/>
            <w:r>
              <w:rPr>
                <w:rFonts w:eastAsia="Palatino Linotype"/>
                <w:position w:val="1"/>
                <w:sz w:val="22"/>
                <w:szCs w:val="22"/>
              </w:rPr>
              <w:t>submitted</w:t>
            </w:r>
            <w:proofErr w:type="spellEnd"/>
            <w:r>
              <w:rPr>
                <w:rFonts w:eastAsia="Palatino Linotype"/>
                <w:position w:val="1"/>
                <w:sz w:val="22"/>
                <w:szCs w:val="22"/>
              </w:rPr>
              <w:t xml:space="preserve"> in </w:t>
            </w:r>
            <w:proofErr w:type="spellStart"/>
            <w:r>
              <w:rPr>
                <w:rFonts w:eastAsia="Palatino Linotype"/>
                <w:position w:val="1"/>
                <w:sz w:val="22"/>
                <w:szCs w:val="22"/>
              </w:rPr>
              <w:t>writing</w:t>
            </w:r>
            <w:proofErr w:type="spellEnd"/>
            <w:r>
              <w:rPr>
                <w:rFonts w:eastAsia="Palatino Linotype"/>
                <w:position w:val="1"/>
                <w:sz w:val="22"/>
                <w:szCs w:val="22"/>
              </w:rPr>
              <w:t xml:space="preserve"> at </w:t>
            </w:r>
            <w:proofErr w:type="spellStart"/>
            <w:r>
              <w:rPr>
                <w:rFonts w:eastAsia="Palatino Linotype"/>
                <w:position w:val="1"/>
                <w:sz w:val="22"/>
                <w:szCs w:val="22"/>
              </w:rPr>
              <w:t>least</w:t>
            </w:r>
            <w:proofErr w:type="spellEnd"/>
            <w:r>
              <w:rPr>
                <w:rFonts w:eastAsia="Palatino Linotype"/>
                <w:position w:val="1"/>
                <w:sz w:val="22"/>
                <w:szCs w:val="22"/>
              </w:rPr>
              <w:t xml:space="preserve"> 7 </w:t>
            </w:r>
            <w:proofErr w:type="spellStart"/>
            <w:r>
              <w:rPr>
                <w:rFonts w:eastAsia="Palatino Linotype"/>
                <w:position w:val="1"/>
                <w:sz w:val="22"/>
                <w:szCs w:val="22"/>
              </w:rPr>
              <w:t>business</w:t>
            </w:r>
            <w:proofErr w:type="spellEnd"/>
            <w:r>
              <w:rPr>
                <w:rFonts w:eastAsia="Palatino Linotype"/>
                <w:position w:val="1"/>
                <w:sz w:val="22"/>
                <w:szCs w:val="22"/>
              </w:rPr>
              <w:t xml:space="preserve"> </w:t>
            </w:r>
            <w:proofErr w:type="spellStart"/>
            <w:r>
              <w:rPr>
                <w:rFonts w:eastAsia="Palatino Linotype"/>
                <w:position w:val="1"/>
                <w:sz w:val="22"/>
                <w:szCs w:val="22"/>
              </w:rPr>
              <w:t>days</w:t>
            </w:r>
            <w:proofErr w:type="spellEnd"/>
            <w:r>
              <w:rPr>
                <w:rFonts w:eastAsia="Palatino Linotype"/>
                <w:position w:val="1"/>
                <w:sz w:val="22"/>
                <w:szCs w:val="22"/>
              </w:rPr>
              <w:t xml:space="preserve"> </w:t>
            </w:r>
            <w:proofErr w:type="spellStart"/>
            <w:r>
              <w:rPr>
                <w:rFonts w:eastAsia="Palatino Linotype"/>
                <w:position w:val="1"/>
                <w:sz w:val="22"/>
                <w:szCs w:val="22"/>
              </w:rPr>
              <w:t>before</w:t>
            </w:r>
            <w:proofErr w:type="spellEnd"/>
            <w:r>
              <w:rPr>
                <w:rFonts w:eastAsia="Palatino Linotype"/>
                <w:position w:val="1"/>
                <w:sz w:val="22"/>
                <w:szCs w:val="22"/>
              </w:rPr>
              <w:t xml:space="preserve"> </w:t>
            </w:r>
            <w:proofErr w:type="spellStart"/>
            <w:r>
              <w:rPr>
                <w:rFonts w:eastAsia="Palatino Linotype"/>
                <w:position w:val="1"/>
                <w:sz w:val="22"/>
                <w:szCs w:val="22"/>
              </w:rPr>
              <w:t>the</w:t>
            </w:r>
            <w:proofErr w:type="spellEnd"/>
            <w:r>
              <w:rPr>
                <w:rFonts w:eastAsia="Palatino Linotype"/>
                <w:position w:val="1"/>
                <w:sz w:val="22"/>
                <w:szCs w:val="22"/>
              </w:rPr>
              <w:t xml:space="preserve"> date set </w:t>
            </w:r>
            <w:proofErr w:type="spellStart"/>
            <w:r>
              <w:rPr>
                <w:rFonts w:eastAsia="Palatino Linotype"/>
                <w:position w:val="1"/>
                <w:sz w:val="22"/>
                <w:szCs w:val="22"/>
              </w:rPr>
              <w:t>for</w:t>
            </w:r>
            <w:proofErr w:type="spellEnd"/>
            <w:r>
              <w:rPr>
                <w:rFonts w:eastAsia="Palatino Linotype"/>
                <w:position w:val="1"/>
                <w:sz w:val="22"/>
                <w:szCs w:val="22"/>
              </w:rPr>
              <w:t xml:space="preserve"> </w:t>
            </w:r>
            <w:proofErr w:type="spellStart"/>
            <w:r>
              <w:rPr>
                <w:rFonts w:eastAsia="Palatino Linotype"/>
                <w:position w:val="1"/>
                <w:sz w:val="22"/>
                <w:szCs w:val="22"/>
              </w:rPr>
              <w:t>the</w:t>
            </w:r>
            <w:proofErr w:type="spellEnd"/>
            <w:r>
              <w:rPr>
                <w:rFonts w:eastAsia="Palatino Linotype"/>
                <w:position w:val="1"/>
                <w:sz w:val="22"/>
                <w:szCs w:val="22"/>
              </w:rPr>
              <w:t xml:space="preserve"> </w:t>
            </w:r>
            <w:proofErr w:type="spellStart"/>
            <w:r>
              <w:rPr>
                <w:rFonts w:eastAsia="Palatino Linotype"/>
                <w:position w:val="1"/>
                <w:sz w:val="22"/>
                <w:szCs w:val="22"/>
              </w:rPr>
              <w:t>opening</w:t>
            </w:r>
            <w:proofErr w:type="spellEnd"/>
            <w:r>
              <w:rPr>
                <w:rFonts w:eastAsia="Palatino Linotype"/>
                <w:position w:val="1"/>
                <w:sz w:val="22"/>
                <w:szCs w:val="22"/>
              </w:rPr>
              <w:t xml:space="preserve"> </w:t>
            </w:r>
            <w:proofErr w:type="spellStart"/>
            <w:r>
              <w:rPr>
                <w:rFonts w:eastAsia="Palatino Linotype"/>
                <w:position w:val="1"/>
                <w:sz w:val="22"/>
                <w:szCs w:val="22"/>
              </w:rPr>
              <w:t>of</w:t>
            </w:r>
            <w:proofErr w:type="spellEnd"/>
            <w:r>
              <w:rPr>
                <w:rFonts w:eastAsia="Palatino Linotype"/>
                <w:position w:val="1"/>
                <w:sz w:val="22"/>
                <w:szCs w:val="22"/>
              </w:rPr>
              <w:t xml:space="preserve"> </w:t>
            </w:r>
            <w:proofErr w:type="spellStart"/>
            <w:r>
              <w:rPr>
                <w:rFonts w:eastAsia="Palatino Linotype"/>
                <w:position w:val="1"/>
                <w:sz w:val="22"/>
                <w:szCs w:val="22"/>
              </w:rPr>
              <w:t>bids</w:t>
            </w:r>
            <w:proofErr w:type="spellEnd"/>
            <w:r>
              <w:rPr>
                <w:rFonts w:eastAsia="Palatino Linotype"/>
                <w:position w:val="1"/>
                <w:sz w:val="22"/>
                <w:szCs w:val="22"/>
              </w:rPr>
              <w:t>.</w:t>
            </w:r>
          </w:p>
          <w:p w14:paraId="4A7D1D9B" w14:textId="77777777" w:rsidR="00E255F4" w:rsidRDefault="00E255F4">
            <w:pPr>
              <w:tabs>
                <w:tab w:val="left" w:pos="7689"/>
              </w:tabs>
              <w:jc w:val="both"/>
              <w:rPr>
                <w:rFonts w:eastAsia="Palatino Linotype"/>
                <w:position w:val="1"/>
                <w:sz w:val="22"/>
                <w:szCs w:val="22"/>
              </w:rPr>
            </w:pPr>
          </w:p>
          <w:p w14:paraId="3CE5B247" w14:textId="77777777" w:rsidR="00E255F4" w:rsidRDefault="00000000">
            <w:pPr>
              <w:jc w:val="both"/>
              <w:rPr>
                <w:rFonts w:eastAsia="Palatino Linotype"/>
                <w:position w:val="1"/>
                <w:sz w:val="22"/>
                <w:szCs w:val="22"/>
              </w:rPr>
            </w:pPr>
            <w:proofErr w:type="spellStart"/>
            <w:r>
              <w:rPr>
                <w:rFonts w:eastAsia="Palatino Linotype"/>
                <w:position w:val="1"/>
                <w:sz w:val="22"/>
                <w:szCs w:val="22"/>
              </w:rPr>
              <w:t>This</w:t>
            </w:r>
            <w:proofErr w:type="spellEnd"/>
            <w:r>
              <w:rPr>
                <w:rFonts w:eastAsia="Palatino Linotype"/>
                <w:position w:val="1"/>
                <w:sz w:val="22"/>
                <w:szCs w:val="22"/>
              </w:rPr>
              <w:t xml:space="preserve"> </w:t>
            </w:r>
            <w:proofErr w:type="spellStart"/>
            <w:r>
              <w:rPr>
                <w:rFonts w:eastAsia="Palatino Linotype"/>
                <w:position w:val="1"/>
                <w:sz w:val="22"/>
                <w:szCs w:val="22"/>
              </w:rPr>
              <w:t>period</w:t>
            </w:r>
            <w:proofErr w:type="spellEnd"/>
            <w:r>
              <w:rPr>
                <w:rFonts w:eastAsia="Palatino Linotype"/>
                <w:position w:val="1"/>
                <w:sz w:val="22"/>
                <w:szCs w:val="22"/>
              </w:rPr>
              <w:t xml:space="preserve"> </w:t>
            </w:r>
            <w:proofErr w:type="spellStart"/>
            <w:r>
              <w:rPr>
                <w:rFonts w:eastAsia="Palatino Linotype"/>
                <w:position w:val="1"/>
                <w:sz w:val="22"/>
                <w:szCs w:val="22"/>
              </w:rPr>
              <w:t>will</w:t>
            </w:r>
            <w:proofErr w:type="spellEnd"/>
            <w:r>
              <w:rPr>
                <w:rFonts w:eastAsia="Palatino Linotype"/>
                <w:position w:val="1"/>
                <w:sz w:val="22"/>
                <w:szCs w:val="22"/>
              </w:rPr>
              <w:t xml:space="preserve"> be </w:t>
            </w:r>
            <w:proofErr w:type="spellStart"/>
            <w:r>
              <w:rPr>
                <w:rFonts w:eastAsia="Palatino Linotype"/>
                <w:position w:val="1"/>
                <w:sz w:val="22"/>
                <w:szCs w:val="22"/>
              </w:rPr>
              <w:t>calculated</w:t>
            </w:r>
            <w:proofErr w:type="spellEnd"/>
            <w:r>
              <w:rPr>
                <w:rFonts w:eastAsia="Palatino Linotype"/>
                <w:position w:val="1"/>
                <w:sz w:val="22"/>
                <w:szCs w:val="22"/>
              </w:rPr>
              <w:t xml:space="preserve"> </w:t>
            </w:r>
            <w:proofErr w:type="spellStart"/>
            <w:r>
              <w:rPr>
                <w:rFonts w:eastAsia="Palatino Linotype"/>
                <w:position w:val="1"/>
                <w:sz w:val="22"/>
                <w:szCs w:val="22"/>
              </w:rPr>
              <w:t>from</w:t>
            </w:r>
            <w:proofErr w:type="spellEnd"/>
            <w:r>
              <w:rPr>
                <w:rFonts w:eastAsia="Palatino Linotype"/>
                <w:position w:val="1"/>
                <w:sz w:val="22"/>
                <w:szCs w:val="22"/>
              </w:rPr>
              <w:t xml:space="preserve"> </w:t>
            </w:r>
            <w:proofErr w:type="spellStart"/>
            <w:r>
              <w:rPr>
                <w:rFonts w:eastAsia="Palatino Linotype"/>
                <w:position w:val="1"/>
                <w:sz w:val="22"/>
                <w:szCs w:val="22"/>
              </w:rPr>
              <w:t>the</w:t>
            </w:r>
            <w:proofErr w:type="spellEnd"/>
            <w:r>
              <w:rPr>
                <w:rFonts w:eastAsia="Palatino Linotype"/>
                <w:position w:val="1"/>
                <w:sz w:val="22"/>
                <w:szCs w:val="22"/>
              </w:rPr>
              <w:t xml:space="preserve"> </w:t>
            </w:r>
            <w:proofErr w:type="spellStart"/>
            <w:r>
              <w:rPr>
                <w:rFonts w:eastAsia="Palatino Linotype"/>
                <w:position w:val="1"/>
                <w:sz w:val="22"/>
                <w:szCs w:val="22"/>
              </w:rPr>
              <w:t>day</w:t>
            </w:r>
            <w:proofErr w:type="spellEnd"/>
            <w:r>
              <w:rPr>
                <w:rFonts w:eastAsia="Palatino Linotype"/>
                <w:position w:val="1"/>
                <w:sz w:val="22"/>
                <w:szCs w:val="22"/>
              </w:rPr>
              <w:t xml:space="preserve"> after </w:t>
            </w:r>
            <w:proofErr w:type="spellStart"/>
            <w:r>
              <w:rPr>
                <w:rFonts w:eastAsia="Palatino Linotype"/>
                <w:position w:val="1"/>
                <w:sz w:val="22"/>
                <w:szCs w:val="22"/>
              </w:rPr>
              <w:t>the</w:t>
            </w:r>
            <w:proofErr w:type="spellEnd"/>
            <w:r>
              <w:rPr>
                <w:rFonts w:eastAsia="Palatino Linotype"/>
                <w:position w:val="1"/>
                <w:sz w:val="22"/>
                <w:szCs w:val="22"/>
              </w:rPr>
              <w:t xml:space="preserve"> </w:t>
            </w:r>
            <w:proofErr w:type="spellStart"/>
            <w:r>
              <w:rPr>
                <w:rFonts w:eastAsia="Palatino Linotype"/>
                <w:position w:val="1"/>
                <w:sz w:val="22"/>
                <w:szCs w:val="22"/>
              </w:rPr>
              <w:t>submission</w:t>
            </w:r>
            <w:proofErr w:type="spellEnd"/>
            <w:r>
              <w:rPr>
                <w:rFonts w:eastAsia="Palatino Linotype"/>
                <w:position w:val="1"/>
                <w:sz w:val="22"/>
                <w:szCs w:val="22"/>
              </w:rPr>
              <w:t xml:space="preserve"> </w:t>
            </w:r>
            <w:proofErr w:type="spellStart"/>
            <w:r>
              <w:rPr>
                <w:rFonts w:eastAsia="Palatino Linotype"/>
                <w:position w:val="1"/>
                <w:sz w:val="22"/>
                <w:szCs w:val="22"/>
              </w:rPr>
              <w:t>of</w:t>
            </w:r>
            <w:proofErr w:type="spellEnd"/>
            <w:r>
              <w:rPr>
                <w:rFonts w:eastAsia="Palatino Linotype"/>
                <w:position w:val="1"/>
                <w:sz w:val="22"/>
                <w:szCs w:val="22"/>
              </w:rPr>
              <w:t xml:space="preserve"> </w:t>
            </w:r>
            <w:proofErr w:type="spellStart"/>
            <w:r>
              <w:rPr>
                <w:rFonts w:eastAsia="Palatino Linotype"/>
                <w:position w:val="1"/>
                <w:sz w:val="22"/>
                <w:szCs w:val="22"/>
              </w:rPr>
              <w:t>the</w:t>
            </w:r>
            <w:proofErr w:type="spellEnd"/>
            <w:r>
              <w:rPr>
                <w:rFonts w:eastAsia="Palatino Linotype"/>
                <w:position w:val="1"/>
                <w:sz w:val="22"/>
                <w:szCs w:val="22"/>
              </w:rPr>
              <w:t xml:space="preserve"> </w:t>
            </w:r>
            <w:proofErr w:type="spellStart"/>
            <w:r>
              <w:rPr>
                <w:rFonts w:eastAsia="Palatino Linotype"/>
                <w:position w:val="1"/>
                <w:sz w:val="22"/>
                <w:szCs w:val="22"/>
              </w:rPr>
              <w:t>application</w:t>
            </w:r>
            <w:proofErr w:type="spellEnd"/>
            <w:r>
              <w:rPr>
                <w:rFonts w:eastAsia="Palatino Linotype"/>
                <w:position w:val="1"/>
                <w:sz w:val="22"/>
                <w:szCs w:val="22"/>
              </w:rPr>
              <w:t>.</w:t>
            </w:r>
          </w:p>
          <w:p w14:paraId="52F52801" w14:textId="77777777" w:rsidR="00E255F4" w:rsidRDefault="00000000">
            <w:pPr>
              <w:jc w:val="both"/>
              <w:rPr>
                <w:rFonts w:eastAsia="Palatino Linotype"/>
                <w:position w:val="1"/>
                <w:sz w:val="22"/>
                <w:szCs w:val="22"/>
              </w:rPr>
            </w:pPr>
            <w:r>
              <w:rPr>
                <w:rFonts w:eastAsia="Palatino Linotype"/>
                <w:position w:val="1"/>
                <w:sz w:val="22"/>
                <w:szCs w:val="22"/>
              </w:rPr>
              <w:t xml:space="preserve">Once </w:t>
            </w:r>
            <w:proofErr w:type="spellStart"/>
            <w:r>
              <w:rPr>
                <w:rFonts w:eastAsia="Palatino Linotype"/>
                <w:position w:val="1"/>
                <w:sz w:val="22"/>
                <w:szCs w:val="22"/>
              </w:rPr>
              <w:t>this</w:t>
            </w:r>
            <w:proofErr w:type="spellEnd"/>
            <w:r>
              <w:rPr>
                <w:rFonts w:eastAsia="Palatino Linotype"/>
                <w:position w:val="1"/>
                <w:sz w:val="22"/>
                <w:szCs w:val="22"/>
              </w:rPr>
              <w:t xml:space="preserve"> </w:t>
            </w:r>
            <w:proofErr w:type="spellStart"/>
            <w:r>
              <w:rPr>
                <w:rFonts w:eastAsia="Palatino Linotype"/>
                <w:position w:val="1"/>
                <w:sz w:val="22"/>
                <w:szCs w:val="22"/>
              </w:rPr>
              <w:t>period</w:t>
            </w:r>
            <w:proofErr w:type="spellEnd"/>
            <w:r>
              <w:rPr>
                <w:rFonts w:eastAsia="Palatino Linotype"/>
                <w:position w:val="1"/>
                <w:sz w:val="22"/>
                <w:szCs w:val="22"/>
              </w:rPr>
              <w:t xml:space="preserve"> has </w:t>
            </w:r>
            <w:proofErr w:type="spellStart"/>
            <w:r>
              <w:rPr>
                <w:rFonts w:eastAsia="Palatino Linotype"/>
                <w:position w:val="1"/>
                <w:sz w:val="22"/>
                <w:szCs w:val="22"/>
              </w:rPr>
              <w:t>expired</w:t>
            </w:r>
            <w:proofErr w:type="spellEnd"/>
            <w:r>
              <w:rPr>
                <w:rFonts w:eastAsia="Palatino Linotype"/>
                <w:position w:val="1"/>
                <w:sz w:val="22"/>
                <w:szCs w:val="22"/>
              </w:rPr>
              <w:t xml:space="preserve">, </w:t>
            </w:r>
            <w:proofErr w:type="spellStart"/>
            <w:r>
              <w:rPr>
                <w:rFonts w:eastAsia="Palatino Linotype"/>
                <w:position w:val="1"/>
                <w:sz w:val="22"/>
                <w:szCs w:val="22"/>
              </w:rPr>
              <w:t>it</w:t>
            </w:r>
            <w:proofErr w:type="spellEnd"/>
            <w:r>
              <w:rPr>
                <w:rFonts w:eastAsia="Palatino Linotype"/>
                <w:position w:val="1"/>
                <w:sz w:val="22"/>
                <w:szCs w:val="22"/>
              </w:rPr>
              <w:t xml:space="preserve"> </w:t>
            </w:r>
            <w:proofErr w:type="spellStart"/>
            <w:r>
              <w:rPr>
                <w:rFonts w:eastAsia="Palatino Linotype"/>
                <w:position w:val="1"/>
                <w:sz w:val="22"/>
                <w:szCs w:val="22"/>
              </w:rPr>
              <w:t>will</w:t>
            </w:r>
            <w:proofErr w:type="spellEnd"/>
            <w:r>
              <w:rPr>
                <w:rFonts w:eastAsia="Palatino Linotype"/>
                <w:position w:val="1"/>
                <w:sz w:val="22"/>
                <w:szCs w:val="22"/>
              </w:rPr>
              <w:t xml:space="preserve"> no </w:t>
            </w:r>
            <w:proofErr w:type="spellStart"/>
            <w:r>
              <w:rPr>
                <w:rFonts w:eastAsia="Palatino Linotype"/>
                <w:position w:val="1"/>
                <w:sz w:val="22"/>
                <w:szCs w:val="22"/>
              </w:rPr>
              <w:t>longer</w:t>
            </w:r>
            <w:proofErr w:type="spellEnd"/>
            <w:r>
              <w:rPr>
                <w:rFonts w:eastAsia="Palatino Linotype"/>
                <w:position w:val="1"/>
                <w:sz w:val="22"/>
                <w:szCs w:val="22"/>
              </w:rPr>
              <w:t xml:space="preserve"> be </w:t>
            </w:r>
            <w:proofErr w:type="spellStart"/>
            <w:r>
              <w:rPr>
                <w:rFonts w:eastAsia="Palatino Linotype"/>
                <w:position w:val="1"/>
                <w:sz w:val="22"/>
                <w:szCs w:val="22"/>
              </w:rPr>
              <w:t>mandatory</w:t>
            </w:r>
            <w:proofErr w:type="spellEnd"/>
            <w:r>
              <w:rPr>
                <w:rFonts w:eastAsia="Palatino Linotype"/>
                <w:position w:val="1"/>
                <w:sz w:val="22"/>
                <w:szCs w:val="22"/>
              </w:rPr>
              <w:t xml:space="preserve"> </w:t>
            </w:r>
            <w:proofErr w:type="spellStart"/>
            <w:r>
              <w:rPr>
                <w:rFonts w:eastAsia="Palatino Linotype"/>
                <w:position w:val="1"/>
                <w:sz w:val="22"/>
                <w:szCs w:val="22"/>
              </w:rPr>
              <w:t>to</w:t>
            </w:r>
            <w:proofErr w:type="spellEnd"/>
            <w:r>
              <w:rPr>
                <w:rFonts w:eastAsia="Palatino Linotype"/>
                <w:position w:val="1"/>
                <w:sz w:val="22"/>
                <w:szCs w:val="22"/>
              </w:rPr>
              <w:t xml:space="preserve"> </w:t>
            </w:r>
            <w:proofErr w:type="spellStart"/>
            <w:r>
              <w:rPr>
                <w:rFonts w:eastAsia="Palatino Linotype"/>
                <w:position w:val="1"/>
                <w:sz w:val="22"/>
                <w:szCs w:val="22"/>
              </w:rPr>
              <w:t>provide</w:t>
            </w:r>
            <w:proofErr w:type="spellEnd"/>
            <w:r>
              <w:rPr>
                <w:rFonts w:eastAsia="Palatino Linotype"/>
                <w:position w:val="1"/>
                <w:sz w:val="22"/>
                <w:szCs w:val="22"/>
              </w:rPr>
              <w:t xml:space="preserve"> </w:t>
            </w:r>
            <w:proofErr w:type="spellStart"/>
            <w:r>
              <w:rPr>
                <w:rFonts w:eastAsia="Palatino Linotype"/>
                <w:position w:val="1"/>
                <w:sz w:val="22"/>
                <w:szCs w:val="22"/>
              </w:rPr>
              <w:t>further</w:t>
            </w:r>
            <w:proofErr w:type="spellEnd"/>
            <w:r>
              <w:rPr>
                <w:rFonts w:eastAsia="Palatino Linotype"/>
                <w:position w:val="1"/>
                <w:sz w:val="22"/>
                <w:szCs w:val="22"/>
              </w:rPr>
              <w:t xml:space="preserve"> </w:t>
            </w:r>
            <w:proofErr w:type="spellStart"/>
            <w:r>
              <w:rPr>
                <w:rFonts w:eastAsia="Palatino Linotype"/>
                <w:position w:val="1"/>
                <w:sz w:val="22"/>
                <w:szCs w:val="22"/>
              </w:rPr>
              <w:t>clarifying</w:t>
            </w:r>
            <w:proofErr w:type="spellEnd"/>
            <w:r>
              <w:rPr>
                <w:rFonts w:eastAsia="Palatino Linotype"/>
                <w:position w:val="1"/>
                <w:sz w:val="22"/>
                <w:szCs w:val="22"/>
              </w:rPr>
              <w:t xml:space="preserve"> </w:t>
            </w:r>
            <w:proofErr w:type="spellStart"/>
            <w:r>
              <w:rPr>
                <w:rFonts w:eastAsia="Palatino Linotype"/>
                <w:position w:val="1"/>
                <w:sz w:val="22"/>
                <w:szCs w:val="22"/>
              </w:rPr>
              <w:t>information</w:t>
            </w:r>
            <w:proofErr w:type="spellEnd"/>
            <w:r>
              <w:rPr>
                <w:rFonts w:eastAsia="Palatino Linotype"/>
                <w:position w:val="1"/>
                <w:sz w:val="22"/>
                <w:szCs w:val="22"/>
              </w:rPr>
              <w:t>.</w:t>
            </w:r>
          </w:p>
          <w:p w14:paraId="220CA2E1" w14:textId="77777777" w:rsidR="00E255F4" w:rsidRDefault="00E255F4">
            <w:pPr>
              <w:tabs>
                <w:tab w:val="left" w:pos="7689"/>
              </w:tabs>
              <w:jc w:val="both"/>
              <w:rPr>
                <w:rFonts w:eastAsia="Palatino Linotype"/>
                <w:position w:val="1"/>
                <w:sz w:val="22"/>
                <w:szCs w:val="22"/>
              </w:rPr>
            </w:pPr>
          </w:p>
          <w:p w14:paraId="59D15685" w14:textId="77777777" w:rsidR="00E255F4" w:rsidRDefault="00000000">
            <w:pPr>
              <w:tabs>
                <w:tab w:val="left" w:pos="7689"/>
              </w:tabs>
              <w:jc w:val="both"/>
              <w:rPr>
                <w:rFonts w:eastAsia="Palatino Linotype"/>
                <w:position w:val="1"/>
                <w:sz w:val="22"/>
                <w:szCs w:val="22"/>
              </w:rPr>
            </w:pPr>
            <w:r>
              <w:rPr>
                <w:rFonts w:eastAsia="Palatino Linotype"/>
                <w:position w:val="1"/>
                <w:sz w:val="22"/>
                <w:szCs w:val="22"/>
              </w:rPr>
              <w:t xml:space="preserve">The </w:t>
            </w:r>
            <w:proofErr w:type="spellStart"/>
            <w:r>
              <w:rPr>
                <w:rFonts w:eastAsia="Palatino Linotype"/>
                <w:position w:val="1"/>
                <w:sz w:val="22"/>
                <w:szCs w:val="22"/>
              </w:rPr>
              <w:t>application</w:t>
            </w:r>
            <w:proofErr w:type="spellEnd"/>
            <w:r>
              <w:rPr>
                <w:rFonts w:eastAsia="Palatino Linotype"/>
                <w:position w:val="1"/>
                <w:sz w:val="22"/>
                <w:szCs w:val="22"/>
              </w:rPr>
              <w:t xml:space="preserve"> </w:t>
            </w:r>
            <w:proofErr w:type="spellStart"/>
            <w:r>
              <w:rPr>
                <w:rFonts w:eastAsia="Palatino Linotype"/>
                <w:position w:val="1"/>
                <w:sz w:val="22"/>
                <w:szCs w:val="22"/>
              </w:rPr>
              <w:t>will</w:t>
            </w:r>
            <w:proofErr w:type="spellEnd"/>
            <w:r>
              <w:rPr>
                <w:rFonts w:eastAsia="Palatino Linotype"/>
                <w:position w:val="1"/>
                <w:sz w:val="22"/>
                <w:szCs w:val="22"/>
              </w:rPr>
              <w:t xml:space="preserve"> be </w:t>
            </w:r>
            <w:proofErr w:type="spellStart"/>
            <w:r>
              <w:rPr>
                <w:rFonts w:eastAsia="Palatino Linotype"/>
                <w:position w:val="1"/>
                <w:sz w:val="22"/>
                <w:szCs w:val="22"/>
              </w:rPr>
              <w:t>addressed</w:t>
            </w:r>
            <w:proofErr w:type="spellEnd"/>
            <w:r>
              <w:rPr>
                <w:rFonts w:eastAsia="Palatino Linotype"/>
                <w:position w:val="1"/>
                <w:sz w:val="22"/>
                <w:szCs w:val="22"/>
              </w:rPr>
              <w:t xml:space="preserve"> </w:t>
            </w:r>
            <w:proofErr w:type="spellStart"/>
            <w:r>
              <w:rPr>
                <w:rFonts w:eastAsia="Palatino Linotype"/>
                <w:position w:val="1"/>
                <w:sz w:val="22"/>
                <w:szCs w:val="22"/>
              </w:rPr>
              <w:t>to</w:t>
            </w:r>
            <w:proofErr w:type="spellEnd"/>
            <w:r>
              <w:rPr>
                <w:rFonts w:eastAsia="Palatino Linotype"/>
                <w:position w:val="1"/>
                <w:sz w:val="22"/>
                <w:szCs w:val="22"/>
              </w:rPr>
              <w:t xml:space="preserve"> </w:t>
            </w:r>
            <w:proofErr w:type="spellStart"/>
            <w:r>
              <w:rPr>
                <w:rFonts w:eastAsia="Palatino Linotype"/>
                <w:position w:val="1"/>
                <w:sz w:val="22"/>
                <w:szCs w:val="22"/>
              </w:rPr>
              <w:t>the</w:t>
            </w:r>
            <w:proofErr w:type="spellEnd"/>
            <w:r>
              <w:rPr>
                <w:rFonts w:eastAsia="Palatino Linotype"/>
                <w:position w:val="1"/>
                <w:sz w:val="22"/>
                <w:szCs w:val="22"/>
              </w:rPr>
              <w:t xml:space="preserve"> Bidding Office </w:t>
            </w:r>
            <w:proofErr w:type="spellStart"/>
            <w:r>
              <w:rPr>
                <w:rFonts w:eastAsia="Palatino Linotype"/>
                <w:position w:val="1"/>
                <w:sz w:val="22"/>
                <w:szCs w:val="22"/>
              </w:rPr>
              <w:t>by</w:t>
            </w:r>
            <w:proofErr w:type="spellEnd"/>
            <w:r>
              <w:rPr>
                <w:rFonts w:eastAsia="Palatino Linotype"/>
                <w:position w:val="1"/>
                <w:sz w:val="22"/>
                <w:szCs w:val="22"/>
              </w:rPr>
              <w:t xml:space="preserve"> </w:t>
            </w:r>
            <w:proofErr w:type="spellStart"/>
            <w:r>
              <w:rPr>
                <w:rFonts w:eastAsia="Palatino Linotype"/>
                <w:position w:val="1"/>
                <w:sz w:val="22"/>
                <w:szCs w:val="22"/>
              </w:rPr>
              <w:t>the</w:t>
            </w:r>
            <w:proofErr w:type="spellEnd"/>
            <w:r>
              <w:rPr>
                <w:rFonts w:eastAsia="Palatino Linotype"/>
                <w:position w:val="1"/>
                <w:sz w:val="22"/>
                <w:szCs w:val="22"/>
              </w:rPr>
              <w:t xml:space="preserve"> </w:t>
            </w:r>
            <w:proofErr w:type="spellStart"/>
            <w:r>
              <w:rPr>
                <w:rFonts w:eastAsia="Palatino Linotype"/>
                <w:position w:val="1"/>
                <w:sz w:val="22"/>
                <w:szCs w:val="22"/>
              </w:rPr>
              <w:t>following</w:t>
            </w:r>
            <w:proofErr w:type="spellEnd"/>
            <w:r>
              <w:rPr>
                <w:rFonts w:eastAsia="Palatino Linotype"/>
                <w:position w:val="1"/>
                <w:sz w:val="22"/>
                <w:szCs w:val="22"/>
              </w:rPr>
              <w:t xml:space="preserve"> </w:t>
            </w:r>
            <w:proofErr w:type="spellStart"/>
            <w:r>
              <w:rPr>
                <w:rFonts w:eastAsia="Palatino Linotype"/>
                <w:position w:val="1"/>
                <w:sz w:val="22"/>
                <w:szCs w:val="22"/>
              </w:rPr>
              <w:t>means</w:t>
            </w:r>
            <w:proofErr w:type="spellEnd"/>
            <w:r>
              <w:rPr>
                <w:rFonts w:eastAsia="Palatino Linotype"/>
                <w:position w:val="1"/>
                <w:sz w:val="22"/>
                <w:szCs w:val="22"/>
              </w:rPr>
              <w:t>:</w:t>
            </w:r>
          </w:p>
          <w:p w14:paraId="4EF122C7" w14:textId="77777777" w:rsidR="00E255F4" w:rsidRDefault="00000000">
            <w:pPr>
              <w:jc w:val="both"/>
            </w:pPr>
            <w:r>
              <w:rPr>
                <w:rFonts w:eastAsia="Palatino Linotype"/>
                <w:position w:val="1"/>
                <w:sz w:val="22"/>
                <w:szCs w:val="22"/>
              </w:rPr>
              <w:t xml:space="preserve">In </w:t>
            </w:r>
            <w:proofErr w:type="spellStart"/>
            <w:r>
              <w:rPr>
                <w:rFonts w:eastAsia="Palatino Linotype"/>
                <w:position w:val="1"/>
                <w:sz w:val="22"/>
                <w:szCs w:val="22"/>
              </w:rPr>
              <w:t>person</w:t>
            </w:r>
            <w:proofErr w:type="spellEnd"/>
            <w:r>
              <w:rPr>
                <w:rFonts w:eastAsia="Palatino Linotype"/>
                <w:position w:val="1"/>
                <w:sz w:val="22"/>
                <w:szCs w:val="22"/>
              </w:rPr>
              <w:t xml:space="preserve"> at </w:t>
            </w:r>
            <w:proofErr w:type="spellStart"/>
            <w:r>
              <w:rPr>
                <w:rFonts w:eastAsia="Palatino Linotype"/>
                <w:position w:val="1"/>
                <w:sz w:val="22"/>
                <w:szCs w:val="22"/>
              </w:rPr>
              <w:t>the</w:t>
            </w:r>
            <w:proofErr w:type="spellEnd"/>
            <w:r>
              <w:rPr>
                <w:rFonts w:eastAsia="Palatino Linotype"/>
                <w:position w:val="1"/>
                <w:sz w:val="22"/>
                <w:szCs w:val="22"/>
              </w:rPr>
              <w:t xml:space="preserve"> Bidding Office: San Martín 3235, Montevideo, Uruguay</w:t>
            </w:r>
          </w:p>
          <w:p w14:paraId="13D00CCE" w14:textId="77777777" w:rsidR="00E255F4" w:rsidRDefault="00000000">
            <w:pPr>
              <w:jc w:val="both"/>
              <w:rPr>
                <w:rFonts w:eastAsia="Palatino Linotype"/>
                <w:position w:val="1"/>
                <w:sz w:val="22"/>
                <w:szCs w:val="22"/>
              </w:rPr>
            </w:pPr>
            <w:r>
              <w:rPr>
                <w:rFonts w:eastAsia="Palatino Linotype"/>
                <w:position w:val="1"/>
                <w:sz w:val="22"/>
                <w:szCs w:val="22"/>
              </w:rPr>
              <w:t xml:space="preserve">Email:  </w:t>
            </w:r>
            <w:hyperlink r:id="rId17" w:tgtFrame="_blank">
              <w:r w:rsidR="00E255F4">
                <w:rPr>
                  <w:rStyle w:val="Hipervnculo"/>
                  <w:sz w:val="22"/>
                  <w:szCs w:val="22"/>
                  <w:lang w:val="es-ES"/>
                </w:rPr>
                <w:t>licbienesyprodq@ose.com.uy</w:t>
              </w:r>
            </w:hyperlink>
            <w:r>
              <w:rPr>
                <w:rFonts w:eastAsia="Palatino Linotype"/>
                <w:position w:val="1"/>
                <w:sz w:val="22"/>
                <w:szCs w:val="22"/>
                <w:lang w:val="es-ES"/>
              </w:rPr>
              <w:t xml:space="preserve">    </w:t>
            </w:r>
          </w:p>
          <w:p w14:paraId="2F87EC84" w14:textId="77777777" w:rsidR="00E255F4" w:rsidRDefault="00E255F4">
            <w:pPr>
              <w:jc w:val="both"/>
              <w:rPr>
                <w:rFonts w:eastAsia="Palatino Linotype"/>
                <w:strike/>
                <w:position w:val="1"/>
                <w:sz w:val="22"/>
                <w:szCs w:val="22"/>
              </w:rPr>
            </w:pPr>
          </w:p>
          <w:p w14:paraId="0C8947D7" w14:textId="77777777" w:rsidR="00E255F4" w:rsidRDefault="00000000">
            <w:pPr>
              <w:jc w:val="both"/>
              <w:rPr>
                <w:rFonts w:eastAsia="Palatino Linotype"/>
                <w:position w:val="1"/>
                <w:sz w:val="22"/>
                <w:szCs w:val="22"/>
              </w:rPr>
            </w:pPr>
            <w:r>
              <w:rPr>
                <w:rFonts w:eastAsia="Palatino Linotype"/>
                <w:position w:val="1"/>
                <w:sz w:val="22"/>
                <w:szCs w:val="22"/>
              </w:rPr>
              <w:t xml:space="preserve">The </w:t>
            </w:r>
            <w:proofErr w:type="spellStart"/>
            <w:r>
              <w:rPr>
                <w:rFonts w:eastAsia="Palatino Linotype"/>
                <w:position w:val="1"/>
                <w:sz w:val="22"/>
                <w:szCs w:val="22"/>
              </w:rPr>
              <w:t>answers</w:t>
            </w:r>
            <w:proofErr w:type="spellEnd"/>
            <w:r>
              <w:rPr>
                <w:rFonts w:eastAsia="Palatino Linotype"/>
                <w:position w:val="1"/>
                <w:sz w:val="22"/>
                <w:szCs w:val="22"/>
              </w:rPr>
              <w:t xml:space="preserve"> </w:t>
            </w:r>
            <w:proofErr w:type="spellStart"/>
            <w:r>
              <w:rPr>
                <w:rFonts w:eastAsia="Palatino Linotype"/>
                <w:position w:val="1"/>
                <w:sz w:val="22"/>
                <w:szCs w:val="22"/>
              </w:rPr>
              <w:t>to</w:t>
            </w:r>
            <w:proofErr w:type="spellEnd"/>
            <w:r>
              <w:rPr>
                <w:rFonts w:eastAsia="Palatino Linotype"/>
                <w:position w:val="1"/>
                <w:sz w:val="22"/>
                <w:szCs w:val="22"/>
              </w:rPr>
              <w:t xml:space="preserve"> </w:t>
            </w:r>
            <w:proofErr w:type="spellStart"/>
            <w:r>
              <w:rPr>
                <w:rFonts w:eastAsia="Palatino Linotype"/>
                <w:position w:val="1"/>
                <w:sz w:val="22"/>
                <w:szCs w:val="22"/>
              </w:rPr>
              <w:t>the</w:t>
            </w:r>
            <w:proofErr w:type="spellEnd"/>
            <w:r>
              <w:rPr>
                <w:rFonts w:eastAsia="Palatino Linotype"/>
                <w:position w:val="1"/>
                <w:sz w:val="22"/>
                <w:szCs w:val="22"/>
              </w:rPr>
              <w:t xml:space="preserve"> </w:t>
            </w:r>
            <w:proofErr w:type="spellStart"/>
            <w:r>
              <w:rPr>
                <w:rFonts w:eastAsia="Palatino Linotype"/>
                <w:position w:val="1"/>
                <w:sz w:val="22"/>
                <w:szCs w:val="22"/>
              </w:rPr>
              <w:t>queries</w:t>
            </w:r>
            <w:proofErr w:type="spellEnd"/>
            <w:r>
              <w:rPr>
                <w:rFonts w:eastAsia="Palatino Linotype"/>
                <w:position w:val="1"/>
                <w:sz w:val="22"/>
                <w:szCs w:val="22"/>
              </w:rPr>
              <w:t xml:space="preserve"> </w:t>
            </w:r>
            <w:proofErr w:type="spellStart"/>
            <w:r>
              <w:rPr>
                <w:rFonts w:eastAsia="Palatino Linotype"/>
                <w:position w:val="1"/>
                <w:sz w:val="22"/>
                <w:szCs w:val="22"/>
              </w:rPr>
              <w:t>made</w:t>
            </w:r>
            <w:proofErr w:type="spellEnd"/>
            <w:r>
              <w:rPr>
                <w:rFonts w:eastAsia="Palatino Linotype"/>
                <w:position w:val="1"/>
                <w:sz w:val="22"/>
                <w:szCs w:val="22"/>
              </w:rPr>
              <w:t xml:space="preserve"> </w:t>
            </w:r>
            <w:proofErr w:type="spellStart"/>
            <w:r>
              <w:rPr>
                <w:rFonts w:eastAsia="Palatino Linotype"/>
                <w:position w:val="1"/>
                <w:sz w:val="22"/>
                <w:szCs w:val="22"/>
              </w:rPr>
              <w:t>will</w:t>
            </w:r>
            <w:proofErr w:type="spellEnd"/>
            <w:r>
              <w:rPr>
                <w:rFonts w:eastAsia="Palatino Linotype"/>
                <w:position w:val="1"/>
                <w:sz w:val="22"/>
                <w:szCs w:val="22"/>
              </w:rPr>
              <w:t xml:space="preserve"> be </w:t>
            </w:r>
            <w:proofErr w:type="spellStart"/>
            <w:r>
              <w:rPr>
                <w:rFonts w:eastAsia="Palatino Linotype"/>
                <w:position w:val="1"/>
                <w:sz w:val="22"/>
                <w:szCs w:val="22"/>
              </w:rPr>
              <w:t>published</w:t>
            </w:r>
            <w:proofErr w:type="spellEnd"/>
            <w:r>
              <w:rPr>
                <w:rFonts w:eastAsia="Palatino Linotype"/>
                <w:position w:val="1"/>
                <w:sz w:val="22"/>
                <w:szCs w:val="22"/>
              </w:rPr>
              <w:t xml:space="preserve"> </w:t>
            </w:r>
            <w:proofErr w:type="spellStart"/>
            <w:r>
              <w:rPr>
                <w:rFonts w:eastAsia="Palatino Linotype"/>
                <w:position w:val="1"/>
                <w:sz w:val="22"/>
                <w:szCs w:val="22"/>
              </w:rPr>
              <w:t>on</w:t>
            </w:r>
            <w:proofErr w:type="spellEnd"/>
            <w:r>
              <w:rPr>
                <w:rFonts w:eastAsia="Palatino Linotype"/>
                <w:position w:val="1"/>
                <w:sz w:val="22"/>
                <w:szCs w:val="22"/>
              </w:rPr>
              <w:t xml:space="preserve"> </w:t>
            </w:r>
            <w:proofErr w:type="spellStart"/>
            <w:r>
              <w:rPr>
                <w:rFonts w:eastAsia="Palatino Linotype"/>
                <w:position w:val="1"/>
                <w:sz w:val="22"/>
                <w:szCs w:val="22"/>
              </w:rPr>
              <w:t>the</w:t>
            </w:r>
            <w:proofErr w:type="spellEnd"/>
            <w:r>
              <w:rPr>
                <w:rFonts w:eastAsia="Palatino Linotype"/>
                <w:position w:val="1"/>
                <w:sz w:val="22"/>
                <w:szCs w:val="22"/>
              </w:rPr>
              <w:t xml:space="preserve"> State </w:t>
            </w:r>
            <w:proofErr w:type="spellStart"/>
            <w:r>
              <w:rPr>
                <w:rFonts w:eastAsia="Palatino Linotype"/>
                <w:position w:val="1"/>
                <w:sz w:val="22"/>
                <w:szCs w:val="22"/>
              </w:rPr>
              <w:t>Procurement</w:t>
            </w:r>
            <w:proofErr w:type="spellEnd"/>
            <w:r>
              <w:rPr>
                <w:rFonts w:eastAsia="Palatino Linotype"/>
                <w:position w:val="1"/>
                <w:sz w:val="22"/>
                <w:szCs w:val="22"/>
              </w:rPr>
              <w:t xml:space="preserve"> </w:t>
            </w:r>
            <w:proofErr w:type="spellStart"/>
            <w:r>
              <w:rPr>
                <w:rFonts w:eastAsia="Palatino Linotype"/>
                <w:position w:val="1"/>
                <w:sz w:val="22"/>
                <w:szCs w:val="22"/>
              </w:rPr>
              <w:t>Regulatory</w:t>
            </w:r>
            <w:proofErr w:type="spellEnd"/>
            <w:r>
              <w:rPr>
                <w:rFonts w:eastAsia="Palatino Linotype"/>
                <w:position w:val="1"/>
                <w:sz w:val="22"/>
                <w:szCs w:val="22"/>
              </w:rPr>
              <w:t xml:space="preserve"> </w:t>
            </w:r>
            <w:proofErr w:type="spellStart"/>
            <w:r>
              <w:rPr>
                <w:rFonts w:eastAsia="Palatino Linotype"/>
                <w:position w:val="1"/>
                <w:sz w:val="22"/>
                <w:szCs w:val="22"/>
              </w:rPr>
              <w:t>Agency's</w:t>
            </w:r>
            <w:proofErr w:type="spellEnd"/>
            <w:r>
              <w:rPr>
                <w:rFonts w:eastAsia="Palatino Linotype"/>
                <w:position w:val="1"/>
                <w:sz w:val="22"/>
                <w:szCs w:val="22"/>
              </w:rPr>
              <w:t xml:space="preserve"> </w:t>
            </w:r>
            <w:proofErr w:type="spellStart"/>
            <w:r>
              <w:rPr>
                <w:rFonts w:eastAsia="Palatino Linotype"/>
                <w:position w:val="1"/>
                <w:sz w:val="22"/>
                <w:szCs w:val="22"/>
              </w:rPr>
              <w:t>website</w:t>
            </w:r>
            <w:proofErr w:type="spellEnd"/>
            <w:r>
              <w:rPr>
                <w:rFonts w:eastAsia="Palatino Linotype"/>
                <w:position w:val="1"/>
                <w:sz w:val="22"/>
                <w:szCs w:val="22"/>
              </w:rPr>
              <w:t xml:space="preserve">, </w:t>
            </w:r>
            <w:proofErr w:type="spellStart"/>
            <w:r>
              <w:rPr>
                <w:rFonts w:eastAsia="Palatino Linotype"/>
                <w:position w:val="1"/>
                <w:sz w:val="22"/>
                <w:szCs w:val="22"/>
              </w:rPr>
              <w:t>within</w:t>
            </w:r>
            <w:proofErr w:type="spellEnd"/>
            <w:r>
              <w:rPr>
                <w:rFonts w:eastAsia="Palatino Linotype"/>
                <w:position w:val="1"/>
                <w:sz w:val="22"/>
                <w:szCs w:val="22"/>
              </w:rPr>
              <w:t xml:space="preserve"> a </w:t>
            </w:r>
            <w:proofErr w:type="spellStart"/>
            <w:r>
              <w:rPr>
                <w:rFonts w:eastAsia="Palatino Linotype"/>
                <w:position w:val="1"/>
                <w:sz w:val="22"/>
                <w:szCs w:val="22"/>
              </w:rPr>
              <w:t>period</w:t>
            </w:r>
            <w:proofErr w:type="spellEnd"/>
            <w:r>
              <w:rPr>
                <w:rFonts w:eastAsia="Palatino Linotype"/>
                <w:position w:val="1"/>
                <w:sz w:val="22"/>
                <w:szCs w:val="22"/>
              </w:rPr>
              <w:t xml:space="preserve"> </w:t>
            </w:r>
            <w:proofErr w:type="spellStart"/>
            <w:r>
              <w:rPr>
                <w:rFonts w:eastAsia="Palatino Linotype"/>
                <w:position w:val="1"/>
                <w:sz w:val="22"/>
                <w:szCs w:val="22"/>
              </w:rPr>
              <w:t>of</w:t>
            </w:r>
            <w:proofErr w:type="spellEnd"/>
            <w:r>
              <w:rPr>
                <w:rFonts w:eastAsia="Palatino Linotype"/>
                <w:position w:val="1"/>
                <w:sz w:val="22"/>
                <w:szCs w:val="22"/>
              </w:rPr>
              <w:t xml:space="preserve"> up </w:t>
            </w:r>
            <w:proofErr w:type="spellStart"/>
            <w:r>
              <w:rPr>
                <w:rFonts w:eastAsia="Palatino Linotype"/>
                <w:position w:val="1"/>
                <w:sz w:val="22"/>
                <w:szCs w:val="22"/>
              </w:rPr>
              <w:t>to</w:t>
            </w:r>
            <w:proofErr w:type="spellEnd"/>
            <w:r>
              <w:rPr>
                <w:rFonts w:eastAsia="Palatino Linotype"/>
                <w:position w:val="1"/>
                <w:sz w:val="22"/>
                <w:szCs w:val="22"/>
              </w:rPr>
              <w:t xml:space="preserve"> 2 </w:t>
            </w:r>
            <w:proofErr w:type="spellStart"/>
            <w:r>
              <w:rPr>
                <w:rFonts w:eastAsia="Palatino Linotype"/>
                <w:position w:val="1"/>
                <w:sz w:val="22"/>
                <w:szCs w:val="22"/>
              </w:rPr>
              <w:t>business</w:t>
            </w:r>
            <w:proofErr w:type="spellEnd"/>
            <w:r>
              <w:rPr>
                <w:rFonts w:eastAsia="Palatino Linotype"/>
                <w:position w:val="1"/>
                <w:sz w:val="22"/>
                <w:szCs w:val="22"/>
              </w:rPr>
              <w:t xml:space="preserve"> </w:t>
            </w:r>
            <w:proofErr w:type="spellStart"/>
            <w:r>
              <w:rPr>
                <w:rFonts w:eastAsia="Palatino Linotype"/>
                <w:position w:val="1"/>
                <w:sz w:val="22"/>
                <w:szCs w:val="22"/>
              </w:rPr>
              <w:t>days</w:t>
            </w:r>
            <w:proofErr w:type="spellEnd"/>
            <w:r>
              <w:rPr>
                <w:rFonts w:eastAsia="Palatino Linotype"/>
                <w:position w:val="1"/>
                <w:sz w:val="22"/>
                <w:szCs w:val="22"/>
              </w:rPr>
              <w:t xml:space="preserve"> prior </w:t>
            </w:r>
            <w:proofErr w:type="spellStart"/>
            <w:r>
              <w:rPr>
                <w:rFonts w:eastAsia="Palatino Linotype"/>
                <w:position w:val="1"/>
                <w:sz w:val="22"/>
                <w:szCs w:val="22"/>
              </w:rPr>
              <w:t>to</w:t>
            </w:r>
            <w:proofErr w:type="spellEnd"/>
            <w:r>
              <w:rPr>
                <w:rFonts w:eastAsia="Palatino Linotype"/>
                <w:position w:val="1"/>
                <w:sz w:val="22"/>
                <w:szCs w:val="22"/>
              </w:rPr>
              <w:t xml:space="preserve"> </w:t>
            </w:r>
            <w:proofErr w:type="spellStart"/>
            <w:r>
              <w:rPr>
                <w:rFonts w:eastAsia="Palatino Linotype"/>
                <w:position w:val="1"/>
                <w:sz w:val="22"/>
                <w:szCs w:val="22"/>
              </w:rPr>
              <w:t>the</w:t>
            </w:r>
            <w:proofErr w:type="spellEnd"/>
            <w:r>
              <w:rPr>
                <w:rFonts w:eastAsia="Palatino Linotype"/>
                <w:position w:val="1"/>
                <w:sz w:val="22"/>
                <w:szCs w:val="22"/>
              </w:rPr>
              <w:t xml:space="preserve"> </w:t>
            </w:r>
            <w:proofErr w:type="spellStart"/>
            <w:r>
              <w:rPr>
                <w:rFonts w:eastAsia="Palatino Linotype"/>
                <w:position w:val="1"/>
                <w:sz w:val="22"/>
                <w:szCs w:val="22"/>
              </w:rPr>
              <w:t>opening</w:t>
            </w:r>
            <w:proofErr w:type="spellEnd"/>
            <w:r>
              <w:rPr>
                <w:rFonts w:eastAsia="Palatino Linotype"/>
                <w:position w:val="1"/>
                <w:sz w:val="22"/>
                <w:szCs w:val="22"/>
              </w:rPr>
              <w:t xml:space="preserve"> </w:t>
            </w:r>
            <w:proofErr w:type="spellStart"/>
            <w:r>
              <w:rPr>
                <w:rFonts w:eastAsia="Palatino Linotype"/>
                <w:position w:val="1"/>
                <w:sz w:val="22"/>
                <w:szCs w:val="22"/>
              </w:rPr>
              <w:t>ceremony</w:t>
            </w:r>
            <w:proofErr w:type="spellEnd"/>
            <w:r>
              <w:rPr>
                <w:rFonts w:eastAsia="Palatino Linotype"/>
                <w:position w:val="1"/>
                <w:sz w:val="22"/>
                <w:szCs w:val="22"/>
              </w:rPr>
              <w:t xml:space="preserve">.               </w:t>
            </w:r>
          </w:p>
        </w:tc>
      </w:tr>
      <w:tr w:rsidR="00E255F4" w14:paraId="3126F131" w14:textId="77777777">
        <w:tc>
          <w:tcPr>
            <w:tcW w:w="730" w:type="dxa"/>
            <w:tcBorders>
              <w:top w:val="single" w:sz="4" w:space="0" w:color="000000"/>
              <w:left w:val="single" w:sz="4" w:space="0" w:color="000000"/>
              <w:bottom w:val="single" w:sz="4" w:space="0" w:color="000000"/>
              <w:right w:val="single" w:sz="4" w:space="0" w:color="000000"/>
            </w:tcBorders>
          </w:tcPr>
          <w:p w14:paraId="52CBDE4C" w14:textId="77777777" w:rsidR="00E255F4" w:rsidRDefault="00000000">
            <w:pPr>
              <w:ind w:right="-36"/>
              <w:jc w:val="both"/>
              <w:rPr>
                <w:rFonts w:eastAsia="Palatino Linotype"/>
                <w:b/>
                <w:sz w:val="22"/>
                <w:szCs w:val="22"/>
              </w:rPr>
            </w:pPr>
            <w:r>
              <w:rPr>
                <w:rFonts w:eastAsia="Palatino Linotype"/>
                <w:b/>
                <w:sz w:val="22"/>
                <w:szCs w:val="22"/>
              </w:rPr>
              <w:t>5</w:t>
            </w:r>
          </w:p>
        </w:tc>
        <w:tc>
          <w:tcPr>
            <w:tcW w:w="9048" w:type="dxa"/>
            <w:tcBorders>
              <w:top w:val="single" w:sz="4" w:space="0" w:color="000000"/>
              <w:left w:val="single" w:sz="4" w:space="0" w:color="000000"/>
              <w:bottom w:val="single" w:sz="4" w:space="0" w:color="000000"/>
              <w:right w:val="single" w:sz="4" w:space="0" w:color="000000"/>
            </w:tcBorders>
          </w:tcPr>
          <w:p w14:paraId="721BDD27" w14:textId="77777777" w:rsidR="00E255F4" w:rsidRDefault="00000000">
            <w:pPr>
              <w:ind w:right="-36"/>
              <w:jc w:val="both"/>
              <w:rPr>
                <w:rFonts w:eastAsia="Palatino Linotype"/>
                <w:b/>
                <w:spacing w:val="-1"/>
                <w:sz w:val="22"/>
                <w:szCs w:val="22"/>
              </w:rPr>
            </w:pPr>
            <w:proofErr w:type="spellStart"/>
            <w:r>
              <w:rPr>
                <w:rFonts w:eastAsia="Palatino Linotype"/>
                <w:b/>
                <w:spacing w:val="-1"/>
                <w:sz w:val="22"/>
                <w:szCs w:val="22"/>
              </w:rPr>
              <w:t>Request</w:t>
            </w:r>
            <w:proofErr w:type="spellEnd"/>
            <w:r>
              <w:rPr>
                <w:rFonts w:eastAsia="Palatino Linotype"/>
                <w:b/>
                <w:spacing w:val="-1"/>
                <w:sz w:val="22"/>
                <w:szCs w:val="22"/>
              </w:rPr>
              <w:t xml:space="preserve"> </w:t>
            </w:r>
            <w:proofErr w:type="spellStart"/>
            <w:r>
              <w:rPr>
                <w:rFonts w:eastAsia="Palatino Linotype"/>
                <w:b/>
                <w:spacing w:val="-1"/>
                <w:sz w:val="22"/>
                <w:szCs w:val="22"/>
              </w:rPr>
              <w:t>for</w:t>
            </w:r>
            <w:proofErr w:type="spellEnd"/>
            <w:r>
              <w:rPr>
                <w:rFonts w:eastAsia="Palatino Linotype"/>
                <w:b/>
                <w:spacing w:val="-1"/>
                <w:sz w:val="22"/>
                <w:szCs w:val="22"/>
              </w:rPr>
              <w:t xml:space="preserve"> </w:t>
            </w:r>
            <w:proofErr w:type="spellStart"/>
            <w:r>
              <w:rPr>
                <w:rFonts w:eastAsia="Palatino Linotype"/>
                <w:b/>
                <w:spacing w:val="-1"/>
                <w:sz w:val="22"/>
                <w:szCs w:val="22"/>
              </w:rPr>
              <w:t>extension</w:t>
            </w:r>
            <w:proofErr w:type="spellEnd"/>
            <w:r>
              <w:rPr>
                <w:rFonts w:eastAsia="Palatino Linotype"/>
                <w:b/>
                <w:spacing w:val="-1"/>
                <w:sz w:val="22"/>
                <w:szCs w:val="22"/>
              </w:rPr>
              <w:t xml:space="preserve"> </w:t>
            </w:r>
            <w:proofErr w:type="spellStart"/>
            <w:r>
              <w:rPr>
                <w:rFonts w:eastAsia="Palatino Linotype"/>
                <w:b/>
                <w:spacing w:val="-1"/>
                <w:sz w:val="22"/>
                <w:szCs w:val="22"/>
              </w:rPr>
              <w:t>of</w:t>
            </w:r>
            <w:proofErr w:type="spellEnd"/>
            <w:r>
              <w:rPr>
                <w:rFonts w:eastAsia="Palatino Linotype"/>
                <w:b/>
                <w:spacing w:val="-1"/>
                <w:sz w:val="22"/>
                <w:szCs w:val="22"/>
              </w:rPr>
              <w:t xml:space="preserve"> </w:t>
            </w:r>
            <w:proofErr w:type="spellStart"/>
            <w:r>
              <w:rPr>
                <w:rFonts w:eastAsia="Palatino Linotype"/>
                <w:b/>
                <w:spacing w:val="-1"/>
                <w:sz w:val="22"/>
                <w:szCs w:val="22"/>
              </w:rPr>
              <w:t>bid</w:t>
            </w:r>
            <w:proofErr w:type="spellEnd"/>
            <w:r>
              <w:rPr>
                <w:rFonts w:eastAsia="Palatino Linotype"/>
                <w:b/>
                <w:spacing w:val="-1"/>
                <w:sz w:val="22"/>
                <w:szCs w:val="22"/>
              </w:rPr>
              <w:t xml:space="preserve"> </w:t>
            </w:r>
            <w:proofErr w:type="spellStart"/>
            <w:r>
              <w:rPr>
                <w:rFonts w:eastAsia="Palatino Linotype"/>
                <w:b/>
                <w:spacing w:val="-1"/>
                <w:sz w:val="22"/>
                <w:szCs w:val="22"/>
              </w:rPr>
              <w:t>opening</w:t>
            </w:r>
            <w:proofErr w:type="spellEnd"/>
          </w:p>
          <w:p w14:paraId="32000F50" w14:textId="77777777" w:rsidR="00E255F4" w:rsidRDefault="00000000">
            <w:pPr>
              <w:ind w:right="-36"/>
              <w:jc w:val="both"/>
              <w:rPr>
                <w:rFonts w:eastAsia="Palatino Linotype"/>
                <w:b/>
                <w:spacing w:val="-1"/>
                <w:sz w:val="22"/>
                <w:szCs w:val="22"/>
              </w:rPr>
            </w:pPr>
            <w:proofErr w:type="spellStart"/>
            <w:r>
              <w:rPr>
                <w:rFonts w:eastAsia="Palatino Linotype"/>
                <w:b/>
                <w:spacing w:val="-1"/>
                <w:sz w:val="22"/>
                <w:szCs w:val="22"/>
              </w:rPr>
              <w:t>It</w:t>
            </w:r>
            <w:proofErr w:type="spellEnd"/>
            <w:r>
              <w:rPr>
                <w:rFonts w:eastAsia="Palatino Linotype"/>
                <w:b/>
                <w:spacing w:val="-1"/>
                <w:sz w:val="22"/>
                <w:szCs w:val="22"/>
              </w:rPr>
              <w:t xml:space="preserve"> </w:t>
            </w:r>
            <w:proofErr w:type="spellStart"/>
            <w:r>
              <w:rPr>
                <w:rFonts w:eastAsia="Palatino Linotype"/>
                <w:b/>
                <w:spacing w:val="-1"/>
                <w:sz w:val="22"/>
                <w:szCs w:val="22"/>
              </w:rPr>
              <w:t>is</w:t>
            </w:r>
            <w:proofErr w:type="spellEnd"/>
            <w:r>
              <w:rPr>
                <w:rFonts w:eastAsia="Palatino Linotype"/>
                <w:b/>
                <w:spacing w:val="-1"/>
                <w:sz w:val="22"/>
                <w:szCs w:val="22"/>
              </w:rPr>
              <w:t xml:space="preserve"> </w:t>
            </w:r>
            <w:proofErr w:type="spellStart"/>
            <w:r>
              <w:rPr>
                <w:rFonts w:eastAsia="Palatino Linotype"/>
                <w:b/>
                <w:spacing w:val="-1"/>
                <w:sz w:val="22"/>
                <w:szCs w:val="22"/>
              </w:rPr>
              <w:t>added</w:t>
            </w:r>
            <w:proofErr w:type="spellEnd"/>
            <w:r>
              <w:rPr>
                <w:rFonts w:eastAsia="Palatino Linotype"/>
                <w:b/>
                <w:spacing w:val="-1"/>
                <w:sz w:val="22"/>
                <w:szCs w:val="22"/>
              </w:rPr>
              <w:t>:</w:t>
            </w:r>
          </w:p>
          <w:p w14:paraId="47584A80" w14:textId="77777777" w:rsidR="00E255F4" w:rsidRDefault="00E255F4">
            <w:pPr>
              <w:ind w:right="-36"/>
              <w:jc w:val="both"/>
              <w:rPr>
                <w:rFonts w:eastAsia="Palatino Linotype"/>
                <w:b/>
                <w:spacing w:val="-1"/>
                <w:position w:val="1"/>
                <w:sz w:val="22"/>
                <w:szCs w:val="22"/>
              </w:rPr>
            </w:pPr>
          </w:p>
          <w:p w14:paraId="212EF38F" w14:textId="77777777" w:rsidR="00E255F4" w:rsidRDefault="00000000">
            <w:pPr>
              <w:ind w:right="-36"/>
              <w:jc w:val="both"/>
            </w:pPr>
            <w:r>
              <w:rPr>
                <w:rFonts w:eastAsia="Palatino Linotype"/>
                <w:position w:val="1"/>
                <w:sz w:val="22"/>
                <w:szCs w:val="22"/>
              </w:rPr>
              <w:t xml:space="preserve">The </w:t>
            </w:r>
            <w:proofErr w:type="spellStart"/>
            <w:r>
              <w:rPr>
                <w:rFonts w:eastAsia="Palatino Linotype"/>
                <w:position w:val="1"/>
                <w:sz w:val="22"/>
                <w:szCs w:val="22"/>
              </w:rPr>
              <w:t>request</w:t>
            </w:r>
            <w:proofErr w:type="spellEnd"/>
            <w:r>
              <w:rPr>
                <w:rFonts w:eastAsia="Palatino Linotype"/>
                <w:position w:val="1"/>
                <w:sz w:val="22"/>
                <w:szCs w:val="22"/>
              </w:rPr>
              <w:t xml:space="preserve"> </w:t>
            </w:r>
            <w:proofErr w:type="spellStart"/>
            <w:r>
              <w:rPr>
                <w:rFonts w:eastAsia="Palatino Linotype"/>
                <w:position w:val="1"/>
                <w:sz w:val="22"/>
                <w:szCs w:val="22"/>
              </w:rPr>
              <w:t>for</w:t>
            </w:r>
            <w:proofErr w:type="spellEnd"/>
            <w:r>
              <w:rPr>
                <w:rFonts w:eastAsia="Palatino Linotype"/>
                <w:position w:val="1"/>
                <w:sz w:val="22"/>
                <w:szCs w:val="22"/>
              </w:rPr>
              <w:t xml:space="preserve"> </w:t>
            </w:r>
            <w:proofErr w:type="spellStart"/>
            <w:r>
              <w:rPr>
                <w:rFonts w:eastAsia="Palatino Linotype"/>
                <w:position w:val="1"/>
                <w:sz w:val="22"/>
                <w:szCs w:val="22"/>
              </w:rPr>
              <w:t>an</w:t>
            </w:r>
            <w:proofErr w:type="spellEnd"/>
            <w:r>
              <w:rPr>
                <w:rFonts w:eastAsia="Palatino Linotype"/>
                <w:position w:val="1"/>
                <w:sz w:val="22"/>
                <w:szCs w:val="22"/>
              </w:rPr>
              <w:t xml:space="preserve"> </w:t>
            </w:r>
            <w:proofErr w:type="spellStart"/>
            <w:r>
              <w:rPr>
                <w:rFonts w:eastAsia="Palatino Linotype"/>
                <w:position w:val="1"/>
                <w:sz w:val="22"/>
                <w:szCs w:val="22"/>
              </w:rPr>
              <w:t>extension</w:t>
            </w:r>
            <w:proofErr w:type="spellEnd"/>
            <w:r>
              <w:rPr>
                <w:rFonts w:eastAsia="Palatino Linotype"/>
                <w:position w:val="1"/>
                <w:sz w:val="22"/>
                <w:szCs w:val="22"/>
              </w:rPr>
              <w:t xml:space="preserve"> </w:t>
            </w:r>
            <w:proofErr w:type="spellStart"/>
            <w:r>
              <w:rPr>
                <w:rFonts w:eastAsia="Palatino Linotype"/>
                <w:position w:val="1"/>
                <w:sz w:val="22"/>
                <w:szCs w:val="22"/>
              </w:rPr>
              <w:t>of</w:t>
            </w:r>
            <w:proofErr w:type="spellEnd"/>
            <w:r>
              <w:rPr>
                <w:rFonts w:eastAsia="Palatino Linotype"/>
                <w:position w:val="1"/>
                <w:sz w:val="22"/>
                <w:szCs w:val="22"/>
              </w:rPr>
              <w:t xml:space="preserve"> </w:t>
            </w:r>
            <w:proofErr w:type="spellStart"/>
            <w:r>
              <w:rPr>
                <w:rFonts w:eastAsia="Palatino Linotype"/>
                <w:position w:val="1"/>
                <w:sz w:val="22"/>
                <w:szCs w:val="22"/>
              </w:rPr>
              <w:t>the</w:t>
            </w:r>
            <w:proofErr w:type="spellEnd"/>
            <w:r>
              <w:rPr>
                <w:rFonts w:eastAsia="Palatino Linotype"/>
                <w:position w:val="1"/>
                <w:sz w:val="22"/>
                <w:szCs w:val="22"/>
              </w:rPr>
              <w:t xml:space="preserve"> </w:t>
            </w:r>
            <w:proofErr w:type="spellStart"/>
            <w:r>
              <w:rPr>
                <w:rFonts w:eastAsia="Palatino Linotype"/>
                <w:position w:val="1"/>
                <w:sz w:val="22"/>
                <w:szCs w:val="22"/>
              </w:rPr>
              <w:t>opening</w:t>
            </w:r>
            <w:proofErr w:type="spellEnd"/>
            <w:r>
              <w:rPr>
                <w:rFonts w:eastAsia="Palatino Linotype"/>
                <w:position w:val="1"/>
                <w:sz w:val="22"/>
                <w:szCs w:val="22"/>
              </w:rPr>
              <w:t xml:space="preserve"> </w:t>
            </w:r>
            <w:proofErr w:type="spellStart"/>
            <w:r>
              <w:rPr>
                <w:rFonts w:eastAsia="Palatino Linotype"/>
                <w:position w:val="1"/>
                <w:sz w:val="22"/>
                <w:szCs w:val="22"/>
              </w:rPr>
              <w:t>of</w:t>
            </w:r>
            <w:proofErr w:type="spellEnd"/>
            <w:r>
              <w:rPr>
                <w:rFonts w:eastAsia="Palatino Linotype"/>
                <w:position w:val="1"/>
                <w:sz w:val="22"/>
                <w:szCs w:val="22"/>
              </w:rPr>
              <w:t xml:space="preserve"> </w:t>
            </w:r>
            <w:proofErr w:type="spellStart"/>
            <w:r>
              <w:rPr>
                <w:rFonts w:eastAsia="Palatino Linotype"/>
                <w:position w:val="1"/>
                <w:sz w:val="22"/>
                <w:szCs w:val="22"/>
              </w:rPr>
              <w:t>bids</w:t>
            </w:r>
            <w:proofErr w:type="spellEnd"/>
            <w:r>
              <w:rPr>
                <w:rFonts w:eastAsia="Palatino Linotype"/>
                <w:position w:val="1"/>
                <w:sz w:val="22"/>
                <w:szCs w:val="22"/>
              </w:rPr>
              <w:t xml:space="preserve"> </w:t>
            </w:r>
            <w:proofErr w:type="spellStart"/>
            <w:r>
              <w:rPr>
                <w:rFonts w:eastAsia="Palatino Linotype"/>
                <w:position w:val="1"/>
                <w:sz w:val="22"/>
                <w:szCs w:val="22"/>
              </w:rPr>
              <w:t>may</w:t>
            </w:r>
            <w:proofErr w:type="spellEnd"/>
            <w:r>
              <w:rPr>
                <w:rFonts w:eastAsia="Palatino Linotype"/>
                <w:position w:val="1"/>
                <w:sz w:val="22"/>
                <w:szCs w:val="22"/>
              </w:rPr>
              <w:t xml:space="preserve"> be </w:t>
            </w:r>
            <w:proofErr w:type="spellStart"/>
            <w:r>
              <w:rPr>
                <w:rFonts w:eastAsia="Palatino Linotype"/>
                <w:position w:val="1"/>
                <w:sz w:val="22"/>
                <w:szCs w:val="22"/>
              </w:rPr>
              <w:t>submitted</w:t>
            </w:r>
            <w:proofErr w:type="spellEnd"/>
            <w:r>
              <w:rPr>
                <w:rFonts w:eastAsia="Palatino Linotype"/>
                <w:position w:val="1"/>
                <w:sz w:val="22"/>
                <w:szCs w:val="22"/>
              </w:rPr>
              <w:t xml:space="preserve"> </w:t>
            </w:r>
            <w:proofErr w:type="spellStart"/>
            <w:r>
              <w:rPr>
                <w:rFonts w:eastAsia="Palatino Linotype"/>
                <w:position w:val="1"/>
                <w:sz w:val="22"/>
                <w:szCs w:val="22"/>
              </w:rPr>
              <w:t>by</w:t>
            </w:r>
            <w:proofErr w:type="spellEnd"/>
            <w:r>
              <w:rPr>
                <w:rFonts w:eastAsia="Palatino Linotype"/>
                <w:position w:val="1"/>
                <w:sz w:val="22"/>
                <w:szCs w:val="22"/>
              </w:rPr>
              <w:t xml:space="preserve"> </w:t>
            </w:r>
            <w:proofErr w:type="spellStart"/>
            <w:r>
              <w:rPr>
                <w:rFonts w:eastAsia="Palatino Linotype"/>
                <w:position w:val="1"/>
                <w:sz w:val="22"/>
                <w:szCs w:val="22"/>
              </w:rPr>
              <w:t>any</w:t>
            </w:r>
            <w:proofErr w:type="spellEnd"/>
            <w:r>
              <w:rPr>
                <w:rFonts w:eastAsia="Palatino Linotype"/>
                <w:position w:val="1"/>
                <w:sz w:val="22"/>
                <w:szCs w:val="22"/>
              </w:rPr>
              <w:t xml:space="preserve"> </w:t>
            </w:r>
            <w:proofErr w:type="spellStart"/>
            <w:r>
              <w:rPr>
                <w:rFonts w:eastAsia="Palatino Linotype"/>
                <w:position w:val="1"/>
                <w:sz w:val="22"/>
                <w:szCs w:val="22"/>
              </w:rPr>
              <w:t>interested</w:t>
            </w:r>
            <w:proofErr w:type="spellEnd"/>
            <w:r>
              <w:rPr>
                <w:rFonts w:eastAsia="Palatino Linotype"/>
                <w:position w:val="1"/>
                <w:sz w:val="22"/>
                <w:szCs w:val="22"/>
              </w:rPr>
              <w:t xml:space="preserve"> </w:t>
            </w:r>
            <w:proofErr w:type="spellStart"/>
            <w:r>
              <w:rPr>
                <w:rFonts w:eastAsia="Palatino Linotype"/>
                <w:position w:val="1"/>
                <w:sz w:val="22"/>
                <w:szCs w:val="22"/>
              </w:rPr>
              <w:t>party</w:t>
            </w:r>
            <w:proofErr w:type="spellEnd"/>
            <w:r>
              <w:rPr>
                <w:rFonts w:eastAsia="Palatino Linotype"/>
                <w:position w:val="1"/>
                <w:sz w:val="22"/>
                <w:szCs w:val="22"/>
              </w:rPr>
              <w:t xml:space="preserve">, and </w:t>
            </w:r>
            <w:proofErr w:type="spellStart"/>
            <w:r>
              <w:rPr>
                <w:rFonts w:eastAsia="Palatino Linotype"/>
                <w:position w:val="1"/>
                <w:sz w:val="22"/>
                <w:szCs w:val="22"/>
              </w:rPr>
              <w:t>must</w:t>
            </w:r>
            <w:proofErr w:type="spellEnd"/>
            <w:r>
              <w:rPr>
                <w:rFonts w:eastAsia="Palatino Linotype"/>
                <w:position w:val="1"/>
                <w:sz w:val="22"/>
                <w:szCs w:val="22"/>
              </w:rPr>
              <w:t xml:space="preserve"> be done in </w:t>
            </w:r>
            <w:proofErr w:type="spellStart"/>
            <w:r>
              <w:rPr>
                <w:rFonts w:eastAsia="Palatino Linotype"/>
                <w:position w:val="1"/>
                <w:sz w:val="22"/>
                <w:szCs w:val="22"/>
              </w:rPr>
              <w:t>writing</w:t>
            </w:r>
            <w:proofErr w:type="spellEnd"/>
            <w:r>
              <w:rPr>
                <w:rFonts w:eastAsia="Palatino Linotype"/>
                <w:position w:val="1"/>
                <w:sz w:val="22"/>
                <w:szCs w:val="22"/>
              </w:rPr>
              <w:t xml:space="preserve">, </w:t>
            </w:r>
            <w:proofErr w:type="spellStart"/>
            <w:r>
              <w:rPr>
                <w:rFonts w:eastAsia="Palatino Linotype"/>
                <w:position w:val="1"/>
                <w:sz w:val="22"/>
                <w:szCs w:val="22"/>
              </w:rPr>
              <w:t>addressed</w:t>
            </w:r>
            <w:proofErr w:type="spellEnd"/>
            <w:r>
              <w:rPr>
                <w:rFonts w:eastAsia="Palatino Linotype"/>
                <w:position w:val="1"/>
                <w:sz w:val="22"/>
                <w:szCs w:val="22"/>
              </w:rPr>
              <w:t xml:space="preserve"> </w:t>
            </w:r>
            <w:proofErr w:type="spellStart"/>
            <w:r>
              <w:rPr>
                <w:rFonts w:eastAsia="Palatino Linotype"/>
                <w:position w:val="1"/>
                <w:sz w:val="22"/>
                <w:szCs w:val="22"/>
              </w:rPr>
              <w:t>to</w:t>
            </w:r>
            <w:proofErr w:type="spellEnd"/>
            <w:r>
              <w:rPr>
                <w:rFonts w:eastAsia="Palatino Linotype"/>
                <w:position w:val="1"/>
                <w:sz w:val="22"/>
                <w:szCs w:val="22"/>
              </w:rPr>
              <w:t xml:space="preserve"> </w:t>
            </w:r>
            <w:proofErr w:type="spellStart"/>
            <w:r>
              <w:rPr>
                <w:rFonts w:eastAsia="Palatino Linotype"/>
                <w:position w:val="1"/>
                <w:sz w:val="22"/>
                <w:szCs w:val="22"/>
              </w:rPr>
              <w:t>the</w:t>
            </w:r>
            <w:proofErr w:type="spellEnd"/>
            <w:r>
              <w:rPr>
                <w:rFonts w:eastAsia="Palatino Linotype"/>
                <w:position w:val="1"/>
                <w:sz w:val="22"/>
                <w:szCs w:val="22"/>
              </w:rPr>
              <w:t xml:space="preserve"> OSE Bidding Office, at </w:t>
            </w:r>
            <w:proofErr w:type="spellStart"/>
            <w:r>
              <w:rPr>
                <w:rFonts w:eastAsia="Palatino Linotype"/>
                <w:position w:val="1"/>
                <w:sz w:val="22"/>
                <w:szCs w:val="22"/>
              </w:rPr>
              <w:t>least</w:t>
            </w:r>
            <w:proofErr w:type="spellEnd"/>
            <w:r>
              <w:rPr>
                <w:rFonts w:eastAsia="Palatino Linotype"/>
                <w:position w:val="1"/>
                <w:sz w:val="22"/>
                <w:szCs w:val="22"/>
              </w:rPr>
              <w:t xml:space="preserve"> 7 </w:t>
            </w:r>
            <w:proofErr w:type="spellStart"/>
            <w:r>
              <w:rPr>
                <w:rFonts w:eastAsia="Palatino Linotype"/>
                <w:position w:val="1"/>
                <w:sz w:val="22"/>
                <w:szCs w:val="22"/>
              </w:rPr>
              <w:t>business</w:t>
            </w:r>
            <w:proofErr w:type="spellEnd"/>
            <w:r>
              <w:rPr>
                <w:rFonts w:eastAsia="Palatino Linotype"/>
                <w:position w:val="1"/>
                <w:sz w:val="22"/>
                <w:szCs w:val="22"/>
              </w:rPr>
              <w:t xml:space="preserve"> </w:t>
            </w:r>
            <w:proofErr w:type="spellStart"/>
            <w:r>
              <w:rPr>
                <w:rFonts w:eastAsia="Palatino Linotype"/>
                <w:position w:val="1"/>
                <w:sz w:val="22"/>
                <w:szCs w:val="22"/>
              </w:rPr>
              <w:t>days</w:t>
            </w:r>
            <w:proofErr w:type="spellEnd"/>
            <w:r>
              <w:rPr>
                <w:rFonts w:eastAsia="Palatino Linotype"/>
                <w:position w:val="1"/>
                <w:sz w:val="22"/>
                <w:szCs w:val="22"/>
              </w:rPr>
              <w:t xml:space="preserve"> </w:t>
            </w:r>
            <w:proofErr w:type="spellStart"/>
            <w:r>
              <w:rPr>
                <w:rFonts w:eastAsia="Palatino Linotype"/>
                <w:position w:val="1"/>
                <w:sz w:val="22"/>
                <w:szCs w:val="22"/>
              </w:rPr>
              <w:t>before</w:t>
            </w:r>
            <w:proofErr w:type="spellEnd"/>
            <w:r>
              <w:rPr>
                <w:rFonts w:eastAsia="Palatino Linotype"/>
                <w:position w:val="1"/>
                <w:sz w:val="22"/>
                <w:szCs w:val="22"/>
              </w:rPr>
              <w:t xml:space="preserve"> </w:t>
            </w:r>
            <w:proofErr w:type="spellStart"/>
            <w:r>
              <w:rPr>
                <w:rFonts w:eastAsia="Palatino Linotype"/>
                <w:position w:val="1"/>
                <w:sz w:val="22"/>
                <w:szCs w:val="22"/>
              </w:rPr>
              <w:t>the</w:t>
            </w:r>
            <w:proofErr w:type="spellEnd"/>
            <w:r>
              <w:rPr>
                <w:rFonts w:eastAsia="Palatino Linotype"/>
                <w:position w:val="1"/>
                <w:sz w:val="22"/>
                <w:szCs w:val="22"/>
              </w:rPr>
              <w:t xml:space="preserve"> date set </w:t>
            </w:r>
            <w:proofErr w:type="spellStart"/>
            <w:r>
              <w:rPr>
                <w:rFonts w:eastAsia="Palatino Linotype"/>
                <w:position w:val="1"/>
                <w:sz w:val="22"/>
                <w:szCs w:val="22"/>
              </w:rPr>
              <w:t>for</w:t>
            </w:r>
            <w:proofErr w:type="spellEnd"/>
            <w:r>
              <w:rPr>
                <w:rFonts w:eastAsia="Palatino Linotype"/>
                <w:position w:val="1"/>
                <w:sz w:val="22"/>
                <w:szCs w:val="22"/>
              </w:rPr>
              <w:t xml:space="preserve"> </w:t>
            </w:r>
            <w:proofErr w:type="spellStart"/>
            <w:r>
              <w:rPr>
                <w:rFonts w:eastAsia="Palatino Linotype"/>
                <w:position w:val="1"/>
                <w:sz w:val="22"/>
                <w:szCs w:val="22"/>
              </w:rPr>
              <w:t>that</w:t>
            </w:r>
            <w:proofErr w:type="spellEnd"/>
            <w:r>
              <w:rPr>
                <w:rFonts w:eastAsia="Palatino Linotype"/>
                <w:position w:val="1"/>
                <w:sz w:val="22"/>
                <w:szCs w:val="22"/>
              </w:rPr>
              <w:t xml:space="preserve"> </w:t>
            </w:r>
            <w:proofErr w:type="spellStart"/>
            <w:r>
              <w:rPr>
                <w:rFonts w:eastAsia="Palatino Linotype"/>
                <w:position w:val="1"/>
                <w:sz w:val="22"/>
                <w:szCs w:val="22"/>
              </w:rPr>
              <w:t>act</w:t>
            </w:r>
            <w:proofErr w:type="spellEnd"/>
            <w:r>
              <w:rPr>
                <w:rFonts w:eastAsia="Palatino Linotype"/>
                <w:position w:val="1"/>
                <w:sz w:val="22"/>
                <w:szCs w:val="22"/>
              </w:rPr>
              <w:t>.</w:t>
            </w:r>
          </w:p>
          <w:p w14:paraId="21426D5F" w14:textId="77777777" w:rsidR="00E255F4" w:rsidRDefault="00E255F4">
            <w:pPr>
              <w:ind w:right="33"/>
              <w:jc w:val="both"/>
              <w:rPr>
                <w:rFonts w:eastAsia="Palatino Linotype"/>
                <w:spacing w:val="-1"/>
                <w:position w:val="1"/>
                <w:sz w:val="22"/>
                <w:szCs w:val="22"/>
              </w:rPr>
            </w:pPr>
          </w:p>
          <w:p w14:paraId="0C6AA6BD" w14:textId="77777777" w:rsidR="00E255F4" w:rsidRDefault="00000000">
            <w:pPr>
              <w:ind w:right="33"/>
              <w:jc w:val="both"/>
              <w:rPr>
                <w:rFonts w:eastAsia="Palatino Linotype"/>
                <w:spacing w:val="-1"/>
                <w:position w:val="1"/>
                <w:sz w:val="22"/>
                <w:szCs w:val="22"/>
              </w:rPr>
            </w:pPr>
            <w:r>
              <w:rPr>
                <w:rFonts w:eastAsia="Palatino Linotype"/>
                <w:spacing w:val="-1"/>
                <w:position w:val="1"/>
                <w:sz w:val="22"/>
                <w:szCs w:val="22"/>
              </w:rPr>
              <w:t xml:space="preserve">The </w:t>
            </w:r>
            <w:proofErr w:type="spellStart"/>
            <w:r>
              <w:rPr>
                <w:rFonts w:eastAsia="Palatino Linotype"/>
                <w:spacing w:val="-1"/>
                <w:position w:val="1"/>
                <w:sz w:val="22"/>
                <w:szCs w:val="22"/>
              </w:rPr>
              <w:t>means</w:t>
            </w:r>
            <w:proofErr w:type="spellEnd"/>
            <w:r>
              <w:rPr>
                <w:rFonts w:eastAsia="Palatino Linotype"/>
                <w:spacing w:val="-1"/>
                <w:position w:val="1"/>
                <w:sz w:val="22"/>
                <w:szCs w:val="22"/>
              </w:rPr>
              <w:t xml:space="preserve"> </w:t>
            </w:r>
            <w:proofErr w:type="spellStart"/>
            <w:r>
              <w:rPr>
                <w:rFonts w:eastAsia="Palatino Linotype"/>
                <w:spacing w:val="-1"/>
                <w:position w:val="1"/>
                <w:sz w:val="22"/>
                <w:szCs w:val="22"/>
              </w:rPr>
              <w:t>to</w:t>
            </w:r>
            <w:proofErr w:type="spellEnd"/>
            <w:r>
              <w:rPr>
                <w:rFonts w:eastAsia="Palatino Linotype"/>
                <w:spacing w:val="-1"/>
                <w:position w:val="1"/>
                <w:sz w:val="22"/>
                <w:szCs w:val="22"/>
              </w:rPr>
              <w:t xml:space="preserve"> </w:t>
            </w:r>
            <w:proofErr w:type="spellStart"/>
            <w:r>
              <w:rPr>
                <w:rFonts w:eastAsia="Palatino Linotype"/>
                <w:spacing w:val="-1"/>
                <w:position w:val="1"/>
                <w:sz w:val="22"/>
                <w:szCs w:val="22"/>
              </w:rPr>
              <w:t>request</w:t>
            </w:r>
            <w:proofErr w:type="spellEnd"/>
            <w:r>
              <w:rPr>
                <w:rFonts w:eastAsia="Palatino Linotype"/>
                <w:spacing w:val="-1"/>
                <w:position w:val="1"/>
                <w:sz w:val="22"/>
                <w:szCs w:val="22"/>
              </w:rPr>
              <w:t xml:space="preserve"> </w:t>
            </w:r>
            <w:proofErr w:type="spellStart"/>
            <w:r>
              <w:rPr>
                <w:rFonts w:eastAsia="Palatino Linotype"/>
                <w:spacing w:val="-1"/>
                <w:position w:val="1"/>
                <w:sz w:val="22"/>
                <w:szCs w:val="22"/>
              </w:rPr>
              <w:t>it</w:t>
            </w:r>
            <w:proofErr w:type="spellEnd"/>
            <w:r>
              <w:rPr>
                <w:rFonts w:eastAsia="Palatino Linotype"/>
                <w:spacing w:val="-1"/>
                <w:position w:val="1"/>
                <w:sz w:val="22"/>
                <w:szCs w:val="22"/>
              </w:rPr>
              <w:t xml:space="preserve"> are as </w:t>
            </w:r>
            <w:proofErr w:type="spellStart"/>
            <w:r>
              <w:rPr>
                <w:rFonts w:eastAsia="Palatino Linotype"/>
                <w:spacing w:val="-1"/>
                <w:position w:val="1"/>
                <w:sz w:val="22"/>
                <w:szCs w:val="22"/>
              </w:rPr>
              <w:t>follows</w:t>
            </w:r>
            <w:proofErr w:type="spellEnd"/>
            <w:r>
              <w:rPr>
                <w:rFonts w:eastAsia="Palatino Linotype"/>
                <w:spacing w:val="-1"/>
                <w:position w:val="1"/>
                <w:sz w:val="22"/>
                <w:szCs w:val="22"/>
              </w:rPr>
              <w:t>:</w:t>
            </w:r>
          </w:p>
          <w:p w14:paraId="728B503D" w14:textId="77777777" w:rsidR="00E255F4" w:rsidRDefault="00000000">
            <w:pPr>
              <w:ind w:right="33"/>
              <w:jc w:val="both"/>
              <w:rPr>
                <w:rFonts w:eastAsia="Palatino Linotype"/>
                <w:spacing w:val="-1"/>
                <w:position w:val="1"/>
                <w:sz w:val="22"/>
                <w:szCs w:val="22"/>
              </w:rPr>
            </w:pPr>
            <w:r>
              <w:rPr>
                <w:rFonts w:eastAsia="Palatino Linotype"/>
                <w:spacing w:val="-1"/>
                <w:position w:val="1"/>
                <w:sz w:val="22"/>
                <w:szCs w:val="22"/>
              </w:rPr>
              <w:lastRenderedPageBreak/>
              <w:t>OSE Bidding Office, Av. San Martín 3235, CP 11.700, Montevideo, Uruguay</w:t>
            </w:r>
          </w:p>
          <w:p w14:paraId="65921B1C" w14:textId="77777777" w:rsidR="00E255F4" w:rsidRDefault="00000000">
            <w:pPr>
              <w:ind w:right="-36"/>
              <w:jc w:val="both"/>
              <w:rPr>
                <w:rFonts w:eastAsia="Palatino Linotype"/>
                <w:position w:val="1"/>
                <w:sz w:val="22"/>
                <w:szCs w:val="22"/>
                <w:lang w:val="es-ES"/>
              </w:rPr>
            </w:pPr>
            <w:r>
              <w:rPr>
                <w:rFonts w:eastAsia="Palatino Linotype"/>
                <w:position w:val="1"/>
                <w:sz w:val="22"/>
                <w:szCs w:val="22"/>
              </w:rPr>
              <w:t>Email</w:t>
            </w:r>
            <w:hyperlink r:id="rId18" w:tgtFrame="_blank">
              <w:r w:rsidR="00E255F4">
                <w:rPr>
                  <w:rStyle w:val="Hipervnculo"/>
                  <w:sz w:val="22"/>
                  <w:szCs w:val="22"/>
                  <w:lang w:val="es-ES"/>
                </w:rPr>
                <w:t>licbienesyprodq@ose.com.uy</w:t>
              </w:r>
            </w:hyperlink>
          </w:p>
        </w:tc>
      </w:tr>
      <w:tr w:rsidR="00E255F4" w14:paraId="071E0943" w14:textId="77777777">
        <w:tc>
          <w:tcPr>
            <w:tcW w:w="730" w:type="dxa"/>
            <w:tcBorders>
              <w:top w:val="single" w:sz="4" w:space="0" w:color="000000"/>
              <w:left w:val="single" w:sz="4" w:space="0" w:color="000000"/>
              <w:bottom w:val="single" w:sz="4" w:space="0" w:color="000000"/>
              <w:right w:val="single" w:sz="4" w:space="0" w:color="000000"/>
            </w:tcBorders>
          </w:tcPr>
          <w:p w14:paraId="3DFFAD7B" w14:textId="77777777" w:rsidR="00E255F4" w:rsidRDefault="00000000">
            <w:pPr>
              <w:ind w:right="-36"/>
              <w:rPr>
                <w:rFonts w:eastAsia="Palatino Linotype"/>
                <w:b/>
                <w:sz w:val="22"/>
                <w:szCs w:val="24"/>
                <w:lang w:val="es-ES"/>
              </w:rPr>
            </w:pPr>
            <w:r>
              <w:rPr>
                <w:rFonts w:eastAsia="Palatino Linotype"/>
                <w:b/>
                <w:sz w:val="22"/>
                <w:szCs w:val="22"/>
                <w:lang w:val="es-ES"/>
              </w:rPr>
              <w:lastRenderedPageBreak/>
              <w:t>8.1</w:t>
            </w:r>
          </w:p>
        </w:tc>
        <w:tc>
          <w:tcPr>
            <w:tcW w:w="9048" w:type="dxa"/>
            <w:tcBorders>
              <w:top w:val="single" w:sz="4" w:space="0" w:color="000000"/>
              <w:left w:val="single" w:sz="4" w:space="0" w:color="000000"/>
              <w:bottom w:val="single" w:sz="4" w:space="0" w:color="000000"/>
              <w:right w:val="single" w:sz="4" w:space="0" w:color="000000"/>
            </w:tcBorders>
          </w:tcPr>
          <w:p w14:paraId="14AF28DE" w14:textId="77777777" w:rsidR="00E255F4" w:rsidRDefault="00000000">
            <w:pPr>
              <w:ind w:right="-36"/>
              <w:rPr>
                <w:rFonts w:eastAsia="Palatino Linotype"/>
                <w:b/>
                <w:spacing w:val="-1"/>
                <w:sz w:val="22"/>
                <w:szCs w:val="22"/>
                <w:lang w:val="es-ES"/>
              </w:rPr>
            </w:pPr>
            <w:proofErr w:type="spellStart"/>
            <w:r>
              <w:rPr>
                <w:rFonts w:eastAsia="Palatino Linotype"/>
                <w:b/>
                <w:spacing w:val="-1"/>
                <w:sz w:val="22"/>
                <w:szCs w:val="22"/>
                <w:lang w:val="es-ES"/>
              </w:rPr>
              <w:t>Drafting</w:t>
            </w:r>
            <w:proofErr w:type="spellEnd"/>
          </w:p>
          <w:p w14:paraId="1EBF96AE" w14:textId="77777777" w:rsidR="00E255F4" w:rsidRDefault="00000000">
            <w:pPr>
              <w:spacing w:line="360" w:lineRule="auto"/>
              <w:ind w:right="-36"/>
              <w:rPr>
                <w:rFonts w:eastAsia="Palatino Linotype"/>
                <w:spacing w:val="-1"/>
                <w:sz w:val="22"/>
                <w:szCs w:val="22"/>
                <w:lang w:val="es-ES"/>
              </w:rPr>
            </w:pPr>
            <w:proofErr w:type="spellStart"/>
            <w:r>
              <w:rPr>
                <w:rFonts w:eastAsia="Palatino Linotype"/>
                <w:spacing w:val="-1"/>
                <w:sz w:val="22"/>
                <w:szCs w:val="22"/>
                <w:lang w:val="es-ES"/>
              </w:rPr>
              <w:t>It</w:t>
            </w:r>
            <w:proofErr w:type="spellEnd"/>
            <w:r>
              <w:rPr>
                <w:rFonts w:eastAsia="Palatino Linotype"/>
                <w:spacing w:val="-1"/>
                <w:sz w:val="22"/>
                <w:szCs w:val="22"/>
                <w:lang w:val="es-ES"/>
              </w:rPr>
              <w:t xml:space="preserve"> </w:t>
            </w:r>
            <w:proofErr w:type="spellStart"/>
            <w:r>
              <w:rPr>
                <w:rFonts w:eastAsia="Palatino Linotype"/>
                <w:spacing w:val="-1"/>
                <w:sz w:val="22"/>
                <w:szCs w:val="22"/>
                <w:lang w:val="es-ES"/>
              </w:rPr>
              <w:t>is</w:t>
            </w:r>
            <w:proofErr w:type="spellEnd"/>
            <w:r>
              <w:rPr>
                <w:rFonts w:eastAsia="Palatino Linotype"/>
                <w:spacing w:val="-1"/>
                <w:sz w:val="22"/>
                <w:szCs w:val="22"/>
                <w:lang w:val="es-ES"/>
              </w:rPr>
              <w:t xml:space="preserve"> </w:t>
            </w:r>
            <w:proofErr w:type="spellStart"/>
            <w:r>
              <w:rPr>
                <w:rFonts w:eastAsia="Palatino Linotype"/>
                <w:spacing w:val="-1"/>
                <w:sz w:val="22"/>
                <w:szCs w:val="22"/>
                <w:lang w:val="es-ES"/>
              </w:rPr>
              <w:t>added</w:t>
            </w:r>
            <w:proofErr w:type="spellEnd"/>
            <w:r>
              <w:rPr>
                <w:rFonts w:eastAsia="Palatino Linotype"/>
                <w:spacing w:val="-1"/>
                <w:sz w:val="22"/>
                <w:szCs w:val="22"/>
                <w:lang w:val="es-ES"/>
              </w:rPr>
              <w:t>:</w:t>
            </w:r>
          </w:p>
          <w:p w14:paraId="3704565F" w14:textId="77777777" w:rsidR="00E255F4" w:rsidRDefault="00E255F4">
            <w:pPr>
              <w:spacing w:after="120"/>
              <w:ind w:right="-34"/>
              <w:jc w:val="both"/>
              <w:rPr>
                <w:rFonts w:eastAsia="Palatino Linotype"/>
                <w:iCs/>
                <w:color w:val="000000"/>
                <w:spacing w:val="-1"/>
                <w:sz w:val="22"/>
                <w:szCs w:val="22"/>
                <w:lang w:val="es-ES"/>
              </w:rPr>
            </w:pPr>
          </w:p>
          <w:p w14:paraId="3C724717" w14:textId="77777777" w:rsidR="00E255F4" w:rsidRDefault="00000000">
            <w:pPr>
              <w:spacing w:after="120"/>
              <w:ind w:right="-34"/>
              <w:jc w:val="both"/>
              <w:rPr>
                <w:rFonts w:eastAsia="Palatino Linotype"/>
                <w:spacing w:val="-1"/>
                <w:sz w:val="22"/>
                <w:szCs w:val="22"/>
                <w:lang w:val="es-ES"/>
              </w:rPr>
            </w:pPr>
            <w:r>
              <w:rPr>
                <w:rFonts w:eastAsia="Palatino Linotype"/>
                <w:iCs/>
                <w:color w:val="000000"/>
                <w:spacing w:val="-1"/>
                <w:sz w:val="22"/>
                <w:szCs w:val="22"/>
                <w:lang w:val="es-ES"/>
              </w:rPr>
              <w:t xml:space="preserve">For </w:t>
            </w:r>
            <w:proofErr w:type="spellStart"/>
            <w:r>
              <w:rPr>
                <w:rFonts w:eastAsia="Palatino Linotype"/>
                <w:iCs/>
                <w:color w:val="000000"/>
                <w:spacing w:val="-1"/>
                <w:sz w:val="22"/>
                <w:szCs w:val="22"/>
                <w:lang w:val="es-ES"/>
              </w:rPr>
              <w:t>the</w:t>
            </w:r>
            <w:proofErr w:type="spellEnd"/>
            <w:r>
              <w:rPr>
                <w:rFonts w:eastAsia="Palatino Linotype"/>
                <w:iCs/>
                <w:color w:val="000000"/>
                <w:spacing w:val="-1"/>
                <w:sz w:val="22"/>
                <w:szCs w:val="22"/>
                <w:lang w:val="es-ES"/>
              </w:rPr>
              <w:t xml:space="preserve"> </w:t>
            </w:r>
            <w:proofErr w:type="spellStart"/>
            <w:r>
              <w:rPr>
                <w:rFonts w:eastAsia="Palatino Linotype"/>
                <w:iCs/>
                <w:color w:val="000000"/>
                <w:spacing w:val="-1"/>
                <w:sz w:val="22"/>
                <w:szCs w:val="22"/>
                <w:lang w:val="es-ES"/>
              </w:rPr>
              <w:t>presentation</w:t>
            </w:r>
            <w:proofErr w:type="spellEnd"/>
            <w:r>
              <w:rPr>
                <w:rFonts w:eastAsia="Palatino Linotype"/>
                <w:iCs/>
                <w:color w:val="000000"/>
                <w:spacing w:val="-1"/>
                <w:sz w:val="22"/>
                <w:szCs w:val="22"/>
                <w:lang w:val="es-ES"/>
              </w:rPr>
              <w:t xml:space="preserve"> </w:t>
            </w:r>
            <w:proofErr w:type="spellStart"/>
            <w:r>
              <w:rPr>
                <w:rFonts w:eastAsia="Palatino Linotype"/>
                <w:iCs/>
                <w:color w:val="000000"/>
                <w:spacing w:val="-1"/>
                <w:sz w:val="22"/>
                <w:szCs w:val="22"/>
                <w:lang w:val="es-ES"/>
              </w:rPr>
              <w:t>of</w:t>
            </w:r>
            <w:proofErr w:type="spellEnd"/>
            <w:r>
              <w:rPr>
                <w:rFonts w:eastAsia="Palatino Linotype"/>
                <w:iCs/>
                <w:color w:val="000000"/>
                <w:spacing w:val="-1"/>
                <w:sz w:val="22"/>
                <w:szCs w:val="22"/>
                <w:lang w:val="es-ES"/>
              </w:rPr>
              <w:t xml:space="preserve"> </w:t>
            </w:r>
            <w:proofErr w:type="spellStart"/>
            <w:r>
              <w:rPr>
                <w:rFonts w:eastAsia="Palatino Linotype"/>
                <w:iCs/>
                <w:color w:val="000000"/>
                <w:spacing w:val="-1"/>
                <w:sz w:val="22"/>
                <w:szCs w:val="22"/>
                <w:lang w:val="es-ES"/>
              </w:rPr>
              <w:t>brochures</w:t>
            </w:r>
            <w:proofErr w:type="spellEnd"/>
            <w:r>
              <w:rPr>
                <w:rFonts w:eastAsia="Palatino Linotype"/>
                <w:iCs/>
                <w:color w:val="000000"/>
                <w:spacing w:val="-1"/>
                <w:sz w:val="22"/>
                <w:szCs w:val="22"/>
                <w:lang w:val="es-ES"/>
              </w:rPr>
              <w:t xml:space="preserve"> and/</w:t>
            </w:r>
            <w:proofErr w:type="spellStart"/>
            <w:r>
              <w:rPr>
                <w:rFonts w:eastAsia="Palatino Linotype"/>
                <w:iCs/>
                <w:color w:val="000000"/>
                <w:spacing w:val="-1"/>
                <w:sz w:val="22"/>
                <w:szCs w:val="22"/>
                <w:lang w:val="es-ES"/>
              </w:rPr>
              <w:t>or</w:t>
            </w:r>
            <w:proofErr w:type="spellEnd"/>
            <w:r>
              <w:rPr>
                <w:rFonts w:eastAsia="Palatino Linotype"/>
                <w:iCs/>
                <w:color w:val="000000"/>
                <w:spacing w:val="-1"/>
                <w:sz w:val="22"/>
                <w:szCs w:val="22"/>
                <w:lang w:val="es-ES"/>
              </w:rPr>
              <w:t xml:space="preserve"> </w:t>
            </w:r>
            <w:proofErr w:type="spellStart"/>
            <w:r>
              <w:rPr>
                <w:rFonts w:eastAsia="Palatino Linotype"/>
                <w:iCs/>
                <w:color w:val="000000"/>
                <w:spacing w:val="-1"/>
                <w:sz w:val="22"/>
                <w:szCs w:val="22"/>
                <w:lang w:val="es-ES"/>
              </w:rPr>
              <w:t>catalogs</w:t>
            </w:r>
            <w:proofErr w:type="spellEnd"/>
            <w:r>
              <w:rPr>
                <w:rFonts w:eastAsia="Palatino Linotype"/>
                <w:iCs/>
                <w:color w:val="000000"/>
                <w:spacing w:val="-1"/>
                <w:sz w:val="22"/>
                <w:szCs w:val="22"/>
                <w:lang w:val="es-ES"/>
              </w:rPr>
              <w:t xml:space="preserve">, </w:t>
            </w:r>
            <w:proofErr w:type="spellStart"/>
            <w:r>
              <w:rPr>
                <w:rFonts w:eastAsia="Palatino Linotype"/>
                <w:iCs/>
                <w:color w:val="000000"/>
                <w:spacing w:val="-1"/>
                <w:sz w:val="22"/>
                <w:szCs w:val="22"/>
                <w:lang w:val="es-ES"/>
              </w:rPr>
              <w:t>these</w:t>
            </w:r>
            <w:proofErr w:type="spellEnd"/>
            <w:r>
              <w:rPr>
                <w:rFonts w:eastAsia="Palatino Linotype"/>
                <w:iCs/>
                <w:color w:val="000000"/>
                <w:spacing w:val="-1"/>
                <w:sz w:val="22"/>
                <w:szCs w:val="22"/>
                <w:lang w:val="es-ES"/>
              </w:rPr>
              <w:t xml:space="preserve"> </w:t>
            </w:r>
            <w:proofErr w:type="spellStart"/>
            <w:r>
              <w:rPr>
                <w:rFonts w:eastAsia="Palatino Linotype"/>
                <w:iCs/>
                <w:color w:val="000000"/>
                <w:spacing w:val="-1"/>
                <w:sz w:val="22"/>
                <w:szCs w:val="22"/>
                <w:lang w:val="es-ES"/>
              </w:rPr>
              <w:t>may</w:t>
            </w:r>
            <w:proofErr w:type="spellEnd"/>
            <w:r>
              <w:rPr>
                <w:rFonts w:eastAsia="Palatino Linotype"/>
                <w:iCs/>
                <w:color w:val="000000"/>
                <w:spacing w:val="-1"/>
                <w:sz w:val="22"/>
                <w:szCs w:val="22"/>
                <w:lang w:val="es-ES"/>
              </w:rPr>
              <w:t xml:space="preserve"> be </w:t>
            </w:r>
            <w:proofErr w:type="spellStart"/>
            <w:r>
              <w:rPr>
                <w:rFonts w:eastAsia="Palatino Linotype"/>
                <w:iCs/>
                <w:color w:val="000000"/>
                <w:spacing w:val="-1"/>
                <w:sz w:val="22"/>
                <w:szCs w:val="22"/>
                <w:lang w:val="es-ES"/>
              </w:rPr>
              <w:t>written</w:t>
            </w:r>
            <w:proofErr w:type="spellEnd"/>
            <w:r>
              <w:rPr>
                <w:rFonts w:eastAsia="Palatino Linotype"/>
                <w:iCs/>
                <w:color w:val="000000"/>
                <w:spacing w:val="-1"/>
                <w:sz w:val="22"/>
                <w:szCs w:val="22"/>
                <w:lang w:val="es-ES"/>
              </w:rPr>
              <w:t xml:space="preserve"> in Spanish, English </w:t>
            </w:r>
            <w:proofErr w:type="spellStart"/>
            <w:r>
              <w:rPr>
                <w:rFonts w:eastAsia="Palatino Linotype"/>
                <w:iCs/>
                <w:color w:val="000000"/>
                <w:spacing w:val="-1"/>
                <w:sz w:val="22"/>
                <w:szCs w:val="22"/>
                <w:lang w:val="es-ES"/>
              </w:rPr>
              <w:t>or</w:t>
            </w:r>
            <w:proofErr w:type="spellEnd"/>
            <w:r>
              <w:rPr>
                <w:rFonts w:eastAsia="Palatino Linotype"/>
                <w:iCs/>
                <w:color w:val="000000"/>
                <w:spacing w:val="-1"/>
                <w:sz w:val="22"/>
                <w:szCs w:val="22"/>
                <w:lang w:val="es-ES"/>
              </w:rPr>
              <w:t xml:space="preserve"> Portuguese; </w:t>
            </w:r>
            <w:proofErr w:type="spellStart"/>
            <w:r>
              <w:rPr>
                <w:rFonts w:eastAsia="Palatino Linotype"/>
                <w:iCs/>
                <w:color w:val="000000"/>
                <w:spacing w:val="-1"/>
                <w:sz w:val="22"/>
                <w:szCs w:val="22"/>
                <w:lang w:val="es-ES"/>
              </w:rPr>
              <w:t>if</w:t>
            </w:r>
            <w:proofErr w:type="spellEnd"/>
            <w:r>
              <w:rPr>
                <w:rFonts w:eastAsia="Palatino Linotype"/>
                <w:iCs/>
                <w:color w:val="000000"/>
                <w:spacing w:val="-1"/>
                <w:sz w:val="22"/>
                <w:szCs w:val="22"/>
                <w:lang w:val="es-ES"/>
              </w:rPr>
              <w:t xml:space="preserve"> </w:t>
            </w:r>
            <w:proofErr w:type="spellStart"/>
            <w:r>
              <w:rPr>
                <w:rFonts w:eastAsia="Palatino Linotype"/>
                <w:iCs/>
                <w:color w:val="000000"/>
                <w:spacing w:val="-1"/>
                <w:sz w:val="22"/>
                <w:szCs w:val="22"/>
                <w:lang w:val="es-ES"/>
              </w:rPr>
              <w:t>they</w:t>
            </w:r>
            <w:proofErr w:type="spellEnd"/>
            <w:r>
              <w:rPr>
                <w:rFonts w:eastAsia="Palatino Linotype"/>
                <w:iCs/>
                <w:color w:val="000000"/>
                <w:spacing w:val="-1"/>
                <w:sz w:val="22"/>
                <w:szCs w:val="22"/>
                <w:lang w:val="es-ES"/>
              </w:rPr>
              <w:t xml:space="preserve"> are </w:t>
            </w:r>
            <w:proofErr w:type="spellStart"/>
            <w:r>
              <w:rPr>
                <w:rFonts w:eastAsia="Palatino Linotype"/>
                <w:iCs/>
                <w:color w:val="000000"/>
                <w:spacing w:val="-1"/>
                <w:sz w:val="22"/>
                <w:szCs w:val="22"/>
                <w:lang w:val="es-ES"/>
              </w:rPr>
              <w:t>written</w:t>
            </w:r>
            <w:proofErr w:type="spellEnd"/>
            <w:r>
              <w:rPr>
                <w:rFonts w:eastAsia="Palatino Linotype"/>
                <w:iCs/>
                <w:color w:val="000000"/>
                <w:spacing w:val="-1"/>
                <w:sz w:val="22"/>
                <w:szCs w:val="22"/>
                <w:lang w:val="es-ES"/>
              </w:rPr>
              <w:t xml:space="preserve"> in </w:t>
            </w:r>
            <w:proofErr w:type="spellStart"/>
            <w:r>
              <w:rPr>
                <w:rFonts w:eastAsia="Palatino Linotype"/>
                <w:iCs/>
                <w:color w:val="000000"/>
                <w:spacing w:val="-1"/>
                <w:sz w:val="22"/>
                <w:szCs w:val="22"/>
                <w:lang w:val="es-ES"/>
              </w:rPr>
              <w:t>other</w:t>
            </w:r>
            <w:proofErr w:type="spellEnd"/>
            <w:r>
              <w:rPr>
                <w:rFonts w:eastAsia="Palatino Linotype"/>
                <w:iCs/>
                <w:color w:val="000000"/>
                <w:spacing w:val="-1"/>
                <w:sz w:val="22"/>
                <w:szCs w:val="22"/>
                <w:lang w:val="es-ES"/>
              </w:rPr>
              <w:t xml:space="preserve"> </w:t>
            </w:r>
            <w:proofErr w:type="spellStart"/>
            <w:r>
              <w:rPr>
                <w:rFonts w:eastAsia="Palatino Linotype"/>
                <w:iCs/>
                <w:color w:val="000000"/>
                <w:spacing w:val="-1"/>
                <w:sz w:val="22"/>
                <w:szCs w:val="22"/>
                <w:lang w:val="es-ES"/>
              </w:rPr>
              <w:t>foreign</w:t>
            </w:r>
            <w:proofErr w:type="spellEnd"/>
            <w:r>
              <w:rPr>
                <w:rFonts w:eastAsia="Palatino Linotype"/>
                <w:iCs/>
                <w:color w:val="000000"/>
                <w:spacing w:val="-1"/>
                <w:sz w:val="22"/>
                <w:szCs w:val="22"/>
                <w:lang w:val="es-ES"/>
              </w:rPr>
              <w:t xml:space="preserve"> </w:t>
            </w:r>
            <w:proofErr w:type="spellStart"/>
            <w:r>
              <w:rPr>
                <w:rFonts w:eastAsia="Palatino Linotype"/>
                <w:iCs/>
                <w:color w:val="000000"/>
                <w:spacing w:val="-1"/>
                <w:sz w:val="22"/>
                <w:szCs w:val="22"/>
                <w:lang w:val="es-ES"/>
              </w:rPr>
              <w:t>languages</w:t>
            </w:r>
            <w:proofErr w:type="spellEnd"/>
            <w:r>
              <w:rPr>
                <w:rFonts w:eastAsia="Palatino Linotype"/>
                <w:iCs/>
                <w:color w:val="000000"/>
                <w:spacing w:val="-1"/>
                <w:sz w:val="22"/>
                <w:szCs w:val="22"/>
                <w:lang w:val="es-ES"/>
              </w:rPr>
              <w:t xml:space="preserve">, </w:t>
            </w:r>
            <w:proofErr w:type="spellStart"/>
            <w:r>
              <w:rPr>
                <w:rFonts w:eastAsia="Palatino Linotype"/>
                <w:iCs/>
                <w:color w:val="000000"/>
                <w:spacing w:val="-1"/>
                <w:sz w:val="22"/>
                <w:szCs w:val="22"/>
                <w:lang w:val="es-ES"/>
              </w:rPr>
              <w:t>they</w:t>
            </w:r>
            <w:proofErr w:type="spellEnd"/>
            <w:r>
              <w:rPr>
                <w:rFonts w:eastAsia="Palatino Linotype"/>
                <w:iCs/>
                <w:color w:val="000000"/>
                <w:spacing w:val="-1"/>
                <w:sz w:val="22"/>
                <w:szCs w:val="22"/>
                <w:lang w:val="es-ES"/>
              </w:rPr>
              <w:t xml:space="preserve"> </w:t>
            </w:r>
            <w:proofErr w:type="spellStart"/>
            <w:r>
              <w:rPr>
                <w:rFonts w:eastAsia="Palatino Linotype"/>
                <w:iCs/>
                <w:color w:val="000000"/>
                <w:spacing w:val="-1"/>
                <w:sz w:val="22"/>
                <w:szCs w:val="22"/>
                <w:lang w:val="es-ES"/>
              </w:rPr>
              <w:t>must</w:t>
            </w:r>
            <w:proofErr w:type="spellEnd"/>
            <w:r>
              <w:rPr>
                <w:rFonts w:eastAsia="Palatino Linotype"/>
                <w:iCs/>
                <w:color w:val="000000"/>
                <w:spacing w:val="-1"/>
                <w:sz w:val="22"/>
                <w:szCs w:val="22"/>
                <w:lang w:val="es-ES"/>
              </w:rPr>
              <w:t xml:space="preserve"> be </w:t>
            </w:r>
            <w:proofErr w:type="spellStart"/>
            <w:r>
              <w:rPr>
                <w:rFonts w:eastAsia="Palatino Linotype"/>
                <w:iCs/>
                <w:color w:val="000000"/>
                <w:spacing w:val="-1"/>
                <w:sz w:val="22"/>
                <w:szCs w:val="22"/>
                <w:lang w:val="es-ES"/>
              </w:rPr>
              <w:t>submitted</w:t>
            </w:r>
            <w:proofErr w:type="spellEnd"/>
            <w:r>
              <w:rPr>
                <w:rFonts w:eastAsia="Palatino Linotype"/>
                <w:iCs/>
                <w:color w:val="000000"/>
                <w:spacing w:val="-1"/>
                <w:sz w:val="22"/>
                <w:szCs w:val="22"/>
                <w:lang w:val="es-ES"/>
              </w:rPr>
              <w:t xml:space="preserve"> </w:t>
            </w:r>
            <w:proofErr w:type="spellStart"/>
            <w:r>
              <w:rPr>
                <w:rFonts w:eastAsia="Palatino Linotype"/>
                <w:iCs/>
                <w:color w:val="000000"/>
                <w:spacing w:val="-1"/>
                <w:sz w:val="22"/>
                <w:szCs w:val="22"/>
                <w:lang w:val="es-ES"/>
              </w:rPr>
              <w:t>translated</w:t>
            </w:r>
            <w:proofErr w:type="spellEnd"/>
            <w:r>
              <w:rPr>
                <w:rFonts w:eastAsia="Palatino Linotype"/>
                <w:iCs/>
                <w:color w:val="000000"/>
                <w:spacing w:val="-1"/>
                <w:sz w:val="22"/>
                <w:szCs w:val="22"/>
                <w:lang w:val="es-ES"/>
              </w:rPr>
              <w:t xml:space="preserve"> </w:t>
            </w:r>
            <w:proofErr w:type="spellStart"/>
            <w:r>
              <w:rPr>
                <w:rFonts w:eastAsia="Palatino Linotype"/>
                <w:iCs/>
                <w:color w:val="000000"/>
                <w:spacing w:val="-1"/>
                <w:sz w:val="22"/>
                <w:szCs w:val="22"/>
                <w:lang w:val="es-ES"/>
              </w:rPr>
              <w:t>into</w:t>
            </w:r>
            <w:proofErr w:type="spellEnd"/>
            <w:r>
              <w:rPr>
                <w:rFonts w:eastAsia="Palatino Linotype"/>
                <w:iCs/>
                <w:color w:val="000000"/>
                <w:spacing w:val="-1"/>
                <w:sz w:val="22"/>
                <w:szCs w:val="22"/>
                <w:lang w:val="es-ES"/>
              </w:rPr>
              <w:t xml:space="preserve"> Spanish.</w:t>
            </w:r>
          </w:p>
        </w:tc>
      </w:tr>
      <w:tr w:rsidR="00E255F4" w14:paraId="4A2CDECF" w14:textId="77777777">
        <w:tc>
          <w:tcPr>
            <w:tcW w:w="730" w:type="dxa"/>
            <w:tcBorders>
              <w:top w:val="single" w:sz="4" w:space="0" w:color="000000"/>
              <w:left w:val="single" w:sz="4" w:space="0" w:color="000000"/>
              <w:bottom w:val="single" w:sz="4" w:space="0" w:color="000000"/>
              <w:right w:val="single" w:sz="4" w:space="0" w:color="000000"/>
            </w:tcBorders>
          </w:tcPr>
          <w:p w14:paraId="265602E4" w14:textId="77777777" w:rsidR="00E255F4" w:rsidRDefault="00000000">
            <w:pPr>
              <w:ind w:right="-36"/>
              <w:jc w:val="both"/>
              <w:rPr>
                <w:rFonts w:eastAsia="Palatino Linotype"/>
                <w:b/>
                <w:color w:val="000000"/>
                <w:sz w:val="22"/>
                <w:szCs w:val="22"/>
                <w:lang w:val="es-ES"/>
              </w:rPr>
            </w:pPr>
            <w:r>
              <w:rPr>
                <w:rFonts w:eastAsia="Palatino Linotype"/>
                <w:b/>
                <w:color w:val="000000"/>
                <w:sz w:val="22"/>
                <w:szCs w:val="22"/>
                <w:lang w:val="es-ES"/>
              </w:rPr>
              <w:t>9</w:t>
            </w:r>
          </w:p>
          <w:p w14:paraId="4CB9BD78" w14:textId="77777777" w:rsidR="00E255F4" w:rsidRDefault="00E255F4">
            <w:pPr>
              <w:ind w:right="-36"/>
              <w:jc w:val="both"/>
              <w:rPr>
                <w:rFonts w:eastAsia="Palatino Linotype"/>
                <w:b/>
                <w:color w:val="000000"/>
                <w:sz w:val="22"/>
                <w:szCs w:val="22"/>
                <w:lang w:val="es-ES"/>
              </w:rPr>
            </w:pPr>
          </w:p>
        </w:tc>
        <w:tc>
          <w:tcPr>
            <w:tcW w:w="9048" w:type="dxa"/>
            <w:tcBorders>
              <w:top w:val="single" w:sz="4" w:space="0" w:color="000000"/>
              <w:left w:val="single" w:sz="4" w:space="0" w:color="000000"/>
              <w:bottom w:val="single" w:sz="4" w:space="0" w:color="000000"/>
              <w:right w:val="single" w:sz="4" w:space="0" w:color="000000"/>
            </w:tcBorders>
          </w:tcPr>
          <w:p w14:paraId="0CA679DE" w14:textId="77777777" w:rsidR="00E255F4" w:rsidRDefault="00000000">
            <w:pPr>
              <w:pStyle w:val="Prrafodelista"/>
              <w:ind w:left="0"/>
              <w:jc w:val="both"/>
              <w:rPr>
                <w:rFonts w:eastAsia="Palatino Linotype"/>
                <w:b/>
                <w:bCs/>
                <w:color w:val="000000"/>
                <w:spacing w:val="-1"/>
                <w:kern w:val="2"/>
                <w:sz w:val="22"/>
                <w:szCs w:val="22"/>
                <w:lang w:val="es-ES" w:eastAsia="en-US"/>
              </w:rPr>
            </w:pPr>
            <w:proofErr w:type="spellStart"/>
            <w:r>
              <w:rPr>
                <w:rFonts w:eastAsia="Palatino Linotype"/>
                <w:b/>
                <w:bCs/>
                <w:color w:val="000000"/>
                <w:spacing w:val="-1"/>
                <w:kern w:val="2"/>
                <w:sz w:val="22"/>
                <w:szCs w:val="22"/>
                <w:lang w:val="es-ES" w:eastAsia="en-US"/>
              </w:rPr>
              <w:t>Requirements</w:t>
            </w:r>
            <w:proofErr w:type="spellEnd"/>
            <w:r>
              <w:rPr>
                <w:rFonts w:eastAsia="Palatino Linotype"/>
                <w:b/>
                <w:bCs/>
                <w:color w:val="000000"/>
                <w:spacing w:val="-1"/>
                <w:kern w:val="2"/>
                <w:sz w:val="22"/>
                <w:szCs w:val="22"/>
                <w:lang w:val="es-ES" w:eastAsia="en-US"/>
              </w:rPr>
              <w:t xml:space="preserve"> </w:t>
            </w:r>
            <w:proofErr w:type="spellStart"/>
            <w:r>
              <w:rPr>
                <w:rFonts w:eastAsia="Palatino Linotype"/>
                <w:b/>
                <w:bCs/>
                <w:color w:val="000000"/>
                <w:spacing w:val="-1"/>
                <w:kern w:val="2"/>
                <w:sz w:val="22"/>
                <w:szCs w:val="22"/>
                <w:lang w:val="es-ES" w:eastAsia="en-US"/>
              </w:rPr>
              <w:t>for</w:t>
            </w:r>
            <w:proofErr w:type="spellEnd"/>
            <w:r>
              <w:rPr>
                <w:rFonts w:eastAsia="Palatino Linotype"/>
                <w:b/>
                <w:bCs/>
                <w:color w:val="000000"/>
                <w:spacing w:val="-1"/>
                <w:kern w:val="2"/>
                <w:sz w:val="22"/>
                <w:szCs w:val="22"/>
                <w:lang w:val="es-ES" w:eastAsia="en-US"/>
              </w:rPr>
              <w:t xml:space="preserve"> </w:t>
            </w:r>
            <w:proofErr w:type="spellStart"/>
            <w:r>
              <w:rPr>
                <w:rFonts w:eastAsia="Palatino Linotype"/>
                <w:b/>
                <w:bCs/>
                <w:color w:val="000000"/>
                <w:spacing w:val="-1"/>
                <w:kern w:val="2"/>
                <w:sz w:val="22"/>
                <w:szCs w:val="22"/>
                <w:lang w:val="es-ES" w:eastAsia="en-US"/>
              </w:rPr>
              <w:t>submitting</w:t>
            </w:r>
            <w:proofErr w:type="spellEnd"/>
            <w:r>
              <w:rPr>
                <w:rFonts w:eastAsia="Palatino Linotype"/>
                <w:b/>
                <w:bCs/>
                <w:color w:val="000000"/>
                <w:spacing w:val="-1"/>
                <w:kern w:val="2"/>
                <w:sz w:val="22"/>
                <w:szCs w:val="22"/>
                <w:lang w:val="es-ES" w:eastAsia="en-US"/>
              </w:rPr>
              <w:t xml:space="preserve"> </w:t>
            </w:r>
            <w:proofErr w:type="spellStart"/>
            <w:r>
              <w:rPr>
                <w:rFonts w:eastAsia="Palatino Linotype"/>
                <w:b/>
                <w:bCs/>
                <w:color w:val="000000"/>
                <w:spacing w:val="-1"/>
                <w:kern w:val="2"/>
                <w:sz w:val="22"/>
                <w:szCs w:val="22"/>
                <w:lang w:val="es-ES" w:eastAsia="en-US"/>
              </w:rPr>
              <w:t>bids</w:t>
            </w:r>
            <w:proofErr w:type="spellEnd"/>
          </w:p>
          <w:p w14:paraId="699DE1E2" w14:textId="77777777" w:rsidR="00E255F4" w:rsidRDefault="00000000">
            <w:pPr>
              <w:spacing w:after="120"/>
              <w:ind w:right="-34"/>
              <w:jc w:val="both"/>
              <w:rPr>
                <w:rFonts w:eastAsia="Palatino Linotype"/>
                <w:b/>
                <w:color w:val="000000"/>
                <w:spacing w:val="-1"/>
                <w:sz w:val="22"/>
                <w:szCs w:val="22"/>
                <w:lang w:val="es-ES"/>
              </w:rPr>
            </w:pPr>
            <w:proofErr w:type="spellStart"/>
            <w:r>
              <w:rPr>
                <w:rFonts w:eastAsia="Palatino Linotype"/>
                <w:b/>
                <w:color w:val="000000"/>
                <w:spacing w:val="-1"/>
                <w:sz w:val="22"/>
                <w:szCs w:val="22"/>
                <w:lang w:val="es-ES"/>
              </w:rPr>
              <w:t>It</w:t>
            </w:r>
            <w:proofErr w:type="spellEnd"/>
            <w:r>
              <w:rPr>
                <w:rFonts w:eastAsia="Palatino Linotype"/>
                <w:b/>
                <w:color w:val="000000"/>
                <w:spacing w:val="-1"/>
                <w:sz w:val="22"/>
                <w:szCs w:val="22"/>
                <w:lang w:val="es-ES"/>
              </w:rPr>
              <w:t xml:space="preserve"> </w:t>
            </w:r>
            <w:proofErr w:type="spellStart"/>
            <w:r>
              <w:rPr>
                <w:rFonts w:eastAsia="Palatino Linotype"/>
                <w:b/>
                <w:color w:val="000000"/>
                <w:spacing w:val="-1"/>
                <w:sz w:val="22"/>
                <w:szCs w:val="22"/>
                <w:lang w:val="es-ES"/>
              </w:rPr>
              <w:t>is</w:t>
            </w:r>
            <w:proofErr w:type="spellEnd"/>
            <w:r>
              <w:rPr>
                <w:rFonts w:eastAsia="Palatino Linotype"/>
                <w:b/>
                <w:color w:val="000000"/>
                <w:spacing w:val="-1"/>
                <w:sz w:val="22"/>
                <w:szCs w:val="22"/>
                <w:lang w:val="es-ES"/>
              </w:rPr>
              <w:t xml:space="preserve"> </w:t>
            </w:r>
            <w:proofErr w:type="spellStart"/>
            <w:r>
              <w:rPr>
                <w:rFonts w:eastAsia="Palatino Linotype"/>
                <w:b/>
                <w:color w:val="000000"/>
                <w:spacing w:val="-1"/>
                <w:sz w:val="22"/>
                <w:szCs w:val="22"/>
                <w:lang w:val="es-ES"/>
              </w:rPr>
              <w:t>added</w:t>
            </w:r>
            <w:proofErr w:type="spellEnd"/>
            <w:r>
              <w:rPr>
                <w:rFonts w:eastAsia="Palatino Linotype"/>
                <w:b/>
                <w:color w:val="000000"/>
                <w:spacing w:val="-1"/>
                <w:sz w:val="22"/>
                <w:szCs w:val="22"/>
                <w:lang w:val="es-ES"/>
              </w:rPr>
              <w:t>:</w:t>
            </w:r>
          </w:p>
          <w:p w14:paraId="68EF89B2" w14:textId="77777777" w:rsidR="00E255F4" w:rsidRDefault="00E255F4">
            <w:pPr>
              <w:spacing w:after="120"/>
              <w:ind w:right="-34"/>
              <w:jc w:val="both"/>
              <w:rPr>
                <w:rFonts w:eastAsia="Palatino Linotype"/>
                <w:b/>
                <w:color w:val="000000"/>
                <w:spacing w:val="-1"/>
                <w:sz w:val="22"/>
                <w:szCs w:val="22"/>
                <w:lang w:val="es-ES"/>
              </w:rPr>
            </w:pPr>
          </w:p>
          <w:p w14:paraId="48824F66" w14:textId="77777777" w:rsidR="00E255F4" w:rsidRDefault="00000000">
            <w:pPr>
              <w:spacing w:after="120"/>
              <w:ind w:right="-34"/>
              <w:jc w:val="both"/>
              <w:rPr>
                <w:rFonts w:eastAsia="Palatino Linotype"/>
                <w:b/>
                <w:bCs/>
                <w:color w:val="000000"/>
                <w:spacing w:val="-1"/>
                <w:kern w:val="2"/>
                <w:sz w:val="22"/>
                <w:szCs w:val="22"/>
                <w:lang w:val="es-ES"/>
              </w:rPr>
            </w:pPr>
            <w:r>
              <w:rPr>
                <w:rFonts w:eastAsia="Palatino Linotype"/>
                <w:color w:val="000000"/>
                <w:spacing w:val="-1"/>
                <w:sz w:val="22"/>
                <w:szCs w:val="22"/>
                <w:lang w:val="es-ES"/>
              </w:rPr>
              <w:t xml:space="preserve">The </w:t>
            </w:r>
            <w:proofErr w:type="spellStart"/>
            <w:r>
              <w:rPr>
                <w:rFonts w:eastAsia="Palatino Linotype"/>
                <w:color w:val="000000"/>
                <w:spacing w:val="-1"/>
                <w:sz w:val="22"/>
                <w:szCs w:val="22"/>
                <w:lang w:val="es-ES"/>
              </w:rPr>
              <w:t>Bidder</w:t>
            </w:r>
            <w:proofErr w:type="spellEnd"/>
            <w:r>
              <w:rPr>
                <w:rFonts w:eastAsia="Palatino Linotype"/>
                <w:color w:val="000000"/>
                <w:spacing w:val="-1"/>
                <w:sz w:val="22"/>
                <w:szCs w:val="22"/>
                <w:lang w:val="es-ES"/>
              </w:rPr>
              <w:t xml:space="preserve"> </w:t>
            </w:r>
            <w:proofErr w:type="spellStart"/>
            <w:r>
              <w:rPr>
                <w:rFonts w:eastAsia="Palatino Linotype"/>
                <w:color w:val="000000"/>
                <w:spacing w:val="-1"/>
                <w:sz w:val="22"/>
                <w:szCs w:val="22"/>
                <w:lang w:val="es-ES"/>
              </w:rPr>
              <w:t>will</w:t>
            </w:r>
            <w:proofErr w:type="spellEnd"/>
            <w:r>
              <w:rPr>
                <w:rFonts w:eastAsia="Palatino Linotype"/>
                <w:color w:val="000000"/>
                <w:spacing w:val="-1"/>
                <w:sz w:val="22"/>
                <w:szCs w:val="22"/>
                <w:lang w:val="es-ES"/>
              </w:rPr>
              <w:t xml:space="preserve"> be </w:t>
            </w:r>
            <w:proofErr w:type="spellStart"/>
            <w:r>
              <w:rPr>
                <w:rFonts w:eastAsia="Palatino Linotype"/>
                <w:color w:val="000000"/>
                <w:spacing w:val="-1"/>
                <w:sz w:val="22"/>
                <w:szCs w:val="22"/>
                <w:lang w:val="es-ES"/>
              </w:rPr>
              <w:t>the</w:t>
            </w:r>
            <w:proofErr w:type="spellEnd"/>
            <w:r>
              <w:rPr>
                <w:rFonts w:eastAsia="Palatino Linotype"/>
                <w:color w:val="000000"/>
                <w:spacing w:val="-1"/>
                <w:sz w:val="22"/>
                <w:szCs w:val="22"/>
                <w:lang w:val="es-ES"/>
              </w:rPr>
              <w:t xml:space="preserve"> </w:t>
            </w:r>
            <w:proofErr w:type="spellStart"/>
            <w:r>
              <w:rPr>
                <w:rFonts w:eastAsia="Palatino Linotype"/>
                <w:color w:val="000000"/>
                <w:spacing w:val="-1"/>
                <w:sz w:val="22"/>
                <w:szCs w:val="22"/>
                <w:lang w:val="es-ES"/>
              </w:rPr>
              <w:t>one</w:t>
            </w:r>
            <w:proofErr w:type="spellEnd"/>
            <w:r>
              <w:rPr>
                <w:rFonts w:eastAsia="Palatino Linotype"/>
                <w:color w:val="000000"/>
                <w:spacing w:val="-1"/>
                <w:sz w:val="22"/>
                <w:szCs w:val="22"/>
                <w:lang w:val="es-ES"/>
              </w:rPr>
              <w:t xml:space="preserve"> </w:t>
            </w:r>
            <w:proofErr w:type="spellStart"/>
            <w:r>
              <w:rPr>
                <w:rFonts w:eastAsia="Palatino Linotype"/>
                <w:color w:val="000000"/>
                <w:spacing w:val="-1"/>
                <w:sz w:val="22"/>
                <w:szCs w:val="22"/>
                <w:lang w:val="es-ES"/>
              </w:rPr>
              <w:t>who</w:t>
            </w:r>
            <w:proofErr w:type="spellEnd"/>
            <w:r>
              <w:rPr>
                <w:rFonts w:eastAsia="Palatino Linotype"/>
                <w:color w:val="000000"/>
                <w:spacing w:val="-1"/>
                <w:sz w:val="22"/>
                <w:szCs w:val="22"/>
                <w:lang w:val="es-ES"/>
              </w:rPr>
              <w:t xml:space="preserve"> </w:t>
            </w:r>
            <w:proofErr w:type="spellStart"/>
            <w:r>
              <w:rPr>
                <w:rFonts w:eastAsia="Palatino Linotype"/>
                <w:color w:val="000000"/>
                <w:spacing w:val="-1"/>
                <w:sz w:val="22"/>
                <w:szCs w:val="22"/>
                <w:lang w:val="es-ES"/>
              </w:rPr>
              <w:t>formalizes</w:t>
            </w:r>
            <w:proofErr w:type="spellEnd"/>
            <w:r>
              <w:rPr>
                <w:rFonts w:eastAsia="Palatino Linotype"/>
                <w:color w:val="000000"/>
                <w:spacing w:val="-1"/>
                <w:sz w:val="22"/>
                <w:szCs w:val="22"/>
                <w:lang w:val="es-ES"/>
              </w:rPr>
              <w:t xml:space="preserve"> </w:t>
            </w:r>
            <w:proofErr w:type="spellStart"/>
            <w:r>
              <w:rPr>
                <w:rFonts w:eastAsia="Palatino Linotype"/>
                <w:color w:val="000000"/>
                <w:spacing w:val="-1"/>
                <w:sz w:val="22"/>
                <w:szCs w:val="22"/>
                <w:lang w:val="es-ES"/>
              </w:rPr>
              <w:t>the</w:t>
            </w:r>
            <w:proofErr w:type="spellEnd"/>
            <w:r>
              <w:rPr>
                <w:rFonts w:eastAsia="Palatino Linotype"/>
                <w:color w:val="000000"/>
                <w:spacing w:val="-1"/>
                <w:sz w:val="22"/>
                <w:szCs w:val="22"/>
                <w:lang w:val="es-ES"/>
              </w:rPr>
              <w:t xml:space="preserve"> </w:t>
            </w:r>
            <w:proofErr w:type="spellStart"/>
            <w:r>
              <w:rPr>
                <w:rFonts w:eastAsia="Palatino Linotype"/>
                <w:color w:val="000000"/>
                <w:spacing w:val="-1"/>
                <w:sz w:val="22"/>
                <w:szCs w:val="22"/>
                <w:lang w:val="es-ES"/>
              </w:rPr>
              <w:t>offer</w:t>
            </w:r>
            <w:proofErr w:type="spellEnd"/>
            <w:r>
              <w:rPr>
                <w:rFonts w:eastAsia="Palatino Linotype"/>
                <w:color w:val="000000"/>
                <w:spacing w:val="-1"/>
                <w:sz w:val="22"/>
                <w:szCs w:val="22"/>
                <w:lang w:val="es-ES"/>
              </w:rPr>
              <w:t xml:space="preserve">, </w:t>
            </w:r>
            <w:proofErr w:type="spellStart"/>
            <w:r>
              <w:rPr>
                <w:rFonts w:eastAsia="Palatino Linotype"/>
                <w:color w:val="000000"/>
                <w:spacing w:val="-1"/>
                <w:sz w:val="22"/>
                <w:szCs w:val="22"/>
                <w:lang w:val="es-ES"/>
              </w:rPr>
              <w:t>contracts</w:t>
            </w:r>
            <w:proofErr w:type="spellEnd"/>
            <w:r>
              <w:rPr>
                <w:rFonts w:eastAsia="Palatino Linotype"/>
                <w:color w:val="000000"/>
                <w:spacing w:val="-1"/>
                <w:sz w:val="22"/>
                <w:szCs w:val="22"/>
                <w:lang w:val="es-ES"/>
              </w:rPr>
              <w:t xml:space="preserve"> and </w:t>
            </w:r>
            <w:proofErr w:type="spellStart"/>
            <w:r>
              <w:rPr>
                <w:rFonts w:eastAsia="Palatino Linotype"/>
                <w:color w:val="000000"/>
                <w:spacing w:val="-1"/>
                <w:sz w:val="22"/>
                <w:szCs w:val="22"/>
                <w:lang w:val="es-ES"/>
              </w:rPr>
              <w:t>is</w:t>
            </w:r>
            <w:proofErr w:type="spellEnd"/>
            <w:r>
              <w:rPr>
                <w:rFonts w:eastAsia="Palatino Linotype"/>
                <w:color w:val="000000"/>
                <w:spacing w:val="-1"/>
                <w:sz w:val="22"/>
                <w:szCs w:val="22"/>
                <w:lang w:val="es-ES"/>
              </w:rPr>
              <w:t xml:space="preserve"> </w:t>
            </w:r>
            <w:proofErr w:type="spellStart"/>
            <w:r>
              <w:rPr>
                <w:rFonts w:eastAsia="Palatino Linotype"/>
                <w:color w:val="000000"/>
                <w:spacing w:val="-1"/>
                <w:sz w:val="22"/>
                <w:szCs w:val="22"/>
                <w:lang w:val="es-ES"/>
              </w:rPr>
              <w:t>bound</w:t>
            </w:r>
            <w:proofErr w:type="spellEnd"/>
            <w:r>
              <w:rPr>
                <w:rFonts w:eastAsia="Palatino Linotype"/>
                <w:color w:val="000000"/>
                <w:spacing w:val="-1"/>
                <w:sz w:val="22"/>
                <w:szCs w:val="22"/>
                <w:lang w:val="es-ES"/>
              </w:rPr>
              <w:t xml:space="preserve"> </w:t>
            </w:r>
            <w:proofErr w:type="spellStart"/>
            <w:r>
              <w:rPr>
                <w:rFonts w:eastAsia="Palatino Linotype"/>
                <w:color w:val="000000"/>
                <w:spacing w:val="-1"/>
                <w:sz w:val="22"/>
                <w:szCs w:val="22"/>
                <w:lang w:val="es-ES"/>
              </w:rPr>
              <w:t>to</w:t>
            </w:r>
            <w:proofErr w:type="spellEnd"/>
            <w:r>
              <w:rPr>
                <w:rFonts w:eastAsia="Palatino Linotype"/>
                <w:color w:val="000000"/>
                <w:spacing w:val="-1"/>
                <w:sz w:val="22"/>
                <w:szCs w:val="22"/>
                <w:lang w:val="es-ES"/>
              </w:rPr>
              <w:t xml:space="preserve"> </w:t>
            </w:r>
            <w:proofErr w:type="spellStart"/>
            <w:r>
              <w:rPr>
                <w:rFonts w:eastAsia="Palatino Linotype"/>
                <w:color w:val="000000"/>
                <w:spacing w:val="-1"/>
                <w:sz w:val="22"/>
                <w:szCs w:val="22"/>
                <w:lang w:val="es-ES"/>
              </w:rPr>
              <w:t>the</w:t>
            </w:r>
            <w:proofErr w:type="spellEnd"/>
            <w:r>
              <w:rPr>
                <w:rFonts w:eastAsia="Palatino Linotype"/>
                <w:color w:val="000000"/>
                <w:spacing w:val="-1"/>
                <w:sz w:val="22"/>
                <w:szCs w:val="22"/>
                <w:lang w:val="es-ES"/>
              </w:rPr>
              <w:t xml:space="preserve"> </w:t>
            </w:r>
            <w:proofErr w:type="spellStart"/>
            <w:r>
              <w:rPr>
                <w:rFonts w:eastAsia="Palatino Linotype"/>
                <w:color w:val="000000"/>
                <w:spacing w:val="-1"/>
                <w:sz w:val="22"/>
                <w:szCs w:val="22"/>
                <w:lang w:val="es-ES"/>
              </w:rPr>
              <w:t>Administration</w:t>
            </w:r>
            <w:proofErr w:type="spellEnd"/>
            <w:r>
              <w:rPr>
                <w:rFonts w:eastAsia="Palatino Linotype"/>
                <w:color w:val="000000"/>
                <w:spacing w:val="-1"/>
                <w:sz w:val="22"/>
                <w:szCs w:val="22"/>
                <w:lang w:val="es-ES"/>
              </w:rPr>
              <w:t xml:space="preserve">, </w:t>
            </w:r>
            <w:proofErr w:type="spellStart"/>
            <w:r>
              <w:rPr>
                <w:rFonts w:eastAsia="Palatino Linotype"/>
                <w:color w:val="000000"/>
                <w:spacing w:val="-1"/>
                <w:sz w:val="22"/>
                <w:szCs w:val="22"/>
                <w:lang w:val="es-ES"/>
              </w:rPr>
              <w:t>whether</w:t>
            </w:r>
            <w:proofErr w:type="spellEnd"/>
            <w:r>
              <w:rPr>
                <w:rFonts w:eastAsia="Palatino Linotype"/>
                <w:color w:val="000000"/>
                <w:spacing w:val="-1"/>
                <w:sz w:val="22"/>
                <w:szCs w:val="22"/>
                <w:lang w:val="es-ES"/>
              </w:rPr>
              <w:t xml:space="preserve"> </w:t>
            </w:r>
            <w:proofErr w:type="spellStart"/>
            <w:r>
              <w:rPr>
                <w:rFonts w:eastAsia="Palatino Linotype"/>
                <w:color w:val="000000"/>
                <w:spacing w:val="-1"/>
                <w:sz w:val="22"/>
                <w:szCs w:val="22"/>
                <w:lang w:val="es-ES"/>
              </w:rPr>
              <w:t>acting</w:t>
            </w:r>
            <w:proofErr w:type="spellEnd"/>
            <w:r>
              <w:rPr>
                <w:rFonts w:eastAsia="Palatino Linotype"/>
                <w:color w:val="000000"/>
                <w:spacing w:val="-1"/>
                <w:sz w:val="22"/>
                <w:szCs w:val="22"/>
                <w:lang w:val="es-ES"/>
              </w:rPr>
              <w:t xml:space="preserve"> </w:t>
            </w:r>
            <w:proofErr w:type="spellStart"/>
            <w:r>
              <w:rPr>
                <w:rFonts w:eastAsia="Palatino Linotype"/>
                <w:color w:val="000000"/>
                <w:spacing w:val="-1"/>
                <w:sz w:val="22"/>
                <w:szCs w:val="22"/>
                <w:lang w:val="es-ES"/>
              </w:rPr>
              <w:t>on</w:t>
            </w:r>
            <w:proofErr w:type="spellEnd"/>
            <w:r>
              <w:rPr>
                <w:rFonts w:eastAsia="Palatino Linotype"/>
                <w:color w:val="000000"/>
                <w:spacing w:val="-1"/>
                <w:sz w:val="22"/>
                <w:szCs w:val="22"/>
                <w:lang w:val="es-ES"/>
              </w:rPr>
              <w:t xml:space="preserve"> </w:t>
            </w:r>
            <w:proofErr w:type="spellStart"/>
            <w:r>
              <w:rPr>
                <w:rFonts w:eastAsia="Palatino Linotype"/>
                <w:color w:val="000000"/>
                <w:spacing w:val="-1"/>
                <w:sz w:val="22"/>
                <w:szCs w:val="22"/>
                <w:lang w:val="es-ES"/>
              </w:rPr>
              <w:t>his</w:t>
            </w:r>
            <w:proofErr w:type="spellEnd"/>
            <w:r>
              <w:rPr>
                <w:rFonts w:eastAsia="Palatino Linotype"/>
                <w:color w:val="000000"/>
                <w:spacing w:val="-1"/>
                <w:sz w:val="22"/>
                <w:szCs w:val="22"/>
                <w:lang w:val="es-ES"/>
              </w:rPr>
              <w:t xml:space="preserve"> </w:t>
            </w:r>
            <w:proofErr w:type="spellStart"/>
            <w:r>
              <w:rPr>
                <w:rFonts w:eastAsia="Palatino Linotype"/>
                <w:color w:val="000000"/>
                <w:spacing w:val="-1"/>
                <w:sz w:val="22"/>
                <w:szCs w:val="22"/>
                <w:lang w:val="es-ES"/>
              </w:rPr>
              <w:t>own</w:t>
            </w:r>
            <w:proofErr w:type="spellEnd"/>
            <w:r>
              <w:rPr>
                <w:rFonts w:eastAsia="Palatino Linotype"/>
                <w:color w:val="000000"/>
                <w:spacing w:val="-1"/>
                <w:sz w:val="22"/>
                <w:szCs w:val="22"/>
                <w:lang w:val="es-ES"/>
              </w:rPr>
              <w:t xml:space="preserve"> </w:t>
            </w:r>
            <w:proofErr w:type="spellStart"/>
            <w:r>
              <w:rPr>
                <w:rFonts w:eastAsia="Palatino Linotype"/>
                <w:color w:val="000000"/>
                <w:spacing w:val="-1"/>
                <w:sz w:val="22"/>
                <w:szCs w:val="22"/>
                <w:lang w:val="es-ES"/>
              </w:rPr>
              <w:t>behalf</w:t>
            </w:r>
            <w:proofErr w:type="spellEnd"/>
            <w:r>
              <w:rPr>
                <w:rFonts w:eastAsia="Palatino Linotype"/>
                <w:color w:val="000000"/>
                <w:spacing w:val="-1"/>
                <w:sz w:val="22"/>
                <w:szCs w:val="22"/>
                <w:lang w:val="es-ES"/>
              </w:rPr>
              <w:t xml:space="preserve">, </w:t>
            </w:r>
            <w:proofErr w:type="spellStart"/>
            <w:r>
              <w:rPr>
                <w:rFonts w:eastAsia="Palatino Linotype"/>
                <w:color w:val="000000"/>
                <w:spacing w:val="-1"/>
                <w:sz w:val="22"/>
                <w:szCs w:val="22"/>
                <w:lang w:val="es-ES"/>
              </w:rPr>
              <w:t>or</w:t>
            </w:r>
            <w:proofErr w:type="spellEnd"/>
            <w:r>
              <w:rPr>
                <w:rFonts w:eastAsia="Palatino Linotype"/>
                <w:color w:val="000000"/>
                <w:spacing w:val="-1"/>
                <w:sz w:val="22"/>
                <w:szCs w:val="22"/>
                <w:lang w:val="es-ES"/>
              </w:rPr>
              <w:t xml:space="preserve"> </w:t>
            </w:r>
            <w:proofErr w:type="spellStart"/>
            <w:r>
              <w:rPr>
                <w:rFonts w:eastAsia="Palatino Linotype"/>
                <w:color w:val="000000"/>
                <w:spacing w:val="-1"/>
                <w:sz w:val="22"/>
                <w:szCs w:val="22"/>
                <w:lang w:val="es-ES"/>
              </w:rPr>
              <w:t>through</w:t>
            </w:r>
            <w:proofErr w:type="spellEnd"/>
            <w:r>
              <w:rPr>
                <w:rFonts w:eastAsia="Palatino Linotype"/>
                <w:color w:val="000000"/>
                <w:spacing w:val="-1"/>
                <w:sz w:val="22"/>
                <w:szCs w:val="22"/>
                <w:lang w:val="es-ES"/>
              </w:rPr>
              <w:t xml:space="preserve"> a representative.</w:t>
            </w:r>
          </w:p>
        </w:tc>
      </w:tr>
      <w:tr w:rsidR="00E255F4" w14:paraId="687E8142" w14:textId="77777777">
        <w:tc>
          <w:tcPr>
            <w:tcW w:w="730" w:type="dxa"/>
            <w:tcBorders>
              <w:top w:val="single" w:sz="4" w:space="0" w:color="000000"/>
              <w:left w:val="single" w:sz="4" w:space="0" w:color="000000"/>
              <w:bottom w:val="single" w:sz="4" w:space="0" w:color="000000"/>
              <w:right w:val="single" w:sz="4" w:space="0" w:color="000000"/>
            </w:tcBorders>
          </w:tcPr>
          <w:p w14:paraId="366C9479" w14:textId="77777777" w:rsidR="00E255F4" w:rsidRDefault="00000000">
            <w:pPr>
              <w:ind w:right="-36"/>
              <w:rPr>
                <w:rFonts w:eastAsia="Palatino Linotype"/>
                <w:b/>
                <w:sz w:val="22"/>
                <w:szCs w:val="24"/>
                <w:lang w:val="es-ES"/>
              </w:rPr>
            </w:pPr>
            <w:r>
              <w:rPr>
                <w:rFonts w:eastAsia="Palatino Linotype"/>
                <w:b/>
                <w:sz w:val="22"/>
                <w:szCs w:val="22"/>
                <w:lang w:val="es-ES"/>
              </w:rPr>
              <w:t>9.1a)</w:t>
            </w:r>
          </w:p>
        </w:tc>
        <w:tc>
          <w:tcPr>
            <w:tcW w:w="9048" w:type="dxa"/>
            <w:tcBorders>
              <w:top w:val="single" w:sz="4" w:space="0" w:color="000000"/>
              <w:left w:val="single" w:sz="4" w:space="0" w:color="000000"/>
              <w:bottom w:val="single" w:sz="4" w:space="0" w:color="000000"/>
              <w:right w:val="single" w:sz="4" w:space="0" w:color="000000"/>
            </w:tcBorders>
          </w:tcPr>
          <w:p w14:paraId="7E88C7A9" w14:textId="77777777" w:rsidR="00E255F4" w:rsidRDefault="00000000">
            <w:pPr>
              <w:ind w:right="-36"/>
              <w:rPr>
                <w:rFonts w:eastAsia="Palatino Linotype"/>
                <w:b/>
                <w:spacing w:val="-1"/>
                <w:sz w:val="22"/>
                <w:szCs w:val="22"/>
                <w:lang w:val="es-ES"/>
              </w:rPr>
            </w:pPr>
            <w:proofErr w:type="spellStart"/>
            <w:r>
              <w:rPr>
                <w:rFonts w:eastAsia="Palatino Linotype"/>
                <w:b/>
                <w:spacing w:val="-1"/>
                <w:sz w:val="22"/>
                <w:szCs w:val="22"/>
                <w:lang w:val="es-ES"/>
              </w:rPr>
              <w:t>Documents</w:t>
            </w:r>
            <w:proofErr w:type="spellEnd"/>
            <w:r>
              <w:rPr>
                <w:rFonts w:eastAsia="Palatino Linotype"/>
                <w:b/>
                <w:spacing w:val="-1"/>
                <w:sz w:val="22"/>
                <w:szCs w:val="22"/>
                <w:lang w:val="es-ES"/>
              </w:rPr>
              <w:t xml:space="preserve"> </w:t>
            </w:r>
            <w:proofErr w:type="spellStart"/>
            <w:r>
              <w:rPr>
                <w:rFonts w:eastAsia="Palatino Linotype"/>
                <w:b/>
                <w:spacing w:val="-1"/>
                <w:sz w:val="22"/>
                <w:szCs w:val="22"/>
                <w:lang w:val="es-ES"/>
              </w:rPr>
              <w:t>included</w:t>
            </w:r>
            <w:proofErr w:type="spellEnd"/>
            <w:r>
              <w:rPr>
                <w:rFonts w:eastAsia="Palatino Linotype"/>
                <w:b/>
                <w:spacing w:val="-1"/>
                <w:sz w:val="22"/>
                <w:szCs w:val="22"/>
                <w:lang w:val="es-ES"/>
              </w:rPr>
              <w:t xml:space="preserve"> in </w:t>
            </w:r>
            <w:proofErr w:type="spellStart"/>
            <w:r>
              <w:rPr>
                <w:rFonts w:eastAsia="Palatino Linotype"/>
                <w:b/>
                <w:spacing w:val="-1"/>
                <w:sz w:val="22"/>
                <w:szCs w:val="22"/>
                <w:lang w:val="es-ES"/>
              </w:rPr>
              <w:t>the</w:t>
            </w:r>
            <w:proofErr w:type="spellEnd"/>
            <w:r>
              <w:rPr>
                <w:rFonts w:eastAsia="Palatino Linotype"/>
                <w:b/>
                <w:spacing w:val="-1"/>
                <w:sz w:val="22"/>
                <w:szCs w:val="22"/>
                <w:lang w:val="es-ES"/>
              </w:rPr>
              <w:t xml:space="preserve"> </w:t>
            </w:r>
            <w:proofErr w:type="spellStart"/>
            <w:r>
              <w:rPr>
                <w:rFonts w:eastAsia="Palatino Linotype"/>
                <w:b/>
                <w:spacing w:val="-1"/>
                <w:sz w:val="22"/>
                <w:szCs w:val="22"/>
                <w:lang w:val="es-ES"/>
              </w:rPr>
              <w:t>offer</w:t>
            </w:r>
            <w:proofErr w:type="spellEnd"/>
          </w:p>
          <w:p w14:paraId="60609933" w14:textId="77777777" w:rsidR="00E255F4" w:rsidRDefault="00000000">
            <w:pPr>
              <w:spacing w:after="120"/>
              <w:ind w:right="-34"/>
              <w:rPr>
                <w:rFonts w:eastAsia="Palatino Linotype"/>
                <w:spacing w:val="-1"/>
                <w:sz w:val="22"/>
                <w:szCs w:val="22"/>
                <w:lang w:val="es-ES"/>
              </w:rPr>
            </w:pPr>
            <w:proofErr w:type="spellStart"/>
            <w:r>
              <w:rPr>
                <w:rFonts w:eastAsia="Palatino Linotype"/>
                <w:spacing w:val="-1"/>
                <w:sz w:val="22"/>
                <w:szCs w:val="22"/>
                <w:lang w:val="es-ES"/>
              </w:rPr>
              <w:t>It</w:t>
            </w:r>
            <w:proofErr w:type="spellEnd"/>
            <w:r>
              <w:rPr>
                <w:rFonts w:eastAsia="Palatino Linotype"/>
                <w:spacing w:val="-1"/>
                <w:sz w:val="22"/>
                <w:szCs w:val="22"/>
                <w:lang w:val="es-ES"/>
              </w:rPr>
              <w:t xml:space="preserve"> </w:t>
            </w:r>
            <w:proofErr w:type="spellStart"/>
            <w:r>
              <w:rPr>
                <w:rFonts w:eastAsia="Palatino Linotype"/>
                <w:spacing w:val="-1"/>
                <w:sz w:val="22"/>
                <w:szCs w:val="22"/>
                <w:lang w:val="es-ES"/>
              </w:rPr>
              <w:t>is</w:t>
            </w:r>
            <w:proofErr w:type="spellEnd"/>
            <w:r>
              <w:rPr>
                <w:rFonts w:eastAsia="Palatino Linotype"/>
                <w:spacing w:val="-1"/>
                <w:sz w:val="22"/>
                <w:szCs w:val="22"/>
                <w:lang w:val="es-ES"/>
              </w:rPr>
              <w:t xml:space="preserve"> </w:t>
            </w:r>
            <w:proofErr w:type="spellStart"/>
            <w:r>
              <w:rPr>
                <w:rFonts w:eastAsia="Palatino Linotype"/>
                <w:spacing w:val="-1"/>
                <w:sz w:val="22"/>
                <w:szCs w:val="22"/>
                <w:lang w:val="es-ES"/>
              </w:rPr>
              <w:t>added</w:t>
            </w:r>
            <w:proofErr w:type="spellEnd"/>
            <w:r>
              <w:rPr>
                <w:rFonts w:eastAsia="Palatino Linotype"/>
                <w:spacing w:val="-1"/>
                <w:sz w:val="22"/>
                <w:szCs w:val="22"/>
                <w:lang w:val="es-ES"/>
              </w:rPr>
              <w:t>:</w:t>
            </w:r>
          </w:p>
          <w:p w14:paraId="74E22EA3" w14:textId="77777777" w:rsidR="00E255F4" w:rsidRDefault="00000000">
            <w:pPr>
              <w:pStyle w:val="Default"/>
              <w:numPr>
                <w:ilvl w:val="0"/>
                <w:numId w:val="22"/>
              </w:numPr>
              <w:spacing w:after="120"/>
              <w:rPr>
                <w:rFonts w:ascii="Times New Roman" w:hAnsi="Times New Roman" w:cs="Times New Roman"/>
                <w:sz w:val="22"/>
                <w:szCs w:val="22"/>
              </w:rPr>
            </w:pPr>
            <w:proofErr w:type="spellStart"/>
            <w:r>
              <w:rPr>
                <w:rFonts w:ascii="Times New Roman" w:hAnsi="Times New Roman" w:cs="Times New Roman"/>
                <w:b/>
                <w:bCs/>
                <w:sz w:val="22"/>
                <w:szCs w:val="22"/>
              </w:rPr>
              <w:t>Profile</w:t>
            </w:r>
            <w:proofErr w:type="spellEnd"/>
            <w:r>
              <w:rPr>
                <w:rFonts w:ascii="Times New Roman" w:hAnsi="Times New Roman" w:cs="Times New Roman"/>
                <w:b/>
                <w:bCs/>
                <w:sz w:val="22"/>
                <w:szCs w:val="22"/>
              </w:rPr>
              <w:t xml:space="preserve"> </w:t>
            </w:r>
            <w:proofErr w:type="spellStart"/>
            <w:r>
              <w:rPr>
                <w:rFonts w:ascii="Times New Roman" w:hAnsi="Times New Roman" w:cs="Times New Roman"/>
                <w:b/>
                <w:bCs/>
                <w:sz w:val="22"/>
                <w:szCs w:val="22"/>
              </w:rPr>
              <w:t>andbackground</w:t>
            </w:r>
            <w:proofErr w:type="spellEnd"/>
            <w:r>
              <w:rPr>
                <w:rFonts w:ascii="Times New Roman" w:hAnsi="Times New Roman" w:cs="Times New Roman"/>
                <w:b/>
                <w:bCs/>
                <w:sz w:val="22"/>
                <w:szCs w:val="22"/>
              </w:rPr>
              <w:t xml:space="preserve"> </w:t>
            </w:r>
            <w:proofErr w:type="spellStart"/>
            <w:r>
              <w:rPr>
                <w:rFonts w:ascii="Times New Roman" w:hAnsi="Times New Roman" w:cs="Times New Roman"/>
                <w:b/>
                <w:bCs/>
                <w:sz w:val="22"/>
                <w:szCs w:val="22"/>
              </w:rPr>
              <w:t>of</w:t>
            </w:r>
            <w:proofErr w:type="spellEnd"/>
            <w:r>
              <w:rPr>
                <w:rFonts w:ascii="Times New Roman" w:hAnsi="Times New Roman" w:cs="Times New Roman"/>
                <w:b/>
                <w:bCs/>
                <w:sz w:val="22"/>
                <w:szCs w:val="22"/>
              </w:rPr>
              <w:t xml:space="preserve"> </w:t>
            </w:r>
            <w:proofErr w:type="spellStart"/>
            <w:r>
              <w:rPr>
                <w:rFonts w:ascii="Times New Roman" w:hAnsi="Times New Roman" w:cs="Times New Roman"/>
                <w:b/>
                <w:bCs/>
                <w:sz w:val="22"/>
                <w:szCs w:val="22"/>
              </w:rPr>
              <w:t>the</w:t>
            </w:r>
            <w:proofErr w:type="spellEnd"/>
            <w:r>
              <w:rPr>
                <w:rFonts w:ascii="Times New Roman" w:hAnsi="Times New Roman" w:cs="Times New Roman"/>
                <w:b/>
                <w:bCs/>
                <w:sz w:val="22"/>
                <w:szCs w:val="22"/>
              </w:rPr>
              <w:t xml:space="preserve"> </w:t>
            </w:r>
            <w:proofErr w:type="spellStart"/>
            <w:r>
              <w:rPr>
                <w:rFonts w:ascii="Times New Roman" w:hAnsi="Times New Roman" w:cs="Times New Roman"/>
                <w:b/>
                <w:bCs/>
                <w:sz w:val="22"/>
                <w:szCs w:val="22"/>
              </w:rPr>
              <w:t>bidder</w:t>
            </w:r>
            <w:proofErr w:type="spellEnd"/>
            <w:r>
              <w:rPr>
                <w:rFonts w:ascii="Times New Roman" w:hAnsi="Times New Roman" w:cs="Times New Roman"/>
                <w:bCs/>
                <w:sz w:val="22"/>
                <w:szCs w:val="22"/>
              </w:rPr>
              <w:t>:</w:t>
            </w:r>
          </w:p>
          <w:p w14:paraId="24241FBF" w14:textId="77777777" w:rsidR="00E255F4" w:rsidRDefault="00000000">
            <w:pPr>
              <w:pStyle w:val="Default"/>
              <w:numPr>
                <w:ilvl w:val="0"/>
                <w:numId w:val="40"/>
              </w:numPr>
              <w:spacing w:after="120"/>
              <w:ind w:left="561" w:hanging="284"/>
              <w:jc w:val="both"/>
              <w:rPr>
                <w:rFonts w:ascii="Times New Roman" w:hAnsi="Times New Roman" w:cs="Times New Roman"/>
                <w:sz w:val="22"/>
                <w:szCs w:val="22"/>
              </w:rPr>
            </w:pPr>
            <w:r>
              <w:rPr>
                <w:rFonts w:ascii="Times New Roman" w:hAnsi="Times New Roman" w:cs="Times New Roman"/>
                <w:sz w:val="22"/>
                <w:szCs w:val="22"/>
              </w:rPr>
              <w:t xml:space="preserve">The </w:t>
            </w:r>
            <w:proofErr w:type="spellStart"/>
            <w:r>
              <w:rPr>
                <w:rFonts w:ascii="Times New Roman" w:hAnsi="Times New Roman" w:cs="Times New Roman"/>
                <w:sz w:val="22"/>
                <w:szCs w:val="22"/>
              </w:rPr>
              <w:t>bidder</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will</w:t>
            </w:r>
            <w:proofErr w:type="spellEnd"/>
            <w:r>
              <w:rPr>
                <w:rFonts w:ascii="Times New Roman" w:hAnsi="Times New Roman" w:cs="Times New Roman"/>
                <w:sz w:val="22"/>
                <w:szCs w:val="22"/>
              </w:rPr>
              <w:t xml:space="preserve"> be a </w:t>
            </w:r>
            <w:proofErr w:type="spellStart"/>
            <w:r>
              <w:rPr>
                <w:rFonts w:ascii="Times New Roman" w:hAnsi="Times New Roman" w:cs="Times New Roman"/>
                <w:sz w:val="22"/>
                <w:szCs w:val="22"/>
              </w:rPr>
              <w:t>company</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that</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must</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have</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experience</w:t>
            </w:r>
            <w:proofErr w:type="spellEnd"/>
            <w:r>
              <w:rPr>
                <w:rFonts w:ascii="Times New Roman" w:hAnsi="Times New Roman" w:cs="Times New Roman"/>
                <w:sz w:val="22"/>
                <w:szCs w:val="22"/>
              </w:rPr>
              <w:t xml:space="preserve"> in </w:t>
            </w:r>
            <w:proofErr w:type="spellStart"/>
            <w:r>
              <w:rPr>
                <w:rFonts w:ascii="Times New Roman" w:hAnsi="Times New Roman" w:cs="Times New Roman"/>
                <w:sz w:val="22"/>
                <w:szCs w:val="22"/>
              </w:rPr>
              <w:t>the</w:t>
            </w:r>
            <w:proofErr w:type="spellEnd"/>
            <w:r>
              <w:rPr>
                <w:rFonts w:ascii="Times New Roman" w:hAnsi="Times New Roman" w:cs="Times New Roman"/>
                <w:sz w:val="22"/>
                <w:szCs w:val="22"/>
              </w:rPr>
              <w:t xml:space="preserve"> sale </w:t>
            </w:r>
            <w:proofErr w:type="spellStart"/>
            <w:r>
              <w:rPr>
                <w:rFonts w:ascii="Times New Roman" w:hAnsi="Times New Roman" w:cs="Times New Roman"/>
                <w:sz w:val="22"/>
                <w:szCs w:val="22"/>
              </w:rPr>
              <w:t>of</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goods</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or</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goods</w:t>
            </w:r>
            <w:proofErr w:type="spellEnd"/>
            <w:r>
              <w:rPr>
                <w:rFonts w:ascii="Times New Roman" w:hAnsi="Times New Roman" w:cs="Times New Roman"/>
                <w:sz w:val="22"/>
                <w:szCs w:val="22"/>
              </w:rPr>
              <w:t xml:space="preserve"> and </w:t>
            </w:r>
            <w:proofErr w:type="spellStart"/>
            <w:r>
              <w:rPr>
                <w:rFonts w:ascii="Times New Roman" w:hAnsi="Times New Roman" w:cs="Times New Roman"/>
                <w:sz w:val="22"/>
                <w:szCs w:val="22"/>
              </w:rPr>
              <w:t>services</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of</w:t>
            </w:r>
            <w:proofErr w:type="spellEnd"/>
            <w:r>
              <w:rPr>
                <w:rFonts w:ascii="Times New Roman" w:hAnsi="Times New Roman" w:cs="Times New Roman"/>
                <w:sz w:val="22"/>
                <w:szCs w:val="22"/>
              </w:rPr>
              <w:t xml:space="preserve"> remote </w:t>
            </w:r>
            <w:proofErr w:type="spellStart"/>
            <w:r>
              <w:rPr>
                <w:rFonts w:ascii="Times New Roman" w:hAnsi="Times New Roman" w:cs="Times New Roman"/>
                <w:sz w:val="22"/>
                <w:szCs w:val="22"/>
              </w:rPr>
              <w:t>measurement</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systems</w:t>
            </w:r>
            <w:proofErr w:type="spellEnd"/>
            <w:r>
              <w:rPr>
                <w:rFonts w:ascii="Times New Roman" w:hAnsi="Times New Roman" w:cs="Times New Roman"/>
                <w:sz w:val="22"/>
                <w:szCs w:val="22"/>
              </w:rPr>
              <w:t>.</w:t>
            </w:r>
          </w:p>
          <w:p w14:paraId="18E2B808" w14:textId="77777777" w:rsidR="00E255F4" w:rsidRDefault="00000000">
            <w:pPr>
              <w:pStyle w:val="Default"/>
              <w:spacing w:after="120"/>
              <w:ind w:left="561"/>
              <w:jc w:val="both"/>
            </w:pPr>
            <w:r>
              <w:rPr>
                <w:rFonts w:ascii="Times New Roman" w:hAnsi="Times New Roman" w:cs="Times New Roman"/>
                <w:sz w:val="22"/>
                <w:szCs w:val="22"/>
              </w:rPr>
              <w:t xml:space="preserve">For </w:t>
            </w:r>
            <w:proofErr w:type="spellStart"/>
            <w:r>
              <w:rPr>
                <w:rFonts w:ascii="Times New Roman" w:hAnsi="Times New Roman" w:cs="Times New Roman"/>
                <w:sz w:val="22"/>
                <w:szCs w:val="22"/>
              </w:rPr>
              <w:t>item</w:t>
            </w:r>
            <w:proofErr w:type="spellEnd"/>
            <w:r>
              <w:rPr>
                <w:rFonts w:ascii="Times New Roman" w:hAnsi="Times New Roman" w:cs="Times New Roman"/>
                <w:sz w:val="22"/>
                <w:szCs w:val="22"/>
              </w:rPr>
              <w:t xml:space="preserve"> 1, </w:t>
            </w:r>
            <w:proofErr w:type="spellStart"/>
            <w:r>
              <w:rPr>
                <w:rFonts w:ascii="Times New Roman" w:hAnsi="Times New Roman" w:cs="Times New Roman"/>
                <w:sz w:val="22"/>
                <w:szCs w:val="22"/>
              </w:rPr>
              <w:t>the</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information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must</w:t>
            </w:r>
            <w:proofErr w:type="spellEnd"/>
            <w:r>
              <w:rPr>
                <w:rFonts w:ascii="Times New Roman" w:hAnsi="Times New Roman" w:cs="Times New Roman"/>
                <w:sz w:val="22"/>
                <w:szCs w:val="22"/>
              </w:rPr>
              <w:t xml:space="preserve"> be </w:t>
            </w:r>
            <w:proofErr w:type="spellStart"/>
            <w:r>
              <w:rPr>
                <w:rFonts w:ascii="Times New Roman" w:hAnsi="Times New Roman" w:cs="Times New Roman"/>
                <w:sz w:val="22"/>
                <w:szCs w:val="22"/>
              </w:rPr>
              <w:t>submitted</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by</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completing</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the</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Bidder's</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Experience</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form</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Annex</w:t>
            </w:r>
            <w:proofErr w:type="spellEnd"/>
            <w:r>
              <w:rPr>
                <w:rFonts w:ascii="Times New Roman" w:hAnsi="Times New Roman" w:cs="Times New Roman"/>
                <w:sz w:val="22"/>
                <w:szCs w:val="22"/>
              </w:rPr>
              <w:t xml:space="preserve"> VI) and be </w:t>
            </w:r>
            <w:proofErr w:type="spellStart"/>
            <w:r>
              <w:rPr>
                <w:rFonts w:ascii="Times New Roman" w:hAnsi="Times New Roman" w:cs="Times New Roman"/>
                <w:sz w:val="22"/>
                <w:szCs w:val="22"/>
              </w:rPr>
              <w:t>accredited</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by</w:t>
            </w:r>
            <w:proofErr w:type="spellEnd"/>
            <w:r>
              <w:rPr>
                <w:rFonts w:ascii="Times New Roman" w:hAnsi="Times New Roman" w:cs="Times New Roman"/>
                <w:sz w:val="22"/>
                <w:szCs w:val="22"/>
              </w:rPr>
              <w:t xml:space="preserve"> a </w:t>
            </w:r>
            <w:proofErr w:type="spellStart"/>
            <w:r>
              <w:rPr>
                <w:rFonts w:ascii="Times New Roman" w:hAnsi="Times New Roman" w:cs="Times New Roman"/>
                <w:sz w:val="22"/>
                <w:szCs w:val="22"/>
              </w:rPr>
              <w:t>receipt</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issued</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by</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the</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client</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public</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or</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private</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with</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clarification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by</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the</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same</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that</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the</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delivery</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was</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fulfilled</w:t>
            </w:r>
            <w:proofErr w:type="spellEnd"/>
            <w:r>
              <w:rPr>
                <w:rFonts w:ascii="Times New Roman" w:hAnsi="Times New Roman" w:cs="Times New Roman"/>
                <w:sz w:val="22"/>
                <w:szCs w:val="22"/>
              </w:rPr>
              <w:t xml:space="preserve"> in </w:t>
            </w:r>
            <w:proofErr w:type="spellStart"/>
            <w:r>
              <w:rPr>
                <w:rFonts w:ascii="Times New Roman" w:hAnsi="Times New Roman" w:cs="Times New Roman"/>
                <w:sz w:val="22"/>
                <w:szCs w:val="22"/>
              </w:rPr>
              <w:t>accordance</w:t>
            </w:r>
            <w:proofErr w:type="spellEnd"/>
            <w:r>
              <w:rPr>
                <w:rFonts w:ascii="Times New Roman" w:hAnsi="Times New Roman" w:cs="Times New Roman"/>
                <w:sz w:val="22"/>
                <w:szCs w:val="22"/>
              </w:rPr>
              <w:t>.</w:t>
            </w:r>
          </w:p>
          <w:p w14:paraId="4CBAD5FC" w14:textId="77777777" w:rsidR="00E255F4" w:rsidRDefault="00000000">
            <w:pPr>
              <w:pStyle w:val="Default"/>
              <w:spacing w:after="120"/>
              <w:ind w:left="561"/>
              <w:jc w:val="both"/>
            </w:pPr>
            <w:r>
              <w:rPr>
                <w:rFonts w:ascii="Times New Roman" w:hAnsi="Times New Roman" w:cs="Times New Roman"/>
                <w:sz w:val="22"/>
                <w:szCs w:val="22"/>
              </w:rPr>
              <w:t xml:space="preserve">The </w:t>
            </w:r>
            <w:proofErr w:type="spellStart"/>
            <w:r>
              <w:rPr>
                <w:rFonts w:ascii="Times New Roman" w:hAnsi="Times New Roman" w:cs="Times New Roman"/>
                <w:sz w:val="22"/>
                <w:szCs w:val="22"/>
              </w:rPr>
              <w:t>accreditation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mentioned</w:t>
            </w:r>
            <w:proofErr w:type="spellEnd"/>
            <w:r>
              <w:rPr>
                <w:rFonts w:ascii="Times New Roman" w:hAnsi="Times New Roman" w:cs="Times New Roman"/>
                <w:sz w:val="22"/>
                <w:szCs w:val="22"/>
              </w:rPr>
              <w:t xml:space="preserve"> in </w:t>
            </w:r>
            <w:proofErr w:type="spellStart"/>
            <w:r>
              <w:rPr>
                <w:rFonts w:ascii="Times New Roman" w:hAnsi="Times New Roman" w:cs="Times New Roman"/>
                <w:sz w:val="22"/>
                <w:szCs w:val="22"/>
              </w:rPr>
              <w:t>the</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previous</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paragraph</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will</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not</w:t>
            </w:r>
            <w:proofErr w:type="spellEnd"/>
            <w:r>
              <w:rPr>
                <w:rFonts w:ascii="Times New Roman" w:hAnsi="Times New Roman" w:cs="Times New Roman"/>
                <w:sz w:val="22"/>
                <w:szCs w:val="22"/>
              </w:rPr>
              <w:t xml:space="preserve"> be </w:t>
            </w:r>
            <w:proofErr w:type="spellStart"/>
            <w:r>
              <w:rPr>
                <w:rFonts w:ascii="Times New Roman" w:hAnsi="Times New Roman" w:cs="Times New Roman"/>
                <w:sz w:val="22"/>
                <w:szCs w:val="22"/>
              </w:rPr>
              <w:t>necessary</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insofar</w:t>
            </w:r>
            <w:proofErr w:type="spellEnd"/>
            <w:r>
              <w:rPr>
                <w:rFonts w:ascii="Times New Roman" w:hAnsi="Times New Roman" w:cs="Times New Roman"/>
                <w:sz w:val="22"/>
                <w:szCs w:val="22"/>
              </w:rPr>
              <w:t xml:space="preserve"> as </w:t>
            </w:r>
            <w:proofErr w:type="spellStart"/>
            <w:r>
              <w:rPr>
                <w:rFonts w:ascii="Times New Roman" w:hAnsi="Times New Roman" w:cs="Times New Roman"/>
                <w:sz w:val="22"/>
                <w:szCs w:val="22"/>
              </w:rPr>
              <w:t>the</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provisions</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refer</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to</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contracts</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with</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the</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Administration</w:t>
            </w:r>
            <w:proofErr w:type="spellEnd"/>
            <w:r>
              <w:rPr>
                <w:rFonts w:ascii="Times New Roman" w:hAnsi="Times New Roman" w:cs="Times New Roman"/>
                <w:sz w:val="22"/>
                <w:szCs w:val="22"/>
              </w:rPr>
              <w:t xml:space="preserve"> and </w:t>
            </w:r>
            <w:proofErr w:type="spellStart"/>
            <w:r>
              <w:rPr>
                <w:rFonts w:ascii="Times New Roman" w:hAnsi="Times New Roman" w:cs="Times New Roman"/>
                <w:sz w:val="22"/>
                <w:szCs w:val="22"/>
              </w:rPr>
              <w:t>declared</w:t>
            </w:r>
            <w:proofErr w:type="spellEnd"/>
            <w:r>
              <w:rPr>
                <w:rFonts w:ascii="Times New Roman" w:hAnsi="Times New Roman" w:cs="Times New Roman"/>
                <w:sz w:val="22"/>
                <w:szCs w:val="22"/>
              </w:rPr>
              <w:t xml:space="preserve"> in </w:t>
            </w:r>
            <w:proofErr w:type="spellStart"/>
            <w:r>
              <w:rPr>
                <w:rFonts w:ascii="Times New Roman" w:hAnsi="Times New Roman" w:cs="Times New Roman"/>
                <w:sz w:val="22"/>
                <w:szCs w:val="22"/>
              </w:rPr>
              <w:t>the</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bidder's</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Experience</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form</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Annex</w:t>
            </w:r>
            <w:proofErr w:type="spellEnd"/>
            <w:r>
              <w:rPr>
                <w:rFonts w:ascii="Times New Roman" w:hAnsi="Times New Roman" w:cs="Times New Roman"/>
                <w:sz w:val="22"/>
                <w:szCs w:val="22"/>
              </w:rPr>
              <w:t xml:space="preserve"> VI).</w:t>
            </w:r>
          </w:p>
          <w:p w14:paraId="36AFFE89" w14:textId="77777777" w:rsidR="00E255F4" w:rsidRDefault="00000000">
            <w:pPr>
              <w:pStyle w:val="Default"/>
              <w:numPr>
                <w:ilvl w:val="0"/>
                <w:numId w:val="40"/>
              </w:numPr>
              <w:spacing w:after="120"/>
              <w:ind w:left="561" w:hanging="284"/>
              <w:jc w:val="both"/>
            </w:pPr>
            <w:proofErr w:type="spellStart"/>
            <w:r>
              <w:rPr>
                <w:rFonts w:ascii="Times New Roman" w:hAnsi="Times New Roman" w:cs="Times New Roman"/>
                <w:sz w:val="22"/>
                <w:szCs w:val="22"/>
              </w:rPr>
              <w:t>If</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the</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bidder</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is</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the</w:t>
            </w:r>
            <w:proofErr w:type="spellEnd"/>
            <w:r>
              <w:rPr>
                <w:rFonts w:ascii="Times New Roman" w:hAnsi="Times New Roman" w:cs="Times New Roman"/>
                <w:sz w:val="22"/>
                <w:szCs w:val="22"/>
              </w:rPr>
              <w:t xml:space="preserve"> local (Uruguay) </w:t>
            </w:r>
            <w:proofErr w:type="spellStart"/>
            <w:r>
              <w:rPr>
                <w:rFonts w:ascii="Times New Roman" w:hAnsi="Times New Roman" w:cs="Times New Roman"/>
                <w:sz w:val="22"/>
                <w:szCs w:val="22"/>
              </w:rPr>
              <w:t>commercial</w:t>
            </w:r>
            <w:proofErr w:type="spellEnd"/>
            <w:r>
              <w:rPr>
                <w:rFonts w:ascii="Times New Roman" w:hAnsi="Times New Roman" w:cs="Times New Roman"/>
                <w:sz w:val="22"/>
                <w:szCs w:val="22"/>
              </w:rPr>
              <w:t xml:space="preserve"> representative </w:t>
            </w:r>
            <w:proofErr w:type="spellStart"/>
            <w:r>
              <w:rPr>
                <w:rFonts w:ascii="Times New Roman" w:hAnsi="Times New Roman" w:cs="Times New Roman"/>
                <w:sz w:val="22"/>
                <w:szCs w:val="22"/>
              </w:rPr>
              <w:t>of</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the</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offered</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supply</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or</w:t>
            </w:r>
            <w:proofErr w:type="spellEnd"/>
            <w:r>
              <w:rPr>
                <w:rFonts w:ascii="Times New Roman" w:hAnsi="Times New Roman" w:cs="Times New Roman"/>
                <w:sz w:val="22"/>
                <w:szCs w:val="22"/>
              </w:rPr>
              <w:t xml:space="preserve"> regional </w:t>
            </w:r>
            <w:proofErr w:type="spellStart"/>
            <w:r>
              <w:rPr>
                <w:rFonts w:ascii="Times New Roman" w:hAnsi="Times New Roman" w:cs="Times New Roman"/>
                <w:sz w:val="22"/>
                <w:szCs w:val="22"/>
              </w:rPr>
              <w:t>if</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there</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is</w:t>
            </w:r>
            <w:proofErr w:type="spellEnd"/>
            <w:r>
              <w:rPr>
                <w:rFonts w:ascii="Times New Roman" w:hAnsi="Times New Roman" w:cs="Times New Roman"/>
                <w:sz w:val="22"/>
                <w:szCs w:val="22"/>
              </w:rPr>
              <w:t xml:space="preserve"> no </w:t>
            </w:r>
            <w:proofErr w:type="spellStart"/>
            <w:r>
              <w:rPr>
                <w:rFonts w:ascii="Times New Roman" w:hAnsi="Times New Roman" w:cs="Times New Roman"/>
                <w:sz w:val="22"/>
                <w:szCs w:val="22"/>
              </w:rPr>
              <w:t>national</w:t>
            </w:r>
            <w:proofErr w:type="spellEnd"/>
            <w:r>
              <w:rPr>
                <w:rFonts w:ascii="Times New Roman" w:hAnsi="Times New Roman" w:cs="Times New Roman"/>
                <w:sz w:val="22"/>
                <w:szCs w:val="22"/>
              </w:rPr>
              <w:t xml:space="preserve"> representative), a </w:t>
            </w:r>
            <w:proofErr w:type="spellStart"/>
            <w:r>
              <w:rPr>
                <w:rFonts w:ascii="Times New Roman" w:hAnsi="Times New Roman" w:cs="Times New Roman"/>
                <w:sz w:val="22"/>
                <w:szCs w:val="22"/>
              </w:rPr>
              <w:t>letter</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from</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the</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manufacturer</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accrediting</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that</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designation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for</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each</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of</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the</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goods</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offered</w:t>
            </w:r>
            <w:proofErr w:type="spellEnd"/>
            <w:r>
              <w:rPr>
                <w:rFonts w:ascii="Times New Roman" w:hAnsi="Times New Roman" w:cs="Times New Roman"/>
                <w:sz w:val="22"/>
                <w:szCs w:val="22"/>
              </w:rPr>
              <w:t>.</w:t>
            </w:r>
          </w:p>
          <w:p w14:paraId="18C4AD61" w14:textId="77777777" w:rsidR="00E255F4" w:rsidRDefault="00000000">
            <w:pPr>
              <w:pStyle w:val="Default"/>
              <w:numPr>
                <w:ilvl w:val="0"/>
                <w:numId w:val="40"/>
              </w:numPr>
              <w:spacing w:after="120"/>
              <w:ind w:left="561" w:hanging="284"/>
              <w:jc w:val="both"/>
            </w:pPr>
            <w:r>
              <w:rPr>
                <w:rFonts w:ascii="Times New Roman" w:hAnsi="Times New Roman" w:cs="Times New Roman"/>
                <w:sz w:val="22"/>
                <w:szCs w:val="22"/>
              </w:rPr>
              <w:t xml:space="preserve">The </w:t>
            </w:r>
            <w:proofErr w:type="spellStart"/>
            <w:r>
              <w:rPr>
                <w:rFonts w:ascii="Times New Roman" w:hAnsi="Times New Roman" w:cs="Times New Roman"/>
                <w:sz w:val="22"/>
                <w:szCs w:val="22"/>
              </w:rPr>
              <w:t>bidder</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must</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indicate</w:t>
            </w:r>
            <w:proofErr w:type="spellEnd"/>
            <w:r>
              <w:rPr>
                <w:rFonts w:ascii="Times New Roman" w:hAnsi="Times New Roman" w:cs="Times New Roman"/>
                <w:sz w:val="22"/>
                <w:szCs w:val="22"/>
              </w:rPr>
              <w:t xml:space="preserve"> in </w:t>
            </w:r>
            <w:proofErr w:type="spellStart"/>
            <w:r>
              <w:rPr>
                <w:rFonts w:ascii="Times New Roman" w:hAnsi="Times New Roman" w:cs="Times New Roman"/>
                <w:sz w:val="22"/>
                <w:szCs w:val="22"/>
              </w:rPr>
              <w:t>the</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offer</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mentioning</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the</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name</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of</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the</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company</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its</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address</w:t>
            </w:r>
            <w:proofErr w:type="spellEnd"/>
            <w:r>
              <w:rPr>
                <w:rFonts w:ascii="Times New Roman" w:hAnsi="Times New Roman" w:cs="Times New Roman"/>
                <w:sz w:val="22"/>
                <w:szCs w:val="22"/>
              </w:rPr>
              <w:t xml:space="preserve"> and </w:t>
            </w:r>
            <w:proofErr w:type="spellStart"/>
            <w:r>
              <w:rPr>
                <w:rFonts w:ascii="Times New Roman" w:hAnsi="Times New Roman" w:cs="Times New Roman"/>
                <w:sz w:val="22"/>
                <w:szCs w:val="22"/>
              </w:rPr>
              <w:t>contact</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telephone</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number</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who</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will</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provide</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support</w:t>
            </w:r>
            <w:proofErr w:type="spellEnd"/>
            <w:r>
              <w:rPr>
                <w:rFonts w:ascii="Times New Roman" w:hAnsi="Times New Roman" w:cs="Times New Roman"/>
                <w:sz w:val="22"/>
                <w:szCs w:val="22"/>
              </w:rPr>
              <w:t xml:space="preserve"> and </w:t>
            </w:r>
            <w:proofErr w:type="spellStart"/>
            <w:r>
              <w:rPr>
                <w:rFonts w:ascii="Times New Roman" w:hAnsi="Times New Roman" w:cs="Times New Roman"/>
                <w:sz w:val="22"/>
                <w:szCs w:val="22"/>
              </w:rPr>
              <w:t>maintenance</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to</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each</w:t>
            </w:r>
            <w:proofErr w:type="spellEnd"/>
            <w:r>
              <w:rPr>
                <w:rFonts w:ascii="Times New Roman" w:hAnsi="Times New Roman" w:cs="Times New Roman"/>
                <w:sz w:val="22"/>
                <w:szCs w:val="22"/>
              </w:rPr>
              <w:t xml:space="preserve"> and </w:t>
            </w:r>
            <w:proofErr w:type="spellStart"/>
            <w:r>
              <w:rPr>
                <w:rFonts w:ascii="Times New Roman" w:hAnsi="Times New Roman" w:cs="Times New Roman"/>
                <w:sz w:val="22"/>
                <w:szCs w:val="22"/>
              </w:rPr>
              <w:t>every</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component</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of</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the</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System</w:t>
            </w:r>
            <w:proofErr w:type="spellEnd"/>
            <w:r>
              <w:rPr>
                <w:rFonts w:ascii="Times New Roman" w:hAnsi="Times New Roman" w:cs="Times New Roman"/>
                <w:sz w:val="22"/>
                <w:szCs w:val="22"/>
              </w:rPr>
              <w:t xml:space="preserve"> and </w:t>
            </w:r>
            <w:proofErr w:type="spellStart"/>
            <w:r>
              <w:rPr>
                <w:rFonts w:ascii="Times New Roman" w:hAnsi="Times New Roman" w:cs="Times New Roman"/>
                <w:sz w:val="22"/>
                <w:szCs w:val="22"/>
              </w:rPr>
              <w:t>the</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Telemetry</w:t>
            </w:r>
            <w:proofErr w:type="spellEnd"/>
            <w:r>
              <w:rPr>
                <w:rFonts w:ascii="Times New Roman" w:hAnsi="Times New Roman" w:cs="Times New Roman"/>
                <w:sz w:val="22"/>
                <w:szCs w:val="22"/>
              </w:rPr>
              <w:t xml:space="preserve"> Service in </w:t>
            </w:r>
            <w:proofErr w:type="spellStart"/>
            <w:r>
              <w:rPr>
                <w:rFonts w:ascii="Times New Roman" w:hAnsi="Times New Roman" w:cs="Times New Roman"/>
                <w:sz w:val="22"/>
                <w:szCs w:val="22"/>
              </w:rPr>
              <w:t>accordance</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with</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the</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requirements</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of</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Chapters</w:t>
            </w:r>
            <w:proofErr w:type="spellEnd"/>
            <w:r>
              <w:rPr>
                <w:rFonts w:ascii="Times New Roman" w:hAnsi="Times New Roman" w:cs="Times New Roman"/>
                <w:sz w:val="22"/>
                <w:szCs w:val="22"/>
              </w:rPr>
              <w:t xml:space="preserve"> 2 and 6 </w:t>
            </w:r>
            <w:proofErr w:type="spellStart"/>
            <w:r>
              <w:rPr>
                <w:rFonts w:ascii="Times New Roman" w:hAnsi="Times New Roman" w:cs="Times New Roman"/>
                <w:sz w:val="22"/>
                <w:szCs w:val="22"/>
              </w:rPr>
              <w:t>of</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Annex</w:t>
            </w:r>
            <w:proofErr w:type="spellEnd"/>
            <w:r>
              <w:rPr>
                <w:rFonts w:ascii="Times New Roman" w:hAnsi="Times New Roman" w:cs="Times New Roman"/>
                <w:sz w:val="22"/>
                <w:szCs w:val="22"/>
              </w:rPr>
              <w:t xml:space="preserve"> VII – </w:t>
            </w:r>
            <w:proofErr w:type="spellStart"/>
            <w:r>
              <w:rPr>
                <w:rFonts w:ascii="Times New Roman" w:hAnsi="Times New Roman" w:cs="Times New Roman"/>
                <w:sz w:val="22"/>
                <w:szCs w:val="22"/>
              </w:rPr>
              <w:t>Technical</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Specifications</w:t>
            </w:r>
            <w:proofErr w:type="spellEnd"/>
            <w:r>
              <w:rPr>
                <w:rFonts w:ascii="Times New Roman" w:hAnsi="Times New Roman" w:cs="Times New Roman"/>
                <w:sz w:val="22"/>
                <w:szCs w:val="22"/>
              </w:rPr>
              <w:t>.</w:t>
            </w:r>
          </w:p>
          <w:p w14:paraId="4C3C3363" w14:textId="77777777" w:rsidR="00E255F4" w:rsidRDefault="00000000">
            <w:pPr>
              <w:pStyle w:val="Default"/>
              <w:numPr>
                <w:ilvl w:val="0"/>
                <w:numId w:val="40"/>
              </w:numPr>
              <w:spacing w:after="120"/>
              <w:ind w:left="561" w:hanging="284"/>
              <w:jc w:val="both"/>
            </w:pPr>
            <w:r>
              <w:rPr>
                <w:rFonts w:ascii="Times New Roman" w:hAnsi="Times New Roman" w:cs="Times New Roman"/>
                <w:sz w:val="22"/>
                <w:szCs w:val="22"/>
              </w:rPr>
              <w:t xml:space="preserve">The </w:t>
            </w:r>
            <w:proofErr w:type="spellStart"/>
            <w:r>
              <w:rPr>
                <w:rFonts w:ascii="Times New Roman" w:hAnsi="Times New Roman" w:cs="Times New Roman"/>
                <w:sz w:val="22"/>
                <w:szCs w:val="22"/>
              </w:rPr>
              <w:t>bidder</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must</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have</w:t>
            </w:r>
            <w:proofErr w:type="spellEnd"/>
            <w:r>
              <w:rPr>
                <w:rFonts w:ascii="Times New Roman" w:hAnsi="Times New Roman" w:cs="Times New Roman"/>
                <w:sz w:val="22"/>
                <w:szCs w:val="22"/>
              </w:rPr>
              <w:t xml:space="preserve"> a local representative </w:t>
            </w:r>
            <w:proofErr w:type="spellStart"/>
            <w:r>
              <w:rPr>
                <w:rFonts w:ascii="Times New Roman" w:hAnsi="Times New Roman" w:cs="Times New Roman"/>
                <w:sz w:val="22"/>
                <w:szCs w:val="22"/>
              </w:rPr>
              <w:t>who</w:t>
            </w:r>
            <w:proofErr w:type="spellEnd"/>
            <w:r>
              <w:rPr>
                <w:rFonts w:ascii="Times New Roman" w:hAnsi="Times New Roman" w:cs="Times New Roman"/>
                <w:sz w:val="22"/>
                <w:szCs w:val="22"/>
              </w:rPr>
              <w:t xml:space="preserve"> can </w:t>
            </w:r>
            <w:proofErr w:type="spellStart"/>
            <w:r>
              <w:rPr>
                <w:rFonts w:ascii="Times New Roman" w:hAnsi="Times New Roman" w:cs="Times New Roman"/>
                <w:sz w:val="22"/>
                <w:szCs w:val="22"/>
              </w:rPr>
              <w:t>perform</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maintenance</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on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the</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supplied</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goods</w:t>
            </w:r>
            <w:proofErr w:type="spellEnd"/>
            <w:r>
              <w:rPr>
                <w:rFonts w:ascii="Times New Roman" w:hAnsi="Times New Roman" w:cs="Times New Roman"/>
                <w:sz w:val="22"/>
                <w:szCs w:val="22"/>
              </w:rPr>
              <w:t xml:space="preserve">, as </w:t>
            </w:r>
            <w:proofErr w:type="spellStart"/>
            <w:r>
              <w:rPr>
                <w:rFonts w:ascii="Times New Roman" w:hAnsi="Times New Roman" w:cs="Times New Roman"/>
                <w:sz w:val="22"/>
                <w:szCs w:val="22"/>
              </w:rPr>
              <w:t>well</w:t>
            </w:r>
            <w:proofErr w:type="spellEnd"/>
            <w:r>
              <w:rPr>
                <w:rFonts w:ascii="Times New Roman" w:hAnsi="Times New Roman" w:cs="Times New Roman"/>
                <w:sz w:val="22"/>
                <w:szCs w:val="22"/>
              </w:rPr>
              <w:t xml:space="preserve"> as </w:t>
            </w:r>
            <w:proofErr w:type="spellStart"/>
            <w:r>
              <w:rPr>
                <w:rFonts w:ascii="Times New Roman" w:hAnsi="Times New Roman" w:cs="Times New Roman"/>
                <w:sz w:val="22"/>
                <w:szCs w:val="22"/>
              </w:rPr>
              <w:t>the</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installed</w:t>
            </w:r>
            <w:proofErr w:type="spellEnd"/>
            <w:r>
              <w:rPr>
                <w:rFonts w:ascii="Times New Roman" w:hAnsi="Times New Roman" w:cs="Times New Roman"/>
                <w:sz w:val="22"/>
                <w:szCs w:val="22"/>
              </w:rPr>
              <w:t xml:space="preserve"> software, in </w:t>
            </w:r>
            <w:proofErr w:type="spellStart"/>
            <w:r>
              <w:rPr>
                <w:rFonts w:ascii="Times New Roman" w:hAnsi="Times New Roman" w:cs="Times New Roman"/>
                <w:sz w:val="22"/>
                <w:szCs w:val="22"/>
              </w:rPr>
              <w:t>accordance</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with</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the</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requirements</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of</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Chapter</w:t>
            </w:r>
            <w:proofErr w:type="spellEnd"/>
            <w:r>
              <w:rPr>
                <w:rFonts w:ascii="Times New Roman" w:hAnsi="Times New Roman" w:cs="Times New Roman"/>
                <w:sz w:val="22"/>
                <w:szCs w:val="22"/>
              </w:rPr>
              <w:t xml:space="preserve"> 6 </w:t>
            </w:r>
            <w:proofErr w:type="spellStart"/>
            <w:r>
              <w:rPr>
                <w:rFonts w:ascii="Times New Roman" w:hAnsi="Times New Roman" w:cs="Times New Roman"/>
                <w:sz w:val="22"/>
                <w:szCs w:val="22"/>
              </w:rPr>
              <w:t>of</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Annex</w:t>
            </w:r>
            <w:proofErr w:type="spellEnd"/>
            <w:r>
              <w:rPr>
                <w:rFonts w:ascii="Times New Roman" w:hAnsi="Times New Roman" w:cs="Times New Roman"/>
                <w:sz w:val="22"/>
                <w:szCs w:val="22"/>
              </w:rPr>
              <w:t xml:space="preserve"> VII – </w:t>
            </w:r>
            <w:proofErr w:type="spellStart"/>
            <w:r>
              <w:rPr>
                <w:rFonts w:ascii="Times New Roman" w:hAnsi="Times New Roman" w:cs="Times New Roman"/>
                <w:sz w:val="22"/>
                <w:szCs w:val="22"/>
              </w:rPr>
              <w:t>Technical</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Specifications</w:t>
            </w:r>
            <w:proofErr w:type="spellEnd"/>
            <w:r>
              <w:rPr>
                <w:rFonts w:ascii="Times New Roman" w:hAnsi="Times New Roman" w:cs="Times New Roman"/>
                <w:sz w:val="22"/>
                <w:szCs w:val="22"/>
              </w:rPr>
              <w:t xml:space="preserve">, and </w:t>
            </w:r>
            <w:proofErr w:type="spellStart"/>
            <w:r>
              <w:rPr>
                <w:rFonts w:ascii="Times New Roman" w:hAnsi="Times New Roman" w:cs="Times New Roman"/>
                <w:sz w:val="22"/>
                <w:szCs w:val="22"/>
              </w:rPr>
              <w:t>must</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indicate</w:t>
            </w:r>
            <w:proofErr w:type="spellEnd"/>
            <w:r>
              <w:rPr>
                <w:rFonts w:ascii="Times New Roman" w:hAnsi="Times New Roman" w:cs="Times New Roman"/>
                <w:sz w:val="22"/>
                <w:szCs w:val="22"/>
              </w:rPr>
              <w:t xml:space="preserve"> in </w:t>
            </w:r>
            <w:proofErr w:type="spellStart"/>
            <w:r>
              <w:rPr>
                <w:rFonts w:ascii="Times New Roman" w:hAnsi="Times New Roman" w:cs="Times New Roman"/>
                <w:sz w:val="22"/>
                <w:szCs w:val="22"/>
              </w:rPr>
              <w:t>the</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bid</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their</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name</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address</w:t>
            </w:r>
            <w:proofErr w:type="spellEnd"/>
            <w:r>
              <w:rPr>
                <w:rFonts w:ascii="Times New Roman" w:hAnsi="Times New Roman" w:cs="Times New Roman"/>
                <w:sz w:val="22"/>
                <w:szCs w:val="22"/>
              </w:rPr>
              <w:t xml:space="preserve"> and </w:t>
            </w:r>
            <w:proofErr w:type="spellStart"/>
            <w:r>
              <w:rPr>
                <w:rFonts w:ascii="Times New Roman" w:hAnsi="Times New Roman" w:cs="Times New Roman"/>
                <w:sz w:val="22"/>
                <w:szCs w:val="22"/>
              </w:rPr>
              <w:t>contact</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telephone</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number</w:t>
            </w:r>
            <w:proofErr w:type="spellEnd"/>
            <w:r>
              <w:rPr>
                <w:rFonts w:ascii="Times New Roman" w:hAnsi="Times New Roman" w:cs="Times New Roman"/>
                <w:sz w:val="22"/>
                <w:szCs w:val="22"/>
              </w:rPr>
              <w:t>.</w:t>
            </w:r>
          </w:p>
          <w:p w14:paraId="3C8C2BF1" w14:textId="77777777" w:rsidR="00E255F4" w:rsidRDefault="00000000">
            <w:pPr>
              <w:pStyle w:val="Default"/>
              <w:numPr>
                <w:ilvl w:val="0"/>
                <w:numId w:val="40"/>
              </w:numPr>
              <w:ind w:left="561" w:hanging="284"/>
              <w:jc w:val="both"/>
              <w:rPr>
                <w:sz w:val="22"/>
                <w:szCs w:val="22"/>
              </w:rPr>
            </w:pPr>
            <w:proofErr w:type="spellStart"/>
            <w:r>
              <w:rPr>
                <w:rFonts w:ascii="Times New Roman" w:hAnsi="Times New Roman" w:cs="Times New Roman"/>
                <w:b/>
                <w:sz w:val="22"/>
                <w:szCs w:val="22"/>
              </w:rPr>
              <w:t>Signed</w:t>
            </w:r>
            <w:proofErr w:type="spellEnd"/>
            <w:r>
              <w:rPr>
                <w:rFonts w:ascii="Times New Roman" w:hAnsi="Times New Roman" w:cs="Times New Roman"/>
                <w:b/>
                <w:sz w:val="22"/>
                <w:szCs w:val="22"/>
              </w:rPr>
              <w:t xml:space="preserve"> </w:t>
            </w:r>
            <w:proofErr w:type="spellStart"/>
            <w:r>
              <w:rPr>
                <w:rFonts w:ascii="Times New Roman" w:hAnsi="Times New Roman" w:cs="Times New Roman"/>
                <w:b/>
                <w:sz w:val="22"/>
                <w:szCs w:val="22"/>
              </w:rPr>
              <w:t>letter</w:t>
            </w:r>
            <w:proofErr w:type="spellEnd"/>
            <w:r>
              <w:rPr>
                <w:rFonts w:ascii="Times New Roman" w:hAnsi="Times New Roman" w:cs="Times New Roman"/>
                <w:b/>
                <w:sz w:val="22"/>
                <w:szCs w:val="22"/>
              </w:rPr>
              <w:t xml:space="preserve"> </w:t>
            </w:r>
            <w:proofErr w:type="spellStart"/>
            <w:r>
              <w:rPr>
                <w:rFonts w:ascii="Times New Roman" w:hAnsi="Times New Roman" w:cs="Times New Roman"/>
                <w:b/>
                <w:sz w:val="22"/>
                <w:szCs w:val="22"/>
              </w:rPr>
              <w:t>from</w:t>
            </w:r>
            <w:proofErr w:type="spellEnd"/>
            <w:r>
              <w:rPr>
                <w:rFonts w:ascii="Times New Roman" w:hAnsi="Times New Roman" w:cs="Times New Roman"/>
                <w:b/>
                <w:sz w:val="22"/>
                <w:szCs w:val="22"/>
              </w:rPr>
              <w:t xml:space="preserve"> </w:t>
            </w:r>
            <w:proofErr w:type="spellStart"/>
            <w:r>
              <w:rPr>
                <w:rFonts w:ascii="Times New Roman" w:hAnsi="Times New Roman" w:cs="Times New Roman"/>
                <w:b/>
                <w:sz w:val="22"/>
                <w:szCs w:val="22"/>
              </w:rPr>
              <w:t>the</w:t>
            </w:r>
            <w:proofErr w:type="spellEnd"/>
            <w:r>
              <w:rPr>
                <w:rFonts w:ascii="Times New Roman" w:hAnsi="Times New Roman" w:cs="Times New Roman"/>
                <w:b/>
                <w:sz w:val="22"/>
                <w:szCs w:val="22"/>
              </w:rPr>
              <w:t xml:space="preserve"> </w:t>
            </w:r>
            <w:proofErr w:type="spellStart"/>
            <w:r>
              <w:rPr>
                <w:rFonts w:ascii="Times New Roman" w:hAnsi="Times New Roman" w:cs="Times New Roman"/>
                <w:b/>
                <w:sz w:val="22"/>
                <w:szCs w:val="22"/>
              </w:rPr>
              <w:t>manufacturer</w:t>
            </w:r>
            <w:r>
              <w:rPr>
                <w:rFonts w:ascii="Times New Roman" w:hAnsi="Times New Roman" w:cs="Times New Roman"/>
                <w:sz w:val="22"/>
                <w:szCs w:val="22"/>
              </w:rPr>
              <w:t>authorizing</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the</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bidder</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to</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submit</w:t>
            </w:r>
            <w:proofErr w:type="spellEnd"/>
            <w:r>
              <w:rPr>
                <w:rFonts w:ascii="Times New Roman" w:hAnsi="Times New Roman" w:cs="Times New Roman"/>
                <w:sz w:val="22"/>
                <w:szCs w:val="22"/>
              </w:rPr>
              <w:t xml:space="preserve"> a </w:t>
            </w:r>
            <w:proofErr w:type="spellStart"/>
            <w:r>
              <w:rPr>
                <w:rFonts w:ascii="Times New Roman" w:hAnsi="Times New Roman" w:cs="Times New Roman"/>
                <w:sz w:val="22"/>
                <w:szCs w:val="22"/>
              </w:rPr>
              <w:t>bid</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for</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the</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tendered</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supply</w:t>
            </w:r>
            <w:proofErr w:type="spellEnd"/>
            <w:r>
              <w:rPr>
                <w:rFonts w:ascii="Times New Roman" w:hAnsi="Times New Roman" w:cs="Times New Roman"/>
                <w:sz w:val="22"/>
                <w:szCs w:val="22"/>
              </w:rPr>
              <w:t xml:space="preserve"> in </w:t>
            </w:r>
            <w:proofErr w:type="spellStart"/>
            <w:r>
              <w:rPr>
                <w:rFonts w:ascii="Times New Roman" w:hAnsi="Times New Roman" w:cs="Times New Roman"/>
                <w:sz w:val="22"/>
                <w:szCs w:val="22"/>
              </w:rPr>
              <w:t>the</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quantity</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characteristics</w:t>
            </w:r>
            <w:proofErr w:type="spellEnd"/>
            <w:r>
              <w:rPr>
                <w:rFonts w:ascii="Times New Roman" w:hAnsi="Times New Roman" w:cs="Times New Roman"/>
                <w:sz w:val="22"/>
                <w:szCs w:val="22"/>
              </w:rPr>
              <w:t xml:space="preserve"> and </w:t>
            </w:r>
            <w:proofErr w:type="spellStart"/>
            <w:r>
              <w:rPr>
                <w:rFonts w:ascii="Times New Roman" w:hAnsi="Times New Roman" w:cs="Times New Roman"/>
                <w:sz w:val="22"/>
                <w:szCs w:val="22"/>
              </w:rPr>
              <w:t>term</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offered</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for</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each</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of</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the</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goods</w:t>
            </w:r>
            <w:proofErr w:type="spellEnd"/>
            <w:r>
              <w:rPr>
                <w:rFonts w:ascii="Times New Roman" w:hAnsi="Times New Roman" w:cs="Times New Roman"/>
                <w:sz w:val="22"/>
                <w:szCs w:val="22"/>
              </w:rPr>
              <w:t>.</w:t>
            </w:r>
          </w:p>
        </w:tc>
      </w:tr>
      <w:tr w:rsidR="00E255F4" w14:paraId="50AF2F33" w14:textId="77777777">
        <w:tc>
          <w:tcPr>
            <w:tcW w:w="730" w:type="dxa"/>
            <w:tcBorders>
              <w:top w:val="single" w:sz="4" w:space="0" w:color="000000"/>
              <w:left w:val="single" w:sz="4" w:space="0" w:color="000000"/>
              <w:bottom w:val="single" w:sz="4" w:space="0" w:color="000000"/>
              <w:right w:val="single" w:sz="4" w:space="0" w:color="000000"/>
            </w:tcBorders>
          </w:tcPr>
          <w:p w14:paraId="5831B078" w14:textId="77777777" w:rsidR="00E255F4" w:rsidRDefault="00000000">
            <w:pPr>
              <w:ind w:right="-36"/>
              <w:rPr>
                <w:rFonts w:eastAsia="Palatino Linotype"/>
                <w:b/>
                <w:sz w:val="22"/>
                <w:szCs w:val="22"/>
                <w:lang w:val="es-ES"/>
              </w:rPr>
            </w:pPr>
            <w:r>
              <w:rPr>
                <w:b/>
                <w:sz w:val="22"/>
                <w:szCs w:val="22"/>
                <w:lang w:val="es-ES"/>
              </w:rPr>
              <w:t xml:space="preserve"> </w:t>
            </w:r>
            <w:r>
              <w:rPr>
                <w:rFonts w:eastAsia="Palatino Linotype"/>
                <w:b/>
                <w:sz w:val="22"/>
                <w:szCs w:val="22"/>
                <w:lang w:val="es-ES"/>
              </w:rPr>
              <w:t>9.1b)</w:t>
            </w:r>
          </w:p>
        </w:tc>
        <w:tc>
          <w:tcPr>
            <w:tcW w:w="9048" w:type="dxa"/>
            <w:tcBorders>
              <w:top w:val="single" w:sz="4" w:space="0" w:color="000000"/>
              <w:left w:val="single" w:sz="4" w:space="0" w:color="000000"/>
              <w:bottom w:val="single" w:sz="4" w:space="0" w:color="000000"/>
              <w:right w:val="single" w:sz="4" w:space="0" w:color="000000"/>
            </w:tcBorders>
          </w:tcPr>
          <w:p w14:paraId="054BD03A" w14:textId="77777777" w:rsidR="00E255F4" w:rsidRDefault="00000000">
            <w:pPr>
              <w:ind w:right="-36"/>
              <w:rPr>
                <w:rFonts w:eastAsia="Palatino Linotype"/>
                <w:b/>
                <w:spacing w:val="-1"/>
                <w:sz w:val="22"/>
                <w:szCs w:val="22"/>
                <w:lang w:val="es-ES"/>
              </w:rPr>
            </w:pPr>
            <w:proofErr w:type="spellStart"/>
            <w:r>
              <w:rPr>
                <w:rFonts w:eastAsia="Palatino Linotype"/>
                <w:b/>
                <w:spacing w:val="-1"/>
                <w:sz w:val="22"/>
                <w:szCs w:val="22"/>
                <w:lang w:val="es-ES"/>
              </w:rPr>
              <w:t>Documents</w:t>
            </w:r>
            <w:proofErr w:type="spellEnd"/>
            <w:r>
              <w:rPr>
                <w:rFonts w:eastAsia="Palatino Linotype"/>
                <w:b/>
                <w:spacing w:val="-1"/>
                <w:sz w:val="22"/>
                <w:szCs w:val="22"/>
                <w:lang w:val="es-ES"/>
              </w:rPr>
              <w:t xml:space="preserve"> </w:t>
            </w:r>
            <w:proofErr w:type="spellStart"/>
            <w:r>
              <w:rPr>
                <w:rFonts w:eastAsia="Palatino Linotype"/>
                <w:b/>
                <w:spacing w:val="-1"/>
                <w:sz w:val="22"/>
                <w:szCs w:val="22"/>
                <w:lang w:val="es-ES"/>
              </w:rPr>
              <w:t>included</w:t>
            </w:r>
            <w:proofErr w:type="spellEnd"/>
            <w:r>
              <w:rPr>
                <w:rFonts w:eastAsia="Palatino Linotype"/>
                <w:b/>
                <w:spacing w:val="-1"/>
                <w:sz w:val="22"/>
                <w:szCs w:val="22"/>
                <w:lang w:val="es-ES"/>
              </w:rPr>
              <w:t xml:space="preserve"> in </w:t>
            </w:r>
            <w:proofErr w:type="spellStart"/>
            <w:r>
              <w:rPr>
                <w:rFonts w:eastAsia="Palatino Linotype"/>
                <w:b/>
                <w:spacing w:val="-1"/>
                <w:sz w:val="22"/>
                <w:szCs w:val="22"/>
                <w:lang w:val="es-ES"/>
              </w:rPr>
              <w:t>the</w:t>
            </w:r>
            <w:proofErr w:type="spellEnd"/>
            <w:r>
              <w:rPr>
                <w:rFonts w:eastAsia="Palatino Linotype"/>
                <w:b/>
                <w:spacing w:val="-1"/>
                <w:sz w:val="22"/>
                <w:szCs w:val="22"/>
                <w:lang w:val="es-ES"/>
              </w:rPr>
              <w:t xml:space="preserve"> </w:t>
            </w:r>
            <w:proofErr w:type="spellStart"/>
            <w:r>
              <w:rPr>
                <w:rFonts w:eastAsia="Palatino Linotype"/>
                <w:b/>
                <w:spacing w:val="-1"/>
                <w:sz w:val="22"/>
                <w:szCs w:val="22"/>
                <w:lang w:val="es-ES"/>
              </w:rPr>
              <w:t>offer</w:t>
            </w:r>
            <w:proofErr w:type="spellEnd"/>
          </w:p>
          <w:p w14:paraId="487FF25F" w14:textId="77777777" w:rsidR="00E255F4" w:rsidRDefault="00000000">
            <w:pPr>
              <w:pStyle w:val="Default"/>
              <w:spacing w:after="120"/>
              <w:rPr>
                <w:rFonts w:ascii="Times New Roman" w:hAnsi="Times New Roman" w:cs="Times New Roman"/>
                <w:sz w:val="22"/>
                <w:szCs w:val="22"/>
              </w:rPr>
            </w:pPr>
            <w:proofErr w:type="spellStart"/>
            <w:r>
              <w:rPr>
                <w:rFonts w:ascii="Times New Roman" w:hAnsi="Times New Roman" w:cs="Times New Roman"/>
                <w:sz w:val="22"/>
                <w:szCs w:val="22"/>
              </w:rPr>
              <w:t>It</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is</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added</w:t>
            </w:r>
            <w:proofErr w:type="spellEnd"/>
            <w:r>
              <w:rPr>
                <w:rFonts w:ascii="Times New Roman" w:hAnsi="Times New Roman" w:cs="Times New Roman"/>
                <w:sz w:val="22"/>
                <w:szCs w:val="22"/>
              </w:rPr>
              <w:t>:</w:t>
            </w:r>
          </w:p>
          <w:p w14:paraId="6F821447" w14:textId="77777777" w:rsidR="00E255F4" w:rsidRDefault="00000000">
            <w:pPr>
              <w:pStyle w:val="Default"/>
              <w:spacing w:after="240"/>
              <w:rPr>
                <w:rFonts w:ascii="Times New Roman" w:hAnsi="Times New Roman" w:cs="Times New Roman"/>
                <w:sz w:val="22"/>
                <w:szCs w:val="22"/>
              </w:rPr>
            </w:pPr>
            <w:r>
              <w:rPr>
                <w:rFonts w:ascii="Times New Roman" w:hAnsi="Times New Roman" w:cs="Times New Roman"/>
                <w:sz w:val="22"/>
                <w:szCs w:val="22"/>
              </w:rPr>
              <w:t xml:space="preserve">The </w:t>
            </w:r>
            <w:proofErr w:type="spellStart"/>
            <w:r>
              <w:rPr>
                <w:rFonts w:ascii="Times New Roman" w:hAnsi="Times New Roman" w:cs="Times New Roman"/>
                <w:sz w:val="22"/>
                <w:szCs w:val="22"/>
              </w:rPr>
              <w:t>following</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must</w:t>
            </w:r>
            <w:proofErr w:type="spellEnd"/>
            <w:r>
              <w:rPr>
                <w:rFonts w:ascii="Times New Roman" w:hAnsi="Times New Roman" w:cs="Times New Roman"/>
                <w:sz w:val="22"/>
                <w:szCs w:val="22"/>
              </w:rPr>
              <w:t xml:space="preserve"> be </w:t>
            </w:r>
            <w:proofErr w:type="spellStart"/>
            <w:r>
              <w:rPr>
                <w:rFonts w:ascii="Times New Roman" w:hAnsi="Times New Roman" w:cs="Times New Roman"/>
                <w:sz w:val="22"/>
                <w:szCs w:val="22"/>
              </w:rPr>
              <w:t>submitted</w:t>
            </w:r>
            <w:proofErr w:type="spellEnd"/>
            <w:r>
              <w:rPr>
                <w:rFonts w:ascii="Times New Roman" w:hAnsi="Times New Roman" w:cs="Times New Roman"/>
                <w:sz w:val="22"/>
                <w:szCs w:val="22"/>
              </w:rPr>
              <w:t>:</w:t>
            </w:r>
          </w:p>
          <w:p w14:paraId="6C50EBF7" w14:textId="77777777" w:rsidR="00E255F4" w:rsidRDefault="00000000">
            <w:pPr>
              <w:pStyle w:val="Default"/>
              <w:numPr>
                <w:ilvl w:val="0"/>
                <w:numId w:val="12"/>
              </w:numPr>
              <w:tabs>
                <w:tab w:val="left" w:pos="608"/>
              </w:tabs>
              <w:spacing w:after="240"/>
              <w:jc w:val="both"/>
              <w:rPr>
                <w:rFonts w:ascii="Times New Roman" w:eastAsia="Palatino Linotype" w:hAnsi="Times New Roman" w:cs="Times New Roman"/>
                <w:color w:val="FF0000"/>
                <w:spacing w:val="-1"/>
                <w:position w:val="1"/>
                <w:sz w:val="22"/>
                <w:szCs w:val="22"/>
              </w:rPr>
            </w:pPr>
            <w:r>
              <w:rPr>
                <w:rFonts w:ascii="Times New Roman" w:hAnsi="Times New Roman" w:cs="Times New Roman"/>
                <w:b/>
                <w:bCs/>
                <w:sz w:val="22"/>
                <w:szCs w:val="22"/>
              </w:rPr>
              <w:lastRenderedPageBreak/>
              <w:t xml:space="preserve">Offer </w:t>
            </w:r>
            <w:proofErr w:type="spellStart"/>
            <w:r>
              <w:rPr>
                <w:rFonts w:ascii="Times New Roman" w:hAnsi="Times New Roman" w:cs="Times New Roman"/>
                <w:b/>
                <w:bCs/>
                <w:sz w:val="22"/>
                <w:szCs w:val="22"/>
              </w:rPr>
              <w:t>drafted</w:t>
            </w:r>
            <w:proofErr w:type="spellEnd"/>
            <w:r>
              <w:rPr>
                <w:rFonts w:ascii="Times New Roman" w:hAnsi="Times New Roman" w:cs="Times New Roman"/>
                <w:b/>
                <w:bCs/>
                <w:sz w:val="22"/>
                <w:szCs w:val="22"/>
              </w:rPr>
              <w:t xml:space="preserve"> in </w:t>
            </w:r>
            <w:proofErr w:type="spellStart"/>
            <w:r>
              <w:rPr>
                <w:rFonts w:ascii="Times New Roman" w:hAnsi="Times New Roman" w:cs="Times New Roman"/>
                <w:b/>
                <w:bCs/>
                <w:sz w:val="22"/>
                <w:szCs w:val="22"/>
              </w:rPr>
              <w:t>accordance</w:t>
            </w:r>
            <w:proofErr w:type="spellEnd"/>
            <w:r>
              <w:rPr>
                <w:rFonts w:ascii="Times New Roman" w:hAnsi="Times New Roman" w:cs="Times New Roman"/>
                <w:b/>
                <w:bCs/>
                <w:sz w:val="22"/>
                <w:szCs w:val="22"/>
              </w:rPr>
              <w:t xml:space="preserve"> </w:t>
            </w:r>
            <w:proofErr w:type="spellStart"/>
            <w:r>
              <w:rPr>
                <w:rFonts w:ascii="Times New Roman" w:hAnsi="Times New Roman" w:cs="Times New Roman"/>
                <w:b/>
                <w:bCs/>
                <w:sz w:val="22"/>
                <w:szCs w:val="22"/>
              </w:rPr>
              <w:t>with</w:t>
            </w:r>
            <w:proofErr w:type="spellEnd"/>
            <w:r>
              <w:rPr>
                <w:rFonts w:ascii="Times New Roman" w:hAnsi="Times New Roman" w:cs="Times New Roman"/>
                <w:b/>
                <w:bCs/>
                <w:sz w:val="22"/>
                <w:szCs w:val="22"/>
              </w:rPr>
              <w:t xml:space="preserve"> </w:t>
            </w:r>
            <w:proofErr w:type="spellStart"/>
            <w:r>
              <w:rPr>
                <w:rFonts w:ascii="Times New Roman" w:hAnsi="Times New Roman" w:cs="Times New Roman"/>
                <w:b/>
                <w:bCs/>
                <w:sz w:val="22"/>
                <w:szCs w:val="22"/>
              </w:rPr>
              <w:t>the</w:t>
            </w:r>
            <w:r>
              <w:rPr>
                <w:rFonts w:ascii="Times New Roman" w:eastAsia="Palatino Linotype" w:hAnsi="Times New Roman" w:cs="Times New Roman"/>
                <w:b/>
                <w:spacing w:val="-1"/>
                <w:position w:val="1"/>
                <w:sz w:val="22"/>
                <w:szCs w:val="22"/>
              </w:rPr>
              <w:t>Annex</w:t>
            </w:r>
            <w:proofErr w:type="spellEnd"/>
            <w:r>
              <w:rPr>
                <w:rFonts w:ascii="Times New Roman" w:eastAsia="Palatino Linotype" w:hAnsi="Times New Roman" w:cs="Times New Roman"/>
                <w:b/>
                <w:spacing w:val="-1"/>
                <w:position w:val="1"/>
                <w:sz w:val="22"/>
                <w:szCs w:val="22"/>
              </w:rPr>
              <w:t xml:space="preserve"> IV</w:t>
            </w:r>
            <w:r>
              <w:rPr>
                <w:rFonts w:ascii="Times New Roman" w:eastAsia="Palatino Linotype" w:hAnsi="Times New Roman" w:cs="Times New Roman"/>
                <w:spacing w:val="-1"/>
                <w:position w:val="1"/>
                <w:sz w:val="22"/>
                <w:szCs w:val="22"/>
              </w:rPr>
              <w:t xml:space="preserve"> and </w:t>
            </w:r>
            <w:proofErr w:type="spellStart"/>
            <w:r>
              <w:rPr>
                <w:rFonts w:ascii="Times New Roman" w:eastAsia="Palatino Linotype" w:hAnsi="Times New Roman" w:cs="Times New Roman"/>
                <w:spacing w:val="-1"/>
                <w:position w:val="1"/>
                <w:sz w:val="22"/>
                <w:szCs w:val="22"/>
              </w:rPr>
              <w:t>declarations</w:t>
            </w:r>
            <w:proofErr w:type="spellEnd"/>
            <w:r>
              <w:rPr>
                <w:rFonts w:ascii="Times New Roman" w:eastAsia="Palatino Linotype" w:hAnsi="Times New Roman" w:cs="Times New Roman"/>
                <w:spacing w:val="-1"/>
                <w:position w:val="1"/>
                <w:sz w:val="22"/>
                <w:szCs w:val="22"/>
              </w:rPr>
              <w:t xml:space="preserve"> </w:t>
            </w:r>
            <w:proofErr w:type="spellStart"/>
            <w:r>
              <w:rPr>
                <w:rFonts w:ascii="Times New Roman" w:eastAsia="Palatino Linotype" w:hAnsi="Times New Roman" w:cs="Times New Roman"/>
                <w:spacing w:val="-1"/>
                <w:position w:val="1"/>
                <w:sz w:val="22"/>
                <w:szCs w:val="22"/>
              </w:rPr>
              <w:t>of</w:t>
            </w:r>
            <w:proofErr w:type="spellEnd"/>
            <w:r>
              <w:rPr>
                <w:rFonts w:ascii="Times New Roman" w:eastAsia="Palatino Linotype" w:hAnsi="Times New Roman" w:cs="Times New Roman"/>
                <w:spacing w:val="-1"/>
                <w:position w:val="1"/>
                <w:sz w:val="22"/>
                <w:szCs w:val="22"/>
              </w:rPr>
              <w:t xml:space="preserve"> </w:t>
            </w:r>
            <w:proofErr w:type="spellStart"/>
            <w:r>
              <w:rPr>
                <w:rFonts w:ascii="Times New Roman" w:eastAsia="Palatino Linotype" w:hAnsi="Times New Roman" w:cs="Times New Roman"/>
                <w:spacing w:val="-1"/>
                <w:position w:val="1"/>
                <w:sz w:val="22"/>
                <w:szCs w:val="22"/>
              </w:rPr>
              <w:t>MSMEs</w:t>
            </w:r>
            <w:proofErr w:type="spellEnd"/>
            <w:r>
              <w:rPr>
                <w:rFonts w:ascii="Times New Roman" w:eastAsia="Palatino Linotype" w:hAnsi="Times New Roman" w:cs="Times New Roman"/>
                <w:spacing w:val="-1"/>
                <w:position w:val="1"/>
                <w:sz w:val="22"/>
                <w:szCs w:val="22"/>
              </w:rPr>
              <w:t xml:space="preserve"> and </w:t>
            </w:r>
            <w:proofErr w:type="spellStart"/>
            <w:r>
              <w:rPr>
                <w:rFonts w:ascii="Times New Roman" w:eastAsia="Palatino Linotype" w:hAnsi="Times New Roman" w:cs="Times New Roman"/>
                <w:spacing w:val="-1"/>
                <w:position w:val="1"/>
                <w:sz w:val="22"/>
                <w:szCs w:val="22"/>
              </w:rPr>
              <w:t>nationally</w:t>
            </w:r>
            <w:proofErr w:type="spellEnd"/>
            <w:r>
              <w:rPr>
                <w:rFonts w:ascii="Times New Roman" w:eastAsia="Palatino Linotype" w:hAnsi="Times New Roman" w:cs="Times New Roman"/>
                <w:spacing w:val="-1"/>
                <w:position w:val="1"/>
                <w:sz w:val="22"/>
                <w:szCs w:val="22"/>
              </w:rPr>
              <w:t xml:space="preserve"> </w:t>
            </w:r>
            <w:proofErr w:type="spellStart"/>
            <w:r>
              <w:rPr>
                <w:rFonts w:ascii="Times New Roman" w:eastAsia="Palatino Linotype" w:hAnsi="Times New Roman" w:cs="Times New Roman"/>
                <w:spacing w:val="-1"/>
                <w:position w:val="1"/>
                <w:sz w:val="22"/>
                <w:szCs w:val="22"/>
              </w:rPr>
              <w:t>classified</w:t>
            </w:r>
            <w:proofErr w:type="spellEnd"/>
            <w:r>
              <w:rPr>
                <w:rFonts w:ascii="Times New Roman" w:eastAsia="Palatino Linotype" w:hAnsi="Times New Roman" w:cs="Times New Roman"/>
                <w:spacing w:val="-1"/>
                <w:position w:val="1"/>
                <w:sz w:val="22"/>
                <w:szCs w:val="22"/>
              </w:rPr>
              <w:t xml:space="preserve"> </w:t>
            </w:r>
            <w:proofErr w:type="spellStart"/>
            <w:r>
              <w:rPr>
                <w:rFonts w:ascii="Times New Roman" w:eastAsia="Palatino Linotype" w:hAnsi="Times New Roman" w:cs="Times New Roman"/>
                <w:spacing w:val="-1"/>
                <w:position w:val="1"/>
                <w:sz w:val="22"/>
                <w:szCs w:val="22"/>
              </w:rPr>
              <w:t>goods</w:t>
            </w:r>
            <w:proofErr w:type="spellEnd"/>
            <w:r>
              <w:rPr>
                <w:rFonts w:ascii="Times New Roman" w:eastAsia="Palatino Linotype" w:hAnsi="Times New Roman" w:cs="Times New Roman"/>
                <w:spacing w:val="-1"/>
                <w:position w:val="1"/>
                <w:sz w:val="22"/>
                <w:szCs w:val="22"/>
              </w:rPr>
              <w:t xml:space="preserve"> (</w:t>
            </w:r>
            <w:proofErr w:type="spellStart"/>
            <w:r>
              <w:rPr>
                <w:rFonts w:ascii="Times New Roman" w:eastAsia="Palatino Linotype" w:hAnsi="Times New Roman" w:cs="Times New Roman"/>
                <w:spacing w:val="-1"/>
                <w:position w:val="1"/>
                <w:sz w:val="22"/>
                <w:szCs w:val="22"/>
              </w:rPr>
              <w:t>if</w:t>
            </w:r>
            <w:proofErr w:type="spellEnd"/>
            <w:r>
              <w:rPr>
                <w:rFonts w:ascii="Times New Roman" w:eastAsia="Palatino Linotype" w:hAnsi="Times New Roman" w:cs="Times New Roman"/>
                <w:spacing w:val="-1"/>
                <w:position w:val="1"/>
                <w:sz w:val="22"/>
                <w:szCs w:val="22"/>
              </w:rPr>
              <w:t xml:space="preserve"> </w:t>
            </w:r>
            <w:proofErr w:type="spellStart"/>
            <w:r>
              <w:rPr>
                <w:rFonts w:ascii="Times New Roman" w:eastAsia="Palatino Linotype" w:hAnsi="Times New Roman" w:cs="Times New Roman"/>
                <w:spacing w:val="-1"/>
                <w:position w:val="1"/>
                <w:sz w:val="22"/>
                <w:szCs w:val="22"/>
              </w:rPr>
              <w:t>applicable</w:t>
            </w:r>
            <w:proofErr w:type="spellEnd"/>
            <w:r>
              <w:rPr>
                <w:rFonts w:ascii="Times New Roman" w:eastAsia="Palatino Linotype" w:hAnsi="Times New Roman" w:cs="Times New Roman"/>
                <w:spacing w:val="-1"/>
                <w:position w:val="1"/>
                <w:sz w:val="22"/>
                <w:szCs w:val="22"/>
              </w:rPr>
              <w:t>).</w:t>
            </w:r>
          </w:p>
          <w:p w14:paraId="77794C74" w14:textId="77777777" w:rsidR="00E255F4" w:rsidRDefault="00000000">
            <w:pPr>
              <w:pStyle w:val="Default"/>
              <w:numPr>
                <w:ilvl w:val="0"/>
                <w:numId w:val="12"/>
              </w:numPr>
              <w:tabs>
                <w:tab w:val="left" w:pos="608"/>
              </w:tabs>
              <w:spacing w:after="240"/>
              <w:jc w:val="both"/>
              <w:rPr>
                <w:rFonts w:ascii="Times New Roman" w:eastAsia="Palatino Linotype" w:hAnsi="Times New Roman" w:cs="Times New Roman"/>
                <w:spacing w:val="-1"/>
                <w:position w:val="1"/>
                <w:sz w:val="22"/>
                <w:szCs w:val="22"/>
              </w:rPr>
            </w:pPr>
            <w:r>
              <w:rPr>
                <w:rFonts w:ascii="Times New Roman" w:eastAsia="Palatino Linotype" w:hAnsi="Times New Roman" w:cs="Times New Roman"/>
                <w:spacing w:val="-1"/>
                <w:position w:val="1"/>
                <w:sz w:val="22"/>
                <w:szCs w:val="22"/>
              </w:rPr>
              <w:t xml:space="preserve">The </w:t>
            </w:r>
            <w:proofErr w:type="spellStart"/>
            <w:r>
              <w:rPr>
                <w:rFonts w:ascii="Times New Roman" w:eastAsia="Palatino Linotype" w:hAnsi="Times New Roman" w:cs="Times New Roman"/>
                <w:spacing w:val="-1"/>
                <w:position w:val="1"/>
                <w:sz w:val="22"/>
                <w:szCs w:val="22"/>
              </w:rPr>
              <w:t>prepared</w:t>
            </w:r>
            <w:proofErr w:type="spellEnd"/>
            <w:r>
              <w:rPr>
                <w:rFonts w:ascii="Times New Roman" w:eastAsia="Palatino Linotype" w:hAnsi="Times New Roman" w:cs="Times New Roman"/>
                <w:spacing w:val="-1"/>
                <w:position w:val="1"/>
                <w:sz w:val="22"/>
                <w:szCs w:val="22"/>
              </w:rPr>
              <w:t xml:space="preserve"> Schedule </w:t>
            </w:r>
            <w:proofErr w:type="spellStart"/>
            <w:r>
              <w:rPr>
                <w:rFonts w:ascii="Times New Roman" w:eastAsia="Palatino Linotype" w:hAnsi="Times New Roman" w:cs="Times New Roman"/>
                <w:spacing w:val="-1"/>
                <w:position w:val="1"/>
                <w:sz w:val="22"/>
                <w:szCs w:val="22"/>
              </w:rPr>
              <w:t>of</w:t>
            </w:r>
            <w:proofErr w:type="spellEnd"/>
            <w:r>
              <w:rPr>
                <w:rFonts w:ascii="Times New Roman" w:eastAsia="Palatino Linotype" w:hAnsi="Times New Roman" w:cs="Times New Roman"/>
                <w:spacing w:val="-1"/>
                <w:position w:val="1"/>
                <w:sz w:val="22"/>
                <w:szCs w:val="22"/>
              </w:rPr>
              <w:t xml:space="preserve"> </w:t>
            </w:r>
            <w:proofErr w:type="spellStart"/>
            <w:r>
              <w:rPr>
                <w:rFonts w:ascii="Times New Roman" w:eastAsia="Palatino Linotype" w:hAnsi="Times New Roman" w:cs="Times New Roman"/>
                <w:spacing w:val="-1"/>
                <w:position w:val="1"/>
                <w:sz w:val="22"/>
                <w:szCs w:val="22"/>
              </w:rPr>
              <w:t>Quantities</w:t>
            </w:r>
            <w:proofErr w:type="spellEnd"/>
            <w:r>
              <w:rPr>
                <w:rFonts w:ascii="Times New Roman" w:eastAsia="Palatino Linotype" w:hAnsi="Times New Roman" w:cs="Times New Roman"/>
                <w:spacing w:val="-1"/>
                <w:position w:val="1"/>
                <w:sz w:val="22"/>
                <w:szCs w:val="22"/>
              </w:rPr>
              <w:t xml:space="preserve"> and </w:t>
            </w:r>
            <w:proofErr w:type="spellStart"/>
            <w:r>
              <w:rPr>
                <w:rFonts w:ascii="Times New Roman" w:eastAsia="Palatino Linotype" w:hAnsi="Times New Roman" w:cs="Times New Roman"/>
                <w:spacing w:val="-1"/>
                <w:position w:val="1"/>
                <w:sz w:val="22"/>
                <w:szCs w:val="22"/>
              </w:rPr>
              <w:t>Prices</w:t>
            </w:r>
            <w:proofErr w:type="spellEnd"/>
            <w:r>
              <w:rPr>
                <w:rFonts w:ascii="Times New Roman" w:eastAsia="Palatino Linotype" w:hAnsi="Times New Roman" w:cs="Times New Roman"/>
                <w:spacing w:val="-1"/>
                <w:position w:val="1"/>
                <w:sz w:val="22"/>
                <w:szCs w:val="22"/>
              </w:rPr>
              <w:t xml:space="preserve"> (</w:t>
            </w:r>
            <w:proofErr w:type="spellStart"/>
            <w:r>
              <w:rPr>
                <w:rFonts w:ascii="Times New Roman" w:eastAsia="Palatino Linotype" w:hAnsi="Times New Roman" w:cs="Times New Roman"/>
                <w:spacing w:val="-1"/>
                <w:position w:val="1"/>
                <w:sz w:val="22"/>
                <w:szCs w:val="22"/>
              </w:rPr>
              <w:t>Annex</w:t>
            </w:r>
            <w:proofErr w:type="spellEnd"/>
            <w:r>
              <w:rPr>
                <w:rFonts w:ascii="Times New Roman" w:eastAsia="Palatino Linotype" w:hAnsi="Times New Roman" w:cs="Times New Roman"/>
                <w:spacing w:val="-1"/>
                <w:position w:val="1"/>
                <w:sz w:val="22"/>
                <w:szCs w:val="22"/>
              </w:rPr>
              <w:t xml:space="preserve"> V) and </w:t>
            </w:r>
            <w:proofErr w:type="spellStart"/>
            <w:r>
              <w:rPr>
                <w:rFonts w:ascii="Times New Roman" w:eastAsia="Palatino Linotype" w:hAnsi="Times New Roman" w:cs="Times New Roman"/>
                <w:spacing w:val="-1"/>
                <w:position w:val="1"/>
                <w:sz w:val="22"/>
                <w:szCs w:val="22"/>
              </w:rPr>
              <w:t>with</w:t>
            </w:r>
            <w:proofErr w:type="spellEnd"/>
            <w:r>
              <w:rPr>
                <w:rFonts w:ascii="Times New Roman" w:eastAsia="Palatino Linotype" w:hAnsi="Times New Roman" w:cs="Times New Roman"/>
                <w:spacing w:val="-1"/>
                <w:position w:val="1"/>
                <w:sz w:val="22"/>
                <w:szCs w:val="22"/>
              </w:rPr>
              <w:t xml:space="preserve"> </w:t>
            </w:r>
            <w:proofErr w:type="spellStart"/>
            <w:r>
              <w:rPr>
                <w:rFonts w:ascii="Times New Roman" w:eastAsia="Palatino Linotype" w:hAnsi="Times New Roman" w:cs="Times New Roman"/>
                <w:spacing w:val="-1"/>
                <w:position w:val="1"/>
                <w:sz w:val="22"/>
                <w:szCs w:val="22"/>
              </w:rPr>
              <w:t>the</w:t>
            </w:r>
            <w:proofErr w:type="spellEnd"/>
            <w:r>
              <w:rPr>
                <w:rFonts w:ascii="Times New Roman" w:eastAsia="Palatino Linotype" w:hAnsi="Times New Roman" w:cs="Times New Roman"/>
                <w:spacing w:val="-1"/>
                <w:position w:val="1"/>
                <w:sz w:val="22"/>
                <w:szCs w:val="22"/>
              </w:rPr>
              <w:t xml:space="preserve"> </w:t>
            </w:r>
            <w:proofErr w:type="spellStart"/>
            <w:r>
              <w:rPr>
                <w:rFonts w:ascii="Times New Roman" w:eastAsia="Palatino Linotype" w:hAnsi="Times New Roman" w:cs="Times New Roman"/>
                <w:spacing w:val="-1"/>
                <w:position w:val="1"/>
                <w:sz w:val="22"/>
                <w:szCs w:val="22"/>
              </w:rPr>
              <w:t>quotation</w:t>
            </w:r>
            <w:proofErr w:type="spellEnd"/>
            <w:r>
              <w:rPr>
                <w:rFonts w:ascii="Times New Roman" w:eastAsia="Palatino Linotype" w:hAnsi="Times New Roman" w:cs="Times New Roman"/>
                <w:spacing w:val="-1"/>
                <w:position w:val="1"/>
                <w:sz w:val="22"/>
                <w:szCs w:val="22"/>
              </w:rPr>
              <w:t xml:space="preserve"> </w:t>
            </w:r>
            <w:proofErr w:type="spellStart"/>
            <w:r>
              <w:rPr>
                <w:rFonts w:ascii="Times New Roman" w:eastAsia="Palatino Linotype" w:hAnsi="Times New Roman" w:cs="Times New Roman"/>
                <w:spacing w:val="-1"/>
                <w:position w:val="1"/>
                <w:sz w:val="22"/>
                <w:szCs w:val="22"/>
              </w:rPr>
              <w:t>conditions</w:t>
            </w:r>
            <w:proofErr w:type="spellEnd"/>
            <w:r>
              <w:rPr>
                <w:rFonts w:ascii="Times New Roman" w:eastAsia="Palatino Linotype" w:hAnsi="Times New Roman" w:cs="Times New Roman"/>
                <w:spacing w:val="-1"/>
                <w:position w:val="1"/>
                <w:sz w:val="22"/>
                <w:szCs w:val="22"/>
              </w:rPr>
              <w:t xml:space="preserve"> </w:t>
            </w:r>
            <w:proofErr w:type="spellStart"/>
            <w:r>
              <w:rPr>
                <w:rFonts w:ascii="Times New Roman" w:eastAsia="Palatino Linotype" w:hAnsi="Times New Roman" w:cs="Times New Roman"/>
                <w:spacing w:val="-1"/>
                <w:position w:val="1"/>
                <w:sz w:val="22"/>
                <w:szCs w:val="22"/>
              </w:rPr>
              <w:t>established</w:t>
            </w:r>
            <w:proofErr w:type="spellEnd"/>
            <w:r>
              <w:rPr>
                <w:rFonts w:ascii="Times New Roman" w:eastAsia="Palatino Linotype" w:hAnsi="Times New Roman" w:cs="Times New Roman"/>
                <w:spacing w:val="-1"/>
                <w:position w:val="1"/>
                <w:sz w:val="22"/>
                <w:szCs w:val="22"/>
              </w:rPr>
              <w:t xml:space="preserve"> in Art. 10.3 Price and </w:t>
            </w:r>
            <w:proofErr w:type="spellStart"/>
            <w:r>
              <w:rPr>
                <w:rFonts w:ascii="Times New Roman" w:eastAsia="Palatino Linotype" w:hAnsi="Times New Roman" w:cs="Times New Roman"/>
                <w:spacing w:val="-1"/>
                <w:position w:val="1"/>
                <w:sz w:val="22"/>
                <w:szCs w:val="22"/>
              </w:rPr>
              <w:t>quotation</w:t>
            </w:r>
            <w:proofErr w:type="spellEnd"/>
          </w:p>
          <w:p w14:paraId="0376E35F" w14:textId="77777777" w:rsidR="00E255F4" w:rsidRDefault="00000000">
            <w:pPr>
              <w:pStyle w:val="Default"/>
              <w:numPr>
                <w:ilvl w:val="0"/>
                <w:numId w:val="12"/>
              </w:numPr>
              <w:tabs>
                <w:tab w:val="left" w:pos="608"/>
              </w:tabs>
              <w:spacing w:after="240"/>
              <w:jc w:val="both"/>
              <w:rPr>
                <w:rFonts w:ascii="Times New Roman" w:eastAsia="Palatino Linotype" w:hAnsi="Times New Roman" w:cs="Times New Roman"/>
                <w:spacing w:val="-1"/>
                <w:position w:val="1"/>
                <w:sz w:val="22"/>
                <w:szCs w:val="22"/>
              </w:rPr>
            </w:pPr>
            <w:proofErr w:type="spellStart"/>
            <w:r>
              <w:rPr>
                <w:rFonts w:ascii="Times New Roman" w:eastAsia="Palatino Linotype" w:hAnsi="Times New Roman" w:cs="Times New Roman"/>
                <w:spacing w:val="-1"/>
                <w:position w:val="1"/>
                <w:sz w:val="22"/>
                <w:szCs w:val="22"/>
              </w:rPr>
              <w:t>Proof</w:t>
            </w:r>
            <w:proofErr w:type="spellEnd"/>
            <w:r>
              <w:rPr>
                <w:rFonts w:ascii="Times New Roman" w:eastAsia="Palatino Linotype" w:hAnsi="Times New Roman" w:cs="Times New Roman"/>
                <w:spacing w:val="-1"/>
                <w:position w:val="1"/>
                <w:sz w:val="22"/>
                <w:szCs w:val="22"/>
              </w:rPr>
              <w:t xml:space="preserve"> </w:t>
            </w:r>
            <w:proofErr w:type="spellStart"/>
            <w:r>
              <w:rPr>
                <w:rFonts w:ascii="Times New Roman" w:eastAsia="Palatino Linotype" w:hAnsi="Times New Roman" w:cs="Times New Roman"/>
                <w:spacing w:val="-1"/>
                <w:position w:val="1"/>
                <w:sz w:val="22"/>
                <w:szCs w:val="22"/>
              </w:rPr>
              <w:t>of</w:t>
            </w:r>
            <w:proofErr w:type="spellEnd"/>
            <w:r>
              <w:rPr>
                <w:rFonts w:ascii="Times New Roman" w:eastAsia="Palatino Linotype" w:hAnsi="Times New Roman" w:cs="Times New Roman"/>
                <w:spacing w:val="-1"/>
                <w:position w:val="1"/>
                <w:sz w:val="22"/>
                <w:szCs w:val="22"/>
              </w:rPr>
              <w:t xml:space="preserve"> </w:t>
            </w:r>
            <w:proofErr w:type="spellStart"/>
            <w:r>
              <w:rPr>
                <w:rFonts w:ascii="Times New Roman" w:eastAsia="Palatino Linotype" w:hAnsi="Times New Roman" w:cs="Times New Roman"/>
                <w:spacing w:val="-1"/>
                <w:position w:val="1"/>
                <w:sz w:val="22"/>
                <w:szCs w:val="22"/>
              </w:rPr>
              <w:t>delivery</w:t>
            </w:r>
            <w:proofErr w:type="spellEnd"/>
            <w:r>
              <w:rPr>
                <w:rFonts w:ascii="Times New Roman" w:eastAsia="Palatino Linotype" w:hAnsi="Times New Roman" w:cs="Times New Roman"/>
                <w:spacing w:val="-1"/>
                <w:position w:val="1"/>
                <w:sz w:val="22"/>
                <w:szCs w:val="22"/>
              </w:rPr>
              <w:t xml:space="preserve"> </w:t>
            </w:r>
            <w:proofErr w:type="spellStart"/>
            <w:r>
              <w:rPr>
                <w:rFonts w:ascii="Times New Roman" w:eastAsia="Palatino Linotype" w:hAnsi="Times New Roman" w:cs="Times New Roman"/>
                <w:spacing w:val="-1"/>
                <w:position w:val="1"/>
                <w:sz w:val="22"/>
                <w:szCs w:val="22"/>
              </w:rPr>
              <w:t>of</w:t>
            </w:r>
            <w:proofErr w:type="spellEnd"/>
            <w:r>
              <w:rPr>
                <w:rFonts w:ascii="Times New Roman" w:eastAsia="Palatino Linotype" w:hAnsi="Times New Roman" w:cs="Times New Roman"/>
                <w:spacing w:val="-1"/>
                <w:position w:val="1"/>
                <w:sz w:val="22"/>
                <w:szCs w:val="22"/>
              </w:rPr>
              <w:t xml:space="preserve"> </w:t>
            </w:r>
            <w:proofErr w:type="spellStart"/>
            <w:r>
              <w:rPr>
                <w:rFonts w:ascii="Times New Roman" w:eastAsia="Palatino Linotype" w:hAnsi="Times New Roman" w:cs="Times New Roman"/>
                <w:spacing w:val="-1"/>
                <w:position w:val="1"/>
                <w:sz w:val="22"/>
                <w:szCs w:val="22"/>
              </w:rPr>
              <w:t>samples</w:t>
            </w:r>
            <w:proofErr w:type="spellEnd"/>
            <w:r>
              <w:rPr>
                <w:rFonts w:ascii="Times New Roman" w:eastAsia="Palatino Linotype" w:hAnsi="Times New Roman" w:cs="Times New Roman"/>
                <w:spacing w:val="-1"/>
                <w:position w:val="1"/>
                <w:sz w:val="22"/>
                <w:szCs w:val="22"/>
              </w:rPr>
              <w:t xml:space="preserve"> as </w:t>
            </w:r>
            <w:proofErr w:type="spellStart"/>
            <w:r>
              <w:rPr>
                <w:rFonts w:ascii="Times New Roman" w:eastAsia="Palatino Linotype" w:hAnsi="Times New Roman" w:cs="Times New Roman"/>
                <w:spacing w:val="-1"/>
                <w:position w:val="1"/>
                <w:sz w:val="22"/>
                <w:szCs w:val="22"/>
              </w:rPr>
              <w:t>stipulated</w:t>
            </w:r>
            <w:proofErr w:type="spellEnd"/>
            <w:r>
              <w:rPr>
                <w:rFonts w:ascii="Times New Roman" w:eastAsia="Palatino Linotype" w:hAnsi="Times New Roman" w:cs="Times New Roman"/>
                <w:spacing w:val="-1"/>
                <w:position w:val="1"/>
                <w:sz w:val="22"/>
                <w:szCs w:val="22"/>
              </w:rPr>
              <w:t xml:space="preserve"> in </w:t>
            </w:r>
            <w:proofErr w:type="spellStart"/>
            <w:r>
              <w:rPr>
                <w:rFonts w:ascii="Times New Roman" w:eastAsia="Palatino Linotype" w:hAnsi="Times New Roman" w:cs="Times New Roman"/>
                <w:spacing w:val="-1"/>
                <w:position w:val="1"/>
                <w:sz w:val="22"/>
                <w:szCs w:val="22"/>
              </w:rPr>
              <w:t>the</w:t>
            </w:r>
            <w:proofErr w:type="spellEnd"/>
            <w:r>
              <w:rPr>
                <w:rFonts w:ascii="Times New Roman" w:eastAsia="Palatino Linotype" w:hAnsi="Times New Roman" w:cs="Times New Roman"/>
                <w:spacing w:val="-1"/>
                <w:position w:val="1"/>
                <w:sz w:val="22"/>
                <w:szCs w:val="22"/>
              </w:rPr>
              <w:t xml:space="preserve"> </w:t>
            </w:r>
            <w:proofErr w:type="spellStart"/>
            <w:r>
              <w:rPr>
                <w:rFonts w:ascii="Times New Roman" w:eastAsia="Palatino Linotype" w:hAnsi="Times New Roman" w:cs="Times New Roman"/>
                <w:spacing w:val="-1"/>
                <w:position w:val="1"/>
                <w:sz w:val="22"/>
                <w:szCs w:val="22"/>
              </w:rPr>
              <w:t>Technical</w:t>
            </w:r>
            <w:proofErr w:type="spellEnd"/>
            <w:r>
              <w:rPr>
                <w:rFonts w:ascii="Times New Roman" w:eastAsia="Palatino Linotype" w:hAnsi="Times New Roman" w:cs="Times New Roman"/>
                <w:spacing w:val="-1"/>
                <w:position w:val="1"/>
                <w:sz w:val="22"/>
                <w:szCs w:val="22"/>
              </w:rPr>
              <w:t xml:space="preserve"> </w:t>
            </w:r>
            <w:proofErr w:type="spellStart"/>
            <w:r>
              <w:rPr>
                <w:rFonts w:ascii="Times New Roman" w:eastAsia="Palatino Linotype" w:hAnsi="Times New Roman" w:cs="Times New Roman"/>
                <w:spacing w:val="-1"/>
                <w:position w:val="1"/>
                <w:sz w:val="22"/>
                <w:szCs w:val="22"/>
              </w:rPr>
              <w:t>Specifications</w:t>
            </w:r>
            <w:proofErr w:type="spellEnd"/>
            <w:r>
              <w:rPr>
                <w:rFonts w:ascii="Times New Roman" w:eastAsia="Palatino Linotype" w:hAnsi="Times New Roman" w:cs="Times New Roman"/>
                <w:spacing w:val="-1"/>
                <w:position w:val="1"/>
                <w:sz w:val="22"/>
                <w:szCs w:val="22"/>
              </w:rPr>
              <w:t xml:space="preserve"> (</w:t>
            </w:r>
            <w:proofErr w:type="spellStart"/>
            <w:r>
              <w:rPr>
                <w:rFonts w:ascii="Times New Roman" w:eastAsia="Palatino Linotype" w:hAnsi="Times New Roman" w:cs="Times New Roman"/>
                <w:spacing w:val="-1"/>
                <w:position w:val="1"/>
                <w:sz w:val="22"/>
                <w:szCs w:val="22"/>
              </w:rPr>
              <w:t>Annex</w:t>
            </w:r>
            <w:proofErr w:type="spellEnd"/>
            <w:r>
              <w:rPr>
                <w:rFonts w:ascii="Times New Roman" w:eastAsia="Palatino Linotype" w:hAnsi="Times New Roman" w:cs="Times New Roman"/>
                <w:spacing w:val="-1"/>
                <w:position w:val="1"/>
                <w:sz w:val="22"/>
                <w:szCs w:val="22"/>
              </w:rPr>
              <w:t xml:space="preserve"> VII), </w:t>
            </w:r>
            <w:proofErr w:type="spellStart"/>
            <w:r>
              <w:rPr>
                <w:rFonts w:ascii="Times New Roman" w:eastAsia="Palatino Linotype" w:hAnsi="Times New Roman" w:cs="Times New Roman"/>
                <w:spacing w:val="-1"/>
                <w:position w:val="1"/>
                <w:sz w:val="22"/>
                <w:szCs w:val="22"/>
              </w:rPr>
              <w:t>which</w:t>
            </w:r>
            <w:proofErr w:type="spellEnd"/>
            <w:r>
              <w:rPr>
                <w:rFonts w:ascii="Times New Roman" w:eastAsia="Palatino Linotype" w:hAnsi="Times New Roman" w:cs="Times New Roman"/>
                <w:spacing w:val="-1"/>
                <w:position w:val="1"/>
                <w:sz w:val="22"/>
                <w:szCs w:val="22"/>
              </w:rPr>
              <w:t xml:space="preserve"> </w:t>
            </w:r>
            <w:proofErr w:type="spellStart"/>
            <w:r>
              <w:rPr>
                <w:rFonts w:ascii="Times New Roman" w:eastAsia="Palatino Linotype" w:hAnsi="Times New Roman" w:cs="Times New Roman"/>
                <w:spacing w:val="-1"/>
                <w:position w:val="1"/>
                <w:sz w:val="22"/>
                <w:szCs w:val="22"/>
              </w:rPr>
              <w:t>may</w:t>
            </w:r>
            <w:proofErr w:type="spellEnd"/>
            <w:r>
              <w:rPr>
                <w:rFonts w:ascii="Times New Roman" w:eastAsia="Palatino Linotype" w:hAnsi="Times New Roman" w:cs="Times New Roman"/>
                <w:spacing w:val="-1"/>
                <w:position w:val="1"/>
                <w:sz w:val="22"/>
                <w:szCs w:val="22"/>
              </w:rPr>
              <w:t xml:space="preserve"> be </w:t>
            </w:r>
            <w:proofErr w:type="spellStart"/>
            <w:r>
              <w:rPr>
                <w:rFonts w:ascii="Times New Roman" w:eastAsia="Palatino Linotype" w:hAnsi="Times New Roman" w:cs="Times New Roman"/>
                <w:spacing w:val="-1"/>
                <w:position w:val="1"/>
                <w:sz w:val="22"/>
                <w:szCs w:val="22"/>
              </w:rPr>
              <w:t>sent</w:t>
            </w:r>
            <w:proofErr w:type="spellEnd"/>
            <w:r>
              <w:rPr>
                <w:rFonts w:ascii="Times New Roman" w:eastAsia="Palatino Linotype" w:hAnsi="Times New Roman" w:cs="Times New Roman"/>
                <w:spacing w:val="-1"/>
                <w:position w:val="1"/>
                <w:sz w:val="22"/>
                <w:szCs w:val="22"/>
              </w:rPr>
              <w:t xml:space="preserve"> up </w:t>
            </w:r>
            <w:proofErr w:type="spellStart"/>
            <w:r>
              <w:rPr>
                <w:rFonts w:ascii="Times New Roman" w:eastAsia="Palatino Linotype" w:hAnsi="Times New Roman" w:cs="Times New Roman"/>
                <w:spacing w:val="-1"/>
                <w:position w:val="1"/>
                <w:sz w:val="22"/>
                <w:szCs w:val="22"/>
              </w:rPr>
              <w:t>to</w:t>
            </w:r>
            <w:proofErr w:type="spellEnd"/>
            <w:r>
              <w:rPr>
                <w:rFonts w:ascii="Times New Roman" w:eastAsia="Palatino Linotype" w:hAnsi="Times New Roman" w:cs="Times New Roman"/>
                <w:spacing w:val="-1"/>
                <w:position w:val="1"/>
                <w:sz w:val="22"/>
                <w:szCs w:val="22"/>
              </w:rPr>
              <w:t xml:space="preserve"> 5 </w:t>
            </w:r>
            <w:proofErr w:type="spellStart"/>
            <w:r>
              <w:rPr>
                <w:rFonts w:ascii="Times New Roman" w:eastAsia="Palatino Linotype" w:hAnsi="Times New Roman" w:cs="Times New Roman"/>
                <w:spacing w:val="-1"/>
                <w:position w:val="1"/>
                <w:sz w:val="22"/>
                <w:szCs w:val="22"/>
              </w:rPr>
              <w:t>business</w:t>
            </w:r>
            <w:proofErr w:type="spellEnd"/>
            <w:r>
              <w:rPr>
                <w:rFonts w:ascii="Times New Roman" w:eastAsia="Palatino Linotype" w:hAnsi="Times New Roman" w:cs="Times New Roman"/>
                <w:spacing w:val="-1"/>
                <w:position w:val="1"/>
                <w:sz w:val="22"/>
                <w:szCs w:val="22"/>
              </w:rPr>
              <w:t xml:space="preserve"> </w:t>
            </w:r>
            <w:proofErr w:type="spellStart"/>
            <w:r>
              <w:rPr>
                <w:rFonts w:ascii="Times New Roman" w:eastAsia="Palatino Linotype" w:hAnsi="Times New Roman" w:cs="Times New Roman"/>
                <w:spacing w:val="-1"/>
                <w:position w:val="1"/>
                <w:sz w:val="22"/>
                <w:szCs w:val="22"/>
              </w:rPr>
              <w:t>days</w:t>
            </w:r>
            <w:proofErr w:type="spellEnd"/>
            <w:r>
              <w:rPr>
                <w:rFonts w:ascii="Times New Roman" w:eastAsia="Palatino Linotype" w:hAnsi="Times New Roman" w:cs="Times New Roman"/>
                <w:spacing w:val="-1"/>
                <w:position w:val="1"/>
                <w:sz w:val="22"/>
                <w:szCs w:val="22"/>
              </w:rPr>
              <w:t xml:space="preserve"> after </w:t>
            </w:r>
            <w:proofErr w:type="spellStart"/>
            <w:r>
              <w:rPr>
                <w:rFonts w:ascii="Times New Roman" w:eastAsia="Palatino Linotype" w:hAnsi="Times New Roman" w:cs="Times New Roman"/>
                <w:spacing w:val="-1"/>
                <w:position w:val="1"/>
                <w:sz w:val="22"/>
                <w:szCs w:val="22"/>
              </w:rPr>
              <w:t>the</w:t>
            </w:r>
            <w:proofErr w:type="spellEnd"/>
            <w:r>
              <w:rPr>
                <w:rFonts w:ascii="Times New Roman" w:eastAsia="Palatino Linotype" w:hAnsi="Times New Roman" w:cs="Times New Roman"/>
                <w:spacing w:val="-1"/>
                <w:position w:val="1"/>
                <w:sz w:val="22"/>
                <w:szCs w:val="22"/>
              </w:rPr>
              <w:t xml:space="preserve"> </w:t>
            </w:r>
            <w:proofErr w:type="spellStart"/>
            <w:r>
              <w:rPr>
                <w:rFonts w:ascii="Times New Roman" w:eastAsia="Palatino Linotype" w:hAnsi="Times New Roman" w:cs="Times New Roman"/>
                <w:spacing w:val="-1"/>
                <w:position w:val="1"/>
                <w:sz w:val="22"/>
                <w:szCs w:val="22"/>
              </w:rPr>
              <w:t>opening</w:t>
            </w:r>
            <w:proofErr w:type="spellEnd"/>
            <w:r>
              <w:rPr>
                <w:rFonts w:ascii="Times New Roman" w:eastAsia="Palatino Linotype" w:hAnsi="Times New Roman" w:cs="Times New Roman"/>
                <w:spacing w:val="-1"/>
                <w:position w:val="1"/>
                <w:sz w:val="22"/>
                <w:szCs w:val="22"/>
              </w:rPr>
              <w:t xml:space="preserve"> </w:t>
            </w:r>
            <w:proofErr w:type="spellStart"/>
            <w:r>
              <w:rPr>
                <w:rFonts w:ascii="Times New Roman" w:eastAsia="Palatino Linotype" w:hAnsi="Times New Roman" w:cs="Times New Roman"/>
                <w:spacing w:val="-1"/>
                <w:position w:val="1"/>
                <w:sz w:val="22"/>
                <w:szCs w:val="22"/>
              </w:rPr>
              <w:t>act</w:t>
            </w:r>
            <w:proofErr w:type="spellEnd"/>
            <w:r>
              <w:rPr>
                <w:rFonts w:ascii="Times New Roman" w:eastAsia="Palatino Linotype" w:hAnsi="Times New Roman" w:cs="Times New Roman"/>
                <w:spacing w:val="-1"/>
                <w:position w:val="1"/>
                <w:sz w:val="22"/>
                <w:szCs w:val="22"/>
              </w:rPr>
              <w:t xml:space="preserve"> </w:t>
            </w:r>
            <w:proofErr w:type="spellStart"/>
            <w:r>
              <w:rPr>
                <w:rFonts w:ascii="Times New Roman" w:eastAsia="Palatino Linotype" w:hAnsi="Times New Roman" w:cs="Times New Roman"/>
                <w:spacing w:val="-1"/>
                <w:position w:val="1"/>
                <w:sz w:val="22"/>
                <w:szCs w:val="22"/>
              </w:rPr>
              <w:t>to</w:t>
            </w:r>
            <w:proofErr w:type="spellEnd"/>
            <w:r>
              <w:rPr>
                <w:rFonts w:ascii="Times New Roman" w:eastAsia="Palatino Linotype" w:hAnsi="Times New Roman" w:cs="Times New Roman"/>
                <w:spacing w:val="-1"/>
                <w:position w:val="1"/>
                <w:sz w:val="22"/>
                <w:szCs w:val="22"/>
              </w:rPr>
              <w:t xml:space="preserve"> </w:t>
            </w:r>
            <w:proofErr w:type="spellStart"/>
            <w:r>
              <w:rPr>
                <w:rFonts w:ascii="Times New Roman" w:eastAsia="Palatino Linotype" w:hAnsi="Times New Roman" w:cs="Times New Roman"/>
                <w:spacing w:val="-1"/>
                <w:position w:val="1"/>
                <w:sz w:val="22"/>
                <w:szCs w:val="22"/>
              </w:rPr>
              <w:t>the</w:t>
            </w:r>
            <w:proofErr w:type="spellEnd"/>
            <w:r>
              <w:rPr>
                <w:rFonts w:ascii="Times New Roman" w:eastAsia="Palatino Linotype" w:hAnsi="Times New Roman" w:cs="Times New Roman"/>
                <w:spacing w:val="-1"/>
                <w:position w:val="1"/>
                <w:sz w:val="22"/>
                <w:szCs w:val="22"/>
              </w:rPr>
              <w:t xml:space="preserve"> email </w:t>
            </w:r>
            <w:proofErr w:type="spellStart"/>
            <w:r>
              <w:rPr>
                <w:rFonts w:ascii="Times New Roman" w:eastAsia="Palatino Linotype" w:hAnsi="Times New Roman" w:cs="Times New Roman"/>
                <w:spacing w:val="-1"/>
                <w:position w:val="1"/>
                <w:sz w:val="22"/>
                <w:szCs w:val="22"/>
              </w:rPr>
              <w:t>address</w:t>
            </w:r>
            <w:proofErr w:type="spellEnd"/>
            <w:r w:rsidR="00E255F4">
              <w:fldChar w:fldCharType="begin"/>
            </w:r>
            <w:r w:rsidR="00E255F4">
              <w:instrText>HYPERLINK "mailto:licbienesyprodq@ose.com.uy" \t "_blank" \h</w:instrText>
            </w:r>
            <w:r w:rsidR="00E255F4">
              <w:fldChar w:fldCharType="separate"/>
            </w:r>
            <w:r w:rsidR="00E255F4">
              <w:rPr>
                <w:rStyle w:val="Hipervnculo"/>
                <w:rFonts w:ascii="Times New Roman" w:hAnsi="Times New Roman" w:cs="Times New Roman"/>
                <w:sz w:val="22"/>
                <w:szCs w:val="22"/>
              </w:rPr>
              <w:t>licbienesyprodq@ose.com.uy</w:t>
            </w:r>
            <w:r w:rsidR="00E255F4">
              <w:fldChar w:fldCharType="end"/>
            </w:r>
            <w:proofErr w:type="spellStart"/>
            <w:r>
              <w:rPr>
                <w:rFonts w:ascii="Times New Roman" w:eastAsia="Palatino Linotype" w:hAnsi="Times New Roman" w:cs="Times New Roman"/>
                <w:spacing w:val="-1"/>
                <w:position w:val="1"/>
                <w:sz w:val="22"/>
                <w:szCs w:val="22"/>
              </w:rPr>
              <w:t>indicating</w:t>
            </w:r>
            <w:proofErr w:type="spellEnd"/>
            <w:r>
              <w:rPr>
                <w:rFonts w:ascii="Times New Roman" w:eastAsia="Palatino Linotype" w:hAnsi="Times New Roman" w:cs="Times New Roman"/>
                <w:spacing w:val="-1"/>
                <w:position w:val="1"/>
                <w:sz w:val="22"/>
                <w:szCs w:val="22"/>
              </w:rPr>
              <w:t xml:space="preserve"> in </w:t>
            </w:r>
            <w:proofErr w:type="spellStart"/>
            <w:r>
              <w:rPr>
                <w:rFonts w:ascii="Times New Roman" w:eastAsia="Palatino Linotype" w:hAnsi="Times New Roman" w:cs="Times New Roman"/>
                <w:spacing w:val="-1"/>
                <w:position w:val="1"/>
                <w:sz w:val="22"/>
                <w:szCs w:val="22"/>
              </w:rPr>
              <w:t>the</w:t>
            </w:r>
            <w:proofErr w:type="spellEnd"/>
            <w:r>
              <w:rPr>
                <w:rFonts w:ascii="Times New Roman" w:eastAsia="Palatino Linotype" w:hAnsi="Times New Roman" w:cs="Times New Roman"/>
                <w:spacing w:val="-1"/>
                <w:position w:val="1"/>
                <w:sz w:val="22"/>
                <w:szCs w:val="22"/>
              </w:rPr>
              <w:t xml:space="preserve"> Subject </w:t>
            </w:r>
            <w:proofErr w:type="spellStart"/>
            <w:r>
              <w:rPr>
                <w:rFonts w:ascii="Times New Roman" w:eastAsia="Palatino Linotype" w:hAnsi="Times New Roman" w:cs="Times New Roman"/>
                <w:spacing w:val="-1"/>
                <w:position w:val="1"/>
                <w:sz w:val="22"/>
                <w:szCs w:val="22"/>
              </w:rPr>
              <w:t>reference</w:t>
            </w:r>
            <w:proofErr w:type="spellEnd"/>
            <w:r>
              <w:rPr>
                <w:rFonts w:ascii="Times New Roman" w:eastAsia="Palatino Linotype" w:hAnsi="Times New Roman" w:cs="Times New Roman"/>
                <w:spacing w:val="-1"/>
                <w:position w:val="1"/>
                <w:sz w:val="22"/>
                <w:szCs w:val="22"/>
              </w:rPr>
              <w:t>: SAMPLE DELIVERY RECEIPT PUBLIC TENDER 26973</w:t>
            </w:r>
          </w:p>
          <w:p w14:paraId="02FD7647" w14:textId="77777777" w:rsidR="00E255F4" w:rsidRDefault="00000000">
            <w:pPr>
              <w:ind w:right="-36"/>
              <w:rPr>
                <w:sz w:val="22"/>
                <w:szCs w:val="22"/>
                <w:lang w:val="es-ES"/>
              </w:rPr>
            </w:pPr>
            <w:r>
              <w:rPr>
                <w:sz w:val="22"/>
                <w:szCs w:val="22"/>
                <w:lang w:val="es-ES"/>
              </w:rPr>
              <w:t xml:space="preserve">OSE reserves </w:t>
            </w:r>
            <w:proofErr w:type="spellStart"/>
            <w:r>
              <w:rPr>
                <w:sz w:val="22"/>
                <w:szCs w:val="22"/>
                <w:lang w:val="es-ES"/>
              </w:rPr>
              <w:t>the</w:t>
            </w:r>
            <w:proofErr w:type="spellEnd"/>
            <w:r>
              <w:rPr>
                <w:sz w:val="22"/>
                <w:szCs w:val="22"/>
                <w:lang w:val="es-ES"/>
              </w:rPr>
              <w:t xml:space="preserve"> </w:t>
            </w:r>
            <w:proofErr w:type="spellStart"/>
            <w:r>
              <w:rPr>
                <w:sz w:val="22"/>
                <w:szCs w:val="22"/>
                <w:lang w:val="es-ES"/>
              </w:rPr>
              <w:t>right</w:t>
            </w:r>
            <w:proofErr w:type="spellEnd"/>
            <w:r>
              <w:rPr>
                <w:sz w:val="22"/>
                <w:szCs w:val="22"/>
                <w:lang w:val="es-ES"/>
              </w:rPr>
              <w:t xml:space="preserve"> </w:t>
            </w:r>
            <w:proofErr w:type="spellStart"/>
            <w:r>
              <w:rPr>
                <w:sz w:val="22"/>
                <w:szCs w:val="22"/>
                <w:lang w:val="es-ES"/>
              </w:rPr>
              <w:t>to</w:t>
            </w:r>
            <w:proofErr w:type="spellEnd"/>
            <w:r>
              <w:rPr>
                <w:sz w:val="22"/>
                <w:szCs w:val="22"/>
                <w:lang w:val="es-ES"/>
              </w:rPr>
              <w:t xml:space="preserve"> </w:t>
            </w:r>
            <w:proofErr w:type="spellStart"/>
            <w:r>
              <w:rPr>
                <w:sz w:val="22"/>
                <w:szCs w:val="22"/>
                <w:lang w:val="es-ES"/>
              </w:rPr>
              <w:t>request</w:t>
            </w:r>
            <w:proofErr w:type="spellEnd"/>
            <w:r>
              <w:rPr>
                <w:sz w:val="22"/>
                <w:szCs w:val="22"/>
                <w:lang w:val="es-ES"/>
              </w:rPr>
              <w:t xml:space="preserve"> </w:t>
            </w:r>
            <w:proofErr w:type="spellStart"/>
            <w:r>
              <w:rPr>
                <w:sz w:val="22"/>
                <w:szCs w:val="22"/>
                <w:lang w:val="es-ES"/>
              </w:rPr>
              <w:t>any</w:t>
            </w:r>
            <w:proofErr w:type="spellEnd"/>
            <w:r>
              <w:rPr>
                <w:sz w:val="22"/>
                <w:szCs w:val="22"/>
                <w:lang w:val="es-ES"/>
              </w:rPr>
              <w:t xml:space="preserve"> </w:t>
            </w:r>
            <w:proofErr w:type="spellStart"/>
            <w:r>
              <w:rPr>
                <w:sz w:val="22"/>
                <w:szCs w:val="22"/>
                <w:lang w:val="es-ES"/>
              </w:rPr>
              <w:t>additional</w:t>
            </w:r>
            <w:proofErr w:type="spellEnd"/>
            <w:r>
              <w:rPr>
                <w:sz w:val="22"/>
                <w:szCs w:val="22"/>
                <w:lang w:val="es-ES"/>
              </w:rPr>
              <w:t xml:space="preserve"> </w:t>
            </w:r>
            <w:proofErr w:type="spellStart"/>
            <w:r>
              <w:rPr>
                <w:sz w:val="22"/>
                <w:szCs w:val="22"/>
                <w:lang w:val="es-ES"/>
              </w:rPr>
              <w:t>information</w:t>
            </w:r>
            <w:proofErr w:type="spellEnd"/>
            <w:r>
              <w:rPr>
                <w:sz w:val="22"/>
                <w:szCs w:val="22"/>
                <w:lang w:val="es-ES"/>
              </w:rPr>
              <w:t xml:space="preserve"> </w:t>
            </w:r>
            <w:proofErr w:type="spellStart"/>
            <w:r>
              <w:rPr>
                <w:sz w:val="22"/>
                <w:szCs w:val="22"/>
                <w:lang w:val="es-ES"/>
              </w:rPr>
              <w:t>it</w:t>
            </w:r>
            <w:proofErr w:type="spellEnd"/>
            <w:r>
              <w:rPr>
                <w:sz w:val="22"/>
                <w:szCs w:val="22"/>
                <w:lang w:val="es-ES"/>
              </w:rPr>
              <w:t xml:space="preserve"> </w:t>
            </w:r>
            <w:proofErr w:type="spellStart"/>
            <w:r>
              <w:rPr>
                <w:sz w:val="22"/>
                <w:szCs w:val="22"/>
                <w:lang w:val="es-ES"/>
              </w:rPr>
              <w:t>deems</w:t>
            </w:r>
            <w:proofErr w:type="spellEnd"/>
            <w:r>
              <w:rPr>
                <w:sz w:val="22"/>
                <w:szCs w:val="22"/>
                <w:lang w:val="es-ES"/>
              </w:rPr>
              <w:t xml:space="preserve"> </w:t>
            </w:r>
            <w:proofErr w:type="spellStart"/>
            <w:r>
              <w:rPr>
                <w:sz w:val="22"/>
                <w:szCs w:val="22"/>
                <w:lang w:val="es-ES"/>
              </w:rPr>
              <w:t>necessary</w:t>
            </w:r>
            <w:proofErr w:type="spellEnd"/>
            <w:r>
              <w:rPr>
                <w:sz w:val="22"/>
                <w:szCs w:val="22"/>
                <w:lang w:val="es-ES"/>
              </w:rPr>
              <w:t xml:space="preserve"> </w:t>
            </w:r>
            <w:proofErr w:type="spellStart"/>
            <w:r>
              <w:rPr>
                <w:sz w:val="22"/>
                <w:szCs w:val="22"/>
                <w:lang w:val="es-ES"/>
              </w:rPr>
              <w:t>for</w:t>
            </w:r>
            <w:proofErr w:type="spellEnd"/>
            <w:r>
              <w:rPr>
                <w:sz w:val="22"/>
                <w:szCs w:val="22"/>
                <w:lang w:val="es-ES"/>
              </w:rPr>
              <w:t xml:space="preserve"> </w:t>
            </w:r>
            <w:proofErr w:type="spellStart"/>
            <w:r>
              <w:rPr>
                <w:sz w:val="22"/>
                <w:szCs w:val="22"/>
                <w:lang w:val="es-ES"/>
              </w:rPr>
              <w:t>the</w:t>
            </w:r>
            <w:proofErr w:type="spellEnd"/>
            <w:r>
              <w:rPr>
                <w:sz w:val="22"/>
                <w:szCs w:val="22"/>
                <w:lang w:val="es-ES"/>
              </w:rPr>
              <w:t xml:space="preserve"> </w:t>
            </w:r>
            <w:proofErr w:type="spellStart"/>
            <w:r>
              <w:rPr>
                <w:sz w:val="22"/>
                <w:szCs w:val="22"/>
                <w:lang w:val="es-ES"/>
              </w:rPr>
              <w:t>study</w:t>
            </w:r>
            <w:proofErr w:type="spellEnd"/>
            <w:r>
              <w:rPr>
                <w:sz w:val="22"/>
                <w:szCs w:val="22"/>
                <w:lang w:val="es-ES"/>
              </w:rPr>
              <w:t xml:space="preserve"> </w:t>
            </w:r>
            <w:proofErr w:type="spellStart"/>
            <w:r>
              <w:rPr>
                <w:sz w:val="22"/>
                <w:szCs w:val="22"/>
                <w:lang w:val="es-ES"/>
              </w:rPr>
              <w:t>of</w:t>
            </w:r>
            <w:proofErr w:type="spellEnd"/>
            <w:r>
              <w:rPr>
                <w:sz w:val="22"/>
                <w:szCs w:val="22"/>
                <w:lang w:val="es-ES"/>
              </w:rPr>
              <w:t xml:space="preserve"> </w:t>
            </w:r>
            <w:proofErr w:type="spellStart"/>
            <w:r>
              <w:rPr>
                <w:sz w:val="22"/>
                <w:szCs w:val="22"/>
                <w:lang w:val="es-ES"/>
              </w:rPr>
              <w:t>the</w:t>
            </w:r>
            <w:proofErr w:type="spellEnd"/>
            <w:r>
              <w:rPr>
                <w:sz w:val="22"/>
                <w:szCs w:val="22"/>
                <w:lang w:val="es-ES"/>
              </w:rPr>
              <w:t xml:space="preserve"> </w:t>
            </w:r>
            <w:proofErr w:type="spellStart"/>
            <w:r>
              <w:rPr>
                <w:sz w:val="22"/>
                <w:szCs w:val="22"/>
                <w:lang w:val="es-ES"/>
              </w:rPr>
              <w:t>offers</w:t>
            </w:r>
            <w:proofErr w:type="spellEnd"/>
            <w:r>
              <w:rPr>
                <w:sz w:val="22"/>
                <w:szCs w:val="22"/>
                <w:lang w:val="es-ES"/>
              </w:rPr>
              <w:t>.</w:t>
            </w:r>
          </w:p>
        </w:tc>
      </w:tr>
      <w:tr w:rsidR="00E255F4" w14:paraId="0132C309" w14:textId="77777777">
        <w:tc>
          <w:tcPr>
            <w:tcW w:w="730" w:type="dxa"/>
            <w:tcBorders>
              <w:top w:val="single" w:sz="4" w:space="0" w:color="000000"/>
              <w:left w:val="single" w:sz="4" w:space="0" w:color="000000"/>
              <w:bottom w:val="single" w:sz="4" w:space="0" w:color="000000"/>
              <w:right w:val="single" w:sz="4" w:space="0" w:color="000000"/>
            </w:tcBorders>
          </w:tcPr>
          <w:p w14:paraId="6BB29437" w14:textId="77777777" w:rsidR="00E255F4" w:rsidRDefault="00000000">
            <w:pPr>
              <w:ind w:right="-36"/>
              <w:rPr>
                <w:rFonts w:eastAsia="Palatino Linotype"/>
                <w:b/>
                <w:sz w:val="22"/>
                <w:szCs w:val="24"/>
                <w:lang w:val="es-ES"/>
              </w:rPr>
            </w:pPr>
            <w:r>
              <w:rPr>
                <w:rFonts w:eastAsia="Palatino Linotype"/>
                <w:b/>
                <w:sz w:val="22"/>
                <w:szCs w:val="22"/>
                <w:lang w:val="es-ES"/>
              </w:rPr>
              <w:lastRenderedPageBreak/>
              <w:t>9.1c)</w:t>
            </w:r>
          </w:p>
        </w:tc>
        <w:tc>
          <w:tcPr>
            <w:tcW w:w="9048" w:type="dxa"/>
            <w:tcBorders>
              <w:top w:val="single" w:sz="4" w:space="0" w:color="000000"/>
              <w:left w:val="single" w:sz="4" w:space="0" w:color="000000"/>
              <w:bottom w:val="single" w:sz="4" w:space="0" w:color="000000"/>
              <w:right w:val="single" w:sz="4" w:space="0" w:color="000000"/>
            </w:tcBorders>
          </w:tcPr>
          <w:p w14:paraId="3CECE6E9" w14:textId="77777777" w:rsidR="00E255F4" w:rsidRDefault="00000000">
            <w:pPr>
              <w:tabs>
                <w:tab w:val="left" w:pos="-720"/>
                <w:tab w:val="left" w:pos="-540"/>
                <w:tab w:val="left" w:pos="0"/>
                <w:tab w:val="left" w:pos="34"/>
              </w:tabs>
              <w:ind w:left="34"/>
            </w:pPr>
            <w:proofErr w:type="spellStart"/>
            <w:r>
              <w:rPr>
                <w:rFonts w:eastAsia="Palatino Linotype"/>
                <w:b/>
                <w:spacing w:val="-1"/>
                <w:sz w:val="22"/>
                <w:szCs w:val="22"/>
                <w:lang w:val="es-ES"/>
              </w:rPr>
              <w:t>Documents</w:t>
            </w:r>
            <w:proofErr w:type="spellEnd"/>
            <w:r>
              <w:rPr>
                <w:rFonts w:eastAsia="Palatino Linotype"/>
                <w:b/>
                <w:spacing w:val="-1"/>
                <w:sz w:val="22"/>
                <w:szCs w:val="22"/>
                <w:lang w:val="es-ES"/>
              </w:rPr>
              <w:t xml:space="preserve"> </w:t>
            </w:r>
            <w:proofErr w:type="spellStart"/>
            <w:r>
              <w:rPr>
                <w:rFonts w:eastAsia="Palatino Linotype"/>
                <w:b/>
                <w:spacing w:val="-1"/>
                <w:sz w:val="22"/>
                <w:szCs w:val="22"/>
                <w:lang w:val="es-ES"/>
              </w:rPr>
              <w:t>included</w:t>
            </w:r>
            <w:proofErr w:type="spellEnd"/>
            <w:r>
              <w:rPr>
                <w:rFonts w:eastAsia="Palatino Linotype"/>
                <w:b/>
                <w:spacing w:val="-1"/>
                <w:sz w:val="22"/>
                <w:szCs w:val="22"/>
                <w:lang w:val="es-ES"/>
              </w:rPr>
              <w:t xml:space="preserve"> in </w:t>
            </w:r>
            <w:proofErr w:type="spellStart"/>
            <w:r>
              <w:rPr>
                <w:rFonts w:eastAsia="Palatino Linotype"/>
                <w:b/>
                <w:spacing w:val="-1"/>
                <w:sz w:val="22"/>
                <w:szCs w:val="22"/>
                <w:lang w:val="es-ES"/>
              </w:rPr>
              <w:t>the</w:t>
            </w:r>
            <w:proofErr w:type="spellEnd"/>
            <w:r>
              <w:rPr>
                <w:rFonts w:eastAsia="Palatino Linotype"/>
                <w:b/>
                <w:spacing w:val="-1"/>
                <w:sz w:val="22"/>
                <w:szCs w:val="22"/>
                <w:lang w:val="es-ES"/>
              </w:rPr>
              <w:t xml:space="preserve"> </w:t>
            </w:r>
            <w:proofErr w:type="spellStart"/>
            <w:r>
              <w:rPr>
                <w:rFonts w:eastAsia="Palatino Linotype"/>
                <w:b/>
                <w:spacing w:val="-1"/>
                <w:sz w:val="22"/>
                <w:szCs w:val="22"/>
                <w:lang w:val="es-ES"/>
              </w:rPr>
              <w:t>offer</w:t>
            </w:r>
            <w:proofErr w:type="spellEnd"/>
            <w:r>
              <w:rPr>
                <w:b/>
                <w:color w:val="000000"/>
                <w:sz w:val="22"/>
                <w:szCs w:val="22"/>
                <w:lang w:val="es-ES"/>
              </w:rPr>
              <w:t xml:space="preserve"> </w:t>
            </w:r>
          </w:p>
          <w:p w14:paraId="676345E5" w14:textId="77777777" w:rsidR="00E255F4" w:rsidRDefault="00000000">
            <w:pPr>
              <w:tabs>
                <w:tab w:val="left" w:pos="-720"/>
                <w:tab w:val="left" w:pos="-540"/>
                <w:tab w:val="left" w:pos="0"/>
                <w:tab w:val="left" w:pos="34"/>
              </w:tabs>
              <w:spacing w:after="120"/>
              <w:ind w:left="34"/>
              <w:rPr>
                <w:color w:val="000000"/>
                <w:sz w:val="22"/>
                <w:szCs w:val="22"/>
                <w:lang w:val="es-ES"/>
              </w:rPr>
            </w:pPr>
            <w:proofErr w:type="spellStart"/>
            <w:r>
              <w:rPr>
                <w:color w:val="000000"/>
                <w:sz w:val="22"/>
                <w:szCs w:val="22"/>
                <w:lang w:val="es-ES"/>
              </w:rPr>
              <w:t>It</w:t>
            </w:r>
            <w:proofErr w:type="spellEnd"/>
            <w:r>
              <w:rPr>
                <w:color w:val="000000"/>
                <w:sz w:val="22"/>
                <w:szCs w:val="22"/>
                <w:lang w:val="es-ES"/>
              </w:rPr>
              <w:t xml:space="preserve"> </w:t>
            </w:r>
            <w:proofErr w:type="spellStart"/>
            <w:r>
              <w:rPr>
                <w:color w:val="000000"/>
                <w:sz w:val="22"/>
                <w:szCs w:val="22"/>
                <w:lang w:val="es-ES"/>
              </w:rPr>
              <w:t>is</w:t>
            </w:r>
            <w:proofErr w:type="spellEnd"/>
            <w:r>
              <w:rPr>
                <w:color w:val="000000"/>
                <w:sz w:val="22"/>
                <w:szCs w:val="22"/>
                <w:lang w:val="es-ES"/>
              </w:rPr>
              <w:t xml:space="preserve"> </w:t>
            </w:r>
            <w:proofErr w:type="spellStart"/>
            <w:r>
              <w:rPr>
                <w:color w:val="000000"/>
                <w:sz w:val="22"/>
                <w:szCs w:val="22"/>
                <w:lang w:val="es-ES"/>
              </w:rPr>
              <w:t>added</w:t>
            </w:r>
            <w:proofErr w:type="spellEnd"/>
            <w:r>
              <w:rPr>
                <w:color w:val="000000"/>
                <w:sz w:val="22"/>
                <w:szCs w:val="22"/>
                <w:lang w:val="es-ES"/>
              </w:rPr>
              <w:t>:</w:t>
            </w:r>
          </w:p>
          <w:p w14:paraId="667D4672" w14:textId="77777777" w:rsidR="00E255F4" w:rsidRDefault="00000000">
            <w:pPr>
              <w:pStyle w:val="Default"/>
              <w:spacing w:after="80"/>
              <w:ind w:left="709" w:hanging="425"/>
              <w:jc w:val="both"/>
            </w:pPr>
            <w:r>
              <w:rPr>
                <w:rFonts w:ascii="Times New Roman" w:hAnsi="Times New Roman" w:cs="Times New Roman"/>
                <w:b/>
                <w:bCs/>
                <w:sz w:val="22"/>
                <w:szCs w:val="22"/>
              </w:rPr>
              <w:t xml:space="preserve">I) </w:t>
            </w:r>
            <w:proofErr w:type="spellStart"/>
            <w:r>
              <w:rPr>
                <w:rFonts w:ascii="Times New Roman" w:hAnsi="Times New Roman" w:cs="Times New Roman"/>
                <w:b/>
                <w:bCs/>
                <w:sz w:val="22"/>
                <w:szCs w:val="22"/>
              </w:rPr>
              <w:t>Manufacturer</w:t>
            </w:r>
            <w:proofErr w:type="spellEnd"/>
            <w:r>
              <w:rPr>
                <w:rFonts w:ascii="Times New Roman" w:hAnsi="Times New Roman" w:cs="Times New Roman"/>
                <w:b/>
                <w:bCs/>
                <w:sz w:val="22"/>
                <w:szCs w:val="22"/>
              </w:rPr>
              <w:t xml:space="preserve"> </w:t>
            </w:r>
            <w:proofErr w:type="spellStart"/>
            <w:r>
              <w:rPr>
                <w:rFonts w:ascii="Times New Roman" w:hAnsi="Times New Roman" w:cs="Times New Roman"/>
                <w:b/>
                <w:bCs/>
                <w:sz w:val="22"/>
                <w:szCs w:val="22"/>
              </w:rPr>
              <w:t>Identification</w:t>
            </w:r>
            <w:proofErr w:type="spellEnd"/>
            <w:r>
              <w:rPr>
                <w:rFonts w:ascii="Times New Roman" w:hAnsi="Times New Roman" w:cs="Times New Roman"/>
                <w:b/>
                <w:bCs/>
                <w:sz w:val="22"/>
                <w:szCs w:val="22"/>
              </w:rPr>
              <w:t xml:space="preserve"> and </w:t>
            </w:r>
            <w:proofErr w:type="spellStart"/>
            <w:r>
              <w:rPr>
                <w:rFonts w:ascii="Times New Roman" w:hAnsi="Times New Roman" w:cs="Times New Roman"/>
                <w:b/>
                <w:bCs/>
                <w:sz w:val="22"/>
                <w:szCs w:val="22"/>
              </w:rPr>
              <w:t>Background</w:t>
            </w:r>
            <w:proofErr w:type="spellEnd"/>
            <w:r>
              <w:rPr>
                <w:rFonts w:ascii="Times New Roman" w:hAnsi="Times New Roman" w:cs="Times New Roman"/>
                <w:bCs/>
                <w:sz w:val="22"/>
                <w:szCs w:val="22"/>
              </w:rPr>
              <w:t>:</w:t>
            </w:r>
          </w:p>
          <w:p w14:paraId="6F045E99" w14:textId="77777777" w:rsidR="00E255F4" w:rsidRDefault="00000000">
            <w:pPr>
              <w:pStyle w:val="Default"/>
              <w:spacing w:after="120"/>
              <w:jc w:val="both"/>
              <w:rPr>
                <w:rFonts w:ascii="Times New Roman" w:hAnsi="Times New Roman" w:cs="Times New Roman"/>
                <w:sz w:val="22"/>
                <w:szCs w:val="22"/>
              </w:rPr>
            </w:pPr>
            <w:r>
              <w:rPr>
                <w:rFonts w:ascii="Times New Roman" w:hAnsi="Times New Roman" w:cs="Times New Roman"/>
                <w:sz w:val="22"/>
                <w:szCs w:val="22"/>
              </w:rPr>
              <w:t xml:space="preserve">The </w:t>
            </w:r>
            <w:proofErr w:type="spellStart"/>
            <w:r>
              <w:rPr>
                <w:rFonts w:ascii="Times New Roman" w:hAnsi="Times New Roman" w:cs="Times New Roman"/>
                <w:sz w:val="22"/>
                <w:szCs w:val="22"/>
              </w:rPr>
              <w:t>bidder</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must</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provide</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documentation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from</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the</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manufacturer</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to</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prove</w:t>
            </w:r>
            <w:proofErr w:type="spellEnd"/>
            <w:r>
              <w:rPr>
                <w:rFonts w:ascii="Times New Roman" w:hAnsi="Times New Roman" w:cs="Times New Roman"/>
                <w:sz w:val="22"/>
                <w:szCs w:val="22"/>
              </w:rPr>
              <w:t>:</w:t>
            </w:r>
          </w:p>
          <w:p w14:paraId="15AE15F6" w14:textId="77777777" w:rsidR="00E255F4" w:rsidRDefault="00000000">
            <w:pPr>
              <w:pStyle w:val="Default"/>
              <w:numPr>
                <w:ilvl w:val="0"/>
                <w:numId w:val="72"/>
              </w:numPr>
              <w:spacing w:after="120"/>
              <w:ind w:left="561" w:hanging="284"/>
              <w:jc w:val="both"/>
            </w:pPr>
            <w:proofErr w:type="spellStart"/>
            <w:r>
              <w:rPr>
                <w:rFonts w:ascii="Times New Roman" w:hAnsi="Times New Roman" w:cs="Times New Roman"/>
                <w:b/>
                <w:bCs/>
                <w:sz w:val="22"/>
                <w:szCs w:val="22"/>
              </w:rPr>
              <w:t>Identification</w:t>
            </w:r>
            <w:proofErr w:type="spellEnd"/>
            <w:r>
              <w:rPr>
                <w:rFonts w:ascii="Times New Roman" w:hAnsi="Times New Roman" w:cs="Times New Roman"/>
                <w:b/>
                <w:bCs/>
                <w:sz w:val="22"/>
                <w:szCs w:val="22"/>
              </w:rPr>
              <w:t xml:space="preserve"> </w:t>
            </w:r>
            <w:proofErr w:type="spellStart"/>
            <w:r>
              <w:rPr>
                <w:rFonts w:ascii="Times New Roman" w:hAnsi="Times New Roman" w:cs="Times New Roman"/>
                <w:b/>
                <w:bCs/>
                <w:sz w:val="22"/>
                <w:szCs w:val="22"/>
              </w:rPr>
              <w:t>of</w:t>
            </w:r>
            <w:proofErr w:type="spellEnd"/>
            <w:r>
              <w:rPr>
                <w:rFonts w:ascii="Times New Roman" w:hAnsi="Times New Roman" w:cs="Times New Roman"/>
                <w:b/>
                <w:bCs/>
                <w:sz w:val="22"/>
                <w:szCs w:val="22"/>
              </w:rPr>
              <w:t xml:space="preserve"> </w:t>
            </w:r>
            <w:proofErr w:type="spellStart"/>
            <w:r>
              <w:rPr>
                <w:rFonts w:ascii="Times New Roman" w:hAnsi="Times New Roman" w:cs="Times New Roman"/>
                <w:b/>
                <w:bCs/>
                <w:sz w:val="22"/>
                <w:szCs w:val="22"/>
              </w:rPr>
              <w:t>the</w:t>
            </w:r>
            <w:proofErr w:type="spellEnd"/>
            <w:r>
              <w:rPr>
                <w:rFonts w:ascii="Times New Roman" w:hAnsi="Times New Roman" w:cs="Times New Roman"/>
                <w:b/>
                <w:bCs/>
                <w:sz w:val="22"/>
                <w:szCs w:val="22"/>
              </w:rPr>
              <w:t xml:space="preserve"> </w:t>
            </w:r>
            <w:proofErr w:type="spellStart"/>
            <w:r>
              <w:rPr>
                <w:rFonts w:ascii="Times New Roman" w:hAnsi="Times New Roman" w:cs="Times New Roman"/>
                <w:b/>
                <w:bCs/>
                <w:sz w:val="22"/>
                <w:szCs w:val="22"/>
              </w:rPr>
              <w:t>manufacturer</w:t>
            </w:r>
            <w:proofErr w:type="spellEnd"/>
            <w:r>
              <w:rPr>
                <w:rFonts w:ascii="Times New Roman" w:hAnsi="Times New Roman" w:cs="Times New Roman"/>
                <w:b/>
                <w:bCs/>
                <w:sz w:val="22"/>
                <w:szCs w:val="22"/>
              </w:rPr>
              <w:t xml:space="preserve"> and </w:t>
            </w:r>
            <w:proofErr w:type="spellStart"/>
            <w:r>
              <w:rPr>
                <w:rFonts w:ascii="Times New Roman" w:hAnsi="Times New Roman" w:cs="Times New Roman"/>
                <w:b/>
                <w:bCs/>
                <w:sz w:val="22"/>
                <w:szCs w:val="22"/>
              </w:rPr>
              <w:t>the</w:t>
            </w:r>
            <w:proofErr w:type="spellEnd"/>
            <w:r>
              <w:rPr>
                <w:rFonts w:ascii="Times New Roman" w:hAnsi="Times New Roman" w:cs="Times New Roman"/>
                <w:b/>
                <w:bCs/>
                <w:sz w:val="22"/>
                <w:szCs w:val="22"/>
              </w:rPr>
              <w:t xml:space="preserve"> </w:t>
            </w:r>
            <w:proofErr w:type="spellStart"/>
            <w:r>
              <w:rPr>
                <w:rFonts w:ascii="Times New Roman" w:hAnsi="Times New Roman" w:cs="Times New Roman"/>
                <w:b/>
                <w:bCs/>
                <w:sz w:val="22"/>
                <w:szCs w:val="22"/>
              </w:rPr>
              <w:t>manufacturing</w:t>
            </w:r>
            <w:proofErr w:type="spellEnd"/>
            <w:r>
              <w:rPr>
                <w:rFonts w:ascii="Times New Roman" w:hAnsi="Times New Roman" w:cs="Times New Roman"/>
                <w:b/>
                <w:bCs/>
                <w:sz w:val="22"/>
                <w:szCs w:val="22"/>
              </w:rPr>
              <w:t xml:space="preserve"> </w:t>
            </w:r>
            <w:proofErr w:type="spellStart"/>
            <w:r>
              <w:rPr>
                <w:rFonts w:ascii="Times New Roman" w:hAnsi="Times New Roman" w:cs="Times New Roman"/>
                <w:b/>
                <w:bCs/>
                <w:sz w:val="22"/>
                <w:szCs w:val="22"/>
              </w:rPr>
              <w:t>plant</w:t>
            </w:r>
            <w:r>
              <w:rPr>
                <w:rFonts w:ascii="Times New Roman" w:hAnsi="Times New Roman" w:cs="Times New Roman"/>
                <w:bCs/>
                <w:sz w:val="22"/>
                <w:szCs w:val="22"/>
              </w:rPr>
              <w:t>of</w:t>
            </w:r>
            <w:proofErr w:type="spellEnd"/>
            <w:r>
              <w:rPr>
                <w:rFonts w:ascii="Times New Roman" w:hAnsi="Times New Roman" w:cs="Times New Roman"/>
                <w:bCs/>
                <w:sz w:val="22"/>
                <w:szCs w:val="22"/>
              </w:rPr>
              <w:t xml:space="preserve"> </w:t>
            </w:r>
            <w:proofErr w:type="spellStart"/>
            <w:r>
              <w:rPr>
                <w:rFonts w:ascii="Times New Roman" w:hAnsi="Times New Roman" w:cs="Times New Roman"/>
                <w:bCs/>
                <w:sz w:val="22"/>
                <w:szCs w:val="22"/>
              </w:rPr>
              <w:t>each</w:t>
            </w:r>
            <w:proofErr w:type="spellEnd"/>
            <w:r>
              <w:rPr>
                <w:rFonts w:ascii="Times New Roman" w:hAnsi="Times New Roman" w:cs="Times New Roman"/>
                <w:bCs/>
                <w:sz w:val="22"/>
                <w:szCs w:val="22"/>
              </w:rPr>
              <w:t xml:space="preserve"> </w:t>
            </w:r>
            <w:proofErr w:type="spellStart"/>
            <w:r>
              <w:rPr>
                <w:rFonts w:ascii="Times New Roman" w:hAnsi="Times New Roman" w:cs="Times New Roman"/>
                <w:bCs/>
                <w:sz w:val="22"/>
                <w:szCs w:val="22"/>
              </w:rPr>
              <w:t>of</w:t>
            </w:r>
            <w:proofErr w:type="spellEnd"/>
            <w:r>
              <w:rPr>
                <w:rFonts w:ascii="Times New Roman" w:hAnsi="Times New Roman" w:cs="Times New Roman"/>
                <w:bCs/>
                <w:sz w:val="22"/>
                <w:szCs w:val="22"/>
              </w:rPr>
              <w:t xml:space="preserve"> </w:t>
            </w:r>
            <w:proofErr w:type="spellStart"/>
            <w:r>
              <w:rPr>
                <w:rFonts w:ascii="Times New Roman" w:hAnsi="Times New Roman" w:cs="Times New Roman"/>
                <w:bCs/>
                <w:sz w:val="22"/>
                <w:szCs w:val="22"/>
              </w:rPr>
              <w:t>the</w:t>
            </w:r>
            <w:proofErr w:type="spellEnd"/>
            <w:r>
              <w:rPr>
                <w:rFonts w:ascii="Times New Roman" w:hAnsi="Times New Roman" w:cs="Times New Roman"/>
                <w:bCs/>
                <w:sz w:val="22"/>
                <w:szCs w:val="22"/>
              </w:rPr>
              <w:t xml:space="preserve"> </w:t>
            </w:r>
            <w:proofErr w:type="spellStart"/>
            <w:r>
              <w:rPr>
                <w:rFonts w:ascii="Times New Roman" w:hAnsi="Times New Roman" w:cs="Times New Roman"/>
                <w:bCs/>
                <w:sz w:val="22"/>
                <w:szCs w:val="22"/>
              </w:rPr>
              <w:t>goods</w:t>
            </w:r>
            <w:proofErr w:type="spellEnd"/>
            <w:r>
              <w:rPr>
                <w:rFonts w:ascii="Times New Roman" w:hAnsi="Times New Roman" w:cs="Times New Roman"/>
                <w:bCs/>
                <w:sz w:val="22"/>
                <w:szCs w:val="22"/>
              </w:rPr>
              <w:t xml:space="preserve"> </w:t>
            </w:r>
            <w:proofErr w:type="spellStart"/>
            <w:r>
              <w:rPr>
                <w:rFonts w:ascii="Times New Roman" w:hAnsi="Times New Roman" w:cs="Times New Roman"/>
                <w:bCs/>
                <w:sz w:val="22"/>
                <w:szCs w:val="22"/>
              </w:rPr>
              <w:t>offered</w:t>
            </w:r>
            <w:proofErr w:type="spellEnd"/>
            <w:r>
              <w:rPr>
                <w:rFonts w:ascii="Times New Roman" w:hAnsi="Times New Roman" w:cs="Times New Roman"/>
                <w:bCs/>
                <w:sz w:val="22"/>
                <w:szCs w:val="22"/>
              </w:rPr>
              <w:t xml:space="preserve">, </w:t>
            </w:r>
            <w:proofErr w:type="spellStart"/>
            <w:r>
              <w:rPr>
                <w:rFonts w:ascii="Times New Roman" w:hAnsi="Times New Roman" w:cs="Times New Roman"/>
                <w:bCs/>
                <w:sz w:val="22"/>
                <w:szCs w:val="22"/>
              </w:rPr>
              <w:t>including</w:t>
            </w:r>
            <w:proofErr w:type="spellEnd"/>
            <w:r>
              <w:rPr>
                <w:rFonts w:ascii="Times New Roman" w:hAnsi="Times New Roman" w:cs="Times New Roman"/>
                <w:bCs/>
                <w:sz w:val="22"/>
                <w:szCs w:val="22"/>
              </w:rPr>
              <w:t xml:space="preserve"> web </w:t>
            </w:r>
            <w:proofErr w:type="spellStart"/>
            <w:r>
              <w:rPr>
                <w:rFonts w:ascii="Times New Roman" w:hAnsi="Times New Roman" w:cs="Times New Roman"/>
                <w:bCs/>
                <w:sz w:val="22"/>
                <w:szCs w:val="22"/>
              </w:rPr>
              <w:t>address</w:t>
            </w:r>
            <w:proofErr w:type="spellEnd"/>
            <w:r>
              <w:rPr>
                <w:rFonts w:ascii="Times New Roman" w:hAnsi="Times New Roman" w:cs="Times New Roman"/>
                <w:bCs/>
                <w:sz w:val="22"/>
                <w:szCs w:val="22"/>
              </w:rPr>
              <w:t xml:space="preserve"> and </w:t>
            </w:r>
            <w:proofErr w:type="spellStart"/>
            <w:r>
              <w:rPr>
                <w:rFonts w:ascii="Times New Roman" w:hAnsi="Times New Roman" w:cs="Times New Roman"/>
                <w:bCs/>
                <w:sz w:val="22"/>
                <w:szCs w:val="22"/>
              </w:rPr>
              <w:t>contact</w:t>
            </w:r>
            <w:proofErr w:type="spellEnd"/>
            <w:r>
              <w:rPr>
                <w:rFonts w:ascii="Times New Roman" w:hAnsi="Times New Roman" w:cs="Times New Roman"/>
                <w:bCs/>
                <w:sz w:val="22"/>
                <w:szCs w:val="22"/>
              </w:rPr>
              <w:t xml:space="preserve"> email.</w:t>
            </w:r>
          </w:p>
          <w:p w14:paraId="528D33F1" w14:textId="77777777" w:rsidR="00E255F4" w:rsidRDefault="00000000">
            <w:pPr>
              <w:pStyle w:val="Default"/>
              <w:numPr>
                <w:ilvl w:val="0"/>
                <w:numId w:val="72"/>
              </w:numPr>
              <w:spacing w:after="120"/>
              <w:ind w:left="561" w:hanging="284"/>
              <w:jc w:val="both"/>
              <w:rPr>
                <w:rFonts w:ascii="Times New Roman" w:hAnsi="Times New Roman" w:cs="Times New Roman"/>
                <w:strike/>
                <w:sz w:val="22"/>
              </w:rPr>
            </w:pPr>
            <w:r>
              <w:rPr>
                <w:rFonts w:ascii="Times New Roman" w:hAnsi="Times New Roman" w:cs="Times New Roman"/>
                <w:b/>
                <w:sz w:val="22"/>
              </w:rPr>
              <w:t xml:space="preserve">ISO 9001:2008 </w:t>
            </w:r>
            <w:proofErr w:type="spellStart"/>
            <w:r>
              <w:rPr>
                <w:rFonts w:ascii="Times New Roman" w:hAnsi="Times New Roman" w:cs="Times New Roman"/>
                <w:b/>
                <w:sz w:val="22"/>
              </w:rPr>
              <w:t>or</w:t>
            </w:r>
            <w:proofErr w:type="spellEnd"/>
            <w:r>
              <w:rPr>
                <w:rFonts w:ascii="Times New Roman" w:hAnsi="Times New Roman" w:cs="Times New Roman"/>
                <w:b/>
                <w:sz w:val="22"/>
              </w:rPr>
              <w:t xml:space="preserve"> 2015 </w:t>
            </w:r>
            <w:proofErr w:type="spellStart"/>
            <w:r>
              <w:rPr>
                <w:rFonts w:ascii="Times New Roman" w:hAnsi="Times New Roman" w:cs="Times New Roman"/>
                <w:b/>
                <w:sz w:val="22"/>
              </w:rPr>
              <w:t>Certification</w:t>
            </w:r>
            <w:r>
              <w:rPr>
                <w:rFonts w:ascii="Times New Roman" w:hAnsi="Times New Roman" w:cs="Times New Roman"/>
                <w:sz w:val="22"/>
              </w:rPr>
              <w:t>The</w:t>
            </w:r>
            <w:proofErr w:type="spellEnd"/>
            <w:r>
              <w:rPr>
                <w:rFonts w:ascii="Times New Roman" w:hAnsi="Times New Roman" w:cs="Times New Roman"/>
                <w:sz w:val="22"/>
              </w:rPr>
              <w:t xml:space="preserve"> </w:t>
            </w:r>
            <w:proofErr w:type="spellStart"/>
            <w:r>
              <w:rPr>
                <w:rFonts w:ascii="Times New Roman" w:hAnsi="Times New Roman" w:cs="Times New Roman"/>
                <w:sz w:val="22"/>
              </w:rPr>
              <w:t>certification</w:t>
            </w:r>
            <w:proofErr w:type="spellEnd"/>
            <w:r>
              <w:rPr>
                <w:rFonts w:ascii="Times New Roman" w:hAnsi="Times New Roman" w:cs="Times New Roman"/>
                <w:sz w:val="22"/>
              </w:rPr>
              <w:t xml:space="preserve"> </w:t>
            </w:r>
            <w:proofErr w:type="spellStart"/>
            <w:r>
              <w:rPr>
                <w:rFonts w:ascii="Times New Roman" w:hAnsi="Times New Roman" w:cs="Times New Roman"/>
                <w:sz w:val="22"/>
              </w:rPr>
              <w:t>must</w:t>
            </w:r>
            <w:proofErr w:type="spellEnd"/>
            <w:r>
              <w:rPr>
                <w:rFonts w:ascii="Times New Roman" w:hAnsi="Times New Roman" w:cs="Times New Roman"/>
                <w:sz w:val="22"/>
              </w:rPr>
              <w:t xml:space="preserve"> be </w:t>
            </w:r>
            <w:proofErr w:type="spellStart"/>
            <w:r>
              <w:rPr>
                <w:rFonts w:ascii="Times New Roman" w:hAnsi="Times New Roman" w:cs="Times New Roman"/>
                <w:sz w:val="22"/>
              </w:rPr>
              <w:t>valid</w:t>
            </w:r>
            <w:proofErr w:type="spellEnd"/>
            <w:r>
              <w:rPr>
                <w:rFonts w:ascii="Times New Roman" w:hAnsi="Times New Roman" w:cs="Times New Roman"/>
                <w:sz w:val="22"/>
              </w:rPr>
              <w:t xml:space="preserve"> and in </w:t>
            </w:r>
            <w:proofErr w:type="spellStart"/>
            <w:r>
              <w:rPr>
                <w:rFonts w:ascii="Times New Roman" w:hAnsi="Times New Roman" w:cs="Times New Roman"/>
                <w:sz w:val="22"/>
              </w:rPr>
              <w:t>effect</w:t>
            </w:r>
            <w:proofErr w:type="spellEnd"/>
            <w:r>
              <w:rPr>
                <w:rFonts w:ascii="Times New Roman" w:hAnsi="Times New Roman" w:cs="Times New Roman"/>
                <w:sz w:val="22"/>
              </w:rPr>
              <w:t xml:space="preserve"> at </w:t>
            </w:r>
            <w:proofErr w:type="spellStart"/>
            <w:r>
              <w:rPr>
                <w:rFonts w:ascii="Times New Roman" w:hAnsi="Times New Roman" w:cs="Times New Roman"/>
                <w:sz w:val="22"/>
              </w:rPr>
              <w:t>the</w:t>
            </w:r>
            <w:proofErr w:type="spellEnd"/>
            <w:r>
              <w:rPr>
                <w:rFonts w:ascii="Times New Roman" w:hAnsi="Times New Roman" w:cs="Times New Roman"/>
                <w:sz w:val="22"/>
              </w:rPr>
              <w:t xml:space="preserve"> </w:t>
            </w:r>
            <w:proofErr w:type="spellStart"/>
            <w:r>
              <w:rPr>
                <w:rFonts w:ascii="Times New Roman" w:hAnsi="Times New Roman" w:cs="Times New Roman"/>
                <w:sz w:val="22"/>
              </w:rPr>
              <w:t>manufacturing</w:t>
            </w:r>
            <w:proofErr w:type="spellEnd"/>
            <w:r>
              <w:rPr>
                <w:rFonts w:ascii="Times New Roman" w:hAnsi="Times New Roman" w:cs="Times New Roman"/>
                <w:sz w:val="22"/>
              </w:rPr>
              <w:t xml:space="preserve"> </w:t>
            </w:r>
            <w:proofErr w:type="spellStart"/>
            <w:r>
              <w:rPr>
                <w:rFonts w:ascii="Times New Roman" w:hAnsi="Times New Roman" w:cs="Times New Roman"/>
                <w:sz w:val="22"/>
              </w:rPr>
              <w:t>plant</w:t>
            </w:r>
            <w:proofErr w:type="spellEnd"/>
            <w:r>
              <w:rPr>
                <w:rFonts w:ascii="Times New Roman" w:hAnsi="Times New Roman" w:cs="Times New Roman"/>
                <w:sz w:val="22"/>
              </w:rPr>
              <w:t xml:space="preserve"> </w:t>
            </w:r>
            <w:proofErr w:type="spellStart"/>
            <w:r>
              <w:rPr>
                <w:rFonts w:ascii="Times New Roman" w:hAnsi="Times New Roman" w:cs="Times New Roman"/>
                <w:sz w:val="22"/>
              </w:rPr>
              <w:t>of</w:t>
            </w:r>
            <w:proofErr w:type="spellEnd"/>
            <w:r>
              <w:rPr>
                <w:rFonts w:ascii="Times New Roman" w:hAnsi="Times New Roman" w:cs="Times New Roman"/>
                <w:sz w:val="22"/>
              </w:rPr>
              <w:t xml:space="preserve"> </w:t>
            </w:r>
            <w:proofErr w:type="spellStart"/>
            <w:r>
              <w:rPr>
                <w:rFonts w:ascii="Times New Roman" w:hAnsi="Times New Roman" w:cs="Times New Roman"/>
                <w:sz w:val="22"/>
              </w:rPr>
              <w:t>the</w:t>
            </w:r>
            <w:proofErr w:type="spellEnd"/>
            <w:r>
              <w:rPr>
                <w:rFonts w:ascii="Times New Roman" w:hAnsi="Times New Roman" w:cs="Times New Roman"/>
                <w:sz w:val="22"/>
              </w:rPr>
              <w:t xml:space="preserve"> </w:t>
            </w:r>
            <w:proofErr w:type="spellStart"/>
            <w:r>
              <w:rPr>
                <w:rFonts w:ascii="Times New Roman" w:hAnsi="Times New Roman" w:cs="Times New Roman"/>
                <w:sz w:val="22"/>
              </w:rPr>
              <w:t>offered</w:t>
            </w:r>
            <w:proofErr w:type="spellEnd"/>
            <w:r>
              <w:rPr>
                <w:rFonts w:ascii="Times New Roman" w:hAnsi="Times New Roman" w:cs="Times New Roman"/>
                <w:sz w:val="22"/>
              </w:rPr>
              <w:t xml:space="preserve"> meter, and </w:t>
            </w:r>
            <w:proofErr w:type="spellStart"/>
            <w:r>
              <w:rPr>
                <w:rFonts w:ascii="Times New Roman" w:hAnsi="Times New Roman" w:cs="Times New Roman"/>
                <w:sz w:val="22"/>
              </w:rPr>
              <w:t>its</w:t>
            </w:r>
            <w:proofErr w:type="spellEnd"/>
            <w:r>
              <w:rPr>
                <w:rFonts w:ascii="Times New Roman" w:hAnsi="Times New Roman" w:cs="Times New Roman"/>
                <w:sz w:val="22"/>
              </w:rPr>
              <w:t xml:space="preserve"> </w:t>
            </w:r>
            <w:proofErr w:type="spellStart"/>
            <w:r>
              <w:rPr>
                <w:rFonts w:ascii="Times New Roman" w:hAnsi="Times New Roman" w:cs="Times New Roman"/>
                <w:sz w:val="22"/>
              </w:rPr>
              <w:t>scope</w:t>
            </w:r>
            <w:proofErr w:type="spellEnd"/>
            <w:r>
              <w:rPr>
                <w:rFonts w:ascii="Times New Roman" w:hAnsi="Times New Roman" w:cs="Times New Roman"/>
                <w:sz w:val="22"/>
              </w:rPr>
              <w:t xml:space="preserve"> </w:t>
            </w:r>
            <w:proofErr w:type="spellStart"/>
            <w:r>
              <w:rPr>
                <w:rFonts w:ascii="Times New Roman" w:hAnsi="Times New Roman" w:cs="Times New Roman"/>
                <w:sz w:val="22"/>
              </w:rPr>
              <w:t>must</w:t>
            </w:r>
            <w:proofErr w:type="spellEnd"/>
            <w:r>
              <w:rPr>
                <w:rFonts w:ascii="Times New Roman" w:hAnsi="Times New Roman" w:cs="Times New Roman"/>
                <w:sz w:val="22"/>
              </w:rPr>
              <w:t xml:space="preserve"> </w:t>
            </w:r>
            <w:proofErr w:type="spellStart"/>
            <w:r>
              <w:rPr>
                <w:rFonts w:ascii="Times New Roman" w:hAnsi="Times New Roman" w:cs="Times New Roman"/>
                <w:sz w:val="22"/>
              </w:rPr>
              <w:t>cover</w:t>
            </w:r>
            <w:proofErr w:type="spellEnd"/>
            <w:r>
              <w:rPr>
                <w:rFonts w:ascii="Times New Roman" w:hAnsi="Times New Roman" w:cs="Times New Roman"/>
                <w:sz w:val="22"/>
              </w:rPr>
              <w:t xml:space="preserve"> </w:t>
            </w:r>
            <w:proofErr w:type="spellStart"/>
            <w:r>
              <w:rPr>
                <w:rFonts w:ascii="Times New Roman" w:hAnsi="Times New Roman" w:cs="Times New Roman"/>
                <w:sz w:val="22"/>
              </w:rPr>
              <w:t>the</w:t>
            </w:r>
            <w:proofErr w:type="spellEnd"/>
            <w:r>
              <w:rPr>
                <w:rFonts w:ascii="Times New Roman" w:hAnsi="Times New Roman" w:cs="Times New Roman"/>
                <w:sz w:val="22"/>
              </w:rPr>
              <w:t xml:space="preserve"> </w:t>
            </w:r>
            <w:proofErr w:type="spellStart"/>
            <w:r>
              <w:rPr>
                <w:rFonts w:ascii="Times New Roman" w:hAnsi="Times New Roman" w:cs="Times New Roman"/>
                <w:sz w:val="22"/>
              </w:rPr>
              <w:t>design</w:t>
            </w:r>
            <w:proofErr w:type="spellEnd"/>
            <w:r>
              <w:rPr>
                <w:rFonts w:ascii="Times New Roman" w:hAnsi="Times New Roman" w:cs="Times New Roman"/>
                <w:sz w:val="22"/>
              </w:rPr>
              <w:t xml:space="preserve"> and </w:t>
            </w:r>
            <w:proofErr w:type="spellStart"/>
            <w:r>
              <w:rPr>
                <w:rFonts w:ascii="Times New Roman" w:hAnsi="Times New Roman" w:cs="Times New Roman"/>
                <w:sz w:val="22"/>
              </w:rPr>
              <w:t>manufacturing</w:t>
            </w:r>
            <w:proofErr w:type="spellEnd"/>
            <w:r>
              <w:rPr>
                <w:rFonts w:ascii="Times New Roman" w:hAnsi="Times New Roman" w:cs="Times New Roman"/>
                <w:sz w:val="22"/>
              </w:rPr>
              <w:t xml:space="preserve"> </w:t>
            </w:r>
            <w:proofErr w:type="spellStart"/>
            <w:r>
              <w:rPr>
                <w:rFonts w:ascii="Times New Roman" w:hAnsi="Times New Roman" w:cs="Times New Roman"/>
                <w:sz w:val="22"/>
              </w:rPr>
              <w:t>processes</w:t>
            </w:r>
            <w:proofErr w:type="spellEnd"/>
            <w:r>
              <w:rPr>
                <w:rFonts w:ascii="Times New Roman" w:hAnsi="Times New Roman" w:cs="Times New Roman"/>
                <w:sz w:val="22"/>
              </w:rPr>
              <w:t xml:space="preserve">. The </w:t>
            </w:r>
            <w:proofErr w:type="spellStart"/>
            <w:r>
              <w:rPr>
                <w:rFonts w:ascii="Times New Roman" w:hAnsi="Times New Roman" w:cs="Times New Roman"/>
                <w:sz w:val="22"/>
              </w:rPr>
              <w:t>certification</w:t>
            </w:r>
            <w:proofErr w:type="spellEnd"/>
            <w:r>
              <w:rPr>
                <w:rFonts w:ascii="Times New Roman" w:hAnsi="Times New Roman" w:cs="Times New Roman"/>
                <w:sz w:val="22"/>
              </w:rPr>
              <w:t xml:space="preserve"> </w:t>
            </w:r>
            <w:proofErr w:type="spellStart"/>
            <w:r>
              <w:rPr>
                <w:rFonts w:ascii="Times New Roman" w:hAnsi="Times New Roman" w:cs="Times New Roman"/>
                <w:sz w:val="22"/>
              </w:rPr>
              <w:t>must</w:t>
            </w:r>
            <w:proofErr w:type="spellEnd"/>
            <w:r>
              <w:rPr>
                <w:rFonts w:ascii="Times New Roman" w:hAnsi="Times New Roman" w:cs="Times New Roman"/>
                <w:sz w:val="22"/>
              </w:rPr>
              <w:t xml:space="preserve"> be </w:t>
            </w:r>
            <w:proofErr w:type="spellStart"/>
            <w:r>
              <w:rPr>
                <w:rFonts w:ascii="Times New Roman" w:hAnsi="Times New Roman" w:cs="Times New Roman"/>
                <w:sz w:val="22"/>
              </w:rPr>
              <w:t>issued</w:t>
            </w:r>
            <w:proofErr w:type="spellEnd"/>
            <w:r>
              <w:rPr>
                <w:rFonts w:ascii="Times New Roman" w:hAnsi="Times New Roman" w:cs="Times New Roman"/>
                <w:sz w:val="22"/>
              </w:rPr>
              <w:t xml:space="preserve"> </w:t>
            </w:r>
            <w:proofErr w:type="spellStart"/>
            <w:r>
              <w:rPr>
                <w:rFonts w:ascii="Times New Roman" w:hAnsi="Times New Roman" w:cs="Times New Roman"/>
                <w:sz w:val="22"/>
              </w:rPr>
              <w:t>unequivocally</w:t>
            </w:r>
            <w:proofErr w:type="spellEnd"/>
            <w:r>
              <w:rPr>
                <w:rFonts w:ascii="Times New Roman" w:hAnsi="Times New Roman" w:cs="Times New Roman"/>
                <w:sz w:val="22"/>
              </w:rPr>
              <w:t xml:space="preserve"> </w:t>
            </w:r>
            <w:proofErr w:type="spellStart"/>
            <w:r>
              <w:rPr>
                <w:rFonts w:ascii="Times New Roman" w:hAnsi="Times New Roman" w:cs="Times New Roman"/>
                <w:sz w:val="22"/>
              </w:rPr>
              <w:t>by</w:t>
            </w:r>
            <w:proofErr w:type="spellEnd"/>
            <w:r>
              <w:rPr>
                <w:rFonts w:ascii="Times New Roman" w:hAnsi="Times New Roman" w:cs="Times New Roman"/>
                <w:sz w:val="22"/>
              </w:rPr>
              <w:t xml:space="preserve"> </w:t>
            </w:r>
            <w:proofErr w:type="spellStart"/>
            <w:r>
              <w:rPr>
                <w:rFonts w:ascii="Times New Roman" w:hAnsi="Times New Roman" w:cs="Times New Roman"/>
                <w:sz w:val="22"/>
              </w:rPr>
              <w:t>an</w:t>
            </w:r>
            <w:proofErr w:type="spellEnd"/>
            <w:r>
              <w:rPr>
                <w:rFonts w:ascii="Times New Roman" w:hAnsi="Times New Roman" w:cs="Times New Roman"/>
                <w:sz w:val="22"/>
              </w:rPr>
              <w:t xml:space="preserve"> </w:t>
            </w:r>
            <w:proofErr w:type="spellStart"/>
            <w:r>
              <w:rPr>
                <w:rFonts w:ascii="Times New Roman" w:hAnsi="Times New Roman" w:cs="Times New Roman"/>
                <w:sz w:val="22"/>
              </w:rPr>
              <w:t>accredited</w:t>
            </w:r>
            <w:proofErr w:type="spellEnd"/>
            <w:r>
              <w:rPr>
                <w:rFonts w:ascii="Times New Roman" w:hAnsi="Times New Roman" w:cs="Times New Roman"/>
                <w:sz w:val="22"/>
              </w:rPr>
              <w:t xml:space="preserve"> </w:t>
            </w:r>
            <w:proofErr w:type="spellStart"/>
            <w:r>
              <w:rPr>
                <w:rFonts w:ascii="Times New Roman" w:hAnsi="Times New Roman" w:cs="Times New Roman"/>
                <w:sz w:val="22"/>
              </w:rPr>
              <w:t>certification</w:t>
            </w:r>
            <w:proofErr w:type="spellEnd"/>
            <w:r>
              <w:rPr>
                <w:rFonts w:ascii="Times New Roman" w:hAnsi="Times New Roman" w:cs="Times New Roman"/>
                <w:sz w:val="22"/>
              </w:rPr>
              <w:t xml:space="preserve"> </w:t>
            </w:r>
            <w:proofErr w:type="spellStart"/>
            <w:r>
              <w:rPr>
                <w:rFonts w:ascii="Times New Roman" w:hAnsi="Times New Roman" w:cs="Times New Roman"/>
                <w:sz w:val="22"/>
              </w:rPr>
              <w:t>body</w:t>
            </w:r>
            <w:proofErr w:type="spellEnd"/>
            <w:r>
              <w:rPr>
                <w:rFonts w:ascii="Times New Roman" w:hAnsi="Times New Roman" w:cs="Times New Roman"/>
                <w:sz w:val="22"/>
              </w:rPr>
              <w:t xml:space="preserve"> </w:t>
            </w:r>
            <w:proofErr w:type="spellStart"/>
            <w:r>
              <w:rPr>
                <w:rFonts w:ascii="Times New Roman" w:hAnsi="Times New Roman" w:cs="Times New Roman"/>
                <w:sz w:val="22"/>
              </w:rPr>
              <w:t>independent</w:t>
            </w:r>
            <w:proofErr w:type="spellEnd"/>
            <w:r>
              <w:rPr>
                <w:rFonts w:ascii="Times New Roman" w:hAnsi="Times New Roman" w:cs="Times New Roman"/>
                <w:sz w:val="22"/>
              </w:rPr>
              <w:t xml:space="preserve"> </w:t>
            </w:r>
            <w:proofErr w:type="spellStart"/>
            <w:r>
              <w:rPr>
                <w:rFonts w:ascii="Times New Roman" w:hAnsi="Times New Roman" w:cs="Times New Roman"/>
                <w:sz w:val="22"/>
              </w:rPr>
              <w:t>of</w:t>
            </w:r>
            <w:proofErr w:type="spellEnd"/>
            <w:r>
              <w:rPr>
                <w:rFonts w:ascii="Times New Roman" w:hAnsi="Times New Roman" w:cs="Times New Roman"/>
                <w:sz w:val="22"/>
              </w:rPr>
              <w:t xml:space="preserve"> </w:t>
            </w:r>
            <w:proofErr w:type="spellStart"/>
            <w:r>
              <w:rPr>
                <w:rFonts w:ascii="Times New Roman" w:hAnsi="Times New Roman" w:cs="Times New Roman"/>
                <w:sz w:val="22"/>
              </w:rPr>
              <w:t>the</w:t>
            </w:r>
            <w:proofErr w:type="spellEnd"/>
            <w:r>
              <w:rPr>
                <w:rFonts w:ascii="Times New Roman" w:hAnsi="Times New Roman" w:cs="Times New Roman"/>
                <w:sz w:val="22"/>
              </w:rPr>
              <w:t xml:space="preserve"> </w:t>
            </w:r>
            <w:proofErr w:type="spellStart"/>
            <w:r>
              <w:rPr>
                <w:rFonts w:ascii="Times New Roman" w:hAnsi="Times New Roman" w:cs="Times New Roman"/>
                <w:sz w:val="22"/>
              </w:rPr>
              <w:t>manufacturer</w:t>
            </w:r>
            <w:proofErr w:type="spellEnd"/>
            <w:r>
              <w:rPr>
                <w:rFonts w:ascii="Times New Roman" w:hAnsi="Times New Roman" w:cs="Times New Roman"/>
                <w:sz w:val="22"/>
              </w:rPr>
              <w:t xml:space="preserve"> and/</w:t>
            </w:r>
            <w:proofErr w:type="spellStart"/>
            <w:r>
              <w:rPr>
                <w:rFonts w:ascii="Times New Roman" w:hAnsi="Times New Roman" w:cs="Times New Roman"/>
                <w:sz w:val="22"/>
              </w:rPr>
              <w:t>or</w:t>
            </w:r>
            <w:proofErr w:type="spellEnd"/>
            <w:r>
              <w:rPr>
                <w:rFonts w:ascii="Times New Roman" w:hAnsi="Times New Roman" w:cs="Times New Roman"/>
                <w:sz w:val="22"/>
              </w:rPr>
              <w:t xml:space="preserve"> </w:t>
            </w:r>
            <w:proofErr w:type="spellStart"/>
            <w:r>
              <w:rPr>
                <w:rFonts w:ascii="Times New Roman" w:hAnsi="Times New Roman" w:cs="Times New Roman"/>
                <w:sz w:val="22"/>
              </w:rPr>
              <w:t>the</w:t>
            </w:r>
            <w:proofErr w:type="spellEnd"/>
            <w:r>
              <w:rPr>
                <w:rFonts w:ascii="Times New Roman" w:hAnsi="Times New Roman" w:cs="Times New Roman"/>
                <w:sz w:val="22"/>
              </w:rPr>
              <w:t xml:space="preserve"> </w:t>
            </w:r>
            <w:proofErr w:type="spellStart"/>
            <w:r>
              <w:rPr>
                <w:rFonts w:ascii="Times New Roman" w:hAnsi="Times New Roman" w:cs="Times New Roman"/>
                <w:sz w:val="22"/>
              </w:rPr>
              <w:t>group</w:t>
            </w:r>
            <w:proofErr w:type="spellEnd"/>
            <w:r>
              <w:rPr>
                <w:rFonts w:ascii="Times New Roman" w:hAnsi="Times New Roman" w:cs="Times New Roman"/>
                <w:sz w:val="22"/>
              </w:rPr>
              <w:t xml:space="preserve"> </w:t>
            </w:r>
            <w:proofErr w:type="spellStart"/>
            <w:r>
              <w:rPr>
                <w:rFonts w:ascii="Times New Roman" w:hAnsi="Times New Roman" w:cs="Times New Roman"/>
                <w:sz w:val="22"/>
              </w:rPr>
              <w:t>to</w:t>
            </w:r>
            <w:proofErr w:type="spellEnd"/>
            <w:r>
              <w:rPr>
                <w:rFonts w:ascii="Times New Roman" w:hAnsi="Times New Roman" w:cs="Times New Roman"/>
                <w:sz w:val="22"/>
              </w:rPr>
              <w:t xml:space="preserve"> </w:t>
            </w:r>
            <w:proofErr w:type="spellStart"/>
            <w:r>
              <w:rPr>
                <w:rFonts w:ascii="Times New Roman" w:hAnsi="Times New Roman" w:cs="Times New Roman"/>
                <w:sz w:val="22"/>
              </w:rPr>
              <w:t>which</w:t>
            </w:r>
            <w:proofErr w:type="spellEnd"/>
            <w:r>
              <w:rPr>
                <w:rFonts w:ascii="Times New Roman" w:hAnsi="Times New Roman" w:cs="Times New Roman"/>
                <w:sz w:val="22"/>
              </w:rPr>
              <w:t xml:space="preserve"> </w:t>
            </w:r>
            <w:proofErr w:type="spellStart"/>
            <w:r>
              <w:rPr>
                <w:rFonts w:ascii="Times New Roman" w:hAnsi="Times New Roman" w:cs="Times New Roman"/>
                <w:sz w:val="22"/>
              </w:rPr>
              <w:t>the</w:t>
            </w:r>
            <w:proofErr w:type="spellEnd"/>
            <w:r>
              <w:rPr>
                <w:rFonts w:ascii="Times New Roman" w:hAnsi="Times New Roman" w:cs="Times New Roman"/>
                <w:sz w:val="22"/>
              </w:rPr>
              <w:t xml:space="preserve"> </w:t>
            </w:r>
            <w:proofErr w:type="spellStart"/>
            <w:r>
              <w:rPr>
                <w:rFonts w:ascii="Times New Roman" w:hAnsi="Times New Roman" w:cs="Times New Roman"/>
                <w:sz w:val="22"/>
              </w:rPr>
              <w:t>manufacturer</w:t>
            </w:r>
            <w:proofErr w:type="spellEnd"/>
            <w:r>
              <w:rPr>
                <w:rFonts w:ascii="Times New Roman" w:hAnsi="Times New Roman" w:cs="Times New Roman"/>
                <w:sz w:val="22"/>
              </w:rPr>
              <w:t xml:space="preserve"> </w:t>
            </w:r>
            <w:proofErr w:type="spellStart"/>
            <w:r>
              <w:rPr>
                <w:rFonts w:ascii="Times New Roman" w:hAnsi="Times New Roman" w:cs="Times New Roman"/>
                <w:sz w:val="22"/>
              </w:rPr>
              <w:t>belongs</w:t>
            </w:r>
            <w:proofErr w:type="spellEnd"/>
            <w:r>
              <w:rPr>
                <w:rFonts w:ascii="Times New Roman" w:hAnsi="Times New Roman" w:cs="Times New Roman"/>
                <w:sz w:val="22"/>
              </w:rPr>
              <w:t xml:space="preserve">. </w:t>
            </w:r>
            <w:proofErr w:type="spellStart"/>
            <w:r>
              <w:rPr>
                <w:rFonts w:ascii="Times New Roman" w:hAnsi="Times New Roman" w:cs="Times New Roman"/>
                <w:sz w:val="22"/>
              </w:rPr>
              <w:t>Only</w:t>
            </w:r>
            <w:proofErr w:type="spellEnd"/>
            <w:r>
              <w:rPr>
                <w:rFonts w:ascii="Times New Roman" w:hAnsi="Times New Roman" w:cs="Times New Roman"/>
                <w:sz w:val="22"/>
              </w:rPr>
              <w:t xml:space="preserve"> </w:t>
            </w:r>
            <w:proofErr w:type="spellStart"/>
            <w:r>
              <w:rPr>
                <w:rFonts w:ascii="Times New Roman" w:hAnsi="Times New Roman" w:cs="Times New Roman"/>
                <w:sz w:val="22"/>
              </w:rPr>
              <w:t>certificates</w:t>
            </w:r>
            <w:proofErr w:type="spellEnd"/>
            <w:r>
              <w:rPr>
                <w:rFonts w:ascii="Times New Roman" w:hAnsi="Times New Roman" w:cs="Times New Roman"/>
                <w:sz w:val="22"/>
              </w:rPr>
              <w:t xml:space="preserve"> </w:t>
            </w:r>
            <w:proofErr w:type="spellStart"/>
            <w:r>
              <w:rPr>
                <w:rFonts w:ascii="Times New Roman" w:hAnsi="Times New Roman" w:cs="Times New Roman"/>
                <w:sz w:val="22"/>
              </w:rPr>
              <w:t>issued</w:t>
            </w:r>
            <w:proofErr w:type="spellEnd"/>
            <w:r>
              <w:rPr>
                <w:rFonts w:ascii="Times New Roman" w:hAnsi="Times New Roman" w:cs="Times New Roman"/>
                <w:sz w:val="22"/>
              </w:rPr>
              <w:t xml:space="preserve"> in Spanish, English, </w:t>
            </w:r>
            <w:proofErr w:type="spellStart"/>
            <w:r>
              <w:rPr>
                <w:rFonts w:ascii="Times New Roman" w:hAnsi="Times New Roman" w:cs="Times New Roman"/>
                <w:sz w:val="22"/>
              </w:rPr>
              <w:t>or</w:t>
            </w:r>
            <w:proofErr w:type="spellEnd"/>
            <w:r>
              <w:rPr>
                <w:rFonts w:ascii="Times New Roman" w:hAnsi="Times New Roman" w:cs="Times New Roman"/>
                <w:sz w:val="22"/>
              </w:rPr>
              <w:t xml:space="preserve"> Portuguese </w:t>
            </w:r>
            <w:proofErr w:type="spellStart"/>
            <w:r>
              <w:rPr>
                <w:rFonts w:ascii="Times New Roman" w:hAnsi="Times New Roman" w:cs="Times New Roman"/>
                <w:sz w:val="22"/>
              </w:rPr>
              <w:t>will</w:t>
            </w:r>
            <w:proofErr w:type="spellEnd"/>
            <w:r>
              <w:rPr>
                <w:rFonts w:ascii="Times New Roman" w:hAnsi="Times New Roman" w:cs="Times New Roman"/>
                <w:sz w:val="22"/>
              </w:rPr>
              <w:t xml:space="preserve"> be </w:t>
            </w:r>
            <w:proofErr w:type="spellStart"/>
            <w:r>
              <w:rPr>
                <w:rFonts w:ascii="Times New Roman" w:hAnsi="Times New Roman" w:cs="Times New Roman"/>
                <w:sz w:val="22"/>
              </w:rPr>
              <w:t>considered</w:t>
            </w:r>
            <w:proofErr w:type="spellEnd"/>
            <w:r>
              <w:rPr>
                <w:rFonts w:ascii="Times New Roman" w:hAnsi="Times New Roman" w:cs="Times New Roman"/>
                <w:sz w:val="22"/>
              </w:rPr>
              <w:t xml:space="preserve">. </w:t>
            </w:r>
            <w:proofErr w:type="spellStart"/>
            <w:r>
              <w:rPr>
                <w:rFonts w:ascii="Times New Roman" w:hAnsi="Times New Roman" w:cs="Times New Roman"/>
                <w:sz w:val="22"/>
              </w:rPr>
              <w:t>Certificates</w:t>
            </w:r>
            <w:proofErr w:type="spellEnd"/>
            <w:r>
              <w:rPr>
                <w:rFonts w:ascii="Times New Roman" w:hAnsi="Times New Roman" w:cs="Times New Roman"/>
                <w:sz w:val="22"/>
              </w:rPr>
              <w:t xml:space="preserve"> </w:t>
            </w:r>
            <w:proofErr w:type="spellStart"/>
            <w:r>
              <w:rPr>
                <w:rFonts w:ascii="Times New Roman" w:hAnsi="Times New Roman" w:cs="Times New Roman"/>
                <w:sz w:val="22"/>
              </w:rPr>
              <w:t>written</w:t>
            </w:r>
            <w:proofErr w:type="spellEnd"/>
            <w:r>
              <w:rPr>
                <w:rFonts w:ascii="Times New Roman" w:hAnsi="Times New Roman" w:cs="Times New Roman"/>
                <w:sz w:val="22"/>
              </w:rPr>
              <w:t xml:space="preserve"> in </w:t>
            </w:r>
            <w:proofErr w:type="spellStart"/>
            <w:r>
              <w:rPr>
                <w:rFonts w:ascii="Times New Roman" w:hAnsi="Times New Roman" w:cs="Times New Roman"/>
                <w:sz w:val="22"/>
              </w:rPr>
              <w:t>other</w:t>
            </w:r>
            <w:proofErr w:type="spellEnd"/>
            <w:r>
              <w:rPr>
                <w:rFonts w:ascii="Times New Roman" w:hAnsi="Times New Roman" w:cs="Times New Roman"/>
                <w:sz w:val="22"/>
              </w:rPr>
              <w:t xml:space="preserve"> </w:t>
            </w:r>
            <w:proofErr w:type="spellStart"/>
            <w:r>
              <w:rPr>
                <w:rFonts w:ascii="Times New Roman" w:hAnsi="Times New Roman" w:cs="Times New Roman"/>
                <w:sz w:val="22"/>
              </w:rPr>
              <w:t>languages</w:t>
            </w:r>
            <w:proofErr w:type="spellEnd"/>
            <w:r>
              <w:rPr>
                <w:rFonts w:ascii="Times New Roman" w:hAnsi="Times New Roman" w:cs="Times New Roman"/>
                <w:sz w:val="22"/>
              </w:rPr>
              <w:t xml:space="preserve"> ​​</w:t>
            </w:r>
            <w:proofErr w:type="spellStart"/>
            <w:r>
              <w:rPr>
                <w:rFonts w:ascii="Times New Roman" w:hAnsi="Times New Roman" w:cs="Times New Roman"/>
                <w:sz w:val="22"/>
              </w:rPr>
              <w:t>must</w:t>
            </w:r>
            <w:proofErr w:type="spellEnd"/>
            <w:r>
              <w:rPr>
                <w:rFonts w:ascii="Times New Roman" w:hAnsi="Times New Roman" w:cs="Times New Roman"/>
                <w:sz w:val="22"/>
              </w:rPr>
              <w:t xml:space="preserve"> be </w:t>
            </w:r>
            <w:proofErr w:type="spellStart"/>
            <w:r>
              <w:rPr>
                <w:rFonts w:ascii="Times New Roman" w:hAnsi="Times New Roman" w:cs="Times New Roman"/>
                <w:sz w:val="22"/>
              </w:rPr>
              <w:t>duly</w:t>
            </w:r>
            <w:proofErr w:type="spellEnd"/>
            <w:r>
              <w:rPr>
                <w:rFonts w:ascii="Times New Roman" w:hAnsi="Times New Roman" w:cs="Times New Roman"/>
                <w:sz w:val="22"/>
              </w:rPr>
              <w:t xml:space="preserve"> </w:t>
            </w:r>
            <w:proofErr w:type="spellStart"/>
            <w:r>
              <w:rPr>
                <w:rFonts w:ascii="Times New Roman" w:hAnsi="Times New Roman" w:cs="Times New Roman"/>
                <w:sz w:val="22"/>
              </w:rPr>
              <w:t>translated</w:t>
            </w:r>
            <w:proofErr w:type="spellEnd"/>
            <w:r>
              <w:rPr>
                <w:rFonts w:ascii="Times New Roman" w:hAnsi="Times New Roman" w:cs="Times New Roman"/>
                <w:sz w:val="22"/>
              </w:rPr>
              <w:t xml:space="preserve"> </w:t>
            </w:r>
            <w:proofErr w:type="spellStart"/>
            <w:r>
              <w:rPr>
                <w:rFonts w:ascii="Times New Roman" w:hAnsi="Times New Roman" w:cs="Times New Roman"/>
                <w:sz w:val="22"/>
              </w:rPr>
              <w:t>into</w:t>
            </w:r>
            <w:proofErr w:type="spellEnd"/>
            <w:r>
              <w:rPr>
                <w:rFonts w:ascii="Times New Roman" w:hAnsi="Times New Roman" w:cs="Times New Roman"/>
                <w:sz w:val="22"/>
              </w:rPr>
              <w:t xml:space="preserve"> Spanish.</w:t>
            </w:r>
          </w:p>
          <w:p w14:paraId="0E0E7986" w14:textId="77777777" w:rsidR="00E255F4" w:rsidRDefault="00000000">
            <w:pPr>
              <w:pStyle w:val="Default"/>
              <w:numPr>
                <w:ilvl w:val="0"/>
                <w:numId w:val="72"/>
              </w:numPr>
              <w:spacing w:after="120"/>
              <w:ind w:left="561" w:hanging="284"/>
              <w:jc w:val="both"/>
            </w:pPr>
            <w:proofErr w:type="spellStart"/>
            <w:r>
              <w:rPr>
                <w:rFonts w:ascii="Times New Roman" w:hAnsi="Times New Roman" w:cs="Times New Roman"/>
                <w:bCs/>
                <w:sz w:val="22"/>
                <w:szCs w:val="22"/>
              </w:rPr>
              <w:t>It</w:t>
            </w:r>
            <w:proofErr w:type="spellEnd"/>
            <w:r>
              <w:rPr>
                <w:rFonts w:ascii="Times New Roman" w:hAnsi="Times New Roman" w:cs="Times New Roman"/>
                <w:bCs/>
                <w:sz w:val="22"/>
                <w:szCs w:val="22"/>
              </w:rPr>
              <w:t xml:space="preserve"> </w:t>
            </w:r>
            <w:proofErr w:type="spellStart"/>
            <w:r>
              <w:rPr>
                <w:rFonts w:ascii="Times New Roman" w:hAnsi="Times New Roman" w:cs="Times New Roman"/>
                <w:bCs/>
                <w:sz w:val="22"/>
                <w:szCs w:val="22"/>
              </w:rPr>
              <w:t>must</w:t>
            </w:r>
            <w:proofErr w:type="spellEnd"/>
            <w:r>
              <w:rPr>
                <w:rFonts w:ascii="Times New Roman" w:hAnsi="Times New Roman" w:cs="Times New Roman"/>
                <w:bCs/>
                <w:sz w:val="22"/>
                <w:szCs w:val="22"/>
              </w:rPr>
              <w:t xml:space="preserve"> be </w:t>
            </w:r>
            <w:proofErr w:type="spellStart"/>
            <w:r>
              <w:rPr>
                <w:rFonts w:ascii="Times New Roman" w:hAnsi="Times New Roman" w:cs="Times New Roman"/>
                <w:bCs/>
                <w:sz w:val="22"/>
                <w:szCs w:val="22"/>
              </w:rPr>
              <w:t>demonstrated</w:t>
            </w:r>
            <w:proofErr w:type="spellEnd"/>
            <w:r>
              <w:rPr>
                <w:rFonts w:ascii="Times New Roman" w:hAnsi="Times New Roman" w:cs="Times New Roman"/>
                <w:bCs/>
                <w:sz w:val="22"/>
                <w:szCs w:val="22"/>
              </w:rPr>
              <w:t xml:space="preserve">, </w:t>
            </w:r>
            <w:proofErr w:type="spellStart"/>
            <w:r>
              <w:rPr>
                <w:rFonts w:ascii="Times New Roman" w:hAnsi="Times New Roman" w:cs="Times New Roman"/>
                <w:bCs/>
                <w:sz w:val="22"/>
                <w:szCs w:val="22"/>
              </w:rPr>
              <w:t>through</w:t>
            </w:r>
            <w:proofErr w:type="spellEnd"/>
            <w:r>
              <w:rPr>
                <w:rFonts w:ascii="Times New Roman" w:hAnsi="Times New Roman" w:cs="Times New Roman"/>
                <w:bCs/>
                <w:sz w:val="22"/>
                <w:szCs w:val="22"/>
              </w:rPr>
              <w:t xml:space="preserve"> a </w:t>
            </w:r>
            <w:proofErr w:type="spellStart"/>
            <w:r>
              <w:rPr>
                <w:rFonts w:ascii="Times New Roman" w:hAnsi="Times New Roman" w:cs="Times New Roman"/>
                <w:bCs/>
                <w:sz w:val="22"/>
                <w:szCs w:val="22"/>
              </w:rPr>
              <w:t>receipt</w:t>
            </w:r>
            <w:proofErr w:type="spellEnd"/>
            <w:r>
              <w:rPr>
                <w:rFonts w:ascii="Times New Roman" w:hAnsi="Times New Roman" w:cs="Times New Roman"/>
                <w:bCs/>
                <w:sz w:val="22"/>
                <w:szCs w:val="22"/>
              </w:rPr>
              <w:t xml:space="preserve"> </w:t>
            </w:r>
            <w:proofErr w:type="spellStart"/>
            <w:r>
              <w:rPr>
                <w:rFonts w:ascii="Times New Roman" w:hAnsi="Times New Roman" w:cs="Times New Roman"/>
                <w:bCs/>
                <w:sz w:val="22"/>
                <w:szCs w:val="22"/>
              </w:rPr>
              <w:t>issued</w:t>
            </w:r>
            <w:proofErr w:type="spellEnd"/>
            <w:r>
              <w:rPr>
                <w:rFonts w:ascii="Times New Roman" w:hAnsi="Times New Roman" w:cs="Times New Roman"/>
                <w:bCs/>
                <w:sz w:val="22"/>
                <w:szCs w:val="22"/>
              </w:rPr>
              <w:t xml:space="preserve"> </w:t>
            </w:r>
            <w:proofErr w:type="spellStart"/>
            <w:r>
              <w:rPr>
                <w:rFonts w:ascii="Times New Roman" w:hAnsi="Times New Roman" w:cs="Times New Roman"/>
                <w:bCs/>
                <w:sz w:val="22"/>
                <w:szCs w:val="22"/>
              </w:rPr>
              <w:t>by</w:t>
            </w:r>
            <w:proofErr w:type="spellEnd"/>
            <w:r>
              <w:rPr>
                <w:rFonts w:ascii="Times New Roman" w:hAnsi="Times New Roman" w:cs="Times New Roman"/>
                <w:bCs/>
                <w:sz w:val="22"/>
                <w:szCs w:val="22"/>
              </w:rPr>
              <w:t xml:space="preserve"> </w:t>
            </w:r>
            <w:proofErr w:type="spellStart"/>
            <w:r>
              <w:rPr>
                <w:rFonts w:ascii="Times New Roman" w:hAnsi="Times New Roman" w:cs="Times New Roman"/>
                <w:bCs/>
                <w:sz w:val="22"/>
                <w:szCs w:val="22"/>
              </w:rPr>
              <w:t>the</w:t>
            </w:r>
            <w:proofErr w:type="spellEnd"/>
            <w:r>
              <w:rPr>
                <w:rFonts w:ascii="Times New Roman" w:hAnsi="Times New Roman" w:cs="Times New Roman"/>
                <w:bCs/>
                <w:sz w:val="22"/>
                <w:szCs w:val="22"/>
              </w:rPr>
              <w:t xml:space="preserve"> </w:t>
            </w:r>
            <w:proofErr w:type="spellStart"/>
            <w:r>
              <w:rPr>
                <w:rFonts w:ascii="Times New Roman" w:hAnsi="Times New Roman" w:cs="Times New Roman"/>
                <w:bCs/>
                <w:sz w:val="22"/>
                <w:szCs w:val="22"/>
              </w:rPr>
              <w:t>manufacturer</w:t>
            </w:r>
            <w:proofErr w:type="spellEnd"/>
            <w:r>
              <w:rPr>
                <w:rFonts w:ascii="Times New Roman" w:hAnsi="Times New Roman" w:cs="Times New Roman"/>
                <w:bCs/>
                <w:sz w:val="22"/>
                <w:szCs w:val="22"/>
              </w:rPr>
              <w:t xml:space="preserve">, </w:t>
            </w:r>
            <w:proofErr w:type="spellStart"/>
            <w:r>
              <w:rPr>
                <w:rFonts w:ascii="Times New Roman" w:hAnsi="Times New Roman" w:cs="Times New Roman"/>
                <w:bCs/>
                <w:sz w:val="22"/>
                <w:szCs w:val="22"/>
              </w:rPr>
              <w:t>that</w:t>
            </w:r>
            <w:proofErr w:type="spellEnd"/>
            <w:r>
              <w:rPr>
                <w:rFonts w:ascii="Times New Roman" w:hAnsi="Times New Roman" w:cs="Times New Roman"/>
                <w:bCs/>
                <w:sz w:val="22"/>
                <w:szCs w:val="22"/>
              </w:rPr>
              <w:t xml:space="preserve"> </w:t>
            </w:r>
            <w:proofErr w:type="spellStart"/>
            <w:r>
              <w:rPr>
                <w:rFonts w:ascii="Times New Roman" w:hAnsi="Times New Roman" w:cs="Times New Roman"/>
                <w:bCs/>
                <w:sz w:val="22"/>
                <w:szCs w:val="22"/>
              </w:rPr>
              <w:t>they</w:t>
            </w:r>
            <w:proofErr w:type="spellEnd"/>
            <w:r>
              <w:rPr>
                <w:rFonts w:ascii="Times New Roman" w:hAnsi="Times New Roman" w:cs="Times New Roman"/>
                <w:bCs/>
                <w:sz w:val="22"/>
                <w:szCs w:val="22"/>
              </w:rPr>
              <w:t xml:space="preserve"> </w:t>
            </w:r>
            <w:proofErr w:type="spellStart"/>
            <w:r>
              <w:rPr>
                <w:rFonts w:ascii="Times New Roman" w:hAnsi="Times New Roman" w:cs="Times New Roman"/>
                <w:bCs/>
                <w:sz w:val="22"/>
                <w:szCs w:val="22"/>
              </w:rPr>
              <w:t>have</w:t>
            </w:r>
            <w:proofErr w:type="spellEnd"/>
            <w:r>
              <w:rPr>
                <w:rFonts w:ascii="Times New Roman" w:hAnsi="Times New Roman" w:cs="Times New Roman"/>
                <w:bCs/>
                <w:sz w:val="22"/>
                <w:szCs w:val="22"/>
              </w:rPr>
              <w:t xml:space="preserve"> </w:t>
            </w:r>
            <w:proofErr w:type="spellStart"/>
            <w:r>
              <w:rPr>
                <w:rFonts w:ascii="Times New Roman" w:hAnsi="Times New Roman" w:cs="Times New Roman"/>
                <w:bCs/>
                <w:sz w:val="22"/>
                <w:szCs w:val="22"/>
              </w:rPr>
              <w:t>sold</w:t>
            </w:r>
            <w:proofErr w:type="spellEnd"/>
            <w:r>
              <w:rPr>
                <w:rFonts w:ascii="Times New Roman" w:hAnsi="Times New Roman" w:cs="Times New Roman"/>
                <w:bCs/>
                <w:sz w:val="22"/>
                <w:szCs w:val="22"/>
              </w:rPr>
              <w:t xml:space="preserve"> </w:t>
            </w:r>
            <w:proofErr w:type="spellStart"/>
            <w:r>
              <w:rPr>
                <w:rFonts w:ascii="Times New Roman" w:hAnsi="Times New Roman" w:cs="Times New Roman"/>
                <w:bCs/>
                <w:sz w:val="22"/>
                <w:szCs w:val="22"/>
              </w:rPr>
              <w:t>goods</w:t>
            </w:r>
            <w:proofErr w:type="spellEnd"/>
            <w:r>
              <w:rPr>
                <w:rFonts w:ascii="Times New Roman" w:hAnsi="Times New Roman" w:cs="Times New Roman"/>
                <w:bCs/>
                <w:sz w:val="22"/>
                <w:szCs w:val="22"/>
              </w:rPr>
              <w:t xml:space="preserve"> </w:t>
            </w:r>
            <w:proofErr w:type="spellStart"/>
            <w:r>
              <w:rPr>
                <w:rFonts w:ascii="Times New Roman" w:hAnsi="Times New Roman" w:cs="Times New Roman"/>
                <w:bCs/>
                <w:sz w:val="22"/>
                <w:szCs w:val="22"/>
              </w:rPr>
              <w:t>identical</w:t>
            </w:r>
            <w:proofErr w:type="spellEnd"/>
            <w:r>
              <w:rPr>
                <w:rFonts w:ascii="Times New Roman" w:hAnsi="Times New Roman" w:cs="Times New Roman"/>
                <w:bCs/>
                <w:sz w:val="22"/>
                <w:szCs w:val="22"/>
              </w:rPr>
              <w:t xml:space="preserve"> </w:t>
            </w:r>
            <w:proofErr w:type="spellStart"/>
            <w:r>
              <w:rPr>
                <w:rFonts w:ascii="Times New Roman" w:hAnsi="Times New Roman" w:cs="Times New Roman"/>
                <w:bCs/>
                <w:sz w:val="22"/>
                <w:szCs w:val="22"/>
              </w:rPr>
              <w:t>or</w:t>
            </w:r>
            <w:proofErr w:type="spellEnd"/>
            <w:r>
              <w:rPr>
                <w:rFonts w:ascii="Times New Roman" w:hAnsi="Times New Roman" w:cs="Times New Roman"/>
                <w:bCs/>
                <w:sz w:val="22"/>
                <w:szCs w:val="22"/>
              </w:rPr>
              <w:t xml:space="preserve"> similar </w:t>
            </w:r>
            <w:proofErr w:type="spellStart"/>
            <w:r>
              <w:rPr>
                <w:rFonts w:ascii="Times New Roman" w:hAnsi="Times New Roman" w:cs="Times New Roman"/>
                <w:bCs/>
                <w:sz w:val="22"/>
                <w:szCs w:val="22"/>
              </w:rPr>
              <w:t>to</w:t>
            </w:r>
            <w:proofErr w:type="spellEnd"/>
            <w:r>
              <w:rPr>
                <w:rFonts w:ascii="Times New Roman" w:hAnsi="Times New Roman" w:cs="Times New Roman"/>
                <w:bCs/>
                <w:sz w:val="22"/>
                <w:szCs w:val="22"/>
              </w:rPr>
              <w:t xml:space="preserve"> </w:t>
            </w:r>
            <w:proofErr w:type="spellStart"/>
            <w:r>
              <w:rPr>
                <w:rFonts w:ascii="Times New Roman" w:hAnsi="Times New Roman" w:cs="Times New Roman"/>
                <w:bCs/>
                <w:sz w:val="22"/>
                <w:szCs w:val="22"/>
              </w:rPr>
              <w:t>those</w:t>
            </w:r>
            <w:proofErr w:type="spellEnd"/>
            <w:r>
              <w:rPr>
                <w:rFonts w:ascii="Times New Roman" w:hAnsi="Times New Roman" w:cs="Times New Roman"/>
                <w:bCs/>
                <w:sz w:val="22"/>
                <w:szCs w:val="22"/>
              </w:rPr>
              <w:t xml:space="preserve"> </w:t>
            </w:r>
            <w:proofErr w:type="spellStart"/>
            <w:r>
              <w:rPr>
                <w:rFonts w:ascii="Times New Roman" w:hAnsi="Times New Roman" w:cs="Times New Roman"/>
                <w:bCs/>
                <w:sz w:val="22"/>
                <w:szCs w:val="22"/>
              </w:rPr>
              <w:t>offered</w:t>
            </w:r>
            <w:proofErr w:type="spellEnd"/>
            <w:r>
              <w:rPr>
                <w:rFonts w:ascii="Times New Roman" w:hAnsi="Times New Roman" w:cs="Times New Roman"/>
                <w:bCs/>
                <w:sz w:val="22"/>
                <w:szCs w:val="22"/>
              </w:rPr>
              <w:t xml:space="preserve">, </w:t>
            </w:r>
            <w:proofErr w:type="spellStart"/>
            <w:r>
              <w:rPr>
                <w:rFonts w:ascii="Times New Roman" w:hAnsi="Times New Roman" w:cs="Times New Roman"/>
                <w:bCs/>
                <w:sz w:val="22"/>
                <w:szCs w:val="22"/>
              </w:rPr>
              <w:t>for</w:t>
            </w:r>
            <w:proofErr w:type="spellEnd"/>
            <w:r>
              <w:rPr>
                <w:rFonts w:ascii="Times New Roman" w:hAnsi="Times New Roman" w:cs="Times New Roman"/>
                <w:bCs/>
                <w:sz w:val="22"/>
                <w:szCs w:val="22"/>
              </w:rPr>
              <w:t xml:space="preserve"> a </w:t>
            </w:r>
            <w:proofErr w:type="spellStart"/>
            <w:r>
              <w:rPr>
                <w:rFonts w:ascii="Times New Roman" w:hAnsi="Times New Roman" w:cs="Times New Roman"/>
                <w:bCs/>
                <w:sz w:val="22"/>
                <w:szCs w:val="22"/>
              </w:rPr>
              <w:t>minimum</w:t>
            </w:r>
            <w:proofErr w:type="spellEnd"/>
            <w:r>
              <w:rPr>
                <w:rFonts w:ascii="Times New Roman" w:hAnsi="Times New Roman" w:cs="Times New Roman"/>
                <w:bCs/>
                <w:sz w:val="22"/>
                <w:szCs w:val="22"/>
              </w:rPr>
              <w:t xml:space="preserve"> </w:t>
            </w:r>
            <w:proofErr w:type="spellStart"/>
            <w:r>
              <w:rPr>
                <w:rFonts w:ascii="Times New Roman" w:hAnsi="Times New Roman" w:cs="Times New Roman"/>
                <w:bCs/>
                <w:sz w:val="22"/>
                <w:szCs w:val="22"/>
              </w:rPr>
              <w:t>quantity</w:t>
            </w:r>
            <w:proofErr w:type="spellEnd"/>
            <w:r>
              <w:rPr>
                <w:rFonts w:ascii="Times New Roman" w:hAnsi="Times New Roman" w:cs="Times New Roman"/>
                <w:bCs/>
                <w:sz w:val="22"/>
                <w:szCs w:val="22"/>
              </w:rPr>
              <w:t xml:space="preserve"> </w:t>
            </w:r>
            <w:proofErr w:type="spellStart"/>
            <w:r>
              <w:rPr>
                <w:rFonts w:ascii="Times New Roman" w:hAnsi="Times New Roman" w:cs="Times New Roman"/>
                <w:bCs/>
                <w:sz w:val="22"/>
                <w:szCs w:val="22"/>
              </w:rPr>
              <w:t>equivalent</w:t>
            </w:r>
            <w:proofErr w:type="spellEnd"/>
            <w:r>
              <w:rPr>
                <w:rFonts w:ascii="Times New Roman" w:hAnsi="Times New Roman" w:cs="Times New Roman"/>
                <w:bCs/>
                <w:sz w:val="22"/>
                <w:szCs w:val="22"/>
              </w:rPr>
              <w:t xml:space="preserve"> </w:t>
            </w:r>
            <w:proofErr w:type="spellStart"/>
            <w:r>
              <w:rPr>
                <w:rFonts w:ascii="Times New Roman" w:hAnsi="Times New Roman" w:cs="Times New Roman"/>
                <w:bCs/>
                <w:sz w:val="22"/>
                <w:szCs w:val="22"/>
              </w:rPr>
              <w:t>to</w:t>
            </w:r>
            <w:proofErr w:type="spellEnd"/>
            <w:r>
              <w:rPr>
                <w:rFonts w:ascii="Times New Roman" w:hAnsi="Times New Roman" w:cs="Times New Roman"/>
                <w:bCs/>
                <w:sz w:val="22"/>
                <w:szCs w:val="22"/>
              </w:rPr>
              <w:t xml:space="preserve"> 30% </w:t>
            </w:r>
            <w:proofErr w:type="spellStart"/>
            <w:r>
              <w:rPr>
                <w:rFonts w:ascii="Times New Roman" w:hAnsi="Times New Roman" w:cs="Times New Roman"/>
                <w:bCs/>
                <w:sz w:val="22"/>
                <w:szCs w:val="22"/>
              </w:rPr>
              <w:t>of</w:t>
            </w:r>
            <w:proofErr w:type="spellEnd"/>
            <w:r>
              <w:rPr>
                <w:rFonts w:ascii="Times New Roman" w:hAnsi="Times New Roman" w:cs="Times New Roman"/>
                <w:bCs/>
                <w:sz w:val="22"/>
                <w:szCs w:val="22"/>
              </w:rPr>
              <w:t xml:space="preserve"> </w:t>
            </w:r>
            <w:proofErr w:type="spellStart"/>
            <w:r>
              <w:rPr>
                <w:rFonts w:ascii="Times New Roman" w:hAnsi="Times New Roman" w:cs="Times New Roman"/>
                <w:bCs/>
                <w:sz w:val="22"/>
                <w:szCs w:val="22"/>
              </w:rPr>
              <w:t>the</w:t>
            </w:r>
            <w:proofErr w:type="spellEnd"/>
            <w:r>
              <w:rPr>
                <w:rFonts w:ascii="Times New Roman" w:hAnsi="Times New Roman" w:cs="Times New Roman"/>
                <w:bCs/>
                <w:sz w:val="22"/>
                <w:szCs w:val="22"/>
              </w:rPr>
              <w:t xml:space="preserve"> </w:t>
            </w:r>
            <w:proofErr w:type="spellStart"/>
            <w:r>
              <w:rPr>
                <w:rFonts w:ascii="Times New Roman" w:hAnsi="Times New Roman" w:cs="Times New Roman"/>
                <w:bCs/>
                <w:sz w:val="22"/>
                <w:szCs w:val="22"/>
              </w:rPr>
              <w:t>quantity</w:t>
            </w:r>
            <w:proofErr w:type="spellEnd"/>
            <w:r>
              <w:rPr>
                <w:rFonts w:ascii="Times New Roman" w:hAnsi="Times New Roman" w:cs="Times New Roman"/>
                <w:bCs/>
                <w:sz w:val="22"/>
                <w:szCs w:val="22"/>
              </w:rPr>
              <w:t xml:space="preserve"> </w:t>
            </w:r>
            <w:proofErr w:type="spellStart"/>
            <w:r>
              <w:rPr>
                <w:rFonts w:ascii="Times New Roman" w:hAnsi="Times New Roman" w:cs="Times New Roman"/>
                <w:bCs/>
                <w:sz w:val="22"/>
                <w:szCs w:val="22"/>
              </w:rPr>
              <w:t>requested</w:t>
            </w:r>
            <w:proofErr w:type="spellEnd"/>
            <w:r>
              <w:rPr>
                <w:rFonts w:ascii="Times New Roman" w:hAnsi="Times New Roman" w:cs="Times New Roman"/>
                <w:bCs/>
                <w:sz w:val="22"/>
                <w:szCs w:val="22"/>
              </w:rPr>
              <w:t xml:space="preserve"> </w:t>
            </w:r>
            <w:proofErr w:type="spellStart"/>
            <w:r>
              <w:rPr>
                <w:rFonts w:ascii="Times New Roman" w:hAnsi="Times New Roman" w:cs="Times New Roman"/>
                <w:bCs/>
                <w:sz w:val="22"/>
                <w:szCs w:val="22"/>
              </w:rPr>
              <w:t>for</w:t>
            </w:r>
            <w:proofErr w:type="spellEnd"/>
            <w:r>
              <w:rPr>
                <w:rFonts w:ascii="Times New Roman" w:hAnsi="Times New Roman" w:cs="Times New Roman"/>
                <w:bCs/>
                <w:sz w:val="22"/>
                <w:szCs w:val="22"/>
              </w:rPr>
              <w:t xml:space="preserve"> </w:t>
            </w:r>
            <w:proofErr w:type="spellStart"/>
            <w:r>
              <w:rPr>
                <w:rFonts w:ascii="Times New Roman" w:hAnsi="Times New Roman" w:cs="Times New Roman"/>
                <w:bCs/>
                <w:sz w:val="22"/>
                <w:szCs w:val="22"/>
              </w:rPr>
              <w:t>each</w:t>
            </w:r>
            <w:proofErr w:type="spellEnd"/>
            <w:r>
              <w:rPr>
                <w:rFonts w:ascii="Times New Roman" w:hAnsi="Times New Roman" w:cs="Times New Roman"/>
                <w:bCs/>
                <w:sz w:val="22"/>
                <w:szCs w:val="22"/>
              </w:rPr>
              <w:t xml:space="preserve"> </w:t>
            </w:r>
            <w:proofErr w:type="spellStart"/>
            <w:r>
              <w:rPr>
                <w:rFonts w:ascii="Times New Roman" w:hAnsi="Times New Roman" w:cs="Times New Roman"/>
                <w:bCs/>
                <w:sz w:val="22"/>
                <w:szCs w:val="22"/>
              </w:rPr>
              <w:t>of</w:t>
            </w:r>
            <w:proofErr w:type="spellEnd"/>
            <w:r>
              <w:rPr>
                <w:rFonts w:ascii="Times New Roman" w:hAnsi="Times New Roman" w:cs="Times New Roman"/>
                <w:bCs/>
                <w:sz w:val="22"/>
                <w:szCs w:val="22"/>
              </w:rPr>
              <w:t xml:space="preserve"> </w:t>
            </w:r>
            <w:proofErr w:type="spellStart"/>
            <w:r>
              <w:rPr>
                <w:rFonts w:ascii="Times New Roman" w:hAnsi="Times New Roman" w:cs="Times New Roman"/>
                <w:bCs/>
                <w:sz w:val="22"/>
                <w:szCs w:val="22"/>
              </w:rPr>
              <w:t>the</w:t>
            </w:r>
            <w:proofErr w:type="spellEnd"/>
            <w:r>
              <w:rPr>
                <w:rFonts w:ascii="Times New Roman" w:hAnsi="Times New Roman" w:cs="Times New Roman"/>
                <w:bCs/>
                <w:sz w:val="22"/>
                <w:szCs w:val="22"/>
              </w:rPr>
              <w:t xml:space="preserve"> </w:t>
            </w:r>
            <w:proofErr w:type="spellStart"/>
            <w:r>
              <w:rPr>
                <w:rFonts w:ascii="Times New Roman" w:hAnsi="Times New Roman" w:cs="Times New Roman"/>
                <w:bCs/>
                <w:sz w:val="22"/>
                <w:szCs w:val="22"/>
              </w:rPr>
              <w:t>offered</w:t>
            </w:r>
            <w:proofErr w:type="spellEnd"/>
            <w:r>
              <w:rPr>
                <w:rFonts w:ascii="Times New Roman" w:hAnsi="Times New Roman" w:cs="Times New Roman"/>
                <w:bCs/>
                <w:sz w:val="22"/>
                <w:szCs w:val="22"/>
              </w:rPr>
              <w:t xml:space="preserve"> </w:t>
            </w:r>
            <w:proofErr w:type="spellStart"/>
            <w:r>
              <w:rPr>
                <w:rFonts w:ascii="Times New Roman" w:hAnsi="Times New Roman" w:cs="Times New Roman"/>
                <w:bCs/>
                <w:sz w:val="22"/>
                <w:szCs w:val="22"/>
              </w:rPr>
              <w:t>goods</w:t>
            </w:r>
            <w:proofErr w:type="spellEnd"/>
            <w:r>
              <w:rPr>
                <w:rFonts w:ascii="Times New Roman" w:hAnsi="Times New Roman" w:cs="Times New Roman"/>
                <w:bCs/>
                <w:sz w:val="22"/>
                <w:szCs w:val="22"/>
              </w:rPr>
              <w:t xml:space="preserve">. </w:t>
            </w:r>
            <w:proofErr w:type="spellStart"/>
            <w:r>
              <w:rPr>
                <w:rFonts w:ascii="Times New Roman" w:hAnsi="Times New Roman" w:cs="Times New Roman"/>
                <w:bCs/>
                <w:sz w:val="22"/>
                <w:szCs w:val="22"/>
              </w:rPr>
              <w:t>To</w:t>
            </w:r>
            <w:proofErr w:type="spellEnd"/>
            <w:r>
              <w:rPr>
                <w:rFonts w:ascii="Times New Roman" w:hAnsi="Times New Roman" w:cs="Times New Roman"/>
                <w:bCs/>
                <w:sz w:val="22"/>
                <w:szCs w:val="22"/>
              </w:rPr>
              <w:t xml:space="preserve"> do </w:t>
            </w:r>
            <w:proofErr w:type="spellStart"/>
            <w:r>
              <w:rPr>
                <w:rFonts w:ascii="Times New Roman" w:hAnsi="Times New Roman" w:cs="Times New Roman"/>
                <w:bCs/>
                <w:sz w:val="22"/>
                <w:szCs w:val="22"/>
              </w:rPr>
              <w:t>this</w:t>
            </w:r>
            <w:proofErr w:type="spellEnd"/>
            <w:r>
              <w:rPr>
                <w:rFonts w:ascii="Times New Roman" w:hAnsi="Times New Roman" w:cs="Times New Roman"/>
                <w:bCs/>
                <w:sz w:val="22"/>
                <w:szCs w:val="22"/>
              </w:rPr>
              <w:t xml:space="preserve">, </w:t>
            </w:r>
            <w:proofErr w:type="spellStart"/>
            <w:r>
              <w:rPr>
                <w:rFonts w:ascii="Times New Roman" w:hAnsi="Times New Roman" w:cs="Times New Roman"/>
                <w:bCs/>
                <w:sz w:val="22"/>
                <w:szCs w:val="22"/>
              </w:rPr>
              <w:t>the</w:t>
            </w:r>
            <w:proofErr w:type="spellEnd"/>
            <w:r>
              <w:rPr>
                <w:rFonts w:ascii="Times New Roman" w:hAnsi="Times New Roman" w:cs="Times New Roman"/>
                <w:bCs/>
                <w:sz w:val="22"/>
                <w:szCs w:val="22"/>
              </w:rPr>
              <w:t xml:space="preserve"> </w:t>
            </w:r>
            <w:proofErr w:type="spellStart"/>
            <w:r>
              <w:rPr>
                <w:rFonts w:ascii="Times New Roman" w:hAnsi="Times New Roman" w:cs="Times New Roman"/>
                <w:bCs/>
                <w:sz w:val="22"/>
                <w:szCs w:val="22"/>
              </w:rPr>
              <w:t>Manufacturer's</w:t>
            </w:r>
            <w:proofErr w:type="spellEnd"/>
            <w:r>
              <w:rPr>
                <w:rFonts w:ascii="Times New Roman" w:hAnsi="Times New Roman" w:cs="Times New Roman"/>
                <w:bCs/>
                <w:sz w:val="22"/>
                <w:szCs w:val="22"/>
              </w:rPr>
              <w:t xml:space="preserve"> </w:t>
            </w:r>
            <w:proofErr w:type="spellStart"/>
            <w:r>
              <w:rPr>
                <w:rFonts w:ascii="Times New Roman" w:hAnsi="Times New Roman" w:cs="Times New Roman"/>
                <w:bCs/>
                <w:sz w:val="22"/>
                <w:szCs w:val="22"/>
              </w:rPr>
              <w:t>Experience</w:t>
            </w:r>
            <w:proofErr w:type="spellEnd"/>
            <w:r>
              <w:rPr>
                <w:rFonts w:ascii="Times New Roman" w:hAnsi="Times New Roman" w:cs="Times New Roman"/>
                <w:bCs/>
                <w:sz w:val="22"/>
                <w:szCs w:val="22"/>
              </w:rPr>
              <w:t xml:space="preserve"> </w:t>
            </w:r>
            <w:proofErr w:type="spellStart"/>
            <w:r>
              <w:rPr>
                <w:rFonts w:ascii="Times New Roman" w:hAnsi="Times New Roman" w:cs="Times New Roman"/>
                <w:bCs/>
                <w:sz w:val="22"/>
                <w:szCs w:val="22"/>
              </w:rPr>
              <w:t>form</w:t>
            </w:r>
            <w:proofErr w:type="spellEnd"/>
            <w:r>
              <w:rPr>
                <w:rFonts w:ascii="Times New Roman" w:hAnsi="Times New Roman" w:cs="Times New Roman"/>
                <w:bCs/>
                <w:sz w:val="22"/>
                <w:szCs w:val="22"/>
              </w:rPr>
              <w:t xml:space="preserve"> (</w:t>
            </w:r>
            <w:proofErr w:type="spellStart"/>
            <w:r>
              <w:rPr>
                <w:rFonts w:ascii="Times New Roman" w:hAnsi="Times New Roman" w:cs="Times New Roman"/>
                <w:bCs/>
                <w:sz w:val="22"/>
                <w:szCs w:val="22"/>
              </w:rPr>
              <w:t>Annex</w:t>
            </w:r>
            <w:proofErr w:type="spellEnd"/>
            <w:r>
              <w:rPr>
                <w:rFonts w:ascii="Times New Roman" w:hAnsi="Times New Roman" w:cs="Times New Roman"/>
                <w:bCs/>
                <w:sz w:val="22"/>
                <w:szCs w:val="22"/>
              </w:rPr>
              <w:t xml:space="preserve"> VI) </w:t>
            </w:r>
            <w:proofErr w:type="spellStart"/>
            <w:r>
              <w:rPr>
                <w:rFonts w:ascii="Times New Roman" w:hAnsi="Times New Roman" w:cs="Times New Roman"/>
                <w:bCs/>
                <w:sz w:val="22"/>
                <w:szCs w:val="22"/>
              </w:rPr>
              <w:t>must</w:t>
            </w:r>
            <w:proofErr w:type="spellEnd"/>
            <w:r>
              <w:rPr>
                <w:rFonts w:ascii="Times New Roman" w:hAnsi="Times New Roman" w:cs="Times New Roman"/>
                <w:bCs/>
                <w:sz w:val="22"/>
                <w:szCs w:val="22"/>
              </w:rPr>
              <w:t xml:space="preserve"> be </w:t>
            </w:r>
            <w:proofErr w:type="spellStart"/>
            <w:r>
              <w:rPr>
                <w:rFonts w:ascii="Times New Roman" w:hAnsi="Times New Roman" w:cs="Times New Roman"/>
                <w:bCs/>
                <w:sz w:val="22"/>
                <w:szCs w:val="22"/>
              </w:rPr>
              <w:t>completed</w:t>
            </w:r>
            <w:proofErr w:type="spellEnd"/>
            <w:r>
              <w:rPr>
                <w:rFonts w:ascii="Times New Roman" w:hAnsi="Times New Roman" w:cs="Times New Roman"/>
                <w:bCs/>
                <w:sz w:val="22"/>
                <w:szCs w:val="22"/>
              </w:rPr>
              <w:t>.</w:t>
            </w:r>
            <w:r>
              <w:rPr>
                <w:sz w:val="22"/>
                <w:szCs w:val="22"/>
                <w:lang w:val="es-UY"/>
              </w:rPr>
              <w:t xml:space="preserve"> </w:t>
            </w:r>
          </w:p>
          <w:p w14:paraId="5C58BC68" w14:textId="77777777" w:rsidR="00E255F4" w:rsidRDefault="00000000">
            <w:pPr>
              <w:pStyle w:val="Default"/>
              <w:spacing w:after="120"/>
              <w:ind w:left="561"/>
              <w:jc w:val="both"/>
            </w:pPr>
            <w:r>
              <w:rPr>
                <w:rFonts w:ascii="Times New Roman" w:hAnsi="Times New Roman" w:cs="Times New Roman"/>
                <w:bCs/>
                <w:sz w:val="22"/>
                <w:szCs w:val="22"/>
                <w:u w:val="single"/>
              </w:rPr>
              <w:t xml:space="preserve">In </w:t>
            </w:r>
            <w:proofErr w:type="spellStart"/>
            <w:r>
              <w:rPr>
                <w:rFonts w:ascii="Times New Roman" w:hAnsi="Times New Roman" w:cs="Times New Roman"/>
                <w:bCs/>
                <w:sz w:val="22"/>
                <w:szCs w:val="22"/>
                <w:u w:val="single"/>
              </w:rPr>
              <w:t>the</w:t>
            </w:r>
            <w:proofErr w:type="spellEnd"/>
            <w:r>
              <w:rPr>
                <w:rFonts w:ascii="Times New Roman" w:hAnsi="Times New Roman" w:cs="Times New Roman"/>
                <w:bCs/>
                <w:sz w:val="22"/>
                <w:szCs w:val="22"/>
                <w:u w:val="single"/>
              </w:rPr>
              <w:t xml:space="preserve"> </w:t>
            </w:r>
            <w:proofErr w:type="spellStart"/>
            <w:r>
              <w:rPr>
                <w:rFonts w:ascii="Times New Roman" w:hAnsi="Times New Roman" w:cs="Times New Roman"/>
                <w:bCs/>
                <w:sz w:val="22"/>
                <w:szCs w:val="22"/>
                <w:u w:val="single"/>
              </w:rPr>
              <w:t>preceding</w:t>
            </w:r>
            <w:proofErr w:type="spellEnd"/>
            <w:r>
              <w:rPr>
                <w:rFonts w:ascii="Times New Roman" w:hAnsi="Times New Roman" w:cs="Times New Roman"/>
                <w:bCs/>
                <w:sz w:val="22"/>
                <w:szCs w:val="22"/>
                <w:u w:val="single"/>
              </w:rPr>
              <w:t xml:space="preserve"> </w:t>
            </w:r>
            <w:proofErr w:type="spellStart"/>
            <w:r>
              <w:rPr>
                <w:rFonts w:ascii="Times New Roman" w:hAnsi="Times New Roman" w:cs="Times New Roman"/>
                <w:bCs/>
                <w:sz w:val="22"/>
                <w:szCs w:val="22"/>
                <w:u w:val="single"/>
              </w:rPr>
              <w:t>article</w:t>
            </w:r>
            <w:proofErr w:type="spellEnd"/>
            <w:r>
              <w:rPr>
                <w:rFonts w:ascii="Times New Roman" w:hAnsi="Times New Roman" w:cs="Times New Roman"/>
                <w:bCs/>
                <w:sz w:val="22"/>
                <w:szCs w:val="22"/>
                <w:u w:val="single"/>
              </w:rPr>
              <w:t xml:space="preserve">, </w:t>
            </w:r>
            <w:proofErr w:type="spellStart"/>
            <w:r>
              <w:rPr>
                <w:rFonts w:ascii="Times New Roman" w:hAnsi="Times New Roman" w:cs="Times New Roman"/>
                <w:bCs/>
                <w:sz w:val="22"/>
                <w:szCs w:val="22"/>
                <w:u w:val="single"/>
              </w:rPr>
              <w:t>the</w:t>
            </w:r>
            <w:proofErr w:type="spellEnd"/>
            <w:r>
              <w:rPr>
                <w:rFonts w:ascii="Times New Roman" w:hAnsi="Times New Roman" w:cs="Times New Roman"/>
                <w:bCs/>
                <w:sz w:val="22"/>
                <w:szCs w:val="22"/>
                <w:u w:val="single"/>
              </w:rPr>
              <w:t xml:space="preserve"> </w:t>
            </w:r>
            <w:proofErr w:type="spellStart"/>
            <w:r>
              <w:rPr>
                <w:rFonts w:ascii="Times New Roman" w:hAnsi="Times New Roman" w:cs="Times New Roman"/>
                <w:bCs/>
                <w:sz w:val="22"/>
                <w:szCs w:val="22"/>
                <w:u w:val="single"/>
              </w:rPr>
              <w:t>characteristic</w:t>
            </w:r>
            <w:proofErr w:type="spellEnd"/>
            <w:r>
              <w:rPr>
                <w:rFonts w:ascii="Times New Roman" w:hAnsi="Times New Roman" w:cs="Times New Roman"/>
                <w:bCs/>
                <w:sz w:val="22"/>
                <w:szCs w:val="22"/>
                <w:u w:val="single"/>
              </w:rPr>
              <w:t xml:space="preserve"> </w:t>
            </w:r>
            <w:proofErr w:type="spellStart"/>
            <w:r>
              <w:rPr>
                <w:rFonts w:ascii="Times New Roman" w:hAnsi="Times New Roman" w:cs="Times New Roman"/>
                <w:bCs/>
                <w:sz w:val="22"/>
                <w:szCs w:val="22"/>
                <w:u w:val="single"/>
              </w:rPr>
              <w:t>of</w:t>
            </w:r>
            <w:proofErr w:type="spellEnd"/>
            <w:r>
              <w:rPr>
                <w:rFonts w:ascii="Times New Roman" w:hAnsi="Times New Roman" w:cs="Times New Roman"/>
                <w:bCs/>
                <w:sz w:val="22"/>
                <w:szCs w:val="22"/>
                <w:u w:val="single"/>
              </w:rPr>
              <w:t xml:space="preserve"> “similar </w:t>
            </w:r>
            <w:proofErr w:type="spellStart"/>
            <w:r>
              <w:rPr>
                <w:rFonts w:ascii="Times New Roman" w:hAnsi="Times New Roman" w:cs="Times New Roman"/>
                <w:bCs/>
                <w:sz w:val="22"/>
                <w:szCs w:val="22"/>
                <w:u w:val="single"/>
              </w:rPr>
              <w:t>to</w:t>
            </w:r>
            <w:proofErr w:type="spellEnd"/>
            <w:r>
              <w:rPr>
                <w:rFonts w:ascii="Times New Roman" w:hAnsi="Times New Roman" w:cs="Times New Roman"/>
                <w:bCs/>
                <w:sz w:val="22"/>
                <w:szCs w:val="22"/>
                <w:u w:val="single"/>
              </w:rPr>
              <w:t xml:space="preserve"> </w:t>
            </w:r>
            <w:proofErr w:type="spellStart"/>
            <w:r>
              <w:rPr>
                <w:rFonts w:ascii="Times New Roman" w:hAnsi="Times New Roman" w:cs="Times New Roman"/>
                <w:bCs/>
                <w:sz w:val="22"/>
                <w:szCs w:val="22"/>
                <w:u w:val="single"/>
              </w:rPr>
              <w:t>the</w:t>
            </w:r>
            <w:proofErr w:type="spellEnd"/>
            <w:r>
              <w:rPr>
                <w:rFonts w:ascii="Times New Roman" w:hAnsi="Times New Roman" w:cs="Times New Roman"/>
                <w:bCs/>
                <w:sz w:val="22"/>
                <w:szCs w:val="22"/>
                <w:u w:val="single"/>
              </w:rPr>
              <w:t xml:space="preserve"> </w:t>
            </w:r>
            <w:proofErr w:type="spellStart"/>
            <w:r>
              <w:rPr>
                <w:rFonts w:ascii="Times New Roman" w:hAnsi="Times New Roman" w:cs="Times New Roman"/>
                <w:bCs/>
                <w:sz w:val="22"/>
                <w:szCs w:val="22"/>
                <w:u w:val="single"/>
              </w:rPr>
              <w:t>one</w:t>
            </w:r>
            <w:proofErr w:type="spellEnd"/>
            <w:r>
              <w:rPr>
                <w:rFonts w:ascii="Times New Roman" w:hAnsi="Times New Roman" w:cs="Times New Roman"/>
                <w:bCs/>
                <w:sz w:val="22"/>
                <w:szCs w:val="22"/>
                <w:u w:val="single"/>
              </w:rPr>
              <w:t xml:space="preserve"> </w:t>
            </w:r>
            <w:proofErr w:type="spellStart"/>
            <w:r>
              <w:rPr>
                <w:rFonts w:ascii="Times New Roman" w:hAnsi="Times New Roman" w:cs="Times New Roman"/>
                <w:bCs/>
                <w:sz w:val="22"/>
                <w:szCs w:val="22"/>
                <w:u w:val="single"/>
              </w:rPr>
              <w:t>offered</w:t>
            </w:r>
            <w:proofErr w:type="spellEnd"/>
            <w:r>
              <w:rPr>
                <w:rFonts w:ascii="Times New Roman" w:hAnsi="Times New Roman" w:cs="Times New Roman"/>
                <w:bCs/>
                <w:sz w:val="22"/>
                <w:szCs w:val="22"/>
                <w:u w:val="single"/>
              </w:rPr>
              <w:t xml:space="preserve">” </w:t>
            </w:r>
            <w:proofErr w:type="spellStart"/>
            <w:r>
              <w:rPr>
                <w:rFonts w:ascii="Times New Roman" w:hAnsi="Times New Roman" w:cs="Times New Roman"/>
                <w:bCs/>
                <w:sz w:val="22"/>
                <w:szCs w:val="22"/>
                <w:u w:val="single"/>
              </w:rPr>
              <w:t>applies</w:t>
            </w:r>
            <w:proofErr w:type="spellEnd"/>
            <w:r>
              <w:rPr>
                <w:rFonts w:ascii="Times New Roman" w:hAnsi="Times New Roman" w:cs="Times New Roman"/>
                <w:bCs/>
                <w:sz w:val="22"/>
                <w:szCs w:val="22"/>
                <w:u w:val="single"/>
              </w:rPr>
              <w:t xml:space="preserve"> </w:t>
            </w:r>
            <w:proofErr w:type="spellStart"/>
            <w:r>
              <w:rPr>
                <w:rFonts w:ascii="Times New Roman" w:hAnsi="Times New Roman" w:cs="Times New Roman"/>
                <w:bCs/>
                <w:sz w:val="22"/>
                <w:szCs w:val="22"/>
                <w:u w:val="single"/>
              </w:rPr>
              <w:t>only</w:t>
            </w:r>
            <w:proofErr w:type="spellEnd"/>
            <w:r>
              <w:rPr>
                <w:rFonts w:ascii="Times New Roman" w:hAnsi="Times New Roman" w:cs="Times New Roman"/>
                <w:bCs/>
                <w:sz w:val="22"/>
                <w:szCs w:val="22"/>
                <w:u w:val="single"/>
              </w:rPr>
              <w:t xml:space="preserve"> </w:t>
            </w:r>
            <w:proofErr w:type="spellStart"/>
            <w:r>
              <w:rPr>
                <w:rFonts w:ascii="Times New Roman" w:hAnsi="Times New Roman" w:cs="Times New Roman"/>
                <w:bCs/>
                <w:sz w:val="22"/>
                <w:szCs w:val="22"/>
                <w:u w:val="single"/>
              </w:rPr>
              <w:t>to</w:t>
            </w:r>
            <w:proofErr w:type="spellEnd"/>
            <w:r>
              <w:rPr>
                <w:rFonts w:ascii="Times New Roman" w:hAnsi="Times New Roman" w:cs="Times New Roman"/>
                <w:bCs/>
                <w:sz w:val="22"/>
                <w:szCs w:val="22"/>
                <w:u w:val="single"/>
              </w:rPr>
              <w:t xml:space="preserve"> </w:t>
            </w:r>
            <w:proofErr w:type="spellStart"/>
            <w:r>
              <w:rPr>
                <w:rFonts w:ascii="Times New Roman" w:hAnsi="Times New Roman" w:cs="Times New Roman"/>
                <w:bCs/>
                <w:sz w:val="22"/>
                <w:szCs w:val="22"/>
                <w:u w:val="single"/>
              </w:rPr>
              <w:t>the</w:t>
            </w:r>
            <w:proofErr w:type="spellEnd"/>
            <w:r>
              <w:rPr>
                <w:rFonts w:ascii="Times New Roman" w:hAnsi="Times New Roman" w:cs="Times New Roman"/>
                <w:bCs/>
                <w:sz w:val="22"/>
                <w:szCs w:val="22"/>
                <w:u w:val="single"/>
              </w:rPr>
              <w:t xml:space="preserve"> </w:t>
            </w:r>
            <w:proofErr w:type="spellStart"/>
            <w:r>
              <w:rPr>
                <w:rFonts w:ascii="Times New Roman" w:hAnsi="Times New Roman" w:cs="Times New Roman"/>
                <w:bCs/>
                <w:sz w:val="22"/>
                <w:szCs w:val="22"/>
                <w:u w:val="single"/>
              </w:rPr>
              <w:t>telemetry</w:t>
            </w:r>
            <w:proofErr w:type="spellEnd"/>
            <w:r>
              <w:rPr>
                <w:rFonts w:ascii="Times New Roman" w:hAnsi="Times New Roman" w:cs="Times New Roman"/>
                <w:bCs/>
                <w:sz w:val="22"/>
                <w:szCs w:val="22"/>
                <w:u w:val="single"/>
              </w:rPr>
              <w:t xml:space="preserve"> </w:t>
            </w:r>
            <w:proofErr w:type="spellStart"/>
            <w:r>
              <w:rPr>
                <w:rFonts w:ascii="Times New Roman" w:hAnsi="Times New Roman" w:cs="Times New Roman"/>
                <w:bCs/>
                <w:sz w:val="22"/>
                <w:szCs w:val="22"/>
                <w:u w:val="single"/>
              </w:rPr>
              <w:t>device</w:t>
            </w:r>
            <w:proofErr w:type="spellEnd"/>
            <w:r>
              <w:rPr>
                <w:rFonts w:ascii="Times New Roman" w:hAnsi="Times New Roman" w:cs="Times New Roman"/>
                <w:bCs/>
                <w:sz w:val="22"/>
                <w:szCs w:val="22"/>
                <w:u w:val="single"/>
              </w:rPr>
              <w:t xml:space="preserve"> and </w:t>
            </w:r>
            <w:proofErr w:type="spellStart"/>
            <w:r>
              <w:rPr>
                <w:rFonts w:ascii="Times New Roman" w:hAnsi="Times New Roman" w:cs="Times New Roman"/>
                <w:bCs/>
                <w:sz w:val="22"/>
                <w:szCs w:val="22"/>
                <w:u w:val="single"/>
              </w:rPr>
              <w:t>not</w:t>
            </w:r>
            <w:proofErr w:type="spellEnd"/>
            <w:r>
              <w:rPr>
                <w:rFonts w:ascii="Times New Roman" w:hAnsi="Times New Roman" w:cs="Times New Roman"/>
                <w:bCs/>
                <w:sz w:val="22"/>
                <w:szCs w:val="22"/>
                <w:u w:val="single"/>
              </w:rPr>
              <w:t xml:space="preserve"> </w:t>
            </w:r>
            <w:proofErr w:type="spellStart"/>
            <w:r>
              <w:rPr>
                <w:rFonts w:ascii="Times New Roman" w:hAnsi="Times New Roman" w:cs="Times New Roman"/>
                <w:bCs/>
                <w:sz w:val="22"/>
                <w:szCs w:val="22"/>
                <w:u w:val="single"/>
              </w:rPr>
              <w:t>to</w:t>
            </w:r>
            <w:proofErr w:type="spellEnd"/>
            <w:r>
              <w:rPr>
                <w:rFonts w:ascii="Times New Roman" w:hAnsi="Times New Roman" w:cs="Times New Roman"/>
                <w:bCs/>
                <w:sz w:val="22"/>
                <w:szCs w:val="22"/>
                <w:u w:val="single"/>
              </w:rPr>
              <w:t xml:space="preserve"> </w:t>
            </w:r>
            <w:proofErr w:type="spellStart"/>
            <w:r>
              <w:rPr>
                <w:rFonts w:ascii="Times New Roman" w:hAnsi="Times New Roman" w:cs="Times New Roman"/>
                <w:bCs/>
                <w:sz w:val="22"/>
                <w:szCs w:val="22"/>
                <w:u w:val="single"/>
              </w:rPr>
              <w:t>the</w:t>
            </w:r>
            <w:proofErr w:type="spellEnd"/>
            <w:r>
              <w:rPr>
                <w:rFonts w:ascii="Times New Roman" w:hAnsi="Times New Roman" w:cs="Times New Roman"/>
                <w:bCs/>
                <w:sz w:val="22"/>
                <w:szCs w:val="22"/>
                <w:u w:val="single"/>
              </w:rPr>
              <w:t xml:space="preserve"> meter, and </w:t>
            </w:r>
            <w:proofErr w:type="spellStart"/>
            <w:r>
              <w:rPr>
                <w:rFonts w:ascii="Times New Roman" w:hAnsi="Times New Roman" w:cs="Times New Roman"/>
                <w:bCs/>
                <w:sz w:val="22"/>
                <w:szCs w:val="22"/>
                <w:u w:val="single"/>
              </w:rPr>
              <w:t>refers</w:t>
            </w:r>
            <w:proofErr w:type="spellEnd"/>
            <w:r>
              <w:rPr>
                <w:rFonts w:ascii="Times New Roman" w:hAnsi="Times New Roman" w:cs="Times New Roman"/>
                <w:bCs/>
                <w:sz w:val="22"/>
                <w:szCs w:val="22"/>
                <w:u w:val="single"/>
              </w:rPr>
              <w:t xml:space="preserve"> </w:t>
            </w:r>
            <w:proofErr w:type="spellStart"/>
            <w:r>
              <w:rPr>
                <w:rFonts w:ascii="Times New Roman" w:hAnsi="Times New Roman" w:cs="Times New Roman"/>
                <w:bCs/>
                <w:sz w:val="22"/>
                <w:szCs w:val="22"/>
                <w:u w:val="single"/>
              </w:rPr>
              <w:t>to</w:t>
            </w:r>
            <w:proofErr w:type="spellEnd"/>
            <w:r>
              <w:rPr>
                <w:rFonts w:ascii="Times New Roman" w:hAnsi="Times New Roman" w:cs="Times New Roman"/>
                <w:bCs/>
                <w:sz w:val="22"/>
                <w:szCs w:val="22"/>
                <w:u w:val="single"/>
              </w:rPr>
              <w:t xml:space="preserve"> </w:t>
            </w:r>
            <w:proofErr w:type="spellStart"/>
            <w:r>
              <w:rPr>
                <w:rFonts w:ascii="Times New Roman" w:hAnsi="Times New Roman" w:cs="Times New Roman"/>
                <w:bCs/>
                <w:sz w:val="22"/>
                <w:szCs w:val="22"/>
                <w:u w:val="single"/>
              </w:rPr>
              <w:t>the</w:t>
            </w:r>
            <w:proofErr w:type="spellEnd"/>
            <w:r>
              <w:rPr>
                <w:rFonts w:ascii="Times New Roman" w:hAnsi="Times New Roman" w:cs="Times New Roman"/>
                <w:bCs/>
                <w:sz w:val="22"/>
                <w:szCs w:val="22"/>
                <w:u w:val="single"/>
              </w:rPr>
              <w:t xml:space="preserve"> data </w:t>
            </w:r>
            <w:proofErr w:type="spellStart"/>
            <w:r>
              <w:rPr>
                <w:rFonts w:ascii="Times New Roman" w:hAnsi="Times New Roman" w:cs="Times New Roman"/>
                <w:bCs/>
                <w:sz w:val="22"/>
                <w:szCs w:val="22"/>
                <w:u w:val="single"/>
              </w:rPr>
              <w:t>communication</w:t>
            </w:r>
            <w:proofErr w:type="spellEnd"/>
            <w:r>
              <w:rPr>
                <w:rFonts w:ascii="Times New Roman" w:hAnsi="Times New Roman" w:cs="Times New Roman"/>
                <w:bCs/>
                <w:sz w:val="22"/>
                <w:szCs w:val="22"/>
                <w:u w:val="single"/>
              </w:rPr>
              <w:t xml:space="preserve"> </w:t>
            </w:r>
            <w:proofErr w:type="spellStart"/>
            <w:r>
              <w:rPr>
                <w:rFonts w:ascii="Times New Roman" w:hAnsi="Times New Roman" w:cs="Times New Roman"/>
                <w:bCs/>
                <w:sz w:val="22"/>
                <w:szCs w:val="22"/>
                <w:u w:val="single"/>
              </w:rPr>
              <w:t>technology</w:t>
            </w:r>
            <w:proofErr w:type="spellEnd"/>
            <w:r>
              <w:rPr>
                <w:rFonts w:ascii="Times New Roman" w:hAnsi="Times New Roman" w:cs="Times New Roman"/>
                <w:bCs/>
                <w:sz w:val="22"/>
                <w:szCs w:val="22"/>
                <w:u w:val="single"/>
              </w:rPr>
              <w:t>.</w:t>
            </w:r>
          </w:p>
          <w:p w14:paraId="5340BA7F" w14:textId="77777777" w:rsidR="00E255F4" w:rsidRDefault="00000000">
            <w:pPr>
              <w:pStyle w:val="Default"/>
              <w:spacing w:after="120"/>
              <w:ind w:left="561"/>
              <w:jc w:val="both"/>
              <w:rPr>
                <w:rFonts w:ascii="Times New Roman" w:hAnsi="Times New Roman" w:cs="Times New Roman"/>
                <w:bCs/>
                <w:sz w:val="22"/>
                <w:szCs w:val="22"/>
              </w:rPr>
            </w:pPr>
            <w:r>
              <w:rPr>
                <w:rFonts w:ascii="Times New Roman" w:hAnsi="Times New Roman" w:cs="Times New Roman"/>
                <w:bCs/>
                <w:sz w:val="22"/>
                <w:szCs w:val="22"/>
              </w:rPr>
              <w:t xml:space="preserve">The </w:t>
            </w:r>
            <w:proofErr w:type="spellStart"/>
            <w:r>
              <w:rPr>
                <w:rFonts w:ascii="Times New Roman" w:hAnsi="Times New Roman" w:cs="Times New Roman"/>
                <w:bCs/>
                <w:sz w:val="22"/>
                <w:szCs w:val="22"/>
              </w:rPr>
              <w:t>accreditation</w:t>
            </w:r>
            <w:proofErr w:type="spellEnd"/>
            <w:r>
              <w:rPr>
                <w:rFonts w:ascii="Times New Roman" w:hAnsi="Times New Roman" w:cs="Times New Roman"/>
                <w:bCs/>
                <w:sz w:val="22"/>
                <w:szCs w:val="22"/>
              </w:rPr>
              <w:t xml:space="preserve"> </w:t>
            </w:r>
            <w:proofErr w:type="spellStart"/>
            <w:r>
              <w:rPr>
                <w:rFonts w:ascii="Times New Roman" w:hAnsi="Times New Roman" w:cs="Times New Roman"/>
                <w:bCs/>
                <w:sz w:val="22"/>
                <w:szCs w:val="22"/>
              </w:rPr>
              <w:t>mentioned</w:t>
            </w:r>
            <w:proofErr w:type="spellEnd"/>
            <w:r>
              <w:rPr>
                <w:rFonts w:ascii="Times New Roman" w:hAnsi="Times New Roman" w:cs="Times New Roman"/>
                <w:bCs/>
                <w:sz w:val="22"/>
                <w:szCs w:val="22"/>
              </w:rPr>
              <w:t xml:space="preserve"> in </w:t>
            </w:r>
            <w:proofErr w:type="spellStart"/>
            <w:r>
              <w:rPr>
                <w:rFonts w:ascii="Times New Roman" w:hAnsi="Times New Roman" w:cs="Times New Roman"/>
                <w:bCs/>
                <w:sz w:val="22"/>
                <w:szCs w:val="22"/>
              </w:rPr>
              <w:t>the</w:t>
            </w:r>
            <w:proofErr w:type="spellEnd"/>
            <w:r>
              <w:rPr>
                <w:rFonts w:ascii="Times New Roman" w:hAnsi="Times New Roman" w:cs="Times New Roman"/>
                <w:bCs/>
                <w:sz w:val="22"/>
                <w:szCs w:val="22"/>
              </w:rPr>
              <w:t xml:space="preserve"> </w:t>
            </w:r>
            <w:proofErr w:type="spellStart"/>
            <w:r>
              <w:rPr>
                <w:rFonts w:ascii="Times New Roman" w:hAnsi="Times New Roman" w:cs="Times New Roman"/>
                <w:bCs/>
                <w:sz w:val="22"/>
                <w:szCs w:val="22"/>
              </w:rPr>
              <w:t>preceding</w:t>
            </w:r>
            <w:proofErr w:type="spellEnd"/>
            <w:r>
              <w:rPr>
                <w:rFonts w:ascii="Times New Roman" w:hAnsi="Times New Roman" w:cs="Times New Roman"/>
                <w:bCs/>
                <w:sz w:val="22"/>
                <w:szCs w:val="22"/>
              </w:rPr>
              <w:t xml:space="preserve"> </w:t>
            </w:r>
            <w:proofErr w:type="spellStart"/>
            <w:r>
              <w:rPr>
                <w:rFonts w:ascii="Times New Roman" w:hAnsi="Times New Roman" w:cs="Times New Roman"/>
                <w:bCs/>
                <w:sz w:val="22"/>
                <w:szCs w:val="22"/>
              </w:rPr>
              <w:t>Article</w:t>
            </w:r>
            <w:proofErr w:type="spellEnd"/>
            <w:r>
              <w:rPr>
                <w:rFonts w:ascii="Times New Roman" w:hAnsi="Times New Roman" w:cs="Times New Roman"/>
                <w:bCs/>
                <w:sz w:val="22"/>
                <w:szCs w:val="22"/>
              </w:rPr>
              <w:t xml:space="preserve"> </w:t>
            </w:r>
            <w:proofErr w:type="spellStart"/>
            <w:r>
              <w:rPr>
                <w:rFonts w:ascii="Times New Roman" w:hAnsi="Times New Roman" w:cs="Times New Roman"/>
                <w:bCs/>
                <w:sz w:val="22"/>
                <w:szCs w:val="22"/>
              </w:rPr>
              <w:t>number</w:t>
            </w:r>
            <w:proofErr w:type="spellEnd"/>
            <w:r>
              <w:rPr>
                <w:rFonts w:ascii="Times New Roman" w:hAnsi="Times New Roman" w:cs="Times New Roman"/>
                <w:bCs/>
                <w:sz w:val="22"/>
                <w:szCs w:val="22"/>
              </w:rPr>
              <w:t xml:space="preserve"> 3 </w:t>
            </w:r>
            <w:proofErr w:type="spellStart"/>
            <w:r>
              <w:rPr>
                <w:rFonts w:ascii="Times New Roman" w:hAnsi="Times New Roman" w:cs="Times New Roman"/>
                <w:bCs/>
                <w:sz w:val="22"/>
                <w:szCs w:val="22"/>
              </w:rPr>
              <w:t>will</w:t>
            </w:r>
            <w:proofErr w:type="spellEnd"/>
            <w:r>
              <w:rPr>
                <w:rFonts w:ascii="Times New Roman" w:hAnsi="Times New Roman" w:cs="Times New Roman"/>
                <w:bCs/>
                <w:sz w:val="22"/>
                <w:szCs w:val="22"/>
              </w:rPr>
              <w:t xml:space="preserve"> </w:t>
            </w:r>
            <w:proofErr w:type="spellStart"/>
            <w:r>
              <w:rPr>
                <w:rFonts w:ascii="Times New Roman" w:hAnsi="Times New Roman" w:cs="Times New Roman"/>
                <w:bCs/>
                <w:sz w:val="22"/>
                <w:szCs w:val="22"/>
              </w:rPr>
              <w:t>not</w:t>
            </w:r>
            <w:proofErr w:type="spellEnd"/>
            <w:r>
              <w:rPr>
                <w:rFonts w:ascii="Times New Roman" w:hAnsi="Times New Roman" w:cs="Times New Roman"/>
                <w:bCs/>
                <w:sz w:val="22"/>
                <w:szCs w:val="22"/>
              </w:rPr>
              <w:t xml:space="preserve"> be </w:t>
            </w:r>
            <w:proofErr w:type="spellStart"/>
            <w:r>
              <w:rPr>
                <w:rFonts w:ascii="Times New Roman" w:hAnsi="Times New Roman" w:cs="Times New Roman"/>
                <w:bCs/>
                <w:sz w:val="22"/>
                <w:szCs w:val="22"/>
              </w:rPr>
              <w:t>necessary</w:t>
            </w:r>
            <w:proofErr w:type="spellEnd"/>
            <w:r>
              <w:rPr>
                <w:rFonts w:ascii="Times New Roman" w:hAnsi="Times New Roman" w:cs="Times New Roman"/>
                <w:bCs/>
                <w:sz w:val="22"/>
                <w:szCs w:val="22"/>
              </w:rPr>
              <w:t xml:space="preserve">, </w:t>
            </w:r>
            <w:proofErr w:type="spellStart"/>
            <w:r>
              <w:rPr>
                <w:rFonts w:ascii="Times New Roman" w:hAnsi="Times New Roman" w:cs="Times New Roman"/>
                <w:bCs/>
                <w:sz w:val="22"/>
                <w:szCs w:val="22"/>
              </w:rPr>
              <w:t>insofar</w:t>
            </w:r>
            <w:proofErr w:type="spellEnd"/>
            <w:r>
              <w:rPr>
                <w:rFonts w:ascii="Times New Roman" w:hAnsi="Times New Roman" w:cs="Times New Roman"/>
                <w:bCs/>
                <w:sz w:val="22"/>
                <w:szCs w:val="22"/>
              </w:rPr>
              <w:t xml:space="preserve"> as </w:t>
            </w:r>
            <w:proofErr w:type="spellStart"/>
            <w:r>
              <w:rPr>
                <w:rFonts w:ascii="Times New Roman" w:hAnsi="Times New Roman" w:cs="Times New Roman"/>
                <w:bCs/>
                <w:sz w:val="22"/>
                <w:szCs w:val="22"/>
              </w:rPr>
              <w:t>the</w:t>
            </w:r>
            <w:proofErr w:type="spellEnd"/>
            <w:r>
              <w:rPr>
                <w:rFonts w:ascii="Times New Roman" w:hAnsi="Times New Roman" w:cs="Times New Roman"/>
                <w:bCs/>
                <w:sz w:val="22"/>
                <w:szCs w:val="22"/>
              </w:rPr>
              <w:t xml:space="preserve"> </w:t>
            </w:r>
            <w:proofErr w:type="spellStart"/>
            <w:r>
              <w:rPr>
                <w:rFonts w:ascii="Times New Roman" w:hAnsi="Times New Roman" w:cs="Times New Roman"/>
                <w:bCs/>
                <w:sz w:val="22"/>
                <w:szCs w:val="22"/>
              </w:rPr>
              <w:t>provisions</w:t>
            </w:r>
            <w:proofErr w:type="spellEnd"/>
            <w:r>
              <w:rPr>
                <w:rFonts w:ascii="Times New Roman" w:hAnsi="Times New Roman" w:cs="Times New Roman"/>
                <w:bCs/>
                <w:sz w:val="22"/>
                <w:szCs w:val="22"/>
              </w:rPr>
              <w:t xml:space="preserve"> </w:t>
            </w:r>
            <w:proofErr w:type="spellStart"/>
            <w:r>
              <w:rPr>
                <w:rFonts w:ascii="Times New Roman" w:hAnsi="Times New Roman" w:cs="Times New Roman"/>
                <w:bCs/>
                <w:sz w:val="22"/>
                <w:szCs w:val="22"/>
              </w:rPr>
              <w:t>refer</w:t>
            </w:r>
            <w:proofErr w:type="spellEnd"/>
            <w:r>
              <w:rPr>
                <w:rFonts w:ascii="Times New Roman" w:hAnsi="Times New Roman" w:cs="Times New Roman"/>
                <w:bCs/>
                <w:sz w:val="22"/>
                <w:szCs w:val="22"/>
              </w:rPr>
              <w:t xml:space="preserve"> </w:t>
            </w:r>
            <w:proofErr w:type="spellStart"/>
            <w:r>
              <w:rPr>
                <w:rFonts w:ascii="Times New Roman" w:hAnsi="Times New Roman" w:cs="Times New Roman"/>
                <w:bCs/>
                <w:sz w:val="22"/>
                <w:szCs w:val="22"/>
              </w:rPr>
              <w:t>to</w:t>
            </w:r>
            <w:proofErr w:type="spellEnd"/>
            <w:r>
              <w:rPr>
                <w:rFonts w:ascii="Times New Roman" w:hAnsi="Times New Roman" w:cs="Times New Roman"/>
                <w:bCs/>
                <w:sz w:val="22"/>
                <w:szCs w:val="22"/>
              </w:rPr>
              <w:t xml:space="preserve"> </w:t>
            </w:r>
            <w:proofErr w:type="spellStart"/>
            <w:r>
              <w:rPr>
                <w:rFonts w:ascii="Times New Roman" w:hAnsi="Times New Roman" w:cs="Times New Roman"/>
                <w:bCs/>
                <w:sz w:val="22"/>
                <w:szCs w:val="22"/>
              </w:rPr>
              <w:t>contracts</w:t>
            </w:r>
            <w:proofErr w:type="spellEnd"/>
            <w:r>
              <w:rPr>
                <w:rFonts w:ascii="Times New Roman" w:hAnsi="Times New Roman" w:cs="Times New Roman"/>
                <w:bCs/>
                <w:sz w:val="22"/>
                <w:szCs w:val="22"/>
              </w:rPr>
              <w:t xml:space="preserve"> </w:t>
            </w:r>
            <w:proofErr w:type="spellStart"/>
            <w:r>
              <w:rPr>
                <w:rFonts w:ascii="Times New Roman" w:hAnsi="Times New Roman" w:cs="Times New Roman"/>
                <w:bCs/>
                <w:sz w:val="22"/>
                <w:szCs w:val="22"/>
              </w:rPr>
              <w:t>with</w:t>
            </w:r>
            <w:proofErr w:type="spellEnd"/>
            <w:r>
              <w:rPr>
                <w:rFonts w:ascii="Times New Roman" w:hAnsi="Times New Roman" w:cs="Times New Roman"/>
                <w:bCs/>
                <w:sz w:val="22"/>
                <w:szCs w:val="22"/>
              </w:rPr>
              <w:t xml:space="preserve"> </w:t>
            </w:r>
            <w:proofErr w:type="spellStart"/>
            <w:r>
              <w:rPr>
                <w:rFonts w:ascii="Times New Roman" w:hAnsi="Times New Roman" w:cs="Times New Roman"/>
                <w:bCs/>
                <w:sz w:val="22"/>
                <w:szCs w:val="22"/>
              </w:rPr>
              <w:t>the</w:t>
            </w:r>
            <w:proofErr w:type="spellEnd"/>
            <w:r>
              <w:rPr>
                <w:rFonts w:ascii="Times New Roman" w:hAnsi="Times New Roman" w:cs="Times New Roman"/>
                <w:bCs/>
                <w:sz w:val="22"/>
                <w:szCs w:val="22"/>
              </w:rPr>
              <w:t xml:space="preserve"> </w:t>
            </w:r>
            <w:proofErr w:type="spellStart"/>
            <w:r>
              <w:rPr>
                <w:rFonts w:ascii="Times New Roman" w:hAnsi="Times New Roman" w:cs="Times New Roman"/>
                <w:bCs/>
                <w:sz w:val="22"/>
                <w:szCs w:val="22"/>
              </w:rPr>
              <w:t>Administration</w:t>
            </w:r>
            <w:proofErr w:type="spellEnd"/>
            <w:r>
              <w:rPr>
                <w:rFonts w:ascii="Times New Roman" w:hAnsi="Times New Roman" w:cs="Times New Roman"/>
                <w:bCs/>
                <w:sz w:val="22"/>
                <w:szCs w:val="22"/>
              </w:rPr>
              <w:t xml:space="preserve"> and </w:t>
            </w:r>
            <w:proofErr w:type="spellStart"/>
            <w:r>
              <w:rPr>
                <w:rFonts w:ascii="Times New Roman" w:hAnsi="Times New Roman" w:cs="Times New Roman"/>
                <w:bCs/>
                <w:sz w:val="22"/>
                <w:szCs w:val="22"/>
              </w:rPr>
              <w:t>declared</w:t>
            </w:r>
            <w:proofErr w:type="spellEnd"/>
            <w:r>
              <w:rPr>
                <w:rFonts w:ascii="Times New Roman" w:hAnsi="Times New Roman" w:cs="Times New Roman"/>
                <w:bCs/>
                <w:sz w:val="22"/>
                <w:szCs w:val="22"/>
              </w:rPr>
              <w:t xml:space="preserve"> in </w:t>
            </w:r>
            <w:proofErr w:type="spellStart"/>
            <w:r>
              <w:rPr>
                <w:rFonts w:ascii="Times New Roman" w:hAnsi="Times New Roman" w:cs="Times New Roman"/>
                <w:bCs/>
                <w:sz w:val="22"/>
                <w:szCs w:val="22"/>
              </w:rPr>
              <w:t>the</w:t>
            </w:r>
            <w:proofErr w:type="spellEnd"/>
            <w:r>
              <w:rPr>
                <w:rFonts w:ascii="Times New Roman" w:hAnsi="Times New Roman" w:cs="Times New Roman"/>
                <w:bCs/>
                <w:sz w:val="22"/>
                <w:szCs w:val="22"/>
              </w:rPr>
              <w:t xml:space="preserve"> </w:t>
            </w:r>
            <w:proofErr w:type="spellStart"/>
            <w:r>
              <w:rPr>
                <w:rFonts w:ascii="Times New Roman" w:hAnsi="Times New Roman" w:cs="Times New Roman"/>
                <w:bCs/>
                <w:sz w:val="22"/>
                <w:szCs w:val="22"/>
              </w:rPr>
              <w:t>Manufacturer's</w:t>
            </w:r>
            <w:proofErr w:type="spellEnd"/>
            <w:r>
              <w:rPr>
                <w:rFonts w:ascii="Times New Roman" w:hAnsi="Times New Roman" w:cs="Times New Roman"/>
                <w:bCs/>
                <w:sz w:val="22"/>
                <w:szCs w:val="22"/>
              </w:rPr>
              <w:t xml:space="preserve"> </w:t>
            </w:r>
            <w:proofErr w:type="spellStart"/>
            <w:r>
              <w:rPr>
                <w:rFonts w:ascii="Times New Roman" w:hAnsi="Times New Roman" w:cs="Times New Roman"/>
                <w:bCs/>
                <w:sz w:val="22"/>
                <w:szCs w:val="22"/>
              </w:rPr>
              <w:t>Experience</w:t>
            </w:r>
            <w:proofErr w:type="spellEnd"/>
            <w:r>
              <w:rPr>
                <w:rFonts w:ascii="Times New Roman" w:hAnsi="Times New Roman" w:cs="Times New Roman"/>
                <w:bCs/>
                <w:sz w:val="22"/>
                <w:szCs w:val="22"/>
              </w:rPr>
              <w:t xml:space="preserve"> </w:t>
            </w:r>
            <w:proofErr w:type="spellStart"/>
            <w:r>
              <w:rPr>
                <w:rFonts w:ascii="Times New Roman" w:hAnsi="Times New Roman" w:cs="Times New Roman"/>
                <w:bCs/>
                <w:sz w:val="22"/>
                <w:szCs w:val="22"/>
              </w:rPr>
              <w:t>form</w:t>
            </w:r>
            <w:proofErr w:type="spellEnd"/>
            <w:r>
              <w:rPr>
                <w:rFonts w:ascii="Times New Roman" w:hAnsi="Times New Roman" w:cs="Times New Roman"/>
                <w:bCs/>
                <w:sz w:val="22"/>
                <w:szCs w:val="22"/>
              </w:rPr>
              <w:t xml:space="preserve"> (</w:t>
            </w:r>
            <w:proofErr w:type="spellStart"/>
            <w:r>
              <w:rPr>
                <w:rFonts w:ascii="Times New Roman" w:hAnsi="Times New Roman" w:cs="Times New Roman"/>
                <w:bCs/>
                <w:sz w:val="22"/>
                <w:szCs w:val="22"/>
              </w:rPr>
              <w:t>Annex</w:t>
            </w:r>
            <w:proofErr w:type="spellEnd"/>
            <w:r>
              <w:rPr>
                <w:rFonts w:ascii="Times New Roman" w:hAnsi="Times New Roman" w:cs="Times New Roman"/>
                <w:bCs/>
                <w:sz w:val="22"/>
                <w:szCs w:val="22"/>
              </w:rPr>
              <w:t xml:space="preserve"> VI).</w:t>
            </w:r>
          </w:p>
          <w:p w14:paraId="753F765F" w14:textId="77777777" w:rsidR="00E255F4" w:rsidRDefault="00000000">
            <w:pPr>
              <w:pStyle w:val="Default"/>
              <w:spacing w:before="240" w:after="120"/>
              <w:ind w:left="459" w:hanging="425"/>
              <w:jc w:val="both"/>
            </w:pPr>
            <w:bookmarkStart w:id="74" w:name="_Hlk54273853"/>
            <w:bookmarkStart w:id="75" w:name="_Hlk54274282"/>
            <w:r>
              <w:rPr>
                <w:rFonts w:ascii="Times New Roman" w:hAnsi="Times New Roman" w:cs="Times New Roman"/>
                <w:b/>
                <w:bCs/>
                <w:sz w:val="22"/>
                <w:szCs w:val="22"/>
              </w:rPr>
              <w:t xml:space="preserve">II) </w:t>
            </w:r>
            <w:proofErr w:type="spellStart"/>
            <w:r>
              <w:rPr>
                <w:rFonts w:ascii="Times New Roman" w:hAnsi="Times New Roman" w:cs="Times New Roman"/>
                <w:b/>
                <w:bCs/>
                <w:sz w:val="22"/>
                <w:szCs w:val="22"/>
              </w:rPr>
              <w:t>Identification</w:t>
            </w:r>
            <w:proofErr w:type="spellEnd"/>
            <w:r>
              <w:rPr>
                <w:rFonts w:ascii="Times New Roman" w:hAnsi="Times New Roman" w:cs="Times New Roman"/>
                <w:b/>
                <w:bCs/>
                <w:sz w:val="22"/>
                <w:szCs w:val="22"/>
              </w:rPr>
              <w:t xml:space="preserve">, </w:t>
            </w:r>
            <w:proofErr w:type="spellStart"/>
            <w:r>
              <w:rPr>
                <w:rFonts w:ascii="Times New Roman" w:hAnsi="Times New Roman" w:cs="Times New Roman"/>
                <w:b/>
                <w:bCs/>
                <w:sz w:val="22"/>
                <w:szCs w:val="22"/>
              </w:rPr>
              <w:t>background</w:t>
            </w:r>
            <w:proofErr w:type="spellEnd"/>
            <w:r>
              <w:rPr>
                <w:rFonts w:ascii="Times New Roman" w:hAnsi="Times New Roman" w:cs="Times New Roman"/>
                <w:b/>
                <w:bCs/>
                <w:sz w:val="22"/>
                <w:szCs w:val="22"/>
              </w:rPr>
              <w:t xml:space="preserve"> and </w:t>
            </w:r>
            <w:proofErr w:type="spellStart"/>
            <w:r>
              <w:rPr>
                <w:rFonts w:ascii="Times New Roman" w:hAnsi="Times New Roman" w:cs="Times New Roman"/>
                <w:b/>
                <w:bCs/>
                <w:sz w:val="22"/>
                <w:szCs w:val="22"/>
              </w:rPr>
              <w:t>technical</w:t>
            </w:r>
            <w:proofErr w:type="spellEnd"/>
            <w:r>
              <w:rPr>
                <w:rFonts w:ascii="Times New Roman" w:hAnsi="Times New Roman" w:cs="Times New Roman"/>
                <w:b/>
                <w:bCs/>
                <w:sz w:val="22"/>
                <w:szCs w:val="22"/>
              </w:rPr>
              <w:t xml:space="preserve"> </w:t>
            </w:r>
            <w:proofErr w:type="spellStart"/>
            <w:r>
              <w:rPr>
                <w:rFonts w:ascii="Times New Roman" w:hAnsi="Times New Roman" w:cs="Times New Roman"/>
                <w:b/>
                <w:bCs/>
                <w:sz w:val="22"/>
                <w:szCs w:val="22"/>
              </w:rPr>
              <w:t>characteristics</w:t>
            </w:r>
            <w:proofErr w:type="spellEnd"/>
            <w:r>
              <w:rPr>
                <w:rFonts w:ascii="Times New Roman" w:hAnsi="Times New Roman" w:cs="Times New Roman"/>
                <w:b/>
                <w:bCs/>
                <w:sz w:val="22"/>
                <w:szCs w:val="22"/>
              </w:rPr>
              <w:t xml:space="preserve"> </w:t>
            </w:r>
            <w:proofErr w:type="spellStart"/>
            <w:r>
              <w:rPr>
                <w:rFonts w:ascii="Times New Roman" w:hAnsi="Times New Roman" w:cs="Times New Roman"/>
                <w:b/>
                <w:bCs/>
                <w:sz w:val="22"/>
                <w:szCs w:val="22"/>
              </w:rPr>
              <w:t>of</w:t>
            </w:r>
            <w:proofErr w:type="spellEnd"/>
            <w:r>
              <w:rPr>
                <w:rFonts w:ascii="Times New Roman" w:hAnsi="Times New Roman" w:cs="Times New Roman"/>
                <w:b/>
                <w:bCs/>
                <w:sz w:val="22"/>
                <w:szCs w:val="22"/>
              </w:rPr>
              <w:t xml:space="preserve"> </w:t>
            </w:r>
            <w:proofErr w:type="spellStart"/>
            <w:r>
              <w:rPr>
                <w:rFonts w:ascii="Times New Roman" w:hAnsi="Times New Roman" w:cs="Times New Roman"/>
                <w:b/>
                <w:bCs/>
                <w:sz w:val="22"/>
                <w:szCs w:val="22"/>
              </w:rPr>
              <w:t>each</w:t>
            </w:r>
            <w:proofErr w:type="spellEnd"/>
            <w:r>
              <w:rPr>
                <w:rFonts w:ascii="Times New Roman" w:hAnsi="Times New Roman" w:cs="Times New Roman"/>
                <w:b/>
                <w:bCs/>
                <w:sz w:val="22"/>
                <w:szCs w:val="22"/>
              </w:rPr>
              <w:t xml:space="preserve"> </w:t>
            </w:r>
            <w:proofErr w:type="spellStart"/>
            <w:r>
              <w:rPr>
                <w:rFonts w:ascii="Times New Roman" w:hAnsi="Times New Roman" w:cs="Times New Roman"/>
                <w:b/>
                <w:bCs/>
                <w:sz w:val="22"/>
                <w:szCs w:val="22"/>
              </w:rPr>
              <w:t>supply</w:t>
            </w:r>
            <w:proofErr w:type="spellEnd"/>
            <w:r>
              <w:rPr>
                <w:rFonts w:ascii="Times New Roman" w:hAnsi="Times New Roman" w:cs="Times New Roman"/>
                <w:b/>
                <w:bCs/>
                <w:sz w:val="22"/>
                <w:szCs w:val="22"/>
              </w:rPr>
              <w:t xml:space="preserve"> </w:t>
            </w:r>
            <w:proofErr w:type="spellStart"/>
            <w:r>
              <w:rPr>
                <w:rFonts w:ascii="Times New Roman" w:hAnsi="Times New Roman" w:cs="Times New Roman"/>
                <w:b/>
                <w:bCs/>
                <w:sz w:val="22"/>
                <w:szCs w:val="22"/>
              </w:rPr>
              <w:t>offered</w:t>
            </w:r>
            <w:bookmarkEnd w:id="74"/>
            <w:proofErr w:type="spellEnd"/>
            <w:r>
              <w:rPr>
                <w:rFonts w:ascii="Times New Roman" w:hAnsi="Times New Roman" w:cs="Times New Roman"/>
                <w:bCs/>
                <w:sz w:val="22"/>
                <w:szCs w:val="22"/>
              </w:rPr>
              <w:t>:</w:t>
            </w:r>
            <w:bookmarkEnd w:id="75"/>
          </w:p>
          <w:p w14:paraId="1EAD0B5B" w14:textId="77777777" w:rsidR="00E255F4" w:rsidRDefault="00000000">
            <w:pPr>
              <w:pStyle w:val="Default"/>
              <w:spacing w:after="120"/>
              <w:ind w:left="459" w:hanging="425"/>
              <w:jc w:val="both"/>
              <w:rPr>
                <w:rFonts w:ascii="Times New Roman" w:hAnsi="Times New Roman" w:cs="Times New Roman"/>
                <w:bCs/>
                <w:sz w:val="22"/>
                <w:szCs w:val="22"/>
              </w:rPr>
            </w:pPr>
            <w:r>
              <w:rPr>
                <w:rFonts w:ascii="Times New Roman" w:hAnsi="Times New Roman" w:cs="Times New Roman"/>
                <w:bCs/>
                <w:sz w:val="22"/>
                <w:szCs w:val="22"/>
              </w:rPr>
              <w:t xml:space="preserve">The </w:t>
            </w:r>
            <w:proofErr w:type="spellStart"/>
            <w:r>
              <w:rPr>
                <w:rFonts w:ascii="Times New Roman" w:hAnsi="Times New Roman" w:cs="Times New Roman"/>
                <w:bCs/>
                <w:sz w:val="22"/>
                <w:szCs w:val="22"/>
              </w:rPr>
              <w:t>offer</w:t>
            </w:r>
            <w:proofErr w:type="spellEnd"/>
            <w:r>
              <w:rPr>
                <w:rFonts w:ascii="Times New Roman" w:hAnsi="Times New Roman" w:cs="Times New Roman"/>
                <w:bCs/>
                <w:sz w:val="22"/>
                <w:szCs w:val="22"/>
              </w:rPr>
              <w:t xml:space="preserve"> </w:t>
            </w:r>
            <w:proofErr w:type="spellStart"/>
            <w:r>
              <w:rPr>
                <w:rFonts w:ascii="Times New Roman" w:hAnsi="Times New Roman" w:cs="Times New Roman"/>
                <w:bCs/>
                <w:sz w:val="22"/>
                <w:szCs w:val="22"/>
              </w:rPr>
              <w:t>must</w:t>
            </w:r>
            <w:proofErr w:type="spellEnd"/>
            <w:r>
              <w:rPr>
                <w:rFonts w:ascii="Times New Roman" w:hAnsi="Times New Roman" w:cs="Times New Roman"/>
                <w:bCs/>
                <w:sz w:val="22"/>
                <w:szCs w:val="22"/>
              </w:rPr>
              <w:t xml:space="preserve"> </w:t>
            </w:r>
            <w:proofErr w:type="spellStart"/>
            <w:r>
              <w:rPr>
                <w:rFonts w:ascii="Times New Roman" w:hAnsi="Times New Roman" w:cs="Times New Roman"/>
                <w:bCs/>
                <w:sz w:val="22"/>
                <w:szCs w:val="22"/>
              </w:rPr>
              <w:t>include</w:t>
            </w:r>
            <w:proofErr w:type="spellEnd"/>
            <w:r>
              <w:rPr>
                <w:rFonts w:ascii="Times New Roman" w:hAnsi="Times New Roman" w:cs="Times New Roman"/>
                <w:bCs/>
                <w:sz w:val="22"/>
                <w:szCs w:val="22"/>
              </w:rPr>
              <w:t>:</w:t>
            </w:r>
          </w:p>
          <w:p w14:paraId="6F996AD0" w14:textId="77777777" w:rsidR="00E255F4" w:rsidRDefault="00000000">
            <w:pPr>
              <w:numPr>
                <w:ilvl w:val="0"/>
                <w:numId w:val="27"/>
              </w:numPr>
              <w:spacing w:after="240"/>
              <w:ind w:left="419" w:hanging="283"/>
            </w:pPr>
            <w:proofErr w:type="spellStart"/>
            <w:r>
              <w:rPr>
                <w:sz w:val="22"/>
                <w:szCs w:val="22"/>
                <w:lang w:val="es-ES"/>
              </w:rPr>
              <w:t>If</w:t>
            </w:r>
            <w:proofErr w:type="spellEnd"/>
            <w:r>
              <w:rPr>
                <w:sz w:val="22"/>
                <w:szCs w:val="22"/>
                <w:lang w:val="es-ES"/>
              </w:rPr>
              <w:t xml:space="preserve"> </w:t>
            </w:r>
            <w:proofErr w:type="spellStart"/>
            <w:r>
              <w:rPr>
                <w:sz w:val="22"/>
                <w:szCs w:val="22"/>
                <w:lang w:val="es-ES"/>
              </w:rPr>
              <w:t>the</w:t>
            </w:r>
            <w:proofErr w:type="spellEnd"/>
            <w:r>
              <w:rPr>
                <w:sz w:val="22"/>
                <w:szCs w:val="22"/>
                <w:lang w:val="es-ES"/>
              </w:rPr>
              <w:t xml:space="preserve"> </w:t>
            </w:r>
            <w:proofErr w:type="spellStart"/>
            <w:r>
              <w:rPr>
                <w:sz w:val="22"/>
                <w:szCs w:val="22"/>
                <w:lang w:val="es-ES"/>
              </w:rPr>
              <w:t>bidder</w:t>
            </w:r>
            <w:proofErr w:type="spellEnd"/>
            <w:r>
              <w:rPr>
                <w:sz w:val="22"/>
                <w:szCs w:val="22"/>
                <w:lang w:val="es-ES"/>
              </w:rPr>
              <w:t xml:space="preserve"> </w:t>
            </w:r>
            <w:proofErr w:type="spellStart"/>
            <w:r>
              <w:rPr>
                <w:sz w:val="22"/>
                <w:szCs w:val="22"/>
                <w:lang w:val="es-ES"/>
              </w:rPr>
              <w:t>is</w:t>
            </w:r>
            <w:proofErr w:type="spellEnd"/>
            <w:r>
              <w:rPr>
                <w:sz w:val="22"/>
                <w:szCs w:val="22"/>
                <w:lang w:val="es-ES"/>
              </w:rPr>
              <w:t xml:space="preserve"> </w:t>
            </w:r>
            <w:proofErr w:type="spellStart"/>
            <w:r>
              <w:rPr>
                <w:sz w:val="22"/>
                <w:szCs w:val="22"/>
                <w:lang w:val="es-ES"/>
              </w:rPr>
              <w:t>not</w:t>
            </w:r>
            <w:proofErr w:type="spellEnd"/>
            <w:r>
              <w:rPr>
                <w:sz w:val="22"/>
                <w:szCs w:val="22"/>
                <w:lang w:val="es-ES"/>
              </w:rPr>
              <w:t xml:space="preserve"> </w:t>
            </w:r>
            <w:proofErr w:type="spellStart"/>
            <w:r>
              <w:rPr>
                <w:sz w:val="22"/>
                <w:szCs w:val="22"/>
                <w:lang w:val="es-ES"/>
              </w:rPr>
              <w:t>the</w:t>
            </w:r>
            <w:proofErr w:type="spellEnd"/>
            <w:r>
              <w:rPr>
                <w:sz w:val="22"/>
                <w:szCs w:val="22"/>
                <w:lang w:val="es-ES"/>
              </w:rPr>
              <w:t xml:space="preserve"> </w:t>
            </w:r>
            <w:proofErr w:type="spellStart"/>
            <w:r>
              <w:rPr>
                <w:sz w:val="22"/>
                <w:szCs w:val="22"/>
                <w:lang w:val="es-ES"/>
              </w:rPr>
              <w:t>manufacturer</w:t>
            </w:r>
            <w:proofErr w:type="spellEnd"/>
            <w:r>
              <w:rPr>
                <w:sz w:val="22"/>
                <w:szCs w:val="22"/>
                <w:lang w:val="es-ES"/>
              </w:rPr>
              <w:t xml:space="preserve">, </w:t>
            </w:r>
            <w:proofErr w:type="spellStart"/>
            <w:r>
              <w:rPr>
                <w:sz w:val="22"/>
                <w:szCs w:val="22"/>
                <w:lang w:val="es-ES"/>
              </w:rPr>
              <w:t>they</w:t>
            </w:r>
            <w:proofErr w:type="spellEnd"/>
            <w:r>
              <w:rPr>
                <w:sz w:val="22"/>
                <w:szCs w:val="22"/>
                <w:lang w:val="es-ES"/>
              </w:rPr>
              <w:t xml:space="preserve"> </w:t>
            </w:r>
            <w:proofErr w:type="spellStart"/>
            <w:r>
              <w:rPr>
                <w:sz w:val="22"/>
                <w:szCs w:val="22"/>
                <w:lang w:val="es-ES"/>
              </w:rPr>
              <w:t>must</w:t>
            </w:r>
            <w:proofErr w:type="spellEnd"/>
            <w:r>
              <w:rPr>
                <w:sz w:val="22"/>
                <w:szCs w:val="22"/>
                <w:lang w:val="es-ES"/>
              </w:rPr>
              <w:t xml:space="preserve"> </w:t>
            </w:r>
            <w:proofErr w:type="spellStart"/>
            <w:r>
              <w:rPr>
                <w:sz w:val="22"/>
                <w:szCs w:val="22"/>
                <w:lang w:val="es-ES"/>
              </w:rPr>
              <w:t>submit</w:t>
            </w:r>
            <w:proofErr w:type="spellEnd"/>
            <w:r>
              <w:rPr>
                <w:sz w:val="22"/>
                <w:szCs w:val="22"/>
                <w:lang w:val="es-ES"/>
              </w:rPr>
              <w:t xml:space="preserve"> a </w:t>
            </w:r>
            <w:proofErr w:type="spellStart"/>
            <w:r>
              <w:rPr>
                <w:sz w:val="22"/>
                <w:szCs w:val="22"/>
                <w:lang w:val="es-ES"/>
              </w:rPr>
              <w:t>signed</w:t>
            </w:r>
            <w:proofErr w:type="spellEnd"/>
            <w:r>
              <w:rPr>
                <w:sz w:val="22"/>
                <w:szCs w:val="22"/>
                <w:lang w:val="es-ES"/>
              </w:rPr>
              <w:t xml:space="preserve"> </w:t>
            </w:r>
            <w:proofErr w:type="spellStart"/>
            <w:r>
              <w:rPr>
                <w:sz w:val="22"/>
                <w:szCs w:val="22"/>
                <w:lang w:val="es-ES"/>
              </w:rPr>
              <w:t>letter</w:t>
            </w:r>
            <w:proofErr w:type="spellEnd"/>
            <w:r>
              <w:rPr>
                <w:sz w:val="22"/>
                <w:szCs w:val="22"/>
                <w:lang w:val="es-ES"/>
              </w:rPr>
              <w:t xml:space="preserve"> </w:t>
            </w:r>
            <w:proofErr w:type="spellStart"/>
            <w:r>
              <w:rPr>
                <w:sz w:val="22"/>
                <w:szCs w:val="22"/>
                <w:lang w:val="es-ES"/>
              </w:rPr>
              <w:t>from</w:t>
            </w:r>
            <w:proofErr w:type="spellEnd"/>
            <w:r>
              <w:rPr>
                <w:sz w:val="22"/>
                <w:szCs w:val="22"/>
                <w:lang w:val="es-ES"/>
              </w:rPr>
              <w:t xml:space="preserve"> </w:t>
            </w:r>
            <w:proofErr w:type="spellStart"/>
            <w:r>
              <w:rPr>
                <w:sz w:val="22"/>
                <w:szCs w:val="22"/>
                <w:lang w:val="es-ES"/>
              </w:rPr>
              <w:t>the</w:t>
            </w:r>
            <w:proofErr w:type="spellEnd"/>
            <w:r>
              <w:rPr>
                <w:sz w:val="22"/>
                <w:szCs w:val="22"/>
                <w:lang w:val="es-ES"/>
              </w:rPr>
              <w:t xml:space="preserve"> </w:t>
            </w:r>
            <w:proofErr w:type="spellStart"/>
            <w:r>
              <w:rPr>
                <w:sz w:val="22"/>
                <w:szCs w:val="22"/>
                <w:lang w:val="es-ES"/>
              </w:rPr>
              <w:t>manufacturer</w:t>
            </w:r>
            <w:proofErr w:type="spellEnd"/>
            <w:r>
              <w:rPr>
                <w:sz w:val="22"/>
                <w:szCs w:val="22"/>
                <w:lang w:val="es-ES"/>
              </w:rPr>
              <w:t xml:space="preserve"> </w:t>
            </w:r>
            <w:proofErr w:type="spellStart"/>
            <w:r>
              <w:rPr>
                <w:sz w:val="22"/>
                <w:szCs w:val="22"/>
                <w:lang w:val="es-ES"/>
              </w:rPr>
              <w:t>of</w:t>
            </w:r>
            <w:proofErr w:type="spellEnd"/>
            <w:r>
              <w:rPr>
                <w:sz w:val="22"/>
                <w:szCs w:val="22"/>
                <w:lang w:val="es-ES"/>
              </w:rPr>
              <w:t xml:space="preserve"> </w:t>
            </w:r>
            <w:proofErr w:type="spellStart"/>
            <w:r>
              <w:rPr>
                <w:sz w:val="22"/>
                <w:szCs w:val="22"/>
                <w:lang w:val="es-ES"/>
              </w:rPr>
              <w:t>the</w:t>
            </w:r>
            <w:proofErr w:type="spellEnd"/>
            <w:r>
              <w:rPr>
                <w:sz w:val="22"/>
                <w:szCs w:val="22"/>
                <w:lang w:val="es-ES"/>
              </w:rPr>
              <w:t xml:space="preserve"> </w:t>
            </w:r>
            <w:proofErr w:type="spellStart"/>
            <w:r>
              <w:rPr>
                <w:sz w:val="22"/>
                <w:szCs w:val="22"/>
                <w:lang w:val="es-ES"/>
              </w:rPr>
              <w:t>offered</w:t>
            </w:r>
            <w:proofErr w:type="spellEnd"/>
            <w:r>
              <w:rPr>
                <w:sz w:val="22"/>
                <w:szCs w:val="22"/>
                <w:lang w:val="es-ES"/>
              </w:rPr>
              <w:t xml:space="preserve"> </w:t>
            </w:r>
            <w:proofErr w:type="spellStart"/>
            <w:r>
              <w:rPr>
                <w:sz w:val="22"/>
                <w:szCs w:val="22"/>
                <w:lang w:val="es-ES"/>
              </w:rPr>
              <w:t>goods</w:t>
            </w:r>
            <w:proofErr w:type="spellEnd"/>
            <w:r>
              <w:rPr>
                <w:sz w:val="22"/>
                <w:szCs w:val="22"/>
                <w:lang w:val="es-ES"/>
              </w:rPr>
              <w:t xml:space="preserve">, confirming </w:t>
            </w:r>
            <w:proofErr w:type="spellStart"/>
            <w:r>
              <w:rPr>
                <w:sz w:val="22"/>
                <w:szCs w:val="22"/>
                <w:lang w:val="es-ES"/>
              </w:rPr>
              <w:t>the</w:t>
            </w:r>
            <w:proofErr w:type="spellEnd"/>
            <w:r>
              <w:rPr>
                <w:sz w:val="22"/>
                <w:szCs w:val="22"/>
                <w:lang w:val="es-ES"/>
              </w:rPr>
              <w:t xml:space="preserve"> </w:t>
            </w:r>
            <w:proofErr w:type="spellStart"/>
            <w:r>
              <w:rPr>
                <w:sz w:val="22"/>
                <w:szCs w:val="22"/>
                <w:lang w:val="es-ES"/>
              </w:rPr>
              <w:t>bidder's</w:t>
            </w:r>
            <w:proofErr w:type="spellEnd"/>
            <w:r>
              <w:rPr>
                <w:sz w:val="22"/>
                <w:szCs w:val="22"/>
                <w:lang w:val="es-ES"/>
              </w:rPr>
              <w:t xml:space="preserve"> </w:t>
            </w:r>
            <w:proofErr w:type="gramStart"/>
            <w:r>
              <w:rPr>
                <w:sz w:val="22"/>
                <w:szCs w:val="22"/>
                <w:lang w:val="es-ES"/>
              </w:rPr>
              <w:t>status</w:t>
            </w:r>
            <w:proofErr w:type="gramEnd"/>
            <w:r>
              <w:rPr>
                <w:sz w:val="22"/>
                <w:szCs w:val="22"/>
                <w:lang w:val="es-ES"/>
              </w:rPr>
              <w:t xml:space="preserve"> as a representative </w:t>
            </w:r>
            <w:proofErr w:type="spellStart"/>
            <w:r>
              <w:rPr>
                <w:sz w:val="22"/>
                <w:szCs w:val="22"/>
                <w:lang w:val="es-ES"/>
              </w:rPr>
              <w:t>of</w:t>
            </w:r>
            <w:proofErr w:type="spellEnd"/>
            <w:r>
              <w:rPr>
                <w:sz w:val="22"/>
                <w:szCs w:val="22"/>
                <w:lang w:val="es-ES"/>
              </w:rPr>
              <w:t xml:space="preserve"> </w:t>
            </w:r>
            <w:proofErr w:type="spellStart"/>
            <w:r>
              <w:rPr>
                <w:sz w:val="22"/>
                <w:szCs w:val="22"/>
                <w:lang w:val="es-ES"/>
              </w:rPr>
              <w:t>the</w:t>
            </w:r>
            <w:proofErr w:type="spellEnd"/>
            <w:r>
              <w:rPr>
                <w:sz w:val="22"/>
                <w:szCs w:val="22"/>
                <w:lang w:val="es-ES"/>
              </w:rPr>
              <w:t xml:space="preserve"> </w:t>
            </w:r>
            <w:proofErr w:type="spellStart"/>
            <w:r>
              <w:rPr>
                <w:sz w:val="22"/>
                <w:szCs w:val="22"/>
                <w:lang w:val="es-ES"/>
              </w:rPr>
              <w:t>offered</w:t>
            </w:r>
            <w:proofErr w:type="spellEnd"/>
            <w:r>
              <w:rPr>
                <w:sz w:val="22"/>
                <w:szCs w:val="22"/>
                <w:lang w:val="es-ES"/>
              </w:rPr>
              <w:t xml:space="preserve"> </w:t>
            </w:r>
            <w:proofErr w:type="spellStart"/>
            <w:r>
              <w:rPr>
                <w:sz w:val="22"/>
                <w:szCs w:val="22"/>
                <w:lang w:val="es-ES"/>
              </w:rPr>
              <w:t>supply</w:t>
            </w:r>
            <w:proofErr w:type="spellEnd"/>
            <w:r>
              <w:rPr>
                <w:sz w:val="22"/>
                <w:szCs w:val="22"/>
                <w:lang w:val="es-ES"/>
              </w:rPr>
              <w:t xml:space="preserve">. </w:t>
            </w:r>
            <w:proofErr w:type="spellStart"/>
            <w:r>
              <w:rPr>
                <w:sz w:val="22"/>
                <w:szCs w:val="22"/>
                <w:lang w:val="es-ES"/>
              </w:rPr>
              <w:t>Unbranded</w:t>
            </w:r>
            <w:proofErr w:type="spellEnd"/>
            <w:r>
              <w:rPr>
                <w:sz w:val="22"/>
                <w:szCs w:val="22"/>
                <w:lang w:val="es-ES"/>
              </w:rPr>
              <w:t xml:space="preserve"> </w:t>
            </w:r>
            <w:proofErr w:type="spellStart"/>
            <w:r>
              <w:rPr>
                <w:sz w:val="22"/>
                <w:szCs w:val="22"/>
                <w:lang w:val="es-ES"/>
              </w:rPr>
              <w:t>products</w:t>
            </w:r>
            <w:proofErr w:type="spellEnd"/>
            <w:r>
              <w:rPr>
                <w:sz w:val="22"/>
                <w:szCs w:val="22"/>
                <w:lang w:val="es-ES"/>
              </w:rPr>
              <w:t xml:space="preserve"> </w:t>
            </w:r>
            <w:proofErr w:type="spellStart"/>
            <w:r>
              <w:rPr>
                <w:sz w:val="22"/>
                <w:szCs w:val="22"/>
                <w:lang w:val="es-ES"/>
              </w:rPr>
              <w:t>will</w:t>
            </w:r>
            <w:proofErr w:type="spellEnd"/>
            <w:r>
              <w:rPr>
                <w:sz w:val="22"/>
                <w:szCs w:val="22"/>
                <w:lang w:val="es-ES"/>
              </w:rPr>
              <w:t xml:space="preserve"> </w:t>
            </w:r>
            <w:proofErr w:type="spellStart"/>
            <w:r>
              <w:rPr>
                <w:sz w:val="22"/>
                <w:szCs w:val="22"/>
                <w:lang w:val="es-ES"/>
              </w:rPr>
              <w:t>not</w:t>
            </w:r>
            <w:proofErr w:type="spellEnd"/>
            <w:r>
              <w:rPr>
                <w:sz w:val="22"/>
                <w:szCs w:val="22"/>
                <w:lang w:val="es-ES"/>
              </w:rPr>
              <w:t xml:space="preserve"> be </w:t>
            </w:r>
            <w:proofErr w:type="spellStart"/>
            <w:r>
              <w:rPr>
                <w:sz w:val="22"/>
                <w:szCs w:val="22"/>
                <w:lang w:val="es-ES"/>
              </w:rPr>
              <w:t>accepted</w:t>
            </w:r>
            <w:proofErr w:type="spellEnd"/>
            <w:r>
              <w:rPr>
                <w:sz w:val="22"/>
                <w:szCs w:val="22"/>
                <w:lang w:val="es-ES"/>
              </w:rPr>
              <w:t xml:space="preserve"> </w:t>
            </w:r>
            <w:proofErr w:type="spellStart"/>
            <w:r>
              <w:rPr>
                <w:sz w:val="22"/>
                <w:szCs w:val="22"/>
                <w:lang w:val="es-ES"/>
              </w:rPr>
              <w:t>under</w:t>
            </w:r>
            <w:proofErr w:type="spellEnd"/>
            <w:r>
              <w:rPr>
                <w:sz w:val="22"/>
                <w:szCs w:val="22"/>
                <w:lang w:val="es-ES"/>
              </w:rPr>
              <w:t xml:space="preserve"> </w:t>
            </w:r>
            <w:proofErr w:type="spellStart"/>
            <w:r>
              <w:rPr>
                <w:sz w:val="22"/>
                <w:szCs w:val="22"/>
                <w:lang w:val="es-ES"/>
              </w:rPr>
              <w:t>any</w:t>
            </w:r>
            <w:proofErr w:type="spellEnd"/>
            <w:r>
              <w:rPr>
                <w:sz w:val="22"/>
                <w:szCs w:val="22"/>
                <w:lang w:val="es-ES"/>
              </w:rPr>
              <w:t xml:space="preserve"> </w:t>
            </w:r>
            <w:proofErr w:type="spellStart"/>
            <w:r>
              <w:rPr>
                <w:sz w:val="22"/>
                <w:szCs w:val="22"/>
                <w:lang w:val="es-ES"/>
              </w:rPr>
              <w:t>circumstances</w:t>
            </w:r>
            <w:proofErr w:type="spellEnd"/>
            <w:r>
              <w:rPr>
                <w:sz w:val="22"/>
                <w:szCs w:val="22"/>
                <w:lang w:val="es-ES"/>
              </w:rPr>
              <w:t>.</w:t>
            </w:r>
          </w:p>
          <w:p w14:paraId="6BA395B6" w14:textId="77777777" w:rsidR="00E255F4" w:rsidRDefault="00000000">
            <w:pPr>
              <w:numPr>
                <w:ilvl w:val="0"/>
                <w:numId w:val="27"/>
              </w:numPr>
              <w:spacing w:after="240"/>
              <w:ind w:left="419" w:hanging="283"/>
              <w:rPr>
                <w:sz w:val="22"/>
                <w:szCs w:val="22"/>
                <w:lang w:val="es-ES"/>
              </w:rPr>
            </w:pPr>
            <w:proofErr w:type="spellStart"/>
            <w:r>
              <w:rPr>
                <w:sz w:val="22"/>
                <w:szCs w:val="22"/>
                <w:lang w:val="es-ES"/>
              </w:rPr>
              <w:t>If</w:t>
            </w:r>
            <w:proofErr w:type="spellEnd"/>
            <w:r>
              <w:rPr>
                <w:sz w:val="22"/>
                <w:szCs w:val="22"/>
                <w:lang w:val="es-ES"/>
              </w:rPr>
              <w:t xml:space="preserve"> </w:t>
            </w:r>
            <w:proofErr w:type="spellStart"/>
            <w:r>
              <w:rPr>
                <w:sz w:val="22"/>
                <w:szCs w:val="22"/>
                <w:lang w:val="es-ES"/>
              </w:rPr>
              <w:t>the</w:t>
            </w:r>
            <w:proofErr w:type="spellEnd"/>
            <w:r>
              <w:rPr>
                <w:sz w:val="22"/>
                <w:szCs w:val="22"/>
                <w:lang w:val="es-ES"/>
              </w:rPr>
              <w:t xml:space="preserve"> </w:t>
            </w:r>
            <w:proofErr w:type="spellStart"/>
            <w:r>
              <w:rPr>
                <w:sz w:val="22"/>
                <w:szCs w:val="22"/>
                <w:lang w:val="es-ES"/>
              </w:rPr>
              <w:t>offeror</w:t>
            </w:r>
            <w:proofErr w:type="spellEnd"/>
            <w:r>
              <w:rPr>
                <w:sz w:val="22"/>
                <w:szCs w:val="22"/>
                <w:lang w:val="es-ES"/>
              </w:rPr>
              <w:t xml:space="preserve"> </w:t>
            </w:r>
            <w:proofErr w:type="spellStart"/>
            <w:r>
              <w:rPr>
                <w:sz w:val="22"/>
                <w:szCs w:val="22"/>
                <w:lang w:val="es-ES"/>
              </w:rPr>
              <w:t>is</w:t>
            </w:r>
            <w:proofErr w:type="spellEnd"/>
            <w:r>
              <w:rPr>
                <w:sz w:val="22"/>
                <w:szCs w:val="22"/>
                <w:lang w:val="es-ES"/>
              </w:rPr>
              <w:t xml:space="preserve"> </w:t>
            </w:r>
            <w:proofErr w:type="spellStart"/>
            <w:r>
              <w:rPr>
                <w:sz w:val="22"/>
                <w:szCs w:val="22"/>
                <w:lang w:val="es-ES"/>
              </w:rPr>
              <w:t>neither</w:t>
            </w:r>
            <w:proofErr w:type="spellEnd"/>
            <w:r>
              <w:rPr>
                <w:sz w:val="22"/>
                <w:szCs w:val="22"/>
                <w:lang w:val="es-ES"/>
              </w:rPr>
              <w:t xml:space="preserve"> </w:t>
            </w:r>
            <w:proofErr w:type="spellStart"/>
            <w:r>
              <w:rPr>
                <w:sz w:val="22"/>
                <w:szCs w:val="22"/>
                <w:lang w:val="es-ES"/>
              </w:rPr>
              <w:t>the</w:t>
            </w:r>
            <w:proofErr w:type="spellEnd"/>
            <w:r>
              <w:rPr>
                <w:sz w:val="22"/>
                <w:szCs w:val="22"/>
                <w:lang w:val="es-ES"/>
              </w:rPr>
              <w:t xml:space="preserve"> </w:t>
            </w:r>
            <w:proofErr w:type="spellStart"/>
            <w:r>
              <w:rPr>
                <w:sz w:val="22"/>
                <w:szCs w:val="22"/>
                <w:lang w:val="es-ES"/>
              </w:rPr>
              <w:t>manufacturer</w:t>
            </w:r>
            <w:proofErr w:type="spellEnd"/>
            <w:r>
              <w:rPr>
                <w:sz w:val="22"/>
                <w:szCs w:val="22"/>
                <w:lang w:val="es-ES"/>
              </w:rPr>
              <w:t xml:space="preserve"> </w:t>
            </w:r>
            <w:proofErr w:type="spellStart"/>
            <w:r>
              <w:rPr>
                <w:sz w:val="22"/>
                <w:szCs w:val="22"/>
                <w:lang w:val="es-ES"/>
              </w:rPr>
              <w:t>nor</w:t>
            </w:r>
            <w:proofErr w:type="spellEnd"/>
            <w:r>
              <w:rPr>
                <w:sz w:val="22"/>
                <w:szCs w:val="22"/>
                <w:lang w:val="es-ES"/>
              </w:rPr>
              <w:t xml:space="preserve"> </w:t>
            </w:r>
            <w:proofErr w:type="spellStart"/>
            <w:r>
              <w:rPr>
                <w:sz w:val="22"/>
                <w:szCs w:val="22"/>
                <w:lang w:val="es-ES"/>
              </w:rPr>
              <w:t>the</w:t>
            </w:r>
            <w:proofErr w:type="spellEnd"/>
            <w:r>
              <w:rPr>
                <w:sz w:val="22"/>
                <w:szCs w:val="22"/>
                <w:lang w:val="es-ES"/>
              </w:rPr>
              <w:t xml:space="preserve"> representative </w:t>
            </w:r>
            <w:proofErr w:type="spellStart"/>
            <w:r>
              <w:rPr>
                <w:sz w:val="22"/>
                <w:szCs w:val="22"/>
                <w:lang w:val="es-ES"/>
              </w:rPr>
              <w:t>of</w:t>
            </w:r>
            <w:proofErr w:type="spellEnd"/>
            <w:r>
              <w:rPr>
                <w:sz w:val="22"/>
                <w:szCs w:val="22"/>
                <w:lang w:val="es-ES"/>
              </w:rPr>
              <w:t xml:space="preserve"> </w:t>
            </w:r>
            <w:proofErr w:type="spellStart"/>
            <w:r>
              <w:rPr>
                <w:sz w:val="22"/>
                <w:szCs w:val="22"/>
                <w:lang w:val="es-ES"/>
              </w:rPr>
              <w:t>the</w:t>
            </w:r>
            <w:proofErr w:type="spellEnd"/>
            <w:r>
              <w:rPr>
                <w:sz w:val="22"/>
                <w:szCs w:val="22"/>
                <w:lang w:val="es-ES"/>
              </w:rPr>
              <w:t xml:space="preserve"> </w:t>
            </w:r>
            <w:proofErr w:type="spellStart"/>
            <w:r>
              <w:rPr>
                <w:sz w:val="22"/>
                <w:szCs w:val="22"/>
                <w:lang w:val="es-ES"/>
              </w:rPr>
              <w:t>offered</w:t>
            </w:r>
            <w:proofErr w:type="spellEnd"/>
            <w:r>
              <w:rPr>
                <w:sz w:val="22"/>
                <w:szCs w:val="22"/>
                <w:lang w:val="es-ES"/>
              </w:rPr>
              <w:t xml:space="preserve"> </w:t>
            </w:r>
            <w:proofErr w:type="spellStart"/>
            <w:r>
              <w:rPr>
                <w:sz w:val="22"/>
                <w:szCs w:val="22"/>
                <w:lang w:val="es-ES"/>
              </w:rPr>
              <w:t>item</w:t>
            </w:r>
            <w:proofErr w:type="spellEnd"/>
            <w:r>
              <w:rPr>
                <w:sz w:val="22"/>
                <w:szCs w:val="22"/>
                <w:lang w:val="es-ES"/>
              </w:rPr>
              <w:t>:</w:t>
            </w:r>
          </w:p>
          <w:p w14:paraId="7DB35389" w14:textId="77777777" w:rsidR="00E255F4" w:rsidRDefault="00000000">
            <w:pPr>
              <w:numPr>
                <w:ilvl w:val="0"/>
                <w:numId w:val="73"/>
              </w:numPr>
              <w:spacing w:after="240"/>
            </w:pPr>
            <w:proofErr w:type="spellStart"/>
            <w:r>
              <w:rPr>
                <w:sz w:val="22"/>
                <w:szCs w:val="22"/>
                <w:lang w:val="es-ES"/>
              </w:rPr>
              <w:lastRenderedPageBreak/>
              <w:t>Submit</w:t>
            </w:r>
            <w:proofErr w:type="spellEnd"/>
            <w:r>
              <w:rPr>
                <w:sz w:val="22"/>
                <w:szCs w:val="22"/>
                <w:lang w:val="es-ES"/>
              </w:rPr>
              <w:t xml:space="preserve"> a </w:t>
            </w:r>
            <w:proofErr w:type="spellStart"/>
            <w:r>
              <w:rPr>
                <w:sz w:val="22"/>
                <w:szCs w:val="22"/>
                <w:lang w:val="es-ES"/>
              </w:rPr>
              <w:t>signed</w:t>
            </w:r>
            <w:proofErr w:type="spellEnd"/>
            <w:r>
              <w:rPr>
                <w:sz w:val="22"/>
                <w:szCs w:val="22"/>
                <w:lang w:val="es-ES"/>
              </w:rPr>
              <w:t xml:space="preserve"> </w:t>
            </w:r>
            <w:proofErr w:type="spellStart"/>
            <w:r>
              <w:rPr>
                <w:sz w:val="22"/>
                <w:szCs w:val="22"/>
                <w:lang w:val="es-ES"/>
              </w:rPr>
              <w:t>letter</w:t>
            </w:r>
            <w:proofErr w:type="spellEnd"/>
            <w:r>
              <w:rPr>
                <w:sz w:val="22"/>
                <w:szCs w:val="22"/>
                <w:lang w:val="es-ES"/>
              </w:rPr>
              <w:t xml:space="preserve"> </w:t>
            </w:r>
            <w:proofErr w:type="spellStart"/>
            <w:r>
              <w:rPr>
                <w:sz w:val="22"/>
                <w:szCs w:val="22"/>
                <w:lang w:val="es-ES"/>
              </w:rPr>
              <w:t>from</w:t>
            </w:r>
            <w:proofErr w:type="spellEnd"/>
            <w:r>
              <w:rPr>
                <w:sz w:val="22"/>
                <w:szCs w:val="22"/>
                <w:lang w:val="es-ES"/>
              </w:rPr>
              <w:t xml:space="preserve"> </w:t>
            </w:r>
            <w:proofErr w:type="spellStart"/>
            <w:r>
              <w:rPr>
                <w:sz w:val="22"/>
                <w:szCs w:val="22"/>
                <w:lang w:val="es-ES"/>
              </w:rPr>
              <w:t>the</w:t>
            </w:r>
            <w:proofErr w:type="spellEnd"/>
            <w:r>
              <w:rPr>
                <w:sz w:val="22"/>
                <w:szCs w:val="22"/>
                <w:lang w:val="es-ES"/>
              </w:rPr>
              <w:t xml:space="preserve"> </w:t>
            </w:r>
            <w:proofErr w:type="spellStart"/>
            <w:r>
              <w:rPr>
                <w:sz w:val="22"/>
                <w:szCs w:val="22"/>
                <w:lang w:val="es-ES"/>
              </w:rPr>
              <w:t>manufacturer</w:t>
            </w:r>
            <w:proofErr w:type="spellEnd"/>
            <w:r>
              <w:rPr>
                <w:sz w:val="22"/>
                <w:szCs w:val="22"/>
                <w:lang w:val="es-ES"/>
              </w:rPr>
              <w:t xml:space="preserve"> </w:t>
            </w:r>
            <w:proofErr w:type="spellStart"/>
            <w:r>
              <w:rPr>
                <w:sz w:val="22"/>
                <w:szCs w:val="22"/>
                <w:lang w:val="es-ES"/>
              </w:rPr>
              <w:t>or</w:t>
            </w:r>
            <w:proofErr w:type="spellEnd"/>
            <w:r>
              <w:rPr>
                <w:sz w:val="22"/>
                <w:szCs w:val="22"/>
                <w:lang w:val="es-ES"/>
              </w:rPr>
              <w:t xml:space="preserve"> representative (</w:t>
            </w:r>
            <w:proofErr w:type="spellStart"/>
            <w:r>
              <w:rPr>
                <w:sz w:val="22"/>
                <w:szCs w:val="22"/>
                <w:lang w:val="es-ES"/>
              </w:rPr>
              <w:t>or</w:t>
            </w:r>
            <w:proofErr w:type="spellEnd"/>
            <w:r>
              <w:rPr>
                <w:sz w:val="22"/>
                <w:szCs w:val="22"/>
                <w:lang w:val="es-ES"/>
              </w:rPr>
              <w:t xml:space="preserve"> distributor) </w:t>
            </w:r>
            <w:proofErr w:type="spellStart"/>
            <w:r>
              <w:rPr>
                <w:sz w:val="22"/>
                <w:szCs w:val="22"/>
                <w:lang w:val="es-ES"/>
              </w:rPr>
              <w:t>authorizing</w:t>
            </w:r>
            <w:proofErr w:type="spellEnd"/>
            <w:r>
              <w:rPr>
                <w:sz w:val="22"/>
                <w:szCs w:val="22"/>
                <w:lang w:val="es-ES"/>
              </w:rPr>
              <w:t xml:space="preserve"> </w:t>
            </w:r>
            <w:proofErr w:type="spellStart"/>
            <w:r>
              <w:rPr>
                <w:sz w:val="22"/>
                <w:szCs w:val="22"/>
                <w:lang w:val="es-ES"/>
              </w:rPr>
              <w:t>the</w:t>
            </w:r>
            <w:proofErr w:type="spellEnd"/>
            <w:r>
              <w:rPr>
                <w:sz w:val="22"/>
                <w:szCs w:val="22"/>
                <w:lang w:val="es-ES"/>
              </w:rPr>
              <w:t xml:space="preserve"> </w:t>
            </w:r>
            <w:proofErr w:type="spellStart"/>
            <w:r>
              <w:rPr>
                <w:sz w:val="22"/>
                <w:szCs w:val="22"/>
                <w:lang w:val="es-ES"/>
              </w:rPr>
              <w:t>bidder</w:t>
            </w:r>
            <w:proofErr w:type="spellEnd"/>
            <w:r>
              <w:rPr>
                <w:sz w:val="22"/>
                <w:szCs w:val="22"/>
                <w:lang w:val="es-ES"/>
              </w:rPr>
              <w:t xml:space="preserve"> </w:t>
            </w:r>
            <w:proofErr w:type="spellStart"/>
            <w:r>
              <w:rPr>
                <w:sz w:val="22"/>
                <w:szCs w:val="22"/>
                <w:lang w:val="es-ES"/>
              </w:rPr>
              <w:t>to</w:t>
            </w:r>
            <w:proofErr w:type="spellEnd"/>
            <w:r>
              <w:rPr>
                <w:sz w:val="22"/>
                <w:szCs w:val="22"/>
                <w:lang w:val="es-ES"/>
              </w:rPr>
              <w:t xml:space="preserve"> </w:t>
            </w:r>
            <w:proofErr w:type="spellStart"/>
            <w:r>
              <w:rPr>
                <w:sz w:val="22"/>
                <w:szCs w:val="22"/>
                <w:lang w:val="es-ES"/>
              </w:rPr>
              <w:t>submit</w:t>
            </w:r>
            <w:proofErr w:type="spellEnd"/>
            <w:r>
              <w:rPr>
                <w:sz w:val="22"/>
                <w:szCs w:val="22"/>
                <w:lang w:val="es-ES"/>
              </w:rPr>
              <w:t xml:space="preserve"> a </w:t>
            </w:r>
            <w:proofErr w:type="spellStart"/>
            <w:r>
              <w:rPr>
                <w:sz w:val="22"/>
                <w:szCs w:val="22"/>
                <w:lang w:val="es-ES"/>
              </w:rPr>
              <w:t>bid</w:t>
            </w:r>
            <w:proofErr w:type="spellEnd"/>
            <w:r>
              <w:rPr>
                <w:sz w:val="22"/>
                <w:szCs w:val="22"/>
                <w:lang w:val="es-ES"/>
              </w:rPr>
              <w:t xml:space="preserve"> </w:t>
            </w:r>
            <w:proofErr w:type="spellStart"/>
            <w:r>
              <w:rPr>
                <w:sz w:val="22"/>
                <w:szCs w:val="22"/>
                <w:lang w:val="es-ES"/>
              </w:rPr>
              <w:t>for</w:t>
            </w:r>
            <w:proofErr w:type="spellEnd"/>
            <w:r>
              <w:rPr>
                <w:sz w:val="22"/>
                <w:szCs w:val="22"/>
                <w:lang w:val="es-ES"/>
              </w:rPr>
              <w:t xml:space="preserve"> </w:t>
            </w:r>
            <w:proofErr w:type="spellStart"/>
            <w:r>
              <w:rPr>
                <w:sz w:val="22"/>
                <w:szCs w:val="22"/>
                <w:lang w:val="es-ES"/>
              </w:rPr>
              <w:t>the</w:t>
            </w:r>
            <w:proofErr w:type="spellEnd"/>
            <w:r>
              <w:rPr>
                <w:sz w:val="22"/>
                <w:szCs w:val="22"/>
                <w:lang w:val="es-ES"/>
              </w:rPr>
              <w:t xml:space="preserve"> </w:t>
            </w:r>
            <w:proofErr w:type="spellStart"/>
            <w:r>
              <w:rPr>
                <w:sz w:val="22"/>
                <w:szCs w:val="22"/>
                <w:lang w:val="es-ES"/>
              </w:rPr>
              <w:t>tendered</w:t>
            </w:r>
            <w:proofErr w:type="spellEnd"/>
            <w:r>
              <w:rPr>
                <w:sz w:val="22"/>
                <w:szCs w:val="22"/>
                <w:lang w:val="es-ES"/>
              </w:rPr>
              <w:t xml:space="preserve"> </w:t>
            </w:r>
            <w:proofErr w:type="spellStart"/>
            <w:r>
              <w:rPr>
                <w:sz w:val="22"/>
                <w:szCs w:val="22"/>
                <w:lang w:val="es-ES"/>
              </w:rPr>
              <w:t>supply</w:t>
            </w:r>
            <w:proofErr w:type="spellEnd"/>
            <w:r>
              <w:rPr>
                <w:sz w:val="22"/>
                <w:szCs w:val="22"/>
                <w:lang w:val="es-ES"/>
              </w:rPr>
              <w:t xml:space="preserve"> in </w:t>
            </w:r>
            <w:proofErr w:type="spellStart"/>
            <w:r>
              <w:rPr>
                <w:sz w:val="22"/>
                <w:szCs w:val="22"/>
                <w:lang w:val="es-ES"/>
              </w:rPr>
              <w:t>the</w:t>
            </w:r>
            <w:proofErr w:type="spellEnd"/>
            <w:r>
              <w:rPr>
                <w:sz w:val="22"/>
                <w:szCs w:val="22"/>
                <w:lang w:val="es-ES"/>
              </w:rPr>
              <w:t xml:space="preserve"> </w:t>
            </w:r>
            <w:proofErr w:type="spellStart"/>
            <w:r>
              <w:rPr>
                <w:sz w:val="22"/>
                <w:szCs w:val="22"/>
                <w:lang w:val="es-ES"/>
              </w:rPr>
              <w:t>quantity</w:t>
            </w:r>
            <w:proofErr w:type="spellEnd"/>
            <w:r>
              <w:rPr>
                <w:sz w:val="22"/>
                <w:szCs w:val="22"/>
                <w:lang w:val="es-ES"/>
              </w:rPr>
              <w:t xml:space="preserve">, </w:t>
            </w:r>
            <w:proofErr w:type="spellStart"/>
            <w:r>
              <w:rPr>
                <w:sz w:val="22"/>
                <w:szCs w:val="22"/>
                <w:lang w:val="es-ES"/>
              </w:rPr>
              <w:t>characteristics</w:t>
            </w:r>
            <w:proofErr w:type="spellEnd"/>
            <w:r>
              <w:rPr>
                <w:sz w:val="22"/>
                <w:szCs w:val="22"/>
                <w:lang w:val="es-ES"/>
              </w:rPr>
              <w:t xml:space="preserve"> and </w:t>
            </w:r>
            <w:proofErr w:type="spellStart"/>
            <w:r>
              <w:rPr>
                <w:sz w:val="22"/>
                <w:szCs w:val="22"/>
                <w:lang w:val="es-ES"/>
              </w:rPr>
              <w:t>term</w:t>
            </w:r>
            <w:proofErr w:type="spellEnd"/>
            <w:r>
              <w:rPr>
                <w:sz w:val="22"/>
                <w:szCs w:val="22"/>
                <w:lang w:val="es-ES"/>
              </w:rPr>
              <w:t xml:space="preserve"> </w:t>
            </w:r>
            <w:proofErr w:type="spellStart"/>
            <w:r>
              <w:rPr>
                <w:sz w:val="22"/>
                <w:szCs w:val="22"/>
                <w:lang w:val="es-ES"/>
              </w:rPr>
              <w:t>offered</w:t>
            </w:r>
            <w:proofErr w:type="spellEnd"/>
            <w:r>
              <w:rPr>
                <w:sz w:val="22"/>
                <w:szCs w:val="22"/>
                <w:lang w:val="es-ES"/>
              </w:rPr>
              <w:t>.</w:t>
            </w:r>
          </w:p>
          <w:p w14:paraId="6398A8AD" w14:textId="77777777" w:rsidR="00E255F4" w:rsidRDefault="00000000">
            <w:pPr>
              <w:numPr>
                <w:ilvl w:val="0"/>
                <w:numId w:val="73"/>
              </w:numPr>
              <w:spacing w:after="240"/>
              <w:rPr>
                <w:sz w:val="22"/>
                <w:szCs w:val="22"/>
                <w:lang w:val="es-ES"/>
              </w:rPr>
            </w:pPr>
            <w:proofErr w:type="spellStart"/>
            <w:r>
              <w:rPr>
                <w:sz w:val="22"/>
                <w:szCs w:val="22"/>
                <w:lang w:val="es-ES"/>
              </w:rPr>
              <w:t>Identification</w:t>
            </w:r>
            <w:proofErr w:type="spellEnd"/>
            <w:r>
              <w:rPr>
                <w:sz w:val="22"/>
                <w:szCs w:val="22"/>
                <w:lang w:val="es-ES"/>
              </w:rPr>
              <w:t xml:space="preserve"> </w:t>
            </w:r>
            <w:proofErr w:type="spellStart"/>
            <w:r>
              <w:rPr>
                <w:sz w:val="22"/>
                <w:szCs w:val="22"/>
                <w:lang w:val="es-ES"/>
              </w:rPr>
              <w:t>of</w:t>
            </w:r>
            <w:proofErr w:type="spellEnd"/>
            <w:r>
              <w:rPr>
                <w:sz w:val="22"/>
                <w:szCs w:val="22"/>
                <w:lang w:val="es-ES"/>
              </w:rPr>
              <w:t xml:space="preserve"> </w:t>
            </w:r>
            <w:proofErr w:type="spellStart"/>
            <w:r>
              <w:rPr>
                <w:sz w:val="22"/>
                <w:szCs w:val="22"/>
                <w:lang w:val="es-ES"/>
              </w:rPr>
              <w:t>the</w:t>
            </w:r>
            <w:proofErr w:type="spellEnd"/>
            <w:r>
              <w:rPr>
                <w:sz w:val="22"/>
                <w:szCs w:val="22"/>
                <w:lang w:val="es-ES"/>
              </w:rPr>
              <w:t xml:space="preserve"> representative </w:t>
            </w:r>
            <w:proofErr w:type="spellStart"/>
            <w:r>
              <w:rPr>
                <w:sz w:val="22"/>
                <w:szCs w:val="22"/>
                <w:lang w:val="es-ES"/>
              </w:rPr>
              <w:t>or</w:t>
            </w:r>
            <w:proofErr w:type="spellEnd"/>
            <w:r>
              <w:rPr>
                <w:sz w:val="22"/>
                <w:szCs w:val="22"/>
                <w:lang w:val="es-ES"/>
              </w:rPr>
              <w:t xml:space="preserve"> distributor (</w:t>
            </w:r>
            <w:proofErr w:type="spellStart"/>
            <w:r>
              <w:rPr>
                <w:sz w:val="22"/>
                <w:szCs w:val="22"/>
                <w:lang w:val="es-ES"/>
              </w:rPr>
              <w:t>name</w:t>
            </w:r>
            <w:proofErr w:type="spellEnd"/>
            <w:r>
              <w:rPr>
                <w:sz w:val="22"/>
                <w:szCs w:val="22"/>
                <w:lang w:val="es-ES"/>
              </w:rPr>
              <w:t xml:space="preserve">, </w:t>
            </w:r>
            <w:proofErr w:type="spellStart"/>
            <w:r>
              <w:rPr>
                <w:sz w:val="22"/>
                <w:szCs w:val="22"/>
                <w:lang w:val="es-ES"/>
              </w:rPr>
              <w:t>address</w:t>
            </w:r>
            <w:proofErr w:type="spellEnd"/>
            <w:r>
              <w:rPr>
                <w:sz w:val="22"/>
                <w:szCs w:val="22"/>
                <w:lang w:val="es-ES"/>
              </w:rPr>
              <w:t>, country).</w:t>
            </w:r>
          </w:p>
          <w:p w14:paraId="728BE310" w14:textId="77777777" w:rsidR="00E255F4" w:rsidRDefault="00000000">
            <w:pPr>
              <w:numPr>
                <w:ilvl w:val="0"/>
                <w:numId w:val="73"/>
              </w:numPr>
              <w:spacing w:after="240"/>
              <w:rPr>
                <w:sz w:val="22"/>
                <w:szCs w:val="22"/>
                <w:lang w:val="es-ES"/>
              </w:rPr>
            </w:pPr>
            <w:proofErr w:type="spellStart"/>
            <w:r>
              <w:rPr>
                <w:sz w:val="22"/>
                <w:szCs w:val="22"/>
                <w:lang w:val="es-ES"/>
              </w:rPr>
              <w:t>Supporting</w:t>
            </w:r>
            <w:proofErr w:type="spellEnd"/>
            <w:r>
              <w:rPr>
                <w:sz w:val="22"/>
                <w:szCs w:val="22"/>
                <w:lang w:val="es-ES"/>
              </w:rPr>
              <w:t xml:space="preserve"> </w:t>
            </w:r>
            <w:proofErr w:type="spellStart"/>
            <w:r>
              <w:rPr>
                <w:sz w:val="22"/>
                <w:szCs w:val="22"/>
                <w:lang w:val="es-ES"/>
              </w:rPr>
              <w:t>documentation</w:t>
            </w:r>
            <w:proofErr w:type="spellEnd"/>
            <w:r>
              <w:rPr>
                <w:sz w:val="22"/>
                <w:szCs w:val="22"/>
                <w:lang w:val="es-ES"/>
              </w:rPr>
              <w:t xml:space="preserve"> </w:t>
            </w:r>
            <w:proofErr w:type="spellStart"/>
            <w:r>
              <w:rPr>
                <w:sz w:val="22"/>
                <w:szCs w:val="22"/>
                <w:lang w:val="es-ES"/>
              </w:rPr>
              <w:t>that</w:t>
            </w:r>
            <w:proofErr w:type="spellEnd"/>
            <w:r>
              <w:rPr>
                <w:sz w:val="22"/>
                <w:szCs w:val="22"/>
                <w:lang w:val="es-ES"/>
              </w:rPr>
              <w:t xml:space="preserve"> links </w:t>
            </w:r>
            <w:proofErr w:type="spellStart"/>
            <w:r>
              <w:rPr>
                <w:sz w:val="22"/>
                <w:szCs w:val="22"/>
                <w:lang w:val="es-ES"/>
              </w:rPr>
              <w:t>the</w:t>
            </w:r>
            <w:proofErr w:type="spellEnd"/>
            <w:r>
              <w:rPr>
                <w:sz w:val="22"/>
                <w:szCs w:val="22"/>
                <w:lang w:val="es-ES"/>
              </w:rPr>
              <w:t xml:space="preserve"> representative </w:t>
            </w:r>
            <w:proofErr w:type="spellStart"/>
            <w:r>
              <w:rPr>
                <w:sz w:val="22"/>
                <w:szCs w:val="22"/>
                <w:lang w:val="es-ES"/>
              </w:rPr>
              <w:t>or</w:t>
            </w:r>
            <w:proofErr w:type="spellEnd"/>
            <w:r>
              <w:rPr>
                <w:sz w:val="22"/>
                <w:szCs w:val="22"/>
                <w:lang w:val="es-ES"/>
              </w:rPr>
              <w:t xml:space="preserve"> distributor </w:t>
            </w:r>
            <w:proofErr w:type="spellStart"/>
            <w:r>
              <w:rPr>
                <w:sz w:val="22"/>
                <w:szCs w:val="22"/>
                <w:lang w:val="es-ES"/>
              </w:rPr>
              <w:t>to</w:t>
            </w:r>
            <w:proofErr w:type="spellEnd"/>
            <w:r>
              <w:rPr>
                <w:sz w:val="22"/>
                <w:szCs w:val="22"/>
                <w:lang w:val="es-ES"/>
              </w:rPr>
              <w:t xml:space="preserve"> </w:t>
            </w:r>
            <w:proofErr w:type="spellStart"/>
            <w:r>
              <w:rPr>
                <w:sz w:val="22"/>
                <w:szCs w:val="22"/>
                <w:lang w:val="es-ES"/>
              </w:rPr>
              <w:t>the</w:t>
            </w:r>
            <w:proofErr w:type="spellEnd"/>
            <w:r>
              <w:rPr>
                <w:sz w:val="22"/>
                <w:szCs w:val="22"/>
                <w:lang w:val="es-ES"/>
              </w:rPr>
              <w:t xml:space="preserve"> </w:t>
            </w:r>
            <w:proofErr w:type="spellStart"/>
            <w:r>
              <w:rPr>
                <w:sz w:val="22"/>
                <w:szCs w:val="22"/>
                <w:lang w:val="es-ES"/>
              </w:rPr>
              <w:t>manufacturer</w:t>
            </w:r>
            <w:proofErr w:type="spellEnd"/>
            <w:r>
              <w:rPr>
                <w:sz w:val="22"/>
                <w:szCs w:val="22"/>
                <w:lang w:val="es-ES"/>
              </w:rPr>
              <w:t xml:space="preserve"> </w:t>
            </w:r>
            <w:proofErr w:type="spellStart"/>
            <w:r>
              <w:rPr>
                <w:sz w:val="22"/>
                <w:szCs w:val="22"/>
                <w:lang w:val="es-ES"/>
              </w:rPr>
              <w:t>of</w:t>
            </w:r>
            <w:proofErr w:type="spellEnd"/>
            <w:r>
              <w:rPr>
                <w:sz w:val="22"/>
                <w:szCs w:val="22"/>
                <w:lang w:val="es-ES"/>
              </w:rPr>
              <w:t xml:space="preserve"> </w:t>
            </w:r>
            <w:proofErr w:type="spellStart"/>
            <w:r>
              <w:rPr>
                <w:sz w:val="22"/>
                <w:szCs w:val="22"/>
                <w:lang w:val="es-ES"/>
              </w:rPr>
              <w:t>the</w:t>
            </w:r>
            <w:proofErr w:type="spellEnd"/>
            <w:r>
              <w:rPr>
                <w:sz w:val="22"/>
                <w:szCs w:val="22"/>
                <w:lang w:val="es-ES"/>
              </w:rPr>
              <w:t xml:space="preserve"> </w:t>
            </w:r>
            <w:proofErr w:type="spellStart"/>
            <w:r>
              <w:rPr>
                <w:sz w:val="22"/>
                <w:szCs w:val="22"/>
                <w:lang w:val="es-ES"/>
              </w:rPr>
              <w:t>offered</w:t>
            </w:r>
            <w:proofErr w:type="spellEnd"/>
            <w:r>
              <w:rPr>
                <w:sz w:val="22"/>
                <w:szCs w:val="22"/>
                <w:lang w:val="es-ES"/>
              </w:rPr>
              <w:t xml:space="preserve"> </w:t>
            </w:r>
            <w:proofErr w:type="spellStart"/>
            <w:r>
              <w:rPr>
                <w:sz w:val="22"/>
                <w:szCs w:val="22"/>
                <w:lang w:val="es-ES"/>
              </w:rPr>
              <w:t>item</w:t>
            </w:r>
            <w:proofErr w:type="spellEnd"/>
            <w:r>
              <w:rPr>
                <w:sz w:val="22"/>
                <w:szCs w:val="22"/>
                <w:lang w:val="es-ES"/>
              </w:rPr>
              <w:t>.</w:t>
            </w:r>
          </w:p>
          <w:p w14:paraId="7B92E46E" w14:textId="77777777" w:rsidR="00E255F4" w:rsidRDefault="00000000">
            <w:pPr>
              <w:numPr>
                <w:ilvl w:val="0"/>
                <w:numId w:val="27"/>
              </w:numPr>
              <w:spacing w:after="240"/>
              <w:ind w:left="419" w:hanging="283"/>
              <w:rPr>
                <w:sz w:val="22"/>
                <w:szCs w:val="22"/>
                <w:lang w:val="es-ES"/>
              </w:rPr>
            </w:pPr>
            <w:proofErr w:type="spellStart"/>
            <w:r>
              <w:rPr>
                <w:sz w:val="22"/>
                <w:szCs w:val="22"/>
                <w:lang w:val="es-ES"/>
              </w:rPr>
              <w:t>Each</w:t>
            </w:r>
            <w:proofErr w:type="spellEnd"/>
            <w:r>
              <w:rPr>
                <w:sz w:val="22"/>
                <w:szCs w:val="22"/>
                <w:lang w:val="es-ES"/>
              </w:rPr>
              <w:t xml:space="preserve"> </w:t>
            </w:r>
            <w:proofErr w:type="spellStart"/>
            <w:r>
              <w:rPr>
                <w:sz w:val="22"/>
                <w:szCs w:val="22"/>
                <w:lang w:val="es-ES"/>
              </w:rPr>
              <w:t>item</w:t>
            </w:r>
            <w:proofErr w:type="spellEnd"/>
            <w:r>
              <w:rPr>
                <w:sz w:val="22"/>
                <w:szCs w:val="22"/>
                <w:lang w:val="es-ES"/>
              </w:rPr>
              <w:t xml:space="preserve"> </w:t>
            </w:r>
            <w:proofErr w:type="spellStart"/>
            <w:r>
              <w:rPr>
                <w:sz w:val="22"/>
                <w:szCs w:val="22"/>
                <w:lang w:val="es-ES"/>
              </w:rPr>
              <w:t>offered</w:t>
            </w:r>
            <w:proofErr w:type="spellEnd"/>
            <w:r>
              <w:rPr>
                <w:sz w:val="22"/>
                <w:szCs w:val="22"/>
                <w:lang w:val="es-ES"/>
              </w:rPr>
              <w:t xml:space="preserve"> </w:t>
            </w:r>
            <w:proofErr w:type="spellStart"/>
            <w:r>
              <w:rPr>
                <w:sz w:val="22"/>
                <w:szCs w:val="22"/>
                <w:lang w:val="es-ES"/>
              </w:rPr>
              <w:t>must</w:t>
            </w:r>
            <w:proofErr w:type="spellEnd"/>
            <w:r>
              <w:rPr>
                <w:sz w:val="22"/>
                <w:szCs w:val="22"/>
                <w:lang w:val="es-ES"/>
              </w:rPr>
              <w:t xml:space="preserve"> </w:t>
            </w:r>
            <w:proofErr w:type="spellStart"/>
            <w:r>
              <w:rPr>
                <w:sz w:val="22"/>
                <w:szCs w:val="22"/>
                <w:lang w:val="es-ES"/>
              </w:rPr>
              <w:t>have</w:t>
            </w:r>
            <w:proofErr w:type="spellEnd"/>
            <w:r>
              <w:rPr>
                <w:sz w:val="22"/>
                <w:szCs w:val="22"/>
                <w:lang w:val="es-ES"/>
              </w:rPr>
              <w:t xml:space="preserve"> </w:t>
            </w:r>
            <w:proofErr w:type="spellStart"/>
            <w:r>
              <w:rPr>
                <w:sz w:val="22"/>
                <w:szCs w:val="22"/>
                <w:lang w:val="es-ES"/>
              </w:rPr>
              <w:t>the</w:t>
            </w:r>
            <w:proofErr w:type="spellEnd"/>
            <w:r>
              <w:rPr>
                <w:sz w:val="22"/>
                <w:szCs w:val="22"/>
                <w:lang w:val="es-ES"/>
              </w:rPr>
              <w:t xml:space="preserve"> </w:t>
            </w:r>
            <w:proofErr w:type="spellStart"/>
            <w:r>
              <w:rPr>
                <w:sz w:val="22"/>
                <w:szCs w:val="22"/>
                <w:lang w:val="es-ES"/>
              </w:rPr>
              <w:t>brand</w:t>
            </w:r>
            <w:proofErr w:type="spellEnd"/>
            <w:r>
              <w:rPr>
                <w:sz w:val="22"/>
                <w:szCs w:val="22"/>
                <w:lang w:val="es-ES"/>
              </w:rPr>
              <w:t xml:space="preserve"> </w:t>
            </w:r>
            <w:proofErr w:type="spellStart"/>
            <w:r>
              <w:rPr>
                <w:sz w:val="22"/>
                <w:szCs w:val="22"/>
                <w:lang w:val="es-ES"/>
              </w:rPr>
              <w:t>engraved</w:t>
            </w:r>
            <w:proofErr w:type="spellEnd"/>
            <w:r>
              <w:rPr>
                <w:sz w:val="22"/>
                <w:szCs w:val="22"/>
                <w:lang w:val="es-ES"/>
              </w:rPr>
              <w:t xml:space="preserve"> </w:t>
            </w:r>
            <w:proofErr w:type="spellStart"/>
            <w:r>
              <w:rPr>
                <w:sz w:val="22"/>
                <w:szCs w:val="22"/>
                <w:lang w:val="es-ES"/>
              </w:rPr>
              <w:t>or</w:t>
            </w:r>
            <w:proofErr w:type="spellEnd"/>
            <w:r>
              <w:rPr>
                <w:sz w:val="22"/>
                <w:szCs w:val="22"/>
                <w:lang w:val="es-ES"/>
              </w:rPr>
              <w:t xml:space="preserve"> </w:t>
            </w:r>
            <w:proofErr w:type="spellStart"/>
            <w:r>
              <w:rPr>
                <w:sz w:val="22"/>
                <w:szCs w:val="22"/>
                <w:lang w:val="es-ES"/>
              </w:rPr>
              <w:t>printed</w:t>
            </w:r>
            <w:proofErr w:type="spellEnd"/>
            <w:r>
              <w:rPr>
                <w:sz w:val="22"/>
                <w:szCs w:val="22"/>
                <w:lang w:val="es-ES"/>
              </w:rPr>
              <w:t xml:space="preserve"> </w:t>
            </w:r>
            <w:proofErr w:type="spellStart"/>
            <w:r>
              <w:rPr>
                <w:sz w:val="22"/>
                <w:szCs w:val="22"/>
                <w:lang w:val="es-ES"/>
              </w:rPr>
              <w:t>on</w:t>
            </w:r>
            <w:proofErr w:type="spellEnd"/>
            <w:r>
              <w:rPr>
                <w:sz w:val="22"/>
                <w:szCs w:val="22"/>
                <w:lang w:val="es-ES"/>
              </w:rPr>
              <w:t xml:space="preserve"> </w:t>
            </w:r>
            <w:proofErr w:type="spellStart"/>
            <w:r>
              <w:rPr>
                <w:sz w:val="22"/>
                <w:szCs w:val="22"/>
                <w:lang w:val="es-ES"/>
              </w:rPr>
              <w:t>the</w:t>
            </w:r>
            <w:proofErr w:type="spellEnd"/>
            <w:r>
              <w:rPr>
                <w:sz w:val="22"/>
                <w:szCs w:val="22"/>
                <w:lang w:val="es-ES"/>
              </w:rPr>
              <w:t xml:space="preserve"> </w:t>
            </w:r>
            <w:proofErr w:type="spellStart"/>
            <w:r>
              <w:rPr>
                <w:sz w:val="22"/>
                <w:szCs w:val="22"/>
                <w:lang w:val="es-ES"/>
              </w:rPr>
              <w:t>piece</w:t>
            </w:r>
            <w:proofErr w:type="spellEnd"/>
            <w:r>
              <w:rPr>
                <w:sz w:val="22"/>
                <w:szCs w:val="22"/>
                <w:lang w:val="es-ES"/>
              </w:rPr>
              <w:t xml:space="preserve">; </w:t>
            </w:r>
            <w:proofErr w:type="spellStart"/>
            <w:r>
              <w:rPr>
                <w:sz w:val="22"/>
                <w:szCs w:val="22"/>
                <w:lang w:val="es-ES"/>
              </w:rPr>
              <w:t>labels</w:t>
            </w:r>
            <w:proofErr w:type="spellEnd"/>
            <w:r>
              <w:rPr>
                <w:sz w:val="22"/>
                <w:szCs w:val="22"/>
                <w:lang w:val="es-ES"/>
              </w:rPr>
              <w:t xml:space="preserve"> </w:t>
            </w:r>
            <w:proofErr w:type="spellStart"/>
            <w:r>
              <w:rPr>
                <w:sz w:val="22"/>
                <w:szCs w:val="22"/>
                <w:lang w:val="es-ES"/>
              </w:rPr>
              <w:t>or</w:t>
            </w:r>
            <w:proofErr w:type="spellEnd"/>
            <w:r>
              <w:rPr>
                <w:sz w:val="22"/>
                <w:szCs w:val="22"/>
                <w:lang w:val="es-ES"/>
              </w:rPr>
              <w:t xml:space="preserve"> </w:t>
            </w:r>
            <w:proofErr w:type="spellStart"/>
            <w:r>
              <w:rPr>
                <w:sz w:val="22"/>
                <w:szCs w:val="22"/>
                <w:lang w:val="es-ES"/>
              </w:rPr>
              <w:t>any</w:t>
            </w:r>
            <w:proofErr w:type="spellEnd"/>
            <w:r>
              <w:rPr>
                <w:sz w:val="22"/>
                <w:szCs w:val="22"/>
                <w:lang w:val="es-ES"/>
              </w:rPr>
              <w:t xml:space="preserve"> </w:t>
            </w:r>
            <w:proofErr w:type="spellStart"/>
            <w:r>
              <w:rPr>
                <w:sz w:val="22"/>
                <w:szCs w:val="22"/>
                <w:lang w:val="es-ES"/>
              </w:rPr>
              <w:t>other</w:t>
            </w:r>
            <w:proofErr w:type="spellEnd"/>
            <w:r>
              <w:rPr>
                <w:sz w:val="22"/>
                <w:szCs w:val="22"/>
                <w:lang w:val="es-ES"/>
              </w:rPr>
              <w:t xml:space="preserve"> </w:t>
            </w:r>
            <w:proofErr w:type="spellStart"/>
            <w:r>
              <w:rPr>
                <w:sz w:val="22"/>
                <w:szCs w:val="22"/>
                <w:lang w:val="es-ES"/>
              </w:rPr>
              <w:t>element</w:t>
            </w:r>
            <w:proofErr w:type="spellEnd"/>
            <w:r>
              <w:rPr>
                <w:sz w:val="22"/>
                <w:szCs w:val="22"/>
                <w:lang w:val="es-ES"/>
              </w:rPr>
              <w:t xml:space="preserve"> </w:t>
            </w:r>
            <w:proofErr w:type="spellStart"/>
            <w:r>
              <w:rPr>
                <w:sz w:val="22"/>
                <w:szCs w:val="22"/>
                <w:lang w:val="es-ES"/>
              </w:rPr>
              <w:t>attached</w:t>
            </w:r>
            <w:proofErr w:type="spellEnd"/>
            <w:r>
              <w:rPr>
                <w:sz w:val="22"/>
                <w:szCs w:val="22"/>
                <w:lang w:val="es-ES"/>
              </w:rPr>
              <w:t xml:space="preserve"> </w:t>
            </w:r>
            <w:proofErr w:type="spellStart"/>
            <w:r>
              <w:rPr>
                <w:sz w:val="22"/>
                <w:szCs w:val="22"/>
                <w:lang w:val="es-ES"/>
              </w:rPr>
              <w:t>to</w:t>
            </w:r>
            <w:proofErr w:type="spellEnd"/>
            <w:r>
              <w:rPr>
                <w:sz w:val="22"/>
                <w:szCs w:val="22"/>
                <w:lang w:val="es-ES"/>
              </w:rPr>
              <w:t xml:space="preserve"> </w:t>
            </w:r>
            <w:proofErr w:type="spellStart"/>
            <w:r>
              <w:rPr>
                <w:sz w:val="22"/>
                <w:szCs w:val="22"/>
                <w:lang w:val="es-ES"/>
              </w:rPr>
              <w:t>the</w:t>
            </w:r>
            <w:proofErr w:type="spellEnd"/>
            <w:r>
              <w:rPr>
                <w:sz w:val="22"/>
                <w:szCs w:val="22"/>
                <w:lang w:val="es-ES"/>
              </w:rPr>
              <w:t xml:space="preserve"> </w:t>
            </w:r>
            <w:proofErr w:type="spellStart"/>
            <w:r>
              <w:rPr>
                <w:sz w:val="22"/>
                <w:szCs w:val="22"/>
                <w:lang w:val="es-ES"/>
              </w:rPr>
              <w:t>item</w:t>
            </w:r>
            <w:proofErr w:type="spellEnd"/>
            <w:r>
              <w:rPr>
                <w:sz w:val="22"/>
                <w:szCs w:val="22"/>
                <w:lang w:val="es-ES"/>
              </w:rPr>
              <w:t xml:space="preserve"> </w:t>
            </w:r>
            <w:proofErr w:type="spellStart"/>
            <w:r>
              <w:rPr>
                <w:sz w:val="22"/>
                <w:szCs w:val="22"/>
                <w:lang w:val="es-ES"/>
              </w:rPr>
              <w:t>offered</w:t>
            </w:r>
            <w:proofErr w:type="spellEnd"/>
            <w:r>
              <w:rPr>
                <w:sz w:val="22"/>
                <w:szCs w:val="22"/>
                <w:lang w:val="es-ES"/>
              </w:rPr>
              <w:t xml:space="preserve"> are </w:t>
            </w:r>
            <w:proofErr w:type="spellStart"/>
            <w:r>
              <w:rPr>
                <w:sz w:val="22"/>
                <w:szCs w:val="22"/>
                <w:lang w:val="es-ES"/>
              </w:rPr>
              <w:t>not</w:t>
            </w:r>
            <w:proofErr w:type="spellEnd"/>
            <w:r>
              <w:rPr>
                <w:sz w:val="22"/>
                <w:szCs w:val="22"/>
                <w:lang w:val="es-ES"/>
              </w:rPr>
              <w:t xml:space="preserve"> </w:t>
            </w:r>
            <w:proofErr w:type="spellStart"/>
            <w:r>
              <w:rPr>
                <w:sz w:val="22"/>
                <w:szCs w:val="22"/>
                <w:lang w:val="es-ES"/>
              </w:rPr>
              <w:t>acceptable</w:t>
            </w:r>
            <w:proofErr w:type="spellEnd"/>
            <w:r>
              <w:rPr>
                <w:sz w:val="22"/>
                <w:szCs w:val="22"/>
                <w:lang w:val="es-ES"/>
              </w:rPr>
              <w:t>.</w:t>
            </w:r>
          </w:p>
          <w:p w14:paraId="4D524779" w14:textId="77777777" w:rsidR="00E255F4" w:rsidRDefault="00000000">
            <w:pPr>
              <w:numPr>
                <w:ilvl w:val="0"/>
                <w:numId w:val="27"/>
              </w:numPr>
              <w:spacing w:after="240"/>
              <w:ind w:left="419" w:hanging="283"/>
              <w:rPr>
                <w:sz w:val="22"/>
                <w:szCs w:val="22"/>
                <w:lang w:val="es-ES"/>
              </w:rPr>
            </w:pPr>
            <w:proofErr w:type="spellStart"/>
            <w:r>
              <w:rPr>
                <w:sz w:val="22"/>
                <w:szCs w:val="22"/>
                <w:lang w:val="es-ES"/>
              </w:rPr>
              <w:t>Catalogs</w:t>
            </w:r>
            <w:proofErr w:type="spellEnd"/>
            <w:r>
              <w:rPr>
                <w:sz w:val="22"/>
                <w:szCs w:val="22"/>
                <w:lang w:val="es-ES"/>
              </w:rPr>
              <w:t xml:space="preserve"> and/</w:t>
            </w:r>
            <w:proofErr w:type="spellStart"/>
            <w:r>
              <w:rPr>
                <w:sz w:val="22"/>
                <w:szCs w:val="22"/>
                <w:lang w:val="es-ES"/>
              </w:rPr>
              <w:t>or</w:t>
            </w:r>
            <w:proofErr w:type="spellEnd"/>
            <w:r>
              <w:rPr>
                <w:sz w:val="22"/>
                <w:szCs w:val="22"/>
                <w:lang w:val="es-ES"/>
              </w:rPr>
              <w:t xml:space="preserve"> data </w:t>
            </w:r>
            <w:proofErr w:type="spellStart"/>
            <w:r>
              <w:rPr>
                <w:sz w:val="22"/>
                <w:szCs w:val="22"/>
                <w:lang w:val="es-ES"/>
              </w:rPr>
              <w:t>sheets</w:t>
            </w:r>
            <w:proofErr w:type="spellEnd"/>
            <w:r>
              <w:rPr>
                <w:sz w:val="22"/>
                <w:szCs w:val="22"/>
                <w:lang w:val="es-ES"/>
              </w:rPr>
              <w:t xml:space="preserve"> </w:t>
            </w:r>
            <w:proofErr w:type="spellStart"/>
            <w:r>
              <w:rPr>
                <w:sz w:val="22"/>
                <w:szCs w:val="22"/>
                <w:lang w:val="es-ES"/>
              </w:rPr>
              <w:t>with</w:t>
            </w:r>
            <w:proofErr w:type="spellEnd"/>
            <w:r>
              <w:rPr>
                <w:sz w:val="22"/>
                <w:szCs w:val="22"/>
                <w:lang w:val="es-ES"/>
              </w:rPr>
              <w:t xml:space="preserve"> </w:t>
            </w:r>
            <w:proofErr w:type="spellStart"/>
            <w:r>
              <w:rPr>
                <w:sz w:val="22"/>
                <w:szCs w:val="22"/>
                <w:lang w:val="es-ES"/>
              </w:rPr>
              <w:t>technical</w:t>
            </w:r>
            <w:proofErr w:type="spellEnd"/>
            <w:r>
              <w:rPr>
                <w:sz w:val="22"/>
                <w:szCs w:val="22"/>
                <w:lang w:val="es-ES"/>
              </w:rPr>
              <w:t xml:space="preserve"> </w:t>
            </w:r>
            <w:proofErr w:type="spellStart"/>
            <w:r>
              <w:rPr>
                <w:sz w:val="22"/>
                <w:szCs w:val="22"/>
                <w:lang w:val="es-ES"/>
              </w:rPr>
              <w:t>specifications</w:t>
            </w:r>
            <w:proofErr w:type="spellEnd"/>
            <w:r>
              <w:rPr>
                <w:sz w:val="22"/>
                <w:szCs w:val="22"/>
                <w:lang w:val="es-ES"/>
              </w:rPr>
              <w:t xml:space="preserve"> and </w:t>
            </w:r>
            <w:proofErr w:type="spellStart"/>
            <w:r>
              <w:rPr>
                <w:sz w:val="22"/>
                <w:szCs w:val="22"/>
                <w:lang w:val="es-ES"/>
              </w:rPr>
              <w:t>graphic</w:t>
            </w:r>
            <w:proofErr w:type="spellEnd"/>
            <w:r>
              <w:rPr>
                <w:sz w:val="22"/>
                <w:szCs w:val="22"/>
                <w:lang w:val="es-ES"/>
              </w:rPr>
              <w:t xml:space="preserve"> </w:t>
            </w:r>
            <w:proofErr w:type="spellStart"/>
            <w:r>
              <w:rPr>
                <w:sz w:val="22"/>
                <w:szCs w:val="22"/>
                <w:lang w:val="es-ES"/>
              </w:rPr>
              <w:t>elements</w:t>
            </w:r>
            <w:proofErr w:type="spellEnd"/>
            <w:r>
              <w:rPr>
                <w:sz w:val="22"/>
                <w:szCs w:val="22"/>
                <w:lang w:val="es-ES"/>
              </w:rPr>
              <w:t xml:space="preserve"> </w:t>
            </w:r>
            <w:proofErr w:type="spellStart"/>
            <w:r>
              <w:rPr>
                <w:sz w:val="22"/>
                <w:szCs w:val="22"/>
                <w:lang w:val="es-ES"/>
              </w:rPr>
              <w:t>of</w:t>
            </w:r>
            <w:proofErr w:type="spellEnd"/>
            <w:r>
              <w:rPr>
                <w:sz w:val="22"/>
                <w:szCs w:val="22"/>
                <w:lang w:val="es-ES"/>
              </w:rPr>
              <w:t xml:space="preserve"> </w:t>
            </w:r>
            <w:proofErr w:type="spellStart"/>
            <w:r>
              <w:rPr>
                <w:sz w:val="22"/>
                <w:szCs w:val="22"/>
                <w:lang w:val="es-ES"/>
              </w:rPr>
              <w:t>the</w:t>
            </w:r>
            <w:proofErr w:type="spellEnd"/>
            <w:r>
              <w:rPr>
                <w:sz w:val="22"/>
                <w:szCs w:val="22"/>
                <w:lang w:val="es-ES"/>
              </w:rPr>
              <w:t xml:space="preserve"> </w:t>
            </w:r>
            <w:proofErr w:type="spellStart"/>
            <w:r>
              <w:rPr>
                <w:sz w:val="22"/>
                <w:szCs w:val="22"/>
                <w:lang w:val="es-ES"/>
              </w:rPr>
              <w:t>integrated</w:t>
            </w:r>
            <w:proofErr w:type="spellEnd"/>
            <w:r>
              <w:rPr>
                <w:sz w:val="22"/>
                <w:szCs w:val="22"/>
                <w:lang w:val="es-ES"/>
              </w:rPr>
              <w:t xml:space="preserve"> </w:t>
            </w:r>
            <w:proofErr w:type="spellStart"/>
            <w:r>
              <w:rPr>
                <w:sz w:val="22"/>
                <w:szCs w:val="22"/>
                <w:lang w:val="es-ES"/>
              </w:rPr>
              <w:t>smart</w:t>
            </w:r>
            <w:proofErr w:type="spellEnd"/>
            <w:r>
              <w:rPr>
                <w:sz w:val="22"/>
                <w:szCs w:val="22"/>
                <w:lang w:val="es-ES"/>
              </w:rPr>
              <w:t xml:space="preserve"> meter, </w:t>
            </w:r>
            <w:proofErr w:type="spellStart"/>
            <w:r>
              <w:rPr>
                <w:sz w:val="22"/>
                <w:szCs w:val="22"/>
                <w:lang w:val="es-ES"/>
              </w:rPr>
              <w:t>both</w:t>
            </w:r>
            <w:proofErr w:type="spellEnd"/>
            <w:r>
              <w:rPr>
                <w:sz w:val="22"/>
                <w:szCs w:val="22"/>
                <w:lang w:val="es-ES"/>
              </w:rPr>
              <w:t xml:space="preserve"> </w:t>
            </w:r>
            <w:proofErr w:type="spellStart"/>
            <w:r>
              <w:rPr>
                <w:sz w:val="22"/>
                <w:szCs w:val="22"/>
                <w:lang w:val="es-ES"/>
              </w:rPr>
              <w:t>regarding</w:t>
            </w:r>
            <w:proofErr w:type="spellEnd"/>
            <w:r>
              <w:rPr>
                <w:sz w:val="22"/>
                <w:szCs w:val="22"/>
                <w:lang w:val="es-ES"/>
              </w:rPr>
              <w:t xml:space="preserve"> </w:t>
            </w:r>
            <w:proofErr w:type="spellStart"/>
            <w:r>
              <w:rPr>
                <w:sz w:val="22"/>
                <w:szCs w:val="22"/>
                <w:lang w:val="es-ES"/>
              </w:rPr>
              <w:t>its</w:t>
            </w:r>
            <w:proofErr w:type="spellEnd"/>
            <w:r>
              <w:rPr>
                <w:sz w:val="22"/>
                <w:szCs w:val="22"/>
                <w:lang w:val="es-ES"/>
              </w:rPr>
              <w:t xml:space="preserve"> </w:t>
            </w:r>
            <w:proofErr w:type="spellStart"/>
            <w:r>
              <w:rPr>
                <w:sz w:val="22"/>
                <w:szCs w:val="22"/>
                <w:lang w:val="es-ES"/>
              </w:rPr>
              <w:t>characteristics</w:t>
            </w:r>
            <w:proofErr w:type="spellEnd"/>
            <w:r>
              <w:rPr>
                <w:sz w:val="22"/>
                <w:szCs w:val="22"/>
                <w:lang w:val="es-ES"/>
              </w:rPr>
              <w:t xml:space="preserve"> as a potable </w:t>
            </w:r>
            <w:proofErr w:type="spellStart"/>
            <w:r>
              <w:rPr>
                <w:sz w:val="22"/>
                <w:szCs w:val="22"/>
                <w:lang w:val="es-ES"/>
              </w:rPr>
              <w:t>water</w:t>
            </w:r>
            <w:proofErr w:type="spellEnd"/>
            <w:r>
              <w:rPr>
                <w:sz w:val="22"/>
                <w:szCs w:val="22"/>
                <w:lang w:val="es-ES"/>
              </w:rPr>
              <w:t xml:space="preserve"> meter and </w:t>
            </w:r>
            <w:proofErr w:type="spellStart"/>
            <w:r>
              <w:rPr>
                <w:sz w:val="22"/>
                <w:szCs w:val="22"/>
                <w:lang w:val="es-ES"/>
              </w:rPr>
              <w:t>its</w:t>
            </w:r>
            <w:proofErr w:type="spellEnd"/>
            <w:r>
              <w:rPr>
                <w:sz w:val="22"/>
                <w:szCs w:val="22"/>
                <w:lang w:val="es-ES"/>
              </w:rPr>
              <w:t xml:space="preserve"> remote </w:t>
            </w:r>
            <w:proofErr w:type="spellStart"/>
            <w:r>
              <w:rPr>
                <w:sz w:val="22"/>
                <w:szCs w:val="22"/>
                <w:lang w:val="es-ES"/>
              </w:rPr>
              <w:t>metering</w:t>
            </w:r>
            <w:proofErr w:type="spellEnd"/>
            <w:r>
              <w:rPr>
                <w:sz w:val="22"/>
                <w:szCs w:val="22"/>
                <w:lang w:val="es-ES"/>
              </w:rPr>
              <w:t xml:space="preserve"> </w:t>
            </w:r>
            <w:proofErr w:type="spellStart"/>
            <w:r>
              <w:rPr>
                <w:sz w:val="22"/>
                <w:szCs w:val="22"/>
                <w:lang w:val="es-ES"/>
              </w:rPr>
              <w:t>features</w:t>
            </w:r>
            <w:proofErr w:type="spellEnd"/>
            <w:r>
              <w:rPr>
                <w:sz w:val="22"/>
                <w:szCs w:val="22"/>
                <w:lang w:val="es-ES"/>
              </w:rPr>
              <w:t xml:space="preserve">. </w:t>
            </w:r>
            <w:proofErr w:type="spellStart"/>
            <w:r>
              <w:rPr>
                <w:sz w:val="22"/>
                <w:szCs w:val="22"/>
                <w:lang w:val="es-ES"/>
              </w:rPr>
              <w:t>If</w:t>
            </w:r>
            <w:proofErr w:type="spellEnd"/>
            <w:r>
              <w:rPr>
                <w:sz w:val="22"/>
                <w:szCs w:val="22"/>
                <w:lang w:val="es-ES"/>
              </w:rPr>
              <w:t xml:space="preserve"> </w:t>
            </w:r>
            <w:proofErr w:type="spellStart"/>
            <w:r>
              <w:rPr>
                <w:sz w:val="22"/>
                <w:szCs w:val="22"/>
                <w:lang w:val="es-ES"/>
              </w:rPr>
              <w:t>feasible</w:t>
            </w:r>
            <w:proofErr w:type="spellEnd"/>
            <w:r>
              <w:rPr>
                <w:sz w:val="22"/>
                <w:szCs w:val="22"/>
                <w:lang w:val="es-ES"/>
              </w:rPr>
              <w:t xml:space="preserve">, </w:t>
            </w:r>
            <w:proofErr w:type="spellStart"/>
            <w:r>
              <w:rPr>
                <w:sz w:val="22"/>
                <w:szCs w:val="22"/>
                <w:lang w:val="es-ES"/>
              </w:rPr>
              <w:t>include</w:t>
            </w:r>
            <w:proofErr w:type="spellEnd"/>
            <w:r>
              <w:rPr>
                <w:sz w:val="22"/>
                <w:szCs w:val="22"/>
                <w:lang w:val="es-ES"/>
              </w:rPr>
              <w:t xml:space="preserve"> </w:t>
            </w:r>
            <w:proofErr w:type="spellStart"/>
            <w:r>
              <w:rPr>
                <w:sz w:val="22"/>
                <w:szCs w:val="22"/>
                <w:lang w:val="es-ES"/>
              </w:rPr>
              <w:t>an</w:t>
            </w:r>
            <w:proofErr w:type="spellEnd"/>
            <w:r>
              <w:rPr>
                <w:sz w:val="22"/>
                <w:szCs w:val="22"/>
                <w:lang w:val="es-ES"/>
              </w:rPr>
              <w:t xml:space="preserve"> </w:t>
            </w:r>
            <w:proofErr w:type="spellStart"/>
            <w:r>
              <w:rPr>
                <w:sz w:val="22"/>
                <w:szCs w:val="22"/>
                <w:lang w:val="es-ES"/>
              </w:rPr>
              <w:t>exploded</w:t>
            </w:r>
            <w:proofErr w:type="spellEnd"/>
            <w:r>
              <w:rPr>
                <w:sz w:val="22"/>
                <w:szCs w:val="22"/>
                <w:lang w:val="es-ES"/>
              </w:rPr>
              <w:t xml:space="preserve"> </w:t>
            </w:r>
            <w:proofErr w:type="spellStart"/>
            <w:r>
              <w:rPr>
                <w:sz w:val="22"/>
                <w:szCs w:val="22"/>
                <w:lang w:val="es-ES"/>
              </w:rPr>
              <w:t>view</w:t>
            </w:r>
            <w:proofErr w:type="spellEnd"/>
            <w:r>
              <w:rPr>
                <w:sz w:val="22"/>
                <w:szCs w:val="22"/>
                <w:lang w:val="es-ES"/>
              </w:rPr>
              <w:t xml:space="preserve"> </w:t>
            </w:r>
            <w:proofErr w:type="spellStart"/>
            <w:r>
              <w:rPr>
                <w:sz w:val="22"/>
                <w:szCs w:val="22"/>
                <w:lang w:val="es-ES"/>
              </w:rPr>
              <w:t>indicating</w:t>
            </w:r>
            <w:proofErr w:type="spellEnd"/>
            <w:r>
              <w:rPr>
                <w:sz w:val="22"/>
                <w:szCs w:val="22"/>
                <w:lang w:val="es-ES"/>
              </w:rPr>
              <w:t xml:space="preserve"> </w:t>
            </w:r>
            <w:proofErr w:type="spellStart"/>
            <w:r>
              <w:rPr>
                <w:sz w:val="22"/>
                <w:szCs w:val="22"/>
                <w:lang w:val="es-ES"/>
              </w:rPr>
              <w:t>internal</w:t>
            </w:r>
            <w:proofErr w:type="spellEnd"/>
            <w:r>
              <w:rPr>
                <w:sz w:val="22"/>
                <w:szCs w:val="22"/>
                <w:lang w:val="es-ES"/>
              </w:rPr>
              <w:t xml:space="preserve"> </w:t>
            </w:r>
            <w:proofErr w:type="spellStart"/>
            <w:r>
              <w:rPr>
                <w:sz w:val="22"/>
                <w:szCs w:val="22"/>
                <w:lang w:val="es-ES"/>
              </w:rPr>
              <w:t>components</w:t>
            </w:r>
            <w:proofErr w:type="spellEnd"/>
            <w:r>
              <w:rPr>
                <w:sz w:val="22"/>
                <w:szCs w:val="22"/>
                <w:lang w:val="es-ES"/>
              </w:rPr>
              <w:t xml:space="preserve"> and </w:t>
            </w:r>
            <w:proofErr w:type="spellStart"/>
            <w:r>
              <w:rPr>
                <w:sz w:val="22"/>
                <w:szCs w:val="22"/>
                <w:lang w:val="es-ES"/>
              </w:rPr>
              <w:t>materials</w:t>
            </w:r>
            <w:proofErr w:type="spellEnd"/>
            <w:r>
              <w:rPr>
                <w:sz w:val="22"/>
                <w:szCs w:val="22"/>
                <w:lang w:val="es-ES"/>
              </w:rPr>
              <w:t xml:space="preserve">. The </w:t>
            </w:r>
            <w:proofErr w:type="spellStart"/>
            <w:r>
              <w:rPr>
                <w:sz w:val="22"/>
                <w:szCs w:val="22"/>
                <w:lang w:val="es-ES"/>
              </w:rPr>
              <w:t>information</w:t>
            </w:r>
            <w:proofErr w:type="spellEnd"/>
            <w:r>
              <w:rPr>
                <w:sz w:val="22"/>
                <w:szCs w:val="22"/>
                <w:lang w:val="es-ES"/>
              </w:rPr>
              <w:t xml:space="preserve"> </w:t>
            </w:r>
            <w:proofErr w:type="spellStart"/>
            <w:r>
              <w:rPr>
                <w:sz w:val="22"/>
                <w:szCs w:val="22"/>
                <w:lang w:val="es-ES"/>
              </w:rPr>
              <w:t>must</w:t>
            </w:r>
            <w:proofErr w:type="spellEnd"/>
            <w:r>
              <w:rPr>
                <w:sz w:val="22"/>
                <w:szCs w:val="22"/>
                <w:lang w:val="es-ES"/>
              </w:rPr>
              <w:t xml:space="preserve"> be </w:t>
            </w:r>
            <w:proofErr w:type="spellStart"/>
            <w:r>
              <w:rPr>
                <w:sz w:val="22"/>
                <w:szCs w:val="22"/>
                <w:lang w:val="es-ES"/>
              </w:rPr>
              <w:t>presented</w:t>
            </w:r>
            <w:proofErr w:type="spellEnd"/>
            <w:r>
              <w:rPr>
                <w:sz w:val="22"/>
                <w:szCs w:val="22"/>
                <w:lang w:val="es-ES"/>
              </w:rPr>
              <w:t xml:space="preserve"> in Spanish, English, </w:t>
            </w:r>
            <w:proofErr w:type="spellStart"/>
            <w:r>
              <w:rPr>
                <w:sz w:val="22"/>
                <w:szCs w:val="22"/>
                <w:lang w:val="es-ES"/>
              </w:rPr>
              <w:t>or</w:t>
            </w:r>
            <w:proofErr w:type="spellEnd"/>
            <w:r>
              <w:rPr>
                <w:sz w:val="22"/>
                <w:szCs w:val="22"/>
                <w:lang w:val="es-ES"/>
              </w:rPr>
              <w:t xml:space="preserve"> Portuguese.</w:t>
            </w:r>
          </w:p>
          <w:p w14:paraId="688CBC01" w14:textId="77777777" w:rsidR="00E255F4" w:rsidRDefault="00000000">
            <w:pPr>
              <w:numPr>
                <w:ilvl w:val="0"/>
                <w:numId w:val="27"/>
              </w:numPr>
              <w:spacing w:after="240"/>
              <w:ind w:left="419" w:hanging="283"/>
              <w:rPr>
                <w:sz w:val="22"/>
                <w:szCs w:val="22"/>
              </w:rPr>
            </w:pPr>
            <w:proofErr w:type="spellStart"/>
            <w:r>
              <w:rPr>
                <w:sz w:val="22"/>
                <w:szCs w:val="22"/>
              </w:rPr>
              <w:t>Certificate</w:t>
            </w:r>
            <w:proofErr w:type="spellEnd"/>
            <w:r>
              <w:rPr>
                <w:sz w:val="22"/>
                <w:szCs w:val="22"/>
              </w:rPr>
              <w:t xml:space="preserve"> </w:t>
            </w:r>
            <w:proofErr w:type="spellStart"/>
            <w:r>
              <w:rPr>
                <w:sz w:val="22"/>
                <w:szCs w:val="22"/>
              </w:rPr>
              <w:t>or</w:t>
            </w:r>
            <w:proofErr w:type="spellEnd"/>
            <w:r>
              <w:rPr>
                <w:sz w:val="22"/>
                <w:szCs w:val="22"/>
              </w:rPr>
              <w:t xml:space="preserve"> </w:t>
            </w:r>
            <w:proofErr w:type="spellStart"/>
            <w:r>
              <w:rPr>
                <w:sz w:val="22"/>
                <w:szCs w:val="22"/>
              </w:rPr>
              <w:t>documentation</w:t>
            </w:r>
            <w:proofErr w:type="spellEnd"/>
            <w:r>
              <w:rPr>
                <w:sz w:val="22"/>
                <w:szCs w:val="22"/>
              </w:rPr>
              <w:t xml:space="preserve"> </w:t>
            </w:r>
            <w:proofErr w:type="spellStart"/>
            <w:r>
              <w:rPr>
                <w:sz w:val="22"/>
                <w:szCs w:val="22"/>
              </w:rPr>
              <w:t>that</w:t>
            </w:r>
            <w:proofErr w:type="spellEnd"/>
            <w:r>
              <w:rPr>
                <w:sz w:val="22"/>
                <w:szCs w:val="22"/>
              </w:rPr>
              <w:t xml:space="preserve"> </w:t>
            </w:r>
            <w:proofErr w:type="spellStart"/>
            <w:r>
              <w:rPr>
                <w:sz w:val="22"/>
                <w:szCs w:val="22"/>
              </w:rPr>
              <w:t>proves</w:t>
            </w:r>
            <w:proofErr w:type="spellEnd"/>
            <w:r>
              <w:rPr>
                <w:sz w:val="22"/>
                <w:szCs w:val="22"/>
              </w:rPr>
              <w:t xml:space="preserve"> </w:t>
            </w:r>
            <w:proofErr w:type="spellStart"/>
            <w:r>
              <w:rPr>
                <w:sz w:val="22"/>
                <w:szCs w:val="22"/>
              </w:rPr>
              <w:t>the</w:t>
            </w:r>
            <w:proofErr w:type="spellEnd"/>
            <w:r>
              <w:rPr>
                <w:sz w:val="22"/>
                <w:szCs w:val="22"/>
              </w:rPr>
              <w:t xml:space="preserve"> </w:t>
            </w:r>
            <w:proofErr w:type="spellStart"/>
            <w:r>
              <w:rPr>
                <w:sz w:val="22"/>
                <w:szCs w:val="22"/>
              </w:rPr>
              <w:t>guarantee</w:t>
            </w:r>
            <w:proofErr w:type="spellEnd"/>
            <w:r>
              <w:rPr>
                <w:sz w:val="22"/>
                <w:szCs w:val="22"/>
              </w:rPr>
              <w:t xml:space="preserve"> </w:t>
            </w:r>
            <w:proofErr w:type="spellStart"/>
            <w:r>
              <w:rPr>
                <w:sz w:val="22"/>
                <w:szCs w:val="22"/>
              </w:rPr>
              <w:t>of</w:t>
            </w:r>
            <w:proofErr w:type="spellEnd"/>
            <w:r>
              <w:rPr>
                <w:sz w:val="22"/>
                <w:szCs w:val="22"/>
              </w:rPr>
              <w:t xml:space="preserve"> </w:t>
            </w:r>
            <w:proofErr w:type="spellStart"/>
            <w:r>
              <w:rPr>
                <w:sz w:val="22"/>
                <w:szCs w:val="22"/>
              </w:rPr>
              <w:t>all</w:t>
            </w:r>
            <w:proofErr w:type="spellEnd"/>
            <w:r>
              <w:rPr>
                <w:sz w:val="22"/>
                <w:szCs w:val="22"/>
              </w:rPr>
              <w:t xml:space="preserve"> </w:t>
            </w:r>
            <w:proofErr w:type="spellStart"/>
            <w:r>
              <w:rPr>
                <w:sz w:val="22"/>
                <w:szCs w:val="22"/>
              </w:rPr>
              <w:t>goods</w:t>
            </w:r>
            <w:proofErr w:type="spellEnd"/>
            <w:r>
              <w:rPr>
                <w:sz w:val="22"/>
                <w:szCs w:val="22"/>
              </w:rPr>
              <w:t xml:space="preserve"> </w:t>
            </w:r>
            <w:proofErr w:type="spellStart"/>
            <w:r>
              <w:rPr>
                <w:sz w:val="22"/>
                <w:szCs w:val="22"/>
              </w:rPr>
              <w:t>offered</w:t>
            </w:r>
            <w:proofErr w:type="spellEnd"/>
            <w:r>
              <w:rPr>
                <w:sz w:val="22"/>
                <w:szCs w:val="22"/>
              </w:rPr>
              <w:t>.</w:t>
            </w:r>
          </w:p>
          <w:p w14:paraId="7A156467" w14:textId="77777777" w:rsidR="00E255F4" w:rsidRDefault="00000000">
            <w:pPr>
              <w:numPr>
                <w:ilvl w:val="0"/>
                <w:numId w:val="27"/>
              </w:numPr>
              <w:spacing w:after="240"/>
              <w:ind w:left="419" w:hanging="283"/>
              <w:rPr>
                <w:sz w:val="22"/>
                <w:szCs w:val="22"/>
                <w:lang w:val="es-ES"/>
              </w:rPr>
            </w:pPr>
            <w:r>
              <w:rPr>
                <w:sz w:val="22"/>
                <w:szCs w:val="22"/>
                <w:lang w:val="es-ES"/>
              </w:rPr>
              <w:t xml:space="preserve">A note </w:t>
            </w:r>
            <w:proofErr w:type="spellStart"/>
            <w:r>
              <w:rPr>
                <w:sz w:val="22"/>
                <w:szCs w:val="22"/>
                <w:lang w:val="es-ES"/>
              </w:rPr>
              <w:t>signed</w:t>
            </w:r>
            <w:proofErr w:type="spellEnd"/>
            <w:r>
              <w:rPr>
                <w:sz w:val="22"/>
                <w:szCs w:val="22"/>
                <w:lang w:val="es-ES"/>
              </w:rPr>
              <w:t xml:space="preserve"> </w:t>
            </w:r>
            <w:proofErr w:type="spellStart"/>
            <w:r>
              <w:rPr>
                <w:sz w:val="22"/>
                <w:szCs w:val="22"/>
                <w:lang w:val="es-ES"/>
              </w:rPr>
              <w:t>by</w:t>
            </w:r>
            <w:proofErr w:type="spellEnd"/>
            <w:r>
              <w:rPr>
                <w:sz w:val="22"/>
                <w:szCs w:val="22"/>
                <w:lang w:val="es-ES"/>
              </w:rPr>
              <w:t xml:space="preserve"> </w:t>
            </w:r>
            <w:proofErr w:type="spellStart"/>
            <w:r>
              <w:rPr>
                <w:sz w:val="22"/>
                <w:szCs w:val="22"/>
                <w:lang w:val="es-ES"/>
              </w:rPr>
              <w:t>the</w:t>
            </w:r>
            <w:proofErr w:type="spellEnd"/>
            <w:r>
              <w:rPr>
                <w:sz w:val="22"/>
                <w:szCs w:val="22"/>
                <w:lang w:val="es-ES"/>
              </w:rPr>
              <w:t xml:space="preserve"> </w:t>
            </w:r>
            <w:proofErr w:type="spellStart"/>
            <w:r>
              <w:rPr>
                <w:sz w:val="22"/>
                <w:szCs w:val="22"/>
                <w:lang w:val="es-ES"/>
              </w:rPr>
              <w:t>manufacturer</w:t>
            </w:r>
            <w:proofErr w:type="spellEnd"/>
            <w:r>
              <w:rPr>
                <w:sz w:val="22"/>
                <w:szCs w:val="22"/>
                <w:lang w:val="es-ES"/>
              </w:rPr>
              <w:t xml:space="preserve"> </w:t>
            </w:r>
            <w:proofErr w:type="spellStart"/>
            <w:r>
              <w:rPr>
                <w:sz w:val="22"/>
                <w:szCs w:val="22"/>
                <w:lang w:val="es-ES"/>
              </w:rPr>
              <w:t>certifying</w:t>
            </w:r>
            <w:proofErr w:type="spellEnd"/>
            <w:r>
              <w:rPr>
                <w:sz w:val="22"/>
                <w:szCs w:val="22"/>
                <w:lang w:val="es-ES"/>
              </w:rPr>
              <w:t xml:space="preserve"> </w:t>
            </w:r>
            <w:proofErr w:type="spellStart"/>
            <w:r>
              <w:rPr>
                <w:sz w:val="22"/>
                <w:szCs w:val="22"/>
                <w:lang w:val="es-ES"/>
              </w:rPr>
              <w:t>that</w:t>
            </w:r>
            <w:proofErr w:type="spellEnd"/>
            <w:r>
              <w:rPr>
                <w:sz w:val="22"/>
                <w:szCs w:val="22"/>
                <w:lang w:val="es-ES"/>
              </w:rPr>
              <w:t xml:space="preserve"> </w:t>
            </w:r>
            <w:proofErr w:type="spellStart"/>
            <w:r>
              <w:rPr>
                <w:sz w:val="22"/>
                <w:szCs w:val="22"/>
                <w:lang w:val="es-ES"/>
              </w:rPr>
              <w:t>the</w:t>
            </w:r>
            <w:proofErr w:type="spellEnd"/>
            <w:r>
              <w:rPr>
                <w:sz w:val="22"/>
                <w:szCs w:val="22"/>
                <w:lang w:val="es-ES"/>
              </w:rPr>
              <w:t xml:space="preserve"> </w:t>
            </w:r>
            <w:proofErr w:type="spellStart"/>
            <w:r>
              <w:rPr>
                <w:sz w:val="22"/>
                <w:szCs w:val="22"/>
                <w:lang w:val="es-ES"/>
              </w:rPr>
              <w:t>capacity</w:t>
            </w:r>
            <w:proofErr w:type="spellEnd"/>
            <w:r>
              <w:rPr>
                <w:sz w:val="22"/>
                <w:szCs w:val="22"/>
                <w:lang w:val="es-ES"/>
              </w:rPr>
              <w:t xml:space="preserve"> </w:t>
            </w:r>
            <w:proofErr w:type="spellStart"/>
            <w:r>
              <w:rPr>
                <w:sz w:val="22"/>
                <w:szCs w:val="22"/>
                <w:lang w:val="es-ES"/>
              </w:rPr>
              <w:t>of</w:t>
            </w:r>
            <w:proofErr w:type="spellEnd"/>
            <w:r>
              <w:rPr>
                <w:sz w:val="22"/>
                <w:szCs w:val="22"/>
                <w:lang w:val="es-ES"/>
              </w:rPr>
              <w:t xml:space="preserve"> </w:t>
            </w:r>
            <w:proofErr w:type="spellStart"/>
            <w:r>
              <w:rPr>
                <w:sz w:val="22"/>
                <w:szCs w:val="22"/>
                <w:lang w:val="es-ES"/>
              </w:rPr>
              <w:t>the</w:t>
            </w:r>
            <w:proofErr w:type="spellEnd"/>
            <w:r>
              <w:rPr>
                <w:sz w:val="22"/>
                <w:szCs w:val="22"/>
                <w:lang w:val="es-ES"/>
              </w:rPr>
              <w:t xml:space="preserve"> </w:t>
            </w:r>
            <w:proofErr w:type="spellStart"/>
            <w:r>
              <w:rPr>
                <w:sz w:val="22"/>
                <w:szCs w:val="22"/>
                <w:lang w:val="es-ES"/>
              </w:rPr>
              <w:t>batteries</w:t>
            </w:r>
            <w:proofErr w:type="spellEnd"/>
            <w:r>
              <w:rPr>
                <w:sz w:val="22"/>
                <w:szCs w:val="22"/>
                <w:lang w:val="es-ES"/>
              </w:rPr>
              <w:t xml:space="preserve"> </w:t>
            </w:r>
            <w:proofErr w:type="spellStart"/>
            <w:r>
              <w:rPr>
                <w:sz w:val="22"/>
                <w:szCs w:val="22"/>
                <w:lang w:val="es-ES"/>
              </w:rPr>
              <w:t>installed</w:t>
            </w:r>
            <w:proofErr w:type="spellEnd"/>
            <w:r>
              <w:rPr>
                <w:sz w:val="22"/>
                <w:szCs w:val="22"/>
                <w:lang w:val="es-ES"/>
              </w:rPr>
              <w:t xml:space="preserve"> in </w:t>
            </w:r>
            <w:proofErr w:type="spellStart"/>
            <w:r>
              <w:rPr>
                <w:sz w:val="22"/>
                <w:szCs w:val="22"/>
                <w:lang w:val="es-ES"/>
              </w:rPr>
              <w:t>the</w:t>
            </w:r>
            <w:proofErr w:type="spellEnd"/>
            <w:r>
              <w:rPr>
                <w:sz w:val="22"/>
                <w:szCs w:val="22"/>
                <w:lang w:val="es-ES"/>
              </w:rPr>
              <w:t xml:space="preserve"> </w:t>
            </w:r>
            <w:proofErr w:type="spellStart"/>
            <w:r>
              <w:rPr>
                <w:sz w:val="22"/>
                <w:szCs w:val="22"/>
                <w:lang w:val="es-ES"/>
              </w:rPr>
              <w:t>integrated</w:t>
            </w:r>
            <w:proofErr w:type="spellEnd"/>
            <w:r>
              <w:rPr>
                <w:sz w:val="22"/>
                <w:szCs w:val="22"/>
                <w:lang w:val="es-ES"/>
              </w:rPr>
              <w:t xml:space="preserve"> </w:t>
            </w:r>
            <w:proofErr w:type="spellStart"/>
            <w:r>
              <w:rPr>
                <w:sz w:val="22"/>
                <w:szCs w:val="22"/>
                <w:lang w:val="es-ES"/>
              </w:rPr>
              <w:t>smart</w:t>
            </w:r>
            <w:proofErr w:type="spellEnd"/>
            <w:r>
              <w:rPr>
                <w:sz w:val="22"/>
                <w:szCs w:val="22"/>
                <w:lang w:val="es-ES"/>
              </w:rPr>
              <w:t xml:space="preserve"> </w:t>
            </w:r>
            <w:proofErr w:type="spellStart"/>
            <w:r>
              <w:rPr>
                <w:sz w:val="22"/>
                <w:szCs w:val="22"/>
                <w:lang w:val="es-ES"/>
              </w:rPr>
              <w:t>meters</w:t>
            </w:r>
            <w:proofErr w:type="spellEnd"/>
            <w:r>
              <w:rPr>
                <w:sz w:val="22"/>
                <w:szCs w:val="22"/>
                <w:lang w:val="es-ES"/>
              </w:rPr>
              <w:t xml:space="preserve"> </w:t>
            </w:r>
            <w:proofErr w:type="spellStart"/>
            <w:r>
              <w:rPr>
                <w:sz w:val="22"/>
                <w:szCs w:val="22"/>
                <w:lang w:val="es-ES"/>
              </w:rPr>
              <w:t>will</w:t>
            </w:r>
            <w:proofErr w:type="spellEnd"/>
            <w:r>
              <w:rPr>
                <w:sz w:val="22"/>
                <w:szCs w:val="22"/>
                <w:lang w:val="es-ES"/>
              </w:rPr>
              <w:t xml:space="preserve"> </w:t>
            </w:r>
            <w:proofErr w:type="spellStart"/>
            <w:r>
              <w:rPr>
                <w:sz w:val="22"/>
                <w:szCs w:val="22"/>
                <w:lang w:val="es-ES"/>
              </w:rPr>
              <w:t>have</w:t>
            </w:r>
            <w:proofErr w:type="spellEnd"/>
            <w:r>
              <w:rPr>
                <w:sz w:val="22"/>
                <w:szCs w:val="22"/>
                <w:lang w:val="es-ES"/>
              </w:rPr>
              <w:t xml:space="preserve"> a </w:t>
            </w:r>
            <w:proofErr w:type="spellStart"/>
            <w:r>
              <w:rPr>
                <w:sz w:val="22"/>
                <w:szCs w:val="22"/>
                <w:lang w:val="es-ES"/>
              </w:rPr>
              <w:t>minimum</w:t>
            </w:r>
            <w:proofErr w:type="spellEnd"/>
            <w:r>
              <w:rPr>
                <w:sz w:val="22"/>
                <w:szCs w:val="22"/>
                <w:lang w:val="es-ES"/>
              </w:rPr>
              <w:t xml:space="preserve"> </w:t>
            </w:r>
            <w:proofErr w:type="spellStart"/>
            <w:r>
              <w:rPr>
                <w:sz w:val="22"/>
                <w:szCs w:val="22"/>
                <w:lang w:val="es-ES"/>
              </w:rPr>
              <w:t>autonomy</w:t>
            </w:r>
            <w:proofErr w:type="spellEnd"/>
            <w:r>
              <w:rPr>
                <w:sz w:val="22"/>
                <w:szCs w:val="22"/>
                <w:lang w:val="es-ES"/>
              </w:rPr>
              <w:t xml:space="preserve"> </w:t>
            </w:r>
            <w:proofErr w:type="spellStart"/>
            <w:r>
              <w:rPr>
                <w:sz w:val="22"/>
                <w:szCs w:val="22"/>
                <w:lang w:val="es-ES"/>
              </w:rPr>
              <w:t>of</w:t>
            </w:r>
            <w:proofErr w:type="spellEnd"/>
            <w:r>
              <w:rPr>
                <w:sz w:val="22"/>
                <w:szCs w:val="22"/>
                <w:lang w:val="es-ES"/>
              </w:rPr>
              <w:t xml:space="preserve"> 10 </w:t>
            </w:r>
            <w:proofErr w:type="spellStart"/>
            <w:r>
              <w:rPr>
                <w:sz w:val="22"/>
                <w:szCs w:val="22"/>
                <w:lang w:val="es-ES"/>
              </w:rPr>
              <w:t>years</w:t>
            </w:r>
            <w:proofErr w:type="spellEnd"/>
            <w:r>
              <w:rPr>
                <w:sz w:val="22"/>
                <w:szCs w:val="22"/>
                <w:lang w:val="es-ES"/>
              </w:rPr>
              <w:t xml:space="preserve"> </w:t>
            </w:r>
            <w:proofErr w:type="spellStart"/>
            <w:r>
              <w:rPr>
                <w:sz w:val="22"/>
                <w:szCs w:val="22"/>
                <w:lang w:val="es-ES"/>
              </w:rPr>
              <w:t>under</w:t>
            </w:r>
            <w:proofErr w:type="spellEnd"/>
            <w:r>
              <w:rPr>
                <w:sz w:val="22"/>
                <w:szCs w:val="22"/>
                <w:lang w:val="es-ES"/>
              </w:rPr>
              <w:t xml:space="preserve"> </w:t>
            </w:r>
            <w:proofErr w:type="spellStart"/>
            <w:r>
              <w:rPr>
                <w:sz w:val="22"/>
                <w:szCs w:val="22"/>
                <w:lang w:val="es-ES"/>
              </w:rPr>
              <w:t>the</w:t>
            </w:r>
            <w:proofErr w:type="spellEnd"/>
            <w:r>
              <w:rPr>
                <w:sz w:val="22"/>
                <w:szCs w:val="22"/>
                <w:lang w:val="es-ES"/>
              </w:rPr>
              <w:t xml:space="preserve"> </w:t>
            </w:r>
            <w:proofErr w:type="spellStart"/>
            <w:r>
              <w:rPr>
                <w:sz w:val="22"/>
                <w:szCs w:val="22"/>
                <w:lang w:val="es-ES"/>
              </w:rPr>
              <w:t>operating</w:t>
            </w:r>
            <w:proofErr w:type="spellEnd"/>
            <w:r>
              <w:rPr>
                <w:sz w:val="22"/>
                <w:szCs w:val="22"/>
                <w:lang w:val="es-ES"/>
              </w:rPr>
              <w:t xml:space="preserve"> </w:t>
            </w:r>
            <w:proofErr w:type="spellStart"/>
            <w:r>
              <w:rPr>
                <w:sz w:val="22"/>
                <w:szCs w:val="22"/>
                <w:lang w:val="es-ES"/>
              </w:rPr>
              <w:t>conditions</w:t>
            </w:r>
            <w:proofErr w:type="spellEnd"/>
            <w:r>
              <w:rPr>
                <w:sz w:val="22"/>
                <w:szCs w:val="22"/>
                <w:lang w:val="es-ES"/>
              </w:rPr>
              <w:t xml:space="preserve"> </w:t>
            </w:r>
            <w:proofErr w:type="spellStart"/>
            <w:r>
              <w:rPr>
                <w:sz w:val="22"/>
                <w:szCs w:val="22"/>
                <w:lang w:val="es-ES"/>
              </w:rPr>
              <w:t>described</w:t>
            </w:r>
            <w:proofErr w:type="spellEnd"/>
            <w:r>
              <w:rPr>
                <w:sz w:val="22"/>
                <w:szCs w:val="22"/>
                <w:lang w:val="es-ES"/>
              </w:rPr>
              <w:t xml:space="preserve"> in </w:t>
            </w:r>
            <w:proofErr w:type="spellStart"/>
            <w:r>
              <w:rPr>
                <w:sz w:val="22"/>
                <w:szCs w:val="22"/>
                <w:lang w:val="es-ES"/>
              </w:rPr>
              <w:t>Chapter</w:t>
            </w:r>
            <w:proofErr w:type="spellEnd"/>
            <w:r>
              <w:rPr>
                <w:sz w:val="22"/>
                <w:szCs w:val="22"/>
                <w:lang w:val="es-ES"/>
              </w:rPr>
              <w:t xml:space="preserve"> 3 </w:t>
            </w:r>
            <w:proofErr w:type="spellStart"/>
            <w:r>
              <w:rPr>
                <w:sz w:val="22"/>
                <w:szCs w:val="22"/>
                <w:lang w:val="es-ES"/>
              </w:rPr>
              <w:t>of</w:t>
            </w:r>
            <w:proofErr w:type="spellEnd"/>
            <w:r>
              <w:rPr>
                <w:sz w:val="22"/>
                <w:szCs w:val="22"/>
                <w:lang w:val="es-ES"/>
              </w:rPr>
              <w:t xml:space="preserve"> </w:t>
            </w:r>
            <w:proofErr w:type="spellStart"/>
            <w:r>
              <w:rPr>
                <w:sz w:val="22"/>
                <w:szCs w:val="22"/>
                <w:lang w:val="es-ES"/>
              </w:rPr>
              <w:t>Annex</w:t>
            </w:r>
            <w:proofErr w:type="spellEnd"/>
            <w:r>
              <w:rPr>
                <w:sz w:val="22"/>
                <w:szCs w:val="22"/>
                <w:lang w:val="es-ES"/>
              </w:rPr>
              <w:t xml:space="preserve"> VII.</w:t>
            </w:r>
          </w:p>
          <w:p w14:paraId="21B9AECB" w14:textId="77777777" w:rsidR="00E255F4" w:rsidRDefault="00000000">
            <w:pPr>
              <w:numPr>
                <w:ilvl w:val="0"/>
                <w:numId w:val="71"/>
              </w:numPr>
              <w:spacing w:after="240"/>
              <w:rPr>
                <w:sz w:val="22"/>
                <w:szCs w:val="22"/>
                <w:lang w:val="es-ES"/>
              </w:rPr>
            </w:pPr>
            <w:r>
              <w:rPr>
                <w:color w:val="000000"/>
                <w:sz w:val="22"/>
                <w:szCs w:val="22"/>
                <w:lang w:val="es-ES"/>
              </w:rPr>
              <w:t xml:space="preserve">A </w:t>
            </w:r>
            <w:proofErr w:type="spellStart"/>
            <w:r>
              <w:rPr>
                <w:color w:val="000000"/>
                <w:sz w:val="22"/>
                <w:szCs w:val="22"/>
                <w:lang w:val="es-ES"/>
              </w:rPr>
              <w:t>current</w:t>
            </w:r>
            <w:proofErr w:type="spellEnd"/>
            <w:r>
              <w:rPr>
                <w:color w:val="000000"/>
                <w:sz w:val="22"/>
                <w:szCs w:val="22"/>
                <w:lang w:val="es-ES"/>
              </w:rPr>
              <w:t xml:space="preserve"> </w:t>
            </w:r>
            <w:proofErr w:type="spellStart"/>
            <w:r>
              <w:rPr>
                <w:color w:val="000000"/>
                <w:sz w:val="22"/>
                <w:szCs w:val="22"/>
                <w:lang w:val="es-ES"/>
              </w:rPr>
              <w:t>certificate</w:t>
            </w:r>
            <w:proofErr w:type="spellEnd"/>
            <w:r>
              <w:rPr>
                <w:color w:val="000000"/>
                <w:sz w:val="22"/>
                <w:szCs w:val="22"/>
                <w:lang w:val="es-ES"/>
              </w:rPr>
              <w:t xml:space="preserve"> </w:t>
            </w:r>
            <w:proofErr w:type="spellStart"/>
            <w:r>
              <w:rPr>
                <w:color w:val="000000"/>
                <w:sz w:val="22"/>
                <w:szCs w:val="22"/>
                <w:lang w:val="es-ES"/>
              </w:rPr>
              <w:t>of</w:t>
            </w:r>
            <w:proofErr w:type="spellEnd"/>
            <w:r>
              <w:rPr>
                <w:color w:val="000000"/>
                <w:sz w:val="22"/>
                <w:szCs w:val="22"/>
                <w:lang w:val="es-ES"/>
              </w:rPr>
              <w:t xml:space="preserve"> </w:t>
            </w:r>
            <w:proofErr w:type="spellStart"/>
            <w:r>
              <w:rPr>
                <w:color w:val="000000"/>
                <w:sz w:val="22"/>
                <w:szCs w:val="22"/>
                <w:lang w:val="es-ES"/>
              </w:rPr>
              <w:t>suitability</w:t>
            </w:r>
            <w:proofErr w:type="spellEnd"/>
            <w:r>
              <w:rPr>
                <w:color w:val="000000"/>
                <w:sz w:val="22"/>
                <w:szCs w:val="22"/>
                <w:lang w:val="es-ES"/>
              </w:rPr>
              <w:t xml:space="preserve"> </w:t>
            </w:r>
            <w:proofErr w:type="spellStart"/>
            <w:r>
              <w:rPr>
                <w:color w:val="000000"/>
                <w:sz w:val="22"/>
                <w:szCs w:val="22"/>
                <w:lang w:val="es-ES"/>
              </w:rPr>
              <w:t>for</w:t>
            </w:r>
            <w:proofErr w:type="spellEnd"/>
            <w:r>
              <w:rPr>
                <w:color w:val="000000"/>
                <w:sz w:val="22"/>
                <w:szCs w:val="22"/>
                <w:lang w:val="es-ES"/>
              </w:rPr>
              <w:t xml:space="preserve"> </w:t>
            </w:r>
            <w:proofErr w:type="spellStart"/>
            <w:r>
              <w:rPr>
                <w:color w:val="000000"/>
                <w:sz w:val="22"/>
                <w:szCs w:val="22"/>
                <w:lang w:val="es-ES"/>
              </w:rPr>
              <w:t>contact</w:t>
            </w:r>
            <w:proofErr w:type="spellEnd"/>
            <w:r>
              <w:rPr>
                <w:color w:val="000000"/>
                <w:sz w:val="22"/>
                <w:szCs w:val="22"/>
                <w:lang w:val="es-ES"/>
              </w:rPr>
              <w:t xml:space="preserve"> </w:t>
            </w:r>
            <w:proofErr w:type="spellStart"/>
            <w:r>
              <w:rPr>
                <w:color w:val="000000"/>
                <w:sz w:val="22"/>
                <w:szCs w:val="22"/>
                <w:lang w:val="es-ES"/>
              </w:rPr>
              <w:t>with</w:t>
            </w:r>
            <w:proofErr w:type="spellEnd"/>
            <w:r>
              <w:rPr>
                <w:color w:val="000000"/>
                <w:sz w:val="22"/>
                <w:szCs w:val="22"/>
                <w:lang w:val="es-ES"/>
              </w:rPr>
              <w:t xml:space="preserve"> </w:t>
            </w:r>
            <w:proofErr w:type="spellStart"/>
            <w:r>
              <w:rPr>
                <w:color w:val="000000"/>
                <w:sz w:val="22"/>
                <w:szCs w:val="22"/>
                <w:lang w:val="es-ES"/>
              </w:rPr>
              <w:t>drinking</w:t>
            </w:r>
            <w:proofErr w:type="spellEnd"/>
            <w:r>
              <w:rPr>
                <w:color w:val="000000"/>
                <w:sz w:val="22"/>
                <w:szCs w:val="22"/>
                <w:lang w:val="es-ES"/>
              </w:rPr>
              <w:t xml:space="preserve"> </w:t>
            </w:r>
            <w:proofErr w:type="spellStart"/>
            <w:r>
              <w:rPr>
                <w:color w:val="000000"/>
                <w:sz w:val="22"/>
                <w:szCs w:val="22"/>
                <w:lang w:val="es-ES"/>
              </w:rPr>
              <w:t>water</w:t>
            </w:r>
            <w:proofErr w:type="spellEnd"/>
            <w:r>
              <w:rPr>
                <w:color w:val="000000"/>
                <w:sz w:val="22"/>
                <w:szCs w:val="22"/>
                <w:lang w:val="es-ES"/>
              </w:rPr>
              <w:t xml:space="preserve"> </w:t>
            </w:r>
            <w:proofErr w:type="spellStart"/>
            <w:r>
              <w:rPr>
                <w:color w:val="000000"/>
                <w:sz w:val="22"/>
                <w:szCs w:val="22"/>
                <w:lang w:val="es-ES"/>
              </w:rPr>
              <w:t>must</w:t>
            </w:r>
            <w:proofErr w:type="spellEnd"/>
            <w:r>
              <w:rPr>
                <w:color w:val="000000"/>
                <w:sz w:val="22"/>
                <w:szCs w:val="22"/>
                <w:lang w:val="es-ES"/>
              </w:rPr>
              <w:t xml:space="preserve"> be </w:t>
            </w:r>
            <w:proofErr w:type="spellStart"/>
            <w:r>
              <w:rPr>
                <w:color w:val="000000"/>
                <w:sz w:val="22"/>
                <w:szCs w:val="22"/>
                <w:lang w:val="es-ES"/>
              </w:rPr>
              <w:t>attached</w:t>
            </w:r>
            <w:proofErr w:type="spellEnd"/>
            <w:r>
              <w:rPr>
                <w:color w:val="000000"/>
                <w:sz w:val="22"/>
                <w:szCs w:val="22"/>
                <w:lang w:val="es-ES"/>
              </w:rPr>
              <w:t xml:space="preserve">, in </w:t>
            </w:r>
            <w:proofErr w:type="spellStart"/>
            <w:r>
              <w:rPr>
                <w:color w:val="000000"/>
                <w:sz w:val="22"/>
                <w:szCs w:val="22"/>
                <w:lang w:val="es-ES"/>
              </w:rPr>
              <w:t>accordance</w:t>
            </w:r>
            <w:proofErr w:type="spellEnd"/>
            <w:r>
              <w:rPr>
                <w:color w:val="000000"/>
                <w:sz w:val="22"/>
                <w:szCs w:val="22"/>
                <w:lang w:val="es-ES"/>
              </w:rPr>
              <w:t xml:space="preserve"> </w:t>
            </w:r>
            <w:proofErr w:type="spellStart"/>
            <w:r>
              <w:rPr>
                <w:color w:val="000000"/>
                <w:sz w:val="22"/>
                <w:szCs w:val="22"/>
                <w:lang w:val="es-ES"/>
              </w:rPr>
              <w:t>with</w:t>
            </w:r>
            <w:proofErr w:type="spellEnd"/>
            <w:r>
              <w:rPr>
                <w:color w:val="000000"/>
                <w:sz w:val="22"/>
                <w:szCs w:val="22"/>
                <w:lang w:val="es-ES"/>
              </w:rPr>
              <w:t xml:space="preserve"> </w:t>
            </w:r>
            <w:proofErr w:type="spellStart"/>
            <w:r>
              <w:rPr>
                <w:color w:val="000000"/>
                <w:sz w:val="22"/>
                <w:szCs w:val="22"/>
                <w:lang w:val="es-ES"/>
              </w:rPr>
              <w:t>one</w:t>
            </w:r>
            <w:proofErr w:type="spellEnd"/>
            <w:r>
              <w:rPr>
                <w:color w:val="000000"/>
                <w:sz w:val="22"/>
                <w:szCs w:val="22"/>
                <w:lang w:val="es-ES"/>
              </w:rPr>
              <w:t xml:space="preserve"> </w:t>
            </w:r>
            <w:proofErr w:type="spellStart"/>
            <w:r>
              <w:rPr>
                <w:color w:val="000000"/>
                <w:sz w:val="22"/>
                <w:szCs w:val="22"/>
                <w:lang w:val="es-ES"/>
              </w:rPr>
              <w:t>of</w:t>
            </w:r>
            <w:proofErr w:type="spellEnd"/>
            <w:r>
              <w:rPr>
                <w:color w:val="000000"/>
                <w:sz w:val="22"/>
                <w:szCs w:val="22"/>
                <w:lang w:val="es-ES"/>
              </w:rPr>
              <w:t xml:space="preserve"> </w:t>
            </w:r>
            <w:proofErr w:type="spellStart"/>
            <w:r>
              <w:rPr>
                <w:color w:val="000000"/>
                <w:sz w:val="22"/>
                <w:szCs w:val="22"/>
                <w:lang w:val="es-ES"/>
              </w:rPr>
              <w:t>the</w:t>
            </w:r>
            <w:proofErr w:type="spellEnd"/>
            <w:r>
              <w:rPr>
                <w:color w:val="000000"/>
                <w:sz w:val="22"/>
                <w:szCs w:val="22"/>
                <w:lang w:val="es-ES"/>
              </w:rPr>
              <w:t xml:space="preserve"> </w:t>
            </w:r>
            <w:proofErr w:type="spellStart"/>
            <w:r>
              <w:rPr>
                <w:color w:val="000000"/>
                <w:sz w:val="22"/>
                <w:szCs w:val="22"/>
                <w:lang w:val="es-ES"/>
              </w:rPr>
              <w:t>following</w:t>
            </w:r>
            <w:proofErr w:type="spellEnd"/>
            <w:r>
              <w:rPr>
                <w:color w:val="000000"/>
                <w:sz w:val="22"/>
                <w:szCs w:val="22"/>
                <w:lang w:val="es-ES"/>
              </w:rPr>
              <w:t xml:space="preserve"> </w:t>
            </w:r>
            <w:proofErr w:type="spellStart"/>
            <w:r>
              <w:rPr>
                <w:color w:val="000000"/>
                <w:sz w:val="22"/>
                <w:szCs w:val="22"/>
                <w:lang w:val="es-ES"/>
              </w:rPr>
              <w:t>regulations</w:t>
            </w:r>
            <w:proofErr w:type="spellEnd"/>
            <w:r>
              <w:rPr>
                <w:color w:val="000000"/>
                <w:sz w:val="22"/>
                <w:szCs w:val="22"/>
                <w:lang w:val="es-ES"/>
              </w:rPr>
              <w:t xml:space="preserve">: WRAS (Water </w:t>
            </w:r>
            <w:proofErr w:type="spellStart"/>
            <w:r>
              <w:rPr>
                <w:color w:val="000000"/>
                <w:sz w:val="22"/>
                <w:szCs w:val="22"/>
                <w:lang w:val="es-ES"/>
              </w:rPr>
              <w:t>Regulations</w:t>
            </w:r>
            <w:proofErr w:type="spellEnd"/>
            <w:r>
              <w:rPr>
                <w:color w:val="000000"/>
                <w:sz w:val="22"/>
                <w:szCs w:val="22"/>
                <w:lang w:val="es-ES"/>
              </w:rPr>
              <w:t xml:space="preserve"> </w:t>
            </w:r>
            <w:proofErr w:type="spellStart"/>
            <w:r>
              <w:rPr>
                <w:color w:val="000000"/>
                <w:sz w:val="22"/>
                <w:szCs w:val="22"/>
                <w:lang w:val="es-ES"/>
              </w:rPr>
              <w:t>Approval</w:t>
            </w:r>
            <w:proofErr w:type="spellEnd"/>
            <w:r>
              <w:rPr>
                <w:color w:val="000000"/>
                <w:sz w:val="22"/>
                <w:szCs w:val="22"/>
                <w:lang w:val="es-ES"/>
              </w:rPr>
              <w:t xml:space="preserve"> </w:t>
            </w:r>
            <w:proofErr w:type="spellStart"/>
            <w:r>
              <w:rPr>
                <w:color w:val="000000"/>
                <w:sz w:val="22"/>
                <w:szCs w:val="22"/>
                <w:lang w:val="es-ES"/>
              </w:rPr>
              <w:t>Scheme</w:t>
            </w:r>
            <w:proofErr w:type="spellEnd"/>
            <w:r>
              <w:rPr>
                <w:color w:val="000000"/>
                <w:sz w:val="22"/>
                <w:szCs w:val="22"/>
                <w:lang w:val="es-ES"/>
              </w:rPr>
              <w:t>), NSF (</w:t>
            </w:r>
            <w:proofErr w:type="spellStart"/>
            <w:r>
              <w:rPr>
                <w:color w:val="000000"/>
                <w:sz w:val="22"/>
                <w:szCs w:val="22"/>
                <w:lang w:val="es-ES"/>
              </w:rPr>
              <w:t>National</w:t>
            </w:r>
            <w:proofErr w:type="spellEnd"/>
            <w:r>
              <w:rPr>
                <w:color w:val="000000"/>
                <w:sz w:val="22"/>
                <w:szCs w:val="22"/>
                <w:lang w:val="es-ES"/>
              </w:rPr>
              <w:t xml:space="preserve"> </w:t>
            </w:r>
            <w:proofErr w:type="spellStart"/>
            <w:r>
              <w:rPr>
                <w:color w:val="000000"/>
                <w:sz w:val="22"/>
                <w:szCs w:val="22"/>
                <w:lang w:val="es-ES"/>
              </w:rPr>
              <w:t>Sanitation</w:t>
            </w:r>
            <w:proofErr w:type="spellEnd"/>
            <w:r>
              <w:rPr>
                <w:color w:val="000000"/>
                <w:sz w:val="22"/>
                <w:szCs w:val="22"/>
                <w:lang w:val="es-ES"/>
              </w:rPr>
              <w:t xml:space="preserve"> </w:t>
            </w:r>
            <w:proofErr w:type="spellStart"/>
            <w:r>
              <w:rPr>
                <w:color w:val="000000"/>
                <w:sz w:val="22"/>
                <w:szCs w:val="22"/>
                <w:lang w:val="es-ES"/>
              </w:rPr>
              <w:t>Foundation</w:t>
            </w:r>
            <w:proofErr w:type="spellEnd"/>
            <w:r>
              <w:rPr>
                <w:color w:val="000000"/>
                <w:sz w:val="22"/>
                <w:szCs w:val="22"/>
                <w:lang w:val="es-ES"/>
              </w:rPr>
              <w:t>), ACS (</w:t>
            </w:r>
            <w:proofErr w:type="spellStart"/>
            <w:r>
              <w:rPr>
                <w:color w:val="000000"/>
                <w:sz w:val="22"/>
                <w:szCs w:val="22"/>
                <w:lang w:val="es-ES"/>
              </w:rPr>
              <w:t>Attestation</w:t>
            </w:r>
            <w:proofErr w:type="spellEnd"/>
            <w:r>
              <w:rPr>
                <w:color w:val="000000"/>
                <w:sz w:val="22"/>
                <w:szCs w:val="22"/>
                <w:lang w:val="es-ES"/>
              </w:rPr>
              <w:t xml:space="preserve"> de Conformite </w:t>
            </w:r>
            <w:proofErr w:type="spellStart"/>
            <w:r>
              <w:rPr>
                <w:color w:val="000000"/>
                <w:sz w:val="22"/>
                <w:szCs w:val="22"/>
                <w:lang w:val="es-ES"/>
              </w:rPr>
              <w:t>Sanitaire</w:t>
            </w:r>
            <w:proofErr w:type="spellEnd"/>
            <w:r>
              <w:rPr>
                <w:color w:val="000000"/>
                <w:sz w:val="22"/>
                <w:szCs w:val="22"/>
                <w:lang w:val="es-ES"/>
              </w:rPr>
              <w:t>), KTW (</w:t>
            </w:r>
            <w:proofErr w:type="spellStart"/>
            <w:r>
              <w:rPr>
                <w:color w:val="000000"/>
                <w:sz w:val="22"/>
                <w:szCs w:val="22"/>
                <w:lang w:val="es-ES"/>
              </w:rPr>
              <w:t>Kontakt</w:t>
            </w:r>
            <w:proofErr w:type="spellEnd"/>
            <w:r>
              <w:rPr>
                <w:color w:val="000000"/>
                <w:sz w:val="22"/>
                <w:szCs w:val="22"/>
                <w:lang w:val="es-ES"/>
              </w:rPr>
              <w:t xml:space="preserve"> </w:t>
            </w:r>
            <w:proofErr w:type="spellStart"/>
            <w:r>
              <w:rPr>
                <w:color w:val="000000"/>
                <w:sz w:val="22"/>
                <w:szCs w:val="22"/>
                <w:lang w:val="es-ES"/>
              </w:rPr>
              <w:t>mit</w:t>
            </w:r>
            <w:proofErr w:type="spellEnd"/>
            <w:r>
              <w:rPr>
                <w:color w:val="000000"/>
                <w:sz w:val="22"/>
                <w:szCs w:val="22"/>
                <w:lang w:val="es-ES"/>
              </w:rPr>
              <w:t xml:space="preserve"> </w:t>
            </w:r>
            <w:proofErr w:type="spellStart"/>
            <w:r>
              <w:rPr>
                <w:color w:val="000000"/>
                <w:sz w:val="22"/>
                <w:szCs w:val="22"/>
                <w:lang w:val="es-ES"/>
              </w:rPr>
              <w:t>Trinkwasser</w:t>
            </w:r>
            <w:proofErr w:type="spellEnd"/>
            <w:r>
              <w:rPr>
                <w:color w:val="000000"/>
                <w:sz w:val="22"/>
                <w:szCs w:val="22"/>
                <w:lang w:val="es-ES"/>
              </w:rPr>
              <w:t xml:space="preserve">) </w:t>
            </w:r>
            <w:proofErr w:type="spellStart"/>
            <w:r>
              <w:rPr>
                <w:color w:val="000000"/>
                <w:sz w:val="22"/>
                <w:szCs w:val="22"/>
                <w:lang w:val="es-ES"/>
              </w:rPr>
              <w:t>or</w:t>
            </w:r>
            <w:proofErr w:type="spellEnd"/>
            <w:r>
              <w:rPr>
                <w:color w:val="000000"/>
                <w:sz w:val="22"/>
                <w:szCs w:val="22"/>
                <w:lang w:val="es-ES"/>
              </w:rPr>
              <w:t xml:space="preserve"> </w:t>
            </w:r>
            <w:proofErr w:type="spellStart"/>
            <w:r>
              <w:rPr>
                <w:color w:val="000000"/>
                <w:sz w:val="22"/>
                <w:szCs w:val="22"/>
                <w:lang w:val="es-ES"/>
              </w:rPr>
              <w:t>equivalent</w:t>
            </w:r>
            <w:proofErr w:type="spellEnd"/>
            <w:r>
              <w:rPr>
                <w:color w:val="000000"/>
                <w:sz w:val="22"/>
                <w:szCs w:val="22"/>
                <w:lang w:val="es-ES"/>
              </w:rPr>
              <w:t>.</w:t>
            </w:r>
          </w:p>
          <w:p w14:paraId="6B736075" w14:textId="77777777" w:rsidR="00E255F4" w:rsidRDefault="00000000">
            <w:pPr>
              <w:numPr>
                <w:ilvl w:val="0"/>
                <w:numId w:val="71"/>
              </w:numPr>
              <w:spacing w:after="240"/>
              <w:rPr>
                <w:sz w:val="22"/>
                <w:szCs w:val="22"/>
                <w:lang w:val="es-ES"/>
              </w:rPr>
            </w:pPr>
            <w:proofErr w:type="spellStart"/>
            <w:r>
              <w:rPr>
                <w:color w:val="000000"/>
                <w:sz w:val="22"/>
                <w:szCs w:val="22"/>
                <w:lang w:val="es-ES"/>
              </w:rPr>
              <w:t>Certificate</w:t>
            </w:r>
            <w:proofErr w:type="spellEnd"/>
            <w:r>
              <w:rPr>
                <w:color w:val="000000"/>
                <w:sz w:val="22"/>
                <w:szCs w:val="22"/>
                <w:lang w:val="es-ES"/>
              </w:rPr>
              <w:t xml:space="preserve"> </w:t>
            </w:r>
            <w:proofErr w:type="spellStart"/>
            <w:r>
              <w:rPr>
                <w:color w:val="000000"/>
                <w:sz w:val="22"/>
                <w:szCs w:val="22"/>
                <w:lang w:val="es-ES"/>
              </w:rPr>
              <w:t>of</w:t>
            </w:r>
            <w:proofErr w:type="spellEnd"/>
            <w:r>
              <w:rPr>
                <w:color w:val="000000"/>
                <w:sz w:val="22"/>
                <w:szCs w:val="22"/>
                <w:lang w:val="es-ES"/>
              </w:rPr>
              <w:t xml:space="preserve"> </w:t>
            </w:r>
            <w:proofErr w:type="spellStart"/>
            <w:r>
              <w:rPr>
                <w:color w:val="000000"/>
                <w:sz w:val="22"/>
                <w:szCs w:val="22"/>
                <w:lang w:val="es-ES"/>
              </w:rPr>
              <w:t>type</w:t>
            </w:r>
            <w:proofErr w:type="spellEnd"/>
            <w:r>
              <w:rPr>
                <w:color w:val="000000"/>
                <w:sz w:val="22"/>
                <w:szCs w:val="22"/>
                <w:lang w:val="es-ES"/>
              </w:rPr>
              <w:t xml:space="preserve"> </w:t>
            </w:r>
            <w:proofErr w:type="spellStart"/>
            <w:r>
              <w:rPr>
                <w:color w:val="000000"/>
                <w:sz w:val="22"/>
                <w:szCs w:val="22"/>
                <w:lang w:val="es-ES"/>
              </w:rPr>
              <w:t>approval</w:t>
            </w:r>
            <w:proofErr w:type="spellEnd"/>
            <w:r>
              <w:rPr>
                <w:color w:val="000000"/>
                <w:sz w:val="22"/>
                <w:szCs w:val="22"/>
                <w:lang w:val="es-ES"/>
              </w:rPr>
              <w:t xml:space="preserve">, </w:t>
            </w:r>
            <w:proofErr w:type="spellStart"/>
            <w:r>
              <w:rPr>
                <w:color w:val="000000"/>
                <w:sz w:val="22"/>
                <w:szCs w:val="22"/>
                <w:lang w:val="es-ES"/>
              </w:rPr>
              <w:t>which</w:t>
            </w:r>
            <w:proofErr w:type="spellEnd"/>
            <w:r>
              <w:rPr>
                <w:color w:val="000000"/>
                <w:sz w:val="22"/>
                <w:szCs w:val="22"/>
                <w:lang w:val="es-ES"/>
              </w:rPr>
              <w:t xml:space="preserve"> </w:t>
            </w:r>
            <w:proofErr w:type="spellStart"/>
            <w:r>
              <w:rPr>
                <w:color w:val="000000"/>
                <w:sz w:val="22"/>
                <w:szCs w:val="22"/>
                <w:lang w:val="es-ES"/>
              </w:rPr>
              <w:t>must</w:t>
            </w:r>
            <w:proofErr w:type="spellEnd"/>
            <w:r>
              <w:rPr>
                <w:color w:val="000000"/>
                <w:sz w:val="22"/>
                <w:szCs w:val="22"/>
                <w:lang w:val="es-ES"/>
              </w:rPr>
              <w:t xml:space="preserve"> </w:t>
            </w:r>
            <w:proofErr w:type="spellStart"/>
            <w:r>
              <w:rPr>
                <w:color w:val="000000"/>
                <w:sz w:val="22"/>
                <w:szCs w:val="22"/>
                <w:lang w:val="es-ES"/>
              </w:rPr>
              <w:t>comply</w:t>
            </w:r>
            <w:proofErr w:type="spellEnd"/>
            <w:r>
              <w:rPr>
                <w:color w:val="000000"/>
                <w:sz w:val="22"/>
                <w:szCs w:val="22"/>
                <w:lang w:val="es-ES"/>
              </w:rPr>
              <w:t xml:space="preserve"> </w:t>
            </w:r>
            <w:proofErr w:type="spellStart"/>
            <w:r>
              <w:rPr>
                <w:color w:val="000000"/>
                <w:sz w:val="22"/>
                <w:szCs w:val="22"/>
                <w:lang w:val="es-ES"/>
              </w:rPr>
              <w:t>with</w:t>
            </w:r>
            <w:proofErr w:type="spellEnd"/>
            <w:r>
              <w:rPr>
                <w:color w:val="000000"/>
                <w:sz w:val="22"/>
                <w:szCs w:val="22"/>
                <w:lang w:val="es-ES"/>
              </w:rPr>
              <w:t xml:space="preserve"> International Standard ISO 4064, I, II and III in </w:t>
            </w:r>
            <w:proofErr w:type="spellStart"/>
            <w:r>
              <w:rPr>
                <w:color w:val="000000"/>
                <w:sz w:val="22"/>
                <w:szCs w:val="22"/>
                <w:lang w:val="es-ES"/>
              </w:rPr>
              <w:t>its</w:t>
            </w:r>
            <w:proofErr w:type="spellEnd"/>
            <w:r>
              <w:rPr>
                <w:color w:val="000000"/>
                <w:sz w:val="22"/>
                <w:szCs w:val="22"/>
                <w:lang w:val="es-ES"/>
              </w:rPr>
              <w:t xml:space="preserve"> </w:t>
            </w:r>
            <w:proofErr w:type="spellStart"/>
            <w:r>
              <w:rPr>
                <w:color w:val="000000"/>
                <w:sz w:val="22"/>
                <w:szCs w:val="22"/>
                <w:lang w:val="es-ES"/>
              </w:rPr>
              <w:t>latest</w:t>
            </w:r>
            <w:proofErr w:type="spellEnd"/>
            <w:r>
              <w:rPr>
                <w:color w:val="000000"/>
                <w:sz w:val="22"/>
                <w:szCs w:val="22"/>
                <w:lang w:val="es-ES"/>
              </w:rPr>
              <w:t xml:space="preserve"> </w:t>
            </w:r>
            <w:proofErr w:type="spellStart"/>
            <w:r>
              <w:rPr>
                <w:color w:val="000000"/>
                <w:sz w:val="22"/>
                <w:szCs w:val="22"/>
                <w:lang w:val="es-ES"/>
              </w:rPr>
              <w:t>version</w:t>
            </w:r>
            <w:proofErr w:type="spellEnd"/>
            <w:r>
              <w:rPr>
                <w:color w:val="000000"/>
                <w:sz w:val="22"/>
                <w:szCs w:val="22"/>
                <w:lang w:val="es-ES"/>
              </w:rPr>
              <w:t xml:space="preserve">, </w:t>
            </w:r>
            <w:proofErr w:type="spellStart"/>
            <w:r>
              <w:rPr>
                <w:color w:val="000000"/>
                <w:sz w:val="22"/>
                <w:szCs w:val="22"/>
                <w:lang w:val="es-ES"/>
              </w:rPr>
              <w:t>or</w:t>
            </w:r>
            <w:proofErr w:type="spellEnd"/>
            <w:r>
              <w:rPr>
                <w:color w:val="000000"/>
                <w:sz w:val="22"/>
                <w:szCs w:val="22"/>
                <w:lang w:val="es-ES"/>
              </w:rPr>
              <w:t xml:space="preserve"> </w:t>
            </w:r>
            <w:proofErr w:type="spellStart"/>
            <w:r>
              <w:rPr>
                <w:color w:val="000000"/>
                <w:sz w:val="22"/>
                <w:szCs w:val="22"/>
                <w:lang w:val="es-ES"/>
              </w:rPr>
              <w:t>its</w:t>
            </w:r>
            <w:proofErr w:type="spellEnd"/>
            <w:r>
              <w:rPr>
                <w:color w:val="000000"/>
                <w:sz w:val="22"/>
                <w:szCs w:val="22"/>
                <w:lang w:val="es-ES"/>
              </w:rPr>
              <w:t xml:space="preserve"> </w:t>
            </w:r>
            <w:proofErr w:type="spellStart"/>
            <w:r>
              <w:rPr>
                <w:color w:val="000000"/>
                <w:sz w:val="22"/>
                <w:szCs w:val="22"/>
                <w:lang w:val="es-ES"/>
              </w:rPr>
              <w:t>equivalent</w:t>
            </w:r>
            <w:proofErr w:type="spellEnd"/>
            <w:r>
              <w:rPr>
                <w:color w:val="000000"/>
                <w:sz w:val="22"/>
                <w:szCs w:val="22"/>
                <w:lang w:val="es-ES"/>
              </w:rPr>
              <w:t xml:space="preserve">. </w:t>
            </w:r>
            <w:proofErr w:type="spellStart"/>
            <w:r>
              <w:rPr>
                <w:color w:val="000000"/>
                <w:sz w:val="22"/>
                <w:szCs w:val="22"/>
                <w:lang w:val="es-ES"/>
              </w:rPr>
              <w:t>This</w:t>
            </w:r>
            <w:proofErr w:type="spellEnd"/>
            <w:r>
              <w:rPr>
                <w:color w:val="000000"/>
                <w:sz w:val="22"/>
                <w:szCs w:val="22"/>
                <w:lang w:val="es-ES"/>
              </w:rPr>
              <w:t xml:space="preserve"> </w:t>
            </w:r>
            <w:proofErr w:type="spellStart"/>
            <w:r>
              <w:rPr>
                <w:color w:val="000000"/>
                <w:sz w:val="22"/>
                <w:szCs w:val="22"/>
                <w:lang w:val="es-ES"/>
              </w:rPr>
              <w:t>requirement</w:t>
            </w:r>
            <w:proofErr w:type="spellEnd"/>
            <w:r>
              <w:rPr>
                <w:color w:val="000000"/>
                <w:sz w:val="22"/>
                <w:szCs w:val="22"/>
                <w:lang w:val="es-ES"/>
              </w:rPr>
              <w:t xml:space="preserve"> </w:t>
            </w:r>
            <w:proofErr w:type="spellStart"/>
            <w:r>
              <w:rPr>
                <w:color w:val="000000"/>
                <w:sz w:val="22"/>
                <w:szCs w:val="22"/>
                <w:lang w:val="es-ES"/>
              </w:rPr>
              <w:t>is</w:t>
            </w:r>
            <w:proofErr w:type="spellEnd"/>
            <w:r>
              <w:rPr>
                <w:color w:val="000000"/>
                <w:sz w:val="22"/>
                <w:szCs w:val="22"/>
                <w:lang w:val="es-ES"/>
              </w:rPr>
              <w:t xml:space="preserve"> </w:t>
            </w:r>
            <w:proofErr w:type="spellStart"/>
            <w:r>
              <w:rPr>
                <w:color w:val="000000"/>
                <w:sz w:val="22"/>
                <w:szCs w:val="22"/>
                <w:lang w:val="es-ES"/>
              </w:rPr>
              <w:t>for</w:t>
            </w:r>
            <w:proofErr w:type="spellEnd"/>
            <w:r>
              <w:rPr>
                <w:color w:val="000000"/>
                <w:sz w:val="22"/>
                <w:szCs w:val="22"/>
                <w:lang w:val="es-ES"/>
              </w:rPr>
              <w:t xml:space="preserve"> </w:t>
            </w:r>
            <w:proofErr w:type="spellStart"/>
            <w:r>
              <w:rPr>
                <w:color w:val="000000"/>
                <w:sz w:val="22"/>
                <w:szCs w:val="22"/>
                <w:lang w:val="es-ES"/>
              </w:rPr>
              <w:t>reference</w:t>
            </w:r>
            <w:proofErr w:type="spellEnd"/>
            <w:r>
              <w:rPr>
                <w:color w:val="000000"/>
                <w:sz w:val="22"/>
                <w:szCs w:val="22"/>
                <w:lang w:val="es-ES"/>
              </w:rPr>
              <w:t xml:space="preserve"> </w:t>
            </w:r>
            <w:proofErr w:type="spellStart"/>
            <w:r>
              <w:rPr>
                <w:color w:val="000000"/>
                <w:sz w:val="22"/>
                <w:szCs w:val="22"/>
                <w:lang w:val="es-ES"/>
              </w:rPr>
              <w:t>purposes</w:t>
            </w:r>
            <w:proofErr w:type="spellEnd"/>
            <w:r>
              <w:rPr>
                <w:color w:val="000000"/>
                <w:sz w:val="22"/>
                <w:szCs w:val="22"/>
                <w:lang w:val="es-ES"/>
              </w:rPr>
              <w:t xml:space="preserve"> </w:t>
            </w:r>
            <w:proofErr w:type="spellStart"/>
            <w:r>
              <w:rPr>
                <w:color w:val="000000"/>
                <w:sz w:val="22"/>
                <w:szCs w:val="22"/>
                <w:lang w:val="es-ES"/>
              </w:rPr>
              <w:t>only</w:t>
            </w:r>
            <w:proofErr w:type="spellEnd"/>
            <w:r>
              <w:rPr>
                <w:color w:val="000000"/>
                <w:sz w:val="22"/>
                <w:szCs w:val="22"/>
                <w:lang w:val="es-ES"/>
              </w:rPr>
              <w:t xml:space="preserve">, as </w:t>
            </w:r>
            <w:proofErr w:type="spellStart"/>
            <w:r>
              <w:rPr>
                <w:color w:val="000000"/>
                <w:sz w:val="22"/>
                <w:szCs w:val="22"/>
                <w:lang w:val="es-ES"/>
              </w:rPr>
              <w:t>the</w:t>
            </w:r>
            <w:proofErr w:type="spellEnd"/>
            <w:r>
              <w:rPr>
                <w:color w:val="000000"/>
                <w:sz w:val="22"/>
                <w:szCs w:val="22"/>
                <w:lang w:val="es-ES"/>
              </w:rPr>
              <w:t xml:space="preserve"> performance </w:t>
            </w:r>
            <w:proofErr w:type="spellStart"/>
            <w:r>
              <w:rPr>
                <w:color w:val="000000"/>
                <w:sz w:val="22"/>
                <w:szCs w:val="22"/>
                <w:lang w:val="es-ES"/>
              </w:rPr>
              <w:t>of</w:t>
            </w:r>
            <w:proofErr w:type="spellEnd"/>
            <w:r>
              <w:rPr>
                <w:color w:val="000000"/>
                <w:sz w:val="22"/>
                <w:szCs w:val="22"/>
                <w:lang w:val="es-ES"/>
              </w:rPr>
              <w:t xml:space="preserve"> </w:t>
            </w:r>
            <w:proofErr w:type="spellStart"/>
            <w:r>
              <w:rPr>
                <w:color w:val="000000"/>
                <w:sz w:val="22"/>
                <w:szCs w:val="22"/>
                <w:lang w:val="es-ES"/>
              </w:rPr>
              <w:t>the</w:t>
            </w:r>
            <w:proofErr w:type="spellEnd"/>
            <w:r>
              <w:rPr>
                <w:color w:val="000000"/>
                <w:sz w:val="22"/>
                <w:szCs w:val="22"/>
                <w:lang w:val="es-ES"/>
              </w:rPr>
              <w:t xml:space="preserve"> </w:t>
            </w:r>
            <w:proofErr w:type="spellStart"/>
            <w:r>
              <w:rPr>
                <w:color w:val="000000"/>
                <w:sz w:val="22"/>
                <w:szCs w:val="22"/>
                <w:lang w:val="es-ES"/>
              </w:rPr>
              <w:t>offered</w:t>
            </w:r>
            <w:proofErr w:type="spellEnd"/>
            <w:r>
              <w:rPr>
                <w:color w:val="000000"/>
                <w:sz w:val="22"/>
                <w:szCs w:val="22"/>
                <w:lang w:val="es-ES"/>
              </w:rPr>
              <w:t xml:space="preserve"> </w:t>
            </w:r>
            <w:proofErr w:type="spellStart"/>
            <w:r>
              <w:rPr>
                <w:color w:val="000000"/>
                <w:sz w:val="22"/>
                <w:szCs w:val="22"/>
                <w:lang w:val="es-ES"/>
              </w:rPr>
              <w:t>meters</w:t>
            </w:r>
            <w:proofErr w:type="spellEnd"/>
            <w:r>
              <w:rPr>
                <w:color w:val="000000"/>
                <w:sz w:val="22"/>
                <w:szCs w:val="22"/>
                <w:lang w:val="es-ES"/>
              </w:rPr>
              <w:t xml:space="preserve"> in </w:t>
            </w:r>
            <w:proofErr w:type="spellStart"/>
            <w:r>
              <w:rPr>
                <w:color w:val="000000"/>
                <w:sz w:val="22"/>
                <w:szCs w:val="22"/>
                <w:lang w:val="es-ES"/>
              </w:rPr>
              <w:t>the</w:t>
            </w:r>
            <w:proofErr w:type="spellEnd"/>
            <w:r>
              <w:rPr>
                <w:color w:val="000000"/>
                <w:sz w:val="22"/>
                <w:szCs w:val="22"/>
                <w:lang w:val="es-ES"/>
              </w:rPr>
              <w:t xml:space="preserve"> </w:t>
            </w:r>
            <w:proofErr w:type="spellStart"/>
            <w:r>
              <w:rPr>
                <w:color w:val="000000"/>
                <w:sz w:val="22"/>
                <w:szCs w:val="22"/>
                <w:lang w:val="es-ES"/>
              </w:rPr>
              <w:t>qualification</w:t>
            </w:r>
            <w:proofErr w:type="spellEnd"/>
            <w:r>
              <w:rPr>
                <w:color w:val="000000"/>
                <w:sz w:val="22"/>
                <w:szCs w:val="22"/>
                <w:lang w:val="es-ES"/>
              </w:rPr>
              <w:t xml:space="preserve"> </w:t>
            </w:r>
            <w:proofErr w:type="spellStart"/>
            <w:r>
              <w:rPr>
                <w:color w:val="000000"/>
                <w:sz w:val="22"/>
                <w:szCs w:val="22"/>
                <w:lang w:val="es-ES"/>
              </w:rPr>
              <w:t>tests</w:t>
            </w:r>
            <w:proofErr w:type="spellEnd"/>
            <w:r>
              <w:rPr>
                <w:color w:val="000000"/>
                <w:sz w:val="22"/>
                <w:szCs w:val="22"/>
                <w:lang w:val="es-ES"/>
              </w:rPr>
              <w:t xml:space="preserve"> </w:t>
            </w:r>
            <w:proofErr w:type="spellStart"/>
            <w:r>
              <w:rPr>
                <w:color w:val="000000"/>
                <w:sz w:val="22"/>
                <w:szCs w:val="22"/>
                <w:lang w:val="es-ES"/>
              </w:rPr>
              <w:t>will</w:t>
            </w:r>
            <w:proofErr w:type="spellEnd"/>
            <w:r>
              <w:rPr>
                <w:color w:val="000000"/>
                <w:sz w:val="22"/>
                <w:szCs w:val="22"/>
                <w:lang w:val="es-ES"/>
              </w:rPr>
              <w:t xml:space="preserve"> be </w:t>
            </w:r>
            <w:proofErr w:type="spellStart"/>
            <w:r>
              <w:rPr>
                <w:color w:val="000000"/>
                <w:sz w:val="22"/>
                <w:szCs w:val="22"/>
                <w:lang w:val="es-ES"/>
              </w:rPr>
              <w:t>the</w:t>
            </w:r>
            <w:proofErr w:type="spellEnd"/>
            <w:r>
              <w:rPr>
                <w:color w:val="000000"/>
                <w:sz w:val="22"/>
                <w:szCs w:val="22"/>
                <w:lang w:val="es-ES"/>
              </w:rPr>
              <w:t xml:space="preserve"> </w:t>
            </w:r>
            <w:proofErr w:type="spellStart"/>
            <w:r>
              <w:rPr>
                <w:color w:val="000000"/>
                <w:sz w:val="22"/>
                <w:szCs w:val="22"/>
                <w:lang w:val="es-ES"/>
              </w:rPr>
              <w:t>determining</w:t>
            </w:r>
            <w:proofErr w:type="spellEnd"/>
            <w:r>
              <w:rPr>
                <w:color w:val="000000"/>
                <w:sz w:val="22"/>
                <w:szCs w:val="22"/>
                <w:lang w:val="es-ES"/>
              </w:rPr>
              <w:t xml:space="preserve"> factor </w:t>
            </w:r>
            <w:proofErr w:type="spellStart"/>
            <w:r>
              <w:rPr>
                <w:color w:val="000000"/>
                <w:sz w:val="22"/>
                <w:szCs w:val="22"/>
                <w:lang w:val="es-ES"/>
              </w:rPr>
              <w:t>for</w:t>
            </w:r>
            <w:proofErr w:type="spellEnd"/>
            <w:r>
              <w:rPr>
                <w:color w:val="000000"/>
                <w:sz w:val="22"/>
                <w:szCs w:val="22"/>
                <w:lang w:val="es-ES"/>
              </w:rPr>
              <w:t xml:space="preserve"> </w:t>
            </w:r>
            <w:proofErr w:type="spellStart"/>
            <w:r>
              <w:rPr>
                <w:color w:val="000000"/>
                <w:sz w:val="22"/>
                <w:szCs w:val="22"/>
                <w:lang w:val="es-ES"/>
              </w:rPr>
              <w:t>approval</w:t>
            </w:r>
            <w:proofErr w:type="spellEnd"/>
            <w:r>
              <w:rPr>
                <w:color w:val="000000"/>
                <w:sz w:val="22"/>
                <w:szCs w:val="22"/>
                <w:lang w:val="es-ES"/>
              </w:rPr>
              <w:t>.</w:t>
            </w:r>
          </w:p>
          <w:p w14:paraId="444869FB" w14:textId="77777777" w:rsidR="00E255F4" w:rsidRDefault="00000000">
            <w:pPr>
              <w:pStyle w:val="Default"/>
              <w:numPr>
                <w:ilvl w:val="0"/>
                <w:numId w:val="71"/>
              </w:numPr>
              <w:spacing w:before="240" w:after="120"/>
              <w:jc w:val="both"/>
              <w:rPr>
                <w:rFonts w:ascii="Times New Roman" w:hAnsi="Times New Roman" w:cs="Times New Roman"/>
                <w:b/>
                <w:sz w:val="22"/>
                <w:szCs w:val="22"/>
              </w:rPr>
            </w:pPr>
            <w:proofErr w:type="spellStart"/>
            <w:r>
              <w:rPr>
                <w:rFonts w:ascii="Times New Roman" w:hAnsi="Times New Roman" w:cs="Times New Roman"/>
                <w:b/>
                <w:sz w:val="22"/>
                <w:szCs w:val="22"/>
              </w:rPr>
              <w:t>Financial</w:t>
            </w:r>
            <w:proofErr w:type="spellEnd"/>
            <w:r>
              <w:rPr>
                <w:rFonts w:ascii="Times New Roman" w:hAnsi="Times New Roman" w:cs="Times New Roman"/>
                <w:b/>
                <w:sz w:val="22"/>
                <w:szCs w:val="22"/>
              </w:rPr>
              <w:t xml:space="preserve"> </w:t>
            </w:r>
            <w:proofErr w:type="spellStart"/>
            <w:r>
              <w:rPr>
                <w:rFonts w:ascii="Times New Roman" w:hAnsi="Times New Roman" w:cs="Times New Roman"/>
                <w:b/>
                <w:sz w:val="22"/>
                <w:szCs w:val="22"/>
              </w:rPr>
              <w:t>statements</w:t>
            </w:r>
            <w:proofErr w:type="spellEnd"/>
            <w:r>
              <w:rPr>
                <w:rFonts w:ascii="Times New Roman" w:hAnsi="Times New Roman" w:cs="Times New Roman"/>
                <w:b/>
                <w:sz w:val="22"/>
                <w:szCs w:val="22"/>
              </w:rPr>
              <w:t xml:space="preserve"> </w:t>
            </w:r>
            <w:proofErr w:type="spellStart"/>
            <w:r>
              <w:rPr>
                <w:rFonts w:ascii="Times New Roman" w:hAnsi="Times New Roman" w:cs="Times New Roman"/>
                <w:b/>
                <w:sz w:val="22"/>
                <w:szCs w:val="22"/>
              </w:rPr>
              <w:t>issued</w:t>
            </w:r>
            <w:proofErr w:type="spellEnd"/>
            <w:r>
              <w:rPr>
                <w:rFonts w:ascii="Times New Roman" w:hAnsi="Times New Roman" w:cs="Times New Roman"/>
                <w:b/>
                <w:sz w:val="22"/>
                <w:szCs w:val="22"/>
              </w:rPr>
              <w:t xml:space="preserve"> in </w:t>
            </w:r>
            <w:proofErr w:type="spellStart"/>
            <w:r>
              <w:rPr>
                <w:rFonts w:ascii="Times New Roman" w:hAnsi="Times New Roman" w:cs="Times New Roman"/>
                <w:b/>
                <w:sz w:val="22"/>
                <w:szCs w:val="22"/>
              </w:rPr>
              <w:t>accordance</w:t>
            </w:r>
            <w:proofErr w:type="spellEnd"/>
            <w:r>
              <w:rPr>
                <w:rFonts w:ascii="Times New Roman" w:hAnsi="Times New Roman" w:cs="Times New Roman"/>
                <w:b/>
                <w:sz w:val="22"/>
                <w:szCs w:val="22"/>
              </w:rPr>
              <w:t xml:space="preserve"> </w:t>
            </w:r>
            <w:proofErr w:type="spellStart"/>
            <w:r>
              <w:rPr>
                <w:rFonts w:ascii="Times New Roman" w:hAnsi="Times New Roman" w:cs="Times New Roman"/>
                <w:b/>
                <w:sz w:val="22"/>
                <w:szCs w:val="22"/>
              </w:rPr>
              <w:t>with</w:t>
            </w:r>
            <w:proofErr w:type="spellEnd"/>
            <w:r>
              <w:rPr>
                <w:rFonts w:ascii="Times New Roman" w:hAnsi="Times New Roman" w:cs="Times New Roman"/>
                <w:b/>
                <w:sz w:val="22"/>
                <w:szCs w:val="22"/>
              </w:rPr>
              <w:t xml:space="preserve"> </w:t>
            </w:r>
            <w:proofErr w:type="spellStart"/>
            <w:r>
              <w:rPr>
                <w:rFonts w:ascii="Times New Roman" w:hAnsi="Times New Roman" w:cs="Times New Roman"/>
                <w:b/>
                <w:sz w:val="22"/>
                <w:szCs w:val="22"/>
              </w:rPr>
              <w:t>appropriate</w:t>
            </w:r>
            <w:proofErr w:type="spellEnd"/>
            <w:r>
              <w:rPr>
                <w:rFonts w:ascii="Times New Roman" w:hAnsi="Times New Roman" w:cs="Times New Roman"/>
                <w:b/>
                <w:sz w:val="22"/>
                <w:szCs w:val="22"/>
              </w:rPr>
              <w:t xml:space="preserve"> </w:t>
            </w:r>
            <w:proofErr w:type="spellStart"/>
            <w:r>
              <w:rPr>
                <w:rFonts w:ascii="Times New Roman" w:hAnsi="Times New Roman" w:cs="Times New Roman"/>
                <w:b/>
                <w:sz w:val="22"/>
                <w:szCs w:val="22"/>
              </w:rPr>
              <w:t>accounting</w:t>
            </w:r>
            <w:proofErr w:type="spellEnd"/>
            <w:r>
              <w:rPr>
                <w:rFonts w:ascii="Times New Roman" w:hAnsi="Times New Roman" w:cs="Times New Roman"/>
                <w:b/>
                <w:sz w:val="22"/>
                <w:szCs w:val="22"/>
              </w:rPr>
              <w:t xml:space="preserve"> </w:t>
            </w:r>
            <w:proofErr w:type="spellStart"/>
            <w:r>
              <w:rPr>
                <w:rFonts w:ascii="Times New Roman" w:hAnsi="Times New Roman" w:cs="Times New Roman"/>
                <w:b/>
                <w:sz w:val="22"/>
                <w:szCs w:val="22"/>
              </w:rPr>
              <w:t>standards</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corresponding</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to</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the</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last</w:t>
            </w:r>
            <w:proofErr w:type="spellEnd"/>
            <w:r>
              <w:rPr>
                <w:rFonts w:ascii="Times New Roman" w:hAnsi="Times New Roman" w:cs="Times New Roman"/>
                <w:sz w:val="22"/>
                <w:szCs w:val="22"/>
              </w:rPr>
              <w:t xml:space="preserve"> 3 (</w:t>
            </w:r>
            <w:proofErr w:type="spellStart"/>
            <w:r>
              <w:rPr>
                <w:rFonts w:ascii="Times New Roman" w:hAnsi="Times New Roman" w:cs="Times New Roman"/>
                <w:sz w:val="22"/>
                <w:szCs w:val="22"/>
              </w:rPr>
              <w:t>three</w:t>
            </w:r>
            <w:proofErr w:type="spellEnd"/>
            <w:r>
              <w:rPr>
                <w:rFonts w:ascii="Times New Roman" w:hAnsi="Times New Roman" w:cs="Times New Roman"/>
                <w:sz w:val="22"/>
                <w:szCs w:val="22"/>
              </w:rPr>
              <w:t xml:space="preserve">) fiscal </w:t>
            </w:r>
            <w:proofErr w:type="spellStart"/>
            <w:r>
              <w:rPr>
                <w:rFonts w:ascii="Times New Roman" w:hAnsi="Times New Roman" w:cs="Times New Roman"/>
                <w:sz w:val="22"/>
                <w:szCs w:val="22"/>
              </w:rPr>
              <w:t>years</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accompanied</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by</w:t>
            </w:r>
            <w:proofErr w:type="spellEnd"/>
            <w:r>
              <w:rPr>
                <w:rFonts w:ascii="Times New Roman" w:hAnsi="Times New Roman" w:cs="Times New Roman"/>
                <w:sz w:val="22"/>
                <w:szCs w:val="22"/>
              </w:rPr>
              <w:t xml:space="preserve"> a </w:t>
            </w:r>
            <w:proofErr w:type="spellStart"/>
            <w:r>
              <w:rPr>
                <w:rFonts w:ascii="Times New Roman" w:hAnsi="Times New Roman" w:cs="Times New Roman"/>
                <w:sz w:val="22"/>
                <w:szCs w:val="22"/>
              </w:rPr>
              <w:t>signed</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report</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from</w:t>
            </w:r>
            <w:proofErr w:type="spellEnd"/>
            <w:r>
              <w:rPr>
                <w:rFonts w:ascii="Times New Roman" w:hAnsi="Times New Roman" w:cs="Times New Roman"/>
                <w:sz w:val="22"/>
                <w:szCs w:val="22"/>
              </w:rPr>
              <w:t xml:space="preserve"> a </w:t>
            </w:r>
            <w:proofErr w:type="spellStart"/>
            <w:r>
              <w:rPr>
                <w:rFonts w:ascii="Times New Roman" w:hAnsi="Times New Roman" w:cs="Times New Roman"/>
                <w:sz w:val="22"/>
                <w:szCs w:val="22"/>
              </w:rPr>
              <w:t>certified</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public</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accountant</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minimum</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scope</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limited</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review</w:t>
            </w:r>
            <w:proofErr w:type="spellEnd"/>
            <w:r>
              <w:rPr>
                <w:rFonts w:ascii="Times New Roman" w:hAnsi="Times New Roman" w:cs="Times New Roman"/>
                <w:sz w:val="22"/>
                <w:szCs w:val="22"/>
              </w:rPr>
              <w:t xml:space="preserve">). OSE reserves </w:t>
            </w:r>
            <w:proofErr w:type="spellStart"/>
            <w:r>
              <w:rPr>
                <w:rFonts w:ascii="Times New Roman" w:hAnsi="Times New Roman" w:cs="Times New Roman"/>
                <w:sz w:val="22"/>
                <w:szCs w:val="22"/>
              </w:rPr>
              <w:t>the</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right</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to</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request</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during</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the</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evaluation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of</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the</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bids</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an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update</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of</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this</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information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to</w:t>
            </w:r>
            <w:proofErr w:type="spellEnd"/>
            <w:r>
              <w:rPr>
                <w:rFonts w:ascii="Times New Roman" w:hAnsi="Times New Roman" w:cs="Times New Roman"/>
                <w:sz w:val="22"/>
                <w:szCs w:val="22"/>
              </w:rPr>
              <w:t xml:space="preserve"> a date more </w:t>
            </w:r>
            <w:proofErr w:type="spellStart"/>
            <w:r>
              <w:rPr>
                <w:rFonts w:ascii="Times New Roman" w:hAnsi="Times New Roman" w:cs="Times New Roman"/>
                <w:sz w:val="22"/>
                <w:szCs w:val="22"/>
              </w:rPr>
              <w:t>recent</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than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the</w:t>
            </w:r>
            <w:proofErr w:type="spellEnd"/>
            <w:r>
              <w:rPr>
                <w:rFonts w:ascii="Times New Roman" w:hAnsi="Times New Roman" w:cs="Times New Roman"/>
                <w:sz w:val="22"/>
                <w:szCs w:val="22"/>
              </w:rPr>
              <w:t xml:space="preserve"> date </w:t>
            </w:r>
            <w:proofErr w:type="spellStart"/>
            <w:r>
              <w:rPr>
                <w:rFonts w:ascii="Times New Roman" w:hAnsi="Times New Roman" w:cs="Times New Roman"/>
                <w:sz w:val="22"/>
                <w:szCs w:val="22"/>
              </w:rPr>
              <w:t>of</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the</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opening</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of</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the</w:t>
            </w:r>
            <w:proofErr w:type="spellEnd"/>
            <w:r>
              <w:rPr>
                <w:rFonts w:ascii="Times New Roman" w:hAnsi="Times New Roman" w:cs="Times New Roman"/>
                <w:sz w:val="22"/>
                <w:szCs w:val="22"/>
              </w:rPr>
              <w:t xml:space="preserve"> tender.</w:t>
            </w:r>
          </w:p>
          <w:p w14:paraId="2916973B" w14:textId="77777777" w:rsidR="00E255F4" w:rsidRDefault="00E255F4">
            <w:pPr>
              <w:tabs>
                <w:tab w:val="left" w:pos="-720"/>
                <w:tab w:val="left" w:pos="-540"/>
                <w:tab w:val="left" w:pos="0"/>
                <w:tab w:val="left" w:pos="34"/>
              </w:tabs>
              <w:ind w:left="34"/>
              <w:jc w:val="both"/>
              <w:rPr>
                <w:b/>
                <w:color w:val="000000"/>
                <w:sz w:val="22"/>
                <w:szCs w:val="22"/>
                <w:highlight w:val="yellow"/>
                <w:lang w:val="es-CO"/>
              </w:rPr>
            </w:pPr>
          </w:p>
          <w:p w14:paraId="62B46C20" w14:textId="77777777" w:rsidR="00E255F4" w:rsidRDefault="00000000">
            <w:pPr>
              <w:pStyle w:val="Prrafodelista"/>
              <w:numPr>
                <w:ilvl w:val="0"/>
                <w:numId w:val="71"/>
              </w:numPr>
              <w:spacing w:after="120"/>
              <w:jc w:val="both"/>
              <w:rPr>
                <w:b/>
                <w:sz w:val="22"/>
                <w:szCs w:val="22"/>
                <w:lang w:val="es-UY" w:eastAsia="en-US"/>
              </w:rPr>
            </w:pPr>
            <w:proofErr w:type="spellStart"/>
            <w:r>
              <w:rPr>
                <w:b/>
                <w:sz w:val="22"/>
                <w:szCs w:val="22"/>
                <w:lang w:val="es-UY" w:eastAsia="en-US"/>
              </w:rPr>
              <w:t>Warranty</w:t>
            </w:r>
            <w:proofErr w:type="spellEnd"/>
            <w:r>
              <w:rPr>
                <w:b/>
                <w:sz w:val="22"/>
                <w:szCs w:val="22"/>
                <w:lang w:val="es-UY" w:eastAsia="en-US"/>
              </w:rPr>
              <w:t xml:space="preserve"> </w:t>
            </w:r>
            <w:proofErr w:type="spellStart"/>
            <w:r>
              <w:rPr>
                <w:b/>
                <w:sz w:val="22"/>
                <w:szCs w:val="22"/>
                <w:lang w:val="es-UY" w:eastAsia="en-US"/>
              </w:rPr>
              <w:t>for</w:t>
            </w:r>
            <w:proofErr w:type="spellEnd"/>
            <w:r>
              <w:rPr>
                <w:b/>
                <w:sz w:val="22"/>
                <w:szCs w:val="22"/>
                <w:lang w:val="es-UY" w:eastAsia="en-US"/>
              </w:rPr>
              <w:t xml:space="preserve"> comprehensive </w:t>
            </w:r>
            <w:proofErr w:type="spellStart"/>
            <w:r>
              <w:rPr>
                <w:b/>
                <w:sz w:val="22"/>
                <w:szCs w:val="22"/>
                <w:lang w:val="es-UY" w:eastAsia="en-US"/>
              </w:rPr>
              <w:t>smart</w:t>
            </w:r>
            <w:proofErr w:type="spellEnd"/>
            <w:r>
              <w:rPr>
                <w:b/>
                <w:sz w:val="22"/>
                <w:szCs w:val="22"/>
                <w:lang w:val="es-UY" w:eastAsia="en-US"/>
              </w:rPr>
              <w:t xml:space="preserve"> </w:t>
            </w:r>
            <w:proofErr w:type="spellStart"/>
            <w:r>
              <w:rPr>
                <w:b/>
                <w:sz w:val="22"/>
                <w:szCs w:val="22"/>
                <w:lang w:val="es-UY" w:eastAsia="en-US"/>
              </w:rPr>
              <w:t>meters</w:t>
            </w:r>
            <w:proofErr w:type="spellEnd"/>
          </w:p>
          <w:p w14:paraId="3EA50295" w14:textId="77777777" w:rsidR="00E255F4" w:rsidRDefault="00000000">
            <w:pPr>
              <w:pStyle w:val="Prrafodelista"/>
              <w:numPr>
                <w:ilvl w:val="0"/>
                <w:numId w:val="67"/>
              </w:numPr>
              <w:tabs>
                <w:tab w:val="left" w:pos="419"/>
              </w:tabs>
              <w:spacing w:after="120" w:line="240" w:lineRule="auto"/>
              <w:ind w:left="561" w:right="311" w:hanging="425"/>
              <w:jc w:val="both"/>
              <w:rPr>
                <w:rFonts w:eastAsia="Calibri"/>
                <w:b/>
                <w:strike/>
                <w:sz w:val="22"/>
                <w:szCs w:val="22"/>
                <w:lang w:val="es-ES" w:eastAsia="en-US"/>
              </w:rPr>
            </w:pPr>
            <w:r>
              <w:rPr>
                <w:rFonts w:eastAsia="Calibri"/>
                <w:b/>
                <w:sz w:val="22"/>
                <w:szCs w:val="22"/>
                <w:lang w:val="es-ES" w:eastAsia="en-US"/>
              </w:rPr>
              <w:t xml:space="preserve">Letter </w:t>
            </w:r>
            <w:proofErr w:type="spellStart"/>
            <w:r>
              <w:rPr>
                <w:rFonts w:eastAsia="Calibri"/>
                <w:b/>
                <w:sz w:val="22"/>
                <w:szCs w:val="22"/>
                <w:lang w:val="es-ES" w:eastAsia="en-US"/>
              </w:rPr>
              <w:t>from</w:t>
            </w:r>
            <w:proofErr w:type="spellEnd"/>
            <w:r>
              <w:rPr>
                <w:rFonts w:eastAsia="Calibri"/>
                <w:b/>
                <w:sz w:val="22"/>
                <w:szCs w:val="22"/>
                <w:lang w:val="es-ES" w:eastAsia="en-US"/>
              </w:rPr>
              <w:t xml:space="preserve"> </w:t>
            </w:r>
            <w:proofErr w:type="spellStart"/>
            <w:r>
              <w:rPr>
                <w:rFonts w:eastAsia="Calibri"/>
                <w:b/>
                <w:sz w:val="22"/>
                <w:szCs w:val="22"/>
                <w:lang w:val="es-ES" w:eastAsia="en-US"/>
              </w:rPr>
              <w:t>the</w:t>
            </w:r>
            <w:proofErr w:type="spellEnd"/>
            <w:r>
              <w:rPr>
                <w:rFonts w:eastAsia="Calibri"/>
                <w:b/>
                <w:sz w:val="22"/>
                <w:szCs w:val="22"/>
                <w:lang w:val="es-ES" w:eastAsia="en-US"/>
              </w:rPr>
              <w:t xml:space="preserve"> </w:t>
            </w:r>
            <w:proofErr w:type="spellStart"/>
            <w:r>
              <w:rPr>
                <w:rFonts w:eastAsia="Calibri"/>
                <w:b/>
                <w:sz w:val="22"/>
                <w:szCs w:val="22"/>
                <w:lang w:val="es-ES" w:eastAsia="en-US"/>
              </w:rPr>
              <w:t>manufacturer</w:t>
            </w:r>
            <w:proofErr w:type="spellEnd"/>
          </w:p>
          <w:p w14:paraId="5B60EABD" w14:textId="77777777" w:rsidR="00E255F4" w:rsidRDefault="00000000">
            <w:pPr>
              <w:pStyle w:val="Prrafodelista"/>
              <w:tabs>
                <w:tab w:val="left" w:pos="419"/>
              </w:tabs>
              <w:spacing w:before="240" w:after="120" w:line="240" w:lineRule="auto"/>
              <w:ind w:left="419" w:right="311"/>
              <w:jc w:val="both"/>
              <w:rPr>
                <w:sz w:val="22"/>
                <w:szCs w:val="22"/>
                <w:lang w:val="es-ES" w:eastAsia="en-US"/>
              </w:rPr>
            </w:pPr>
            <w:r>
              <w:rPr>
                <w:rFonts w:eastAsia="Calibri"/>
                <w:sz w:val="22"/>
                <w:szCs w:val="22"/>
                <w:lang w:val="es-ES" w:eastAsia="en-US"/>
              </w:rPr>
              <w:t xml:space="preserve">The </w:t>
            </w:r>
            <w:proofErr w:type="spellStart"/>
            <w:r>
              <w:rPr>
                <w:rFonts w:eastAsia="Calibri"/>
                <w:sz w:val="22"/>
                <w:szCs w:val="22"/>
                <w:lang w:val="es-ES" w:eastAsia="en-US"/>
              </w:rPr>
              <w:t>offer</w:t>
            </w:r>
            <w:proofErr w:type="spellEnd"/>
            <w:r>
              <w:rPr>
                <w:rFonts w:eastAsia="Calibri"/>
                <w:sz w:val="22"/>
                <w:szCs w:val="22"/>
                <w:lang w:val="es-ES" w:eastAsia="en-US"/>
              </w:rPr>
              <w:t xml:space="preserve"> </w:t>
            </w:r>
            <w:proofErr w:type="spellStart"/>
            <w:r>
              <w:rPr>
                <w:rFonts w:eastAsia="Calibri"/>
                <w:sz w:val="22"/>
                <w:szCs w:val="22"/>
                <w:lang w:val="es-ES" w:eastAsia="en-US"/>
              </w:rPr>
              <w:t>must</w:t>
            </w:r>
            <w:proofErr w:type="spellEnd"/>
            <w:r>
              <w:rPr>
                <w:rFonts w:eastAsia="Calibri"/>
                <w:sz w:val="22"/>
                <w:szCs w:val="22"/>
                <w:lang w:val="es-ES" w:eastAsia="en-US"/>
              </w:rPr>
              <w:t xml:space="preserve"> </w:t>
            </w:r>
            <w:proofErr w:type="spellStart"/>
            <w:r>
              <w:rPr>
                <w:rFonts w:eastAsia="Calibri"/>
                <w:sz w:val="22"/>
                <w:szCs w:val="22"/>
                <w:lang w:val="es-ES" w:eastAsia="en-US"/>
              </w:rPr>
              <w:t>include</w:t>
            </w:r>
            <w:proofErr w:type="spellEnd"/>
            <w:r>
              <w:rPr>
                <w:rFonts w:eastAsia="Calibri"/>
                <w:sz w:val="22"/>
                <w:szCs w:val="22"/>
                <w:lang w:val="es-ES" w:eastAsia="en-US"/>
              </w:rPr>
              <w:t xml:space="preserve"> a </w:t>
            </w:r>
            <w:proofErr w:type="spellStart"/>
            <w:r>
              <w:rPr>
                <w:rFonts w:eastAsia="Calibri"/>
                <w:sz w:val="22"/>
                <w:szCs w:val="22"/>
                <w:lang w:val="es-ES" w:eastAsia="en-US"/>
              </w:rPr>
              <w:t>letter</w:t>
            </w:r>
            <w:proofErr w:type="spellEnd"/>
            <w:r>
              <w:rPr>
                <w:rFonts w:eastAsia="Calibri"/>
                <w:sz w:val="22"/>
                <w:szCs w:val="22"/>
                <w:lang w:val="es-ES" w:eastAsia="en-US"/>
              </w:rPr>
              <w:t xml:space="preserve"> </w:t>
            </w:r>
            <w:proofErr w:type="spellStart"/>
            <w:r>
              <w:rPr>
                <w:rFonts w:eastAsia="Calibri"/>
                <w:sz w:val="22"/>
                <w:szCs w:val="22"/>
                <w:lang w:val="es-ES" w:eastAsia="en-US"/>
              </w:rPr>
              <w:t>from</w:t>
            </w:r>
            <w:proofErr w:type="spellEnd"/>
            <w:r>
              <w:rPr>
                <w:rFonts w:eastAsia="Calibri"/>
                <w:sz w:val="22"/>
                <w:szCs w:val="22"/>
                <w:lang w:val="es-ES" w:eastAsia="en-US"/>
              </w:rPr>
              <w:t xml:space="preserve"> </w:t>
            </w:r>
            <w:proofErr w:type="spellStart"/>
            <w:r>
              <w:rPr>
                <w:rFonts w:eastAsia="Calibri"/>
                <w:sz w:val="22"/>
                <w:szCs w:val="22"/>
                <w:lang w:val="es-ES" w:eastAsia="en-US"/>
              </w:rPr>
              <w:t>the</w:t>
            </w:r>
            <w:proofErr w:type="spellEnd"/>
            <w:r>
              <w:rPr>
                <w:rFonts w:eastAsia="Calibri"/>
                <w:sz w:val="22"/>
                <w:szCs w:val="22"/>
                <w:lang w:val="es-ES" w:eastAsia="en-US"/>
              </w:rPr>
              <w:t xml:space="preserve"> </w:t>
            </w:r>
            <w:proofErr w:type="spellStart"/>
            <w:r>
              <w:rPr>
                <w:rFonts w:eastAsia="Calibri"/>
                <w:sz w:val="22"/>
                <w:szCs w:val="22"/>
                <w:lang w:val="es-ES" w:eastAsia="en-US"/>
              </w:rPr>
              <w:t>manufacturer</w:t>
            </w:r>
            <w:proofErr w:type="spellEnd"/>
            <w:r>
              <w:rPr>
                <w:rFonts w:eastAsia="Calibri"/>
                <w:sz w:val="22"/>
                <w:szCs w:val="22"/>
                <w:lang w:val="es-ES" w:eastAsia="en-US"/>
              </w:rPr>
              <w:t xml:space="preserve"> </w:t>
            </w:r>
            <w:proofErr w:type="spellStart"/>
            <w:r>
              <w:rPr>
                <w:rFonts w:eastAsia="Calibri"/>
                <w:sz w:val="22"/>
                <w:szCs w:val="22"/>
                <w:lang w:val="es-ES" w:eastAsia="en-US"/>
              </w:rPr>
              <w:t>stating</w:t>
            </w:r>
            <w:proofErr w:type="spellEnd"/>
            <w:r>
              <w:rPr>
                <w:rFonts w:eastAsia="Calibri"/>
                <w:sz w:val="22"/>
                <w:szCs w:val="22"/>
                <w:lang w:val="es-ES" w:eastAsia="en-US"/>
              </w:rPr>
              <w:t xml:space="preserve"> </w:t>
            </w:r>
            <w:proofErr w:type="spellStart"/>
            <w:r>
              <w:rPr>
                <w:rFonts w:eastAsia="Calibri"/>
                <w:sz w:val="22"/>
                <w:szCs w:val="22"/>
                <w:lang w:val="es-ES" w:eastAsia="en-US"/>
              </w:rPr>
              <w:t>that</w:t>
            </w:r>
            <w:proofErr w:type="spellEnd"/>
            <w:r>
              <w:rPr>
                <w:rFonts w:eastAsia="Calibri"/>
                <w:sz w:val="22"/>
                <w:szCs w:val="22"/>
                <w:lang w:val="es-ES" w:eastAsia="en-US"/>
              </w:rPr>
              <w:t xml:space="preserve"> </w:t>
            </w:r>
            <w:proofErr w:type="spellStart"/>
            <w:r>
              <w:rPr>
                <w:rFonts w:eastAsia="Calibri"/>
                <w:sz w:val="22"/>
                <w:szCs w:val="22"/>
                <w:lang w:val="es-ES" w:eastAsia="en-US"/>
              </w:rPr>
              <w:t>the</w:t>
            </w:r>
            <w:proofErr w:type="spellEnd"/>
            <w:r>
              <w:rPr>
                <w:rFonts w:eastAsia="Calibri"/>
                <w:sz w:val="22"/>
                <w:szCs w:val="22"/>
                <w:lang w:val="es-ES" w:eastAsia="en-US"/>
              </w:rPr>
              <w:t xml:space="preserve"> </w:t>
            </w:r>
            <w:proofErr w:type="spellStart"/>
            <w:r>
              <w:rPr>
                <w:rFonts w:eastAsia="Calibri"/>
                <w:sz w:val="22"/>
                <w:szCs w:val="22"/>
                <w:lang w:val="es-ES" w:eastAsia="en-US"/>
              </w:rPr>
              <w:t>integrated</w:t>
            </w:r>
            <w:proofErr w:type="spellEnd"/>
            <w:r>
              <w:rPr>
                <w:rFonts w:eastAsia="Calibri"/>
                <w:sz w:val="22"/>
                <w:szCs w:val="22"/>
                <w:lang w:val="es-ES" w:eastAsia="en-US"/>
              </w:rPr>
              <w:t xml:space="preserve"> </w:t>
            </w:r>
            <w:proofErr w:type="spellStart"/>
            <w:r>
              <w:rPr>
                <w:rFonts w:eastAsia="Calibri"/>
                <w:sz w:val="22"/>
                <w:szCs w:val="22"/>
                <w:lang w:val="es-ES" w:eastAsia="en-US"/>
              </w:rPr>
              <w:t>smart</w:t>
            </w:r>
            <w:proofErr w:type="spellEnd"/>
            <w:r>
              <w:rPr>
                <w:rFonts w:eastAsia="Calibri"/>
                <w:sz w:val="22"/>
                <w:szCs w:val="22"/>
                <w:lang w:val="es-ES" w:eastAsia="en-US"/>
              </w:rPr>
              <w:t xml:space="preserve"> </w:t>
            </w:r>
            <w:proofErr w:type="spellStart"/>
            <w:r>
              <w:rPr>
                <w:rFonts w:eastAsia="Calibri"/>
                <w:sz w:val="22"/>
                <w:szCs w:val="22"/>
                <w:lang w:val="es-ES" w:eastAsia="en-US"/>
              </w:rPr>
              <w:t>meters</w:t>
            </w:r>
            <w:proofErr w:type="spellEnd"/>
            <w:r>
              <w:rPr>
                <w:rFonts w:eastAsia="Calibri"/>
                <w:sz w:val="22"/>
                <w:szCs w:val="22"/>
                <w:lang w:val="es-ES" w:eastAsia="en-US"/>
              </w:rPr>
              <w:t xml:space="preserve"> are </w:t>
            </w:r>
            <w:proofErr w:type="spellStart"/>
            <w:r>
              <w:rPr>
                <w:rFonts w:eastAsia="Calibri"/>
                <w:sz w:val="22"/>
                <w:szCs w:val="22"/>
                <w:lang w:val="es-ES" w:eastAsia="en-US"/>
              </w:rPr>
              <w:t>guaranteed</w:t>
            </w:r>
            <w:proofErr w:type="spellEnd"/>
            <w:r>
              <w:rPr>
                <w:rFonts w:eastAsia="Calibri"/>
                <w:sz w:val="22"/>
                <w:szCs w:val="22"/>
                <w:lang w:val="es-ES" w:eastAsia="en-US"/>
              </w:rPr>
              <w:t xml:space="preserve"> </w:t>
            </w:r>
            <w:proofErr w:type="spellStart"/>
            <w:r>
              <w:rPr>
                <w:rFonts w:eastAsia="Calibri"/>
                <w:sz w:val="22"/>
                <w:szCs w:val="22"/>
                <w:lang w:val="es-ES" w:eastAsia="en-US"/>
              </w:rPr>
              <w:t>by</w:t>
            </w:r>
            <w:proofErr w:type="spellEnd"/>
            <w:r>
              <w:rPr>
                <w:rFonts w:eastAsia="Calibri"/>
                <w:sz w:val="22"/>
                <w:szCs w:val="22"/>
                <w:lang w:val="es-ES" w:eastAsia="en-US"/>
              </w:rPr>
              <w:t xml:space="preserve"> </w:t>
            </w:r>
            <w:proofErr w:type="spellStart"/>
            <w:r>
              <w:rPr>
                <w:rFonts w:eastAsia="Calibri"/>
                <w:sz w:val="22"/>
                <w:szCs w:val="22"/>
                <w:lang w:val="es-ES" w:eastAsia="en-US"/>
              </w:rPr>
              <w:t>the</w:t>
            </w:r>
            <w:proofErr w:type="spellEnd"/>
            <w:r>
              <w:rPr>
                <w:rFonts w:eastAsia="Calibri"/>
                <w:sz w:val="22"/>
                <w:szCs w:val="22"/>
                <w:lang w:val="es-ES" w:eastAsia="en-US"/>
              </w:rPr>
              <w:t xml:space="preserve"> </w:t>
            </w:r>
            <w:proofErr w:type="spellStart"/>
            <w:r>
              <w:rPr>
                <w:rFonts w:eastAsia="Calibri"/>
                <w:sz w:val="22"/>
                <w:szCs w:val="22"/>
                <w:lang w:val="es-ES" w:eastAsia="en-US"/>
              </w:rPr>
              <w:t>manufacturer</w:t>
            </w:r>
            <w:proofErr w:type="spellEnd"/>
            <w:r>
              <w:rPr>
                <w:rFonts w:eastAsia="Calibri"/>
                <w:sz w:val="22"/>
                <w:szCs w:val="22"/>
                <w:lang w:val="es-ES" w:eastAsia="en-US"/>
              </w:rPr>
              <w:t xml:space="preserve"> </w:t>
            </w:r>
            <w:proofErr w:type="spellStart"/>
            <w:r>
              <w:rPr>
                <w:rFonts w:eastAsia="Calibri"/>
                <w:sz w:val="22"/>
                <w:szCs w:val="22"/>
                <w:lang w:val="es-ES" w:eastAsia="en-US"/>
              </w:rPr>
              <w:t>against</w:t>
            </w:r>
            <w:proofErr w:type="spellEnd"/>
            <w:r>
              <w:rPr>
                <w:rFonts w:eastAsia="Calibri"/>
                <w:sz w:val="22"/>
                <w:szCs w:val="22"/>
                <w:lang w:val="es-ES" w:eastAsia="en-US"/>
              </w:rPr>
              <w:t xml:space="preserve"> </w:t>
            </w:r>
            <w:proofErr w:type="spellStart"/>
            <w:r>
              <w:rPr>
                <w:rFonts w:eastAsia="Calibri"/>
                <w:sz w:val="22"/>
                <w:szCs w:val="22"/>
                <w:lang w:val="es-ES" w:eastAsia="en-US"/>
              </w:rPr>
              <w:t>any</w:t>
            </w:r>
            <w:proofErr w:type="spellEnd"/>
            <w:r>
              <w:rPr>
                <w:rFonts w:eastAsia="Calibri"/>
                <w:sz w:val="22"/>
                <w:szCs w:val="22"/>
                <w:lang w:val="es-ES" w:eastAsia="en-US"/>
              </w:rPr>
              <w:t xml:space="preserve"> </w:t>
            </w:r>
            <w:proofErr w:type="spellStart"/>
            <w:r>
              <w:rPr>
                <w:rFonts w:eastAsia="Calibri"/>
                <w:sz w:val="22"/>
                <w:szCs w:val="22"/>
                <w:lang w:val="es-ES" w:eastAsia="en-US"/>
              </w:rPr>
              <w:t>manufacturing</w:t>
            </w:r>
            <w:proofErr w:type="spellEnd"/>
            <w:r>
              <w:rPr>
                <w:rFonts w:eastAsia="Calibri"/>
                <w:sz w:val="22"/>
                <w:szCs w:val="22"/>
                <w:lang w:val="es-ES" w:eastAsia="en-US"/>
              </w:rPr>
              <w:t>, material, and/</w:t>
            </w:r>
            <w:proofErr w:type="spellStart"/>
            <w:r>
              <w:rPr>
                <w:rFonts w:eastAsia="Calibri"/>
                <w:sz w:val="22"/>
                <w:szCs w:val="22"/>
                <w:lang w:val="es-ES" w:eastAsia="en-US"/>
              </w:rPr>
              <w:t>or</w:t>
            </w:r>
            <w:proofErr w:type="spellEnd"/>
            <w:r>
              <w:rPr>
                <w:rFonts w:eastAsia="Calibri"/>
                <w:sz w:val="22"/>
                <w:szCs w:val="22"/>
                <w:lang w:val="es-ES" w:eastAsia="en-US"/>
              </w:rPr>
              <w:t xml:space="preserve"> </w:t>
            </w:r>
            <w:proofErr w:type="spellStart"/>
            <w:r>
              <w:rPr>
                <w:rFonts w:eastAsia="Calibri"/>
                <w:sz w:val="22"/>
                <w:szCs w:val="22"/>
                <w:lang w:val="es-ES" w:eastAsia="en-US"/>
              </w:rPr>
              <w:t>operational</w:t>
            </w:r>
            <w:proofErr w:type="spellEnd"/>
            <w:r>
              <w:rPr>
                <w:rFonts w:eastAsia="Calibri"/>
                <w:sz w:val="22"/>
                <w:szCs w:val="22"/>
                <w:lang w:val="es-ES" w:eastAsia="en-US"/>
              </w:rPr>
              <w:t xml:space="preserve"> </w:t>
            </w:r>
            <w:proofErr w:type="spellStart"/>
            <w:r>
              <w:rPr>
                <w:rFonts w:eastAsia="Calibri"/>
                <w:sz w:val="22"/>
                <w:szCs w:val="22"/>
                <w:lang w:val="es-ES" w:eastAsia="en-US"/>
              </w:rPr>
              <w:t>defects</w:t>
            </w:r>
            <w:proofErr w:type="spellEnd"/>
            <w:r>
              <w:rPr>
                <w:rFonts w:eastAsia="Calibri"/>
                <w:sz w:val="22"/>
                <w:szCs w:val="22"/>
                <w:lang w:val="es-ES" w:eastAsia="en-US"/>
              </w:rPr>
              <w:t xml:space="preserve">, </w:t>
            </w:r>
            <w:proofErr w:type="spellStart"/>
            <w:r>
              <w:rPr>
                <w:rFonts w:eastAsia="Calibri"/>
                <w:sz w:val="22"/>
                <w:szCs w:val="22"/>
                <w:lang w:val="es-ES" w:eastAsia="en-US"/>
              </w:rPr>
              <w:t>including</w:t>
            </w:r>
            <w:proofErr w:type="spellEnd"/>
            <w:r>
              <w:rPr>
                <w:rFonts w:eastAsia="Calibri"/>
                <w:sz w:val="22"/>
                <w:szCs w:val="22"/>
                <w:lang w:val="es-ES" w:eastAsia="en-US"/>
              </w:rPr>
              <w:t xml:space="preserve"> </w:t>
            </w:r>
            <w:proofErr w:type="spellStart"/>
            <w:r>
              <w:rPr>
                <w:rFonts w:eastAsia="Calibri"/>
                <w:sz w:val="22"/>
                <w:szCs w:val="22"/>
                <w:lang w:val="es-ES" w:eastAsia="en-US"/>
              </w:rPr>
              <w:t>batteries</w:t>
            </w:r>
            <w:proofErr w:type="spellEnd"/>
            <w:r>
              <w:rPr>
                <w:rFonts w:eastAsia="Calibri"/>
                <w:sz w:val="22"/>
                <w:szCs w:val="22"/>
                <w:lang w:val="es-ES" w:eastAsia="en-US"/>
              </w:rPr>
              <w:t xml:space="preserve">, </w:t>
            </w:r>
            <w:proofErr w:type="spellStart"/>
            <w:r>
              <w:rPr>
                <w:rFonts w:eastAsia="Calibri"/>
                <w:sz w:val="22"/>
                <w:szCs w:val="22"/>
                <w:lang w:val="es-ES" w:eastAsia="en-US"/>
              </w:rPr>
              <w:t>for</w:t>
            </w:r>
            <w:proofErr w:type="spellEnd"/>
            <w:r>
              <w:rPr>
                <w:rFonts w:eastAsia="Calibri"/>
                <w:sz w:val="22"/>
                <w:szCs w:val="22"/>
                <w:lang w:val="es-ES" w:eastAsia="en-US"/>
              </w:rPr>
              <w:t xml:space="preserve"> a </w:t>
            </w:r>
            <w:proofErr w:type="spellStart"/>
            <w:r>
              <w:rPr>
                <w:rFonts w:eastAsia="Calibri"/>
                <w:sz w:val="22"/>
                <w:szCs w:val="22"/>
                <w:lang w:val="es-ES" w:eastAsia="en-US"/>
              </w:rPr>
              <w:t>minimum</w:t>
            </w:r>
            <w:proofErr w:type="spellEnd"/>
            <w:r>
              <w:rPr>
                <w:rFonts w:eastAsia="Calibri"/>
                <w:sz w:val="22"/>
                <w:szCs w:val="22"/>
                <w:lang w:val="es-ES" w:eastAsia="en-US"/>
              </w:rPr>
              <w:t xml:space="preserve"> </w:t>
            </w:r>
            <w:proofErr w:type="spellStart"/>
            <w:r>
              <w:rPr>
                <w:rFonts w:eastAsia="Calibri"/>
                <w:sz w:val="22"/>
                <w:szCs w:val="22"/>
                <w:lang w:val="es-ES" w:eastAsia="en-US"/>
              </w:rPr>
              <w:t>period</w:t>
            </w:r>
            <w:proofErr w:type="spellEnd"/>
            <w:r>
              <w:rPr>
                <w:rFonts w:eastAsia="Calibri"/>
                <w:sz w:val="22"/>
                <w:szCs w:val="22"/>
                <w:lang w:val="es-ES" w:eastAsia="en-US"/>
              </w:rPr>
              <w:t xml:space="preserve"> </w:t>
            </w:r>
            <w:proofErr w:type="spellStart"/>
            <w:r>
              <w:rPr>
                <w:rFonts w:eastAsia="Calibri"/>
                <w:sz w:val="22"/>
                <w:szCs w:val="22"/>
                <w:lang w:val="es-ES" w:eastAsia="en-US"/>
              </w:rPr>
              <w:t>of</w:t>
            </w:r>
            <w:proofErr w:type="spellEnd"/>
            <w:r>
              <w:rPr>
                <w:rFonts w:eastAsia="Calibri"/>
                <w:sz w:val="22"/>
                <w:szCs w:val="22"/>
                <w:lang w:val="es-ES" w:eastAsia="en-US"/>
              </w:rPr>
              <w:t xml:space="preserve"> 5 (</w:t>
            </w:r>
            <w:proofErr w:type="spellStart"/>
            <w:r>
              <w:rPr>
                <w:rFonts w:eastAsia="Calibri"/>
                <w:sz w:val="22"/>
                <w:szCs w:val="22"/>
                <w:lang w:val="es-ES" w:eastAsia="en-US"/>
              </w:rPr>
              <w:t>five</w:t>
            </w:r>
            <w:proofErr w:type="spellEnd"/>
            <w:r>
              <w:rPr>
                <w:rFonts w:eastAsia="Calibri"/>
                <w:sz w:val="22"/>
                <w:szCs w:val="22"/>
                <w:lang w:val="es-ES" w:eastAsia="en-US"/>
              </w:rPr>
              <w:t xml:space="preserve">) </w:t>
            </w:r>
            <w:proofErr w:type="spellStart"/>
            <w:r>
              <w:rPr>
                <w:rFonts w:eastAsia="Calibri"/>
                <w:sz w:val="22"/>
                <w:szCs w:val="22"/>
                <w:lang w:val="es-ES" w:eastAsia="en-US"/>
              </w:rPr>
              <w:t>years</w:t>
            </w:r>
            <w:proofErr w:type="spellEnd"/>
            <w:r>
              <w:rPr>
                <w:rFonts w:eastAsia="Calibri"/>
                <w:sz w:val="22"/>
                <w:szCs w:val="22"/>
                <w:lang w:val="es-ES" w:eastAsia="en-US"/>
              </w:rPr>
              <w:t xml:space="preserve"> </w:t>
            </w:r>
            <w:proofErr w:type="spellStart"/>
            <w:r>
              <w:rPr>
                <w:rFonts w:eastAsia="Calibri"/>
                <w:sz w:val="22"/>
                <w:szCs w:val="22"/>
                <w:lang w:val="es-ES" w:eastAsia="en-US"/>
              </w:rPr>
              <w:t>from</w:t>
            </w:r>
            <w:proofErr w:type="spellEnd"/>
            <w:r>
              <w:rPr>
                <w:rFonts w:eastAsia="Calibri"/>
                <w:sz w:val="22"/>
                <w:szCs w:val="22"/>
                <w:lang w:val="es-ES" w:eastAsia="en-US"/>
              </w:rPr>
              <w:t xml:space="preserve"> </w:t>
            </w:r>
            <w:proofErr w:type="spellStart"/>
            <w:r>
              <w:rPr>
                <w:rFonts w:eastAsia="Calibri"/>
                <w:sz w:val="22"/>
                <w:szCs w:val="22"/>
                <w:lang w:val="es-ES" w:eastAsia="en-US"/>
              </w:rPr>
              <w:t>the</w:t>
            </w:r>
            <w:proofErr w:type="spellEnd"/>
            <w:r>
              <w:rPr>
                <w:rFonts w:eastAsia="Calibri"/>
                <w:sz w:val="22"/>
                <w:szCs w:val="22"/>
                <w:lang w:val="es-ES" w:eastAsia="en-US"/>
              </w:rPr>
              <w:t xml:space="preserve"> date </w:t>
            </w:r>
            <w:proofErr w:type="spellStart"/>
            <w:r>
              <w:rPr>
                <w:rFonts w:eastAsia="Calibri"/>
                <w:sz w:val="22"/>
                <w:szCs w:val="22"/>
                <w:lang w:val="es-ES" w:eastAsia="en-US"/>
              </w:rPr>
              <w:t>of</w:t>
            </w:r>
            <w:proofErr w:type="spellEnd"/>
            <w:r>
              <w:rPr>
                <w:rFonts w:eastAsia="Calibri"/>
                <w:sz w:val="22"/>
                <w:szCs w:val="22"/>
                <w:lang w:val="es-ES" w:eastAsia="en-US"/>
              </w:rPr>
              <w:t xml:space="preserve"> </w:t>
            </w:r>
            <w:proofErr w:type="spellStart"/>
            <w:r>
              <w:rPr>
                <w:rFonts w:eastAsia="Calibri"/>
                <w:sz w:val="22"/>
                <w:szCs w:val="22"/>
                <w:lang w:val="es-ES" w:eastAsia="en-US"/>
              </w:rPr>
              <w:t>delivery</w:t>
            </w:r>
            <w:proofErr w:type="spellEnd"/>
            <w:r>
              <w:rPr>
                <w:rFonts w:eastAsia="Calibri"/>
                <w:sz w:val="22"/>
                <w:szCs w:val="22"/>
                <w:lang w:val="es-ES" w:eastAsia="en-US"/>
              </w:rPr>
              <w:t xml:space="preserve"> </w:t>
            </w:r>
            <w:proofErr w:type="spellStart"/>
            <w:r>
              <w:rPr>
                <w:rFonts w:eastAsia="Calibri"/>
                <w:sz w:val="22"/>
                <w:szCs w:val="22"/>
                <w:lang w:val="es-ES" w:eastAsia="en-US"/>
              </w:rPr>
              <w:t>of</w:t>
            </w:r>
            <w:proofErr w:type="spellEnd"/>
            <w:r>
              <w:rPr>
                <w:rFonts w:eastAsia="Calibri"/>
                <w:sz w:val="22"/>
                <w:szCs w:val="22"/>
                <w:lang w:val="es-ES" w:eastAsia="en-US"/>
              </w:rPr>
              <w:t xml:space="preserve"> </w:t>
            </w:r>
            <w:proofErr w:type="spellStart"/>
            <w:r>
              <w:rPr>
                <w:rFonts w:eastAsia="Calibri"/>
                <w:sz w:val="22"/>
                <w:szCs w:val="22"/>
                <w:lang w:val="es-ES" w:eastAsia="en-US"/>
              </w:rPr>
              <w:t>the</w:t>
            </w:r>
            <w:proofErr w:type="spellEnd"/>
            <w:r>
              <w:rPr>
                <w:rFonts w:eastAsia="Calibri"/>
                <w:sz w:val="22"/>
                <w:szCs w:val="22"/>
                <w:lang w:val="es-ES" w:eastAsia="en-US"/>
              </w:rPr>
              <w:t xml:space="preserve"> </w:t>
            </w:r>
            <w:proofErr w:type="spellStart"/>
            <w:r>
              <w:rPr>
                <w:rFonts w:eastAsia="Calibri"/>
                <w:sz w:val="22"/>
                <w:szCs w:val="22"/>
                <w:lang w:val="es-ES" w:eastAsia="en-US"/>
              </w:rPr>
              <w:t>goods</w:t>
            </w:r>
            <w:proofErr w:type="spellEnd"/>
            <w:r>
              <w:rPr>
                <w:rFonts w:eastAsia="Calibri"/>
                <w:sz w:val="22"/>
                <w:szCs w:val="22"/>
                <w:lang w:val="es-ES" w:eastAsia="en-US"/>
              </w:rPr>
              <w:t xml:space="preserve"> </w:t>
            </w:r>
            <w:proofErr w:type="spellStart"/>
            <w:r>
              <w:rPr>
                <w:rFonts w:eastAsia="Calibri"/>
                <w:sz w:val="22"/>
                <w:szCs w:val="22"/>
                <w:lang w:val="es-ES" w:eastAsia="en-US"/>
              </w:rPr>
              <w:t>to</w:t>
            </w:r>
            <w:proofErr w:type="spellEnd"/>
            <w:r>
              <w:rPr>
                <w:rFonts w:eastAsia="Calibri"/>
                <w:sz w:val="22"/>
                <w:szCs w:val="22"/>
                <w:lang w:val="es-ES" w:eastAsia="en-US"/>
              </w:rPr>
              <w:t xml:space="preserve"> </w:t>
            </w:r>
            <w:proofErr w:type="spellStart"/>
            <w:r>
              <w:rPr>
                <w:rFonts w:eastAsia="Calibri"/>
                <w:sz w:val="22"/>
                <w:szCs w:val="22"/>
                <w:lang w:val="es-ES" w:eastAsia="en-US"/>
              </w:rPr>
              <w:t>the</w:t>
            </w:r>
            <w:proofErr w:type="spellEnd"/>
            <w:r>
              <w:rPr>
                <w:rFonts w:eastAsia="Calibri"/>
                <w:sz w:val="22"/>
                <w:szCs w:val="22"/>
                <w:lang w:val="es-ES" w:eastAsia="en-US"/>
              </w:rPr>
              <w:t xml:space="preserve"> </w:t>
            </w:r>
            <w:proofErr w:type="spellStart"/>
            <w:r>
              <w:rPr>
                <w:rFonts w:eastAsia="Calibri"/>
                <w:sz w:val="22"/>
                <w:szCs w:val="22"/>
                <w:lang w:val="es-ES" w:eastAsia="en-US"/>
              </w:rPr>
              <w:t>Measurement</w:t>
            </w:r>
            <w:proofErr w:type="spellEnd"/>
            <w:r>
              <w:rPr>
                <w:rFonts w:eastAsia="Calibri"/>
                <w:sz w:val="22"/>
                <w:szCs w:val="22"/>
                <w:lang w:val="es-ES" w:eastAsia="en-US"/>
              </w:rPr>
              <w:t xml:space="preserve"> Management </w:t>
            </w:r>
            <w:proofErr w:type="spellStart"/>
            <w:r>
              <w:rPr>
                <w:rFonts w:eastAsia="Calibri"/>
                <w:sz w:val="22"/>
                <w:szCs w:val="22"/>
                <w:lang w:val="es-ES" w:eastAsia="en-US"/>
              </w:rPr>
              <w:t>Unit</w:t>
            </w:r>
            <w:proofErr w:type="spellEnd"/>
            <w:r>
              <w:rPr>
                <w:rFonts w:eastAsia="Calibri"/>
                <w:sz w:val="22"/>
                <w:szCs w:val="22"/>
                <w:lang w:val="es-ES" w:eastAsia="en-US"/>
              </w:rPr>
              <w:t xml:space="preserve">, as </w:t>
            </w:r>
            <w:proofErr w:type="spellStart"/>
            <w:r>
              <w:rPr>
                <w:rFonts w:eastAsia="Calibri"/>
                <w:sz w:val="22"/>
                <w:szCs w:val="22"/>
                <w:lang w:val="es-ES" w:eastAsia="en-US"/>
              </w:rPr>
              <w:t>defined</w:t>
            </w:r>
            <w:proofErr w:type="spellEnd"/>
            <w:r>
              <w:rPr>
                <w:rFonts w:eastAsia="Calibri"/>
                <w:sz w:val="22"/>
                <w:szCs w:val="22"/>
                <w:lang w:val="es-ES" w:eastAsia="en-US"/>
              </w:rPr>
              <w:t xml:space="preserve"> in </w:t>
            </w:r>
            <w:proofErr w:type="spellStart"/>
            <w:r>
              <w:rPr>
                <w:rFonts w:eastAsia="Calibri"/>
                <w:sz w:val="22"/>
                <w:szCs w:val="22"/>
                <w:lang w:val="es-ES" w:eastAsia="en-US"/>
              </w:rPr>
              <w:t>Article</w:t>
            </w:r>
            <w:proofErr w:type="spellEnd"/>
            <w:r>
              <w:rPr>
                <w:rFonts w:eastAsia="Calibri"/>
                <w:sz w:val="22"/>
                <w:szCs w:val="22"/>
                <w:lang w:val="es-ES" w:eastAsia="en-US"/>
              </w:rPr>
              <w:t xml:space="preserve"> 25 </w:t>
            </w:r>
            <w:proofErr w:type="spellStart"/>
            <w:r>
              <w:rPr>
                <w:rFonts w:eastAsia="Calibri"/>
                <w:sz w:val="22"/>
                <w:szCs w:val="22"/>
                <w:lang w:val="es-ES" w:eastAsia="en-US"/>
              </w:rPr>
              <w:t>of</w:t>
            </w:r>
            <w:proofErr w:type="spellEnd"/>
            <w:r>
              <w:rPr>
                <w:rFonts w:eastAsia="Calibri"/>
                <w:sz w:val="22"/>
                <w:szCs w:val="22"/>
                <w:lang w:val="es-ES" w:eastAsia="en-US"/>
              </w:rPr>
              <w:t xml:space="preserve"> </w:t>
            </w:r>
            <w:proofErr w:type="spellStart"/>
            <w:r>
              <w:rPr>
                <w:rFonts w:eastAsia="Calibri"/>
                <w:sz w:val="22"/>
                <w:szCs w:val="22"/>
                <w:lang w:val="es-ES" w:eastAsia="en-US"/>
              </w:rPr>
              <w:t>this</w:t>
            </w:r>
            <w:proofErr w:type="spellEnd"/>
            <w:r>
              <w:rPr>
                <w:rFonts w:eastAsia="Calibri"/>
                <w:sz w:val="22"/>
                <w:szCs w:val="22"/>
                <w:lang w:val="es-ES" w:eastAsia="en-US"/>
              </w:rPr>
              <w:t xml:space="preserve"> </w:t>
            </w:r>
            <w:proofErr w:type="spellStart"/>
            <w:r>
              <w:rPr>
                <w:rFonts w:eastAsia="Calibri"/>
                <w:sz w:val="22"/>
                <w:szCs w:val="22"/>
                <w:lang w:val="es-ES" w:eastAsia="en-US"/>
              </w:rPr>
              <w:t>Annex</w:t>
            </w:r>
            <w:proofErr w:type="spellEnd"/>
            <w:r>
              <w:rPr>
                <w:rFonts w:eastAsia="Calibri"/>
                <w:sz w:val="22"/>
                <w:szCs w:val="22"/>
                <w:lang w:val="es-ES" w:eastAsia="en-US"/>
              </w:rPr>
              <w:t>.</w:t>
            </w:r>
          </w:p>
          <w:p w14:paraId="301A41FB" w14:textId="77777777" w:rsidR="00E255F4" w:rsidRDefault="00000000">
            <w:pPr>
              <w:pStyle w:val="Prrafodelista"/>
              <w:tabs>
                <w:tab w:val="left" w:pos="419"/>
              </w:tabs>
              <w:spacing w:after="120" w:line="240" w:lineRule="auto"/>
              <w:ind w:left="419" w:right="311"/>
              <w:jc w:val="both"/>
            </w:pPr>
            <w:r>
              <w:rPr>
                <w:rFonts w:eastAsia="Calibri"/>
                <w:sz w:val="22"/>
                <w:szCs w:val="22"/>
                <w:lang w:val="es-ES" w:eastAsia="en-US"/>
              </w:rPr>
              <w:t xml:space="preserve">The </w:t>
            </w:r>
            <w:proofErr w:type="spellStart"/>
            <w:r>
              <w:rPr>
                <w:rFonts w:eastAsia="Calibri"/>
                <w:sz w:val="22"/>
                <w:szCs w:val="22"/>
                <w:lang w:val="es-ES" w:eastAsia="en-US"/>
              </w:rPr>
              <w:t>guarantee</w:t>
            </w:r>
            <w:proofErr w:type="spellEnd"/>
            <w:r>
              <w:rPr>
                <w:rFonts w:eastAsia="Calibri"/>
                <w:sz w:val="22"/>
                <w:szCs w:val="22"/>
                <w:lang w:val="es-ES" w:eastAsia="en-US"/>
              </w:rPr>
              <w:t xml:space="preserve"> </w:t>
            </w:r>
            <w:proofErr w:type="spellStart"/>
            <w:r>
              <w:rPr>
                <w:rFonts w:eastAsia="Calibri"/>
                <w:sz w:val="22"/>
                <w:szCs w:val="22"/>
                <w:lang w:val="es-ES" w:eastAsia="en-US"/>
              </w:rPr>
              <w:t>must</w:t>
            </w:r>
            <w:proofErr w:type="spellEnd"/>
            <w:r>
              <w:rPr>
                <w:rFonts w:eastAsia="Calibri"/>
                <w:sz w:val="22"/>
                <w:szCs w:val="22"/>
                <w:lang w:val="es-ES" w:eastAsia="en-US"/>
              </w:rPr>
              <w:t xml:space="preserve"> </w:t>
            </w:r>
            <w:proofErr w:type="spellStart"/>
            <w:r>
              <w:rPr>
                <w:rFonts w:eastAsia="Calibri"/>
                <w:sz w:val="22"/>
                <w:szCs w:val="22"/>
                <w:lang w:val="es-ES" w:eastAsia="en-US"/>
              </w:rPr>
              <w:t>cover</w:t>
            </w:r>
            <w:proofErr w:type="spellEnd"/>
            <w:r>
              <w:rPr>
                <w:rFonts w:eastAsia="Calibri"/>
                <w:sz w:val="22"/>
                <w:szCs w:val="22"/>
                <w:lang w:val="es-ES" w:eastAsia="en-US"/>
              </w:rPr>
              <w:t xml:space="preserve"> </w:t>
            </w:r>
            <w:proofErr w:type="spellStart"/>
            <w:r>
              <w:rPr>
                <w:rFonts w:eastAsia="Calibri"/>
                <w:sz w:val="22"/>
                <w:szCs w:val="22"/>
                <w:lang w:val="es-ES" w:eastAsia="en-US"/>
              </w:rPr>
              <w:t>the</w:t>
            </w:r>
            <w:proofErr w:type="spellEnd"/>
            <w:r>
              <w:rPr>
                <w:rFonts w:eastAsia="Calibri"/>
                <w:sz w:val="22"/>
                <w:szCs w:val="22"/>
                <w:lang w:val="es-ES" w:eastAsia="en-US"/>
              </w:rPr>
              <w:t xml:space="preserve"> </w:t>
            </w:r>
            <w:proofErr w:type="spellStart"/>
            <w:r>
              <w:rPr>
                <w:rFonts w:eastAsia="Calibri"/>
                <w:sz w:val="22"/>
                <w:szCs w:val="22"/>
                <w:lang w:val="es-ES" w:eastAsia="en-US"/>
              </w:rPr>
              <w:t>replacement</w:t>
            </w:r>
            <w:proofErr w:type="spellEnd"/>
            <w:r>
              <w:rPr>
                <w:rFonts w:eastAsia="Calibri"/>
                <w:sz w:val="22"/>
                <w:szCs w:val="22"/>
                <w:lang w:val="es-ES" w:eastAsia="en-US"/>
              </w:rPr>
              <w:t xml:space="preserve"> </w:t>
            </w:r>
            <w:proofErr w:type="spellStart"/>
            <w:r>
              <w:rPr>
                <w:rFonts w:eastAsia="Calibri"/>
                <w:sz w:val="22"/>
                <w:szCs w:val="22"/>
                <w:lang w:val="es-ES" w:eastAsia="en-US"/>
              </w:rPr>
              <w:t>of</w:t>
            </w:r>
            <w:proofErr w:type="spellEnd"/>
            <w:r>
              <w:rPr>
                <w:rFonts w:eastAsia="Calibri"/>
                <w:sz w:val="22"/>
                <w:szCs w:val="22"/>
                <w:lang w:val="es-ES" w:eastAsia="en-US"/>
              </w:rPr>
              <w:t xml:space="preserve"> </w:t>
            </w:r>
            <w:proofErr w:type="spellStart"/>
            <w:r>
              <w:rPr>
                <w:rFonts w:eastAsia="Calibri"/>
                <w:sz w:val="22"/>
                <w:szCs w:val="22"/>
                <w:lang w:val="es-ES" w:eastAsia="en-US"/>
              </w:rPr>
              <w:t>the</w:t>
            </w:r>
            <w:proofErr w:type="spellEnd"/>
            <w:r>
              <w:rPr>
                <w:rFonts w:eastAsia="Calibri"/>
                <w:sz w:val="22"/>
                <w:szCs w:val="22"/>
                <w:lang w:val="es-ES" w:eastAsia="en-US"/>
              </w:rPr>
              <w:t xml:space="preserve"> defective </w:t>
            </w:r>
            <w:proofErr w:type="spellStart"/>
            <w:r>
              <w:rPr>
                <w:rFonts w:eastAsia="Calibri"/>
                <w:sz w:val="22"/>
                <w:szCs w:val="22"/>
                <w:lang w:val="es-ES" w:eastAsia="en-US"/>
              </w:rPr>
              <w:t>integrated</w:t>
            </w:r>
            <w:proofErr w:type="spellEnd"/>
            <w:r>
              <w:rPr>
                <w:rFonts w:eastAsia="Calibri"/>
                <w:sz w:val="22"/>
                <w:szCs w:val="22"/>
                <w:lang w:val="es-ES" w:eastAsia="en-US"/>
              </w:rPr>
              <w:t xml:space="preserve"> </w:t>
            </w:r>
            <w:proofErr w:type="spellStart"/>
            <w:r>
              <w:rPr>
                <w:rFonts w:eastAsia="Calibri"/>
                <w:sz w:val="22"/>
                <w:szCs w:val="22"/>
                <w:lang w:val="es-ES" w:eastAsia="en-US"/>
              </w:rPr>
              <w:t>smart</w:t>
            </w:r>
            <w:proofErr w:type="spellEnd"/>
            <w:r>
              <w:rPr>
                <w:rFonts w:eastAsia="Calibri"/>
                <w:sz w:val="22"/>
                <w:szCs w:val="22"/>
                <w:lang w:val="es-ES" w:eastAsia="en-US"/>
              </w:rPr>
              <w:t xml:space="preserve"> </w:t>
            </w:r>
            <w:proofErr w:type="spellStart"/>
            <w:r>
              <w:rPr>
                <w:rFonts w:eastAsia="Calibri"/>
                <w:sz w:val="22"/>
                <w:szCs w:val="22"/>
                <w:lang w:val="es-ES" w:eastAsia="en-US"/>
              </w:rPr>
              <w:t>meters</w:t>
            </w:r>
            <w:proofErr w:type="spellEnd"/>
            <w:r>
              <w:rPr>
                <w:rFonts w:eastAsia="Calibri"/>
                <w:sz w:val="22"/>
                <w:szCs w:val="22"/>
                <w:lang w:val="es-ES" w:eastAsia="en-US"/>
              </w:rPr>
              <w:t xml:space="preserve"> in OSE </w:t>
            </w:r>
            <w:proofErr w:type="spellStart"/>
            <w:r>
              <w:rPr>
                <w:rFonts w:eastAsia="Calibri"/>
                <w:sz w:val="22"/>
                <w:szCs w:val="22"/>
                <w:lang w:val="es-ES" w:eastAsia="en-US"/>
              </w:rPr>
              <w:t>by</w:t>
            </w:r>
            <w:proofErr w:type="spellEnd"/>
            <w:r>
              <w:rPr>
                <w:rFonts w:eastAsia="Calibri"/>
                <w:sz w:val="22"/>
                <w:szCs w:val="22"/>
                <w:lang w:val="es-ES" w:eastAsia="en-US"/>
              </w:rPr>
              <w:t xml:space="preserve"> </w:t>
            </w:r>
            <w:proofErr w:type="spellStart"/>
            <w:r>
              <w:rPr>
                <w:rFonts w:eastAsia="Calibri"/>
                <w:sz w:val="22"/>
                <w:szCs w:val="22"/>
                <w:lang w:val="es-ES" w:eastAsia="en-US"/>
              </w:rPr>
              <w:t>the</w:t>
            </w:r>
            <w:proofErr w:type="spellEnd"/>
            <w:r>
              <w:rPr>
                <w:rFonts w:eastAsia="Calibri"/>
                <w:sz w:val="22"/>
                <w:szCs w:val="22"/>
                <w:lang w:val="es-ES" w:eastAsia="en-US"/>
              </w:rPr>
              <w:t xml:space="preserve"> </w:t>
            </w:r>
            <w:proofErr w:type="spellStart"/>
            <w:r>
              <w:rPr>
                <w:rFonts w:eastAsia="Calibri"/>
                <w:sz w:val="22"/>
                <w:szCs w:val="22"/>
                <w:lang w:val="es-ES" w:eastAsia="en-US"/>
              </w:rPr>
              <w:t>successful</w:t>
            </w:r>
            <w:proofErr w:type="spellEnd"/>
            <w:r>
              <w:rPr>
                <w:rFonts w:eastAsia="Calibri"/>
                <w:sz w:val="22"/>
                <w:szCs w:val="22"/>
                <w:lang w:val="es-ES" w:eastAsia="en-US"/>
              </w:rPr>
              <w:t xml:space="preserve"> </w:t>
            </w:r>
            <w:proofErr w:type="spellStart"/>
            <w:r>
              <w:rPr>
                <w:rFonts w:eastAsia="Calibri"/>
                <w:sz w:val="22"/>
                <w:szCs w:val="22"/>
                <w:lang w:val="es-ES" w:eastAsia="en-US"/>
              </w:rPr>
              <w:t>bidder</w:t>
            </w:r>
            <w:proofErr w:type="spellEnd"/>
            <w:r>
              <w:rPr>
                <w:rFonts w:eastAsia="Calibri"/>
                <w:sz w:val="22"/>
                <w:szCs w:val="22"/>
                <w:lang w:val="es-ES" w:eastAsia="en-US"/>
              </w:rPr>
              <w:t xml:space="preserve">, </w:t>
            </w:r>
            <w:proofErr w:type="spellStart"/>
            <w:r>
              <w:rPr>
                <w:rFonts w:eastAsia="Calibri"/>
                <w:sz w:val="22"/>
                <w:szCs w:val="22"/>
                <w:lang w:val="es-ES" w:eastAsia="en-US"/>
              </w:rPr>
              <w:t>who</w:t>
            </w:r>
            <w:proofErr w:type="spellEnd"/>
            <w:r>
              <w:rPr>
                <w:rFonts w:eastAsia="Calibri"/>
                <w:sz w:val="22"/>
                <w:szCs w:val="22"/>
                <w:lang w:val="es-ES" w:eastAsia="en-US"/>
              </w:rPr>
              <w:t xml:space="preserve"> </w:t>
            </w:r>
            <w:proofErr w:type="spellStart"/>
            <w:r>
              <w:rPr>
                <w:rFonts w:eastAsia="Calibri"/>
                <w:sz w:val="22"/>
                <w:szCs w:val="22"/>
                <w:lang w:val="es-ES" w:eastAsia="en-US"/>
              </w:rPr>
              <w:t>will</w:t>
            </w:r>
            <w:proofErr w:type="spellEnd"/>
            <w:r>
              <w:rPr>
                <w:rFonts w:eastAsia="Calibri"/>
                <w:sz w:val="22"/>
                <w:szCs w:val="22"/>
                <w:lang w:val="es-ES" w:eastAsia="en-US"/>
              </w:rPr>
              <w:t xml:space="preserve"> be </w:t>
            </w:r>
            <w:proofErr w:type="spellStart"/>
            <w:r>
              <w:rPr>
                <w:rFonts w:eastAsia="Calibri"/>
                <w:sz w:val="22"/>
                <w:szCs w:val="22"/>
                <w:lang w:val="es-ES" w:eastAsia="en-US"/>
              </w:rPr>
              <w:t>responsible</w:t>
            </w:r>
            <w:proofErr w:type="spellEnd"/>
            <w:r>
              <w:rPr>
                <w:rFonts w:eastAsia="Calibri"/>
                <w:sz w:val="22"/>
                <w:szCs w:val="22"/>
                <w:lang w:val="es-ES" w:eastAsia="en-US"/>
              </w:rPr>
              <w:t xml:space="preserve"> </w:t>
            </w:r>
            <w:proofErr w:type="spellStart"/>
            <w:r>
              <w:rPr>
                <w:rFonts w:eastAsia="Calibri"/>
                <w:sz w:val="22"/>
                <w:szCs w:val="22"/>
                <w:lang w:val="es-ES" w:eastAsia="en-US"/>
              </w:rPr>
              <w:t>for</w:t>
            </w:r>
            <w:proofErr w:type="spellEnd"/>
            <w:r>
              <w:rPr>
                <w:rFonts w:eastAsia="Calibri"/>
                <w:sz w:val="22"/>
                <w:szCs w:val="22"/>
                <w:lang w:val="es-ES" w:eastAsia="en-US"/>
              </w:rPr>
              <w:t xml:space="preserve"> </w:t>
            </w:r>
            <w:proofErr w:type="spellStart"/>
            <w:r>
              <w:rPr>
                <w:rFonts w:eastAsia="Calibri"/>
                <w:sz w:val="22"/>
                <w:szCs w:val="22"/>
                <w:lang w:val="es-ES" w:eastAsia="en-US"/>
              </w:rPr>
              <w:t>the</w:t>
            </w:r>
            <w:proofErr w:type="spellEnd"/>
            <w:r>
              <w:rPr>
                <w:rFonts w:eastAsia="Calibri"/>
                <w:sz w:val="22"/>
                <w:szCs w:val="22"/>
                <w:lang w:val="es-ES" w:eastAsia="en-US"/>
              </w:rPr>
              <w:t xml:space="preserve"> </w:t>
            </w:r>
            <w:proofErr w:type="spellStart"/>
            <w:r>
              <w:rPr>
                <w:rFonts w:eastAsia="Calibri"/>
                <w:sz w:val="22"/>
                <w:szCs w:val="22"/>
                <w:lang w:val="es-ES" w:eastAsia="en-US"/>
              </w:rPr>
              <w:t>removal</w:t>
            </w:r>
            <w:proofErr w:type="spellEnd"/>
            <w:r>
              <w:rPr>
                <w:rFonts w:eastAsia="Calibri"/>
                <w:sz w:val="22"/>
                <w:szCs w:val="22"/>
                <w:lang w:val="es-ES" w:eastAsia="en-US"/>
              </w:rPr>
              <w:t xml:space="preserve"> </w:t>
            </w:r>
            <w:proofErr w:type="spellStart"/>
            <w:r>
              <w:rPr>
                <w:rFonts w:eastAsia="Calibri"/>
                <w:sz w:val="22"/>
                <w:szCs w:val="22"/>
                <w:lang w:val="es-ES" w:eastAsia="en-US"/>
              </w:rPr>
              <w:t>of</w:t>
            </w:r>
            <w:proofErr w:type="spellEnd"/>
            <w:r>
              <w:rPr>
                <w:rFonts w:eastAsia="Calibri"/>
                <w:sz w:val="22"/>
                <w:szCs w:val="22"/>
                <w:lang w:val="es-ES" w:eastAsia="en-US"/>
              </w:rPr>
              <w:t xml:space="preserve"> </w:t>
            </w:r>
            <w:proofErr w:type="spellStart"/>
            <w:r>
              <w:rPr>
                <w:rFonts w:eastAsia="Calibri"/>
                <w:sz w:val="22"/>
                <w:szCs w:val="22"/>
                <w:lang w:val="es-ES" w:eastAsia="en-US"/>
              </w:rPr>
              <w:t>the</w:t>
            </w:r>
            <w:proofErr w:type="spellEnd"/>
            <w:r>
              <w:rPr>
                <w:rFonts w:eastAsia="Calibri"/>
                <w:sz w:val="22"/>
                <w:szCs w:val="22"/>
                <w:lang w:val="es-ES" w:eastAsia="en-US"/>
              </w:rPr>
              <w:t xml:space="preserve"> defective </w:t>
            </w:r>
            <w:proofErr w:type="spellStart"/>
            <w:r>
              <w:rPr>
                <w:rFonts w:eastAsia="Calibri"/>
                <w:sz w:val="22"/>
                <w:szCs w:val="22"/>
                <w:lang w:val="es-ES" w:eastAsia="en-US"/>
              </w:rPr>
              <w:t>ones</w:t>
            </w:r>
            <w:proofErr w:type="spellEnd"/>
            <w:r>
              <w:rPr>
                <w:rFonts w:eastAsia="Calibri"/>
                <w:sz w:val="22"/>
                <w:szCs w:val="22"/>
                <w:lang w:val="es-ES" w:eastAsia="en-US"/>
              </w:rPr>
              <w:t xml:space="preserve"> and </w:t>
            </w:r>
            <w:proofErr w:type="spellStart"/>
            <w:r>
              <w:rPr>
                <w:rFonts w:eastAsia="Calibri"/>
                <w:sz w:val="22"/>
                <w:szCs w:val="22"/>
                <w:lang w:val="es-ES" w:eastAsia="en-US"/>
              </w:rPr>
              <w:t>the</w:t>
            </w:r>
            <w:proofErr w:type="spellEnd"/>
            <w:r>
              <w:rPr>
                <w:rFonts w:eastAsia="Calibri"/>
                <w:sz w:val="22"/>
                <w:szCs w:val="22"/>
                <w:lang w:val="es-ES" w:eastAsia="en-US"/>
              </w:rPr>
              <w:t xml:space="preserve"> </w:t>
            </w:r>
            <w:proofErr w:type="spellStart"/>
            <w:r>
              <w:rPr>
                <w:rFonts w:eastAsia="Calibri"/>
                <w:sz w:val="22"/>
                <w:szCs w:val="22"/>
                <w:lang w:val="es-ES" w:eastAsia="en-US"/>
              </w:rPr>
              <w:t>delivery</w:t>
            </w:r>
            <w:proofErr w:type="spellEnd"/>
            <w:r>
              <w:rPr>
                <w:rFonts w:eastAsia="Calibri"/>
                <w:sz w:val="22"/>
                <w:szCs w:val="22"/>
                <w:lang w:val="es-ES" w:eastAsia="en-US"/>
              </w:rPr>
              <w:t xml:space="preserve"> </w:t>
            </w:r>
            <w:proofErr w:type="spellStart"/>
            <w:r>
              <w:rPr>
                <w:rFonts w:eastAsia="Calibri"/>
                <w:sz w:val="22"/>
                <w:szCs w:val="22"/>
                <w:lang w:val="es-ES" w:eastAsia="en-US"/>
              </w:rPr>
              <w:t>of</w:t>
            </w:r>
            <w:proofErr w:type="spellEnd"/>
            <w:r>
              <w:rPr>
                <w:rFonts w:eastAsia="Calibri"/>
                <w:sz w:val="22"/>
                <w:szCs w:val="22"/>
                <w:lang w:val="es-ES" w:eastAsia="en-US"/>
              </w:rPr>
              <w:t xml:space="preserve"> </w:t>
            </w:r>
            <w:proofErr w:type="spellStart"/>
            <w:r>
              <w:rPr>
                <w:rFonts w:eastAsia="Calibri"/>
                <w:sz w:val="22"/>
                <w:szCs w:val="22"/>
                <w:lang w:val="es-ES" w:eastAsia="en-US"/>
              </w:rPr>
              <w:t>the</w:t>
            </w:r>
            <w:proofErr w:type="spellEnd"/>
            <w:r>
              <w:rPr>
                <w:rFonts w:eastAsia="Calibri"/>
                <w:sz w:val="22"/>
                <w:szCs w:val="22"/>
                <w:lang w:val="es-ES" w:eastAsia="en-US"/>
              </w:rPr>
              <w:t xml:space="preserve"> new </w:t>
            </w:r>
            <w:proofErr w:type="spellStart"/>
            <w:r>
              <w:rPr>
                <w:rFonts w:eastAsia="Calibri"/>
                <w:sz w:val="22"/>
                <w:szCs w:val="22"/>
                <w:lang w:val="es-ES" w:eastAsia="en-US"/>
              </w:rPr>
              <w:t>ones</w:t>
            </w:r>
            <w:proofErr w:type="spellEnd"/>
            <w:r>
              <w:rPr>
                <w:rFonts w:eastAsia="Calibri"/>
                <w:sz w:val="22"/>
                <w:szCs w:val="22"/>
                <w:lang w:val="es-ES" w:eastAsia="en-US"/>
              </w:rPr>
              <w:t xml:space="preserve"> at no </w:t>
            </w:r>
            <w:proofErr w:type="spellStart"/>
            <w:r>
              <w:rPr>
                <w:rFonts w:eastAsia="Calibri"/>
                <w:sz w:val="22"/>
                <w:szCs w:val="22"/>
                <w:lang w:val="es-ES" w:eastAsia="en-US"/>
              </w:rPr>
              <w:t>cost</w:t>
            </w:r>
            <w:proofErr w:type="spellEnd"/>
            <w:r>
              <w:rPr>
                <w:rFonts w:eastAsia="Calibri"/>
                <w:sz w:val="22"/>
                <w:szCs w:val="22"/>
                <w:lang w:val="es-ES" w:eastAsia="en-US"/>
              </w:rPr>
              <w:t xml:space="preserve"> </w:t>
            </w:r>
            <w:proofErr w:type="spellStart"/>
            <w:r>
              <w:rPr>
                <w:rFonts w:eastAsia="Calibri"/>
                <w:sz w:val="22"/>
                <w:szCs w:val="22"/>
                <w:lang w:val="es-ES" w:eastAsia="en-US"/>
              </w:rPr>
              <w:t>to</w:t>
            </w:r>
            <w:proofErr w:type="spellEnd"/>
            <w:r>
              <w:rPr>
                <w:rFonts w:eastAsia="Calibri"/>
                <w:sz w:val="22"/>
                <w:szCs w:val="22"/>
                <w:lang w:val="es-ES" w:eastAsia="en-US"/>
              </w:rPr>
              <w:t xml:space="preserve"> OSE, </w:t>
            </w:r>
            <w:proofErr w:type="spellStart"/>
            <w:r>
              <w:rPr>
                <w:rFonts w:eastAsia="Calibri"/>
                <w:sz w:val="22"/>
                <w:szCs w:val="22"/>
                <w:lang w:val="es-ES" w:eastAsia="en-US"/>
              </w:rPr>
              <w:t>within</w:t>
            </w:r>
            <w:proofErr w:type="spellEnd"/>
            <w:r>
              <w:rPr>
                <w:rFonts w:eastAsia="Calibri"/>
                <w:sz w:val="22"/>
                <w:szCs w:val="22"/>
                <w:lang w:val="es-ES" w:eastAsia="en-US"/>
              </w:rPr>
              <w:t xml:space="preserve"> a </w:t>
            </w:r>
            <w:proofErr w:type="spellStart"/>
            <w:r>
              <w:rPr>
                <w:rFonts w:eastAsia="Calibri"/>
                <w:sz w:val="22"/>
                <w:szCs w:val="22"/>
                <w:lang w:val="es-ES" w:eastAsia="en-US"/>
              </w:rPr>
              <w:t>maximum</w:t>
            </w:r>
            <w:proofErr w:type="spellEnd"/>
            <w:r>
              <w:rPr>
                <w:rFonts w:eastAsia="Calibri"/>
                <w:sz w:val="22"/>
                <w:szCs w:val="22"/>
                <w:lang w:val="es-ES" w:eastAsia="en-US"/>
              </w:rPr>
              <w:t xml:space="preserve"> </w:t>
            </w:r>
            <w:proofErr w:type="spellStart"/>
            <w:r>
              <w:rPr>
                <w:rFonts w:eastAsia="Calibri"/>
                <w:sz w:val="22"/>
                <w:szCs w:val="22"/>
                <w:lang w:val="es-ES" w:eastAsia="en-US"/>
              </w:rPr>
              <w:t>period</w:t>
            </w:r>
            <w:proofErr w:type="spellEnd"/>
            <w:r>
              <w:rPr>
                <w:rFonts w:eastAsia="Calibri"/>
                <w:sz w:val="22"/>
                <w:szCs w:val="22"/>
                <w:lang w:val="es-ES" w:eastAsia="en-US"/>
              </w:rPr>
              <w:t xml:space="preserve"> </w:t>
            </w:r>
            <w:proofErr w:type="spellStart"/>
            <w:r>
              <w:rPr>
                <w:rFonts w:eastAsia="Calibri"/>
                <w:sz w:val="22"/>
                <w:szCs w:val="22"/>
                <w:lang w:val="es-ES" w:eastAsia="en-US"/>
              </w:rPr>
              <w:t>of</w:t>
            </w:r>
            <w:proofErr w:type="spellEnd"/>
            <w:r>
              <w:rPr>
                <w:rFonts w:eastAsia="Calibri"/>
                <w:sz w:val="22"/>
                <w:szCs w:val="22"/>
                <w:lang w:val="es-ES" w:eastAsia="en-US"/>
              </w:rPr>
              <w:t xml:space="preserve"> 3 (</w:t>
            </w:r>
            <w:proofErr w:type="spellStart"/>
            <w:r>
              <w:rPr>
                <w:rFonts w:eastAsia="Calibri"/>
                <w:sz w:val="22"/>
                <w:szCs w:val="22"/>
                <w:lang w:val="es-ES" w:eastAsia="en-US"/>
              </w:rPr>
              <w:t>three</w:t>
            </w:r>
            <w:proofErr w:type="spellEnd"/>
            <w:r>
              <w:rPr>
                <w:rFonts w:eastAsia="Calibri"/>
                <w:sz w:val="22"/>
                <w:szCs w:val="22"/>
                <w:lang w:val="es-ES" w:eastAsia="en-US"/>
              </w:rPr>
              <w:t xml:space="preserve">) </w:t>
            </w:r>
            <w:proofErr w:type="spellStart"/>
            <w:r>
              <w:rPr>
                <w:rFonts w:eastAsia="Calibri"/>
                <w:sz w:val="22"/>
                <w:szCs w:val="22"/>
                <w:lang w:val="es-ES" w:eastAsia="en-US"/>
              </w:rPr>
              <w:t>months</w:t>
            </w:r>
            <w:proofErr w:type="spellEnd"/>
            <w:r>
              <w:rPr>
                <w:rFonts w:eastAsia="Calibri"/>
                <w:sz w:val="22"/>
                <w:szCs w:val="22"/>
                <w:lang w:val="es-ES" w:eastAsia="en-US"/>
              </w:rPr>
              <w:t xml:space="preserve"> </w:t>
            </w:r>
            <w:proofErr w:type="spellStart"/>
            <w:r>
              <w:rPr>
                <w:rFonts w:eastAsia="Calibri"/>
                <w:sz w:val="22"/>
                <w:szCs w:val="22"/>
                <w:lang w:val="es-ES" w:eastAsia="en-US"/>
              </w:rPr>
              <w:t>from</w:t>
            </w:r>
            <w:proofErr w:type="spellEnd"/>
            <w:r>
              <w:rPr>
                <w:rFonts w:eastAsia="Calibri"/>
                <w:sz w:val="22"/>
                <w:szCs w:val="22"/>
                <w:lang w:val="es-ES" w:eastAsia="en-US"/>
              </w:rPr>
              <w:t xml:space="preserve"> </w:t>
            </w:r>
            <w:proofErr w:type="spellStart"/>
            <w:r>
              <w:rPr>
                <w:rFonts w:eastAsia="Calibri"/>
                <w:sz w:val="22"/>
                <w:szCs w:val="22"/>
                <w:lang w:val="es-ES" w:eastAsia="en-US"/>
              </w:rPr>
              <w:t>the</w:t>
            </w:r>
            <w:proofErr w:type="spellEnd"/>
            <w:r>
              <w:rPr>
                <w:rFonts w:eastAsia="Calibri"/>
                <w:sz w:val="22"/>
                <w:szCs w:val="22"/>
                <w:lang w:val="es-ES" w:eastAsia="en-US"/>
              </w:rPr>
              <w:t xml:space="preserve"> date </w:t>
            </w:r>
            <w:proofErr w:type="spellStart"/>
            <w:r>
              <w:rPr>
                <w:rFonts w:eastAsia="Calibri"/>
                <w:sz w:val="22"/>
                <w:szCs w:val="22"/>
                <w:lang w:val="es-ES" w:eastAsia="en-US"/>
              </w:rPr>
              <w:t>on</w:t>
            </w:r>
            <w:proofErr w:type="spellEnd"/>
            <w:r>
              <w:rPr>
                <w:rFonts w:eastAsia="Calibri"/>
                <w:sz w:val="22"/>
                <w:szCs w:val="22"/>
                <w:lang w:val="es-ES" w:eastAsia="en-US"/>
              </w:rPr>
              <w:t xml:space="preserve"> </w:t>
            </w:r>
            <w:proofErr w:type="spellStart"/>
            <w:r>
              <w:rPr>
                <w:rFonts w:eastAsia="Calibri"/>
                <w:sz w:val="22"/>
                <w:szCs w:val="22"/>
                <w:lang w:val="es-ES" w:eastAsia="en-US"/>
              </w:rPr>
              <w:t>which</w:t>
            </w:r>
            <w:proofErr w:type="spellEnd"/>
            <w:r>
              <w:rPr>
                <w:rFonts w:eastAsia="Calibri"/>
                <w:sz w:val="22"/>
                <w:szCs w:val="22"/>
                <w:lang w:val="es-ES" w:eastAsia="en-US"/>
              </w:rPr>
              <w:t xml:space="preserve"> OSE </w:t>
            </w:r>
            <w:proofErr w:type="spellStart"/>
            <w:r>
              <w:rPr>
                <w:rFonts w:eastAsia="Calibri"/>
                <w:sz w:val="22"/>
                <w:szCs w:val="22"/>
                <w:lang w:val="es-ES" w:eastAsia="en-US"/>
              </w:rPr>
              <w:t>makes</w:t>
            </w:r>
            <w:proofErr w:type="spellEnd"/>
            <w:r>
              <w:rPr>
                <w:rFonts w:eastAsia="Calibri"/>
                <w:sz w:val="22"/>
                <w:szCs w:val="22"/>
                <w:lang w:val="es-ES" w:eastAsia="en-US"/>
              </w:rPr>
              <w:t xml:space="preserve"> </w:t>
            </w:r>
            <w:proofErr w:type="spellStart"/>
            <w:r>
              <w:rPr>
                <w:rFonts w:eastAsia="Calibri"/>
                <w:sz w:val="22"/>
                <w:szCs w:val="22"/>
                <w:lang w:val="es-ES" w:eastAsia="en-US"/>
              </w:rPr>
              <w:t>the</w:t>
            </w:r>
            <w:proofErr w:type="spellEnd"/>
            <w:r>
              <w:rPr>
                <w:rFonts w:eastAsia="Calibri"/>
                <w:sz w:val="22"/>
                <w:szCs w:val="22"/>
                <w:lang w:val="es-ES" w:eastAsia="en-US"/>
              </w:rPr>
              <w:t xml:space="preserve"> </w:t>
            </w:r>
            <w:proofErr w:type="spellStart"/>
            <w:r>
              <w:rPr>
                <w:rFonts w:eastAsia="Calibri"/>
                <w:sz w:val="22"/>
                <w:szCs w:val="22"/>
                <w:lang w:val="es-ES" w:eastAsia="en-US"/>
              </w:rPr>
              <w:t>claim</w:t>
            </w:r>
            <w:proofErr w:type="spellEnd"/>
            <w:r>
              <w:rPr>
                <w:rFonts w:eastAsia="Calibri"/>
                <w:sz w:val="22"/>
                <w:szCs w:val="22"/>
                <w:lang w:val="es-ES" w:eastAsia="en-US"/>
              </w:rPr>
              <w:t>.</w:t>
            </w:r>
          </w:p>
          <w:p w14:paraId="7A62148B" w14:textId="77777777" w:rsidR="00E255F4" w:rsidRDefault="00000000">
            <w:pPr>
              <w:pStyle w:val="Prrafodelista"/>
              <w:tabs>
                <w:tab w:val="left" w:pos="419"/>
              </w:tabs>
              <w:spacing w:line="240" w:lineRule="auto"/>
              <w:ind w:left="419" w:right="311"/>
              <w:jc w:val="both"/>
            </w:pPr>
            <w:proofErr w:type="spellStart"/>
            <w:r>
              <w:rPr>
                <w:rFonts w:eastAsia="Calibri"/>
                <w:sz w:val="22"/>
                <w:szCs w:val="22"/>
                <w:lang w:val="es-ES" w:eastAsia="en-US"/>
              </w:rPr>
              <w:lastRenderedPageBreak/>
              <w:t>If</w:t>
            </w:r>
            <w:proofErr w:type="spellEnd"/>
            <w:r>
              <w:rPr>
                <w:rFonts w:eastAsia="Calibri"/>
                <w:sz w:val="22"/>
                <w:szCs w:val="22"/>
                <w:lang w:val="es-ES" w:eastAsia="en-US"/>
              </w:rPr>
              <w:t xml:space="preserve"> </w:t>
            </w:r>
            <w:proofErr w:type="spellStart"/>
            <w:r>
              <w:rPr>
                <w:rFonts w:eastAsia="Calibri"/>
                <w:sz w:val="22"/>
                <w:szCs w:val="22"/>
                <w:lang w:val="es-ES" w:eastAsia="en-US"/>
              </w:rPr>
              <w:t>you</w:t>
            </w:r>
            <w:proofErr w:type="spellEnd"/>
            <w:r>
              <w:rPr>
                <w:rFonts w:eastAsia="Calibri"/>
                <w:sz w:val="22"/>
                <w:szCs w:val="22"/>
                <w:lang w:val="es-ES" w:eastAsia="en-US"/>
              </w:rPr>
              <w:t xml:space="preserve"> are a </w:t>
            </w:r>
            <w:proofErr w:type="spellStart"/>
            <w:r>
              <w:rPr>
                <w:rFonts w:eastAsia="Calibri"/>
                <w:sz w:val="22"/>
                <w:szCs w:val="22"/>
                <w:lang w:val="es-ES" w:eastAsia="en-US"/>
              </w:rPr>
              <w:t>supplier</w:t>
            </w:r>
            <w:proofErr w:type="spellEnd"/>
            <w:r>
              <w:rPr>
                <w:rFonts w:eastAsia="Calibri"/>
                <w:sz w:val="22"/>
                <w:szCs w:val="22"/>
                <w:lang w:val="es-ES" w:eastAsia="en-US"/>
              </w:rPr>
              <w:t xml:space="preserve">, </w:t>
            </w:r>
            <w:proofErr w:type="spellStart"/>
            <w:r>
              <w:rPr>
                <w:rFonts w:eastAsia="Calibri"/>
                <w:sz w:val="22"/>
                <w:szCs w:val="22"/>
                <w:lang w:val="es-ES" w:eastAsia="en-US"/>
              </w:rPr>
              <w:t>the</w:t>
            </w:r>
            <w:proofErr w:type="spellEnd"/>
            <w:r>
              <w:rPr>
                <w:rFonts w:eastAsia="Calibri"/>
                <w:sz w:val="22"/>
                <w:szCs w:val="22"/>
                <w:lang w:val="es-ES" w:eastAsia="en-US"/>
              </w:rPr>
              <w:t xml:space="preserve"> </w:t>
            </w:r>
            <w:proofErr w:type="spellStart"/>
            <w:r>
              <w:rPr>
                <w:rFonts w:eastAsia="Calibri"/>
                <w:sz w:val="22"/>
                <w:szCs w:val="22"/>
                <w:lang w:val="es-ES" w:eastAsia="en-US"/>
              </w:rPr>
              <w:t>warranty</w:t>
            </w:r>
            <w:proofErr w:type="spellEnd"/>
            <w:r>
              <w:rPr>
                <w:rFonts w:eastAsia="Calibri"/>
                <w:sz w:val="22"/>
                <w:szCs w:val="22"/>
                <w:lang w:val="es-ES" w:eastAsia="en-US"/>
              </w:rPr>
              <w:t xml:space="preserve"> </w:t>
            </w:r>
            <w:proofErr w:type="spellStart"/>
            <w:r>
              <w:rPr>
                <w:rFonts w:eastAsia="Calibri"/>
                <w:sz w:val="22"/>
                <w:szCs w:val="22"/>
                <w:lang w:val="es-ES" w:eastAsia="en-US"/>
              </w:rPr>
              <w:t>documents</w:t>
            </w:r>
            <w:proofErr w:type="spellEnd"/>
            <w:r>
              <w:rPr>
                <w:rFonts w:eastAsia="Calibri"/>
                <w:sz w:val="22"/>
                <w:szCs w:val="22"/>
                <w:lang w:val="es-ES" w:eastAsia="en-US"/>
              </w:rPr>
              <w:t xml:space="preserve"> </w:t>
            </w:r>
            <w:proofErr w:type="spellStart"/>
            <w:r>
              <w:rPr>
                <w:rFonts w:eastAsia="Calibri"/>
                <w:sz w:val="22"/>
                <w:szCs w:val="22"/>
                <w:lang w:val="es-ES" w:eastAsia="en-US"/>
              </w:rPr>
              <w:t>must</w:t>
            </w:r>
            <w:proofErr w:type="spellEnd"/>
            <w:r>
              <w:rPr>
                <w:rFonts w:eastAsia="Calibri"/>
                <w:sz w:val="22"/>
                <w:szCs w:val="22"/>
                <w:lang w:val="es-ES" w:eastAsia="en-US"/>
              </w:rPr>
              <w:t xml:space="preserve"> be </w:t>
            </w:r>
            <w:proofErr w:type="spellStart"/>
            <w:r>
              <w:rPr>
                <w:rFonts w:eastAsia="Calibri"/>
                <w:sz w:val="22"/>
                <w:szCs w:val="22"/>
                <w:lang w:val="es-ES" w:eastAsia="en-US"/>
              </w:rPr>
              <w:t>delivered</w:t>
            </w:r>
            <w:proofErr w:type="spellEnd"/>
            <w:r>
              <w:rPr>
                <w:rFonts w:eastAsia="Calibri"/>
                <w:sz w:val="22"/>
                <w:szCs w:val="22"/>
                <w:lang w:val="es-ES" w:eastAsia="en-US"/>
              </w:rPr>
              <w:t xml:space="preserve"> </w:t>
            </w:r>
            <w:proofErr w:type="spellStart"/>
            <w:r>
              <w:rPr>
                <w:rFonts w:eastAsia="Calibri"/>
                <w:sz w:val="22"/>
                <w:szCs w:val="22"/>
                <w:lang w:val="es-ES" w:eastAsia="en-US"/>
              </w:rPr>
              <w:t>along</w:t>
            </w:r>
            <w:proofErr w:type="spellEnd"/>
            <w:r>
              <w:rPr>
                <w:rFonts w:eastAsia="Calibri"/>
                <w:sz w:val="22"/>
                <w:szCs w:val="22"/>
                <w:lang w:val="es-ES" w:eastAsia="en-US"/>
              </w:rPr>
              <w:t xml:space="preserve"> </w:t>
            </w:r>
            <w:proofErr w:type="spellStart"/>
            <w:r>
              <w:rPr>
                <w:rFonts w:eastAsia="Calibri"/>
                <w:sz w:val="22"/>
                <w:szCs w:val="22"/>
                <w:lang w:val="es-ES" w:eastAsia="en-US"/>
              </w:rPr>
              <w:t>with</w:t>
            </w:r>
            <w:proofErr w:type="spellEnd"/>
            <w:r>
              <w:rPr>
                <w:rFonts w:eastAsia="Calibri"/>
                <w:sz w:val="22"/>
                <w:szCs w:val="22"/>
                <w:lang w:val="es-ES" w:eastAsia="en-US"/>
              </w:rPr>
              <w:t xml:space="preserve"> </w:t>
            </w:r>
            <w:proofErr w:type="spellStart"/>
            <w:r>
              <w:rPr>
                <w:rFonts w:eastAsia="Calibri"/>
                <w:sz w:val="22"/>
                <w:szCs w:val="22"/>
                <w:lang w:val="es-ES" w:eastAsia="en-US"/>
              </w:rPr>
              <w:t>the</w:t>
            </w:r>
            <w:proofErr w:type="spellEnd"/>
            <w:r>
              <w:rPr>
                <w:rFonts w:eastAsia="Calibri"/>
                <w:sz w:val="22"/>
                <w:szCs w:val="22"/>
                <w:lang w:val="es-ES" w:eastAsia="en-US"/>
              </w:rPr>
              <w:t xml:space="preserve"> </w:t>
            </w:r>
            <w:proofErr w:type="spellStart"/>
            <w:r>
              <w:rPr>
                <w:rFonts w:eastAsia="Calibri"/>
                <w:sz w:val="22"/>
                <w:szCs w:val="22"/>
                <w:lang w:val="es-ES" w:eastAsia="en-US"/>
              </w:rPr>
              <w:t>batch</w:t>
            </w:r>
            <w:proofErr w:type="spellEnd"/>
            <w:r>
              <w:rPr>
                <w:rFonts w:eastAsia="Calibri"/>
                <w:sz w:val="22"/>
                <w:szCs w:val="22"/>
                <w:lang w:val="es-ES" w:eastAsia="en-US"/>
              </w:rPr>
              <w:t xml:space="preserve">, and </w:t>
            </w:r>
            <w:proofErr w:type="spellStart"/>
            <w:r>
              <w:rPr>
                <w:rFonts w:eastAsia="Calibri"/>
                <w:sz w:val="22"/>
                <w:szCs w:val="22"/>
                <w:lang w:val="es-ES" w:eastAsia="en-US"/>
              </w:rPr>
              <w:t>the</w:t>
            </w:r>
            <w:proofErr w:type="spellEnd"/>
            <w:r>
              <w:rPr>
                <w:rFonts w:eastAsia="Calibri"/>
                <w:sz w:val="22"/>
                <w:szCs w:val="22"/>
                <w:lang w:val="es-ES" w:eastAsia="en-US"/>
              </w:rPr>
              <w:t xml:space="preserve"> </w:t>
            </w:r>
            <w:proofErr w:type="spellStart"/>
            <w:r>
              <w:rPr>
                <w:rFonts w:eastAsia="Calibri"/>
                <w:sz w:val="22"/>
                <w:szCs w:val="22"/>
                <w:lang w:val="es-ES" w:eastAsia="en-US"/>
              </w:rPr>
              <w:t>numbering</w:t>
            </w:r>
            <w:proofErr w:type="spellEnd"/>
            <w:r>
              <w:rPr>
                <w:rFonts w:eastAsia="Calibri"/>
                <w:sz w:val="22"/>
                <w:szCs w:val="22"/>
                <w:lang w:val="es-ES" w:eastAsia="en-US"/>
              </w:rPr>
              <w:t xml:space="preserve"> </w:t>
            </w:r>
            <w:proofErr w:type="spellStart"/>
            <w:r>
              <w:rPr>
                <w:rFonts w:eastAsia="Calibri"/>
                <w:sz w:val="22"/>
                <w:szCs w:val="22"/>
                <w:lang w:val="es-ES" w:eastAsia="en-US"/>
              </w:rPr>
              <w:t>or</w:t>
            </w:r>
            <w:proofErr w:type="spellEnd"/>
            <w:r>
              <w:rPr>
                <w:rFonts w:eastAsia="Calibri"/>
                <w:sz w:val="22"/>
                <w:szCs w:val="22"/>
                <w:lang w:val="es-ES" w:eastAsia="en-US"/>
              </w:rPr>
              <w:t xml:space="preserve"> </w:t>
            </w:r>
            <w:proofErr w:type="spellStart"/>
            <w:r>
              <w:rPr>
                <w:rFonts w:eastAsia="Calibri"/>
                <w:sz w:val="22"/>
                <w:szCs w:val="22"/>
                <w:lang w:val="es-ES" w:eastAsia="en-US"/>
              </w:rPr>
              <w:t>numbering</w:t>
            </w:r>
            <w:proofErr w:type="spellEnd"/>
            <w:r>
              <w:rPr>
                <w:rFonts w:eastAsia="Calibri"/>
                <w:sz w:val="22"/>
                <w:szCs w:val="22"/>
                <w:lang w:val="es-ES" w:eastAsia="en-US"/>
              </w:rPr>
              <w:t xml:space="preserve"> </w:t>
            </w:r>
            <w:proofErr w:type="spellStart"/>
            <w:r>
              <w:rPr>
                <w:rFonts w:eastAsia="Calibri"/>
                <w:sz w:val="22"/>
                <w:szCs w:val="22"/>
                <w:lang w:val="es-ES" w:eastAsia="en-US"/>
              </w:rPr>
              <w:t>ranges</w:t>
            </w:r>
            <w:proofErr w:type="spellEnd"/>
            <w:r>
              <w:rPr>
                <w:rFonts w:eastAsia="Calibri"/>
                <w:sz w:val="22"/>
                <w:szCs w:val="22"/>
                <w:lang w:val="es-ES" w:eastAsia="en-US"/>
              </w:rPr>
              <w:t xml:space="preserve"> </w:t>
            </w:r>
            <w:proofErr w:type="spellStart"/>
            <w:r>
              <w:rPr>
                <w:rFonts w:eastAsia="Calibri"/>
                <w:sz w:val="22"/>
                <w:szCs w:val="22"/>
                <w:lang w:val="es-ES" w:eastAsia="en-US"/>
              </w:rPr>
              <w:t>of</w:t>
            </w:r>
            <w:proofErr w:type="spellEnd"/>
            <w:r>
              <w:rPr>
                <w:rFonts w:eastAsia="Calibri"/>
                <w:sz w:val="22"/>
                <w:szCs w:val="22"/>
                <w:lang w:val="es-ES" w:eastAsia="en-US"/>
              </w:rPr>
              <w:t xml:space="preserve"> </w:t>
            </w:r>
            <w:proofErr w:type="spellStart"/>
            <w:r>
              <w:rPr>
                <w:rFonts w:eastAsia="Calibri"/>
                <w:sz w:val="22"/>
                <w:szCs w:val="22"/>
                <w:lang w:val="es-ES" w:eastAsia="en-US"/>
              </w:rPr>
              <w:t>the</w:t>
            </w:r>
            <w:proofErr w:type="spellEnd"/>
            <w:r>
              <w:rPr>
                <w:rFonts w:eastAsia="Calibri"/>
                <w:sz w:val="22"/>
                <w:szCs w:val="22"/>
                <w:lang w:val="es-ES" w:eastAsia="en-US"/>
              </w:rPr>
              <w:t xml:space="preserve"> </w:t>
            </w:r>
            <w:proofErr w:type="spellStart"/>
            <w:r>
              <w:rPr>
                <w:rFonts w:eastAsia="Calibri"/>
                <w:sz w:val="22"/>
                <w:szCs w:val="22"/>
                <w:lang w:val="es-ES" w:eastAsia="en-US"/>
              </w:rPr>
              <w:t>integrated</w:t>
            </w:r>
            <w:proofErr w:type="spellEnd"/>
            <w:r>
              <w:rPr>
                <w:rFonts w:eastAsia="Calibri"/>
                <w:sz w:val="22"/>
                <w:szCs w:val="22"/>
                <w:lang w:val="es-ES" w:eastAsia="en-US"/>
              </w:rPr>
              <w:t xml:space="preserve"> </w:t>
            </w:r>
            <w:proofErr w:type="spellStart"/>
            <w:r>
              <w:rPr>
                <w:rFonts w:eastAsia="Calibri"/>
                <w:sz w:val="22"/>
                <w:szCs w:val="22"/>
                <w:lang w:val="es-ES" w:eastAsia="en-US"/>
              </w:rPr>
              <w:t>smart</w:t>
            </w:r>
            <w:proofErr w:type="spellEnd"/>
            <w:r>
              <w:rPr>
                <w:rFonts w:eastAsia="Calibri"/>
                <w:sz w:val="22"/>
                <w:szCs w:val="22"/>
                <w:lang w:val="es-ES" w:eastAsia="en-US"/>
              </w:rPr>
              <w:t xml:space="preserve"> </w:t>
            </w:r>
            <w:proofErr w:type="spellStart"/>
            <w:r>
              <w:rPr>
                <w:rFonts w:eastAsia="Calibri"/>
                <w:sz w:val="22"/>
                <w:szCs w:val="22"/>
                <w:lang w:val="es-ES" w:eastAsia="en-US"/>
              </w:rPr>
              <w:t>meters</w:t>
            </w:r>
            <w:proofErr w:type="spellEnd"/>
            <w:r>
              <w:rPr>
                <w:rFonts w:eastAsia="Calibri"/>
                <w:sz w:val="22"/>
                <w:szCs w:val="22"/>
                <w:lang w:val="es-ES" w:eastAsia="en-US"/>
              </w:rPr>
              <w:t xml:space="preserve"> </w:t>
            </w:r>
            <w:proofErr w:type="spellStart"/>
            <w:r>
              <w:rPr>
                <w:rFonts w:eastAsia="Calibri"/>
                <w:sz w:val="22"/>
                <w:szCs w:val="22"/>
                <w:lang w:val="es-ES" w:eastAsia="en-US"/>
              </w:rPr>
              <w:t>to</w:t>
            </w:r>
            <w:proofErr w:type="spellEnd"/>
            <w:r>
              <w:rPr>
                <w:rFonts w:eastAsia="Calibri"/>
                <w:sz w:val="22"/>
                <w:szCs w:val="22"/>
                <w:lang w:val="es-ES" w:eastAsia="en-US"/>
              </w:rPr>
              <w:t xml:space="preserve"> </w:t>
            </w:r>
            <w:proofErr w:type="spellStart"/>
            <w:r>
              <w:rPr>
                <w:rFonts w:eastAsia="Calibri"/>
                <w:sz w:val="22"/>
                <w:szCs w:val="22"/>
                <w:lang w:val="es-ES" w:eastAsia="en-US"/>
              </w:rPr>
              <w:t>which</w:t>
            </w:r>
            <w:proofErr w:type="spellEnd"/>
            <w:r>
              <w:rPr>
                <w:rFonts w:eastAsia="Calibri"/>
                <w:sz w:val="22"/>
                <w:szCs w:val="22"/>
                <w:lang w:val="es-ES" w:eastAsia="en-US"/>
              </w:rPr>
              <w:t xml:space="preserve"> </w:t>
            </w:r>
            <w:proofErr w:type="spellStart"/>
            <w:r>
              <w:rPr>
                <w:rFonts w:eastAsia="Calibri"/>
                <w:sz w:val="22"/>
                <w:szCs w:val="22"/>
                <w:lang w:val="es-ES" w:eastAsia="en-US"/>
              </w:rPr>
              <w:t>they</w:t>
            </w:r>
            <w:proofErr w:type="spellEnd"/>
            <w:r>
              <w:rPr>
                <w:rFonts w:eastAsia="Calibri"/>
                <w:sz w:val="22"/>
                <w:szCs w:val="22"/>
                <w:lang w:val="es-ES" w:eastAsia="en-US"/>
              </w:rPr>
              <w:t xml:space="preserve"> </w:t>
            </w:r>
            <w:proofErr w:type="spellStart"/>
            <w:r>
              <w:rPr>
                <w:rFonts w:eastAsia="Calibri"/>
                <w:sz w:val="22"/>
                <w:szCs w:val="22"/>
                <w:lang w:val="es-ES" w:eastAsia="en-US"/>
              </w:rPr>
              <w:t>refer</w:t>
            </w:r>
            <w:proofErr w:type="spellEnd"/>
            <w:r>
              <w:rPr>
                <w:rFonts w:eastAsia="Calibri"/>
                <w:sz w:val="22"/>
                <w:szCs w:val="22"/>
                <w:lang w:val="es-ES" w:eastAsia="en-US"/>
              </w:rPr>
              <w:t xml:space="preserve"> </w:t>
            </w:r>
            <w:proofErr w:type="spellStart"/>
            <w:r>
              <w:rPr>
                <w:rFonts w:eastAsia="Calibri"/>
                <w:sz w:val="22"/>
                <w:szCs w:val="22"/>
                <w:lang w:val="es-ES" w:eastAsia="en-US"/>
              </w:rPr>
              <w:t>must</w:t>
            </w:r>
            <w:proofErr w:type="spellEnd"/>
            <w:r>
              <w:rPr>
                <w:rFonts w:eastAsia="Calibri"/>
                <w:sz w:val="22"/>
                <w:szCs w:val="22"/>
                <w:lang w:val="es-ES" w:eastAsia="en-US"/>
              </w:rPr>
              <w:t xml:space="preserve"> be </w:t>
            </w:r>
            <w:proofErr w:type="spellStart"/>
            <w:r>
              <w:rPr>
                <w:rFonts w:eastAsia="Calibri"/>
                <w:sz w:val="22"/>
                <w:szCs w:val="22"/>
                <w:lang w:val="es-ES" w:eastAsia="en-US"/>
              </w:rPr>
              <w:t>specified</w:t>
            </w:r>
            <w:proofErr w:type="spellEnd"/>
            <w:r>
              <w:rPr>
                <w:rFonts w:eastAsia="Calibri"/>
                <w:sz w:val="22"/>
                <w:szCs w:val="22"/>
                <w:lang w:val="es-ES" w:eastAsia="en-US"/>
              </w:rPr>
              <w:t xml:space="preserve">, so </w:t>
            </w:r>
            <w:proofErr w:type="spellStart"/>
            <w:r>
              <w:rPr>
                <w:rFonts w:eastAsia="Calibri"/>
                <w:sz w:val="22"/>
                <w:szCs w:val="22"/>
                <w:lang w:val="es-ES" w:eastAsia="en-US"/>
              </w:rPr>
              <w:t>that</w:t>
            </w:r>
            <w:proofErr w:type="spellEnd"/>
            <w:r>
              <w:rPr>
                <w:rFonts w:eastAsia="Calibri"/>
                <w:sz w:val="22"/>
                <w:szCs w:val="22"/>
                <w:lang w:val="es-ES" w:eastAsia="en-US"/>
              </w:rPr>
              <w:t xml:space="preserve"> </w:t>
            </w:r>
            <w:proofErr w:type="spellStart"/>
            <w:r>
              <w:rPr>
                <w:rFonts w:eastAsia="Calibri"/>
                <w:sz w:val="22"/>
                <w:szCs w:val="22"/>
                <w:lang w:val="es-ES" w:eastAsia="en-US"/>
              </w:rPr>
              <w:t>the</w:t>
            </w:r>
            <w:proofErr w:type="spellEnd"/>
            <w:r>
              <w:rPr>
                <w:rFonts w:eastAsia="Calibri"/>
                <w:sz w:val="22"/>
                <w:szCs w:val="22"/>
                <w:lang w:val="es-ES" w:eastAsia="en-US"/>
              </w:rPr>
              <w:t xml:space="preserve"> </w:t>
            </w:r>
            <w:proofErr w:type="spellStart"/>
            <w:r>
              <w:rPr>
                <w:rFonts w:eastAsia="Calibri"/>
                <w:sz w:val="22"/>
                <w:szCs w:val="22"/>
                <w:lang w:val="es-ES" w:eastAsia="en-US"/>
              </w:rPr>
              <w:t>Administration</w:t>
            </w:r>
            <w:proofErr w:type="spellEnd"/>
            <w:r>
              <w:rPr>
                <w:rFonts w:eastAsia="Calibri"/>
                <w:sz w:val="22"/>
                <w:szCs w:val="22"/>
                <w:lang w:val="es-ES" w:eastAsia="en-US"/>
              </w:rPr>
              <w:t xml:space="preserve"> can </w:t>
            </w:r>
            <w:proofErr w:type="spellStart"/>
            <w:r>
              <w:rPr>
                <w:rFonts w:eastAsia="Calibri"/>
                <w:sz w:val="22"/>
                <w:szCs w:val="22"/>
                <w:lang w:val="es-ES" w:eastAsia="en-US"/>
              </w:rPr>
              <w:t>exercise</w:t>
            </w:r>
            <w:proofErr w:type="spellEnd"/>
            <w:r>
              <w:rPr>
                <w:rFonts w:eastAsia="Calibri"/>
                <w:sz w:val="22"/>
                <w:szCs w:val="22"/>
                <w:lang w:val="es-ES" w:eastAsia="en-US"/>
              </w:rPr>
              <w:t xml:space="preserve"> </w:t>
            </w:r>
            <w:proofErr w:type="spellStart"/>
            <w:r>
              <w:rPr>
                <w:rFonts w:eastAsia="Calibri"/>
                <w:sz w:val="22"/>
                <w:szCs w:val="22"/>
                <w:lang w:val="es-ES" w:eastAsia="en-US"/>
              </w:rPr>
              <w:t>its</w:t>
            </w:r>
            <w:proofErr w:type="spellEnd"/>
            <w:r>
              <w:rPr>
                <w:rFonts w:eastAsia="Calibri"/>
                <w:sz w:val="22"/>
                <w:szCs w:val="22"/>
                <w:lang w:val="es-ES" w:eastAsia="en-US"/>
              </w:rPr>
              <w:t xml:space="preserve"> </w:t>
            </w:r>
            <w:proofErr w:type="spellStart"/>
            <w:r>
              <w:rPr>
                <w:rFonts w:eastAsia="Calibri"/>
                <w:sz w:val="22"/>
                <w:szCs w:val="22"/>
                <w:lang w:val="es-ES" w:eastAsia="en-US"/>
              </w:rPr>
              <w:t>rights</w:t>
            </w:r>
            <w:proofErr w:type="spellEnd"/>
            <w:r>
              <w:rPr>
                <w:rFonts w:eastAsia="Calibri"/>
                <w:sz w:val="22"/>
                <w:szCs w:val="22"/>
                <w:lang w:val="es-ES" w:eastAsia="en-US"/>
              </w:rPr>
              <w:t xml:space="preserve"> in cases </w:t>
            </w:r>
            <w:proofErr w:type="spellStart"/>
            <w:r>
              <w:rPr>
                <w:rFonts w:eastAsia="Calibri"/>
                <w:sz w:val="22"/>
                <w:szCs w:val="22"/>
                <w:lang w:val="es-ES" w:eastAsia="en-US"/>
              </w:rPr>
              <w:t>of</w:t>
            </w:r>
            <w:proofErr w:type="spellEnd"/>
            <w:r>
              <w:rPr>
                <w:rFonts w:eastAsia="Calibri"/>
                <w:sz w:val="22"/>
                <w:szCs w:val="22"/>
                <w:lang w:val="es-ES" w:eastAsia="en-US"/>
              </w:rPr>
              <w:t xml:space="preserve"> </w:t>
            </w:r>
            <w:proofErr w:type="spellStart"/>
            <w:r>
              <w:rPr>
                <w:rFonts w:eastAsia="Calibri"/>
                <w:sz w:val="22"/>
                <w:szCs w:val="22"/>
                <w:lang w:val="es-ES" w:eastAsia="en-US"/>
              </w:rPr>
              <w:t>quality</w:t>
            </w:r>
            <w:proofErr w:type="spellEnd"/>
            <w:r>
              <w:rPr>
                <w:rFonts w:eastAsia="Calibri"/>
                <w:sz w:val="22"/>
                <w:szCs w:val="22"/>
                <w:lang w:val="es-ES" w:eastAsia="en-US"/>
              </w:rPr>
              <w:t xml:space="preserve"> </w:t>
            </w:r>
            <w:proofErr w:type="spellStart"/>
            <w:r>
              <w:rPr>
                <w:rFonts w:eastAsia="Calibri"/>
                <w:sz w:val="22"/>
                <w:szCs w:val="22"/>
                <w:lang w:val="es-ES" w:eastAsia="en-US"/>
              </w:rPr>
              <w:t>deficiency</w:t>
            </w:r>
            <w:proofErr w:type="spellEnd"/>
            <w:r>
              <w:rPr>
                <w:rFonts w:eastAsia="Calibri"/>
                <w:sz w:val="22"/>
                <w:szCs w:val="22"/>
                <w:lang w:val="es-ES" w:eastAsia="en-US"/>
              </w:rPr>
              <w:t xml:space="preserve"> </w:t>
            </w:r>
            <w:proofErr w:type="spellStart"/>
            <w:r>
              <w:rPr>
                <w:rFonts w:eastAsia="Calibri"/>
                <w:sz w:val="22"/>
                <w:szCs w:val="22"/>
                <w:lang w:val="es-ES" w:eastAsia="en-US"/>
              </w:rPr>
              <w:t>of</w:t>
            </w:r>
            <w:proofErr w:type="spellEnd"/>
            <w:r>
              <w:rPr>
                <w:rFonts w:eastAsia="Calibri"/>
                <w:sz w:val="22"/>
                <w:szCs w:val="22"/>
                <w:lang w:val="es-ES" w:eastAsia="en-US"/>
              </w:rPr>
              <w:t xml:space="preserve"> </w:t>
            </w:r>
            <w:proofErr w:type="spellStart"/>
            <w:r>
              <w:rPr>
                <w:rFonts w:eastAsia="Calibri"/>
                <w:sz w:val="22"/>
                <w:szCs w:val="22"/>
                <w:lang w:val="es-ES" w:eastAsia="en-US"/>
              </w:rPr>
              <w:t>the</w:t>
            </w:r>
            <w:proofErr w:type="spellEnd"/>
            <w:r>
              <w:rPr>
                <w:rFonts w:eastAsia="Calibri"/>
                <w:sz w:val="22"/>
                <w:szCs w:val="22"/>
                <w:lang w:val="es-ES" w:eastAsia="en-US"/>
              </w:rPr>
              <w:t xml:space="preserve"> </w:t>
            </w:r>
            <w:proofErr w:type="spellStart"/>
            <w:r>
              <w:rPr>
                <w:rFonts w:eastAsia="Calibri"/>
                <w:sz w:val="22"/>
                <w:szCs w:val="22"/>
                <w:lang w:val="es-ES" w:eastAsia="en-US"/>
              </w:rPr>
              <w:t>integrated</w:t>
            </w:r>
            <w:proofErr w:type="spellEnd"/>
            <w:r>
              <w:rPr>
                <w:rFonts w:eastAsia="Calibri"/>
                <w:sz w:val="22"/>
                <w:szCs w:val="22"/>
                <w:lang w:val="es-ES" w:eastAsia="en-US"/>
              </w:rPr>
              <w:t xml:space="preserve"> </w:t>
            </w:r>
            <w:proofErr w:type="spellStart"/>
            <w:r>
              <w:rPr>
                <w:rFonts w:eastAsia="Calibri"/>
                <w:sz w:val="22"/>
                <w:szCs w:val="22"/>
                <w:lang w:val="es-ES" w:eastAsia="en-US"/>
              </w:rPr>
              <w:t>smart</w:t>
            </w:r>
            <w:proofErr w:type="spellEnd"/>
            <w:r>
              <w:rPr>
                <w:rFonts w:eastAsia="Calibri"/>
                <w:sz w:val="22"/>
                <w:szCs w:val="22"/>
                <w:lang w:val="es-ES" w:eastAsia="en-US"/>
              </w:rPr>
              <w:t xml:space="preserve"> </w:t>
            </w:r>
            <w:proofErr w:type="spellStart"/>
            <w:r>
              <w:rPr>
                <w:rFonts w:eastAsia="Calibri"/>
                <w:sz w:val="22"/>
                <w:szCs w:val="22"/>
                <w:lang w:val="es-ES" w:eastAsia="en-US"/>
              </w:rPr>
              <w:t>meters</w:t>
            </w:r>
            <w:proofErr w:type="spellEnd"/>
            <w:r>
              <w:rPr>
                <w:rFonts w:eastAsia="Calibri"/>
                <w:sz w:val="22"/>
                <w:szCs w:val="22"/>
                <w:lang w:val="es-ES" w:eastAsia="en-US"/>
              </w:rPr>
              <w:t>.</w:t>
            </w:r>
          </w:p>
          <w:p w14:paraId="1FBB1AF3" w14:textId="77777777" w:rsidR="00E255F4" w:rsidRDefault="00000000">
            <w:pPr>
              <w:pStyle w:val="Prrafodelista"/>
              <w:tabs>
                <w:tab w:val="left" w:pos="419"/>
              </w:tabs>
              <w:spacing w:after="120" w:line="240" w:lineRule="auto"/>
              <w:ind w:left="419" w:right="311"/>
              <w:jc w:val="both"/>
            </w:pPr>
            <w:proofErr w:type="spellStart"/>
            <w:r>
              <w:rPr>
                <w:rFonts w:eastAsia="Calibri"/>
                <w:sz w:val="22"/>
                <w:szCs w:val="22"/>
                <w:lang w:val="es-ES" w:eastAsia="en-US"/>
              </w:rPr>
              <w:t>Only</w:t>
            </w:r>
            <w:proofErr w:type="spellEnd"/>
            <w:r>
              <w:rPr>
                <w:rFonts w:eastAsia="Calibri"/>
                <w:sz w:val="22"/>
                <w:szCs w:val="22"/>
                <w:lang w:val="es-ES" w:eastAsia="en-US"/>
              </w:rPr>
              <w:t xml:space="preserve"> </w:t>
            </w:r>
            <w:proofErr w:type="spellStart"/>
            <w:r>
              <w:rPr>
                <w:rFonts w:eastAsia="Calibri"/>
                <w:sz w:val="22"/>
                <w:szCs w:val="22"/>
                <w:lang w:val="es-ES" w:eastAsia="en-US"/>
              </w:rPr>
              <w:t>documents</w:t>
            </w:r>
            <w:proofErr w:type="spellEnd"/>
            <w:r>
              <w:rPr>
                <w:rFonts w:eastAsia="Calibri"/>
                <w:sz w:val="22"/>
                <w:szCs w:val="22"/>
                <w:lang w:val="es-ES" w:eastAsia="en-US"/>
              </w:rPr>
              <w:t xml:space="preserve"> </w:t>
            </w:r>
            <w:proofErr w:type="spellStart"/>
            <w:r>
              <w:rPr>
                <w:rFonts w:eastAsia="Calibri"/>
                <w:sz w:val="22"/>
                <w:szCs w:val="22"/>
                <w:lang w:val="es-ES" w:eastAsia="en-US"/>
              </w:rPr>
              <w:t>issued</w:t>
            </w:r>
            <w:proofErr w:type="spellEnd"/>
            <w:r>
              <w:rPr>
                <w:rFonts w:eastAsia="Calibri"/>
                <w:sz w:val="22"/>
                <w:szCs w:val="22"/>
                <w:lang w:val="es-ES" w:eastAsia="en-US"/>
              </w:rPr>
              <w:t xml:space="preserve"> in Spanish, English, </w:t>
            </w:r>
            <w:proofErr w:type="spellStart"/>
            <w:r>
              <w:rPr>
                <w:rFonts w:eastAsia="Calibri"/>
                <w:sz w:val="22"/>
                <w:szCs w:val="22"/>
                <w:lang w:val="es-ES" w:eastAsia="en-US"/>
              </w:rPr>
              <w:t>or</w:t>
            </w:r>
            <w:proofErr w:type="spellEnd"/>
            <w:r>
              <w:rPr>
                <w:rFonts w:eastAsia="Calibri"/>
                <w:sz w:val="22"/>
                <w:szCs w:val="22"/>
                <w:lang w:val="es-ES" w:eastAsia="en-US"/>
              </w:rPr>
              <w:t xml:space="preserve"> Portuguese </w:t>
            </w:r>
            <w:proofErr w:type="spellStart"/>
            <w:r>
              <w:rPr>
                <w:rFonts w:eastAsia="Calibri"/>
                <w:sz w:val="22"/>
                <w:szCs w:val="22"/>
                <w:lang w:val="es-ES" w:eastAsia="en-US"/>
              </w:rPr>
              <w:t>will</w:t>
            </w:r>
            <w:proofErr w:type="spellEnd"/>
            <w:r>
              <w:rPr>
                <w:rFonts w:eastAsia="Calibri"/>
                <w:sz w:val="22"/>
                <w:szCs w:val="22"/>
                <w:lang w:val="es-ES" w:eastAsia="en-US"/>
              </w:rPr>
              <w:t xml:space="preserve"> be </w:t>
            </w:r>
            <w:proofErr w:type="spellStart"/>
            <w:r>
              <w:rPr>
                <w:rFonts w:eastAsia="Calibri"/>
                <w:sz w:val="22"/>
                <w:szCs w:val="22"/>
                <w:lang w:val="es-ES" w:eastAsia="en-US"/>
              </w:rPr>
              <w:t>considered</w:t>
            </w:r>
            <w:proofErr w:type="spellEnd"/>
            <w:r>
              <w:rPr>
                <w:rFonts w:eastAsia="Calibri"/>
                <w:sz w:val="22"/>
                <w:szCs w:val="22"/>
                <w:lang w:val="es-ES" w:eastAsia="en-US"/>
              </w:rPr>
              <w:t xml:space="preserve">. </w:t>
            </w:r>
            <w:proofErr w:type="spellStart"/>
            <w:r>
              <w:rPr>
                <w:rFonts w:eastAsia="Calibri"/>
                <w:sz w:val="22"/>
                <w:szCs w:val="22"/>
                <w:lang w:val="es-ES" w:eastAsia="en-US"/>
              </w:rPr>
              <w:t>Those</w:t>
            </w:r>
            <w:proofErr w:type="spellEnd"/>
            <w:r>
              <w:rPr>
                <w:rFonts w:eastAsia="Calibri"/>
                <w:sz w:val="22"/>
                <w:szCs w:val="22"/>
                <w:lang w:val="es-ES" w:eastAsia="en-US"/>
              </w:rPr>
              <w:t xml:space="preserve"> </w:t>
            </w:r>
            <w:proofErr w:type="spellStart"/>
            <w:r>
              <w:rPr>
                <w:rFonts w:eastAsia="Calibri"/>
                <w:sz w:val="22"/>
                <w:szCs w:val="22"/>
                <w:lang w:val="es-ES" w:eastAsia="en-US"/>
              </w:rPr>
              <w:t>written</w:t>
            </w:r>
            <w:proofErr w:type="spellEnd"/>
            <w:r>
              <w:rPr>
                <w:rFonts w:eastAsia="Calibri"/>
                <w:sz w:val="22"/>
                <w:szCs w:val="22"/>
                <w:lang w:val="es-ES" w:eastAsia="en-US"/>
              </w:rPr>
              <w:t xml:space="preserve"> in </w:t>
            </w:r>
            <w:proofErr w:type="spellStart"/>
            <w:r>
              <w:rPr>
                <w:rFonts w:eastAsia="Calibri"/>
                <w:sz w:val="22"/>
                <w:szCs w:val="22"/>
                <w:lang w:val="es-ES" w:eastAsia="en-US"/>
              </w:rPr>
              <w:t>other</w:t>
            </w:r>
            <w:proofErr w:type="spellEnd"/>
            <w:r>
              <w:rPr>
                <w:rFonts w:eastAsia="Calibri"/>
                <w:sz w:val="22"/>
                <w:szCs w:val="22"/>
                <w:lang w:val="es-ES" w:eastAsia="en-US"/>
              </w:rPr>
              <w:t xml:space="preserve"> </w:t>
            </w:r>
            <w:proofErr w:type="spellStart"/>
            <w:r>
              <w:rPr>
                <w:rFonts w:eastAsia="Calibri"/>
                <w:sz w:val="22"/>
                <w:szCs w:val="22"/>
                <w:lang w:val="es-ES" w:eastAsia="en-US"/>
              </w:rPr>
              <w:t>languages</w:t>
            </w:r>
            <w:proofErr w:type="spellEnd"/>
            <w:r>
              <w:rPr>
                <w:rFonts w:eastAsia="Calibri"/>
                <w:sz w:val="22"/>
                <w:szCs w:val="22"/>
                <w:lang w:val="es-ES" w:eastAsia="en-US"/>
              </w:rPr>
              <w:t xml:space="preserve"> ​​</w:t>
            </w:r>
            <w:proofErr w:type="spellStart"/>
            <w:r>
              <w:rPr>
                <w:rFonts w:eastAsia="Calibri"/>
                <w:sz w:val="22"/>
                <w:szCs w:val="22"/>
                <w:lang w:val="es-ES" w:eastAsia="en-US"/>
              </w:rPr>
              <w:t>must</w:t>
            </w:r>
            <w:proofErr w:type="spellEnd"/>
            <w:r>
              <w:rPr>
                <w:rFonts w:eastAsia="Calibri"/>
                <w:sz w:val="22"/>
                <w:szCs w:val="22"/>
                <w:lang w:val="es-ES" w:eastAsia="en-US"/>
              </w:rPr>
              <w:t xml:space="preserve"> be </w:t>
            </w:r>
            <w:proofErr w:type="spellStart"/>
            <w:r>
              <w:rPr>
                <w:rFonts w:eastAsia="Calibri"/>
                <w:sz w:val="22"/>
                <w:szCs w:val="22"/>
                <w:lang w:val="es-ES" w:eastAsia="en-US"/>
              </w:rPr>
              <w:t>duly</w:t>
            </w:r>
            <w:proofErr w:type="spellEnd"/>
            <w:r>
              <w:rPr>
                <w:rFonts w:eastAsia="Calibri"/>
                <w:sz w:val="22"/>
                <w:szCs w:val="22"/>
                <w:lang w:val="es-ES" w:eastAsia="en-US"/>
              </w:rPr>
              <w:t xml:space="preserve"> </w:t>
            </w:r>
            <w:proofErr w:type="spellStart"/>
            <w:r>
              <w:rPr>
                <w:rFonts w:eastAsia="Calibri"/>
                <w:sz w:val="22"/>
                <w:szCs w:val="22"/>
                <w:lang w:val="es-ES" w:eastAsia="en-US"/>
              </w:rPr>
              <w:t>translated</w:t>
            </w:r>
            <w:proofErr w:type="spellEnd"/>
            <w:r>
              <w:rPr>
                <w:rFonts w:eastAsia="Calibri"/>
                <w:sz w:val="22"/>
                <w:szCs w:val="22"/>
                <w:lang w:val="es-ES" w:eastAsia="en-US"/>
              </w:rPr>
              <w:t xml:space="preserve"> </w:t>
            </w:r>
            <w:proofErr w:type="spellStart"/>
            <w:r>
              <w:rPr>
                <w:rFonts w:eastAsia="Calibri"/>
                <w:sz w:val="22"/>
                <w:szCs w:val="22"/>
                <w:lang w:val="es-ES" w:eastAsia="en-US"/>
              </w:rPr>
              <w:t>into</w:t>
            </w:r>
            <w:proofErr w:type="spellEnd"/>
            <w:r>
              <w:rPr>
                <w:rFonts w:eastAsia="Calibri"/>
                <w:sz w:val="22"/>
                <w:szCs w:val="22"/>
                <w:lang w:val="es-ES" w:eastAsia="en-US"/>
              </w:rPr>
              <w:t xml:space="preserve"> Spanish.</w:t>
            </w:r>
          </w:p>
          <w:p w14:paraId="680598E4" w14:textId="77777777" w:rsidR="00E255F4" w:rsidRDefault="00000000">
            <w:pPr>
              <w:pStyle w:val="Prrafodelista"/>
              <w:numPr>
                <w:ilvl w:val="0"/>
                <w:numId w:val="67"/>
              </w:numPr>
              <w:tabs>
                <w:tab w:val="left" w:pos="419"/>
              </w:tabs>
              <w:spacing w:after="120" w:line="240" w:lineRule="auto"/>
              <w:ind w:left="561" w:right="311" w:hanging="425"/>
              <w:jc w:val="both"/>
              <w:rPr>
                <w:rFonts w:eastAsia="Calibri"/>
                <w:b/>
                <w:strike/>
                <w:sz w:val="22"/>
                <w:szCs w:val="22"/>
                <w:lang w:val="es-ES" w:eastAsia="en-US"/>
              </w:rPr>
            </w:pPr>
            <w:r>
              <w:rPr>
                <w:rFonts w:eastAsia="Calibri"/>
                <w:b/>
                <w:sz w:val="22"/>
                <w:szCs w:val="22"/>
                <w:lang w:val="es-ES" w:eastAsia="en-US"/>
              </w:rPr>
              <w:t xml:space="preserve">Letter </w:t>
            </w:r>
            <w:proofErr w:type="spellStart"/>
            <w:r>
              <w:rPr>
                <w:rFonts w:eastAsia="Calibri"/>
                <w:b/>
                <w:sz w:val="22"/>
                <w:szCs w:val="22"/>
                <w:lang w:val="es-ES" w:eastAsia="en-US"/>
              </w:rPr>
              <w:t>from</w:t>
            </w:r>
            <w:proofErr w:type="spellEnd"/>
            <w:r>
              <w:rPr>
                <w:rFonts w:eastAsia="Calibri"/>
                <w:b/>
                <w:sz w:val="22"/>
                <w:szCs w:val="22"/>
                <w:lang w:val="es-ES" w:eastAsia="en-US"/>
              </w:rPr>
              <w:t xml:space="preserve"> </w:t>
            </w:r>
            <w:proofErr w:type="spellStart"/>
            <w:r>
              <w:rPr>
                <w:rFonts w:eastAsia="Calibri"/>
                <w:b/>
                <w:sz w:val="22"/>
                <w:szCs w:val="22"/>
                <w:lang w:val="es-ES" w:eastAsia="en-US"/>
              </w:rPr>
              <w:t>the</w:t>
            </w:r>
            <w:proofErr w:type="spellEnd"/>
            <w:r>
              <w:rPr>
                <w:rFonts w:eastAsia="Calibri"/>
                <w:b/>
                <w:sz w:val="22"/>
                <w:szCs w:val="22"/>
                <w:lang w:val="es-ES" w:eastAsia="en-US"/>
              </w:rPr>
              <w:t xml:space="preserve"> representative</w:t>
            </w:r>
          </w:p>
          <w:p w14:paraId="39C76102" w14:textId="77777777" w:rsidR="00E255F4" w:rsidRDefault="00000000">
            <w:pPr>
              <w:pStyle w:val="Prrafodelista"/>
              <w:tabs>
                <w:tab w:val="left" w:pos="419"/>
              </w:tabs>
              <w:spacing w:before="240" w:after="120" w:line="240" w:lineRule="auto"/>
              <w:ind w:left="419" w:right="311"/>
              <w:jc w:val="both"/>
              <w:rPr>
                <w:sz w:val="22"/>
                <w:szCs w:val="22"/>
                <w:lang w:val="es-ES" w:eastAsia="en-US"/>
              </w:rPr>
            </w:pPr>
            <w:r>
              <w:rPr>
                <w:rFonts w:eastAsia="Calibri"/>
                <w:sz w:val="22"/>
                <w:szCs w:val="22"/>
                <w:lang w:val="es-ES" w:eastAsia="en-US"/>
              </w:rPr>
              <w:t xml:space="preserve">The </w:t>
            </w:r>
            <w:proofErr w:type="spellStart"/>
            <w:r>
              <w:rPr>
                <w:rFonts w:eastAsia="Calibri"/>
                <w:sz w:val="22"/>
                <w:szCs w:val="22"/>
                <w:lang w:val="es-ES" w:eastAsia="en-US"/>
              </w:rPr>
              <w:t>offer</w:t>
            </w:r>
            <w:proofErr w:type="spellEnd"/>
            <w:r>
              <w:rPr>
                <w:rFonts w:eastAsia="Calibri"/>
                <w:sz w:val="22"/>
                <w:szCs w:val="22"/>
                <w:lang w:val="es-ES" w:eastAsia="en-US"/>
              </w:rPr>
              <w:t xml:space="preserve"> </w:t>
            </w:r>
            <w:proofErr w:type="spellStart"/>
            <w:r>
              <w:rPr>
                <w:rFonts w:eastAsia="Calibri"/>
                <w:sz w:val="22"/>
                <w:szCs w:val="22"/>
                <w:lang w:val="es-ES" w:eastAsia="en-US"/>
              </w:rPr>
              <w:t>must</w:t>
            </w:r>
            <w:proofErr w:type="spellEnd"/>
            <w:r>
              <w:rPr>
                <w:rFonts w:eastAsia="Calibri"/>
                <w:sz w:val="22"/>
                <w:szCs w:val="22"/>
                <w:lang w:val="es-ES" w:eastAsia="en-US"/>
              </w:rPr>
              <w:t xml:space="preserve"> </w:t>
            </w:r>
            <w:proofErr w:type="spellStart"/>
            <w:r>
              <w:rPr>
                <w:rFonts w:eastAsia="Calibri"/>
                <w:sz w:val="22"/>
                <w:szCs w:val="22"/>
                <w:lang w:val="es-ES" w:eastAsia="en-US"/>
              </w:rPr>
              <w:t>include</w:t>
            </w:r>
            <w:proofErr w:type="spellEnd"/>
            <w:r>
              <w:rPr>
                <w:rFonts w:eastAsia="Calibri"/>
                <w:sz w:val="22"/>
                <w:szCs w:val="22"/>
                <w:lang w:val="es-ES" w:eastAsia="en-US"/>
              </w:rPr>
              <w:t xml:space="preserve"> a </w:t>
            </w:r>
            <w:proofErr w:type="spellStart"/>
            <w:r>
              <w:rPr>
                <w:rFonts w:eastAsia="Calibri"/>
                <w:sz w:val="22"/>
                <w:szCs w:val="22"/>
                <w:lang w:val="es-ES" w:eastAsia="en-US"/>
              </w:rPr>
              <w:t>letter</w:t>
            </w:r>
            <w:proofErr w:type="spellEnd"/>
            <w:r>
              <w:rPr>
                <w:rFonts w:eastAsia="Calibri"/>
                <w:sz w:val="22"/>
                <w:szCs w:val="22"/>
                <w:lang w:val="es-ES" w:eastAsia="en-US"/>
              </w:rPr>
              <w:t xml:space="preserve"> </w:t>
            </w:r>
            <w:proofErr w:type="spellStart"/>
            <w:r>
              <w:rPr>
                <w:rFonts w:eastAsia="Calibri"/>
                <w:sz w:val="22"/>
                <w:szCs w:val="22"/>
                <w:lang w:val="es-ES" w:eastAsia="en-US"/>
              </w:rPr>
              <w:t>from</w:t>
            </w:r>
            <w:proofErr w:type="spellEnd"/>
            <w:r>
              <w:rPr>
                <w:rFonts w:eastAsia="Calibri"/>
                <w:sz w:val="22"/>
                <w:szCs w:val="22"/>
                <w:lang w:val="es-ES" w:eastAsia="en-US"/>
              </w:rPr>
              <w:t xml:space="preserve"> </w:t>
            </w:r>
            <w:proofErr w:type="spellStart"/>
            <w:r>
              <w:rPr>
                <w:rFonts w:eastAsia="Calibri"/>
                <w:sz w:val="22"/>
                <w:szCs w:val="22"/>
                <w:lang w:val="es-ES" w:eastAsia="en-US"/>
              </w:rPr>
              <w:t>the</w:t>
            </w:r>
            <w:proofErr w:type="spellEnd"/>
            <w:r>
              <w:rPr>
                <w:rFonts w:eastAsia="Calibri"/>
                <w:sz w:val="22"/>
                <w:szCs w:val="22"/>
                <w:lang w:val="es-ES" w:eastAsia="en-US"/>
              </w:rPr>
              <w:t xml:space="preserve"> representative </w:t>
            </w:r>
            <w:proofErr w:type="spellStart"/>
            <w:r>
              <w:rPr>
                <w:rFonts w:eastAsia="Calibri"/>
                <w:sz w:val="22"/>
                <w:szCs w:val="22"/>
                <w:lang w:val="es-ES" w:eastAsia="en-US"/>
              </w:rPr>
              <w:t>stating</w:t>
            </w:r>
            <w:proofErr w:type="spellEnd"/>
            <w:r>
              <w:rPr>
                <w:rFonts w:eastAsia="Calibri"/>
                <w:sz w:val="22"/>
                <w:szCs w:val="22"/>
                <w:lang w:val="es-ES" w:eastAsia="en-US"/>
              </w:rPr>
              <w:t xml:space="preserve"> </w:t>
            </w:r>
            <w:proofErr w:type="spellStart"/>
            <w:r>
              <w:rPr>
                <w:rFonts w:eastAsia="Calibri"/>
                <w:sz w:val="22"/>
                <w:szCs w:val="22"/>
                <w:lang w:val="es-ES" w:eastAsia="en-US"/>
              </w:rPr>
              <w:t>that</w:t>
            </w:r>
            <w:proofErr w:type="spellEnd"/>
            <w:r>
              <w:rPr>
                <w:rFonts w:eastAsia="Calibri"/>
                <w:sz w:val="22"/>
                <w:szCs w:val="22"/>
                <w:lang w:val="es-ES" w:eastAsia="en-US"/>
              </w:rPr>
              <w:t xml:space="preserve"> </w:t>
            </w:r>
            <w:proofErr w:type="spellStart"/>
            <w:r>
              <w:rPr>
                <w:rFonts w:eastAsia="Calibri"/>
                <w:sz w:val="22"/>
                <w:szCs w:val="22"/>
                <w:lang w:val="es-ES" w:eastAsia="en-US"/>
              </w:rPr>
              <w:t>the</w:t>
            </w:r>
            <w:proofErr w:type="spellEnd"/>
            <w:r>
              <w:rPr>
                <w:rFonts w:eastAsia="Calibri"/>
                <w:sz w:val="22"/>
                <w:szCs w:val="22"/>
                <w:lang w:val="es-ES" w:eastAsia="en-US"/>
              </w:rPr>
              <w:t xml:space="preserve"> </w:t>
            </w:r>
            <w:proofErr w:type="spellStart"/>
            <w:r>
              <w:rPr>
                <w:rFonts w:eastAsia="Calibri"/>
                <w:sz w:val="22"/>
                <w:szCs w:val="22"/>
                <w:lang w:val="es-ES" w:eastAsia="en-US"/>
              </w:rPr>
              <w:t>integrated</w:t>
            </w:r>
            <w:proofErr w:type="spellEnd"/>
            <w:r>
              <w:rPr>
                <w:rFonts w:eastAsia="Calibri"/>
                <w:sz w:val="22"/>
                <w:szCs w:val="22"/>
                <w:lang w:val="es-ES" w:eastAsia="en-US"/>
              </w:rPr>
              <w:t xml:space="preserve"> </w:t>
            </w:r>
            <w:proofErr w:type="spellStart"/>
            <w:r>
              <w:rPr>
                <w:rFonts w:eastAsia="Calibri"/>
                <w:sz w:val="22"/>
                <w:szCs w:val="22"/>
                <w:lang w:val="es-ES" w:eastAsia="en-US"/>
              </w:rPr>
              <w:t>smart</w:t>
            </w:r>
            <w:proofErr w:type="spellEnd"/>
            <w:r>
              <w:rPr>
                <w:rFonts w:eastAsia="Calibri"/>
                <w:sz w:val="22"/>
                <w:szCs w:val="22"/>
                <w:lang w:val="es-ES" w:eastAsia="en-US"/>
              </w:rPr>
              <w:t xml:space="preserve"> </w:t>
            </w:r>
            <w:proofErr w:type="spellStart"/>
            <w:r>
              <w:rPr>
                <w:rFonts w:eastAsia="Calibri"/>
                <w:sz w:val="22"/>
                <w:szCs w:val="22"/>
                <w:lang w:val="es-ES" w:eastAsia="en-US"/>
              </w:rPr>
              <w:t>meters</w:t>
            </w:r>
            <w:proofErr w:type="spellEnd"/>
            <w:r>
              <w:rPr>
                <w:rFonts w:eastAsia="Calibri"/>
                <w:sz w:val="22"/>
                <w:szCs w:val="22"/>
                <w:lang w:val="es-ES" w:eastAsia="en-US"/>
              </w:rPr>
              <w:t xml:space="preserve"> are </w:t>
            </w:r>
            <w:proofErr w:type="spellStart"/>
            <w:r>
              <w:rPr>
                <w:rFonts w:eastAsia="Calibri"/>
                <w:sz w:val="22"/>
                <w:szCs w:val="22"/>
                <w:lang w:val="es-ES" w:eastAsia="en-US"/>
              </w:rPr>
              <w:t>guaranteed</w:t>
            </w:r>
            <w:proofErr w:type="spellEnd"/>
            <w:r>
              <w:rPr>
                <w:rFonts w:eastAsia="Calibri"/>
                <w:sz w:val="22"/>
                <w:szCs w:val="22"/>
                <w:lang w:val="es-ES" w:eastAsia="en-US"/>
              </w:rPr>
              <w:t xml:space="preserve"> </w:t>
            </w:r>
            <w:proofErr w:type="spellStart"/>
            <w:r>
              <w:rPr>
                <w:rFonts w:eastAsia="Calibri"/>
                <w:sz w:val="22"/>
                <w:szCs w:val="22"/>
                <w:lang w:val="es-ES" w:eastAsia="en-US"/>
              </w:rPr>
              <w:t>by</w:t>
            </w:r>
            <w:proofErr w:type="spellEnd"/>
            <w:r>
              <w:rPr>
                <w:rFonts w:eastAsia="Calibri"/>
                <w:sz w:val="22"/>
                <w:szCs w:val="22"/>
                <w:lang w:val="es-ES" w:eastAsia="en-US"/>
              </w:rPr>
              <w:t xml:space="preserve"> </w:t>
            </w:r>
            <w:proofErr w:type="spellStart"/>
            <w:r>
              <w:rPr>
                <w:rFonts w:eastAsia="Calibri"/>
                <w:sz w:val="22"/>
                <w:szCs w:val="22"/>
                <w:lang w:val="es-ES" w:eastAsia="en-US"/>
              </w:rPr>
              <w:t>the</w:t>
            </w:r>
            <w:proofErr w:type="spellEnd"/>
            <w:r>
              <w:rPr>
                <w:rFonts w:eastAsia="Calibri"/>
                <w:sz w:val="22"/>
                <w:szCs w:val="22"/>
                <w:lang w:val="es-ES" w:eastAsia="en-US"/>
              </w:rPr>
              <w:t xml:space="preserve"> representative </w:t>
            </w:r>
            <w:proofErr w:type="spellStart"/>
            <w:r>
              <w:rPr>
                <w:rFonts w:eastAsia="Calibri"/>
                <w:sz w:val="22"/>
                <w:szCs w:val="22"/>
                <w:lang w:val="es-ES" w:eastAsia="en-US"/>
              </w:rPr>
              <w:t>against</w:t>
            </w:r>
            <w:proofErr w:type="spellEnd"/>
            <w:r>
              <w:rPr>
                <w:rFonts w:eastAsia="Calibri"/>
                <w:sz w:val="22"/>
                <w:szCs w:val="22"/>
                <w:lang w:val="es-ES" w:eastAsia="en-US"/>
              </w:rPr>
              <w:t xml:space="preserve"> </w:t>
            </w:r>
            <w:proofErr w:type="spellStart"/>
            <w:r>
              <w:rPr>
                <w:rFonts w:eastAsia="Calibri"/>
                <w:sz w:val="22"/>
                <w:szCs w:val="22"/>
                <w:lang w:val="es-ES" w:eastAsia="en-US"/>
              </w:rPr>
              <w:t>any</w:t>
            </w:r>
            <w:proofErr w:type="spellEnd"/>
            <w:r>
              <w:rPr>
                <w:rFonts w:eastAsia="Calibri"/>
                <w:sz w:val="22"/>
                <w:szCs w:val="22"/>
                <w:lang w:val="es-ES" w:eastAsia="en-US"/>
              </w:rPr>
              <w:t xml:space="preserve"> </w:t>
            </w:r>
            <w:proofErr w:type="spellStart"/>
            <w:r>
              <w:rPr>
                <w:rFonts w:eastAsia="Calibri"/>
                <w:sz w:val="22"/>
                <w:szCs w:val="22"/>
                <w:lang w:val="es-ES" w:eastAsia="en-US"/>
              </w:rPr>
              <w:t>manufacturing</w:t>
            </w:r>
            <w:proofErr w:type="spellEnd"/>
            <w:r>
              <w:rPr>
                <w:rFonts w:eastAsia="Calibri"/>
                <w:sz w:val="22"/>
                <w:szCs w:val="22"/>
                <w:lang w:val="es-ES" w:eastAsia="en-US"/>
              </w:rPr>
              <w:t>, material, and/</w:t>
            </w:r>
            <w:proofErr w:type="spellStart"/>
            <w:r>
              <w:rPr>
                <w:rFonts w:eastAsia="Calibri"/>
                <w:sz w:val="22"/>
                <w:szCs w:val="22"/>
                <w:lang w:val="es-ES" w:eastAsia="en-US"/>
              </w:rPr>
              <w:t>or</w:t>
            </w:r>
            <w:proofErr w:type="spellEnd"/>
            <w:r>
              <w:rPr>
                <w:rFonts w:eastAsia="Calibri"/>
                <w:sz w:val="22"/>
                <w:szCs w:val="22"/>
                <w:lang w:val="es-ES" w:eastAsia="en-US"/>
              </w:rPr>
              <w:t xml:space="preserve"> </w:t>
            </w:r>
            <w:proofErr w:type="spellStart"/>
            <w:r>
              <w:rPr>
                <w:rFonts w:eastAsia="Calibri"/>
                <w:sz w:val="22"/>
                <w:szCs w:val="22"/>
                <w:lang w:val="es-ES" w:eastAsia="en-US"/>
              </w:rPr>
              <w:t>operational</w:t>
            </w:r>
            <w:proofErr w:type="spellEnd"/>
            <w:r>
              <w:rPr>
                <w:rFonts w:eastAsia="Calibri"/>
                <w:sz w:val="22"/>
                <w:szCs w:val="22"/>
                <w:lang w:val="es-ES" w:eastAsia="en-US"/>
              </w:rPr>
              <w:t xml:space="preserve"> </w:t>
            </w:r>
            <w:proofErr w:type="spellStart"/>
            <w:r>
              <w:rPr>
                <w:rFonts w:eastAsia="Calibri"/>
                <w:sz w:val="22"/>
                <w:szCs w:val="22"/>
                <w:lang w:val="es-ES" w:eastAsia="en-US"/>
              </w:rPr>
              <w:t>defects</w:t>
            </w:r>
            <w:proofErr w:type="spellEnd"/>
            <w:r>
              <w:rPr>
                <w:rFonts w:eastAsia="Calibri"/>
                <w:sz w:val="22"/>
                <w:szCs w:val="22"/>
                <w:lang w:val="es-ES" w:eastAsia="en-US"/>
              </w:rPr>
              <w:t xml:space="preserve">, </w:t>
            </w:r>
            <w:proofErr w:type="spellStart"/>
            <w:r>
              <w:rPr>
                <w:rFonts w:eastAsia="Calibri"/>
                <w:sz w:val="22"/>
                <w:szCs w:val="22"/>
                <w:lang w:val="es-ES" w:eastAsia="en-US"/>
              </w:rPr>
              <w:t>including</w:t>
            </w:r>
            <w:proofErr w:type="spellEnd"/>
            <w:r>
              <w:rPr>
                <w:rFonts w:eastAsia="Calibri"/>
                <w:sz w:val="22"/>
                <w:szCs w:val="22"/>
                <w:lang w:val="es-ES" w:eastAsia="en-US"/>
              </w:rPr>
              <w:t xml:space="preserve"> </w:t>
            </w:r>
            <w:proofErr w:type="spellStart"/>
            <w:r>
              <w:rPr>
                <w:rFonts w:eastAsia="Calibri"/>
                <w:sz w:val="22"/>
                <w:szCs w:val="22"/>
                <w:lang w:val="es-ES" w:eastAsia="en-US"/>
              </w:rPr>
              <w:t>batteries</w:t>
            </w:r>
            <w:proofErr w:type="spellEnd"/>
            <w:r>
              <w:rPr>
                <w:rFonts w:eastAsia="Calibri"/>
                <w:sz w:val="22"/>
                <w:szCs w:val="22"/>
                <w:lang w:val="es-ES" w:eastAsia="en-US"/>
              </w:rPr>
              <w:t xml:space="preserve">, </w:t>
            </w:r>
            <w:proofErr w:type="spellStart"/>
            <w:r>
              <w:rPr>
                <w:rFonts w:eastAsia="Calibri"/>
                <w:sz w:val="22"/>
                <w:szCs w:val="22"/>
                <w:lang w:val="es-ES" w:eastAsia="en-US"/>
              </w:rPr>
              <w:t>for</w:t>
            </w:r>
            <w:proofErr w:type="spellEnd"/>
            <w:r>
              <w:rPr>
                <w:rFonts w:eastAsia="Calibri"/>
                <w:sz w:val="22"/>
                <w:szCs w:val="22"/>
                <w:lang w:val="es-ES" w:eastAsia="en-US"/>
              </w:rPr>
              <w:t xml:space="preserve"> a </w:t>
            </w:r>
            <w:proofErr w:type="spellStart"/>
            <w:r>
              <w:rPr>
                <w:rFonts w:eastAsia="Calibri"/>
                <w:sz w:val="22"/>
                <w:szCs w:val="22"/>
                <w:lang w:val="es-ES" w:eastAsia="en-US"/>
              </w:rPr>
              <w:t>minimum</w:t>
            </w:r>
            <w:proofErr w:type="spellEnd"/>
            <w:r>
              <w:rPr>
                <w:rFonts w:eastAsia="Calibri"/>
                <w:sz w:val="22"/>
                <w:szCs w:val="22"/>
                <w:lang w:val="es-ES" w:eastAsia="en-US"/>
              </w:rPr>
              <w:t xml:space="preserve"> </w:t>
            </w:r>
            <w:proofErr w:type="spellStart"/>
            <w:r>
              <w:rPr>
                <w:rFonts w:eastAsia="Calibri"/>
                <w:sz w:val="22"/>
                <w:szCs w:val="22"/>
                <w:lang w:val="es-ES" w:eastAsia="en-US"/>
              </w:rPr>
              <w:t>period</w:t>
            </w:r>
            <w:proofErr w:type="spellEnd"/>
            <w:r>
              <w:rPr>
                <w:rFonts w:eastAsia="Calibri"/>
                <w:sz w:val="22"/>
                <w:szCs w:val="22"/>
                <w:lang w:val="es-ES" w:eastAsia="en-US"/>
              </w:rPr>
              <w:t xml:space="preserve"> </w:t>
            </w:r>
            <w:proofErr w:type="spellStart"/>
            <w:r>
              <w:rPr>
                <w:rFonts w:eastAsia="Calibri"/>
                <w:sz w:val="22"/>
                <w:szCs w:val="22"/>
                <w:lang w:val="es-ES" w:eastAsia="en-US"/>
              </w:rPr>
              <w:t>of</w:t>
            </w:r>
            <w:proofErr w:type="spellEnd"/>
            <w:r>
              <w:rPr>
                <w:rFonts w:eastAsia="Calibri"/>
                <w:sz w:val="22"/>
                <w:szCs w:val="22"/>
                <w:lang w:val="es-ES" w:eastAsia="en-US"/>
              </w:rPr>
              <w:t xml:space="preserve"> 5 (</w:t>
            </w:r>
            <w:proofErr w:type="spellStart"/>
            <w:r>
              <w:rPr>
                <w:rFonts w:eastAsia="Calibri"/>
                <w:sz w:val="22"/>
                <w:szCs w:val="22"/>
                <w:lang w:val="es-ES" w:eastAsia="en-US"/>
              </w:rPr>
              <w:t>five</w:t>
            </w:r>
            <w:proofErr w:type="spellEnd"/>
            <w:r>
              <w:rPr>
                <w:rFonts w:eastAsia="Calibri"/>
                <w:sz w:val="22"/>
                <w:szCs w:val="22"/>
                <w:lang w:val="es-ES" w:eastAsia="en-US"/>
              </w:rPr>
              <w:t xml:space="preserve">) </w:t>
            </w:r>
            <w:proofErr w:type="spellStart"/>
            <w:r>
              <w:rPr>
                <w:rFonts w:eastAsia="Calibri"/>
                <w:sz w:val="22"/>
                <w:szCs w:val="22"/>
                <w:lang w:val="es-ES" w:eastAsia="en-US"/>
              </w:rPr>
              <w:t>years</w:t>
            </w:r>
            <w:proofErr w:type="spellEnd"/>
            <w:r>
              <w:rPr>
                <w:rFonts w:eastAsia="Calibri"/>
                <w:sz w:val="22"/>
                <w:szCs w:val="22"/>
                <w:lang w:val="es-ES" w:eastAsia="en-US"/>
              </w:rPr>
              <w:t xml:space="preserve"> </w:t>
            </w:r>
            <w:proofErr w:type="spellStart"/>
            <w:r>
              <w:rPr>
                <w:rFonts w:eastAsia="Calibri"/>
                <w:sz w:val="22"/>
                <w:szCs w:val="22"/>
                <w:lang w:val="es-ES" w:eastAsia="en-US"/>
              </w:rPr>
              <w:t>from</w:t>
            </w:r>
            <w:proofErr w:type="spellEnd"/>
            <w:r>
              <w:rPr>
                <w:rFonts w:eastAsia="Calibri"/>
                <w:sz w:val="22"/>
                <w:szCs w:val="22"/>
                <w:lang w:val="es-ES" w:eastAsia="en-US"/>
              </w:rPr>
              <w:t xml:space="preserve"> </w:t>
            </w:r>
            <w:proofErr w:type="spellStart"/>
            <w:r>
              <w:rPr>
                <w:rFonts w:eastAsia="Calibri"/>
                <w:sz w:val="22"/>
                <w:szCs w:val="22"/>
                <w:lang w:val="es-ES" w:eastAsia="en-US"/>
              </w:rPr>
              <w:t>the</w:t>
            </w:r>
            <w:proofErr w:type="spellEnd"/>
            <w:r>
              <w:rPr>
                <w:rFonts w:eastAsia="Calibri"/>
                <w:sz w:val="22"/>
                <w:szCs w:val="22"/>
                <w:lang w:val="es-ES" w:eastAsia="en-US"/>
              </w:rPr>
              <w:t xml:space="preserve"> date </w:t>
            </w:r>
            <w:proofErr w:type="spellStart"/>
            <w:r>
              <w:rPr>
                <w:rFonts w:eastAsia="Calibri"/>
                <w:sz w:val="22"/>
                <w:szCs w:val="22"/>
                <w:lang w:val="es-ES" w:eastAsia="en-US"/>
              </w:rPr>
              <w:t>of</w:t>
            </w:r>
            <w:proofErr w:type="spellEnd"/>
            <w:r>
              <w:rPr>
                <w:rFonts w:eastAsia="Calibri"/>
                <w:sz w:val="22"/>
                <w:szCs w:val="22"/>
                <w:lang w:val="es-ES" w:eastAsia="en-US"/>
              </w:rPr>
              <w:t xml:space="preserve"> provisional </w:t>
            </w:r>
            <w:proofErr w:type="spellStart"/>
            <w:r>
              <w:rPr>
                <w:rFonts w:eastAsia="Calibri"/>
                <w:sz w:val="22"/>
                <w:szCs w:val="22"/>
                <w:lang w:val="es-ES" w:eastAsia="en-US"/>
              </w:rPr>
              <w:t>receipt</w:t>
            </w:r>
            <w:proofErr w:type="spellEnd"/>
            <w:r>
              <w:rPr>
                <w:rFonts w:eastAsia="Calibri"/>
                <w:sz w:val="22"/>
                <w:szCs w:val="22"/>
                <w:lang w:val="es-ES" w:eastAsia="en-US"/>
              </w:rPr>
              <w:t xml:space="preserve"> </w:t>
            </w:r>
            <w:proofErr w:type="spellStart"/>
            <w:r>
              <w:rPr>
                <w:rFonts w:eastAsia="Calibri"/>
                <w:sz w:val="22"/>
                <w:szCs w:val="22"/>
                <w:lang w:val="es-ES" w:eastAsia="en-US"/>
              </w:rPr>
              <w:t>of</w:t>
            </w:r>
            <w:proofErr w:type="spellEnd"/>
            <w:r>
              <w:rPr>
                <w:rFonts w:eastAsia="Calibri"/>
                <w:sz w:val="22"/>
                <w:szCs w:val="22"/>
                <w:lang w:val="es-ES" w:eastAsia="en-US"/>
              </w:rPr>
              <w:t xml:space="preserve"> </w:t>
            </w:r>
            <w:proofErr w:type="spellStart"/>
            <w:r>
              <w:rPr>
                <w:rFonts w:eastAsia="Calibri"/>
                <w:sz w:val="22"/>
                <w:szCs w:val="22"/>
                <w:lang w:val="es-ES" w:eastAsia="en-US"/>
              </w:rPr>
              <w:t>the</w:t>
            </w:r>
            <w:proofErr w:type="spellEnd"/>
            <w:r>
              <w:rPr>
                <w:rFonts w:eastAsia="Calibri"/>
                <w:sz w:val="22"/>
                <w:szCs w:val="22"/>
                <w:lang w:val="es-ES" w:eastAsia="en-US"/>
              </w:rPr>
              <w:t xml:space="preserve"> tender, as </w:t>
            </w:r>
            <w:proofErr w:type="spellStart"/>
            <w:r>
              <w:rPr>
                <w:rFonts w:eastAsia="Calibri"/>
                <w:sz w:val="22"/>
                <w:szCs w:val="22"/>
                <w:lang w:val="es-ES" w:eastAsia="en-US"/>
              </w:rPr>
              <w:t>defined</w:t>
            </w:r>
            <w:proofErr w:type="spellEnd"/>
            <w:r>
              <w:rPr>
                <w:rFonts w:eastAsia="Calibri"/>
                <w:sz w:val="22"/>
                <w:szCs w:val="22"/>
                <w:lang w:val="es-ES" w:eastAsia="en-US"/>
              </w:rPr>
              <w:t xml:space="preserve"> in </w:t>
            </w:r>
            <w:proofErr w:type="spellStart"/>
            <w:r>
              <w:rPr>
                <w:rFonts w:eastAsia="Calibri"/>
                <w:sz w:val="22"/>
                <w:szCs w:val="22"/>
                <w:lang w:val="es-ES" w:eastAsia="en-US"/>
              </w:rPr>
              <w:t>Article</w:t>
            </w:r>
            <w:proofErr w:type="spellEnd"/>
            <w:r>
              <w:rPr>
                <w:rFonts w:eastAsia="Calibri"/>
                <w:sz w:val="22"/>
                <w:szCs w:val="22"/>
                <w:lang w:val="es-ES" w:eastAsia="en-US"/>
              </w:rPr>
              <w:t xml:space="preserve"> 25, </w:t>
            </w:r>
            <w:proofErr w:type="spellStart"/>
            <w:r>
              <w:rPr>
                <w:rFonts w:eastAsia="Calibri"/>
                <w:sz w:val="22"/>
                <w:szCs w:val="22"/>
                <w:lang w:val="es-ES" w:eastAsia="en-US"/>
              </w:rPr>
              <w:t>item</w:t>
            </w:r>
            <w:proofErr w:type="spellEnd"/>
            <w:r>
              <w:rPr>
                <w:rFonts w:eastAsia="Calibri"/>
                <w:sz w:val="22"/>
                <w:szCs w:val="22"/>
                <w:lang w:val="es-ES" w:eastAsia="en-US"/>
              </w:rPr>
              <w:t xml:space="preserve"> c) </w:t>
            </w:r>
            <w:proofErr w:type="spellStart"/>
            <w:r>
              <w:rPr>
                <w:rFonts w:eastAsia="Calibri"/>
                <w:sz w:val="22"/>
                <w:szCs w:val="22"/>
                <w:lang w:val="es-ES" w:eastAsia="en-US"/>
              </w:rPr>
              <w:t>of</w:t>
            </w:r>
            <w:proofErr w:type="spellEnd"/>
            <w:r>
              <w:rPr>
                <w:rFonts w:eastAsia="Calibri"/>
                <w:sz w:val="22"/>
                <w:szCs w:val="22"/>
                <w:lang w:val="es-ES" w:eastAsia="en-US"/>
              </w:rPr>
              <w:t xml:space="preserve"> </w:t>
            </w:r>
            <w:proofErr w:type="spellStart"/>
            <w:r>
              <w:rPr>
                <w:rFonts w:eastAsia="Calibri"/>
                <w:sz w:val="22"/>
                <w:szCs w:val="22"/>
                <w:lang w:val="es-ES" w:eastAsia="en-US"/>
              </w:rPr>
              <w:t>the</w:t>
            </w:r>
            <w:proofErr w:type="spellEnd"/>
            <w:r>
              <w:rPr>
                <w:rFonts w:eastAsia="Calibri"/>
                <w:sz w:val="22"/>
                <w:szCs w:val="22"/>
                <w:lang w:val="es-ES" w:eastAsia="en-US"/>
              </w:rPr>
              <w:t xml:space="preserve"> </w:t>
            </w:r>
            <w:proofErr w:type="spellStart"/>
            <w:r>
              <w:rPr>
                <w:rFonts w:eastAsia="Calibri"/>
                <w:sz w:val="22"/>
                <w:szCs w:val="22"/>
                <w:lang w:val="es-ES" w:eastAsia="en-US"/>
              </w:rPr>
              <w:t>section</w:t>
            </w:r>
            <w:proofErr w:type="spellEnd"/>
            <w:r>
              <w:rPr>
                <w:rFonts w:eastAsia="Calibri"/>
                <w:sz w:val="22"/>
                <w:szCs w:val="22"/>
                <w:lang w:val="es-ES" w:eastAsia="en-US"/>
              </w:rPr>
              <w:t>: “</w:t>
            </w:r>
            <w:proofErr w:type="spellStart"/>
            <w:r>
              <w:rPr>
                <w:rFonts w:eastAsia="Calibri"/>
                <w:sz w:val="22"/>
                <w:szCs w:val="22"/>
                <w:lang w:val="es-ES" w:eastAsia="en-US"/>
              </w:rPr>
              <w:t>Receipt</w:t>
            </w:r>
            <w:proofErr w:type="spellEnd"/>
            <w:r>
              <w:rPr>
                <w:rFonts w:eastAsia="Calibri"/>
                <w:sz w:val="22"/>
                <w:szCs w:val="22"/>
                <w:lang w:val="es-ES" w:eastAsia="en-US"/>
              </w:rPr>
              <w:t xml:space="preserve"> </w:t>
            </w:r>
            <w:proofErr w:type="spellStart"/>
            <w:r>
              <w:rPr>
                <w:rFonts w:eastAsia="Calibri"/>
                <w:sz w:val="22"/>
                <w:szCs w:val="22"/>
                <w:lang w:val="es-ES" w:eastAsia="en-US"/>
              </w:rPr>
              <w:t>Conditions</w:t>
            </w:r>
            <w:proofErr w:type="spellEnd"/>
            <w:r>
              <w:rPr>
                <w:rFonts w:eastAsia="Calibri"/>
                <w:sz w:val="22"/>
                <w:szCs w:val="22"/>
                <w:lang w:val="es-ES" w:eastAsia="en-US"/>
              </w:rPr>
              <w:t xml:space="preserve">” </w:t>
            </w:r>
            <w:proofErr w:type="spellStart"/>
            <w:r>
              <w:rPr>
                <w:rFonts w:eastAsia="Calibri"/>
                <w:sz w:val="22"/>
                <w:szCs w:val="22"/>
                <w:lang w:val="es-ES" w:eastAsia="en-US"/>
              </w:rPr>
              <w:t>of</w:t>
            </w:r>
            <w:proofErr w:type="spellEnd"/>
            <w:r>
              <w:rPr>
                <w:rFonts w:eastAsia="Calibri"/>
                <w:sz w:val="22"/>
                <w:szCs w:val="22"/>
                <w:lang w:val="es-ES" w:eastAsia="en-US"/>
              </w:rPr>
              <w:t xml:space="preserve"> </w:t>
            </w:r>
            <w:proofErr w:type="spellStart"/>
            <w:r>
              <w:rPr>
                <w:rFonts w:eastAsia="Calibri"/>
                <w:sz w:val="22"/>
                <w:szCs w:val="22"/>
                <w:lang w:val="es-ES" w:eastAsia="en-US"/>
              </w:rPr>
              <w:t>this</w:t>
            </w:r>
            <w:proofErr w:type="spellEnd"/>
            <w:r>
              <w:rPr>
                <w:rFonts w:eastAsia="Calibri"/>
                <w:sz w:val="22"/>
                <w:szCs w:val="22"/>
                <w:lang w:val="es-ES" w:eastAsia="en-US"/>
              </w:rPr>
              <w:t xml:space="preserve"> </w:t>
            </w:r>
            <w:proofErr w:type="spellStart"/>
            <w:r>
              <w:rPr>
                <w:rFonts w:eastAsia="Calibri"/>
                <w:sz w:val="22"/>
                <w:szCs w:val="22"/>
                <w:lang w:val="es-ES" w:eastAsia="en-US"/>
              </w:rPr>
              <w:t>Annex</w:t>
            </w:r>
            <w:proofErr w:type="spellEnd"/>
            <w:r>
              <w:rPr>
                <w:rFonts w:eastAsia="Calibri"/>
                <w:sz w:val="22"/>
                <w:szCs w:val="22"/>
                <w:lang w:val="es-ES" w:eastAsia="en-US"/>
              </w:rPr>
              <w:t>.</w:t>
            </w:r>
          </w:p>
          <w:p w14:paraId="30E15F12" w14:textId="77777777" w:rsidR="00E255F4" w:rsidRDefault="00000000">
            <w:pPr>
              <w:pStyle w:val="Prrafodelista"/>
              <w:tabs>
                <w:tab w:val="left" w:pos="419"/>
              </w:tabs>
              <w:spacing w:after="120" w:line="240" w:lineRule="auto"/>
              <w:ind w:left="419" w:right="311"/>
              <w:jc w:val="both"/>
              <w:rPr>
                <w:rFonts w:eastAsia="Calibri"/>
                <w:sz w:val="22"/>
                <w:szCs w:val="22"/>
                <w:lang w:val="es-ES" w:eastAsia="en-US"/>
              </w:rPr>
            </w:pPr>
            <w:r>
              <w:rPr>
                <w:rFonts w:eastAsia="Calibri"/>
                <w:sz w:val="22"/>
                <w:szCs w:val="22"/>
                <w:lang w:val="es-ES" w:eastAsia="en-US"/>
              </w:rPr>
              <w:t xml:space="preserve">The </w:t>
            </w:r>
            <w:proofErr w:type="spellStart"/>
            <w:r>
              <w:rPr>
                <w:rFonts w:eastAsia="Calibri"/>
                <w:sz w:val="22"/>
                <w:szCs w:val="22"/>
                <w:lang w:val="es-ES" w:eastAsia="en-US"/>
              </w:rPr>
              <w:t>guarantee</w:t>
            </w:r>
            <w:proofErr w:type="spellEnd"/>
            <w:r>
              <w:rPr>
                <w:rFonts w:eastAsia="Calibri"/>
                <w:sz w:val="22"/>
                <w:szCs w:val="22"/>
                <w:lang w:val="es-ES" w:eastAsia="en-US"/>
              </w:rPr>
              <w:t xml:space="preserve"> </w:t>
            </w:r>
            <w:proofErr w:type="spellStart"/>
            <w:r>
              <w:rPr>
                <w:rFonts w:eastAsia="Calibri"/>
                <w:sz w:val="22"/>
                <w:szCs w:val="22"/>
                <w:lang w:val="es-ES" w:eastAsia="en-US"/>
              </w:rPr>
              <w:t>must</w:t>
            </w:r>
            <w:proofErr w:type="spellEnd"/>
            <w:r>
              <w:rPr>
                <w:rFonts w:eastAsia="Calibri"/>
                <w:sz w:val="22"/>
                <w:szCs w:val="22"/>
                <w:lang w:val="es-ES" w:eastAsia="en-US"/>
              </w:rPr>
              <w:t xml:space="preserve"> </w:t>
            </w:r>
            <w:proofErr w:type="spellStart"/>
            <w:r>
              <w:rPr>
                <w:rFonts w:eastAsia="Calibri"/>
                <w:sz w:val="22"/>
                <w:szCs w:val="22"/>
                <w:lang w:val="es-ES" w:eastAsia="en-US"/>
              </w:rPr>
              <w:t>cover</w:t>
            </w:r>
            <w:proofErr w:type="spellEnd"/>
            <w:r>
              <w:rPr>
                <w:rFonts w:eastAsia="Calibri"/>
                <w:sz w:val="22"/>
                <w:szCs w:val="22"/>
                <w:lang w:val="es-ES" w:eastAsia="en-US"/>
              </w:rPr>
              <w:t xml:space="preserve"> </w:t>
            </w:r>
            <w:proofErr w:type="spellStart"/>
            <w:r>
              <w:rPr>
                <w:rFonts w:eastAsia="Calibri"/>
                <w:sz w:val="22"/>
                <w:szCs w:val="22"/>
                <w:lang w:val="es-ES" w:eastAsia="en-US"/>
              </w:rPr>
              <w:t>the</w:t>
            </w:r>
            <w:proofErr w:type="spellEnd"/>
            <w:r>
              <w:rPr>
                <w:rFonts w:eastAsia="Calibri"/>
                <w:sz w:val="22"/>
                <w:szCs w:val="22"/>
                <w:lang w:val="es-ES" w:eastAsia="en-US"/>
              </w:rPr>
              <w:t xml:space="preserve"> </w:t>
            </w:r>
            <w:proofErr w:type="spellStart"/>
            <w:r>
              <w:rPr>
                <w:rFonts w:eastAsia="Calibri"/>
                <w:sz w:val="22"/>
                <w:szCs w:val="22"/>
                <w:lang w:val="es-ES" w:eastAsia="en-US"/>
              </w:rPr>
              <w:t>replacement</w:t>
            </w:r>
            <w:proofErr w:type="spellEnd"/>
            <w:r>
              <w:rPr>
                <w:rFonts w:eastAsia="Calibri"/>
                <w:sz w:val="22"/>
                <w:szCs w:val="22"/>
                <w:lang w:val="es-ES" w:eastAsia="en-US"/>
              </w:rPr>
              <w:t xml:space="preserve"> </w:t>
            </w:r>
            <w:proofErr w:type="spellStart"/>
            <w:r>
              <w:rPr>
                <w:rFonts w:eastAsia="Calibri"/>
                <w:sz w:val="22"/>
                <w:szCs w:val="22"/>
                <w:lang w:val="es-ES" w:eastAsia="en-US"/>
              </w:rPr>
              <w:t>of</w:t>
            </w:r>
            <w:proofErr w:type="spellEnd"/>
            <w:r>
              <w:rPr>
                <w:rFonts w:eastAsia="Calibri"/>
                <w:sz w:val="22"/>
                <w:szCs w:val="22"/>
                <w:lang w:val="es-ES" w:eastAsia="en-US"/>
              </w:rPr>
              <w:t xml:space="preserve"> </w:t>
            </w:r>
            <w:proofErr w:type="spellStart"/>
            <w:r>
              <w:rPr>
                <w:rFonts w:eastAsia="Calibri"/>
                <w:sz w:val="22"/>
                <w:szCs w:val="22"/>
                <w:lang w:val="es-ES" w:eastAsia="en-US"/>
              </w:rPr>
              <w:t>the</w:t>
            </w:r>
            <w:proofErr w:type="spellEnd"/>
            <w:r>
              <w:rPr>
                <w:rFonts w:eastAsia="Calibri"/>
                <w:sz w:val="22"/>
                <w:szCs w:val="22"/>
                <w:lang w:val="es-ES" w:eastAsia="en-US"/>
              </w:rPr>
              <w:t xml:space="preserve"> defective </w:t>
            </w:r>
            <w:proofErr w:type="spellStart"/>
            <w:r>
              <w:rPr>
                <w:rFonts w:eastAsia="Calibri"/>
                <w:sz w:val="22"/>
                <w:szCs w:val="22"/>
                <w:lang w:val="es-ES" w:eastAsia="en-US"/>
              </w:rPr>
              <w:t>integrated</w:t>
            </w:r>
            <w:proofErr w:type="spellEnd"/>
            <w:r>
              <w:rPr>
                <w:rFonts w:eastAsia="Calibri"/>
                <w:sz w:val="22"/>
                <w:szCs w:val="22"/>
                <w:lang w:val="es-ES" w:eastAsia="en-US"/>
              </w:rPr>
              <w:t xml:space="preserve"> </w:t>
            </w:r>
            <w:proofErr w:type="spellStart"/>
            <w:r>
              <w:rPr>
                <w:rFonts w:eastAsia="Calibri"/>
                <w:sz w:val="22"/>
                <w:szCs w:val="22"/>
                <w:lang w:val="es-ES" w:eastAsia="en-US"/>
              </w:rPr>
              <w:t>smart</w:t>
            </w:r>
            <w:proofErr w:type="spellEnd"/>
            <w:r>
              <w:rPr>
                <w:rFonts w:eastAsia="Calibri"/>
                <w:sz w:val="22"/>
                <w:szCs w:val="22"/>
                <w:lang w:val="es-ES" w:eastAsia="en-US"/>
              </w:rPr>
              <w:t xml:space="preserve"> </w:t>
            </w:r>
            <w:proofErr w:type="spellStart"/>
            <w:r>
              <w:rPr>
                <w:rFonts w:eastAsia="Calibri"/>
                <w:sz w:val="22"/>
                <w:szCs w:val="22"/>
                <w:lang w:val="es-ES" w:eastAsia="en-US"/>
              </w:rPr>
              <w:t>meters</w:t>
            </w:r>
            <w:proofErr w:type="spellEnd"/>
            <w:r>
              <w:rPr>
                <w:rFonts w:eastAsia="Calibri"/>
                <w:sz w:val="22"/>
                <w:szCs w:val="22"/>
                <w:lang w:val="es-ES" w:eastAsia="en-US"/>
              </w:rPr>
              <w:t xml:space="preserve"> in OSE </w:t>
            </w:r>
            <w:proofErr w:type="spellStart"/>
            <w:r>
              <w:rPr>
                <w:rFonts w:eastAsia="Calibri"/>
                <w:sz w:val="22"/>
                <w:szCs w:val="22"/>
                <w:lang w:val="es-ES" w:eastAsia="en-US"/>
              </w:rPr>
              <w:t>by</w:t>
            </w:r>
            <w:proofErr w:type="spellEnd"/>
            <w:r>
              <w:rPr>
                <w:rFonts w:eastAsia="Calibri"/>
                <w:sz w:val="22"/>
                <w:szCs w:val="22"/>
                <w:lang w:val="es-ES" w:eastAsia="en-US"/>
              </w:rPr>
              <w:t xml:space="preserve"> </w:t>
            </w:r>
            <w:proofErr w:type="spellStart"/>
            <w:r>
              <w:rPr>
                <w:rFonts w:eastAsia="Calibri"/>
                <w:sz w:val="22"/>
                <w:szCs w:val="22"/>
                <w:lang w:val="es-ES" w:eastAsia="en-US"/>
              </w:rPr>
              <w:t>the</w:t>
            </w:r>
            <w:proofErr w:type="spellEnd"/>
            <w:r>
              <w:rPr>
                <w:rFonts w:eastAsia="Calibri"/>
                <w:sz w:val="22"/>
                <w:szCs w:val="22"/>
                <w:lang w:val="es-ES" w:eastAsia="en-US"/>
              </w:rPr>
              <w:t xml:space="preserve"> </w:t>
            </w:r>
            <w:proofErr w:type="spellStart"/>
            <w:r>
              <w:rPr>
                <w:rFonts w:eastAsia="Calibri"/>
                <w:sz w:val="22"/>
                <w:szCs w:val="22"/>
                <w:lang w:val="es-ES" w:eastAsia="en-US"/>
              </w:rPr>
              <w:t>successful</w:t>
            </w:r>
            <w:proofErr w:type="spellEnd"/>
            <w:r>
              <w:rPr>
                <w:rFonts w:eastAsia="Calibri"/>
                <w:sz w:val="22"/>
                <w:szCs w:val="22"/>
                <w:lang w:val="es-ES" w:eastAsia="en-US"/>
              </w:rPr>
              <w:t xml:space="preserve"> </w:t>
            </w:r>
            <w:proofErr w:type="spellStart"/>
            <w:r>
              <w:rPr>
                <w:rFonts w:eastAsia="Calibri"/>
                <w:sz w:val="22"/>
                <w:szCs w:val="22"/>
                <w:lang w:val="es-ES" w:eastAsia="en-US"/>
              </w:rPr>
              <w:t>bidder</w:t>
            </w:r>
            <w:proofErr w:type="spellEnd"/>
            <w:r>
              <w:rPr>
                <w:rFonts w:eastAsia="Calibri"/>
                <w:sz w:val="22"/>
                <w:szCs w:val="22"/>
                <w:lang w:val="es-ES" w:eastAsia="en-US"/>
              </w:rPr>
              <w:t xml:space="preserve">, </w:t>
            </w:r>
            <w:proofErr w:type="spellStart"/>
            <w:r>
              <w:rPr>
                <w:rFonts w:eastAsia="Calibri"/>
                <w:sz w:val="22"/>
                <w:szCs w:val="22"/>
                <w:lang w:val="es-ES" w:eastAsia="en-US"/>
              </w:rPr>
              <w:t>who</w:t>
            </w:r>
            <w:proofErr w:type="spellEnd"/>
            <w:r>
              <w:rPr>
                <w:rFonts w:eastAsia="Calibri"/>
                <w:sz w:val="22"/>
                <w:szCs w:val="22"/>
                <w:lang w:val="es-ES" w:eastAsia="en-US"/>
              </w:rPr>
              <w:t xml:space="preserve"> </w:t>
            </w:r>
            <w:proofErr w:type="spellStart"/>
            <w:r>
              <w:rPr>
                <w:rFonts w:eastAsia="Calibri"/>
                <w:sz w:val="22"/>
                <w:szCs w:val="22"/>
                <w:lang w:val="es-ES" w:eastAsia="en-US"/>
              </w:rPr>
              <w:t>will</w:t>
            </w:r>
            <w:proofErr w:type="spellEnd"/>
            <w:r>
              <w:rPr>
                <w:rFonts w:eastAsia="Calibri"/>
                <w:sz w:val="22"/>
                <w:szCs w:val="22"/>
                <w:lang w:val="es-ES" w:eastAsia="en-US"/>
              </w:rPr>
              <w:t xml:space="preserve"> be </w:t>
            </w:r>
            <w:proofErr w:type="spellStart"/>
            <w:r>
              <w:rPr>
                <w:rFonts w:eastAsia="Calibri"/>
                <w:sz w:val="22"/>
                <w:szCs w:val="22"/>
                <w:lang w:val="es-ES" w:eastAsia="en-US"/>
              </w:rPr>
              <w:t>responsible</w:t>
            </w:r>
            <w:proofErr w:type="spellEnd"/>
            <w:r>
              <w:rPr>
                <w:rFonts w:eastAsia="Calibri"/>
                <w:sz w:val="22"/>
                <w:szCs w:val="22"/>
                <w:lang w:val="es-ES" w:eastAsia="en-US"/>
              </w:rPr>
              <w:t xml:space="preserve"> </w:t>
            </w:r>
            <w:proofErr w:type="spellStart"/>
            <w:r>
              <w:rPr>
                <w:rFonts w:eastAsia="Calibri"/>
                <w:sz w:val="22"/>
                <w:szCs w:val="22"/>
                <w:lang w:val="es-ES" w:eastAsia="en-US"/>
              </w:rPr>
              <w:t>for</w:t>
            </w:r>
            <w:proofErr w:type="spellEnd"/>
            <w:r>
              <w:rPr>
                <w:rFonts w:eastAsia="Calibri"/>
                <w:sz w:val="22"/>
                <w:szCs w:val="22"/>
                <w:lang w:val="es-ES" w:eastAsia="en-US"/>
              </w:rPr>
              <w:t xml:space="preserve"> </w:t>
            </w:r>
            <w:proofErr w:type="spellStart"/>
            <w:r>
              <w:rPr>
                <w:rFonts w:eastAsia="Calibri"/>
                <w:sz w:val="22"/>
                <w:szCs w:val="22"/>
                <w:lang w:val="es-ES" w:eastAsia="en-US"/>
              </w:rPr>
              <w:t>the</w:t>
            </w:r>
            <w:proofErr w:type="spellEnd"/>
            <w:r>
              <w:rPr>
                <w:rFonts w:eastAsia="Calibri"/>
                <w:sz w:val="22"/>
                <w:szCs w:val="22"/>
                <w:lang w:val="es-ES" w:eastAsia="en-US"/>
              </w:rPr>
              <w:t xml:space="preserve"> </w:t>
            </w:r>
            <w:proofErr w:type="spellStart"/>
            <w:r>
              <w:rPr>
                <w:rFonts w:eastAsia="Calibri"/>
                <w:sz w:val="22"/>
                <w:szCs w:val="22"/>
                <w:lang w:val="es-ES" w:eastAsia="en-US"/>
              </w:rPr>
              <w:t>removal</w:t>
            </w:r>
            <w:proofErr w:type="spellEnd"/>
            <w:r>
              <w:rPr>
                <w:rFonts w:eastAsia="Calibri"/>
                <w:sz w:val="22"/>
                <w:szCs w:val="22"/>
                <w:lang w:val="es-ES" w:eastAsia="en-US"/>
              </w:rPr>
              <w:t xml:space="preserve"> </w:t>
            </w:r>
            <w:proofErr w:type="spellStart"/>
            <w:r>
              <w:rPr>
                <w:rFonts w:eastAsia="Calibri"/>
                <w:sz w:val="22"/>
                <w:szCs w:val="22"/>
                <w:lang w:val="es-ES" w:eastAsia="en-US"/>
              </w:rPr>
              <w:t>of</w:t>
            </w:r>
            <w:proofErr w:type="spellEnd"/>
            <w:r>
              <w:rPr>
                <w:rFonts w:eastAsia="Calibri"/>
                <w:sz w:val="22"/>
                <w:szCs w:val="22"/>
                <w:lang w:val="es-ES" w:eastAsia="en-US"/>
              </w:rPr>
              <w:t xml:space="preserve"> </w:t>
            </w:r>
            <w:proofErr w:type="spellStart"/>
            <w:r>
              <w:rPr>
                <w:rFonts w:eastAsia="Calibri"/>
                <w:sz w:val="22"/>
                <w:szCs w:val="22"/>
                <w:lang w:val="es-ES" w:eastAsia="en-US"/>
              </w:rPr>
              <w:t>the</w:t>
            </w:r>
            <w:proofErr w:type="spellEnd"/>
            <w:r>
              <w:rPr>
                <w:rFonts w:eastAsia="Calibri"/>
                <w:sz w:val="22"/>
                <w:szCs w:val="22"/>
                <w:lang w:val="es-ES" w:eastAsia="en-US"/>
              </w:rPr>
              <w:t xml:space="preserve"> defective </w:t>
            </w:r>
            <w:proofErr w:type="spellStart"/>
            <w:r>
              <w:rPr>
                <w:rFonts w:eastAsia="Calibri"/>
                <w:sz w:val="22"/>
                <w:szCs w:val="22"/>
                <w:lang w:val="es-ES" w:eastAsia="en-US"/>
              </w:rPr>
              <w:t>ones</w:t>
            </w:r>
            <w:proofErr w:type="spellEnd"/>
            <w:r>
              <w:rPr>
                <w:rFonts w:eastAsia="Calibri"/>
                <w:sz w:val="22"/>
                <w:szCs w:val="22"/>
                <w:lang w:val="es-ES" w:eastAsia="en-US"/>
              </w:rPr>
              <w:t xml:space="preserve"> and </w:t>
            </w:r>
            <w:proofErr w:type="spellStart"/>
            <w:r>
              <w:rPr>
                <w:rFonts w:eastAsia="Calibri"/>
                <w:sz w:val="22"/>
                <w:szCs w:val="22"/>
                <w:lang w:val="es-ES" w:eastAsia="en-US"/>
              </w:rPr>
              <w:t>the</w:t>
            </w:r>
            <w:proofErr w:type="spellEnd"/>
            <w:r>
              <w:rPr>
                <w:rFonts w:eastAsia="Calibri"/>
                <w:sz w:val="22"/>
                <w:szCs w:val="22"/>
                <w:lang w:val="es-ES" w:eastAsia="en-US"/>
              </w:rPr>
              <w:t xml:space="preserve"> </w:t>
            </w:r>
            <w:proofErr w:type="spellStart"/>
            <w:r>
              <w:rPr>
                <w:rFonts w:eastAsia="Calibri"/>
                <w:sz w:val="22"/>
                <w:szCs w:val="22"/>
                <w:lang w:val="es-ES" w:eastAsia="en-US"/>
              </w:rPr>
              <w:t>delivery</w:t>
            </w:r>
            <w:proofErr w:type="spellEnd"/>
            <w:r>
              <w:rPr>
                <w:rFonts w:eastAsia="Calibri"/>
                <w:sz w:val="22"/>
                <w:szCs w:val="22"/>
                <w:lang w:val="es-ES" w:eastAsia="en-US"/>
              </w:rPr>
              <w:t xml:space="preserve"> </w:t>
            </w:r>
            <w:proofErr w:type="spellStart"/>
            <w:r>
              <w:rPr>
                <w:rFonts w:eastAsia="Calibri"/>
                <w:sz w:val="22"/>
                <w:szCs w:val="22"/>
                <w:lang w:val="es-ES" w:eastAsia="en-US"/>
              </w:rPr>
              <w:t>of</w:t>
            </w:r>
            <w:proofErr w:type="spellEnd"/>
            <w:r>
              <w:rPr>
                <w:rFonts w:eastAsia="Calibri"/>
                <w:sz w:val="22"/>
                <w:szCs w:val="22"/>
                <w:lang w:val="es-ES" w:eastAsia="en-US"/>
              </w:rPr>
              <w:t xml:space="preserve"> </w:t>
            </w:r>
            <w:proofErr w:type="spellStart"/>
            <w:r>
              <w:rPr>
                <w:rFonts w:eastAsia="Calibri"/>
                <w:sz w:val="22"/>
                <w:szCs w:val="22"/>
                <w:lang w:val="es-ES" w:eastAsia="en-US"/>
              </w:rPr>
              <w:t>the</w:t>
            </w:r>
            <w:proofErr w:type="spellEnd"/>
            <w:r>
              <w:rPr>
                <w:rFonts w:eastAsia="Calibri"/>
                <w:sz w:val="22"/>
                <w:szCs w:val="22"/>
                <w:lang w:val="es-ES" w:eastAsia="en-US"/>
              </w:rPr>
              <w:t xml:space="preserve"> new </w:t>
            </w:r>
            <w:proofErr w:type="spellStart"/>
            <w:r>
              <w:rPr>
                <w:rFonts w:eastAsia="Calibri"/>
                <w:sz w:val="22"/>
                <w:szCs w:val="22"/>
                <w:lang w:val="es-ES" w:eastAsia="en-US"/>
              </w:rPr>
              <w:t>ones</w:t>
            </w:r>
            <w:proofErr w:type="spellEnd"/>
            <w:r>
              <w:rPr>
                <w:rFonts w:eastAsia="Calibri"/>
                <w:sz w:val="22"/>
                <w:szCs w:val="22"/>
                <w:lang w:val="es-ES" w:eastAsia="en-US"/>
              </w:rPr>
              <w:t xml:space="preserve"> at no </w:t>
            </w:r>
            <w:proofErr w:type="spellStart"/>
            <w:r>
              <w:rPr>
                <w:rFonts w:eastAsia="Calibri"/>
                <w:sz w:val="22"/>
                <w:szCs w:val="22"/>
                <w:lang w:val="es-ES" w:eastAsia="en-US"/>
              </w:rPr>
              <w:t>cost</w:t>
            </w:r>
            <w:proofErr w:type="spellEnd"/>
            <w:r>
              <w:rPr>
                <w:rFonts w:eastAsia="Calibri"/>
                <w:sz w:val="22"/>
                <w:szCs w:val="22"/>
                <w:lang w:val="es-ES" w:eastAsia="en-US"/>
              </w:rPr>
              <w:t xml:space="preserve"> </w:t>
            </w:r>
            <w:proofErr w:type="spellStart"/>
            <w:r>
              <w:rPr>
                <w:rFonts w:eastAsia="Calibri"/>
                <w:sz w:val="22"/>
                <w:szCs w:val="22"/>
                <w:lang w:val="es-ES" w:eastAsia="en-US"/>
              </w:rPr>
              <w:t>to</w:t>
            </w:r>
            <w:proofErr w:type="spellEnd"/>
            <w:r>
              <w:rPr>
                <w:rFonts w:eastAsia="Calibri"/>
                <w:sz w:val="22"/>
                <w:szCs w:val="22"/>
                <w:lang w:val="es-ES" w:eastAsia="en-US"/>
              </w:rPr>
              <w:t xml:space="preserve"> OSE, </w:t>
            </w:r>
            <w:proofErr w:type="spellStart"/>
            <w:r>
              <w:rPr>
                <w:rFonts w:eastAsia="Calibri"/>
                <w:sz w:val="22"/>
                <w:szCs w:val="22"/>
                <w:lang w:val="es-ES" w:eastAsia="en-US"/>
              </w:rPr>
              <w:t>within</w:t>
            </w:r>
            <w:proofErr w:type="spellEnd"/>
            <w:r>
              <w:rPr>
                <w:rFonts w:eastAsia="Calibri"/>
                <w:sz w:val="22"/>
                <w:szCs w:val="22"/>
                <w:lang w:val="es-ES" w:eastAsia="en-US"/>
              </w:rPr>
              <w:t xml:space="preserve"> a </w:t>
            </w:r>
            <w:proofErr w:type="spellStart"/>
            <w:r>
              <w:rPr>
                <w:rFonts w:eastAsia="Calibri"/>
                <w:sz w:val="22"/>
                <w:szCs w:val="22"/>
                <w:lang w:val="es-ES" w:eastAsia="en-US"/>
              </w:rPr>
              <w:t>maximum</w:t>
            </w:r>
            <w:proofErr w:type="spellEnd"/>
            <w:r>
              <w:rPr>
                <w:rFonts w:eastAsia="Calibri"/>
                <w:sz w:val="22"/>
                <w:szCs w:val="22"/>
                <w:lang w:val="es-ES" w:eastAsia="en-US"/>
              </w:rPr>
              <w:t xml:space="preserve"> </w:t>
            </w:r>
            <w:proofErr w:type="spellStart"/>
            <w:r>
              <w:rPr>
                <w:rFonts w:eastAsia="Calibri"/>
                <w:sz w:val="22"/>
                <w:szCs w:val="22"/>
                <w:lang w:val="es-ES" w:eastAsia="en-US"/>
              </w:rPr>
              <w:t>period</w:t>
            </w:r>
            <w:proofErr w:type="spellEnd"/>
            <w:r>
              <w:rPr>
                <w:rFonts w:eastAsia="Calibri"/>
                <w:sz w:val="22"/>
                <w:szCs w:val="22"/>
                <w:lang w:val="es-ES" w:eastAsia="en-US"/>
              </w:rPr>
              <w:t xml:space="preserve"> </w:t>
            </w:r>
            <w:proofErr w:type="spellStart"/>
            <w:r>
              <w:rPr>
                <w:rFonts w:eastAsia="Calibri"/>
                <w:sz w:val="22"/>
                <w:szCs w:val="22"/>
                <w:lang w:val="es-ES" w:eastAsia="en-US"/>
              </w:rPr>
              <w:t>of</w:t>
            </w:r>
            <w:proofErr w:type="spellEnd"/>
            <w:r>
              <w:rPr>
                <w:rFonts w:eastAsia="Calibri"/>
                <w:sz w:val="22"/>
                <w:szCs w:val="22"/>
                <w:lang w:val="es-ES" w:eastAsia="en-US"/>
              </w:rPr>
              <w:t xml:space="preserve"> 3 (</w:t>
            </w:r>
            <w:proofErr w:type="spellStart"/>
            <w:r>
              <w:rPr>
                <w:rFonts w:eastAsia="Calibri"/>
                <w:sz w:val="22"/>
                <w:szCs w:val="22"/>
                <w:lang w:val="es-ES" w:eastAsia="en-US"/>
              </w:rPr>
              <w:t>three</w:t>
            </w:r>
            <w:proofErr w:type="spellEnd"/>
            <w:r>
              <w:rPr>
                <w:rFonts w:eastAsia="Calibri"/>
                <w:sz w:val="22"/>
                <w:szCs w:val="22"/>
                <w:lang w:val="es-ES" w:eastAsia="en-US"/>
              </w:rPr>
              <w:t xml:space="preserve">) </w:t>
            </w:r>
            <w:proofErr w:type="spellStart"/>
            <w:r>
              <w:rPr>
                <w:rFonts w:eastAsia="Calibri"/>
                <w:sz w:val="22"/>
                <w:szCs w:val="22"/>
                <w:lang w:val="es-ES" w:eastAsia="en-US"/>
              </w:rPr>
              <w:t>months</w:t>
            </w:r>
            <w:proofErr w:type="spellEnd"/>
            <w:r>
              <w:rPr>
                <w:rFonts w:eastAsia="Calibri"/>
                <w:sz w:val="22"/>
                <w:szCs w:val="22"/>
                <w:lang w:val="es-ES" w:eastAsia="en-US"/>
              </w:rPr>
              <w:t xml:space="preserve"> </w:t>
            </w:r>
            <w:proofErr w:type="spellStart"/>
            <w:r>
              <w:rPr>
                <w:rFonts w:eastAsia="Calibri"/>
                <w:sz w:val="22"/>
                <w:szCs w:val="22"/>
                <w:lang w:val="es-ES" w:eastAsia="en-US"/>
              </w:rPr>
              <w:t>from</w:t>
            </w:r>
            <w:proofErr w:type="spellEnd"/>
            <w:r>
              <w:rPr>
                <w:rFonts w:eastAsia="Calibri"/>
                <w:sz w:val="22"/>
                <w:szCs w:val="22"/>
                <w:lang w:val="es-ES" w:eastAsia="en-US"/>
              </w:rPr>
              <w:t xml:space="preserve"> </w:t>
            </w:r>
            <w:proofErr w:type="spellStart"/>
            <w:r>
              <w:rPr>
                <w:rFonts w:eastAsia="Calibri"/>
                <w:sz w:val="22"/>
                <w:szCs w:val="22"/>
                <w:lang w:val="es-ES" w:eastAsia="en-US"/>
              </w:rPr>
              <w:t>the</w:t>
            </w:r>
            <w:proofErr w:type="spellEnd"/>
            <w:r>
              <w:rPr>
                <w:rFonts w:eastAsia="Calibri"/>
                <w:sz w:val="22"/>
                <w:szCs w:val="22"/>
                <w:lang w:val="es-ES" w:eastAsia="en-US"/>
              </w:rPr>
              <w:t xml:space="preserve"> date </w:t>
            </w:r>
            <w:proofErr w:type="spellStart"/>
            <w:r>
              <w:rPr>
                <w:rFonts w:eastAsia="Calibri"/>
                <w:sz w:val="22"/>
                <w:szCs w:val="22"/>
                <w:lang w:val="es-ES" w:eastAsia="en-US"/>
              </w:rPr>
              <w:t>on</w:t>
            </w:r>
            <w:proofErr w:type="spellEnd"/>
            <w:r>
              <w:rPr>
                <w:rFonts w:eastAsia="Calibri"/>
                <w:sz w:val="22"/>
                <w:szCs w:val="22"/>
                <w:lang w:val="es-ES" w:eastAsia="en-US"/>
              </w:rPr>
              <w:t xml:space="preserve"> </w:t>
            </w:r>
            <w:proofErr w:type="spellStart"/>
            <w:r>
              <w:rPr>
                <w:rFonts w:eastAsia="Calibri"/>
                <w:sz w:val="22"/>
                <w:szCs w:val="22"/>
                <w:lang w:val="es-ES" w:eastAsia="en-US"/>
              </w:rPr>
              <w:t>which</w:t>
            </w:r>
            <w:proofErr w:type="spellEnd"/>
            <w:r>
              <w:rPr>
                <w:rFonts w:eastAsia="Calibri"/>
                <w:sz w:val="22"/>
                <w:szCs w:val="22"/>
                <w:lang w:val="es-ES" w:eastAsia="en-US"/>
              </w:rPr>
              <w:t xml:space="preserve"> OSE </w:t>
            </w:r>
            <w:proofErr w:type="spellStart"/>
            <w:r>
              <w:rPr>
                <w:rFonts w:eastAsia="Calibri"/>
                <w:sz w:val="22"/>
                <w:szCs w:val="22"/>
                <w:lang w:val="es-ES" w:eastAsia="en-US"/>
              </w:rPr>
              <w:t>makes</w:t>
            </w:r>
            <w:proofErr w:type="spellEnd"/>
            <w:r>
              <w:rPr>
                <w:rFonts w:eastAsia="Calibri"/>
                <w:sz w:val="22"/>
                <w:szCs w:val="22"/>
                <w:lang w:val="es-ES" w:eastAsia="en-US"/>
              </w:rPr>
              <w:t xml:space="preserve"> </w:t>
            </w:r>
            <w:proofErr w:type="spellStart"/>
            <w:r>
              <w:rPr>
                <w:rFonts w:eastAsia="Calibri"/>
                <w:sz w:val="22"/>
                <w:szCs w:val="22"/>
                <w:lang w:val="es-ES" w:eastAsia="en-US"/>
              </w:rPr>
              <w:t>the</w:t>
            </w:r>
            <w:proofErr w:type="spellEnd"/>
            <w:r>
              <w:rPr>
                <w:rFonts w:eastAsia="Calibri"/>
                <w:sz w:val="22"/>
                <w:szCs w:val="22"/>
                <w:lang w:val="es-ES" w:eastAsia="en-US"/>
              </w:rPr>
              <w:t xml:space="preserve"> </w:t>
            </w:r>
            <w:proofErr w:type="spellStart"/>
            <w:r>
              <w:rPr>
                <w:rFonts w:eastAsia="Calibri"/>
                <w:sz w:val="22"/>
                <w:szCs w:val="22"/>
                <w:lang w:val="es-ES" w:eastAsia="en-US"/>
              </w:rPr>
              <w:t>claim</w:t>
            </w:r>
            <w:proofErr w:type="spellEnd"/>
            <w:r>
              <w:rPr>
                <w:rFonts w:eastAsia="Calibri"/>
                <w:sz w:val="22"/>
                <w:szCs w:val="22"/>
                <w:lang w:val="es-ES" w:eastAsia="en-US"/>
              </w:rPr>
              <w:t>.</w:t>
            </w:r>
          </w:p>
          <w:p w14:paraId="51090B1B" w14:textId="77777777" w:rsidR="00E255F4" w:rsidRDefault="00000000">
            <w:pPr>
              <w:pStyle w:val="Prrafodelista"/>
              <w:tabs>
                <w:tab w:val="left" w:pos="419"/>
              </w:tabs>
              <w:spacing w:line="240" w:lineRule="auto"/>
              <w:ind w:left="419" w:right="311"/>
              <w:jc w:val="both"/>
            </w:pPr>
            <w:proofErr w:type="spellStart"/>
            <w:r>
              <w:rPr>
                <w:rFonts w:eastAsia="Calibri"/>
                <w:sz w:val="22"/>
                <w:szCs w:val="22"/>
                <w:lang w:val="es-ES" w:eastAsia="en-US"/>
              </w:rPr>
              <w:t>If</w:t>
            </w:r>
            <w:proofErr w:type="spellEnd"/>
            <w:r>
              <w:rPr>
                <w:rFonts w:eastAsia="Calibri"/>
                <w:sz w:val="22"/>
                <w:szCs w:val="22"/>
                <w:lang w:val="es-ES" w:eastAsia="en-US"/>
              </w:rPr>
              <w:t xml:space="preserve"> </w:t>
            </w:r>
            <w:proofErr w:type="spellStart"/>
            <w:r>
              <w:rPr>
                <w:rFonts w:eastAsia="Calibri"/>
                <w:sz w:val="22"/>
                <w:szCs w:val="22"/>
                <w:lang w:val="es-ES" w:eastAsia="en-US"/>
              </w:rPr>
              <w:t>awarded</w:t>
            </w:r>
            <w:proofErr w:type="spellEnd"/>
            <w:r>
              <w:rPr>
                <w:rFonts w:eastAsia="Calibri"/>
                <w:sz w:val="22"/>
                <w:szCs w:val="22"/>
                <w:lang w:val="es-ES" w:eastAsia="en-US"/>
              </w:rPr>
              <w:t xml:space="preserve"> </w:t>
            </w:r>
            <w:proofErr w:type="spellStart"/>
            <w:r>
              <w:rPr>
                <w:rFonts w:eastAsia="Calibri"/>
                <w:sz w:val="22"/>
                <w:szCs w:val="22"/>
                <w:lang w:val="es-ES" w:eastAsia="en-US"/>
              </w:rPr>
              <w:t>the</w:t>
            </w:r>
            <w:proofErr w:type="spellEnd"/>
            <w:r>
              <w:rPr>
                <w:rFonts w:eastAsia="Calibri"/>
                <w:sz w:val="22"/>
                <w:szCs w:val="22"/>
                <w:lang w:val="es-ES" w:eastAsia="en-US"/>
              </w:rPr>
              <w:t xml:space="preserve"> </w:t>
            </w:r>
            <w:proofErr w:type="spellStart"/>
            <w:r>
              <w:rPr>
                <w:rFonts w:eastAsia="Calibri"/>
                <w:sz w:val="22"/>
                <w:szCs w:val="22"/>
                <w:lang w:val="es-ES" w:eastAsia="en-US"/>
              </w:rPr>
              <w:t>contract</w:t>
            </w:r>
            <w:proofErr w:type="spellEnd"/>
            <w:r>
              <w:rPr>
                <w:rFonts w:eastAsia="Calibri"/>
                <w:sz w:val="22"/>
                <w:szCs w:val="22"/>
                <w:lang w:val="es-ES" w:eastAsia="en-US"/>
              </w:rPr>
              <w:t xml:space="preserve">, </w:t>
            </w:r>
            <w:proofErr w:type="spellStart"/>
            <w:r>
              <w:rPr>
                <w:rFonts w:eastAsia="Calibri"/>
                <w:sz w:val="22"/>
                <w:szCs w:val="22"/>
                <w:lang w:val="es-ES" w:eastAsia="en-US"/>
              </w:rPr>
              <w:t>the</w:t>
            </w:r>
            <w:proofErr w:type="spellEnd"/>
            <w:r>
              <w:rPr>
                <w:rFonts w:eastAsia="Calibri"/>
                <w:sz w:val="22"/>
                <w:szCs w:val="22"/>
                <w:lang w:val="es-ES" w:eastAsia="en-US"/>
              </w:rPr>
              <w:t xml:space="preserve"> </w:t>
            </w:r>
            <w:proofErr w:type="spellStart"/>
            <w:r>
              <w:rPr>
                <w:rFonts w:eastAsia="Calibri"/>
                <w:sz w:val="22"/>
                <w:szCs w:val="22"/>
                <w:lang w:val="es-ES" w:eastAsia="en-US"/>
              </w:rPr>
              <w:t>guarantee</w:t>
            </w:r>
            <w:proofErr w:type="spellEnd"/>
            <w:r>
              <w:rPr>
                <w:rFonts w:eastAsia="Calibri"/>
                <w:sz w:val="22"/>
                <w:szCs w:val="22"/>
                <w:lang w:val="es-ES" w:eastAsia="en-US"/>
              </w:rPr>
              <w:t xml:space="preserve"> </w:t>
            </w:r>
            <w:proofErr w:type="spellStart"/>
            <w:r>
              <w:rPr>
                <w:rFonts w:eastAsia="Calibri"/>
                <w:sz w:val="22"/>
                <w:szCs w:val="22"/>
                <w:lang w:val="es-ES" w:eastAsia="en-US"/>
              </w:rPr>
              <w:t>documents</w:t>
            </w:r>
            <w:proofErr w:type="spellEnd"/>
            <w:r>
              <w:rPr>
                <w:rFonts w:eastAsia="Calibri"/>
                <w:sz w:val="22"/>
                <w:szCs w:val="22"/>
                <w:lang w:val="es-ES" w:eastAsia="en-US"/>
              </w:rPr>
              <w:t xml:space="preserve"> </w:t>
            </w:r>
            <w:proofErr w:type="spellStart"/>
            <w:r>
              <w:rPr>
                <w:rFonts w:eastAsia="Calibri"/>
                <w:sz w:val="22"/>
                <w:szCs w:val="22"/>
                <w:lang w:val="es-ES" w:eastAsia="en-US"/>
              </w:rPr>
              <w:t>must</w:t>
            </w:r>
            <w:proofErr w:type="spellEnd"/>
            <w:r>
              <w:rPr>
                <w:rFonts w:eastAsia="Calibri"/>
                <w:sz w:val="22"/>
                <w:szCs w:val="22"/>
                <w:lang w:val="es-ES" w:eastAsia="en-US"/>
              </w:rPr>
              <w:t xml:space="preserve"> be </w:t>
            </w:r>
            <w:proofErr w:type="spellStart"/>
            <w:r>
              <w:rPr>
                <w:rFonts w:eastAsia="Calibri"/>
                <w:sz w:val="22"/>
                <w:szCs w:val="22"/>
                <w:lang w:val="es-ES" w:eastAsia="en-US"/>
              </w:rPr>
              <w:t>submitted</w:t>
            </w:r>
            <w:proofErr w:type="spellEnd"/>
            <w:r>
              <w:rPr>
                <w:rFonts w:eastAsia="Calibri"/>
                <w:sz w:val="22"/>
                <w:szCs w:val="22"/>
                <w:lang w:val="es-ES" w:eastAsia="en-US"/>
              </w:rPr>
              <w:t xml:space="preserve"> </w:t>
            </w:r>
            <w:proofErr w:type="spellStart"/>
            <w:r>
              <w:rPr>
                <w:rFonts w:eastAsia="Calibri"/>
                <w:sz w:val="22"/>
                <w:szCs w:val="22"/>
                <w:lang w:val="es-ES" w:eastAsia="en-US"/>
              </w:rPr>
              <w:t>along</w:t>
            </w:r>
            <w:proofErr w:type="spellEnd"/>
            <w:r>
              <w:rPr>
                <w:rFonts w:eastAsia="Calibri"/>
                <w:sz w:val="22"/>
                <w:szCs w:val="22"/>
                <w:lang w:val="es-ES" w:eastAsia="en-US"/>
              </w:rPr>
              <w:t xml:space="preserve"> </w:t>
            </w:r>
            <w:proofErr w:type="spellStart"/>
            <w:r>
              <w:rPr>
                <w:rFonts w:eastAsia="Calibri"/>
                <w:sz w:val="22"/>
                <w:szCs w:val="22"/>
                <w:lang w:val="es-ES" w:eastAsia="en-US"/>
              </w:rPr>
              <w:t>with</w:t>
            </w:r>
            <w:proofErr w:type="spellEnd"/>
            <w:r>
              <w:rPr>
                <w:rFonts w:eastAsia="Calibri"/>
                <w:sz w:val="22"/>
                <w:szCs w:val="22"/>
                <w:lang w:val="es-ES" w:eastAsia="en-US"/>
              </w:rPr>
              <w:t xml:space="preserve"> </w:t>
            </w:r>
            <w:proofErr w:type="spellStart"/>
            <w:r>
              <w:rPr>
                <w:rFonts w:eastAsia="Calibri"/>
                <w:sz w:val="22"/>
                <w:szCs w:val="22"/>
                <w:lang w:val="es-ES" w:eastAsia="en-US"/>
              </w:rPr>
              <w:t>the</w:t>
            </w:r>
            <w:proofErr w:type="spellEnd"/>
            <w:r>
              <w:rPr>
                <w:rFonts w:eastAsia="Calibri"/>
                <w:sz w:val="22"/>
                <w:szCs w:val="22"/>
                <w:lang w:val="es-ES" w:eastAsia="en-US"/>
              </w:rPr>
              <w:t xml:space="preserve"> </w:t>
            </w:r>
            <w:proofErr w:type="spellStart"/>
            <w:r>
              <w:rPr>
                <w:rFonts w:eastAsia="Calibri"/>
                <w:sz w:val="22"/>
                <w:szCs w:val="22"/>
                <w:lang w:val="es-ES" w:eastAsia="en-US"/>
              </w:rPr>
              <w:t>lot</w:t>
            </w:r>
            <w:proofErr w:type="spellEnd"/>
            <w:r>
              <w:rPr>
                <w:rFonts w:eastAsia="Calibri"/>
                <w:sz w:val="22"/>
                <w:szCs w:val="22"/>
                <w:lang w:val="es-ES" w:eastAsia="en-US"/>
              </w:rPr>
              <w:t xml:space="preserve">, and </w:t>
            </w:r>
            <w:proofErr w:type="spellStart"/>
            <w:r>
              <w:rPr>
                <w:rFonts w:eastAsia="Calibri"/>
                <w:sz w:val="22"/>
                <w:szCs w:val="22"/>
                <w:lang w:val="es-ES" w:eastAsia="en-US"/>
              </w:rPr>
              <w:t>the</w:t>
            </w:r>
            <w:proofErr w:type="spellEnd"/>
            <w:r>
              <w:rPr>
                <w:rFonts w:eastAsia="Calibri"/>
                <w:sz w:val="22"/>
                <w:szCs w:val="22"/>
                <w:lang w:val="es-ES" w:eastAsia="en-US"/>
              </w:rPr>
              <w:t xml:space="preserve"> </w:t>
            </w:r>
            <w:proofErr w:type="spellStart"/>
            <w:r>
              <w:rPr>
                <w:rFonts w:eastAsia="Calibri"/>
                <w:sz w:val="22"/>
                <w:szCs w:val="22"/>
                <w:lang w:val="es-ES" w:eastAsia="en-US"/>
              </w:rPr>
              <w:t>numbering</w:t>
            </w:r>
            <w:proofErr w:type="spellEnd"/>
            <w:r>
              <w:rPr>
                <w:rFonts w:eastAsia="Calibri"/>
                <w:sz w:val="22"/>
                <w:szCs w:val="22"/>
                <w:lang w:val="es-ES" w:eastAsia="en-US"/>
              </w:rPr>
              <w:t xml:space="preserve"> </w:t>
            </w:r>
            <w:proofErr w:type="spellStart"/>
            <w:r>
              <w:rPr>
                <w:rFonts w:eastAsia="Calibri"/>
                <w:sz w:val="22"/>
                <w:szCs w:val="22"/>
                <w:lang w:val="es-ES" w:eastAsia="en-US"/>
              </w:rPr>
              <w:t>or</w:t>
            </w:r>
            <w:proofErr w:type="spellEnd"/>
            <w:r>
              <w:rPr>
                <w:rFonts w:eastAsia="Calibri"/>
                <w:sz w:val="22"/>
                <w:szCs w:val="22"/>
                <w:lang w:val="es-ES" w:eastAsia="en-US"/>
              </w:rPr>
              <w:t xml:space="preserve"> </w:t>
            </w:r>
            <w:proofErr w:type="spellStart"/>
            <w:r>
              <w:rPr>
                <w:rFonts w:eastAsia="Calibri"/>
                <w:sz w:val="22"/>
                <w:szCs w:val="22"/>
                <w:lang w:val="es-ES" w:eastAsia="en-US"/>
              </w:rPr>
              <w:t>numbering</w:t>
            </w:r>
            <w:proofErr w:type="spellEnd"/>
            <w:r>
              <w:rPr>
                <w:rFonts w:eastAsia="Calibri"/>
                <w:sz w:val="22"/>
                <w:szCs w:val="22"/>
                <w:lang w:val="es-ES" w:eastAsia="en-US"/>
              </w:rPr>
              <w:t xml:space="preserve"> </w:t>
            </w:r>
            <w:proofErr w:type="spellStart"/>
            <w:r>
              <w:rPr>
                <w:rFonts w:eastAsia="Calibri"/>
                <w:sz w:val="22"/>
                <w:szCs w:val="22"/>
                <w:lang w:val="es-ES" w:eastAsia="en-US"/>
              </w:rPr>
              <w:t>ranges</w:t>
            </w:r>
            <w:proofErr w:type="spellEnd"/>
            <w:r>
              <w:rPr>
                <w:rFonts w:eastAsia="Calibri"/>
                <w:sz w:val="22"/>
                <w:szCs w:val="22"/>
                <w:lang w:val="es-ES" w:eastAsia="en-US"/>
              </w:rPr>
              <w:t xml:space="preserve"> </w:t>
            </w:r>
            <w:proofErr w:type="spellStart"/>
            <w:r>
              <w:rPr>
                <w:rFonts w:eastAsia="Calibri"/>
                <w:sz w:val="22"/>
                <w:szCs w:val="22"/>
                <w:lang w:val="es-ES" w:eastAsia="en-US"/>
              </w:rPr>
              <w:t>of</w:t>
            </w:r>
            <w:proofErr w:type="spellEnd"/>
            <w:r>
              <w:rPr>
                <w:rFonts w:eastAsia="Calibri"/>
                <w:sz w:val="22"/>
                <w:szCs w:val="22"/>
                <w:lang w:val="es-ES" w:eastAsia="en-US"/>
              </w:rPr>
              <w:t xml:space="preserve"> </w:t>
            </w:r>
            <w:proofErr w:type="spellStart"/>
            <w:r>
              <w:rPr>
                <w:rFonts w:eastAsia="Calibri"/>
                <w:sz w:val="22"/>
                <w:szCs w:val="22"/>
                <w:lang w:val="es-ES" w:eastAsia="en-US"/>
              </w:rPr>
              <w:t>the</w:t>
            </w:r>
            <w:proofErr w:type="spellEnd"/>
            <w:r>
              <w:rPr>
                <w:rFonts w:eastAsia="Calibri"/>
                <w:sz w:val="22"/>
                <w:szCs w:val="22"/>
                <w:lang w:val="es-ES" w:eastAsia="en-US"/>
              </w:rPr>
              <w:t xml:space="preserve"> </w:t>
            </w:r>
            <w:proofErr w:type="spellStart"/>
            <w:r>
              <w:rPr>
                <w:rFonts w:eastAsia="Calibri"/>
                <w:sz w:val="22"/>
                <w:szCs w:val="22"/>
                <w:lang w:val="es-ES" w:eastAsia="en-US"/>
              </w:rPr>
              <w:t>integrated</w:t>
            </w:r>
            <w:proofErr w:type="spellEnd"/>
            <w:r>
              <w:rPr>
                <w:rFonts w:eastAsia="Calibri"/>
                <w:sz w:val="22"/>
                <w:szCs w:val="22"/>
                <w:lang w:val="es-ES" w:eastAsia="en-US"/>
              </w:rPr>
              <w:t xml:space="preserve"> </w:t>
            </w:r>
            <w:proofErr w:type="spellStart"/>
            <w:r>
              <w:rPr>
                <w:rFonts w:eastAsia="Calibri"/>
                <w:sz w:val="22"/>
                <w:szCs w:val="22"/>
                <w:lang w:val="es-ES" w:eastAsia="en-US"/>
              </w:rPr>
              <w:t>smart</w:t>
            </w:r>
            <w:proofErr w:type="spellEnd"/>
            <w:r>
              <w:rPr>
                <w:rFonts w:eastAsia="Calibri"/>
                <w:sz w:val="22"/>
                <w:szCs w:val="22"/>
                <w:lang w:val="es-ES" w:eastAsia="en-US"/>
              </w:rPr>
              <w:t xml:space="preserve"> </w:t>
            </w:r>
            <w:proofErr w:type="spellStart"/>
            <w:r>
              <w:rPr>
                <w:rFonts w:eastAsia="Calibri"/>
                <w:sz w:val="22"/>
                <w:szCs w:val="22"/>
                <w:lang w:val="es-ES" w:eastAsia="en-US"/>
              </w:rPr>
              <w:t>meters</w:t>
            </w:r>
            <w:proofErr w:type="spellEnd"/>
            <w:r>
              <w:rPr>
                <w:rFonts w:eastAsia="Calibri"/>
                <w:sz w:val="22"/>
                <w:szCs w:val="22"/>
                <w:lang w:val="es-ES" w:eastAsia="en-US"/>
              </w:rPr>
              <w:t xml:space="preserve"> </w:t>
            </w:r>
            <w:proofErr w:type="spellStart"/>
            <w:r>
              <w:rPr>
                <w:rFonts w:eastAsia="Calibri"/>
                <w:sz w:val="22"/>
                <w:szCs w:val="22"/>
                <w:lang w:val="es-ES" w:eastAsia="en-US"/>
              </w:rPr>
              <w:t>to</w:t>
            </w:r>
            <w:proofErr w:type="spellEnd"/>
            <w:r>
              <w:rPr>
                <w:rFonts w:eastAsia="Calibri"/>
                <w:sz w:val="22"/>
                <w:szCs w:val="22"/>
                <w:lang w:val="es-ES" w:eastAsia="en-US"/>
              </w:rPr>
              <w:t xml:space="preserve"> </w:t>
            </w:r>
            <w:proofErr w:type="spellStart"/>
            <w:r>
              <w:rPr>
                <w:rFonts w:eastAsia="Calibri"/>
                <w:sz w:val="22"/>
                <w:szCs w:val="22"/>
                <w:lang w:val="es-ES" w:eastAsia="en-US"/>
              </w:rPr>
              <w:t>which</w:t>
            </w:r>
            <w:proofErr w:type="spellEnd"/>
            <w:r>
              <w:rPr>
                <w:rFonts w:eastAsia="Calibri"/>
                <w:sz w:val="22"/>
                <w:szCs w:val="22"/>
                <w:lang w:val="es-ES" w:eastAsia="en-US"/>
              </w:rPr>
              <w:t xml:space="preserve"> </w:t>
            </w:r>
            <w:proofErr w:type="spellStart"/>
            <w:r>
              <w:rPr>
                <w:rFonts w:eastAsia="Calibri"/>
                <w:sz w:val="22"/>
                <w:szCs w:val="22"/>
                <w:lang w:val="es-ES" w:eastAsia="en-US"/>
              </w:rPr>
              <w:t>they</w:t>
            </w:r>
            <w:proofErr w:type="spellEnd"/>
            <w:r>
              <w:rPr>
                <w:rFonts w:eastAsia="Calibri"/>
                <w:sz w:val="22"/>
                <w:szCs w:val="22"/>
                <w:lang w:val="es-ES" w:eastAsia="en-US"/>
              </w:rPr>
              <w:t xml:space="preserve"> </w:t>
            </w:r>
            <w:proofErr w:type="spellStart"/>
            <w:r>
              <w:rPr>
                <w:rFonts w:eastAsia="Calibri"/>
                <w:sz w:val="22"/>
                <w:szCs w:val="22"/>
                <w:lang w:val="es-ES" w:eastAsia="en-US"/>
              </w:rPr>
              <w:t>refer</w:t>
            </w:r>
            <w:proofErr w:type="spellEnd"/>
            <w:r>
              <w:rPr>
                <w:rFonts w:eastAsia="Calibri"/>
                <w:sz w:val="22"/>
                <w:szCs w:val="22"/>
                <w:lang w:val="es-ES" w:eastAsia="en-US"/>
              </w:rPr>
              <w:t xml:space="preserve"> </w:t>
            </w:r>
            <w:proofErr w:type="spellStart"/>
            <w:r>
              <w:rPr>
                <w:rFonts w:eastAsia="Calibri"/>
                <w:sz w:val="22"/>
                <w:szCs w:val="22"/>
                <w:lang w:val="es-ES" w:eastAsia="en-US"/>
              </w:rPr>
              <w:t>must</w:t>
            </w:r>
            <w:proofErr w:type="spellEnd"/>
            <w:r>
              <w:rPr>
                <w:rFonts w:eastAsia="Calibri"/>
                <w:sz w:val="22"/>
                <w:szCs w:val="22"/>
                <w:lang w:val="es-ES" w:eastAsia="en-US"/>
              </w:rPr>
              <w:t xml:space="preserve"> be </w:t>
            </w:r>
            <w:proofErr w:type="spellStart"/>
            <w:r>
              <w:rPr>
                <w:rFonts w:eastAsia="Calibri"/>
                <w:sz w:val="22"/>
                <w:szCs w:val="22"/>
                <w:lang w:val="es-ES" w:eastAsia="en-US"/>
              </w:rPr>
              <w:t>specified</w:t>
            </w:r>
            <w:proofErr w:type="spellEnd"/>
            <w:r>
              <w:rPr>
                <w:rFonts w:eastAsia="Calibri"/>
                <w:sz w:val="22"/>
                <w:szCs w:val="22"/>
                <w:lang w:val="es-ES" w:eastAsia="en-US"/>
              </w:rPr>
              <w:t xml:space="preserve">, so </w:t>
            </w:r>
            <w:proofErr w:type="spellStart"/>
            <w:r>
              <w:rPr>
                <w:rFonts w:eastAsia="Calibri"/>
                <w:sz w:val="22"/>
                <w:szCs w:val="22"/>
                <w:lang w:val="es-ES" w:eastAsia="en-US"/>
              </w:rPr>
              <w:t>that</w:t>
            </w:r>
            <w:proofErr w:type="spellEnd"/>
            <w:r>
              <w:rPr>
                <w:rFonts w:eastAsia="Calibri"/>
                <w:sz w:val="22"/>
                <w:szCs w:val="22"/>
                <w:lang w:val="es-ES" w:eastAsia="en-US"/>
              </w:rPr>
              <w:t xml:space="preserve"> </w:t>
            </w:r>
            <w:proofErr w:type="spellStart"/>
            <w:r>
              <w:rPr>
                <w:rFonts w:eastAsia="Calibri"/>
                <w:sz w:val="22"/>
                <w:szCs w:val="22"/>
                <w:lang w:val="es-ES" w:eastAsia="en-US"/>
              </w:rPr>
              <w:t>the</w:t>
            </w:r>
            <w:proofErr w:type="spellEnd"/>
            <w:r>
              <w:rPr>
                <w:rFonts w:eastAsia="Calibri"/>
                <w:sz w:val="22"/>
                <w:szCs w:val="22"/>
                <w:lang w:val="es-ES" w:eastAsia="en-US"/>
              </w:rPr>
              <w:t xml:space="preserve"> </w:t>
            </w:r>
            <w:proofErr w:type="spellStart"/>
            <w:r>
              <w:rPr>
                <w:rFonts w:eastAsia="Calibri"/>
                <w:sz w:val="22"/>
                <w:szCs w:val="22"/>
                <w:lang w:val="es-ES" w:eastAsia="en-US"/>
              </w:rPr>
              <w:t>Administration</w:t>
            </w:r>
            <w:proofErr w:type="spellEnd"/>
            <w:r>
              <w:rPr>
                <w:rFonts w:eastAsia="Calibri"/>
                <w:sz w:val="22"/>
                <w:szCs w:val="22"/>
                <w:lang w:val="es-ES" w:eastAsia="en-US"/>
              </w:rPr>
              <w:t xml:space="preserve"> can </w:t>
            </w:r>
            <w:proofErr w:type="spellStart"/>
            <w:r>
              <w:rPr>
                <w:rFonts w:eastAsia="Calibri"/>
                <w:sz w:val="22"/>
                <w:szCs w:val="22"/>
                <w:lang w:val="es-ES" w:eastAsia="en-US"/>
              </w:rPr>
              <w:t>exercise</w:t>
            </w:r>
            <w:proofErr w:type="spellEnd"/>
            <w:r>
              <w:rPr>
                <w:rFonts w:eastAsia="Calibri"/>
                <w:sz w:val="22"/>
                <w:szCs w:val="22"/>
                <w:lang w:val="es-ES" w:eastAsia="en-US"/>
              </w:rPr>
              <w:t xml:space="preserve"> </w:t>
            </w:r>
            <w:proofErr w:type="spellStart"/>
            <w:r>
              <w:rPr>
                <w:rFonts w:eastAsia="Calibri"/>
                <w:sz w:val="22"/>
                <w:szCs w:val="22"/>
                <w:lang w:val="es-ES" w:eastAsia="en-US"/>
              </w:rPr>
              <w:t>its</w:t>
            </w:r>
            <w:proofErr w:type="spellEnd"/>
            <w:r>
              <w:rPr>
                <w:rFonts w:eastAsia="Calibri"/>
                <w:sz w:val="22"/>
                <w:szCs w:val="22"/>
                <w:lang w:val="es-ES" w:eastAsia="en-US"/>
              </w:rPr>
              <w:t xml:space="preserve"> </w:t>
            </w:r>
            <w:proofErr w:type="spellStart"/>
            <w:r>
              <w:rPr>
                <w:rFonts w:eastAsia="Calibri"/>
                <w:sz w:val="22"/>
                <w:szCs w:val="22"/>
                <w:lang w:val="es-ES" w:eastAsia="en-US"/>
              </w:rPr>
              <w:t>rights</w:t>
            </w:r>
            <w:proofErr w:type="spellEnd"/>
            <w:r>
              <w:rPr>
                <w:rFonts w:eastAsia="Calibri"/>
                <w:sz w:val="22"/>
                <w:szCs w:val="22"/>
                <w:lang w:val="es-ES" w:eastAsia="en-US"/>
              </w:rPr>
              <w:t xml:space="preserve"> in cases </w:t>
            </w:r>
            <w:proofErr w:type="spellStart"/>
            <w:r>
              <w:rPr>
                <w:rFonts w:eastAsia="Calibri"/>
                <w:sz w:val="22"/>
                <w:szCs w:val="22"/>
                <w:lang w:val="es-ES" w:eastAsia="en-US"/>
              </w:rPr>
              <w:t>of</w:t>
            </w:r>
            <w:proofErr w:type="spellEnd"/>
            <w:r>
              <w:rPr>
                <w:rFonts w:eastAsia="Calibri"/>
                <w:sz w:val="22"/>
                <w:szCs w:val="22"/>
                <w:lang w:val="es-ES" w:eastAsia="en-US"/>
              </w:rPr>
              <w:t xml:space="preserve"> </w:t>
            </w:r>
            <w:proofErr w:type="spellStart"/>
            <w:r>
              <w:rPr>
                <w:rFonts w:eastAsia="Calibri"/>
                <w:sz w:val="22"/>
                <w:szCs w:val="22"/>
                <w:lang w:val="es-ES" w:eastAsia="en-US"/>
              </w:rPr>
              <w:t>quality</w:t>
            </w:r>
            <w:proofErr w:type="spellEnd"/>
            <w:r>
              <w:rPr>
                <w:rFonts w:eastAsia="Calibri"/>
                <w:sz w:val="22"/>
                <w:szCs w:val="22"/>
                <w:lang w:val="es-ES" w:eastAsia="en-US"/>
              </w:rPr>
              <w:t xml:space="preserve"> </w:t>
            </w:r>
            <w:proofErr w:type="spellStart"/>
            <w:r>
              <w:rPr>
                <w:rFonts w:eastAsia="Calibri"/>
                <w:sz w:val="22"/>
                <w:szCs w:val="22"/>
                <w:lang w:val="es-ES" w:eastAsia="en-US"/>
              </w:rPr>
              <w:t>deficiency</w:t>
            </w:r>
            <w:proofErr w:type="spellEnd"/>
            <w:r>
              <w:rPr>
                <w:rFonts w:eastAsia="Calibri"/>
                <w:sz w:val="22"/>
                <w:szCs w:val="22"/>
                <w:lang w:val="es-ES" w:eastAsia="en-US"/>
              </w:rPr>
              <w:t xml:space="preserve"> </w:t>
            </w:r>
            <w:proofErr w:type="spellStart"/>
            <w:r>
              <w:rPr>
                <w:rFonts w:eastAsia="Calibri"/>
                <w:sz w:val="22"/>
                <w:szCs w:val="22"/>
                <w:lang w:val="es-ES" w:eastAsia="en-US"/>
              </w:rPr>
              <w:t>of</w:t>
            </w:r>
            <w:proofErr w:type="spellEnd"/>
            <w:r>
              <w:rPr>
                <w:rFonts w:eastAsia="Calibri"/>
                <w:sz w:val="22"/>
                <w:szCs w:val="22"/>
                <w:lang w:val="es-ES" w:eastAsia="en-US"/>
              </w:rPr>
              <w:t xml:space="preserve"> </w:t>
            </w:r>
            <w:proofErr w:type="spellStart"/>
            <w:r>
              <w:rPr>
                <w:rFonts w:eastAsia="Calibri"/>
                <w:sz w:val="22"/>
                <w:szCs w:val="22"/>
                <w:lang w:val="es-ES" w:eastAsia="en-US"/>
              </w:rPr>
              <w:t>the</w:t>
            </w:r>
            <w:proofErr w:type="spellEnd"/>
            <w:r>
              <w:rPr>
                <w:rFonts w:eastAsia="Calibri"/>
                <w:sz w:val="22"/>
                <w:szCs w:val="22"/>
                <w:lang w:val="es-ES" w:eastAsia="en-US"/>
              </w:rPr>
              <w:t xml:space="preserve"> </w:t>
            </w:r>
            <w:proofErr w:type="spellStart"/>
            <w:r>
              <w:rPr>
                <w:rFonts w:eastAsia="Calibri"/>
                <w:sz w:val="22"/>
                <w:szCs w:val="22"/>
                <w:lang w:val="es-ES" w:eastAsia="en-US"/>
              </w:rPr>
              <w:t>integrated</w:t>
            </w:r>
            <w:proofErr w:type="spellEnd"/>
            <w:r>
              <w:rPr>
                <w:rFonts w:eastAsia="Calibri"/>
                <w:sz w:val="22"/>
                <w:szCs w:val="22"/>
                <w:lang w:val="es-ES" w:eastAsia="en-US"/>
              </w:rPr>
              <w:t xml:space="preserve"> </w:t>
            </w:r>
            <w:proofErr w:type="spellStart"/>
            <w:r>
              <w:rPr>
                <w:rFonts w:eastAsia="Calibri"/>
                <w:sz w:val="22"/>
                <w:szCs w:val="22"/>
                <w:lang w:val="es-ES" w:eastAsia="en-US"/>
              </w:rPr>
              <w:t>smart</w:t>
            </w:r>
            <w:proofErr w:type="spellEnd"/>
            <w:r>
              <w:rPr>
                <w:rFonts w:eastAsia="Calibri"/>
                <w:sz w:val="22"/>
                <w:szCs w:val="22"/>
                <w:lang w:val="es-ES" w:eastAsia="en-US"/>
              </w:rPr>
              <w:t xml:space="preserve"> </w:t>
            </w:r>
            <w:proofErr w:type="spellStart"/>
            <w:r>
              <w:rPr>
                <w:rFonts w:eastAsia="Calibri"/>
                <w:sz w:val="22"/>
                <w:szCs w:val="22"/>
                <w:lang w:val="es-ES" w:eastAsia="en-US"/>
              </w:rPr>
              <w:t>meters</w:t>
            </w:r>
            <w:proofErr w:type="spellEnd"/>
            <w:r>
              <w:rPr>
                <w:rFonts w:eastAsia="Calibri"/>
                <w:sz w:val="22"/>
                <w:szCs w:val="22"/>
                <w:lang w:val="es-ES" w:eastAsia="en-US"/>
              </w:rPr>
              <w:t>.</w:t>
            </w:r>
          </w:p>
          <w:p w14:paraId="62FBF548" w14:textId="77777777" w:rsidR="00E255F4" w:rsidRDefault="00000000">
            <w:pPr>
              <w:pStyle w:val="Prrafodelista"/>
              <w:tabs>
                <w:tab w:val="left" w:pos="419"/>
              </w:tabs>
              <w:spacing w:after="120" w:line="240" w:lineRule="auto"/>
              <w:ind w:left="419" w:right="311"/>
              <w:jc w:val="both"/>
              <w:rPr>
                <w:rFonts w:eastAsia="Calibri"/>
                <w:sz w:val="22"/>
                <w:szCs w:val="22"/>
                <w:lang w:val="es-ES" w:eastAsia="en-US"/>
              </w:rPr>
            </w:pPr>
            <w:proofErr w:type="spellStart"/>
            <w:r>
              <w:rPr>
                <w:rFonts w:eastAsia="Calibri"/>
                <w:sz w:val="22"/>
                <w:szCs w:val="22"/>
                <w:lang w:val="es-ES" w:eastAsia="en-US"/>
              </w:rPr>
              <w:t>Only</w:t>
            </w:r>
            <w:proofErr w:type="spellEnd"/>
            <w:r>
              <w:rPr>
                <w:rFonts w:eastAsia="Calibri"/>
                <w:sz w:val="22"/>
                <w:szCs w:val="22"/>
                <w:lang w:val="es-ES" w:eastAsia="en-US"/>
              </w:rPr>
              <w:t xml:space="preserve"> </w:t>
            </w:r>
            <w:proofErr w:type="spellStart"/>
            <w:r>
              <w:rPr>
                <w:rFonts w:eastAsia="Calibri"/>
                <w:sz w:val="22"/>
                <w:szCs w:val="22"/>
                <w:lang w:val="es-ES" w:eastAsia="en-US"/>
              </w:rPr>
              <w:t>documents</w:t>
            </w:r>
            <w:proofErr w:type="spellEnd"/>
            <w:r>
              <w:rPr>
                <w:rFonts w:eastAsia="Calibri"/>
                <w:sz w:val="22"/>
                <w:szCs w:val="22"/>
                <w:lang w:val="es-ES" w:eastAsia="en-US"/>
              </w:rPr>
              <w:t xml:space="preserve"> </w:t>
            </w:r>
            <w:proofErr w:type="spellStart"/>
            <w:r>
              <w:rPr>
                <w:rFonts w:eastAsia="Calibri"/>
                <w:sz w:val="22"/>
                <w:szCs w:val="22"/>
                <w:lang w:val="es-ES" w:eastAsia="en-US"/>
              </w:rPr>
              <w:t>issued</w:t>
            </w:r>
            <w:proofErr w:type="spellEnd"/>
            <w:r>
              <w:rPr>
                <w:rFonts w:eastAsia="Calibri"/>
                <w:sz w:val="22"/>
                <w:szCs w:val="22"/>
                <w:lang w:val="es-ES" w:eastAsia="en-US"/>
              </w:rPr>
              <w:t xml:space="preserve"> in Spanish, English, </w:t>
            </w:r>
            <w:proofErr w:type="spellStart"/>
            <w:r>
              <w:rPr>
                <w:rFonts w:eastAsia="Calibri"/>
                <w:sz w:val="22"/>
                <w:szCs w:val="22"/>
                <w:lang w:val="es-ES" w:eastAsia="en-US"/>
              </w:rPr>
              <w:t>or</w:t>
            </w:r>
            <w:proofErr w:type="spellEnd"/>
            <w:r>
              <w:rPr>
                <w:rFonts w:eastAsia="Calibri"/>
                <w:sz w:val="22"/>
                <w:szCs w:val="22"/>
                <w:lang w:val="es-ES" w:eastAsia="en-US"/>
              </w:rPr>
              <w:t xml:space="preserve"> Portuguese </w:t>
            </w:r>
            <w:proofErr w:type="spellStart"/>
            <w:r>
              <w:rPr>
                <w:rFonts w:eastAsia="Calibri"/>
                <w:sz w:val="22"/>
                <w:szCs w:val="22"/>
                <w:lang w:val="es-ES" w:eastAsia="en-US"/>
              </w:rPr>
              <w:t>will</w:t>
            </w:r>
            <w:proofErr w:type="spellEnd"/>
            <w:r>
              <w:rPr>
                <w:rFonts w:eastAsia="Calibri"/>
                <w:sz w:val="22"/>
                <w:szCs w:val="22"/>
                <w:lang w:val="es-ES" w:eastAsia="en-US"/>
              </w:rPr>
              <w:t xml:space="preserve"> be </w:t>
            </w:r>
            <w:proofErr w:type="spellStart"/>
            <w:r>
              <w:rPr>
                <w:rFonts w:eastAsia="Calibri"/>
                <w:sz w:val="22"/>
                <w:szCs w:val="22"/>
                <w:lang w:val="es-ES" w:eastAsia="en-US"/>
              </w:rPr>
              <w:t>considered</w:t>
            </w:r>
            <w:proofErr w:type="spellEnd"/>
            <w:r>
              <w:rPr>
                <w:rFonts w:eastAsia="Calibri"/>
                <w:sz w:val="22"/>
                <w:szCs w:val="22"/>
                <w:lang w:val="es-ES" w:eastAsia="en-US"/>
              </w:rPr>
              <w:t xml:space="preserve">. </w:t>
            </w:r>
            <w:proofErr w:type="spellStart"/>
            <w:r>
              <w:rPr>
                <w:rFonts w:eastAsia="Calibri"/>
                <w:sz w:val="22"/>
                <w:szCs w:val="22"/>
                <w:lang w:val="es-ES" w:eastAsia="en-US"/>
              </w:rPr>
              <w:t>Those</w:t>
            </w:r>
            <w:proofErr w:type="spellEnd"/>
            <w:r>
              <w:rPr>
                <w:rFonts w:eastAsia="Calibri"/>
                <w:sz w:val="22"/>
                <w:szCs w:val="22"/>
                <w:lang w:val="es-ES" w:eastAsia="en-US"/>
              </w:rPr>
              <w:t xml:space="preserve"> </w:t>
            </w:r>
            <w:proofErr w:type="spellStart"/>
            <w:r>
              <w:rPr>
                <w:rFonts w:eastAsia="Calibri"/>
                <w:sz w:val="22"/>
                <w:szCs w:val="22"/>
                <w:lang w:val="es-ES" w:eastAsia="en-US"/>
              </w:rPr>
              <w:t>written</w:t>
            </w:r>
            <w:proofErr w:type="spellEnd"/>
            <w:r>
              <w:rPr>
                <w:rFonts w:eastAsia="Calibri"/>
                <w:sz w:val="22"/>
                <w:szCs w:val="22"/>
                <w:lang w:val="es-ES" w:eastAsia="en-US"/>
              </w:rPr>
              <w:t xml:space="preserve"> in </w:t>
            </w:r>
            <w:proofErr w:type="spellStart"/>
            <w:r>
              <w:rPr>
                <w:rFonts w:eastAsia="Calibri"/>
                <w:sz w:val="22"/>
                <w:szCs w:val="22"/>
                <w:lang w:val="es-ES" w:eastAsia="en-US"/>
              </w:rPr>
              <w:t>other</w:t>
            </w:r>
            <w:proofErr w:type="spellEnd"/>
            <w:r>
              <w:rPr>
                <w:rFonts w:eastAsia="Calibri"/>
                <w:sz w:val="22"/>
                <w:szCs w:val="22"/>
                <w:lang w:val="es-ES" w:eastAsia="en-US"/>
              </w:rPr>
              <w:t xml:space="preserve"> </w:t>
            </w:r>
            <w:proofErr w:type="spellStart"/>
            <w:r>
              <w:rPr>
                <w:rFonts w:eastAsia="Calibri"/>
                <w:sz w:val="22"/>
                <w:szCs w:val="22"/>
                <w:lang w:val="es-ES" w:eastAsia="en-US"/>
              </w:rPr>
              <w:t>languages</w:t>
            </w:r>
            <w:proofErr w:type="spellEnd"/>
            <w:r>
              <w:rPr>
                <w:rFonts w:eastAsia="Calibri"/>
                <w:sz w:val="22"/>
                <w:szCs w:val="22"/>
                <w:lang w:val="es-ES" w:eastAsia="en-US"/>
              </w:rPr>
              <w:t xml:space="preserve"> ​​</w:t>
            </w:r>
            <w:proofErr w:type="spellStart"/>
            <w:r>
              <w:rPr>
                <w:rFonts w:eastAsia="Calibri"/>
                <w:sz w:val="22"/>
                <w:szCs w:val="22"/>
                <w:lang w:val="es-ES" w:eastAsia="en-US"/>
              </w:rPr>
              <w:t>must</w:t>
            </w:r>
            <w:proofErr w:type="spellEnd"/>
            <w:r>
              <w:rPr>
                <w:rFonts w:eastAsia="Calibri"/>
                <w:sz w:val="22"/>
                <w:szCs w:val="22"/>
                <w:lang w:val="es-ES" w:eastAsia="en-US"/>
              </w:rPr>
              <w:t xml:space="preserve"> be </w:t>
            </w:r>
            <w:proofErr w:type="spellStart"/>
            <w:r>
              <w:rPr>
                <w:rFonts w:eastAsia="Calibri"/>
                <w:sz w:val="22"/>
                <w:szCs w:val="22"/>
                <w:lang w:val="es-ES" w:eastAsia="en-US"/>
              </w:rPr>
              <w:t>duly</w:t>
            </w:r>
            <w:proofErr w:type="spellEnd"/>
            <w:r>
              <w:rPr>
                <w:rFonts w:eastAsia="Calibri"/>
                <w:sz w:val="22"/>
                <w:szCs w:val="22"/>
                <w:lang w:val="es-ES" w:eastAsia="en-US"/>
              </w:rPr>
              <w:t xml:space="preserve"> </w:t>
            </w:r>
            <w:proofErr w:type="spellStart"/>
            <w:r>
              <w:rPr>
                <w:rFonts w:eastAsia="Calibri"/>
                <w:sz w:val="22"/>
                <w:szCs w:val="22"/>
                <w:lang w:val="es-ES" w:eastAsia="en-US"/>
              </w:rPr>
              <w:t>translated</w:t>
            </w:r>
            <w:proofErr w:type="spellEnd"/>
            <w:r>
              <w:rPr>
                <w:rFonts w:eastAsia="Calibri"/>
                <w:sz w:val="22"/>
                <w:szCs w:val="22"/>
                <w:lang w:val="es-ES" w:eastAsia="en-US"/>
              </w:rPr>
              <w:t xml:space="preserve"> </w:t>
            </w:r>
            <w:proofErr w:type="spellStart"/>
            <w:r>
              <w:rPr>
                <w:rFonts w:eastAsia="Calibri"/>
                <w:sz w:val="22"/>
                <w:szCs w:val="22"/>
                <w:lang w:val="es-ES" w:eastAsia="en-US"/>
              </w:rPr>
              <w:t>into</w:t>
            </w:r>
            <w:proofErr w:type="spellEnd"/>
            <w:r>
              <w:rPr>
                <w:rFonts w:eastAsia="Calibri"/>
                <w:sz w:val="22"/>
                <w:szCs w:val="22"/>
                <w:lang w:val="es-ES" w:eastAsia="en-US"/>
              </w:rPr>
              <w:t xml:space="preserve"> Spanish.</w:t>
            </w:r>
          </w:p>
          <w:p w14:paraId="76FDA943" w14:textId="77777777" w:rsidR="00E255F4" w:rsidRDefault="00000000">
            <w:pPr>
              <w:pStyle w:val="Prrafodelista"/>
              <w:numPr>
                <w:ilvl w:val="0"/>
                <w:numId w:val="67"/>
              </w:numPr>
              <w:tabs>
                <w:tab w:val="left" w:pos="419"/>
              </w:tabs>
              <w:spacing w:after="120" w:line="240" w:lineRule="auto"/>
              <w:ind w:left="561" w:right="311" w:hanging="425"/>
              <w:jc w:val="both"/>
              <w:rPr>
                <w:rFonts w:eastAsia="Calibri"/>
                <w:b/>
                <w:sz w:val="22"/>
                <w:szCs w:val="22"/>
                <w:lang w:val="es-ES" w:eastAsia="en-US"/>
              </w:rPr>
            </w:pPr>
            <w:r>
              <w:rPr>
                <w:rFonts w:eastAsia="Calibri"/>
                <w:b/>
                <w:sz w:val="22"/>
                <w:szCs w:val="22"/>
                <w:lang w:val="es-ES" w:eastAsia="en-US"/>
              </w:rPr>
              <w:t xml:space="preserve">Letter </w:t>
            </w:r>
            <w:proofErr w:type="spellStart"/>
            <w:r>
              <w:rPr>
                <w:rFonts w:eastAsia="Calibri"/>
                <w:b/>
                <w:sz w:val="22"/>
                <w:szCs w:val="22"/>
                <w:lang w:val="es-ES" w:eastAsia="en-US"/>
              </w:rPr>
              <w:t>from</w:t>
            </w:r>
            <w:proofErr w:type="spellEnd"/>
            <w:r>
              <w:rPr>
                <w:rFonts w:eastAsia="Calibri"/>
                <w:b/>
                <w:sz w:val="22"/>
                <w:szCs w:val="22"/>
                <w:lang w:val="es-ES" w:eastAsia="en-US"/>
              </w:rPr>
              <w:t xml:space="preserve"> </w:t>
            </w:r>
            <w:proofErr w:type="spellStart"/>
            <w:r>
              <w:rPr>
                <w:rFonts w:eastAsia="Calibri"/>
                <w:b/>
                <w:sz w:val="22"/>
                <w:szCs w:val="22"/>
                <w:lang w:val="es-ES" w:eastAsia="en-US"/>
              </w:rPr>
              <w:t>the</w:t>
            </w:r>
            <w:proofErr w:type="spellEnd"/>
            <w:r>
              <w:rPr>
                <w:rFonts w:eastAsia="Calibri"/>
                <w:b/>
                <w:sz w:val="22"/>
                <w:szCs w:val="22"/>
                <w:lang w:val="es-ES" w:eastAsia="en-US"/>
              </w:rPr>
              <w:t xml:space="preserve"> </w:t>
            </w:r>
            <w:proofErr w:type="spellStart"/>
            <w:r>
              <w:rPr>
                <w:rFonts w:eastAsia="Calibri"/>
                <w:b/>
                <w:sz w:val="22"/>
                <w:szCs w:val="22"/>
                <w:lang w:val="es-ES" w:eastAsia="en-US"/>
              </w:rPr>
              <w:t>offeror</w:t>
            </w:r>
            <w:proofErr w:type="spellEnd"/>
          </w:p>
          <w:p w14:paraId="7C5374EF" w14:textId="77777777" w:rsidR="00E255F4" w:rsidRDefault="00000000">
            <w:pPr>
              <w:pStyle w:val="Prrafodelista"/>
              <w:tabs>
                <w:tab w:val="left" w:pos="419"/>
              </w:tabs>
              <w:spacing w:before="240" w:after="120" w:line="240" w:lineRule="auto"/>
              <w:ind w:left="419" w:right="311"/>
              <w:jc w:val="both"/>
              <w:rPr>
                <w:sz w:val="22"/>
                <w:szCs w:val="22"/>
                <w:lang w:val="es-ES" w:eastAsia="en-US"/>
              </w:rPr>
            </w:pPr>
            <w:r>
              <w:rPr>
                <w:rFonts w:eastAsia="Calibri"/>
                <w:sz w:val="22"/>
                <w:szCs w:val="22"/>
                <w:lang w:val="es-ES" w:eastAsia="en-US"/>
              </w:rPr>
              <w:t xml:space="preserve">The </w:t>
            </w:r>
            <w:proofErr w:type="spellStart"/>
            <w:r>
              <w:rPr>
                <w:rFonts w:eastAsia="Calibri"/>
                <w:sz w:val="22"/>
                <w:szCs w:val="22"/>
                <w:lang w:val="es-ES" w:eastAsia="en-US"/>
              </w:rPr>
              <w:t>offer</w:t>
            </w:r>
            <w:proofErr w:type="spellEnd"/>
            <w:r>
              <w:rPr>
                <w:rFonts w:eastAsia="Calibri"/>
                <w:sz w:val="22"/>
                <w:szCs w:val="22"/>
                <w:lang w:val="es-ES" w:eastAsia="en-US"/>
              </w:rPr>
              <w:t xml:space="preserve"> </w:t>
            </w:r>
            <w:proofErr w:type="spellStart"/>
            <w:r>
              <w:rPr>
                <w:rFonts w:eastAsia="Calibri"/>
                <w:sz w:val="22"/>
                <w:szCs w:val="22"/>
                <w:lang w:val="es-ES" w:eastAsia="en-US"/>
              </w:rPr>
              <w:t>must</w:t>
            </w:r>
            <w:proofErr w:type="spellEnd"/>
            <w:r>
              <w:rPr>
                <w:rFonts w:eastAsia="Calibri"/>
                <w:sz w:val="22"/>
                <w:szCs w:val="22"/>
                <w:lang w:val="es-ES" w:eastAsia="en-US"/>
              </w:rPr>
              <w:t xml:space="preserve"> </w:t>
            </w:r>
            <w:proofErr w:type="spellStart"/>
            <w:r>
              <w:rPr>
                <w:rFonts w:eastAsia="Calibri"/>
                <w:sz w:val="22"/>
                <w:szCs w:val="22"/>
                <w:lang w:val="es-ES" w:eastAsia="en-US"/>
              </w:rPr>
              <w:t>include</w:t>
            </w:r>
            <w:proofErr w:type="spellEnd"/>
            <w:r>
              <w:rPr>
                <w:rFonts w:eastAsia="Calibri"/>
                <w:sz w:val="22"/>
                <w:szCs w:val="22"/>
                <w:lang w:val="es-ES" w:eastAsia="en-US"/>
              </w:rPr>
              <w:t xml:space="preserve"> a </w:t>
            </w:r>
            <w:proofErr w:type="spellStart"/>
            <w:r>
              <w:rPr>
                <w:rFonts w:eastAsia="Calibri"/>
                <w:sz w:val="22"/>
                <w:szCs w:val="22"/>
                <w:lang w:val="es-ES" w:eastAsia="en-US"/>
              </w:rPr>
              <w:t>letter</w:t>
            </w:r>
            <w:proofErr w:type="spellEnd"/>
            <w:r>
              <w:rPr>
                <w:rFonts w:eastAsia="Calibri"/>
                <w:sz w:val="22"/>
                <w:szCs w:val="22"/>
                <w:lang w:val="es-ES" w:eastAsia="en-US"/>
              </w:rPr>
              <w:t xml:space="preserve"> </w:t>
            </w:r>
            <w:proofErr w:type="spellStart"/>
            <w:r>
              <w:rPr>
                <w:rFonts w:eastAsia="Calibri"/>
                <w:sz w:val="22"/>
                <w:szCs w:val="22"/>
                <w:lang w:val="es-ES" w:eastAsia="en-US"/>
              </w:rPr>
              <w:t>from</w:t>
            </w:r>
            <w:proofErr w:type="spellEnd"/>
            <w:r>
              <w:rPr>
                <w:rFonts w:eastAsia="Calibri"/>
                <w:sz w:val="22"/>
                <w:szCs w:val="22"/>
                <w:lang w:val="es-ES" w:eastAsia="en-US"/>
              </w:rPr>
              <w:t xml:space="preserve"> </w:t>
            </w:r>
            <w:proofErr w:type="spellStart"/>
            <w:r>
              <w:rPr>
                <w:rFonts w:eastAsia="Calibri"/>
                <w:sz w:val="22"/>
                <w:szCs w:val="22"/>
                <w:lang w:val="es-ES" w:eastAsia="en-US"/>
              </w:rPr>
              <w:t>the</w:t>
            </w:r>
            <w:proofErr w:type="spellEnd"/>
            <w:r>
              <w:rPr>
                <w:rFonts w:eastAsia="Calibri"/>
                <w:sz w:val="22"/>
                <w:szCs w:val="22"/>
                <w:lang w:val="es-ES" w:eastAsia="en-US"/>
              </w:rPr>
              <w:t xml:space="preserve"> </w:t>
            </w:r>
            <w:proofErr w:type="spellStart"/>
            <w:r>
              <w:rPr>
                <w:rFonts w:eastAsia="Calibri"/>
                <w:sz w:val="22"/>
                <w:szCs w:val="22"/>
                <w:lang w:val="es-ES" w:eastAsia="en-US"/>
              </w:rPr>
              <w:t>bidder</w:t>
            </w:r>
            <w:proofErr w:type="spellEnd"/>
            <w:r>
              <w:rPr>
                <w:rFonts w:eastAsia="Calibri"/>
                <w:sz w:val="22"/>
                <w:szCs w:val="22"/>
                <w:lang w:val="es-ES" w:eastAsia="en-US"/>
              </w:rPr>
              <w:t xml:space="preserve"> </w:t>
            </w:r>
            <w:proofErr w:type="spellStart"/>
            <w:r>
              <w:rPr>
                <w:rFonts w:eastAsia="Calibri"/>
                <w:sz w:val="22"/>
                <w:szCs w:val="22"/>
                <w:lang w:val="es-ES" w:eastAsia="en-US"/>
              </w:rPr>
              <w:t>stating</w:t>
            </w:r>
            <w:proofErr w:type="spellEnd"/>
            <w:r>
              <w:rPr>
                <w:rFonts w:eastAsia="Calibri"/>
                <w:sz w:val="22"/>
                <w:szCs w:val="22"/>
                <w:lang w:val="es-ES" w:eastAsia="en-US"/>
              </w:rPr>
              <w:t xml:space="preserve"> </w:t>
            </w:r>
            <w:proofErr w:type="spellStart"/>
            <w:r>
              <w:rPr>
                <w:rFonts w:eastAsia="Calibri"/>
                <w:sz w:val="22"/>
                <w:szCs w:val="22"/>
                <w:lang w:val="es-ES" w:eastAsia="en-US"/>
              </w:rPr>
              <w:t>that</w:t>
            </w:r>
            <w:proofErr w:type="spellEnd"/>
            <w:r>
              <w:rPr>
                <w:rFonts w:eastAsia="Calibri"/>
                <w:sz w:val="22"/>
                <w:szCs w:val="22"/>
                <w:lang w:val="es-ES" w:eastAsia="en-US"/>
              </w:rPr>
              <w:t xml:space="preserve"> </w:t>
            </w:r>
            <w:proofErr w:type="spellStart"/>
            <w:r>
              <w:rPr>
                <w:rFonts w:eastAsia="Calibri"/>
                <w:sz w:val="22"/>
                <w:szCs w:val="22"/>
                <w:lang w:val="es-ES" w:eastAsia="en-US"/>
              </w:rPr>
              <w:t>the</w:t>
            </w:r>
            <w:proofErr w:type="spellEnd"/>
            <w:r>
              <w:rPr>
                <w:rFonts w:eastAsia="Calibri"/>
                <w:sz w:val="22"/>
                <w:szCs w:val="22"/>
                <w:lang w:val="es-ES" w:eastAsia="en-US"/>
              </w:rPr>
              <w:t xml:space="preserve"> </w:t>
            </w:r>
            <w:proofErr w:type="spellStart"/>
            <w:r>
              <w:rPr>
                <w:rFonts w:eastAsia="Calibri"/>
                <w:sz w:val="22"/>
                <w:szCs w:val="22"/>
                <w:lang w:val="es-ES" w:eastAsia="en-US"/>
              </w:rPr>
              <w:t>integrated</w:t>
            </w:r>
            <w:proofErr w:type="spellEnd"/>
            <w:r>
              <w:rPr>
                <w:rFonts w:eastAsia="Calibri"/>
                <w:sz w:val="22"/>
                <w:szCs w:val="22"/>
                <w:lang w:val="es-ES" w:eastAsia="en-US"/>
              </w:rPr>
              <w:t xml:space="preserve"> </w:t>
            </w:r>
            <w:proofErr w:type="spellStart"/>
            <w:r>
              <w:rPr>
                <w:rFonts w:eastAsia="Calibri"/>
                <w:sz w:val="22"/>
                <w:szCs w:val="22"/>
                <w:lang w:val="es-ES" w:eastAsia="en-US"/>
              </w:rPr>
              <w:t>smart</w:t>
            </w:r>
            <w:proofErr w:type="spellEnd"/>
            <w:r>
              <w:rPr>
                <w:rFonts w:eastAsia="Calibri"/>
                <w:sz w:val="22"/>
                <w:szCs w:val="22"/>
                <w:lang w:val="es-ES" w:eastAsia="en-US"/>
              </w:rPr>
              <w:t xml:space="preserve"> </w:t>
            </w:r>
            <w:proofErr w:type="spellStart"/>
            <w:r>
              <w:rPr>
                <w:rFonts w:eastAsia="Calibri"/>
                <w:sz w:val="22"/>
                <w:szCs w:val="22"/>
                <w:lang w:val="es-ES" w:eastAsia="en-US"/>
              </w:rPr>
              <w:t>meters</w:t>
            </w:r>
            <w:proofErr w:type="spellEnd"/>
            <w:r>
              <w:rPr>
                <w:rFonts w:eastAsia="Calibri"/>
                <w:sz w:val="22"/>
                <w:szCs w:val="22"/>
                <w:lang w:val="es-ES" w:eastAsia="en-US"/>
              </w:rPr>
              <w:t xml:space="preserve"> are </w:t>
            </w:r>
            <w:proofErr w:type="spellStart"/>
            <w:r>
              <w:rPr>
                <w:rFonts w:eastAsia="Calibri"/>
                <w:sz w:val="22"/>
                <w:szCs w:val="22"/>
                <w:lang w:val="es-ES" w:eastAsia="en-US"/>
              </w:rPr>
              <w:t>guaranteed</w:t>
            </w:r>
            <w:proofErr w:type="spellEnd"/>
            <w:r>
              <w:rPr>
                <w:rFonts w:eastAsia="Calibri"/>
                <w:sz w:val="22"/>
                <w:szCs w:val="22"/>
                <w:lang w:val="es-ES" w:eastAsia="en-US"/>
              </w:rPr>
              <w:t xml:space="preserve"> </w:t>
            </w:r>
            <w:proofErr w:type="spellStart"/>
            <w:r>
              <w:rPr>
                <w:rFonts w:eastAsia="Calibri"/>
                <w:sz w:val="22"/>
                <w:szCs w:val="22"/>
                <w:lang w:val="es-ES" w:eastAsia="en-US"/>
              </w:rPr>
              <w:t>by</w:t>
            </w:r>
            <w:proofErr w:type="spellEnd"/>
            <w:r>
              <w:rPr>
                <w:rFonts w:eastAsia="Calibri"/>
                <w:sz w:val="22"/>
                <w:szCs w:val="22"/>
                <w:lang w:val="es-ES" w:eastAsia="en-US"/>
              </w:rPr>
              <w:t xml:space="preserve"> </w:t>
            </w:r>
            <w:proofErr w:type="spellStart"/>
            <w:r>
              <w:rPr>
                <w:rFonts w:eastAsia="Calibri"/>
                <w:sz w:val="22"/>
                <w:szCs w:val="22"/>
                <w:lang w:val="es-ES" w:eastAsia="en-US"/>
              </w:rPr>
              <w:t>the</w:t>
            </w:r>
            <w:proofErr w:type="spellEnd"/>
            <w:r>
              <w:rPr>
                <w:rFonts w:eastAsia="Calibri"/>
                <w:sz w:val="22"/>
                <w:szCs w:val="22"/>
                <w:lang w:val="es-ES" w:eastAsia="en-US"/>
              </w:rPr>
              <w:t xml:space="preserve"> representative </w:t>
            </w:r>
            <w:proofErr w:type="spellStart"/>
            <w:r>
              <w:rPr>
                <w:rFonts w:eastAsia="Calibri"/>
                <w:sz w:val="22"/>
                <w:szCs w:val="22"/>
                <w:lang w:val="es-ES" w:eastAsia="en-US"/>
              </w:rPr>
              <w:t>against</w:t>
            </w:r>
            <w:proofErr w:type="spellEnd"/>
            <w:r>
              <w:rPr>
                <w:rFonts w:eastAsia="Calibri"/>
                <w:sz w:val="22"/>
                <w:szCs w:val="22"/>
                <w:lang w:val="es-ES" w:eastAsia="en-US"/>
              </w:rPr>
              <w:t xml:space="preserve"> </w:t>
            </w:r>
            <w:proofErr w:type="spellStart"/>
            <w:r>
              <w:rPr>
                <w:rFonts w:eastAsia="Calibri"/>
                <w:sz w:val="22"/>
                <w:szCs w:val="22"/>
                <w:lang w:val="es-ES" w:eastAsia="en-US"/>
              </w:rPr>
              <w:t>any</w:t>
            </w:r>
            <w:proofErr w:type="spellEnd"/>
            <w:r>
              <w:rPr>
                <w:rFonts w:eastAsia="Calibri"/>
                <w:sz w:val="22"/>
                <w:szCs w:val="22"/>
                <w:lang w:val="es-ES" w:eastAsia="en-US"/>
              </w:rPr>
              <w:t xml:space="preserve"> </w:t>
            </w:r>
            <w:proofErr w:type="spellStart"/>
            <w:r>
              <w:rPr>
                <w:rFonts w:eastAsia="Calibri"/>
                <w:sz w:val="22"/>
                <w:szCs w:val="22"/>
                <w:lang w:val="es-ES" w:eastAsia="en-US"/>
              </w:rPr>
              <w:t>manufacturing</w:t>
            </w:r>
            <w:proofErr w:type="spellEnd"/>
            <w:r>
              <w:rPr>
                <w:rFonts w:eastAsia="Calibri"/>
                <w:sz w:val="22"/>
                <w:szCs w:val="22"/>
                <w:lang w:val="es-ES" w:eastAsia="en-US"/>
              </w:rPr>
              <w:t>, material, and/</w:t>
            </w:r>
            <w:proofErr w:type="spellStart"/>
            <w:r>
              <w:rPr>
                <w:rFonts w:eastAsia="Calibri"/>
                <w:sz w:val="22"/>
                <w:szCs w:val="22"/>
                <w:lang w:val="es-ES" w:eastAsia="en-US"/>
              </w:rPr>
              <w:t>or</w:t>
            </w:r>
            <w:proofErr w:type="spellEnd"/>
            <w:r>
              <w:rPr>
                <w:rFonts w:eastAsia="Calibri"/>
                <w:sz w:val="22"/>
                <w:szCs w:val="22"/>
                <w:lang w:val="es-ES" w:eastAsia="en-US"/>
              </w:rPr>
              <w:t xml:space="preserve"> </w:t>
            </w:r>
            <w:proofErr w:type="spellStart"/>
            <w:r>
              <w:rPr>
                <w:rFonts w:eastAsia="Calibri"/>
                <w:sz w:val="22"/>
                <w:szCs w:val="22"/>
                <w:lang w:val="es-ES" w:eastAsia="en-US"/>
              </w:rPr>
              <w:t>operational</w:t>
            </w:r>
            <w:proofErr w:type="spellEnd"/>
            <w:r>
              <w:rPr>
                <w:rFonts w:eastAsia="Calibri"/>
                <w:sz w:val="22"/>
                <w:szCs w:val="22"/>
                <w:lang w:val="es-ES" w:eastAsia="en-US"/>
              </w:rPr>
              <w:t xml:space="preserve"> </w:t>
            </w:r>
            <w:proofErr w:type="spellStart"/>
            <w:r>
              <w:rPr>
                <w:rFonts w:eastAsia="Calibri"/>
                <w:sz w:val="22"/>
                <w:szCs w:val="22"/>
                <w:lang w:val="es-ES" w:eastAsia="en-US"/>
              </w:rPr>
              <w:t>defects</w:t>
            </w:r>
            <w:proofErr w:type="spellEnd"/>
            <w:r>
              <w:rPr>
                <w:rFonts w:eastAsia="Calibri"/>
                <w:sz w:val="22"/>
                <w:szCs w:val="22"/>
                <w:lang w:val="es-ES" w:eastAsia="en-US"/>
              </w:rPr>
              <w:t xml:space="preserve">, </w:t>
            </w:r>
            <w:proofErr w:type="spellStart"/>
            <w:r>
              <w:rPr>
                <w:rFonts w:eastAsia="Calibri"/>
                <w:sz w:val="22"/>
                <w:szCs w:val="22"/>
                <w:lang w:val="es-ES" w:eastAsia="en-US"/>
              </w:rPr>
              <w:t>including</w:t>
            </w:r>
            <w:proofErr w:type="spellEnd"/>
            <w:r>
              <w:rPr>
                <w:rFonts w:eastAsia="Calibri"/>
                <w:sz w:val="22"/>
                <w:szCs w:val="22"/>
                <w:lang w:val="es-ES" w:eastAsia="en-US"/>
              </w:rPr>
              <w:t xml:space="preserve"> </w:t>
            </w:r>
            <w:proofErr w:type="spellStart"/>
            <w:r>
              <w:rPr>
                <w:rFonts w:eastAsia="Calibri"/>
                <w:sz w:val="22"/>
                <w:szCs w:val="22"/>
                <w:lang w:val="es-ES" w:eastAsia="en-US"/>
              </w:rPr>
              <w:t>batteries</w:t>
            </w:r>
            <w:proofErr w:type="spellEnd"/>
            <w:r>
              <w:rPr>
                <w:rFonts w:eastAsia="Calibri"/>
                <w:sz w:val="22"/>
                <w:szCs w:val="22"/>
                <w:lang w:val="es-ES" w:eastAsia="en-US"/>
              </w:rPr>
              <w:t xml:space="preserve">, </w:t>
            </w:r>
            <w:proofErr w:type="spellStart"/>
            <w:r>
              <w:rPr>
                <w:rFonts w:eastAsia="Calibri"/>
                <w:sz w:val="22"/>
                <w:szCs w:val="22"/>
                <w:lang w:val="es-ES" w:eastAsia="en-US"/>
              </w:rPr>
              <w:t>for</w:t>
            </w:r>
            <w:proofErr w:type="spellEnd"/>
            <w:r>
              <w:rPr>
                <w:rFonts w:eastAsia="Calibri"/>
                <w:sz w:val="22"/>
                <w:szCs w:val="22"/>
                <w:lang w:val="es-ES" w:eastAsia="en-US"/>
              </w:rPr>
              <w:t xml:space="preserve"> a </w:t>
            </w:r>
            <w:proofErr w:type="spellStart"/>
            <w:r>
              <w:rPr>
                <w:rFonts w:eastAsia="Calibri"/>
                <w:sz w:val="22"/>
                <w:szCs w:val="22"/>
                <w:lang w:val="es-ES" w:eastAsia="en-US"/>
              </w:rPr>
              <w:t>minimum</w:t>
            </w:r>
            <w:proofErr w:type="spellEnd"/>
            <w:r>
              <w:rPr>
                <w:rFonts w:eastAsia="Calibri"/>
                <w:sz w:val="22"/>
                <w:szCs w:val="22"/>
                <w:lang w:val="es-ES" w:eastAsia="en-US"/>
              </w:rPr>
              <w:t xml:space="preserve"> </w:t>
            </w:r>
            <w:proofErr w:type="spellStart"/>
            <w:r>
              <w:rPr>
                <w:rFonts w:eastAsia="Calibri"/>
                <w:sz w:val="22"/>
                <w:szCs w:val="22"/>
                <w:lang w:val="es-ES" w:eastAsia="en-US"/>
              </w:rPr>
              <w:t>period</w:t>
            </w:r>
            <w:proofErr w:type="spellEnd"/>
            <w:r>
              <w:rPr>
                <w:rFonts w:eastAsia="Calibri"/>
                <w:sz w:val="22"/>
                <w:szCs w:val="22"/>
                <w:lang w:val="es-ES" w:eastAsia="en-US"/>
              </w:rPr>
              <w:t xml:space="preserve"> </w:t>
            </w:r>
            <w:proofErr w:type="spellStart"/>
            <w:r>
              <w:rPr>
                <w:rFonts w:eastAsia="Calibri"/>
                <w:sz w:val="22"/>
                <w:szCs w:val="22"/>
                <w:lang w:val="es-ES" w:eastAsia="en-US"/>
              </w:rPr>
              <w:t>of</w:t>
            </w:r>
            <w:proofErr w:type="spellEnd"/>
            <w:r>
              <w:rPr>
                <w:rFonts w:eastAsia="Calibri"/>
                <w:sz w:val="22"/>
                <w:szCs w:val="22"/>
                <w:lang w:val="es-ES" w:eastAsia="en-US"/>
              </w:rPr>
              <w:t xml:space="preserve"> 5 (</w:t>
            </w:r>
            <w:proofErr w:type="spellStart"/>
            <w:r>
              <w:rPr>
                <w:rFonts w:eastAsia="Calibri"/>
                <w:sz w:val="22"/>
                <w:szCs w:val="22"/>
                <w:lang w:val="es-ES" w:eastAsia="en-US"/>
              </w:rPr>
              <w:t>five</w:t>
            </w:r>
            <w:proofErr w:type="spellEnd"/>
            <w:r>
              <w:rPr>
                <w:rFonts w:eastAsia="Calibri"/>
                <w:sz w:val="22"/>
                <w:szCs w:val="22"/>
                <w:lang w:val="es-ES" w:eastAsia="en-US"/>
              </w:rPr>
              <w:t xml:space="preserve">) </w:t>
            </w:r>
            <w:proofErr w:type="spellStart"/>
            <w:r>
              <w:rPr>
                <w:rFonts w:eastAsia="Calibri"/>
                <w:sz w:val="22"/>
                <w:szCs w:val="22"/>
                <w:lang w:val="es-ES" w:eastAsia="en-US"/>
              </w:rPr>
              <w:t>years</w:t>
            </w:r>
            <w:proofErr w:type="spellEnd"/>
            <w:r>
              <w:rPr>
                <w:rFonts w:eastAsia="Calibri"/>
                <w:sz w:val="22"/>
                <w:szCs w:val="22"/>
                <w:lang w:val="es-ES" w:eastAsia="en-US"/>
              </w:rPr>
              <w:t xml:space="preserve"> </w:t>
            </w:r>
            <w:proofErr w:type="spellStart"/>
            <w:r>
              <w:rPr>
                <w:rFonts w:eastAsia="Calibri"/>
                <w:sz w:val="22"/>
                <w:szCs w:val="22"/>
                <w:lang w:val="es-ES" w:eastAsia="en-US"/>
              </w:rPr>
              <w:t>from</w:t>
            </w:r>
            <w:proofErr w:type="spellEnd"/>
            <w:r>
              <w:rPr>
                <w:rFonts w:eastAsia="Calibri"/>
                <w:sz w:val="22"/>
                <w:szCs w:val="22"/>
                <w:lang w:val="es-ES" w:eastAsia="en-US"/>
              </w:rPr>
              <w:t xml:space="preserve"> </w:t>
            </w:r>
            <w:proofErr w:type="spellStart"/>
            <w:r>
              <w:rPr>
                <w:rFonts w:eastAsia="Calibri"/>
                <w:sz w:val="22"/>
                <w:szCs w:val="22"/>
                <w:lang w:val="es-ES" w:eastAsia="en-US"/>
              </w:rPr>
              <w:t>the</w:t>
            </w:r>
            <w:proofErr w:type="spellEnd"/>
            <w:r>
              <w:rPr>
                <w:rFonts w:eastAsia="Calibri"/>
                <w:sz w:val="22"/>
                <w:szCs w:val="22"/>
                <w:lang w:val="es-ES" w:eastAsia="en-US"/>
              </w:rPr>
              <w:t xml:space="preserve"> date </w:t>
            </w:r>
            <w:proofErr w:type="spellStart"/>
            <w:r>
              <w:rPr>
                <w:rFonts w:eastAsia="Calibri"/>
                <w:sz w:val="22"/>
                <w:szCs w:val="22"/>
                <w:lang w:val="es-ES" w:eastAsia="en-US"/>
              </w:rPr>
              <w:t>of</w:t>
            </w:r>
            <w:proofErr w:type="spellEnd"/>
            <w:r>
              <w:rPr>
                <w:rFonts w:eastAsia="Calibri"/>
                <w:sz w:val="22"/>
                <w:szCs w:val="22"/>
                <w:lang w:val="es-ES" w:eastAsia="en-US"/>
              </w:rPr>
              <w:t xml:space="preserve"> provisional </w:t>
            </w:r>
            <w:proofErr w:type="spellStart"/>
            <w:r>
              <w:rPr>
                <w:rFonts w:eastAsia="Calibri"/>
                <w:sz w:val="22"/>
                <w:szCs w:val="22"/>
                <w:lang w:val="es-ES" w:eastAsia="en-US"/>
              </w:rPr>
              <w:t>receipt</w:t>
            </w:r>
            <w:proofErr w:type="spellEnd"/>
            <w:r>
              <w:rPr>
                <w:rFonts w:eastAsia="Calibri"/>
                <w:sz w:val="22"/>
                <w:szCs w:val="22"/>
                <w:lang w:val="es-ES" w:eastAsia="en-US"/>
              </w:rPr>
              <w:t xml:space="preserve"> </w:t>
            </w:r>
            <w:proofErr w:type="spellStart"/>
            <w:r>
              <w:rPr>
                <w:rFonts w:eastAsia="Calibri"/>
                <w:sz w:val="22"/>
                <w:szCs w:val="22"/>
                <w:lang w:val="es-ES" w:eastAsia="en-US"/>
              </w:rPr>
              <w:t>of</w:t>
            </w:r>
            <w:proofErr w:type="spellEnd"/>
            <w:r>
              <w:rPr>
                <w:rFonts w:eastAsia="Calibri"/>
                <w:sz w:val="22"/>
                <w:szCs w:val="22"/>
                <w:lang w:val="es-ES" w:eastAsia="en-US"/>
              </w:rPr>
              <w:t xml:space="preserve"> </w:t>
            </w:r>
            <w:proofErr w:type="spellStart"/>
            <w:r>
              <w:rPr>
                <w:rFonts w:eastAsia="Calibri"/>
                <w:sz w:val="22"/>
                <w:szCs w:val="22"/>
                <w:lang w:val="es-ES" w:eastAsia="en-US"/>
              </w:rPr>
              <w:t>the</w:t>
            </w:r>
            <w:proofErr w:type="spellEnd"/>
            <w:r>
              <w:rPr>
                <w:rFonts w:eastAsia="Calibri"/>
                <w:sz w:val="22"/>
                <w:szCs w:val="22"/>
                <w:lang w:val="es-ES" w:eastAsia="en-US"/>
              </w:rPr>
              <w:t xml:space="preserve"> tender, as </w:t>
            </w:r>
            <w:proofErr w:type="spellStart"/>
            <w:r>
              <w:rPr>
                <w:rFonts w:eastAsia="Calibri"/>
                <w:sz w:val="22"/>
                <w:szCs w:val="22"/>
                <w:lang w:val="es-ES" w:eastAsia="en-US"/>
              </w:rPr>
              <w:t>defined</w:t>
            </w:r>
            <w:proofErr w:type="spellEnd"/>
            <w:r>
              <w:rPr>
                <w:rFonts w:eastAsia="Calibri"/>
                <w:sz w:val="22"/>
                <w:szCs w:val="22"/>
                <w:lang w:val="es-ES" w:eastAsia="en-US"/>
              </w:rPr>
              <w:t xml:space="preserve"> in </w:t>
            </w:r>
            <w:proofErr w:type="spellStart"/>
            <w:r>
              <w:rPr>
                <w:rFonts w:eastAsia="Calibri"/>
                <w:sz w:val="22"/>
                <w:szCs w:val="22"/>
                <w:lang w:val="es-ES" w:eastAsia="en-US"/>
              </w:rPr>
              <w:t>Article</w:t>
            </w:r>
            <w:proofErr w:type="spellEnd"/>
            <w:r>
              <w:rPr>
                <w:rFonts w:eastAsia="Calibri"/>
                <w:sz w:val="22"/>
                <w:szCs w:val="22"/>
                <w:lang w:val="es-ES" w:eastAsia="en-US"/>
              </w:rPr>
              <w:t xml:space="preserve"> 25, </w:t>
            </w:r>
            <w:proofErr w:type="spellStart"/>
            <w:r>
              <w:rPr>
                <w:rFonts w:eastAsia="Calibri"/>
                <w:sz w:val="22"/>
                <w:szCs w:val="22"/>
                <w:lang w:val="es-ES" w:eastAsia="en-US"/>
              </w:rPr>
              <w:t>item</w:t>
            </w:r>
            <w:proofErr w:type="spellEnd"/>
            <w:r>
              <w:rPr>
                <w:rFonts w:eastAsia="Calibri"/>
                <w:sz w:val="22"/>
                <w:szCs w:val="22"/>
                <w:lang w:val="es-ES" w:eastAsia="en-US"/>
              </w:rPr>
              <w:t xml:space="preserve"> c) </w:t>
            </w:r>
            <w:proofErr w:type="spellStart"/>
            <w:r>
              <w:rPr>
                <w:rFonts w:eastAsia="Calibri"/>
                <w:sz w:val="22"/>
                <w:szCs w:val="22"/>
                <w:lang w:val="es-ES" w:eastAsia="en-US"/>
              </w:rPr>
              <w:t>of</w:t>
            </w:r>
            <w:proofErr w:type="spellEnd"/>
            <w:r>
              <w:rPr>
                <w:rFonts w:eastAsia="Calibri"/>
                <w:sz w:val="22"/>
                <w:szCs w:val="22"/>
                <w:lang w:val="es-ES" w:eastAsia="en-US"/>
              </w:rPr>
              <w:t xml:space="preserve"> </w:t>
            </w:r>
            <w:proofErr w:type="spellStart"/>
            <w:r>
              <w:rPr>
                <w:rFonts w:eastAsia="Calibri"/>
                <w:sz w:val="22"/>
                <w:szCs w:val="22"/>
                <w:lang w:val="es-ES" w:eastAsia="en-US"/>
              </w:rPr>
              <w:t>the</w:t>
            </w:r>
            <w:proofErr w:type="spellEnd"/>
            <w:r>
              <w:rPr>
                <w:rFonts w:eastAsia="Calibri"/>
                <w:sz w:val="22"/>
                <w:szCs w:val="22"/>
                <w:lang w:val="es-ES" w:eastAsia="en-US"/>
              </w:rPr>
              <w:t xml:space="preserve"> </w:t>
            </w:r>
            <w:proofErr w:type="spellStart"/>
            <w:r>
              <w:rPr>
                <w:rFonts w:eastAsia="Calibri"/>
                <w:sz w:val="22"/>
                <w:szCs w:val="22"/>
                <w:lang w:val="es-ES" w:eastAsia="en-US"/>
              </w:rPr>
              <w:t>section</w:t>
            </w:r>
            <w:proofErr w:type="spellEnd"/>
            <w:r>
              <w:rPr>
                <w:rFonts w:eastAsia="Calibri"/>
                <w:sz w:val="22"/>
                <w:szCs w:val="22"/>
                <w:lang w:val="es-ES" w:eastAsia="en-US"/>
              </w:rPr>
              <w:t>: “</w:t>
            </w:r>
            <w:proofErr w:type="spellStart"/>
            <w:r>
              <w:rPr>
                <w:rFonts w:eastAsia="Calibri"/>
                <w:sz w:val="22"/>
                <w:szCs w:val="22"/>
                <w:lang w:val="es-ES" w:eastAsia="en-US"/>
              </w:rPr>
              <w:t>Receipt</w:t>
            </w:r>
            <w:proofErr w:type="spellEnd"/>
            <w:r>
              <w:rPr>
                <w:rFonts w:eastAsia="Calibri"/>
                <w:sz w:val="22"/>
                <w:szCs w:val="22"/>
                <w:lang w:val="es-ES" w:eastAsia="en-US"/>
              </w:rPr>
              <w:t xml:space="preserve"> </w:t>
            </w:r>
            <w:proofErr w:type="spellStart"/>
            <w:r>
              <w:rPr>
                <w:rFonts w:eastAsia="Calibri"/>
                <w:sz w:val="22"/>
                <w:szCs w:val="22"/>
                <w:lang w:val="es-ES" w:eastAsia="en-US"/>
              </w:rPr>
              <w:t>Conditions</w:t>
            </w:r>
            <w:proofErr w:type="spellEnd"/>
            <w:r>
              <w:rPr>
                <w:rFonts w:eastAsia="Calibri"/>
                <w:sz w:val="22"/>
                <w:szCs w:val="22"/>
                <w:lang w:val="es-ES" w:eastAsia="en-US"/>
              </w:rPr>
              <w:t xml:space="preserve">” </w:t>
            </w:r>
            <w:proofErr w:type="spellStart"/>
            <w:r>
              <w:rPr>
                <w:rFonts w:eastAsia="Calibri"/>
                <w:sz w:val="22"/>
                <w:szCs w:val="22"/>
                <w:lang w:val="es-ES" w:eastAsia="en-US"/>
              </w:rPr>
              <w:t>of</w:t>
            </w:r>
            <w:proofErr w:type="spellEnd"/>
            <w:r>
              <w:rPr>
                <w:rFonts w:eastAsia="Calibri"/>
                <w:sz w:val="22"/>
                <w:szCs w:val="22"/>
                <w:lang w:val="es-ES" w:eastAsia="en-US"/>
              </w:rPr>
              <w:t xml:space="preserve"> </w:t>
            </w:r>
            <w:proofErr w:type="spellStart"/>
            <w:r>
              <w:rPr>
                <w:rFonts w:eastAsia="Calibri"/>
                <w:sz w:val="22"/>
                <w:szCs w:val="22"/>
                <w:lang w:val="es-ES" w:eastAsia="en-US"/>
              </w:rPr>
              <w:t>this</w:t>
            </w:r>
            <w:proofErr w:type="spellEnd"/>
            <w:r>
              <w:rPr>
                <w:rFonts w:eastAsia="Calibri"/>
                <w:sz w:val="22"/>
                <w:szCs w:val="22"/>
                <w:lang w:val="es-ES" w:eastAsia="en-US"/>
              </w:rPr>
              <w:t xml:space="preserve"> </w:t>
            </w:r>
            <w:proofErr w:type="spellStart"/>
            <w:r>
              <w:rPr>
                <w:rFonts w:eastAsia="Calibri"/>
                <w:sz w:val="22"/>
                <w:szCs w:val="22"/>
                <w:lang w:val="es-ES" w:eastAsia="en-US"/>
              </w:rPr>
              <w:t>Annex</w:t>
            </w:r>
            <w:proofErr w:type="spellEnd"/>
            <w:r>
              <w:rPr>
                <w:rFonts w:eastAsia="Calibri"/>
                <w:sz w:val="22"/>
                <w:szCs w:val="22"/>
                <w:lang w:val="es-ES" w:eastAsia="en-US"/>
              </w:rPr>
              <w:t>.</w:t>
            </w:r>
          </w:p>
          <w:p w14:paraId="28B9EFEF" w14:textId="77777777" w:rsidR="00E255F4" w:rsidRDefault="00000000">
            <w:pPr>
              <w:pStyle w:val="Prrafodelista"/>
              <w:tabs>
                <w:tab w:val="left" w:pos="419"/>
              </w:tabs>
              <w:spacing w:after="120" w:line="240" w:lineRule="auto"/>
              <w:ind w:left="419" w:right="311"/>
              <w:jc w:val="both"/>
            </w:pPr>
            <w:r>
              <w:rPr>
                <w:rFonts w:eastAsia="Calibri"/>
                <w:sz w:val="22"/>
                <w:szCs w:val="22"/>
                <w:lang w:val="es-ES" w:eastAsia="en-US"/>
              </w:rPr>
              <w:t xml:space="preserve">The </w:t>
            </w:r>
            <w:proofErr w:type="spellStart"/>
            <w:r>
              <w:rPr>
                <w:rFonts w:eastAsia="Calibri"/>
                <w:sz w:val="22"/>
                <w:szCs w:val="22"/>
                <w:lang w:val="es-ES" w:eastAsia="en-US"/>
              </w:rPr>
              <w:t>guarantee</w:t>
            </w:r>
            <w:proofErr w:type="spellEnd"/>
            <w:r>
              <w:rPr>
                <w:rFonts w:eastAsia="Calibri"/>
                <w:sz w:val="22"/>
                <w:szCs w:val="22"/>
                <w:lang w:val="es-ES" w:eastAsia="en-US"/>
              </w:rPr>
              <w:t xml:space="preserve"> </w:t>
            </w:r>
            <w:proofErr w:type="spellStart"/>
            <w:r>
              <w:rPr>
                <w:rFonts w:eastAsia="Calibri"/>
                <w:sz w:val="22"/>
                <w:szCs w:val="22"/>
                <w:lang w:val="es-ES" w:eastAsia="en-US"/>
              </w:rPr>
              <w:t>must</w:t>
            </w:r>
            <w:proofErr w:type="spellEnd"/>
            <w:r>
              <w:rPr>
                <w:rFonts w:eastAsia="Calibri"/>
                <w:sz w:val="22"/>
                <w:szCs w:val="22"/>
                <w:lang w:val="es-ES" w:eastAsia="en-US"/>
              </w:rPr>
              <w:t xml:space="preserve"> </w:t>
            </w:r>
            <w:proofErr w:type="spellStart"/>
            <w:r>
              <w:rPr>
                <w:rFonts w:eastAsia="Calibri"/>
                <w:sz w:val="22"/>
                <w:szCs w:val="22"/>
                <w:lang w:val="es-ES" w:eastAsia="en-US"/>
              </w:rPr>
              <w:t>cover</w:t>
            </w:r>
            <w:proofErr w:type="spellEnd"/>
            <w:r>
              <w:rPr>
                <w:rFonts w:eastAsia="Calibri"/>
                <w:sz w:val="22"/>
                <w:szCs w:val="22"/>
                <w:lang w:val="es-ES" w:eastAsia="en-US"/>
              </w:rPr>
              <w:t xml:space="preserve"> </w:t>
            </w:r>
            <w:proofErr w:type="spellStart"/>
            <w:r>
              <w:rPr>
                <w:rFonts w:eastAsia="Calibri"/>
                <w:sz w:val="22"/>
                <w:szCs w:val="22"/>
                <w:lang w:val="es-ES" w:eastAsia="en-US"/>
              </w:rPr>
              <w:t>the</w:t>
            </w:r>
            <w:proofErr w:type="spellEnd"/>
            <w:r>
              <w:rPr>
                <w:rFonts w:eastAsia="Calibri"/>
                <w:sz w:val="22"/>
                <w:szCs w:val="22"/>
                <w:lang w:val="es-ES" w:eastAsia="en-US"/>
              </w:rPr>
              <w:t xml:space="preserve"> </w:t>
            </w:r>
            <w:proofErr w:type="spellStart"/>
            <w:r>
              <w:rPr>
                <w:rFonts w:eastAsia="Calibri"/>
                <w:sz w:val="22"/>
                <w:szCs w:val="22"/>
                <w:lang w:val="es-ES" w:eastAsia="en-US"/>
              </w:rPr>
              <w:t>replacement</w:t>
            </w:r>
            <w:proofErr w:type="spellEnd"/>
            <w:r>
              <w:rPr>
                <w:rFonts w:eastAsia="Calibri"/>
                <w:sz w:val="22"/>
                <w:szCs w:val="22"/>
                <w:lang w:val="es-ES" w:eastAsia="en-US"/>
              </w:rPr>
              <w:t xml:space="preserve"> </w:t>
            </w:r>
            <w:proofErr w:type="spellStart"/>
            <w:r>
              <w:rPr>
                <w:rFonts w:eastAsia="Calibri"/>
                <w:sz w:val="22"/>
                <w:szCs w:val="22"/>
                <w:lang w:val="es-ES" w:eastAsia="en-US"/>
              </w:rPr>
              <w:t>of</w:t>
            </w:r>
            <w:proofErr w:type="spellEnd"/>
            <w:r>
              <w:rPr>
                <w:rFonts w:eastAsia="Calibri"/>
                <w:sz w:val="22"/>
                <w:szCs w:val="22"/>
                <w:lang w:val="es-ES" w:eastAsia="en-US"/>
              </w:rPr>
              <w:t xml:space="preserve"> </w:t>
            </w:r>
            <w:proofErr w:type="spellStart"/>
            <w:r>
              <w:rPr>
                <w:rFonts w:eastAsia="Calibri"/>
                <w:sz w:val="22"/>
                <w:szCs w:val="22"/>
                <w:lang w:val="es-ES" w:eastAsia="en-US"/>
              </w:rPr>
              <w:t>the</w:t>
            </w:r>
            <w:proofErr w:type="spellEnd"/>
            <w:r>
              <w:rPr>
                <w:rFonts w:eastAsia="Calibri"/>
                <w:sz w:val="22"/>
                <w:szCs w:val="22"/>
                <w:lang w:val="es-ES" w:eastAsia="en-US"/>
              </w:rPr>
              <w:t xml:space="preserve"> defective </w:t>
            </w:r>
            <w:proofErr w:type="spellStart"/>
            <w:r>
              <w:rPr>
                <w:rFonts w:eastAsia="Calibri"/>
                <w:sz w:val="22"/>
                <w:szCs w:val="22"/>
                <w:lang w:val="es-ES" w:eastAsia="en-US"/>
              </w:rPr>
              <w:t>integrated</w:t>
            </w:r>
            <w:proofErr w:type="spellEnd"/>
            <w:r>
              <w:rPr>
                <w:rFonts w:eastAsia="Calibri"/>
                <w:sz w:val="22"/>
                <w:szCs w:val="22"/>
                <w:lang w:val="es-ES" w:eastAsia="en-US"/>
              </w:rPr>
              <w:t xml:space="preserve"> </w:t>
            </w:r>
            <w:proofErr w:type="spellStart"/>
            <w:r>
              <w:rPr>
                <w:rFonts w:eastAsia="Calibri"/>
                <w:sz w:val="22"/>
                <w:szCs w:val="22"/>
                <w:lang w:val="es-ES" w:eastAsia="en-US"/>
              </w:rPr>
              <w:t>smart</w:t>
            </w:r>
            <w:proofErr w:type="spellEnd"/>
            <w:r>
              <w:rPr>
                <w:rFonts w:eastAsia="Calibri"/>
                <w:sz w:val="22"/>
                <w:szCs w:val="22"/>
                <w:lang w:val="es-ES" w:eastAsia="en-US"/>
              </w:rPr>
              <w:t xml:space="preserve"> </w:t>
            </w:r>
            <w:proofErr w:type="spellStart"/>
            <w:r>
              <w:rPr>
                <w:rFonts w:eastAsia="Calibri"/>
                <w:sz w:val="22"/>
                <w:szCs w:val="22"/>
                <w:lang w:val="es-ES" w:eastAsia="en-US"/>
              </w:rPr>
              <w:t>meters</w:t>
            </w:r>
            <w:proofErr w:type="spellEnd"/>
            <w:r>
              <w:rPr>
                <w:rFonts w:eastAsia="Calibri"/>
                <w:sz w:val="22"/>
                <w:szCs w:val="22"/>
                <w:lang w:val="es-ES" w:eastAsia="en-US"/>
              </w:rPr>
              <w:t xml:space="preserve"> in OSE </w:t>
            </w:r>
            <w:proofErr w:type="spellStart"/>
            <w:r>
              <w:rPr>
                <w:rFonts w:eastAsia="Calibri"/>
                <w:sz w:val="22"/>
                <w:szCs w:val="22"/>
                <w:lang w:val="es-ES" w:eastAsia="en-US"/>
              </w:rPr>
              <w:t>by</w:t>
            </w:r>
            <w:proofErr w:type="spellEnd"/>
            <w:r>
              <w:rPr>
                <w:rFonts w:eastAsia="Calibri"/>
                <w:sz w:val="22"/>
                <w:szCs w:val="22"/>
                <w:lang w:val="es-ES" w:eastAsia="en-US"/>
              </w:rPr>
              <w:t xml:space="preserve"> </w:t>
            </w:r>
            <w:proofErr w:type="spellStart"/>
            <w:r>
              <w:rPr>
                <w:rFonts w:eastAsia="Calibri"/>
                <w:sz w:val="22"/>
                <w:szCs w:val="22"/>
                <w:lang w:val="es-ES" w:eastAsia="en-US"/>
              </w:rPr>
              <w:t>the</w:t>
            </w:r>
            <w:proofErr w:type="spellEnd"/>
            <w:r>
              <w:rPr>
                <w:rFonts w:eastAsia="Calibri"/>
                <w:sz w:val="22"/>
                <w:szCs w:val="22"/>
                <w:lang w:val="es-ES" w:eastAsia="en-US"/>
              </w:rPr>
              <w:t xml:space="preserve"> </w:t>
            </w:r>
            <w:proofErr w:type="spellStart"/>
            <w:r>
              <w:rPr>
                <w:rFonts w:eastAsia="Calibri"/>
                <w:sz w:val="22"/>
                <w:szCs w:val="22"/>
                <w:lang w:val="es-ES" w:eastAsia="en-US"/>
              </w:rPr>
              <w:t>successful</w:t>
            </w:r>
            <w:proofErr w:type="spellEnd"/>
            <w:r>
              <w:rPr>
                <w:rFonts w:eastAsia="Calibri"/>
                <w:sz w:val="22"/>
                <w:szCs w:val="22"/>
                <w:lang w:val="es-ES" w:eastAsia="en-US"/>
              </w:rPr>
              <w:t xml:space="preserve"> </w:t>
            </w:r>
            <w:proofErr w:type="spellStart"/>
            <w:r>
              <w:rPr>
                <w:rFonts w:eastAsia="Calibri"/>
                <w:sz w:val="22"/>
                <w:szCs w:val="22"/>
                <w:lang w:val="es-ES" w:eastAsia="en-US"/>
              </w:rPr>
              <w:t>bidder</w:t>
            </w:r>
            <w:proofErr w:type="spellEnd"/>
            <w:r>
              <w:rPr>
                <w:rFonts w:eastAsia="Calibri"/>
                <w:sz w:val="22"/>
                <w:szCs w:val="22"/>
                <w:lang w:val="es-ES" w:eastAsia="en-US"/>
              </w:rPr>
              <w:t xml:space="preserve">, </w:t>
            </w:r>
            <w:proofErr w:type="spellStart"/>
            <w:r>
              <w:rPr>
                <w:rFonts w:eastAsia="Calibri"/>
                <w:sz w:val="22"/>
                <w:szCs w:val="22"/>
                <w:lang w:val="es-ES" w:eastAsia="en-US"/>
              </w:rPr>
              <w:t>who</w:t>
            </w:r>
            <w:proofErr w:type="spellEnd"/>
            <w:r>
              <w:rPr>
                <w:rFonts w:eastAsia="Calibri"/>
                <w:sz w:val="22"/>
                <w:szCs w:val="22"/>
                <w:lang w:val="es-ES" w:eastAsia="en-US"/>
              </w:rPr>
              <w:t xml:space="preserve"> </w:t>
            </w:r>
            <w:proofErr w:type="spellStart"/>
            <w:r>
              <w:rPr>
                <w:rFonts w:eastAsia="Calibri"/>
                <w:sz w:val="22"/>
                <w:szCs w:val="22"/>
                <w:lang w:val="es-ES" w:eastAsia="en-US"/>
              </w:rPr>
              <w:t>will</w:t>
            </w:r>
            <w:proofErr w:type="spellEnd"/>
            <w:r>
              <w:rPr>
                <w:rFonts w:eastAsia="Calibri"/>
                <w:sz w:val="22"/>
                <w:szCs w:val="22"/>
                <w:lang w:val="es-ES" w:eastAsia="en-US"/>
              </w:rPr>
              <w:t xml:space="preserve"> be </w:t>
            </w:r>
            <w:proofErr w:type="spellStart"/>
            <w:r>
              <w:rPr>
                <w:rFonts w:eastAsia="Calibri"/>
                <w:sz w:val="22"/>
                <w:szCs w:val="22"/>
                <w:lang w:val="es-ES" w:eastAsia="en-US"/>
              </w:rPr>
              <w:t>responsible</w:t>
            </w:r>
            <w:proofErr w:type="spellEnd"/>
            <w:r>
              <w:rPr>
                <w:rFonts w:eastAsia="Calibri"/>
                <w:sz w:val="22"/>
                <w:szCs w:val="22"/>
                <w:lang w:val="es-ES" w:eastAsia="en-US"/>
              </w:rPr>
              <w:t xml:space="preserve"> </w:t>
            </w:r>
            <w:proofErr w:type="spellStart"/>
            <w:r>
              <w:rPr>
                <w:rFonts w:eastAsia="Calibri"/>
                <w:sz w:val="22"/>
                <w:szCs w:val="22"/>
                <w:lang w:val="es-ES" w:eastAsia="en-US"/>
              </w:rPr>
              <w:t>for</w:t>
            </w:r>
            <w:proofErr w:type="spellEnd"/>
            <w:r>
              <w:rPr>
                <w:rFonts w:eastAsia="Calibri"/>
                <w:sz w:val="22"/>
                <w:szCs w:val="22"/>
                <w:lang w:val="es-ES" w:eastAsia="en-US"/>
              </w:rPr>
              <w:t xml:space="preserve"> </w:t>
            </w:r>
            <w:proofErr w:type="spellStart"/>
            <w:r>
              <w:rPr>
                <w:rFonts w:eastAsia="Calibri"/>
                <w:sz w:val="22"/>
                <w:szCs w:val="22"/>
                <w:lang w:val="es-ES" w:eastAsia="en-US"/>
              </w:rPr>
              <w:t>the</w:t>
            </w:r>
            <w:proofErr w:type="spellEnd"/>
            <w:r>
              <w:rPr>
                <w:rFonts w:eastAsia="Calibri"/>
                <w:sz w:val="22"/>
                <w:szCs w:val="22"/>
                <w:lang w:val="es-ES" w:eastAsia="en-US"/>
              </w:rPr>
              <w:t xml:space="preserve"> </w:t>
            </w:r>
            <w:proofErr w:type="spellStart"/>
            <w:r>
              <w:rPr>
                <w:rFonts w:eastAsia="Calibri"/>
                <w:sz w:val="22"/>
                <w:szCs w:val="22"/>
                <w:lang w:val="es-ES" w:eastAsia="en-US"/>
              </w:rPr>
              <w:t>removal</w:t>
            </w:r>
            <w:proofErr w:type="spellEnd"/>
            <w:r>
              <w:rPr>
                <w:rFonts w:eastAsia="Calibri"/>
                <w:sz w:val="22"/>
                <w:szCs w:val="22"/>
                <w:lang w:val="es-ES" w:eastAsia="en-US"/>
              </w:rPr>
              <w:t xml:space="preserve"> </w:t>
            </w:r>
            <w:proofErr w:type="spellStart"/>
            <w:r>
              <w:rPr>
                <w:rFonts w:eastAsia="Calibri"/>
                <w:sz w:val="22"/>
                <w:szCs w:val="22"/>
                <w:lang w:val="es-ES" w:eastAsia="en-US"/>
              </w:rPr>
              <w:t>of</w:t>
            </w:r>
            <w:proofErr w:type="spellEnd"/>
            <w:r>
              <w:rPr>
                <w:rFonts w:eastAsia="Calibri"/>
                <w:sz w:val="22"/>
                <w:szCs w:val="22"/>
                <w:lang w:val="es-ES" w:eastAsia="en-US"/>
              </w:rPr>
              <w:t xml:space="preserve"> </w:t>
            </w:r>
            <w:proofErr w:type="spellStart"/>
            <w:r>
              <w:rPr>
                <w:rFonts w:eastAsia="Calibri"/>
                <w:sz w:val="22"/>
                <w:szCs w:val="22"/>
                <w:lang w:val="es-ES" w:eastAsia="en-US"/>
              </w:rPr>
              <w:t>the</w:t>
            </w:r>
            <w:proofErr w:type="spellEnd"/>
            <w:r>
              <w:rPr>
                <w:rFonts w:eastAsia="Calibri"/>
                <w:sz w:val="22"/>
                <w:szCs w:val="22"/>
                <w:lang w:val="es-ES" w:eastAsia="en-US"/>
              </w:rPr>
              <w:t xml:space="preserve"> defective </w:t>
            </w:r>
            <w:proofErr w:type="spellStart"/>
            <w:r>
              <w:rPr>
                <w:rFonts w:eastAsia="Calibri"/>
                <w:sz w:val="22"/>
                <w:szCs w:val="22"/>
                <w:lang w:val="es-ES" w:eastAsia="en-US"/>
              </w:rPr>
              <w:t>ones</w:t>
            </w:r>
            <w:proofErr w:type="spellEnd"/>
            <w:r>
              <w:rPr>
                <w:rFonts w:eastAsia="Calibri"/>
                <w:sz w:val="22"/>
                <w:szCs w:val="22"/>
                <w:lang w:val="es-ES" w:eastAsia="en-US"/>
              </w:rPr>
              <w:t xml:space="preserve"> and </w:t>
            </w:r>
            <w:proofErr w:type="spellStart"/>
            <w:r>
              <w:rPr>
                <w:rFonts w:eastAsia="Calibri"/>
                <w:sz w:val="22"/>
                <w:szCs w:val="22"/>
                <w:lang w:val="es-ES" w:eastAsia="en-US"/>
              </w:rPr>
              <w:t>the</w:t>
            </w:r>
            <w:proofErr w:type="spellEnd"/>
            <w:r>
              <w:rPr>
                <w:rFonts w:eastAsia="Calibri"/>
                <w:sz w:val="22"/>
                <w:szCs w:val="22"/>
                <w:lang w:val="es-ES" w:eastAsia="en-US"/>
              </w:rPr>
              <w:t xml:space="preserve"> </w:t>
            </w:r>
            <w:proofErr w:type="spellStart"/>
            <w:r>
              <w:rPr>
                <w:rFonts w:eastAsia="Calibri"/>
                <w:sz w:val="22"/>
                <w:szCs w:val="22"/>
                <w:lang w:val="es-ES" w:eastAsia="en-US"/>
              </w:rPr>
              <w:t>delivery</w:t>
            </w:r>
            <w:proofErr w:type="spellEnd"/>
            <w:r>
              <w:rPr>
                <w:rFonts w:eastAsia="Calibri"/>
                <w:sz w:val="22"/>
                <w:szCs w:val="22"/>
                <w:lang w:val="es-ES" w:eastAsia="en-US"/>
              </w:rPr>
              <w:t xml:space="preserve"> </w:t>
            </w:r>
            <w:proofErr w:type="spellStart"/>
            <w:r>
              <w:rPr>
                <w:rFonts w:eastAsia="Calibri"/>
                <w:sz w:val="22"/>
                <w:szCs w:val="22"/>
                <w:lang w:val="es-ES" w:eastAsia="en-US"/>
              </w:rPr>
              <w:t>of</w:t>
            </w:r>
            <w:proofErr w:type="spellEnd"/>
            <w:r>
              <w:rPr>
                <w:rFonts w:eastAsia="Calibri"/>
                <w:sz w:val="22"/>
                <w:szCs w:val="22"/>
                <w:lang w:val="es-ES" w:eastAsia="en-US"/>
              </w:rPr>
              <w:t xml:space="preserve"> </w:t>
            </w:r>
            <w:proofErr w:type="spellStart"/>
            <w:r>
              <w:rPr>
                <w:rFonts w:eastAsia="Calibri"/>
                <w:sz w:val="22"/>
                <w:szCs w:val="22"/>
                <w:lang w:val="es-ES" w:eastAsia="en-US"/>
              </w:rPr>
              <w:t>the</w:t>
            </w:r>
            <w:proofErr w:type="spellEnd"/>
            <w:r>
              <w:rPr>
                <w:rFonts w:eastAsia="Calibri"/>
                <w:sz w:val="22"/>
                <w:szCs w:val="22"/>
                <w:lang w:val="es-ES" w:eastAsia="en-US"/>
              </w:rPr>
              <w:t xml:space="preserve"> new </w:t>
            </w:r>
            <w:proofErr w:type="spellStart"/>
            <w:r>
              <w:rPr>
                <w:rFonts w:eastAsia="Calibri"/>
                <w:sz w:val="22"/>
                <w:szCs w:val="22"/>
                <w:lang w:val="es-ES" w:eastAsia="en-US"/>
              </w:rPr>
              <w:t>ones</w:t>
            </w:r>
            <w:proofErr w:type="spellEnd"/>
            <w:r>
              <w:rPr>
                <w:rFonts w:eastAsia="Calibri"/>
                <w:sz w:val="22"/>
                <w:szCs w:val="22"/>
                <w:lang w:val="es-ES" w:eastAsia="en-US"/>
              </w:rPr>
              <w:t xml:space="preserve"> at no </w:t>
            </w:r>
            <w:proofErr w:type="spellStart"/>
            <w:r>
              <w:rPr>
                <w:rFonts w:eastAsia="Calibri"/>
                <w:sz w:val="22"/>
                <w:szCs w:val="22"/>
                <w:lang w:val="es-ES" w:eastAsia="en-US"/>
              </w:rPr>
              <w:t>cost</w:t>
            </w:r>
            <w:proofErr w:type="spellEnd"/>
            <w:r>
              <w:rPr>
                <w:rFonts w:eastAsia="Calibri"/>
                <w:sz w:val="22"/>
                <w:szCs w:val="22"/>
                <w:lang w:val="es-ES" w:eastAsia="en-US"/>
              </w:rPr>
              <w:t xml:space="preserve"> </w:t>
            </w:r>
            <w:proofErr w:type="spellStart"/>
            <w:r>
              <w:rPr>
                <w:rFonts w:eastAsia="Calibri"/>
                <w:sz w:val="22"/>
                <w:szCs w:val="22"/>
                <w:lang w:val="es-ES" w:eastAsia="en-US"/>
              </w:rPr>
              <w:t>to</w:t>
            </w:r>
            <w:proofErr w:type="spellEnd"/>
            <w:r>
              <w:rPr>
                <w:rFonts w:eastAsia="Calibri"/>
                <w:sz w:val="22"/>
                <w:szCs w:val="22"/>
                <w:lang w:val="es-ES" w:eastAsia="en-US"/>
              </w:rPr>
              <w:t xml:space="preserve"> OSE, </w:t>
            </w:r>
            <w:proofErr w:type="spellStart"/>
            <w:r>
              <w:rPr>
                <w:rFonts w:eastAsia="Calibri"/>
                <w:sz w:val="22"/>
                <w:szCs w:val="22"/>
                <w:lang w:val="es-ES" w:eastAsia="en-US"/>
              </w:rPr>
              <w:t>within</w:t>
            </w:r>
            <w:proofErr w:type="spellEnd"/>
            <w:r>
              <w:rPr>
                <w:rFonts w:eastAsia="Calibri"/>
                <w:sz w:val="22"/>
                <w:szCs w:val="22"/>
                <w:lang w:val="es-ES" w:eastAsia="en-US"/>
              </w:rPr>
              <w:t xml:space="preserve"> a </w:t>
            </w:r>
            <w:proofErr w:type="spellStart"/>
            <w:r>
              <w:rPr>
                <w:rFonts w:eastAsia="Calibri"/>
                <w:sz w:val="22"/>
                <w:szCs w:val="22"/>
                <w:lang w:val="es-ES" w:eastAsia="en-US"/>
              </w:rPr>
              <w:t>maximum</w:t>
            </w:r>
            <w:proofErr w:type="spellEnd"/>
            <w:r>
              <w:rPr>
                <w:rFonts w:eastAsia="Calibri"/>
                <w:sz w:val="22"/>
                <w:szCs w:val="22"/>
                <w:lang w:val="es-ES" w:eastAsia="en-US"/>
              </w:rPr>
              <w:t xml:space="preserve"> </w:t>
            </w:r>
            <w:proofErr w:type="spellStart"/>
            <w:r>
              <w:rPr>
                <w:rFonts w:eastAsia="Calibri"/>
                <w:sz w:val="22"/>
                <w:szCs w:val="22"/>
                <w:lang w:val="es-ES" w:eastAsia="en-US"/>
              </w:rPr>
              <w:t>period</w:t>
            </w:r>
            <w:proofErr w:type="spellEnd"/>
            <w:r>
              <w:rPr>
                <w:rFonts w:eastAsia="Calibri"/>
                <w:sz w:val="22"/>
                <w:szCs w:val="22"/>
                <w:lang w:val="es-ES" w:eastAsia="en-US"/>
              </w:rPr>
              <w:t xml:space="preserve"> </w:t>
            </w:r>
            <w:proofErr w:type="spellStart"/>
            <w:r>
              <w:rPr>
                <w:rFonts w:eastAsia="Calibri"/>
                <w:sz w:val="22"/>
                <w:szCs w:val="22"/>
                <w:lang w:val="es-ES" w:eastAsia="en-US"/>
              </w:rPr>
              <w:t>of</w:t>
            </w:r>
            <w:proofErr w:type="spellEnd"/>
            <w:r>
              <w:rPr>
                <w:rFonts w:eastAsia="Calibri"/>
                <w:sz w:val="22"/>
                <w:szCs w:val="22"/>
                <w:lang w:val="es-ES" w:eastAsia="en-US"/>
              </w:rPr>
              <w:t xml:space="preserve"> 3 (</w:t>
            </w:r>
            <w:proofErr w:type="spellStart"/>
            <w:r>
              <w:rPr>
                <w:rFonts w:eastAsia="Calibri"/>
                <w:sz w:val="22"/>
                <w:szCs w:val="22"/>
                <w:lang w:val="es-ES" w:eastAsia="en-US"/>
              </w:rPr>
              <w:t>three</w:t>
            </w:r>
            <w:proofErr w:type="spellEnd"/>
            <w:r>
              <w:rPr>
                <w:rFonts w:eastAsia="Calibri"/>
                <w:sz w:val="22"/>
                <w:szCs w:val="22"/>
                <w:lang w:val="es-ES" w:eastAsia="en-US"/>
              </w:rPr>
              <w:t xml:space="preserve">) </w:t>
            </w:r>
            <w:proofErr w:type="spellStart"/>
            <w:r>
              <w:rPr>
                <w:rFonts w:eastAsia="Calibri"/>
                <w:sz w:val="22"/>
                <w:szCs w:val="22"/>
                <w:lang w:val="es-ES" w:eastAsia="en-US"/>
              </w:rPr>
              <w:t>months</w:t>
            </w:r>
            <w:proofErr w:type="spellEnd"/>
            <w:r>
              <w:rPr>
                <w:rFonts w:eastAsia="Calibri"/>
                <w:sz w:val="22"/>
                <w:szCs w:val="22"/>
                <w:lang w:val="es-ES" w:eastAsia="en-US"/>
              </w:rPr>
              <w:t xml:space="preserve"> </w:t>
            </w:r>
            <w:proofErr w:type="spellStart"/>
            <w:r>
              <w:rPr>
                <w:rFonts w:eastAsia="Calibri"/>
                <w:sz w:val="22"/>
                <w:szCs w:val="22"/>
                <w:lang w:val="es-ES" w:eastAsia="en-US"/>
              </w:rPr>
              <w:t>from</w:t>
            </w:r>
            <w:proofErr w:type="spellEnd"/>
            <w:r>
              <w:rPr>
                <w:rFonts w:eastAsia="Calibri"/>
                <w:sz w:val="22"/>
                <w:szCs w:val="22"/>
                <w:lang w:val="es-ES" w:eastAsia="en-US"/>
              </w:rPr>
              <w:t xml:space="preserve"> </w:t>
            </w:r>
            <w:proofErr w:type="spellStart"/>
            <w:r>
              <w:rPr>
                <w:rFonts w:eastAsia="Calibri"/>
                <w:sz w:val="22"/>
                <w:szCs w:val="22"/>
                <w:lang w:val="es-ES" w:eastAsia="en-US"/>
              </w:rPr>
              <w:t>the</w:t>
            </w:r>
            <w:proofErr w:type="spellEnd"/>
            <w:r>
              <w:rPr>
                <w:rFonts w:eastAsia="Calibri"/>
                <w:sz w:val="22"/>
                <w:szCs w:val="22"/>
                <w:lang w:val="es-ES" w:eastAsia="en-US"/>
              </w:rPr>
              <w:t xml:space="preserve"> date </w:t>
            </w:r>
            <w:proofErr w:type="spellStart"/>
            <w:r>
              <w:rPr>
                <w:rFonts w:eastAsia="Calibri"/>
                <w:sz w:val="22"/>
                <w:szCs w:val="22"/>
                <w:lang w:val="es-ES" w:eastAsia="en-US"/>
              </w:rPr>
              <w:t>on</w:t>
            </w:r>
            <w:proofErr w:type="spellEnd"/>
            <w:r>
              <w:rPr>
                <w:rFonts w:eastAsia="Calibri"/>
                <w:sz w:val="22"/>
                <w:szCs w:val="22"/>
                <w:lang w:val="es-ES" w:eastAsia="en-US"/>
              </w:rPr>
              <w:t xml:space="preserve"> </w:t>
            </w:r>
            <w:proofErr w:type="spellStart"/>
            <w:r>
              <w:rPr>
                <w:rFonts w:eastAsia="Calibri"/>
                <w:sz w:val="22"/>
                <w:szCs w:val="22"/>
                <w:lang w:val="es-ES" w:eastAsia="en-US"/>
              </w:rPr>
              <w:t>which</w:t>
            </w:r>
            <w:proofErr w:type="spellEnd"/>
            <w:r>
              <w:rPr>
                <w:rFonts w:eastAsia="Calibri"/>
                <w:sz w:val="22"/>
                <w:szCs w:val="22"/>
                <w:lang w:val="es-ES" w:eastAsia="en-US"/>
              </w:rPr>
              <w:t xml:space="preserve"> OSE </w:t>
            </w:r>
            <w:proofErr w:type="spellStart"/>
            <w:r>
              <w:rPr>
                <w:rFonts w:eastAsia="Calibri"/>
                <w:sz w:val="22"/>
                <w:szCs w:val="22"/>
                <w:lang w:val="es-ES" w:eastAsia="en-US"/>
              </w:rPr>
              <w:t>makes</w:t>
            </w:r>
            <w:proofErr w:type="spellEnd"/>
            <w:r>
              <w:rPr>
                <w:rFonts w:eastAsia="Calibri"/>
                <w:sz w:val="22"/>
                <w:szCs w:val="22"/>
                <w:lang w:val="es-ES" w:eastAsia="en-US"/>
              </w:rPr>
              <w:t xml:space="preserve"> </w:t>
            </w:r>
            <w:proofErr w:type="spellStart"/>
            <w:r>
              <w:rPr>
                <w:rFonts w:eastAsia="Calibri"/>
                <w:sz w:val="22"/>
                <w:szCs w:val="22"/>
                <w:lang w:val="es-ES" w:eastAsia="en-US"/>
              </w:rPr>
              <w:t>the</w:t>
            </w:r>
            <w:proofErr w:type="spellEnd"/>
            <w:r>
              <w:rPr>
                <w:rFonts w:eastAsia="Calibri"/>
                <w:sz w:val="22"/>
                <w:szCs w:val="22"/>
                <w:lang w:val="es-ES" w:eastAsia="en-US"/>
              </w:rPr>
              <w:t xml:space="preserve"> </w:t>
            </w:r>
            <w:proofErr w:type="spellStart"/>
            <w:r>
              <w:rPr>
                <w:rFonts w:eastAsia="Calibri"/>
                <w:sz w:val="22"/>
                <w:szCs w:val="22"/>
                <w:lang w:val="es-ES" w:eastAsia="en-US"/>
              </w:rPr>
              <w:t>claim</w:t>
            </w:r>
            <w:proofErr w:type="spellEnd"/>
            <w:r>
              <w:rPr>
                <w:rFonts w:eastAsia="Calibri"/>
                <w:sz w:val="22"/>
                <w:szCs w:val="22"/>
                <w:lang w:val="es-ES" w:eastAsia="en-US"/>
              </w:rPr>
              <w:t>.</w:t>
            </w:r>
          </w:p>
          <w:p w14:paraId="00366817" w14:textId="77777777" w:rsidR="00E255F4" w:rsidRDefault="00000000">
            <w:pPr>
              <w:pStyle w:val="Prrafodelista"/>
              <w:tabs>
                <w:tab w:val="left" w:pos="419"/>
              </w:tabs>
              <w:spacing w:line="240" w:lineRule="auto"/>
              <w:ind w:left="419" w:right="311"/>
              <w:jc w:val="both"/>
              <w:rPr>
                <w:rFonts w:eastAsia="Calibri"/>
                <w:sz w:val="22"/>
                <w:szCs w:val="22"/>
                <w:lang w:val="es-ES" w:eastAsia="en-US"/>
              </w:rPr>
            </w:pPr>
            <w:proofErr w:type="spellStart"/>
            <w:r>
              <w:rPr>
                <w:rFonts w:eastAsia="Calibri"/>
                <w:sz w:val="22"/>
                <w:szCs w:val="22"/>
                <w:lang w:val="es-ES" w:eastAsia="en-US"/>
              </w:rPr>
              <w:t>If</w:t>
            </w:r>
            <w:proofErr w:type="spellEnd"/>
            <w:r>
              <w:rPr>
                <w:rFonts w:eastAsia="Calibri"/>
                <w:sz w:val="22"/>
                <w:szCs w:val="22"/>
                <w:lang w:val="es-ES" w:eastAsia="en-US"/>
              </w:rPr>
              <w:t xml:space="preserve"> </w:t>
            </w:r>
            <w:proofErr w:type="spellStart"/>
            <w:r>
              <w:rPr>
                <w:rFonts w:eastAsia="Calibri"/>
                <w:sz w:val="22"/>
                <w:szCs w:val="22"/>
                <w:lang w:val="es-ES" w:eastAsia="en-US"/>
              </w:rPr>
              <w:t>awarded</w:t>
            </w:r>
            <w:proofErr w:type="spellEnd"/>
            <w:r>
              <w:rPr>
                <w:rFonts w:eastAsia="Calibri"/>
                <w:sz w:val="22"/>
                <w:szCs w:val="22"/>
                <w:lang w:val="es-ES" w:eastAsia="en-US"/>
              </w:rPr>
              <w:t xml:space="preserve"> </w:t>
            </w:r>
            <w:proofErr w:type="spellStart"/>
            <w:r>
              <w:rPr>
                <w:rFonts w:eastAsia="Calibri"/>
                <w:sz w:val="22"/>
                <w:szCs w:val="22"/>
                <w:lang w:val="es-ES" w:eastAsia="en-US"/>
              </w:rPr>
              <w:t>the</w:t>
            </w:r>
            <w:proofErr w:type="spellEnd"/>
            <w:r>
              <w:rPr>
                <w:rFonts w:eastAsia="Calibri"/>
                <w:sz w:val="22"/>
                <w:szCs w:val="22"/>
                <w:lang w:val="es-ES" w:eastAsia="en-US"/>
              </w:rPr>
              <w:t xml:space="preserve"> </w:t>
            </w:r>
            <w:proofErr w:type="spellStart"/>
            <w:r>
              <w:rPr>
                <w:rFonts w:eastAsia="Calibri"/>
                <w:sz w:val="22"/>
                <w:szCs w:val="22"/>
                <w:lang w:val="es-ES" w:eastAsia="en-US"/>
              </w:rPr>
              <w:t>contract</w:t>
            </w:r>
            <w:proofErr w:type="spellEnd"/>
            <w:r>
              <w:rPr>
                <w:rFonts w:eastAsia="Calibri"/>
                <w:sz w:val="22"/>
                <w:szCs w:val="22"/>
                <w:lang w:val="es-ES" w:eastAsia="en-US"/>
              </w:rPr>
              <w:t xml:space="preserve">, </w:t>
            </w:r>
            <w:proofErr w:type="spellStart"/>
            <w:r>
              <w:rPr>
                <w:rFonts w:eastAsia="Calibri"/>
                <w:sz w:val="22"/>
                <w:szCs w:val="22"/>
                <w:lang w:val="es-ES" w:eastAsia="en-US"/>
              </w:rPr>
              <w:t>the</w:t>
            </w:r>
            <w:proofErr w:type="spellEnd"/>
            <w:r>
              <w:rPr>
                <w:rFonts w:eastAsia="Calibri"/>
                <w:sz w:val="22"/>
                <w:szCs w:val="22"/>
                <w:lang w:val="es-ES" w:eastAsia="en-US"/>
              </w:rPr>
              <w:t xml:space="preserve"> </w:t>
            </w:r>
            <w:proofErr w:type="spellStart"/>
            <w:r>
              <w:rPr>
                <w:rFonts w:eastAsia="Calibri"/>
                <w:sz w:val="22"/>
                <w:szCs w:val="22"/>
                <w:lang w:val="es-ES" w:eastAsia="en-US"/>
              </w:rPr>
              <w:t>guarantee</w:t>
            </w:r>
            <w:proofErr w:type="spellEnd"/>
            <w:r>
              <w:rPr>
                <w:rFonts w:eastAsia="Calibri"/>
                <w:sz w:val="22"/>
                <w:szCs w:val="22"/>
                <w:lang w:val="es-ES" w:eastAsia="en-US"/>
              </w:rPr>
              <w:t xml:space="preserve"> </w:t>
            </w:r>
            <w:proofErr w:type="spellStart"/>
            <w:r>
              <w:rPr>
                <w:rFonts w:eastAsia="Calibri"/>
                <w:sz w:val="22"/>
                <w:szCs w:val="22"/>
                <w:lang w:val="es-ES" w:eastAsia="en-US"/>
              </w:rPr>
              <w:t>documents</w:t>
            </w:r>
            <w:proofErr w:type="spellEnd"/>
            <w:r>
              <w:rPr>
                <w:rFonts w:eastAsia="Calibri"/>
                <w:sz w:val="22"/>
                <w:szCs w:val="22"/>
                <w:lang w:val="es-ES" w:eastAsia="en-US"/>
              </w:rPr>
              <w:t xml:space="preserve"> </w:t>
            </w:r>
            <w:proofErr w:type="spellStart"/>
            <w:r>
              <w:rPr>
                <w:rFonts w:eastAsia="Calibri"/>
                <w:sz w:val="22"/>
                <w:szCs w:val="22"/>
                <w:lang w:val="es-ES" w:eastAsia="en-US"/>
              </w:rPr>
              <w:t>must</w:t>
            </w:r>
            <w:proofErr w:type="spellEnd"/>
            <w:r>
              <w:rPr>
                <w:rFonts w:eastAsia="Calibri"/>
                <w:sz w:val="22"/>
                <w:szCs w:val="22"/>
                <w:lang w:val="es-ES" w:eastAsia="en-US"/>
              </w:rPr>
              <w:t xml:space="preserve"> be </w:t>
            </w:r>
            <w:proofErr w:type="spellStart"/>
            <w:r>
              <w:rPr>
                <w:rFonts w:eastAsia="Calibri"/>
                <w:sz w:val="22"/>
                <w:szCs w:val="22"/>
                <w:lang w:val="es-ES" w:eastAsia="en-US"/>
              </w:rPr>
              <w:t>submitted</w:t>
            </w:r>
            <w:proofErr w:type="spellEnd"/>
            <w:r>
              <w:rPr>
                <w:rFonts w:eastAsia="Calibri"/>
                <w:sz w:val="22"/>
                <w:szCs w:val="22"/>
                <w:lang w:val="es-ES" w:eastAsia="en-US"/>
              </w:rPr>
              <w:t xml:space="preserve"> </w:t>
            </w:r>
            <w:proofErr w:type="spellStart"/>
            <w:r>
              <w:rPr>
                <w:rFonts w:eastAsia="Calibri"/>
                <w:sz w:val="22"/>
                <w:szCs w:val="22"/>
                <w:lang w:val="es-ES" w:eastAsia="en-US"/>
              </w:rPr>
              <w:t>along</w:t>
            </w:r>
            <w:proofErr w:type="spellEnd"/>
            <w:r>
              <w:rPr>
                <w:rFonts w:eastAsia="Calibri"/>
                <w:sz w:val="22"/>
                <w:szCs w:val="22"/>
                <w:lang w:val="es-ES" w:eastAsia="en-US"/>
              </w:rPr>
              <w:t xml:space="preserve"> </w:t>
            </w:r>
            <w:proofErr w:type="spellStart"/>
            <w:r>
              <w:rPr>
                <w:rFonts w:eastAsia="Calibri"/>
                <w:sz w:val="22"/>
                <w:szCs w:val="22"/>
                <w:lang w:val="es-ES" w:eastAsia="en-US"/>
              </w:rPr>
              <w:t>with</w:t>
            </w:r>
            <w:proofErr w:type="spellEnd"/>
            <w:r>
              <w:rPr>
                <w:rFonts w:eastAsia="Calibri"/>
                <w:sz w:val="22"/>
                <w:szCs w:val="22"/>
                <w:lang w:val="es-ES" w:eastAsia="en-US"/>
              </w:rPr>
              <w:t xml:space="preserve"> </w:t>
            </w:r>
            <w:proofErr w:type="spellStart"/>
            <w:r>
              <w:rPr>
                <w:rFonts w:eastAsia="Calibri"/>
                <w:sz w:val="22"/>
                <w:szCs w:val="22"/>
                <w:lang w:val="es-ES" w:eastAsia="en-US"/>
              </w:rPr>
              <w:t>the</w:t>
            </w:r>
            <w:proofErr w:type="spellEnd"/>
            <w:r>
              <w:rPr>
                <w:rFonts w:eastAsia="Calibri"/>
                <w:sz w:val="22"/>
                <w:szCs w:val="22"/>
                <w:lang w:val="es-ES" w:eastAsia="en-US"/>
              </w:rPr>
              <w:t xml:space="preserve"> </w:t>
            </w:r>
            <w:proofErr w:type="spellStart"/>
            <w:r>
              <w:rPr>
                <w:rFonts w:eastAsia="Calibri"/>
                <w:sz w:val="22"/>
                <w:szCs w:val="22"/>
                <w:lang w:val="es-ES" w:eastAsia="en-US"/>
              </w:rPr>
              <w:t>lot</w:t>
            </w:r>
            <w:proofErr w:type="spellEnd"/>
            <w:r>
              <w:rPr>
                <w:rFonts w:eastAsia="Calibri"/>
                <w:sz w:val="22"/>
                <w:szCs w:val="22"/>
                <w:lang w:val="es-ES" w:eastAsia="en-US"/>
              </w:rPr>
              <w:t xml:space="preserve">, and </w:t>
            </w:r>
            <w:proofErr w:type="spellStart"/>
            <w:r>
              <w:rPr>
                <w:rFonts w:eastAsia="Calibri"/>
                <w:sz w:val="22"/>
                <w:szCs w:val="22"/>
                <w:lang w:val="es-ES" w:eastAsia="en-US"/>
              </w:rPr>
              <w:t>the</w:t>
            </w:r>
            <w:proofErr w:type="spellEnd"/>
            <w:r>
              <w:rPr>
                <w:rFonts w:eastAsia="Calibri"/>
                <w:sz w:val="22"/>
                <w:szCs w:val="22"/>
                <w:lang w:val="es-ES" w:eastAsia="en-US"/>
              </w:rPr>
              <w:t xml:space="preserve"> </w:t>
            </w:r>
            <w:proofErr w:type="spellStart"/>
            <w:r>
              <w:rPr>
                <w:rFonts w:eastAsia="Calibri"/>
                <w:sz w:val="22"/>
                <w:szCs w:val="22"/>
                <w:lang w:val="es-ES" w:eastAsia="en-US"/>
              </w:rPr>
              <w:t>numbering</w:t>
            </w:r>
            <w:proofErr w:type="spellEnd"/>
            <w:r>
              <w:rPr>
                <w:rFonts w:eastAsia="Calibri"/>
                <w:sz w:val="22"/>
                <w:szCs w:val="22"/>
                <w:lang w:val="es-ES" w:eastAsia="en-US"/>
              </w:rPr>
              <w:t xml:space="preserve"> </w:t>
            </w:r>
            <w:proofErr w:type="spellStart"/>
            <w:r>
              <w:rPr>
                <w:rFonts w:eastAsia="Calibri"/>
                <w:sz w:val="22"/>
                <w:szCs w:val="22"/>
                <w:lang w:val="es-ES" w:eastAsia="en-US"/>
              </w:rPr>
              <w:t>or</w:t>
            </w:r>
            <w:proofErr w:type="spellEnd"/>
            <w:r>
              <w:rPr>
                <w:rFonts w:eastAsia="Calibri"/>
                <w:sz w:val="22"/>
                <w:szCs w:val="22"/>
                <w:lang w:val="es-ES" w:eastAsia="en-US"/>
              </w:rPr>
              <w:t xml:space="preserve"> </w:t>
            </w:r>
            <w:proofErr w:type="spellStart"/>
            <w:r>
              <w:rPr>
                <w:rFonts w:eastAsia="Calibri"/>
                <w:sz w:val="22"/>
                <w:szCs w:val="22"/>
                <w:lang w:val="es-ES" w:eastAsia="en-US"/>
              </w:rPr>
              <w:t>numbering</w:t>
            </w:r>
            <w:proofErr w:type="spellEnd"/>
            <w:r>
              <w:rPr>
                <w:rFonts w:eastAsia="Calibri"/>
                <w:sz w:val="22"/>
                <w:szCs w:val="22"/>
                <w:lang w:val="es-ES" w:eastAsia="en-US"/>
              </w:rPr>
              <w:t xml:space="preserve"> </w:t>
            </w:r>
            <w:proofErr w:type="spellStart"/>
            <w:r>
              <w:rPr>
                <w:rFonts w:eastAsia="Calibri"/>
                <w:sz w:val="22"/>
                <w:szCs w:val="22"/>
                <w:lang w:val="es-ES" w:eastAsia="en-US"/>
              </w:rPr>
              <w:t>ranges</w:t>
            </w:r>
            <w:proofErr w:type="spellEnd"/>
            <w:r>
              <w:rPr>
                <w:rFonts w:eastAsia="Calibri"/>
                <w:sz w:val="22"/>
                <w:szCs w:val="22"/>
                <w:lang w:val="es-ES" w:eastAsia="en-US"/>
              </w:rPr>
              <w:t xml:space="preserve"> </w:t>
            </w:r>
            <w:proofErr w:type="spellStart"/>
            <w:r>
              <w:rPr>
                <w:rFonts w:eastAsia="Calibri"/>
                <w:sz w:val="22"/>
                <w:szCs w:val="22"/>
                <w:lang w:val="es-ES" w:eastAsia="en-US"/>
              </w:rPr>
              <w:t>of</w:t>
            </w:r>
            <w:proofErr w:type="spellEnd"/>
            <w:r>
              <w:rPr>
                <w:rFonts w:eastAsia="Calibri"/>
                <w:sz w:val="22"/>
                <w:szCs w:val="22"/>
                <w:lang w:val="es-ES" w:eastAsia="en-US"/>
              </w:rPr>
              <w:t xml:space="preserve"> </w:t>
            </w:r>
            <w:proofErr w:type="spellStart"/>
            <w:r>
              <w:rPr>
                <w:rFonts w:eastAsia="Calibri"/>
                <w:sz w:val="22"/>
                <w:szCs w:val="22"/>
                <w:lang w:val="es-ES" w:eastAsia="en-US"/>
              </w:rPr>
              <w:t>the</w:t>
            </w:r>
            <w:proofErr w:type="spellEnd"/>
            <w:r>
              <w:rPr>
                <w:rFonts w:eastAsia="Calibri"/>
                <w:sz w:val="22"/>
                <w:szCs w:val="22"/>
                <w:lang w:val="es-ES" w:eastAsia="en-US"/>
              </w:rPr>
              <w:t xml:space="preserve"> </w:t>
            </w:r>
            <w:proofErr w:type="spellStart"/>
            <w:r>
              <w:rPr>
                <w:rFonts w:eastAsia="Calibri"/>
                <w:sz w:val="22"/>
                <w:szCs w:val="22"/>
                <w:lang w:val="es-ES" w:eastAsia="en-US"/>
              </w:rPr>
              <w:t>integrated</w:t>
            </w:r>
            <w:proofErr w:type="spellEnd"/>
            <w:r>
              <w:rPr>
                <w:rFonts w:eastAsia="Calibri"/>
                <w:sz w:val="22"/>
                <w:szCs w:val="22"/>
                <w:lang w:val="es-ES" w:eastAsia="en-US"/>
              </w:rPr>
              <w:t xml:space="preserve"> </w:t>
            </w:r>
            <w:proofErr w:type="spellStart"/>
            <w:r>
              <w:rPr>
                <w:rFonts w:eastAsia="Calibri"/>
                <w:sz w:val="22"/>
                <w:szCs w:val="22"/>
                <w:lang w:val="es-ES" w:eastAsia="en-US"/>
              </w:rPr>
              <w:t>smart</w:t>
            </w:r>
            <w:proofErr w:type="spellEnd"/>
            <w:r>
              <w:rPr>
                <w:rFonts w:eastAsia="Calibri"/>
                <w:sz w:val="22"/>
                <w:szCs w:val="22"/>
                <w:lang w:val="es-ES" w:eastAsia="en-US"/>
              </w:rPr>
              <w:t xml:space="preserve"> </w:t>
            </w:r>
            <w:proofErr w:type="spellStart"/>
            <w:r>
              <w:rPr>
                <w:rFonts w:eastAsia="Calibri"/>
                <w:sz w:val="22"/>
                <w:szCs w:val="22"/>
                <w:lang w:val="es-ES" w:eastAsia="en-US"/>
              </w:rPr>
              <w:t>meters</w:t>
            </w:r>
            <w:proofErr w:type="spellEnd"/>
            <w:r>
              <w:rPr>
                <w:rFonts w:eastAsia="Calibri"/>
                <w:sz w:val="22"/>
                <w:szCs w:val="22"/>
                <w:lang w:val="es-ES" w:eastAsia="en-US"/>
              </w:rPr>
              <w:t xml:space="preserve"> </w:t>
            </w:r>
            <w:proofErr w:type="spellStart"/>
            <w:r>
              <w:rPr>
                <w:rFonts w:eastAsia="Calibri"/>
                <w:sz w:val="22"/>
                <w:szCs w:val="22"/>
                <w:lang w:val="es-ES" w:eastAsia="en-US"/>
              </w:rPr>
              <w:t>to</w:t>
            </w:r>
            <w:proofErr w:type="spellEnd"/>
            <w:r>
              <w:rPr>
                <w:rFonts w:eastAsia="Calibri"/>
                <w:sz w:val="22"/>
                <w:szCs w:val="22"/>
                <w:lang w:val="es-ES" w:eastAsia="en-US"/>
              </w:rPr>
              <w:t xml:space="preserve"> </w:t>
            </w:r>
            <w:proofErr w:type="spellStart"/>
            <w:r>
              <w:rPr>
                <w:rFonts w:eastAsia="Calibri"/>
                <w:sz w:val="22"/>
                <w:szCs w:val="22"/>
                <w:lang w:val="es-ES" w:eastAsia="en-US"/>
              </w:rPr>
              <w:t>which</w:t>
            </w:r>
            <w:proofErr w:type="spellEnd"/>
            <w:r>
              <w:rPr>
                <w:rFonts w:eastAsia="Calibri"/>
                <w:sz w:val="22"/>
                <w:szCs w:val="22"/>
                <w:lang w:val="es-ES" w:eastAsia="en-US"/>
              </w:rPr>
              <w:t xml:space="preserve"> </w:t>
            </w:r>
            <w:proofErr w:type="spellStart"/>
            <w:r>
              <w:rPr>
                <w:rFonts w:eastAsia="Calibri"/>
                <w:sz w:val="22"/>
                <w:szCs w:val="22"/>
                <w:lang w:val="es-ES" w:eastAsia="en-US"/>
              </w:rPr>
              <w:t>they</w:t>
            </w:r>
            <w:proofErr w:type="spellEnd"/>
            <w:r>
              <w:rPr>
                <w:rFonts w:eastAsia="Calibri"/>
                <w:sz w:val="22"/>
                <w:szCs w:val="22"/>
                <w:lang w:val="es-ES" w:eastAsia="en-US"/>
              </w:rPr>
              <w:t xml:space="preserve"> </w:t>
            </w:r>
            <w:proofErr w:type="spellStart"/>
            <w:r>
              <w:rPr>
                <w:rFonts w:eastAsia="Calibri"/>
                <w:sz w:val="22"/>
                <w:szCs w:val="22"/>
                <w:lang w:val="es-ES" w:eastAsia="en-US"/>
              </w:rPr>
              <w:t>refer</w:t>
            </w:r>
            <w:proofErr w:type="spellEnd"/>
            <w:r>
              <w:rPr>
                <w:rFonts w:eastAsia="Calibri"/>
                <w:sz w:val="22"/>
                <w:szCs w:val="22"/>
                <w:lang w:val="es-ES" w:eastAsia="en-US"/>
              </w:rPr>
              <w:t xml:space="preserve"> </w:t>
            </w:r>
            <w:proofErr w:type="spellStart"/>
            <w:r>
              <w:rPr>
                <w:rFonts w:eastAsia="Calibri"/>
                <w:sz w:val="22"/>
                <w:szCs w:val="22"/>
                <w:lang w:val="es-ES" w:eastAsia="en-US"/>
              </w:rPr>
              <w:t>must</w:t>
            </w:r>
            <w:proofErr w:type="spellEnd"/>
            <w:r>
              <w:rPr>
                <w:rFonts w:eastAsia="Calibri"/>
                <w:sz w:val="22"/>
                <w:szCs w:val="22"/>
                <w:lang w:val="es-ES" w:eastAsia="en-US"/>
              </w:rPr>
              <w:t xml:space="preserve"> be </w:t>
            </w:r>
            <w:proofErr w:type="spellStart"/>
            <w:r>
              <w:rPr>
                <w:rFonts w:eastAsia="Calibri"/>
                <w:sz w:val="22"/>
                <w:szCs w:val="22"/>
                <w:lang w:val="es-ES" w:eastAsia="en-US"/>
              </w:rPr>
              <w:t>specified</w:t>
            </w:r>
            <w:proofErr w:type="spellEnd"/>
            <w:r>
              <w:rPr>
                <w:rFonts w:eastAsia="Calibri"/>
                <w:sz w:val="22"/>
                <w:szCs w:val="22"/>
                <w:lang w:val="es-ES" w:eastAsia="en-US"/>
              </w:rPr>
              <w:t xml:space="preserve">, so </w:t>
            </w:r>
            <w:proofErr w:type="spellStart"/>
            <w:r>
              <w:rPr>
                <w:rFonts w:eastAsia="Calibri"/>
                <w:sz w:val="22"/>
                <w:szCs w:val="22"/>
                <w:lang w:val="es-ES" w:eastAsia="en-US"/>
              </w:rPr>
              <w:t>that</w:t>
            </w:r>
            <w:proofErr w:type="spellEnd"/>
            <w:r>
              <w:rPr>
                <w:rFonts w:eastAsia="Calibri"/>
                <w:sz w:val="22"/>
                <w:szCs w:val="22"/>
                <w:lang w:val="es-ES" w:eastAsia="en-US"/>
              </w:rPr>
              <w:t xml:space="preserve"> </w:t>
            </w:r>
            <w:proofErr w:type="spellStart"/>
            <w:r>
              <w:rPr>
                <w:rFonts w:eastAsia="Calibri"/>
                <w:sz w:val="22"/>
                <w:szCs w:val="22"/>
                <w:lang w:val="es-ES" w:eastAsia="en-US"/>
              </w:rPr>
              <w:t>the</w:t>
            </w:r>
            <w:proofErr w:type="spellEnd"/>
            <w:r>
              <w:rPr>
                <w:rFonts w:eastAsia="Calibri"/>
                <w:sz w:val="22"/>
                <w:szCs w:val="22"/>
                <w:lang w:val="es-ES" w:eastAsia="en-US"/>
              </w:rPr>
              <w:t xml:space="preserve"> </w:t>
            </w:r>
            <w:proofErr w:type="spellStart"/>
            <w:r>
              <w:rPr>
                <w:rFonts w:eastAsia="Calibri"/>
                <w:sz w:val="22"/>
                <w:szCs w:val="22"/>
                <w:lang w:val="es-ES" w:eastAsia="en-US"/>
              </w:rPr>
              <w:t>Administration</w:t>
            </w:r>
            <w:proofErr w:type="spellEnd"/>
            <w:r>
              <w:rPr>
                <w:rFonts w:eastAsia="Calibri"/>
                <w:sz w:val="22"/>
                <w:szCs w:val="22"/>
                <w:lang w:val="es-ES" w:eastAsia="en-US"/>
              </w:rPr>
              <w:t xml:space="preserve"> can </w:t>
            </w:r>
            <w:proofErr w:type="spellStart"/>
            <w:r>
              <w:rPr>
                <w:rFonts w:eastAsia="Calibri"/>
                <w:sz w:val="22"/>
                <w:szCs w:val="22"/>
                <w:lang w:val="es-ES" w:eastAsia="en-US"/>
              </w:rPr>
              <w:t>exercise</w:t>
            </w:r>
            <w:proofErr w:type="spellEnd"/>
            <w:r>
              <w:rPr>
                <w:rFonts w:eastAsia="Calibri"/>
                <w:sz w:val="22"/>
                <w:szCs w:val="22"/>
                <w:lang w:val="es-ES" w:eastAsia="en-US"/>
              </w:rPr>
              <w:t xml:space="preserve"> </w:t>
            </w:r>
            <w:proofErr w:type="spellStart"/>
            <w:r>
              <w:rPr>
                <w:rFonts w:eastAsia="Calibri"/>
                <w:sz w:val="22"/>
                <w:szCs w:val="22"/>
                <w:lang w:val="es-ES" w:eastAsia="en-US"/>
              </w:rPr>
              <w:t>its</w:t>
            </w:r>
            <w:proofErr w:type="spellEnd"/>
            <w:r>
              <w:rPr>
                <w:rFonts w:eastAsia="Calibri"/>
                <w:sz w:val="22"/>
                <w:szCs w:val="22"/>
                <w:lang w:val="es-ES" w:eastAsia="en-US"/>
              </w:rPr>
              <w:t xml:space="preserve"> </w:t>
            </w:r>
            <w:proofErr w:type="spellStart"/>
            <w:r>
              <w:rPr>
                <w:rFonts w:eastAsia="Calibri"/>
                <w:sz w:val="22"/>
                <w:szCs w:val="22"/>
                <w:lang w:val="es-ES" w:eastAsia="en-US"/>
              </w:rPr>
              <w:t>rights</w:t>
            </w:r>
            <w:proofErr w:type="spellEnd"/>
            <w:r>
              <w:rPr>
                <w:rFonts w:eastAsia="Calibri"/>
                <w:sz w:val="22"/>
                <w:szCs w:val="22"/>
                <w:lang w:val="es-ES" w:eastAsia="en-US"/>
              </w:rPr>
              <w:t xml:space="preserve"> in cases </w:t>
            </w:r>
            <w:proofErr w:type="spellStart"/>
            <w:r>
              <w:rPr>
                <w:rFonts w:eastAsia="Calibri"/>
                <w:sz w:val="22"/>
                <w:szCs w:val="22"/>
                <w:lang w:val="es-ES" w:eastAsia="en-US"/>
              </w:rPr>
              <w:t>of</w:t>
            </w:r>
            <w:proofErr w:type="spellEnd"/>
            <w:r>
              <w:rPr>
                <w:rFonts w:eastAsia="Calibri"/>
                <w:sz w:val="22"/>
                <w:szCs w:val="22"/>
                <w:lang w:val="es-ES" w:eastAsia="en-US"/>
              </w:rPr>
              <w:t xml:space="preserve"> </w:t>
            </w:r>
            <w:proofErr w:type="spellStart"/>
            <w:r>
              <w:rPr>
                <w:rFonts w:eastAsia="Calibri"/>
                <w:sz w:val="22"/>
                <w:szCs w:val="22"/>
                <w:lang w:val="es-ES" w:eastAsia="en-US"/>
              </w:rPr>
              <w:t>quality</w:t>
            </w:r>
            <w:proofErr w:type="spellEnd"/>
            <w:r>
              <w:rPr>
                <w:rFonts w:eastAsia="Calibri"/>
                <w:sz w:val="22"/>
                <w:szCs w:val="22"/>
                <w:lang w:val="es-ES" w:eastAsia="en-US"/>
              </w:rPr>
              <w:t xml:space="preserve"> </w:t>
            </w:r>
            <w:proofErr w:type="spellStart"/>
            <w:r>
              <w:rPr>
                <w:rFonts w:eastAsia="Calibri"/>
                <w:sz w:val="22"/>
                <w:szCs w:val="22"/>
                <w:lang w:val="es-ES" w:eastAsia="en-US"/>
              </w:rPr>
              <w:t>deficiency</w:t>
            </w:r>
            <w:proofErr w:type="spellEnd"/>
            <w:r>
              <w:rPr>
                <w:rFonts w:eastAsia="Calibri"/>
                <w:sz w:val="22"/>
                <w:szCs w:val="22"/>
                <w:lang w:val="es-ES" w:eastAsia="en-US"/>
              </w:rPr>
              <w:t xml:space="preserve"> </w:t>
            </w:r>
            <w:proofErr w:type="spellStart"/>
            <w:r>
              <w:rPr>
                <w:rFonts w:eastAsia="Calibri"/>
                <w:sz w:val="22"/>
                <w:szCs w:val="22"/>
                <w:lang w:val="es-ES" w:eastAsia="en-US"/>
              </w:rPr>
              <w:t>of</w:t>
            </w:r>
            <w:proofErr w:type="spellEnd"/>
            <w:r>
              <w:rPr>
                <w:rFonts w:eastAsia="Calibri"/>
                <w:sz w:val="22"/>
                <w:szCs w:val="22"/>
                <w:lang w:val="es-ES" w:eastAsia="en-US"/>
              </w:rPr>
              <w:t xml:space="preserve"> </w:t>
            </w:r>
            <w:proofErr w:type="spellStart"/>
            <w:r>
              <w:rPr>
                <w:rFonts w:eastAsia="Calibri"/>
                <w:sz w:val="22"/>
                <w:szCs w:val="22"/>
                <w:lang w:val="es-ES" w:eastAsia="en-US"/>
              </w:rPr>
              <w:t>the</w:t>
            </w:r>
            <w:proofErr w:type="spellEnd"/>
            <w:r>
              <w:rPr>
                <w:rFonts w:eastAsia="Calibri"/>
                <w:sz w:val="22"/>
                <w:szCs w:val="22"/>
                <w:lang w:val="es-ES" w:eastAsia="en-US"/>
              </w:rPr>
              <w:t xml:space="preserve"> </w:t>
            </w:r>
            <w:proofErr w:type="spellStart"/>
            <w:r>
              <w:rPr>
                <w:rFonts w:eastAsia="Calibri"/>
                <w:sz w:val="22"/>
                <w:szCs w:val="22"/>
                <w:lang w:val="es-ES" w:eastAsia="en-US"/>
              </w:rPr>
              <w:t>integrated</w:t>
            </w:r>
            <w:proofErr w:type="spellEnd"/>
            <w:r>
              <w:rPr>
                <w:rFonts w:eastAsia="Calibri"/>
                <w:sz w:val="22"/>
                <w:szCs w:val="22"/>
                <w:lang w:val="es-ES" w:eastAsia="en-US"/>
              </w:rPr>
              <w:t xml:space="preserve"> </w:t>
            </w:r>
            <w:proofErr w:type="spellStart"/>
            <w:r>
              <w:rPr>
                <w:rFonts w:eastAsia="Calibri"/>
                <w:sz w:val="22"/>
                <w:szCs w:val="22"/>
                <w:lang w:val="es-ES" w:eastAsia="en-US"/>
              </w:rPr>
              <w:t>smart</w:t>
            </w:r>
            <w:proofErr w:type="spellEnd"/>
            <w:r>
              <w:rPr>
                <w:rFonts w:eastAsia="Calibri"/>
                <w:sz w:val="22"/>
                <w:szCs w:val="22"/>
                <w:lang w:val="es-ES" w:eastAsia="en-US"/>
              </w:rPr>
              <w:t xml:space="preserve"> </w:t>
            </w:r>
            <w:proofErr w:type="spellStart"/>
            <w:r>
              <w:rPr>
                <w:rFonts w:eastAsia="Calibri"/>
                <w:sz w:val="22"/>
                <w:szCs w:val="22"/>
                <w:lang w:val="es-ES" w:eastAsia="en-US"/>
              </w:rPr>
              <w:t>meters</w:t>
            </w:r>
            <w:proofErr w:type="spellEnd"/>
            <w:r>
              <w:rPr>
                <w:rFonts w:eastAsia="Calibri"/>
                <w:sz w:val="22"/>
                <w:szCs w:val="22"/>
                <w:lang w:val="es-ES" w:eastAsia="en-US"/>
              </w:rPr>
              <w:t>.</w:t>
            </w:r>
          </w:p>
          <w:p w14:paraId="4243D9AD" w14:textId="77777777" w:rsidR="00E255F4" w:rsidRDefault="00000000">
            <w:pPr>
              <w:pStyle w:val="Prrafodelista"/>
              <w:tabs>
                <w:tab w:val="left" w:pos="419"/>
              </w:tabs>
              <w:spacing w:before="240" w:after="120" w:line="240" w:lineRule="auto"/>
              <w:ind w:left="419" w:right="311"/>
              <w:jc w:val="both"/>
              <w:rPr>
                <w:rFonts w:eastAsia="Calibri"/>
                <w:sz w:val="22"/>
                <w:szCs w:val="22"/>
                <w:lang w:val="es-ES" w:eastAsia="en-US"/>
              </w:rPr>
            </w:pPr>
            <w:proofErr w:type="spellStart"/>
            <w:r>
              <w:rPr>
                <w:rFonts w:eastAsia="Calibri"/>
                <w:sz w:val="22"/>
                <w:szCs w:val="22"/>
                <w:lang w:val="es-ES" w:eastAsia="en-US"/>
              </w:rPr>
              <w:t>Furthermore</w:t>
            </w:r>
            <w:proofErr w:type="spellEnd"/>
            <w:r>
              <w:rPr>
                <w:rFonts w:eastAsia="Calibri"/>
                <w:sz w:val="22"/>
                <w:szCs w:val="22"/>
                <w:lang w:val="es-ES" w:eastAsia="en-US"/>
              </w:rPr>
              <w:t xml:space="preserve">, </w:t>
            </w:r>
            <w:proofErr w:type="spellStart"/>
            <w:r>
              <w:rPr>
                <w:rFonts w:eastAsia="Calibri"/>
                <w:sz w:val="22"/>
                <w:szCs w:val="22"/>
                <w:lang w:val="es-ES" w:eastAsia="en-US"/>
              </w:rPr>
              <w:t>if</w:t>
            </w:r>
            <w:proofErr w:type="spellEnd"/>
            <w:r>
              <w:rPr>
                <w:rFonts w:eastAsia="Calibri"/>
                <w:sz w:val="22"/>
                <w:szCs w:val="22"/>
                <w:lang w:val="es-ES" w:eastAsia="en-US"/>
              </w:rPr>
              <w:t xml:space="preserve"> </w:t>
            </w:r>
            <w:proofErr w:type="spellStart"/>
            <w:r>
              <w:rPr>
                <w:rFonts w:eastAsia="Calibri"/>
                <w:sz w:val="22"/>
                <w:szCs w:val="22"/>
                <w:lang w:val="es-ES" w:eastAsia="en-US"/>
              </w:rPr>
              <w:t>the</w:t>
            </w:r>
            <w:proofErr w:type="spellEnd"/>
            <w:r>
              <w:rPr>
                <w:rFonts w:eastAsia="Calibri"/>
                <w:sz w:val="22"/>
                <w:szCs w:val="22"/>
                <w:lang w:val="es-ES" w:eastAsia="en-US"/>
              </w:rPr>
              <w:t xml:space="preserve"> </w:t>
            </w:r>
            <w:proofErr w:type="spellStart"/>
            <w:r>
              <w:rPr>
                <w:rFonts w:eastAsia="Calibri"/>
                <w:sz w:val="22"/>
                <w:szCs w:val="22"/>
                <w:lang w:val="es-ES" w:eastAsia="en-US"/>
              </w:rPr>
              <w:t>bidder</w:t>
            </w:r>
            <w:proofErr w:type="spellEnd"/>
            <w:r>
              <w:rPr>
                <w:rFonts w:eastAsia="Calibri"/>
                <w:sz w:val="22"/>
                <w:szCs w:val="22"/>
                <w:lang w:val="es-ES" w:eastAsia="en-US"/>
              </w:rPr>
              <w:t xml:space="preserve"> </w:t>
            </w:r>
            <w:proofErr w:type="spellStart"/>
            <w:r>
              <w:rPr>
                <w:rFonts w:eastAsia="Calibri"/>
                <w:sz w:val="22"/>
                <w:szCs w:val="22"/>
                <w:lang w:val="es-ES" w:eastAsia="en-US"/>
              </w:rPr>
              <w:t>is</w:t>
            </w:r>
            <w:proofErr w:type="spellEnd"/>
            <w:r>
              <w:rPr>
                <w:rFonts w:eastAsia="Calibri"/>
                <w:sz w:val="22"/>
                <w:szCs w:val="22"/>
                <w:lang w:val="es-ES" w:eastAsia="en-US"/>
              </w:rPr>
              <w:t xml:space="preserve"> </w:t>
            </w:r>
            <w:proofErr w:type="spellStart"/>
            <w:r>
              <w:rPr>
                <w:rFonts w:eastAsia="Calibri"/>
                <w:sz w:val="22"/>
                <w:szCs w:val="22"/>
                <w:lang w:val="es-ES" w:eastAsia="en-US"/>
              </w:rPr>
              <w:t>not</w:t>
            </w:r>
            <w:proofErr w:type="spellEnd"/>
            <w:r>
              <w:rPr>
                <w:rFonts w:eastAsia="Calibri"/>
                <w:sz w:val="22"/>
                <w:szCs w:val="22"/>
                <w:lang w:val="es-ES" w:eastAsia="en-US"/>
              </w:rPr>
              <w:t xml:space="preserve"> </w:t>
            </w:r>
            <w:proofErr w:type="spellStart"/>
            <w:r>
              <w:rPr>
                <w:rFonts w:eastAsia="Calibri"/>
                <w:sz w:val="22"/>
                <w:szCs w:val="22"/>
                <w:lang w:val="es-ES" w:eastAsia="en-US"/>
              </w:rPr>
              <w:t>the</w:t>
            </w:r>
            <w:proofErr w:type="spellEnd"/>
            <w:r>
              <w:rPr>
                <w:rFonts w:eastAsia="Calibri"/>
                <w:sz w:val="22"/>
                <w:szCs w:val="22"/>
                <w:lang w:val="es-ES" w:eastAsia="en-US"/>
              </w:rPr>
              <w:t xml:space="preserve"> </w:t>
            </w:r>
            <w:proofErr w:type="spellStart"/>
            <w:r>
              <w:rPr>
                <w:rFonts w:eastAsia="Calibri"/>
                <w:sz w:val="22"/>
                <w:szCs w:val="22"/>
                <w:lang w:val="es-ES" w:eastAsia="en-US"/>
              </w:rPr>
              <w:t>manufacturer</w:t>
            </w:r>
            <w:proofErr w:type="spellEnd"/>
            <w:r>
              <w:rPr>
                <w:rFonts w:eastAsia="Calibri"/>
                <w:sz w:val="22"/>
                <w:szCs w:val="22"/>
                <w:lang w:val="es-ES" w:eastAsia="en-US"/>
              </w:rPr>
              <w:t xml:space="preserve"> </w:t>
            </w:r>
            <w:proofErr w:type="spellStart"/>
            <w:r>
              <w:rPr>
                <w:rFonts w:eastAsia="Calibri"/>
                <w:sz w:val="22"/>
                <w:szCs w:val="22"/>
                <w:lang w:val="es-ES" w:eastAsia="en-US"/>
              </w:rPr>
              <w:t>of</w:t>
            </w:r>
            <w:proofErr w:type="spellEnd"/>
            <w:r>
              <w:rPr>
                <w:rFonts w:eastAsia="Calibri"/>
                <w:sz w:val="22"/>
                <w:szCs w:val="22"/>
                <w:lang w:val="es-ES" w:eastAsia="en-US"/>
              </w:rPr>
              <w:t xml:space="preserve"> </w:t>
            </w:r>
            <w:proofErr w:type="spellStart"/>
            <w:r>
              <w:rPr>
                <w:rFonts w:eastAsia="Calibri"/>
                <w:sz w:val="22"/>
                <w:szCs w:val="22"/>
                <w:lang w:val="es-ES" w:eastAsia="en-US"/>
              </w:rPr>
              <w:t>the</w:t>
            </w:r>
            <w:proofErr w:type="spellEnd"/>
            <w:r>
              <w:rPr>
                <w:rFonts w:eastAsia="Calibri"/>
                <w:sz w:val="22"/>
                <w:szCs w:val="22"/>
                <w:lang w:val="es-ES" w:eastAsia="en-US"/>
              </w:rPr>
              <w:t xml:space="preserve"> </w:t>
            </w:r>
            <w:proofErr w:type="spellStart"/>
            <w:r>
              <w:rPr>
                <w:rFonts w:eastAsia="Calibri"/>
                <w:sz w:val="22"/>
                <w:szCs w:val="22"/>
                <w:lang w:val="es-ES" w:eastAsia="en-US"/>
              </w:rPr>
              <w:t>integrated</w:t>
            </w:r>
            <w:proofErr w:type="spellEnd"/>
            <w:r>
              <w:rPr>
                <w:rFonts w:eastAsia="Calibri"/>
                <w:sz w:val="22"/>
                <w:szCs w:val="22"/>
                <w:lang w:val="es-ES" w:eastAsia="en-US"/>
              </w:rPr>
              <w:t xml:space="preserve"> </w:t>
            </w:r>
            <w:proofErr w:type="spellStart"/>
            <w:r>
              <w:rPr>
                <w:rFonts w:eastAsia="Calibri"/>
                <w:sz w:val="22"/>
                <w:szCs w:val="22"/>
                <w:lang w:val="es-ES" w:eastAsia="en-US"/>
              </w:rPr>
              <w:t>smart</w:t>
            </w:r>
            <w:proofErr w:type="spellEnd"/>
            <w:r>
              <w:rPr>
                <w:rFonts w:eastAsia="Calibri"/>
                <w:sz w:val="22"/>
                <w:szCs w:val="22"/>
                <w:lang w:val="es-ES" w:eastAsia="en-US"/>
              </w:rPr>
              <w:t xml:space="preserve"> meter </w:t>
            </w:r>
            <w:proofErr w:type="spellStart"/>
            <w:r>
              <w:rPr>
                <w:rFonts w:eastAsia="Calibri"/>
                <w:sz w:val="22"/>
                <w:szCs w:val="22"/>
                <w:lang w:val="es-ES" w:eastAsia="en-US"/>
              </w:rPr>
              <w:t>or</w:t>
            </w:r>
            <w:proofErr w:type="spellEnd"/>
            <w:r>
              <w:rPr>
                <w:rFonts w:eastAsia="Calibri"/>
                <w:sz w:val="22"/>
                <w:szCs w:val="22"/>
                <w:lang w:val="es-ES" w:eastAsia="en-US"/>
              </w:rPr>
              <w:t xml:space="preserve"> a </w:t>
            </w:r>
            <w:proofErr w:type="spellStart"/>
            <w:r>
              <w:rPr>
                <w:rFonts w:eastAsia="Calibri"/>
                <w:sz w:val="22"/>
                <w:szCs w:val="22"/>
                <w:lang w:val="es-ES" w:eastAsia="en-US"/>
              </w:rPr>
              <w:t>duly</w:t>
            </w:r>
            <w:proofErr w:type="spellEnd"/>
            <w:r>
              <w:rPr>
                <w:rFonts w:eastAsia="Calibri"/>
                <w:sz w:val="22"/>
                <w:szCs w:val="22"/>
                <w:lang w:val="es-ES" w:eastAsia="en-US"/>
              </w:rPr>
              <w:t xml:space="preserve"> </w:t>
            </w:r>
            <w:proofErr w:type="spellStart"/>
            <w:r>
              <w:rPr>
                <w:rFonts w:eastAsia="Calibri"/>
                <w:sz w:val="22"/>
                <w:szCs w:val="22"/>
                <w:lang w:val="es-ES" w:eastAsia="en-US"/>
              </w:rPr>
              <w:t>authorized</w:t>
            </w:r>
            <w:proofErr w:type="spellEnd"/>
            <w:r>
              <w:rPr>
                <w:rFonts w:eastAsia="Calibri"/>
                <w:sz w:val="22"/>
                <w:szCs w:val="22"/>
                <w:lang w:val="es-ES" w:eastAsia="en-US"/>
              </w:rPr>
              <w:t xml:space="preserve"> representative </w:t>
            </w:r>
            <w:proofErr w:type="spellStart"/>
            <w:r>
              <w:rPr>
                <w:rFonts w:eastAsia="Calibri"/>
                <w:sz w:val="22"/>
                <w:szCs w:val="22"/>
                <w:lang w:val="es-ES" w:eastAsia="en-US"/>
              </w:rPr>
              <w:t>thereof</w:t>
            </w:r>
            <w:proofErr w:type="spellEnd"/>
            <w:r>
              <w:rPr>
                <w:rFonts w:eastAsia="Calibri"/>
                <w:sz w:val="22"/>
                <w:szCs w:val="22"/>
                <w:lang w:val="es-ES" w:eastAsia="en-US"/>
              </w:rPr>
              <w:t xml:space="preserve">, </w:t>
            </w:r>
            <w:proofErr w:type="spellStart"/>
            <w:r>
              <w:rPr>
                <w:rFonts w:eastAsia="Calibri"/>
                <w:sz w:val="22"/>
                <w:szCs w:val="22"/>
                <w:lang w:val="es-ES" w:eastAsia="en-US"/>
              </w:rPr>
              <w:t>they</w:t>
            </w:r>
            <w:proofErr w:type="spellEnd"/>
            <w:r>
              <w:rPr>
                <w:rFonts w:eastAsia="Calibri"/>
                <w:sz w:val="22"/>
                <w:szCs w:val="22"/>
                <w:lang w:val="es-ES" w:eastAsia="en-US"/>
              </w:rPr>
              <w:t xml:space="preserve"> </w:t>
            </w:r>
            <w:proofErr w:type="spellStart"/>
            <w:r>
              <w:rPr>
                <w:rFonts w:eastAsia="Calibri"/>
                <w:sz w:val="22"/>
                <w:szCs w:val="22"/>
                <w:lang w:val="es-ES" w:eastAsia="en-US"/>
              </w:rPr>
              <w:t>must</w:t>
            </w:r>
            <w:proofErr w:type="spellEnd"/>
            <w:r>
              <w:rPr>
                <w:rFonts w:eastAsia="Calibri"/>
                <w:sz w:val="22"/>
                <w:szCs w:val="22"/>
                <w:lang w:val="es-ES" w:eastAsia="en-US"/>
              </w:rPr>
              <w:t xml:space="preserve"> </w:t>
            </w:r>
            <w:proofErr w:type="spellStart"/>
            <w:r>
              <w:rPr>
                <w:rFonts w:eastAsia="Calibri"/>
                <w:sz w:val="22"/>
                <w:szCs w:val="22"/>
                <w:lang w:val="es-ES" w:eastAsia="en-US"/>
              </w:rPr>
              <w:t>submit</w:t>
            </w:r>
            <w:proofErr w:type="spellEnd"/>
            <w:r>
              <w:rPr>
                <w:rFonts w:eastAsia="Calibri"/>
                <w:sz w:val="22"/>
                <w:szCs w:val="22"/>
                <w:lang w:val="es-ES" w:eastAsia="en-US"/>
              </w:rPr>
              <w:t xml:space="preserve"> a </w:t>
            </w:r>
            <w:proofErr w:type="spellStart"/>
            <w:r>
              <w:rPr>
                <w:rFonts w:eastAsia="Calibri"/>
                <w:sz w:val="22"/>
                <w:szCs w:val="22"/>
                <w:lang w:val="es-ES" w:eastAsia="en-US"/>
              </w:rPr>
              <w:t>letter</w:t>
            </w:r>
            <w:proofErr w:type="spellEnd"/>
            <w:r>
              <w:rPr>
                <w:rFonts w:eastAsia="Calibri"/>
                <w:sz w:val="22"/>
                <w:szCs w:val="22"/>
                <w:lang w:val="es-ES" w:eastAsia="en-US"/>
              </w:rPr>
              <w:t xml:space="preserve"> </w:t>
            </w:r>
            <w:proofErr w:type="spellStart"/>
            <w:r>
              <w:rPr>
                <w:rFonts w:eastAsia="Calibri"/>
                <w:sz w:val="22"/>
                <w:szCs w:val="22"/>
                <w:lang w:val="es-ES" w:eastAsia="en-US"/>
              </w:rPr>
              <w:t>of</w:t>
            </w:r>
            <w:proofErr w:type="spellEnd"/>
            <w:r>
              <w:rPr>
                <w:rFonts w:eastAsia="Calibri"/>
                <w:sz w:val="22"/>
                <w:szCs w:val="22"/>
                <w:lang w:val="es-ES" w:eastAsia="en-US"/>
              </w:rPr>
              <w:t xml:space="preserve"> </w:t>
            </w:r>
            <w:proofErr w:type="spellStart"/>
            <w:r>
              <w:rPr>
                <w:rFonts w:eastAsia="Calibri"/>
                <w:sz w:val="22"/>
                <w:szCs w:val="22"/>
                <w:lang w:val="es-ES" w:eastAsia="en-US"/>
              </w:rPr>
              <w:t>commitment</w:t>
            </w:r>
            <w:proofErr w:type="spellEnd"/>
            <w:r>
              <w:rPr>
                <w:rFonts w:eastAsia="Calibri"/>
                <w:sz w:val="22"/>
                <w:szCs w:val="22"/>
                <w:lang w:val="es-ES" w:eastAsia="en-US"/>
              </w:rPr>
              <w:t xml:space="preserve"> </w:t>
            </w:r>
            <w:proofErr w:type="spellStart"/>
            <w:r>
              <w:rPr>
                <w:rFonts w:eastAsia="Calibri"/>
                <w:sz w:val="22"/>
                <w:szCs w:val="22"/>
                <w:lang w:val="es-ES" w:eastAsia="en-US"/>
              </w:rPr>
              <w:t>assuming</w:t>
            </w:r>
            <w:proofErr w:type="spellEnd"/>
            <w:r>
              <w:rPr>
                <w:rFonts w:eastAsia="Calibri"/>
                <w:sz w:val="22"/>
                <w:szCs w:val="22"/>
                <w:lang w:val="es-ES" w:eastAsia="en-US"/>
              </w:rPr>
              <w:t xml:space="preserve"> </w:t>
            </w:r>
            <w:proofErr w:type="spellStart"/>
            <w:r>
              <w:rPr>
                <w:rFonts w:eastAsia="Calibri"/>
                <w:sz w:val="22"/>
                <w:szCs w:val="22"/>
                <w:lang w:val="es-ES" w:eastAsia="en-US"/>
              </w:rPr>
              <w:t>joint</w:t>
            </w:r>
            <w:proofErr w:type="spellEnd"/>
            <w:r>
              <w:rPr>
                <w:rFonts w:eastAsia="Calibri"/>
                <w:sz w:val="22"/>
                <w:szCs w:val="22"/>
                <w:lang w:val="es-ES" w:eastAsia="en-US"/>
              </w:rPr>
              <w:t xml:space="preserve"> and </w:t>
            </w:r>
            <w:proofErr w:type="spellStart"/>
            <w:r>
              <w:rPr>
                <w:rFonts w:eastAsia="Calibri"/>
                <w:sz w:val="22"/>
                <w:szCs w:val="22"/>
                <w:lang w:val="es-ES" w:eastAsia="en-US"/>
              </w:rPr>
              <w:t>several</w:t>
            </w:r>
            <w:proofErr w:type="spellEnd"/>
            <w:r>
              <w:rPr>
                <w:rFonts w:eastAsia="Calibri"/>
                <w:sz w:val="22"/>
                <w:szCs w:val="22"/>
                <w:lang w:val="es-ES" w:eastAsia="en-US"/>
              </w:rPr>
              <w:t xml:space="preserve"> </w:t>
            </w:r>
            <w:proofErr w:type="spellStart"/>
            <w:r>
              <w:rPr>
                <w:rFonts w:eastAsia="Calibri"/>
                <w:sz w:val="22"/>
                <w:szCs w:val="22"/>
                <w:lang w:val="es-ES" w:eastAsia="en-US"/>
              </w:rPr>
              <w:t>liability</w:t>
            </w:r>
            <w:proofErr w:type="spellEnd"/>
            <w:r>
              <w:rPr>
                <w:rFonts w:eastAsia="Calibri"/>
                <w:sz w:val="22"/>
                <w:szCs w:val="22"/>
                <w:lang w:val="es-ES" w:eastAsia="en-US"/>
              </w:rPr>
              <w:t xml:space="preserve"> </w:t>
            </w:r>
            <w:proofErr w:type="spellStart"/>
            <w:r>
              <w:rPr>
                <w:rFonts w:eastAsia="Calibri"/>
                <w:sz w:val="22"/>
                <w:szCs w:val="22"/>
                <w:lang w:val="es-ES" w:eastAsia="en-US"/>
              </w:rPr>
              <w:t>for</w:t>
            </w:r>
            <w:proofErr w:type="spellEnd"/>
            <w:r>
              <w:rPr>
                <w:rFonts w:eastAsia="Calibri"/>
                <w:sz w:val="22"/>
                <w:szCs w:val="22"/>
                <w:lang w:val="es-ES" w:eastAsia="en-US"/>
              </w:rPr>
              <w:t xml:space="preserve"> </w:t>
            </w:r>
            <w:proofErr w:type="spellStart"/>
            <w:r>
              <w:rPr>
                <w:rFonts w:eastAsia="Calibri"/>
                <w:sz w:val="22"/>
                <w:szCs w:val="22"/>
                <w:lang w:val="es-ES" w:eastAsia="en-US"/>
              </w:rPr>
              <w:t>the</w:t>
            </w:r>
            <w:proofErr w:type="spellEnd"/>
            <w:r>
              <w:rPr>
                <w:rFonts w:eastAsia="Calibri"/>
                <w:sz w:val="22"/>
                <w:szCs w:val="22"/>
                <w:lang w:val="es-ES" w:eastAsia="en-US"/>
              </w:rPr>
              <w:t xml:space="preserve"> </w:t>
            </w:r>
            <w:proofErr w:type="spellStart"/>
            <w:r>
              <w:rPr>
                <w:rFonts w:eastAsia="Calibri"/>
                <w:sz w:val="22"/>
                <w:szCs w:val="22"/>
                <w:lang w:val="es-ES" w:eastAsia="en-US"/>
              </w:rPr>
              <w:t>warranty</w:t>
            </w:r>
            <w:proofErr w:type="spellEnd"/>
            <w:r>
              <w:rPr>
                <w:rFonts w:eastAsia="Calibri"/>
                <w:sz w:val="22"/>
                <w:szCs w:val="22"/>
                <w:lang w:val="es-ES" w:eastAsia="en-US"/>
              </w:rPr>
              <w:t xml:space="preserve"> </w:t>
            </w:r>
            <w:proofErr w:type="spellStart"/>
            <w:r>
              <w:rPr>
                <w:rFonts w:eastAsia="Calibri"/>
                <w:sz w:val="22"/>
                <w:szCs w:val="22"/>
                <w:lang w:val="es-ES" w:eastAsia="en-US"/>
              </w:rPr>
              <w:t>of</w:t>
            </w:r>
            <w:proofErr w:type="spellEnd"/>
            <w:r>
              <w:rPr>
                <w:rFonts w:eastAsia="Calibri"/>
                <w:sz w:val="22"/>
                <w:szCs w:val="22"/>
                <w:lang w:val="es-ES" w:eastAsia="en-US"/>
              </w:rPr>
              <w:t xml:space="preserve"> </w:t>
            </w:r>
            <w:proofErr w:type="spellStart"/>
            <w:r>
              <w:rPr>
                <w:rFonts w:eastAsia="Calibri"/>
                <w:sz w:val="22"/>
                <w:szCs w:val="22"/>
                <w:lang w:val="es-ES" w:eastAsia="en-US"/>
              </w:rPr>
              <w:t>the</w:t>
            </w:r>
            <w:proofErr w:type="spellEnd"/>
            <w:r>
              <w:rPr>
                <w:rFonts w:eastAsia="Calibri"/>
                <w:sz w:val="22"/>
                <w:szCs w:val="22"/>
                <w:lang w:val="es-ES" w:eastAsia="en-US"/>
              </w:rPr>
              <w:t xml:space="preserve"> </w:t>
            </w:r>
            <w:proofErr w:type="spellStart"/>
            <w:r>
              <w:rPr>
                <w:rFonts w:eastAsia="Calibri"/>
                <w:sz w:val="22"/>
                <w:szCs w:val="22"/>
                <w:lang w:val="es-ES" w:eastAsia="en-US"/>
              </w:rPr>
              <w:t>goods</w:t>
            </w:r>
            <w:proofErr w:type="spellEnd"/>
            <w:r>
              <w:rPr>
                <w:rFonts w:eastAsia="Calibri"/>
                <w:sz w:val="22"/>
                <w:szCs w:val="22"/>
                <w:lang w:val="es-ES" w:eastAsia="en-US"/>
              </w:rPr>
              <w:t xml:space="preserve"> </w:t>
            </w:r>
            <w:proofErr w:type="spellStart"/>
            <w:r>
              <w:rPr>
                <w:rFonts w:eastAsia="Calibri"/>
                <w:sz w:val="22"/>
                <w:szCs w:val="22"/>
                <w:lang w:val="es-ES" w:eastAsia="en-US"/>
              </w:rPr>
              <w:t>to</w:t>
            </w:r>
            <w:proofErr w:type="spellEnd"/>
            <w:r>
              <w:rPr>
                <w:rFonts w:eastAsia="Calibri"/>
                <w:sz w:val="22"/>
                <w:szCs w:val="22"/>
                <w:lang w:val="es-ES" w:eastAsia="en-US"/>
              </w:rPr>
              <w:t xml:space="preserve"> be </w:t>
            </w:r>
            <w:proofErr w:type="spellStart"/>
            <w:r>
              <w:rPr>
                <w:rFonts w:eastAsia="Calibri"/>
                <w:sz w:val="22"/>
                <w:szCs w:val="22"/>
                <w:lang w:val="es-ES" w:eastAsia="en-US"/>
              </w:rPr>
              <w:t>supplied</w:t>
            </w:r>
            <w:proofErr w:type="spellEnd"/>
            <w:r>
              <w:rPr>
                <w:rFonts w:eastAsia="Calibri"/>
                <w:sz w:val="22"/>
                <w:szCs w:val="22"/>
                <w:lang w:val="es-ES" w:eastAsia="en-US"/>
              </w:rPr>
              <w:t xml:space="preserve"> </w:t>
            </w:r>
            <w:proofErr w:type="spellStart"/>
            <w:r>
              <w:rPr>
                <w:rFonts w:eastAsia="Calibri"/>
                <w:sz w:val="22"/>
                <w:szCs w:val="22"/>
                <w:lang w:val="es-ES" w:eastAsia="en-US"/>
              </w:rPr>
              <w:t>by</w:t>
            </w:r>
            <w:proofErr w:type="spellEnd"/>
            <w:r>
              <w:rPr>
                <w:rFonts w:eastAsia="Calibri"/>
                <w:sz w:val="22"/>
                <w:szCs w:val="22"/>
                <w:lang w:val="es-ES" w:eastAsia="en-US"/>
              </w:rPr>
              <w:t xml:space="preserve"> </w:t>
            </w:r>
            <w:proofErr w:type="spellStart"/>
            <w:r>
              <w:rPr>
                <w:rFonts w:eastAsia="Calibri"/>
                <w:sz w:val="22"/>
                <w:szCs w:val="22"/>
                <w:lang w:val="es-ES" w:eastAsia="en-US"/>
              </w:rPr>
              <w:t>the</w:t>
            </w:r>
            <w:proofErr w:type="spellEnd"/>
            <w:r>
              <w:rPr>
                <w:rFonts w:eastAsia="Calibri"/>
                <w:sz w:val="22"/>
                <w:szCs w:val="22"/>
                <w:lang w:val="es-ES" w:eastAsia="en-US"/>
              </w:rPr>
              <w:t xml:space="preserve"> </w:t>
            </w:r>
            <w:proofErr w:type="spellStart"/>
            <w:r>
              <w:rPr>
                <w:rFonts w:eastAsia="Calibri"/>
                <w:sz w:val="22"/>
                <w:szCs w:val="22"/>
                <w:lang w:val="es-ES" w:eastAsia="en-US"/>
              </w:rPr>
              <w:t>manufacturer</w:t>
            </w:r>
            <w:proofErr w:type="spellEnd"/>
            <w:r>
              <w:rPr>
                <w:rFonts w:eastAsia="Calibri"/>
                <w:sz w:val="22"/>
                <w:szCs w:val="22"/>
                <w:lang w:val="es-ES" w:eastAsia="en-US"/>
              </w:rPr>
              <w:t xml:space="preserve">. </w:t>
            </w:r>
            <w:proofErr w:type="spellStart"/>
            <w:r>
              <w:rPr>
                <w:rFonts w:eastAsia="Calibri"/>
                <w:sz w:val="22"/>
                <w:szCs w:val="22"/>
                <w:lang w:val="es-ES" w:eastAsia="en-US"/>
              </w:rPr>
              <w:t>Failure</w:t>
            </w:r>
            <w:proofErr w:type="spellEnd"/>
            <w:r>
              <w:rPr>
                <w:rFonts w:eastAsia="Calibri"/>
                <w:sz w:val="22"/>
                <w:szCs w:val="22"/>
                <w:lang w:val="es-ES" w:eastAsia="en-US"/>
              </w:rPr>
              <w:t xml:space="preserve"> </w:t>
            </w:r>
            <w:proofErr w:type="spellStart"/>
            <w:r>
              <w:rPr>
                <w:rFonts w:eastAsia="Calibri"/>
                <w:sz w:val="22"/>
                <w:szCs w:val="22"/>
                <w:lang w:val="es-ES" w:eastAsia="en-US"/>
              </w:rPr>
              <w:t>to</w:t>
            </w:r>
            <w:proofErr w:type="spellEnd"/>
            <w:r>
              <w:rPr>
                <w:rFonts w:eastAsia="Calibri"/>
                <w:sz w:val="22"/>
                <w:szCs w:val="22"/>
                <w:lang w:val="es-ES" w:eastAsia="en-US"/>
              </w:rPr>
              <w:t xml:space="preserve"> </w:t>
            </w:r>
            <w:proofErr w:type="spellStart"/>
            <w:r>
              <w:rPr>
                <w:rFonts w:eastAsia="Calibri"/>
                <w:sz w:val="22"/>
                <w:szCs w:val="22"/>
                <w:lang w:val="es-ES" w:eastAsia="en-US"/>
              </w:rPr>
              <w:t>submit</w:t>
            </w:r>
            <w:proofErr w:type="spellEnd"/>
            <w:r>
              <w:rPr>
                <w:rFonts w:eastAsia="Calibri"/>
                <w:sz w:val="22"/>
                <w:szCs w:val="22"/>
                <w:lang w:val="es-ES" w:eastAsia="en-US"/>
              </w:rPr>
              <w:t xml:space="preserve"> </w:t>
            </w:r>
            <w:proofErr w:type="spellStart"/>
            <w:r>
              <w:rPr>
                <w:rFonts w:eastAsia="Calibri"/>
                <w:sz w:val="22"/>
                <w:szCs w:val="22"/>
                <w:lang w:val="es-ES" w:eastAsia="en-US"/>
              </w:rPr>
              <w:t>this</w:t>
            </w:r>
            <w:proofErr w:type="spellEnd"/>
            <w:r>
              <w:rPr>
                <w:rFonts w:eastAsia="Calibri"/>
                <w:sz w:val="22"/>
                <w:szCs w:val="22"/>
                <w:lang w:val="es-ES" w:eastAsia="en-US"/>
              </w:rPr>
              <w:t xml:space="preserve"> </w:t>
            </w:r>
            <w:proofErr w:type="spellStart"/>
            <w:r>
              <w:rPr>
                <w:rFonts w:eastAsia="Calibri"/>
                <w:sz w:val="22"/>
                <w:szCs w:val="22"/>
                <w:lang w:val="es-ES" w:eastAsia="en-US"/>
              </w:rPr>
              <w:t>letter</w:t>
            </w:r>
            <w:proofErr w:type="spellEnd"/>
            <w:r>
              <w:rPr>
                <w:rFonts w:eastAsia="Calibri"/>
                <w:sz w:val="22"/>
                <w:szCs w:val="22"/>
                <w:lang w:val="es-ES" w:eastAsia="en-US"/>
              </w:rPr>
              <w:t xml:space="preserve"> in </w:t>
            </w:r>
            <w:proofErr w:type="spellStart"/>
            <w:r>
              <w:rPr>
                <w:rFonts w:eastAsia="Calibri"/>
                <w:sz w:val="22"/>
                <w:szCs w:val="22"/>
                <w:lang w:val="es-ES" w:eastAsia="en-US"/>
              </w:rPr>
              <w:t>the</w:t>
            </w:r>
            <w:proofErr w:type="spellEnd"/>
            <w:r>
              <w:rPr>
                <w:rFonts w:eastAsia="Calibri"/>
                <w:sz w:val="22"/>
                <w:szCs w:val="22"/>
                <w:lang w:val="es-ES" w:eastAsia="en-US"/>
              </w:rPr>
              <w:t xml:space="preserve"> </w:t>
            </w:r>
            <w:proofErr w:type="spellStart"/>
            <w:r>
              <w:rPr>
                <w:rFonts w:eastAsia="Calibri"/>
                <w:sz w:val="22"/>
                <w:szCs w:val="22"/>
                <w:lang w:val="es-ES" w:eastAsia="en-US"/>
              </w:rPr>
              <w:t>required</w:t>
            </w:r>
            <w:proofErr w:type="spellEnd"/>
            <w:r>
              <w:rPr>
                <w:rFonts w:eastAsia="Calibri"/>
                <w:sz w:val="22"/>
                <w:szCs w:val="22"/>
                <w:lang w:val="es-ES" w:eastAsia="en-US"/>
              </w:rPr>
              <w:t xml:space="preserve"> </w:t>
            </w:r>
            <w:proofErr w:type="spellStart"/>
            <w:r>
              <w:rPr>
                <w:rFonts w:eastAsia="Calibri"/>
                <w:sz w:val="22"/>
                <w:szCs w:val="22"/>
                <w:lang w:val="es-ES" w:eastAsia="en-US"/>
              </w:rPr>
              <w:t>form</w:t>
            </w:r>
            <w:proofErr w:type="spellEnd"/>
            <w:r>
              <w:rPr>
                <w:rFonts w:eastAsia="Calibri"/>
                <w:sz w:val="22"/>
                <w:szCs w:val="22"/>
                <w:lang w:val="es-ES" w:eastAsia="en-US"/>
              </w:rPr>
              <w:t xml:space="preserve"> </w:t>
            </w:r>
            <w:proofErr w:type="spellStart"/>
            <w:r>
              <w:rPr>
                <w:rFonts w:eastAsia="Calibri"/>
                <w:sz w:val="22"/>
                <w:szCs w:val="22"/>
                <w:lang w:val="es-ES" w:eastAsia="en-US"/>
              </w:rPr>
              <w:t>will</w:t>
            </w:r>
            <w:proofErr w:type="spellEnd"/>
            <w:r>
              <w:rPr>
                <w:rFonts w:eastAsia="Calibri"/>
                <w:sz w:val="22"/>
                <w:szCs w:val="22"/>
                <w:lang w:val="es-ES" w:eastAsia="en-US"/>
              </w:rPr>
              <w:t xml:space="preserve"> be </w:t>
            </w:r>
            <w:proofErr w:type="spellStart"/>
            <w:r>
              <w:rPr>
                <w:rFonts w:eastAsia="Calibri"/>
                <w:sz w:val="22"/>
                <w:szCs w:val="22"/>
                <w:lang w:val="es-ES" w:eastAsia="en-US"/>
              </w:rPr>
              <w:t>considered</w:t>
            </w:r>
            <w:proofErr w:type="spellEnd"/>
            <w:r>
              <w:rPr>
                <w:rFonts w:eastAsia="Calibri"/>
                <w:sz w:val="22"/>
                <w:szCs w:val="22"/>
                <w:lang w:val="es-ES" w:eastAsia="en-US"/>
              </w:rPr>
              <w:t xml:space="preserve"> a </w:t>
            </w:r>
            <w:proofErr w:type="spellStart"/>
            <w:r>
              <w:rPr>
                <w:rFonts w:eastAsia="Calibri"/>
                <w:sz w:val="22"/>
                <w:szCs w:val="22"/>
                <w:lang w:val="es-ES" w:eastAsia="en-US"/>
              </w:rPr>
              <w:t>substantial</w:t>
            </w:r>
            <w:proofErr w:type="spellEnd"/>
            <w:r>
              <w:rPr>
                <w:rFonts w:eastAsia="Calibri"/>
                <w:sz w:val="22"/>
                <w:szCs w:val="22"/>
                <w:lang w:val="es-ES" w:eastAsia="en-US"/>
              </w:rPr>
              <w:t xml:space="preserve"> </w:t>
            </w:r>
            <w:proofErr w:type="spellStart"/>
            <w:r>
              <w:rPr>
                <w:rFonts w:eastAsia="Calibri"/>
                <w:sz w:val="22"/>
                <w:szCs w:val="22"/>
                <w:lang w:val="es-ES" w:eastAsia="en-US"/>
              </w:rPr>
              <w:t>departure</w:t>
            </w:r>
            <w:proofErr w:type="spellEnd"/>
            <w:r>
              <w:rPr>
                <w:rFonts w:eastAsia="Calibri"/>
                <w:sz w:val="22"/>
                <w:szCs w:val="22"/>
                <w:lang w:val="es-ES" w:eastAsia="en-US"/>
              </w:rPr>
              <w:t xml:space="preserve"> </w:t>
            </w:r>
            <w:proofErr w:type="spellStart"/>
            <w:r>
              <w:rPr>
                <w:rFonts w:eastAsia="Calibri"/>
                <w:sz w:val="22"/>
                <w:szCs w:val="22"/>
                <w:lang w:val="es-ES" w:eastAsia="en-US"/>
              </w:rPr>
              <w:t>from</w:t>
            </w:r>
            <w:proofErr w:type="spellEnd"/>
            <w:r>
              <w:rPr>
                <w:rFonts w:eastAsia="Calibri"/>
                <w:sz w:val="22"/>
                <w:szCs w:val="22"/>
                <w:lang w:val="es-ES" w:eastAsia="en-US"/>
              </w:rPr>
              <w:t xml:space="preserve"> </w:t>
            </w:r>
            <w:proofErr w:type="spellStart"/>
            <w:r>
              <w:rPr>
                <w:rFonts w:eastAsia="Calibri"/>
                <w:sz w:val="22"/>
                <w:szCs w:val="22"/>
                <w:lang w:val="es-ES" w:eastAsia="en-US"/>
              </w:rPr>
              <w:t>the</w:t>
            </w:r>
            <w:proofErr w:type="spellEnd"/>
            <w:r>
              <w:rPr>
                <w:rFonts w:eastAsia="Calibri"/>
                <w:sz w:val="22"/>
                <w:szCs w:val="22"/>
                <w:lang w:val="es-ES" w:eastAsia="en-US"/>
              </w:rPr>
              <w:t xml:space="preserve"> </w:t>
            </w:r>
            <w:proofErr w:type="spellStart"/>
            <w:r>
              <w:rPr>
                <w:rFonts w:eastAsia="Calibri"/>
                <w:sz w:val="22"/>
                <w:szCs w:val="22"/>
                <w:lang w:val="es-ES" w:eastAsia="en-US"/>
              </w:rPr>
              <w:t>requirements</w:t>
            </w:r>
            <w:proofErr w:type="spellEnd"/>
            <w:r>
              <w:rPr>
                <w:rFonts w:eastAsia="Calibri"/>
                <w:sz w:val="22"/>
                <w:szCs w:val="22"/>
                <w:lang w:val="es-ES" w:eastAsia="en-US"/>
              </w:rPr>
              <w:t xml:space="preserve"> </w:t>
            </w:r>
            <w:proofErr w:type="spellStart"/>
            <w:r>
              <w:rPr>
                <w:rFonts w:eastAsia="Calibri"/>
                <w:sz w:val="22"/>
                <w:szCs w:val="22"/>
                <w:lang w:val="es-ES" w:eastAsia="en-US"/>
              </w:rPr>
              <w:t>of</w:t>
            </w:r>
            <w:proofErr w:type="spellEnd"/>
            <w:r>
              <w:rPr>
                <w:rFonts w:eastAsia="Calibri"/>
                <w:sz w:val="22"/>
                <w:szCs w:val="22"/>
                <w:lang w:val="es-ES" w:eastAsia="en-US"/>
              </w:rPr>
              <w:t xml:space="preserve"> </w:t>
            </w:r>
            <w:proofErr w:type="spellStart"/>
            <w:r>
              <w:rPr>
                <w:rFonts w:eastAsia="Calibri"/>
                <w:sz w:val="22"/>
                <w:szCs w:val="22"/>
                <w:lang w:val="es-ES" w:eastAsia="en-US"/>
              </w:rPr>
              <w:t>these</w:t>
            </w:r>
            <w:proofErr w:type="spellEnd"/>
            <w:r>
              <w:rPr>
                <w:rFonts w:eastAsia="Calibri"/>
                <w:sz w:val="22"/>
                <w:szCs w:val="22"/>
                <w:lang w:val="es-ES" w:eastAsia="en-US"/>
              </w:rPr>
              <w:t xml:space="preserve"> </w:t>
            </w:r>
            <w:proofErr w:type="spellStart"/>
            <w:r>
              <w:rPr>
                <w:rFonts w:eastAsia="Calibri"/>
                <w:sz w:val="22"/>
                <w:szCs w:val="22"/>
                <w:lang w:val="es-ES" w:eastAsia="en-US"/>
              </w:rPr>
              <w:t>specifications</w:t>
            </w:r>
            <w:proofErr w:type="spellEnd"/>
            <w:r>
              <w:rPr>
                <w:rFonts w:eastAsia="Calibri"/>
                <w:sz w:val="22"/>
                <w:szCs w:val="22"/>
                <w:lang w:val="es-ES" w:eastAsia="en-US"/>
              </w:rPr>
              <w:t>.</w:t>
            </w:r>
          </w:p>
          <w:p w14:paraId="400298D7" w14:textId="77777777" w:rsidR="00E255F4" w:rsidRDefault="00000000">
            <w:pPr>
              <w:pStyle w:val="Prrafodelista"/>
              <w:tabs>
                <w:tab w:val="left" w:pos="419"/>
                <w:tab w:val="left" w:pos="1002"/>
              </w:tabs>
              <w:spacing w:after="120" w:line="240" w:lineRule="auto"/>
              <w:ind w:left="419" w:right="311"/>
              <w:jc w:val="both"/>
              <w:rPr>
                <w:rFonts w:eastAsia="Calibri"/>
                <w:sz w:val="22"/>
                <w:szCs w:val="22"/>
                <w:lang w:val="es-ES" w:eastAsia="en-US"/>
              </w:rPr>
            </w:pPr>
            <w:proofErr w:type="spellStart"/>
            <w:r>
              <w:rPr>
                <w:rFonts w:eastAsia="Calibri"/>
                <w:sz w:val="22"/>
                <w:szCs w:val="22"/>
                <w:lang w:val="es-ES" w:eastAsia="en-US"/>
              </w:rPr>
              <w:t>Only</w:t>
            </w:r>
            <w:proofErr w:type="spellEnd"/>
            <w:r>
              <w:rPr>
                <w:rFonts w:eastAsia="Calibri"/>
                <w:sz w:val="22"/>
                <w:szCs w:val="22"/>
                <w:lang w:val="es-ES" w:eastAsia="en-US"/>
              </w:rPr>
              <w:t xml:space="preserve"> </w:t>
            </w:r>
            <w:proofErr w:type="spellStart"/>
            <w:r>
              <w:rPr>
                <w:rFonts w:eastAsia="Calibri"/>
                <w:sz w:val="22"/>
                <w:szCs w:val="22"/>
                <w:lang w:val="es-ES" w:eastAsia="en-US"/>
              </w:rPr>
              <w:t>documents</w:t>
            </w:r>
            <w:proofErr w:type="spellEnd"/>
            <w:r>
              <w:rPr>
                <w:rFonts w:eastAsia="Calibri"/>
                <w:sz w:val="22"/>
                <w:szCs w:val="22"/>
                <w:lang w:val="es-ES" w:eastAsia="en-US"/>
              </w:rPr>
              <w:t xml:space="preserve"> </w:t>
            </w:r>
            <w:proofErr w:type="spellStart"/>
            <w:r>
              <w:rPr>
                <w:rFonts w:eastAsia="Calibri"/>
                <w:sz w:val="22"/>
                <w:szCs w:val="22"/>
                <w:lang w:val="es-ES" w:eastAsia="en-US"/>
              </w:rPr>
              <w:t>issued</w:t>
            </w:r>
            <w:proofErr w:type="spellEnd"/>
            <w:r>
              <w:rPr>
                <w:rFonts w:eastAsia="Calibri"/>
                <w:sz w:val="22"/>
                <w:szCs w:val="22"/>
                <w:lang w:val="es-ES" w:eastAsia="en-US"/>
              </w:rPr>
              <w:t xml:space="preserve"> in Spanish, English, </w:t>
            </w:r>
            <w:proofErr w:type="spellStart"/>
            <w:r>
              <w:rPr>
                <w:rFonts w:eastAsia="Calibri"/>
                <w:sz w:val="22"/>
                <w:szCs w:val="22"/>
                <w:lang w:val="es-ES" w:eastAsia="en-US"/>
              </w:rPr>
              <w:t>or</w:t>
            </w:r>
            <w:proofErr w:type="spellEnd"/>
            <w:r>
              <w:rPr>
                <w:rFonts w:eastAsia="Calibri"/>
                <w:sz w:val="22"/>
                <w:szCs w:val="22"/>
                <w:lang w:val="es-ES" w:eastAsia="en-US"/>
              </w:rPr>
              <w:t xml:space="preserve"> Portuguese </w:t>
            </w:r>
            <w:proofErr w:type="spellStart"/>
            <w:r>
              <w:rPr>
                <w:rFonts w:eastAsia="Calibri"/>
                <w:sz w:val="22"/>
                <w:szCs w:val="22"/>
                <w:lang w:val="es-ES" w:eastAsia="en-US"/>
              </w:rPr>
              <w:t>will</w:t>
            </w:r>
            <w:proofErr w:type="spellEnd"/>
            <w:r>
              <w:rPr>
                <w:rFonts w:eastAsia="Calibri"/>
                <w:sz w:val="22"/>
                <w:szCs w:val="22"/>
                <w:lang w:val="es-ES" w:eastAsia="en-US"/>
              </w:rPr>
              <w:t xml:space="preserve"> be </w:t>
            </w:r>
            <w:proofErr w:type="spellStart"/>
            <w:r>
              <w:rPr>
                <w:rFonts w:eastAsia="Calibri"/>
                <w:sz w:val="22"/>
                <w:szCs w:val="22"/>
                <w:lang w:val="es-ES" w:eastAsia="en-US"/>
              </w:rPr>
              <w:t>considered</w:t>
            </w:r>
            <w:proofErr w:type="spellEnd"/>
            <w:r>
              <w:rPr>
                <w:rFonts w:eastAsia="Calibri"/>
                <w:sz w:val="22"/>
                <w:szCs w:val="22"/>
                <w:lang w:val="es-ES" w:eastAsia="en-US"/>
              </w:rPr>
              <w:t xml:space="preserve">. </w:t>
            </w:r>
            <w:proofErr w:type="spellStart"/>
            <w:r>
              <w:rPr>
                <w:rFonts w:eastAsia="Calibri"/>
                <w:sz w:val="22"/>
                <w:szCs w:val="22"/>
                <w:lang w:val="es-ES" w:eastAsia="en-US"/>
              </w:rPr>
              <w:t>Those</w:t>
            </w:r>
            <w:proofErr w:type="spellEnd"/>
            <w:r>
              <w:rPr>
                <w:rFonts w:eastAsia="Calibri"/>
                <w:sz w:val="22"/>
                <w:szCs w:val="22"/>
                <w:lang w:val="es-ES" w:eastAsia="en-US"/>
              </w:rPr>
              <w:t xml:space="preserve"> </w:t>
            </w:r>
            <w:proofErr w:type="spellStart"/>
            <w:r>
              <w:rPr>
                <w:rFonts w:eastAsia="Calibri"/>
                <w:sz w:val="22"/>
                <w:szCs w:val="22"/>
                <w:lang w:val="es-ES" w:eastAsia="en-US"/>
              </w:rPr>
              <w:t>written</w:t>
            </w:r>
            <w:proofErr w:type="spellEnd"/>
            <w:r>
              <w:rPr>
                <w:rFonts w:eastAsia="Calibri"/>
                <w:sz w:val="22"/>
                <w:szCs w:val="22"/>
                <w:lang w:val="es-ES" w:eastAsia="en-US"/>
              </w:rPr>
              <w:t xml:space="preserve"> in </w:t>
            </w:r>
            <w:proofErr w:type="spellStart"/>
            <w:r>
              <w:rPr>
                <w:rFonts w:eastAsia="Calibri"/>
                <w:sz w:val="22"/>
                <w:szCs w:val="22"/>
                <w:lang w:val="es-ES" w:eastAsia="en-US"/>
              </w:rPr>
              <w:t>other</w:t>
            </w:r>
            <w:proofErr w:type="spellEnd"/>
            <w:r>
              <w:rPr>
                <w:rFonts w:eastAsia="Calibri"/>
                <w:sz w:val="22"/>
                <w:szCs w:val="22"/>
                <w:lang w:val="es-ES" w:eastAsia="en-US"/>
              </w:rPr>
              <w:t xml:space="preserve"> </w:t>
            </w:r>
            <w:proofErr w:type="spellStart"/>
            <w:r>
              <w:rPr>
                <w:rFonts w:eastAsia="Calibri"/>
                <w:sz w:val="22"/>
                <w:szCs w:val="22"/>
                <w:lang w:val="es-ES" w:eastAsia="en-US"/>
              </w:rPr>
              <w:t>languages</w:t>
            </w:r>
            <w:proofErr w:type="spellEnd"/>
            <w:r>
              <w:rPr>
                <w:rFonts w:eastAsia="Calibri"/>
                <w:sz w:val="22"/>
                <w:szCs w:val="22"/>
                <w:lang w:val="es-ES" w:eastAsia="en-US"/>
              </w:rPr>
              <w:t xml:space="preserve"> ​​</w:t>
            </w:r>
            <w:proofErr w:type="spellStart"/>
            <w:r>
              <w:rPr>
                <w:rFonts w:eastAsia="Calibri"/>
                <w:sz w:val="22"/>
                <w:szCs w:val="22"/>
                <w:lang w:val="es-ES" w:eastAsia="en-US"/>
              </w:rPr>
              <w:t>must</w:t>
            </w:r>
            <w:proofErr w:type="spellEnd"/>
            <w:r>
              <w:rPr>
                <w:rFonts w:eastAsia="Calibri"/>
                <w:sz w:val="22"/>
                <w:szCs w:val="22"/>
                <w:lang w:val="es-ES" w:eastAsia="en-US"/>
              </w:rPr>
              <w:t xml:space="preserve"> be </w:t>
            </w:r>
            <w:proofErr w:type="spellStart"/>
            <w:r>
              <w:rPr>
                <w:rFonts w:eastAsia="Calibri"/>
                <w:sz w:val="22"/>
                <w:szCs w:val="22"/>
                <w:lang w:val="es-ES" w:eastAsia="en-US"/>
              </w:rPr>
              <w:t>duly</w:t>
            </w:r>
            <w:proofErr w:type="spellEnd"/>
            <w:r>
              <w:rPr>
                <w:rFonts w:eastAsia="Calibri"/>
                <w:sz w:val="22"/>
                <w:szCs w:val="22"/>
                <w:lang w:val="es-ES" w:eastAsia="en-US"/>
              </w:rPr>
              <w:t xml:space="preserve"> </w:t>
            </w:r>
            <w:proofErr w:type="spellStart"/>
            <w:r>
              <w:rPr>
                <w:rFonts w:eastAsia="Calibri"/>
                <w:sz w:val="22"/>
                <w:szCs w:val="22"/>
                <w:lang w:val="es-ES" w:eastAsia="en-US"/>
              </w:rPr>
              <w:t>translated</w:t>
            </w:r>
            <w:proofErr w:type="spellEnd"/>
            <w:r>
              <w:rPr>
                <w:rFonts w:eastAsia="Calibri"/>
                <w:sz w:val="22"/>
                <w:szCs w:val="22"/>
                <w:lang w:val="es-ES" w:eastAsia="en-US"/>
              </w:rPr>
              <w:t xml:space="preserve"> </w:t>
            </w:r>
            <w:proofErr w:type="spellStart"/>
            <w:r>
              <w:rPr>
                <w:rFonts w:eastAsia="Calibri"/>
                <w:sz w:val="22"/>
                <w:szCs w:val="22"/>
                <w:lang w:val="es-ES" w:eastAsia="en-US"/>
              </w:rPr>
              <w:t>into</w:t>
            </w:r>
            <w:proofErr w:type="spellEnd"/>
            <w:r>
              <w:rPr>
                <w:rFonts w:eastAsia="Calibri"/>
                <w:sz w:val="22"/>
                <w:szCs w:val="22"/>
                <w:lang w:val="es-ES" w:eastAsia="en-US"/>
              </w:rPr>
              <w:t xml:space="preserve"> Spanish.</w:t>
            </w:r>
          </w:p>
          <w:p w14:paraId="3EAE53E9" w14:textId="77777777" w:rsidR="00E255F4" w:rsidRDefault="00E255F4">
            <w:pPr>
              <w:pStyle w:val="Prrafodelista"/>
              <w:tabs>
                <w:tab w:val="left" w:pos="419"/>
                <w:tab w:val="left" w:pos="1002"/>
              </w:tabs>
              <w:spacing w:after="120" w:line="240" w:lineRule="auto"/>
              <w:ind w:left="419" w:right="311"/>
              <w:jc w:val="both"/>
              <w:rPr>
                <w:rFonts w:eastAsia="Calibri"/>
                <w:sz w:val="22"/>
                <w:szCs w:val="22"/>
                <w:lang w:val="es-ES" w:eastAsia="en-US"/>
              </w:rPr>
            </w:pPr>
          </w:p>
          <w:p w14:paraId="40D5E963" w14:textId="77777777" w:rsidR="00E255F4" w:rsidRDefault="00000000">
            <w:pPr>
              <w:pStyle w:val="Prrafodelista"/>
              <w:numPr>
                <w:ilvl w:val="0"/>
                <w:numId w:val="67"/>
              </w:numPr>
              <w:tabs>
                <w:tab w:val="left" w:pos="277"/>
              </w:tabs>
              <w:spacing w:after="120" w:line="240" w:lineRule="auto"/>
              <w:ind w:left="419" w:right="311" w:hanging="283"/>
              <w:jc w:val="both"/>
              <w:rPr>
                <w:rFonts w:eastAsia="Calibri"/>
                <w:strike/>
                <w:sz w:val="22"/>
                <w:szCs w:val="22"/>
                <w:lang w:val="es-ES" w:eastAsia="en-US"/>
              </w:rPr>
            </w:pPr>
            <w:proofErr w:type="spellStart"/>
            <w:r>
              <w:rPr>
                <w:rFonts w:eastAsia="Calibri"/>
                <w:sz w:val="22"/>
                <w:szCs w:val="22"/>
                <w:lang w:val="es-ES" w:eastAsia="en-US"/>
              </w:rPr>
              <w:t>If</w:t>
            </w:r>
            <w:proofErr w:type="spellEnd"/>
            <w:r>
              <w:rPr>
                <w:rFonts w:eastAsia="Calibri"/>
                <w:sz w:val="22"/>
                <w:szCs w:val="22"/>
                <w:lang w:val="es-ES" w:eastAsia="en-US"/>
              </w:rPr>
              <w:t xml:space="preserve"> </w:t>
            </w:r>
            <w:proofErr w:type="spellStart"/>
            <w:r>
              <w:rPr>
                <w:rFonts w:eastAsia="Calibri"/>
                <w:sz w:val="22"/>
                <w:szCs w:val="22"/>
                <w:lang w:val="es-ES" w:eastAsia="en-US"/>
              </w:rPr>
              <w:t>the</w:t>
            </w:r>
            <w:proofErr w:type="spellEnd"/>
            <w:r>
              <w:rPr>
                <w:rFonts w:eastAsia="Calibri"/>
                <w:sz w:val="22"/>
                <w:szCs w:val="22"/>
                <w:lang w:val="es-ES" w:eastAsia="en-US"/>
              </w:rPr>
              <w:t xml:space="preserve"> </w:t>
            </w:r>
            <w:proofErr w:type="spellStart"/>
            <w:r>
              <w:rPr>
                <w:rFonts w:eastAsia="Calibri"/>
                <w:sz w:val="22"/>
                <w:szCs w:val="22"/>
                <w:lang w:val="es-ES" w:eastAsia="en-US"/>
              </w:rPr>
              <w:t>manufacturer</w:t>
            </w:r>
            <w:proofErr w:type="spellEnd"/>
            <w:r>
              <w:rPr>
                <w:rFonts w:eastAsia="Calibri"/>
                <w:sz w:val="22"/>
                <w:szCs w:val="22"/>
                <w:lang w:val="es-ES" w:eastAsia="en-US"/>
              </w:rPr>
              <w:t xml:space="preserve">, representative </w:t>
            </w:r>
            <w:proofErr w:type="spellStart"/>
            <w:r>
              <w:rPr>
                <w:rFonts w:eastAsia="Calibri"/>
                <w:sz w:val="22"/>
                <w:szCs w:val="22"/>
                <w:lang w:val="es-ES" w:eastAsia="en-US"/>
              </w:rPr>
              <w:t>or</w:t>
            </w:r>
            <w:proofErr w:type="spellEnd"/>
            <w:r>
              <w:rPr>
                <w:rFonts w:eastAsia="Calibri"/>
                <w:sz w:val="22"/>
                <w:szCs w:val="22"/>
                <w:lang w:val="es-ES" w:eastAsia="en-US"/>
              </w:rPr>
              <w:t xml:space="preserve"> </w:t>
            </w:r>
            <w:proofErr w:type="spellStart"/>
            <w:r>
              <w:rPr>
                <w:rFonts w:eastAsia="Calibri"/>
                <w:sz w:val="22"/>
                <w:szCs w:val="22"/>
                <w:lang w:val="es-ES" w:eastAsia="en-US"/>
              </w:rPr>
              <w:t>contractor</w:t>
            </w:r>
            <w:proofErr w:type="spellEnd"/>
            <w:r>
              <w:rPr>
                <w:rFonts w:eastAsia="Calibri"/>
                <w:sz w:val="22"/>
                <w:szCs w:val="22"/>
                <w:lang w:val="es-ES" w:eastAsia="en-US"/>
              </w:rPr>
              <w:t xml:space="preserve"> </w:t>
            </w:r>
            <w:proofErr w:type="spellStart"/>
            <w:r>
              <w:rPr>
                <w:rFonts w:eastAsia="Calibri"/>
                <w:sz w:val="22"/>
                <w:szCs w:val="22"/>
                <w:lang w:val="es-ES" w:eastAsia="en-US"/>
              </w:rPr>
              <w:t>does</w:t>
            </w:r>
            <w:proofErr w:type="spellEnd"/>
            <w:r>
              <w:rPr>
                <w:rFonts w:eastAsia="Calibri"/>
                <w:sz w:val="22"/>
                <w:szCs w:val="22"/>
                <w:lang w:val="es-ES" w:eastAsia="en-US"/>
              </w:rPr>
              <w:t xml:space="preserve"> </w:t>
            </w:r>
            <w:proofErr w:type="spellStart"/>
            <w:r>
              <w:rPr>
                <w:rFonts w:eastAsia="Calibri"/>
                <w:sz w:val="22"/>
                <w:szCs w:val="22"/>
                <w:lang w:val="es-ES" w:eastAsia="en-US"/>
              </w:rPr>
              <w:t>not</w:t>
            </w:r>
            <w:proofErr w:type="spellEnd"/>
            <w:r>
              <w:rPr>
                <w:rFonts w:eastAsia="Calibri"/>
                <w:sz w:val="22"/>
                <w:szCs w:val="22"/>
                <w:lang w:val="es-ES" w:eastAsia="en-US"/>
              </w:rPr>
              <w:t xml:space="preserve"> </w:t>
            </w:r>
            <w:proofErr w:type="spellStart"/>
            <w:r>
              <w:rPr>
                <w:rFonts w:eastAsia="Calibri"/>
                <w:sz w:val="22"/>
                <w:szCs w:val="22"/>
                <w:lang w:val="es-ES" w:eastAsia="en-US"/>
              </w:rPr>
              <w:t>respond</w:t>
            </w:r>
            <w:proofErr w:type="spellEnd"/>
            <w:r>
              <w:rPr>
                <w:rFonts w:eastAsia="Calibri"/>
                <w:sz w:val="22"/>
                <w:szCs w:val="22"/>
                <w:lang w:val="es-ES" w:eastAsia="en-US"/>
              </w:rPr>
              <w:t xml:space="preserve"> </w:t>
            </w:r>
            <w:proofErr w:type="spellStart"/>
            <w:r>
              <w:rPr>
                <w:rFonts w:eastAsia="Calibri"/>
                <w:sz w:val="22"/>
                <w:szCs w:val="22"/>
                <w:lang w:val="es-ES" w:eastAsia="en-US"/>
              </w:rPr>
              <w:t>satisfactorily</w:t>
            </w:r>
            <w:proofErr w:type="spellEnd"/>
            <w:r>
              <w:rPr>
                <w:rFonts w:eastAsia="Calibri"/>
                <w:sz w:val="22"/>
                <w:szCs w:val="22"/>
                <w:lang w:val="es-ES" w:eastAsia="en-US"/>
              </w:rPr>
              <w:t xml:space="preserve"> </w:t>
            </w:r>
            <w:proofErr w:type="spellStart"/>
            <w:r>
              <w:rPr>
                <w:rFonts w:eastAsia="Calibri"/>
                <w:sz w:val="22"/>
                <w:szCs w:val="22"/>
                <w:lang w:val="es-ES" w:eastAsia="en-US"/>
              </w:rPr>
              <w:t>to</w:t>
            </w:r>
            <w:proofErr w:type="spellEnd"/>
            <w:r>
              <w:rPr>
                <w:rFonts w:eastAsia="Calibri"/>
                <w:sz w:val="22"/>
                <w:szCs w:val="22"/>
                <w:lang w:val="es-ES" w:eastAsia="en-US"/>
              </w:rPr>
              <w:t xml:space="preserve"> </w:t>
            </w:r>
            <w:proofErr w:type="spellStart"/>
            <w:r>
              <w:rPr>
                <w:rFonts w:eastAsia="Calibri"/>
                <w:sz w:val="22"/>
                <w:szCs w:val="22"/>
                <w:lang w:val="es-ES" w:eastAsia="en-US"/>
              </w:rPr>
              <w:t>the</w:t>
            </w:r>
            <w:proofErr w:type="spellEnd"/>
            <w:r>
              <w:rPr>
                <w:rFonts w:eastAsia="Calibri"/>
                <w:sz w:val="22"/>
                <w:szCs w:val="22"/>
                <w:lang w:val="es-ES" w:eastAsia="en-US"/>
              </w:rPr>
              <w:t xml:space="preserve"> </w:t>
            </w:r>
            <w:proofErr w:type="spellStart"/>
            <w:r>
              <w:rPr>
                <w:rFonts w:eastAsia="Calibri"/>
                <w:sz w:val="22"/>
                <w:szCs w:val="22"/>
                <w:lang w:val="es-ES" w:eastAsia="en-US"/>
              </w:rPr>
              <w:t>fulfillment</w:t>
            </w:r>
            <w:proofErr w:type="spellEnd"/>
            <w:r>
              <w:rPr>
                <w:rFonts w:eastAsia="Calibri"/>
                <w:sz w:val="22"/>
                <w:szCs w:val="22"/>
                <w:lang w:val="es-ES" w:eastAsia="en-US"/>
              </w:rPr>
              <w:t xml:space="preserve"> </w:t>
            </w:r>
            <w:proofErr w:type="spellStart"/>
            <w:r>
              <w:rPr>
                <w:rFonts w:eastAsia="Calibri"/>
                <w:sz w:val="22"/>
                <w:szCs w:val="22"/>
                <w:lang w:val="es-ES" w:eastAsia="en-US"/>
              </w:rPr>
              <w:t>of</w:t>
            </w:r>
            <w:proofErr w:type="spellEnd"/>
            <w:r>
              <w:rPr>
                <w:rFonts w:eastAsia="Calibri"/>
                <w:sz w:val="22"/>
                <w:szCs w:val="22"/>
                <w:lang w:val="es-ES" w:eastAsia="en-US"/>
              </w:rPr>
              <w:t xml:space="preserve"> </w:t>
            </w:r>
            <w:proofErr w:type="spellStart"/>
            <w:r>
              <w:rPr>
                <w:rFonts w:eastAsia="Calibri"/>
                <w:sz w:val="22"/>
                <w:szCs w:val="22"/>
                <w:lang w:val="es-ES" w:eastAsia="en-US"/>
              </w:rPr>
              <w:t>the</w:t>
            </w:r>
            <w:proofErr w:type="spellEnd"/>
            <w:r>
              <w:rPr>
                <w:rFonts w:eastAsia="Calibri"/>
                <w:sz w:val="22"/>
                <w:szCs w:val="22"/>
                <w:lang w:val="es-ES" w:eastAsia="en-US"/>
              </w:rPr>
              <w:t xml:space="preserve"> </w:t>
            </w:r>
            <w:proofErr w:type="spellStart"/>
            <w:r>
              <w:rPr>
                <w:rFonts w:eastAsia="Calibri"/>
                <w:sz w:val="22"/>
                <w:szCs w:val="22"/>
                <w:lang w:val="es-ES" w:eastAsia="en-US"/>
              </w:rPr>
              <w:t>Warranty</w:t>
            </w:r>
            <w:proofErr w:type="spellEnd"/>
            <w:r>
              <w:rPr>
                <w:rFonts w:eastAsia="Calibri"/>
                <w:sz w:val="22"/>
                <w:szCs w:val="22"/>
                <w:lang w:val="es-ES" w:eastAsia="en-US"/>
              </w:rPr>
              <w:t xml:space="preserve"> </w:t>
            </w:r>
            <w:proofErr w:type="spellStart"/>
            <w:r>
              <w:rPr>
                <w:rFonts w:eastAsia="Calibri"/>
                <w:sz w:val="22"/>
                <w:szCs w:val="22"/>
                <w:lang w:val="es-ES" w:eastAsia="en-US"/>
              </w:rPr>
              <w:t>within</w:t>
            </w:r>
            <w:proofErr w:type="spellEnd"/>
            <w:r>
              <w:rPr>
                <w:rFonts w:eastAsia="Calibri"/>
                <w:sz w:val="22"/>
                <w:szCs w:val="22"/>
                <w:lang w:val="es-ES" w:eastAsia="en-US"/>
              </w:rPr>
              <w:t xml:space="preserve"> </w:t>
            </w:r>
            <w:proofErr w:type="spellStart"/>
            <w:r>
              <w:rPr>
                <w:rFonts w:eastAsia="Calibri"/>
                <w:sz w:val="22"/>
                <w:szCs w:val="22"/>
                <w:lang w:val="es-ES" w:eastAsia="en-US"/>
              </w:rPr>
              <w:t>the</w:t>
            </w:r>
            <w:proofErr w:type="spellEnd"/>
            <w:r>
              <w:rPr>
                <w:rFonts w:eastAsia="Calibri"/>
                <w:sz w:val="22"/>
                <w:szCs w:val="22"/>
                <w:lang w:val="es-ES" w:eastAsia="en-US"/>
              </w:rPr>
              <w:t xml:space="preserve"> </w:t>
            </w:r>
            <w:proofErr w:type="spellStart"/>
            <w:r>
              <w:rPr>
                <w:rFonts w:eastAsia="Calibri"/>
                <w:sz w:val="22"/>
                <w:szCs w:val="22"/>
                <w:lang w:val="es-ES" w:eastAsia="en-US"/>
              </w:rPr>
              <w:t>stipulated</w:t>
            </w:r>
            <w:proofErr w:type="spellEnd"/>
            <w:r>
              <w:rPr>
                <w:rFonts w:eastAsia="Calibri"/>
                <w:sz w:val="22"/>
                <w:szCs w:val="22"/>
                <w:lang w:val="es-ES" w:eastAsia="en-US"/>
              </w:rPr>
              <w:t xml:space="preserve"> </w:t>
            </w:r>
            <w:proofErr w:type="spellStart"/>
            <w:r>
              <w:rPr>
                <w:rFonts w:eastAsia="Calibri"/>
                <w:sz w:val="22"/>
                <w:szCs w:val="22"/>
                <w:lang w:val="es-ES" w:eastAsia="en-US"/>
              </w:rPr>
              <w:t>period</w:t>
            </w:r>
            <w:proofErr w:type="spellEnd"/>
            <w:r>
              <w:rPr>
                <w:rFonts w:eastAsia="Calibri"/>
                <w:sz w:val="22"/>
                <w:szCs w:val="22"/>
                <w:lang w:val="es-ES" w:eastAsia="en-US"/>
              </w:rPr>
              <w:t xml:space="preserve">, </w:t>
            </w:r>
            <w:proofErr w:type="spellStart"/>
            <w:r>
              <w:rPr>
                <w:rFonts w:eastAsia="Calibri"/>
                <w:sz w:val="22"/>
                <w:szCs w:val="22"/>
                <w:lang w:val="es-ES" w:eastAsia="en-US"/>
              </w:rPr>
              <w:t>it</w:t>
            </w:r>
            <w:proofErr w:type="spellEnd"/>
            <w:r>
              <w:rPr>
                <w:rFonts w:eastAsia="Calibri"/>
                <w:sz w:val="22"/>
                <w:szCs w:val="22"/>
                <w:lang w:val="es-ES" w:eastAsia="en-US"/>
              </w:rPr>
              <w:t xml:space="preserve"> </w:t>
            </w:r>
            <w:proofErr w:type="spellStart"/>
            <w:r>
              <w:rPr>
                <w:rFonts w:eastAsia="Calibri"/>
                <w:sz w:val="22"/>
                <w:szCs w:val="22"/>
                <w:lang w:val="es-ES" w:eastAsia="en-US"/>
              </w:rPr>
              <w:t>will</w:t>
            </w:r>
            <w:proofErr w:type="spellEnd"/>
            <w:r>
              <w:rPr>
                <w:rFonts w:eastAsia="Calibri"/>
                <w:sz w:val="22"/>
                <w:szCs w:val="22"/>
                <w:lang w:val="es-ES" w:eastAsia="en-US"/>
              </w:rPr>
              <w:t xml:space="preserve"> be </w:t>
            </w:r>
            <w:proofErr w:type="spellStart"/>
            <w:r>
              <w:rPr>
                <w:rFonts w:eastAsia="Calibri"/>
                <w:sz w:val="22"/>
                <w:szCs w:val="22"/>
                <w:lang w:val="es-ES" w:eastAsia="en-US"/>
              </w:rPr>
              <w:t>reported</w:t>
            </w:r>
            <w:proofErr w:type="spellEnd"/>
            <w:r>
              <w:rPr>
                <w:rFonts w:eastAsia="Calibri"/>
                <w:sz w:val="22"/>
                <w:szCs w:val="22"/>
                <w:lang w:val="es-ES" w:eastAsia="en-US"/>
              </w:rPr>
              <w:t xml:space="preserve"> </w:t>
            </w:r>
            <w:proofErr w:type="spellStart"/>
            <w:r>
              <w:rPr>
                <w:rFonts w:eastAsia="Calibri"/>
                <w:sz w:val="22"/>
                <w:szCs w:val="22"/>
                <w:lang w:val="es-ES" w:eastAsia="en-US"/>
              </w:rPr>
              <w:t>to</w:t>
            </w:r>
            <w:proofErr w:type="spellEnd"/>
            <w:r>
              <w:rPr>
                <w:rFonts w:eastAsia="Calibri"/>
                <w:sz w:val="22"/>
                <w:szCs w:val="22"/>
                <w:lang w:val="es-ES" w:eastAsia="en-US"/>
              </w:rPr>
              <w:t xml:space="preserve"> </w:t>
            </w:r>
            <w:proofErr w:type="spellStart"/>
            <w:r>
              <w:rPr>
                <w:rFonts w:eastAsia="Calibri"/>
                <w:sz w:val="22"/>
                <w:szCs w:val="22"/>
                <w:lang w:val="es-ES" w:eastAsia="en-US"/>
              </w:rPr>
              <w:t>the</w:t>
            </w:r>
            <w:proofErr w:type="spellEnd"/>
            <w:r>
              <w:rPr>
                <w:rFonts w:eastAsia="Calibri"/>
                <w:sz w:val="22"/>
                <w:szCs w:val="22"/>
                <w:lang w:val="es-ES" w:eastAsia="en-US"/>
              </w:rPr>
              <w:t xml:space="preserve"> </w:t>
            </w:r>
            <w:proofErr w:type="gramStart"/>
            <w:r>
              <w:rPr>
                <w:rFonts w:eastAsia="Calibri"/>
                <w:sz w:val="22"/>
                <w:szCs w:val="22"/>
                <w:lang w:val="es-ES" w:eastAsia="en-US"/>
              </w:rPr>
              <w:t>Single</w:t>
            </w:r>
            <w:proofErr w:type="gramEnd"/>
            <w:r>
              <w:rPr>
                <w:rFonts w:eastAsia="Calibri"/>
                <w:sz w:val="22"/>
                <w:szCs w:val="22"/>
                <w:lang w:val="es-ES" w:eastAsia="en-US"/>
              </w:rPr>
              <w:t xml:space="preserve"> </w:t>
            </w:r>
            <w:proofErr w:type="spellStart"/>
            <w:r>
              <w:rPr>
                <w:rFonts w:eastAsia="Calibri"/>
                <w:sz w:val="22"/>
                <w:szCs w:val="22"/>
                <w:lang w:val="es-ES" w:eastAsia="en-US"/>
              </w:rPr>
              <w:t>Registry</w:t>
            </w:r>
            <w:proofErr w:type="spellEnd"/>
            <w:r>
              <w:rPr>
                <w:rFonts w:eastAsia="Calibri"/>
                <w:sz w:val="22"/>
                <w:szCs w:val="22"/>
                <w:lang w:val="es-ES" w:eastAsia="en-US"/>
              </w:rPr>
              <w:t xml:space="preserve"> </w:t>
            </w:r>
            <w:proofErr w:type="spellStart"/>
            <w:r>
              <w:rPr>
                <w:rFonts w:eastAsia="Calibri"/>
                <w:sz w:val="22"/>
                <w:szCs w:val="22"/>
                <w:lang w:val="es-ES" w:eastAsia="en-US"/>
              </w:rPr>
              <w:t>of</w:t>
            </w:r>
            <w:proofErr w:type="spellEnd"/>
            <w:r>
              <w:rPr>
                <w:rFonts w:eastAsia="Calibri"/>
                <w:sz w:val="22"/>
                <w:szCs w:val="22"/>
                <w:lang w:val="es-ES" w:eastAsia="en-US"/>
              </w:rPr>
              <w:t xml:space="preserve"> State </w:t>
            </w:r>
            <w:proofErr w:type="spellStart"/>
            <w:r>
              <w:rPr>
                <w:rFonts w:eastAsia="Calibri"/>
                <w:sz w:val="22"/>
                <w:szCs w:val="22"/>
                <w:lang w:val="es-ES" w:eastAsia="en-US"/>
              </w:rPr>
              <w:t>Suppliers</w:t>
            </w:r>
            <w:proofErr w:type="spellEnd"/>
            <w:r>
              <w:rPr>
                <w:rFonts w:eastAsia="Calibri"/>
                <w:sz w:val="22"/>
                <w:szCs w:val="22"/>
                <w:lang w:val="es-ES" w:eastAsia="en-US"/>
              </w:rPr>
              <w:t xml:space="preserve"> (RUPE) as a </w:t>
            </w:r>
            <w:proofErr w:type="spellStart"/>
            <w:r>
              <w:rPr>
                <w:rFonts w:eastAsia="Calibri"/>
                <w:sz w:val="22"/>
                <w:szCs w:val="22"/>
                <w:lang w:val="es-ES" w:eastAsia="en-US"/>
              </w:rPr>
              <w:t>breach</w:t>
            </w:r>
            <w:proofErr w:type="spellEnd"/>
            <w:r>
              <w:rPr>
                <w:rFonts w:eastAsia="Calibri"/>
                <w:sz w:val="22"/>
                <w:szCs w:val="22"/>
                <w:lang w:val="es-ES" w:eastAsia="en-US"/>
              </w:rPr>
              <w:t xml:space="preserve"> </w:t>
            </w:r>
            <w:proofErr w:type="spellStart"/>
            <w:r>
              <w:rPr>
                <w:rFonts w:eastAsia="Calibri"/>
                <w:sz w:val="22"/>
                <w:szCs w:val="22"/>
                <w:lang w:val="es-ES" w:eastAsia="en-US"/>
              </w:rPr>
              <w:t>of</w:t>
            </w:r>
            <w:proofErr w:type="spellEnd"/>
            <w:r>
              <w:rPr>
                <w:rFonts w:eastAsia="Calibri"/>
                <w:sz w:val="22"/>
                <w:szCs w:val="22"/>
                <w:lang w:val="es-ES" w:eastAsia="en-US"/>
              </w:rPr>
              <w:t xml:space="preserve"> </w:t>
            </w:r>
            <w:proofErr w:type="spellStart"/>
            <w:r>
              <w:rPr>
                <w:rFonts w:eastAsia="Calibri"/>
                <w:sz w:val="22"/>
                <w:szCs w:val="22"/>
                <w:lang w:val="es-ES" w:eastAsia="en-US"/>
              </w:rPr>
              <w:t>contract</w:t>
            </w:r>
            <w:proofErr w:type="spellEnd"/>
            <w:r>
              <w:rPr>
                <w:rFonts w:eastAsia="Calibri"/>
                <w:sz w:val="22"/>
                <w:szCs w:val="22"/>
                <w:lang w:val="es-ES" w:eastAsia="en-US"/>
              </w:rPr>
              <w:t>.</w:t>
            </w:r>
          </w:p>
          <w:p w14:paraId="69674956" w14:textId="77777777" w:rsidR="00E255F4" w:rsidRDefault="00000000">
            <w:pPr>
              <w:pStyle w:val="Prrafodelista"/>
              <w:numPr>
                <w:ilvl w:val="0"/>
                <w:numId w:val="71"/>
              </w:numPr>
              <w:tabs>
                <w:tab w:val="left" w:pos="419"/>
              </w:tabs>
              <w:spacing w:before="240" w:after="120" w:line="240" w:lineRule="auto"/>
              <w:jc w:val="both"/>
              <w:rPr>
                <w:b/>
                <w:sz w:val="22"/>
                <w:lang w:val="es-UY" w:eastAsia="en-US"/>
              </w:rPr>
            </w:pPr>
            <w:r>
              <w:rPr>
                <w:b/>
                <w:sz w:val="22"/>
                <w:lang w:val="es-UY" w:eastAsia="en-US"/>
              </w:rPr>
              <w:t xml:space="preserve">General Project </w:t>
            </w:r>
            <w:proofErr w:type="spellStart"/>
            <w:r>
              <w:rPr>
                <w:b/>
                <w:sz w:val="22"/>
                <w:lang w:val="es-UY" w:eastAsia="en-US"/>
              </w:rPr>
              <w:t>Implementation</w:t>
            </w:r>
            <w:proofErr w:type="spellEnd"/>
            <w:r>
              <w:rPr>
                <w:b/>
                <w:sz w:val="22"/>
                <w:lang w:val="es-UY" w:eastAsia="en-US"/>
              </w:rPr>
              <w:t xml:space="preserve"> Plan (</w:t>
            </w:r>
            <w:proofErr w:type="spellStart"/>
            <w:r>
              <w:rPr>
                <w:b/>
                <w:sz w:val="22"/>
                <w:lang w:val="es-UY" w:eastAsia="en-US"/>
              </w:rPr>
              <w:t>Operational</w:t>
            </w:r>
            <w:proofErr w:type="spellEnd"/>
            <w:r>
              <w:rPr>
                <w:b/>
                <w:sz w:val="22"/>
                <w:lang w:val="es-UY" w:eastAsia="en-US"/>
              </w:rPr>
              <w:t xml:space="preserve"> Work Plan)</w:t>
            </w:r>
          </w:p>
          <w:p w14:paraId="3A75684C" w14:textId="77777777" w:rsidR="00E255F4" w:rsidRDefault="00000000">
            <w:pPr>
              <w:pStyle w:val="Prrafodelista"/>
              <w:spacing w:after="120"/>
              <w:ind w:left="0"/>
              <w:jc w:val="both"/>
            </w:pPr>
            <w:r>
              <w:rPr>
                <w:sz w:val="22"/>
                <w:lang w:val="es-UY" w:eastAsia="en-US"/>
              </w:rPr>
              <w:t xml:space="preserve">The </w:t>
            </w:r>
            <w:proofErr w:type="spellStart"/>
            <w:r>
              <w:rPr>
                <w:sz w:val="22"/>
                <w:lang w:val="es-UY" w:eastAsia="en-US"/>
              </w:rPr>
              <w:t>bidder</w:t>
            </w:r>
            <w:proofErr w:type="spellEnd"/>
            <w:r>
              <w:rPr>
                <w:sz w:val="22"/>
                <w:lang w:val="es-UY" w:eastAsia="en-US"/>
              </w:rPr>
              <w:t xml:space="preserve"> </w:t>
            </w:r>
            <w:proofErr w:type="spellStart"/>
            <w:r>
              <w:rPr>
                <w:sz w:val="22"/>
                <w:lang w:val="es-UY" w:eastAsia="en-US"/>
              </w:rPr>
              <w:t>must</w:t>
            </w:r>
            <w:proofErr w:type="spellEnd"/>
            <w:r>
              <w:rPr>
                <w:sz w:val="22"/>
                <w:lang w:val="es-UY" w:eastAsia="en-US"/>
              </w:rPr>
              <w:t xml:space="preserve"> </w:t>
            </w:r>
            <w:proofErr w:type="spellStart"/>
            <w:r>
              <w:rPr>
                <w:sz w:val="22"/>
                <w:lang w:val="es-UY" w:eastAsia="en-US"/>
              </w:rPr>
              <w:t>include</w:t>
            </w:r>
            <w:proofErr w:type="spellEnd"/>
            <w:r>
              <w:rPr>
                <w:sz w:val="22"/>
                <w:lang w:val="es-UY" w:eastAsia="en-US"/>
              </w:rPr>
              <w:t xml:space="preserve"> in </w:t>
            </w:r>
            <w:proofErr w:type="spellStart"/>
            <w:r>
              <w:rPr>
                <w:sz w:val="22"/>
                <w:lang w:val="es-UY" w:eastAsia="en-US"/>
              </w:rPr>
              <w:t>the</w:t>
            </w:r>
            <w:proofErr w:type="spellEnd"/>
            <w:r>
              <w:rPr>
                <w:sz w:val="22"/>
                <w:lang w:val="es-UY" w:eastAsia="en-US"/>
              </w:rPr>
              <w:t xml:space="preserve"> </w:t>
            </w:r>
            <w:proofErr w:type="spellStart"/>
            <w:r>
              <w:rPr>
                <w:sz w:val="22"/>
                <w:lang w:val="es-UY" w:eastAsia="en-US"/>
              </w:rPr>
              <w:t>offer</w:t>
            </w:r>
            <w:proofErr w:type="spellEnd"/>
            <w:r>
              <w:rPr>
                <w:sz w:val="22"/>
                <w:lang w:val="es-UY" w:eastAsia="en-US"/>
              </w:rPr>
              <w:t xml:space="preserve"> a General Project </w:t>
            </w:r>
            <w:proofErr w:type="spellStart"/>
            <w:r>
              <w:rPr>
                <w:sz w:val="22"/>
                <w:lang w:val="es-UY" w:eastAsia="en-US"/>
              </w:rPr>
              <w:t>Execution</w:t>
            </w:r>
            <w:proofErr w:type="spellEnd"/>
            <w:r>
              <w:rPr>
                <w:sz w:val="22"/>
                <w:lang w:val="es-UY" w:eastAsia="en-US"/>
              </w:rPr>
              <w:t xml:space="preserve"> Plan </w:t>
            </w:r>
            <w:proofErr w:type="spellStart"/>
            <w:r>
              <w:rPr>
                <w:sz w:val="22"/>
                <w:lang w:val="es-UY" w:eastAsia="en-US"/>
              </w:rPr>
              <w:t>which</w:t>
            </w:r>
            <w:proofErr w:type="spellEnd"/>
            <w:r>
              <w:rPr>
                <w:sz w:val="22"/>
                <w:lang w:val="es-UY" w:eastAsia="en-US"/>
              </w:rPr>
              <w:t xml:space="preserve"> </w:t>
            </w:r>
            <w:proofErr w:type="spellStart"/>
            <w:r>
              <w:rPr>
                <w:sz w:val="22"/>
                <w:lang w:val="es-UY" w:eastAsia="en-US"/>
              </w:rPr>
              <w:t>states</w:t>
            </w:r>
            <w:proofErr w:type="spellEnd"/>
            <w:r>
              <w:rPr>
                <w:sz w:val="22"/>
                <w:lang w:val="es-UY" w:eastAsia="en-US"/>
              </w:rPr>
              <w:t xml:space="preserve"> </w:t>
            </w:r>
            <w:proofErr w:type="spellStart"/>
            <w:r>
              <w:rPr>
                <w:sz w:val="22"/>
                <w:lang w:val="es-UY" w:eastAsia="en-US"/>
              </w:rPr>
              <w:t>the</w:t>
            </w:r>
            <w:proofErr w:type="spellEnd"/>
            <w:r>
              <w:rPr>
                <w:sz w:val="22"/>
                <w:lang w:val="es-UY" w:eastAsia="en-US"/>
              </w:rPr>
              <w:t xml:space="preserve"> times </w:t>
            </w:r>
            <w:proofErr w:type="spellStart"/>
            <w:r>
              <w:rPr>
                <w:sz w:val="22"/>
                <w:lang w:val="es-UY" w:eastAsia="en-US"/>
              </w:rPr>
              <w:t>established</w:t>
            </w:r>
            <w:proofErr w:type="spellEnd"/>
            <w:r>
              <w:rPr>
                <w:sz w:val="22"/>
                <w:lang w:val="es-UY" w:eastAsia="en-US"/>
              </w:rPr>
              <w:t xml:space="preserve"> in </w:t>
            </w:r>
            <w:proofErr w:type="spellStart"/>
            <w:r>
              <w:rPr>
                <w:sz w:val="22"/>
                <w:lang w:val="es-UY" w:eastAsia="en-US"/>
              </w:rPr>
              <w:t>the</w:t>
            </w:r>
            <w:proofErr w:type="spellEnd"/>
            <w:r>
              <w:rPr>
                <w:sz w:val="22"/>
                <w:lang w:val="es-UY" w:eastAsia="en-US"/>
              </w:rPr>
              <w:t xml:space="preserve"> </w:t>
            </w:r>
            <w:proofErr w:type="spellStart"/>
            <w:r>
              <w:rPr>
                <w:sz w:val="22"/>
                <w:lang w:val="es-UY" w:eastAsia="en-US"/>
              </w:rPr>
              <w:t>section</w:t>
            </w:r>
            <w:proofErr w:type="spellEnd"/>
            <w:r>
              <w:rPr>
                <w:sz w:val="22"/>
                <w:lang w:val="es-UY" w:eastAsia="en-US"/>
              </w:rPr>
              <w:t>: “</w:t>
            </w:r>
            <w:proofErr w:type="spellStart"/>
            <w:r>
              <w:rPr>
                <w:sz w:val="22"/>
                <w:lang w:val="es-UY" w:eastAsia="en-US"/>
              </w:rPr>
              <w:t>Deadline</w:t>
            </w:r>
            <w:proofErr w:type="spellEnd"/>
            <w:r>
              <w:rPr>
                <w:sz w:val="22"/>
                <w:lang w:val="es-UY" w:eastAsia="en-US"/>
              </w:rPr>
              <w:t xml:space="preserve"> and </w:t>
            </w:r>
            <w:proofErr w:type="spellStart"/>
            <w:r>
              <w:rPr>
                <w:sz w:val="22"/>
                <w:lang w:val="es-UY" w:eastAsia="en-US"/>
              </w:rPr>
              <w:t>Delivery</w:t>
            </w:r>
            <w:proofErr w:type="spellEnd"/>
            <w:r>
              <w:rPr>
                <w:sz w:val="22"/>
                <w:lang w:val="es-UY" w:eastAsia="en-US"/>
              </w:rPr>
              <w:t xml:space="preserve"> Plan” </w:t>
            </w:r>
            <w:proofErr w:type="spellStart"/>
            <w:r>
              <w:rPr>
                <w:sz w:val="22"/>
                <w:lang w:val="es-UY" w:eastAsia="en-US"/>
              </w:rPr>
              <w:t>of</w:t>
            </w:r>
            <w:proofErr w:type="spellEnd"/>
            <w:r>
              <w:rPr>
                <w:sz w:val="22"/>
                <w:lang w:val="es-UY" w:eastAsia="en-US"/>
              </w:rPr>
              <w:t xml:space="preserve"> Art. 25 </w:t>
            </w:r>
            <w:proofErr w:type="spellStart"/>
            <w:r>
              <w:rPr>
                <w:sz w:val="22"/>
                <w:lang w:val="es-UY" w:eastAsia="en-US"/>
              </w:rPr>
              <w:t>of</w:t>
            </w:r>
            <w:proofErr w:type="spellEnd"/>
            <w:r>
              <w:rPr>
                <w:sz w:val="22"/>
                <w:lang w:val="es-UY" w:eastAsia="en-US"/>
              </w:rPr>
              <w:t xml:space="preserve"> </w:t>
            </w:r>
            <w:proofErr w:type="spellStart"/>
            <w:r>
              <w:rPr>
                <w:sz w:val="22"/>
                <w:lang w:val="es-UY" w:eastAsia="en-US"/>
              </w:rPr>
              <w:t>this</w:t>
            </w:r>
            <w:proofErr w:type="spellEnd"/>
            <w:r>
              <w:rPr>
                <w:sz w:val="22"/>
                <w:lang w:val="es-UY" w:eastAsia="en-US"/>
              </w:rPr>
              <w:t xml:space="preserve"> </w:t>
            </w:r>
            <w:proofErr w:type="spellStart"/>
            <w:r>
              <w:rPr>
                <w:sz w:val="22"/>
                <w:lang w:val="es-UY" w:eastAsia="en-US"/>
              </w:rPr>
              <w:t>Annex</w:t>
            </w:r>
            <w:proofErr w:type="spellEnd"/>
            <w:r>
              <w:rPr>
                <w:sz w:val="22"/>
                <w:lang w:val="es-UY" w:eastAsia="en-US"/>
              </w:rPr>
              <w:t xml:space="preserve"> III.</w:t>
            </w:r>
          </w:p>
          <w:p w14:paraId="452EEF58" w14:textId="77777777" w:rsidR="00E255F4" w:rsidRDefault="00000000">
            <w:pPr>
              <w:pStyle w:val="Prrafodelista"/>
              <w:spacing w:line="360" w:lineRule="auto"/>
              <w:ind w:left="0"/>
              <w:rPr>
                <w:sz w:val="22"/>
                <w:lang w:val="es-UY" w:eastAsia="en-US"/>
              </w:rPr>
            </w:pPr>
            <w:proofErr w:type="spellStart"/>
            <w:r>
              <w:rPr>
                <w:sz w:val="22"/>
                <w:lang w:val="es-UY" w:eastAsia="en-US"/>
              </w:rPr>
              <w:t>This</w:t>
            </w:r>
            <w:proofErr w:type="spellEnd"/>
            <w:r>
              <w:rPr>
                <w:sz w:val="22"/>
                <w:lang w:val="es-UY" w:eastAsia="en-US"/>
              </w:rPr>
              <w:t xml:space="preserve"> Plan </w:t>
            </w:r>
            <w:proofErr w:type="spellStart"/>
            <w:r>
              <w:rPr>
                <w:sz w:val="22"/>
                <w:lang w:val="es-UY" w:eastAsia="en-US"/>
              </w:rPr>
              <w:t>must</w:t>
            </w:r>
            <w:proofErr w:type="spellEnd"/>
            <w:r>
              <w:rPr>
                <w:sz w:val="22"/>
                <w:lang w:val="es-UY" w:eastAsia="en-US"/>
              </w:rPr>
              <w:t xml:space="preserve"> </w:t>
            </w:r>
            <w:proofErr w:type="spellStart"/>
            <w:r>
              <w:rPr>
                <w:sz w:val="22"/>
                <w:lang w:val="es-UY" w:eastAsia="en-US"/>
              </w:rPr>
              <w:t>include</w:t>
            </w:r>
            <w:proofErr w:type="spellEnd"/>
            <w:r>
              <w:rPr>
                <w:sz w:val="22"/>
                <w:lang w:val="es-UY" w:eastAsia="en-US"/>
              </w:rPr>
              <w:t xml:space="preserve"> at </w:t>
            </w:r>
            <w:proofErr w:type="spellStart"/>
            <w:r>
              <w:rPr>
                <w:sz w:val="22"/>
                <w:lang w:val="es-UY" w:eastAsia="en-US"/>
              </w:rPr>
              <w:t>least</w:t>
            </w:r>
            <w:proofErr w:type="spellEnd"/>
            <w:r>
              <w:rPr>
                <w:sz w:val="22"/>
                <w:lang w:val="es-UY" w:eastAsia="en-US"/>
              </w:rPr>
              <w:t>:</w:t>
            </w:r>
          </w:p>
          <w:p w14:paraId="34A0E49A" w14:textId="77777777" w:rsidR="00E255F4" w:rsidRDefault="00000000">
            <w:pPr>
              <w:pStyle w:val="Prrafodelista"/>
              <w:numPr>
                <w:ilvl w:val="0"/>
                <w:numId w:val="33"/>
              </w:numPr>
              <w:spacing w:after="120"/>
              <w:rPr>
                <w:sz w:val="22"/>
                <w:lang w:val="es-UY" w:eastAsia="en-US"/>
              </w:rPr>
            </w:pPr>
            <w:r>
              <w:rPr>
                <w:sz w:val="22"/>
                <w:lang w:val="es-UY" w:eastAsia="en-US"/>
              </w:rPr>
              <w:t xml:space="preserve">A </w:t>
            </w:r>
            <w:proofErr w:type="spellStart"/>
            <w:r>
              <w:rPr>
                <w:sz w:val="22"/>
                <w:lang w:val="es-UY" w:eastAsia="en-US"/>
              </w:rPr>
              <w:t>breakdown</w:t>
            </w:r>
            <w:proofErr w:type="spellEnd"/>
            <w:r>
              <w:rPr>
                <w:sz w:val="22"/>
                <w:lang w:val="es-UY" w:eastAsia="en-US"/>
              </w:rPr>
              <w:t xml:space="preserve"> </w:t>
            </w:r>
            <w:proofErr w:type="spellStart"/>
            <w:r>
              <w:rPr>
                <w:sz w:val="22"/>
                <w:lang w:val="es-UY" w:eastAsia="en-US"/>
              </w:rPr>
              <w:t>of</w:t>
            </w:r>
            <w:proofErr w:type="spellEnd"/>
            <w:r>
              <w:rPr>
                <w:sz w:val="22"/>
                <w:lang w:val="es-UY" w:eastAsia="en-US"/>
              </w:rPr>
              <w:t xml:space="preserve"> </w:t>
            </w:r>
            <w:proofErr w:type="spellStart"/>
            <w:r>
              <w:rPr>
                <w:sz w:val="22"/>
                <w:lang w:val="es-UY" w:eastAsia="en-US"/>
              </w:rPr>
              <w:t>tasks</w:t>
            </w:r>
            <w:proofErr w:type="spellEnd"/>
            <w:r>
              <w:rPr>
                <w:sz w:val="22"/>
                <w:lang w:val="es-UY" w:eastAsia="en-US"/>
              </w:rPr>
              <w:t xml:space="preserve">, </w:t>
            </w:r>
            <w:proofErr w:type="spellStart"/>
            <w:r>
              <w:rPr>
                <w:sz w:val="22"/>
                <w:lang w:val="es-UY" w:eastAsia="en-US"/>
              </w:rPr>
              <w:t>execution</w:t>
            </w:r>
            <w:proofErr w:type="spellEnd"/>
            <w:r>
              <w:rPr>
                <w:sz w:val="22"/>
                <w:lang w:val="es-UY" w:eastAsia="en-US"/>
              </w:rPr>
              <w:t xml:space="preserve"> times and </w:t>
            </w:r>
            <w:proofErr w:type="spellStart"/>
            <w:r>
              <w:rPr>
                <w:sz w:val="22"/>
                <w:lang w:val="es-UY" w:eastAsia="en-US"/>
              </w:rPr>
              <w:t>milestones</w:t>
            </w:r>
            <w:proofErr w:type="spellEnd"/>
            <w:r>
              <w:rPr>
                <w:sz w:val="22"/>
                <w:lang w:val="es-UY" w:eastAsia="en-US"/>
              </w:rPr>
              <w:t xml:space="preserve">, </w:t>
            </w:r>
            <w:proofErr w:type="spellStart"/>
            <w:r>
              <w:rPr>
                <w:sz w:val="22"/>
                <w:lang w:val="es-UY" w:eastAsia="en-US"/>
              </w:rPr>
              <w:t>with</w:t>
            </w:r>
            <w:proofErr w:type="spellEnd"/>
            <w:r>
              <w:rPr>
                <w:sz w:val="22"/>
                <w:lang w:val="es-UY" w:eastAsia="en-US"/>
              </w:rPr>
              <w:t xml:space="preserve"> </w:t>
            </w:r>
            <w:proofErr w:type="spellStart"/>
            <w:r>
              <w:rPr>
                <w:sz w:val="22"/>
                <w:lang w:val="es-UY" w:eastAsia="en-US"/>
              </w:rPr>
              <w:t>the</w:t>
            </w:r>
            <w:proofErr w:type="spellEnd"/>
            <w:r>
              <w:rPr>
                <w:sz w:val="22"/>
                <w:lang w:val="es-UY" w:eastAsia="en-US"/>
              </w:rPr>
              <w:t xml:space="preserve"> </w:t>
            </w:r>
            <w:proofErr w:type="spellStart"/>
            <w:r>
              <w:rPr>
                <w:sz w:val="22"/>
                <w:lang w:val="es-UY" w:eastAsia="en-US"/>
              </w:rPr>
              <w:t>organization</w:t>
            </w:r>
            <w:proofErr w:type="spellEnd"/>
            <w:r>
              <w:rPr>
                <w:sz w:val="22"/>
                <w:lang w:val="es-UY" w:eastAsia="en-US"/>
              </w:rPr>
              <w:t xml:space="preserve">, </w:t>
            </w:r>
            <w:proofErr w:type="spellStart"/>
            <w:r>
              <w:rPr>
                <w:sz w:val="22"/>
                <w:lang w:val="es-UY" w:eastAsia="en-US"/>
              </w:rPr>
              <w:t>sequence</w:t>
            </w:r>
            <w:proofErr w:type="spellEnd"/>
            <w:r>
              <w:rPr>
                <w:sz w:val="22"/>
                <w:lang w:val="es-UY" w:eastAsia="en-US"/>
              </w:rPr>
              <w:t xml:space="preserve"> and </w:t>
            </w:r>
            <w:proofErr w:type="spellStart"/>
            <w:r>
              <w:rPr>
                <w:sz w:val="22"/>
                <w:lang w:val="es-UY" w:eastAsia="en-US"/>
              </w:rPr>
              <w:t>execution</w:t>
            </w:r>
            <w:proofErr w:type="spellEnd"/>
            <w:r>
              <w:rPr>
                <w:sz w:val="22"/>
                <w:lang w:val="es-UY" w:eastAsia="en-US"/>
              </w:rPr>
              <w:t xml:space="preserve"> </w:t>
            </w:r>
            <w:proofErr w:type="spellStart"/>
            <w:r>
              <w:rPr>
                <w:sz w:val="22"/>
                <w:lang w:val="es-UY" w:eastAsia="en-US"/>
              </w:rPr>
              <w:t>schedule</w:t>
            </w:r>
            <w:proofErr w:type="spellEnd"/>
            <w:r>
              <w:rPr>
                <w:sz w:val="22"/>
                <w:lang w:val="es-UY" w:eastAsia="en-US"/>
              </w:rPr>
              <w:t xml:space="preserve"> </w:t>
            </w:r>
            <w:proofErr w:type="spellStart"/>
            <w:r>
              <w:rPr>
                <w:sz w:val="22"/>
                <w:lang w:val="es-UY" w:eastAsia="en-US"/>
              </w:rPr>
              <w:t>of</w:t>
            </w:r>
            <w:proofErr w:type="spellEnd"/>
            <w:r>
              <w:rPr>
                <w:sz w:val="22"/>
                <w:lang w:val="es-UY" w:eastAsia="en-US"/>
              </w:rPr>
              <w:t xml:space="preserve"> </w:t>
            </w:r>
            <w:proofErr w:type="spellStart"/>
            <w:r>
              <w:rPr>
                <w:sz w:val="22"/>
                <w:lang w:val="es-UY" w:eastAsia="en-US"/>
              </w:rPr>
              <w:t>all</w:t>
            </w:r>
            <w:proofErr w:type="spellEnd"/>
            <w:r>
              <w:rPr>
                <w:sz w:val="22"/>
                <w:lang w:val="es-UY" w:eastAsia="en-US"/>
              </w:rPr>
              <w:t xml:space="preserve"> </w:t>
            </w:r>
            <w:proofErr w:type="spellStart"/>
            <w:r>
              <w:rPr>
                <w:sz w:val="22"/>
                <w:lang w:val="es-UY" w:eastAsia="en-US"/>
              </w:rPr>
              <w:t>activities</w:t>
            </w:r>
            <w:proofErr w:type="spellEnd"/>
            <w:r>
              <w:rPr>
                <w:sz w:val="22"/>
                <w:lang w:val="es-UY" w:eastAsia="en-US"/>
              </w:rPr>
              <w:t>.</w:t>
            </w:r>
          </w:p>
          <w:p w14:paraId="1B6EB56C" w14:textId="77777777" w:rsidR="00E255F4" w:rsidRDefault="00000000">
            <w:pPr>
              <w:pStyle w:val="Prrafodelista"/>
              <w:numPr>
                <w:ilvl w:val="0"/>
                <w:numId w:val="33"/>
              </w:numPr>
              <w:spacing w:after="120"/>
              <w:rPr>
                <w:sz w:val="22"/>
                <w:lang w:val="es-UY" w:eastAsia="en-US"/>
              </w:rPr>
            </w:pPr>
            <w:proofErr w:type="spellStart"/>
            <w:r>
              <w:rPr>
                <w:sz w:val="22"/>
                <w:lang w:val="es-UY" w:eastAsia="en-US"/>
              </w:rPr>
              <w:lastRenderedPageBreak/>
              <w:t>All</w:t>
            </w:r>
            <w:proofErr w:type="spellEnd"/>
            <w:r>
              <w:rPr>
                <w:sz w:val="22"/>
                <w:lang w:val="es-UY" w:eastAsia="en-US"/>
              </w:rPr>
              <w:t xml:space="preserve"> </w:t>
            </w:r>
            <w:proofErr w:type="spellStart"/>
            <w:r>
              <w:rPr>
                <w:sz w:val="22"/>
                <w:lang w:val="es-UY" w:eastAsia="en-US"/>
              </w:rPr>
              <w:t>graphics</w:t>
            </w:r>
            <w:proofErr w:type="spellEnd"/>
            <w:r>
              <w:rPr>
                <w:sz w:val="22"/>
                <w:lang w:val="es-UY" w:eastAsia="en-US"/>
              </w:rPr>
              <w:t xml:space="preserve"> (</w:t>
            </w:r>
            <w:proofErr w:type="spellStart"/>
            <w:r>
              <w:rPr>
                <w:sz w:val="22"/>
                <w:lang w:val="es-UY" w:eastAsia="en-US"/>
              </w:rPr>
              <w:t>e.g</w:t>
            </w:r>
            <w:proofErr w:type="spellEnd"/>
            <w:r>
              <w:rPr>
                <w:sz w:val="22"/>
                <w:lang w:val="es-UY" w:eastAsia="en-US"/>
              </w:rPr>
              <w:t xml:space="preserve">., Gantt chart </w:t>
            </w:r>
            <w:proofErr w:type="spellStart"/>
            <w:r>
              <w:rPr>
                <w:sz w:val="22"/>
                <w:lang w:val="es-UY" w:eastAsia="en-US"/>
              </w:rPr>
              <w:t>or</w:t>
            </w:r>
            <w:proofErr w:type="spellEnd"/>
            <w:r>
              <w:rPr>
                <w:sz w:val="22"/>
                <w:lang w:val="es-UY" w:eastAsia="en-US"/>
              </w:rPr>
              <w:t xml:space="preserve"> </w:t>
            </w:r>
            <w:proofErr w:type="spellStart"/>
            <w:r>
              <w:rPr>
                <w:sz w:val="22"/>
                <w:lang w:val="es-UY" w:eastAsia="en-US"/>
              </w:rPr>
              <w:t>other</w:t>
            </w:r>
            <w:proofErr w:type="spellEnd"/>
            <w:r>
              <w:rPr>
                <w:sz w:val="22"/>
                <w:lang w:val="es-UY" w:eastAsia="en-US"/>
              </w:rPr>
              <w:t xml:space="preserve">) and </w:t>
            </w:r>
            <w:proofErr w:type="spellStart"/>
            <w:r>
              <w:rPr>
                <w:sz w:val="22"/>
                <w:lang w:val="es-UY" w:eastAsia="en-US"/>
              </w:rPr>
              <w:t>comments</w:t>
            </w:r>
            <w:proofErr w:type="spellEnd"/>
            <w:r>
              <w:rPr>
                <w:sz w:val="22"/>
                <w:lang w:val="es-UY" w:eastAsia="en-US"/>
              </w:rPr>
              <w:t xml:space="preserve"> </w:t>
            </w:r>
            <w:proofErr w:type="spellStart"/>
            <w:r>
              <w:rPr>
                <w:sz w:val="22"/>
                <w:lang w:val="es-UY" w:eastAsia="en-US"/>
              </w:rPr>
              <w:t>necessary</w:t>
            </w:r>
            <w:proofErr w:type="spellEnd"/>
            <w:r>
              <w:rPr>
                <w:sz w:val="22"/>
                <w:lang w:val="es-UY" w:eastAsia="en-US"/>
              </w:rPr>
              <w:t xml:space="preserve"> </w:t>
            </w:r>
            <w:proofErr w:type="spellStart"/>
            <w:r>
              <w:rPr>
                <w:sz w:val="22"/>
                <w:lang w:val="es-UY" w:eastAsia="en-US"/>
              </w:rPr>
              <w:t>for</w:t>
            </w:r>
            <w:proofErr w:type="spellEnd"/>
            <w:r>
              <w:rPr>
                <w:sz w:val="22"/>
                <w:lang w:val="es-UY" w:eastAsia="en-US"/>
              </w:rPr>
              <w:t xml:space="preserve"> </w:t>
            </w:r>
            <w:proofErr w:type="spellStart"/>
            <w:r>
              <w:rPr>
                <w:sz w:val="22"/>
                <w:lang w:val="es-UY" w:eastAsia="en-US"/>
              </w:rPr>
              <w:t>its</w:t>
            </w:r>
            <w:proofErr w:type="spellEnd"/>
            <w:r>
              <w:rPr>
                <w:sz w:val="22"/>
                <w:lang w:val="es-UY" w:eastAsia="en-US"/>
              </w:rPr>
              <w:t xml:space="preserve"> </w:t>
            </w:r>
            <w:proofErr w:type="spellStart"/>
            <w:r>
              <w:rPr>
                <w:sz w:val="22"/>
                <w:lang w:val="es-UY" w:eastAsia="en-US"/>
              </w:rPr>
              <w:t>correct</w:t>
            </w:r>
            <w:proofErr w:type="spellEnd"/>
            <w:r>
              <w:rPr>
                <w:sz w:val="22"/>
                <w:lang w:val="es-UY" w:eastAsia="en-US"/>
              </w:rPr>
              <w:t xml:space="preserve"> </w:t>
            </w:r>
            <w:proofErr w:type="spellStart"/>
            <w:r>
              <w:rPr>
                <w:sz w:val="22"/>
                <w:lang w:val="es-UY" w:eastAsia="en-US"/>
              </w:rPr>
              <w:t>understanding</w:t>
            </w:r>
            <w:proofErr w:type="spellEnd"/>
            <w:r>
              <w:rPr>
                <w:sz w:val="22"/>
                <w:lang w:val="es-UY" w:eastAsia="en-US"/>
              </w:rPr>
              <w:t>.</w:t>
            </w:r>
          </w:p>
        </w:tc>
      </w:tr>
      <w:tr w:rsidR="00E255F4" w14:paraId="14A2024E" w14:textId="77777777">
        <w:tc>
          <w:tcPr>
            <w:tcW w:w="730" w:type="dxa"/>
            <w:tcBorders>
              <w:top w:val="single" w:sz="4" w:space="0" w:color="000000"/>
              <w:left w:val="single" w:sz="4" w:space="0" w:color="000000"/>
              <w:bottom w:val="single" w:sz="4" w:space="0" w:color="000000"/>
              <w:right w:val="single" w:sz="4" w:space="0" w:color="000000"/>
            </w:tcBorders>
          </w:tcPr>
          <w:p w14:paraId="1370D8BC" w14:textId="77777777" w:rsidR="00E255F4" w:rsidRDefault="00000000">
            <w:pPr>
              <w:ind w:right="-36"/>
              <w:jc w:val="both"/>
            </w:pPr>
            <w:r>
              <w:rPr>
                <w:rFonts w:eastAsia="Palatino Linotype"/>
                <w:b/>
                <w:sz w:val="22"/>
                <w:szCs w:val="22"/>
                <w:lang w:val="es-ES"/>
              </w:rPr>
              <w:lastRenderedPageBreak/>
              <w:t>9.2</w:t>
            </w:r>
            <w:r>
              <w:rPr>
                <w:rFonts w:eastAsia="Palatino Linotype"/>
                <w:b/>
                <w:spacing w:val="-1"/>
                <w:position w:val="1"/>
                <w:sz w:val="22"/>
                <w:szCs w:val="24"/>
                <w:lang w:val="es-ES"/>
              </w:rPr>
              <w:t xml:space="preserve"> </w:t>
            </w:r>
          </w:p>
        </w:tc>
        <w:tc>
          <w:tcPr>
            <w:tcW w:w="9048" w:type="dxa"/>
            <w:tcBorders>
              <w:top w:val="single" w:sz="4" w:space="0" w:color="000000"/>
              <w:left w:val="single" w:sz="4" w:space="0" w:color="000000"/>
              <w:bottom w:val="single" w:sz="4" w:space="0" w:color="000000"/>
              <w:right w:val="single" w:sz="4" w:space="0" w:color="000000"/>
            </w:tcBorders>
          </w:tcPr>
          <w:p w14:paraId="6B375B11" w14:textId="77777777" w:rsidR="00E255F4" w:rsidRDefault="00000000">
            <w:pPr>
              <w:pStyle w:val="Prrafodelista"/>
              <w:ind w:left="0"/>
              <w:jc w:val="both"/>
              <w:rPr>
                <w:rFonts w:eastAsia="Palatino Linotype"/>
                <w:b/>
                <w:bCs/>
                <w:color w:val="000000"/>
                <w:spacing w:val="-1"/>
                <w:kern w:val="2"/>
                <w:sz w:val="22"/>
                <w:szCs w:val="22"/>
                <w:lang w:val="es-ES" w:eastAsia="en-US"/>
              </w:rPr>
            </w:pPr>
            <w:proofErr w:type="spellStart"/>
            <w:r>
              <w:rPr>
                <w:rFonts w:eastAsia="Palatino Linotype"/>
                <w:b/>
                <w:bCs/>
                <w:color w:val="000000"/>
                <w:spacing w:val="-1"/>
                <w:kern w:val="2"/>
                <w:sz w:val="22"/>
                <w:szCs w:val="22"/>
                <w:lang w:val="es-ES" w:eastAsia="en-US"/>
              </w:rPr>
              <w:t>Requirements</w:t>
            </w:r>
            <w:proofErr w:type="spellEnd"/>
            <w:r>
              <w:rPr>
                <w:rFonts w:eastAsia="Palatino Linotype"/>
                <w:b/>
                <w:bCs/>
                <w:color w:val="000000"/>
                <w:spacing w:val="-1"/>
                <w:kern w:val="2"/>
                <w:sz w:val="22"/>
                <w:szCs w:val="22"/>
                <w:lang w:val="es-ES" w:eastAsia="en-US"/>
              </w:rPr>
              <w:t xml:space="preserve"> prior </w:t>
            </w:r>
            <w:proofErr w:type="spellStart"/>
            <w:r>
              <w:rPr>
                <w:rFonts w:eastAsia="Palatino Linotype"/>
                <w:b/>
                <w:bCs/>
                <w:color w:val="000000"/>
                <w:spacing w:val="-1"/>
                <w:kern w:val="2"/>
                <w:sz w:val="22"/>
                <w:szCs w:val="22"/>
                <w:lang w:val="es-ES" w:eastAsia="en-US"/>
              </w:rPr>
              <w:t>to</w:t>
            </w:r>
            <w:proofErr w:type="spellEnd"/>
            <w:r>
              <w:rPr>
                <w:rFonts w:eastAsia="Palatino Linotype"/>
                <w:b/>
                <w:bCs/>
                <w:color w:val="000000"/>
                <w:spacing w:val="-1"/>
                <w:kern w:val="2"/>
                <w:sz w:val="22"/>
                <w:szCs w:val="22"/>
                <w:lang w:val="es-ES" w:eastAsia="en-US"/>
              </w:rPr>
              <w:t xml:space="preserve"> </w:t>
            </w:r>
            <w:proofErr w:type="spellStart"/>
            <w:r>
              <w:rPr>
                <w:rFonts w:eastAsia="Palatino Linotype"/>
                <w:b/>
                <w:bCs/>
                <w:color w:val="000000"/>
                <w:spacing w:val="-1"/>
                <w:kern w:val="2"/>
                <w:sz w:val="22"/>
                <w:szCs w:val="22"/>
                <w:lang w:val="es-ES" w:eastAsia="en-US"/>
              </w:rPr>
              <w:t>submitting</w:t>
            </w:r>
            <w:proofErr w:type="spellEnd"/>
            <w:r>
              <w:rPr>
                <w:rFonts w:eastAsia="Palatino Linotype"/>
                <w:b/>
                <w:bCs/>
                <w:color w:val="000000"/>
                <w:spacing w:val="-1"/>
                <w:kern w:val="2"/>
                <w:sz w:val="22"/>
                <w:szCs w:val="22"/>
                <w:lang w:val="es-ES" w:eastAsia="en-US"/>
              </w:rPr>
              <w:t xml:space="preserve"> </w:t>
            </w:r>
            <w:proofErr w:type="spellStart"/>
            <w:r>
              <w:rPr>
                <w:rFonts w:eastAsia="Palatino Linotype"/>
                <w:b/>
                <w:bCs/>
                <w:color w:val="000000"/>
                <w:spacing w:val="-1"/>
                <w:kern w:val="2"/>
                <w:sz w:val="22"/>
                <w:szCs w:val="22"/>
                <w:lang w:val="es-ES" w:eastAsia="en-US"/>
              </w:rPr>
              <w:t>the</w:t>
            </w:r>
            <w:proofErr w:type="spellEnd"/>
            <w:r>
              <w:rPr>
                <w:rFonts w:eastAsia="Palatino Linotype"/>
                <w:b/>
                <w:bCs/>
                <w:color w:val="000000"/>
                <w:spacing w:val="-1"/>
                <w:kern w:val="2"/>
                <w:sz w:val="22"/>
                <w:szCs w:val="22"/>
                <w:lang w:val="es-ES" w:eastAsia="en-US"/>
              </w:rPr>
              <w:t xml:space="preserve"> </w:t>
            </w:r>
            <w:proofErr w:type="spellStart"/>
            <w:r>
              <w:rPr>
                <w:rFonts w:eastAsia="Palatino Linotype"/>
                <w:b/>
                <w:bCs/>
                <w:color w:val="000000"/>
                <w:spacing w:val="-1"/>
                <w:kern w:val="2"/>
                <w:sz w:val="22"/>
                <w:szCs w:val="22"/>
                <w:lang w:val="es-ES" w:eastAsia="en-US"/>
              </w:rPr>
              <w:t>offer</w:t>
            </w:r>
            <w:proofErr w:type="spellEnd"/>
          </w:p>
          <w:p w14:paraId="45AD9E6A" w14:textId="77777777" w:rsidR="00E255F4" w:rsidRDefault="00000000">
            <w:pPr>
              <w:tabs>
                <w:tab w:val="left" w:pos="-1800"/>
                <w:tab w:val="left" w:pos="-720"/>
                <w:tab w:val="left" w:pos="426"/>
              </w:tabs>
              <w:jc w:val="both"/>
              <w:rPr>
                <w:rFonts w:eastAsia="Palatino Linotype"/>
                <w:spacing w:val="-1"/>
                <w:position w:val="1"/>
                <w:sz w:val="22"/>
                <w:szCs w:val="22"/>
                <w:lang w:val="es-ES"/>
              </w:rPr>
            </w:pPr>
            <w:proofErr w:type="spellStart"/>
            <w:r>
              <w:rPr>
                <w:rFonts w:eastAsia="Palatino Linotype"/>
                <w:spacing w:val="-1"/>
                <w:position w:val="1"/>
                <w:sz w:val="22"/>
                <w:szCs w:val="22"/>
                <w:lang w:val="es-ES"/>
              </w:rPr>
              <w:t>It</w:t>
            </w:r>
            <w:proofErr w:type="spellEnd"/>
            <w:r>
              <w:rPr>
                <w:rFonts w:eastAsia="Palatino Linotype"/>
                <w:spacing w:val="-1"/>
                <w:position w:val="1"/>
                <w:sz w:val="22"/>
                <w:szCs w:val="22"/>
                <w:lang w:val="es-ES"/>
              </w:rPr>
              <w:t xml:space="preserve"> </w:t>
            </w:r>
            <w:proofErr w:type="spellStart"/>
            <w:r>
              <w:rPr>
                <w:rFonts w:eastAsia="Palatino Linotype"/>
                <w:spacing w:val="-1"/>
                <w:position w:val="1"/>
                <w:sz w:val="22"/>
                <w:szCs w:val="22"/>
                <w:lang w:val="es-ES"/>
              </w:rPr>
              <w:t>is</w:t>
            </w:r>
            <w:proofErr w:type="spellEnd"/>
            <w:r>
              <w:rPr>
                <w:rFonts w:eastAsia="Palatino Linotype"/>
                <w:spacing w:val="-1"/>
                <w:position w:val="1"/>
                <w:sz w:val="22"/>
                <w:szCs w:val="22"/>
                <w:lang w:val="es-ES"/>
              </w:rPr>
              <w:t xml:space="preserve"> </w:t>
            </w:r>
            <w:proofErr w:type="spellStart"/>
            <w:r>
              <w:rPr>
                <w:rFonts w:eastAsia="Palatino Linotype"/>
                <w:spacing w:val="-1"/>
                <w:position w:val="1"/>
                <w:sz w:val="22"/>
                <w:szCs w:val="22"/>
                <w:lang w:val="es-ES"/>
              </w:rPr>
              <w:t>added</w:t>
            </w:r>
            <w:proofErr w:type="spellEnd"/>
            <w:r>
              <w:rPr>
                <w:rFonts w:eastAsia="Palatino Linotype"/>
                <w:spacing w:val="-1"/>
                <w:position w:val="1"/>
                <w:sz w:val="22"/>
                <w:szCs w:val="22"/>
                <w:lang w:val="es-ES"/>
              </w:rPr>
              <w:t>:</w:t>
            </w:r>
          </w:p>
          <w:p w14:paraId="30A314B6" w14:textId="77777777" w:rsidR="00E255F4" w:rsidRDefault="00E255F4">
            <w:pPr>
              <w:tabs>
                <w:tab w:val="left" w:pos="-1800"/>
                <w:tab w:val="left" w:pos="-720"/>
                <w:tab w:val="left" w:pos="426"/>
              </w:tabs>
              <w:jc w:val="both"/>
              <w:rPr>
                <w:rFonts w:eastAsia="Palatino Linotype"/>
                <w:spacing w:val="-1"/>
                <w:position w:val="1"/>
                <w:sz w:val="22"/>
                <w:szCs w:val="22"/>
                <w:lang w:val="es-ES"/>
              </w:rPr>
            </w:pPr>
          </w:p>
          <w:p w14:paraId="7B5E598A" w14:textId="77777777" w:rsidR="00E255F4" w:rsidRDefault="00000000">
            <w:pPr>
              <w:tabs>
                <w:tab w:val="left" w:pos="-1800"/>
                <w:tab w:val="left" w:pos="-720"/>
                <w:tab w:val="left" w:pos="426"/>
              </w:tabs>
              <w:ind w:right="176"/>
              <w:jc w:val="both"/>
              <w:rPr>
                <w:spacing w:val="-1"/>
                <w:position w:val="1"/>
                <w:sz w:val="22"/>
                <w:szCs w:val="22"/>
                <w:lang w:val="es-ES"/>
              </w:rPr>
            </w:pPr>
            <w:proofErr w:type="spellStart"/>
            <w:r>
              <w:rPr>
                <w:spacing w:val="-1"/>
                <w:position w:val="1"/>
                <w:sz w:val="22"/>
                <w:szCs w:val="22"/>
                <w:lang w:val="es-ES"/>
              </w:rPr>
              <w:t>To</w:t>
            </w:r>
            <w:proofErr w:type="spellEnd"/>
            <w:r>
              <w:rPr>
                <w:spacing w:val="-1"/>
                <w:position w:val="1"/>
                <w:sz w:val="22"/>
                <w:szCs w:val="22"/>
                <w:lang w:val="es-ES"/>
              </w:rPr>
              <w:t xml:space="preserve"> </w:t>
            </w:r>
            <w:proofErr w:type="spellStart"/>
            <w:r>
              <w:rPr>
                <w:spacing w:val="-1"/>
                <w:position w:val="1"/>
                <w:sz w:val="22"/>
                <w:szCs w:val="22"/>
                <w:lang w:val="es-ES"/>
              </w:rPr>
              <w:t>submit</w:t>
            </w:r>
            <w:proofErr w:type="spellEnd"/>
            <w:r>
              <w:rPr>
                <w:spacing w:val="-1"/>
                <w:position w:val="1"/>
                <w:sz w:val="22"/>
                <w:szCs w:val="22"/>
                <w:lang w:val="es-ES"/>
              </w:rPr>
              <w:t xml:space="preserve"> a </w:t>
            </w:r>
            <w:proofErr w:type="spellStart"/>
            <w:r>
              <w:rPr>
                <w:spacing w:val="-1"/>
                <w:position w:val="1"/>
                <w:sz w:val="22"/>
                <w:szCs w:val="22"/>
                <w:lang w:val="es-ES"/>
              </w:rPr>
              <w:t>proposal</w:t>
            </w:r>
            <w:proofErr w:type="spellEnd"/>
            <w:r>
              <w:rPr>
                <w:spacing w:val="-1"/>
                <w:position w:val="1"/>
                <w:sz w:val="22"/>
                <w:szCs w:val="22"/>
                <w:lang w:val="es-ES"/>
              </w:rPr>
              <w:t xml:space="preserve">, </w:t>
            </w:r>
            <w:proofErr w:type="spellStart"/>
            <w:r>
              <w:rPr>
                <w:spacing w:val="-1"/>
                <w:position w:val="1"/>
                <w:sz w:val="22"/>
                <w:szCs w:val="22"/>
                <w:lang w:val="es-ES"/>
              </w:rPr>
              <w:t>bidders</w:t>
            </w:r>
            <w:proofErr w:type="spellEnd"/>
            <w:r>
              <w:rPr>
                <w:spacing w:val="-1"/>
                <w:position w:val="1"/>
                <w:sz w:val="22"/>
                <w:szCs w:val="22"/>
                <w:lang w:val="es-ES"/>
              </w:rPr>
              <w:t xml:space="preserve"> </w:t>
            </w:r>
            <w:proofErr w:type="spellStart"/>
            <w:r>
              <w:rPr>
                <w:spacing w:val="-1"/>
                <w:position w:val="1"/>
                <w:sz w:val="22"/>
                <w:szCs w:val="22"/>
                <w:lang w:val="es-ES"/>
              </w:rPr>
              <w:t>must</w:t>
            </w:r>
            <w:proofErr w:type="spellEnd"/>
            <w:r>
              <w:rPr>
                <w:spacing w:val="-1"/>
                <w:position w:val="1"/>
                <w:sz w:val="22"/>
                <w:szCs w:val="22"/>
                <w:lang w:val="es-ES"/>
              </w:rPr>
              <w:t>:</w:t>
            </w:r>
          </w:p>
          <w:p w14:paraId="6D9DF1A6" w14:textId="77777777" w:rsidR="00E255F4" w:rsidRDefault="00E255F4">
            <w:pPr>
              <w:tabs>
                <w:tab w:val="left" w:pos="-1800"/>
                <w:tab w:val="left" w:pos="-720"/>
                <w:tab w:val="left" w:pos="426"/>
              </w:tabs>
              <w:ind w:right="176"/>
              <w:jc w:val="both"/>
              <w:rPr>
                <w:spacing w:val="-1"/>
                <w:position w:val="1"/>
                <w:sz w:val="22"/>
                <w:szCs w:val="22"/>
                <w:lang w:val="es-ES"/>
              </w:rPr>
            </w:pPr>
          </w:p>
          <w:p w14:paraId="5F4C6A82" w14:textId="77777777" w:rsidR="00E255F4" w:rsidRDefault="00000000">
            <w:pPr>
              <w:pStyle w:val="Prrafodelista"/>
              <w:numPr>
                <w:ilvl w:val="0"/>
                <w:numId w:val="48"/>
              </w:numPr>
              <w:tabs>
                <w:tab w:val="clear" w:pos="0"/>
                <w:tab w:val="left" w:pos="-1800"/>
                <w:tab w:val="left" w:pos="-720"/>
                <w:tab w:val="left" w:pos="-1"/>
              </w:tabs>
              <w:jc w:val="both"/>
              <w:rPr>
                <w:sz w:val="22"/>
                <w:szCs w:val="22"/>
                <w:lang w:val="es-ES"/>
              </w:rPr>
            </w:pPr>
            <w:proofErr w:type="spellStart"/>
            <w:r>
              <w:rPr>
                <w:spacing w:val="-1"/>
                <w:position w:val="1"/>
                <w:sz w:val="22"/>
                <w:szCs w:val="22"/>
                <w:lang w:val="es-ES"/>
              </w:rPr>
              <w:t>Being</w:t>
            </w:r>
            <w:proofErr w:type="spellEnd"/>
            <w:r>
              <w:rPr>
                <w:spacing w:val="-1"/>
                <w:position w:val="1"/>
                <w:sz w:val="22"/>
                <w:szCs w:val="22"/>
                <w:lang w:val="es-ES"/>
              </w:rPr>
              <w:t xml:space="preserve"> </w:t>
            </w:r>
            <w:proofErr w:type="spellStart"/>
            <w:r>
              <w:rPr>
                <w:spacing w:val="-1"/>
                <w:position w:val="1"/>
                <w:sz w:val="22"/>
                <w:szCs w:val="22"/>
                <w:lang w:val="es-ES"/>
              </w:rPr>
              <w:t>registered</w:t>
            </w:r>
            <w:proofErr w:type="spellEnd"/>
            <w:r>
              <w:rPr>
                <w:spacing w:val="-1"/>
                <w:position w:val="1"/>
                <w:sz w:val="22"/>
                <w:szCs w:val="22"/>
                <w:lang w:val="es-ES"/>
              </w:rPr>
              <w:t xml:space="preserve"> in </w:t>
            </w:r>
            <w:proofErr w:type="spellStart"/>
            <w:r>
              <w:rPr>
                <w:spacing w:val="-1"/>
                <w:position w:val="1"/>
                <w:sz w:val="22"/>
                <w:szCs w:val="22"/>
                <w:lang w:val="es-ES"/>
              </w:rPr>
              <w:t>the</w:t>
            </w:r>
            <w:proofErr w:type="spellEnd"/>
            <w:r>
              <w:rPr>
                <w:spacing w:val="-1"/>
                <w:position w:val="1"/>
                <w:sz w:val="22"/>
                <w:szCs w:val="22"/>
                <w:lang w:val="es-ES"/>
              </w:rPr>
              <w:t xml:space="preserve"> RUPE (</w:t>
            </w:r>
            <w:proofErr w:type="gramStart"/>
            <w:r>
              <w:rPr>
                <w:spacing w:val="-1"/>
                <w:position w:val="1"/>
                <w:sz w:val="22"/>
                <w:szCs w:val="22"/>
                <w:lang w:val="es-ES"/>
              </w:rPr>
              <w:t>Single</w:t>
            </w:r>
            <w:proofErr w:type="gramEnd"/>
            <w:r>
              <w:rPr>
                <w:spacing w:val="-1"/>
                <w:position w:val="1"/>
                <w:sz w:val="22"/>
                <w:szCs w:val="22"/>
                <w:lang w:val="es-ES"/>
              </w:rPr>
              <w:t xml:space="preserve"> </w:t>
            </w:r>
            <w:proofErr w:type="spellStart"/>
            <w:r>
              <w:rPr>
                <w:spacing w:val="-1"/>
                <w:position w:val="1"/>
                <w:sz w:val="22"/>
                <w:szCs w:val="22"/>
                <w:lang w:val="es-ES"/>
              </w:rPr>
              <w:t>Registry</w:t>
            </w:r>
            <w:proofErr w:type="spellEnd"/>
            <w:r>
              <w:rPr>
                <w:spacing w:val="-1"/>
                <w:position w:val="1"/>
                <w:sz w:val="22"/>
                <w:szCs w:val="22"/>
                <w:lang w:val="es-ES"/>
              </w:rPr>
              <w:t xml:space="preserve"> </w:t>
            </w:r>
            <w:proofErr w:type="spellStart"/>
            <w:r>
              <w:rPr>
                <w:spacing w:val="-1"/>
                <w:position w:val="1"/>
                <w:sz w:val="22"/>
                <w:szCs w:val="22"/>
                <w:lang w:val="es-ES"/>
              </w:rPr>
              <w:t>of</w:t>
            </w:r>
            <w:proofErr w:type="spellEnd"/>
            <w:r>
              <w:rPr>
                <w:spacing w:val="-1"/>
                <w:position w:val="1"/>
                <w:sz w:val="22"/>
                <w:szCs w:val="22"/>
                <w:lang w:val="es-ES"/>
              </w:rPr>
              <w:t xml:space="preserve"> State </w:t>
            </w:r>
            <w:proofErr w:type="spellStart"/>
            <w:r>
              <w:rPr>
                <w:spacing w:val="-1"/>
                <w:position w:val="1"/>
                <w:sz w:val="22"/>
                <w:szCs w:val="22"/>
                <w:lang w:val="es-ES"/>
              </w:rPr>
              <w:t>Suppliers</w:t>
            </w:r>
            <w:proofErr w:type="spellEnd"/>
            <w:r>
              <w:rPr>
                <w:spacing w:val="-1"/>
                <w:position w:val="1"/>
                <w:sz w:val="22"/>
                <w:szCs w:val="22"/>
                <w:lang w:val="es-ES"/>
              </w:rPr>
              <w:t xml:space="preserve">, Executive Decree No. 155/13), </w:t>
            </w:r>
            <w:proofErr w:type="spellStart"/>
            <w:r>
              <w:rPr>
                <w:spacing w:val="-1"/>
                <w:position w:val="1"/>
                <w:sz w:val="22"/>
                <w:szCs w:val="22"/>
                <w:lang w:val="es-ES"/>
              </w:rPr>
              <w:t>the</w:t>
            </w:r>
            <w:proofErr w:type="spellEnd"/>
            <w:r>
              <w:rPr>
                <w:spacing w:val="-1"/>
                <w:position w:val="1"/>
                <w:sz w:val="22"/>
                <w:szCs w:val="22"/>
                <w:lang w:val="es-ES"/>
              </w:rPr>
              <w:t xml:space="preserve"> </w:t>
            </w:r>
            <w:proofErr w:type="spellStart"/>
            <w:r>
              <w:rPr>
                <w:spacing w:val="-1"/>
                <w:position w:val="1"/>
                <w:sz w:val="22"/>
                <w:szCs w:val="22"/>
                <w:lang w:val="es-ES"/>
              </w:rPr>
              <w:t>admitted</w:t>
            </w:r>
            <w:proofErr w:type="spellEnd"/>
            <w:r>
              <w:rPr>
                <w:spacing w:val="-1"/>
                <w:position w:val="1"/>
                <w:sz w:val="22"/>
                <w:szCs w:val="22"/>
                <w:lang w:val="es-ES"/>
              </w:rPr>
              <w:t xml:space="preserve"> </w:t>
            </w:r>
            <w:proofErr w:type="spellStart"/>
            <w:r>
              <w:rPr>
                <w:spacing w:val="-1"/>
                <w:position w:val="1"/>
                <w:sz w:val="22"/>
                <w:szCs w:val="22"/>
                <w:lang w:val="es-ES"/>
              </w:rPr>
              <w:t>states</w:t>
            </w:r>
            <w:proofErr w:type="spellEnd"/>
            <w:r>
              <w:rPr>
                <w:spacing w:val="-1"/>
                <w:position w:val="1"/>
                <w:sz w:val="22"/>
                <w:szCs w:val="22"/>
                <w:lang w:val="es-ES"/>
              </w:rPr>
              <w:t xml:space="preserve"> </w:t>
            </w:r>
            <w:proofErr w:type="spellStart"/>
            <w:r>
              <w:rPr>
                <w:spacing w:val="-1"/>
                <w:position w:val="1"/>
                <w:sz w:val="22"/>
                <w:szCs w:val="22"/>
                <w:lang w:val="es-ES"/>
              </w:rPr>
              <w:t>of</w:t>
            </w:r>
            <w:proofErr w:type="spellEnd"/>
            <w:r>
              <w:rPr>
                <w:spacing w:val="-1"/>
                <w:position w:val="1"/>
                <w:sz w:val="22"/>
                <w:szCs w:val="22"/>
                <w:lang w:val="es-ES"/>
              </w:rPr>
              <w:t xml:space="preserve"> </w:t>
            </w:r>
            <w:proofErr w:type="spellStart"/>
            <w:r>
              <w:rPr>
                <w:spacing w:val="-1"/>
                <w:position w:val="1"/>
                <w:sz w:val="22"/>
                <w:szCs w:val="22"/>
                <w:lang w:val="es-ES"/>
              </w:rPr>
              <w:t>the</w:t>
            </w:r>
            <w:proofErr w:type="spellEnd"/>
            <w:r>
              <w:rPr>
                <w:spacing w:val="-1"/>
                <w:position w:val="1"/>
                <w:sz w:val="22"/>
                <w:szCs w:val="22"/>
                <w:lang w:val="es-ES"/>
              </w:rPr>
              <w:t xml:space="preserve"> </w:t>
            </w:r>
            <w:proofErr w:type="spellStart"/>
            <w:r>
              <w:rPr>
                <w:spacing w:val="-1"/>
                <w:position w:val="1"/>
                <w:sz w:val="22"/>
                <w:szCs w:val="22"/>
                <w:lang w:val="es-ES"/>
              </w:rPr>
              <w:t>registration</w:t>
            </w:r>
            <w:proofErr w:type="spellEnd"/>
            <w:r>
              <w:rPr>
                <w:spacing w:val="-1"/>
                <w:position w:val="1"/>
                <w:sz w:val="22"/>
                <w:szCs w:val="22"/>
                <w:lang w:val="es-ES"/>
              </w:rPr>
              <w:t xml:space="preserve"> </w:t>
            </w:r>
            <w:proofErr w:type="spellStart"/>
            <w:r>
              <w:rPr>
                <w:spacing w:val="-1"/>
                <w:position w:val="1"/>
                <w:sz w:val="22"/>
                <w:szCs w:val="22"/>
                <w:lang w:val="es-ES"/>
              </w:rPr>
              <w:t>process</w:t>
            </w:r>
            <w:proofErr w:type="spellEnd"/>
            <w:r>
              <w:rPr>
                <w:spacing w:val="-1"/>
                <w:position w:val="1"/>
                <w:sz w:val="22"/>
                <w:szCs w:val="22"/>
                <w:lang w:val="es-ES"/>
              </w:rPr>
              <w:t xml:space="preserve"> </w:t>
            </w:r>
            <w:proofErr w:type="spellStart"/>
            <w:r>
              <w:rPr>
                <w:spacing w:val="-1"/>
                <w:position w:val="1"/>
                <w:sz w:val="22"/>
                <w:szCs w:val="22"/>
                <w:lang w:val="es-ES"/>
              </w:rPr>
              <w:t>being</w:t>
            </w:r>
            <w:proofErr w:type="spellEnd"/>
            <w:r>
              <w:rPr>
                <w:spacing w:val="-1"/>
                <w:position w:val="1"/>
                <w:sz w:val="22"/>
                <w:szCs w:val="22"/>
                <w:lang w:val="es-ES"/>
              </w:rPr>
              <w:t xml:space="preserve"> </w:t>
            </w:r>
            <w:proofErr w:type="spellStart"/>
            <w:r>
              <w:rPr>
                <w:spacing w:val="-1"/>
                <w:position w:val="1"/>
                <w:sz w:val="22"/>
                <w:szCs w:val="22"/>
                <w:lang w:val="es-ES"/>
              </w:rPr>
              <w:t>the</w:t>
            </w:r>
            <w:proofErr w:type="spellEnd"/>
            <w:r>
              <w:rPr>
                <w:spacing w:val="-1"/>
                <w:position w:val="1"/>
                <w:sz w:val="22"/>
                <w:szCs w:val="22"/>
                <w:lang w:val="es-ES"/>
              </w:rPr>
              <w:t xml:space="preserve"> </w:t>
            </w:r>
            <w:proofErr w:type="spellStart"/>
            <w:r>
              <w:rPr>
                <w:spacing w:val="-1"/>
                <w:position w:val="1"/>
                <w:sz w:val="22"/>
                <w:szCs w:val="22"/>
                <w:lang w:val="es-ES"/>
              </w:rPr>
              <w:t>following</w:t>
            </w:r>
            <w:proofErr w:type="spellEnd"/>
            <w:r>
              <w:rPr>
                <w:spacing w:val="-1"/>
                <w:position w:val="1"/>
                <w:sz w:val="22"/>
                <w:szCs w:val="22"/>
                <w:lang w:val="es-ES"/>
              </w:rPr>
              <w:t xml:space="preserve">: “IN ENTRY” </w:t>
            </w:r>
            <w:proofErr w:type="spellStart"/>
            <w:r>
              <w:rPr>
                <w:spacing w:val="-1"/>
                <w:position w:val="1"/>
                <w:sz w:val="22"/>
                <w:szCs w:val="22"/>
                <w:lang w:val="es-ES"/>
              </w:rPr>
              <w:t>or</w:t>
            </w:r>
            <w:proofErr w:type="spellEnd"/>
            <w:r>
              <w:rPr>
                <w:spacing w:val="-1"/>
                <w:position w:val="1"/>
                <w:sz w:val="22"/>
                <w:szCs w:val="22"/>
                <w:lang w:val="es-ES"/>
              </w:rPr>
              <w:t xml:space="preserve"> “ACTIVE”.</w:t>
            </w:r>
          </w:p>
          <w:p w14:paraId="119EEB26" w14:textId="77777777" w:rsidR="00E255F4" w:rsidRDefault="00E255F4">
            <w:pPr>
              <w:pStyle w:val="Prrafodelista"/>
              <w:tabs>
                <w:tab w:val="left" w:pos="-1800"/>
                <w:tab w:val="left" w:pos="-720"/>
                <w:tab w:val="left" w:pos="-1"/>
              </w:tabs>
              <w:jc w:val="both"/>
              <w:rPr>
                <w:sz w:val="22"/>
                <w:szCs w:val="22"/>
                <w:lang w:val="es-ES"/>
              </w:rPr>
            </w:pPr>
          </w:p>
          <w:p w14:paraId="18AFD631" w14:textId="77777777" w:rsidR="00E255F4" w:rsidRDefault="00000000">
            <w:pPr>
              <w:pStyle w:val="Prrafodelista"/>
              <w:numPr>
                <w:ilvl w:val="0"/>
                <w:numId w:val="48"/>
              </w:numPr>
              <w:tabs>
                <w:tab w:val="left" w:pos="-1800"/>
                <w:tab w:val="left" w:pos="-720"/>
                <w:tab w:val="left" w:pos="513"/>
              </w:tabs>
              <w:jc w:val="both"/>
              <w:rPr>
                <w:rFonts w:eastAsia="Palatino Linotype"/>
                <w:spacing w:val="-1"/>
                <w:position w:val="1"/>
                <w:sz w:val="22"/>
                <w:szCs w:val="22"/>
                <w:lang w:val="es-ES"/>
              </w:rPr>
            </w:pPr>
            <w:r>
              <w:rPr>
                <w:rFonts w:eastAsia="Palatino Linotype"/>
                <w:spacing w:val="-1"/>
                <w:position w:val="1"/>
                <w:sz w:val="22"/>
                <w:szCs w:val="22"/>
                <w:lang w:val="es-ES"/>
              </w:rPr>
              <w:t xml:space="preserve">The </w:t>
            </w:r>
            <w:proofErr w:type="spellStart"/>
            <w:r>
              <w:rPr>
                <w:rFonts w:eastAsia="Palatino Linotype"/>
                <w:spacing w:val="-1"/>
                <w:position w:val="1"/>
                <w:sz w:val="22"/>
                <w:szCs w:val="22"/>
                <w:lang w:val="es-ES"/>
              </w:rPr>
              <w:t>signatory</w:t>
            </w:r>
            <w:proofErr w:type="spellEnd"/>
            <w:r>
              <w:rPr>
                <w:rFonts w:eastAsia="Palatino Linotype"/>
                <w:spacing w:val="-1"/>
                <w:position w:val="1"/>
                <w:sz w:val="22"/>
                <w:szCs w:val="22"/>
                <w:lang w:val="es-ES"/>
              </w:rPr>
              <w:t xml:space="preserve"> </w:t>
            </w:r>
            <w:proofErr w:type="spellStart"/>
            <w:r>
              <w:rPr>
                <w:rFonts w:eastAsia="Palatino Linotype"/>
                <w:spacing w:val="-1"/>
                <w:position w:val="1"/>
                <w:sz w:val="22"/>
                <w:szCs w:val="22"/>
                <w:lang w:val="es-ES"/>
              </w:rPr>
              <w:t>of</w:t>
            </w:r>
            <w:proofErr w:type="spellEnd"/>
            <w:r>
              <w:rPr>
                <w:rFonts w:eastAsia="Palatino Linotype"/>
                <w:spacing w:val="-1"/>
                <w:position w:val="1"/>
                <w:sz w:val="22"/>
                <w:szCs w:val="22"/>
                <w:lang w:val="es-ES"/>
              </w:rPr>
              <w:t xml:space="preserve"> </w:t>
            </w:r>
            <w:proofErr w:type="spellStart"/>
            <w:r>
              <w:rPr>
                <w:rFonts w:eastAsia="Palatino Linotype"/>
                <w:spacing w:val="-1"/>
                <w:position w:val="1"/>
                <w:sz w:val="22"/>
                <w:szCs w:val="22"/>
                <w:lang w:val="es-ES"/>
              </w:rPr>
              <w:t>the</w:t>
            </w:r>
            <w:proofErr w:type="spellEnd"/>
            <w:r>
              <w:rPr>
                <w:rFonts w:eastAsia="Palatino Linotype"/>
                <w:spacing w:val="-1"/>
                <w:position w:val="1"/>
                <w:sz w:val="22"/>
                <w:szCs w:val="22"/>
                <w:lang w:val="es-ES"/>
              </w:rPr>
              <w:t xml:space="preserve"> </w:t>
            </w:r>
            <w:proofErr w:type="spellStart"/>
            <w:r>
              <w:rPr>
                <w:rFonts w:eastAsia="Palatino Linotype"/>
                <w:spacing w:val="-1"/>
                <w:position w:val="1"/>
                <w:sz w:val="22"/>
                <w:szCs w:val="22"/>
                <w:lang w:val="es-ES"/>
              </w:rPr>
              <w:t>offer</w:t>
            </w:r>
            <w:proofErr w:type="spellEnd"/>
            <w:r>
              <w:rPr>
                <w:rFonts w:eastAsia="Palatino Linotype"/>
                <w:spacing w:val="-1"/>
                <w:position w:val="1"/>
                <w:sz w:val="22"/>
                <w:szCs w:val="22"/>
                <w:lang w:val="es-ES"/>
              </w:rPr>
              <w:t xml:space="preserve"> </w:t>
            </w:r>
            <w:proofErr w:type="spellStart"/>
            <w:r>
              <w:rPr>
                <w:rFonts w:eastAsia="Palatino Linotype"/>
                <w:spacing w:val="-1"/>
                <w:position w:val="1"/>
                <w:sz w:val="22"/>
                <w:szCs w:val="22"/>
                <w:lang w:val="es-ES"/>
              </w:rPr>
              <w:t>must</w:t>
            </w:r>
            <w:proofErr w:type="spellEnd"/>
            <w:r>
              <w:rPr>
                <w:rFonts w:eastAsia="Palatino Linotype"/>
                <w:spacing w:val="-1"/>
                <w:position w:val="1"/>
                <w:sz w:val="22"/>
                <w:szCs w:val="22"/>
                <w:lang w:val="es-ES"/>
              </w:rPr>
              <w:t xml:space="preserve"> be </w:t>
            </w:r>
            <w:proofErr w:type="spellStart"/>
            <w:r>
              <w:rPr>
                <w:rFonts w:eastAsia="Palatino Linotype"/>
                <w:spacing w:val="-1"/>
                <w:position w:val="1"/>
                <w:sz w:val="22"/>
                <w:szCs w:val="22"/>
                <w:lang w:val="es-ES"/>
              </w:rPr>
              <w:t>registered</w:t>
            </w:r>
            <w:proofErr w:type="spellEnd"/>
            <w:r>
              <w:rPr>
                <w:rFonts w:eastAsia="Palatino Linotype"/>
                <w:spacing w:val="-1"/>
                <w:position w:val="1"/>
                <w:sz w:val="22"/>
                <w:szCs w:val="22"/>
                <w:lang w:val="es-ES"/>
              </w:rPr>
              <w:t xml:space="preserve"> in RUPE and </w:t>
            </w:r>
            <w:proofErr w:type="spellStart"/>
            <w:r>
              <w:rPr>
                <w:rFonts w:eastAsia="Palatino Linotype"/>
                <w:spacing w:val="-1"/>
                <w:position w:val="1"/>
                <w:sz w:val="22"/>
                <w:szCs w:val="22"/>
                <w:lang w:val="es-ES"/>
              </w:rPr>
              <w:t>have</w:t>
            </w:r>
            <w:proofErr w:type="spellEnd"/>
            <w:r>
              <w:rPr>
                <w:rFonts w:eastAsia="Palatino Linotype"/>
                <w:spacing w:val="-1"/>
                <w:position w:val="1"/>
                <w:sz w:val="22"/>
                <w:szCs w:val="22"/>
                <w:lang w:val="es-ES"/>
              </w:rPr>
              <w:t xml:space="preserve"> </w:t>
            </w:r>
            <w:proofErr w:type="spellStart"/>
            <w:r>
              <w:rPr>
                <w:rFonts w:eastAsia="Palatino Linotype"/>
                <w:spacing w:val="-1"/>
                <w:position w:val="1"/>
                <w:sz w:val="22"/>
                <w:szCs w:val="22"/>
                <w:lang w:val="es-ES"/>
              </w:rPr>
              <w:t>sufficient</w:t>
            </w:r>
            <w:proofErr w:type="spellEnd"/>
            <w:r>
              <w:rPr>
                <w:rFonts w:eastAsia="Palatino Linotype"/>
                <w:spacing w:val="-1"/>
                <w:position w:val="1"/>
                <w:sz w:val="22"/>
                <w:szCs w:val="22"/>
                <w:lang w:val="es-ES"/>
              </w:rPr>
              <w:t xml:space="preserve"> </w:t>
            </w:r>
            <w:proofErr w:type="spellStart"/>
            <w:r>
              <w:rPr>
                <w:rFonts w:eastAsia="Palatino Linotype"/>
                <w:spacing w:val="-1"/>
                <w:position w:val="1"/>
                <w:sz w:val="22"/>
                <w:szCs w:val="22"/>
                <w:lang w:val="es-ES"/>
              </w:rPr>
              <w:t>powers</w:t>
            </w:r>
            <w:proofErr w:type="spellEnd"/>
            <w:r>
              <w:rPr>
                <w:rFonts w:eastAsia="Palatino Linotype"/>
                <w:spacing w:val="-1"/>
                <w:position w:val="1"/>
                <w:sz w:val="22"/>
                <w:szCs w:val="22"/>
                <w:lang w:val="es-ES"/>
              </w:rPr>
              <w:t xml:space="preserve"> </w:t>
            </w:r>
            <w:proofErr w:type="spellStart"/>
            <w:r>
              <w:rPr>
                <w:rFonts w:eastAsia="Palatino Linotype"/>
                <w:spacing w:val="-1"/>
                <w:position w:val="1"/>
                <w:sz w:val="22"/>
                <w:szCs w:val="22"/>
                <w:lang w:val="es-ES"/>
              </w:rPr>
              <w:t>to</w:t>
            </w:r>
            <w:proofErr w:type="spellEnd"/>
            <w:r>
              <w:rPr>
                <w:rFonts w:eastAsia="Palatino Linotype"/>
                <w:spacing w:val="-1"/>
                <w:position w:val="1"/>
                <w:sz w:val="22"/>
                <w:szCs w:val="22"/>
                <w:lang w:val="es-ES"/>
              </w:rPr>
              <w:t xml:space="preserve"> do so.</w:t>
            </w:r>
          </w:p>
          <w:p w14:paraId="2CB8D0EC" w14:textId="77777777" w:rsidR="00E255F4" w:rsidRDefault="00E255F4">
            <w:pPr>
              <w:pStyle w:val="Prrafodelista"/>
              <w:rPr>
                <w:rFonts w:eastAsia="Palatino Linotype"/>
                <w:spacing w:val="-1"/>
                <w:position w:val="1"/>
                <w:sz w:val="22"/>
                <w:szCs w:val="22"/>
                <w:lang w:val="es-ES"/>
              </w:rPr>
            </w:pPr>
          </w:p>
          <w:p w14:paraId="4933AD46" w14:textId="77777777" w:rsidR="00E255F4" w:rsidRDefault="00000000">
            <w:pPr>
              <w:pStyle w:val="Prrafodelista"/>
              <w:numPr>
                <w:ilvl w:val="0"/>
                <w:numId w:val="48"/>
              </w:numPr>
              <w:tabs>
                <w:tab w:val="clear" w:pos="0"/>
                <w:tab w:val="left" w:pos="-1800"/>
                <w:tab w:val="left" w:pos="-720"/>
                <w:tab w:val="left" w:pos="-1"/>
              </w:tabs>
              <w:jc w:val="both"/>
              <w:rPr>
                <w:spacing w:val="-1"/>
                <w:position w:val="1"/>
                <w:sz w:val="22"/>
                <w:szCs w:val="22"/>
                <w:lang w:val="es-ES"/>
              </w:rPr>
            </w:pPr>
            <w:r>
              <w:rPr>
                <w:spacing w:val="-1"/>
                <w:position w:val="1"/>
                <w:sz w:val="22"/>
                <w:szCs w:val="22"/>
                <w:lang w:val="es-ES"/>
              </w:rPr>
              <w:t xml:space="preserve"> </w:t>
            </w:r>
            <w:r>
              <w:rPr>
                <w:rFonts w:eastAsia="Palatino Linotype"/>
                <w:spacing w:val="-1"/>
                <w:position w:val="1"/>
                <w:sz w:val="22"/>
                <w:szCs w:val="22"/>
                <w:lang w:val="es-ES"/>
              </w:rPr>
              <w:t xml:space="preserve">Have a </w:t>
            </w:r>
            <w:proofErr w:type="spellStart"/>
            <w:r>
              <w:rPr>
                <w:rFonts w:eastAsia="Palatino Linotype"/>
                <w:spacing w:val="-1"/>
                <w:position w:val="1"/>
                <w:sz w:val="22"/>
                <w:szCs w:val="22"/>
                <w:lang w:val="es-ES"/>
              </w:rPr>
              <w:t>valid</w:t>
            </w:r>
            <w:proofErr w:type="spellEnd"/>
            <w:r>
              <w:rPr>
                <w:rFonts w:eastAsia="Palatino Linotype"/>
                <w:spacing w:val="-1"/>
                <w:position w:val="1"/>
                <w:sz w:val="22"/>
                <w:szCs w:val="22"/>
                <w:lang w:val="es-ES"/>
              </w:rPr>
              <w:t xml:space="preserve"> Work </w:t>
            </w:r>
            <w:proofErr w:type="spellStart"/>
            <w:r>
              <w:rPr>
                <w:rFonts w:eastAsia="Palatino Linotype"/>
                <w:spacing w:val="-1"/>
                <w:position w:val="1"/>
                <w:sz w:val="22"/>
                <w:szCs w:val="22"/>
                <w:lang w:val="es-ES"/>
              </w:rPr>
              <w:t>Accident</w:t>
            </w:r>
            <w:proofErr w:type="spellEnd"/>
            <w:r>
              <w:rPr>
                <w:rFonts w:eastAsia="Palatino Linotype"/>
                <w:spacing w:val="-1"/>
                <w:position w:val="1"/>
                <w:sz w:val="22"/>
                <w:szCs w:val="22"/>
                <w:lang w:val="es-ES"/>
              </w:rPr>
              <w:t xml:space="preserve"> and </w:t>
            </w:r>
            <w:proofErr w:type="spellStart"/>
            <w:r>
              <w:rPr>
                <w:rFonts w:eastAsia="Palatino Linotype"/>
                <w:spacing w:val="-1"/>
                <w:position w:val="1"/>
                <w:sz w:val="22"/>
                <w:szCs w:val="22"/>
                <w:lang w:val="es-ES"/>
              </w:rPr>
              <w:t>Occupational</w:t>
            </w:r>
            <w:proofErr w:type="spellEnd"/>
            <w:r>
              <w:rPr>
                <w:rFonts w:eastAsia="Palatino Linotype"/>
                <w:spacing w:val="-1"/>
                <w:position w:val="1"/>
                <w:sz w:val="22"/>
                <w:szCs w:val="22"/>
                <w:lang w:val="es-ES"/>
              </w:rPr>
              <w:t xml:space="preserve"> </w:t>
            </w:r>
            <w:proofErr w:type="spellStart"/>
            <w:r>
              <w:rPr>
                <w:rFonts w:eastAsia="Palatino Linotype"/>
                <w:spacing w:val="-1"/>
                <w:position w:val="1"/>
                <w:sz w:val="22"/>
                <w:szCs w:val="22"/>
                <w:lang w:val="es-ES"/>
              </w:rPr>
              <w:t>Disease</w:t>
            </w:r>
            <w:proofErr w:type="spellEnd"/>
            <w:r>
              <w:rPr>
                <w:rFonts w:eastAsia="Palatino Linotype"/>
                <w:spacing w:val="-1"/>
                <w:position w:val="1"/>
                <w:sz w:val="22"/>
                <w:szCs w:val="22"/>
                <w:lang w:val="es-ES"/>
              </w:rPr>
              <w:t xml:space="preserve"> </w:t>
            </w:r>
            <w:proofErr w:type="spellStart"/>
            <w:r>
              <w:rPr>
                <w:rFonts w:eastAsia="Palatino Linotype"/>
                <w:spacing w:val="-1"/>
                <w:position w:val="1"/>
                <w:sz w:val="22"/>
                <w:szCs w:val="22"/>
                <w:lang w:val="es-ES"/>
              </w:rPr>
              <w:t>Insurance</w:t>
            </w:r>
            <w:proofErr w:type="spellEnd"/>
            <w:r>
              <w:rPr>
                <w:rFonts w:eastAsia="Palatino Linotype"/>
                <w:spacing w:val="-1"/>
                <w:position w:val="1"/>
                <w:sz w:val="22"/>
                <w:szCs w:val="22"/>
                <w:lang w:val="es-ES"/>
              </w:rPr>
              <w:t xml:space="preserve"> </w:t>
            </w:r>
            <w:proofErr w:type="spellStart"/>
            <w:r>
              <w:rPr>
                <w:rFonts w:eastAsia="Palatino Linotype"/>
                <w:spacing w:val="-1"/>
                <w:position w:val="1"/>
                <w:sz w:val="22"/>
                <w:szCs w:val="22"/>
                <w:lang w:val="es-ES"/>
              </w:rPr>
              <w:t>established</w:t>
            </w:r>
            <w:proofErr w:type="spellEnd"/>
            <w:r>
              <w:rPr>
                <w:rFonts w:eastAsia="Palatino Linotype"/>
                <w:spacing w:val="-1"/>
                <w:position w:val="1"/>
                <w:sz w:val="22"/>
                <w:szCs w:val="22"/>
                <w:lang w:val="es-ES"/>
              </w:rPr>
              <w:t xml:space="preserve"> </w:t>
            </w:r>
            <w:proofErr w:type="spellStart"/>
            <w:r>
              <w:rPr>
                <w:rFonts w:eastAsia="Palatino Linotype"/>
                <w:spacing w:val="-1"/>
                <w:position w:val="1"/>
                <w:sz w:val="22"/>
                <w:szCs w:val="22"/>
                <w:lang w:val="es-ES"/>
              </w:rPr>
              <w:t>by</w:t>
            </w:r>
            <w:proofErr w:type="spellEnd"/>
            <w:r>
              <w:rPr>
                <w:rFonts w:eastAsia="Palatino Linotype"/>
                <w:spacing w:val="-1"/>
                <w:position w:val="1"/>
                <w:sz w:val="22"/>
                <w:szCs w:val="22"/>
                <w:lang w:val="es-ES"/>
              </w:rPr>
              <w:t xml:space="preserve"> Law 16074.</w:t>
            </w:r>
          </w:p>
          <w:p w14:paraId="5E8B3177" w14:textId="77777777" w:rsidR="00E255F4" w:rsidRDefault="00E255F4">
            <w:pPr>
              <w:pStyle w:val="Prrafodelista"/>
              <w:tabs>
                <w:tab w:val="left" w:pos="-1800"/>
                <w:tab w:val="left" w:pos="-720"/>
                <w:tab w:val="left" w:pos="-1"/>
              </w:tabs>
              <w:ind w:left="0"/>
              <w:jc w:val="both"/>
              <w:rPr>
                <w:rFonts w:eastAsia="Palatino Linotype"/>
                <w:spacing w:val="-1"/>
                <w:position w:val="1"/>
                <w:sz w:val="22"/>
                <w:szCs w:val="22"/>
                <w:lang w:val="es-ES"/>
              </w:rPr>
            </w:pPr>
          </w:p>
          <w:p w14:paraId="1CF596AC" w14:textId="77777777" w:rsidR="00E255F4" w:rsidRDefault="00000000">
            <w:pPr>
              <w:pStyle w:val="Prrafodelista"/>
              <w:numPr>
                <w:ilvl w:val="0"/>
                <w:numId w:val="48"/>
              </w:numPr>
              <w:tabs>
                <w:tab w:val="clear" w:pos="0"/>
                <w:tab w:val="left" w:pos="-1800"/>
                <w:tab w:val="left" w:pos="-720"/>
                <w:tab w:val="left" w:pos="-1"/>
              </w:tabs>
              <w:jc w:val="both"/>
            </w:pPr>
            <w:proofErr w:type="spellStart"/>
            <w:r>
              <w:rPr>
                <w:spacing w:val="-1"/>
                <w:position w:val="1"/>
                <w:sz w:val="22"/>
                <w:szCs w:val="22"/>
                <w:lang w:val="es-ES"/>
              </w:rPr>
              <w:t>Deliver</w:t>
            </w:r>
            <w:proofErr w:type="spellEnd"/>
            <w:r>
              <w:rPr>
                <w:spacing w:val="-1"/>
                <w:position w:val="1"/>
                <w:sz w:val="22"/>
                <w:szCs w:val="22"/>
                <w:lang w:val="es-ES"/>
              </w:rPr>
              <w:t xml:space="preserve"> </w:t>
            </w:r>
            <w:proofErr w:type="spellStart"/>
            <w:r>
              <w:rPr>
                <w:spacing w:val="-1"/>
                <w:position w:val="1"/>
                <w:sz w:val="22"/>
                <w:szCs w:val="22"/>
                <w:lang w:val="es-ES"/>
              </w:rPr>
              <w:t>the</w:t>
            </w:r>
            <w:proofErr w:type="spellEnd"/>
            <w:r>
              <w:rPr>
                <w:spacing w:val="-1"/>
                <w:position w:val="1"/>
                <w:sz w:val="22"/>
                <w:szCs w:val="22"/>
                <w:lang w:val="es-ES"/>
              </w:rPr>
              <w:t xml:space="preserve"> </w:t>
            </w:r>
            <w:proofErr w:type="spellStart"/>
            <w:r>
              <w:rPr>
                <w:spacing w:val="-1"/>
                <w:position w:val="1"/>
                <w:sz w:val="22"/>
                <w:szCs w:val="22"/>
                <w:lang w:val="es-ES"/>
              </w:rPr>
              <w:t>samples</w:t>
            </w:r>
            <w:proofErr w:type="spellEnd"/>
            <w:r>
              <w:rPr>
                <w:spacing w:val="-1"/>
                <w:position w:val="1"/>
                <w:sz w:val="22"/>
                <w:szCs w:val="22"/>
                <w:lang w:val="es-ES"/>
              </w:rPr>
              <w:t xml:space="preserve"> in </w:t>
            </w:r>
            <w:proofErr w:type="spellStart"/>
            <w:r>
              <w:rPr>
                <w:spacing w:val="-1"/>
                <w:position w:val="1"/>
                <w:sz w:val="22"/>
                <w:szCs w:val="22"/>
                <w:lang w:val="es-ES"/>
              </w:rPr>
              <w:t>accordance</w:t>
            </w:r>
            <w:proofErr w:type="spellEnd"/>
            <w:r>
              <w:rPr>
                <w:spacing w:val="-1"/>
                <w:position w:val="1"/>
                <w:sz w:val="22"/>
                <w:szCs w:val="22"/>
                <w:lang w:val="es-ES"/>
              </w:rPr>
              <w:t xml:space="preserve"> </w:t>
            </w:r>
            <w:proofErr w:type="spellStart"/>
            <w:r>
              <w:rPr>
                <w:spacing w:val="-1"/>
                <w:position w:val="1"/>
                <w:sz w:val="22"/>
                <w:szCs w:val="22"/>
                <w:lang w:val="es-ES"/>
              </w:rPr>
              <w:t>with</w:t>
            </w:r>
            <w:proofErr w:type="spellEnd"/>
            <w:r>
              <w:rPr>
                <w:spacing w:val="-1"/>
                <w:position w:val="1"/>
                <w:sz w:val="22"/>
                <w:szCs w:val="22"/>
                <w:lang w:val="es-ES"/>
              </w:rPr>
              <w:t xml:space="preserve"> </w:t>
            </w:r>
            <w:proofErr w:type="spellStart"/>
            <w:r>
              <w:rPr>
                <w:spacing w:val="-1"/>
                <w:position w:val="1"/>
                <w:sz w:val="22"/>
                <w:szCs w:val="22"/>
                <w:lang w:val="es-ES"/>
              </w:rPr>
              <w:t>the</w:t>
            </w:r>
            <w:proofErr w:type="spellEnd"/>
            <w:r>
              <w:rPr>
                <w:spacing w:val="-1"/>
                <w:position w:val="1"/>
                <w:sz w:val="22"/>
                <w:szCs w:val="22"/>
                <w:lang w:val="es-ES"/>
              </w:rPr>
              <w:t xml:space="preserve"> </w:t>
            </w:r>
            <w:proofErr w:type="spellStart"/>
            <w:r>
              <w:rPr>
                <w:spacing w:val="-1"/>
                <w:position w:val="1"/>
                <w:sz w:val="22"/>
                <w:szCs w:val="22"/>
                <w:lang w:val="es-ES"/>
              </w:rPr>
              <w:t>Technical</w:t>
            </w:r>
            <w:proofErr w:type="spellEnd"/>
            <w:r>
              <w:rPr>
                <w:spacing w:val="-1"/>
                <w:position w:val="1"/>
                <w:sz w:val="22"/>
                <w:szCs w:val="22"/>
                <w:lang w:val="es-ES"/>
              </w:rPr>
              <w:t xml:space="preserve"> </w:t>
            </w:r>
            <w:proofErr w:type="spellStart"/>
            <w:r>
              <w:rPr>
                <w:spacing w:val="-1"/>
                <w:position w:val="1"/>
                <w:sz w:val="22"/>
                <w:szCs w:val="22"/>
                <w:lang w:val="es-ES"/>
              </w:rPr>
              <w:t>Specifications</w:t>
            </w:r>
            <w:proofErr w:type="spellEnd"/>
            <w:r>
              <w:rPr>
                <w:spacing w:val="-1"/>
                <w:position w:val="1"/>
                <w:sz w:val="22"/>
                <w:szCs w:val="22"/>
                <w:lang w:val="es-ES"/>
              </w:rPr>
              <w:t xml:space="preserve"> (</w:t>
            </w:r>
            <w:proofErr w:type="spellStart"/>
            <w:r>
              <w:rPr>
                <w:spacing w:val="-1"/>
                <w:position w:val="1"/>
                <w:sz w:val="22"/>
                <w:szCs w:val="22"/>
                <w:lang w:val="es-ES"/>
              </w:rPr>
              <w:t>Annex</w:t>
            </w:r>
            <w:proofErr w:type="spellEnd"/>
            <w:r>
              <w:rPr>
                <w:spacing w:val="-1"/>
                <w:position w:val="1"/>
                <w:sz w:val="22"/>
                <w:szCs w:val="22"/>
                <w:lang w:val="es-ES"/>
              </w:rPr>
              <w:t xml:space="preserve"> VII).</w:t>
            </w:r>
          </w:p>
        </w:tc>
      </w:tr>
      <w:tr w:rsidR="00E255F4" w14:paraId="7DDB2860" w14:textId="77777777">
        <w:tc>
          <w:tcPr>
            <w:tcW w:w="730" w:type="dxa"/>
            <w:tcBorders>
              <w:top w:val="single" w:sz="4" w:space="0" w:color="000000"/>
              <w:left w:val="single" w:sz="4" w:space="0" w:color="000000"/>
              <w:bottom w:val="single" w:sz="4" w:space="0" w:color="000000"/>
              <w:right w:val="single" w:sz="4" w:space="0" w:color="000000"/>
            </w:tcBorders>
          </w:tcPr>
          <w:p w14:paraId="263F1832" w14:textId="77777777" w:rsidR="00E255F4" w:rsidRDefault="00000000">
            <w:pPr>
              <w:ind w:right="-36"/>
              <w:jc w:val="both"/>
              <w:rPr>
                <w:rFonts w:eastAsia="Palatino Linotype"/>
                <w:b/>
                <w:sz w:val="22"/>
                <w:szCs w:val="24"/>
                <w:lang w:val="es-ES"/>
              </w:rPr>
            </w:pPr>
            <w:r>
              <w:rPr>
                <w:rFonts w:eastAsia="Palatino Linotype"/>
                <w:b/>
                <w:sz w:val="22"/>
                <w:szCs w:val="22"/>
                <w:lang w:val="es-ES"/>
              </w:rPr>
              <w:t>10.1</w:t>
            </w:r>
          </w:p>
        </w:tc>
        <w:tc>
          <w:tcPr>
            <w:tcW w:w="9048" w:type="dxa"/>
            <w:tcBorders>
              <w:top w:val="single" w:sz="4" w:space="0" w:color="000000"/>
              <w:left w:val="single" w:sz="4" w:space="0" w:color="000000"/>
              <w:bottom w:val="single" w:sz="4" w:space="0" w:color="000000"/>
              <w:right w:val="single" w:sz="4" w:space="0" w:color="000000"/>
            </w:tcBorders>
          </w:tcPr>
          <w:p w14:paraId="5D8FEFEF" w14:textId="77777777" w:rsidR="00E255F4" w:rsidRDefault="00000000">
            <w:pPr>
              <w:jc w:val="both"/>
              <w:rPr>
                <w:rFonts w:eastAsia="Palatino Linotype"/>
                <w:b/>
                <w:spacing w:val="-1"/>
                <w:position w:val="1"/>
                <w:sz w:val="22"/>
                <w:szCs w:val="22"/>
                <w:lang w:val="es-ES"/>
              </w:rPr>
            </w:pPr>
            <w:r>
              <w:rPr>
                <w:rFonts w:eastAsia="Palatino Linotype"/>
                <w:b/>
                <w:spacing w:val="-1"/>
                <w:position w:val="1"/>
                <w:sz w:val="22"/>
                <w:szCs w:val="22"/>
                <w:lang w:val="es-ES"/>
              </w:rPr>
              <w:t xml:space="preserve">General </w:t>
            </w:r>
            <w:proofErr w:type="spellStart"/>
            <w:r>
              <w:rPr>
                <w:rFonts w:eastAsia="Palatino Linotype"/>
                <w:b/>
                <w:spacing w:val="-1"/>
                <w:position w:val="1"/>
                <w:sz w:val="22"/>
                <w:szCs w:val="22"/>
                <w:lang w:val="es-ES"/>
              </w:rPr>
              <w:t>Considerations</w:t>
            </w:r>
            <w:proofErr w:type="spellEnd"/>
          </w:p>
          <w:p w14:paraId="75F47F62" w14:textId="77777777" w:rsidR="00E255F4" w:rsidRDefault="00000000">
            <w:pPr>
              <w:jc w:val="both"/>
              <w:rPr>
                <w:rFonts w:eastAsia="Palatino Linotype"/>
                <w:spacing w:val="-1"/>
                <w:position w:val="1"/>
                <w:sz w:val="22"/>
                <w:szCs w:val="22"/>
                <w:lang w:val="es-ES"/>
              </w:rPr>
            </w:pPr>
            <w:proofErr w:type="spellStart"/>
            <w:r>
              <w:rPr>
                <w:rFonts w:eastAsia="Palatino Linotype"/>
                <w:spacing w:val="-1"/>
                <w:position w:val="1"/>
                <w:sz w:val="22"/>
                <w:szCs w:val="22"/>
                <w:lang w:val="es-ES"/>
              </w:rPr>
              <w:t>It</w:t>
            </w:r>
            <w:proofErr w:type="spellEnd"/>
            <w:r>
              <w:rPr>
                <w:rFonts w:eastAsia="Palatino Linotype"/>
                <w:spacing w:val="-1"/>
                <w:position w:val="1"/>
                <w:sz w:val="22"/>
                <w:szCs w:val="22"/>
                <w:lang w:val="es-ES"/>
              </w:rPr>
              <w:t xml:space="preserve"> </w:t>
            </w:r>
            <w:proofErr w:type="spellStart"/>
            <w:r>
              <w:rPr>
                <w:rFonts w:eastAsia="Palatino Linotype"/>
                <w:spacing w:val="-1"/>
                <w:position w:val="1"/>
                <w:sz w:val="22"/>
                <w:szCs w:val="22"/>
                <w:lang w:val="es-ES"/>
              </w:rPr>
              <w:t>is</w:t>
            </w:r>
            <w:proofErr w:type="spellEnd"/>
            <w:r>
              <w:rPr>
                <w:rFonts w:eastAsia="Palatino Linotype"/>
                <w:spacing w:val="-1"/>
                <w:position w:val="1"/>
                <w:sz w:val="22"/>
                <w:szCs w:val="22"/>
                <w:lang w:val="es-ES"/>
              </w:rPr>
              <w:t xml:space="preserve"> </w:t>
            </w:r>
            <w:proofErr w:type="spellStart"/>
            <w:r>
              <w:rPr>
                <w:rFonts w:eastAsia="Palatino Linotype"/>
                <w:spacing w:val="-1"/>
                <w:position w:val="1"/>
                <w:sz w:val="22"/>
                <w:szCs w:val="22"/>
                <w:lang w:val="es-ES"/>
              </w:rPr>
              <w:t>added</w:t>
            </w:r>
            <w:proofErr w:type="spellEnd"/>
            <w:r>
              <w:rPr>
                <w:rFonts w:eastAsia="Palatino Linotype"/>
                <w:spacing w:val="-1"/>
                <w:position w:val="1"/>
                <w:sz w:val="22"/>
                <w:szCs w:val="22"/>
                <w:lang w:val="es-ES"/>
              </w:rPr>
              <w:t>:</w:t>
            </w:r>
          </w:p>
          <w:p w14:paraId="3FC7D175" w14:textId="77777777" w:rsidR="00E255F4" w:rsidRDefault="00E255F4">
            <w:pPr>
              <w:jc w:val="both"/>
              <w:rPr>
                <w:rFonts w:eastAsia="Palatino Linotype"/>
                <w:spacing w:val="-1"/>
                <w:position w:val="1"/>
                <w:sz w:val="22"/>
                <w:szCs w:val="22"/>
                <w:lang w:val="es-ES"/>
              </w:rPr>
            </w:pPr>
          </w:p>
          <w:p w14:paraId="6FBB3CE8" w14:textId="77777777" w:rsidR="00E255F4" w:rsidRDefault="00000000">
            <w:pPr>
              <w:jc w:val="both"/>
            </w:pPr>
            <w:r>
              <w:rPr>
                <w:rFonts w:eastAsia="Palatino Linotype"/>
                <w:spacing w:val="-1"/>
                <w:position w:val="1"/>
                <w:sz w:val="22"/>
                <w:szCs w:val="22"/>
                <w:lang w:val="es-ES"/>
              </w:rPr>
              <w:t xml:space="preserve">The </w:t>
            </w:r>
            <w:proofErr w:type="spellStart"/>
            <w:r>
              <w:rPr>
                <w:rFonts w:eastAsia="Palatino Linotype"/>
                <w:spacing w:val="-1"/>
                <w:position w:val="1"/>
                <w:sz w:val="22"/>
                <w:szCs w:val="22"/>
                <w:lang w:val="es-ES"/>
              </w:rPr>
              <w:t>offer</w:t>
            </w:r>
            <w:proofErr w:type="spellEnd"/>
            <w:r>
              <w:rPr>
                <w:rFonts w:eastAsia="Palatino Linotype"/>
                <w:spacing w:val="-1"/>
                <w:position w:val="1"/>
                <w:sz w:val="22"/>
                <w:szCs w:val="22"/>
                <w:lang w:val="es-ES"/>
              </w:rPr>
              <w:t xml:space="preserve"> </w:t>
            </w:r>
            <w:proofErr w:type="spellStart"/>
            <w:r>
              <w:rPr>
                <w:rFonts w:eastAsia="Palatino Linotype"/>
                <w:spacing w:val="-1"/>
                <w:position w:val="1"/>
                <w:sz w:val="22"/>
                <w:szCs w:val="22"/>
                <w:lang w:val="es-ES"/>
              </w:rPr>
              <w:t>maintenance</w:t>
            </w:r>
            <w:proofErr w:type="spellEnd"/>
            <w:r>
              <w:rPr>
                <w:rFonts w:eastAsia="Palatino Linotype"/>
                <w:spacing w:val="-1"/>
                <w:position w:val="1"/>
                <w:sz w:val="22"/>
                <w:szCs w:val="22"/>
                <w:lang w:val="es-ES"/>
              </w:rPr>
              <w:t xml:space="preserve"> </w:t>
            </w:r>
            <w:proofErr w:type="spellStart"/>
            <w:r>
              <w:rPr>
                <w:rFonts w:eastAsia="Palatino Linotype"/>
                <w:spacing w:val="-1"/>
                <w:position w:val="1"/>
                <w:sz w:val="22"/>
                <w:szCs w:val="22"/>
                <w:lang w:val="es-ES"/>
              </w:rPr>
              <w:t>period</w:t>
            </w:r>
            <w:proofErr w:type="spellEnd"/>
            <w:r>
              <w:rPr>
                <w:rFonts w:eastAsia="Palatino Linotype"/>
                <w:spacing w:val="-1"/>
                <w:position w:val="1"/>
                <w:sz w:val="22"/>
                <w:szCs w:val="22"/>
                <w:lang w:val="es-ES"/>
              </w:rPr>
              <w:t xml:space="preserve"> </w:t>
            </w:r>
            <w:proofErr w:type="spellStart"/>
            <w:r>
              <w:rPr>
                <w:rFonts w:eastAsia="Palatino Linotype"/>
                <w:spacing w:val="-1"/>
                <w:position w:val="1"/>
                <w:sz w:val="22"/>
                <w:szCs w:val="22"/>
                <w:lang w:val="es-ES"/>
              </w:rPr>
              <w:t>is</w:t>
            </w:r>
            <w:proofErr w:type="spellEnd"/>
            <w:r>
              <w:rPr>
                <w:rFonts w:eastAsia="Palatino Linotype"/>
                <w:spacing w:val="-1"/>
                <w:position w:val="1"/>
                <w:sz w:val="22"/>
                <w:szCs w:val="22"/>
                <w:lang w:val="es-ES"/>
              </w:rPr>
              <w:t xml:space="preserve"> set at 180 calendar </w:t>
            </w:r>
            <w:proofErr w:type="spellStart"/>
            <w:r>
              <w:rPr>
                <w:rFonts w:eastAsia="Palatino Linotype"/>
                <w:spacing w:val="-1"/>
                <w:position w:val="1"/>
                <w:sz w:val="22"/>
                <w:szCs w:val="22"/>
                <w:lang w:val="es-ES"/>
              </w:rPr>
              <w:t>days</w:t>
            </w:r>
            <w:proofErr w:type="spellEnd"/>
            <w:r>
              <w:rPr>
                <w:rFonts w:eastAsia="Palatino Linotype"/>
                <w:spacing w:val="-1"/>
                <w:position w:val="1"/>
                <w:sz w:val="22"/>
                <w:szCs w:val="22"/>
                <w:lang w:val="es-ES"/>
              </w:rPr>
              <w:t xml:space="preserve"> </w:t>
            </w:r>
            <w:proofErr w:type="spellStart"/>
            <w:r>
              <w:rPr>
                <w:rFonts w:eastAsia="Palatino Linotype"/>
                <w:spacing w:val="-1"/>
                <w:position w:val="1"/>
                <w:sz w:val="22"/>
                <w:szCs w:val="22"/>
                <w:lang w:val="es-ES"/>
              </w:rPr>
              <w:t>from</w:t>
            </w:r>
            <w:proofErr w:type="spellEnd"/>
            <w:r>
              <w:rPr>
                <w:rFonts w:eastAsia="Palatino Linotype"/>
                <w:spacing w:val="-1"/>
                <w:position w:val="1"/>
                <w:sz w:val="22"/>
                <w:szCs w:val="22"/>
                <w:lang w:val="es-ES"/>
              </w:rPr>
              <w:t xml:space="preserve"> </w:t>
            </w:r>
            <w:proofErr w:type="spellStart"/>
            <w:r>
              <w:rPr>
                <w:rFonts w:eastAsia="Palatino Linotype"/>
                <w:spacing w:val="-1"/>
                <w:position w:val="1"/>
                <w:sz w:val="22"/>
                <w:szCs w:val="22"/>
                <w:lang w:val="es-ES"/>
              </w:rPr>
              <w:t>the</w:t>
            </w:r>
            <w:proofErr w:type="spellEnd"/>
            <w:r>
              <w:rPr>
                <w:rFonts w:eastAsia="Palatino Linotype"/>
                <w:spacing w:val="-1"/>
                <w:position w:val="1"/>
                <w:sz w:val="22"/>
                <w:szCs w:val="22"/>
                <w:lang w:val="es-ES"/>
              </w:rPr>
              <w:t xml:space="preserve"> </w:t>
            </w:r>
            <w:proofErr w:type="spellStart"/>
            <w:r>
              <w:rPr>
                <w:rFonts w:eastAsia="Palatino Linotype"/>
                <w:spacing w:val="-1"/>
                <w:position w:val="1"/>
                <w:sz w:val="22"/>
                <w:szCs w:val="22"/>
                <w:lang w:val="es-ES"/>
              </w:rPr>
              <w:t>opening</w:t>
            </w:r>
            <w:proofErr w:type="spellEnd"/>
            <w:r>
              <w:rPr>
                <w:rFonts w:eastAsia="Palatino Linotype"/>
                <w:spacing w:val="-1"/>
                <w:position w:val="1"/>
                <w:sz w:val="22"/>
                <w:szCs w:val="22"/>
                <w:lang w:val="es-ES"/>
              </w:rPr>
              <w:t xml:space="preserve"> </w:t>
            </w:r>
            <w:proofErr w:type="spellStart"/>
            <w:r>
              <w:rPr>
                <w:rFonts w:eastAsia="Palatino Linotype"/>
                <w:spacing w:val="-1"/>
                <w:position w:val="1"/>
                <w:sz w:val="22"/>
                <w:szCs w:val="22"/>
                <w:lang w:val="es-ES"/>
              </w:rPr>
              <w:t>of</w:t>
            </w:r>
            <w:proofErr w:type="spellEnd"/>
            <w:r>
              <w:rPr>
                <w:rFonts w:eastAsia="Palatino Linotype"/>
                <w:spacing w:val="-1"/>
                <w:position w:val="1"/>
                <w:sz w:val="22"/>
                <w:szCs w:val="22"/>
                <w:lang w:val="es-ES"/>
              </w:rPr>
              <w:t xml:space="preserve"> </w:t>
            </w:r>
            <w:proofErr w:type="spellStart"/>
            <w:r>
              <w:rPr>
                <w:rFonts w:eastAsia="Palatino Linotype"/>
                <w:spacing w:val="-1"/>
                <w:position w:val="1"/>
                <w:sz w:val="22"/>
                <w:szCs w:val="22"/>
                <w:lang w:val="es-ES"/>
              </w:rPr>
              <w:t>the</w:t>
            </w:r>
            <w:proofErr w:type="spellEnd"/>
            <w:r>
              <w:rPr>
                <w:rFonts w:eastAsia="Palatino Linotype"/>
                <w:spacing w:val="-1"/>
                <w:position w:val="1"/>
                <w:sz w:val="22"/>
                <w:szCs w:val="22"/>
                <w:lang w:val="es-ES"/>
              </w:rPr>
              <w:t xml:space="preserve"> Tender.</w:t>
            </w:r>
          </w:p>
          <w:p w14:paraId="7D1C9474" w14:textId="77777777" w:rsidR="00E255F4" w:rsidRDefault="00E255F4">
            <w:pPr>
              <w:jc w:val="both"/>
              <w:rPr>
                <w:rFonts w:eastAsia="Palatino Linotype"/>
                <w:spacing w:val="-1"/>
                <w:position w:val="1"/>
                <w:sz w:val="22"/>
                <w:szCs w:val="22"/>
                <w:lang w:val="es-ES"/>
              </w:rPr>
            </w:pPr>
          </w:p>
          <w:p w14:paraId="4C780FDD" w14:textId="77777777" w:rsidR="00E255F4" w:rsidRDefault="00000000">
            <w:pPr>
              <w:jc w:val="both"/>
              <w:rPr>
                <w:rFonts w:eastAsia="Palatino Linotype"/>
                <w:spacing w:val="-1"/>
                <w:position w:val="1"/>
                <w:sz w:val="22"/>
                <w:szCs w:val="22"/>
                <w:lang w:val="es-ES"/>
              </w:rPr>
            </w:pPr>
            <w:r>
              <w:rPr>
                <w:rFonts w:eastAsia="Palatino Linotype"/>
                <w:spacing w:val="-1"/>
                <w:position w:val="1"/>
                <w:sz w:val="22"/>
                <w:szCs w:val="22"/>
                <w:lang w:val="es-ES"/>
              </w:rPr>
              <w:t xml:space="preserve">After </w:t>
            </w:r>
            <w:proofErr w:type="spellStart"/>
            <w:r>
              <w:rPr>
                <w:rFonts w:eastAsia="Palatino Linotype"/>
                <w:spacing w:val="-1"/>
                <w:position w:val="1"/>
                <w:sz w:val="22"/>
                <w:szCs w:val="22"/>
                <w:lang w:val="es-ES"/>
              </w:rPr>
              <w:t>that</w:t>
            </w:r>
            <w:proofErr w:type="spellEnd"/>
            <w:r>
              <w:rPr>
                <w:rFonts w:eastAsia="Palatino Linotype"/>
                <w:spacing w:val="-1"/>
                <w:position w:val="1"/>
                <w:sz w:val="22"/>
                <w:szCs w:val="22"/>
                <w:lang w:val="es-ES"/>
              </w:rPr>
              <w:t xml:space="preserve"> </w:t>
            </w:r>
            <w:proofErr w:type="spellStart"/>
            <w:r>
              <w:rPr>
                <w:rFonts w:eastAsia="Palatino Linotype"/>
                <w:spacing w:val="-1"/>
                <w:position w:val="1"/>
                <w:sz w:val="22"/>
                <w:szCs w:val="22"/>
                <w:lang w:val="es-ES"/>
              </w:rPr>
              <w:t>period</w:t>
            </w:r>
            <w:proofErr w:type="spellEnd"/>
            <w:r>
              <w:rPr>
                <w:rFonts w:eastAsia="Palatino Linotype"/>
                <w:spacing w:val="-1"/>
                <w:position w:val="1"/>
                <w:sz w:val="22"/>
                <w:szCs w:val="22"/>
                <w:lang w:val="es-ES"/>
              </w:rPr>
              <w:t xml:space="preserve">, </w:t>
            </w:r>
            <w:proofErr w:type="spellStart"/>
            <w:r>
              <w:rPr>
                <w:rFonts w:eastAsia="Palatino Linotype"/>
                <w:spacing w:val="-1"/>
                <w:position w:val="1"/>
                <w:sz w:val="22"/>
                <w:szCs w:val="22"/>
                <w:lang w:val="es-ES"/>
              </w:rPr>
              <w:t>the</w:t>
            </w:r>
            <w:proofErr w:type="spellEnd"/>
            <w:r>
              <w:rPr>
                <w:rFonts w:eastAsia="Palatino Linotype"/>
                <w:spacing w:val="-1"/>
                <w:position w:val="1"/>
                <w:sz w:val="22"/>
                <w:szCs w:val="22"/>
                <w:lang w:val="es-ES"/>
              </w:rPr>
              <w:t xml:space="preserve"> </w:t>
            </w:r>
            <w:proofErr w:type="spellStart"/>
            <w:r>
              <w:rPr>
                <w:rFonts w:eastAsia="Palatino Linotype"/>
                <w:spacing w:val="-1"/>
                <w:position w:val="1"/>
                <w:sz w:val="22"/>
                <w:szCs w:val="22"/>
                <w:lang w:val="es-ES"/>
              </w:rPr>
              <w:t>offers</w:t>
            </w:r>
            <w:proofErr w:type="spellEnd"/>
            <w:r>
              <w:rPr>
                <w:rFonts w:eastAsia="Palatino Linotype"/>
                <w:spacing w:val="-1"/>
                <w:position w:val="1"/>
                <w:sz w:val="22"/>
                <w:szCs w:val="22"/>
                <w:lang w:val="es-ES"/>
              </w:rPr>
              <w:t xml:space="preserve"> </w:t>
            </w:r>
            <w:proofErr w:type="spellStart"/>
            <w:r>
              <w:rPr>
                <w:rFonts w:eastAsia="Palatino Linotype"/>
                <w:spacing w:val="-1"/>
                <w:position w:val="1"/>
                <w:sz w:val="22"/>
                <w:szCs w:val="22"/>
                <w:lang w:val="es-ES"/>
              </w:rPr>
              <w:t>will</w:t>
            </w:r>
            <w:proofErr w:type="spellEnd"/>
            <w:r>
              <w:rPr>
                <w:rFonts w:eastAsia="Palatino Linotype"/>
                <w:spacing w:val="-1"/>
                <w:position w:val="1"/>
                <w:sz w:val="22"/>
                <w:szCs w:val="22"/>
                <w:lang w:val="es-ES"/>
              </w:rPr>
              <w:t xml:space="preserve"> be </w:t>
            </w:r>
            <w:proofErr w:type="spellStart"/>
            <w:r>
              <w:rPr>
                <w:rFonts w:eastAsia="Palatino Linotype"/>
                <w:spacing w:val="-1"/>
                <w:position w:val="1"/>
                <w:sz w:val="22"/>
                <w:szCs w:val="22"/>
                <w:lang w:val="es-ES"/>
              </w:rPr>
              <w:t>considered</w:t>
            </w:r>
            <w:proofErr w:type="spellEnd"/>
            <w:r>
              <w:rPr>
                <w:rFonts w:eastAsia="Palatino Linotype"/>
                <w:spacing w:val="-1"/>
                <w:position w:val="1"/>
                <w:sz w:val="22"/>
                <w:szCs w:val="22"/>
                <w:lang w:val="es-ES"/>
              </w:rPr>
              <w:t xml:space="preserve"> </w:t>
            </w:r>
            <w:proofErr w:type="spellStart"/>
            <w:r>
              <w:rPr>
                <w:rFonts w:eastAsia="Palatino Linotype"/>
                <w:spacing w:val="-1"/>
                <w:position w:val="1"/>
                <w:sz w:val="22"/>
                <w:szCs w:val="22"/>
                <w:lang w:val="es-ES"/>
              </w:rPr>
              <w:t>valid</w:t>
            </w:r>
            <w:proofErr w:type="spellEnd"/>
            <w:r>
              <w:rPr>
                <w:rFonts w:eastAsia="Palatino Linotype"/>
                <w:spacing w:val="-1"/>
                <w:position w:val="1"/>
                <w:sz w:val="22"/>
                <w:szCs w:val="22"/>
                <w:lang w:val="es-ES"/>
              </w:rPr>
              <w:t xml:space="preserve"> </w:t>
            </w:r>
            <w:proofErr w:type="spellStart"/>
            <w:r>
              <w:rPr>
                <w:rFonts w:eastAsia="Palatino Linotype"/>
                <w:spacing w:val="-1"/>
                <w:position w:val="1"/>
                <w:sz w:val="22"/>
                <w:szCs w:val="22"/>
                <w:lang w:val="es-ES"/>
              </w:rPr>
              <w:t>until</w:t>
            </w:r>
            <w:proofErr w:type="spellEnd"/>
            <w:r>
              <w:rPr>
                <w:rFonts w:eastAsia="Palatino Linotype"/>
                <w:spacing w:val="-1"/>
                <w:position w:val="1"/>
                <w:sz w:val="22"/>
                <w:szCs w:val="22"/>
                <w:lang w:val="es-ES"/>
              </w:rPr>
              <w:t xml:space="preserve"> </w:t>
            </w:r>
            <w:proofErr w:type="spellStart"/>
            <w:r>
              <w:rPr>
                <w:rFonts w:eastAsia="Palatino Linotype"/>
                <w:spacing w:val="-1"/>
                <w:position w:val="1"/>
                <w:sz w:val="22"/>
                <w:szCs w:val="22"/>
                <w:lang w:val="es-ES"/>
              </w:rPr>
              <w:t>the</w:t>
            </w:r>
            <w:proofErr w:type="spellEnd"/>
            <w:r>
              <w:rPr>
                <w:rFonts w:eastAsia="Palatino Linotype"/>
                <w:spacing w:val="-1"/>
                <w:position w:val="1"/>
                <w:sz w:val="22"/>
                <w:szCs w:val="22"/>
                <w:lang w:val="es-ES"/>
              </w:rPr>
              <w:t xml:space="preserve"> </w:t>
            </w:r>
            <w:proofErr w:type="spellStart"/>
            <w:r>
              <w:rPr>
                <w:rFonts w:eastAsia="Palatino Linotype"/>
                <w:spacing w:val="-1"/>
                <w:position w:val="1"/>
                <w:sz w:val="22"/>
                <w:szCs w:val="22"/>
                <w:lang w:val="es-ES"/>
              </w:rPr>
              <w:t>execution</w:t>
            </w:r>
            <w:proofErr w:type="spellEnd"/>
            <w:r>
              <w:rPr>
                <w:rFonts w:eastAsia="Palatino Linotype"/>
                <w:spacing w:val="-1"/>
                <w:position w:val="1"/>
                <w:sz w:val="22"/>
                <w:szCs w:val="22"/>
                <w:lang w:val="es-ES"/>
              </w:rPr>
              <w:t xml:space="preserve"> </w:t>
            </w:r>
            <w:proofErr w:type="spellStart"/>
            <w:r>
              <w:rPr>
                <w:rFonts w:eastAsia="Palatino Linotype"/>
                <w:spacing w:val="-1"/>
                <w:position w:val="1"/>
                <w:sz w:val="22"/>
                <w:szCs w:val="22"/>
                <w:lang w:val="es-ES"/>
              </w:rPr>
              <w:t>of</w:t>
            </w:r>
            <w:proofErr w:type="spellEnd"/>
            <w:r>
              <w:rPr>
                <w:rFonts w:eastAsia="Palatino Linotype"/>
                <w:spacing w:val="-1"/>
                <w:position w:val="1"/>
                <w:sz w:val="22"/>
                <w:szCs w:val="22"/>
                <w:lang w:val="es-ES"/>
              </w:rPr>
              <w:t xml:space="preserve"> </w:t>
            </w:r>
            <w:proofErr w:type="spellStart"/>
            <w:r>
              <w:rPr>
                <w:rFonts w:eastAsia="Palatino Linotype"/>
                <w:spacing w:val="-1"/>
                <w:position w:val="1"/>
                <w:sz w:val="22"/>
                <w:szCs w:val="22"/>
                <w:lang w:val="es-ES"/>
              </w:rPr>
              <w:t>the</w:t>
            </w:r>
            <w:proofErr w:type="spellEnd"/>
            <w:r>
              <w:rPr>
                <w:rFonts w:eastAsia="Palatino Linotype"/>
                <w:spacing w:val="-1"/>
                <w:position w:val="1"/>
                <w:sz w:val="22"/>
                <w:szCs w:val="22"/>
                <w:lang w:val="es-ES"/>
              </w:rPr>
              <w:t xml:space="preserve"> </w:t>
            </w:r>
            <w:proofErr w:type="spellStart"/>
            <w:r>
              <w:rPr>
                <w:rFonts w:eastAsia="Palatino Linotype"/>
                <w:spacing w:val="-1"/>
                <w:position w:val="1"/>
                <w:sz w:val="22"/>
                <w:szCs w:val="22"/>
                <w:lang w:val="es-ES"/>
              </w:rPr>
              <w:t>contract</w:t>
            </w:r>
            <w:proofErr w:type="spellEnd"/>
            <w:r>
              <w:rPr>
                <w:rFonts w:eastAsia="Palatino Linotype"/>
                <w:spacing w:val="-1"/>
                <w:position w:val="1"/>
                <w:sz w:val="22"/>
                <w:szCs w:val="22"/>
                <w:lang w:val="es-ES"/>
              </w:rPr>
              <w:t xml:space="preserve"> </w:t>
            </w:r>
            <w:proofErr w:type="spellStart"/>
            <w:r>
              <w:rPr>
                <w:rFonts w:eastAsia="Palatino Linotype"/>
                <w:spacing w:val="-1"/>
                <w:position w:val="1"/>
                <w:sz w:val="22"/>
                <w:szCs w:val="22"/>
                <w:lang w:val="es-ES"/>
              </w:rPr>
              <w:t>begins</w:t>
            </w:r>
            <w:proofErr w:type="spellEnd"/>
            <w:r>
              <w:rPr>
                <w:rFonts w:eastAsia="Palatino Linotype"/>
                <w:spacing w:val="-1"/>
                <w:position w:val="1"/>
                <w:sz w:val="22"/>
                <w:szCs w:val="22"/>
                <w:lang w:val="es-ES"/>
              </w:rPr>
              <w:t>.</w:t>
            </w:r>
          </w:p>
          <w:p w14:paraId="35057684" w14:textId="77777777" w:rsidR="00E255F4" w:rsidRDefault="00E255F4">
            <w:pPr>
              <w:jc w:val="both"/>
              <w:rPr>
                <w:rFonts w:eastAsia="Palatino Linotype"/>
                <w:spacing w:val="-1"/>
                <w:position w:val="1"/>
                <w:sz w:val="22"/>
                <w:szCs w:val="22"/>
                <w:lang w:val="es-ES"/>
              </w:rPr>
            </w:pPr>
          </w:p>
          <w:p w14:paraId="2DA068A4" w14:textId="77777777" w:rsidR="00E255F4" w:rsidRDefault="00000000">
            <w:pPr>
              <w:jc w:val="both"/>
              <w:rPr>
                <w:rFonts w:eastAsia="Palatino Linotype"/>
                <w:b/>
                <w:spacing w:val="-1"/>
                <w:sz w:val="22"/>
                <w:szCs w:val="22"/>
                <w:lang w:val="es-ES"/>
              </w:rPr>
            </w:pPr>
            <w:proofErr w:type="spellStart"/>
            <w:r>
              <w:rPr>
                <w:rFonts w:eastAsia="Palatino Linotype"/>
                <w:spacing w:val="-1"/>
                <w:position w:val="1"/>
                <w:sz w:val="22"/>
                <w:szCs w:val="22"/>
                <w:lang w:val="es-ES"/>
              </w:rPr>
              <w:t>If</w:t>
            </w:r>
            <w:proofErr w:type="spellEnd"/>
            <w:r>
              <w:rPr>
                <w:rFonts w:eastAsia="Palatino Linotype"/>
                <w:spacing w:val="-1"/>
                <w:position w:val="1"/>
                <w:sz w:val="22"/>
                <w:szCs w:val="22"/>
                <w:lang w:val="es-ES"/>
              </w:rPr>
              <w:t xml:space="preserve"> </w:t>
            </w:r>
            <w:proofErr w:type="spellStart"/>
            <w:r>
              <w:rPr>
                <w:rFonts w:eastAsia="Palatino Linotype"/>
                <w:spacing w:val="-1"/>
                <w:position w:val="1"/>
                <w:sz w:val="22"/>
                <w:szCs w:val="22"/>
                <w:lang w:val="es-ES"/>
              </w:rPr>
              <w:t>the</w:t>
            </w:r>
            <w:proofErr w:type="spellEnd"/>
            <w:r>
              <w:rPr>
                <w:rFonts w:eastAsia="Palatino Linotype"/>
                <w:spacing w:val="-1"/>
                <w:position w:val="1"/>
                <w:sz w:val="22"/>
                <w:szCs w:val="22"/>
                <w:lang w:val="es-ES"/>
              </w:rPr>
              <w:t xml:space="preserve"> </w:t>
            </w:r>
            <w:proofErr w:type="spellStart"/>
            <w:r>
              <w:rPr>
                <w:rFonts w:eastAsia="Palatino Linotype"/>
                <w:spacing w:val="-1"/>
                <w:position w:val="1"/>
                <w:sz w:val="22"/>
                <w:szCs w:val="22"/>
                <w:lang w:val="es-ES"/>
              </w:rPr>
              <w:t>bidder</w:t>
            </w:r>
            <w:proofErr w:type="spellEnd"/>
            <w:r>
              <w:rPr>
                <w:rFonts w:eastAsia="Palatino Linotype"/>
                <w:spacing w:val="-1"/>
                <w:position w:val="1"/>
                <w:sz w:val="22"/>
                <w:szCs w:val="22"/>
                <w:lang w:val="es-ES"/>
              </w:rPr>
              <w:t xml:space="preserve"> </w:t>
            </w:r>
            <w:proofErr w:type="spellStart"/>
            <w:r>
              <w:rPr>
                <w:rFonts w:eastAsia="Palatino Linotype"/>
                <w:spacing w:val="-1"/>
                <w:position w:val="1"/>
                <w:sz w:val="22"/>
                <w:szCs w:val="22"/>
                <w:lang w:val="es-ES"/>
              </w:rPr>
              <w:t>is</w:t>
            </w:r>
            <w:proofErr w:type="spellEnd"/>
            <w:r>
              <w:rPr>
                <w:rFonts w:eastAsia="Palatino Linotype"/>
                <w:spacing w:val="-1"/>
                <w:position w:val="1"/>
                <w:sz w:val="22"/>
                <w:szCs w:val="22"/>
                <w:lang w:val="es-ES"/>
              </w:rPr>
              <w:t xml:space="preserve"> </w:t>
            </w:r>
            <w:proofErr w:type="spellStart"/>
            <w:r>
              <w:rPr>
                <w:rFonts w:eastAsia="Palatino Linotype"/>
                <w:spacing w:val="-1"/>
                <w:position w:val="1"/>
                <w:sz w:val="22"/>
                <w:szCs w:val="22"/>
                <w:lang w:val="es-ES"/>
              </w:rPr>
              <w:t>not</w:t>
            </w:r>
            <w:proofErr w:type="spellEnd"/>
            <w:r>
              <w:rPr>
                <w:rFonts w:eastAsia="Palatino Linotype"/>
                <w:spacing w:val="-1"/>
                <w:position w:val="1"/>
                <w:sz w:val="22"/>
                <w:szCs w:val="22"/>
                <w:lang w:val="es-ES"/>
              </w:rPr>
              <w:t xml:space="preserve"> </w:t>
            </w:r>
            <w:proofErr w:type="spellStart"/>
            <w:r>
              <w:rPr>
                <w:rFonts w:eastAsia="Palatino Linotype"/>
                <w:spacing w:val="-1"/>
                <w:position w:val="1"/>
                <w:sz w:val="22"/>
                <w:szCs w:val="22"/>
                <w:lang w:val="es-ES"/>
              </w:rPr>
              <w:t>interested</w:t>
            </w:r>
            <w:proofErr w:type="spellEnd"/>
            <w:r>
              <w:rPr>
                <w:rFonts w:eastAsia="Palatino Linotype"/>
                <w:spacing w:val="-1"/>
                <w:position w:val="1"/>
                <w:sz w:val="22"/>
                <w:szCs w:val="22"/>
                <w:lang w:val="es-ES"/>
              </w:rPr>
              <w:t xml:space="preserve"> in </w:t>
            </w:r>
            <w:proofErr w:type="spellStart"/>
            <w:r>
              <w:rPr>
                <w:rFonts w:eastAsia="Palatino Linotype"/>
                <w:spacing w:val="-1"/>
                <w:position w:val="1"/>
                <w:sz w:val="22"/>
                <w:szCs w:val="22"/>
                <w:lang w:val="es-ES"/>
              </w:rPr>
              <w:t>maintaining</w:t>
            </w:r>
            <w:proofErr w:type="spellEnd"/>
            <w:r>
              <w:rPr>
                <w:rFonts w:eastAsia="Palatino Linotype"/>
                <w:spacing w:val="-1"/>
                <w:position w:val="1"/>
                <w:sz w:val="22"/>
                <w:szCs w:val="22"/>
                <w:lang w:val="es-ES"/>
              </w:rPr>
              <w:t xml:space="preserve"> </w:t>
            </w:r>
            <w:proofErr w:type="spellStart"/>
            <w:r>
              <w:rPr>
                <w:rFonts w:eastAsia="Palatino Linotype"/>
                <w:spacing w:val="-1"/>
                <w:position w:val="1"/>
                <w:sz w:val="22"/>
                <w:szCs w:val="22"/>
                <w:lang w:val="es-ES"/>
              </w:rPr>
              <w:t>their</w:t>
            </w:r>
            <w:proofErr w:type="spellEnd"/>
            <w:r>
              <w:rPr>
                <w:rFonts w:eastAsia="Palatino Linotype"/>
                <w:spacing w:val="-1"/>
                <w:position w:val="1"/>
                <w:sz w:val="22"/>
                <w:szCs w:val="22"/>
                <w:lang w:val="es-ES"/>
              </w:rPr>
              <w:t xml:space="preserve"> </w:t>
            </w:r>
            <w:proofErr w:type="spellStart"/>
            <w:r>
              <w:rPr>
                <w:rFonts w:eastAsia="Palatino Linotype"/>
                <w:spacing w:val="-1"/>
                <w:position w:val="1"/>
                <w:sz w:val="22"/>
                <w:szCs w:val="22"/>
                <w:lang w:val="es-ES"/>
              </w:rPr>
              <w:t>bid</w:t>
            </w:r>
            <w:proofErr w:type="spellEnd"/>
            <w:r>
              <w:rPr>
                <w:rFonts w:eastAsia="Palatino Linotype"/>
                <w:spacing w:val="-1"/>
                <w:position w:val="1"/>
                <w:sz w:val="22"/>
                <w:szCs w:val="22"/>
                <w:lang w:val="es-ES"/>
              </w:rPr>
              <w:t xml:space="preserve"> </w:t>
            </w:r>
            <w:proofErr w:type="spellStart"/>
            <w:r>
              <w:rPr>
                <w:rFonts w:eastAsia="Palatino Linotype"/>
                <w:spacing w:val="-1"/>
                <w:position w:val="1"/>
                <w:sz w:val="22"/>
                <w:szCs w:val="22"/>
                <w:lang w:val="es-ES"/>
              </w:rPr>
              <w:t>for</w:t>
            </w:r>
            <w:proofErr w:type="spellEnd"/>
            <w:r>
              <w:rPr>
                <w:rFonts w:eastAsia="Palatino Linotype"/>
                <w:spacing w:val="-1"/>
                <w:position w:val="1"/>
                <w:sz w:val="22"/>
                <w:szCs w:val="22"/>
                <w:lang w:val="es-ES"/>
              </w:rPr>
              <w:t xml:space="preserve"> a </w:t>
            </w:r>
            <w:proofErr w:type="spellStart"/>
            <w:r>
              <w:rPr>
                <w:rFonts w:eastAsia="Palatino Linotype"/>
                <w:spacing w:val="-1"/>
                <w:position w:val="1"/>
                <w:sz w:val="22"/>
                <w:szCs w:val="22"/>
                <w:lang w:val="es-ES"/>
              </w:rPr>
              <w:t>period</w:t>
            </w:r>
            <w:proofErr w:type="spellEnd"/>
            <w:r>
              <w:rPr>
                <w:rFonts w:eastAsia="Palatino Linotype"/>
                <w:spacing w:val="-1"/>
                <w:position w:val="1"/>
                <w:sz w:val="22"/>
                <w:szCs w:val="22"/>
                <w:lang w:val="es-ES"/>
              </w:rPr>
              <w:t xml:space="preserve"> </w:t>
            </w:r>
            <w:proofErr w:type="spellStart"/>
            <w:r>
              <w:rPr>
                <w:rFonts w:eastAsia="Palatino Linotype"/>
                <w:spacing w:val="-1"/>
                <w:position w:val="1"/>
                <w:sz w:val="22"/>
                <w:szCs w:val="22"/>
                <w:lang w:val="es-ES"/>
              </w:rPr>
              <w:t>longer</w:t>
            </w:r>
            <w:proofErr w:type="spellEnd"/>
            <w:r>
              <w:rPr>
                <w:rFonts w:eastAsia="Palatino Linotype"/>
                <w:spacing w:val="-1"/>
                <w:position w:val="1"/>
                <w:sz w:val="22"/>
                <w:szCs w:val="22"/>
                <w:lang w:val="es-ES"/>
              </w:rPr>
              <w:t xml:space="preserve"> </w:t>
            </w:r>
            <w:proofErr w:type="spellStart"/>
            <w:r>
              <w:rPr>
                <w:rFonts w:eastAsia="Palatino Linotype"/>
                <w:spacing w:val="-1"/>
                <w:position w:val="1"/>
                <w:sz w:val="22"/>
                <w:szCs w:val="22"/>
                <w:lang w:val="es-ES"/>
              </w:rPr>
              <w:t>than</w:t>
            </w:r>
            <w:proofErr w:type="spellEnd"/>
            <w:r>
              <w:rPr>
                <w:rFonts w:eastAsia="Palatino Linotype"/>
                <w:spacing w:val="-1"/>
                <w:position w:val="1"/>
                <w:sz w:val="22"/>
                <w:szCs w:val="22"/>
                <w:lang w:val="es-ES"/>
              </w:rPr>
              <w:t xml:space="preserve"> </w:t>
            </w:r>
            <w:proofErr w:type="spellStart"/>
            <w:r>
              <w:rPr>
                <w:rFonts w:eastAsia="Palatino Linotype"/>
                <w:spacing w:val="-1"/>
                <w:position w:val="1"/>
                <w:sz w:val="22"/>
                <w:szCs w:val="22"/>
                <w:lang w:val="es-ES"/>
              </w:rPr>
              <w:t>the</w:t>
            </w:r>
            <w:proofErr w:type="spellEnd"/>
            <w:r>
              <w:rPr>
                <w:rFonts w:eastAsia="Palatino Linotype"/>
                <w:spacing w:val="-1"/>
                <w:position w:val="1"/>
                <w:sz w:val="22"/>
                <w:szCs w:val="22"/>
                <w:lang w:val="es-ES"/>
              </w:rPr>
              <w:t xml:space="preserve"> </w:t>
            </w:r>
            <w:proofErr w:type="spellStart"/>
            <w:r>
              <w:rPr>
                <w:rFonts w:eastAsia="Palatino Linotype"/>
                <w:spacing w:val="-1"/>
                <w:position w:val="1"/>
                <w:sz w:val="22"/>
                <w:szCs w:val="22"/>
                <w:lang w:val="es-ES"/>
              </w:rPr>
              <w:t>one</w:t>
            </w:r>
            <w:proofErr w:type="spellEnd"/>
            <w:r>
              <w:rPr>
                <w:rFonts w:eastAsia="Palatino Linotype"/>
                <w:spacing w:val="-1"/>
                <w:position w:val="1"/>
                <w:sz w:val="22"/>
                <w:szCs w:val="22"/>
                <w:lang w:val="es-ES"/>
              </w:rPr>
              <w:t xml:space="preserve"> set, </w:t>
            </w:r>
            <w:proofErr w:type="spellStart"/>
            <w:r>
              <w:rPr>
                <w:rFonts w:eastAsia="Palatino Linotype"/>
                <w:spacing w:val="-1"/>
                <w:position w:val="1"/>
                <w:sz w:val="22"/>
                <w:szCs w:val="22"/>
                <w:lang w:val="es-ES"/>
              </w:rPr>
              <w:t>they</w:t>
            </w:r>
            <w:proofErr w:type="spellEnd"/>
            <w:r>
              <w:rPr>
                <w:rFonts w:eastAsia="Palatino Linotype"/>
                <w:spacing w:val="-1"/>
                <w:position w:val="1"/>
                <w:sz w:val="22"/>
                <w:szCs w:val="22"/>
                <w:lang w:val="es-ES"/>
              </w:rPr>
              <w:t xml:space="preserve"> </w:t>
            </w:r>
            <w:proofErr w:type="spellStart"/>
            <w:r>
              <w:rPr>
                <w:rFonts w:eastAsia="Palatino Linotype"/>
                <w:spacing w:val="-1"/>
                <w:position w:val="1"/>
                <w:sz w:val="22"/>
                <w:szCs w:val="22"/>
                <w:lang w:val="es-ES"/>
              </w:rPr>
              <w:t>must</w:t>
            </w:r>
            <w:proofErr w:type="spellEnd"/>
            <w:r>
              <w:rPr>
                <w:rFonts w:eastAsia="Palatino Linotype"/>
                <w:spacing w:val="-1"/>
                <w:position w:val="1"/>
                <w:sz w:val="22"/>
                <w:szCs w:val="22"/>
                <w:lang w:val="es-ES"/>
              </w:rPr>
              <w:t xml:space="preserve"> </w:t>
            </w:r>
            <w:proofErr w:type="spellStart"/>
            <w:r>
              <w:rPr>
                <w:rFonts w:eastAsia="Palatino Linotype"/>
                <w:spacing w:val="-1"/>
                <w:position w:val="1"/>
                <w:sz w:val="22"/>
                <w:szCs w:val="22"/>
                <w:lang w:val="es-ES"/>
              </w:rPr>
              <w:t>submit</w:t>
            </w:r>
            <w:proofErr w:type="spellEnd"/>
            <w:r>
              <w:rPr>
                <w:rFonts w:eastAsia="Palatino Linotype"/>
                <w:spacing w:val="-1"/>
                <w:position w:val="1"/>
                <w:sz w:val="22"/>
                <w:szCs w:val="22"/>
                <w:lang w:val="es-ES"/>
              </w:rPr>
              <w:t xml:space="preserve"> a note </w:t>
            </w:r>
            <w:proofErr w:type="spellStart"/>
            <w:r>
              <w:rPr>
                <w:rFonts w:eastAsia="Palatino Linotype"/>
                <w:spacing w:val="-1"/>
                <w:position w:val="1"/>
                <w:sz w:val="22"/>
                <w:szCs w:val="22"/>
                <w:lang w:val="es-ES"/>
              </w:rPr>
              <w:t>stating</w:t>
            </w:r>
            <w:proofErr w:type="spellEnd"/>
            <w:r>
              <w:rPr>
                <w:rFonts w:eastAsia="Palatino Linotype"/>
                <w:spacing w:val="-1"/>
                <w:position w:val="1"/>
                <w:sz w:val="22"/>
                <w:szCs w:val="22"/>
                <w:lang w:val="es-ES"/>
              </w:rPr>
              <w:t xml:space="preserve"> </w:t>
            </w:r>
            <w:proofErr w:type="spellStart"/>
            <w:r>
              <w:rPr>
                <w:rFonts w:eastAsia="Palatino Linotype"/>
                <w:spacing w:val="-1"/>
                <w:position w:val="1"/>
                <w:sz w:val="22"/>
                <w:szCs w:val="22"/>
                <w:lang w:val="es-ES"/>
              </w:rPr>
              <w:t>the</w:t>
            </w:r>
            <w:proofErr w:type="spellEnd"/>
            <w:r>
              <w:rPr>
                <w:rFonts w:eastAsia="Palatino Linotype"/>
                <w:spacing w:val="-1"/>
                <w:position w:val="1"/>
                <w:sz w:val="22"/>
                <w:szCs w:val="22"/>
                <w:lang w:val="es-ES"/>
              </w:rPr>
              <w:t xml:space="preserve"> </w:t>
            </w:r>
            <w:proofErr w:type="spellStart"/>
            <w:r>
              <w:rPr>
                <w:rFonts w:eastAsia="Palatino Linotype"/>
                <w:spacing w:val="-1"/>
                <w:position w:val="1"/>
                <w:sz w:val="22"/>
                <w:szCs w:val="22"/>
                <w:lang w:val="es-ES"/>
              </w:rPr>
              <w:t>withdrawal</w:t>
            </w:r>
            <w:proofErr w:type="spellEnd"/>
            <w:r>
              <w:rPr>
                <w:rFonts w:eastAsia="Palatino Linotype"/>
                <w:spacing w:val="-1"/>
                <w:position w:val="1"/>
                <w:sz w:val="22"/>
                <w:szCs w:val="22"/>
                <w:lang w:val="es-ES"/>
              </w:rPr>
              <w:t xml:space="preserve"> </w:t>
            </w:r>
            <w:proofErr w:type="spellStart"/>
            <w:r>
              <w:rPr>
                <w:rFonts w:eastAsia="Palatino Linotype"/>
                <w:spacing w:val="-1"/>
                <w:position w:val="1"/>
                <w:sz w:val="22"/>
                <w:szCs w:val="22"/>
                <w:lang w:val="es-ES"/>
              </w:rPr>
              <w:t>of</w:t>
            </w:r>
            <w:proofErr w:type="spellEnd"/>
            <w:r>
              <w:rPr>
                <w:rFonts w:eastAsia="Palatino Linotype"/>
                <w:spacing w:val="-1"/>
                <w:position w:val="1"/>
                <w:sz w:val="22"/>
                <w:szCs w:val="22"/>
                <w:lang w:val="es-ES"/>
              </w:rPr>
              <w:t xml:space="preserve"> </w:t>
            </w:r>
            <w:proofErr w:type="spellStart"/>
            <w:r>
              <w:rPr>
                <w:rFonts w:eastAsia="Palatino Linotype"/>
                <w:spacing w:val="-1"/>
                <w:position w:val="1"/>
                <w:sz w:val="22"/>
                <w:szCs w:val="22"/>
                <w:lang w:val="es-ES"/>
              </w:rPr>
              <w:t>the</w:t>
            </w:r>
            <w:proofErr w:type="spellEnd"/>
            <w:r>
              <w:rPr>
                <w:rFonts w:eastAsia="Palatino Linotype"/>
                <w:spacing w:val="-1"/>
                <w:position w:val="1"/>
                <w:sz w:val="22"/>
                <w:szCs w:val="22"/>
                <w:lang w:val="es-ES"/>
              </w:rPr>
              <w:t xml:space="preserve"> </w:t>
            </w:r>
            <w:proofErr w:type="spellStart"/>
            <w:r>
              <w:rPr>
                <w:rFonts w:eastAsia="Palatino Linotype"/>
                <w:spacing w:val="-1"/>
                <w:position w:val="1"/>
                <w:sz w:val="22"/>
                <w:szCs w:val="22"/>
                <w:lang w:val="es-ES"/>
              </w:rPr>
              <w:t>bid</w:t>
            </w:r>
            <w:proofErr w:type="spellEnd"/>
            <w:r>
              <w:rPr>
                <w:rFonts w:eastAsia="Palatino Linotype"/>
                <w:spacing w:val="-1"/>
                <w:position w:val="1"/>
                <w:sz w:val="22"/>
                <w:szCs w:val="22"/>
                <w:lang w:val="es-ES"/>
              </w:rPr>
              <w:t xml:space="preserve">, </w:t>
            </w:r>
            <w:proofErr w:type="spellStart"/>
            <w:r>
              <w:rPr>
                <w:rFonts w:eastAsia="Palatino Linotype"/>
                <w:spacing w:val="-1"/>
                <w:position w:val="1"/>
                <w:sz w:val="22"/>
                <w:szCs w:val="22"/>
                <w:lang w:val="es-ES"/>
              </w:rPr>
              <w:t>provided</w:t>
            </w:r>
            <w:proofErr w:type="spellEnd"/>
            <w:r>
              <w:rPr>
                <w:rFonts w:eastAsia="Palatino Linotype"/>
                <w:spacing w:val="-1"/>
                <w:position w:val="1"/>
                <w:sz w:val="22"/>
                <w:szCs w:val="22"/>
                <w:lang w:val="es-ES"/>
              </w:rPr>
              <w:t xml:space="preserve"> </w:t>
            </w:r>
            <w:proofErr w:type="spellStart"/>
            <w:r>
              <w:rPr>
                <w:rFonts w:eastAsia="Palatino Linotype"/>
                <w:spacing w:val="-1"/>
                <w:position w:val="1"/>
                <w:sz w:val="22"/>
                <w:szCs w:val="22"/>
                <w:lang w:val="es-ES"/>
              </w:rPr>
              <w:t>that</w:t>
            </w:r>
            <w:proofErr w:type="spellEnd"/>
            <w:r>
              <w:rPr>
                <w:rFonts w:eastAsia="Palatino Linotype"/>
                <w:spacing w:val="-1"/>
                <w:position w:val="1"/>
                <w:sz w:val="22"/>
                <w:szCs w:val="22"/>
                <w:lang w:val="es-ES"/>
              </w:rPr>
              <w:t xml:space="preserve"> </w:t>
            </w:r>
            <w:proofErr w:type="spellStart"/>
            <w:r>
              <w:rPr>
                <w:rFonts w:eastAsia="Palatino Linotype"/>
                <w:spacing w:val="-1"/>
                <w:position w:val="1"/>
                <w:sz w:val="22"/>
                <w:szCs w:val="22"/>
                <w:lang w:val="es-ES"/>
              </w:rPr>
              <w:t>it</w:t>
            </w:r>
            <w:proofErr w:type="spellEnd"/>
            <w:r>
              <w:rPr>
                <w:rFonts w:eastAsia="Palatino Linotype"/>
                <w:spacing w:val="-1"/>
                <w:position w:val="1"/>
                <w:sz w:val="22"/>
                <w:szCs w:val="22"/>
                <w:lang w:val="es-ES"/>
              </w:rPr>
              <w:t xml:space="preserve"> </w:t>
            </w:r>
            <w:proofErr w:type="spellStart"/>
            <w:r>
              <w:rPr>
                <w:rFonts w:eastAsia="Palatino Linotype"/>
                <w:spacing w:val="-1"/>
                <w:position w:val="1"/>
                <w:sz w:val="22"/>
                <w:szCs w:val="22"/>
                <w:lang w:val="es-ES"/>
              </w:rPr>
              <w:t>is</w:t>
            </w:r>
            <w:proofErr w:type="spellEnd"/>
            <w:r>
              <w:rPr>
                <w:rFonts w:eastAsia="Palatino Linotype"/>
                <w:spacing w:val="-1"/>
                <w:position w:val="1"/>
                <w:sz w:val="22"/>
                <w:szCs w:val="22"/>
                <w:lang w:val="es-ES"/>
              </w:rPr>
              <w:t xml:space="preserve"> </w:t>
            </w:r>
            <w:proofErr w:type="spellStart"/>
            <w:r>
              <w:rPr>
                <w:rFonts w:eastAsia="Palatino Linotype"/>
                <w:spacing w:val="-1"/>
                <w:position w:val="1"/>
                <w:sz w:val="22"/>
                <w:szCs w:val="22"/>
                <w:lang w:val="es-ES"/>
              </w:rPr>
              <w:t>received</w:t>
            </w:r>
            <w:proofErr w:type="spellEnd"/>
            <w:r>
              <w:rPr>
                <w:rFonts w:eastAsia="Palatino Linotype"/>
                <w:spacing w:val="-1"/>
                <w:position w:val="1"/>
                <w:sz w:val="22"/>
                <w:szCs w:val="22"/>
                <w:lang w:val="es-ES"/>
              </w:rPr>
              <w:t xml:space="preserve"> prior </w:t>
            </w:r>
            <w:proofErr w:type="spellStart"/>
            <w:r>
              <w:rPr>
                <w:rFonts w:eastAsia="Palatino Linotype"/>
                <w:spacing w:val="-1"/>
                <w:position w:val="1"/>
                <w:sz w:val="22"/>
                <w:szCs w:val="22"/>
                <w:lang w:val="es-ES"/>
              </w:rPr>
              <w:t>to</w:t>
            </w:r>
            <w:proofErr w:type="spellEnd"/>
            <w:r>
              <w:rPr>
                <w:rFonts w:eastAsia="Palatino Linotype"/>
                <w:spacing w:val="-1"/>
                <w:position w:val="1"/>
                <w:sz w:val="22"/>
                <w:szCs w:val="22"/>
                <w:lang w:val="es-ES"/>
              </w:rPr>
              <w:t xml:space="preserve"> </w:t>
            </w:r>
            <w:proofErr w:type="spellStart"/>
            <w:r>
              <w:rPr>
                <w:rFonts w:eastAsia="Palatino Linotype"/>
                <w:spacing w:val="-1"/>
                <w:position w:val="1"/>
                <w:sz w:val="22"/>
                <w:szCs w:val="22"/>
                <w:lang w:val="es-ES"/>
              </w:rPr>
              <w:t>the</w:t>
            </w:r>
            <w:proofErr w:type="spellEnd"/>
            <w:r>
              <w:rPr>
                <w:rFonts w:eastAsia="Palatino Linotype"/>
                <w:spacing w:val="-1"/>
                <w:position w:val="1"/>
                <w:sz w:val="22"/>
                <w:szCs w:val="22"/>
                <w:lang w:val="es-ES"/>
              </w:rPr>
              <w:t xml:space="preserve"> </w:t>
            </w:r>
            <w:proofErr w:type="spellStart"/>
            <w:r>
              <w:rPr>
                <w:rFonts w:eastAsia="Palatino Linotype"/>
                <w:spacing w:val="-1"/>
                <w:position w:val="1"/>
                <w:sz w:val="22"/>
                <w:szCs w:val="22"/>
                <w:lang w:val="es-ES"/>
              </w:rPr>
              <w:t>notification</w:t>
            </w:r>
            <w:proofErr w:type="spellEnd"/>
            <w:r>
              <w:rPr>
                <w:rFonts w:eastAsia="Palatino Linotype"/>
                <w:spacing w:val="-1"/>
                <w:position w:val="1"/>
                <w:sz w:val="22"/>
                <w:szCs w:val="22"/>
                <w:lang w:val="es-ES"/>
              </w:rPr>
              <w:t xml:space="preserve"> </w:t>
            </w:r>
            <w:proofErr w:type="spellStart"/>
            <w:r>
              <w:rPr>
                <w:rFonts w:eastAsia="Palatino Linotype"/>
                <w:spacing w:val="-1"/>
                <w:position w:val="1"/>
                <w:sz w:val="22"/>
                <w:szCs w:val="22"/>
                <w:lang w:val="es-ES"/>
              </w:rPr>
              <w:t>of</w:t>
            </w:r>
            <w:proofErr w:type="spellEnd"/>
            <w:r>
              <w:rPr>
                <w:rFonts w:eastAsia="Palatino Linotype"/>
                <w:spacing w:val="-1"/>
                <w:position w:val="1"/>
                <w:sz w:val="22"/>
                <w:szCs w:val="22"/>
                <w:lang w:val="es-ES"/>
              </w:rPr>
              <w:t xml:space="preserve"> </w:t>
            </w:r>
            <w:proofErr w:type="spellStart"/>
            <w:r>
              <w:rPr>
                <w:rFonts w:eastAsia="Palatino Linotype"/>
                <w:spacing w:val="-1"/>
                <w:position w:val="1"/>
                <w:sz w:val="22"/>
                <w:szCs w:val="22"/>
                <w:lang w:val="es-ES"/>
              </w:rPr>
              <w:t>the</w:t>
            </w:r>
            <w:proofErr w:type="spellEnd"/>
            <w:r>
              <w:rPr>
                <w:rFonts w:eastAsia="Palatino Linotype"/>
                <w:spacing w:val="-1"/>
                <w:position w:val="1"/>
                <w:sz w:val="22"/>
                <w:szCs w:val="22"/>
                <w:lang w:val="es-ES"/>
              </w:rPr>
              <w:t xml:space="preserve"> </w:t>
            </w:r>
            <w:proofErr w:type="spellStart"/>
            <w:r>
              <w:rPr>
                <w:rFonts w:eastAsia="Palatino Linotype"/>
                <w:spacing w:val="-1"/>
                <w:position w:val="1"/>
                <w:sz w:val="22"/>
                <w:szCs w:val="22"/>
                <w:lang w:val="es-ES"/>
              </w:rPr>
              <w:t>award</w:t>
            </w:r>
            <w:proofErr w:type="spellEnd"/>
            <w:r>
              <w:rPr>
                <w:rFonts w:eastAsia="Palatino Linotype"/>
                <w:spacing w:val="-1"/>
                <w:position w:val="1"/>
                <w:sz w:val="22"/>
                <w:szCs w:val="22"/>
                <w:lang w:val="es-ES"/>
              </w:rPr>
              <w:t>.</w:t>
            </w:r>
          </w:p>
        </w:tc>
      </w:tr>
      <w:tr w:rsidR="00E255F4" w14:paraId="4F9F8DCF" w14:textId="77777777">
        <w:tc>
          <w:tcPr>
            <w:tcW w:w="730" w:type="dxa"/>
            <w:tcBorders>
              <w:top w:val="single" w:sz="4" w:space="0" w:color="000000"/>
              <w:left w:val="single" w:sz="4" w:space="0" w:color="000000"/>
              <w:bottom w:val="single" w:sz="4" w:space="0" w:color="000000"/>
              <w:right w:val="single" w:sz="4" w:space="0" w:color="000000"/>
            </w:tcBorders>
          </w:tcPr>
          <w:p w14:paraId="5BA8F20B" w14:textId="77777777" w:rsidR="00E255F4" w:rsidRDefault="00000000">
            <w:pPr>
              <w:ind w:right="-36"/>
              <w:rPr>
                <w:rFonts w:eastAsia="Palatino Linotype"/>
                <w:b/>
                <w:sz w:val="22"/>
                <w:szCs w:val="24"/>
                <w:lang w:val="es-ES"/>
              </w:rPr>
            </w:pPr>
            <w:r>
              <w:rPr>
                <w:rFonts w:eastAsia="Palatino Linotype"/>
                <w:b/>
                <w:sz w:val="22"/>
                <w:szCs w:val="22"/>
                <w:lang w:val="es-ES"/>
              </w:rPr>
              <w:t>10.2</w:t>
            </w:r>
          </w:p>
        </w:tc>
        <w:tc>
          <w:tcPr>
            <w:tcW w:w="9048" w:type="dxa"/>
            <w:tcBorders>
              <w:top w:val="single" w:sz="4" w:space="0" w:color="000000"/>
              <w:left w:val="single" w:sz="4" w:space="0" w:color="000000"/>
              <w:bottom w:val="single" w:sz="4" w:space="0" w:color="000000"/>
              <w:right w:val="single" w:sz="4" w:space="0" w:color="000000"/>
            </w:tcBorders>
          </w:tcPr>
          <w:p w14:paraId="7B5A83E8" w14:textId="77777777" w:rsidR="00E255F4" w:rsidRDefault="00000000">
            <w:pPr>
              <w:spacing w:line="360" w:lineRule="auto"/>
              <w:jc w:val="both"/>
              <w:rPr>
                <w:rFonts w:eastAsia="Palatino Linotype"/>
                <w:b/>
                <w:spacing w:val="-1"/>
                <w:position w:val="1"/>
                <w:sz w:val="22"/>
                <w:szCs w:val="22"/>
                <w:lang w:val="es-ES"/>
              </w:rPr>
            </w:pPr>
            <w:proofErr w:type="spellStart"/>
            <w:r>
              <w:rPr>
                <w:rFonts w:eastAsia="Palatino Linotype"/>
                <w:b/>
                <w:spacing w:val="-1"/>
                <w:position w:val="1"/>
                <w:sz w:val="22"/>
                <w:szCs w:val="22"/>
                <w:lang w:val="es-ES"/>
              </w:rPr>
              <w:t>Object</w:t>
            </w:r>
            <w:proofErr w:type="spellEnd"/>
          </w:p>
          <w:p w14:paraId="5A835B68" w14:textId="77777777" w:rsidR="00E255F4" w:rsidRDefault="00E255F4">
            <w:pPr>
              <w:spacing w:line="360" w:lineRule="auto"/>
              <w:jc w:val="both"/>
              <w:rPr>
                <w:rFonts w:eastAsia="Palatino Linotype"/>
                <w:b/>
                <w:spacing w:val="-1"/>
                <w:position w:val="1"/>
                <w:sz w:val="22"/>
                <w:szCs w:val="22"/>
                <w:lang w:val="es-ES"/>
              </w:rPr>
            </w:pPr>
          </w:p>
          <w:p w14:paraId="7C5695FF" w14:textId="77777777" w:rsidR="00E255F4" w:rsidRDefault="00000000">
            <w:pPr>
              <w:spacing w:after="240"/>
              <w:ind w:left="34" w:hanging="34"/>
              <w:jc w:val="both"/>
            </w:pPr>
            <w:r>
              <w:rPr>
                <w:sz w:val="22"/>
                <w:szCs w:val="22"/>
              </w:rPr>
              <w:t xml:space="preserve">The </w:t>
            </w:r>
            <w:proofErr w:type="spellStart"/>
            <w:r>
              <w:rPr>
                <w:sz w:val="22"/>
                <w:szCs w:val="22"/>
              </w:rPr>
              <w:t>purpose</w:t>
            </w:r>
            <w:proofErr w:type="spellEnd"/>
            <w:r>
              <w:rPr>
                <w:sz w:val="22"/>
                <w:szCs w:val="22"/>
              </w:rPr>
              <w:t xml:space="preserve"> </w:t>
            </w:r>
            <w:proofErr w:type="spellStart"/>
            <w:r>
              <w:rPr>
                <w:sz w:val="22"/>
                <w:szCs w:val="22"/>
              </w:rPr>
              <w:t>of</w:t>
            </w:r>
            <w:proofErr w:type="spellEnd"/>
            <w:r>
              <w:rPr>
                <w:sz w:val="22"/>
                <w:szCs w:val="22"/>
              </w:rPr>
              <w:t xml:space="preserve"> </w:t>
            </w:r>
            <w:proofErr w:type="spellStart"/>
            <w:r>
              <w:rPr>
                <w:sz w:val="22"/>
                <w:szCs w:val="22"/>
              </w:rPr>
              <w:t>the</w:t>
            </w:r>
            <w:proofErr w:type="spellEnd"/>
            <w:r>
              <w:rPr>
                <w:sz w:val="22"/>
                <w:szCs w:val="22"/>
              </w:rPr>
              <w:t xml:space="preserve"> tender </w:t>
            </w:r>
            <w:proofErr w:type="spellStart"/>
            <w:r>
              <w:rPr>
                <w:sz w:val="22"/>
                <w:szCs w:val="22"/>
              </w:rPr>
              <w:t>is</w:t>
            </w:r>
            <w:proofErr w:type="spellEnd"/>
            <w:r>
              <w:rPr>
                <w:sz w:val="22"/>
                <w:szCs w:val="22"/>
              </w:rPr>
              <w:t xml:space="preserve"> </w:t>
            </w:r>
            <w:proofErr w:type="spellStart"/>
            <w:r>
              <w:rPr>
                <w:sz w:val="22"/>
                <w:szCs w:val="22"/>
              </w:rPr>
              <w:t>the</w:t>
            </w:r>
            <w:proofErr w:type="spellEnd"/>
            <w:r>
              <w:rPr>
                <w:sz w:val="22"/>
                <w:szCs w:val="22"/>
              </w:rPr>
              <w:t xml:space="preserve"> </w:t>
            </w:r>
            <w:proofErr w:type="spellStart"/>
            <w:r>
              <w:rPr>
                <w:sz w:val="22"/>
                <w:szCs w:val="22"/>
              </w:rPr>
              <w:t>acquisition</w:t>
            </w:r>
            <w:proofErr w:type="spellEnd"/>
            <w:r>
              <w:rPr>
                <w:sz w:val="22"/>
                <w:szCs w:val="22"/>
              </w:rPr>
              <w:t xml:space="preserve"> </w:t>
            </w:r>
            <w:proofErr w:type="spellStart"/>
            <w:r>
              <w:rPr>
                <w:sz w:val="22"/>
                <w:szCs w:val="22"/>
              </w:rPr>
              <w:t>of</w:t>
            </w:r>
            <w:proofErr w:type="spellEnd"/>
            <w:r>
              <w:rPr>
                <w:sz w:val="22"/>
                <w:szCs w:val="22"/>
              </w:rPr>
              <w:t xml:space="preserve"> up </w:t>
            </w:r>
            <w:proofErr w:type="spellStart"/>
            <w:r>
              <w:rPr>
                <w:sz w:val="22"/>
                <w:szCs w:val="22"/>
              </w:rPr>
              <w:t>to</w:t>
            </w:r>
            <w:proofErr w:type="spellEnd"/>
            <w:r>
              <w:rPr>
                <w:sz w:val="22"/>
                <w:szCs w:val="22"/>
              </w:rPr>
              <w:t xml:space="preserve"> 50,000 12.7 mm </w:t>
            </w:r>
            <w:proofErr w:type="spellStart"/>
            <w:r>
              <w:rPr>
                <w:sz w:val="22"/>
                <w:szCs w:val="22"/>
              </w:rPr>
              <w:t>ultrasonic</w:t>
            </w:r>
            <w:proofErr w:type="spellEnd"/>
            <w:r>
              <w:rPr>
                <w:sz w:val="22"/>
                <w:szCs w:val="22"/>
              </w:rPr>
              <w:t xml:space="preserve"> </w:t>
            </w:r>
            <w:proofErr w:type="spellStart"/>
            <w:r>
              <w:rPr>
                <w:sz w:val="22"/>
                <w:szCs w:val="22"/>
              </w:rPr>
              <w:t>smart</w:t>
            </w:r>
            <w:proofErr w:type="spellEnd"/>
            <w:r>
              <w:rPr>
                <w:sz w:val="22"/>
                <w:szCs w:val="22"/>
              </w:rPr>
              <w:t xml:space="preserve"> </w:t>
            </w:r>
            <w:proofErr w:type="spellStart"/>
            <w:r>
              <w:rPr>
                <w:sz w:val="22"/>
                <w:szCs w:val="22"/>
              </w:rPr>
              <w:t>drinking</w:t>
            </w:r>
            <w:proofErr w:type="spellEnd"/>
            <w:r>
              <w:rPr>
                <w:sz w:val="22"/>
                <w:szCs w:val="22"/>
              </w:rPr>
              <w:t xml:space="preserve"> </w:t>
            </w:r>
            <w:proofErr w:type="spellStart"/>
            <w:r>
              <w:rPr>
                <w:sz w:val="22"/>
                <w:szCs w:val="22"/>
              </w:rPr>
              <w:t>water</w:t>
            </w:r>
            <w:proofErr w:type="spellEnd"/>
            <w:r>
              <w:rPr>
                <w:sz w:val="22"/>
                <w:szCs w:val="22"/>
              </w:rPr>
              <w:t xml:space="preserve"> </w:t>
            </w:r>
            <w:proofErr w:type="spellStart"/>
            <w:r>
              <w:rPr>
                <w:sz w:val="22"/>
                <w:szCs w:val="22"/>
              </w:rPr>
              <w:t>meters</w:t>
            </w:r>
            <w:proofErr w:type="spellEnd"/>
            <w:r>
              <w:rPr>
                <w:sz w:val="22"/>
                <w:szCs w:val="22"/>
              </w:rPr>
              <w:t xml:space="preserve"> </w:t>
            </w:r>
            <w:proofErr w:type="spellStart"/>
            <w:r>
              <w:rPr>
                <w:sz w:val="22"/>
                <w:szCs w:val="22"/>
              </w:rPr>
              <w:t>with</w:t>
            </w:r>
            <w:proofErr w:type="spellEnd"/>
            <w:r>
              <w:rPr>
                <w:sz w:val="22"/>
                <w:szCs w:val="22"/>
              </w:rPr>
              <w:t xml:space="preserve"> </w:t>
            </w:r>
            <w:proofErr w:type="spellStart"/>
            <w:r>
              <w:rPr>
                <w:sz w:val="22"/>
                <w:szCs w:val="22"/>
              </w:rPr>
              <w:t>embedded</w:t>
            </w:r>
            <w:proofErr w:type="spellEnd"/>
            <w:r>
              <w:rPr>
                <w:sz w:val="22"/>
                <w:szCs w:val="22"/>
              </w:rPr>
              <w:t xml:space="preserve"> firmware as </w:t>
            </w:r>
            <w:proofErr w:type="spellStart"/>
            <w:r>
              <w:rPr>
                <w:sz w:val="22"/>
                <w:szCs w:val="22"/>
              </w:rPr>
              <w:t>part</w:t>
            </w:r>
            <w:proofErr w:type="spellEnd"/>
            <w:r>
              <w:rPr>
                <w:sz w:val="22"/>
                <w:szCs w:val="22"/>
              </w:rPr>
              <w:t xml:space="preserve"> </w:t>
            </w:r>
            <w:proofErr w:type="spellStart"/>
            <w:r>
              <w:rPr>
                <w:sz w:val="22"/>
                <w:szCs w:val="22"/>
              </w:rPr>
              <w:t>of</w:t>
            </w:r>
            <w:proofErr w:type="spellEnd"/>
            <w:r>
              <w:rPr>
                <w:sz w:val="22"/>
                <w:szCs w:val="22"/>
              </w:rPr>
              <w:t xml:space="preserve"> </w:t>
            </w:r>
            <w:proofErr w:type="spellStart"/>
            <w:r>
              <w:rPr>
                <w:sz w:val="22"/>
                <w:szCs w:val="22"/>
              </w:rPr>
              <w:t>the</w:t>
            </w:r>
            <w:proofErr w:type="spellEnd"/>
            <w:r>
              <w:rPr>
                <w:sz w:val="22"/>
                <w:szCs w:val="22"/>
              </w:rPr>
              <w:t xml:space="preserve"> </w:t>
            </w:r>
            <w:proofErr w:type="spellStart"/>
            <w:r>
              <w:rPr>
                <w:sz w:val="22"/>
                <w:szCs w:val="22"/>
              </w:rPr>
              <w:t>equipment</w:t>
            </w:r>
            <w:proofErr w:type="spellEnd"/>
            <w:r>
              <w:rPr>
                <w:sz w:val="22"/>
                <w:szCs w:val="22"/>
              </w:rPr>
              <w:t xml:space="preserve">, </w:t>
            </w:r>
            <w:proofErr w:type="spellStart"/>
            <w:r>
              <w:rPr>
                <w:sz w:val="22"/>
                <w:szCs w:val="22"/>
              </w:rPr>
              <w:t>for</w:t>
            </w:r>
            <w:proofErr w:type="spellEnd"/>
            <w:r>
              <w:rPr>
                <w:sz w:val="22"/>
                <w:szCs w:val="22"/>
              </w:rPr>
              <w:t xml:space="preserve"> </w:t>
            </w:r>
            <w:proofErr w:type="spellStart"/>
            <w:r>
              <w:rPr>
                <w:sz w:val="22"/>
                <w:szCs w:val="22"/>
              </w:rPr>
              <w:t>installation</w:t>
            </w:r>
            <w:proofErr w:type="spellEnd"/>
            <w:r>
              <w:rPr>
                <w:sz w:val="22"/>
                <w:szCs w:val="22"/>
              </w:rPr>
              <w:t xml:space="preserve"> </w:t>
            </w:r>
            <w:proofErr w:type="spellStart"/>
            <w:r>
              <w:rPr>
                <w:sz w:val="22"/>
                <w:szCs w:val="22"/>
              </w:rPr>
              <w:t>by</w:t>
            </w:r>
            <w:proofErr w:type="spellEnd"/>
            <w:r>
              <w:rPr>
                <w:sz w:val="22"/>
                <w:szCs w:val="22"/>
              </w:rPr>
              <w:t xml:space="preserve"> OSE in </w:t>
            </w:r>
            <w:proofErr w:type="spellStart"/>
            <w:r>
              <w:rPr>
                <w:sz w:val="22"/>
                <w:szCs w:val="22"/>
              </w:rPr>
              <w:t>connections</w:t>
            </w:r>
            <w:proofErr w:type="spellEnd"/>
            <w:r>
              <w:rPr>
                <w:sz w:val="22"/>
                <w:szCs w:val="22"/>
              </w:rPr>
              <w:t xml:space="preserve"> </w:t>
            </w:r>
            <w:proofErr w:type="spellStart"/>
            <w:r>
              <w:rPr>
                <w:sz w:val="22"/>
                <w:szCs w:val="22"/>
              </w:rPr>
              <w:t>within</w:t>
            </w:r>
            <w:proofErr w:type="spellEnd"/>
            <w:r>
              <w:rPr>
                <w:sz w:val="22"/>
                <w:szCs w:val="22"/>
              </w:rPr>
              <w:t xml:space="preserve"> </w:t>
            </w:r>
            <w:proofErr w:type="spellStart"/>
            <w:r>
              <w:rPr>
                <w:sz w:val="22"/>
                <w:szCs w:val="22"/>
              </w:rPr>
              <w:t>the</w:t>
            </w:r>
            <w:proofErr w:type="spellEnd"/>
            <w:r>
              <w:rPr>
                <w:sz w:val="22"/>
                <w:szCs w:val="22"/>
              </w:rPr>
              <w:t xml:space="preserve"> </w:t>
            </w:r>
            <w:proofErr w:type="spellStart"/>
            <w:r>
              <w:rPr>
                <w:sz w:val="22"/>
                <w:szCs w:val="22"/>
              </w:rPr>
              <w:t>framework</w:t>
            </w:r>
            <w:proofErr w:type="spellEnd"/>
            <w:r>
              <w:rPr>
                <w:sz w:val="22"/>
                <w:szCs w:val="22"/>
              </w:rPr>
              <w:t xml:space="preserve"> </w:t>
            </w:r>
            <w:proofErr w:type="spellStart"/>
            <w:r>
              <w:rPr>
                <w:sz w:val="22"/>
                <w:szCs w:val="22"/>
              </w:rPr>
              <w:t>of</w:t>
            </w:r>
            <w:proofErr w:type="spellEnd"/>
            <w:r>
              <w:rPr>
                <w:sz w:val="22"/>
                <w:szCs w:val="22"/>
              </w:rPr>
              <w:t xml:space="preserve"> </w:t>
            </w:r>
            <w:proofErr w:type="spellStart"/>
            <w:r>
              <w:rPr>
                <w:sz w:val="22"/>
                <w:szCs w:val="22"/>
              </w:rPr>
              <w:t>the</w:t>
            </w:r>
            <w:proofErr w:type="spellEnd"/>
            <w:r>
              <w:rPr>
                <w:sz w:val="22"/>
                <w:szCs w:val="22"/>
              </w:rPr>
              <w:t xml:space="preserve"> OSE Evoluciona Project, </w:t>
            </w:r>
            <w:proofErr w:type="spellStart"/>
            <w:r>
              <w:rPr>
                <w:sz w:val="22"/>
                <w:szCs w:val="22"/>
              </w:rPr>
              <w:t>enabled</w:t>
            </w:r>
            <w:proofErr w:type="spellEnd"/>
            <w:r>
              <w:rPr>
                <w:sz w:val="22"/>
                <w:szCs w:val="22"/>
              </w:rPr>
              <w:t xml:space="preserve"> </w:t>
            </w:r>
            <w:proofErr w:type="spellStart"/>
            <w:r>
              <w:rPr>
                <w:sz w:val="22"/>
                <w:szCs w:val="22"/>
              </w:rPr>
              <w:t>for</w:t>
            </w:r>
            <w:proofErr w:type="spellEnd"/>
            <w:r>
              <w:rPr>
                <w:sz w:val="22"/>
                <w:szCs w:val="22"/>
              </w:rPr>
              <w:t xml:space="preserve"> </w:t>
            </w:r>
            <w:proofErr w:type="spellStart"/>
            <w:r>
              <w:rPr>
                <w:sz w:val="22"/>
                <w:szCs w:val="22"/>
              </w:rPr>
              <w:t>the</w:t>
            </w:r>
            <w:proofErr w:type="spellEnd"/>
            <w:r>
              <w:rPr>
                <w:sz w:val="22"/>
                <w:szCs w:val="22"/>
              </w:rPr>
              <w:t xml:space="preserve"> capture and </w:t>
            </w:r>
            <w:proofErr w:type="spellStart"/>
            <w:r>
              <w:rPr>
                <w:sz w:val="22"/>
                <w:szCs w:val="22"/>
              </w:rPr>
              <w:t>transmission</w:t>
            </w:r>
            <w:proofErr w:type="spellEnd"/>
            <w:r>
              <w:rPr>
                <w:sz w:val="22"/>
                <w:szCs w:val="22"/>
              </w:rPr>
              <w:t xml:space="preserve"> </w:t>
            </w:r>
            <w:proofErr w:type="spellStart"/>
            <w:r>
              <w:rPr>
                <w:sz w:val="22"/>
                <w:szCs w:val="22"/>
              </w:rPr>
              <w:t>of</w:t>
            </w:r>
            <w:proofErr w:type="spellEnd"/>
            <w:r>
              <w:rPr>
                <w:sz w:val="22"/>
                <w:szCs w:val="22"/>
              </w:rPr>
              <w:t xml:space="preserve"> data </w:t>
            </w:r>
            <w:proofErr w:type="spellStart"/>
            <w:r>
              <w:rPr>
                <w:sz w:val="22"/>
                <w:szCs w:val="22"/>
              </w:rPr>
              <w:t>through</w:t>
            </w:r>
            <w:proofErr w:type="spellEnd"/>
            <w:r>
              <w:rPr>
                <w:sz w:val="22"/>
                <w:szCs w:val="22"/>
              </w:rPr>
              <w:t xml:space="preserve"> </w:t>
            </w:r>
            <w:proofErr w:type="spellStart"/>
            <w:r>
              <w:rPr>
                <w:sz w:val="22"/>
                <w:szCs w:val="22"/>
              </w:rPr>
              <w:t>telecommunications</w:t>
            </w:r>
            <w:proofErr w:type="spellEnd"/>
            <w:r>
              <w:rPr>
                <w:sz w:val="22"/>
                <w:szCs w:val="22"/>
              </w:rPr>
              <w:t xml:space="preserve"> </w:t>
            </w:r>
            <w:proofErr w:type="spellStart"/>
            <w:r>
              <w:rPr>
                <w:sz w:val="22"/>
                <w:szCs w:val="22"/>
              </w:rPr>
              <w:t>technologies</w:t>
            </w:r>
            <w:proofErr w:type="spellEnd"/>
            <w:r>
              <w:rPr>
                <w:sz w:val="22"/>
                <w:szCs w:val="22"/>
              </w:rPr>
              <w:t>.</w:t>
            </w:r>
          </w:p>
          <w:p w14:paraId="20C54316" w14:textId="77777777" w:rsidR="00E255F4" w:rsidRDefault="00000000">
            <w:pPr>
              <w:spacing w:after="240"/>
              <w:ind w:left="34" w:hanging="34"/>
              <w:jc w:val="both"/>
              <w:rPr>
                <w:sz w:val="22"/>
                <w:szCs w:val="22"/>
                <w:lang w:val="es-ES"/>
              </w:rPr>
            </w:pPr>
            <w:r>
              <w:rPr>
                <w:sz w:val="22"/>
                <w:szCs w:val="22"/>
              </w:rPr>
              <w:t xml:space="preserve">For </w:t>
            </w:r>
            <w:proofErr w:type="spellStart"/>
            <w:r>
              <w:rPr>
                <w:sz w:val="22"/>
                <w:szCs w:val="22"/>
              </w:rPr>
              <w:t>the</w:t>
            </w:r>
            <w:proofErr w:type="spellEnd"/>
            <w:r>
              <w:rPr>
                <w:sz w:val="22"/>
                <w:szCs w:val="22"/>
              </w:rPr>
              <w:t xml:space="preserve"> </w:t>
            </w:r>
            <w:proofErr w:type="spellStart"/>
            <w:r>
              <w:rPr>
                <w:sz w:val="22"/>
                <w:szCs w:val="22"/>
              </w:rPr>
              <w:t>purposes</w:t>
            </w:r>
            <w:proofErr w:type="spellEnd"/>
            <w:r>
              <w:rPr>
                <w:sz w:val="22"/>
                <w:szCs w:val="22"/>
              </w:rPr>
              <w:t xml:space="preserve"> </w:t>
            </w:r>
            <w:proofErr w:type="spellStart"/>
            <w:r>
              <w:rPr>
                <w:sz w:val="22"/>
                <w:szCs w:val="22"/>
              </w:rPr>
              <w:t>of</w:t>
            </w:r>
            <w:proofErr w:type="spellEnd"/>
            <w:r>
              <w:rPr>
                <w:sz w:val="22"/>
                <w:szCs w:val="22"/>
              </w:rPr>
              <w:t xml:space="preserve"> </w:t>
            </w:r>
            <w:proofErr w:type="spellStart"/>
            <w:r>
              <w:rPr>
                <w:sz w:val="22"/>
                <w:szCs w:val="22"/>
              </w:rPr>
              <w:t>this</w:t>
            </w:r>
            <w:proofErr w:type="spellEnd"/>
            <w:r>
              <w:rPr>
                <w:sz w:val="22"/>
                <w:szCs w:val="22"/>
              </w:rPr>
              <w:t xml:space="preserve"> tender, </w:t>
            </w:r>
            <w:proofErr w:type="spellStart"/>
            <w:r>
              <w:rPr>
                <w:sz w:val="22"/>
                <w:szCs w:val="22"/>
              </w:rPr>
              <w:t>the</w:t>
            </w:r>
            <w:proofErr w:type="spellEnd"/>
            <w:r>
              <w:rPr>
                <w:sz w:val="22"/>
                <w:szCs w:val="22"/>
              </w:rPr>
              <w:t xml:space="preserve"> firmware </w:t>
            </w:r>
            <w:proofErr w:type="spellStart"/>
            <w:r>
              <w:rPr>
                <w:sz w:val="22"/>
                <w:szCs w:val="22"/>
              </w:rPr>
              <w:t>is</w:t>
            </w:r>
            <w:proofErr w:type="spellEnd"/>
            <w:r>
              <w:rPr>
                <w:sz w:val="22"/>
                <w:szCs w:val="22"/>
              </w:rPr>
              <w:t xml:space="preserve"> </w:t>
            </w:r>
            <w:proofErr w:type="spellStart"/>
            <w:r>
              <w:rPr>
                <w:sz w:val="22"/>
                <w:szCs w:val="22"/>
              </w:rPr>
              <w:t>considered</w:t>
            </w:r>
            <w:proofErr w:type="spellEnd"/>
            <w:r>
              <w:rPr>
                <w:sz w:val="22"/>
                <w:szCs w:val="22"/>
              </w:rPr>
              <w:t xml:space="preserve"> a </w:t>
            </w:r>
            <w:proofErr w:type="spellStart"/>
            <w:r>
              <w:rPr>
                <w:sz w:val="22"/>
                <w:szCs w:val="22"/>
              </w:rPr>
              <w:t>constituent</w:t>
            </w:r>
            <w:proofErr w:type="spellEnd"/>
            <w:r>
              <w:rPr>
                <w:sz w:val="22"/>
                <w:szCs w:val="22"/>
              </w:rPr>
              <w:t xml:space="preserve"> </w:t>
            </w:r>
            <w:proofErr w:type="spellStart"/>
            <w:r>
              <w:rPr>
                <w:sz w:val="22"/>
                <w:szCs w:val="22"/>
              </w:rPr>
              <w:t>part</w:t>
            </w:r>
            <w:proofErr w:type="spellEnd"/>
            <w:r>
              <w:rPr>
                <w:sz w:val="22"/>
                <w:szCs w:val="22"/>
              </w:rPr>
              <w:t xml:space="preserve"> </w:t>
            </w:r>
            <w:proofErr w:type="spellStart"/>
            <w:r>
              <w:rPr>
                <w:sz w:val="22"/>
                <w:szCs w:val="22"/>
              </w:rPr>
              <w:t>of</w:t>
            </w:r>
            <w:proofErr w:type="spellEnd"/>
            <w:r>
              <w:rPr>
                <w:sz w:val="22"/>
                <w:szCs w:val="22"/>
              </w:rPr>
              <w:t xml:space="preserve"> </w:t>
            </w:r>
            <w:proofErr w:type="spellStart"/>
            <w:r>
              <w:rPr>
                <w:sz w:val="22"/>
                <w:szCs w:val="22"/>
              </w:rPr>
              <w:t>the</w:t>
            </w:r>
            <w:proofErr w:type="spellEnd"/>
            <w:r>
              <w:rPr>
                <w:sz w:val="22"/>
                <w:szCs w:val="22"/>
              </w:rPr>
              <w:t xml:space="preserve"> meter, </w:t>
            </w:r>
            <w:proofErr w:type="spellStart"/>
            <w:r>
              <w:rPr>
                <w:sz w:val="22"/>
                <w:szCs w:val="22"/>
              </w:rPr>
              <w:t>supplied</w:t>
            </w:r>
            <w:proofErr w:type="spellEnd"/>
            <w:r>
              <w:rPr>
                <w:sz w:val="22"/>
                <w:szCs w:val="22"/>
              </w:rPr>
              <w:t xml:space="preserve"> </w:t>
            </w:r>
            <w:proofErr w:type="spellStart"/>
            <w:r>
              <w:rPr>
                <w:sz w:val="22"/>
                <w:szCs w:val="22"/>
              </w:rPr>
              <w:t>by</w:t>
            </w:r>
            <w:proofErr w:type="spellEnd"/>
            <w:r>
              <w:rPr>
                <w:sz w:val="22"/>
                <w:szCs w:val="22"/>
              </w:rPr>
              <w:t xml:space="preserve"> </w:t>
            </w:r>
            <w:proofErr w:type="spellStart"/>
            <w:r>
              <w:rPr>
                <w:sz w:val="22"/>
                <w:szCs w:val="22"/>
              </w:rPr>
              <w:t>the</w:t>
            </w:r>
            <w:proofErr w:type="spellEnd"/>
            <w:r>
              <w:rPr>
                <w:sz w:val="22"/>
                <w:szCs w:val="22"/>
              </w:rPr>
              <w:t xml:space="preserve"> </w:t>
            </w:r>
            <w:proofErr w:type="spellStart"/>
            <w:r>
              <w:rPr>
                <w:sz w:val="22"/>
                <w:szCs w:val="22"/>
              </w:rPr>
              <w:t>factory</w:t>
            </w:r>
            <w:proofErr w:type="spellEnd"/>
            <w:r>
              <w:rPr>
                <w:sz w:val="22"/>
                <w:szCs w:val="22"/>
              </w:rPr>
              <w:t xml:space="preserve"> and </w:t>
            </w:r>
            <w:proofErr w:type="spellStart"/>
            <w:r>
              <w:rPr>
                <w:sz w:val="22"/>
                <w:szCs w:val="22"/>
              </w:rPr>
              <w:t>included</w:t>
            </w:r>
            <w:proofErr w:type="spellEnd"/>
            <w:r>
              <w:rPr>
                <w:sz w:val="22"/>
                <w:szCs w:val="22"/>
              </w:rPr>
              <w:t xml:space="preserve"> in </w:t>
            </w:r>
            <w:proofErr w:type="spellStart"/>
            <w:r>
              <w:rPr>
                <w:sz w:val="22"/>
                <w:szCs w:val="22"/>
              </w:rPr>
              <w:t>the</w:t>
            </w:r>
            <w:proofErr w:type="spellEnd"/>
            <w:r>
              <w:rPr>
                <w:sz w:val="22"/>
                <w:szCs w:val="22"/>
              </w:rPr>
              <w:t xml:space="preserve"> </w:t>
            </w:r>
            <w:proofErr w:type="spellStart"/>
            <w:r>
              <w:rPr>
                <w:sz w:val="22"/>
                <w:szCs w:val="22"/>
              </w:rPr>
              <w:t>equipment</w:t>
            </w:r>
            <w:proofErr w:type="spellEnd"/>
            <w:r>
              <w:rPr>
                <w:sz w:val="22"/>
                <w:szCs w:val="22"/>
              </w:rPr>
              <w:t xml:space="preserve"> </w:t>
            </w:r>
            <w:proofErr w:type="spellStart"/>
            <w:r>
              <w:rPr>
                <w:sz w:val="22"/>
                <w:szCs w:val="22"/>
              </w:rPr>
              <w:t>supply</w:t>
            </w:r>
            <w:proofErr w:type="spellEnd"/>
            <w:r>
              <w:rPr>
                <w:sz w:val="22"/>
                <w:szCs w:val="22"/>
              </w:rPr>
              <w:t xml:space="preserve">, and </w:t>
            </w:r>
            <w:proofErr w:type="spellStart"/>
            <w:r>
              <w:rPr>
                <w:sz w:val="22"/>
                <w:szCs w:val="22"/>
              </w:rPr>
              <w:t>is</w:t>
            </w:r>
            <w:proofErr w:type="spellEnd"/>
            <w:r>
              <w:rPr>
                <w:sz w:val="22"/>
                <w:szCs w:val="22"/>
              </w:rPr>
              <w:t xml:space="preserve"> </w:t>
            </w:r>
            <w:proofErr w:type="spellStart"/>
            <w:r>
              <w:rPr>
                <w:sz w:val="22"/>
                <w:szCs w:val="22"/>
              </w:rPr>
              <w:t>not</w:t>
            </w:r>
            <w:proofErr w:type="spellEnd"/>
            <w:r>
              <w:rPr>
                <w:sz w:val="22"/>
                <w:szCs w:val="22"/>
              </w:rPr>
              <w:t xml:space="preserve"> </w:t>
            </w:r>
            <w:proofErr w:type="spellStart"/>
            <w:r>
              <w:rPr>
                <w:sz w:val="22"/>
                <w:szCs w:val="22"/>
              </w:rPr>
              <w:t>subject</w:t>
            </w:r>
            <w:proofErr w:type="spellEnd"/>
            <w:r>
              <w:rPr>
                <w:sz w:val="22"/>
                <w:szCs w:val="22"/>
              </w:rPr>
              <w:t xml:space="preserve"> </w:t>
            </w:r>
            <w:proofErr w:type="spellStart"/>
            <w:r>
              <w:rPr>
                <w:sz w:val="22"/>
                <w:szCs w:val="22"/>
              </w:rPr>
              <w:t>to</w:t>
            </w:r>
            <w:proofErr w:type="spellEnd"/>
            <w:r>
              <w:rPr>
                <w:sz w:val="22"/>
                <w:szCs w:val="22"/>
              </w:rPr>
              <w:t xml:space="preserve"> </w:t>
            </w:r>
            <w:proofErr w:type="spellStart"/>
            <w:r>
              <w:rPr>
                <w:sz w:val="22"/>
                <w:szCs w:val="22"/>
              </w:rPr>
              <w:t>separate</w:t>
            </w:r>
            <w:proofErr w:type="spellEnd"/>
            <w:r>
              <w:rPr>
                <w:sz w:val="22"/>
                <w:szCs w:val="22"/>
              </w:rPr>
              <w:t xml:space="preserve"> </w:t>
            </w:r>
            <w:proofErr w:type="spellStart"/>
            <w:r>
              <w:rPr>
                <w:sz w:val="22"/>
                <w:szCs w:val="22"/>
              </w:rPr>
              <w:t>contracting</w:t>
            </w:r>
            <w:proofErr w:type="spellEnd"/>
            <w:r>
              <w:rPr>
                <w:sz w:val="22"/>
                <w:szCs w:val="22"/>
              </w:rPr>
              <w:t>.</w:t>
            </w:r>
          </w:p>
          <w:p w14:paraId="4AAB68C0" w14:textId="77777777" w:rsidR="00E255F4" w:rsidRDefault="00000000">
            <w:pPr>
              <w:spacing w:after="120"/>
              <w:ind w:left="-3" w:firstLine="3"/>
              <w:jc w:val="both"/>
              <w:rPr>
                <w:sz w:val="22"/>
                <w:szCs w:val="22"/>
                <w:lang w:val="es-ES"/>
              </w:rPr>
            </w:pPr>
            <w:r>
              <w:rPr>
                <w:sz w:val="22"/>
                <w:szCs w:val="22"/>
                <w:lang w:val="es-ES"/>
              </w:rPr>
              <w:t xml:space="preserve">The </w:t>
            </w:r>
            <w:proofErr w:type="spellStart"/>
            <w:r>
              <w:rPr>
                <w:sz w:val="22"/>
                <w:szCs w:val="22"/>
                <w:lang w:val="es-ES"/>
              </w:rPr>
              <w:t>smart</w:t>
            </w:r>
            <w:proofErr w:type="spellEnd"/>
            <w:r>
              <w:rPr>
                <w:sz w:val="22"/>
                <w:szCs w:val="22"/>
                <w:lang w:val="es-ES"/>
              </w:rPr>
              <w:t xml:space="preserve"> </w:t>
            </w:r>
            <w:proofErr w:type="spellStart"/>
            <w:r>
              <w:rPr>
                <w:sz w:val="22"/>
                <w:szCs w:val="22"/>
                <w:lang w:val="es-ES"/>
              </w:rPr>
              <w:t>drinking</w:t>
            </w:r>
            <w:proofErr w:type="spellEnd"/>
            <w:r>
              <w:rPr>
                <w:sz w:val="22"/>
                <w:szCs w:val="22"/>
                <w:lang w:val="es-ES"/>
              </w:rPr>
              <w:t xml:space="preserve"> </w:t>
            </w:r>
            <w:proofErr w:type="spellStart"/>
            <w:r>
              <w:rPr>
                <w:sz w:val="22"/>
                <w:szCs w:val="22"/>
                <w:lang w:val="es-ES"/>
              </w:rPr>
              <w:t>water</w:t>
            </w:r>
            <w:proofErr w:type="spellEnd"/>
            <w:r>
              <w:rPr>
                <w:sz w:val="22"/>
                <w:szCs w:val="22"/>
                <w:lang w:val="es-ES"/>
              </w:rPr>
              <w:t xml:space="preserve"> </w:t>
            </w:r>
            <w:proofErr w:type="spellStart"/>
            <w:r>
              <w:rPr>
                <w:sz w:val="22"/>
                <w:szCs w:val="22"/>
                <w:lang w:val="es-ES"/>
              </w:rPr>
              <w:t>meters</w:t>
            </w:r>
            <w:proofErr w:type="spellEnd"/>
            <w:r>
              <w:rPr>
                <w:sz w:val="22"/>
                <w:szCs w:val="22"/>
                <w:lang w:val="es-ES"/>
              </w:rPr>
              <w:t xml:space="preserve"> </w:t>
            </w:r>
            <w:proofErr w:type="spellStart"/>
            <w:r>
              <w:rPr>
                <w:sz w:val="22"/>
                <w:szCs w:val="22"/>
                <w:lang w:val="es-ES"/>
              </w:rPr>
              <w:t>that</w:t>
            </w:r>
            <w:proofErr w:type="spellEnd"/>
            <w:r>
              <w:rPr>
                <w:sz w:val="22"/>
                <w:szCs w:val="22"/>
                <w:lang w:val="es-ES"/>
              </w:rPr>
              <w:t xml:space="preserve"> are </w:t>
            </w:r>
            <w:proofErr w:type="spellStart"/>
            <w:r>
              <w:rPr>
                <w:sz w:val="22"/>
                <w:szCs w:val="22"/>
                <w:lang w:val="es-ES"/>
              </w:rPr>
              <w:t>supplied</w:t>
            </w:r>
            <w:proofErr w:type="spellEnd"/>
            <w:r>
              <w:rPr>
                <w:sz w:val="22"/>
                <w:szCs w:val="22"/>
                <w:lang w:val="es-ES"/>
              </w:rPr>
              <w:t xml:space="preserve"> </w:t>
            </w:r>
            <w:proofErr w:type="spellStart"/>
            <w:r>
              <w:rPr>
                <w:sz w:val="22"/>
                <w:szCs w:val="22"/>
                <w:lang w:val="es-ES"/>
              </w:rPr>
              <w:t>must</w:t>
            </w:r>
            <w:proofErr w:type="spellEnd"/>
            <w:r>
              <w:rPr>
                <w:sz w:val="22"/>
                <w:szCs w:val="22"/>
                <w:lang w:val="es-ES"/>
              </w:rPr>
              <w:t xml:space="preserve"> be </w:t>
            </w:r>
            <w:proofErr w:type="spellStart"/>
            <w:r>
              <w:rPr>
                <w:sz w:val="22"/>
                <w:szCs w:val="22"/>
                <w:lang w:val="es-ES"/>
              </w:rPr>
              <w:t>integrated</w:t>
            </w:r>
            <w:proofErr w:type="spellEnd"/>
            <w:r>
              <w:rPr>
                <w:sz w:val="22"/>
                <w:szCs w:val="22"/>
                <w:lang w:val="es-ES"/>
              </w:rPr>
              <w:t xml:space="preserve"> </w:t>
            </w:r>
            <w:proofErr w:type="spellStart"/>
            <w:r>
              <w:rPr>
                <w:sz w:val="22"/>
                <w:szCs w:val="22"/>
                <w:lang w:val="es-ES"/>
              </w:rPr>
              <w:t>meters</w:t>
            </w:r>
            <w:proofErr w:type="spellEnd"/>
            <w:r>
              <w:rPr>
                <w:sz w:val="22"/>
                <w:szCs w:val="22"/>
                <w:lang w:val="es-ES"/>
              </w:rPr>
              <w:t xml:space="preserve">, </w:t>
            </w:r>
            <w:proofErr w:type="spellStart"/>
            <w:r>
              <w:rPr>
                <w:sz w:val="22"/>
                <w:szCs w:val="22"/>
                <w:lang w:val="es-ES"/>
              </w:rPr>
              <w:t>that</w:t>
            </w:r>
            <w:proofErr w:type="spellEnd"/>
            <w:r>
              <w:rPr>
                <w:sz w:val="22"/>
                <w:szCs w:val="22"/>
                <w:lang w:val="es-ES"/>
              </w:rPr>
              <w:t xml:space="preserve"> </w:t>
            </w:r>
            <w:proofErr w:type="spellStart"/>
            <w:r>
              <w:rPr>
                <w:sz w:val="22"/>
                <w:szCs w:val="22"/>
                <w:lang w:val="es-ES"/>
              </w:rPr>
              <w:t>is</w:t>
            </w:r>
            <w:proofErr w:type="spellEnd"/>
            <w:r>
              <w:rPr>
                <w:sz w:val="22"/>
                <w:szCs w:val="22"/>
                <w:lang w:val="es-ES"/>
              </w:rPr>
              <w:t xml:space="preserve">, </w:t>
            </w:r>
            <w:proofErr w:type="spellStart"/>
            <w:r>
              <w:rPr>
                <w:sz w:val="22"/>
                <w:szCs w:val="22"/>
                <w:lang w:val="es-ES"/>
              </w:rPr>
              <w:t>the</w:t>
            </w:r>
            <w:proofErr w:type="spellEnd"/>
            <w:r>
              <w:rPr>
                <w:sz w:val="22"/>
                <w:szCs w:val="22"/>
                <w:lang w:val="es-ES"/>
              </w:rPr>
              <w:t xml:space="preserve"> </w:t>
            </w:r>
            <w:proofErr w:type="spellStart"/>
            <w:r>
              <w:rPr>
                <w:sz w:val="22"/>
                <w:szCs w:val="22"/>
                <w:lang w:val="es-ES"/>
              </w:rPr>
              <w:t>telemetry</w:t>
            </w:r>
            <w:proofErr w:type="spellEnd"/>
            <w:r>
              <w:rPr>
                <w:sz w:val="22"/>
                <w:szCs w:val="22"/>
                <w:lang w:val="es-ES"/>
              </w:rPr>
              <w:t xml:space="preserve"> </w:t>
            </w:r>
            <w:proofErr w:type="spellStart"/>
            <w:r>
              <w:rPr>
                <w:sz w:val="22"/>
                <w:szCs w:val="22"/>
                <w:lang w:val="es-ES"/>
              </w:rPr>
              <w:t>device</w:t>
            </w:r>
            <w:proofErr w:type="spellEnd"/>
            <w:r>
              <w:rPr>
                <w:sz w:val="22"/>
                <w:szCs w:val="22"/>
                <w:lang w:val="es-ES"/>
              </w:rPr>
              <w:t xml:space="preserve"> and </w:t>
            </w:r>
            <w:proofErr w:type="spellStart"/>
            <w:r>
              <w:rPr>
                <w:sz w:val="22"/>
                <w:szCs w:val="22"/>
                <w:lang w:val="es-ES"/>
              </w:rPr>
              <w:t>the</w:t>
            </w:r>
            <w:proofErr w:type="spellEnd"/>
            <w:r>
              <w:rPr>
                <w:sz w:val="22"/>
                <w:szCs w:val="22"/>
                <w:lang w:val="es-ES"/>
              </w:rPr>
              <w:t xml:space="preserve"> meter </w:t>
            </w:r>
            <w:proofErr w:type="spellStart"/>
            <w:r>
              <w:rPr>
                <w:sz w:val="22"/>
                <w:szCs w:val="22"/>
                <w:lang w:val="es-ES"/>
              </w:rPr>
              <w:t>must</w:t>
            </w:r>
            <w:proofErr w:type="spellEnd"/>
            <w:r>
              <w:rPr>
                <w:sz w:val="22"/>
                <w:szCs w:val="22"/>
                <w:lang w:val="es-ES"/>
              </w:rPr>
              <w:t xml:space="preserve"> be in a </w:t>
            </w:r>
            <w:proofErr w:type="gramStart"/>
            <w:r>
              <w:rPr>
                <w:sz w:val="22"/>
                <w:szCs w:val="22"/>
                <w:lang w:val="es-ES"/>
              </w:rPr>
              <w:t>single</w:t>
            </w:r>
            <w:proofErr w:type="gramEnd"/>
            <w:r>
              <w:rPr>
                <w:sz w:val="22"/>
                <w:szCs w:val="22"/>
                <w:lang w:val="es-ES"/>
              </w:rPr>
              <w:t xml:space="preserve"> </w:t>
            </w:r>
            <w:proofErr w:type="spellStart"/>
            <w:r>
              <w:rPr>
                <w:sz w:val="22"/>
                <w:szCs w:val="22"/>
                <w:lang w:val="es-ES"/>
              </w:rPr>
              <w:t>unit</w:t>
            </w:r>
            <w:proofErr w:type="spellEnd"/>
            <w:r>
              <w:rPr>
                <w:sz w:val="22"/>
                <w:szCs w:val="22"/>
                <w:lang w:val="es-ES"/>
              </w:rPr>
              <w:t>.</w:t>
            </w:r>
          </w:p>
          <w:p w14:paraId="2CDE6BB6" w14:textId="77777777" w:rsidR="00E255F4" w:rsidRDefault="00000000">
            <w:pPr>
              <w:spacing w:after="120"/>
              <w:ind w:left="-3" w:firstLine="3"/>
              <w:jc w:val="both"/>
              <w:rPr>
                <w:sz w:val="22"/>
                <w:szCs w:val="22"/>
                <w:lang w:val="es-ES"/>
              </w:rPr>
            </w:pPr>
            <w:r>
              <w:rPr>
                <w:sz w:val="22"/>
                <w:szCs w:val="22"/>
                <w:lang w:val="es-ES"/>
              </w:rPr>
              <w:t xml:space="preserve">Smart </w:t>
            </w:r>
            <w:proofErr w:type="spellStart"/>
            <w:r>
              <w:rPr>
                <w:sz w:val="22"/>
                <w:szCs w:val="22"/>
                <w:lang w:val="es-ES"/>
              </w:rPr>
              <w:t>meters</w:t>
            </w:r>
            <w:proofErr w:type="spellEnd"/>
            <w:r>
              <w:rPr>
                <w:sz w:val="22"/>
                <w:szCs w:val="22"/>
                <w:lang w:val="es-ES"/>
              </w:rPr>
              <w:t xml:space="preserve"> </w:t>
            </w:r>
            <w:proofErr w:type="spellStart"/>
            <w:r>
              <w:rPr>
                <w:sz w:val="22"/>
                <w:szCs w:val="22"/>
                <w:lang w:val="es-ES"/>
              </w:rPr>
              <w:t>must</w:t>
            </w:r>
            <w:proofErr w:type="spellEnd"/>
            <w:r>
              <w:rPr>
                <w:sz w:val="22"/>
                <w:szCs w:val="22"/>
                <w:lang w:val="es-ES"/>
              </w:rPr>
              <w:t xml:space="preserve"> be </w:t>
            </w:r>
            <w:proofErr w:type="spellStart"/>
            <w:r>
              <w:rPr>
                <w:sz w:val="22"/>
                <w:szCs w:val="22"/>
                <w:lang w:val="es-ES"/>
              </w:rPr>
              <w:t>configured</w:t>
            </w:r>
            <w:proofErr w:type="spellEnd"/>
            <w:r>
              <w:rPr>
                <w:sz w:val="22"/>
                <w:szCs w:val="22"/>
                <w:lang w:val="es-ES"/>
              </w:rPr>
              <w:t xml:space="preserve"> and </w:t>
            </w:r>
            <w:proofErr w:type="spellStart"/>
            <w:r>
              <w:rPr>
                <w:sz w:val="22"/>
                <w:szCs w:val="22"/>
                <w:lang w:val="es-ES"/>
              </w:rPr>
              <w:t>put</w:t>
            </w:r>
            <w:proofErr w:type="spellEnd"/>
            <w:r>
              <w:rPr>
                <w:sz w:val="22"/>
                <w:szCs w:val="22"/>
                <w:lang w:val="es-ES"/>
              </w:rPr>
              <w:t xml:space="preserve"> </w:t>
            </w:r>
            <w:proofErr w:type="spellStart"/>
            <w:r>
              <w:rPr>
                <w:sz w:val="22"/>
                <w:szCs w:val="22"/>
                <w:lang w:val="es-ES"/>
              </w:rPr>
              <w:t>into</w:t>
            </w:r>
            <w:proofErr w:type="spellEnd"/>
            <w:r>
              <w:rPr>
                <w:sz w:val="22"/>
                <w:szCs w:val="22"/>
                <w:lang w:val="es-ES"/>
              </w:rPr>
              <w:t xml:space="preserve"> </w:t>
            </w:r>
            <w:proofErr w:type="spellStart"/>
            <w:r>
              <w:rPr>
                <w:sz w:val="22"/>
                <w:szCs w:val="22"/>
                <w:lang w:val="es-ES"/>
              </w:rPr>
              <w:t>operation</w:t>
            </w:r>
            <w:proofErr w:type="spellEnd"/>
            <w:r>
              <w:rPr>
                <w:sz w:val="22"/>
                <w:szCs w:val="22"/>
                <w:lang w:val="es-ES"/>
              </w:rPr>
              <w:t xml:space="preserve"> in </w:t>
            </w:r>
            <w:proofErr w:type="spellStart"/>
            <w:r>
              <w:rPr>
                <w:sz w:val="22"/>
                <w:szCs w:val="22"/>
                <w:lang w:val="es-ES"/>
              </w:rPr>
              <w:t>the</w:t>
            </w:r>
            <w:proofErr w:type="spellEnd"/>
            <w:r>
              <w:rPr>
                <w:sz w:val="22"/>
                <w:szCs w:val="22"/>
                <w:lang w:val="es-ES"/>
              </w:rPr>
              <w:t xml:space="preserve"> </w:t>
            </w:r>
            <w:proofErr w:type="spellStart"/>
            <w:r>
              <w:rPr>
                <w:sz w:val="22"/>
                <w:szCs w:val="22"/>
                <w:lang w:val="es-ES"/>
              </w:rPr>
              <w:t>contracted</w:t>
            </w:r>
            <w:proofErr w:type="spellEnd"/>
            <w:r>
              <w:rPr>
                <w:sz w:val="22"/>
                <w:szCs w:val="22"/>
                <w:lang w:val="es-ES"/>
              </w:rPr>
              <w:t xml:space="preserve"> </w:t>
            </w:r>
            <w:proofErr w:type="spellStart"/>
            <w:r>
              <w:rPr>
                <w:sz w:val="22"/>
                <w:szCs w:val="22"/>
                <w:lang w:val="es-ES"/>
              </w:rPr>
              <w:t>Telemetry</w:t>
            </w:r>
            <w:proofErr w:type="spellEnd"/>
            <w:r>
              <w:rPr>
                <w:sz w:val="22"/>
                <w:szCs w:val="22"/>
                <w:lang w:val="es-ES"/>
              </w:rPr>
              <w:t xml:space="preserve"> Service.</w:t>
            </w:r>
          </w:p>
          <w:p w14:paraId="6BD6F669" w14:textId="77777777" w:rsidR="00E255F4" w:rsidRDefault="00000000">
            <w:pPr>
              <w:spacing w:after="240"/>
              <w:jc w:val="both"/>
            </w:pPr>
            <w:r>
              <w:rPr>
                <w:sz w:val="22"/>
                <w:szCs w:val="22"/>
                <w:lang w:val="es-ES"/>
              </w:rPr>
              <w:t xml:space="preserve">OSE </w:t>
            </w:r>
            <w:proofErr w:type="spellStart"/>
            <w:r>
              <w:rPr>
                <w:sz w:val="22"/>
                <w:szCs w:val="22"/>
                <w:lang w:val="es-ES"/>
              </w:rPr>
              <w:t>will</w:t>
            </w:r>
            <w:proofErr w:type="spellEnd"/>
            <w:r>
              <w:rPr>
                <w:sz w:val="22"/>
                <w:szCs w:val="22"/>
                <w:lang w:val="es-ES"/>
              </w:rPr>
              <w:t xml:space="preserve"> be </w:t>
            </w:r>
            <w:proofErr w:type="spellStart"/>
            <w:r>
              <w:rPr>
                <w:sz w:val="22"/>
                <w:szCs w:val="22"/>
                <w:lang w:val="es-ES"/>
              </w:rPr>
              <w:t>responsible</w:t>
            </w:r>
            <w:proofErr w:type="spellEnd"/>
            <w:r>
              <w:rPr>
                <w:sz w:val="22"/>
                <w:szCs w:val="22"/>
                <w:lang w:val="es-ES"/>
              </w:rPr>
              <w:t xml:space="preserve"> </w:t>
            </w:r>
            <w:proofErr w:type="spellStart"/>
            <w:r>
              <w:rPr>
                <w:sz w:val="22"/>
                <w:szCs w:val="22"/>
                <w:lang w:val="es-ES"/>
              </w:rPr>
              <w:t>for</w:t>
            </w:r>
            <w:proofErr w:type="spellEnd"/>
            <w:r>
              <w:rPr>
                <w:sz w:val="22"/>
                <w:szCs w:val="22"/>
                <w:lang w:val="es-ES"/>
              </w:rPr>
              <w:t xml:space="preserve"> </w:t>
            </w:r>
            <w:proofErr w:type="spellStart"/>
            <w:r>
              <w:rPr>
                <w:sz w:val="22"/>
                <w:szCs w:val="22"/>
                <w:lang w:val="es-ES"/>
              </w:rPr>
              <w:t>installing</w:t>
            </w:r>
            <w:proofErr w:type="spellEnd"/>
            <w:r>
              <w:rPr>
                <w:sz w:val="22"/>
                <w:szCs w:val="22"/>
                <w:lang w:val="es-ES"/>
              </w:rPr>
              <w:t xml:space="preserve"> </w:t>
            </w:r>
            <w:proofErr w:type="spellStart"/>
            <w:r>
              <w:rPr>
                <w:sz w:val="22"/>
                <w:szCs w:val="22"/>
                <w:lang w:val="es-ES"/>
              </w:rPr>
              <w:t>smart</w:t>
            </w:r>
            <w:proofErr w:type="spellEnd"/>
            <w:r>
              <w:rPr>
                <w:sz w:val="22"/>
                <w:szCs w:val="22"/>
                <w:lang w:val="es-ES"/>
              </w:rPr>
              <w:t xml:space="preserve"> </w:t>
            </w:r>
            <w:proofErr w:type="spellStart"/>
            <w:r>
              <w:rPr>
                <w:sz w:val="22"/>
                <w:szCs w:val="22"/>
                <w:lang w:val="es-ES"/>
              </w:rPr>
              <w:t>meters</w:t>
            </w:r>
            <w:proofErr w:type="spellEnd"/>
            <w:r>
              <w:rPr>
                <w:sz w:val="22"/>
                <w:szCs w:val="22"/>
                <w:lang w:val="es-ES"/>
              </w:rPr>
              <w:t xml:space="preserve"> in </w:t>
            </w:r>
            <w:proofErr w:type="spellStart"/>
            <w:r>
              <w:rPr>
                <w:sz w:val="22"/>
                <w:szCs w:val="22"/>
                <w:lang w:val="es-ES"/>
              </w:rPr>
              <w:t>all</w:t>
            </w:r>
            <w:proofErr w:type="spellEnd"/>
            <w:r>
              <w:rPr>
                <w:sz w:val="22"/>
                <w:szCs w:val="22"/>
                <w:lang w:val="es-ES"/>
              </w:rPr>
              <w:t xml:space="preserve"> </w:t>
            </w:r>
            <w:proofErr w:type="spellStart"/>
            <w:r>
              <w:rPr>
                <w:sz w:val="22"/>
                <w:szCs w:val="22"/>
                <w:lang w:val="es-ES"/>
              </w:rPr>
              <w:t>connections</w:t>
            </w:r>
            <w:proofErr w:type="spellEnd"/>
            <w:r>
              <w:rPr>
                <w:sz w:val="22"/>
                <w:szCs w:val="22"/>
                <w:lang w:val="es-ES"/>
              </w:rPr>
              <w:t xml:space="preserve"> </w:t>
            </w:r>
            <w:proofErr w:type="spellStart"/>
            <w:r>
              <w:rPr>
                <w:sz w:val="22"/>
                <w:szCs w:val="22"/>
                <w:lang w:val="es-ES"/>
              </w:rPr>
              <w:t>that</w:t>
            </w:r>
            <w:proofErr w:type="spellEnd"/>
            <w:r>
              <w:rPr>
                <w:sz w:val="22"/>
                <w:szCs w:val="22"/>
                <w:lang w:val="es-ES"/>
              </w:rPr>
              <w:t xml:space="preserve"> </w:t>
            </w:r>
            <w:proofErr w:type="spellStart"/>
            <w:r>
              <w:rPr>
                <w:sz w:val="22"/>
                <w:szCs w:val="22"/>
                <w:lang w:val="es-ES"/>
              </w:rPr>
              <w:t>will</w:t>
            </w:r>
            <w:proofErr w:type="spellEnd"/>
            <w:r>
              <w:rPr>
                <w:sz w:val="22"/>
                <w:szCs w:val="22"/>
                <w:lang w:val="es-ES"/>
              </w:rPr>
              <w:t xml:space="preserve"> be </w:t>
            </w:r>
            <w:proofErr w:type="spellStart"/>
            <w:r>
              <w:rPr>
                <w:sz w:val="22"/>
                <w:szCs w:val="22"/>
                <w:lang w:val="es-ES"/>
              </w:rPr>
              <w:t>affected</w:t>
            </w:r>
            <w:proofErr w:type="spellEnd"/>
            <w:r>
              <w:rPr>
                <w:sz w:val="22"/>
                <w:szCs w:val="22"/>
                <w:lang w:val="es-ES"/>
              </w:rPr>
              <w:t xml:space="preserve"> </w:t>
            </w:r>
            <w:proofErr w:type="spellStart"/>
            <w:r>
              <w:rPr>
                <w:sz w:val="22"/>
                <w:szCs w:val="22"/>
                <w:lang w:val="es-ES"/>
              </w:rPr>
              <w:t>by</w:t>
            </w:r>
            <w:proofErr w:type="spellEnd"/>
            <w:r>
              <w:rPr>
                <w:sz w:val="22"/>
                <w:szCs w:val="22"/>
                <w:lang w:val="es-ES"/>
              </w:rPr>
              <w:t xml:space="preserve"> </w:t>
            </w:r>
            <w:proofErr w:type="spellStart"/>
            <w:r>
              <w:rPr>
                <w:sz w:val="22"/>
                <w:szCs w:val="22"/>
                <w:lang w:val="es-ES"/>
              </w:rPr>
              <w:t>the</w:t>
            </w:r>
            <w:proofErr w:type="spellEnd"/>
            <w:r>
              <w:rPr>
                <w:sz w:val="22"/>
                <w:szCs w:val="22"/>
                <w:lang w:val="es-ES"/>
              </w:rPr>
              <w:t xml:space="preserve"> </w:t>
            </w:r>
            <w:proofErr w:type="spellStart"/>
            <w:r>
              <w:rPr>
                <w:sz w:val="22"/>
                <w:szCs w:val="22"/>
                <w:lang w:val="es-ES"/>
              </w:rPr>
              <w:t>Telemetry</w:t>
            </w:r>
            <w:proofErr w:type="spellEnd"/>
            <w:r>
              <w:rPr>
                <w:sz w:val="22"/>
                <w:szCs w:val="22"/>
                <w:lang w:val="es-ES"/>
              </w:rPr>
              <w:t xml:space="preserve"> Service.</w:t>
            </w:r>
          </w:p>
          <w:p w14:paraId="30B81D6C" w14:textId="77777777" w:rsidR="00E255F4" w:rsidRDefault="00000000">
            <w:pPr>
              <w:spacing w:after="240"/>
              <w:ind w:left="-7" w:firstLine="7"/>
              <w:jc w:val="both"/>
              <w:rPr>
                <w:sz w:val="22"/>
                <w:szCs w:val="22"/>
                <w:lang w:val="es-ES"/>
              </w:rPr>
            </w:pPr>
            <w:r>
              <w:rPr>
                <w:sz w:val="22"/>
                <w:szCs w:val="22"/>
                <w:lang w:val="es-ES"/>
              </w:rPr>
              <w:t xml:space="preserve">The </w:t>
            </w:r>
            <w:proofErr w:type="spellStart"/>
            <w:r>
              <w:rPr>
                <w:sz w:val="22"/>
                <w:szCs w:val="22"/>
                <w:lang w:val="es-ES"/>
              </w:rPr>
              <w:t>following</w:t>
            </w:r>
            <w:proofErr w:type="spellEnd"/>
            <w:r>
              <w:rPr>
                <w:sz w:val="22"/>
                <w:szCs w:val="22"/>
                <w:lang w:val="es-ES"/>
              </w:rPr>
              <w:t xml:space="preserve"> </w:t>
            </w:r>
            <w:proofErr w:type="spellStart"/>
            <w:r>
              <w:rPr>
                <w:sz w:val="22"/>
                <w:szCs w:val="22"/>
                <w:lang w:val="es-ES"/>
              </w:rPr>
              <w:t>details</w:t>
            </w:r>
            <w:proofErr w:type="spellEnd"/>
            <w:r>
              <w:rPr>
                <w:sz w:val="22"/>
                <w:szCs w:val="22"/>
                <w:lang w:val="es-ES"/>
              </w:rPr>
              <w:t xml:space="preserve"> </w:t>
            </w:r>
            <w:proofErr w:type="spellStart"/>
            <w:r>
              <w:rPr>
                <w:sz w:val="22"/>
                <w:szCs w:val="22"/>
                <w:lang w:val="es-ES"/>
              </w:rPr>
              <w:t>will</w:t>
            </w:r>
            <w:proofErr w:type="spellEnd"/>
            <w:r>
              <w:rPr>
                <w:sz w:val="22"/>
                <w:szCs w:val="22"/>
                <w:lang w:val="es-ES"/>
              </w:rPr>
              <w:t xml:space="preserve"> be </w:t>
            </w:r>
            <w:proofErr w:type="spellStart"/>
            <w:r>
              <w:rPr>
                <w:sz w:val="22"/>
                <w:szCs w:val="22"/>
                <w:lang w:val="es-ES"/>
              </w:rPr>
              <w:t>considered</w:t>
            </w:r>
            <w:proofErr w:type="spellEnd"/>
            <w:r>
              <w:rPr>
                <w:sz w:val="22"/>
                <w:szCs w:val="22"/>
                <w:lang w:val="es-ES"/>
              </w:rPr>
              <w:t xml:space="preserve"> </w:t>
            </w:r>
            <w:proofErr w:type="spellStart"/>
            <w:r>
              <w:rPr>
                <w:sz w:val="22"/>
                <w:szCs w:val="22"/>
                <w:lang w:val="es-ES"/>
              </w:rPr>
              <w:t>for</w:t>
            </w:r>
            <w:proofErr w:type="spellEnd"/>
            <w:r>
              <w:rPr>
                <w:sz w:val="22"/>
                <w:szCs w:val="22"/>
                <w:lang w:val="es-ES"/>
              </w:rPr>
              <w:t xml:space="preserve"> </w:t>
            </w:r>
            <w:proofErr w:type="spellStart"/>
            <w:r>
              <w:rPr>
                <w:sz w:val="22"/>
                <w:szCs w:val="22"/>
                <w:lang w:val="es-ES"/>
              </w:rPr>
              <w:t>the</w:t>
            </w:r>
            <w:proofErr w:type="spellEnd"/>
            <w:r>
              <w:rPr>
                <w:sz w:val="22"/>
                <w:szCs w:val="22"/>
                <w:lang w:val="es-ES"/>
              </w:rPr>
              <w:t xml:space="preserve"> </w:t>
            </w:r>
            <w:proofErr w:type="spellStart"/>
            <w:r>
              <w:rPr>
                <w:sz w:val="22"/>
                <w:szCs w:val="22"/>
                <w:lang w:val="es-ES"/>
              </w:rPr>
              <w:t>realization</w:t>
            </w:r>
            <w:proofErr w:type="spellEnd"/>
            <w:r>
              <w:rPr>
                <w:sz w:val="22"/>
                <w:szCs w:val="22"/>
                <w:lang w:val="es-ES"/>
              </w:rPr>
              <w:t xml:space="preserve"> </w:t>
            </w:r>
            <w:proofErr w:type="spellStart"/>
            <w:r>
              <w:rPr>
                <w:sz w:val="22"/>
                <w:szCs w:val="22"/>
                <w:lang w:val="es-ES"/>
              </w:rPr>
              <w:t>of</w:t>
            </w:r>
            <w:proofErr w:type="spellEnd"/>
            <w:r>
              <w:rPr>
                <w:sz w:val="22"/>
                <w:szCs w:val="22"/>
                <w:lang w:val="es-ES"/>
              </w:rPr>
              <w:t xml:space="preserve"> </w:t>
            </w:r>
            <w:proofErr w:type="spellStart"/>
            <w:r>
              <w:rPr>
                <w:sz w:val="22"/>
                <w:szCs w:val="22"/>
                <w:lang w:val="es-ES"/>
              </w:rPr>
              <w:t>the</w:t>
            </w:r>
            <w:proofErr w:type="spellEnd"/>
            <w:r>
              <w:rPr>
                <w:sz w:val="22"/>
                <w:szCs w:val="22"/>
                <w:lang w:val="es-ES"/>
              </w:rPr>
              <w:t xml:space="preserve"> </w:t>
            </w:r>
            <w:proofErr w:type="spellStart"/>
            <w:r>
              <w:rPr>
                <w:sz w:val="22"/>
                <w:szCs w:val="22"/>
                <w:lang w:val="es-ES"/>
              </w:rPr>
              <w:t>object</w:t>
            </w:r>
            <w:proofErr w:type="spellEnd"/>
            <w:r>
              <w:rPr>
                <w:sz w:val="22"/>
                <w:szCs w:val="22"/>
                <w:lang w:val="es-ES"/>
              </w:rPr>
              <w:t>:</w:t>
            </w:r>
          </w:p>
          <w:tbl>
            <w:tblPr>
              <w:tblW w:w="9809" w:type="dxa"/>
              <w:tblLayout w:type="fixed"/>
              <w:tblLook w:val="04A0" w:firstRow="1" w:lastRow="0" w:firstColumn="1" w:lastColumn="0" w:noHBand="0" w:noVBand="1"/>
            </w:tblPr>
            <w:tblGrid>
              <w:gridCol w:w="703"/>
              <w:gridCol w:w="850"/>
              <w:gridCol w:w="1985"/>
              <w:gridCol w:w="2835"/>
              <w:gridCol w:w="1417"/>
              <w:gridCol w:w="2019"/>
            </w:tblGrid>
            <w:tr w:rsidR="00E255F4" w14:paraId="55C5B145" w14:textId="77777777">
              <w:tc>
                <w:tcPr>
                  <w:tcW w:w="703" w:type="dxa"/>
                  <w:tcBorders>
                    <w:top w:val="single" w:sz="4" w:space="0" w:color="000000"/>
                    <w:left w:val="single" w:sz="4" w:space="0" w:color="000000"/>
                    <w:bottom w:val="single" w:sz="4" w:space="0" w:color="000000"/>
                    <w:right w:val="single" w:sz="4" w:space="0" w:color="000000"/>
                  </w:tcBorders>
                </w:tcPr>
                <w:p w14:paraId="224D74B4" w14:textId="77777777" w:rsidR="00E255F4" w:rsidRDefault="00000000">
                  <w:pPr>
                    <w:spacing w:after="240"/>
                    <w:jc w:val="both"/>
                    <w:rPr>
                      <w:sz w:val="22"/>
                      <w:szCs w:val="22"/>
                      <w:lang w:val="es-ES"/>
                    </w:rPr>
                  </w:pPr>
                  <w:r>
                    <w:rPr>
                      <w:sz w:val="22"/>
                      <w:szCs w:val="22"/>
                      <w:lang w:val="es-ES"/>
                    </w:rPr>
                    <w:lastRenderedPageBreak/>
                    <w:t>Batch</w:t>
                  </w:r>
                </w:p>
              </w:tc>
              <w:tc>
                <w:tcPr>
                  <w:tcW w:w="850" w:type="dxa"/>
                  <w:tcBorders>
                    <w:top w:val="single" w:sz="4" w:space="0" w:color="000000"/>
                    <w:left w:val="single" w:sz="4" w:space="0" w:color="000000"/>
                    <w:bottom w:val="single" w:sz="4" w:space="0" w:color="000000"/>
                    <w:right w:val="single" w:sz="4" w:space="0" w:color="000000"/>
                  </w:tcBorders>
                </w:tcPr>
                <w:p w14:paraId="1082E746" w14:textId="77777777" w:rsidR="00E255F4" w:rsidRDefault="00000000">
                  <w:pPr>
                    <w:spacing w:after="240"/>
                    <w:jc w:val="both"/>
                  </w:pPr>
                  <w:proofErr w:type="spellStart"/>
                  <w:r>
                    <w:rPr>
                      <w:sz w:val="22"/>
                      <w:szCs w:val="22"/>
                      <w:lang w:val="es-ES"/>
                    </w:rPr>
                    <w:t>Category</w:t>
                  </w:r>
                  <w:proofErr w:type="spellEnd"/>
                </w:p>
              </w:tc>
              <w:tc>
                <w:tcPr>
                  <w:tcW w:w="4820" w:type="dxa"/>
                  <w:gridSpan w:val="2"/>
                  <w:tcBorders>
                    <w:top w:val="single" w:sz="4" w:space="0" w:color="000000"/>
                    <w:left w:val="single" w:sz="4" w:space="0" w:color="000000"/>
                    <w:bottom w:val="single" w:sz="4" w:space="0" w:color="000000"/>
                    <w:right w:val="single" w:sz="4" w:space="0" w:color="000000"/>
                  </w:tcBorders>
                </w:tcPr>
                <w:p w14:paraId="08EF1FA8" w14:textId="77777777" w:rsidR="00E255F4" w:rsidRDefault="00000000">
                  <w:pPr>
                    <w:spacing w:after="240"/>
                    <w:jc w:val="both"/>
                    <w:rPr>
                      <w:sz w:val="22"/>
                      <w:szCs w:val="22"/>
                      <w:lang w:val="es-ES"/>
                    </w:rPr>
                  </w:pPr>
                  <w:proofErr w:type="spellStart"/>
                  <w:r>
                    <w:rPr>
                      <w:sz w:val="22"/>
                      <w:szCs w:val="22"/>
                      <w:lang w:val="es-ES"/>
                    </w:rPr>
                    <w:t>Description</w:t>
                  </w:r>
                  <w:proofErr w:type="spellEnd"/>
                </w:p>
              </w:tc>
              <w:tc>
                <w:tcPr>
                  <w:tcW w:w="1417" w:type="dxa"/>
                  <w:tcBorders>
                    <w:top w:val="single" w:sz="4" w:space="0" w:color="000000"/>
                    <w:left w:val="single" w:sz="4" w:space="0" w:color="000000"/>
                    <w:bottom w:val="single" w:sz="4" w:space="0" w:color="000000"/>
                    <w:right w:val="single" w:sz="4" w:space="0" w:color="000000"/>
                  </w:tcBorders>
                </w:tcPr>
                <w:p w14:paraId="589E1E7C" w14:textId="77777777" w:rsidR="00E255F4" w:rsidRDefault="00000000">
                  <w:pPr>
                    <w:spacing w:after="240"/>
                    <w:jc w:val="both"/>
                    <w:rPr>
                      <w:sz w:val="22"/>
                      <w:szCs w:val="22"/>
                      <w:lang w:val="es-ES"/>
                    </w:rPr>
                  </w:pPr>
                  <w:proofErr w:type="spellStart"/>
                  <w:r>
                    <w:rPr>
                      <w:sz w:val="22"/>
                      <w:szCs w:val="22"/>
                      <w:lang w:val="es-ES"/>
                    </w:rPr>
                    <w:t>Unit</w:t>
                  </w:r>
                  <w:proofErr w:type="spellEnd"/>
                </w:p>
              </w:tc>
              <w:tc>
                <w:tcPr>
                  <w:tcW w:w="2019" w:type="dxa"/>
                  <w:tcBorders>
                    <w:top w:val="single" w:sz="4" w:space="0" w:color="000000"/>
                    <w:left w:val="single" w:sz="4" w:space="0" w:color="000000"/>
                    <w:bottom w:val="single" w:sz="4" w:space="0" w:color="000000"/>
                    <w:right w:val="single" w:sz="4" w:space="0" w:color="000000"/>
                  </w:tcBorders>
                </w:tcPr>
                <w:p w14:paraId="45046C90" w14:textId="77777777" w:rsidR="00E255F4" w:rsidRDefault="00000000">
                  <w:pPr>
                    <w:spacing w:after="240"/>
                    <w:jc w:val="both"/>
                    <w:rPr>
                      <w:sz w:val="22"/>
                      <w:szCs w:val="22"/>
                      <w:lang w:val="es-ES"/>
                    </w:rPr>
                  </w:pPr>
                  <w:proofErr w:type="spellStart"/>
                  <w:r>
                    <w:rPr>
                      <w:sz w:val="22"/>
                      <w:szCs w:val="22"/>
                      <w:lang w:val="es-ES"/>
                    </w:rPr>
                    <w:t>Amount</w:t>
                  </w:r>
                  <w:proofErr w:type="spellEnd"/>
                </w:p>
              </w:tc>
            </w:tr>
            <w:tr w:rsidR="00E255F4" w14:paraId="4D56A4BA" w14:textId="77777777">
              <w:tc>
                <w:tcPr>
                  <w:tcW w:w="703" w:type="dxa"/>
                  <w:vMerge w:val="restart"/>
                  <w:tcBorders>
                    <w:top w:val="single" w:sz="4" w:space="0" w:color="000000"/>
                    <w:left w:val="single" w:sz="4" w:space="0" w:color="000000"/>
                    <w:bottom w:val="single" w:sz="4" w:space="0" w:color="000000"/>
                    <w:right w:val="single" w:sz="4" w:space="0" w:color="000000"/>
                  </w:tcBorders>
                </w:tcPr>
                <w:p w14:paraId="1C2E7F8E" w14:textId="77777777" w:rsidR="00E255F4" w:rsidRDefault="00000000">
                  <w:pPr>
                    <w:spacing w:after="240"/>
                    <w:jc w:val="both"/>
                    <w:rPr>
                      <w:sz w:val="22"/>
                      <w:szCs w:val="22"/>
                      <w:lang w:val="es-ES"/>
                    </w:rPr>
                  </w:pPr>
                  <w:r>
                    <w:rPr>
                      <w:sz w:val="22"/>
                      <w:szCs w:val="22"/>
                      <w:lang w:val="es-ES"/>
                    </w:rPr>
                    <w:t>1</w:t>
                  </w:r>
                </w:p>
              </w:tc>
              <w:tc>
                <w:tcPr>
                  <w:tcW w:w="850" w:type="dxa"/>
                  <w:tcBorders>
                    <w:top w:val="single" w:sz="4" w:space="0" w:color="000000"/>
                    <w:left w:val="single" w:sz="4" w:space="0" w:color="000000"/>
                    <w:bottom w:val="single" w:sz="4" w:space="0" w:color="000000"/>
                    <w:right w:val="single" w:sz="4" w:space="0" w:color="000000"/>
                  </w:tcBorders>
                </w:tcPr>
                <w:p w14:paraId="3EE03C1C" w14:textId="77777777" w:rsidR="00E255F4" w:rsidRDefault="00000000">
                  <w:pPr>
                    <w:spacing w:after="240"/>
                    <w:jc w:val="both"/>
                    <w:rPr>
                      <w:sz w:val="22"/>
                      <w:szCs w:val="22"/>
                      <w:lang w:val="es-ES"/>
                    </w:rPr>
                  </w:pPr>
                  <w:r>
                    <w:rPr>
                      <w:sz w:val="22"/>
                      <w:szCs w:val="22"/>
                      <w:lang w:val="es-ES"/>
                    </w:rPr>
                    <w:t>1</w:t>
                  </w:r>
                </w:p>
              </w:tc>
              <w:tc>
                <w:tcPr>
                  <w:tcW w:w="4820" w:type="dxa"/>
                  <w:gridSpan w:val="2"/>
                  <w:tcBorders>
                    <w:top w:val="single" w:sz="4" w:space="0" w:color="000000"/>
                    <w:left w:val="single" w:sz="4" w:space="0" w:color="000000"/>
                    <w:bottom w:val="single" w:sz="4" w:space="0" w:color="000000"/>
                    <w:right w:val="single" w:sz="4" w:space="0" w:color="000000"/>
                  </w:tcBorders>
                </w:tcPr>
                <w:p w14:paraId="3B6EC9A0" w14:textId="77777777" w:rsidR="00E255F4" w:rsidRDefault="00000000">
                  <w:pPr>
                    <w:spacing w:after="240"/>
                    <w:jc w:val="both"/>
                    <w:rPr>
                      <w:sz w:val="22"/>
                      <w:szCs w:val="22"/>
                      <w:lang w:val="es-ES"/>
                    </w:rPr>
                  </w:pPr>
                  <w:proofErr w:type="spellStart"/>
                  <w:r>
                    <w:rPr>
                      <w:sz w:val="22"/>
                      <w:szCs w:val="22"/>
                      <w:lang w:val="es-ES"/>
                    </w:rPr>
                    <w:t>Supply</w:t>
                  </w:r>
                  <w:proofErr w:type="spellEnd"/>
                  <w:r>
                    <w:rPr>
                      <w:sz w:val="22"/>
                      <w:szCs w:val="22"/>
                      <w:lang w:val="es-ES"/>
                    </w:rPr>
                    <w:t xml:space="preserve"> </w:t>
                  </w:r>
                  <w:proofErr w:type="spellStart"/>
                  <w:r>
                    <w:rPr>
                      <w:sz w:val="22"/>
                      <w:szCs w:val="22"/>
                      <w:lang w:val="es-ES"/>
                    </w:rPr>
                    <w:t>of</w:t>
                  </w:r>
                  <w:proofErr w:type="spellEnd"/>
                  <w:r>
                    <w:rPr>
                      <w:sz w:val="22"/>
                      <w:szCs w:val="22"/>
                      <w:lang w:val="es-ES"/>
                    </w:rPr>
                    <w:t xml:space="preserve"> </w:t>
                  </w:r>
                  <w:proofErr w:type="spellStart"/>
                  <w:r>
                    <w:rPr>
                      <w:sz w:val="22"/>
                      <w:szCs w:val="22"/>
                      <w:lang w:val="es-ES"/>
                    </w:rPr>
                    <w:t>integrated</w:t>
                  </w:r>
                  <w:proofErr w:type="spellEnd"/>
                  <w:r>
                    <w:rPr>
                      <w:sz w:val="22"/>
                      <w:szCs w:val="22"/>
                      <w:lang w:val="es-ES"/>
                    </w:rPr>
                    <w:t xml:space="preserve"> </w:t>
                  </w:r>
                  <w:proofErr w:type="spellStart"/>
                  <w:r>
                    <w:rPr>
                      <w:sz w:val="22"/>
                      <w:szCs w:val="22"/>
                      <w:lang w:val="es-ES"/>
                    </w:rPr>
                    <w:t>smart</w:t>
                  </w:r>
                  <w:proofErr w:type="spellEnd"/>
                  <w:r>
                    <w:rPr>
                      <w:sz w:val="22"/>
                      <w:szCs w:val="22"/>
                      <w:lang w:val="es-ES"/>
                    </w:rPr>
                    <w:t xml:space="preserve"> </w:t>
                  </w:r>
                  <w:proofErr w:type="spellStart"/>
                  <w:r>
                    <w:rPr>
                      <w:sz w:val="22"/>
                      <w:szCs w:val="22"/>
                      <w:lang w:val="es-ES"/>
                    </w:rPr>
                    <w:t>meters</w:t>
                  </w:r>
                  <w:proofErr w:type="spellEnd"/>
                  <w:r>
                    <w:rPr>
                      <w:sz w:val="22"/>
                      <w:szCs w:val="22"/>
                      <w:lang w:val="es-ES"/>
                    </w:rPr>
                    <w:t xml:space="preserve"> (</w:t>
                  </w:r>
                  <w:proofErr w:type="spellStart"/>
                  <w:r>
                    <w:rPr>
                      <w:sz w:val="22"/>
                      <w:szCs w:val="22"/>
                      <w:lang w:val="es-ES"/>
                    </w:rPr>
                    <w:t>the</w:t>
                  </w:r>
                  <w:proofErr w:type="spellEnd"/>
                  <w:r>
                    <w:rPr>
                      <w:sz w:val="22"/>
                      <w:szCs w:val="22"/>
                      <w:lang w:val="es-ES"/>
                    </w:rPr>
                    <w:t xml:space="preserve"> </w:t>
                  </w:r>
                  <w:proofErr w:type="spellStart"/>
                  <w:r>
                    <w:rPr>
                      <w:sz w:val="22"/>
                      <w:szCs w:val="22"/>
                      <w:lang w:val="es-ES"/>
                    </w:rPr>
                    <w:t>telemetry</w:t>
                  </w:r>
                  <w:proofErr w:type="spellEnd"/>
                  <w:r>
                    <w:rPr>
                      <w:sz w:val="22"/>
                      <w:szCs w:val="22"/>
                      <w:lang w:val="es-ES"/>
                    </w:rPr>
                    <w:t xml:space="preserve"> </w:t>
                  </w:r>
                  <w:proofErr w:type="spellStart"/>
                  <w:r>
                    <w:rPr>
                      <w:sz w:val="22"/>
                      <w:szCs w:val="22"/>
                      <w:lang w:val="es-ES"/>
                    </w:rPr>
                    <w:t>device</w:t>
                  </w:r>
                  <w:proofErr w:type="spellEnd"/>
                  <w:r>
                    <w:rPr>
                      <w:sz w:val="22"/>
                      <w:szCs w:val="22"/>
                      <w:lang w:val="es-ES"/>
                    </w:rPr>
                    <w:t xml:space="preserve"> </w:t>
                  </w:r>
                  <w:proofErr w:type="spellStart"/>
                  <w:r>
                    <w:rPr>
                      <w:sz w:val="22"/>
                      <w:szCs w:val="22"/>
                      <w:lang w:val="es-ES"/>
                    </w:rPr>
                    <w:t>integrated</w:t>
                  </w:r>
                  <w:proofErr w:type="spellEnd"/>
                  <w:r>
                    <w:rPr>
                      <w:sz w:val="22"/>
                      <w:szCs w:val="22"/>
                      <w:lang w:val="es-ES"/>
                    </w:rPr>
                    <w:t xml:space="preserve"> </w:t>
                  </w:r>
                  <w:proofErr w:type="spellStart"/>
                  <w:r>
                    <w:rPr>
                      <w:sz w:val="22"/>
                      <w:szCs w:val="22"/>
                      <w:lang w:val="es-ES"/>
                    </w:rPr>
                    <w:t>into</w:t>
                  </w:r>
                  <w:proofErr w:type="spellEnd"/>
                  <w:r>
                    <w:rPr>
                      <w:sz w:val="22"/>
                      <w:szCs w:val="22"/>
                      <w:lang w:val="es-ES"/>
                    </w:rPr>
                    <w:t xml:space="preserve"> </w:t>
                  </w:r>
                  <w:proofErr w:type="spellStart"/>
                  <w:r>
                    <w:rPr>
                      <w:sz w:val="22"/>
                      <w:szCs w:val="22"/>
                      <w:lang w:val="es-ES"/>
                    </w:rPr>
                    <w:t>the</w:t>
                  </w:r>
                  <w:proofErr w:type="spellEnd"/>
                  <w:r>
                    <w:rPr>
                      <w:sz w:val="22"/>
                      <w:szCs w:val="22"/>
                      <w:lang w:val="es-ES"/>
                    </w:rPr>
                    <w:t xml:space="preserve"> meter </w:t>
                  </w:r>
                  <w:proofErr w:type="spellStart"/>
                  <w:r>
                    <w:rPr>
                      <w:sz w:val="22"/>
                      <w:szCs w:val="22"/>
                      <w:lang w:val="es-ES"/>
                    </w:rPr>
                    <w:t>body</w:t>
                  </w:r>
                  <w:proofErr w:type="spellEnd"/>
                  <w:r>
                    <w:rPr>
                      <w:sz w:val="22"/>
                      <w:szCs w:val="22"/>
                      <w:lang w:val="es-ES"/>
                    </w:rPr>
                    <w:t xml:space="preserve">) </w:t>
                  </w:r>
                  <w:proofErr w:type="spellStart"/>
                  <w:r>
                    <w:rPr>
                      <w:sz w:val="22"/>
                      <w:szCs w:val="22"/>
                      <w:lang w:val="es-ES"/>
                    </w:rPr>
                    <w:t>for</w:t>
                  </w:r>
                  <w:proofErr w:type="spellEnd"/>
                  <w:r>
                    <w:rPr>
                      <w:sz w:val="22"/>
                      <w:szCs w:val="22"/>
                      <w:lang w:val="es-ES"/>
                    </w:rPr>
                    <w:t xml:space="preserve"> 13mm (1/2 </w:t>
                  </w:r>
                  <w:proofErr w:type="spellStart"/>
                  <w:r>
                    <w:rPr>
                      <w:sz w:val="22"/>
                      <w:szCs w:val="22"/>
                      <w:lang w:val="es-ES"/>
                    </w:rPr>
                    <w:t>inch</w:t>
                  </w:r>
                  <w:proofErr w:type="spellEnd"/>
                  <w:r>
                    <w:rPr>
                      <w:sz w:val="22"/>
                      <w:szCs w:val="22"/>
                      <w:lang w:val="es-ES"/>
                    </w:rPr>
                    <w:t xml:space="preserve">) </w:t>
                  </w:r>
                  <w:proofErr w:type="spellStart"/>
                  <w:r>
                    <w:rPr>
                      <w:sz w:val="22"/>
                      <w:szCs w:val="22"/>
                      <w:lang w:val="es-ES"/>
                    </w:rPr>
                    <w:t>drinking</w:t>
                  </w:r>
                  <w:proofErr w:type="spellEnd"/>
                  <w:r>
                    <w:rPr>
                      <w:sz w:val="22"/>
                      <w:szCs w:val="22"/>
                      <w:lang w:val="es-ES"/>
                    </w:rPr>
                    <w:t xml:space="preserve"> </w:t>
                  </w:r>
                  <w:proofErr w:type="spellStart"/>
                  <w:r>
                    <w:rPr>
                      <w:sz w:val="22"/>
                      <w:szCs w:val="22"/>
                      <w:lang w:val="es-ES"/>
                    </w:rPr>
                    <w:t>water</w:t>
                  </w:r>
                  <w:proofErr w:type="spellEnd"/>
                </w:p>
              </w:tc>
              <w:tc>
                <w:tcPr>
                  <w:tcW w:w="1417" w:type="dxa"/>
                  <w:tcBorders>
                    <w:top w:val="single" w:sz="4" w:space="0" w:color="000000"/>
                    <w:left w:val="single" w:sz="4" w:space="0" w:color="000000"/>
                    <w:bottom w:val="single" w:sz="4" w:space="0" w:color="000000"/>
                    <w:right w:val="single" w:sz="4" w:space="0" w:color="000000"/>
                  </w:tcBorders>
                </w:tcPr>
                <w:p w14:paraId="2439D598" w14:textId="77777777" w:rsidR="00E255F4" w:rsidRDefault="00000000">
                  <w:pPr>
                    <w:spacing w:after="240"/>
                    <w:jc w:val="both"/>
                    <w:rPr>
                      <w:sz w:val="22"/>
                      <w:szCs w:val="22"/>
                      <w:lang w:val="es-ES"/>
                    </w:rPr>
                  </w:pPr>
                  <w:r>
                    <w:rPr>
                      <w:sz w:val="22"/>
                      <w:szCs w:val="22"/>
                      <w:lang w:val="es-ES"/>
                    </w:rPr>
                    <w:t>A</w:t>
                  </w:r>
                </w:p>
              </w:tc>
              <w:tc>
                <w:tcPr>
                  <w:tcW w:w="2019" w:type="dxa"/>
                  <w:tcBorders>
                    <w:top w:val="single" w:sz="4" w:space="0" w:color="000000"/>
                    <w:left w:val="single" w:sz="4" w:space="0" w:color="000000"/>
                    <w:bottom w:val="single" w:sz="4" w:space="0" w:color="000000"/>
                    <w:right w:val="single" w:sz="4" w:space="0" w:color="000000"/>
                  </w:tcBorders>
                </w:tcPr>
                <w:p w14:paraId="59C3F339" w14:textId="77777777" w:rsidR="00E255F4" w:rsidRDefault="00000000">
                  <w:pPr>
                    <w:spacing w:after="240"/>
                    <w:jc w:val="both"/>
                    <w:rPr>
                      <w:sz w:val="22"/>
                      <w:szCs w:val="22"/>
                      <w:lang w:val="es-ES"/>
                    </w:rPr>
                  </w:pPr>
                  <w:r>
                    <w:rPr>
                      <w:sz w:val="22"/>
                      <w:szCs w:val="22"/>
                      <w:lang w:val="es-ES"/>
                    </w:rPr>
                    <w:t>50,000</w:t>
                  </w:r>
                </w:p>
              </w:tc>
            </w:tr>
            <w:tr w:rsidR="00E255F4" w14:paraId="14073ADD" w14:textId="77777777">
              <w:tc>
                <w:tcPr>
                  <w:tcW w:w="703" w:type="dxa"/>
                  <w:vMerge/>
                  <w:tcBorders>
                    <w:top w:val="single" w:sz="4" w:space="0" w:color="000000"/>
                    <w:left w:val="single" w:sz="4" w:space="0" w:color="000000"/>
                    <w:bottom w:val="single" w:sz="4" w:space="0" w:color="000000"/>
                    <w:right w:val="single" w:sz="4" w:space="0" w:color="000000"/>
                  </w:tcBorders>
                </w:tcPr>
                <w:p w14:paraId="0FFA574E" w14:textId="77777777" w:rsidR="00E255F4" w:rsidRDefault="00E255F4">
                  <w:pPr>
                    <w:snapToGrid w:val="0"/>
                    <w:spacing w:after="240"/>
                    <w:jc w:val="both"/>
                    <w:rPr>
                      <w:sz w:val="22"/>
                      <w:szCs w:val="22"/>
                      <w:lang w:val="es-ES"/>
                    </w:rPr>
                  </w:pPr>
                </w:p>
              </w:tc>
              <w:tc>
                <w:tcPr>
                  <w:tcW w:w="850" w:type="dxa"/>
                  <w:tcBorders>
                    <w:top w:val="single" w:sz="4" w:space="0" w:color="000000"/>
                    <w:left w:val="single" w:sz="4" w:space="0" w:color="000000"/>
                    <w:bottom w:val="single" w:sz="4" w:space="0" w:color="000000"/>
                    <w:right w:val="single" w:sz="4" w:space="0" w:color="000000"/>
                  </w:tcBorders>
                </w:tcPr>
                <w:p w14:paraId="11F3F5C0" w14:textId="77777777" w:rsidR="00E255F4" w:rsidRDefault="00000000">
                  <w:pPr>
                    <w:spacing w:after="240"/>
                    <w:jc w:val="both"/>
                    <w:rPr>
                      <w:sz w:val="22"/>
                      <w:szCs w:val="22"/>
                      <w:lang w:val="es-ES"/>
                    </w:rPr>
                  </w:pPr>
                  <w:r>
                    <w:rPr>
                      <w:sz w:val="22"/>
                      <w:szCs w:val="22"/>
                      <w:lang w:val="es-ES"/>
                    </w:rPr>
                    <w:t>2</w:t>
                  </w:r>
                </w:p>
              </w:tc>
              <w:tc>
                <w:tcPr>
                  <w:tcW w:w="4820" w:type="dxa"/>
                  <w:gridSpan w:val="2"/>
                  <w:tcBorders>
                    <w:top w:val="single" w:sz="4" w:space="0" w:color="000000"/>
                    <w:left w:val="single" w:sz="4" w:space="0" w:color="000000"/>
                    <w:bottom w:val="single" w:sz="4" w:space="0" w:color="000000"/>
                    <w:right w:val="single" w:sz="4" w:space="0" w:color="000000"/>
                  </w:tcBorders>
                </w:tcPr>
                <w:p w14:paraId="572772E2" w14:textId="77777777" w:rsidR="00E255F4" w:rsidRDefault="00000000">
                  <w:pPr>
                    <w:spacing w:after="240"/>
                    <w:jc w:val="both"/>
                    <w:rPr>
                      <w:sz w:val="22"/>
                      <w:szCs w:val="22"/>
                      <w:lang w:val="es-ES"/>
                    </w:rPr>
                  </w:pPr>
                  <w:proofErr w:type="spellStart"/>
                  <w:r>
                    <w:rPr>
                      <w:sz w:val="22"/>
                      <w:szCs w:val="22"/>
                      <w:lang w:val="es-ES"/>
                    </w:rPr>
                    <w:t>Support</w:t>
                  </w:r>
                  <w:proofErr w:type="spellEnd"/>
                  <w:r>
                    <w:rPr>
                      <w:sz w:val="22"/>
                      <w:szCs w:val="22"/>
                      <w:lang w:val="es-ES"/>
                    </w:rPr>
                    <w:t xml:space="preserve"> and </w:t>
                  </w:r>
                  <w:proofErr w:type="spellStart"/>
                  <w:r>
                    <w:rPr>
                      <w:sz w:val="22"/>
                      <w:szCs w:val="22"/>
                      <w:lang w:val="es-ES"/>
                    </w:rPr>
                    <w:t>maintenance</w:t>
                  </w:r>
                  <w:proofErr w:type="spellEnd"/>
                </w:p>
              </w:tc>
              <w:tc>
                <w:tcPr>
                  <w:tcW w:w="1417" w:type="dxa"/>
                  <w:tcBorders>
                    <w:top w:val="single" w:sz="4" w:space="0" w:color="000000"/>
                    <w:left w:val="single" w:sz="4" w:space="0" w:color="000000"/>
                    <w:bottom w:val="single" w:sz="4" w:space="0" w:color="000000"/>
                    <w:right w:val="single" w:sz="4" w:space="0" w:color="000000"/>
                  </w:tcBorders>
                </w:tcPr>
                <w:p w14:paraId="1F6F216B" w14:textId="77777777" w:rsidR="00E255F4" w:rsidRDefault="00000000">
                  <w:pPr>
                    <w:spacing w:after="240"/>
                    <w:jc w:val="both"/>
                    <w:rPr>
                      <w:sz w:val="22"/>
                      <w:szCs w:val="22"/>
                      <w:lang w:val="es-ES"/>
                    </w:rPr>
                  </w:pPr>
                  <w:proofErr w:type="spellStart"/>
                  <w:r>
                    <w:rPr>
                      <w:sz w:val="22"/>
                      <w:szCs w:val="22"/>
                      <w:lang w:val="es-ES"/>
                    </w:rPr>
                    <w:t>Monthly</w:t>
                  </w:r>
                  <w:proofErr w:type="spellEnd"/>
                </w:p>
              </w:tc>
              <w:tc>
                <w:tcPr>
                  <w:tcW w:w="2019" w:type="dxa"/>
                  <w:tcBorders>
                    <w:top w:val="single" w:sz="4" w:space="0" w:color="000000"/>
                    <w:left w:val="single" w:sz="4" w:space="0" w:color="000000"/>
                    <w:bottom w:val="single" w:sz="4" w:space="0" w:color="000000"/>
                    <w:right w:val="single" w:sz="4" w:space="0" w:color="000000"/>
                  </w:tcBorders>
                </w:tcPr>
                <w:p w14:paraId="0561CD22" w14:textId="77777777" w:rsidR="00E255F4" w:rsidRDefault="00000000">
                  <w:pPr>
                    <w:spacing w:after="240"/>
                    <w:jc w:val="both"/>
                    <w:rPr>
                      <w:sz w:val="22"/>
                      <w:szCs w:val="22"/>
                      <w:lang w:val="es-ES"/>
                    </w:rPr>
                  </w:pPr>
                  <w:r>
                    <w:rPr>
                      <w:sz w:val="22"/>
                      <w:szCs w:val="22"/>
                      <w:lang w:val="es-ES"/>
                    </w:rPr>
                    <w:t>60</w:t>
                  </w:r>
                </w:p>
              </w:tc>
            </w:tr>
            <w:tr w:rsidR="00E255F4" w14:paraId="1BA16807" w14:textId="77777777">
              <w:tc>
                <w:tcPr>
                  <w:tcW w:w="703" w:type="dxa"/>
                  <w:vMerge/>
                  <w:tcBorders>
                    <w:top w:val="single" w:sz="4" w:space="0" w:color="000000"/>
                    <w:left w:val="single" w:sz="4" w:space="0" w:color="000000"/>
                    <w:bottom w:val="single" w:sz="4" w:space="0" w:color="000000"/>
                    <w:right w:val="single" w:sz="4" w:space="0" w:color="000000"/>
                  </w:tcBorders>
                </w:tcPr>
                <w:p w14:paraId="7469FBE3" w14:textId="77777777" w:rsidR="00E255F4" w:rsidRDefault="00E255F4">
                  <w:pPr>
                    <w:snapToGrid w:val="0"/>
                    <w:spacing w:after="240"/>
                    <w:jc w:val="both"/>
                    <w:rPr>
                      <w:sz w:val="22"/>
                      <w:szCs w:val="22"/>
                      <w:lang w:val="es-ES"/>
                    </w:rPr>
                  </w:pPr>
                </w:p>
              </w:tc>
              <w:tc>
                <w:tcPr>
                  <w:tcW w:w="850" w:type="dxa"/>
                  <w:vMerge w:val="restart"/>
                  <w:tcBorders>
                    <w:top w:val="single" w:sz="4" w:space="0" w:color="000000"/>
                    <w:left w:val="single" w:sz="4" w:space="0" w:color="000000"/>
                    <w:bottom w:val="single" w:sz="4" w:space="0" w:color="000000"/>
                    <w:right w:val="single" w:sz="4" w:space="0" w:color="000000"/>
                  </w:tcBorders>
                </w:tcPr>
                <w:p w14:paraId="20F117DF" w14:textId="77777777" w:rsidR="00E255F4" w:rsidRDefault="00000000">
                  <w:pPr>
                    <w:spacing w:after="240"/>
                    <w:jc w:val="both"/>
                    <w:rPr>
                      <w:sz w:val="22"/>
                      <w:szCs w:val="22"/>
                      <w:lang w:val="es-ES"/>
                    </w:rPr>
                  </w:pPr>
                  <w:r>
                    <w:rPr>
                      <w:sz w:val="22"/>
                      <w:szCs w:val="22"/>
                      <w:lang w:val="es-ES"/>
                    </w:rPr>
                    <w:t>3</w:t>
                  </w:r>
                </w:p>
              </w:tc>
              <w:tc>
                <w:tcPr>
                  <w:tcW w:w="1985" w:type="dxa"/>
                  <w:vMerge w:val="restart"/>
                  <w:tcBorders>
                    <w:top w:val="single" w:sz="4" w:space="0" w:color="000000"/>
                    <w:left w:val="single" w:sz="4" w:space="0" w:color="000000"/>
                    <w:bottom w:val="single" w:sz="4" w:space="0" w:color="000000"/>
                    <w:right w:val="single" w:sz="4" w:space="0" w:color="000000"/>
                  </w:tcBorders>
                </w:tcPr>
                <w:p w14:paraId="5C2D88C5" w14:textId="77777777" w:rsidR="00E255F4" w:rsidRDefault="00000000">
                  <w:pPr>
                    <w:spacing w:after="240"/>
                    <w:jc w:val="both"/>
                    <w:rPr>
                      <w:sz w:val="22"/>
                      <w:szCs w:val="22"/>
                      <w:lang w:val="es-ES"/>
                    </w:rPr>
                  </w:pPr>
                  <w:proofErr w:type="spellStart"/>
                  <w:r>
                    <w:rPr>
                      <w:sz w:val="22"/>
                      <w:szCs w:val="22"/>
                      <w:lang w:val="es-ES"/>
                    </w:rPr>
                    <w:t>Related</w:t>
                  </w:r>
                  <w:proofErr w:type="spellEnd"/>
                  <w:r>
                    <w:rPr>
                      <w:sz w:val="22"/>
                      <w:szCs w:val="22"/>
                      <w:lang w:val="es-ES"/>
                    </w:rPr>
                    <w:t xml:space="preserve"> </w:t>
                  </w:r>
                  <w:proofErr w:type="spellStart"/>
                  <w:r>
                    <w:rPr>
                      <w:sz w:val="22"/>
                      <w:szCs w:val="22"/>
                      <w:lang w:val="es-ES"/>
                    </w:rPr>
                    <w:t>Services</w:t>
                  </w:r>
                  <w:proofErr w:type="spellEnd"/>
                </w:p>
              </w:tc>
              <w:tc>
                <w:tcPr>
                  <w:tcW w:w="2835" w:type="dxa"/>
                  <w:tcBorders>
                    <w:top w:val="single" w:sz="4" w:space="0" w:color="000000"/>
                    <w:left w:val="single" w:sz="4" w:space="0" w:color="000000"/>
                    <w:bottom w:val="single" w:sz="4" w:space="0" w:color="000000"/>
                    <w:right w:val="single" w:sz="4" w:space="0" w:color="000000"/>
                  </w:tcBorders>
                </w:tcPr>
                <w:p w14:paraId="59E4E7B3" w14:textId="77777777" w:rsidR="00E255F4" w:rsidRDefault="00000000">
                  <w:pPr>
                    <w:spacing w:after="240"/>
                    <w:jc w:val="both"/>
                    <w:rPr>
                      <w:sz w:val="22"/>
                      <w:szCs w:val="22"/>
                      <w:lang w:val="es-ES"/>
                    </w:rPr>
                  </w:pPr>
                  <w:r>
                    <w:rPr>
                      <w:sz w:val="22"/>
                      <w:szCs w:val="22"/>
                      <w:lang w:val="es-ES"/>
                    </w:rPr>
                    <w:t xml:space="preserve">3.1) Factory </w:t>
                  </w:r>
                  <w:proofErr w:type="spellStart"/>
                  <w:r>
                    <w:rPr>
                      <w:sz w:val="22"/>
                      <w:szCs w:val="22"/>
                      <w:lang w:val="es-ES"/>
                    </w:rPr>
                    <w:t>reception</w:t>
                  </w:r>
                  <w:proofErr w:type="spellEnd"/>
                  <w:r>
                    <w:rPr>
                      <w:sz w:val="22"/>
                      <w:szCs w:val="22"/>
                      <w:lang w:val="es-ES"/>
                    </w:rPr>
                    <w:t xml:space="preserve"> </w:t>
                  </w:r>
                  <w:proofErr w:type="spellStart"/>
                  <w:r>
                    <w:rPr>
                      <w:sz w:val="22"/>
                      <w:szCs w:val="22"/>
                      <w:lang w:val="es-ES"/>
                    </w:rPr>
                    <w:t>service</w:t>
                  </w:r>
                  <w:proofErr w:type="spellEnd"/>
                  <w:r>
                    <w:rPr>
                      <w:sz w:val="22"/>
                      <w:szCs w:val="22"/>
                      <w:lang w:val="es-ES"/>
                    </w:rPr>
                    <w:t xml:space="preserve">: </w:t>
                  </w:r>
                  <w:proofErr w:type="spellStart"/>
                  <w:r>
                    <w:rPr>
                      <w:sz w:val="22"/>
                      <w:szCs w:val="22"/>
                      <w:lang w:val="es-ES"/>
                    </w:rPr>
                    <w:t>Verifying</w:t>
                  </w:r>
                  <w:proofErr w:type="spellEnd"/>
                  <w:r>
                    <w:rPr>
                      <w:sz w:val="22"/>
                      <w:szCs w:val="22"/>
                      <w:lang w:val="es-ES"/>
                    </w:rPr>
                    <w:t xml:space="preserve"> Agent</w:t>
                  </w:r>
                </w:p>
              </w:tc>
              <w:tc>
                <w:tcPr>
                  <w:tcW w:w="1417" w:type="dxa"/>
                  <w:tcBorders>
                    <w:top w:val="single" w:sz="4" w:space="0" w:color="000000"/>
                    <w:left w:val="single" w:sz="4" w:space="0" w:color="000000"/>
                    <w:bottom w:val="single" w:sz="4" w:space="0" w:color="000000"/>
                    <w:right w:val="single" w:sz="4" w:space="0" w:color="000000"/>
                  </w:tcBorders>
                </w:tcPr>
                <w:p w14:paraId="3D999AB7" w14:textId="77777777" w:rsidR="00E255F4" w:rsidRDefault="00000000">
                  <w:pPr>
                    <w:spacing w:after="240"/>
                    <w:jc w:val="both"/>
                    <w:rPr>
                      <w:sz w:val="22"/>
                      <w:szCs w:val="22"/>
                      <w:lang w:val="es-ES"/>
                    </w:rPr>
                  </w:pPr>
                  <w:r>
                    <w:rPr>
                      <w:sz w:val="22"/>
                      <w:szCs w:val="22"/>
                      <w:lang w:val="es-ES"/>
                    </w:rPr>
                    <w:t>Global</w:t>
                  </w:r>
                </w:p>
              </w:tc>
              <w:tc>
                <w:tcPr>
                  <w:tcW w:w="2019" w:type="dxa"/>
                  <w:tcBorders>
                    <w:top w:val="single" w:sz="4" w:space="0" w:color="000000"/>
                    <w:left w:val="single" w:sz="4" w:space="0" w:color="000000"/>
                    <w:bottom w:val="single" w:sz="4" w:space="0" w:color="000000"/>
                    <w:right w:val="single" w:sz="4" w:space="0" w:color="000000"/>
                  </w:tcBorders>
                </w:tcPr>
                <w:p w14:paraId="48D12C68" w14:textId="77777777" w:rsidR="00E255F4" w:rsidRDefault="00000000">
                  <w:pPr>
                    <w:spacing w:after="240"/>
                    <w:jc w:val="both"/>
                    <w:rPr>
                      <w:sz w:val="22"/>
                      <w:szCs w:val="22"/>
                      <w:lang w:val="es-ES"/>
                    </w:rPr>
                  </w:pPr>
                  <w:r>
                    <w:rPr>
                      <w:sz w:val="22"/>
                      <w:szCs w:val="22"/>
                      <w:lang w:val="es-ES"/>
                    </w:rPr>
                    <w:t>1</w:t>
                  </w:r>
                </w:p>
              </w:tc>
            </w:tr>
            <w:tr w:rsidR="00E255F4" w14:paraId="21F3A638" w14:textId="77777777">
              <w:tc>
                <w:tcPr>
                  <w:tcW w:w="703" w:type="dxa"/>
                  <w:vMerge/>
                  <w:tcBorders>
                    <w:top w:val="single" w:sz="4" w:space="0" w:color="000000"/>
                    <w:left w:val="single" w:sz="4" w:space="0" w:color="000000"/>
                    <w:bottom w:val="single" w:sz="4" w:space="0" w:color="000000"/>
                    <w:right w:val="single" w:sz="4" w:space="0" w:color="000000"/>
                  </w:tcBorders>
                </w:tcPr>
                <w:p w14:paraId="1A208AA5" w14:textId="77777777" w:rsidR="00E255F4" w:rsidRDefault="00E255F4">
                  <w:pPr>
                    <w:snapToGrid w:val="0"/>
                    <w:spacing w:after="240"/>
                    <w:jc w:val="both"/>
                    <w:rPr>
                      <w:sz w:val="22"/>
                      <w:szCs w:val="22"/>
                      <w:lang w:val="es-ES"/>
                    </w:rPr>
                  </w:pPr>
                </w:p>
              </w:tc>
              <w:tc>
                <w:tcPr>
                  <w:tcW w:w="850" w:type="dxa"/>
                  <w:vMerge/>
                  <w:tcBorders>
                    <w:top w:val="single" w:sz="4" w:space="0" w:color="000000"/>
                    <w:left w:val="single" w:sz="4" w:space="0" w:color="000000"/>
                    <w:bottom w:val="single" w:sz="4" w:space="0" w:color="000000"/>
                    <w:right w:val="single" w:sz="4" w:space="0" w:color="000000"/>
                  </w:tcBorders>
                </w:tcPr>
                <w:p w14:paraId="6D7394F6" w14:textId="77777777" w:rsidR="00E255F4" w:rsidRDefault="00E255F4">
                  <w:pPr>
                    <w:snapToGrid w:val="0"/>
                    <w:spacing w:after="240"/>
                    <w:jc w:val="both"/>
                    <w:rPr>
                      <w:sz w:val="22"/>
                      <w:szCs w:val="22"/>
                      <w:lang w:val="es-ES"/>
                    </w:rPr>
                  </w:pPr>
                </w:p>
              </w:tc>
              <w:tc>
                <w:tcPr>
                  <w:tcW w:w="1985" w:type="dxa"/>
                  <w:vMerge/>
                  <w:tcBorders>
                    <w:top w:val="single" w:sz="4" w:space="0" w:color="000000"/>
                    <w:left w:val="single" w:sz="4" w:space="0" w:color="000000"/>
                    <w:bottom w:val="single" w:sz="4" w:space="0" w:color="000000"/>
                    <w:right w:val="single" w:sz="4" w:space="0" w:color="000000"/>
                  </w:tcBorders>
                </w:tcPr>
                <w:p w14:paraId="062683FA" w14:textId="77777777" w:rsidR="00E255F4" w:rsidRDefault="00E255F4">
                  <w:pPr>
                    <w:snapToGrid w:val="0"/>
                    <w:spacing w:after="240"/>
                    <w:jc w:val="both"/>
                    <w:rPr>
                      <w:sz w:val="22"/>
                      <w:szCs w:val="22"/>
                      <w:lang w:val="es-ES"/>
                    </w:rPr>
                  </w:pPr>
                </w:p>
              </w:tc>
              <w:tc>
                <w:tcPr>
                  <w:tcW w:w="2835" w:type="dxa"/>
                  <w:tcBorders>
                    <w:top w:val="single" w:sz="4" w:space="0" w:color="000000"/>
                    <w:left w:val="single" w:sz="4" w:space="0" w:color="000000"/>
                    <w:bottom w:val="single" w:sz="4" w:space="0" w:color="000000"/>
                    <w:right w:val="single" w:sz="4" w:space="0" w:color="000000"/>
                  </w:tcBorders>
                </w:tcPr>
                <w:p w14:paraId="0EA1C2CC" w14:textId="77777777" w:rsidR="00E255F4" w:rsidRDefault="00000000">
                  <w:pPr>
                    <w:spacing w:after="240"/>
                    <w:jc w:val="both"/>
                    <w:rPr>
                      <w:sz w:val="22"/>
                      <w:szCs w:val="22"/>
                      <w:lang w:val="es-ES"/>
                    </w:rPr>
                  </w:pPr>
                  <w:r>
                    <w:rPr>
                      <w:sz w:val="22"/>
                      <w:szCs w:val="22"/>
                      <w:lang w:val="es-ES"/>
                    </w:rPr>
                    <w:t xml:space="preserve">3.2) Factory </w:t>
                  </w:r>
                  <w:proofErr w:type="spellStart"/>
                  <w:r>
                    <w:rPr>
                      <w:sz w:val="22"/>
                      <w:szCs w:val="22"/>
                      <w:lang w:val="es-ES"/>
                    </w:rPr>
                    <w:t>reception</w:t>
                  </w:r>
                  <w:proofErr w:type="spellEnd"/>
                  <w:r>
                    <w:rPr>
                      <w:sz w:val="22"/>
                      <w:szCs w:val="22"/>
                      <w:lang w:val="es-ES"/>
                    </w:rPr>
                    <w:t xml:space="preserve"> </w:t>
                  </w:r>
                  <w:proofErr w:type="spellStart"/>
                  <w:r>
                    <w:rPr>
                      <w:sz w:val="22"/>
                      <w:szCs w:val="22"/>
                      <w:lang w:val="es-ES"/>
                    </w:rPr>
                    <w:t>service</w:t>
                  </w:r>
                  <w:proofErr w:type="spellEnd"/>
                  <w:r>
                    <w:rPr>
                      <w:sz w:val="22"/>
                      <w:szCs w:val="22"/>
                      <w:lang w:val="es-ES"/>
                    </w:rPr>
                    <w:t xml:space="preserve">: OSE </w:t>
                  </w:r>
                  <w:proofErr w:type="spellStart"/>
                  <w:r>
                    <w:rPr>
                      <w:sz w:val="22"/>
                      <w:szCs w:val="22"/>
                      <w:lang w:val="es-ES"/>
                    </w:rPr>
                    <w:t>Technician</w:t>
                  </w:r>
                  <w:proofErr w:type="spellEnd"/>
                </w:p>
              </w:tc>
              <w:tc>
                <w:tcPr>
                  <w:tcW w:w="1417" w:type="dxa"/>
                  <w:tcBorders>
                    <w:top w:val="single" w:sz="4" w:space="0" w:color="000000"/>
                    <w:left w:val="single" w:sz="4" w:space="0" w:color="000000"/>
                    <w:bottom w:val="single" w:sz="4" w:space="0" w:color="000000"/>
                    <w:right w:val="single" w:sz="4" w:space="0" w:color="000000"/>
                  </w:tcBorders>
                </w:tcPr>
                <w:p w14:paraId="6EBACFB1" w14:textId="77777777" w:rsidR="00E255F4" w:rsidRDefault="00000000">
                  <w:pPr>
                    <w:spacing w:after="240"/>
                    <w:jc w:val="both"/>
                    <w:rPr>
                      <w:sz w:val="22"/>
                      <w:szCs w:val="22"/>
                      <w:lang w:val="es-ES"/>
                    </w:rPr>
                  </w:pPr>
                  <w:r>
                    <w:rPr>
                      <w:sz w:val="22"/>
                      <w:szCs w:val="22"/>
                      <w:lang w:val="es-ES"/>
                    </w:rPr>
                    <w:t>Global</w:t>
                  </w:r>
                </w:p>
              </w:tc>
              <w:tc>
                <w:tcPr>
                  <w:tcW w:w="2019" w:type="dxa"/>
                  <w:tcBorders>
                    <w:top w:val="single" w:sz="4" w:space="0" w:color="000000"/>
                    <w:left w:val="single" w:sz="4" w:space="0" w:color="000000"/>
                    <w:bottom w:val="single" w:sz="4" w:space="0" w:color="000000"/>
                    <w:right w:val="single" w:sz="4" w:space="0" w:color="000000"/>
                  </w:tcBorders>
                </w:tcPr>
                <w:p w14:paraId="0FBEB35D" w14:textId="77777777" w:rsidR="00E255F4" w:rsidRDefault="00000000">
                  <w:pPr>
                    <w:spacing w:after="240"/>
                    <w:jc w:val="both"/>
                    <w:rPr>
                      <w:sz w:val="22"/>
                      <w:szCs w:val="22"/>
                      <w:lang w:val="es-ES"/>
                    </w:rPr>
                  </w:pPr>
                  <w:r>
                    <w:rPr>
                      <w:sz w:val="22"/>
                      <w:szCs w:val="22"/>
                      <w:lang w:val="es-ES"/>
                    </w:rPr>
                    <w:t>1</w:t>
                  </w:r>
                </w:p>
              </w:tc>
            </w:tr>
          </w:tbl>
          <w:p w14:paraId="1B3C64FF" w14:textId="77777777" w:rsidR="00E255F4" w:rsidRDefault="00E255F4">
            <w:pPr>
              <w:spacing w:before="120"/>
              <w:rPr>
                <w:rFonts w:eastAsia="Palatino Linotype"/>
                <w:spacing w:val="-1"/>
                <w:position w:val="1"/>
                <w:sz w:val="22"/>
                <w:szCs w:val="22"/>
                <w:lang w:val="es-ES"/>
              </w:rPr>
            </w:pPr>
            <w:bookmarkStart w:id="76" w:name="_Hlk54267603"/>
            <w:bookmarkEnd w:id="76"/>
          </w:p>
          <w:p w14:paraId="76FB5C61" w14:textId="77777777" w:rsidR="00E255F4" w:rsidRDefault="00000000">
            <w:pPr>
              <w:spacing w:before="120"/>
              <w:rPr>
                <w:rFonts w:eastAsia="Palatino Linotype"/>
                <w:i/>
                <w:spacing w:val="-1"/>
                <w:position w:val="1"/>
                <w:sz w:val="22"/>
                <w:szCs w:val="22"/>
                <w:lang w:val="es-ES"/>
              </w:rPr>
            </w:pPr>
            <w:r>
              <w:rPr>
                <w:rFonts w:eastAsia="Palatino Linotype"/>
                <w:spacing w:val="-1"/>
                <w:position w:val="1"/>
                <w:sz w:val="22"/>
                <w:szCs w:val="22"/>
                <w:lang w:val="es-ES"/>
              </w:rPr>
              <w:t xml:space="preserve">The </w:t>
            </w:r>
            <w:proofErr w:type="spellStart"/>
            <w:r>
              <w:rPr>
                <w:rFonts w:eastAsia="Palatino Linotype"/>
                <w:spacing w:val="-1"/>
                <w:position w:val="1"/>
                <w:sz w:val="22"/>
                <w:szCs w:val="22"/>
                <w:lang w:val="es-ES"/>
              </w:rPr>
              <w:t>following</w:t>
            </w:r>
            <w:proofErr w:type="spellEnd"/>
            <w:r>
              <w:rPr>
                <w:rFonts w:eastAsia="Palatino Linotype"/>
                <w:spacing w:val="-1"/>
                <w:position w:val="1"/>
                <w:sz w:val="22"/>
                <w:szCs w:val="22"/>
                <w:lang w:val="es-ES"/>
              </w:rPr>
              <w:t xml:space="preserve"> alternatives are </w:t>
            </w:r>
            <w:proofErr w:type="spellStart"/>
            <w:r>
              <w:rPr>
                <w:rFonts w:eastAsia="Palatino Linotype"/>
                <w:spacing w:val="-1"/>
                <w:position w:val="1"/>
                <w:sz w:val="22"/>
                <w:szCs w:val="22"/>
                <w:lang w:val="es-ES"/>
              </w:rPr>
              <w:t>accepted</w:t>
            </w:r>
            <w:proofErr w:type="spellEnd"/>
            <w:r>
              <w:rPr>
                <w:rFonts w:eastAsia="Palatino Linotype"/>
                <w:spacing w:val="-1"/>
                <w:position w:val="1"/>
                <w:sz w:val="22"/>
                <w:szCs w:val="22"/>
                <w:lang w:val="es-ES"/>
              </w:rPr>
              <w:t xml:space="preserve"> </w:t>
            </w:r>
            <w:proofErr w:type="spellStart"/>
            <w:r>
              <w:rPr>
                <w:rFonts w:eastAsia="Palatino Linotype"/>
                <w:spacing w:val="-1"/>
                <w:position w:val="1"/>
                <w:sz w:val="22"/>
                <w:szCs w:val="22"/>
                <w:lang w:val="es-ES"/>
              </w:rPr>
              <w:t>for</w:t>
            </w:r>
            <w:proofErr w:type="spellEnd"/>
            <w:r>
              <w:rPr>
                <w:rFonts w:eastAsia="Palatino Linotype"/>
                <w:spacing w:val="-1"/>
                <w:position w:val="1"/>
                <w:sz w:val="22"/>
                <w:szCs w:val="22"/>
                <w:lang w:val="es-ES"/>
              </w:rPr>
              <w:t xml:space="preserve"> </w:t>
            </w:r>
            <w:proofErr w:type="spellStart"/>
            <w:r>
              <w:rPr>
                <w:rFonts w:eastAsia="Palatino Linotype"/>
                <w:spacing w:val="-1"/>
                <w:position w:val="1"/>
                <w:sz w:val="22"/>
                <w:szCs w:val="22"/>
                <w:lang w:val="es-ES"/>
              </w:rPr>
              <w:t>this</w:t>
            </w:r>
            <w:proofErr w:type="spellEnd"/>
            <w:r>
              <w:rPr>
                <w:rFonts w:eastAsia="Palatino Linotype"/>
                <w:spacing w:val="-1"/>
                <w:position w:val="1"/>
                <w:sz w:val="22"/>
                <w:szCs w:val="22"/>
                <w:lang w:val="es-ES"/>
              </w:rPr>
              <w:t xml:space="preserve"> tender: No</w:t>
            </w:r>
          </w:p>
          <w:p w14:paraId="2413FBF6" w14:textId="77777777" w:rsidR="00E255F4" w:rsidRDefault="00000000">
            <w:pPr>
              <w:tabs>
                <w:tab w:val="left" w:pos="0"/>
                <w:tab w:val="left" w:pos="720"/>
                <w:tab w:val="left" w:pos="1110"/>
                <w:tab w:val="left" w:pos="1274"/>
                <w:tab w:val="left" w:pos="1440"/>
              </w:tabs>
              <w:ind w:left="1274" w:hanging="1274"/>
              <w:jc w:val="both"/>
              <w:rPr>
                <w:rFonts w:cs="Arial"/>
                <w:spacing w:val="-3"/>
                <w:sz w:val="22"/>
                <w:szCs w:val="22"/>
                <w:lang w:val="es-ES"/>
              </w:rPr>
            </w:pPr>
            <w:proofErr w:type="spellStart"/>
            <w:r>
              <w:rPr>
                <w:rFonts w:eastAsia="Palatino Linotype"/>
                <w:spacing w:val="-1"/>
                <w:position w:val="1"/>
                <w:sz w:val="22"/>
                <w:szCs w:val="22"/>
                <w:lang w:val="es-ES"/>
              </w:rPr>
              <w:t>Variants</w:t>
            </w:r>
            <w:proofErr w:type="spellEnd"/>
            <w:r>
              <w:rPr>
                <w:rFonts w:eastAsia="Palatino Linotype"/>
                <w:spacing w:val="-1"/>
                <w:position w:val="1"/>
                <w:sz w:val="22"/>
                <w:szCs w:val="22"/>
                <w:lang w:val="es-ES"/>
              </w:rPr>
              <w:t xml:space="preserve"> are </w:t>
            </w:r>
            <w:proofErr w:type="spellStart"/>
            <w:r>
              <w:rPr>
                <w:rFonts w:eastAsia="Palatino Linotype"/>
                <w:spacing w:val="-1"/>
                <w:position w:val="1"/>
                <w:sz w:val="22"/>
                <w:szCs w:val="22"/>
                <w:lang w:val="es-ES"/>
              </w:rPr>
              <w:t>allowed</w:t>
            </w:r>
            <w:proofErr w:type="spellEnd"/>
            <w:r>
              <w:rPr>
                <w:rFonts w:eastAsia="Palatino Linotype"/>
                <w:spacing w:val="-1"/>
                <w:position w:val="1"/>
                <w:sz w:val="22"/>
                <w:szCs w:val="22"/>
                <w:lang w:val="es-ES"/>
              </w:rPr>
              <w:t xml:space="preserve"> </w:t>
            </w:r>
            <w:proofErr w:type="spellStart"/>
            <w:r>
              <w:rPr>
                <w:rFonts w:eastAsia="Palatino Linotype"/>
                <w:spacing w:val="-1"/>
                <w:position w:val="1"/>
                <w:sz w:val="22"/>
                <w:szCs w:val="22"/>
                <w:lang w:val="es-ES"/>
              </w:rPr>
              <w:t>for</w:t>
            </w:r>
            <w:proofErr w:type="spellEnd"/>
            <w:r>
              <w:rPr>
                <w:rFonts w:eastAsia="Palatino Linotype"/>
                <w:spacing w:val="-1"/>
                <w:position w:val="1"/>
                <w:sz w:val="22"/>
                <w:szCs w:val="22"/>
                <w:lang w:val="es-ES"/>
              </w:rPr>
              <w:t xml:space="preserve"> </w:t>
            </w:r>
            <w:proofErr w:type="spellStart"/>
            <w:r>
              <w:rPr>
                <w:rFonts w:eastAsia="Palatino Linotype"/>
                <w:spacing w:val="-1"/>
                <w:position w:val="1"/>
                <w:sz w:val="22"/>
                <w:szCs w:val="22"/>
                <w:lang w:val="es-ES"/>
              </w:rPr>
              <w:t>this</w:t>
            </w:r>
            <w:proofErr w:type="spellEnd"/>
            <w:r>
              <w:rPr>
                <w:rFonts w:eastAsia="Palatino Linotype"/>
                <w:spacing w:val="-1"/>
                <w:position w:val="1"/>
                <w:sz w:val="22"/>
                <w:szCs w:val="22"/>
                <w:lang w:val="es-ES"/>
              </w:rPr>
              <w:t xml:space="preserve"> tender: Yes (ONLY ONE VARIANT)</w:t>
            </w:r>
          </w:p>
          <w:p w14:paraId="2DB5D69F" w14:textId="77777777" w:rsidR="00E255F4" w:rsidRDefault="00000000">
            <w:pPr>
              <w:pStyle w:val="Ttulo1"/>
              <w:numPr>
                <w:ilvl w:val="0"/>
                <w:numId w:val="0"/>
              </w:numPr>
              <w:spacing w:after="0"/>
              <w:jc w:val="both"/>
            </w:pPr>
            <w:bookmarkStart w:id="77" w:name="__RefHeading___Toc135_3847131730"/>
            <w:bookmarkStart w:id="78" w:name="__RefHeading___Toc225377249"/>
            <w:bookmarkEnd w:id="77"/>
            <w:proofErr w:type="spellStart"/>
            <w:r>
              <w:rPr>
                <w:rFonts w:ascii="Times New Roman" w:eastAsia="Palatino Linotype" w:hAnsi="Times New Roman" w:cs="Times New Roman"/>
                <w:b w:val="0"/>
                <w:bCs w:val="0"/>
                <w:spacing w:val="-1"/>
                <w:kern w:val="0"/>
                <w:position w:val="1"/>
                <w:sz w:val="22"/>
                <w:szCs w:val="22"/>
                <w:lang w:val="es-ES"/>
              </w:rPr>
              <w:t>L</w:t>
            </w:r>
            <w:r>
              <w:rPr>
                <w:rFonts w:ascii="Times New Roman" w:eastAsia="Palatino Linotype" w:hAnsi="Times New Roman" w:cs="Times New Roman"/>
                <w:b w:val="0"/>
                <w:spacing w:val="-1"/>
                <w:position w:val="1"/>
                <w:sz w:val="22"/>
                <w:szCs w:val="22"/>
                <w:lang w:val="es-ES"/>
              </w:rPr>
              <w:t>The</w:t>
            </w:r>
            <w:proofErr w:type="spellEnd"/>
            <w:r>
              <w:rPr>
                <w:rFonts w:ascii="Times New Roman" w:eastAsia="Palatino Linotype" w:hAnsi="Times New Roman" w:cs="Times New Roman"/>
                <w:b w:val="0"/>
                <w:spacing w:val="-1"/>
                <w:position w:val="1"/>
                <w:sz w:val="22"/>
                <w:szCs w:val="22"/>
                <w:lang w:val="es-ES"/>
              </w:rPr>
              <w:t xml:space="preserve"> </w:t>
            </w:r>
            <w:proofErr w:type="spellStart"/>
            <w:r>
              <w:rPr>
                <w:rFonts w:ascii="Times New Roman" w:eastAsia="Palatino Linotype" w:hAnsi="Times New Roman" w:cs="Times New Roman"/>
                <w:b w:val="0"/>
                <w:spacing w:val="-1"/>
                <w:position w:val="1"/>
                <w:sz w:val="22"/>
                <w:szCs w:val="22"/>
                <w:lang w:val="es-ES"/>
              </w:rPr>
              <w:t>definitions</w:t>
            </w:r>
            <w:proofErr w:type="spellEnd"/>
            <w:r>
              <w:rPr>
                <w:rFonts w:ascii="Times New Roman" w:eastAsia="Palatino Linotype" w:hAnsi="Times New Roman" w:cs="Times New Roman"/>
                <w:b w:val="0"/>
                <w:spacing w:val="-1"/>
                <w:position w:val="1"/>
                <w:sz w:val="22"/>
                <w:szCs w:val="22"/>
                <w:lang w:val="es-ES"/>
              </w:rPr>
              <w:t xml:space="preserve"> </w:t>
            </w:r>
            <w:proofErr w:type="spellStart"/>
            <w:r>
              <w:rPr>
                <w:rFonts w:ascii="Times New Roman" w:eastAsia="Palatino Linotype" w:hAnsi="Times New Roman" w:cs="Times New Roman"/>
                <w:b w:val="0"/>
                <w:spacing w:val="-1"/>
                <w:position w:val="1"/>
                <w:sz w:val="22"/>
                <w:szCs w:val="22"/>
                <w:lang w:val="es-ES"/>
              </w:rPr>
              <w:t>of</w:t>
            </w:r>
            <w:proofErr w:type="spellEnd"/>
            <w:r>
              <w:rPr>
                <w:rFonts w:ascii="Times New Roman" w:eastAsia="Palatino Linotype" w:hAnsi="Times New Roman" w:cs="Times New Roman"/>
                <w:b w:val="0"/>
                <w:spacing w:val="-1"/>
                <w:position w:val="1"/>
                <w:sz w:val="22"/>
                <w:szCs w:val="22"/>
                <w:lang w:val="es-ES"/>
              </w:rPr>
              <w:t xml:space="preserve"> </w:t>
            </w:r>
            <w:proofErr w:type="spellStart"/>
            <w:r>
              <w:rPr>
                <w:rFonts w:ascii="Times New Roman" w:eastAsia="Palatino Linotype" w:hAnsi="Times New Roman" w:cs="Times New Roman"/>
                <w:b w:val="0"/>
                <w:spacing w:val="-1"/>
                <w:position w:val="1"/>
                <w:sz w:val="22"/>
                <w:szCs w:val="22"/>
                <w:lang w:val="es-ES"/>
              </w:rPr>
              <w:t>variant</w:t>
            </w:r>
            <w:proofErr w:type="spellEnd"/>
            <w:r>
              <w:rPr>
                <w:rFonts w:ascii="Times New Roman" w:eastAsia="Palatino Linotype" w:hAnsi="Times New Roman" w:cs="Times New Roman"/>
                <w:b w:val="0"/>
                <w:spacing w:val="-1"/>
                <w:position w:val="1"/>
                <w:sz w:val="22"/>
                <w:szCs w:val="22"/>
                <w:lang w:val="es-ES"/>
              </w:rPr>
              <w:t xml:space="preserve">, alternative, and </w:t>
            </w:r>
            <w:proofErr w:type="spellStart"/>
            <w:r>
              <w:rPr>
                <w:rFonts w:ascii="Times New Roman" w:eastAsia="Palatino Linotype" w:hAnsi="Times New Roman" w:cs="Times New Roman"/>
                <w:b w:val="0"/>
                <w:spacing w:val="-1"/>
                <w:position w:val="1"/>
                <w:sz w:val="22"/>
                <w:szCs w:val="22"/>
                <w:lang w:val="es-ES"/>
              </w:rPr>
              <w:t>modification</w:t>
            </w:r>
            <w:proofErr w:type="spellEnd"/>
            <w:r>
              <w:rPr>
                <w:rFonts w:ascii="Times New Roman" w:eastAsia="Palatino Linotype" w:hAnsi="Times New Roman" w:cs="Times New Roman"/>
                <w:b w:val="0"/>
                <w:spacing w:val="-1"/>
                <w:position w:val="1"/>
                <w:sz w:val="22"/>
                <w:szCs w:val="22"/>
                <w:lang w:val="es-ES"/>
              </w:rPr>
              <w:t xml:space="preserve"> in </w:t>
            </w:r>
            <w:proofErr w:type="spellStart"/>
            <w:r>
              <w:rPr>
                <w:rFonts w:ascii="Times New Roman" w:eastAsia="Palatino Linotype" w:hAnsi="Times New Roman" w:cs="Times New Roman"/>
                <w:b w:val="0"/>
                <w:spacing w:val="-1"/>
                <w:position w:val="1"/>
                <w:sz w:val="22"/>
                <w:szCs w:val="22"/>
                <w:lang w:val="es-ES"/>
              </w:rPr>
              <w:t>relation</w:t>
            </w:r>
            <w:proofErr w:type="spellEnd"/>
            <w:r>
              <w:rPr>
                <w:rFonts w:ascii="Times New Roman" w:eastAsia="Palatino Linotype" w:hAnsi="Times New Roman" w:cs="Times New Roman"/>
                <w:b w:val="0"/>
                <w:spacing w:val="-1"/>
                <w:position w:val="1"/>
                <w:sz w:val="22"/>
                <w:szCs w:val="22"/>
                <w:lang w:val="es-ES"/>
              </w:rPr>
              <w:t xml:space="preserve"> </w:t>
            </w:r>
            <w:proofErr w:type="spellStart"/>
            <w:r>
              <w:rPr>
                <w:rFonts w:ascii="Times New Roman" w:eastAsia="Palatino Linotype" w:hAnsi="Times New Roman" w:cs="Times New Roman"/>
                <w:b w:val="0"/>
                <w:spacing w:val="-1"/>
                <w:position w:val="1"/>
                <w:sz w:val="22"/>
                <w:szCs w:val="22"/>
                <w:lang w:val="es-ES"/>
              </w:rPr>
              <w:t>to</w:t>
            </w:r>
            <w:proofErr w:type="spellEnd"/>
            <w:r>
              <w:rPr>
                <w:rFonts w:ascii="Times New Roman" w:eastAsia="Palatino Linotype" w:hAnsi="Times New Roman" w:cs="Times New Roman"/>
                <w:b w:val="0"/>
                <w:spacing w:val="-1"/>
                <w:position w:val="1"/>
                <w:sz w:val="22"/>
                <w:szCs w:val="22"/>
                <w:lang w:val="es-ES"/>
              </w:rPr>
              <w:t xml:space="preserve"> </w:t>
            </w:r>
            <w:proofErr w:type="spellStart"/>
            <w:r>
              <w:rPr>
                <w:rFonts w:ascii="Times New Roman" w:eastAsia="Palatino Linotype" w:hAnsi="Times New Roman" w:cs="Times New Roman"/>
                <w:b w:val="0"/>
                <w:spacing w:val="-1"/>
                <w:position w:val="1"/>
                <w:sz w:val="22"/>
                <w:szCs w:val="22"/>
                <w:lang w:val="es-ES"/>
              </w:rPr>
              <w:t>an</w:t>
            </w:r>
            <w:proofErr w:type="spellEnd"/>
            <w:r>
              <w:rPr>
                <w:rFonts w:ascii="Times New Roman" w:eastAsia="Palatino Linotype" w:hAnsi="Times New Roman" w:cs="Times New Roman"/>
                <w:b w:val="0"/>
                <w:spacing w:val="-1"/>
                <w:position w:val="1"/>
                <w:sz w:val="22"/>
                <w:szCs w:val="22"/>
                <w:lang w:val="es-ES"/>
              </w:rPr>
              <w:t xml:space="preserve"> </w:t>
            </w:r>
            <w:proofErr w:type="spellStart"/>
            <w:r>
              <w:rPr>
                <w:rFonts w:ascii="Times New Roman" w:eastAsia="Palatino Linotype" w:hAnsi="Times New Roman" w:cs="Times New Roman"/>
                <w:b w:val="0"/>
                <w:spacing w:val="-1"/>
                <w:position w:val="1"/>
                <w:sz w:val="22"/>
                <w:szCs w:val="22"/>
                <w:lang w:val="es-ES"/>
              </w:rPr>
              <w:t>offer</w:t>
            </w:r>
            <w:proofErr w:type="spellEnd"/>
            <w:r>
              <w:rPr>
                <w:rFonts w:ascii="Times New Roman" w:eastAsia="Palatino Linotype" w:hAnsi="Times New Roman" w:cs="Times New Roman"/>
                <w:b w:val="0"/>
                <w:spacing w:val="-1"/>
                <w:position w:val="1"/>
                <w:sz w:val="22"/>
                <w:szCs w:val="22"/>
                <w:lang w:val="es-ES"/>
              </w:rPr>
              <w:t xml:space="preserve"> are </w:t>
            </w:r>
            <w:proofErr w:type="spellStart"/>
            <w:r>
              <w:rPr>
                <w:rFonts w:ascii="Times New Roman" w:eastAsia="Palatino Linotype" w:hAnsi="Times New Roman" w:cs="Times New Roman"/>
                <w:b w:val="0"/>
                <w:spacing w:val="-1"/>
                <w:position w:val="1"/>
                <w:sz w:val="22"/>
                <w:szCs w:val="22"/>
                <w:lang w:val="es-ES"/>
              </w:rPr>
              <w:t>defined</w:t>
            </w:r>
            <w:proofErr w:type="spellEnd"/>
            <w:r>
              <w:rPr>
                <w:rFonts w:ascii="Times New Roman" w:eastAsia="Palatino Linotype" w:hAnsi="Times New Roman" w:cs="Times New Roman"/>
                <w:b w:val="0"/>
                <w:spacing w:val="-1"/>
                <w:position w:val="1"/>
                <w:sz w:val="22"/>
                <w:szCs w:val="22"/>
                <w:lang w:val="es-ES"/>
              </w:rPr>
              <w:t xml:space="preserve"> in Section 1, "</w:t>
            </w:r>
            <w:proofErr w:type="gramStart"/>
            <w:r>
              <w:rPr>
                <w:rFonts w:ascii="Times New Roman" w:eastAsia="Palatino Linotype" w:hAnsi="Times New Roman" w:cs="Times New Roman"/>
                <w:b w:val="0"/>
                <w:spacing w:val="-1"/>
                <w:position w:val="1"/>
                <w:sz w:val="22"/>
                <w:szCs w:val="22"/>
                <w:lang w:val="es-ES"/>
              </w:rPr>
              <w:t>Single</w:t>
            </w:r>
            <w:proofErr w:type="gramEnd"/>
            <w:r>
              <w:rPr>
                <w:rFonts w:ascii="Times New Roman" w:eastAsia="Palatino Linotype" w:hAnsi="Times New Roman" w:cs="Times New Roman"/>
                <w:b w:val="0"/>
                <w:spacing w:val="-1"/>
                <w:position w:val="1"/>
                <w:sz w:val="22"/>
                <w:szCs w:val="22"/>
                <w:lang w:val="es-ES"/>
              </w:rPr>
              <w:t xml:space="preserve"> Set </w:t>
            </w:r>
            <w:proofErr w:type="spellStart"/>
            <w:r>
              <w:rPr>
                <w:rFonts w:ascii="Times New Roman" w:eastAsia="Palatino Linotype" w:hAnsi="Times New Roman" w:cs="Times New Roman"/>
                <w:b w:val="0"/>
                <w:spacing w:val="-1"/>
                <w:position w:val="1"/>
                <w:sz w:val="22"/>
                <w:szCs w:val="22"/>
                <w:lang w:val="es-ES"/>
              </w:rPr>
              <w:t>of</w:t>
            </w:r>
            <w:proofErr w:type="spellEnd"/>
            <w:r>
              <w:rPr>
                <w:rFonts w:ascii="Times New Roman" w:eastAsia="Palatino Linotype" w:hAnsi="Times New Roman" w:cs="Times New Roman"/>
                <w:b w:val="0"/>
                <w:spacing w:val="-1"/>
                <w:position w:val="1"/>
                <w:sz w:val="22"/>
                <w:szCs w:val="22"/>
                <w:lang w:val="es-ES"/>
              </w:rPr>
              <w:t xml:space="preserve"> General </w:t>
            </w:r>
            <w:proofErr w:type="spellStart"/>
            <w:r>
              <w:rPr>
                <w:rFonts w:ascii="Times New Roman" w:eastAsia="Palatino Linotype" w:hAnsi="Times New Roman" w:cs="Times New Roman"/>
                <w:b w:val="0"/>
                <w:spacing w:val="-1"/>
                <w:position w:val="1"/>
                <w:sz w:val="22"/>
                <w:szCs w:val="22"/>
                <w:lang w:val="es-ES"/>
              </w:rPr>
              <w:t>Terms</w:t>
            </w:r>
            <w:proofErr w:type="spellEnd"/>
            <w:r>
              <w:rPr>
                <w:rFonts w:ascii="Times New Roman" w:eastAsia="Palatino Linotype" w:hAnsi="Times New Roman" w:cs="Times New Roman"/>
                <w:b w:val="0"/>
                <w:spacing w:val="-1"/>
                <w:position w:val="1"/>
                <w:sz w:val="22"/>
                <w:szCs w:val="22"/>
                <w:lang w:val="es-ES"/>
              </w:rPr>
              <w:t xml:space="preserve"> and </w:t>
            </w:r>
            <w:proofErr w:type="spellStart"/>
            <w:r>
              <w:rPr>
                <w:rFonts w:ascii="Times New Roman" w:eastAsia="Palatino Linotype" w:hAnsi="Times New Roman" w:cs="Times New Roman"/>
                <w:b w:val="0"/>
                <w:spacing w:val="-1"/>
                <w:position w:val="1"/>
                <w:sz w:val="22"/>
                <w:szCs w:val="22"/>
                <w:lang w:val="es-ES"/>
              </w:rPr>
              <w:t>Conditions</w:t>
            </w:r>
            <w:proofErr w:type="spellEnd"/>
            <w:r>
              <w:rPr>
                <w:rFonts w:ascii="Times New Roman" w:eastAsia="Palatino Linotype" w:hAnsi="Times New Roman" w:cs="Times New Roman"/>
                <w:b w:val="0"/>
                <w:spacing w:val="-1"/>
                <w:position w:val="1"/>
                <w:sz w:val="22"/>
                <w:szCs w:val="22"/>
                <w:lang w:val="es-ES"/>
              </w:rPr>
              <w:t xml:space="preserve"> </w:t>
            </w:r>
            <w:proofErr w:type="spellStart"/>
            <w:r>
              <w:rPr>
                <w:rFonts w:ascii="Times New Roman" w:eastAsia="Palatino Linotype" w:hAnsi="Times New Roman" w:cs="Times New Roman"/>
                <w:b w:val="0"/>
                <w:spacing w:val="-1"/>
                <w:position w:val="1"/>
                <w:sz w:val="22"/>
                <w:szCs w:val="22"/>
                <w:lang w:val="es-ES"/>
              </w:rPr>
              <w:t>for</w:t>
            </w:r>
            <w:proofErr w:type="spellEnd"/>
            <w:r>
              <w:rPr>
                <w:rFonts w:ascii="Times New Roman" w:eastAsia="Palatino Linotype" w:hAnsi="Times New Roman" w:cs="Times New Roman"/>
                <w:b w:val="0"/>
                <w:spacing w:val="-1"/>
                <w:position w:val="1"/>
                <w:sz w:val="22"/>
                <w:szCs w:val="22"/>
                <w:lang w:val="es-ES"/>
              </w:rPr>
              <w:t xml:space="preserve"> </w:t>
            </w:r>
            <w:proofErr w:type="spellStart"/>
            <w:r>
              <w:rPr>
                <w:rFonts w:ascii="Times New Roman" w:eastAsia="Palatino Linotype" w:hAnsi="Times New Roman" w:cs="Times New Roman"/>
                <w:b w:val="0"/>
                <w:spacing w:val="-1"/>
                <w:position w:val="1"/>
                <w:sz w:val="22"/>
                <w:szCs w:val="22"/>
                <w:lang w:val="es-ES"/>
              </w:rPr>
              <w:t>Supply</w:t>
            </w:r>
            <w:proofErr w:type="spellEnd"/>
            <w:r>
              <w:rPr>
                <w:rFonts w:ascii="Times New Roman" w:eastAsia="Palatino Linotype" w:hAnsi="Times New Roman" w:cs="Times New Roman"/>
                <w:b w:val="0"/>
                <w:spacing w:val="-1"/>
                <w:position w:val="1"/>
                <w:sz w:val="22"/>
                <w:szCs w:val="22"/>
                <w:lang w:val="es-ES"/>
              </w:rPr>
              <w:t xml:space="preserve"> and Non-Personal </w:t>
            </w:r>
            <w:proofErr w:type="spellStart"/>
            <w:r>
              <w:rPr>
                <w:rFonts w:ascii="Times New Roman" w:eastAsia="Palatino Linotype" w:hAnsi="Times New Roman" w:cs="Times New Roman"/>
                <w:b w:val="0"/>
                <w:spacing w:val="-1"/>
                <w:position w:val="1"/>
                <w:sz w:val="22"/>
                <w:szCs w:val="22"/>
                <w:lang w:val="es-ES"/>
              </w:rPr>
              <w:t>Services</w:t>
            </w:r>
            <w:proofErr w:type="spellEnd"/>
            <w:r>
              <w:rPr>
                <w:rFonts w:ascii="Times New Roman" w:eastAsia="Palatino Linotype" w:hAnsi="Times New Roman" w:cs="Times New Roman"/>
                <w:b w:val="0"/>
                <w:spacing w:val="-1"/>
                <w:position w:val="1"/>
                <w:sz w:val="22"/>
                <w:szCs w:val="22"/>
                <w:lang w:val="es-ES"/>
              </w:rPr>
              <w:t xml:space="preserve"> </w:t>
            </w:r>
            <w:proofErr w:type="spellStart"/>
            <w:r>
              <w:rPr>
                <w:rFonts w:ascii="Times New Roman" w:eastAsia="Palatino Linotype" w:hAnsi="Times New Roman" w:cs="Times New Roman"/>
                <w:b w:val="0"/>
                <w:spacing w:val="-1"/>
                <w:position w:val="1"/>
                <w:sz w:val="22"/>
                <w:szCs w:val="22"/>
                <w:lang w:val="es-ES"/>
              </w:rPr>
              <w:t>Contracts</w:t>
            </w:r>
            <w:proofErr w:type="spellEnd"/>
            <w:r>
              <w:rPr>
                <w:rFonts w:ascii="Times New Roman" w:eastAsia="Palatino Linotype" w:hAnsi="Times New Roman" w:cs="Times New Roman"/>
                <w:b w:val="0"/>
                <w:spacing w:val="-1"/>
                <w:position w:val="1"/>
                <w:sz w:val="22"/>
                <w:szCs w:val="22"/>
                <w:lang w:val="es-ES"/>
              </w:rPr>
              <w:t xml:space="preserve">," </w:t>
            </w:r>
            <w:proofErr w:type="spellStart"/>
            <w:r>
              <w:rPr>
                <w:rFonts w:ascii="Times New Roman" w:eastAsia="Palatino Linotype" w:hAnsi="Times New Roman" w:cs="Times New Roman"/>
                <w:b w:val="0"/>
                <w:spacing w:val="-1"/>
                <w:position w:val="1"/>
                <w:sz w:val="22"/>
                <w:szCs w:val="22"/>
                <w:lang w:val="es-ES"/>
              </w:rPr>
              <w:t>Article</w:t>
            </w:r>
            <w:proofErr w:type="spellEnd"/>
            <w:r>
              <w:rPr>
                <w:rFonts w:ascii="Times New Roman" w:eastAsia="Palatino Linotype" w:hAnsi="Times New Roman" w:cs="Times New Roman"/>
                <w:b w:val="0"/>
                <w:spacing w:val="-1"/>
                <w:position w:val="1"/>
                <w:sz w:val="22"/>
                <w:szCs w:val="22"/>
                <w:lang w:val="es-ES"/>
              </w:rPr>
              <w:t xml:space="preserve"> 10.2. The </w:t>
            </w:r>
            <w:proofErr w:type="spellStart"/>
            <w:r>
              <w:rPr>
                <w:rFonts w:ascii="Times New Roman" w:eastAsia="Palatino Linotype" w:hAnsi="Times New Roman" w:cs="Times New Roman"/>
                <w:b w:val="0"/>
                <w:spacing w:val="-1"/>
                <w:position w:val="1"/>
                <w:sz w:val="22"/>
                <w:szCs w:val="22"/>
                <w:lang w:val="es-ES"/>
              </w:rPr>
              <w:t>key</w:t>
            </w:r>
            <w:proofErr w:type="spellEnd"/>
            <w:r>
              <w:rPr>
                <w:rFonts w:ascii="Times New Roman" w:eastAsia="Palatino Linotype" w:hAnsi="Times New Roman" w:cs="Times New Roman"/>
                <w:b w:val="0"/>
                <w:spacing w:val="-1"/>
                <w:position w:val="1"/>
                <w:sz w:val="22"/>
                <w:szCs w:val="22"/>
                <w:lang w:val="es-ES"/>
              </w:rPr>
              <w:t xml:space="preserve"> </w:t>
            </w:r>
            <w:proofErr w:type="spellStart"/>
            <w:r>
              <w:rPr>
                <w:rFonts w:ascii="Times New Roman" w:eastAsia="Palatino Linotype" w:hAnsi="Times New Roman" w:cs="Times New Roman"/>
                <w:b w:val="0"/>
                <w:spacing w:val="-1"/>
                <w:position w:val="1"/>
                <w:sz w:val="22"/>
                <w:szCs w:val="22"/>
                <w:lang w:val="es-ES"/>
              </w:rPr>
              <w:t>aspect</w:t>
            </w:r>
            <w:proofErr w:type="spellEnd"/>
            <w:r>
              <w:rPr>
                <w:rFonts w:ascii="Times New Roman" w:eastAsia="Palatino Linotype" w:hAnsi="Times New Roman" w:cs="Times New Roman"/>
                <w:b w:val="0"/>
                <w:spacing w:val="-1"/>
                <w:position w:val="1"/>
                <w:sz w:val="22"/>
                <w:szCs w:val="22"/>
                <w:lang w:val="es-ES"/>
              </w:rPr>
              <w:t xml:space="preserve"> in </w:t>
            </w:r>
            <w:proofErr w:type="spellStart"/>
            <w:r>
              <w:rPr>
                <w:rFonts w:ascii="Times New Roman" w:eastAsia="Palatino Linotype" w:hAnsi="Times New Roman" w:cs="Times New Roman"/>
                <w:b w:val="0"/>
                <w:spacing w:val="-1"/>
                <w:position w:val="1"/>
                <w:sz w:val="22"/>
                <w:szCs w:val="22"/>
                <w:lang w:val="es-ES"/>
              </w:rPr>
              <w:t>this</w:t>
            </w:r>
            <w:proofErr w:type="spellEnd"/>
            <w:r>
              <w:rPr>
                <w:rFonts w:ascii="Times New Roman" w:eastAsia="Palatino Linotype" w:hAnsi="Times New Roman" w:cs="Times New Roman"/>
                <w:b w:val="0"/>
                <w:spacing w:val="-1"/>
                <w:position w:val="1"/>
                <w:sz w:val="22"/>
                <w:szCs w:val="22"/>
                <w:lang w:val="es-ES"/>
              </w:rPr>
              <w:t xml:space="preserve"> </w:t>
            </w:r>
            <w:proofErr w:type="spellStart"/>
            <w:r>
              <w:rPr>
                <w:rFonts w:ascii="Times New Roman" w:eastAsia="Palatino Linotype" w:hAnsi="Times New Roman" w:cs="Times New Roman"/>
                <w:b w:val="0"/>
                <w:spacing w:val="-1"/>
                <w:position w:val="1"/>
                <w:sz w:val="22"/>
                <w:szCs w:val="22"/>
                <w:lang w:val="es-ES"/>
              </w:rPr>
              <w:t>definition</w:t>
            </w:r>
            <w:proofErr w:type="spellEnd"/>
            <w:r>
              <w:rPr>
                <w:rFonts w:ascii="Times New Roman" w:eastAsia="Palatino Linotype" w:hAnsi="Times New Roman" w:cs="Times New Roman"/>
                <w:b w:val="0"/>
                <w:spacing w:val="-1"/>
                <w:position w:val="1"/>
                <w:sz w:val="22"/>
                <w:szCs w:val="22"/>
                <w:lang w:val="es-ES"/>
              </w:rPr>
              <w:t xml:space="preserve"> </w:t>
            </w:r>
            <w:proofErr w:type="spellStart"/>
            <w:r>
              <w:rPr>
                <w:rFonts w:ascii="Times New Roman" w:eastAsia="Palatino Linotype" w:hAnsi="Times New Roman" w:cs="Times New Roman"/>
                <w:b w:val="0"/>
                <w:spacing w:val="-1"/>
                <w:position w:val="1"/>
                <w:sz w:val="22"/>
                <w:szCs w:val="22"/>
                <w:lang w:val="es-ES"/>
              </w:rPr>
              <w:t>is</w:t>
            </w:r>
            <w:proofErr w:type="spellEnd"/>
            <w:r>
              <w:rPr>
                <w:rFonts w:ascii="Times New Roman" w:eastAsia="Palatino Linotype" w:hAnsi="Times New Roman" w:cs="Times New Roman"/>
                <w:b w:val="0"/>
                <w:spacing w:val="-1"/>
                <w:position w:val="1"/>
                <w:sz w:val="22"/>
                <w:szCs w:val="22"/>
                <w:lang w:val="es-ES"/>
              </w:rPr>
              <w:t xml:space="preserve"> </w:t>
            </w:r>
            <w:proofErr w:type="spellStart"/>
            <w:r>
              <w:rPr>
                <w:rFonts w:ascii="Times New Roman" w:eastAsia="Palatino Linotype" w:hAnsi="Times New Roman" w:cs="Times New Roman"/>
                <w:b w:val="0"/>
                <w:spacing w:val="-1"/>
                <w:position w:val="1"/>
                <w:sz w:val="22"/>
                <w:szCs w:val="22"/>
                <w:lang w:val="es-ES"/>
              </w:rPr>
              <w:t>the</w:t>
            </w:r>
            <w:proofErr w:type="spellEnd"/>
            <w:r>
              <w:rPr>
                <w:rFonts w:ascii="Times New Roman" w:eastAsia="Palatino Linotype" w:hAnsi="Times New Roman" w:cs="Times New Roman"/>
                <w:b w:val="0"/>
                <w:spacing w:val="-1"/>
                <w:position w:val="1"/>
                <w:sz w:val="22"/>
                <w:szCs w:val="22"/>
                <w:lang w:val="es-ES"/>
              </w:rPr>
              <w:t xml:space="preserve"> </w:t>
            </w:r>
            <w:proofErr w:type="spellStart"/>
            <w:r>
              <w:rPr>
                <w:rFonts w:ascii="Times New Roman" w:eastAsia="Palatino Linotype" w:hAnsi="Times New Roman" w:cs="Times New Roman"/>
                <w:b w:val="0"/>
                <w:spacing w:val="-1"/>
                <w:position w:val="1"/>
                <w:sz w:val="22"/>
                <w:szCs w:val="22"/>
                <w:lang w:val="es-ES"/>
              </w:rPr>
              <w:t>identity</w:t>
            </w:r>
            <w:proofErr w:type="spellEnd"/>
            <w:r>
              <w:rPr>
                <w:rFonts w:ascii="Times New Roman" w:eastAsia="Palatino Linotype" w:hAnsi="Times New Roman" w:cs="Times New Roman"/>
                <w:b w:val="0"/>
                <w:spacing w:val="-1"/>
                <w:position w:val="1"/>
                <w:sz w:val="22"/>
                <w:szCs w:val="22"/>
                <w:lang w:val="es-ES"/>
              </w:rPr>
              <w:t xml:space="preserve"> </w:t>
            </w:r>
            <w:proofErr w:type="spellStart"/>
            <w:r>
              <w:rPr>
                <w:rFonts w:ascii="Times New Roman" w:eastAsia="Palatino Linotype" w:hAnsi="Times New Roman" w:cs="Times New Roman"/>
                <w:b w:val="0"/>
                <w:spacing w:val="-1"/>
                <w:position w:val="1"/>
                <w:sz w:val="22"/>
                <w:szCs w:val="22"/>
                <w:lang w:val="es-ES"/>
              </w:rPr>
              <w:t>of</w:t>
            </w:r>
            <w:proofErr w:type="spellEnd"/>
            <w:r>
              <w:rPr>
                <w:rFonts w:ascii="Times New Roman" w:eastAsia="Palatino Linotype" w:hAnsi="Times New Roman" w:cs="Times New Roman"/>
                <w:b w:val="0"/>
                <w:spacing w:val="-1"/>
                <w:position w:val="1"/>
                <w:sz w:val="22"/>
                <w:szCs w:val="22"/>
                <w:lang w:val="es-ES"/>
              </w:rPr>
              <w:t xml:space="preserve"> </w:t>
            </w:r>
            <w:proofErr w:type="spellStart"/>
            <w:r>
              <w:rPr>
                <w:rFonts w:ascii="Times New Roman" w:eastAsia="Palatino Linotype" w:hAnsi="Times New Roman" w:cs="Times New Roman"/>
                <w:b w:val="0"/>
                <w:spacing w:val="-1"/>
                <w:position w:val="1"/>
                <w:sz w:val="22"/>
                <w:szCs w:val="22"/>
                <w:lang w:val="es-ES"/>
              </w:rPr>
              <w:t>the</w:t>
            </w:r>
            <w:proofErr w:type="spellEnd"/>
            <w:r>
              <w:rPr>
                <w:rFonts w:ascii="Times New Roman" w:eastAsia="Palatino Linotype" w:hAnsi="Times New Roman" w:cs="Times New Roman"/>
                <w:b w:val="0"/>
                <w:spacing w:val="-1"/>
                <w:position w:val="1"/>
                <w:sz w:val="22"/>
                <w:szCs w:val="22"/>
                <w:lang w:val="es-ES"/>
              </w:rPr>
              <w:t xml:space="preserve"> </w:t>
            </w:r>
            <w:proofErr w:type="spellStart"/>
            <w:r>
              <w:rPr>
                <w:rFonts w:ascii="Times New Roman" w:eastAsia="Palatino Linotype" w:hAnsi="Times New Roman" w:cs="Times New Roman"/>
                <w:b w:val="0"/>
                <w:spacing w:val="-1"/>
                <w:position w:val="1"/>
                <w:sz w:val="22"/>
                <w:szCs w:val="22"/>
                <w:lang w:val="es-ES"/>
              </w:rPr>
              <w:t>product</w:t>
            </w:r>
            <w:proofErr w:type="spellEnd"/>
            <w:r>
              <w:rPr>
                <w:rFonts w:ascii="Times New Roman" w:eastAsia="Palatino Linotype" w:hAnsi="Times New Roman" w:cs="Times New Roman"/>
                <w:b w:val="0"/>
                <w:spacing w:val="-1"/>
                <w:position w:val="1"/>
                <w:sz w:val="22"/>
                <w:szCs w:val="22"/>
                <w:lang w:val="es-ES"/>
              </w:rPr>
              <w:t xml:space="preserve">. </w:t>
            </w:r>
            <w:proofErr w:type="spellStart"/>
            <w:r>
              <w:rPr>
                <w:rFonts w:ascii="Times New Roman" w:eastAsia="Palatino Linotype" w:hAnsi="Times New Roman" w:cs="Times New Roman"/>
                <w:b w:val="0"/>
                <w:spacing w:val="-1"/>
                <w:position w:val="1"/>
                <w:sz w:val="22"/>
                <w:szCs w:val="22"/>
                <w:lang w:val="es-ES"/>
              </w:rPr>
              <w:t>If</w:t>
            </w:r>
            <w:proofErr w:type="spellEnd"/>
            <w:r>
              <w:rPr>
                <w:rFonts w:ascii="Times New Roman" w:eastAsia="Palatino Linotype" w:hAnsi="Times New Roman" w:cs="Times New Roman"/>
                <w:b w:val="0"/>
                <w:spacing w:val="-1"/>
                <w:position w:val="1"/>
                <w:sz w:val="22"/>
                <w:szCs w:val="22"/>
                <w:lang w:val="es-ES"/>
              </w:rPr>
              <w:t xml:space="preserve"> </w:t>
            </w:r>
            <w:proofErr w:type="spellStart"/>
            <w:r>
              <w:rPr>
                <w:rFonts w:ascii="Times New Roman" w:eastAsia="Palatino Linotype" w:hAnsi="Times New Roman" w:cs="Times New Roman"/>
                <w:b w:val="0"/>
                <w:spacing w:val="-1"/>
                <w:position w:val="1"/>
                <w:sz w:val="22"/>
                <w:szCs w:val="22"/>
                <w:lang w:val="es-ES"/>
              </w:rPr>
              <w:t>we</w:t>
            </w:r>
            <w:proofErr w:type="spellEnd"/>
            <w:r>
              <w:rPr>
                <w:rFonts w:ascii="Times New Roman" w:eastAsia="Palatino Linotype" w:hAnsi="Times New Roman" w:cs="Times New Roman"/>
                <w:b w:val="0"/>
                <w:spacing w:val="-1"/>
                <w:position w:val="1"/>
                <w:sz w:val="22"/>
                <w:szCs w:val="22"/>
                <w:lang w:val="es-ES"/>
              </w:rPr>
              <w:t xml:space="preserve"> are </w:t>
            </w:r>
            <w:proofErr w:type="spellStart"/>
            <w:r>
              <w:rPr>
                <w:rFonts w:ascii="Times New Roman" w:eastAsia="Palatino Linotype" w:hAnsi="Times New Roman" w:cs="Times New Roman"/>
                <w:b w:val="0"/>
                <w:spacing w:val="-1"/>
                <w:position w:val="1"/>
                <w:sz w:val="22"/>
                <w:szCs w:val="22"/>
                <w:lang w:val="es-ES"/>
              </w:rPr>
              <w:t>dealing</w:t>
            </w:r>
            <w:proofErr w:type="spellEnd"/>
            <w:r>
              <w:rPr>
                <w:rFonts w:ascii="Times New Roman" w:eastAsia="Palatino Linotype" w:hAnsi="Times New Roman" w:cs="Times New Roman"/>
                <w:b w:val="0"/>
                <w:spacing w:val="-1"/>
                <w:position w:val="1"/>
                <w:sz w:val="22"/>
                <w:szCs w:val="22"/>
                <w:lang w:val="es-ES"/>
              </w:rPr>
              <w:t xml:space="preserve"> </w:t>
            </w:r>
            <w:proofErr w:type="spellStart"/>
            <w:r>
              <w:rPr>
                <w:rFonts w:ascii="Times New Roman" w:eastAsia="Palatino Linotype" w:hAnsi="Times New Roman" w:cs="Times New Roman"/>
                <w:b w:val="0"/>
                <w:spacing w:val="-1"/>
                <w:position w:val="1"/>
                <w:sz w:val="22"/>
                <w:szCs w:val="22"/>
                <w:lang w:val="es-ES"/>
              </w:rPr>
              <w:t>with</w:t>
            </w:r>
            <w:proofErr w:type="spellEnd"/>
            <w:r>
              <w:rPr>
                <w:rFonts w:ascii="Times New Roman" w:eastAsia="Palatino Linotype" w:hAnsi="Times New Roman" w:cs="Times New Roman"/>
                <w:b w:val="0"/>
                <w:spacing w:val="-1"/>
                <w:position w:val="1"/>
                <w:sz w:val="22"/>
                <w:szCs w:val="22"/>
                <w:lang w:val="es-ES"/>
              </w:rPr>
              <w:t xml:space="preserve"> </w:t>
            </w:r>
            <w:proofErr w:type="spellStart"/>
            <w:r>
              <w:rPr>
                <w:rFonts w:ascii="Times New Roman" w:eastAsia="Palatino Linotype" w:hAnsi="Times New Roman" w:cs="Times New Roman"/>
                <w:b w:val="0"/>
                <w:spacing w:val="-1"/>
                <w:position w:val="1"/>
                <w:sz w:val="22"/>
                <w:szCs w:val="22"/>
                <w:lang w:val="es-ES"/>
              </w:rPr>
              <w:t>an</w:t>
            </w:r>
            <w:proofErr w:type="spellEnd"/>
            <w:r>
              <w:rPr>
                <w:rFonts w:ascii="Times New Roman" w:eastAsia="Palatino Linotype" w:hAnsi="Times New Roman" w:cs="Times New Roman"/>
                <w:b w:val="0"/>
                <w:spacing w:val="-1"/>
                <w:position w:val="1"/>
                <w:sz w:val="22"/>
                <w:szCs w:val="22"/>
                <w:lang w:val="es-ES"/>
              </w:rPr>
              <w:t xml:space="preserve"> </w:t>
            </w:r>
            <w:proofErr w:type="spellStart"/>
            <w:r>
              <w:rPr>
                <w:rFonts w:ascii="Times New Roman" w:eastAsia="Palatino Linotype" w:hAnsi="Times New Roman" w:cs="Times New Roman"/>
                <w:b w:val="0"/>
                <w:spacing w:val="-1"/>
                <w:position w:val="1"/>
                <w:sz w:val="22"/>
                <w:szCs w:val="22"/>
                <w:lang w:val="es-ES"/>
              </w:rPr>
              <w:t>offer</w:t>
            </w:r>
            <w:proofErr w:type="spellEnd"/>
            <w:r>
              <w:rPr>
                <w:rFonts w:ascii="Times New Roman" w:eastAsia="Palatino Linotype" w:hAnsi="Times New Roman" w:cs="Times New Roman"/>
                <w:b w:val="0"/>
                <w:spacing w:val="-1"/>
                <w:position w:val="1"/>
                <w:sz w:val="22"/>
                <w:szCs w:val="22"/>
                <w:lang w:val="es-ES"/>
              </w:rPr>
              <w:t xml:space="preserve"> </w:t>
            </w:r>
            <w:proofErr w:type="spellStart"/>
            <w:r>
              <w:rPr>
                <w:rFonts w:ascii="Times New Roman" w:eastAsia="Palatino Linotype" w:hAnsi="Times New Roman" w:cs="Times New Roman"/>
                <w:b w:val="0"/>
                <w:spacing w:val="-1"/>
                <w:position w:val="1"/>
                <w:sz w:val="22"/>
                <w:szCs w:val="22"/>
                <w:lang w:val="es-ES"/>
              </w:rPr>
              <w:t>that</w:t>
            </w:r>
            <w:proofErr w:type="spellEnd"/>
            <w:r>
              <w:rPr>
                <w:rFonts w:ascii="Times New Roman" w:eastAsia="Palatino Linotype" w:hAnsi="Times New Roman" w:cs="Times New Roman"/>
                <w:b w:val="0"/>
                <w:spacing w:val="-1"/>
                <w:position w:val="1"/>
                <w:sz w:val="22"/>
                <w:szCs w:val="22"/>
                <w:lang w:val="es-ES"/>
              </w:rPr>
              <w:t xml:space="preserve">, </w:t>
            </w:r>
            <w:proofErr w:type="spellStart"/>
            <w:r>
              <w:rPr>
                <w:rFonts w:ascii="Times New Roman" w:eastAsia="Palatino Linotype" w:hAnsi="Times New Roman" w:cs="Times New Roman"/>
                <w:b w:val="0"/>
                <w:spacing w:val="-1"/>
                <w:position w:val="1"/>
                <w:sz w:val="22"/>
                <w:szCs w:val="22"/>
                <w:lang w:val="es-ES"/>
              </w:rPr>
              <w:t>while</w:t>
            </w:r>
            <w:proofErr w:type="spellEnd"/>
            <w:r>
              <w:rPr>
                <w:rFonts w:ascii="Times New Roman" w:eastAsia="Palatino Linotype" w:hAnsi="Times New Roman" w:cs="Times New Roman"/>
                <w:b w:val="0"/>
                <w:spacing w:val="-1"/>
                <w:position w:val="1"/>
                <w:sz w:val="22"/>
                <w:szCs w:val="22"/>
                <w:lang w:val="es-ES"/>
              </w:rPr>
              <w:t xml:space="preserve"> </w:t>
            </w:r>
            <w:proofErr w:type="spellStart"/>
            <w:r>
              <w:rPr>
                <w:rFonts w:ascii="Times New Roman" w:eastAsia="Palatino Linotype" w:hAnsi="Times New Roman" w:cs="Times New Roman"/>
                <w:b w:val="0"/>
                <w:spacing w:val="-1"/>
                <w:position w:val="1"/>
                <w:sz w:val="22"/>
                <w:szCs w:val="22"/>
                <w:lang w:val="es-ES"/>
              </w:rPr>
              <w:t>complying</w:t>
            </w:r>
            <w:proofErr w:type="spellEnd"/>
            <w:r>
              <w:rPr>
                <w:rFonts w:ascii="Times New Roman" w:eastAsia="Palatino Linotype" w:hAnsi="Times New Roman" w:cs="Times New Roman"/>
                <w:b w:val="0"/>
                <w:spacing w:val="-1"/>
                <w:position w:val="1"/>
                <w:sz w:val="22"/>
                <w:szCs w:val="22"/>
                <w:lang w:val="es-ES"/>
              </w:rPr>
              <w:t xml:space="preserve"> </w:t>
            </w:r>
            <w:proofErr w:type="spellStart"/>
            <w:r>
              <w:rPr>
                <w:rFonts w:ascii="Times New Roman" w:eastAsia="Palatino Linotype" w:hAnsi="Times New Roman" w:cs="Times New Roman"/>
                <w:b w:val="0"/>
                <w:spacing w:val="-1"/>
                <w:position w:val="1"/>
                <w:sz w:val="22"/>
                <w:szCs w:val="22"/>
                <w:lang w:val="es-ES"/>
              </w:rPr>
              <w:t>with</w:t>
            </w:r>
            <w:proofErr w:type="spellEnd"/>
            <w:r>
              <w:rPr>
                <w:rFonts w:ascii="Times New Roman" w:eastAsia="Palatino Linotype" w:hAnsi="Times New Roman" w:cs="Times New Roman"/>
                <w:b w:val="0"/>
                <w:spacing w:val="-1"/>
                <w:position w:val="1"/>
                <w:sz w:val="22"/>
                <w:szCs w:val="22"/>
                <w:lang w:val="es-ES"/>
              </w:rPr>
              <w:t xml:space="preserve"> </w:t>
            </w:r>
            <w:proofErr w:type="spellStart"/>
            <w:r>
              <w:rPr>
                <w:rFonts w:ascii="Times New Roman" w:eastAsia="Palatino Linotype" w:hAnsi="Times New Roman" w:cs="Times New Roman"/>
                <w:b w:val="0"/>
                <w:spacing w:val="-1"/>
                <w:position w:val="1"/>
                <w:sz w:val="22"/>
                <w:szCs w:val="22"/>
                <w:lang w:val="es-ES"/>
              </w:rPr>
              <w:t>the</w:t>
            </w:r>
            <w:proofErr w:type="spellEnd"/>
            <w:r>
              <w:rPr>
                <w:rFonts w:ascii="Times New Roman" w:eastAsia="Palatino Linotype" w:hAnsi="Times New Roman" w:cs="Times New Roman"/>
                <w:b w:val="0"/>
                <w:spacing w:val="-1"/>
                <w:position w:val="1"/>
                <w:sz w:val="22"/>
                <w:szCs w:val="22"/>
                <w:lang w:val="es-ES"/>
              </w:rPr>
              <w:t xml:space="preserve"> </w:t>
            </w:r>
            <w:proofErr w:type="spellStart"/>
            <w:r>
              <w:rPr>
                <w:rFonts w:ascii="Times New Roman" w:eastAsia="Palatino Linotype" w:hAnsi="Times New Roman" w:cs="Times New Roman"/>
                <w:b w:val="0"/>
                <w:spacing w:val="-1"/>
                <w:position w:val="1"/>
                <w:sz w:val="22"/>
                <w:szCs w:val="22"/>
                <w:lang w:val="es-ES"/>
              </w:rPr>
              <w:t>requirements</w:t>
            </w:r>
            <w:proofErr w:type="spellEnd"/>
            <w:r>
              <w:rPr>
                <w:rFonts w:ascii="Times New Roman" w:eastAsia="Palatino Linotype" w:hAnsi="Times New Roman" w:cs="Times New Roman"/>
                <w:b w:val="0"/>
                <w:spacing w:val="-1"/>
                <w:position w:val="1"/>
                <w:sz w:val="22"/>
                <w:szCs w:val="22"/>
                <w:lang w:val="es-ES"/>
              </w:rPr>
              <w:t xml:space="preserve"> </w:t>
            </w:r>
            <w:proofErr w:type="spellStart"/>
            <w:r>
              <w:rPr>
                <w:rFonts w:ascii="Times New Roman" w:eastAsia="Palatino Linotype" w:hAnsi="Times New Roman" w:cs="Times New Roman"/>
                <w:b w:val="0"/>
                <w:spacing w:val="-1"/>
                <w:position w:val="1"/>
                <w:sz w:val="22"/>
                <w:szCs w:val="22"/>
                <w:lang w:val="es-ES"/>
              </w:rPr>
              <w:t>of</w:t>
            </w:r>
            <w:proofErr w:type="spellEnd"/>
            <w:r>
              <w:rPr>
                <w:rFonts w:ascii="Times New Roman" w:eastAsia="Palatino Linotype" w:hAnsi="Times New Roman" w:cs="Times New Roman"/>
                <w:b w:val="0"/>
                <w:spacing w:val="-1"/>
                <w:position w:val="1"/>
                <w:sz w:val="22"/>
                <w:szCs w:val="22"/>
                <w:lang w:val="es-ES"/>
              </w:rPr>
              <w:t xml:space="preserve"> </w:t>
            </w:r>
            <w:proofErr w:type="spellStart"/>
            <w:r>
              <w:rPr>
                <w:rFonts w:ascii="Times New Roman" w:eastAsia="Palatino Linotype" w:hAnsi="Times New Roman" w:cs="Times New Roman"/>
                <w:b w:val="0"/>
                <w:spacing w:val="-1"/>
                <w:position w:val="1"/>
                <w:sz w:val="22"/>
                <w:szCs w:val="22"/>
                <w:lang w:val="es-ES"/>
              </w:rPr>
              <w:t>the</w:t>
            </w:r>
            <w:proofErr w:type="spellEnd"/>
            <w:r>
              <w:rPr>
                <w:rFonts w:ascii="Times New Roman" w:eastAsia="Palatino Linotype" w:hAnsi="Times New Roman" w:cs="Times New Roman"/>
                <w:b w:val="0"/>
                <w:spacing w:val="-1"/>
                <w:position w:val="1"/>
                <w:sz w:val="22"/>
                <w:szCs w:val="22"/>
                <w:lang w:val="es-ES"/>
              </w:rPr>
              <w:t xml:space="preserve"> tender, </w:t>
            </w:r>
            <w:proofErr w:type="spellStart"/>
            <w:r>
              <w:rPr>
                <w:rFonts w:ascii="Times New Roman" w:eastAsia="Palatino Linotype" w:hAnsi="Times New Roman" w:cs="Times New Roman"/>
                <w:b w:val="0"/>
                <w:spacing w:val="-1"/>
                <w:position w:val="1"/>
                <w:sz w:val="22"/>
                <w:szCs w:val="22"/>
                <w:lang w:val="es-ES"/>
              </w:rPr>
              <w:t>maintains</w:t>
            </w:r>
            <w:proofErr w:type="spellEnd"/>
            <w:r>
              <w:rPr>
                <w:rFonts w:ascii="Times New Roman" w:eastAsia="Palatino Linotype" w:hAnsi="Times New Roman" w:cs="Times New Roman"/>
                <w:b w:val="0"/>
                <w:spacing w:val="-1"/>
                <w:position w:val="1"/>
                <w:sz w:val="22"/>
                <w:szCs w:val="22"/>
                <w:lang w:val="es-ES"/>
              </w:rPr>
              <w:t xml:space="preserve"> </w:t>
            </w:r>
            <w:proofErr w:type="spellStart"/>
            <w:r>
              <w:rPr>
                <w:rFonts w:ascii="Times New Roman" w:eastAsia="Palatino Linotype" w:hAnsi="Times New Roman" w:cs="Times New Roman"/>
                <w:b w:val="0"/>
                <w:spacing w:val="-1"/>
                <w:position w:val="1"/>
                <w:sz w:val="22"/>
                <w:szCs w:val="22"/>
                <w:lang w:val="es-ES"/>
              </w:rPr>
              <w:t>the</w:t>
            </w:r>
            <w:proofErr w:type="spellEnd"/>
            <w:r>
              <w:rPr>
                <w:rFonts w:ascii="Times New Roman" w:eastAsia="Palatino Linotype" w:hAnsi="Times New Roman" w:cs="Times New Roman"/>
                <w:b w:val="0"/>
                <w:spacing w:val="-1"/>
                <w:position w:val="1"/>
                <w:sz w:val="22"/>
                <w:szCs w:val="22"/>
                <w:lang w:val="es-ES"/>
              </w:rPr>
              <w:t xml:space="preserve"> </w:t>
            </w:r>
            <w:proofErr w:type="spellStart"/>
            <w:r>
              <w:rPr>
                <w:rFonts w:ascii="Times New Roman" w:eastAsia="Palatino Linotype" w:hAnsi="Times New Roman" w:cs="Times New Roman"/>
                <w:b w:val="0"/>
                <w:spacing w:val="-1"/>
                <w:position w:val="1"/>
                <w:sz w:val="22"/>
                <w:szCs w:val="22"/>
                <w:lang w:val="es-ES"/>
              </w:rPr>
              <w:t>identity</w:t>
            </w:r>
            <w:proofErr w:type="spellEnd"/>
            <w:r>
              <w:rPr>
                <w:rFonts w:ascii="Times New Roman" w:eastAsia="Palatino Linotype" w:hAnsi="Times New Roman" w:cs="Times New Roman"/>
                <w:b w:val="0"/>
                <w:spacing w:val="-1"/>
                <w:position w:val="1"/>
                <w:sz w:val="22"/>
                <w:szCs w:val="22"/>
                <w:lang w:val="es-ES"/>
              </w:rPr>
              <w:t xml:space="preserve"> </w:t>
            </w:r>
            <w:proofErr w:type="spellStart"/>
            <w:r>
              <w:rPr>
                <w:rFonts w:ascii="Times New Roman" w:eastAsia="Palatino Linotype" w:hAnsi="Times New Roman" w:cs="Times New Roman"/>
                <w:b w:val="0"/>
                <w:spacing w:val="-1"/>
                <w:position w:val="1"/>
                <w:sz w:val="22"/>
                <w:szCs w:val="22"/>
                <w:lang w:val="es-ES"/>
              </w:rPr>
              <w:t>of</w:t>
            </w:r>
            <w:proofErr w:type="spellEnd"/>
            <w:r>
              <w:rPr>
                <w:rFonts w:ascii="Times New Roman" w:eastAsia="Palatino Linotype" w:hAnsi="Times New Roman" w:cs="Times New Roman"/>
                <w:b w:val="0"/>
                <w:spacing w:val="-1"/>
                <w:position w:val="1"/>
                <w:sz w:val="22"/>
                <w:szCs w:val="22"/>
                <w:lang w:val="es-ES"/>
              </w:rPr>
              <w:t xml:space="preserve"> </w:t>
            </w:r>
            <w:proofErr w:type="spellStart"/>
            <w:r>
              <w:rPr>
                <w:rFonts w:ascii="Times New Roman" w:eastAsia="Palatino Linotype" w:hAnsi="Times New Roman" w:cs="Times New Roman"/>
                <w:b w:val="0"/>
                <w:spacing w:val="-1"/>
                <w:position w:val="1"/>
                <w:sz w:val="22"/>
                <w:szCs w:val="22"/>
                <w:lang w:val="es-ES"/>
              </w:rPr>
              <w:t>the</w:t>
            </w:r>
            <w:proofErr w:type="spellEnd"/>
            <w:r>
              <w:rPr>
                <w:rFonts w:ascii="Times New Roman" w:eastAsia="Palatino Linotype" w:hAnsi="Times New Roman" w:cs="Times New Roman"/>
                <w:b w:val="0"/>
                <w:spacing w:val="-1"/>
                <w:position w:val="1"/>
                <w:sz w:val="22"/>
                <w:szCs w:val="22"/>
                <w:lang w:val="es-ES"/>
              </w:rPr>
              <w:t xml:space="preserve"> </w:t>
            </w:r>
            <w:proofErr w:type="spellStart"/>
            <w:r>
              <w:rPr>
                <w:rFonts w:ascii="Times New Roman" w:eastAsia="Palatino Linotype" w:hAnsi="Times New Roman" w:cs="Times New Roman"/>
                <w:b w:val="0"/>
                <w:spacing w:val="-1"/>
                <w:position w:val="1"/>
                <w:sz w:val="22"/>
                <w:szCs w:val="22"/>
                <w:lang w:val="es-ES"/>
              </w:rPr>
              <w:t>product</w:t>
            </w:r>
            <w:proofErr w:type="spellEnd"/>
            <w:r>
              <w:rPr>
                <w:rFonts w:ascii="Times New Roman" w:eastAsia="Palatino Linotype" w:hAnsi="Times New Roman" w:cs="Times New Roman"/>
                <w:b w:val="0"/>
                <w:spacing w:val="-1"/>
                <w:position w:val="1"/>
                <w:sz w:val="22"/>
                <w:szCs w:val="22"/>
                <w:lang w:val="es-ES"/>
              </w:rPr>
              <w:t xml:space="preserve"> </w:t>
            </w:r>
            <w:proofErr w:type="spellStart"/>
            <w:r>
              <w:rPr>
                <w:rFonts w:ascii="Times New Roman" w:eastAsia="Palatino Linotype" w:hAnsi="Times New Roman" w:cs="Times New Roman"/>
                <w:b w:val="0"/>
                <w:spacing w:val="-1"/>
                <w:position w:val="1"/>
                <w:sz w:val="22"/>
                <w:szCs w:val="22"/>
                <w:lang w:val="es-ES"/>
              </w:rPr>
              <w:t>but</w:t>
            </w:r>
            <w:proofErr w:type="spellEnd"/>
            <w:r>
              <w:rPr>
                <w:rFonts w:ascii="Times New Roman" w:eastAsia="Palatino Linotype" w:hAnsi="Times New Roman" w:cs="Times New Roman"/>
                <w:b w:val="0"/>
                <w:spacing w:val="-1"/>
                <w:position w:val="1"/>
                <w:sz w:val="22"/>
                <w:szCs w:val="22"/>
                <w:lang w:val="es-ES"/>
              </w:rPr>
              <w:t xml:space="preserve"> </w:t>
            </w:r>
            <w:proofErr w:type="spellStart"/>
            <w:r>
              <w:rPr>
                <w:rFonts w:ascii="Times New Roman" w:eastAsia="Palatino Linotype" w:hAnsi="Times New Roman" w:cs="Times New Roman"/>
                <w:b w:val="0"/>
                <w:spacing w:val="-1"/>
                <w:position w:val="1"/>
                <w:sz w:val="22"/>
                <w:szCs w:val="22"/>
                <w:lang w:val="es-ES"/>
              </w:rPr>
              <w:t>presents</w:t>
            </w:r>
            <w:proofErr w:type="spellEnd"/>
            <w:r>
              <w:rPr>
                <w:rFonts w:ascii="Times New Roman" w:eastAsia="Palatino Linotype" w:hAnsi="Times New Roman" w:cs="Times New Roman"/>
                <w:b w:val="0"/>
                <w:spacing w:val="-1"/>
                <w:position w:val="1"/>
                <w:sz w:val="22"/>
                <w:szCs w:val="22"/>
                <w:lang w:val="es-ES"/>
              </w:rPr>
              <w:t xml:space="preserve"> </w:t>
            </w:r>
            <w:proofErr w:type="spellStart"/>
            <w:r>
              <w:rPr>
                <w:rFonts w:ascii="Times New Roman" w:eastAsia="Palatino Linotype" w:hAnsi="Times New Roman" w:cs="Times New Roman"/>
                <w:b w:val="0"/>
                <w:spacing w:val="-1"/>
                <w:position w:val="1"/>
                <w:sz w:val="22"/>
                <w:szCs w:val="22"/>
                <w:lang w:val="es-ES"/>
              </w:rPr>
              <w:t>some</w:t>
            </w:r>
            <w:proofErr w:type="spellEnd"/>
            <w:r>
              <w:rPr>
                <w:rFonts w:ascii="Times New Roman" w:eastAsia="Palatino Linotype" w:hAnsi="Times New Roman" w:cs="Times New Roman"/>
                <w:b w:val="0"/>
                <w:spacing w:val="-1"/>
                <w:position w:val="1"/>
                <w:sz w:val="22"/>
                <w:szCs w:val="22"/>
                <w:lang w:val="es-ES"/>
              </w:rPr>
              <w:t xml:space="preserve"> </w:t>
            </w:r>
            <w:proofErr w:type="spellStart"/>
            <w:r>
              <w:rPr>
                <w:rFonts w:ascii="Times New Roman" w:eastAsia="Palatino Linotype" w:hAnsi="Times New Roman" w:cs="Times New Roman"/>
                <w:b w:val="0"/>
                <w:spacing w:val="-1"/>
                <w:position w:val="1"/>
                <w:sz w:val="22"/>
                <w:szCs w:val="22"/>
                <w:lang w:val="es-ES"/>
              </w:rPr>
              <w:t>variation</w:t>
            </w:r>
            <w:proofErr w:type="spellEnd"/>
            <w:r>
              <w:rPr>
                <w:rFonts w:ascii="Times New Roman" w:eastAsia="Palatino Linotype" w:hAnsi="Times New Roman" w:cs="Times New Roman"/>
                <w:b w:val="0"/>
                <w:spacing w:val="-1"/>
                <w:position w:val="1"/>
                <w:sz w:val="22"/>
                <w:szCs w:val="22"/>
                <w:lang w:val="es-ES"/>
              </w:rPr>
              <w:t xml:space="preserve"> </w:t>
            </w:r>
            <w:proofErr w:type="spellStart"/>
            <w:r>
              <w:rPr>
                <w:rFonts w:ascii="Times New Roman" w:eastAsia="Palatino Linotype" w:hAnsi="Times New Roman" w:cs="Times New Roman"/>
                <w:b w:val="0"/>
                <w:spacing w:val="-1"/>
                <w:position w:val="1"/>
                <w:sz w:val="22"/>
                <w:szCs w:val="22"/>
                <w:lang w:val="es-ES"/>
              </w:rPr>
              <w:t>or</w:t>
            </w:r>
            <w:proofErr w:type="spellEnd"/>
            <w:r>
              <w:rPr>
                <w:rFonts w:ascii="Times New Roman" w:eastAsia="Palatino Linotype" w:hAnsi="Times New Roman" w:cs="Times New Roman"/>
                <w:b w:val="0"/>
                <w:spacing w:val="-1"/>
                <w:position w:val="1"/>
                <w:sz w:val="22"/>
                <w:szCs w:val="22"/>
                <w:lang w:val="es-ES"/>
              </w:rPr>
              <w:t xml:space="preserve"> </w:t>
            </w:r>
            <w:proofErr w:type="spellStart"/>
            <w:r>
              <w:rPr>
                <w:rFonts w:ascii="Times New Roman" w:eastAsia="Palatino Linotype" w:hAnsi="Times New Roman" w:cs="Times New Roman"/>
                <w:b w:val="0"/>
                <w:spacing w:val="-1"/>
                <w:position w:val="1"/>
                <w:sz w:val="22"/>
                <w:szCs w:val="22"/>
                <w:lang w:val="es-ES"/>
              </w:rPr>
              <w:t>difference</w:t>
            </w:r>
            <w:proofErr w:type="spellEnd"/>
            <w:r>
              <w:rPr>
                <w:rFonts w:ascii="Times New Roman" w:eastAsia="Palatino Linotype" w:hAnsi="Times New Roman" w:cs="Times New Roman"/>
                <w:b w:val="0"/>
                <w:spacing w:val="-1"/>
                <w:position w:val="1"/>
                <w:sz w:val="22"/>
                <w:szCs w:val="22"/>
                <w:lang w:val="es-ES"/>
              </w:rPr>
              <w:t xml:space="preserve">, </w:t>
            </w:r>
            <w:proofErr w:type="spellStart"/>
            <w:r>
              <w:rPr>
                <w:rFonts w:ascii="Times New Roman" w:eastAsia="Palatino Linotype" w:hAnsi="Times New Roman" w:cs="Times New Roman"/>
                <w:b w:val="0"/>
                <w:spacing w:val="-1"/>
                <w:position w:val="1"/>
                <w:sz w:val="22"/>
                <w:szCs w:val="22"/>
                <w:lang w:val="es-ES"/>
              </w:rPr>
              <w:t>we</w:t>
            </w:r>
            <w:proofErr w:type="spellEnd"/>
            <w:r>
              <w:rPr>
                <w:rFonts w:ascii="Times New Roman" w:eastAsia="Palatino Linotype" w:hAnsi="Times New Roman" w:cs="Times New Roman"/>
                <w:b w:val="0"/>
                <w:spacing w:val="-1"/>
                <w:position w:val="1"/>
                <w:sz w:val="22"/>
                <w:szCs w:val="22"/>
                <w:lang w:val="es-ES"/>
              </w:rPr>
              <w:t xml:space="preserve"> are </w:t>
            </w:r>
            <w:proofErr w:type="spellStart"/>
            <w:r>
              <w:rPr>
                <w:rFonts w:ascii="Times New Roman" w:eastAsia="Palatino Linotype" w:hAnsi="Times New Roman" w:cs="Times New Roman"/>
                <w:b w:val="0"/>
                <w:spacing w:val="-1"/>
                <w:position w:val="1"/>
                <w:sz w:val="22"/>
                <w:szCs w:val="22"/>
                <w:lang w:val="es-ES"/>
              </w:rPr>
              <w:t>dealing</w:t>
            </w:r>
            <w:proofErr w:type="spellEnd"/>
            <w:r>
              <w:rPr>
                <w:rFonts w:ascii="Times New Roman" w:eastAsia="Palatino Linotype" w:hAnsi="Times New Roman" w:cs="Times New Roman"/>
                <w:b w:val="0"/>
                <w:spacing w:val="-1"/>
                <w:position w:val="1"/>
                <w:sz w:val="22"/>
                <w:szCs w:val="22"/>
                <w:lang w:val="es-ES"/>
              </w:rPr>
              <w:t xml:space="preserve"> </w:t>
            </w:r>
            <w:proofErr w:type="spellStart"/>
            <w:r>
              <w:rPr>
                <w:rFonts w:ascii="Times New Roman" w:eastAsia="Palatino Linotype" w:hAnsi="Times New Roman" w:cs="Times New Roman"/>
                <w:b w:val="0"/>
                <w:spacing w:val="-1"/>
                <w:position w:val="1"/>
                <w:sz w:val="22"/>
                <w:szCs w:val="22"/>
                <w:lang w:val="es-ES"/>
              </w:rPr>
              <w:t>with</w:t>
            </w:r>
            <w:proofErr w:type="spellEnd"/>
            <w:r>
              <w:rPr>
                <w:rFonts w:ascii="Times New Roman" w:eastAsia="Palatino Linotype" w:hAnsi="Times New Roman" w:cs="Times New Roman"/>
                <w:b w:val="0"/>
                <w:spacing w:val="-1"/>
                <w:position w:val="1"/>
                <w:sz w:val="22"/>
                <w:szCs w:val="22"/>
                <w:lang w:val="es-ES"/>
              </w:rPr>
              <w:t xml:space="preserve"> a </w:t>
            </w:r>
            <w:proofErr w:type="spellStart"/>
            <w:r>
              <w:rPr>
                <w:rFonts w:ascii="Times New Roman" w:eastAsia="Palatino Linotype" w:hAnsi="Times New Roman" w:cs="Times New Roman"/>
                <w:b w:val="0"/>
                <w:spacing w:val="-1"/>
                <w:position w:val="1"/>
                <w:sz w:val="22"/>
                <w:szCs w:val="22"/>
                <w:lang w:val="es-ES"/>
              </w:rPr>
              <w:t>variant</w:t>
            </w:r>
            <w:proofErr w:type="spellEnd"/>
            <w:r>
              <w:rPr>
                <w:rFonts w:ascii="Times New Roman" w:eastAsia="Palatino Linotype" w:hAnsi="Times New Roman" w:cs="Times New Roman"/>
                <w:b w:val="0"/>
                <w:spacing w:val="-1"/>
                <w:position w:val="1"/>
                <w:sz w:val="22"/>
                <w:szCs w:val="22"/>
                <w:lang w:val="es-ES"/>
              </w:rPr>
              <w:t>.</w:t>
            </w:r>
            <w:bookmarkEnd w:id="78"/>
          </w:p>
          <w:p w14:paraId="33F76BD4" w14:textId="77777777" w:rsidR="00E255F4" w:rsidRDefault="00000000">
            <w:pPr>
              <w:pStyle w:val="Ttulo1"/>
              <w:numPr>
                <w:ilvl w:val="0"/>
                <w:numId w:val="0"/>
              </w:numPr>
              <w:spacing w:after="0"/>
              <w:jc w:val="both"/>
            </w:pPr>
            <w:bookmarkStart w:id="79" w:name="__RefHeading___Toc225377250"/>
            <w:bookmarkEnd w:id="79"/>
            <w:proofErr w:type="spellStart"/>
            <w:r>
              <w:rPr>
                <w:rFonts w:ascii="Times New Roman" w:eastAsia="Palatino Linotype" w:hAnsi="Times New Roman" w:cs="Times New Roman"/>
                <w:b w:val="0"/>
                <w:spacing w:val="-1"/>
                <w:kern w:val="0"/>
                <w:position w:val="1"/>
                <w:sz w:val="22"/>
                <w:szCs w:val="22"/>
                <w:lang w:val="es-ES"/>
              </w:rPr>
              <w:t>When</w:t>
            </w:r>
            <w:proofErr w:type="spellEnd"/>
            <w:r>
              <w:rPr>
                <w:rFonts w:ascii="Times New Roman" w:eastAsia="Palatino Linotype" w:hAnsi="Times New Roman" w:cs="Times New Roman"/>
                <w:b w:val="0"/>
                <w:spacing w:val="-1"/>
                <w:kern w:val="0"/>
                <w:position w:val="1"/>
                <w:sz w:val="22"/>
                <w:szCs w:val="22"/>
                <w:lang w:val="es-ES"/>
              </w:rPr>
              <w:t xml:space="preserve"> </w:t>
            </w:r>
            <w:proofErr w:type="spellStart"/>
            <w:r>
              <w:rPr>
                <w:rFonts w:ascii="Times New Roman" w:eastAsia="Palatino Linotype" w:hAnsi="Times New Roman" w:cs="Times New Roman"/>
                <w:b w:val="0"/>
                <w:spacing w:val="-1"/>
                <w:kern w:val="0"/>
                <w:position w:val="1"/>
                <w:sz w:val="22"/>
                <w:szCs w:val="22"/>
                <w:lang w:val="es-ES"/>
              </w:rPr>
              <w:t>we</w:t>
            </w:r>
            <w:proofErr w:type="spellEnd"/>
            <w:r>
              <w:rPr>
                <w:rFonts w:ascii="Times New Roman" w:eastAsia="Palatino Linotype" w:hAnsi="Times New Roman" w:cs="Times New Roman"/>
                <w:b w:val="0"/>
                <w:spacing w:val="-1"/>
                <w:kern w:val="0"/>
                <w:position w:val="1"/>
                <w:sz w:val="22"/>
                <w:szCs w:val="22"/>
                <w:lang w:val="es-ES"/>
              </w:rPr>
              <w:t xml:space="preserve"> </w:t>
            </w:r>
            <w:proofErr w:type="spellStart"/>
            <w:r>
              <w:rPr>
                <w:rFonts w:ascii="Times New Roman" w:eastAsia="Palatino Linotype" w:hAnsi="Times New Roman" w:cs="Times New Roman"/>
                <w:b w:val="0"/>
                <w:spacing w:val="-1"/>
                <w:kern w:val="0"/>
                <w:position w:val="1"/>
                <w:sz w:val="22"/>
                <w:szCs w:val="22"/>
                <w:lang w:val="es-ES"/>
              </w:rPr>
              <w:t>refer</w:t>
            </w:r>
            <w:proofErr w:type="spellEnd"/>
            <w:r>
              <w:rPr>
                <w:rFonts w:ascii="Times New Roman" w:eastAsia="Palatino Linotype" w:hAnsi="Times New Roman" w:cs="Times New Roman"/>
                <w:b w:val="0"/>
                <w:spacing w:val="-1"/>
                <w:kern w:val="0"/>
                <w:position w:val="1"/>
                <w:sz w:val="22"/>
                <w:szCs w:val="22"/>
                <w:lang w:val="es-ES"/>
              </w:rPr>
              <w:t xml:space="preserve"> </w:t>
            </w:r>
            <w:proofErr w:type="spellStart"/>
            <w:r>
              <w:rPr>
                <w:rFonts w:ascii="Times New Roman" w:eastAsia="Palatino Linotype" w:hAnsi="Times New Roman" w:cs="Times New Roman"/>
                <w:b w:val="0"/>
                <w:spacing w:val="-1"/>
                <w:kern w:val="0"/>
                <w:position w:val="1"/>
                <w:sz w:val="22"/>
                <w:szCs w:val="22"/>
                <w:lang w:val="es-ES"/>
              </w:rPr>
              <w:t>to</w:t>
            </w:r>
            <w:proofErr w:type="spellEnd"/>
            <w:r>
              <w:rPr>
                <w:rFonts w:ascii="Times New Roman" w:eastAsia="Palatino Linotype" w:hAnsi="Times New Roman" w:cs="Times New Roman"/>
                <w:b w:val="0"/>
                <w:spacing w:val="-1"/>
                <w:kern w:val="0"/>
                <w:position w:val="1"/>
                <w:sz w:val="22"/>
                <w:szCs w:val="22"/>
                <w:lang w:val="es-ES"/>
              </w:rPr>
              <w:t xml:space="preserve"> alternatives, </w:t>
            </w:r>
            <w:proofErr w:type="spellStart"/>
            <w:r>
              <w:rPr>
                <w:rFonts w:ascii="Times New Roman" w:eastAsia="Palatino Linotype" w:hAnsi="Times New Roman" w:cs="Times New Roman"/>
                <w:b w:val="0"/>
                <w:spacing w:val="-1"/>
                <w:kern w:val="0"/>
                <w:position w:val="1"/>
                <w:sz w:val="22"/>
                <w:szCs w:val="22"/>
                <w:lang w:val="es-ES"/>
              </w:rPr>
              <w:t>the</w:t>
            </w:r>
            <w:proofErr w:type="spellEnd"/>
            <w:r>
              <w:rPr>
                <w:rFonts w:ascii="Times New Roman" w:eastAsia="Palatino Linotype" w:hAnsi="Times New Roman" w:cs="Times New Roman"/>
                <w:b w:val="0"/>
                <w:spacing w:val="-1"/>
                <w:kern w:val="0"/>
                <w:position w:val="1"/>
                <w:sz w:val="22"/>
                <w:szCs w:val="22"/>
                <w:lang w:val="es-ES"/>
              </w:rPr>
              <w:t xml:space="preserve"> </w:t>
            </w:r>
            <w:proofErr w:type="spellStart"/>
            <w:r>
              <w:rPr>
                <w:rFonts w:ascii="Times New Roman" w:eastAsia="Palatino Linotype" w:hAnsi="Times New Roman" w:cs="Times New Roman"/>
                <w:b w:val="0"/>
                <w:spacing w:val="-1"/>
                <w:kern w:val="0"/>
                <w:position w:val="1"/>
                <w:sz w:val="22"/>
                <w:szCs w:val="22"/>
                <w:lang w:val="es-ES"/>
              </w:rPr>
              <w:t>identity</w:t>
            </w:r>
            <w:proofErr w:type="spellEnd"/>
            <w:r>
              <w:rPr>
                <w:rFonts w:ascii="Times New Roman" w:eastAsia="Palatino Linotype" w:hAnsi="Times New Roman" w:cs="Times New Roman"/>
                <w:b w:val="0"/>
                <w:spacing w:val="-1"/>
                <w:kern w:val="0"/>
                <w:position w:val="1"/>
                <w:sz w:val="22"/>
                <w:szCs w:val="22"/>
                <w:lang w:val="es-ES"/>
              </w:rPr>
              <w:t xml:space="preserve"> </w:t>
            </w:r>
            <w:proofErr w:type="spellStart"/>
            <w:r>
              <w:rPr>
                <w:rFonts w:ascii="Times New Roman" w:eastAsia="Palatino Linotype" w:hAnsi="Times New Roman" w:cs="Times New Roman"/>
                <w:b w:val="0"/>
                <w:spacing w:val="-1"/>
                <w:kern w:val="0"/>
                <w:position w:val="1"/>
                <w:sz w:val="22"/>
                <w:szCs w:val="22"/>
                <w:lang w:val="es-ES"/>
              </w:rPr>
              <w:t>of</w:t>
            </w:r>
            <w:proofErr w:type="spellEnd"/>
            <w:r>
              <w:rPr>
                <w:rFonts w:ascii="Times New Roman" w:eastAsia="Palatino Linotype" w:hAnsi="Times New Roman" w:cs="Times New Roman"/>
                <w:b w:val="0"/>
                <w:spacing w:val="-1"/>
                <w:kern w:val="0"/>
                <w:position w:val="1"/>
                <w:sz w:val="22"/>
                <w:szCs w:val="22"/>
                <w:lang w:val="es-ES"/>
              </w:rPr>
              <w:t xml:space="preserve"> </w:t>
            </w:r>
            <w:proofErr w:type="spellStart"/>
            <w:r>
              <w:rPr>
                <w:rFonts w:ascii="Times New Roman" w:eastAsia="Palatino Linotype" w:hAnsi="Times New Roman" w:cs="Times New Roman"/>
                <w:b w:val="0"/>
                <w:spacing w:val="-1"/>
                <w:kern w:val="0"/>
                <w:position w:val="1"/>
                <w:sz w:val="22"/>
                <w:szCs w:val="22"/>
                <w:lang w:val="es-ES"/>
              </w:rPr>
              <w:t>the</w:t>
            </w:r>
            <w:proofErr w:type="spellEnd"/>
            <w:r>
              <w:rPr>
                <w:rFonts w:ascii="Times New Roman" w:eastAsia="Palatino Linotype" w:hAnsi="Times New Roman" w:cs="Times New Roman"/>
                <w:b w:val="0"/>
                <w:spacing w:val="-1"/>
                <w:kern w:val="0"/>
                <w:position w:val="1"/>
                <w:sz w:val="22"/>
                <w:szCs w:val="22"/>
                <w:lang w:val="es-ES"/>
              </w:rPr>
              <w:t xml:space="preserve"> </w:t>
            </w:r>
            <w:proofErr w:type="spellStart"/>
            <w:r>
              <w:rPr>
                <w:rFonts w:ascii="Times New Roman" w:eastAsia="Palatino Linotype" w:hAnsi="Times New Roman" w:cs="Times New Roman"/>
                <w:b w:val="0"/>
                <w:spacing w:val="-1"/>
                <w:kern w:val="0"/>
                <w:position w:val="1"/>
                <w:sz w:val="22"/>
                <w:szCs w:val="22"/>
                <w:lang w:val="es-ES"/>
              </w:rPr>
              <w:t>product</w:t>
            </w:r>
            <w:proofErr w:type="spellEnd"/>
            <w:r>
              <w:rPr>
                <w:rFonts w:ascii="Times New Roman" w:eastAsia="Palatino Linotype" w:hAnsi="Times New Roman" w:cs="Times New Roman"/>
                <w:b w:val="0"/>
                <w:spacing w:val="-1"/>
                <w:kern w:val="0"/>
                <w:position w:val="1"/>
                <w:sz w:val="22"/>
                <w:szCs w:val="22"/>
                <w:lang w:val="es-ES"/>
              </w:rPr>
              <w:t xml:space="preserve"> </w:t>
            </w:r>
            <w:proofErr w:type="spellStart"/>
            <w:r>
              <w:rPr>
                <w:rFonts w:ascii="Times New Roman" w:eastAsia="Palatino Linotype" w:hAnsi="Times New Roman" w:cs="Times New Roman"/>
                <w:b w:val="0"/>
                <w:spacing w:val="-1"/>
                <w:kern w:val="0"/>
                <w:position w:val="1"/>
                <w:sz w:val="22"/>
                <w:szCs w:val="22"/>
                <w:lang w:val="es-ES"/>
              </w:rPr>
              <w:t>is</w:t>
            </w:r>
            <w:proofErr w:type="spellEnd"/>
            <w:r>
              <w:rPr>
                <w:rFonts w:ascii="Times New Roman" w:eastAsia="Palatino Linotype" w:hAnsi="Times New Roman" w:cs="Times New Roman"/>
                <w:b w:val="0"/>
                <w:spacing w:val="-1"/>
                <w:kern w:val="0"/>
                <w:position w:val="1"/>
                <w:sz w:val="22"/>
                <w:szCs w:val="22"/>
                <w:lang w:val="es-ES"/>
              </w:rPr>
              <w:t xml:space="preserve"> </w:t>
            </w:r>
            <w:proofErr w:type="spellStart"/>
            <w:r>
              <w:rPr>
                <w:rFonts w:ascii="Times New Roman" w:eastAsia="Palatino Linotype" w:hAnsi="Times New Roman" w:cs="Times New Roman"/>
                <w:b w:val="0"/>
                <w:spacing w:val="-1"/>
                <w:kern w:val="0"/>
                <w:position w:val="1"/>
                <w:sz w:val="22"/>
                <w:szCs w:val="22"/>
                <w:lang w:val="es-ES"/>
              </w:rPr>
              <w:t>not</w:t>
            </w:r>
            <w:proofErr w:type="spellEnd"/>
            <w:r>
              <w:rPr>
                <w:rFonts w:ascii="Times New Roman" w:eastAsia="Palatino Linotype" w:hAnsi="Times New Roman" w:cs="Times New Roman"/>
                <w:b w:val="0"/>
                <w:spacing w:val="-1"/>
                <w:kern w:val="0"/>
                <w:position w:val="1"/>
                <w:sz w:val="22"/>
                <w:szCs w:val="22"/>
                <w:lang w:val="es-ES"/>
              </w:rPr>
              <w:t xml:space="preserve"> </w:t>
            </w:r>
            <w:proofErr w:type="spellStart"/>
            <w:r>
              <w:rPr>
                <w:rFonts w:ascii="Times New Roman" w:eastAsia="Palatino Linotype" w:hAnsi="Times New Roman" w:cs="Times New Roman"/>
                <w:b w:val="0"/>
                <w:spacing w:val="-1"/>
                <w:kern w:val="0"/>
                <w:position w:val="1"/>
                <w:sz w:val="22"/>
                <w:szCs w:val="22"/>
                <w:lang w:val="es-ES"/>
              </w:rPr>
              <w:t>maintained</w:t>
            </w:r>
            <w:proofErr w:type="spellEnd"/>
            <w:r>
              <w:rPr>
                <w:rFonts w:ascii="Times New Roman" w:eastAsia="Palatino Linotype" w:hAnsi="Times New Roman" w:cs="Times New Roman"/>
                <w:b w:val="0"/>
                <w:spacing w:val="-1"/>
                <w:kern w:val="0"/>
                <w:position w:val="1"/>
                <w:sz w:val="22"/>
                <w:szCs w:val="22"/>
                <w:lang w:val="es-ES"/>
              </w:rPr>
              <w:t xml:space="preserve">; </w:t>
            </w:r>
            <w:proofErr w:type="spellStart"/>
            <w:r>
              <w:rPr>
                <w:rFonts w:ascii="Times New Roman" w:eastAsia="Palatino Linotype" w:hAnsi="Times New Roman" w:cs="Times New Roman"/>
                <w:b w:val="0"/>
                <w:spacing w:val="-1"/>
                <w:kern w:val="0"/>
                <w:position w:val="1"/>
                <w:sz w:val="22"/>
                <w:szCs w:val="22"/>
                <w:lang w:val="es-ES"/>
              </w:rPr>
              <w:t>it</w:t>
            </w:r>
            <w:proofErr w:type="spellEnd"/>
            <w:r>
              <w:rPr>
                <w:rFonts w:ascii="Times New Roman" w:eastAsia="Palatino Linotype" w:hAnsi="Times New Roman" w:cs="Times New Roman"/>
                <w:b w:val="0"/>
                <w:spacing w:val="-1"/>
                <w:kern w:val="0"/>
                <w:position w:val="1"/>
                <w:sz w:val="22"/>
                <w:szCs w:val="22"/>
                <w:lang w:val="es-ES"/>
              </w:rPr>
              <w:t xml:space="preserve"> </w:t>
            </w:r>
            <w:proofErr w:type="spellStart"/>
            <w:r>
              <w:rPr>
                <w:rFonts w:ascii="Times New Roman" w:eastAsia="Palatino Linotype" w:hAnsi="Times New Roman" w:cs="Times New Roman"/>
                <w:b w:val="0"/>
                <w:spacing w:val="-1"/>
                <w:kern w:val="0"/>
                <w:position w:val="1"/>
                <w:sz w:val="22"/>
                <w:szCs w:val="22"/>
                <w:lang w:val="es-ES"/>
              </w:rPr>
              <w:t>is</w:t>
            </w:r>
            <w:proofErr w:type="spellEnd"/>
            <w:r>
              <w:rPr>
                <w:rFonts w:ascii="Times New Roman" w:eastAsia="Palatino Linotype" w:hAnsi="Times New Roman" w:cs="Times New Roman"/>
                <w:b w:val="0"/>
                <w:spacing w:val="-1"/>
                <w:kern w:val="0"/>
                <w:position w:val="1"/>
                <w:sz w:val="22"/>
                <w:szCs w:val="22"/>
                <w:lang w:val="es-ES"/>
              </w:rPr>
              <w:t xml:space="preserve"> </w:t>
            </w:r>
            <w:proofErr w:type="spellStart"/>
            <w:r>
              <w:rPr>
                <w:rFonts w:ascii="Times New Roman" w:eastAsia="Palatino Linotype" w:hAnsi="Times New Roman" w:cs="Times New Roman"/>
                <w:b w:val="0"/>
                <w:spacing w:val="-1"/>
                <w:kern w:val="0"/>
                <w:position w:val="1"/>
                <w:sz w:val="22"/>
                <w:szCs w:val="22"/>
                <w:lang w:val="es-ES"/>
              </w:rPr>
              <w:t>another</w:t>
            </w:r>
            <w:proofErr w:type="spellEnd"/>
            <w:r>
              <w:rPr>
                <w:rFonts w:ascii="Times New Roman" w:eastAsia="Palatino Linotype" w:hAnsi="Times New Roman" w:cs="Times New Roman"/>
                <w:b w:val="0"/>
                <w:spacing w:val="-1"/>
                <w:kern w:val="0"/>
                <w:position w:val="1"/>
                <w:sz w:val="22"/>
                <w:szCs w:val="22"/>
                <w:lang w:val="es-ES"/>
              </w:rPr>
              <w:t xml:space="preserve"> </w:t>
            </w:r>
            <w:proofErr w:type="spellStart"/>
            <w:r>
              <w:rPr>
                <w:rFonts w:ascii="Times New Roman" w:eastAsia="Palatino Linotype" w:hAnsi="Times New Roman" w:cs="Times New Roman"/>
                <w:b w:val="0"/>
                <w:spacing w:val="-1"/>
                <w:kern w:val="0"/>
                <w:position w:val="1"/>
                <w:sz w:val="22"/>
                <w:szCs w:val="22"/>
                <w:lang w:val="es-ES"/>
              </w:rPr>
              <w:t>product</w:t>
            </w:r>
            <w:proofErr w:type="spellEnd"/>
            <w:r>
              <w:rPr>
                <w:rFonts w:ascii="Times New Roman" w:eastAsia="Palatino Linotype" w:hAnsi="Times New Roman" w:cs="Times New Roman"/>
                <w:b w:val="0"/>
                <w:spacing w:val="-1"/>
                <w:kern w:val="0"/>
                <w:position w:val="1"/>
                <w:sz w:val="22"/>
                <w:szCs w:val="22"/>
                <w:lang w:val="es-ES"/>
              </w:rPr>
              <w:t xml:space="preserve"> </w:t>
            </w:r>
            <w:proofErr w:type="spellStart"/>
            <w:r>
              <w:rPr>
                <w:rFonts w:ascii="Times New Roman" w:eastAsia="Palatino Linotype" w:hAnsi="Times New Roman" w:cs="Times New Roman"/>
                <w:b w:val="0"/>
                <w:spacing w:val="-1"/>
                <w:kern w:val="0"/>
                <w:position w:val="1"/>
                <w:sz w:val="22"/>
                <w:szCs w:val="22"/>
                <w:lang w:val="es-ES"/>
              </w:rPr>
              <w:t>that</w:t>
            </w:r>
            <w:proofErr w:type="spellEnd"/>
            <w:r>
              <w:rPr>
                <w:rFonts w:ascii="Times New Roman" w:eastAsia="Palatino Linotype" w:hAnsi="Times New Roman" w:cs="Times New Roman"/>
                <w:b w:val="0"/>
                <w:spacing w:val="-1"/>
                <w:kern w:val="0"/>
                <w:position w:val="1"/>
                <w:sz w:val="22"/>
                <w:szCs w:val="22"/>
                <w:lang w:val="es-ES"/>
              </w:rPr>
              <w:t xml:space="preserve"> </w:t>
            </w:r>
            <w:proofErr w:type="spellStart"/>
            <w:r>
              <w:rPr>
                <w:rFonts w:ascii="Times New Roman" w:eastAsia="Palatino Linotype" w:hAnsi="Times New Roman" w:cs="Times New Roman"/>
                <w:b w:val="0"/>
                <w:spacing w:val="-1"/>
                <w:kern w:val="0"/>
                <w:position w:val="1"/>
                <w:sz w:val="22"/>
                <w:szCs w:val="22"/>
                <w:lang w:val="es-ES"/>
              </w:rPr>
              <w:t>allows</w:t>
            </w:r>
            <w:proofErr w:type="spellEnd"/>
            <w:r>
              <w:rPr>
                <w:rFonts w:ascii="Times New Roman" w:eastAsia="Palatino Linotype" w:hAnsi="Times New Roman" w:cs="Times New Roman"/>
                <w:b w:val="0"/>
                <w:spacing w:val="-1"/>
                <w:kern w:val="0"/>
                <w:position w:val="1"/>
                <w:sz w:val="22"/>
                <w:szCs w:val="22"/>
                <w:lang w:val="es-ES"/>
              </w:rPr>
              <w:t xml:space="preserve"> </w:t>
            </w:r>
            <w:proofErr w:type="spellStart"/>
            <w:r>
              <w:rPr>
                <w:rFonts w:ascii="Times New Roman" w:eastAsia="Palatino Linotype" w:hAnsi="Times New Roman" w:cs="Times New Roman"/>
                <w:b w:val="0"/>
                <w:spacing w:val="-1"/>
                <w:kern w:val="0"/>
                <w:position w:val="1"/>
                <w:sz w:val="22"/>
                <w:szCs w:val="22"/>
                <w:lang w:val="es-ES"/>
              </w:rPr>
              <w:t>the</w:t>
            </w:r>
            <w:proofErr w:type="spellEnd"/>
            <w:r>
              <w:rPr>
                <w:rFonts w:ascii="Times New Roman" w:eastAsia="Palatino Linotype" w:hAnsi="Times New Roman" w:cs="Times New Roman"/>
                <w:b w:val="0"/>
                <w:spacing w:val="-1"/>
                <w:kern w:val="0"/>
                <w:position w:val="1"/>
                <w:sz w:val="22"/>
                <w:szCs w:val="22"/>
                <w:lang w:val="es-ES"/>
              </w:rPr>
              <w:t xml:space="preserve"> </w:t>
            </w:r>
            <w:proofErr w:type="spellStart"/>
            <w:r>
              <w:rPr>
                <w:rFonts w:ascii="Times New Roman" w:eastAsia="Palatino Linotype" w:hAnsi="Times New Roman" w:cs="Times New Roman"/>
                <w:b w:val="0"/>
                <w:spacing w:val="-1"/>
                <w:kern w:val="0"/>
                <w:position w:val="1"/>
                <w:sz w:val="22"/>
                <w:szCs w:val="22"/>
                <w:lang w:val="es-ES"/>
              </w:rPr>
              <w:t>objective</w:t>
            </w:r>
            <w:proofErr w:type="spellEnd"/>
            <w:r>
              <w:rPr>
                <w:rFonts w:ascii="Times New Roman" w:eastAsia="Palatino Linotype" w:hAnsi="Times New Roman" w:cs="Times New Roman"/>
                <w:b w:val="0"/>
                <w:spacing w:val="-1"/>
                <w:kern w:val="0"/>
                <w:position w:val="1"/>
                <w:sz w:val="22"/>
                <w:szCs w:val="22"/>
                <w:lang w:val="es-ES"/>
              </w:rPr>
              <w:t xml:space="preserve"> </w:t>
            </w:r>
            <w:proofErr w:type="spellStart"/>
            <w:r>
              <w:rPr>
                <w:rFonts w:ascii="Times New Roman" w:eastAsia="Palatino Linotype" w:hAnsi="Times New Roman" w:cs="Times New Roman"/>
                <w:b w:val="0"/>
                <w:spacing w:val="-1"/>
                <w:kern w:val="0"/>
                <w:position w:val="1"/>
                <w:sz w:val="22"/>
                <w:szCs w:val="22"/>
                <w:lang w:val="es-ES"/>
              </w:rPr>
              <w:t>of</w:t>
            </w:r>
            <w:proofErr w:type="spellEnd"/>
            <w:r>
              <w:rPr>
                <w:rFonts w:ascii="Times New Roman" w:eastAsia="Palatino Linotype" w:hAnsi="Times New Roman" w:cs="Times New Roman"/>
                <w:b w:val="0"/>
                <w:spacing w:val="-1"/>
                <w:kern w:val="0"/>
                <w:position w:val="1"/>
                <w:sz w:val="22"/>
                <w:szCs w:val="22"/>
                <w:lang w:val="es-ES"/>
              </w:rPr>
              <w:t xml:space="preserve"> </w:t>
            </w:r>
            <w:proofErr w:type="spellStart"/>
            <w:r>
              <w:rPr>
                <w:rFonts w:ascii="Times New Roman" w:eastAsia="Palatino Linotype" w:hAnsi="Times New Roman" w:cs="Times New Roman"/>
                <w:b w:val="0"/>
                <w:spacing w:val="-1"/>
                <w:kern w:val="0"/>
                <w:position w:val="1"/>
                <w:sz w:val="22"/>
                <w:szCs w:val="22"/>
                <w:lang w:val="es-ES"/>
              </w:rPr>
              <w:t>the</w:t>
            </w:r>
            <w:proofErr w:type="spellEnd"/>
            <w:r>
              <w:rPr>
                <w:rFonts w:ascii="Times New Roman" w:eastAsia="Palatino Linotype" w:hAnsi="Times New Roman" w:cs="Times New Roman"/>
                <w:b w:val="0"/>
                <w:spacing w:val="-1"/>
                <w:kern w:val="0"/>
                <w:position w:val="1"/>
                <w:sz w:val="22"/>
                <w:szCs w:val="22"/>
                <w:lang w:val="es-ES"/>
              </w:rPr>
              <w:t xml:space="preserve"> </w:t>
            </w:r>
            <w:proofErr w:type="spellStart"/>
            <w:r>
              <w:rPr>
                <w:rFonts w:ascii="Times New Roman" w:eastAsia="Palatino Linotype" w:hAnsi="Times New Roman" w:cs="Times New Roman"/>
                <w:b w:val="0"/>
                <w:spacing w:val="-1"/>
                <w:kern w:val="0"/>
                <w:position w:val="1"/>
                <w:sz w:val="22"/>
                <w:szCs w:val="22"/>
                <w:lang w:val="es-ES"/>
              </w:rPr>
              <w:t>call</w:t>
            </w:r>
            <w:proofErr w:type="spellEnd"/>
            <w:r>
              <w:rPr>
                <w:rFonts w:ascii="Times New Roman" w:eastAsia="Palatino Linotype" w:hAnsi="Times New Roman" w:cs="Times New Roman"/>
                <w:b w:val="0"/>
                <w:spacing w:val="-1"/>
                <w:kern w:val="0"/>
                <w:position w:val="1"/>
                <w:sz w:val="22"/>
                <w:szCs w:val="22"/>
                <w:lang w:val="es-ES"/>
              </w:rPr>
              <w:t xml:space="preserve"> </w:t>
            </w:r>
            <w:proofErr w:type="spellStart"/>
            <w:r>
              <w:rPr>
                <w:rFonts w:ascii="Times New Roman" w:eastAsia="Palatino Linotype" w:hAnsi="Times New Roman" w:cs="Times New Roman"/>
                <w:b w:val="0"/>
                <w:spacing w:val="-1"/>
                <w:kern w:val="0"/>
                <w:position w:val="1"/>
                <w:sz w:val="22"/>
                <w:szCs w:val="22"/>
                <w:lang w:val="es-ES"/>
              </w:rPr>
              <w:t>to</w:t>
            </w:r>
            <w:proofErr w:type="spellEnd"/>
            <w:r>
              <w:rPr>
                <w:rFonts w:ascii="Times New Roman" w:eastAsia="Palatino Linotype" w:hAnsi="Times New Roman" w:cs="Times New Roman"/>
                <w:b w:val="0"/>
                <w:spacing w:val="-1"/>
                <w:kern w:val="0"/>
                <w:position w:val="1"/>
                <w:sz w:val="22"/>
                <w:szCs w:val="22"/>
                <w:lang w:val="es-ES"/>
              </w:rPr>
              <w:t xml:space="preserve"> be </w:t>
            </w:r>
            <w:proofErr w:type="spellStart"/>
            <w:r>
              <w:rPr>
                <w:rFonts w:ascii="Times New Roman" w:eastAsia="Palatino Linotype" w:hAnsi="Times New Roman" w:cs="Times New Roman"/>
                <w:b w:val="0"/>
                <w:spacing w:val="-1"/>
                <w:kern w:val="0"/>
                <w:position w:val="1"/>
                <w:sz w:val="22"/>
                <w:szCs w:val="22"/>
                <w:lang w:val="es-ES"/>
              </w:rPr>
              <w:t>met</w:t>
            </w:r>
            <w:proofErr w:type="spellEnd"/>
            <w:r>
              <w:rPr>
                <w:rFonts w:ascii="Times New Roman" w:eastAsia="Palatino Linotype" w:hAnsi="Times New Roman" w:cs="Times New Roman"/>
                <w:b w:val="0"/>
                <w:spacing w:val="-1"/>
                <w:kern w:val="0"/>
                <w:position w:val="1"/>
                <w:sz w:val="22"/>
                <w:szCs w:val="22"/>
                <w:lang w:val="es-ES"/>
              </w:rPr>
              <w:t>.</w:t>
            </w:r>
          </w:p>
          <w:p w14:paraId="35F0643B" w14:textId="77777777" w:rsidR="00E255F4" w:rsidRDefault="00E255F4">
            <w:pPr>
              <w:rPr>
                <w:rFonts w:eastAsia="Palatino Linotype"/>
                <w:b/>
                <w:spacing w:val="-1"/>
                <w:position w:val="1"/>
                <w:sz w:val="22"/>
                <w:szCs w:val="22"/>
                <w:lang w:val="es-ES"/>
              </w:rPr>
            </w:pPr>
          </w:p>
          <w:p w14:paraId="6241F875" w14:textId="77777777" w:rsidR="00E255F4" w:rsidRDefault="00000000">
            <w:pPr>
              <w:tabs>
                <w:tab w:val="left" w:pos="-540"/>
              </w:tabs>
              <w:spacing w:after="80"/>
              <w:jc w:val="both"/>
              <w:rPr>
                <w:sz w:val="22"/>
                <w:u w:val="single"/>
              </w:rPr>
            </w:pPr>
            <w:proofErr w:type="spellStart"/>
            <w:r>
              <w:rPr>
                <w:sz w:val="22"/>
                <w:u w:val="single"/>
              </w:rPr>
              <w:t>Estimated</w:t>
            </w:r>
            <w:proofErr w:type="spellEnd"/>
            <w:r>
              <w:rPr>
                <w:sz w:val="22"/>
                <w:u w:val="single"/>
              </w:rPr>
              <w:t xml:space="preserve"> </w:t>
            </w:r>
            <w:proofErr w:type="spellStart"/>
            <w:r>
              <w:rPr>
                <w:sz w:val="22"/>
                <w:u w:val="single"/>
              </w:rPr>
              <w:t>number</w:t>
            </w:r>
            <w:proofErr w:type="spellEnd"/>
            <w:r>
              <w:rPr>
                <w:sz w:val="22"/>
                <w:u w:val="single"/>
              </w:rPr>
              <w:t xml:space="preserve"> </w:t>
            </w:r>
            <w:proofErr w:type="spellStart"/>
            <w:r>
              <w:rPr>
                <w:sz w:val="22"/>
                <w:u w:val="single"/>
              </w:rPr>
              <w:t>of</w:t>
            </w:r>
            <w:proofErr w:type="spellEnd"/>
            <w:r>
              <w:rPr>
                <w:sz w:val="22"/>
                <w:u w:val="single"/>
              </w:rPr>
              <w:t xml:space="preserve"> </w:t>
            </w:r>
            <w:proofErr w:type="spellStart"/>
            <w:r>
              <w:rPr>
                <w:sz w:val="22"/>
                <w:u w:val="single"/>
              </w:rPr>
              <w:t>connections</w:t>
            </w:r>
            <w:proofErr w:type="spellEnd"/>
            <w:r>
              <w:rPr>
                <w:sz w:val="22"/>
                <w:u w:val="single"/>
              </w:rPr>
              <w:t xml:space="preserve"> </w:t>
            </w:r>
            <w:proofErr w:type="spellStart"/>
            <w:r>
              <w:rPr>
                <w:sz w:val="22"/>
                <w:u w:val="single"/>
              </w:rPr>
              <w:t>to</w:t>
            </w:r>
            <w:proofErr w:type="spellEnd"/>
            <w:r>
              <w:rPr>
                <w:sz w:val="22"/>
                <w:u w:val="single"/>
              </w:rPr>
              <w:t xml:space="preserve"> remote </w:t>
            </w:r>
            <w:proofErr w:type="spellStart"/>
            <w:r>
              <w:rPr>
                <w:sz w:val="22"/>
                <w:u w:val="single"/>
              </w:rPr>
              <w:t>metering</w:t>
            </w:r>
            <w:proofErr w:type="spellEnd"/>
          </w:p>
          <w:p w14:paraId="17E59638" w14:textId="77777777" w:rsidR="00E255F4" w:rsidRDefault="00000000">
            <w:pPr>
              <w:tabs>
                <w:tab w:val="left" w:pos="-540"/>
              </w:tabs>
              <w:spacing w:after="240"/>
              <w:jc w:val="both"/>
              <w:rPr>
                <w:sz w:val="22"/>
              </w:rPr>
            </w:pPr>
            <w:r>
              <w:rPr>
                <w:sz w:val="22"/>
              </w:rPr>
              <w:t xml:space="preserve">The </w:t>
            </w:r>
            <w:proofErr w:type="spellStart"/>
            <w:r>
              <w:rPr>
                <w:sz w:val="22"/>
              </w:rPr>
              <w:t>number</w:t>
            </w:r>
            <w:proofErr w:type="spellEnd"/>
            <w:r>
              <w:rPr>
                <w:sz w:val="22"/>
              </w:rPr>
              <w:t xml:space="preserve"> </w:t>
            </w:r>
            <w:proofErr w:type="spellStart"/>
            <w:r>
              <w:rPr>
                <w:sz w:val="22"/>
              </w:rPr>
              <w:t>of</w:t>
            </w:r>
            <w:proofErr w:type="spellEnd"/>
            <w:r>
              <w:rPr>
                <w:sz w:val="22"/>
              </w:rPr>
              <w:t xml:space="preserve"> 50,000 </w:t>
            </w:r>
            <w:proofErr w:type="spellStart"/>
            <w:r>
              <w:rPr>
                <w:sz w:val="22"/>
              </w:rPr>
              <w:t>connections</w:t>
            </w:r>
            <w:proofErr w:type="spellEnd"/>
            <w:r>
              <w:rPr>
                <w:sz w:val="22"/>
              </w:rPr>
              <w:t xml:space="preserve"> </w:t>
            </w:r>
            <w:proofErr w:type="spellStart"/>
            <w:r>
              <w:rPr>
                <w:sz w:val="22"/>
              </w:rPr>
              <w:t>to</w:t>
            </w:r>
            <w:proofErr w:type="spellEnd"/>
            <w:r>
              <w:rPr>
                <w:sz w:val="22"/>
              </w:rPr>
              <w:t xml:space="preserve"> be </w:t>
            </w:r>
            <w:proofErr w:type="spellStart"/>
            <w:r>
              <w:rPr>
                <w:sz w:val="22"/>
              </w:rPr>
              <w:t>remotely</w:t>
            </w:r>
            <w:proofErr w:type="spellEnd"/>
            <w:r>
              <w:rPr>
                <w:sz w:val="22"/>
              </w:rPr>
              <w:t xml:space="preserve"> </w:t>
            </w:r>
            <w:proofErr w:type="spellStart"/>
            <w:r>
              <w:rPr>
                <w:sz w:val="22"/>
              </w:rPr>
              <w:t>measured</w:t>
            </w:r>
            <w:proofErr w:type="spellEnd"/>
            <w:r>
              <w:rPr>
                <w:sz w:val="22"/>
              </w:rPr>
              <w:t xml:space="preserve"> </w:t>
            </w:r>
            <w:proofErr w:type="spellStart"/>
            <w:r>
              <w:rPr>
                <w:sz w:val="22"/>
              </w:rPr>
              <w:t>indicated</w:t>
            </w:r>
            <w:proofErr w:type="spellEnd"/>
            <w:r>
              <w:rPr>
                <w:sz w:val="22"/>
              </w:rPr>
              <w:t xml:space="preserve"> in </w:t>
            </w:r>
            <w:proofErr w:type="spellStart"/>
            <w:r>
              <w:rPr>
                <w:sz w:val="22"/>
              </w:rPr>
              <w:t>the</w:t>
            </w:r>
            <w:proofErr w:type="spellEnd"/>
            <w:r>
              <w:rPr>
                <w:sz w:val="22"/>
              </w:rPr>
              <w:t xml:space="preserve"> </w:t>
            </w:r>
            <w:proofErr w:type="spellStart"/>
            <w:r>
              <w:rPr>
                <w:sz w:val="22"/>
              </w:rPr>
              <w:t>Object</w:t>
            </w:r>
            <w:proofErr w:type="spellEnd"/>
            <w:r>
              <w:rPr>
                <w:sz w:val="22"/>
              </w:rPr>
              <w:t xml:space="preserve"> </w:t>
            </w:r>
            <w:proofErr w:type="spellStart"/>
            <w:r>
              <w:rPr>
                <w:sz w:val="22"/>
              </w:rPr>
              <w:t>is</w:t>
            </w:r>
            <w:proofErr w:type="spellEnd"/>
            <w:r>
              <w:rPr>
                <w:sz w:val="22"/>
              </w:rPr>
              <w:t xml:space="preserve"> </w:t>
            </w:r>
            <w:proofErr w:type="spellStart"/>
            <w:r>
              <w:rPr>
                <w:sz w:val="22"/>
              </w:rPr>
              <w:t>approximate</w:t>
            </w:r>
            <w:proofErr w:type="spellEnd"/>
            <w:r>
              <w:rPr>
                <w:sz w:val="22"/>
              </w:rPr>
              <w:t xml:space="preserve"> </w:t>
            </w:r>
            <w:proofErr w:type="spellStart"/>
            <w:r>
              <w:rPr>
                <w:sz w:val="22"/>
              </w:rPr>
              <w:t>since</w:t>
            </w:r>
            <w:proofErr w:type="spellEnd"/>
            <w:r>
              <w:rPr>
                <w:sz w:val="22"/>
              </w:rPr>
              <w:t xml:space="preserve"> </w:t>
            </w:r>
            <w:proofErr w:type="spellStart"/>
            <w:r>
              <w:rPr>
                <w:sz w:val="22"/>
              </w:rPr>
              <w:t>it</w:t>
            </w:r>
            <w:proofErr w:type="spellEnd"/>
            <w:r>
              <w:rPr>
                <w:sz w:val="22"/>
              </w:rPr>
              <w:t xml:space="preserve"> </w:t>
            </w:r>
            <w:proofErr w:type="spellStart"/>
            <w:r>
              <w:rPr>
                <w:sz w:val="22"/>
              </w:rPr>
              <w:t>may</w:t>
            </w:r>
            <w:proofErr w:type="spellEnd"/>
            <w:r>
              <w:rPr>
                <w:sz w:val="22"/>
              </w:rPr>
              <w:t xml:space="preserve"> </w:t>
            </w:r>
            <w:proofErr w:type="spellStart"/>
            <w:r>
              <w:rPr>
                <w:sz w:val="22"/>
              </w:rPr>
              <w:t>vary</w:t>
            </w:r>
            <w:proofErr w:type="spellEnd"/>
            <w:r>
              <w:rPr>
                <w:sz w:val="22"/>
              </w:rPr>
              <w:t xml:space="preserve"> </w:t>
            </w:r>
            <w:proofErr w:type="spellStart"/>
            <w:r>
              <w:rPr>
                <w:sz w:val="22"/>
              </w:rPr>
              <w:t>due</w:t>
            </w:r>
            <w:proofErr w:type="spellEnd"/>
            <w:r>
              <w:rPr>
                <w:sz w:val="22"/>
              </w:rPr>
              <w:t xml:space="preserve"> </w:t>
            </w:r>
            <w:proofErr w:type="spellStart"/>
            <w:r>
              <w:rPr>
                <w:sz w:val="22"/>
              </w:rPr>
              <w:t>to</w:t>
            </w:r>
            <w:proofErr w:type="spellEnd"/>
            <w:r>
              <w:rPr>
                <w:sz w:val="22"/>
              </w:rPr>
              <w:t xml:space="preserve"> </w:t>
            </w:r>
            <w:proofErr w:type="spellStart"/>
            <w:r>
              <w:rPr>
                <w:sz w:val="22"/>
              </w:rPr>
              <w:t>additions</w:t>
            </w:r>
            <w:proofErr w:type="spellEnd"/>
            <w:r>
              <w:rPr>
                <w:sz w:val="22"/>
              </w:rPr>
              <w:t xml:space="preserve"> and </w:t>
            </w:r>
            <w:proofErr w:type="spellStart"/>
            <w:r>
              <w:rPr>
                <w:sz w:val="22"/>
              </w:rPr>
              <w:t>removals</w:t>
            </w:r>
            <w:proofErr w:type="spellEnd"/>
            <w:r>
              <w:rPr>
                <w:sz w:val="22"/>
              </w:rPr>
              <w:t xml:space="preserve"> </w:t>
            </w:r>
            <w:proofErr w:type="spellStart"/>
            <w:r>
              <w:rPr>
                <w:sz w:val="22"/>
              </w:rPr>
              <w:t>of</w:t>
            </w:r>
            <w:proofErr w:type="spellEnd"/>
            <w:r>
              <w:rPr>
                <w:sz w:val="22"/>
              </w:rPr>
              <w:t xml:space="preserve"> </w:t>
            </w:r>
            <w:proofErr w:type="spellStart"/>
            <w:r>
              <w:rPr>
                <w:sz w:val="22"/>
              </w:rPr>
              <w:t>drinking</w:t>
            </w:r>
            <w:proofErr w:type="spellEnd"/>
            <w:r>
              <w:rPr>
                <w:sz w:val="22"/>
              </w:rPr>
              <w:t xml:space="preserve"> </w:t>
            </w:r>
            <w:proofErr w:type="spellStart"/>
            <w:r>
              <w:rPr>
                <w:sz w:val="22"/>
              </w:rPr>
              <w:t>water</w:t>
            </w:r>
            <w:proofErr w:type="spellEnd"/>
            <w:r>
              <w:rPr>
                <w:sz w:val="22"/>
              </w:rPr>
              <w:t xml:space="preserve"> </w:t>
            </w:r>
            <w:proofErr w:type="spellStart"/>
            <w:r>
              <w:rPr>
                <w:sz w:val="22"/>
              </w:rPr>
              <w:t>services</w:t>
            </w:r>
            <w:proofErr w:type="spellEnd"/>
            <w:r>
              <w:rPr>
                <w:sz w:val="22"/>
              </w:rPr>
              <w:t>,</w:t>
            </w:r>
            <w:r>
              <w:rPr>
                <w:color w:val="FF0000"/>
                <w:sz w:val="22"/>
              </w:rPr>
              <w:t xml:space="preserve"> </w:t>
            </w:r>
            <w:proofErr w:type="spellStart"/>
            <w:r>
              <w:rPr>
                <w:sz w:val="22"/>
              </w:rPr>
              <w:t>Therefore</w:t>
            </w:r>
            <w:proofErr w:type="spellEnd"/>
            <w:r>
              <w:rPr>
                <w:sz w:val="22"/>
              </w:rPr>
              <w:t xml:space="preserve">, </w:t>
            </w:r>
            <w:proofErr w:type="spellStart"/>
            <w:r>
              <w:rPr>
                <w:sz w:val="22"/>
              </w:rPr>
              <w:t>with</w:t>
            </w:r>
            <w:proofErr w:type="spellEnd"/>
            <w:r>
              <w:rPr>
                <w:sz w:val="22"/>
              </w:rPr>
              <w:t xml:space="preserve"> </w:t>
            </w:r>
            <w:proofErr w:type="spellStart"/>
            <w:r>
              <w:rPr>
                <w:sz w:val="22"/>
              </w:rPr>
              <w:t>regard</w:t>
            </w:r>
            <w:proofErr w:type="spellEnd"/>
            <w:r>
              <w:rPr>
                <w:sz w:val="22"/>
              </w:rPr>
              <w:t xml:space="preserve"> </w:t>
            </w:r>
            <w:proofErr w:type="spellStart"/>
            <w:r>
              <w:rPr>
                <w:sz w:val="22"/>
              </w:rPr>
              <w:t>to</w:t>
            </w:r>
            <w:proofErr w:type="spellEnd"/>
            <w:r>
              <w:rPr>
                <w:sz w:val="22"/>
              </w:rPr>
              <w:t xml:space="preserve"> </w:t>
            </w:r>
            <w:proofErr w:type="spellStart"/>
            <w:r>
              <w:rPr>
                <w:sz w:val="22"/>
              </w:rPr>
              <w:t>services</w:t>
            </w:r>
            <w:proofErr w:type="spellEnd"/>
            <w:r>
              <w:rPr>
                <w:sz w:val="22"/>
              </w:rPr>
              <w:t xml:space="preserve">, </w:t>
            </w:r>
            <w:proofErr w:type="spellStart"/>
            <w:r>
              <w:rPr>
                <w:sz w:val="22"/>
              </w:rPr>
              <w:t>payment</w:t>
            </w:r>
            <w:proofErr w:type="spellEnd"/>
            <w:r>
              <w:rPr>
                <w:sz w:val="22"/>
              </w:rPr>
              <w:t xml:space="preserve"> </w:t>
            </w:r>
            <w:proofErr w:type="spellStart"/>
            <w:r>
              <w:rPr>
                <w:sz w:val="22"/>
              </w:rPr>
              <w:t>will</w:t>
            </w:r>
            <w:proofErr w:type="spellEnd"/>
            <w:r>
              <w:rPr>
                <w:sz w:val="22"/>
              </w:rPr>
              <w:t xml:space="preserve"> be </w:t>
            </w:r>
            <w:proofErr w:type="spellStart"/>
            <w:r>
              <w:rPr>
                <w:sz w:val="22"/>
              </w:rPr>
              <w:t>made</w:t>
            </w:r>
            <w:proofErr w:type="spellEnd"/>
            <w:r>
              <w:rPr>
                <w:sz w:val="22"/>
              </w:rPr>
              <w:t xml:space="preserve"> </w:t>
            </w:r>
            <w:proofErr w:type="spellStart"/>
            <w:r>
              <w:rPr>
                <w:sz w:val="22"/>
              </w:rPr>
              <w:t>for</w:t>
            </w:r>
            <w:proofErr w:type="spellEnd"/>
            <w:r>
              <w:rPr>
                <w:sz w:val="22"/>
              </w:rPr>
              <w:t xml:space="preserve"> </w:t>
            </w:r>
            <w:proofErr w:type="spellStart"/>
            <w:r>
              <w:rPr>
                <w:sz w:val="22"/>
              </w:rPr>
              <w:t>the</w:t>
            </w:r>
            <w:proofErr w:type="spellEnd"/>
            <w:r>
              <w:rPr>
                <w:sz w:val="22"/>
              </w:rPr>
              <w:t xml:space="preserve"> </w:t>
            </w:r>
            <w:proofErr w:type="spellStart"/>
            <w:r>
              <w:rPr>
                <w:sz w:val="22"/>
              </w:rPr>
              <w:t>number</w:t>
            </w:r>
            <w:proofErr w:type="spellEnd"/>
            <w:r>
              <w:rPr>
                <w:sz w:val="22"/>
              </w:rPr>
              <w:t xml:space="preserve"> </w:t>
            </w:r>
            <w:proofErr w:type="spellStart"/>
            <w:r>
              <w:rPr>
                <w:sz w:val="22"/>
              </w:rPr>
              <w:t>of</w:t>
            </w:r>
            <w:proofErr w:type="spellEnd"/>
            <w:r>
              <w:rPr>
                <w:sz w:val="22"/>
              </w:rPr>
              <w:t xml:space="preserve"> </w:t>
            </w:r>
            <w:proofErr w:type="spellStart"/>
            <w:r>
              <w:rPr>
                <w:sz w:val="22"/>
              </w:rPr>
              <w:t>connections</w:t>
            </w:r>
            <w:proofErr w:type="spellEnd"/>
            <w:r>
              <w:rPr>
                <w:sz w:val="22"/>
              </w:rPr>
              <w:t xml:space="preserve"> </w:t>
            </w:r>
            <w:proofErr w:type="spellStart"/>
            <w:r>
              <w:rPr>
                <w:sz w:val="22"/>
              </w:rPr>
              <w:t>actually</w:t>
            </w:r>
            <w:proofErr w:type="spellEnd"/>
            <w:r>
              <w:rPr>
                <w:sz w:val="22"/>
              </w:rPr>
              <w:t xml:space="preserve"> </w:t>
            </w:r>
            <w:proofErr w:type="spellStart"/>
            <w:r>
              <w:rPr>
                <w:sz w:val="22"/>
              </w:rPr>
              <w:t>installed</w:t>
            </w:r>
            <w:proofErr w:type="spellEnd"/>
            <w:r>
              <w:rPr>
                <w:sz w:val="22"/>
              </w:rPr>
              <w:t xml:space="preserve"> and </w:t>
            </w:r>
            <w:proofErr w:type="spellStart"/>
            <w:r>
              <w:rPr>
                <w:sz w:val="22"/>
              </w:rPr>
              <w:t>remotely</w:t>
            </w:r>
            <w:proofErr w:type="spellEnd"/>
            <w:r>
              <w:rPr>
                <w:sz w:val="22"/>
              </w:rPr>
              <w:t xml:space="preserve"> </w:t>
            </w:r>
            <w:proofErr w:type="spellStart"/>
            <w:r>
              <w:rPr>
                <w:sz w:val="22"/>
              </w:rPr>
              <w:t>measured</w:t>
            </w:r>
            <w:proofErr w:type="spellEnd"/>
            <w:r>
              <w:rPr>
                <w:sz w:val="22"/>
              </w:rPr>
              <w:t xml:space="preserve"> </w:t>
            </w:r>
            <w:proofErr w:type="spellStart"/>
            <w:r>
              <w:rPr>
                <w:sz w:val="22"/>
              </w:rPr>
              <w:t>that</w:t>
            </w:r>
            <w:proofErr w:type="spellEnd"/>
            <w:r>
              <w:rPr>
                <w:sz w:val="22"/>
              </w:rPr>
              <w:t xml:space="preserve"> </w:t>
            </w:r>
            <w:proofErr w:type="spellStart"/>
            <w:r>
              <w:rPr>
                <w:sz w:val="22"/>
              </w:rPr>
              <w:t>have</w:t>
            </w:r>
            <w:proofErr w:type="spellEnd"/>
            <w:r>
              <w:rPr>
                <w:sz w:val="22"/>
              </w:rPr>
              <w:t xml:space="preserve"> </w:t>
            </w:r>
            <w:proofErr w:type="spellStart"/>
            <w:r>
              <w:rPr>
                <w:sz w:val="22"/>
              </w:rPr>
              <w:t>passed</w:t>
            </w:r>
            <w:proofErr w:type="spellEnd"/>
            <w:r>
              <w:rPr>
                <w:sz w:val="22"/>
              </w:rPr>
              <w:t xml:space="preserve"> </w:t>
            </w:r>
            <w:proofErr w:type="spellStart"/>
            <w:r>
              <w:rPr>
                <w:sz w:val="22"/>
              </w:rPr>
              <w:t>the</w:t>
            </w:r>
            <w:proofErr w:type="spellEnd"/>
            <w:r>
              <w:rPr>
                <w:sz w:val="22"/>
              </w:rPr>
              <w:t xml:space="preserve"> </w:t>
            </w:r>
            <w:proofErr w:type="spellStart"/>
            <w:r>
              <w:rPr>
                <w:sz w:val="22"/>
              </w:rPr>
              <w:t>validation</w:t>
            </w:r>
            <w:proofErr w:type="spellEnd"/>
            <w:r>
              <w:rPr>
                <w:sz w:val="22"/>
              </w:rPr>
              <w:t xml:space="preserve"> </w:t>
            </w:r>
            <w:proofErr w:type="spellStart"/>
            <w:r>
              <w:rPr>
                <w:sz w:val="22"/>
              </w:rPr>
              <w:t>requirements</w:t>
            </w:r>
            <w:proofErr w:type="spellEnd"/>
            <w:r>
              <w:rPr>
                <w:sz w:val="22"/>
              </w:rPr>
              <w:t xml:space="preserve"> set </w:t>
            </w:r>
            <w:proofErr w:type="spellStart"/>
            <w:r>
              <w:rPr>
                <w:sz w:val="22"/>
              </w:rPr>
              <w:t>out</w:t>
            </w:r>
            <w:proofErr w:type="spellEnd"/>
            <w:r>
              <w:rPr>
                <w:sz w:val="22"/>
              </w:rPr>
              <w:t xml:space="preserve"> in Section 9.1 </w:t>
            </w:r>
            <w:proofErr w:type="spellStart"/>
            <w:r>
              <w:rPr>
                <w:sz w:val="22"/>
              </w:rPr>
              <w:t>of</w:t>
            </w:r>
            <w:proofErr w:type="spellEnd"/>
            <w:r>
              <w:rPr>
                <w:sz w:val="22"/>
              </w:rPr>
              <w:t xml:space="preserve"> </w:t>
            </w:r>
            <w:proofErr w:type="spellStart"/>
            <w:r>
              <w:rPr>
                <w:sz w:val="22"/>
              </w:rPr>
              <w:t>Annex</w:t>
            </w:r>
            <w:proofErr w:type="spellEnd"/>
            <w:r>
              <w:rPr>
                <w:sz w:val="22"/>
              </w:rPr>
              <w:t xml:space="preserve"> VII.</w:t>
            </w:r>
          </w:p>
          <w:p w14:paraId="5DC0A388" w14:textId="77777777" w:rsidR="00E255F4" w:rsidRDefault="00000000">
            <w:pPr>
              <w:autoSpaceDE w:val="0"/>
            </w:pPr>
            <w:proofErr w:type="spellStart"/>
            <w:r>
              <w:rPr>
                <w:b/>
                <w:sz w:val="22"/>
                <w:szCs w:val="22"/>
                <w:lang w:val="es-ES"/>
              </w:rPr>
              <w:t>Timeframe</w:t>
            </w:r>
            <w:proofErr w:type="spellEnd"/>
            <w:r>
              <w:rPr>
                <w:b/>
                <w:sz w:val="22"/>
                <w:szCs w:val="22"/>
                <w:lang w:val="es-ES"/>
              </w:rPr>
              <w:t xml:space="preserve"> and plan </w:t>
            </w:r>
            <w:proofErr w:type="spellStart"/>
            <w:r>
              <w:rPr>
                <w:b/>
                <w:sz w:val="22"/>
                <w:szCs w:val="22"/>
                <w:lang w:val="es-ES"/>
              </w:rPr>
              <w:t>for</w:t>
            </w:r>
            <w:proofErr w:type="spellEnd"/>
            <w:r>
              <w:rPr>
                <w:b/>
                <w:sz w:val="22"/>
                <w:szCs w:val="22"/>
                <w:lang w:val="es-ES"/>
              </w:rPr>
              <w:t xml:space="preserve"> </w:t>
            </w:r>
            <w:proofErr w:type="spellStart"/>
            <w:r>
              <w:rPr>
                <w:b/>
                <w:sz w:val="22"/>
                <w:szCs w:val="22"/>
                <w:lang w:val="es-ES"/>
              </w:rPr>
              <w:t>delivery</w:t>
            </w:r>
            <w:proofErr w:type="spellEnd"/>
            <w:r>
              <w:rPr>
                <w:b/>
                <w:sz w:val="22"/>
                <w:szCs w:val="22"/>
                <w:lang w:val="es-ES"/>
              </w:rPr>
              <w:t xml:space="preserve"> and </w:t>
            </w:r>
            <w:proofErr w:type="spellStart"/>
            <w:r>
              <w:rPr>
                <w:b/>
                <w:sz w:val="22"/>
                <w:szCs w:val="22"/>
                <w:lang w:val="es-ES"/>
              </w:rPr>
              <w:t>provision</w:t>
            </w:r>
            <w:proofErr w:type="spellEnd"/>
            <w:r>
              <w:rPr>
                <w:b/>
                <w:sz w:val="22"/>
                <w:szCs w:val="22"/>
                <w:lang w:val="es-ES"/>
              </w:rPr>
              <w:t xml:space="preserve"> </w:t>
            </w:r>
            <w:proofErr w:type="spellStart"/>
            <w:r>
              <w:rPr>
                <w:b/>
                <w:sz w:val="22"/>
                <w:szCs w:val="22"/>
                <w:lang w:val="es-ES"/>
              </w:rPr>
              <w:t>of</w:t>
            </w:r>
            <w:proofErr w:type="spellEnd"/>
            <w:r>
              <w:rPr>
                <w:b/>
                <w:sz w:val="22"/>
                <w:szCs w:val="22"/>
                <w:lang w:val="es-ES"/>
              </w:rPr>
              <w:t xml:space="preserve"> </w:t>
            </w:r>
            <w:proofErr w:type="spellStart"/>
            <w:r>
              <w:rPr>
                <w:b/>
                <w:sz w:val="22"/>
                <w:szCs w:val="22"/>
                <w:lang w:val="es-ES"/>
              </w:rPr>
              <w:t>the</w:t>
            </w:r>
            <w:proofErr w:type="spellEnd"/>
            <w:r>
              <w:rPr>
                <w:b/>
                <w:sz w:val="22"/>
                <w:szCs w:val="22"/>
                <w:lang w:val="es-ES"/>
              </w:rPr>
              <w:t xml:space="preserve"> </w:t>
            </w:r>
            <w:proofErr w:type="spellStart"/>
            <w:r>
              <w:rPr>
                <w:b/>
                <w:sz w:val="22"/>
                <w:szCs w:val="22"/>
                <w:lang w:val="es-ES"/>
              </w:rPr>
              <w:t>service</w:t>
            </w:r>
            <w:r>
              <w:rPr>
                <w:sz w:val="22"/>
                <w:szCs w:val="22"/>
                <w:lang w:val="es-ES"/>
              </w:rPr>
              <w:t>These</w:t>
            </w:r>
            <w:proofErr w:type="spellEnd"/>
            <w:r>
              <w:rPr>
                <w:sz w:val="22"/>
                <w:szCs w:val="22"/>
                <w:lang w:val="es-ES"/>
              </w:rPr>
              <w:t xml:space="preserve"> are </w:t>
            </w:r>
            <w:proofErr w:type="spellStart"/>
            <w:r>
              <w:rPr>
                <w:sz w:val="22"/>
                <w:szCs w:val="22"/>
                <w:lang w:val="es-ES"/>
              </w:rPr>
              <w:t>those</w:t>
            </w:r>
            <w:proofErr w:type="spellEnd"/>
            <w:r>
              <w:rPr>
                <w:sz w:val="22"/>
                <w:szCs w:val="22"/>
                <w:lang w:val="es-ES"/>
              </w:rPr>
              <w:t xml:space="preserve"> </w:t>
            </w:r>
            <w:proofErr w:type="spellStart"/>
            <w:r>
              <w:rPr>
                <w:sz w:val="22"/>
                <w:szCs w:val="22"/>
                <w:lang w:val="es-ES"/>
              </w:rPr>
              <w:t>established</w:t>
            </w:r>
            <w:proofErr w:type="spellEnd"/>
            <w:r>
              <w:rPr>
                <w:sz w:val="22"/>
                <w:szCs w:val="22"/>
                <w:lang w:val="es-ES"/>
              </w:rPr>
              <w:t xml:space="preserve"> in </w:t>
            </w:r>
            <w:proofErr w:type="spellStart"/>
            <w:r>
              <w:rPr>
                <w:sz w:val="22"/>
                <w:szCs w:val="22"/>
                <w:lang w:val="es-ES"/>
              </w:rPr>
              <w:t>Article</w:t>
            </w:r>
            <w:proofErr w:type="spellEnd"/>
            <w:r>
              <w:rPr>
                <w:sz w:val="22"/>
                <w:szCs w:val="22"/>
                <w:lang w:val="es-ES"/>
              </w:rPr>
              <w:t xml:space="preserve"> 25 </w:t>
            </w:r>
            <w:proofErr w:type="spellStart"/>
            <w:r>
              <w:rPr>
                <w:sz w:val="22"/>
                <w:szCs w:val="22"/>
                <w:lang w:val="es-ES"/>
              </w:rPr>
              <w:t>of</w:t>
            </w:r>
            <w:proofErr w:type="spellEnd"/>
            <w:r>
              <w:rPr>
                <w:sz w:val="22"/>
                <w:szCs w:val="22"/>
                <w:lang w:val="es-ES"/>
              </w:rPr>
              <w:t xml:space="preserve"> </w:t>
            </w:r>
            <w:proofErr w:type="spellStart"/>
            <w:r>
              <w:rPr>
                <w:sz w:val="22"/>
                <w:szCs w:val="22"/>
                <w:lang w:val="es-ES"/>
              </w:rPr>
              <w:t>this</w:t>
            </w:r>
            <w:proofErr w:type="spellEnd"/>
            <w:r>
              <w:rPr>
                <w:sz w:val="22"/>
                <w:szCs w:val="22"/>
                <w:lang w:val="es-ES"/>
              </w:rPr>
              <w:t xml:space="preserve"> </w:t>
            </w:r>
            <w:proofErr w:type="spellStart"/>
            <w:r>
              <w:rPr>
                <w:sz w:val="22"/>
                <w:szCs w:val="22"/>
                <w:lang w:val="es-ES"/>
              </w:rPr>
              <w:t>document</w:t>
            </w:r>
            <w:proofErr w:type="spellEnd"/>
            <w:r>
              <w:rPr>
                <w:sz w:val="22"/>
                <w:szCs w:val="22"/>
                <w:lang w:val="es-ES"/>
              </w:rPr>
              <w:t>.</w:t>
            </w:r>
          </w:p>
          <w:p w14:paraId="424E734B" w14:textId="77777777" w:rsidR="00E255F4" w:rsidRDefault="00000000">
            <w:pPr>
              <w:tabs>
                <w:tab w:val="left" w:pos="7080"/>
              </w:tabs>
              <w:autoSpaceDE w:val="0"/>
              <w:rPr>
                <w:sz w:val="22"/>
                <w:szCs w:val="22"/>
                <w:lang w:val="es-ES"/>
              </w:rPr>
            </w:pPr>
            <w:r>
              <w:rPr>
                <w:sz w:val="22"/>
                <w:szCs w:val="22"/>
                <w:lang w:val="es-ES"/>
              </w:rPr>
              <w:tab/>
            </w:r>
          </w:p>
          <w:p w14:paraId="56A9EABF" w14:textId="77777777" w:rsidR="00E255F4" w:rsidRDefault="00000000">
            <w:pPr>
              <w:pStyle w:val="Textocomentario"/>
              <w:rPr>
                <w:rFonts w:eastAsia="Palatino Linotype"/>
                <w:i/>
                <w:spacing w:val="-1"/>
                <w:position w:val="1"/>
                <w:sz w:val="22"/>
                <w:lang w:val="es-ES"/>
              </w:rPr>
            </w:pPr>
            <w:r>
              <w:rPr>
                <w:b/>
                <w:sz w:val="22"/>
                <w:szCs w:val="22"/>
                <w:lang w:val="es-ES" w:eastAsia="en-US"/>
              </w:rPr>
              <w:t xml:space="preserve">Method </w:t>
            </w:r>
            <w:proofErr w:type="spellStart"/>
            <w:r>
              <w:rPr>
                <w:b/>
                <w:sz w:val="22"/>
                <w:szCs w:val="22"/>
                <w:lang w:val="es-ES" w:eastAsia="en-US"/>
              </w:rPr>
              <w:t>of</w:t>
            </w:r>
            <w:proofErr w:type="spellEnd"/>
            <w:r>
              <w:rPr>
                <w:b/>
                <w:sz w:val="22"/>
                <w:szCs w:val="22"/>
                <w:lang w:val="es-ES" w:eastAsia="en-US"/>
              </w:rPr>
              <w:t xml:space="preserve"> </w:t>
            </w:r>
            <w:proofErr w:type="spellStart"/>
            <w:r>
              <w:rPr>
                <w:b/>
                <w:sz w:val="22"/>
                <w:szCs w:val="22"/>
                <w:lang w:val="es-ES" w:eastAsia="en-US"/>
              </w:rPr>
              <w:t>payment</w:t>
            </w:r>
            <w:r>
              <w:rPr>
                <w:sz w:val="22"/>
                <w:szCs w:val="22"/>
                <w:lang w:val="es-ES" w:eastAsia="en-US"/>
              </w:rPr>
              <w:t>is</w:t>
            </w:r>
            <w:proofErr w:type="spellEnd"/>
            <w:r>
              <w:rPr>
                <w:sz w:val="22"/>
                <w:szCs w:val="22"/>
                <w:lang w:val="es-ES" w:eastAsia="en-US"/>
              </w:rPr>
              <w:t xml:space="preserve"> </w:t>
            </w:r>
            <w:proofErr w:type="spellStart"/>
            <w:r>
              <w:rPr>
                <w:sz w:val="22"/>
                <w:szCs w:val="22"/>
                <w:lang w:val="es-ES" w:eastAsia="en-US"/>
              </w:rPr>
              <w:t>that</w:t>
            </w:r>
            <w:proofErr w:type="spellEnd"/>
            <w:r>
              <w:rPr>
                <w:sz w:val="22"/>
                <w:szCs w:val="22"/>
                <w:lang w:val="es-ES" w:eastAsia="en-US"/>
              </w:rPr>
              <w:t xml:space="preserve"> </w:t>
            </w:r>
            <w:proofErr w:type="spellStart"/>
            <w:r>
              <w:rPr>
                <w:sz w:val="22"/>
                <w:szCs w:val="22"/>
                <w:lang w:val="es-ES" w:eastAsia="en-US"/>
              </w:rPr>
              <w:t>established</w:t>
            </w:r>
            <w:proofErr w:type="spellEnd"/>
            <w:r>
              <w:rPr>
                <w:sz w:val="22"/>
                <w:szCs w:val="22"/>
                <w:lang w:val="es-ES" w:eastAsia="en-US"/>
              </w:rPr>
              <w:t xml:space="preserve"> in </w:t>
            </w:r>
            <w:proofErr w:type="spellStart"/>
            <w:r>
              <w:rPr>
                <w:sz w:val="22"/>
                <w:szCs w:val="22"/>
                <w:lang w:val="es-ES" w:eastAsia="en-US"/>
              </w:rPr>
              <w:t>Article</w:t>
            </w:r>
            <w:proofErr w:type="spellEnd"/>
            <w:r>
              <w:rPr>
                <w:sz w:val="22"/>
                <w:szCs w:val="22"/>
                <w:lang w:val="es-ES" w:eastAsia="en-US"/>
              </w:rPr>
              <w:t xml:space="preserve"> 28 </w:t>
            </w:r>
            <w:proofErr w:type="spellStart"/>
            <w:r>
              <w:rPr>
                <w:sz w:val="22"/>
                <w:szCs w:val="22"/>
                <w:lang w:val="es-ES" w:eastAsia="en-US"/>
              </w:rPr>
              <w:t>of</w:t>
            </w:r>
            <w:proofErr w:type="spellEnd"/>
            <w:r>
              <w:rPr>
                <w:sz w:val="22"/>
                <w:szCs w:val="22"/>
                <w:lang w:val="es-ES" w:eastAsia="en-US"/>
              </w:rPr>
              <w:t xml:space="preserve"> </w:t>
            </w:r>
            <w:proofErr w:type="spellStart"/>
            <w:r>
              <w:rPr>
                <w:sz w:val="22"/>
                <w:szCs w:val="22"/>
                <w:lang w:val="es-ES" w:eastAsia="en-US"/>
              </w:rPr>
              <w:t>this</w:t>
            </w:r>
            <w:proofErr w:type="spellEnd"/>
            <w:r>
              <w:rPr>
                <w:sz w:val="22"/>
                <w:szCs w:val="22"/>
                <w:lang w:val="es-ES" w:eastAsia="en-US"/>
              </w:rPr>
              <w:t xml:space="preserve"> </w:t>
            </w:r>
            <w:proofErr w:type="spellStart"/>
            <w:r>
              <w:rPr>
                <w:sz w:val="22"/>
                <w:szCs w:val="22"/>
                <w:lang w:val="es-ES" w:eastAsia="en-US"/>
              </w:rPr>
              <w:t>document</w:t>
            </w:r>
            <w:proofErr w:type="spellEnd"/>
            <w:r>
              <w:rPr>
                <w:sz w:val="22"/>
                <w:szCs w:val="22"/>
                <w:lang w:val="es-ES" w:eastAsia="en-US"/>
              </w:rPr>
              <w:t>.</w:t>
            </w:r>
          </w:p>
        </w:tc>
      </w:tr>
      <w:tr w:rsidR="00E255F4" w14:paraId="5756AD31" w14:textId="77777777">
        <w:trPr>
          <w:trHeight w:val="549"/>
        </w:trPr>
        <w:tc>
          <w:tcPr>
            <w:tcW w:w="730" w:type="dxa"/>
            <w:tcBorders>
              <w:top w:val="single" w:sz="4" w:space="0" w:color="000000"/>
              <w:left w:val="single" w:sz="4" w:space="0" w:color="000000"/>
              <w:bottom w:val="single" w:sz="4" w:space="0" w:color="000000"/>
              <w:right w:val="single" w:sz="4" w:space="0" w:color="000000"/>
            </w:tcBorders>
          </w:tcPr>
          <w:p w14:paraId="371011AC" w14:textId="77777777" w:rsidR="00E255F4" w:rsidRDefault="00000000">
            <w:pPr>
              <w:ind w:right="-36"/>
              <w:rPr>
                <w:rFonts w:eastAsia="Palatino Linotype"/>
                <w:b/>
                <w:sz w:val="22"/>
                <w:szCs w:val="24"/>
                <w:lang w:val="es-ES"/>
              </w:rPr>
            </w:pPr>
            <w:r>
              <w:rPr>
                <w:rFonts w:eastAsia="Palatino Linotype"/>
                <w:b/>
                <w:sz w:val="22"/>
                <w:szCs w:val="22"/>
                <w:lang w:val="es-ES"/>
              </w:rPr>
              <w:lastRenderedPageBreak/>
              <w:t>10.3</w:t>
            </w:r>
          </w:p>
        </w:tc>
        <w:tc>
          <w:tcPr>
            <w:tcW w:w="9048" w:type="dxa"/>
            <w:tcBorders>
              <w:top w:val="single" w:sz="4" w:space="0" w:color="000000"/>
              <w:left w:val="single" w:sz="4" w:space="0" w:color="000000"/>
              <w:bottom w:val="single" w:sz="4" w:space="0" w:color="000000"/>
              <w:right w:val="single" w:sz="4" w:space="0" w:color="000000"/>
            </w:tcBorders>
          </w:tcPr>
          <w:p w14:paraId="7E82B44B" w14:textId="77777777" w:rsidR="00E255F4" w:rsidRDefault="00000000">
            <w:pPr>
              <w:pStyle w:val="Prrafodelista"/>
              <w:spacing w:line="360" w:lineRule="auto"/>
              <w:ind w:left="0" w:right="258"/>
              <w:jc w:val="both"/>
              <w:rPr>
                <w:b/>
                <w:sz w:val="22"/>
                <w:szCs w:val="22"/>
                <w:lang w:val="es-ES_tradnl" w:eastAsia="en-US"/>
              </w:rPr>
            </w:pPr>
            <w:r>
              <w:rPr>
                <w:b/>
                <w:sz w:val="22"/>
                <w:szCs w:val="22"/>
                <w:lang w:val="es-ES_tradnl" w:eastAsia="en-US"/>
              </w:rPr>
              <w:t xml:space="preserve">Price and </w:t>
            </w:r>
            <w:proofErr w:type="spellStart"/>
            <w:r>
              <w:rPr>
                <w:b/>
                <w:sz w:val="22"/>
                <w:szCs w:val="22"/>
                <w:lang w:val="es-ES_tradnl" w:eastAsia="en-US"/>
              </w:rPr>
              <w:t>quotation</w:t>
            </w:r>
            <w:proofErr w:type="spellEnd"/>
          </w:p>
          <w:p w14:paraId="774BA604" w14:textId="77777777" w:rsidR="00E255F4" w:rsidRDefault="00000000">
            <w:pPr>
              <w:pStyle w:val="Prrafodelista"/>
              <w:spacing w:line="360" w:lineRule="auto"/>
              <w:ind w:left="0" w:right="258"/>
              <w:jc w:val="both"/>
              <w:rPr>
                <w:sz w:val="22"/>
                <w:szCs w:val="22"/>
                <w:lang w:val="es-ES_tradnl" w:eastAsia="en-US"/>
              </w:rPr>
            </w:pPr>
            <w:proofErr w:type="spellStart"/>
            <w:r>
              <w:rPr>
                <w:sz w:val="22"/>
                <w:szCs w:val="22"/>
                <w:lang w:val="es-ES_tradnl" w:eastAsia="en-US"/>
              </w:rPr>
              <w:t>It</w:t>
            </w:r>
            <w:proofErr w:type="spellEnd"/>
            <w:r>
              <w:rPr>
                <w:sz w:val="22"/>
                <w:szCs w:val="22"/>
                <w:lang w:val="es-ES_tradnl" w:eastAsia="en-US"/>
              </w:rPr>
              <w:t xml:space="preserve"> </w:t>
            </w:r>
            <w:proofErr w:type="spellStart"/>
            <w:r>
              <w:rPr>
                <w:sz w:val="22"/>
                <w:szCs w:val="22"/>
                <w:lang w:val="es-ES_tradnl" w:eastAsia="en-US"/>
              </w:rPr>
              <w:t>is</w:t>
            </w:r>
            <w:proofErr w:type="spellEnd"/>
            <w:r>
              <w:rPr>
                <w:sz w:val="22"/>
                <w:szCs w:val="22"/>
                <w:lang w:val="es-ES_tradnl" w:eastAsia="en-US"/>
              </w:rPr>
              <w:t xml:space="preserve"> </w:t>
            </w:r>
            <w:proofErr w:type="spellStart"/>
            <w:r>
              <w:rPr>
                <w:sz w:val="22"/>
                <w:szCs w:val="22"/>
                <w:lang w:val="es-ES_tradnl" w:eastAsia="en-US"/>
              </w:rPr>
              <w:t>added</w:t>
            </w:r>
            <w:proofErr w:type="spellEnd"/>
            <w:r>
              <w:rPr>
                <w:sz w:val="22"/>
                <w:szCs w:val="22"/>
                <w:lang w:val="es-ES_tradnl" w:eastAsia="en-US"/>
              </w:rPr>
              <w:t>:</w:t>
            </w:r>
          </w:p>
          <w:p w14:paraId="2C2CE290" w14:textId="77777777" w:rsidR="00E255F4" w:rsidRDefault="00E255F4">
            <w:pPr>
              <w:pStyle w:val="Prrafodelista"/>
              <w:spacing w:line="360" w:lineRule="auto"/>
              <w:ind w:left="0" w:right="258"/>
              <w:jc w:val="both"/>
              <w:rPr>
                <w:sz w:val="22"/>
                <w:szCs w:val="22"/>
                <w:lang w:val="es-ES_tradnl" w:eastAsia="en-US"/>
              </w:rPr>
            </w:pPr>
          </w:p>
          <w:p w14:paraId="50FC7292" w14:textId="77777777" w:rsidR="00E255F4" w:rsidRDefault="00000000">
            <w:pPr>
              <w:pStyle w:val="Prrafodelista"/>
              <w:spacing w:line="360" w:lineRule="auto"/>
              <w:ind w:left="0" w:right="258"/>
              <w:jc w:val="both"/>
              <w:rPr>
                <w:sz w:val="22"/>
                <w:szCs w:val="22"/>
                <w:lang w:val="es-ES_tradnl" w:eastAsia="en-US"/>
              </w:rPr>
            </w:pPr>
            <w:proofErr w:type="spellStart"/>
            <w:r>
              <w:rPr>
                <w:b/>
                <w:sz w:val="22"/>
                <w:szCs w:val="22"/>
                <w:lang w:val="es-ES_tradnl" w:eastAsia="en-US"/>
              </w:rPr>
              <w:t>Quotation</w:t>
            </w:r>
            <w:proofErr w:type="spellEnd"/>
            <w:r>
              <w:rPr>
                <w:b/>
                <w:sz w:val="22"/>
                <w:szCs w:val="22"/>
                <w:lang w:val="es-ES_tradnl" w:eastAsia="en-US"/>
              </w:rPr>
              <w:t xml:space="preserve"> </w:t>
            </w:r>
            <w:proofErr w:type="spellStart"/>
            <w:r>
              <w:rPr>
                <w:b/>
                <w:sz w:val="22"/>
                <w:szCs w:val="22"/>
                <w:lang w:val="es-ES_tradnl" w:eastAsia="en-US"/>
              </w:rPr>
              <w:t>method</w:t>
            </w:r>
            <w:proofErr w:type="spellEnd"/>
            <w:r>
              <w:rPr>
                <w:sz w:val="22"/>
                <w:szCs w:val="22"/>
                <w:lang w:val="es-ES_tradnl" w:eastAsia="en-US"/>
              </w:rPr>
              <w:t>:</w:t>
            </w:r>
          </w:p>
          <w:p w14:paraId="7FC43715" w14:textId="77777777" w:rsidR="00E255F4" w:rsidRDefault="00000000">
            <w:pPr>
              <w:pStyle w:val="Prrafodelista"/>
              <w:spacing w:after="120"/>
              <w:ind w:left="0"/>
              <w:jc w:val="both"/>
              <w:rPr>
                <w:sz w:val="22"/>
                <w:szCs w:val="22"/>
                <w:lang w:val="es-CO" w:eastAsia="en-US"/>
              </w:rPr>
            </w:pPr>
            <w:proofErr w:type="spellStart"/>
            <w:r>
              <w:rPr>
                <w:sz w:val="22"/>
                <w:szCs w:val="22"/>
                <w:lang w:val="es-CO" w:eastAsia="en-US"/>
              </w:rPr>
              <w:t>This</w:t>
            </w:r>
            <w:proofErr w:type="spellEnd"/>
            <w:r>
              <w:rPr>
                <w:sz w:val="22"/>
                <w:szCs w:val="22"/>
                <w:lang w:val="es-CO" w:eastAsia="en-US"/>
              </w:rPr>
              <w:t xml:space="preserve"> tender </w:t>
            </w:r>
            <w:proofErr w:type="spellStart"/>
            <w:r>
              <w:rPr>
                <w:sz w:val="22"/>
                <w:szCs w:val="22"/>
                <w:lang w:val="es-CO" w:eastAsia="en-US"/>
              </w:rPr>
              <w:t>consists</w:t>
            </w:r>
            <w:proofErr w:type="spellEnd"/>
            <w:r>
              <w:rPr>
                <w:sz w:val="22"/>
                <w:szCs w:val="22"/>
                <w:lang w:val="es-CO" w:eastAsia="en-US"/>
              </w:rPr>
              <w:t xml:space="preserve"> </w:t>
            </w:r>
            <w:proofErr w:type="spellStart"/>
            <w:r>
              <w:rPr>
                <w:sz w:val="22"/>
                <w:szCs w:val="22"/>
                <w:lang w:val="es-CO" w:eastAsia="en-US"/>
              </w:rPr>
              <w:t>of</w:t>
            </w:r>
            <w:proofErr w:type="spellEnd"/>
            <w:r>
              <w:rPr>
                <w:sz w:val="22"/>
                <w:szCs w:val="22"/>
                <w:lang w:val="es-CO" w:eastAsia="en-US"/>
              </w:rPr>
              <w:t xml:space="preserve"> 1 (</w:t>
            </w:r>
            <w:proofErr w:type="spellStart"/>
            <w:r>
              <w:rPr>
                <w:sz w:val="22"/>
                <w:szCs w:val="22"/>
                <w:lang w:val="es-CO" w:eastAsia="en-US"/>
              </w:rPr>
              <w:t>one</w:t>
            </w:r>
            <w:proofErr w:type="spellEnd"/>
            <w:r>
              <w:rPr>
                <w:sz w:val="22"/>
                <w:szCs w:val="22"/>
                <w:lang w:val="es-CO" w:eastAsia="en-US"/>
              </w:rPr>
              <w:t xml:space="preserve">) </w:t>
            </w:r>
            <w:proofErr w:type="spellStart"/>
            <w:r>
              <w:rPr>
                <w:sz w:val="22"/>
                <w:szCs w:val="22"/>
                <w:lang w:val="es-CO" w:eastAsia="en-US"/>
              </w:rPr>
              <w:t>lot</w:t>
            </w:r>
            <w:proofErr w:type="spellEnd"/>
            <w:r>
              <w:rPr>
                <w:sz w:val="22"/>
                <w:szCs w:val="22"/>
                <w:lang w:val="es-CO" w:eastAsia="en-US"/>
              </w:rPr>
              <w:t xml:space="preserve"> </w:t>
            </w:r>
            <w:proofErr w:type="spellStart"/>
            <w:r>
              <w:rPr>
                <w:sz w:val="22"/>
                <w:szCs w:val="22"/>
                <w:lang w:val="es-CO" w:eastAsia="en-US"/>
              </w:rPr>
              <w:t>made</w:t>
            </w:r>
            <w:proofErr w:type="spellEnd"/>
            <w:r>
              <w:rPr>
                <w:sz w:val="22"/>
                <w:szCs w:val="22"/>
                <w:lang w:val="es-CO" w:eastAsia="en-US"/>
              </w:rPr>
              <w:t xml:space="preserve"> up </w:t>
            </w:r>
            <w:proofErr w:type="spellStart"/>
            <w:r>
              <w:rPr>
                <w:sz w:val="22"/>
                <w:szCs w:val="22"/>
                <w:lang w:val="es-CO" w:eastAsia="en-US"/>
              </w:rPr>
              <w:t>of</w:t>
            </w:r>
            <w:proofErr w:type="spellEnd"/>
            <w:r>
              <w:rPr>
                <w:sz w:val="22"/>
                <w:szCs w:val="22"/>
                <w:lang w:val="es-CO" w:eastAsia="en-US"/>
              </w:rPr>
              <w:t xml:space="preserve"> 6 </w:t>
            </w:r>
            <w:proofErr w:type="spellStart"/>
            <w:r>
              <w:rPr>
                <w:sz w:val="22"/>
                <w:szCs w:val="22"/>
                <w:lang w:val="es-CO" w:eastAsia="en-US"/>
              </w:rPr>
              <w:t>items</w:t>
            </w:r>
            <w:proofErr w:type="spellEnd"/>
            <w:r>
              <w:rPr>
                <w:sz w:val="22"/>
                <w:szCs w:val="22"/>
                <w:lang w:val="es-CO" w:eastAsia="en-US"/>
              </w:rPr>
              <w:t>.</w:t>
            </w:r>
          </w:p>
          <w:p w14:paraId="25821DFC" w14:textId="77777777" w:rsidR="00E255F4" w:rsidRDefault="00000000">
            <w:pPr>
              <w:pStyle w:val="Prrafodelista"/>
              <w:spacing w:before="120" w:after="120"/>
              <w:ind w:left="0"/>
              <w:jc w:val="both"/>
              <w:rPr>
                <w:sz w:val="22"/>
                <w:szCs w:val="22"/>
                <w:lang w:val="es-CO" w:eastAsia="en-US"/>
              </w:rPr>
            </w:pPr>
            <w:proofErr w:type="spellStart"/>
            <w:r>
              <w:rPr>
                <w:sz w:val="22"/>
                <w:szCs w:val="22"/>
                <w:lang w:val="es-CO" w:eastAsia="en-US"/>
              </w:rPr>
              <w:t>Partial</w:t>
            </w:r>
            <w:proofErr w:type="spellEnd"/>
            <w:r>
              <w:rPr>
                <w:sz w:val="22"/>
                <w:szCs w:val="22"/>
                <w:lang w:val="es-CO" w:eastAsia="en-US"/>
              </w:rPr>
              <w:t xml:space="preserve"> </w:t>
            </w:r>
            <w:proofErr w:type="spellStart"/>
            <w:r>
              <w:rPr>
                <w:sz w:val="22"/>
                <w:szCs w:val="22"/>
                <w:lang w:val="es-CO" w:eastAsia="en-US"/>
              </w:rPr>
              <w:t>bids</w:t>
            </w:r>
            <w:proofErr w:type="spellEnd"/>
            <w:r>
              <w:rPr>
                <w:sz w:val="22"/>
                <w:szCs w:val="22"/>
                <w:lang w:val="es-CO" w:eastAsia="en-US"/>
              </w:rPr>
              <w:t xml:space="preserve"> </w:t>
            </w:r>
            <w:proofErr w:type="spellStart"/>
            <w:r>
              <w:rPr>
                <w:sz w:val="22"/>
                <w:szCs w:val="22"/>
                <w:lang w:val="es-CO" w:eastAsia="en-US"/>
              </w:rPr>
              <w:t>will</w:t>
            </w:r>
            <w:proofErr w:type="spellEnd"/>
            <w:r>
              <w:rPr>
                <w:sz w:val="22"/>
                <w:szCs w:val="22"/>
                <w:lang w:val="es-CO" w:eastAsia="en-US"/>
              </w:rPr>
              <w:t xml:space="preserve"> </w:t>
            </w:r>
            <w:proofErr w:type="spellStart"/>
            <w:r>
              <w:rPr>
                <w:sz w:val="22"/>
                <w:szCs w:val="22"/>
                <w:lang w:val="es-CO" w:eastAsia="en-US"/>
              </w:rPr>
              <w:t>not</w:t>
            </w:r>
            <w:proofErr w:type="spellEnd"/>
            <w:r>
              <w:rPr>
                <w:sz w:val="22"/>
                <w:szCs w:val="22"/>
                <w:lang w:val="es-CO" w:eastAsia="en-US"/>
              </w:rPr>
              <w:t xml:space="preserve"> be </w:t>
            </w:r>
            <w:proofErr w:type="spellStart"/>
            <w:r>
              <w:rPr>
                <w:sz w:val="22"/>
                <w:szCs w:val="22"/>
                <w:lang w:val="es-CO" w:eastAsia="en-US"/>
              </w:rPr>
              <w:t>accepted</w:t>
            </w:r>
            <w:proofErr w:type="spellEnd"/>
            <w:r>
              <w:rPr>
                <w:sz w:val="22"/>
                <w:szCs w:val="22"/>
                <w:lang w:val="es-CO" w:eastAsia="en-US"/>
              </w:rPr>
              <w:t xml:space="preserve">; </w:t>
            </w:r>
            <w:proofErr w:type="spellStart"/>
            <w:r>
              <w:rPr>
                <w:sz w:val="22"/>
                <w:szCs w:val="22"/>
                <w:lang w:val="es-CO" w:eastAsia="en-US"/>
              </w:rPr>
              <w:t>bids</w:t>
            </w:r>
            <w:proofErr w:type="spellEnd"/>
            <w:r>
              <w:rPr>
                <w:sz w:val="22"/>
                <w:szCs w:val="22"/>
                <w:lang w:val="es-CO" w:eastAsia="en-US"/>
              </w:rPr>
              <w:t xml:space="preserve"> </w:t>
            </w:r>
            <w:proofErr w:type="spellStart"/>
            <w:r>
              <w:rPr>
                <w:sz w:val="22"/>
                <w:szCs w:val="22"/>
                <w:lang w:val="es-CO" w:eastAsia="en-US"/>
              </w:rPr>
              <w:t>must</w:t>
            </w:r>
            <w:proofErr w:type="spellEnd"/>
            <w:r>
              <w:rPr>
                <w:sz w:val="22"/>
                <w:szCs w:val="22"/>
                <w:lang w:val="es-CO" w:eastAsia="en-US"/>
              </w:rPr>
              <w:t xml:space="preserve"> </w:t>
            </w:r>
            <w:proofErr w:type="spellStart"/>
            <w:r>
              <w:rPr>
                <w:sz w:val="22"/>
                <w:szCs w:val="22"/>
                <w:lang w:val="es-CO" w:eastAsia="en-US"/>
              </w:rPr>
              <w:t>include</w:t>
            </w:r>
            <w:proofErr w:type="spellEnd"/>
            <w:r>
              <w:rPr>
                <w:sz w:val="22"/>
                <w:szCs w:val="22"/>
                <w:lang w:val="es-CO" w:eastAsia="en-US"/>
              </w:rPr>
              <w:t xml:space="preserve"> 100% </w:t>
            </w:r>
            <w:proofErr w:type="spellStart"/>
            <w:r>
              <w:rPr>
                <w:sz w:val="22"/>
                <w:szCs w:val="22"/>
                <w:lang w:val="es-CO" w:eastAsia="en-US"/>
              </w:rPr>
              <w:t>of</w:t>
            </w:r>
            <w:proofErr w:type="spellEnd"/>
            <w:r>
              <w:rPr>
                <w:sz w:val="22"/>
                <w:szCs w:val="22"/>
                <w:lang w:val="es-CO" w:eastAsia="en-US"/>
              </w:rPr>
              <w:t xml:space="preserve"> </w:t>
            </w:r>
            <w:proofErr w:type="spellStart"/>
            <w:r>
              <w:rPr>
                <w:sz w:val="22"/>
                <w:szCs w:val="22"/>
                <w:lang w:val="es-CO" w:eastAsia="en-US"/>
              </w:rPr>
              <w:t>the</w:t>
            </w:r>
            <w:proofErr w:type="spellEnd"/>
            <w:r>
              <w:rPr>
                <w:sz w:val="22"/>
                <w:szCs w:val="22"/>
                <w:lang w:val="es-CO" w:eastAsia="en-US"/>
              </w:rPr>
              <w:t xml:space="preserve"> </w:t>
            </w:r>
            <w:proofErr w:type="spellStart"/>
            <w:r>
              <w:rPr>
                <w:sz w:val="22"/>
                <w:szCs w:val="22"/>
                <w:lang w:val="es-CO" w:eastAsia="en-US"/>
              </w:rPr>
              <w:t>items</w:t>
            </w:r>
            <w:proofErr w:type="spellEnd"/>
            <w:r>
              <w:rPr>
                <w:sz w:val="22"/>
                <w:szCs w:val="22"/>
                <w:lang w:val="es-CO" w:eastAsia="en-US"/>
              </w:rPr>
              <w:t xml:space="preserve"> </w:t>
            </w:r>
            <w:proofErr w:type="spellStart"/>
            <w:r>
              <w:rPr>
                <w:sz w:val="22"/>
                <w:szCs w:val="22"/>
                <w:lang w:val="es-CO" w:eastAsia="en-US"/>
              </w:rPr>
              <w:t>comprising</w:t>
            </w:r>
            <w:proofErr w:type="spellEnd"/>
            <w:r>
              <w:rPr>
                <w:sz w:val="22"/>
                <w:szCs w:val="22"/>
                <w:lang w:val="es-CO" w:eastAsia="en-US"/>
              </w:rPr>
              <w:t xml:space="preserve"> </w:t>
            </w:r>
            <w:proofErr w:type="spellStart"/>
            <w:r>
              <w:rPr>
                <w:sz w:val="22"/>
                <w:szCs w:val="22"/>
                <w:lang w:val="es-CO" w:eastAsia="en-US"/>
              </w:rPr>
              <w:t>the</w:t>
            </w:r>
            <w:proofErr w:type="spellEnd"/>
            <w:r>
              <w:rPr>
                <w:sz w:val="22"/>
                <w:szCs w:val="22"/>
                <w:lang w:val="es-CO" w:eastAsia="en-US"/>
              </w:rPr>
              <w:t xml:space="preserve"> Lot and 100% </w:t>
            </w:r>
            <w:proofErr w:type="spellStart"/>
            <w:r>
              <w:rPr>
                <w:sz w:val="22"/>
                <w:szCs w:val="22"/>
                <w:lang w:val="es-CO" w:eastAsia="en-US"/>
              </w:rPr>
              <w:t>of</w:t>
            </w:r>
            <w:proofErr w:type="spellEnd"/>
            <w:r>
              <w:rPr>
                <w:sz w:val="22"/>
                <w:szCs w:val="22"/>
                <w:lang w:val="es-CO" w:eastAsia="en-US"/>
              </w:rPr>
              <w:t xml:space="preserve"> </w:t>
            </w:r>
            <w:proofErr w:type="spellStart"/>
            <w:r>
              <w:rPr>
                <w:sz w:val="22"/>
                <w:szCs w:val="22"/>
                <w:lang w:val="es-CO" w:eastAsia="en-US"/>
              </w:rPr>
              <w:t>the</w:t>
            </w:r>
            <w:proofErr w:type="spellEnd"/>
            <w:r>
              <w:rPr>
                <w:sz w:val="22"/>
                <w:szCs w:val="22"/>
                <w:lang w:val="es-CO" w:eastAsia="en-US"/>
              </w:rPr>
              <w:t xml:space="preserve"> </w:t>
            </w:r>
            <w:proofErr w:type="spellStart"/>
            <w:r>
              <w:rPr>
                <w:sz w:val="22"/>
                <w:szCs w:val="22"/>
                <w:lang w:val="es-CO" w:eastAsia="en-US"/>
              </w:rPr>
              <w:t>quantities</w:t>
            </w:r>
            <w:proofErr w:type="spellEnd"/>
            <w:r>
              <w:rPr>
                <w:sz w:val="22"/>
                <w:szCs w:val="22"/>
                <w:lang w:val="es-CO" w:eastAsia="en-US"/>
              </w:rPr>
              <w:t xml:space="preserve"> </w:t>
            </w:r>
            <w:proofErr w:type="spellStart"/>
            <w:r>
              <w:rPr>
                <w:sz w:val="22"/>
                <w:szCs w:val="22"/>
                <w:lang w:val="es-CO" w:eastAsia="en-US"/>
              </w:rPr>
              <w:t>indicated</w:t>
            </w:r>
            <w:proofErr w:type="spellEnd"/>
            <w:r>
              <w:rPr>
                <w:sz w:val="22"/>
                <w:szCs w:val="22"/>
                <w:lang w:val="es-CO" w:eastAsia="en-US"/>
              </w:rPr>
              <w:t xml:space="preserve"> </w:t>
            </w:r>
            <w:proofErr w:type="spellStart"/>
            <w:r>
              <w:rPr>
                <w:sz w:val="22"/>
                <w:szCs w:val="22"/>
                <w:lang w:val="es-CO" w:eastAsia="en-US"/>
              </w:rPr>
              <w:t>for</w:t>
            </w:r>
            <w:proofErr w:type="spellEnd"/>
            <w:r>
              <w:rPr>
                <w:sz w:val="22"/>
                <w:szCs w:val="22"/>
                <w:lang w:val="es-CO" w:eastAsia="en-US"/>
              </w:rPr>
              <w:t xml:space="preserve"> </w:t>
            </w:r>
            <w:proofErr w:type="spellStart"/>
            <w:r>
              <w:rPr>
                <w:sz w:val="22"/>
                <w:szCs w:val="22"/>
                <w:lang w:val="es-CO" w:eastAsia="en-US"/>
              </w:rPr>
              <w:t>each</w:t>
            </w:r>
            <w:proofErr w:type="spellEnd"/>
            <w:r>
              <w:rPr>
                <w:sz w:val="22"/>
                <w:szCs w:val="22"/>
                <w:lang w:val="es-CO" w:eastAsia="en-US"/>
              </w:rPr>
              <w:t xml:space="preserve"> </w:t>
            </w:r>
            <w:proofErr w:type="spellStart"/>
            <w:r>
              <w:rPr>
                <w:sz w:val="22"/>
                <w:szCs w:val="22"/>
                <w:lang w:val="es-CO" w:eastAsia="en-US"/>
              </w:rPr>
              <w:t>item</w:t>
            </w:r>
            <w:proofErr w:type="spellEnd"/>
            <w:r>
              <w:rPr>
                <w:sz w:val="22"/>
                <w:szCs w:val="22"/>
                <w:lang w:val="es-CO" w:eastAsia="en-US"/>
              </w:rPr>
              <w:t xml:space="preserve"> in </w:t>
            </w:r>
            <w:proofErr w:type="spellStart"/>
            <w:r>
              <w:rPr>
                <w:sz w:val="22"/>
                <w:szCs w:val="22"/>
                <w:lang w:val="es-CO" w:eastAsia="en-US"/>
              </w:rPr>
              <w:t>the</w:t>
            </w:r>
            <w:proofErr w:type="spellEnd"/>
            <w:r>
              <w:rPr>
                <w:sz w:val="22"/>
                <w:szCs w:val="22"/>
                <w:lang w:val="es-CO" w:eastAsia="en-US"/>
              </w:rPr>
              <w:t xml:space="preserve"> </w:t>
            </w:r>
            <w:proofErr w:type="spellStart"/>
            <w:r>
              <w:rPr>
                <w:sz w:val="22"/>
                <w:szCs w:val="22"/>
                <w:lang w:val="es-CO" w:eastAsia="en-US"/>
              </w:rPr>
              <w:t>Quantity</w:t>
            </w:r>
            <w:proofErr w:type="spellEnd"/>
            <w:r>
              <w:rPr>
                <w:sz w:val="22"/>
                <w:szCs w:val="22"/>
                <w:lang w:val="es-CO" w:eastAsia="en-US"/>
              </w:rPr>
              <w:t xml:space="preserve"> and Price </w:t>
            </w:r>
            <w:proofErr w:type="spellStart"/>
            <w:r>
              <w:rPr>
                <w:sz w:val="22"/>
                <w:szCs w:val="22"/>
                <w:lang w:val="es-CO" w:eastAsia="en-US"/>
              </w:rPr>
              <w:t>Schedules</w:t>
            </w:r>
            <w:proofErr w:type="spellEnd"/>
            <w:r>
              <w:rPr>
                <w:sz w:val="22"/>
                <w:szCs w:val="22"/>
                <w:lang w:val="es-CO" w:eastAsia="en-US"/>
              </w:rPr>
              <w:t xml:space="preserve"> (</w:t>
            </w:r>
            <w:proofErr w:type="spellStart"/>
            <w:r>
              <w:rPr>
                <w:sz w:val="22"/>
                <w:szCs w:val="22"/>
                <w:lang w:val="es-CO" w:eastAsia="en-US"/>
              </w:rPr>
              <w:t>Annex</w:t>
            </w:r>
            <w:proofErr w:type="spellEnd"/>
            <w:r>
              <w:rPr>
                <w:sz w:val="22"/>
                <w:szCs w:val="22"/>
                <w:lang w:val="es-CO" w:eastAsia="en-US"/>
              </w:rPr>
              <w:t xml:space="preserve"> V). </w:t>
            </w:r>
            <w:proofErr w:type="spellStart"/>
            <w:r>
              <w:rPr>
                <w:sz w:val="22"/>
                <w:szCs w:val="22"/>
                <w:lang w:val="es-CO" w:eastAsia="en-US"/>
              </w:rPr>
              <w:t>If</w:t>
            </w:r>
            <w:proofErr w:type="spellEnd"/>
            <w:r>
              <w:rPr>
                <w:sz w:val="22"/>
                <w:szCs w:val="22"/>
                <w:lang w:val="es-CO" w:eastAsia="en-US"/>
              </w:rPr>
              <w:t xml:space="preserve"> a </w:t>
            </w:r>
            <w:proofErr w:type="spellStart"/>
            <w:r>
              <w:rPr>
                <w:sz w:val="22"/>
                <w:szCs w:val="22"/>
                <w:lang w:val="es-CO" w:eastAsia="en-US"/>
              </w:rPr>
              <w:t>bid</w:t>
            </w:r>
            <w:proofErr w:type="spellEnd"/>
            <w:r>
              <w:rPr>
                <w:sz w:val="22"/>
                <w:szCs w:val="22"/>
                <w:lang w:val="es-CO" w:eastAsia="en-US"/>
              </w:rPr>
              <w:t xml:space="preserve"> </w:t>
            </w:r>
            <w:proofErr w:type="spellStart"/>
            <w:r>
              <w:rPr>
                <w:sz w:val="22"/>
                <w:szCs w:val="22"/>
                <w:lang w:val="es-CO" w:eastAsia="en-US"/>
              </w:rPr>
              <w:t>does</w:t>
            </w:r>
            <w:proofErr w:type="spellEnd"/>
            <w:r>
              <w:rPr>
                <w:sz w:val="22"/>
                <w:szCs w:val="22"/>
                <w:lang w:val="es-CO" w:eastAsia="en-US"/>
              </w:rPr>
              <w:t xml:space="preserve"> </w:t>
            </w:r>
            <w:proofErr w:type="spellStart"/>
            <w:r>
              <w:rPr>
                <w:sz w:val="22"/>
                <w:szCs w:val="22"/>
                <w:lang w:val="es-CO" w:eastAsia="en-US"/>
              </w:rPr>
              <w:lastRenderedPageBreak/>
              <w:t>not</w:t>
            </w:r>
            <w:proofErr w:type="spellEnd"/>
            <w:r>
              <w:rPr>
                <w:sz w:val="22"/>
                <w:szCs w:val="22"/>
                <w:lang w:val="es-CO" w:eastAsia="en-US"/>
              </w:rPr>
              <w:t xml:space="preserve"> warrant </w:t>
            </w:r>
            <w:proofErr w:type="spellStart"/>
            <w:r>
              <w:rPr>
                <w:sz w:val="22"/>
                <w:szCs w:val="22"/>
                <w:lang w:val="es-CO" w:eastAsia="en-US"/>
              </w:rPr>
              <w:t>quoting</w:t>
            </w:r>
            <w:proofErr w:type="spellEnd"/>
            <w:r>
              <w:rPr>
                <w:sz w:val="22"/>
                <w:szCs w:val="22"/>
                <w:lang w:val="es-CO" w:eastAsia="en-US"/>
              </w:rPr>
              <w:t xml:space="preserve"> </w:t>
            </w:r>
            <w:proofErr w:type="spellStart"/>
            <w:r>
              <w:rPr>
                <w:sz w:val="22"/>
                <w:szCs w:val="22"/>
                <w:lang w:val="es-CO" w:eastAsia="en-US"/>
              </w:rPr>
              <w:t>for</w:t>
            </w:r>
            <w:proofErr w:type="spellEnd"/>
            <w:r>
              <w:rPr>
                <w:sz w:val="22"/>
                <w:szCs w:val="22"/>
                <w:lang w:val="es-CO" w:eastAsia="en-US"/>
              </w:rPr>
              <w:t xml:space="preserve"> </w:t>
            </w:r>
            <w:proofErr w:type="spellStart"/>
            <w:r>
              <w:rPr>
                <w:sz w:val="22"/>
                <w:szCs w:val="22"/>
                <w:lang w:val="es-CO" w:eastAsia="en-US"/>
              </w:rPr>
              <w:t>an</w:t>
            </w:r>
            <w:proofErr w:type="spellEnd"/>
            <w:r>
              <w:rPr>
                <w:sz w:val="22"/>
                <w:szCs w:val="22"/>
                <w:lang w:val="es-CO" w:eastAsia="en-US"/>
              </w:rPr>
              <w:t xml:space="preserve"> </w:t>
            </w:r>
            <w:proofErr w:type="spellStart"/>
            <w:r>
              <w:rPr>
                <w:sz w:val="22"/>
                <w:szCs w:val="22"/>
                <w:lang w:val="es-CO" w:eastAsia="en-US"/>
              </w:rPr>
              <w:t>item</w:t>
            </w:r>
            <w:proofErr w:type="spellEnd"/>
            <w:r>
              <w:rPr>
                <w:sz w:val="22"/>
                <w:szCs w:val="22"/>
                <w:lang w:val="es-CO" w:eastAsia="en-US"/>
              </w:rPr>
              <w:t xml:space="preserve"> </w:t>
            </w:r>
            <w:proofErr w:type="spellStart"/>
            <w:r>
              <w:rPr>
                <w:sz w:val="22"/>
                <w:szCs w:val="22"/>
                <w:lang w:val="es-CO" w:eastAsia="en-US"/>
              </w:rPr>
              <w:t>due</w:t>
            </w:r>
            <w:proofErr w:type="spellEnd"/>
            <w:r>
              <w:rPr>
                <w:sz w:val="22"/>
                <w:szCs w:val="22"/>
                <w:lang w:val="es-CO" w:eastAsia="en-US"/>
              </w:rPr>
              <w:t xml:space="preserve"> </w:t>
            </w:r>
            <w:proofErr w:type="spellStart"/>
            <w:r>
              <w:rPr>
                <w:sz w:val="22"/>
                <w:szCs w:val="22"/>
                <w:lang w:val="es-CO" w:eastAsia="en-US"/>
              </w:rPr>
              <w:t>to</w:t>
            </w:r>
            <w:proofErr w:type="spellEnd"/>
            <w:r>
              <w:rPr>
                <w:sz w:val="22"/>
                <w:szCs w:val="22"/>
                <w:lang w:val="es-CO" w:eastAsia="en-US"/>
              </w:rPr>
              <w:t xml:space="preserve"> </w:t>
            </w:r>
            <w:proofErr w:type="spellStart"/>
            <w:r>
              <w:rPr>
                <w:sz w:val="22"/>
                <w:szCs w:val="22"/>
                <w:lang w:val="es-CO" w:eastAsia="en-US"/>
              </w:rPr>
              <w:t>the</w:t>
            </w:r>
            <w:proofErr w:type="spellEnd"/>
            <w:r>
              <w:rPr>
                <w:sz w:val="22"/>
                <w:szCs w:val="22"/>
                <w:lang w:val="es-CO" w:eastAsia="en-US"/>
              </w:rPr>
              <w:t xml:space="preserve"> </w:t>
            </w:r>
            <w:proofErr w:type="spellStart"/>
            <w:r>
              <w:rPr>
                <w:sz w:val="22"/>
                <w:szCs w:val="22"/>
                <w:lang w:val="es-CO" w:eastAsia="en-US"/>
              </w:rPr>
              <w:t>technology</w:t>
            </w:r>
            <w:proofErr w:type="spellEnd"/>
            <w:r>
              <w:rPr>
                <w:sz w:val="22"/>
                <w:szCs w:val="22"/>
                <w:lang w:val="es-CO" w:eastAsia="en-US"/>
              </w:rPr>
              <w:t xml:space="preserve"> </w:t>
            </w:r>
            <w:proofErr w:type="spellStart"/>
            <w:r>
              <w:rPr>
                <w:sz w:val="22"/>
                <w:szCs w:val="22"/>
                <w:lang w:val="es-CO" w:eastAsia="en-US"/>
              </w:rPr>
              <w:t>offered</w:t>
            </w:r>
            <w:proofErr w:type="spellEnd"/>
            <w:r>
              <w:rPr>
                <w:sz w:val="22"/>
                <w:szCs w:val="22"/>
                <w:lang w:val="es-CO" w:eastAsia="en-US"/>
              </w:rPr>
              <w:t xml:space="preserve">, </w:t>
            </w:r>
            <w:proofErr w:type="spellStart"/>
            <w:r>
              <w:rPr>
                <w:sz w:val="22"/>
                <w:szCs w:val="22"/>
                <w:lang w:val="es-CO" w:eastAsia="en-US"/>
              </w:rPr>
              <w:t>this</w:t>
            </w:r>
            <w:proofErr w:type="spellEnd"/>
            <w:r>
              <w:rPr>
                <w:sz w:val="22"/>
                <w:szCs w:val="22"/>
                <w:lang w:val="es-CO" w:eastAsia="en-US"/>
              </w:rPr>
              <w:t xml:space="preserve"> </w:t>
            </w:r>
            <w:proofErr w:type="spellStart"/>
            <w:r>
              <w:rPr>
                <w:sz w:val="22"/>
                <w:szCs w:val="22"/>
                <w:lang w:val="es-CO" w:eastAsia="en-US"/>
              </w:rPr>
              <w:t>must</w:t>
            </w:r>
            <w:proofErr w:type="spellEnd"/>
            <w:r>
              <w:rPr>
                <w:sz w:val="22"/>
                <w:szCs w:val="22"/>
                <w:lang w:val="es-CO" w:eastAsia="en-US"/>
              </w:rPr>
              <w:t xml:space="preserve"> be </w:t>
            </w:r>
            <w:proofErr w:type="spellStart"/>
            <w:r>
              <w:rPr>
                <w:sz w:val="22"/>
                <w:szCs w:val="22"/>
                <w:lang w:val="es-CO" w:eastAsia="en-US"/>
              </w:rPr>
              <w:t>indicated</w:t>
            </w:r>
            <w:proofErr w:type="spellEnd"/>
            <w:r>
              <w:rPr>
                <w:sz w:val="22"/>
                <w:szCs w:val="22"/>
                <w:lang w:val="es-CO" w:eastAsia="en-US"/>
              </w:rPr>
              <w:t xml:space="preserve"> </w:t>
            </w:r>
            <w:proofErr w:type="spellStart"/>
            <w:r>
              <w:rPr>
                <w:sz w:val="22"/>
                <w:szCs w:val="22"/>
                <w:lang w:val="es-CO" w:eastAsia="en-US"/>
              </w:rPr>
              <w:t>by</w:t>
            </w:r>
            <w:proofErr w:type="spellEnd"/>
            <w:r>
              <w:rPr>
                <w:sz w:val="22"/>
                <w:szCs w:val="22"/>
                <w:lang w:val="es-CO" w:eastAsia="en-US"/>
              </w:rPr>
              <w:t xml:space="preserve"> </w:t>
            </w:r>
            <w:proofErr w:type="spellStart"/>
            <w:r>
              <w:rPr>
                <w:sz w:val="22"/>
                <w:szCs w:val="22"/>
                <w:lang w:val="es-CO" w:eastAsia="en-US"/>
              </w:rPr>
              <w:t>quoting</w:t>
            </w:r>
            <w:proofErr w:type="spellEnd"/>
            <w:r>
              <w:rPr>
                <w:sz w:val="22"/>
                <w:szCs w:val="22"/>
                <w:lang w:val="es-CO" w:eastAsia="en-US"/>
              </w:rPr>
              <w:t xml:space="preserve"> a </w:t>
            </w:r>
            <w:proofErr w:type="spellStart"/>
            <w:r>
              <w:rPr>
                <w:sz w:val="22"/>
                <w:szCs w:val="22"/>
                <w:lang w:val="es-CO" w:eastAsia="en-US"/>
              </w:rPr>
              <w:t>value</w:t>
            </w:r>
            <w:proofErr w:type="spellEnd"/>
            <w:r>
              <w:rPr>
                <w:sz w:val="22"/>
                <w:szCs w:val="22"/>
                <w:lang w:val="es-CO" w:eastAsia="en-US"/>
              </w:rPr>
              <w:t xml:space="preserve"> </w:t>
            </w:r>
            <w:proofErr w:type="spellStart"/>
            <w:r>
              <w:rPr>
                <w:sz w:val="22"/>
                <w:szCs w:val="22"/>
                <w:lang w:val="es-CO" w:eastAsia="en-US"/>
              </w:rPr>
              <w:t>of</w:t>
            </w:r>
            <w:proofErr w:type="spellEnd"/>
            <w:r>
              <w:rPr>
                <w:sz w:val="22"/>
                <w:szCs w:val="22"/>
                <w:lang w:val="es-CO" w:eastAsia="en-US"/>
              </w:rPr>
              <w:t xml:space="preserve"> 0 (</w:t>
            </w:r>
            <w:proofErr w:type="spellStart"/>
            <w:r>
              <w:rPr>
                <w:sz w:val="22"/>
                <w:szCs w:val="22"/>
                <w:lang w:val="es-CO" w:eastAsia="en-US"/>
              </w:rPr>
              <w:t>zero</w:t>
            </w:r>
            <w:proofErr w:type="spellEnd"/>
            <w:r>
              <w:rPr>
                <w:sz w:val="22"/>
                <w:szCs w:val="22"/>
                <w:lang w:val="es-CO" w:eastAsia="en-US"/>
              </w:rPr>
              <w:t xml:space="preserve">) </w:t>
            </w:r>
            <w:proofErr w:type="spellStart"/>
            <w:r>
              <w:rPr>
                <w:sz w:val="22"/>
                <w:szCs w:val="22"/>
                <w:lang w:val="es-CO" w:eastAsia="en-US"/>
              </w:rPr>
              <w:t>for</w:t>
            </w:r>
            <w:proofErr w:type="spellEnd"/>
            <w:r>
              <w:rPr>
                <w:sz w:val="22"/>
                <w:szCs w:val="22"/>
                <w:lang w:val="es-CO" w:eastAsia="en-US"/>
              </w:rPr>
              <w:t xml:space="preserve"> </w:t>
            </w:r>
            <w:proofErr w:type="spellStart"/>
            <w:r>
              <w:rPr>
                <w:sz w:val="22"/>
                <w:szCs w:val="22"/>
                <w:lang w:val="es-CO" w:eastAsia="en-US"/>
              </w:rPr>
              <w:t>that</w:t>
            </w:r>
            <w:proofErr w:type="spellEnd"/>
            <w:r>
              <w:rPr>
                <w:sz w:val="22"/>
                <w:szCs w:val="22"/>
                <w:lang w:val="es-CO" w:eastAsia="en-US"/>
              </w:rPr>
              <w:t xml:space="preserve"> </w:t>
            </w:r>
            <w:proofErr w:type="spellStart"/>
            <w:r>
              <w:rPr>
                <w:sz w:val="22"/>
                <w:szCs w:val="22"/>
                <w:lang w:val="es-CO" w:eastAsia="en-US"/>
              </w:rPr>
              <w:t>item</w:t>
            </w:r>
            <w:proofErr w:type="spellEnd"/>
            <w:r>
              <w:rPr>
                <w:sz w:val="22"/>
                <w:szCs w:val="22"/>
                <w:lang w:val="es-CO" w:eastAsia="en-US"/>
              </w:rPr>
              <w:t>.</w:t>
            </w:r>
          </w:p>
          <w:p w14:paraId="0BC5220B" w14:textId="77777777" w:rsidR="00E255F4" w:rsidRDefault="00000000">
            <w:pPr>
              <w:pStyle w:val="Prrafodelista"/>
              <w:spacing w:after="120"/>
              <w:ind w:left="0" w:right="255"/>
              <w:jc w:val="both"/>
              <w:rPr>
                <w:rFonts w:eastAsia="Palatino Linotype"/>
                <w:b/>
                <w:position w:val="1"/>
                <w:sz w:val="22"/>
                <w:szCs w:val="22"/>
                <w:lang w:val="es-CO" w:eastAsia="en-US"/>
              </w:rPr>
            </w:pPr>
            <w:proofErr w:type="spellStart"/>
            <w:r>
              <w:rPr>
                <w:rFonts w:eastAsia="Palatino Linotype"/>
                <w:b/>
                <w:position w:val="1"/>
                <w:sz w:val="22"/>
                <w:szCs w:val="22"/>
                <w:lang w:val="es-CO" w:eastAsia="en-US"/>
              </w:rPr>
              <w:t>Clarifications</w:t>
            </w:r>
            <w:proofErr w:type="spellEnd"/>
          </w:p>
          <w:p w14:paraId="24B7BD24" w14:textId="77777777" w:rsidR="00E255F4" w:rsidRDefault="00000000">
            <w:pPr>
              <w:pStyle w:val="Prrafodelista"/>
              <w:numPr>
                <w:ilvl w:val="0"/>
                <w:numId w:val="32"/>
              </w:numPr>
              <w:spacing w:after="120"/>
              <w:ind w:left="422" w:right="255" w:hanging="283"/>
              <w:jc w:val="both"/>
              <w:rPr>
                <w:rFonts w:eastAsia="Palatino Linotype"/>
                <w:b/>
                <w:position w:val="1"/>
                <w:sz w:val="22"/>
                <w:szCs w:val="22"/>
                <w:lang w:val="es-CO" w:eastAsia="en-US"/>
              </w:rPr>
            </w:pPr>
            <w:r>
              <w:rPr>
                <w:rFonts w:eastAsia="Palatino Linotype"/>
                <w:position w:val="1"/>
                <w:sz w:val="22"/>
                <w:szCs w:val="22"/>
                <w:lang w:val="es-CO" w:eastAsia="en-US"/>
              </w:rPr>
              <w:t>In Section 1</w:t>
            </w:r>
            <w:r>
              <w:rPr>
                <w:sz w:val="22"/>
                <w:lang w:val="es-ES" w:eastAsia="en-US"/>
              </w:rPr>
              <w:t xml:space="preserve">From </w:t>
            </w:r>
            <w:proofErr w:type="spellStart"/>
            <w:r>
              <w:rPr>
                <w:sz w:val="22"/>
                <w:lang w:val="es-ES" w:eastAsia="en-US"/>
              </w:rPr>
              <w:t>the</w:t>
            </w:r>
            <w:proofErr w:type="spellEnd"/>
            <w:r>
              <w:rPr>
                <w:sz w:val="22"/>
                <w:lang w:val="es-ES" w:eastAsia="en-US"/>
              </w:rPr>
              <w:t xml:space="preserve"> Schedule </w:t>
            </w:r>
            <w:proofErr w:type="spellStart"/>
            <w:r>
              <w:rPr>
                <w:sz w:val="22"/>
                <w:lang w:val="es-ES" w:eastAsia="en-US"/>
              </w:rPr>
              <w:t>of</w:t>
            </w:r>
            <w:proofErr w:type="spellEnd"/>
            <w:r>
              <w:rPr>
                <w:sz w:val="22"/>
                <w:lang w:val="es-ES" w:eastAsia="en-US"/>
              </w:rPr>
              <w:t xml:space="preserve"> </w:t>
            </w:r>
            <w:proofErr w:type="spellStart"/>
            <w:r>
              <w:rPr>
                <w:sz w:val="22"/>
                <w:lang w:val="es-ES" w:eastAsia="en-US"/>
              </w:rPr>
              <w:t>Quantities</w:t>
            </w:r>
            <w:proofErr w:type="spellEnd"/>
            <w:r>
              <w:rPr>
                <w:sz w:val="22"/>
                <w:lang w:val="es-ES" w:eastAsia="en-US"/>
              </w:rPr>
              <w:t xml:space="preserve"> and </w:t>
            </w:r>
            <w:proofErr w:type="spellStart"/>
            <w:r>
              <w:rPr>
                <w:sz w:val="22"/>
                <w:lang w:val="es-ES" w:eastAsia="en-US"/>
              </w:rPr>
              <w:t>Prices</w:t>
            </w:r>
            <w:proofErr w:type="spellEnd"/>
            <w:r>
              <w:rPr>
                <w:sz w:val="22"/>
                <w:lang w:val="es-ES" w:eastAsia="en-US"/>
              </w:rPr>
              <w:t xml:space="preserve"> (</w:t>
            </w:r>
            <w:proofErr w:type="spellStart"/>
            <w:r>
              <w:rPr>
                <w:sz w:val="22"/>
                <w:lang w:val="es-ES" w:eastAsia="en-US"/>
              </w:rPr>
              <w:t>Annex</w:t>
            </w:r>
            <w:proofErr w:type="spellEnd"/>
            <w:r>
              <w:rPr>
                <w:sz w:val="22"/>
                <w:lang w:val="es-ES" w:eastAsia="en-US"/>
              </w:rPr>
              <w:t xml:space="preserve"> V a1) </w:t>
            </w:r>
            <w:proofErr w:type="spellStart"/>
            <w:r>
              <w:rPr>
                <w:sz w:val="22"/>
                <w:lang w:val="es-ES" w:eastAsia="en-US"/>
              </w:rPr>
              <w:t>or</w:t>
            </w:r>
            <w:proofErr w:type="spellEnd"/>
            <w:r>
              <w:rPr>
                <w:sz w:val="22"/>
                <w:lang w:val="es-ES" w:eastAsia="en-US"/>
              </w:rPr>
              <w:t xml:space="preserve"> V a2)) </w:t>
            </w:r>
            <w:proofErr w:type="spellStart"/>
            <w:r>
              <w:rPr>
                <w:sz w:val="22"/>
                <w:lang w:val="es-ES" w:eastAsia="en-US"/>
              </w:rPr>
              <w:t>integrated</w:t>
            </w:r>
            <w:proofErr w:type="spellEnd"/>
            <w:r>
              <w:rPr>
                <w:sz w:val="22"/>
                <w:lang w:val="es-ES" w:eastAsia="en-US"/>
              </w:rPr>
              <w:t xml:space="preserve"> </w:t>
            </w:r>
            <w:proofErr w:type="spellStart"/>
            <w:r>
              <w:rPr>
                <w:sz w:val="22"/>
                <w:lang w:val="es-ES" w:eastAsia="en-US"/>
              </w:rPr>
              <w:t>intelligent</w:t>
            </w:r>
            <w:proofErr w:type="spellEnd"/>
            <w:r>
              <w:rPr>
                <w:sz w:val="22"/>
                <w:lang w:val="es-ES" w:eastAsia="en-US"/>
              </w:rPr>
              <w:t xml:space="preserve"> </w:t>
            </w:r>
            <w:proofErr w:type="spellStart"/>
            <w:r>
              <w:rPr>
                <w:sz w:val="22"/>
                <w:lang w:val="es-ES" w:eastAsia="en-US"/>
              </w:rPr>
              <w:t>drinking</w:t>
            </w:r>
            <w:proofErr w:type="spellEnd"/>
            <w:r>
              <w:rPr>
                <w:sz w:val="22"/>
                <w:lang w:val="es-ES" w:eastAsia="en-US"/>
              </w:rPr>
              <w:t xml:space="preserve"> </w:t>
            </w:r>
            <w:proofErr w:type="spellStart"/>
            <w:r>
              <w:rPr>
                <w:sz w:val="22"/>
                <w:lang w:val="es-ES" w:eastAsia="en-US"/>
              </w:rPr>
              <w:t>water</w:t>
            </w:r>
            <w:proofErr w:type="spellEnd"/>
            <w:r>
              <w:rPr>
                <w:sz w:val="22"/>
                <w:lang w:val="es-ES" w:eastAsia="en-US"/>
              </w:rPr>
              <w:t xml:space="preserve"> </w:t>
            </w:r>
            <w:proofErr w:type="spellStart"/>
            <w:r>
              <w:rPr>
                <w:sz w:val="22"/>
                <w:lang w:val="es-ES" w:eastAsia="en-US"/>
              </w:rPr>
              <w:t>meters</w:t>
            </w:r>
            <w:proofErr w:type="spellEnd"/>
            <w:r>
              <w:rPr>
                <w:sz w:val="22"/>
                <w:lang w:val="es-ES" w:eastAsia="en-US"/>
              </w:rPr>
              <w:t xml:space="preserve"> </w:t>
            </w:r>
            <w:proofErr w:type="spellStart"/>
            <w:r>
              <w:rPr>
                <w:sz w:val="22"/>
                <w:lang w:val="es-ES" w:eastAsia="en-US"/>
              </w:rPr>
              <w:t>will</w:t>
            </w:r>
            <w:proofErr w:type="spellEnd"/>
            <w:r>
              <w:rPr>
                <w:sz w:val="22"/>
                <w:lang w:val="es-ES" w:eastAsia="en-US"/>
              </w:rPr>
              <w:t xml:space="preserve"> be </w:t>
            </w:r>
            <w:proofErr w:type="spellStart"/>
            <w:r>
              <w:rPr>
                <w:sz w:val="22"/>
                <w:lang w:val="es-ES" w:eastAsia="en-US"/>
              </w:rPr>
              <w:t>quoted</w:t>
            </w:r>
            <w:proofErr w:type="spellEnd"/>
            <w:r>
              <w:rPr>
                <w:sz w:val="22"/>
                <w:lang w:val="es-ES" w:eastAsia="en-US"/>
              </w:rPr>
              <w:t xml:space="preserve">, </w:t>
            </w:r>
            <w:proofErr w:type="spellStart"/>
            <w:r>
              <w:rPr>
                <w:sz w:val="22"/>
                <w:lang w:val="es-ES" w:eastAsia="en-US"/>
              </w:rPr>
              <w:t>that</w:t>
            </w:r>
            <w:proofErr w:type="spellEnd"/>
            <w:r>
              <w:rPr>
                <w:sz w:val="22"/>
                <w:lang w:val="es-ES" w:eastAsia="en-US"/>
              </w:rPr>
              <w:t xml:space="preserve"> </w:t>
            </w:r>
            <w:proofErr w:type="spellStart"/>
            <w:r>
              <w:rPr>
                <w:sz w:val="22"/>
                <w:lang w:val="es-ES" w:eastAsia="en-US"/>
              </w:rPr>
              <w:t>is</w:t>
            </w:r>
            <w:proofErr w:type="spellEnd"/>
            <w:r>
              <w:rPr>
                <w:sz w:val="22"/>
                <w:lang w:val="es-ES" w:eastAsia="en-US"/>
              </w:rPr>
              <w:t xml:space="preserve">, </w:t>
            </w:r>
            <w:proofErr w:type="spellStart"/>
            <w:r>
              <w:rPr>
                <w:sz w:val="22"/>
                <w:lang w:val="es-ES" w:eastAsia="en-US"/>
              </w:rPr>
              <w:t>only</w:t>
            </w:r>
            <w:proofErr w:type="spellEnd"/>
            <w:r>
              <w:rPr>
                <w:sz w:val="22"/>
                <w:lang w:val="es-ES" w:eastAsia="en-US"/>
              </w:rPr>
              <w:t xml:space="preserve"> </w:t>
            </w:r>
            <w:proofErr w:type="spellStart"/>
            <w:r>
              <w:rPr>
                <w:sz w:val="22"/>
                <w:lang w:val="es-ES" w:eastAsia="en-US"/>
              </w:rPr>
              <w:t>offers</w:t>
            </w:r>
            <w:proofErr w:type="spellEnd"/>
            <w:r>
              <w:rPr>
                <w:sz w:val="22"/>
                <w:lang w:val="es-ES" w:eastAsia="en-US"/>
              </w:rPr>
              <w:t xml:space="preserve"> </w:t>
            </w:r>
            <w:proofErr w:type="spellStart"/>
            <w:r>
              <w:rPr>
                <w:sz w:val="22"/>
                <w:lang w:val="es-ES" w:eastAsia="en-US"/>
              </w:rPr>
              <w:t>of</w:t>
            </w:r>
            <w:proofErr w:type="spellEnd"/>
            <w:r>
              <w:rPr>
                <w:sz w:val="22"/>
                <w:lang w:val="es-ES" w:eastAsia="en-US"/>
              </w:rPr>
              <w:t xml:space="preserve"> </w:t>
            </w:r>
            <w:proofErr w:type="spellStart"/>
            <w:r>
              <w:rPr>
                <w:sz w:val="22"/>
                <w:lang w:val="es-ES" w:eastAsia="en-US"/>
              </w:rPr>
              <w:t>drinking</w:t>
            </w:r>
            <w:proofErr w:type="spellEnd"/>
            <w:r>
              <w:rPr>
                <w:sz w:val="22"/>
                <w:lang w:val="es-ES" w:eastAsia="en-US"/>
              </w:rPr>
              <w:t xml:space="preserve"> </w:t>
            </w:r>
            <w:proofErr w:type="spellStart"/>
            <w:r>
              <w:rPr>
                <w:sz w:val="22"/>
                <w:lang w:val="es-ES" w:eastAsia="en-US"/>
              </w:rPr>
              <w:t>water</w:t>
            </w:r>
            <w:proofErr w:type="spellEnd"/>
            <w:r>
              <w:rPr>
                <w:sz w:val="22"/>
                <w:lang w:val="es-ES" w:eastAsia="en-US"/>
              </w:rPr>
              <w:t xml:space="preserve"> </w:t>
            </w:r>
            <w:proofErr w:type="spellStart"/>
            <w:r>
              <w:rPr>
                <w:sz w:val="22"/>
                <w:lang w:val="es-ES" w:eastAsia="en-US"/>
              </w:rPr>
              <w:t>meters</w:t>
            </w:r>
            <w:proofErr w:type="spellEnd"/>
            <w:r>
              <w:rPr>
                <w:sz w:val="22"/>
                <w:lang w:val="es-ES" w:eastAsia="en-US"/>
              </w:rPr>
              <w:t xml:space="preserve"> </w:t>
            </w:r>
            <w:proofErr w:type="spellStart"/>
            <w:r>
              <w:rPr>
                <w:sz w:val="22"/>
                <w:lang w:val="es-ES" w:eastAsia="en-US"/>
              </w:rPr>
              <w:t>that</w:t>
            </w:r>
            <w:proofErr w:type="spellEnd"/>
            <w:r>
              <w:rPr>
                <w:sz w:val="22"/>
                <w:lang w:val="es-ES" w:eastAsia="en-US"/>
              </w:rPr>
              <w:t xml:space="preserve"> are </w:t>
            </w:r>
            <w:proofErr w:type="spellStart"/>
            <w:r>
              <w:rPr>
                <w:sz w:val="22"/>
                <w:lang w:val="es-ES" w:eastAsia="en-US"/>
              </w:rPr>
              <w:t>integrated</w:t>
            </w:r>
            <w:proofErr w:type="spellEnd"/>
            <w:r>
              <w:rPr>
                <w:sz w:val="22"/>
                <w:lang w:val="es-ES" w:eastAsia="en-US"/>
              </w:rPr>
              <w:t xml:space="preserve"> </w:t>
            </w:r>
            <w:proofErr w:type="spellStart"/>
            <w:r>
              <w:rPr>
                <w:sz w:val="22"/>
                <w:lang w:val="es-ES" w:eastAsia="en-US"/>
              </w:rPr>
              <w:t>with</w:t>
            </w:r>
            <w:proofErr w:type="spellEnd"/>
            <w:r>
              <w:rPr>
                <w:sz w:val="22"/>
                <w:lang w:val="es-ES" w:eastAsia="en-US"/>
              </w:rPr>
              <w:t xml:space="preserve"> </w:t>
            </w:r>
            <w:proofErr w:type="spellStart"/>
            <w:r>
              <w:rPr>
                <w:sz w:val="22"/>
                <w:lang w:val="es-ES" w:eastAsia="en-US"/>
              </w:rPr>
              <w:t>the</w:t>
            </w:r>
            <w:proofErr w:type="spellEnd"/>
            <w:r>
              <w:rPr>
                <w:sz w:val="22"/>
                <w:lang w:val="es-ES" w:eastAsia="en-US"/>
              </w:rPr>
              <w:t xml:space="preserve"> </w:t>
            </w:r>
            <w:proofErr w:type="spellStart"/>
            <w:r>
              <w:rPr>
                <w:sz w:val="22"/>
                <w:lang w:val="es-ES" w:eastAsia="en-US"/>
              </w:rPr>
              <w:t>telemetry</w:t>
            </w:r>
            <w:proofErr w:type="spellEnd"/>
            <w:r>
              <w:rPr>
                <w:sz w:val="22"/>
                <w:lang w:val="es-ES" w:eastAsia="en-US"/>
              </w:rPr>
              <w:t xml:space="preserve"> </w:t>
            </w:r>
            <w:proofErr w:type="spellStart"/>
            <w:r>
              <w:rPr>
                <w:sz w:val="22"/>
                <w:lang w:val="es-ES" w:eastAsia="en-US"/>
              </w:rPr>
              <w:t>devices</w:t>
            </w:r>
            <w:proofErr w:type="spellEnd"/>
            <w:r>
              <w:rPr>
                <w:sz w:val="22"/>
                <w:lang w:val="es-ES" w:eastAsia="en-US"/>
              </w:rPr>
              <w:t xml:space="preserve"> in a </w:t>
            </w:r>
            <w:proofErr w:type="gramStart"/>
            <w:r>
              <w:rPr>
                <w:sz w:val="22"/>
                <w:lang w:val="es-ES" w:eastAsia="en-US"/>
              </w:rPr>
              <w:t>single</w:t>
            </w:r>
            <w:proofErr w:type="gramEnd"/>
            <w:r>
              <w:rPr>
                <w:sz w:val="22"/>
                <w:lang w:val="es-ES" w:eastAsia="en-US"/>
              </w:rPr>
              <w:t xml:space="preserve"> </w:t>
            </w:r>
            <w:proofErr w:type="spellStart"/>
            <w:r>
              <w:rPr>
                <w:sz w:val="22"/>
                <w:lang w:val="es-ES" w:eastAsia="en-US"/>
              </w:rPr>
              <w:t>body</w:t>
            </w:r>
            <w:proofErr w:type="spellEnd"/>
            <w:r>
              <w:rPr>
                <w:sz w:val="22"/>
                <w:lang w:val="es-ES" w:eastAsia="en-US"/>
              </w:rPr>
              <w:t xml:space="preserve"> </w:t>
            </w:r>
            <w:proofErr w:type="spellStart"/>
            <w:r>
              <w:rPr>
                <w:sz w:val="22"/>
                <w:lang w:val="es-ES" w:eastAsia="en-US"/>
              </w:rPr>
              <w:t>with</w:t>
            </w:r>
            <w:proofErr w:type="spellEnd"/>
            <w:r>
              <w:rPr>
                <w:sz w:val="22"/>
                <w:lang w:val="es-ES" w:eastAsia="en-US"/>
              </w:rPr>
              <w:t xml:space="preserve"> </w:t>
            </w:r>
            <w:proofErr w:type="spellStart"/>
            <w:r>
              <w:rPr>
                <w:sz w:val="22"/>
                <w:lang w:val="es-ES" w:eastAsia="en-US"/>
              </w:rPr>
              <w:t>the</w:t>
            </w:r>
            <w:proofErr w:type="spellEnd"/>
            <w:r>
              <w:rPr>
                <w:sz w:val="22"/>
                <w:lang w:val="es-ES" w:eastAsia="en-US"/>
              </w:rPr>
              <w:t xml:space="preserve"> meter </w:t>
            </w:r>
            <w:proofErr w:type="spellStart"/>
            <w:r>
              <w:rPr>
                <w:sz w:val="22"/>
                <w:lang w:val="es-ES" w:eastAsia="en-US"/>
              </w:rPr>
              <w:t>will</w:t>
            </w:r>
            <w:proofErr w:type="spellEnd"/>
            <w:r>
              <w:rPr>
                <w:sz w:val="22"/>
                <w:lang w:val="es-ES" w:eastAsia="en-US"/>
              </w:rPr>
              <w:t xml:space="preserve"> be </w:t>
            </w:r>
            <w:proofErr w:type="spellStart"/>
            <w:r>
              <w:rPr>
                <w:sz w:val="22"/>
                <w:lang w:val="es-ES" w:eastAsia="en-US"/>
              </w:rPr>
              <w:t>accepted</w:t>
            </w:r>
            <w:proofErr w:type="spellEnd"/>
          </w:p>
          <w:p w14:paraId="37DFC9F2" w14:textId="77777777" w:rsidR="00E255F4" w:rsidRDefault="00000000">
            <w:pPr>
              <w:pStyle w:val="Prrafodelista"/>
              <w:numPr>
                <w:ilvl w:val="0"/>
                <w:numId w:val="32"/>
              </w:numPr>
              <w:spacing w:after="120"/>
              <w:ind w:left="422" w:right="255" w:hanging="283"/>
              <w:jc w:val="both"/>
              <w:rPr>
                <w:sz w:val="22"/>
                <w:lang w:val="es-ES" w:eastAsia="en-US"/>
              </w:rPr>
            </w:pPr>
            <w:proofErr w:type="spellStart"/>
            <w:r>
              <w:rPr>
                <w:sz w:val="22"/>
                <w:lang w:val="es-ES" w:eastAsia="en-US"/>
              </w:rPr>
              <w:t>Item</w:t>
            </w:r>
            <w:proofErr w:type="spellEnd"/>
            <w:r>
              <w:rPr>
                <w:sz w:val="22"/>
                <w:lang w:val="es-ES" w:eastAsia="en-US"/>
              </w:rPr>
              <w:t xml:space="preserve"> 2 </w:t>
            </w:r>
            <w:proofErr w:type="spellStart"/>
            <w:r>
              <w:rPr>
                <w:sz w:val="22"/>
                <w:lang w:val="es-ES" w:eastAsia="en-US"/>
              </w:rPr>
              <w:t>of</w:t>
            </w:r>
            <w:proofErr w:type="spellEnd"/>
            <w:r>
              <w:rPr>
                <w:sz w:val="22"/>
                <w:lang w:val="es-ES" w:eastAsia="en-US"/>
              </w:rPr>
              <w:t xml:space="preserve"> </w:t>
            </w:r>
            <w:proofErr w:type="spellStart"/>
            <w:r>
              <w:rPr>
                <w:sz w:val="22"/>
                <w:lang w:val="es-ES" w:eastAsia="en-US"/>
              </w:rPr>
              <w:t>the</w:t>
            </w:r>
            <w:proofErr w:type="spellEnd"/>
            <w:r>
              <w:rPr>
                <w:sz w:val="22"/>
                <w:lang w:val="es-ES" w:eastAsia="en-US"/>
              </w:rPr>
              <w:t xml:space="preserve"> Bill </w:t>
            </w:r>
            <w:proofErr w:type="spellStart"/>
            <w:r>
              <w:rPr>
                <w:sz w:val="22"/>
                <w:lang w:val="es-ES" w:eastAsia="en-US"/>
              </w:rPr>
              <w:t>of</w:t>
            </w:r>
            <w:proofErr w:type="spellEnd"/>
            <w:r>
              <w:rPr>
                <w:sz w:val="22"/>
                <w:lang w:val="es-ES" w:eastAsia="en-US"/>
              </w:rPr>
              <w:t xml:space="preserve"> </w:t>
            </w:r>
            <w:proofErr w:type="spellStart"/>
            <w:r>
              <w:rPr>
                <w:sz w:val="22"/>
                <w:lang w:val="es-ES" w:eastAsia="en-US"/>
              </w:rPr>
              <w:t>Quantities</w:t>
            </w:r>
            <w:proofErr w:type="spellEnd"/>
            <w:r>
              <w:rPr>
                <w:sz w:val="22"/>
                <w:lang w:val="es-ES" w:eastAsia="en-US"/>
              </w:rPr>
              <w:t xml:space="preserve"> and </w:t>
            </w:r>
            <w:proofErr w:type="spellStart"/>
            <w:r>
              <w:rPr>
                <w:sz w:val="22"/>
                <w:lang w:val="es-ES" w:eastAsia="en-US"/>
              </w:rPr>
              <w:t>Prices</w:t>
            </w:r>
            <w:proofErr w:type="spellEnd"/>
            <w:r>
              <w:rPr>
                <w:sz w:val="22"/>
                <w:lang w:val="es-ES" w:eastAsia="en-US"/>
              </w:rPr>
              <w:t xml:space="preserve"> - </w:t>
            </w:r>
            <w:proofErr w:type="spellStart"/>
            <w:r>
              <w:rPr>
                <w:sz w:val="22"/>
                <w:lang w:val="es-ES" w:eastAsia="en-US"/>
              </w:rPr>
              <w:t>Annex</w:t>
            </w:r>
            <w:proofErr w:type="spellEnd"/>
            <w:r>
              <w:rPr>
                <w:sz w:val="22"/>
                <w:lang w:val="es-ES" w:eastAsia="en-US"/>
              </w:rPr>
              <w:t xml:space="preserve"> V b), </w:t>
            </w:r>
            <w:proofErr w:type="spellStart"/>
            <w:r>
              <w:rPr>
                <w:sz w:val="22"/>
                <w:lang w:val="es-ES" w:eastAsia="en-US"/>
              </w:rPr>
              <w:t>will</w:t>
            </w:r>
            <w:proofErr w:type="spellEnd"/>
            <w:r>
              <w:rPr>
                <w:sz w:val="22"/>
                <w:lang w:val="es-ES" w:eastAsia="en-US"/>
              </w:rPr>
              <w:t xml:space="preserve"> </w:t>
            </w:r>
            <w:proofErr w:type="spellStart"/>
            <w:r>
              <w:rPr>
                <w:sz w:val="22"/>
                <w:lang w:val="es-ES" w:eastAsia="en-US"/>
              </w:rPr>
              <w:t>quote</w:t>
            </w:r>
            <w:proofErr w:type="spellEnd"/>
            <w:r>
              <w:rPr>
                <w:sz w:val="22"/>
                <w:lang w:val="es-ES" w:eastAsia="en-US"/>
              </w:rPr>
              <w:t xml:space="preserve"> </w:t>
            </w:r>
            <w:proofErr w:type="spellStart"/>
            <w:r>
              <w:rPr>
                <w:sz w:val="22"/>
                <w:lang w:val="es-ES" w:eastAsia="en-US"/>
              </w:rPr>
              <w:t>the</w:t>
            </w:r>
            <w:proofErr w:type="spellEnd"/>
            <w:r>
              <w:rPr>
                <w:sz w:val="22"/>
                <w:lang w:val="es-ES" w:eastAsia="en-US"/>
              </w:rPr>
              <w:t xml:space="preserve"> </w:t>
            </w:r>
            <w:proofErr w:type="spellStart"/>
            <w:r>
              <w:rPr>
                <w:sz w:val="22"/>
                <w:lang w:val="es-ES" w:eastAsia="en-US"/>
              </w:rPr>
              <w:t>monthly</w:t>
            </w:r>
            <w:proofErr w:type="spellEnd"/>
            <w:r>
              <w:rPr>
                <w:sz w:val="22"/>
                <w:lang w:val="es-ES" w:eastAsia="en-US"/>
              </w:rPr>
              <w:t xml:space="preserve"> </w:t>
            </w:r>
            <w:proofErr w:type="spellStart"/>
            <w:r>
              <w:rPr>
                <w:sz w:val="22"/>
                <w:lang w:val="es-ES" w:eastAsia="en-US"/>
              </w:rPr>
              <w:t>cost</w:t>
            </w:r>
            <w:proofErr w:type="spellEnd"/>
            <w:r>
              <w:rPr>
                <w:sz w:val="22"/>
                <w:lang w:val="es-ES" w:eastAsia="en-US"/>
              </w:rPr>
              <w:t xml:space="preserve"> </w:t>
            </w:r>
            <w:proofErr w:type="spellStart"/>
            <w:r>
              <w:rPr>
                <w:sz w:val="22"/>
                <w:lang w:val="es-ES" w:eastAsia="en-US"/>
              </w:rPr>
              <w:t>of</w:t>
            </w:r>
            <w:proofErr w:type="spellEnd"/>
            <w:r>
              <w:rPr>
                <w:sz w:val="22"/>
                <w:lang w:val="es-ES" w:eastAsia="en-US"/>
              </w:rPr>
              <w:t xml:space="preserve"> </w:t>
            </w:r>
            <w:proofErr w:type="spellStart"/>
            <w:r>
              <w:rPr>
                <w:sz w:val="22"/>
                <w:lang w:val="es-ES" w:eastAsia="en-US"/>
              </w:rPr>
              <w:t>the</w:t>
            </w:r>
            <w:proofErr w:type="spellEnd"/>
            <w:r>
              <w:rPr>
                <w:sz w:val="22"/>
                <w:lang w:val="es-ES" w:eastAsia="en-US"/>
              </w:rPr>
              <w:t xml:space="preserve"> </w:t>
            </w:r>
            <w:proofErr w:type="spellStart"/>
            <w:r>
              <w:rPr>
                <w:sz w:val="22"/>
                <w:lang w:val="es-ES" w:eastAsia="en-US"/>
              </w:rPr>
              <w:t>support</w:t>
            </w:r>
            <w:proofErr w:type="spellEnd"/>
            <w:r>
              <w:rPr>
                <w:sz w:val="22"/>
                <w:lang w:val="es-ES" w:eastAsia="en-US"/>
              </w:rPr>
              <w:t xml:space="preserve">. </w:t>
            </w:r>
            <w:proofErr w:type="spellStart"/>
            <w:r>
              <w:rPr>
                <w:sz w:val="22"/>
                <w:lang w:val="es-ES" w:eastAsia="en-US"/>
              </w:rPr>
              <w:t>This</w:t>
            </w:r>
            <w:proofErr w:type="spellEnd"/>
            <w:r>
              <w:rPr>
                <w:sz w:val="22"/>
                <w:lang w:val="es-ES" w:eastAsia="en-US"/>
              </w:rPr>
              <w:t xml:space="preserve"> </w:t>
            </w:r>
            <w:proofErr w:type="spellStart"/>
            <w:r>
              <w:rPr>
                <w:sz w:val="22"/>
                <w:lang w:val="es-ES" w:eastAsia="en-US"/>
              </w:rPr>
              <w:t>item</w:t>
            </w:r>
            <w:proofErr w:type="spellEnd"/>
            <w:r>
              <w:rPr>
                <w:sz w:val="22"/>
                <w:lang w:val="es-ES" w:eastAsia="en-US"/>
              </w:rPr>
              <w:t xml:space="preserve"> </w:t>
            </w:r>
            <w:proofErr w:type="spellStart"/>
            <w:r>
              <w:rPr>
                <w:sz w:val="22"/>
                <w:lang w:val="es-ES" w:eastAsia="en-US"/>
              </w:rPr>
              <w:t>will</w:t>
            </w:r>
            <w:proofErr w:type="spellEnd"/>
            <w:r>
              <w:rPr>
                <w:sz w:val="22"/>
                <w:lang w:val="es-ES" w:eastAsia="en-US"/>
              </w:rPr>
              <w:t xml:space="preserve"> </w:t>
            </w:r>
            <w:proofErr w:type="spellStart"/>
            <w:r>
              <w:rPr>
                <w:sz w:val="22"/>
                <w:lang w:val="es-ES" w:eastAsia="en-US"/>
              </w:rPr>
              <w:t>cover</w:t>
            </w:r>
            <w:proofErr w:type="spellEnd"/>
            <w:r>
              <w:rPr>
                <w:sz w:val="22"/>
                <w:lang w:val="es-ES" w:eastAsia="en-US"/>
              </w:rPr>
              <w:t xml:space="preserve"> </w:t>
            </w:r>
            <w:proofErr w:type="spellStart"/>
            <w:r>
              <w:rPr>
                <w:sz w:val="22"/>
                <w:lang w:val="es-ES" w:eastAsia="en-US"/>
              </w:rPr>
              <w:t>the</w:t>
            </w:r>
            <w:proofErr w:type="spellEnd"/>
            <w:r>
              <w:rPr>
                <w:sz w:val="22"/>
                <w:lang w:val="es-ES" w:eastAsia="en-US"/>
              </w:rPr>
              <w:t xml:space="preserve"> </w:t>
            </w:r>
            <w:proofErr w:type="spellStart"/>
            <w:r>
              <w:rPr>
                <w:sz w:val="22"/>
                <w:lang w:val="es-ES" w:eastAsia="en-US"/>
              </w:rPr>
              <w:t>Telemetry</w:t>
            </w:r>
            <w:proofErr w:type="spellEnd"/>
            <w:r>
              <w:rPr>
                <w:sz w:val="22"/>
                <w:lang w:val="es-ES" w:eastAsia="en-US"/>
              </w:rPr>
              <w:t xml:space="preserve"> Service </w:t>
            </w:r>
            <w:proofErr w:type="spellStart"/>
            <w:r>
              <w:rPr>
                <w:sz w:val="22"/>
                <w:lang w:val="es-ES" w:eastAsia="en-US"/>
              </w:rPr>
              <w:t>under</w:t>
            </w:r>
            <w:proofErr w:type="spellEnd"/>
            <w:r>
              <w:rPr>
                <w:sz w:val="22"/>
                <w:lang w:val="es-ES" w:eastAsia="en-US"/>
              </w:rPr>
              <w:t xml:space="preserve"> </w:t>
            </w:r>
            <w:proofErr w:type="spellStart"/>
            <w:r>
              <w:rPr>
                <w:sz w:val="22"/>
                <w:lang w:val="es-ES" w:eastAsia="en-US"/>
              </w:rPr>
              <w:t>the</w:t>
            </w:r>
            <w:proofErr w:type="spellEnd"/>
            <w:r>
              <w:rPr>
                <w:sz w:val="22"/>
                <w:lang w:val="es-ES" w:eastAsia="en-US"/>
              </w:rPr>
              <w:t xml:space="preserve"> </w:t>
            </w:r>
            <w:proofErr w:type="spellStart"/>
            <w:r>
              <w:rPr>
                <w:sz w:val="22"/>
                <w:lang w:val="es-ES" w:eastAsia="en-US"/>
              </w:rPr>
              <w:t>conditions</w:t>
            </w:r>
            <w:proofErr w:type="spellEnd"/>
            <w:r>
              <w:rPr>
                <w:sz w:val="22"/>
                <w:lang w:val="es-ES" w:eastAsia="en-US"/>
              </w:rPr>
              <w:t xml:space="preserve"> </w:t>
            </w:r>
            <w:proofErr w:type="spellStart"/>
            <w:r>
              <w:rPr>
                <w:sz w:val="22"/>
                <w:lang w:val="es-ES" w:eastAsia="en-US"/>
              </w:rPr>
              <w:t>established</w:t>
            </w:r>
            <w:proofErr w:type="spellEnd"/>
            <w:r>
              <w:rPr>
                <w:sz w:val="22"/>
                <w:lang w:val="es-ES" w:eastAsia="en-US"/>
              </w:rPr>
              <w:t xml:space="preserve"> in </w:t>
            </w:r>
            <w:proofErr w:type="spellStart"/>
            <w:r>
              <w:rPr>
                <w:sz w:val="22"/>
                <w:lang w:val="es-ES" w:eastAsia="en-US"/>
              </w:rPr>
              <w:t>Annex</w:t>
            </w:r>
            <w:proofErr w:type="spellEnd"/>
            <w:r>
              <w:rPr>
                <w:sz w:val="22"/>
                <w:lang w:val="es-ES" w:eastAsia="en-US"/>
              </w:rPr>
              <w:t xml:space="preserve"> VII – </w:t>
            </w:r>
            <w:proofErr w:type="spellStart"/>
            <w:r>
              <w:rPr>
                <w:sz w:val="22"/>
                <w:lang w:val="es-ES" w:eastAsia="en-US"/>
              </w:rPr>
              <w:t>Technical</w:t>
            </w:r>
            <w:proofErr w:type="spellEnd"/>
            <w:r>
              <w:rPr>
                <w:sz w:val="22"/>
                <w:lang w:val="es-ES" w:eastAsia="en-US"/>
              </w:rPr>
              <w:t xml:space="preserve"> </w:t>
            </w:r>
            <w:proofErr w:type="spellStart"/>
            <w:r>
              <w:rPr>
                <w:sz w:val="22"/>
                <w:lang w:val="es-ES" w:eastAsia="en-US"/>
              </w:rPr>
              <w:t>Specifications</w:t>
            </w:r>
            <w:proofErr w:type="spellEnd"/>
            <w:r>
              <w:rPr>
                <w:sz w:val="22"/>
                <w:lang w:val="es-ES" w:eastAsia="en-US"/>
              </w:rPr>
              <w:t xml:space="preserve"> and </w:t>
            </w:r>
            <w:proofErr w:type="spellStart"/>
            <w:r>
              <w:rPr>
                <w:sz w:val="22"/>
                <w:lang w:val="es-ES" w:eastAsia="en-US"/>
              </w:rPr>
              <w:t>will</w:t>
            </w:r>
            <w:proofErr w:type="spellEnd"/>
            <w:r>
              <w:rPr>
                <w:sz w:val="22"/>
                <w:lang w:val="es-ES" w:eastAsia="en-US"/>
              </w:rPr>
              <w:t xml:space="preserve"> </w:t>
            </w:r>
            <w:proofErr w:type="spellStart"/>
            <w:r>
              <w:rPr>
                <w:sz w:val="22"/>
                <w:lang w:val="es-ES" w:eastAsia="en-US"/>
              </w:rPr>
              <w:t>only</w:t>
            </w:r>
            <w:proofErr w:type="spellEnd"/>
            <w:r>
              <w:rPr>
                <w:sz w:val="22"/>
                <w:lang w:val="es-ES" w:eastAsia="en-US"/>
              </w:rPr>
              <w:t xml:space="preserve"> </w:t>
            </w:r>
            <w:proofErr w:type="spellStart"/>
            <w:r>
              <w:rPr>
                <w:sz w:val="22"/>
                <w:lang w:val="es-ES" w:eastAsia="en-US"/>
              </w:rPr>
              <w:t>apply</w:t>
            </w:r>
            <w:proofErr w:type="spellEnd"/>
            <w:r>
              <w:rPr>
                <w:sz w:val="22"/>
                <w:lang w:val="es-ES" w:eastAsia="en-US"/>
              </w:rPr>
              <w:t xml:space="preserve"> </w:t>
            </w:r>
            <w:proofErr w:type="spellStart"/>
            <w:r>
              <w:rPr>
                <w:sz w:val="22"/>
                <w:lang w:val="es-ES" w:eastAsia="en-US"/>
              </w:rPr>
              <w:t>to</w:t>
            </w:r>
            <w:proofErr w:type="spellEnd"/>
            <w:r>
              <w:rPr>
                <w:sz w:val="22"/>
                <w:lang w:val="es-ES" w:eastAsia="en-US"/>
              </w:rPr>
              <w:t xml:space="preserve"> </w:t>
            </w:r>
            <w:proofErr w:type="spellStart"/>
            <w:r>
              <w:rPr>
                <w:sz w:val="22"/>
                <w:lang w:val="es-ES" w:eastAsia="en-US"/>
              </w:rPr>
              <w:t>those</w:t>
            </w:r>
            <w:proofErr w:type="spellEnd"/>
            <w:r>
              <w:rPr>
                <w:sz w:val="22"/>
                <w:lang w:val="es-ES" w:eastAsia="en-US"/>
              </w:rPr>
              <w:t xml:space="preserve"> </w:t>
            </w:r>
            <w:proofErr w:type="spellStart"/>
            <w:r>
              <w:rPr>
                <w:sz w:val="22"/>
                <w:lang w:val="es-ES" w:eastAsia="en-US"/>
              </w:rPr>
              <w:t>telemetry</w:t>
            </w:r>
            <w:proofErr w:type="spellEnd"/>
            <w:r>
              <w:rPr>
                <w:sz w:val="22"/>
                <w:lang w:val="es-ES" w:eastAsia="en-US"/>
              </w:rPr>
              <w:t xml:space="preserve"> </w:t>
            </w:r>
            <w:proofErr w:type="spellStart"/>
            <w:r>
              <w:rPr>
                <w:sz w:val="22"/>
                <w:lang w:val="es-ES" w:eastAsia="en-US"/>
              </w:rPr>
              <w:t>connections</w:t>
            </w:r>
            <w:proofErr w:type="spellEnd"/>
            <w:r>
              <w:rPr>
                <w:sz w:val="22"/>
                <w:lang w:val="es-ES" w:eastAsia="en-US"/>
              </w:rPr>
              <w:t xml:space="preserve"> </w:t>
            </w:r>
            <w:proofErr w:type="spellStart"/>
            <w:r>
              <w:rPr>
                <w:sz w:val="22"/>
                <w:lang w:val="es-ES" w:eastAsia="en-US"/>
              </w:rPr>
              <w:t>that</w:t>
            </w:r>
            <w:proofErr w:type="spellEnd"/>
            <w:r>
              <w:rPr>
                <w:sz w:val="22"/>
                <w:lang w:val="es-ES" w:eastAsia="en-US"/>
              </w:rPr>
              <w:t xml:space="preserve"> </w:t>
            </w:r>
            <w:proofErr w:type="spellStart"/>
            <w:r>
              <w:rPr>
                <w:sz w:val="22"/>
                <w:lang w:val="es-ES" w:eastAsia="en-US"/>
              </w:rPr>
              <w:t>have</w:t>
            </w:r>
            <w:proofErr w:type="spellEnd"/>
            <w:r>
              <w:rPr>
                <w:sz w:val="22"/>
                <w:lang w:val="es-ES" w:eastAsia="en-US"/>
              </w:rPr>
              <w:t xml:space="preserve"> </w:t>
            </w:r>
            <w:proofErr w:type="spellStart"/>
            <w:r>
              <w:rPr>
                <w:sz w:val="22"/>
                <w:lang w:val="es-ES" w:eastAsia="en-US"/>
              </w:rPr>
              <w:t>complied</w:t>
            </w:r>
            <w:proofErr w:type="spellEnd"/>
            <w:r>
              <w:rPr>
                <w:sz w:val="22"/>
                <w:lang w:val="es-ES" w:eastAsia="en-US"/>
              </w:rPr>
              <w:t xml:space="preserve"> </w:t>
            </w:r>
            <w:proofErr w:type="spellStart"/>
            <w:r>
              <w:rPr>
                <w:sz w:val="22"/>
                <w:lang w:val="es-ES" w:eastAsia="en-US"/>
              </w:rPr>
              <w:t>with</w:t>
            </w:r>
            <w:proofErr w:type="spellEnd"/>
            <w:r>
              <w:rPr>
                <w:sz w:val="22"/>
                <w:lang w:val="es-ES" w:eastAsia="en-US"/>
              </w:rPr>
              <w:t xml:space="preserve"> </w:t>
            </w:r>
            <w:proofErr w:type="spellStart"/>
            <w:r>
              <w:rPr>
                <w:sz w:val="22"/>
                <w:lang w:val="es-ES" w:eastAsia="en-US"/>
              </w:rPr>
              <w:t>the</w:t>
            </w:r>
            <w:proofErr w:type="spellEnd"/>
            <w:r>
              <w:rPr>
                <w:sz w:val="22"/>
                <w:lang w:val="es-ES" w:eastAsia="en-US"/>
              </w:rPr>
              <w:t xml:space="preserve"> </w:t>
            </w:r>
            <w:proofErr w:type="spellStart"/>
            <w:r>
              <w:rPr>
                <w:sz w:val="22"/>
                <w:lang w:val="es-ES" w:eastAsia="en-US"/>
              </w:rPr>
              <w:t>provisions</w:t>
            </w:r>
            <w:proofErr w:type="spellEnd"/>
            <w:r>
              <w:rPr>
                <w:sz w:val="22"/>
                <w:lang w:val="es-ES" w:eastAsia="en-US"/>
              </w:rPr>
              <w:t xml:space="preserve"> </w:t>
            </w:r>
            <w:proofErr w:type="spellStart"/>
            <w:r>
              <w:rPr>
                <w:sz w:val="22"/>
                <w:lang w:val="es-ES" w:eastAsia="en-US"/>
              </w:rPr>
              <w:t>of</w:t>
            </w:r>
            <w:proofErr w:type="spellEnd"/>
            <w:r>
              <w:rPr>
                <w:sz w:val="22"/>
                <w:lang w:val="es-ES" w:eastAsia="en-US"/>
              </w:rPr>
              <w:t xml:space="preserve"> </w:t>
            </w:r>
            <w:proofErr w:type="spellStart"/>
            <w:r>
              <w:rPr>
                <w:sz w:val="22"/>
                <w:lang w:val="es-ES" w:eastAsia="en-US"/>
              </w:rPr>
              <w:t>Article</w:t>
            </w:r>
            <w:proofErr w:type="spellEnd"/>
            <w:r>
              <w:rPr>
                <w:sz w:val="22"/>
                <w:lang w:val="es-ES" w:eastAsia="en-US"/>
              </w:rPr>
              <w:t xml:space="preserve"> 9.1 </w:t>
            </w:r>
            <w:proofErr w:type="spellStart"/>
            <w:r>
              <w:rPr>
                <w:sz w:val="22"/>
                <w:lang w:val="es-ES" w:eastAsia="en-US"/>
              </w:rPr>
              <w:t>of</w:t>
            </w:r>
            <w:proofErr w:type="spellEnd"/>
            <w:r>
              <w:rPr>
                <w:sz w:val="22"/>
                <w:lang w:val="es-ES" w:eastAsia="en-US"/>
              </w:rPr>
              <w:t xml:space="preserve"> </w:t>
            </w:r>
            <w:proofErr w:type="spellStart"/>
            <w:r>
              <w:rPr>
                <w:sz w:val="22"/>
                <w:lang w:val="es-ES" w:eastAsia="en-US"/>
              </w:rPr>
              <w:t>Annex</w:t>
            </w:r>
            <w:proofErr w:type="spellEnd"/>
            <w:r>
              <w:rPr>
                <w:sz w:val="22"/>
                <w:lang w:val="es-ES" w:eastAsia="en-US"/>
              </w:rPr>
              <w:t xml:space="preserve"> VII - </w:t>
            </w:r>
            <w:proofErr w:type="spellStart"/>
            <w:r>
              <w:rPr>
                <w:sz w:val="22"/>
                <w:lang w:val="es-ES" w:eastAsia="en-US"/>
              </w:rPr>
              <w:t>Technical</w:t>
            </w:r>
            <w:proofErr w:type="spellEnd"/>
            <w:r>
              <w:rPr>
                <w:sz w:val="22"/>
                <w:lang w:val="es-ES" w:eastAsia="en-US"/>
              </w:rPr>
              <w:t xml:space="preserve"> </w:t>
            </w:r>
            <w:proofErr w:type="spellStart"/>
            <w:r>
              <w:rPr>
                <w:sz w:val="22"/>
                <w:lang w:val="es-ES" w:eastAsia="en-US"/>
              </w:rPr>
              <w:t>Specifications</w:t>
            </w:r>
            <w:proofErr w:type="spellEnd"/>
            <w:r>
              <w:rPr>
                <w:sz w:val="22"/>
                <w:lang w:val="es-ES" w:eastAsia="en-US"/>
              </w:rPr>
              <w:t>.</w:t>
            </w:r>
          </w:p>
          <w:p w14:paraId="1F5327C7" w14:textId="77777777" w:rsidR="00E255F4" w:rsidRDefault="00000000">
            <w:pPr>
              <w:pStyle w:val="Prrafodelista"/>
              <w:numPr>
                <w:ilvl w:val="0"/>
                <w:numId w:val="32"/>
              </w:numPr>
              <w:spacing w:after="240"/>
              <w:ind w:left="422" w:right="255" w:hanging="283"/>
              <w:jc w:val="both"/>
              <w:rPr>
                <w:sz w:val="22"/>
                <w:szCs w:val="22"/>
                <w:lang w:val="es-CO" w:eastAsia="en-US"/>
              </w:rPr>
            </w:pPr>
            <w:proofErr w:type="spellStart"/>
            <w:r>
              <w:rPr>
                <w:sz w:val="22"/>
                <w:szCs w:val="22"/>
                <w:lang w:val="es-CO" w:eastAsia="en-US"/>
              </w:rPr>
              <w:t>All</w:t>
            </w:r>
            <w:proofErr w:type="spellEnd"/>
            <w:r>
              <w:rPr>
                <w:sz w:val="22"/>
                <w:szCs w:val="22"/>
                <w:lang w:val="es-CO" w:eastAsia="en-US"/>
              </w:rPr>
              <w:t xml:space="preserve"> </w:t>
            </w:r>
            <w:proofErr w:type="spellStart"/>
            <w:r>
              <w:rPr>
                <w:sz w:val="22"/>
                <w:szCs w:val="22"/>
                <w:lang w:val="es-CO" w:eastAsia="en-US"/>
              </w:rPr>
              <w:t>costs</w:t>
            </w:r>
            <w:proofErr w:type="spellEnd"/>
            <w:r>
              <w:rPr>
                <w:sz w:val="22"/>
                <w:szCs w:val="22"/>
                <w:lang w:val="es-CO" w:eastAsia="en-US"/>
              </w:rPr>
              <w:t xml:space="preserve"> </w:t>
            </w:r>
            <w:proofErr w:type="spellStart"/>
            <w:r>
              <w:rPr>
                <w:sz w:val="22"/>
                <w:szCs w:val="22"/>
                <w:lang w:val="es-CO" w:eastAsia="en-US"/>
              </w:rPr>
              <w:t>related</w:t>
            </w:r>
            <w:proofErr w:type="spellEnd"/>
            <w:r>
              <w:rPr>
                <w:sz w:val="22"/>
                <w:szCs w:val="22"/>
                <w:lang w:val="es-CO" w:eastAsia="en-US"/>
              </w:rPr>
              <w:t xml:space="preserve"> </w:t>
            </w:r>
            <w:proofErr w:type="spellStart"/>
            <w:r>
              <w:rPr>
                <w:sz w:val="22"/>
                <w:szCs w:val="22"/>
                <w:lang w:val="es-CO" w:eastAsia="en-US"/>
              </w:rPr>
              <w:t>to</w:t>
            </w:r>
            <w:proofErr w:type="spellEnd"/>
            <w:r>
              <w:rPr>
                <w:sz w:val="22"/>
                <w:szCs w:val="22"/>
                <w:lang w:val="es-CO" w:eastAsia="en-US"/>
              </w:rPr>
              <w:t xml:space="preserve"> </w:t>
            </w:r>
            <w:proofErr w:type="spellStart"/>
            <w:r>
              <w:rPr>
                <w:sz w:val="22"/>
                <w:szCs w:val="22"/>
                <w:lang w:val="es-CO" w:eastAsia="en-US"/>
              </w:rPr>
              <w:t>the</w:t>
            </w:r>
            <w:proofErr w:type="spellEnd"/>
            <w:r>
              <w:rPr>
                <w:sz w:val="22"/>
                <w:szCs w:val="22"/>
                <w:lang w:val="es-CO" w:eastAsia="en-US"/>
              </w:rPr>
              <w:t xml:space="preserve"> </w:t>
            </w:r>
            <w:proofErr w:type="spellStart"/>
            <w:r>
              <w:rPr>
                <w:sz w:val="22"/>
                <w:szCs w:val="22"/>
                <w:lang w:val="es-CO" w:eastAsia="en-US"/>
              </w:rPr>
              <w:t>Related</w:t>
            </w:r>
            <w:proofErr w:type="spellEnd"/>
            <w:r>
              <w:rPr>
                <w:sz w:val="22"/>
                <w:szCs w:val="22"/>
                <w:lang w:val="es-CO" w:eastAsia="en-US"/>
              </w:rPr>
              <w:t xml:space="preserve"> </w:t>
            </w:r>
            <w:proofErr w:type="spellStart"/>
            <w:r>
              <w:rPr>
                <w:sz w:val="22"/>
                <w:szCs w:val="22"/>
                <w:lang w:val="es-CO" w:eastAsia="en-US"/>
              </w:rPr>
              <w:t>Services</w:t>
            </w:r>
            <w:proofErr w:type="spellEnd"/>
            <w:r>
              <w:rPr>
                <w:sz w:val="22"/>
                <w:szCs w:val="22"/>
                <w:lang w:val="es-CO" w:eastAsia="en-US"/>
              </w:rPr>
              <w:t xml:space="preserve">, </w:t>
            </w:r>
            <w:proofErr w:type="spellStart"/>
            <w:r>
              <w:rPr>
                <w:sz w:val="22"/>
                <w:szCs w:val="22"/>
                <w:lang w:val="es-CO" w:eastAsia="en-US"/>
              </w:rPr>
              <w:t>that</w:t>
            </w:r>
            <w:proofErr w:type="spellEnd"/>
            <w:r>
              <w:rPr>
                <w:sz w:val="22"/>
                <w:szCs w:val="22"/>
                <w:lang w:val="es-CO" w:eastAsia="en-US"/>
              </w:rPr>
              <w:t xml:space="preserve"> </w:t>
            </w:r>
            <w:proofErr w:type="spellStart"/>
            <w:r>
              <w:rPr>
                <w:sz w:val="22"/>
                <w:szCs w:val="22"/>
                <w:lang w:val="es-CO" w:eastAsia="en-US"/>
              </w:rPr>
              <w:t>is</w:t>
            </w:r>
            <w:proofErr w:type="spellEnd"/>
            <w:r>
              <w:rPr>
                <w:sz w:val="22"/>
                <w:szCs w:val="22"/>
                <w:lang w:val="es-CO" w:eastAsia="en-US"/>
              </w:rPr>
              <w:t xml:space="preserve">, </w:t>
            </w:r>
            <w:proofErr w:type="spellStart"/>
            <w:r>
              <w:rPr>
                <w:sz w:val="22"/>
                <w:szCs w:val="22"/>
                <w:lang w:val="es-CO" w:eastAsia="en-US"/>
              </w:rPr>
              <w:t>all</w:t>
            </w:r>
            <w:proofErr w:type="spellEnd"/>
            <w:r>
              <w:rPr>
                <w:sz w:val="22"/>
                <w:szCs w:val="22"/>
                <w:lang w:val="es-CO" w:eastAsia="en-US"/>
              </w:rPr>
              <w:t xml:space="preserve"> </w:t>
            </w:r>
            <w:proofErr w:type="spellStart"/>
            <w:r>
              <w:rPr>
                <w:sz w:val="22"/>
                <w:szCs w:val="22"/>
                <w:lang w:val="es-CO" w:eastAsia="en-US"/>
              </w:rPr>
              <w:t>costs</w:t>
            </w:r>
            <w:proofErr w:type="spellEnd"/>
            <w:r>
              <w:rPr>
                <w:sz w:val="22"/>
                <w:szCs w:val="22"/>
                <w:lang w:val="es-CO" w:eastAsia="en-US"/>
              </w:rPr>
              <w:t xml:space="preserve"> </w:t>
            </w:r>
            <w:proofErr w:type="spellStart"/>
            <w:r>
              <w:rPr>
                <w:sz w:val="22"/>
                <w:szCs w:val="22"/>
                <w:lang w:val="es-CO" w:eastAsia="en-US"/>
              </w:rPr>
              <w:t>related</w:t>
            </w:r>
            <w:proofErr w:type="spellEnd"/>
            <w:r>
              <w:rPr>
                <w:sz w:val="22"/>
                <w:szCs w:val="22"/>
                <w:lang w:val="es-CO" w:eastAsia="en-US"/>
              </w:rPr>
              <w:t xml:space="preserve"> </w:t>
            </w:r>
            <w:proofErr w:type="spellStart"/>
            <w:r>
              <w:rPr>
                <w:sz w:val="22"/>
                <w:szCs w:val="22"/>
                <w:lang w:val="es-CO" w:eastAsia="en-US"/>
              </w:rPr>
              <w:t>to</w:t>
            </w:r>
            <w:proofErr w:type="spellEnd"/>
            <w:r>
              <w:rPr>
                <w:sz w:val="22"/>
                <w:szCs w:val="22"/>
                <w:lang w:val="es-CO" w:eastAsia="en-US"/>
              </w:rPr>
              <w:t xml:space="preserve"> </w:t>
            </w:r>
            <w:proofErr w:type="spellStart"/>
            <w:r>
              <w:rPr>
                <w:sz w:val="22"/>
                <w:szCs w:val="22"/>
                <w:lang w:val="es-CO" w:eastAsia="en-US"/>
              </w:rPr>
              <w:t>factory</w:t>
            </w:r>
            <w:proofErr w:type="spellEnd"/>
            <w:r>
              <w:rPr>
                <w:sz w:val="22"/>
                <w:szCs w:val="22"/>
                <w:lang w:val="es-CO" w:eastAsia="en-US"/>
              </w:rPr>
              <w:t xml:space="preserve"> </w:t>
            </w:r>
            <w:proofErr w:type="spellStart"/>
            <w:r>
              <w:rPr>
                <w:sz w:val="22"/>
                <w:szCs w:val="22"/>
                <w:lang w:val="es-CO" w:eastAsia="en-US"/>
              </w:rPr>
              <w:t>reception</w:t>
            </w:r>
            <w:proofErr w:type="spellEnd"/>
            <w:r>
              <w:rPr>
                <w:sz w:val="22"/>
                <w:szCs w:val="22"/>
                <w:lang w:val="es-CO" w:eastAsia="en-US"/>
              </w:rPr>
              <w:t xml:space="preserve"> </w:t>
            </w:r>
            <w:proofErr w:type="spellStart"/>
            <w:r>
              <w:rPr>
                <w:sz w:val="22"/>
                <w:szCs w:val="22"/>
                <w:lang w:val="es-CO" w:eastAsia="en-US"/>
              </w:rPr>
              <w:t>described</w:t>
            </w:r>
            <w:proofErr w:type="spellEnd"/>
            <w:r>
              <w:rPr>
                <w:sz w:val="22"/>
                <w:szCs w:val="22"/>
                <w:lang w:val="es-CO" w:eastAsia="en-US"/>
              </w:rPr>
              <w:t xml:space="preserve"> in Art. 9.2.1 </w:t>
            </w:r>
            <w:proofErr w:type="spellStart"/>
            <w:r>
              <w:rPr>
                <w:sz w:val="22"/>
                <w:szCs w:val="22"/>
                <w:lang w:val="es-CO" w:eastAsia="en-US"/>
              </w:rPr>
              <w:t>of</w:t>
            </w:r>
            <w:proofErr w:type="spellEnd"/>
            <w:r>
              <w:rPr>
                <w:sz w:val="22"/>
                <w:szCs w:val="22"/>
                <w:lang w:val="es-CO" w:eastAsia="en-US"/>
              </w:rPr>
              <w:t xml:space="preserve"> </w:t>
            </w:r>
            <w:proofErr w:type="spellStart"/>
            <w:r>
              <w:rPr>
                <w:sz w:val="22"/>
                <w:szCs w:val="22"/>
                <w:lang w:val="es-CO" w:eastAsia="en-US"/>
              </w:rPr>
              <w:t>Annex</w:t>
            </w:r>
            <w:proofErr w:type="spellEnd"/>
            <w:r>
              <w:rPr>
                <w:sz w:val="22"/>
                <w:szCs w:val="22"/>
                <w:lang w:val="es-CO" w:eastAsia="en-US"/>
              </w:rPr>
              <w:t xml:space="preserve"> VII, </w:t>
            </w:r>
            <w:proofErr w:type="spellStart"/>
            <w:r>
              <w:rPr>
                <w:sz w:val="22"/>
                <w:szCs w:val="22"/>
                <w:lang w:val="es-CO" w:eastAsia="en-US"/>
              </w:rPr>
              <w:t>will</w:t>
            </w:r>
            <w:proofErr w:type="spellEnd"/>
            <w:r>
              <w:rPr>
                <w:sz w:val="22"/>
                <w:szCs w:val="22"/>
                <w:lang w:val="es-CO" w:eastAsia="en-US"/>
              </w:rPr>
              <w:t xml:space="preserve"> be </w:t>
            </w:r>
            <w:proofErr w:type="spellStart"/>
            <w:r>
              <w:rPr>
                <w:sz w:val="22"/>
                <w:szCs w:val="22"/>
                <w:lang w:val="es-CO" w:eastAsia="en-US"/>
              </w:rPr>
              <w:t>quoted</w:t>
            </w:r>
            <w:proofErr w:type="spellEnd"/>
            <w:r>
              <w:rPr>
                <w:sz w:val="22"/>
                <w:szCs w:val="22"/>
                <w:lang w:val="es-CO" w:eastAsia="en-US"/>
              </w:rPr>
              <w:t xml:space="preserve"> in </w:t>
            </w:r>
            <w:proofErr w:type="spellStart"/>
            <w:r>
              <w:rPr>
                <w:sz w:val="22"/>
                <w:szCs w:val="22"/>
                <w:lang w:val="es-CO" w:eastAsia="en-US"/>
              </w:rPr>
              <w:t>Item</w:t>
            </w:r>
            <w:proofErr w:type="spellEnd"/>
            <w:r>
              <w:rPr>
                <w:sz w:val="22"/>
                <w:szCs w:val="22"/>
                <w:lang w:val="es-CO" w:eastAsia="en-US"/>
              </w:rPr>
              <w:t xml:space="preserve"> 3 </w:t>
            </w:r>
            <w:proofErr w:type="spellStart"/>
            <w:r>
              <w:rPr>
                <w:sz w:val="22"/>
                <w:szCs w:val="22"/>
                <w:lang w:val="es-CO" w:eastAsia="en-US"/>
              </w:rPr>
              <w:t>using</w:t>
            </w:r>
            <w:proofErr w:type="spellEnd"/>
            <w:r>
              <w:rPr>
                <w:sz w:val="22"/>
                <w:szCs w:val="22"/>
                <w:lang w:val="es-CO" w:eastAsia="en-US"/>
              </w:rPr>
              <w:t xml:space="preserve"> </w:t>
            </w:r>
            <w:proofErr w:type="spellStart"/>
            <w:r>
              <w:rPr>
                <w:sz w:val="22"/>
                <w:szCs w:val="22"/>
                <w:lang w:val="es-CO" w:eastAsia="en-US"/>
              </w:rPr>
              <w:t>the</w:t>
            </w:r>
            <w:proofErr w:type="spellEnd"/>
            <w:r>
              <w:rPr>
                <w:sz w:val="22"/>
                <w:szCs w:val="22"/>
                <w:lang w:val="es-CO" w:eastAsia="en-US"/>
              </w:rPr>
              <w:t xml:space="preserve"> </w:t>
            </w:r>
            <w:proofErr w:type="spellStart"/>
            <w:r>
              <w:rPr>
                <w:sz w:val="22"/>
                <w:szCs w:val="22"/>
                <w:lang w:val="es-CO" w:eastAsia="en-US"/>
              </w:rPr>
              <w:t>form</w:t>
            </w:r>
            <w:proofErr w:type="spellEnd"/>
            <w:r>
              <w:rPr>
                <w:sz w:val="22"/>
                <w:szCs w:val="22"/>
                <w:lang w:val="es-CO" w:eastAsia="en-US"/>
              </w:rPr>
              <w:t xml:space="preserve"> in </w:t>
            </w:r>
            <w:proofErr w:type="spellStart"/>
            <w:r>
              <w:rPr>
                <w:sz w:val="22"/>
                <w:szCs w:val="22"/>
                <w:lang w:val="es-CO" w:eastAsia="en-US"/>
              </w:rPr>
              <w:t>Annex</w:t>
            </w:r>
            <w:proofErr w:type="spellEnd"/>
            <w:r>
              <w:rPr>
                <w:sz w:val="22"/>
                <w:szCs w:val="22"/>
                <w:lang w:val="es-CO" w:eastAsia="en-US"/>
              </w:rPr>
              <w:t xml:space="preserve"> V e).</w:t>
            </w:r>
          </w:p>
          <w:p w14:paraId="5429AF1F" w14:textId="77777777" w:rsidR="00E255F4" w:rsidRDefault="00000000">
            <w:pPr>
              <w:pStyle w:val="Prrafodelista"/>
              <w:numPr>
                <w:ilvl w:val="0"/>
                <w:numId w:val="32"/>
              </w:numPr>
              <w:spacing w:after="240"/>
              <w:ind w:left="0" w:right="255" w:hanging="283"/>
              <w:jc w:val="both"/>
              <w:rPr>
                <w:sz w:val="22"/>
                <w:lang w:val="es-ES" w:eastAsia="en-US"/>
              </w:rPr>
            </w:pPr>
            <w:proofErr w:type="spellStart"/>
            <w:r>
              <w:rPr>
                <w:sz w:val="22"/>
                <w:lang w:val="es-ES" w:eastAsia="en-US"/>
              </w:rPr>
              <w:t>To</w:t>
            </w:r>
            <w:proofErr w:type="spellEnd"/>
            <w:r>
              <w:rPr>
                <w:sz w:val="22"/>
                <w:lang w:val="es-ES" w:eastAsia="en-US"/>
              </w:rPr>
              <w:t xml:space="preserve"> </w:t>
            </w:r>
            <w:proofErr w:type="spellStart"/>
            <w:r>
              <w:rPr>
                <w:sz w:val="22"/>
                <w:lang w:val="es-ES" w:eastAsia="en-US"/>
              </w:rPr>
              <w:t>quote</w:t>
            </w:r>
            <w:proofErr w:type="spellEnd"/>
            <w:r>
              <w:rPr>
                <w:sz w:val="22"/>
                <w:lang w:val="es-ES" w:eastAsia="en-US"/>
              </w:rPr>
              <w:t xml:space="preserve"> </w:t>
            </w:r>
            <w:proofErr w:type="spellStart"/>
            <w:r>
              <w:rPr>
                <w:sz w:val="22"/>
                <w:lang w:val="es-ES" w:eastAsia="en-US"/>
              </w:rPr>
              <w:t>all</w:t>
            </w:r>
            <w:proofErr w:type="spellEnd"/>
            <w:r>
              <w:rPr>
                <w:sz w:val="22"/>
                <w:lang w:val="es-ES" w:eastAsia="en-US"/>
              </w:rPr>
              <w:t xml:space="preserve"> </w:t>
            </w:r>
            <w:proofErr w:type="spellStart"/>
            <w:r>
              <w:rPr>
                <w:sz w:val="22"/>
                <w:lang w:val="es-ES" w:eastAsia="en-US"/>
              </w:rPr>
              <w:t>items</w:t>
            </w:r>
            <w:proofErr w:type="spellEnd"/>
            <w:r>
              <w:rPr>
                <w:sz w:val="22"/>
                <w:lang w:val="es-ES" w:eastAsia="en-US"/>
              </w:rPr>
              <w:t xml:space="preserve"> (</w:t>
            </w:r>
            <w:proofErr w:type="spellStart"/>
            <w:r>
              <w:rPr>
                <w:sz w:val="22"/>
                <w:lang w:val="es-ES" w:eastAsia="en-US"/>
              </w:rPr>
              <w:t>Items</w:t>
            </w:r>
            <w:proofErr w:type="spellEnd"/>
            <w:r>
              <w:rPr>
                <w:sz w:val="22"/>
                <w:lang w:val="es-ES" w:eastAsia="en-US"/>
              </w:rPr>
              <w:t xml:space="preserve"> 1 </w:t>
            </w:r>
            <w:proofErr w:type="spellStart"/>
            <w:r>
              <w:rPr>
                <w:sz w:val="22"/>
                <w:lang w:val="es-ES" w:eastAsia="en-US"/>
              </w:rPr>
              <w:t>to</w:t>
            </w:r>
            <w:proofErr w:type="spellEnd"/>
            <w:r>
              <w:rPr>
                <w:sz w:val="22"/>
                <w:lang w:val="es-ES" w:eastAsia="en-US"/>
              </w:rPr>
              <w:t xml:space="preserve"> 3) </w:t>
            </w:r>
            <w:proofErr w:type="spellStart"/>
            <w:r>
              <w:rPr>
                <w:sz w:val="22"/>
                <w:lang w:val="es-ES" w:eastAsia="en-US"/>
              </w:rPr>
              <w:t>the</w:t>
            </w:r>
            <w:proofErr w:type="spellEnd"/>
            <w:r>
              <w:rPr>
                <w:sz w:val="22"/>
                <w:lang w:val="es-ES" w:eastAsia="en-US"/>
              </w:rPr>
              <w:t xml:space="preserve"> </w:t>
            </w:r>
            <w:proofErr w:type="spellStart"/>
            <w:r>
              <w:rPr>
                <w:sz w:val="22"/>
                <w:lang w:val="es-ES" w:eastAsia="en-US"/>
              </w:rPr>
              <w:t>forms</w:t>
            </w:r>
            <w:proofErr w:type="spellEnd"/>
            <w:r>
              <w:rPr>
                <w:sz w:val="22"/>
                <w:lang w:val="es-ES" w:eastAsia="en-US"/>
              </w:rPr>
              <w:t xml:space="preserve"> in </w:t>
            </w:r>
            <w:proofErr w:type="spellStart"/>
            <w:r>
              <w:rPr>
                <w:sz w:val="22"/>
                <w:lang w:val="es-ES" w:eastAsia="en-US"/>
              </w:rPr>
              <w:t>Annex</w:t>
            </w:r>
            <w:proofErr w:type="spellEnd"/>
            <w:r>
              <w:rPr>
                <w:sz w:val="22"/>
                <w:lang w:val="es-ES" w:eastAsia="en-US"/>
              </w:rPr>
              <w:t xml:space="preserve"> V – </w:t>
            </w:r>
            <w:proofErr w:type="spellStart"/>
            <w:r>
              <w:rPr>
                <w:sz w:val="22"/>
                <w:lang w:val="es-ES" w:eastAsia="en-US"/>
              </w:rPr>
              <w:t>Quantity</w:t>
            </w:r>
            <w:proofErr w:type="spellEnd"/>
            <w:r>
              <w:rPr>
                <w:sz w:val="22"/>
                <w:lang w:val="es-ES" w:eastAsia="en-US"/>
              </w:rPr>
              <w:t xml:space="preserve"> and Price Form </w:t>
            </w:r>
            <w:proofErr w:type="spellStart"/>
            <w:r>
              <w:rPr>
                <w:sz w:val="22"/>
                <w:lang w:val="es-ES" w:eastAsia="en-US"/>
              </w:rPr>
              <w:t>will</w:t>
            </w:r>
            <w:proofErr w:type="spellEnd"/>
            <w:r>
              <w:rPr>
                <w:sz w:val="22"/>
                <w:lang w:val="es-ES" w:eastAsia="en-US"/>
              </w:rPr>
              <w:t xml:space="preserve"> </w:t>
            </w:r>
            <w:proofErr w:type="spellStart"/>
            <w:r>
              <w:rPr>
                <w:sz w:val="22"/>
                <w:lang w:val="es-ES" w:eastAsia="en-US"/>
              </w:rPr>
              <w:t>always</w:t>
            </w:r>
            <w:proofErr w:type="spellEnd"/>
            <w:r>
              <w:rPr>
                <w:sz w:val="22"/>
                <w:lang w:val="es-ES" w:eastAsia="en-US"/>
              </w:rPr>
              <w:t xml:space="preserve"> be </w:t>
            </w:r>
            <w:proofErr w:type="spellStart"/>
            <w:r>
              <w:rPr>
                <w:sz w:val="22"/>
                <w:lang w:val="es-ES" w:eastAsia="en-US"/>
              </w:rPr>
              <w:t>used</w:t>
            </w:r>
            <w:proofErr w:type="spellEnd"/>
            <w:r>
              <w:rPr>
                <w:sz w:val="22"/>
                <w:lang w:val="es-ES" w:eastAsia="en-US"/>
              </w:rPr>
              <w:t xml:space="preserve"> </w:t>
            </w:r>
            <w:proofErr w:type="spellStart"/>
            <w:r>
              <w:rPr>
                <w:sz w:val="22"/>
                <w:lang w:val="es-ES" w:eastAsia="en-US"/>
              </w:rPr>
              <w:t>accordingly</w:t>
            </w:r>
            <w:proofErr w:type="spellEnd"/>
            <w:r>
              <w:rPr>
                <w:sz w:val="22"/>
                <w:lang w:val="es-ES" w:eastAsia="en-US"/>
              </w:rPr>
              <w:t xml:space="preserve">, </w:t>
            </w:r>
            <w:proofErr w:type="spellStart"/>
            <w:r>
              <w:rPr>
                <w:sz w:val="22"/>
                <w:lang w:val="es-ES" w:eastAsia="en-US"/>
              </w:rPr>
              <w:t>respecting</w:t>
            </w:r>
            <w:proofErr w:type="spellEnd"/>
            <w:r>
              <w:rPr>
                <w:sz w:val="22"/>
                <w:lang w:val="es-ES" w:eastAsia="en-US"/>
              </w:rPr>
              <w:t xml:space="preserve"> </w:t>
            </w:r>
            <w:proofErr w:type="spellStart"/>
            <w:r>
              <w:rPr>
                <w:sz w:val="22"/>
                <w:lang w:val="es-ES" w:eastAsia="en-US"/>
              </w:rPr>
              <w:t>their</w:t>
            </w:r>
            <w:proofErr w:type="spellEnd"/>
            <w:r>
              <w:rPr>
                <w:sz w:val="22"/>
                <w:lang w:val="es-ES" w:eastAsia="en-US"/>
              </w:rPr>
              <w:t xml:space="preserve"> </w:t>
            </w:r>
            <w:proofErr w:type="spellStart"/>
            <w:r>
              <w:rPr>
                <w:sz w:val="22"/>
                <w:lang w:val="es-ES" w:eastAsia="en-US"/>
              </w:rPr>
              <w:t>format</w:t>
            </w:r>
            <w:proofErr w:type="spellEnd"/>
            <w:r>
              <w:rPr>
                <w:sz w:val="22"/>
                <w:lang w:val="es-ES" w:eastAsia="en-US"/>
              </w:rPr>
              <w:t>.</w:t>
            </w:r>
          </w:p>
          <w:p w14:paraId="5E300A15" w14:textId="77777777" w:rsidR="00E255F4" w:rsidRDefault="00000000">
            <w:pPr>
              <w:pStyle w:val="Prrafodelista"/>
              <w:numPr>
                <w:ilvl w:val="0"/>
                <w:numId w:val="32"/>
              </w:numPr>
              <w:spacing w:after="240"/>
              <w:ind w:left="0" w:right="255" w:hanging="283"/>
              <w:jc w:val="both"/>
              <w:rPr>
                <w:rFonts w:eastAsia="Palatino Linotype"/>
                <w:b/>
                <w:position w:val="1"/>
                <w:sz w:val="22"/>
                <w:szCs w:val="22"/>
                <w:lang w:val="es-CO" w:eastAsia="en-US"/>
              </w:rPr>
            </w:pPr>
            <w:r>
              <w:rPr>
                <w:rFonts w:eastAsia="Palatino Linotype"/>
                <w:position w:val="1"/>
                <w:sz w:val="22"/>
                <w:szCs w:val="22"/>
                <w:lang w:val="es-CO" w:eastAsia="en-US"/>
              </w:rPr>
              <w:t xml:space="preserve">The </w:t>
            </w:r>
            <w:proofErr w:type="spellStart"/>
            <w:r>
              <w:rPr>
                <w:rFonts w:eastAsia="Palatino Linotype"/>
                <w:position w:val="1"/>
                <w:sz w:val="22"/>
                <w:szCs w:val="22"/>
                <w:lang w:val="es-CO" w:eastAsia="en-US"/>
              </w:rPr>
              <w:t>supply</w:t>
            </w:r>
            <w:proofErr w:type="spellEnd"/>
            <w:r>
              <w:rPr>
                <w:rFonts w:eastAsia="Palatino Linotype"/>
                <w:position w:val="1"/>
                <w:sz w:val="22"/>
                <w:szCs w:val="22"/>
                <w:lang w:val="es-CO" w:eastAsia="en-US"/>
              </w:rPr>
              <w:t xml:space="preserve"> </w:t>
            </w:r>
            <w:proofErr w:type="spellStart"/>
            <w:r>
              <w:rPr>
                <w:rFonts w:eastAsia="Palatino Linotype"/>
                <w:position w:val="1"/>
                <w:sz w:val="22"/>
                <w:szCs w:val="22"/>
                <w:lang w:val="es-CO" w:eastAsia="en-US"/>
              </w:rPr>
              <w:t>will</w:t>
            </w:r>
            <w:proofErr w:type="spellEnd"/>
            <w:r>
              <w:rPr>
                <w:rFonts w:eastAsia="Palatino Linotype"/>
                <w:position w:val="1"/>
                <w:sz w:val="22"/>
                <w:szCs w:val="22"/>
                <w:lang w:val="es-CO" w:eastAsia="en-US"/>
              </w:rPr>
              <w:t xml:space="preserve"> </w:t>
            </w:r>
            <w:proofErr w:type="spellStart"/>
            <w:r>
              <w:rPr>
                <w:rFonts w:eastAsia="Palatino Linotype"/>
                <w:position w:val="1"/>
                <w:sz w:val="22"/>
                <w:szCs w:val="22"/>
                <w:lang w:val="es-CO" w:eastAsia="en-US"/>
              </w:rPr>
              <w:t>include</w:t>
            </w:r>
            <w:proofErr w:type="spellEnd"/>
            <w:r>
              <w:rPr>
                <w:rFonts w:eastAsia="Palatino Linotype"/>
                <w:position w:val="1"/>
                <w:sz w:val="22"/>
                <w:szCs w:val="22"/>
                <w:lang w:val="es-CO" w:eastAsia="en-US"/>
              </w:rPr>
              <w:t xml:space="preserve"> </w:t>
            </w:r>
            <w:proofErr w:type="spellStart"/>
            <w:r>
              <w:rPr>
                <w:rFonts w:eastAsia="Palatino Linotype"/>
                <w:position w:val="1"/>
                <w:sz w:val="22"/>
                <w:szCs w:val="22"/>
                <w:lang w:val="es-CO" w:eastAsia="en-US"/>
              </w:rPr>
              <w:t>the</w:t>
            </w:r>
            <w:proofErr w:type="spellEnd"/>
            <w:r>
              <w:rPr>
                <w:rFonts w:eastAsia="Palatino Linotype"/>
                <w:position w:val="1"/>
                <w:sz w:val="22"/>
                <w:szCs w:val="22"/>
                <w:lang w:val="es-CO" w:eastAsia="en-US"/>
              </w:rPr>
              <w:t xml:space="preserve"> boxes, pallets and </w:t>
            </w:r>
            <w:proofErr w:type="spellStart"/>
            <w:r>
              <w:rPr>
                <w:rFonts w:eastAsia="Palatino Linotype"/>
                <w:position w:val="1"/>
                <w:sz w:val="22"/>
                <w:szCs w:val="22"/>
                <w:lang w:val="es-CO" w:eastAsia="en-US"/>
              </w:rPr>
              <w:t>packaging</w:t>
            </w:r>
            <w:proofErr w:type="spellEnd"/>
            <w:r>
              <w:rPr>
                <w:rFonts w:eastAsia="Palatino Linotype"/>
                <w:position w:val="1"/>
                <w:sz w:val="22"/>
                <w:szCs w:val="22"/>
                <w:lang w:val="es-CO" w:eastAsia="en-US"/>
              </w:rPr>
              <w:t xml:space="preserve"> </w:t>
            </w:r>
            <w:proofErr w:type="spellStart"/>
            <w:r>
              <w:rPr>
                <w:rFonts w:eastAsia="Palatino Linotype"/>
                <w:position w:val="1"/>
                <w:sz w:val="22"/>
                <w:szCs w:val="22"/>
                <w:lang w:val="es-CO" w:eastAsia="en-US"/>
              </w:rPr>
              <w:t>used</w:t>
            </w:r>
            <w:proofErr w:type="spellEnd"/>
            <w:r>
              <w:rPr>
                <w:rFonts w:eastAsia="Palatino Linotype"/>
                <w:position w:val="1"/>
                <w:sz w:val="22"/>
                <w:szCs w:val="22"/>
                <w:lang w:val="es-CO" w:eastAsia="en-US"/>
              </w:rPr>
              <w:t xml:space="preserve"> </w:t>
            </w:r>
            <w:proofErr w:type="spellStart"/>
            <w:r>
              <w:rPr>
                <w:rFonts w:eastAsia="Palatino Linotype"/>
                <w:position w:val="1"/>
                <w:sz w:val="22"/>
                <w:szCs w:val="22"/>
                <w:lang w:val="es-CO" w:eastAsia="en-US"/>
              </w:rPr>
              <w:t>for</w:t>
            </w:r>
            <w:proofErr w:type="spellEnd"/>
            <w:r>
              <w:rPr>
                <w:rFonts w:eastAsia="Palatino Linotype"/>
                <w:position w:val="1"/>
                <w:sz w:val="22"/>
                <w:szCs w:val="22"/>
                <w:lang w:val="es-CO" w:eastAsia="en-US"/>
              </w:rPr>
              <w:t xml:space="preserve"> </w:t>
            </w:r>
            <w:proofErr w:type="spellStart"/>
            <w:r>
              <w:rPr>
                <w:rFonts w:eastAsia="Palatino Linotype"/>
                <w:position w:val="1"/>
                <w:sz w:val="22"/>
                <w:szCs w:val="22"/>
                <w:lang w:val="es-CO" w:eastAsia="en-US"/>
              </w:rPr>
              <w:t>transport</w:t>
            </w:r>
            <w:proofErr w:type="spellEnd"/>
            <w:r>
              <w:rPr>
                <w:rFonts w:eastAsia="Palatino Linotype"/>
                <w:position w:val="1"/>
                <w:sz w:val="22"/>
                <w:szCs w:val="22"/>
                <w:lang w:val="es-CO" w:eastAsia="en-US"/>
              </w:rPr>
              <w:t xml:space="preserve"> and </w:t>
            </w:r>
            <w:proofErr w:type="spellStart"/>
            <w:r>
              <w:rPr>
                <w:rFonts w:eastAsia="Palatino Linotype"/>
                <w:position w:val="1"/>
                <w:sz w:val="22"/>
                <w:szCs w:val="22"/>
                <w:lang w:val="es-CO" w:eastAsia="en-US"/>
              </w:rPr>
              <w:t>storage</w:t>
            </w:r>
            <w:proofErr w:type="spellEnd"/>
            <w:r>
              <w:rPr>
                <w:rFonts w:eastAsia="Palatino Linotype"/>
                <w:position w:val="1"/>
                <w:sz w:val="22"/>
                <w:szCs w:val="22"/>
                <w:lang w:val="es-CO" w:eastAsia="en-US"/>
              </w:rPr>
              <w:t xml:space="preserve"> </w:t>
            </w:r>
            <w:proofErr w:type="spellStart"/>
            <w:r>
              <w:rPr>
                <w:rFonts w:eastAsia="Palatino Linotype"/>
                <w:position w:val="1"/>
                <w:sz w:val="22"/>
                <w:szCs w:val="22"/>
                <w:lang w:val="es-CO" w:eastAsia="en-US"/>
              </w:rPr>
              <w:t>purposes</w:t>
            </w:r>
            <w:proofErr w:type="spellEnd"/>
            <w:r>
              <w:rPr>
                <w:rFonts w:eastAsia="Palatino Linotype"/>
                <w:position w:val="1"/>
                <w:sz w:val="22"/>
                <w:szCs w:val="22"/>
                <w:lang w:val="es-CO" w:eastAsia="en-US"/>
              </w:rPr>
              <w:t xml:space="preserve"> and </w:t>
            </w:r>
            <w:proofErr w:type="spellStart"/>
            <w:r>
              <w:rPr>
                <w:rFonts w:eastAsia="Palatino Linotype"/>
                <w:position w:val="1"/>
                <w:sz w:val="22"/>
                <w:szCs w:val="22"/>
                <w:lang w:val="es-CO" w:eastAsia="en-US"/>
              </w:rPr>
              <w:t>will</w:t>
            </w:r>
            <w:proofErr w:type="spellEnd"/>
            <w:r>
              <w:rPr>
                <w:rFonts w:eastAsia="Palatino Linotype"/>
                <w:position w:val="1"/>
                <w:sz w:val="22"/>
                <w:szCs w:val="22"/>
                <w:lang w:val="es-CO" w:eastAsia="en-US"/>
              </w:rPr>
              <w:t xml:space="preserve"> be </w:t>
            </w:r>
            <w:proofErr w:type="spellStart"/>
            <w:r>
              <w:rPr>
                <w:rFonts w:eastAsia="Palatino Linotype"/>
                <w:position w:val="1"/>
                <w:sz w:val="22"/>
                <w:szCs w:val="22"/>
                <w:lang w:val="es-CO" w:eastAsia="en-US"/>
              </w:rPr>
              <w:t>the</w:t>
            </w:r>
            <w:proofErr w:type="spellEnd"/>
            <w:r>
              <w:rPr>
                <w:rFonts w:eastAsia="Palatino Linotype"/>
                <w:position w:val="1"/>
                <w:sz w:val="22"/>
                <w:szCs w:val="22"/>
                <w:lang w:val="es-CO" w:eastAsia="en-US"/>
              </w:rPr>
              <w:t xml:space="preserve"> </w:t>
            </w:r>
            <w:proofErr w:type="spellStart"/>
            <w:r>
              <w:rPr>
                <w:rFonts w:eastAsia="Palatino Linotype"/>
                <w:position w:val="1"/>
                <w:sz w:val="22"/>
                <w:szCs w:val="22"/>
                <w:lang w:val="es-CO" w:eastAsia="en-US"/>
              </w:rPr>
              <w:t>responsibility</w:t>
            </w:r>
            <w:proofErr w:type="spellEnd"/>
            <w:r>
              <w:rPr>
                <w:rFonts w:eastAsia="Palatino Linotype"/>
                <w:position w:val="1"/>
                <w:sz w:val="22"/>
                <w:szCs w:val="22"/>
                <w:lang w:val="es-CO" w:eastAsia="en-US"/>
              </w:rPr>
              <w:t xml:space="preserve"> </w:t>
            </w:r>
            <w:proofErr w:type="spellStart"/>
            <w:r>
              <w:rPr>
                <w:rFonts w:eastAsia="Palatino Linotype"/>
                <w:position w:val="1"/>
                <w:sz w:val="22"/>
                <w:szCs w:val="22"/>
                <w:lang w:val="es-CO" w:eastAsia="en-US"/>
              </w:rPr>
              <w:t>of</w:t>
            </w:r>
            <w:proofErr w:type="spellEnd"/>
            <w:r>
              <w:rPr>
                <w:rFonts w:eastAsia="Palatino Linotype"/>
                <w:position w:val="1"/>
                <w:sz w:val="22"/>
                <w:szCs w:val="22"/>
                <w:lang w:val="es-CO" w:eastAsia="en-US"/>
              </w:rPr>
              <w:t xml:space="preserve"> </w:t>
            </w:r>
            <w:proofErr w:type="spellStart"/>
            <w:r>
              <w:rPr>
                <w:rFonts w:eastAsia="Palatino Linotype"/>
                <w:position w:val="1"/>
                <w:sz w:val="22"/>
                <w:szCs w:val="22"/>
                <w:lang w:val="es-CO" w:eastAsia="en-US"/>
              </w:rPr>
              <w:t>the</w:t>
            </w:r>
            <w:proofErr w:type="spellEnd"/>
            <w:r>
              <w:rPr>
                <w:rFonts w:eastAsia="Palatino Linotype"/>
                <w:position w:val="1"/>
                <w:sz w:val="22"/>
                <w:szCs w:val="22"/>
                <w:lang w:val="es-CO" w:eastAsia="en-US"/>
              </w:rPr>
              <w:t xml:space="preserve"> </w:t>
            </w:r>
            <w:proofErr w:type="spellStart"/>
            <w:r>
              <w:rPr>
                <w:rFonts w:eastAsia="Palatino Linotype"/>
                <w:position w:val="1"/>
                <w:sz w:val="22"/>
                <w:szCs w:val="22"/>
                <w:lang w:val="es-CO" w:eastAsia="en-US"/>
              </w:rPr>
              <w:t>supplier</w:t>
            </w:r>
            <w:proofErr w:type="spellEnd"/>
            <w:r>
              <w:rPr>
                <w:rFonts w:eastAsia="Palatino Linotype"/>
                <w:position w:val="1"/>
                <w:sz w:val="22"/>
                <w:szCs w:val="22"/>
                <w:lang w:val="es-CO" w:eastAsia="en-US"/>
              </w:rPr>
              <w:t xml:space="preserve"> and </w:t>
            </w:r>
            <w:proofErr w:type="spellStart"/>
            <w:r>
              <w:rPr>
                <w:rFonts w:eastAsia="Palatino Linotype"/>
                <w:position w:val="1"/>
                <w:sz w:val="22"/>
                <w:szCs w:val="22"/>
                <w:lang w:val="es-CO" w:eastAsia="en-US"/>
              </w:rPr>
              <w:t>should</w:t>
            </w:r>
            <w:proofErr w:type="spellEnd"/>
            <w:r>
              <w:rPr>
                <w:rFonts w:eastAsia="Palatino Linotype"/>
                <w:position w:val="1"/>
                <w:sz w:val="22"/>
                <w:szCs w:val="22"/>
                <w:lang w:val="es-CO" w:eastAsia="en-US"/>
              </w:rPr>
              <w:t xml:space="preserve"> </w:t>
            </w:r>
            <w:proofErr w:type="spellStart"/>
            <w:r>
              <w:rPr>
                <w:rFonts w:eastAsia="Palatino Linotype"/>
                <w:position w:val="1"/>
                <w:sz w:val="22"/>
                <w:szCs w:val="22"/>
                <w:lang w:val="es-CO" w:eastAsia="en-US"/>
              </w:rPr>
              <w:t>not</w:t>
            </w:r>
            <w:proofErr w:type="spellEnd"/>
            <w:r>
              <w:rPr>
                <w:rFonts w:eastAsia="Palatino Linotype"/>
                <w:position w:val="1"/>
                <w:sz w:val="22"/>
                <w:szCs w:val="22"/>
                <w:lang w:val="es-CO" w:eastAsia="en-US"/>
              </w:rPr>
              <w:t xml:space="preserve"> be </w:t>
            </w:r>
            <w:proofErr w:type="spellStart"/>
            <w:r>
              <w:rPr>
                <w:rFonts w:eastAsia="Palatino Linotype"/>
                <w:position w:val="1"/>
                <w:sz w:val="22"/>
                <w:szCs w:val="22"/>
                <w:lang w:val="es-CO" w:eastAsia="en-US"/>
              </w:rPr>
              <w:t>quoted</w:t>
            </w:r>
            <w:proofErr w:type="spellEnd"/>
            <w:r>
              <w:rPr>
                <w:rFonts w:eastAsia="Palatino Linotype"/>
                <w:position w:val="1"/>
                <w:sz w:val="22"/>
                <w:szCs w:val="22"/>
                <w:lang w:val="es-CO" w:eastAsia="en-US"/>
              </w:rPr>
              <w:t xml:space="preserve"> </w:t>
            </w:r>
            <w:proofErr w:type="spellStart"/>
            <w:r>
              <w:rPr>
                <w:rFonts w:eastAsia="Palatino Linotype"/>
                <w:position w:val="1"/>
                <w:sz w:val="22"/>
                <w:szCs w:val="22"/>
                <w:lang w:val="es-CO" w:eastAsia="en-US"/>
              </w:rPr>
              <w:t>separately</w:t>
            </w:r>
            <w:proofErr w:type="spellEnd"/>
            <w:r>
              <w:rPr>
                <w:rFonts w:eastAsia="Palatino Linotype"/>
                <w:position w:val="1"/>
                <w:sz w:val="22"/>
                <w:szCs w:val="22"/>
                <w:lang w:val="es-CO" w:eastAsia="en-US"/>
              </w:rPr>
              <w:t xml:space="preserve">, </w:t>
            </w:r>
            <w:proofErr w:type="spellStart"/>
            <w:r>
              <w:rPr>
                <w:rFonts w:eastAsia="Palatino Linotype"/>
                <w:position w:val="1"/>
                <w:sz w:val="22"/>
                <w:szCs w:val="22"/>
                <w:lang w:val="es-CO" w:eastAsia="en-US"/>
              </w:rPr>
              <w:t>but</w:t>
            </w:r>
            <w:proofErr w:type="spellEnd"/>
            <w:r>
              <w:rPr>
                <w:rFonts w:eastAsia="Palatino Linotype"/>
                <w:position w:val="1"/>
                <w:sz w:val="22"/>
                <w:szCs w:val="22"/>
                <w:lang w:val="es-CO" w:eastAsia="en-US"/>
              </w:rPr>
              <w:t xml:space="preserve"> </w:t>
            </w:r>
            <w:proofErr w:type="spellStart"/>
            <w:r>
              <w:rPr>
                <w:rFonts w:eastAsia="Palatino Linotype"/>
                <w:position w:val="1"/>
                <w:sz w:val="22"/>
                <w:szCs w:val="22"/>
                <w:lang w:val="es-CO" w:eastAsia="en-US"/>
              </w:rPr>
              <w:t>should</w:t>
            </w:r>
            <w:proofErr w:type="spellEnd"/>
            <w:r>
              <w:rPr>
                <w:rFonts w:eastAsia="Palatino Linotype"/>
                <w:position w:val="1"/>
                <w:sz w:val="22"/>
                <w:szCs w:val="22"/>
                <w:lang w:val="es-CO" w:eastAsia="en-US"/>
              </w:rPr>
              <w:t xml:space="preserve"> be </w:t>
            </w:r>
            <w:proofErr w:type="spellStart"/>
            <w:r>
              <w:rPr>
                <w:rFonts w:eastAsia="Palatino Linotype"/>
                <w:position w:val="1"/>
                <w:sz w:val="22"/>
                <w:szCs w:val="22"/>
                <w:lang w:val="es-CO" w:eastAsia="en-US"/>
              </w:rPr>
              <w:t>prorated</w:t>
            </w:r>
            <w:proofErr w:type="spellEnd"/>
            <w:r>
              <w:rPr>
                <w:rFonts w:eastAsia="Palatino Linotype"/>
                <w:position w:val="1"/>
                <w:sz w:val="22"/>
                <w:szCs w:val="22"/>
                <w:lang w:val="es-CO" w:eastAsia="en-US"/>
              </w:rPr>
              <w:t xml:space="preserve"> in </w:t>
            </w:r>
            <w:proofErr w:type="spellStart"/>
            <w:r>
              <w:rPr>
                <w:rFonts w:eastAsia="Palatino Linotype"/>
                <w:position w:val="1"/>
                <w:sz w:val="22"/>
                <w:szCs w:val="22"/>
                <w:lang w:val="es-CO" w:eastAsia="en-US"/>
              </w:rPr>
              <w:t>the</w:t>
            </w:r>
            <w:proofErr w:type="spellEnd"/>
            <w:r>
              <w:rPr>
                <w:rFonts w:eastAsia="Palatino Linotype"/>
                <w:position w:val="1"/>
                <w:sz w:val="22"/>
                <w:szCs w:val="22"/>
                <w:lang w:val="es-CO" w:eastAsia="en-US"/>
              </w:rPr>
              <w:t xml:space="preserve"> </w:t>
            </w:r>
            <w:proofErr w:type="spellStart"/>
            <w:r>
              <w:rPr>
                <w:rFonts w:eastAsia="Palatino Linotype"/>
                <w:position w:val="1"/>
                <w:sz w:val="22"/>
                <w:szCs w:val="22"/>
                <w:lang w:val="es-CO" w:eastAsia="en-US"/>
              </w:rPr>
              <w:t>prices</w:t>
            </w:r>
            <w:proofErr w:type="spellEnd"/>
            <w:r>
              <w:rPr>
                <w:rFonts w:eastAsia="Palatino Linotype"/>
                <w:position w:val="1"/>
                <w:sz w:val="22"/>
                <w:szCs w:val="22"/>
                <w:lang w:val="es-CO" w:eastAsia="en-US"/>
              </w:rPr>
              <w:t xml:space="preserve"> </w:t>
            </w:r>
            <w:proofErr w:type="spellStart"/>
            <w:r>
              <w:rPr>
                <w:rFonts w:eastAsia="Palatino Linotype"/>
                <w:position w:val="1"/>
                <w:sz w:val="22"/>
                <w:szCs w:val="22"/>
                <w:lang w:val="es-CO" w:eastAsia="en-US"/>
              </w:rPr>
              <w:t>of</w:t>
            </w:r>
            <w:proofErr w:type="spellEnd"/>
            <w:r>
              <w:rPr>
                <w:rFonts w:eastAsia="Palatino Linotype"/>
                <w:position w:val="1"/>
                <w:sz w:val="22"/>
                <w:szCs w:val="22"/>
                <w:lang w:val="es-CO" w:eastAsia="en-US"/>
              </w:rPr>
              <w:t xml:space="preserve"> </w:t>
            </w:r>
            <w:proofErr w:type="spellStart"/>
            <w:r>
              <w:rPr>
                <w:rFonts w:eastAsia="Palatino Linotype"/>
                <w:position w:val="1"/>
                <w:sz w:val="22"/>
                <w:szCs w:val="22"/>
                <w:lang w:val="es-CO" w:eastAsia="en-US"/>
              </w:rPr>
              <w:t>the</w:t>
            </w:r>
            <w:proofErr w:type="spellEnd"/>
            <w:r>
              <w:rPr>
                <w:rFonts w:eastAsia="Palatino Linotype"/>
                <w:position w:val="1"/>
                <w:sz w:val="22"/>
                <w:szCs w:val="22"/>
                <w:lang w:val="es-CO" w:eastAsia="en-US"/>
              </w:rPr>
              <w:t xml:space="preserve"> </w:t>
            </w:r>
            <w:proofErr w:type="spellStart"/>
            <w:r>
              <w:rPr>
                <w:rFonts w:eastAsia="Palatino Linotype"/>
                <w:position w:val="1"/>
                <w:sz w:val="22"/>
                <w:szCs w:val="22"/>
                <w:lang w:val="es-CO" w:eastAsia="en-US"/>
              </w:rPr>
              <w:t>offer</w:t>
            </w:r>
            <w:proofErr w:type="spellEnd"/>
            <w:r>
              <w:rPr>
                <w:rFonts w:eastAsia="Palatino Linotype"/>
                <w:position w:val="1"/>
                <w:sz w:val="22"/>
                <w:szCs w:val="22"/>
                <w:lang w:val="es-CO" w:eastAsia="en-US"/>
              </w:rPr>
              <w:t>.</w:t>
            </w:r>
          </w:p>
          <w:p w14:paraId="73FFAEF4" w14:textId="77777777" w:rsidR="00E255F4" w:rsidRDefault="00000000">
            <w:pPr>
              <w:pStyle w:val="Prrafodelista"/>
              <w:spacing w:line="360" w:lineRule="auto"/>
              <w:ind w:left="0"/>
              <w:jc w:val="both"/>
              <w:rPr>
                <w:rFonts w:eastAsia="Palatino Linotype"/>
                <w:b/>
                <w:position w:val="1"/>
                <w:sz w:val="22"/>
                <w:szCs w:val="22"/>
                <w:lang w:val="es-CO" w:eastAsia="en-US"/>
              </w:rPr>
            </w:pPr>
            <w:proofErr w:type="spellStart"/>
            <w:r>
              <w:rPr>
                <w:rFonts w:eastAsia="Palatino Linotype"/>
                <w:b/>
                <w:position w:val="1"/>
                <w:sz w:val="22"/>
                <w:szCs w:val="22"/>
                <w:lang w:val="es-CO" w:eastAsia="en-US"/>
              </w:rPr>
              <w:t>Quotation</w:t>
            </w:r>
            <w:proofErr w:type="spellEnd"/>
            <w:r>
              <w:rPr>
                <w:rFonts w:eastAsia="Palatino Linotype"/>
                <w:b/>
                <w:position w:val="1"/>
                <w:sz w:val="22"/>
                <w:szCs w:val="22"/>
                <w:lang w:val="es-CO" w:eastAsia="en-US"/>
              </w:rPr>
              <w:t xml:space="preserve"> </w:t>
            </w:r>
            <w:proofErr w:type="spellStart"/>
            <w:r>
              <w:rPr>
                <w:rFonts w:eastAsia="Palatino Linotype"/>
                <w:b/>
                <w:position w:val="1"/>
                <w:sz w:val="22"/>
                <w:szCs w:val="22"/>
                <w:lang w:val="es-CO" w:eastAsia="en-US"/>
              </w:rPr>
              <w:t>methods</w:t>
            </w:r>
            <w:proofErr w:type="spellEnd"/>
          </w:p>
          <w:p w14:paraId="32E7B2FD" w14:textId="77777777" w:rsidR="00E255F4" w:rsidRDefault="00000000">
            <w:pPr>
              <w:pStyle w:val="Prrafodelista"/>
              <w:spacing w:line="360" w:lineRule="auto"/>
              <w:ind w:left="0"/>
              <w:jc w:val="both"/>
            </w:pPr>
            <w:r>
              <w:rPr>
                <w:rFonts w:eastAsia="Palatino Linotype"/>
                <w:b/>
                <w:position w:val="1"/>
                <w:sz w:val="22"/>
                <w:szCs w:val="22"/>
                <w:u w:val="single"/>
                <w:lang w:val="es-CO" w:eastAsia="en-US"/>
              </w:rPr>
              <w:t xml:space="preserve">For </w:t>
            </w:r>
            <w:proofErr w:type="spellStart"/>
            <w:r>
              <w:rPr>
                <w:rFonts w:eastAsia="Palatino Linotype"/>
                <w:b/>
                <w:position w:val="1"/>
                <w:sz w:val="22"/>
                <w:szCs w:val="22"/>
                <w:u w:val="single"/>
                <w:lang w:val="es-CO" w:eastAsia="en-US"/>
              </w:rPr>
              <w:t>Items</w:t>
            </w:r>
            <w:proofErr w:type="spellEnd"/>
            <w:r>
              <w:rPr>
                <w:rFonts w:eastAsia="Palatino Linotype"/>
                <w:b/>
                <w:position w:val="1"/>
                <w:sz w:val="22"/>
                <w:szCs w:val="22"/>
                <w:u w:val="single"/>
                <w:lang w:val="es-CO" w:eastAsia="en-US"/>
              </w:rPr>
              <w:t xml:space="preserve"> 2 and 3</w:t>
            </w:r>
            <w:r>
              <w:rPr>
                <w:rFonts w:eastAsia="Palatino Linotype"/>
                <w:b/>
                <w:position w:val="1"/>
                <w:sz w:val="22"/>
                <w:szCs w:val="22"/>
                <w:lang w:val="es-CO" w:eastAsia="en-US"/>
              </w:rPr>
              <w:t xml:space="preserve"> </w:t>
            </w:r>
            <w:r>
              <w:rPr>
                <w:rFonts w:eastAsia="Palatino Linotype"/>
                <w:position w:val="1"/>
                <w:sz w:val="22"/>
                <w:szCs w:val="22"/>
                <w:lang w:val="es-CO" w:eastAsia="en-US"/>
              </w:rPr>
              <w:t xml:space="preserve">The </w:t>
            </w:r>
            <w:proofErr w:type="spellStart"/>
            <w:r>
              <w:rPr>
                <w:rFonts w:eastAsia="Palatino Linotype"/>
                <w:position w:val="1"/>
                <w:sz w:val="22"/>
                <w:szCs w:val="22"/>
                <w:lang w:val="es-CO" w:eastAsia="en-US"/>
              </w:rPr>
              <w:t>bidder</w:t>
            </w:r>
            <w:proofErr w:type="spellEnd"/>
            <w:r>
              <w:rPr>
                <w:rFonts w:eastAsia="Palatino Linotype"/>
                <w:position w:val="1"/>
                <w:sz w:val="22"/>
                <w:szCs w:val="22"/>
                <w:lang w:val="es-CO" w:eastAsia="en-US"/>
              </w:rPr>
              <w:t xml:space="preserve"> </w:t>
            </w:r>
            <w:proofErr w:type="spellStart"/>
            <w:r>
              <w:rPr>
                <w:rFonts w:eastAsia="Palatino Linotype"/>
                <w:position w:val="1"/>
                <w:sz w:val="22"/>
                <w:szCs w:val="22"/>
                <w:lang w:val="es-CO" w:eastAsia="en-US"/>
              </w:rPr>
              <w:t>will</w:t>
            </w:r>
            <w:proofErr w:type="spellEnd"/>
            <w:r>
              <w:rPr>
                <w:rFonts w:eastAsia="Palatino Linotype"/>
                <w:position w:val="1"/>
                <w:sz w:val="22"/>
                <w:szCs w:val="22"/>
                <w:lang w:val="es-CO" w:eastAsia="en-US"/>
              </w:rPr>
              <w:t xml:space="preserve"> </w:t>
            </w:r>
            <w:proofErr w:type="spellStart"/>
            <w:r>
              <w:rPr>
                <w:rFonts w:eastAsia="Palatino Linotype"/>
                <w:position w:val="1"/>
                <w:sz w:val="22"/>
                <w:szCs w:val="22"/>
                <w:lang w:val="es-CO" w:eastAsia="en-US"/>
              </w:rPr>
              <w:t>submit</w:t>
            </w:r>
            <w:proofErr w:type="spellEnd"/>
            <w:r>
              <w:rPr>
                <w:rFonts w:eastAsia="Palatino Linotype"/>
                <w:position w:val="1"/>
                <w:sz w:val="22"/>
                <w:szCs w:val="22"/>
                <w:lang w:val="es-CO" w:eastAsia="en-US"/>
              </w:rPr>
              <w:t xml:space="preserve"> a </w:t>
            </w:r>
            <w:proofErr w:type="spellStart"/>
            <w:r>
              <w:rPr>
                <w:rFonts w:eastAsia="Palatino Linotype"/>
                <w:position w:val="1"/>
                <w:sz w:val="22"/>
                <w:szCs w:val="22"/>
                <w:lang w:val="es-CO" w:eastAsia="en-US"/>
              </w:rPr>
              <w:t>quote</w:t>
            </w:r>
            <w:proofErr w:type="spellEnd"/>
            <w:r>
              <w:rPr>
                <w:rFonts w:eastAsia="Palatino Linotype"/>
                <w:position w:val="1"/>
                <w:sz w:val="22"/>
                <w:szCs w:val="22"/>
                <w:lang w:val="es-CO" w:eastAsia="en-US"/>
              </w:rPr>
              <w:t xml:space="preserve"> </w:t>
            </w:r>
            <w:proofErr w:type="spellStart"/>
            <w:r>
              <w:rPr>
                <w:rFonts w:eastAsia="Palatino Linotype"/>
                <w:position w:val="1"/>
                <w:sz w:val="22"/>
                <w:szCs w:val="22"/>
                <w:lang w:val="es-CO" w:eastAsia="en-US"/>
              </w:rPr>
              <w:t>by</w:t>
            </w:r>
            <w:proofErr w:type="spellEnd"/>
            <w:r>
              <w:rPr>
                <w:rFonts w:eastAsia="Palatino Linotype"/>
                <w:position w:val="1"/>
                <w:sz w:val="22"/>
                <w:szCs w:val="22"/>
                <w:lang w:val="es-CO" w:eastAsia="en-US"/>
              </w:rPr>
              <w:t xml:space="preserve"> </w:t>
            </w:r>
            <w:proofErr w:type="spellStart"/>
            <w:r>
              <w:rPr>
                <w:rFonts w:eastAsia="Palatino Linotype"/>
                <w:position w:val="1"/>
                <w:sz w:val="22"/>
                <w:szCs w:val="22"/>
                <w:lang w:val="es-CO" w:eastAsia="en-US"/>
              </w:rPr>
              <w:t>completing</w:t>
            </w:r>
            <w:proofErr w:type="spellEnd"/>
            <w:r>
              <w:rPr>
                <w:rFonts w:eastAsia="Palatino Linotype"/>
                <w:position w:val="1"/>
                <w:sz w:val="22"/>
                <w:szCs w:val="22"/>
                <w:lang w:val="es-CO" w:eastAsia="en-US"/>
              </w:rPr>
              <w:t xml:space="preserve"> </w:t>
            </w:r>
            <w:proofErr w:type="spellStart"/>
            <w:r>
              <w:rPr>
                <w:rFonts w:eastAsia="Palatino Linotype"/>
                <w:position w:val="1"/>
                <w:sz w:val="22"/>
                <w:szCs w:val="22"/>
                <w:lang w:val="es-CO" w:eastAsia="en-US"/>
              </w:rPr>
              <w:t>the</w:t>
            </w:r>
            <w:proofErr w:type="spellEnd"/>
            <w:r>
              <w:rPr>
                <w:rFonts w:eastAsia="Palatino Linotype"/>
                <w:position w:val="1"/>
                <w:sz w:val="22"/>
                <w:szCs w:val="22"/>
                <w:lang w:val="es-CO" w:eastAsia="en-US"/>
              </w:rPr>
              <w:t xml:space="preserve"> </w:t>
            </w:r>
            <w:proofErr w:type="spellStart"/>
            <w:r>
              <w:rPr>
                <w:rFonts w:eastAsia="Palatino Linotype"/>
                <w:position w:val="1"/>
                <w:sz w:val="22"/>
                <w:szCs w:val="22"/>
                <w:lang w:val="es-CO" w:eastAsia="en-US"/>
              </w:rPr>
              <w:t>Quantities</w:t>
            </w:r>
            <w:proofErr w:type="spellEnd"/>
            <w:r>
              <w:rPr>
                <w:rFonts w:eastAsia="Palatino Linotype"/>
                <w:position w:val="1"/>
                <w:sz w:val="22"/>
                <w:szCs w:val="22"/>
                <w:lang w:val="es-CO" w:eastAsia="en-US"/>
              </w:rPr>
              <w:t xml:space="preserve"> and </w:t>
            </w:r>
            <w:proofErr w:type="spellStart"/>
            <w:r>
              <w:rPr>
                <w:rFonts w:eastAsia="Palatino Linotype"/>
                <w:position w:val="1"/>
                <w:sz w:val="22"/>
                <w:szCs w:val="22"/>
                <w:lang w:val="es-CO" w:eastAsia="en-US"/>
              </w:rPr>
              <w:t>Prices</w:t>
            </w:r>
            <w:proofErr w:type="spellEnd"/>
            <w:r>
              <w:rPr>
                <w:rFonts w:eastAsia="Palatino Linotype"/>
                <w:position w:val="1"/>
                <w:sz w:val="22"/>
                <w:szCs w:val="22"/>
                <w:lang w:val="es-CO" w:eastAsia="en-US"/>
              </w:rPr>
              <w:t xml:space="preserve"> </w:t>
            </w:r>
            <w:proofErr w:type="spellStart"/>
            <w:r>
              <w:rPr>
                <w:rFonts w:eastAsia="Palatino Linotype"/>
                <w:position w:val="1"/>
                <w:sz w:val="22"/>
                <w:szCs w:val="22"/>
                <w:lang w:val="es-CO" w:eastAsia="en-US"/>
              </w:rPr>
              <w:t>form</w:t>
            </w:r>
            <w:proofErr w:type="spellEnd"/>
            <w:r>
              <w:rPr>
                <w:rFonts w:eastAsia="Palatino Linotype"/>
                <w:position w:val="1"/>
                <w:sz w:val="22"/>
                <w:szCs w:val="22"/>
                <w:lang w:val="es-CO" w:eastAsia="en-US"/>
              </w:rPr>
              <w:t xml:space="preserve">, </w:t>
            </w:r>
            <w:proofErr w:type="spellStart"/>
            <w:r>
              <w:rPr>
                <w:rFonts w:eastAsia="Palatino Linotype"/>
                <w:position w:val="1"/>
                <w:sz w:val="22"/>
                <w:szCs w:val="22"/>
                <w:lang w:val="es-CO" w:eastAsia="en-US"/>
              </w:rPr>
              <w:t>from</w:t>
            </w:r>
            <w:proofErr w:type="spellEnd"/>
            <w:r>
              <w:rPr>
                <w:rFonts w:eastAsia="Palatino Linotype"/>
                <w:position w:val="1"/>
                <w:sz w:val="22"/>
                <w:szCs w:val="22"/>
                <w:lang w:val="es-CO" w:eastAsia="en-US"/>
              </w:rPr>
              <w:t xml:space="preserve"> </w:t>
            </w:r>
            <w:proofErr w:type="spellStart"/>
            <w:r>
              <w:rPr>
                <w:rFonts w:eastAsia="Palatino Linotype"/>
                <w:position w:val="1"/>
                <w:sz w:val="22"/>
                <w:szCs w:val="22"/>
                <w:lang w:val="es-CO" w:eastAsia="en-US"/>
              </w:rPr>
              <w:t>Annex</w:t>
            </w:r>
            <w:proofErr w:type="spellEnd"/>
            <w:r>
              <w:rPr>
                <w:rFonts w:eastAsia="Palatino Linotype"/>
                <w:position w:val="1"/>
                <w:sz w:val="22"/>
                <w:szCs w:val="22"/>
                <w:lang w:val="es-CO" w:eastAsia="en-US"/>
              </w:rPr>
              <w:t xml:space="preserve"> V b).</w:t>
            </w:r>
          </w:p>
          <w:p w14:paraId="7DCA608F" w14:textId="77777777" w:rsidR="00E255F4" w:rsidRDefault="00E255F4">
            <w:pPr>
              <w:pStyle w:val="Prrafodelista"/>
              <w:spacing w:line="360" w:lineRule="auto"/>
              <w:ind w:left="0"/>
              <w:jc w:val="both"/>
              <w:rPr>
                <w:rFonts w:eastAsia="Palatino Linotype"/>
                <w:position w:val="1"/>
                <w:sz w:val="22"/>
                <w:szCs w:val="22"/>
                <w:lang w:val="es-CO" w:eastAsia="en-US"/>
              </w:rPr>
            </w:pPr>
          </w:p>
          <w:p w14:paraId="57E7472F" w14:textId="77777777" w:rsidR="00E255F4" w:rsidRDefault="00000000">
            <w:pPr>
              <w:pStyle w:val="Prrafodelista"/>
              <w:ind w:left="0" w:right="33"/>
              <w:jc w:val="both"/>
            </w:pPr>
            <w:r>
              <w:rPr>
                <w:rFonts w:eastAsia="Palatino Linotype"/>
                <w:b/>
                <w:position w:val="1"/>
                <w:sz w:val="22"/>
                <w:szCs w:val="22"/>
                <w:u w:val="single"/>
                <w:lang w:val="es-CO" w:eastAsia="en-US"/>
              </w:rPr>
              <w:t xml:space="preserve">For </w:t>
            </w:r>
            <w:proofErr w:type="spellStart"/>
            <w:r>
              <w:rPr>
                <w:rFonts w:eastAsia="Palatino Linotype"/>
                <w:b/>
                <w:position w:val="1"/>
                <w:sz w:val="22"/>
                <w:szCs w:val="22"/>
                <w:u w:val="single"/>
                <w:lang w:val="es-CO" w:eastAsia="en-US"/>
              </w:rPr>
              <w:t>Item</w:t>
            </w:r>
            <w:proofErr w:type="spellEnd"/>
            <w:r>
              <w:rPr>
                <w:rFonts w:eastAsia="Palatino Linotype"/>
                <w:b/>
                <w:position w:val="1"/>
                <w:sz w:val="22"/>
                <w:szCs w:val="22"/>
                <w:u w:val="single"/>
                <w:lang w:val="es-CO" w:eastAsia="en-US"/>
              </w:rPr>
              <w:t xml:space="preserve"> 1</w:t>
            </w:r>
            <w:r>
              <w:rPr>
                <w:rFonts w:eastAsia="Palatino Linotype"/>
                <w:position w:val="1"/>
                <w:sz w:val="22"/>
                <w:szCs w:val="22"/>
                <w:lang w:val="es-CO" w:eastAsia="en-US"/>
              </w:rPr>
              <w:t xml:space="preserve">The </w:t>
            </w:r>
            <w:proofErr w:type="spellStart"/>
            <w:r>
              <w:rPr>
                <w:rFonts w:eastAsia="Palatino Linotype"/>
                <w:position w:val="1"/>
                <w:sz w:val="22"/>
                <w:szCs w:val="22"/>
                <w:lang w:val="es-CO" w:eastAsia="en-US"/>
              </w:rPr>
              <w:t>bidder</w:t>
            </w:r>
            <w:proofErr w:type="spellEnd"/>
            <w:r>
              <w:rPr>
                <w:rFonts w:eastAsia="Palatino Linotype"/>
                <w:position w:val="1"/>
                <w:sz w:val="22"/>
                <w:szCs w:val="22"/>
                <w:lang w:val="es-CO" w:eastAsia="en-US"/>
              </w:rPr>
              <w:t xml:space="preserve"> </w:t>
            </w:r>
            <w:proofErr w:type="spellStart"/>
            <w:r>
              <w:rPr>
                <w:rFonts w:eastAsia="Palatino Linotype"/>
                <w:position w:val="1"/>
                <w:sz w:val="22"/>
                <w:szCs w:val="22"/>
                <w:lang w:val="es-CO" w:eastAsia="en-US"/>
              </w:rPr>
              <w:t>may</w:t>
            </w:r>
            <w:proofErr w:type="spellEnd"/>
            <w:r>
              <w:rPr>
                <w:rFonts w:eastAsia="Palatino Linotype"/>
                <w:position w:val="1"/>
                <w:sz w:val="22"/>
                <w:szCs w:val="22"/>
                <w:lang w:val="es-CO" w:eastAsia="en-US"/>
              </w:rPr>
              <w:t xml:space="preserve"> </w:t>
            </w:r>
            <w:proofErr w:type="spellStart"/>
            <w:r>
              <w:rPr>
                <w:rFonts w:eastAsia="Palatino Linotype"/>
                <w:position w:val="1"/>
                <w:sz w:val="22"/>
                <w:szCs w:val="22"/>
                <w:lang w:val="es-CO" w:eastAsia="en-US"/>
              </w:rPr>
              <w:t>choose</w:t>
            </w:r>
            <w:proofErr w:type="spellEnd"/>
            <w:r>
              <w:rPr>
                <w:rFonts w:eastAsia="Palatino Linotype"/>
                <w:position w:val="1"/>
                <w:sz w:val="22"/>
                <w:szCs w:val="22"/>
                <w:lang w:val="es-CO" w:eastAsia="en-US"/>
              </w:rPr>
              <w:t xml:space="preserve"> </w:t>
            </w:r>
            <w:proofErr w:type="spellStart"/>
            <w:r>
              <w:rPr>
                <w:rFonts w:eastAsia="Palatino Linotype"/>
                <w:position w:val="1"/>
                <w:sz w:val="22"/>
                <w:szCs w:val="22"/>
                <w:lang w:val="es-CO" w:eastAsia="en-US"/>
              </w:rPr>
              <w:t>one</w:t>
            </w:r>
            <w:proofErr w:type="spellEnd"/>
            <w:r>
              <w:rPr>
                <w:rFonts w:eastAsia="Palatino Linotype"/>
                <w:position w:val="1"/>
                <w:sz w:val="22"/>
                <w:szCs w:val="22"/>
                <w:lang w:val="es-CO" w:eastAsia="en-US"/>
              </w:rPr>
              <w:t xml:space="preserve"> </w:t>
            </w:r>
            <w:proofErr w:type="spellStart"/>
            <w:r>
              <w:rPr>
                <w:rFonts w:eastAsia="Palatino Linotype"/>
                <w:position w:val="1"/>
                <w:sz w:val="22"/>
                <w:szCs w:val="22"/>
                <w:lang w:val="es-CO" w:eastAsia="en-US"/>
              </w:rPr>
              <w:t>of</w:t>
            </w:r>
            <w:proofErr w:type="spellEnd"/>
            <w:r>
              <w:rPr>
                <w:rFonts w:eastAsia="Palatino Linotype"/>
                <w:position w:val="1"/>
                <w:sz w:val="22"/>
                <w:szCs w:val="22"/>
                <w:lang w:val="es-CO" w:eastAsia="en-US"/>
              </w:rPr>
              <w:t xml:space="preserve"> </w:t>
            </w:r>
            <w:proofErr w:type="spellStart"/>
            <w:r>
              <w:rPr>
                <w:rFonts w:eastAsia="Palatino Linotype"/>
                <w:position w:val="1"/>
                <w:sz w:val="22"/>
                <w:szCs w:val="22"/>
                <w:lang w:val="es-CO" w:eastAsia="en-US"/>
              </w:rPr>
              <w:t>the</w:t>
            </w:r>
            <w:proofErr w:type="spellEnd"/>
            <w:r>
              <w:rPr>
                <w:rFonts w:eastAsia="Palatino Linotype"/>
                <w:position w:val="1"/>
                <w:sz w:val="22"/>
                <w:szCs w:val="22"/>
                <w:lang w:val="es-CO" w:eastAsia="en-US"/>
              </w:rPr>
              <w:t xml:space="preserve"> </w:t>
            </w:r>
            <w:proofErr w:type="spellStart"/>
            <w:r>
              <w:rPr>
                <w:rFonts w:eastAsia="Palatino Linotype"/>
                <w:position w:val="1"/>
                <w:sz w:val="22"/>
                <w:szCs w:val="22"/>
                <w:lang w:val="es-CO" w:eastAsia="en-US"/>
              </w:rPr>
              <w:t>following</w:t>
            </w:r>
            <w:proofErr w:type="spellEnd"/>
            <w:r>
              <w:rPr>
                <w:rFonts w:eastAsia="Palatino Linotype"/>
                <w:position w:val="1"/>
                <w:sz w:val="22"/>
                <w:szCs w:val="22"/>
                <w:lang w:val="es-CO" w:eastAsia="en-US"/>
              </w:rPr>
              <w:t xml:space="preserve"> </w:t>
            </w:r>
            <w:proofErr w:type="spellStart"/>
            <w:r>
              <w:rPr>
                <w:rFonts w:eastAsia="Palatino Linotype"/>
                <w:position w:val="1"/>
                <w:sz w:val="22"/>
                <w:szCs w:val="22"/>
                <w:lang w:val="es-CO" w:eastAsia="en-US"/>
              </w:rPr>
              <w:t>quotation</w:t>
            </w:r>
            <w:proofErr w:type="spellEnd"/>
            <w:r>
              <w:rPr>
                <w:rFonts w:eastAsia="Palatino Linotype"/>
                <w:position w:val="1"/>
                <w:sz w:val="22"/>
                <w:szCs w:val="22"/>
                <w:lang w:val="es-CO" w:eastAsia="en-US"/>
              </w:rPr>
              <w:t xml:space="preserve"> </w:t>
            </w:r>
            <w:proofErr w:type="spellStart"/>
            <w:r>
              <w:rPr>
                <w:rFonts w:eastAsia="Palatino Linotype"/>
                <w:position w:val="1"/>
                <w:sz w:val="22"/>
                <w:szCs w:val="22"/>
                <w:lang w:val="es-CO" w:eastAsia="en-US"/>
              </w:rPr>
              <w:t>methods</w:t>
            </w:r>
            <w:proofErr w:type="spellEnd"/>
            <w:r>
              <w:rPr>
                <w:rFonts w:eastAsia="Palatino Linotype"/>
                <w:position w:val="1"/>
                <w:sz w:val="22"/>
                <w:szCs w:val="22"/>
                <w:lang w:val="es-CO" w:eastAsia="en-US"/>
              </w:rPr>
              <w:t xml:space="preserve"> </w:t>
            </w:r>
            <w:proofErr w:type="spellStart"/>
            <w:r>
              <w:rPr>
                <w:rFonts w:eastAsia="Palatino Linotype"/>
                <w:position w:val="1"/>
                <w:sz w:val="22"/>
                <w:szCs w:val="22"/>
                <w:lang w:val="es-CO" w:eastAsia="en-US"/>
              </w:rPr>
              <w:t>according</w:t>
            </w:r>
            <w:proofErr w:type="spellEnd"/>
            <w:r>
              <w:rPr>
                <w:rFonts w:eastAsia="Palatino Linotype"/>
                <w:position w:val="1"/>
                <w:sz w:val="22"/>
                <w:szCs w:val="22"/>
                <w:lang w:val="es-CO" w:eastAsia="en-US"/>
              </w:rPr>
              <w:t xml:space="preserve"> </w:t>
            </w:r>
            <w:proofErr w:type="spellStart"/>
            <w:r>
              <w:rPr>
                <w:rFonts w:eastAsia="Palatino Linotype"/>
                <w:position w:val="1"/>
                <w:sz w:val="22"/>
                <w:szCs w:val="22"/>
                <w:lang w:val="es-CO" w:eastAsia="en-US"/>
              </w:rPr>
              <w:t>to</w:t>
            </w:r>
            <w:proofErr w:type="spellEnd"/>
            <w:r>
              <w:rPr>
                <w:rFonts w:eastAsia="Palatino Linotype"/>
                <w:position w:val="1"/>
                <w:sz w:val="22"/>
                <w:szCs w:val="22"/>
                <w:lang w:val="es-CO" w:eastAsia="en-US"/>
              </w:rPr>
              <w:t xml:space="preserve"> </w:t>
            </w:r>
            <w:proofErr w:type="spellStart"/>
            <w:r>
              <w:rPr>
                <w:rFonts w:eastAsia="Palatino Linotype"/>
                <w:position w:val="1"/>
                <w:sz w:val="22"/>
                <w:szCs w:val="22"/>
                <w:lang w:val="es-CO" w:eastAsia="en-US"/>
              </w:rPr>
              <w:t>the</w:t>
            </w:r>
            <w:proofErr w:type="spellEnd"/>
            <w:r>
              <w:rPr>
                <w:rFonts w:eastAsia="Palatino Linotype"/>
                <w:position w:val="1"/>
                <w:sz w:val="22"/>
                <w:szCs w:val="22"/>
                <w:lang w:val="es-CO" w:eastAsia="en-US"/>
              </w:rPr>
              <w:t xml:space="preserve"> Bill </w:t>
            </w:r>
            <w:proofErr w:type="spellStart"/>
            <w:r>
              <w:rPr>
                <w:rFonts w:eastAsia="Palatino Linotype"/>
                <w:position w:val="1"/>
                <w:sz w:val="22"/>
                <w:szCs w:val="22"/>
                <w:lang w:val="es-CO" w:eastAsia="en-US"/>
              </w:rPr>
              <w:t>of</w:t>
            </w:r>
            <w:proofErr w:type="spellEnd"/>
            <w:r>
              <w:rPr>
                <w:rFonts w:eastAsia="Palatino Linotype"/>
                <w:position w:val="1"/>
                <w:sz w:val="22"/>
                <w:szCs w:val="22"/>
                <w:lang w:val="es-CO" w:eastAsia="en-US"/>
              </w:rPr>
              <w:t xml:space="preserve"> </w:t>
            </w:r>
            <w:proofErr w:type="spellStart"/>
            <w:r>
              <w:rPr>
                <w:rFonts w:eastAsia="Palatino Linotype"/>
                <w:position w:val="1"/>
                <w:sz w:val="22"/>
                <w:szCs w:val="22"/>
                <w:lang w:val="es-CO" w:eastAsia="en-US"/>
              </w:rPr>
              <w:t>Quantities</w:t>
            </w:r>
            <w:proofErr w:type="spellEnd"/>
            <w:r>
              <w:rPr>
                <w:rFonts w:eastAsia="Palatino Linotype"/>
                <w:position w:val="1"/>
                <w:sz w:val="22"/>
                <w:szCs w:val="22"/>
                <w:lang w:val="es-CO" w:eastAsia="en-US"/>
              </w:rPr>
              <w:t xml:space="preserve"> and </w:t>
            </w:r>
            <w:proofErr w:type="spellStart"/>
            <w:r>
              <w:rPr>
                <w:rFonts w:eastAsia="Palatino Linotype"/>
                <w:position w:val="1"/>
                <w:sz w:val="22"/>
                <w:szCs w:val="22"/>
                <w:lang w:val="es-CO" w:eastAsia="en-US"/>
              </w:rPr>
              <w:t>Prices</w:t>
            </w:r>
            <w:proofErr w:type="spellEnd"/>
            <w:r>
              <w:rPr>
                <w:rFonts w:eastAsia="Palatino Linotype"/>
                <w:position w:val="1"/>
                <w:sz w:val="22"/>
                <w:szCs w:val="22"/>
                <w:lang w:val="es-CO" w:eastAsia="en-US"/>
              </w:rPr>
              <w:t xml:space="preserve"> (</w:t>
            </w:r>
            <w:proofErr w:type="spellStart"/>
            <w:r>
              <w:rPr>
                <w:rFonts w:eastAsia="Palatino Linotype"/>
                <w:position w:val="1"/>
                <w:sz w:val="22"/>
                <w:szCs w:val="22"/>
                <w:lang w:val="es-CO" w:eastAsia="en-US"/>
              </w:rPr>
              <w:t>Annex</w:t>
            </w:r>
            <w:proofErr w:type="spellEnd"/>
            <w:r>
              <w:rPr>
                <w:rFonts w:eastAsia="Palatino Linotype"/>
                <w:position w:val="1"/>
                <w:sz w:val="22"/>
                <w:szCs w:val="22"/>
                <w:lang w:val="es-CO" w:eastAsia="en-US"/>
              </w:rPr>
              <w:t xml:space="preserve"> V a1) and a2)):</w:t>
            </w:r>
          </w:p>
          <w:p w14:paraId="5EA2AC04" w14:textId="77777777" w:rsidR="00E255F4" w:rsidRDefault="00E255F4">
            <w:pPr>
              <w:pStyle w:val="Prrafodelista"/>
              <w:ind w:left="459" w:right="33"/>
              <w:jc w:val="both"/>
              <w:rPr>
                <w:rFonts w:eastAsia="Palatino Linotype"/>
                <w:position w:val="1"/>
                <w:sz w:val="22"/>
                <w:szCs w:val="22"/>
                <w:lang w:val="es-ES"/>
              </w:rPr>
            </w:pPr>
          </w:p>
          <w:p w14:paraId="21ADFC68" w14:textId="77777777" w:rsidR="00E255F4" w:rsidRDefault="00000000">
            <w:pPr>
              <w:pStyle w:val="Prrafodelista"/>
              <w:ind w:left="459" w:right="33"/>
              <w:jc w:val="both"/>
            </w:pPr>
            <w:r>
              <w:rPr>
                <w:rFonts w:eastAsia="Palatino Linotype"/>
                <w:position w:val="1"/>
                <w:sz w:val="22"/>
                <w:szCs w:val="22"/>
                <w:lang w:val="es-ES"/>
              </w:rPr>
              <w:t xml:space="preserve">a1) Market </w:t>
            </w:r>
            <w:proofErr w:type="spellStart"/>
            <w:r>
              <w:rPr>
                <w:rFonts w:eastAsia="Palatino Linotype"/>
                <w:position w:val="1"/>
                <w:sz w:val="22"/>
                <w:szCs w:val="22"/>
                <w:lang w:val="es-ES"/>
              </w:rPr>
              <w:t>quotation</w:t>
            </w:r>
            <w:proofErr w:type="spellEnd"/>
            <w:r>
              <w:rPr>
                <w:rFonts w:eastAsia="Palatino Linotype"/>
                <w:position w:val="1"/>
                <w:sz w:val="22"/>
                <w:szCs w:val="22"/>
                <w:lang w:val="es-ES"/>
              </w:rPr>
              <w:t xml:space="preserve"> (</w:t>
            </w:r>
            <w:proofErr w:type="spellStart"/>
            <w:r>
              <w:rPr>
                <w:rFonts w:eastAsia="Palatino Linotype"/>
                <w:position w:val="1"/>
                <w:sz w:val="22"/>
                <w:szCs w:val="22"/>
                <w:lang w:val="es-ES"/>
              </w:rPr>
              <w:t>for</w:t>
            </w:r>
            <w:proofErr w:type="spellEnd"/>
            <w:r>
              <w:rPr>
                <w:rFonts w:eastAsia="Palatino Linotype"/>
                <w:position w:val="1"/>
                <w:sz w:val="22"/>
                <w:szCs w:val="22"/>
                <w:lang w:val="es-ES"/>
              </w:rPr>
              <w:t xml:space="preserve"> </w:t>
            </w:r>
            <w:proofErr w:type="spellStart"/>
            <w:r>
              <w:rPr>
                <w:rFonts w:eastAsia="Palatino Linotype"/>
                <w:position w:val="1"/>
                <w:sz w:val="22"/>
                <w:szCs w:val="22"/>
                <w:lang w:val="es-ES"/>
              </w:rPr>
              <w:t>domestically</w:t>
            </w:r>
            <w:proofErr w:type="spellEnd"/>
            <w:r>
              <w:rPr>
                <w:rFonts w:eastAsia="Palatino Linotype"/>
                <w:position w:val="1"/>
                <w:sz w:val="22"/>
                <w:szCs w:val="22"/>
                <w:lang w:val="es-ES"/>
              </w:rPr>
              <w:t xml:space="preserve"> </w:t>
            </w:r>
            <w:proofErr w:type="spellStart"/>
            <w:r>
              <w:rPr>
                <w:rFonts w:eastAsia="Palatino Linotype"/>
                <w:position w:val="1"/>
                <w:sz w:val="22"/>
                <w:szCs w:val="22"/>
                <w:lang w:val="es-ES"/>
              </w:rPr>
              <w:t>manufactured</w:t>
            </w:r>
            <w:proofErr w:type="spellEnd"/>
            <w:r>
              <w:rPr>
                <w:rFonts w:eastAsia="Palatino Linotype"/>
                <w:position w:val="1"/>
                <w:sz w:val="22"/>
                <w:szCs w:val="22"/>
                <w:lang w:val="es-ES"/>
              </w:rPr>
              <w:t xml:space="preserve"> </w:t>
            </w:r>
            <w:proofErr w:type="spellStart"/>
            <w:r>
              <w:rPr>
                <w:rFonts w:eastAsia="Palatino Linotype"/>
                <w:position w:val="1"/>
                <w:sz w:val="22"/>
                <w:szCs w:val="22"/>
                <w:lang w:val="es-ES"/>
              </w:rPr>
              <w:t>or</w:t>
            </w:r>
            <w:proofErr w:type="spellEnd"/>
            <w:r>
              <w:rPr>
                <w:rFonts w:eastAsia="Palatino Linotype"/>
                <w:position w:val="1"/>
                <w:sz w:val="22"/>
                <w:szCs w:val="22"/>
                <w:lang w:val="es-ES"/>
              </w:rPr>
              <w:t xml:space="preserve"> </w:t>
            </w:r>
            <w:proofErr w:type="spellStart"/>
            <w:r>
              <w:rPr>
                <w:rFonts w:eastAsia="Palatino Linotype"/>
                <w:position w:val="1"/>
                <w:sz w:val="22"/>
                <w:szCs w:val="22"/>
                <w:lang w:val="es-ES"/>
              </w:rPr>
              <w:t>imported</w:t>
            </w:r>
            <w:proofErr w:type="spellEnd"/>
            <w:r>
              <w:rPr>
                <w:rFonts w:eastAsia="Palatino Linotype"/>
                <w:position w:val="1"/>
                <w:sz w:val="22"/>
                <w:szCs w:val="22"/>
                <w:lang w:val="es-ES"/>
              </w:rPr>
              <w:t xml:space="preserve"> </w:t>
            </w:r>
            <w:proofErr w:type="spellStart"/>
            <w:r>
              <w:rPr>
                <w:rFonts w:eastAsia="Palatino Linotype"/>
                <w:position w:val="1"/>
                <w:sz w:val="22"/>
                <w:szCs w:val="22"/>
                <w:lang w:val="es-ES"/>
              </w:rPr>
              <w:t>goods</w:t>
            </w:r>
            <w:proofErr w:type="spellEnd"/>
            <w:r>
              <w:rPr>
                <w:rFonts w:eastAsia="Palatino Linotype"/>
                <w:position w:val="1"/>
                <w:sz w:val="22"/>
                <w:szCs w:val="22"/>
                <w:lang w:val="es-ES"/>
              </w:rPr>
              <w:t>)</w:t>
            </w:r>
          </w:p>
          <w:p w14:paraId="2AB8EB4A" w14:textId="77777777" w:rsidR="00E255F4" w:rsidRDefault="00000000">
            <w:pPr>
              <w:pStyle w:val="Prrafodelista"/>
              <w:ind w:left="459" w:right="33"/>
              <w:jc w:val="both"/>
            </w:pPr>
            <w:r>
              <w:rPr>
                <w:rFonts w:eastAsia="Palatino Linotype"/>
                <w:position w:val="1"/>
                <w:sz w:val="22"/>
                <w:szCs w:val="22"/>
                <w:lang w:val="es-ES"/>
              </w:rPr>
              <w:t xml:space="preserve">a2) </w:t>
            </w:r>
            <w:proofErr w:type="spellStart"/>
            <w:r>
              <w:rPr>
                <w:rFonts w:eastAsia="Palatino Linotype"/>
                <w:position w:val="1"/>
                <w:sz w:val="22"/>
                <w:szCs w:val="22"/>
                <w:lang w:val="es-ES"/>
              </w:rPr>
              <w:t>Quotation</w:t>
            </w:r>
            <w:proofErr w:type="spellEnd"/>
            <w:r>
              <w:rPr>
                <w:rFonts w:eastAsia="Palatino Linotype"/>
                <w:position w:val="1"/>
                <w:sz w:val="22"/>
                <w:szCs w:val="22"/>
                <w:lang w:val="es-ES"/>
              </w:rPr>
              <w:t xml:space="preserve"> </w:t>
            </w:r>
            <w:proofErr w:type="spellStart"/>
            <w:r>
              <w:rPr>
                <w:rFonts w:eastAsia="Palatino Linotype"/>
                <w:position w:val="1"/>
                <w:sz w:val="22"/>
                <w:szCs w:val="22"/>
                <w:lang w:val="es-ES"/>
              </w:rPr>
              <w:t>of</w:t>
            </w:r>
            <w:proofErr w:type="spellEnd"/>
            <w:r>
              <w:rPr>
                <w:rFonts w:eastAsia="Palatino Linotype"/>
                <w:position w:val="1"/>
                <w:sz w:val="22"/>
                <w:szCs w:val="22"/>
                <w:lang w:val="es-ES"/>
              </w:rPr>
              <w:t xml:space="preserve"> </w:t>
            </w:r>
            <w:proofErr w:type="spellStart"/>
            <w:r>
              <w:rPr>
                <w:rFonts w:eastAsia="Palatino Linotype"/>
                <w:position w:val="1"/>
                <w:sz w:val="22"/>
                <w:szCs w:val="22"/>
                <w:lang w:val="es-ES"/>
              </w:rPr>
              <w:t>goods</w:t>
            </w:r>
            <w:proofErr w:type="spellEnd"/>
            <w:r>
              <w:rPr>
                <w:rFonts w:eastAsia="Palatino Linotype"/>
                <w:position w:val="1"/>
                <w:sz w:val="22"/>
                <w:szCs w:val="22"/>
                <w:lang w:val="es-ES"/>
              </w:rPr>
              <w:t xml:space="preserve"> </w:t>
            </w:r>
            <w:proofErr w:type="spellStart"/>
            <w:r>
              <w:rPr>
                <w:rFonts w:eastAsia="Palatino Linotype"/>
                <w:position w:val="1"/>
                <w:sz w:val="22"/>
                <w:szCs w:val="22"/>
                <w:lang w:val="es-ES"/>
              </w:rPr>
              <w:t>to</w:t>
            </w:r>
            <w:proofErr w:type="spellEnd"/>
            <w:r>
              <w:rPr>
                <w:rFonts w:eastAsia="Palatino Linotype"/>
                <w:position w:val="1"/>
                <w:sz w:val="22"/>
                <w:szCs w:val="22"/>
                <w:lang w:val="es-ES"/>
              </w:rPr>
              <w:t xml:space="preserve"> be </w:t>
            </w:r>
            <w:proofErr w:type="spellStart"/>
            <w:r>
              <w:rPr>
                <w:rFonts w:eastAsia="Palatino Linotype"/>
                <w:position w:val="1"/>
                <w:sz w:val="22"/>
                <w:szCs w:val="22"/>
                <w:lang w:val="es-ES"/>
              </w:rPr>
              <w:t>imported</w:t>
            </w:r>
            <w:proofErr w:type="spellEnd"/>
            <w:r>
              <w:rPr>
                <w:rFonts w:eastAsia="Palatino Linotype"/>
                <w:position w:val="1"/>
                <w:sz w:val="22"/>
                <w:szCs w:val="22"/>
                <w:lang w:val="es-ES"/>
              </w:rPr>
              <w:t xml:space="preserve"> </w:t>
            </w:r>
            <w:proofErr w:type="spellStart"/>
            <w:r>
              <w:rPr>
                <w:rFonts w:eastAsia="Palatino Linotype"/>
                <w:position w:val="1"/>
                <w:sz w:val="22"/>
                <w:szCs w:val="22"/>
                <w:lang w:val="es-ES"/>
              </w:rPr>
              <w:t>by</w:t>
            </w:r>
            <w:proofErr w:type="spellEnd"/>
            <w:r>
              <w:rPr>
                <w:rFonts w:eastAsia="Palatino Linotype"/>
                <w:position w:val="1"/>
                <w:sz w:val="22"/>
                <w:szCs w:val="22"/>
                <w:lang w:val="es-ES"/>
              </w:rPr>
              <w:t xml:space="preserve"> OSE.</w:t>
            </w:r>
          </w:p>
          <w:p w14:paraId="132730A1" w14:textId="77777777" w:rsidR="00E255F4" w:rsidRDefault="00E255F4">
            <w:pPr>
              <w:pStyle w:val="Prrafodelista"/>
              <w:ind w:left="0"/>
              <w:jc w:val="both"/>
              <w:rPr>
                <w:rFonts w:eastAsia="Palatino Linotype"/>
                <w:position w:val="1"/>
                <w:sz w:val="22"/>
                <w:szCs w:val="22"/>
                <w:lang w:val="es-CO" w:eastAsia="en-US"/>
              </w:rPr>
            </w:pPr>
          </w:p>
          <w:p w14:paraId="6181538C" w14:textId="77777777" w:rsidR="00E255F4" w:rsidRDefault="00000000">
            <w:pPr>
              <w:pStyle w:val="Prrafodelista"/>
              <w:ind w:left="0" w:right="33"/>
              <w:jc w:val="both"/>
              <w:rPr>
                <w:rFonts w:eastAsia="Palatino Linotype"/>
                <w:b/>
                <w:position w:val="1"/>
                <w:sz w:val="22"/>
                <w:szCs w:val="22"/>
                <w:u w:val="single"/>
                <w:lang w:val="es-ES" w:eastAsia="en-US"/>
              </w:rPr>
            </w:pPr>
            <w:proofErr w:type="spellStart"/>
            <w:r>
              <w:rPr>
                <w:rFonts w:eastAsia="Palatino Linotype"/>
                <w:b/>
                <w:position w:val="1"/>
                <w:sz w:val="22"/>
                <w:szCs w:val="22"/>
                <w:u w:val="single"/>
                <w:lang w:val="es-ES" w:eastAsia="en-US"/>
              </w:rPr>
              <w:t>Offers</w:t>
            </w:r>
            <w:proofErr w:type="spellEnd"/>
            <w:r>
              <w:rPr>
                <w:rFonts w:eastAsia="Palatino Linotype"/>
                <w:b/>
                <w:position w:val="1"/>
                <w:sz w:val="22"/>
                <w:szCs w:val="22"/>
                <w:u w:val="single"/>
                <w:lang w:val="es-ES" w:eastAsia="en-US"/>
              </w:rPr>
              <w:t xml:space="preserve"> </w:t>
            </w:r>
            <w:proofErr w:type="spellStart"/>
            <w:r>
              <w:rPr>
                <w:rFonts w:eastAsia="Palatino Linotype"/>
                <w:b/>
                <w:position w:val="1"/>
                <w:sz w:val="22"/>
                <w:szCs w:val="22"/>
                <w:u w:val="single"/>
                <w:lang w:val="es-ES" w:eastAsia="en-US"/>
              </w:rPr>
              <w:t>of</w:t>
            </w:r>
            <w:proofErr w:type="spellEnd"/>
            <w:r>
              <w:rPr>
                <w:rFonts w:eastAsia="Palatino Linotype"/>
                <w:b/>
                <w:position w:val="1"/>
                <w:sz w:val="22"/>
                <w:szCs w:val="22"/>
                <w:u w:val="single"/>
                <w:lang w:val="es-ES" w:eastAsia="en-US"/>
              </w:rPr>
              <w:t xml:space="preserve"> </w:t>
            </w:r>
            <w:proofErr w:type="spellStart"/>
            <w:r>
              <w:rPr>
                <w:rFonts w:eastAsia="Palatino Linotype"/>
                <w:b/>
                <w:position w:val="1"/>
                <w:sz w:val="22"/>
                <w:szCs w:val="22"/>
                <w:u w:val="single"/>
                <w:lang w:val="es-ES" w:eastAsia="en-US"/>
              </w:rPr>
              <w:t>locally</w:t>
            </w:r>
            <w:proofErr w:type="spellEnd"/>
            <w:r>
              <w:rPr>
                <w:rFonts w:eastAsia="Palatino Linotype"/>
                <w:b/>
                <w:position w:val="1"/>
                <w:sz w:val="22"/>
                <w:szCs w:val="22"/>
                <w:u w:val="single"/>
                <w:lang w:val="es-ES" w:eastAsia="en-US"/>
              </w:rPr>
              <w:t xml:space="preserve"> </w:t>
            </w:r>
            <w:proofErr w:type="spellStart"/>
            <w:r>
              <w:rPr>
                <w:rFonts w:eastAsia="Palatino Linotype"/>
                <w:b/>
                <w:position w:val="1"/>
                <w:sz w:val="22"/>
                <w:szCs w:val="22"/>
                <w:u w:val="single"/>
                <w:lang w:val="es-ES" w:eastAsia="en-US"/>
              </w:rPr>
              <w:t>produced</w:t>
            </w:r>
            <w:proofErr w:type="spellEnd"/>
            <w:r>
              <w:rPr>
                <w:rFonts w:eastAsia="Palatino Linotype"/>
                <w:b/>
                <w:position w:val="1"/>
                <w:sz w:val="22"/>
                <w:szCs w:val="22"/>
                <w:u w:val="single"/>
                <w:lang w:val="es-ES" w:eastAsia="en-US"/>
              </w:rPr>
              <w:t xml:space="preserve"> </w:t>
            </w:r>
            <w:proofErr w:type="spellStart"/>
            <w:r>
              <w:rPr>
                <w:rFonts w:eastAsia="Palatino Linotype"/>
                <w:b/>
                <w:position w:val="1"/>
                <w:sz w:val="22"/>
                <w:szCs w:val="22"/>
                <w:u w:val="single"/>
                <w:lang w:val="es-ES" w:eastAsia="en-US"/>
              </w:rPr>
              <w:t>goods</w:t>
            </w:r>
            <w:proofErr w:type="spellEnd"/>
            <w:r>
              <w:rPr>
                <w:rFonts w:eastAsia="Palatino Linotype"/>
                <w:b/>
                <w:position w:val="1"/>
                <w:sz w:val="22"/>
                <w:szCs w:val="22"/>
                <w:u w:val="single"/>
                <w:lang w:val="es-ES" w:eastAsia="en-US"/>
              </w:rPr>
              <w:t xml:space="preserve"> (</w:t>
            </w:r>
            <w:proofErr w:type="spellStart"/>
            <w:r>
              <w:rPr>
                <w:rFonts w:eastAsia="Palatino Linotype"/>
                <w:b/>
                <w:position w:val="1"/>
                <w:sz w:val="22"/>
                <w:szCs w:val="22"/>
                <w:u w:val="single"/>
                <w:lang w:val="es-ES" w:eastAsia="en-US"/>
              </w:rPr>
              <w:t>domestic</w:t>
            </w:r>
            <w:proofErr w:type="spellEnd"/>
            <w:r>
              <w:rPr>
                <w:rFonts w:eastAsia="Palatino Linotype"/>
                <w:b/>
                <w:position w:val="1"/>
                <w:sz w:val="22"/>
                <w:szCs w:val="22"/>
                <w:u w:val="single"/>
                <w:lang w:val="es-ES" w:eastAsia="en-US"/>
              </w:rPr>
              <w:t xml:space="preserve"> </w:t>
            </w:r>
            <w:proofErr w:type="spellStart"/>
            <w:r>
              <w:rPr>
                <w:rFonts w:eastAsia="Palatino Linotype"/>
                <w:b/>
                <w:position w:val="1"/>
                <w:sz w:val="22"/>
                <w:szCs w:val="22"/>
                <w:u w:val="single"/>
                <w:lang w:val="es-ES" w:eastAsia="en-US"/>
              </w:rPr>
              <w:t>or</w:t>
            </w:r>
            <w:proofErr w:type="spellEnd"/>
            <w:r>
              <w:rPr>
                <w:rFonts w:eastAsia="Palatino Linotype"/>
                <w:b/>
                <w:position w:val="1"/>
                <w:sz w:val="22"/>
                <w:szCs w:val="22"/>
                <w:u w:val="single"/>
                <w:lang w:val="es-ES" w:eastAsia="en-US"/>
              </w:rPr>
              <w:t xml:space="preserve"> </w:t>
            </w:r>
            <w:proofErr w:type="spellStart"/>
            <w:r>
              <w:rPr>
                <w:rFonts w:eastAsia="Palatino Linotype"/>
                <w:b/>
                <w:position w:val="1"/>
                <w:sz w:val="22"/>
                <w:szCs w:val="22"/>
                <w:u w:val="single"/>
                <w:lang w:val="es-ES" w:eastAsia="en-US"/>
              </w:rPr>
              <w:t>imported</w:t>
            </w:r>
            <w:proofErr w:type="spellEnd"/>
            <w:r>
              <w:rPr>
                <w:rFonts w:eastAsia="Palatino Linotype"/>
                <w:b/>
                <w:position w:val="1"/>
                <w:sz w:val="22"/>
                <w:szCs w:val="22"/>
                <w:u w:val="single"/>
                <w:lang w:val="es-ES" w:eastAsia="en-US"/>
              </w:rPr>
              <w:t>)</w:t>
            </w:r>
          </w:p>
          <w:p w14:paraId="396F1181" w14:textId="77777777" w:rsidR="00E255F4" w:rsidRDefault="00000000">
            <w:pPr>
              <w:pStyle w:val="Prrafodelista"/>
              <w:ind w:left="0" w:right="33"/>
              <w:jc w:val="both"/>
            </w:pPr>
            <w:r>
              <w:rPr>
                <w:rFonts w:eastAsia="Palatino Linotype"/>
                <w:position w:val="1"/>
                <w:sz w:val="22"/>
                <w:szCs w:val="22"/>
                <w:lang w:val="es-ES" w:eastAsia="en-US"/>
              </w:rPr>
              <w:t xml:space="preserve">For local </w:t>
            </w:r>
            <w:proofErr w:type="spellStart"/>
            <w:r>
              <w:rPr>
                <w:rFonts w:eastAsia="Palatino Linotype"/>
                <w:position w:val="1"/>
                <w:sz w:val="22"/>
                <w:szCs w:val="22"/>
                <w:lang w:val="es-ES" w:eastAsia="en-US"/>
              </w:rPr>
              <w:t>bids</w:t>
            </w:r>
            <w:proofErr w:type="spellEnd"/>
            <w:r>
              <w:rPr>
                <w:rFonts w:eastAsia="Palatino Linotype"/>
                <w:position w:val="1"/>
                <w:sz w:val="22"/>
                <w:szCs w:val="22"/>
                <w:lang w:val="es-ES" w:eastAsia="en-US"/>
              </w:rPr>
              <w:t xml:space="preserve"> (</w:t>
            </w:r>
            <w:proofErr w:type="spellStart"/>
            <w:r>
              <w:rPr>
                <w:rFonts w:eastAsia="Palatino Linotype"/>
                <w:position w:val="1"/>
                <w:sz w:val="22"/>
                <w:szCs w:val="22"/>
                <w:lang w:val="es-ES" w:eastAsia="en-US"/>
              </w:rPr>
              <w:t>of</w:t>
            </w:r>
            <w:proofErr w:type="spellEnd"/>
            <w:r>
              <w:rPr>
                <w:rFonts w:eastAsia="Palatino Linotype"/>
                <w:position w:val="1"/>
                <w:sz w:val="22"/>
                <w:szCs w:val="22"/>
                <w:lang w:val="es-ES" w:eastAsia="en-US"/>
              </w:rPr>
              <w:t xml:space="preserve"> </w:t>
            </w:r>
            <w:proofErr w:type="spellStart"/>
            <w:r>
              <w:rPr>
                <w:rFonts w:eastAsia="Palatino Linotype"/>
                <w:position w:val="1"/>
                <w:sz w:val="22"/>
                <w:szCs w:val="22"/>
                <w:lang w:val="es-ES" w:eastAsia="en-US"/>
              </w:rPr>
              <w:t>domestically</w:t>
            </w:r>
            <w:proofErr w:type="spellEnd"/>
            <w:r>
              <w:rPr>
                <w:rFonts w:eastAsia="Palatino Linotype"/>
                <w:position w:val="1"/>
                <w:sz w:val="22"/>
                <w:szCs w:val="22"/>
                <w:lang w:val="es-ES" w:eastAsia="en-US"/>
              </w:rPr>
              <w:t xml:space="preserve"> </w:t>
            </w:r>
            <w:proofErr w:type="spellStart"/>
            <w:r>
              <w:rPr>
                <w:rFonts w:eastAsia="Palatino Linotype"/>
                <w:position w:val="1"/>
                <w:sz w:val="22"/>
                <w:szCs w:val="22"/>
                <w:lang w:val="es-ES" w:eastAsia="en-US"/>
              </w:rPr>
              <w:t>manufactured</w:t>
            </w:r>
            <w:proofErr w:type="spellEnd"/>
            <w:r>
              <w:rPr>
                <w:rFonts w:eastAsia="Palatino Linotype"/>
                <w:position w:val="1"/>
                <w:sz w:val="22"/>
                <w:szCs w:val="22"/>
                <w:lang w:val="es-ES" w:eastAsia="en-US"/>
              </w:rPr>
              <w:t xml:space="preserve"> </w:t>
            </w:r>
            <w:proofErr w:type="spellStart"/>
            <w:r>
              <w:rPr>
                <w:rFonts w:eastAsia="Palatino Linotype"/>
                <w:position w:val="1"/>
                <w:sz w:val="22"/>
                <w:szCs w:val="22"/>
                <w:lang w:val="es-ES" w:eastAsia="en-US"/>
              </w:rPr>
              <w:t>goods</w:t>
            </w:r>
            <w:proofErr w:type="spellEnd"/>
            <w:r>
              <w:rPr>
                <w:rFonts w:eastAsia="Palatino Linotype"/>
                <w:position w:val="1"/>
                <w:sz w:val="22"/>
                <w:szCs w:val="22"/>
                <w:lang w:val="es-ES" w:eastAsia="en-US"/>
              </w:rPr>
              <w:t xml:space="preserve"> </w:t>
            </w:r>
            <w:proofErr w:type="spellStart"/>
            <w:r>
              <w:rPr>
                <w:rFonts w:eastAsia="Palatino Linotype"/>
                <w:position w:val="1"/>
                <w:sz w:val="22"/>
                <w:szCs w:val="22"/>
                <w:lang w:val="es-ES" w:eastAsia="en-US"/>
              </w:rPr>
              <w:t>or</w:t>
            </w:r>
            <w:proofErr w:type="spellEnd"/>
            <w:r>
              <w:rPr>
                <w:rFonts w:eastAsia="Palatino Linotype"/>
                <w:position w:val="1"/>
                <w:sz w:val="22"/>
                <w:szCs w:val="22"/>
                <w:lang w:val="es-ES" w:eastAsia="en-US"/>
              </w:rPr>
              <w:t xml:space="preserve"> </w:t>
            </w:r>
            <w:proofErr w:type="spellStart"/>
            <w:r>
              <w:rPr>
                <w:rFonts w:eastAsia="Palatino Linotype"/>
                <w:position w:val="1"/>
                <w:sz w:val="22"/>
                <w:szCs w:val="22"/>
                <w:lang w:val="es-ES" w:eastAsia="en-US"/>
              </w:rPr>
              <w:t>imported</w:t>
            </w:r>
            <w:proofErr w:type="spellEnd"/>
            <w:r>
              <w:rPr>
                <w:rFonts w:eastAsia="Palatino Linotype"/>
                <w:position w:val="1"/>
                <w:sz w:val="22"/>
                <w:szCs w:val="22"/>
                <w:lang w:val="es-ES" w:eastAsia="en-US"/>
              </w:rPr>
              <w:t xml:space="preserve"> </w:t>
            </w:r>
            <w:proofErr w:type="spellStart"/>
            <w:r>
              <w:rPr>
                <w:rFonts w:eastAsia="Palatino Linotype"/>
                <w:position w:val="1"/>
                <w:sz w:val="22"/>
                <w:szCs w:val="22"/>
                <w:lang w:val="es-ES" w:eastAsia="en-US"/>
              </w:rPr>
              <w:t>goods</w:t>
            </w:r>
            <w:proofErr w:type="spellEnd"/>
            <w:r>
              <w:rPr>
                <w:rFonts w:eastAsia="Palatino Linotype"/>
                <w:position w:val="1"/>
                <w:sz w:val="22"/>
                <w:szCs w:val="22"/>
                <w:lang w:val="es-ES" w:eastAsia="en-US"/>
              </w:rPr>
              <w:t xml:space="preserve">) </w:t>
            </w:r>
            <w:proofErr w:type="spellStart"/>
            <w:r>
              <w:rPr>
                <w:rFonts w:eastAsia="Palatino Linotype"/>
                <w:position w:val="1"/>
                <w:sz w:val="22"/>
                <w:szCs w:val="22"/>
                <w:lang w:val="es-ES" w:eastAsia="en-US"/>
              </w:rPr>
              <w:t>the</w:t>
            </w:r>
            <w:proofErr w:type="spellEnd"/>
            <w:r>
              <w:rPr>
                <w:rFonts w:eastAsia="Palatino Linotype"/>
                <w:position w:val="1"/>
                <w:sz w:val="22"/>
                <w:szCs w:val="22"/>
                <w:lang w:val="es-ES" w:eastAsia="en-US"/>
              </w:rPr>
              <w:t xml:space="preserve"> </w:t>
            </w:r>
            <w:proofErr w:type="spellStart"/>
            <w:r>
              <w:rPr>
                <w:rFonts w:eastAsia="Palatino Linotype"/>
                <w:position w:val="1"/>
                <w:sz w:val="22"/>
                <w:szCs w:val="22"/>
                <w:lang w:val="es-ES" w:eastAsia="en-US"/>
              </w:rPr>
              <w:t>bidder</w:t>
            </w:r>
            <w:proofErr w:type="spellEnd"/>
            <w:r>
              <w:rPr>
                <w:rFonts w:eastAsia="Palatino Linotype"/>
                <w:position w:val="1"/>
                <w:sz w:val="22"/>
                <w:szCs w:val="22"/>
                <w:lang w:val="es-ES" w:eastAsia="en-US"/>
              </w:rPr>
              <w:t xml:space="preserve"> </w:t>
            </w:r>
            <w:proofErr w:type="spellStart"/>
            <w:r>
              <w:rPr>
                <w:rFonts w:eastAsia="Palatino Linotype"/>
                <w:position w:val="1"/>
                <w:sz w:val="22"/>
                <w:szCs w:val="22"/>
                <w:lang w:val="es-ES" w:eastAsia="en-US"/>
              </w:rPr>
              <w:t>will</w:t>
            </w:r>
            <w:proofErr w:type="spellEnd"/>
            <w:r>
              <w:rPr>
                <w:rFonts w:eastAsia="Palatino Linotype"/>
                <w:position w:val="1"/>
                <w:sz w:val="22"/>
                <w:szCs w:val="22"/>
                <w:lang w:val="es-ES" w:eastAsia="en-US"/>
              </w:rPr>
              <w:t xml:space="preserve"> </w:t>
            </w:r>
            <w:proofErr w:type="spellStart"/>
            <w:r>
              <w:rPr>
                <w:rFonts w:eastAsia="Palatino Linotype"/>
                <w:position w:val="1"/>
                <w:sz w:val="22"/>
                <w:szCs w:val="22"/>
                <w:lang w:val="es-ES" w:eastAsia="en-US"/>
              </w:rPr>
              <w:t>quote</w:t>
            </w:r>
            <w:proofErr w:type="spellEnd"/>
            <w:r>
              <w:rPr>
                <w:rFonts w:eastAsia="Palatino Linotype"/>
                <w:position w:val="1"/>
                <w:sz w:val="22"/>
                <w:szCs w:val="22"/>
                <w:lang w:val="es-ES" w:eastAsia="en-US"/>
              </w:rPr>
              <w:t xml:space="preserve"> </w:t>
            </w:r>
            <w:proofErr w:type="spellStart"/>
            <w:r>
              <w:rPr>
                <w:rFonts w:eastAsia="Palatino Linotype"/>
                <w:position w:val="1"/>
                <w:sz w:val="22"/>
                <w:szCs w:val="22"/>
                <w:lang w:val="es-ES" w:eastAsia="en-US"/>
              </w:rPr>
              <w:t>by</w:t>
            </w:r>
            <w:proofErr w:type="spellEnd"/>
            <w:r>
              <w:rPr>
                <w:rFonts w:eastAsia="Palatino Linotype"/>
                <w:position w:val="1"/>
                <w:sz w:val="22"/>
                <w:szCs w:val="22"/>
                <w:lang w:val="es-ES" w:eastAsia="en-US"/>
              </w:rPr>
              <w:t xml:space="preserve"> </w:t>
            </w:r>
            <w:proofErr w:type="spellStart"/>
            <w:r>
              <w:rPr>
                <w:rFonts w:eastAsia="Palatino Linotype"/>
                <w:position w:val="1"/>
                <w:sz w:val="22"/>
                <w:szCs w:val="22"/>
                <w:lang w:val="es-ES" w:eastAsia="en-US"/>
              </w:rPr>
              <w:t>completing</w:t>
            </w:r>
            <w:proofErr w:type="spellEnd"/>
            <w:r>
              <w:rPr>
                <w:rFonts w:eastAsia="Palatino Linotype"/>
                <w:position w:val="1"/>
                <w:sz w:val="22"/>
                <w:szCs w:val="22"/>
                <w:lang w:val="es-ES" w:eastAsia="en-US"/>
              </w:rPr>
              <w:t xml:space="preserve"> </w:t>
            </w:r>
            <w:proofErr w:type="spellStart"/>
            <w:r>
              <w:rPr>
                <w:rFonts w:eastAsia="Palatino Linotype"/>
                <w:position w:val="1"/>
                <w:sz w:val="22"/>
                <w:szCs w:val="22"/>
                <w:lang w:val="es-ES" w:eastAsia="en-US"/>
              </w:rPr>
              <w:t>the</w:t>
            </w:r>
            <w:proofErr w:type="spellEnd"/>
            <w:r>
              <w:rPr>
                <w:rFonts w:eastAsia="Palatino Linotype"/>
                <w:position w:val="1"/>
                <w:sz w:val="22"/>
                <w:szCs w:val="22"/>
                <w:lang w:val="es-ES" w:eastAsia="en-US"/>
              </w:rPr>
              <w:t xml:space="preserve"> </w:t>
            </w:r>
            <w:proofErr w:type="spellStart"/>
            <w:r>
              <w:rPr>
                <w:rFonts w:eastAsia="Palatino Linotype"/>
                <w:position w:val="1"/>
                <w:sz w:val="22"/>
                <w:szCs w:val="22"/>
                <w:lang w:val="es-ES" w:eastAsia="en-US"/>
              </w:rPr>
              <w:t>Quantity</w:t>
            </w:r>
            <w:proofErr w:type="spellEnd"/>
            <w:r>
              <w:rPr>
                <w:rFonts w:eastAsia="Palatino Linotype"/>
                <w:position w:val="1"/>
                <w:sz w:val="22"/>
                <w:szCs w:val="22"/>
                <w:lang w:val="es-ES" w:eastAsia="en-US"/>
              </w:rPr>
              <w:t xml:space="preserve"> and Price </w:t>
            </w:r>
            <w:proofErr w:type="spellStart"/>
            <w:r>
              <w:rPr>
                <w:rFonts w:eastAsia="Palatino Linotype"/>
                <w:position w:val="1"/>
                <w:sz w:val="22"/>
                <w:szCs w:val="22"/>
                <w:lang w:val="es-ES" w:eastAsia="en-US"/>
              </w:rPr>
              <w:t>Sheet</w:t>
            </w:r>
            <w:proofErr w:type="spellEnd"/>
            <w:r>
              <w:rPr>
                <w:rFonts w:eastAsia="Palatino Linotype"/>
                <w:position w:val="1"/>
                <w:sz w:val="22"/>
                <w:szCs w:val="22"/>
                <w:lang w:val="es-ES" w:eastAsia="en-US"/>
              </w:rPr>
              <w:t xml:space="preserve">, </w:t>
            </w:r>
            <w:proofErr w:type="spellStart"/>
            <w:r>
              <w:rPr>
                <w:rFonts w:eastAsia="Palatino Linotype"/>
                <w:position w:val="1"/>
                <w:sz w:val="22"/>
                <w:szCs w:val="22"/>
                <w:lang w:val="es-ES" w:eastAsia="en-US"/>
              </w:rPr>
              <w:t>from</w:t>
            </w:r>
            <w:proofErr w:type="spellEnd"/>
            <w:r>
              <w:rPr>
                <w:rFonts w:eastAsia="Palatino Linotype"/>
                <w:position w:val="1"/>
                <w:sz w:val="22"/>
                <w:szCs w:val="22"/>
                <w:lang w:val="es-ES" w:eastAsia="en-US"/>
              </w:rPr>
              <w:t xml:space="preserve"> </w:t>
            </w:r>
            <w:proofErr w:type="spellStart"/>
            <w:r>
              <w:rPr>
                <w:rFonts w:eastAsia="Palatino Linotype"/>
                <w:position w:val="1"/>
                <w:sz w:val="22"/>
                <w:szCs w:val="22"/>
                <w:lang w:val="es-ES" w:eastAsia="en-US"/>
              </w:rPr>
              <w:t>Annex</w:t>
            </w:r>
            <w:proofErr w:type="spellEnd"/>
            <w:r>
              <w:rPr>
                <w:rFonts w:eastAsia="Palatino Linotype"/>
                <w:position w:val="1"/>
                <w:sz w:val="22"/>
                <w:szCs w:val="22"/>
                <w:lang w:val="es-ES" w:eastAsia="en-US"/>
              </w:rPr>
              <w:t xml:space="preserve"> V a1).</w:t>
            </w:r>
          </w:p>
          <w:p w14:paraId="74FF4E10" w14:textId="77777777" w:rsidR="00E255F4" w:rsidRDefault="00E255F4">
            <w:pPr>
              <w:tabs>
                <w:tab w:val="left" w:pos="0"/>
              </w:tabs>
              <w:spacing w:line="240" w:lineRule="auto"/>
              <w:jc w:val="both"/>
              <w:textAlignment w:val="baseline"/>
              <w:rPr>
                <w:rFonts w:eastAsia="Palatino Linotype"/>
                <w:strike/>
                <w:color w:val="000000"/>
                <w:position w:val="1"/>
                <w:sz w:val="22"/>
                <w:szCs w:val="22"/>
                <w:lang w:val="es-ES" w:eastAsia="en-US"/>
              </w:rPr>
            </w:pPr>
          </w:p>
          <w:p w14:paraId="0162B19B" w14:textId="77777777" w:rsidR="00E255F4" w:rsidRDefault="00000000">
            <w:pPr>
              <w:pStyle w:val="Prrafodelista"/>
              <w:ind w:left="0" w:right="33"/>
              <w:jc w:val="both"/>
              <w:rPr>
                <w:rFonts w:eastAsia="Palatino Linotype"/>
                <w:b/>
                <w:position w:val="1"/>
                <w:sz w:val="22"/>
                <w:szCs w:val="22"/>
                <w:u w:val="single"/>
                <w:lang w:val="es-ES"/>
              </w:rPr>
            </w:pPr>
            <w:proofErr w:type="spellStart"/>
            <w:r>
              <w:rPr>
                <w:rFonts w:eastAsia="Palatino Linotype"/>
                <w:b/>
                <w:position w:val="1"/>
                <w:sz w:val="22"/>
                <w:szCs w:val="22"/>
                <w:u w:val="single"/>
                <w:lang w:val="es-ES"/>
              </w:rPr>
              <w:t>Offers</w:t>
            </w:r>
            <w:proofErr w:type="spellEnd"/>
            <w:r>
              <w:rPr>
                <w:rFonts w:eastAsia="Palatino Linotype"/>
                <w:b/>
                <w:position w:val="1"/>
                <w:sz w:val="22"/>
                <w:szCs w:val="22"/>
                <w:u w:val="single"/>
                <w:lang w:val="es-ES"/>
              </w:rPr>
              <w:t xml:space="preserve"> </w:t>
            </w:r>
            <w:proofErr w:type="spellStart"/>
            <w:r>
              <w:rPr>
                <w:rFonts w:eastAsia="Palatino Linotype"/>
                <w:b/>
                <w:position w:val="1"/>
                <w:sz w:val="22"/>
                <w:szCs w:val="22"/>
                <w:u w:val="single"/>
                <w:lang w:val="es-ES"/>
              </w:rPr>
              <w:t>of</w:t>
            </w:r>
            <w:proofErr w:type="spellEnd"/>
            <w:r>
              <w:rPr>
                <w:rFonts w:eastAsia="Palatino Linotype"/>
                <w:b/>
                <w:position w:val="1"/>
                <w:sz w:val="22"/>
                <w:szCs w:val="22"/>
                <w:u w:val="single"/>
                <w:lang w:val="es-ES"/>
              </w:rPr>
              <w:t xml:space="preserve"> </w:t>
            </w:r>
            <w:proofErr w:type="spellStart"/>
            <w:r>
              <w:rPr>
                <w:rFonts w:eastAsia="Palatino Linotype"/>
                <w:b/>
                <w:position w:val="1"/>
                <w:sz w:val="22"/>
                <w:szCs w:val="22"/>
                <w:u w:val="single"/>
                <w:lang w:val="es-ES"/>
              </w:rPr>
              <w:t>goods</w:t>
            </w:r>
            <w:proofErr w:type="spellEnd"/>
            <w:r>
              <w:rPr>
                <w:rFonts w:eastAsia="Palatino Linotype"/>
                <w:b/>
                <w:position w:val="1"/>
                <w:sz w:val="22"/>
                <w:szCs w:val="22"/>
                <w:u w:val="single"/>
                <w:lang w:val="es-ES"/>
              </w:rPr>
              <w:t xml:space="preserve"> </w:t>
            </w:r>
            <w:proofErr w:type="spellStart"/>
            <w:r>
              <w:rPr>
                <w:rFonts w:eastAsia="Palatino Linotype"/>
                <w:b/>
                <w:position w:val="1"/>
                <w:sz w:val="22"/>
                <w:szCs w:val="22"/>
                <w:u w:val="single"/>
                <w:lang w:val="es-ES"/>
              </w:rPr>
              <w:t>to</w:t>
            </w:r>
            <w:proofErr w:type="spellEnd"/>
            <w:r>
              <w:rPr>
                <w:rFonts w:eastAsia="Palatino Linotype"/>
                <w:b/>
                <w:position w:val="1"/>
                <w:sz w:val="22"/>
                <w:szCs w:val="22"/>
                <w:u w:val="single"/>
                <w:lang w:val="es-ES"/>
              </w:rPr>
              <w:t xml:space="preserve"> be </w:t>
            </w:r>
            <w:proofErr w:type="spellStart"/>
            <w:r>
              <w:rPr>
                <w:rFonts w:eastAsia="Palatino Linotype"/>
                <w:b/>
                <w:position w:val="1"/>
                <w:sz w:val="22"/>
                <w:szCs w:val="22"/>
                <w:u w:val="single"/>
                <w:lang w:val="es-ES"/>
              </w:rPr>
              <w:t>imported</w:t>
            </w:r>
            <w:proofErr w:type="spellEnd"/>
            <w:r>
              <w:rPr>
                <w:rFonts w:eastAsia="Palatino Linotype"/>
                <w:b/>
                <w:position w:val="1"/>
                <w:sz w:val="22"/>
                <w:szCs w:val="22"/>
                <w:u w:val="single"/>
                <w:lang w:val="es-ES"/>
              </w:rPr>
              <w:t xml:space="preserve"> </w:t>
            </w:r>
            <w:proofErr w:type="spellStart"/>
            <w:r>
              <w:rPr>
                <w:rFonts w:eastAsia="Palatino Linotype"/>
                <w:b/>
                <w:position w:val="1"/>
                <w:sz w:val="22"/>
                <w:szCs w:val="22"/>
                <w:u w:val="single"/>
                <w:lang w:val="es-ES"/>
              </w:rPr>
              <w:t>by</w:t>
            </w:r>
            <w:proofErr w:type="spellEnd"/>
            <w:r>
              <w:rPr>
                <w:rFonts w:eastAsia="Palatino Linotype"/>
                <w:b/>
                <w:position w:val="1"/>
                <w:sz w:val="22"/>
                <w:szCs w:val="22"/>
                <w:u w:val="single"/>
                <w:lang w:val="es-ES"/>
              </w:rPr>
              <w:t xml:space="preserve"> OSE</w:t>
            </w:r>
          </w:p>
          <w:p w14:paraId="4244291A" w14:textId="77777777" w:rsidR="00E255F4" w:rsidRDefault="00E255F4">
            <w:pPr>
              <w:pStyle w:val="Prrafodelista"/>
              <w:ind w:left="0" w:right="33"/>
              <w:jc w:val="both"/>
              <w:rPr>
                <w:rFonts w:eastAsia="Palatino Linotype"/>
                <w:b/>
                <w:position w:val="1"/>
                <w:sz w:val="22"/>
                <w:szCs w:val="22"/>
                <w:u w:val="single"/>
                <w:lang w:val="es-ES"/>
              </w:rPr>
            </w:pPr>
          </w:p>
          <w:p w14:paraId="4BE9A137" w14:textId="77777777" w:rsidR="00E255F4" w:rsidRDefault="00000000">
            <w:pPr>
              <w:pStyle w:val="Prrafodelista"/>
              <w:ind w:left="0" w:right="33"/>
              <w:jc w:val="both"/>
              <w:rPr>
                <w:rFonts w:eastAsia="Palatino Linotype"/>
                <w:position w:val="1"/>
                <w:sz w:val="22"/>
                <w:szCs w:val="22"/>
                <w:lang w:val="es-ES"/>
              </w:rPr>
            </w:pPr>
            <w:r>
              <w:rPr>
                <w:rFonts w:eastAsia="Palatino Linotype"/>
                <w:position w:val="1"/>
                <w:sz w:val="22"/>
                <w:szCs w:val="22"/>
                <w:lang w:val="es-ES"/>
              </w:rPr>
              <w:t xml:space="preserve">For </w:t>
            </w:r>
            <w:proofErr w:type="spellStart"/>
            <w:r>
              <w:rPr>
                <w:rFonts w:eastAsia="Palatino Linotype"/>
                <w:position w:val="1"/>
                <w:sz w:val="22"/>
                <w:szCs w:val="22"/>
                <w:lang w:val="es-ES"/>
              </w:rPr>
              <w:t>offers</w:t>
            </w:r>
            <w:proofErr w:type="spellEnd"/>
            <w:r>
              <w:rPr>
                <w:rFonts w:eastAsia="Palatino Linotype"/>
                <w:position w:val="1"/>
                <w:sz w:val="22"/>
                <w:szCs w:val="22"/>
                <w:lang w:val="es-ES"/>
              </w:rPr>
              <w:t xml:space="preserve"> </w:t>
            </w:r>
            <w:proofErr w:type="spellStart"/>
            <w:r>
              <w:rPr>
                <w:rFonts w:eastAsia="Palatino Linotype"/>
                <w:position w:val="1"/>
                <w:sz w:val="22"/>
                <w:szCs w:val="22"/>
                <w:lang w:val="es-ES"/>
              </w:rPr>
              <w:t>of</w:t>
            </w:r>
            <w:proofErr w:type="spellEnd"/>
            <w:r>
              <w:rPr>
                <w:rFonts w:eastAsia="Palatino Linotype"/>
                <w:position w:val="1"/>
                <w:sz w:val="22"/>
                <w:szCs w:val="22"/>
                <w:lang w:val="es-ES"/>
              </w:rPr>
              <w:t xml:space="preserve"> </w:t>
            </w:r>
            <w:proofErr w:type="spellStart"/>
            <w:r>
              <w:rPr>
                <w:rFonts w:eastAsia="Palatino Linotype"/>
                <w:position w:val="1"/>
                <w:sz w:val="22"/>
                <w:szCs w:val="22"/>
                <w:lang w:val="es-ES"/>
              </w:rPr>
              <w:t>goods</w:t>
            </w:r>
            <w:proofErr w:type="spellEnd"/>
            <w:r>
              <w:rPr>
                <w:rFonts w:eastAsia="Palatino Linotype"/>
                <w:position w:val="1"/>
                <w:sz w:val="22"/>
                <w:szCs w:val="22"/>
                <w:lang w:val="es-ES"/>
              </w:rPr>
              <w:t xml:space="preserve"> </w:t>
            </w:r>
            <w:proofErr w:type="spellStart"/>
            <w:r>
              <w:rPr>
                <w:rFonts w:eastAsia="Palatino Linotype"/>
                <w:position w:val="1"/>
                <w:sz w:val="22"/>
                <w:szCs w:val="22"/>
                <w:lang w:val="es-ES"/>
              </w:rPr>
              <w:t>to</w:t>
            </w:r>
            <w:proofErr w:type="spellEnd"/>
            <w:r>
              <w:rPr>
                <w:rFonts w:eastAsia="Palatino Linotype"/>
                <w:position w:val="1"/>
                <w:sz w:val="22"/>
                <w:szCs w:val="22"/>
                <w:lang w:val="es-ES"/>
              </w:rPr>
              <w:t xml:space="preserve"> be </w:t>
            </w:r>
            <w:proofErr w:type="spellStart"/>
            <w:r>
              <w:rPr>
                <w:rFonts w:eastAsia="Palatino Linotype"/>
                <w:position w:val="1"/>
                <w:sz w:val="22"/>
                <w:szCs w:val="22"/>
                <w:lang w:val="es-ES"/>
              </w:rPr>
              <w:t>imported</w:t>
            </w:r>
            <w:proofErr w:type="spellEnd"/>
            <w:r>
              <w:rPr>
                <w:rFonts w:eastAsia="Palatino Linotype"/>
                <w:position w:val="1"/>
                <w:sz w:val="22"/>
                <w:szCs w:val="22"/>
                <w:lang w:val="es-ES"/>
              </w:rPr>
              <w:t xml:space="preserve">, </w:t>
            </w:r>
            <w:proofErr w:type="spellStart"/>
            <w:r>
              <w:rPr>
                <w:rFonts w:eastAsia="Palatino Linotype"/>
                <w:position w:val="1"/>
                <w:sz w:val="22"/>
                <w:szCs w:val="22"/>
                <w:lang w:val="es-ES"/>
              </w:rPr>
              <w:t>the</w:t>
            </w:r>
            <w:proofErr w:type="spellEnd"/>
            <w:r>
              <w:rPr>
                <w:rFonts w:eastAsia="Palatino Linotype"/>
                <w:position w:val="1"/>
                <w:sz w:val="22"/>
                <w:szCs w:val="22"/>
                <w:lang w:val="es-ES"/>
              </w:rPr>
              <w:t xml:space="preserve"> </w:t>
            </w:r>
            <w:proofErr w:type="spellStart"/>
            <w:r>
              <w:rPr>
                <w:rFonts w:eastAsia="Palatino Linotype"/>
                <w:position w:val="1"/>
                <w:sz w:val="22"/>
                <w:szCs w:val="22"/>
                <w:lang w:val="es-ES"/>
              </w:rPr>
              <w:t>bidder</w:t>
            </w:r>
            <w:proofErr w:type="spellEnd"/>
            <w:r>
              <w:rPr>
                <w:rFonts w:eastAsia="Palatino Linotype"/>
                <w:position w:val="1"/>
                <w:sz w:val="22"/>
                <w:szCs w:val="22"/>
                <w:lang w:val="es-ES"/>
              </w:rPr>
              <w:t xml:space="preserve"> </w:t>
            </w:r>
            <w:proofErr w:type="spellStart"/>
            <w:r>
              <w:rPr>
                <w:rFonts w:eastAsia="Palatino Linotype"/>
                <w:position w:val="1"/>
                <w:sz w:val="22"/>
                <w:szCs w:val="22"/>
                <w:lang w:val="es-ES"/>
              </w:rPr>
              <w:t>will</w:t>
            </w:r>
            <w:proofErr w:type="spellEnd"/>
            <w:r>
              <w:rPr>
                <w:rFonts w:eastAsia="Palatino Linotype"/>
                <w:position w:val="1"/>
                <w:sz w:val="22"/>
                <w:szCs w:val="22"/>
                <w:lang w:val="es-ES"/>
              </w:rPr>
              <w:t xml:space="preserve"> </w:t>
            </w:r>
            <w:proofErr w:type="spellStart"/>
            <w:r>
              <w:rPr>
                <w:rFonts w:eastAsia="Palatino Linotype"/>
                <w:position w:val="1"/>
                <w:sz w:val="22"/>
                <w:szCs w:val="22"/>
                <w:lang w:val="es-ES"/>
              </w:rPr>
              <w:t>quote</w:t>
            </w:r>
            <w:proofErr w:type="spellEnd"/>
            <w:r>
              <w:rPr>
                <w:rFonts w:eastAsia="Palatino Linotype"/>
                <w:position w:val="1"/>
                <w:sz w:val="22"/>
                <w:szCs w:val="22"/>
                <w:lang w:val="es-ES"/>
              </w:rPr>
              <w:t xml:space="preserve"> </w:t>
            </w:r>
            <w:proofErr w:type="spellStart"/>
            <w:r>
              <w:rPr>
                <w:rFonts w:eastAsia="Palatino Linotype"/>
                <w:position w:val="1"/>
                <w:sz w:val="22"/>
                <w:szCs w:val="22"/>
                <w:lang w:val="es-ES"/>
              </w:rPr>
              <w:t>by</w:t>
            </w:r>
            <w:proofErr w:type="spellEnd"/>
            <w:r>
              <w:rPr>
                <w:rFonts w:eastAsia="Palatino Linotype"/>
                <w:position w:val="1"/>
                <w:sz w:val="22"/>
                <w:szCs w:val="22"/>
                <w:lang w:val="es-ES"/>
              </w:rPr>
              <w:t xml:space="preserve"> </w:t>
            </w:r>
            <w:proofErr w:type="spellStart"/>
            <w:r>
              <w:rPr>
                <w:rFonts w:eastAsia="Palatino Linotype"/>
                <w:position w:val="1"/>
                <w:sz w:val="22"/>
                <w:szCs w:val="22"/>
                <w:lang w:val="es-ES"/>
              </w:rPr>
              <w:t>mandatorily</w:t>
            </w:r>
            <w:proofErr w:type="spellEnd"/>
            <w:r>
              <w:rPr>
                <w:rFonts w:eastAsia="Palatino Linotype"/>
                <w:position w:val="1"/>
                <w:sz w:val="22"/>
                <w:szCs w:val="22"/>
                <w:lang w:val="es-ES"/>
              </w:rPr>
              <w:t xml:space="preserve"> </w:t>
            </w:r>
            <w:proofErr w:type="spellStart"/>
            <w:r>
              <w:rPr>
                <w:rFonts w:eastAsia="Palatino Linotype"/>
                <w:position w:val="1"/>
                <w:sz w:val="22"/>
                <w:szCs w:val="22"/>
                <w:lang w:val="es-ES"/>
              </w:rPr>
              <w:t>completing</w:t>
            </w:r>
            <w:proofErr w:type="spellEnd"/>
            <w:r>
              <w:rPr>
                <w:rFonts w:eastAsia="Palatino Linotype"/>
                <w:position w:val="1"/>
                <w:sz w:val="22"/>
                <w:szCs w:val="22"/>
                <w:lang w:val="es-ES"/>
              </w:rPr>
              <w:t xml:space="preserve"> </w:t>
            </w:r>
            <w:proofErr w:type="spellStart"/>
            <w:r>
              <w:rPr>
                <w:rFonts w:eastAsia="Palatino Linotype"/>
                <w:position w:val="1"/>
                <w:sz w:val="22"/>
                <w:szCs w:val="22"/>
                <w:lang w:val="es-ES"/>
              </w:rPr>
              <w:t>the</w:t>
            </w:r>
            <w:proofErr w:type="spellEnd"/>
            <w:r>
              <w:rPr>
                <w:rFonts w:eastAsia="Palatino Linotype"/>
                <w:position w:val="1"/>
                <w:sz w:val="22"/>
                <w:szCs w:val="22"/>
                <w:lang w:val="es-ES"/>
              </w:rPr>
              <w:t xml:space="preserve"> </w:t>
            </w:r>
            <w:proofErr w:type="spellStart"/>
            <w:r>
              <w:rPr>
                <w:rFonts w:eastAsia="Palatino Linotype"/>
                <w:position w:val="1"/>
                <w:sz w:val="22"/>
                <w:szCs w:val="22"/>
                <w:lang w:val="es-ES"/>
              </w:rPr>
              <w:t>Quantity</w:t>
            </w:r>
            <w:proofErr w:type="spellEnd"/>
            <w:r>
              <w:rPr>
                <w:rFonts w:eastAsia="Palatino Linotype"/>
                <w:position w:val="1"/>
                <w:sz w:val="22"/>
                <w:szCs w:val="22"/>
                <w:lang w:val="es-ES"/>
              </w:rPr>
              <w:t xml:space="preserve"> and Price </w:t>
            </w:r>
            <w:proofErr w:type="spellStart"/>
            <w:r>
              <w:rPr>
                <w:rFonts w:eastAsia="Palatino Linotype"/>
                <w:position w:val="1"/>
                <w:sz w:val="22"/>
                <w:szCs w:val="22"/>
                <w:lang w:val="es-ES"/>
              </w:rPr>
              <w:t>Sheet</w:t>
            </w:r>
            <w:proofErr w:type="spellEnd"/>
            <w:r>
              <w:rPr>
                <w:rFonts w:eastAsia="Palatino Linotype"/>
                <w:position w:val="1"/>
                <w:sz w:val="22"/>
                <w:szCs w:val="22"/>
                <w:lang w:val="es-ES"/>
              </w:rPr>
              <w:t xml:space="preserve"> - </w:t>
            </w:r>
            <w:proofErr w:type="spellStart"/>
            <w:r>
              <w:rPr>
                <w:rFonts w:eastAsia="Palatino Linotype"/>
                <w:position w:val="1"/>
                <w:sz w:val="22"/>
                <w:szCs w:val="22"/>
                <w:lang w:val="es-ES"/>
              </w:rPr>
              <w:t>Offers</w:t>
            </w:r>
            <w:proofErr w:type="spellEnd"/>
            <w:r>
              <w:rPr>
                <w:rFonts w:eastAsia="Palatino Linotype"/>
                <w:position w:val="1"/>
                <w:sz w:val="22"/>
                <w:szCs w:val="22"/>
                <w:lang w:val="es-ES"/>
              </w:rPr>
              <w:t xml:space="preserve"> </w:t>
            </w:r>
            <w:proofErr w:type="spellStart"/>
            <w:r>
              <w:rPr>
                <w:rFonts w:eastAsia="Palatino Linotype"/>
                <w:position w:val="1"/>
                <w:sz w:val="22"/>
                <w:szCs w:val="22"/>
                <w:lang w:val="es-ES"/>
              </w:rPr>
              <w:t>of</w:t>
            </w:r>
            <w:proofErr w:type="spellEnd"/>
            <w:r>
              <w:rPr>
                <w:rFonts w:eastAsia="Palatino Linotype"/>
                <w:position w:val="1"/>
                <w:sz w:val="22"/>
                <w:szCs w:val="22"/>
                <w:lang w:val="es-ES"/>
              </w:rPr>
              <w:t xml:space="preserve"> </w:t>
            </w:r>
            <w:proofErr w:type="spellStart"/>
            <w:r>
              <w:rPr>
                <w:rFonts w:eastAsia="Palatino Linotype"/>
                <w:position w:val="1"/>
                <w:sz w:val="22"/>
                <w:szCs w:val="22"/>
                <w:lang w:val="es-ES"/>
              </w:rPr>
              <w:t>goods</w:t>
            </w:r>
            <w:proofErr w:type="spellEnd"/>
            <w:r>
              <w:rPr>
                <w:rFonts w:eastAsia="Palatino Linotype"/>
                <w:position w:val="1"/>
                <w:sz w:val="22"/>
                <w:szCs w:val="22"/>
                <w:lang w:val="es-ES"/>
              </w:rPr>
              <w:t xml:space="preserve"> </w:t>
            </w:r>
            <w:proofErr w:type="spellStart"/>
            <w:r>
              <w:rPr>
                <w:rFonts w:eastAsia="Palatino Linotype"/>
                <w:position w:val="1"/>
                <w:sz w:val="22"/>
                <w:szCs w:val="22"/>
                <w:lang w:val="es-ES"/>
              </w:rPr>
              <w:t>to</w:t>
            </w:r>
            <w:proofErr w:type="spellEnd"/>
            <w:r>
              <w:rPr>
                <w:rFonts w:eastAsia="Palatino Linotype"/>
                <w:position w:val="1"/>
                <w:sz w:val="22"/>
                <w:szCs w:val="22"/>
                <w:lang w:val="es-ES"/>
              </w:rPr>
              <w:t xml:space="preserve"> be </w:t>
            </w:r>
            <w:proofErr w:type="spellStart"/>
            <w:r>
              <w:rPr>
                <w:rFonts w:eastAsia="Palatino Linotype"/>
                <w:position w:val="1"/>
                <w:sz w:val="22"/>
                <w:szCs w:val="22"/>
                <w:lang w:val="es-ES"/>
              </w:rPr>
              <w:t>imported</w:t>
            </w:r>
            <w:proofErr w:type="spellEnd"/>
            <w:r>
              <w:rPr>
                <w:rFonts w:eastAsia="Palatino Linotype"/>
                <w:position w:val="1"/>
                <w:sz w:val="22"/>
                <w:szCs w:val="22"/>
                <w:lang w:val="es-ES"/>
              </w:rPr>
              <w:t xml:space="preserve"> </w:t>
            </w:r>
            <w:proofErr w:type="spellStart"/>
            <w:r>
              <w:rPr>
                <w:rFonts w:eastAsia="Palatino Linotype"/>
                <w:position w:val="1"/>
                <w:sz w:val="22"/>
                <w:szCs w:val="22"/>
                <w:lang w:val="es-ES"/>
              </w:rPr>
              <w:t>by</w:t>
            </w:r>
            <w:proofErr w:type="spellEnd"/>
            <w:r>
              <w:rPr>
                <w:rFonts w:eastAsia="Palatino Linotype"/>
                <w:position w:val="1"/>
                <w:sz w:val="22"/>
                <w:szCs w:val="22"/>
                <w:lang w:val="es-ES"/>
              </w:rPr>
              <w:t xml:space="preserve"> OSE, </w:t>
            </w:r>
            <w:proofErr w:type="spellStart"/>
            <w:r>
              <w:rPr>
                <w:rFonts w:eastAsia="Palatino Linotype"/>
                <w:position w:val="1"/>
                <w:sz w:val="22"/>
                <w:szCs w:val="22"/>
                <w:lang w:val="es-ES"/>
              </w:rPr>
              <w:t>of</w:t>
            </w:r>
            <w:proofErr w:type="spellEnd"/>
            <w:r>
              <w:rPr>
                <w:rFonts w:eastAsia="Palatino Linotype"/>
                <w:position w:val="1"/>
                <w:sz w:val="22"/>
                <w:szCs w:val="22"/>
                <w:lang w:val="es-ES"/>
              </w:rPr>
              <w:t xml:space="preserve"> </w:t>
            </w:r>
            <w:proofErr w:type="spellStart"/>
            <w:r>
              <w:rPr>
                <w:rFonts w:eastAsia="Palatino Linotype"/>
                <w:position w:val="1"/>
                <w:sz w:val="22"/>
                <w:szCs w:val="22"/>
                <w:lang w:val="es-ES"/>
              </w:rPr>
              <w:t>Annex</w:t>
            </w:r>
            <w:proofErr w:type="spellEnd"/>
            <w:r>
              <w:rPr>
                <w:rFonts w:eastAsia="Palatino Linotype"/>
                <w:position w:val="1"/>
                <w:sz w:val="22"/>
                <w:szCs w:val="22"/>
                <w:lang w:val="es-ES"/>
              </w:rPr>
              <w:t xml:space="preserve"> V a2).</w:t>
            </w:r>
          </w:p>
          <w:p w14:paraId="5CDA86F5" w14:textId="77777777" w:rsidR="00E255F4" w:rsidRDefault="00E255F4">
            <w:pPr>
              <w:pStyle w:val="Prrafodelista"/>
              <w:ind w:left="0" w:right="33"/>
              <w:jc w:val="both"/>
              <w:rPr>
                <w:rFonts w:eastAsia="Palatino Linotype"/>
                <w:position w:val="1"/>
                <w:sz w:val="22"/>
                <w:szCs w:val="22"/>
                <w:lang w:val="es-ES"/>
              </w:rPr>
            </w:pPr>
          </w:p>
          <w:p w14:paraId="467845E3" w14:textId="77777777" w:rsidR="00E255F4" w:rsidRDefault="00000000">
            <w:pPr>
              <w:tabs>
                <w:tab w:val="left" w:pos="0"/>
              </w:tabs>
              <w:spacing w:line="240" w:lineRule="auto"/>
              <w:jc w:val="both"/>
              <w:textAlignment w:val="baseline"/>
              <w:rPr>
                <w:i/>
                <w:sz w:val="22"/>
                <w:szCs w:val="22"/>
              </w:rPr>
            </w:pPr>
            <w:r>
              <w:rPr>
                <w:sz w:val="22"/>
                <w:szCs w:val="22"/>
              </w:rPr>
              <w:t xml:space="preserve">In </w:t>
            </w:r>
            <w:proofErr w:type="spellStart"/>
            <w:r>
              <w:rPr>
                <w:sz w:val="22"/>
                <w:szCs w:val="22"/>
              </w:rPr>
              <w:t>the</w:t>
            </w:r>
            <w:proofErr w:type="spellEnd"/>
            <w:r>
              <w:rPr>
                <w:sz w:val="22"/>
                <w:szCs w:val="22"/>
              </w:rPr>
              <w:t xml:space="preserve"> </w:t>
            </w:r>
            <w:proofErr w:type="spellStart"/>
            <w:r>
              <w:rPr>
                <w:sz w:val="22"/>
                <w:szCs w:val="22"/>
              </w:rPr>
              <w:t>Quantity</w:t>
            </w:r>
            <w:proofErr w:type="spellEnd"/>
            <w:r>
              <w:rPr>
                <w:sz w:val="22"/>
                <w:szCs w:val="22"/>
              </w:rPr>
              <w:t xml:space="preserve"> and Price List - </w:t>
            </w:r>
            <w:proofErr w:type="spellStart"/>
            <w:r>
              <w:rPr>
                <w:sz w:val="22"/>
                <w:szCs w:val="22"/>
              </w:rPr>
              <w:t>Offers</w:t>
            </w:r>
            <w:proofErr w:type="spellEnd"/>
            <w:r>
              <w:rPr>
                <w:sz w:val="22"/>
                <w:szCs w:val="22"/>
              </w:rPr>
              <w:t xml:space="preserve"> </w:t>
            </w:r>
            <w:proofErr w:type="spellStart"/>
            <w:r>
              <w:rPr>
                <w:sz w:val="22"/>
                <w:szCs w:val="22"/>
              </w:rPr>
              <w:t>of</w:t>
            </w:r>
            <w:proofErr w:type="spellEnd"/>
            <w:r>
              <w:rPr>
                <w:sz w:val="22"/>
                <w:szCs w:val="22"/>
              </w:rPr>
              <w:t xml:space="preserve"> </w:t>
            </w:r>
            <w:proofErr w:type="spellStart"/>
            <w:r>
              <w:rPr>
                <w:sz w:val="22"/>
                <w:szCs w:val="22"/>
              </w:rPr>
              <w:t>goods</w:t>
            </w:r>
            <w:proofErr w:type="spellEnd"/>
            <w:r>
              <w:rPr>
                <w:sz w:val="22"/>
                <w:szCs w:val="22"/>
              </w:rPr>
              <w:t xml:space="preserve"> </w:t>
            </w:r>
            <w:proofErr w:type="spellStart"/>
            <w:r>
              <w:rPr>
                <w:sz w:val="22"/>
                <w:szCs w:val="22"/>
              </w:rPr>
              <w:t>to</w:t>
            </w:r>
            <w:proofErr w:type="spellEnd"/>
            <w:r>
              <w:rPr>
                <w:sz w:val="22"/>
                <w:szCs w:val="22"/>
              </w:rPr>
              <w:t xml:space="preserve"> be </w:t>
            </w:r>
            <w:proofErr w:type="spellStart"/>
            <w:r>
              <w:rPr>
                <w:sz w:val="22"/>
                <w:szCs w:val="22"/>
              </w:rPr>
              <w:t>imported</w:t>
            </w:r>
            <w:proofErr w:type="spellEnd"/>
            <w:r>
              <w:rPr>
                <w:sz w:val="22"/>
                <w:szCs w:val="22"/>
              </w:rPr>
              <w:t xml:space="preserve"> </w:t>
            </w:r>
            <w:proofErr w:type="spellStart"/>
            <w:r>
              <w:rPr>
                <w:sz w:val="22"/>
                <w:szCs w:val="22"/>
              </w:rPr>
              <w:t>by</w:t>
            </w:r>
            <w:proofErr w:type="spellEnd"/>
            <w:r>
              <w:rPr>
                <w:sz w:val="22"/>
                <w:szCs w:val="22"/>
              </w:rPr>
              <w:t xml:space="preserve"> OSE, </w:t>
            </w:r>
            <w:proofErr w:type="spellStart"/>
            <w:r>
              <w:rPr>
                <w:sz w:val="22"/>
                <w:szCs w:val="22"/>
              </w:rPr>
              <w:t>of</w:t>
            </w:r>
            <w:proofErr w:type="spellEnd"/>
            <w:r>
              <w:rPr>
                <w:sz w:val="22"/>
                <w:szCs w:val="22"/>
              </w:rPr>
              <w:t xml:space="preserve"> </w:t>
            </w:r>
            <w:proofErr w:type="spellStart"/>
            <w:r>
              <w:rPr>
                <w:sz w:val="22"/>
                <w:szCs w:val="22"/>
              </w:rPr>
              <w:t>Annex</w:t>
            </w:r>
            <w:proofErr w:type="spellEnd"/>
            <w:r>
              <w:rPr>
                <w:sz w:val="22"/>
                <w:szCs w:val="22"/>
              </w:rPr>
              <w:t xml:space="preserve"> V a2) (MANDATORY), </w:t>
            </w:r>
            <w:proofErr w:type="spellStart"/>
            <w:r>
              <w:rPr>
                <w:sz w:val="22"/>
                <w:szCs w:val="22"/>
              </w:rPr>
              <w:t>bidders</w:t>
            </w:r>
            <w:proofErr w:type="spellEnd"/>
            <w:r>
              <w:rPr>
                <w:sz w:val="22"/>
                <w:szCs w:val="22"/>
              </w:rPr>
              <w:t xml:space="preserve"> are </w:t>
            </w:r>
            <w:proofErr w:type="spellStart"/>
            <w:r>
              <w:rPr>
                <w:sz w:val="22"/>
                <w:szCs w:val="22"/>
              </w:rPr>
              <w:t>required</w:t>
            </w:r>
            <w:proofErr w:type="spellEnd"/>
            <w:r>
              <w:rPr>
                <w:sz w:val="22"/>
                <w:szCs w:val="22"/>
              </w:rPr>
              <w:t xml:space="preserve"> </w:t>
            </w:r>
            <w:proofErr w:type="spellStart"/>
            <w:r>
              <w:rPr>
                <w:sz w:val="22"/>
                <w:szCs w:val="22"/>
              </w:rPr>
              <w:t>to</w:t>
            </w:r>
            <w:proofErr w:type="spellEnd"/>
            <w:r>
              <w:rPr>
                <w:sz w:val="22"/>
                <w:szCs w:val="22"/>
              </w:rPr>
              <w:t xml:space="preserve"> </w:t>
            </w:r>
            <w:proofErr w:type="spellStart"/>
            <w:r>
              <w:rPr>
                <w:sz w:val="22"/>
                <w:szCs w:val="22"/>
              </w:rPr>
              <w:t>include</w:t>
            </w:r>
            <w:proofErr w:type="spellEnd"/>
            <w:r>
              <w:rPr>
                <w:sz w:val="22"/>
                <w:szCs w:val="22"/>
              </w:rPr>
              <w:t xml:space="preserve"> in </w:t>
            </w:r>
            <w:proofErr w:type="spellStart"/>
            <w:r>
              <w:rPr>
                <w:sz w:val="22"/>
                <w:szCs w:val="22"/>
              </w:rPr>
              <w:t>their</w:t>
            </w:r>
            <w:proofErr w:type="spellEnd"/>
            <w:r>
              <w:rPr>
                <w:sz w:val="22"/>
                <w:szCs w:val="22"/>
              </w:rPr>
              <w:t xml:space="preserve"> </w:t>
            </w:r>
            <w:proofErr w:type="spellStart"/>
            <w:r>
              <w:rPr>
                <w:sz w:val="22"/>
                <w:szCs w:val="22"/>
              </w:rPr>
              <w:t>quotation</w:t>
            </w:r>
            <w:proofErr w:type="spellEnd"/>
            <w:r>
              <w:rPr>
                <w:sz w:val="22"/>
                <w:szCs w:val="22"/>
              </w:rPr>
              <w:t xml:space="preserve">, at a </w:t>
            </w:r>
            <w:proofErr w:type="spellStart"/>
            <w:r>
              <w:rPr>
                <w:sz w:val="22"/>
                <w:szCs w:val="22"/>
              </w:rPr>
              <w:t>minimum</w:t>
            </w:r>
            <w:proofErr w:type="spellEnd"/>
            <w:r>
              <w:rPr>
                <w:sz w:val="22"/>
                <w:szCs w:val="22"/>
              </w:rPr>
              <w:t xml:space="preserve">, </w:t>
            </w:r>
            <w:proofErr w:type="spellStart"/>
            <w:r>
              <w:rPr>
                <w:sz w:val="22"/>
                <w:szCs w:val="22"/>
              </w:rPr>
              <w:t>the</w:t>
            </w:r>
            <w:proofErr w:type="spellEnd"/>
            <w:r>
              <w:rPr>
                <w:sz w:val="22"/>
                <w:szCs w:val="22"/>
              </w:rPr>
              <w:t xml:space="preserve"> </w:t>
            </w:r>
            <w:proofErr w:type="spellStart"/>
            <w:r>
              <w:rPr>
                <w:sz w:val="22"/>
                <w:szCs w:val="22"/>
              </w:rPr>
              <w:t>following</w:t>
            </w:r>
            <w:proofErr w:type="spellEnd"/>
            <w:r>
              <w:rPr>
                <w:sz w:val="22"/>
                <w:szCs w:val="22"/>
              </w:rPr>
              <w:t xml:space="preserve"> </w:t>
            </w:r>
            <w:proofErr w:type="spellStart"/>
            <w:r>
              <w:rPr>
                <w:sz w:val="22"/>
                <w:szCs w:val="22"/>
              </w:rPr>
              <w:t>breakdown</w:t>
            </w:r>
            <w:proofErr w:type="spellEnd"/>
            <w:r>
              <w:rPr>
                <w:sz w:val="22"/>
                <w:szCs w:val="22"/>
              </w:rPr>
              <w:t>:</w:t>
            </w:r>
          </w:p>
          <w:p w14:paraId="0F1DE9FD" w14:textId="77777777" w:rsidR="00E255F4" w:rsidRDefault="00E255F4">
            <w:pPr>
              <w:tabs>
                <w:tab w:val="left" w:pos="709"/>
              </w:tabs>
              <w:spacing w:line="240" w:lineRule="auto"/>
              <w:jc w:val="both"/>
              <w:textAlignment w:val="baseline"/>
              <w:rPr>
                <w:i/>
                <w:sz w:val="22"/>
                <w:szCs w:val="22"/>
              </w:rPr>
            </w:pPr>
          </w:p>
          <w:p w14:paraId="09A63E32" w14:textId="77777777" w:rsidR="00E255F4" w:rsidRDefault="00000000">
            <w:pPr>
              <w:numPr>
                <w:ilvl w:val="2"/>
                <w:numId w:val="25"/>
              </w:numPr>
              <w:tabs>
                <w:tab w:val="left" w:pos="709"/>
              </w:tabs>
              <w:spacing w:line="240" w:lineRule="auto"/>
              <w:ind w:left="709" w:hanging="283"/>
              <w:jc w:val="both"/>
              <w:textAlignment w:val="baseline"/>
              <w:rPr>
                <w:sz w:val="22"/>
                <w:szCs w:val="22"/>
              </w:rPr>
            </w:pPr>
            <w:r>
              <w:rPr>
                <w:sz w:val="22"/>
                <w:szCs w:val="22"/>
              </w:rPr>
              <w:t xml:space="preserve">Material </w:t>
            </w:r>
            <w:proofErr w:type="spellStart"/>
            <w:r>
              <w:rPr>
                <w:sz w:val="22"/>
                <w:szCs w:val="22"/>
              </w:rPr>
              <w:t>description</w:t>
            </w:r>
            <w:proofErr w:type="spellEnd"/>
            <w:r>
              <w:rPr>
                <w:sz w:val="22"/>
                <w:szCs w:val="22"/>
              </w:rPr>
              <w:t>.</w:t>
            </w:r>
          </w:p>
          <w:p w14:paraId="49ACA8E1" w14:textId="77777777" w:rsidR="00E255F4" w:rsidRDefault="00000000">
            <w:pPr>
              <w:numPr>
                <w:ilvl w:val="2"/>
                <w:numId w:val="25"/>
              </w:numPr>
              <w:tabs>
                <w:tab w:val="left" w:pos="709"/>
              </w:tabs>
              <w:spacing w:line="240" w:lineRule="auto"/>
              <w:ind w:left="709" w:hanging="283"/>
              <w:jc w:val="both"/>
              <w:textAlignment w:val="baseline"/>
            </w:pPr>
            <w:proofErr w:type="spellStart"/>
            <w:r>
              <w:rPr>
                <w:sz w:val="22"/>
                <w:szCs w:val="22"/>
              </w:rPr>
              <w:t>Amount</w:t>
            </w:r>
            <w:proofErr w:type="spellEnd"/>
            <w:r>
              <w:rPr>
                <w:sz w:val="22"/>
                <w:szCs w:val="22"/>
              </w:rPr>
              <w:t xml:space="preserve"> </w:t>
            </w:r>
            <w:proofErr w:type="spellStart"/>
            <w:r>
              <w:rPr>
                <w:sz w:val="22"/>
                <w:szCs w:val="22"/>
              </w:rPr>
              <w:t>offered</w:t>
            </w:r>
            <w:proofErr w:type="spellEnd"/>
            <w:r>
              <w:rPr>
                <w:sz w:val="22"/>
                <w:szCs w:val="22"/>
              </w:rPr>
              <w:t>.</w:t>
            </w:r>
          </w:p>
          <w:p w14:paraId="7FD799B9" w14:textId="77777777" w:rsidR="00E255F4" w:rsidRDefault="00000000">
            <w:pPr>
              <w:numPr>
                <w:ilvl w:val="2"/>
                <w:numId w:val="25"/>
              </w:numPr>
              <w:tabs>
                <w:tab w:val="left" w:pos="709"/>
              </w:tabs>
              <w:spacing w:line="240" w:lineRule="auto"/>
              <w:ind w:left="709" w:hanging="283"/>
              <w:jc w:val="both"/>
              <w:textAlignment w:val="baseline"/>
            </w:pPr>
            <w:proofErr w:type="spellStart"/>
            <w:r>
              <w:rPr>
                <w:sz w:val="22"/>
                <w:szCs w:val="22"/>
              </w:rPr>
              <w:t>Unit</w:t>
            </w:r>
            <w:proofErr w:type="spellEnd"/>
            <w:r>
              <w:rPr>
                <w:sz w:val="22"/>
                <w:szCs w:val="22"/>
              </w:rPr>
              <w:t>.</w:t>
            </w:r>
          </w:p>
          <w:p w14:paraId="0D31542F" w14:textId="77777777" w:rsidR="00E255F4" w:rsidRDefault="00000000">
            <w:pPr>
              <w:numPr>
                <w:ilvl w:val="2"/>
                <w:numId w:val="25"/>
              </w:numPr>
              <w:tabs>
                <w:tab w:val="left" w:pos="709"/>
              </w:tabs>
              <w:spacing w:line="240" w:lineRule="auto"/>
              <w:ind w:left="709" w:hanging="283"/>
              <w:jc w:val="both"/>
              <w:textAlignment w:val="baseline"/>
              <w:rPr>
                <w:sz w:val="22"/>
                <w:szCs w:val="22"/>
              </w:rPr>
            </w:pPr>
            <w:proofErr w:type="spellStart"/>
            <w:r>
              <w:rPr>
                <w:sz w:val="22"/>
                <w:szCs w:val="22"/>
              </w:rPr>
              <w:t>Currency</w:t>
            </w:r>
            <w:proofErr w:type="spellEnd"/>
            <w:r>
              <w:rPr>
                <w:sz w:val="22"/>
                <w:szCs w:val="22"/>
              </w:rPr>
              <w:t xml:space="preserve"> </w:t>
            </w:r>
            <w:proofErr w:type="spellStart"/>
            <w:r>
              <w:rPr>
                <w:sz w:val="22"/>
                <w:szCs w:val="22"/>
              </w:rPr>
              <w:t>of</w:t>
            </w:r>
            <w:proofErr w:type="spellEnd"/>
            <w:r>
              <w:rPr>
                <w:sz w:val="22"/>
                <w:szCs w:val="22"/>
              </w:rPr>
              <w:t xml:space="preserve"> </w:t>
            </w:r>
            <w:proofErr w:type="spellStart"/>
            <w:r>
              <w:rPr>
                <w:sz w:val="22"/>
                <w:szCs w:val="22"/>
              </w:rPr>
              <w:t>the</w:t>
            </w:r>
            <w:proofErr w:type="spellEnd"/>
            <w:r>
              <w:rPr>
                <w:sz w:val="22"/>
                <w:szCs w:val="22"/>
              </w:rPr>
              <w:t xml:space="preserve"> </w:t>
            </w:r>
            <w:proofErr w:type="spellStart"/>
            <w:r>
              <w:rPr>
                <w:sz w:val="22"/>
                <w:szCs w:val="22"/>
              </w:rPr>
              <w:t>quote</w:t>
            </w:r>
            <w:proofErr w:type="spellEnd"/>
            <w:r>
              <w:rPr>
                <w:sz w:val="22"/>
                <w:szCs w:val="22"/>
              </w:rPr>
              <w:t>.</w:t>
            </w:r>
          </w:p>
          <w:p w14:paraId="387739DC" w14:textId="77777777" w:rsidR="00E255F4" w:rsidRDefault="00000000">
            <w:pPr>
              <w:numPr>
                <w:ilvl w:val="2"/>
                <w:numId w:val="25"/>
              </w:numPr>
              <w:tabs>
                <w:tab w:val="left" w:pos="709"/>
              </w:tabs>
              <w:spacing w:line="240" w:lineRule="auto"/>
              <w:ind w:left="709" w:hanging="283"/>
              <w:jc w:val="both"/>
              <w:textAlignment w:val="baseline"/>
              <w:rPr>
                <w:sz w:val="22"/>
                <w:szCs w:val="22"/>
              </w:rPr>
            </w:pPr>
            <w:proofErr w:type="spellStart"/>
            <w:r>
              <w:rPr>
                <w:sz w:val="22"/>
                <w:szCs w:val="22"/>
              </w:rPr>
              <w:t>Unit</w:t>
            </w:r>
            <w:proofErr w:type="spellEnd"/>
            <w:r>
              <w:rPr>
                <w:sz w:val="22"/>
                <w:szCs w:val="22"/>
              </w:rPr>
              <w:t xml:space="preserve"> </w:t>
            </w:r>
            <w:proofErr w:type="spellStart"/>
            <w:r>
              <w:rPr>
                <w:sz w:val="22"/>
                <w:szCs w:val="22"/>
              </w:rPr>
              <w:t>value</w:t>
            </w:r>
            <w:proofErr w:type="spellEnd"/>
            <w:r>
              <w:rPr>
                <w:sz w:val="22"/>
                <w:szCs w:val="22"/>
              </w:rPr>
              <w:t xml:space="preserve"> CFR </w:t>
            </w:r>
            <w:proofErr w:type="spellStart"/>
            <w:r>
              <w:rPr>
                <w:sz w:val="22"/>
                <w:szCs w:val="22"/>
              </w:rPr>
              <w:t>or</w:t>
            </w:r>
            <w:proofErr w:type="spellEnd"/>
            <w:r>
              <w:rPr>
                <w:sz w:val="22"/>
                <w:szCs w:val="22"/>
              </w:rPr>
              <w:t xml:space="preserve"> CPT.</w:t>
            </w:r>
          </w:p>
          <w:p w14:paraId="50F37BE5" w14:textId="77777777" w:rsidR="00E255F4" w:rsidRDefault="00000000">
            <w:pPr>
              <w:numPr>
                <w:ilvl w:val="2"/>
                <w:numId w:val="25"/>
              </w:numPr>
              <w:tabs>
                <w:tab w:val="left" w:pos="709"/>
              </w:tabs>
              <w:spacing w:line="240" w:lineRule="auto"/>
              <w:ind w:left="709" w:hanging="283"/>
              <w:jc w:val="both"/>
              <w:textAlignment w:val="baseline"/>
              <w:rPr>
                <w:sz w:val="22"/>
                <w:szCs w:val="22"/>
              </w:rPr>
            </w:pPr>
            <w:r>
              <w:rPr>
                <w:sz w:val="22"/>
                <w:szCs w:val="22"/>
              </w:rPr>
              <w:t xml:space="preserve">For sales in Free </w:t>
            </w:r>
            <w:proofErr w:type="spellStart"/>
            <w:r>
              <w:rPr>
                <w:sz w:val="22"/>
                <w:szCs w:val="22"/>
              </w:rPr>
              <w:t>Zones</w:t>
            </w:r>
            <w:proofErr w:type="spellEnd"/>
            <w:r>
              <w:rPr>
                <w:sz w:val="22"/>
                <w:szCs w:val="22"/>
              </w:rPr>
              <w:t xml:space="preserve"> </w:t>
            </w:r>
            <w:proofErr w:type="spellStart"/>
            <w:r>
              <w:rPr>
                <w:sz w:val="22"/>
                <w:szCs w:val="22"/>
              </w:rPr>
              <w:t>or</w:t>
            </w:r>
            <w:proofErr w:type="spellEnd"/>
            <w:r>
              <w:rPr>
                <w:sz w:val="22"/>
                <w:szCs w:val="22"/>
              </w:rPr>
              <w:t xml:space="preserve"> </w:t>
            </w:r>
            <w:proofErr w:type="spellStart"/>
            <w:r>
              <w:rPr>
                <w:sz w:val="22"/>
                <w:szCs w:val="22"/>
              </w:rPr>
              <w:t>Customs</w:t>
            </w:r>
            <w:proofErr w:type="spellEnd"/>
            <w:r>
              <w:rPr>
                <w:sz w:val="22"/>
                <w:szCs w:val="22"/>
              </w:rPr>
              <w:t xml:space="preserve"> </w:t>
            </w:r>
            <w:proofErr w:type="spellStart"/>
            <w:r>
              <w:rPr>
                <w:sz w:val="22"/>
                <w:szCs w:val="22"/>
              </w:rPr>
              <w:t>Franchise</w:t>
            </w:r>
            <w:proofErr w:type="spellEnd"/>
            <w:r>
              <w:rPr>
                <w:sz w:val="22"/>
                <w:szCs w:val="22"/>
              </w:rPr>
              <w:t xml:space="preserve"> </w:t>
            </w:r>
            <w:proofErr w:type="spellStart"/>
            <w:r>
              <w:rPr>
                <w:sz w:val="22"/>
                <w:szCs w:val="22"/>
              </w:rPr>
              <w:t>Warehouses</w:t>
            </w:r>
            <w:proofErr w:type="spellEnd"/>
            <w:r>
              <w:rPr>
                <w:sz w:val="22"/>
                <w:szCs w:val="22"/>
              </w:rPr>
              <w:t xml:space="preserve">, </w:t>
            </w:r>
            <w:proofErr w:type="spellStart"/>
            <w:r>
              <w:rPr>
                <w:sz w:val="22"/>
                <w:szCs w:val="22"/>
              </w:rPr>
              <w:t>the</w:t>
            </w:r>
            <w:proofErr w:type="spellEnd"/>
            <w:r>
              <w:rPr>
                <w:sz w:val="22"/>
                <w:szCs w:val="22"/>
              </w:rPr>
              <w:t xml:space="preserve"> </w:t>
            </w:r>
            <w:proofErr w:type="spellStart"/>
            <w:r>
              <w:rPr>
                <w:sz w:val="22"/>
                <w:szCs w:val="22"/>
              </w:rPr>
              <w:t>unit</w:t>
            </w:r>
            <w:proofErr w:type="spellEnd"/>
            <w:r>
              <w:rPr>
                <w:sz w:val="22"/>
                <w:szCs w:val="22"/>
              </w:rPr>
              <w:t xml:space="preserve"> </w:t>
            </w:r>
            <w:proofErr w:type="spellStart"/>
            <w:r>
              <w:rPr>
                <w:sz w:val="22"/>
                <w:szCs w:val="22"/>
              </w:rPr>
              <w:t>value</w:t>
            </w:r>
            <w:proofErr w:type="spellEnd"/>
            <w:r>
              <w:rPr>
                <w:sz w:val="22"/>
                <w:szCs w:val="22"/>
              </w:rPr>
              <w:t xml:space="preserve"> </w:t>
            </w:r>
            <w:proofErr w:type="spellStart"/>
            <w:r>
              <w:rPr>
                <w:sz w:val="22"/>
                <w:szCs w:val="22"/>
              </w:rPr>
              <w:t>of</w:t>
            </w:r>
            <w:proofErr w:type="spellEnd"/>
            <w:r>
              <w:rPr>
                <w:sz w:val="22"/>
                <w:szCs w:val="22"/>
              </w:rPr>
              <w:t xml:space="preserve"> </w:t>
            </w:r>
            <w:proofErr w:type="spellStart"/>
            <w:r>
              <w:rPr>
                <w:sz w:val="22"/>
                <w:szCs w:val="22"/>
              </w:rPr>
              <w:t>international</w:t>
            </w:r>
            <w:proofErr w:type="spellEnd"/>
            <w:r>
              <w:rPr>
                <w:sz w:val="22"/>
                <w:szCs w:val="22"/>
              </w:rPr>
              <w:t xml:space="preserve"> </w:t>
            </w:r>
            <w:proofErr w:type="spellStart"/>
            <w:r>
              <w:rPr>
                <w:sz w:val="22"/>
                <w:szCs w:val="22"/>
              </w:rPr>
              <w:t>insurance</w:t>
            </w:r>
            <w:proofErr w:type="spellEnd"/>
            <w:r>
              <w:rPr>
                <w:sz w:val="22"/>
                <w:szCs w:val="22"/>
              </w:rPr>
              <w:t xml:space="preserve"> </w:t>
            </w:r>
            <w:proofErr w:type="spellStart"/>
            <w:r>
              <w:rPr>
                <w:sz w:val="22"/>
                <w:szCs w:val="22"/>
              </w:rPr>
              <w:t>must</w:t>
            </w:r>
            <w:proofErr w:type="spellEnd"/>
            <w:r>
              <w:rPr>
                <w:sz w:val="22"/>
                <w:szCs w:val="22"/>
              </w:rPr>
              <w:t xml:space="preserve"> be </w:t>
            </w:r>
            <w:proofErr w:type="spellStart"/>
            <w:r>
              <w:rPr>
                <w:sz w:val="22"/>
                <w:szCs w:val="22"/>
              </w:rPr>
              <w:t>quoted</w:t>
            </w:r>
            <w:proofErr w:type="spellEnd"/>
            <w:r>
              <w:rPr>
                <w:sz w:val="22"/>
                <w:szCs w:val="22"/>
              </w:rPr>
              <w:t>.</w:t>
            </w:r>
          </w:p>
          <w:p w14:paraId="27E4EB44" w14:textId="77777777" w:rsidR="00E255F4" w:rsidRDefault="00000000">
            <w:pPr>
              <w:numPr>
                <w:ilvl w:val="2"/>
                <w:numId w:val="25"/>
              </w:numPr>
              <w:tabs>
                <w:tab w:val="left" w:pos="709"/>
              </w:tabs>
              <w:spacing w:line="240" w:lineRule="auto"/>
              <w:ind w:left="709" w:hanging="283"/>
              <w:jc w:val="both"/>
              <w:textAlignment w:val="baseline"/>
            </w:pPr>
            <w:r>
              <w:rPr>
                <w:sz w:val="22"/>
                <w:szCs w:val="22"/>
              </w:rPr>
              <w:lastRenderedPageBreak/>
              <w:t xml:space="preserve">For sales in Free Zone </w:t>
            </w:r>
            <w:proofErr w:type="spellStart"/>
            <w:r>
              <w:rPr>
                <w:sz w:val="22"/>
                <w:szCs w:val="22"/>
              </w:rPr>
              <w:t>or</w:t>
            </w:r>
            <w:proofErr w:type="spellEnd"/>
            <w:r>
              <w:rPr>
                <w:sz w:val="22"/>
                <w:szCs w:val="22"/>
              </w:rPr>
              <w:t xml:space="preserve"> </w:t>
            </w:r>
            <w:proofErr w:type="spellStart"/>
            <w:r>
              <w:rPr>
                <w:sz w:val="22"/>
                <w:szCs w:val="22"/>
              </w:rPr>
              <w:t>Customs</w:t>
            </w:r>
            <w:proofErr w:type="spellEnd"/>
            <w:r>
              <w:rPr>
                <w:sz w:val="22"/>
                <w:szCs w:val="22"/>
              </w:rPr>
              <w:t xml:space="preserve"> </w:t>
            </w:r>
            <w:proofErr w:type="spellStart"/>
            <w:r>
              <w:rPr>
                <w:sz w:val="22"/>
                <w:szCs w:val="22"/>
              </w:rPr>
              <w:t>Franchise</w:t>
            </w:r>
            <w:proofErr w:type="spellEnd"/>
            <w:r>
              <w:rPr>
                <w:sz w:val="22"/>
                <w:szCs w:val="22"/>
              </w:rPr>
              <w:t xml:space="preserve"> </w:t>
            </w:r>
            <w:proofErr w:type="spellStart"/>
            <w:r>
              <w:rPr>
                <w:sz w:val="22"/>
                <w:szCs w:val="22"/>
              </w:rPr>
              <w:t>Warehouse</w:t>
            </w:r>
            <w:proofErr w:type="spellEnd"/>
            <w:r>
              <w:rPr>
                <w:sz w:val="22"/>
                <w:szCs w:val="22"/>
              </w:rPr>
              <w:t xml:space="preserve">, </w:t>
            </w:r>
            <w:proofErr w:type="spellStart"/>
            <w:r>
              <w:rPr>
                <w:sz w:val="22"/>
                <w:szCs w:val="22"/>
              </w:rPr>
              <w:t>the</w:t>
            </w:r>
            <w:proofErr w:type="spellEnd"/>
            <w:r>
              <w:rPr>
                <w:sz w:val="22"/>
                <w:szCs w:val="22"/>
              </w:rPr>
              <w:t xml:space="preserve"> CIF </w:t>
            </w:r>
            <w:proofErr w:type="spellStart"/>
            <w:r>
              <w:rPr>
                <w:sz w:val="22"/>
                <w:szCs w:val="22"/>
              </w:rPr>
              <w:t>or</w:t>
            </w:r>
            <w:proofErr w:type="spellEnd"/>
            <w:r>
              <w:rPr>
                <w:sz w:val="22"/>
                <w:szCs w:val="22"/>
              </w:rPr>
              <w:t xml:space="preserve"> CIP </w:t>
            </w:r>
            <w:proofErr w:type="spellStart"/>
            <w:r>
              <w:rPr>
                <w:sz w:val="22"/>
                <w:szCs w:val="22"/>
              </w:rPr>
              <w:t>unit</w:t>
            </w:r>
            <w:proofErr w:type="spellEnd"/>
            <w:r>
              <w:rPr>
                <w:sz w:val="22"/>
                <w:szCs w:val="22"/>
              </w:rPr>
              <w:t xml:space="preserve"> </w:t>
            </w:r>
            <w:proofErr w:type="spellStart"/>
            <w:r>
              <w:rPr>
                <w:sz w:val="22"/>
                <w:szCs w:val="22"/>
              </w:rPr>
              <w:t>value</w:t>
            </w:r>
            <w:proofErr w:type="spellEnd"/>
            <w:r>
              <w:rPr>
                <w:sz w:val="22"/>
                <w:szCs w:val="22"/>
              </w:rPr>
              <w:t xml:space="preserve"> </w:t>
            </w:r>
            <w:proofErr w:type="spellStart"/>
            <w:r>
              <w:rPr>
                <w:sz w:val="22"/>
                <w:szCs w:val="22"/>
              </w:rPr>
              <w:t>must</w:t>
            </w:r>
            <w:proofErr w:type="spellEnd"/>
            <w:r>
              <w:rPr>
                <w:sz w:val="22"/>
                <w:szCs w:val="22"/>
              </w:rPr>
              <w:t xml:space="preserve"> be </w:t>
            </w:r>
            <w:proofErr w:type="spellStart"/>
            <w:r>
              <w:rPr>
                <w:sz w:val="22"/>
                <w:szCs w:val="22"/>
              </w:rPr>
              <w:t>declared</w:t>
            </w:r>
            <w:proofErr w:type="spellEnd"/>
            <w:r>
              <w:rPr>
                <w:sz w:val="22"/>
                <w:szCs w:val="22"/>
              </w:rPr>
              <w:t xml:space="preserve">, as </w:t>
            </w:r>
            <w:proofErr w:type="spellStart"/>
            <w:r>
              <w:rPr>
                <w:sz w:val="22"/>
                <w:szCs w:val="22"/>
              </w:rPr>
              <w:t>appropriate</w:t>
            </w:r>
            <w:proofErr w:type="spellEnd"/>
            <w:r>
              <w:rPr>
                <w:sz w:val="22"/>
                <w:szCs w:val="22"/>
              </w:rPr>
              <w:t>.</w:t>
            </w:r>
          </w:p>
          <w:p w14:paraId="142258D6" w14:textId="77777777" w:rsidR="00E255F4" w:rsidRDefault="00E255F4">
            <w:pPr>
              <w:tabs>
                <w:tab w:val="left" w:pos="709"/>
              </w:tabs>
              <w:spacing w:line="240" w:lineRule="auto"/>
              <w:ind w:left="709"/>
              <w:jc w:val="both"/>
              <w:textAlignment w:val="baseline"/>
              <w:rPr>
                <w:sz w:val="22"/>
                <w:szCs w:val="22"/>
              </w:rPr>
            </w:pPr>
          </w:p>
          <w:p w14:paraId="04B6C803" w14:textId="77777777" w:rsidR="00E255F4" w:rsidRDefault="00000000">
            <w:pPr>
              <w:pStyle w:val="Prrafodelista"/>
              <w:tabs>
                <w:tab w:val="left" w:pos="0"/>
              </w:tabs>
              <w:spacing w:line="240" w:lineRule="auto"/>
              <w:ind w:left="0"/>
              <w:jc w:val="both"/>
              <w:textAlignment w:val="baseline"/>
            </w:pPr>
            <w:r>
              <w:rPr>
                <w:sz w:val="22"/>
                <w:szCs w:val="22"/>
                <w:lang w:val="es-UY"/>
              </w:rPr>
              <w:t xml:space="preserve">The </w:t>
            </w:r>
            <w:proofErr w:type="spellStart"/>
            <w:r>
              <w:rPr>
                <w:sz w:val="22"/>
                <w:szCs w:val="22"/>
                <w:lang w:val="es-UY"/>
              </w:rPr>
              <w:t>destination</w:t>
            </w:r>
            <w:proofErr w:type="spellEnd"/>
            <w:r>
              <w:rPr>
                <w:sz w:val="22"/>
                <w:szCs w:val="22"/>
                <w:lang w:val="es-UY"/>
              </w:rPr>
              <w:t xml:space="preserve"> </w:t>
            </w:r>
            <w:proofErr w:type="spellStart"/>
            <w:r>
              <w:rPr>
                <w:sz w:val="22"/>
                <w:szCs w:val="22"/>
                <w:lang w:val="es-UY"/>
              </w:rPr>
              <w:t>of</w:t>
            </w:r>
            <w:proofErr w:type="spellEnd"/>
            <w:r>
              <w:rPr>
                <w:sz w:val="22"/>
                <w:szCs w:val="22"/>
                <w:lang w:val="es-UY"/>
              </w:rPr>
              <w:t xml:space="preserve"> </w:t>
            </w:r>
            <w:proofErr w:type="spellStart"/>
            <w:r>
              <w:rPr>
                <w:sz w:val="22"/>
                <w:szCs w:val="22"/>
                <w:lang w:val="es-UY"/>
              </w:rPr>
              <w:t>the</w:t>
            </w:r>
            <w:proofErr w:type="spellEnd"/>
            <w:r>
              <w:rPr>
                <w:sz w:val="22"/>
                <w:szCs w:val="22"/>
                <w:lang w:val="es-UY"/>
              </w:rPr>
              <w:t xml:space="preserve"> </w:t>
            </w:r>
            <w:proofErr w:type="spellStart"/>
            <w:r>
              <w:rPr>
                <w:sz w:val="22"/>
                <w:szCs w:val="22"/>
                <w:lang w:val="es-UY"/>
              </w:rPr>
              <w:t>quoted</w:t>
            </w:r>
            <w:proofErr w:type="spellEnd"/>
            <w:r>
              <w:rPr>
                <w:sz w:val="22"/>
                <w:szCs w:val="22"/>
                <w:lang w:val="es-UY"/>
              </w:rPr>
              <w:t xml:space="preserve"> </w:t>
            </w:r>
            <w:proofErr w:type="spellStart"/>
            <w:r>
              <w:rPr>
                <w:sz w:val="22"/>
                <w:szCs w:val="22"/>
                <w:lang w:val="es-UY"/>
              </w:rPr>
              <w:t>international</w:t>
            </w:r>
            <w:proofErr w:type="spellEnd"/>
            <w:r>
              <w:rPr>
                <w:sz w:val="22"/>
                <w:szCs w:val="22"/>
                <w:lang w:val="es-UY"/>
              </w:rPr>
              <w:t xml:space="preserve"> </w:t>
            </w:r>
            <w:proofErr w:type="spellStart"/>
            <w:r>
              <w:rPr>
                <w:sz w:val="22"/>
                <w:szCs w:val="22"/>
                <w:lang w:val="es-UY"/>
              </w:rPr>
              <w:t>freight</w:t>
            </w:r>
            <w:proofErr w:type="spellEnd"/>
            <w:r>
              <w:rPr>
                <w:sz w:val="22"/>
                <w:szCs w:val="22"/>
                <w:lang w:val="es-UY"/>
              </w:rPr>
              <w:t xml:space="preserve"> </w:t>
            </w:r>
            <w:proofErr w:type="spellStart"/>
            <w:r>
              <w:rPr>
                <w:sz w:val="22"/>
                <w:szCs w:val="22"/>
                <w:lang w:val="es-UY"/>
              </w:rPr>
              <w:t>must</w:t>
            </w:r>
            <w:proofErr w:type="spellEnd"/>
            <w:r>
              <w:rPr>
                <w:sz w:val="22"/>
                <w:szCs w:val="22"/>
                <w:lang w:val="es-UY"/>
              </w:rPr>
              <w:t xml:space="preserve"> be </w:t>
            </w:r>
            <w:proofErr w:type="spellStart"/>
            <w:r>
              <w:rPr>
                <w:sz w:val="22"/>
                <w:szCs w:val="22"/>
                <w:lang w:val="es-UY"/>
              </w:rPr>
              <w:t>one</w:t>
            </w:r>
            <w:proofErr w:type="spellEnd"/>
            <w:r>
              <w:rPr>
                <w:sz w:val="22"/>
                <w:szCs w:val="22"/>
                <w:lang w:val="es-UY"/>
              </w:rPr>
              <w:t xml:space="preserve"> </w:t>
            </w:r>
            <w:proofErr w:type="spellStart"/>
            <w:r>
              <w:rPr>
                <w:sz w:val="22"/>
                <w:szCs w:val="22"/>
                <w:lang w:val="es-UY"/>
              </w:rPr>
              <w:t>of</w:t>
            </w:r>
            <w:proofErr w:type="spellEnd"/>
            <w:r>
              <w:rPr>
                <w:sz w:val="22"/>
                <w:szCs w:val="22"/>
                <w:lang w:val="es-UY"/>
              </w:rPr>
              <w:t xml:space="preserve"> </w:t>
            </w:r>
            <w:proofErr w:type="spellStart"/>
            <w:r>
              <w:rPr>
                <w:sz w:val="22"/>
                <w:szCs w:val="22"/>
                <w:lang w:val="es-UY"/>
              </w:rPr>
              <w:t>the</w:t>
            </w:r>
            <w:proofErr w:type="spellEnd"/>
            <w:r>
              <w:rPr>
                <w:sz w:val="22"/>
                <w:szCs w:val="22"/>
                <w:lang w:val="es-UY"/>
              </w:rPr>
              <w:t xml:space="preserve"> </w:t>
            </w:r>
            <w:proofErr w:type="spellStart"/>
            <w:r>
              <w:rPr>
                <w:sz w:val="22"/>
                <w:szCs w:val="22"/>
                <w:lang w:val="es-UY"/>
              </w:rPr>
              <w:t>following</w:t>
            </w:r>
            <w:proofErr w:type="spellEnd"/>
            <w:r>
              <w:rPr>
                <w:sz w:val="22"/>
                <w:szCs w:val="22"/>
                <w:lang w:val="es-UY"/>
              </w:rPr>
              <w:t xml:space="preserve"> </w:t>
            </w:r>
            <w:proofErr w:type="spellStart"/>
            <w:r>
              <w:rPr>
                <w:sz w:val="22"/>
                <w:szCs w:val="22"/>
                <w:lang w:val="es-UY"/>
              </w:rPr>
              <w:t>locations</w:t>
            </w:r>
            <w:proofErr w:type="spellEnd"/>
            <w:r>
              <w:rPr>
                <w:sz w:val="22"/>
                <w:szCs w:val="22"/>
                <w:lang w:val="es-UY"/>
              </w:rPr>
              <w:t>:</w:t>
            </w:r>
          </w:p>
          <w:p w14:paraId="7323CC64" w14:textId="77777777" w:rsidR="00E255F4" w:rsidRDefault="00E255F4">
            <w:pPr>
              <w:tabs>
                <w:tab w:val="left" w:pos="709"/>
              </w:tabs>
              <w:spacing w:line="240" w:lineRule="auto"/>
              <w:jc w:val="both"/>
              <w:textAlignment w:val="baseline"/>
              <w:rPr>
                <w:sz w:val="22"/>
                <w:szCs w:val="22"/>
              </w:rPr>
            </w:pPr>
          </w:p>
          <w:p w14:paraId="3F650619" w14:textId="77777777" w:rsidR="00E255F4" w:rsidRDefault="00000000">
            <w:pPr>
              <w:numPr>
                <w:ilvl w:val="0"/>
                <w:numId w:val="8"/>
              </w:numPr>
              <w:tabs>
                <w:tab w:val="left" w:pos="709"/>
              </w:tabs>
              <w:spacing w:line="240" w:lineRule="auto"/>
              <w:jc w:val="both"/>
              <w:textAlignment w:val="baseline"/>
            </w:pPr>
            <w:r>
              <w:rPr>
                <w:sz w:val="22"/>
                <w:szCs w:val="22"/>
              </w:rPr>
              <w:t xml:space="preserve">Port </w:t>
            </w:r>
            <w:proofErr w:type="spellStart"/>
            <w:r>
              <w:rPr>
                <w:sz w:val="22"/>
                <w:szCs w:val="22"/>
              </w:rPr>
              <w:t>of</w:t>
            </w:r>
            <w:proofErr w:type="spellEnd"/>
            <w:r>
              <w:rPr>
                <w:sz w:val="22"/>
                <w:szCs w:val="22"/>
              </w:rPr>
              <w:t xml:space="preserve"> Montevideo </w:t>
            </w:r>
            <w:proofErr w:type="spellStart"/>
            <w:r>
              <w:rPr>
                <w:sz w:val="22"/>
                <w:szCs w:val="22"/>
              </w:rPr>
              <w:t>or</w:t>
            </w:r>
            <w:proofErr w:type="spellEnd"/>
            <w:r>
              <w:rPr>
                <w:sz w:val="22"/>
                <w:szCs w:val="22"/>
              </w:rPr>
              <w:t xml:space="preserve"> Carrasco International </w:t>
            </w:r>
            <w:proofErr w:type="spellStart"/>
            <w:r>
              <w:rPr>
                <w:sz w:val="22"/>
                <w:szCs w:val="22"/>
              </w:rPr>
              <w:t>Airport</w:t>
            </w:r>
            <w:proofErr w:type="spellEnd"/>
            <w:r>
              <w:rPr>
                <w:sz w:val="22"/>
                <w:szCs w:val="22"/>
              </w:rPr>
              <w:t xml:space="preserve">. For </w:t>
            </w:r>
            <w:proofErr w:type="spellStart"/>
            <w:r>
              <w:rPr>
                <w:sz w:val="22"/>
                <w:szCs w:val="22"/>
              </w:rPr>
              <w:t>either</w:t>
            </w:r>
            <w:proofErr w:type="spellEnd"/>
            <w:r>
              <w:rPr>
                <w:sz w:val="22"/>
                <w:szCs w:val="22"/>
              </w:rPr>
              <w:t xml:space="preserve"> </w:t>
            </w:r>
            <w:proofErr w:type="spellStart"/>
            <w:r>
              <w:rPr>
                <w:sz w:val="22"/>
                <w:szCs w:val="22"/>
              </w:rPr>
              <w:t>destination</w:t>
            </w:r>
            <w:proofErr w:type="spellEnd"/>
            <w:r>
              <w:rPr>
                <w:sz w:val="22"/>
                <w:szCs w:val="22"/>
              </w:rPr>
              <w:t xml:space="preserve">, </w:t>
            </w:r>
            <w:proofErr w:type="spellStart"/>
            <w:r>
              <w:rPr>
                <w:sz w:val="22"/>
                <w:szCs w:val="22"/>
              </w:rPr>
              <w:t>offers</w:t>
            </w:r>
            <w:proofErr w:type="spellEnd"/>
            <w:r>
              <w:rPr>
                <w:sz w:val="22"/>
                <w:szCs w:val="22"/>
              </w:rPr>
              <w:t xml:space="preserve"> </w:t>
            </w:r>
            <w:proofErr w:type="spellStart"/>
            <w:r>
              <w:rPr>
                <w:sz w:val="22"/>
                <w:szCs w:val="22"/>
              </w:rPr>
              <w:t>will</w:t>
            </w:r>
            <w:proofErr w:type="spellEnd"/>
            <w:r>
              <w:rPr>
                <w:sz w:val="22"/>
                <w:szCs w:val="22"/>
              </w:rPr>
              <w:t xml:space="preserve"> be </w:t>
            </w:r>
            <w:proofErr w:type="spellStart"/>
            <w:r>
              <w:rPr>
                <w:sz w:val="22"/>
                <w:szCs w:val="22"/>
              </w:rPr>
              <w:t>accepted</w:t>
            </w:r>
            <w:proofErr w:type="spellEnd"/>
            <w:r>
              <w:rPr>
                <w:sz w:val="22"/>
                <w:szCs w:val="22"/>
              </w:rPr>
              <w:t xml:space="preserve"> </w:t>
            </w:r>
            <w:proofErr w:type="spellStart"/>
            <w:r>
              <w:rPr>
                <w:sz w:val="22"/>
                <w:szCs w:val="22"/>
              </w:rPr>
              <w:t>under</w:t>
            </w:r>
            <w:proofErr w:type="spellEnd"/>
            <w:r>
              <w:rPr>
                <w:sz w:val="22"/>
                <w:szCs w:val="22"/>
              </w:rPr>
              <w:t xml:space="preserve"> Free Port </w:t>
            </w:r>
            <w:proofErr w:type="spellStart"/>
            <w:r>
              <w:rPr>
                <w:sz w:val="22"/>
                <w:szCs w:val="22"/>
              </w:rPr>
              <w:t>or</w:t>
            </w:r>
            <w:proofErr w:type="spellEnd"/>
            <w:r>
              <w:rPr>
                <w:sz w:val="22"/>
                <w:szCs w:val="22"/>
              </w:rPr>
              <w:t xml:space="preserve"> Free </w:t>
            </w:r>
            <w:proofErr w:type="spellStart"/>
            <w:r>
              <w:rPr>
                <w:sz w:val="22"/>
                <w:szCs w:val="22"/>
              </w:rPr>
              <w:t>Airport</w:t>
            </w:r>
            <w:proofErr w:type="spellEnd"/>
            <w:r>
              <w:rPr>
                <w:sz w:val="22"/>
                <w:szCs w:val="22"/>
              </w:rPr>
              <w:t xml:space="preserve"> </w:t>
            </w:r>
            <w:proofErr w:type="spellStart"/>
            <w:r>
              <w:rPr>
                <w:sz w:val="22"/>
                <w:szCs w:val="22"/>
              </w:rPr>
              <w:t>conditions</w:t>
            </w:r>
            <w:proofErr w:type="spellEnd"/>
            <w:r>
              <w:rPr>
                <w:sz w:val="22"/>
                <w:szCs w:val="22"/>
              </w:rPr>
              <w:t>.</w:t>
            </w:r>
          </w:p>
          <w:p w14:paraId="21A7CAF8" w14:textId="77777777" w:rsidR="00E255F4" w:rsidRDefault="00E255F4">
            <w:pPr>
              <w:tabs>
                <w:tab w:val="left" w:pos="709"/>
              </w:tabs>
              <w:spacing w:line="240" w:lineRule="auto"/>
              <w:jc w:val="both"/>
              <w:textAlignment w:val="baseline"/>
              <w:rPr>
                <w:sz w:val="22"/>
                <w:szCs w:val="22"/>
              </w:rPr>
            </w:pPr>
          </w:p>
          <w:p w14:paraId="3D22566C" w14:textId="77777777" w:rsidR="00E255F4" w:rsidRDefault="00000000">
            <w:pPr>
              <w:numPr>
                <w:ilvl w:val="0"/>
                <w:numId w:val="8"/>
              </w:numPr>
              <w:tabs>
                <w:tab w:val="left" w:pos="709"/>
              </w:tabs>
              <w:spacing w:line="240" w:lineRule="auto"/>
              <w:jc w:val="both"/>
              <w:textAlignment w:val="baseline"/>
              <w:rPr>
                <w:sz w:val="22"/>
                <w:szCs w:val="22"/>
              </w:rPr>
            </w:pPr>
            <w:r>
              <w:rPr>
                <w:sz w:val="22"/>
                <w:szCs w:val="22"/>
              </w:rPr>
              <w:t xml:space="preserve">Any Free Zone </w:t>
            </w:r>
            <w:proofErr w:type="spellStart"/>
            <w:r>
              <w:rPr>
                <w:sz w:val="22"/>
                <w:szCs w:val="22"/>
              </w:rPr>
              <w:t>or</w:t>
            </w:r>
            <w:proofErr w:type="spellEnd"/>
            <w:r>
              <w:rPr>
                <w:sz w:val="22"/>
                <w:szCs w:val="22"/>
              </w:rPr>
              <w:t xml:space="preserve"> </w:t>
            </w:r>
            <w:proofErr w:type="spellStart"/>
            <w:r>
              <w:rPr>
                <w:sz w:val="22"/>
                <w:szCs w:val="22"/>
              </w:rPr>
              <w:t>Customs</w:t>
            </w:r>
            <w:proofErr w:type="spellEnd"/>
            <w:r>
              <w:rPr>
                <w:sz w:val="22"/>
                <w:szCs w:val="22"/>
              </w:rPr>
              <w:t xml:space="preserve"> </w:t>
            </w:r>
            <w:proofErr w:type="spellStart"/>
            <w:r>
              <w:rPr>
                <w:sz w:val="22"/>
                <w:szCs w:val="22"/>
              </w:rPr>
              <w:t>Franchise</w:t>
            </w:r>
            <w:proofErr w:type="spellEnd"/>
            <w:r>
              <w:rPr>
                <w:sz w:val="22"/>
                <w:szCs w:val="22"/>
              </w:rPr>
              <w:t xml:space="preserve"> </w:t>
            </w:r>
            <w:proofErr w:type="spellStart"/>
            <w:r>
              <w:rPr>
                <w:sz w:val="22"/>
                <w:szCs w:val="22"/>
              </w:rPr>
              <w:t>Warehouse</w:t>
            </w:r>
            <w:proofErr w:type="spellEnd"/>
            <w:r>
              <w:rPr>
                <w:sz w:val="22"/>
                <w:szCs w:val="22"/>
              </w:rPr>
              <w:t>.</w:t>
            </w:r>
          </w:p>
          <w:p w14:paraId="695A4E44" w14:textId="77777777" w:rsidR="00E255F4" w:rsidRDefault="00E255F4">
            <w:pPr>
              <w:tabs>
                <w:tab w:val="left" w:pos="709"/>
              </w:tabs>
              <w:spacing w:line="240" w:lineRule="auto"/>
              <w:jc w:val="both"/>
              <w:textAlignment w:val="baseline"/>
              <w:rPr>
                <w:sz w:val="22"/>
                <w:szCs w:val="22"/>
              </w:rPr>
            </w:pPr>
          </w:p>
          <w:p w14:paraId="48796929" w14:textId="77777777" w:rsidR="00E255F4" w:rsidRDefault="00000000">
            <w:pPr>
              <w:numPr>
                <w:ilvl w:val="0"/>
                <w:numId w:val="8"/>
              </w:numPr>
              <w:tabs>
                <w:tab w:val="left" w:pos="709"/>
              </w:tabs>
              <w:spacing w:line="240" w:lineRule="auto"/>
              <w:jc w:val="both"/>
              <w:textAlignment w:val="baseline"/>
              <w:rPr>
                <w:sz w:val="22"/>
                <w:szCs w:val="22"/>
              </w:rPr>
            </w:pPr>
            <w:proofErr w:type="spellStart"/>
            <w:r>
              <w:rPr>
                <w:sz w:val="22"/>
                <w:szCs w:val="22"/>
              </w:rPr>
              <w:t>When</w:t>
            </w:r>
            <w:proofErr w:type="spellEnd"/>
            <w:r>
              <w:rPr>
                <w:sz w:val="22"/>
                <w:szCs w:val="22"/>
              </w:rPr>
              <w:t xml:space="preserve"> </w:t>
            </w:r>
            <w:proofErr w:type="spellStart"/>
            <w:r>
              <w:rPr>
                <w:sz w:val="22"/>
                <w:szCs w:val="22"/>
              </w:rPr>
              <w:t>it</w:t>
            </w:r>
            <w:proofErr w:type="spellEnd"/>
            <w:r>
              <w:rPr>
                <w:sz w:val="22"/>
                <w:szCs w:val="22"/>
              </w:rPr>
              <w:t xml:space="preserve"> comes </w:t>
            </w:r>
            <w:proofErr w:type="spellStart"/>
            <w:r>
              <w:rPr>
                <w:sz w:val="22"/>
                <w:szCs w:val="22"/>
              </w:rPr>
              <w:t>to</w:t>
            </w:r>
            <w:proofErr w:type="spellEnd"/>
            <w:r>
              <w:rPr>
                <w:sz w:val="22"/>
                <w:szCs w:val="22"/>
              </w:rPr>
              <w:t xml:space="preserve"> </w:t>
            </w:r>
            <w:proofErr w:type="spellStart"/>
            <w:r>
              <w:rPr>
                <w:sz w:val="22"/>
                <w:szCs w:val="22"/>
              </w:rPr>
              <w:t>land</w:t>
            </w:r>
            <w:proofErr w:type="spellEnd"/>
            <w:r>
              <w:rPr>
                <w:sz w:val="22"/>
                <w:szCs w:val="22"/>
              </w:rPr>
              <w:t xml:space="preserve"> </w:t>
            </w:r>
            <w:proofErr w:type="spellStart"/>
            <w:r>
              <w:rPr>
                <w:sz w:val="22"/>
                <w:szCs w:val="22"/>
              </w:rPr>
              <w:t>transport</w:t>
            </w:r>
            <w:proofErr w:type="spellEnd"/>
            <w:r>
              <w:rPr>
                <w:sz w:val="22"/>
                <w:szCs w:val="22"/>
              </w:rPr>
              <w:t xml:space="preserve">, </w:t>
            </w:r>
            <w:proofErr w:type="spellStart"/>
            <w:r>
              <w:rPr>
                <w:sz w:val="22"/>
                <w:szCs w:val="22"/>
              </w:rPr>
              <w:t>the</w:t>
            </w:r>
            <w:proofErr w:type="spellEnd"/>
            <w:r>
              <w:rPr>
                <w:sz w:val="22"/>
                <w:szCs w:val="22"/>
              </w:rPr>
              <w:t xml:space="preserve"> </w:t>
            </w:r>
            <w:proofErr w:type="spellStart"/>
            <w:r>
              <w:rPr>
                <w:sz w:val="22"/>
                <w:szCs w:val="22"/>
              </w:rPr>
              <w:t>freight</w:t>
            </w:r>
            <w:proofErr w:type="spellEnd"/>
            <w:r>
              <w:rPr>
                <w:sz w:val="22"/>
                <w:szCs w:val="22"/>
              </w:rPr>
              <w:t xml:space="preserve"> </w:t>
            </w:r>
            <w:proofErr w:type="spellStart"/>
            <w:r>
              <w:rPr>
                <w:sz w:val="22"/>
                <w:szCs w:val="22"/>
              </w:rPr>
              <w:t>destination</w:t>
            </w:r>
            <w:proofErr w:type="spellEnd"/>
            <w:r>
              <w:rPr>
                <w:sz w:val="22"/>
                <w:szCs w:val="22"/>
              </w:rPr>
              <w:t xml:space="preserve"> </w:t>
            </w:r>
            <w:proofErr w:type="spellStart"/>
            <w:r>
              <w:rPr>
                <w:sz w:val="22"/>
                <w:szCs w:val="22"/>
              </w:rPr>
              <w:t>must</w:t>
            </w:r>
            <w:proofErr w:type="spellEnd"/>
            <w:r>
              <w:rPr>
                <w:sz w:val="22"/>
                <w:szCs w:val="22"/>
              </w:rPr>
              <w:t xml:space="preserve"> be </w:t>
            </w:r>
            <w:proofErr w:type="spellStart"/>
            <w:r>
              <w:rPr>
                <w:sz w:val="22"/>
                <w:szCs w:val="22"/>
              </w:rPr>
              <w:t>the</w:t>
            </w:r>
            <w:proofErr w:type="spellEnd"/>
            <w:r>
              <w:rPr>
                <w:sz w:val="22"/>
                <w:szCs w:val="22"/>
              </w:rPr>
              <w:t xml:space="preserve"> </w:t>
            </w:r>
            <w:proofErr w:type="spellStart"/>
            <w:r>
              <w:rPr>
                <w:sz w:val="22"/>
                <w:szCs w:val="22"/>
              </w:rPr>
              <w:t>delivery</w:t>
            </w:r>
            <w:proofErr w:type="spellEnd"/>
            <w:r>
              <w:rPr>
                <w:sz w:val="22"/>
                <w:szCs w:val="22"/>
              </w:rPr>
              <w:t xml:space="preserve"> </w:t>
            </w:r>
            <w:proofErr w:type="spellStart"/>
            <w:r>
              <w:rPr>
                <w:sz w:val="22"/>
                <w:szCs w:val="22"/>
              </w:rPr>
              <w:t>location</w:t>
            </w:r>
            <w:proofErr w:type="spellEnd"/>
            <w:r>
              <w:rPr>
                <w:sz w:val="22"/>
                <w:szCs w:val="22"/>
              </w:rPr>
              <w:t>.</w:t>
            </w:r>
          </w:p>
          <w:p w14:paraId="74C4174B" w14:textId="77777777" w:rsidR="00E255F4" w:rsidRDefault="00E255F4">
            <w:pPr>
              <w:tabs>
                <w:tab w:val="left" w:pos="284"/>
              </w:tabs>
              <w:spacing w:line="240" w:lineRule="auto"/>
              <w:jc w:val="both"/>
              <w:textAlignment w:val="baseline"/>
              <w:rPr>
                <w:sz w:val="22"/>
                <w:szCs w:val="22"/>
              </w:rPr>
            </w:pPr>
          </w:p>
          <w:p w14:paraId="21BE8A70" w14:textId="77777777" w:rsidR="00E255F4" w:rsidRDefault="00000000">
            <w:pPr>
              <w:tabs>
                <w:tab w:val="left" w:pos="709"/>
              </w:tabs>
              <w:spacing w:line="240" w:lineRule="auto"/>
              <w:jc w:val="both"/>
              <w:textAlignment w:val="baseline"/>
            </w:pPr>
            <w:r>
              <w:rPr>
                <w:sz w:val="22"/>
                <w:szCs w:val="22"/>
              </w:rPr>
              <w:t xml:space="preserve">The </w:t>
            </w:r>
            <w:proofErr w:type="spellStart"/>
            <w:r>
              <w:rPr>
                <w:sz w:val="22"/>
                <w:szCs w:val="22"/>
              </w:rPr>
              <w:t>destination</w:t>
            </w:r>
            <w:proofErr w:type="spellEnd"/>
            <w:r>
              <w:rPr>
                <w:sz w:val="22"/>
                <w:szCs w:val="22"/>
              </w:rPr>
              <w:t xml:space="preserve"> </w:t>
            </w:r>
            <w:proofErr w:type="spellStart"/>
            <w:r>
              <w:rPr>
                <w:sz w:val="22"/>
                <w:szCs w:val="22"/>
              </w:rPr>
              <w:t>of</w:t>
            </w:r>
            <w:proofErr w:type="spellEnd"/>
            <w:r>
              <w:rPr>
                <w:sz w:val="22"/>
                <w:szCs w:val="22"/>
              </w:rPr>
              <w:t xml:space="preserve"> </w:t>
            </w:r>
            <w:proofErr w:type="spellStart"/>
            <w:r>
              <w:rPr>
                <w:sz w:val="22"/>
                <w:szCs w:val="22"/>
              </w:rPr>
              <w:t>the</w:t>
            </w:r>
            <w:proofErr w:type="spellEnd"/>
            <w:r>
              <w:rPr>
                <w:sz w:val="22"/>
                <w:szCs w:val="22"/>
              </w:rPr>
              <w:t xml:space="preserve"> </w:t>
            </w:r>
            <w:proofErr w:type="spellStart"/>
            <w:r>
              <w:rPr>
                <w:sz w:val="22"/>
                <w:szCs w:val="22"/>
              </w:rPr>
              <w:t>international</w:t>
            </w:r>
            <w:proofErr w:type="spellEnd"/>
            <w:r>
              <w:rPr>
                <w:sz w:val="22"/>
                <w:szCs w:val="22"/>
              </w:rPr>
              <w:t xml:space="preserve"> </w:t>
            </w:r>
            <w:proofErr w:type="spellStart"/>
            <w:r>
              <w:rPr>
                <w:sz w:val="22"/>
                <w:szCs w:val="22"/>
              </w:rPr>
              <w:t>freight</w:t>
            </w:r>
            <w:proofErr w:type="spellEnd"/>
            <w:r>
              <w:rPr>
                <w:sz w:val="22"/>
                <w:szCs w:val="22"/>
              </w:rPr>
              <w:t xml:space="preserve"> and </w:t>
            </w:r>
            <w:proofErr w:type="spellStart"/>
            <w:r>
              <w:rPr>
                <w:sz w:val="22"/>
                <w:szCs w:val="22"/>
              </w:rPr>
              <w:t>the</w:t>
            </w:r>
            <w:proofErr w:type="spellEnd"/>
            <w:r>
              <w:rPr>
                <w:sz w:val="22"/>
                <w:szCs w:val="22"/>
              </w:rPr>
              <w:t xml:space="preserve"> </w:t>
            </w:r>
            <w:proofErr w:type="spellStart"/>
            <w:r>
              <w:rPr>
                <w:sz w:val="22"/>
                <w:szCs w:val="22"/>
              </w:rPr>
              <w:t>terms</w:t>
            </w:r>
            <w:proofErr w:type="spellEnd"/>
            <w:r>
              <w:rPr>
                <w:sz w:val="22"/>
                <w:szCs w:val="22"/>
              </w:rPr>
              <w:t xml:space="preserve"> </w:t>
            </w:r>
            <w:proofErr w:type="spellStart"/>
            <w:r>
              <w:rPr>
                <w:sz w:val="22"/>
                <w:szCs w:val="22"/>
              </w:rPr>
              <w:t>of</w:t>
            </w:r>
            <w:proofErr w:type="spellEnd"/>
            <w:r>
              <w:rPr>
                <w:sz w:val="22"/>
                <w:szCs w:val="22"/>
              </w:rPr>
              <w:t xml:space="preserve"> sale </w:t>
            </w:r>
            <w:proofErr w:type="spellStart"/>
            <w:r>
              <w:rPr>
                <w:sz w:val="22"/>
                <w:szCs w:val="22"/>
              </w:rPr>
              <w:t>must</w:t>
            </w:r>
            <w:proofErr w:type="spellEnd"/>
            <w:r>
              <w:rPr>
                <w:sz w:val="22"/>
                <w:szCs w:val="22"/>
              </w:rPr>
              <w:t xml:space="preserve"> be </w:t>
            </w:r>
            <w:proofErr w:type="spellStart"/>
            <w:r>
              <w:rPr>
                <w:sz w:val="22"/>
                <w:szCs w:val="22"/>
              </w:rPr>
              <w:t>declared</w:t>
            </w:r>
            <w:proofErr w:type="spellEnd"/>
            <w:r>
              <w:rPr>
                <w:sz w:val="22"/>
                <w:szCs w:val="22"/>
              </w:rPr>
              <w:t>.</w:t>
            </w:r>
          </w:p>
          <w:p w14:paraId="25D1BDA3" w14:textId="77777777" w:rsidR="00E255F4" w:rsidRDefault="00E255F4">
            <w:pPr>
              <w:tabs>
                <w:tab w:val="left" w:pos="709"/>
              </w:tabs>
              <w:spacing w:line="240" w:lineRule="auto"/>
              <w:jc w:val="both"/>
              <w:textAlignment w:val="baseline"/>
              <w:rPr>
                <w:sz w:val="22"/>
                <w:szCs w:val="22"/>
              </w:rPr>
            </w:pPr>
          </w:p>
          <w:p w14:paraId="7A64CC9C" w14:textId="77777777" w:rsidR="00E255F4" w:rsidRDefault="00000000">
            <w:pPr>
              <w:tabs>
                <w:tab w:val="left" w:pos="709"/>
              </w:tabs>
              <w:spacing w:line="240" w:lineRule="auto"/>
              <w:jc w:val="both"/>
              <w:textAlignment w:val="baseline"/>
              <w:rPr>
                <w:b/>
                <w:bCs/>
                <w:sz w:val="22"/>
                <w:szCs w:val="22"/>
                <w:lang w:val="es-ES"/>
              </w:rPr>
            </w:pPr>
            <w:proofErr w:type="spellStart"/>
            <w:r>
              <w:rPr>
                <w:sz w:val="22"/>
                <w:szCs w:val="22"/>
              </w:rPr>
              <w:t>If</w:t>
            </w:r>
            <w:proofErr w:type="spellEnd"/>
            <w:r>
              <w:rPr>
                <w:sz w:val="22"/>
                <w:szCs w:val="22"/>
              </w:rPr>
              <w:t xml:space="preserve"> </w:t>
            </w:r>
            <w:proofErr w:type="spellStart"/>
            <w:r>
              <w:rPr>
                <w:sz w:val="22"/>
                <w:szCs w:val="22"/>
              </w:rPr>
              <w:t>international</w:t>
            </w:r>
            <w:proofErr w:type="spellEnd"/>
            <w:r>
              <w:rPr>
                <w:sz w:val="22"/>
                <w:szCs w:val="22"/>
              </w:rPr>
              <w:t xml:space="preserve"> </w:t>
            </w:r>
            <w:proofErr w:type="spellStart"/>
            <w:r>
              <w:rPr>
                <w:sz w:val="22"/>
                <w:szCs w:val="22"/>
              </w:rPr>
              <w:t>insurance</w:t>
            </w:r>
            <w:proofErr w:type="spellEnd"/>
            <w:r>
              <w:rPr>
                <w:sz w:val="22"/>
                <w:szCs w:val="22"/>
              </w:rPr>
              <w:t xml:space="preserve"> </w:t>
            </w:r>
            <w:proofErr w:type="spellStart"/>
            <w:r>
              <w:rPr>
                <w:sz w:val="22"/>
                <w:szCs w:val="22"/>
              </w:rPr>
              <w:t>is</w:t>
            </w:r>
            <w:proofErr w:type="spellEnd"/>
            <w:r>
              <w:rPr>
                <w:sz w:val="22"/>
                <w:szCs w:val="22"/>
              </w:rPr>
              <w:t xml:space="preserve"> </w:t>
            </w:r>
            <w:proofErr w:type="spellStart"/>
            <w:r>
              <w:rPr>
                <w:sz w:val="22"/>
                <w:szCs w:val="22"/>
              </w:rPr>
              <w:t>quoted</w:t>
            </w:r>
            <w:proofErr w:type="spellEnd"/>
            <w:r>
              <w:rPr>
                <w:sz w:val="22"/>
                <w:szCs w:val="22"/>
              </w:rPr>
              <w:t xml:space="preserve"> and </w:t>
            </w:r>
            <w:proofErr w:type="spellStart"/>
            <w:r>
              <w:rPr>
                <w:sz w:val="22"/>
                <w:szCs w:val="22"/>
              </w:rPr>
              <w:t>contracted</w:t>
            </w:r>
            <w:proofErr w:type="spellEnd"/>
            <w:r>
              <w:rPr>
                <w:sz w:val="22"/>
                <w:szCs w:val="22"/>
              </w:rPr>
              <w:t xml:space="preserve">, </w:t>
            </w:r>
            <w:proofErr w:type="spellStart"/>
            <w:r>
              <w:rPr>
                <w:sz w:val="22"/>
                <w:szCs w:val="22"/>
              </w:rPr>
              <w:t>it</w:t>
            </w:r>
            <w:proofErr w:type="spellEnd"/>
            <w:r>
              <w:rPr>
                <w:sz w:val="22"/>
                <w:szCs w:val="22"/>
              </w:rPr>
              <w:t xml:space="preserve"> </w:t>
            </w:r>
            <w:proofErr w:type="spellStart"/>
            <w:r>
              <w:rPr>
                <w:sz w:val="22"/>
                <w:szCs w:val="22"/>
              </w:rPr>
              <w:t>must</w:t>
            </w:r>
            <w:proofErr w:type="spellEnd"/>
            <w:r>
              <w:rPr>
                <w:sz w:val="22"/>
                <w:szCs w:val="22"/>
              </w:rPr>
              <w:t xml:space="preserve"> be </w:t>
            </w:r>
            <w:proofErr w:type="spellStart"/>
            <w:r>
              <w:rPr>
                <w:sz w:val="22"/>
                <w:szCs w:val="22"/>
              </w:rPr>
              <w:t>for</w:t>
            </w:r>
            <w:proofErr w:type="spellEnd"/>
            <w:r>
              <w:rPr>
                <w:sz w:val="22"/>
                <w:szCs w:val="22"/>
              </w:rPr>
              <w:t xml:space="preserve"> 110% </w:t>
            </w:r>
            <w:proofErr w:type="spellStart"/>
            <w:r>
              <w:rPr>
                <w:sz w:val="22"/>
                <w:szCs w:val="22"/>
              </w:rPr>
              <w:t>of</w:t>
            </w:r>
            <w:proofErr w:type="spellEnd"/>
            <w:r>
              <w:rPr>
                <w:sz w:val="22"/>
                <w:szCs w:val="22"/>
              </w:rPr>
              <w:t xml:space="preserve"> </w:t>
            </w:r>
            <w:proofErr w:type="spellStart"/>
            <w:r>
              <w:rPr>
                <w:sz w:val="22"/>
                <w:szCs w:val="22"/>
              </w:rPr>
              <w:t>the</w:t>
            </w:r>
            <w:proofErr w:type="spellEnd"/>
            <w:r>
              <w:rPr>
                <w:sz w:val="22"/>
                <w:szCs w:val="22"/>
              </w:rPr>
              <w:t xml:space="preserve"> </w:t>
            </w:r>
            <w:proofErr w:type="spellStart"/>
            <w:r>
              <w:rPr>
                <w:sz w:val="22"/>
                <w:szCs w:val="22"/>
              </w:rPr>
              <w:t>declared</w:t>
            </w:r>
            <w:proofErr w:type="spellEnd"/>
            <w:r>
              <w:rPr>
                <w:sz w:val="22"/>
                <w:szCs w:val="22"/>
              </w:rPr>
              <w:t xml:space="preserve"> INCOTERM </w:t>
            </w:r>
            <w:proofErr w:type="spellStart"/>
            <w:r>
              <w:rPr>
                <w:sz w:val="22"/>
                <w:szCs w:val="22"/>
              </w:rPr>
              <w:t>value</w:t>
            </w:r>
            <w:proofErr w:type="spellEnd"/>
            <w:r>
              <w:rPr>
                <w:sz w:val="22"/>
                <w:szCs w:val="22"/>
              </w:rPr>
              <w:t xml:space="preserve">, </w:t>
            </w:r>
            <w:proofErr w:type="spellStart"/>
            <w:r>
              <w:rPr>
                <w:sz w:val="22"/>
                <w:szCs w:val="22"/>
              </w:rPr>
              <w:t>payable</w:t>
            </w:r>
            <w:proofErr w:type="spellEnd"/>
            <w:r>
              <w:rPr>
                <w:sz w:val="22"/>
                <w:szCs w:val="22"/>
              </w:rPr>
              <w:t xml:space="preserve"> </w:t>
            </w:r>
            <w:proofErr w:type="spellStart"/>
            <w:r>
              <w:rPr>
                <w:sz w:val="22"/>
                <w:szCs w:val="22"/>
              </w:rPr>
              <w:t>to</w:t>
            </w:r>
            <w:proofErr w:type="spellEnd"/>
            <w:r>
              <w:rPr>
                <w:sz w:val="22"/>
                <w:szCs w:val="22"/>
              </w:rPr>
              <w:t xml:space="preserve"> </w:t>
            </w:r>
            <w:proofErr w:type="spellStart"/>
            <w:r>
              <w:rPr>
                <w:sz w:val="22"/>
                <w:szCs w:val="22"/>
              </w:rPr>
              <w:t>or</w:t>
            </w:r>
            <w:proofErr w:type="spellEnd"/>
            <w:r>
              <w:rPr>
                <w:sz w:val="22"/>
                <w:szCs w:val="22"/>
              </w:rPr>
              <w:t xml:space="preserve"> </w:t>
            </w:r>
            <w:proofErr w:type="spellStart"/>
            <w:r>
              <w:rPr>
                <w:sz w:val="22"/>
                <w:szCs w:val="22"/>
              </w:rPr>
              <w:t>endorsed</w:t>
            </w:r>
            <w:proofErr w:type="spellEnd"/>
            <w:r>
              <w:rPr>
                <w:sz w:val="22"/>
                <w:szCs w:val="22"/>
              </w:rPr>
              <w:t xml:space="preserve"> </w:t>
            </w:r>
            <w:proofErr w:type="spellStart"/>
            <w:r>
              <w:rPr>
                <w:sz w:val="22"/>
                <w:szCs w:val="22"/>
              </w:rPr>
              <w:t>to</w:t>
            </w:r>
            <w:proofErr w:type="spellEnd"/>
            <w:r>
              <w:rPr>
                <w:sz w:val="22"/>
                <w:szCs w:val="22"/>
              </w:rPr>
              <w:t xml:space="preserve"> Obras Sanitarias del Estado, </w:t>
            </w:r>
            <w:proofErr w:type="spellStart"/>
            <w:r>
              <w:rPr>
                <w:sz w:val="22"/>
                <w:szCs w:val="22"/>
              </w:rPr>
              <w:t>covering</w:t>
            </w:r>
            <w:proofErr w:type="spellEnd"/>
            <w:r>
              <w:rPr>
                <w:sz w:val="22"/>
                <w:szCs w:val="22"/>
              </w:rPr>
              <w:t xml:space="preserve"> </w:t>
            </w:r>
            <w:proofErr w:type="spellStart"/>
            <w:r>
              <w:rPr>
                <w:sz w:val="22"/>
                <w:szCs w:val="22"/>
              </w:rPr>
              <w:t>maritime</w:t>
            </w:r>
            <w:proofErr w:type="spellEnd"/>
            <w:r>
              <w:rPr>
                <w:sz w:val="22"/>
                <w:szCs w:val="22"/>
              </w:rPr>
              <w:t xml:space="preserve">, air, and </w:t>
            </w:r>
            <w:proofErr w:type="spellStart"/>
            <w:r>
              <w:rPr>
                <w:sz w:val="22"/>
                <w:szCs w:val="22"/>
              </w:rPr>
              <w:t>land</w:t>
            </w:r>
            <w:proofErr w:type="spellEnd"/>
            <w:r>
              <w:rPr>
                <w:sz w:val="22"/>
                <w:szCs w:val="22"/>
              </w:rPr>
              <w:t xml:space="preserve"> </w:t>
            </w:r>
            <w:proofErr w:type="spellStart"/>
            <w:r>
              <w:rPr>
                <w:sz w:val="22"/>
                <w:szCs w:val="22"/>
              </w:rPr>
              <w:t>shipments</w:t>
            </w:r>
            <w:proofErr w:type="spellEnd"/>
            <w:r>
              <w:rPr>
                <w:sz w:val="22"/>
                <w:szCs w:val="22"/>
              </w:rPr>
              <w:t xml:space="preserve">, </w:t>
            </w:r>
            <w:proofErr w:type="spellStart"/>
            <w:r>
              <w:rPr>
                <w:sz w:val="22"/>
                <w:szCs w:val="22"/>
              </w:rPr>
              <w:t>clause</w:t>
            </w:r>
            <w:proofErr w:type="spellEnd"/>
            <w:r>
              <w:rPr>
                <w:sz w:val="22"/>
                <w:szCs w:val="22"/>
              </w:rPr>
              <w:t xml:space="preserve"> A </w:t>
            </w:r>
            <w:proofErr w:type="spellStart"/>
            <w:r>
              <w:rPr>
                <w:sz w:val="22"/>
                <w:szCs w:val="22"/>
              </w:rPr>
              <w:t>of</w:t>
            </w:r>
            <w:proofErr w:type="spellEnd"/>
            <w:r>
              <w:rPr>
                <w:sz w:val="22"/>
                <w:szCs w:val="22"/>
              </w:rPr>
              <w:t xml:space="preserve"> </w:t>
            </w:r>
            <w:proofErr w:type="spellStart"/>
            <w:r>
              <w:rPr>
                <w:sz w:val="22"/>
                <w:szCs w:val="22"/>
              </w:rPr>
              <w:t>the</w:t>
            </w:r>
            <w:proofErr w:type="spellEnd"/>
            <w:r>
              <w:rPr>
                <w:sz w:val="22"/>
                <w:szCs w:val="22"/>
              </w:rPr>
              <w:t xml:space="preserve"> IAL </w:t>
            </w:r>
            <w:proofErr w:type="spellStart"/>
            <w:r>
              <w:rPr>
                <w:sz w:val="22"/>
                <w:szCs w:val="22"/>
              </w:rPr>
              <w:t>or</w:t>
            </w:r>
            <w:proofErr w:type="spellEnd"/>
            <w:r>
              <w:rPr>
                <w:sz w:val="22"/>
                <w:szCs w:val="22"/>
              </w:rPr>
              <w:t xml:space="preserve"> similar, "</w:t>
            </w:r>
            <w:proofErr w:type="spellStart"/>
            <w:r>
              <w:rPr>
                <w:sz w:val="22"/>
                <w:szCs w:val="22"/>
              </w:rPr>
              <w:t>all</w:t>
            </w:r>
            <w:proofErr w:type="spellEnd"/>
            <w:r>
              <w:rPr>
                <w:sz w:val="22"/>
                <w:szCs w:val="22"/>
              </w:rPr>
              <w:t xml:space="preserve"> </w:t>
            </w:r>
            <w:proofErr w:type="spellStart"/>
            <w:r>
              <w:rPr>
                <w:sz w:val="22"/>
                <w:szCs w:val="22"/>
              </w:rPr>
              <w:t>risks</w:t>
            </w:r>
            <w:proofErr w:type="spellEnd"/>
            <w:r>
              <w:rPr>
                <w:sz w:val="22"/>
                <w:szCs w:val="22"/>
              </w:rPr>
              <w:t xml:space="preserve">," plus </w:t>
            </w:r>
            <w:proofErr w:type="spellStart"/>
            <w:r>
              <w:rPr>
                <w:sz w:val="22"/>
                <w:szCs w:val="22"/>
              </w:rPr>
              <w:t>war</w:t>
            </w:r>
            <w:proofErr w:type="spellEnd"/>
            <w:r>
              <w:rPr>
                <w:sz w:val="22"/>
                <w:szCs w:val="22"/>
              </w:rPr>
              <w:t xml:space="preserve"> and strike, </w:t>
            </w:r>
            <w:proofErr w:type="spellStart"/>
            <w:r>
              <w:rPr>
                <w:sz w:val="22"/>
                <w:szCs w:val="22"/>
              </w:rPr>
              <w:t>from</w:t>
            </w:r>
            <w:proofErr w:type="spellEnd"/>
            <w:r>
              <w:rPr>
                <w:sz w:val="22"/>
                <w:szCs w:val="22"/>
              </w:rPr>
              <w:t xml:space="preserve"> </w:t>
            </w:r>
            <w:proofErr w:type="spellStart"/>
            <w:r>
              <w:rPr>
                <w:sz w:val="22"/>
                <w:szCs w:val="22"/>
              </w:rPr>
              <w:t>the</w:t>
            </w:r>
            <w:proofErr w:type="spellEnd"/>
            <w:r>
              <w:rPr>
                <w:sz w:val="22"/>
                <w:szCs w:val="22"/>
              </w:rPr>
              <w:t xml:space="preserve"> </w:t>
            </w:r>
            <w:proofErr w:type="spellStart"/>
            <w:r>
              <w:rPr>
                <w:sz w:val="22"/>
                <w:szCs w:val="22"/>
              </w:rPr>
              <w:t>seller's</w:t>
            </w:r>
            <w:proofErr w:type="spellEnd"/>
            <w:r>
              <w:rPr>
                <w:sz w:val="22"/>
                <w:szCs w:val="22"/>
              </w:rPr>
              <w:t xml:space="preserve"> </w:t>
            </w:r>
            <w:proofErr w:type="spellStart"/>
            <w:r>
              <w:rPr>
                <w:sz w:val="22"/>
                <w:szCs w:val="22"/>
              </w:rPr>
              <w:t>warehouse</w:t>
            </w:r>
            <w:proofErr w:type="spellEnd"/>
            <w:r>
              <w:rPr>
                <w:sz w:val="22"/>
                <w:szCs w:val="22"/>
              </w:rPr>
              <w:t xml:space="preserve"> </w:t>
            </w:r>
            <w:proofErr w:type="spellStart"/>
            <w:r>
              <w:rPr>
                <w:sz w:val="22"/>
                <w:szCs w:val="22"/>
              </w:rPr>
              <w:t>to</w:t>
            </w:r>
            <w:proofErr w:type="spellEnd"/>
            <w:r>
              <w:rPr>
                <w:sz w:val="22"/>
                <w:szCs w:val="22"/>
              </w:rPr>
              <w:t xml:space="preserve"> </w:t>
            </w:r>
            <w:proofErr w:type="spellStart"/>
            <w:r>
              <w:rPr>
                <w:sz w:val="22"/>
                <w:szCs w:val="22"/>
              </w:rPr>
              <w:t>the</w:t>
            </w:r>
            <w:proofErr w:type="spellEnd"/>
            <w:r>
              <w:rPr>
                <w:sz w:val="22"/>
                <w:szCs w:val="22"/>
              </w:rPr>
              <w:t xml:space="preserve"> </w:t>
            </w:r>
            <w:proofErr w:type="spellStart"/>
            <w:r>
              <w:rPr>
                <w:sz w:val="22"/>
                <w:szCs w:val="22"/>
              </w:rPr>
              <w:t>buyer's</w:t>
            </w:r>
            <w:proofErr w:type="spellEnd"/>
            <w:r>
              <w:rPr>
                <w:sz w:val="22"/>
                <w:szCs w:val="22"/>
              </w:rPr>
              <w:t xml:space="preserve"> </w:t>
            </w:r>
            <w:proofErr w:type="spellStart"/>
            <w:r>
              <w:rPr>
                <w:sz w:val="22"/>
                <w:szCs w:val="22"/>
              </w:rPr>
              <w:t>warehouse</w:t>
            </w:r>
            <w:proofErr w:type="spellEnd"/>
            <w:r>
              <w:rPr>
                <w:sz w:val="22"/>
                <w:szCs w:val="22"/>
              </w:rPr>
              <w:t xml:space="preserve">. </w:t>
            </w:r>
            <w:proofErr w:type="spellStart"/>
            <w:r>
              <w:rPr>
                <w:sz w:val="22"/>
                <w:szCs w:val="22"/>
              </w:rPr>
              <w:t>This</w:t>
            </w:r>
            <w:proofErr w:type="spellEnd"/>
            <w:r>
              <w:rPr>
                <w:sz w:val="22"/>
                <w:szCs w:val="22"/>
              </w:rPr>
              <w:t xml:space="preserve"> </w:t>
            </w:r>
            <w:proofErr w:type="spellStart"/>
            <w:r>
              <w:rPr>
                <w:sz w:val="22"/>
                <w:szCs w:val="22"/>
              </w:rPr>
              <w:t>document</w:t>
            </w:r>
            <w:proofErr w:type="spellEnd"/>
            <w:r>
              <w:rPr>
                <w:sz w:val="22"/>
                <w:szCs w:val="22"/>
              </w:rPr>
              <w:t xml:space="preserve"> </w:t>
            </w:r>
            <w:proofErr w:type="spellStart"/>
            <w:r>
              <w:rPr>
                <w:sz w:val="22"/>
                <w:szCs w:val="22"/>
              </w:rPr>
              <w:t>must</w:t>
            </w:r>
            <w:proofErr w:type="spellEnd"/>
            <w:r>
              <w:rPr>
                <w:sz w:val="22"/>
                <w:szCs w:val="22"/>
              </w:rPr>
              <w:t xml:space="preserve"> </w:t>
            </w:r>
            <w:proofErr w:type="spellStart"/>
            <w:r>
              <w:rPr>
                <w:sz w:val="22"/>
                <w:szCs w:val="22"/>
              </w:rPr>
              <w:t>include</w:t>
            </w:r>
            <w:proofErr w:type="spellEnd"/>
            <w:r>
              <w:rPr>
                <w:sz w:val="22"/>
                <w:szCs w:val="22"/>
              </w:rPr>
              <w:t xml:space="preserve"> </w:t>
            </w:r>
            <w:proofErr w:type="spellStart"/>
            <w:r>
              <w:rPr>
                <w:sz w:val="22"/>
                <w:szCs w:val="22"/>
              </w:rPr>
              <w:t>the</w:t>
            </w:r>
            <w:proofErr w:type="spellEnd"/>
            <w:r>
              <w:rPr>
                <w:sz w:val="22"/>
                <w:szCs w:val="22"/>
              </w:rPr>
              <w:t xml:space="preserve"> </w:t>
            </w:r>
            <w:proofErr w:type="spellStart"/>
            <w:r>
              <w:rPr>
                <w:sz w:val="22"/>
                <w:szCs w:val="22"/>
              </w:rPr>
              <w:t>details</w:t>
            </w:r>
            <w:proofErr w:type="spellEnd"/>
            <w:r>
              <w:rPr>
                <w:sz w:val="22"/>
                <w:szCs w:val="22"/>
              </w:rPr>
              <w:t xml:space="preserve"> </w:t>
            </w:r>
            <w:proofErr w:type="spellStart"/>
            <w:r>
              <w:rPr>
                <w:sz w:val="22"/>
                <w:szCs w:val="22"/>
              </w:rPr>
              <w:t>of</w:t>
            </w:r>
            <w:proofErr w:type="spellEnd"/>
            <w:r>
              <w:rPr>
                <w:sz w:val="22"/>
                <w:szCs w:val="22"/>
              </w:rPr>
              <w:t xml:space="preserve"> </w:t>
            </w:r>
            <w:proofErr w:type="spellStart"/>
            <w:r>
              <w:rPr>
                <w:sz w:val="22"/>
                <w:szCs w:val="22"/>
              </w:rPr>
              <w:t>the</w:t>
            </w:r>
            <w:proofErr w:type="spellEnd"/>
            <w:r>
              <w:rPr>
                <w:sz w:val="22"/>
                <w:szCs w:val="22"/>
              </w:rPr>
              <w:t xml:space="preserve"> </w:t>
            </w:r>
            <w:proofErr w:type="spellStart"/>
            <w:r>
              <w:rPr>
                <w:sz w:val="22"/>
                <w:szCs w:val="22"/>
              </w:rPr>
              <w:t>insurer's</w:t>
            </w:r>
            <w:proofErr w:type="spellEnd"/>
            <w:r>
              <w:rPr>
                <w:sz w:val="22"/>
                <w:szCs w:val="22"/>
              </w:rPr>
              <w:t xml:space="preserve"> representative </w:t>
            </w:r>
            <w:proofErr w:type="spellStart"/>
            <w:r>
              <w:rPr>
                <w:sz w:val="22"/>
                <w:szCs w:val="22"/>
              </w:rPr>
              <w:t>or</w:t>
            </w:r>
            <w:proofErr w:type="spellEnd"/>
            <w:r>
              <w:rPr>
                <w:sz w:val="22"/>
                <w:szCs w:val="22"/>
              </w:rPr>
              <w:t xml:space="preserve"> </w:t>
            </w:r>
            <w:proofErr w:type="spellStart"/>
            <w:r>
              <w:rPr>
                <w:sz w:val="22"/>
                <w:szCs w:val="22"/>
              </w:rPr>
              <w:t>contact</w:t>
            </w:r>
            <w:proofErr w:type="spellEnd"/>
            <w:r>
              <w:rPr>
                <w:sz w:val="22"/>
                <w:szCs w:val="22"/>
              </w:rPr>
              <w:t xml:space="preserve"> in Uruguay and </w:t>
            </w:r>
            <w:proofErr w:type="spellStart"/>
            <w:r>
              <w:rPr>
                <w:sz w:val="22"/>
                <w:szCs w:val="22"/>
              </w:rPr>
              <w:t>must</w:t>
            </w:r>
            <w:proofErr w:type="spellEnd"/>
            <w:r>
              <w:rPr>
                <w:sz w:val="22"/>
                <w:szCs w:val="22"/>
              </w:rPr>
              <w:t xml:space="preserve"> be in </w:t>
            </w:r>
            <w:proofErr w:type="spellStart"/>
            <w:r>
              <w:rPr>
                <w:sz w:val="22"/>
                <w:szCs w:val="22"/>
              </w:rPr>
              <w:t>the</w:t>
            </w:r>
            <w:proofErr w:type="spellEnd"/>
            <w:r>
              <w:rPr>
                <w:sz w:val="22"/>
                <w:szCs w:val="22"/>
              </w:rPr>
              <w:t xml:space="preserve"> </w:t>
            </w:r>
            <w:proofErr w:type="spellStart"/>
            <w:r>
              <w:rPr>
                <w:sz w:val="22"/>
                <w:szCs w:val="22"/>
              </w:rPr>
              <w:t>same</w:t>
            </w:r>
            <w:proofErr w:type="spellEnd"/>
            <w:r>
              <w:rPr>
                <w:sz w:val="22"/>
                <w:szCs w:val="22"/>
              </w:rPr>
              <w:t xml:space="preserve"> </w:t>
            </w:r>
            <w:proofErr w:type="spellStart"/>
            <w:r>
              <w:rPr>
                <w:sz w:val="22"/>
                <w:szCs w:val="22"/>
              </w:rPr>
              <w:t>currency</w:t>
            </w:r>
            <w:proofErr w:type="spellEnd"/>
            <w:r>
              <w:rPr>
                <w:sz w:val="22"/>
                <w:szCs w:val="22"/>
              </w:rPr>
              <w:t xml:space="preserve"> in </w:t>
            </w:r>
            <w:proofErr w:type="spellStart"/>
            <w:r>
              <w:rPr>
                <w:sz w:val="22"/>
                <w:szCs w:val="22"/>
              </w:rPr>
              <w:t>which</w:t>
            </w:r>
            <w:proofErr w:type="spellEnd"/>
            <w:r>
              <w:rPr>
                <w:sz w:val="22"/>
                <w:szCs w:val="22"/>
              </w:rPr>
              <w:t xml:space="preserve"> </w:t>
            </w:r>
            <w:proofErr w:type="spellStart"/>
            <w:r>
              <w:rPr>
                <w:sz w:val="22"/>
                <w:szCs w:val="22"/>
              </w:rPr>
              <w:t>the</w:t>
            </w:r>
            <w:proofErr w:type="spellEnd"/>
            <w:r>
              <w:rPr>
                <w:sz w:val="22"/>
                <w:szCs w:val="22"/>
              </w:rPr>
              <w:t xml:space="preserve"> </w:t>
            </w:r>
            <w:proofErr w:type="spellStart"/>
            <w:r>
              <w:rPr>
                <w:sz w:val="22"/>
                <w:szCs w:val="22"/>
              </w:rPr>
              <w:t>goods</w:t>
            </w:r>
            <w:proofErr w:type="spellEnd"/>
            <w:r>
              <w:rPr>
                <w:sz w:val="22"/>
                <w:szCs w:val="22"/>
              </w:rPr>
              <w:t xml:space="preserve"> </w:t>
            </w:r>
            <w:proofErr w:type="spellStart"/>
            <w:r>
              <w:rPr>
                <w:sz w:val="22"/>
                <w:szCs w:val="22"/>
              </w:rPr>
              <w:t>will</w:t>
            </w:r>
            <w:proofErr w:type="spellEnd"/>
            <w:r>
              <w:rPr>
                <w:sz w:val="22"/>
                <w:szCs w:val="22"/>
              </w:rPr>
              <w:t xml:space="preserve"> be </w:t>
            </w:r>
            <w:proofErr w:type="spellStart"/>
            <w:r>
              <w:rPr>
                <w:sz w:val="22"/>
                <w:szCs w:val="22"/>
              </w:rPr>
              <w:t>invoiced</w:t>
            </w:r>
            <w:proofErr w:type="spellEnd"/>
            <w:r>
              <w:rPr>
                <w:sz w:val="22"/>
                <w:szCs w:val="22"/>
              </w:rPr>
              <w:t>.</w:t>
            </w:r>
          </w:p>
          <w:p w14:paraId="080A77EF" w14:textId="77777777" w:rsidR="00E255F4" w:rsidRDefault="00E255F4">
            <w:pPr>
              <w:tabs>
                <w:tab w:val="left" w:pos="709"/>
              </w:tabs>
              <w:spacing w:line="240" w:lineRule="auto"/>
              <w:jc w:val="both"/>
              <w:textAlignment w:val="baseline"/>
              <w:rPr>
                <w:b/>
                <w:bCs/>
                <w:sz w:val="22"/>
                <w:szCs w:val="22"/>
                <w:lang w:val="es-ES"/>
              </w:rPr>
            </w:pPr>
          </w:p>
          <w:p w14:paraId="14A7B7A9" w14:textId="77777777" w:rsidR="00E255F4" w:rsidRDefault="00000000">
            <w:pPr>
              <w:tabs>
                <w:tab w:val="left" w:pos="0"/>
              </w:tabs>
              <w:spacing w:line="240" w:lineRule="auto"/>
              <w:jc w:val="both"/>
              <w:textAlignment w:val="baseline"/>
            </w:pPr>
            <w:r>
              <w:rPr>
                <w:sz w:val="22"/>
                <w:szCs w:val="22"/>
              </w:rPr>
              <w:t xml:space="preserve">In </w:t>
            </w:r>
            <w:proofErr w:type="spellStart"/>
            <w:r>
              <w:rPr>
                <w:sz w:val="22"/>
                <w:szCs w:val="22"/>
              </w:rPr>
              <w:t>the</w:t>
            </w:r>
            <w:proofErr w:type="spellEnd"/>
            <w:r>
              <w:rPr>
                <w:sz w:val="22"/>
                <w:szCs w:val="22"/>
              </w:rPr>
              <w:t xml:space="preserve"> case </w:t>
            </w:r>
            <w:proofErr w:type="spellStart"/>
            <w:r>
              <w:rPr>
                <w:sz w:val="22"/>
                <w:szCs w:val="22"/>
              </w:rPr>
              <w:t>of</w:t>
            </w:r>
            <w:proofErr w:type="spellEnd"/>
            <w:r>
              <w:rPr>
                <w:sz w:val="22"/>
                <w:szCs w:val="22"/>
              </w:rPr>
              <w:t xml:space="preserve"> sales </w:t>
            </w:r>
            <w:proofErr w:type="spellStart"/>
            <w:r>
              <w:rPr>
                <w:sz w:val="22"/>
                <w:szCs w:val="22"/>
              </w:rPr>
              <w:t>from</w:t>
            </w:r>
            <w:proofErr w:type="spellEnd"/>
            <w:r>
              <w:rPr>
                <w:sz w:val="22"/>
                <w:szCs w:val="22"/>
              </w:rPr>
              <w:t xml:space="preserve"> </w:t>
            </w:r>
            <w:proofErr w:type="spellStart"/>
            <w:r>
              <w:rPr>
                <w:sz w:val="22"/>
                <w:szCs w:val="22"/>
              </w:rPr>
              <w:t>the</w:t>
            </w:r>
            <w:proofErr w:type="spellEnd"/>
            <w:r>
              <w:rPr>
                <w:sz w:val="22"/>
                <w:szCs w:val="22"/>
              </w:rPr>
              <w:t xml:space="preserve"> Port </w:t>
            </w:r>
            <w:proofErr w:type="spellStart"/>
            <w:r>
              <w:rPr>
                <w:sz w:val="22"/>
                <w:szCs w:val="22"/>
              </w:rPr>
              <w:t>of</w:t>
            </w:r>
            <w:proofErr w:type="spellEnd"/>
            <w:r>
              <w:rPr>
                <w:sz w:val="22"/>
                <w:szCs w:val="22"/>
              </w:rPr>
              <w:t xml:space="preserve"> Montevideo </w:t>
            </w:r>
            <w:proofErr w:type="spellStart"/>
            <w:r>
              <w:rPr>
                <w:sz w:val="22"/>
                <w:szCs w:val="22"/>
              </w:rPr>
              <w:t>or</w:t>
            </w:r>
            <w:proofErr w:type="spellEnd"/>
            <w:r>
              <w:rPr>
                <w:sz w:val="22"/>
                <w:szCs w:val="22"/>
              </w:rPr>
              <w:t xml:space="preserve"> Carrasco International </w:t>
            </w:r>
            <w:proofErr w:type="spellStart"/>
            <w:r>
              <w:rPr>
                <w:sz w:val="22"/>
                <w:szCs w:val="22"/>
              </w:rPr>
              <w:t>Airport</w:t>
            </w:r>
            <w:proofErr w:type="spellEnd"/>
            <w:r>
              <w:rPr>
                <w:sz w:val="22"/>
                <w:szCs w:val="22"/>
              </w:rPr>
              <w:t xml:space="preserve">, </w:t>
            </w:r>
            <w:proofErr w:type="spellStart"/>
            <w:r>
              <w:rPr>
                <w:sz w:val="22"/>
                <w:szCs w:val="22"/>
              </w:rPr>
              <w:t>the</w:t>
            </w:r>
            <w:proofErr w:type="spellEnd"/>
            <w:r>
              <w:rPr>
                <w:sz w:val="22"/>
                <w:szCs w:val="22"/>
              </w:rPr>
              <w:t xml:space="preserve"> </w:t>
            </w:r>
            <w:proofErr w:type="spellStart"/>
            <w:r>
              <w:rPr>
                <w:sz w:val="22"/>
                <w:szCs w:val="22"/>
              </w:rPr>
              <w:t>quotation</w:t>
            </w:r>
            <w:proofErr w:type="spellEnd"/>
            <w:r>
              <w:rPr>
                <w:sz w:val="22"/>
                <w:szCs w:val="22"/>
              </w:rPr>
              <w:t xml:space="preserve"> </w:t>
            </w:r>
            <w:proofErr w:type="spellStart"/>
            <w:r>
              <w:rPr>
                <w:sz w:val="22"/>
                <w:szCs w:val="22"/>
              </w:rPr>
              <w:t>detailed</w:t>
            </w:r>
            <w:proofErr w:type="spellEnd"/>
            <w:r>
              <w:rPr>
                <w:sz w:val="22"/>
                <w:szCs w:val="22"/>
              </w:rPr>
              <w:t xml:space="preserve"> in </w:t>
            </w:r>
            <w:proofErr w:type="spellStart"/>
            <w:r>
              <w:rPr>
                <w:sz w:val="22"/>
                <w:szCs w:val="22"/>
              </w:rPr>
              <w:t>the</w:t>
            </w:r>
            <w:proofErr w:type="spellEnd"/>
            <w:r>
              <w:rPr>
                <w:sz w:val="22"/>
                <w:szCs w:val="22"/>
              </w:rPr>
              <w:t xml:space="preserve"> </w:t>
            </w:r>
            <w:proofErr w:type="spellStart"/>
            <w:r>
              <w:rPr>
                <w:sz w:val="22"/>
                <w:szCs w:val="22"/>
              </w:rPr>
              <w:t>Quantity</w:t>
            </w:r>
            <w:proofErr w:type="spellEnd"/>
            <w:r>
              <w:rPr>
                <w:sz w:val="22"/>
                <w:szCs w:val="22"/>
              </w:rPr>
              <w:t xml:space="preserve"> and Price List - </w:t>
            </w:r>
            <w:proofErr w:type="spellStart"/>
            <w:r>
              <w:rPr>
                <w:sz w:val="22"/>
                <w:szCs w:val="22"/>
              </w:rPr>
              <w:t>Offers</w:t>
            </w:r>
            <w:proofErr w:type="spellEnd"/>
            <w:r>
              <w:rPr>
                <w:sz w:val="22"/>
                <w:szCs w:val="22"/>
              </w:rPr>
              <w:t xml:space="preserve"> </w:t>
            </w:r>
            <w:proofErr w:type="spellStart"/>
            <w:r>
              <w:rPr>
                <w:sz w:val="22"/>
                <w:szCs w:val="22"/>
              </w:rPr>
              <w:t>for</w:t>
            </w:r>
            <w:proofErr w:type="spellEnd"/>
            <w:r>
              <w:rPr>
                <w:sz w:val="22"/>
                <w:szCs w:val="22"/>
              </w:rPr>
              <w:t xml:space="preserve"> </w:t>
            </w:r>
            <w:proofErr w:type="spellStart"/>
            <w:r>
              <w:rPr>
                <w:sz w:val="22"/>
                <w:szCs w:val="22"/>
              </w:rPr>
              <w:t>goods</w:t>
            </w:r>
            <w:proofErr w:type="spellEnd"/>
            <w:r>
              <w:rPr>
                <w:sz w:val="22"/>
                <w:szCs w:val="22"/>
              </w:rPr>
              <w:t xml:space="preserve"> </w:t>
            </w:r>
            <w:proofErr w:type="spellStart"/>
            <w:r>
              <w:rPr>
                <w:sz w:val="22"/>
                <w:szCs w:val="22"/>
              </w:rPr>
              <w:t>to</w:t>
            </w:r>
            <w:proofErr w:type="spellEnd"/>
            <w:r>
              <w:rPr>
                <w:sz w:val="22"/>
                <w:szCs w:val="22"/>
              </w:rPr>
              <w:t xml:space="preserve"> be </w:t>
            </w:r>
            <w:proofErr w:type="spellStart"/>
            <w:r>
              <w:rPr>
                <w:sz w:val="22"/>
                <w:szCs w:val="22"/>
              </w:rPr>
              <w:t>imported</w:t>
            </w:r>
            <w:proofErr w:type="spellEnd"/>
            <w:r>
              <w:rPr>
                <w:sz w:val="22"/>
                <w:szCs w:val="22"/>
              </w:rPr>
              <w:t xml:space="preserve"> </w:t>
            </w:r>
            <w:proofErr w:type="spellStart"/>
            <w:r>
              <w:rPr>
                <w:sz w:val="22"/>
                <w:szCs w:val="22"/>
              </w:rPr>
              <w:t>by</w:t>
            </w:r>
            <w:proofErr w:type="spellEnd"/>
            <w:r>
              <w:rPr>
                <w:sz w:val="22"/>
                <w:szCs w:val="22"/>
              </w:rPr>
              <w:t xml:space="preserve"> OSE, in </w:t>
            </w:r>
            <w:proofErr w:type="spellStart"/>
            <w:r>
              <w:rPr>
                <w:sz w:val="22"/>
                <w:szCs w:val="22"/>
              </w:rPr>
              <w:t>Annex</w:t>
            </w:r>
            <w:proofErr w:type="spellEnd"/>
            <w:r>
              <w:rPr>
                <w:sz w:val="22"/>
                <w:szCs w:val="22"/>
              </w:rPr>
              <w:t xml:space="preserve"> V a2) </w:t>
            </w:r>
            <w:proofErr w:type="spellStart"/>
            <w:r>
              <w:rPr>
                <w:sz w:val="22"/>
                <w:szCs w:val="22"/>
              </w:rPr>
              <w:t>must</w:t>
            </w:r>
            <w:proofErr w:type="spellEnd"/>
            <w:r>
              <w:rPr>
                <w:sz w:val="22"/>
                <w:szCs w:val="22"/>
              </w:rPr>
              <w:t xml:space="preserve"> </w:t>
            </w:r>
            <w:proofErr w:type="spellStart"/>
            <w:r>
              <w:rPr>
                <w:sz w:val="22"/>
                <w:szCs w:val="22"/>
              </w:rPr>
              <w:t>include</w:t>
            </w:r>
            <w:proofErr w:type="spellEnd"/>
            <w:r>
              <w:rPr>
                <w:sz w:val="22"/>
                <w:szCs w:val="22"/>
              </w:rPr>
              <w:t xml:space="preserve"> </w:t>
            </w:r>
            <w:proofErr w:type="spellStart"/>
            <w:r>
              <w:rPr>
                <w:sz w:val="22"/>
                <w:szCs w:val="22"/>
              </w:rPr>
              <w:t>the</w:t>
            </w:r>
            <w:proofErr w:type="spellEnd"/>
            <w:r>
              <w:rPr>
                <w:sz w:val="22"/>
                <w:szCs w:val="22"/>
              </w:rPr>
              <w:t xml:space="preserve"> </w:t>
            </w:r>
            <w:proofErr w:type="spellStart"/>
            <w:r>
              <w:rPr>
                <w:sz w:val="22"/>
                <w:szCs w:val="22"/>
              </w:rPr>
              <w:t>agency</w:t>
            </w:r>
            <w:proofErr w:type="spellEnd"/>
            <w:r>
              <w:rPr>
                <w:sz w:val="22"/>
                <w:szCs w:val="22"/>
              </w:rPr>
              <w:t xml:space="preserve"> fees </w:t>
            </w:r>
            <w:proofErr w:type="spellStart"/>
            <w:r>
              <w:rPr>
                <w:sz w:val="22"/>
                <w:szCs w:val="22"/>
              </w:rPr>
              <w:t>necessary</w:t>
            </w:r>
            <w:proofErr w:type="spellEnd"/>
            <w:r>
              <w:rPr>
                <w:sz w:val="22"/>
                <w:szCs w:val="22"/>
              </w:rPr>
              <w:t xml:space="preserve"> </w:t>
            </w:r>
            <w:proofErr w:type="spellStart"/>
            <w:r>
              <w:rPr>
                <w:sz w:val="22"/>
                <w:szCs w:val="22"/>
              </w:rPr>
              <w:t>to</w:t>
            </w:r>
            <w:proofErr w:type="spellEnd"/>
            <w:r>
              <w:rPr>
                <w:sz w:val="22"/>
                <w:szCs w:val="22"/>
              </w:rPr>
              <w:t xml:space="preserve"> transfer </w:t>
            </w:r>
            <w:proofErr w:type="spellStart"/>
            <w:r>
              <w:rPr>
                <w:sz w:val="22"/>
                <w:szCs w:val="22"/>
              </w:rPr>
              <w:t>the</w:t>
            </w:r>
            <w:proofErr w:type="spellEnd"/>
            <w:r>
              <w:rPr>
                <w:sz w:val="22"/>
                <w:szCs w:val="22"/>
              </w:rPr>
              <w:t xml:space="preserve"> </w:t>
            </w:r>
            <w:proofErr w:type="spellStart"/>
            <w:r>
              <w:rPr>
                <w:sz w:val="22"/>
                <w:szCs w:val="22"/>
              </w:rPr>
              <w:t>shipping</w:t>
            </w:r>
            <w:proofErr w:type="spellEnd"/>
            <w:r>
              <w:rPr>
                <w:sz w:val="22"/>
                <w:szCs w:val="22"/>
              </w:rPr>
              <w:t xml:space="preserve"> </w:t>
            </w:r>
            <w:proofErr w:type="spellStart"/>
            <w:r>
              <w:rPr>
                <w:sz w:val="22"/>
                <w:szCs w:val="22"/>
              </w:rPr>
              <w:t>documents</w:t>
            </w:r>
            <w:proofErr w:type="spellEnd"/>
            <w:r>
              <w:rPr>
                <w:sz w:val="22"/>
                <w:szCs w:val="22"/>
              </w:rPr>
              <w:t xml:space="preserve"> </w:t>
            </w:r>
            <w:proofErr w:type="spellStart"/>
            <w:r>
              <w:rPr>
                <w:sz w:val="22"/>
                <w:szCs w:val="22"/>
              </w:rPr>
              <w:t>to</w:t>
            </w:r>
            <w:proofErr w:type="spellEnd"/>
            <w:r>
              <w:rPr>
                <w:sz w:val="22"/>
                <w:szCs w:val="22"/>
              </w:rPr>
              <w:t xml:space="preserve"> OSE. The </w:t>
            </w:r>
            <w:proofErr w:type="spellStart"/>
            <w:r>
              <w:rPr>
                <w:sz w:val="22"/>
                <w:szCs w:val="22"/>
              </w:rPr>
              <w:t>successful</w:t>
            </w:r>
            <w:proofErr w:type="spellEnd"/>
            <w:r>
              <w:rPr>
                <w:sz w:val="22"/>
                <w:szCs w:val="22"/>
              </w:rPr>
              <w:t xml:space="preserve"> </w:t>
            </w:r>
            <w:proofErr w:type="spellStart"/>
            <w:r>
              <w:rPr>
                <w:sz w:val="22"/>
                <w:szCs w:val="22"/>
              </w:rPr>
              <w:t>bidder</w:t>
            </w:r>
            <w:proofErr w:type="spellEnd"/>
            <w:r>
              <w:rPr>
                <w:sz w:val="22"/>
                <w:szCs w:val="22"/>
              </w:rPr>
              <w:t xml:space="preserve"> </w:t>
            </w:r>
            <w:proofErr w:type="spellStart"/>
            <w:r>
              <w:rPr>
                <w:sz w:val="22"/>
                <w:szCs w:val="22"/>
              </w:rPr>
              <w:t>must</w:t>
            </w:r>
            <w:proofErr w:type="spellEnd"/>
            <w:r>
              <w:rPr>
                <w:sz w:val="22"/>
                <w:szCs w:val="22"/>
              </w:rPr>
              <w:t xml:space="preserve"> </w:t>
            </w:r>
            <w:proofErr w:type="spellStart"/>
            <w:r>
              <w:rPr>
                <w:sz w:val="22"/>
                <w:szCs w:val="22"/>
              </w:rPr>
              <w:t>provide</w:t>
            </w:r>
            <w:proofErr w:type="spellEnd"/>
            <w:r>
              <w:rPr>
                <w:sz w:val="22"/>
                <w:szCs w:val="22"/>
              </w:rPr>
              <w:t xml:space="preserve"> </w:t>
            </w:r>
            <w:proofErr w:type="spellStart"/>
            <w:r>
              <w:rPr>
                <w:sz w:val="22"/>
                <w:szCs w:val="22"/>
              </w:rPr>
              <w:t>the</w:t>
            </w:r>
            <w:proofErr w:type="spellEnd"/>
            <w:r>
              <w:rPr>
                <w:sz w:val="22"/>
                <w:szCs w:val="22"/>
              </w:rPr>
              <w:t xml:space="preserve"> Foreign Trade Office </w:t>
            </w:r>
            <w:proofErr w:type="spellStart"/>
            <w:r>
              <w:rPr>
                <w:sz w:val="22"/>
                <w:szCs w:val="22"/>
              </w:rPr>
              <w:t>with</w:t>
            </w:r>
            <w:proofErr w:type="spellEnd"/>
            <w:r>
              <w:rPr>
                <w:sz w:val="22"/>
                <w:szCs w:val="22"/>
              </w:rPr>
              <w:t xml:space="preserve"> </w:t>
            </w:r>
            <w:proofErr w:type="spellStart"/>
            <w:r>
              <w:rPr>
                <w:sz w:val="22"/>
                <w:szCs w:val="22"/>
              </w:rPr>
              <w:t>proof</w:t>
            </w:r>
            <w:proofErr w:type="spellEnd"/>
            <w:r>
              <w:rPr>
                <w:sz w:val="22"/>
                <w:szCs w:val="22"/>
              </w:rPr>
              <w:t xml:space="preserve"> </w:t>
            </w:r>
            <w:proofErr w:type="spellStart"/>
            <w:r>
              <w:rPr>
                <w:sz w:val="22"/>
                <w:szCs w:val="22"/>
              </w:rPr>
              <w:t>of</w:t>
            </w:r>
            <w:proofErr w:type="spellEnd"/>
            <w:r>
              <w:rPr>
                <w:sz w:val="22"/>
                <w:szCs w:val="22"/>
              </w:rPr>
              <w:t xml:space="preserve"> </w:t>
            </w:r>
            <w:proofErr w:type="spellStart"/>
            <w:r>
              <w:rPr>
                <w:sz w:val="22"/>
                <w:szCs w:val="22"/>
              </w:rPr>
              <w:t>payment</w:t>
            </w:r>
            <w:proofErr w:type="spellEnd"/>
            <w:r>
              <w:rPr>
                <w:sz w:val="22"/>
                <w:szCs w:val="22"/>
              </w:rPr>
              <w:t xml:space="preserve"> </w:t>
            </w:r>
            <w:proofErr w:type="spellStart"/>
            <w:r>
              <w:rPr>
                <w:sz w:val="22"/>
                <w:szCs w:val="22"/>
              </w:rPr>
              <w:t>of</w:t>
            </w:r>
            <w:proofErr w:type="spellEnd"/>
            <w:r>
              <w:rPr>
                <w:sz w:val="22"/>
                <w:szCs w:val="22"/>
              </w:rPr>
              <w:t xml:space="preserve"> </w:t>
            </w:r>
            <w:proofErr w:type="spellStart"/>
            <w:r>
              <w:rPr>
                <w:sz w:val="22"/>
                <w:szCs w:val="22"/>
              </w:rPr>
              <w:t>the</w:t>
            </w:r>
            <w:proofErr w:type="spellEnd"/>
            <w:r>
              <w:rPr>
                <w:sz w:val="22"/>
                <w:szCs w:val="22"/>
              </w:rPr>
              <w:t xml:space="preserve"> local </w:t>
            </w:r>
            <w:proofErr w:type="spellStart"/>
            <w:r>
              <w:rPr>
                <w:sz w:val="22"/>
                <w:szCs w:val="22"/>
              </w:rPr>
              <w:t>agency</w:t>
            </w:r>
            <w:proofErr w:type="spellEnd"/>
            <w:r>
              <w:rPr>
                <w:sz w:val="22"/>
                <w:szCs w:val="22"/>
              </w:rPr>
              <w:t xml:space="preserve"> fees.</w:t>
            </w:r>
          </w:p>
          <w:p w14:paraId="013D8BD7" w14:textId="77777777" w:rsidR="00E255F4" w:rsidRDefault="00000000">
            <w:pPr>
              <w:tabs>
                <w:tab w:val="left" w:pos="0"/>
              </w:tabs>
              <w:spacing w:line="240" w:lineRule="auto"/>
              <w:jc w:val="both"/>
              <w:textAlignment w:val="baseline"/>
              <w:rPr>
                <w:sz w:val="22"/>
                <w:szCs w:val="22"/>
              </w:rPr>
            </w:pPr>
            <w:r>
              <w:rPr>
                <w:sz w:val="22"/>
                <w:szCs w:val="22"/>
              </w:rPr>
              <w:t xml:space="preserve"> </w:t>
            </w:r>
          </w:p>
          <w:p w14:paraId="312A687C" w14:textId="77777777" w:rsidR="00E255F4" w:rsidRDefault="00000000">
            <w:pPr>
              <w:tabs>
                <w:tab w:val="left" w:pos="0"/>
              </w:tabs>
              <w:spacing w:line="240" w:lineRule="auto"/>
              <w:jc w:val="both"/>
              <w:textAlignment w:val="baseline"/>
            </w:pPr>
            <w:proofErr w:type="spellStart"/>
            <w:r>
              <w:rPr>
                <w:sz w:val="22"/>
                <w:szCs w:val="22"/>
              </w:rPr>
              <w:t>Offers</w:t>
            </w:r>
            <w:proofErr w:type="spellEnd"/>
            <w:r>
              <w:rPr>
                <w:sz w:val="22"/>
                <w:szCs w:val="22"/>
              </w:rPr>
              <w:t xml:space="preserve"> </w:t>
            </w:r>
            <w:proofErr w:type="spellStart"/>
            <w:r>
              <w:rPr>
                <w:sz w:val="22"/>
                <w:szCs w:val="22"/>
              </w:rPr>
              <w:t>quoting</w:t>
            </w:r>
            <w:proofErr w:type="spellEnd"/>
            <w:r>
              <w:rPr>
                <w:sz w:val="22"/>
                <w:szCs w:val="22"/>
              </w:rPr>
              <w:t xml:space="preserve"> a sale </w:t>
            </w:r>
            <w:proofErr w:type="spellStart"/>
            <w:r>
              <w:rPr>
                <w:sz w:val="22"/>
                <w:szCs w:val="22"/>
              </w:rPr>
              <w:t>from</w:t>
            </w:r>
            <w:proofErr w:type="spellEnd"/>
            <w:r>
              <w:rPr>
                <w:sz w:val="22"/>
                <w:szCs w:val="22"/>
              </w:rPr>
              <w:t xml:space="preserve"> a Free Trade Zone </w:t>
            </w:r>
            <w:proofErr w:type="spellStart"/>
            <w:r>
              <w:rPr>
                <w:sz w:val="22"/>
                <w:szCs w:val="22"/>
              </w:rPr>
              <w:t>or</w:t>
            </w:r>
            <w:proofErr w:type="spellEnd"/>
            <w:r>
              <w:rPr>
                <w:sz w:val="22"/>
                <w:szCs w:val="22"/>
              </w:rPr>
              <w:t xml:space="preserve"> </w:t>
            </w:r>
            <w:proofErr w:type="spellStart"/>
            <w:r>
              <w:rPr>
                <w:sz w:val="22"/>
                <w:szCs w:val="22"/>
              </w:rPr>
              <w:t>Customs</w:t>
            </w:r>
            <w:proofErr w:type="spellEnd"/>
            <w:r>
              <w:rPr>
                <w:sz w:val="22"/>
                <w:szCs w:val="22"/>
              </w:rPr>
              <w:t xml:space="preserve"> </w:t>
            </w:r>
            <w:proofErr w:type="spellStart"/>
            <w:r>
              <w:rPr>
                <w:sz w:val="22"/>
                <w:szCs w:val="22"/>
              </w:rPr>
              <w:t>Franchise</w:t>
            </w:r>
            <w:proofErr w:type="spellEnd"/>
            <w:r>
              <w:rPr>
                <w:sz w:val="22"/>
                <w:szCs w:val="22"/>
              </w:rPr>
              <w:t xml:space="preserve"> </w:t>
            </w:r>
            <w:proofErr w:type="spellStart"/>
            <w:r>
              <w:rPr>
                <w:sz w:val="22"/>
                <w:szCs w:val="22"/>
              </w:rPr>
              <w:t>Warehouse</w:t>
            </w:r>
            <w:proofErr w:type="spellEnd"/>
            <w:r>
              <w:rPr>
                <w:sz w:val="22"/>
                <w:szCs w:val="22"/>
              </w:rPr>
              <w:t xml:space="preserve"> </w:t>
            </w:r>
            <w:proofErr w:type="spellStart"/>
            <w:r>
              <w:rPr>
                <w:sz w:val="22"/>
                <w:szCs w:val="22"/>
              </w:rPr>
              <w:t>may</w:t>
            </w:r>
            <w:proofErr w:type="spellEnd"/>
            <w:r>
              <w:rPr>
                <w:sz w:val="22"/>
                <w:szCs w:val="22"/>
              </w:rPr>
              <w:t xml:space="preserve"> </w:t>
            </w:r>
            <w:proofErr w:type="spellStart"/>
            <w:r>
              <w:rPr>
                <w:sz w:val="22"/>
                <w:szCs w:val="22"/>
              </w:rPr>
              <w:t>not</w:t>
            </w:r>
            <w:proofErr w:type="spellEnd"/>
            <w:r>
              <w:rPr>
                <w:sz w:val="22"/>
                <w:szCs w:val="22"/>
              </w:rPr>
              <w:t xml:space="preserve"> </w:t>
            </w:r>
            <w:proofErr w:type="spellStart"/>
            <w:r>
              <w:rPr>
                <w:sz w:val="22"/>
                <w:szCs w:val="22"/>
              </w:rPr>
              <w:t>include</w:t>
            </w:r>
            <w:proofErr w:type="spellEnd"/>
            <w:r>
              <w:rPr>
                <w:sz w:val="22"/>
                <w:szCs w:val="22"/>
              </w:rPr>
              <w:t xml:space="preserve"> </w:t>
            </w:r>
            <w:proofErr w:type="spellStart"/>
            <w:r>
              <w:rPr>
                <w:sz w:val="22"/>
                <w:szCs w:val="22"/>
              </w:rPr>
              <w:t>any</w:t>
            </w:r>
            <w:proofErr w:type="spellEnd"/>
            <w:r>
              <w:rPr>
                <w:sz w:val="22"/>
                <w:szCs w:val="22"/>
              </w:rPr>
              <w:t xml:space="preserve"> </w:t>
            </w:r>
            <w:proofErr w:type="spellStart"/>
            <w:r>
              <w:rPr>
                <w:sz w:val="22"/>
                <w:szCs w:val="22"/>
              </w:rPr>
              <w:t>cost</w:t>
            </w:r>
            <w:proofErr w:type="spellEnd"/>
            <w:r>
              <w:rPr>
                <w:sz w:val="22"/>
                <w:szCs w:val="22"/>
              </w:rPr>
              <w:t xml:space="preserve"> </w:t>
            </w:r>
            <w:proofErr w:type="spellStart"/>
            <w:r>
              <w:rPr>
                <w:sz w:val="22"/>
                <w:szCs w:val="22"/>
              </w:rPr>
              <w:t>for</w:t>
            </w:r>
            <w:proofErr w:type="spellEnd"/>
            <w:r>
              <w:rPr>
                <w:sz w:val="22"/>
                <w:szCs w:val="22"/>
              </w:rPr>
              <w:t xml:space="preserve"> </w:t>
            </w:r>
            <w:proofErr w:type="spellStart"/>
            <w:r>
              <w:rPr>
                <w:sz w:val="22"/>
                <w:szCs w:val="22"/>
              </w:rPr>
              <w:t>transporting</w:t>
            </w:r>
            <w:proofErr w:type="spellEnd"/>
            <w:r>
              <w:rPr>
                <w:sz w:val="22"/>
                <w:szCs w:val="22"/>
              </w:rPr>
              <w:t xml:space="preserve"> </w:t>
            </w:r>
            <w:proofErr w:type="spellStart"/>
            <w:r>
              <w:rPr>
                <w:sz w:val="22"/>
                <w:szCs w:val="22"/>
              </w:rPr>
              <w:t>the</w:t>
            </w:r>
            <w:proofErr w:type="spellEnd"/>
            <w:r>
              <w:rPr>
                <w:sz w:val="22"/>
                <w:szCs w:val="22"/>
              </w:rPr>
              <w:t xml:space="preserve"> </w:t>
            </w:r>
            <w:proofErr w:type="spellStart"/>
            <w:r>
              <w:rPr>
                <w:sz w:val="22"/>
                <w:szCs w:val="22"/>
              </w:rPr>
              <w:t>merchandise</w:t>
            </w:r>
            <w:proofErr w:type="spellEnd"/>
            <w:r>
              <w:rPr>
                <w:sz w:val="22"/>
                <w:szCs w:val="22"/>
              </w:rPr>
              <w:t xml:space="preserve"> </w:t>
            </w:r>
            <w:proofErr w:type="spellStart"/>
            <w:r>
              <w:rPr>
                <w:sz w:val="22"/>
                <w:szCs w:val="22"/>
              </w:rPr>
              <w:t>to</w:t>
            </w:r>
            <w:proofErr w:type="spellEnd"/>
            <w:r>
              <w:rPr>
                <w:sz w:val="22"/>
                <w:szCs w:val="22"/>
              </w:rPr>
              <w:t xml:space="preserve"> </w:t>
            </w:r>
            <w:proofErr w:type="spellStart"/>
            <w:r>
              <w:rPr>
                <w:sz w:val="22"/>
                <w:szCs w:val="22"/>
              </w:rPr>
              <w:t>this</w:t>
            </w:r>
            <w:proofErr w:type="spellEnd"/>
            <w:r>
              <w:rPr>
                <w:sz w:val="22"/>
                <w:szCs w:val="22"/>
              </w:rPr>
              <w:t xml:space="preserve"> </w:t>
            </w:r>
            <w:proofErr w:type="spellStart"/>
            <w:r>
              <w:rPr>
                <w:sz w:val="22"/>
                <w:szCs w:val="22"/>
              </w:rPr>
              <w:t>destination</w:t>
            </w:r>
            <w:proofErr w:type="spellEnd"/>
            <w:r>
              <w:rPr>
                <w:sz w:val="22"/>
                <w:szCs w:val="22"/>
              </w:rPr>
              <w:t xml:space="preserve">. The </w:t>
            </w:r>
            <w:proofErr w:type="spellStart"/>
            <w:r>
              <w:rPr>
                <w:sz w:val="22"/>
                <w:szCs w:val="22"/>
              </w:rPr>
              <w:t>cost</w:t>
            </w:r>
            <w:proofErr w:type="spellEnd"/>
            <w:r>
              <w:rPr>
                <w:sz w:val="22"/>
                <w:szCs w:val="22"/>
              </w:rPr>
              <w:t xml:space="preserve"> </w:t>
            </w:r>
            <w:proofErr w:type="spellStart"/>
            <w:r>
              <w:rPr>
                <w:sz w:val="22"/>
                <w:szCs w:val="22"/>
              </w:rPr>
              <w:t>of</w:t>
            </w:r>
            <w:proofErr w:type="spellEnd"/>
            <w:r>
              <w:rPr>
                <w:sz w:val="22"/>
                <w:szCs w:val="22"/>
              </w:rPr>
              <w:t xml:space="preserve"> </w:t>
            </w:r>
            <w:proofErr w:type="spellStart"/>
            <w:r>
              <w:rPr>
                <w:sz w:val="22"/>
                <w:szCs w:val="22"/>
              </w:rPr>
              <w:t>delivering</w:t>
            </w:r>
            <w:proofErr w:type="spellEnd"/>
            <w:r>
              <w:rPr>
                <w:sz w:val="22"/>
                <w:szCs w:val="22"/>
              </w:rPr>
              <w:t xml:space="preserve"> </w:t>
            </w:r>
            <w:proofErr w:type="spellStart"/>
            <w:r>
              <w:rPr>
                <w:sz w:val="22"/>
                <w:szCs w:val="22"/>
              </w:rPr>
              <w:t>the</w:t>
            </w:r>
            <w:proofErr w:type="spellEnd"/>
            <w:r>
              <w:rPr>
                <w:sz w:val="22"/>
                <w:szCs w:val="22"/>
              </w:rPr>
              <w:t xml:space="preserve"> </w:t>
            </w:r>
            <w:proofErr w:type="spellStart"/>
            <w:r>
              <w:rPr>
                <w:sz w:val="22"/>
                <w:szCs w:val="22"/>
              </w:rPr>
              <w:t>merchandise</w:t>
            </w:r>
            <w:proofErr w:type="spellEnd"/>
            <w:r>
              <w:rPr>
                <w:sz w:val="22"/>
                <w:szCs w:val="22"/>
              </w:rPr>
              <w:t xml:space="preserve"> </w:t>
            </w:r>
            <w:proofErr w:type="spellStart"/>
            <w:r>
              <w:rPr>
                <w:sz w:val="22"/>
                <w:szCs w:val="22"/>
              </w:rPr>
              <w:t>to</w:t>
            </w:r>
            <w:proofErr w:type="spellEnd"/>
            <w:r>
              <w:rPr>
                <w:sz w:val="22"/>
                <w:szCs w:val="22"/>
              </w:rPr>
              <w:t xml:space="preserve"> </w:t>
            </w:r>
            <w:proofErr w:type="spellStart"/>
            <w:r>
              <w:rPr>
                <w:sz w:val="22"/>
                <w:szCs w:val="22"/>
              </w:rPr>
              <w:t>said</w:t>
            </w:r>
            <w:proofErr w:type="spellEnd"/>
            <w:r>
              <w:rPr>
                <w:sz w:val="22"/>
                <w:szCs w:val="22"/>
              </w:rPr>
              <w:t xml:space="preserve"> </w:t>
            </w:r>
            <w:proofErr w:type="spellStart"/>
            <w:r>
              <w:rPr>
                <w:sz w:val="22"/>
                <w:szCs w:val="22"/>
              </w:rPr>
              <w:t>destination</w:t>
            </w:r>
            <w:proofErr w:type="spellEnd"/>
            <w:r>
              <w:rPr>
                <w:sz w:val="22"/>
                <w:szCs w:val="22"/>
              </w:rPr>
              <w:t xml:space="preserve"> </w:t>
            </w:r>
            <w:proofErr w:type="spellStart"/>
            <w:r>
              <w:rPr>
                <w:sz w:val="22"/>
                <w:szCs w:val="22"/>
              </w:rPr>
              <w:t>will</w:t>
            </w:r>
            <w:proofErr w:type="spellEnd"/>
            <w:r>
              <w:rPr>
                <w:sz w:val="22"/>
                <w:szCs w:val="22"/>
              </w:rPr>
              <w:t xml:space="preserve"> be </w:t>
            </w:r>
            <w:proofErr w:type="spellStart"/>
            <w:r>
              <w:rPr>
                <w:sz w:val="22"/>
                <w:szCs w:val="22"/>
              </w:rPr>
              <w:t>the</w:t>
            </w:r>
            <w:proofErr w:type="spellEnd"/>
            <w:r>
              <w:rPr>
                <w:sz w:val="22"/>
                <w:szCs w:val="22"/>
              </w:rPr>
              <w:t xml:space="preserve"> CIF/CIP </w:t>
            </w:r>
            <w:proofErr w:type="spellStart"/>
            <w:r>
              <w:rPr>
                <w:sz w:val="22"/>
                <w:szCs w:val="22"/>
              </w:rPr>
              <w:t>price</w:t>
            </w:r>
            <w:proofErr w:type="spellEnd"/>
            <w:r>
              <w:rPr>
                <w:sz w:val="22"/>
                <w:szCs w:val="22"/>
              </w:rPr>
              <w:t xml:space="preserve"> </w:t>
            </w:r>
            <w:proofErr w:type="spellStart"/>
            <w:r>
              <w:rPr>
                <w:sz w:val="22"/>
                <w:szCs w:val="22"/>
              </w:rPr>
              <w:t>declared</w:t>
            </w:r>
            <w:proofErr w:type="spellEnd"/>
            <w:r>
              <w:rPr>
                <w:sz w:val="22"/>
                <w:szCs w:val="22"/>
              </w:rPr>
              <w:t xml:space="preserve"> in </w:t>
            </w:r>
            <w:proofErr w:type="spellStart"/>
            <w:r>
              <w:rPr>
                <w:sz w:val="22"/>
                <w:szCs w:val="22"/>
              </w:rPr>
              <w:t>the</w:t>
            </w:r>
            <w:proofErr w:type="spellEnd"/>
            <w:r>
              <w:rPr>
                <w:sz w:val="22"/>
                <w:szCs w:val="22"/>
              </w:rPr>
              <w:t xml:space="preserve"> </w:t>
            </w:r>
            <w:proofErr w:type="spellStart"/>
            <w:r>
              <w:rPr>
                <w:sz w:val="22"/>
                <w:szCs w:val="22"/>
              </w:rPr>
              <w:t>Quantity</w:t>
            </w:r>
            <w:proofErr w:type="spellEnd"/>
            <w:r>
              <w:rPr>
                <w:sz w:val="22"/>
                <w:szCs w:val="22"/>
              </w:rPr>
              <w:t xml:space="preserve"> and Price Schedule - </w:t>
            </w:r>
            <w:proofErr w:type="spellStart"/>
            <w:r>
              <w:rPr>
                <w:sz w:val="22"/>
                <w:szCs w:val="22"/>
              </w:rPr>
              <w:t>Offers</w:t>
            </w:r>
            <w:proofErr w:type="spellEnd"/>
            <w:r>
              <w:rPr>
                <w:sz w:val="22"/>
                <w:szCs w:val="22"/>
              </w:rPr>
              <w:t xml:space="preserve"> </w:t>
            </w:r>
            <w:proofErr w:type="spellStart"/>
            <w:r>
              <w:rPr>
                <w:sz w:val="22"/>
                <w:szCs w:val="22"/>
              </w:rPr>
              <w:t>for</w:t>
            </w:r>
            <w:proofErr w:type="spellEnd"/>
            <w:r>
              <w:rPr>
                <w:sz w:val="22"/>
                <w:szCs w:val="22"/>
              </w:rPr>
              <w:t xml:space="preserve"> </w:t>
            </w:r>
            <w:proofErr w:type="spellStart"/>
            <w:r>
              <w:rPr>
                <w:sz w:val="22"/>
                <w:szCs w:val="22"/>
              </w:rPr>
              <w:t>goods</w:t>
            </w:r>
            <w:proofErr w:type="spellEnd"/>
            <w:r>
              <w:rPr>
                <w:sz w:val="22"/>
                <w:szCs w:val="22"/>
              </w:rPr>
              <w:t xml:space="preserve"> </w:t>
            </w:r>
            <w:proofErr w:type="spellStart"/>
            <w:r>
              <w:rPr>
                <w:sz w:val="22"/>
                <w:szCs w:val="22"/>
              </w:rPr>
              <w:t>to</w:t>
            </w:r>
            <w:proofErr w:type="spellEnd"/>
            <w:r>
              <w:rPr>
                <w:sz w:val="22"/>
                <w:szCs w:val="22"/>
              </w:rPr>
              <w:t xml:space="preserve"> be </w:t>
            </w:r>
            <w:proofErr w:type="spellStart"/>
            <w:r>
              <w:rPr>
                <w:sz w:val="22"/>
                <w:szCs w:val="22"/>
              </w:rPr>
              <w:t>imported</w:t>
            </w:r>
            <w:proofErr w:type="spellEnd"/>
            <w:r>
              <w:rPr>
                <w:sz w:val="22"/>
                <w:szCs w:val="22"/>
              </w:rPr>
              <w:t xml:space="preserve"> </w:t>
            </w:r>
            <w:proofErr w:type="spellStart"/>
            <w:r>
              <w:rPr>
                <w:sz w:val="22"/>
                <w:szCs w:val="22"/>
              </w:rPr>
              <w:t>by</w:t>
            </w:r>
            <w:proofErr w:type="spellEnd"/>
            <w:r>
              <w:rPr>
                <w:sz w:val="22"/>
                <w:szCs w:val="22"/>
              </w:rPr>
              <w:t xml:space="preserve"> OSE, </w:t>
            </w:r>
            <w:proofErr w:type="spellStart"/>
            <w:r>
              <w:rPr>
                <w:sz w:val="22"/>
                <w:szCs w:val="22"/>
              </w:rPr>
              <w:t>of</w:t>
            </w:r>
            <w:proofErr w:type="spellEnd"/>
            <w:r>
              <w:rPr>
                <w:sz w:val="22"/>
                <w:szCs w:val="22"/>
              </w:rPr>
              <w:t xml:space="preserve"> </w:t>
            </w:r>
            <w:proofErr w:type="spellStart"/>
            <w:r>
              <w:rPr>
                <w:sz w:val="22"/>
                <w:szCs w:val="22"/>
              </w:rPr>
              <w:t>Annex</w:t>
            </w:r>
            <w:proofErr w:type="spellEnd"/>
            <w:r>
              <w:rPr>
                <w:sz w:val="22"/>
                <w:szCs w:val="22"/>
              </w:rPr>
              <w:t xml:space="preserve"> V a2).</w:t>
            </w:r>
          </w:p>
          <w:p w14:paraId="42F72B6C" w14:textId="77777777" w:rsidR="00E255F4" w:rsidRDefault="00E255F4">
            <w:pPr>
              <w:pStyle w:val="Prrafodelista"/>
              <w:tabs>
                <w:tab w:val="left" w:pos="0"/>
              </w:tabs>
              <w:ind w:left="0"/>
              <w:rPr>
                <w:sz w:val="22"/>
                <w:szCs w:val="22"/>
                <w:lang w:val="es-UY"/>
              </w:rPr>
            </w:pPr>
          </w:p>
          <w:p w14:paraId="1F49B36D" w14:textId="77777777" w:rsidR="00E255F4" w:rsidRDefault="00000000">
            <w:pPr>
              <w:tabs>
                <w:tab w:val="left" w:pos="0"/>
              </w:tabs>
              <w:spacing w:line="240" w:lineRule="auto"/>
              <w:jc w:val="both"/>
              <w:textAlignment w:val="baseline"/>
            </w:pPr>
            <w:r>
              <w:rPr>
                <w:sz w:val="22"/>
                <w:szCs w:val="22"/>
              </w:rPr>
              <w:t xml:space="preserve">The SHIPPING DATA FORM </w:t>
            </w:r>
            <w:proofErr w:type="spellStart"/>
            <w:r>
              <w:rPr>
                <w:sz w:val="22"/>
                <w:szCs w:val="22"/>
              </w:rPr>
              <w:t>of</w:t>
            </w:r>
            <w:proofErr w:type="spellEnd"/>
            <w:r>
              <w:rPr>
                <w:sz w:val="22"/>
                <w:szCs w:val="22"/>
              </w:rPr>
              <w:t xml:space="preserve"> </w:t>
            </w:r>
            <w:proofErr w:type="spellStart"/>
            <w:r>
              <w:rPr>
                <w:sz w:val="22"/>
                <w:szCs w:val="22"/>
              </w:rPr>
              <w:t>Annex</w:t>
            </w:r>
            <w:proofErr w:type="spellEnd"/>
            <w:r>
              <w:rPr>
                <w:sz w:val="22"/>
                <w:szCs w:val="22"/>
              </w:rPr>
              <w:t xml:space="preserve"> VI (MANDATORY) </w:t>
            </w:r>
            <w:proofErr w:type="spellStart"/>
            <w:r>
              <w:rPr>
                <w:sz w:val="22"/>
                <w:szCs w:val="22"/>
              </w:rPr>
              <w:t>corresponding</w:t>
            </w:r>
            <w:proofErr w:type="spellEnd"/>
            <w:r>
              <w:rPr>
                <w:sz w:val="22"/>
                <w:szCs w:val="22"/>
              </w:rPr>
              <w:t xml:space="preserve"> </w:t>
            </w:r>
            <w:proofErr w:type="spellStart"/>
            <w:r>
              <w:rPr>
                <w:sz w:val="22"/>
                <w:szCs w:val="22"/>
              </w:rPr>
              <w:t>to</w:t>
            </w:r>
            <w:proofErr w:type="spellEnd"/>
            <w:r>
              <w:rPr>
                <w:sz w:val="22"/>
                <w:szCs w:val="22"/>
              </w:rPr>
              <w:t xml:space="preserve"> </w:t>
            </w:r>
            <w:proofErr w:type="spellStart"/>
            <w:r>
              <w:rPr>
                <w:sz w:val="22"/>
                <w:szCs w:val="22"/>
              </w:rPr>
              <w:t>item</w:t>
            </w:r>
            <w:proofErr w:type="spellEnd"/>
            <w:r>
              <w:rPr>
                <w:sz w:val="22"/>
                <w:szCs w:val="22"/>
              </w:rPr>
              <w:t xml:space="preserve"> 1 and/</w:t>
            </w:r>
            <w:proofErr w:type="spellStart"/>
            <w:r>
              <w:rPr>
                <w:sz w:val="22"/>
                <w:szCs w:val="22"/>
              </w:rPr>
              <w:t>or</w:t>
            </w:r>
            <w:proofErr w:type="spellEnd"/>
            <w:r>
              <w:rPr>
                <w:sz w:val="22"/>
                <w:szCs w:val="22"/>
              </w:rPr>
              <w:t xml:space="preserve"> </w:t>
            </w:r>
            <w:proofErr w:type="spellStart"/>
            <w:r>
              <w:rPr>
                <w:sz w:val="22"/>
                <w:szCs w:val="22"/>
              </w:rPr>
              <w:t>the</w:t>
            </w:r>
            <w:proofErr w:type="spellEnd"/>
            <w:r>
              <w:rPr>
                <w:sz w:val="22"/>
                <w:szCs w:val="22"/>
              </w:rPr>
              <w:t xml:space="preserve"> </w:t>
            </w:r>
            <w:proofErr w:type="spellStart"/>
            <w:r>
              <w:rPr>
                <w:sz w:val="22"/>
                <w:szCs w:val="22"/>
              </w:rPr>
              <w:t>shipping</w:t>
            </w:r>
            <w:proofErr w:type="spellEnd"/>
            <w:r>
              <w:rPr>
                <w:sz w:val="22"/>
                <w:szCs w:val="22"/>
              </w:rPr>
              <w:t xml:space="preserve"> </w:t>
            </w:r>
            <w:proofErr w:type="spellStart"/>
            <w:r>
              <w:rPr>
                <w:sz w:val="22"/>
                <w:szCs w:val="22"/>
              </w:rPr>
              <w:t>form</w:t>
            </w:r>
            <w:proofErr w:type="spellEnd"/>
            <w:r>
              <w:rPr>
                <w:sz w:val="22"/>
                <w:szCs w:val="22"/>
              </w:rPr>
              <w:t xml:space="preserve"> </w:t>
            </w:r>
            <w:proofErr w:type="spellStart"/>
            <w:r>
              <w:rPr>
                <w:sz w:val="22"/>
                <w:szCs w:val="22"/>
              </w:rPr>
              <w:t>of</w:t>
            </w:r>
            <w:proofErr w:type="spellEnd"/>
            <w:r>
              <w:rPr>
                <w:sz w:val="22"/>
                <w:szCs w:val="22"/>
              </w:rPr>
              <w:t xml:space="preserve"> </w:t>
            </w:r>
            <w:proofErr w:type="spellStart"/>
            <w:r>
              <w:rPr>
                <w:sz w:val="22"/>
                <w:szCs w:val="22"/>
              </w:rPr>
              <w:t>the</w:t>
            </w:r>
            <w:proofErr w:type="spellEnd"/>
            <w:r>
              <w:rPr>
                <w:sz w:val="22"/>
                <w:szCs w:val="22"/>
              </w:rPr>
              <w:t xml:space="preserve"> </w:t>
            </w:r>
            <w:proofErr w:type="spellStart"/>
            <w:r>
              <w:rPr>
                <w:sz w:val="22"/>
                <w:szCs w:val="22"/>
              </w:rPr>
              <w:t>variant</w:t>
            </w:r>
            <w:proofErr w:type="spellEnd"/>
            <w:r>
              <w:rPr>
                <w:sz w:val="22"/>
                <w:szCs w:val="22"/>
              </w:rPr>
              <w:t xml:space="preserve"> </w:t>
            </w:r>
            <w:proofErr w:type="spellStart"/>
            <w:r>
              <w:rPr>
                <w:sz w:val="22"/>
                <w:szCs w:val="22"/>
              </w:rPr>
              <w:t>of</w:t>
            </w:r>
            <w:proofErr w:type="spellEnd"/>
            <w:r>
              <w:rPr>
                <w:sz w:val="22"/>
                <w:szCs w:val="22"/>
              </w:rPr>
              <w:t xml:space="preserve"> </w:t>
            </w:r>
            <w:proofErr w:type="spellStart"/>
            <w:r>
              <w:rPr>
                <w:sz w:val="22"/>
                <w:szCs w:val="22"/>
              </w:rPr>
              <w:t>item</w:t>
            </w:r>
            <w:proofErr w:type="spellEnd"/>
            <w:r>
              <w:rPr>
                <w:sz w:val="22"/>
                <w:szCs w:val="22"/>
              </w:rPr>
              <w:t xml:space="preserve"> 1 </w:t>
            </w:r>
            <w:proofErr w:type="spellStart"/>
            <w:r>
              <w:rPr>
                <w:sz w:val="22"/>
                <w:szCs w:val="22"/>
              </w:rPr>
              <w:t>that</w:t>
            </w:r>
            <w:proofErr w:type="spellEnd"/>
            <w:r>
              <w:rPr>
                <w:sz w:val="22"/>
                <w:szCs w:val="22"/>
              </w:rPr>
              <w:t xml:space="preserve"> </w:t>
            </w:r>
            <w:proofErr w:type="spellStart"/>
            <w:r>
              <w:rPr>
                <w:sz w:val="22"/>
                <w:szCs w:val="22"/>
              </w:rPr>
              <w:t>is</w:t>
            </w:r>
            <w:proofErr w:type="spellEnd"/>
            <w:r>
              <w:rPr>
                <w:sz w:val="22"/>
                <w:szCs w:val="22"/>
              </w:rPr>
              <w:t xml:space="preserve"> </w:t>
            </w:r>
            <w:proofErr w:type="spellStart"/>
            <w:r>
              <w:rPr>
                <w:sz w:val="22"/>
                <w:szCs w:val="22"/>
              </w:rPr>
              <w:t>quoted</w:t>
            </w:r>
            <w:proofErr w:type="spellEnd"/>
            <w:r>
              <w:rPr>
                <w:sz w:val="22"/>
                <w:szCs w:val="22"/>
              </w:rPr>
              <w:t xml:space="preserve"> </w:t>
            </w:r>
            <w:proofErr w:type="spellStart"/>
            <w:r>
              <w:rPr>
                <w:sz w:val="22"/>
                <w:szCs w:val="22"/>
              </w:rPr>
              <w:t>must</w:t>
            </w:r>
            <w:proofErr w:type="spellEnd"/>
            <w:r>
              <w:rPr>
                <w:sz w:val="22"/>
                <w:szCs w:val="22"/>
              </w:rPr>
              <w:t xml:space="preserve"> be </w:t>
            </w:r>
            <w:proofErr w:type="spellStart"/>
            <w:r>
              <w:rPr>
                <w:sz w:val="22"/>
                <w:szCs w:val="22"/>
              </w:rPr>
              <w:t>submitted</w:t>
            </w:r>
            <w:proofErr w:type="spellEnd"/>
            <w:r>
              <w:rPr>
                <w:sz w:val="22"/>
                <w:szCs w:val="22"/>
              </w:rPr>
              <w:t>.</w:t>
            </w:r>
          </w:p>
          <w:p w14:paraId="69752F04" w14:textId="77777777" w:rsidR="00E255F4" w:rsidRDefault="00E255F4">
            <w:pPr>
              <w:tabs>
                <w:tab w:val="left" w:pos="0"/>
              </w:tabs>
              <w:spacing w:line="240" w:lineRule="auto"/>
              <w:jc w:val="both"/>
              <w:textAlignment w:val="baseline"/>
              <w:rPr>
                <w:b/>
                <w:i/>
                <w:sz w:val="22"/>
                <w:szCs w:val="22"/>
              </w:rPr>
            </w:pPr>
          </w:p>
          <w:p w14:paraId="4F99A529" w14:textId="77777777" w:rsidR="00E255F4" w:rsidRDefault="00000000">
            <w:pPr>
              <w:tabs>
                <w:tab w:val="left" w:pos="0"/>
              </w:tabs>
              <w:spacing w:line="240" w:lineRule="auto"/>
              <w:jc w:val="both"/>
              <w:textAlignment w:val="baseline"/>
              <w:rPr>
                <w:b/>
                <w:bCs/>
                <w:sz w:val="22"/>
                <w:szCs w:val="22"/>
              </w:rPr>
            </w:pPr>
            <w:r>
              <w:rPr>
                <w:b/>
                <w:bCs/>
                <w:sz w:val="22"/>
                <w:szCs w:val="22"/>
                <w:u w:val="single"/>
              </w:rPr>
              <w:t xml:space="preserve">For </w:t>
            </w:r>
            <w:proofErr w:type="spellStart"/>
            <w:r>
              <w:rPr>
                <w:b/>
                <w:bCs/>
                <w:sz w:val="22"/>
                <w:szCs w:val="22"/>
                <w:u w:val="single"/>
              </w:rPr>
              <w:t>the</w:t>
            </w:r>
            <w:proofErr w:type="spellEnd"/>
            <w:r>
              <w:rPr>
                <w:b/>
                <w:bCs/>
                <w:sz w:val="22"/>
                <w:szCs w:val="22"/>
                <w:u w:val="single"/>
              </w:rPr>
              <w:t xml:space="preserve"> </w:t>
            </w:r>
            <w:proofErr w:type="spellStart"/>
            <w:r>
              <w:rPr>
                <w:b/>
                <w:bCs/>
                <w:sz w:val="22"/>
                <w:szCs w:val="22"/>
                <w:u w:val="single"/>
              </w:rPr>
              <w:t>consideration</w:t>
            </w:r>
            <w:proofErr w:type="spellEnd"/>
            <w:r>
              <w:rPr>
                <w:b/>
                <w:bCs/>
                <w:sz w:val="22"/>
                <w:szCs w:val="22"/>
                <w:u w:val="single"/>
              </w:rPr>
              <w:t xml:space="preserve"> </w:t>
            </w:r>
            <w:proofErr w:type="spellStart"/>
            <w:r>
              <w:rPr>
                <w:b/>
                <w:bCs/>
                <w:sz w:val="22"/>
                <w:szCs w:val="22"/>
                <w:u w:val="single"/>
              </w:rPr>
              <w:t>of</w:t>
            </w:r>
            <w:proofErr w:type="spellEnd"/>
            <w:r>
              <w:rPr>
                <w:b/>
                <w:bCs/>
                <w:sz w:val="22"/>
                <w:szCs w:val="22"/>
                <w:u w:val="single"/>
              </w:rPr>
              <w:t xml:space="preserve"> </w:t>
            </w:r>
            <w:proofErr w:type="spellStart"/>
            <w:r>
              <w:rPr>
                <w:b/>
                <w:bCs/>
                <w:sz w:val="22"/>
                <w:szCs w:val="22"/>
                <w:u w:val="single"/>
              </w:rPr>
              <w:t>the</w:t>
            </w:r>
            <w:proofErr w:type="spellEnd"/>
            <w:r>
              <w:rPr>
                <w:b/>
                <w:bCs/>
                <w:sz w:val="22"/>
                <w:szCs w:val="22"/>
                <w:u w:val="single"/>
              </w:rPr>
              <w:t xml:space="preserve"> </w:t>
            </w:r>
            <w:proofErr w:type="spellStart"/>
            <w:r>
              <w:rPr>
                <w:b/>
                <w:bCs/>
                <w:sz w:val="22"/>
                <w:szCs w:val="22"/>
                <w:u w:val="single"/>
              </w:rPr>
              <w:t>offer</w:t>
            </w:r>
            <w:proofErr w:type="spellEnd"/>
            <w:r>
              <w:rPr>
                <w:b/>
                <w:bCs/>
                <w:sz w:val="22"/>
                <w:szCs w:val="22"/>
                <w:u w:val="single"/>
              </w:rPr>
              <w:t xml:space="preserve"> </w:t>
            </w:r>
            <w:proofErr w:type="spellStart"/>
            <w:r>
              <w:rPr>
                <w:b/>
                <w:bCs/>
                <w:sz w:val="22"/>
                <w:szCs w:val="22"/>
                <w:u w:val="single"/>
              </w:rPr>
              <w:t>it</w:t>
            </w:r>
            <w:proofErr w:type="spellEnd"/>
            <w:r>
              <w:rPr>
                <w:b/>
                <w:bCs/>
                <w:sz w:val="22"/>
                <w:szCs w:val="22"/>
                <w:u w:val="single"/>
              </w:rPr>
              <w:t xml:space="preserve"> </w:t>
            </w:r>
            <w:proofErr w:type="spellStart"/>
            <w:r>
              <w:rPr>
                <w:b/>
                <w:bCs/>
                <w:sz w:val="22"/>
                <w:szCs w:val="22"/>
                <w:u w:val="single"/>
              </w:rPr>
              <w:t>will</w:t>
            </w:r>
            <w:proofErr w:type="spellEnd"/>
            <w:r>
              <w:rPr>
                <w:b/>
                <w:bCs/>
                <w:sz w:val="22"/>
                <w:szCs w:val="22"/>
                <w:u w:val="single"/>
              </w:rPr>
              <w:t xml:space="preserve"> be </w:t>
            </w:r>
            <w:proofErr w:type="spellStart"/>
            <w:r>
              <w:rPr>
                <w:b/>
                <w:bCs/>
                <w:sz w:val="22"/>
                <w:szCs w:val="22"/>
                <w:u w:val="single"/>
              </w:rPr>
              <w:t>essential</w:t>
            </w:r>
            <w:proofErr w:type="spellEnd"/>
            <w:r>
              <w:rPr>
                <w:b/>
                <w:bCs/>
                <w:sz w:val="22"/>
                <w:szCs w:val="22"/>
                <w:u w:val="single"/>
              </w:rPr>
              <w:t xml:space="preserve"> </w:t>
            </w:r>
            <w:proofErr w:type="spellStart"/>
            <w:r>
              <w:rPr>
                <w:b/>
                <w:bCs/>
                <w:sz w:val="22"/>
                <w:szCs w:val="22"/>
                <w:u w:val="single"/>
              </w:rPr>
              <w:t>to</w:t>
            </w:r>
            <w:proofErr w:type="spellEnd"/>
            <w:r>
              <w:rPr>
                <w:b/>
                <w:bCs/>
                <w:sz w:val="22"/>
                <w:szCs w:val="22"/>
                <w:u w:val="single"/>
              </w:rPr>
              <w:t xml:space="preserve"> </w:t>
            </w:r>
            <w:proofErr w:type="spellStart"/>
            <w:r>
              <w:rPr>
                <w:b/>
                <w:bCs/>
                <w:sz w:val="22"/>
                <w:szCs w:val="22"/>
                <w:u w:val="single"/>
              </w:rPr>
              <w:t>provide</w:t>
            </w:r>
            <w:proofErr w:type="spellEnd"/>
            <w:r>
              <w:rPr>
                <w:b/>
                <w:bCs/>
                <w:sz w:val="22"/>
                <w:szCs w:val="22"/>
                <w:u w:val="single"/>
              </w:rPr>
              <w:t xml:space="preserve"> </w:t>
            </w:r>
            <w:proofErr w:type="spellStart"/>
            <w:r>
              <w:rPr>
                <w:b/>
                <w:bCs/>
                <w:sz w:val="22"/>
                <w:szCs w:val="22"/>
                <w:u w:val="single"/>
              </w:rPr>
              <w:t>all</w:t>
            </w:r>
            <w:proofErr w:type="spellEnd"/>
            <w:r>
              <w:rPr>
                <w:b/>
                <w:bCs/>
                <w:sz w:val="22"/>
                <w:szCs w:val="22"/>
                <w:u w:val="single"/>
              </w:rPr>
              <w:t xml:space="preserve"> </w:t>
            </w:r>
            <w:proofErr w:type="spellStart"/>
            <w:r>
              <w:rPr>
                <w:b/>
                <w:bCs/>
                <w:sz w:val="22"/>
                <w:szCs w:val="22"/>
                <w:u w:val="single"/>
              </w:rPr>
              <w:t>the</w:t>
            </w:r>
            <w:proofErr w:type="spellEnd"/>
            <w:r>
              <w:rPr>
                <w:b/>
                <w:bCs/>
                <w:sz w:val="22"/>
                <w:szCs w:val="22"/>
                <w:u w:val="single"/>
              </w:rPr>
              <w:t xml:space="preserve"> data </w:t>
            </w:r>
            <w:proofErr w:type="spellStart"/>
            <w:r>
              <w:rPr>
                <w:b/>
                <w:bCs/>
                <w:sz w:val="22"/>
                <w:szCs w:val="22"/>
                <w:u w:val="single"/>
              </w:rPr>
              <w:t>indicated</w:t>
            </w:r>
            <w:proofErr w:type="spellEnd"/>
            <w:r>
              <w:rPr>
                <w:b/>
                <w:bCs/>
                <w:sz w:val="22"/>
                <w:szCs w:val="22"/>
                <w:u w:val="single"/>
              </w:rPr>
              <w:t xml:space="preserve"> as </w:t>
            </w:r>
            <w:proofErr w:type="spellStart"/>
            <w:r>
              <w:rPr>
                <w:b/>
                <w:bCs/>
                <w:sz w:val="22"/>
                <w:szCs w:val="22"/>
                <w:u w:val="single"/>
              </w:rPr>
              <w:t>mandatory</w:t>
            </w:r>
            <w:proofErr w:type="spellEnd"/>
            <w:r>
              <w:rPr>
                <w:b/>
                <w:bCs/>
                <w:sz w:val="22"/>
                <w:szCs w:val="22"/>
                <w:u w:val="single"/>
              </w:rPr>
              <w:t xml:space="preserve">, </w:t>
            </w:r>
            <w:proofErr w:type="spellStart"/>
            <w:r>
              <w:rPr>
                <w:b/>
                <w:bCs/>
                <w:sz w:val="22"/>
                <w:szCs w:val="22"/>
                <w:u w:val="single"/>
              </w:rPr>
              <w:t>taking</w:t>
            </w:r>
            <w:proofErr w:type="spellEnd"/>
            <w:r>
              <w:rPr>
                <w:b/>
                <w:bCs/>
                <w:sz w:val="22"/>
                <w:szCs w:val="22"/>
                <w:u w:val="single"/>
              </w:rPr>
              <w:t xml:space="preserve"> </w:t>
            </w:r>
            <w:proofErr w:type="spellStart"/>
            <w:r>
              <w:rPr>
                <w:b/>
                <w:bCs/>
                <w:sz w:val="22"/>
                <w:szCs w:val="22"/>
                <w:u w:val="single"/>
              </w:rPr>
              <w:t>into</w:t>
            </w:r>
            <w:proofErr w:type="spellEnd"/>
            <w:r>
              <w:rPr>
                <w:b/>
                <w:bCs/>
                <w:sz w:val="22"/>
                <w:szCs w:val="22"/>
                <w:u w:val="single"/>
              </w:rPr>
              <w:t xml:space="preserve"> </w:t>
            </w:r>
            <w:proofErr w:type="spellStart"/>
            <w:r>
              <w:rPr>
                <w:b/>
                <w:bCs/>
                <w:sz w:val="22"/>
                <w:szCs w:val="22"/>
                <w:u w:val="single"/>
              </w:rPr>
              <w:t>account</w:t>
            </w:r>
            <w:proofErr w:type="spellEnd"/>
            <w:r>
              <w:rPr>
                <w:b/>
                <w:bCs/>
                <w:sz w:val="22"/>
                <w:szCs w:val="22"/>
                <w:u w:val="single"/>
              </w:rPr>
              <w:t xml:space="preserve"> </w:t>
            </w:r>
            <w:proofErr w:type="spellStart"/>
            <w:r>
              <w:rPr>
                <w:b/>
                <w:bCs/>
                <w:sz w:val="22"/>
                <w:szCs w:val="22"/>
                <w:u w:val="single"/>
              </w:rPr>
              <w:t>what</w:t>
            </w:r>
            <w:proofErr w:type="spellEnd"/>
            <w:r>
              <w:rPr>
                <w:b/>
                <w:bCs/>
                <w:sz w:val="22"/>
                <w:szCs w:val="22"/>
                <w:u w:val="single"/>
              </w:rPr>
              <w:t xml:space="preserve"> </w:t>
            </w:r>
            <w:proofErr w:type="spellStart"/>
            <w:r>
              <w:rPr>
                <w:b/>
                <w:bCs/>
                <w:sz w:val="22"/>
                <w:szCs w:val="22"/>
                <w:u w:val="single"/>
              </w:rPr>
              <w:t>is</w:t>
            </w:r>
            <w:proofErr w:type="spellEnd"/>
            <w:r>
              <w:rPr>
                <w:b/>
                <w:bCs/>
                <w:sz w:val="22"/>
                <w:szCs w:val="22"/>
                <w:u w:val="single"/>
              </w:rPr>
              <w:t xml:space="preserve"> </w:t>
            </w:r>
            <w:proofErr w:type="spellStart"/>
            <w:r>
              <w:rPr>
                <w:b/>
                <w:bCs/>
                <w:sz w:val="22"/>
                <w:szCs w:val="22"/>
                <w:u w:val="single"/>
              </w:rPr>
              <w:t>established</w:t>
            </w:r>
            <w:proofErr w:type="spellEnd"/>
            <w:r>
              <w:rPr>
                <w:b/>
                <w:bCs/>
                <w:sz w:val="22"/>
                <w:szCs w:val="22"/>
                <w:u w:val="single"/>
              </w:rPr>
              <w:t xml:space="preserve"> in Art. 13.2 – </w:t>
            </w:r>
            <w:proofErr w:type="spellStart"/>
            <w:r>
              <w:rPr>
                <w:b/>
                <w:bCs/>
                <w:sz w:val="22"/>
                <w:szCs w:val="22"/>
                <w:u w:val="single"/>
              </w:rPr>
              <w:t>Admissibility</w:t>
            </w:r>
            <w:proofErr w:type="spellEnd"/>
            <w:r>
              <w:rPr>
                <w:b/>
                <w:bCs/>
                <w:sz w:val="22"/>
                <w:szCs w:val="22"/>
                <w:u w:val="single"/>
              </w:rPr>
              <w:t xml:space="preserve"> </w:t>
            </w:r>
            <w:proofErr w:type="spellStart"/>
            <w:r>
              <w:rPr>
                <w:b/>
                <w:bCs/>
                <w:sz w:val="22"/>
                <w:szCs w:val="22"/>
                <w:u w:val="single"/>
              </w:rPr>
              <w:t>of</w:t>
            </w:r>
            <w:proofErr w:type="spellEnd"/>
            <w:r>
              <w:rPr>
                <w:b/>
                <w:bCs/>
                <w:sz w:val="22"/>
                <w:szCs w:val="22"/>
                <w:u w:val="single"/>
              </w:rPr>
              <w:t xml:space="preserve"> </w:t>
            </w:r>
            <w:proofErr w:type="spellStart"/>
            <w:r>
              <w:rPr>
                <w:b/>
                <w:bCs/>
                <w:sz w:val="22"/>
                <w:szCs w:val="22"/>
                <w:u w:val="single"/>
              </w:rPr>
              <w:t>the</w:t>
            </w:r>
            <w:proofErr w:type="spellEnd"/>
            <w:r>
              <w:rPr>
                <w:b/>
                <w:bCs/>
                <w:sz w:val="22"/>
                <w:szCs w:val="22"/>
                <w:u w:val="single"/>
              </w:rPr>
              <w:t xml:space="preserve"> </w:t>
            </w:r>
            <w:proofErr w:type="spellStart"/>
            <w:r>
              <w:rPr>
                <w:b/>
                <w:bCs/>
                <w:sz w:val="22"/>
                <w:szCs w:val="22"/>
                <w:u w:val="single"/>
              </w:rPr>
              <w:t>offer</w:t>
            </w:r>
            <w:proofErr w:type="spellEnd"/>
            <w:r>
              <w:rPr>
                <w:b/>
                <w:bCs/>
                <w:sz w:val="22"/>
                <w:szCs w:val="22"/>
                <w:u w:val="single"/>
              </w:rPr>
              <w:t>.</w:t>
            </w:r>
          </w:p>
          <w:p w14:paraId="546207A2" w14:textId="77777777" w:rsidR="00E255F4" w:rsidRDefault="00E255F4">
            <w:pPr>
              <w:tabs>
                <w:tab w:val="left" w:pos="0"/>
              </w:tabs>
              <w:spacing w:line="240" w:lineRule="auto"/>
              <w:jc w:val="both"/>
              <w:textAlignment w:val="baseline"/>
              <w:rPr>
                <w:b/>
                <w:bCs/>
                <w:sz w:val="22"/>
                <w:szCs w:val="22"/>
                <w:lang w:val="en-US"/>
              </w:rPr>
            </w:pPr>
          </w:p>
          <w:p w14:paraId="4FCBC7B7" w14:textId="77777777" w:rsidR="00E255F4" w:rsidRDefault="00000000">
            <w:pPr>
              <w:tabs>
                <w:tab w:val="left" w:pos="0"/>
              </w:tabs>
              <w:spacing w:line="240" w:lineRule="auto"/>
              <w:jc w:val="both"/>
              <w:textAlignment w:val="baseline"/>
              <w:rPr>
                <w:b/>
                <w:sz w:val="22"/>
                <w:szCs w:val="22"/>
                <w:lang w:val="en-US"/>
              </w:rPr>
            </w:pPr>
            <w:r>
              <w:rPr>
                <w:b/>
                <w:sz w:val="22"/>
                <w:szCs w:val="22"/>
                <w:lang w:val="en-US"/>
              </w:rPr>
              <w:t>Comparison of offers for goods to be imported by OSE:</w:t>
            </w:r>
          </w:p>
          <w:p w14:paraId="57B9869B" w14:textId="77777777" w:rsidR="00E255F4" w:rsidRDefault="00E255F4">
            <w:pPr>
              <w:tabs>
                <w:tab w:val="left" w:pos="0"/>
              </w:tabs>
              <w:spacing w:line="240" w:lineRule="auto"/>
              <w:jc w:val="both"/>
              <w:textAlignment w:val="baseline"/>
              <w:rPr>
                <w:b/>
                <w:sz w:val="22"/>
                <w:szCs w:val="22"/>
                <w:lang w:val="en-US"/>
              </w:rPr>
            </w:pPr>
          </w:p>
          <w:p w14:paraId="036DBAF5" w14:textId="77777777" w:rsidR="00E255F4" w:rsidRDefault="00000000">
            <w:pPr>
              <w:tabs>
                <w:tab w:val="left" w:pos="0"/>
              </w:tabs>
              <w:spacing w:line="240" w:lineRule="auto"/>
              <w:jc w:val="both"/>
              <w:textAlignment w:val="baseline"/>
            </w:pPr>
            <w:r>
              <w:rPr>
                <w:sz w:val="22"/>
                <w:szCs w:val="22"/>
              </w:rPr>
              <w:t xml:space="preserve">In </w:t>
            </w:r>
            <w:proofErr w:type="spellStart"/>
            <w:r>
              <w:rPr>
                <w:sz w:val="22"/>
                <w:szCs w:val="22"/>
              </w:rPr>
              <w:t>addition</w:t>
            </w:r>
            <w:proofErr w:type="spellEnd"/>
            <w:r>
              <w:rPr>
                <w:sz w:val="22"/>
                <w:szCs w:val="22"/>
              </w:rPr>
              <w:t xml:space="preserve"> </w:t>
            </w:r>
            <w:proofErr w:type="spellStart"/>
            <w:r>
              <w:rPr>
                <w:sz w:val="22"/>
                <w:szCs w:val="22"/>
              </w:rPr>
              <w:t>to</w:t>
            </w:r>
            <w:proofErr w:type="spellEnd"/>
            <w:r>
              <w:rPr>
                <w:sz w:val="22"/>
                <w:szCs w:val="22"/>
              </w:rPr>
              <w:t xml:space="preserve"> </w:t>
            </w:r>
            <w:proofErr w:type="spellStart"/>
            <w:r>
              <w:rPr>
                <w:sz w:val="22"/>
                <w:szCs w:val="22"/>
              </w:rPr>
              <w:t>what</w:t>
            </w:r>
            <w:proofErr w:type="spellEnd"/>
            <w:r>
              <w:rPr>
                <w:sz w:val="22"/>
                <w:szCs w:val="22"/>
              </w:rPr>
              <w:t xml:space="preserve"> </w:t>
            </w:r>
            <w:proofErr w:type="spellStart"/>
            <w:r>
              <w:rPr>
                <w:sz w:val="22"/>
                <w:szCs w:val="22"/>
              </w:rPr>
              <w:t>is</w:t>
            </w:r>
            <w:proofErr w:type="spellEnd"/>
            <w:r>
              <w:rPr>
                <w:sz w:val="22"/>
                <w:szCs w:val="22"/>
              </w:rPr>
              <w:t xml:space="preserve"> </w:t>
            </w:r>
            <w:proofErr w:type="spellStart"/>
            <w:r>
              <w:rPr>
                <w:sz w:val="22"/>
                <w:szCs w:val="22"/>
              </w:rPr>
              <w:t>stipulated</w:t>
            </w:r>
            <w:proofErr w:type="spellEnd"/>
            <w:r>
              <w:rPr>
                <w:sz w:val="22"/>
                <w:szCs w:val="22"/>
              </w:rPr>
              <w:t xml:space="preserve"> in </w:t>
            </w:r>
            <w:proofErr w:type="spellStart"/>
            <w:r>
              <w:rPr>
                <w:sz w:val="22"/>
                <w:szCs w:val="22"/>
              </w:rPr>
              <w:t>this</w:t>
            </w:r>
            <w:proofErr w:type="spellEnd"/>
            <w:r>
              <w:rPr>
                <w:sz w:val="22"/>
                <w:szCs w:val="22"/>
              </w:rPr>
              <w:t xml:space="preserve"> </w:t>
            </w:r>
            <w:proofErr w:type="spellStart"/>
            <w:r>
              <w:rPr>
                <w:sz w:val="22"/>
                <w:szCs w:val="22"/>
              </w:rPr>
              <w:t>purchase</w:t>
            </w:r>
            <w:proofErr w:type="spellEnd"/>
            <w:r>
              <w:rPr>
                <w:sz w:val="22"/>
                <w:szCs w:val="22"/>
              </w:rPr>
              <w:t xml:space="preserve">, </w:t>
            </w:r>
            <w:proofErr w:type="spellStart"/>
            <w:r>
              <w:rPr>
                <w:sz w:val="22"/>
                <w:szCs w:val="22"/>
              </w:rPr>
              <w:t>for</w:t>
            </w:r>
            <w:proofErr w:type="spellEnd"/>
            <w:r>
              <w:rPr>
                <w:sz w:val="22"/>
                <w:szCs w:val="22"/>
              </w:rPr>
              <w:t xml:space="preserve"> </w:t>
            </w:r>
            <w:proofErr w:type="spellStart"/>
            <w:r>
              <w:rPr>
                <w:sz w:val="22"/>
                <w:szCs w:val="22"/>
              </w:rPr>
              <w:t>the</w:t>
            </w:r>
            <w:proofErr w:type="spellEnd"/>
            <w:r>
              <w:rPr>
                <w:sz w:val="22"/>
                <w:szCs w:val="22"/>
              </w:rPr>
              <w:t xml:space="preserve"> </w:t>
            </w:r>
            <w:proofErr w:type="spellStart"/>
            <w:r>
              <w:rPr>
                <w:sz w:val="22"/>
                <w:szCs w:val="22"/>
              </w:rPr>
              <w:t>purpose</w:t>
            </w:r>
            <w:proofErr w:type="spellEnd"/>
            <w:r>
              <w:rPr>
                <w:sz w:val="22"/>
                <w:szCs w:val="22"/>
              </w:rPr>
              <w:t xml:space="preserve"> </w:t>
            </w:r>
            <w:proofErr w:type="spellStart"/>
            <w:r>
              <w:rPr>
                <w:sz w:val="22"/>
                <w:szCs w:val="22"/>
              </w:rPr>
              <w:t>of</w:t>
            </w:r>
            <w:proofErr w:type="spellEnd"/>
            <w:r>
              <w:rPr>
                <w:sz w:val="22"/>
                <w:szCs w:val="22"/>
              </w:rPr>
              <w:t xml:space="preserve"> </w:t>
            </w:r>
            <w:proofErr w:type="spellStart"/>
            <w:r>
              <w:rPr>
                <w:sz w:val="22"/>
                <w:szCs w:val="22"/>
              </w:rPr>
              <w:t>comparing</w:t>
            </w:r>
            <w:proofErr w:type="spellEnd"/>
            <w:r>
              <w:rPr>
                <w:sz w:val="22"/>
                <w:szCs w:val="22"/>
              </w:rPr>
              <w:t xml:space="preserve"> </w:t>
            </w:r>
            <w:proofErr w:type="spellStart"/>
            <w:r>
              <w:rPr>
                <w:sz w:val="22"/>
                <w:szCs w:val="22"/>
              </w:rPr>
              <w:t>the</w:t>
            </w:r>
            <w:proofErr w:type="spellEnd"/>
            <w:r>
              <w:rPr>
                <w:sz w:val="22"/>
                <w:szCs w:val="22"/>
              </w:rPr>
              <w:t xml:space="preserve"> </w:t>
            </w:r>
            <w:proofErr w:type="spellStart"/>
            <w:r>
              <w:rPr>
                <w:sz w:val="22"/>
                <w:szCs w:val="22"/>
              </w:rPr>
              <w:t>quotation</w:t>
            </w:r>
            <w:proofErr w:type="spellEnd"/>
            <w:r>
              <w:rPr>
                <w:sz w:val="22"/>
                <w:szCs w:val="22"/>
              </w:rPr>
              <w:t xml:space="preserve"> </w:t>
            </w:r>
            <w:proofErr w:type="spellStart"/>
            <w:r>
              <w:rPr>
                <w:sz w:val="22"/>
                <w:szCs w:val="22"/>
              </w:rPr>
              <w:t>of</w:t>
            </w:r>
            <w:proofErr w:type="spellEnd"/>
            <w:r>
              <w:rPr>
                <w:sz w:val="22"/>
                <w:szCs w:val="22"/>
              </w:rPr>
              <w:t xml:space="preserve"> </w:t>
            </w:r>
            <w:proofErr w:type="spellStart"/>
            <w:r>
              <w:rPr>
                <w:sz w:val="22"/>
                <w:szCs w:val="22"/>
              </w:rPr>
              <w:t>the</w:t>
            </w:r>
            <w:proofErr w:type="spellEnd"/>
            <w:r>
              <w:rPr>
                <w:sz w:val="22"/>
                <w:szCs w:val="22"/>
              </w:rPr>
              <w:t xml:space="preserve"> </w:t>
            </w:r>
            <w:proofErr w:type="spellStart"/>
            <w:r>
              <w:rPr>
                <w:sz w:val="22"/>
                <w:szCs w:val="22"/>
              </w:rPr>
              <w:t>goods</w:t>
            </w:r>
            <w:proofErr w:type="spellEnd"/>
            <w:r>
              <w:rPr>
                <w:sz w:val="22"/>
                <w:szCs w:val="22"/>
              </w:rPr>
              <w:t xml:space="preserve"> in </w:t>
            </w:r>
            <w:proofErr w:type="spellStart"/>
            <w:r>
              <w:rPr>
                <w:sz w:val="22"/>
                <w:szCs w:val="22"/>
              </w:rPr>
              <w:t>import</w:t>
            </w:r>
            <w:proofErr w:type="spellEnd"/>
            <w:r>
              <w:rPr>
                <w:sz w:val="22"/>
                <w:szCs w:val="22"/>
              </w:rPr>
              <w:t xml:space="preserve"> </w:t>
            </w:r>
            <w:proofErr w:type="spellStart"/>
            <w:r>
              <w:rPr>
                <w:sz w:val="22"/>
                <w:szCs w:val="22"/>
              </w:rPr>
              <w:t>condition</w:t>
            </w:r>
            <w:proofErr w:type="spellEnd"/>
            <w:r>
              <w:rPr>
                <w:sz w:val="22"/>
                <w:szCs w:val="22"/>
              </w:rPr>
              <w:t xml:space="preserve">, </w:t>
            </w:r>
            <w:proofErr w:type="spellStart"/>
            <w:r>
              <w:rPr>
                <w:sz w:val="22"/>
                <w:szCs w:val="22"/>
              </w:rPr>
              <w:t>the</w:t>
            </w:r>
            <w:proofErr w:type="spellEnd"/>
            <w:r>
              <w:rPr>
                <w:sz w:val="22"/>
                <w:szCs w:val="22"/>
              </w:rPr>
              <w:t xml:space="preserve"> </w:t>
            </w:r>
            <w:proofErr w:type="spellStart"/>
            <w:r>
              <w:rPr>
                <w:sz w:val="22"/>
                <w:szCs w:val="22"/>
              </w:rPr>
              <w:t>information</w:t>
            </w:r>
            <w:proofErr w:type="spellEnd"/>
            <w:r>
              <w:rPr>
                <w:sz w:val="22"/>
                <w:szCs w:val="22"/>
              </w:rPr>
              <w:t xml:space="preserve"> </w:t>
            </w:r>
            <w:proofErr w:type="spellStart"/>
            <w:r>
              <w:rPr>
                <w:sz w:val="22"/>
                <w:szCs w:val="22"/>
              </w:rPr>
              <w:t>requested</w:t>
            </w:r>
            <w:proofErr w:type="spellEnd"/>
            <w:r>
              <w:rPr>
                <w:sz w:val="22"/>
                <w:szCs w:val="22"/>
              </w:rPr>
              <w:t xml:space="preserve"> in </w:t>
            </w:r>
            <w:proofErr w:type="spellStart"/>
            <w:r>
              <w:rPr>
                <w:sz w:val="22"/>
                <w:szCs w:val="22"/>
              </w:rPr>
              <w:t>the</w:t>
            </w:r>
            <w:proofErr w:type="spellEnd"/>
            <w:r>
              <w:rPr>
                <w:sz w:val="22"/>
                <w:szCs w:val="22"/>
              </w:rPr>
              <w:t xml:space="preserve"> </w:t>
            </w:r>
            <w:proofErr w:type="spellStart"/>
            <w:r>
              <w:rPr>
                <w:sz w:val="22"/>
                <w:szCs w:val="22"/>
              </w:rPr>
              <w:t>Quantity</w:t>
            </w:r>
            <w:proofErr w:type="spellEnd"/>
            <w:r>
              <w:rPr>
                <w:sz w:val="22"/>
                <w:szCs w:val="22"/>
              </w:rPr>
              <w:t xml:space="preserve"> and Price </w:t>
            </w:r>
            <w:proofErr w:type="spellStart"/>
            <w:r>
              <w:rPr>
                <w:sz w:val="22"/>
                <w:szCs w:val="22"/>
              </w:rPr>
              <w:t>Sheet</w:t>
            </w:r>
            <w:proofErr w:type="spellEnd"/>
            <w:r>
              <w:rPr>
                <w:sz w:val="22"/>
                <w:szCs w:val="22"/>
              </w:rPr>
              <w:t xml:space="preserve"> - </w:t>
            </w:r>
            <w:proofErr w:type="spellStart"/>
            <w:r>
              <w:rPr>
                <w:sz w:val="22"/>
                <w:szCs w:val="22"/>
              </w:rPr>
              <w:t>Offers</w:t>
            </w:r>
            <w:proofErr w:type="spellEnd"/>
            <w:r>
              <w:rPr>
                <w:sz w:val="22"/>
                <w:szCs w:val="22"/>
              </w:rPr>
              <w:t xml:space="preserve"> </w:t>
            </w:r>
            <w:proofErr w:type="spellStart"/>
            <w:r>
              <w:rPr>
                <w:sz w:val="22"/>
                <w:szCs w:val="22"/>
              </w:rPr>
              <w:t>of</w:t>
            </w:r>
            <w:proofErr w:type="spellEnd"/>
            <w:r>
              <w:rPr>
                <w:sz w:val="22"/>
                <w:szCs w:val="22"/>
              </w:rPr>
              <w:t xml:space="preserve"> </w:t>
            </w:r>
            <w:proofErr w:type="spellStart"/>
            <w:r>
              <w:rPr>
                <w:sz w:val="22"/>
                <w:szCs w:val="22"/>
              </w:rPr>
              <w:t>goods</w:t>
            </w:r>
            <w:proofErr w:type="spellEnd"/>
            <w:r>
              <w:rPr>
                <w:sz w:val="22"/>
                <w:szCs w:val="22"/>
              </w:rPr>
              <w:t xml:space="preserve"> </w:t>
            </w:r>
            <w:proofErr w:type="spellStart"/>
            <w:r>
              <w:rPr>
                <w:sz w:val="22"/>
                <w:szCs w:val="22"/>
              </w:rPr>
              <w:t>to</w:t>
            </w:r>
            <w:proofErr w:type="spellEnd"/>
            <w:r>
              <w:rPr>
                <w:sz w:val="22"/>
                <w:szCs w:val="22"/>
              </w:rPr>
              <w:t xml:space="preserve"> be </w:t>
            </w:r>
            <w:proofErr w:type="spellStart"/>
            <w:r>
              <w:rPr>
                <w:sz w:val="22"/>
                <w:szCs w:val="22"/>
              </w:rPr>
              <w:t>imported</w:t>
            </w:r>
            <w:proofErr w:type="spellEnd"/>
            <w:r>
              <w:rPr>
                <w:sz w:val="22"/>
                <w:szCs w:val="22"/>
              </w:rPr>
              <w:t xml:space="preserve"> </w:t>
            </w:r>
            <w:proofErr w:type="spellStart"/>
            <w:r>
              <w:rPr>
                <w:sz w:val="22"/>
                <w:szCs w:val="22"/>
              </w:rPr>
              <w:t>by</w:t>
            </w:r>
            <w:proofErr w:type="spellEnd"/>
            <w:r>
              <w:rPr>
                <w:sz w:val="22"/>
                <w:szCs w:val="22"/>
              </w:rPr>
              <w:t xml:space="preserve"> </w:t>
            </w:r>
            <w:proofErr w:type="gramStart"/>
            <w:r>
              <w:rPr>
                <w:sz w:val="22"/>
                <w:szCs w:val="22"/>
              </w:rPr>
              <w:t>OSE</w:t>
            </w:r>
            <w:proofErr w:type="gramEnd"/>
            <w:r>
              <w:rPr>
                <w:sz w:val="22"/>
                <w:szCs w:val="22"/>
              </w:rPr>
              <w:t xml:space="preserve">, </w:t>
            </w:r>
            <w:proofErr w:type="spellStart"/>
            <w:r>
              <w:rPr>
                <w:sz w:val="22"/>
                <w:szCs w:val="22"/>
              </w:rPr>
              <w:t>of</w:t>
            </w:r>
            <w:proofErr w:type="spellEnd"/>
            <w:r>
              <w:rPr>
                <w:sz w:val="22"/>
                <w:szCs w:val="22"/>
              </w:rPr>
              <w:t xml:space="preserve"> </w:t>
            </w:r>
            <w:proofErr w:type="spellStart"/>
            <w:r>
              <w:rPr>
                <w:sz w:val="22"/>
                <w:szCs w:val="22"/>
              </w:rPr>
              <w:t>Annex</w:t>
            </w:r>
            <w:proofErr w:type="spellEnd"/>
            <w:r>
              <w:rPr>
                <w:sz w:val="22"/>
                <w:szCs w:val="22"/>
              </w:rPr>
              <w:t xml:space="preserve"> V a2) and </w:t>
            </w:r>
            <w:proofErr w:type="spellStart"/>
            <w:r>
              <w:rPr>
                <w:sz w:val="22"/>
                <w:szCs w:val="22"/>
              </w:rPr>
              <w:t>the</w:t>
            </w:r>
            <w:proofErr w:type="spellEnd"/>
            <w:r>
              <w:rPr>
                <w:sz w:val="22"/>
                <w:szCs w:val="22"/>
              </w:rPr>
              <w:t xml:space="preserve"> SHIPPING DATA FORM </w:t>
            </w:r>
            <w:proofErr w:type="spellStart"/>
            <w:r>
              <w:rPr>
                <w:sz w:val="22"/>
                <w:szCs w:val="22"/>
              </w:rPr>
              <w:t>of</w:t>
            </w:r>
            <w:proofErr w:type="spellEnd"/>
            <w:r>
              <w:rPr>
                <w:sz w:val="22"/>
                <w:szCs w:val="22"/>
              </w:rPr>
              <w:t xml:space="preserve"> </w:t>
            </w:r>
            <w:proofErr w:type="spellStart"/>
            <w:r>
              <w:rPr>
                <w:sz w:val="22"/>
                <w:szCs w:val="22"/>
              </w:rPr>
              <w:t>Annex</w:t>
            </w:r>
            <w:proofErr w:type="spellEnd"/>
            <w:r>
              <w:rPr>
                <w:sz w:val="22"/>
                <w:szCs w:val="22"/>
              </w:rPr>
              <w:t xml:space="preserve"> VI </w:t>
            </w:r>
            <w:proofErr w:type="spellStart"/>
            <w:r>
              <w:rPr>
                <w:sz w:val="22"/>
                <w:szCs w:val="22"/>
              </w:rPr>
              <w:t>will</w:t>
            </w:r>
            <w:proofErr w:type="spellEnd"/>
            <w:r>
              <w:rPr>
                <w:sz w:val="22"/>
                <w:szCs w:val="22"/>
              </w:rPr>
              <w:t xml:space="preserve"> be </w:t>
            </w:r>
            <w:proofErr w:type="spellStart"/>
            <w:r>
              <w:rPr>
                <w:sz w:val="22"/>
                <w:szCs w:val="22"/>
              </w:rPr>
              <w:t>used</w:t>
            </w:r>
            <w:proofErr w:type="spellEnd"/>
            <w:r>
              <w:rPr>
                <w:sz w:val="22"/>
                <w:szCs w:val="22"/>
              </w:rPr>
              <w:t xml:space="preserve">, </w:t>
            </w:r>
            <w:proofErr w:type="spellStart"/>
            <w:r>
              <w:rPr>
                <w:sz w:val="22"/>
                <w:szCs w:val="22"/>
              </w:rPr>
              <w:t>based</w:t>
            </w:r>
            <w:proofErr w:type="spellEnd"/>
            <w:r>
              <w:rPr>
                <w:sz w:val="22"/>
                <w:szCs w:val="22"/>
              </w:rPr>
              <w:t xml:space="preserve"> </w:t>
            </w:r>
            <w:proofErr w:type="spellStart"/>
            <w:r>
              <w:rPr>
                <w:sz w:val="22"/>
                <w:szCs w:val="22"/>
              </w:rPr>
              <w:t>on</w:t>
            </w:r>
            <w:proofErr w:type="spellEnd"/>
            <w:r>
              <w:rPr>
                <w:sz w:val="22"/>
                <w:szCs w:val="22"/>
              </w:rPr>
              <w:t xml:space="preserve"> </w:t>
            </w:r>
            <w:proofErr w:type="spellStart"/>
            <w:r>
              <w:rPr>
                <w:sz w:val="22"/>
                <w:szCs w:val="22"/>
              </w:rPr>
              <w:t>the</w:t>
            </w:r>
            <w:proofErr w:type="spellEnd"/>
            <w:r>
              <w:rPr>
                <w:sz w:val="22"/>
                <w:szCs w:val="22"/>
              </w:rPr>
              <w:t xml:space="preserve"> </w:t>
            </w:r>
            <w:proofErr w:type="spellStart"/>
            <w:r>
              <w:rPr>
                <w:sz w:val="22"/>
                <w:szCs w:val="22"/>
              </w:rPr>
              <w:t>following</w:t>
            </w:r>
            <w:proofErr w:type="spellEnd"/>
            <w:r>
              <w:rPr>
                <w:sz w:val="22"/>
                <w:szCs w:val="22"/>
              </w:rPr>
              <w:t xml:space="preserve"> </w:t>
            </w:r>
            <w:proofErr w:type="spellStart"/>
            <w:r>
              <w:rPr>
                <w:sz w:val="22"/>
                <w:szCs w:val="22"/>
              </w:rPr>
              <w:t>criteria</w:t>
            </w:r>
            <w:proofErr w:type="spellEnd"/>
            <w:r>
              <w:rPr>
                <w:sz w:val="22"/>
                <w:szCs w:val="22"/>
              </w:rPr>
              <w:t>:</w:t>
            </w:r>
          </w:p>
          <w:p w14:paraId="23AA09E5" w14:textId="77777777" w:rsidR="00E255F4" w:rsidRDefault="00E255F4">
            <w:pPr>
              <w:tabs>
                <w:tab w:val="left" w:pos="851"/>
              </w:tabs>
              <w:spacing w:line="240" w:lineRule="auto"/>
              <w:ind w:left="851"/>
              <w:jc w:val="both"/>
              <w:textAlignment w:val="baseline"/>
              <w:rPr>
                <w:sz w:val="22"/>
                <w:szCs w:val="22"/>
              </w:rPr>
            </w:pPr>
          </w:p>
          <w:p w14:paraId="4D4A5535" w14:textId="77777777" w:rsidR="00E255F4" w:rsidRDefault="00000000">
            <w:pPr>
              <w:numPr>
                <w:ilvl w:val="0"/>
                <w:numId w:val="9"/>
              </w:numPr>
              <w:tabs>
                <w:tab w:val="left" w:pos="709"/>
              </w:tabs>
              <w:spacing w:line="240" w:lineRule="auto"/>
              <w:jc w:val="both"/>
              <w:textAlignment w:val="baseline"/>
              <w:rPr>
                <w:strike/>
                <w:sz w:val="22"/>
                <w:szCs w:val="22"/>
              </w:rPr>
            </w:pPr>
            <w:r>
              <w:rPr>
                <w:sz w:val="22"/>
                <w:szCs w:val="22"/>
              </w:rPr>
              <w:t xml:space="preserve">The </w:t>
            </w:r>
            <w:proofErr w:type="spellStart"/>
            <w:r>
              <w:rPr>
                <w:sz w:val="22"/>
                <w:szCs w:val="22"/>
              </w:rPr>
              <w:t>Quantities</w:t>
            </w:r>
            <w:proofErr w:type="spellEnd"/>
            <w:r>
              <w:rPr>
                <w:sz w:val="22"/>
                <w:szCs w:val="22"/>
              </w:rPr>
              <w:t xml:space="preserve"> and </w:t>
            </w:r>
            <w:proofErr w:type="spellStart"/>
            <w:r>
              <w:rPr>
                <w:sz w:val="22"/>
                <w:szCs w:val="22"/>
              </w:rPr>
              <w:t>Prices</w:t>
            </w:r>
            <w:proofErr w:type="spellEnd"/>
            <w:r>
              <w:rPr>
                <w:sz w:val="22"/>
                <w:szCs w:val="22"/>
              </w:rPr>
              <w:t xml:space="preserve"> </w:t>
            </w:r>
            <w:proofErr w:type="spellStart"/>
            <w:r>
              <w:rPr>
                <w:sz w:val="22"/>
                <w:szCs w:val="22"/>
              </w:rPr>
              <w:t>Sheet</w:t>
            </w:r>
            <w:proofErr w:type="spellEnd"/>
            <w:r>
              <w:rPr>
                <w:sz w:val="22"/>
                <w:szCs w:val="22"/>
              </w:rPr>
              <w:t xml:space="preserve"> - </w:t>
            </w:r>
            <w:proofErr w:type="spellStart"/>
            <w:r>
              <w:rPr>
                <w:sz w:val="22"/>
                <w:szCs w:val="22"/>
              </w:rPr>
              <w:t>Offers</w:t>
            </w:r>
            <w:proofErr w:type="spellEnd"/>
            <w:r>
              <w:rPr>
                <w:sz w:val="22"/>
                <w:szCs w:val="22"/>
              </w:rPr>
              <w:t xml:space="preserve"> </w:t>
            </w:r>
            <w:proofErr w:type="spellStart"/>
            <w:r>
              <w:rPr>
                <w:sz w:val="22"/>
                <w:szCs w:val="22"/>
              </w:rPr>
              <w:t>of</w:t>
            </w:r>
            <w:proofErr w:type="spellEnd"/>
            <w:r>
              <w:rPr>
                <w:sz w:val="22"/>
                <w:szCs w:val="22"/>
              </w:rPr>
              <w:t xml:space="preserve"> </w:t>
            </w:r>
            <w:proofErr w:type="spellStart"/>
            <w:r>
              <w:rPr>
                <w:sz w:val="22"/>
                <w:szCs w:val="22"/>
              </w:rPr>
              <w:t>goods</w:t>
            </w:r>
            <w:proofErr w:type="spellEnd"/>
            <w:r>
              <w:rPr>
                <w:sz w:val="22"/>
                <w:szCs w:val="22"/>
              </w:rPr>
              <w:t xml:space="preserve"> </w:t>
            </w:r>
            <w:proofErr w:type="spellStart"/>
            <w:r>
              <w:rPr>
                <w:sz w:val="22"/>
                <w:szCs w:val="22"/>
              </w:rPr>
              <w:t>to</w:t>
            </w:r>
            <w:proofErr w:type="spellEnd"/>
            <w:r>
              <w:rPr>
                <w:sz w:val="22"/>
                <w:szCs w:val="22"/>
              </w:rPr>
              <w:t xml:space="preserve"> be </w:t>
            </w:r>
            <w:proofErr w:type="spellStart"/>
            <w:r>
              <w:rPr>
                <w:sz w:val="22"/>
                <w:szCs w:val="22"/>
              </w:rPr>
              <w:t>imported</w:t>
            </w:r>
            <w:proofErr w:type="spellEnd"/>
            <w:r>
              <w:rPr>
                <w:sz w:val="22"/>
                <w:szCs w:val="22"/>
              </w:rPr>
              <w:t xml:space="preserve"> </w:t>
            </w:r>
            <w:proofErr w:type="spellStart"/>
            <w:r>
              <w:rPr>
                <w:sz w:val="22"/>
                <w:szCs w:val="22"/>
              </w:rPr>
              <w:t>by</w:t>
            </w:r>
            <w:proofErr w:type="spellEnd"/>
            <w:r>
              <w:rPr>
                <w:sz w:val="22"/>
                <w:szCs w:val="22"/>
              </w:rPr>
              <w:t xml:space="preserve"> </w:t>
            </w:r>
            <w:proofErr w:type="gramStart"/>
            <w:r>
              <w:rPr>
                <w:sz w:val="22"/>
                <w:szCs w:val="22"/>
              </w:rPr>
              <w:t>OSE</w:t>
            </w:r>
            <w:proofErr w:type="gramEnd"/>
            <w:r>
              <w:rPr>
                <w:sz w:val="22"/>
                <w:szCs w:val="22"/>
              </w:rPr>
              <w:t xml:space="preserve">, </w:t>
            </w:r>
            <w:proofErr w:type="spellStart"/>
            <w:r>
              <w:rPr>
                <w:sz w:val="22"/>
                <w:szCs w:val="22"/>
              </w:rPr>
              <w:t>from</w:t>
            </w:r>
            <w:proofErr w:type="spellEnd"/>
            <w:r>
              <w:rPr>
                <w:sz w:val="22"/>
                <w:szCs w:val="22"/>
              </w:rPr>
              <w:t xml:space="preserve"> </w:t>
            </w:r>
            <w:proofErr w:type="spellStart"/>
            <w:r>
              <w:rPr>
                <w:sz w:val="22"/>
                <w:szCs w:val="22"/>
              </w:rPr>
              <w:t>Annex</w:t>
            </w:r>
            <w:proofErr w:type="spellEnd"/>
            <w:r>
              <w:rPr>
                <w:sz w:val="22"/>
                <w:szCs w:val="22"/>
              </w:rPr>
              <w:t xml:space="preserve"> V a2) and </w:t>
            </w:r>
            <w:proofErr w:type="spellStart"/>
            <w:r>
              <w:rPr>
                <w:sz w:val="22"/>
                <w:szCs w:val="22"/>
              </w:rPr>
              <w:t>the</w:t>
            </w:r>
            <w:proofErr w:type="spellEnd"/>
            <w:r>
              <w:rPr>
                <w:sz w:val="22"/>
                <w:szCs w:val="22"/>
              </w:rPr>
              <w:t xml:space="preserve"> SHIPPING DATA FORM, </w:t>
            </w:r>
            <w:proofErr w:type="spellStart"/>
            <w:r>
              <w:rPr>
                <w:sz w:val="22"/>
                <w:szCs w:val="22"/>
              </w:rPr>
              <w:t>from</w:t>
            </w:r>
            <w:proofErr w:type="spellEnd"/>
            <w:r>
              <w:rPr>
                <w:sz w:val="22"/>
                <w:szCs w:val="22"/>
              </w:rPr>
              <w:t xml:space="preserve"> </w:t>
            </w:r>
            <w:proofErr w:type="spellStart"/>
            <w:r>
              <w:rPr>
                <w:sz w:val="22"/>
                <w:szCs w:val="22"/>
              </w:rPr>
              <w:t>Annex</w:t>
            </w:r>
            <w:proofErr w:type="spellEnd"/>
            <w:r>
              <w:rPr>
                <w:sz w:val="22"/>
                <w:szCs w:val="22"/>
              </w:rPr>
              <w:t xml:space="preserve"> VI, </w:t>
            </w:r>
            <w:proofErr w:type="spellStart"/>
            <w:r>
              <w:rPr>
                <w:sz w:val="22"/>
                <w:szCs w:val="22"/>
              </w:rPr>
              <w:t>must</w:t>
            </w:r>
            <w:proofErr w:type="spellEnd"/>
            <w:r>
              <w:rPr>
                <w:sz w:val="22"/>
                <w:szCs w:val="22"/>
              </w:rPr>
              <w:t xml:space="preserve"> be </w:t>
            </w:r>
            <w:proofErr w:type="spellStart"/>
            <w:r>
              <w:rPr>
                <w:sz w:val="22"/>
                <w:szCs w:val="22"/>
              </w:rPr>
              <w:t>completed</w:t>
            </w:r>
            <w:proofErr w:type="spellEnd"/>
            <w:r>
              <w:rPr>
                <w:sz w:val="22"/>
                <w:szCs w:val="22"/>
              </w:rPr>
              <w:t>.</w:t>
            </w:r>
          </w:p>
          <w:p w14:paraId="37B3A2E1" w14:textId="77777777" w:rsidR="00E255F4" w:rsidRDefault="00E255F4">
            <w:pPr>
              <w:tabs>
                <w:tab w:val="left" w:pos="709"/>
              </w:tabs>
              <w:contextualSpacing/>
              <w:rPr>
                <w:strike/>
                <w:sz w:val="22"/>
                <w:szCs w:val="22"/>
              </w:rPr>
            </w:pPr>
          </w:p>
          <w:p w14:paraId="017C564D" w14:textId="77777777" w:rsidR="00E255F4" w:rsidRDefault="00000000">
            <w:pPr>
              <w:numPr>
                <w:ilvl w:val="0"/>
                <w:numId w:val="9"/>
              </w:numPr>
              <w:tabs>
                <w:tab w:val="left" w:pos="709"/>
              </w:tabs>
              <w:spacing w:line="240" w:lineRule="auto"/>
              <w:jc w:val="both"/>
              <w:textAlignment w:val="baseline"/>
              <w:rPr>
                <w:strike/>
                <w:sz w:val="22"/>
                <w:szCs w:val="22"/>
              </w:rPr>
            </w:pPr>
            <w:r>
              <w:rPr>
                <w:sz w:val="22"/>
                <w:szCs w:val="22"/>
              </w:rPr>
              <w:t xml:space="preserve">In </w:t>
            </w:r>
            <w:proofErr w:type="spellStart"/>
            <w:r>
              <w:rPr>
                <w:sz w:val="22"/>
                <w:szCs w:val="22"/>
              </w:rPr>
              <w:t>those</w:t>
            </w:r>
            <w:proofErr w:type="spellEnd"/>
            <w:r>
              <w:rPr>
                <w:sz w:val="22"/>
                <w:szCs w:val="22"/>
              </w:rPr>
              <w:t xml:space="preserve"> cases </w:t>
            </w:r>
            <w:proofErr w:type="spellStart"/>
            <w:r>
              <w:rPr>
                <w:sz w:val="22"/>
                <w:szCs w:val="22"/>
              </w:rPr>
              <w:t>where</w:t>
            </w:r>
            <w:proofErr w:type="spellEnd"/>
            <w:r>
              <w:rPr>
                <w:sz w:val="22"/>
                <w:szCs w:val="22"/>
              </w:rPr>
              <w:t xml:space="preserve"> </w:t>
            </w:r>
            <w:proofErr w:type="spellStart"/>
            <w:r>
              <w:rPr>
                <w:sz w:val="22"/>
                <w:szCs w:val="22"/>
              </w:rPr>
              <w:t>international</w:t>
            </w:r>
            <w:proofErr w:type="spellEnd"/>
            <w:r>
              <w:rPr>
                <w:sz w:val="22"/>
                <w:szCs w:val="22"/>
              </w:rPr>
              <w:t xml:space="preserve"> </w:t>
            </w:r>
            <w:proofErr w:type="spellStart"/>
            <w:r>
              <w:rPr>
                <w:sz w:val="22"/>
                <w:szCs w:val="22"/>
              </w:rPr>
              <w:t>insurance</w:t>
            </w:r>
            <w:proofErr w:type="spellEnd"/>
            <w:r>
              <w:rPr>
                <w:sz w:val="22"/>
                <w:szCs w:val="22"/>
              </w:rPr>
              <w:t xml:space="preserve"> </w:t>
            </w:r>
            <w:proofErr w:type="spellStart"/>
            <w:r>
              <w:rPr>
                <w:sz w:val="22"/>
                <w:szCs w:val="22"/>
              </w:rPr>
              <w:t>is</w:t>
            </w:r>
            <w:proofErr w:type="spellEnd"/>
            <w:r>
              <w:rPr>
                <w:sz w:val="22"/>
                <w:szCs w:val="22"/>
              </w:rPr>
              <w:t xml:space="preserve"> </w:t>
            </w:r>
            <w:proofErr w:type="spellStart"/>
            <w:r>
              <w:rPr>
                <w:sz w:val="22"/>
                <w:szCs w:val="22"/>
              </w:rPr>
              <w:t>not</w:t>
            </w:r>
            <w:proofErr w:type="spellEnd"/>
            <w:r>
              <w:rPr>
                <w:sz w:val="22"/>
                <w:szCs w:val="22"/>
              </w:rPr>
              <w:t xml:space="preserve"> </w:t>
            </w:r>
            <w:proofErr w:type="spellStart"/>
            <w:r>
              <w:rPr>
                <w:sz w:val="22"/>
                <w:szCs w:val="22"/>
              </w:rPr>
              <w:t>quoted</w:t>
            </w:r>
            <w:proofErr w:type="spellEnd"/>
            <w:r>
              <w:rPr>
                <w:sz w:val="22"/>
                <w:szCs w:val="22"/>
              </w:rPr>
              <w:t xml:space="preserve">, </w:t>
            </w:r>
            <w:proofErr w:type="spellStart"/>
            <w:r>
              <w:rPr>
                <w:sz w:val="22"/>
                <w:szCs w:val="22"/>
              </w:rPr>
              <w:t>the</w:t>
            </w:r>
            <w:proofErr w:type="spellEnd"/>
            <w:r>
              <w:rPr>
                <w:sz w:val="22"/>
                <w:szCs w:val="22"/>
              </w:rPr>
              <w:t xml:space="preserve"> </w:t>
            </w:r>
            <w:proofErr w:type="spellStart"/>
            <w:r>
              <w:rPr>
                <w:sz w:val="22"/>
                <w:szCs w:val="22"/>
              </w:rPr>
              <w:t>Administration</w:t>
            </w:r>
            <w:proofErr w:type="spellEnd"/>
            <w:r>
              <w:rPr>
                <w:sz w:val="22"/>
                <w:szCs w:val="22"/>
              </w:rPr>
              <w:t xml:space="preserve"> </w:t>
            </w:r>
            <w:proofErr w:type="spellStart"/>
            <w:r>
              <w:rPr>
                <w:sz w:val="22"/>
                <w:szCs w:val="22"/>
              </w:rPr>
              <w:t>will</w:t>
            </w:r>
            <w:proofErr w:type="spellEnd"/>
            <w:r>
              <w:rPr>
                <w:sz w:val="22"/>
                <w:szCs w:val="22"/>
              </w:rPr>
              <w:t xml:space="preserve"> </w:t>
            </w:r>
            <w:proofErr w:type="spellStart"/>
            <w:r>
              <w:rPr>
                <w:sz w:val="22"/>
                <w:szCs w:val="22"/>
              </w:rPr>
              <w:t>consider</w:t>
            </w:r>
            <w:proofErr w:type="spellEnd"/>
            <w:r>
              <w:rPr>
                <w:sz w:val="22"/>
                <w:szCs w:val="22"/>
              </w:rPr>
              <w:t xml:space="preserve"> </w:t>
            </w:r>
            <w:proofErr w:type="spellStart"/>
            <w:r>
              <w:rPr>
                <w:sz w:val="22"/>
                <w:szCs w:val="22"/>
              </w:rPr>
              <w:t>for</w:t>
            </w:r>
            <w:proofErr w:type="spellEnd"/>
            <w:r>
              <w:rPr>
                <w:sz w:val="22"/>
                <w:szCs w:val="22"/>
              </w:rPr>
              <w:t xml:space="preserve"> </w:t>
            </w:r>
            <w:proofErr w:type="spellStart"/>
            <w:r>
              <w:rPr>
                <w:sz w:val="22"/>
                <w:szCs w:val="22"/>
              </w:rPr>
              <w:t>comparison</w:t>
            </w:r>
            <w:proofErr w:type="spellEnd"/>
            <w:r>
              <w:rPr>
                <w:sz w:val="22"/>
                <w:szCs w:val="22"/>
              </w:rPr>
              <w:t xml:space="preserve"> a 1% </w:t>
            </w:r>
            <w:proofErr w:type="spellStart"/>
            <w:r>
              <w:rPr>
                <w:sz w:val="22"/>
                <w:szCs w:val="22"/>
              </w:rPr>
              <w:t>according</w:t>
            </w:r>
            <w:proofErr w:type="spellEnd"/>
            <w:r>
              <w:rPr>
                <w:sz w:val="22"/>
                <w:szCs w:val="22"/>
              </w:rPr>
              <w:t xml:space="preserve"> </w:t>
            </w:r>
            <w:proofErr w:type="spellStart"/>
            <w:r>
              <w:rPr>
                <w:sz w:val="22"/>
                <w:szCs w:val="22"/>
              </w:rPr>
              <w:t>to</w:t>
            </w:r>
            <w:proofErr w:type="spellEnd"/>
            <w:r>
              <w:rPr>
                <w:sz w:val="22"/>
                <w:szCs w:val="22"/>
              </w:rPr>
              <w:t xml:space="preserve"> </w:t>
            </w:r>
            <w:proofErr w:type="spellStart"/>
            <w:r>
              <w:rPr>
                <w:sz w:val="22"/>
                <w:szCs w:val="22"/>
              </w:rPr>
              <w:t>the</w:t>
            </w:r>
            <w:proofErr w:type="spellEnd"/>
            <w:r>
              <w:rPr>
                <w:sz w:val="22"/>
                <w:szCs w:val="22"/>
              </w:rPr>
              <w:t xml:space="preserve"> </w:t>
            </w:r>
            <w:proofErr w:type="spellStart"/>
            <w:r>
              <w:rPr>
                <w:sz w:val="22"/>
                <w:szCs w:val="22"/>
              </w:rPr>
              <w:t>declared</w:t>
            </w:r>
            <w:proofErr w:type="spellEnd"/>
            <w:r>
              <w:rPr>
                <w:sz w:val="22"/>
                <w:szCs w:val="22"/>
              </w:rPr>
              <w:t xml:space="preserve"> INCOTERM.</w:t>
            </w:r>
          </w:p>
          <w:p w14:paraId="1A07832B" w14:textId="77777777" w:rsidR="00E255F4" w:rsidRDefault="00E255F4">
            <w:pPr>
              <w:pStyle w:val="Prrafodelista"/>
              <w:rPr>
                <w:strike/>
                <w:sz w:val="22"/>
                <w:szCs w:val="22"/>
                <w:lang w:val="es-UY"/>
              </w:rPr>
            </w:pPr>
          </w:p>
          <w:p w14:paraId="2D3FCF22" w14:textId="77777777" w:rsidR="00E255F4" w:rsidRDefault="00000000">
            <w:pPr>
              <w:numPr>
                <w:ilvl w:val="0"/>
                <w:numId w:val="9"/>
              </w:numPr>
              <w:tabs>
                <w:tab w:val="left" w:pos="709"/>
              </w:tabs>
              <w:spacing w:line="240" w:lineRule="auto"/>
              <w:jc w:val="both"/>
              <w:textAlignment w:val="baseline"/>
              <w:rPr>
                <w:strike/>
                <w:sz w:val="22"/>
                <w:szCs w:val="22"/>
              </w:rPr>
            </w:pPr>
            <w:proofErr w:type="spellStart"/>
            <w:r>
              <w:rPr>
                <w:sz w:val="22"/>
                <w:szCs w:val="22"/>
              </w:rPr>
              <w:t>Where</w:t>
            </w:r>
            <w:proofErr w:type="spellEnd"/>
            <w:r>
              <w:rPr>
                <w:sz w:val="22"/>
                <w:szCs w:val="22"/>
              </w:rPr>
              <w:t xml:space="preserve"> </w:t>
            </w:r>
            <w:proofErr w:type="spellStart"/>
            <w:r>
              <w:rPr>
                <w:sz w:val="22"/>
                <w:szCs w:val="22"/>
              </w:rPr>
              <w:t>applicable</w:t>
            </w:r>
            <w:proofErr w:type="spellEnd"/>
            <w:r>
              <w:rPr>
                <w:sz w:val="22"/>
                <w:szCs w:val="22"/>
              </w:rPr>
              <w:t xml:space="preserve">, OSE </w:t>
            </w:r>
            <w:proofErr w:type="spellStart"/>
            <w:r>
              <w:rPr>
                <w:sz w:val="22"/>
                <w:szCs w:val="22"/>
              </w:rPr>
              <w:t>will</w:t>
            </w:r>
            <w:proofErr w:type="spellEnd"/>
            <w:r>
              <w:rPr>
                <w:sz w:val="22"/>
                <w:szCs w:val="22"/>
              </w:rPr>
              <w:t xml:space="preserve"> </w:t>
            </w:r>
            <w:proofErr w:type="spellStart"/>
            <w:r>
              <w:rPr>
                <w:sz w:val="22"/>
                <w:szCs w:val="22"/>
              </w:rPr>
              <w:t>add</w:t>
            </w:r>
            <w:proofErr w:type="spellEnd"/>
            <w:r>
              <w:rPr>
                <w:sz w:val="22"/>
                <w:szCs w:val="22"/>
              </w:rPr>
              <w:t xml:space="preserve"> 0.25% </w:t>
            </w:r>
            <w:proofErr w:type="spellStart"/>
            <w:r>
              <w:rPr>
                <w:sz w:val="22"/>
                <w:szCs w:val="22"/>
              </w:rPr>
              <w:t>for</w:t>
            </w:r>
            <w:proofErr w:type="spellEnd"/>
            <w:r>
              <w:rPr>
                <w:sz w:val="22"/>
                <w:szCs w:val="22"/>
              </w:rPr>
              <w:t xml:space="preserve"> </w:t>
            </w:r>
            <w:proofErr w:type="spellStart"/>
            <w:r>
              <w:rPr>
                <w:sz w:val="22"/>
                <w:szCs w:val="22"/>
              </w:rPr>
              <w:t>the</w:t>
            </w:r>
            <w:proofErr w:type="spellEnd"/>
            <w:r>
              <w:rPr>
                <w:sz w:val="22"/>
                <w:szCs w:val="22"/>
              </w:rPr>
              <w:t xml:space="preserve"> </w:t>
            </w:r>
            <w:proofErr w:type="spellStart"/>
            <w:r>
              <w:rPr>
                <w:sz w:val="22"/>
                <w:szCs w:val="22"/>
              </w:rPr>
              <w:t>opening</w:t>
            </w:r>
            <w:proofErr w:type="spellEnd"/>
            <w:r>
              <w:rPr>
                <w:sz w:val="22"/>
                <w:szCs w:val="22"/>
              </w:rPr>
              <w:t xml:space="preserve"> </w:t>
            </w:r>
            <w:proofErr w:type="spellStart"/>
            <w:r>
              <w:rPr>
                <w:sz w:val="22"/>
                <w:szCs w:val="22"/>
              </w:rPr>
              <w:t>of</w:t>
            </w:r>
            <w:proofErr w:type="spellEnd"/>
            <w:r>
              <w:rPr>
                <w:sz w:val="22"/>
                <w:szCs w:val="22"/>
              </w:rPr>
              <w:t xml:space="preserve"> </w:t>
            </w:r>
            <w:proofErr w:type="spellStart"/>
            <w:r>
              <w:rPr>
                <w:sz w:val="22"/>
                <w:szCs w:val="22"/>
              </w:rPr>
              <w:t>the</w:t>
            </w:r>
            <w:proofErr w:type="spellEnd"/>
            <w:r>
              <w:rPr>
                <w:sz w:val="22"/>
                <w:szCs w:val="22"/>
              </w:rPr>
              <w:t xml:space="preserve"> </w:t>
            </w:r>
            <w:proofErr w:type="spellStart"/>
            <w:r>
              <w:rPr>
                <w:sz w:val="22"/>
                <w:szCs w:val="22"/>
              </w:rPr>
              <w:t>letter</w:t>
            </w:r>
            <w:proofErr w:type="spellEnd"/>
            <w:r>
              <w:rPr>
                <w:sz w:val="22"/>
                <w:szCs w:val="22"/>
              </w:rPr>
              <w:t xml:space="preserve"> </w:t>
            </w:r>
            <w:proofErr w:type="spellStart"/>
            <w:r>
              <w:rPr>
                <w:sz w:val="22"/>
                <w:szCs w:val="22"/>
              </w:rPr>
              <w:t>of</w:t>
            </w:r>
            <w:proofErr w:type="spellEnd"/>
            <w:r>
              <w:rPr>
                <w:sz w:val="22"/>
                <w:szCs w:val="22"/>
              </w:rPr>
              <w:t xml:space="preserve"> </w:t>
            </w:r>
            <w:proofErr w:type="spellStart"/>
            <w:r>
              <w:rPr>
                <w:sz w:val="22"/>
                <w:szCs w:val="22"/>
              </w:rPr>
              <w:t>credit</w:t>
            </w:r>
            <w:proofErr w:type="spellEnd"/>
            <w:r>
              <w:rPr>
                <w:sz w:val="22"/>
                <w:szCs w:val="22"/>
              </w:rPr>
              <w:t xml:space="preserve">, </w:t>
            </w:r>
            <w:proofErr w:type="spellStart"/>
            <w:r>
              <w:rPr>
                <w:sz w:val="22"/>
                <w:szCs w:val="22"/>
              </w:rPr>
              <w:t>according</w:t>
            </w:r>
            <w:proofErr w:type="spellEnd"/>
            <w:r>
              <w:rPr>
                <w:sz w:val="22"/>
                <w:szCs w:val="22"/>
              </w:rPr>
              <w:t xml:space="preserve"> </w:t>
            </w:r>
            <w:proofErr w:type="spellStart"/>
            <w:r>
              <w:rPr>
                <w:sz w:val="22"/>
                <w:szCs w:val="22"/>
              </w:rPr>
              <w:t>to</w:t>
            </w:r>
            <w:proofErr w:type="spellEnd"/>
            <w:r>
              <w:rPr>
                <w:sz w:val="22"/>
                <w:szCs w:val="22"/>
              </w:rPr>
              <w:t xml:space="preserve"> </w:t>
            </w:r>
            <w:proofErr w:type="spellStart"/>
            <w:r>
              <w:rPr>
                <w:sz w:val="22"/>
                <w:szCs w:val="22"/>
              </w:rPr>
              <w:t>the</w:t>
            </w:r>
            <w:proofErr w:type="spellEnd"/>
            <w:r>
              <w:rPr>
                <w:sz w:val="22"/>
                <w:szCs w:val="22"/>
              </w:rPr>
              <w:t xml:space="preserve"> </w:t>
            </w:r>
            <w:proofErr w:type="spellStart"/>
            <w:r>
              <w:rPr>
                <w:sz w:val="22"/>
                <w:szCs w:val="22"/>
              </w:rPr>
              <w:t>declared</w:t>
            </w:r>
            <w:proofErr w:type="spellEnd"/>
            <w:r>
              <w:rPr>
                <w:sz w:val="22"/>
                <w:szCs w:val="22"/>
              </w:rPr>
              <w:t xml:space="preserve"> INCOTERM </w:t>
            </w:r>
            <w:proofErr w:type="spellStart"/>
            <w:r>
              <w:rPr>
                <w:sz w:val="22"/>
                <w:szCs w:val="22"/>
              </w:rPr>
              <w:t>or</w:t>
            </w:r>
            <w:proofErr w:type="spellEnd"/>
            <w:r>
              <w:rPr>
                <w:sz w:val="22"/>
                <w:szCs w:val="22"/>
              </w:rPr>
              <w:t xml:space="preserve"> </w:t>
            </w:r>
            <w:proofErr w:type="spellStart"/>
            <w:r>
              <w:rPr>
                <w:sz w:val="22"/>
                <w:szCs w:val="22"/>
              </w:rPr>
              <w:t>the</w:t>
            </w:r>
            <w:proofErr w:type="spellEnd"/>
            <w:r>
              <w:rPr>
                <w:sz w:val="22"/>
                <w:szCs w:val="22"/>
              </w:rPr>
              <w:t xml:space="preserve"> </w:t>
            </w:r>
            <w:proofErr w:type="spellStart"/>
            <w:r>
              <w:rPr>
                <w:sz w:val="22"/>
                <w:szCs w:val="22"/>
              </w:rPr>
              <w:t>minimum</w:t>
            </w:r>
            <w:proofErr w:type="spellEnd"/>
            <w:r>
              <w:rPr>
                <w:sz w:val="22"/>
                <w:szCs w:val="22"/>
              </w:rPr>
              <w:t xml:space="preserve"> </w:t>
            </w:r>
            <w:proofErr w:type="spellStart"/>
            <w:r>
              <w:rPr>
                <w:sz w:val="22"/>
                <w:szCs w:val="22"/>
              </w:rPr>
              <w:t>established</w:t>
            </w:r>
            <w:proofErr w:type="spellEnd"/>
            <w:r>
              <w:rPr>
                <w:sz w:val="22"/>
                <w:szCs w:val="22"/>
              </w:rPr>
              <w:t xml:space="preserve"> </w:t>
            </w:r>
            <w:proofErr w:type="spellStart"/>
            <w:r>
              <w:rPr>
                <w:sz w:val="22"/>
                <w:szCs w:val="22"/>
              </w:rPr>
              <w:t>if</w:t>
            </w:r>
            <w:proofErr w:type="spellEnd"/>
            <w:r>
              <w:rPr>
                <w:sz w:val="22"/>
                <w:szCs w:val="22"/>
              </w:rPr>
              <w:t xml:space="preserve"> </w:t>
            </w:r>
            <w:proofErr w:type="spellStart"/>
            <w:r>
              <w:rPr>
                <w:sz w:val="22"/>
                <w:szCs w:val="22"/>
              </w:rPr>
              <w:t>applicable</w:t>
            </w:r>
            <w:proofErr w:type="spellEnd"/>
            <w:r>
              <w:rPr>
                <w:sz w:val="22"/>
                <w:szCs w:val="22"/>
              </w:rPr>
              <w:t>.</w:t>
            </w:r>
          </w:p>
          <w:p w14:paraId="03FA0769" w14:textId="77777777" w:rsidR="00E255F4" w:rsidRDefault="00E255F4">
            <w:pPr>
              <w:tabs>
                <w:tab w:val="left" w:pos="709"/>
              </w:tabs>
              <w:spacing w:line="240" w:lineRule="auto"/>
              <w:ind w:left="426"/>
              <w:contextualSpacing/>
              <w:jc w:val="both"/>
              <w:textAlignment w:val="baseline"/>
              <w:rPr>
                <w:strike/>
                <w:sz w:val="22"/>
                <w:szCs w:val="22"/>
              </w:rPr>
            </w:pPr>
          </w:p>
          <w:p w14:paraId="29FAFDE2" w14:textId="77777777" w:rsidR="00E255F4" w:rsidRDefault="00000000">
            <w:pPr>
              <w:numPr>
                <w:ilvl w:val="0"/>
                <w:numId w:val="9"/>
              </w:numPr>
              <w:tabs>
                <w:tab w:val="left" w:pos="709"/>
              </w:tabs>
              <w:spacing w:line="240" w:lineRule="auto"/>
              <w:jc w:val="both"/>
              <w:textAlignment w:val="baseline"/>
            </w:pPr>
            <w:r>
              <w:rPr>
                <w:sz w:val="22"/>
                <w:szCs w:val="22"/>
              </w:rPr>
              <w:t xml:space="preserve">In </w:t>
            </w:r>
            <w:proofErr w:type="spellStart"/>
            <w:r>
              <w:rPr>
                <w:sz w:val="22"/>
                <w:szCs w:val="22"/>
              </w:rPr>
              <w:t>all</w:t>
            </w:r>
            <w:proofErr w:type="spellEnd"/>
            <w:r>
              <w:rPr>
                <w:sz w:val="22"/>
                <w:szCs w:val="22"/>
              </w:rPr>
              <w:t xml:space="preserve"> cases, OSE </w:t>
            </w:r>
            <w:proofErr w:type="spellStart"/>
            <w:r>
              <w:rPr>
                <w:sz w:val="22"/>
                <w:szCs w:val="22"/>
              </w:rPr>
              <w:t>will</w:t>
            </w:r>
            <w:proofErr w:type="spellEnd"/>
            <w:r>
              <w:rPr>
                <w:sz w:val="22"/>
                <w:szCs w:val="22"/>
              </w:rPr>
              <w:t xml:space="preserve"> </w:t>
            </w:r>
            <w:proofErr w:type="spellStart"/>
            <w:r>
              <w:rPr>
                <w:sz w:val="22"/>
                <w:szCs w:val="22"/>
              </w:rPr>
              <w:t>consider</w:t>
            </w:r>
            <w:proofErr w:type="spellEnd"/>
            <w:r>
              <w:rPr>
                <w:sz w:val="22"/>
                <w:szCs w:val="22"/>
              </w:rPr>
              <w:t xml:space="preserve"> </w:t>
            </w:r>
            <w:proofErr w:type="spellStart"/>
            <w:r>
              <w:rPr>
                <w:sz w:val="22"/>
                <w:szCs w:val="22"/>
              </w:rPr>
              <w:t>the</w:t>
            </w:r>
            <w:proofErr w:type="spellEnd"/>
            <w:r>
              <w:rPr>
                <w:sz w:val="22"/>
                <w:szCs w:val="22"/>
              </w:rPr>
              <w:t xml:space="preserve"> DUA </w:t>
            </w:r>
            <w:proofErr w:type="spellStart"/>
            <w:r>
              <w:rPr>
                <w:sz w:val="22"/>
                <w:szCs w:val="22"/>
              </w:rPr>
              <w:t>costs</w:t>
            </w:r>
            <w:proofErr w:type="spellEnd"/>
            <w:r>
              <w:rPr>
                <w:sz w:val="22"/>
                <w:szCs w:val="22"/>
              </w:rPr>
              <w:t xml:space="preserve"> </w:t>
            </w:r>
            <w:proofErr w:type="spellStart"/>
            <w:r>
              <w:rPr>
                <w:sz w:val="22"/>
                <w:szCs w:val="22"/>
              </w:rPr>
              <w:t>calculated</w:t>
            </w:r>
            <w:proofErr w:type="spellEnd"/>
            <w:r>
              <w:rPr>
                <w:sz w:val="22"/>
                <w:szCs w:val="22"/>
              </w:rPr>
              <w:t xml:space="preserve"> </w:t>
            </w:r>
            <w:proofErr w:type="spellStart"/>
            <w:r>
              <w:rPr>
                <w:sz w:val="22"/>
                <w:szCs w:val="22"/>
              </w:rPr>
              <w:t>based</w:t>
            </w:r>
            <w:proofErr w:type="spellEnd"/>
            <w:r>
              <w:rPr>
                <w:sz w:val="22"/>
                <w:szCs w:val="22"/>
              </w:rPr>
              <w:t xml:space="preserve"> </w:t>
            </w:r>
            <w:proofErr w:type="spellStart"/>
            <w:r>
              <w:rPr>
                <w:sz w:val="22"/>
                <w:szCs w:val="22"/>
              </w:rPr>
              <w:t>on</w:t>
            </w:r>
            <w:proofErr w:type="spellEnd"/>
            <w:r>
              <w:rPr>
                <w:sz w:val="22"/>
                <w:szCs w:val="22"/>
              </w:rPr>
              <w:t xml:space="preserve"> </w:t>
            </w:r>
            <w:proofErr w:type="spellStart"/>
            <w:r>
              <w:rPr>
                <w:sz w:val="22"/>
                <w:szCs w:val="22"/>
              </w:rPr>
              <w:t>the</w:t>
            </w:r>
            <w:proofErr w:type="spellEnd"/>
            <w:r>
              <w:rPr>
                <w:sz w:val="22"/>
                <w:szCs w:val="22"/>
              </w:rPr>
              <w:t xml:space="preserve"> </w:t>
            </w:r>
            <w:proofErr w:type="spellStart"/>
            <w:r>
              <w:rPr>
                <w:sz w:val="22"/>
                <w:szCs w:val="22"/>
              </w:rPr>
              <w:t>taxes</w:t>
            </w:r>
            <w:proofErr w:type="spellEnd"/>
            <w:r>
              <w:rPr>
                <w:sz w:val="22"/>
                <w:szCs w:val="22"/>
              </w:rPr>
              <w:t xml:space="preserve"> </w:t>
            </w:r>
            <w:proofErr w:type="spellStart"/>
            <w:r>
              <w:rPr>
                <w:sz w:val="22"/>
                <w:szCs w:val="22"/>
              </w:rPr>
              <w:t>that</w:t>
            </w:r>
            <w:proofErr w:type="spellEnd"/>
            <w:r>
              <w:rPr>
                <w:sz w:val="22"/>
                <w:szCs w:val="22"/>
              </w:rPr>
              <w:t xml:space="preserve"> </w:t>
            </w:r>
            <w:proofErr w:type="spellStart"/>
            <w:r>
              <w:rPr>
                <w:sz w:val="22"/>
                <w:szCs w:val="22"/>
              </w:rPr>
              <w:t>it</w:t>
            </w:r>
            <w:proofErr w:type="spellEnd"/>
            <w:r>
              <w:rPr>
                <w:sz w:val="22"/>
                <w:szCs w:val="22"/>
              </w:rPr>
              <w:t xml:space="preserve"> </w:t>
            </w:r>
            <w:proofErr w:type="spellStart"/>
            <w:r>
              <w:rPr>
                <w:sz w:val="22"/>
                <w:szCs w:val="22"/>
              </w:rPr>
              <w:t>must</w:t>
            </w:r>
            <w:proofErr w:type="spellEnd"/>
            <w:r>
              <w:rPr>
                <w:sz w:val="22"/>
                <w:szCs w:val="22"/>
              </w:rPr>
              <w:t xml:space="preserve"> </w:t>
            </w:r>
            <w:proofErr w:type="spellStart"/>
            <w:r>
              <w:rPr>
                <w:sz w:val="22"/>
                <w:szCs w:val="22"/>
              </w:rPr>
              <w:t>pay</w:t>
            </w:r>
            <w:proofErr w:type="spellEnd"/>
            <w:r>
              <w:rPr>
                <w:sz w:val="22"/>
                <w:szCs w:val="22"/>
              </w:rPr>
              <w:t>.</w:t>
            </w:r>
          </w:p>
          <w:p w14:paraId="1CEA81CF" w14:textId="77777777" w:rsidR="00E255F4" w:rsidRDefault="00E255F4">
            <w:pPr>
              <w:tabs>
                <w:tab w:val="left" w:pos="0"/>
              </w:tabs>
              <w:contextualSpacing/>
              <w:rPr>
                <w:sz w:val="22"/>
                <w:szCs w:val="22"/>
              </w:rPr>
            </w:pPr>
          </w:p>
          <w:p w14:paraId="6B82B4F5" w14:textId="77777777" w:rsidR="00E255F4" w:rsidRDefault="00000000">
            <w:pPr>
              <w:numPr>
                <w:ilvl w:val="0"/>
                <w:numId w:val="9"/>
              </w:numPr>
              <w:tabs>
                <w:tab w:val="left" w:pos="709"/>
              </w:tabs>
              <w:spacing w:line="240" w:lineRule="auto"/>
              <w:jc w:val="both"/>
              <w:textAlignment w:val="baseline"/>
            </w:pPr>
            <w:r>
              <w:rPr>
                <w:sz w:val="22"/>
                <w:szCs w:val="22"/>
              </w:rPr>
              <w:lastRenderedPageBreak/>
              <w:t xml:space="preserve">In </w:t>
            </w:r>
            <w:proofErr w:type="spellStart"/>
            <w:r>
              <w:rPr>
                <w:sz w:val="22"/>
                <w:szCs w:val="22"/>
              </w:rPr>
              <w:t>all</w:t>
            </w:r>
            <w:proofErr w:type="spellEnd"/>
            <w:r>
              <w:rPr>
                <w:sz w:val="22"/>
                <w:szCs w:val="22"/>
              </w:rPr>
              <w:t xml:space="preserve"> cases, OSE </w:t>
            </w:r>
            <w:proofErr w:type="spellStart"/>
            <w:r>
              <w:rPr>
                <w:sz w:val="22"/>
                <w:szCs w:val="22"/>
              </w:rPr>
              <w:t>will</w:t>
            </w:r>
            <w:proofErr w:type="spellEnd"/>
            <w:r>
              <w:rPr>
                <w:sz w:val="22"/>
                <w:szCs w:val="22"/>
              </w:rPr>
              <w:t xml:space="preserve"> </w:t>
            </w:r>
            <w:proofErr w:type="spellStart"/>
            <w:r>
              <w:rPr>
                <w:sz w:val="22"/>
                <w:szCs w:val="22"/>
              </w:rPr>
              <w:t>consider</w:t>
            </w:r>
            <w:proofErr w:type="spellEnd"/>
            <w:r>
              <w:rPr>
                <w:sz w:val="22"/>
                <w:szCs w:val="22"/>
              </w:rPr>
              <w:t xml:space="preserve"> </w:t>
            </w:r>
            <w:proofErr w:type="spellStart"/>
            <w:r>
              <w:rPr>
                <w:sz w:val="22"/>
                <w:szCs w:val="22"/>
              </w:rPr>
              <w:t>the</w:t>
            </w:r>
            <w:proofErr w:type="spellEnd"/>
            <w:r>
              <w:rPr>
                <w:sz w:val="22"/>
                <w:szCs w:val="22"/>
              </w:rPr>
              <w:t xml:space="preserve"> </w:t>
            </w:r>
            <w:proofErr w:type="spellStart"/>
            <w:r>
              <w:rPr>
                <w:sz w:val="22"/>
                <w:szCs w:val="22"/>
              </w:rPr>
              <w:t>Customs</w:t>
            </w:r>
            <w:proofErr w:type="spellEnd"/>
            <w:r>
              <w:rPr>
                <w:sz w:val="22"/>
                <w:szCs w:val="22"/>
              </w:rPr>
              <w:t xml:space="preserve"> Broker fees </w:t>
            </w:r>
            <w:proofErr w:type="spellStart"/>
            <w:r>
              <w:rPr>
                <w:sz w:val="22"/>
                <w:szCs w:val="22"/>
              </w:rPr>
              <w:t>according</w:t>
            </w:r>
            <w:proofErr w:type="spellEnd"/>
            <w:r>
              <w:rPr>
                <w:sz w:val="22"/>
                <w:szCs w:val="22"/>
              </w:rPr>
              <w:t xml:space="preserve"> </w:t>
            </w:r>
            <w:proofErr w:type="spellStart"/>
            <w:r>
              <w:rPr>
                <w:sz w:val="22"/>
                <w:szCs w:val="22"/>
              </w:rPr>
              <w:t>to</w:t>
            </w:r>
            <w:proofErr w:type="spellEnd"/>
            <w:r>
              <w:rPr>
                <w:sz w:val="22"/>
                <w:szCs w:val="22"/>
              </w:rPr>
              <w:t xml:space="preserve"> </w:t>
            </w:r>
            <w:proofErr w:type="spellStart"/>
            <w:r>
              <w:rPr>
                <w:sz w:val="22"/>
                <w:szCs w:val="22"/>
              </w:rPr>
              <w:t>the</w:t>
            </w:r>
            <w:proofErr w:type="spellEnd"/>
            <w:r>
              <w:rPr>
                <w:sz w:val="22"/>
                <w:szCs w:val="22"/>
              </w:rPr>
              <w:t xml:space="preserve"> </w:t>
            </w:r>
            <w:proofErr w:type="spellStart"/>
            <w:r>
              <w:rPr>
                <w:sz w:val="22"/>
                <w:szCs w:val="22"/>
              </w:rPr>
              <w:t>current</w:t>
            </w:r>
            <w:proofErr w:type="spellEnd"/>
            <w:r>
              <w:rPr>
                <w:sz w:val="22"/>
                <w:szCs w:val="22"/>
              </w:rPr>
              <w:t xml:space="preserve"> </w:t>
            </w:r>
            <w:proofErr w:type="spellStart"/>
            <w:r>
              <w:rPr>
                <w:sz w:val="22"/>
                <w:szCs w:val="22"/>
              </w:rPr>
              <w:t>contract</w:t>
            </w:r>
            <w:proofErr w:type="spellEnd"/>
            <w:r>
              <w:rPr>
                <w:sz w:val="22"/>
                <w:szCs w:val="22"/>
              </w:rPr>
              <w:t xml:space="preserve"> </w:t>
            </w:r>
            <w:proofErr w:type="spellStart"/>
            <w:r>
              <w:rPr>
                <w:sz w:val="22"/>
                <w:szCs w:val="22"/>
              </w:rPr>
              <w:t>for</w:t>
            </w:r>
            <w:proofErr w:type="spellEnd"/>
            <w:r>
              <w:rPr>
                <w:sz w:val="22"/>
                <w:szCs w:val="22"/>
              </w:rPr>
              <w:t xml:space="preserve"> </w:t>
            </w:r>
            <w:proofErr w:type="spellStart"/>
            <w:r>
              <w:rPr>
                <w:sz w:val="22"/>
                <w:szCs w:val="22"/>
              </w:rPr>
              <w:t>this</w:t>
            </w:r>
            <w:proofErr w:type="spellEnd"/>
            <w:r>
              <w:rPr>
                <w:sz w:val="22"/>
                <w:szCs w:val="22"/>
              </w:rPr>
              <w:t xml:space="preserve"> </w:t>
            </w:r>
            <w:proofErr w:type="spellStart"/>
            <w:r>
              <w:rPr>
                <w:sz w:val="22"/>
                <w:szCs w:val="22"/>
              </w:rPr>
              <w:t>service</w:t>
            </w:r>
            <w:proofErr w:type="spellEnd"/>
            <w:r>
              <w:rPr>
                <w:sz w:val="22"/>
                <w:szCs w:val="22"/>
              </w:rPr>
              <w:t xml:space="preserve"> at </w:t>
            </w:r>
            <w:proofErr w:type="spellStart"/>
            <w:r>
              <w:rPr>
                <w:sz w:val="22"/>
                <w:szCs w:val="22"/>
              </w:rPr>
              <w:t>the</w:t>
            </w:r>
            <w:proofErr w:type="spellEnd"/>
            <w:r>
              <w:rPr>
                <w:sz w:val="22"/>
                <w:szCs w:val="22"/>
              </w:rPr>
              <w:t xml:space="preserve"> time </w:t>
            </w:r>
            <w:proofErr w:type="spellStart"/>
            <w:r>
              <w:rPr>
                <w:sz w:val="22"/>
                <w:szCs w:val="22"/>
              </w:rPr>
              <w:t>of</w:t>
            </w:r>
            <w:proofErr w:type="spellEnd"/>
            <w:r>
              <w:rPr>
                <w:sz w:val="22"/>
                <w:szCs w:val="22"/>
              </w:rPr>
              <w:t xml:space="preserve"> </w:t>
            </w:r>
            <w:proofErr w:type="spellStart"/>
            <w:r>
              <w:rPr>
                <w:sz w:val="22"/>
                <w:szCs w:val="22"/>
              </w:rPr>
              <w:t>the</w:t>
            </w:r>
            <w:proofErr w:type="spellEnd"/>
            <w:r>
              <w:rPr>
                <w:sz w:val="22"/>
                <w:szCs w:val="22"/>
              </w:rPr>
              <w:t xml:space="preserve"> </w:t>
            </w:r>
            <w:proofErr w:type="spellStart"/>
            <w:r>
              <w:rPr>
                <w:sz w:val="22"/>
                <w:szCs w:val="22"/>
              </w:rPr>
              <w:t>opening</w:t>
            </w:r>
            <w:proofErr w:type="spellEnd"/>
            <w:r>
              <w:rPr>
                <w:sz w:val="22"/>
                <w:szCs w:val="22"/>
              </w:rPr>
              <w:t xml:space="preserve"> </w:t>
            </w:r>
            <w:proofErr w:type="spellStart"/>
            <w:r>
              <w:rPr>
                <w:sz w:val="22"/>
                <w:szCs w:val="22"/>
              </w:rPr>
              <w:t>of</w:t>
            </w:r>
            <w:proofErr w:type="spellEnd"/>
            <w:r>
              <w:rPr>
                <w:sz w:val="22"/>
                <w:szCs w:val="22"/>
              </w:rPr>
              <w:t xml:space="preserve"> </w:t>
            </w:r>
            <w:proofErr w:type="spellStart"/>
            <w:r>
              <w:rPr>
                <w:sz w:val="22"/>
                <w:szCs w:val="22"/>
              </w:rPr>
              <w:t>this</w:t>
            </w:r>
            <w:proofErr w:type="spellEnd"/>
            <w:r>
              <w:rPr>
                <w:sz w:val="22"/>
                <w:szCs w:val="22"/>
              </w:rPr>
              <w:t xml:space="preserve"> tender.</w:t>
            </w:r>
          </w:p>
          <w:p w14:paraId="1064F987" w14:textId="77777777" w:rsidR="00E255F4" w:rsidRDefault="00E255F4">
            <w:pPr>
              <w:contextualSpacing/>
              <w:rPr>
                <w:sz w:val="22"/>
                <w:szCs w:val="22"/>
              </w:rPr>
            </w:pPr>
          </w:p>
          <w:p w14:paraId="0CC57C19" w14:textId="77777777" w:rsidR="00E255F4" w:rsidRDefault="00000000">
            <w:pPr>
              <w:numPr>
                <w:ilvl w:val="0"/>
                <w:numId w:val="9"/>
              </w:numPr>
              <w:tabs>
                <w:tab w:val="left" w:pos="709"/>
              </w:tabs>
              <w:spacing w:line="240" w:lineRule="auto"/>
              <w:jc w:val="both"/>
              <w:textAlignment w:val="baseline"/>
            </w:pPr>
            <w:proofErr w:type="spellStart"/>
            <w:r>
              <w:rPr>
                <w:sz w:val="22"/>
                <w:szCs w:val="22"/>
              </w:rPr>
              <w:t>Where</w:t>
            </w:r>
            <w:proofErr w:type="spellEnd"/>
            <w:r>
              <w:rPr>
                <w:sz w:val="22"/>
                <w:szCs w:val="22"/>
              </w:rPr>
              <w:t xml:space="preserve"> </w:t>
            </w:r>
            <w:proofErr w:type="spellStart"/>
            <w:r>
              <w:rPr>
                <w:sz w:val="22"/>
                <w:szCs w:val="22"/>
              </w:rPr>
              <w:t>applicable</w:t>
            </w:r>
            <w:proofErr w:type="spellEnd"/>
            <w:r>
              <w:rPr>
                <w:sz w:val="22"/>
                <w:szCs w:val="22"/>
              </w:rPr>
              <w:t xml:space="preserve">, OSE </w:t>
            </w:r>
            <w:proofErr w:type="spellStart"/>
            <w:r>
              <w:rPr>
                <w:sz w:val="22"/>
                <w:szCs w:val="22"/>
              </w:rPr>
              <w:t>will</w:t>
            </w:r>
            <w:proofErr w:type="spellEnd"/>
            <w:r>
              <w:rPr>
                <w:sz w:val="22"/>
                <w:szCs w:val="22"/>
              </w:rPr>
              <w:t xml:space="preserve"> </w:t>
            </w:r>
            <w:proofErr w:type="spellStart"/>
            <w:r>
              <w:rPr>
                <w:sz w:val="22"/>
                <w:szCs w:val="22"/>
              </w:rPr>
              <w:t>consider</w:t>
            </w:r>
            <w:proofErr w:type="spellEnd"/>
            <w:r>
              <w:rPr>
                <w:sz w:val="22"/>
                <w:szCs w:val="22"/>
              </w:rPr>
              <w:t xml:space="preserve"> </w:t>
            </w:r>
            <w:proofErr w:type="spellStart"/>
            <w:r>
              <w:rPr>
                <w:sz w:val="22"/>
                <w:szCs w:val="22"/>
              </w:rPr>
              <w:t>internal</w:t>
            </w:r>
            <w:proofErr w:type="spellEnd"/>
            <w:r>
              <w:rPr>
                <w:sz w:val="22"/>
                <w:szCs w:val="22"/>
              </w:rPr>
              <w:t xml:space="preserve"> </w:t>
            </w:r>
            <w:proofErr w:type="spellStart"/>
            <w:r>
              <w:rPr>
                <w:sz w:val="22"/>
                <w:szCs w:val="22"/>
              </w:rPr>
              <w:t>freight</w:t>
            </w:r>
            <w:proofErr w:type="spellEnd"/>
            <w:r>
              <w:rPr>
                <w:sz w:val="22"/>
                <w:szCs w:val="22"/>
              </w:rPr>
              <w:t xml:space="preserve"> </w:t>
            </w:r>
            <w:proofErr w:type="spellStart"/>
            <w:r>
              <w:rPr>
                <w:sz w:val="22"/>
                <w:szCs w:val="22"/>
              </w:rPr>
              <w:t>costs</w:t>
            </w:r>
            <w:proofErr w:type="spellEnd"/>
            <w:r>
              <w:rPr>
                <w:sz w:val="22"/>
                <w:szCs w:val="22"/>
              </w:rPr>
              <w:t xml:space="preserve"> </w:t>
            </w:r>
            <w:proofErr w:type="spellStart"/>
            <w:r>
              <w:rPr>
                <w:sz w:val="22"/>
                <w:szCs w:val="22"/>
              </w:rPr>
              <w:t>according</w:t>
            </w:r>
            <w:proofErr w:type="spellEnd"/>
            <w:r>
              <w:rPr>
                <w:sz w:val="22"/>
                <w:szCs w:val="22"/>
              </w:rPr>
              <w:t xml:space="preserve"> </w:t>
            </w:r>
            <w:proofErr w:type="spellStart"/>
            <w:r>
              <w:rPr>
                <w:sz w:val="22"/>
                <w:szCs w:val="22"/>
              </w:rPr>
              <w:t>to</w:t>
            </w:r>
            <w:proofErr w:type="spellEnd"/>
            <w:r>
              <w:rPr>
                <w:sz w:val="22"/>
                <w:szCs w:val="22"/>
              </w:rPr>
              <w:t xml:space="preserve"> </w:t>
            </w:r>
            <w:proofErr w:type="spellStart"/>
            <w:r>
              <w:rPr>
                <w:sz w:val="22"/>
                <w:szCs w:val="22"/>
              </w:rPr>
              <w:t>the</w:t>
            </w:r>
            <w:proofErr w:type="spellEnd"/>
            <w:r>
              <w:rPr>
                <w:sz w:val="22"/>
                <w:szCs w:val="22"/>
              </w:rPr>
              <w:t xml:space="preserve"> </w:t>
            </w:r>
            <w:proofErr w:type="spellStart"/>
            <w:r>
              <w:rPr>
                <w:sz w:val="22"/>
                <w:szCs w:val="22"/>
              </w:rPr>
              <w:t>current</w:t>
            </w:r>
            <w:proofErr w:type="spellEnd"/>
            <w:r>
              <w:rPr>
                <w:sz w:val="22"/>
                <w:szCs w:val="22"/>
              </w:rPr>
              <w:t xml:space="preserve"> </w:t>
            </w:r>
            <w:proofErr w:type="spellStart"/>
            <w:r>
              <w:rPr>
                <w:sz w:val="22"/>
                <w:szCs w:val="22"/>
              </w:rPr>
              <w:t>contract</w:t>
            </w:r>
            <w:proofErr w:type="spellEnd"/>
            <w:r>
              <w:rPr>
                <w:sz w:val="22"/>
                <w:szCs w:val="22"/>
              </w:rPr>
              <w:t xml:space="preserve"> </w:t>
            </w:r>
            <w:proofErr w:type="spellStart"/>
            <w:r>
              <w:rPr>
                <w:sz w:val="22"/>
                <w:szCs w:val="22"/>
              </w:rPr>
              <w:t>for</w:t>
            </w:r>
            <w:proofErr w:type="spellEnd"/>
            <w:r>
              <w:rPr>
                <w:sz w:val="22"/>
                <w:szCs w:val="22"/>
              </w:rPr>
              <w:t xml:space="preserve"> </w:t>
            </w:r>
            <w:proofErr w:type="spellStart"/>
            <w:r>
              <w:rPr>
                <w:sz w:val="22"/>
                <w:szCs w:val="22"/>
              </w:rPr>
              <w:t>this</w:t>
            </w:r>
            <w:proofErr w:type="spellEnd"/>
            <w:r>
              <w:rPr>
                <w:sz w:val="22"/>
                <w:szCs w:val="22"/>
              </w:rPr>
              <w:t xml:space="preserve"> </w:t>
            </w:r>
            <w:proofErr w:type="spellStart"/>
            <w:r>
              <w:rPr>
                <w:sz w:val="22"/>
                <w:szCs w:val="22"/>
              </w:rPr>
              <w:t>service</w:t>
            </w:r>
            <w:proofErr w:type="spellEnd"/>
            <w:r>
              <w:rPr>
                <w:sz w:val="22"/>
                <w:szCs w:val="22"/>
              </w:rPr>
              <w:t xml:space="preserve"> at </w:t>
            </w:r>
            <w:proofErr w:type="spellStart"/>
            <w:r>
              <w:rPr>
                <w:sz w:val="22"/>
                <w:szCs w:val="22"/>
              </w:rPr>
              <w:t>the</w:t>
            </w:r>
            <w:proofErr w:type="spellEnd"/>
            <w:r>
              <w:rPr>
                <w:sz w:val="22"/>
                <w:szCs w:val="22"/>
              </w:rPr>
              <w:t xml:space="preserve"> time </w:t>
            </w:r>
            <w:proofErr w:type="spellStart"/>
            <w:r>
              <w:rPr>
                <w:sz w:val="22"/>
                <w:szCs w:val="22"/>
              </w:rPr>
              <w:t>of</w:t>
            </w:r>
            <w:proofErr w:type="spellEnd"/>
            <w:r>
              <w:rPr>
                <w:sz w:val="22"/>
                <w:szCs w:val="22"/>
              </w:rPr>
              <w:t xml:space="preserve"> </w:t>
            </w:r>
            <w:proofErr w:type="spellStart"/>
            <w:r>
              <w:rPr>
                <w:sz w:val="22"/>
                <w:szCs w:val="22"/>
              </w:rPr>
              <w:t>the</w:t>
            </w:r>
            <w:proofErr w:type="spellEnd"/>
            <w:r>
              <w:rPr>
                <w:sz w:val="22"/>
                <w:szCs w:val="22"/>
              </w:rPr>
              <w:t xml:space="preserve"> </w:t>
            </w:r>
            <w:proofErr w:type="spellStart"/>
            <w:r>
              <w:rPr>
                <w:sz w:val="22"/>
                <w:szCs w:val="22"/>
              </w:rPr>
              <w:t>opening</w:t>
            </w:r>
            <w:proofErr w:type="spellEnd"/>
            <w:r>
              <w:rPr>
                <w:sz w:val="22"/>
                <w:szCs w:val="22"/>
              </w:rPr>
              <w:t xml:space="preserve"> </w:t>
            </w:r>
            <w:proofErr w:type="spellStart"/>
            <w:r>
              <w:rPr>
                <w:sz w:val="22"/>
                <w:szCs w:val="22"/>
              </w:rPr>
              <w:t>of</w:t>
            </w:r>
            <w:proofErr w:type="spellEnd"/>
            <w:r>
              <w:rPr>
                <w:sz w:val="22"/>
                <w:szCs w:val="22"/>
              </w:rPr>
              <w:t xml:space="preserve"> </w:t>
            </w:r>
            <w:proofErr w:type="spellStart"/>
            <w:r>
              <w:rPr>
                <w:sz w:val="22"/>
                <w:szCs w:val="22"/>
              </w:rPr>
              <w:t>this</w:t>
            </w:r>
            <w:proofErr w:type="spellEnd"/>
            <w:r>
              <w:rPr>
                <w:sz w:val="22"/>
                <w:szCs w:val="22"/>
              </w:rPr>
              <w:t xml:space="preserve"> tender.</w:t>
            </w:r>
          </w:p>
          <w:p w14:paraId="0F368C93" w14:textId="77777777" w:rsidR="00E255F4" w:rsidRDefault="00E255F4">
            <w:pPr>
              <w:tabs>
                <w:tab w:val="left" w:pos="0"/>
              </w:tabs>
              <w:contextualSpacing/>
              <w:rPr>
                <w:sz w:val="22"/>
                <w:szCs w:val="22"/>
              </w:rPr>
            </w:pPr>
          </w:p>
          <w:p w14:paraId="3ABB8D70" w14:textId="77777777" w:rsidR="00E255F4" w:rsidRDefault="00000000">
            <w:pPr>
              <w:numPr>
                <w:ilvl w:val="0"/>
                <w:numId w:val="9"/>
              </w:numPr>
              <w:tabs>
                <w:tab w:val="left" w:pos="601"/>
              </w:tabs>
              <w:spacing w:line="240" w:lineRule="auto"/>
              <w:jc w:val="both"/>
              <w:textAlignment w:val="baseline"/>
            </w:pPr>
            <w:proofErr w:type="spellStart"/>
            <w:r>
              <w:rPr>
                <w:sz w:val="22"/>
                <w:szCs w:val="22"/>
                <w:lang w:val="es-ES" w:eastAsia="es-ES"/>
              </w:rPr>
              <w:t>Where</w:t>
            </w:r>
            <w:proofErr w:type="spellEnd"/>
            <w:r>
              <w:rPr>
                <w:sz w:val="22"/>
                <w:szCs w:val="22"/>
                <w:lang w:val="es-ES" w:eastAsia="es-ES"/>
              </w:rPr>
              <w:t xml:space="preserve"> </w:t>
            </w:r>
            <w:proofErr w:type="spellStart"/>
            <w:r>
              <w:rPr>
                <w:sz w:val="22"/>
                <w:szCs w:val="22"/>
                <w:lang w:val="es-ES" w:eastAsia="es-ES"/>
              </w:rPr>
              <w:t>applicable</w:t>
            </w:r>
            <w:proofErr w:type="spellEnd"/>
            <w:r>
              <w:rPr>
                <w:sz w:val="22"/>
                <w:szCs w:val="22"/>
                <w:lang w:val="es-ES" w:eastAsia="es-ES"/>
              </w:rPr>
              <w:t xml:space="preserve">, </w:t>
            </w:r>
            <w:proofErr w:type="spellStart"/>
            <w:r>
              <w:rPr>
                <w:sz w:val="22"/>
                <w:szCs w:val="22"/>
                <w:lang w:val="es-ES" w:eastAsia="es-ES"/>
              </w:rPr>
              <w:t>storage</w:t>
            </w:r>
            <w:proofErr w:type="spellEnd"/>
            <w:r>
              <w:rPr>
                <w:sz w:val="22"/>
                <w:szCs w:val="22"/>
                <w:lang w:val="es-ES" w:eastAsia="es-ES"/>
              </w:rPr>
              <w:t xml:space="preserve"> fees </w:t>
            </w:r>
            <w:proofErr w:type="spellStart"/>
            <w:r>
              <w:rPr>
                <w:sz w:val="22"/>
                <w:szCs w:val="22"/>
                <w:lang w:val="es-ES" w:eastAsia="es-ES"/>
              </w:rPr>
              <w:t>will</w:t>
            </w:r>
            <w:proofErr w:type="spellEnd"/>
            <w:r>
              <w:rPr>
                <w:sz w:val="22"/>
                <w:szCs w:val="22"/>
                <w:lang w:val="es-ES" w:eastAsia="es-ES"/>
              </w:rPr>
              <w:t xml:space="preserve"> be </w:t>
            </w:r>
            <w:proofErr w:type="spellStart"/>
            <w:r>
              <w:rPr>
                <w:sz w:val="22"/>
                <w:szCs w:val="22"/>
                <w:lang w:val="es-ES" w:eastAsia="es-ES"/>
              </w:rPr>
              <w:t>added</w:t>
            </w:r>
            <w:proofErr w:type="spellEnd"/>
            <w:r>
              <w:rPr>
                <w:sz w:val="22"/>
                <w:szCs w:val="22"/>
                <w:lang w:val="es-ES" w:eastAsia="es-ES"/>
              </w:rPr>
              <w:t xml:space="preserve"> (10 </w:t>
            </w:r>
            <w:proofErr w:type="spellStart"/>
            <w:r>
              <w:rPr>
                <w:sz w:val="22"/>
                <w:szCs w:val="22"/>
                <w:lang w:val="es-ES" w:eastAsia="es-ES"/>
              </w:rPr>
              <w:t>days</w:t>
            </w:r>
            <w:proofErr w:type="spellEnd"/>
            <w:r>
              <w:rPr>
                <w:sz w:val="22"/>
                <w:szCs w:val="22"/>
                <w:lang w:val="es-ES" w:eastAsia="es-ES"/>
              </w:rPr>
              <w:t xml:space="preserve"> </w:t>
            </w:r>
            <w:proofErr w:type="spellStart"/>
            <w:r>
              <w:rPr>
                <w:sz w:val="22"/>
                <w:szCs w:val="22"/>
                <w:lang w:val="es-ES" w:eastAsia="es-ES"/>
              </w:rPr>
              <w:t>from</w:t>
            </w:r>
            <w:proofErr w:type="spellEnd"/>
            <w:r>
              <w:rPr>
                <w:sz w:val="22"/>
                <w:szCs w:val="22"/>
                <w:lang w:val="es-ES" w:eastAsia="es-ES"/>
              </w:rPr>
              <w:t xml:space="preserve"> </w:t>
            </w:r>
            <w:proofErr w:type="spellStart"/>
            <w:r>
              <w:rPr>
                <w:sz w:val="22"/>
                <w:szCs w:val="22"/>
                <w:lang w:val="es-ES" w:eastAsia="es-ES"/>
              </w:rPr>
              <w:t>the</w:t>
            </w:r>
            <w:proofErr w:type="spellEnd"/>
            <w:r>
              <w:rPr>
                <w:sz w:val="22"/>
                <w:szCs w:val="22"/>
                <w:lang w:val="es-ES" w:eastAsia="es-ES"/>
              </w:rPr>
              <w:t xml:space="preserve"> </w:t>
            </w:r>
            <w:proofErr w:type="spellStart"/>
            <w:r>
              <w:rPr>
                <w:sz w:val="22"/>
                <w:szCs w:val="22"/>
                <w:lang w:val="es-ES" w:eastAsia="es-ES"/>
              </w:rPr>
              <w:t>arrival</w:t>
            </w:r>
            <w:proofErr w:type="spellEnd"/>
            <w:r>
              <w:rPr>
                <w:sz w:val="22"/>
                <w:szCs w:val="22"/>
                <w:lang w:val="es-ES" w:eastAsia="es-ES"/>
              </w:rPr>
              <w:t xml:space="preserve"> </w:t>
            </w:r>
            <w:proofErr w:type="spellStart"/>
            <w:r>
              <w:rPr>
                <w:sz w:val="22"/>
                <w:szCs w:val="22"/>
                <w:lang w:val="es-ES" w:eastAsia="es-ES"/>
              </w:rPr>
              <w:t>of</w:t>
            </w:r>
            <w:proofErr w:type="spellEnd"/>
            <w:r>
              <w:rPr>
                <w:sz w:val="22"/>
                <w:szCs w:val="22"/>
                <w:lang w:val="es-ES" w:eastAsia="es-ES"/>
              </w:rPr>
              <w:t xml:space="preserve"> </w:t>
            </w:r>
            <w:proofErr w:type="spellStart"/>
            <w:r>
              <w:rPr>
                <w:sz w:val="22"/>
                <w:szCs w:val="22"/>
                <w:lang w:val="es-ES" w:eastAsia="es-ES"/>
              </w:rPr>
              <w:t>the</w:t>
            </w:r>
            <w:proofErr w:type="spellEnd"/>
            <w:r>
              <w:rPr>
                <w:sz w:val="22"/>
                <w:szCs w:val="22"/>
                <w:lang w:val="es-ES" w:eastAsia="es-ES"/>
              </w:rPr>
              <w:t xml:space="preserve"> </w:t>
            </w:r>
            <w:proofErr w:type="spellStart"/>
            <w:r>
              <w:rPr>
                <w:sz w:val="22"/>
                <w:szCs w:val="22"/>
                <w:lang w:val="es-ES" w:eastAsia="es-ES"/>
              </w:rPr>
              <w:t>merchandise</w:t>
            </w:r>
            <w:proofErr w:type="spellEnd"/>
            <w:r>
              <w:rPr>
                <w:sz w:val="22"/>
                <w:szCs w:val="22"/>
                <w:lang w:val="es-ES" w:eastAsia="es-ES"/>
              </w:rPr>
              <w:t xml:space="preserve"> at </w:t>
            </w:r>
            <w:proofErr w:type="spellStart"/>
            <w:r>
              <w:rPr>
                <w:sz w:val="22"/>
                <w:szCs w:val="22"/>
                <w:lang w:val="es-ES" w:eastAsia="es-ES"/>
              </w:rPr>
              <w:t>the</w:t>
            </w:r>
            <w:proofErr w:type="spellEnd"/>
            <w:r>
              <w:rPr>
                <w:sz w:val="22"/>
                <w:szCs w:val="22"/>
                <w:lang w:val="es-ES" w:eastAsia="es-ES"/>
              </w:rPr>
              <w:t xml:space="preserve"> </w:t>
            </w:r>
            <w:proofErr w:type="spellStart"/>
            <w:r>
              <w:rPr>
                <w:sz w:val="22"/>
                <w:szCs w:val="22"/>
                <w:lang w:val="es-ES" w:eastAsia="es-ES"/>
              </w:rPr>
              <w:t>port</w:t>
            </w:r>
            <w:proofErr w:type="spellEnd"/>
            <w:r>
              <w:rPr>
                <w:sz w:val="22"/>
                <w:szCs w:val="22"/>
                <w:lang w:val="es-ES" w:eastAsia="es-ES"/>
              </w:rPr>
              <w:t xml:space="preserve"> </w:t>
            </w:r>
            <w:proofErr w:type="spellStart"/>
            <w:r>
              <w:rPr>
                <w:sz w:val="22"/>
                <w:szCs w:val="22"/>
                <w:lang w:val="es-ES" w:eastAsia="es-ES"/>
              </w:rPr>
              <w:t>or</w:t>
            </w:r>
            <w:proofErr w:type="spellEnd"/>
            <w:r>
              <w:rPr>
                <w:sz w:val="22"/>
                <w:szCs w:val="22"/>
                <w:lang w:val="es-ES" w:eastAsia="es-ES"/>
              </w:rPr>
              <w:t xml:space="preserve"> </w:t>
            </w:r>
            <w:proofErr w:type="spellStart"/>
            <w:r>
              <w:rPr>
                <w:sz w:val="22"/>
                <w:szCs w:val="22"/>
                <w:lang w:val="es-ES" w:eastAsia="es-ES"/>
              </w:rPr>
              <w:t>airport</w:t>
            </w:r>
            <w:proofErr w:type="spellEnd"/>
            <w:r>
              <w:rPr>
                <w:sz w:val="22"/>
                <w:szCs w:val="22"/>
                <w:lang w:val="es-ES" w:eastAsia="es-ES"/>
              </w:rPr>
              <w:t xml:space="preserve">), and </w:t>
            </w:r>
            <w:proofErr w:type="spellStart"/>
            <w:r>
              <w:rPr>
                <w:sz w:val="22"/>
                <w:szCs w:val="22"/>
                <w:lang w:val="es-ES" w:eastAsia="es-ES"/>
              </w:rPr>
              <w:t>if</w:t>
            </w:r>
            <w:proofErr w:type="spellEnd"/>
            <w:r>
              <w:rPr>
                <w:sz w:val="22"/>
                <w:szCs w:val="22"/>
                <w:lang w:val="es-ES" w:eastAsia="es-ES"/>
              </w:rPr>
              <w:t xml:space="preserve"> </w:t>
            </w:r>
            <w:proofErr w:type="spellStart"/>
            <w:r>
              <w:rPr>
                <w:sz w:val="22"/>
                <w:szCs w:val="22"/>
                <w:lang w:val="es-ES" w:eastAsia="es-ES"/>
              </w:rPr>
              <w:t>applicable</w:t>
            </w:r>
            <w:proofErr w:type="spellEnd"/>
            <w:r>
              <w:rPr>
                <w:sz w:val="22"/>
                <w:szCs w:val="22"/>
                <w:lang w:val="es-ES" w:eastAsia="es-ES"/>
              </w:rPr>
              <w:t xml:space="preserve">, 5 </w:t>
            </w:r>
            <w:proofErr w:type="spellStart"/>
            <w:r>
              <w:rPr>
                <w:sz w:val="22"/>
                <w:szCs w:val="22"/>
                <w:lang w:val="es-ES" w:eastAsia="es-ES"/>
              </w:rPr>
              <w:t>days</w:t>
            </w:r>
            <w:proofErr w:type="spellEnd"/>
            <w:r>
              <w:rPr>
                <w:sz w:val="22"/>
                <w:szCs w:val="22"/>
                <w:lang w:val="es-ES" w:eastAsia="es-ES"/>
              </w:rPr>
              <w:t xml:space="preserve"> </w:t>
            </w:r>
            <w:proofErr w:type="spellStart"/>
            <w:r>
              <w:rPr>
                <w:sz w:val="22"/>
                <w:szCs w:val="22"/>
                <w:lang w:val="es-ES" w:eastAsia="es-ES"/>
              </w:rPr>
              <w:t>of</w:t>
            </w:r>
            <w:proofErr w:type="spellEnd"/>
            <w:r>
              <w:rPr>
                <w:sz w:val="22"/>
                <w:szCs w:val="22"/>
                <w:lang w:val="es-ES" w:eastAsia="es-ES"/>
              </w:rPr>
              <w:t xml:space="preserve"> fees </w:t>
            </w:r>
            <w:proofErr w:type="spellStart"/>
            <w:r>
              <w:rPr>
                <w:sz w:val="22"/>
                <w:szCs w:val="22"/>
                <w:lang w:val="es-ES" w:eastAsia="es-ES"/>
              </w:rPr>
              <w:t>for</w:t>
            </w:r>
            <w:proofErr w:type="spellEnd"/>
            <w:r>
              <w:rPr>
                <w:sz w:val="22"/>
                <w:szCs w:val="22"/>
                <w:lang w:val="es-ES" w:eastAsia="es-ES"/>
              </w:rPr>
              <w:t xml:space="preserve"> container </w:t>
            </w:r>
            <w:proofErr w:type="spellStart"/>
            <w:r>
              <w:rPr>
                <w:sz w:val="22"/>
                <w:szCs w:val="22"/>
                <w:lang w:val="es-ES" w:eastAsia="es-ES"/>
              </w:rPr>
              <w:t>return</w:t>
            </w:r>
            <w:proofErr w:type="spellEnd"/>
            <w:r>
              <w:rPr>
                <w:sz w:val="22"/>
                <w:szCs w:val="22"/>
                <w:lang w:val="es-ES" w:eastAsia="es-ES"/>
              </w:rPr>
              <w:t xml:space="preserve"> </w:t>
            </w:r>
            <w:proofErr w:type="spellStart"/>
            <w:r>
              <w:rPr>
                <w:sz w:val="22"/>
                <w:szCs w:val="22"/>
                <w:lang w:val="es-ES" w:eastAsia="es-ES"/>
              </w:rPr>
              <w:t>delays</w:t>
            </w:r>
            <w:proofErr w:type="spellEnd"/>
            <w:r>
              <w:rPr>
                <w:sz w:val="22"/>
                <w:szCs w:val="22"/>
                <w:lang w:val="es-ES" w:eastAsia="es-ES"/>
              </w:rPr>
              <w:t xml:space="preserve"> and ANP (</w:t>
            </w:r>
            <w:proofErr w:type="spellStart"/>
            <w:r>
              <w:rPr>
                <w:sz w:val="22"/>
                <w:szCs w:val="22"/>
                <w:lang w:val="es-ES" w:eastAsia="es-ES"/>
              </w:rPr>
              <w:t>National</w:t>
            </w:r>
            <w:proofErr w:type="spellEnd"/>
            <w:r>
              <w:rPr>
                <w:sz w:val="22"/>
                <w:szCs w:val="22"/>
                <w:lang w:val="es-ES" w:eastAsia="es-ES"/>
              </w:rPr>
              <w:t xml:space="preserve"> Ports </w:t>
            </w:r>
            <w:proofErr w:type="spellStart"/>
            <w:r>
              <w:rPr>
                <w:sz w:val="22"/>
                <w:szCs w:val="22"/>
                <w:lang w:val="es-ES" w:eastAsia="es-ES"/>
              </w:rPr>
              <w:t>Administration</w:t>
            </w:r>
            <w:proofErr w:type="spellEnd"/>
            <w:r>
              <w:rPr>
                <w:sz w:val="22"/>
                <w:szCs w:val="22"/>
                <w:lang w:val="es-ES" w:eastAsia="es-ES"/>
              </w:rPr>
              <w:t xml:space="preserve">) </w:t>
            </w:r>
            <w:proofErr w:type="spellStart"/>
            <w:r>
              <w:rPr>
                <w:sz w:val="22"/>
                <w:szCs w:val="22"/>
                <w:lang w:val="es-ES" w:eastAsia="es-ES"/>
              </w:rPr>
              <w:t>will</w:t>
            </w:r>
            <w:proofErr w:type="spellEnd"/>
            <w:r>
              <w:rPr>
                <w:sz w:val="22"/>
                <w:szCs w:val="22"/>
                <w:lang w:val="es-ES" w:eastAsia="es-ES"/>
              </w:rPr>
              <w:t xml:space="preserve"> </w:t>
            </w:r>
            <w:proofErr w:type="spellStart"/>
            <w:r>
              <w:rPr>
                <w:sz w:val="22"/>
                <w:szCs w:val="22"/>
                <w:lang w:val="es-ES" w:eastAsia="es-ES"/>
              </w:rPr>
              <w:t>also</w:t>
            </w:r>
            <w:proofErr w:type="spellEnd"/>
            <w:r>
              <w:rPr>
                <w:sz w:val="22"/>
                <w:szCs w:val="22"/>
                <w:lang w:val="es-ES" w:eastAsia="es-ES"/>
              </w:rPr>
              <w:t xml:space="preserve"> be </w:t>
            </w:r>
            <w:proofErr w:type="spellStart"/>
            <w:r>
              <w:rPr>
                <w:sz w:val="22"/>
                <w:szCs w:val="22"/>
                <w:lang w:val="es-ES" w:eastAsia="es-ES"/>
              </w:rPr>
              <w:t>added</w:t>
            </w:r>
            <w:proofErr w:type="spellEnd"/>
            <w:r>
              <w:rPr>
                <w:sz w:val="22"/>
                <w:szCs w:val="22"/>
                <w:lang w:val="es-ES" w:eastAsia="es-ES"/>
              </w:rPr>
              <w:t xml:space="preserve">. For sales </w:t>
            </w:r>
            <w:proofErr w:type="spellStart"/>
            <w:r>
              <w:rPr>
                <w:sz w:val="22"/>
                <w:szCs w:val="22"/>
                <w:lang w:val="es-ES" w:eastAsia="es-ES"/>
              </w:rPr>
              <w:t>from</w:t>
            </w:r>
            <w:proofErr w:type="spellEnd"/>
            <w:r>
              <w:rPr>
                <w:sz w:val="22"/>
                <w:szCs w:val="22"/>
                <w:lang w:val="es-ES" w:eastAsia="es-ES"/>
              </w:rPr>
              <w:t xml:space="preserve"> </w:t>
            </w:r>
            <w:proofErr w:type="spellStart"/>
            <w:r>
              <w:rPr>
                <w:sz w:val="22"/>
                <w:szCs w:val="22"/>
                <w:lang w:val="es-ES" w:eastAsia="es-ES"/>
              </w:rPr>
              <w:t>the</w:t>
            </w:r>
            <w:proofErr w:type="spellEnd"/>
            <w:r>
              <w:rPr>
                <w:sz w:val="22"/>
                <w:szCs w:val="22"/>
                <w:lang w:val="es-ES" w:eastAsia="es-ES"/>
              </w:rPr>
              <w:t xml:space="preserve"> Port </w:t>
            </w:r>
            <w:proofErr w:type="spellStart"/>
            <w:r>
              <w:rPr>
                <w:sz w:val="22"/>
                <w:szCs w:val="22"/>
                <w:lang w:val="es-ES" w:eastAsia="es-ES"/>
              </w:rPr>
              <w:t>of</w:t>
            </w:r>
            <w:proofErr w:type="spellEnd"/>
            <w:r>
              <w:rPr>
                <w:sz w:val="22"/>
                <w:szCs w:val="22"/>
                <w:lang w:val="es-ES" w:eastAsia="es-ES"/>
              </w:rPr>
              <w:t xml:space="preserve"> Montevideo </w:t>
            </w:r>
            <w:proofErr w:type="spellStart"/>
            <w:r>
              <w:rPr>
                <w:sz w:val="22"/>
                <w:szCs w:val="22"/>
                <w:lang w:val="es-ES" w:eastAsia="es-ES"/>
              </w:rPr>
              <w:t>or</w:t>
            </w:r>
            <w:proofErr w:type="spellEnd"/>
            <w:r>
              <w:rPr>
                <w:sz w:val="22"/>
                <w:szCs w:val="22"/>
                <w:lang w:val="es-ES" w:eastAsia="es-ES"/>
              </w:rPr>
              <w:t xml:space="preserve"> Carrasco International </w:t>
            </w:r>
            <w:proofErr w:type="spellStart"/>
            <w:r>
              <w:rPr>
                <w:sz w:val="22"/>
                <w:szCs w:val="22"/>
                <w:lang w:val="es-ES" w:eastAsia="es-ES"/>
              </w:rPr>
              <w:t>Airport</w:t>
            </w:r>
            <w:proofErr w:type="spellEnd"/>
            <w:r>
              <w:rPr>
                <w:sz w:val="22"/>
                <w:szCs w:val="22"/>
                <w:lang w:val="es-ES" w:eastAsia="es-ES"/>
              </w:rPr>
              <w:t xml:space="preserve">, </w:t>
            </w:r>
            <w:proofErr w:type="spellStart"/>
            <w:r>
              <w:rPr>
                <w:sz w:val="22"/>
                <w:szCs w:val="22"/>
                <w:lang w:val="es-ES" w:eastAsia="es-ES"/>
              </w:rPr>
              <w:t>agency</w:t>
            </w:r>
            <w:proofErr w:type="spellEnd"/>
            <w:r>
              <w:rPr>
                <w:sz w:val="22"/>
                <w:szCs w:val="22"/>
                <w:lang w:val="es-ES" w:eastAsia="es-ES"/>
              </w:rPr>
              <w:t xml:space="preserve"> fees </w:t>
            </w:r>
            <w:proofErr w:type="spellStart"/>
            <w:r>
              <w:rPr>
                <w:sz w:val="22"/>
                <w:szCs w:val="22"/>
                <w:lang w:val="es-ES" w:eastAsia="es-ES"/>
              </w:rPr>
              <w:t>will</w:t>
            </w:r>
            <w:proofErr w:type="spellEnd"/>
            <w:r>
              <w:rPr>
                <w:sz w:val="22"/>
                <w:szCs w:val="22"/>
                <w:lang w:val="es-ES" w:eastAsia="es-ES"/>
              </w:rPr>
              <w:t xml:space="preserve"> </w:t>
            </w:r>
            <w:proofErr w:type="spellStart"/>
            <w:r>
              <w:rPr>
                <w:sz w:val="22"/>
                <w:szCs w:val="22"/>
                <w:lang w:val="es-ES" w:eastAsia="es-ES"/>
              </w:rPr>
              <w:t>not</w:t>
            </w:r>
            <w:proofErr w:type="spellEnd"/>
            <w:r>
              <w:rPr>
                <w:sz w:val="22"/>
                <w:szCs w:val="22"/>
                <w:lang w:val="es-ES" w:eastAsia="es-ES"/>
              </w:rPr>
              <w:t xml:space="preserve"> be </w:t>
            </w:r>
            <w:proofErr w:type="spellStart"/>
            <w:r>
              <w:rPr>
                <w:sz w:val="22"/>
                <w:szCs w:val="22"/>
                <w:lang w:val="es-ES" w:eastAsia="es-ES"/>
              </w:rPr>
              <w:t>considered</w:t>
            </w:r>
            <w:proofErr w:type="spellEnd"/>
            <w:r>
              <w:rPr>
                <w:sz w:val="22"/>
                <w:szCs w:val="22"/>
                <w:lang w:val="es-ES" w:eastAsia="es-ES"/>
              </w:rPr>
              <w:t xml:space="preserve">, as </w:t>
            </w:r>
            <w:proofErr w:type="spellStart"/>
            <w:r>
              <w:rPr>
                <w:sz w:val="22"/>
                <w:szCs w:val="22"/>
                <w:lang w:val="es-ES" w:eastAsia="es-ES"/>
              </w:rPr>
              <w:t>these</w:t>
            </w:r>
            <w:proofErr w:type="spellEnd"/>
            <w:r>
              <w:rPr>
                <w:sz w:val="22"/>
                <w:szCs w:val="22"/>
                <w:lang w:val="es-ES" w:eastAsia="es-ES"/>
              </w:rPr>
              <w:t xml:space="preserve"> </w:t>
            </w:r>
            <w:proofErr w:type="spellStart"/>
            <w:r>
              <w:rPr>
                <w:sz w:val="22"/>
                <w:szCs w:val="22"/>
                <w:lang w:val="es-ES" w:eastAsia="es-ES"/>
              </w:rPr>
              <w:t>must</w:t>
            </w:r>
            <w:proofErr w:type="spellEnd"/>
            <w:r>
              <w:rPr>
                <w:sz w:val="22"/>
                <w:szCs w:val="22"/>
                <w:lang w:val="es-ES" w:eastAsia="es-ES"/>
              </w:rPr>
              <w:t xml:space="preserve"> be </w:t>
            </w:r>
            <w:proofErr w:type="spellStart"/>
            <w:r>
              <w:rPr>
                <w:sz w:val="22"/>
                <w:szCs w:val="22"/>
                <w:lang w:val="es-ES" w:eastAsia="es-ES"/>
              </w:rPr>
              <w:t>included</w:t>
            </w:r>
            <w:proofErr w:type="spellEnd"/>
            <w:r>
              <w:rPr>
                <w:sz w:val="22"/>
                <w:szCs w:val="22"/>
                <w:lang w:val="es-ES" w:eastAsia="es-ES"/>
              </w:rPr>
              <w:t xml:space="preserve"> in </w:t>
            </w:r>
            <w:proofErr w:type="spellStart"/>
            <w:r>
              <w:rPr>
                <w:sz w:val="22"/>
                <w:szCs w:val="22"/>
                <w:lang w:val="es-ES" w:eastAsia="es-ES"/>
              </w:rPr>
              <w:t>the</w:t>
            </w:r>
            <w:proofErr w:type="spellEnd"/>
            <w:r>
              <w:rPr>
                <w:sz w:val="22"/>
                <w:szCs w:val="22"/>
                <w:lang w:val="es-ES" w:eastAsia="es-ES"/>
              </w:rPr>
              <w:t xml:space="preserve"> </w:t>
            </w:r>
            <w:proofErr w:type="spellStart"/>
            <w:r>
              <w:rPr>
                <w:sz w:val="22"/>
                <w:szCs w:val="22"/>
                <w:lang w:val="es-ES" w:eastAsia="es-ES"/>
              </w:rPr>
              <w:t>offer</w:t>
            </w:r>
            <w:proofErr w:type="spellEnd"/>
            <w:r>
              <w:rPr>
                <w:sz w:val="22"/>
                <w:szCs w:val="22"/>
                <w:lang w:val="es-ES" w:eastAsia="es-ES"/>
              </w:rPr>
              <w:t>.</w:t>
            </w:r>
          </w:p>
          <w:p w14:paraId="482DD7B4" w14:textId="77777777" w:rsidR="00E255F4" w:rsidRDefault="00E255F4">
            <w:pPr>
              <w:shd w:val="clear" w:color="auto" w:fill="FFFFFF"/>
              <w:spacing w:line="240" w:lineRule="auto"/>
              <w:jc w:val="both"/>
              <w:rPr>
                <w:sz w:val="22"/>
                <w:szCs w:val="22"/>
                <w:lang w:val="es-ES" w:eastAsia="es-UY"/>
              </w:rPr>
            </w:pPr>
          </w:p>
          <w:p w14:paraId="21B90250" w14:textId="77777777" w:rsidR="00E255F4" w:rsidRDefault="00000000">
            <w:pPr>
              <w:pStyle w:val="Textoindependiente"/>
              <w:spacing w:after="0"/>
              <w:ind w:left="34" w:right="33"/>
              <w:jc w:val="both"/>
            </w:pPr>
            <w:proofErr w:type="spellStart"/>
            <w:r>
              <w:rPr>
                <w:b/>
                <w:sz w:val="22"/>
                <w:szCs w:val="22"/>
                <w:lang w:val="es-ES_tradnl" w:eastAsia="en-US"/>
              </w:rPr>
              <w:t>Offering</w:t>
            </w:r>
            <w:proofErr w:type="spellEnd"/>
            <w:r>
              <w:rPr>
                <w:b/>
                <w:sz w:val="22"/>
                <w:szCs w:val="22"/>
                <w:lang w:val="es-ES_tradnl" w:eastAsia="en-US"/>
              </w:rPr>
              <w:t xml:space="preserve"> and </w:t>
            </w:r>
            <w:proofErr w:type="spellStart"/>
            <w:r>
              <w:rPr>
                <w:b/>
                <w:sz w:val="22"/>
                <w:szCs w:val="22"/>
                <w:lang w:val="es-ES_tradnl" w:eastAsia="en-US"/>
              </w:rPr>
              <w:t>payment</w:t>
            </w:r>
            <w:proofErr w:type="spellEnd"/>
            <w:r>
              <w:rPr>
                <w:b/>
                <w:sz w:val="22"/>
                <w:szCs w:val="22"/>
                <w:lang w:val="es-ES_tradnl" w:eastAsia="en-US"/>
              </w:rPr>
              <w:t xml:space="preserve"> </w:t>
            </w:r>
            <w:proofErr w:type="spellStart"/>
            <w:r>
              <w:rPr>
                <w:b/>
                <w:sz w:val="22"/>
                <w:szCs w:val="22"/>
                <w:lang w:val="es-ES_tradnl" w:eastAsia="en-US"/>
              </w:rPr>
              <w:t>currency</w:t>
            </w:r>
            <w:proofErr w:type="spellEnd"/>
            <w:r>
              <w:rPr>
                <w:sz w:val="22"/>
                <w:szCs w:val="22"/>
                <w:lang w:val="es-ES_tradnl" w:eastAsia="en-US"/>
              </w:rPr>
              <w:t>:</w:t>
            </w:r>
          </w:p>
          <w:p w14:paraId="519A7C72" w14:textId="77777777" w:rsidR="00E255F4" w:rsidRDefault="00E255F4">
            <w:pPr>
              <w:pStyle w:val="Textoindependiente"/>
              <w:spacing w:after="0"/>
              <w:ind w:left="34" w:right="33"/>
              <w:jc w:val="both"/>
              <w:rPr>
                <w:b/>
                <w:sz w:val="22"/>
                <w:szCs w:val="22"/>
                <w:u w:val="single"/>
                <w:lang w:val="es-ES" w:eastAsia="en-US"/>
              </w:rPr>
            </w:pPr>
          </w:p>
          <w:p w14:paraId="2EA502E6" w14:textId="77777777" w:rsidR="00E255F4" w:rsidRDefault="00000000">
            <w:pPr>
              <w:pStyle w:val="Textoindependiente"/>
              <w:spacing w:after="0"/>
              <w:ind w:right="33"/>
              <w:jc w:val="both"/>
              <w:rPr>
                <w:b/>
                <w:sz w:val="22"/>
                <w:szCs w:val="22"/>
                <w:u w:val="single"/>
                <w:lang w:val="es-ES" w:eastAsia="en-US"/>
              </w:rPr>
            </w:pPr>
            <w:proofErr w:type="spellStart"/>
            <w:r>
              <w:rPr>
                <w:b/>
                <w:sz w:val="22"/>
                <w:szCs w:val="22"/>
                <w:u w:val="single"/>
                <w:lang w:val="es-ES" w:eastAsia="en-US"/>
              </w:rPr>
              <w:t>Item</w:t>
            </w:r>
            <w:proofErr w:type="spellEnd"/>
            <w:r>
              <w:rPr>
                <w:b/>
                <w:sz w:val="22"/>
                <w:szCs w:val="22"/>
                <w:u w:val="single"/>
                <w:lang w:val="es-ES" w:eastAsia="en-US"/>
              </w:rPr>
              <w:t xml:space="preserve"> 1  </w:t>
            </w:r>
          </w:p>
          <w:p w14:paraId="0B6CF119" w14:textId="77777777" w:rsidR="00E255F4" w:rsidRDefault="00E255F4">
            <w:pPr>
              <w:pStyle w:val="Textoindependiente"/>
              <w:spacing w:after="0"/>
              <w:ind w:right="33"/>
              <w:jc w:val="both"/>
              <w:rPr>
                <w:b/>
                <w:sz w:val="22"/>
                <w:szCs w:val="22"/>
                <w:u w:val="single"/>
                <w:lang w:val="es-ES" w:eastAsia="en-US"/>
              </w:rPr>
            </w:pPr>
          </w:p>
          <w:p w14:paraId="6D6A00C1" w14:textId="77777777" w:rsidR="00E255F4" w:rsidRDefault="00000000">
            <w:pPr>
              <w:pStyle w:val="Textoindependiente"/>
              <w:spacing w:after="0"/>
              <w:ind w:right="33"/>
              <w:jc w:val="both"/>
              <w:rPr>
                <w:sz w:val="22"/>
                <w:szCs w:val="22"/>
                <w:lang w:val="es-UY"/>
              </w:rPr>
            </w:pPr>
            <w:r>
              <w:rPr>
                <w:sz w:val="22"/>
                <w:szCs w:val="22"/>
                <w:lang w:val="es-UY"/>
              </w:rPr>
              <w:t xml:space="preserve">For local </w:t>
            </w:r>
            <w:proofErr w:type="spellStart"/>
            <w:r>
              <w:rPr>
                <w:sz w:val="22"/>
                <w:szCs w:val="22"/>
                <w:lang w:val="es-UY"/>
              </w:rPr>
              <w:t>bids</w:t>
            </w:r>
            <w:proofErr w:type="spellEnd"/>
            <w:r>
              <w:rPr>
                <w:sz w:val="22"/>
                <w:szCs w:val="22"/>
                <w:lang w:val="es-UY"/>
              </w:rPr>
              <w:t xml:space="preserve"> (</w:t>
            </w:r>
            <w:proofErr w:type="spellStart"/>
            <w:r>
              <w:rPr>
                <w:sz w:val="22"/>
                <w:szCs w:val="22"/>
                <w:lang w:val="es-UY"/>
              </w:rPr>
              <w:t>of</w:t>
            </w:r>
            <w:proofErr w:type="spellEnd"/>
            <w:r>
              <w:rPr>
                <w:sz w:val="22"/>
                <w:szCs w:val="22"/>
                <w:lang w:val="es-UY"/>
              </w:rPr>
              <w:t xml:space="preserve"> </w:t>
            </w:r>
            <w:proofErr w:type="spellStart"/>
            <w:r>
              <w:rPr>
                <w:sz w:val="22"/>
                <w:szCs w:val="22"/>
                <w:lang w:val="es-UY"/>
              </w:rPr>
              <w:t>domestically</w:t>
            </w:r>
            <w:proofErr w:type="spellEnd"/>
            <w:r>
              <w:rPr>
                <w:sz w:val="22"/>
                <w:szCs w:val="22"/>
                <w:lang w:val="es-UY"/>
              </w:rPr>
              <w:t xml:space="preserve"> </w:t>
            </w:r>
            <w:proofErr w:type="spellStart"/>
            <w:r>
              <w:rPr>
                <w:sz w:val="22"/>
                <w:szCs w:val="22"/>
                <w:lang w:val="es-UY"/>
              </w:rPr>
              <w:t>manufactured</w:t>
            </w:r>
            <w:proofErr w:type="spellEnd"/>
            <w:r>
              <w:rPr>
                <w:sz w:val="22"/>
                <w:szCs w:val="22"/>
                <w:lang w:val="es-UY"/>
              </w:rPr>
              <w:t xml:space="preserve"> </w:t>
            </w:r>
            <w:proofErr w:type="spellStart"/>
            <w:r>
              <w:rPr>
                <w:sz w:val="22"/>
                <w:szCs w:val="22"/>
                <w:lang w:val="es-UY"/>
              </w:rPr>
              <w:t>or</w:t>
            </w:r>
            <w:proofErr w:type="spellEnd"/>
            <w:r>
              <w:rPr>
                <w:sz w:val="22"/>
                <w:szCs w:val="22"/>
                <w:lang w:val="es-UY"/>
              </w:rPr>
              <w:t xml:space="preserve"> </w:t>
            </w:r>
            <w:proofErr w:type="spellStart"/>
            <w:r>
              <w:rPr>
                <w:sz w:val="22"/>
                <w:szCs w:val="22"/>
                <w:lang w:val="es-UY"/>
              </w:rPr>
              <w:t>imported</w:t>
            </w:r>
            <w:proofErr w:type="spellEnd"/>
            <w:r>
              <w:rPr>
                <w:sz w:val="22"/>
                <w:szCs w:val="22"/>
                <w:lang w:val="es-UY"/>
              </w:rPr>
              <w:t xml:space="preserve"> </w:t>
            </w:r>
            <w:proofErr w:type="spellStart"/>
            <w:r>
              <w:rPr>
                <w:sz w:val="22"/>
                <w:szCs w:val="22"/>
                <w:lang w:val="es-UY"/>
              </w:rPr>
              <w:t>goods</w:t>
            </w:r>
            <w:proofErr w:type="spellEnd"/>
            <w:r>
              <w:rPr>
                <w:sz w:val="22"/>
                <w:szCs w:val="22"/>
                <w:lang w:val="es-UY"/>
              </w:rPr>
              <w:t xml:space="preserve">), </w:t>
            </w:r>
            <w:proofErr w:type="spellStart"/>
            <w:r>
              <w:rPr>
                <w:sz w:val="22"/>
                <w:szCs w:val="22"/>
                <w:lang w:val="es-UY"/>
              </w:rPr>
              <w:t>the</w:t>
            </w:r>
            <w:proofErr w:type="spellEnd"/>
            <w:r>
              <w:rPr>
                <w:sz w:val="22"/>
                <w:szCs w:val="22"/>
                <w:lang w:val="es-UY"/>
              </w:rPr>
              <w:t xml:space="preserve"> </w:t>
            </w:r>
            <w:proofErr w:type="spellStart"/>
            <w:r>
              <w:rPr>
                <w:sz w:val="22"/>
                <w:szCs w:val="22"/>
                <w:lang w:val="es-UY"/>
              </w:rPr>
              <w:t>bid</w:t>
            </w:r>
            <w:proofErr w:type="spellEnd"/>
            <w:r>
              <w:rPr>
                <w:sz w:val="22"/>
                <w:szCs w:val="22"/>
                <w:lang w:val="es-UY"/>
              </w:rPr>
              <w:t xml:space="preserve"> and </w:t>
            </w:r>
            <w:proofErr w:type="spellStart"/>
            <w:r>
              <w:rPr>
                <w:sz w:val="22"/>
                <w:szCs w:val="22"/>
                <w:lang w:val="es-UY"/>
              </w:rPr>
              <w:t>payment</w:t>
            </w:r>
            <w:proofErr w:type="spellEnd"/>
            <w:r>
              <w:rPr>
                <w:sz w:val="22"/>
                <w:szCs w:val="22"/>
                <w:lang w:val="es-UY"/>
              </w:rPr>
              <w:t xml:space="preserve"> </w:t>
            </w:r>
            <w:proofErr w:type="spellStart"/>
            <w:r>
              <w:rPr>
                <w:sz w:val="22"/>
                <w:szCs w:val="22"/>
                <w:lang w:val="es-UY"/>
              </w:rPr>
              <w:t>currency</w:t>
            </w:r>
            <w:proofErr w:type="spellEnd"/>
            <w:r>
              <w:rPr>
                <w:sz w:val="22"/>
                <w:szCs w:val="22"/>
                <w:lang w:val="es-UY"/>
              </w:rPr>
              <w:t xml:space="preserve"> </w:t>
            </w:r>
            <w:proofErr w:type="spellStart"/>
            <w:r>
              <w:rPr>
                <w:sz w:val="22"/>
                <w:szCs w:val="22"/>
                <w:lang w:val="es-UY"/>
              </w:rPr>
              <w:t>will</w:t>
            </w:r>
            <w:proofErr w:type="spellEnd"/>
            <w:r>
              <w:rPr>
                <w:sz w:val="22"/>
                <w:szCs w:val="22"/>
                <w:lang w:val="es-UY"/>
              </w:rPr>
              <w:t xml:space="preserve"> be </w:t>
            </w:r>
            <w:proofErr w:type="spellStart"/>
            <w:r>
              <w:rPr>
                <w:sz w:val="22"/>
                <w:szCs w:val="22"/>
                <w:lang w:val="es-UY"/>
              </w:rPr>
              <w:t>Uruguayan</w:t>
            </w:r>
            <w:proofErr w:type="spellEnd"/>
            <w:r>
              <w:rPr>
                <w:sz w:val="22"/>
                <w:szCs w:val="22"/>
                <w:lang w:val="es-UY"/>
              </w:rPr>
              <w:t xml:space="preserve"> pesos, US </w:t>
            </w:r>
            <w:proofErr w:type="spellStart"/>
            <w:r>
              <w:rPr>
                <w:sz w:val="22"/>
                <w:szCs w:val="22"/>
                <w:lang w:val="es-UY"/>
              </w:rPr>
              <w:t>dollars</w:t>
            </w:r>
            <w:proofErr w:type="spellEnd"/>
            <w:r>
              <w:rPr>
                <w:sz w:val="22"/>
                <w:szCs w:val="22"/>
                <w:lang w:val="es-UY"/>
              </w:rPr>
              <w:t xml:space="preserve">, </w:t>
            </w:r>
            <w:proofErr w:type="spellStart"/>
            <w:r>
              <w:rPr>
                <w:sz w:val="22"/>
                <w:szCs w:val="22"/>
                <w:lang w:val="es-UY"/>
              </w:rPr>
              <w:t>or</w:t>
            </w:r>
            <w:proofErr w:type="spellEnd"/>
            <w:r>
              <w:rPr>
                <w:sz w:val="22"/>
                <w:szCs w:val="22"/>
                <w:lang w:val="es-UY"/>
              </w:rPr>
              <w:t xml:space="preserve"> euros. </w:t>
            </w:r>
            <w:proofErr w:type="spellStart"/>
            <w:r>
              <w:rPr>
                <w:sz w:val="22"/>
                <w:szCs w:val="22"/>
                <w:lang w:val="es-UY"/>
              </w:rPr>
              <w:t>Bidders</w:t>
            </w:r>
            <w:proofErr w:type="spellEnd"/>
            <w:r>
              <w:rPr>
                <w:sz w:val="22"/>
                <w:szCs w:val="22"/>
                <w:lang w:val="es-UY"/>
              </w:rPr>
              <w:t xml:space="preserve"> </w:t>
            </w:r>
            <w:proofErr w:type="spellStart"/>
            <w:r>
              <w:rPr>
                <w:sz w:val="22"/>
                <w:szCs w:val="22"/>
                <w:lang w:val="es-UY"/>
              </w:rPr>
              <w:t>should</w:t>
            </w:r>
            <w:proofErr w:type="spellEnd"/>
            <w:r>
              <w:rPr>
                <w:sz w:val="22"/>
                <w:szCs w:val="22"/>
                <w:lang w:val="es-UY"/>
              </w:rPr>
              <w:t xml:space="preserve"> note </w:t>
            </w:r>
            <w:proofErr w:type="spellStart"/>
            <w:r>
              <w:rPr>
                <w:sz w:val="22"/>
                <w:szCs w:val="22"/>
                <w:lang w:val="es-UY"/>
              </w:rPr>
              <w:t>that</w:t>
            </w:r>
            <w:proofErr w:type="spellEnd"/>
            <w:r>
              <w:rPr>
                <w:sz w:val="22"/>
                <w:szCs w:val="22"/>
                <w:lang w:val="es-UY"/>
              </w:rPr>
              <w:t xml:space="preserve"> </w:t>
            </w:r>
            <w:proofErr w:type="spellStart"/>
            <w:r>
              <w:rPr>
                <w:sz w:val="22"/>
                <w:szCs w:val="22"/>
                <w:lang w:val="es-UY"/>
              </w:rPr>
              <w:t>bids</w:t>
            </w:r>
            <w:proofErr w:type="spellEnd"/>
            <w:r>
              <w:rPr>
                <w:sz w:val="22"/>
                <w:szCs w:val="22"/>
                <w:lang w:val="es-UY"/>
              </w:rPr>
              <w:t xml:space="preserve"> </w:t>
            </w:r>
            <w:proofErr w:type="spellStart"/>
            <w:r>
              <w:rPr>
                <w:sz w:val="22"/>
                <w:szCs w:val="22"/>
                <w:lang w:val="es-UY"/>
              </w:rPr>
              <w:t>quoted</w:t>
            </w:r>
            <w:proofErr w:type="spellEnd"/>
            <w:r>
              <w:rPr>
                <w:sz w:val="22"/>
                <w:szCs w:val="22"/>
                <w:lang w:val="es-UY"/>
              </w:rPr>
              <w:t xml:space="preserve"> in </w:t>
            </w:r>
            <w:proofErr w:type="spellStart"/>
            <w:r>
              <w:rPr>
                <w:sz w:val="22"/>
                <w:szCs w:val="22"/>
                <w:lang w:val="es-UY"/>
              </w:rPr>
              <w:t>currencies</w:t>
            </w:r>
            <w:proofErr w:type="spellEnd"/>
            <w:r>
              <w:rPr>
                <w:sz w:val="22"/>
                <w:szCs w:val="22"/>
                <w:lang w:val="es-UY"/>
              </w:rPr>
              <w:t xml:space="preserve"> </w:t>
            </w:r>
            <w:proofErr w:type="spellStart"/>
            <w:r>
              <w:rPr>
                <w:sz w:val="22"/>
                <w:szCs w:val="22"/>
                <w:lang w:val="es-UY"/>
              </w:rPr>
              <w:t>other</w:t>
            </w:r>
            <w:proofErr w:type="spellEnd"/>
            <w:r>
              <w:rPr>
                <w:sz w:val="22"/>
                <w:szCs w:val="22"/>
                <w:lang w:val="es-UY"/>
              </w:rPr>
              <w:t xml:space="preserve"> </w:t>
            </w:r>
            <w:proofErr w:type="spellStart"/>
            <w:r>
              <w:rPr>
                <w:sz w:val="22"/>
                <w:szCs w:val="22"/>
                <w:lang w:val="es-UY"/>
              </w:rPr>
              <w:t>than</w:t>
            </w:r>
            <w:proofErr w:type="spellEnd"/>
            <w:r>
              <w:rPr>
                <w:sz w:val="22"/>
                <w:szCs w:val="22"/>
                <w:lang w:val="es-UY"/>
              </w:rPr>
              <w:t xml:space="preserve"> </w:t>
            </w:r>
            <w:proofErr w:type="spellStart"/>
            <w:r>
              <w:rPr>
                <w:sz w:val="22"/>
                <w:szCs w:val="22"/>
                <w:lang w:val="es-UY"/>
              </w:rPr>
              <w:t>those</w:t>
            </w:r>
            <w:proofErr w:type="spellEnd"/>
            <w:r>
              <w:rPr>
                <w:sz w:val="22"/>
                <w:szCs w:val="22"/>
                <w:lang w:val="es-UY"/>
              </w:rPr>
              <w:t xml:space="preserve"> </w:t>
            </w:r>
            <w:proofErr w:type="spellStart"/>
            <w:r>
              <w:rPr>
                <w:sz w:val="22"/>
                <w:szCs w:val="22"/>
                <w:lang w:val="es-UY"/>
              </w:rPr>
              <w:t>listed</w:t>
            </w:r>
            <w:proofErr w:type="spellEnd"/>
            <w:r>
              <w:rPr>
                <w:sz w:val="22"/>
                <w:szCs w:val="22"/>
                <w:lang w:val="es-UY"/>
              </w:rPr>
              <w:t xml:space="preserve"> </w:t>
            </w:r>
            <w:proofErr w:type="spellStart"/>
            <w:r>
              <w:rPr>
                <w:sz w:val="22"/>
                <w:szCs w:val="22"/>
                <w:lang w:val="es-UY"/>
              </w:rPr>
              <w:t>above</w:t>
            </w:r>
            <w:proofErr w:type="spellEnd"/>
            <w:r>
              <w:rPr>
                <w:sz w:val="22"/>
                <w:szCs w:val="22"/>
                <w:lang w:val="es-UY"/>
              </w:rPr>
              <w:t xml:space="preserve"> </w:t>
            </w:r>
            <w:proofErr w:type="spellStart"/>
            <w:r>
              <w:rPr>
                <w:sz w:val="22"/>
                <w:szCs w:val="22"/>
                <w:lang w:val="es-UY"/>
              </w:rPr>
              <w:t>will</w:t>
            </w:r>
            <w:proofErr w:type="spellEnd"/>
            <w:r>
              <w:rPr>
                <w:sz w:val="22"/>
                <w:szCs w:val="22"/>
                <w:lang w:val="es-UY"/>
              </w:rPr>
              <w:t xml:space="preserve"> be </w:t>
            </w:r>
            <w:proofErr w:type="spellStart"/>
            <w:r>
              <w:rPr>
                <w:sz w:val="22"/>
                <w:szCs w:val="22"/>
                <w:lang w:val="es-UY"/>
              </w:rPr>
              <w:t>rejected</w:t>
            </w:r>
            <w:proofErr w:type="spellEnd"/>
            <w:r>
              <w:rPr>
                <w:sz w:val="22"/>
                <w:szCs w:val="22"/>
                <w:lang w:val="es-UY"/>
              </w:rPr>
              <w:t>.</w:t>
            </w:r>
          </w:p>
          <w:p w14:paraId="16ABE08E" w14:textId="77777777" w:rsidR="00E255F4" w:rsidRDefault="00E255F4">
            <w:pPr>
              <w:pStyle w:val="Textoindependiente"/>
              <w:spacing w:after="0"/>
              <w:ind w:right="33"/>
              <w:jc w:val="both"/>
              <w:rPr>
                <w:sz w:val="22"/>
                <w:szCs w:val="22"/>
                <w:lang w:val="es-UY"/>
              </w:rPr>
            </w:pPr>
          </w:p>
          <w:p w14:paraId="5AD2658D" w14:textId="77777777" w:rsidR="00E255F4" w:rsidRDefault="00000000">
            <w:pPr>
              <w:shd w:val="clear" w:color="auto" w:fill="FFFFFF"/>
              <w:spacing w:line="240" w:lineRule="auto"/>
              <w:jc w:val="both"/>
              <w:rPr>
                <w:sz w:val="22"/>
                <w:szCs w:val="22"/>
                <w:lang w:val="es-ES" w:eastAsia="es-UY"/>
              </w:rPr>
            </w:pPr>
            <w:r>
              <w:rPr>
                <w:sz w:val="22"/>
                <w:szCs w:val="22"/>
                <w:lang w:val="es-ES" w:eastAsia="es-UY"/>
              </w:rPr>
              <w:t xml:space="preserve">For </w:t>
            </w:r>
            <w:proofErr w:type="spellStart"/>
            <w:r>
              <w:rPr>
                <w:sz w:val="22"/>
                <w:szCs w:val="22"/>
                <w:lang w:val="es-ES" w:eastAsia="es-UY"/>
              </w:rPr>
              <w:t>bids</w:t>
            </w:r>
            <w:proofErr w:type="spellEnd"/>
            <w:r>
              <w:rPr>
                <w:sz w:val="22"/>
                <w:szCs w:val="22"/>
                <w:lang w:val="es-ES" w:eastAsia="es-UY"/>
              </w:rPr>
              <w:t xml:space="preserve"> </w:t>
            </w:r>
            <w:proofErr w:type="spellStart"/>
            <w:r>
              <w:rPr>
                <w:sz w:val="22"/>
                <w:szCs w:val="22"/>
                <w:lang w:val="es-ES" w:eastAsia="es-UY"/>
              </w:rPr>
              <w:t>for</w:t>
            </w:r>
            <w:proofErr w:type="spellEnd"/>
            <w:r>
              <w:rPr>
                <w:sz w:val="22"/>
                <w:szCs w:val="22"/>
                <w:lang w:val="es-ES" w:eastAsia="es-UY"/>
              </w:rPr>
              <w:t xml:space="preserve"> </w:t>
            </w:r>
            <w:proofErr w:type="spellStart"/>
            <w:r>
              <w:rPr>
                <w:sz w:val="22"/>
                <w:szCs w:val="22"/>
                <w:lang w:val="es-ES" w:eastAsia="es-UY"/>
              </w:rPr>
              <w:t>goods</w:t>
            </w:r>
            <w:proofErr w:type="spellEnd"/>
            <w:r>
              <w:rPr>
                <w:sz w:val="22"/>
                <w:szCs w:val="22"/>
                <w:lang w:val="es-ES" w:eastAsia="es-UY"/>
              </w:rPr>
              <w:t xml:space="preserve"> </w:t>
            </w:r>
            <w:proofErr w:type="spellStart"/>
            <w:r>
              <w:rPr>
                <w:sz w:val="22"/>
                <w:szCs w:val="22"/>
                <w:lang w:val="es-ES" w:eastAsia="es-UY"/>
              </w:rPr>
              <w:t>to</w:t>
            </w:r>
            <w:proofErr w:type="spellEnd"/>
            <w:r>
              <w:rPr>
                <w:sz w:val="22"/>
                <w:szCs w:val="22"/>
                <w:lang w:val="es-ES" w:eastAsia="es-UY"/>
              </w:rPr>
              <w:t xml:space="preserve"> be </w:t>
            </w:r>
            <w:proofErr w:type="spellStart"/>
            <w:r>
              <w:rPr>
                <w:sz w:val="22"/>
                <w:szCs w:val="22"/>
                <w:lang w:val="es-ES" w:eastAsia="es-UY"/>
              </w:rPr>
              <w:t>imported</w:t>
            </w:r>
            <w:proofErr w:type="spellEnd"/>
            <w:r>
              <w:rPr>
                <w:sz w:val="22"/>
                <w:szCs w:val="22"/>
                <w:lang w:val="es-ES" w:eastAsia="es-UY"/>
              </w:rPr>
              <w:t xml:space="preserve"> </w:t>
            </w:r>
            <w:proofErr w:type="spellStart"/>
            <w:r>
              <w:rPr>
                <w:sz w:val="22"/>
                <w:szCs w:val="22"/>
                <w:lang w:val="es-ES" w:eastAsia="es-UY"/>
              </w:rPr>
              <w:t>by</w:t>
            </w:r>
            <w:proofErr w:type="spellEnd"/>
            <w:r>
              <w:rPr>
                <w:sz w:val="22"/>
                <w:szCs w:val="22"/>
                <w:lang w:val="es-ES" w:eastAsia="es-UY"/>
              </w:rPr>
              <w:t xml:space="preserve"> OSE, </w:t>
            </w:r>
            <w:proofErr w:type="spellStart"/>
            <w:r>
              <w:rPr>
                <w:sz w:val="22"/>
                <w:szCs w:val="22"/>
                <w:lang w:val="es-ES" w:eastAsia="es-UY"/>
              </w:rPr>
              <w:t>the</w:t>
            </w:r>
            <w:proofErr w:type="spellEnd"/>
            <w:r>
              <w:rPr>
                <w:sz w:val="22"/>
                <w:szCs w:val="22"/>
                <w:lang w:val="es-ES" w:eastAsia="es-UY"/>
              </w:rPr>
              <w:t xml:space="preserve"> </w:t>
            </w:r>
            <w:proofErr w:type="spellStart"/>
            <w:r>
              <w:rPr>
                <w:sz w:val="22"/>
                <w:szCs w:val="22"/>
                <w:lang w:val="es-ES" w:eastAsia="es-UY"/>
              </w:rPr>
              <w:t>currency</w:t>
            </w:r>
            <w:proofErr w:type="spellEnd"/>
            <w:r>
              <w:rPr>
                <w:sz w:val="22"/>
                <w:szCs w:val="22"/>
                <w:lang w:val="es-ES" w:eastAsia="es-UY"/>
              </w:rPr>
              <w:t xml:space="preserve"> </w:t>
            </w:r>
            <w:proofErr w:type="spellStart"/>
            <w:r>
              <w:rPr>
                <w:sz w:val="22"/>
                <w:szCs w:val="22"/>
                <w:lang w:val="es-ES" w:eastAsia="es-UY"/>
              </w:rPr>
              <w:t>for</w:t>
            </w:r>
            <w:proofErr w:type="spellEnd"/>
            <w:r>
              <w:rPr>
                <w:sz w:val="22"/>
                <w:szCs w:val="22"/>
                <w:lang w:val="es-ES" w:eastAsia="es-UY"/>
              </w:rPr>
              <w:t xml:space="preserve"> </w:t>
            </w:r>
            <w:proofErr w:type="spellStart"/>
            <w:r>
              <w:rPr>
                <w:sz w:val="22"/>
                <w:szCs w:val="22"/>
                <w:lang w:val="es-ES" w:eastAsia="es-UY"/>
              </w:rPr>
              <w:t>both</w:t>
            </w:r>
            <w:proofErr w:type="spellEnd"/>
            <w:r>
              <w:rPr>
                <w:sz w:val="22"/>
                <w:szCs w:val="22"/>
                <w:lang w:val="es-ES" w:eastAsia="es-UY"/>
              </w:rPr>
              <w:t xml:space="preserve"> </w:t>
            </w:r>
            <w:proofErr w:type="spellStart"/>
            <w:r>
              <w:rPr>
                <w:sz w:val="22"/>
                <w:szCs w:val="22"/>
                <w:lang w:val="es-ES" w:eastAsia="es-UY"/>
              </w:rPr>
              <w:t>bids</w:t>
            </w:r>
            <w:proofErr w:type="spellEnd"/>
            <w:r>
              <w:rPr>
                <w:sz w:val="22"/>
                <w:szCs w:val="22"/>
                <w:lang w:val="es-ES" w:eastAsia="es-UY"/>
              </w:rPr>
              <w:t xml:space="preserve"> and </w:t>
            </w:r>
            <w:proofErr w:type="spellStart"/>
            <w:r>
              <w:rPr>
                <w:sz w:val="22"/>
                <w:szCs w:val="22"/>
                <w:lang w:val="es-ES" w:eastAsia="es-UY"/>
              </w:rPr>
              <w:t>payment</w:t>
            </w:r>
            <w:proofErr w:type="spellEnd"/>
            <w:r>
              <w:rPr>
                <w:sz w:val="22"/>
                <w:szCs w:val="22"/>
                <w:lang w:val="es-ES" w:eastAsia="es-UY"/>
              </w:rPr>
              <w:t xml:space="preserve"> </w:t>
            </w:r>
            <w:proofErr w:type="spellStart"/>
            <w:r>
              <w:rPr>
                <w:sz w:val="22"/>
                <w:szCs w:val="22"/>
                <w:lang w:val="es-ES" w:eastAsia="es-UY"/>
              </w:rPr>
              <w:t>will</w:t>
            </w:r>
            <w:proofErr w:type="spellEnd"/>
            <w:r>
              <w:rPr>
                <w:sz w:val="22"/>
                <w:szCs w:val="22"/>
                <w:lang w:val="es-ES" w:eastAsia="es-UY"/>
              </w:rPr>
              <w:t xml:space="preserve"> be US </w:t>
            </w:r>
            <w:proofErr w:type="spellStart"/>
            <w:r>
              <w:rPr>
                <w:sz w:val="22"/>
                <w:szCs w:val="22"/>
                <w:lang w:val="es-ES" w:eastAsia="es-UY"/>
              </w:rPr>
              <w:t>dollars</w:t>
            </w:r>
            <w:proofErr w:type="spellEnd"/>
            <w:r>
              <w:rPr>
                <w:sz w:val="22"/>
                <w:szCs w:val="22"/>
                <w:lang w:val="es-ES" w:eastAsia="es-UY"/>
              </w:rPr>
              <w:t xml:space="preserve"> </w:t>
            </w:r>
            <w:proofErr w:type="spellStart"/>
            <w:r>
              <w:rPr>
                <w:sz w:val="22"/>
                <w:szCs w:val="22"/>
                <w:lang w:val="es-ES" w:eastAsia="es-UY"/>
              </w:rPr>
              <w:t>or</w:t>
            </w:r>
            <w:proofErr w:type="spellEnd"/>
            <w:r>
              <w:rPr>
                <w:sz w:val="22"/>
                <w:szCs w:val="22"/>
                <w:lang w:val="es-ES" w:eastAsia="es-UY"/>
              </w:rPr>
              <w:t xml:space="preserve"> euros. </w:t>
            </w:r>
            <w:proofErr w:type="spellStart"/>
            <w:r>
              <w:rPr>
                <w:sz w:val="22"/>
                <w:szCs w:val="22"/>
                <w:lang w:val="es-ES" w:eastAsia="es-UY"/>
              </w:rPr>
              <w:t>Bidders</w:t>
            </w:r>
            <w:proofErr w:type="spellEnd"/>
            <w:r>
              <w:rPr>
                <w:sz w:val="22"/>
                <w:szCs w:val="22"/>
                <w:lang w:val="es-ES" w:eastAsia="es-UY"/>
              </w:rPr>
              <w:t xml:space="preserve"> </w:t>
            </w:r>
            <w:proofErr w:type="spellStart"/>
            <w:r>
              <w:rPr>
                <w:sz w:val="22"/>
                <w:szCs w:val="22"/>
                <w:lang w:val="es-ES" w:eastAsia="es-UY"/>
              </w:rPr>
              <w:t>should</w:t>
            </w:r>
            <w:proofErr w:type="spellEnd"/>
            <w:r>
              <w:rPr>
                <w:sz w:val="22"/>
                <w:szCs w:val="22"/>
                <w:lang w:val="es-ES" w:eastAsia="es-UY"/>
              </w:rPr>
              <w:t xml:space="preserve"> be </w:t>
            </w:r>
            <w:proofErr w:type="spellStart"/>
            <w:r>
              <w:rPr>
                <w:sz w:val="22"/>
                <w:szCs w:val="22"/>
                <w:lang w:val="es-ES" w:eastAsia="es-UY"/>
              </w:rPr>
              <w:t>aware</w:t>
            </w:r>
            <w:proofErr w:type="spellEnd"/>
            <w:r>
              <w:rPr>
                <w:sz w:val="22"/>
                <w:szCs w:val="22"/>
                <w:lang w:val="es-ES" w:eastAsia="es-UY"/>
              </w:rPr>
              <w:t xml:space="preserve"> </w:t>
            </w:r>
            <w:proofErr w:type="spellStart"/>
            <w:r>
              <w:rPr>
                <w:sz w:val="22"/>
                <w:szCs w:val="22"/>
                <w:lang w:val="es-ES" w:eastAsia="es-UY"/>
              </w:rPr>
              <w:t>that</w:t>
            </w:r>
            <w:proofErr w:type="spellEnd"/>
            <w:r>
              <w:rPr>
                <w:sz w:val="22"/>
                <w:szCs w:val="22"/>
                <w:lang w:val="es-ES" w:eastAsia="es-UY"/>
              </w:rPr>
              <w:t xml:space="preserve"> </w:t>
            </w:r>
            <w:proofErr w:type="spellStart"/>
            <w:r>
              <w:rPr>
                <w:sz w:val="22"/>
                <w:szCs w:val="22"/>
                <w:lang w:val="es-ES" w:eastAsia="es-UY"/>
              </w:rPr>
              <w:t>bids</w:t>
            </w:r>
            <w:proofErr w:type="spellEnd"/>
            <w:r>
              <w:rPr>
                <w:sz w:val="22"/>
                <w:szCs w:val="22"/>
                <w:lang w:val="es-ES" w:eastAsia="es-UY"/>
              </w:rPr>
              <w:t xml:space="preserve"> </w:t>
            </w:r>
            <w:proofErr w:type="spellStart"/>
            <w:r>
              <w:rPr>
                <w:sz w:val="22"/>
                <w:szCs w:val="22"/>
                <w:lang w:val="es-ES" w:eastAsia="es-UY"/>
              </w:rPr>
              <w:t>quoted</w:t>
            </w:r>
            <w:proofErr w:type="spellEnd"/>
            <w:r>
              <w:rPr>
                <w:sz w:val="22"/>
                <w:szCs w:val="22"/>
                <w:lang w:val="es-ES" w:eastAsia="es-UY"/>
              </w:rPr>
              <w:t xml:space="preserve"> in </w:t>
            </w:r>
            <w:proofErr w:type="spellStart"/>
            <w:r>
              <w:rPr>
                <w:sz w:val="22"/>
                <w:szCs w:val="22"/>
                <w:lang w:val="es-ES" w:eastAsia="es-UY"/>
              </w:rPr>
              <w:t>any</w:t>
            </w:r>
            <w:proofErr w:type="spellEnd"/>
            <w:r>
              <w:rPr>
                <w:sz w:val="22"/>
                <w:szCs w:val="22"/>
                <w:lang w:val="es-ES" w:eastAsia="es-UY"/>
              </w:rPr>
              <w:t xml:space="preserve"> </w:t>
            </w:r>
            <w:proofErr w:type="spellStart"/>
            <w:r>
              <w:rPr>
                <w:sz w:val="22"/>
                <w:szCs w:val="22"/>
                <w:lang w:val="es-ES" w:eastAsia="es-UY"/>
              </w:rPr>
              <w:t>other</w:t>
            </w:r>
            <w:proofErr w:type="spellEnd"/>
            <w:r>
              <w:rPr>
                <w:sz w:val="22"/>
                <w:szCs w:val="22"/>
                <w:lang w:val="es-ES" w:eastAsia="es-UY"/>
              </w:rPr>
              <w:t xml:space="preserve"> </w:t>
            </w:r>
            <w:proofErr w:type="spellStart"/>
            <w:r>
              <w:rPr>
                <w:sz w:val="22"/>
                <w:szCs w:val="22"/>
                <w:lang w:val="es-ES" w:eastAsia="es-UY"/>
              </w:rPr>
              <w:t>currency</w:t>
            </w:r>
            <w:proofErr w:type="spellEnd"/>
            <w:r>
              <w:rPr>
                <w:sz w:val="22"/>
                <w:szCs w:val="22"/>
                <w:lang w:val="es-ES" w:eastAsia="es-UY"/>
              </w:rPr>
              <w:t xml:space="preserve"> </w:t>
            </w:r>
            <w:proofErr w:type="spellStart"/>
            <w:r>
              <w:rPr>
                <w:sz w:val="22"/>
                <w:szCs w:val="22"/>
                <w:lang w:val="es-ES" w:eastAsia="es-UY"/>
              </w:rPr>
              <w:t>will</w:t>
            </w:r>
            <w:proofErr w:type="spellEnd"/>
            <w:r>
              <w:rPr>
                <w:sz w:val="22"/>
                <w:szCs w:val="22"/>
                <w:lang w:val="es-ES" w:eastAsia="es-UY"/>
              </w:rPr>
              <w:t xml:space="preserve"> be </w:t>
            </w:r>
            <w:proofErr w:type="spellStart"/>
            <w:r>
              <w:rPr>
                <w:sz w:val="22"/>
                <w:szCs w:val="22"/>
                <w:lang w:val="es-ES" w:eastAsia="es-UY"/>
              </w:rPr>
              <w:t>rejected</w:t>
            </w:r>
            <w:proofErr w:type="spellEnd"/>
            <w:r>
              <w:rPr>
                <w:sz w:val="22"/>
                <w:szCs w:val="22"/>
                <w:lang w:val="es-ES" w:eastAsia="es-UY"/>
              </w:rPr>
              <w:t>.</w:t>
            </w:r>
          </w:p>
          <w:p w14:paraId="548EB461" w14:textId="77777777" w:rsidR="00E255F4" w:rsidRDefault="00E255F4">
            <w:pPr>
              <w:shd w:val="clear" w:color="auto" w:fill="FFFFFF"/>
              <w:spacing w:line="240" w:lineRule="auto"/>
              <w:jc w:val="both"/>
              <w:rPr>
                <w:b/>
                <w:sz w:val="22"/>
                <w:szCs w:val="22"/>
                <w:u w:val="single"/>
                <w:lang w:val="es-ES" w:eastAsia="es-UY"/>
              </w:rPr>
            </w:pPr>
          </w:p>
          <w:p w14:paraId="01AAC522" w14:textId="77777777" w:rsidR="00E255F4" w:rsidRDefault="00000000">
            <w:pPr>
              <w:shd w:val="clear" w:color="auto" w:fill="FFFFFF"/>
              <w:spacing w:line="240" w:lineRule="auto"/>
              <w:jc w:val="both"/>
              <w:rPr>
                <w:b/>
                <w:sz w:val="22"/>
                <w:szCs w:val="22"/>
                <w:u w:val="single"/>
                <w:lang w:val="es-ES" w:eastAsia="es-UY"/>
              </w:rPr>
            </w:pPr>
            <w:proofErr w:type="spellStart"/>
            <w:r>
              <w:rPr>
                <w:b/>
                <w:sz w:val="22"/>
                <w:szCs w:val="22"/>
                <w:u w:val="single"/>
                <w:lang w:val="es-ES" w:eastAsia="es-UY"/>
              </w:rPr>
              <w:t>Items</w:t>
            </w:r>
            <w:proofErr w:type="spellEnd"/>
            <w:r>
              <w:rPr>
                <w:b/>
                <w:sz w:val="22"/>
                <w:szCs w:val="22"/>
                <w:u w:val="single"/>
                <w:lang w:val="es-ES" w:eastAsia="es-UY"/>
              </w:rPr>
              <w:t xml:space="preserve"> 2 </w:t>
            </w:r>
            <w:proofErr w:type="spellStart"/>
            <w:r>
              <w:rPr>
                <w:b/>
                <w:sz w:val="22"/>
                <w:szCs w:val="22"/>
                <w:u w:val="single"/>
                <w:lang w:val="es-ES" w:eastAsia="es-UY"/>
              </w:rPr>
              <w:t>to</w:t>
            </w:r>
            <w:proofErr w:type="spellEnd"/>
            <w:r>
              <w:rPr>
                <w:b/>
                <w:sz w:val="22"/>
                <w:szCs w:val="22"/>
                <w:u w:val="single"/>
                <w:lang w:val="es-ES" w:eastAsia="es-UY"/>
              </w:rPr>
              <w:t xml:space="preserve"> 3</w:t>
            </w:r>
          </w:p>
          <w:p w14:paraId="0F595F4E" w14:textId="77777777" w:rsidR="00E255F4" w:rsidRDefault="00E255F4">
            <w:pPr>
              <w:shd w:val="clear" w:color="auto" w:fill="FFFFFF"/>
              <w:spacing w:line="240" w:lineRule="auto"/>
              <w:jc w:val="both"/>
              <w:rPr>
                <w:b/>
                <w:sz w:val="22"/>
                <w:szCs w:val="22"/>
                <w:u w:val="single"/>
                <w:lang w:val="es-ES" w:eastAsia="es-UY"/>
              </w:rPr>
            </w:pPr>
          </w:p>
          <w:p w14:paraId="72A9DE6B" w14:textId="77777777" w:rsidR="00E255F4" w:rsidRDefault="00000000">
            <w:pPr>
              <w:shd w:val="clear" w:color="auto" w:fill="FFFFFF"/>
              <w:spacing w:line="240" w:lineRule="auto"/>
              <w:jc w:val="both"/>
            </w:pPr>
            <w:r>
              <w:rPr>
                <w:sz w:val="22"/>
                <w:szCs w:val="22"/>
                <w:lang w:val="es-ES" w:eastAsia="es-UY"/>
              </w:rPr>
              <w:t xml:space="preserve">The </w:t>
            </w:r>
            <w:proofErr w:type="spellStart"/>
            <w:r>
              <w:rPr>
                <w:sz w:val="22"/>
                <w:szCs w:val="22"/>
                <w:lang w:val="es-ES" w:eastAsia="es-UY"/>
              </w:rPr>
              <w:t>currency</w:t>
            </w:r>
            <w:proofErr w:type="spellEnd"/>
            <w:r>
              <w:rPr>
                <w:sz w:val="22"/>
                <w:szCs w:val="22"/>
                <w:lang w:val="es-ES" w:eastAsia="es-UY"/>
              </w:rPr>
              <w:t xml:space="preserve"> </w:t>
            </w:r>
            <w:proofErr w:type="spellStart"/>
            <w:r>
              <w:rPr>
                <w:sz w:val="22"/>
                <w:szCs w:val="22"/>
                <w:lang w:val="es-ES" w:eastAsia="es-UY"/>
              </w:rPr>
              <w:t>for</w:t>
            </w:r>
            <w:proofErr w:type="spellEnd"/>
            <w:r>
              <w:rPr>
                <w:sz w:val="22"/>
                <w:szCs w:val="22"/>
                <w:lang w:val="es-ES" w:eastAsia="es-UY"/>
              </w:rPr>
              <w:t xml:space="preserve"> </w:t>
            </w:r>
            <w:proofErr w:type="spellStart"/>
            <w:r>
              <w:rPr>
                <w:sz w:val="22"/>
                <w:szCs w:val="22"/>
                <w:lang w:val="es-ES" w:eastAsia="es-UY"/>
              </w:rPr>
              <w:t>both</w:t>
            </w:r>
            <w:proofErr w:type="spellEnd"/>
            <w:r>
              <w:rPr>
                <w:sz w:val="22"/>
                <w:szCs w:val="22"/>
                <w:lang w:val="es-ES" w:eastAsia="es-UY"/>
              </w:rPr>
              <w:t xml:space="preserve"> </w:t>
            </w:r>
            <w:proofErr w:type="spellStart"/>
            <w:r>
              <w:rPr>
                <w:sz w:val="22"/>
                <w:szCs w:val="22"/>
                <w:lang w:val="es-ES" w:eastAsia="es-UY"/>
              </w:rPr>
              <w:t>bids</w:t>
            </w:r>
            <w:proofErr w:type="spellEnd"/>
            <w:r>
              <w:rPr>
                <w:sz w:val="22"/>
                <w:szCs w:val="22"/>
                <w:lang w:val="es-ES" w:eastAsia="es-UY"/>
              </w:rPr>
              <w:t xml:space="preserve"> and </w:t>
            </w:r>
            <w:proofErr w:type="spellStart"/>
            <w:r>
              <w:rPr>
                <w:sz w:val="22"/>
                <w:szCs w:val="22"/>
                <w:lang w:val="es-ES" w:eastAsia="es-UY"/>
              </w:rPr>
              <w:t>payments</w:t>
            </w:r>
            <w:proofErr w:type="spellEnd"/>
            <w:r>
              <w:rPr>
                <w:sz w:val="22"/>
                <w:szCs w:val="22"/>
                <w:lang w:val="es-ES" w:eastAsia="es-UY"/>
              </w:rPr>
              <w:t xml:space="preserve"> </w:t>
            </w:r>
            <w:proofErr w:type="spellStart"/>
            <w:r>
              <w:rPr>
                <w:sz w:val="22"/>
                <w:szCs w:val="22"/>
                <w:lang w:val="es-ES" w:eastAsia="es-UY"/>
              </w:rPr>
              <w:t>will</w:t>
            </w:r>
            <w:proofErr w:type="spellEnd"/>
            <w:r>
              <w:rPr>
                <w:sz w:val="22"/>
                <w:szCs w:val="22"/>
                <w:lang w:val="es-ES" w:eastAsia="es-UY"/>
              </w:rPr>
              <w:t xml:space="preserve"> be </w:t>
            </w:r>
            <w:proofErr w:type="spellStart"/>
            <w:r>
              <w:rPr>
                <w:sz w:val="22"/>
                <w:szCs w:val="22"/>
                <w:lang w:val="es-ES" w:eastAsia="es-UY"/>
              </w:rPr>
              <w:t>Uruguayan</w:t>
            </w:r>
            <w:proofErr w:type="spellEnd"/>
            <w:r>
              <w:rPr>
                <w:sz w:val="22"/>
                <w:szCs w:val="22"/>
                <w:lang w:val="es-ES" w:eastAsia="es-UY"/>
              </w:rPr>
              <w:t xml:space="preserve"> pesos. </w:t>
            </w:r>
            <w:proofErr w:type="spellStart"/>
            <w:r>
              <w:rPr>
                <w:sz w:val="22"/>
                <w:szCs w:val="22"/>
                <w:lang w:val="es-ES" w:eastAsia="es-UY"/>
              </w:rPr>
              <w:t>Bidders</w:t>
            </w:r>
            <w:proofErr w:type="spellEnd"/>
            <w:r>
              <w:rPr>
                <w:sz w:val="22"/>
                <w:szCs w:val="22"/>
                <w:lang w:val="es-ES" w:eastAsia="es-UY"/>
              </w:rPr>
              <w:t xml:space="preserve"> </w:t>
            </w:r>
            <w:proofErr w:type="spellStart"/>
            <w:r>
              <w:rPr>
                <w:sz w:val="22"/>
                <w:szCs w:val="22"/>
                <w:lang w:val="es-ES" w:eastAsia="es-UY"/>
              </w:rPr>
              <w:t>should</w:t>
            </w:r>
            <w:proofErr w:type="spellEnd"/>
            <w:r>
              <w:rPr>
                <w:sz w:val="22"/>
                <w:szCs w:val="22"/>
                <w:lang w:val="es-ES" w:eastAsia="es-UY"/>
              </w:rPr>
              <w:t xml:space="preserve"> be </w:t>
            </w:r>
            <w:proofErr w:type="spellStart"/>
            <w:r>
              <w:rPr>
                <w:sz w:val="22"/>
                <w:szCs w:val="22"/>
                <w:lang w:val="es-ES" w:eastAsia="es-UY"/>
              </w:rPr>
              <w:t>aware</w:t>
            </w:r>
            <w:proofErr w:type="spellEnd"/>
            <w:r>
              <w:rPr>
                <w:sz w:val="22"/>
                <w:szCs w:val="22"/>
                <w:lang w:val="es-ES" w:eastAsia="es-UY"/>
              </w:rPr>
              <w:t xml:space="preserve"> </w:t>
            </w:r>
            <w:proofErr w:type="spellStart"/>
            <w:r>
              <w:rPr>
                <w:sz w:val="22"/>
                <w:szCs w:val="22"/>
                <w:lang w:val="es-ES" w:eastAsia="es-UY"/>
              </w:rPr>
              <w:t>that</w:t>
            </w:r>
            <w:proofErr w:type="spellEnd"/>
            <w:r>
              <w:rPr>
                <w:sz w:val="22"/>
                <w:szCs w:val="22"/>
                <w:lang w:val="es-ES" w:eastAsia="es-UY"/>
              </w:rPr>
              <w:t xml:space="preserve"> </w:t>
            </w:r>
            <w:proofErr w:type="spellStart"/>
            <w:r>
              <w:rPr>
                <w:sz w:val="22"/>
                <w:szCs w:val="22"/>
                <w:lang w:val="es-ES" w:eastAsia="es-UY"/>
              </w:rPr>
              <w:t>bids</w:t>
            </w:r>
            <w:proofErr w:type="spellEnd"/>
            <w:r>
              <w:rPr>
                <w:sz w:val="22"/>
                <w:szCs w:val="22"/>
                <w:lang w:val="es-ES" w:eastAsia="es-UY"/>
              </w:rPr>
              <w:t xml:space="preserve"> </w:t>
            </w:r>
            <w:proofErr w:type="spellStart"/>
            <w:r>
              <w:rPr>
                <w:sz w:val="22"/>
                <w:szCs w:val="22"/>
                <w:lang w:val="es-ES" w:eastAsia="es-UY"/>
              </w:rPr>
              <w:t>for</w:t>
            </w:r>
            <w:proofErr w:type="spellEnd"/>
            <w:r>
              <w:rPr>
                <w:sz w:val="22"/>
                <w:szCs w:val="22"/>
                <w:lang w:val="es-ES" w:eastAsia="es-UY"/>
              </w:rPr>
              <w:t xml:space="preserve"> </w:t>
            </w:r>
            <w:proofErr w:type="spellStart"/>
            <w:r>
              <w:rPr>
                <w:sz w:val="22"/>
                <w:szCs w:val="22"/>
                <w:lang w:val="es-ES" w:eastAsia="es-UY"/>
              </w:rPr>
              <w:t>goods</w:t>
            </w:r>
            <w:proofErr w:type="spellEnd"/>
            <w:r>
              <w:rPr>
                <w:sz w:val="22"/>
                <w:szCs w:val="22"/>
                <w:lang w:val="es-ES" w:eastAsia="es-UY"/>
              </w:rPr>
              <w:t xml:space="preserve"> </w:t>
            </w:r>
            <w:proofErr w:type="spellStart"/>
            <w:r>
              <w:rPr>
                <w:sz w:val="22"/>
                <w:szCs w:val="22"/>
                <w:lang w:val="es-ES" w:eastAsia="es-UY"/>
              </w:rPr>
              <w:t>priced</w:t>
            </w:r>
            <w:proofErr w:type="spellEnd"/>
            <w:r>
              <w:rPr>
                <w:sz w:val="22"/>
                <w:szCs w:val="22"/>
                <w:lang w:val="es-ES" w:eastAsia="es-UY"/>
              </w:rPr>
              <w:t xml:space="preserve"> in </w:t>
            </w:r>
            <w:proofErr w:type="spellStart"/>
            <w:r>
              <w:rPr>
                <w:sz w:val="22"/>
                <w:szCs w:val="22"/>
                <w:lang w:val="es-ES" w:eastAsia="es-UY"/>
              </w:rPr>
              <w:t>currencies</w:t>
            </w:r>
            <w:proofErr w:type="spellEnd"/>
            <w:r>
              <w:rPr>
                <w:sz w:val="22"/>
                <w:szCs w:val="22"/>
                <w:lang w:val="es-ES" w:eastAsia="es-UY"/>
              </w:rPr>
              <w:t xml:space="preserve"> </w:t>
            </w:r>
            <w:proofErr w:type="spellStart"/>
            <w:r>
              <w:rPr>
                <w:sz w:val="22"/>
                <w:szCs w:val="22"/>
                <w:lang w:val="es-ES" w:eastAsia="es-UY"/>
              </w:rPr>
              <w:t>other</w:t>
            </w:r>
            <w:proofErr w:type="spellEnd"/>
            <w:r>
              <w:rPr>
                <w:sz w:val="22"/>
                <w:szCs w:val="22"/>
                <w:lang w:val="es-ES" w:eastAsia="es-UY"/>
              </w:rPr>
              <w:t xml:space="preserve"> </w:t>
            </w:r>
            <w:proofErr w:type="spellStart"/>
            <w:r>
              <w:rPr>
                <w:sz w:val="22"/>
                <w:szCs w:val="22"/>
                <w:lang w:val="es-ES" w:eastAsia="es-UY"/>
              </w:rPr>
              <w:t>than</w:t>
            </w:r>
            <w:proofErr w:type="spellEnd"/>
            <w:r>
              <w:rPr>
                <w:sz w:val="22"/>
                <w:szCs w:val="22"/>
                <w:lang w:val="es-ES" w:eastAsia="es-UY"/>
              </w:rPr>
              <w:t xml:space="preserve"> </w:t>
            </w:r>
            <w:proofErr w:type="spellStart"/>
            <w:r>
              <w:rPr>
                <w:sz w:val="22"/>
                <w:szCs w:val="22"/>
                <w:lang w:val="es-ES" w:eastAsia="es-UY"/>
              </w:rPr>
              <w:t>Uruguayan</w:t>
            </w:r>
            <w:proofErr w:type="spellEnd"/>
            <w:r>
              <w:rPr>
                <w:sz w:val="22"/>
                <w:szCs w:val="22"/>
                <w:lang w:val="es-ES" w:eastAsia="es-UY"/>
              </w:rPr>
              <w:t xml:space="preserve"> pesos </w:t>
            </w:r>
            <w:proofErr w:type="spellStart"/>
            <w:r>
              <w:rPr>
                <w:sz w:val="22"/>
                <w:szCs w:val="22"/>
                <w:lang w:val="es-ES" w:eastAsia="es-UY"/>
              </w:rPr>
              <w:t>will</w:t>
            </w:r>
            <w:proofErr w:type="spellEnd"/>
            <w:r>
              <w:rPr>
                <w:sz w:val="22"/>
                <w:szCs w:val="22"/>
                <w:lang w:val="es-ES" w:eastAsia="es-UY"/>
              </w:rPr>
              <w:t xml:space="preserve"> be </w:t>
            </w:r>
            <w:proofErr w:type="spellStart"/>
            <w:r>
              <w:rPr>
                <w:sz w:val="22"/>
                <w:szCs w:val="22"/>
                <w:lang w:val="es-ES" w:eastAsia="es-UY"/>
              </w:rPr>
              <w:t>rejected</w:t>
            </w:r>
            <w:proofErr w:type="spellEnd"/>
            <w:r>
              <w:rPr>
                <w:sz w:val="22"/>
                <w:szCs w:val="22"/>
                <w:lang w:val="es-ES" w:eastAsia="es-UY"/>
              </w:rPr>
              <w:t>.</w:t>
            </w:r>
          </w:p>
          <w:p w14:paraId="79C6B0B8" w14:textId="77777777" w:rsidR="00E255F4" w:rsidRDefault="00E255F4">
            <w:pPr>
              <w:shd w:val="clear" w:color="auto" w:fill="FFFFFF"/>
              <w:spacing w:line="240" w:lineRule="auto"/>
              <w:jc w:val="both"/>
              <w:rPr>
                <w:sz w:val="22"/>
                <w:szCs w:val="22"/>
                <w:lang w:val="es-ES" w:eastAsia="es-UY"/>
              </w:rPr>
            </w:pPr>
          </w:p>
          <w:p w14:paraId="56767ACE" w14:textId="77777777" w:rsidR="00E255F4" w:rsidRDefault="00000000">
            <w:pPr>
              <w:pStyle w:val="Textoindependiente"/>
              <w:ind w:left="34" w:right="33"/>
              <w:jc w:val="both"/>
              <w:rPr>
                <w:b/>
                <w:sz w:val="22"/>
                <w:szCs w:val="22"/>
                <w:lang w:val="es-ES" w:eastAsia="en-US"/>
              </w:rPr>
            </w:pPr>
            <w:proofErr w:type="spellStart"/>
            <w:r>
              <w:rPr>
                <w:b/>
                <w:sz w:val="22"/>
                <w:szCs w:val="22"/>
                <w:lang w:val="es-ES" w:eastAsia="en-US"/>
              </w:rPr>
              <w:t>Comparison</w:t>
            </w:r>
            <w:proofErr w:type="spellEnd"/>
            <w:r>
              <w:rPr>
                <w:b/>
                <w:sz w:val="22"/>
                <w:szCs w:val="22"/>
                <w:lang w:val="es-ES" w:eastAsia="en-US"/>
              </w:rPr>
              <w:t xml:space="preserve"> </w:t>
            </w:r>
            <w:proofErr w:type="spellStart"/>
            <w:r>
              <w:rPr>
                <w:b/>
                <w:sz w:val="22"/>
                <w:szCs w:val="22"/>
                <w:lang w:val="es-ES" w:eastAsia="en-US"/>
              </w:rPr>
              <w:t>currency</w:t>
            </w:r>
            <w:proofErr w:type="spellEnd"/>
          </w:p>
          <w:p w14:paraId="1A520356" w14:textId="77777777" w:rsidR="00E255F4" w:rsidRDefault="00000000">
            <w:pPr>
              <w:pStyle w:val="Textoindependiente"/>
              <w:spacing w:after="0"/>
              <w:ind w:left="34" w:right="33"/>
              <w:jc w:val="both"/>
              <w:rPr>
                <w:b/>
                <w:sz w:val="22"/>
                <w:szCs w:val="22"/>
                <w:lang w:val="es-ES" w:eastAsia="en-US"/>
              </w:rPr>
            </w:pPr>
            <w:r>
              <w:rPr>
                <w:sz w:val="22"/>
                <w:szCs w:val="22"/>
                <w:lang w:val="es-ES" w:eastAsia="en-US"/>
              </w:rPr>
              <w:t xml:space="preserve">The </w:t>
            </w:r>
            <w:proofErr w:type="spellStart"/>
            <w:r>
              <w:rPr>
                <w:sz w:val="22"/>
                <w:szCs w:val="22"/>
                <w:lang w:val="es-ES" w:eastAsia="en-US"/>
              </w:rPr>
              <w:t>currency</w:t>
            </w:r>
            <w:proofErr w:type="spellEnd"/>
            <w:r>
              <w:rPr>
                <w:sz w:val="22"/>
                <w:szCs w:val="22"/>
                <w:lang w:val="es-ES" w:eastAsia="en-US"/>
              </w:rPr>
              <w:t xml:space="preserve"> </w:t>
            </w:r>
            <w:proofErr w:type="spellStart"/>
            <w:r>
              <w:rPr>
                <w:sz w:val="22"/>
                <w:szCs w:val="22"/>
                <w:lang w:val="es-ES" w:eastAsia="en-US"/>
              </w:rPr>
              <w:t>used</w:t>
            </w:r>
            <w:proofErr w:type="spellEnd"/>
            <w:r>
              <w:rPr>
                <w:sz w:val="22"/>
                <w:szCs w:val="22"/>
                <w:lang w:val="es-ES" w:eastAsia="en-US"/>
              </w:rPr>
              <w:t xml:space="preserve"> </w:t>
            </w:r>
            <w:proofErr w:type="spellStart"/>
            <w:r>
              <w:rPr>
                <w:sz w:val="22"/>
                <w:szCs w:val="22"/>
                <w:lang w:val="es-ES" w:eastAsia="en-US"/>
              </w:rPr>
              <w:t>for</w:t>
            </w:r>
            <w:proofErr w:type="spellEnd"/>
            <w:r>
              <w:rPr>
                <w:sz w:val="22"/>
                <w:szCs w:val="22"/>
                <w:lang w:val="es-ES" w:eastAsia="en-US"/>
              </w:rPr>
              <w:t xml:space="preserve"> </w:t>
            </w:r>
            <w:proofErr w:type="spellStart"/>
            <w:r>
              <w:rPr>
                <w:sz w:val="22"/>
                <w:szCs w:val="22"/>
                <w:lang w:val="es-ES" w:eastAsia="en-US"/>
              </w:rPr>
              <w:t>comparison</w:t>
            </w:r>
            <w:proofErr w:type="spellEnd"/>
            <w:r>
              <w:rPr>
                <w:sz w:val="22"/>
                <w:szCs w:val="22"/>
                <w:lang w:val="es-ES" w:eastAsia="en-US"/>
              </w:rPr>
              <w:t xml:space="preserve"> </w:t>
            </w:r>
            <w:proofErr w:type="spellStart"/>
            <w:r>
              <w:rPr>
                <w:sz w:val="22"/>
                <w:szCs w:val="22"/>
                <w:lang w:val="es-ES" w:eastAsia="en-US"/>
              </w:rPr>
              <w:t>will</w:t>
            </w:r>
            <w:proofErr w:type="spellEnd"/>
            <w:r>
              <w:rPr>
                <w:sz w:val="22"/>
                <w:szCs w:val="22"/>
                <w:lang w:val="es-ES" w:eastAsia="en-US"/>
              </w:rPr>
              <w:t xml:space="preserve"> be </w:t>
            </w:r>
            <w:proofErr w:type="spellStart"/>
            <w:r>
              <w:rPr>
                <w:sz w:val="22"/>
                <w:szCs w:val="22"/>
                <w:lang w:val="es-ES" w:eastAsia="en-US"/>
              </w:rPr>
              <w:t>Uruguayan</w:t>
            </w:r>
            <w:proofErr w:type="spellEnd"/>
            <w:r>
              <w:rPr>
                <w:sz w:val="22"/>
                <w:szCs w:val="22"/>
                <w:lang w:val="es-ES" w:eastAsia="en-US"/>
              </w:rPr>
              <w:t xml:space="preserve"> pesos. The </w:t>
            </w:r>
            <w:proofErr w:type="spellStart"/>
            <w:r>
              <w:rPr>
                <w:sz w:val="22"/>
                <w:szCs w:val="22"/>
                <w:lang w:val="es-ES" w:eastAsia="en-US"/>
              </w:rPr>
              <w:t>conversion</w:t>
            </w:r>
            <w:proofErr w:type="spellEnd"/>
            <w:r>
              <w:rPr>
                <w:sz w:val="22"/>
                <w:szCs w:val="22"/>
                <w:lang w:val="es-ES" w:eastAsia="en-US"/>
              </w:rPr>
              <w:t xml:space="preserve"> </w:t>
            </w:r>
            <w:proofErr w:type="spellStart"/>
            <w:r>
              <w:rPr>
                <w:sz w:val="22"/>
                <w:szCs w:val="22"/>
                <w:lang w:val="es-ES" w:eastAsia="en-US"/>
              </w:rPr>
              <w:t>from</w:t>
            </w:r>
            <w:proofErr w:type="spellEnd"/>
            <w:r>
              <w:rPr>
                <w:sz w:val="22"/>
                <w:szCs w:val="22"/>
                <w:lang w:val="es-ES" w:eastAsia="en-US"/>
              </w:rPr>
              <w:t xml:space="preserve"> US </w:t>
            </w:r>
            <w:proofErr w:type="spellStart"/>
            <w:r>
              <w:rPr>
                <w:sz w:val="22"/>
                <w:szCs w:val="22"/>
                <w:lang w:val="es-ES" w:eastAsia="en-US"/>
              </w:rPr>
              <w:t>dollars</w:t>
            </w:r>
            <w:proofErr w:type="spellEnd"/>
            <w:r>
              <w:rPr>
                <w:sz w:val="22"/>
                <w:szCs w:val="22"/>
                <w:lang w:val="es-ES" w:eastAsia="en-US"/>
              </w:rPr>
              <w:t xml:space="preserve"> </w:t>
            </w:r>
            <w:proofErr w:type="spellStart"/>
            <w:r>
              <w:rPr>
                <w:sz w:val="22"/>
                <w:szCs w:val="22"/>
                <w:lang w:val="es-ES" w:eastAsia="en-US"/>
              </w:rPr>
              <w:t>to</w:t>
            </w:r>
            <w:proofErr w:type="spellEnd"/>
            <w:r>
              <w:rPr>
                <w:sz w:val="22"/>
                <w:szCs w:val="22"/>
                <w:lang w:val="es-ES" w:eastAsia="en-US"/>
              </w:rPr>
              <w:t xml:space="preserve"> </w:t>
            </w:r>
            <w:proofErr w:type="spellStart"/>
            <w:r>
              <w:rPr>
                <w:sz w:val="22"/>
                <w:szCs w:val="22"/>
                <w:lang w:val="es-ES" w:eastAsia="en-US"/>
              </w:rPr>
              <w:t>Uruguayan</w:t>
            </w:r>
            <w:proofErr w:type="spellEnd"/>
            <w:r>
              <w:rPr>
                <w:sz w:val="22"/>
                <w:szCs w:val="22"/>
                <w:lang w:val="es-ES" w:eastAsia="en-US"/>
              </w:rPr>
              <w:t xml:space="preserve"> pesos </w:t>
            </w:r>
            <w:proofErr w:type="spellStart"/>
            <w:r>
              <w:rPr>
                <w:sz w:val="22"/>
                <w:szCs w:val="22"/>
                <w:lang w:val="es-ES" w:eastAsia="en-US"/>
              </w:rPr>
              <w:t>will</w:t>
            </w:r>
            <w:proofErr w:type="spellEnd"/>
            <w:r>
              <w:rPr>
                <w:sz w:val="22"/>
                <w:szCs w:val="22"/>
                <w:lang w:val="es-ES" w:eastAsia="en-US"/>
              </w:rPr>
              <w:t xml:space="preserve"> be </w:t>
            </w:r>
            <w:proofErr w:type="spellStart"/>
            <w:r>
              <w:rPr>
                <w:sz w:val="22"/>
                <w:szCs w:val="22"/>
                <w:lang w:val="es-ES" w:eastAsia="en-US"/>
              </w:rPr>
              <w:t>based</w:t>
            </w:r>
            <w:proofErr w:type="spellEnd"/>
            <w:r>
              <w:rPr>
                <w:sz w:val="22"/>
                <w:szCs w:val="22"/>
                <w:lang w:val="es-ES" w:eastAsia="en-US"/>
              </w:rPr>
              <w:t xml:space="preserve"> </w:t>
            </w:r>
            <w:proofErr w:type="spellStart"/>
            <w:r>
              <w:rPr>
                <w:sz w:val="22"/>
                <w:szCs w:val="22"/>
                <w:lang w:val="es-ES" w:eastAsia="en-US"/>
              </w:rPr>
              <w:t>on</w:t>
            </w:r>
            <w:proofErr w:type="spellEnd"/>
            <w:r>
              <w:rPr>
                <w:sz w:val="22"/>
                <w:szCs w:val="22"/>
                <w:lang w:val="es-ES" w:eastAsia="en-US"/>
              </w:rPr>
              <w:t xml:space="preserve"> </w:t>
            </w:r>
            <w:proofErr w:type="spellStart"/>
            <w:r>
              <w:rPr>
                <w:sz w:val="22"/>
                <w:szCs w:val="22"/>
                <w:lang w:val="es-ES" w:eastAsia="en-US"/>
              </w:rPr>
              <w:t>the</w:t>
            </w:r>
            <w:proofErr w:type="spellEnd"/>
            <w:r>
              <w:rPr>
                <w:sz w:val="22"/>
                <w:szCs w:val="22"/>
                <w:lang w:val="es-ES" w:eastAsia="en-US"/>
              </w:rPr>
              <w:t xml:space="preserve"> </w:t>
            </w:r>
            <w:proofErr w:type="spellStart"/>
            <w:r>
              <w:rPr>
                <w:sz w:val="22"/>
                <w:szCs w:val="22"/>
                <w:lang w:val="es-ES" w:eastAsia="en-US"/>
              </w:rPr>
              <w:t>interbank</w:t>
            </w:r>
            <w:proofErr w:type="spellEnd"/>
            <w:r>
              <w:rPr>
                <w:sz w:val="22"/>
                <w:szCs w:val="22"/>
                <w:lang w:val="es-ES" w:eastAsia="en-US"/>
              </w:rPr>
              <w:t xml:space="preserve"> </w:t>
            </w:r>
            <w:proofErr w:type="spellStart"/>
            <w:r>
              <w:rPr>
                <w:sz w:val="22"/>
                <w:szCs w:val="22"/>
                <w:lang w:val="es-ES" w:eastAsia="en-US"/>
              </w:rPr>
              <w:t>exchange</w:t>
            </w:r>
            <w:proofErr w:type="spellEnd"/>
            <w:r>
              <w:rPr>
                <w:sz w:val="22"/>
                <w:szCs w:val="22"/>
                <w:lang w:val="es-ES" w:eastAsia="en-US"/>
              </w:rPr>
              <w:t xml:space="preserve"> </w:t>
            </w:r>
            <w:proofErr w:type="spellStart"/>
            <w:r>
              <w:rPr>
                <w:sz w:val="22"/>
                <w:szCs w:val="22"/>
                <w:lang w:val="es-ES" w:eastAsia="en-US"/>
              </w:rPr>
              <w:t>rate</w:t>
            </w:r>
            <w:proofErr w:type="spellEnd"/>
            <w:r>
              <w:rPr>
                <w:sz w:val="22"/>
                <w:szCs w:val="22"/>
                <w:lang w:val="es-ES" w:eastAsia="en-US"/>
              </w:rPr>
              <w:t xml:space="preserve"> </w:t>
            </w:r>
            <w:proofErr w:type="spellStart"/>
            <w:r>
              <w:rPr>
                <w:sz w:val="22"/>
                <w:szCs w:val="22"/>
                <w:lang w:val="es-ES" w:eastAsia="en-US"/>
              </w:rPr>
              <w:t>for</w:t>
            </w:r>
            <w:proofErr w:type="spellEnd"/>
            <w:r>
              <w:rPr>
                <w:sz w:val="22"/>
                <w:szCs w:val="22"/>
                <w:lang w:val="es-ES" w:eastAsia="en-US"/>
              </w:rPr>
              <w:t xml:space="preserve"> US </w:t>
            </w:r>
            <w:proofErr w:type="spellStart"/>
            <w:r>
              <w:rPr>
                <w:sz w:val="22"/>
                <w:szCs w:val="22"/>
                <w:lang w:val="es-ES" w:eastAsia="en-US"/>
              </w:rPr>
              <w:t>dollars</w:t>
            </w:r>
            <w:proofErr w:type="spellEnd"/>
            <w:r>
              <w:rPr>
                <w:sz w:val="22"/>
                <w:szCs w:val="22"/>
                <w:lang w:val="es-ES" w:eastAsia="en-US"/>
              </w:rPr>
              <w:t xml:space="preserve"> (</w:t>
            </w:r>
            <w:proofErr w:type="spellStart"/>
            <w:r>
              <w:rPr>
                <w:sz w:val="22"/>
                <w:szCs w:val="22"/>
                <w:lang w:val="es-ES" w:eastAsia="en-US"/>
              </w:rPr>
              <w:t>banknotes</w:t>
            </w:r>
            <w:proofErr w:type="spellEnd"/>
            <w:r>
              <w:rPr>
                <w:sz w:val="22"/>
                <w:szCs w:val="22"/>
                <w:lang w:val="es-ES" w:eastAsia="en-US"/>
              </w:rPr>
              <w:t xml:space="preserve">) at </w:t>
            </w:r>
            <w:proofErr w:type="spellStart"/>
            <w:r>
              <w:rPr>
                <w:sz w:val="22"/>
                <w:szCs w:val="22"/>
                <w:lang w:val="es-ES" w:eastAsia="en-US"/>
              </w:rPr>
              <w:t>the</w:t>
            </w:r>
            <w:proofErr w:type="spellEnd"/>
            <w:r>
              <w:rPr>
                <w:sz w:val="22"/>
                <w:szCs w:val="22"/>
                <w:lang w:val="es-ES" w:eastAsia="en-US"/>
              </w:rPr>
              <w:t xml:space="preserve"> </w:t>
            </w:r>
            <w:proofErr w:type="spellStart"/>
            <w:r>
              <w:rPr>
                <w:sz w:val="22"/>
                <w:szCs w:val="22"/>
                <w:lang w:val="es-ES" w:eastAsia="en-US"/>
              </w:rPr>
              <w:t>close</w:t>
            </w:r>
            <w:proofErr w:type="spellEnd"/>
            <w:r>
              <w:rPr>
                <w:sz w:val="22"/>
                <w:szCs w:val="22"/>
                <w:lang w:val="es-ES" w:eastAsia="en-US"/>
              </w:rPr>
              <w:t xml:space="preserve"> </w:t>
            </w:r>
            <w:proofErr w:type="spellStart"/>
            <w:r>
              <w:rPr>
                <w:sz w:val="22"/>
                <w:szCs w:val="22"/>
                <w:lang w:val="es-ES" w:eastAsia="en-US"/>
              </w:rPr>
              <w:t>of</w:t>
            </w:r>
            <w:proofErr w:type="spellEnd"/>
            <w:r>
              <w:rPr>
                <w:sz w:val="22"/>
                <w:szCs w:val="22"/>
                <w:lang w:val="es-ES" w:eastAsia="en-US"/>
              </w:rPr>
              <w:t xml:space="preserve"> </w:t>
            </w:r>
            <w:proofErr w:type="spellStart"/>
            <w:r>
              <w:rPr>
                <w:sz w:val="22"/>
                <w:szCs w:val="22"/>
                <w:lang w:val="es-ES" w:eastAsia="en-US"/>
              </w:rPr>
              <w:t>business</w:t>
            </w:r>
            <w:proofErr w:type="spellEnd"/>
            <w:r>
              <w:rPr>
                <w:sz w:val="22"/>
                <w:szCs w:val="22"/>
                <w:lang w:val="es-ES" w:eastAsia="en-US"/>
              </w:rPr>
              <w:t xml:space="preserve"> </w:t>
            </w:r>
            <w:proofErr w:type="spellStart"/>
            <w:r>
              <w:rPr>
                <w:sz w:val="22"/>
                <w:szCs w:val="22"/>
                <w:lang w:val="es-ES" w:eastAsia="en-US"/>
              </w:rPr>
              <w:t>on</w:t>
            </w:r>
            <w:proofErr w:type="spellEnd"/>
            <w:r>
              <w:rPr>
                <w:sz w:val="22"/>
                <w:szCs w:val="22"/>
                <w:lang w:val="es-ES" w:eastAsia="en-US"/>
              </w:rPr>
              <w:t xml:space="preserve"> </w:t>
            </w:r>
            <w:proofErr w:type="spellStart"/>
            <w:r>
              <w:rPr>
                <w:sz w:val="22"/>
                <w:szCs w:val="22"/>
                <w:lang w:val="es-ES" w:eastAsia="en-US"/>
              </w:rPr>
              <w:t>the</w:t>
            </w:r>
            <w:proofErr w:type="spellEnd"/>
            <w:r>
              <w:rPr>
                <w:sz w:val="22"/>
                <w:szCs w:val="22"/>
                <w:lang w:val="es-ES" w:eastAsia="en-US"/>
              </w:rPr>
              <w:t xml:space="preserve"> </w:t>
            </w:r>
            <w:proofErr w:type="spellStart"/>
            <w:r>
              <w:rPr>
                <w:sz w:val="22"/>
                <w:szCs w:val="22"/>
                <w:lang w:val="es-ES" w:eastAsia="en-US"/>
              </w:rPr>
              <w:t>day</w:t>
            </w:r>
            <w:proofErr w:type="spellEnd"/>
            <w:r>
              <w:rPr>
                <w:sz w:val="22"/>
                <w:szCs w:val="22"/>
                <w:lang w:val="es-ES" w:eastAsia="en-US"/>
              </w:rPr>
              <w:t xml:space="preserve"> prior </w:t>
            </w:r>
            <w:proofErr w:type="spellStart"/>
            <w:r>
              <w:rPr>
                <w:sz w:val="22"/>
                <w:szCs w:val="22"/>
                <w:lang w:val="es-ES" w:eastAsia="en-US"/>
              </w:rPr>
              <w:t>to</w:t>
            </w:r>
            <w:proofErr w:type="spellEnd"/>
            <w:r>
              <w:rPr>
                <w:sz w:val="22"/>
                <w:szCs w:val="22"/>
                <w:lang w:val="es-ES" w:eastAsia="en-US"/>
              </w:rPr>
              <w:t xml:space="preserve"> </w:t>
            </w:r>
            <w:proofErr w:type="spellStart"/>
            <w:r>
              <w:rPr>
                <w:sz w:val="22"/>
                <w:szCs w:val="22"/>
                <w:lang w:val="es-ES" w:eastAsia="en-US"/>
              </w:rPr>
              <w:t>the</w:t>
            </w:r>
            <w:proofErr w:type="spellEnd"/>
            <w:r>
              <w:rPr>
                <w:sz w:val="22"/>
                <w:szCs w:val="22"/>
                <w:lang w:val="es-ES" w:eastAsia="en-US"/>
              </w:rPr>
              <w:t xml:space="preserve"> </w:t>
            </w:r>
            <w:proofErr w:type="spellStart"/>
            <w:r>
              <w:rPr>
                <w:sz w:val="22"/>
                <w:szCs w:val="22"/>
                <w:lang w:val="es-ES" w:eastAsia="en-US"/>
              </w:rPr>
              <w:t>auction</w:t>
            </w:r>
            <w:proofErr w:type="spellEnd"/>
            <w:r>
              <w:rPr>
                <w:sz w:val="22"/>
                <w:szCs w:val="22"/>
                <w:lang w:val="es-ES" w:eastAsia="en-US"/>
              </w:rPr>
              <w:t xml:space="preserve"> </w:t>
            </w:r>
            <w:proofErr w:type="spellStart"/>
            <w:r>
              <w:rPr>
                <w:sz w:val="22"/>
                <w:szCs w:val="22"/>
                <w:lang w:val="es-ES" w:eastAsia="en-US"/>
              </w:rPr>
              <w:t>opening</w:t>
            </w:r>
            <w:proofErr w:type="spellEnd"/>
            <w:r>
              <w:rPr>
                <w:sz w:val="22"/>
                <w:szCs w:val="22"/>
                <w:lang w:val="es-ES" w:eastAsia="en-US"/>
              </w:rPr>
              <w:t xml:space="preserve"> date. For </w:t>
            </w:r>
            <w:proofErr w:type="spellStart"/>
            <w:r>
              <w:rPr>
                <w:sz w:val="22"/>
                <w:szCs w:val="22"/>
                <w:lang w:val="es-ES" w:eastAsia="en-US"/>
              </w:rPr>
              <w:t>the</w:t>
            </w:r>
            <w:proofErr w:type="spellEnd"/>
            <w:r>
              <w:rPr>
                <w:sz w:val="22"/>
                <w:szCs w:val="22"/>
                <w:lang w:val="es-ES" w:eastAsia="en-US"/>
              </w:rPr>
              <w:t xml:space="preserve"> </w:t>
            </w:r>
            <w:proofErr w:type="spellStart"/>
            <w:r>
              <w:rPr>
                <w:sz w:val="22"/>
                <w:szCs w:val="22"/>
                <w:lang w:val="es-ES" w:eastAsia="en-US"/>
              </w:rPr>
              <w:t>conversion</w:t>
            </w:r>
            <w:proofErr w:type="spellEnd"/>
            <w:r>
              <w:rPr>
                <w:sz w:val="22"/>
                <w:szCs w:val="22"/>
                <w:lang w:val="es-ES" w:eastAsia="en-US"/>
              </w:rPr>
              <w:t xml:space="preserve"> </w:t>
            </w:r>
            <w:proofErr w:type="spellStart"/>
            <w:r>
              <w:rPr>
                <w:sz w:val="22"/>
                <w:szCs w:val="22"/>
                <w:lang w:val="es-ES" w:eastAsia="en-US"/>
              </w:rPr>
              <w:t>from</w:t>
            </w:r>
            <w:proofErr w:type="spellEnd"/>
            <w:r>
              <w:rPr>
                <w:sz w:val="22"/>
                <w:szCs w:val="22"/>
                <w:lang w:val="es-ES" w:eastAsia="en-US"/>
              </w:rPr>
              <w:t xml:space="preserve"> euros </w:t>
            </w:r>
            <w:proofErr w:type="spellStart"/>
            <w:r>
              <w:rPr>
                <w:sz w:val="22"/>
                <w:szCs w:val="22"/>
                <w:lang w:val="es-ES" w:eastAsia="en-US"/>
              </w:rPr>
              <w:t>to</w:t>
            </w:r>
            <w:proofErr w:type="spellEnd"/>
            <w:r>
              <w:rPr>
                <w:sz w:val="22"/>
                <w:szCs w:val="22"/>
                <w:lang w:val="es-ES" w:eastAsia="en-US"/>
              </w:rPr>
              <w:t xml:space="preserve"> </w:t>
            </w:r>
            <w:proofErr w:type="spellStart"/>
            <w:r>
              <w:rPr>
                <w:sz w:val="22"/>
                <w:szCs w:val="22"/>
                <w:lang w:val="es-ES" w:eastAsia="en-US"/>
              </w:rPr>
              <w:t>Uruguayan</w:t>
            </w:r>
            <w:proofErr w:type="spellEnd"/>
            <w:r>
              <w:rPr>
                <w:sz w:val="22"/>
                <w:szCs w:val="22"/>
                <w:lang w:val="es-ES" w:eastAsia="en-US"/>
              </w:rPr>
              <w:t xml:space="preserve"> pesos, </w:t>
            </w:r>
            <w:proofErr w:type="spellStart"/>
            <w:r>
              <w:rPr>
                <w:sz w:val="22"/>
                <w:szCs w:val="22"/>
                <w:lang w:val="es-ES" w:eastAsia="en-US"/>
              </w:rPr>
              <w:t>the</w:t>
            </w:r>
            <w:proofErr w:type="spellEnd"/>
            <w:r>
              <w:rPr>
                <w:sz w:val="22"/>
                <w:szCs w:val="22"/>
                <w:lang w:val="es-ES" w:eastAsia="en-US"/>
              </w:rPr>
              <w:t xml:space="preserve"> </w:t>
            </w:r>
            <w:proofErr w:type="spellStart"/>
            <w:r>
              <w:rPr>
                <w:sz w:val="22"/>
                <w:szCs w:val="22"/>
                <w:lang w:val="es-ES" w:eastAsia="en-US"/>
              </w:rPr>
              <w:t>arbitrage</w:t>
            </w:r>
            <w:proofErr w:type="spellEnd"/>
            <w:r>
              <w:rPr>
                <w:sz w:val="22"/>
                <w:szCs w:val="22"/>
                <w:lang w:val="es-ES" w:eastAsia="en-US"/>
              </w:rPr>
              <w:t xml:space="preserve"> </w:t>
            </w:r>
            <w:proofErr w:type="spellStart"/>
            <w:r>
              <w:rPr>
                <w:sz w:val="22"/>
                <w:szCs w:val="22"/>
                <w:lang w:val="es-ES" w:eastAsia="en-US"/>
              </w:rPr>
              <w:t>rate</w:t>
            </w:r>
            <w:proofErr w:type="spellEnd"/>
            <w:r>
              <w:rPr>
                <w:sz w:val="22"/>
                <w:szCs w:val="22"/>
                <w:lang w:val="es-ES" w:eastAsia="en-US"/>
              </w:rPr>
              <w:t xml:space="preserve"> </w:t>
            </w:r>
            <w:proofErr w:type="spellStart"/>
            <w:r>
              <w:rPr>
                <w:sz w:val="22"/>
                <w:szCs w:val="22"/>
                <w:lang w:val="es-ES" w:eastAsia="en-US"/>
              </w:rPr>
              <w:t>established</w:t>
            </w:r>
            <w:proofErr w:type="spellEnd"/>
            <w:r>
              <w:rPr>
                <w:sz w:val="22"/>
                <w:szCs w:val="22"/>
                <w:lang w:val="es-ES" w:eastAsia="en-US"/>
              </w:rPr>
              <w:t xml:space="preserve"> </w:t>
            </w:r>
            <w:proofErr w:type="spellStart"/>
            <w:r>
              <w:rPr>
                <w:sz w:val="22"/>
                <w:szCs w:val="22"/>
                <w:lang w:val="es-ES" w:eastAsia="en-US"/>
              </w:rPr>
              <w:t>by</w:t>
            </w:r>
            <w:proofErr w:type="spellEnd"/>
            <w:r>
              <w:rPr>
                <w:sz w:val="22"/>
                <w:szCs w:val="22"/>
                <w:lang w:val="es-ES" w:eastAsia="en-US"/>
              </w:rPr>
              <w:t xml:space="preserve"> </w:t>
            </w:r>
            <w:proofErr w:type="spellStart"/>
            <w:r>
              <w:rPr>
                <w:sz w:val="22"/>
                <w:szCs w:val="22"/>
                <w:lang w:val="es-ES" w:eastAsia="en-US"/>
              </w:rPr>
              <w:t>the</w:t>
            </w:r>
            <w:proofErr w:type="spellEnd"/>
            <w:r>
              <w:rPr>
                <w:sz w:val="22"/>
                <w:szCs w:val="22"/>
                <w:lang w:val="es-ES" w:eastAsia="en-US"/>
              </w:rPr>
              <w:t xml:space="preserve"> Central Bank </w:t>
            </w:r>
            <w:proofErr w:type="spellStart"/>
            <w:r>
              <w:rPr>
                <w:sz w:val="22"/>
                <w:szCs w:val="22"/>
                <w:lang w:val="es-ES" w:eastAsia="en-US"/>
              </w:rPr>
              <w:t>of</w:t>
            </w:r>
            <w:proofErr w:type="spellEnd"/>
            <w:r>
              <w:rPr>
                <w:sz w:val="22"/>
                <w:szCs w:val="22"/>
                <w:lang w:val="es-ES" w:eastAsia="en-US"/>
              </w:rPr>
              <w:t xml:space="preserve"> Uruguay </w:t>
            </w:r>
            <w:proofErr w:type="spellStart"/>
            <w:r>
              <w:rPr>
                <w:sz w:val="22"/>
                <w:szCs w:val="22"/>
                <w:lang w:val="es-ES" w:eastAsia="en-US"/>
              </w:rPr>
              <w:t>on</w:t>
            </w:r>
            <w:proofErr w:type="spellEnd"/>
            <w:r>
              <w:rPr>
                <w:sz w:val="22"/>
                <w:szCs w:val="22"/>
                <w:lang w:val="es-ES" w:eastAsia="en-US"/>
              </w:rPr>
              <w:t xml:space="preserve"> </w:t>
            </w:r>
            <w:proofErr w:type="spellStart"/>
            <w:r>
              <w:rPr>
                <w:sz w:val="22"/>
                <w:szCs w:val="22"/>
                <w:lang w:val="es-ES" w:eastAsia="en-US"/>
              </w:rPr>
              <w:t>the</w:t>
            </w:r>
            <w:proofErr w:type="spellEnd"/>
            <w:r>
              <w:rPr>
                <w:sz w:val="22"/>
                <w:szCs w:val="22"/>
                <w:lang w:val="es-ES" w:eastAsia="en-US"/>
              </w:rPr>
              <w:t xml:space="preserve"> </w:t>
            </w:r>
            <w:proofErr w:type="spellStart"/>
            <w:r>
              <w:rPr>
                <w:sz w:val="22"/>
                <w:szCs w:val="22"/>
                <w:lang w:val="es-ES" w:eastAsia="en-US"/>
              </w:rPr>
              <w:t>same</w:t>
            </w:r>
            <w:proofErr w:type="spellEnd"/>
            <w:r>
              <w:rPr>
                <w:sz w:val="22"/>
                <w:szCs w:val="22"/>
                <w:lang w:val="es-ES" w:eastAsia="en-US"/>
              </w:rPr>
              <w:t xml:space="preserve"> date </w:t>
            </w:r>
            <w:proofErr w:type="spellStart"/>
            <w:r>
              <w:rPr>
                <w:sz w:val="22"/>
                <w:szCs w:val="22"/>
                <w:lang w:val="es-ES" w:eastAsia="en-US"/>
              </w:rPr>
              <w:t>will</w:t>
            </w:r>
            <w:proofErr w:type="spellEnd"/>
            <w:r>
              <w:rPr>
                <w:sz w:val="22"/>
                <w:szCs w:val="22"/>
                <w:lang w:val="es-ES" w:eastAsia="en-US"/>
              </w:rPr>
              <w:t xml:space="preserve"> be </w:t>
            </w:r>
            <w:proofErr w:type="spellStart"/>
            <w:r>
              <w:rPr>
                <w:sz w:val="22"/>
                <w:szCs w:val="22"/>
                <w:lang w:val="es-ES" w:eastAsia="en-US"/>
              </w:rPr>
              <w:t>applied</w:t>
            </w:r>
            <w:proofErr w:type="spellEnd"/>
            <w:r>
              <w:rPr>
                <w:sz w:val="22"/>
                <w:szCs w:val="22"/>
                <w:lang w:val="es-ES" w:eastAsia="en-US"/>
              </w:rPr>
              <w:t>.</w:t>
            </w:r>
          </w:p>
        </w:tc>
      </w:tr>
      <w:tr w:rsidR="00E255F4" w14:paraId="67A838A5" w14:textId="77777777">
        <w:tc>
          <w:tcPr>
            <w:tcW w:w="730" w:type="dxa"/>
            <w:tcBorders>
              <w:top w:val="single" w:sz="4" w:space="0" w:color="000000"/>
              <w:left w:val="single" w:sz="4" w:space="0" w:color="000000"/>
              <w:bottom w:val="single" w:sz="4" w:space="0" w:color="000000"/>
              <w:right w:val="single" w:sz="4" w:space="0" w:color="000000"/>
            </w:tcBorders>
          </w:tcPr>
          <w:p w14:paraId="333F1E6C" w14:textId="77777777" w:rsidR="00E255F4" w:rsidRDefault="00000000">
            <w:pPr>
              <w:ind w:right="-36"/>
              <w:rPr>
                <w:rFonts w:eastAsia="Palatino Linotype"/>
                <w:b/>
                <w:color w:val="000000"/>
                <w:sz w:val="22"/>
                <w:szCs w:val="24"/>
                <w:lang w:val="es-ES"/>
              </w:rPr>
            </w:pPr>
            <w:r>
              <w:rPr>
                <w:rFonts w:eastAsia="Palatino Linotype"/>
                <w:b/>
                <w:color w:val="000000"/>
                <w:sz w:val="22"/>
                <w:szCs w:val="22"/>
                <w:lang w:val="es-ES"/>
              </w:rPr>
              <w:lastRenderedPageBreak/>
              <w:t>10.3.2</w:t>
            </w:r>
          </w:p>
        </w:tc>
        <w:tc>
          <w:tcPr>
            <w:tcW w:w="9048" w:type="dxa"/>
            <w:tcBorders>
              <w:top w:val="single" w:sz="4" w:space="0" w:color="000000"/>
              <w:left w:val="single" w:sz="4" w:space="0" w:color="000000"/>
              <w:bottom w:val="single" w:sz="4" w:space="0" w:color="000000"/>
              <w:right w:val="single" w:sz="4" w:space="0" w:color="000000"/>
            </w:tcBorders>
          </w:tcPr>
          <w:p w14:paraId="177EE51C" w14:textId="77777777" w:rsidR="00E255F4" w:rsidRDefault="00000000">
            <w:pPr>
              <w:ind w:right="-36"/>
              <w:jc w:val="both"/>
            </w:pPr>
            <w:r>
              <w:rPr>
                <w:rFonts w:eastAsia="Palatino Linotype"/>
                <w:b/>
                <w:color w:val="000000"/>
                <w:spacing w:val="-1"/>
                <w:sz w:val="22"/>
                <w:szCs w:val="22"/>
                <w:lang w:val="es-ES"/>
              </w:rPr>
              <w:t xml:space="preserve">Price </w:t>
            </w:r>
            <w:proofErr w:type="spellStart"/>
            <w:r>
              <w:rPr>
                <w:rFonts w:eastAsia="Palatino Linotype"/>
                <w:b/>
                <w:color w:val="000000"/>
                <w:spacing w:val="-1"/>
                <w:sz w:val="22"/>
                <w:szCs w:val="22"/>
                <w:lang w:val="es-ES"/>
              </w:rPr>
              <w:t>update</w:t>
            </w:r>
            <w:proofErr w:type="spellEnd"/>
          </w:p>
          <w:p w14:paraId="7A282EC5" w14:textId="77777777" w:rsidR="00E255F4" w:rsidRDefault="00000000">
            <w:pPr>
              <w:ind w:right="-36"/>
              <w:jc w:val="both"/>
              <w:rPr>
                <w:rFonts w:eastAsia="Palatino Linotype"/>
                <w:color w:val="000000"/>
                <w:spacing w:val="1"/>
                <w:position w:val="1"/>
                <w:sz w:val="22"/>
                <w:szCs w:val="22"/>
                <w:lang w:val="es-ES"/>
              </w:rPr>
            </w:pPr>
            <w:proofErr w:type="spellStart"/>
            <w:r>
              <w:rPr>
                <w:rFonts w:eastAsia="Palatino Linotype"/>
                <w:color w:val="000000"/>
                <w:spacing w:val="1"/>
                <w:position w:val="1"/>
                <w:sz w:val="22"/>
                <w:szCs w:val="22"/>
                <w:lang w:val="es-ES"/>
              </w:rPr>
              <w:t>It</w:t>
            </w:r>
            <w:proofErr w:type="spellEnd"/>
            <w:r>
              <w:rPr>
                <w:rFonts w:eastAsia="Palatino Linotype"/>
                <w:color w:val="000000"/>
                <w:spacing w:val="1"/>
                <w:position w:val="1"/>
                <w:sz w:val="22"/>
                <w:szCs w:val="22"/>
                <w:lang w:val="es-ES"/>
              </w:rPr>
              <w:t xml:space="preserve"> </w:t>
            </w:r>
            <w:proofErr w:type="spellStart"/>
            <w:r>
              <w:rPr>
                <w:rFonts w:eastAsia="Palatino Linotype"/>
                <w:color w:val="000000"/>
                <w:spacing w:val="1"/>
                <w:position w:val="1"/>
                <w:sz w:val="22"/>
                <w:szCs w:val="22"/>
                <w:lang w:val="es-ES"/>
              </w:rPr>
              <w:t>is</w:t>
            </w:r>
            <w:proofErr w:type="spellEnd"/>
            <w:r>
              <w:rPr>
                <w:rFonts w:eastAsia="Palatino Linotype"/>
                <w:color w:val="000000"/>
                <w:spacing w:val="1"/>
                <w:position w:val="1"/>
                <w:sz w:val="22"/>
                <w:szCs w:val="22"/>
                <w:lang w:val="es-ES"/>
              </w:rPr>
              <w:t xml:space="preserve"> </w:t>
            </w:r>
            <w:proofErr w:type="spellStart"/>
            <w:r>
              <w:rPr>
                <w:rFonts w:eastAsia="Palatino Linotype"/>
                <w:color w:val="000000"/>
                <w:spacing w:val="1"/>
                <w:position w:val="1"/>
                <w:sz w:val="22"/>
                <w:szCs w:val="22"/>
                <w:lang w:val="es-ES"/>
              </w:rPr>
              <w:t>added</w:t>
            </w:r>
            <w:proofErr w:type="spellEnd"/>
            <w:r>
              <w:rPr>
                <w:rFonts w:eastAsia="Palatino Linotype"/>
                <w:color w:val="000000"/>
                <w:spacing w:val="1"/>
                <w:position w:val="1"/>
                <w:sz w:val="22"/>
                <w:szCs w:val="22"/>
                <w:lang w:val="es-ES"/>
              </w:rPr>
              <w:t>:</w:t>
            </w:r>
          </w:p>
          <w:p w14:paraId="72974655" w14:textId="77777777" w:rsidR="00E255F4" w:rsidRDefault="00E255F4">
            <w:pPr>
              <w:ind w:right="-36"/>
              <w:jc w:val="both"/>
              <w:rPr>
                <w:rFonts w:eastAsia="Palatino Linotype"/>
                <w:b/>
                <w:color w:val="000000"/>
                <w:spacing w:val="1"/>
                <w:position w:val="1"/>
                <w:sz w:val="22"/>
                <w:szCs w:val="22"/>
                <w:lang w:val="es-ES"/>
              </w:rPr>
            </w:pPr>
          </w:p>
          <w:p w14:paraId="30721401" w14:textId="77777777" w:rsidR="00E255F4" w:rsidRDefault="00000000">
            <w:pPr>
              <w:jc w:val="both"/>
            </w:pPr>
            <w:proofErr w:type="spellStart"/>
            <w:r>
              <w:rPr>
                <w:color w:val="000000"/>
                <w:sz w:val="22"/>
                <w:szCs w:val="22"/>
                <w:lang w:val="es-ES_tradnl"/>
              </w:rPr>
              <w:t>Only</w:t>
            </w:r>
            <w:proofErr w:type="spellEnd"/>
            <w:r>
              <w:rPr>
                <w:color w:val="000000"/>
                <w:sz w:val="22"/>
                <w:szCs w:val="22"/>
                <w:lang w:val="es-ES_tradnl"/>
              </w:rPr>
              <w:t xml:space="preserve"> </w:t>
            </w:r>
            <w:proofErr w:type="spellStart"/>
            <w:r>
              <w:rPr>
                <w:color w:val="000000"/>
                <w:sz w:val="22"/>
                <w:szCs w:val="22"/>
                <w:lang w:val="es-ES_tradnl"/>
              </w:rPr>
              <w:t>bids</w:t>
            </w:r>
            <w:proofErr w:type="spellEnd"/>
            <w:r>
              <w:rPr>
                <w:color w:val="000000"/>
                <w:sz w:val="22"/>
                <w:szCs w:val="22"/>
                <w:lang w:val="es-ES_tradnl"/>
              </w:rPr>
              <w:t xml:space="preserve"> </w:t>
            </w:r>
            <w:proofErr w:type="spellStart"/>
            <w:r>
              <w:rPr>
                <w:color w:val="000000"/>
                <w:sz w:val="22"/>
                <w:szCs w:val="22"/>
                <w:lang w:val="es-ES_tradnl"/>
              </w:rPr>
              <w:t>submitted</w:t>
            </w:r>
            <w:proofErr w:type="spellEnd"/>
            <w:r>
              <w:rPr>
                <w:color w:val="000000"/>
                <w:sz w:val="22"/>
                <w:szCs w:val="22"/>
                <w:lang w:val="es-ES_tradnl"/>
              </w:rPr>
              <w:t xml:space="preserve"> in </w:t>
            </w:r>
            <w:proofErr w:type="spellStart"/>
            <w:r>
              <w:rPr>
                <w:color w:val="000000"/>
                <w:sz w:val="22"/>
                <w:szCs w:val="22"/>
                <w:lang w:val="es-ES_tradnl"/>
              </w:rPr>
              <w:t>Uruguayan</w:t>
            </w:r>
            <w:proofErr w:type="spellEnd"/>
            <w:r>
              <w:rPr>
                <w:color w:val="000000"/>
                <w:sz w:val="22"/>
                <w:szCs w:val="22"/>
                <w:lang w:val="es-ES_tradnl"/>
              </w:rPr>
              <w:t xml:space="preserve"> pesos </w:t>
            </w:r>
            <w:proofErr w:type="spellStart"/>
            <w:r>
              <w:rPr>
                <w:color w:val="000000"/>
                <w:sz w:val="22"/>
                <w:szCs w:val="22"/>
                <w:lang w:val="es-ES_tradnl"/>
              </w:rPr>
              <w:t>will</w:t>
            </w:r>
            <w:proofErr w:type="spellEnd"/>
            <w:r>
              <w:rPr>
                <w:color w:val="000000"/>
                <w:sz w:val="22"/>
                <w:szCs w:val="22"/>
                <w:lang w:val="es-ES_tradnl"/>
              </w:rPr>
              <w:t xml:space="preserve"> be </w:t>
            </w:r>
            <w:proofErr w:type="spellStart"/>
            <w:r>
              <w:rPr>
                <w:color w:val="000000"/>
                <w:sz w:val="22"/>
                <w:szCs w:val="22"/>
                <w:lang w:val="es-ES_tradnl"/>
              </w:rPr>
              <w:t>subject</w:t>
            </w:r>
            <w:proofErr w:type="spellEnd"/>
            <w:r>
              <w:rPr>
                <w:color w:val="000000"/>
                <w:sz w:val="22"/>
                <w:szCs w:val="22"/>
                <w:lang w:val="es-ES_tradnl"/>
              </w:rPr>
              <w:t xml:space="preserve"> </w:t>
            </w:r>
            <w:proofErr w:type="spellStart"/>
            <w:r>
              <w:rPr>
                <w:color w:val="000000"/>
                <w:sz w:val="22"/>
                <w:szCs w:val="22"/>
                <w:lang w:val="es-ES_tradnl"/>
              </w:rPr>
              <w:t>to</w:t>
            </w:r>
            <w:proofErr w:type="spellEnd"/>
            <w:r>
              <w:rPr>
                <w:color w:val="000000"/>
                <w:sz w:val="22"/>
                <w:szCs w:val="22"/>
                <w:lang w:val="es-ES_tradnl"/>
              </w:rPr>
              <w:t xml:space="preserve"> </w:t>
            </w:r>
            <w:proofErr w:type="spellStart"/>
            <w:r>
              <w:rPr>
                <w:color w:val="000000"/>
                <w:sz w:val="22"/>
                <w:szCs w:val="22"/>
                <w:lang w:val="es-ES_tradnl"/>
              </w:rPr>
              <w:t>price</w:t>
            </w:r>
            <w:proofErr w:type="spellEnd"/>
            <w:r>
              <w:rPr>
                <w:color w:val="000000"/>
                <w:sz w:val="22"/>
                <w:szCs w:val="22"/>
                <w:lang w:val="es-ES_tradnl"/>
              </w:rPr>
              <w:t xml:space="preserve"> </w:t>
            </w:r>
            <w:proofErr w:type="spellStart"/>
            <w:r>
              <w:rPr>
                <w:color w:val="000000"/>
                <w:sz w:val="22"/>
                <w:szCs w:val="22"/>
                <w:lang w:val="es-ES_tradnl"/>
              </w:rPr>
              <w:t>adjustment</w:t>
            </w:r>
            <w:proofErr w:type="spellEnd"/>
            <w:r>
              <w:rPr>
                <w:color w:val="000000"/>
                <w:sz w:val="22"/>
                <w:szCs w:val="22"/>
                <w:lang w:val="es-ES_tradnl"/>
              </w:rPr>
              <w:t xml:space="preserve">. </w:t>
            </w:r>
            <w:proofErr w:type="spellStart"/>
            <w:r>
              <w:rPr>
                <w:color w:val="000000"/>
                <w:sz w:val="22"/>
                <w:szCs w:val="22"/>
                <w:lang w:val="es-ES_tradnl"/>
              </w:rPr>
              <w:t>Bids</w:t>
            </w:r>
            <w:proofErr w:type="spellEnd"/>
            <w:r>
              <w:rPr>
                <w:color w:val="000000"/>
                <w:sz w:val="22"/>
                <w:szCs w:val="22"/>
                <w:lang w:val="es-ES_tradnl"/>
              </w:rPr>
              <w:t xml:space="preserve"> </w:t>
            </w:r>
            <w:proofErr w:type="spellStart"/>
            <w:r>
              <w:rPr>
                <w:color w:val="000000"/>
                <w:sz w:val="22"/>
                <w:szCs w:val="22"/>
                <w:lang w:val="es-ES_tradnl"/>
              </w:rPr>
              <w:t>submitted</w:t>
            </w:r>
            <w:proofErr w:type="spellEnd"/>
            <w:r>
              <w:rPr>
                <w:color w:val="000000"/>
                <w:sz w:val="22"/>
                <w:szCs w:val="22"/>
                <w:lang w:val="es-ES_tradnl"/>
              </w:rPr>
              <w:t xml:space="preserve"> in </w:t>
            </w:r>
            <w:proofErr w:type="spellStart"/>
            <w:r>
              <w:rPr>
                <w:color w:val="000000"/>
                <w:sz w:val="22"/>
                <w:szCs w:val="22"/>
                <w:lang w:val="es-ES_tradnl"/>
              </w:rPr>
              <w:t>foreign</w:t>
            </w:r>
            <w:proofErr w:type="spellEnd"/>
            <w:r>
              <w:rPr>
                <w:color w:val="000000"/>
                <w:sz w:val="22"/>
                <w:szCs w:val="22"/>
                <w:lang w:val="es-ES_tradnl"/>
              </w:rPr>
              <w:t xml:space="preserve"> </w:t>
            </w:r>
            <w:proofErr w:type="spellStart"/>
            <w:r>
              <w:rPr>
                <w:color w:val="000000"/>
                <w:sz w:val="22"/>
                <w:szCs w:val="22"/>
                <w:lang w:val="es-ES_tradnl"/>
              </w:rPr>
              <w:t>currency</w:t>
            </w:r>
            <w:proofErr w:type="spellEnd"/>
            <w:r>
              <w:rPr>
                <w:color w:val="000000"/>
                <w:sz w:val="22"/>
                <w:szCs w:val="22"/>
                <w:lang w:val="es-ES_tradnl"/>
              </w:rPr>
              <w:t xml:space="preserve"> </w:t>
            </w:r>
            <w:proofErr w:type="spellStart"/>
            <w:r>
              <w:rPr>
                <w:color w:val="000000"/>
                <w:sz w:val="22"/>
                <w:szCs w:val="22"/>
                <w:lang w:val="es-ES_tradnl"/>
              </w:rPr>
              <w:t>will</w:t>
            </w:r>
            <w:proofErr w:type="spellEnd"/>
            <w:r>
              <w:rPr>
                <w:color w:val="000000"/>
                <w:sz w:val="22"/>
                <w:szCs w:val="22"/>
                <w:lang w:val="es-ES_tradnl"/>
              </w:rPr>
              <w:t xml:space="preserve"> </w:t>
            </w:r>
            <w:proofErr w:type="spellStart"/>
            <w:r>
              <w:rPr>
                <w:color w:val="000000"/>
                <w:sz w:val="22"/>
                <w:szCs w:val="22"/>
                <w:lang w:val="es-ES_tradnl"/>
              </w:rPr>
              <w:t>not</w:t>
            </w:r>
            <w:proofErr w:type="spellEnd"/>
            <w:r>
              <w:rPr>
                <w:color w:val="000000"/>
                <w:sz w:val="22"/>
                <w:szCs w:val="22"/>
                <w:lang w:val="es-ES_tradnl"/>
              </w:rPr>
              <w:t xml:space="preserve"> be </w:t>
            </w:r>
            <w:proofErr w:type="spellStart"/>
            <w:r>
              <w:rPr>
                <w:color w:val="000000"/>
                <w:sz w:val="22"/>
                <w:szCs w:val="22"/>
                <w:lang w:val="es-ES_tradnl"/>
              </w:rPr>
              <w:t>subject</w:t>
            </w:r>
            <w:proofErr w:type="spellEnd"/>
            <w:r>
              <w:rPr>
                <w:color w:val="000000"/>
                <w:sz w:val="22"/>
                <w:szCs w:val="22"/>
                <w:lang w:val="es-ES_tradnl"/>
              </w:rPr>
              <w:t xml:space="preserve"> </w:t>
            </w:r>
            <w:proofErr w:type="spellStart"/>
            <w:r>
              <w:rPr>
                <w:color w:val="000000"/>
                <w:sz w:val="22"/>
                <w:szCs w:val="22"/>
                <w:lang w:val="es-ES_tradnl"/>
              </w:rPr>
              <w:t>to</w:t>
            </w:r>
            <w:proofErr w:type="spellEnd"/>
            <w:r>
              <w:rPr>
                <w:color w:val="000000"/>
                <w:sz w:val="22"/>
                <w:szCs w:val="22"/>
                <w:lang w:val="es-ES_tradnl"/>
              </w:rPr>
              <w:t xml:space="preserve"> </w:t>
            </w:r>
            <w:proofErr w:type="spellStart"/>
            <w:r>
              <w:rPr>
                <w:color w:val="000000"/>
                <w:sz w:val="22"/>
                <w:szCs w:val="22"/>
                <w:lang w:val="es-ES_tradnl"/>
              </w:rPr>
              <w:t>any</w:t>
            </w:r>
            <w:proofErr w:type="spellEnd"/>
            <w:r>
              <w:rPr>
                <w:color w:val="000000"/>
                <w:sz w:val="22"/>
                <w:szCs w:val="22"/>
                <w:lang w:val="es-ES_tradnl"/>
              </w:rPr>
              <w:t xml:space="preserve"> </w:t>
            </w:r>
            <w:proofErr w:type="spellStart"/>
            <w:r>
              <w:rPr>
                <w:color w:val="000000"/>
                <w:sz w:val="22"/>
                <w:szCs w:val="22"/>
                <w:lang w:val="es-ES_tradnl"/>
              </w:rPr>
              <w:t>adjustment</w:t>
            </w:r>
            <w:proofErr w:type="spellEnd"/>
            <w:r>
              <w:rPr>
                <w:color w:val="000000"/>
                <w:sz w:val="22"/>
                <w:szCs w:val="22"/>
                <w:lang w:val="es-ES_tradnl"/>
              </w:rPr>
              <w:t xml:space="preserve"> and </w:t>
            </w:r>
            <w:proofErr w:type="spellStart"/>
            <w:r>
              <w:rPr>
                <w:color w:val="000000"/>
                <w:sz w:val="22"/>
                <w:szCs w:val="22"/>
                <w:lang w:val="es-ES_tradnl"/>
              </w:rPr>
              <w:t>will</w:t>
            </w:r>
            <w:proofErr w:type="spellEnd"/>
            <w:r>
              <w:rPr>
                <w:color w:val="000000"/>
                <w:sz w:val="22"/>
                <w:szCs w:val="22"/>
                <w:lang w:val="es-ES_tradnl"/>
              </w:rPr>
              <w:t xml:space="preserve"> be </w:t>
            </w:r>
            <w:proofErr w:type="spellStart"/>
            <w:r>
              <w:rPr>
                <w:color w:val="000000"/>
                <w:sz w:val="22"/>
                <w:szCs w:val="22"/>
                <w:lang w:val="es-ES_tradnl"/>
              </w:rPr>
              <w:t>considered</w:t>
            </w:r>
            <w:proofErr w:type="spellEnd"/>
            <w:r>
              <w:rPr>
                <w:color w:val="000000"/>
                <w:sz w:val="22"/>
                <w:szCs w:val="22"/>
                <w:lang w:val="es-ES_tradnl"/>
              </w:rPr>
              <w:t xml:space="preserve"> final.</w:t>
            </w:r>
          </w:p>
          <w:p w14:paraId="23763E36" w14:textId="77777777" w:rsidR="00E255F4" w:rsidRDefault="00E255F4">
            <w:pPr>
              <w:jc w:val="both"/>
              <w:rPr>
                <w:color w:val="000000"/>
                <w:sz w:val="22"/>
                <w:szCs w:val="22"/>
                <w:lang w:val="es-ES_tradnl"/>
              </w:rPr>
            </w:pPr>
          </w:p>
          <w:p w14:paraId="0A3D5AEA" w14:textId="77777777" w:rsidR="00E255F4" w:rsidRDefault="00000000">
            <w:pPr>
              <w:jc w:val="both"/>
              <w:rPr>
                <w:color w:val="000000"/>
                <w:sz w:val="22"/>
                <w:szCs w:val="22"/>
                <w:lang w:val="es-ES_tradnl"/>
              </w:rPr>
            </w:pPr>
            <w:r>
              <w:rPr>
                <w:color w:val="000000"/>
                <w:sz w:val="22"/>
                <w:szCs w:val="22"/>
                <w:lang w:val="es-ES_tradnl"/>
              </w:rPr>
              <w:t xml:space="preserve">The </w:t>
            </w:r>
            <w:proofErr w:type="spellStart"/>
            <w:r>
              <w:rPr>
                <w:color w:val="000000"/>
                <w:sz w:val="22"/>
                <w:szCs w:val="22"/>
                <w:lang w:val="es-ES_tradnl"/>
              </w:rPr>
              <w:t>adjustment</w:t>
            </w:r>
            <w:proofErr w:type="spellEnd"/>
            <w:r>
              <w:rPr>
                <w:color w:val="000000"/>
                <w:sz w:val="22"/>
                <w:szCs w:val="22"/>
                <w:lang w:val="es-ES_tradnl"/>
              </w:rPr>
              <w:t xml:space="preserve"> formula </w:t>
            </w:r>
            <w:proofErr w:type="spellStart"/>
            <w:r>
              <w:rPr>
                <w:color w:val="000000"/>
                <w:sz w:val="22"/>
                <w:szCs w:val="22"/>
                <w:lang w:val="es-ES_tradnl"/>
              </w:rPr>
              <w:t>that</w:t>
            </w:r>
            <w:proofErr w:type="spellEnd"/>
            <w:r>
              <w:rPr>
                <w:color w:val="000000"/>
                <w:sz w:val="22"/>
                <w:szCs w:val="22"/>
                <w:lang w:val="es-ES_tradnl"/>
              </w:rPr>
              <w:t xml:space="preserve"> </w:t>
            </w:r>
            <w:proofErr w:type="spellStart"/>
            <w:r>
              <w:rPr>
                <w:color w:val="000000"/>
                <w:sz w:val="22"/>
                <w:szCs w:val="22"/>
                <w:lang w:val="es-ES_tradnl"/>
              </w:rPr>
              <w:t>will</w:t>
            </w:r>
            <w:proofErr w:type="spellEnd"/>
            <w:r>
              <w:rPr>
                <w:color w:val="000000"/>
                <w:sz w:val="22"/>
                <w:szCs w:val="22"/>
                <w:lang w:val="es-ES_tradnl"/>
              </w:rPr>
              <w:t xml:space="preserve"> </w:t>
            </w:r>
            <w:proofErr w:type="spellStart"/>
            <w:r>
              <w:rPr>
                <w:color w:val="000000"/>
                <w:sz w:val="22"/>
                <w:szCs w:val="22"/>
                <w:lang w:val="es-ES_tradnl"/>
              </w:rPr>
              <w:t>govern</w:t>
            </w:r>
            <w:proofErr w:type="spellEnd"/>
            <w:r>
              <w:rPr>
                <w:color w:val="000000"/>
                <w:sz w:val="22"/>
                <w:szCs w:val="22"/>
                <w:lang w:val="es-ES_tradnl"/>
              </w:rPr>
              <w:t xml:space="preserve"> </w:t>
            </w:r>
            <w:proofErr w:type="spellStart"/>
            <w:r>
              <w:rPr>
                <w:color w:val="000000"/>
                <w:sz w:val="22"/>
                <w:szCs w:val="22"/>
                <w:lang w:val="es-ES_tradnl"/>
              </w:rPr>
              <w:t>the</w:t>
            </w:r>
            <w:proofErr w:type="spellEnd"/>
            <w:r>
              <w:rPr>
                <w:color w:val="000000"/>
                <w:sz w:val="22"/>
                <w:szCs w:val="22"/>
                <w:lang w:val="es-ES_tradnl"/>
              </w:rPr>
              <w:t xml:space="preserve"> </w:t>
            </w:r>
            <w:proofErr w:type="spellStart"/>
            <w:r>
              <w:rPr>
                <w:color w:val="000000"/>
                <w:sz w:val="22"/>
                <w:szCs w:val="22"/>
                <w:lang w:val="es-ES_tradnl"/>
              </w:rPr>
              <w:t>calculation</w:t>
            </w:r>
            <w:proofErr w:type="spellEnd"/>
            <w:r>
              <w:rPr>
                <w:color w:val="000000"/>
                <w:sz w:val="22"/>
                <w:szCs w:val="22"/>
                <w:lang w:val="es-ES_tradnl"/>
              </w:rPr>
              <w:t xml:space="preserve"> </w:t>
            </w:r>
            <w:proofErr w:type="spellStart"/>
            <w:r>
              <w:rPr>
                <w:color w:val="000000"/>
                <w:sz w:val="22"/>
                <w:szCs w:val="22"/>
                <w:lang w:val="es-ES_tradnl"/>
              </w:rPr>
              <w:t>of</w:t>
            </w:r>
            <w:proofErr w:type="spellEnd"/>
            <w:r>
              <w:rPr>
                <w:color w:val="000000"/>
                <w:sz w:val="22"/>
                <w:szCs w:val="22"/>
                <w:lang w:val="es-ES_tradnl"/>
              </w:rPr>
              <w:t xml:space="preserve"> </w:t>
            </w:r>
            <w:proofErr w:type="spellStart"/>
            <w:r>
              <w:rPr>
                <w:color w:val="000000"/>
                <w:sz w:val="22"/>
                <w:szCs w:val="22"/>
                <w:lang w:val="es-ES_tradnl"/>
              </w:rPr>
              <w:t>price</w:t>
            </w:r>
            <w:proofErr w:type="spellEnd"/>
            <w:r>
              <w:rPr>
                <w:color w:val="000000"/>
                <w:sz w:val="22"/>
                <w:szCs w:val="22"/>
                <w:lang w:val="es-ES_tradnl"/>
              </w:rPr>
              <w:t xml:space="preserve"> </w:t>
            </w:r>
            <w:proofErr w:type="spellStart"/>
            <w:r>
              <w:rPr>
                <w:color w:val="000000"/>
                <w:sz w:val="22"/>
                <w:szCs w:val="22"/>
                <w:lang w:val="es-ES_tradnl"/>
              </w:rPr>
              <w:t>variations</w:t>
            </w:r>
            <w:proofErr w:type="spellEnd"/>
            <w:r>
              <w:rPr>
                <w:color w:val="000000"/>
                <w:sz w:val="22"/>
                <w:szCs w:val="22"/>
                <w:lang w:val="es-ES_tradnl"/>
              </w:rPr>
              <w:t xml:space="preserve"> </w:t>
            </w:r>
            <w:proofErr w:type="spellStart"/>
            <w:r>
              <w:rPr>
                <w:color w:val="000000"/>
                <w:sz w:val="22"/>
                <w:szCs w:val="22"/>
                <w:lang w:val="es-ES_tradnl"/>
              </w:rPr>
              <w:t>for</w:t>
            </w:r>
            <w:proofErr w:type="spellEnd"/>
            <w:r>
              <w:rPr>
                <w:color w:val="000000"/>
                <w:sz w:val="22"/>
                <w:szCs w:val="22"/>
                <w:lang w:val="es-ES_tradnl"/>
              </w:rPr>
              <w:t xml:space="preserve"> </w:t>
            </w:r>
            <w:proofErr w:type="spellStart"/>
            <w:r>
              <w:rPr>
                <w:color w:val="000000"/>
                <w:sz w:val="22"/>
                <w:szCs w:val="22"/>
                <w:lang w:val="es-ES_tradnl"/>
              </w:rPr>
              <w:t>offers</w:t>
            </w:r>
            <w:proofErr w:type="spellEnd"/>
            <w:r>
              <w:rPr>
                <w:color w:val="000000"/>
                <w:sz w:val="22"/>
                <w:szCs w:val="22"/>
                <w:lang w:val="es-ES_tradnl"/>
              </w:rPr>
              <w:t xml:space="preserve"> </w:t>
            </w:r>
            <w:proofErr w:type="spellStart"/>
            <w:r>
              <w:rPr>
                <w:color w:val="000000"/>
                <w:sz w:val="22"/>
                <w:szCs w:val="22"/>
                <w:lang w:val="es-ES_tradnl"/>
              </w:rPr>
              <w:t>made</w:t>
            </w:r>
            <w:proofErr w:type="spellEnd"/>
            <w:r>
              <w:rPr>
                <w:color w:val="000000"/>
                <w:sz w:val="22"/>
                <w:szCs w:val="22"/>
                <w:lang w:val="es-ES_tradnl"/>
              </w:rPr>
              <w:t xml:space="preserve"> in </w:t>
            </w:r>
            <w:proofErr w:type="spellStart"/>
            <w:r>
              <w:rPr>
                <w:color w:val="000000"/>
                <w:sz w:val="22"/>
                <w:szCs w:val="22"/>
                <w:lang w:val="es-ES_tradnl"/>
              </w:rPr>
              <w:t>national</w:t>
            </w:r>
            <w:proofErr w:type="spellEnd"/>
            <w:r>
              <w:rPr>
                <w:color w:val="000000"/>
                <w:sz w:val="22"/>
                <w:szCs w:val="22"/>
                <w:lang w:val="es-ES_tradnl"/>
              </w:rPr>
              <w:t xml:space="preserve"> </w:t>
            </w:r>
            <w:proofErr w:type="spellStart"/>
            <w:r>
              <w:rPr>
                <w:color w:val="000000"/>
                <w:sz w:val="22"/>
                <w:szCs w:val="22"/>
                <w:lang w:val="es-ES_tradnl"/>
              </w:rPr>
              <w:t>currency</w:t>
            </w:r>
            <w:proofErr w:type="spellEnd"/>
            <w:r>
              <w:rPr>
                <w:color w:val="000000"/>
                <w:sz w:val="22"/>
                <w:szCs w:val="22"/>
                <w:lang w:val="es-ES_tradnl"/>
              </w:rPr>
              <w:t xml:space="preserve"> </w:t>
            </w:r>
            <w:proofErr w:type="spellStart"/>
            <w:r>
              <w:rPr>
                <w:color w:val="000000"/>
                <w:sz w:val="22"/>
                <w:szCs w:val="22"/>
                <w:lang w:val="es-ES_tradnl"/>
              </w:rPr>
              <w:t>is</w:t>
            </w:r>
            <w:proofErr w:type="spellEnd"/>
            <w:r>
              <w:rPr>
                <w:color w:val="000000"/>
                <w:sz w:val="22"/>
                <w:szCs w:val="22"/>
                <w:lang w:val="es-ES_tradnl"/>
              </w:rPr>
              <w:t xml:space="preserve"> as </w:t>
            </w:r>
            <w:proofErr w:type="spellStart"/>
            <w:r>
              <w:rPr>
                <w:color w:val="000000"/>
                <w:sz w:val="22"/>
                <w:szCs w:val="22"/>
                <w:lang w:val="es-ES_tradnl"/>
              </w:rPr>
              <w:t>follows</w:t>
            </w:r>
            <w:proofErr w:type="spellEnd"/>
            <w:r>
              <w:rPr>
                <w:color w:val="000000"/>
                <w:sz w:val="22"/>
                <w:szCs w:val="22"/>
                <w:lang w:val="es-ES_tradnl"/>
              </w:rPr>
              <w:t xml:space="preserve">:  </w:t>
            </w:r>
          </w:p>
          <w:p w14:paraId="6ED56672" w14:textId="77777777" w:rsidR="00E255F4" w:rsidRDefault="00E255F4">
            <w:pPr>
              <w:ind w:left="2125"/>
              <w:jc w:val="both"/>
              <w:rPr>
                <w:color w:val="000000"/>
                <w:spacing w:val="-3"/>
                <w:sz w:val="22"/>
                <w:szCs w:val="22"/>
                <w:lang w:val="es-ES"/>
              </w:rPr>
            </w:pPr>
          </w:p>
          <w:p w14:paraId="0BC82066" w14:textId="77777777" w:rsidR="00E255F4" w:rsidRDefault="00000000">
            <w:pPr>
              <w:ind w:left="2125"/>
              <w:jc w:val="both"/>
              <w:rPr>
                <w:color w:val="000000"/>
                <w:spacing w:val="-3"/>
                <w:sz w:val="22"/>
                <w:szCs w:val="22"/>
                <w:lang w:val="es-ES"/>
              </w:rPr>
            </w:pPr>
            <w:r>
              <w:rPr>
                <w:b/>
                <w:color w:val="000000"/>
                <w:spacing w:val="-3"/>
                <w:sz w:val="22"/>
                <w:szCs w:val="22"/>
                <w:lang w:val="es-ES"/>
              </w:rPr>
              <w:t xml:space="preserve">             </w:t>
            </w:r>
            <w:r>
              <w:rPr>
                <w:rFonts w:cs="Arial"/>
                <w:b/>
                <w:color w:val="000000"/>
                <w:spacing w:val="-3"/>
                <w:sz w:val="22"/>
                <w:szCs w:val="22"/>
                <w:lang w:val="es-ES"/>
              </w:rPr>
              <w:t xml:space="preserve">P= </w:t>
            </w:r>
            <w:proofErr w:type="gramStart"/>
            <w:r>
              <w:rPr>
                <w:rFonts w:cs="Arial"/>
                <w:b/>
                <w:color w:val="000000"/>
                <w:spacing w:val="-3"/>
                <w:sz w:val="22"/>
                <w:szCs w:val="22"/>
                <w:lang w:val="es-ES"/>
              </w:rPr>
              <w:t>Po(</w:t>
            </w:r>
            <w:proofErr w:type="gramEnd"/>
            <w:r>
              <w:rPr>
                <w:rFonts w:cs="Arial"/>
                <w:b/>
                <w:color w:val="000000"/>
                <w:spacing w:val="-3"/>
                <w:sz w:val="22"/>
                <w:szCs w:val="22"/>
                <w:lang w:val="es-ES"/>
              </w:rPr>
              <w:t>IPC/</w:t>
            </w:r>
            <w:proofErr w:type="spellStart"/>
            <w:r>
              <w:rPr>
                <w:rFonts w:cs="Arial"/>
                <w:b/>
                <w:color w:val="000000"/>
                <w:spacing w:val="-3"/>
                <w:sz w:val="22"/>
                <w:szCs w:val="22"/>
                <w:lang w:val="es-ES"/>
              </w:rPr>
              <w:t>IPCo</w:t>
            </w:r>
            <w:proofErr w:type="spellEnd"/>
            <w:r>
              <w:rPr>
                <w:rFonts w:cs="Arial"/>
                <w:b/>
                <w:color w:val="000000"/>
                <w:spacing w:val="-3"/>
                <w:sz w:val="22"/>
                <w:szCs w:val="22"/>
                <w:lang w:val="es-ES"/>
              </w:rPr>
              <w:t>)</w:t>
            </w:r>
          </w:p>
          <w:p w14:paraId="178F9BA2" w14:textId="77777777" w:rsidR="00E255F4" w:rsidRDefault="00000000">
            <w:pPr>
              <w:jc w:val="both"/>
              <w:rPr>
                <w:color w:val="000000"/>
                <w:spacing w:val="-3"/>
                <w:sz w:val="22"/>
                <w:szCs w:val="22"/>
                <w:lang w:val="es-ES"/>
              </w:rPr>
            </w:pPr>
            <w:proofErr w:type="spellStart"/>
            <w:r>
              <w:rPr>
                <w:color w:val="000000"/>
                <w:spacing w:val="-3"/>
                <w:sz w:val="22"/>
                <w:szCs w:val="22"/>
                <w:lang w:val="es-ES"/>
              </w:rPr>
              <w:t>being</w:t>
            </w:r>
            <w:proofErr w:type="spellEnd"/>
            <w:r>
              <w:rPr>
                <w:color w:val="000000"/>
                <w:spacing w:val="-3"/>
                <w:sz w:val="22"/>
                <w:szCs w:val="22"/>
                <w:lang w:val="es-ES"/>
              </w:rPr>
              <w:t>:</w:t>
            </w:r>
          </w:p>
          <w:tbl>
            <w:tblPr>
              <w:tblW w:w="7098" w:type="dxa"/>
              <w:jc w:val="center"/>
              <w:tblLayout w:type="fixed"/>
              <w:tblLook w:val="04A0" w:firstRow="1" w:lastRow="0" w:firstColumn="1" w:lastColumn="0" w:noHBand="0" w:noVBand="1"/>
            </w:tblPr>
            <w:tblGrid>
              <w:gridCol w:w="780"/>
              <w:gridCol w:w="6318"/>
            </w:tblGrid>
            <w:tr w:rsidR="00E255F4" w14:paraId="3AC9C7E6" w14:textId="77777777">
              <w:trPr>
                <w:trHeight w:val="411"/>
                <w:jc w:val="center"/>
              </w:trPr>
              <w:tc>
                <w:tcPr>
                  <w:tcW w:w="780" w:type="dxa"/>
                  <w:tcBorders>
                    <w:top w:val="single" w:sz="4" w:space="0" w:color="000000"/>
                    <w:left w:val="single" w:sz="4" w:space="0" w:color="000000"/>
                    <w:bottom w:val="single" w:sz="4" w:space="0" w:color="000000"/>
                    <w:right w:val="single" w:sz="4" w:space="0" w:color="000000"/>
                  </w:tcBorders>
                  <w:vAlign w:val="center"/>
                </w:tcPr>
                <w:p w14:paraId="7B5260A0" w14:textId="77777777" w:rsidR="00E255F4" w:rsidRDefault="00000000">
                  <w:pPr>
                    <w:jc w:val="both"/>
                    <w:rPr>
                      <w:color w:val="000000"/>
                      <w:sz w:val="22"/>
                      <w:lang w:val="es-ES"/>
                    </w:rPr>
                  </w:pPr>
                  <w:r>
                    <w:rPr>
                      <w:color w:val="000000"/>
                      <w:sz w:val="22"/>
                      <w:lang w:val="es-ES"/>
                    </w:rPr>
                    <w:t>P</w:t>
                  </w:r>
                </w:p>
              </w:tc>
              <w:tc>
                <w:tcPr>
                  <w:tcW w:w="6318" w:type="dxa"/>
                  <w:tcBorders>
                    <w:top w:val="single" w:sz="4" w:space="0" w:color="000000"/>
                    <w:left w:val="single" w:sz="4" w:space="0" w:color="000000"/>
                    <w:bottom w:val="single" w:sz="4" w:space="0" w:color="000000"/>
                    <w:right w:val="single" w:sz="4" w:space="0" w:color="000000"/>
                  </w:tcBorders>
                  <w:vAlign w:val="center"/>
                </w:tcPr>
                <w:p w14:paraId="2251E4F8" w14:textId="77777777" w:rsidR="00E255F4" w:rsidRDefault="00000000">
                  <w:pPr>
                    <w:spacing w:line="240" w:lineRule="auto"/>
                    <w:jc w:val="both"/>
                    <w:rPr>
                      <w:color w:val="000000"/>
                      <w:sz w:val="22"/>
                      <w:szCs w:val="22"/>
                      <w:lang w:val="es-ES"/>
                    </w:rPr>
                  </w:pPr>
                  <w:r>
                    <w:rPr>
                      <w:color w:val="000000"/>
                      <w:sz w:val="22"/>
                      <w:szCs w:val="22"/>
                      <w:lang w:val="es-ES"/>
                    </w:rPr>
                    <w:t xml:space="preserve">Updated </w:t>
                  </w:r>
                  <w:proofErr w:type="spellStart"/>
                  <w:r>
                    <w:rPr>
                      <w:color w:val="000000"/>
                      <w:sz w:val="22"/>
                      <w:szCs w:val="22"/>
                      <w:lang w:val="es-ES"/>
                    </w:rPr>
                    <w:t>price</w:t>
                  </w:r>
                  <w:proofErr w:type="spellEnd"/>
                  <w:r>
                    <w:rPr>
                      <w:color w:val="000000"/>
                      <w:sz w:val="22"/>
                      <w:szCs w:val="22"/>
                      <w:lang w:val="es-ES"/>
                    </w:rPr>
                    <w:t xml:space="preserve"> </w:t>
                  </w:r>
                  <w:proofErr w:type="spellStart"/>
                  <w:r>
                    <w:rPr>
                      <w:color w:val="000000"/>
                      <w:sz w:val="22"/>
                      <w:szCs w:val="22"/>
                      <w:lang w:val="es-ES"/>
                    </w:rPr>
                    <w:t>of</w:t>
                  </w:r>
                  <w:proofErr w:type="spellEnd"/>
                  <w:r>
                    <w:rPr>
                      <w:color w:val="000000"/>
                      <w:sz w:val="22"/>
                      <w:szCs w:val="22"/>
                      <w:lang w:val="es-ES"/>
                    </w:rPr>
                    <w:t xml:space="preserve"> </w:t>
                  </w:r>
                  <w:proofErr w:type="spellStart"/>
                  <w:r>
                    <w:rPr>
                      <w:color w:val="000000"/>
                      <w:sz w:val="22"/>
                      <w:szCs w:val="22"/>
                      <w:lang w:val="es-ES"/>
                    </w:rPr>
                    <w:t>the</w:t>
                  </w:r>
                  <w:proofErr w:type="spellEnd"/>
                  <w:r>
                    <w:rPr>
                      <w:color w:val="000000"/>
                      <w:sz w:val="22"/>
                      <w:szCs w:val="22"/>
                      <w:lang w:val="es-ES"/>
                    </w:rPr>
                    <w:t xml:space="preserve"> </w:t>
                  </w:r>
                  <w:proofErr w:type="spellStart"/>
                  <w:r>
                    <w:rPr>
                      <w:color w:val="000000"/>
                      <w:sz w:val="22"/>
                      <w:szCs w:val="22"/>
                      <w:lang w:val="es-ES"/>
                    </w:rPr>
                    <w:t>supply</w:t>
                  </w:r>
                  <w:proofErr w:type="spellEnd"/>
                  <w:r>
                    <w:rPr>
                      <w:color w:val="000000"/>
                      <w:sz w:val="22"/>
                      <w:szCs w:val="22"/>
                      <w:lang w:val="es-ES"/>
                    </w:rPr>
                    <w:t xml:space="preserve"> </w:t>
                  </w:r>
                  <w:proofErr w:type="spellStart"/>
                  <w:r>
                    <w:rPr>
                      <w:color w:val="000000"/>
                      <w:sz w:val="22"/>
                      <w:szCs w:val="22"/>
                      <w:lang w:val="es-ES"/>
                    </w:rPr>
                    <w:t>made</w:t>
                  </w:r>
                  <w:proofErr w:type="spellEnd"/>
                  <w:r>
                    <w:rPr>
                      <w:color w:val="000000"/>
                      <w:sz w:val="22"/>
                      <w:szCs w:val="22"/>
                      <w:lang w:val="es-ES"/>
                    </w:rPr>
                    <w:t>.</w:t>
                  </w:r>
                </w:p>
              </w:tc>
            </w:tr>
            <w:tr w:rsidR="00E255F4" w14:paraId="19031FE1" w14:textId="77777777">
              <w:trPr>
                <w:trHeight w:val="416"/>
                <w:jc w:val="center"/>
              </w:trPr>
              <w:tc>
                <w:tcPr>
                  <w:tcW w:w="780" w:type="dxa"/>
                  <w:tcBorders>
                    <w:top w:val="single" w:sz="4" w:space="0" w:color="000000"/>
                    <w:left w:val="single" w:sz="4" w:space="0" w:color="000000"/>
                    <w:bottom w:val="single" w:sz="4" w:space="0" w:color="000000"/>
                    <w:right w:val="single" w:sz="4" w:space="0" w:color="000000"/>
                  </w:tcBorders>
                  <w:vAlign w:val="center"/>
                </w:tcPr>
                <w:p w14:paraId="6A06992B" w14:textId="77777777" w:rsidR="00E255F4" w:rsidRDefault="00000000">
                  <w:pPr>
                    <w:jc w:val="both"/>
                    <w:rPr>
                      <w:color w:val="000000"/>
                      <w:sz w:val="22"/>
                    </w:rPr>
                  </w:pPr>
                  <w:r>
                    <w:rPr>
                      <w:color w:val="000000"/>
                      <w:sz w:val="22"/>
                    </w:rPr>
                    <w:t>Po</w:t>
                  </w:r>
                </w:p>
              </w:tc>
              <w:tc>
                <w:tcPr>
                  <w:tcW w:w="6318" w:type="dxa"/>
                  <w:tcBorders>
                    <w:top w:val="single" w:sz="4" w:space="0" w:color="000000"/>
                    <w:left w:val="single" w:sz="4" w:space="0" w:color="000000"/>
                    <w:bottom w:val="single" w:sz="4" w:space="0" w:color="000000"/>
                    <w:right w:val="single" w:sz="4" w:space="0" w:color="000000"/>
                  </w:tcBorders>
                  <w:vAlign w:val="center"/>
                </w:tcPr>
                <w:p w14:paraId="1A2F05ED" w14:textId="77777777" w:rsidR="00E255F4" w:rsidRDefault="00000000">
                  <w:pPr>
                    <w:spacing w:line="240" w:lineRule="auto"/>
                    <w:jc w:val="both"/>
                    <w:rPr>
                      <w:color w:val="000000"/>
                      <w:sz w:val="22"/>
                      <w:szCs w:val="22"/>
                      <w:lang w:val="es-ES"/>
                    </w:rPr>
                  </w:pPr>
                  <w:proofErr w:type="spellStart"/>
                  <w:r>
                    <w:rPr>
                      <w:color w:val="000000"/>
                      <w:sz w:val="22"/>
                      <w:szCs w:val="22"/>
                      <w:lang w:val="es-ES"/>
                    </w:rPr>
                    <w:t>Supply</w:t>
                  </w:r>
                  <w:proofErr w:type="spellEnd"/>
                  <w:r>
                    <w:rPr>
                      <w:color w:val="000000"/>
                      <w:sz w:val="22"/>
                      <w:szCs w:val="22"/>
                      <w:lang w:val="es-ES"/>
                    </w:rPr>
                    <w:t xml:space="preserve"> </w:t>
                  </w:r>
                  <w:proofErr w:type="spellStart"/>
                  <w:r>
                    <w:rPr>
                      <w:color w:val="000000"/>
                      <w:sz w:val="22"/>
                      <w:szCs w:val="22"/>
                      <w:lang w:val="es-ES"/>
                    </w:rPr>
                    <w:t>offer</w:t>
                  </w:r>
                  <w:proofErr w:type="spellEnd"/>
                  <w:r>
                    <w:rPr>
                      <w:color w:val="000000"/>
                      <w:sz w:val="22"/>
                      <w:szCs w:val="22"/>
                      <w:lang w:val="es-ES"/>
                    </w:rPr>
                    <w:t xml:space="preserve"> </w:t>
                  </w:r>
                  <w:proofErr w:type="spellStart"/>
                  <w:r>
                    <w:rPr>
                      <w:color w:val="000000"/>
                      <w:sz w:val="22"/>
                      <w:szCs w:val="22"/>
                      <w:lang w:val="es-ES"/>
                    </w:rPr>
                    <w:t>price</w:t>
                  </w:r>
                  <w:proofErr w:type="spellEnd"/>
                  <w:r>
                    <w:rPr>
                      <w:color w:val="000000"/>
                      <w:sz w:val="22"/>
                      <w:szCs w:val="22"/>
                      <w:lang w:val="es-ES"/>
                    </w:rPr>
                    <w:t>.</w:t>
                  </w:r>
                </w:p>
              </w:tc>
            </w:tr>
            <w:tr w:rsidR="00E255F4" w14:paraId="28CDAD89" w14:textId="77777777">
              <w:trPr>
                <w:jc w:val="center"/>
              </w:trPr>
              <w:tc>
                <w:tcPr>
                  <w:tcW w:w="780" w:type="dxa"/>
                  <w:tcBorders>
                    <w:top w:val="single" w:sz="4" w:space="0" w:color="000000"/>
                    <w:left w:val="single" w:sz="4" w:space="0" w:color="000000"/>
                    <w:bottom w:val="single" w:sz="4" w:space="0" w:color="000000"/>
                    <w:right w:val="single" w:sz="4" w:space="0" w:color="000000"/>
                  </w:tcBorders>
                  <w:vAlign w:val="center"/>
                </w:tcPr>
                <w:p w14:paraId="27EAB8DB" w14:textId="77777777" w:rsidR="00E255F4" w:rsidRDefault="00000000">
                  <w:pPr>
                    <w:jc w:val="both"/>
                    <w:rPr>
                      <w:color w:val="000000"/>
                      <w:sz w:val="22"/>
                      <w:lang w:val="es-ES"/>
                    </w:rPr>
                  </w:pPr>
                  <w:r>
                    <w:rPr>
                      <w:color w:val="000000"/>
                      <w:sz w:val="22"/>
                      <w:lang w:val="es-ES"/>
                    </w:rPr>
                    <w:t>CPI</w:t>
                  </w:r>
                </w:p>
              </w:tc>
              <w:tc>
                <w:tcPr>
                  <w:tcW w:w="6318" w:type="dxa"/>
                  <w:tcBorders>
                    <w:top w:val="single" w:sz="4" w:space="0" w:color="000000"/>
                    <w:left w:val="single" w:sz="4" w:space="0" w:color="000000"/>
                    <w:bottom w:val="single" w:sz="4" w:space="0" w:color="000000"/>
                    <w:right w:val="single" w:sz="4" w:space="0" w:color="000000"/>
                  </w:tcBorders>
                </w:tcPr>
                <w:p w14:paraId="72C27349" w14:textId="77777777" w:rsidR="00E255F4" w:rsidRDefault="00000000">
                  <w:pPr>
                    <w:spacing w:line="240" w:lineRule="auto"/>
                    <w:jc w:val="both"/>
                  </w:pPr>
                  <w:proofErr w:type="spellStart"/>
                  <w:r>
                    <w:rPr>
                      <w:color w:val="000000"/>
                      <w:sz w:val="22"/>
                      <w:szCs w:val="22"/>
                      <w:lang w:val="es-ES"/>
                    </w:rPr>
                    <w:t>Value</w:t>
                  </w:r>
                  <w:proofErr w:type="spellEnd"/>
                  <w:r>
                    <w:rPr>
                      <w:color w:val="000000"/>
                      <w:sz w:val="22"/>
                      <w:szCs w:val="22"/>
                      <w:lang w:val="es-ES"/>
                    </w:rPr>
                    <w:t xml:space="preserve"> </w:t>
                  </w:r>
                  <w:proofErr w:type="spellStart"/>
                  <w:r>
                    <w:rPr>
                      <w:color w:val="000000"/>
                      <w:sz w:val="22"/>
                      <w:szCs w:val="22"/>
                      <w:lang w:val="es-ES"/>
                    </w:rPr>
                    <w:t>of</w:t>
                  </w:r>
                  <w:proofErr w:type="spellEnd"/>
                  <w:r>
                    <w:rPr>
                      <w:color w:val="000000"/>
                      <w:sz w:val="22"/>
                      <w:szCs w:val="22"/>
                      <w:lang w:val="es-ES"/>
                    </w:rPr>
                    <w:t xml:space="preserve"> </w:t>
                  </w:r>
                  <w:proofErr w:type="spellStart"/>
                  <w:r>
                    <w:rPr>
                      <w:color w:val="000000"/>
                      <w:sz w:val="22"/>
                      <w:szCs w:val="22"/>
                      <w:lang w:val="es-ES"/>
                    </w:rPr>
                    <w:t>the</w:t>
                  </w:r>
                  <w:proofErr w:type="spellEnd"/>
                  <w:r>
                    <w:rPr>
                      <w:color w:val="000000"/>
                      <w:sz w:val="22"/>
                      <w:szCs w:val="22"/>
                      <w:lang w:val="es-ES"/>
                    </w:rPr>
                    <w:t xml:space="preserve"> </w:t>
                  </w:r>
                  <w:proofErr w:type="spellStart"/>
                  <w:r>
                    <w:rPr>
                      <w:color w:val="000000"/>
                      <w:sz w:val="22"/>
                      <w:szCs w:val="22"/>
                      <w:lang w:val="es-ES"/>
                    </w:rPr>
                    <w:t>Consumer</w:t>
                  </w:r>
                  <w:proofErr w:type="spellEnd"/>
                  <w:r>
                    <w:rPr>
                      <w:color w:val="000000"/>
                      <w:sz w:val="22"/>
                      <w:szCs w:val="22"/>
                      <w:lang w:val="es-ES"/>
                    </w:rPr>
                    <w:t xml:space="preserve"> Price </w:t>
                  </w:r>
                  <w:proofErr w:type="spellStart"/>
                  <w:r>
                    <w:rPr>
                      <w:color w:val="000000"/>
                      <w:sz w:val="22"/>
                      <w:szCs w:val="22"/>
                      <w:lang w:val="es-ES"/>
                    </w:rPr>
                    <w:t>Index</w:t>
                  </w:r>
                  <w:proofErr w:type="spellEnd"/>
                  <w:r>
                    <w:rPr>
                      <w:color w:val="000000"/>
                      <w:sz w:val="22"/>
                      <w:szCs w:val="22"/>
                      <w:lang w:val="es-ES"/>
                    </w:rPr>
                    <w:t xml:space="preserve"> </w:t>
                  </w:r>
                  <w:proofErr w:type="spellStart"/>
                  <w:r>
                    <w:rPr>
                      <w:color w:val="000000"/>
                      <w:sz w:val="22"/>
                      <w:szCs w:val="22"/>
                      <w:lang w:val="es-ES"/>
                    </w:rPr>
                    <w:t>according</w:t>
                  </w:r>
                  <w:proofErr w:type="spellEnd"/>
                  <w:r>
                    <w:rPr>
                      <w:color w:val="000000"/>
                      <w:sz w:val="22"/>
                      <w:szCs w:val="22"/>
                      <w:lang w:val="es-ES"/>
                    </w:rPr>
                    <w:t xml:space="preserve"> </w:t>
                  </w:r>
                  <w:proofErr w:type="spellStart"/>
                  <w:r>
                    <w:rPr>
                      <w:color w:val="000000"/>
                      <w:sz w:val="22"/>
                      <w:szCs w:val="22"/>
                      <w:lang w:val="es-ES"/>
                    </w:rPr>
                    <w:t>to</w:t>
                  </w:r>
                  <w:proofErr w:type="spellEnd"/>
                  <w:r>
                    <w:rPr>
                      <w:color w:val="000000"/>
                      <w:sz w:val="22"/>
                      <w:szCs w:val="22"/>
                      <w:lang w:val="es-ES"/>
                    </w:rPr>
                    <w:t xml:space="preserve"> </w:t>
                  </w:r>
                  <w:proofErr w:type="spellStart"/>
                  <w:r>
                    <w:rPr>
                      <w:color w:val="000000"/>
                      <w:sz w:val="22"/>
                      <w:szCs w:val="22"/>
                      <w:lang w:val="es-ES"/>
                    </w:rPr>
                    <w:t>the</w:t>
                  </w:r>
                  <w:proofErr w:type="spellEnd"/>
                  <w:r>
                    <w:rPr>
                      <w:color w:val="000000"/>
                      <w:sz w:val="22"/>
                      <w:szCs w:val="22"/>
                      <w:lang w:val="es-ES"/>
                    </w:rPr>
                    <w:t xml:space="preserve"> </w:t>
                  </w:r>
                  <w:proofErr w:type="spellStart"/>
                  <w:r>
                    <w:rPr>
                      <w:color w:val="000000"/>
                      <w:sz w:val="22"/>
                      <w:szCs w:val="22"/>
                      <w:lang w:val="es-ES"/>
                    </w:rPr>
                    <w:t>National</w:t>
                  </w:r>
                  <w:proofErr w:type="spellEnd"/>
                  <w:r>
                    <w:rPr>
                      <w:color w:val="000000"/>
                      <w:sz w:val="22"/>
                      <w:szCs w:val="22"/>
                      <w:lang w:val="es-ES"/>
                    </w:rPr>
                    <w:t xml:space="preserve"> </w:t>
                  </w:r>
                  <w:proofErr w:type="spellStart"/>
                  <w:r>
                    <w:rPr>
                      <w:color w:val="000000"/>
                      <w:sz w:val="22"/>
                      <w:szCs w:val="22"/>
                      <w:lang w:val="es-ES"/>
                    </w:rPr>
                    <w:t>Institute</w:t>
                  </w:r>
                  <w:proofErr w:type="spellEnd"/>
                  <w:r>
                    <w:rPr>
                      <w:color w:val="000000"/>
                      <w:sz w:val="22"/>
                      <w:szCs w:val="22"/>
                      <w:lang w:val="es-ES"/>
                    </w:rPr>
                    <w:t xml:space="preserve"> </w:t>
                  </w:r>
                  <w:proofErr w:type="spellStart"/>
                  <w:r>
                    <w:rPr>
                      <w:color w:val="000000"/>
                      <w:sz w:val="22"/>
                      <w:szCs w:val="22"/>
                      <w:lang w:val="es-ES"/>
                    </w:rPr>
                    <w:t>of</w:t>
                  </w:r>
                  <w:proofErr w:type="spellEnd"/>
                  <w:r>
                    <w:rPr>
                      <w:color w:val="000000"/>
                      <w:sz w:val="22"/>
                      <w:szCs w:val="22"/>
                      <w:lang w:val="es-ES"/>
                    </w:rPr>
                    <w:t xml:space="preserve"> </w:t>
                  </w:r>
                  <w:proofErr w:type="spellStart"/>
                  <w:r>
                    <w:rPr>
                      <w:color w:val="000000"/>
                      <w:sz w:val="22"/>
                      <w:szCs w:val="22"/>
                      <w:lang w:val="es-ES"/>
                    </w:rPr>
                    <w:t>Statistics</w:t>
                  </w:r>
                  <w:proofErr w:type="spellEnd"/>
                  <w:r>
                    <w:rPr>
                      <w:color w:val="000000"/>
                      <w:sz w:val="22"/>
                      <w:szCs w:val="22"/>
                      <w:lang w:val="es-ES"/>
                    </w:rPr>
                    <w:t xml:space="preserve"> </w:t>
                  </w:r>
                  <w:proofErr w:type="spellStart"/>
                  <w:r>
                    <w:rPr>
                      <w:color w:val="000000"/>
                      <w:sz w:val="22"/>
                      <w:szCs w:val="22"/>
                      <w:lang w:val="es-ES"/>
                    </w:rPr>
                    <w:t>corresponding</w:t>
                  </w:r>
                  <w:proofErr w:type="spellEnd"/>
                  <w:r>
                    <w:rPr>
                      <w:color w:val="000000"/>
                      <w:sz w:val="22"/>
                      <w:szCs w:val="22"/>
                      <w:lang w:val="es-ES"/>
                    </w:rPr>
                    <w:t xml:space="preserve"> </w:t>
                  </w:r>
                  <w:proofErr w:type="spellStart"/>
                  <w:r>
                    <w:rPr>
                      <w:color w:val="000000"/>
                      <w:sz w:val="22"/>
                      <w:szCs w:val="22"/>
                      <w:lang w:val="es-ES"/>
                    </w:rPr>
                    <w:t>to</w:t>
                  </w:r>
                  <w:proofErr w:type="spellEnd"/>
                  <w:r>
                    <w:rPr>
                      <w:color w:val="000000"/>
                      <w:sz w:val="22"/>
                      <w:szCs w:val="22"/>
                      <w:lang w:val="es-ES"/>
                    </w:rPr>
                    <w:t xml:space="preserve"> </w:t>
                  </w:r>
                  <w:proofErr w:type="spellStart"/>
                  <w:r>
                    <w:rPr>
                      <w:color w:val="000000"/>
                      <w:sz w:val="22"/>
                      <w:szCs w:val="22"/>
                      <w:lang w:val="es-ES"/>
                    </w:rPr>
                    <w:t>the</w:t>
                  </w:r>
                  <w:proofErr w:type="spellEnd"/>
                  <w:r>
                    <w:rPr>
                      <w:color w:val="000000"/>
                      <w:sz w:val="22"/>
                      <w:szCs w:val="22"/>
                      <w:lang w:val="es-ES"/>
                    </w:rPr>
                    <w:t xml:space="preserve"> </w:t>
                  </w:r>
                  <w:proofErr w:type="spellStart"/>
                  <w:r>
                    <w:rPr>
                      <w:color w:val="000000"/>
                      <w:sz w:val="22"/>
                      <w:szCs w:val="22"/>
                      <w:lang w:val="es-ES"/>
                    </w:rPr>
                    <w:t>month</w:t>
                  </w:r>
                  <w:proofErr w:type="spellEnd"/>
                  <w:r>
                    <w:rPr>
                      <w:color w:val="000000"/>
                      <w:sz w:val="22"/>
                      <w:szCs w:val="22"/>
                      <w:lang w:val="es-ES"/>
                    </w:rPr>
                    <w:t xml:space="preserve"> prior </w:t>
                  </w:r>
                  <w:proofErr w:type="spellStart"/>
                  <w:r>
                    <w:rPr>
                      <w:color w:val="000000"/>
                      <w:sz w:val="22"/>
                      <w:szCs w:val="22"/>
                      <w:lang w:val="es-ES"/>
                    </w:rPr>
                    <w:t>to</w:t>
                  </w:r>
                  <w:proofErr w:type="spellEnd"/>
                  <w:r>
                    <w:rPr>
                      <w:color w:val="000000"/>
                      <w:sz w:val="22"/>
                      <w:szCs w:val="22"/>
                      <w:lang w:val="es-ES"/>
                    </w:rPr>
                    <w:t xml:space="preserve"> </w:t>
                  </w:r>
                  <w:proofErr w:type="spellStart"/>
                  <w:r>
                    <w:rPr>
                      <w:color w:val="000000"/>
                      <w:sz w:val="22"/>
                      <w:szCs w:val="22"/>
                      <w:lang w:val="es-ES"/>
                    </w:rPr>
                    <w:t>the</w:t>
                  </w:r>
                  <w:proofErr w:type="spellEnd"/>
                  <w:r>
                    <w:rPr>
                      <w:color w:val="000000"/>
                      <w:sz w:val="22"/>
                      <w:szCs w:val="22"/>
                      <w:lang w:val="es-ES"/>
                    </w:rPr>
                    <w:t xml:space="preserve"> </w:t>
                  </w:r>
                  <w:proofErr w:type="spellStart"/>
                  <w:r>
                    <w:rPr>
                      <w:color w:val="000000"/>
                      <w:sz w:val="22"/>
                      <w:szCs w:val="22"/>
                      <w:lang w:val="es-ES"/>
                    </w:rPr>
                    <w:t>delivery</w:t>
                  </w:r>
                  <w:proofErr w:type="spellEnd"/>
                  <w:r>
                    <w:rPr>
                      <w:color w:val="000000"/>
                      <w:sz w:val="22"/>
                      <w:szCs w:val="22"/>
                      <w:lang w:val="es-ES"/>
                    </w:rPr>
                    <w:t xml:space="preserve"> </w:t>
                  </w:r>
                  <w:proofErr w:type="spellStart"/>
                  <w:r>
                    <w:rPr>
                      <w:color w:val="000000"/>
                      <w:sz w:val="22"/>
                      <w:szCs w:val="22"/>
                      <w:lang w:val="es-ES"/>
                    </w:rPr>
                    <w:t>of</w:t>
                  </w:r>
                  <w:proofErr w:type="spellEnd"/>
                  <w:r>
                    <w:rPr>
                      <w:color w:val="000000"/>
                      <w:sz w:val="22"/>
                      <w:szCs w:val="22"/>
                      <w:lang w:val="es-ES"/>
                    </w:rPr>
                    <w:t xml:space="preserve"> </w:t>
                  </w:r>
                  <w:proofErr w:type="spellStart"/>
                  <w:r>
                    <w:rPr>
                      <w:color w:val="000000"/>
                      <w:sz w:val="22"/>
                      <w:szCs w:val="22"/>
                      <w:lang w:val="es-ES"/>
                    </w:rPr>
                    <w:t>the</w:t>
                  </w:r>
                  <w:proofErr w:type="spellEnd"/>
                  <w:r>
                    <w:rPr>
                      <w:color w:val="000000"/>
                      <w:sz w:val="22"/>
                      <w:szCs w:val="22"/>
                      <w:lang w:val="es-ES"/>
                    </w:rPr>
                    <w:t xml:space="preserve"> </w:t>
                  </w:r>
                  <w:proofErr w:type="spellStart"/>
                  <w:r>
                    <w:rPr>
                      <w:color w:val="000000"/>
                      <w:sz w:val="22"/>
                      <w:szCs w:val="22"/>
                      <w:lang w:val="es-ES"/>
                    </w:rPr>
                    <w:t>supply</w:t>
                  </w:r>
                  <w:proofErr w:type="spellEnd"/>
                  <w:r>
                    <w:rPr>
                      <w:color w:val="000000"/>
                      <w:sz w:val="22"/>
                      <w:szCs w:val="22"/>
                      <w:lang w:val="es-ES"/>
                    </w:rPr>
                    <w:t>.</w:t>
                  </w:r>
                </w:p>
              </w:tc>
            </w:tr>
            <w:tr w:rsidR="00E255F4" w14:paraId="20F128AE" w14:textId="77777777">
              <w:trPr>
                <w:jc w:val="center"/>
              </w:trPr>
              <w:tc>
                <w:tcPr>
                  <w:tcW w:w="780" w:type="dxa"/>
                  <w:tcBorders>
                    <w:top w:val="single" w:sz="4" w:space="0" w:color="000000"/>
                    <w:left w:val="single" w:sz="4" w:space="0" w:color="000000"/>
                    <w:bottom w:val="single" w:sz="4" w:space="0" w:color="000000"/>
                    <w:right w:val="single" w:sz="4" w:space="0" w:color="000000"/>
                  </w:tcBorders>
                  <w:vAlign w:val="center"/>
                </w:tcPr>
                <w:p w14:paraId="7587178A" w14:textId="77777777" w:rsidR="00E255F4" w:rsidRDefault="00000000">
                  <w:pPr>
                    <w:jc w:val="both"/>
                    <w:rPr>
                      <w:color w:val="000000"/>
                      <w:sz w:val="22"/>
                    </w:rPr>
                  </w:pPr>
                  <w:proofErr w:type="spellStart"/>
                  <w:r>
                    <w:rPr>
                      <w:color w:val="000000"/>
                      <w:sz w:val="22"/>
                    </w:rPr>
                    <w:lastRenderedPageBreak/>
                    <w:t>IPCo</w:t>
                  </w:r>
                  <w:proofErr w:type="spellEnd"/>
                </w:p>
              </w:tc>
              <w:tc>
                <w:tcPr>
                  <w:tcW w:w="6318" w:type="dxa"/>
                  <w:tcBorders>
                    <w:top w:val="single" w:sz="4" w:space="0" w:color="000000"/>
                    <w:left w:val="single" w:sz="4" w:space="0" w:color="000000"/>
                    <w:bottom w:val="single" w:sz="4" w:space="0" w:color="000000"/>
                    <w:right w:val="single" w:sz="4" w:space="0" w:color="000000"/>
                  </w:tcBorders>
                </w:tcPr>
                <w:p w14:paraId="5A9F00DE" w14:textId="77777777" w:rsidR="00E255F4" w:rsidRDefault="00000000">
                  <w:pPr>
                    <w:spacing w:line="240" w:lineRule="auto"/>
                    <w:jc w:val="both"/>
                    <w:rPr>
                      <w:color w:val="000000"/>
                      <w:sz w:val="22"/>
                      <w:szCs w:val="22"/>
                      <w:lang w:val="es-ES"/>
                    </w:rPr>
                  </w:pPr>
                  <w:proofErr w:type="spellStart"/>
                  <w:r>
                    <w:rPr>
                      <w:color w:val="000000"/>
                      <w:sz w:val="22"/>
                      <w:szCs w:val="22"/>
                      <w:lang w:val="es-ES"/>
                    </w:rPr>
                    <w:t>Value</w:t>
                  </w:r>
                  <w:proofErr w:type="spellEnd"/>
                  <w:r>
                    <w:rPr>
                      <w:color w:val="000000"/>
                      <w:sz w:val="22"/>
                      <w:szCs w:val="22"/>
                      <w:lang w:val="es-ES"/>
                    </w:rPr>
                    <w:t xml:space="preserve"> </w:t>
                  </w:r>
                  <w:proofErr w:type="spellStart"/>
                  <w:r>
                    <w:rPr>
                      <w:color w:val="000000"/>
                      <w:sz w:val="22"/>
                      <w:szCs w:val="22"/>
                      <w:lang w:val="es-ES"/>
                    </w:rPr>
                    <w:t>of</w:t>
                  </w:r>
                  <w:proofErr w:type="spellEnd"/>
                  <w:r>
                    <w:rPr>
                      <w:color w:val="000000"/>
                      <w:sz w:val="22"/>
                      <w:szCs w:val="22"/>
                      <w:lang w:val="es-ES"/>
                    </w:rPr>
                    <w:t xml:space="preserve"> </w:t>
                  </w:r>
                  <w:proofErr w:type="spellStart"/>
                  <w:r>
                    <w:rPr>
                      <w:color w:val="000000"/>
                      <w:sz w:val="22"/>
                      <w:szCs w:val="22"/>
                      <w:lang w:val="es-ES"/>
                    </w:rPr>
                    <w:t>the</w:t>
                  </w:r>
                  <w:proofErr w:type="spellEnd"/>
                  <w:r>
                    <w:rPr>
                      <w:color w:val="000000"/>
                      <w:sz w:val="22"/>
                      <w:szCs w:val="22"/>
                      <w:lang w:val="es-ES"/>
                    </w:rPr>
                    <w:t xml:space="preserve"> </w:t>
                  </w:r>
                  <w:proofErr w:type="spellStart"/>
                  <w:r>
                    <w:rPr>
                      <w:color w:val="000000"/>
                      <w:sz w:val="22"/>
                      <w:szCs w:val="22"/>
                      <w:lang w:val="es-ES"/>
                    </w:rPr>
                    <w:t>previous</w:t>
                  </w:r>
                  <w:proofErr w:type="spellEnd"/>
                  <w:r>
                    <w:rPr>
                      <w:color w:val="000000"/>
                      <w:sz w:val="22"/>
                      <w:szCs w:val="22"/>
                      <w:lang w:val="es-ES"/>
                    </w:rPr>
                    <w:t xml:space="preserve"> </w:t>
                  </w:r>
                  <w:proofErr w:type="spellStart"/>
                  <w:r>
                    <w:rPr>
                      <w:color w:val="000000"/>
                      <w:sz w:val="22"/>
                      <w:szCs w:val="22"/>
                      <w:lang w:val="es-ES"/>
                    </w:rPr>
                    <w:t>item</w:t>
                  </w:r>
                  <w:proofErr w:type="spellEnd"/>
                  <w:r>
                    <w:rPr>
                      <w:color w:val="000000"/>
                      <w:sz w:val="22"/>
                      <w:szCs w:val="22"/>
                      <w:lang w:val="es-ES"/>
                    </w:rPr>
                    <w:t xml:space="preserve"> </w:t>
                  </w:r>
                  <w:proofErr w:type="spellStart"/>
                  <w:r>
                    <w:rPr>
                      <w:color w:val="000000"/>
                      <w:sz w:val="22"/>
                      <w:szCs w:val="22"/>
                      <w:lang w:val="es-ES"/>
                    </w:rPr>
                    <w:t>corresponding</w:t>
                  </w:r>
                  <w:proofErr w:type="spellEnd"/>
                  <w:r>
                    <w:rPr>
                      <w:color w:val="000000"/>
                      <w:sz w:val="22"/>
                      <w:szCs w:val="22"/>
                      <w:lang w:val="es-ES"/>
                    </w:rPr>
                    <w:t xml:space="preserve"> </w:t>
                  </w:r>
                  <w:proofErr w:type="spellStart"/>
                  <w:r>
                    <w:rPr>
                      <w:color w:val="000000"/>
                      <w:sz w:val="22"/>
                      <w:szCs w:val="22"/>
                      <w:lang w:val="es-ES"/>
                    </w:rPr>
                    <w:t>to</w:t>
                  </w:r>
                  <w:proofErr w:type="spellEnd"/>
                  <w:r>
                    <w:rPr>
                      <w:color w:val="000000"/>
                      <w:sz w:val="22"/>
                      <w:szCs w:val="22"/>
                      <w:lang w:val="es-ES"/>
                    </w:rPr>
                    <w:t xml:space="preserve"> </w:t>
                  </w:r>
                  <w:proofErr w:type="spellStart"/>
                  <w:r>
                    <w:rPr>
                      <w:color w:val="000000"/>
                      <w:sz w:val="22"/>
                      <w:szCs w:val="22"/>
                      <w:lang w:val="es-ES"/>
                    </w:rPr>
                    <w:t>the</w:t>
                  </w:r>
                  <w:proofErr w:type="spellEnd"/>
                  <w:r>
                    <w:rPr>
                      <w:color w:val="000000"/>
                      <w:sz w:val="22"/>
                      <w:szCs w:val="22"/>
                      <w:lang w:val="es-ES"/>
                    </w:rPr>
                    <w:t xml:space="preserve"> </w:t>
                  </w:r>
                  <w:proofErr w:type="spellStart"/>
                  <w:r>
                    <w:rPr>
                      <w:color w:val="000000"/>
                      <w:sz w:val="22"/>
                      <w:szCs w:val="22"/>
                      <w:lang w:val="es-ES"/>
                    </w:rPr>
                    <w:t>month</w:t>
                  </w:r>
                  <w:proofErr w:type="spellEnd"/>
                  <w:r>
                    <w:rPr>
                      <w:color w:val="000000"/>
                      <w:sz w:val="22"/>
                      <w:szCs w:val="22"/>
                      <w:lang w:val="es-ES"/>
                    </w:rPr>
                    <w:t xml:space="preserve"> prior </w:t>
                  </w:r>
                  <w:proofErr w:type="spellStart"/>
                  <w:r>
                    <w:rPr>
                      <w:color w:val="000000"/>
                      <w:sz w:val="22"/>
                      <w:szCs w:val="22"/>
                      <w:lang w:val="es-ES"/>
                    </w:rPr>
                    <w:t>to</w:t>
                  </w:r>
                  <w:proofErr w:type="spellEnd"/>
                  <w:r>
                    <w:rPr>
                      <w:color w:val="000000"/>
                      <w:sz w:val="22"/>
                      <w:szCs w:val="22"/>
                      <w:lang w:val="es-ES"/>
                    </w:rPr>
                    <w:t xml:space="preserve"> </w:t>
                  </w:r>
                  <w:proofErr w:type="spellStart"/>
                  <w:r>
                    <w:rPr>
                      <w:color w:val="000000"/>
                      <w:sz w:val="22"/>
                      <w:szCs w:val="22"/>
                      <w:lang w:val="es-ES"/>
                    </w:rPr>
                    <w:t>the</w:t>
                  </w:r>
                  <w:proofErr w:type="spellEnd"/>
                  <w:r>
                    <w:rPr>
                      <w:color w:val="000000"/>
                      <w:sz w:val="22"/>
                      <w:szCs w:val="22"/>
                      <w:lang w:val="es-ES"/>
                    </w:rPr>
                    <w:t xml:space="preserve"> date </w:t>
                  </w:r>
                  <w:proofErr w:type="spellStart"/>
                  <w:r>
                    <w:rPr>
                      <w:color w:val="000000"/>
                      <w:sz w:val="22"/>
                      <w:szCs w:val="22"/>
                      <w:lang w:val="es-ES"/>
                    </w:rPr>
                    <w:t>of</w:t>
                  </w:r>
                  <w:proofErr w:type="spellEnd"/>
                  <w:r>
                    <w:rPr>
                      <w:color w:val="000000"/>
                      <w:sz w:val="22"/>
                      <w:szCs w:val="22"/>
                      <w:lang w:val="es-ES"/>
                    </w:rPr>
                    <w:t xml:space="preserve"> </w:t>
                  </w:r>
                  <w:proofErr w:type="spellStart"/>
                  <w:r>
                    <w:rPr>
                      <w:color w:val="000000"/>
                      <w:sz w:val="22"/>
                      <w:szCs w:val="22"/>
                      <w:lang w:val="es-ES"/>
                    </w:rPr>
                    <w:t>opening</w:t>
                  </w:r>
                  <w:proofErr w:type="spellEnd"/>
                  <w:r>
                    <w:rPr>
                      <w:color w:val="000000"/>
                      <w:sz w:val="22"/>
                      <w:szCs w:val="22"/>
                      <w:lang w:val="es-ES"/>
                    </w:rPr>
                    <w:t xml:space="preserve"> </w:t>
                  </w:r>
                  <w:proofErr w:type="spellStart"/>
                  <w:r>
                    <w:rPr>
                      <w:color w:val="000000"/>
                      <w:sz w:val="22"/>
                      <w:szCs w:val="22"/>
                      <w:lang w:val="es-ES"/>
                    </w:rPr>
                    <w:t>of</w:t>
                  </w:r>
                  <w:proofErr w:type="spellEnd"/>
                  <w:r>
                    <w:rPr>
                      <w:color w:val="000000"/>
                      <w:sz w:val="22"/>
                      <w:szCs w:val="22"/>
                      <w:lang w:val="es-ES"/>
                    </w:rPr>
                    <w:t xml:space="preserve"> </w:t>
                  </w:r>
                  <w:proofErr w:type="spellStart"/>
                  <w:r>
                    <w:rPr>
                      <w:color w:val="000000"/>
                      <w:sz w:val="22"/>
                      <w:szCs w:val="22"/>
                      <w:lang w:val="es-ES"/>
                    </w:rPr>
                    <w:t>the</w:t>
                  </w:r>
                  <w:proofErr w:type="spellEnd"/>
                  <w:r>
                    <w:rPr>
                      <w:color w:val="000000"/>
                      <w:sz w:val="22"/>
                      <w:szCs w:val="22"/>
                      <w:lang w:val="es-ES"/>
                    </w:rPr>
                    <w:t xml:space="preserve"> tender.</w:t>
                  </w:r>
                </w:p>
              </w:tc>
            </w:tr>
          </w:tbl>
          <w:p w14:paraId="5EB2617E" w14:textId="77777777" w:rsidR="00E255F4" w:rsidRDefault="00E255F4">
            <w:pPr>
              <w:ind w:left="709" w:hanging="709"/>
              <w:jc w:val="both"/>
              <w:rPr>
                <w:b/>
                <w:color w:val="000000"/>
                <w:spacing w:val="-3"/>
                <w:sz w:val="22"/>
                <w:szCs w:val="22"/>
                <w:lang w:val="es-ES"/>
              </w:rPr>
            </w:pPr>
          </w:p>
          <w:p w14:paraId="7C530725" w14:textId="77777777" w:rsidR="00E255F4" w:rsidRDefault="00000000">
            <w:pPr>
              <w:jc w:val="both"/>
              <w:rPr>
                <w:sz w:val="22"/>
                <w:szCs w:val="22"/>
                <w:lang w:val="es-ES_tradnl"/>
              </w:rPr>
            </w:pPr>
            <w:proofErr w:type="spellStart"/>
            <w:r>
              <w:rPr>
                <w:sz w:val="22"/>
                <w:szCs w:val="22"/>
                <w:lang w:val="es-ES_tradnl"/>
              </w:rPr>
              <w:t>Offers</w:t>
            </w:r>
            <w:proofErr w:type="spellEnd"/>
            <w:r>
              <w:rPr>
                <w:sz w:val="22"/>
                <w:szCs w:val="22"/>
                <w:lang w:val="es-ES_tradnl"/>
              </w:rPr>
              <w:t xml:space="preserve"> </w:t>
            </w:r>
            <w:proofErr w:type="spellStart"/>
            <w:r>
              <w:rPr>
                <w:sz w:val="22"/>
                <w:szCs w:val="22"/>
                <w:lang w:val="es-ES_tradnl"/>
              </w:rPr>
              <w:t>that</w:t>
            </w:r>
            <w:proofErr w:type="spellEnd"/>
            <w:r>
              <w:rPr>
                <w:sz w:val="22"/>
                <w:szCs w:val="22"/>
                <w:lang w:val="es-ES_tradnl"/>
              </w:rPr>
              <w:t xml:space="preserve"> </w:t>
            </w:r>
            <w:proofErr w:type="spellStart"/>
            <w:r>
              <w:rPr>
                <w:sz w:val="22"/>
                <w:szCs w:val="22"/>
                <w:lang w:val="es-ES_tradnl"/>
              </w:rPr>
              <w:t>modify</w:t>
            </w:r>
            <w:proofErr w:type="spellEnd"/>
            <w:r>
              <w:rPr>
                <w:sz w:val="22"/>
                <w:szCs w:val="22"/>
                <w:lang w:val="es-ES_tradnl"/>
              </w:rPr>
              <w:t xml:space="preserve"> </w:t>
            </w:r>
            <w:proofErr w:type="spellStart"/>
            <w:r>
              <w:rPr>
                <w:sz w:val="22"/>
                <w:szCs w:val="22"/>
                <w:lang w:val="es-ES_tradnl"/>
              </w:rPr>
              <w:t>or</w:t>
            </w:r>
            <w:proofErr w:type="spellEnd"/>
            <w:r>
              <w:rPr>
                <w:sz w:val="22"/>
                <w:szCs w:val="22"/>
                <w:lang w:val="es-ES_tradnl"/>
              </w:rPr>
              <w:t xml:space="preserve"> </w:t>
            </w:r>
            <w:proofErr w:type="spellStart"/>
            <w:r>
              <w:rPr>
                <w:sz w:val="22"/>
                <w:szCs w:val="22"/>
                <w:lang w:val="es-ES_tradnl"/>
              </w:rPr>
              <w:t>propose</w:t>
            </w:r>
            <w:proofErr w:type="spellEnd"/>
            <w:r>
              <w:rPr>
                <w:sz w:val="22"/>
                <w:szCs w:val="22"/>
                <w:lang w:val="es-ES_tradnl"/>
              </w:rPr>
              <w:t xml:space="preserve"> </w:t>
            </w:r>
            <w:proofErr w:type="spellStart"/>
            <w:r>
              <w:rPr>
                <w:sz w:val="22"/>
                <w:szCs w:val="22"/>
                <w:lang w:val="es-ES_tradnl"/>
              </w:rPr>
              <w:t>other</w:t>
            </w:r>
            <w:proofErr w:type="spellEnd"/>
            <w:r>
              <w:rPr>
                <w:sz w:val="22"/>
                <w:szCs w:val="22"/>
                <w:lang w:val="es-ES_tradnl"/>
              </w:rPr>
              <w:t xml:space="preserve"> </w:t>
            </w:r>
            <w:proofErr w:type="spellStart"/>
            <w:r>
              <w:rPr>
                <w:sz w:val="22"/>
                <w:szCs w:val="22"/>
                <w:lang w:val="es-ES_tradnl"/>
              </w:rPr>
              <w:t>offers</w:t>
            </w:r>
            <w:proofErr w:type="spellEnd"/>
            <w:r>
              <w:rPr>
                <w:sz w:val="22"/>
                <w:szCs w:val="22"/>
                <w:lang w:val="es-ES_tradnl"/>
              </w:rPr>
              <w:t xml:space="preserve"> </w:t>
            </w:r>
            <w:proofErr w:type="spellStart"/>
            <w:r>
              <w:rPr>
                <w:sz w:val="22"/>
                <w:szCs w:val="22"/>
                <w:lang w:val="es-ES_tradnl"/>
              </w:rPr>
              <w:t>will</w:t>
            </w:r>
            <w:proofErr w:type="spellEnd"/>
            <w:r>
              <w:rPr>
                <w:sz w:val="22"/>
                <w:szCs w:val="22"/>
                <w:lang w:val="es-ES_tradnl"/>
              </w:rPr>
              <w:t xml:space="preserve"> </w:t>
            </w:r>
            <w:proofErr w:type="spellStart"/>
            <w:r>
              <w:rPr>
                <w:sz w:val="22"/>
                <w:szCs w:val="22"/>
                <w:lang w:val="es-ES_tradnl"/>
              </w:rPr>
              <w:t>not</w:t>
            </w:r>
            <w:proofErr w:type="spellEnd"/>
            <w:r>
              <w:rPr>
                <w:sz w:val="22"/>
                <w:szCs w:val="22"/>
                <w:lang w:val="es-ES_tradnl"/>
              </w:rPr>
              <w:t xml:space="preserve"> be </w:t>
            </w:r>
            <w:proofErr w:type="spellStart"/>
            <w:r>
              <w:rPr>
                <w:sz w:val="22"/>
                <w:szCs w:val="22"/>
                <w:lang w:val="es-ES_tradnl"/>
              </w:rPr>
              <w:t>accepted</w:t>
            </w:r>
            <w:proofErr w:type="spellEnd"/>
            <w:r>
              <w:rPr>
                <w:sz w:val="22"/>
                <w:szCs w:val="22"/>
                <w:lang w:val="es-ES_tradnl"/>
              </w:rPr>
              <w:t xml:space="preserve">, and </w:t>
            </w:r>
            <w:proofErr w:type="spellStart"/>
            <w:r>
              <w:rPr>
                <w:sz w:val="22"/>
                <w:szCs w:val="22"/>
                <w:lang w:val="es-ES_tradnl"/>
              </w:rPr>
              <w:t>will</w:t>
            </w:r>
            <w:proofErr w:type="spellEnd"/>
            <w:r>
              <w:rPr>
                <w:sz w:val="22"/>
                <w:szCs w:val="22"/>
                <w:lang w:val="es-ES_tradnl"/>
              </w:rPr>
              <w:t xml:space="preserve"> be </w:t>
            </w:r>
            <w:proofErr w:type="spellStart"/>
            <w:r>
              <w:rPr>
                <w:sz w:val="22"/>
                <w:szCs w:val="22"/>
                <w:lang w:val="es-ES_tradnl"/>
              </w:rPr>
              <w:t>considered</w:t>
            </w:r>
            <w:proofErr w:type="spellEnd"/>
            <w:r>
              <w:rPr>
                <w:sz w:val="22"/>
                <w:szCs w:val="22"/>
                <w:lang w:val="es-ES_tradnl"/>
              </w:rPr>
              <w:t xml:space="preserve"> </w:t>
            </w:r>
            <w:proofErr w:type="spellStart"/>
            <w:r>
              <w:rPr>
                <w:sz w:val="22"/>
                <w:szCs w:val="22"/>
                <w:lang w:val="es-ES_tradnl"/>
              </w:rPr>
              <w:t>rejected</w:t>
            </w:r>
            <w:proofErr w:type="spellEnd"/>
            <w:r>
              <w:rPr>
                <w:sz w:val="22"/>
                <w:szCs w:val="22"/>
                <w:lang w:val="es-ES_tradnl"/>
              </w:rPr>
              <w:t>.</w:t>
            </w:r>
          </w:p>
          <w:p w14:paraId="1846179F" w14:textId="77777777" w:rsidR="00E255F4" w:rsidRDefault="00000000">
            <w:pPr>
              <w:jc w:val="both"/>
              <w:rPr>
                <w:sz w:val="22"/>
                <w:szCs w:val="22"/>
                <w:lang w:val="es-ES_tradnl"/>
              </w:rPr>
            </w:pPr>
            <w:r>
              <w:rPr>
                <w:sz w:val="22"/>
                <w:szCs w:val="22"/>
                <w:lang w:val="es-ES_tradnl"/>
              </w:rPr>
              <w:t xml:space="preserve"> </w:t>
            </w:r>
          </w:p>
          <w:p w14:paraId="5404E7EE" w14:textId="77777777" w:rsidR="00E255F4" w:rsidRDefault="00000000">
            <w:pPr>
              <w:jc w:val="both"/>
            </w:pPr>
            <w:r>
              <w:rPr>
                <w:sz w:val="22"/>
                <w:szCs w:val="22"/>
                <w:lang w:val="es-ES"/>
              </w:rPr>
              <w:t xml:space="preserve">For </w:t>
            </w:r>
            <w:proofErr w:type="spellStart"/>
            <w:r>
              <w:rPr>
                <w:sz w:val="22"/>
                <w:szCs w:val="22"/>
                <w:lang w:val="es-ES"/>
              </w:rPr>
              <w:t>the</w:t>
            </w:r>
            <w:proofErr w:type="spellEnd"/>
            <w:r>
              <w:rPr>
                <w:sz w:val="22"/>
                <w:szCs w:val="22"/>
                <w:lang w:val="es-ES"/>
              </w:rPr>
              <w:t xml:space="preserve"> </w:t>
            </w:r>
            <w:proofErr w:type="spellStart"/>
            <w:r>
              <w:rPr>
                <w:sz w:val="22"/>
                <w:szCs w:val="22"/>
                <w:lang w:val="es-ES"/>
              </w:rPr>
              <w:t>purposes</w:t>
            </w:r>
            <w:proofErr w:type="spellEnd"/>
            <w:r>
              <w:rPr>
                <w:sz w:val="22"/>
                <w:szCs w:val="22"/>
                <w:lang w:val="es-ES"/>
              </w:rPr>
              <w:t xml:space="preserve"> </w:t>
            </w:r>
            <w:proofErr w:type="spellStart"/>
            <w:r>
              <w:rPr>
                <w:sz w:val="22"/>
                <w:szCs w:val="22"/>
                <w:lang w:val="es-ES"/>
              </w:rPr>
              <w:t>of</w:t>
            </w:r>
            <w:proofErr w:type="spellEnd"/>
            <w:r>
              <w:rPr>
                <w:sz w:val="22"/>
                <w:szCs w:val="22"/>
                <w:lang w:val="es-ES"/>
              </w:rPr>
              <w:t xml:space="preserve"> </w:t>
            </w:r>
            <w:proofErr w:type="spellStart"/>
            <w:r>
              <w:rPr>
                <w:sz w:val="22"/>
                <w:szCs w:val="22"/>
                <w:lang w:val="es-ES"/>
              </w:rPr>
              <w:t>settling</w:t>
            </w:r>
            <w:proofErr w:type="spellEnd"/>
            <w:r>
              <w:rPr>
                <w:sz w:val="22"/>
                <w:szCs w:val="22"/>
                <w:lang w:val="es-ES"/>
              </w:rPr>
              <w:t xml:space="preserve"> </w:t>
            </w:r>
            <w:proofErr w:type="spellStart"/>
            <w:r>
              <w:rPr>
                <w:sz w:val="22"/>
                <w:szCs w:val="22"/>
                <w:lang w:val="es-ES"/>
              </w:rPr>
              <w:t>price</w:t>
            </w:r>
            <w:proofErr w:type="spellEnd"/>
            <w:r>
              <w:rPr>
                <w:sz w:val="22"/>
                <w:szCs w:val="22"/>
                <w:lang w:val="es-ES"/>
              </w:rPr>
              <w:t xml:space="preserve"> </w:t>
            </w:r>
            <w:proofErr w:type="spellStart"/>
            <w:r>
              <w:rPr>
                <w:sz w:val="22"/>
                <w:szCs w:val="22"/>
                <w:lang w:val="es-ES"/>
              </w:rPr>
              <w:t>adjustments</w:t>
            </w:r>
            <w:proofErr w:type="spellEnd"/>
            <w:r>
              <w:rPr>
                <w:sz w:val="22"/>
                <w:szCs w:val="22"/>
                <w:lang w:val="es-ES"/>
              </w:rPr>
              <w:t xml:space="preserve">, </w:t>
            </w:r>
            <w:proofErr w:type="spellStart"/>
            <w:r>
              <w:rPr>
                <w:sz w:val="22"/>
                <w:szCs w:val="22"/>
                <w:lang w:val="es-ES"/>
              </w:rPr>
              <w:t>the</w:t>
            </w:r>
            <w:proofErr w:type="spellEnd"/>
            <w:r>
              <w:rPr>
                <w:sz w:val="22"/>
                <w:szCs w:val="22"/>
                <w:lang w:val="es-ES"/>
              </w:rPr>
              <w:t xml:space="preserve"> </w:t>
            </w:r>
            <w:proofErr w:type="spellStart"/>
            <w:r>
              <w:rPr>
                <w:sz w:val="22"/>
                <w:szCs w:val="22"/>
                <w:lang w:val="es-ES"/>
              </w:rPr>
              <w:t>supplier</w:t>
            </w:r>
            <w:proofErr w:type="spellEnd"/>
            <w:r>
              <w:rPr>
                <w:sz w:val="22"/>
                <w:szCs w:val="22"/>
                <w:lang w:val="es-ES"/>
              </w:rPr>
              <w:t xml:space="preserve"> </w:t>
            </w:r>
            <w:proofErr w:type="spellStart"/>
            <w:r>
              <w:rPr>
                <w:sz w:val="22"/>
                <w:szCs w:val="22"/>
                <w:lang w:val="es-ES"/>
              </w:rPr>
              <w:t>must</w:t>
            </w:r>
            <w:proofErr w:type="spellEnd"/>
            <w:r>
              <w:rPr>
                <w:sz w:val="22"/>
                <w:szCs w:val="22"/>
                <w:lang w:val="es-ES"/>
              </w:rPr>
              <w:t xml:space="preserve"> </w:t>
            </w:r>
            <w:proofErr w:type="spellStart"/>
            <w:r>
              <w:rPr>
                <w:sz w:val="22"/>
                <w:szCs w:val="22"/>
                <w:lang w:val="es-ES"/>
              </w:rPr>
              <w:t>submit</w:t>
            </w:r>
            <w:proofErr w:type="spellEnd"/>
            <w:r>
              <w:rPr>
                <w:sz w:val="22"/>
                <w:szCs w:val="22"/>
                <w:lang w:val="es-ES"/>
              </w:rPr>
              <w:t xml:space="preserve"> a note </w:t>
            </w:r>
            <w:proofErr w:type="spellStart"/>
            <w:r>
              <w:rPr>
                <w:sz w:val="22"/>
                <w:szCs w:val="22"/>
                <w:lang w:val="es-ES"/>
              </w:rPr>
              <w:t>requesting</w:t>
            </w:r>
            <w:proofErr w:type="spellEnd"/>
            <w:r>
              <w:rPr>
                <w:sz w:val="22"/>
                <w:szCs w:val="22"/>
                <w:lang w:val="es-ES"/>
              </w:rPr>
              <w:t xml:space="preserve"> </w:t>
            </w:r>
            <w:proofErr w:type="spellStart"/>
            <w:r>
              <w:rPr>
                <w:sz w:val="22"/>
                <w:szCs w:val="22"/>
                <w:lang w:val="es-ES"/>
              </w:rPr>
              <w:t>approval</w:t>
            </w:r>
            <w:proofErr w:type="spellEnd"/>
            <w:r>
              <w:rPr>
                <w:sz w:val="22"/>
                <w:szCs w:val="22"/>
                <w:lang w:val="es-ES"/>
              </w:rPr>
              <w:t xml:space="preserve"> </w:t>
            </w:r>
            <w:proofErr w:type="spellStart"/>
            <w:r>
              <w:rPr>
                <w:sz w:val="22"/>
                <w:szCs w:val="22"/>
                <w:lang w:val="es-ES"/>
              </w:rPr>
              <w:t>of</w:t>
            </w:r>
            <w:proofErr w:type="spellEnd"/>
            <w:r>
              <w:rPr>
                <w:sz w:val="22"/>
                <w:szCs w:val="22"/>
                <w:lang w:val="es-ES"/>
              </w:rPr>
              <w:t xml:space="preserve"> </w:t>
            </w:r>
            <w:proofErr w:type="spellStart"/>
            <w:r>
              <w:rPr>
                <w:sz w:val="22"/>
                <w:szCs w:val="22"/>
                <w:lang w:val="es-ES"/>
              </w:rPr>
              <w:t>the</w:t>
            </w:r>
            <w:proofErr w:type="spellEnd"/>
            <w:r>
              <w:rPr>
                <w:sz w:val="22"/>
                <w:szCs w:val="22"/>
                <w:lang w:val="es-ES"/>
              </w:rPr>
              <w:t xml:space="preserve"> </w:t>
            </w:r>
            <w:proofErr w:type="spellStart"/>
            <w:r>
              <w:rPr>
                <w:sz w:val="22"/>
                <w:szCs w:val="22"/>
                <w:lang w:val="es-ES"/>
              </w:rPr>
              <w:t>price</w:t>
            </w:r>
            <w:proofErr w:type="spellEnd"/>
            <w:r>
              <w:rPr>
                <w:sz w:val="22"/>
                <w:szCs w:val="22"/>
                <w:lang w:val="es-ES"/>
              </w:rPr>
              <w:t xml:space="preserve"> </w:t>
            </w:r>
            <w:proofErr w:type="spellStart"/>
            <w:r>
              <w:rPr>
                <w:sz w:val="22"/>
                <w:szCs w:val="22"/>
                <w:lang w:val="es-ES"/>
              </w:rPr>
              <w:t>adjustment</w:t>
            </w:r>
            <w:proofErr w:type="spellEnd"/>
            <w:r>
              <w:rPr>
                <w:sz w:val="22"/>
                <w:szCs w:val="22"/>
                <w:lang w:val="es-ES"/>
              </w:rPr>
              <w:t xml:space="preserve"> </w:t>
            </w:r>
            <w:proofErr w:type="spellStart"/>
            <w:r>
              <w:rPr>
                <w:sz w:val="22"/>
                <w:szCs w:val="22"/>
                <w:lang w:val="es-ES"/>
              </w:rPr>
              <w:t>corresponding</w:t>
            </w:r>
            <w:proofErr w:type="spellEnd"/>
            <w:r>
              <w:rPr>
                <w:sz w:val="22"/>
                <w:szCs w:val="22"/>
                <w:lang w:val="es-ES"/>
              </w:rPr>
              <w:t xml:space="preserve"> </w:t>
            </w:r>
            <w:proofErr w:type="spellStart"/>
            <w:r>
              <w:rPr>
                <w:sz w:val="22"/>
                <w:szCs w:val="22"/>
                <w:lang w:val="es-ES"/>
              </w:rPr>
              <w:t>to</w:t>
            </w:r>
            <w:proofErr w:type="spellEnd"/>
            <w:r>
              <w:rPr>
                <w:sz w:val="22"/>
                <w:szCs w:val="22"/>
                <w:lang w:val="es-ES"/>
              </w:rPr>
              <w:t xml:space="preserve"> </w:t>
            </w:r>
            <w:proofErr w:type="spellStart"/>
            <w:r>
              <w:rPr>
                <w:sz w:val="22"/>
                <w:szCs w:val="22"/>
                <w:lang w:val="es-ES"/>
              </w:rPr>
              <w:t>the</w:t>
            </w:r>
            <w:proofErr w:type="spellEnd"/>
            <w:r>
              <w:rPr>
                <w:sz w:val="22"/>
                <w:szCs w:val="22"/>
                <w:lang w:val="es-ES"/>
              </w:rPr>
              <w:t xml:space="preserve"> </w:t>
            </w:r>
            <w:proofErr w:type="spellStart"/>
            <w:r>
              <w:rPr>
                <w:sz w:val="22"/>
                <w:szCs w:val="22"/>
                <w:lang w:val="es-ES"/>
              </w:rPr>
              <w:t>delivery</w:t>
            </w:r>
            <w:proofErr w:type="spellEnd"/>
            <w:r>
              <w:rPr>
                <w:sz w:val="22"/>
                <w:szCs w:val="22"/>
                <w:lang w:val="es-ES"/>
              </w:rPr>
              <w:t xml:space="preserve"> </w:t>
            </w:r>
            <w:proofErr w:type="spellStart"/>
            <w:r>
              <w:rPr>
                <w:sz w:val="22"/>
                <w:szCs w:val="22"/>
                <w:lang w:val="es-ES"/>
              </w:rPr>
              <w:t>of</w:t>
            </w:r>
            <w:proofErr w:type="spellEnd"/>
            <w:r>
              <w:rPr>
                <w:sz w:val="22"/>
                <w:szCs w:val="22"/>
                <w:lang w:val="es-ES"/>
              </w:rPr>
              <w:t xml:space="preserve"> </w:t>
            </w:r>
            <w:proofErr w:type="spellStart"/>
            <w:r>
              <w:rPr>
                <w:sz w:val="22"/>
                <w:szCs w:val="22"/>
                <w:lang w:val="es-ES"/>
              </w:rPr>
              <w:t>goods</w:t>
            </w:r>
            <w:proofErr w:type="spellEnd"/>
            <w:r>
              <w:rPr>
                <w:sz w:val="22"/>
                <w:szCs w:val="22"/>
                <w:lang w:val="es-ES"/>
              </w:rPr>
              <w:t xml:space="preserve"> </w:t>
            </w:r>
            <w:proofErr w:type="spellStart"/>
            <w:r>
              <w:rPr>
                <w:sz w:val="22"/>
                <w:szCs w:val="22"/>
                <w:lang w:val="es-ES"/>
              </w:rPr>
              <w:t>made</w:t>
            </w:r>
            <w:proofErr w:type="spellEnd"/>
            <w:r>
              <w:rPr>
                <w:sz w:val="22"/>
                <w:szCs w:val="22"/>
                <w:lang w:val="es-ES"/>
              </w:rPr>
              <w:t xml:space="preserve"> in </w:t>
            </w:r>
            <w:proofErr w:type="spellStart"/>
            <w:r>
              <w:rPr>
                <w:sz w:val="22"/>
                <w:szCs w:val="22"/>
                <w:lang w:val="es-ES"/>
              </w:rPr>
              <w:t>the</w:t>
            </w:r>
            <w:proofErr w:type="spellEnd"/>
            <w:r>
              <w:rPr>
                <w:sz w:val="22"/>
                <w:szCs w:val="22"/>
                <w:lang w:val="es-ES"/>
              </w:rPr>
              <w:t xml:space="preserve"> </w:t>
            </w:r>
            <w:proofErr w:type="spellStart"/>
            <w:r>
              <w:rPr>
                <w:sz w:val="22"/>
                <w:szCs w:val="22"/>
                <w:lang w:val="es-ES"/>
              </w:rPr>
              <w:t>month</w:t>
            </w:r>
            <w:proofErr w:type="spellEnd"/>
            <w:r>
              <w:rPr>
                <w:sz w:val="22"/>
                <w:szCs w:val="22"/>
                <w:lang w:val="es-ES"/>
              </w:rPr>
              <w:t xml:space="preserve">, in </w:t>
            </w:r>
            <w:proofErr w:type="spellStart"/>
            <w:r>
              <w:rPr>
                <w:sz w:val="22"/>
                <w:szCs w:val="22"/>
                <w:lang w:val="es-ES"/>
              </w:rPr>
              <w:t>accordance</w:t>
            </w:r>
            <w:proofErr w:type="spellEnd"/>
            <w:r>
              <w:rPr>
                <w:sz w:val="22"/>
                <w:szCs w:val="22"/>
                <w:lang w:val="es-ES"/>
              </w:rPr>
              <w:t xml:space="preserve"> </w:t>
            </w:r>
            <w:proofErr w:type="spellStart"/>
            <w:r>
              <w:rPr>
                <w:sz w:val="22"/>
                <w:szCs w:val="22"/>
                <w:lang w:val="es-ES"/>
              </w:rPr>
              <w:t>with</w:t>
            </w:r>
            <w:proofErr w:type="spellEnd"/>
            <w:r>
              <w:rPr>
                <w:sz w:val="22"/>
                <w:szCs w:val="22"/>
                <w:lang w:val="es-ES"/>
              </w:rPr>
              <w:t xml:space="preserve"> </w:t>
            </w:r>
            <w:proofErr w:type="spellStart"/>
            <w:r>
              <w:rPr>
                <w:sz w:val="22"/>
                <w:szCs w:val="22"/>
                <w:lang w:val="es-ES"/>
              </w:rPr>
              <w:t>the</w:t>
            </w:r>
            <w:proofErr w:type="spellEnd"/>
            <w:r>
              <w:rPr>
                <w:sz w:val="22"/>
                <w:szCs w:val="22"/>
                <w:lang w:val="es-ES"/>
              </w:rPr>
              <w:t xml:space="preserve"> </w:t>
            </w:r>
            <w:proofErr w:type="spellStart"/>
            <w:r>
              <w:rPr>
                <w:sz w:val="22"/>
                <w:szCs w:val="22"/>
                <w:lang w:val="es-ES"/>
              </w:rPr>
              <w:t>deadlines</w:t>
            </w:r>
            <w:proofErr w:type="spellEnd"/>
            <w:r>
              <w:rPr>
                <w:sz w:val="22"/>
                <w:szCs w:val="22"/>
                <w:lang w:val="es-ES"/>
              </w:rPr>
              <w:t xml:space="preserve"> </w:t>
            </w:r>
            <w:proofErr w:type="spellStart"/>
            <w:r>
              <w:rPr>
                <w:sz w:val="22"/>
                <w:szCs w:val="22"/>
                <w:lang w:val="es-ES"/>
              </w:rPr>
              <w:t>indicated</w:t>
            </w:r>
            <w:proofErr w:type="spellEnd"/>
            <w:r>
              <w:rPr>
                <w:sz w:val="22"/>
                <w:szCs w:val="22"/>
                <w:lang w:val="es-ES"/>
              </w:rPr>
              <w:t xml:space="preserve"> in </w:t>
            </w:r>
            <w:proofErr w:type="spellStart"/>
            <w:r>
              <w:rPr>
                <w:sz w:val="22"/>
                <w:szCs w:val="22"/>
                <w:lang w:val="es-ES"/>
              </w:rPr>
              <w:t>this</w:t>
            </w:r>
            <w:proofErr w:type="spellEnd"/>
            <w:r>
              <w:rPr>
                <w:sz w:val="22"/>
                <w:szCs w:val="22"/>
                <w:lang w:val="es-ES"/>
              </w:rPr>
              <w:t xml:space="preserve"> </w:t>
            </w:r>
            <w:proofErr w:type="spellStart"/>
            <w:r>
              <w:rPr>
                <w:sz w:val="22"/>
                <w:szCs w:val="22"/>
                <w:lang w:val="es-ES"/>
              </w:rPr>
              <w:t>document</w:t>
            </w:r>
            <w:proofErr w:type="spellEnd"/>
            <w:r>
              <w:rPr>
                <w:sz w:val="22"/>
                <w:szCs w:val="22"/>
                <w:lang w:val="es-ES"/>
              </w:rPr>
              <w:t xml:space="preserve">, </w:t>
            </w:r>
            <w:proofErr w:type="spellStart"/>
            <w:r>
              <w:rPr>
                <w:sz w:val="22"/>
                <w:szCs w:val="22"/>
                <w:lang w:val="es-ES"/>
              </w:rPr>
              <w:t>to</w:t>
            </w:r>
            <w:proofErr w:type="spellEnd"/>
            <w:r>
              <w:rPr>
                <w:sz w:val="22"/>
                <w:szCs w:val="22"/>
                <w:lang w:val="es-ES"/>
              </w:rPr>
              <w:t xml:space="preserve"> </w:t>
            </w:r>
            <w:proofErr w:type="spellStart"/>
            <w:r>
              <w:rPr>
                <w:sz w:val="22"/>
                <w:szCs w:val="22"/>
                <w:lang w:val="es-ES"/>
              </w:rPr>
              <w:t>the</w:t>
            </w:r>
            <w:proofErr w:type="spellEnd"/>
            <w:r>
              <w:rPr>
                <w:sz w:val="22"/>
                <w:szCs w:val="22"/>
                <w:lang w:val="es-ES"/>
              </w:rPr>
              <w:t xml:space="preserve"> </w:t>
            </w:r>
            <w:proofErr w:type="spellStart"/>
            <w:r>
              <w:rPr>
                <w:sz w:val="22"/>
                <w:szCs w:val="22"/>
                <w:lang w:val="es-ES"/>
              </w:rPr>
              <w:t>Measurement</w:t>
            </w:r>
            <w:proofErr w:type="spellEnd"/>
            <w:r>
              <w:rPr>
                <w:sz w:val="22"/>
                <w:szCs w:val="22"/>
                <w:lang w:val="es-ES"/>
              </w:rPr>
              <w:t xml:space="preserve"> and Special </w:t>
            </w:r>
            <w:proofErr w:type="spellStart"/>
            <w:r>
              <w:rPr>
                <w:sz w:val="22"/>
                <w:szCs w:val="22"/>
                <w:lang w:val="es-ES"/>
              </w:rPr>
              <w:t>Clients</w:t>
            </w:r>
            <w:proofErr w:type="spellEnd"/>
            <w:r>
              <w:rPr>
                <w:sz w:val="22"/>
                <w:szCs w:val="22"/>
                <w:lang w:val="es-ES"/>
              </w:rPr>
              <w:t xml:space="preserve"> Management Office.</w:t>
            </w:r>
          </w:p>
          <w:p w14:paraId="5B428600" w14:textId="77777777" w:rsidR="00E255F4" w:rsidRDefault="00E255F4">
            <w:pPr>
              <w:jc w:val="both"/>
              <w:rPr>
                <w:sz w:val="22"/>
                <w:szCs w:val="22"/>
                <w:lang w:val="es-ES"/>
              </w:rPr>
            </w:pPr>
          </w:p>
          <w:p w14:paraId="221BA776" w14:textId="77777777" w:rsidR="00E255F4" w:rsidRDefault="00000000">
            <w:pPr>
              <w:tabs>
                <w:tab w:val="left" w:pos="284"/>
                <w:tab w:val="left" w:pos="567"/>
              </w:tabs>
              <w:jc w:val="both"/>
              <w:rPr>
                <w:color w:val="000000"/>
                <w:sz w:val="22"/>
                <w:szCs w:val="22"/>
                <w:lang w:val="es-ES"/>
              </w:rPr>
            </w:pPr>
            <w:proofErr w:type="spellStart"/>
            <w:r>
              <w:rPr>
                <w:color w:val="000000"/>
                <w:sz w:val="22"/>
                <w:szCs w:val="22"/>
                <w:lang w:val="es-ES"/>
              </w:rPr>
              <w:t>This</w:t>
            </w:r>
            <w:proofErr w:type="spellEnd"/>
            <w:r>
              <w:rPr>
                <w:color w:val="000000"/>
                <w:sz w:val="22"/>
                <w:szCs w:val="22"/>
                <w:lang w:val="es-ES"/>
              </w:rPr>
              <w:t xml:space="preserve"> </w:t>
            </w:r>
            <w:proofErr w:type="spellStart"/>
            <w:r>
              <w:rPr>
                <w:color w:val="000000"/>
                <w:sz w:val="22"/>
                <w:szCs w:val="22"/>
                <w:lang w:val="es-ES"/>
              </w:rPr>
              <w:t>request</w:t>
            </w:r>
            <w:proofErr w:type="spellEnd"/>
            <w:r>
              <w:rPr>
                <w:color w:val="000000"/>
                <w:sz w:val="22"/>
                <w:szCs w:val="22"/>
                <w:lang w:val="es-ES"/>
              </w:rPr>
              <w:t xml:space="preserve"> </w:t>
            </w:r>
            <w:proofErr w:type="spellStart"/>
            <w:r>
              <w:rPr>
                <w:color w:val="000000"/>
                <w:sz w:val="22"/>
                <w:szCs w:val="22"/>
                <w:lang w:val="es-ES"/>
              </w:rPr>
              <w:t>must</w:t>
            </w:r>
            <w:proofErr w:type="spellEnd"/>
            <w:r>
              <w:rPr>
                <w:color w:val="000000"/>
                <w:sz w:val="22"/>
                <w:szCs w:val="22"/>
                <w:lang w:val="es-ES"/>
              </w:rPr>
              <w:t xml:space="preserve"> be </w:t>
            </w:r>
            <w:proofErr w:type="spellStart"/>
            <w:r>
              <w:rPr>
                <w:color w:val="000000"/>
                <w:sz w:val="22"/>
                <w:szCs w:val="22"/>
                <w:lang w:val="es-ES"/>
              </w:rPr>
              <w:t>made</w:t>
            </w:r>
            <w:proofErr w:type="spellEnd"/>
            <w:r>
              <w:rPr>
                <w:color w:val="000000"/>
                <w:sz w:val="22"/>
                <w:szCs w:val="22"/>
                <w:lang w:val="es-ES"/>
              </w:rPr>
              <w:t xml:space="preserve"> </w:t>
            </w:r>
            <w:proofErr w:type="spellStart"/>
            <w:r>
              <w:rPr>
                <w:color w:val="000000"/>
                <w:sz w:val="22"/>
                <w:szCs w:val="22"/>
                <w:lang w:val="es-ES"/>
              </w:rPr>
              <w:t>within</w:t>
            </w:r>
            <w:proofErr w:type="spellEnd"/>
            <w:r>
              <w:rPr>
                <w:color w:val="000000"/>
                <w:sz w:val="22"/>
                <w:szCs w:val="22"/>
                <w:lang w:val="es-ES"/>
              </w:rPr>
              <w:t xml:space="preserve"> a </w:t>
            </w:r>
            <w:proofErr w:type="spellStart"/>
            <w:r>
              <w:rPr>
                <w:color w:val="000000"/>
                <w:sz w:val="22"/>
                <w:szCs w:val="22"/>
                <w:lang w:val="es-ES"/>
              </w:rPr>
              <w:t>maximum</w:t>
            </w:r>
            <w:proofErr w:type="spellEnd"/>
            <w:r>
              <w:rPr>
                <w:color w:val="000000"/>
                <w:sz w:val="22"/>
                <w:szCs w:val="22"/>
                <w:lang w:val="es-ES"/>
              </w:rPr>
              <w:t xml:space="preserve"> </w:t>
            </w:r>
            <w:proofErr w:type="spellStart"/>
            <w:r>
              <w:rPr>
                <w:color w:val="000000"/>
                <w:sz w:val="22"/>
                <w:szCs w:val="22"/>
                <w:lang w:val="es-ES"/>
              </w:rPr>
              <w:t>period</w:t>
            </w:r>
            <w:proofErr w:type="spellEnd"/>
            <w:r>
              <w:rPr>
                <w:color w:val="000000"/>
                <w:sz w:val="22"/>
                <w:szCs w:val="22"/>
                <w:lang w:val="es-ES"/>
              </w:rPr>
              <w:t xml:space="preserve"> </w:t>
            </w:r>
            <w:proofErr w:type="spellStart"/>
            <w:r>
              <w:rPr>
                <w:color w:val="000000"/>
                <w:sz w:val="22"/>
                <w:szCs w:val="22"/>
                <w:lang w:val="es-ES"/>
              </w:rPr>
              <w:t>of</w:t>
            </w:r>
            <w:proofErr w:type="spellEnd"/>
            <w:r>
              <w:rPr>
                <w:color w:val="000000"/>
                <w:sz w:val="22"/>
                <w:szCs w:val="22"/>
                <w:lang w:val="es-ES"/>
              </w:rPr>
              <w:t xml:space="preserve"> 60 calendar </w:t>
            </w:r>
            <w:proofErr w:type="spellStart"/>
            <w:r>
              <w:rPr>
                <w:color w:val="000000"/>
                <w:sz w:val="22"/>
                <w:szCs w:val="22"/>
                <w:lang w:val="es-ES"/>
              </w:rPr>
              <w:t>days</w:t>
            </w:r>
            <w:proofErr w:type="spellEnd"/>
            <w:r>
              <w:rPr>
                <w:color w:val="000000"/>
                <w:sz w:val="22"/>
                <w:szCs w:val="22"/>
                <w:lang w:val="es-ES"/>
              </w:rPr>
              <w:t xml:space="preserve"> </w:t>
            </w:r>
            <w:proofErr w:type="spellStart"/>
            <w:r>
              <w:rPr>
                <w:color w:val="000000"/>
                <w:sz w:val="22"/>
                <w:szCs w:val="22"/>
                <w:lang w:val="es-ES"/>
              </w:rPr>
              <w:t>from</w:t>
            </w:r>
            <w:proofErr w:type="spellEnd"/>
            <w:r>
              <w:rPr>
                <w:color w:val="000000"/>
                <w:sz w:val="22"/>
                <w:szCs w:val="22"/>
                <w:lang w:val="es-ES"/>
              </w:rPr>
              <w:t xml:space="preserve"> </w:t>
            </w:r>
            <w:proofErr w:type="spellStart"/>
            <w:r>
              <w:rPr>
                <w:color w:val="000000"/>
                <w:sz w:val="22"/>
                <w:szCs w:val="22"/>
                <w:lang w:val="es-ES"/>
              </w:rPr>
              <w:t>the</w:t>
            </w:r>
            <w:proofErr w:type="spellEnd"/>
            <w:r>
              <w:rPr>
                <w:color w:val="000000"/>
                <w:sz w:val="22"/>
                <w:szCs w:val="22"/>
                <w:lang w:val="es-ES"/>
              </w:rPr>
              <w:t xml:space="preserve"> date </w:t>
            </w:r>
            <w:proofErr w:type="spellStart"/>
            <w:r>
              <w:rPr>
                <w:color w:val="000000"/>
                <w:sz w:val="22"/>
                <w:szCs w:val="22"/>
                <w:lang w:val="es-ES"/>
              </w:rPr>
              <w:t>of</w:t>
            </w:r>
            <w:proofErr w:type="spellEnd"/>
            <w:r>
              <w:rPr>
                <w:color w:val="000000"/>
                <w:sz w:val="22"/>
                <w:szCs w:val="22"/>
                <w:lang w:val="es-ES"/>
              </w:rPr>
              <w:t xml:space="preserve"> </w:t>
            </w:r>
            <w:proofErr w:type="spellStart"/>
            <w:r>
              <w:rPr>
                <w:color w:val="000000"/>
                <w:sz w:val="22"/>
                <w:szCs w:val="22"/>
                <w:lang w:val="es-ES"/>
              </w:rPr>
              <w:t>the</w:t>
            </w:r>
            <w:proofErr w:type="spellEnd"/>
            <w:r>
              <w:rPr>
                <w:color w:val="000000"/>
                <w:sz w:val="22"/>
                <w:szCs w:val="22"/>
                <w:lang w:val="es-ES"/>
              </w:rPr>
              <w:t xml:space="preserve"> </w:t>
            </w:r>
            <w:proofErr w:type="spellStart"/>
            <w:proofErr w:type="gramStart"/>
            <w:r>
              <w:rPr>
                <w:color w:val="000000"/>
                <w:sz w:val="22"/>
                <w:szCs w:val="22"/>
                <w:lang w:val="es-ES"/>
              </w:rPr>
              <w:t>invoice.</w:t>
            </w:r>
            <w:r>
              <w:rPr>
                <w:sz w:val="22"/>
                <w:szCs w:val="22"/>
                <w:lang w:val="es-ES"/>
              </w:rPr>
              <w:t>of</w:t>
            </w:r>
            <w:proofErr w:type="spellEnd"/>
            <w:proofErr w:type="gramEnd"/>
            <w:r>
              <w:rPr>
                <w:sz w:val="22"/>
                <w:szCs w:val="22"/>
                <w:lang w:val="es-ES"/>
              </w:rPr>
              <w:t xml:space="preserve"> </w:t>
            </w:r>
            <w:proofErr w:type="spellStart"/>
            <w:r>
              <w:rPr>
                <w:sz w:val="22"/>
                <w:szCs w:val="22"/>
                <w:lang w:val="es-ES"/>
              </w:rPr>
              <w:t>the</w:t>
            </w:r>
            <w:proofErr w:type="spellEnd"/>
            <w:r>
              <w:rPr>
                <w:sz w:val="22"/>
                <w:szCs w:val="22"/>
                <w:lang w:val="es-ES"/>
              </w:rPr>
              <w:t xml:space="preserve"> </w:t>
            </w:r>
            <w:proofErr w:type="spellStart"/>
            <w:r>
              <w:rPr>
                <w:sz w:val="22"/>
                <w:szCs w:val="22"/>
                <w:lang w:val="es-ES"/>
              </w:rPr>
              <w:t>service</w:t>
            </w:r>
            <w:proofErr w:type="spellEnd"/>
            <w:r>
              <w:rPr>
                <w:sz w:val="22"/>
                <w:szCs w:val="22"/>
                <w:lang w:val="es-ES"/>
              </w:rPr>
              <w:t xml:space="preserve"> </w:t>
            </w:r>
            <w:proofErr w:type="spellStart"/>
            <w:r>
              <w:rPr>
                <w:sz w:val="22"/>
                <w:szCs w:val="22"/>
                <w:lang w:val="es-ES"/>
              </w:rPr>
              <w:t>provided</w:t>
            </w:r>
            <w:r>
              <w:rPr>
                <w:color w:val="000000"/>
                <w:sz w:val="22"/>
                <w:szCs w:val="22"/>
                <w:lang w:val="es-ES"/>
              </w:rPr>
              <w:t>Failure</w:t>
            </w:r>
            <w:proofErr w:type="spellEnd"/>
            <w:r>
              <w:rPr>
                <w:color w:val="000000"/>
                <w:sz w:val="22"/>
                <w:szCs w:val="22"/>
                <w:lang w:val="es-ES"/>
              </w:rPr>
              <w:t xml:space="preserve"> </w:t>
            </w:r>
            <w:proofErr w:type="spellStart"/>
            <w:r>
              <w:rPr>
                <w:color w:val="000000"/>
                <w:sz w:val="22"/>
                <w:szCs w:val="22"/>
                <w:lang w:val="es-ES"/>
              </w:rPr>
              <w:t>to</w:t>
            </w:r>
            <w:proofErr w:type="spellEnd"/>
            <w:r>
              <w:rPr>
                <w:color w:val="000000"/>
                <w:sz w:val="22"/>
                <w:szCs w:val="22"/>
                <w:lang w:val="es-ES"/>
              </w:rPr>
              <w:t xml:space="preserve"> </w:t>
            </w:r>
            <w:proofErr w:type="spellStart"/>
            <w:r>
              <w:rPr>
                <w:color w:val="000000"/>
                <w:sz w:val="22"/>
                <w:szCs w:val="22"/>
                <w:lang w:val="es-ES"/>
              </w:rPr>
              <w:t>comply</w:t>
            </w:r>
            <w:proofErr w:type="spellEnd"/>
            <w:r>
              <w:rPr>
                <w:color w:val="000000"/>
                <w:sz w:val="22"/>
                <w:szCs w:val="22"/>
                <w:lang w:val="es-ES"/>
              </w:rPr>
              <w:t xml:space="preserve"> </w:t>
            </w:r>
            <w:proofErr w:type="spellStart"/>
            <w:r>
              <w:rPr>
                <w:color w:val="000000"/>
                <w:sz w:val="22"/>
                <w:szCs w:val="22"/>
                <w:lang w:val="es-ES"/>
              </w:rPr>
              <w:t>with</w:t>
            </w:r>
            <w:proofErr w:type="spellEnd"/>
            <w:r>
              <w:rPr>
                <w:color w:val="000000"/>
                <w:sz w:val="22"/>
                <w:szCs w:val="22"/>
                <w:lang w:val="es-ES"/>
              </w:rPr>
              <w:t xml:space="preserve"> </w:t>
            </w:r>
            <w:proofErr w:type="spellStart"/>
            <w:r>
              <w:rPr>
                <w:color w:val="000000"/>
                <w:sz w:val="22"/>
                <w:szCs w:val="22"/>
                <w:lang w:val="es-ES"/>
              </w:rPr>
              <w:t>the</w:t>
            </w:r>
            <w:proofErr w:type="spellEnd"/>
            <w:r>
              <w:rPr>
                <w:color w:val="000000"/>
                <w:sz w:val="22"/>
                <w:szCs w:val="22"/>
                <w:lang w:val="es-ES"/>
              </w:rPr>
              <w:t xml:space="preserve"> </w:t>
            </w:r>
            <w:proofErr w:type="spellStart"/>
            <w:r>
              <w:rPr>
                <w:color w:val="000000"/>
                <w:sz w:val="22"/>
                <w:szCs w:val="22"/>
                <w:lang w:val="es-ES"/>
              </w:rPr>
              <w:t>aforementioned</w:t>
            </w:r>
            <w:proofErr w:type="spellEnd"/>
            <w:r>
              <w:rPr>
                <w:color w:val="000000"/>
                <w:sz w:val="22"/>
                <w:szCs w:val="22"/>
                <w:lang w:val="es-ES"/>
              </w:rPr>
              <w:t xml:space="preserve"> </w:t>
            </w:r>
            <w:proofErr w:type="spellStart"/>
            <w:r>
              <w:rPr>
                <w:color w:val="000000"/>
                <w:sz w:val="22"/>
                <w:szCs w:val="22"/>
                <w:lang w:val="es-ES"/>
              </w:rPr>
              <w:t>deadline</w:t>
            </w:r>
            <w:proofErr w:type="spellEnd"/>
            <w:r>
              <w:rPr>
                <w:color w:val="000000"/>
                <w:sz w:val="22"/>
                <w:szCs w:val="22"/>
                <w:lang w:val="es-ES"/>
              </w:rPr>
              <w:t xml:space="preserve"> </w:t>
            </w:r>
            <w:proofErr w:type="spellStart"/>
            <w:r>
              <w:rPr>
                <w:color w:val="000000"/>
                <w:sz w:val="22"/>
                <w:szCs w:val="22"/>
                <w:lang w:val="es-ES"/>
              </w:rPr>
              <w:t>will</w:t>
            </w:r>
            <w:proofErr w:type="spellEnd"/>
            <w:r>
              <w:rPr>
                <w:color w:val="000000"/>
                <w:sz w:val="22"/>
                <w:szCs w:val="22"/>
                <w:lang w:val="es-ES"/>
              </w:rPr>
              <w:t xml:space="preserve"> cause </w:t>
            </w:r>
            <w:proofErr w:type="spellStart"/>
            <w:r>
              <w:rPr>
                <w:color w:val="000000"/>
                <w:sz w:val="22"/>
                <w:szCs w:val="22"/>
                <w:lang w:val="es-ES"/>
              </w:rPr>
              <w:t>the</w:t>
            </w:r>
            <w:proofErr w:type="spellEnd"/>
            <w:r>
              <w:rPr>
                <w:color w:val="000000"/>
                <w:sz w:val="22"/>
                <w:szCs w:val="22"/>
                <w:lang w:val="es-ES"/>
              </w:rPr>
              <w:t xml:space="preserve"> </w:t>
            </w:r>
            <w:proofErr w:type="spellStart"/>
            <w:r>
              <w:rPr>
                <w:color w:val="000000"/>
                <w:sz w:val="22"/>
                <w:szCs w:val="22"/>
                <w:lang w:val="es-ES"/>
              </w:rPr>
              <w:t>successful</w:t>
            </w:r>
            <w:proofErr w:type="spellEnd"/>
            <w:r>
              <w:rPr>
                <w:color w:val="000000"/>
                <w:sz w:val="22"/>
                <w:szCs w:val="22"/>
                <w:lang w:val="es-ES"/>
              </w:rPr>
              <w:t xml:space="preserve"> </w:t>
            </w:r>
            <w:proofErr w:type="spellStart"/>
            <w:r>
              <w:rPr>
                <w:color w:val="000000"/>
                <w:sz w:val="22"/>
                <w:szCs w:val="22"/>
                <w:lang w:val="es-ES"/>
              </w:rPr>
              <w:t>bidder's</w:t>
            </w:r>
            <w:proofErr w:type="spellEnd"/>
            <w:r>
              <w:rPr>
                <w:color w:val="000000"/>
                <w:sz w:val="22"/>
                <w:szCs w:val="22"/>
                <w:lang w:val="es-ES"/>
              </w:rPr>
              <w:t xml:space="preserve"> </w:t>
            </w:r>
            <w:proofErr w:type="spellStart"/>
            <w:r>
              <w:rPr>
                <w:color w:val="000000"/>
                <w:sz w:val="22"/>
                <w:szCs w:val="22"/>
                <w:lang w:val="es-ES"/>
              </w:rPr>
              <w:t>right</w:t>
            </w:r>
            <w:proofErr w:type="spellEnd"/>
            <w:r>
              <w:rPr>
                <w:color w:val="000000"/>
                <w:sz w:val="22"/>
                <w:szCs w:val="22"/>
                <w:lang w:val="es-ES"/>
              </w:rPr>
              <w:t xml:space="preserve"> </w:t>
            </w:r>
            <w:proofErr w:type="spellStart"/>
            <w:r>
              <w:rPr>
                <w:color w:val="000000"/>
                <w:sz w:val="22"/>
                <w:szCs w:val="22"/>
                <w:lang w:val="es-ES"/>
              </w:rPr>
              <w:t>to</w:t>
            </w:r>
            <w:proofErr w:type="spellEnd"/>
            <w:r>
              <w:rPr>
                <w:color w:val="000000"/>
                <w:sz w:val="22"/>
                <w:szCs w:val="22"/>
                <w:lang w:val="es-ES"/>
              </w:rPr>
              <w:t xml:space="preserve"> expire.</w:t>
            </w:r>
          </w:p>
          <w:p w14:paraId="19F41E34" w14:textId="77777777" w:rsidR="00E255F4" w:rsidRDefault="00E255F4">
            <w:pPr>
              <w:jc w:val="both"/>
              <w:rPr>
                <w:color w:val="000000"/>
                <w:sz w:val="22"/>
                <w:szCs w:val="22"/>
                <w:lang w:val="es-ES"/>
              </w:rPr>
            </w:pPr>
          </w:p>
          <w:p w14:paraId="45377D8B" w14:textId="77777777" w:rsidR="00E255F4" w:rsidRDefault="00000000">
            <w:pPr>
              <w:tabs>
                <w:tab w:val="left" w:pos="284"/>
                <w:tab w:val="left" w:pos="567"/>
              </w:tabs>
              <w:jc w:val="both"/>
            </w:pPr>
            <w:r>
              <w:rPr>
                <w:color w:val="000000"/>
                <w:sz w:val="22"/>
                <w:szCs w:val="22"/>
                <w:lang w:val="es-ES"/>
              </w:rPr>
              <w:t xml:space="preserve">In </w:t>
            </w:r>
            <w:proofErr w:type="spellStart"/>
            <w:r>
              <w:rPr>
                <w:color w:val="000000"/>
                <w:sz w:val="22"/>
                <w:szCs w:val="22"/>
                <w:lang w:val="es-ES"/>
              </w:rPr>
              <w:t>the</w:t>
            </w:r>
            <w:proofErr w:type="spellEnd"/>
            <w:r>
              <w:rPr>
                <w:color w:val="000000"/>
                <w:sz w:val="22"/>
                <w:szCs w:val="22"/>
                <w:lang w:val="es-ES"/>
              </w:rPr>
              <w:t xml:space="preserve"> </w:t>
            </w:r>
            <w:proofErr w:type="spellStart"/>
            <w:r>
              <w:rPr>
                <w:color w:val="000000"/>
                <w:sz w:val="22"/>
                <w:szCs w:val="22"/>
                <w:lang w:val="es-ES"/>
              </w:rPr>
              <w:t>event</w:t>
            </w:r>
            <w:proofErr w:type="spellEnd"/>
            <w:r>
              <w:rPr>
                <w:color w:val="000000"/>
                <w:sz w:val="22"/>
                <w:szCs w:val="22"/>
                <w:lang w:val="es-ES"/>
              </w:rPr>
              <w:t xml:space="preserve"> </w:t>
            </w:r>
            <w:proofErr w:type="spellStart"/>
            <w:r>
              <w:rPr>
                <w:color w:val="000000"/>
                <w:sz w:val="22"/>
                <w:szCs w:val="22"/>
                <w:lang w:val="es-ES"/>
              </w:rPr>
              <w:t>that</w:t>
            </w:r>
            <w:proofErr w:type="spellEnd"/>
            <w:r>
              <w:rPr>
                <w:color w:val="000000"/>
                <w:sz w:val="22"/>
                <w:szCs w:val="22"/>
                <w:lang w:val="es-ES"/>
              </w:rPr>
              <w:t xml:space="preserve"> </w:t>
            </w:r>
            <w:proofErr w:type="spellStart"/>
            <w:r>
              <w:rPr>
                <w:color w:val="000000"/>
                <w:sz w:val="22"/>
                <w:szCs w:val="22"/>
                <w:lang w:val="es-ES"/>
              </w:rPr>
              <w:t>the</w:t>
            </w:r>
            <w:proofErr w:type="spellEnd"/>
            <w:r>
              <w:rPr>
                <w:color w:val="000000"/>
                <w:sz w:val="22"/>
                <w:szCs w:val="22"/>
                <w:lang w:val="es-ES"/>
              </w:rPr>
              <w:t xml:space="preserve"> </w:t>
            </w:r>
            <w:proofErr w:type="spellStart"/>
            <w:r>
              <w:rPr>
                <w:color w:val="000000"/>
                <w:sz w:val="22"/>
                <w:szCs w:val="22"/>
                <w:lang w:val="es-ES"/>
              </w:rPr>
              <w:t>updated</w:t>
            </w:r>
            <w:proofErr w:type="spellEnd"/>
            <w:r>
              <w:rPr>
                <w:color w:val="000000"/>
                <w:sz w:val="22"/>
                <w:szCs w:val="22"/>
                <w:lang w:val="es-ES"/>
              </w:rPr>
              <w:t xml:space="preserve"> </w:t>
            </w:r>
            <w:proofErr w:type="spellStart"/>
            <w:r>
              <w:rPr>
                <w:color w:val="000000"/>
                <w:sz w:val="22"/>
                <w:szCs w:val="22"/>
                <w:lang w:val="es-ES"/>
              </w:rPr>
              <w:t>price</w:t>
            </w:r>
            <w:proofErr w:type="spellEnd"/>
            <w:r>
              <w:rPr>
                <w:color w:val="000000"/>
                <w:sz w:val="22"/>
                <w:szCs w:val="22"/>
                <w:lang w:val="es-ES"/>
              </w:rPr>
              <w:t xml:space="preserve"> </w:t>
            </w:r>
            <w:proofErr w:type="spellStart"/>
            <w:r>
              <w:rPr>
                <w:color w:val="000000"/>
                <w:sz w:val="22"/>
                <w:szCs w:val="22"/>
                <w:lang w:val="es-ES"/>
              </w:rPr>
              <w:t>of</w:t>
            </w:r>
            <w:proofErr w:type="spellEnd"/>
            <w:r>
              <w:rPr>
                <w:color w:val="000000"/>
                <w:sz w:val="22"/>
                <w:szCs w:val="22"/>
                <w:lang w:val="es-ES"/>
              </w:rPr>
              <w:t xml:space="preserve"> </w:t>
            </w:r>
            <w:proofErr w:type="spellStart"/>
            <w:r>
              <w:rPr>
                <w:color w:val="000000"/>
                <w:sz w:val="22"/>
                <w:szCs w:val="22"/>
                <w:lang w:val="es-ES"/>
              </w:rPr>
              <w:t>the</w:t>
            </w:r>
            <w:proofErr w:type="spellEnd"/>
            <w:r>
              <w:rPr>
                <w:color w:val="000000"/>
                <w:sz w:val="22"/>
                <w:szCs w:val="22"/>
                <w:lang w:val="es-ES"/>
              </w:rPr>
              <w:t xml:space="preserve"> </w:t>
            </w:r>
            <w:proofErr w:type="spellStart"/>
            <w:r>
              <w:rPr>
                <w:color w:val="000000"/>
                <w:sz w:val="22"/>
                <w:szCs w:val="22"/>
                <w:lang w:val="es-ES"/>
              </w:rPr>
              <w:t>supply</w:t>
            </w:r>
            <w:proofErr w:type="spellEnd"/>
            <w:r>
              <w:rPr>
                <w:color w:val="000000"/>
                <w:sz w:val="22"/>
                <w:szCs w:val="22"/>
                <w:lang w:val="es-ES"/>
              </w:rPr>
              <w:t xml:space="preserve"> (P) derives </w:t>
            </w:r>
            <w:proofErr w:type="spellStart"/>
            <w:r>
              <w:rPr>
                <w:color w:val="000000"/>
                <w:sz w:val="22"/>
                <w:szCs w:val="22"/>
                <w:lang w:val="es-ES"/>
              </w:rPr>
              <w:t>from</w:t>
            </w:r>
            <w:proofErr w:type="spellEnd"/>
            <w:r>
              <w:rPr>
                <w:color w:val="000000"/>
                <w:sz w:val="22"/>
                <w:szCs w:val="22"/>
                <w:lang w:val="es-ES"/>
              </w:rPr>
              <w:t xml:space="preserve"> a </w:t>
            </w:r>
            <w:proofErr w:type="spellStart"/>
            <w:r>
              <w:rPr>
                <w:color w:val="000000"/>
                <w:sz w:val="22"/>
                <w:szCs w:val="22"/>
                <w:lang w:val="es-ES"/>
              </w:rPr>
              <w:t>parameter</w:t>
            </w:r>
            <w:proofErr w:type="spellEnd"/>
            <w:r>
              <w:rPr>
                <w:color w:val="000000"/>
                <w:sz w:val="22"/>
                <w:szCs w:val="22"/>
                <w:lang w:val="es-ES"/>
              </w:rPr>
              <w:t xml:space="preserve"> </w:t>
            </w:r>
            <w:proofErr w:type="spellStart"/>
            <w:r>
              <w:rPr>
                <w:color w:val="000000"/>
                <w:sz w:val="22"/>
                <w:szCs w:val="22"/>
                <w:lang w:val="es-ES"/>
              </w:rPr>
              <w:t>less</w:t>
            </w:r>
            <w:proofErr w:type="spellEnd"/>
            <w:r>
              <w:rPr>
                <w:color w:val="000000"/>
                <w:sz w:val="22"/>
                <w:szCs w:val="22"/>
                <w:lang w:val="es-ES"/>
              </w:rPr>
              <w:t xml:space="preserve"> </w:t>
            </w:r>
            <w:proofErr w:type="spellStart"/>
            <w:r>
              <w:rPr>
                <w:color w:val="000000"/>
                <w:sz w:val="22"/>
                <w:szCs w:val="22"/>
                <w:lang w:val="es-ES"/>
              </w:rPr>
              <w:t>than</w:t>
            </w:r>
            <w:proofErr w:type="spellEnd"/>
            <w:r>
              <w:rPr>
                <w:color w:val="000000"/>
                <w:sz w:val="22"/>
                <w:szCs w:val="22"/>
                <w:lang w:val="es-ES"/>
              </w:rPr>
              <w:t xml:space="preserve"> </w:t>
            </w:r>
            <w:proofErr w:type="spellStart"/>
            <w:r>
              <w:rPr>
                <w:color w:val="000000"/>
                <w:sz w:val="22"/>
                <w:szCs w:val="22"/>
                <w:lang w:val="es-ES"/>
              </w:rPr>
              <w:t>one</w:t>
            </w:r>
            <w:proofErr w:type="spellEnd"/>
            <w:r>
              <w:rPr>
                <w:color w:val="000000"/>
                <w:sz w:val="22"/>
                <w:szCs w:val="22"/>
                <w:lang w:val="es-ES"/>
              </w:rPr>
              <w:t xml:space="preserve"> and </w:t>
            </w:r>
            <w:proofErr w:type="spellStart"/>
            <w:r>
              <w:rPr>
                <w:color w:val="000000"/>
                <w:sz w:val="22"/>
                <w:szCs w:val="22"/>
                <w:lang w:val="es-ES"/>
              </w:rPr>
              <w:t>for</w:t>
            </w:r>
            <w:proofErr w:type="spellEnd"/>
            <w:r>
              <w:rPr>
                <w:color w:val="000000"/>
                <w:sz w:val="22"/>
                <w:szCs w:val="22"/>
                <w:lang w:val="es-ES"/>
              </w:rPr>
              <w:t xml:space="preserve"> </w:t>
            </w:r>
            <w:proofErr w:type="spellStart"/>
            <w:r>
              <w:rPr>
                <w:color w:val="000000"/>
                <w:sz w:val="22"/>
                <w:szCs w:val="22"/>
                <w:lang w:val="es-ES"/>
              </w:rPr>
              <w:t>this</w:t>
            </w:r>
            <w:proofErr w:type="spellEnd"/>
            <w:r>
              <w:rPr>
                <w:color w:val="000000"/>
                <w:sz w:val="22"/>
                <w:szCs w:val="22"/>
                <w:lang w:val="es-ES"/>
              </w:rPr>
              <w:t xml:space="preserve"> </w:t>
            </w:r>
            <w:proofErr w:type="spellStart"/>
            <w:r>
              <w:rPr>
                <w:color w:val="000000"/>
                <w:sz w:val="22"/>
                <w:szCs w:val="22"/>
                <w:lang w:val="es-ES"/>
              </w:rPr>
              <w:t>reason</w:t>
            </w:r>
            <w:proofErr w:type="spellEnd"/>
            <w:r>
              <w:rPr>
                <w:color w:val="000000"/>
                <w:sz w:val="22"/>
                <w:szCs w:val="22"/>
                <w:lang w:val="es-ES"/>
              </w:rPr>
              <w:t xml:space="preserve"> </w:t>
            </w:r>
            <w:proofErr w:type="spellStart"/>
            <w:r>
              <w:rPr>
                <w:color w:val="000000"/>
                <w:sz w:val="22"/>
                <w:szCs w:val="22"/>
                <w:lang w:val="es-ES"/>
              </w:rPr>
              <w:t>an</w:t>
            </w:r>
            <w:proofErr w:type="spellEnd"/>
            <w:r>
              <w:rPr>
                <w:color w:val="000000"/>
                <w:sz w:val="22"/>
                <w:szCs w:val="22"/>
                <w:lang w:val="es-ES"/>
              </w:rPr>
              <w:t xml:space="preserve"> </w:t>
            </w:r>
            <w:proofErr w:type="spellStart"/>
            <w:r>
              <w:rPr>
                <w:color w:val="000000"/>
                <w:sz w:val="22"/>
                <w:szCs w:val="22"/>
                <w:lang w:val="es-ES"/>
              </w:rPr>
              <w:t>adjustment</w:t>
            </w:r>
            <w:proofErr w:type="spellEnd"/>
            <w:r>
              <w:rPr>
                <w:color w:val="000000"/>
                <w:sz w:val="22"/>
                <w:szCs w:val="22"/>
                <w:lang w:val="es-ES"/>
              </w:rPr>
              <w:t xml:space="preserve"> </w:t>
            </w:r>
            <w:proofErr w:type="spellStart"/>
            <w:r>
              <w:rPr>
                <w:color w:val="000000"/>
                <w:sz w:val="22"/>
                <w:szCs w:val="22"/>
                <w:lang w:val="es-ES"/>
              </w:rPr>
              <w:t>must</w:t>
            </w:r>
            <w:proofErr w:type="spellEnd"/>
            <w:r>
              <w:rPr>
                <w:color w:val="000000"/>
                <w:sz w:val="22"/>
                <w:szCs w:val="22"/>
                <w:lang w:val="es-ES"/>
              </w:rPr>
              <w:t xml:space="preserve"> be </w:t>
            </w:r>
            <w:proofErr w:type="spellStart"/>
            <w:r>
              <w:rPr>
                <w:color w:val="000000"/>
                <w:sz w:val="22"/>
                <w:szCs w:val="22"/>
                <w:lang w:val="es-ES"/>
              </w:rPr>
              <w:t>made</w:t>
            </w:r>
            <w:proofErr w:type="spellEnd"/>
            <w:r>
              <w:rPr>
                <w:color w:val="000000"/>
                <w:sz w:val="22"/>
                <w:szCs w:val="22"/>
                <w:lang w:val="es-ES"/>
              </w:rPr>
              <w:t xml:space="preserve"> </w:t>
            </w:r>
            <w:proofErr w:type="spellStart"/>
            <w:r>
              <w:rPr>
                <w:color w:val="000000"/>
                <w:sz w:val="22"/>
                <w:szCs w:val="22"/>
                <w:lang w:val="es-ES"/>
              </w:rPr>
              <w:t>that</w:t>
            </w:r>
            <w:proofErr w:type="spellEnd"/>
            <w:r>
              <w:rPr>
                <w:color w:val="000000"/>
                <w:sz w:val="22"/>
                <w:szCs w:val="22"/>
                <w:lang w:val="es-ES"/>
              </w:rPr>
              <w:t xml:space="preserve"> </w:t>
            </w:r>
            <w:proofErr w:type="spellStart"/>
            <w:r>
              <w:rPr>
                <w:color w:val="000000"/>
                <w:sz w:val="22"/>
                <w:szCs w:val="22"/>
                <w:lang w:val="es-ES"/>
              </w:rPr>
              <w:t>implies</w:t>
            </w:r>
            <w:proofErr w:type="spellEnd"/>
            <w:r>
              <w:rPr>
                <w:color w:val="000000"/>
                <w:sz w:val="22"/>
                <w:szCs w:val="22"/>
                <w:lang w:val="es-ES"/>
              </w:rPr>
              <w:t xml:space="preserve"> a </w:t>
            </w:r>
            <w:proofErr w:type="spellStart"/>
            <w:r>
              <w:rPr>
                <w:color w:val="000000"/>
                <w:sz w:val="22"/>
                <w:szCs w:val="22"/>
                <w:lang w:val="es-ES"/>
              </w:rPr>
              <w:t>downward</w:t>
            </w:r>
            <w:proofErr w:type="spellEnd"/>
            <w:r>
              <w:rPr>
                <w:color w:val="000000"/>
                <w:sz w:val="22"/>
                <w:szCs w:val="22"/>
                <w:lang w:val="es-ES"/>
              </w:rPr>
              <w:t xml:space="preserve"> </w:t>
            </w:r>
            <w:proofErr w:type="spellStart"/>
            <w:r>
              <w:rPr>
                <w:color w:val="000000"/>
                <w:sz w:val="22"/>
                <w:szCs w:val="22"/>
                <w:lang w:val="es-ES"/>
              </w:rPr>
              <w:t>correction</w:t>
            </w:r>
            <w:proofErr w:type="spellEnd"/>
            <w:r>
              <w:rPr>
                <w:color w:val="000000"/>
                <w:sz w:val="22"/>
                <w:szCs w:val="22"/>
                <w:lang w:val="es-ES"/>
              </w:rPr>
              <w:t xml:space="preserve">, </w:t>
            </w:r>
            <w:proofErr w:type="spellStart"/>
            <w:r>
              <w:rPr>
                <w:color w:val="000000"/>
                <w:sz w:val="22"/>
                <w:szCs w:val="22"/>
                <w:lang w:val="es-ES"/>
              </w:rPr>
              <w:t>the</w:t>
            </w:r>
            <w:proofErr w:type="spellEnd"/>
            <w:r>
              <w:rPr>
                <w:color w:val="000000"/>
                <w:sz w:val="22"/>
                <w:szCs w:val="22"/>
                <w:lang w:val="es-ES"/>
              </w:rPr>
              <w:t xml:space="preserve"> </w:t>
            </w:r>
            <w:proofErr w:type="spellStart"/>
            <w:r>
              <w:rPr>
                <w:color w:val="000000"/>
                <w:sz w:val="22"/>
                <w:szCs w:val="22"/>
                <w:lang w:val="es-ES"/>
              </w:rPr>
              <w:t>Administration</w:t>
            </w:r>
            <w:proofErr w:type="spellEnd"/>
            <w:r>
              <w:rPr>
                <w:color w:val="000000"/>
                <w:sz w:val="22"/>
                <w:szCs w:val="22"/>
                <w:lang w:val="es-ES"/>
              </w:rPr>
              <w:t xml:space="preserve"> </w:t>
            </w:r>
            <w:proofErr w:type="spellStart"/>
            <w:r>
              <w:rPr>
                <w:color w:val="000000"/>
                <w:sz w:val="22"/>
                <w:szCs w:val="22"/>
                <w:lang w:val="es-ES"/>
              </w:rPr>
              <w:t>must</w:t>
            </w:r>
            <w:proofErr w:type="spellEnd"/>
            <w:r>
              <w:rPr>
                <w:color w:val="000000"/>
                <w:sz w:val="22"/>
                <w:szCs w:val="22"/>
                <w:lang w:val="es-ES"/>
              </w:rPr>
              <w:t xml:space="preserve"> </w:t>
            </w:r>
            <w:proofErr w:type="spellStart"/>
            <w:r>
              <w:rPr>
                <w:color w:val="000000"/>
                <w:sz w:val="22"/>
                <w:szCs w:val="22"/>
                <w:lang w:val="es-ES"/>
              </w:rPr>
              <w:t>notify</w:t>
            </w:r>
            <w:proofErr w:type="spellEnd"/>
            <w:r>
              <w:rPr>
                <w:color w:val="000000"/>
                <w:sz w:val="22"/>
                <w:szCs w:val="22"/>
                <w:lang w:val="es-ES"/>
              </w:rPr>
              <w:t xml:space="preserve"> </w:t>
            </w:r>
            <w:proofErr w:type="spellStart"/>
            <w:r>
              <w:rPr>
                <w:color w:val="000000"/>
                <w:sz w:val="22"/>
                <w:szCs w:val="22"/>
                <w:lang w:val="es-ES"/>
              </w:rPr>
              <w:t>the</w:t>
            </w:r>
            <w:proofErr w:type="spellEnd"/>
            <w:r>
              <w:rPr>
                <w:color w:val="000000"/>
                <w:sz w:val="22"/>
                <w:szCs w:val="22"/>
                <w:lang w:val="es-ES"/>
              </w:rPr>
              <w:t xml:space="preserve"> </w:t>
            </w:r>
            <w:proofErr w:type="spellStart"/>
            <w:r>
              <w:rPr>
                <w:color w:val="000000"/>
                <w:sz w:val="22"/>
                <w:szCs w:val="22"/>
                <w:lang w:val="es-ES"/>
              </w:rPr>
              <w:t>successful</w:t>
            </w:r>
            <w:proofErr w:type="spellEnd"/>
            <w:r>
              <w:rPr>
                <w:color w:val="000000"/>
                <w:sz w:val="22"/>
                <w:szCs w:val="22"/>
                <w:lang w:val="es-ES"/>
              </w:rPr>
              <w:t xml:space="preserve"> </w:t>
            </w:r>
            <w:proofErr w:type="spellStart"/>
            <w:r>
              <w:rPr>
                <w:color w:val="000000"/>
                <w:sz w:val="22"/>
                <w:szCs w:val="22"/>
                <w:lang w:val="es-ES"/>
              </w:rPr>
              <w:t>bidder</w:t>
            </w:r>
            <w:proofErr w:type="spellEnd"/>
            <w:r>
              <w:rPr>
                <w:color w:val="000000"/>
                <w:sz w:val="22"/>
                <w:szCs w:val="22"/>
                <w:lang w:val="es-ES"/>
              </w:rPr>
              <w:t xml:space="preserve"> and </w:t>
            </w:r>
            <w:proofErr w:type="spellStart"/>
            <w:r>
              <w:rPr>
                <w:color w:val="000000"/>
                <w:sz w:val="22"/>
                <w:szCs w:val="22"/>
                <w:lang w:val="es-ES"/>
              </w:rPr>
              <w:t>request</w:t>
            </w:r>
            <w:proofErr w:type="spellEnd"/>
            <w:r>
              <w:rPr>
                <w:color w:val="000000"/>
                <w:sz w:val="22"/>
                <w:szCs w:val="22"/>
                <w:lang w:val="es-ES"/>
              </w:rPr>
              <w:t xml:space="preserve"> </w:t>
            </w:r>
            <w:proofErr w:type="spellStart"/>
            <w:r>
              <w:rPr>
                <w:color w:val="000000"/>
                <w:sz w:val="22"/>
                <w:szCs w:val="22"/>
                <w:lang w:val="es-ES"/>
              </w:rPr>
              <w:t>the</w:t>
            </w:r>
            <w:proofErr w:type="spellEnd"/>
            <w:r>
              <w:rPr>
                <w:color w:val="000000"/>
                <w:sz w:val="22"/>
                <w:szCs w:val="22"/>
                <w:lang w:val="es-ES"/>
              </w:rPr>
              <w:t xml:space="preserve"> </w:t>
            </w:r>
            <w:proofErr w:type="spellStart"/>
            <w:r>
              <w:rPr>
                <w:color w:val="000000"/>
                <w:sz w:val="22"/>
                <w:szCs w:val="22"/>
                <w:lang w:val="es-ES"/>
              </w:rPr>
              <w:t>corresponding</w:t>
            </w:r>
            <w:proofErr w:type="spellEnd"/>
            <w:r>
              <w:rPr>
                <w:color w:val="000000"/>
                <w:sz w:val="22"/>
                <w:szCs w:val="22"/>
                <w:lang w:val="es-ES"/>
              </w:rPr>
              <w:t xml:space="preserve"> </w:t>
            </w:r>
            <w:proofErr w:type="spellStart"/>
            <w:r>
              <w:rPr>
                <w:color w:val="000000"/>
                <w:sz w:val="22"/>
                <w:szCs w:val="22"/>
                <w:lang w:val="es-ES"/>
              </w:rPr>
              <w:t>credit</w:t>
            </w:r>
            <w:proofErr w:type="spellEnd"/>
            <w:r>
              <w:rPr>
                <w:color w:val="000000"/>
                <w:sz w:val="22"/>
                <w:szCs w:val="22"/>
                <w:lang w:val="es-ES"/>
              </w:rPr>
              <w:t xml:space="preserve"> note.</w:t>
            </w:r>
          </w:p>
          <w:p w14:paraId="7CD8105D" w14:textId="77777777" w:rsidR="00E255F4" w:rsidRDefault="00E255F4">
            <w:pPr>
              <w:tabs>
                <w:tab w:val="left" w:pos="284"/>
                <w:tab w:val="left" w:pos="567"/>
              </w:tabs>
              <w:jc w:val="both"/>
              <w:rPr>
                <w:color w:val="000000"/>
                <w:sz w:val="22"/>
                <w:szCs w:val="22"/>
                <w:lang w:val="es-ES"/>
              </w:rPr>
            </w:pPr>
          </w:p>
          <w:p w14:paraId="07F8BBF2" w14:textId="77777777" w:rsidR="00E255F4" w:rsidRDefault="00000000">
            <w:pPr>
              <w:tabs>
                <w:tab w:val="left" w:pos="284"/>
                <w:tab w:val="left" w:pos="567"/>
              </w:tabs>
              <w:jc w:val="both"/>
              <w:rPr>
                <w:sz w:val="22"/>
                <w:szCs w:val="22"/>
                <w:lang w:val="es-ES"/>
              </w:rPr>
            </w:pPr>
            <w:proofErr w:type="spellStart"/>
            <w:r>
              <w:rPr>
                <w:sz w:val="22"/>
                <w:szCs w:val="22"/>
                <w:lang w:val="es-ES"/>
              </w:rPr>
              <w:t>This</w:t>
            </w:r>
            <w:proofErr w:type="spellEnd"/>
            <w:r>
              <w:rPr>
                <w:sz w:val="22"/>
                <w:szCs w:val="22"/>
                <w:lang w:val="es-ES"/>
              </w:rPr>
              <w:t xml:space="preserve"> </w:t>
            </w:r>
            <w:proofErr w:type="spellStart"/>
            <w:r>
              <w:rPr>
                <w:sz w:val="22"/>
                <w:szCs w:val="22"/>
                <w:lang w:val="es-ES"/>
              </w:rPr>
              <w:t>notification</w:t>
            </w:r>
            <w:proofErr w:type="spellEnd"/>
            <w:r>
              <w:rPr>
                <w:sz w:val="22"/>
                <w:szCs w:val="22"/>
                <w:lang w:val="es-ES"/>
              </w:rPr>
              <w:t xml:space="preserve"> </w:t>
            </w:r>
            <w:proofErr w:type="spellStart"/>
            <w:r>
              <w:rPr>
                <w:sz w:val="22"/>
                <w:szCs w:val="22"/>
                <w:lang w:val="es-ES"/>
              </w:rPr>
              <w:t>must</w:t>
            </w:r>
            <w:proofErr w:type="spellEnd"/>
            <w:r>
              <w:rPr>
                <w:sz w:val="22"/>
                <w:szCs w:val="22"/>
                <w:lang w:val="es-ES"/>
              </w:rPr>
              <w:t xml:space="preserve"> be </w:t>
            </w:r>
            <w:proofErr w:type="spellStart"/>
            <w:r>
              <w:rPr>
                <w:sz w:val="22"/>
                <w:szCs w:val="22"/>
                <w:lang w:val="es-ES"/>
              </w:rPr>
              <w:t>made</w:t>
            </w:r>
            <w:proofErr w:type="spellEnd"/>
            <w:r>
              <w:rPr>
                <w:sz w:val="22"/>
                <w:szCs w:val="22"/>
                <w:lang w:val="es-ES"/>
              </w:rPr>
              <w:t xml:space="preserve"> </w:t>
            </w:r>
            <w:proofErr w:type="spellStart"/>
            <w:r>
              <w:rPr>
                <w:sz w:val="22"/>
                <w:szCs w:val="22"/>
                <w:lang w:val="es-ES"/>
              </w:rPr>
              <w:t>within</w:t>
            </w:r>
            <w:proofErr w:type="spellEnd"/>
            <w:r>
              <w:rPr>
                <w:sz w:val="22"/>
                <w:szCs w:val="22"/>
                <w:lang w:val="es-ES"/>
              </w:rPr>
              <w:t xml:space="preserve"> a </w:t>
            </w:r>
            <w:proofErr w:type="spellStart"/>
            <w:r>
              <w:rPr>
                <w:sz w:val="22"/>
                <w:szCs w:val="22"/>
                <w:lang w:val="es-ES"/>
              </w:rPr>
              <w:t>maximum</w:t>
            </w:r>
            <w:proofErr w:type="spellEnd"/>
            <w:r>
              <w:rPr>
                <w:sz w:val="22"/>
                <w:szCs w:val="22"/>
                <w:lang w:val="es-ES"/>
              </w:rPr>
              <w:t xml:space="preserve"> </w:t>
            </w:r>
            <w:proofErr w:type="spellStart"/>
            <w:r>
              <w:rPr>
                <w:sz w:val="22"/>
                <w:szCs w:val="22"/>
                <w:lang w:val="es-ES"/>
              </w:rPr>
              <w:t>of</w:t>
            </w:r>
            <w:proofErr w:type="spellEnd"/>
            <w:r>
              <w:rPr>
                <w:sz w:val="22"/>
                <w:szCs w:val="22"/>
                <w:lang w:val="es-ES"/>
              </w:rPr>
              <w:t xml:space="preserve"> 60 calendar </w:t>
            </w:r>
            <w:proofErr w:type="spellStart"/>
            <w:r>
              <w:rPr>
                <w:sz w:val="22"/>
                <w:szCs w:val="22"/>
                <w:lang w:val="es-ES"/>
              </w:rPr>
              <w:t>days</w:t>
            </w:r>
            <w:proofErr w:type="spellEnd"/>
            <w:r>
              <w:rPr>
                <w:sz w:val="22"/>
                <w:szCs w:val="22"/>
                <w:lang w:val="es-ES"/>
              </w:rPr>
              <w:t xml:space="preserve"> </w:t>
            </w:r>
            <w:proofErr w:type="spellStart"/>
            <w:r>
              <w:rPr>
                <w:sz w:val="22"/>
                <w:szCs w:val="22"/>
                <w:lang w:val="es-ES"/>
              </w:rPr>
              <w:t>from</w:t>
            </w:r>
            <w:proofErr w:type="spellEnd"/>
            <w:r>
              <w:rPr>
                <w:sz w:val="22"/>
                <w:szCs w:val="22"/>
                <w:lang w:val="es-ES"/>
              </w:rPr>
              <w:t xml:space="preserve"> </w:t>
            </w:r>
            <w:proofErr w:type="spellStart"/>
            <w:r>
              <w:rPr>
                <w:sz w:val="22"/>
                <w:szCs w:val="22"/>
                <w:lang w:val="es-ES"/>
              </w:rPr>
              <w:t>the</w:t>
            </w:r>
            <w:proofErr w:type="spellEnd"/>
            <w:r>
              <w:rPr>
                <w:sz w:val="22"/>
                <w:szCs w:val="22"/>
                <w:lang w:val="es-ES"/>
              </w:rPr>
              <w:t xml:space="preserve"> date </w:t>
            </w:r>
            <w:proofErr w:type="spellStart"/>
            <w:r>
              <w:rPr>
                <w:sz w:val="22"/>
                <w:szCs w:val="22"/>
                <w:lang w:val="es-ES"/>
              </w:rPr>
              <w:t>the</w:t>
            </w:r>
            <w:proofErr w:type="spellEnd"/>
            <w:r>
              <w:rPr>
                <w:sz w:val="22"/>
                <w:szCs w:val="22"/>
                <w:lang w:val="es-ES"/>
              </w:rPr>
              <w:t xml:space="preserve"> </w:t>
            </w:r>
            <w:proofErr w:type="spellStart"/>
            <w:r>
              <w:rPr>
                <w:sz w:val="22"/>
                <w:szCs w:val="22"/>
                <w:lang w:val="es-ES"/>
              </w:rPr>
              <w:t>invoice</w:t>
            </w:r>
            <w:proofErr w:type="spellEnd"/>
            <w:r>
              <w:rPr>
                <w:sz w:val="22"/>
                <w:szCs w:val="22"/>
                <w:lang w:val="es-ES"/>
              </w:rPr>
              <w:t xml:space="preserve"> </w:t>
            </w:r>
            <w:proofErr w:type="spellStart"/>
            <w:r>
              <w:rPr>
                <w:sz w:val="22"/>
                <w:szCs w:val="22"/>
                <w:lang w:val="es-ES"/>
              </w:rPr>
              <w:t>for</w:t>
            </w:r>
            <w:proofErr w:type="spellEnd"/>
            <w:r>
              <w:rPr>
                <w:sz w:val="22"/>
                <w:szCs w:val="22"/>
                <w:lang w:val="es-ES"/>
              </w:rPr>
              <w:t xml:space="preserve"> </w:t>
            </w:r>
            <w:proofErr w:type="spellStart"/>
            <w:r>
              <w:rPr>
                <w:sz w:val="22"/>
                <w:szCs w:val="22"/>
                <w:lang w:val="es-ES"/>
              </w:rPr>
              <w:t>the</w:t>
            </w:r>
            <w:proofErr w:type="spellEnd"/>
            <w:r>
              <w:rPr>
                <w:sz w:val="22"/>
                <w:szCs w:val="22"/>
                <w:lang w:val="es-ES"/>
              </w:rPr>
              <w:t xml:space="preserve"> </w:t>
            </w:r>
            <w:proofErr w:type="spellStart"/>
            <w:r>
              <w:rPr>
                <w:sz w:val="22"/>
                <w:szCs w:val="22"/>
                <w:lang w:val="es-ES"/>
              </w:rPr>
              <w:t>service</w:t>
            </w:r>
            <w:proofErr w:type="spellEnd"/>
            <w:r>
              <w:rPr>
                <w:sz w:val="22"/>
                <w:szCs w:val="22"/>
                <w:lang w:val="es-ES"/>
              </w:rPr>
              <w:t xml:space="preserve"> </w:t>
            </w:r>
            <w:proofErr w:type="spellStart"/>
            <w:r>
              <w:rPr>
                <w:sz w:val="22"/>
                <w:szCs w:val="22"/>
                <w:lang w:val="es-ES"/>
              </w:rPr>
              <w:t>provided</w:t>
            </w:r>
            <w:proofErr w:type="spellEnd"/>
            <w:r>
              <w:rPr>
                <w:sz w:val="22"/>
                <w:szCs w:val="22"/>
                <w:lang w:val="es-ES"/>
              </w:rPr>
              <w:t xml:space="preserve"> </w:t>
            </w:r>
            <w:proofErr w:type="spellStart"/>
            <w:r>
              <w:rPr>
                <w:sz w:val="22"/>
                <w:szCs w:val="22"/>
                <w:lang w:val="es-ES"/>
              </w:rPr>
              <w:t>is</w:t>
            </w:r>
            <w:proofErr w:type="spellEnd"/>
            <w:r>
              <w:rPr>
                <w:sz w:val="22"/>
                <w:szCs w:val="22"/>
                <w:lang w:val="es-ES"/>
              </w:rPr>
              <w:t xml:space="preserve"> </w:t>
            </w:r>
            <w:proofErr w:type="spellStart"/>
            <w:r>
              <w:rPr>
                <w:sz w:val="22"/>
                <w:szCs w:val="22"/>
                <w:lang w:val="es-ES"/>
              </w:rPr>
              <w:t>submitted</w:t>
            </w:r>
            <w:proofErr w:type="spellEnd"/>
            <w:r>
              <w:rPr>
                <w:sz w:val="22"/>
                <w:szCs w:val="22"/>
                <w:lang w:val="es-ES"/>
              </w:rPr>
              <w:t xml:space="preserve">. </w:t>
            </w:r>
            <w:proofErr w:type="spellStart"/>
            <w:r>
              <w:rPr>
                <w:sz w:val="22"/>
                <w:szCs w:val="22"/>
                <w:lang w:val="es-ES"/>
              </w:rPr>
              <w:t>Failure</w:t>
            </w:r>
            <w:proofErr w:type="spellEnd"/>
            <w:r>
              <w:rPr>
                <w:sz w:val="22"/>
                <w:szCs w:val="22"/>
                <w:lang w:val="es-ES"/>
              </w:rPr>
              <w:t xml:space="preserve"> </w:t>
            </w:r>
            <w:proofErr w:type="spellStart"/>
            <w:r>
              <w:rPr>
                <w:sz w:val="22"/>
                <w:szCs w:val="22"/>
                <w:lang w:val="es-ES"/>
              </w:rPr>
              <w:t>to</w:t>
            </w:r>
            <w:proofErr w:type="spellEnd"/>
            <w:r>
              <w:rPr>
                <w:sz w:val="22"/>
                <w:szCs w:val="22"/>
                <w:lang w:val="es-ES"/>
              </w:rPr>
              <w:t xml:space="preserve"> </w:t>
            </w:r>
            <w:proofErr w:type="spellStart"/>
            <w:r>
              <w:rPr>
                <w:sz w:val="22"/>
                <w:szCs w:val="22"/>
                <w:lang w:val="es-ES"/>
              </w:rPr>
              <w:t>comply</w:t>
            </w:r>
            <w:proofErr w:type="spellEnd"/>
            <w:r>
              <w:rPr>
                <w:sz w:val="22"/>
                <w:szCs w:val="22"/>
                <w:lang w:val="es-ES"/>
              </w:rPr>
              <w:t xml:space="preserve"> </w:t>
            </w:r>
            <w:proofErr w:type="spellStart"/>
            <w:r>
              <w:rPr>
                <w:sz w:val="22"/>
                <w:szCs w:val="22"/>
                <w:lang w:val="es-ES"/>
              </w:rPr>
              <w:t>with</w:t>
            </w:r>
            <w:proofErr w:type="spellEnd"/>
            <w:r>
              <w:rPr>
                <w:sz w:val="22"/>
                <w:szCs w:val="22"/>
                <w:lang w:val="es-ES"/>
              </w:rPr>
              <w:t xml:space="preserve"> </w:t>
            </w:r>
            <w:proofErr w:type="spellStart"/>
            <w:r>
              <w:rPr>
                <w:sz w:val="22"/>
                <w:szCs w:val="22"/>
                <w:lang w:val="es-ES"/>
              </w:rPr>
              <w:t>this</w:t>
            </w:r>
            <w:proofErr w:type="spellEnd"/>
            <w:r>
              <w:rPr>
                <w:sz w:val="22"/>
                <w:szCs w:val="22"/>
                <w:lang w:val="es-ES"/>
              </w:rPr>
              <w:t xml:space="preserve"> </w:t>
            </w:r>
            <w:proofErr w:type="spellStart"/>
            <w:r>
              <w:rPr>
                <w:sz w:val="22"/>
                <w:szCs w:val="22"/>
                <w:lang w:val="es-ES"/>
              </w:rPr>
              <w:t>deadline</w:t>
            </w:r>
            <w:proofErr w:type="spellEnd"/>
            <w:r>
              <w:rPr>
                <w:sz w:val="22"/>
                <w:szCs w:val="22"/>
                <w:lang w:val="es-ES"/>
              </w:rPr>
              <w:t xml:space="preserve"> </w:t>
            </w:r>
            <w:proofErr w:type="spellStart"/>
            <w:r>
              <w:rPr>
                <w:sz w:val="22"/>
                <w:szCs w:val="22"/>
                <w:lang w:val="es-ES"/>
              </w:rPr>
              <w:t>will</w:t>
            </w:r>
            <w:proofErr w:type="spellEnd"/>
            <w:r>
              <w:rPr>
                <w:sz w:val="22"/>
                <w:szCs w:val="22"/>
                <w:lang w:val="es-ES"/>
              </w:rPr>
              <w:t xml:space="preserve"> </w:t>
            </w:r>
            <w:proofErr w:type="spellStart"/>
            <w:r>
              <w:rPr>
                <w:sz w:val="22"/>
                <w:szCs w:val="22"/>
                <w:lang w:val="es-ES"/>
              </w:rPr>
              <w:t>result</w:t>
            </w:r>
            <w:proofErr w:type="spellEnd"/>
            <w:r>
              <w:rPr>
                <w:sz w:val="22"/>
                <w:szCs w:val="22"/>
                <w:lang w:val="es-ES"/>
              </w:rPr>
              <w:t xml:space="preserve"> in </w:t>
            </w:r>
            <w:proofErr w:type="spellStart"/>
            <w:r>
              <w:rPr>
                <w:sz w:val="22"/>
                <w:szCs w:val="22"/>
                <w:lang w:val="es-ES"/>
              </w:rPr>
              <w:t>the</w:t>
            </w:r>
            <w:proofErr w:type="spellEnd"/>
            <w:r>
              <w:rPr>
                <w:sz w:val="22"/>
                <w:szCs w:val="22"/>
                <w:lang w:val="es-ES"/>
              </w:rPr>
              <w:t xml:space="preserve"> </w:t>
            </w:r>
            <w:proofErr w:type="spellStart"/>
            <w:r>
              <w:rPr>
                <w:sz w:val="22"/>
                <w:szCs w:val="22"/>
                <w:lang w:val="es-ES"/>
              </w:rPr>
              <w:t>Administration's</w:t>
            </w:r>
            <w:proofErr w:type="spellEnd"/>
            <w:r>
              <w:rPr>
                <w:sz w:val="22"/>
                <w:szCs w:val="22"/>
                <w:lang w:val="es-ES"/>
              </w:rPr>
              <w:t xml:space="preserve"> </w:t>
            </w:r>
            <w:proofErr w:type="spellStart"/>
            <w:r>
              <w:rPr>
                <w:sz w:val="22"/>
                <w:szCs w:val="22"/>
                <w:lang w:val="es-ES"/>
              </w:rPr>
              <w:t>right</w:t>
            </w:r>
            <w:proofErr w:type="spellEnd"/>
            <w:r>
              <w:rPr>
                <w:sz w:val="22"/>
                <w:szCs w:val="22"/>
                <w:lang w:val="es-ES"/>
              </w:rPr>
              <w:t xml:space="preserve"> </w:t>
            </w:r>
            <w:proofErr w:type="spellStart"/>
            <w:r>
              <w:rPr>
                <w:sz w:val="22"/>
                <w:szCs w:val="22"/>
                <w:lang w:val="es-ES"/>
              </w:rPr>
              <w:t>to</w:t>
            </w:r>
            <w:proofErr w:type="spellEnd"/>
            <w:r>
              <w:rPr>
                <w:sz w:val="22"/>
                <w:szCs w:val="22"/>
                <w:lang w:val="es-ES"/>
              </w:rPr>
              <w:t xml:space="preserve"> </w:t>
            </w:r>
            <w:proofErr w:type="spellStart"/>
            <w:r>
              <w:rPr>
                <w:sz w:val="22"/>
                <w:szCs w:val="22"/>
                <w:lang w:val="es-ES"/>
              </w:rPr>
              <w:t>claim</w:t>
            </w:r>
            <w:proofErr w:type="spellEnd"/>
            <w:r>
              <w:rPr>
                <w:sz w:val="22"/>
                <w:szCs w:val="22"/>
                <w:lang w:val="es-ES"/>
              </w:rPr>
              <w:t xml:space="preserve"> </w:t>
            </w:r>
            <w:proofErr w:type="spellStart"/>
            <w:r>
              <w:rPr>
                <w:sz w:val="22"/>
                <w:szCs w:val="22"/>
                <w:lang w:val="es-ES"/>
              </w:rPr>
              <w:t>being</w:t>
            </w:r>
            <w:proofErr w:type="spellEnd"/>
            <w:r>
              <w:rPr>
                <w:sz w:val="22"/>
                <w:szCs w:val="22"/>
                <w:lang w:val="es-ES"/>
              </w:rPr>
              <w:t xml:space="preserve"> </w:t>
            </w:r>
            <w:proofErr w:type="spellStart"/>
            <w:r>
              <w:rPr>
                <w:sz w:val="22"/>
                <w:szCs w:val="22"/>
                <w:lang w:val="es-ES"/>
              </w:rPr>
              <w:t>forfeited</w:t>
            </w:r>
            <w:proofErr w:type="spellEnd"/>
            <w:r>
              <w:rPr>
                <w:sz w:val="22"/>
                <w:szCs w:val="22"/>
                <w:lang w:val="es-ES"/>
              </w:rPr>
              <w:t>.</w:t>
            </w:r>
          </w:p>
          <w:p w14:paraId="6C4EE5A3" w14:textId="77777777" w:rsidR="00E255F4" w:rsidRDefault="00E255F4">
            <w:pPr>
              <w:tabs>
                <w:tab w:val="left" w:pos="284"/>
                <w:tab w:val="left" w:pos="567"/>
              </w:tabs>
              <w:jc w:val="both"/>
              <w:rPr>
                <w:color w:val="000000"/>
                <w:sz w:val="22"/>
                <w:szCs w:val="22"/>
                <w:lang w:val="es-ES"/>
              </w:rPr>
            </w:pPr>
          </w:p>
          <w:p w14:paraId="29CC9D4B" w14:textId="77777777" w:rsidR="00E255F4" w:rsidRDefault="00000000">
            <w:pPr>
              <w:tabs>
                <w:tab w:val="left" w:pos="284"/>
                <w:tab w:val="left" w:pos="567"/>
              </w:tabs>
              <w:jc w:val="both"/>
            </w:pPr>
            <w:r>
              <w:rPr>
                <w:sz w:val="22"/>
                <w:szCs w:val="22"/>
                <w:lang w:val="es-ES"/>
              </w:rPr>
              <w:t xml:space="preserve">Once </w:t>
            </w:r>
            <w:proofErr w:type="spellStart"/>
            <w:r>
              <w:rPr>
                <w:sz w:val="22"/>
                <w:szCs w:val="22"/>
                <w:lang w:val="es-ES"/>
              </w:rPr>
              <w:t>the</w:t>
            </w:r>
            <w:proofErr w:type="spellEnd"/>
            <w:r>
              <w:rPr>
                <w:sz w:val="22"/>
                <w:szCs w:val="22"/>
                <w:lang w:val="es-ES"/>
              </w:rPr>
              <w:t xml:space="preserve"> </w:t>
            </w:r>
            <w:proofErr w:type="spellStart"/>
            <w:r>
              <w:rPr>
                <w:sz w:val="22"/>
                <w:szCs w:val="22"/>
                <w:lang w:val="es-ES"/>
              </w:rPr>
              <w:t>supplier</w:t>
            </w:r>
            <w:proofErr w:type="spellEnd"/>
            <w:r>
              <w:rPr>
                <w:sz w:val="22"/>
                <w:szCs w:val="22"/>
                <w:lang w:val="es-ES"/>
              </w:rPr>
              <w:t xml:space="preserve"> has </w:t>
            </w:r>
            <w:proofErr w:type="spellStart"/>
            <w:r>
              <w:rPr>
                <w:sz w:val="22"/>
                <w:szCs w:val="22"/>
                <w:lang w:val="es-ES"/>
              </w:rPr>
              <w:t>been</w:t>
            </w:r>
            <w:proofErr w:type="spellEnd"/>
            <w:r>
              <w:rPr>
                <w:sz w:val="22"/>
                <w:szCs w:val="22"/>
                <w:lang w:val="es-ES"/>
              </w:rPr>
              <w:t xml:space="preserve"> </w:t>
            </w:r>
            <w:proofErr w:type="spellStart"/>
            <w:r>
              <w:rPr>
                <w:sz w:val="22"/>
                <w:szCs w:val="22"/>
                <w:lang w:val="es-ES"/>
              </w:rPr>
              <w:t>notified</w:t>
            </w:r>
            <w:proofErr w:type="spellEnd"/>
            <w:r>
              <w:rPr>
                <w:sz w:val="22"/>
                <w:szCs w:val="22"/>
                <w:lang w:val="es-ES"/>
              </w:rPr>
              <w:t xml:space="preserve"> </w:t>
            </w:r>
            <w:proofErr w:type="spellStart"/>
            <w:r>
              <w:rPr>
                <w:sz w:val="22"/>
                <w:szCs w:val="22"/>
                <w:lang w:val="es-ES"/>
              </w:rPr>
              <w:t>of</w:t>
            </w:r>
            <w:proofErr w:type="spellEnd"/>
            <w:r>
              <w:rPr>
                <w:sz w:val="22"/>
                <w:szCs w:val="22"/>
                <w:lang w:val="es-ES"/>
              </w:rPr>
              <w:t xml:space="preserve"> </w:t>
            </w:r>
            <w:proofErr w:type="spellStart"/>
            <w:r>
              <w:rPr>
                <w:sz w:val="22"/>
                <w:szCs w:val="22"/>
                <w:lang w:val="es-ES"/>
              </w:rPr>
              <w:t>the</w:t>
            </w:r>
            <w:proofErr w:type="spellEnd"/>
            <w:r>
              <w:rPr>
                <w:sz w:val="22"/>
                <w:szCs w:val="22"/>
                <w:lang w:val="es-ES"/>
              </w:rPr>
              <w:t xml:space="preserve"> </w:t>
            </w:r>
            <w:proofErr w:type="spellStart"/>
            <w:r>
              <w:rPr>
                <w:sz w:val="22"/>
                <w:szCs w:val="22"/>
                <w:lang w:val="es-ES"/>
              </w:rPr>
              <w:t>approved</w:t>
            </w:r>
            <w:proofErr w:type="spellEnd"/>
            <w:r>
              <w:rPr>
                <w:sz w:val="22"/>
                <w:szCs w:val="22"/>
                <w:lang w:val="es-ES"/>
              </w:rPr>
              <w:t xml:space="preserve"> </w:t>
            </w:r>
            <w:proofErr w:type="spellStart"/>
            <w:r>
              <w:rPr>
                <w:sz w:val="22"/>
                <w:szCs w:val="22"/>
                <w:lang w:val="es-ES"/>
              </w:rPr>
              <w:t>price</w:t>
            </w:r>
            <w:proofErr w:type="spellEnd"/>
            <w:r>
              <w:rPr>
                <w:sz w:val="22"/>
                <w:szCs w:val="22"/>
                <w:lang w:val="es-ES"/>
              </w:rPr>
              <w:t xml:space="preserve"> </w:t>
            </w:r>
            <w:proofErr w:type="spellStart"/>
            <w:r>
              <w:rPr>
                <w:sz w:val="22"/>
                <w:szCs w:val="22"/>
                <w:lang w:val="es-ES"/>
              </w:rPr>
              <w:t>adjustment</w:t>
            </w:r>
            <w:proofErr w:type="spellEnd"/>
            <w:r>
              <w:rPr>
                <w:sz w:val="22"/>
                <w:szCs w:val="22"/>
                <w:lang w:val="es-ES"/>
              </w:rPr>
              <w:t xml:space="preserve">, </w:t>
            </w:r>
            <w:proofErr w:type="spellStart"/>
            <w:r>
              <w:rPr>
                <w:sz w:val="22"/>
                <w:szCs w:val="22"/>
                <w:lang w:val="es-ES"/>
              </w:rPr>
              <w:t>they</w:t>
            </w:r>
            <w:proofErr w:type="spellEnd"/>
            <w:r>
              <w:rPr>
                <w:sz w:val="22"/>
                <w:szCs w:val="22"/>
                <w:lang w:val="es-ES"/>
              </w:rPr>
              <w:t xml:space="preserve"> </w:t>
            </w:r>
            <w:proofErr w:type="spellStart"/>
            <w:r>
              <w:rPr>
                <w:sz w:val="22"/>
                <w:szCs w:val="22"/>
                <w:lang w:val="es-ES"/>
              </w:rPr>
              <w:t>will</w:t>
            </w:r>
            <w:proofErr w:type="spellEnd"/>
            <w:r>
              <w:rPr>
                <w:sz w:val="22"/>
                <w:szCs w:val="22"/>
                <w:lang w:val="es-ES"/>
              </w:rPr>
              <w:t xml:space="preserve"> </w:t>
            </w:r>
            <w:proofErr w:type="spellStart"/>
            <w:r>
              <w:rPr>
                <w:sz w:val="22"/>
                <w:szCs w:val="22"/>
                <w:lang w:val="es-ES"/>
              </w:rPr>
              <w:t>have</w:t>
            </w:r>
            <w:proofErr w:type="spellEnd"/>
            <w:r>
              <w:rPr>
                <w:sz w:val="22"/>
                <w:szCs w:val="22"/>
                <w:lang w:val="es-ES"/>
              </w:rPr>
              <w:t xml:space="preserve"> </w:t>
            </w:r>
            <w:proofErr w:type="spellStart"/>
            <w:r>
              <w:rPr>
                <w:sz w:val="22"/>
                <w:szCs w:val="22"/>
                <w:lang w:val="es-ES"/>
              </w:rPr>
              <w:t>five</w:t>
            </w:r>
            <w:proofErr w:type="spellEnd"/>
            <w:r>
              <w:rPr>
                <w:sz w:val="22"/>
                <w:szCs w:val="22"/>
                <w:lang w:val="es-ES"/>
              </w:rPr>
              <w:t xml:space="preserve"> calendar </w:t>
            </w:r>
            <w:proofErr w:type="spellStart"/>
            <w:r>
              <w:rPr>
                <w:sz w:val="22"/>
                <w:szCs w:val="22"/>
                <w:lang w:val="es-ES"/>
              </w:rPr>
              <w:t>days</w:t>
            </w:r>
            <w:proofErr w:type="spellEnd"/>
            <w:r>
              <w:rPr>
                <w:sz w:val="22"/>
                <w:szCs w:val="22"/>
                <w:lang w:val="es-ES"/>
              </w:rPr>
              <w:t xml:space="preserve"> </w:t>
            </w:r>
            <w:proofErr w:type="spellStart"/>
            <w:r>
              <w:rPr>
                <w:sz w:val="22"/>
                <w:szCs w:val="22"/>
                <w:lang w:val="es-ES"/>
              </w:rPr>
              <w:t>to</w:t>
            </w:r>
            <w:proofErr w:type="spellEnd"/>
            <w:r>
              <w:rPr>
                <w:sz w:val="22"/>
                <w:szCs w:val="22"/>
                <w:lang w:val="es-ES"/>
              </w:rPr>
              <w:t xml:space="preserve"> </w:t>
            </w:r>
            <w:proofErr w:type="spellStart"/>
            <w:r>
              <w:rPr>
                <w:sz w:val="22"/>
                <w:szCs w:val="22"/>
                <w:lang w:val="es-ES"/>
              </w:rPr>
              <w:t>submit</w:t>
            </w:r>
            <w:proofErr w:type="spellEnd"/>
            <w:r>
              <w:rPr>
                <w:sz w:val="22"/>
                <w:szCs w:val="22"/>
                <w:lang w:val="es-ES"/>
              </w:rPr>
              <w:t xml:space="preserve"> </w:t>
            </w:r>
            <w:proofErr w:type="spellStart"/>
            <w:r>
              <w:rPr>
                <w:sz w:val="22"/>
                <w:szCs w:val="22"/>
                <w:lang w:val="es-ES"/>
              </w:rPr>
              <w:t>the</w:t>
            </w:r>
            <w:proofErr w:type="spellEnd"/>
            <w:r>
              <w:rPr>
                <w:sz w:val="22"/>
                <w:szCs w:val="22"/>
                <w:lang w:val="es-ES"/>
              </w:rPr>
              <w:t xml:space="preserve"> </w:t>
            </w:r>
            <w:proofErr w:type="spellStart"/>
            <w:r>
              <w:rPr>
                <w:sz w:val="22"/>
                <w:szCs w:val="22"/>
                <w:lang w:val="es-ES"/>
              </w:rPr>
              <w:t>invoice</w:t>
            </w:r>
            <w:proofErr w:type="spellEnd"/>
            <w:r>
              <w:rPr>
                <w:sz w:val="22"/>
                <w:szCs w:val="22"/>
                <w:lang w:val="es-ES"/>
              </w:rPr>
              <w:t>/</w:t>
            </w:r>
            <w:proofErr w:type="spellStart"/>
            <w:r>
              <w:rPr>
                <w:sz w:val="22"/>
                <w:szCs w:val="22"/>
                <w:lang w:val="es-ES"/>
              </w:rPr>
              <w:t>credit</w:t>
            </w:r>
            <w:proofErr w:type="spellEnd"/>
            <w:r>
              <w:rPr>
                <w:sz w:val="22"/>
                <w:szCs w:val="22"/>
                <w:lang w:val="es-ES"/>
              </w:rPr>
              <w:t xml:space="preserve"> note as </w:t>
            </w:r>
            <w:proofErr w:type="spellStart"/>
            <w:r>
              <w:rPr>
                <w:sz w:val="22"/>
                <w:szCs w:val="22"/>
                <w:lang w:val="es-ES"/>
              </w:rPr>
              <w:t>established</w:t>
            </w:r>
            <w:proofErr w:type="spellEnd"/>
            <w:r>
              <w:rPr>
                <w:sz w:val="22"/>
                <w:szCs w:val="22"/>
                <w:lang w:val="es-ES"/>
              </w:rPr>
              <w:t xml:space="preserve"> in </w:t>
            </w:r>
            <w:proofErr w:type="spellStart"/>
            <w:r>
              <w:rPr>
                <w:sz w:val="22"/>
                <w:szCs w:val="22"/>
                <w:lang w:val="es-ES"/>
              </w:rPr>
              <w:t>Article</w:t>
            </w:r>
            <w:proofErr w:type="spellEnd"/>
            <w:r>
              <w:rPr>
                <w:sz w:val="22"/>
                <w:szCs w:val="22"/>
                <w:lang w:val="es-ES"/>
              </w:rPr>
              <w:t xml:space="preserve"> 28 </w:t>
            </w:r>
            <w:proofErr w:type="spellStart"/>
            <w:r>
              <w:rPr>
                <w:sz w:val="22"/>
                <w:szCs w:val="22"/>
                <w:lang w:val="es-ES"/>
              </w:rPr>
              <w:t>of</w:t>
            </w:r>
            <w:proofErr w:type="spellEnd"/>
            <w:r>
              <w:rPr>
                <w:sz w:val="22"/>
                <w:szCs w:val="22"/>
                <w:lang w:val="es-ES"/>
              </w:rPr>
              <w:t xml:space="preserve"> </w:t>
            </w:r>
            <w:proofErr w:type="spellStart"/>
            <w:r>
              <w:rPr>
                <w:sz w:val="22"/>
                <w:szCs w:val="22"/>
                <w:lang w:val="es-ES"/>
              </w:rPr>
              <w:t>this</w:t>
            </w:r>
            <w:proofErr w:type="spellEnd"/>
            <w:r>
              <w:rPr>
                <w:sz w:val="22"/>
                <w:szCs w:val="22"/>
                <w:lang w:val="es-ES"/>
              </w:rPr>
              <w:t xml:space="preserve"> Section. After </w:t>
            </w:r>
            <w:proofErr w:type="spellStart"/>
            <w:r>
              <w:rPr>
                <w:sz w:val="22"/>
                <w:szCs w:val="22"/>
                <w:lang w:val="es-ES"/>
              </w:rPr>
              <w:t>this</w:t>
            </w:r>
            <w:proofErr w:type="spellEnd"/>
            <w:r>
              <w:rPr>
                <w:sz w:val="22"/>
                <w:szCs w:val="22"/>
                <w:lang w:val="es-ES"/>
              </w:rPr>
              <w:t xml:space="preserve"> </w:t>
            </w:r>
            <w:proofErr w:type="spellStart"/>
            <w:r>
              <w:rPr>
                <w:sz w:val="22"/>
                <w:szCs w:val="22"/>
                <w:lang w:val="es-ES"/>
              </w:rPr>
              <w:t>period</w:t>
            </w:r>
            <w:proofErr w:type="spellEnd"/>
            <w:r>
              <w:rPr>
                <w:sz w:val="22"/>
                <w:szCs w:val="22"/>
                <w:lang w:val="es-ES"/>
              </w:rPr>
              <w:t xml:space="preserve">, </w:t>
            </w:r>
            <w:proofErr w:type="spellStart"/>
            <w:r>
              <w:rPr>
                <w:sz w:val="22"/>
                <w:szCs w:val="22"/>
                <w:lang w:val="es-ES"/>
              </w:rPr>
              <w:t>if</w:t>
            </w:r>
            <w:proofErr w:type="spellEnd"/>
            <w:r>
              <w:rPr>
                <w:sz w:val="22"/>
                <w:szCs w:val="22"/>
                <w:lang w:val="es-ES"/>
              </w:rPr>
              <w:t xml:space="preserve"> </w:t>
            </w:r>
            <w:proofErr w:type="spellStart"/>
            <w:r>
              <w:rPr>
                <w:sz w:val="22"/>
                <w:szCs w:val="22"/>
                <w:lang w:val="es-ES"/>
              </w:rPr>
              <w:t>an</w:t>
            </w:r>
            <w:proofErr w:type="spellEnd"/>
            <w:r>
              <w:rPr>
                <w:sz w:val="22"/>
                <w:szCs w:val="22"/>
                <w:lang w:val="es-ES"/>
              </w:rPr>
              <w:t xml:space="preserve"> </w:t>
            </w:r>
            <w:proofErr w:type="spellStart"/>
            <w:r>
              <w:rPr>
                <w:sz w:val="22"/>
                <w:szCs w:val="22"/>
                <w:lang w:val="es-ES"/>
              </w:rPr>
              <w:t>invoice</w:t>
            </w:r>
            <w:proofErr w:type="spellEnd"/>
            <w:r>
              <w:rPr>
                <w:sz w:val="22"/>
                <w:szCs w:val="22"/>
                <w:lang w:val="es-ES"/>
              </w:rPr>
              <w:t xml:space="preserve"> </w:t>
            </w:r>
            <w:proofErr w:type="spellStart"/>
            <w:r>
              <w:rPr>
                <w:sz w:val="22"/>
                <w:szCs w:val="22"/>
                <w:lang w:val="es-ES"/>
              </w:rPr>
              <w:t>was</w:t>
            </w:r>
            <w:proofErr w:type="spellEnd"/>
            <w:r>
              <w:rPr>
                <w:sz w:val="22"/>
                <w:szCs w:val="22"/>
                <w:lang w:val="es-ES"/>
              </w:rPr>
              <w:t xml:space="preserve"> </w:t>
            </w:r>
            <w:proofErr w:type="spellStart"/>
            <w:r>
              <w:rPr>
                <w:sz w:val="22"/>
                <w:szCs w:val="22"/>
                <w:lang w:val="es-ES"/>
              </w:rPr>
              <w:t>due</w:t>
            </w:r>
            <w:proofErr w:type="spellEnd"/>
            <w:r>
              <w:rPr>
                <w:sz w:val="22"/>
                <w:szCs w:val="22"/>
                <w:lang w:val="es-ES"/>
              </w:rPr>
              <w:t xml:space="preserve"> and </w:t>
            </w:r>
            <w:proofErr w:type="spellStart"/>
            <w:r>
              <w:rPr>
                <w:sz w:val="22"/>
                <w:szCs w:val="22"/>
                <w:lang w:val="es-ES"/>
              </w:rPr>
              <w:t>it</w:t>
            </w:r>
            <w:proofErr w:type="spellEnd"/>
            <w:r>
              <w:rPr>
                <w:sz w:val="22"/>
                <w:szCs w:val="22"/>
                <w:lang w:val="es-ES"/>
              </w:rPr>
              <w:t xml:space="preserve"> has </w:t>
            </w:r>
            <w:proofErr w:type="spellStart"/>
            <w:r>
              <w:rPr>
                <w:sz w:val="22"/>
                <w:szCs w:val="22"/>
                <w:lang w:val="es-ES"/>
              </w:rPr>
              <w:t>not</w:t>
            </w:r>
            <w:proofErr w:type="spellEnd"/>
            <w:r>
              <w:rPr>
                <w:sz w:val="22"/>
                <w:szCs w:val="22"/>
                <w:lang w:val="es-ES"/>
              </w:rPr>
              <w:t xml:space="preserve"> </w:t>
            </w:r>
            <w:proofErr w:type="spellStart"/>
            <w:r>
              <w:rPr>
                <w:sz w:val="22"/>
                <w:szCs w:val="22"/>
                <w:lang w:val="es-ES"/>
              </w:rPr>
              <w:t>been</w:t>
            </w:r>
            <w:proofErr w:type="spellEnd"/>
            <w:r>
              <w:rPr>
                <w:sz w:val="22"/>
                <w:szCs w:val="22"/>
                <w:lang w:val="es-ES"/>
              </w:rPr>
              <w:t xml:space="preserve"> </w:t>
            </w:r>
            <w:proofErr w:type="spellStart"/>
            <w:r>
              <w:rPr>
                <w:sz w:val="22"/>
                <w:szCs w:val="22"/>
                <w:lang w:val="es-ES"/>
              </w:rPr>
              <w:t>submitted</w:t>
            </w:r>
            <w:proofErr w:type="spellEnd"/>
            <w:r>
              <w:rPr>
                <w:sz w:val="22"/>
                <w:szCs w:val="22"/>
                <w:lang w:val="es-ES"/>
              </w:rPr>
              <w:t xml:space="preserve">, </w:t>
            </w:r>
            <w:proofErr w:type="spellStart"/>
            <w:r>
              <w:rPr>
                <w:sz w:val="22"/>
                <w:szCs w:val="22"/>
                <w:lang w:val="es-ES"/>
              </w:rPr>
              <w:t>it</w:t>
            </w:r>
            <w:proofErr w:type="spellEnd"/>
            <w:r>
              <w:rPr>
                <w:sz w:val="22"/>
                <w:szCs w:val="22"/>
                <w:lang w:val="es-ES"/>
              </w:rPr>
              <w:t xml:space="preserve"> </w:t>
            </w:r>
            <w:proofErr w:type="spellStart"/>
            <w:r>
              <w:rPr>
                <w:sz w:val="22"/>
                <w:szCs w:val="22"/>
                <w:lang w:val="es-ES"/>
              </w:rPr>
              <w:t>will</w:t>
            </w:r>
            <w:proofErr w:type="spellEnd"/>
            <w:r>
              <w:rPr>
                <w:sz w:val="22"/>
                <w:szCs w:val="22"/>
                <w:lang w:val="es-ES"/>
              </w:rPr>
              <w:t xml:space="preserve"> be </w:t>
            </w:r>
            <w:proofErr w:type="spellStart"/>
            <w:r>
              <w:rPr>
                <w:sz w:val="22"/>
                <w:szCs w:val="22"/>
                <w:lang w:val="es-ES"/>
              </w:rPr>
              <w:t>understood</w:t>
            </w:r>
            <w:proofErr w:type="spellEnd"/>
            <w:r>
              <w:rPr>
                <w:sz w:val="22"/>
                <w:szCs w:val="22"/>
                <w:lang w:val="es-ES"/>
              </w:rPr>
              <w:t xml:space="preserve"> </w:t>
            </w:r>
            <w:proofErr w:type="spellStart"/>
            <w:r>
              <w:rPr>
                <w:sz w:val="22"/>
                <w:szCs w:val="22"/>
                <w:lang w:val="es-ES"/>
              </w:rPr>
              <w:t>that</w:t>
            </w:r>
            <w:proofErr w:type="spellEnd"/>
            <w:r>
              <w:rPr>
                <w:sz w:val="22"/>
                <w:szCs w:val="22"/>
                <w:lang w:val="es-ES"/>
              </w:rPr>
              <w:t xml:space="preserve"> </w:t>
            </w:r>
            <w:proofErr w:type="spellStart"/>
            <w:r>
              <w:rPr>
                <w:sz w:val="22"/>
                <w:szCs w:val="22"/>
                <w:lang w:val="es-ES"/>
              </w:rPr>
              <w:t>this</w:t>
            </w:r>
            <w:proofErr w:type="spellEnd"/>
            <w:r>
              <w:rPr>
                <w:sz w:val="22"/>
                <w:szCs w:val="22"/>
                <w:lang w:val="es-ES"/>
              </w:rPr>
              <w:t xml:space="preserve"> </w:t>
            </w:r>
            <w:proofErr w:type="spellStart"/>
            <w:r>
              <w:rPr>
                <w:sz w:val="22"/>
                <w:szCs w:val="22"/>
                <w:lang w:val="es-ES"/>
              </w:rPr>
              <w:t>is</w:t>
            </w:r>
            <w:proofErr w:type="spellEnd"/>
            <w:r>
              <w:rPr>
                <w:sz w:val="22"/>
                <w:szCs w:val="22"/>
                <w:lang w:val="es-ES"/>
              </w:rPr>
              <w:t xml:space="preserve"> </w:t>
            </w:r>
            <w:proofErr w:type="spellStart"/>
            <w:r>
              <w:rPr>
                <w:sz w:val="22"/>
                <w:szCs w:val="22"/>
                <w:lang w:val="es-ES"/>
              </w:rPr>
              <w:t>the</w:t>
            </w:r>
            <w:proofErr w:type="spellEnd"/>
            <w:r>
              <w:rPr>
                <w:sz w:val="22"/>
                <w:szCs w:val="22"/>
                <w:lang w:val="es-ES"/>
              </w:rPr>
              <w:t xml:space="preserve"> </w:t>
            </w:r>
            <w:proofErr w:type="spellStart"/>
            <w:r>
              <w:rPr>
                <w:sz w:val="22"/>
                <w:szCs w:val="22"/>
                <w:lang w:val="es-ES"/>
              </w:rPr>
              <w:t>supplier's</w:t>
            </w:r>
            <w:proofErr w:type="spellEnd"/>
            <w:r>
              <w:rPr>
                <w:sz w:val="22"/>
                <w:szCs w:val="22"/>
                <w:lang w:val="es-ES"/>
              </w:rPr>
              <w:t xml:space="preserve"> </w:t>
            </w:r>
            <w:proofErr w:type="spellStart"/>
            <w:r>
              <w:rPr>
                <w:sz w:val="22"/>
                <w:szCs w:val="22"/>
                <w:lang w:val="es-ES"/>
              </w:rPr>
              <w:t>intention</w:t>
            </w:r>
            <w:proofErr w:type="spellEnd"/>
            <w:r>
              <w:rPr>
                <w:sz w:val="22"/>
                <w:szCs w:val="22"/>
                <w:lang w:val="es-ES"/>
              </w:rPr>
              <w:t xml:space="preserve">. </w:t>
            </w:r>
            <w:proofErr w:type="spellStart"/>
            <w:r>
              <w:rPr>
                <w:sz w:val="22"/>
                <w:szCs w:val="22"/>
                <w:lang w:val="es-ES"/>
              </w:rPr>
              <w:t>If</w:t>
            </w:r>
            <w:proofErr w:type="spellEnd"/>
            <w:r>
              <w:rPr>
                <w:sz w:val="22"/>
                <w:szCs w:val="22"/>
                <w:lang w:val="es-ES"/>
              </w:rPr>
              <w:t xml:space="preserve"> a </w:t>
            </w:r>
            <w:proofErr w:type="spellStart"/>
            <w:r>
              <w:rPr>
                <w:sz w:val="22"/>
                <w:szCs w:val="22"/>
                <w:lang w:val="es-ES"/>
              </w:rPr>
              <w:t>credit</w:t>
            </w:r>
            <w:proofErr w:type="spellEnd"/>
            <w:r>
              <w:rPr>
                <w:sz w:val="22"/>
                <w:szCs w:val="22"/>
                <w:lang w:val="es-ES"/>
              </w:rPr>
              <w:t xml:space="preserve"> note </w:t>
            </w:r>
            <w:proofErr w:type="spellStart"/>
            <w:r>
              <w:rPr>
                <w:sz w:val="22"/>
                <w:szCs w:val="22"/>
                <w:lang w:val="es-ES"/>
              </w:rPr>
              <w:t>was</w:t>
            </w:r>
            <w:proofErr w:type="spellEnd"/>
            <w:r>
              <w:rPr>
                <w:sz w:val="22"/>
                <w:szCs w:val="22"/>
                <w:lang w:val="es-ES"/>
              </w:rPr>
              <w:t xml:space="preserve"> </w:t>
            </w:r>
            <w:proofErr w:type="spellStart"/>
            <w:r>
              <w:rPr>
                <w:sz w:val="22"/>
                <w:szCs w:val="22"/>
                <w:lang w:val="es-ES"/>
              </w:rPr>
              <w:t>due</w:t>
            </w:r>
            <w:proofErr w:type="spellEnd"/>
            <w:r>
              <w:rPr>
                <w:sz w:val="22"/>
                <w:szCs w:val="22"/>
                <w:lang w:val="es-ES"/>
              </w:rPr>
              <w:t xml:space="preserve"> and </w:t>
            </w:r>
            <w:proofErr w:type="spellStart"/>
            <w:r>
              <w:rPr>
                <w:sz w:val="22"/>
                <w:szCs w:val="22"/>
                <w:lang w:val="es-ES"/>
              </w:rPr>
              <w:t>it</w:t>
            </w:r>
            <w:proofErr w:type="spellEnd"/>
            <w:r>
              <w:rPr>
                <w:sz w:val="22"/>
                <w:szCs w:val="22"/>
                <w:lang w:val="es-ES"/>
              </w:rPr>
              <w:t xml:space="preserve"> has </w:t>
            </w:r>
            <w:proofErr w:type="spellStart"/>
            <w:r>
              <w:rPr>
                <w:sz w:val="22"/>
                <w:szCs w:val="22"/>
                <w:lang w:val="es-ES"/>
              </w:rPr>
              <w:t>not</w:t>
            </w:r>
            <w:proofErr w:type="spellEnd"/>
            <w:r>
              <w:rPr>
                <w:sz w:val="22"/>
                <w:szCs w:val="22"/>
                <w:lang w:val="es-ES"/>
              </w:rPr>
              <w:t xml:space="preserve"> </w:t>
            </w:r>
            <w:proofErr w:type="spellStart"/>
            <w:r>
              <w:rPr>
                <w:sz w:val="22"/>
                <w:szCs w:val="22"/>
                <w:lang w:val="es-ES"/>
              </w:rPr>
              <w:t>been</w:t>
            </w:r>
            <w:proofErr w:type="spellEnd"/>
            <w:r>
              <w:rPr>
                <w:sz w:val="22"/>
                <w:szCs w:val="22"/>
                <w:lang w:val="es-ES"/>
              </w:rPr>
              <w:t xml:space="preserve"> </w:t>
            </w:r>
            <w:proofErr w:type="spellStart"/>
            <w:r>
              <w:rPr>
                <w:sz w:val="22"/>
                <w:szCs w:val="22"/>
                <w:lang w:val="es-ES"/>
              </w:rPr>
              <w:t>submitted</w:t>
            </w:r>
            <w:proofErr w:type="spellEnd"/>
            <w:r>
              <w:rPr>
                <w:sz w:val="22"/>
                <w:szCs w:val="22"/>
                <w:lang w:val="es-ES"/>
              </w:rPr>
              <w:t xml:space="preserve">, </w:t>
            </w:r>
            <w:proofErr w:type="spellStart"/>
            <w:r>
              <w:rPr>
                <w:sz w:val="22"/>
                <w:szCs w:val="22"/>
                <w:lang w:val="es-ES"/>
              </w:rPr>
              <w:t>the</w:t>
            </w:r>
            <w:proofErr w:type="spellEnd"/>
            <w:r>
              <w:rPr>
                <w:sz w:val="22"/>
                <w:szCs w:val="22"/>
                <w:lang w:val="es-ES"/>
              </w:rPr>
              <w:t xml:space="preserve"> </w:t>
            </w:r>
            <w:proofErr w:type="spellStart"/>
            <w:r>
              <w:rPr>
                <w:sz w:val="22"/>
                <w:szCs w:val="22"/>
                <w:lang w:val="es-ES"/>
              </w:rPr>
              <w:t>Administration</w:t>
            </w:r>
            <w:proofErr w:type="spellEnd"/>
            <w:r>
              <w:rPr>
                <w:sz w:val="22"/>
                <w:szCs w:val="22"/>
                <w:lang w:val="es-ES"/>
              </w:rPr>
              <w:t xml:space="preserve"> </w:t>
            </w:r>
            <w:proofErr w:type="spellStart"/>
            <w:r>
              <w:rPr>
                <w:sz w:val="22"/>
                <w:szCs w:val="22"/>
                <w:lang w:val="es-ES"/>
              </w:rPr>
              <w:t>will</w:t>
            </w:r>
            <w:proofErr w:type="spellEnd"/>
            <w:r>
              <w:rPr>
                <w:sz w:val="22"/>
                <w:szCs w:val="22"/>
                <w:lang w:val="es-ES"/>
              </w:rPr>
              <w:t xml:space="preserve"> </w:t>
            </w:r>
            <w:proofErr w:type="spellStart"/>
            <w:r>
              <w:rPr>
                <w:sz w:val="22"/>
                <w:szCs w:val="22"/>
                <w:lang w:val="es-ES"/>
              </w:rPr>
              <w:t>make</w:t>
            </w:r>
            <w:proofErr w:type="spellEnd"/>
            <w:r>
              <w:rPr>
                <w:sz w:val="22"/>
                <w:szCs w:val="22"/>
                <w:lang w:val="es-ES"/>
              </w:rPr>
              <w:t xml:space="preserve"> </w:t>
            </w:r>
            <w:proofErr w:type="spellStart"/>
            <w:r>
              <w:rPr>
                <w:sz w:val="22"/>
                <w:szCs w:val="22"/>
                <w:lang w:val="es-ES"/>
              </w:rPr>
              <w:t>the</w:t>
            </w:r>
            <w:proofErr w:type="spellEnd"/>
            <w:r>
              <w:rPr>
                <w:sz w:val="22"/>
                <w:szCs w:val="22"/>
                <w:lang w:val="es-ES"/>
              </w:rPr>
              <w:t xml:space="preserve"> </w:t>
            </w:r>
            <w:proofErr w:type="spellStart"/>
            <w:r>
              <w:rPr>
                <w:sz w:val="22"/>
                <w:szCs w:val="22"/>
                <w:lang w:val="es-ES"/>
              </w:rPr>
              <w:t>corresponding</w:t>
            </w:r>
            <w:proofErr w:type="spellEnd"/>
            <w:r>
              <w:rPr>
                <w:sz w:val="22"/>
                <w:szCs w:val="22"/>
                <w:lang w:val="es-ES"/>
              </w:rPr>
              <w:t xml:space="preserve"> </w:t>
            </w:r>
            <w:proofErr w:type="spellStart"/>
            <w:r>
              <w:rPr>
                <w:sz w:val="22"/>
                <w:szCs w:val="22"/>
                <w:lang w:val="es-ES"/>
              </w:rPr>
              <w:t>deduction</w:t>
            </w:r>
            <w:proofErr w:type="spellEnd"/>
            <w:r>
              <w:rPr>
                <w:sz w:val="22"/>
                <w:szCs w:val="22"/>
                <w:lang w:val="es-ES"/>
              </w:rPr>
              <w:t>.</w:t>
            </w:r>
          </w:p>
          <w:p w14:paraId="29BB227C" w14:textId="77777777" w:rsidR="00E255F4" w:rsidRDefault="00E255F4">
            <w:pPr>
              <w:tabs>
                <w:tab w:val="left" w:pos="284"/>
                <w:tab w:val="left" w:pos="567"/>
              </w:tabs>
              <w:jc w:val="both"/>
              <w:rPr>
                <w:sz w:val="22"/>
                <w:szCs w:val="22"/>
                <w:lang w:val="es-ES"/>
              </w:rPr>
            </w:pPr>
          </w:p>
          <w:p w14:paraId="0B26B987" w14:textId="77777777" w:rsidR="00E255F4" w:rsidRDefault="00000000">
            <w:pPr>
              <w:pStyle w:val="Textocomentario"/>
              <w:rPr>
                <w:rFonts w:eastAsia="Palatino Linotype"/>
                <w:color w:val="000000"/>
                <w:spacing w:val="1"/>
                <w:position w:val="1"/>
                <w:sz w:val="22"/>
                <w:szCs w:val="22"/>
                <w:lang w:val="es-ES"/>
              </w:rPr>
            </w:pPr>
            <w:r>
              <w:rPr>
                <w:sz w:val="22"/>
                <w:szCs w:val="22"/>
                <w:lang w:val="es-ES_tradnl"/>
              </w:rPr>
              <w:t xml:space="preserve">In </w:t>
            </w:r>
            <w:proofErr w:type="spellStart"/>
            <w:r>
              <w:rPr>
                <w:sz w:val="22"/>
                <w:szCs w:val="22"/>
                <w:lang w:val="es-ES_tradnl"/>
              </w:rPr>
              <w:t>all</w:t>
            </w:r>
            <w:proofErr w:type="spellEnd"/>
            <w:r>
              <w:rPr>
                <w:sz w:val="22"/>
                <w:szCs w:val="22"/>
                <w:lang w:val="es-ES_tradnl"/>
              </w:rPr>
              <w:t xml:space="preserve"> cases, </w:t>
            </w:r>
            <w:proofErr w:type="spellStart"/>
            <w:r>
              <w:rPr>
                <w:sz w:val="22"/>
                <w:szCs w:val="22"/>
                <w:lang w:val="es-ES_tradnl"/>
              </w:rPr>
              <w:t>the</w:t>
            </w:r>
            <w:proofErr w:type="spellEnd"/>
            <w:r>
              <w:rPr>
                <w:sz w:val="22"/>
                <w:szCs w:val="22"/>
                <w:lang w:val="es-ES_tradnl"/>
              </w:rPr>
              <w:t xml:space="preserve"> </w:t>
            </w:r>
            <w:proofErr w:type="spellStart"/>
            <w:r>
              <w:rPr>
                <w:sz w:val="22"/>
                <w:szCs w:val="22"/>
                <w:lang w:val="es-ES_tradnl"/>
              </w:rPr>
              <w:t>acceptance</w:t>
            </w:r>
            <w:proofErr w:type="spellEnd"/>
            <w:r>
              <w:rPr>
                <w:sz w:val="22"/>
                <w:szCs w:val="22"/>
                <w:lang w:val="es-ES_tradnl"/>
              </w:rPr>
              <w:t xml:space="preserve"> </w:t>
            </w:r>
            <w:proofErr w:type="spellStart"/>
            <w:r>
              <w:rPr>
                <w:sz w:val="22"/>
                <w:szCs w:val="22"/>
                <w:lang w:val="es-ES_tradnl"/>
              </w:rPr>
              <w:t>or</w:t>
            </w:r>
            <w:proofErr w:type="spellEnd"/>
            <w:r>
              <w:rPr>
                <w:sz w:val="22"/>
                <w:szCs w:val="22"/>
                <w:lang w:val="es-ES_tradnl"/>
              </w:rPr>
              <w:t xml:space="preserve"> </w:t>
            </w:r>
            <w:proofErr w:type="spellStart"/>
            <w:r>
              <w:rPr>
                <w:sz w:val="22"/>
                <w:szCs w:val="22"/>
                <w:lang w:val="es-ES_tradnl"/>
              </w:rPr>
              <w:t>rejection</w:t>
            </w:r>
            <w:proofErr w:type="spellEnd"/>
            <w:r>
              <w:rPr>
                <w:sz w:val="22"/>
                <w:szCs w:val="22"/>
                <w:lang w:val="es-ES_tradnl"/>
              </w:rPr>
              <w:t xml:space="preserve"> </w:t>
            </w:r>
            <w:proofErr w:type="spellStart"/>
            <w:r>
              <w:rPr>
                <w:sz w:val="22"/>
                <w:szCs w:val="22"/>
                <w:lang w:val="es-ES_tradnl"/>
              </w:rPr>
              <w:t>of</w:t>
            </w:r>
            <w:proofErr w:type="spellEnd"/>
            <w:r>
              <w:rPr>
                <w:sz w:val="22"/>
                <w:szCs w:val="22"/>
                <w:lang w:val="es-ES_tradnl"/>
              </w:rPr>
              <w:t xml:space="preserve"> </w:t>
            </w:r>
            <w:proofErr w:type="spellStart"/>
            <w:r>
              <w:rPr>
                <w:sz w:val="22"/>
                <w:szCs w:val="22"/>
                <w:lang w:val="es-ES_tradnl"/>
              </w:rPr>
              <w:t>settlements</w:t>
            </w:r>
            <w:proofErr w:type="spellEnd"/>
            <w:r>
              <w:rPr>
                <w:sz w:val="22"/>
                <w:szCs w:val="22"/>
                <w:lang w:val="es-ES_tradnl"/>
              </w:rPr>
              <w:t xml:space="preserve"> </w:t>
            </w:r>
            <w:proofErr w:type="spellStart"/>
            <w:r>
              <w:rPr>
                <w:sz w:val="22"/>
                <w:szCs w:val="22"/>
                <w:lang w:val="es-ES_tradnl"/>
              </w:rPr>
              <w:t>for</w:t>
            </w:r>
            <w:proofErr w:type="spellEnd"/>
            <w:r>
              <w:rPr>
                <w:sz w:val="22"/>
                <w:szCs w:val="22"/>
                <w:lang w:val="es-ES_tradnl"/>
              </w:rPr>
              <w:t xml:space="preserve"> </w:t>
            </w:r>
            <w:proofErr w:type="spellStart"/>
            <w:r>
              <w:rPr>
                <w:sz w:val="22"/>
                <w:szCs w:val="22"/>
                <w:lang w:val="es-ES_tradnl"/>
              </w:rPr>
              <w:t>price</w:t>
            </w:r>
            <w:proofErr w:type="spellEnd"/>
            <w:r>
              <w:rPr>
                <w:sz w:val="22"/>
                <w:szCs w:val="22"/>
                <w:lang w:val="es-ES_tradnl"/>
              </w:rPr>
              <w:t xml:space="preserve"> </w:t>
            </w:r>
            <w:proofErr w:type="spellStart"/>
            <w:r>
              <w:rPr>
                <w:sz w:val="22"/>
                <w:szCs w:val="22"/>
                <w:lang w:val="es-ES_tradnl"/>
              </w:rPr>
              <w:t>variations</w:t>
            </w:r>
            <w:proofErr w:type="spellEnd"/>
            <w:r>
              <w:rPr>
                <w:sz w:val="22"/>
                <w:szCs w:val="22"/>
                <w:lang w:val="es-ES_tradnl"/>
              </w:rPr>
              <w:t xml:space="preserve"> </w:t>
            </w:r>
            <w:proofErr w:type="spellStart"/>
            <w:r>
              <w:rPr>
                <w:sz w:val="22"/>
                <w:szCs w:val="22"/>
                <w:lang w:val="es-ES_tradnl"/>
              </w:rPr>
              <w:t>will</w:t>
            </w:r>
            <w:proofErr w:type="spellEnd"/>
            <w:r>
              <w:rPr>
                <w:sz w:val="22"/>
                <w:szCs w:val="22"/>
                <w:lang w:val="es-ES_tradnl"/>
              </w:rPr>
              <w:t xml:space="preserve"> be at </w:t>
            </w:r>
            <w:proofErr w:type="spellStart"/>
            <w:r>
              <w:rPr>
                <w:sz w:val="22"/>
                <w:szCs w:val="22"/>
                <w:lang w:val="es-ES_tradnl"/>
              </w:rPr>
              <w:t>the</w:t>
            </w:r>
            <w:proofErr w:type="spellEnd"/>
            <w:r>
              <w:rPr>
                <w:sz w:val="22"/>
                <w:szCs w:val="22"/>
                <w:lang w:val="es-ES_tradnl"/>
              </w:rPr>
              <w:t xml:space="preserve"> sole </w:t>
            </w:r>
            <w:proofErr w:type="spellStart"/>
            <w:r>
              <w:rPr>
                <w:sz w:val="22"/>
                <w:szCs w:val="22"/>
                <w:lang w:val="es-ES_tradnl"/>
              </w:rPr>
              <w:t>discretion</w:t>
            </w:r>
            <w:proofErr w:type="spellEnd"/>
            <w:r>
              <w:rPr>
                <w:sz w:val="22"/>
                <w:szCs w:val="22"/>
                <w:lang w:val="es-ES_tradnl"/>
              </w:rPr>
              <w:t xml:space="preserve"> </w:t>
            </w:r>
            <w:proofErr w:type="spellStart"/>
            <w:r>
              <w:rPr>
                <w:sz w:val="22"/>
                <w:szCs w:val="22"/>
                <w:lang w:val="es-ES_tradnl"/>
              </w:rPr>
              <w:t>of</w:t>
            </w:r>
            <w:proofErr w:type="spellEnd"/>
            <w:r>
              <w:rPr>
                <w:sz w:val="22"/>
                <w:szCs w:val="22"/>
                <w:lang w:val="es-ES_tradnl"/>
              </w:rPr>
              <w:t xml:space="preserve"> OSE.</w:t>
            </w:r>
          </w:p>
        </w:tc>
      </w:tr>
      <w:tr w:rsidR="00E255F4" w14:paraId="549804AA" w14:textId="77777777">
        <w:tc>
          <w:tcPr>
            <w:tcW w:w="730" w:type="dxa"/>
            <w:tcBorders>
              <w:top w:val="single" w:sz="4" w:space="0" w:color="000000"/>
              <w:left w:val="single" w:sz="4" w:space="0" w:color="000000"/>
              <w:bottom w:val="single" w:sz="4" w:space="0" w:color="000000"/>
              <w:right w:val="single" w:sz="4" w:space="0" w:color="000000"/>
            </w:tcBorders>
          </w:tcPr>
          <w:p w14:paraId="3B921285" w14:textId="77777777" w:rsidR="00E255F4" w:rsidRDefault="00000000">
            <w:pPr>
              <w:ind w:right="-36"/>
              <w:rPr>
                <w:rFonts w:eastAsia="Palatino Linotype"/>
                <w:b/>
                <w:sz w:val="22"/>
                <w:szCs w:val="22"/>
                <w:lang w:val="es-ES"/>
              </w:rPr>
            </w:pPr>
            <w:r>
              <w:rPr>
                <w:rFonts w:eastAsia="Palatino Linotype"/>
                <w:b/>
                <w:sz w:val="22"/>
                <w:szCs w:val="22"/>
                <w:lang w:val="es-ES"/>
              </w:rPr>
              <w:lastRenderedPageBreak/>
              <w:t>10.4</w:t>
            </w:r>
          </w:p>
        </w:tc>
        <w:tc>
          <w:tcPr>
            <w:tcW w:w="9048" w:type="dxa"/>
            <w:tcBorders>
              <w:top w:val="single" w:sz="4" w:space="0" w:color="000000"/>
              <w:left w:val="single" w:sz="4" w:space="0" w:color="000000"/>
              <w:bottom w:val="single" w:sz="4" w:space="0" w:color="000000"/>
              <w:right w:val="single" w:sz="4" w:space="0" w:color="000000"/>
            </w:tcBorders>
          </w:tcPr>
          <w:p w14:paraId="6DDD4677" w14:textId="77777777" w:rsidR="00E255F4" w:rsidRDefault="00000000">
            <w:pPr>
              <w:rPr>
                <w:b/>
                <w:bCs/>
                <w:sz w:val="22"/>
                <w:szCs w:val="22"/>
              </w:rPr>
            </w:pPr>
            <w:proofErr w:type="spellStart"/>
            <w:r>
              <w:rPr>
                <w:b/>
                <w:bCs/>
                <w:sz w:val="22"/>
                <w:szCs w:val="22"/>
              </w:rPr>
              <w:t>Taxes</w:t>
            </w:r>
            <w:proofErr w:type="spellEnd"/>
          </w:p>
          <w:p w14:paraId="5CE52E60" w14:textId="77777777" w:rsidR="00E255F4" w:rsidRDefault="00000000">
            <w:pPr>
              <w:rPr>
                <w:bCs/>
                <w:sz w:val="22"/>
                <w:szCs w:val="22"/>
              </w:rPr>
            </w:pPr>
            <w:proofErr w:type="spellStart"/>
            <w:r>
              <w:rPr>
                <w:bCs/>
                <w:sz w:val="22"/>
                <w:szCs w:val="22"/>
              </w:rPr>
              <w:t>It</w:t>
            </w:r>
            <w:proofErr w:type="spellEnd"/>
            <w:r>
              <w:rPr>
                <w:bCs/>
                <w:sz w:val="22"/>
                <w:szCs w:val="22"/>
              </w:rPr>
              <w:t xml:space="preserve"> </w:t>
            </w:r>
            <w:proofErr w:type="spellStart"/>
            <w:r>
              <w:rPr>
                <w:bCs/>
                <w:sz w:val="22"/>
                <w:szCs w:val="22"/>
              </w:rPr>
              <w:t>is</w:t>
            </w:r>
            <w:proofErr w:type="spellEnd"/>
            <w:r>
              <w:rPr>
                <w:bCs/>
                <w:sz w:val="22"/>
                <w:szCs w:val="22"/>
              </w:rPr>
              <w:t xml:space="preserve"> </w:t>
            </w:r>
            <w:proofErr w:type="spellStart"/>
            <w:r>
              <w:rPr>
                <w:bCs/>
                <w:sz w:val="22"/>
                <w:szCs w:val="22"/>
              </w:rPr>
              <w:t>added</w:t>
            </w:r>
            <w:proofErr w:type="spellEnd"/>
            <w:r>
              <w:rPr>
                <w:bCs/>
                <w:sz w:val="22"/>
                <w:szCs w:val="22"/>
              </w:rPr>
              <w:t>:</w:t>
            </w:r>
          </w:p>
          <w:p w14:paraId="5F310F7C" w14:textId="77777777" w:rsidR="00E255F4" w:rsidRDefault="00E255F4">
            <w:pPr>
              <w:rPr>
                <w:b/>
                <w:bCs/>
                <w:sz w:val="22"/>
                <w:szCs w:val="22"/>
              </w:rPr>
            </w:pPr>
          </w:p>
          <w:p w14:paraId="782BF67D" w14:textId="77777777" w:rsidR="00E255F4" w:rsidRDefault="00000000">
            <w:pPr>
              <w:jc w:val="both"/>
            </w:pPr>
            <w:proofErr w:type="spellStart"/>
            <w:r>
              <w:rPr>
                <w:sz w:val="22"/>
                <w:szCs w:val="22"/>
              </w:rPr>
              <w:t>All</w:t>
            </w:r>
            <w:proofErr w:type="spellEnd"/>
            <w:r>
              <w:rPr>
                <w:sz w:val="22"/>
                <w:szCs w:val="22"/>
              </w:rPr>
              <w:t xml:space="preserve"> </w:t>
            </w:r>
            <w:proofErr w:type="spellStart"/>
            <w:r>
              <w:rPr>
                <w:sz w:val="22"/>
                <w:szCs w:val="22"/>
              </w:rPr>
              <w:t>taxes</w:t>
            </w:r>
            <w:proofErr w:type="spellEnd"/>
            <w:r>
              <w:rPr>
                <w:sz w:val="22"/>
                <w:szCs w:val="22"/>
              </w:rPr>
              <w:t xml:space="preserve"> </w:t>
            </w:r>
            <w:proofErr w:type="spellStart"/>
            <w:r>
              <w:rPr>
                <w:sz w:val="22"/>
                <w:szCs w:val="22"/>
              </w:rPr>
              <w:t>legally</w:t>
            </w:r>
            <w:proofErr w:type="spellEnd"/>
            <w:r>
              <w:rPr>
                <w:sz w:val="22"/>
                <w:szCs w:val="22"/>
              </w:rPr>
              <w:t xml:space="preserve"> </w:t>
            </w:r>
            <w:proofErr w:type="spellStart"/>
            <w:r>
              <w:rPr>
                <w:sz w:val="22"/>
                <w:szCs w:val="22"/>
              </w:rPr>
              <w:t>payable</w:t>
            </w:r>
            <w:proofErr w:type="spellEnd"/>
            <w:r>
              <w:rPr>
                <w:sz w:val="22"/>
                <w:szCs w:val="22"/>
              </w:rPr>
              <w:t xml:space="preserve"> </w:t>
            </w:r>
            <w:proofErr w:type="spellStart"/>
            <w:r>
              <w:rPr>
                <w:sz w:val="22"/>
                <w:szCs w:val="22"/>
              </w:rPr>
              <w:t>by</w:t>
            </w:r>
            <w:proofErr w:type="spellEnd"/>
            <w:r>
              <w:rPr>
                <w:sz w:val="22"/>
                <w:szCs w:val="22"/>
              </w:rPr>
              <w:t xml:space="preserve"> </w:t>
            </w:r>
            <w:proofErr w:type="spellStart"/>
            <w:r>
              <w:rPr>
                <w:sz w:val="22"/>
                <w:szCs w:val="22"/>
              </w:rPr>
              <w:t>the</w:t>
            </w:r>
            <w:proofErr w:type="spellEnd"/>
            <w:r>
              <w:rPr>
                <w:sz w:val="22"/>
                <w:szCs w:val="22"/>
              </w:rPr>
              <w:t xml:space="preserve"> </w:t>
            </w:r>
            <w:proofErr w:type="spellStart"/>
            <w:r>
              <w:rPr>
                <w:sz w:val="22"/>
                <w:szCs w:val="22"/>
              </w:rPr>
              <w:t>successful</w:t>
            </w:r>
            <w:proofErr w:type="spellEnd"/>
            <w:r>
              <w:rPr>
                <w:sz w:val="22"/>
                <w:szCs w:val="22"/>
              </w:rPr>
              <w:t xml:space="preserve"> </w:t>
            </w:r>
            <w:proofErr w:type="spellStart"/>
            <w:r>
              <w:rPr>
                <w:sz w:val="22"/>
                <w:szCs w:val="22"/>
              </w:rPr>
              <w:t>bidder</w:t>
            </w:r>
            <w:proofErr w:type="spellEnd"/>
            <w:r>
              <w:rPr>
                <w:sz w:val="22"/>
                <w:szCs w:val="22"/>
              </w:rPr>
              <w:t xml:space="preserve"> </w:t>
            </w:r>
            <w:proofErr w:type="spellStart"/>
            <w:r>
              <w:rPr>
                <w:sz w:val="22"/>
                <w:szCs w:val="22"/>
              </w:rPr>
              <w:t>for</w:t>
            </w:r>
            <w:proofErr w:type="spellEnd"/>
            <w:r>
              <w:rPr>
                <w:sz w:val="22"/>
                <w:szCs w:val="22"/>
              </w:rPr>
              <w:t xml:space="preserve"> </w:t>
            </w:r>
            <w:proofErr w:type="spellStart"/>
            <w:r>
              <w:rPr>
                <w:sz w:val="22"/>
                <w:szCs w:val="22"/>
              </w:rPr>
              <w:t>the</w:t>
            </w:r>
            <w:proofErr w:type="spellEnd"/>
            <w:r>
              <w:rPr>
                <w:sz w:val="22"/>
                <w:szCs w:val="22"/>
              </w:rPr>
              <w:t xml:space="preserve"> </w:t>
            </w:r>
            <w:proofErr w:type="spellStart"/>
            <w:r>
              <w:rPr>
                <w:sz w:val="22"/>
                <w:szCs w:val="22"/>
              </w:rPr>
              <w:t>fulfillment</w:t>
            </w:r>
            <w:proofErr w:type="spellEnd"/>
            <w:r>
              <w:rPr>
                <w:sz w:val="22"/>
                <w:szCs w:val="22"/>
              </w:rPr>
              <w:t xml:space="preserve"> </w:t>
            </w:r>
            <w:proofErr w:type="spellStart"/>
            <w:r>
              <w:rPr>
                <w:sz w:val="22"/>
                <w:szCs w:val="22"/>
              </w:rPr>
              <w:t>of</w:t>
            </w:r>
            <w:proofErr w:type="spellEnd"/>
            <w:r>
              <w:rPr>
                <w:sz w:val="22"/>
                <w:szCs w:val="22"/>
              </w:rPr>
              <w:t xml:space="preserve"> </w:t>
            </w:r>
            <w:proofErr w:type="spellStart"/>
            <w:r>
              <w:rPr>
                <w:sz w:val="22"/>
                <w:szCs w:val="22"/>
              </w:rPr>
              <w:t>the</w:t>
            </w:r>
            <w:proofErr w:type="spellEnd"/>
            <w:r>
              <w:rPr>
                <w:sz w:val="22"/>
                <w:szCs w:val="22"/>
              </w:rPr>
              <w:t xml:space="preserve"> </w:t>
            </w:r>
            <w:proofErr w:type="spellStart"/>
            <w:r>
              <w:rPr>
                <w:sz w:val="22"/>
                <w:szCs w:val="22"/>
              </w:rPr>
              <w:t>contract</w:t>
            </w:r>
            <w:proofErr w:type="spellEnd"/>
            <w:r>
              <w:rPr>
                <w:sz w:val="22"/>
                <w:szCs w:val="22"/>
              </w:rPr>
              <w:t xml:space="preserve"> </w:t>
            </w:r>
            <w:proofErr w:type="spellStart"/>
            <w:r>
              <w:rPr>
                <w:sz w:val="22"/>
                <w:szCs w:val="22"/>
              </w:rPr>
              <w:t>will</w:t>
            </w:r>
            <w:proofErr w:type="spellEnd"/>
            <w:r>
              <w:rPr>
                <w:sz w:val="22"/>
                <w:szCs w:val="22"/>
              </w:rPr>
              <w:t xml:space="preserve"> be </w:t>
            </w:r>
            <w:proofErr w:type="spellStart"/>
            <w:r>
              <w:rPr>
                <w:sz w:val="22"/>
                <w:szCs w:val="22"/>
              </w:rPr>
              <w:t>considered</w:t>
            </w:r>
            <w:proofErr w:type="spellEnd"/>
            <w:r>
              <w:rPr>
                <w:sz w:val="22"/>
                <w:szCs w:val="22"/>
              </w:rPr>
              <w:t xml:space="preserve"> </w:t>
            </w:r>
            <w:proofErr w:type="spellStart"/>
            <w:r>
              <w:rPr>
                <w:sz w:val="22"/>
                <w:szCs w:val="22"/>
              </w:rPr>
              <w:t>included</w:t>
            </w:r>
            <w:proofErr w:type="spellEnd"/>
            <w:r>
              <w:rPr>
                <w:sz w:val="22"/>
                <w:szCs w:val="22"/>
              </w:rPr>
              <w:t xml:space="preserve"> in </w:t>
            </w:r>
            <w:proofErr w:type="spellStart"/>
            <w:r>
              <w:rPr>
                <w:sz w:val="22"/>
                <w:szCs w:val="22"/>
              </w:rPr>
              <w:t>the</w:t>
            </w:r>
            <w:proofErr w:type="spellEnd"/>
            <w:r>
              <w:rPr>
                <w:sz w:val="22"/>
                <w:szCs w:val="22"/>
              </w:rPr>
              <w:t xml:space="preserve"> </w:t>
            </w:r>
            <w:proofErr w:type="spellStart"/>
            <w:r>
              <w:rPr>
                <w:sz w:val="22"/>
                <w:szCs w:val="22"/>
              </w:rPr>
              <w:t>quoted</w:t>
            </w:r>
            <w:proofErr w:type="spellEnd"/>
            <w:r>
              <w:rPr>
                <w:sz w:val="22"/>
                <w:szCs w:val="22"/>
              </w:rPr>
              <w:t xml:space="preserve"> </w:t>
            </w:r>
            <w:proofErr w:type="spellStart"/>
            <w:r>
              <w:rPr>
                <w:sz w:val="22"/>
                <w:szCs w:val="22"/>
              </w:rPr>
              <w:t>prices</w:t>
            </w:r>
            <w:proofErr w:type="spellEnd"/>
            <w:r>
              <w:rPr>
                <w:sz w:val="22"/>
                <w:szCs w:val="22"/>
              </w:rPr>
              <w:t xml:space="preserve">. The </w:t>
            </w:r>
            <w:proofErr w:type="spellStart"/>
            <w:r>
              <w:rPr>
                <w:sz w:val="22"/>
                <w:szCs w:val="22"/>
              </w:rPr>
              <w:t>applicable</w:t>
            </w:r>
            <w:proofErr w:type="spellEnd"/>
            <w:r>
              <w:rPr>
                <w:sz w:val="22"/>
                <w:szCs w:val="22"/>
              </w:rPr>
              <w:t xml:space="preserve"> </w:t>
            </w:r>
            <w:proofErr w:type="spellStart"/>
            <w:r>
              <w:rPr>
                <w:sz w:val="22"/>
                <w:szCs w:val="22"/>
              </w:rPr>
              <w:t>Value</w:t>
            </w:r>
            <w:proofErr w:type="spellEnd"/>
            <w:r>
              <w:rPr>
                <w:sz w:val="22"/>
                <w:szCs w:val="22"/>
              </w:rPr>
              <w:t xml:space="preserve"> Added Tax (VAT) </w:t>
            </w:r>
            <w:proofErr w:type="spellStart"/>
            <w:r>
              <w:rPr>
                <w:sz w:val="22"/>
                <w:szCs w:val="22"/>
              </w:rPr>
              <w:t>will</w:t>
            </w:r>
            <w:proofErr w:type="spellEnd"/>
            <w:r>
              <w:rPr>
                <w:sz w:val="22"/>
                <w:szCs w:val="22"/>
              </w:rPr>
              <w:t xml:space="preserve"> be </w:t>
            </w:r>
            <w:proofErr w:type="spellStart"/>
            <w:r>
              <w:rPr>
                <w:sz w:val="22"/>
                <w:szCs w:val="22"/>
              </w:rPr>
              <w:t>indicated</w:t>
            </w:r>
            <w:proofErr w:type="spellEnd"/>
            <w:r>
              <w:rPr>
                <w:sz w:val="22"/>
                <w:szCs w:val="22"/>
              </w:rPr>
              <w:t xml:space="preserve">, and </w:t>
            </w:r>
            <w:proofErr w:type="spellStart"/>
            <w:r>
              <w:rPr>
                <w:sz w:val="22"/>
                <w:szCs w:val="22"/>
              </w:rPr>
              <w:t>if</w:t>
            </w:r>
            <w:proofErr w:type="spellEnd"/>
            <w:r>
              <w:rPr>
                <w:sz w:val="22"/>
                <w:szCs w:val="22"/>
              </w:rPr>
              <w:t xml:space="preserve"> so, </w:t>
            </w:r>
            <w:proofErr w:type="spellStart"/>
            <w:r>
              <w:rPr>
                <w:sz w:val="22"/>
                <w:szCs w:val="22"/>
              </w:rPr>
              <w:t>the</w:t>
            </w:r>
            <w:proofErr w:type="spellEnd"/>
            <w:r>
              <w:rPr>
                <w:sz w:val="22"/>
                <w:szCs w:val="22"/>
              </w:rPr>
              <w:t xml:space="preserve"> </w:t>
            </w:r>
            <w:proofErr w:type="spellStart"/>
            <w:r>
              <w:rPr>
                <w:sz w:val="22"/>
                <w:szCs w:val="22"/>
              </w:rPr>
              <w:t>applicable</w:t>
            </w:r>
            <w:proofErr w:type="spellEnd"/>
            <w:r>
              <w:rPr>
                <w:sz w:val="22"/>
                <w:szCs w:val="22"/>
              </w:rPr>
              <w:t xml:space="preserve"> </w:t>
            </w:r>
            <w:proofErr w:type="spellStart"/>
            <w:r>
              <w:rPr>
                <w:sz w:val="22"/>
                <w:szCs w:val="22"/>
              </w:rPr>
              <w:t>percentages</w:t>
            </w:r>
            <w:proofErr w:type="spellEnd"/>
            <w:r>
              <w:rPr>
                <w:sz w:val="22"/>
                <w:szCs w:val="22"/>
              </w:rPr>
              <w:t xml:space="preserve">; </w:t>
            </w:r>
            <w:proofErr w:type="spellStart"/>
            <w:r>
              <w:rPr>
                <w:sz w:val="22"/>
                <w:szCs w:val="22"/>
              </w:rPr>
              <w:t>otherwise</w:t>
            </w:r>
            <w:proofErr w:type="spellEnd"/>
            <w:r>
              <w:rPr>
                <w:sz w:val="22"/>
                <w:szCs w:val="22"/>
              </w:rPr>
              <w:t xml:space="preserve">, </w:t>
            </w:r>
            <w:proofErr w:type="spellStart"/>
            <w:r>
              <w:rPr>
                <w:sz w:val="22"/>
                <w:szCs w:val="22"/>
              </w:rPr>
              <w:t>it</w:t>
            </w:r>
            <w:proofErr w:type="spellEnd"/>
            <w:r>
              <w:rPr>
                <w:sz w:val="22"/>
                <w:szCs w:val="22"/>
              </w:rPr>
              <w:t xml:space="preserve"> </w:t>
            </w:r>
            <w:proofErr w:type="spellStart"/>
            <w:r>
              <w:rPr>
                <w:sz w:val="22"/>
                <w:szCs w:val="22"/>
              </w:rPr>
              <w:t>will</w:t>
            </w:r>
            <w:proofErr w:type="spellEnd"/>
            <w:r>
              <w:rPr>
                <w:sz w:val="22"/>
                <w:szCs w:val="22"/>
              </w:rPr>
              <w:t xml:space="preserve"> be </w:t>
            </w:r>
            <w:proofErr w:type="spellStart"/>
            <w:r>
              <w:rPr>
                <w:sz w:val="22"/>
                <w:szCs w:val="22"/>
              </w:rPr>
              <w:t>considered</w:t>
            </w:r>
            <w:proofErr w:type="spellEnd"/>
            <w:r>
              <w:rPr>
                <w:sz w:val="22"/>
                <w:szCs w:val="22"/>
              </w:rPr>
              <w:t xml:space="preserve"> </w:t>
            </w:r>
            <w:proofErr w:type="spellStart"/>
            <w:r>
              <w:rPr>
                <w:sz w:val="22"/>
                <w:szCs w:val="22"/>
              </w:rPr>
              <w:t>included</w:t>
            </w:r>
            <w:proofErr w:type="spellEnd"/>
            <w:r>
              <w:rPr>
                <w:sz w:val="22"/>
                <w:szCs w:val="22"/>
              </w:rPr>
              <w:t xml:space="preserve"> in </w:t>
            </w:r>
            <w:proofErr w:type="spellStart"/>
            <w:r>
              <w:rPr>
                <w:sz w:val="22"/>
                <w:szCs w:val="22"/>
              </w:rPr>
              <w:t>the</w:t>
            </w:r>
            <w:proofErr w:type="spellEnd"/>
            <w:r>
              <w:rPr>
                <w:sz w:val="22"/>
                <w:szCs w:val="22"/>
              </w:rPr>
              <w:t xml:space="preserve"> </w:t>
            </w:r>
            <w:proofErr w:type="spellStart"/>
            <w:r>
              <w:rPr>
                <w:sz w:val="22"/>
                <w:szCs w:val="22"/>
              </w:rPr>
              <w:t>quoted</w:t>
            </w:r>
            <w:proofErr w:type="spellEnd"/>
            <w:r>
              <w:rPr>
                <w:sz w:val="22"/>
                <w:szCs w:val="22"/>
              </w:rPr>
              <w:t xml:space="preserve"> </w:t>
            </w:r>
            <w:proofErr w:type="spellStart"/>
            <w:r>
              <w:rPr>
                <w:sz w:val="22"/>
                <w:szCs w:val="22"/>
              </w:rPr>
              <w:t>price</w:t>
            </w:r>
            <w:proofErr w:type="spellEnd"/>
            <w:r>
              <w:rPr>
                <w:sz w:val="22"/>
                <w:szCs w:val="22"/>
              </w:rPr>
              <w:t>.</w:t>
            </w:r>
          </w:p>
          <w:p w14:paraId="499C0F92" w14:textId="77777777" w:rsidR="00E255F4" w:rsidRDefault="00E255F4">
            <w:pPr>
              <w:rPr>
                <w:sz w:val="22"/>
                <w:szCs w:val="22"/>
                <w:lang w:val="es-ES_tradnl"/>
              </w:rPr>
            </w:pPr>
          </w:p>
          <w:p w14:paraId="030E3F1E" w14:textId="77777777" w:rsidR="00E255F4" w:rsidRDefault="00000000">
            <w:pPr>
              <w:ind w:right="-36"/>
              <w:jc w:val="both"/>
              <w:rPr>
                <w:rFonts w:eastAsia="Palatino Linotype"/>
                <w:b/>
                <w:spacing w:val="-1"/>
                <w:sz w:val="22"/>
                <w:szCs w:val="22"/>
                <w:lang w:val="es-ES"/>
              </w:rPr>
            </w:pPr>
            <w:r>
              <w:rPr>
                <w:sz w:val="22"/>
                <w:szCs w:val="22"/>
                <w:lang w:val="es-ES_tradnl"/>
              </w:rPr>
              <w:t xml:space="preserve">OSE </w:t>
            </w:r>
            <w:proofErr w:type="spellStart"/>
            <w:r>
              <w:rPr>
                <w:sz w:val="22"/>
                <w:szCs w:val="22"/>
                <w:lang w:val="es-ES_tradnl"/>
              </w:rPr>
              <w:t>will</w:t>
            </w:r>
            <w:proofErr w:type="spellEnd"/>
            <w:r>
              <w:rPr>
                <w:sz w:val="22"/>
                <w:szCs w:val="22"/>
                <w:lang w:val="es-ES_tradnl"/>
              </w:rPr>
              <w:t xml:space="preserve"> </w:t>
            </w:r>
            <w:proofErr w:type="spellStart"/>
            <w:r>
              <w:rPr>
                <w:sz w:val="22"/>
                <w:szCs w:val="22"/>
                <w:lang w:val="es-ES_tradnl"/>
              </w:rPr>
              <w:t>flatly</w:t>
            </w:r>
            <w:proofErr w:type="spellEnd"/>
            <w:r>
              <w:rPr>
                <w:sz w:val="22"/>
                <w:szCs w:val="22"/>
                <w:lang w:val="es-ES_tradnl"/>
              </w:rPr>
              <w:t xml:space="preserve"> </w:t>
            </w:r>
            <w:proofErr w:type="spellStart"/>
            <w:r>
              <w:rPr>
                <w:sz w:val="22"/>
                <w:szCs w:val="22"/>
                <w:lang w:val="es-ES_tradnl"/>
              </w:rPr>
              <w:t>reject</w:t>
            </w:r>
            <w:proofErr w:type="spellEnd"/>
            <w:r>
              <w:rPr>
                <w:sz w:val="22"/>
                <w:szCs w:val="22"/>
                <w:lang w:val="es-ES_tradnl"/>
              </w:rPr>
              <w:t xml:space="preserve"> </w:t>
            </w:r>
            <w:proofErr w:type="spellStart"/>
            <w:r>
              <w:rPr>
                <w:sz w:val="22"/>
                <w:szCs w:val="22"/>
                <w:lang w:val="es-ES_tradnl"/>
              </w:rPr>
              <w:t>any</w:t>
            </w:r>
            <w:proofErr w:type="spellEnd"/>
            <w:r>
              <w:rPr>
                <w:sz w:val="22"/>
                <w:szCs w:val="22"/>
                <w:lang w:val="es-ES_tradnl"/>
              </w:rPr>
              <w:t xml:space="preserve"> </w:t>
            </w:r>
            <w:proofErr w:type="spellStart"/>
            <w:r>
              <w:rPr>
                <w:sz w:val="22"/>
                <w:szCs w:val="22"/>
                <w:lang w:val="es-ES_tradnl"/>
              </w:rPr>
              <w:t>offers</w:t>
            </w:r>
            <w:proofErr w:type="spellEnd"/>
            <w:r>
              <w:rPr>
                <w:sz w:val="22"/>
                <w:szCs w:val="22"/>
                <w:lang w:val="es-ES_tradnl"/>
              </w:rPr>
              <w:t xml:space="preserve"> </w:t>
            </w:r>
            <w:proofErr w:type="spellStart"/>
            <w:r>
              <w:rPr>
                <w:sz w:val="22"/>
                <w:szCs w:val="22"/>
                <w:lang w:val="es-ES_tradnl"/>
              </w:rPr>
              <w:t>that</w:t>
            </w:r>
            <w:proofErr w:type="spellEnd"/>
            <w:r>
              <w:rPr>
                <w:sz w:val="22"/>
                <w:szCs w:val="22"/>
                <w:lang w:val="es-ES_tradnl"/>
              </w:rPr>
              <w:t xml:space="preserve"> </w:t>
            </w:r>
            <w:proofErr w:type="spellStart"/>
            <w:r>
              <w:rPr>
                <w:sz w:val="22"/>
                <w:szCs w:val="22"/>
                <w:lang w:val="es-ES_tradnl"/>
              </w:rPr>
              <w:t>establish</w:t>
            </w:r>
            <w:proofErr w:type="spellEnd"/>
            <w:r>
              <w:rPr>
                <w:sz w:val="22"/>
                <w:szCs w:val="22"/>
                <w:lang w:val="es-ES_tradnl"/>
              </w:rPr>
              <w:t xml:space="preserve"> </w:t>
            </w:r>
            <w:proofErr w:type="spellStart"/>
            <w:r>
              <w:rPr>
                <w:sz w:val="22"/>
                <w:szCs w:val="22"/>
                <w:lang w:val="es-ES_tradnl"/>
              </w:rPr>
              <w:t>tax</w:t>
            </w:r>
            <w:proofErr w:type="spellEnd"/>
            <w:r>
              <w:rPr>
                <w:sz w:val="22"/>
                <w:szCs w:val="22"/>
                <w:lang w:val="es-ES_tradnl"/>
              </w:rPr>
              <w:t xml:space="preserve"> </w:t>
            </w:r>
            <w:proofErr w:type="spellStart"/>
            <w:r>
              <w:rPr>
                <w:sz w:val="22"/>
                <w:szCs w:val="22"/>
                <w:lang w:val="es-ES_tradnl"/>
              </w:rPr>
              <w:t>transfers</w:t>
            </w:r>
            <w:proofErr w:type="spellEnd"/>
            <w:r>
              <w:rPr>
                <w:sz w:val="22"/>
                <w:szCs w:val="22"/>
                <w:lang w:val="es-ES_tradnl"/>
              </w:rPr>
              <w:t xml:space="preserve"> </w:t>
            </w:r>
            <w:proofErr w:type="spellStart"/>
            <w:r>
              <w:rPr>
                <w:sz w:val="22"/>
                <w:szCs w:val="22"/>
                <w:lang w:val="es-ES_tradnl"/>
              </w:rPr>
              <w:t>different</w:t>
            </w:r>
            <w:proofErr w:type="spellEnd"/>
            <w:r>
              <w:rPr>
                <w:sz w:val="22"/>
                <w:szCs w:val="22"/>
                <w:lang w:val="es-ES_tradnl"/>
              </w:rPr>
              <w:t xml:space="preserve"> </w:t>
            </w:r>
            <w:proofErr w:type="spellStart"/>
            <w:r>
              <w:rPr>
                <w:sz w:val="22"/>
                <w:szCs w:val="22"/>
                <w:lang w:val="es-ES_tradnl"/>
              </w:rPr>
              <w:t>from</w:t>
            </w:r>
            <w:proofErr w:type="spellEnd"/>
            <w:r>
              <w:rPr>
                <w:sz w:val="22"/>
                <w:szCs w:val="22"/>
                <w:lang w:val="es-ES_tradnl"/>
              </w:rPr>
              <w:t xml:space="preserve"> </w:t>
            </w:r>
            <w:proofErr w:type="spellStart"/>
            <w:r>
              <w:rPr>
                <w:sz w:val="22"/>
                <w:szCs w:val="22"/>
                <w:lang w:val="es-ES_tradnl"/>
              </w:rPr>
              <w:t>those</w:t>
            </w:r>
            <w:proofErr w:type="spellEnd"/>
            <w:r>
              <w:rPr>
                <w:sz w:val="22"/>
                <w:szCs w:val="22"/>
                <w:lang w:val="es-ES_tradnl"/>
              </w:rPr>
              <w:t xml:space="preserve"> </w:t>
            </w:r>
            <w:proofErr w:type="spellStart"/>
            <w:r>
              <w:rPr>
                <w:sz w:val="22"/>
                <w:szCs w:val="22"/>
                <w:lang w:val="es-ES_tradnl"/>
              </w:rPr>
              <w:t>provided</w:t>
            </w:r>
            <w:proofErr w:type="spellEnd"/>
            <w:r>
              <w:rPr>
                <w:sz w:val="22"/>
                <w:szCs w:val="22"/>
                <w:lang w:val="es-ES_tradnl"/>
              </w:rPr>
              <w:t xml:space="preserve"> </w:t>
            </w:r>
            <w:proofErr w:type="spellStart"/>
            <w:r>
              <w:rPr>
                <w:sz w:val="22"/>
                <w:szCs w:val="22"/>
                <w:lang w:val="es-ES_tradnl"/>
              </w:rPr>
              <w:t>for</w:t>
            </w:r>
            <w:proofErr w:type="spellEnd"/>
            <w:r>
              <w:rPr>
                <w:sz w:val="22"/>
                <w:szCs w:val="22"/>
                <w:lang w:val="es-ES_tradnl"/>
              </w:rPr>
              <w:t xml:space="preserve"> in </w:t>
            </w:r>
            <w:proofErr w:type="spellStart"/>
            <w:r>
              <w:rPr>
                <w:sz w:val="22"/>
                <w:szCs w:val="22"/>
                <w:lang w:val="es-ES_tradnl"/>
              </w:rPr>
              <w:t>said</w:t>
            </w:r>
            <w:proofErr w:type="spellEnd"/>
            <w:r>
              <w:rPr>
                <w:sz w:val="22"/>
                <w:szCs w:val="22"/>
                <w:lang w:val="es-ES_tradnl"/>
              </w:rPr>
              <w:t xml:space="preserve"> </w:t>
            </w:r>
            <w:proofErr w:type="spellStart"/>
            <w:r>
              <w:rPr>
                <w:sz w:val="22"/>
                <w:szCs w:val="22"/>
                <w:lang w:val="es-ES_tradnl"/>
              </w:rPr>
              <w:t>regulation</w:t>
            </w:r>
            <w:proofErr w:type="spellEnd"/>
            <w:r>
              <w:rPr>
                <w:sz w:val="22"/>
                <w:szCs w:val="22"/>
                <w:lang w:val="es-ES_tradnl"/>
              </w:rPr>
              <w:t>.</w:t>
            </w:r>
          </w:p>
        </w:tc>
      </w:tr>
      <w:tr w:rsidR="00E255F4" w14:paraId="11AA2654" w14:textId="77777777">
        <w:tc>
          <w:tcPr>
            <w:tcW w:w="730" w:type="dxa"/>
            <w:tcBorders>
              <w:top w:val="single" w:sz="4" w:space="0" w:color="000000"/>
              <w:left w:val="single" w:sz="4" w:space="0" w:color="000000"/>
              <w:bottom w:val="single" w:sz="4" w:space="0" w:color="000000"/>
              <w:right w:val="single" w:sz="4" w:space="0" w:color="000000"/>
            </w:tcBorders>
          </w:tcPr>
          <w:p w14:paraId="66F7D263" w14:textId="77777777" w:rsidR="00E255F4" w:rsidRDefault="00000000">
            <w:pPr>
              <w:ind w:right="-36"/>
              <w:rPr>
                <w:rFonts w:eastAsia="Palatino Linotype"/>
                <w:b/>
                <w:sz w:val="22"/>
                <w:szCs w:val="24"/>
                <w:lang w:val="es-ES"/>
              </w:rPr>
            </w:pPr>
            <w:r>
              <w:rPr>
                <w:rFonts w:eastAsia="Palatino Linotype"/>
                <w:b/>
                <w:sz w:val="22"/>
                <w:szCs w:val="22"/>
                <w:lang w:val="es-ES"/>
              </w:rPr>
              <w:t>10.5</w:t>
            </w:r>
          </w:p>
        </w:tc>
        <w:tc>
          <w:tcPr>
            <w:tcW w:w="9048" w:type="dxa"/>
            <w:tcBorders>
              <w:top w:val="single" w:sz="4" w:space="0" w:color="000000"/>
              <w:left w:val="single" w:sz="4" w:space="0" w:color="000000"/>
              <w:bottom w:val="single" w:sz="4" w:space="0" w:color="000000"/>
              <w:right w:val="single" w:sz="4" w:space="0" w:color="000000"/>
            </w:tcBorders>
          </w:tcPr>
          <w:p w14:paraId="4C4F0EA2" w14:textId="77777777" w:rsidR="00E255F4" w:rsidRDefault="00000000">
            <w:pPr>
              <w:ind w:right="-36"/>
              <w:jc w:val="both"/>
              <w:rPr>
                <w:rFonts w:eastAsia="Palatino Linotype"/>
                <w:b/>
                <w:spacing w:val="-1"/>
                <w:sz w:val="22"/>
                <w:szCs w:val="22"/>
                <w:lang w:val="es-ES"/>
              </w:rPr>
            </w:pPr>
            <w:proofErr w:type="spellStart"/>
            <w:r>
              <w:rPr>
                <w:rFonts w:eastAsia="Palatino Linotype"/>
                <w:b/>
                <w:spacing w:val="-1"/>
                <w:sz w:val="22"/>
                <w:szCs w:val="22"/>
                <w:lang w:val="es-ES"/>
              </w:rPr>
              <w:t>Preference</w:t>
            </w:r>
            <w:proofErr w:type="spellEnd"/>
            <w:r>
              <w:rPr>
                <w:rFonts w:eastAsia="Palatino Linotype"/>
                <w:b/>
                <w:spacing w:val="-1"/>
                <w:sz w:val="22"/>
                <w:szCs w:val="22"/>
                <w:lang w:val="es-ES"/>
              </w:rPr>
              <w:t xml:space="preserve"> </w:t>
            </w:r>
            <w:proofErr w:type="spellStart"/>
            <w:r>
              <w:rPr>
                <w:rFonts w:eastAsia="Palatino Linotype"/>
                <w:b/>
                <w:spacing w:val="-1"/>
                <w:sz w:val="22"/>
                <w:szCs w:val="22"/>
                <w:lang w:val="es-ES"/>
              </w:rPr>
              <w:t>Regimes</w:t>
            </w:r>
            <w:proofErr w:type="spellEnd"/>
          </w:p>
          <w:p w14:paraId="0FF1418F" w14:textId="77777777" w:rsidR="00E255F4" w:rsidRDefault="00E255F4">
            <w:pPr>
              <w:pStyle w:val="Sinespaciado"/>
              <w:jc w:val="both"/>
              <w:rPr>
                <w:rFonts w:ascii="Times New Roman" w:eastAsia="Palatino Linotype" w:hAnsi="Times New Roman"/>
                <w:b/>
                <w:spacing w:val="-1"/>
                <w:lang w:val="es-ES"/>
              </w:rPr>
            </w:pPr>
          </w:p>
          <w:p w14:paraId="356CC339" w14:textId="77777777" w:rsidR="00E255F4" w:rsidRDefault="00000000">
            <w:pPr>
              <w:pStyle w:val="Sinespaciado"/>
              <w:jc w:val="both"/>
              <w:rPr>
                <w:rFonts w:ascii="Times New Roman" w:hAnsi="Times New Roman"/>
                <w:b/>
              </w:rPr>
            </w:pPr>
            <w:r>
              <w:rPr>
                <w:rFonts w:ascii="Times New Roman" w:hAnsi="Times New Roman"/>
                <w:b/>
              </w:rPr>
              <w:t>GOODS OR SERVICES THAT QUALIFY AS NATIONAL</w:t>
            </w:r>
          </w:p>
          <w:p w14:paraId="288A24FF" w14:textId="77777777" w:rsidR="00E255F4" w:rsidRDefault="00E255F4">
            <w:pPr>
              <w:jc w:val="both"/>
              <w:rPr>
                <w:b/>
                <w:sz w:val="22"/>
                <w:szCs w:val="22"/>
                <w:lang w:val="es-ES"/>
              </w:rPr>
            </w:pPr>
          </w:p>
          <w:p w14:paraId="56BA0275" w14:textId="77777777" w:rsidR="00E255F4" w:rsidRDefault="00000000">
            <w:pPr>
              <w:jc w:val="both"/>
            </w:pPr>
            <w:r>
              <w:rPr>
                <w:sz w:val="22"/>
                <w:szCs w:val="22"/>
                <w:lang w:val="es-ES"/>
              </w:rPr>
              <w:t xml:space="preserve">In </w:t>
            </w:r>
            <w:proofErr w:type="spellStart"/>
            <w:r>
              <w:rPr>
                <w:sz w:val="22"/>
                <w:szCs w:val="22"/>
                <w:lang w:val="es-ES"/>
              </w:rPr>
              <w:t>the</w:t>
            </w:r>
            <w:proofErr w:type="spellEnd"/>
            <w:r>
              <w:rPr>
                <w:sz w:val="22"/>
                <w:szCs w:val="22"/>
                <w:lang w:val="es-ES"/>
              </w:rPr>
              <w:t xml:space="preserve"> </w:t>
            </w:r>
            <w:proofErr w:type="spellStart"/>
            <w:r>
              <w:rPr>
                <w:sz w:val="22"/>
                <w:szCs w:val="22"/>
                <w:lang w:val="es-ES"/>
              </w:rPr>
              <w:t>offer</w:t>
            </w:r>
            <w:proofErr w:type="spellEnd"/>
            <w:r>
              <w:rPr>
                <w:sz w:val="22"/>
                <w:szCs w:val="22"/>
                <w:lang w:val="es-ES"/>
              </w:rPr>
              <w:t xml:space="preserve">, </w:t>
            </w:r>
            <w:proofErr w:type="spellStart"/>
            <w:r>
              <w:rPr>
                <w:sz w:val="22"/>
                <w:szCs w:val="22"/>
                <w:lang w:val="es-ES"/>
              </w:rPr>
              <w:t>those</w:t>
            </w:r>
            <w:proofErr w:type="spellEnd"/>
            <w:r>
              <w:rPr>
                <w:sz w:val="22"/>
                <w:szCs w:val="22"/>
                <w:lang w:val="es-ES"/>
              </w:rPr>
              <w:t xml:space="preserve"> </w:t>
            </w:r>
            <w:proofErr w:type="spellStart"/>
            <w:r>
              <w:rPr>
                <w:sz w:val="22"/>
                <w:szCs w:val="22"/>
                <w:lang w:val="es-ES"/>
              </w:rPr>
              <w:t>interested</w:t>
            </w:r>
            <w:proofErr w:type="spellEnd"/>
            <w:r>
              <w:rPr>
                <w:sz w:val="22"/>
                <w:szCs w:val="22"/>
                <w:lang w:val="es-ES"/>
              </w:rPr>
              <w:t xml:space="preserve"> in </w:t>
            </w:r>
            <w:proofErr w:type="spellStart"/>
            <w:r>
              <w:rPr>
                <w:sz w:val="22"/>
                <w:szCs w:val="22"/>
                <w:lang w:val="es-ES"/>
              </w:rPr>
              <w:t>benefiting</w:t>
            </w:r>
            <w:proofErr w:type="spellEnd"/>
            <w:r>
              <w:rPr>
                <w:sz w:val="22"/>
                <w:szCs w:val="22"/>
                <w:lang w:val="es-ES"/>
              </w:rPr>
              <w:t xml:space="preserve"> </w:t>
            </w:r>
            <w:proofErr w:type="spellStart"/>
            <w:r>
              <w:rPr>
                <w:sz w:val="22"/>
                <w:szCs w:val="22"/>
                <w:lang w:val="es-ES"/>
              </w:rPr>
              <w:t>from</w:t>
            </w:r>
            <w:proofErr w:type="spellEnd"/>
            <w:r>
              <w:rPr>
                <w:sz w:val="22"/>
                <w:szCs w:val="22"/>
                <w:lang w:val="es-ES"/>
              </w:rPr>
              <w:t xml:space="preserve"> </w:t>
            </w:r>
            <w:proofErr w:type="spellStart"/>
            <w:r>
              <w:rPr>
                <w:sz w:val="22"/>
                <w:szCs w:val="22"/>
                <w:lang w:val="es-ES"/>
              </w:rPr>
              <w:t>the</w:t>
            </w:r>
            <w:proofErr w:type="spellEnd"/>
            <w:r>
              <w:rPr>
                <w:sz w:val="22"/>
                <w:szCs w:val="22"/>
                <w:lang w:val="es-ES"/>
              </w:rPr>
              <w:t xml:space="preserve"> </w:t>
            </w:r>
            <w:proofErr w:type="spellStart"/>
            <w:r>
              <w:rPr>
                <w:sz w:val="22"/>
                <w:szCs w:val="22"/>
                <w:lang w:val="es-ES"/>
              </w:rPr>
              <w:t>preference</w:t>
            </w:r>
            <w:proofErr w:type="spellEnd"/>
            <w:r>
              <w:rPr>
                <w:sz w:val="22"/>
                <w:szCs w:val="22"/>
                <w:lang w:val="es-ES"/>
              </w:rPr>
              <w:t xml:space="preserve"> </w:t>
            </w:r>
            <w:proofErr w:type="spellStart"/>
            <w:r>
              <w:rPr>
                <w:sz w:val="22"/>
                <w:szCs w:val="22"/>
                <w:lang w:val="es-ES"/>
              </w:rPr>
              <w:t>margin</w:t>
            </w:r>
            <w:proofErr w:type="spellEnd"/>
            <w:r>
              <w:rPr>
                <w:sz w:val="22"/>
                <w:szCs w:val="22"/>
                <w:lang w:val="es-ES"/>
              </w:rPr>
              <w:t xml:space="preserve"> </w:t>
            </w:r>
            <w:proofErr w:type="spellStart"/>
            <w:r>
              <w:rPr>
                <w:sz w:val="22"/>
                <w:szCs w:val="22"/>
                <w:lang w:val="es-ES"/>
              </w:rPr>
              <w:t>must</w:t>
            </w:r>
            <w:proofErr w:type="spellEnd"/>
            <w:r>
              <w:rPr>
                <w:sz w:val="22"/>
                <w:szCs w:val="22"/>
                <w:lang w:val="es-ES"/>
              </w:rPr>
              <w:t xml:space="preserve"> </w:t>
            </w:r>
            <w:proofErr w:type="spellStart"/>
            <w:r>
              <w:rPr>
                <w:sz w:val="22"/>
                <w:szCs w:val="22"/>
                <w:lang w:val="es-ES"/>
              </w:rPr>
              <w:t>specify</w:t>
            </w:r>
            <w:proofErr w:type="spellEnd"/>
            <w:r>
              <w:rPr>
                <w:sz w:val="22"/>
                <w:szCs w:val="22"/>
                <w:lang w:val="es-ES"/>
              </w:rPr>
              <w:t xml:space="preserve"> </w:t>
            </w:r>
            <w:proofErr w:type="spellStart"/>
            <w:r>
              <w:rPr>
                <w:sz w:val="22"/>
                <w:szCs w:val="22"/>
                <w:lang w:val="es-ES"/>
              </w:rPr>
              <w:t>it</w:t>
            </w:r>
            <w:proofErr w:type="spellEnd"/>
            <w:r>
              <w:rPr>
                <w:sz w:val="22"/>
                <w:szCs w:val="22"/>
                <w:lang w:val="es-ES"/>
              </w:rPr>
              <w:t xml:space="preserve"> and </w:t>
            </w:r>
            <w:proofErr w:type="spellStart"/>
            <w:r>
              <w:rPr>
                <w:sz w:val="22"/>
                <w:szCs w:val="22"/>
                <w:lang w:val="es-ES"/>
              </w:rPr>
              <w:t>submit</w:t>
            </w:r>
            <w:proofErr w:type="spellEnd"/>
            <w:r>
              <w:rPr>
                <w:sz w:val="22"/>
                <w:szCs w:val="22"/>
                <w:lang w:val="es-ES"/>
              </w:rPr>
              <w:t xml:space="preserve"> </w:t>
            </w:r>
            <w:proofErr w:type="spellStart"/>
            <w:r>
              <w:rPr>
                <w:sz w:val="22"/>
                <w:szCs w:val="22"/>
                <w:lang w:val="es-ES"/>
              </w:rPr>
              <w:t>the</w:t>
            </w:r>
            <w:proofErr w:type="spellEnd"/>
            <w:r>
              <w:rPr>
                <w:sz w:val="22"/>
                <w:szCs w:val="22"/>
                <w:lang w:val="es-ES"/>
              </w:rPr>
              <w:t xml:space="preserve"> Affidavit </w:t>
            </w:r>
            <w:proofErr w:type="spellStart"/>
            <w:r>
              <w:rPr>
                <w:sz w:val="22"/>
                <w:szCs w:val="22"/>
                <w:lang w:val="es-ES"/>
              </w:rPr>
              <w:t>established</w:t>
            </w:r>
            <w:proofErr w:type="spellEnd"/>
            <w:r>
              <w:rPr>
                <w:sz w:val="22"/>
                <w:szCs w:val="22"/>
                <w:lang w:val="es-ES"/>
              </w:rPr>
              <w:t xml:space="preserve"> in Art. 10.5.1 </w:t>
            </w:r>
            <w:proofErr w:type="spellStart"/>
            <w:r>
              <w:rPr>
                <w:sz w:val="22"/>
                <w:szCs w:val="22"/>
                <w:lang w:val="es-ES"/>
              </w:rPr>
              <w:t>of</w:t>
            </w:r>
            <w:proofErr w:type="spellEnd"/>
            <w:r>
              <w:rPr>
                <w:sz w:val="22"/>
                <w:szCs w:val="22"/>
                <w:lang w:val="es-ES"/>
              </w:rPr>
              <w:t xml:space="preserve"> Decree No. 131/014 (</w:t>
            </w:r>
            <w:proofErr w:type="spellStart"/>
            <w:r>
              <w:rPr>
                <w:sz w:val="22"/>
                <w:szCs w:val="22"/>
                <w:lang w:val="es-ES"/>
              </w:rPr>
              <w:t>Annex</w:t>
            </w:r>
            <w:proofErr w:type="spellEnd"/>
            <w:r>
              <w:rPr>
                <w:sz w:val="22"/>
                <w:szCs w:val="22"/>
                <w:lang w:val="es-ES"/>
              </w:rPr>
              <w:t xml:space="preserve"> I).</w:t>
            </w:r>
          </w:p>
          <w:p w14:paraId="38FD28B5" w14:textId="77777777" w:rsidR="00E255F4" w:rsidRDefault="00E255F4">
            <w:pPr>
              <w:pStyle w:val="Sinespaciado"/>
              <w:jc w:val="both"/>
              <w:rPr>
                <w:rFonts w:ascii="Times New Roman" w:hAnsi="Times New Roman"/>
                <w:lang w:val="es-ES"/>
              </w:rPr>
            </w:pPr>
          </w:p>
          <w:p w14:paraId="630F784D" w14:textId="77777777" w:rsidR="00E255F4" w:rsidRDefault="00000000">
            <w:pPr>
              <w:pStyle w:val="Sinespaciado"/>
              <w:jc w:val="both"/>
              <w:rPr>
                <w:rFonts w:ascii="Times New Roman" w:hAnsi="Times New Roman"/>
                <w:b/>
              </w:rPr>
            </w:pPr>
            <w:r>
              <w:rPr>
                <w:rFonts w:ascii="Times New Roman" w:hAnsi="Times New Roman"/>
                <w:b/>
              </w:rPr>
              <w:t>MICRO, SMALL AND MEDIUM-SIZED ENTERPRISES (</w:t>
            </w:r>
            <w:proofErr w:type="spellStart"/>
            <w:r>
              <w:rPr>
                <w:rFonts w:ascii="Times New Roman" w:hAnsi="Times New Roman"/>
                <w:b/>
              </w:rPr>
              <w:t>MSMEs</w:t>
            </w:r>
            <w:proofErr w:type="spellEnd"/>
            <w:r>
              <w:rPr>
                <w:rFonts w:ascii="Times New Roman" w:hAnsi="Times New Roman"/>
                <w:b/>
              </w:rPr>
              <w:t>)</w:t>
            </w:r>
          </w:p>
          <w:p w14:paraId="638705ED" w14:textId="77777777" w:rsidR="00E255F4" w:rsidRDefault="00E255F4">
            <w:pPr>
              <w:pStyle w:val="Sinespaciado"/>
              <w:jc w:val="both"/>
              <w:rPr>
                <w:rFonts w:ascii="Times New Roman" w:eastAsia="Palatino Linotype" w:hAnsi="Times New Roman"/>
                <w:b/>
                <w:spacing w:val="1"/>
                <w:position w:val="1"/>
              </w:rPr>
            </w:pPr>
          </w:p>
          <w:p w14:paraId="4DFB3AC6" w14:textId="77777777" w:rsidR="00E255F4" w:rsidRDefault="00000000">
            <w:pPr>
              <w:pStyle w:val="Sinespaciado"/>
              <w:jc w:val="both"/>
              <w:rPr>
                <w:rFonts w:ascii="Times New Roman" w:hAnsi="Times New Roman"/>
                <w:b/>
              </w:rPr>
            </w:pPr>
            <w:proofErr w:type="spellStart"/>
            <w:r>
              <w:rPr>
                <w:rFonts w:ascii="Times New Roman" w:eastAsia="Palatino Linotype" w:hAnsi="Times New Roman"/>
                <w:spacing w:val="1"/>
                <w:position w:val="1"/>
              </w:rPr>
              <w:lastRenderedPageBreak/>
              <w:t>To</w:t>
            </w:r>
            <w:proofErr w:type="spellEnd"/>
            <w:r>
              <w:rPr>
                <w:rFonts w:ascii="Times New Roman" w:eastAsia="Palatino Linotype" w:hAnsi="Times New Roman"/>
                <w:spacing w:val="1"/>
                <w:position w:val="1"/>
              </w:rPr>
              <w:t xml:space="preserve"> </w:t>
            </w:r>
            <w:proofErr w:type="spellStart"/>
            <w:r>
              <w:rPr>
                <w:rFonts w:ascii="Times New Roman" w:eastAsia="Palatino Linotype" w:hAnsi="Times New Roman"/>
                <w:spacing w:val="1"/>
                <w:position w:val="1"/>
              </w:rPr>
              <w:t>apply</w:t>
            </w:r>
            <w:proofErr w:type="spellEnd"/>
            <w:r>
              <w:rPr>
                <w:rFonts w:ascii="Times New Roman" w:eastAsia="Palatino Linotype" w:hAnsi="Times New Roman"/>
                <w:spacing w:val="1"/>
                <w:position w:val="1"/>
              </w:rPr>
              <w:t xml:space="preserve"> </w:t>
            </w:r>
            <w:proofErr w:type="spellStart"/>
            <w:r>
              <w:rPr>
                <w:rFonts w:ascii="Times New Roman" w:eastAsia="Palatino Linotype" w:hAnsi="Times New Roman"/>
                <w:spacing w:val="1"/>
                <w:position w:val="1"/>
              </w:rPr>
              <w:t>for</w:t>
            </w:r>
            <w:proofErr w:type="spellEnd"/>
            <w:r>
              <w:rPr>
                <w:rFonts w:ascii="Times New Roman" w:eastAsia="Palatino Linotype" w:hAnsi="Times New Roman"/>
                <w:spacing w:val="1"/>
                <w:position w:val="1"/>
              </w:rPr>
              <w:t xml:space="preserve"> </w:t>
            </w:r>
            <w:proofErr w:type="spellStart"/>
            <w:r>
              <w:rPr>
                <w:rFonts w:ascii="Times New Roman" w:eastAsia="Palatino Linotype" w:hAnsi="Times New Roman"/>
                <w:spacing w:val="1"/>
                <w:position w:val="1"/>
              </w:rPr>
              <w:t>the</w:t>
            </w:r>
            <w:proofErr w:type="spellEnd"/>
            <w:r>
              <w:rPr>
                <w:rFonts w:ascii="Times New Roman" w:eastAsia="Palatino Linotype" w:hAnsi="Times New Roman"/>
                <w:spacing w:val="1"/>
                <w:position w:val="1"/>
              </w:rPr>
              <w:t xml:space="preserve"> </w:t>
            </w:r>
            <w:proofErr w:type="spellStart"/>
            <w:r>
              <w:rPr>
                <w:rFonts w:ascii="Times New Roman" w:eastAsia="Palatino Linotype" w:hAnsi="Times New Roman"/>
                <w:spacing w:val="1"/>
                <w:position w:val="1"/>
              </w:rPr>
              <w:t>benefit</w:t>
            </w:r>
            <w:proofErr w:type="spellEnd"/>
            <w:r>
              <w:rPr>
                <w:rFonts w:ascii="Times New Roman" w:eastAsia="Palatino Linotype" w:hAnsi="Times New Roman"/>
                <w:spacing w:val="1"/>
                <w:position w:val="1"/>
              </w:rPr>
              <w:t xml:space="preserve">, </w:t>
            </w:r>
            <w:proofErr w:type="spellStart"/>
            <w:r>
              <w:rPr>
                <w:rFonts w:ascii="Times New Roman" w:eastAsia="Palatino Linotype" w:hAnsi="Times New Roman"/>
                <w:spacing w:val="1"/>
                <w:position w:val="1"/>
              </w:rPr>
              <w:t>the</w:t>
            </w:r>
            <w:proofErr w:type="spellEnd"/>
            <w:r>
              <w:rPr>
                <w:rFonts w:ascii="Times New Roman" w:eastAsia="Palatino Linotype" w:hAnsi="Times New Roman"/>
                <w:spacing w:val="1"/>
                <w:position w:val="1"/>
              </w:rPr>
              <w:t xml:space="preserve"> </w:t>
            </w:r>
            <w:proofErr w:type="spellStart"/>
            <w:r>
              <w:rPr>
                <w:rFonts w:ascii="Times New Roman" w:eastAsia="Palatino Linotype" w:hAnsi="Times New Roman"/>
                <w:spacing w:val="1"/>
                <w:position w:val="1"/>
              </w:rPr>
              <w:t>bidder</w:t>
            </w:r>
            <w:proofErr w:type="spellEnd"/>
            <w:r>
              <w:rPr>
                <w:rFonts w:ascii="Times New Roman" w:eastAsia="Palatino Linotype" w:hAnsi="Times New Roman"/>
                <w:spacing w:val="1"/>
                <w:position w:val="1"/>
              </w:rPr>
              <w:t xml:space="preserve"> </w:t>
            </w:r>
            <w:proofErr w:type="spellStart"/>
            <w:r>
              <w:rPr>
                <w:rFonts w:ascii="Times New Roman" w:eastAsia="Palatino Linotype" w:hAnsi="Times New Roman"/>
                <w:spacing w:val="1"/>
                <w:position w:val="1"/>
              </w:rPr>
              <w:t>must</w:t>
            </w:r>
            <w:proofErr w:type="spellEnd"/>
            <w:r>
              <w:rPr>
                <w:rFonts w:ascii="Times New Roman" w:eastAsia="Palatino Linotype" w:hAnsi="Times New Roman"/>
                <w:spacing w:val="1"/>
                <w:position w:val="1"/>
              </w:rPr>
              <w:t xml:space="preserve"> </w:t>
            </w:r>
            <w:proofErr w:type="spellStart"/>
            <w:r>
              <w:rPr>
                <w:rFonts w:ascii="Times New Roman" w:eastAsia="Palatino Linotype" w:hAnsi="Times New Roman"/>
                <w:spacing w:val="1"/>
                <w:position w:val="1"/>
              </w:rPr>
              <w:t>submit</w:t>
            </w:r>
            <w:proofErr w:type="spellEnd"/>
            <w:r>
              <w:rPr>
                <w:rFonts w:ascii="Times New Roman" w:eastAsia="Palatino Linotype" w:hAnsi="Times New Roman"/>
                <w:spacing w:val="1"/>
                <w:position w:val="1"/>
              </w:rPr>
              <w:t xml:space="preserve"> </w:t>
            </w:r>
            <w:proofErr w:type="spellStart"/>
            <w:r>
              <w:rPr>
                <w:rFonts w:ascii="Times New Roman" w:eastAsia="Palatino Linotype" w:hAnsi="Times New Roman"/>
                <w:spacing w:val="1"/>
                <w:position w:val="1"/>
              </w:rPr>
              <w:t>together</w:t>
            </w:r>
            <w:proofErr w:type="spellEnd"/>
            <w:r>
              <w:rPr>
                <w:rFonts w:ascii="Times New Roman" w:eastAsia="Palatino Linotype" w:hAnsi="Times New Roman"/>
                <w:spacing w:val="1"/>
                <w:position w:val="1"/>
              </w:rPr>
              <w:t xml:space="preserve"> </w:t>
            </w:r>
            <w:proofErr w:type="spellStart"/>
            <w:r>
              <w:rPr>
                <w:rFonts w:ascii="Times New Roman" w:eastAsia="Palatino Linotype" w:hAnsi="Times New Roman"/>
                <w:spacing w:val="1"/>
                <w:position w:val="1"/>
              </w:rPr>
              <w:t>with</w:t>
            </w:r>
            <w:proofErr w:type="spellEnd"/>
            <w:r>
              <w:rPr>
                <w:rFonts w:ascii="Times New Roman" w:eastAsia="Palatino Linotype" w:hAnsi="Times New Roman"/>
                <w:spacing w:val="1"/>
                <w:position w:val="1"/>
              </w:rPr>
              <w:t xml:space="preserve"> </w:t>
            </w:r>
            <w:proofErr w:type="spellStart"/>
            <w:r>
              <w:rPr>
                <w:rFonts w:ascii="Times New Roman" w:eastAsia="Palatino Linotype" w:hAnsi="Times New Roman"/>
                <w:spacing w:val="1"/>
                <w:position w:val="1"/>
              </w:rPr>
              <w:t>their</w:t>
            </w:r>
            <w:proofErr w:type="spellEnd"/>
            <w:r>
              <w:rPr>
                <w:rFonts w:ascii="Times New Roman" w:eastAsia="Palatino Linotype" w:hAnsi="Times New Roman"/>
                <w:spacing w:val="1"/>
                <w:position w:val="1"/>
              </w:rPr>
              <w:t xml:space="preserve"> </w:t>
            </w:r>
            <w:proofErr w:type="spellStart"/>
            <w:r>
              <w:rPr>
                <w:rFonts w:ascii="Times New Roman" w:eastAsia="Palatino Linotype" w:hAnsi="Times New Roman"/>
                <w:spacing w:val="1"/>
                <w:position w:val="1"/>
              </w:rPr>
              <w:t>bid</w:t>
            </w:r>
            <w:proofErr w:type="spellEnd"/>
            <w:r>
              <w:rPr>
                <w:rFonts w:ascii="Times New Roman" w:eastAsia="Palatino Linotype" w:hAnsi="Times New Roman"/>
                <w:spacing w:val="1"/>
                <w:position w:val="1"/>
              </w:rPr>
              <w:t xml:space="preserve"> </w:t>
            </w:r>
            <w:proofErr w:type="spellStart"/>
            <w:r>
              <w:rPr>
                <w:rFonts w:ascii="Times New Roman" w:eastAsia="Palatino Linotype" w:hAnsi="Times New Roman"/>
                <w:spacing w:val="1"/>
                <w:position w:val="1"/>
              </w:rPr>
              <w:t>the</w:t>
            </w:r>
            <w:proofErr w:type="spellEnd"/>
            <w:r>
              <w:rPr>
                <w:rFonts w:ascii="Times New Roman" w:eastAsia="Palatino Linotype" w:hAnsi="Times New Roman"/>
                <w:spacing w:val="1"/>
                <w:position w:val="1"/>
              </w:rPr>
              <w:t xml:space="preserve"> </w:t>
            </w:r>
            <w:proofErr w:type="spellStart"/>
            <w:r>
              <w:rPr>
                <w:rFonts w:ascii="Times New Roman" w:eastAsia="Palatino Linotype" w:hAnsi="Times New Roman"/>
                <w:spacing w:val="1"/>
                <w:position w:val="1"/>
              </w:rPr>
              <w:t>Certificate</w:t>
            </w:r>
            <w:proofErr w:type="spellEnd"/>
            <w:r>
              <w:rPr>
                <w:rFonts w:ascii="Times New Roman" w:eastAsia="Palatino Linotype" w:hAnsi="Times New Roman"/>
                <w:spacing w:val="1"/>
                <w:position w:val="1"/>
              </w:rPr>
              <w:t xml:space="preserve"> </w:t>
            </w:r>
            <w:proofErr w:type="spellStart"/>
            <w:r>
              <w:rPr>
                <w:rFonts w:ascii="Times New Roman" w:eastAsia="Palatino Linotype" w:hAnsi="Times New Roman"/>
                <w:spacing w:val="1"/>
                <w:position w:val="1"/>
              </w:rPr>
              <w:t>issued</w:t>
            </w:r>
            <w:proofErr w:type="spellEnd"/>
            <w:r>
              <w:rPr>
                <w:rFonts w:ascii="Times New Roman" w:eastAsia="Palatino Linotype" w:hAnsi="Times New Roman"/>
                <w:spacing w:val="1"/>
                <w:position w:val="1"/>
              </w:rPr>
              <w:t xml:space="preserve"> </w:t>
            </w:r>
            <w:proofErr w:type="spellStart"/>
            <w:r>
              <w:rPr>
                <w:rFonts w:ascii="Times New Roman" w:eastAsia="Palatino Linotype" w:hAnsi="Times New Roman"/>
                <w:spacing w:val="1"/>
                <w:position w:val="1"/>
              </w:rPr>
              <w:t>by</w:t>
            </w:r>
            <w:proofErr w:type="spellEnd"/>
            <w:r>
              <w:rPr>
                <w:rFonts w:ascii="Times New Roman" w:eastAsia="Palatino Linotype" w:hAnsi="Times New Roman"/>
                <w:spacing w:val="1"/>
                <w:position w:val="1"/>
              </w:rPr>
              <w:t xml:space="preserve"> </w:t>
            </w:r>
            <w:proofErr w:type="spellStart"/>
            <w:r>
              <w:rPr>
                <w:rFonts w:ascii="Times New Roman" w:eastAsia="Palatino Linotype" w:hAnsi="Times New Roman"/>
                <w:spacing w:val="1"/>
                <w:position w:val="1"/>
              </w:rPr>
              <w:t>Dinapyme</w:t>
            </w:r>
            <w:proofErr w:type="spellEnd"/>
            <w:r>
              <w:rPr>
                <w:rFonts w:ascii="Times New Roman" w:eastAsia="Palatino Linotype" w:hAnsi="Times New Roman"/>
                <w:spacing w:val="1"/>
                <w:position w:val="1"/>
              </w:rPr>
              <w:t xml:space="preserve"> </w:t>
            </w:r>
            <w:proofErr w:type="spellStart"/>
            <w:r>
              <w:rPr>
                <w:rFonts w:ascii="Times New Roman" w:eastAsia="Palatino Linotype" w:hAnsi="Times New Roman"/>
                <w:spacing w:val="1"/>
                <w:position w:val="1"/>
              </w:rPr>
              <w:t>that</w:t>
            </w:r>
            <w:proofErr w:type="spellEnd"/>
            <w:r>
              <w:rPr>
                <w:rFonts w:ascii="Times New Roman" w:eastAsia="Palatino Linotype" w:hAnsi="Times New Roman"/>
                <w:spacing w:val="1"/>
                <w:position w:val="1"/>
              </w:rPr>
              <w:t xml:space="preserve"> </w:t>
            </w:r>
            <w:proofErr w:type="spellStart"/>
            <w:r>
              <w:rPr>
                <w:rFonts w:ascii="Times New Roman" w:eastAsia="Palatino Linotype" w:hAnsi="Times New Roman"/>
                <w:spacing w:val="1"/>
                <w:position w:val="1"/>
              </w:rPr>
              <w:t>accredits</w:t>
            </w:r>
            <w:proofErr w:type="spellEnd"/>
            <w:r>
              <w:rPr>
                <w:rFonts w:ascii="Times New Roman" w:eastAsia="Palatino Linotype" w:hAnsi="Times New Roman"/>
                <w:spacing w:val="1"/>
                <w:position w:val="1"/>
              </w:rPr>
              <w:t xml:space="preserve"> </w:t>
            </w:r>
            <w:proofErr w:type="spellStart"/>
            <w:r>
              <w:rPr>
                <w:rFonts w:ascii="Times New Roman" w:eastAsia="Palatino Linotype" w:hAnsi="Times New Roman"/>
                <w:spacing w:val="1"/>
                <w:position w:val="1"/>
              </w:rPr>
              <w:t>their</w:t>
            </w:r>
            <w:proofErr w:type="spellEnd"/>
            <w:r>
              <w:rPr>
                <w:rFonts w:ascii="Times New Roman" w:eastAsia="Palatino Linotype" w:hAnsi="Times New Roman"/>
                <w:spacing w:val="1"/>
                <w:position w:val="1"/>
              </w:rPr>
              <w:t xml:space="preserve"> </w:t>
            </w:r>
            <w:proofErr w:type="gramStart"/>
            <w:r>
              <w:rPr>
                <w:rFonts w:ascii="Times New Roman" w:eastAsia="Palatino Linotype" w:hAnsi="Times New Roman"/>
                <w:spacing w:val="1"/>
                <w:position w:val="1"/>
              </w:rPr>
              <w:t>status</w:t>
            </w:r>
            <w:proofErr w:type="gramEnd"/>
            <w:r>
              <w:rPr>
                <w:rFonts w:ascii="Times New Roman" w:eastAsia="Palatino Linotype" w:hAnsi="Times New Roman"/>
                <w:spacing w:val="1"/>
                <w:position w:val="1"/>
              </w:rPr>
              <w:t xml:space="preserve"> as a MSME and </w:t>
            </w:r>
            <w:proofErr w:type="spellStart"/>
            <w:r>
              <w:rPr>
                <w:rFonts w:ascii="Times New Roman" w:eastAsia="Palatino Linotype" w:hAnsi="Times New Roman"/>
                <w:spacing w:val="1"/>
                <w:position w:val="1"/>
              </w:rPr>
              <w:t>their</w:t>
            </w:r>
            <w:proofErr w:type="spellEnd"/>
            <w:r>
              <w:rPr>
                <w:rFonts w:ascii="Times New Roman" w:eastAsia="Palatino Linotype" w:hAnsi="Times New Roman"/>
                <w:spacing w:val="1"/>
                <w:position w:val="1"/>
              </w:rPr>
              <w:t xml:space="preserve"> </w:t>
            </w:r>
            <w:proofErr w:type="spellStart"/>
            <w:r>
              <w:rPr>
                <w:rFonts w:ascii="Times New Roman" w:eastAsia="Palatino Linotype" w:hAnsi="Times New Roman"/>
                <w:spacing w:val="1"/>
                <w:position w:val="1"/>
              </w:rPr>
              <w:t>participation</w:t>
            </w:r>
            <w:proofErr w:type="spellEnd"/>
            <w:r>
              <w:rPr>
                <w:rFonts w:ascii="Times New Roman" w:eastAsia="Palatino Linotype" w:hAnsi="Times New Roman"/>
                <w:spacing w:val="1"/>
                <w:position w:val="1"/>
              </w:rPr>
              <w:t xml:space="preserve"> in </w:t>
            </w:r>
            <w:proofErr w:type="spellStart"/>
            <w:r>
              <w:rPr>
                <w:rFonts w:ascii="Times New Roman" w:eastAsia="Palatino Linotype" w:hAnsi="Times New Roman"/>
                <w:spacing w:val="1"/>
                <w:position w:val="1"/>
              </w:rPr>
              <w:t>the</w:t>
            </w:r>
            <w:proofErr w:type="spellEnd"/>
            <w:r>
              <w:rPr>
                <w:rFonts w:ascii="Times New Roman" w:eastAsia="Palatino Linotype" w:hAnsi="Times New Roman"/>
                <w:spacing w:val="1"/>
                <w:position w:val="1"/>
              </w:rPr>
              <w:t xml:space="preserve"> </w:t>
            </w:r>
            <w:proofErr w:type="spellStart"/>
            <w:r>
              <w:rPr>
                <w:rFonts w:ascii="Times New Roman" w:eastAsia="Palatino Linotype" w:hAnsi="Times New Roman"/>
                <w:spacing w:val="1"/>
                <w:position w:val="1"/>
              </w:rPr>
              <w:t>Contracting</w:t>
            </w:r>
            <w:proofErr w:type="spellEnd"/>
            <w:r>
              <w:rPr>
                <w:rFonts w:ascii="Times New Roman" w:eastAsia="Palatino Linotype" w:hAnsi="Times New Roman"/>
                <w:spacing w:val="1"/>
                <w:position w:val="1"/>
              </w:rPr>
              <w:t xml:space="preserve"> </w:t>
            </w:r>
            <w:proofErr w:type="spellStart"/>
            <w:r>
              <w:rPr>
                <w:rFonts w:ascii="Times New Roman" w:eastAsia="Palatino Linotype" w:hAnsi="Times New Roman"/>
                <w:spacing w:val="1"/>
                <w:position w:val="1"/>
              </w:rPr>
              <w:t>Subprogram</w:t>
            </w:r>
            <w:proofErr w:type="spellEnd"/>
            <w:r>
              <w:rPr>
                <w:rFonts w:ascii="Times New Roman" w:eastAsia="Palatino Linotype" w:hAnsi="Times New Roman"/>
                <w:spacing w:val="1"/>
                <w:position w:val="1"/>
              </w:rPr>
              <w:t xml:space="preserve"> </w:t>
            </w:r>
            <w:proofErr w:type="spellStart"/>
            <w:r>
              <w:rPr>
                <w:rFonts w:ascii="Times New Roman" w:eastAsia="Palatino Linotype" w:hAnsi="Times New Roman"/>
                <w:spacing w:val="1"/>
                <w:position w:val="1"/>
              </w:rPr>
              <w:t>for</w:t>
            </w:r>
            <w:proofErr w:type="spellEnd"/>
            <w:r>
              <w:rPr>
                <w:rFonts w:ascii="Times New Roman" w:eastAsia="Palatino Linotype" w:hAnsi="Times New Roman"/>
                <w:spacing w:val="1"/>
                <w:position w:val="1"/>
              </w:rPr>
              <w:t xml:space="preserve"> </w:t>
            </w:r>
            <w:proofErr w:type="spellStart"/>
            <w:r>
              <w:rPr>
                <w:rFonts w:ascii="Times New Roman" w:eastAsia="Palatino Linotype" w:hAnsi="Times New Roman"/>
                <w:spacing w:val="1"/>
                <w:position w:val="1"/>
              </w:rPr>
              <w:t>Development</w:t>
            </w:r>
            <w:proofErr w:type="spellEnd"/>
            <w:r>
              <w:rPr>
                <w:rFonts w:ascii="Times New Roman" w:eastAsia="Palatino Linotype" w:hAnsi="Times New Roman"/>
                <w:spacing w:val="1"/>
                <w:position w:val="1"/>
              </w:rPr>
              <w:t xml:space="preserve"> (Arts. 2 and 5, and </w:t>
            </w:r>
            <w:proofErr w:type="spellStart"/>
            <w:r>
              <w:rPr>
                <w:rFonts w:ascii="Times New Roman" w:eastAsia="Palatino Linotype" w:hAnsi="Times New Roman"/>
                <w:spacing w:val="1"/>
                <w:position w:val="1"/>
              </w:rPr>
              <w:t>related</w:t>
            </w:r>
            <w:proofErr w:type="spellEnd"/>
            <w:r>
              <w:rPr>
                <w:rFonts w:ascii="Times New Roman" w:eastAsia="Palatino Linotype" w:hAnsi="Times New Roman"/>
                <w:spacing w:val="1"/>
                <w:position w:val="1"/>
              </w:rPr>
              <w:t xml:space="preserve"> </w:t>
            </w:r>
            <w:proofErr w:type="spellStart"/>
            <w:r>
              <w:rPr>
                <w:rFonts w:ascii="Times New Roman" w:eastAsia="Palatino Linotype" w:hAnsi="Times New Roman"/>
                <w:spacing w:val="1"/>
                <w:position w:val="1"/>
              </w:rPr>
              <w:t>articles</w:t>
            </w:r>
            <w:proofErr w:type="spellEnd"/>
            <w:r>
              <w:rPr>
                <w:rFonts w:ascii="Times New Roman" w:eastAsia="Palatino Linotype" w:hAnsi="Times New Roman"/>
                <w:spacing w:val="1"/>
                <w:position w:val="1"/>
              </w:rPr>
              <w:t xml:space="preserve"> </w:t>
            </w:r>
            <w:proofErr w:type="spellStart"/>
            <w:r>
              <w:rPr>
                <w:rFonts w:ascii="Times New Roman" w:eastAsia="Palatino Linotype" w:hAnsi="Times New Roman"/>
                <w:spacing w:val="1"/>
                <w:position w:val="1"/>
              </w:rPr>
              <w:t>of</w:t>
            </w:r>
            <w:proofErr w:type="spellEnd"/>
            <w:r>
              <w:rPr>
                <w:rFonts w:ascii="Times New Roman" w:eastAsia="Palatino Linotype" w:hAnsi="Times New Roman"/>
                <w:spacing w:val="1"/>
                <w:position w:val="1"/>
              </w:rPr>
              <w:t xml:space="preserve"> Decree No. 371/010).</w:t>
            </w:r>
          </w:p>
          <w:p w14:paraId="3A0AAA6D" w14:textId="77777777" w:rsidR="00E255F4" w:rsidRDefault="00E255F4">
            <w:pPr>
              <w:ind w:right="-36"/>
              <w:jc w:val="both"/>
              <w:rPr>
                <w:rFonts w:eastAsia="Palatino Linotype"/>
                <w:b/>
                <w:spacing w:val="1"/>
                <w:position w:val="1"/>
                <w:sz w:val="22"/>
                <w:szCs w:val="22"/>
                <w:lang w:val="es-ES"/>
              </w:rPr>
            </w:pPr>
          </w:p>
          <w:p w14:paraId="4638F209" w14:textId="77777777" w:rsidR="00E255F4" w:rsidRDefault="00000000">
            <w:pPr>
              <w:ind w:right="-36"/>
              <w:jc w:val="both"/>
              <w:rPr>
                <w:rFonts w:eastAsia="Palatino Linotype"/>
                <w:spacing w:val="1"/>
                <w:position w:val="1"/>
                <w:sz w:val="22"/>
                <w:szCs w:val="22"/>
                <w:lang w:val="es-ES"/>
              </w:rPr>
            </w:pPr>
            <w:r>
              <w:rPr>
                <w:rFonts w:eastAsia="Palatino Linotype"/>
                <w:spacing w:val="1"/>
                <w:position w:val="1"/>
                <w:sz w:val="22"/>
                <w:szCs w:val="22"/>
                <w:lang w:val="es-ES"/>
              </w:rPr>
              <w:t xml:space="preserve">The </w:t>
            </w:r>
            <w:proofErr w:type="spellStart"/>
            <w:r>
              <w:rPr>
                <w:rFonts w:eastAsia="Palatino Linotype"/>
                <w:spacing w:val="1"/>
                <w:position w:val="1"/>
                <w:sz w:val="22"/>
                <w:szCs w:val="22"/>
                <w:lang w:val="es-ES"/>
              </w:rPr>
              <w:t>market</w:t>
            </w:r>
            <w:proofErr w:type="spellEnd"/>
            <w:r>
              <w:rPr>
                <w:rFonts w:eastAsia="Palatino Linotype"/>
                <w:spacing w:val="1"/>
                <w:position w:val="1"/>
                <w:sz w:val="22"/>
                <w:szCs w:val="22"/>
                <w:lang w:val="es-ES"/>
              </w:rPr>
              <w:t xml:space="preserve"> reserve </w:t>
            </w:r>
            <w:proofErr w:type="spellStart"/>
            <w:r>
              <w:rPr>
                <w:rFonts w:eastAsia="Palatino Linotype"/>
                <w:spacing w:val="1"/>
                <w:position w:val="1"/>
                <w:sz w:val="22"/>
                <w:szCs w:val="22"/>
                <w:lang w:val="es-ES"/>
              </w:rPr>
              <w:t>does</w:t>
            </w:r>
            <w:proofErr w:type="spellEnd"/>
            <w:r>
              <w:rPr>
                <w:rFonts w:eastAsia="Palatino Linotype"/>
                <w:spacing w:val="1"/>
                <w:position w:val="1"/>
                <w:sz w:val="22"/>
                <w:szCs w:val="22"/>
                <w:lang w:val="es-ES"/>
              </w:rPr>
              <w:t xml:space="preserve"> </w:t>
            </w:r>
            <w:proofErr w:type="spellStart"/>
            <w:r>
              <w:rPr>
                <w:rFonts w:eastAsia="Palatino Linotype"/>
                <w:spacing w:val="1"/>
                <w:position w:val="1"/>
                <w:sz w:val="22"/>
                <w:szCs w:val="22"/>
                <w:lang w:val="es-ES"/>
              </w:rPr>
              <w:t>not</w:t>
            </w:r>
            <w:proofErr w:type="spellEnd"/>
            <w:r>
              <w:rPr>
                <w:rFonts w:eastAsia="Palatino Linotype"/>
                <w:spacing w:val="1"/>
                <w:position w:val="1"/>
                <w:sz w:val="22"/>
                <w:szCs w:val="22"/>
                <w:lang w:val="es-ES"/>
              </w:rPr>
              <w:t xml:space="preserve"> </w:t>
            </w:r>
            <w:proofErr w:type="spellStart"/>
            <w:r>
              <w:rPr>
                <w:rFonts w:eastAsia="Palatino Linotype"/>
                <w:spacing w:val="1"/>
                <w:position w:val="1"/>
                <w:sz w:val="22"/>
                <w:szCs w:val="22"/>
                <w:lang w:val="es-ES"/>
              </w:rPr>
              <w:t>apply</w:t>
            </w:r>
            <w:proofErr w:type="spellEnd"/>
            <w:r>
              <w:rPr>
                <w:rFonts w:eastAsia="Palatino Linotype"/>
                <w:spacing w:val="1"/>
                <w:position w:val="1"/>
                <w:sz w:val="22"/>
                <w:szCs w:val="22"/>
                <w:lang w:val="es-ES"/>
              </w:rPr>
              <w:t>.</w:t>
            </w:r>
          </w:p>
        </w:tc>
      </w:tr>
      <w:tr w:rsidR="00E255F4" w14:paraId="67354C83" w14:textId="77777777">
        <w:trPr>
          <w:trHeight w:val="2693"/>
        </w:trPr>
        <w:tc>
          <w:tcPr>
            <w:tcW w:w="730" w:type="dxa"/>
            <w:tcBorders>
              <w:top w:val="single" w:sz="4" w:space="0" w:color="000000"/>
              <w:left w:val="single" w:sz="4" w:space="0" w:color="000000"/>
              <w:bottom w:val="single" w:sz="4" w:space="0" w:color="000000"/>
              <w:right w:val="single" w:sz="4" w:space="0" w:color="000000"/>
            </w:tcBorders>
          </w:tcPr>
          <w:p w14:paraId="478D1CF0" w14:textId="77777777" w:rsidR="00E255F4" w:rsidRDefault="00000000">
            <w:pPr>
              <w:ind w:right="-36"/>
              <w:jc w:val="both"/>
              <w:rPr>
                <w:rFonts w:eastAsia="Palatino Linotype"/>
                <w:sz w:val="22"/>
                <w:szCs w:val="22"/>
                <w:lang w:val="es-ES"/>
              </w:rPr>
            </w:pPr>
            <w:r>
              <w:rPr>
                <w:rFonts w:eastAsia="Palatino Linotype"/>
                <w:b/>
                <w:sz w:val="22"/>
                <w:szCs w:val="22"/>
                <w:lang w:val="es-ES"/>
              </w:rPr>
              <w:lastRenderedPageBreak/>
              <w:t>11</w:t>
            </w:r>
          </w:p>
        </w:tc>
        <w:tc>
          <w:tcPr>
            <w:tcW w:w="9048" w:type="dxa"/>
            <w:tcBorders>
              <w:top w:val="single" w:sz="4" w:space="0" w:color="000000"/>
              <w:left w:val="single" w:sz="4" w:space="0" w:color="000000"/>
              <w:bottom w:val="single" w:sz="4" w:space="0" w:color="000000"/>
              <w:right w:val="single" w:sz="4" w:space="0" w:color="000000"/>
            </w:tcBorders>
          </w:tcPr>
          <w:p w14:paraId="0B9BF46A" w14:textId="77777777" w:rsidR="00E255F4" w:rsidRDefault="00000000">
            <w:pPr>
              <w:tabs>
                <w:tab w:val="left" w:pos="-1800"/>
                <w:tab w:val="left" w:pos="-720"/>
                <w:tab w:val="left" w:pos="426"/>
              </w:tabs>
              <w:jc w:val="both"/>
              <w:rPr>
                <w:rFonts w:eastAsia="Palatino Linotype"/>
                <w:b/>
                <w:spacing w:val="-1"/>
                <w:position w:val="1"/>
                <w:sz w:val="22"/>
                <w:szCs w:val="22"/>
                <w:lang w:val="es-ES"/>
              </w:rPr>
            </w:pPr>
            <w:r>
              <w:rPr>
                <w:rFonts w:eastAsia="Palatino Linotype"/>
                <w:b/>
                <w:spacing w:val="-1"/>
                <w:position w:val="1"/>
                <w:sz w:val="22"/>
                <w:szCs w:val="22"/>
                <w:lang w:val="es-ES"/>
              </w:rPr>
              <w:t xml:space="preserve">Offer </w:t>
            </w:r>
            <w:proofErr w:type="spellStart"/>
            <w:r>
              <w:rPr>
                <w:rFonts w:eastAsia="Palatino Linotype"/>
                <w:b/>
                <w:spacing w:val="-1"/>
                <w:position w:val="1"/>
                <w:sz w:val="22"/>
                <w:szCs w:val="22"/>
                <w:lang w:val="es-ES"/>
              </w:rPr>
              <w:t>Maintenance</w:t>
            </w:r>
            <w:proofErr w:type="spellEnd"/>
            <w:r>
              <w:rPr>
                <w:rFonts w:eastAsia="Palatino Linotype"/>
                <w:b/>
                <w:spacing w:val="-1"/>
                <w:position w:val="1"/>
                <w:sz w:val="22"/>
                <w:szCs w:val="22"/>
                <w:lang w:val="es-ES"/>
              </w:rPr>
              <w:t xml:space="preserve"> </w:t>
            </w:r>
            <w:proofErr w:type="spellStart"/>
            <w:r>
              <w:rPr>
                <w:rFonts w:eastAsia="Palatino Linotype"/>
                <w:b/>
                <w:spacing w:val="-1"/>
                <w:position w:val="1"/>
                <w:sz w:val="22"/>
                <w:szCs w:val="22"/>
                <w:lang w:val="es-ES"/>
              </w:rPr>
              <w:t>Guarantee</w:t>
            </w:r>
            <w:proofErr w:type="spellEnd"/>
          </w:p>
          <w:p w14:paraId="78FC3616" w14:textId="77777777" w:rsidR="00E255F4" w:rsidRDefault="00E255F4">
            <w:pPr>
              <w:tabs>
                <w:tab w:val="left" w:pos="-1800"/>
                <w:tab w:val="left" w:pos="-720"/>
                <w:tab w:val="left" w:pos="426"/>
              </w:tabs>
              <w:jc w:val="both"/>
              <w:rPr>
                <w:rFonts w:eastAsia="Palatino Linotype"/>
                <w:b/>
                <w:spacing w:val="-1"/>
                <w:position w:val="1"/>
                <w:sz w:val="22"/>
                <w:szCs w:val="22"/>
                <w:lang w:val="es-ES"/>
              </w:rPr>
            </w:pPr>
          </w:p>
          <w:p w14:paraId="7EB3D0F1" w14:textId="77777777" w:rsidR="00E255F4" w:rsidRDefault="00000000">
            <w:pPr>
              <w:jc w:val="both"/>
              <w:rPr>
                <w:rFonts w:eastAsia="Palatino Linotype"/>
                <w:spacing w:val="-1"/>
                <w:position w:val="1"/>
                <w:sz w:val="22"/>
                <w:szCs w:val="22"/>
                <w:lang w:val="es-ES"/>
              </w:rPr>
            </w:pPr>
            <w:r>
              <w:rPr>
                <w:rFonts w:eastAsia="Palatino Linotype"/>
                <w:spacing w:val="-1"/>
                <w:position w:val="1"/>
                <w:sz w:val="22"/>
                <w:szCs w:val="22"/>
                <w:lang w:val="es-ES"/>
              </w:rPr>
              <w:t xml:space="preserve">The </w:t>
            </w:r>
            <w:proofErr w:type="gramStart"/>
            <w:r>
              <w:rPr>
                <w:rFonts w:eastAsia="Palatino Linotype"/>
                <w:spacing w:val="-1"/>
                <w:position w:val="1"/>
                <w:sz w:val="22"/>
                <w:szCs w:val="22"/>
                <w:lang w:val="es-ES"/>
              </w:rPr>
              <w:t>establishment</w:t>
            </w:r>
            <w:proofErr w:type="gramEnd"/>
            <w:r>
              <w:rPr>
                <w:rFonts w:eastAsia="Palatino Linotype"/>
                <w:spacing w:val="-1"/>
                <w:position w:val="1"/>
                <w:sz w:val="22"/>
                <w:szCs w:val="22"/>
                <w:lang w:val="es-ES"/>
              </w:rPr>
              <w:t xml:space="preserve"> </w:t>
            </w:r>
            <w:proofErr w:type="spellStart"/>
            <w:r>
              <w:rPr>
                <w:rFonts w:eastAsia="Palatino Linotype"/>
                <w:spacing w:val="-1"/>
                <w:position w:val="1"/>
                <w:sz w:val="22"/>
                <w:szCs w:val="22"/>
                <w:lang w:val="es-ES"/>
              </w:rPr>
              <w:t>of</w:t>
            </w:r>
            <w:proofErr w:type="spellEnd"/>
            <w:r>
              <w:rPr>
                <w:rFonts w:eastAsia="Palatino Linotype"/>
                <w:spacing w:val="-1"/>
                <w:position w:val="1"/>
                <w:sz w:val="22"/>
                <w:szCs w:val="22"/>
                <w:lang w:val="es-ES"/>
              </w:rPr>
              <w:t xml:space="preserve"> a </w:t>
            </w:r>
            <w:proofErr w:type="spellStart"/>
            <w:r>
              <w:rPr>
                <w:rFonts w:eastAsia="Palatino Linotype"/>
                <w:spacing w:val="-1"/>
                <w:position w:val="1"/>
                <w:sz w:val="22"/>
                <w:szCs w:val="22"/>
                <w:lang w:val="es-ES"/>
              </w:rPr>
              <w:t>Bid</w:t>
            </w:r>
            <w:proofErr w:type="spellEnd"/>
            <w:r>
              <w:rPr>
                <w:rFonts w:eastAsia="Palatino Linotype"/>
                <w:spacing w:val="-1"/>
                <w:position w:val="1"/>
                <w:sz w:val="22"/>
                <w:szCs w:val="22"/>
                <w:lang w:val="es-ES"/>
              </w:rPr>
              <w:t xml:space="preserve"> </w:t>
            </w:r>
            <w:proofErr w:type="spellStart"/>
            <w:r>
              <w:rPr>
                <w:rFonts w:eastAsia="Palatino Linotype"/>
                <w:spacing w:val="-1"/>
                <w:position w:val="1"/>
                <w:sz w:val="22"/>
                <w:szCs w:val="22"/>
                <w:lang w:val="es-ES"/>
              </w:rPr>
              <w:t>Maintenance</w:t>
            </w:r>
            <w:proofErr w:type="spellEnd"/>
            <w:r>
              <w:rPr>
                <w:rFonts w:eastAsia="Palatino Linotype"/>
                <w:spacing w:val="-1"/>
                <w:position w:val="1"/>
                <w:sz w:val="22"/>
                <w:szCs w:val="22"/>
                <w:lang w:val="es-ES"/>
              </w:rPr>
              <w:t xml:space="preserve"> </w:t>
            </w:r>
            <w:proofErr w:type="spellStart"/>
            <w:r>
              <w:rPr>
                <w:rFonts w:eastAsia="Palatino Linotype"/>
                <w:spacing w:val="-1"/>
                <w:position w:val="1"/>
                <w:sz w:val="22"/>
                <w:szCs w:val="22"/>
                <w:lang w:val="es-ES"/>
              </w:rPr>
              <w:t>Guarantee</w:t>
            </w:r>
            <w:proofErr w:type="spellEnd"/>
            <w:r>
              <w:rPr>
                <w:rFonts w:eastAsia="Palatino Linotype"/>
                <w:spacing w:val="-1"/>
                <w:position w:val="1"/>
                <w:sz w:val="22"/>
                <w:szCs w:val="22"/>
                <w:lang w:val="es-ES"/>
              </w:rPr>
              <w:t xml:space="preserve"> </w:t>
            </w:r>
            <w:proofErr w:type="spellStart"/>
            <w:r>
              <w:rPr>
                <w:rFonts w:eastAsia="Palatino Linotype"/>
                <w:spacing w:val="-1"/>
                <w:position w:val="1"/>
                <w:sz w:val="22"/>
                <w:szCs w:val="22"/>
                <w:lang w:val="es-ES"/>
              </w:rPr>
              <w:t>is</w:t>
            </w:r>
            <w:proofErr w:type="spellEnd"/>
            <w:r>
              <w:rPr>
                <w:rFonts w:eastAsia="Palatino Linotype"/>
                <w:spacing w:val="-1"/>
                <w:position w:val="1"/>
                <w:sz w:val="22"/>
                <w:szCs w:val="22"/>
                <w:lang w:val="es-ES"/>
              </w:rPr>
              <w:t xml:space="preserve"> </w:t>
            </w:r>
            <w:proofErr w:type="spellStart"/>
            <w:r>
              <w:rPr>
                <w:rFonts w:eastAsia="Palatino Linotype"/>
                <w:spacing w:val="-1"/>
                <w:position w:val="1"/>
                <w:sz w:val="22"/>
                <w:szCs w:val="22"/>
                <w:lang w:val="es-ES"/>
              </w:rPr>
              <w:t>not</w:t>
            </w:r>
            <w:proofErr w:type="spellEnd"/>
            <w:r>
              <w:rPr>
                <w:rFonts w:eastAsia="Palatino Linotype"/>
                <w:spacing w:val="-1"/>
                <w:position w:val="1"/>
                <w:sz w:val="22"/>
                <w:szCs w:val="22"/>
                <w:lang w:val="es-ES"/>
              </w:rPr>
              <w:t xml:space="preserve"> </w:t>
            </w:r>
            <w:proofErr w:type="spellStart"/>
            <w:r>
              <w:rPr>
                <w:rFonts w:eastAsia="Palatino Linotype"/>
                <w:spacing w:val="-1"/>
                <w:position w:val="1"/>
                <w:sz w:val="22"/>
                <w:szCs w:val="22"/>
                <w:lang w:val="es-ES"/>
              </w:rPr>
              <w:t>mandatory</w:t>
            </w:r>
            <w:proofErr w:type="spellEnd"/>
            <w:r>
              <w:rPr>
                <w:rFonts w:eastAsia="Palatino Linotype"/>
                <w:spacing w:val="-1"/>
                <w:position w:val="1"/>
                <w:sz w:val="22"/>
                <w:szCs w:val="22"/>
                <w:lang w:val="es-ES"/>
              </w:rPr>
              <w:t>.</w:t>
            </w:r>
          </w:p>
          <w:p w14:paraId="53639D91" w14:textId="77777777" w:rsidR="00E255F4" w:rsidRDefault="00E255F4">
            <w:pPr>
              <w:jc w:val="both"/>
              <w:rPr>
                <w:rFonts w:eastAsia="Palatino Linotype"/>
                <w:spacing w:val="-1"/>
                <w:position w:val="1"/>
                <w:sz w:val="22"/>
                <w:szCs w:val="22"/>
                <w:lang w:val="es-ES"/>
              </w:rPr>
            </w:pPr>
          </w:p>
          <w:p w14:paraId="2FA0B2CC" w14:textId="77777777" w:rsidR="00E255F4" w:rsidRDefault="00000000">
            <w:pPr>
              <w:pStyle w:val="Default"/>
              <w:jc w:val="both"/>
            </w:pPr>
            <w:r>
              <w:rPr>
                <w:rFonts w:ascii="Times New Roman" w:eastAsia="Palatino Linotype" w:hAnsi="Times New Roman" w:cs="Times New Roman"/>
                <w:spacing w:val="-1"/>
                <w:position w:val="1"/>
                <w:sz w:val="22"/>
                <w:szCs w:val="22"/>
              </w:rPr>
              <w:t xml:space="preserve">In </w:t>
            </w:r>
            <w:proofErr w:type="spellStart"/>
            <w:r>
              <w:rPr>
                <w:rFonts w:ascii="Times New Roman" w:eastAsia="Palatino Linotype" w:hAnsi="Times New Roman" w:cs="Times New Roman"/>
                <w:spacing w:val="-1"/>
                <w:position w:val="1"/>
                <w:sz w:val="22"/>
                <w:szCs w:val="22"/>
              </w:rPr>
              <w:t>the</w:t>
            </w:r>
            <w:proofErr w:type="spellEnd"/>
            <w:r>
              <w:rPr>
                <w:rFonts w:ascii="Times New Roman" w:eastAsia="Palatino Linotype" w:hAnsi="Times New Roman" w:cs="Times New Roman"/>
                <w:spacing w:val="-1"/>
                <w:position w:val="1"/>
                <w:sz w:val="22"/>
                <w:szCs w:val="22"/>
              </w:rPr>
              <w:t xml:space="preserve"> </w:t>
            </w:r>
            <w:proofErr w:type="spellStart"/>
            <w:r>
              <w:rPr>
                <w:rFonts w:ascii="Times New Roman" w:eastAsia="Palatino Linotype" w:hAnsi="Times New Roman" w:cs="Times New Roman"/>
                <w:spacing w:val="-1"/>
                <w:position w:val="1"/>
                <w:sz w:val="22"/>
                <w:szCs w:val="22"/>
              </w:rPr>
              <w:t>event</w:t>
            </w:r>
            <w:proofErr w:type="spellEnd"/>
            <w:r>
              <w:rPr>
                <w:rFonts w:ascii="Times New Roman" w:eastAsia="Palatino Linotype" w:hAnsi="Times New Roman" w:cs="Times New Roman"/>
                <w:spacing w:val="-1"/>
                <w:position w:val="1"/>
                <w:sz w:val="22"/>
                <w:szCs w:val="22"/>
              </w:rPr>
              <w:t xml:space="preserve"> </w:t>
            </w:r>
            <w:proofErr w:type="spellStart"/>
            <w:r>
              <w:rPr>
                <w:rFonts w:ascii="Times New Roman" w:eastAsia="Palatino Linotype" w:hAnsi="Times New Roman" w:cs="Times New Roman"/>
                <w:spacing w:val="-1"/>
                <w:position w:val="1"/>
                <w:sz w:val="22"/>
                <w:szCs w:val="22"/>
              </w:rPr>
              <w:t>that</w:t>
            </w:r>
            <w:proofErr w:type="spellEnd"/>
            <w:r>
              <w:rPr>
                <w:rFonts w:ascii="Times New Roman" w:eastAsia="Palatino Linotype" w:hAnsi="Times New Roman" w:cs="Times New Roman"/>
                <w:spacing w:val="-1"/>
                <w:position w:val="1"/>
                <w:sz w:val="22"/>
                <w:szCs w:val="22"/>
              </w:rPr>
              <w:t xml:space="preserve"> </w:t>
            </w:r>
            <w:proofErr w:type="spellStart"/>
            <w:r>
              <w:rPr>
                <w:rFonts w:ascii="Times New Roman" w:eastAsia="Palatino Linotype" w:hAnsi="Times New Roman" w:cs="Times New Roman"/>
                <w:spacing w:val="-1"/>
                <w:position w:val="1"/>
                <w:sz w:val="22"/>
                <w:szCs w:val="22"/>
              </w:rPr>
              <w:t>the</w:t>
            </w:r>
            <w:proofErr w:type="spellEnd"/>
            <w:r>
              <w:rPr>
                <w:rFonts w:ascii="Times New Roman" w:eastAsia="Palatino Linotype" w:hAnsi="Times New Roman" w:cs="Times New Roman"/>
                <w:spacing w:val="-1"/>
                <w:position w:val="1"/>
                <w:sz w:val="22"/>
                <w:szCs w:val="22"/>
              </w:rPr>
              <w:t xml:space="preserve"> </w:t>
            </w:r>
            <w:proofErr w:type="spellStart"/>
            <w:r>
              <w:rPr>
                <w:rFonts w:ascii="Times New Roman" w:eastAsia="Palatino Linotype" w:hAnsi="Times New Roman" w:cs="Times New Roman"/>
                <w:spacing w:val="-1"/>
                <w:position w:val="1"/>
                <w:sz w:val="22"/>
                <w:szCs w:val="22"/>
              </w:rPr>
              <w:t>bidder</w:t>
            </w:r>
            <w:r>
              <w:rPr>
                <w:rFonts w:ascii="Times New Roman" w:hAnsi="Times New Roman" w:cs="Times New Roman"/>
                <w:sz w:val="22"/>
                <w:szCs w:val="22"/>
              </w:rPr>
              <w:t>Failure</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to</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maintain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your</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offer</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will</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result</w:t>
            </w:r>
            <w:proofErr w:type="spellEnd"/>
            <w:r>
              <w:rPr>
                <w:rFonts w:ascii="Times New Roman" w:hAnsi="Times New Roman" w:cs="Times New Roman"/>
                <w:sz w:val="22"/>
                <w:szCs w:val="22"/>
              </w:rPr>
              <w:t xml:space="preserve"> in a fine </w:t>
            </w:r>
            <w:proofErr w:type="spellStart"/>
            <w:r>
              <w:rPr>
                <w:rFonts w:ascii="Times New Roman" w:hAnsi="Times New Roman" w:cs="Times New Roman"/>
                <w:sz w:val="22"/>
                <w:szCs w:val="22"/>
              </w:rPr>
              <w:t>equivalent</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to</w:t>
            </w:r>
            <w:proofErr w:type="spellEnd"/>
            <w:r>
              <w:rPr>
                <w:rFonts w:ascii="Times New Roman" w:hAnsi="Times New Roman" w:cs="Times New Roman"/>
                <w:sz w:val="22"/>
                <w:szCs w:val="22"/>
              </w:rPr>
              <w:t xml:space="preserve"> 5% </w:t>
            </w:r>
            <w:proofErr w:type="spellStart"/>
            <w:r>
              <w:rPr>
                <w:rFonts w:ascii="Times New Roman" w:hAnsi="Times New Roman" w:cs="Times New Roman"/>
                <w:sz w:val="22"/>
                <w:szCs w:val="22"/>
              </w:rPr>
              <w:t>of</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the</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maximum</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amount</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of</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your</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offer</w:t>
            </w:r>
            <w:proofErr w:type="spellEnd"/>
            <w:r>
              <w:rPr>
                <w:rFonts w:ascii="Times New Roman" w:hAnsi="Times New Roman" w:cs="Times New Roman"/>
                <w:sz w:val="22"/>
                <w:szCs w:val="22"/>
              </w:rPr>
              <w:t>.</w:t>
            </w:r>
          </w:p>
          <w:p w14:paraId="42F7FDE6" w14:textId="77777777" w:rsidR="00E255F4" w:rsidRDefault="00E255F4">
            <w:pPr>
              <w:pStyle w:val="Default"/>
              <w:jc w:val="both"/>
              <w:rPr>
                <w:rFonts w:ascii="Times New Roman" w:hAnsi="Times New Roman" w:cs="Times New Roman"/>
                <w:sz w:val="22"/>
                <w:szCs w:val="22"/>
              </w:rPr>
            </w:pPr>
          </w:p>
          <w:p w14:paraId="3ED42677" w14:textId="77777777" w:rsidR="00E255F4" w:rsidRDefault="00000000">
            <w:pPr>
              <w:pStyle w:val="Default"/>
              <w:jc w:val="both"/>
            </w:pPr>
            <w:r>
              <w:rPr>
                <w:rFonts w:ascii="Times New Roman" w:hAnsi="Times New Roman" w:cs="Times New Roman"/>
                <w:sz w:val="22"/>
                <w:szCs w:val="22"/>
              </w:rPr>
              <w:t xml:space="preserve">The administrative </w:t>
            </w:r>
            <w:proofErr w:type="spellStart"/>
            <w:r>
              <w:rPr>
                <w:rFonts w:ascii="Times New Roman" w:hAnsi="Times New Roman" w:cs="Times New Roman"/>
                <w:sz w:val="22"/>
                <w:szCs w:val="22"/>
              </w:rPr>
              <w:t>act</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or</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resolution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imposing</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the</w:t>
            </w:r>
            <w:proofErr w:type="spellEnd"/>
            <w:r>
              <w:rPr>
                <w:rFonts w:ascii="Times New Roman" w:hAnsi="Times New Roman" w:cs="Times New Roman"/>
                <w:sz w:val="22"/>
                <w:szCs w:val="22"/>
              </w:rPr>
              <w:t xml:space="preserve"> fine </w:t>
            </w:r>
            <w:proofErr w:type="spellStart"/>
            <w:r>
              <w:rPr>
                <w:rFonts w:ascii="Times New Roman" w:hAnsi="Times New Roman" w:cs="Times New Roman"/>
                <w:sz w:val="22"/>
                <w:szCs w:val="22"/>
              </w:rPr>
              <w:t>shall</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constitute</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an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enforceable</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instrument</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without</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prejudice</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to</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compensation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for</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any</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damages</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that</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said</w:t>
            </w:r>
            <w:proofErr w:type="spellEnd"/>
            <w:r>
              <w:rPr>
                <w:rFonts w:ascii="Times New Roman" w:hAnsi="Times New Roman" w:cs="Times New Roman"/>
                <w:sz w:val="22"/>
                <w:szCs w:val="22"/>
              </w:rPr>
              <w:t xml:space="preserve"> non-</w:t>
            </w:r>
            <w:proofErr w:type="spellStart"/>
            <w:r>
              <w:rPr>
                <w:rFonts w:ascii="Times New Roman" w:hAnsi="Times New Roman" w:cs="Times New Roman"/>
                <w:sz w:val="22"/>
                <w:szCs w:val="22"/>
              </w:rPr>
              <w:t>compliance</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may</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have</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caused</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to</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the</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Administration</w:t>
            </w:r>
            <w:proofErr w:type="spellEnd"/>
            <w:r>
              <w:rPr>
                <w:rFonts w:ascii="Times New Roman" w:hAnsi="Times New Roman" w:cs="Times New Roman"/>
                <w:sz w:val="22"/>
                <w:szCs w:val="22"/>
              </w:rPr>
              <w:t xml:space="preserve">, and </w:t>
            </w:r>
            <w:proofErr w:type="spellStart"/>
            <w:r>
              <w:rPr>
                <w:rFonts w:ascii="Times New Roman" w:hAnsi="Times New Roman" w:cs="Times New Roman"/>
                <w:sz w:val="22"/>
                <w:szCs w:val="22"/>
              </w:rPr>
              <w:t>the</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notification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of</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the</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fact</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to</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the</w:t>
            </w:r>
            <w:proofErr w:type="spellEnd"/>
            <w:r>
              <w:rPr>
                <w:rFonts w:ascii="Times New Roman" w:hAnsi="Times New Roman" w:cs="Times New Roman"/>
                <w:sz w:val="22"/>
                <w:szCs w:val="22"/>
              </w:rPr>
              <w:t xml:space="preserve"> </w:t>
            </w:r>
            <w:proofErr w:type="gramStart"/>
            <w:r>
              <w:rPr>
                <w:rFonts w:ascii="Times New Roman" w:hAnsi="Times New Roman" w:cs="Times New Roman"/>
                <w:sz w:val="22"/>
                <w:szCs w:val="22"/>
              </w:rPr>
              <w:t>Single</w:t>
            </w:r>
            <w:proofErr w:type="gramEnd"/>
            <w:r>
              <w:rPr>
                <w:rFonts w:ascii="Times New Roman" w:hAnsi="Times New Roman" w:cs="Times New Roman"/>
                <w:sz w:val="22"/>
                <w:szCs w:val="22"/>
              </w:rPr>
              <w:t xml:space="preserve"> </w:t>
            </w:r>
            <w:proofErr w:type="spellStart"/>
            <w:r>
              <w:rPr>
                <w:rFonts w:ascii="Times New Roman" w:hAnsi="Times New Roman" w:cs="Times New Roman"/>
                <w:sz w:val="22"/>
                <w:szCs w:val="22"/>
              </w:rPr>
              <w:t>Registry</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of</w:t>
            </w:r>
            <w:proofErr w:type="spellEnd"/>
            <w:r>
              <w:rPr>
                <w:rFonts w:ascii="Times New Roman" w:hAnsi="Times New Roman" w:cs="Times New Roman"/>
                <w:sz w:val="22"/>
                <w:szCs w:val="22"/>
              </w:rPr>
              <w:t xml:space="preserve"> State </w:t>
            </w:r>
            <w:proofErr w:type="spellStart"/>
            <w:r>
              <w:rPr>
                <w:rFonts w:ascii="Times New Roman" w:hAnsi="Times New Roman" w:cs="Times New Roman"/>
                <w:sz w:val="22"/>
                <w:szCs w:val="22"/>
              </w:rPr>
              <w:t>Suppliers</w:t>
            </w:r>
            <w:proofErr w:type="spellEnd"/>
            <w:r>
              <w:rPr>
                <w:rFonts w:ascii="Times New Roman" w:hAnsi="Times New Roman" w:cs="Times New Roman"/>
                <w:sz w:val="22"/>
                <w:szCs w:val="22"/>
              </w:rPr>
              <w:t xml:space="preserve">. (Art. 64 </w:t>
            </w:r>
            <w:proofErr w:type="spellStart"/>
            <w:r>
              <w:rPr>
                <w:rFonts w:ascii="Times New Roman" w:hAnsi="Times New Roman" w:cs="Times New Roman"/>
                <w:sz w:val="22"/>
                <w:szCs w:val="22"/>
              </w:rPr>
              <w:t>of</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the</w:t>
            </w:r>
            <w:proofErr w:type="spellEnd"/>
            <w:r>
              <w:rPr>
                <w:rFonts w:ascii="Times New Roman" w:hAnsi="Times New Roman" w:cs="Times New Roman"/>
                <w:sz w:val="22"/>
                <w:szCs w:val="22"/>
              </w:rPr>
              <w:t xml:space="preserve"> TOCAF.)</w:t>
            </w:r>
          </w:p>
          <w:p w14:paraId="6BD468C3" w14:textId="77777777" w:rsidR="00E255F4" w:rsidRDefault="00E255F4">
            <w:pPr>
              <w:pStyle w:val="Default"/>
              <w:jc w:val="both"/>
              <w:rPr>
                <w:rFonts w:ascii="Times New Roman" w:hAnsi="Times New Roman" w:cs="Times New Roman"/>
                <w:sz w:val="22"/>
                <w:szCs w:val="22"/>
              </w:rPr>
            </w:pPr>
          </w:p>
          <w:p w14:paraId="4EC3F042" w14:textId="77777777" w:rsidR="00E255F4" w:rsidRDefault="00000000">
            <w:pPr>
              <w:autoSpaceDE w:val="0"/>
              <w:jc w:val="both"/>
            </w:pPr>
            <w:r>
              <w:rPr>
                <w:sz w:val="22"/>
                <w:szCs w:val="22"/>
                <w:lang w:val="es-CO" w:eastAsia="es-UY"/>
              </w:rPr>
              <w:t xml:space="preserve">The fine </w:t>
            </w:r>
            <w:proofErr w:type="spellStart"/>
            <w:r>
              <w:rPr>
                <w:sz w:val="22"/>
                <w:szCs w:val="22"/>
                <w:lang w:val="es-CO" w:eastAsia="es-UY"/>
              </w:rPr>
              <w:t>will</w:t>
            </w:r>
            <w:proofErr w:type="spellEnd"/>
            <w:r>
              <w:rPr>
                <w:sz w:val="22"/>
                <w:szCs w:val="22"/>
                <w:lang w:val="es-CO" w:eastAsia="es-UY"/>
              </w:rPr>
              <w:t xml:space="preserve"> be </w:t>
            </w:r>
            <w:proofErr w:type="spellStart"/>
            <w:r>
              <w:rPr>
                <w:sz w:val="22"/>
                <w:szCs w:val="22"/>
                <w:lang w:val="es-CO" w:eastAsia="es-UY"/>
              </w:rPr>
              <w:t>deducted</w:t>
            </w:r>
            <w:proofErr w:type="spellEnd"/>
            <w:r>
              <w:rPr>
                <w:sz w:val="22"/>
                <w:szCs w:val="22"/>
                <w:lang w:val="es-CO" w:eastAsia="es-UY"/>
              </w:rPr>
              <w:t xml:space="preserve"> </w:t>
            </w:r>
            <w:proofErr w:type="spellStart"/>
            <w:r>
              <w:rPr>
                <w:sz w:val="22"/>
                <w:szCs w:val="22"/>
                <w:lang w:val="es-CO" w:eastAsia="es-UY"/>
              </w:rPr>
              <w:t>from</w:t>
            </w:r>
            <w:proofErr w:type="spellEnd"/>
            <w:r>
              <w:rPr>
                <w:sz w:val="22"/>
                <w:szCs w:val="22"/>
                <w:lang w:val="es-CO" w:eastAsia="es-UY"/>
              </w:rPr>
              <w:t xml:space="preserve"> </w:t>
            </w:r>
            <w:proofErr w:type="spellStart"/>
            <w:r>
              <w:rPr>
                <w:sz w:val="22"/>
                <w:szCs w:val="22"/>
                <w:lang w:val="es-CO" w:eastAsia="es-UY"/>
              </w:rPr>
              <w:t>any</w:t>
            </w:r>
            <w:proofErr w:type="spellEnd"/>
            <w:r>
              <w:rPr>
                <w:sz w:val="22"/>
                <w:szCs w:val="22"/>
                <w:lang w:val="es-CO" w:eastAsia="es-UY"/>
              </w:rPr>
              <w:t xml:space="preserve"> </w:t>
            </w:r>
            <w:proofErr w:type="spellStart"/>
            <w:r>
              <w:rPr>
                <w:sz w:val="22"/>
                <w:szCs w:val="22"/>
                <w:lang w:val="es-CO" w:eastAsia="es-UY"/>
              </w:rPr>
              <w:t>outstanding</w:t>
            </w:r>
            <w:proofErr w:type="spellEnd"/>
            <w:r>
              <w:rPr>
                <w:sz w:val="22"/>
                <w:szCs w:val="22"/>
                <w:lang w:val="es-CO" w:eastAsia="es-UY"/>
              </w:rPr>
              <w:t xml:space="preserve"> </w:t>
            </w:r>
            <w:proofErr w:type="spellStart"/>
            <w:r>
              <w:rPr>
                <w:sz w:val="22"/>
                <w:szCs w:val="22"/>
                <w:lang w:val="es-CO" w:eastAsia="es-UY"/>
              </w:rPr>
              <w:t>invoices</w:t>
            </w:r>
            <w:proofErr w:type="spellEnd"/>
            <w:r>
              <w:rPr>
                <w:sz w:val="22"/>
                <w:szCs w:val="22"/>
                <w:lang w:val="es-CO" w:eastAsia="es-UY"/>
              </w:rPr>
              <w:t xml:space="preserve"> </w:t>
            </w:r>
            <w:proofErr w:type="spellStart"/>
            <w:r>
              <w:rPr>
                <w:sz w:val="22"/>
                <w:szCs w:val="22"/>
                <w:lang w:val="es-CO" w:eastAsia="es-UY"/>
              </w:rPr>
              <w:t>that</w:t>
            </w:r>
            <w:proofErr w:type="spellEnd"/>
            <w:r>
              <w:rPr>
                <w:sz w:val="22"/>
                <w:szCs w:val="22"/>
                <w:lang w:val="es-CO" w:eastAsia="es-UY"/>
              </w:rPr>
              <w:t xml:space="preserve"> </w:t>
            </w:r>
            <w:proofErr w:type="spellStart"/>
            <w:r>
              <w:rPr>
                <w:sz w:val="22"/>
                <w:szCs w:val="22"/>
                <w:lang w:val="es-CO" w:eastAsia="es-UY"/>
              </w:rPr>
              <w:t>the</w:t>
            </w:r>
            <w:proofErr w:type="spellEnd"/>
            <w:r>
              <w:rPr>
                <w:sz w:val="22"/>
                <w:szCs w:val="22"/>
                <w:lang w:val="es-CO" w:eastAsia="es-UY"/>
              </w:rPr>
              <w:t xml:space="preserve"> </w:t>
            </w:r>
            <w:proofErr w:type="spellStart"/>
            <w:r>
              <w:rPr>
                <w:sz w:val="22"/>
                <w:szCs w:val="22"/>
                <w:lang w:val="es-CO" w:eastAsia="es-UY"/>
              </w:rPr>
              <w:t>company</w:t>
            </w:r>
            <w:proofErr w:type="spellEnd"/>
            <w:r>
              <w:rPr>
                <w:sz w:val="22"/>
                <w:szCs w:val="22"/>
                <w:lang w:val="es-CO" w:eastAsia="es-UY"/>
              </w:rPr>
              <w:t xml:space="preserve"> has </w:t>
            </w:r>
            <w:proofErr w:type="spellStart"/>
            <w:r>
              <w:rPr>
                <w:sz w:val="22"/>
                <w:szCs w:val="22"/>
                <w:lang w:val="es-CO" w:eastAsia="es-UY"/>
              </w:rPr>
              <w:t>with</w:t>
            </w:r>
            <w:proofErr w:type="spellEnd"/>
            <w:r>
              <w:rPr>
                <w:sz w:val="22"/>
                <w:szCs w:val="22"/>
                <w:lang w:val="es-CO" w:eastAsia="es-UY"/>
              </w:rPr>
              <w:t xml:space="preserve"> OSE.</w:t>
            </w:r>
          </w:p>
          <w:p w14:paraId="4DE4F1B6" w14:textId="77777777" w:rsidR="00E255F4" w:rsidRDefault="00E255F4">
            <w:pPr>
              <w:autoSpaceDE w:val="0"/>
              <w:jc w:val="both"/>
              <w:rPr>
                <w:sz w:val="22"/>
                <w:szCs w:val="22"/>
                <w:lang w:val="es-CO" w:eastAsia="es-UY"/>
              </w:rPr>
            </w:pPr>
          </w:p>
          <w:p w14:paraId="6319B5DF" w14:textId="77777777" w:rsidR="00E255F4" w:rsidRDefault="00000000">
            <w:pPr>
              <w:autoSpaceDE w:val="0"/>
              <w:jc w:val="both"/>
              <w:rPr>
                <w:sz w:val="22"/>
                <w:szCs w:val="22"/>
                <w:lang w:val="es-CO" w:eastAsia="es-UY"/>
              </w:rPr>
            </w:pPr>
            <w:proofErr w:type="spellStart"/>
            <w:r>
              <w:rPr>
                <w:sz w:val="22"/>
                <w:szCs w:val="22"/>
                <w:lang w:val="es-CO" w:eastAsia="es-UY"/>
              </w:rPr>
              <w:t>Otherwise</w:t>
            </w:r>
            <w:proofErr w:type="spellEnd"/>
            <w:r>
              <w:rPr>
                <w:sz w:val="22"/>
                <w:szCs w:val="22"/>
                <w:lang w:val="es-CO" w:eastAsia="es-UY"/>
              </w:rPr>
              <w:t xml:space="preserve">, </w:t>
            </w:r>
            <w:proofErr w:type="spellStart"/>
            <w:r>
              <w:rPr>
                <w:sz w:val="22"/>
                <w:szCs w:val="22"/>
                <w:lang w:val="es-CO" w:eastAsia="es-UY"/>
              </w:rPr>
              <w:t>the</w:t>
            </w:r>
            <w:proofErr w:type="spellEnd"/>
            <w:r>
              <w:rPr>
                <w:sz w:val="22"/>
                <w:szCs w:val="22"/>
                <w:lang w:val="es-CO" w:eastAsia="es-UY"/>
              </w:rPr>
              <w:t xml:space="preserve"> </w:t>
            </w:r>
            <w:proofErr w:type="spellStart"/>
            <w:r>
              <w:rPr>
                <w:sz w:val="22"/>
                <w:szCs w:val="22"/>
                <w:lang w:val="es-CO" w:eastAsia="es-UY"/>
              </w:rPr>
              <w:t>successful</w:t>
            </w:r>
            <w:proofErr w:type="spellEnd"/>
            <w:r>
              <w:rPr>
                <w:sz w:val="22"/>
                <w:szCs w:val="22"/>
                <w:lang w:val="es-CO" w:eastAsia="es-UY"/>
              </w:rPr>
              <w:t xml:space="preserve"> </w:t>
            </w:r>
            <w:proofErr w:type="spellStart"/>
            <w:r>
              <w:rPr>
                <w:sz w:val="22"/>
                <w:szCs w:val="22"/>
                <w:lang w:val="es-CO" w:eastAsia="es-UY"/>
              </w:rPr>
              <w:t>bidder</w:t>
            </w:r>
            <w:proofErr w:type="spellEnd"/>
            <w:r>
              <w:rPr>
                <w:sz w:val="22"/>
                <w:szCs w:val="22"/>
                <w:lang w:val="es-CO" w:eastAsia="es-UY"/>
              </w:rPr>
              <w:t xml:space="preserve"> </w:t>
            </w:r>
            <w:proofErr w:type="spellStart"/>
            <w:r>
              <w:rPr>
                <w:sz w:val="22"/>
                <w:szCs w:val="22"/>
                <w:lang w:val="es-CO" w:eastAsia="es-UY"/>
              </w:rPr>
              <w:t>must</w:t>
            </w:r>
            <w:proofErr w:type="spellEnd"/>
            <w:r>
              <w:rPr>
                <w:sz w:val="22"/>
                <w:szCs w:val="22"/>
                <w:lang w:val="es-CO" w:eastAsia="es-UY"/>
              </w:rPr>
              <w:t xml:space="preserve"> </w:t>
            </w:r>
            <w:proofErr w:type="spellStart"/>
            <w:r>
              <w:rPr>
                <w:sz w:val="22"/>
                <w:szCs w:val="22"/>
                <w:lang w:val="es-CO" w:eastAsia="es-UY"/>
              </w:rPr>
              <w:t>pay</w:t>
            </w:r>
            <w:proofErr w:type="spellEnd"/>
            <w:r>
              <w:rPr>
                <w:sz w:val="22"/>
                <w:szCs w:val="22"/>
                <w:lang w:val="es-CO" w:eastAsia="es-UY"/>
              </w:rPr>
              <w:t xml:space="preserve"> OSE </w:t>
            </w:r>
            <w:proofErr w:type="spellStart"/>
            <w:r>
              <w:rPr>
                <w:sz w:val="22"/>
                <w:szCs w:val="22"/>
                <w:lang w:val="es-CO" w:eastAsia="es-UY"/>
              </w:rPr>
              <w:t>the</w:t>
            </w:r>
            <w:proofErr w:type="spellEnd"/>
            <w:r>
              <w:rPr>
                <w:sz w:val="22"/>
                <w:szCs w:val="22"/>
                <w:lang w:val="es-CO" w:eastAsia="es-UY"/>
              </w:rPr>
              <w:t xml:space="preserve"> </w:t>
            </w:r>
            <w:proofErr w:type="spellStart"/>
            <w:r>
              <w:rPr>
                <w:sz w:val="22"/>
                <w:szCs w:val="22"/>
                <w:lang w:val="es-CO" w:eastAsia="es-UY"/>
              </w:rPr>
              <w:t>corresponding</w:t>
            </w:r>
            <w:proofErr w:type="spellEnd"/>
            <w:r>
              <w:rPr>
                <w:sz w:val="22"/>
                <w:szCs w:val="22"/>
                <w:lang w:val="es-CO" w:eastAsia="es-UY"/>
              </w:rPr>
              <w:t xml:space="preserve"> </w:t>
            </w:r>
            <w:proofErr w:type="spellStart"/>
            <w:r>
              <w:rPr>
                <w:sz w:val="22"/>
                <w:szCs w:val="22"/>
                <w:lang w:val="es-CO" w:eastAsia="es-UY"/>
              </w:rPr>
              <w:t>amount</w:t>
            </w:r>
            <w:proofErr w:type="spellEnd"/>
            <w:r>
              <w:rPr>
                <w:sz w:val="22"/>
                <w:szCs w:val="22"/>
                <w:lang w:val="es-CO" w:eastAsia="es-UY"/>
              </w:rPr>
              <w:t xml:space="preserve"> </w:t>
            </w:r>
            <w:proofErr w:type="spellStart"/>
            <w:r>
              <w:rPr>
                <w:sz w:val="22"/>
                <w:szCs w:val="22"/>
                <w:lang w:val="es-CO" w:eastAsia="es-UY"/>
              </w:rPr>
              <w:t>within</w:t>
            </w:r>
            <w:proofErr w:type="spellEnd"/>
            <w:r>
              <w:rPr>
                <w:sz w:val="22"/>
                <w:szCs w:val="22"/>
                <w:lang w:val="es-CO" w:eastAsia="es-UY"/>
              </w:rPr>
              <w:t xml:space="preserve"> </w:t>
            </w:r>
            <w:proofErr w:type="spellStart"/>
            <w:r>
              <w:rPr>
                <w:sz w:val="22"/>
                <w:szCs w:val="22"/>
                <w:lang w:val="es-CO" w:eastAsia="es-UY"/>
              </w:rPr>
              <w:t>the</w:t>
            </w:r>
            <w:proofErr w:type="spellEnd"/>
            <w:r>
              <w:rPr>
                <w:sz w:val="22"/>
                <w:szCs w:val="22"/>
                <w:lang w:val="es-CO" w:eastAsia="es-UY"/>
              </w:rPr>
              <w:t xml:space="preserve"> </w:t>
            </w:r>
            <w:proofErr w:type="spellStart"/>
            <w:r>
              <w:rPr>
                <w:sz w:val="22"/>
                <w:szCs w:val="22"/>
                <w:lang w:val="es-CO" w:eastAsia="es-UY"/>
              </w:rPr>
              <w:t>period</w:t>
            </w:r>
            <w:proofErr w:type="spellEnd"/>
            <w:r>
              <w:rPr>
                <w:sz w:val="22"/>
                <w:szCs w:val="22"/>
                <w:lang w:val="es-CO" w:eastAsia="es-UY"/>
              </w:rPr>
              <w:t xml:space="preserve"> </w:t>
            </w:r>
            <w:proofErr w:type="spellStart"/>
            <w:r>
              <w:rPr>
                <w:sz w:val="22"/>
                <w:szCs w:val="22"/>
                <w:lang w:val="es-CO" w:eastAsia="es-UY"/>
              </w:rPr>
              <w:t>communicated</w:t>
            </w:r>
            <w:proofErr w:type="spellEnd"/>
            <w:r>
              <w:rPr>
                <w:sz w:val="22"/>
                <w:szCs w:val="22"/>
                <w:lang w:val="es-CO" w:eastAsia="es-UY"/>
              </w:rPr>
              <w:t xml:space="preserve"> in </w:t>
            </w:r>
            <w:proofErr w:type="spellStart"/>
            <w:r>
              <w:rPr>
                <w:sz w:val="22"/>
                <w:szCs w:val="22"/>
                <w:lang w:val="es-CO" w:eastAsia="es-UY"/>
              </w:rPr>
              <w:t>the</w:t>
            </w:r>
            <w:proofErr w:type="spellEnd"/>
            <w:r>
              <w:rPr>
                <w:sz w:val="22"/>
                <w:szCs w:val="22"/>
                <w:lang w:val="es-CO" w:eastAsia="es-UY"/>
              </w:rPr>
              <w:t xml:space="preserve"> </w:t>
            </w:r>
            <w:proofErr w:type="spellStart"/>
            <w:r>
              <w:rPr>
                <w:sz w:val="22"/>
                <w:szCs w:val="22"/>
                <w:lang w:val="es-CO" w:eastAsia="es-UY"/>
              </w:rPr>
              <w:t>notification</w:t>
            </w:r>
            <w:proofErr w:type="spellEnd"/>
            <w:r>
              <w:rPr>
                <w:sz w:val="22"/>
                <w:szCs w:val="22"/>
                <w:lang w:val="es-CO" w:eastAsia="es-UY"/>
              </w:rPr>
              <w:t>.</w:t>
            </w:r>
          </w:p>
          <w:p w14:paraId="6C631549" w14:textId="77777777" w:rsidR="00E255F4" w:rsidRDefault="00E255F4">
            <w:pPr>
              <w:autoSpaceDE w:val="0"/>
              <w:jc w:val="both"/>
              <w:rPr>
                <w:sz w:val="22"/>
                <w:szCs w:val="22"/>
                <w:lang w:val="es-CO" w:eastAsia="es-UY"/>
              </w:rPr>
            </w:pPr>
          </w:p>
          <w:p w14:paraId="3034733A" w14:textId="77777777" w:rsidR="00E255F4" w:rsidRDefault="00000000">
            <w:pPr>
              <w:autoSpaceDE w:val="0"/>
              <w:jc w:val="both"/>
              <w:rPr>
                <w:rFonts w:eastAsia="Palatino Linotype"/>
                <w:spacing w:val="1"/>
                <w:position w:val="1"/>
                <w:sz w:val="22"/>
                <w:szCs w:val="22"/>
                <w:lang w:val="es-ES"/>
              </w:rPr>
            </w:pPr>
            <w:proofErr w:type="spellStart"/>
            <w:r>
              <w:rPr>
                <w:sz w:val="22"/>
                <w:szCs w:val="22"/>
                <w:lang w:val="es-CO" w:eastAsia="es-UY"/>
              </w:rPr>
              <w:t>If</w:t>
            </w:r>
            <w:proofErr w:type="spellEnd"/>
            <w:r>
              <w:rPr>
                <w:sz w:val="22"/>
                <w:szCs w:val="22"/>
                <w:lang w:val="es-CO" w:eastAsia="es-UY"/>
              </w:rPr>
              <w:t xml:space="preserve"> </w:t>
            </w:r>
            <w:proofErr w:type="spellStart"/>
            <w:r>
              <w:rPr>
                <w:sz w:val="22"/>
                <w:szCs w:val="22"/>
                <w:lang w:val="es-CO" w:eastAsia="es-UY"/>
              </w:rPr>
              <w:t>payment</w:t>
            </w:r>
            <w:proofErr w:type="spellEnd"/>
            <w:r>
              <w:rPr>
                <w:sz w:val="22"/>
                <w:szCs w:val="22"/>
                <w:lang w:val="es-CO" w:eastAsia="es-UY"/>
              </w:rPr>
              <w:t xml:space="preserve"> </w:t>
            </w:r>
            <w:proofErr w:type="spellStart"/>
            <w:r>
              <w:rPr>
                <w:sz w:val="22"/>
                <w:szCs w:val="22"/>
                <w:lang w:val="es-CO" w:eastAsia="es-UY"/>
              </w:rPr>
              <w:t>is</w:t>
            </w:r>
            <w:proofErr w:type="spellEnd"/>
            <w:r>
              <w:rPr>
                <w:sz w:val="22"/>
                <w:szCs w:val="22"/>
                <w:lang w:val="es-CO" w:eastAsia="es-UY"/>
              </w:rPr>
              <w:t xml:space="preserve"> </w:t>
            </w:r>
            <w:proofErr w:type="spellStart"/>
            <w:r>
              <w:rPr>
                <w:sz w:val="22"/>
                <w:szCs w:val="22"/>
                <w:lang w:val="es-CO" w:eastAsia="es-UY"/>
              </w:rPr>
              <w:t>not</w:t>
            </w:r>
            <w:proofErr w:type="spellEnd"/>
            <w:r>
              <w:rPr>
                <w:sz w:val="22"/>
                <w:szCs w:val="22"/>
                <w:lang w:val="es-CO" w:eastAsia="es-UY"/>
              </w:rPr>
              <w:t xml:space="preserve"> </w:t>
            </w:r>
            <w:proofErr w:type="spellStart"/>
            <w:r>
              <w:rPr>
                <w:sz w:val="22"/>
                <w:szCs w:val="22"/>
                <w:lang w:val="es-CO" w:eastAsia="es-UY"/>
              </w:rPr>
              <w:t>made</w:t>
            </w:r>
            <w:proofErr w:type="spellEnd"/>
            <w:r>
              <w:rPr>
                <w:sz w:val="22"/>
                <w:szCs w:val="22"/>
                <w:lang w:val="es-CO" w:eastAsia="es-UY"/>
              </w:rPr>
              <w:t xml:space="preserve">, OSE reserves </w:t>
            </w:r>
            <w:proofErr w:type="spellStart"/>
            <w:r>
              <w:rPr>
                <w:sz w:val="22"/>
                <w:szCs w:val="22"/>
                <w:lang w:val="es-CO" w:eastAsia="es-UY"/>
              </w:rPr>
              <w:t>the</w:t>
            </w:r>
            <w:proofErr w:type="spellEnd"/>
            <w:r>
              <w:rPr>
                <w:sz w:val="22"/>
                <w:szCs w:val="22"/>
                <w:lang w:val="es-CO" w:eastAsia="es-UY"/>
              </w:rPr>
              <w:t xml:space="preserve"> </w:t>
            </w:r>
            <w:proofErr w:type="spellStart"/>
            <w:r>
              <w:rPr>
                <w:sz w:val="22"/>
                <w:szCs w:val="22"/>
                <w:lang w:val="es-CO" w:eastAsia="es-UY"/>
              </w:rPr>
              <w:t>right</w:t>
            </w:r>
            <w:proofErr w:type="spellEnd"/>
            <w:r>
              <w:rPr>
                <w:sz w:val="22"/>
                <w:szCs w:val="22"/>
                <w:lang w:val="es-CO" w:eastAsia="es-UY"/>
              </w:rPr>
              <w:t xml:space="preserve"> </w:t>
            </w:r>
            <w:proofErr w:type="spellStart"/>
            <w:r>
              <w:rPr>
                <w:sz w:val="22"/>
                <w:szCs w:val="22"/>
                <w:lang w:val="es-CO" w:eastAsia="es-UY"/>
              </w:rPr>
              <w:t>to</w:t>
            </w:r>
            <w:proofErr w:type="spellEnd"/>
            <w:r>
              <w:rPr>
                <w:sz w:val="22"/>
                <w:szCs w:val="22"/>
                <w:lang w:val="es-CO" w:eastAsia="es-UY"/>
              </w:rPr>
              <w:t xml:space="preserve"> </w:t>
            </w:r>
            <w:proofErr w:type="spellStart"/>
            <w:r>
              <w:rPr>
                <w:sz w:val="22"/>
                <w:szCs w:val="22"/>
                <w:lang w:val="es-CO" w:eastAsia="es-UY"/>
              </w:rPr>
              <w:t>take</w:t>
            </w:r>
            <w:proofErr w:type="spellEnd"/>
            <w:r>
              <w:rPr>
                <w:sz w:val="22"/>
                <w:szCs w:val="22"/>
                <w:lang w:val="es-CO" w:eastAsia="es-UY"/>
              </w:rPr>
              <w:t xml:space="preserve"> legal </w:t>
            </w:r>
            <w:proofErr w:type="spellStart"/>
            <w:r>
              <w:rPr>
                <w:sz w:val="22"/>
                <w:szCs w:val="22"/>
                <w:lang w:val="es-CO" w:eastAsia="es-UY"/>
              </w:rPr>
              <w:t>action</w:t>
            </w:r>
            <w:proofErr w:type="spellEnd"/>
            <w:r>
              <w:rPr>
                <w:sz w:val="22"/>
                <w:szCs w:val="22"/>
                <w:lang w:val="es-CO" w:eastAsia="es-UY"/>
              </w:rPr>
              <w:t xml:space="preserve"> </w:t>
            </w:r>
            <w:proofErr w:type="spellStart"/>
            <w:r>
              <w:rPr>
                <w:sz w:val="22"/>
                <w:szCs w:val="22"/>
                <w:lang w:val="es-CO" w:eastAsia="es-UY"/>
              </w:rPr>
              <w:t>to</w:t>
            </w:r>
            <w:proofErr w:type="spellEnd"/>
            <w:r>
              <w:rPr>
                <w:sz w:val="22"/>
                <w:szCs w:val="22"/>
                <w:lang w:val="es-CO" w:eastAsia="es-UY"/>
              </w:rPr>
              <w:t xml:space="preserve"> </w:t>
            </w:r>
            <w:proofErr w:type="spellStart"/>
            <w:r>
              <w:rPr>
                <w:sz w:val="22"/>
                <w:szCs w:val="22"/>
                <w:lang w:val="es-CO" w:eastAsia="es-UY"/>
              </w:rPr>
              <w:t>collect</w:t>
            </w:r>
            <w:proofErr w:type="spellEnd"/>
            <w:r>
              <w:rPr>
                <w:sz w:val="22"/>
                <w:szCs w:val="22"/>
                <w:lang w:val="es-CO" w:eastAsia="es-UY"/>
              </w:rPr>
              <w:t xml:space="preserve"> </w:t>
            </w:r>
            <w:proofErr w:type="spellStart"/>
            <w:r>
              <w:rPr>
                <w:sz w:val="22"/>
                <w:szCs w:val="22"/>
                <w:lang w:val="es-CO" w:eastAsia="es-UY"/>
              </w:rPr>
              <w:t>the</w:t>
            </w:r>
            <w:proofErr w:type="spellEnd"/>
            <w:r>
              <w:rPr>
                <w:sz w:val="22"/>
                <w:szCs w:val="22"/>
                <w:lang w:val="es-CO" w:eastAsia="es-UY"/>
              </w:rPr>
              <w:t xml:space="preserve"> </w:t>
            </w:r>
            <w:proofErr w:type="spellStart"/>
            <w:r>
              <w:rPr>
                <w:sz w:val="22"/>
                <w:szCs w:val="22"/>
                <w:lang w:val="es-CO" w:eastAsia="es-UY"/>
              </w:rPr>
              <w:t>debt</w:t>
            </w:r>
            <w:proofErr w:type="spellEnd"/>
            <w:r>
              <w:rPr>
                <w:sz w:val="22"/>
                <w:szCs w:val="22"/>
                <w:lang w:val="es-CO" w:eastAsia="es-UY"/>
              </w:rPr>
              <w:t>.</w:t>
            </w:r>
          </w:p>
        </w:tc>
      </w:tr>
      <w:tr w:rsidR="00E255F4" w14:paraId="67ED1C18" w14:textId="77777777">
        <w:trPr>
          <w:trHeight w:val="3264"/>
        </w:trPr>
        <w:tc>
          <w:tcPr>
            <w:tcW w:w="730" w:type="dxa"/>
            <w:tcBorders>
              <w:top w:val="single" w:sz="4" w:space="0" w:color="000000"/>
              <w:left w:val="single" w:sz="4" w:space="0" w:color="000000"/>
              <w:bottom w:val="single" w:sz="4" w:space="0" w:color="000000"/>
              <w:right w:val="single" w:sz="4" w:space="0" w:color="000000"/>
            </w:tcBorders>
          </w:tcPr>
          <w:p w14:paraId="02C532A2" w14:textId="77777777" w:rsidR="00E255F4" w:rsidRDefault="00000000">
            <w:pPr>
              <w:ind w:right="-36"/>
              <w:jc w:val="both"/>
              <w:rPr>
                <w:rFonts w:eastAsia="Palatino Linotype"/>
                <w:sz w:val="22"/>
                <w:szCs w:val="22"/>
                <w:highlight w:val="yellow"/>
              </w:rPr>
            </w:pPr>
            <w:r>
              <w:rPr>
                <w:rFonts w:eastAsia="Palatino Linotype"/>
                <w:b/>
                <w:sz w:val="22"/>
                <w:szCs w:val="22"/>
              </w:rPr>
              <w:t>12.1</w:t>
            </w:r>
          </w:p>
        </w:tc>
        <w:tc>
          <w:tcPr>
            <w:tcW w:w="9048" w:type="dxa"/>
            <w:tcBorders>
              <w:top w:val="single" w:sz="4" w:space="0" w:color="000000"/>
              <w:left w:val="single" w:sz="4" w:space="0" w:color="000000"/>
              <w:bottom w:val="single" w:sz="4" w:space="0" w:color="000000"/>
              <w:right w:val="single" w:sz="4" w:space="0" w:color="000000"/>
            </w:tcBorders>
          </w:tcPr>
          <w:p w14:paraId="623419B0" w14:textId="77777777" w:rsidR="00E255F4" w:rsidRDefault="00000000">
            <w:pPr>
              <w:jc w:val="both"/>
              <w:rPr>
                <w:rFonts w:eastAsia="Palatino Linotype"/>
                <w:b/>
                <w:color w:val="000000"/>
                <w:spacing w:val="-1"/>
                <w:position w:val="1"/>
                <w:sz w:val="22"/>
                <w:szCs w:val="22"/>
              </w:rPr>
            </w:pPr>
            <w:proofErr w:type="spellStart"/>
            <w:r>
              <w:rPr>
                <w:rFonts w:eastAsia="Palatino Linotype"/>
                <w:b/>
                <w:color w:val="000000"/>
                <w:spacing w:val="-1"/>
                <w:position w:val="1"/>
                <w:sz w:val="22"/>
                <w:szCs w:val="22"/>
              </w:rPr>
              <w:t>Presentation</w:t>
            </w:r>
            <w:proofErr w:type="spellEnd"/>
          </w:p>
          <w:p w14:paraId="03CA4E8F" w14:textId="77777777" w:rsidR="00E255F4" w:rsidRDefault="00E255F4">
            <w:pPr>
              <w:jc w:val="both"/>
              <w:rPr>
                <w:rFonts w:eastAsia="Palatino Linotype"/>
                <w:b/>
                <w:color w:val="000000"/>
                <w:spacing w:val="-1"/>
                <w:position w:val="1"/>
                <w:sz w:val="22"/>
                <w:szCs w:val="22"/>
              </w:rPr>
            </w:pPr>
          </w:p>
          <w:p w14:paraId="0334715C" w14:textId="77777777" w:rsidR="00E255F4" w:rsidRDefault="00000000">
            <w:pPr>
              <w:jc w:val="both"/>
            </w:pPr>
            <w:r>
              <w:rPr>
                <w:rFonts w:eastAsia="Palatino Linotype"/>
                <w:spacing w:val="-1"/>
                <w:position w:val="1"/>
                <w:sz w:val="22"/>
                <w:szCs w:val="22"/>
              </w:rPr>
              <w:t xml:space="preserve">The </w:t>
            </w:r>
            <w:proofErr w:type="spellStart"/>
            <w:r>
              <w:rPr>
                <w:rFonts w:eastAsia="Palatino Linotype"/>
                <w:spacing w:val="-1"/>
                <w:position w:val="1"/>
                <w:sz w:val="22"/>
                <w:szCs w:val="22"/>
              </w:rPr>
              <w:t>offer</w:t>
            </w:r>
            <w:proofErr w:type="spellEnd"/>
            <w:r>
              <w:rPr>
                <w:rFonts w:eastAsia="Palatino Linotype"/>
                <w:spacing w:val="-1"/>
                <w:position w:val="1"/>
                <w:sz w:val="22"/>
                <w:szCs w:val="22"/>
              </w:rPr>
              <w:t xml:space="preserve"> in </w:t>
            </w:r>
            <w:proofErr w:type="spellStart"/>
            <w:r>
              <w:rPr>
                <w:rFonts w:eastAsia="Palatino Linotype"/>
                <w:spacing w:val="-1"/>
                <w:position w:val="1"/>
                <w:sz w:val="22"/>
                <w:szCs w:val="22"/>
              </w:rPr>
              <w:t>its</w:t>
            </w:r>
            <w:proofErr w:type="spellEnd"/>
            <w:r>
              <w:rPr>
                <w:rFonts w:eastAsia="Palatino Linotype"/>
                <w:spacing w:val="-1"/>
                <w:position w:val="1"/>
                <w:sz w:val="22"/>
                <w:szCs w:val="22"/>
              </w:rPr>
              <w:t xml:space="preserve"> </w:t>
            </w:r>
            <w:proofErr w:type="spellStart"/>
            <w:r>
              <w:rPr>
                <w:rFonts w:eastAsia="Palatino Linotype"/>
                <w:spacing w:val="-1"/>
                <w:position w:val="1"/>
                <w:sz w:val="22"/>
                <w:szCs w:val="22"/>
              </w:rPr>
              <w:t>entirety</w:t>
            </w:r>
            <w:proofErr w:type="spellEnd"/>
            <w:r>
              <w:rPr>
                <w:rFonts w:eastAsia="Palatino Linotype"/>
                <w:spacing w:val="-1"/>
                <w:position w:val="1"/>
                <w:sz w:val="22"/>
                <w:szCs w:val="22"/>
              </w:rPr>
              <w:t xml:space="preserve"> </w:t>
            </w:r>
            <w:proofErr w:type="spellStart"/>
            <w:r>
              <w:rPr>
                <w:rFonts w:eastAsia="Palatino Linotype"/>
                <w:spacing w:val="-1"/>
                <w:position w:val="1"/>
                <w:sz w:val="22"/>
                <w:szCs w:val="22"/>
              </w:rPr>
              <w:t>will</w:t>
            </w:r>
            <w:proofErr w:type="spellEnd"/>
            <w:r>
              <w:rPr>
                <w:rFonts w:eastAsia="Palatino Linotype"/>
                <w:spacing w:val="-1"/>
                <w:position w:val="1"/>
                <w:sz w:val="22"/>
                <w:szCs w:val="22"/>
              </w:rPr>
              <w:t xml:space="preserve"> be </w:t>
            </w:r>
            <w:proofErr w:type="spellStart"/>
            <w:r>
              <w:rPr>
                <w:rFonts w:eastAsia="Palatino Linotype"/>
                <w:spacing w:val="-1"/>
                <w:position w:val="1"/>
                <w:sz w:val="22"/>
                <w:szCs w:val="22"/>
              </w:rPr>
              <w:t>presented</w:t>
            </w:r>
            <w:proofErr w:type="spellEnd"/>
            <w:r>
              <w:rPr>
                <w:rFonts w:eastAsia="Palatino Linotype"/>
                <w:spacing w:val="-1"/>
                <w:position w:val="1"/>
                <w:sz w:val="22"/>
                <w:szCs w:val="22"/>
              </w:rPr>
              <w:t xml:space="preserve"> as </w:t>
            </w:r>
            <w:proofErr w:type="spellStart"/>
            <w:r>
              <w:rPr>
                <w:rFonts w:eastAsia="Palatino Linotype"/>
                <w:spacing w:val="-1"/>
                <w:position w:val="1"/>
                <w:sz w:val="22"/>
                <w:szCs w:val="22"/>
              </w:rPr>
              <w:t>follows</w:t>
            </w:r>
            <w:proofErr w:type="spellEnd"/>
            <w:r>
              <w:rPr>
                <w:rFonts w:eastAsia="Palatino Linotype"/>
                <w:spacing w:val="-1"/>
                <w:position w:val="1"/>
                <w:sz w:val="22"/>
                <w:szCs w:val="22"/>
              </w:rPr>
              <w:t>:</w:t>
            </w:r>
          </w:p>
          <w:p w14:paraId="0DED8CC0" w14:textId="77777777" w:rsidR="00E255F4" w:rsidRDefault="00E255F4">
            <w:pPr>
              <w:spacing w:line="240" w:lineRule="auto"/>
              <w:jc w:val="both"/>
              <w:rPr>
                <w:sz w:val="22"/>
                <w:szCs w:val="22"/>
                <w:lang w:eastAsia="es-UY"/>
              </w:rPr>
            </w:pPr>
          </w:p>
          <w:p w14:paraId="6D3D4950" w14:textId="77777777" w:rsidR="00E255F4" w:rsidRDefault="00000000">
            <w:pPr>
              <w:spacing w:line="240" w:lineRule="auto"/>
              <w:ind w:left="420" w:hanging="360"/>
              <w:contextualSpacing/>
              <w:jc w:val="both"/>
              <w:rPr>
                <w:sz w:val="22"/>
                <w:szCs w:val="22"/>
                <w:lang w:eastAsia="es-UY"/>
              </w:rPr>
            </w:pPr>
            <w:r>
              <w:rPr>
                <w:sz w:val="22"/>
                <w:szCs w:val="22"/>
                <w:lang w:eastAsia="es-UY"/>
              </w:rPr>
              <w:t xml:space="preserve">- Original </w:t>
            </w:r>
            <w:proofErr w:type="spellStart"/>
            <w:r>
              <w:rPr>
                <w:sz w:val="22"/>
                <w:szCs w:val="22"/>
                <w:lang w:eastAsia="es-UY"/>
              </w:rPr>
              <w:t>signed</w:t>
            </w:r>
            <w:proofErr w:type="spellEnd"/>
            <w:r>
              <w:rPr>
                <w:sz w:val="22"/>
                <w:szCs w:val="22"/>
                <w:lang w:eastAsia="es-UY"/>
              </w:rPr>
              <w:t xml:space="preserve"> </w:t>
            </w:r>
            <w:proofErr w:type="spellStart"/>
            <w:r>
              <w:rPr>
                <w:sz w:val="22"/>
                <w:szCs w:val="22"/>
                <w:lang w:eastAsia="es-UY"/>
              </w:rPr>
              <w:t>paper</w:t>
            </w:r>
            <w:proofErr w:type="spellEnd"/>
            <w:r>
              <w:rPr>
                <w:sz w:val="22"/>
                <w:szCs w:val="22"/>
                <w:lang w:eastAsia="es-UY"/>
              </w:rPr>
              <w:t xml:space="preserve">, </w:t>
            </w:r>
            <w:proofErr w:type="spellStart"/>
            <w:r>
              <w:rPr>
                <w:sz w:val="22"/>
                <w:szCs w:val="22"/>
                <w:lang w:eastAsia="es-UY"/>
              </w:rPr>
              <w:t>numbered</w:t>
            </w:r>
            <w:proofErr w:type="spellEnd"/>
            <w:r>
              <w:rPr>
                <w:sz w:val="22"/>
                <w:szCs w:val="22"/>
                <w:lang w:eastAsia="es-UY"/>
              </w:rPr>
              <w:t xml:space="preserve"> </w:t>
            </w:r>
            <w:proofErr w:type="spellStart"/>
            <w:r>
              <w:rPr>
                <w:sz w:val="22"/>
                <w:szCs w:val="22"/>
                <w:lang w:eastAsia="es-UY"/>
              </w:rPr>
              <w:t>consecutively</w:t>
            </w:r>
            <w:proofErr w:type="spellEnd"/>
            <w:r>
              <w:rPr>
                <w:sz w:val="22"/>
                <w:szCs w:val="22"/>
                <w:lang w:eastAsia="es-UY"/>
              </w:rPr>
              <w:t xml:space="preserve"> </w:t>
            </w:r>
            <w:proofErr w:type="spellStart"/>
            <w:r>
              <w:rPr>
                <w:sz w:val="22"/>
                <w:szCs w:val="22"/>
                <w:lang w:eastAsia="es-UY"/>
              </w:rPr>
              <w:t>including</w:t>
            </w:r>
            <w:proofErr w:type="spellEnd"/>
            <w:r>
              <w:rPr>
                <w:sz w:val="22"/>
                <w:szCs w:val="22"/>
                <w:lang w:eastAsia="es-UY"/>
              </w:rPr>
              <w:t xml:space="preserve"> </w:t>
            </w:r>
            <w:proofErr w:type="spellStart"/>
            <w:r>
              <w:rPr>
                <w:sz w:val="22"/>
                <w:szCs w:val="22"/>
                <w:lang w:eastAsia="es-UY"/>
              </w:rPr>
              <w:t>the</w:t>
            </w:r>
            <w:proofErr w:type="spellEnd"/>
            <w:r>
              <w:rPr>
                <w:sz w:val="22"/>
                <w:szCs w:val="22"/>
                <w:lang w:eastAsia="es-UY"/>
              </w:rPr>
              <w:t xml:space="preserve"> </w:t>
            </w:r>
            <w:proofErr w:type="spellStart"/>
            <w:r>
              <w:rPr>
                <w:sz w:val="22"/>
                <w:szCs w:val="22"/>
                <w:lang w:eastAsia="es-UY"/>
              </w:rPr>
              <w:t>Quantity</w:t>
            </w:r>
            <w:proofErr w:type="spellEnd"/>
            <w:r>
              <w:rPr>
                <w:sz w:val="22"/>
                <w:szCs w:val="22"/>
                <w:lang w:eastAsia="es-UY"/>
              </w:rPr>
              <w:t xml:space="preserve"> and Price List (</w:t>
            </w:r>
            <w:proofErr w:type="spellStart"/>
            <w:r>
              <w:rPr>
                <w:sz w:val="22"/>
                <w:szCs w:val="22"/>
                <w:lang w:eastAsia="es-UY"/>
              </w:rPr>
              <w:t>Annex</w:t>
            </w:r>
            <w:proofErr w:type="spellEnd"/>
            <w:r>
              <w:rPr>
                <w:sz w:val="22"/>
                <w:szCs w:val="22"/>
                <w:lang w:eastAsia="es-UY"/>
              </w:rPr>
              <w:t xml:space="preserve"> V).</w:t>
            </w:r>
          </w:p>
          <w:p w14:paraId="63326F4E" w14:textId="77777777" w:rsidR="00E255F4" w:rsidRDefault="00E255F4">
            <w:pPr>
              <w:spacing w:line="240" w:lineRule="auto"/>
              <w:ind w:left="420"/>
              <w:contextualSpacing/>
              <w:jc w:val="both"/>
              <w:rPr>
                <w:sz w:val="22"/>
                <w:szCs w:val="22"/>
                <w:lang w:eastAsia="es-UY"/>
              </w:rPr>
            </w:pPr>
          </w:p>
          <w:p w14:paraId="20E4FD3F" w14:textId="77777777" w:rsidR="00E255F4" w:rsidRDefault="00000000">
            <w:pPr>
              <w:spacing w:line="240" w:lineRule="auto"/>
              <w:ind w:left="420" w:hanging="360"/>
              <w:contextualSpacing/>
              <w:jc w:val="both"/>
            </w:pPr>
            <w:r>
              <w:rPr>
                <w:sz w:val="22"/>
                <w:szCs w:val="22"/>
                <w:lang w:eastAsia="es-UY"/>
              </w:rPr>
              <w:t xml:space="preserve">- 4 copies </w:t>
            </w:r>
            <w:proofErr w:type="spellStart"/>
            <w:r>
              <w:rPr>
                <w:sz w:val="22"/>
                <w:szCs w:val="22"/>
                <w:lang w:eastAsia="es-UY"/>
              </w:rPr>
              <w:t>of</w:t>
            </w:r>
            <w:proofErr w:type="spellEnd"/>
            <w:r>
              <w:rPr>
                <w:sz w:val="22"/>
                <w:szCs w:val="22"/>
                <w:lang w:eastAsia="es-UY"/>
              </w:rPr>
              <w:t xml:space="preserve"> </w:t>
            </w:r>
            <w:proofErr w:type="spellStart"/>
            <w:r>
              <w:rPr>
                <w:sz w:val="22"/>
                <w:szCs w:val="22"/>
                <w:lang w:eastAsia="es-UY"/>
              </w:rPr>
              <w:t>the</w:t>
            </w:r>
            <w:proofErr w:type="spellEnd"/>
            <w:r>
              <w:rPr>
                <w:sz w:val="22"/>
                <w:szCs w:val="22"/>
                <w:lang w:eastAsia="es-UY"/>
              </w:rPr>
              <w:t xml:space="preserve"> original </w:t>
            </w:r>
            <w:proofErr w:type="spellStart"/>
            <w:r>
              <w:rPr>
                <w:sz w:val="22"/>
                <w:szCs w:val="22"/>
                <w:lang w:eastAsia="es-UY"/>
              </w:rPr>
              <w:t>offer</w:t>
            </w:r>
            <w:proofErr w:type="spellEnd"/>
            <w:r>
              <w:rPr>
                <w:sz w:val="22"/>
                <w:szCs w:val="22"/>
                <w:lang w:eastAsia="es-UY"/>
              </w:rPr>
              <w:t xml:space="preserve"> in digital </w:t>
            </w:r>
            <w:proofErr w:type="spellStart"/>
            <w:r>
              <w:rPr>
                <w:sz w:val="22"/>
                <w:szCs w:val="22"/>
                <w:lang w:eastAsia="es-UY"/>
              </w:rPr>
              <w:t>format</w:t>
            </w:r>
            <w:proofErr w:type="spellEnd"/>
            <w:r>
              <w:rPr>
                <w:sz w:val="22"/>
                <w:szCs w:val="22"/>
                <w:lang w:eastAsia="es-UY"/>
              </w:rPr>
              <w:t xml:space="preserve"> (4 USB drives). The </w:t>
            </w:r>
            <w:proofErr w:type="spellStart"/>
            <w:r>
              <w:rPr>
                <w:sz w:val="22"/>
                <w:szCs w:val="22"/>
                <w:lang w:eastAsia="es-UY"/>
              </w:rPr>
              <w:t>Quantity</w:t>
            </w:r>
            <w:proofErr w:type="spellEnd"/>
            <w:r>
              <w:rPr>
                <w:sz w:val="22"/>
                <w:szCs w:val="22"/>
                <w:lang w:eastAsia="es-UY"/>
              </w:rPr>
              <w:t xml:space="preserve"> and Price Schedule (</w:t>
            </w:r>
            <w:proofErr w:type="spellStart"/>
            <w:r>
              <w:rPr>
                <w:sz w:val="22"/>
                <w:szCs w:val="22"/>
                <w:lang w:eastAsia="es-UY"/>
              </w:rPr>
              <w:t>Annex</w:t>
            </w:r>
            <w:proofErr w:type="spellEnd"/>
            <w:r>
              <w:rPr>
                <w:sz w:val="22"/>
                <w:szCs w:val="22"/>
                <w:lang w:eastAsia="es-UY"/>
              </w:rPr>
              <w:t xml:space="preserve"> V) </w:t>
            </w:r>
            <w:proofErr w:type="spellStart"/>
            <w:r>
              <w:rPr>
                <w:sz w:val="22"/>
                <w:szCs w:val="22"/>
                <w:lang w:eastAsia="es-UY"/>
              </w:rPr>
              <w:t>must</w:t>
            </w:r>
            <w:proofErr w:type="spellEnd"/>
            <w:r>
              <w:rPr>
                <w:sz w:val="22"/>
                <w:szCs w:val="22"/>
                <w:lang w:eastAsia="es-UY"/>
              </w:rPr>
              <w:t xml:space="preserve"> be </w:t>
            </w:r>
            <w:proofErr w:type="spellStart"/>
            <w:r>
              <w:rPr>
                <w:sz w:val="22"/>
                <w:szCs w:val="22"/>
                <w:lang w:eastAsia="es-UY"/>
              </w:rPr>
              <w:t>included</w:t>
            </w:r>
            <w:proofErr w:type="spellEnd"/>
            <w:r>
              <w:rPr>
                <w:sz w:val="22"/>
                <w:szCs w:val="22"/>
                <w:lang w:eastAsia="es-UY"/>
              </w:rPr>
              <w:t xml:space="preserve"> </w:t>
            </w:r>
            <w:proofErr w:type="spellStart"/>
            <w:r>
              <w:rPr>
                <w:sz w:val="22"/>
                <w:szCs w:val="22"/>
                <w:lang w:eastAsia="es-UY"/>
              </w:rPr>
              <w:t>on</w:t>
            </w:r>
            <w:proofErr w:type="spellEnd"/>
            <w:r>
              <w:rPr>
                <w:sz w:val="22"/>
                <w:szCs w:val="22"/>
                <w:lang w:eastAsia="es-UY"/>
              </w:rPr>
              <w:t xml:space="preserve"> </w:t>
            </w:r>
            <w:proofErr w:type="spellStart"/>
            <w:r>
              <w:rPr>
                <w:sz w:val="22"/>
                <w:szCs w:val="22"/>
                <w:lang w:eastAsia="es-UY"/>
              </w:rPr>
              <w:t>the</w:t>
            </w:r>
            <w:proofErr w:type="spellEnd"/>
            <w:r>
              <w:rPr>
                <w:sz w:val="22"/>
                <w:szCs w:val="22"/>
                <w:lang w:eastAsia="es-UY"/>
              </w:rPr>
              <w:t xml:space="preserve"> USB drive in Excel </w:t>
            </w:r>
            <w:proofErr w:type="spellStart"/>
            <w:r>
              <w:rPr>
                <w:sz w:val="22"/>
                <w:szCs w:val="22"/>
                <w:lang w:eastAsia="es-UY"/>
              </w:rPr>
              <w:t>format</w:t>
            </w:r>
            <w:proofErr w:type="spellEnd"/>
            <w:r>
              <w:rPr>
                <w:sz w:val="22"/>
                <w:szCs w:val="22"/>
                <w:lang w:eastAsia="es-UY"/>
              </w:rPr>
              <w:t>.</w:t>
            </w:r>
          </w:p>
          <w:p w14:paraId="0BD421AC" w14:textId="77777777" w:rsidR="00E255F4" w:rsidRDefault="00E255F4">
            <w:pPr>
              <w:spacing w:line="240" w:lineRule="auto"/>
              <w:ind w:left="420"/>
              <w:contextualSpacing/>
              <w:jc w:val="both"/>
              <w:rPr>
                <w:sz w:val="22"/>
                <w:szCs w:val="22"/>
                <w:lang w:eastAsia="es-UY"/>
              </w:rPr>
            </w:pPr>
          </w:p>
          <w:p w14:paraId="641C7768" w14:textId="77777777" w:rsidR="00E255F4" w:rsidRDefault="00000000">
            <w:pPr>
              <w:spacing w:line="240" w:lineRule="auto"/>
              <w:ind w:left="420" w:hanging="360"/>
              <w:contextualSpacing/>
              <w:jc w:val="both"/>
            </w:pPr>
            <w:r>
              <w:rPr>
                <w:sz w:val="22"/>
                <w:szCs w:val="22"/>
                <w:lang w:eastAsia="es-UY"/>
              </w:rPr>
              <w:t xml:space="preserve">- </w:t>
            </w:r>
            <w:proofErr w:type="spellStart"/>
            <w:r>
              <w:rPr>
                <w:sz w:val="22"/>
                <w:szCs w:val="22"/>
                <w:lang w:eastAsia="es-UY"/>
              </w:rPr>
              <w:t>If</w:t>
            </w:r>
            <w:proofErr w:type="spellEnd"/>
            <w:r>
              <w:rPr>
                <w:sz w:val="22"/>
                <w:szCs w:val="22"/>
                <w:lang w:eastAsia="es-UY"/>
              </w:rPr>
              <w:t xml:space="preserve"> </w:t>
            </w:r>
            <w:proofErr w:type="spellStart"/>
            <w:r>
              <w:rPr>
                <w:sz w:val="22"/>
                <w:szCs w:val="22"/>
                <w:lang w:eastAsia="es-UY"/>
              </w:rPr>
              <w:t>it</w:t>
            </w:r>
            <w:proofErr w:type="spellEnd"/>
            <w:r>
              <w:rPr>
                <w:sz w:val="22"/>
                <w:szCs w:val="22"/>
                <w:lang w:eastAsia="es-UY"/>
              </w:rPr>
              <w:t xml:space="preserve"> </w:t>
            </w:r>
            <w:proofErr w:type="spellStart"/>
            <w:r>
              <w:rPr>
                <w:sz w:val="22"/>
                <w:szCs w:val="22"/>
                <w:lang w:eastAsia="es-UY"/>
              </w:rPr>
              <w:t>contains</w:t>
            </w:r>
            <w:proofErr w:type="spellEnd"/>
            <w:r>
              <w:rPr>
                <w:sz w:val="22"/>
                <w:szCs w:val="22"/>
                <w:lang w:eastAsia="es-UY"/>
              </w:rPr>
              <w:t xml:space="preserve"> CONFIDENTIAL INFORMATION, </w:t>
            </w:r>
            <w:proofErr w:type="spellStart"/>
            <w:r>
              <w:rPr>
                <w:sz w:val="22"/>
                <w:szCs w:val="22"/>
                <w:lang w:eastAsia="es-UY"/>
              </w:rPr>
              <w:t>it</w:t>
            </w:r>
            <w:proofErr w:type="spellEnd"/>
            <w:r>
              <w:rPr>
                <w:sz w:val="22"/>
                <w:szCs w:val="22"/>
                <w:lang w:eastAsia="es-UY"/>
              </w:rPr>
              <w:t xml:space="preserve"> </w:t>
            </w:r>
            <w:proofErr w:type="spellStart"/>
            <w:r>
              <w:rPr>
                <w:sz w:val="22"/>
                <w:szCs w:val="22"/>
                <w:lang w:eastAsia="es-UY"/>
              </w:rPr>
              <w:t>must</w:t>
            </w:r>
            <w:proofErr w:type="spellEnd"/>
            <w:r>
              <w:rPr>
                <w:sz w:val="22"/>
                <w:szCs w:val="22"/>
                <w:lang w:eastAsia="es-UY"/>
              </w:rPr>
              <w:t xml:space="preserve"> be </w:t>
            </w:r>
            <w:proofErr w:type="spellStart"/>
            <w:r>
              <w:rPr>
                <w:sz w:val="22"/>
                <w:szCs w:val="22"/>
                <w:lang w:eastAsia="es-UY"/>
              </w:rPr>
              <w:t>presented</w:t>
            </w:r>
            <w:proofErr w:type="spellEnd"/>
            <w:r>
              <w:rPr>
                <w:sz w:val="22"/>
                <w:szCs w:val="22"/>
                <w:lang w:eastAsia="es-UY"/>
              </w:rPr>
              <w:t xml:space="preserve"> </w:t>
            </w:r>
            <w:proofErr w:type="spellStart"/>
            <w:r>
              <w:rPr>
                <w:sz w:val="22"/>
                <w:szCs w:val="22"/>
                <w:lang w:eastAsia="es-UY"/>
              </w:rPr>
              <w:t>according</w:t>
            </w:r>
            <w:proofErr w:type="spellEnd"/>
            <w:r>
              <w:rPr>
                <w:sz w:val="22"/>
                <w:szCs w:val="22"/>
                <w:lang w:eastAsia="es-UY"/>
              </w:rPr>
              <w:t xml:space="preserve"> </w:t>
            </w:r>
            <w:proofErr w:type="spellStart"/>
            <w:r>
              <w:rPr>
                <w:sz w:val="22"/>
                <w:szCs w:val="22"/>
                <w:lang w:eastAsia="es-UY"/>
              </w:rPr>
              <w:t>to</w:t>
            </w:r>
            <w:proofErr w:type="spellEnd"/>
            <w:r>
              <w:rPr>
                <w:sz w:val="22"/>
                <w:szCs w:val="22"/>
                <w:lang w:eastAsia="es-UY"/>
              </w:rPr>
              <w:t xml:space="preserve"> </w:t>
            </w:r>
            <w:proofErr w:type="spellStart"/>
            <w:r>
              <w:rPr>
                <w:sz w:val="22"/>
                <w:szCs w:val="22"/>
                <w:lang w:eastAsia="es-UY"/>
              </w:rPr>
              <w:t>one</w:t>
            </w:r>
            <w:proofErr w:type="spellEnd"/>
            <w:r>
              <w:rPr>
                <w:sz w:val="22"/>
                <w:szCs w:val="22"/>
                <w:lang w:eastAsia="es-UY"/>
              </w:rPr>
              <w:t xml:space="preserve"> </w:t>
            </w:r>
            <w:proofErr w:type="spellStart"/>
            <w:r>
              <w:rPr>
                <w:sz w:val="22"/>
                <w:szCs w:val="22"/>
                <w:lang w:eastAsia="es-UY"/>
              </w:rPr>
              <w:t>of</w:t>
            </w:r>
            <w:proofErr w:type="spellEnd"/>
            <w:r>
              <w:rPr>
                <w:sz w:val="22"/>
                <w:szCs w:val="22"/>
                <w:lang w:eastAsia="es-UY"/>
              </w:rPr>
              <w:t xml:space="preserve"> </w:t>
            </w:r>
            <w:proofErr w:type="spellStart"/>
            <w:r>
              <w:rPr>
                <w:sz w:val="22"/>
                <w:szCs w:val="22"/>
                <w:lang w:eastAsia="es-UY"/>
              </w:rPr>
              <w:t>the</w:t>
            </w:r>
            <w:proofErr w:type="spellEnd"/>
            <w:r>
              <w:rPr>
                <w:sz w:val="22"/>
                <w:szCs w:val="22"/>
                <w:lang w:eastAsia="es-UY"/>
              </w:rPr>
              <w:t xml:space="preserve"> </w:t>
            </w:r>
            <w:proofErr w:type="spellStart"/>
            <w:r>
              <w:rPr>
                <w:sz w:val="22"/>
                <w:szCs w:val="22"/>
                <w:lang w:eastAsia="es-UY"/>
              </w:rPr>
              <w:t>following</w:t>
            </w:r>
            <w:proofErr w:type="spellEnd"/>
            <w:r>
              <w:rPr>
                <w:sz w:val="22"/>
                <w:szCs w:val="22"/>
                <w:lang w:eastAsia="es-UY"/>
              </w:rPr>
              <w:t xml:space="preserve"> </w:t>
            </w:r>
            <w:proofErr w:type="spellStart"/>
            <w:r>
              <w:rPr>
                <w:sz w:val="22"/>
                <w:szCs w:val="22"/>
                <w:lang w:eastAsia="es-UY"/>
              </w:rPr>
              <w:t>options</w:t>
            </w:r>
            <w:proofErr w:type="spellEnd"/>
            <w:r>
              <w:rPr>
                <w:sz w:val="22"/>
                <w:szCs w:val="22"/>
                <w:lang w:eastAsia="es-UY"/>
              </w:rPr>
              <w:t xml:space="preserve">, </w:t>
            </w:r>
            <w:proofErr w:type="spellStart"/>
            <w:r>
              <w:rPr>
                <w:sz w:val="22"/>
                <w:szCs w:val="22"/>
                <w:lang w:eastAsia="es-UY"/>
              </w:rPr>
              <w:t>without</w:t>
            </w:r>
            <w:proofErr w:type="spellEnd"/>
            <w:r>
              <w:rPr>
                <w:sz w:val="22"/>
                <w:szCs w:val="22"/>
                <w:lang w:eastAsia="es-UY"/>
              </w:rPr>
              <w:t xml:space="preserve"> </w:t>
            </w:r>
            <w:proofErr w:type="spellStart"/>
            <w:r>
              <w:rPr>
                <w:sz w:val="22"/>
                <w:szCs w:val="22"/>
                <w:lang w:eastAsia="es-UY"/>
              </w:rPr>
              <w:t>requiring</w:t>
            </w:r>
            <w:proofErr w:type="spellEnd"/>
            <w:r>
              <w:rPr>
                <w:sz w:val="22"/>
                <w:szCs w:val="22"/>
                <w:lang w:eastAsia="es-UY"/>
              </w:rPr>
              <w:t xml:space="preserve"> </w:t>
            </w:r>
            <w:proofErr w:type="spellStart"/>
            <w:r>
              <w:rPr>
                <w:sz w:val="22"/>
                <w:szCs w:val="22"/>
                <w:lang w:eastAsia="es-UY"/>
              </w:rPr>
              <w:t>the</w:t>
            </w:r>
            <w:proofErr w:type="spellEnd"/>
            <w:r>
              <w:rPr>
                <w:sz w:val="22"/>
                <w:szCs w:val="22"/>
                <w:lang w:eastAsia="es-UY"/>
              </w:rPr>
              <w:t xml:space="preserve"> </w:t>
            </w:r>
            <w:proofErr w:type="spellStart"/>
            <w:r>
              <w:rPr>
                <w:sz w:val="22"/>
                <w:szCs w:val="22"/>
                <w:lang w:eastAsia="es-UY"/>
              </w:rPr>
              <w:t>addition</w:t>
            </w:r>
            <w:proofErr w:type="spellEnd"/>
            <w:r>
              <w:rPr>
                <w:sz w:val="22"/>
                <w:szCs w:val="22"/>
                <w:lang w:eastAsia="es-UY"/>
              </w:rPr>
              <w:t xml:space="preserve"> </w:t>
            </w:r>
            <w:proofErr w:type="spellStart"/>
            <w:r>
              <w:rPr>
                <w:sz w:val="22"/>
                <w:szCs w:val="22"/>
                <w:lang w:eastAsia="es-UY"/>
              </w:rPr>
              <w:t>of</w:t>
            </w:r>
            <w:proofErr w:type="spellEnd"/>
            <w:r>
              <w:rPr>
                <w:sz w:val="22"/>
                <w:szCs w:val="22"/>
                <w:lang w:eastAsia="es-UY"/>
              </w:rPr>
              <w:t xml:space="preserve"> copies:</w:t>
            </w:r>
          </w:p>
          <w:p w14:paraId="331DCC44" w14:textId="77777777" w:rsidR="00E255F4" w:rsidRDefault="00E255F4">
            <w:pPr>
              <w:spacing w:line="240" w:lineRule="auto"/>
              <w:ind w:left="720"/>
              <w:rPr>
                <w:sz w:val="22"/>
                <w:szCs w:val="22"/>
                <w:lang w:eastAsia="es-UY"/>
              </w:rPr>
            </w:pPr>
          </w:p>
          <w:p w14:paraId="19320D5E" w14:textId="77777777" w:rsidR="00E255F4" w:rsidRDefault="00000000">
            <w:pPr>
              <w:numPr>
                <w:ilvl w:val="0"/>
                <w:numId w:val="54"/>
              </w:numPr>
              <w:spacing w:line="240" w:lineRule="auto"/>
              <w:contextualSpacing/>
              <w:jc w:val="both"/>
            </w:pPr>
            <w:r>
              <w:rPr>
                <w:sz w:val="22"/>
                <w:szCs w:val="22"/>
                <w:lang w:eastAsia="es-UY"/>
              </w:rPr>
              <w:t xml:space="preserve">original </w:t>
            </w:r>
            <w:proofErr w:type="spellStart"/>
            <w:r>
              <w:rPr>
                <w:sz w:val="22"/>
                <w:szCs w:val="22"/>
                <w:lang w:eastAsia="es-UY"/>
              </w:rPr>
              <w:t>paper</w:t>
            </w:r>
            <w:proofErr w:type="spellEnd"/>
            <w:r>
              <w:rPr>
                <w:sz w:val="22"/>
                <w:szCs w:val="22"/>
                <w:lang w:eastAsia="es-UY"/>
              </w:rPr>
              <w:t xml:space="preserve"> in </w:t>
            </w:r>
            <w:proofErr w:type="spellStart"/>
            <w:r>
              <w:rPr>
                <w:sz w:val="22"/>
                <w:szCs w:val="22"/>
                <w:lang w:eastAsia="es-UY"/>
              </w:rPr>
              <w:t>separate</w:t>
            </w:r>
            <w:proofErr w:type="spellEnd"/>
            <w:r>
              <w:rPr>
                <w:sz w:val="22"/>
                <w:szCs w:val="22"/>
                <w:lang w:eastAsia="es-UY"/>
              </w:rPr>
              <w:t xml:space="preserve"> </w:t>
            </w:r>
            <w:proofErr w:type="spellStart"/>
            <w:r>
              <w:rPr>
                <w:sz w:val="22"/>
                <w:szCs w:val="22"/>
                <w:lang w:eastAsia="es-UY"/>
              </w:rPr>
              <w:t>sealed</w:t>
            </w:r>
            <w:proofErr w:type="spellEnd"/>
            <w:r>
              <w:rPr>
                <w:sz w:val="22"/>
                <w:szCs w:val="22"/>
                <w:lang w:eastAsia="es-UY"/>
              </w:rPr>
              <w:t xml:space="preserve"> </w:t>
            </w:r>
            <w:proofErr w:type="spellStart"/>
            <w:r>
              <w:rPr>
                <w:sz w:val="22"/>
                <w:szCs w:val="22"/>
                <w:lang w:eastAsia="es-UY"/>
              </w:rPr>
              <w:t>envelope</w:t>
            </w:r>
            <w:proofErr w:type="spellEnd"/>
          </w:p>
          <w:p w14:paraId="30379F9F" w14:textId="77777777" w:rsidR="00E255F4" w:rsidRDefault="00000000">
            <w:pPr>
              <w:numPr>
                <w:ilvl w:val="0"/>
                <w:numId w:val="54"/>
              </w:numPr>
              <w:spacing w:line="240" w:lineRule="auto"/>
              <w:contextualSpacing/>
              <w:jc w:val="both"/>
              <w:rPr>
                <w:sz w:val="22"/>
                <w:szCs w:val="22"/>
                <w:lang w:eastAsia="es-UY"/>
              </w:rPr>
            </w:pPr>
            <w:proofErr w:type="spellStart"/>
            <w:r>
              <w:rPr>
                <w:sz w:val="22"/>
                <w:szCs w:val="22"/>
                <w:lang w:eastAsia="es-UY"/>
              </w:rPr>
              <w:t>or</w:t>
            </w:r>
            <w:proofErr w:type="spellEnd"/>
            <w:r>
              <w:rPr>
                <w:sz w:val="22"/>
                <w:szCs w:val="22"/>
                <w:lang w:eastAsia="es-UY"/>
              </w:rPr>
              <w:t xml:space="preserve"> as a </w:t>
            </w:r>
            <w:proofErr w:type="spellStart"/>
            <w:r>
              <w:rPr>
                <w:sz w:val="22"/>
                <w:szCs w:val="22"/>
                <w:lang w:eastAsia="es-UY"/>
              </w:rPr>
              <w:t>separate</w:t>
            </w:r>
            <w:proofErr w:type="spellEnd"/>
            <w:r>
              <w:rPr>
                <w:sz w:val="22"/>
                <w:szCs w:val="22"/>
                <w:lang w:eastAsia="es-UY"/>
              </w:rPr>
              <w:t xml:space="preserve"> digital file (USB drive)</w:t>
            </w:r>
          </w:p>
          <w:p w14:paraId="60F373BF" w14:textId="77777777" w:rsidR="00E255F4" w:rsidRDefault="00E255F4">
            <w:pPr>
              <w:spacing w:line="240" w:lineRule="auto"/>
              <w:ind w:left="1380"/>
              <w:contextualSpacing/>
              <w:jc w:val="both"/>
              <w:rPr>
                <w:sz w:val="22"/>
                <w:szCs w:val="22"/>
                <w:lang w:eastAsia="es-UY"/>
              </w:rPr>
            </w:pPr>
          </w:p>
          <w:p w14:paraId="76AC502F" w14:textId="77777777" w:rsidR="00E255F4" w:rsidRDefault="00000000">
            <w:pPr>
              <w:spacing w:line="240" w:lineRule="auto"/>
              <w:jc w:val="both"/>
            </w:pPr>
            <w:r>
              <w:rPr>
                <w:sz w:val="22"/>
                <w:szCs w:val="22"/>
                <w:lang w:eastAsia="es-UY"/>
              </w:rPr>
              <w:t xml:space="preserve">In </w:t>
            </w:r>
            <w:proofErr w:type="spellStart"/>
            <w:r>
              <w:rPr>
                <w:sz w:val="22"/>
                <w:szCs w:val="22"/>
                <w:lang w:eastAsia="es-UY"/>
              </w:rPr>
              <w:t>its</w:t>
            </w:r>
            <w:proofErr w:type="spellEnd"/>
            <w:r>
              <w:rPr>
                <w:sz w:val="22"/>
                <w:szCs w:val="22"/>
                <w:lang w:eastAsia="es-UY"/>
              </w:rPr>
              <w:t xml:space="preserve"> </w:t>
            </w:r>
            <w:proofErr w:type="spellStart"/>
            <w:r>
              <w:rPr>
                <w:sz w:val="22"/>
                <w:szCs w:val="22"/>
                <w:lang w:eastAsia="es-UY"/>
              </w:rPr>
              <w:t>submission</w:t>
            </w:r>
            <w:proofErr w:type="spellEnd"/>
            <w:r>
              <w:rPr>
                <w:sz w:val="22"/>
                <w:szCs w:val="22"/>
                <w:lang w:eastAsia="es-UY"/>
              </w:rPr>
              <w:t xml:space="preserve">, </w:t>
            </w:r>
            <w:proofErr w:type="spellStart"/>
            <w:r>
              <w:rPr>
                <w:sz w:val="22"/>
                <w:szCs w:val="22"/>
                <w:lang w:eastAsia="es-UY"/>
              </w:rPr>
              <w:t>the</w:t>
            </w:r>
            <w:proofErr w:type="spellEnd"/>
            <w:r>
              <w:rPr>
                <w:sz w:val="22"/>
                <w:szCs w:val="22"/>
                <w:lang w:eastAsia="es-UY"/>
              </w:rPr>
              <w:t xml:space="preserve"> </w:t>
            </w:r>
            <w:proofErr w:type="spellStart"/>
            <w:r>
              <w:rPr>
                <w:sz w:val="22"/>
                <w:szCs w:val="22"/>
                <w:lang w:eastAsia="es-UY"/>
              </w:rPr>
              <w:t>requirements</w:t>
            </w:r>
            <w:proofErr w:type="spellEnd"/>
            <w:r>
              <w:rPr>
                <w:sz w:val="22"/>
                <w:szCs w:val="22"/>
                <w:lang w:eastAsia="es-UY"/>
              </w:rPr>
              <w:t xml:space="preserve"> </w:t>
            </w:r>
            <w:proofErr w:type="spellStart"/>
            <w:r>
              <w:rPr>
                <w:sz w:val="22"/>
                <w:szCs w:val="22"/>
                <w:lang w:eastAsia="es-UY"/>
              </w:rPr>
              <w:t>established</w:t>
            </w:r>
            <w:proofErr w:type="spellEnd"/>
            <w:r>
              <w:rPr>
                <w:sz w:val="22"/>
                <w:szCs w:val="22"/>
                <w:lang w:eastAsia="es-UY"/>
              </w:rPr>
              <w:t xml:space="preserve"> in </w:t>
            </w:r>
            <w:proofErr w:type="spellStart"/>
            <w:r>
              <w:rPr>
                <w:sz w:val="22"/>
                <w:szCs w:val="22"/>
                <w:lang w:eastAsia="es-UY"/>
              </w:rPr>
              <w:t>Article</w:t>
            </w:r>
            <w:proofErr w:type="spellEnd"/>
            <w:r>
              <w:rPr>
                <w:sz w:val="22"/>
                <w:szCs w:val="22"/>
                <w:lang w:eastAsia="es-UY"/>
              </w:rPr>
              <w:t xml:space="preserve"> 12.2 </w:t>
            </w:r>
            <w:proofErr w:type="spellStart"/>
            <w:r>
              <w:rPr>
                <w:sz w:val="22"/>
                <w:szCs w:val="22"/>
                <w:lang w:eastAsia="es-UY"/>
              </w:rPr>
              <w:t>of</w:t>
            </w:r>
            <w:proofErr w:type="spellEnd"/>
            <w:r>
              <w:rPr>
                <w:sz w:val="22"/>
                <w:szCs w:val="22"/>
                <w:lang w:eastAsia="es-UY"/>
              </w:rPr>
              <w:t xml:space="preserve"> </w:t>
            </w:r>
            <w:proofErr w:type="spellStart"/>
            <w:r>
              <w:rPr>
                <w:sz w:val="22"/>
                <w:szCs w:val="22"/>
                <w:lang w:eastAsia="es-UY"/>
              </w:rPr>
              <w:t>these</w:t>
            </w:r>
            <w:proofErr w:type="spellEnd"/>
            <w:r>
              <w:rPr>
                <w:sz w:val="22"/>
                <w:szCs w:val="22"/>
                <w:lang w:eastAsia="es-UY"/>
              </w:rPr>
              <w:t xml:space="preserve"> </w:t>
            </w:r>
            <w:proofErr w:type="spellStart"/>
            <w:r>
              <w:rPr>
                <w:sz w:val="22"/>
                <w:szCs w:val="22"/>
                <w:lang w:eastAsia="es-UY"/>
              </w:rPr>
              <w:t>Terms</w:t>
            </w:r>
            <w:proofErr w:type="spellEnd"/>
            <w:r>
              <w:rPr>
                <w:sz w:val="22"/>
                <w:szCs w:val="22"/>
                <w:lang w:eastAsia="es-UY"/>
              </w:rPr>
              <w:t xml:space="preserve"> and </w:t>
            </w:r>
            <w:proofErr w:type="spellStart"/>
            <w:r>
              <w:rPr>
                <w:sz w:val="22"/>
                <w:szCs w:val="22"/>
                <w:lang w:eastAsia="es-UY"/>
              </w:rPr>
              <w:t>Conditions</w:t>
            </w:r>
            <w:proofErr w:type="spellEnd"/>
            <w:r>
              <w:rPr>
                <w:sz w:val="22"/>
                <w:szCs w:val="22"/>
                <w:lang w:eastAsia="es-UY"/>
              </w:rPr>
              <w:t xml:space="preserve"> </w:t>
            </w:r>
            <w:proofErr w:type="spellStart"/>
            <w:r>
              <w:rPr>
                <w:sz w:val="22"/>
                <w:szCs w:val="22"/>
                <w:lang w:eastAsia="es-UY"/>
              </w:rPr>
              <w:t>must</w:t>
            </w:r>
            <w:proofErr w:type="spellEnd"/>
            <w:r>
              <w:rPr>
                <w:sz w:val="22"/>
                <w:szCs w:val="22"/>
                <w:lang w:eastAsia="es-UY"/>
              </w:rPr>
              <w:t xml:space="preserve"> be </w:t>
            </w:r>
            <w:proofErr w:type="spellStart"/>
            <w:r>
              <w:rPr>
                <w:sz w:val="22"/>
                <w:szCs w:val="22"/>
                <w:lang w:eastAsia="es-UY"/>
              </w:rPr>
              <w:t>met</w:t>
            </w:r>
            <w:proofErr w:type="spellEnd"/>
            <w:r>
              <w:rPr>
                <w:sz w:val="22"/>
                <w:szCs w:val="22"/>
                <w:lang w:eastAsia="es-UY"/>
              </w:rPr>
              <w:t xml:space="preserve">. In case </w:t>
            </w:r>
            <w:proofErr w:type="spellStart"/>
            <w:r>
              <w:rPr>
                <w:sz w:val="22"/>
                <w:szCs w:val="22"/>
                <w:lang w:eastAsia="es-UY"/>
              </w:rPr>
              <w:t>of</w:t>
            </w:r>
            <w:proofErr w:type="spellEnd"/>
            <w:r>
              <w:rPr>
                <w:sz w:val="22"/>
                <w:szCs w:val="22"/>
                <w:lang w:eastAsia="es-UY"/>
              </w:rPr>
              <w:t xml:space="preserve"> non-</w:t>
            </w:r>
            <w:proofErr w:type="spellStart"/>
            <w:r>
              <w:rPr>
                <w:sz w:val="22"/>
                <w:szCs w:val="22"/>
                <w:lang w:eastAsia="es-UY"/>
              </w:rPr>
              <w:t>compliance</w:t>
            </w:r>
            <w:proofErr w:type="spellEnd"/>
            <w:r>
              <w:rPr>
                <w:sz w:val="22"/>
                <w:szCs w:val="22"/>
                <w:lang w:eastAsia="es-UY"/>
              </w:rPr>
              <w:t xml:space="preserve"> </w:t>
            </w:r>
            <w:proofErr w:type="spellStart"/>
            <w:r>
              <w:rPr>
                <w:sz w:val="22"/>
                <w:szCs w:val="22"/>
                <w:lang w:eastAsia="es-UY"/>
              </w:rPr>
              <w:t>with</w:t>
            </w:r>
            <w:proofErr w:type="spellEnd"/>
            <w:r>
              <w:rPr>
                <w:sz w:val="22"/>
                <w:szCs w:val="22"/>
                <w:lang w:eastAsia="es-UY"/>
              </w:rPr>
              <w:t xml:space="preserve"> </w:t>
            </w:r>
            <w:proofErr w:type="spellStart"/>
            <w:r>
              <w:rPr>
                <w:sz w:val="22"/>
                <w:szCs w:val="22"/>
                <w:lang w:eastAsia="es-UY"/>
              </w:rPr>
              <w:t>any</w:t>
            </w:r>
            <w:proofErr w:type="spellEnd"/>
            <w:r>
              <w:rPr>
                <w:sz w:val="22"/>
                <w:szCs w:val="22"/>
                <w:lang w:eastAsia="es-UY"/>
              </w:rPr>
              <w:t xml:space="preserve"> </w:t>
            </w:r>
            <w:proofErr w:type="spellStart"/>
            <w:r>
              <w:rPr>
                <w:sz w:val="22"/>
                <w:szCs w:val="22"/>
                <w:lang w:eastAsia="es-UY"/>
              </w:rPr>
              <w:t>of</w:t>
            </w:r>
            <w:proofErr w:type="spellEnd"/>
            <w:r>
              <w:rPr>
                <w:sz w:val="22"/>
                <w:szCs w:val="22"/>
                <w:lang w:eastAsia="es-UY"/>
              </w:rPr>
              <w:t xml:space="preserve"> </w:t>
            </w:r>
            <w:proofErr w:type="spellStart"/>
            <w:r>
              <w:rPr>
                <w:sz w:val="22"/>
                <w:szCs w:val="22"/>
                <w:lang w:eastAsia="es-UY"/>
              </w:rPr>
              <w:t>them</w:t>
            </w:r>
            <w:proofErr w:type="spellEnd"/>
            <w:r>
              <w:rPr>
                <w:sz w:val="22"/>
                <w:szCs w:val="22"/>
                <w:lang w:eastAsia="es-UY"/>
              </w:rPr>
              <w:t xml:space="preserve">, </w:t>
            </w:r>
            <w:proofErr w:type="spellStart"/>
            <w:r>
              <w:rPr>
                <w:sz w:val="22"/>
                <w:szCs w:val="22"/>
                <w:lang w:eastAsia="es-UY"/>
              </w:rPr>
              <w:t>whether</w:t>
            </w:r>
            <w:proofErr w:type="spellEnd"/>
            <w:r>
              <w:rPr>
                <w:sz w:val="22"/>
                <w:szCs w:val="22"/>
                <w:lang w:eastAsia="es-UY"/>
              </w:rPr>
              <w:t xml:space="preserve"> </w:t>
            </w:r>
            <w:proofErr w:type="spellStart"/>
            <w:r>
              <w:rPr>
                <w:sz w:val="22"/>
                <w:szCs w:val="22"/>
                <w:lang w:eastAsia="es-UY"/>
              </w:rPr>
              <w:t>due</w:t>
            </w:r>
            <w:proofErr w:type="spellEnd"/>
            <w:r>
              <w:rPr>
                <w:sz w:val="22"/>
                <w:szCs w:val="22"/>
                <w:lang w:eastAsia="es-UY"/>
              </w:rPr>
              <w:t xml:space="preserve"> </w:t>
            </w:r>
            <w:proofErr w:type="spellStart"/>
            <w:r>
              <w:rPr>
                <w:sz w:val="22"/>
                <w:szCs w:val="22"/>
                <w:lang w:eastAsia="es-UY"/>
              </w:rPr>
              <w:t>to</w:t>
            </w:r>
            <w:proofErr w:type="spellEnd"/>
            <w:r>
              <w:rPr>
                <w:sz w:val="22"/>
                <w:szCs w:val="22"/>
                <w:lang w:eastAsia="es-UY"/>
              </w:rPr>
              <w:t xml:space="preserve">: </w:t>
            </w:r>
            <w:proofErr w:type="spellStart"/>
            <w:r>
              <w:rPr>
                <w:sz w:val="22"/>
                <w:szCs w:val="22"/>
                <w:lang w:eastAsia="es-UY"/>
              </w:rPr>
              <w:t>failure</w:t>
            </w:r>
            <w:proofErr w:type="spellEnd"/>
            <w:r>
              <w:rPr>
                <w:sz w:val="22"/>
                <w:szCs w:val="22"/>
                <w:lang w:eastAsia="es-UY"/>
              </w:rPr>
              <w:t xml:space="preserve"> </w:t>
            </w:r>
            <w:proofErr w:type="spellStart"/>
            <w:r>
              <w:rPr>
                <w:sz w:val="22"/>
                <w:szCs w:val="22"/>
                <w:lang w:eastAsia="es-UY"/>
              </w:rPr>
              <w:t>to</w:t>
            </w:r>
            <w:proofErr w:type="spellEnd"/>
            <w:r>
              <w:rPr>
                <w:sz w:val="22"/>
                <w:szCs w:val="22"/>
                <w:lang w:eastAsia="es-UY"/>
              </w:rPr>
              <w:t xml:space="preserve"> </w:t>
            </w:r>
            <w:proofErr w:type="spellStart"/>
            <w:r>
              <w:rPr>
                <w:sz w:val="22"/>
                <w:szCs w:val="22"/>
                <w:lang w:eastAsia="es-UY"/>
              </w:rPr>
              <w:t>submit</w:t>
            </w:r>
            <w:proofErr w:type="spellEnd"/>
            <w:r>
              <w:rPr>
                <w:sz w:val="22"/>
                <w:szCs w:val="22"/>
                <w:lang w:eastAsia="es-UY"/>
              </w:rPr>
              <w:t xml:space="preserve"> a “non-</w:t>
            </w:r>
            <w:proofErr w:type="spellStart"/>
            <w:r>
              <w:rPr>
                <w:sz w:val="22"/>
                <w:szCs w:val="22"/>
                <w:lang w:eastAsia="es-UY"/>
              </w:rPr>
              <w:t>confidential</w:t>
            </w:r>
            <w:proofErr w:type="spellEnd"/>
            <w:r>
              <w:rPr>
                <w:sz w:val="22"/>
                <w:szCs w:val="22"/>
                <w:lang w:eastAsia="es-UY"/>
              </w:rPr>
              <w:t xml:space="preserve"> </w:t>
            </w:r>
            <w:proofErr w:type="spellStart"/>
            <w:r>
              <w:rPr>
                <w:sz w:val="22"/>
                <w:szCs w:val="22"/>
                <w:lang w:eastAsia="es-UY"/>
              </w:rPr>
              <w:t>summary</w:t>
            </w:r>
            <w:proofErr w:type="spellEnd"/>
            <w:r>
              <w:rPr>
                <w:sz w:val="22"/>
                <w:szCs w:val="22"/>
                <w:lang w:eastAsia="es-UY"/>
              </w:rPr>
              <w:t xml:space="preserve">” </w:t>
            </w:r>
            <w:proofErr w:type="spellStart"/>
            <w:r>
              <w:rPr>
                <w:sz w:val="22"/>
                <w:szCs w:val="22"/>
                <w:lang w:eastAsia="es-UY"/>
              </w:rPr>
              <w:t>under</w:t>
            </w:r>
            <w:proofErr w:type="spellEnd"/>
            <w:r>
              <w:rPr>
                <w:sz w:val="22"/>
                <w:szCs w:val="22"/>
                <w:lang w:eastAsia="es-UY"/>
              </w:rPr>
              <w:t xml:space="preserve"> </w:t>
            </w:r>
            <w:proofErr w:type="spellStart"/>
            <w:r>
              <w:rPr>
                <w:sz w:val="22"/>
                <w:szCs w:val="22"/>
                <w:lang w:eastAsia="es-UY"/>
              </w:rPr>
              <w:t>the</w:t>
            </w:r>
            <w:proofErr w:type="spellEnd"/>
            <w:r>
              <w:rPr>
                <w:sz w:val="22"/>
                <w:szCs w:val="22"/>
                <w:lang w:eastAsia="es-UY"/>
              </w:rPr>
              <w:t xml:space="preserve"> </w:t>
            </w:r>
            <w:proofErr w:type="spellStart"/>
            <w:r>
              <w:rPr>
                <w:sz w:val="22"/>
                <w:szCs w:val="22"/>
                <w:lang w:eastAsia="es-UY"/>
              </w:rPr>
              <w:t>conditions</w:t>
            </w:r>
            <w:proofErr w:type="spellEnd"/>
            <w:r>
              <w:rPr>
                <w:sz w:val="22"/>
                <w:szCs w:val="22"/>
                <w:lang w:eastAsia="es-UY"/>
              </w:rPr>
              <w:t xml:space="preserve"> </w:t>
            </w:r>
            <w:proofErr w:type="spellStart"/>
            <w:r>
              <w:rPr>
                <w:sz w:val="22"/>
                <w:szCs w:val="22"/>
                <w:lang w:eastAsia="es-UY"/>
              </w:rPr>
              <w:t>detailed</w:t>
            </w:r>
            <w:proofErr w:type="spellEnd"/>
            <w:r>
              <w:rPr>
                <w:sz w:val="22"/>
                <w:szCs w:val="22"/>
                <w:lang w:eastAsia="es-UY"/>
              </w:rPr>
              <w:t xml:space="preserve"> </w:t>
            </w:r>
            <w:proofErr w:type="spellStart"/>
            <w:r>
              <w:rPr>
                <w:sz w:val="22"/>
                <w:szCs w:val="22"/>
                <w:lang w:eastAsia="es-UY"/>
              </w:rPr>
              <w:t>therein</w:t>
            </w:r>
            <w:proofErr w:type="spellEnd"/>
            <w:r>
              <w:rPr>
                <w:sz w:val="22"/>
                <w:szCs w:val="22"/>
                <w:lang w:eastAsia="es-UY"/>
              </w:rPr>
              <w:t>, and/</w:t>
            </w:r>
            <w:proofErr w:type="spellStart"/>
            <w:r>
              <w:rPr>
                <w:sz w:val="22"/>
                <w:szCs w:val="22"/>
                <w:lang w:eastAsia="es-UY"/>
              </w:rPr>
              <w:t>or</w:t>
            </w:r>
            <w:proofErr w:type="spellEnd"/>
            <w:r>
              <w:rPr>
                <w:sz w:val="22"/>
                <w:szCs w:val="22"/>
                <w:lang w:eastAsia="es-UY"/>
              </w:rPr>
              <w:t xml:space="preserve"> </w:t>
            </w:r>
            <w:proofErr w:type="spellStart"/>
            <w:r>
              <w:rPr>
                <w:sz w:val="22"/>
                <w:szCs w:val="22"/>
                <w:lang w:eastAsia="es-UY"/>
              </w:rPr>
              <w:t>erroneous</w:t>
            </w:r>
            <w:proofErr w:type="spellEnd"/>
            <w:r>
              <w:rPr>
                <w:sz w:val="22"/>
                <w:szCs w:val="22"/>
                <w:lang w:eastAsia="es-UY"/>
              </w:rPr>
              <w:t xml:space="preserve"> </w:t>
            </w:r>
            <w:proofErr w:type="spellStart"/>
            <w:r>
              <w:rPr>
                <w:sz w:val="22"/>
                <w:szCs w:val="22"/>
                <w:lang w:eastAsia="es-UY"/>
              </w:rPr>
              <w:t>classification</w:t>
            </w:r>
            <w:proofErr w:type="spellEnd"/>
            <w:r>
              <w:rPr>
                <w:sz w:val="22"/>
                <w:szCs w:val="22"/>
                <w:lang w:eastAsia="es-UY"/>
              </w:rPr>
              <w:t xml:space="preserve"> </w:t>
            </w:r>
            <w:proofErr w:type="spellStart"/>
            <w:r>
              <w:rPr>
                <w:sz w:val="22"/>
                <w:szCs w:val="22"/>
                <w:lang w:eastAsia="es-UY"/>
              </w:rPr>
              <w:t>of</w:t>
            </w:r>
            <w:proofErr w:type="spellEnd"/>
            <w:r>
              <w:rPr>
                <w:sz w:val="22"/>
                <w:szCs w:val="22"/>
                <w:lang w:eastAsia="es-UY"/>
              </w:rPr>
              <w:t xml:space="preserve"> </w:t>
            </w:r>
            <w:proofErr w:type="spellStart"/>
            <w:r>
              <w:rPr>
                <w:sz w:val="22"/>
                <w:szCs w:val="22"/>
                <w:lang w:eastAsia="es-UY"/>
              </w:rPr>
              <w:t>the</w:t>
            </w:r>
            <w:proofErr w:type="spellEnd"/>
            <w:r>
              <w:rPr>
                <w:sz w:val="22"/>
                <w:szCs w:val="22"/>
                <w:lang w:eastAsia="es-UY"/>
              </w:rPr>
              <w:t xml:space="preserve"> </w:t>
            </w:r>
            <w:proofErr w:type="spellStart"/>
            <w:r>
              <w:rPr>
                <w:sz w:val="22"/>
                <w:szCs w:val="22"/>
                <w:lang w:eastAsia="es-UY"/>
              </w:rPr>
              <w:t>information</w:t>
            </w:r>
            <w:proofErr w:type="spellEnd"/>
            <w:r>
              <w:rPr>
                <w:sz w:val="22"/>
                <w:szCs w:val="22"/>
                <w:lang w:eastAsia="es-UY"/>
              </w:rPr>
              <w:t xml:space="preserve"> </w:t>
            </w:r>
            <w:proofErr w:type="spellStart"/>
            <w:r>
              <w:rPr>
                <w:sz w:val="22"/>
                <w:szCs w:val="22"/>
                <w:lang w:eastAsia="es-UY"/>
              </w:rPr>
              <w:t>submitted</w:t>
            </w:r>
            <w:proofErr w:type="spellEnd"/>
            <w:r>
              <w:rPr>
                <w:sz w:val="22"/>
                <w:szCs w:val="22"/>
                <w:lang w:eastAsia="es-UY"/>
              </w:rPr>
              <w:t xml:space="preserve"> as </w:t>
            </w:r>
            <w:proofErr w:type="spellStart"/>
            <w:r>
              <w:rPr>
                <w:sz w:val="22"/>
                <w:szCs w:val="22"/>
                <w:lang w:eastAsia="es-UY"/>
              </w:rPr>
              <w:t>confidential</w:t>
            </w:r>
            <w:proofErr w:type="spellEnd"/>
            <w:r>
              <w:rPr>
                <w:sz w:val="22"/>
                <w:szCs w:val="22"/>
                <w:lang w:eastAsia="es-UY"/>
              </w:rPr>
              <w:t xml:space="preserve">, </w:t>
            </w:r>
            <w:proofErr w:type="spellStart"/>
            <w:r>
              <w:rPr>
                <w:sz w:val="22"/>
                <w:szCs w:val="22"/>
                <w:lang w:eastAsia="es-UY"/>
              </w:rPr>
              <w:t>when</w:t>
            </w:r>
            <w:proofErr w:type="spellEnd"/>
            <w:r>
              <w:rPr>
                <w:sz w:val="22"/>
                <w:szCs w:val="22"/>
                <w:lang w:eastAsia="es-UY"/>
              </w:rPr>
              <w:t xml:space="preserve"> </w:t>
            </w:r>
            <w:proofErr w:type="spellStart"/>
            <w:r>
              <w:rPr>
                <w:sz w:val="22"/>
                <w:szCs w:val="22"/>
                <w:lang w:eastAsia="es-UY"/>
              </w:rPr>
              <w:t>it</w:t>
            </w:r>
            <w:proofErr w:type="spellEnd"/>
            <w:r>
              <w:rPr>
                <w:sz w:val="22"/>
                <w:szCs w:val="22"/>
                <w:lang w:eastAsia="es-UY"/>
              </w:rPr>
              <w:t xml:space="preserve"> </w:t>
            </w:r>
            <w:proofErr w:type="spellStart"/>
            <w:r>
              <w:rPr>
                <w:sz w:val="22"/>
                <w:szCs w:val="22"/>
                <w:lang w:eastAsia="es-UY"/>
              </w:rPr>
              <w:t>corresponds</w:t>
            </w:r>
            <w:proofErr w:type="spellEnd"/>
            <w:r>
              <w:rPr>
                <w:sz w:val="22"/>
                <w:szCs w:val="22"/>
                <w:lang w:eastAsia="es-UY"/>
              </w:rPr>
              <w:t xml:space="preserve"> </w:t>
            </w:r>
            <w:proofErr w:type="spellStart"/>
            <w:r>
              <w:rPr>
                <w:sz w:val="22"/>
                <w:szCs w:val="22"/>
                <w:lang w:eastAsia="es-UY"/>
              </w:rPr>
              <w:t>to</w:t>
            </w:r>
            <w:proofErr w:type="spellEnd"/>
            <w:r>
              <w:rPr>
                <w:sz w:val="22"/>
                <w:szCs w:val="22"/>
                <w:lang w:eastAsia="es-UY"/>
              </w:rPr>
              <w:t xml:space="preserve"> </w:t>
            </w:r>
            <w:proofErr w:type="spellStart"/>
            <w:r>
              <w:rPr>
                <w:sz w:val="22"/>
                <w:szCs w:val="22"/>
                <w:lang w:eastAsia="es-UY"/>
              </w:rPr>
              <w:t>that</w:t>
            </w:r>
            <w:proofErr w:type="spellEnd"/>
            <w:r>
              <w:rPr>
                <w:sz w:val="22"/>
                <w:szCs w:val="22"/>
                <w:lang w:eastAsia="es-UY"/>
              </w:rPr>
              <w:t xml:space="preserve"> </w:t>
            </w:r>
            <w:proofErr w:type="spellStart"/>
            <w:r>
              <w:rPr>
                <w:sz w:val="22"/>
                <w:szCs w:val="22"/>
                <w:lang w:eastAsia="es-UY"/>
              </w:rPr>
              <w:t>listed</w:t>
            </w:r>
            <w:proofErr w:type="spellEnd"/>
            <w:r>
              <w:rPr>
                <w:sz w:val="22"/>
                <w:szCs w:val="22"/>
                <w:lang w:eastAsia="es-UY"/>
              </w:rPr>
              <w:t xml:space="preserve"> in </w:t>
            </w:r>
            <w:proofErr w:type="spellStart"/>
            <w:r>
              <w:rPr>
                <w:sz w:val="22"/>
                <w:szCs w:val="22"/>
                <w:lang w:eastAsia="es-UY"/>
              </w:rPr>
              <w:t>the</w:t>
            </w:r>
            <w:proofErr w:type="spellEnd"/>
            <w:r>
              <w:rPr>
                <w:sz w:val="22"/>
                <w:szCs w:val="22"/>
                <w:lang w:eastAsia="es-UY"/>
              </w:rPr>
              <w:t xml:space="preserve"> </w:t>
            </w:r>
            <w:proofErr w:type="spellStart"/>
            <w:r>
              <w:rPr>
                <w:sz w:val="22"/>
                <w:szCs w:val="22"/>
                <w:lang w:eastAsia="es-UY"/>
              </w:rPr>
              <w:t>aforementioned</w:t>
            </w:r>
            <w:proofErr w:type="spellEnd"/>
            <w:r>
              <w:rPr>
                <w:sz w:val="22"/>
                <w:szCs w:val="22"/>
                <w:lang w:eastAsia="es-UY"/>
              </w:rPr>
              <w:t xml:space="preserve"> </w:t>
            </w:r>
            <w:proofErr w:type="spellStart"/>
            <w:r>
              <w:rPr>
                <w:sz w:val="22"/>
                <w:szCs w:val="22"/>
                <w:lang w:eastAsia="es-UY"/>
              </w:rPr>
              <w:t>Article</w:t>
            </w:r>
            <w:proofErr w:type="spellEnd"/>
            <w:r>
              <w:rPr>
                <w:sz w:val="22"/>
                <w:szCs w:val="22"/>
                <w:lang w:eastAsia="es-UY"/>
              </w:rPr>
              <w:t xml:space="preserve"> </w:t>
            </w:r>
            <w:proofErr w:type="spellStart"/>
            <w:r>
              <w:rPr>
                <w:sz w:val="22"/>
                <w:szCs w:val="22"/>
                <w:lang w:eastAsia="es-UY"/>
              </w:rPr>
              <w:t>under</w:t>
            </w:r>
            <w:proofErr w:type="spellEnd"/>
            <w:r>
              <w:rPr>
                <w:sz w:val="22"/>
                <w:szCs w:val="22"/>
                <w:lang w:eastAsia="es-UY"/>
              </w:rPr>
              <w:t xml:space="preserve"> </w:t>
            </w:r>
            <w:proofErr w:type="spellStart"/>
            <w:r>
              <w:rPr>
                <w:sz w:val="22"/>
                <w:szCs w:val="22"/>
                <w:lang w:eastAsia="es-UY"/>
              </w:rPr>
              <w:t>the</w:t>
            </w:r>
            <w:proofErr w:type="spellEnd"/>
            <w:r>
              <w:rPr>
                <w:sz w:val="22"/>
                <w:szCs w:val="22"/>
                <w:lang w:eastAsia="es-UY"/>
              </w:rPr>
              <w:t xml:space="preserve"> </w:t>
            </w:r>
            <w:proofErr w:type="spellStart"/>
            <w:r>
              <w:rPr>
                <w:sz w:val="22"/>
                <w:szCs w:val="22"/>
                <w:lang w:eastAsia="es-UY"/>
              </w:rPr>
              <w:t>subheading</w:t>
            </w:r>
            <w:proofErr w:type="spellEnd"/>
            <w:r>
              <w:rPr>
                <w:sz w:val="22"/>
                <w:szCs w:val="22"/>
                <w:lang w:eastAsia="es-UY"/>
              </w:rPr>
              <w:t xml:space="preserve"> “Will </w:t>
            </w:r>
            <w:proofErr w:type="spellStart"/>
            <w:r>
              <w:rPr>
                <w:sz w:val="22"/>
                <w:szCs w:val="22"/>
                <w:lang w:eastAsia="es-UY"/>
              </w:rPr>
              <w:t>not</w:t>
            </w:r>
            <w:proofErr w:type="spellEnd"/>
            <w:r>
              <w:rPr>
                <w:sz w:val="22"/>
                <w:szCs w:val="22"/>
                <w:lang w:eastAsia="es-UY"/>
              </w:rPr>
              <w:t xml:space="preserve"> be </w:t>
            </w:r>
            <w:proofErr w:type="spellStart"/>
            <w:r>
              <w:rPr>
                <w:sz w:val="22"/>
                <w:szCs w:val="22"/>
                <w:lang w:eastAsia="es-UY"/>
              </w:rPr>
              <w:t>considered</w:t>
            </w:r>
            <w:proofErr w:type="spellEnd"/>
            <w:r>
              <w:rPr>
                <w:sz w:val="22"/>
                <w:szCs w:val="22"/>
                <w:lang w:eastAsia="es-UY"/>
              </w:rPr>
              <w:t xml:space="preserve"> </w:t>
            </w:r>
            <w:proofErr w:type="spellStart"/>
            <w:r>
              <w:rPr>
                <w:sz w:val="22"/>
                <w:szCs w:val="22"/>
                <w:lang w:eastAsia="es-UY"/>
              </w:rPr>
              <w:t>confidential</w:t>
            </w:r>
            <w:proofErr w:type="spellEnd"/>
            <w:r>
              <w:rPr>
                <w:sz w:val="22"/>
                <w:szCs w:val="22"/>
                <w:lang w:eastAsia="es-UY"/>
              </w:rPr>
              <w:t xml:space="preserve"> </w:t>
            </w:r>
            <w:proofErr w:type="spellStart"/>
            <w:r>
              <w:rPr>
                <w:sz w:val="22"/>
                <w:szCs w:val="22"/>
                <w:lang w:eastAsia="es-UY"/>
              </w:rPr>
              <w:t>information</w:t>
            </w:r>
            <w:proofErr w:type="spellEnd"/>
            <w:r>
              <w:rPr>
                <w:sz w:val="22"/>
                <w:szCs w:val="22"/>
                <w:lang w:eastAsia="es-UY"/>
              </w:rPr>
              <w:t xml:space="preserve">”, </w:t>
            </w:r>
            <w:proofErr w:type="spellStart"/>
            <w:r>
              <w:rPr>
                <w:sz w:val="22"/>
                <w:szCs w:val="22"/>
                <w:lang w:eastAsia="es-UY"/>
              </w:rPr>
              <w:t>the</w:t>
            </w:r>
            <w:proofErr w:type="spellEnd"/>
            <w:r>
              <w:rPr>
                <w:sz w:val="22"/>
                <w:szCs w:val="22"/>
                <w:lang w:eastAsia="es-UY"/>
              </w:rPr>
              <w:t xml:space="preserve"> </w:t>
            </w:r>
            <w:proofErr w:type="spellStart"/>
            <w:r>
              <w:rPr>
                <w:sz w:val="22"/>
                <w:szCs w:val="22"/>
                <w:lang w:eastAsia="es-UY"/>
              </w:rPr>
              <w:t>envelope</w:t>
            </w:r>
            <w:proofErr w:type="spellEnd"/>
            <w:r>
              <w:rPr>
                <w:sz w:val="22"/>
                <w:szCs w:val="22"/>
                <w:lang w:eastAsia="es-UY"/>
              </w:rPr>
              <w:t xml:space="preserve"> </w:t>
            </w:r>
            <w:proofErr w:type="spellStart"/>
            <w:r>
              <w:rPr>
                <w:sz w:val="22"/>
                <w:szCs w:val="22"/>
                <w:lang w:eastAsia="es-UY"/>
              </w:rPr>
              <w:t>classified</w:t>
            </w:r>
            <w:proofErr w:type="spellEnd"/>
            <w:r>
              <w:rPr>
                <w:sz w:val="22"/>
                <w:szCs w:val="22"/>
                <w:lang w:eastAsia="es-UY"/>
              </w:rPr>
              <w:t xml:space="preserve"> as “Confidential” </w:t>
            </w:r>
            <w:proofErr w:type="spellStart"/>
            <w:r>
              <w:rPr>
                <w:sz w:val="22"/>
                <w:szCs w:val="22"/>
                <w:lang w:eastAsia="es-UY"/>
              </w:rPr>
              <w:t>will</w:t>
            </w:r>
            <w:proofErr w:type="spellEnd"/>
            <w:r>
              <w:rPr>
                <w:sz w:val="22"/>
                <w:szCs w:val="22"/>
                <w:lang w:eastAsia="es-UY"/>
              </w:rPr>
              <w:t xml:space="preserve"> be </w:t>
            </w:r>
            <w:proofErr w:type="spellStart"/>
            <w:r>
              <w:rPr>
                <w:sz w:val="22"/>
                <w:szCs w:val="22"/>
                <w:lang w:eastAsia="es-UY"/>
              </w:rPr>
              <w:t>opened</w:t>
            </w:r>
            <w:proofErr w:type="spellEnd"/>
            <w:r>
              <w:rPr>
                <w:sz w:val="22"/>
                <w:szCs w:val="22"/>
                <w:lang w:eastAsia="es-UY"/>
              </w:rPr>
              <w:t xml:space="preserve"> at </w:t>
            </w:r>
            <w:proofErr w:type="spellStart"/>
            <w:r>
              <w:rPr>
                <w:sz w:val="22"/>
                <w:szCs w:val="22"/>
                <w:lang w:eastAsia="es-UY"/>
              </w:rPr>
              <w:t>the</w:t>
            </w:r>
            <w:proofErr w:type="spellEnd"/>
            <w:r>
              <w:rPr>
                <w:sz w:val="22"/>
                <w:szCs w:val="22"/>
                <w:lang w:eastAsia="es-UY"/>
              </w:rPr>
              <w:t xml:space="preserve"> </w:t>
            </w:r>
            <w:proofErr w:type="spellStart"/>
            <w:r>
              <w:rPr>
                <w:sz w:val="22"/>
                <w:szCs w:val="22"/>
                <w:lang w:eastAsia="es-UY"/>
              </w:rPr>
              <w:t>Opening</w:t>
            </w:r>
            <w:proofErr w:type="spellEnd"/>
            <w:r>
              <w:rPr>
                <w:sz w:val="22"/>
                <w:szCs w:val="22"/>
                <w:lang w:eastAsia="es-UY"/>
              </w:rPr>
              <w:t xml:space="preserve"> </w:t>
            </w:r>
            <w:proofErr w:type="spellStart"/>
            <w:r>
              <w:rPr>
                <w:sz w:val="22"/>
                <w:szCs w:val="22"/>
                <w:lang w:eastAsia="es-UY"/>
              </w:rPr>
              <w:t>Ceremony</w:t>
            </w:r>
            <w:proofErr w:type="spellEnd"/>
            <w:r>
              <w:rPr>
                <w:sz w:val="22"/>
                <w:szCs w:val="22"/>
                <w:lang w:eastAsia="es-UY"/>
              </w:rPr>
              <w:t>.</w:t>
            </w:r>
          </w:p>
          <w:p w14:paraId="4B8D0732" w14:textId="77777777" w:rsidR="00E255F4" w:rsidRDefault="00E255F4">
            <w:pPr>
              <w:spacing w:line="240" w:lineRule="auto"/>
              <w:jc w:val="both"/>
              <w:rPr>
                <w:sz w:val="22"/>
                <w:szCs w:val="22"/>
                <w:lang w:eastAsia="es-UY"/>
              </w:rPr>
            </w:pPr>
          </w:p>
          <w:p w14:paraId="7C59E732" w14:textId="77777777" w:rsidR="00E255F4" w:rsidRDefault="00000000">
            <w:pPr>
              <w:spacing w:line="240" w:lineRule="auto"/>
              <w:jc w:val="both"/>
              <w:rPr>
                <w:sz w:val="22"/>
                <w:szCs w:val="22"/>
                <w:lang w:eastAsia="es-UY"/>
              </w:rPr>
            </w:pPr>
            <w:r>
              <w:rPr>
                <w:sz w:val="22"/>
                <w:szCs w:val="22"/>
                <w:lang w:eastAsia="es-UY"/>
              </w:rPr>
              <w:t xml:space="preserve">The </w:t>
            </w:r>
            <w:proofErr w:type="spellStart"/>
            <w:r>
              <w:rPr>
                <w:sz w:val="22"/>
                <w:szCs w:val="22"/>
                <w:lang w:eastAsia="es-UY"/>
              </w:rPr>
              <w:t>offer</w:t>
            </w:r>
            <w:proofErr w:type="spellEnd"/>
            <w:r>
              <w:rPr>
                <w:sz w:val="22"/>
                <w:szCs w:val="22"/>
                <w:lang w:eastAsia="es-UY"/>
              </w:rPr>
              <w:t xml:space="preserve">, once </w:t>
            </w:r>
            <w:proofErr w:type="spellStart"/>
            <w:r>
              <w:rPr>
                <w:sz w:val="22"/>
                <w:szCs w:val="22"/>
                <w:lang w:eastAsia="es-UY"/>
              </w:rPr>
              <w:t>formed</w:t>
            </w:r>
            <w:proofErr w:type="spellEnd"/>
            <w:r>
              <w:rPr>
                <w:sz w:val="22"/>
                <w:szCs w:val="22"/>
                <w:lang w:eastAsia="es-UY"/>
              </w:rPr>
              <w:t xml:space="preserve">, </w:t>
            </w:r>
            <w:proofErr w:type="spellStart"/>
            <w:r>
              <w:rPr>
                <w:sz w:val="22"/>
                <w:szCs w:val="22"/>
                <w:lang w:eastAsia="es-UY"/>
              </w:rPr>
              <w:t>will</w:t>
            </w:r>
            <w:proofErr w:type="spellEnd"/>
            <w:r>
              <w:rPr>
                <w:sz w:val="22"/>
                <w:szCs w:val="22"/>
                <w:lang w:eastAsia="es-UY"/>
              </w:rPr>
              <w:t xml:space="preserve"> be </w:t>
            </w:r>
            <w:proofErr w:type="spellStart"/>
            <w:r>
              <w:rPr>
                <w:sz w:val="22"/>
                <w:szCs w:val="22"/>
                <w:lang w:eastAsia="es-UY"/>
              </w:rPr>
              <w:t>submitted</w:t>
            </w:r>
            <w:proofErr w:type="spellEnd"/>
            <w:r>
              <w:rPr>
                <w:sz w:val="22"/>
                <w:szCs w:val="22"/>
                <w:lang w:eastAsia="es-UY"/>
              </w:rPr>
              <w:t xml:space="preserve"> in a </w:t>
            </w:r>
            <w:proofErr w:type="spellStart"/>
            <w:r>
              <w:rPr>
                <w:sz w:val="22"/>
                <w:szCs w:val="22"/>
                <w:lang w:eastAsia="es-UY"/>
              </w:rPr>
              <w:t>sealed</w:t>
            </w:r>
            <w:proofErr w:type="spellEnd"/>
            <w:r>
              <w:rPr>
                <w:sz w:val="22"/>
                <w:szCs w:val="22"/>
                <w:lang w:eastAsia="es-UY"/>
              </w:rPr>
              <w:t xml:space="preserve"> </w:t>
            </w:r>
            <w:proofErr w:type="spellStart"/>
            <w:r>
              <w:rPr>
                <w:sz w:val="22"/>
                <w:szCs w:val="22"/>
                <w:lang w:eastAsia="es-UY"/>
              </w:rPr>
              <w:t>envelope</w:t>
            </w:r>
            <w:proofErr w:type="spellEnd"/>
            <w:r>
              <w:rPr>
                <w:sz w:val="22"/>
                <w:szCs w:val="22"/>
                <w:lang w:eastAsia="es-UY"/>
              </w:rPr>
              <w:t xml:space="preserve"> </w:t>
            </w:r>
            <w:proofErr w:type="spellStart"/>
            <w:r>
              <w:rPr>
                <w:sz w:val="22"/>
                <w:szCs w:val="22"/>
                <w:lang w:eastAsia="es-UY"/>
              </w:rPr>
              <w:t>by</w:t>
            </w:r>
            <w:proofErr w:type="spellEnd"/>
            <w:r>
              <w:rPr>
                <w:sz w:val="22"/>
                <w:szCs w:val="22"/>
                <w:lang w:eastAsia="es-UY"/>
              </w:rPr>
              <w:t xml:space="preserve"> </w:t>
            </w:r>
            <w:proofErr w:type="spellStart"/>
            <w:r>
              <w:rPr>
                <w:sz w:val="22"/>
                <w:szCs w:val="22"/>
                <w:lang w:eastAsia="es-UY"/>
              </w:rPr>
              <w:t>the</w:t>
            </w:r>
            <w:proofErr w:type="spellEnd"/>
            <w:r>
              <w:rPr>
                <w:sz w:val="22"/>
                <w:szCs w:val="22"/>
                <w:lang w:eastAsia="es-UY"/>
              </w:rPr>
              <w:t xml:space="preserve"> time set </w:t>
            </w:r>
            <w:proofErr w:type="spellStart"/>
            <w:r>
              <w:rPr>
                <w:sz w:val="22"/>
                <w:szCs w:val="22"/>
                <w:lang w:eastAsia="es-UY"/>
              </w:rPr>
              <w:t>for</w:t>
            </w:r>
            <w:proofErr w:type="spellEnd"/>
            <w:r>
              <w:rPr>
                <w:sz w:val="22"/>
                <w:szCs w:val="22"/>
                <w:lang w:eastAsia="es-UY"/>
              </w:rPr>
              <w:t xml:space="preserve"> </w:t>
            </w:r>
            <w:proofErr w:type="spellStart"/>
            <w:r>
              <w:rPr>
                <w:sz w:val="22"/>
                <w:szCs w:val="22"/>
                <w:lang w:eastAsia="es-UY"/>
              </w:rPr>
              <w:t>opening</w:t>
            </w:r>
            <w:proofErr w:type="spellEnd"/>
            <w:r>
              <w:rPr>
                <w:sz w:val="22"/>
                <w:szCs w:val="22"/>
                <w:lang w:eastAsia="es-UY"/>
              </w:rPr>
              <w:t xml:space="preserve"> at </w:t>
            </w:r>
            <w:proofErr w:type="spellStart"/>
            <w:r>
              <w:rPr>
                <w:sz w:val="22"/>
                <w:szCs w:val="22"/>
                <w:lang w:eastAsia="es-UY"/>
              </w:rPr>
              <w:t>the</w:t>
            </w:r>
            <w:proofErr w:type="spellEnd"/>
            <w:r>
              <w:rPr>
                <w:sz w:val="22"/>
                <w:szCs w:val="22"/>
                <w:lang w:eastAsia="es-UY"/>
              </w:rPr>
              <w:t xml:space="preserve"> OSE Bidding Office </w:t>
            </w:r>
            <w:proofErr w:type="spellStart"/>
            <w:r>
              <w:rPr>
                <w:sz w:val="22"/>
                <w:szCs w:val="22"/>
                <w:lang w:eastAsia="es-UY"/>
              </w:rPr>
              <w:t>located</w:t>
            </w:r>
            <w:proofErr w:type="spellEnd"/>
            <w:r>
              <w:rPr>
                <w:sz w:val="22"/>
                <w:szCs w:val="22"/>
                <w:lang w:eastAsia="es-UY"/>
              </w:rPr>
              <w:t xml:space="preserve"> at Av. San Martín 3235, Montevideo </w:t>
            </w:r>
            <w:proofErr w:type="spellStart"/>
            <w:r>
              <w:rPr>
                <w:sz w:val="22"/>
                <w:szCs w:val="22"/>
                <w:lang w:eastAsia="es-UY"/>
              </w:rPr>
              <w:t>Department</w:t>
            </w:r>
            <w:proofErr w:type="spellEnd"/>
            <w:r>
              <w:rPr>
                <w:sz w:val="22"/>
                <w:szCs w:val="22"/>
                <w:lang w:eastAsia="es-UY"/>
              </w:rPr>
              <w:t>.</w:t>
            </w:r>
          </w:p>
          <w:p w14:paraId="200767CC" w14:textId="77777777" w:rsidR="00E255F4" w:rsidRDefault="00E255F4">
            <w:pPr>
              <w:spacing w:line="240" w:lineRule="auto"/>
              <w:jc w:val="both"/>
              <w:rPr>
                <w:sz w:val="22"/>
                <w:szCs w:val="22"/>
                <w:lang w:eastAsia="es-UY"/>
              </w:rPr>
            </w:pPr>
          </w:p>
          <w:p w14:paraId="5725AFAF" w14:textId="77777777" w:rsidR="00E255F4" w:rsidRDefault="00000000">
            <w:pPr>
              <w:jc w:val="both"/>
              <w:rPr>
                <w:b/>
                <w:bCs/>
                <w:sz w:val="22"/>
                <w:szCs w:val="22"/>
                <w:lang w:eastAsia="es-UY"/>
              </w:rPr>
            </w:pPr>
            <w:proofErr w:type="spellStart"/>
            <w:r>
              <w:rPr>
                <w:b/>
                <w:bCs/>
                <w:sz w:val="22"/>
                <w:szCs w:val="22"/>
                <w:lang w:eastAsia="es-UY"/>
              </w:rPr>
              <w:t>Please</w:t>
            </w:r>
            <w:proofErr w:type="spellEnd"/>
            <w:r>
              <w:rPr>
                <w:b/>
                <w:bCs/>
                <w:sz w:val="22"/>
                <w:szCs w:val="22"/>
                <w:lang w:eastAsia="es-UY"/>
              </w:rPr>
              <w:t xml:space="preserve"> note </w:t>
            </w:r>
            <w:proofErr w:type="spellStart"/>
            <w:r>
              <w:rPr>
                <w:b/>
                <w:bCs/>
                <w:sz w:val="22"/>
                <w:szCs w:val="22"/>
                <w:lang w:eastAsia="es-UY"/>
              </w:rPr>
              <w:t>that</w:t>
            </w:r>
            <w:proofErr w:type="spellEnd"/>
            <w:r>
              <w:rPr>
                <w:b/>
                <w:bCs/>
                <w:sz w:val="22"/>
                <w:szCs w:val="22"/>
                <w:lang w:eastAsia="es-UY"/>
              </w:rPr>
              <w:t xml:space="preserve"> </w:t>
            </w:r>
            <w:proofErr w:type="spellStart"/>
            <w:r>
              <w:rPr>
                <w:b/>
                <w:bCs/>
                <w:sz w:val="22"/>
                <w:szCs w:val="22"/>
                <w:lang w:eastAsia="es-UY"/>
              </w:rPr>
              <w:t>the</w:t>
            </w:r>
            <w:proofErr w:type="spellEnd"/>
            <w:r>
              <w:rPr>
                <w:b/>
                <w:bCs/>
                <w:sz w:val="22"/>
                <w:szCs w:val="22"/>
                <w:lang w:eastAsia="es-UY"/>
              </w:rPr>
              <w:t xml:space="preserve"> Online Bidding </w:t>
            </w:r>
            <w:proofErr w:type="spellStart"/>
            <w:r>
              <w:rPr>
                <w:b/>
                <w:bCs/>
                <w:sz w:val="22"/>
                <w:szCs w:val="22"/>
                <w:lang w:eastAsia="es-UY"/>
              </w:rPr>
              <w:t>option</w:t>
            </w:r>
            <w:proofErr w:type="spellEnd"/>
            <w:r>
              <w:rPr>
                <w:b/>
                <w:bCs/>
                <w:sz w:val="22"/>
                <w:szCs w:val="22"/>
                <w:lang w:eastAsia="es-UY"/>
              </w:rPr>
              <w:t xml:space="preserve"> </w:t>
            </w:r>
            <w:proofErr w:type="spellStart"/>
            <w:r>
              <w:rPr>
                <w:b/>
                <w:bCs/>
                <w:sz w:val="22"/>
                <w:szCs w:val="22"/>
                <w:lang w:eastAsia="es-UY"/>
              </w:rPr>
              <w:t>is</w:t>
            </w:r>
            <w:proofErr w:type="spellEnd"/>
            <w:r>
              <w:rPr>
                <w:b/>
                <w:bCs/>
                <w:sz w:val="22"/>
                <w:szCs w:val="22"/>
                <w:lang w:eastAsia="es-UY"/>
              </w:rPr>
              <w:t xml:space="preserve"> </w:t>
            </w:r>
            <w:proofErr w:type="spellStart"/>
            <w:r>
              <w:rPr>
                <w:b/>
                <w:bCs/>
                <w:sz w:val="22"/>
                <w:szCs w:val="22"/>
                <w:lang w:eastAsia="es-UY"/>
              </w:rPr>
              <w:t>not</w:t>
            </w:r>
            <w:proofErr w:type="spellEnd"/>
            <w:r>
              <w:rPr>
                <w:b/>
                <w:bCs/>
                <w:sz w:val="22"/>
                <w:szCs w:val="22"/>
                <w:lang w:eastAsia="es-UY"/>
              </w:rPr>
              <w:t xml:space="preserve"> </w:t>
            </w:r>
            <w:proofErr w:type="spellStart"/>
            <w:r>
              <w:rPr>
                <w:b/>
                <w:bCs/>
                <w:sz w:val="22"/>
                <w:szCs w:val="22"/>
                <w:lang w:eastAsia="es-UY"/>
              </w:rPr>
              <w:t>currently</w:t>
            </w:r>
            <w:proofErr w:type="spellEnd"/>
            <w:r>
              <w:rPr>
                <w:b/>
                <w:bCs/>
                <w:sz w:val="22"/>
                <w:szCs w:val="22"/>
                <w:lang w:eastAsia="es-UY"/>
              </w:rPr>
              <w:t xml:space="preserve"> </w:t>
            </w:r>
            <w:proofErr w:type="spellStart"/>
            <w:r>
              <w:rPr>
                <w:b/>
                <w:bCs/>
                <w:sz w:val="22"/>
                <w:szCs w:val="22"/>
                <w:lang w:eastAsia="es-UY"/>
              </w:rPr>
              <w:t>available</w:t>
            </w:r>
            <w:proofErr w:type="spellEnd"/>
            <w:r>
              <w:rPr>
                <w:b/>
                <w:bCs/>
                <w:sz w:val="22"/>
                <w:szCs w:val="22"/>
                <w:lang w:eastAsia="es-UY"/>
              </w:rPr>
              <w:t>.</w:t>
            </w:r>
          </w:p>
          <w:p w14:paraId="5BD1BDB7" w14:textId="77777777" w:rsidR="00E255F4" w:rsidRDefault="00E255F4">
            <w:pPr>
              <w:spacing w:line="240" w:lineRule="auto"/>
              <w:jc w:val="both"/>
              <w:rPr>
                <w:b/>
                <w:bCs/>
                <w:sz w:val="22"/>
                <w:szCs w:val="22"/>
                <w:lang w:eastAsia="es-UY"/>
              </w:rPr>
            </w:pPr>
          </w:p>
          <w:p w14:paraId="1867F9F6" w14:textId="77777777" w:rsidR="00E255F4" w:rsidRDefault="00000000">
            <w:pPr>
              <w:jc w:val="both"/>
              <w:rPr>
                <w:rFonts w:eastAsia="Calibri"/>
                <w:sz w:val="22"/>
                <w:szCs w:val="22"/>
                <w:highlight w:val="yellow"/>
              </w:rPr>
            </w:pPr>
            <w:proofErr w:type="spellStart"/>
            <w:r>
              <w:rPr>
                <w:sz w:val="22"/>
                <w:szCs w:val="22"/>
                <w:lang w:eastAsia="es-UY"/>
              </w:rPr>
              <w:lastRenderedPageBreak/>
              <w:t>Offers</w:t>
            </w:r>
            <w:proofErr w:type="spellEnd"/>
            <w:r>
              <w:rPr>
                <w:sz w:val="22"/>
                <w:szCs w:val="22"/>
                <w:lang w:eastAsia="es-UY"/>
              </w:rPr>
              <w:t xml:space="preserve"> </w:t>
            </w:r>
            <w:proofErr w:type="spellStart"/>
            <w:r>
              <w:rPr>
                <w:sz w:val="22"/>
                <w:szCs w:val="22"/>
                <w:lang w:eastAsia="es-UY"/>
              </w:rPr>
              <w:t>submitted</w:t>
            </w:r>
            <w:proofErr w:type="spellEnd"/>
            <w:r>
              <w:rPr>
                <w:sz w:val="22"/>
                <w:szCs w:val="22"/>
                <w:lang w:eastAsia="es-UY"/>
              </w:rPr>
              <w:t xml:space="preserve"> </w:t>
            </w:r>
            <w:proofErr w:type="spellStart"/>
            <w:r>
              <w:rPr>
                <w:sz w:val="22"/>
                <w:szCs w:val="22"/>
                <w:lang w:eastAsia="es-UY"/>
              </w:rPr>
              <w:t>outside</w:t>
            </w:r>
            <w:proofErr w:type="spellEnd"/>
            <w:r>
              <w:rPr>
                <w:sz w:val="22"/>
                <w:szCs w:val="22"/>
                <w:lang w:eastAsia="es-UY"/>
              </w:rPr>
              <w:t xml:space="preserve"> </w:t>
            </w:r>
            <w:proofErr w:type="spellStart"/>
            <w:r>
              <w:rPr>
                <w:sz w:val="22"/>
                <w:szCs w:val="22"/>
                <w:lang w:eastAsia="es-UY"/>
              </w:rPr>
              <w:t>the</w:t>
            </w:r>
            <w:proofErr w:type="spellEnd"/>
            <w:r>
              <w:rPr>
                <w:sz w:val="22"/>
                <w:szCs w:val="22"/>
                <w:lang w:eastAsia="es-UY"/>
              </w:rPr>
              <w:t xml:space="preserve"> </w:t>
            </w:r>
            <w:proofErr w:type="spellStart"/>
            <w:r>
              <w:rPr>
                <w:sz w:val="22"/>
                <w:szCs w:val="22"/>
                <w:lang w:eastAsia="es-UY"/>
              </w:rPr>
              <w:t>deadline</w:t>
            </w:r>
            <w:proofErr w:type="spellEnd"/>
            <w:r>
              <w:rPr>
                <w:sz w:val="22"/>
                <w:szCs w:val="22"/>
                <w:lang w:eastAsia="es-UY"/>
              </w:rPr>
              <w:t xml:space="preserve"> and time set </w:t>
            </w:r>
            <w:proofErr w:type="spellStart"/>
            <w:r>
              <w:rPr>
                <w:sz w:val="22"/>
                <w:szCs w:val="22"/>
                <w:lang w:eastAsia="es-UY"/>
              </w:rPr>
              <w:t>for</w:t>
            </w:r>
            <w:proofErr w:type="spellEnd"/>
            <w:r>
              <w:rPr>
                <w:sz w:val="22"/>
                <w:szCs w:val="22"/>
                <w:lang w:eastAsia="es-UY"/>
              </w:rPr>
              <w:t xml:space="preserve"> </w:t>
            </w:r>
            <w:proofErr w:type="spellStart"/>
            <w:r>
              <w:rPr>
                <w:sz w:val="22"/>
                <w:szCs w:val="22"/>
                <w:lang w:eastAsia="es-UY"/>
              </w:rPr>
              <w:t>the</w:t>
            </w:r>
            <w:proofErr w:type="spellEnd"/>
            <w:r>
              <w:rPr>
                <w:sz w:val="22"/>
                <w:szCs w:val="22"/>
                <w:lang w:eastAsia="es-UY"/>
              </w:rPr>
              <w:t xml:space="preserve"> </w:t>
            </w:r>
            <w:proofErr w:type="spellStart"/>
            <w:r>
              <w:rPr>
                <w:sz w:val="22"/>
                <w:szCs w:val="22"/>
                <w:lang w:eastAsia="es-UY"/>
              </w:rPr>
              <w:t>opening</w:t>
            </w:r>
            <w:proofErr w:type="spellEnd"/>
            <w:r>
              <w:rPr>
                <w:sz w:val="22"/>
                <w:szCs w:val="22"/>
                <w:lang w:eastAsia="es-UY"/>
              </w:rPr>
              <w:t xml:space="preserve"> </w:t>
            </w:r>
            <w:proofErr w:type="spellStart"/>
            <w:r>
              <w:rPr>
                <w:sz w:val="22"/>
                <w:szCs w:val="22"/>
                <w:lang w:eastAsia="es-UY"/>
              </w:rPr>
              <w:t>of</w:t>
            </w:r>
            <w:proofErr w:type="spellEnd"/>
            <w:r>
              <w:rPr>
                <w:sz w:val="22"/>
                <w:szCs w:val="22"/>
                <w:lang w:eastAsia="es-UY"/>
              </w:rPr>
              <w:t xml:space="preserve"> </w:t>
            </w:r>
            <w:proofErr w:type="spellStart"/>
            <w:r>
              <w:rPr>
                <w:sz w:val="22"/>
                <w:szCs w:val="22"/>
                <w:lang w:eastAsia="es-UY"/>
              </w:rPr>
              <w:t>the</w:t>
            </w:r>
            <w:proofErr w:type="spellEnd"/>
            <w:r>
              <w:rPr>
                <w:sz w:val="22"/>
                <w:szCs w:val="22"/>
                <w:lang w:eastAsia="es-UY"/>
              </w:rPr>
              <w:t xml:space="preserve"> tender </w:t>
            </w:r>
            <w:proofErr w:type="spellStart"/>
            <w:r>
              <w:rPr>
                <w:sz w:val="22"/>
                <w:szCs w:val="22"/>
                <w:lang w:eastAsia="es-UY"/>
              </w:rPr>
              <w:t>will</w:t>
            </w:r>
            <w:proofErr w:type="spellEnd"/>
            <w:r>
              <w:rPr>
                <w:sz w:val="22"/>
                <w:szCs w:val="22"/>
                <w:lang w:eastAsia="es-UY"/>
              </w:rPr>
              <w:t xml:space="preserve"> </w:t>
            </w:r>
            <w:proofErr w:type="spellStart"/>
            <w:r>
              <w:rPr>
                <w:sz w:val="22"/>
                <w:szCs w:val="22"/>
                <w:lang w:eastAsia="es-UY"/>
              </w:rPr>
              <w:t>not</w:t>
            </w:r>
            <w:proofErr w:type="spellEnd"/>
            <w:r>
              <w:rPr>
                <w:sz w:val="22"/>
                <w:szCs w:val="22"/>
                <w:lang w:eastAsia="es-UY"/>
              </w:rPr>
              <w:t xml:space="preserve"> be </w:t>
            </w:r>
            <w:proofErr w:type="spellStart"/>
            <w:r>
              <w:rPr>
                <w:sz w:val="22"/>
                <w:szCs w:val="22"/>
                <w:lang w:eastAsia="es-UY"/>
              </w:rPr>
              <w:t>accepted</w:t>
            </w:r>
            <w:proofErr w:type="spellEnd"/>
            <w:r>
              <w:rPr>
                <w:sz w:val="22"/>
                <w:szCs w:val="22"/>
                <w:lang w:eastAsia="es-UY"/>
              </w:rPr>
              <w:t>.</w:t>
            </w:r>
          </w:p>
        </w:tc>
      </w:tr>
      <w:tr w:rsidR="00E255F4" w14:paraId="57F0C678" w14:textId="77777777">
        <w:tc>
          <w:tcPr>
            <w:tcW w:w="730" w:type="dxa"/>
            <w:tcBorders>
              <w:top w:val="single" w:sz="4" w:space="0" w:color="000000"/>
              <w:left w:val="single" w:sz="4" w:space="0" w:color="000000"/>
              <w:bottom w:val="single" w:sz="4" w:space="0" w:color="000000"/>
              <w:right w:val="single" w:sz="4" w:space="0" w:color="000000"/>
            </w:tcBorders>
          </w:tcPr>
          <w:p w14:paraId="0E5BBABC" w14:textId="77777777" w:rsidR="00E255F4" w:rsidRDefault="00000000">
            <w:pPr>
              <w:ind w:right="-36"/>
              <w:jc w:val="both"/>
              <w:rPr>
                <w:rFonts w:eastAsia="Palatino Linotype"/>
                <w:sz w:val="22"/>
                <w:szCs w:val="22"/>
                <w:lang w:val="es-ES"/>
              </w:rPr>
            </w:pPr>
            <w:r>
              <w:rPr>
                <w:rFonts w:eastAsia="Palatino Linotype"/>
                <w:b/>
                <w:sz w:val="22"/>
                <w:szCs w:val="22"/>
                <w:lang w:val="es-ES"/>
              </w:rPr>
              <w:lastRenderedPageBreak/>
              <w:t>12.2</w:t>
            </w:r>
          </w:p>
        </w:tc>
        <w:tc>
          <w:tcPr>
            <w:tcW w:w="9048" w:type="dxa"/>
            <w:tcBorders>
              <w:top w:val="single" w:sz="4" w:space="0" w:color="000000"/>
              <w:left w:val="single" w:sz="4" w:space="0" w:color="000000"/>
              <w:bottom w:val="single" w:sz="4" w:space="0" w:color="000000"/>
              <w:right w:val="single" w:sz="4" w:space="0" w:color="000000"/>
            </w:tcBorders>
          </w:tcPr>
          <w:p w14:paraId="701774FE" w14:textId="77777777" w:rsidR="00E255F4" w:rsidRDefault="00000000">
            <w:pPr>
              <w:rPr>
                <w:rFonts w:eastAsia="Palatino Linotype"/>
                <w:b/>
                <w:spacing w:val="-1"/>
                <w:position w:val="1"/>
                <w:sz w:val="22"/>
                <w:szCs w:val="22"/>
                <w:lang w:val="es-ES"/>
              </w:rPr>
            </w:pPr>
            <w:proofErr w:type="spellStart"/>
            <w:r>
              <w:rPr>
                <w:rFonts w:eastAsia="Palatino Linotype"/>
                <w:b/>
                <w:spacing w:val="-1"/>
                <w:position w:val="1"/>
                <w:sz w:val="22"/>
                <w:szCs w:val="22"/>
                <w:lang w:val="es-ES"/>
              </w:rPr>
              <w:t>Confidentiality</w:t>
            </w:r>
            <w:proofErr w:type="spellEnd"/>
          </w:p>
          <w:p w14:paraId="4EF0250A" w14:textId="77777777" w:rsidR="00E255F4" w:rsidRDefault="00E255F4">
            <w:pPr>
              <w:tabs>
                <w:tab w:val="left" w:pos="279"/>
              </w:tabs>
              <w:rPr>
                <w:rFonts w:eastAsia="Palatino Linotype"/>
                <w:b/>
                <w:spacing w:val="-1"/>
                <w:position w:val="1"/>
                <w:sz w:val="22"/>
                <w:szCs w:val="22"/>
                <w:lang w:val="es-ES"/>
              </w:rPr>
            </w:pPr>
          </w:p>
          <w:p w14:paraId="6DC9D8B5" w14:textId="77777777" w:rsidR="00E255F4" w:rsidRDefault="00000000">
            <w:pPr>
              <w:ind w:right="24"/>
              <w:jc w:val="both"/>
              <w:rPr>
                <w:rFonts w:eastAsia="Palatino Linotype"/>
                <w:sz w:val="22"/>
                <w:szCs w:val="22"/>
                <w:lang w:val="es-CR"/>
              </w:rPr>
            </w:pPr>
            <w:r>
              <w:rPr>
                <w:rFonts w:eastAsia="Palatino Linotype"/>
                <w:spacing w:val="-1"/>
                <w:sz w:val="22"/>
                <w:szCs w:val="22"/>
                <w:lang w:val="es-CR"/>
              </w:rPr>
              <w:t xml:space="preserve">Confidential </w:t>
            </w:r>
            <w:proofErr w:type="spellStart"/>
            <w:r>
              <w:rPr>
                <w:rFonts w:eastAsia="Palatino Linotype"/>
                <w:spacing w:val="-1"/>
                <w:sz w:val="22"/>
                <w:szCs w:val="22"/>
                <w:lang w:val="es-CR"/>
              </w:rPr>
              <w:t>information</w:t>
            </w:r>
            <w:proofErr w:type="spellEnd"/>
            <w:r>
              <w:rPr>
                <w:rFonts w:eastAsia="Palatino Linotype"/>
                <w:spacing w:val="-1"/>
                <w:sz w:val="22"/>
                <w:szCs w:val="22"/>
                <w:lang w:val="es-CR"/>
              </w:rPr>
              <w:t xml:space="preserve"> </w:t>
            </w:r>
            <w:proofErr w:type="spellStart"/>
            <w:r>
              <w:rPr>
                <w:rFonts w:eastAsia="Palatino Linotype"/>
                <w:spacing w:val="-1"/>
                <w:sz w:val="22"/>
                <w:szCs w:val="22"/>
                <w:lang w:val="es-CR"/>
              </w:rPr>
              <w:t>must</w:t>
            </w:r>
            <w:proofErr w:type="spellEnd"/>
            <w:r>
              <w:rPr>
                <w:rFonts w:eastAsia="Palatino Linotype"/>
                <w:spacing w:val="-1"/>
                <w:sz w:val="22"/>
                <w:szCs w:val="22"/>
                <w:lang w:val="es-CR"/>
              </w:rPr>
              <w:t xml:space="preserve"> be </w:t>
            </w:r>
            <w:proofErr w:type="spellStart"/>
            <w:r>
              <w:rPr>
                <w:rFonts w:eastAsia="Palatino Linotype"/>
                <w:spacing w:val="-1"/>
                <w:sz w:val="22"/>
                <w:szCs w:val="22"/>
                <w:lang w:val="es-CR"/>
              </w:rPr>
              <w:t>submitted</w:t>
            </w:r>
            <w:proofErr w:type="spellEnd"/>
            <w:r>
              <w:rPr>
                <w:rFonts w:eastAsia="Palatino Linotype"/>
                <w:spacing w:val="-1"/>
                <w:sz w:val="22"/>
                <w:szCs w:val="22"/>
                <w:lang w:val="es-CR"/>
              </w:rPr>
              <w:t xml:space="preserve"> </w:t>
            </w:r>
            <w:proofErr w:type="spellStart"/>
            <w:r>
              <w:rPr>
                <w:rFonts w:eastAsia="Palatino Linotype"/>
                <w:spacing w:val="-1"/>
                <w:sz w:val="22"/>
                <w:szCs w:val="22"/>
                <w:lang w:val="es-CR"/>
              </w:rPr>
              <w:t>and</w:t>
            </w:r>
            <w:r>
              <w:rPr>
                <w:rFonts w:eastAsia="Palatino Linotype"/>
                <w:sz w:val="22"/>
                <w:szCs w:val="22"/>
                <w:lang w:val="es-CR"/>
              </w:rPr>
              <w:t>in</w:t>
            </w:r>
            <w:proofErr w:type="spellEnd"/>
            <w:r>
              <w:rPr>
                <w:rFonts w:eastAsia="Palatino Linotype"/>
                <w:sz w:val="22"/>
                <w:szCs w:val="22"/>
                <w:lang w:val="es-CR"/>
              </w:rPr>
              <w:t xml:space="preserve"> </w:t>
            </w:r>
            <w:proofErr w:type="spellStart"/>
            <w:r>
              <w:rPr>
                <w:rFonts w:eastAsia="Palatino Linotype"/>
                <w:sz w:val="22"/>
                <w:szCs w:val="22"/>
                <w:lang w:val="es-CR"/>
              </w:rPr>
              <w:t>envelope</w:t>
            </w:r>
            <w:proofErr w:type="spellEnd"/>
            <w:r>
              <w:rPr>
                <w:rFonts w:eastAsia="Palatino Linotype"/>
                <w:sz w:val="22"/>
                <w:szCs w:val="22"/>
                <w:lang w:val="es-CR"/>
              </w:rPr>
              <w:t xml:space="preserve"> </w:t>
            </w:r>
            <w:proofErr w:type="spellStart"/>
            <w:r>
              <w:rPr>
                <w:rFonts w:eastAsia="Palatino Linotype"/>
                <w:sz w:val="22"/>
                <w:szCs w:val="22"/>
                <w:lang w:val="es-CR"/>
              </w:rPr>
              <w:t>or</w:t>
            </w:r>
            <w:proofErr w:type="spellEnd"/>
            <w:r>
              <w:rPr>
                <w:rFonts w:eastAsia="Palatino Linotype"/>
                <w:sz w:val="22"/>
                <w:szCs w:val="22"/>
                <w:lang w:val="es-CR"/>
              </w:rPr>
              <w:t xml:space="preserve"> in digital file. In </w:t>
            </w:r>
            <w:proofErr w:type="spellStart"/>
            <w:r>
              <w:rPr>
                <w:rFonts w:eastAsia="Palatino Linotype"/>
                <w:sz w:val="22"/>
                <w:szCs w:val="22"/>
                <w:lang w:val="es-CR"/>
              </w:rPr>
              <w:t>all</w:t>
            </w:r>
            <w:proofErr w:type="spellEnd"/>
            <w:r>
              <w:rPr>
                <w:rFonts w:eastAsia="Palatino Linotype"/>
                <w:sz w:val="22"/>
                <w:szCs w:val="22"/>
                <w:lang w:val="es-CR"/>
              </w:rPr>
              <w:t xml:space="preserve"> cases </w:t>
            </w:r>
            <w:proofErr w:type="spellStart"/>
            <w:r>
              <w:rPr>
                <w:rFonts w:eastAsia="Palatino Linotype"/>
                <w:sz w:val="22"/>
                <w:szCs w:val="22"/>
                <w:lang w:val="es-CR"/>
              </w:rPr>
              <w:t>it</w:t>
            </w:r>
            <w:proofErr w:type="spellEnd"/>
            <w:r>
              <w:rPr>
                <w:rFonts w:eastAsia="Palatino Linotype"/>
                <w:sz w:val="22"/>
                <w:szCs w:val="22"/>
                <w:lang w:val="es-CR"/>
              </w:rPr>
              <w:t xml:space="preserve"> </w:t>
            </w:r>
            <w:proofErr w:type="spellStart"/>
            <w:r>
              <w:rPr>
                <w:rFonts w:eastAsia="Palatino Linotype"/>
                <w:sz w:val="22"/>
                <w:szCs w:val="22"/>
                <w:lang w:val="es-CR"/>
              </w:rPr>
              <w:t>must</w:t>
            </w:r>
            <w:proofErr w:type="spellEnd"/>
            <w:r>
              <w:rPr>
                <w:rFonts w:eastAsia="Palatino Linotype"/>
                <w:sz w:val="22"/>
                <w:szCs w:val="22"/>
                <w:lang w:val="es-CR"/>
              </w:rPr>
              <w:t xml:space="preserve"> be </w:t>
            </w:r>
            <w:proofErr w:type="spellStart"/>
            <w:r>
              <w:rPr>
                <w:rFonts w:eastAsia="Palatino Linotype"/>
                <w:sz w:val="22"/>
                <w:szCs w:val="22"/>
                <w:lang w:val="es-CR"/>
              </w:rPr>
              <w:t>identified</w:t>
            </w:r>
            <w:proofErr w:type="spellEnd"/>
            <w:r>
              <w:rPr>
                <w:rFonts w:eastAsia="Palatino Linotype"/>
                <w:sz w:val="22"/>
                <w:szCs w:val="22"/>
                <w:lang w:val="es-CR"/>
              </w:rPr>
              <w:t xml:space="preserve"> as “Confidential Information”.</w:t>
            </w:r>
          </w:p>
          <w:p w14:paraId="738B7D0E" w14:textId="77777777" w:rsidR="00E255F4" w:rsidRDefault="00E255F4">
            <w:pPr>
              <w:ind w:right="24"/>
              <w:jc w:val="both"/>
              <w:rPr>
                <w:rFonts w:eastAsia="Palatino Linotype"/>
                <w:spacing w:val="-3"/>
                <w:sz w:val="22"/>
                <w:szCs w:val="22"/>
                <w:lang w:val="es-CR"/>
              </w:rPr>
            </w:pPr>
          </w:p>
          <w:p w14:paraId="4949721A" w14:textId="77777777" w:rsidR="00E255F4" w:rsidRDefault="00000000">
            <w:pPr>
              <w:ind w:right="24"/>
              <w:jc w:val="both"/>
            </w:pPr>
            <w:proofErr w:type="spellStart"/>
            <w:r>
              <w:rPr>
                <w:rFonts w:eastAsia="Palatino Linotype"/>
                <w:spacing w:val="-3"/>
                <w:sz w:val="22"/>
                <w:szCs w:val="22"/>
                <w:lang w:val="es-CR"/>
              </w:rPr>
              <w:t>AND</w:t>
            </w:r>
            <w:r>
              <w:rPr>
                <w:rFonts w:eastAsia="Palatino Linotype"/>
                <w:sz w:val="22"/>
                <w:szCs w:val="22"/>
                <w:lang w:val="es-CR"/>
              </w:rPr>
              <w:t>The</w:t>
            </w:r>
            <w:proofErr w:type="spellEnd"/>
            <w:r>
              <w:rPr>
                <w:rFonts w:eastAsia="Palatino Linotype"/>
                <w:sz w:val="22"/>
                <w:szCs w:val="22"/>
                <w:lang w:val="es-CR"/>
              </w:rPr>
              <w:t xml:space="preserve"> </w:t>
            </w:r>
            <w:proofErr w:type="spellStart"/>
            <w:r>
              <w:rPr>
                <w:rFonts w:eastAsia="Palatino Linotype"/>
                <w:sz w:val="22"/>
                <w:szCs w:val="22"/>
                <w:lang w:val="es-CR"/>
              </w:rPr>
              <w:t>bidder</w:t>
            </w:r>
            <w:proofErr w:type="spellEnd"/>
            <w:r>
              <w:rPr>
                <w:rFonts w:eastAsia="Palatino Linotype"/>
                <w:sz w:val="22"/>
                <w:szCs w:val="22"/>
                <w:lang w:val="es-CR"/>
              </w:rPr>
              <w:t xml:space="preserve"> </w:t>
            </w:r>
            <w:proofErr w:type="spellStart"/>
            <w:r>
              <w:rPr>
                <w:rFonts w:eastAsia="Palatino Linotype"/>
                <w:sz w:val="22"/>
                <w:szCs w:val="22"/>
                <w:lang w:val="es-CR"/>
              </w:rPr>
              <w:t>who</w:t>
            </w:r>
            <w:proofErr w:type="spellEnd"/>
            <w:r>
              <w:rPr>
                <w:rFonts w:eastAsia="Palatino Linotype"/>
                <w:sz w:val="22"/>
                <w:szCs w:val="22"/>
                <w:lang w:val="es-CR"/>
              </w:rPr>
              <w:t xml:space="preserve"> </w:t>
            </w:r>
            <w:proofErr w:type="spellStart"/>
            <w:r>
              <w:rPr>
                <w:rFonts w:eastAsia="Palatino Linotype"/>
                <w:sz w:val="22"/>
                <w:szCs w:val="22"/>
                <w:lang w:val="es-CR"/>
              </w:rPr>
              <w:t>submits</w:t>
            </w:r>
            <w:proofErr w:type="spellEnd"/>
            <w:r>
              <w:rPr>
                <w:rFonts w:eastAsia="Palatino Linotype"/>
                <w:sz w:val="22"/>
                <w:szCs w:val="22"/>
                <w:lang w:val="es-CR"/>
              </w:rPr>
              <w:t xml:space="preserve"> </w:t>
            </w:r>
            <w:proofErr w:type="spellStart"/>
            <w:r>
              <w:rPr>
                <w:rFonts w:eastAsia="Palatino Linotype"/>
                <w:sz w:val="22"/>
                <w:szCs w:val="22"/>
                <w:lang w:val="es-CR"/>
              </w:rPr>
              <w:t>confidential</w:t>
            </w:r>
            <w:proofErr w:type="spellEnd"/>
            <w:r>
              <w:rPr>
                <w:rFonts w:eastAsia="Palatino Linotype"/>
                <w:sz w:val="22"/>
                <w:szCs w:val="22"/>
                <w:lang w:val="es-CR"/>
              </w:rPr>
              <w:t xml:space="preserve"> </w:t>
            </w:r>
            <w:proofErr w:type="spellStart"/>
            <w:r>
              <w:rPr>
                <w:rFonts w:eastAsia="Palatino Linotype"/>
                <w:sz w:val="22"/>
                <w:szCs w:val="22"/>
                <w:lang w:val="es-CR"/>
              </w:rPr>
              <w:t>information</w:t>
            </w:r>
            <w:proofErr w:type="spellEnd"/>
            <w:r>
              <w:rPr>
                <w:rFonts w:eastAsia="Palatino Linotype"/>
                <w:sz w:val="22"/>
                <w:szCs w:val="22"/>
                <w:lang w:val="es-CR"/>
              </w:rPr>
              <w:t xml:space="preserve"> </w:t>
            </w:r>
            <w:proofErr w:type="spellStart"/>
            <w:r>
              <w:rPr>
                <w:rFonts w:eastAsia="Palatino Linotype"/>
                <w:sz w:val="22"/>
                <w:szCs w:val="22"/>
                <w:lang w:val="es-CR"/>
              </w:rPr>
              <w:t>must</w:t>
            </w:r>
            <w:proofErr w:type="spellEnd"/>
            <w:r>
              <w:rPr>
                <w:rFonts w:eastAsia="Palatino Linotype"/>
                <w:sz w:val="22"/>
                <w:szCs w:val="22"/>
                <w:lang w:val="es-CR"/>
              </w:rPr>
              <w:t xml:space="preserve"> </w:t>
            </w:r>
            <w:proofErr w:type="spellStart"/>
            <w:r>
              <w:rPr>
                <w:rFonts w:eastAsia="Palatino Linotype"/>
                <w:sz w:val="22"/>
                <w:szCs w:val="22"/>
                <w:lang w:val="es-CR"/>
              </w:rPr>
              <w:t>submit</w:t>
            </w:r>
            <w:proofErr w:type="spellEnd"/>
            <w:r>
              <w:rPr>
                <w:rFonts w:eastAsia="Palatino Linotype"/>
                <w:sz w:val="22"/>
                <w:szCs w:val="22"/>
                <w:lang w:val="es-CR"/>
              </w:rPr>
              <w:t xml:space="preserve"> in </w:t>
            </w:r>
            <w:proofErr w:type="spellStart"/>
            <w:r>
              <w:rPr>
                <w:rFonts w:eastAsia="Palatino Linotype"/>
                <w:sz w:val="22"/>
                <w:szCs w:val="22"/>
                <w:lang w:val="es-CR"/>
              </w:rPr>
              <w:t>the</w:t>
            </w:r>
            <w:proofErr w:type="spellEnd"/>
            <w:r>
              <w:rPr>
                <w:rFonts w:eastAsia="Palatino Linotype"/>
                <w:sz w:val="22"/>
                <w:szCs w:val="22"/>
                <w:lang w:val="es-CR"/>
              </w:rPr>
              <w:t xml:space="preserve"> </w:t>
            </w:r>
            <w:proofErr w:type="spellStart"/>
            <w:r>
              <w:rPr>
                <w:rFonts w:eastAsia="Palatino Linotype"/>
                <w:sz w:val="22"/>
                <w:szCs w:val="22"/>
                <w:lang w:val="es-CR"/>
              </w:rPr>
              <w:t>bid</w:t>
            </w:r>
            <w:proofErr w:type="spellEnd"/>
            <w:r>
              <w:rPr>
                <w:rFonts w:eastAsia="Palatino Linotype"/>
                <w:sz w:val="22"/>
                <w:szCs w:val="22"/>
                <w:lang w:val="es-CR"/>
              </w:rPr>
              <w:t xml:space="preserve"> a “non-</w:t>
            </w:r>
            <w:proofErr w:type="spellStart"/>
            <w:r>
              <w:rPr>
                <w:rFonts w:eastAsia="Palatino Linotype"/>
                <w:sz w:val="22"/>
                <w:szCs w:val="22"/>
                <w:lang w:val="es-CR"/>
              </w:rPr>
              <w:t>confidential</w:t>
            </w:r>
            <w:proofErr w:type="spellEnd"/>
            <w:r>
              <w:rPr>
                <w:rFonts w:eastAsia="Palatino Linotype"/>
                <w:sz w:val="22"/>
                <w:szCs w:val="22"/>
                <w:lang w:val="es-CR"/>
              </w:rPr>
              <w:t xml:space="preserve"> </w:t>
            </w:r>
            <w:proofErr w:type="spellStart"/>
            <w:r>
              <w:rPr>
                <w:rFonts w:eastAsia="Palatino Linotype"/>
                <w:sz w:val="22"/>
                <w:szCs w:val="22"/>
                <w:lang w:val="es-CR"/>
              </w:rPr>
              <w:t>summary</w:t>
            </w:r>
            <w:proofErr w:type="spellEnd"/>
            <w:r>
              <w:rPr>
                <w:rFonts w:eastAsia="Palatino Linotype"/>
                <w:sz w:val="22"/>
                <w:szCs w:val="22"/>
                <w:lang w:val="es-CR"/>
              </w:rPr>
              <w:t xml:space="preserve">” </w:t>
            </w:r>
            <w:proofErr w:type="spellStart"/>
            <w:r>
              <w:rPr>
                <w:rFonts w:eastAsia="Palatino Linotype"/>
                <w:sz w:val="22"/>
                <w:szCs w:val="22"/>
                <w:lang w:val="es-CR"/>
              </w:rPr>
              <w:t>of</w:t>
            </w:r>
            <w:proofErr w:type="spellEnd"/>
            <w:r>
              <w:rPr>
                <w:rFonts w:eastAsia="Palatino Linotype"/>
                <w:sz w:val="22"/>
                <w:szCs w:val="22"/>
                <w:lang w:val="es-CR"/>
              </w:rPr>
              <w:t xml:space="preserve"> </w:t>
            </w:r>
            <w:proofErr w:type="spellStart"/>
            <w:r>
              <w:rPr>
                <w:rFonts w:eastAsia="Palatino Linotype"/>
                <w:sz w:val="22"/>
                <w:szCs w:val="22"/>
                <w:lang w:val="es-CR"/>
              </w:rPr>
              <w:t>said</w:t>
            </w:r>
            <w:proofErr w:type="spellEnd"/>
            <w:r>
              <w:rPr>
                <w:rFonts w:eastAsia="Palatino Linotype"/>
                <w:sz w:val="22"/>
                <w:szCs w:val="22"/>
                <w:lang w:val="es-CR"/>
              </w:rPr>
              <w:t xml:space="preserve"> </w:t>
            </w:r>
            <w:proofErr w:type="spellStart"/>
            <w:r>
              <w:rPr>
                <w:rFonts w:eastAsia="Palatino Linotype"/>
                <w:sz w:val="22"/>
                <w:szCs w:val="22"/>
                <w:lang w:val="es-CR"/>
              </w:rPr>
              <w:t>information</w:t>
            </w:r>
            <w:proofErr w:type="spellEnd"/>
            <w:r>
              <w:rPr>
                <w:rFonts w:eastAsia="Palatino Linotype"/>
                <w:sz w:val="22"/>
                <w:szCs w:val="22"/>
                <w:lang w:val="es-CR"/>
              </w:rPr>
              <w:t xml:space="preserve">, </w:t>
            </w:r>
            <w:proofErr w:type="spellStart"/>
            <w:r>
              <w:rPr>
                <w:rFonts w:eastAsia="Palatino Linotype"/>
                <w:sz w:val="22"/>
                <w:szCs w:val="22"/>
                <w:lang w:val="es-CR"/>
              </w:rPr>
              <w:t>which</w:t>
            </w:r>
            <w:proofErr w:type="spellEnd"/>
            <w:r>
              <w:rPr>
                <w:rFonts w:eastAsia="Palatino Linotype"/>
                <w:sz w:val="22"/>
                <w:szCs w:val="22"/>
                <w:lang w:val="es-CR"/>
              </w:rPr>
              <w:t xml:space="preserve"> </w:t>
            </w:r>
            <w:proofErr w:type="spellStart"/>
            <w:r>
              <w:rPr>
                <w:rFonts w:eastAsia="Palatino Linotype"/>
                <w:sz w:val="22"/>
                <w:szCs w:val="22"/>
                <w:lang w:val="es-CR"/>
              </w:rPr>
              <w:t>is</w:t>
            </w:r>
            <w:proofErr w:type="spellEnd"/>
            <w:r>
              <w:rPr>
                <w:rFonts w:eastAsia="Palatino Linotype"/>
                <w:sz w:val="22"/>
                <w:szCs w:val="22"/>
                <w:lang w:val="es-CR"/>
              </w:rPr>
              <w:t xml:space="preserve"> </w:t>
            </w:r>
            <w:proofErr w:type="spellStart"/>
            <w:r>
              <w:rPr>
                <w:rFonts w:eastAsia="Palatino Linotype"/>
                <w:sz w:val="22"/>
                <w:szCs w:val="22"/>
                <w:lang w:val="es-CR"/>
              </w:rPr>
              <w:t>brief</w:t>
            </w:r>
            <w:proofErr w:type="spellEnd"/>
            <w:r>
              <w:rPr>
                <w:rFonts w:eastAsia="Palatino Linotype"/>
                <w:sz w:val="22"/>
                <w:szCs w:val="22"/>
                <w:lang w:val="es-CR"/>
              </w:rPr>
              <w:t xml:space="preserve"> and concise (Decree No. 232/010 </w:t>
            </w:r>
            <w:proofErr w:type="spellStart"/>
            <w:r>
              <w:rPr>
                <w:rFonts w:eastAsia="Palatino Linotype"/>
                <w:sz w:val="22"/>
                <w:szCs w:val="22"/>
                <w:lang w:val="es-CR"/>
              </w:rPr>
              <w:t>of</w:t>
            </w:r>
            <w:proofErr w:type="spellEnd"/>
            <w:r>
              <w:rPr>
                <w:rFonts w:eastAsia="Palatino Linotype"/>
                <w:sz w:val="22"/>
                <w:szCs w:val="22"/>
                <w:lang w:val="es-CR"/>
              </w:rPr>
              <w:t xml:space="preserve"> August 2, 2010).</w:t>
            </w:r>
          </w:p>
          <w:p w14:paraId="21AB3E91" w14:textId="77777777" w:rsidR="00E255F4" w:rsidRDefault="00E255F4">
            <w:pPr>
              <w:ind w:right="24"/>
              <w:jc w:val="both"/>
              <w:rPr>
                <w:rFonts w:eastAsia="Palatino Linotype"/>
                <w:spacing w:val="-1"/>
                <w:sz w:val="22"/>
                <w:szCs w:val="22"/>
                <w:lang w:val="es-CR"/>
              </w:rPr>
            </w:pPr>
          </w:p>
          <w:p w14:paraId="418C0277" w14:textId="77777777" w:rsidR="00E255F4" w:rsidRDefault="00000000">
            <w:pPr>
              <w:jc w:val="both"/>
              <w:rPr>
                <w:rFonts w:eastAsia="Palatino Linotype"/>
                <w:sz w:val="22"/>
                <w:szCs w:val="22"/>
                <w:lang w:val="es-CR"/>
              </w:rPr>
            </w:pPr>
            <w:r>
              <w:rPr>
                <w:rFonts w:eastAsia="Palatino Linotype"/>
                <w:b/>
                <w:spacing w:val="-1"/>
                <w:position w:val="1"/>
                <w:sz w:val="22"/>
                <w:szCs w:val="22"/>
                <w:lang w:val="es-ES"/>
              </w:rPr>
              <w:t>The “non-</w:t>
            </w:r>
            <w:proofErr w:type="spellStart"/>
            <w:r>
              <w:rPr>
                <w:rFonts w:eastAsia="Palatino Linotype"/>
                <w:b/>
                <w:spacing w:val="-1"/>
                <w:position w:val="1"/>
                <w:sz w:val="22"/>
                <w:szCs w:val="22"/>
                <w:lang w:val="es-ES"/>
              </w:rPr>
              <w:t>confidential</w:t>
            </w:r>
            <w:proofErr w:type="spellEnd"/>
            <w:r>
              <w:rPr>
                <w:rFonts w:eastAsia="Palatino Linotype"/>
                <w:b/>
                <w:spacing w:val="-1"/>
                <w:position w:val="1"/>
                <w:sz w:val="22"/>
                <w:szCs w:val="22"/>
                <w:lang w:val="es-ES"/>
              </w:rPr>
              <w:t xml:space="preserve"> </w:t>
            </w:r>
            <w:proofErr w:type="spellStart"/>
            <w:r>
              <w:rPr>
                <w:rFonts w:eastAsia="Palatino Linotype"/>
                <w:b/>
                <w:spacing w:val="-1"/>
                <w:position w:val="1"/>
                <w:sz w:val="22"/>
                <w:szCs w:val="22"/>
                <w:lang w:val="es-ES"/>
              </w:rPr>
              <w:t>summary</w:t>
            </w:r>
            <w:proofErr w:type="spellEnd"/>
            <w:r>
              <w:rPr>
                <w:rFonts w:eastAsia="Palatino Linotype"/>
                <w:b/>
                <w:spacing w:val="-1"/>
                <w:position w:val="1"/>
                <w:sz w:val="22"/>
                <w:szCs w:val="22"/>
                <w:lang w:val="es-ES"/>
              </w:rPr>
              <w:t xml:space="preserve">” </w:t>
            </w:r>
            <w:proofErr w:type="spellStart"/>
            <w:r>
              <w:rPr>
                <w:rFonts w:eastAsia="Palatino Linotype"/>
                <w:b/>
                <w:spacing w:val="-1"/>
                <w:position w:val="1"/>
                <w:sz w:val="22"/>
                <w:szCs w:val="22"/>
                <w:lang w:val="es-ES"/>
              </w:rPr>
              <w:t>must</w:t>
            </w:r>
            <w:proofErr w:type="spellEnd"/>
            <w:r>
              <w:rPr>
                <w:rFonts w:eastAsia="Palatino Linotype"/>
                <w:b/>
                <w:spacing w:val="-1"/>
                <w:position w:val="1"/>
                <w:sz w:val="22"/>
                <w:szCs w:val="22"/>
                <w:lang w:val="es-ES"/>
              </w:rPr>
              <w:t xml:space="preserve"> be </w:t>
            </w:r>
            <w:proofErr w:type="spellStart"/>
            <w:r>
              <w:rPr>
                <w:rFonts w:eastAsia="Palatino Linotype"/>
                <w:b/>
                <w:spacing w:val="-1"/>
                <w:position w:val="1"/>
                <w:sz w:val="22"/>
                <w:szCs w:val="22"/>
                <w:lang w:val="es-ES"/>
              </w:rPr>
              <w:t>sufficiently</w:t>
            </w:r>
            <w:proofErr w:type="spellEnd"/>
            <w:r>
              <w:rPr>
                <w:rFonts w:eastAsia="Palatino Linotype"/>
                <w:b/>
                <w:spacing w:val="-1"/>
                <w:position w:val="1"/>
                <w:sz w:val="22"/>
                <w:szCs w:val="22"/>
                <w:lang w:val="es-ES"/>
              </w:rPr>
              <w:t xml:space="preserve"> </w:t>
            </w:r>
            <w:proofErr w:type="spellStart"/>
            <w:r>
              <w:rPr>
                <w:rFonts w:eastAsia="Palatino Linotype"/>
                <w:b/>
                <w:spacing w:val="-1"/>
                <w:position w:val="1"/>
                <w:sz w:val="22"/>
                <w:szCs w:val="22"/>
                <w:lang w:val="es-ES"/>
              </w:rPr>
              <w:t>explanatory</w:t>
            </w:r>
            <w:proofErr w:type="spellEnd"/>
            <w:r>
              <w:rPr>
                <w:rFonts w:eastAsia="Palatino Linotype"/>
                <w:b/>
                <w:spacing w:val="-1"/>
                <w:position w:val="1"/>
                <w:sz w:val="22"/>
                <w:szCs w:val="22"/>
                <w:lang w:val="es-ES"/>
              </w:rPr>
              <w:t xml:space="preserve"> </w:t>
            </w:r>
            <w:proofErr w:type="spellStart"/>
            <w:r>
              <w:rPr>
                <w:rFonts w:eastAsia="Palatino Linotype"/>
                <w:b/>
                <w:spacing w:val="-1"/>
                <w:position w:val="1"/>
                <w:sz w:val="22"/>
                <w:szCs w:val="22"/>
                <w:lang w:val="es-ES"/>
              </w:rPr>
              <w:t>to</w:t>
            </w:r>
            <w:proofErr w:type="spellEnd"/>
            <w:r>
              <w:rPr>
                <w:rFonts w:eastAsia="Palatino Linotype"/>
                <w:b/>
                <w:spacing w:val="-1"/>
                <w:position w:val="1"/>
                <w:sz w:val="22"/>
                <w:szCs w:val="22"/>
                <w:lang w:val="es-ES"/>
              </w:rPr>
              <w:t xml:space="preserve"> </w:t>
            </w:r>
            <w:proofErr w:type="spellStart"/>
            <w:r>
              <w:rPr>
                <w:rFonts w:eastAsia="Palatino Linotype"/>
                <w:b/>
                <w:spacing w:val="-1"/>
                <w:position w:val="1"/>
                <w:sz w:val="22"/>
                <w:szCs w:val="22"/>
                <w:lang w:val="es-ES"/>
              </w:rPr>
              <w:t>allow</w:t>
            </w:r>
            <w:proofErr w:type="spellEnd"/>
            <w:r>
              <w:rPr>
                <w:rFonts w:eastAsia="Palatino Linotype"/>
                <w:b/>
                <w:spacing w:val="-1"/>
                <w:position w:val="1"/>
                <w:sz w:val="22"/>
                <w:szCs w:val="22"/>
                <w:lang w:val="es-ES"/>
              </w:rPr>
              <w:t xml:space="preserve"> </w:t>
            </w:r>
            <w:proofErr w:type="spellStart"/>
            <w:r>
              <w:rPr>
                <w:rFonts w:eastAsia="Palatino Linotype"/>
                <w:b/>
                <w:spacing w:val="-1"/>
                <w:position w:val="1"/>
                <w:sz w:val="22"/>
                <w:szCs w:val="22"/>
                <w:lang w:val="es-ES"/>
              </w:rPr>
              <w:t>the</w:t>
            </w:r>
            <w:proofErr w:type="spellEnd"/>
            <w:r>
              <w:rPr>
                <w:rFonts w:eastAsia="Palatino Linotype"/>
                <w:b/>
                <w:spacing w:val="-1"/>
                <w:position w:val="1"/>
                <w:sz w:val="22"/>
                <w:szCs w:val="22"/>
                <w:lang w:val="es-ES"/>
              </w:rPr>
              <w:t xml:space="preserve"> </w:t>
            </w:r>
            <w:proofErr w:type="spellStart"/>
            <w:r>
              <w:rPr>
                <w:rFonts w:eastAsia="Palatino Linotype"/>
                <w:b/>
                <w:spacing w:val="-1"/>
                <w:position w:val="1"/>
                <w:sz w:val="22"/>
                <w:szCs w:val="22"/>
                <w:lang w:val="es-ES"/>
              </w:rPr>
              <w:t>other</w:t>
            </w:r>
            <w:proofErr w:type="spellEnd"/>
            <w:r>
              <w:rPr>
                <w:rFonts w:eastAsia="Palatino Linotype"/>
                <w:b/>
                <w:spacing w:val="-1"/>
                <w:position w:val="1"/>
                <w:sz w:val="22"/>
                <w:szCs w:val="22"/>
                <w:lang w:val="es-ES"/>
              </w:rPr>
              <w:t xml:space="preserve"> </w:t>
            </w:r>
            <w:proofErr w:type="spellStart"/>
            <w:r>
              <w:rPr>
                <w:rFonts w:eastAsia="Palatino Linotype"/>
                <w:b/>
                <w:spacing w:val="-1"/>
                <w:position w:val="1"/>
                <w:sz w:val="22"/>
                <w:szCs w:val="22"/>
                <w:lang w:val="es-ES"/>
              </w:rPr>
              <w:t>bidders</w:t>
            </w:r>
            <w:proofErr w:type="spellEnd"/>
            <w:r>
              <w:rPr>
                <w:rFonts w:eastAsia="Palatino Linotype"/>
                <w:b/>
                <w:spacing w:val="-1"/>
                <w:position w:val="1"/>
                <w:sz w:val="22"/>
                <w:szCs w:val="22"/>
                <w:lang w:val="es-ES"/>
              </w:rPr>
              <w:t xml:space="preserve"> </w:t>
            </w:r>
            <w:proofErr w:type="spellStart"/>
            <w:r>
              <w:rPr>
                <w:rFonts w:eastAsia="Palatino Linotype"/>
                <w:b/>
                <w:spacing w:val="-1"/>
                <w:position w:val="1"/>
                <w:sz w:val="22"/>
                <w:szCs w:val="22"/>
                <w:lang w:val="es-ES"/>
              </w:rPr>
              <w:t>to</w:t>
            </w:r>
            <w:proofErr w:type="spellEnd"/>
            <w:r>
              <w:rPr>
                <w:rFonts w:eastAsia="Palatino Linotype"/>
                <w:b/>
                <w:spacing w:val="-1"/>
                <w:position w:val="1"/>
                <w:sz w:val="22"/>
                <w:szCs w:val="22"/>
                <w:lang w:val="es-ES"/>
              </w:rPr>
              <w:t xml:space="preserve"> </w:t>
            </w:r>
            <w:proofErr w:type="spellStart"/>
            <w:r>
              <w:rPr>
                <w:rFonts w:eastAsia="Palatino Linotype"/>
                <w:b/>
                <w:spacing w:val="-1"/>
                <w:position w:val="1"/>
                <w:sz w:val="22"/>
                <w:szCs w:val="22"/>
                <w:lang w:val="es-ES"/>
              </w:rPr>
              <w:t>know</w:t>
            </w:r>
            <w:proofErr w:type="spellEnd"/>
            <w:r>
              <w:rPr>
                <w:rFonts w:eastAsia="Palatino Linotype"/>
                <w:b/>
                <w:spacing w:val="-1"/>
                <w:position w:val="1"/>
                <w:sz w:val="22"/>
                <w:szCs w:val="22"/>
                <w:lang w:val="es-ES"/>
              </w:rPr>
              <w:t xml:space="preserve"> and control </w:t>
            </w:r>
            <w:proofErr w:type="spellStart"/>
            <w:r>
              <w:rPr>
                <w:rFonts w:eastAsia="Palatino Linotype"/>
                <w:b/>
                <w:spacing w:val="-1"/>
                <w:position w:val="1"/>
                <w:sz w:val="22"/>
                <w:szCs w:val="22"/>
                <w:lang w:val="es-ES"/>
              </w:rPr>
              <w:t>the</w:t>
            </w:r>
            <w:proofErr w:type="spellEnd"/>
            <w:r>
              <w:rPr>
                <w:rFonts w:eastAsia="Palatino Linotype"/>
                <w:b/>
                <w:spacing w:val="-1"/>
                <w:position w:val="1"/>
                <w:sz w:val="22"/>
                <w:szCs w:val="22"/>
                <w:lang w:val="es-ES"/>
              </w:rPr>
              <w:t xml:space="preserve"> </w:t>
            </w:r>
            <w:proofErr w:type="spellStart"/>
            <w:r>
              <w:rPr>
                <w:rFonts w:eastAsia="Palatino Linotype"/>
                <w:b/>
                <w:spacing w:val="-1"/>
                <w:position w:val="1"/>
                <w:sz w:val="22"/>
                <w:szCs w:val="22"/>
                <w:lang w:val="es-ES"/>
              </w:rPr>
              <w:t>evaluation</w:t>
            </w:r>
            <w:proofErr w:type="spellEnd"/>
            <w:r>
              <w:rPr>
                <w:rFonts w:eastAsia="Palatino Linotype"/>
                <w:b/>
                <w:spacing w:val="-1"/>
                <w:position w:val="1"/>
                <w:sz w:val="22"/>
                <w:szCs w:val="22"/>
                <w:lang w:val="es-ES"/>
              </w:rPr>
              <w:t xml:space="preserve"> </w:t>
            </w:r>
            <w:proofErr w:type="spellStart"/>
            <w:r>
              <w:rPr>
                <w:rFonts w:eastAsia="Palatino Linotype"/>
                <w:b/>
                <w:spacing w:val="-1"/>
                <w:position w:val="1"/>
                <w:sz w:val="22"/>
                <w:szCs w:val="22"/>
                <w:lang w:val="es-ES"/>
              </w:rPr>
              <w:t>that</w:t>
            </w:r>
            <w:proofErr w:type="spellEnd"/>
            <w:r>
              <w:rPr>
                <w:rFonts w:eastAsia="Palatino Linotype"/>
                <w:b/>
                <w:spacing w:val="-1"/>
                <w:position w:val="1"/>
                <w:sz w:val="22"/>
                <w:szCs w:val="22"/>
                <w:lang w:val="es-ES"/>
              </w:rPr>
              <w:t xml:space="preserve"> </w:t>
            </w:r>
            <w:proofErr w:type="spellStart"/>
            <w:r>
              <w:rPr>
                <w:rFonts w:eastAsia="Palatino Linotype"/>
                <w:b/>
                <w:spacing w:val="-1"/>
                <w:position w:val="1"/>
                <w:sz w:val="22"/>
                <w:szCs w:val="22"/>
                <w:lang w:val="es-ES"/>
              </w:rPr>
              <w:t>the</w:t>
            </w:r>
            <w:proofErr w:type="spellEnd"/>
            <w:r>
              <w:rPr>
                <w:rFonts w:eastAsia="Palatino Linotype"/>
                <w:b/>
                <w:spacing w:val="-1"/>
                <w:position w:val="1"/>
                <w:sz w:val="22"/>
                <w:szCs w:val="22"/>
                <w:lang w:val="es-ES"/>
              </w:rPr>
              <w:t xml:space="preserve"> </w:t>
            </w:r>
            <w:proofErr w:type="spellStart"/>
            <w:r>
              <w:rPr>
                <w:rFonts w:eastAsia="Palatino Linotype"/>
                <w:b/>
                <w:spacing w:val="-1"/>
                <w:position w:val="1"/>
                <w:sz w:val="22"/>
                <w:szCs w:val="22"/>
                <w:lang w:val="es-ES"/>
              </w:rPr>
              <w:t>bidding</w:t>
            </w:r>
            <w:proofErr w:type="spellEnd"/>
            <w:r>
              <w:rPr>
                <w:rFonts w:eastAsia="Palatino Linotype"/>
                <w:b/>
                <w:spacing w:val="-1"/>
                <w:position w:val="1"/>
                <w:sz w:val="22"/>
                <w:szCs w:val="22"/>
                <w:lang w:val="es-ES"/>
              </w:rPr>
              <w:t xml:space="preserve"> </w:t>
            </w:r>
            <w:proofErr w:type="spellStart"/>
            <w:r>
              <w:rPr>
                <w:rFonts w:eastAsia="Palatino Linotype"/>
                <w:b/>
                <w:spacing w:val="-1"/>
                <w:position w:val="1"/>
                <w:sz w:val="22"/>
                <w:szCs w:val="22"/>
                <w:lang w:val="es-ES"/>
              </w:rPr>
              <w:t>Administration</w:t>
            </w:r>
            <w:proofErr w:type="spellEnd"/>
            <w:r>
              <w:rPr>
                <w:rFonts w:eastAsia="Palatino Linotype"/>
                <w:b/>
                <w:spacing w:val="-1"/>
                <w:position w:val="1"/>
                <w:sz w:val="22"/>
                <w:szCs w:val="22"/>
                <w:lang w:val="es-ES"/>
              </w:rPr>
              <w:t xml:space="preserve"> </w:t>
            </w:r>
            <w:proofErr w:type="spellStart"/>
            <w:r>
              <w:rPr>
                <w:rFonts w:eastAsia="Palatino Linotype"/>
                <w:b/>
                <w:spacing w:val="-1"/>
                <w:position w:val="1"/>
                <w:sz w:val="22"/>
                <w:szCs w:val="22"/>
                <w:lang w:val="es-ES"/>
              </w:rPr>
              <w:t>may</w:t>
            </w:r>
            <w:proofErr w:type="spellEnd"/>
            <w:r>
              <w:rPr>
                <w:rFonts w:eastAsia="Palatino Linotype"/>
                <w:b/>
                <w:spacing w:val="-1"/>
                <w:position w:val="1"/>
                <w:sz w:val="22"/>
                <w:szCs w:val="22"/>
                <w:lang w:val="es-ES"/>
              </w:rPr>
              <w:t xml:space="preserve"> </w:t>
            </w:r>
            <w:proofErr w:type="spellStart"/>
            <w:r>
              <w:rPr>
                <w:rFonts w:eastAsia="Palatino Linotype"/>
                <w:b/>
                <w:spacing w:val="-1"/>
                <w:position w:val="1"/>
                <w:sz w:val="22"/>
                <w:szCs w:val="22"/>
                <w:lang w:val="es-ES"/>
              </w:rPr>
              <w:t>make</w:t>
            </w:r>
            <w:proofErr w:type="spellEnd"/>
            <w:r>
              <w:rPr>
                <w:rFonts w:eastAsia="Palatino Linotype"/>
                <w:b/>
                <w:spacing w:val="-1"/>
                <w:position w:val="1"/>
                <w:sz w:val="22"/>
                <w:szCs w:val="22"/>
                <w:lang w:val="es-ES"/>
              </w:rPr>
              <w:t xml:space="preserve"> in </w:t>
            </w:r>
            <w:proofErr w:type="spellStart"/>
            <w:r>
              <w:rPr>
                <w:rFonts w:eastAsia="Palatino Linotype"/>
                <w:b/>
                <w:spacing w:val="-1"/>
                <w:position w:val="1"/>
                <w:sz w:val="22"/>
                <w:szCs w:val="22"/>
                <w:lang w:val="es-ES"/>
              </w:rPr>
              <w:t>this</w:t>
            </w:r>
            <w:proofErr w:type="spellEnd"/>
            <w:r>
              <w:rPr>
                <w:rFonts w:eastAsia="Palatino Linotype"/>
                <w:b/>
                <w:spacing w:val="-1"/>
                <w:position w:val="1"/>
                <w:sz w:val="22"/>
                <w:szCs w:val="22"/>
                <w:lang w:val="es-ES"/>
              </w:rPr>
              <w:t xml:space="preserve"> </w:t>
            </w:r>
            <w:proofErr w:type="spellStart"/>
            <w:r>
              <w:rPr>
                <w:rFonts w:eastAsia="Palatino Linotype"/>
                <w:b/>
                <w:spacing w:val="-1"/>
                <w:position w:val="1"/>
                <w:sz w:val="22"/>
                <w:szCs w:val="22"/>
                <w:lang w:val="es-ES"/>
              </w:rPr>
              <w:t>regard</w:t>
            </w:r>
            <w:proofErr w:type="spellEnd"/>
            <w:r>
              <w:rPr>
                <w:rFonts w:eastAsia="Palatino Linotype"/>
                <w:b/>
                <w:spacing w:val="-1"/>
                <w:position w:val="1"/>
                <w:sz w:val="22"/>
                <w:szCs w:val="22"/>
                <w:lang w:val="es-ES"/>
              </w:rPr>
              <w:t>.</w:t>
            </w:r>
          </w:p>
          <w:p w14:paraId="33475524" w14:textId="77777777" w:rsidR="00E255F4" w:rsidRDefault="00E255F4">
            <w:pPr>
              <w:ind w:right="24"/>
              <w:jc w:val="both"/>
              <w:rPr>
                <w:rFonts w:eastAsia="Palatino Linotype"/>
                <w:spacing w:val="-1"/>
                <w:position w:val="1"/>
                <w:sz w:val="22"/>
                <w:szCs w:val="22"/>
                <w:lang w:val="es-CR"/>
              </w:rPr>
            </w:pPr>
          </w:p>
          <w:p w14:paraId="529A0B9C" w14:textId="77777777" w:rsidR="00E255F4" w:rsidRDefault="00000000">
            <w:pPr>
              <w:ind w:right="24"/>
              <w:jc w:val="both"/>
              <w:rPr>
                <w:rFonts w:eastAsia="Palatino Linotype"/>
                <w:spacing w:val="-1"/>
                <w:position w:val="1"/>
                <w:sz w:val="22"/>
                <w:szCs w:val="22"/>
                <w:lang w:val="es-CR"/>
              </w:rPr>
            </w:pPr>
            <w:r>
              <w:rPr>
                <w:rFonts w:eastAsia="Palatino Linotype"/>
                <w:spacing w:val="-1"/>
                <w:position w:val="1"/>
                <w:sz w:val="22"/>
                <w:szCs w:val="22"/>
                <w:lang w:val="es-CR"/>
              </w:rPr>
              <w:t xml:space="preserve">The </w:t>
            </w:r>
            <w:proofErr w:type="spellStart"/>
            <w:r>
              <w:rPr>
                <w:rFonts w:eastAsia="Palatino Linotype"/>
                <w:spacing w:val="-1"/>
                <w:position w:val="1"/>
                <w:sz w:val="22"/>
                <w:szCs w:val="22"/>
                <w:lang w:val="es-CR"/>
              </w:rPr>
              <w:t>bidder</w:t>
            </w:r>
            <w:proofErr w:type="spellEnd"/>
            <w:r>
              <w:rPr>
                <w:rFonts w:eastAsia="Palatino Linotype"/>
                <w:spacing w:val="-1"/>
                <w:position w:val="1"/>
                <w:sz w:val="22"/>
                <w:szCs w:val="22"/>
                <w:lang w:val="es-CR"/>
              </w:rPr>
              <w:t xml:space="preserve"> </w:t>
            </w:r>
            <w:proofErr w:type="spellStart"/>
            <w:r>
              <w:rPr>
                <w:rFonts w:eastAsia="Palatino Linotype"/>
                <w:spacing w:val="-1"/>
                <w:position w:val="1"/>
                <w:sz w:val="22"/>
                <w:szCs w:val="22"/>
                <w:lang w:val="es-CR"/>
              </w:rPr>
              <w:t>must</w:t>
            </w:r>
            <w:proofErr w:type="spellEnd"/>
            <w:r>
              <w:rPr>
                <w:rFonts w:eastAsia="Palatino Linotype"/>
                <w:spacing w:val="-1"/>
                <w:position w:val="1"/>
                <w:sz w:val="22"/>
                <w:szCs w:val="22"/>
                <w:lang w:val="es-CR"/>
              </w:rPr>
              <w:t xml:space="preserve"> </w:t>
            </w:r>
            <w:proofErr w:type="spellStart"/>
            <w:r>
              <w:rPr>
                <w:rFonts w:eastAsia="Palatino Linotype"/>
                <w:spacing w:val="-1"/>
                <w:position w:val="1"/>
                <w:sz w:val="22"/>
                <w:szCs w:val="22"/>
                <w:lang w:val="es-CR"/>
              </w:rPr>
              <w:t>perform</w:t>
            </w:r>
            <w:proofErr w:type="spellEnd"/>
            <w:r>
              <w:rPr>
                <w:rFonts w:eastAsia="Palatino Linotype"/>
                <w:spacing w:val="-1"/>
                <w:position w:val="1"/>
                <w:sz w:val="22"/>
                <w:szCs w:val="22"/>
                <w:lang w:val="es-CR"/>
              </w:rPr>
              <w:t xml:space="preserve"> </w:t>
            </w:r>
            <w:proofErr w:type="spellStart"/>
            <w:r>
              <w:rPr>
                <w:rFonts w:eastAsia="Palatino Linotype"/>
                <w:spacing w:val="-1"/>
                <w:position w:val="1"/>
                <w:sz w:val="22"/>
                <w:szCs w:val="22"/>
                <w:lang w:val="es-CR"/>
              </w:rPr>
              <w:t>the</w:t>
            </w:r>
            <w:proofErr w:type="spellEnd"/>
            <w:r>
              <w:rPr>
                <w:rFonts w:eastAsia="Palatino Linotype"/>
                <w:spacing w:val="-1"/>
                <w:position w:val="1"/>
                <w:sz w:val="22"/>
                <w:szCs w:val="22"/>
                <w:lang w:val="es-CR"/>
              </w:rPr>
              <w:t xml:space="preserve"> </w:t>
            </w:r>
            <w:proofErr w:type="spellStart"/>
            <w:r>
              <w:rPr>
                <w:rFonts w:eastAsia="Palatino Linotype"/>
                <w:spacing w:val="-1"/>
                <w:position w:val="1"/>
                <w:sz w:val="22"/>
                <w:szCs w:val="22"/>
                <w:lang w:val="es-CR"/>
              </w:rPr>
              <w:t>classification</w:t>
            </w:r>
            <w:proofErr w:type="spellEnd"/>
            <w:r>
              <w:rPr>
                <w:rFonts w:eastAsia="Palatino Linotype"/>
                <w:spacing w:val="-1"/>
                <w:position w:val="1"/>
                <w:sz w:val="22"/>
                <w:szCs w:val="22"/>
                <w:lang w:val="es-CR"/>
              </w:rPr>
              <w:t xml:space="preserve"> </w:t>
            </w:r>
            <w:proofErr w:type="spellStart"/>
            <w:r>
              <w:rPr>
                <w:rFonts w:eastAsia="Palatino Linotype"/>
                <w:spacing w:val="-1"/>
                <w:position w:val="1"/>
                <w:sz w:val="22"/>
                <w:szCs w:val="22"/>
                <w:lang w:val="es-CR"/>
              </w:rPr>
              <w:t>based</w:t>
            </w:r>
            <w:proofErr w:type="spellEnd"/>
            <w:r>
              <w:rPr>
                <w:rFonts w:eastAsia="Palatino Linotype"/>
                <w:spacing w:val="-1"/>
                <w:position w:val="1"/>
                <w:sz w:val="22"/>
                <w:szCs w:val="22"/>
                <w:lang w:val="es-CR"/>
              </w:rPr>
              <w:t xml:space="preserve"> </w:t>
            </w:r>
            <w:proofErr w:type="spellStart"/>
            <w:r>
              <w:rPr>
                <w:rFonts w:eastAsia="Palatino Linotype"/>
                <w:spacing w:val="-1"/>
                <w:position w:val="1"/>
                <w:sz w:val="22"/>
                <w:szCs w:val="22"/>
                <w:lang w:val="es-CR"/>
              </w:rPr>
              <w:t>on</w:t>
            </w:r>
            <w:proofErr w:type="spellEnd"/>
            <w:r>
              <w:rPr>
                <w:rFonts w:eastAsia="Palatino Linotype"/>
                <w:spacing w:val="-1"/>
                <w:position w:val="1"/>
                <w:sz w:val="22"/>
                <w:szCs w:val="22"/>
                <w:lang w:val="es-CR"/>
              </w:rPr>
              <w:t xml:space="preserve"> </w:t>
            </w:r>
            <w:proofErr w:type="spellStart"/>
            <w:r>
              <w:rPr>
                <w:rFonts w:eastAsia="Palatino Linotype"/>
                <w:spacing w:val="-1"/>
                <w:position w:val="1"/>
                <w:sz w:val="22"/>
                <w:szCs w:val="22"/>
                <w:lang w:val="es-CR"/>
              </w:rPr>
              <w:t>the</w:t>
            </w:r>
            <w:proofErr w:type="spellEnd"/>
            <w:r>
              <w:rPr>
                <w:rFonts w:eastAsia="Palatino Linotype"/>
                <w:spacing w:val="-1"/>
                <w:position w:val="1"/>
                <w:sz w:val="22"/>
                <w:szCs w:val="22"/>
                <w:lang w:val="es-CR"/>
              </w:rPr>
              <w:t xml:space="preserve"> </w:t>
            </w:r>
            <w:proofErr w:type="spellStart"/>
            <w:r>
              <w:rPr>
                <w:rFonts w:eastAsia="Palatino Linotype"/>
                <w:spacing w:val="-1"/>
                <w:position w:val="1"/>
                <w:sz w:val="22"/>
                <w:szCs w:val="22"/>
                <w:lang w:val="es-CR"/>
              </w:rPr>
              <w:t>following</w:t>
            </w:r>
            <w:proofErr w:type="spellEnd"/>
            <w:r>
              <w:rPr>
                <w:rFonts w:eastAsia="Palatino Linotype"/>
                <w:spacing w:val="-1"/>
                <w:position w:val="1"/>
                <w:sz w:val="22"/>
                <w:szCs w:val="22"/>
                <w:lang w:val="es-CR"/>
              </w:rPr>
              <w:t xml:space="preserve"> </w:t>
            </w:r>
            <w:proofErr w:type="spellStart"/>
            <w:r>
              <w:rPr>
                <w:rFonts w:eastAsia="Palatino Linotype"/>
                <w:spacing w:val="-1"/>
                <w:position w:val="1"/>
                <w:sz w:val="22"/>
                <w:szCs w:val="22"/>
                <w:lang w:val="es-CR"/>
              </w:rPr>
              <w:t>criteria</w:t>
            </w:r>
            <w:proofErr w:type="spellEnd"/>
            <w:r>
              <w:rPr>
                <w:rFonts w:eastAsia="Palatino Linotype"/>
                <w:spacing w:val="-1"/>
                <w:position w:val="1"/>
                <w:sz w:val="22"/>
                <w:szCs w:val="22"/>
                <w:lang w:val="es-CR"/>
              </w:rPr>
              <w:t>:</w:t>
            </w:r>
          </w:p>
          <w:p w14:paraId="7ABC4F16" w14:textId="77777777" w:rsidR="00E255F4" w:rsidRDefault="00E255F4">
            <w:pPr>
              <w:ind w:right="24"/>
              <w:jc w:val="both"/>
              <w:rPr>
                <w:rFonts w:eastAsia="Palatino Linotype"/>
                <w:spacing w:val="-1"/>
                <w:position w:val="1"/>
                <w:sz w:val="22"/>
                <w:szCs w:val="22"/>
                <w:lang w:val="es-CR"/>
              </w:rPr>
            </w:pPr>
          </w:p>
          <w:p w14:paraId="25330305" w14:textId="77777777" w:rsidR="00E255F4" w:rsidRDefault="00000000">
            <w:pPr>
              <w:ind w:right="24"/>
              <w:jc w:val="both"/>
              <w:rPr>
                <w:rFonts w:eastAsia="Palatino Linotype"/>
                <w:spacing w:val="-1"/>
                <w:position w:val="1"/>
                <w:sz w:val="22"/>
                <w:szCs w:val="22"/>
                <w:lang w:val="es-CR"/>
              </w:rPr>
            </w:pPr>
            <w:r>
              <w:rPr>
                <w:rFonts w:eastAsia="Palatino Linotype"/>
                <w:spacing w:val="-1"/>
                <w:position w:val="1"/>
                <w:sz w:val="22"/>
                <w:szCs w:val="22"/>
                <w:lang w:val="es-CR"/>
              </w:rPr>
              <w:t xml:space="preserve">The </w:t>
            </w:r>
            <w:proofErr w:type="spellStart"/>
            <w:r>
              <w:rPr>
                <w:rFonts w:eastAsia="Palatino Linotype"/>
                <w:spacing w:val="-1"/>
                <w:position w:val="1"/>
                <w:sz w:val="22"/>
                <w:szCs w:val="22"/>
                <w:lang w:val="es-CR"/>
              </w:rPr>
              <w:t>following</w:t>
            </w:r>
            <w:proofErr w:type="spellEnd"/>
            <w:r>
              <w:rPr>
                <w:rFonts w:eastAsia="Palatino Linotype"/>
                <w:spacing w:val="-1"/>
                <w:position w:val="1"/>
                <w:sz w:val="22"/>
                <w:szCs w:val="22"/>
                <w:lang w:val="es-CR"/>
              </w:rPr>
              <w:t xml:space="preserve"> </w:t>
            </w:r>
            <w:proofErr w:type="spellStart"/>
            <w:r>
              <w:rPr>
                <w:rFonts w:eastAsia="Palatino Linotype"/>
                <w:spacing w:val="-1"/>
                <w:position w:val="1"/>
                <w:sz w:val="22"/>
                <w:szCs w:val="22"/>
                <w:lang w:val="es-CR"/>
              </w:rPr>
              <w:t>is</w:t>
            </w:r>
            <w:proofErr w:type="spellEnd"/>
            <w:r>
              <w:rPr>
                <w:rFonts w:eastAsia="Palatino Linotype"/>
                <w:spacing w:val="-1"/>
                <w:position w:val="1"/>
                <w:sz w:val="22"/>
                <w:szCs w:val="22"/>
                <w:lang w:val="es-CR"/>
              </w:rPr>
              <w:t xml:space="preserve"> </w:t>
            </w:r>
            <w:proofErr w:type="spellStart"/>
            <w:r>
              <w:rPr>
                <w:rFonts w:eastAsia="Palatino Linotype"/>
                <w:spacing w:val="-1"/>
                <w:position w:val="1"/>
                <w:sz w:val="22"/>
                <w:szCs w:val="22"/>
                <w:lang w:val="es-CR"/>
              </w:rPr>
              <w:t>considered</w:t>
            </w:r>
            <w:proofErr w:type="spellEnd"/>
            <w:r>
              <w:rPr>
                <w:rFonts w:eastAsia="Palatino Linotype"/>
                <w:spacing w:val="-1"/>
                <w:position w:val="1"/>
                <w:sz w:val="22"/>
                <w:szCs w:val="22"/>
                <w:lang w:val="es-CR"/>
              </w:rPr>
              <w:t xml:space="preserve"> </w:t>
            </w:r>
            <w:proofErr w:type="spellStart"/>
            <w:r>
              <w:rPr>
                <w:rFonts w:eastAsia="Palatino Linotype"/>
                <w:spacing w:val="-1"/>
                <w:position w:val="1"/>
                <w:sz w:val="22"/>
                <w:szCs w:val="22"/>
                <w:lang w:val="es-CR"/>
              </w:rPr>
              <w:t>confidential</w:t>
            </w:r>
            <w:proofErr w:type="spellEnd"/>
            <w:r>
              <w:rPr>
                <w:rFonts w:eastAsia="Palatino Linotype"/>
                <w:spacing w:val="-1"/>
                <w:position w:val="1"/>
                <w:sz w:val="22"/>
                <w:szCs w:val="22"/>
                <w:lang w:val="es-CR"/>
              </w:rPr>
              <w:t xml:space="preserve"> </w:t>
            </w:r>
            <w:proofErr w:type="spellStart"/>
            <w:r>
              <w:rPr>
                <w:rFonts w:eastAsia="Palatino Linotype"/>
                <w:spacing w:val="-1"/>
                <w:position w:val="1"/>
                <w:sz w:val="22"/>
                <w:szCs w:val="22"/>
                <w:lang w:val="es-CR"/>
              </w:rPr>
              <w:t>information</w:t>
            </w:r>
            <w:proofErr w:type="spellEnd"/>
            <w:r>
              <w:rPr>
                <w:rFonts w:eastAsia="Palatino Linotype"/>
                <w:spacing w:val="-1"/>
                <w:position w:val="1"/>
                <w:sz w:val="22"/>
                <w:szCs w:val="22"/>
                <w:lang w:val="es-CR"/>
              </w:rPr>
              <w:t>:</w:t>
            </w:r>
          </w:p>
          <w:p w14:paraId="31078C64" w14:textId="77777777" w:rsidR="00E255F4" w:rsidRDefault="00E255F4">
            <w:pPr>
              <w:ind w:right="24"/>
              <w:jc w:val="both"/>
              <w:rPr>
                <w:rFonts w:eastAsia="Palatino Linotype"/>
                <w:spacing w:val="-1"/>
                <w:position w:val="1"/>
                <w:sz w:val="22"/>
                <w:szCs w:val="22"/>
                <w:lang w:val="es-CR"/>
              </w:rPr>
            </w:pPr>
          </w:p>
          <w:p w14:paraId="09A1AD4D" w14:textId="77777777" w:rsidR="00E255F4" w:rsidRDefault="00000000">
            <w:pPr>
              <w:tabs>
                <w:tab w:val="left" w:pos="567"/>
              </w:tabs>
              <w:ind w:right="24"/>
              <w:jc w:val="both"/>
              <w:rPr>
                <w:rFonts w:eastAsia="Palatino Linotype"/>
                <w:sz w:val="22"/>
                <w:szCs w:val="22"/>
                <w:lang w:val="es-CR"/>
              </w:rPr>
            </w:pPr>
            <w:r>
              <w:rPr>
                <w:rFonts w:eastAsia="Palatino Linotype"/>
                <w:spacing w:val="-1"/>
                <w:sz w:val="22"/>
                <w:szCs w:val="22"/>
                <w:lang w:val="es-CR"/>
              </w:rPr>
              <w:t xml:space="preserve">* </w:t>
            </w:r>
            <w:proofErr w:type="spellStart"/>
            <w:r>
              <w:rPr>
                <w:rFonts w:eastAsia="Palatino Linotype"/>
                <w:spacing w:val="-1"/>
                <w:sz w:val="22"/>
                <w:szCs w:val="22"/>
                <w:lang w:val="es-CR"/>
              </w:rPr>
              <w:t>l</w:t>
            </w:r>
            <w:r>
              <w:rPr>
                <w:rFonts w:eastAsia="Palatino Linotype"/>
                <w:sz w:val="22"/>
                <w:szCs w:val="22"/>
                <w:lang w:val="es-CR"/>
              </w:rPr>
              <w:t>relative</w:t>
            </w:r>
            <w:proofErr w:type="spellEnd"/>
            <w:r>
              <w:rPr>
                <w:rFonts w:eastAsia="Palatino Linotype"/>
                <w:sz w:val="22"/>
                <w:szCs w:val="22"/>
                <w:lang w:val="es-CR"/>
              </w:rPr>
              <w:t xml:space="preserve"> </w:t>
            </w:r>
            <w:proofErr w:type="spellStart"/>
            <w:r>
              <w:rPr>
                <w:rFonts w:eastAsia="Palatino Linotype"/>
                <w:sz w:val="22"/>
                <w:szCs w:val="22"/>
                <w:lang w:val="es-CR"/>
              </w:rPr>
              <w:t>to</w:t>
            </w:r>
            <w:proofErr w:type="spellEnd"/>
            <w:r>
              <w:rPr>
                <w:rFonts w:eastAsia="Palatino Linotype"/>
                <w:sz w:val="22"/>
                <w:szCs w:val="22"/>
                <w:lang w:val="es-CR"/>
              </w:rPr>
              <w:t xml:space="preserve"> </w:t>
            </w:r>
            <w:proofErr w:type="spellStart"/>
            <w:r>
              <w:rPr>
                <w:rFonts w:eastAsia="Palatino Linotype"/>
                <w:sz w:val="22"/>
                <w:szCs w:val="22"/>
                <w:lang w:val="es-CR"/>
              </w:rPr>
              <w:t>its</w:t>
            </w:r>
            <w:proofErr w:type="spellEnd"/>
            <w:r>
              <w:rPr>
                <w:rFonts w:eastAsia="Palatino Linotype"/>
                <w:sz w:val="22"/>
                <w:szCs w:val="22"/>
                <w:lang w:val="es-CR"/>
              </w:rPr>
              <w:t xml:space="preserve"> </w:t>
            </w:r>
            <w:proofErr w:type="spellStart"/>
            <w:r>
              <w:rPr>
                <w:rFonts w:eastAsia="Palatino Linotype"/>
                <w:sz w:val="22"/>
                <w:szCs w:val="22"/>
                <w:lang w:val="es-CR"/>
              </w:rPr>
              <w:t>clients</w:t>
            </w:r>
            <w:proofErr w:type="spellEnd"/>
            <w:r>
              <w:rPr>
                <w:rFonts w:eastAsia="Palatino Linotype"/>
                <w:sz w:val="22"/>
                <w:szCs w:val="22"/>
                <w:lang w:val="es-CR"/>
              </w:rPr>
              <w:t>;</w:t>
            </w:r>
          </w:p>
          <w:p w14:paraId="1A8215B4" w14:textId="77777777" w:rsidR="00E255F4" w:rsidRDefault="00000000">
            <w:pPr>
              <w:tabs>
                <w:tab w:val="left" w:pos="567"/>
              </w:tabs>
              <w:ind w:right="24"/>
              <w:jc w:val="both"/>
              <w:rPr>
                <w:rFonts w:eastAsia="Palatino Linotype"/>
                <w:sz w:val="22"/>
                <w:szCs w:val="22"/>
                <w:lang w:val="es-CR"/>
              </w:rPr>
            </w:pPr>
            <w:r>
              <w:rPr>
                <w:rFonts w:eastAsia="Palatino Linotype"/>
                <w:spacing w:val="-1"/>
                <w:sz w:val="22"/>
                <w:szCs w:val="22"/>
                <w:lang w:val="es-CR"/>
              </w:rPr>
              <w:t xml:space="preserve">* </w:t>
            </w:r>
            <w:proofErr w:type="spellStart"/>
            <w:r>
              <w:rPr>
                <w:rFonts w:eastAsia="Palatino Linotype"/>
                <w:spacing w:val="-1"/>
                <w:sz w:val="22"/>
                <w:szCs w:val="22"/>
                <w:lang w:val="es-CR"/>
              </w:rPr>
              <w:t>l</w:t>
            </w:r>
            <w:r>
              <w:rPr>
                <w:rFonts w:eastAsia="Palatino Linotype"/>
                <w:sz w:val="22"/>
                <w:szCs w:val="22"/>
                <w:lang w:val="es-CR"/>
              </w:rPr>
              <w:t>that</w:t>
            </w:r>
            <w:proofErr w:type="spellEnd"/>
            <w:r>
              <w:rPr>
                <w:rFonts w:eastAsia="Palatino Linotype"/>
                <w:sz w:val="22"/>
                <w:szCs w:val="22"/>
                <w:lang w:val="es-CR"/>
              </w:rPr>
              <w:t xml:space="preserve"> </w:t>
            </w:r>
            <w:proofErr w:type="spellStart"/>
            <w:r>
              <w:rPr>
                <w:rFonts w:eastAsia="Palatino Linotype"/>
                <w:sz w:val="22"/>
                <w:szCs w:val="22"/>
                <w:lang w:val="es-CR"/>
              </w:rPr>
              <w:t>may</w:t>
            </w:r>
            <w:proofErr w:type="spellEnd"/>
            <w:r>
              <w:rPr>
                <w:rFonts w:eastAsia="Palatino Linotype"/>
                <w:sz w:val="22"/>
                <w:szCs w:val="22"/>
                <w:lang w:val="es-CR"/>
              </w:rPr>
              <w:t xml:space="preserve"> be </w:t>
            </w:r>
            <w:proofErr w:type="spellStart"/>
            <w:r>
              <w:rPr>
                <w:rFonts w:eastAsia="Palatino Linotype"/>
                <w:sz w:val="22"/>
                <w:szCs w:val="22"/>
                <w:lang w:val="es-CR"/>
              </w:rPr>
              <w:t>subject</w:t>
            </w:r>
            <w:proofErr w:type="spellEnd"/>
            <w:r>
              <w:rPr>
                <w:rFonts w:eastAsia="Palatino Linotype"/>
                <w:sz w:val="22"/>
                <w:szCs w:val="22"/>
                <w:lang w:val="es-CR"/>
              </w:rPr>
              <w:t xml:space="preserve"> </w:t>
            </w:r>
            <w:proofErr w:type="spellStart"/>
            <w:r>
              <w:rPr>
                <w:rFonts w:eastAsia="Palatino Linotype"/>
                <w:sz w:val="22"/>
                <w:szCs w:val="22"/>
                <w:lang w:val="es-CR"/>
              </w:rPr>
              <w:t>to</w:t>
            </w:r>
            <w:proofErr w:type="spellEnd"/>
            <w:r>
              <w:rPr>
                <w:rFonts w:eastAsia="Palatino Linotype"/>
                <w:sz w:val="22"/>
                <w:szCs w:val="22"/>
                <w:lang w:val="es-CR"/>
              </w:rPr>
              <w:t xml:space="preserve"> </w:t>
            </w:r>
            <w:proofErr w:type="spellStart"/>
            <w:r>
              <w:rPr>
                <w:rFonts w:eastAsia="Palatino Linotype"/>
                <w:sz w:val="22"/>
                <w:szCs w:val="22"/>
                <w:lang w:val="es-CR"/>
              </w:rPr>
              <w:t>intellectual</w:t>
            </w:r>
            <w:proofErr w:type="spellEnd"/>
            <w:r>
              <w:rPr>
                <w:rFonts w:eastAsia="Palatino Linotype"/>
                <w:sz w:val="22"/>
                <w:szCs w:val="22"/>
                <w:lang w:val="es-CR"/>
              </w:rPr>
              <w:t xml:space="preserve"> </w:t>
            </w:r>
            <w:proofErr w:type="spellStart"/>
            <w:r>
              <w:rPr>
                <w:rFonts w:eastAsia="Palatino Linotype"/>
                <w:sz w:val="22"/>
                <w:szCs w:val="22"/>
                <w:lang w:val="es-CR"/>
              </w:rPr>
              <w:t>property</w:t>
            </w:r>
            <w:proofErr w:type="spellEnd"/>
            <w:r>
              <w:rPr>
                <w:rFonts w:eastAsia="Palatino Linotype"/>
                <w:sz w:val="22"/>
                <w:szCs w:val="22"/>
                <w:lang w:val="es-CR"/>
              </w:rPr>
              <w:t>;</w:t>
            </w:r>
          </w:p>
          <w:p w14:paraId="0B874CBF" w14:textId="77777777" w:rsidR="00E255F4" w:rsidRDefault="00000000">
            <w:pPr>
              <w:tabs>
                <w:tab w:val="left" w:pos="567"/>
              </w:tabs>
              <w:ind w:right="24"/>
              <w:jc w:val="both"/>
              <w:rPr>
                <w:rFonts w:eastAsia="Palatino Linotype"/>
                <w:sz w:val="22"/>
                <w:szCs w:val="22"/>
                <w:lang w:val="es-CR"/>
              </w:rPr>
            </w:pPr>
            <w:r>
              <w:rPr>
                <w:rFonts w:eastAsia="Palatino Linotype"/>
                <w:spacing w:val="-1"/>
                <w:sz w:val="22"/>
                <w:szCs w:val="22"/>
                <w:lang w:val="es-CR"/>
              </w:rPr>
              <w:t xml:space="preserve">* </w:t>
            </w:r>
            <w:proofErr w:type="spellStart"/>
            <w:r>
              <w:rPr>
                <w:rFonts w:eastAsia="Palatino Linotype"/>
                <w:spacing w:val="-1"/>
                <w:sz w:val="22"/>
                <w:szCs w:val="22"/>
                <w:lang w:val="es-CR"/>
              </w:rPr>
              <w:t>l</w:t>
            </w:r>
            <w:r>
              <w:rPr>
                <w:rFonts w:eastAsia="Palatino Linotype"/>
                <w:sz w:val="22"/>
                <w:szCs w:val="22"/>
                <w:lang w:val="es-CR"/>
              </w:rPr>
              <w:t>that</w:t>
            </w:r>
            <w:proofErr w:type="spellEnd"/>
            <w:r>
              <w:rPr>
                <w:rFonts w:eastAsia="Palatino Linotype"/>
                <w:sz w:val="22"/>
                <w:szCs w:val="22"/>
                <w:lang w:val="es-CR"/>
              </w:rPr>
              <w:t xml:space="preserve"> </w:t>
            </w:r>
            <w:proofErr w:type="spellStart"/>
            <w:r>
              <w:rPr>
                <w:rFonts w:eastAsia="Palatino Linotype"/>
                <w:sz w:val="22"/>
                <w:szCs w:val="22"/>
                <w:lang w:val="es-CR"/>
              </w:rPr>
              <w:t>refers</w:t>
            </w:r>
            <w:proofErr w:type="spellEnd"/>
            <w:r>
              <w:rPr>
                <w:rFonts w:eastAsia="Palatino Linotype"/>
                <w:sz w:val="22"/>
                <w:szCs w:val="22"/>
                <w:lang w:val="es-CR"/>
              </w:rPr>
              <w:t xml:space="preserve"> </w:t>
            </w:r>
            <w:proofErr w:type="spellStart"/>
            <w:r>
              <w:rPr>
                <w:rFonts w:eastAsia="Palatino Linotype"/>
                <w:sz w:val="22"/>
                <w:szCs w:val="22"/>
                <w:lang w:val="es-CR"/>
              </w:rPr>
              <w:t>to</w:t>
            </w:r>
            <w:proofErr w:type="spellEnd"/>
            <w:r>
              <w:rPr>
                <w:rFonts w:eastAsia="Palatino Linotype"/>
                <w:sz w:val="22"/>
                <w:szCs w:val="22"/>
                <w:lang w:val="es-CR"/>
              </w:rPr>
              <w:t xml:space="preserve"> </w:t>
            </w:r>
            <w:proofErr w:type="spellStart"/>
            <w:r>
              <w:rPr>
                <w:rFonts w:eastAsia="Palatino Linotype"/>
                <w:sz w:val="22"/>
                <w:szCs w:val="22"/>
                <w:lang w:val="es-CR"/>
              </w:rPr>
              <w:t>the</w:t>
            </w:r>
            <w:proofErr w:type="spellEnd"/>
            <w:r>
              <w:rPr>
                <w:rFonts w:eastAsia="Palatino Linotype"/>
                <w:sz w:val="22"/>
                <w:szCs w:val="22"/>
                <w:lang w:val="es-CR"/>
              </w:rPr>
              <w:t xml:space="preserve"> </w:t>
            </w:r>
            <w:proofErr w:type="spellStart"/>
            <w:r>
              <w:rPr>
                <w:rFonts w:eastAsia="Palatino Linotype"/>
                <w:sz w:val="22"/>
                <w:szCs w:val="22"/>
                <w:lang w:val="es-CR"/>
              </w:rPr>
              <w:t>offeror's</w:t>
            </w:r>
            <w:proofErr w:type="spellEnd"/>
            <w:r>
              <w:rPr>
                <w:rFonts w:eastAsia="Palatino Linotype"/>
                <w:sz w:val="22"/>
                <w:szCs w:val="22"/>
                <w:lang w:val="es-CR"/>
              </w:rPr>
              <w:t xml:space="preserve"> </w:t>
            </w:r>
            <w:proofErr w:type="spellStart"/>
            <w:r>
              <w:rPr>
                <w:rFonts w:eastAsia="Palatino Linotype"/>
                <w:sz w:val="22"/>
                <w:szCs w:val="22"/>
                <w:lang w:val="es-CR"/>
              </w:rPr>
              <w:t>assets</w:t>
            </w:r>
            <w:proofErr w:type="spellEnd"/>
            <w:r>
              <w:rPr>
                <w:rFonts w:eastAsia="Palatino Linotype"/>
                <w:sz w:val="22"/>
                <w:szCs w:val="22"/>
                <w:lang w:val="es-CR"/>
              </w:rPr>
              <w:t>;</w:t>
            </w:r>
          </w:p>
          <w:p w14:paraId="6097F142" w14:textId="77777777" w:rsidR="00E255F4" w:rsidRDefault="00000000">
            <w:pPr>
              <w:tabs>
                <w:tab w:val="left" w:pos="567"/>
              </w:tabs>
              <w:ind w:right="24"/>
              <w:jc w:val="both"/>
              <w:rPr>
                <w:rFonts w:eastAsia="Palatino Linotype"/>
                <w:sz w:val="22"/>
                <w:szCs w:val="22"/>
                <w:lang w:val="es-CR"/>
              </w:rPr>
            </w:pPr>
            <w:r>
              <w:rPr>
                <w:rFonts w:eastAsia="Palatino Linotype"/>
                <w:spacing w:val="-1"/>
                <w:sz w:val="22"/>
                <w:szCs w:val="22"/>
                <w:lang w:val="es-CR"/>
              </w:rPr>
              <w:t xml:space="preserve">* </w:t>
            </w:r>
            <w:proofErr w:type="spellStart"/>
            <w:r>
              <w:rPr>
                <w:rFonts w:eastAsia="Palatino Linotype"/>
                <w:spacing w:val="-1"/>
                <w:sz w:val="22"/>
                <w:szCs w:val="22"/>
                <w:lang w:val="es-CR"/>
              </w:rPr>
              <w:t>l</w:t>
            </w:r>
            <w:r>
              <w:rPr>
                <w:rFonts w:eastAsia="Palatino Linotype"/>
                <w:sz w:val="22"/>
                <w:szCs w:val="22"/>
                <w:lang w:val="es-CR"/>
              </w:rPr>
              <w:t>that</w:t>
            </w:r>
            <w:proofErr w:type="spellEnd"/>
            <w:r>
              <w:rPr>
                <w:rFonts w:eastAsia="Palatino Linotype"/>
                <w:sz w:val="22"/>
                <w:szCs w:val="22"/>
                <w:lang w:val="es-CR"/>
              </w:rPr>
              <w:t xml:space="preserve"> </w:t>
            </w:r>
            <w:proofErr w:type="spellStart"/>
            <w:r>
              <w:rPr>
                <w:rFonts w:eastAsia="Palatino Linotype"/>
                <w:sz w:val="22"/>
                <w:szCs w:val="22"/>
                <w:lang w:val="es-CR"/>
              </w:rPr>
              <w:t>includes</w:t>
            </w:r>
            <w:proofErr w:type="spellEnd"/>
            <w:r>
              <w:rPr>
                <w:rFonts w:eastAsia="Palatino Linotype"/>
                <w:sz w:val="22"/>
                <w:szCs w:val="22"/>
                <w:lang w:val="es-CR"/>
              </w:rPr>
              <w:t xml:space="preserve"> </w:t>
            </w:r>
            <w:proofErr w:type="spellStart"/>
            <w:r>
              <w:rPr>
                <w:rFonts w:eastAsia="Palatino Linotype"/>
                <w:sz w:val="22"/>
                <w:szCs w:val="22"/>
                <w:lang w:val="es-CR"/>
              </w:rPr>
              <w:t>facts</w:t>
            </w:r>
            <w:proofErr w:type="spellEnd"/>
            <w:r>
              <w:rPr>
                <w:rFonts w:eastAsia="Palatino Linotype"/>
                <w:sz w:val="22"/>
                <w:szCs w:val="22"/>
                <w:lang w:val="es-CR"/>
              </w:rPr>
              <w:t xml:space="preserve"> </w:t>
            </w:r>
            <w:proofErr w:type="spellStart"/>
            <w:r>
              <w:rPr>
                <w:rFonts w:eastAsia="Palatino Linotype"/>
                <w:sz w:val="22"/>
                <w:szCs w:val="22"/>
                <w:lang w:val="es-CR"/>
              </w:rPr>
              <w:t>or</w:t>
            </w:r>
            <w:proofErr w:type="spellEnd"/>
            <w:r>
              <w:rPr>
                <w:rFonts w:eastAsia="Palatino Linotype"/>
                <w:sz w:val="22"/>
                <w:szCs w:val="22"/>
                <w:lang w:val="es-CR"/>
              </w:rPr>
              <w:t xml:space="preserve"> </w:t>
            </w:r>
            <w:proofErr w:type="spellStart"/>
            <w:r>
              <w:rPr>
                <w:rFonts w:eastAsia="Palatino Linotype"/>
                <w:sz w:val="22"/>
                <w:szCs w:val="22"/>
                <w:lang w:val="es-CR"/>
              </w:rPr>
              <w:t>acts</w:t>
            </w:r>
            <w:proofErr w:type="spellEnd"/>
            <w:r>
              <w:rPr>
                <w:rFonts w:eastAsia="Palatino Linotype"/>
                <w:sz w:val="22"/>
                <w:szCs w:val="22"/>
                <w:lang w:val="es-CR"/>
              </w:rPr>
              <w:t xml:space="preserve"> </w:t>
            </w:r>
            <w:proofErr w:type="spellStart"/>
            <w:r>
              <w:rPr>
                <w:rFonts w:eastAsia="Palatino Linotype"/>
                <w:sz w:val="22"/>
                <w:szCs w:val="22"/>
                <w:lang w:val="es-CR"/>
              </w:rPr>
              <w:t>of</w:t>
            </w:r>
            <w:proofErr w:type="spellEnd"/>
            <w:r>
              <w:rPr>
                <w:rFonts w:eastAsia="Palatino Linotype"/>
                <w:sz w:val="22"/>
                <w:szCs w:val="22"/>
                <w:lang w:val="es-CR"/>
              </w:rPr>
              <w:t xml:space="preserve"> </w:t>
            </w:r>
            <w:proofErr w:type="spellStart"/>
            <w:r>
              <w:rPr>
                <w:rFonts w:eastAsia="Palatino Linotype"/>
                <w:sz w:val="22"/>
                <w:szCs w:val="22"/>
                <w:lang w:val="es-CR"/>
              </w:rPr>
              <w:t>an</w:t>
            </w:r>
            <w:proofErr w:type="spellEnd"/>
            <w:r>
              <w:rPr>
                <w:rFonts w:eastAsia="Palatino Linotype"/>
                <w:sz w:val="22"/>
                <w:szCs w:val="22"/>
                <w:lang w:val="es-CR"/>
              </w:rPr>
              <w:t xml:space="preserve"> </w:t>
            </w:r>
            <w:proofErr w:type="spellStart"/>
            <w:r>
              <w:rPr>
                <w:rFonts w:eastAsia="Palatino Linotype"/>
                <w:sz w:val="22"/>
                <w:szCs w:val="22"/>
                <w:lang w:val="es-CR"/>
              </w:rPr>
              <w:t>economic</w:t>
            </w:r>
            <w:proofErr w:type="spellEnd"/>
            <w:r>
              <w:rPr>
                <w:rFonts w:eastAsia="Palatino Linotype"/>
                <w:sz w:val="22"/>
                <w:szCs w:val="22"/>
                <w:lang w:val="es-CR"/>
              </w:rPr>
              <w:t xml:space="preserve">, </w:t>
            </w:r>
            <w:proofErr w:type="spellStart"/>
            <w:r>
              <w:rPr>
                <w:rFonts w:eastAsia="Palatino Linotype"/>
                <w:sz w:val="22"/>
                <w:szCs w:val="22"/>
                <w:lang w:val="es-CR"/>
              </w:rPr>
              <w:t>accounting</w:t>
            </w:r>
            <w:proofErr w:type="spellEnd"/>
            <w:r>
              <w:rPr>
                <w:rFonts w:eastAsia="Palatino Linotype"/>
                <w:sz w:val="22"/>
                <w:szCs w:val="22"/>
                <w:lang w:val="es-CR"/>
              </w:rPr>
              <w:t xml:space="preserve">, legal </w:t>
            </w:r>
            <w:proofErr w:type="spellStart"/>
            <w:r>
              <w:rPr>
                <w:rFonts w:eastAsia="Palatino Linotype"/>
                <w:sz w:val="22"/>
                <w:szCs w:val="22"/>
                <w:lang w:val="es-CR"/>
              </w:rPr>
              <w:t>or</w:t>
            </w:r>
            <w:proofErr w:type="spellEnd"/>
            <w:r>
              <w:rPr>
                <w:rFonts w:eastAsia="Palatino Linotype"/>
                <w:sz w:val="22"/>
                <w:szCs w:val="22"/>
                <w:lang w:val="es-CR"/>
              </w:rPr>
              <w:t xml:space="preserve"> administrative </w:t>
            </w:r>
            <w:proofErr w:type="spellStart"/>
            <w:r>
              <w:rPr>
                <w:rFonts w:eastAsia="Palatino Linotype"/>
                <w:sz w:val="22"/>
                <w:szCs w:val="22"/>
                <w:lang w:val="es-CR"/>
              </w:rPr>
              <w:t>nature</w:t>
            </w:r>
            <w:proofErr w:type="spellEnd"/>
            <w:r>
              <w:rPr>
                <w:rFonts w:eastAsia="Palatino Linotype"/>
                <w:sz w:val="22"/>
                <w:szCs w:val="22"/>
                <w:lang w:val="es-CR"/>
              </w:rPr>
              <w:t xml:space="preserve">, </w:t>
            </w:r>
            <w:proofErr w:type="spellStart"/>
            <w:r>
              <w:rPr>
                <w:rFonts w:eastAsia="Palatino Linotype"/>
                <w:sz w:val="22"/>
                <w:szCs w:val="22"/>
                <w:lang w:val="es-CR"/>
              </w:rPr>
              <w:t>relating</w:t>
            </w:r>
            <w:proofErr w:type="spellEnd"/>
            <w:r>
              <w:rPr>
                <w:rFonts w:eastAsia="Palatino Linotype"/>
                <w:sz w:val="22"/>
                <w:szCs w:val="22"/>
                <w:lang w:val="es-CR"/>
              </w:rPr>
              <w:t xml:space="preserve"> </w:t>
            </w:r>
            <w:proofErr w:type="spellStart"/>
            <w:r>
              <w:rPr>
                <w:rFonts w:eastAsia="Palatino Linotype"/>
                <w:sz w:val="22"/>
                <w:szCs w:val="22"/>
                <w:lang w:val="es-CR"/>
              </w:rPr>
              <w:t>to</w:t>
            </w:r>
            <w:proofErr w:type="spellEnd"/>
            <w:r>
              <w:rPr>
                <w:rFonts w:eastAsia="Palatino Linotype"/>
                <w:sz w:val="22"/>
                <w:szCs w:val="22"/>
                <w:lang w:val="es-CR"/>
              </w:rPr>
              <w:t xml:space="preserve"> </w:t>
            </w:r>
            <w:proofErr w:type="spellStart"/>
            <w:r>
              <w:rPr>
                <w:rFonts w:eastAsia="Palatino Linotype"/>
                <w:sz w:val="22"/>
                <w:szCs w:val="22"/>
                <w:lang w:val="es-CR"/>
              </w:rPr>
              <w:t>the</w:t>
            </w:r>
            <w:proofErr w:type="spellEnd"/>
            <w:r>
              <w:rPr>
                <w:rFonts w:eastAsia="Palatino Linotype"/>
                <w:sz w:val="22"/>
                <w:szCs w:val="22"/>
                <w:lang w:val="es-CR"/>
              </w:rPr>
              <w:t xml:space="preserve"> </w:t>
            </w:r>
            <w:proofErr w:type="spellStart"/>
            <w:r>
              <w:rPr>
                <w:rFonts w:eastAsia="Palatino Linotype"/>
                <w:sz w:val="22"/>
                <w:szCs w:val="22"/>
                <w:lang w:val="es-CR"/>
              </w:rPr>
              <w:t>offeror</w:t>
            </w:r>
            <w:proofErr w:type="spellEnd"/>
            <w:r>
              <w:rPr>
                <w:rFonts w:eastAsia="Palatino Linotype"/>
                <w:sz w:val="22"/>
                <w:szCs w:val="22"/>
                <w:lang w:val="es-CR"/>
              </w:rPr>
              <w:t xml:space="preserve">, </w:t>
            </w:r>
            <w:proofErr w:type="spellStart"/>
            <w:r>
              <w:rPr>
                <w:rFonts w:eastAsia="Palatino Linotype"/>
                <w:sz w:val="22"/>
                <w:szCs w:val="22"/>
                <w:lang w:val="es-CR"/>
              </w:rPr>
              <w:t>that</w:t>
            </w:r>
            <w:proofErr w:type="spellEnd"/>
            <w:r>
              <w:rPr>
                <w:rFonts w:eastAsia="Palatino Linotype"/>
                <w:sz w:val="22"/>
                <w:szCs w:val="22"/>
                <w:lang w:val="es-CR"/>
              </w:rPr>
              <w:t xml:space="preserve"> </w:t>
            </w:r>
            <w:proofErr w:type="spellStart"/>
            <w:r>
              <w:rPr>
                <w:rFonts w:eastAsia="Palatino Linotype"/>
                <w:sz w:val="22"/>
                <w:szCs w:val="22"/>
                <w:lang w:val="es-CR"/>
              </w:rPr>
              <w:t>could</w:t>
            </w:r>
            <w:proofErr w:type="spellEnd"/>
            <w:r>
              <w:rPr>
                <w:rFonts w:eastAsia="Palatino Linotype"/>
                <w:sz w:val="22"/>
                <w:szCs w:val="22"/>
                <w:lang w:val="es-CR"/>
              </w:rPr>
              <w:t xml:space="preserve"> be </w:t>
            </w:r>
            <w:proofErr w:type="spellStart"/>
            <w:r>
              <w:rPr>
                <w:rFonts w:eastAsia="Palatino Linotype"/>
                <w:sz w:val="22"/>
                <w:szCs w:val="22"/>
                <w:lang w:val="es-CR"/>
              </w:rPr>
              <w:t>useful</w:t>
            </w:r>
            <w:proofErr w:type="spellEnd"/>
            <w:r>
              <w:rPr>
                <w:rFonts w:eastAsia="Palatino Linotype"/>
                <w:sz w:val="22"/>
                <w:szCs w:val="22"/>
                <w:lang w:val="es-CR"/>
              </w:rPr>
              <w:t xml:space="preserve"> </w:t>
            </w:r>
            <w:proofErr w:type="spellStart"/>
            <w:r>
              <w:rPr>
                <w:rFonts w:eastAsia="Palatino Linotype"/>
                <w:sz w:val="22"/>
                <w:szCs w:val="22"/>
                <w:lang w:val="es-CR"/>
              </w:rPr>
              <w:t>to</w:t>
            </w:r>
            <w:proofErr w:type="spellEnd"/>
            <w:r>
              <w:rPr>
                <w:rFonts w:eastAsia="Palatino Linotype"/>
                <w:sz w:val="22"/>
                <w:szCs w:val="22"/>
                <w:lang w:val="es-CR"/>
              </w:rPr>
              <w:t xml:space="preserve"> a </w:t>
            </w:r>
            <w:proofErr w:type="spellStart"/>
            <w:r>
              <w:rPr>
                <w:rFonts w:eastAsia="Palatino Linotype"/>
                <w:sz w:val="22"/>
                <w:szCs w:val="22"/>
                <w:lang w:val="es-CR"/>
              </w:rPr>
              <w:t>competitor</w:t>
            </w:r>
            <w:proofErr w:type="spellEnd"/>
            <w:r>
              <w:rPr>
                <w:rFonts w:eastAsia="Palatino Linotype"/>
                <w:sz w:val="22"/>
                <w:szCs w:val="22"/>
                <w:lang w:val="es-CR"/>
              </w:rPr>
              <w:t>;</w:t>
            </w:r>
          </w:p>
          <w:p w14:paraId="400F61D2" w14:textId="77777777" w:rsidR="00E255F4" w:rsidRDefault="00000000">
            <w:pPr>
              <w:tabs>
                <w:tab w:val="left" w:pos="567"/>
              </w:tabs>
              <w:ind w:left="567" w:right="24" w:hanging="567"/>
              <w:jc w:val="both"/>
              <w:rPr>
                <w:rFonts w:eastAsia="Palatino Linotype"/>
                <w:sz w:val="22"/>
                <w:szCs w:val="22"/>
                <w:lang w:val="es-CR"/>
              </w:rPr>
            </w:pPr>
            <w:r>
              <w:rPr>
                <w:rFonts w:eastAsia="Palatino Linotype"/>
                <w:spacing w:val="4"/>
                <w:sz w:val="22"/>
                <w:szCs w:val="22"/>
                <w:lang w:val="es-CR"/>
              </w:rPr>
              <w:t xml:space="preserve">* </w:t>
            </w:r>
            <w:proofErr w:type="spellStart"/>
            <w:r>
              <w:rPr>
                <w:rFonts w:eastAsia="Palatino Linotype"/>
                <w:spacing w:val="4"/>
                <w:sz w:val="22"/>
                <w:szCs w:val="22"/>
                <w:lang w:val="es-CR"/>
              </w:rPr>
              <w:t>l</w:t>
            </w:r>
            <w:r>
              <w:rPr>
                <w:rFonts w:eastAsia="Palatino Linotype"/>
                <w:sz w:val="22"/>
                <w:szCs w:val="22"/>
                <w:lang w:val="es-CR"/>
              </w:rPr>
              <w:t>that</w:t>
            </w:r>
            <w:proofErr w:type="spellEnd"/>
            <w:r>
              <w:rPr>
                <w:rFonts w:eastAsia="Palatino Linotype"/>
                <w:sz w:val="22"/>
                <w:szCs w:val="22"/>
                <w:lang w:val="es-CR"/>
              </w:rPr>
              <w:t xml:space="preserve"> </w:t>
            </w:r>
            <w:proofErr w:type="spellStart"/>
            <w:r>
              <w:rPr>
                <w:rFonts w:eastAsia="Palatino Linotype"/>
                <w:sz w:val="22"/>
                <w:szCs w:val="22"/>
                <w:lang w:val="es-CR"/>
              </w:rPr>
              <w:t>it</w:t>
            </w:r>
            <w:proofErr w:type="spellEnd"/>
            <w:r>
              <w:rPr>
                <w:rFonts w:eastAsia="Palatino Linotype"/>
                <w:sz w:val="22"/>
                <w:szCs w:val="22"/>
                <w:lang w:val="es-CR"/>
              </w:rPr>
              <w:t xml:space="preserve"> </w:t>
            </w:r>
            <w:proofErr w:type="spellStart"/>
            <w:r>
              <w:rPr>
                <w:rFonts w:eastAsia="Palatino Linotype"/>
                <w:sz w:val="22"/>
                <w:szCs w:val="22"/>
                <w:lang w:val="es-CR"/>
              </w:rPr>
              <w:t>is</w:t>
            </w:r>
            <w:proofErr w:type="spellEnd"/>
            <w:r>
              <w:rPr>
                <w:rFonts w:eastAsia="Palatino Linotype"/>
                <w:sz w:val="22"/>
                <w:szCs w:val="22"/>
                <w:lang w:val="es-CR"/>
              </w:rPr>
              <w:t xml:space="preserve"> </w:t>
            </w:r>
            <w:proofErr w:type="spellStart"/>
            <w:r>
              <w:rPr>
                <w:rFonts w:eastAsia="Palatino Linotype"/>
                <w:sz w:val="22"/>
                <w:szCs w:val="22"/>
                <w:lang w:val="es-CR"/>
              </w:rPr>
              <w:t>protected</w:t>
            </w:r>
            <w:proofErr w:type="spellEnd"/>
            <w:r>
              <w:rPr>
                <w:rFonts w:eastAsia="Palatino Linotype"/>
                <w:sz w:val="22"/>
                <w:szCs w:val="22"/>
                <w:lang w:val="es-CR"/>
              </w:rPr>
              <w:t xml:space="preserve"> </w:t>
            </w:r>
            <w:proofErr w:type="spellStart"/>
            <w:r>
              <w:rPr>
                <w:rFonts w:eastAsia="Palatino Linotype"/>
                <w:sz w:val="22"/>
                <w:szCs w:val="22"/>
                <w:lang w:val="es-CR"/>
              </w:rPr>
              <w:t>by</w:t>
            </w:r>
            <w:proofErr w:type="spellEnd"/>
            <w:r>
              <w:rPr>
                <w:rFonts w:eastAsia="Palatino Linotype"/>
                <w:sz w:val="22"/>
                <w:szCs w:val="22"/>
                <w:lang w:val="es-CR"/>
              </w:rPr>
              <w:t xml:space="preserve"> a contractual </w:t>
            </w:r>
            <w:proofErr w:type="spellStart"/>
            <w:r>
              <w:rPr>
                <w:rFonts w:eastAsia="Palatino Linotype"/>
                <w:sz w:val="22"/>
                <w:szCs w:val="22"/>
                <w:lang w:val="es-CR"/>
              </w:rPr>
              <w:t>confidentiality</w:t>
            </w:r>
            <w:proofErr w:type="spellEnd"/>
            <w:r>
              <w:rPr>
                <w:rFonts w:eastAsia="Palatino Linotype"/>
                <w:sz w:val="22"/>
                <w:szCs w:val="22"/>
                <w:lang w:val="es-CR"/>
              </w:rPr>
              <w:t xml:space="preserve"> </w:t>
            </w:r>
            <w:proofErr w:type="spellStart"/>
            <w:r>
              <w:rPr>
                <w:rFonts w:eastAsia="Palatino Linotype"/>
                <w:sz w:val="22"/>
                <w:szCs w:val="22"/>
                <w:lang w:val="es-CR"/>
              </w:rPr>
              <w:t>clause</w:t>
            </w:r>
            <w:proofErr w:type="spellEnd"/>
            <w:r>
              <w:rPr>
                <w:rFonts w:eastAsia="Palatino Linotype"/>
                <w:sz w:val="22"/>
                <w:szCs w:val="22"/>
                <w:lang w:val="es-CR"/>
              </w:rPr>
              <w:t>;</w:t>
            </w:r>
          </w:p>
          <w:p w14:paraId="29287DE5" w14:textId="77777777" w:rsidR="00E255F4" w:rsidRDefault="00000000">
            <w:pPr>
              <w:tabs>
                <w:tab w:val="left" w:pos="567"/>
              </w:tabs>
              <w:ind w:left="567" w:right="24" w:hanging="567"/>
              <w:jc w:val="both"/>
            </w:pPr>
            <w:r>
              <w:rPr>
                <w:rFonts w:eastAsia="Palatino Linotype"/>
                <w:sz w:val="22"/>
                <w:szCs w:val="22"/>
                <w:lang w:val="es-CR"/>
              </w:rPr>
              <w:t xml:space="preserve">* and </w:t>
            </w:r>
            <w:proofErr w:type="spellStart"/>
            <w:r>
              <w:rPr>
                <w:rFonts w:eastAsia="Palatino Linotype"/>
                <w:sz w:val="22"/>
                <w:szCs w:val="22"/>
                <w:lang w:val="es-CR"/>
              </w:rPr>
              <w:t>that</w:t>
            </w:r>
            <w:proofErr w:type="spellEnd"/>
            <w:r>
              <w:rPr>
                <w:rFonts w:eastAsia="Palatino Linotype"/>
                <w:sz w:val="22"/>
                <w:szCs w:val="22"/>
                <w:lang w:val="es-CR"/>
              </w:rPr>
              <w:t xml:space="preserve"> </w:t>
            </w:r>
            <w:proofErr w:type="spellStart"/>
            <w:r>
              <w:rPr>
                <w:rFonts w:eastAsia="Palatino Linotype"/>
                <w:sz w:val="22"/>
                <w:szCs w:val="22"/>
                <w:lang w:val="es-CR"/>
              </w:rPr>
              <w:t>of</w:t>
            </w:r>
            <w:proofErr w:type="spellEnd"/>
            <w:r>
              <w:rPr>
                <w:rFonts w:eastAsia="Palatino Linotype"/>
                <w:sz w:val="22"/>
                <w:szCs w:val="22"/>
                <w:lang w:val="es-CR"/>
              </w:rPr>
              <w:t xml:space="preserve"> a similar </w:t>
            </w:r>
            <w:proofErr w:type="spellStart"/>
            <w:r>
              <w:rPr>
                <w:rFonts w:eastAsia="Palatino Linotype"/>
                <w:sz w:val="22"/>
                <w:szCs w:val="22"/>
                <w:lang w:val="es-CR"/>
              </w:rPr>
              <w:t>nature</w:t>
            </w:r>
            <w:proofErr w:type="spellEnd"/>
            <w:r>
              <w:rPr>
                <w:rFonts w:eastAsia="Palatino Linotype"/>
                <w:sz w:val="22"/>
                <w:szCs w:val="22"/>
                <w:lang w:val="es-CR"/>
              </w:rPr>
              <w:t xml:space="preserve"> in </w:t>
            </w:r>
            <w:proofErr w:type="spellStart"/>
            <w:r>
              <w:rPr>
                <w:rFonts w:eastAsia="Palatino Linotype"/>
                <w:sz w:val="22"/>
                <w:szCs w:val="22"/>
                <w:lang w:val="es-CR"/>
              </w:rPr>
              <w:t>accordance</w:t>
            </w:r>
            <w:proofErr w:type="spellEnd"/>
            <w:r>
              <w:rPr>
                <w:rFonts w:eastAsia="Palatino Linotype"/>
                <w:sz w:val="22"/>
                <w:szCs w:val="22"/>
                <w:lang w:val="es-CR"/>
              </w:rPr>
              <w:t xml:space="preserve"> </w:t>
            </w:r>
            <w:proofErr w:type="spellStart"/>
            <w:r>
              <w:rPr>
                <w:rFonts w:eastAsia="Palatino Linotype"/>
                <w:sz w:val="22"/>
                <w:szCs w:val="22"/>
                <w:lang w:val="es-CR"/>
              </w:rPr>
              <w:t>with</w:t>
            </w:r>
            <w:proofErr w:type="spellEnd"/>
            <w:r>
              <w:rPr>
                <w:rFonts w:eastAsia="Palatino Linotype"/>
                <w:sz w:val="22"/>
                <w:szCs w:val="22"/>
                <w:lang w:val="es-CR"/>
              </w:rPr>
              <w:t xml:space="preserve"> </w:t>
            </w:r>
            <w:proofErr w:type="spellStart"/>
            <w:r>
              <w:rPr>
                <w:rFonts w:eastAsia="Palatino Linotype"/>
                <w:sz w:val="22"/>
                <w:szCs w:val="22"/>
                <w:lang w:val="es-CR"/>
              </w:rPr>
              <w:t>what</w:t>
            </w:r>
            <w:proofErr w:type="spellEnd"/>
            <w:r>
              <w:rPr>
                <w:rFonts w:eastAsia="Palatino Linotype"/>
                <w:sz w:val="22"/>
                <w:szCs w:val="22"/>
                <w:lang w:val="es-CR"/>
              </w:rPr>
              <w:t xml:space="preserve"> </w:t>
            </w:r>
            <w:proofErr w:type="spellStart"/>
            <w:r>
              <w:rPr>
                <w:rFonts w:eastAsia="Palatino Linotype"/>
                <w:sz w:val="22"/>
                <w:szCs w:val="22"/>
                <w:lang w:val="es-CR"/>
              </w:rPr>
              <w:t>is</w:t>
            </w:r>
            <w:proofErr w:type="spellEnd"/>
            <w:r>
              <w:rPr>
                <w:rFonts w:eastAsia="Palatino Linotype"/>
                <w:sz w:val="22"/>
                <w:szCs w:val="22"/>
                <w:lang w:val="es-CR"/>
              </w:rPr>
              <w:t xml:space="preserve"> </w:t>
            </w:r>
            <w:proofErr w:type="spellStart"/>
            <w:r>
              <w:rPr>
                <w:rFonts w:eastAsia="Palatino Linotype"/>
                <w:sz w:val="22"/>
                <w:szCs w:val="22"/>
                <w:lang w:val="es-CR"/>
              </w:rPr>
              <w:t>established</w:t>
            </w:r>
            <w:proofErr w:type="spellEnd"/>
            <w:r>
              <w:rPr>
                <w:rFonts w:eastAsia="Palatino Linotype"/>
                <w:sz w:val="22"/>
                <w:szCs w:val="22"/>
                <w:lang w:val="es-CR"/>
              </w:rPr>
              <w:t xml:space="preserve"> in </w:t>
            </w:r>
            <w:proofErr w:type="spellStart"/>
            <w:r>
              <w:rPr>
                <w:rFonts w:eastAsia="Palatino Linotype"/>
                <w:sz w:val="22"/>
                <w:szCs w:val="22"/>
                <w:lang w:val="es-CR"/>
              </w:rPr>
              <w:t>the</w:t>
            </w:r>
            <w:proofErr w:type="spellEnd"/>
            <w:r>
              <w:rPr>
                <w:rFonts w:eastAsia="Palatino Linotype"/>
                <w:sz w:val="22"/>
                <w:szCs w:val="22"/>
                <w:lang w:val="es-CR"/>
              </w:rPr>
              <w:t xml:space="preserve"> Special </w:t>
            </w:r>
            <w:proofErr w:type="spellStart"/>
            <w:r>
              <w:rPr>
                <w:rFonts w:eastAsia="Palatino Linotype"/>
                <w:sz w:val="22"/>
                <w:szCs w:val="22"/>
                <w:lang w:val="es-CR"/>
              </w:rPr>
              <w:t>Specifications</w:t>
            </w:r>
            <w:proofErr w:type="spellEnd"/>
            <w:r>
              <w:rPr>
                <w:rFonts w:eastAsia="Palatino Linotype"/>
                <w:sz w:val="22"/>
                <w:szCs w:val="22"/>
                <w:lang w:val="es-CR"/>
              </w:rPr>
              <w:t>.</w:t>
            </w:r>
          </w:p>
          <w:p w14:paraId="11729469" w14:textId="77777777" w:rsidR="00E255F4" w:rsidRDefault="00E255F4">
            <w:pPr>
              <w:tabs>
                <w:tab w:val="left" w:pos="567"/>
              </w:tabs>
              <w:ind w:left="567" w:right="24" w:hanging="567"/>
              <w:jc w:val="both"/>
              <w:rPr>
                <w:rFonts w:eastAsia="Palatino Linotype"/>
                <w:sz w:val="22"/>
                <w:szCs w:val="22"/>
                <w:lang w:val="es-CR"/>
              </w:rPr>
            </w:pPr>
          </w:p>
          <w:p w14:paraId="73B427EE" w14:textId="77777777" w:rsidR="00E255F4" w:rsidRDefault="00000000">
            <w:pPr>
              <w:ind w:right="24"/>
              <w:jc w:val="both"/>
              <w:rPr>
                <w:rFonts w:eastAsia="Palatino Linotype"/>
                <w:w w:val="98"/>
                <w:position w:val="1"/>
                <w:sz w:val="22"/>
                <w:szCs w:val="22"/>
                <w:lang w:val="es-CR"/>
              </w:rPr>
            </w:pPr>
            <w:r>
              <w:rPr>
                <w:rFonts w:eastAsia="Palatino Linotype"/>
                <w:spacing w:val="-1"/>
                <w:position w:val="1"/>
                <w:sz w:val="22"/>
                <w:szCs w:val="22"/>
                <w:lang w:val="es-CR"/>
              </w:rPr>
              <w:t>N</w:t>
            </w:r>
            <w:r>
              <w:rPr>
                <w:rFonts w:eastAsia="Palatino Linotype"/>
                <w:position w:val="1"/>
                <w:sz w:val="22"/>
                <w:szCs w:val="22"/>
                <w:lang w:val="es-CR"/>
              </w:rPr>
              <w:t xml:space="preserve">or </w:t>
            </w:r>
            <w:proofErr w:type="spellStart"/>
            <w:r>
              <w:rPr>
                <w:rFonts w:eastAsia="Palatino Linotype"/>
                <w:position w:val="1"/>
                <w:sz w:val="22"/>
                <w:szCs w:val="22"/>
                <w:lang w:val="es-CR"/>
              </w:rPr>
              <w:t>is</w:t>
            </w:r>
            <w:proofErr w:type="spellEnd"/>
            <w:r>
              <w:rPr>
                <w:rFonts w:eastAsia="Palatino Linotype"/>
                <w:position w:val="1"/>
                <w:sz w:val="22"/>
                <w:szCs w:val="22"/>
                <w:lang w:val="es-CR"/>
              </w:rPr>
              <w:t xml:space="preserve"> </w:t>
            </w:r>
            <w:proofErr w:type="spellStart"/>
            <w:r>
              <w:rPr>
                <w:rFonts w:eastAsia="Palatino Linotype"/>
                <w:position w:val="1"/>
                <w:sz w:val="22"/>
                <w:szCs w:val="22"/>
                <w:lang w:val="es-CR"/>
              </w:rPr>
              <w:t>considered</w:t>
            </w:r>
            <w:proofErr w:type="spellEnd"/>
            <w:r>
              <w:rPr>
                <w:rFonts w:eastAsia="Palatino Linotype"/>
                <w:position w:val="1"/>
                <w:sz w:val="22"/>
                <w:szCs w:val="22"/>
                <w:lang w:val="es-CR"/>
              </w:rPr>
              <w:t xml:space="preserve"> </w:t>
            </w:r>
            <w:proofErr w:type="spellStart"/>
            <w:r>
              <w:rPr>
                <w:rFonts w:eastAsia="Palatino Linotype"/>
                <w:position w:val="1"/>
                <w:sz w:val="22"/>
                <w:szCs w:val="22"/>
                <w:lang w:val="es-CR"/>
              </w:rPr>
              <w:t>confidential</w:t>
            </w:r>
            <w:proofErr w:type="spellEnd"/>
            <w:r>
              <w:rPr>
                <w:rFonts w:eastAsia="Palatino Linotype"/>
                <w:position w:val="1"/>
                <w:sz w:val="22"/>
                <w:szCs w:val="22"/>
                <w:lang w:val="es-CR"/>
              </w:rPr>
              <w:t xml:space="preserve"> </w:t>
            </w:r>
            <w:proofErr w:type="spellStart"/>
            <w:r>
              <w:rPr>
                <w:rFonts w:eastAsia="Palatino Linotype"/>
                <w:position w:val="1"/>
                <w:sz w:val="22"/>
                <w:szCs w:val="22"/>
                <w:lang w:val="es-CR"/>
              </w:rPr>
              <w:t>information</w:t>
            </w:r>
            <w:proofErr w:type="spellEnd"/>
            <w:r>
              <w:rPr>
                <w:rFonts w:eastAsia="Palatino Linotype"/>
                <w:position w:val="1"/>
                <w:sz w:val="22"/>
                <w:szCs w:val="22"/>
                <w:lang w:val="es-CR"/>
              </w:rPr>
              <w:t>:</w:t>
            </w:r>
          </w:p>
          <w:p w14:paraId="616CC09B" w14:textId="77777777" w:rsidR="00E255F4" w:rsidRDefault="00000000">
            <w:pPr>
              <w:ind w:right="24"/>
              <w:jc w:val="both"/>
              <w:rPr>
                <w:rFonts w:eastAsia="Palatino Linotype"/>
              </w:rPr>
            </w:pPr>
            <w:r>
              <w:rPr>
                <w:spacing w:val="-2"/>
                <w:w w:val="98"/>
                <w:position w:val="1"/>
                <w:sz w:val="22"/>
                <w:szCs w:val="22"/>
                <w:lang w:val="es-CR"/>
              </w:rPr>
              <w:t xml:space="preserve"> </w:t>
            </w:r>
          </w:p>
          <w:p w14:paraId="2425F0EC" w14:textId="77777777" w:rsidR="00E255F4" w:rsidRDefault="00000000">
            <w:pPr>
              <w:ind w:right="24"/>
              <w:jc w:val="both"/>
              <w:rPr>
                <w:rFonts w:eastAsia="Palatino Linotype"/>
                <w:spacing w:val="-2"/>
                <w:w w:val="98"/>
                <w:position w:val="1"/>
                <w:sz w:val="22"/>
                <w:szCs w:val="22"/>
                <w:lang w:val="es-CR"/>
              </w:rPr>
            </w:pPr>
            <w:r>
              <w:rPr>
                <w:rFonts w:eastAsia="Palatino Linotype"/>
                <w:spacing w:val="-2"/>
                <w:w w:val="98"/>
                <w:position w:val="1"/>
                <w:sz w:val="22"/>
                <w:szCs w:val="22"/>
                <w:lang w:val="es-CR"/>
              </w:rPr>
              <w:t>*</w:t>
            </w:r>
            <w:proofErr w:type="spellStart"/>
            <w:r>
              <w:rPr>
                <w:rFonts w:eastAsia="Palatino Linotype"/>
                <w:spacing w:val="-1"/>
                <w:position w:val="1"/>
                <w:sz w:val="22"/>
                <w:szCs w:val="22"/>
                <w:lang w:val="es-CR"/>
              </w:rPr>
              <w:t>the</w:t>
            </w:r>
            <w:proofErr w:type="spellEnd"/>
            <w:r>
              <w:rPr>
                <w:rFonts w:eastAsia="Palatino Linotype"/>
                <w:spacing w:val="-1"/>
                <w:position w:val="1"/>
                <w:sz w:val="22"/>
                <w:szCs w:val="22"/>
                <w:lang w:val="es-CR"/>
              </w:rPr>
              <w:t xml:space="preserve"> </w:t>
            </w:r>
            <w:proofErr w:type="spellStart"/>
            <w:r>
              <w:rPr>
                <w:rFonts w:eastAsia="Palatino Linotype"/>
                <w:spacing w:val="-1"/>
                <w:position w:val="1"/>
                <w:sz w:val="22"/>
                <w:szCs w:val="22"/>
                <w:lang w:val="es-CR"/>
              </w:rPr>
              <w:t>manufacturer's</w:t>
            </w:r>
            <w:proofErr w:type="spellEnd"/>
            <w:r>
              <w:rPr>
                <w:rFonts w:eastAsia="Palatino Linotype"/>
                <w:spacing w:val="-1"/>
                <w:position w:val="1"/>
                <w:sz w:val="22"/>
                <w:szCs w:val="22"/>
                <w:lang w:val="es-CR"/>
              </w:rPr>
              <w:t xml:space="preserve"> data and </w:t>
            </w:r>
            <w:proofErr w:type="spellStart"/>
            <w:r>
              <w:rPr>
                <w:rFonts w:eastAsia="Palatino Linotype"/>
                <w:spacing w:val="-1"/>
                <w:position w:val="1"/>
                <w:sz w:val="22"/>
                <w:szCs w:val="22"/>
                <w:lang w:val="es-CR"/>
              </w:rPr>
              <w:t>origin</w:t>
            </w:r>
            <w:proofErr w:type="spellEnd"/>
            <w:r>
              <w:rPr>
                <w:rFonts w:eastAsia="Palatino Linotype"/>
                <w:spacing w:val="-1"/>
                <w:position w:val="1"/>
                <w:sz w:val="22"/>
                <w:szCs w:val="22"/>
                <w:lang w:val="es-CR"/>
              </w:rPr>
              <w:t xml:space="preserve">, </w:t>
            </w:r>
            <w:proofErr w:type="spellStart"/>
            <w:r>
              <w:rPr>
                <w:rFonts w:eastAsia="Palatino Linotype"/>
                <w:spacing w:val="-1"/>
                <w:position w:val="1"/>
                <w:sz w:val="22"/>
                <w:szCs w:val="22"/>
                <w:lang w:val="es-CR"/>
              </w:rPr>
              <w:t>unless</w:t>
            </w:r>
            <w:proofErr w:type="spellEnd"/>
            <w:r>
              <w:rPr>
                <w:rFonts w:eastAsia="Palatino Linotype"/>
                <w:spacing w:val="-1"/>
                <w:position w:val="1"/>
                <w:sz w:val="22"/>
                <w:szCs w:val="22"/>
                <w:lang w:val="es-CR"/>
              </w:rPr>
              <w:t xml:space="preserve"> </w:t>
            </w:r>
            <w:proofErr w:type="spellStart"/>
            <w:r>
              <w:rPr>
                <w:rFonts w:eastAsia="Palatino Linotype"/>
                <w:spacing w:val="-1"/>
                <w:position w:val="1"/>
                <w:sz w:val="22"/>
                <w:szCs w:val="22"/>
                <w:lang w:val="es-CR"/>
              </w:rPr>
              <w:t>there</w:t>
            </w:r>
            <w:proofErr w:type="spellEnd"/>
            <w:r>
              <w:rPr>
                <w:rFonts w:eastAsia="Palatino Linotype"/>
                <w:spacing w:val="-1"/>
                <w:position w:val="1"/>
                <w:sz w:val="22"/>
                <w:szCs w:val="22"/>
                <w:lang w:val="es-CR"/>
              </w:rPr>
              <w:t xml:space="preserve"> </w:t>
            </w:r>
            <w:proofErr w:type="spellStart"/>
            <w:r>
              <w:rPr>
                <w:rFonts w:eastAsia="Palatino Linotype"/>
                <w:spacing w:val="-1"/>
                <w:position w:val="1"/>
                <w:sz w:val="22"/>
                <w:szCs w:val="22"/>
                <w:lang w:val="es-CR"/>
              </w:rPr>
              <w:t>is</w:t>
            </w:r>
            <w:proofErr w:type="spellEnd"/>
            <w:r>
              <w:rPr>
                <w:rFonts w:eastAsia="Palatino Linotype"/>
                <w:spacing w:val="-1"/>
                <w:position w:val="1"/>
                <w:sz w:val="22"/>
                <w:szCs w:val="22"/>
                <w:lang w:val="es-CR"/>
              </w:rPr>
              <w:t xml:space="preserve"> a contractual </w:t>
            </w:r>
            <w:proofErr w:type="spellStart"/>
            <w:r>
              <w:rPr>
                <w:rFonts w:eastAsia="Palatino Linotype"/>
                <w:spacing w:val="-1"/>
                <w:position w:val="1"/>
                <w:sz w:val="22"/>
                <w:szCs w:val="22"/>
                <w:lang w:val="es-CR"/>
              </w:rPr>
              <w:t>confidentiality</w:t>
            </w:r>
            <w:proofErr w:type="spellEnd"/>
            <w:r>
              <w:rPr>
                <w:rFonts w:eastAsia="Palatino Linotype"/>
                <w:spacing w:val="-1"/>
                <w:position w:val="1"/>
                <w:sz w:val="22"/>
                <w:szCs w:val="22"/>
                <w:lang w:val="es-CR"/>
              </w:rPr>
              <w:t xml:space="preserve"> </w:t>
            </w:r>
            <w:proofErr w:type="spellStart"/>
            <w:r>
              <w:rPr>
                <w:rFonts w:eastAsia="Palatino Linotype"/>
                <w:spacing w:val="-1"/>
                <w:position w:val="1"/>
                <w:sz w:val="22"/>
                <w:szCs w:val="22"/>
                <w:lang w:val="es-CR"/>
              </w:rPr>
              <w:t>clause</w:t>
            </w:r>
            <w:proofErr w:type="spellEnd"/>
          </w:p>
          <w:p w14:paraId="5E9855D0" w14:textId="77777777" w:rsidR="00E255F4" w:rsidRDefault="00000000">
            <w:pPr>
              <w:ind w:right="24"/>
              <w:jc w:val="both"/>
            </w:pPr>
            <w:r>
              <w:rPr>
                <w:rFonts w:eastAsia="Palatino Linotype"/>
                <w:spacing w:val="-2"/>
                <w:w w:val="98"/>
                <w:position w:val="1"/>
                <w:sz w:val="22"/>
                <w:szCs w:val="22"/>
                <w:lang w:val="es-CR"/>
              </w:rPr>
              <w:t>*</w:t>
            </w:r>
            <w:proofErr w:type="spellStart"/>
            <w:r>
              <w:rPr>
                <w:rFonts w:eastAsia="Palatino Linotype"/>
                <w:spacing w:val="-1"/>
                <w:position w:val="1"/>
                <w:sz w:val="22"/>
                <w:szCs w:val="22"/>
                <w:lang w:val="es-CR"/>
              </w:rPr>
              <w:t>it</w:t>
            </w:r>
            <w:r>
              <w:rPr>
                <w:rFonts w:eastAsia="Palatino Linotype"/>
                <w:position w:val="1"/>
                <w:sz w:val="22"/>
                <w:szCs w:val="22"/>
                <w:lang w:val="es-CR"/>
              </w:rPr>
              <w:t>s</w:t>
            </w:r>
            <w:proofErr w:type="spellEnd"/>
            <w:r>
              <w:rPr>
                <w:rFonts w:eastAsia="Palatino Linotype"/>
                <w:position w:val="1"/>
                <w:sz w:val="22"/>
                <w:szCs w:val="22"/>
                <w:lang w:val="es-CR"/>
              </w:rPr>
              <w:t xml:space="preserve"> </w:t>
            </w:r>
            <w:proofErr w:type="spellStart"/>
            <w:r>
              <w:rPr>
                <w:rFonts w:eastAsia="Palatino Linotype"/>
                <w:position w:val="1"/>
                <w:sz w:val="22"/>
                <w:szCs w:val="22"/>
                <w:lang w:val="es-CR"/>
              </w:rPr>
              <w:t>prices</w:t>
            </w:r>
            <w:proofErr w:type="spellEnd"/>
            <w:r>
              <w:rPr>
                <w:rFonts w:eastAsia="Palatino Linotype"/>
                <w:position w:val="1"/>
                <w:sz w:val="22"/>
                <w:szCs w:val="22"/>
                <w:lang w:val="es-CR"/>
              </w:rPr>
              <w:t>,</w:t>
            </w:r>
          </w:p>
          <w:p w14:paraId="152102BA" w14:textId="77777777" w:rsidR="00E255F4" w:rsidRDefault="00000000">
            <w:pPr>
              <w:ind w:right="24"/>
              <w:jc w:val="both"/>
              <w:rPr>
                <w:rFonts w:eastAsia="Palatino Linotype"/>
                <w:spacing w:val="-1"/>
                <w:position w:val="1"/>
                <w:sz w:val="22"/>
                <w:szCs w:val="22"/>
                <w:lang w:val="es-CR"/>
              </w:rPr>
            </w:pPr>
            <w:r>
              <w:rPr>
                <w:rFonts w:eastAsia="Palatino Linotype"/>
                <w:spacing w:val="-14"/>
                <w:position w:val="1"/>
                <w:sz w:val="22"/>
                <w:szCs w:val="22"/>
                <w:lang w:val="es-CR"/>
              </w:rPr>
              <w:t>*</w:t>
            </w:r>
            <w:proofErr w:type="spellStart"/>
            <w:r>
              <w:rPr>
                <w:rFonts w:eastAsia="Palatino Linotype"/>
                <w:spacing w:val="-14"/>
                <w:position w:val="1"/>
                <w:sz w:val="22"/>
                <w:szCs w:val="22"/>
                <w:lang w:val="es-CR"/>
              </w:rPr>
              <w:t>the</w:t>
            </w:r>
            <w:r>
              <w:rPr>
                <w:rFonts w:eastAsia="Palatino Linotype"/>
                <w:position w:val="1"/>
                <w:sz w:val="22"/>
                <w:szCs w:val="22"/>
                <w:lang w:val="es-CR"/>
              </w:rPr>
              <w:t>descriptions</w:t>
            </w:r>
            <w:proofErr w:type="spellEnd"/>
            <w:r>
              <w:rPr>
                <w:rFonts w:eastAsia="Palatino Linotype"/>
                <w:position w:val="1"/>
                <w:sz w:val="22"/>
                <w:szCs w:val="22"/>
                <w:lang w:val="es-CR"/>
              </w:rPr>
              <w:t xml:space="preserve"> </w:t>
            </w:r>
            <w:proofErr w:type="spellStart"/>
            <w:r>
              <w:rPr>
                <w:rFonts w:eastAsia="Palatino Linotype"/>
                <w:position w:val="1"/>
                <w:sz w:val="22"/>
                <w:szCs w:val="22"/>
                <w:lang w:val="es-CR"/>
              </w:rPr>
              <w:t>of</w:t>
            </w:r>
            <w:proofErr w:type="spellEnd"/>
            <w:r>
              <w:rPr>
                <w:rFonts w:eastAsia="Palatino Linotype"/>
                <w:position w:val="1"/>
                <w:sz w:val="22"/>
                <w:szCs w:val="22"/>
                <w:lang w:val="es-CR"/>
              </w:rPr>
              <w:t xml:space="preserve"> </w:t>
            </w:r>
            <w:proofErr w:type="spellStart"/>
            <w:r>
              <w:rPr>
                <w:rFonts w:eastAsia="Palatino Linotype"/>
                <w:position w:val="1"/>
                <w:sz w:val="22"/>
                <w:szCs w:val="22"/>
                <w:lang w:val="es-CR"/>
              </w:rPr>
              <w:t>goods</w:t>
            </w:r>
            <w:proofErr w:type="spellEnd"/>
            <w:r>
              <w:rPr>
                <w:rFonts w:eastAsia="Palatino Linotype"/>
                <w:position w:val="1"/>
                <w:sz w:val="22"/>
                <w:szCs w:val="22"/>
                <w:lang w:val="es-CR"/>
              </w:rPr>
              <w:t xml:space="preserve"> and </w:t>
            </w:r>
            <w:proofErr w:type="spellStart"/>
            <w:r>
              <w:rPr>
                <w:rFonts w:eastAsia="Palatino Linotype"/>
                <w:position w:val="1"/>
                <w:sz w:val="22"/>
                <w:szCs w:val="22"/>
                <w:lang w:val="es-CR"/>
              </w:rPr>
              <w:t>services</w:t>
            </w:r>
            <w:proofErr w:type="spellEnd"/>
            <w:r>
              <w:rPr>
                <w:rFonts w:eastAsia="Palatino Linotype"/>
                <w:position w:val="1"/>
                <w:sz w:val="22"/>
                <w:szCs w:val="22"/>
                <w:lang w:val="es-CR"/>
              </w:rPr>
              <w:t xml:space="preserve"> </w:t>
            </w:r>
            <w:proofErr w:type="spellStart"/>
            <w:r>
              <w:rPr>
                <w:rFonts w:eastAsia="Palatino Linotype"/>
                <w:position w:val="1"/>
                <w:sz w:val="22"/>
                <w:szCs w:val="22"/>
                <w:lang w:val="es-CR"/>
              </w:rPr>
              <w:t>offered</w:t>
            </w:r>
            <w:proofErr w:type="spellEnd"/>
            <w:r>
              <w:rPr>
                <w:rFonts w:eastAsia="Palatino Linotype"/>
                <w:position w:val="1"/>
                <w:sz w:val="22"/>
                <w:szCs w:val="22"/>
                <w:lang w:val="es-CR"/>
              </w:rPr>
              <w:t>,</w:t>
            </w:r>
          </w:p>
          <w:p w14:paraId="2E725E35" w14:textId="77777777" w:rsidR="00E255F4" w:rsidRDefault="00000000">
            <w:pPr>
              <w:ind w:right="24"/>
              <w:jc w:val="both"/>
            </w:pPr>
            <w:r>
              <w:rPr>
                <w:rFonts w:eastAsia="Palatino Linotype"/>
                <w:spacing w:val="-1"/>
                <w:position w:val="1"/>
                <w:sz w:val="22"/>
                <w:szCs w:val="22"/>
                <w:lang w:val="es-CR"/>
              </w:rPr>
              <w:t>*</w:t>
            </w:r>
            <w:proofErr w:type="spellStart"/>
            <w:r>
              <w:rPr>
                <w:rFonts w:eastAsia="Palatino Linotype"/>
                <w:spacing w:val="-1"/>
                <w:position w:val="1"/>
                <w:sz w:val="22"/>
                <w:szCs w:val="22"/>
                <w:lang w:val="es-CR"/>
              </w:rPr>
              <w:t>the</w:t>
            </w:r>
            <w:r>
              <w:rPr>
                <w:rFonts w:eastAsia="Palatino Linotype"/>
                <w:position w:val="1"/>
                <w:sz w:val="22"/>
                <w:szCs w:val="22"/>
                <w:lang w:val="es-CR"/>
              </w:rPr>
              <w:t>general</w:t>
            </w:r>
            <w:proofErr w:type="spellEnd"/>
            <w:r>
              <w:rPr>
                <w:rFonts w:eastAsia="Palatino Linotype"/>
                <w:position w:val="1"/>
                <w:sz w:val="22"/>
                <w:szCs w:val="22"/>
                <w:lang w:val="es-CR"/>
              </w:rPr>
              <w:t xml:space="preserve"> </w:t>
            </w:r>
            <w:proofErr w:type="spellStart"/>
            <w:r>
              <w:rPr>
                <w:rFonts w:eastAsia="Palatino Linotype"/>
                <w:position w:val="1"/>
                <w:sz w:val="22"/>
                <w:szCs w:val="22"/>
                <w:lang w:val="es-CR"/>
              </w:rPr>
              <w:t>terms</w:t>
            </w:r>
            <w:proofErr w:type="spellEnd"/>
            <w:r>
              <w:rPr>
                <w:rFonts w:eastAsia="Palatino Linotype"/>
                <w:position w:val="1"/>
                <w:sz w:val="22"/>
                <w:szCs w:val="22"/>
                <w:lang w:val="es-CR"/>
              </w:rPr>
              <w:t xml:space="preserve"> and </w:t>
            </w:r>
            <w:proofErr w:type="spellStart"/>
            <w:r>
              <w:rPr>
                <w:rFonts w:eastAsia="Palatino Linotype"/>
                <w:position w:val="1"/>
                <w:sz w:val="22"/>
                <w:szCs w:val="22"/>
                <w:lang w:val="es-CR"/>
              </w:rPr>
              <w:t>conditions</w:t>
            </w:r>
            <w:proofErr w:type="spellEnd"/>
            <w:r>
              <w:rPr>
                <w:rFonts w:eastAsia="Palatino Linotype"/>
                <w:position w:val="1"/>
                <w:sz w:val="22"/>
                <w:szCs w:val="22"/>
                <w:lang w:val="es-CR"/>
              </w:rPr>
              <w:t xml:space="preserve"> </w:t>
            </w:r>
            <w:proofErr w:type="spellStart"/>
            <w:r>
              <w:rPr>
                <w:rFonts w:eastAsia="Palatino Linotype"/>
                <w:position w:val="1"/>
                <w:sz w:val="22"/>
                <w:szCs w:val="22"/>
                <w:lang w:val="es-CR"/>
              </w:rPr>
              <w:t>of</w:t>
            </w:r>
            <w:proofErr w:type="spellEnd"/>
            <w:r>
              <w:rPr>
                <w:rFonts w:eastAsia="Palatino Linotype"/>
                <w:position w:val="1"/>
                <w:sz w:val="22"/>
                <w:szCs w:val="22"/>
                <w:lang w:val="es-CR"/>
              </w:rPr>
              <w:t xml:space="preserve"> </w:t>
            </w:r>
            <w:proofErr w:type="spellStart"/>
            <w:r>
              <w:rPr>
                <w:rFonts w:eastAsia="Palatino Linotype"/>
                <w:position w:val="1"/>
                <w:sz w:val="22"/>
                <w:szCs w:val="22"/>
                <w:lang w:val="es-CR"/>
              </w:rPr>
              <w:t>the</w:t>
            </w:r>
            <w:proofErr w:type="spellEnd"/>
            <w:r>
              <w:rPr>
                <w:rFonts w:eastAsia="Palatino Linotype"/>
                <w:position w:val="1"/>
                <w:sz w:val="22"/>
                <w:szCs w:val="22"/>
                <w:lang w:val="es-CR"/>
              </w:rPr>
              <w:t xml:space="preserve"> </w:t>
            </w:r>
            <w:proofErr w:type="spellStart"/>
            <w:r>
              <w:rPr>
                <w:rFonts w:eastAsia="Palatino Linotype"/>
                <w:position w:val="1"/>
                <w:sz w:val="22"/>
                <w:szCs w:val="22"/>
                <w:lang w:val="es-CR"/>
              </w:rPr>
              <w:t>offer</w:t>
            </w:r>
            <w:proofErr w:type="spellEnd"/>
            <w:r>
              <w:rPr>
                <w:rFonts w:eastAsia="Palatino Linotype"/>
                <w:position w:val="1"/>
                <w:sz w:val="22"/>
                <w:szCs w:val="22"/>
                <w:lang w:val="es-CR"/>
              </w:rPr>
              <w:t>.</w:t>
            </w:r>
          </w:p>
          <w:p w14:paraId="7494D96A" w14:textId="77777777" w:rsidR="00E255F4" w:rsidRDefault="00E255F4">
            <w:pPr>
              <w:ind w:right="24"/>
              <w:jc w:val="both"/>
              <w:rPr>
                <w:rFonts w:eastAsia="Palatino Linotype"/>
                <w:b/>
                <w:color w:val="000000"/>
                <w:spacing w:val="-1"/>
                <w:position w:val="1"/>
                <w:sz w:val="22"/>
                <w:szCs w:val="22"/>
                <w:lang w:val="es-CR"/>
              </w:rPr>
            </w:pPr>
          </w:p>
          <w:p w14:paraId="0D65A043" w14:textId="77777777" w:rsidR="00E255F4" w:rsidRDefault="00000000">
            <w:pPr>
              <w:ind w:right="24"/>
              <w:jc w:val="both"/>
            </w:pPr>
            <w:r>
              <w:rPr>
                <w:color w:val="000000"/>
                <w:sz w:val="22"/>
                <w:szCs w:val="22"/>
                <w:lang w:val="es-CR"/>
              </w:rPr>
              <w:t xml:space="preserve">In </w:t>
            </w:r>
            <w:proofErr w:type="spellStart"/>
            <w:r>
              <w:rPr>
                <w:color w:val="000000"/>
                <w:sz w:val="22"/>
                <w:szCs w:val="22"/>
                <w:lang w:val="es-CR"/>
              </w:rPr>
              <w:t>the</w:t>
            </w:r>
            <w:proofErr w:type="spellEnd"/>
            <w:r>
              <w:rPr>
                <w:color w:val="000000"/>
                <w:sz w:val="22"/>
                <w:szCs w:val="22"/>
                <w:lang w:val="es-CR"/>
              </w:rPr>
              <w:t xml:space="preserve"> </w:t>
            </w:r>
            <w:proofErr w:type="spellStart"/>
            <w:r>
              <w:rPr>
                <w:color w:val="000000"/>
                <w:sz w:val="22"/>
                <w:szCs w:val="22"/>
                <w:lang w:val="es-CR"/>
              </w:rPr>
              <w:t>event</w:t>
            </w:r>
            <w:proofErr w:type="spellEnd"/>
            <w:r>
              <w:rPr>
                <w:color w:val="000000"/>
                <w:sz w:val="22"/>
                <w:szCs w:val="22"/>
                <w:lang w:val="es-CR"/>
              </w:rPr>
              <w:t xml:space="preserve"> </w:t>
            </w:r>
            <w:proofErr w:type="spellStart"/>
            <w:r>
              <w:rPr>
                <w:color w:val="000000"/>
                <w:sz w:val="22"/>
                <w:szCs w:val="22"/>
                <w:lang w:val="es-CR"/>
              </w:rPr>
              <w:t>that</w:t>
            </w:r>
            <w:proofErr w:type="spellEnd"/>
            <w:r>
              <w:rPr>
                <w:color w:val="000000"/>
                <w:sz w:val="22"/>
                <w:szCs w:val="22"/>
                <w:lang w:val="es-CR"/>
              </w:rPr>
              <w:t xml:space="preserve"> </w:t>
            </w:r>
            <w:proofErr w:type="spellStart"/>
            <w:r>
              <w:rPr>
                <w:color w:val="000000"/>
                <w:sz w:val="22"/>
                <w:szCs w:val="22"/>
                <w:lang w:val="es-CR"/>
              </w:rPr>
              <w:t>the</w:t>
            </w:r>
            <w:proofErr w:type="spellEnd"/>
            <w:r>
              <w:rPr>
                <w:color w:val="000000"/>
                <w:sz w:val="22"/>
                <w:szCs w:val="22"/>
                <w:lang w:val="es-CR"/>
              </w:rPr>
              <w:t xml:space="preserve"> </w:t>
            </w:r>
            <w:proofErr w:type="spellStart"/>
            <w:r>
              <w:rPr>
                <w:color w:val="000000"/>
                <w:sz w:val="22"/>
                <w:szCs w:val="22"/>
                <w:lang w:val="es-CR"/>
              </w:rPr>
              <w:t>offers</w:t>
            </w:r>
            <w:proofErr w:type="spellEnd"/>
            <w:r>
              <w:rPr>
                <w:color w:val="000000"/>
                <w:sz w:val="22"/>
                <w:szCs w:val="22"/>
                <w:lang w:val="es-CR"/>
              </w:rPr>
              <w:t xml:space="preserve"> </w:t>
            </w:r>
            <w:proofErr w:type="spellStart"/>
            <w:r>
              <w:rPr>
                <w:color w:val="000000"/>
                <w:sz w:val="22"/>
                <w:szCs w:val="22"/>
                <w:lang w:val="es-CR"/>
              </w:rPr>
              <w:t>contain</w:t>
            </w:r>
            <w:proofErr w:type="spellEnd"/>
            <w:r>
              <w:rPr>
                <w:color w:val="000000"/>
                <w:sz w:val="22"/>
                <w:szCs w:val="22"/>
                <w:lang w:val="es-CR"/>
              </w:rPr>
              <w:t xml:space="preserve"> personal data </w:t>
            </w:r>
            <w:proofErr w:type="spellStart"/>
            <w:r>
              <w:rPr>
                <w:color w:val="000000"/>
                <w:sz w:val="22"/>
                <w:szCs w:val="22"/>
                <w:lang w:val="es-CR"/>
              </w:rPr>
              <w:t>whose</w:t>
            </w:r>
            <w:proofErr w:type="spellEnd"/>
            <w:r>
              <w:rPr>
                <w:color w:val="000000"/>
                <w:sz w:val="22"/>
                <w:szCs w:val="22"/>
                <w:lang w:val="es-CR"/>
              </w:rPr>
              <w:t xml:space="preserve"> </w:t>
            </w:r>
            <w:proofErr w:type="spellStart"/>
            <w:r>
              <w:rPr>
                <w:color w:val="000000"/>
                <w:sz w:val="22"/>
                <w:szCs w:val="22"/>
                <w:lang w:val="es-CR"/>
              </w:rPr>
              <w:t>owner</w:t>
            </w:r>
            <w:proofErr w:type="spellEnd"/>
            <w:r>
              <w:rPr>
                <w:color w:val="000000"/>
                <w:sz w:val="22"/>
                <w:szCs w:val="22"/>
                <w:lang w:val="es-CR"/>
              </w:rPr>
              <w:t xml:space="preserve"> </w:t>
            </w:r>
            <w:proofErr w:type="spellStart"/>
            <w:r>
              <w:rPr>
                <w:color w:val="000000"/>
                <w:sz w:val="22"/>
                <w:szCs w:val="22"/>
                <w:lang w:val="es-CR"/>
              </w:rPr>
              <w:t>is</w:t>
            </w:r>
            <w:proofErr w:type="spellEnd"/>
            <w:r>
              <w:rPr>
                <w:color w:val="000000"/>
                <w:sz w:val="22"/>
                <w:szCs w:val="22"/>
                <w:lang w:val="es-CR"/>
              </w:rPr>
              <w:t xml:space="preserve"> </w:t>
            </w:r>
            <w:proofErr w:type="spellStart"/>
            <w:r>
              <w:rPr>
                <w:color w:val="000000"/>
                <w:sz w:val="22"/>
                <w:szCs w:val="22"/>
                <w:lang w:val="es-CR"/>
              </w:rPr>
              <w:t>not</w:t>
            </w:r>
            <w:proofErr w:type="spellEnd"/>
            <w:r>
              <w:rPr>
                <w:color w:val="000000"/>
                <w:sz w:val="22"/>
                <w:szCs w:val="22"/>
                <w:lang w:val="es-CR"/>
              </w:rPr>
              <w:t xml:space="preserve"> </w:t>
            </w:r>
            <w:proofErr w:type="spellStart"/>
            <w:r>
              <w:rPr>
                <w:color w:val="000000"/>
                <w:sz w:val="22"/>
                <w:szCs w:val="22"/>
                <w:lang w:val="es-CR"/>
              </w:rPr>
              <w:t>the</w:t>
            </w:r>
            <w:proofErr w:type="spellEnd"/>
            <w:r>
              <w:rPr>
                <w:color w:val="000000"/>
                <w:sz w:val="22"/>
                <w:szCs w:val="22"/>
                <w:lang w:val="es-CR"/>
              </w:rPr>
              <w:t xml:space="preserve"> </w:t>
            </w:r>
            <w:proofErr w:type="spellStart"/>
            <w:r>
              <w:rPr>
                <w:color w:val="000000"/>
                <w:sz w:val="22"/>
                <w:szCs w:val="22"/>
                <w:lang w:val="es-CR"/>
              </w:rPr>
              <w:t>offeror</w:t>
            </w:r>
            <w:proofErr w:type="spellEnd"/>
            <w:r>
              <w:rPr>
                <w:color w:val="000000"/>
                <w:sz w:val="22"/>
                <w:szCs w:val="22"/>
                <w:lang w:val="es-CR"/>
              </w:rPr>
              <w:t xml:space="preserve">, </w:t>
            </w:r>
            <w:proofErr w:type="spellStart"/>
            <w:r>
              <w:rPr>
                <w:color w:val="000000"/>
                <w:sz w:val="22"/>
                <w:szCs w:val="22"/>
                <w:lang w:val="es-CR"/>
              </w:rPr>
              <w:t>the</w:t>
            </w:r>
            <w:proofErr w:type="spellEnd"/>
            <w:r>
              <w:rPr>
                <w:color w:val="000000"/>
                <w:sz w:val="22"/>
                <w:szCs w:val="22"/>
                <w:lang w:val="es-CR"/>
              </w:rPr>
              <w:t xml:space="preserve"> </w:t>
            </w:r>
            <w:proofErr w:type="spellStart"/>
            <w:r>
              <w:rPr>
                <w:color w:val="000000"/>
                <w:sz w:val="22"/>
                <w:szCs w:val="22"/>
                <w:lang w:val="es-CR"/>
              </w:rPr>
              <w:t>latter</w:t>
            </w:r>
            <w:proofErr w:type="spellEnd"/>
            <w:r>
              <w:rPr>
                <w:color w:val="000000"/>
                <w:sz w:val="22"/>
                <w:szCs w:val="22"/>
                <w:lang w:val="es-CR"/>
              </w:rPr>
              <w:t xml:space="preserve">, </w:t>
            </w:r>
            <w:proofErr w:type="spellStart"/>
            <w:r>
              <w:rPr>
                <w:color w:val="000000"/>
                <w:sz w:val="22"/>
                <w:szCs w:val="22"/>
                <w:lang w:val="es-CR"/>
              </w:rPr>
              <w:t>if</w:t>
            </w:r>
            <w:proofErr w:type="spellEnd"/>
            <w:r>
              <w:rPr>
                <w:color w:val="000000"/>
                <w:sz w:val="22"/>
                <w:szCs w:val="22"/>
                <w:lang w:val="es-CR"/>
              </w:rPr>
              <w:t xml:space="preserve"> </w:t>
            </w:r>
            <w:proofErr w:type="spellStart"/>
            <w:r>
              <w:rPr>
                <w:color w:val="000000"/>
                <w:sz w:val="22"/>
                <w:szCs w:val="22"/>
                <w:lang w:val="es-CR"/>
              </w:rPr>
              <w:t>applicable</w:t>
            </w:r>
            <w:proofErr w:type="spellEnd"/>
            <w:r>
              <w:rPr>
                <w:color w:val="000000"/>
                <w:sz w:val="22"/>
                <w:szCs w:val="22"/>
                <w:lang w:val="es-CR"/>
              </w:rPr>
              <w:t xml:space="preserve">, </w:t>
            </w:r>
            <w:proofErr w:type="spellStart"/>
            <w:r>
              <w:rPr>
                <w:color w:val="000000"/>
                <w:sz w:val="22"/>
                <w:szCs w:val="22"/>
                <w:lang w:val="es-CR"/>
              </w:rPr>
              <w:t>must</w:t>
            </w:r>
            <w:proofErr w:type="spellEnd"/>
            <w:r>
              <w:rPr>
                <w:color w:val="000000"/>
                <w:sz w:val="22"/>
                <w:szCs w:val="22"/>
                <w:lang w:val="es-CR"/>
              </w:rPr>
              <w:t xml:space="preserve"> </w:t>
            </w:r>
            <w:proofErr w:type="spellStart"/>
            <w:r>
              <w:rPr>
                <w:color w:val="000000"/>
                <w:sz w:val="22"/>
                <w:szCs w:val="22"/>
                <w:lang w:val="es-CR"/>
              </w:rPr>
              <w:t>obtain</w:t>
            </w:r>
            <w:proofErr w:type="spellEnd"/>
            <w:r>
              <w:rPr>
                <w:color w:val="000000"/>
                <w:sz w:val="22"/>
                <w:szCs w:val="22"/>
                <w:lang w:val="es-CR"/>
              </w:rPr>
              <w:t xml:space="preserve"> </w:t>
            </w:r>
            <w:proofErr w:type="spellStart"/>
            <w:r>
              <w:rPr>
                <w:color w:val="000000"/>
                <w:sz w:val="22"/>
                <w:szCs w:val="22"/>
                <w:lang w:val="es-CR"/>
              </w:rPr>
              <w:t>the</w:t>
            </w:r>
            <w:proofErr w:type="spellEnd"/>
            <w:r>
              <w:rPr>
                <w:color w:val="000000"/>
                <w:sz w:val="22"/>
                <w:szCs w:val="22"/>
                <w:lang w:val="es-CR"/>
              </w:rPr>
              <w:t xml:space="preserve"> </w:t>
            </w:r>
            <w:proofErr w:type="spellStart"/>
            <w:r>
              <w:rPr>
                <w:color w:val="000000"/>
                <w:sz w:val="22"/>
                <w:szCs w:val="22"/>
                <w:lang w:val="es-CR"/>
              </w:rPr>
              <w:t>consent</w:t>
            </w:r>
            <w:proofErr w:type="spellEnd"/>
            <w:r>
              <w:rPr>
                <w:color w:val="000000"/>
                <w:sz w:val="22"/>
                <w:szCs w:val="22"/>
                <w:lang w:val="es-CR"/>
              </w:rPr>
              <w:t xml:space="preserve"> </w:t>
            </w:r>
            <w:proofErr w:type="spellStart"/>
            <w:r>
              <w:rPr>
                <w:color w:val="000000"/>
                <w:sz w:val="22"/>
                <w:szCs w:val="22"/>
                <w:lang w:val="es-CR"/>
              </w:rPr>
              <w:t>of</w:t>
            </w:r>
            <w:proofErr w:type="spellEnd"/>
            <w:r>
              <w:rPr>
                <w:color w:val="000000"/>
                <w:sz w:val="22"/>
                <w:szCs w:val="22"/>
                <w:lang w:val="es-CR"/>
              </w:rPr>
              <w:t xml:space="preserve"> </w:t>
            </w:r>
            <w:proofErr w:type="spellStart"/>
            <w:r>
              <w:rPr>
                <w:color w:val="000000"/>
                <w:sz w:val="22"/>
                <w:szCs w:val="22"/>
                <w:lang w:val="es-CR"/>
              </w:rPr>
              <w:t>the</w:t>
            </w:r>
            <w:proofErr w:type="spellEnd"/>
            <w:r>
              <w:rPr>
                <w:color w:val="000000"/>
                <w:sz w:val="22"/>
                <w:szCs w:val="22"/>
                <w:lang w:val="es-CR"/>
              </w:rPr>
              <w:t xml:space="preserve"> </w:t>
            </w:r>
            <w:proofErr w:type="spellStart"/>
            <w:r>
              <w:rPr>
                <w:color w:val="000000"/>
                <w:sz w:val="22"/>
                <w:szCs w:val="22"/>
                <w:lang w:val="es-CR"/>
              </w:rPr>
              <w:t>owners</w:t>
            </w:r>
            <w:proofErr w:type="spellEnd"/>
            <w:r>
              <w:rPr>
                <w:color w:val="000000"/>
                <w:sz w:val="22"/>
                <w:szCs w:val="22"/>
                <w:lang w:val="es-CR"/>
              </w:rPr>
              <w:t xml:space="preserve"> </w:t>
            </w:r>
            <w:proofErr w:type="spellStart"/>
            <w:r>
              <w:rPr>
                <w:color w:val="000000"/>
                <w:sz w:val="22"/>
                <w:szCs w:val="22"/>
                <w:lang w:val="es-CR"/>
              </w:rPr>
              <w:t>thereof</w:t>
            </w:r>
            <w:proofErr w:type="spellEnd"/>
            <w:r>
              <w:rPr>
                <w:color w:val="000000"/>
                <w:sz w:val="22"/>
                <w:szCs w:val="22"/>
                <w:lang w:val="es-CR"/>
              </w:rPr>
              <w:t xml:space="preserve">, in </w:t>
            </w:r>
            <w:proofErr w:type="spellStart"/>
            <w:r>
              <w:rPr>
                <w:color w:val="000000"/>
                <w:sz w:val="22"/>
                <w:szCs w:val="22"/>
                <w:lang w:val="es-CR"/>
              </w:rPr>
              <w:t>accordance</w:t>
            </w:r>
            <w:proofErr w:type="spellEnd"/>
            <w:r>
              <w:rPr>
                <w:color w:val="000000"/>
                <w:sz w:val="22"/>
                <w:szCs w:val="22"/>
                <w:lang w:val="es-CR"/>
              </w:rPr>
              <w:t xml:space="preserve"> </w:t>
            </w:r>
            <w:proofErr w:type="spellStart"/>
            <w:r>
              <w:rPr>
                <w:color w:val="000000"/>
                <w:sz w:val="22"/>
                <w:szCs w:val="22"/>
                <w:lang w:val="es-CR"/>
              </w:rPr>
              <w:t>with</w:t>
            </w:r>
            <w:proofErr w:type="spellEnd"/>
            <w:r>
              <w:rPr>
                <w:color w:val="000000"/>
                <w:sz w:val="22"/>
                <w:szCs w:val="22"/>
                <w:lang w:val="es-CR"/>
              </w:rPr>
              <w:t xml:space="preserve"> </w:t>
            </w:r>
            <w:proofErr w:type="spellStart"/>
            <w:r>
              <w:rPr>
                <w:color w:val="000000"/>
                <w:sz w:val="22"/>
                <w:szCs w:val="22"/>
                <w:lang w:val="es-CR"/>
              </w:rPr>
              <w:t>the</w:t>
            </w:r>
            <w:proofErr w:type="spellEnd"/>
            <w:r>
              <w:rPr>
                <w:color w:val="000000"/>
                <w:sz w:val="22"/>
                <w:szCs w:val="22"/>
                <w:lang w:val="es-CR"/>
              </w:rPr>
              <w:t xml:space="preserve"> </w:t>
            </w:r>
            <w:proofErr w:type="spellStart"/>
            <w:r>
              <w:rPr>
                <w:color w:val="000000"/>
                <w:sz w:val="22"/>
                <w:szCs w:val="22"/>
                <w:lang w:val="es-CR"/>
              </w:rPr>
              <w:t>provisions</w:t>
            </w:r>
            <w:proofErr w:type="spellEnd"/>
            <w:r>
              <w:rPr>
                <w:color w:val="000000"/>
                <w:sz w:val="22"/>
                <w:szCs w:val="22"/>
                <w:lang w:val="es-CR"/>
              </w:rPr>
              <w:t xml:space="preserve"> </w:t>
            </w:r>
            <w:proofErr w:type="spellStart"/>
            <w:r>
              <w:rPr>
                <w:color w:val="000000"/>
                <w:sz w:val="22"/>
                <w:szCs w:val="22"/>
                <w:lang w:val="es-CR"/>
              </w:rPr>
              <w:t>of</w:t>
            </w:r>
            <w:proofErr w:type="spellEnd"/>
            <w:r>
              <w:rPr>
                <w:color w:val="000000"/>
                <w:sz w:val="22"/>
                <w:szCs w:val="22"/>
                <w:lang w:val="es-CR"/>
              </w:rPr>
              <w:t xml:space="preserve"> </w:t>
            </w:r>
            <w:proofErr w:type="spellStart"/>
            <w:r>
              <w:rPr>
                <w:color w:val="000000"/>
                <w:sz w:val="22"/>
                <w:szCs w:val="22"/>
                <w:lang w:val="es-CR"/>
              </w:rPr>
              <w:t>the</w:t>
            </w:r>
            <w:proofErr w:type="spellEnd"/>
            <w:r>
              <w:rPr>
                <w:color w:val="000000"/>
                <w:sz w:val="22"/>
                <w:szCs w:val="22"/>
                <w:lang w:val="es-CR"/>
              </w:rPr>
              <w:t xml:space="preserve"> Personal Data </w:t>
            </w:r>
            <w:proofErr w:type="spellStart"/>
            <w:r>
              <w:rPr>
                <w:color w:val="000000"/>
                <w:sz w:val="22"/>
                <w:szCs w:val="22"/>
                <w:lang w:val="es-CR"/>
              </w:rPr>
              <w:t>Protection</w:t>
            </w:r>
            <w:proofErr w:type="spellEnd"/>
            <w:r>
              <w:rPr>
                <w:color w:val="000000"/>
                <w:sz w:val="22"/>
                <w:szCs w:val="22"/>
                <w:lang w:val="es-CR"/>
              </w:rPr>
              <w:t xml:space="preserve"> and Habeas Data </w:t>
            </w:r>
            <w:proofErr w:type="spellStart"/>
            <w:r>
              <w:rPr>
                <w:color w:val="000000"/>
                <w:sz w:val="22"/>
                <w:szCs w:val="22"/>
                <w:lang w:val="es-CR"/>
              </w:rPr>
              <w:t>Action</w:t>
            </w:r>
            <w:proofErr w:type="spellEnd"/>
            <w:r>
              <w:rPr>
                <w:color w:val="000000"/>
                <w:sz w:val="22"/>
                <w:szCs w:val="22"/>
                <w:lang w:val="es-CR"/>
              </w:rPr>
              <w:t xml:space="preserve"> Law No. 18.331 </w:t>
            </w:r>
            <w:proofErr w:type="spellStart"/>
            <w:r>
              <w:rPr>
                <w:color w:val="000000"/>
                <w:sz w:val="22"/>
                <w:szCs w:val="22"/>
                <w:lang w:val="es-CR"/>
              </w:rPr>
              <w:t>of</w:t>
            </w:r>
            <w:proofErr w:type="spellEnd"/>
            <w:r>
              <w:rPr>
                <w:color w:val="000000"/>
                <w:sz w:val="22"/>
                <w:szCs w:val="22"/>
                <w:lang w:val="es-CR"/>
              </w:rPr>
              <w:t xml:space="preserve"> August 11, 2008, and </w:t>
            </w:r>
            <w:proofErr w:type="spellStart"/>
            <w:r>
              <w:rPr>
                <w:color w:val="000000"/>
                <w:sz w:val="22"/>
                <w:szCs w:val="22"/>
                <w:lang w:val="es-CR"/>
              </w:rPr>
              <w:t>related</w:t>
            </w:r>
            <w:proofErr w:type="spellEnd"/>
            <w:r>
              <w:rPr>
                <w:color w:val="000000"/>
                <w:sz w:val="22"/>
                <w:szCs w:val="22"/>
                <w:lang w:val="es-CR"/>
              </w:rPr>
              <w:t xml:space="preserve"> and </w:t>
            </w:r>
            <w:proofErr w:type="spellStart"/>
            <w:r>
              <w:rPr>
                <w:color w:val="000000"/>
                <w:sz w:val="22"/>
                <w:szCs w:val="22"/>
                <w:lang w:val="es-CR"/>
              </w:rPr>
              <w:t>complementary</w:t>
            </w:r>
            <w:proofErr w:type="spellEnd"/>
            <w:r>
              <w:rPr>
                <w:color w:val="000000"/>
                <w:sz w:val="22"/>
                <w:szCs w:val="22"/>
                <w:lang w:val="es-CR"/>
              </w:rPr>
              <w:t xml:space="preserve"> </w:t>
            </w:r>
            <w:proofErr w:type="spellStart"/>
            <w:r>
              <w:rPr>
                <w:color w:val="000000"/>
                <w:sz w:val="22"/>
                <w:szCs w:val="22"/>
                <w:lang w:val="es-CR"/>
              </w:rPr>
              <w:t>regulations</w:t>
            </w:r>
            <w:proofErr w:type="spellEnd"/>
            <w:r>
              <w:rPr>
                <w:color w:val="000000"/>
                <w:sz w:val="22"/>
                <w:szCs w:val="22"/>
                <w:lang w:val="es-CR"/>
              </w:rPr>
              <w:t>.</w:t>
            </w:r>
          </w:p>
          <w:p w14:paraId="0EC1DB6C" w14:textId="77777777" w:rsidR="00E255F4" w:rsidRDefault="00E255F4">
            <w:pPr>
              <w:ind w:right="24"/>
              <w:jc w:val="both"/>
              <w:rPr>
                <w:rFonts w:eastAsia="Calibri"/>
                <w:color w:val="000000"/>
                <w:sz w:val="22"/>
                <w:szCs w:val="22"/>
                <w:lang w:val="es-CR"/>
              </w:rPr>
            </w:pPr>
          </w:p>
          <w:p w14:paraId="3E0B70BD" w14:textId="77777777" w:rsidR="00E255F4" w:rsidRDefault="00000000">
            <w:pPr>
              <w:ind w:right="24"/>
              <w:jc w:val="both"/>
              <w:rPr>
                <w:rFonts w:eastAsia="Calibri"/>
                <w:sz w:val="22"/>
                <w:szCs w:val="22"/>
                <w:lang w:val="es-ES"/>
              </w:rPr>
            </w:pPr>
            <w:r>
              <w:rPr>
                <w:color w:val="000000"/>
                <w:sz w:val="22"/>
                <w:szCs w:val="22"/>
                <w:lang w:val="es-CR"/>
              </w:rPr>
              <w:lastRenderedPageBreak/>
              <w:t xml:space="preserve">The </w:t>
            </w:r>
            <w:proofErr w:type="spellStart"/>
            <w:r>
              <w:rPr>
                <w:color w:val="000000"/>
                <w:sz w:val="22"/>
                <w:szCs w:val="22"/>
                <w:lang w:val="es-CR"/>
              </w:rPr>
              <w:t>classification</w:t>
            </w:r>
            <w:proofErr w:type="spellEnd"/>
            <w:r>
              <w:rPr>
                <w:color w:val="000000"/>
                <w:sz w:val="22"/>
                <w:szCs w:val="22"/>
                <w:lang w:val="es-CR"/>
              </w:rPr>
              <w:t xml:space="preserve"> </w:t>
            </w:r>
            <w:proofErr w:type="spellStart"/>
            <w:r>
              <w:rPr>
                <w:color w:val="000000"/>
                <w:sz w:val="22"/>
                <w:szCs w:val="22"/>
                <w:lang w:val="es-CR"/>
              </w:rPr>
              <w:t>of</w:t>
            </w:r>
            <w:proofErr w:type="spellEnd"/>
            <w:r>
              <w:rPr>
                <w:color w:val="000000"/>
                <w:sz w:val="22"/>
                <w:szCs w:val="22"/>
                <w:lang w:val="es-CR"/>
              </w:rPr>
              <w:t xml:space="preserve"> </w:t>
            </w:r>
            <w:proofErr w:type="spellStart"/>
            <w:r>
              <w:rPr>
                <w:color w:val="000000"/>
                <w:sz w:val="22"/>
                <w:szCs w:val="22"/>
                <w:lang w:val="es-CR"/>
              </w:rPr>
              <w:t>documentation</w:t>
            </w:r>
            <w:proofErr w:type="spellEnd"/>
            <w:r>
              <w:rPr>
                <w:color w:val="000000"/>
                <w:sz w:val="22"/>
                <w:szCs w:val="22"/>
                <w:lang w:val="es-CR"/>
              </w:rPr>
              <w:t xml:space="preserve"> as </w:t>
            </w:r>
            <w:proofErr w:type="spellStart"/>
            <w:r>
              <w:rPr>
                <w:color w:val="000000"/>
                <w:sz w:val="22"/>
                <w:szCs w:val="22"/>
                <w:lang w:val="es-CR"/>
              </w:rPr>
              <w:t>confidential</w:t>
            </w:r>
            <w:proofErr w:type="spellEnd"/>
            <w:r>
              <w:rPr>
                <w:color w:val="000000"/>
                <w:sz w:val="22"/>
                <w:szCs w:val="22"/>
                <w:lang w:val="es-CR"/>
              </w:rPr>
              <w:t xml:space="preserve"> </w:t>
            </w:r>
            <w:proofErr w:type="spellStart"/>
            <w:r>
              <w:rPr>
                <w:color w:val="000000"/>
                <w:sz w:val="22"/>
                <w:szCs w:val="22"/>
                <w:lang w:val="es-CR"/>
              </w:rPr>
              <w:t>is</w:t>
            </w:r>
            <w:proofErr w:type="spellEnd"/>
            <w:r>
              <w:rPr>
                <w:color w:val="000000"/>
                <w:sz w:val="22"/>
                <w:szCs w:val="22"/>
                <w:lang w:val="es-CR"/>
              </w:rPr>
              <w:t xml:space="preserve"> </w:t>
            </w:r>
            <w:proofErr w:type="spellStart"/>
            <w:r>
              <w:rPr>
                <w:color w:val="000000"/>
                <w:sz w:val="22"/>
                <w:szCs w:val="22"/>
                <w:lang w:val="es-CR"/>
              </w:rPr>
              <w:t>the</w:t>
            </w:r>
            <w:proofErr w:type="spellEnd"/>
            <w:r>
              <w:rPr>
                <w:color w:val="000000"/>
                <w:sz w:val="22"/>
                <w:szCs w:val="22"/>
                <w:lang w:val="es-CR"/>
              </w:rPr>
              <w:t xml:space="preserve"> sole </w:t>
            </w:r>
            <w:proofErr w:type="spellStart"/>
            <w:r>
              <w:rPr>
                <w:color w:val="000000"/>
                <w:sz w:val="22"/>
                <w:szCs w:val="22"/>
                <w:lang w:val="es-CR"/>
              </w:rPr>
              <w:t>responsibility</w:t>
            </w:r>
            <w:proofErr w:type="spellEnd"/>
            <w:r>
              <w:rPr>
                <w:color w:val="000000"/>
                <w:sz w:val="22"/>
                <w:szCs w:val="22"/>
                <w:lang w:val="es-CR"/>
              </w:rPr>
              <w:t xml:space="preserve"> </w:t>
            </w:r>
            <w:proofErr w:type="spellStart"/>
            <w:r>
              <w:rPr>
                <w:color w:val="000000"/>
                <w:sz w:val="22"/>
                <w:szCs w:val="22"/>
                <w:lang w:val="es-CR"/>
              </w:rPr>
              <w:t>of</w:t>
            </w:r>
            <w:proofErr w:type="spellEnd"/>
            <w:r>
              <w:rPr>
                <w:color w:val="000000"/>
                <w:sz w:val="22"/>
                <w:szCs w:val="22"/>
                <w:lang w:val="es-CR"/>
              </w:rPr>
              <w:t xml:space="preserve"> </w:t>
            </w:r>
            <w:proofErr w:type="spellStart"/>
            <w:r>
              <w:rPr>
                <w:color w:val="000000"/>
                <w:sz w:val="22"/>
                <w:szCs w:val="22"/>
                <w:lang w:val="es-CR"/>
              </w:rPr>
              <w:t>the</w:t>
            </w:r>
            <w:proofErr w:type="spellEnd"/>
            <w:r>
              <w:rPr>
                <w:color w:val="000000"/>
                <w:sz w:val="22"/>
                <w:szCs w:val="22"/>
                <w:lang w:val="es-CR"/>
              </w:rPr>
              <w:t xml:space="preserve"> </w:t>
            </w:r>
            <w:proofErr w:type="spellStart"/>
            <w:r>
              <w:rPr>
                <w:color w:val="000000"/>
                <w:sz w:val="22"/>
                <w:szCs w:val="22"/>
                <w:lang w:val="es-CR"/>
              </w:rPr>
              <w:t>bidder</w:t>
            </w:r>
            <w:proofErr w:type="spellEnd"/>
            <w:r>
              <w:rPr>
                <w:color w:val="000000"/>
                <w:sz w:val="22"/>
                <w:szCs w:val="22"/>
                <w:lang w:val="es-CR"/>
              </w:rPr>
              <w:t xml:space="preserve">. The </w:t>
            </w:r>
            <w:proofErr w:type="spellStart"/>
            <w:r>
              <w:rPr>
                <w:color w:val="000000"/>
                <w:sz w:val="22"/>
                <w:szCs w:val="22"/>
                <w:lang w:val="es-CR"/>
              </w:rPr>
              <w:t>Administration</w:t>
            </w:r>
            <w:proofErr w:type="spellEnd"/>
            <w:r>
              <w:rPr>
                <w:color w:val="000000"/>
                <w:sz w:val="22"/>
                <w:szCs w:val="22"/>
                <w:lang w:val="es-CR"/>
              </w:rPr>
              <w:t xml:space="preserve"> </w:t>
            </w:r>
            <w:proofErr w:type="spellStart"/>
            <w:r>
              <w:rPr>
                <w:color w:val="000000"/>
                <w:sz w:val="22"/>
                <w:szCs w:val="22"/>
                <w:lang w:val="es-CR"/>
              </w:rPr>
              <w:t>will</w:t>
            </w:r>
            <w:proofErr w:type="spellEnd"/>
            <w:r>
              <w:rPr>
                <w:color w:val="000000"/>
                <w:sz w:val="22"/>
                <w:szCs w:val="22"/>
                <w:lang w:val="es-CR"/>
              </w:rPr>
              <w:t xml:space="preserve"> </w:t>
            </w:r>
            <w:proofErr w:type="spellStart"/>
            <w:r>
              <w:rPr>
                <w:color w:val="000000"/>
                <w:sz w:val="22"/>
                <w:szCs w:val="22"/>
                <w:lang w:val="es-CR"/>
              </w:rPr>
              <w:t>duly</w:t>
            </w:r>
            <w:proofErr w:type="spellEnd"/>
            <w:r>
              <w:rPr>
                <w:color w:val="000000"/>
                <w:sz w:val="22"/>
                <w:szCs w:val="22"/>
                <w:lang w:val="es-CR"/>
              </w:rPr>
              <w:t xml:space="preserve"> </w:t>
            </w:r>
            <w:proofErr w:type="spellStart"/>
            <w:r>
              <w:rPr>
                <w:color w:val="000000"/>
                <w:sz w:val="22"/>
                <w:szCs w:val="22"/>
                <w:lang w:val="es-CR"/>
              </w:rPr>
              <w:t>evaluate</w:t>
            </w:r>
            <w:proofErr w:type="spellEnd"/>
            <w:r>
              <w:rPr>
                <w:color w:val="000000"/>
                <w:sz w:val="22"/>
                <w:szCs w:val="22"/>
                <w:lang w:val="es-CR"/>
              </w:rPr>
              <w:t xml:space="preserve"> </w:t>
            </w:r>
            <w:proofErr w:type="spellStart"/>
            <w:r>
              <w:rPr>
                <w:color w:val="000000"/>
                <w:sz w:val="22"/>
                <w:szCs w:val="22"/>
                <w:lang w:val="es-CR"/>
              </w:rPr>
              <w:t>the</w:t>
            </w:r>
            <w:proofErr w:type="spellEnd"/>
            <w:r>
              <w:rPr>
                <w:color w:val="000000"/>
                <w:sz w:val="22"/>
                <w:szCs w:val="22"/>
                <w:lang w:val="es-CR"/>
              </w:rPr>
              <w:t xml:space="preserve"> </w:t>
            </w:r>
            <w:proofErr w:type="spellStart"/>
            <w:r>
              <w:rPr>
                <w:color w:val="000000"/>
                <w:sz w:val="22"/>
                <w:szCs w:val="22"/>
                <w:lang w:val="es-CR"/>
              </w:rPr>
              <w:t>measures</w:t>
            </w:r>
            <w:proofErr w:type="spellEnd"/>
            <w:r>
              <w:rPr>
                <w:color w:val="000000"/>
                <w:sz w:val="22"/>
                <w:szCs w:val="22"/>
                <w:lang w:val="es-CR"/>
              </w:rPr>
              <w:t xml:space="preserve"> </w:t>
            </w:r>
            <w:proofErr w:type="spellStart"/>
            <w:r>
              <w:rPr>
                <w:color w:val="000000"/>
                <w:sz w:val="22"/>
                <w:szCs w:val="22"/>
                <w:lang w:val="es-CR"/>
              </w:rPr>
              <w:t>to</w:t>
            </w:r>
            <w:proofErr w:type="spellEnd"/>
            <w:r>
              <w:rPr>
                <w:color w:val="000000"/>
                <w:sz w:val="22"/>
                <w:szCs w:val="22"/>
                <w:lang w:val="es-CR"/>
              </w:rPr>
              <w:t xml:space="preserve"> be </w:t>
            </w:r>
            <w:proofErr w:type="spellStart"/>
            <w:r>
              <w:rPr>
                <w:color w:val="000000"/>
                <w:sz w:val="22"/>
                <w:szCs w:val="22"/>
                <w:lang w:val="es-CR"/>
              </w:rPr>
              <w:t>taken</w:t>
            </w:r>
            <w:proofErr w:type="spellEnd"/>
            <w:r>
              <w:rPr>
                <w:color w:val="000000"/>
                <w:sz w:val="22"/>
                <w:szCs w:val="22"/>
                <w:lang w:val="es-CR"/>
              </w:rPr>
              <w:t xml:space="preserve"> </w:t>
            </w:r>
            <w:proofErr w:type="spellStart"/>
            <w:r>
              <w:rPr>
                <w:color w:val="000000"/>
                <w:sz w:val="22"/>
                <w:szCs w:val="22"/>
                <w:lang w:val="es-CR"/>
              </w:rPr>
              <w:t>should</w:t>
            </w:r>
            <w:proofErr w:type="spellEnd"/>
            <w:r>
              <w:rPr>
                <w:color w:val="000000"/>
                <w:sz w:val="22"/>
                <w:szCs w:val="22"/>
                <w:lang w:val="es-CR"/>
              </w:rPr>
              <w:t xml:space="preserve"> non-</w:t>
            </w:r>
            <w:proofErr w:type="spellStart"/>
            <w:r>
              <w:rPr>
                <w:color w:val="000000"/>
                <w:sz w:val="22"/>
                <w:szCs w:val="22"/>
                <w:lang w:val="es-CR"/>
              </w:rPr>
              <w:t>compliance</w:t>
            </w:r>
            <w:proofErr w:type="spellEnd"/>
            <w:r>
              <w:rPr>
                <w:color w:val="000000"/>
                <w:sz w:val="22"/>
                <w:szCs w:val="22"/>
                <w:lang w:val="es-CR"/>
              </w:rPr>
              <w:t xml:space="preserve"> </w:t>
            </w:r>
            <w:proofErr w:type="spellStart"/>
            <w:r>
              <w:rPr>
                <w:color w:val="000000"/>
                <w:sz w:val="22"/>
                <w:szCs w:val="22"/>
                <w:lang w:val="es-CR"/>
              </w:rPr>
              <w:t>with</w:t>
            </w:r>
            <w:proofErr w:type="spellEnd"/>
            <w:r>
              <w:rPr>
                <w:color w:val="000000"/>
                <w:sz w:val="22"/>
                <w:szCs w:val="22"/>
                <w:lang w:val="es-CR"/>
              </w:rPr>
              <w:t xml:space="preserve"> </w:t>
            </w:r>
            <w:proofErr w:type="spellStart"/>
            <w:r>
              <w:rPr>
                <w:color w:val="000000"/>
                <w:sz w:val="22"/>
                <w:szCs w:val="22"/>
                <w:lang w:val="es-CR"/>
              </w:rPr>
              <w:t>the</w:t>
            </w:r>
            <w:proofErr w:type="spellEnd"/>
            <w:r>
              <w:rPr>
                <w:color w:val="000000"/>
                <w:sz w:val="22"/>
                <w:szCs w:val="22"/>
                <w:lang w:val="es-CR"/>
              </w:rPr>
              <w:t xml:space="preserve"> </w:t>
            </w:r>
            <w:proofErr w:type="spellStart"/>
            <w:r>
              <w:rPr>
                <w:color w:val="000000"/>
                <w:sz w:val="22"/>
                <w:szCs w:val="22"/>
                <w:lang w:val="es-CR"/>
              </w:rPr>
              <w:t>requirements</w:t>
            </w:r>
            <w:proofErr w:type="spellEnd"/>
            <w:r>
              <w:rPr>
                <w:color w:val="000000"/>
                <w:sz w:val="22"/>
                <w:szCs w:val="22"/>
                <w:lang w:val="es-CR"/>
              </w:rPr>
              <w:t xml:space="preserve"> </w:t>
            </w:r>
            <w:proofErr w:type="spellStart"/>
            <w:r>
              <w:rPr>
                <w:color w:val="000000"/>
                <w:sz w:val="22"/>
                <w:szCs w:val="22"/>
                <w:lang w:val="es-CR"/>
              </w:rPr>
              <w:t>established</w:t>
            </w:r>
            <w:proofErr w:type="spellEnd"/>
            <w:r>
              <w:rPr>
                <w:color w:val="000000"/>
                <w:sz w:val="22"/>
                <w:szCs w:val="22"/>
                <w:lang w:val="es-CR"/>
              </w:rPr>
              <w:t xml:space="preserve"> </w:t>
            </w:r>
            <w:proofErr w:type="spellStart"/>
            <w:r>
              <w:rPr>
                <w:color w:val="000000"/>
                <w:sz w:val="22"/>
                <w:szCs w:val="22"/>
                <w:lang w:val="es-CR"/>
              </w:rPr>
              <w:t>by</w:t>
            </w:r>
            <w:proofErr w:type="spellEnd"/>
            <w:r>
              <w:rPr>
                <w:color w:val="000000"/>
                <w:sz w:val="22"/>
                <w:szCs w:val="22"/>
                <w:lang w:val="es-CR"/>
              </w:rPr>
              <w:t xml:space="preserve"> </w:t>
            </w:r>
            <w:proofErr w:type="spellStart"/>
            <w:r>
              <w:rPr>
                <w:color w:val="000000"/>
                <w:sz w:val="22"/>
                <w:szCs w:val="22"/>
                <w:lang w:val="es-CR"/>
              </w:rPr>
              <w:t>current</w:t>
            </w:r>
            <w:proofErr w:type="spellEnd"/>
            <w:r>
              <w:rPr>
                <w:color w:val="000000"/>
                <w:sz w:val="22"/>
                <w:szCs w:val="22"/>
                <w:lang w:val="es-CR"/>
              </w:rPr>
              <w:t xml:space="preserve"> </w:t>
            </w:r>
            <w:proofErr w:type="spellStart"/>
            <w:r>
              <w:rPr>
                <w:color w:val="000000"/>
                <w:sz w:val="22"/>
                <w:szCs w:val="22"/>
                <w:lang w:val="es-CR"/>
              </w:rPr>
              <w:t>regulations</w:t>
            </w:r>
            <w:proofErr w:type="spellEnd"/>
            <w:r>
              <w:rPr>
                <w:color w:val="000000"/>
                <w:sz w:val="22"/>
                <w:szCs w:val="22"/>
                <w:lang w:val="es-CR"/>
              </w:rPr>
              <w:t xml:space="preserve"> </w:t>
            </w:r>
            <w:proofErr w:type="spellStart"/>
            <w:r>
              <w:rPr>
                <w:color w:val="000000"/>
                <w:sz w:val="22"/>
                <w:szCs w:val="22"/>
                <w:lang w:val="es-CR"/>
              </w:rPr>
              <w:t>regarding</w:t>
            </w:r>
            <w:proofErr w:type="spellEnd"/>
            <w:r>
              <w:rPr>
                <w:color w:val="000000"/>
                <w:sz w:val="22"/>
                <w:szCs w:val="22"/>
                <w:lang w:val="es-CR"/>
              </w:rPr>
              <w:t xml:space="preserve"> </w:t>
            </w:r>
            <w:proofErr w:type="spellStart"/>
            <w:r>
              <w:rPr>
                <w:color w:val="000000"/>
                <w:sz w:val="22"/>
                <w:szCs w:val="22"/>
                <w:lang w:val="es-CR"/>
              </w:rPr>
              <w:t>said</w:t>
            </w:r>
            <w:proofErr w:type="spellEnd"/>
            <w:r>
              <w:rPr>
                <w:color w:val="000000"/>
                <w:sz w:val="22"/>
                <w:szCs w:val="22"/>
                <w:lang w:val="es-CR"/>
              </w:rPr>
              <w:t xml:space="preserve"> </w:t>
            </w:r>
            <w:proofErr w:type="spellStart"/>
            <w:r>
              <w:rPr>
                <w:color w:val="000000"/>
                <w:sz w:val="22"/>
                <w:szCs w:val="22"/>
                <w:lang w:val="es-CR"/>
              </w:rPr>
              <w:t>classification</w:t>
            </w:r>
            <w:proofErr w:type="spellEnd"/>
            <w:r>
              <w:rPr>
                <w:color w:val="000000"/>
                <w:sz w:val="22"/>
                <w:szCs w:val="22"/>
                <w:lang w:val="es-CR"/>
              </w:rPr>
              <w:t xml:space="preserve"> be </w:t>
            </w:r>
            <w:proofErr w:type="spellStart"/>
            <w:r>
              <w:rPr>
                <w:color w:val="000000"/>
                <w:sz w:val="22"/>
                <w:szCs w:val="22"/>
                <w:lang w:val="es-CR"/>
              </w:rPr>
              <w:t>found</w:t>
            </w:r>
            <w:proofErr w:type="spellEnd"/>
            <w:r>
              <w:rPr>
                <w:color w:val="000000"/>
                <w:sz w:val="22"/>
                <w:szCs w:val="22"/>
                <w:lang w:val="es-CR"/>
              </w:rPr>
              <w:t>.</w:t>
            </w:r>
          </w:p>
        </w:tc>
      </w:tr>
      <w:tr w:rsidR="00E255F4" w14:paraId="4CB92B7B" w14:textId="77777777">
        <w:tc>
          <w:tcPr>
            <w:tcW w:w="730" w:type="dxa"/>
            <w:tcBorders>
              <w:top w:val="single" w:sz="4" w:space="0" w:color="000000"/>
              <w:left w:val="single" w:sz="4" w:space="0" w:color="000000"/>
              <w:bottom w:val="single" w:sz="4" w:space="0" w:color="000000"/>
              <w:right w:val="single" w:sz="4" w:space="0" w:color="000000"/>
            </w:tcBorders>
          </w:tcPr>
          <w:p w14:paraId="4AFAD231" w14:textId="77777777" w:rsidR="00E255F4" w:rsidRDefault="00000000">
            <w:pPr>
              <w:ind w:right="-36"/>
              <w:jc w:val="both"/>
              <w:rPr>
                <w:rFonts w:eastAsia="Palatino Linotype"/>
                <w:b/>
                <w:sz w:val="22"/>
                <w:szCs w:val="22"/>
                <w:lang w:val="es-ES"/>
              </w:rPr>
            </w:pPr>
            <w:r>
              <w:rPr>
                <w:rFonts w:eastAsia="Palatino Linotype"/>
                <w:b/>
                <w:sz w:val="22"/>
                <w:szCs w:val="22"/>
                <w:lang w:val="es-ES"/>
              </w:rPr>
              <w:lastRenderedPageBreak/>
              <w:t>12.3</w:t>
            </w:r>
          </w:p>
        </w:tc>
        <w:tc>
          <w:tcPr>
            <w:tcW w:w="9048" w:type="dxa"/>
            <w:tcBorders>
              <w:top w:val="single" w:sz="4" w:space="0" w:color="000000"/>
              <w:left w:val="single" w:sz="4" w:space="0" w:color="000000"/>
              <w:bottom w:val="single" w:sz="4" w:space="0" w:color="000000"/>
              <w:right w:val="single" w:sz="4" w:space="0" w:color="000000"/>
            </w:tcBorders>
          </w:tcPr>
          <w:p w14:paraId="135E9186" w14:textId="77777777" w:rsidR="00E255F4" w:rsidRDefault="00000000">
            <w:pPr>
              <w:jc w:val="both"/>
            </w:pPr>
            <w:proofErr w:type="spellStart"/>
            <w:r>
              <w:rPr>
                <w:rFonts w:eastAsia="Palatino Linotype"/>
                <w:b/>
                <w:spacing w:val="-1"/>
                <w:position w:val="1"/>
                <w:sz w:val="22"/>
                <w:szCs w:val="22"/>
                <w:lang w:val="es-ES"/>
              </w:rPr>
              <w:t>Opening</w:t>
            </w:r>
            <w:proofErr w:type="spellEnd"/>
          </w:p>
          <w:p w14:paraId="2E016E7D" w14:textId="77777777" w:rsidR="00E255F4" w:rsidRDefault="00E255F4">
            <w:pPr>
              <w:jc w:val="both"/>
              <w:rPr>
                <w:rFonts w:eastAsia="Palatino Linotype"/>
                <w:b/>
                <w:spacing w:val="-1"/>
                <w:position w:val="1"/>
                <w:sz w:val="22"/>
                <w:szCs w:val="22"/>
                <w:lang w:val="es-ES"/>
              </w:rPr>
            </w:pPr>
          </w:p>
          <w:p w14:paraId="07F87CB8" w14:textId="77777777" w:rsidR="00E255F4" w:rsidRDefault="00000000">
            <w:pPr>
              <w:jc w:val="both"/>
              <w:rPr>
                <w:rFonts w:eastAsia="Palatino Linotype"/>
                <w:b/>
                <w:spacing w:val="-1"/>
                <w:position w:val="1"/>
                <w:sz w:val="22"/>
                <w:szCs w:val="22"/>
                <w:lang w:val="es-ES"/>
              </w:rPr>
            </w:pPr>
            <w:proofErr w:type="spellStart"/>
            <w:r>
              <w:rPr>
                <w:rFonts w:eastAsia="Palatino Linotype"/>
                <w:b/>
                <w:spacing w:val="-1"/>
                <w:position w:val="1"/>
                <w:sz w:val="22"/>
                <w:szCs w:val="22"/>
                <w:lang w:val="es-ES"/>
              </w:rPr>
              <w:t>It</w:t>
            </w:r>
            <w:proofErr w:type="spellEnd"/>
            <w:r>
              <w:rPr>
                <w:rFonts w:eastAsia="Palatino Linotype"/>
                <w:b/>
                <w:spacing w:val="-1"/>
                <w:position w:val="1"/>
                <w:sz w:val="22"/>
                <w:szCs w:val="22"/>
                <w:lang w:val="es-ES"/>
              </w:rPr>
              <w:t xml:space="preserve"> </w:t>
            </w:r>
            <w:proofErr w:type="spellStart"/>
            <w:r>
              <w:rPr>
                <w:rFonts w:eastAsia="Palatino Linotype"/>
                <w:b/>
                <w:spacing w:val="-1"/>
                <w:position w:val="1"/>
                <w:sz w:val="22"/>
                <w:szCs w:val="22"/>
                <w:lang w:val="es-ES"/>
              </w:rPr>
              <w:t>is</w:t>
            </w:r>
            <w:proofErr w:type="spellEnd"/>
            <w:r>
              <w:rPr>
                <w:rFonts w:eastAsia="Palatino Linotype"/>
                <w:b/>
                <w:spacing w:val="-1"/>
                <w:position w:val="1"/>
                <w:sz w:val="22"/>
                <w:szCs w:val="22"/>
                <w:lang w:val="es-ES"/>
              </w:rPr>
              <w:t xml:space="preserve"> </w:t>
            </w:r>
            <w:proofErr w:type="spellStart"/>
            <w:r>
              <w:rPr>
                <w:rFonts w:eastAsia="Palatino Linotype"/>
                <w:b/>
                <w:spacing w:val="-1"/>
                <w:position w:val="1"/>
                <w:sz w:val="22"/>
                <w:szCs w:val="22"/>
                <w:lang w:val="es-ES"/>
              </w:rPr>
              <w:t>added</w:t>
            </w:r>
            <w:proofErr w:type="spellEnd"/>
            <w:r>
              <w:rPr>
                <w:rFonts w:eastAsia="Palatino Linotype"/>
                <w:b/>
                <w:spacing w:val="-1"/>
                <w:position w:val="1"/>
                <w:sz w:val="22"/>
                <w:szCs w:val="22"/>
                <w:lang w:val="es-ES"/>
              </w:rPr>
              <w:t>:</w:t>
            </w:r>
          </w:p>
          <w:p w14:paraId="62D54102" w14:textId="77777777" w:rsidR="00E255F4" w:rsidRDefault="00E255F4">
            <w:pPr>
              <w:jc w:val="both"/>
              <w:rPr>
                <w:rFonts w:eastAsia="Palatino Linotype"/>
                <w:b/>
                <w:spacing w:val="-1"/>
                <w:position w:val="1"/>
                <w:sz w:val="22"/>
                <w:szCs w:val="22"/>
                <w:lang w:val="es-ES"/>
              </w:rPr>
            </w:pPr>
          </w:p>
          <w:p w14:paraId="2A2BE356" w14:textId="77777777" w:rsidR="00E255F4" w:rsidRDefault="00000000">
            <w:pPr>
              <w:autoSpaceDE w:val="0"/>
              <w:spacing w:line="240" w:lineRule="auto"/>
              <w:jc w:val="both"/>
              <w:rPr>
                <w:rFonts w:eastAsia="Calibri"/>
                <w:sz w:val="22"/>
                <w:szCs w:val="22"/>
              </w:rPr>
            </w:pPr>
            <w:r>
              <w:rPr>
                <w:rFonts w:eastAsia="Calibri"/>
                <w:sz w:val="22"/>
                <w:szCs w:val="22"/>
              </w:rPr>
              <w:t xml:space="preserve">The </w:t>
            </w:r>
            <w:proofErr w:type="spellStart"/>
            <w:r>
              <w:rPr>
                <w:rFonts w:eastAsia="Calibri"/>
                <w:sz w:val="22"/>
                <w:szCs w:val="22"/>
              </w:rPr>
              <w:t>opening</w:t>
            </w:r>
            <w:proofErr w:type="spellEnd"/>
            <w:r>
              <w:rPr>
                <w:rFonts w:eastAsia="Calibri"/>
                <w:sz w:val="22"/>
                <w:szCs w:val="22"/>
              </w:rPr>
              <w:t xml:space="preserve"> date </w:t>
            </w:r>
            <w:proofErr w:type="spellStart"/>
            <w:r>
              <w:rPr>
                <w:rFonts w:eastAsia="Calibri"/>
                <w:sz w:val="22"/>
                <w:szCs w:val="22"/>
              </w:rPr>
              <w:t>will</w:t>
            </w:r>
            <w:proofErr w:type="spellEnd"/>
            <w:r>
              <w:rPr>
                <w:rFonts w:eastAsia="Calibri"/>
                <w:sz w:val="22"/>
                <w:szCs w:val="22"/>
              </w:rPr>
              <w:t xml:space="preserve"> be </w:t>
            </w:r>
            <w:proofErr w:type="spellStart"/>
            <w:r>
              <w:rPr>
                <w:rFonts w:eastAsia="Calibri"/>
                <w:sz w:val="22"/>
                <w:szCs w:val="22"/>
              </w:rPr>
              <w:t>announced</w:t>
            </w:r>
            <w:proofErr w:type="spellEnd"/>
            <w:r>
              <w:rPr>
                <w:rFonts w:eastAsia="Calibri"/>
                <w:sz w:val="22"/>
                <w:szCs w:val="22"/>
              </w:rPr>
              <w:t xml:space="preserve"> in </w:t>
            </w:r>
            <w:proofErr w:type="spellStart"/>
            <w:r>
              <w:rPr>
                <w:rFonts w:eastAsia="Calibri"/>
                <w:sz w:val="22"/>
                <w:szCs w:val="22"/>
              </w:rPr>
              <w:t>the</w:t>
            </w:r>
            <w:proofErr w:type="spellEnd"/>
            <w:r>
              <w:rPr>
                <w:rFonts w:eastAsia="Calibri"/>
                <w:sz w:val="22"/>
                <w:szCs w:val="22"/>
              </w:rPr>
              <w:t xml:space="preserve"> </w:t>
            </w:r>
            <w:proofErr w:type="spellStart"/>
            <w:r>
              <w:rPr>
                <w:rFonts w:eastAsia="Calibri"/>
                <w:sz w:val="22"/>
                <w:szCs w:val="22"/>
              </w:rPr>
              <w:t>official</w:t>
            </w:r>
            <w:proofErr w:type="spellEnd"/>
            <w:r>
              <w:rPr>
                <w:rFonts w:eastAsia="Calibri"/>
                <w:sz w:val="22"/>
                <w:szCs w:val="22"/>
              </w:rPr>
              <w:t xml:space="preserve"> </w:t>
            </w:r>
            <w:proofErr w:type="spellStart"/>
            <w:r>
              <w:rPr>
                <w:rFonts w:eastAsia="Calibri"/>
                <w:sz w:val="22"/>
                <w:szCs w:val="22"/>
              </w:rPr>
              <w:t>publications</w:t>
            </w:r>
            <w:proofErr w:type="spellEnd"/>
            <w:r>
              <w:rPr>
                <w:rFonts w:eastAsia="Calibri"/>
                <w:sz w:val="22"/>
                <w:szCs w:val="22"/>
              </w:rPr>
              <w:t xml:space="preserve"> </w:t>
            </w:r>
            <w:proofErr w:type="spellStart"/>
            <w:r>
              <w:rPr>
                <w:rFonts w:eastAsia="Calibri"/>
                <w:sz w:val="22"/>
                <w:szCs w:val="22"/>
              </w:rPr>
              <w:t>of</w:t>
            </w:r>
            <w:proofErr w:type="spellEnd"/>
            <w:r>
              <w:rPr>
                <w:rFonts w:eastAsia="Calibri"/>
                <w:sz w:val="22"/>
                <w:szCs w:val="22"/>
              </w:rPr>
              <w:t xml:space="preserve"> </w:t>
            </w:r>
            <w:proofErr w:type="spellStart"/>
            <w:r>
              <w:rPr>
                <w:rFonts w:eastAsia="Calibri"/>
                <w:sz w:val="22"/>
                <w:szCs w:val="22"/>
              </w:rPr>
              <w:t>the</w:t>
            </w:r>
            <w:proofErr w:type="spellEnd"/>
            <w:r>
              <w:rPr>
                <w:rFonts w:eastAsia="Calibri"/>
                <w:sz w:val="22"/>
                <w:szCs w:val="22"/>
              </w:rPr>
              <w:t xml:space="preserve"> </w:t>
            </w:r>
            <w:proofErr w:type="spellStart"/>
            <w:r>
              <w:rPr>
                <w:rFonts w:eastAsia="Calibri"/>
                <w:sz w:val="22"/>
                <w:szCs w:val="22"/>
              </w:rPr>
              <w:t>call</w:t>
            </w:r>
            <w:proofErr w:type="spellEnd"/>
            <w:r>
              <w:rPr>
                <w:rFonts w:eastAsia="Calibri"/>
                <w:sz w:val="22"/>
                <w:szCs w:val="22"/>
              </w:rPr>
              <w:t xml:space="preserve"> </w:t>
            </w:r>
            <w:proofErr w:type="spellStart"/>
            <w:r>
              <w:rPr>
                <w:rFonts w:eastAsia="Calibri"/>
                <w:sz w:val="22"/>
                <w:szCs w:val="22"/>
              </w:rPr>
              <w:t>for</w:t>
            </w:r>
            <w:proofErr w:type="spellEnd"/>
            <w:r>
              <w:rPr>
                <w:rFonts w:eastAsia="Calibri"/>
                <w:sz w:val="22"/>
                <w:szCs w:val="22"/>
              </w:rPr>
              <w:t xml:space="preserve"> </w:t>
            </w:r>
            <w:proofErr w:type="spellStart"/>
            <w:r>
              <w:rPr>
                <w:rFonts w:eastAsia="Calibri"/>
                <w:sz w:val="22"/>
                <w:szCs w:val="22"/>
              </w:rPr>
              <w:t>tenders</w:t>
            </w:r>
            <w:proofErr w:type="spellEnd"/>
            <w:r>
              <w:rPr>
                <w:rFonts w:eastAsia="Calibri"/>
                <w:sz w:val="22"/>
                <w:szCs w:val="22"/>
              </w:rPr>
              <w:t xml:space="preserve"> and </w:t>
            </w:r>
            <w:proofErr w:type="spellStart"/>
            <w:r>
              <w:rPr>
                <w:rFonts w:eastAsia="Calibri"/>
                <w:sz w:val="22"/>
                <w:szCs w:val="22"/>
              </w:rPr>
              <w:t>will</w:t>
            </w:r>
            <w:proofErr w:type="spellEnd"/>
            <w:r>
              <w:rPr>
                <w:rFonts w:eastAsia="Calibri"/>
                <w:sz w:val="22"/>
                <w:szCs w:val="22"/>
              </w:rPr>
              <w:t xml:space="preserve"> be </w:t>
            </w:r>
            <w:proofErr w:type="spellStart"/>
            <w:r>
              <w:rPr>
                <w:rFonts w:eastAsia="Calibri"/>
                <w:sz w:val="22"/>
                <w:szCs w:val="22"/>
              </w:rPr>
              <w:t>made</w:t>
            </w:r>
            <w:proofErr w:type="spellEnd"/>
            <w:r>
              <w:rPr>
                <w:rFonts w:eastAsia="Calibri"/>
                <w:sz w:val="22"/>
                <w:szCs w:val="22"/>
              </w:rPr>
              <w:t xml:space="preserve"> </w:t>
            </w:r>
            <w:proofErr w:type="spellStart"/>
            <w:r>
              <w:rPr>
                <w:rFonts w:eastAsia="Calibri"/>
                <w:sz w:val="22"/>
                <w:szCs w:val="22"/>
              </w:rPr>
              <w:t>public</w:t>
            </w:r>
            <w:proofErr w:type="spellEnd"/>
            <w:r>
              <w:rPr>
                <w:rFonts w:eastAsia="Calibri"/>
                <w:sz w:val="22"/>
                <w:szCs w:val="22"/>
              </w:rPr>
              <w:t>.</w:t>
            </w:r>
          </w:p>
          <w:p w14:paraId="70BD2C83" w14:textId="77777777" w:rsidR="00E255F4" w:rsidRDefault="00E255F4">
            <w:pPr>
              <w:autoSpaceDE w:val="0"/>
              <w:spacing w:line="240" w:lineRule="auto"/>
              <w:jc w:val="both"/>
              <w:rPr>
                <w:rFonts w:eastAsia="Calibri"/>
                <w:sz w:val="22"/>
                <w:szCs w:val="22"/>
              </w:rPr>
            </w:pPr>
          </w:p>
          <w:p w14:paraId="2461885D" w14:textId="77777777" w:rsidR="00E255F4" w:rsidRDefault="00000000">
            <w:pPr>
              <w:autoSpaceDE w:val="0"/>
              <w:spacing w:line="240" w:lineRule="auto"/>
              <w:jc w:val="both"/>
              <w:rPr>
                <w:rFonts w:eastAsia="Calibri"/>
                <w:sz w:val="22"/>
                <w:szCs w:val="22"/>
              </w:rPr>
            </w:pPr>
            <w:proofErr w:type="spellStart"/>
            <w:r>
              <w:rPr>
                <w:rFonts w:eastAsia="Calibri"/>
                <w:sz w:val="22"/>
                <w:szCs w:val="22"/>
              </w:rPr>
              <w:t>Only</w:t>
            </w:r>
            <w:proofErr w:type="spellEnd"/>
            <w:r>
              <w:rPr>
                <w:rFonts w:eastAsia="Calibri"/>
                <w:sz w:val="22"/>
                <w:szCs w:val="22"/>
              </w:rPr>
              <w:t xml:space="preserve"> </w:t>
            </w:r>
            <w:proofErr w:type="spellStart"/>
            <w:r>
              <w:rPr>
                <w:rFonts w:eastAsia="Calibri"/>
                <w:sz w:val="22"/>
                <w:szCs w:val="22"/>
              </w:rPr>
              <w:t>those</w:t>
            </w:r>
            <w:proofErr w:type="spellEnd"/>
            <w:r>
              <w:rPr>
                <w:rFonts w:eastAsia="Calibri"/>
                <w:sz w:val="22"/>
                <w:szCs w:val="22"/>
              </w:rPr>
              <w:t xml:space="preserve"> </w:t>
            </w:r>
            <w:proofErr w:type="spellStart"/>
            <w:r>
              <w:rPr>
                <w:rFonts w:eastAsia="Calibri"/>
                <w:sz w:val="22"/>
                <w:szCs w:val="22"/>
              </w:rPr>
              <w:t>authorized</w:t>
            </w:r>
            <w:proofErr w:type="spellEnd"/>
            <w:r>
              <w:rPr>
                <w:rFonts w:eastAsia="Calibri"/>
                <w:sz w:val="22"/>
                <w:szCs w:val="22"/>
              </w:rPr>
              <w:t xml:space="preserve"> </w:t>
            </w:r>
            <w:proofErr w:type="spellStart"/>
            <w:r>
              <w:rPr>
                <w:rFonts w:eastAsia="Calibri"/>
                <w:sz w:val="22"/>
                <w:szCs w:val="22"/>
              </w:rPr>
              <w:t>to</w:t>
            </w:r>
            <w:proofErr w:type="spellEnd"/>
            <w:r>
              <w:rPr>
                <w:rFonts w:eastAsia="Calibri"/>
                <w:sz w:val="22"/>
                <w:szCs w:val="22"/>
              </w:rPr>
              <w:t xml:space="preserve"> do so, </w:t>
            </w:r>
            <w:proofErr w:type="spellStart"/>
            <w:r>
              <w:rPr>
                <w:rFonts w:eastAsia="Calibri"/>
                <w:sz w:val="22"/>
                <w:szCs w:val="22"/>
              </w:rPr>
              <w:t>according</w:t>
            </w:r>
            <w:proofErr w:type="spellEnd"/>
            <w:r>
              <w:rPr>
                <w:rFonts w:eastAsia="Calibri"/>
                <w:sz w:val="22"/>
                <w:szCs w:val="22"/>
              </w:rPr>
              <w:t xml:space="preserve"> </w:t>
            </w:r>
            <w:proofErr w:type="spellStart"/>
            <w:r>
              <w:rPr>
                <w:rFonts w:eastAsia="Calibri"/>
                <w:sz w:val="22"/>
                <w:szCs w:val="22"/>
              </w:rPr>
              <w:t>to</w:t>
            </w:r>
            <w:proofErr w:type="spellEnd"/>
            <w:r>
              <w:rPr>
                <w:rFonts w:eastAsia="Calibri"/>
                <w:sz w:val="22"/>
                <w:szCs w:val="22"/>
              </w:rPr>
              <w:t xml:space="preserve"> </w:t>
            </w:r>
            <w:proofErr w:type="spellStart"/>
            <w:r>
              <w:rPr>
                <w:rFonts w:eastAsia="Calibri"/>
                <w:sz w:val="22"/>
                <w:szCs w:val="22"/>
              </w:rPr>
              <w:t>the</w:t>
            </w:r>
            <w:proofErr w:type="spellEnd"/>
            <w:r>
              <w:rPr>
                <w:rFonts w:eastAsia="Calibri"/>
                <w:sz w:val="22"/>
                <w:szCs w:val="22"/>
              </w:rPr>
              <w:t xml:space="preserve"> </w:t>
            </w:r>
            <w:proofErr w:type="spellStart"/>
            <w:r>
              <w:rPr>
                <w:rFonts w:eastAsia="Calibri"/>
                <w:sz w:val="22"/>
                <w:szCs w:val="22"/>
              </w:rPr>
              <w:t>information</w:t>
            </w:r>
            <w:proofErr w:type="spellEnd"/>
            <w:r>
              <w:rPr>
                <w:rFonts w:eastAsia="Calibri"/>
                <w:sz w:val="22"/>
                <w:szCs w:val="22"/>
              </w:rPr>
              <w:t xml:space="preserve"> </w:t>
            </w:r>
            <w:proofErr w:type="spellStart"/>
            <w:r>
              <w:rPr>
                <w:rFonts w:eastAsia="Calibri"/>
                <w:sz w:val="22"/>
                <w:szCs w:val="22"/>
              </w:rPr>
              <w:t>on</w:t>
            </w:r>
            <w:proofErr w:type="spellEnd"/>
            <w:r>
              <w:rPr>
                <w:rFonts w:eastAsia="Calibri"/>
                <w:sz w:val="22"/>
                <w:szCs w:val="22"/>
              </w:rPr>
              <w:t xml:space="preserve"> file in RUPE, </w:t>
            </w:r>
            <w:proofErr w:type="spellStart"/>
            <w:r>
              <w:rPr>
                <w:rFonts w:eastAsia="Calibri"/>
                <w:sz w:val="22"/>
                <w:szCs w:val="22"/>
              </w:rPr>
              <w:t>may</w:t>
            </w:r>
            <w:proofErr w:type="spellEnd"/>
            <w:r>
              <w:rPr>
                <w:rFonts w:eastAsia="Calibri"/>
                <w:sz w:val="22"/>
                <w:szCs w:val="22"/>
              </w:rPr>
              <w:t xml:space="preserve"> </w:t>
            </w:r>
            <w:proofErr w:type="spellStart"/>
            <w:r>
              <w:rPr>
                <w:rFonts w:eastAsia="Calibri"/>
                <w:sz w:val="22"/>
                <w:szCs w:val="22"/>
              </w:rPr>
              <w:t>submit</w:t>
            </w:r>
            <w:proofErr w:type="spellEnd"/>
            <w:r>
              <w:rPr>
                <w:rFonts w:eastAsia="Calibri"/>
                <w:sz w:val="22"/>
                <w:szCs w:val="22"/>
              </w:rPr>
              <w:t xml:space="preserve"> </w:t>
            </w:r>
            <w:proofErr w:type="spellStart"/>
            <w:r>
              <w:rPr>
                <w:rFonts w:eastAsia="Calibri"/>
                <w:sz w:val="22"/>
                <w:szCs w:val="22"/>
              </w:rPr>
              <w:t>statements</w:t>
            </w:r>
            <w:proofErr w:type="spellEnd"/>
            <w:r>
              <w:rPr>
                <w:rFonts w:eastAsia="Calibri"/>
                <w:sz w:val="22"/>
                <w:szCs w:val="22"/>
              </w:rPr>
              <w:t xml:space="preserve">, </w:t>
            </w:r>
            <w:proofErr w:type="spellStart"/>
            <w:r>
              <w:rPr>
                <w:rFonts w:eastAsia="Calibri"/>
                <w:sz w:val="22"/>
                <w:szCs w:val="22"/>
              </w:rPr>
              <w:t>clarifications</w:t>
            </w:r>
            <w:proofErr w:type="spellEnd"/>
            <w:r>
              <w:rPr>
                <w:rFonts w:eastAsia="Calibri"/>
                <w:sz w:val="22"/>
                <w:szCs w:val="22"/>
              </w:rPr>
              <w:t xml:space="preserve">, </w:t>
            </w:r>
            <w:proofErr w:type="spellStart"/>
            <w:r>
              <w:rPr>
                <w:rFonts w:eastAsia="Calibri"/>
                <w:sz w:val="22"/>
                <w:szCs w:val="22"/>
              </w:rPr>
              <w:t>or</w:t>
            </w:r>
            <w:proofErr w:type="spellEnd"/>
            <w:r>
              <w:rPr>
                <w:rFonts w:eastAsia="Calibri"/>
                <w:sz w:val="22"/>
                <w:szCs w:val="22"/>
              </w:rPr>
              <w:t xml:space="preserve"> </w:t>
            </w:r>
            <w:proofErr w:type="spellStart"/>
            <w:r>
              <w:rPr>
                <w:rFonts w:eastAsia="Calibri"/>
                <w:sz w:val="22"/>
                <w:szCs w:val="22"/>
              </w:rPr>
              <w:t>reservations</w:t>
            </w:r>
            <w:proofErr w:type="spellEnd"/>
            <w:r>
              <w:rPr>
                <w:rFonts w:eastAsia="Calibri"/>
                <w:sz w:val="22"/>
                <w:szCs w:val="22"/>
              </w:rPr>
              <w:t xml:space="preserve"> </w:t>
            </w:r>
            <w:proofErr w:type="spellStart"/>
            <w:r>
              <w:rPr>
                <w:rFonts w:eastAsia="Calibri"/>
                <w:sz w:val="22"/>
                <w:szCs w:val="22"/>
              </w:rPr>
              <w:t>they</w:t>
            </w:r>
            <w:proofErr w:type="spellEnd"/>
            <w:r>
              <w:rPr>
                <w:rFonts w:eastAsia="Calibri"/>
                <w:sz w:val="22"/>
                <w:szCs w:val="22"/>
              </w:rPr>
              <w:t xml:space="preserve"> </w:t>
            </w:r>
            <w:proofErr w:type="spellStart"/>
            <w:r>
              <w:rPr>
                <w:rFonts w:eastAsia="Calibri"/>
                <w:sz w:val="22"/>
                <w:szCs w:val="22"/>
              </w:rPr>
              <w:t>deem</w:t>
            </w:r>
            <w:proofErr w:type="spellEnd"/>
            <w:r>
              <w:rPr>
                <w:rFonts w:eastAsia="Calibri"/>
                <w:sz w:val="22"/>
                <w:szCs w:val="22"/>
              </w:rPr>
              <w:t xml:space="preserve"> </w:t>
            </w:r>
            <w:proofErr w:type="spellStart"/>
            <w:r>
              <w:rPr>
                <w:rFonts w:eastAsia="Calibri"/>
                <w:sz w:val="22"/>
                <w:szCs w:val="22"/>
              </w:rPr>
              <w:t>pertinent</w:t>
            </w:r>
            <w:proofErr w:type="spellEnd"/>
            <w:r>
              <w:rPr>
                <w:rFonts w:eastAsia="Calibri"/>
                <w:sz w:val="22"/>
                <w:szCs w:val="22"/>
              </w:rPr>
              <w:t xml:space="preserve"> and/</w:t>
            </w:r>
            <w:proofErr w:type="spellStart"/>
            <w:r>
              <w:rPr>
                <w:rFonts w:eastAsia="Calibri"/>
                <w:sz w:val="22"/>
                <w:szCs w:val="22"/>
              </w:rPr>
              <w:t>or</w:t>
            </w:r>
            <w:proofErr w:type="spellEnd"/>
            <w:r>
              <w:rPr>
                <w:rFonts w:eastAsia="Calibri"/>
                <w:sz w:val="22"/>
                <w:szCs w:val="22"/>
              </w:rPr>
              <w:t xml:space="preserve"> </w:t>
            </w:r>
            <w:proofErr w:type="spellStart"/>
            <w:r>
              <w:rPr>
                <w:rFonts w:eastAsia="Calibri"/>
                <w:sz w:val="22"/>
                <w:szCs w:val="22"/>
              </w:rPr>
              <w:t>sign</w:t>
            </w:r>
            <w:proofErr w:type="spellEnd"/>
            <w:r>
              <w:rPr>
                <w:rFonts w:eastAsia="Calibri"/>
                <w:sz w:val="22"/>
                <w:szCs w:val="22"/>
              </w:rPr>
              <w:t xml:space="preserve"> </w:t>
            </w:r>
            <w:proofErr w:type="spellStart"/>
            <w:r>
              <w:rPr>
                <w:rFonts w:eastAsia="Calibri"/>
                <w:sz w:val="22"/>
                <w:szCs w:val="22"/>
              </w:rPr>
              <w:t>the</w:t>
            </w:r>
            <w:proofErr w:type="spellEnd"/>
            <w:r>
              <w:rPr>
                <w:rFonts w:eastAsia="Calibri"/>
                <w:sz w:val="22"/>
                <w:szCs w:val="22"/>
              </w:rPr>
              <w:t xml:space="preserve"> </w:t>
            </w:r>
            <w:proofErr w:type="spellStart"/>
            <w:r>
              <w:rPr>
                <w:rFonts w:eastAsia="Calibri"/>
                <w:sz w:val="22"/>
                <w:szCs w:val="22"/>
              </w:rPr>
              <w:t>Opening</w:t>
            </w:r>
            <w:proofErr w:type="spellEnd"/>
            <w:r>
              <w:rPr>
                <w:rFonts w:eastAsia="Calibri"/>
                <w:sz w:val="22"/>
                <w:szCs w:val="22"/>
              </w:rPr>
              <w:t xml:space="preserve"> Minutes. For </w:t>
            </w:r>
            <w:proofErr w:type="spellStart"/>
            <w:r>
              <w:rPr>
                <w:rFonts w:eastAsia="Calibri"/>
                <w:sz w:val="22"/>
                <w:szCs w:val="22"/>
              </w:rPr>
              <w:t>verification</w:t>
            </w:r>
            <w:proofErr w:type="spellEnd"/>
            <w:r>
              <w:rPr>
                <w:rFonts w:eastAsia="Calibri"/>
                <w:sz w:val="22"/>
                <w:szCs w:val="22"/>
              </w:rPr>
              <w:t xml:space="preserve"> </w:t>
            </w:r>
            <w:proofErr w:type="spellStart"/>
            <w:r>
              <w:rPr>
                <w:rFonts w:eastAsia="Calibri"/>
                <w:sz w:val="22"/>
                <w:szCs w:val="22"/>
              </w:rPr>
              <w:t>purposes</w:t>
            </w:r>
            <w:proofErr w:type="spellEnd"/>
            <w:r>
              <w:rPr>
                <w:rFonts w:eastAsia="Calibri"/>
                <w:sz w:val="22"/>
                <w:szCs w:val="22"/>
              </w:rPr>
              <w:t xml:space="preserve">, </w:t>
            </w:r>
            <w:proofErr w:type="spellStart"/>
            <w:r>
              <w:rPr>
                <w:rFonts w:eastAsia="Calibri"/>
                <w:sz w:val="22"/>
                <w:szCs w:val="22"/>
              </w:rPr>
              <w:t>they</w:t>
            </w:r>
            <w:proofErr w:type="spellEnd"/>
            <w:r>
              <w:rPr>
                <w:rFonts w:eastAsia="Calibri"/>
                <w:sz w:val="22"/>
                <w:szCs w:val="22"/>
              </w:rPr>
              <w:t xml:space="preserve"> </w:t>
            </w:r>
            <w:proofErr w:type="spellStart"/>
            <w:r>
              <w:rPr>
                <w:rFonts w:eastAsia="Calibri"/>
                <w:sz w:val="22"/>
                <w:szCs w:val="22"/>
              </w:rPr>
              <w:t>must</w:t>
            </w:r>
            <w:proofErr w:type="spellEnd"/>
            <w:r>
              <w:rPr>
                <w:rFonts w:eastAsia="Calibri"/>
                <w:sz w:val="22"/>
                <w:szCs w:val="22"/>
              </w:rPr>
              <w:t xml:space="preserve"> </w:t>
            </w:r>
            <w:proofErr w:type="spellStart"/>
            <w:r>
              <w:rPr>
                <w:rFonts w:eastAsia="Calibri"/>
                <w:sz w:val="22"/>
                <w:szCs w:val="22"/>
              </w:rPr>
              <w:t>present</w:t>
            </w:r>
            <w:proofErr w:type="spellEnd"/>
            <w:r>
              <w:rPr>
                <w:rFonts w:eastAsia="Calibri"/>
                <w:sz w:val="22"/>
                <w:szCs w:val="22"/>
              </w:rPr>
              <w:t xml:space="preserve"> a </w:t>
            </w:r>
            <w:proofErr w:type="spellStart"/>
            <w:r>
              <w:rPr>
                <w:rFonts w:eastAsia="Calibri"/>
                <w:sz w:val="22"/>
                <w:szCs w:val="22"/>
              </w:rPr>
              <w:t>photocopy</w:t>
            </w:r>
            <w:proofErr w:type="spellEnd"/>
            <w:r>
              <w:rPr>
                <w:rFonts w:eastAsia="Calibri"/>
                <w:sz w:val="22"/>
                <w:szCs w:val="22"/>
              </w:rPr>
              <w:t xml:space="preserve"> </w:t>
            </w:r>
            <w:proofErr w:type="spellStart"/>
            <w:r>
              <w:rPr>
                <w:rFonts w:eastAsia="Calibri"/>
                <w:sz w:val="22"/>
                <w:szCs w:val="22"/>
              </w:rPr>
              <w:t>of</w:t>
            </w:r>
            <w:proofErr w:type="spellEnd"/>
            <w:r>
              <w:rPr>
                <w:rFonts w:eastAsia="Calibri"/>
                <w:sz w:val="22"/>
                <w:szCs w:val="22"/>
              </w:rPr>
              <w:t xml:space="preserve"> </w:t>
            </w:r>
            <w:proofErr w:type="spellStart"/>
            <w:r>
              <w:rPr>
                <w:rFonts w:eastAsia="Calibri"/>
                <w:sz w:val="22"/>
                <w:szCs w:val="22"/>
              </w:rPr>
              <w:t>their</w:t>
            </w:r>
            <w:proofErr w:type="spellEnd"/>
            <w:r>
              <w:rPr>
                <w:rFonts w:eastAsia="Calibri"/>
                <w:sz w:val="22"/>
                <w:szCs w:val="22"/>
              </w:rPr>
              <w:t xml:space="preserve"> </w:t>
            </w:r>
            <w:proofErr w:type="spellStart"/>
            <w:r>
              <w:rPr>
                <w:rFonts w:eastAsia="Calibri"/>
                <w:sz w:val="22"/>
                <w:szCs w:val="22"/>
              </w:rPr>
              <w:t>National</w:t>
            </w:r>
            <w:proofErr w:type="spellEnd"/>
            <w:r>
              <w:rPr>
                <w:rFonts w:eastAsia="Calibri"/>
                <w:sz w:val="22"/>
                <w:szCs w:val="22"/>
              </w:rPr>
              <w:t xml:space="preserve"> </w:t>
            </w:r>
            <w:proofErr w:type="spellStart"/>
            <w:r>
              <w:rPr>
                <w:rFonts w:eastAsia="Calibri"/>
                <w:sz w:val="22"/>
                <w:szCs w:val="22"/>
              </w:rPr>
              <w:t>Identity</w:t>
            </w:r>
            <w:proofErr w:type="spellEnd"/>
            <w:r>
              <w:rPr>
                <w:rFonts w:eastAsia="Calibri"/>
                <w:sz w:val="22"/>
                <w:szCs w:val="22"/>
              </w:rPr>
              <w:t xml:space="preserve"> Card </w:t>
            </w:r>
            <w:proofErr w:type="spellStart"/>
            <w:r>
              <w:rPr>
                <w:rFonts w:eastAsia="Calibri"/>
                <w:sz w:val="22"/>
                <w:szCs w:val="22"/>
              </w:rPr>
              <w:t>when</w:t>
            </w:r>
            <w:proofErr w:type="spellEnd"/>
            <w:r>
              <w:rPr>
                <w:rFonts w:eastAsia="Calibri"/>
                <w:sz w:val="22"/>
                <w:szCs w:val="22"/>
              </w:rPr>
              <w:t xml:space="preserve"> </w:t>
            </w:r>
            <w:proofErr w:type="spellStart"/>
            <w:r>
              <w:rPr>
                <w:rFonts w:eastAsia="Calibri"/>
                <w:sz w:val="22"/>
                <w:szCs w:val="22"/>
              </w:rPr>
              <w:t>submitting</w:t>
            </w:r>
            <w:proofErr w:type="spellEnd"/>
            <w:r>
              <w:rPr>
                <w:rFonts w:eastAsia="Calibri"/>
                <w:sz w:val="22"/>
                <w:szCs w:val="22"/>
              </w:rPr>
              <w:t xml:space="preserve"> </w:t>
            </w:r>
            <w:proofErr w:type="spellStart"/>
            <w:r>
              <w:rPr>
                <w:rFonts w:eastAsia="Calibri"/>
                <w:sz w:val="22"/>
                <w:szCs w:val="22"/>
              </w:rPr>
              <w:t>their</w:t>
            </w:r>
            <w:proofErr w:type="spellEnd"/>
            <w:r>
              <w:rPr>
                <w:rFonts w:eastAsia="Calibri"/>
                <w:sz w:val="22"/>
                <w:szCs w:val="22"/>
              </w:rPr>
              <w:t xml:space="preserve"> </w:t>
            </w:r>
            <w:proofErr w:type="spellStart"/>
            <w:r>
              <w:rPr>
                <w:rFonts w:eastAsia="Calibri"/>
                <w:sz w:val="22"/>
                <w:szCs w:val="22"/>
              </w:rPr>
              <w:t>bid</w:t>
            </w:r>
            <w:proofErr w:type="spellEnd"/>
            <w:r>
              <w:rPr>
                <w:rFonts w:eastAsia="Calibri"/>
                <w:sz w:val="22"/>
                <w:szCs w:val="22"/>
              </w:rPr>
              <w:t xml:space="preserve"> </w:t>
            </w:r>
            <w:proofErr w:type="spellStart"/>
            <w:r>
              <w:rPr>
                <w:rFonts w:eastAsia="Calibri"/>
                <w:sz w:val="22"/>
                <w:szCs w:val="22"/>
              </w:rPr>
              <w:t>to</w:t>
            </w:r>
            <w:proofErr w:type="spellEnd"/>
            <w:r>
              <w:rPr>
                <w:rFonts w:eastAsia="Calibri"/>
                <w:sz w:val="22"/>
                <w:szCs w:val="22"/>
              </w:rPr>
              <w:t xml:space="preserve"> </w:t>
            </w:r>
            <w:proofErr w:type="spellStart"/>
            <w:r>
              <w:rPr>
                <w:rFonts w:eastAsia="Calibri"/>
                <w:sz w:val="22"/>
                <w:szCs w:val="22"/>
              </w:rPr>
              <w:t>the</w:t>
            </w:r>
            <w:proofErr w:type="spellEnd"/>
            <w:r>
              <w:rPr>
                <w:rFonts w:eastAsia="Calibri"/>
                <w:sz w:val="22"/>
                <w:szCs w:val="22"/>
              </w:rPr>
              <w:t xml:space="preserve"> Bidding Office.</w:t>
            </w:r>
          </w:p>
        </w:tc>
      </w:tr>
      <w:tr w:rsidR="00E255F4" w14:paraId="128FDC70" w14:textId="77777777">
        <w:tc>
          <w:tcPr>
            <w:tcW w:w="730" w:type="dxa"/>
            <w:tcBorders>
              <w:top w:val="single" w:sz="4" w:space="0" w:color="000000"/>
              <w:left w:val="single" w:sz="4" w:space="0" w:color="000000"/>
              <w:bottom w:val="single" w:sz="4" w:space="0" w:color="000000"/>
              <w:right w:val="single" w:sz="4" w:space="0" w:color="000000"/>
            </w:tcBorders>
          </w:tcPr>
          <w:p w14:paraId="76C5E366" w14:textId="77777777" w:rsidR="00E255F4" w:rsidRDefault="00000000">
            <w:pPr>
              <w:ind w:right="-36"/>
              <w:rPr>
                <w:rFonts w:eastAsia="Palatino Linotype"/>
                <w:b/>
                <w:sz w:val="22"/>
                <w:szCs w:val="22"/>
                <w:lang w:val="es-ES"/>
              </w:rPr>
            </w:pPr>
            <w:r>
              <w:rPr>
                <w:rFonts w:eastAsia="Palatino Linotype"/>
                <w:b/>
                <w:sz w:val="22"/>
                <w:szCs w:val="22"/>
                <w:lang w:val="es-ES"/>
              </w:rPr>
              <w:t>13.2</w:t>
            </w:r>
          </w:p>
        </w:tc>
        <w:tc>
          <w:tcPr>
            <w:tcW w:w="9048" w:type="dxa"/>
            <w:tcBorders>
              <w:top w:val="single" w:sz="4" w:space="0" w:color="000000"/>
              <w:left w:val="single" w:sz="4" w:space="0" w:color="000000"/>
              <w:bottom w:val="single" w:sz="4" w:space="0" w:color="000000"/>
              <w:right w:val="single" w:sz="4" w:space="0" w:color="000000"/>
            </w:tcBorders>
          </w:tcPr>
          <w:p w14:paraId="20B1B877" w14:textId="77777777" w:rsidR="00E255F4" w:rsidRDefault="00000000">
            <w:pPr>
              <w:pStyle w:val="Default"/>
              <w:jc w:val="both"/>
            </w:pPr>
            <w:proofErr w:type="spellStart"/>
            <w:r>
              <w:rPr>
                <w:rFonts w:ascii="Times New Roman" w:hAnsi="Times New Roman" w:cs="Times New Roman"/>
                <w:b/>
                <w:bCs/>
                <w:sz w:val="22"/>
                <w:szCs w:val="22"/>
              </w:rPr>
              <w:t>Admissibility</w:t>
            </w:r>
            <w:proofErr w:type="spellEnd"/>
            <w:r>
              <w:rPr>
                <w:rFonts w:ascii="Times New Roman" w:hAnsi="Times New Roman" w:cs="Times New Roman"/>
                <w:b/>
                <w:bCs/>
                <w:sz w:val="22"/>
                <w:szCs w:val="22"/>
              </w:rPr>
              <w:t xml:space="preserve"> </w:t>
            </w:r>
            <w:proofErr w:type="spellStart"/>
            <w:r>
              <w:rPr>
                <w:rFonts w:ascii="Times New Roman" w:hAnsi="Times New Roman" w:cs="Times New Roman"/>
                <w:b/>
                <w:bCs/>
                <w:sz w:val="22"/>
                <w:szCs w:val="22"/>
              </w:rPr>
              <w:t>of</w:t>
            </w:r>
            <w:proofErr w:type="spellEnd"/>
            <w:r>
              <w:rPr>
                <w:rFonts w:ascii="Times New Roman" w:hAnsi="Times New Roman" w:cs="Times New Roman"/>
                <w:b/>
                <w:bCs/>
                <w:sz w:val="22"/>
                <w:szCs w:val="22"/>
              </w:rPr>
              <w:t xml:space="preserve"> </w:t>
            </w:r>
            <w:proofErr w:type="spellStart"/>
            <w:r>
              <w:rPr>
                <w:rFonts w:ascii="Times New Roman" w:hAnsi="Times New Roman" w:cs="Times New Roman"/>
                <w:b/>
                <w:bCs/>
                <w:sz w:val="22"/>
                <w:szCs w:val="22"/>
              </w:rPr>
              <w:t>offers</w:t>
            </w:r>
            <w:proofErr w:type="spellEnd"/>
          </w:p>
          <w:p w14:paraId="5CFE832C" w14:textId="77777777" w:rsidR="00E255F4" w:rsidRDefault="00000000">
            <w:pPr>
              <w:pStyle w:val="Default"/>
              <w:spacing w:line="360" w:lineRule="auto"/>
              <w:jc w:val="both"/>
              <w:rPr>
                <w:rFonts w:ascii="Times New Roman" w:hAnsi="Times New Roman" w:cs="Times New Roman"/>
                <w:bCs/>
                <w:sz w:val="22"/>
                <w:szCs w:val="22"/>
              </w:rPr>
            </w:pPr>
            <w:proofErr w:type="spellStart"/>
            <w:r>
              <w:rPr>
                <w:rFonts w:ascii="Times New Roman" w:hAnsi="Times New Roman" w:cs="Times New Roman"/>
                <w:bCs/>
                <w:sz w:val="22"/>
                <w:szCs w:val="22"/>
              </w:rPr>
              <w:t>It</w:t>
            </w:r>
            <w:proofErr w:type="spellEnd"/>
            <w:r>
              <w:rPr>
                <w:rFonts w:ascii="Times New Roman" w:hAnsi="Times New Roman" w:cs="Times New Roman"/>
                <w:bCs/>
                <w:sz w:val="22"/>
                <w:szCs w:val="22"/>
              </w:rPr>
              <w:t xml:space="preserve"> </w:t>
            </w:r>
            <w:proofErr w:type="spellStart"/>
            <w:r>
              <w:rPr>
                <w:rFonts w:ascii="Times New Roman" w:hAnsi="Times New Roman" w:cs="Times New Roman"/>
                <w:bCs/>
                <w:sz w:val="22"/>
                <w:szCs w:val="22"/>
              </w:rPr>
              <w:t>is</w:t>
            </w:r>
            <w:proofErr w:type="spellEnd"/>
            <w:r>
              <w:rPr>
                <w:rFonts w:ascii="Times New Roman" w:hAnsi="Times New Roman" w:cs="Times New Roman"/>
                <w:bCs/>
                <w:sz w:val="22"/>
                <w:szCs w:val="22"/>
              </w:rPr>
              <w:t xml:space="preserve"> </w:t>
            </w:r>
            <w:proofErr w:type="spellStart"/>
            <w:r>
              <w:rPr>
                <w:rFonts w:ascii="Times New Roman" w:hAnsi="Times New Roman" w:cs="Times New Roman"/>
                <w:bCs/>
                <w:sz w:val="22"/>
                <w:szCs w:val="22"/>
              </w:rPr>
              <w:t>added</w:t>
            </w:r>
            <w:proofErr w:type="spellEnd"/>
            <w:r>
              <w:rPr>
                <w:rFonts w:ascii="Times New Roman" w:hAnsi="Times New Roman" w:cs="Times New Roman"/>
                <w:bCs/>
                <w:sz w:val="22"/>
                <w:szCs w:val="22"/>
              </w:rPr>
              <w:t>:</w:t>
            </w:r>
          </w:p>
          <w:p w14:paraId="2AFB15F0" w14:textId="77777777" w:rsidR="00E255F4" w:rsidRDefault="00E255F4">
            <w:pPr>
              <w:pStyle w:val="Default"/>
              <w:spacing w:after="240"/>
              <w:jc w:val="both"/>
              <w:rPr>
                <w:rFonts w:ascii="Times New Roman" w:hAnsi="Times New Roman" w:cs="Times New Roman"/>
                <w:bCs/>
                <w:sz w:val="22"/>
                <w:szCs w:val="22"/>
              </w:rPr>
            </w:pPr>
          </w:p>
          <w:p w14:paraId="7D8561B0" w14:textId="77777777" w:rsidR="00E255F4" w:rsidRDefault="00000000">
            <w:pPr>
              <w:pStyle w:val="Default"/>
              <w:spacing w:after="240"/>
              <w:jc w:val="both"/>
              <w:rPr>
                <w:rFonts w:ascii="Times New Roman" w:hAnsi="Times New Roman" w:cs="Times New Roman"/>
                <w:sz w:val="22"/>
                <w:szCs w:val="22"/>
              </w:rPr>
            </w:pPr>
            <w:r>
              <w:rPr>
                <w:rFonts w:ascii="Times New Roman" w:hAnsi="Times New Roman" w:cs="Times New Roman"/>
                <w:sz w:val="22"/>
                <w:szCs w:val="22"/>
              </w:rPr>
              <w:t xml:space="preserve">For </w:t>
            </w:r>
            <w:proofErr w:type="spellStart"/>
            <w:r>
              <w:rPr>
                <w:rFonts w:ascii="Times New Roman" w:hAnsi="Times New Roman" w:cs="Times New Roman"/>
                <w:sz w:val="22"/>
                <w:szCs w:val="22"/>
              </w:rPr>
              <w:t>the</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purposes</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of</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this</w:t>
            </w:r>
            <w:proofErr w:type="spellEnd"/>
            <w:r>
              <w:rPr>
                <w:rFonts w:ascii="Times New Roman" w:hAnsi="Times New Roman" w:cs="Times New Roman"/>
                <w:sz w:val="22"/>
                <w:szCs w:val="22"/>
              </w:rPr>
              <w:t xml:space="preserve"> tender, </w:t>
            </w:r>
            <w:proofErr w:type="spellStart"/>
            <w:r>
              <w:rPr>
                <w:rFonts w:ascii="Times New Roman" w:hAnsi="Times New Roman" w:cs="Times New Roman"/>
                <w:sz w:val="22"/>
                <w:szCs w:val="22"/>
              </w:rPr>
              <w:t>valid</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offers</w:t>
            </w:r>
            <w:proofErr w:type="spellEnd"/>
            <w:r>
              <w:rPr>
                <w:rFonts w:ascii="Times New Roman" w:hAnsi="Times New Roman" w:cs="Times New Roman"/>
                <w:sz w:val="22"/>
                <w:szCs w:val="22"/>
              </w:rPr>
              <w:t xml:space="preserve"> are </w:t>
            </w:r>
            <w:proofErr w:type="spellStart"/>
            <w:r>
              <w:rPr>
                <w:rFonts w:ascii="Times New Roman" w:hAnsi="Times New Roman" w:cs="Times New Roman"/>
                <w:sz w:val="22"/>
                <w:szCs w:val="22"/>
              </w:rPr>
              <w:t>defined</w:t>
            </w:r>
            <w:proofErr w:type="spellEnd"/>
            <w:r>
              <w:rPr>
                <w:rFonts w:ascii="Times New Roman" w:hAnsi="Times New Roman" w:cs="Times New Roman"/>
                <w:sz w:val="22"/>
                <w:szCs w:val="22"/>
              </w:rPr>
              <w:t xml:space="preserve"> as </w:t>
            </w:r>
            <w:proofErr w:type="spellStart"/>
            <w:r>
              <w:rPr>
                <w:rFonts w:ascii="Times New Roman" w:hAnsi="Times New Roman" w:cs="Times New Roman"/>
                <w:sz w:val="22"/>
                <w:szCs w:val="22"/>
              </w:rPr>
              <w:t>those</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offers</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that</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conform</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to</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the</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required</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object</w:t>
            </w:r>
            <w:proofErr w:type="spellEnd"/>
            <w:r>
              <w:rPr>
                <w:rFonts w:ascii="Times New Roman" w:hAnsi="Times New Roman" w:cs="Times New Roman"/>
                <w:sz w:val="22"/>
                <w:szCs w:val="22"/>
              </w:rPr>
              <w:t xml:space="preserve"> in </w:t>
            </w:r>
            <w:proofErr w:type="spellStart"/>
            <w:r>
              <w:rPr>
                <w:rFonts w:ascii="Times New Roman" w:hAnsi="Times New Roman" w:cs="Times New Roman"/>
                <w:sz w:val="22"/>
                <w:szCs w:val="22"/>
              </w:rPr>
              <w:t>accordance</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with</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Article</w:t>
            </w:r>
            <w:proofErr w:type="spellEnd"/>
            <w:r>
              <w:rPr>
                <w:rFonts w:ascii="Times New Roman" w:hAnsi="Times New Roman" w:cs="Times New Roman"/>
                <w:sz w:val="22"/>
                <w:szCs w:val="22"/>
              </w:rPr>
              <w:t xml:space="preserve"> 10.2 </w:t>
            </w:r>
            <w:proofErr w:type="spellStart"/>
            <w:r>
              <w:rPr>
                <w:rFonts w:ascii="Times New Roman" w:hAnsi="Times New Roman" w:cs="Times New Roman"/>
                <w:sz w:val="22"/>
                <w:szCs w:val="22"/>
              </w:rPr>
              <w:t>of</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these</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Specifications</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have</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complied</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with</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the</w:t>
            </w:r>
            <w:proofErr w:type="spellEnd"/>
            <w:r>
              <w:rPr>
                <w:rFonts w:ascii="Times New Roman" w:hAnsi="Times New Roman" w:cs="Times New Roman"/>
                <w:sz w:val="22"/>
                <w:szCs w:val="22"/>
              </w:rPr>
              <w:t xml:space="preserve"> formal </w:t>
            </w:r>
            <w:proofErr w:type="spellStart"/>
            <w:r>
              <w:rPr>
                <w:rFonts w:ascii="Times New Roman" w:hAnsi="Times New Roman" w:cs="Times New Roman"/>
                <w:sz w:val="22"/>
                <w:szCs w:val="22"/>
              </w:rPr>
              <w:t>requirements</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of</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submission</w:t>
            </w:r>
            <w:proofErr w:type="spellEnd"/>
            <w:r>
              <w:rPr>
                <w:rFonts w:ascii="Times New Roman" w:hAnsi="Times New Roman" w:cs="Times New Roman"/>
                <w:sz w:val="22"/>
                <w:szCs w:val="22"/>
              </w:rPr>
              <w:t xml:space="preserve"> and </w:t>
            </w:r>
            <w:proofErr w:type="spellStart"/>
            <w:r>
              <w:rPr>
                <w:rFonts w:ascii="Times New Roman" w:hAnsi="Times New Roman" w:cs="Times New Roman"/>
                <w:sz w:val="22"/>
                <w:szCs w:val="22"/>
              </w:rPr>
              <w:t>those</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stipulated</w:t>
            </w:r>
            <w:proofErr w:type="spellEnd"/>
            <w:r>
              <w:rPr>
                <w:rFonts w:ascii="Times New Roman" w:hAnsi="Times New Roman" w:cs="Times New Roman"/>
                <w:sz w:val="22"/>
                <w:szCs w:val="22"/>
              </w:rPr>
              <w:t xml:space="preserve"> in </w:t>
            </w:r>
            <w:proofErr w:type="spellStart"/>
            <w:r>
              <w:rPr>
                <w:rFonts w:ascii="Times New Roman" w:hAnsi="Times New Roman" w:cs="Times New Roman"/>
                <w:sz w:val="22"/>
                <w:szCs w:val="22"/>
              </w:rPr>
              <w:t>Articles</w:t>
            </w:r>
            <w:proofErr w:type="spellEnd"/>
            <w:r>
              <w:rPr>
                <w:rFonts w:ascii="Times New Roman" w:hAnsi="Times New Roman" w:cs="Times New Roman"/>
                <w:sz w:val="22"/>
                <w:szCs w:val="22"/>
              </w:rPr>
              <w:t xml:space="preserve"> 9.1 a), 9.1 b), 9.1 c) and 9.2, </w:t>
            </w:r>
            <w:proofErr w:type="spellStart"/>
            <w:r>
              <w:rPr>
                <w:rFonts w:ascii="Times New Roman" w:hAnsi="Times New Roman" w:cs="Times New Roman"/>
                <w:sz w:val="22"/>
                <w:szCs w:val="22"/>
              </w:rPr>
              <w:t>have</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completed</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the</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Forms</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included</w:t>
            </w:r>
            <w:proofErr w:type="spellEnd"/>
            <w:r>
              <w:rPr>
                <w:rFonts w:ascii="Times New Roman" w:hAnsi="Times New Roman" w:cs="Times New Roman"/>
                <w:sz w:val="22"/>
                <w:szCs w:val="22"/>
              </w:rPr>
              <w:t xml:space="preserve"> in </w:t>
            </w:r>
            <w:proofErr w:type="spellStart"/>
            <w:r>
              <w:rPr>
                <w:rFonts w:ascii="Times New Roman" w:hAnsi="Times New Roman" w:cs="Times New Roman"/>
                <w:sz w:val="22"/>
                <w:szCs w:val="22"/>
              </w:rPr>
              <w:t>the</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Annexes</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of</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these</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Specifications</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have</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complied</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with</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all</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the</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technical</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requirements</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demanded</w:t>
            </w:r>
            <w:proofErr w:type="spellEnd"/>
            <w:r>
              <w:rPr>
                <w:rFonts w:ascii="Times New Roman" w:hAnsi="Times New Roman" w:cs="Times New Roman"/>
                <w:sz w:val="22"/>
                <w:szCs w:val="22"/>
              </w:rPr>
              <w:t xml:space="preserve"> in </w:t>
            </w:r>
            <w:proofErr w:type="spellStart"/>
            <w:r>
              <w:rPr>
                <w:rFonts w:ascii="Times New Roman" w:hAnsi="Times New Roman" w:cs="Times New Roman"/>
                <w:sz w:val="22"/>
                <w:szCs w:val="22"/>
              </w:rPr>
              <w:t>Annex</w:t>
            </w:r>
            <w:proofErr w:type="spellEnd"/>
            <w:r>
              <w:rPr>
                <w:rFonts w:ascii="Times New Roman" w:hAnsi="Times New Roman" w:cs="Times New Roman"/>
                <w:sz w:val="22"/>
                <w:szCs w:val="22"/>
              </w:rPr>
              <w:t xml:space="preserve"> VII (</w:t>
            </w:r>
            <w:proofErr w:type="spellStart"/>
            <w:r>
              <w:rPr>
                <w:rFonts w:ascii="Times New Roman" w:hAnsi="Times New Roman" w:cs="Times New Roman"/>
                <w:sz w:val="22"/>
                <w:szCs w:val="22"/>
              </w:rPr>
              <w:t>Technical</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Specifications</w:t>
            </w:r>
            <w:proofErr w:type="spellEnd"/>
            <w:r>
              <w:rPr>
                <w:rFonts w:ascii="Times New Roman" w:hAnsi="Times New Roman" w:cs="Times New Roman"/>
                <w:sz w:val="22"/>
                <w:szCs w:val="22"/>
              </w:rPr>
              <w:t xml:space="preserve">) and </w:t>
            </w:r>
            <w:proofErr w:type="spellStart"/>
            <w:r>
              <w:rPr>
                <w:rFonts w:ascii="Times New Roman" w:hAnsi="Times New Roman" w:cs="Times New Roman"/>
                <w:sz w:val="22"/>
                <w:szCs w:val="22"/>
              </w:rPr>
              <w:t>have</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passed</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the</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verifications</w:t>
            </w:r>
            <w:proofErr w:type="spellEnd"/>
            <w:r>
              <w:rPr>
                <w:rFonts w:ascii="Times New Roman" w:hAnsi="Times New Roman" w:cs="Times New Roman"/>
                <w:sz w:val="22"/>
                <w:szCs w:val="22"/>
              </w:rPr>
              <w:t xml:space="preserve"> and </w:t>
            </w:r>
            <w:proofErr w:type="spellStart"/>
            <w:r>
              <w:rPr>
                <w:rFonts w:ascii="Times New Roman" w:hAnsi="Times New Roman" w:cs="Times New Roman"/>
                <w:sz w:val="22"/>
                <w:szCs w:val="22"/>
              </w:rPr>
              <w:t>qualification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tests</w:t>
            </w:r>
            <w:proofErr w:type="spellEnd"/>
            <w:r>
              <w:rPr>
                <w:rFonts w:ascii="Times New Roman" w:hAnsi="Times New Roman" w:cs="Times New Roman"/>
                <w:sz w:val="22"/>
                <w:szCs w:val="22"/>
              </w:rPr>
              <w:t xml:space="preserve"> in </w:t>
            </w:r>
            <w:proofErr w:type="spellStart"/>
            <w:r>
              <w:rPr>
                <w:rFonts w:ascii="Times New Roman" w:hAnsi="Times New Roman" w:cs="Times New Roman"/>
                <w:sz w:val="22"/>
                <w:szCs w:val="22"/>
              </w:rPr>
              <w:t>accordance</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with</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the</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provisions</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of</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Chapters</w:t>
            </w:r>
            <w:proofErr w:type="spellEnd"/>
            <w:r>
              <w:rPr>
                <w:rFonts w:ascii="Times New Roman" w:hAnsi="Times New Roman" w:cs="Times New Roman"/>
                <w:sz w:val="22"/>
                <w:szCs w:val="22"/>
              </w:rPr>
              <w:t xml:space="preserve"> 10 and 11</w:t>
            </w:r>
            <w:r>
              <w:rPr>
                <w:rFonts w:ascii="Times New Roman" w:hAnsi="Times New Roman" w:cs="Times New Roman"/>
                <w:color w:val="FF0000"/>
                <w:sz w:val="22"/>
                <w:szCs w:val="22"/>
              </w:rPr>
              <w:t xml:space="preserve"> </w:t>
            </w:r>
            <w:proofErr w:type="spellStart"/>
            <w:r>
              <w:rPr>
                <w:rFonts w:ascii="Times New Roman" w:hAnsi="Times New Roman" w:cs="Times New Roman"/>
                <w:sz w:val="22"/>
                <w:szCs w:val="22"/>
              </w:rPr>
              <w:t>of</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Annex</w:t>
            </w:r>
            <w:proofErr w:type="spellEnd"/>
            <w:r>
              <w:rPr>
                <w:rFonts w:ascii="Times New Roman" w:hAnsi="Times New Roman" w:cs="Times New Roman"/>
                <w:sz w:val="22"/>
                <w:szCs w:val="22"/>
              </w:rPr>
              <w:t xml:space="preserve"> VII (</w:t>
            </w:r>
            <w:proofErr w:type="spellStart"/>
            <w:r>
              <w:rPr>
                <w:rFonts w:ascii="Times New Roman" w:hAnsi="Times New Roman" w:cs="Times New Roman"/>
                <w:sz w:val="22"/>
                <w:szCs w:val="22"/>
              </w:rPr>
              <w:t>Technical</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Specifications</w:t>
            </w:r>
            <w:proofErr w:type="spellEnd"/>
            <w:r>
              <w:rPr>
                <w:rFonts w:ascii="Times New Roman" w:hAnsi="Times New Roman" w:cs="Times New Roman"/>
                <w:sz w:val="22"/>
                <w:szCs w:val="22"/>
              </w:rPr>
              <w:t>).</w:t>
            </w:r>
          </w:p>
          <w:p w14:paraId="0101A469" w14:textId="77777777" w:rsidR="00E255F4" w:rsidRDefault="00000000">
            <w:pPr>
              <w:autoSpaceDE w:val="0"/>
              <w:jc w:val="both"/>
            </w:pPr>
            <w:proofErr w:type="spellStart"/>
            <w:r>
              <w:rPr>
                <w:rFonts w:eastAsia="Calibri"/>
                <w:b/>
                <w:sz w:val="22"/>
                <w:szCs w:val="22"/>
                <w:lang w:val="es-ES"/>
              </w:rPr>
              <w:t>Providing</w:t>
            </w:r>
            <w:proofErr w:type="spellEnd"/>
            <w:r>
              <w:rPr>
                <w:rFonts w:eastAsia="Calibri"/>
                <w:b/>
                <w:sz w:val="22"/>
                <w:szCs w:val="22"/>
                <w:lang w:val="es-ES"/>
              </w:rPr>
              <w:t xml:space="preserve"> </w:t>
            </w:r>
            <w:proofErr w:type="spellStart"/>
            <w:r>
              <w:rPr>
                <w:rFonts w:eastAsia="Calibri"/>
                <w:b/>
                <w:sz w:val="22"/>
                <w:szCs w:val="22"/>
                <w:lang w:val="es-ES"/>
              </w:rPr>
              <w:t>the</w:t>
            </w:r>
            <w:proofErr w:type="spellEnd"/>
            <w:r>
              <w:rPr>
                <w:rFonts w:eastAsia="Calibri"/>
                <w:b/>
                <w:sz w:val="22"/>
                <w:szCs w:val="22"/>
                <w:lang w:val="es-ES"/>
              </w:rPr>
              <w:t xml:space="preserve"> </w:t>
            </w:r>
            <w:proofErr w:type="spellStart"/>
            <w:r>
              <w:rPr>
                <w:rFonts w:eastAsia="Calibri"/>
                <w:b/>
                <w:sz w:val="22"/>
                <w:szCs w:val="22"/>
                <w:lang w:val="es-ES"/>
              </w:rPr>
              <w:t>information</w:t>
            </w:r>
            <w:proofErr w:type="spellEnd"/>
            <w:r>
              <w:rPr>
                <w:rFonts w:eastAsia="Calibri"/>
                <w:b/>
                <w:sz w:val="22"/>
                <w:szCs w:val="22"/>
                <w:lang w:val="es-ES"/>
              </w:rPr>
              <w:t xml:space="preserve"> </w:t>
            </w:r>
            <w:proofErr w:type="spellStart"/>
            <w:r>
              <w:rPr>
                <w:rFonts w:eastAsia="Calibri"/>
                <w:b/>
                <w:sz w:val="22"/>
                <w:szCs w:val="22"/>
                <w:lang w:val="es-ES"/>
              </w:rPr>
              <w:t>required</w:t>
            </w:r>
            <w:proofErr w:type="spellEnd"/>
            <w:r>
              <w:rPr>
                <w:rFonts w:eastAsia="Calibri"/>
                <w:b/>
                <w:sz w:val="22"/>
                <w:szCs w:val="22"/>
                <w:lang w:val="es-ES"/>
              </w:rPr>
              <w:t xml:space="preserve"> in </w:t>
            </w:r>
            <w:proofErr w:type="spellStart"/>
            <w:r>
              <w:rPr>
                <w:rFonts w:eastAsia="Calibri"/>
                <w:b/>
                <w:sz w:val="22"/>
                <w:szCs w:val="22"/>
                <w:lang w:val="es-ES"/>
              </w:rPr>
              <w:t>the</w:t>
            </w:r>
            <w:proofErr w:type="spellEnd"/>
            <w:r>
              <w:rPr>
                <w:rFonts w:eastAsia="Calibri"/>
                <w:b/>
                <w:sz w:val="22"/>
                <w:szCs w:val="22"/>
                <w:lang w:val="es-ES"/>
              </w:rPr>
              <w:t xml:space="preserve"> </w:t>
            </w:r>
            <w:proofErr w:type="spellStart"/>
            <w:r>
              <w:rPr>
                <w:rFonts w:eastAsia="Calibri"/>
                <w:b/>
                <w:sz w:val="22"/>
                <w:szCs w:val="22"/>
                <w:lang w:val="es-ES"/>
              </w:rPr>
              <w:t>Shipping</w:t>
            </w:r>
            <w:proofErr w:type="spellEnd"/>
            <w:r>
              <w:rPr>
                <w:rFonts w:eastAsia="Calibri"/>
                <w:b/>
                <w:sz w:val="22"/>
                <w:szCs w:val="22"/>
                <w:lang w:val="es-ES"/>
              </w:rPr>
              <w:t xml:space="preserve"> Form as </w:t>
            </w:r>
            <w:proofErr w:type="spellStart"/>
            <w:r>
              <w:rPr>
                <w:rFonts w:eastAsia="Calibri"/>
                <w:b/>
                <w:sz w:val="22"/>
                <w:szCs w:val="22"/>
                <w:lang w:val="es-ES"/>
              </w:rPr>
              <w:t>mandatory</w:t>
            </w:r>
            <w:proofErr w:type="spellEnd"/>
            <w:r>
              <w:rPr>
                <w:rFonts w:eastAsia="Calibri"/>
                <w:b/>
                <w:sz w:val="22"/>
                <w:szCs w:val="22"/>
                <w:lang w:val="es-ES"/>
              </w:rPr>
              <w:t xml:space="preserve"> data (</w:t>
            </w:r>
            <w:proofErr w:type="spellStart"/>
            <w:r>
              <w:rPr>
                <w:rFonts w:eastAsia="Calibri"/>
                <w:b/>
                <w:sz w:val="22"/>
                <w:szCs w:val="22"/>
                <w:lang w:val="es-ES"/>
              </w:rPr>
              <w:t>Annex</w:t>
            </w:r>
            <w:proofErr w:type="spellEnd"/>
            <w:r>
              <w:rPr>
                <w:rFonts w:eastAsia="Calibri"/>
                <w:b/>
                <w:sz w:val="22"/>
                <w:szCs w:val="22"/>
                <w:lang w:val="es-ES"/>
              </w:rPr>
              <w:t xml:space="preserve"> VI) </w:t>
            </w:r>
            <w:proofErr w:type="spellStart"/>
            <w:r>
              <w:rPr>
                <w:rFonts w:eastAsia="Calibri"/>
                <w:b/>
                <w:sz w:val="22"/>
                <w:szCs w:val="22"/>
                <w:lang w:val="es-ES"/>
              </w:rPr>
              <w:t>is</w:t>
            </w:r>
            <w:proofErr w:type="spellEnd"/>
            <w:r>
              <w:rPr>
                <w:rFonts w:eastAsia="Calibri"/>
                <w:b/>
                <w:sz w:val="22"/>
                <w:szCs w:val="22"/>
                <w:lang w:val="es-ES"/>
              </w:rPr>
              <w:t xml:space="preserve"> </w:t>
            </w:r>
            <w:proofErr w:type="spellStart"/>
            <w:r>
              <w:rPr>
                <w:rFonts w:eastAsia="Calibri"/>
                <w:b/>
                <w:sz w:val="22"/>
                <w:szCs w:val="22"/>
                <w:lang w:val="es-ES"/>
              </w:rPr>
              <w:t>essential</w:t>
            </w:r>
            <w:proofErr w:type="spellEnd"/>
            <w:r>
              <w:rPr>
                <w:rFonts w:eastAsia="Calibri"/>
                <w:b/>
                <w:sz w:val="22"/>
                <w:szCs w:val="22"/>
                <w:lang w:val="es-ES"/>
              </w:rPr>
              <w:t xml:space="preserve"> </w:t>
            </w:r>
            <w:proofErr w:type="spellStart"/>
            <w:r>
              <w:rPr>
                <w:rFonts w:eastAsia="Calibri"/>
                <w:b/>
                <w:sz w:val="22"/>
                <w:szCs w:val="22"/>
                <w:lang w:val="es-ES"/>
              </w:rPr>
              <w:t>for</w:t>
            </w:r>
            <w:proofErr w:type="spellEnd"/>
            <w:r>
              <w:rPr>
                <w:rFonts w:eastAsia="Calibri"/>
                <w:b/>
                <w:sz w:val="22"/>
                <w:szCs w:val="22"/>
                <w:lang w:val="es-ES"/>
              </w:rPr>
              <w:t xml:space="preserve"> </w:t>
            </w:r>
            <w:proofErr w:type="spellStart"/>
            <w:r>
              <w:rPr>
                <w:rFonts w:eastAsia="Calibri"/>
                <w:b/>
                <w:sz w:val="22"/>
                <w:szCs w:val="22"/>
                <w:lang w:val="es-ES"/>
              </w:rPr>
              <w:t>the</w:t>
            </w:r>
            <w:proofErr w:type="spellEnd"/>
            <w:r>
              <w:rPr>
                <w:rFonts w:eastAsia="Calibri"/>
                <w:b/>
                <w:sz w:val="22"/>
                <w:szCs w:val="22"/>
                <w:lang w:val="es-ES"/>
              </w:rPr>
              <w:t xml:space="preserve"> </w:t>
            </w:r>
            <w:proofErr w:type="spellStart"/>
            <w:r>
              <w:rPr>
                <w:rFonts w:eastAsia="Calibri"/>
                <w:b/>
                <w:sz w:val="22"/>
                <w:szCs w:val="22"/>
                <w:lang w:val="es-ES"/>
              </w:rPr>
              <w:t>evaluation</w:t>
            </w:r>
            <w:proofErr w:type="spellEnd"/>
            <w:r>
              <w:rPr>
                <w:rFonts w:eastAsia="Calibri"/>
                <w:b/>
                <w:sz w:val="22"/>
                <w:szCs w:val="22"/>
                <w:lang w:val="es-ES"/>
              </w:rPr>
              <w:t xml:space="preserve"> and </w:t>
            </w:r>
            <w:proofErr w:type="spellStart"/>
            <w:r>
              <w:rPr>
                <w:rFonts w:eastAsia="Calibri"/>
                <w:b/>
                <w:sz w:val="22"/>
                <w:szCs w:val="22"/>
                <w:lang w:val="es-ES"/>
              </w:rPr>
              <w:t>admissibility</w:t>
            </w:r>
            <w:proofErr w:type="spellEnd"/>
            <w:r>
              <w:rPr>
                <w:rFonts w:eastAsia="Calibri"/>
                <w:b/>
                <w:sz w:val="22"/>
                <w:szCs w:val="22"/>
                <w:lang w:val="es-ES"/>
              </w:rPr>
              <w:t xml:space="preserve"> </w:t>
            </w:r>
            <w:proofErr w:type="spellStart"/>
            <w:r>
              <w:rPr>
                <w:rFonts w:eastAsia="Calibri"/>
                <w:b/>
                <w:sz w:val="22"/>
                <w:szCs w:val="22"/>
                <w:lang w:val="es-ES"/>
              </w:rPr>
              <w:t>of</w:t>
            </w:r>
            <w:proofErr w:type="spellEnd"/>
            <w:r>
              <w:rPr>
                <w:rFonts w:eastAsia="Calibri"/>
                <w:b/>
                <w:sz w:val="22"/>
                <w:szCs w:val="22"/>
                <w:lang w:val="es-ES"/>
              </w:rPr>
              <w:t xml:space="preserve"> </w:t>
            </w:r>
            <w:proofErr w:type="spellStart"/>
            <w:r>
              <w:rPr>
                <w:rFonts w:eastAsia="Calibri"/>
                <w:b/>
                <w:sz w:val="22"/>
                <w:szCs w:val="22"/>
                <w:lang w:val="es-ES"/>
              </w:rPr>
              <w:t>the</w:t>
            </w:r>
            <w:proofErr w:type="spellEnd"/>
            <w:r>
              <w:rPr>
                <w:rFonts w:eastAsia="Calibri"/>
                <w:b/>
                <w:sz w:val="22"/>
                <w:szCs w:val="22"/>
                <w:lang w:val="es-ES"/>
              </w:rPr>
              <w:t xml:space="preserve"> </w:t>
            </w:r>
            <w:proofErr w:type="spellStart"/>
            <w:r>
              <w:rPr>
                <w:rFonts w:eastAsia="Calibri"/>
                <w:b/>
                <w:sz w:val="22"/>
                <w:szCs w:val="22"/>
                <w:lang w:val="es-ES"/>
              </w:rPr>
              <w:t>offer</w:t>
            </w:r>
            <w:proofErr w:type="spellEnd"/>
            <w:r>
              <w:rPr>
                <w:rFonts w:eastAsia="Calibri"/>
                <w:b/>
                <w:sz w:val="22"/>
                <w:szCs w:val="22"/>
                <w:lang w:val="es-ES"/>
              </w:rPr>
              <w:t xml:space="preserve">. </w:t>
            </w:r>
            <w:proofErr w:type="spellStart"/>
            <w:r>
              <w:rPr>
                <w:rFonts w:eastAsia="Calibri"/>
                <w:b/>
                <w:sz w:val="22"/>
                <w:szCs w:val="22"/>
                <w:lang w:val="es-ES"/>
              </w:rPr>
              <w:t>Failure</w:t>
            </w:r>
            <w:proofErr w:type="spellEnd"/>
            <w:r>
              <w:rPr>
                <w:rFonts w:eastAsia="Calibri"/>
                <w:b/>
                <w:sz w:val="22"/>
                <w:szCs w:val="22"/>
                <w:lang w:val="es-ES"/>
              </w:rPr>
              <w:t xml:space="preserve"> </w:t>
            </w:r>
            <w:proofErr w:type="spellStart"/>
            <w:r>
              <w:rPr>
                <w:rFonts w:eastAsia="Calibri"/>
                <w:b/>
                <w:sz w:val="22"/>
                <w:szCs w:val="22"/>
                <w:lang w:val="es-ES"/>
              </w:rPr>
              <w:t>to</w:t>
            </w:r>
            <w:proofErr w:type="spellEnd"/>
            <w:r>
              <w:rPr>
                <w:rFonts w:eastAsia="Calibri"/>
                <w:b/>
                <w:sz w:val="22"/>
                <w:szCs w:val="22"/>
                <w:lang w:val="es-ES"/>
              </w:rPr>
              <w:t xml:space="preserve"> </w:t>
            </w:r>
            <w:proofErr w:type="spellStart"/>
            <w:r>
              <w:rPr>
                <w:rFonts w:eastAsia="Calibri"/>
                <w:b/>
                <w:sz w:val="22"/>
                <w:szCs w:val="22"/>
                <w:lang w:val="es-ES"/>
              </w:rPr>
              <w:t>comply</w:t>
            </w:r>
            <w:proofErr w:type="spellEnd"/>
            <w:r>
              <w:rPr>
                <w:rFonts w:eastAsia="Calibri"/>
                <w:b/>
                <w:sz w:val="22"/>
                <w:szCs w:val="22"/>
                <w:lang w:val="es-ES"/>
              </w:rPr>
              <w:t xml:space="preserve"> </w:t>
            </w:r>
            <w:proofErr w:type="spellStart"/>
            <w:r>
              <w:rPr>
                <w:rFonts w:eastAsia="Calibri"/>
                <w:b/>
                <w:sz w:val="22"/>
                <w:szCs w:val="22"/>
                <w:lang w:val="es-ES"/>
              </w:rPr>
              <w:t>with</w:t>
            </w:r>
            <w:proofErr w:type="spellEnd"/>
            <w:r>
              <w:rPr>
                <w:rFonts w:eastAsia="Calibri"/>
                <w:b/>
                <w:sz w:val="22"/>
                <w:szCs w:val="22"/>
                <w:lang w:val="es-ES"/>
              </w:rPr>
              <w:t xml:space="preserve"> </w:t>
            </w:r>
            <w:proofErr w:type="spellStart"/>
            <w:r>
              <w:rPr>
                <w:rFonts w:eastAsia="Calibri"/>
                <w:b/>
                <w:sz w:val="22"/>
                <w:szCs w:val="22"/>
                <w:lang w:val="es-ES"/>
              </w:rPr>
              <w:t>the</w:t>
            </w:r>
            <w:proofErr w:type="spellEnd"/>
            <w:r>
              <w:rPr>
                <w:rFonts w:eastAsia="Calibri"/>
                <w:b/>
                <w:sz w:val="22"/>
                <w:szCs w:val="22"/>
                <w:lang w:val="es-ES"/>
              </w:rPr>
              <w:t xml:space="preserve"> </w:t>
            </w:r>
            <w:proofErr w:type="spellStart"/>
            <w:r>
              <w:rPr>
                <w:rFonts w:eastAsia="Calibri"/>
                <w:b/>
                <w:sz w:val="22"/>
                <w:szCs w:val="22"/>
                <w:lang w:val="es-ES"/>
              </w:rPr>
              <w:t>above</w:t>
            </w:r>
            <w:proofErr w:type="spellEnd"/>
            <w:r>
              <w:rPr>
                <w:rFonts w:eastAsia="Calibri"/>
                <w:b/>
                <w:sz w:val="22"/>
                <w:szCs w:val="22"/>
                <w:lang w:val="es-ES"/>
              </w:rPr>
              <w:t xml:space="preserve"> </w:t>
            </w:r>
            <w:proofErr w:type="spellStart"/>
            <w:r>
              <w:rPr>
                <w:rFonts w:eastAsia="Calibri"/>
                <w:b/>
                <w:sz w:val="22"/>
                <w:szCs w:val="22"/>
                <w:lang w:val="es-ES"/>
              </w:rPr>
              <w:t>requirements</w:t>
            </w:r>
            <w:proofErr w:type="spellEnd"/>
            <w:r>
              <w:rPr>
                <w:rFonts w:eastAsia="Calibri"/>
                <w:b/>
                <w:sz w:val="22"/>
                <w:szCs w:val="22"/>
                <w:lang w:val="es-ES"/>
              </w:rPr>
              <w:t xml:space="preserve"> and </w:t>
            </w:r>
            <w:proofErr w:type="spellStart"/>
            <w:r>
              <w:rPr>
                <w:rFonts w:eastAsia="Calibri"/>
                <w:b/>
                <w:sz w:val="22"/>
                <w:szCs w:val="22"/>
                <w:lang w:val="es-ES"/>
              </w:rPr>
              <w:t>with</w:t>
            </w:r>
            <w:proofErr w:type="spellEnd"/>
            <w:r>
              <w:rPr>
                <w:rFonts w:eastAsia="Calibri"/>
                <w:b/>
                <w:sz w:val="22"/>
                <w:szCs w:val="22"/>
                <w:lang w:val="es-ES"/>
              </w:rPr>
              <w:t xml:space="preserve"> </w:t>
            </w:r>
            <w:proofErr w:type="spellStart"/>
            <w:r>
              <w:rPr>
                <w:rFonts w:eastAsia="Calibri"/>
                <w:b/>
                <w:sz w:val="22"/>
                <w:szCs w:val="22"/>
                <w:lang w:val="es-ES"/>
              </w:rPr>
              <w:t>Article</w:t>
            </w:r>
            <w:proofErr w:type="spellEnd"/>
            <w:r>
              <w:rPr>
                <w:rFonts w:eastAsia="Calibri"/>
                <w:b/>
                <w:sz w:val="22"/>
                <w:szCs w:val="22"/>
                <w:lang w:val="es-ES"/>
              </w:rPr>
              <w:t xml:space="preserve"> 10.3 – </w:t>
            </w:r>
            <w:proofErr w:type="spellStart"/>
            <w:r>
              <w:rPr>
                <w:rFonts w:eastAsia="Calibri"/>
                <w:b/>
                <w:sz w:val="22"/>
                <w:szCs w:val="22"/>
                <w:lang w:val="es-ES"/>
              </w:rPr>
              <w:t>Quotation</w:t>
            </w:r>
            <w:proofErr w:type="spellEnd"/>
            <w:r>
              <w:rPr>
                <w:rFonts w:eastAsia="Calibri"/>
                <w:b/>
                <w:sz w:val="22"/>
                <w:szCs w:val="22"/>
                <w:lang w:val="es-ES"/>
              </w:rPr>
              <w:t xml:space="preserve"> </w:t>
            </w:r>
            <w:proofErr w:type="spellStart"/>
            <w:r>
              <w:rPr>
                <w:rFonts w:eastAsia="Calibri"/>
                <w:b/>
                <w:sz w:val="22"/>
                <w:szCs w:val="22"/>
                <w:lang w:val="es-ES"/>
              </w:rPr>
              <w:t>Methods</w:t>
            </w:r>
            <w:proofErr w:type="spellEnd"/>
            <w:r>
              <w:rPr>
                <w:rFonts w:eastAsia="Calibri"/>
                <w:b/>
                <w:sz w:val="22"/>
                <w:szCs w:val="22"/>
                <w:lang w:val="es-ES"/>
              </w:rPr>
              <w:t xml:space="preserve"> – </w:t>
            </w:r>
            <w:proofErr w:type="spellStart"/>
            <w:r>
              <w:rPr>
                <w:rFonts w:eastAsia="Calibri"/>
                <w:b/>
                <w:sz w:val="22"/>
                <w:szCs w:val="22"/>
                <w:lang w:val="es-ES"/>
              </w:rPr>
              <w:t>Offers</w:t>
            </w:r>
            <w:proofErr w:type="spellEnd"/>
            <w:r>
              <w:rPr>
                <w:rFonts w:eastAsia="Calibri"/>
                <w:b/>
                <w:sz w:val="22"/>
                <w:szCs w:val="22"/>
                <w:lang w:val="es-ES"/>
              </w:rPr>
              <w:t xml:space="preserve"> </w:t>
            </w:r>
            <w:proofErr w:type="spellStart"/>
            <w:r>
              <w:rPr>
                <w:rFonts w:eastAsia="Calibri"/>
                <w:b/>
                <w:sz w:val="22"/>
                <w:szCs w:val="22"/>
                <w:lang w:val="es-ES"/>
              </w:rPr>
              <w:t>for</w:t>
            </w:r>
            <w:proofErr w:type="spellEnd"/>
            <w:r>
              <w:rPr>
                <w:rFonts w:eastAsia="Calibri"/>
                <w:b/>
                <w:sz w:val="22"/>
                <w:szCs w:val="22"/>
                <w:lang w:val="es-ES"/>
              </w:rPr>
              <w:t xml:space="preserve"> Goods </w:t>
            </w:r>
            <w:proofErr w:type="spellStart"/>
            <w:r>
              <w:rPr>
                <w:rFonts w:eastAsia="Calibri"/>
                <w:b/>
                <w:sz w:val="22"/>
                <w:szCs w:val="22"/>
                <w:lang w:val="es-ES"/>
              </w:rPr>
              <w:t>to</w:t>
            </w:r>
            <w:proofErr w:type="spellEnd"/>
            <w:r>
              <w:rPr>
                <w:rFonts w:eastAsia="Calibri"/>
                <w:b/>
                <w:sz w:val="22"/>
                <w:szCs w:val="22"/>
                <w:lang w:val="es-ES"/>
              </w:rPr>
              <w:t xml:space="preserve"> be </w:t>
            </w:r>
            <w:proofErr w:type="spellStart"/>
            <w:r>
              <w:rPr>
                <w:rFonts w:eastAsia="Calibri"/>
                <w:b/>
                <w:sz w:val="22"/>
                <w:szCs w:val="22"/>
                <w:lang w:val="es-ES"/>
              </w:rPr>
              <w:t>Imported</w:t>
            </w:r>
            <w:proofErr w:type="spellEnd"/>
            <w:r>
              <w:rPr>
                <w:rFonts w:eastAsia="Calibri"/>
                <w:b/>
                <w:sz w:val="22"/>
                <w:szCs w:val="22"/>
                <w:lang w:val="es-ES"/>
              </w:rPr>
              <w:t xml:space="preserve"> </w:t>
            </w:r>
            <w:proofErr w:type="spellStart"/>
            <w:r>
              <w:rPr>
                <w:rFonts w:eastAsia="Calibri"/>
                <w:b/>
                <w:sz w:val="22"/>
                <w:szCs w:val="22"/>
                <w:lang w:val="es-ES"/>
              </w:rPr>
              <w:t>by</w:t>
            </w:r>
            <w:proofErr w:type="spellEnd"/>
            <w:r>
              <w:rPr>
                <w:rFonts w:eastAsia="Calibri"/>
                <w:b/>
                <w:sz w:val="22"/>
                <w:szCs w:val="22"/>
                <w:lang w:val="es-ES"/>
              </w:rPr>
              <w:t xml:space="preserve"> OSE </w:t>
            </w:r>
            <w:proofErr w:type="spellStart"/>
            <w:r>
              <w:rPr>
                <w:rFonts w:eastAsia="Calibri"/>
                <w:b/>
                <w:sz w:val="22"/>
                <w:szCs w:val="22"/>
                <w:lang w:val="es-ES"/>
              </w:rPr>
              <w:t>will</w:t>
            </w:r>
            <w:proofErr w:type="spellEnd"/>
            <w:r>
              <w:rPr>
                <w:rFonts w:eastAsia="Calibri"/>
                <w:b/>
                <w:sz w:val="22"/>
                <w:szCs w:val="22"/>
                <w:lang w:val="es-ES"/>
              </w:rPr>
              <w:t xml:space="preserve"> </w:t>
            </w:r>
            <w:proofErr w:type="spellStart"/>
            <w:r>
              <w:rPr>
                <w:rFonts w:eastAsia="Calibri"/>
                <w:b/>
                <w:sz w:val="22"/>
                <w:szCs w:val="22"/>
                <w:lang w:val="es-ES"/>
              </w:rPr>
              <w:t>result</w:t>
            </w:r>
            <w:proofErr w:type="spellEnd"/>
            <w:r>
              <w:rPr>
                <w:rFonts w:eastAsia="Calibri"/>
                <w:b/>
                <w:sz w:val="22"/>
                <w:szCs w:val="22"/>
                <w:lang w:val="es-ES"/>
              </w:rPr>
              <w:t xml:space="preserve"> in </w:t>
            </w:r>
            <w:proofErr w:type="spellStart"/>
            <w:r>
              <w:rPr>
                <w:rFonts w:eastAsia="Calibri"/>
                <w:b/>
                <w:sz w:val="22"/>
                <w:szCs w:val="22"/>
                <w:lang w:val="es-ES"/>
              </w:rPr>
              <w:t>the</w:t>
            </w:r>
            <w:proofErr w:type="spellEnd"/>
            <w:r>
              <w:rPr>
                <w:rFonts w:eastAsia="Calibri"/>
                <w:b/>
                <w:sz w:val="22"/>
                <w:szCs w:val="22"/>
                <w:lang w:val="es-ES"/>
              </w:rPr>
              <w:t xml:space="preserve"> </w:t>
            </w:r>
            <w:proofErr w:type="spellStart"/>
            <w:r>
              <w:rPr>
                <w:rFonts w:eastAsia="Calibri"/>
                <w:b/>
                <w:sz w:val="22"/>
                <w:szCs w:val="22"/>
                <w:lang w:val="es-ES"/>
              </w:rPr>
              <w:t>offer</w:t>
            </w:r>
            <w:proofErr w:type="spellEnd"/>
            <w:r>
              <w:rPr>
                <w:rFonts w:eastAsia="Calibri"/>
                <w:b/>
                <w:sz w:val="22"/>
                <w:szCs w:val="22"/>
                <w:lang w:val="es-ES"/>
              </w:rPr>
              <w:t xml:space="preserve"> </w:t>
            </w:r>
            <w:proofErr w:type="spellStart"/>
            <w:r>
              <w:rPr>
                <w:rFonts w:eastAsia="Calibri"/>
                <w:b/>
                <w:sz w:val="22"/>
                <w:szCs w:val="22"/>
                <w:lang w:val="es-ES"/>
              </w:rPr>
              <w:t>being</w:t>
            </w:r>
            <w:proofErr w:type="spellEnd"/>
            <w:r>
              <w:rPr>
                <w:rFonts w:eastAsia="Calibri"/>
                <w:b/>
                <w:sz w:val="22"/>
                <w:szCs w:val="22"/>
                <w:lang w:val="es-ES"/>
              </w:rPr>
              <w:t xml:space="preserve"> </w:t>
            </w:r>
            <w:proofErr w:type="spellStart"/>
            <w:r>
              <w:rPr>
                <w:rFonts w:eastAsia="Calibri"/>
                <w:b/>
                <w:sz w:val="22"/>
                <w:szCs w:val="22"/>
                <w:lang w:val="es-ES"/>
              </w:rPr>
              <w:t>deemed</w:t>
            </w:r>
            <w:proofErr w:type="spellEnd"/>
            <w:r>
              <w:rPr>
                <w:rFonts w:eastAsia="Calibri"/>
                <w:b/>
                <w:sz w:val="22"/>
                <w:szCs w:val="22"/>
                <w:lang w:val="es-ES"/>
              </w:rPr>
              <w:t xml:space="preserve"> </w:t>
            </w:r>
            <w:proofErr w:type="spellStart"/>
            <w:r>
              <w:rPr>
                <w:rFonts w:eastAsia="Calibri"/>
                <w:b/>
                <w:sz w:val="22"/>
                <w:szCs w:val="22"/>
                <w:lang w:val="es-ES"/>
              </w:rPr>
              <w:t>inadmissible</w:t>
            </w:r>
            <w:proofErr w:type="spellEnd"/>
            <w:r>
              <w:rPr>
                <w:rFonts w:eastAsia="Calibri"/>
                <w:b/>
                <w:sz w:val="22"/>
                <w:szCs w:val="22"/>
                <w:lang w:val="es-ES"/>
              </w:rPr>
              <w:t>.</w:t>
            </w:r>
          </w:p>
          <w:p w14:paraId="370D1335" w14:textId="77777777" w:rsidR="00E255F4" w:rsidRDefault="00E255F4">
            <w:pPr>
              <w:pStyle w:val="Default"/>
              <w:jc w:val="both"/>
              <w:rPr>
                <w:rFonts w:ascii="Times New Roman" w:hAnsi="Times New Roman" w:cs="Times New Roman"/>
                <w:b/>
                <w:sz w:val="22"/>
                <w:szCs w:val="22"/>
              </w:rPr>
            </w:pPr>
          </w:p>
          <w:p w14:paraId="0BA6A18A" w14:textId="77777777" w:rsidR="00E255F4" w:rsidRDefault="00000000">
            <w:pPr>
              <w:pStyle w:val="Default"/>
              <w:jc w:val="both"/>
              <w:rPr>
                <w:rFonts w:ascii="Times New Roman" w:hAnsi="Times New Roman" w:cs="Times New Roman"/>
                <w:b/>
                <w:spacing w:val="-1"/>
                <w:position w:val="1"/>
                <w:sz w:val="22"/>
              </w:rPr>
            </w:pPr>
            <w:r>
              <w:rPr>
                <w:rFonts w:ascii="Times New Roman" w:hAnsi="Times New Roman" w:cs="Times New Roman"/>
                <w:sz w:val="22"/>
              </w:rPr>
              <w:t xml:space="preserve">The </w:t>
            </w:r>
            <w:proofErr w:type="spellStart"/>
            <w:r>
              <w:rPr>
                <w:rFonts w:ascii="Times New Roman" w:hAnsi="Times New Roman" w:cs="Times New Roman"/>
                <w:sz w:val="22"/>
              </w:rPr>
              <w:t>verification</w:t>
            </w:r>
            <w:proofErr w:type="spellEnd"/>
            <w:r>
              <w:rPr>
                <w:rFonts w:ascii="Times New Roman" w:hAnsi="Times New Roman" w:cs="Times New Roman"/>
                <w:sz w:val="22"/>
              </w:rPr>
              <w:t xml:space="preserve"> </w:t>
            </w:r>
            <w:proofErr w:type="spellStart"/>
            <w:r>
              <w:rPr>
                <w:rFonts w:ascii="Times New Roman" w:hAnsi="Times New Roman" w:cs="Times New Roman"/>
                <w:sz w:val="22"/>
              </w:rPr>
              <w:t>will</w:t>
            </w:r>
            <w:proofErr w:type="spellEnd"/>
            <w:r>
              <w:rPr>
                <w:rFonts w:ascii="Times New Roman" w:hAnsi="Times New Roman" w:cs="Times New Roman"/>
                <w:sz w:val="22"/>
              </w:rPr>
              <w:t xml:space="preserve"> determine </w:t>
            </w:r>
            <w:proofErr w:type="spellStart"/>
            <w:r>
              <w:rPr>
                <w:rFonts w:ascii="Times New Roman" w:hAnsi="Times New Roman" w:cs="Times New Roman"/>
                <w:sz w:val="22"/>
              </w:rPr>
              <w:t>whether</w:t>
            </w:r>
            <w:proofErr w:type="spellEnd"/>
            <w:r>
              <w:rPr>
                <w:rFonts w:ascii="Times New Roman" w:hAnsi="Times New Roman" w:cs="Times New Roman"/>
                <w:sz w:val="22"/>
              </w:rPr>
              <w:t xml:space="preserve"> </w:t>
            </w:r>
            <w:proofErr w:type="spellStart"/>
            <w:r>
              <w:rPr>
                <w:rFonts w:ascii="Times New Roman" w:hAnsi="Times New Roman" w:cs="Times New Roman"/>
                <w:sz w:val="22"/>
              </w:rPr>
              <w:t>the</w:t>
            </w:r>
            <w:proofErr w:type="spellEnd"/>
            <w:r>
              <w:rPr>
                <w:rFonts w:ascii="Times New Roman" w:hAnsi="Times New Roman" w:cs="Times New Roman"/>
                <w:sz w:val="22"/>
              </w:rPr>
              <w:t xml:space="preserve"> </w:t>
            </w:r>
            <w:proofErr w:type="spellStart"/>
            <w:r>
              <w:rPr>
                <w:rFonts w:ascii="Times New Roman" w:hAnsi="Times New Roman" w:cs="Times New Roman"/>
                <w:sz w:val="22"/>
              </w:rPr>
              <w:t>offer</w:t>
            </w:r>
            <w:proofErr w:type="spellEnd"/>
            <w:r>
              <w:rPr>
                <w:rFonts w:ascii="Times New Roman" w:hAnsi="Times New Roman" w:cs="Times New Roman"/>
                <w:sz w:val="22"/>
              </w:rPr>
              <w:t xml:space="preserve"> PASSES </w:t>
            </w:r>
            <w:proofErr w:type="spellStart"/>
            <w:r>
              <w:rPr>
                <w:rFonts w:ascii="Times New Roman" w:hAnsi="Times New Roman" w:cs="Times New Roman"/>
                <w:sz w:val="22"/>
              </w:rPr>
              <w:t>or</w:t>
            </w:r>
            <w:proofErr w:type="spellEnd"/>
            <w:r>
              <w:rPr>
                <w:rFonts w:ascii="Times New Roman" w:hAnsi="Times New Roman" w:cs="Times New Roman"/>
                <w:sz w:val="22"/>
              </w:rPr>
              <w:t xml:space="preserve"> </w:t>
            </w:r>
            <w:proofErr w:type="spellStart"/>
            <w:r>
              <w:rPr>
                <w:rFonts w:ascii="Times New Roman" w:hAnsi="Times New Roman" w:cs="Times New Roman"/>
                <w:sz w:val="22"/>
              </w:rPr>
              <w:t>FAILSto</w:t>
            </w:r>
            <w:proofErr w:type="spellEnd"/>
            <w:r>
              <w:rPr>
                <w:rFonts w:ascii="Times New Roman" w:hAnsi="Times New Roman" w:cs="Times New Roman"/>
                <w:sz w:val="22"/>
              </w:rPr>
              <w:t xml:space="preserve"> </w:t>
            </w:r>
            <w:proofErr w:type="spellStart"/>
            <w:r>
              <w:rPr>
                <w:rFonts w:ascii="Times New Roman" w:hAnsi="Times New Roman" w:cs="Times New Roman"/>
                <w:sz w:val="22"/>
              </w:rPr>
              <w:t>the</w:t>
            </w:r>
            <w:proofErr w:type="spellEnd"/>
            <w:r>
              <w:rPr>
                <w:rFonts w:ascii="Times New Roman" w:hAnsi="Times New Roman" w:cs="Times New Roman"/>
                <w:sz w:val="22"/>
              </w:rPr>
              <w:t xml:space="preserve"> </w:t>
            </w:r>
            <w:proofErr w:type="spellStart"/>
            <w:r>
              <w:rPr>
                <w:rFonts w:ascii="Times New Roman" w:hAnsi="Times New Roman" w:cs="Times New Roman"/>
                <w:sz w:val="22"/>
              </w:rPr>
              <w:t>evaluation</w:t>
            </w:r>
            <w:proofErr w:type="spellEnd"/>
            <w:r>
              <w:rPr>
                <w:rFonts w:ascii="Times New Roman" w:hAnsi="Times New Roman" w:cs="Times New Roman"/>
                <w:sz w:val="22"/>
              </w:rPr>
              <w:t xml:space="preserve"> </w:t>
            </w:r>
            <w:proofErr w:type="spellStart"/>
            <w:r>
              <w:rPr>
                <w:rFonts w:ascii="Times New Roman" w:hAnsi="Times New Roman" w:cs="Times New Roman"/>
                <w:sz w:val="22"/>
              </w:rPr>
              <w:t>stage</w:t>
            </w:r>
            <w:proofErr w:type="spellEnd"/>
            <w:r>
              <w:rPr>
                <w:rFonts w:ascii="Times New Roman" w:hAnsi="Times New Roman" w:cs="Times New Roman"/>
                <w:sz w:val="22"/>
              </w:rPr>
              <w:t>.</w:t>
            </w:r>
          </w:p>
        </w:tc>
      </w:tr>
      <w:tr w:rsidR="00E255F4" w14:paraId="6A7A0723" w14:textId="77777777">
        <w:tc>
          <w:tcPr>
            <w:tcW w:w="730" w:type="dxa"/>
            <w:tcBorders>
              <w:top w:val="single" w:sz="4" w:space="0" w:color="000000"/>
              <w:left w:val="single" w:sz="4" w:space="0" w:color="000000"/>
              <w:bottom w:val="single" w:sz="4" w:space="0" w:color="000000"/>
              <w:right w:val="single" w:sz="4" w:space="0" w:color="000000"/>
            </w:tcBorders>
          </w:tcPr>
          <w:p w14:paraId="34087C18" w14:textId="77777777" w:rsidR="00E255F4" w:rsidRDefault="00000000">
            <w:pPr>
              <w:ind w:right="-36"/>
              <w:rPr>
                <w:rFonts w:eastAsia="Palatino Linotype"/>
                <w:b/>
                <w:sz w:val="22"/>
                <w:szCs w:val="22"/>
                <w:lang w:val="es-ES"/>
              </w:rPr>
            </w:pPr>
            <w:r>
              <w:rPr>
                <w:rFonts w:eastAsia="Palatino Linotype"/>
                <w:b/>
                <w:sz w:val="22"/>
                <w:szCs w:val="22"/>
                <w:lang w:val="es-ES"/>
              </w:rPr>
              <w:t>13.3</w:t>
            </w:r>
          </w:p>
        </w:tc>
        <w:tc>
          <w:tcPr>
            <w:tcW w:w="9048" w:type="dxa"/>
            <w:tcBorders>
              <w:top w:val="single" w:sz="4" w:space="0" w:color="000000"/>
              <w:left w:val="single" w:sz="4" w:space="0" w:color="000000"/>
              <w:bottom w:val="single" w:sz="4" w:space="0" w:color="000000"/>
              <w:right w:val="single" w:sz="4" w:space="0" w:color="000000"/>
            </w:tcBorders>
          </w:tcPr>
          <w:p w14:paraId="448D8287" w14:textId="77777777" w:rsidR="00E255F4" w:rsidRDefault="00000000">
            <w:pPr>
              <w:jc w:val="both"/>
              <w:rPr>
                <w:rFonts w:eastAsia="Palatino Linotype"/>
                <w:b/>
                <w:spacing w:val="-1"/>
                <w:position w:val="1"/>
                <w:sz w:val="22"/>
                <w:szCs w:val="22"/>
                <w:lang w:val="es-ES"/>
              </w:rPr>
            </w:pPr>
            <w:proofErr w:type="spellStart"/>
            <w:r>
              <w:rPr>
                <w:rFonts w:eastAsia="Palatino Linotype"/>
                <w:b/>
                <w:spacing w:val="-1"/>
                <w:position w:val="1"/>
                <w:sz w:val="22"/>
                <w:szCs w:val="22"/>
                <w:lang w:val="es-ES"/>
              </w:rPr>
              <w:t>Assessment</w:t>
            </w:r>
            <w:proofErr w:type="spellEnd"/>
          </w:p>
          <w:p w14:paraId="03D55EC5" w14:textId="77777777" w:rsidR="00E255F4" w:rsidRDefault="00E255F4">
            <w:pPr>
              <w:jc w:val="both"/>
              <w:rPr>
                <w:rFonts w:eastAsia="Palatino Linotype"/>
                <w:b/>
                <w:spacing w:val="-1"/>
                <w:position w:val="1"/>
                <w:sz w:val="22"/>
                <w:szCs w:val="22"/>
                <w:lang w:val="es-ES"/>
              </w:rPr>
            </w:pPr>
          </w:p>
          <w:p w14:paraId="2BA16A5C" w14:textId="77777777" w:rsidR="00E255F4" w:rsidRDefault="00000000">
            <w:pPr>
              <w:jc w:val="both"/>
              <w:rPr>
                <w:sz w:val="22"/>
                <w:szCs w:val="22"/>
                <w:highlight w:val="yellow"/>
                <w:lang w:val="es-ES"/>
              </w:rPr>
            </w:pPr>
            <w:r>
              <w:rPr>
                <w:sz w:val="22"/>
                <w:szCs w:val="22"/>
                <w:lang w:val="es-ES"/>
              </w:rPr>
              <w:t xml:space="preserve">The </w:t>
            </w:r>
            <w:proofErr w:type="spellStart"/>
            <w:r>
              <w:rPr>
                <w:sz w:val="22"/>
                <w:szCs w:val="22"/>
                <w:lang w:val="es-ES"/>
              </w:rPr>
              <w:t>procedure</w:t>
            </w:r>
            <w:proofErr w:type="spellEnd"/>
            <w:r>
              <w:rPr>
                <w:sz w:val="22"/>
                <w:szCs w:val="22"/>
                <w:lang w:val="es-ES"/>
              </w:rPr>
              <w:t xml:space="preserve"> </w:t>
            </w:r>
            <w:proofErr w:type="spellStart"/>
            <w:r>
              <w:rPr>
                <w:sz w:val="22"/>
                <w:szCs w:val="22"/>
                <w:lang w:val="es-ES"/>
              </w:rPr>
              <w:t>for</w:t>
            </w:r>
            <w:proofErr w:type="spellEnd"/>
            <w:r>
              <w:rPr>
                <w:sz w:val="22"/>
                <w:szCs w:val="22"/>
                <w:lang w:val="es-ES"/>
              </w:rPr>
              <w:t xml:space="preserve"> </w:t>
            </w:r>
            <w:proofErr w:type="spellStart"/>
            <w:r>
              <w:rPr>
                <w:sz w:val="22"/>
                <w:szCs w:val="22"/>
                <w:lang w:val="es-ES"/>
              </w:rPr>
              <w:t>comparing</w:t>
            </w:r>
            <w:proofErr w:type="spellEnd"/>
            <w:r>
              <w:rPr>
                <w:sz w:val="22"/>
                <w:szCs w:val="22"/>
                <w:lang w:val="es-ES"/>
              </w:rPr>
              <w:t xml:space="preserve"> </w:t>
            </w:r>
            <w:proofErr w:type="spellStart"/>
            <w:r>
              <w:rPr>
                <w:sz w:val="22"/>
                <w:szCs w:val="22"/>
                <w:lang w:val="es-ES"/>
              </w:rPr>
              <w:t>offers</w:t>
            </w:r>
            <w:proofErr w:type="spellEnd"/>
            <w:r>
              <w:rPr>
                <w:sz w:val="22"/>
                <w:szCs w:val="22"/>
                <w:lang w:val="es-ES"/>
              </w:rPr>
              <w:t xml:space="preserve"> </w:t>
            </w:r>
            <w:proofErr w:type="spellStart"/>
            <w:r>
              <w:rPr>
                <w:sz w:val="22"/>
                <w:szCs w:val="22"/>
                <w:lang w:val="es-ES"/>
              </w:rPr>
              <w:t>will</w:t>
            </w:r>
            <w:proofErr w:type="spellEnd"/>
            <w:r>
              <w:rPr>
                <w:sz w:val="22"/>
                <w:szCs w:val="22"/>
                <w:lang w:val="es-ES"/>
              </w:rPr>
              <w:t xml:space="preserve"> be </w:t>
            </w:r>
            <w:proofErr w:type="spellStart"/>
            <w:r>
              <w:rPr>
                <w:sz w:val="22"/>
                <w:szCs w:val="22"/>
                <w:lang w:val="es-ES"/>
              </w:rPr>
              <w:t>based</w:t>
            </w:r>
            <w:proofErr w:type="spellEnd"/>
            <w:r>
              <w:rPr>
                <w:sz w:val="22"/>
                <w:szCs w:val="22"/>
                <w:lang w:val="es-ES"/>
              </w:rPr>
              <w:t xml:space="preserve"> </w:t>
            </w:r>
            <w:proofErr w:type="spellStart"/>
            <w:r>
              <w:rPr>
                <w:sz w:val="22"/>
                <w:szCs w:val="22"/>
                <w:lang w:val="es-ES"/>
              </w:rPr>
              <w:t>on</w:t>
            </w:r>
            <w:proofErr w:type="spellEnd"/>
            <w:r>
              <w:rPr>
                <w:sz w:val="22"/>
                <w:szCs w:val="22"/>
                <w:lang w:val="es-ES"/>
              </w:rPr>
              <w:t xml:space="preserve"> </w:t>
            </w:r>
            <w:proofErr w:type="spellStart"/>
            <w:r>
              <w:rPr>
                <w:sz w:val="22"/>
                <w:szCs w:val="22"/>
                <w:lang w:val="es-ES"/>
              </w:rPr>
              <w:t>price</w:t>
            </w:r>
            <w:proofErr w:type="spellEnd"/>
            <w:r>
              <w:rPr>
                <w:sz w:val="22"/>
                <w:szCs w:val="22"/>
                <w:lang w:val="es-ES"/>
              </w:rPr>
              <w:t xml:space="preserve"> factor </w:t>
            </w:r>
            <w:proofErr w:type="spellStart"/>
            <w:r>
              <w:rPr>
                <w:sz w:val="22"/>
                <w:szCs w:val="22"/>
                <w:lang w:val="es-ES"/>
              </w:rPr>
              <w:t>across</w:t>
            </w:r>
            <w:proofErr w:type="spellEnd"/>
            <w:r>
              <w:rPr>
                <w:sz w:val="22"/>
                <w:szCs w:val="22"/>
                <w:lang w:val="es-ES"/>
              </w:rPr>
              <w:t xml:space="preserve"> </w:t>
            </w:r>
            <w:proofErr w:type="spellStart"/>
            <w:r>
              <w:rPr>
                <w:sz w:val="22"/>
                <w:szCs w:val="22"/>
                <w:lang w:val="es-ES"/>
              </w:rPr>
              <w:t>the</w:t>
            </w:r>
            <w:proofErr w:type="spellEnd"/>
            <w:r>
              <w:rPr>
                <w:sz w:val="22"/>
                <w:szCs w:val="22"/>
                <w:lang w:val="es-ES"/>
              </w:rPr>
              <w:t xml:space="preserve"> set </w:t>
            </w:r>
            <w:proofErr w:type="spellStart"/>
            <w:r>
              <w:rPr>
                <w:sz w:val="22"/>
                <w:szCs w:val="22"/>
                <w:lang w:val="es-ES"/>
              </w:rPr>
              <w:t>of</w:t>
            </w:r>
            <w:proofErr w:type="spellEnd"/>
            <w:r>
              <w:rPr>
                <w:sz w:val="22"/>
                <w:szCs w:val="22"/>
                <w:lang w:val="es-ES"/>
              </w:rPr>
              <w:t xml:space="preserve"> </w:t>
            </w:r>
            <w:proofErr w:type="spellStart"/>
            <w:r>
              <w:rPr>
                <w:sz w:val="22"/>
                <w:szCs w:val="22"/>
                <w:lang w:val="es-ES"/>
              </w:rPr>
              <w:t>valid</w:t>
            </w:r>
            <w:proofErr w:type="spellEnd"/>
            <w:r>
              <w:rPr>
                <w:sz w:val="22"/>
                <w:szCs w:val="22"/>
                <w:lang w:val="es-ES"/>
              </w:rPr>
              <w:t xml:space="preserve"> </w:t>
            </w:r>
            <w:proofErr w:type="spellStart"/>
            <w:r>
              <w:rPr>
                <w:sz w:val="22"/>
                <w:szCs w:val="22"/>
                <w:lang w:val="es-ES"/>
              </w:rPr>
              <w:t>offers</w:t>
            </w:r>
            <w:proofErr w:type="spellEnd"/>
            <w:r>
              <w:rPr>
                <w:sz w:val="22"/>
                <w:szCs w:val="22"/>
                <w:lang w:val="es-ES"/>
              </w:rPr>
              <w:t>.</w:t>
            </w:r>
          </w:p>
        </w:tc>
      </w:tr>
      <w:tr w:rsidR="00E255F4" w14:paraId="49C297A4" w14:textId="77777777">
        <w:tc>
          <w:tcPr>
            <w:tcW w:w="730" w:type="dxa"/>
            <w:tcBorders>
              <w:top w:val="single" w:sz="4" w:space="0" w:color="000000"/>
              <w:left w:val="single" w:sz="4" w:space="0" w:color="000000"/>
              <w:bottom w:val="single" w:sz="4" w:space="0" w:color="000000"/>
              <w:right w:val="single" w:sz="4" w:space="0" w:color="000000"/>
            </w:tcBorders>
          </w:tcPr>
          <w:p w14:paraId="6670C100" w14:textId="77777777" w:rsidR="00E255F4" w:rsidRDefault="00000000">
            <w:pPr>
              <w:ind w:right="-36"/>
              <w:rPr>
                <w:rFonts w:eastAsia="Palatino Linotype"/>
                <w:b/>
                <w:sz w:val="22"/>
                <w:szCs w:val="22"/>
                <w:lang w:val="es-ES"/>
              </w:rPr>
            </w:pPr>
            <w:r>
              <w:rPr>
                <w:rFonts w:eastAsia="Palatino Linotype"/>
                <w:b/>
                <w:sz w:val="22"/>
                <w:szCs w:val="22"/>
                <w:lang w:val="es-ES"/>
              </w:rPr>
              <w:t>13.5</w:t>
            </w:r>
          </w:p>
        </w:tc>
        <w:tc>
          <w:tcPr>
            <w:tcW w:w="9048" w:type="dxa"/>
            <w:tcBorders>
              <w:top w:val="single" w:sz="4" w:space="0" w:color="000000"/>
              <w:left w:val="single" w:sz="4" w:space="0" w:color="000000"/>
              <w:bottom w:val="single" w:sz="4" w:space="0" w:color="000000"/>
              <w:right w:val="single" w:sz="4" w:space="0" w:color="000000"/>
            </w:tcBorders>
          </w:tcPr>
          <w:p w14:paraId="0EA8FD70" w14:textId="77777777" w:rsidR="00E255F4" w:rsidRDefault="00000000">
            <w:pPr>
              <w:jc w:val="both"/>
              <w:rPr>
                <w:rFonts w:eastAsia="Palatino Linotype"/>
                <w:b/>
                <w:spacing w:val="-1"/>
                <w:position w:val="1"/>
                <w:sz w:val="22"/>
                <w:lang w:val="es-ES"/>
              </w:rPr>
            </w:pPr>
            <w:proofErr w:type="spellStart"/>
            <w:r>
              <w:rPr>
                <w:rFonts w:eastAsia="Palatino Linotype"/>
                <w:b/>
                <w:spacing w:val="-1"/>
                <w:position w:val="1"/>
                <w:sz w:val="22"/>
                <w:lang w:val="es-ES"/>
              </w:rPr>
              <w:t>Talks</w:t>
            </w:r>
            <w:proofErr w:type="spellEnd"/>
          </w:p>
          <w:p w14:paraId="040F5C67" w14:textId="77777777" w:rsidR="00E255F4" w:rsidRDefault="00E255F4">
            <w:pPr>
              <w:jc w:val="both"/>
              <w:rPr>
                <w:rFonts w:eastAsia="Palatino Linotype"/>
                <w:b/>
                <w:spacing w:val="-1"/>
                <w:position w:val="1"/>
                <w:sz w:val="22"/>
                <w:lang w:val="es-ES"/>
              </w:rPr>
            </w:pPr>
          </w:p>
          <w:p w14:paraId="5C587D0F" w14:textId="77777777" w:rsidR="00E255F4" w:rsidRDefault="00000000">
            <w:pPr>
              <w:jc w:val="both"/>
              <w:rPr>
                <w:rFonts w:eastAsia="Palatino Linotype"/>
                <w:spacing w:val="-1"/>
                <w:position w:val="1"/>
                <w:sz w:val="22"/>
                <w:lang w:val="es-ES"/>
              </w:rPr>
            </w:pPr>
            <w:r>
              <w:rPr>
                <w:rFonts w:eastAsia="Palatino Linotype"/>
                <w:spacing w:val="-1"/>
                <w:position w:val="1"/>
                <w:sz w:val="22"/>
                <w:szCs w:val="22"/>
                <w:lang w:val="es-ES"/>
              </w:rPr>
              <w:t xml:space="preserve">In </w:t>
            </w:r>
            <w:proofErr w:type="spellStart"/>
            <w:r>
              <w:rPr>
                <w:rFonts w:eastAsia="Palatino Linotype"/>
                <w:spacing w:val="-1"/>
                <w:position w:val="1"/>
                <w:sz w:val="22"/>
                <w:szCs w:val="22"/>
                <w:lang w:val="es-ES"/>
              </w:rPr>
              <w:t>the</w:t>
            </w:r>
            <w:proofErr w:type="spellEnd"/>
            <w:r>
              <w:rPr>
                <w:rFonts w:eastAsia="Palatino Linotype"/>
                <w:spacing w:val="-1"/>
                <w:position w:val="1"/>
                <w:sz w:val="22"/>
                <w:szCs w:val="22"/>
                <w:lang w:val="es-ES"/>
              </w:rPr>
              <w:t xml:space="preserve"> </w:t>
            </w:r>
            <w:proofErr w:type="spellStart"/>
            <w:r>
              <w:rPr>
                <w:rFonts w:eastAsia="Palatino Linotype"/>
                <w:spacing w:val="-1"/>
                <w:position w:val="1"/>
                <w:sz w:val="22"/>
                <w:szCs w:val="22"/>
                <w:lang w:val="es-ES"/>
              </w:rPr>
              <w:t>event</w:t>
            </w:r>
            <w:proofErr w:type="spellEnd"/>
            <w:r>
              <w:rPr>
                <w:rFonts w:eastAsia="Palatino Linotype"/>
                <w:spacing w:val="-1"/>
                <w:position w:val="1"/>
                <w:sz w:val="22"/>
                <w:szCs w:val="22"/>
                <w:lang w:val="es-ES"/>
              </w:rPr>
              <w:t xml:space="preserve"> </w:t>
            </w:r>
            <w:proofErr w:type="spellStart"/>
            <w:r>
              <w:rPr>
                <w:rFonts w:eastAsia="Palatino Linotype"/>
                <w:spacing w:val="-1"/>
                <w:position w:val="1"/>
                <w:sz w:val="22"/>
                <w:szCs w:val="22"/>
                <w:lang w:val="es-ES"/>
              </w:rPr>
              <w:t>of</w:t>
            </w:r>
            <w:proofErr w:type="spellEnd"/>
            <w:r>
              <w:rPr>
                <w:rFonts w:eastAsia="Palatino Linotype"/>
                <w:spacing w:val="-1"/>
                <w:position w:val="1"/>
                <w:sz w:val="22"/>
                <w:szCs w:val="22"/>
                <w:lang w:val="es-ES"/>
              </w:rPr>
              <w:t xml:space="preserve"> </w:t>
            </w:r>
            <w:proofErr w:type="spellStart"/>
            <w:r>
              <w:rPr>
                <w:rFonts w:eastAsia="Palatino Linotype"/>
                <w:spacing w:val="-1"/>
                <w:position w:val="1"/>
                <w:sz w:val="22"/>
                <w:szCs w:val="22"/>
                <w:lang w:val="es-ES"/>
              </w:rPr>
              <w:t>offers</w:t>
            </w:r>
            <w:proofErr w:type="spellEnd"/>
            <w:r>
              <w:rPr>
                <w:rFonts w:eastAsia="Palatino Linotype"/>
                <w:spacing w:val="-1"/>
                <w:position w:val="1"/>
                <w:sz w:val="22"/>
                <w:szCs w:val="22"/>
                <w:lang w:val="es-ES"/>
              </w:rPr>
              <w:t xml:space="preserve"> </w:t>
            </w:r>
            <w:proofErr w:type="spellStart"/>
            <w:r>
              <w:rPr>
                <w:rFonts w:eastAsia="Palatino Linotype"/>
                <w:spacing w:val="-1"/>
                <w:position w:val="1"/>
                <w:sz w:val="22"/>
                <w:szCs w:val="22"/>
                <w:lang w:val="es-ES"/>
              </w:rPr>
              <w:t>with</w:t>
            </w:r>
            <w:proofErr w:type="spellEnd"/>
            <w:r>
              <w:rPr>
                <w:rFonts w:eastAsia="Palatino Linotype"/>
                <w:spacing w:val="-1"/>
                <w:position w:val="1"/>
                <w:sz w:val="22"/>
                <w:szCs w:val="22"/>
                <w:lang w:val="es-ES"/>
              </w:rPr>
              <w:t xml:space="preserve"> a similar </w:t>
            </w:r>
            <w:proofErr w:type="spellStart"/>
            <w:r>
              <w:rPr>
                <w:rFonts w:eastAsia="Palatino Linotype"/>
                <w:spacing w:val="-1"/>
                <w:position w:val="1"/>
                <w:sz w:val="22"/>
                <w:szCs w:val="22"/>
                <w:lang w:val="es-ES"/>
              </w:rPr>
              <w:t>price</w:t>
            </w:r>
            <w:proofErr w:type="spellEnd"/>
            <w:r>
              <w:rPr>
                <w:rFonts w:eastAsia="Palatino Linotype"/>
                <w:spacing w:val="-1"/>
                <w:position w:val="1"/>
                <w:sz w:val="22"/>
                <w:szCs w:val="22"/>
                <w:lang w:val="es-ES"/>
              </w:rPr>
              <w:t xml:space="preserve">, OSE </w:t>
            </w:r>
            <w:proofErr w:type="spellStart"/>
            <w:r>
              <w:rPr>
                <w:rFonts w:eastAsia="Palatino Linotype"/>
                <w:spacing w:val="-1"/>
                <w:position w:val="1"/>
                <w:sz w:val="22"/>
                <w:szCs w:val="22"/>
                <w:lang w:val="es-ES"/>
              </w:rPr>
              <w:t>may</w:t>
            </w:r>
            <w:proofErr w:type="spellEnd"/>
            <w:r>
              <w:rPr>
                <w:rFonts w:eastAsia="Palatino Linotype"/>
                <w:spacing w:val="-1"/>
                <w:position w:val="1"/>
                <w:sz w:val="22"/>
                <w:szCs w:val="22"/>
                <w:lang w:val="es-ES"/>
              </w:rPr>
              <w:t xml:space="preserve"> resort </w:t>
            </w:r>
            <w:proofErr w:type="spellStart"/>
            <w:r>
              <w:rPr>
                <w:rFonts w:eastAsia="Palatino Linotype"/>
                <w:spacing w:val="-1"/>
                <w:position w:val="1"/>
                <w:sz w:val="22"/>
                <w:szCs w:val="22"/>
                <w:lang w:val="es-ES"/>
              </w:rPr>
              <w:t>to</w:t>
            </w:r>
            <w:proofErr w:type="spellEnd"/>
            <w:r>
              <w:rPr>
                <w:rFonts w:eastAsia="Palatino Linotype"/>
                <w:spacing w:val="-1"/>
                <w:position w:val="1"/>
                <w:sz w:val="22"/>
                <w:szCs w:val="22"/>
                <w:lang w:val="es-ES"/>
              </w:rPr>
              <w:t xml:space="preserve"> </w:t>
            </w:r>
            <w:proofErr w:type="spellStart"/>
            <w:r>
              <w:rPr>
                <w:rFonts w:eastAsia="Palatino Linotype"/>
                <w:spacing w:val="-1"/>
                <w:position w:val="1"/>
                <w:sz w:val="22"/>
                <w:szCs w:val="22"/>
                <w:lang w:val="es-ES"/>
              </w:rPr>
              <w:t>the</w:t>
            </w:r>
            <w:proofErr w:type="spellEnd"/>
            <w:r>
              <w:rPr>
                <w:rFonts w:eastAsia="Palatino Linotype"/>
                <w:spacing w:val="-1"/>
                <w:position w:val="1"/>
                <w:sz w:val="22"/>
                <w:szCs w:val="22"/>
                <w:lang w:val="es-ES"/>
              </w:rPr>
              <w:t xml:space="preserve"> </w:t>
            </w:r>
            <w:proofErr w:type="spellStart"/>
            <w:r>
              <w:rPr>
                <w:rFonts w:eastAsia="Palatino Linotype"/>
                <w:spacing w:val="-1"/>
                <w:position w:val="1"/>
                <w:sz w:val="22"/>
                <w:szCs w:val="22"/>
                <w:lang w:val="es-ES"/>
              </w:rPr>
              <w:t>offer</w:t>
            </w:r>
            <w:proofErr w:type="spellEnd"/>
            <w:r>
              <w:rPr>
                <w:rFonts w:eastAsia="Palatino Linotype"/>
                <w:spacing w:val="-1"/>
                <w:position w:val="1"/>
                <w:sz w:val="22"/>
                <w:szCs w:val="22"/>
                <w:lang w:val="es-ES"/>
              </w:rPr>
              <w:t xml:space="preserve"> </w:t>
            </w:r>
            <w:proofErr w:type="spellStart"/>
            <w:r>
              <w:rPr>
                <w:rFonts w:eastAsia="Palatino Linotype"/>
                <w:spacing w:val="-1"/>
                <w:position w:val="1"/>
                <w:sz w:val="22"/>
                <w:szCs w:val="22"/>
                <w:lang w:val="es-ES"/>
              </w:rPr>
              <w:t>improvement</w:t>
            </w:r>
            <w:proofErr w:type="spellEnd"/>
            <w:r>
              <w:rPr>
                <w:rFonts w:eastAsia="Palatino Linotype"/>
                <w:spacing w:val="-1"/>
                <w:position w:val="1"/>
                <w:sz w:val="22"/>
                <w:szCs w:val="22"/>
                <w:lang w:val="es-ES"/>
              </w:rPr>
              <w:t xml:space="preserve"> and/</w:t>
            </w:r>
            <w:proofErr w:type="spellStart"/>
            <w:r>
              <w:rPr>
                <w:rFonts w:eastAsia="Palatino Linotype"/>
                <w:spacing w:val="-1"/>
                <w:position w:val="1"/>
                <w:sz w:val="22"/>
                <w:szCs w:val="22"/>
                <w:lang w:val="es-ES"/>
              </w:rPr>
              <w:t>or</w:t>
            </w:r>
            <w:proofErr w:type="spellEnd"/>
            <w:r>
              <w:rPr>
                <w:rFonts w:eastAsia="Palatino Linotype"/>
                <w:spacing w:val="-1"/>
                <w:position w:val="1"/>
                <w:sz w:val="22"/>
                <w:szCs w:val="22"/>
                <w:lang w:val="es-ES"/>
              </w:rPr>
              <w:t xml:space="preserve"> </w:t>
            </w:r>
            <w:proofErr w:type="spellStart"/>
            <w:r>
              <w:rPr>
                <w:rFonts w:eastAsia="Palatino Linotype"/>
                <w:spacing w:val="-1"/>
                <w:position w:val="1"/>
                <w:sz w:val="22"/>
                <w:szCs w:val="22"/>
                <w:lang w:val="es-ES"/>
              </w:rPr>
              <w:t>negotiation</w:t>
            </w:r>
            <w:proofErr w:type="spellEnd"/>
            <w:r>
              <w:rPr>
                <w:rFonts w:eastAsia="Palatino Linotype"/>
                <w:spacing w:val="-1"/>
                <w:position w:val="1"/>
                <w:sz w:val="22"/>
                <w:szCs w:val="22"/>
                <w:lang w:val="es-ES"/>
              </w:rPr>
              <w:t xml:space="preserve"> </w:t>
            </w:r>
            <w:proofErr w:type="spellStart"/>
            <w:r>
              <w:rPr>
                <w:rFonts w:eastAsia="Palatino Linotype"/>
                <w:spacing w:val="-1"/>
                <w:position w:val="1"/>
                <w:sz w:val="22"/>
                <w:szCs w:val="22"/>
                <w:lang w:val="es-ES"/>
              </w:rPr>
              <w:t>institute</w:t>
            </w:r>
            <w:proofErr w:type="spellEnd"/>
            <w:r>
              <w:rPr>
                <w:rFonts w:eastAsia="Palatino Linotype"/>
                <w:spacing w:val="-1"/>
                <w:position w:val="1"/>
                <w:sz w:val="22"/>
                <w:szCs w:val="22"/>
                <w:lang w:val="es-ES"/>
              </w:rPr>
              <w:t xml:space="preserve"> </w:t>
            </w:r>
            <w:proofErr w:type="spellStart"/>
            <w:r>
              <w:rPr>
                <w:rFonts w:eastAsia="Palatino Linotype"/>
                <w:spacing w:val="-1"/>
                <w:position w:val="1"/>
                <w:sz w:val="22"/>
                <w:szCs w:val="22"/>
                <w:lang w:val="es-ES"/>
              </w:rPr>
              <w:t>for</w:t>
            </w:r>
            <w:proofErr w:type="spellEnd"/>
            <w:r>
              <w:rPr>
                <w:rFonts w:eastAsia="Palatino Linotype"/>
                <w:spacing w:val="-1"/>
                <w:position w:val="1"/>
                <w:sz w:val="22"/>
                <w:szCs w:val="22"/>
                <w:lang w:val="es-ES"/>
              </w:rPr>
              <w:t xml:space="preserve"> </w:t>
            </w:r>
            <w:proofErr w:type="spellStart"/>
            <w:r>
              <w:rPr>
                <w:rFonts w:eastAsia="Palatino Linotype"/>
                <w:spacing w:val="-1"/>
                <w:position w:val="1"/>
                <w:sz w:val="22"/>
                <w:szCs w:val="22"/>
                <w:lang w:val="es-ES"/>
              </w:rPr>
              <w:t>the</w:t>
            </w:r>
            <w:proofErr w:type="spellEnd"/>
            <w:r>
              <w:rPr>
                <w:rFonts w:eastAsia="Palatino Linotype"/>
                <w:spacing w:val="-1"/>
                <w:position w:val="1"/>
                <w:sz w:val="22"/>
                <w:szCs w:val="22"/>
                <w:lang w:val="es-ES"/>
              </w:rPr>
              <w:t xml:space="preserve"> </w:t>
            </w:r>
            <w:proofErr w:type="spellStart"/>
            <w:r>
              <w:rPr>
                <w:rFonts w:eastAsia="Palatino Linotype"/>
                <w:spacing w:val="-1"/>
                <w:position w:val="1"/>
                <w:sz w:val="22"/>
                <w:szCs w:val="22"/>
                <w:lang w:val="es-ES"/>
              </w:rPr>
              <w:t>purposes</w:t>
            </w:r>
            <w:proofErr w:type="spellEnd"/>
            <w:r>
              <w:rPr>
                <w:rFonts w:eastAsia="Palatino Linotype"/>
                <w:spacing w:val="-1"/>
                <w:position w:val="1"/>
                <w:sz w:val="22"/>
                <w:szCs w:val="22"/>
                <w:lang w:val="es-ES"/>
              </w:rPr>
              <w:t xml:space="preserve"> </w:t>
            </w:r>
            <w:proofErr w:type="spellStart"/>
            <w:r>
              <w:rPr>
                <w:rFonts w:eastAsia="Palatino Linotype"/>
                <w:spacing w:val="-1"/>
                <w:position w:val="1"/>
                <w:sz w:val="22"/>
                <w:szCs w:val="22"/>
                <w:lang w:val="es-ES"/>
              </w:rPr>
              <w:t>established</w:t>
            </w:r>
            <w:proofErr w:type="spellEnd"/>
            <w:r>
              <w:rPr>
                <w:rFonts w:eastAsia="Palatino Linotype"/>
                <w:spacing w:val="-1"/>
                <w:position w:val="1"/>
                <w:sz w:val="22"/>
                <w:szCs w:val="22"/>
                <w:lang w:val="es-ES"/>
              </w:rPr>
              <w:t xml:space="preserve"> in Art. 66 </w:t>
            </w:r>
            <w:proofErr w:type="spellStart"/>
            <w:r>
              <w:rPr>
                <w:rFonts w:eastAsia="Palatino Linotype"/>
                <w:spacing w:val="-1"/>
                <w:position w:val="1"/>
                <w:sz w:val="22"/>
                <w:szCs w:val="22"/>
                <w:lang w:val="es-ES"/>
              </w:rPr>
              <w:t>of</w:t>
            </w:r>
            <w:proofErr w:type="spellEnd"/>
            <w:r>
              <w:rPr>
                <w:rFonts w:eastAsia="Palatino Linotype"/>
                <w:spacing w:val="-1"/>
                <w:position w:val="1"/>
                <w:sz w:val="22"/>
                <w:szCs w:val="22"/>
                <w:lang w:val="es-ES"/>
              </w:rPr>
              <w:t xml:space="preserve"> </w:t>
            </w:r>
            <w:proofErr w:type="spellStart"/>
            <w:r>
              <w:rPr>
                <w:rFonts w:eastAsia="Palatino Linotype"/>
                <w:spacing w:val="-1"/>
                <w:position w:val="1"/>
                <w:sz w:val="22"/>
                <w:szCs w:val="22"/>
                <w:lang w:val="es-ES"/>
              </w:rPr>
              <w:t>the</w:t>
            </w:r>
            <w:proofErr w:type="spellEnd"/>
            <w:r>
              <w:rPr>
                <w:rFonts w:eastAsia="Palatino Linotype"/>
                <w:spacing w:val="-1"/>
                <w:position w:val="1"/>
                <w:sz w:val="22"/>
                <w:szCs w:val="22"/>
                <w:lang w:val="es-ES"/>
              </w:rPr>
              <w:t xml:space="preserve"> TOCAF.</w:t>
            </w:r>
          </w:p>
        </w:tc>
      </w:tr>
      <w:tr w:rsidR="00E255F4" w14:paraId="5078B916" w14:textId="77777777">
        <w:tc>
          <w:tcPr>
            <w:tcW w:w="730" w:type="dxa"/>
            <w:tcBorders>
              <w:top w:val="single" w:sz="4" w:space="0" w:color="000000"/>
              <w:left w:val="single" w:sz="4" w:space="0" w:color="000000"/>
              <w:bottom w:val="single" w:sz="4" w:space="0" w:color="000000"/>
              <w:right w:val="single" w:sz="4" w:space="0" w:color="000000"/>
            </w:tcBorders>
          </w:tcPr>
          <w:p w14:paraId="49405DB2" w14:textId="77777777" w:rsidR="00E255F4" w:rsidRDefault="00000000">
            <w:pPr>
              <w:ind w:right="-36"/>
              <w:rPr>
                <w:rFonts w:eastAsia="Palatino Linotype"/>
                <w:b/>
                <w:sz w:val="22"/>
                <w:szCs w:val="22"/>
                <w:lang w:val="es-ES"/>
              </w:rPr>
            </w:pPr>
            <w:r>
              <w:rPr>
                <w:rFonts w:eastAsia="Palatino Linotype"/>
                <w:b/>
                <w:sz w:val="22"/>
                <w:szCs w:val="22"/>
                <w:lang w:val="es-ES"/>
              </w:rPr>
              <w:t>14.1</w:t>
            </w:r>
          </w:p>
        </w:tc>
        <w:tc>
          <w:tcPr>
            <w:tcW w:w="9048" w:type="dxa"/>
            <w:tcBorders>
              <w:top w:val="single" w:sz="4" w:space="0" w:color="000000"/>
              <w:left w:val="single" w:sz="4" w:space="0" w:color="000000"/>
              <w:bottom w:val="single" w:sz="4" w:space="0" w:color="000000"/>
              <w:right w:val="single" w:sz="4" w:space="0" w:color="000000"/>
            </w:tcBorders>
          </w:tcPr>
          <w:p w14:paraId="45575DD0" w14:textId="77777777" w:rsidR="00E255F4" w:rsidRDefault="00000000">
            <w:pPr>
              <w:jc w:val="both"/>
              <w:rPr>
                <w:rFonts w:eastAsia="Palatino Linotype"/>
                <w:b/>
                <w:spacing w:val="-1"/>
                <w:position w:val="1"/>
                <w:sz w:val="22"/>
                <w:lang w:val="es-ES"/>
              </w:rPr>
            </w:pPr>
            <w:proofErr w:type="spellStart"/>
            <w:r>
              <w:rPr>
                <w:rFonts w:eastAsia="Palatino Linotype"/>
                <w:b/>
                <w:spacing w:val="-1"/>
                <w:position w:val="1"/>
                <w:sz w:val="22"/>
                <w:lang w:val="es-ES"/>
              </w:rPr>
              <w:t>Dictation</w:t>
            </w:r>
            <w:proofErr w:type="spellEnd"/>
            <w:r>
              <w:rPr>
                <w:rFonts w:eastAsia="Palatino Linotype"/>
                <w:b/>
                <w:spacing w:val="-1"/>
                <w:position w:val="1"/>
                <w:sz w:val="22"/>
                <w:lang w:val="es-ES"/>
              </w:rPr>
              <w:t xml:space="preserve"> </w:t>
            </w:r>
            <w:proofErr w:type="spellStart"/>
            <w:r>
              <w:rPr>
                <w:rFonts w:eastAsia="Palatino Linotype"/>
                <w:b/>
                <w:spacing w:val="-1"/>
                <w:position w:val="1"/>
                <w:sz w:val="22"/>
                <w:lang w:val="es-ES"/>
              </w:rPr>
              <w:t>of</w:t>
            </w:r>
            <w:proofErr w:type="spellEnd"/>
            <w:r>
              <w:rPr>
                <w:rFonts w:eastAsia="Palatino Linotype"/>
                <w:b/>
                <w:spacing w:val="-1"/>
                <w:position w:val="1"/>
                <w:sz w:val="22"/>
                <w:lang w:val="es-ES"/>
              </w:rPr>
              <w:t xml:space="preserve"> </w:t>
            </w:r>
            <w:proofErr w:type="spellStart"/>
            <w:r>
              <w:rPr>
                <w:rFonts w:eastAsia="Palatino Linotype"/>
                <w:b/>
                <w:spacing w:val="-1"/>
                <w:position w:val="1"/>
                <w:sz w:val="22"/>
                <w:lang w:val="es-ES"/>
              </w:rPr>
              <w:t>the</w:t>
            </w:r>
            <w:proofErr w:type="spellEnd"/>
            <w:r>
              <w:rPr>
                <w:rFonts w:eastAsia="Palatino Linotype"/>
                <w:b/>
                <w:spacing w:val="-1"/>
                <w:position w:val="1"/>
                <w:sz w:val="22"/>
                <w:lang w:val="es-ES"/>
              </w:rPr>
              <w:t xml:space="preserve"> </w:t>
            </w:r>
            <w:proofErr w:type="spellStart"/>
            <w:r>
              <w:rPr>
                <w:rFonts w:eastAsia="Palatino Linotype"/>
                <w:b/>
                <w:spacing w:val="-1"/>
                <w:position w:val="1"/>
                <w:sz w:val="22"/>
                <w:lang w:val="es-ES"/>
              </w:rPr>
              <w:t>act</w:t>
            </w:r>
            <w:proofErr w:type="spellEnd"/>
          </w:p>
          <w:p w14:paraId="43B6E0D5" w14:textId="77777777" w:rsidR="00E255F4" w:rsidRDefault="00000000">
            <w:pPr>
              <w:jc w:val="both"/>
              <w:rPr>
                <w:rFonts w:eastAsia="Palatino Linotype"/>
                <w:b/>
                <w:spacing w:val="-1"/>
                <w:position w:val="1"/>
                <w:sz w:val="22"/>
                <w:lang w:val="es-ES"/>
              </w:rPr>
            </w:pPr>
            <w:proofErr w:type="spellStart"/>
            <w:r>
              <w:rPr>
                <w:rFonts w:eastAsia="Palatino Linotype"/>
                <w:b/>
                <w:spacing w:val="-1"/>
                <w:position w:val="1"/>
                <w:sz w:val="22"/>
                <w:lang w:val="es-ES"/>
              </w:rPr>
              <w:t>It</w:t>
            </w:r>
            <w:proofErr w:type="spellEnd"/>
            <w:r>
              <w:rPr>
                <w:rFonts w:eastAsia="Palatino Linotype"/>
                <w:b/>
                <w:spacing w:val="-1"/>
                <w:position w:val="1"/>
                <w:sz w:val="22"/>
                <w:lang w:val="es-ES"/>
              </w:rPr>
              <w:t xml:space="preserve"> </w:t>
            </w:r>
            <w:proofErr w:type="spellStart"/>
            <w:r>
              <w:rPr>
                <w:rFonts w:eastAsia="Palatino Linotype"/>
                <w:b/>
                <w:spacing w:val="-1"/>
                <w:position w:val="1"/>
                <w:sz w:val="22"/>
                <w:lang w:val="es-ES"/>
              </w:rPr>
              <w:t>is</w:t>
            </w:r>
            <w:proofErr w:type="spellEnd"/>
            <w:r>
              <w:rPr>
                <w:rFonts w:eastAsia="Palatino Linotype"/>
                <w:b/>
                <w:spacing w:val="-1"/>
                <w:position w:val="1"/>
                <w:sz w:val="22"/>
                <w:lang w:val="es-ES"/>
              </w:rPr>
              <w:t xml:space="preserve"> </w:t>
            </w:r>
            <w:proofErr w:type="spellStart"/>
            <w:r>
              <w:rPr>
                <w:rFonts w:eastAsia="Palatino Linotype"/>
                <w:b/>
                <w:spacing w:val="-1"/>
                <w:position w:val="1"/>
                <w:sz w:val="22"/>
                <w:lang w:val="es-ES"/>
              </w:rPr>
              <w:t>added</w:t>
            </w:r>
            <w:proofErr w:type="spellEnd"/>
            <w:r>
              <w:rPr>
                <w:rFonts w:eastAsia="Palatino Linotype"/>
                <w:b/>
                <w:spacing w:val="-1"/>
                <w:position w:val="1"/>
                <w:sz w:val="22"/>
                <w:lang w:val="es-ES"/>
              </w:rPr>
              <w:t>:</w:t>
            </w:r>
          </w:p>
          <w:p w14:paraId="59DC3746" w14:textId="77777777" w:rsidR="00E255F4" w:rsidRDefault="00E255F4">
            <w:pPr>
              <w:jc w:val="both"/>
              <w:rPr>
                <w:rFonts w:eastAsia="Palatino Linotype"/>
                <w:b/>
                <w:spacing w:val="-1"/>
                <w:position w:val="1"/>
                <w:sz w:val="22"/>
                <w:lang w:val="es-ES"/>
              </w:rPr>
            </w:pPr>
          </w:p>
          <w:p w14:paraId="704167D8" w14:textId="77777777" w:rsidR="00E255F4" w:rsidRDefault="00000000">
            <w:pPr>
              <w:jc w:val="both"/>
              <w:rPr>
                <w:rFonts w:eastAsia="Palatino Linotype"/>
                <w:spacing w:val="-1"/>
                <w:position w:val="1"/>
                <w:sz w:val="22"/>
                <w:lang w:val="es-ES"/>
              </w:rPr>
            </w:pPr>
            <w:r>
              <w:rPr>
                <w:rFonts w:eastAsia="Palatino Linotype"/>
                <w:spacing w:val="-1"/>
                <w:position w:val="1"/>
                <w:sz w:val="22"/>
                <w:lang w:val="es-ES"/>
              </w:rPr>
              <w:t xml:space="preserve">The </w:t>
            </w:r>
            <w:proofErr w:type="spellStart"/>
            <w:r>
              <w:rPr>
                <w:rFonts w:eastAsia="Palatino Linotype"/>
                <w:spacing w:val="-1"/>
                <w:position w:val="1"/>
                <w:sz w:val="22"/>
                <w:lang w:val="es-ES"/>
              </w:rPr>
              <w:t>award</w:t>
            </w:r>
            <w:proofErr w:type="spellEnd"/>
            <w:r>
              <w:rPr>
                <w:rFonts w:eastAsia="Palatino Linotype"/>
                <w:spacing w:val="-1"/>
                <w:position w:val="1"/>
                <w:sz w:val="22"/>
                <w:lang w:val="es-ES"/>
              </w:rPr>
              <w:t xml:space="preserve"> </w:t>
            </w:r>
            <w:proofErr w:type="spellStart"/>
            <w:r>
              <w:rPr>
                <w:rFonts w:eastAsia="Palatino Linotype"/>
                <w:spacing w:val="-1"/>
                <w:position w:val="1"/>
                <w:sz w:val="22"/>
                <w:lang w:val="es-ES"/>
              </w:rPr>
              <w:t>will</w:t>
            </w:r>
            <w:proofErr w:type="spellEnd"/>
            <w:r>
              <w:rPr>
                <w:rFonts w:eastAsia="Palatino Linotype"/>
                <w:spacing w:val="-1"/>
                <w:position w:val="1"/>
                <w:sz w:val="22"/>
                <w:lang w:val="es-ES"/>
              </w:rPr>
              <w:t xml:space="preserve"> be </w:t>
            </w:r>
            <w:proofErr w:type="spellStart"/>
            <w:r>
              <w:rPr>
                <w:rFonts w:eastAsia="Palatino Linotype"/>
                <w:spacing w:val="-1"/>
                <w:position w:val="1"/>
                <w:sz w:val="22"/>
                <w:lang w:val="es-ES"/>
              </w:rPr>
              <w:t>made</w:t>
            </w:r>
            <w:proofErr w:type="spellEnd"/>
            <w:r>
              <w:rPr>
                <w:rFonts w:eastAsia="Palatino Linotype"/>
                <w:spacing w:val="-1"/>
                <w:position w:val="1"/>
                <w:sz w:val="22"/>
                <w:lang w:val="es-ES"/>
              </w:rPr>
              <w:t xml:space="preserve"> in full, in </w:t>
            </w:r>
            <w:proofErr w:type="spellStart"/>
            <w:r>
              <w:rPr>
                <w:rFonts w:eastAsia="Palatino Linotype"/>
                <w:spacing w:val="-1"/>
                <w:position w:val="1"/>
                <w:sz w:val="22"/>
                <w:lang w:val="es-ES"/>
              </w:rPr>
              <w:t>accordance</w:t>
            </w:r>
            <w:proofErr w:type="spellEnd"/>
            <w:r>
              <w:rPr>
                <w:rFonts w:eastAsia="Palatino Linotype"/>
                <w:spacing w:val="-1"/>
                <w:position w:val="1"/>
                <w:sz w:val="22"/>
                <w:lang w:val="es-ES"/>
              </w:rPr>
              <w:t xml:space="preserve"> </w:t>
            </w:r>
            <w:proofErr w:type="spellStart"/>
            <w:r>
              <w:rPr>
                <w:rFonts w:eastAsia="Palatino Linotype"/>
                <w:spacing w:val="-1"/>
                <w:position w:val="1"/>
                <w:sz w:val="22"/>
                <w:lang w:val="es-ES"/>
              </w:rPr>
              <w:t>with</w:t>
            </w:r>
            <w:proofErr w:type="spellEnd"/>
            <w:r>
              <w:rPr>
                <w:rFonts w:eastAsia="Palatino Linotype"/>
                <w:spacing w:val="-1"/>
                <w:position w:val="1"/>
                <w:sz w:val="22"/>
                <w:lang w:val="es-ES"/>
              </w:rPr>
              <w:t xml:space="preserve"> </w:t>
            </w:r>
            <w:proofErr w:type="spellStart"/>
            <w:r>
              <w:rPr>
                <w:rFonts w:eastAsia="Palatino Linotype"/>
                <w:spacing w:val="-1"/>
                <w:position w:val="1"/>
                <w:sz w:val="22"/>
                <w:lang w:val="es-ES"/>
              </w:rPr>
              <w:t>the</w:t>
            </w:r>
            <w:proofErr w:type="spellEnd"/>
            <w:r>
              <w:rPr>
                <w:rFonts w:eastAsia="Palatino Linotype"/>
                <w:spacing w:val="-1"/>
                <w:position w:val="1"/>
                <w:sz w:val="22"/>
                <w:lang w:val="es-ES"/>
              </w:rPr>
              <w:t xml:space="preserve"> </w:t>
            </w:r>
            <w:proofErr w:type="spellStart"/>
            <w:r>
              <w:rPr>
                <w:rFonts w:eastAsia="Palatino Linotype"/>
                <w:spacing w:val="-1"/>
                <w:position w:val="1"/>
                <w:sz w:val="22"/>
                <w:lang w:val="es-ES"/>
              </w:rPr>
              <w:t>provisions</w:t>
            </w:r>
            <w:proofErr w:type="spellEnd"/>
            <w:r>
              <w:rPr>
                <w:rFonts w:eastAsia="Palatino Linotype"/>
                <w:spacing w:val="-1"/>
                <w:position w:val="1"/>
                <w:sz w:val="22"/>
                <w:lang w:val="es-ES"/>
              </w:rPr>
              <w:t xml:space="preserve"> </w:t>
            </w:r>
            <w:proofErr w:type="spellStart"/>
            <w:r>
              <w:rPr>
                <w:rFonts w:eastAsia="Palatino Linotype"/>
                <w:spacing w:val="-1"/>
                <w:position w:val="1"/>
                <w:sz w:val="22"/>
                <w:lang w:val="es-ES"/>
              </w:rPr>
              <w:t>of</w:t>
            </w:r>
            <w:proofErr w:type="spellEnd"/>
            <w:r>
              <w:rPr>
                <w:rFonts w:eastAsia="Palatino Linotype"/>
                <w:spacing w:val="-1"/>
                <w:position w:val="1"/>
                <w:sz w:val="22"/>
                <w:lang w:val="es-ES"/>
              </w:rPr>
              <w:t xml:space="preserve"> </w:t>
            </w:r>
            <w:proofErr w:type="spellStart"/>
            <w:r>
              <w:rPr>
                <w:rFonts w:eastAsia="Palatino Linotype"/>
                <w:spacing w:val="-1"/>
                <w:position w:val="1"/>
                <w:sz w:val="22"/>
                <w:lang w:val="es-ES"/>
              </w:rPr>
              <w:t>Articles</w:t>
            </w:r>
            <w:proofErr w:type="spellEnd"/>
            <w:r>
              <w:rPr>
                <w:rFonts w:eastAsia="Palatino Linotype"/>
                <w:spacing w:val="-1"/>
                <w:position w:val="1"/>
                <w:sz w:val="22"/>
                <w:lang w:val="es-ES"/>
              </w:rPr>
              <w:t xml:space="preserve"> 10.2, 10.3 and 13.3.</w:t>
            </w:r>
          </w:p>
          <w:p w14:paraId="1839CD7F" w14:textId="77777777" w:rsidR="00E255F4" w:rsidRDefault="00E255F4">
            <w:pPr>
              <w:jc w:val="both"/>
              <w:rPr>
                <w:rFonts w:eastAsia="Palatino Linotype"/>
                <w:spacing w:val="-1"/>
                <w:position w:val="1"/>
                <w:sz w:val="22"/>
                <w:lang w:val="es-ES"/>
              </w:rPr>
            </w:pPr>
          </w:p>
          <w:p w14:paraId="7C8D36B5" w14:textId="77777777" w:rsidR="00E255F4" w:rsidRDefault="00000000">
            <w:pPr>
              <w:jc w:val="both"/>
              <w:rPr>
                <w:rFonts w:eastAsia="Palatino Linotype"/>
                <w:spacing w:val="-1"/>
                <w:position w:val="1"/>
                <w:sz w:val="22"/>
                <w:szCs w:val="22"/>
                <w:lang w:val="es-ES"/>
              </w:rPr>
            </w:pPr>
            <w:r>
              <w:rPr>
                <w:rFonts w:eastAsia="Palatino Linotype"/>
                <w:spacing w:val="-1"/>
                <w:position w:val="1"/>
                <w:sz w:val="22"/>
                <w:lang w:val="es-ES"/>
              </w:rPr>
              <w:t xml:space="preserve">OSE </w:t>
            </w:r>
            <w:proofErr w:type="spellStart"/>
            <w:r>
              <w:rPr>
                <w:rFonts w:eastAsia="Palatino Linotype"/>
                <w:spacing w:val="-1"/>
                <w:position w:val="1"/>
                <w:sz w:val="22"/>
                <w:lang w:val="es-ES"/>
              </w:rPr>
              <w:t>may</w:t>
            </w:r>
            <w:proofErr w:type="spellEnd"/>
            <w:r>
              <w:rPr>
                <w:rFonts w:eastAsia="Palatino Linotype"/>
                <w:spacing w:val="-1"/>
                <w:position w:val="1"/>
                <w:sz w:val="22"/>
                <w:lang w:val="es-ES"/>
              </w:rPr>
              <w:t xml:space="preserve"> </w:t>
            </w:r>
            <w:proofErr w:type="spellStart"/>
            <w:r>
              <w:rPr>
                <w:rFonts w:eastAsia="Palatino Linotype"/>
                <w:spacing w:val="-1"/>
                <w:position w:val="1"/>
                <w:sz w:val="22"/>
                <w:lang w:val="es-ES"/>
              </w:rPr>
              <w:t>reject</w:t>
            </w:r>
            <w:proofErr w:type="spellEnd"/>
            <w:r>
              <w:rPr>
                <w:rFonts w:eastAsia="Palatino Linotype"/>
                <w:spacing w:val="-1"/>
                <w:position w:val="1"/>
                <w:sz w:val="22"/>
                <w:lang w:val="es-ES"/>
              </w:rPr>
              <w:t xml:space="preserve"> </w:t>
            </w:r>
            <w:proofErr w:type="spellStart"/>
            <w:r>
              <w:rPr>
                <w:rFonts w:eastAsia="Palatino Linotype"/>
                <w:spacing w:val="-1"/>
                <w:position w:val="1"/>
                <w:sz w:val="22"/>
                <w:lang w:val="es-ES"/>
              </w:rPr>
              <w:t>all</w:t>
            </w:r>
            <w:proofErr w:type="spellEnd"/>
            <w:r>
              <w:rPr>
                <w:rFonts w:eastAsia="Palatino Linotype"/>
                <w:spacing w:val="-1"/>
                <w:position w:val="1"/>
                <w:sz w:val="22"/>
                <w:lang w:val="es-ES"/>
              </w:rPr>
              <w:t xml:space="preserve"> </w:t>
            </w:r>
            <w:proofErr w:type="spellStart"/>
            <w:r>
              <w:rPr>
                <w:rFonts w:eastAsia="Palatino Linotype"/>
                <w:spacing w:val="-1"/>
                <w:position w:val="1"/>
                <w:sz w:val="22"/>
                <w:lang w:val="es-ES"/>
              </w:rPr>
              <w:t>proposals</w:t>
            </w:r>
            <w:proofErr w:type="spellEnd"/>
            <w:r>
              <w:rPr>
                <w:rFonts w:eastAsia="Palatino Linotype"/>
                <w:spacing w:val="-1"/>
                <w:position w:val="1"/>
                <w:sz w:val="22"/>
                <w:lang w:val="es-ES"/>
              </w:rPr>
              <w:t>.</w:t>
            </w:r>
          </w:p>
        </w:tc>
      </w:tr>
      <w:tr w:rsidR="00E255F4" w14:paraId="24F26707" w14:textId="77777777">
        <w:tc>
          <w:tcPr>
            <w:tcW w:w="730" w:type="dxa"/>
            <w:tcBorders>
              <w:top w:val="single" w:sz="4" w:space="0" w:color="000000"/>
              <w:left w:val="single" w:sz="4" w:space="0" w:color="000000"/>
              <w:bottom w:val="single" w:sz="4" w:space="0" w:color="000000"/>
              <w:right w:val="single" w:sz="4" w:space="0" w:color="000000"/>
            </w:tcBorders>
          </w:tcPr>
          <w:p w14:paraId="42615A3B" w14:textId="77777777" w:rsidR="00E255F4" w:rsidRDefault="00000000">
            <w:pPr>
              <w:ind w:right="-36"/>
              <w:jc w:val="both"/>
              <w:rPr>
                <w:rFonts w:eastAsia="Palatino Linotype"/>
                <w:b/>
                <w:sz w:val="22"/>
                <w:szCs w:val="22"/>
              </w:rPr>
            </w:pPr>
            <w:r>
              <w:rPr>
                <w:rFonts w:eastAsia="Palatino Linotype"/>
                <w:b/>
                <w:sz w:val="22"/>
                <w:szCs w:val="22"/>
              </w:rPr>
              <w:t>14.2</w:t>
            </w:r>
          </w:p>
        </w:tc>
        <w:tc>
          <w:tcPr>
            <w:tcW w:w="9048" w:type="dxa"/>
            <w:tcBorders>
              <w:top w:val="single" w:sz="4" w:space="0" w:color="000000"/>
              <w:left w:val="single" w:sz="4" w:space="0" w:color="000000"/>
              <w:bottom w:val="single" w:sz="4" w:space="0" w:color="000000"/>
              <w:right w:val="single" w:sz="4" w:space="0" w:color="000000"/>
            </w:tcBorders>
          </w:tcPr>
          <w:p w14:paraId="2BCF7016" w14:textId="77777777" w:rsidR="00E255F4" w:rsidRDefault="00000000">
            <w:pPr>
              <w:jc w:val="both"/>
              <w:rPr>
                <w:rFonts w:eastAsia="Palatino Linotype"/>
                <w:b/>
                <w:spacing w:val="-1"/>
                <w:position w:val="1"/>
                <w:sz w:val="22"/>
                <w:szCs w:val="22"/>
              </w:rPr>
            </w:pPr>
            <w:proofErr w:type="spellStart"/>
            <w:r>
              <w:rPr>
                <w:rFonts w:eastAsia="Palatino Linotype"/>
                <w:b/>
                <w:spacing w:val="-1"/>
                <w:position w:val="1"/>
                <w:sz w:val="22"/>
                <w:szCs w:val="22"/>
              </w:rPr>
              <w:t>Awarding</w:t>
            </w:r>
            <w:proofErr w:type="spellEnd"/>
            <w:r>
              <w:rPr>
                <w:rFonts w:eastAsia="Palatino Linotype"/>
                <w:b/>
                <w:spacing w:val="-1"/>
                <w:position w:val="1"/>
                <w:sz w:val="22"/>
                <w:szCs w:val="22"/>
              </w:rPr>
              <w:t xml:space="preserve"> - Formal </w:t>
            </w:r>
            <w:proofErr w:type="spellStart"/>
            <w:r>
              <w:rPr>
                <w:rFonts w:eastAsia="Palatino Linotype"/>
                <w:b/>
                <w:spacing w:val="-1"/>
                <w:position w:val="1"/>
                <w:sz w:val="22"/>
                <w:szCs w:val="22"/>
              </w:rPr>
              <w:t>Requirements</w:t>
            </w:r>
            <w:proofErr w:type="spellEnd"/>
          </w:p>
          <w:p w14:paraId="500BCFFC" w14:textId="77777777" w:rsidR="00E255F4" w:rsidRDefault="00E255F4">
            <w:pPr>
              <w:jc w:val="both"/>
              <w:rPr>
                <w:rFonts w:eastAsia="Palatino Linotype"/>
                <w:b/>
                <w:spacing w:val="-1"/>
                <w:position w:val="1"/>
                <w:sz w:val="22"/>
                <w:szCs w:val="22"/>
              </w:rPr>
            </w:pPr>
          </w:p>
          <w:p w14:paraId="7036E823" w14:textId="77777777" w:rsidR="00E255F4" w:rsidRDefault="00000000">
            <w:pPr>
              <w:pStyle w:val="Prrafodelista"/>
              <w:numPr>
                <w:ilvl w:val="0"/>
                <w:numId w:val="49"/>
              </w:numPr>
              <w:tabs>
                <w:tab w:val="left" w:pos="-1800"/>
                <w:tab w:val="left" w:pos="-720"/>
                <w:tab w:val="left" w:pos="426"/>
              </w:tabs>
              <w:ind w:left="371" w:right="176" w:hanging="371"/>
              <w:jc w:val="both"/>
              <w:rPr>
                <w:rFonts w:eastAsia="Palatino Linotype"/>
                <w:spacing w:val="-1"/>
                <w:position w:val="1"/>
                <w:sz w:val="22"/>
                <w:szCs w:val="22"/>
                <w:lang w:val="es-UY"/>
              </w:rPr>
            </w:pPr>
            <w:proofErr w:type="spellStart"/>
            <w:r>
              <w:rPr>
                <w:rFonts w:eastAsia="Palatino Linotype"/>
                <w:spacing w:val="-1"/>
                <w:position w:val="1"/>
                <w:sz w:val="22"/>
                <w:szCs w:val="22"/>
                <w:lang w:val="es-UY"/>
              </w:rPr>
              <w:lastRenderedPageBreak/>
              <w:t>To</w:t>
            </w:r>
            <w:proofErr w:type="spellEnd"/>
            <w:r>
              <w:rPr>
                <w:rFonts w:eastAsia="Palatino Linotype"/>
                <w:spacing w:val="-1"/>
                <w:position w:val="1"/>
                <w:sz w:val="22"/>
                <w:szCs w:val="22"/>
                <w:lang w:val="es-UY"/>
              </w:rPr>
              <w:t xml:space="preserve"> be </w:t>
            </w:r>
            <w:proofErr w:type="spellStart"/>
            <w:r>
              <w:rPr>
                <w:rFonts w:eastAsia="Palatino Linotype"/>
                <w:spacing w:val="-1"/>
                <w:position w:val="1"/>
                <w:sz w:val="22"/>
                <w:szCs w:val="22"/>
                <w:lang w:val="es-UY"/>
              </w:rPr>
              <w:t>awarded</w:t>
            </w:r>
            <w:proofErr w:type="spellEnd"/>
            <w:r>
              <w:rPr>
                <w:rFonts w:eastAsia="Palatino Linotype"/>
                <w:spacing w:val="-1"/>
                <w:position w:val="1"/>
                <w:sz w:val="22"/>
                <w:szCs w:val="22"/>
                <w:lang w:val="es-UY"/>
              </w:rPr>
              <w:t xml:space="preserve"> </w:t>
            </w:r>
            <w:proofErr w:type="spellStart"/>
            <w:r>
              <w:rPr>
                <w:rFonts w:eastAsia="Palatino Linotype"/>
                <w:spacing w:val="-1"/>
                <w:position w:val="1"/>
                <w:sz w:val="22"/>
                <w:szCs w:val="22"/>
                <w:lang w:val="es-UY"/>
              </w:rPr>
              <w:t>the</w:t>
            </w:r>
            <w:proofErr w:type="spellEnd"/>
            <w:r>
              <w:rPr>
                <w:rFonts w:eastAsia="Palatino Linotype"/>
                <w:spacing w:val="-1"/>
                <w:position w:val="1"/>
                <w:sz w:val="22"/>
                <w:szCs w:val="22"/>
                <w:lang w:val="es-UY"/>
              </w:rPr>
              <w:t xml:space="preserve"> </w:t>
            </w:r>
            <w:proofErr w:type="spellStart"/>
            <w:r>
              <w:rPr>
                <w:rFonts w:eastAsia="Palatino Linotype"/>
                <w:spacing w:val="-1"/>
                <w:position w:val="1"/>
                <w:sz w:val="22"/>
                <w:szCs w:val="22"/>
                <w:lang w:val="es-UY"/>
              </w:rPr>
              <w:t>contract</w:t>
            </w:r>
            <w:proofErr w:type="spellEnd"/>
            <w:r>
              <w:rPr>
                <w:rFonts w:eastAsia="Palatino Linotype"/>
                <w:spacing w:val="-1"/>
                <w:position w:val="1"/>
                <w:sz w:val="22"/>
                <w:szCs w:val="22"/>
                <w:lang w:val="es-UY"/>
              </w:rPr>
              <w:t xml:space="preserve">, </w:t>
            </w:r>
            <w:proofErr w:type="spellStart"/>
            <w:r>
              <w:rPr>
                <w:rFonts w:eastAsia="Palatino Linotype"/>
                <w:spacing w:val="-1"/>
                <w:position w:val="1"/>
                <w:sz w:val="22"/>
                <w:szCs w:val="22"/>
                <w:lang w:val="es-UY"/>
              </w:rPr>
              <w:t>bidders</w:t>
            </w:r>
            <w:proofErr w:type="spellEnd"/>
            <w:r>
              <w:rPr>
                <w:rFonts w:eastAsia="Palatino Linotype"/>
                <w:spacing w:val="-1"/>
                <w:position w:val="1"/>
                <w:sz w:val="22"/>
                <w:szCs w:val="22"/>
                <w:lang w:val="es-UY"/>
              </w:rPr>
              <w:t xml:space="preserve"> </w:t>
            </w:r>
            <w:proofErr w:type="spellStart"/>
            <w:r>
              <w:rPr>
                <w:rFonts w:eastAsia="Palatino Linotype"/>
                <w:spacing w:val="-1"/>
                <w:position w:val="1"/>
                <w:sz w:val="22"/>
                <w:szCs w:val="22"/>
                <w:lang w:val="es-UY"/>
              </w:rPr>
              <w:t>must</w:t>
            </w:r>
            <w:proofErr w:type="spellEnd"/>
            <w:r>
              <w:rPr>
                <w:rFonts w:eastAsia="Palatino Linotype"/>
                <w:spacing w:val="-1"/>
                <w:position w:val="1"/>
                <w:sz w:val="22"/>
                <w:szCs w:val="22"/>
                <w:lang w:val="es-UY"/>
              </w:rPr>
              <w:t xml:space="preserve"> be </w:t>
            </w:r>
            <w:proofErr w:type="spellStart"/>
            <w:r>
              <w:rPr>
                <w:rFonts w:eastAsia="Palatino Linotype"/>
                <w:spacing w:val="-1"/>
                <w:position w:val="1"/>
                <w:sz w:val="22"/>
                <w:szCs w:val="22"/>
                <w:lang w:val="es-UY"/>
              </w:rPr>
              <w:t>definitively</w:t>
            </w:r>
            <w:proofErr w:type="spellEnd"/>
            <w:r>
              <w:rPr>
                <w:rFonts w:eastAsia="Palatino Linotype"/>
                <w:spacing w:val="-1"/>
                <w:position w:val="1"/>
                <w:sz w:val="22"/>
                <w:szCs w:val="22"/>
                <w:lang w:val="es-UY"/>
              </w:rPr>
              <w:t xml:space="preserve"> </w:t>
            </w:r>
            <w:proofErr w:type="spellStart"/>
            <w:r>
              <w:rPr>
                <w:rFonts w:eastAsia="Palatino Linotype"/>
                <w:spacing w:val="-1"/>
                <w:position w:val="1"/>
                <w:sz w:val="22"/>
                <w:szCs w:val="22"/>
                <w:lang w:val="es-UY"/>
              </w:rPr>
              <w:t>registered</w:t>
            </w:r>
            <w:proofErr w:type="spellEnd"/>
            <w:r>
              <w:rPr>
                <w:rFonts w:eastAsia="Palatino Linotype"/>
                <w:spacing w:val="-1"/>
                <w:position w:val="1"/>
                <w:sz w:val="22"/>
                <w:szCs w:val="22"/>
                <w:lang w:val="es-UY"/>
              </w:rPr>
              <w:t xml:space="preserve"> in </w:t>
            </w:r>
            <w:proofErr w:type="spellStart"/>
            <w:r>
              <w:rPr>
                <w:rFonts w:eastAsia="Palatino Linotype"/>
                <w:spacing w:val="-1"/>
                <w:position w:val="1"/>
                <w:sz w:val="22"/>
                <w:szCs w:val="22"/>
                <w:lang w:val="es-UY"/>
              </w:rPr>
              <w:t>the</w:t>
            </w:r>
            <w:proofErr w:type="spellEnd"/>
            <w:r>
              <w:rPr>
                <w:rFonts w:eastAsia="Palatino Linotype"/>
                <w:spacing w:val="-1"/>
                <w:position w:val="1"/>
                <w:sz w:val="22"/>
                <w:szCs w:val="22"/>
                <w:lang w:val="es-UY"/>
              </w:rPr>
              <w:t xml:space="preserve"> </w:t>
            </w:r>
            <w:proofErr w:type="spellStart"/>
            <w:r>
              <w:rPr>
                <w:rFonts w:eastAsia="Palatino Linotype"/>
                <w:spacing w:val="-1"/>
                <w:position w:val="1"/>
                <w:sz w:val="22"/>
                <w:szCs w:val="22"/>
                <w:lang w:val="es-UY"/>
              </w:rPr>
              <w:t>aforementioned</w:t>
            </w:r>
            <w:proofErr w:type="spellEnd"/>
            <w:r>
              <w:rPr>
                <w:rFonts w:eastAsia="Palatino Linotype"/>
                <w:spacing w:val="-1"/>
                <w:position w:val="1"/>
                <w:sz w:val="22"/>
                <w:szCs w:val="22"/>
                <w:lang w:val="es-UY"/>
              </w:rPr>
              <w:t xml:space="preserve"> </w:t>
            </w:r>
            <w:proofErr w:type="spellStart"/>
            <w:r>
              <w:rPr>
                <w:rFonts w:eastAsia="Palatino Linotype"/>
                <w:spacing w:val="-1"/>
                <w:position w:val="1"/>
                <w:sz w:val="22"/>
                <w:szCs w:val="22"/>
                <w:lang w:val="es-UY"/>
              </w:rPr>
              <w:t>Registry</w:t>
            </w:r>
            <w:proofErr w:type="spellEnd"/>
            <w:r>
              <w:rPr>
                <w:rFonts w:eastAsia="Palatino Linotype"/>
                <w:spacing w:val="-1"/>
                <w:position w:val="1"/>
                <w:sz w:val="22"/>
                <w:szCs w:val="22"/>
                <w:lang w:val="es-UY"/>
              </w:rPr>
              <w:t xml:space="preserve"> (RUPE), </w:t>
            </w:r>
            <w:proofErr w:type="spellStart"/>
            <w:r>
              <w:rPr>
                <w:rFonts w:eastAsia="Palatino Linotype"/>
                <w:spacing w:val="-1"/>
                <w:position w:val="1"/>
                <w:sz w:val="22"/>
                <w:szCs w:val="22"/>
                <w:lang w:val="es-UY"/>
              </w:rPr>
              <w:t>having</w:t>
            </w:r>
            <w:proofErr w:type="spellEnd"/>
            <w:r>
              <w:rPr>
                <w:rFonts w:eastAsia="Palatino Linotype"/>
                <w:spacing w:val="-1"/>
                <w:position w:val="1"/>
                <w:sz w:val="22"/>
                <w:szCs w:val="22"/>
                <w:lang w:val="es-UY"/>
              </w:rPr>
              <w:t xml:space="preserve"> </w:t>
            </w:r>
            <w:proofErr w:type="spellStart"/>
            <w:r>
              <w:rPr>
                <w:rFonts w:eastAsia="Palatino Linotype"/>
                <w:spacing w:val="-1"/>
                <w:position w:val="1"/>
                <w:sz w:val="22"/>
                <w:szCs w:val="22"/>
                <w:lang w:val="es-UY"/>
              </w:rPr>
              <w:t>acquired</w:t>
            </w:r>
            <w:proofErr w:type="spellEnd"/>
            <w:r>
              <w:rPr>
                <w:rFonts w:eastAsia="Palatino Linotype"/>
                <w:spacing w:val="-1"/>
                <w:position w:val="1"/>
                <w:sz w:val="22"/>
                <w:szCs w:val="22"/>
                <w:lang w:val="es-UY"/>
              </w:rPr>
              <w:t xml:space="preserve"> </w:t>
            </w:r>
            <w:proofErr w:type="spellStart"/>
            <w:r>
              <w:rPr>
                <w:rFonts w:eastAsia="Palatino Linotype"/>
                <w:spacing w:val="-1"/>
                <w:position w:val="1"/>
                <w:sz w:val="22"/>
                <w:szCs w:val="22"/>
                <w:lang w:val="es-UY"/>
              </w:rPr>
              <w:t>the</w:t>
            </w:r>
            <w:proofErr w:type="spellEnd"/>
            <w:r>
              <w:rPr>
                <w:rFonts w:eastAsia="Palatino Linotype"/>
                <w:spacing w:val="-1"/>
                <w:position w:val="1"/>
                <w:sz w:val="22"/>
                <w:szCs w:val="22"/>
                <w:lang w:val="es-UY"/>
              </w:rPr>
              <w:t xml:space="preserve"> </w:t>
            </w:r>
            <w:proofErr w:type="gramStart"/>
            <w:r>
              <w:rPr>
                <w:rFonts w:eastAsia="Palatino Linotype"/>
                <w:spacing w:val="-1"/>
                <w:position w:val="1"/>
                <w:sz w:val="22"/>
                <w:szCs w:val="22"/>
                <w:lang w:val="es-UY"/>
              </w:rPr>
              <w:t>status</w:t>
            </w:r>
            <w:proofErr w:type="gramEnd"/>
            <w:r>
              <w:rPr>
                <w:rFonts w:eastAsia="Palatino Linotype"/>
                <w:spacing w:val="-1"/>
                <w:position w:val="1"/>
                <w:sz w:val="22"/>
                <w:szCs w:val="22"/>
                <w:lang w:val="es-UY"/>
              </w:rPr>
              <w:t xml:space="preserve"> </w:t>
            </w:r>
            <w:proofErr w:type="spellStart"/>
            <w:r>
              <w:rPr>
                <w:rFonts w:eastAsia="Palatino Linotype"/>
                <w:spacing w:val="-1"/>
                <w:position w:val="1"/>
                <w:sz w:val="22"/>
                <w:szCs w:val="22"/>
                <w:lang w:val="es-UY"/>
              </w:rPr>
              <w:t>of</w:t>
            </w:r>
            <w:proofErr w:type="spellEnd"/>
            <w:r>
              <w:rPr>
                <w:rFonts w:eastAsia="Palatino Linotype"/>
                <w:spacing w:val="-1"/>
                <w:position w:val="1"/>
                <w:sz w:val="22"/>
                <w:szCs w:val="22"/>
                <w:lang w:val="es-UY"/>
              </w:rPr>
              <w:t xml:space="preserve"> “ACTIVE”.</w:t>
            </w:r>
          </w:p>
          <w:p w14:paraId="05746EA5" w14:textId="77777777" w:rsidR="00E255F4" w:rsidRDefault="00E255F4">
            <w:pPr>
              <w:pStyle w:val="Prrafodelista"/>
              <w:tabs>
                <w:tab w:val="left" w:pos="-1800"/>
                <w:tab w:val="left" w:pos="-720"/>
                <w:tab w:val="left" w:pos="426"/>
              </w:tabs>
              <w:ind w:left="371" w:right="176"/>
              <w:jc w:val="both"/>
              <w:rPr>
                <w:rFonts w:eastAsia="Palatino Linotype"/>
                <w:spacing w:val="-1"/>
                <w:position w:val="1"/>
                <w:sz w:val="22"/>
                <w:szCs w:val="22"/>
                <w:lang w:val="es-UY"/>
              </w:rPr>
            </w:pPr>
          </w:p>
          <w:p w14:paraId="5EC56105" w14:textId="77777777" w:rsidR="00E255F4" w:rsidRDefault="00000000">
            <w:pPr>
              <w:ind w:left="371"/>
              <w:jc w:val="both"/>
            </w:pPr>
            <w:proofErr w:type="spellStart"/>
            <w:r>
              <w:rPr>
                <w:rFonts w:eastAsia="Palatino Linotype"/>
                <w:spacing w:val="-1"/>
                <w:position w:val="1"/>
                <w:sz w:val="22"/>
                <w:szCs w:val="22"/>
              </w:rPr>
              <w:t>If</w:t>
            </w:r>
            <w:proofErr w:type="spellEnd"/>
            <w:r>
              <w:rPr>
                <w:rFonts w:eastAsia="Palatino Linotype"/>
                <w:spacing w:val="-1"/>
                <w:position w:val="1"/>
                <w:sz w:val="22"/>
                <w:szCs w:val="22"/>
              </w:rPr>
              <w:t xml:space="preserve"> at </w:t>
            </w:r>
            <w:proofErr w:type="spellStart"/>
            <w:r>
              <w:rPr>
                <w:rFonts w:eastAsia="Palatino Linotype"/>
                <w:spacing w:val="-1"/>
                <w:position w:val="1"/>
                <w:sz w:val="22"/>
                <w:szCs w:val="22"/>
              </w:rPr>
              <w:t>the</w:t>
            </w:r>
            <w:proofErr w:type="spellEnd"/>
            <w:r>
              <w:rPr>
                <w:rFonts w:eastAsia="Palatino Linotype"/>
                <w:spacing w:val="-1"/>
                <w:position w:val="1"/>
                <w:sz w:val="22"/>
                <w:szCs w:val="22"/>
              </w:rPr>
              <w:t xml:space="preserve"> time </w:t>
            </w:r>
            <w:proofErr w:type="spellStart"/>
            <w:r>
              <w:rPr>
                <w:rFonts w:eastAsia="Palatino Linotype"/>
                <w:spacing w:val="-1"/>
                <w:position w:val="1"/>
                <w:sz w:val="22"/>
                <w:szCs w:val="22"/>
              </w:rPr>
              <w:t>of</w:t>
            </w:r>
            <w:proofErr w:type="spellEnd"/>
            <w:r>
              <w:rPr>
                <w:rFonts w:eastAsia="Palatino Linotype"/>
                <w:spacing w:val="-1"/>
                <w:position w:val="1"/>
                <w:sz w:val="22"/>
                <w:szCs w:val="22"/>
              </w:rPr>
              <w:t xml:space="preserve"> </w:t>
            </w:r>
            <w:proofErr w:type="spellStart"/>
            <w:r>
              <w:rPr>
                <w:rFonts w:eastAsia="Palatino Linotype"/>
                <w:spacing w:val="-1"/>
                <w:position w:val="1"/>
                <w:sz w:val="22"/>
                <w:szCs w:val="22"/>
              </w:rPr>
              <w:t>the</w:t>
            </w:r>
            <w:proofErr w:type="spellEnd"/>
            <w:r>
              <w:rPr>
                <w:rFonts w:eastAsia="Palatino Linotype"/>
                <w:spacing w:val="-1"/>
                <w:position w:val="1"/>
                <w:sz w:val="22"/>
                <w:szCs w:val="22"/>
              </w:rPr>
              <w:t xml:space="preserve"> </w:t>
            </w:r>
            <w:proofErr w:type="spellStart"/>
            <w:r>
              <w:rPr>
                <w:rFonts w:eastAsia="Palatino Linotype"/>
                <w:spacing w:val="-1"/>
                <w:position w:val="1"/>
                <w:sz w:val="22"/>
                <w:szCs w:val="22"/>
              </w:rPr>
              <w:t>award</w:t>
            </w:r>
            <w:proofErr w:type="spellEnd"/>
            <w:r>
              <w:rPr>
                <w:rFonts w:eastAsia="Palatino Linotype"/>
                <w:spacing w:val="-1"/>
                <w:position w:val="1"/>
                <w:sz w:val="22"/>
                <w:szCs w:val="22"/>
              </w:rPr>
              <w:t xml:space="preserve">, </w:t>
            </w:r>
            <w:proofErr w:type="spellStart"/>
            <w:r>
              <w:rPr>
                <w:rFonts w:eastAsia="Palatino Linotype"/>
                <w:spacing w:val="-1"/>
                <w:position w:val="1"/>
                <w:sz w:val="22"/>
                <w:szCs w:val="22"/>
              </w:rPr>
              <w:t>the</w:t>
            </w:r>
            <w:proofErr w:type="spellEnd"/>
            <w:r>
              <w:rPr>
                <w:rFonts w:eastAsia="Palatino Linotype"/>
                <w:spacing w:val="-1"/>
                <w:position w:val="1"/>
                <w:sz w:val="22"/>
                <w:szCs w:val="22"/>
              </w:rPr>
              <w:t xml:space="preserve"> </w:t>
            </w:r>
            <w:proofErr w:type="spellStart"/>
            <w:r>
              <w:rPr>
                <w:rFonts w:eastAsia="Palatino Linotype"/>
                <w:spacing w:val="-1"/>
                <w:position w:val="1"/>
                <w:sz w:val="22"/>
                <w:szCs w:val="22"/>
              </w:rPr>
              <w:t>winning</w:t>
            </w:r>
            <w:proofErr w:type="spellEnd"/>
            <w:r>
              <w:rPr>
                <w:rFonts w:eastAsia="Palatino Linotype"/>
                <w:spacing w:val="-1"/>
                <w:position w:val="1"/>
                <w:sz w:val="22"/>
                <w:szCs w:val="22"/>
              </w:rPr>
              <w:t xml:space="preserve"> </w:t>
            </w:r>
            <w:proofErr w:type="spellStart"/>
            <w:r>
              <w:rPr>
                <w:rFonts w:eastAsia="Palatino Linotype"/>
                <w:spacing w:val="-1"/>
                <w:position w:val="1"/>
                <w:sz w:val="22"/>
                <w:szCs w:val="22"/>
              </w:rPr>
              <w:t>supplier</w:t>
            </w:r>
            <w:proofErr w:type="spellEnd"/>
            <w:r>
              <w:rPr>
                <w:rFonts w:eastAsia="Palatino Linotype"/>
                <w:spacing w:val="-1"/>
                <w:position w:val="1"/>
                <w:sz w:val="22"/>
                <w:szCs w:val="22"/>
              </w:rPr>
              <w:t xml:space="preserve"> has </w:t>
            </w:r>
            <w:proofErr w:type="spellStart"/>
            <w:r>
              <w:rPr>
                <w:rFonts w:eastAsia="Palatino Linotype"/>
                <w:spacing w:val="-1"/>
                <w:position w:val="1"/>
                <w:sz w:val="22"/>
                <w:szCs w:val="22"/>
              </w:rPr>
              <w:t>not</w:t>
            </w:r>
            <w:proofErr w:type="spellEnd"/>
            <w:r>
              <w:rPr>
                <w:rFonts w:eastAsia="Palatino Linotype"/>
                <w:spacing w:val="-1"/>
                <w:position w:val="1"/>
                <w:sz w:val="22"/>
                <w:szCs w:val="22"/>
              </w:rPr>
              <w:t xml:space="preserve"> </w:t>
            </w:r>
            <w:proofErr w:type="spellStart"/>
            <w:r>
              <w:rPr>
                <w:rFonts w:eastAsia="Palatino Linotype"/>
                <w:spacing w:val="-1"/>
                <w:position w:val="1"/>
                <w:sz w:val="22"/>
                <w:szCs w:val="22"/>
              </w:rPr>
              <w:t>acquired</w:t>
            </w:r>
            <w:proofErr w:type="spellEnd"/>
            <w:r>
              <w:rPr>
                <w:rFonts w:eastAsia="Palatino Linotype"/>
                <w:spacing w:val="-1"/>
                <w:position w:val="1"/>
                <w:sz w:val="22"/>
                <w:szCs w:val="22"/>
              </w:rPr>
              <w:t xml:space="preserve"> </w:t>
            </w:r>
            <w:proofErr w:type="spellStart"/>
            <w:r>
              <w:rPr>
                <w:rFonts w:eastAsia="Palatino Linotype"/>
                <w:spacing w:val="-1"/>
                <w:position w:val="1"/>
                <w:sz w:val="22"/>
                <w:szCs w:val="22"/>
              </w:rPr>
              <w:t>the</w:t>
            </w:r>
            <w:proofErr w:type="spellEnd"/>
            <w:r>
              <w:rPr>
                <w:rFonts w:eastAsia="Palatino Linotype"/>
                <w:spacing w:val="-1"/>
                <w:position w:val="1"/>
                <w:sz w:val="22"/>
                <w:szCs w:val="22"/>
              </w:rPr>
              <w:t xml:space="preserve"> </w:t>
            </w:r>
            <w:proofErr w:type="gramStart"/>
            <w:r>
              <w:rPr>
                <w:rFonts w:eastAsia="Palatino Linotype"/>
                <w:spacing w:val="-1"/>
                <w:position w:val="1"/>
                <w:sz w:val="22"/>
                <w:szCs w:val="22"/>
              </w:rPr>
              <w:t>status</w:t>
            </w:r>
            <w:proofErr w:type="gramEnd"/>
            <w:r>
              <w:rPr>
                <w:rFonts w:eastAsia="Palatino Linotype"/>
                <w:spacing w:val="-1"/>
                <w:position w:val="1"/>
                <w:sz w:val="22"/>
                <w:szCs w:val="22"/>
              </w:rPr>
              <w:t xml:space="preserve"> </w:t>
            </w:r>
            <w:proofErr w:type="spellStart"/>
            <w:r>
              <w:rPr>
                <w:rFonts w:eastAsia="Palatino Linotype"/>
                <w:spacing w:val="-1"/>
                <w:position w:val="1"/>
                <w:sz w:val="22"/>
                <w:szCs w:val="22"/>
              </w:rPr>
              <w:t>of</w:t>
            </w:r>
            <w:proofErr w:type="spellEnd"/>
            <w:r>
              <w:rPr>
                <w:rFonts w:eastAsia="Palatino Linotype"/>
                <w:spacing w:val="-1"/>
                <w:position w:val="1"/>
                <w:sz w:val="22"/>
                <w:szCs w:val="22"/>
              </w:rPr>
              <w:t xml:space="preserve"> “ACTIVE” in RUPE, once </w:t>
            </w:r>
            <w:proofErr w:type="spellStart"/>
            <w:r>
              <w:rPr>
                <w:rFonts w:eastAsia="Palatino Linotype"/>
                <w:spacing w:val="-1"/>
                <w:position w:val="1"/>
                <w:sz w:val="22"/>
                <w:szCs w:val="22"/>
              </w:rPr>
              <w:t>the</w:t>
            </w:r>
            <w:proofErr w:type="spellEnd"/>
            <w:r>
              <w:rPr>
                <w:rFonts w:eastAsia="Palatino Linotype"/>
                <w:spacing w:val="-1"/>
                <w:position w:val="1"/>
                <w:sz w:val="22"/>
                <w:szCs w:val="22"/>
              </w:rPr>
              <w:t xml:space="preserve"> </w:t>
            </w:r>
            <w:proofErr w:type="spellStart"/>
            <w:r>
              <w:rPr>
                <w:rFonts w:eastAsia="Palatino Linotype"/>
                <w:spacing w:val="-1"/>
                <w:position w:val="1"/>
                <w:sz w:val="22"/>
                <w:szCs w:val="22"/>
              </w:rPr>
              <w:t>act</w:t>
            </w:r>
            <w:proofErr w:type="spellEnd"/>
            <w:r>
              <w:rPr>
                <w:rFonts w:eastAsia="Palatino Linotype"/>
                <w:spacing w:val="-1"/>
                <w:position w:val="1"/>
                <w:sz w:val="22"/>
                <w:szCs w:val="22"/>
              </w:rPr>
              <w:t xml:space="preserve"> has </w:t>
            </w:r>
            <w:proofErr w:type="spellStart"/>
            <w:r>
              <w:rPr>
                <w:rFonts w:eastAsia="Palatino Linotype"/>
                <w:spacing w:val="-1"/>
                <w:position w:val="1"/>
                <w:sz w:val="22"/>
                <w:szCs w:val="22"/>
              </w:rPr>
              <w:t>been</w:t>
            </w:r>
            <w:proofErr w:type="spellEnd"/>
            <w:r>
              <w:rPr>
                <w:rFonts w:eastAsia="Palatino Linotype"/>
                <w:spacing w:val="-1"/>
                <w:position w:val="1"/>
                <w:sz w:val="22"/>
                <w:szCs w:val="22"/>
              </w:rPr>
              <w:t xml:space="preserve"> </w:t>
            </w:r>
            <w:proofErr w:type="spellStart"/>
            <w:r>
              <w:rPr>
                <w:rFonts w:eastAsia="Palatino Linotype"/>
                <w:spacing w:val="-1"/>
                <w:position w:val="1"/>
                <w:sz w:val="22"/>
                <w:szCs w:val="22"/>
              </w:rPr>
              <w:t>issued</w:t>
            </w:r>
            <w:proofErr w:type="spellEnd"/>
            <w:r>
              <w:rPr>
                <w:rFonts w:eastAsia="Palatino Linotype"/>
                <w:spacing w:val="-1"/>
                <w:position w:val="1"/>
                <w:sz w:val="22"/>
                <w:szCs w:val="22"/>
              </w:rPr>
              <w:t xml:space="preserve">, </w:t>
            </w:r>
            <w:proofErr w:type="spellStart"/>
            <w:r>
              <w:rPr>
                <w:rFonts w:eastAsia="Palatino Linotype"/>
                <w:spacing w:val="-1"/>
                <w:position w:val="1"/>
                <w:sz w:val="22"/>
                <w:szCs w:val="22"/>
              </w:rPr>
              <w:t>the</w:t>
            </w:r>
            <w:proofErr w:type="spellEnd"/>
            <w:r>
              <w:rPr>
                <w:rFonts w:eastAsia="Palatino Linotype"/>
                <w:spacing w:val="-1"/>
                <w:position w:val="1"/>
                <w:sz w:val="22"/>
                <w:szCs w:val="22"/>
              </w:rPr>
              <w:t xml:space="preserve"> </w:t>
            </w:r>
            <w:proofErr w:type="spellStart"/>
            <w:r>
              <w:rPr>
                <w:rFonts w:eastAsia="Palatino Linotype"/>
                <w:spacing w:val="-1"/>
                <w:position w:val="1"/>
                <w:sz w:val="22"/>
                <w:szCs w:val="22"/>
              </w:rPr>
              <w:t>Administration</w:t>
            </w:r>
            <w:proofErr w:type="spellEnd"/>
            <w:r>
              <w:rPr>
                <w:rFonts w:eastAsia="Palatino Linotype"/>
                <w:spacing w:val="-1"/>
                <w:position w:val="1"/>
                <w:sz w:val="22"/>
                <w:szCs w:val="22"/>
              </w:rPr>
              <w:t xml:space="preserve"> </w:t>
            </w:r>
            <w:proofErr w:type="spellStart"/>
            <w:r>
              <w:rPr>
                <w:rFonts w:eastAsia="Palatino Linotype"/>
                <w:spacing w:val="-1"/>
                <w:position w:val="1"/>
                <w:sz w:val="22"/>
                <w:szCs w:val="22"/>
              </w:rPr>
              <w:t>will</w:t>
            </w:r>
            <w:proofErr w:type="spellEnd"/>
            <w:r>
              <w:rPr>
                <w:rFonts w:eastAsia="Palatino Linotype"/>
                <w:spacing w:val="-1"/>
                <w:position w:val="1"/>
                <w:sz w:val="22"/>
                <w:szCs w:val="22"/>
              </w:rPr>
              <w:t xml:space="preserve"> </w:t>
            </w:r>
            <w:proofErr w:type="spellStart"/>
            <w:r>
              <w:rPr>
                <w:rFonts w:eastAsia="Palatino Linotype"/>
                <w:spacing w:val="-1"/>
                <w:position w:val="1"/>
                <w:sz w:val="22"/>
                <w:szCs w:val="22"/>
              </w:rPr>
              <w:t>grant</w:t>
            </w:r>
            <w:proofErr w:type="spellEnd"/>
            <w:r>
              <w:rPr>
                <w:rFonts w:eastAsia="Palatino Linotype"/>
                <w:spacing w:val="-1"/>
                <w:position w:val="1"/>
                <w:sz w:val="22"/>
                <w:szCs w:val="22"/>
              </w:rPr>
              <w:t xml:space="preserve"> a </w:t>
            </w:r>
            <w:proofErr w:type="spellStart"/>
            <w:r>
              <w:rPr>
                <w:rFonts w:eastAsia="Palatino Linotype"/>
                <w:spacing w:val="-1"/>
                <w:position w:val="1"/>
                <w:sz w:val="22"/>
                <w:szCs w:val="22"/>
              </w:rPr>
              <w:t>period</w:t>
            </w:r>
            <w:proofErr w:type="spellEnd"/>
            <w:r>
              <w:rPr>
                <w:rFonts w:eastAsia="Palatino Linotype"/>
                <w:spacing w:val="-1"/>
                <w:position w:val="1"/>
                <w:sz w:val="22"/>
                <w:szCs w:val="22"/>
              </w:rPr>
              <w:t xml:space="preserve"> </w:t>
            </w:r>
            <w:proofErr w:type="spellStart"/>
            <w:r>
              <w:rPr>
                <w:rFonts w:eastAsia="Palatino Linotype"/>
                <w:spacing w:val="-1"/>
                <w:position w:val="1"/>
                <w:sz w:val="22"/>
                <w:szCs w:val="22"/>
              </w:rPr>
              <w:t>of</w:t>
            </w:r>
            <w:proofErr w:type="spellEnd"/>
            <w:r>
              <w:rPr>
                <w:rFonts w:eastAsia="Palatino Linotype"/>
                <w:spacing w:val="-1"/>
                <w:position w:val="1"/>
                <w:sz w:val="22"/>
                <w:szCs w:val="22"/>
              </w:rPr>
              <w:t xml:space="preserve"> 5 (</w:t>
            </w:r>
            <w:proofErr w:type="spellStart"/>
            <w:r>
              <w:rPr>
                <w:rFonts w:eastAsia="Palatino Linotype"/>
                <w:spacing w:val="-1"/>
                <w:position w:val="1"/>
                <w:sz w:val="22"/>
                <w:szCs w:val="22"/>
              </w:rPr>
              <w:t>five</w:t>
            </w:r>
            <w:proofErr w:type="spellEnd"/>
            <w:r>
              <w:rPr>
                <w:rFonts w:eastAsia="Palatino Linotype"/>
                <w:spacing w:val="-1"/>
                <w:position w:val="1"/>
                <w:sz w:val="22"/>
                <w:szCs w:val="22"/>
              </w:rPr>
              <w:t xml:space="preserve">) </w:t>
            </w:r>
            <w:proofErr w:type="spellStart"/>
            <w:r>
              <w:rPr>
                <w:rFonts w:eastAsia="Palatino Linotype"/>
                <w:spacing w:val="-1"/>
                <w:position w:val="1"/>
                <w:sz w:val="22"/>
                <w:szCs w:val="22"/>
              </w:rPr>
              <w:t>business</w:t>
            </w:r>
            <w:proofErr w:type="spellEnd"/>
            <w:r>
              <w:rPr>
                <w:rFonts w:eastAsia="Palatino Linotype"/>
                <w:spacing w:val="-1"/>
                <w:position w:val="1"/>
                <w:sz w:val="22"/>
                <w:szCs w:val="22"/>
              </w:rPr>
              <w:t xml:space="preserve"> </w:t>
            </w:r>
            <w:proofErr w:type="spellStart"/>
            <w:r>
              <w:rPr>
                <w:rFonts w:eastAsia="Palatino Linotype"/>
                <w:spacing w:val="-1"/>
                <w:position w:val="1"/>
                <w:sz w:val="22"/>
                <w:szCs w:val="22"/>
              </w:rPr>
              <w:t>days</w:t>
            </w:r>
            <w:proofErr w:type="spellEnd"/>
            <w:r>
              <w:rPr>
                <w:rFonts w:eastAsia="Palatino Linotype"/>
                <w:spacing w:val="-1"/>
                <w:position w:val="1"/>
                <w:sz w:val="22"/>
                <w:szCs w:val="22"/>
              </w:rPr>
              <w:t xml:space="preserve"> </w:t>
            </w:r>
            <w:proofErr w:type="spellStart"/>
            <w:r>
              <w:rPr>
                <w:rFonts w:eastAsia="Palatino Linotype"/>
                <w:spacing w:val="-1"/>
                <w:position w:val="1"/>
                <w:sz w:val="22"/>
                <w:szCs w:val="22"/>
              </w:rPr>
              <w:t>from</w:t>
            </w:r>
            <w:proofErr w:type="spellEnd"/>
            <w:r>
              <w:rPr>
                <w:rFonts w:eastAsia="Palatino Linotype"/>
                <w:spacing w:val="-1"/>
                <w:position w:val="1"/>
                <w:sz w:val="22"/>
                <w:szCs w:val="22"/>
              </w:rPr>
              <w:t xml:space="preserve"> </w:t>
            </w:r>
            <w:proofErr w:type="spellStart"/>
            <w:r>
              <w:rPr>
                <w:rFonts w:eastAsia="Palatino Linotype"/>
                <w:spacing w:val="-1"/>
                <w:position w:val="1"/>
                <w:sz w:val="22"/>
                <w:szCs w:val="22"/>
              </w:rPr>
              <w:t>the</w:t>
            </w:r>
            <w:proofErr w:type="spellEnd"/>
            <w:r>
              <w:rPr>
                <w:rFonts w:eastAsia="Palatino Linotype"/>
                <w:spacing w:val="-1"/>
                <w:position w:val="1"/>
                <w:sz w:val="22"/>
                <w:szCs w:val="22"/>
              </w:rPr>
              <w:t xml:space="preserve"> </w:t>
            </w:r>
            <w:proofErr w:type="spellStart"/>
            <w:r>
              <w:rPr>
                <w:rFonts w:eastAsia="Palatino Linotype"/>
                <w:spacing w:val="-1"/>
                <w:position w:val="1"/>
                <w:sz w:val="22"/>
                <w:szCs w:val="22"/>
              </w:rPr>
              <w:t>communication</w:t>
            </w:r>
            <w:proofErr w:type="spellEnd"/>
            <w:r>
              <w:rPr>
                <w:rFonts w:eastAsia="Palatino Linotype"/>
                <w:spacing w:val="-1"/>
                <w:position w:val="1"/>
                <w:sz w:val="22"/>
                <w:szCs w:val="22"/>
              </w:rPr>
              <w:t xml:space="preserve"> so </w:t>
            </w:r>
            <w:proofErr w:type="spellStart"/>
            <w:r>
              <w:rPr>
                <w:rFonts w:eastAsia="Palatino Linotype"/>
                <w:spacing w:val="-1"/>
                <w:position w:val="1"/>
                <w:sz w:val="22"/>
                <w:szCs w:val="22"/>
              </w:rPr>
              <w:t>that</w:t>
            </w:r>
            <w:proofErr w:type="spellEnd"/>
            <w:r>
              <w:rPr>
                <w:rFonts w:eastAsia="Palatino Linotype"/>
                <w:spacing w:val="-1"/>
                <w:position w:val="1"/>
                <w:sz w:val="22"/>
                <w:szCs w:val="22"/>
              </w:rPr>
              <w:t xml:space="preserve"> </w:t>
            </w:r>
            <w:proofErr w:type="spellStart"/>
            <w:r>
              <w:rPr>
                <w:rFonts w:eastAsia="Palatino Linotype"/>
                <w:spacing w:val="-1"/>
                <w:position w:val="1"/>
                <w:sz w:val="22"/>
                <w:szCs w:val="22"/>
              </w:rPr>
              <w:t>the</w:t>
            </w:r>
            <w:proofErr w:type="spellEnd"/>
            <w:r>
              <w:rPr>
                <w:rFonts w:eastAsia="Palatino Linotype"/>
                <w:spacing w:val="-1"/>
                <w:position w:val="1"/>
                <w:sz w:val="22"/>
                <w:szCs w:val="22"/>
              </w:rPr>
              <w:t xml:space="preserve"> </w:t>
            </w:r>
            <w:proofErr w:type="spellStart"/>
            <w:r>
              <w:rPr>
                <w:rFonts w:eastAsia="Palatino Linotype"/>
                <w:spacing w:val="-1"/>
                <w:position w:val="1"/>
                <w:sz w:val="22"/>
                <w:szCs w:val="22"/>
              </w:rPr>
              <w:t>same</w:t>
            </w:r>
            <w:proofErr w:type="spellEnd"/>
            <w:r>
              <w:rPr>
                <w:rFonts w:eastAsia="Palatino Linotype"/>
                <w:spacing w:val="-1"/>
                <w:position w:val="1"/>
                <w:sz w:val="22"/>
                <w:szCs w:val="22"/>
              </w:rPr>
              <w:t xml:space="preserve"> </w:t>
            </w:r>
            <w:proofErr w:type="spellStart"/>
            <w:r>
              <w:rPr>
                <w:rFonts w:eastAsia="Palatino Linotype"/>
                <w:spacing w:val="-1"/>
                <w:position w:val="1"/>
                <w:sz w:val="22"/>
                <w:szCs w:val="22"/>
              </w:rPr>
              <w:t>acquires</w:t>
            </w:r>
            <w:proofErr w:type="spellEnd"/>
            <w:r>
              <w:rPr>
                <w:rFonts w:eastAsia="Palatino Linotype"/>
                <w:spacing w:val="-1"/>
                <w:position w:val="1"/>
                <w:sz w:val="22"/>
                <w:szCs w:val="22"/>
              </w:rPr>
              <w:t xml:space="preserve"> </w:t>
            </w:r>
            <w:proofErr w:type="spellStart"/>
            <w:r>
              <w:rPr>
                <w:rFonts w:eastAsia="Palatino Linotype"/>
                <w:spacing w:val="-1"/>
                <w:position w:val="1"/>
                <w:sz w:val="22"/>
                <w:szCs w:val="22"/>
              </w:rPr>
              <w:t>said</w:t>
            </w:r>
            <w:proofErr w:type="spellEnd"/>
            <w:r>
              <w:rPr>
                <w:rFonts w:eastAsia="Palatino Linotype"/>
                <w:spacing w:val="-1"/>
                <w:position w:val="1"/>
                <w:sz w:val="22"/>
                <w:szCs w:val="22"/>
              </w:rPr>
              <w:t xml:space="preserve"> </w:t>
            </w:r>
            <w:proofErr w:type="gramStart"/>
            <w:r>
              <w:rPr>
                <w:rFonts w:eastAsia="Palatino Linotype"/>
                <w:spacing w:val="-1"/>
                <w:position w:val="1"/>
                <w:sz w:val="22"/>
                <w:szCs w:val="22"/>
              </w:rPr>
              <w:t>status</w:t>
            </w:r>
            <w:proofErr w:type="gramEnd"/>
            <w:r>
              <w:rPr>
                <w:rFonts w:eastAsia="Palatino Linotype"/>
                <w:spacing w:val="-1"/>
                <w:position w:val="1"/>
                <w:sz w:val="22"/>
                <w:szCs w:val="22"/>
              </w:rPr>
              <w:t xml:space="preserve">, </w:t>
            </w:r>
            <w:proofErr w:type="spellStart"/>
            <w:r>
              <w:rPr>
                <w:rFonts w:eastAsia="Palatino Linotype"/>
                <w:spacing w:val="-1"/>
                <w:position w:val="1"/>
                <w:sz w:val="22"/>
                <w:szCs w:val="22"/>
              </w:rPr>
              <w:t>under</w:t>
            </w:r>
            <w:proofErr w:type="spellEnd"/>
            <w:r>
              <w:rPr>
                <w:rFonts w:eastAsia="Palatino Linotype"/>
                <w:spacing w:val="-1"/>
                <w:position w:val="1"/>
                <w:sz w:val="22"/>
                <w:szCs w:val="22"/>
              </w:rPr>
              <w:t xml:space="preserve"> </w:t>
            </w:r>
            <w:proofErr w:type="spellStart"/>
            <w:r>
              <w:rPr>
                <w:rFonts w:eastAsia="Palatino Linotype"/>
                <w:spacing w:val="-1"/>
                <w:position w:val="1"/>
                <w:sz w:val="22"/>
                <w:szCs w:val="22"/>
              </w:rPr>
              <w:t>penalty</w:t>
            </w:r>
            <w:proofErr w:type="spellEnd"/>
            <w:r>
              <w:rPr>
                <w:rFonts w:eastAsia="Palatino Linotype"/>
                <w:spacing w:val="-1"/>
                <w:position w:val="1"/>
                <w:sz w:val="22"/>
                <w:szCs w:val="22"/>
              </w:rPr>
              <w:t xml:space="preserve"> </w:t>
            </w:r>
            <w:proofErr w:type="spellStart"/>
            <w:r>
              <w:rPr>
                <w:rFonts w:eastAsia="Palatino Linotype"/>
                <w:spacing w:val="-1"/>
                <w:position w:val="1"/>
                <w:sz w:val="22"/>
                <w:szCs w:val="22"/>
              </w:rPr>
              <w:t>of</w:t>
            </w:r>
            <w:proofErr w:type="spellEnd"/>
            <w:r>
              <w:rPr>
                <w:rFonts w:eastAsia="Palatino Linotype"/>
                <w:spacing w:val="-1"/>
                <w:position w:val="1"/>
                <w:sz w:val="22"/>
                <w:szCs w:val="22"/>
              </w:rPr>
              <w:t xml:space="preserve"> </w:t>
            </w:r>
            <w:proofErr w:type="spellStart"/>
            <w:r>
              <w:rPr>
                <w:rFonts w:eastAsia="Palatino Linotype"/>
                <w:spacing w:val="-1"/>
                <w:position w:val="1"/>
                <w:sz w:val="22"/>
                <w:szCs w:val="22"/>
              </w:rPr>
              <w:t>awarding</w:t>
            </w:r>
            <w:proofErr w:type="spellEnd"/>
            <w:r>
              <w:rPr>
                <w:rFonts w:eastAsia="Palatino Linotype"/>
                <w:spacing w:val="-1"/>
                <w:position w:val="1"/>
                <w:sz w:val="22"/>
                <w:szCs w:val="22"/>
              </w:rPr>
              <w:t xml:space="preserve"> </w:t>
            </w:r>
            <w:proofErr w:type="spellStart"/>
            <w:r>
              <w:rPr>
                <w:rFonts w:eastAsia="Palatino Linotype"/>
                <w:spacing w:val="-1"/>
                <w:position w:val="1"/>
                <w:sz w:val="22"/>
                <w:szCs w:val="22"/>
              </w:rPr>
              <w:t>the</w:t>
            </w:r>
            <w:proofErr w:type="spellEnd"/>
            <w:r>
              <w:rPr>
                <w:rFonts w:eastAsia="Palatino Linotype"/>
                <w:spacing w:val="-1"/>
                <w:position w:val="1"/>
                <w:sz w:val="22"/>
                <w:szCs w:val="22"/>
              </w:rPr>
              <w:t xml:space="preserve"> </w:t>
            </w:r>
            <w:proofErr w:type="spellStart"/>
            <w:r>
              <w:rPr>
                <w:rFonts w:eastAsia="Palatino Linotype"/>
                <w:spacing w:val="-1"/>
                <w:position w:val="1"/>
                <w:sz w:val="22"/>
                <w:szCs w:val="22"/>
              </w:rPr>
              <w:t>call</w:t>
            </w:r>
            <w:proofErr w:type="spellEnd"/>
            <w:r>
              <w:rPr>
                <w:rFonts w:eastAsia="Palatino Linotype"/>
                <w:spacing w:val="-1"/>
                <w:position w:val="1"/>
                <w:sz w:val="22"/>
                <w:szCs w:val="22"/>
              </w:rPr>
              <w:t xml:space="preserve"> </w:t>
            </w:r>
            <w:proofErr w:type="spellStart"/>
            <w:r>
              <w:rPr>
                <w:rFonts w:eastAsia="Palatino Linotype"/>
                <w:spacing w:val="-1"/>
                <w:position w:val="1"/>
                <w:sz w:val="22"/>
                <w:szCs w:val="22"/>
              </w:rPr>
              <w:t>to</w:t>
            </w:r>
            <w:proofErr w:type="spellEnd"/>
            <w:r>
              <w:rPr>
                <w:rFonts w:eastAsia="Palatino Linotype"/>
                <w:spacing w:val="-1"/>
                <w:position w:val="1"/>
                <w:sz w:val="22"/>
                <w:szCs w:val="22"/>
              </w:rPr>
              <w:t xml:space="preserve"> </w:t>
            </w:r>
            <w:proofErr w:type="spellStart"/>
            <w:r>
              <w:rPr>
                <w:rFonts w:eastAsia="Palatino Linotype"/>
                <w:spacing w:val="-1"/>
                <w:position w:val="1"/>
                <w:sz w:val="22"/>
                <w:szCs w:val="22"/>
              </w:rPr>
              <w:t>the</w:t>
            </w:r>
            <w:proofErr w:type="spellEnd"/>
            <w:r>
              <w:rPr>
                <w:rFonts w:eastAsia="Palatino Linotype"/>
                <w:spacing w:val="-1"/>
                <w:position w:val="1"/>
                <w:sz w:val="22"/>
                <w:szCs w:val="22"/>
              </w:rPr>
              <w:t xml:space="preserve"> </w:t>
            </w:r>
            <w:proofErr w:type="spellStart"/>
            <w:r>
              <w:rPr>
                <w:rFonts w:eastAsia="Palatino Linotype"/>
                <w:spacing w:val="-1"/>
                <w:position w:val="1"/>
                <w:sz w:val="22"/>
                <w:szCs w:val="22"/>
              </w:rPr>
              <w:t>next</w:t>
            </w:r>
            <w:proofErr w:type="spellEnd"/>
            <w:r>
              <w:rPr>
                <w:rFonts w:eastAsia="Palatino Linotype"/>
                <w:spacing w:val="-1"/>
                <w:position w:val="1"/>
                <w:sz w:val="22"/>
                <w:szCs w:val="22"/>
              </w:rPr>
              <w:t xml:space="preserve"> </w:t>
            </w:r>
            <w:proofErr w:type="spellStart"/>
            <w:r>
              <w:rPr>
                <w:rFonts w:eastAsia="Palatino Linotype"/>
                <w:spacing w:val="-1"/>
                <w:position w:val="1"/>
                <w:sz w:val="22"/>
                <w:szCs w:val="22"/>
              </w:rPr>
              <w:t>best</w:t>
            </w:r>
            <w:proofErr w:type="spellEnd"/>
            <w:r>
              <w:rPr>
                <w:rFonts w:eastAsia="Palatino Linotype"/>
                <w:spacing w:val="-1"/>
                <w:position w:val="1"/>
                <w:sz w:val="22"/>
                <w:szCs w:val="22"/>
              </w:rPr>
              <w:t xml:space="preserve"> </w:t>
            </w:r>
            <w:proofErr w:type="spellStart"/>
            <w:r>
              <w:rPr>
                <w:rFonts w:eastAsia="Palatino Linotype"/>
                <w:spacing w:val="-1"/>
                <w:position w:val="1"/>
                <w:sz w:val="22"/>
                <w:szCs w:val="22"/>
              </w:rPr>
              <w:t>offeror</w:t>
            </w:r>
            <w:proofErr w:type="spellEnd"/>
            <w:r>
              <w:rPr>
                <w:rFonts w:eastAsia="Palatino Linotype"/>
                <w:spacing w:val="-1"/>
                <w:position w:val="1"/>
                <w:sz w:val="22"/>
                <w:szCs w:val="22"/>
              </w:rPr>
              <w:t xml:space="preserve"> in case </w:t>
            </w:r>
            <w:proofErr w:type="spellStart"/>
            <w:r>
              <w:rPr>
                <w:rFonts w:eastAsia="Palatino Linotype"/>
                <w:spacing w:val="-1"/>
                <w:position w:val="1"/>
                <w:sz w:val="22"/>
                <w:szCs w:val="22"/>
              </w:rPr>
              <w:t>of</w:t>
            </w:r>
            <w:proofErr w:type="spellEnd"/>
            <w:r>
              <w:rPr>
                <w:rFonts w:eastAsia="Palatino Linotype"/>
                <w:spacing w:val="-1"/>
                <w:position w:val="1"/>
                <w:sz w:val="22"/>
                <w:szCs w:val="22"/>
              </w:rPr>
              <w:t xml:space="preserve"> </w:t>
            </w:r>
            <w:proofErr w:type="spellStart"/>
            <w:r>
              <w:rPr>
                <w:rFonts w:eastAsia="Palatino Linotype"/>
                <w:spacing w:val="-1"/>
                <w:position w:val="1"/>
                <w:sz w:val="22"/>
                <w:szCs w:val="22"/>
              </w:rPr>
              <w:t>not</w:t>
            </w:r>
            <w:proofErr w:type="spellEnd"/>
            <w:r>
              <w:rPr>
                <w:rFonts w:eastAsia="Palatino Linotype"/>
                <w:spacing w:val="-1"/>
                <w:position w:val="1"/>
                <w:sz w:val="22"/>
                <w:szCs w:val="22"/>
              </w:rPr>
              <w:t xml:space="preserve"> </w:t>
            </w:r>
            <w:proofErr w:type="spellStart"/>
            <w:r>
              <w:rPr>
                <w:rFonts w:eastAsia="Palatino Linotype"/>
                <w:spacing w:val="-1"/>
                <w:position w:val="1"/>
                <w:sz w:val="22"/>
                <w:szCs w:val="22"/>
              </w:rPr>
              <w:t>complying</w:t>
            </w:r>
            <w:proofErr w:type="spellEnd"/>
            <w:r>
              <w:rPr>
                <w:rFonts w:eastAsia="Palatino Linotype"/>
                <w:spacing w:val="-1"/>
                <w:position w:val="1"/>
                <w:sz w:val="22"/>
                <w:szCs w:val="22"/>
              </w:rPr>
              <w:t xml:space="preserve"> </w:t>
            </w:r>
            <w:proofErr w:type="spellStart"/>
            <w:r>
              <w:rPr>
                <w:rFonts w:eastAsia="Palatino Linotype"/>
                <w:spacing w:val="-1"/>
                <w:position w:val="1"/>
                <w:sz w:val="22"/>
                <w:szCs w:val="22"/>
              </w:rPr>
              <w:t>with</w:t>
            </w:r>
            <w:proofErr w:type="spellEnd"/>
            <w:r>
              <w:rPr>
                <w:rFonts w:eastAsia="Palatino Linotype"/>
                <w:spacing w:val="-1"/>
                <w:position w:val="1"/>
                <w:sz w:val="22"/>
                <w:szCs w:val="22"/>
              </w:rPr>
              <w:t xml:space="preserve"> </w:t>
            </w:r>
            <w:proofErr w:type="spellStart"/>
            <w:r>
              <w:rPr>
                <w:rFonts w:eastAsia="Palatino Linotype"/>
                <w:spacing w:val="-1"/>
                <w:position w:val="1"/>
                <w:sz w:val="22"/>
                <w:szCs w:val="22"/>
              </w:rPr>
              <w:t>this</w:t>
            </w:r>
            <w:proofErr w:type="spellEnd"/>
            <w:r>
              <w:rPr>
                <w:rFonts w:eastAsia="Palatino Linotype"/>
                <w:spacing w:val="-1"/>
                <w:position w:val="1"/>
                <w:sz w:val="22"/>
                <w:szCs w:val="22"/>
              </w:rPr>
              <w:t xml:space="preserve"> </w:t>
            </w:r>
            <w:proofErr w:type="spellStart"/>
            <w:r>
              <w:rPr>
                <w:rFonts w:eastAsia="Palatino Linotype"/>
                <w:spacing w:val="-1"/>
                <w:position w:val="1"/>
                <w:sz w:val="22"/>
                <w:szCs w:val="22"/>
              </w:rPr>
              <w:t>requirement</w:t>
            </w:r>
            <w:proofErr w:type="spellEnd"/>
            <w:r>
              <w:rPr>
                <w:rFonts w:eastAsia="Palatino Linotype"/>
                <w:spacing w:val="-1"/>
                <w:position w:val="1"/>
                <w:sz w:val="22"/>
                <w:szCs w:val="22"/>
              </w:rPr>
              <w:t xml:space="preserve"> in </w:t>
            </w:r>
            <w:proofErr w:type="spellStart"/>
            <w:r>
              <w:rPr>
                <w:rFonts w:eastAsia="Palatino Linotype"/>
                <w:spacing w:val="-1"/>
                <w:position w:val="1"/>
                <w:sz w:val="22"/>
                <w:szCs w:val="22"/>
              </w:rPr>
              <w:t>the</w:t>
            </w:r>
            <w:proofErr w:type="spellEnd"/>
            <w:r>
              <w:rPr>
                <w:rFonts w:eastAsia="Palatino Linotype"/>
                <w:spacing w:val="-1"/>
                <w:position w:val="1"/>
                <w:sz w:val="22"/>
                <w:szCs w:val="22"/>
              </w:rPr>
              <w:t xml:space="preserve"> </w:t>
            </w:r>
            <w:proofErr w:type="spellStart"/>
            <w:r>
              <w:rPr>
                <w:rFonts w:eastAsia="Palatino Linotype"/>
                <w:spacing w:val="-1"/>
                <w:position w:val="1"/>
                <w:sz w:val="22"/>
                <w:szCs w:val="22"/>
              </w:rPr>
              <w:t>aforementioned</w:t>
            </w:r>
            <w:proofErr w:type="spellEnd"/>
            <w:r>
              <w:rPr>
                <w:rFonts w:eastAsia="Palatino Linotype"/>
                <w:spacing w:val="-1"/>
                <w:position w:val="1"/>
                <w:sz w:val="22"/>
                <w:szCs w:val="22"/>
              </w:rPr>
              <w:t xml:space="preserve"> </w:t>
            </w:r>
            <w:proofErr w:type="spellStart"/>
            <w:r>
              <w:rPr>
                <w:rFonts w:eastAsia="Palatino Linotype"/>
                <w:spacing w:val="-1"/>
                <w:position w:val="1"/>
                <w:sz w:val="22"/>
                <w:szCs w:val="22"/>
              </w:rPr>
              <w:t>period</w:t>
            </w:r>
            <w:proofErr w:type="spellEnd"/>
            <w:r>
              <w:rPr>
                <w:rFonts w:eastAsia="Palatino Linotype"/>
                <w:spacing w:val="-1"/>
                <w:position w:val="1"/>
                <w:sz w:val="22"/>
                <w:szCs w:val="22"/>
              </w:rPr>
              <w:t>.</w:t>
            </w:r>
          </w:p>
          <w:p w14:paraId="5527D5AE" w14:textId="77777777" w:rsidR="00E255F4" w:rsidRDefault="00E255F4">
            <w:pPr>
              <w:pStyle w:val="Prrafodelista"/>
              <w:tabs>
                <w:tab w:val="left" w:pos="-1800"/>
                <w:tab w:val="left" w:pos="-720"/>
                <w:tab w:val="left" w:pos="426"/>
              </w:tabs>
              <w:ind w:left="371" w:right="176"/>
              <w:jc w:val="both"/>
              <w:rPr>
                <w:rFonts w:eastAsia="Palatino Linotype"/>
                <w:spacing w:val="-1"/>
                <w:position w:val="1"/>
                <w:sz w:val="22"/>
                <w:szCs w:val="22"/>
                <w:lang w:val="es-UY"/>
              </w:rPr>
            </w:pPr>
          </w:p>
          <w:p w14:paraId="743D5E62" w14:textId="77777777" w:rsidR="00E255F4" w:rsidRDefault="00000000">
            <w:pPr>
              <w:pStyle w:val="Prrafodelista"/>
              <w:numPr>
                <w:ilvl w:val="0"/>
                <w:numId w:val="49"/>
              </w:numPr>
              <w:tabs>
                <w:tab w:val="left" w:pos="-1800"/>
                <w:tab w:val="left" w:pos="-720"/>
                <w:tab w:val="left" w:pos="426"/>
              </w:tabs>
              <w:ind w:left="371" w:right="176" w:hanging="371"/>
              <w:jc w:val="both"/>
              <w:rPr>
                <w:rFonts w:eastAsia="Palatino Linotype"/>
                <w:spacing w:val="-1"/>
                <w:position w:val="1"/>
                <w:sz w:val="22"/>
                <w:szCs w:val="22"/>
                <w:lang w:val="es-UY"/>
              </w:rPr>
            </w:pPr>
            <w:proofErr w:type="spellStart"/>
            <w:r>
              <w:rPr>
                <w:rFonts w:eastAsia="Palatino Linotype"/>
                <w:spacing w:val="-1"/>
                <w:position w:val="1"/>
                <w:sz w:val="22"/>
                <w:szCs w:val="22"/>
                <w:lang w:val="es-UY"/>
              </w:rPr>
              <w:t>If</w:t>
            </w:r>
            <w:proofErr w:type="spellEnd"/>
            <w:r>
              <w:rPr>
                <w:rFonts w:eastAsia="Palatino Linotype"/>
                <w:spacing w:val="-1"/>
                <w:position w:val="1"/>
                <w:sz w:val="22"/>
                <w:szCs w:val="22"/>
                <w:lang w:val="es-UY"/>
              </w:rPr>
              <w:t xml:space="preserve"> </w:t>
            </w:r>
            <w:proofErr w:type="spellStart"/>
            <w:r>
              <w:rPr>
                <w:rFonts w:eastAsia="Palatino Linotype"/>
                <w:spacing w:val="-1"/>
                <w:position w:val="1"/>
                <w:sz w:val="22"/>
                <w:szCs w:val="22"/>
                <w:lang w:val="es-UY"/>
              </w:rPr>
              <w:t>the</w:t>
            </w:r>
            <w:proofErr w:type="spellEnd"/>
            <w:r>
              <w:rPr>
                <w:rFonts w:eastAsia="Palatino Linotype"/>
                <w:spacing w:val="-1"/>
                <w:position w:val="1"/>
                <w:sz w:val="22"/>
                <w:szCs w:val="22"/>
                <w:lang w:val="es-UY"/>
              </w:rPr>
              <w:t xml:space="preserve"> </w:t>
            </w:r>
            <w:proofErr w:type="spellStart"/>
            <w:r>
              <w:rPr>
                <w:rFonts w:eastAsia="Palatino Linotype"/>
                <w:spacing w:val="-1"/>
                <w:position w:val="1"/>
                <w:sz w:val="22"/>
                <w:szCs w:val="22"/>
                <w:lang w:val="es-UY"/>
              </w:rPr>
              <w:t>successful</w:t>
            </w:r>
            <w:proofErr w:type="spellEnd"/>
            <w:r>
              <w:rPr>
                <w:rFonts w:eastAsia="Palatino Linotype"/>
                <w:spacing w:val="-1"/>
                <w:position w:val="1"/>
                <w:sz w:val="22"/>
                <w:szCs w:val="22"/>
                <w:lang w:val="es-UY"/>
              </w:rPr>
              <w:t xml:space="preserve"> </w:t>
            </w:r>
            <w:proofErr w:type="spellStart"/>
            <w:r>
              <w:rPr>
                <w:rFonts w:eastAsia="Palatino Linotype"/>
                <w:spacing w:val="-1"/>
                <w:position w:val="1"/>
                <w:sz w:val="22"/>
                <w:szCs w:val="22"/>
                <w:lang w:val="es-UY"/>
              </w:rPr>
              <w:t>bidder</w:t>
            </w:r>
            <w:proofErr w:type="spellEnd"/>
            <w:r>
              <w:rPr>
                <w:rFonts w:eastAsia="Palatino Linotype"/>
                <w:spacing w:val="-1"/>
                <w:position w:val="1"/>
                <w:sz w:val="22"/>
                <w:szCs w:val="22"/>
                <w:lang w:val="es-UY"/>
              </w:rPr>
              <w:t xml:space="preserve"> has legal </w:t>
            </w:r>
            <w:proofErr w:type="spellStart"/>
            <w:r>
              <w:rPr>
                <w:rFonts w:eastAsia="Palatino Linotype"/>
                <w:spacing w:val="-1"/>
                <w:position w:val="1"/>
                <w:sz w:val="22"/>
                <w:szCs w:val="22"/>
                <w:lang w:val="es-UY"/>
              </w:rPr>
              <w:t>or</w:t>
            </w:r>
            <w:proofErr w:type="spellEnd"/>
            <w:r>
              <w:rPr>
                <w:rFonts w:eastAsia="Palatino Linotype"/>
                <w:spacing w:val="-1"/>
                <w:position w:val="1"/>
                <w:sz w:val="22"/>
                <w:szCs w:val="22"/>
                <w:lang w:val="es-UY"/>
              </w:rPr>
              <w:t xml:space="preserve"> </w:t>
            </w:r>
            <w:proofErr w:type="spellStart"/>
            <w:r>
              <w:rPr>
                <w:rFonts w:eastAsia="Palatino Linotype"/>
                <w:spacing w:val="-1"/>
                <w:position w:val="1"/>
                <w:sz w:val="22"/>
                <w:szCs w:val="22"/>
                <w:lang w:val="es-UY"/>
              </w:rPr>
              <w:t>commercial</w:t>
            </w:r>
            <w:proofErr w:type="spellEnd"/>
            <w:r>
              <w:rPr>
                <w:rFonts w:eastAsia="Palatino Linotype"/>
                <w:spacing w:val="-1"/>
                <w:position w:val="1"/>
                <w:sz w:val="22"/>
                <w:szCs w:val="22"/>
                <w:lang w:val="es-UY"/>
              </w:rPr>
              <w:t xml:space="preserve"> </w:t>
            </w:r>
            <w:proofErr w:type="spellStart"/>
            <w:r>
              <w:rPr>
                <w:rFonts w:eastAsia="Palatino Linotype"/>
                <w:spacing w:val="-1"/>
                <w:position w:val="1"/>
                <w:sz w:val="22"/>
                <w:szCs w:val="22"/>
                <w:lang w:val="es-UY"/>
              </w:rPr>
              <w:t>representation</w:t>
            </w:r>
            <w:proofErr w:type="spellEnd"/>
            <w:r>
              <w:rPr>
                <w:rFonts w:eastAsia="Palatino Linotype"/>
                <w:spacing w:val="-1"/>
                <w:position w:val="1"/>
                <w:sz w:val="22"/>
                <w:szCs w:val="22"/>
                <w:lang w:val="es-UY"/>
              </w:rPr>
              <w:t xml:space="preserve"> </w:t>
            </w:r>
            <w:proofErr w:type="spellStart"/>
            <w:r>
              <w:rPr>
                <w:rFonts w:eastAsia="Palatino Linotype"/>
                <w:spacing w:val="-1"/>
                <w:position w:val="1"/>
                <w:sz w:val="22"/>
                <w:szCs w:val="22"/>
                <w:lang w:val="es-UY"/>
              </w:rPr>
              <w:t>by</w:t>
            </w:r>
            <w:proofErr w:type="spellEnd"/>
            <w:r>
              <w:rPr>
                <w:rFonts w:eastAsia="Palatino Linotype"/>
                <w:spacing w:val="-1"/>
                <w:position w:val="1"/>
                <w:sz w:val="22"/>
                <w:szCs w:val="22"/>
                <w:lang w:val="es-UY"/>
              </w:rPr>
              <w:t xml:space="preserve"> a natural </w:t>
            </w:r>
            <w:proofErr w:type="spellStart"/>
            <w:r>
              <w:rPr>
                <w:rFonts w:eastAsia="Palatino Linotype"/>
                <w:spacing w:val="-1"/>
                <w:position w:val="1"/>
                <w:sz w:val="22"/>
                <w:szCs w:val="22"/>
                <w:lang w:val="es-UY"/>
              </w:rPr>
              <w:t>or</w:t>
            </w:r>
            <w:proofErr w:type="spellEnd"/>
            <w:r>
              <w:rPr>
                <w:rFonts w:eastAsia="Palatino Linotype"/>
                <w:spacing w:val="-1"/>
                <w:position w:val="1"/>
                <w:sz w:val="22"/>
                <w:szCs w:val="22"/>
                <w:lang w:val="es-UY"/>
              </w:rPr>
              <w:t xml:space="preserve"> legal </w:t>
            </w:r>
            <w:proofErr w:type="spellStart"/>
            <w:r>
              <w:rPr>
                <w:rFonts w:eastAsia="Palatino Linotype"/>
                <w:spacing w:val="-1"/>
                <w:position w:val="1"/>
                <w:sz w:val="22"/>
                <w:szCs w:val="22"/>
                <w:lang w:val="es-UY"/>
              </w:rPr>
              <w:t>person</w:t>
            </w:r>
            <w:proofErr w:type="spellEnd"/>
            <w:r>
              <w:rPr>
                <w:rFonts w:eastAsia="Palatino Linotype"/>
                <w:spacing w:val="-1"/>
                <w:position w:val="1"/>
                <w:sz w:val="22"/>
                <w:szCs w:val="22"/>
                <w:lang w:val="es-UY"/>
              </w:rPr>
              <w:t xml:space="preserve">, </w:t>
            </w:r>
            <w:proofErr w:type="spellStart"/>
            <w:r>
              <w:rPr>
                <w:rFonts w:eastAsia="Palatino Linotype"/>
                <w:spacing w:val="-1"/>
                <w:position w:val="1"/>
                <w:sz w:val="22"/>
                <w:szCs w:val="22"/>
                <w:lang w:val="es-UY"/>
              </w:rPr>
              <w:t>the</w:t>
            </w:r>
            <w:proofErr w:type="spellEnd"/>
            <w:r>
              <w:rPr>
                <w:rFonts w:eastAsia="Palatino Linotype"/>
                <w:spacing w:val="-1"/>
                <w:position w:val="1"/>
                <w:sz w:val="22"/>
                <w:szCs w:val="22"/>
                <w:lang w:val="es-UY"/>
              </w:rPr>
              <w:t xml:space="preserve"> </w:t>
            </w:r>
            <w:proofErr w:type="spellStart"/>
            <w:r>
              <w:rPr>
                <w:rFonts w:eastAsia="Palatino Linotype"/>
                <w:spacing w:val="-1"/>
                <w:position w:val="1"/>
                <w:sz w:val="22"/>
                <w:szCs w:val="22"/>
                <w:lang w:val="es-UY"/>
              </w:rPr>
              <w:t>award</w:t>
            </w:r>
            <w:proofErr w:type="spellEnd"/>
            <w:r>
              <w:rPr>
                <w:rFonts w:eastAsia="Palatino Linotype"/>
                <w:spacing w:val="-1"/>
                <w:position w:val="1"/>
                <w:sz w:val="22"/>
                <w:szCs w:val="22"/>
                <w:lang w:val="es-UY"/>
              </w:rPr>
              <w:t xml:space="preserve"> </w:t>
            </w:r>
            <w:proofErr w:type="spellStart"/>
            <w:r>
              <w:rPr>
                <w:rFonts w:eastAsia="Palatino Linotype"/>
                <w:spacing w:val="-1"/>
                <w:position w:val="1"/>
                <w:sz w:val="22"/>
                <w:szCs w:val="22"/>
                <w:lang w:val="es-UY"/>
              </w:rPr>
              <w:t>will</w:t>
            </w:r>
            <w:proofErr w:type="spellEnd"/>
            <w:r>
              <w:rPr>
                <w:rFonts w:eastAsia="Palatino Linotype"/>
                <w:spacing w:val="-1"/>
                <w:position w:val="1"/>
                <w:sz w:val="22"/>
                <w:szCs w:val="22"/>
                <w:lang w:val="es-UY"/>
              </w:rPr>
              <w:t xml:space="preserve"> be </w:t>
            </w:r>
            <w:proofErr w:type="spellStart"/>
            <w:r>
              <w:rPr>
                <w:rFonts w:eastAsia="Palatino Linotype"/>
                <w:spacing w:val="-1"/>
                <w:position w:val="1"/>
                <w:sz w:val="22"/>
                <w:szCs w:val="22"/>
                <w:lang w:val="es-UY"/>
              </w:rPr>
              <w:t>considered</w:t>
            </w:r>
            <w:proofErr w:type="spellEnd"/>
            <w:r>
              <w:rPr>
                <w:rFonts w:eastAsia="Palatino Linotype"/>
                <w:spacing w:val="-1"/>
                <w:position w:val="1"/>
                <w:sz w:val="22"/>
                <w:szCs w:val="22"/>
                <w:lang w:val="es-UY"/>
              </w:rPr>
              <w:t xml:space="preserve"> as </w:t>
            </w:r>
            <w:proofErr w:type="spellStart"/>
            <w:r>
              <w:rPr>
                <w:rFonts w:eastAsia="Palatino Linotype"/>
                <w:spacing w:val="-1"/>
                <w:position w:val="1"/>
                <w:sz w:val="22"/>
                <w:szCs w:val="22"/>
                <w:lang w:val="es-UY"/>
              </w:rPr>
              <w:t>follows</w:t>
            </w:r>
            <w:proofErr w:type="spellEnd"/>
            <w:r>
              <w:rPr>
                <w:rFonts w:eastAsia="Palatino Linotype"/>
                <w:spacing w:val="-1"/>
                <w:position w:val="1"/>
                <w:sz w:val="22"/>
                <w:szCs w:val="22"/>
                <w:lang w:val="es-UY"/>
              </w:rPr>
              <w:t>:</w:t>
            </w:r>
          </w:p>
          <w:p w14:paraId="715ABE33" w14:textId="77777777" w:rsidR="00E255F4" w:rsidRDefault="00E255F4">
            <w:pPr>
              <w:pStyle w:val="Prrafodelista"/>
              <w:tabs>
                <w:tab w:val="left" w:pos="-1800"/>
                <w:tab w:val="left" w:pos="-720"/>
                <w:tab w:val="left" w:pos="426"/>
              </w:tabs>
              <w:ind w:right="176"/>
              <w:jc w:val="both"/>
              <w:rPr>
                <w:rFonts w:eastAsia="Palatino Linotype"/>
                <w:spacing w:val="-1"/>
                <w:position w:val="1"/>
                <w:sz w:val="22"/>
                <w:szCs w:val="22"/>
                <w:lang w:val="es-UY"/>
              </w:rPr>
            </w:pPr>
          </w:p>
          <w:p w14:paraId="413F9A3F" w14:textId="77777777" w:rsidR="00E255F4" w:rsidRDefault="00000000">
            <w:pPr>
              <w:pStyle w:val="Prrafodelista"/>
              <w:tabs>
                <w:tab w:val="left" w:pos="-1800"/>
                <w:tab w:val="left" w:pos="-720"/>
                <w:tab w:val="left" w:pos="426"/>
              </w:tabs>
              <w:ind w:left="318" w:right="176"/>
              <w:jc w:val="both"/>
              <w:rPr>
                <w:rFonts w:eastAsia="Palatino Linotype"/>
                <w:b/>
                <w:spacing w:val="-1"/>
                <w:position w:val="1"/>
                <w:sz w:val="22"/>
                <w:szCs w:val="22"/>
                <w:u w:val="single"/>
                <w:lang w:val="es-UY"/>
              </w:rPr>
            </w:pPr>
            <w:r>
              <w:rPr>
                <w:rFonts w:eastAsia="Palatino Linotype"/>
                <w:b/>
                <w:spacing w:val="-1"/>
                <w:position w:val="1"/>
                <w:sz w:val="22"/>
                <w:szCs w:val="22"/>
                <w:u w:val="single"/>
                <w:lang w:val="es-UY"/>
              </w:rPr>
              <w:t xml:space="preserve">In </w:t>
            </w:r>
            <w:proofErr w:type="spellStart"/>
            <w:r>
              <w:rPr>
                <w:rFonts w:eastAsia="Palatino Linotype"/>
                <w:b/>
                <w:spacing w:val="-1"/>
                <w:position w:val="1"/>
                <w:sz w:val="22"/>
                <w:szCs w:val="22"/>
                <w:u w:val="single"/>
                <w:lang w:val="es-UY"/>
              </w:rPr>
              <w:t>the</w:t>
            </w:r>
            <w:proofErr w:type="spellEnd"/>
            <w:r>
              <w:rPr>
                <w:rFonts w:eastAsia="Palatino Linotype"/>
                <w:b/>
                <w:spacing w:val="-1"/>
                <w:position w:val="1"/>
                <w:sz w:val="22"/>
                <w:szCs w:val="22"/>
                <w:u w:val="single"/>
                <w:lang w:val="es-UY"/>
              </w:rPr>
              <w:t xml:space="preserve"> case </w:t>
            </w:r>
            <w:proofErr w:type="spellStart"/>
            <w:r>
              <w:rPr>
                <w:rFonts w:eastAsia="Palatino Linotype"/>
                <w:b/>
                <w:spacing w:val="-1"/>
                <w:position w:val="1"/>
                <w:sz w:val="22"/>
                <w:szCs w:val="22"/>
                <w:u w:val="single"/>
                <w:lang w:val="es-UY"/>
              </w:rPr>
              <w:t>of</w:t>
            </w:r>
            <w:proofErr w:type="spellEnd"/>
            <w:r>
              <w:rPr>
                <w:rFonts w:eastAsia="Palatino Linotype"/>
                <w:b/>
                <w:spacing w:val="-1"/>
                <w:position w:val="1"/>
                <w:sz w:val="22"/>
                <w:szCs w:val="22"/>
                <w:u w:val="single"/>
                <w:lang w:val="es-UY"/>
              </w:rPr>
              <w:t xml:space="preserve"> a legal representative</w:t>
            </w:r>
          </w:p>
          <w:p w14:paraId="400D3622" w14:textId="77777777" w:rsidR="00E255F4" w:rsidRDefault="00E255F4">
            <w:pPr>
              <w:pStyle w:val="Prrafodelista"/>
              <w:tabs>
                <w:tab w:val="left" w:pos="-1800"/>
                <w:tab w:val="left" w:pos="-720"/>
                <w:tab w:val="left" w:pos="426"/>
              </w:tabs>
              <w:ind w:left="318" w:right="176"/>
              <w:jc w:val="both"/>
              <w:rPr>
                <w:rFonts w:eastAsia="Palatino Linotype"/>
                <w:b/>
                <w:spacing w:val="-1"/>
                <w:position w:val="1"/>
                <w:sz w:val="22"/>
                <w:szCs w:val="22"/>
                <w:u w:val="single"/>
                <w:lang w:val="es-UY"/>
              </w:rPr>
            </w:pPr>
          </w:p>
          <w:p w14:paraId="55E2889F" w14:textId="77777777" w:rsidR="00E255F4" w:rsidRDefault="00000000">
            <w:pPr>
              <w:pStyle w:val="Prrafodelista"/>
              <w:tabs>
                <w:tab w:val="left" w:pos="-1800"/>
                <w:tab w:val="left" w:pos="-720"/>
                <w:tab w:val="left" w:pos="426"/>
              </w:tabs>
              <w:ind w:left="318" w:right="176"/>
              <w:jc w:val="both"/>
            </w:pPr>
            <w:r>
              <w:rPr>
                <w:rFonts w:eastAsia="Palatino Linotype"/>
                <w:spacing w:val="-1"/>
                <w:position w:val="1"/>
                <w:sz w:val="22"/>
                <w:szCs w:val="22"/>
                <w:lang w:val="es-UY"/>
              </w:rPr>
              <w:t xml:space="preserve">The </w:t>
            </w:r>
            <w:proofErr w:type="spellStart"/>
            <w:r>
              <w:rPr>
                <w:rFonts w:eastAsia="Palatino Linotype"/>
                <w:spacing w:val="-1"/>
                <w:position w:val="1"/>
                <w:sz w:val="22"/>
                <w:szCs w:val="22"/>
                <w:lang w:val="es-UY"/>
              </w:rPr>
              <w:t>award</w:t>
            </w:r>
            <w:proofErr w:type="spellEnd"/>
            <w:r>
              <w:rPr>
                <w:rFonts w:eastAsia="Palatino Linotype"/>
                <w:spacing w:val="-1"/>
                <w:position w:val="1"/>
                <w:sz w:val="22"/>
                <w:szCs w:val="22"/>
                <w:lang w:val="es-UY"/>
              </w:rPr>
              <w:t xml:space="preserve"> </w:t>
            </w:r>
            <w:proofErr w:type="spellStart"/>
            <w:r>
              <w:rPr>
                <w:rFonts w:eastAsia="Palatino Linotype"/>
                <w:spacing w:val="-1"/>
                <w:position w:val="1"/>
                <w:sz w:val="22"/>
                <w:szCs w:val="22"/>
                <w:lang w:val="es-UY"/>
              </w:rPr>
              <w:t>will</w:t>
            </w:r>
            <w:proofErr w:type="spellEnd"/>
            <w:r>
              <w:rPr>
                <w:rFonts w:eastAsia="Palatino Linotype"/>
                <w:spacing w:val="-1"/>
                <w:position w:val="1"/>
                <w:sz w:val="22"/>
                <w:szCs w:val="22"/>
                <w:lang w:val="es-UY"/>
              </w:rPr>
              <w:t xml:space="preserve"> be </w:t>
            </w:r>
            <w:proofErr w:type="spellStart"/>
            <w:r>
              <w:rPr>
                <w:rFonts w:eastAsia="Palatino Linotype"/>
                <w:spacing w:val="-1"/>
                <w:position w:val="1"/>
                <w:sz w:val="22"/>
                <w:szCs w:val="22"/>
                <w:lang w:val="es-UY"/>
              </w:rPr>
              <w:t>made</w:t>
            </w:r>
            <w:proofErr w:type="spellEnd"/>
            <w:r>
              <w:rPr>
                <w:rFonts w:eastAsia="Palatino Linotype"/>
                <w:spacing w:val="-1"/>
                <w:position w:val="1"/>
                <w:sz w:val="22"/>
                <w:szCs w:val="22"/>
                <w:lang w:val="es-UY"/>
              </w:rPr>
              <w:t xml:space="preserve"> in </w:t>
            </w:r>
            <w:proofErr w:type="spellStart"/>
            <w:r>
              <w:rPr>
                <w:rFonts w:eastAsia="Palatino Linotype"/>
                <w:spacing w:val="-1"/>
                <w:position w:val="1"/>
                <w:sz w:val="22"/>
                <w:szCs w:val="22"/>
                <w:lang w:val="es-UY"/>
              </w:rPr>
              <w:t>the</w:t>
            </w:r>
            <w:proofErr w:type="spellEnd"/>
            <w:r>
              <w:rPr>
                <w:rFonts w:eastAsia="Palatino Linotype"/>
                <w:spacing w:val="-1"/>
                <w:position w:val="1"/>
                <w:sz w:val="22"/>
                <w:szCs w:val="22"/>
                <w:lang w:val="es-UY"/>
              </w:rPr>
              <w:t xml:space="preserve"> </w:t>
            </w:r>
            <w:proofErr w:type="spellStart"/>
            <w:r>
              <w:rPr>
                <w:rFonts w:eastAsia="Palatino Linotype"/>
                <w:spacing w:val="-1"/>
                <w:position w:val="1"/>
                <w:sz w:val="22"/>
                <w:szCs w:val="22"/>
                <w:lang w:val="es-UY"/>
              </w:rPr>
              <w:t>name</w:t>
            </w:r>
            <w:proofErr w:type="spellEnd"/>
            <w:r>
              <w:rPr>
                <w:rFonts w:eastAsia="Palatino Linotype"/>
                <w:spacing w:val="-1"/>
                <w:position w:val="1"/>
                <w:sz w:val="22"/>
                <w:szCs w:val="22"/>
                <w:lang w:val="es-UY"/>
              </w:rPr>
              <w:t xml:space="preserve"> </w:t>
            </w:r>
            <w:proofErr w:type="spellStart"/>
            <w:r>
              <w:rPr>
                <w:rFonts w:eastAsia="Palatino Linotype"/>
                <w:spacing w:val="-1"/>
                <w:position w:val="1"/>
                <w:sz w:val="22"/>
                <w:szCs w:val="22"/>
                <w:lang w:val="es-UY"/>
              </w:rPr>
              <w:t>of</w:t>
            </w:r>
            <w:proofErr w:type="spellEnd"/>
            <w:r>
              <w:rPr>
                <w:rFonts w:eastAsia="Palatino Linotype"/>
                <w:spacing w:val="-1"/>
                <w:position w:val="1"/>
                <w:sz w:val="22"/>
                <w:szCs w:val="22"/>
                <w:lang w:val="es-UY"/>
              </w:rPr>
              <w:t xml:space="preserve"> </w:t>
            </w:r>
            <w:proofErr w:type="spellStart"/>
            <w:r>
              <w:rPr>
                <w:rFonts w:eastAsia="Palatino Linotype"/>
                <w:spacing w:val="-1"/>
                <w:position w:val="1"/>
                <w:sz w:val="22"/>
                <w:szCs w:val="22"/>
                <w:lang w:val="es-UY"/>
              </w:rPr>
              <w:t>the</w:t>
            </w:r>
            <w:proofErr w:type="spellEnd"/>
            <w:r>
              <w:rPr>
                <w:rFonts w:eastAsia="Palatino Linotype"/>
                <w:spacing w:val="-1"/>
                <w:position w:val="1"/>
                <w:sz w:val="22"/>
                <w:szCs w:val="22"/>
                <w:lang w:val="es-UY"/>
              </w:rPr>
              <w:t xml:space="preserve"> </w:t>
            </w:r>
            <w:proofErr w:type="spellStart"/>
            <w:r>
              <w:rPr>
                <w:rFonts w:eastAsia="Palatino Linotype"/>
                <w:spacing w:val="-1"/>
                <w:position w:val="1"/>
                <w:sz w:val="22"/>
                <w:szCs w:val="22"/>
                <w:lang w:val="es-UY"/>
              </w:rPr>
              <w:t>represented</w:t>
            </w:r>
            <w:proofErr w:type="spellEnd"/>
            <w:r>
              <w:rPr>
                <w:rFonts w:eastAsia="Palatino Linotype"/>
                <w:spacing w:val="-1"/>
                <w:position w:val="1"/>
                <w:sz w:val="22"/>
                <w:szCs w:val="22"/>
                <w:lang w:val="es-UY"/>
              </w:rPr>
              <w:t xml:space="preserve"> </w:t>
            </w:r>
            <w:proofErr w:type="spellStart"/>
            <w:r>
              <w:rPr>
                <w:rFonts w:eastAsia="Palatino Linotype"/>
                <w:spacing w:val="-1"/>
                <w:position w:val="1"/>
                <w:sz w:val="22"/>
                <w:szCs w:val="22"/>
                <w:lang w:val="es-UY"/>
              </w:rPr>
              <w:t>party</w:t>
            </w:r>
            <w:proofErr w:type="spellEnd"/>
            <w:r>
              <w:rPr>
                <w:rFonts w:eastAsia="Palatino Linotype"/>
                <w:spacing w:val="-1"/>
                <w:position w:val="1"/>
                <w:sz w:val="22"/>
                <w:szCs w:val="22"/>
                <w:lang w:val="es-UY"/>
              </w:rPr>
              <w:t xml:space="preserve">, </w:t>
            </w:r>
            <w:proofErr w:type="spellStart"/>
            <w:r>
              <w:rPr>
                <w:rFonts w:eastAsia="Palatino Linotype"/>
                <w:spacing w:val="-1"/>
                <w:position w:val="1"/>
                <w:sz w:val="22"/>
                <w:szCs w:val="22"/>
                <w:lang w:val="es-UY"/>
              </w:rPr>
              <w:t>who</w:t>
            </w:r>
            <w:proofErr w:type="spellEnd"/>
            <w:r>
              <w:rPr>
                <w:rFonts w:eastAsia="Palatino Linotype"/>
                <w:spacing w:val="-1"/>
                <w:position w:val="1"/>
                <w:sz w:val="22"/>
                <w:szCs w:val="22"/>
                <w:lang w:val="es-UY"/>
              </w:rPr>
              <w:t xml:space="preserve"> </w:t>
            </w:r>
            <w:proofErr w:type="spellStart"/>
            <w:r>
              <w:rPr>
                <w:rFonts w:eastAsia="Palatino Linotype"/>
                <w:spacing w:val="-1"/>
                <w:position w:val="1"/>
                <w:sz w:val="22"/>
                <w:szCs w:val="22"/>
                <w:lang w:val="es-UY"/>
              </w:rPr>
              <w:t>must</w:t>
            </w:r>
            <w:proofErr w:type="spellEnd"/>
            <w:r>
              <w:rPr>
                <w:rFonts w:eastAsia="Palatino Linotype"/>
                <w:spacing w:val="-1"/>
                <w:position w:val="1"/>
                <w:sz w:val="22"/>
                <w:szCs w:val="22"/>
                <w:lang w:val="es-UY"/>
              </w:rPr>
              <w:t xml:space="preserve"> be </w:t>
            </w:r>
            <w:proofErr w:type="spellStart"/>
            <w:r>
              <w:rPr>
                <w:rFonts w:eastAsia="Palatino Linotype"/>
                <w:spacing w:val="-1"/>
                <w:position w:val="1"/>
                <w:sz w:val="22"/>
                <w:szCs w:val="22"/>
                <w:lang w:val="es-UY"/>
              </w:rPr>
              <w:t>registered</w:t>
            </w:r>
            <w:proofErr w:type="spellEnd"/>
            <w:r>
              <w:rPr>
                <w:rFonts w:eastAsia="Palatino Linotype"/>
                <w:spacing w:val="-1"/>
                <w:position w:val="1"/>
                <w:sz w:val="22"/>
                <w:szCs w:val="22"/>
                <w:lang w:val="es-UY"/>
              </w:rPr>
              <w:t xml:space="preserve"> in RUPE and </w:t>
            </w:r>
            <w:proofErr w:type="spellStart"/>
            <w:r>
              <w:rPr>
                <w:rFonts w:eastAsia="Palatino Linotype"/>
                <w:spacing w:val="-1"/>
                <w:position w:val="1"/>
                <w:sz w:val="22"/>
                <w:szCs w:val="22"/>
                <w:lang w:val="es-UY"/>
              </w:rPr>
              <w:t>comply</w:t>
            </w:r>
            <w:proofErr w:type="spellEnd"/>
            <w:r>
              <w:rPr>
                <w:rFonts w:eastAsia="Palatino Linotype"/>
                <w:spacing w:val="-1"/>
                <w:position w:val="1"/>
                <w:sz w:val="22"/>
                <w:szCs w:val="22"/>
                <w:lang w:val="es-UY"/>
              </w:rPr>
              <w:t xml:space="preserve"> </w:t>
            </w:r>
            <w:proofErr w:type="spellStart"/>
            <w:r>
              <w:rPr>
                <w:rFonts w:eastAsia="Palatino Linotype"/>
                <w:spacing w:val="-1"/>
                <w:position w:val="1"/>
                <w:sz w:val="22"/>
                <w:szCs w:val="22"/>
                <w:lang w:val="es-UY"/>
              </w:rPr>
              <w:t>with</w:t>
            </w:r>
            <w:proofErr w:type="spellEnd"/>
            <w:r>
              <w:rPr>
                <w:rFonts w:eastAsia="Palatino Linotype"/>
                <w:spacing w:val="-1"/>
                <w:position w:val="1"/>
                <w:sz w:val="22"/>
                <w:szCs w:val="22"/>
                <w:lang w:val="es-UY"/>
              </w:rPr>
              <w:t xml:space="preserve"> </w:t>
            </w:r>
            <w:proofErr w:type="spellStart"/>
            <w:r>
              <w:rPr>
                <w:rFonts w:eastAsia="Palatino Linotype"/>
                <w:spacing w:val="-1"/>
                <w:position w:val="1"/>
                <w:sz w:val="22"/>
                <w:szCs w:val="22"/>
                <w:lang w:val="es-UY"/>
              </w:rPr>
              <w:t>the</w:t>
            </w:r>
            <w:proofErr w:type="spellEnd"/>
            <w:r>
              <w:rPr>
                <w:rFonts w:eastAsia="Palatino Linotype"/>
                <w:spacing w:val="-1"/>
                <w:position w:val="1"/>
                <w:sz w:val="22"/>
                <w:szCs w:val="22"/>
                <w:lang w:val="es-UY"/>
              </w:rPr>
              <w:t xml:space="preserve"> </w:t>
            </w:r>
            <w:proofErr w:type="spellStart"/>
            <w:r>
              <w:rPr>
                <w:rFonts w:eastAsia="Palatino Linotype"/>
                <w:spacing w:val="-1"/>
                <w:position w:val="1"/>
                <w:sz w:val="22"/>
                <w:szCs w:val="22"/>
                <w:lang w:val="es-UY"/>
              </w:rPr>
              <w:t>requirements</w:t>
            </w:r>
            <w:proofErr w:type="spellEnd"/>
            <w:r>
              <w:rPr>
                <w:rFonts w:eastAsia="Palatino Linotype"/>
                <w:spacing w:val="-1"/>
                <w:position w:val="1"/>
                <w:sz w:val="22"/>
                <w:szCs w:val="22"/>
                <w:lang w:val="es-UY"/>
              </w:rPr>
              <w:t xml:space="preserve"> </w:t>
            </w:r>
            <w:proofErr w:type="spellStart"/>
            <w:r>
              <w:rPr>
                <w:rFonts w:eastAsia="Palatino Linotype"/>
                <w:spacing w:val="-1"/>
                <w:position w:val="1"/>
                <w:sz w:val="22"/>
                <w:szCs w:val="22"/>
                <w:lang w:val="es-UY"/>
              </w:rPr>
              <w:t>of</w:t>
            </w:r>
            <w:proofErr w:type="spellEnd"/>
            <w:r>
              <w:rPr>
                <w:rFonts w:eastAsia="Palatino Linotype"/>
                <w:spacing w:val="-1"/>
                <w:position w:val="1"/>
                <w:sz w:val="22"/>
                <w:szCs w:val="22"/>
                <w:lang w:val="es-UY"/>
              </w:rPr>
              <w:t xml:space="preserve"> </w:t>
            </w:r>
            <w:proofErr w:type="spellStart"/>
            <w:r>
              <w:rPr>
                <w:rFonts w:eastAsia="Palatino Linotype"/>
                <w:spacing w:val="-1"/>
                <w:position w:val="1"/>
                <w:sz w:val="22"/>
                <w:szCs w:val="22"/>
                <w:lang w:val="es-UY"/>
              </w:rPr>
              <w:t>section</w:t>
            </w:r>
            <w:proofErr w:type="spellEnd"/>
            <w:r>
              <w:rPr>
                <w:rFonts w:eastAsia="Palatino Linotype"/>
                <w:spacing w:val="-1"/>
                <w:position w:val="1"/>
                <w:sz w:val="22"/>
                <w:szCs w:val="22"/>
                <w:lang w:val="es-UY"/>
              </w:rPr>
              <w:t xml:space="preserve"> a) </w:t>
            </w:r>
            <w:proofErr w:type="spellStart"/>
            <w:r>
              <w:rPr>
                <w:rFonts w:eastAsia="Palatino Linotype"/>
                <w:spacing w:val="-1"/>
                <w:position w:val="1"/>
                <w:sz w:val="22"/>
                <w:szCs w:val="22"/>
                <w:lang w:val="es-UY"/>
              </w:rPr>
              <w:t>of</w:t>
            </w:r>
            <w:proofErr w:type="spellEnd"/>
            <w:r>
              <w:rPr>
                <w:rFonts w:eastAsia="Palatino Linotype"/>
                <w:spacing w:val="-1"/>
                <w:position w:val="1"/>
                <w:sz w:val="22"/>
                <w:szCs w:val="22"/>
                <w:lang w:val="es-UY"/>
              </w:rPr>
              <w:t xml:space="preserve"> </w:t>
            </w:r>
            <w:proofErr w:type="spellStart"/>
            <w:r>
              <w:rPr>
                <w:rFonts w:eastAsia="Palatino Linotype"/>
                <w:spacing w:val="-1"/>
                <w:position w:val="1"/>
                <w:sz w:val="22"/>
                <w:szCs w:val="22"/>
                <w:lang w:val="es-UY"/>
              </w:rPr>
              <w:t>this</w:t>
            </w:r>
            <w:proofErr w:type="spellEnd"/>
            <w:r>
              <w:rPr>
                <w:rFonts w:eastAsia="Palatino Linotype"/>
                <w:spacing w:val="-1"/>
                <w:position w:val="1"/>
                <w:sz w:val="22"/>
                <w:szCs w:val="22"/>
                <w:lang w:val="es-UY"/>
              </w:rPr>
              <w:t xml:space="preserve"> </w:t>
            </w:r>
            <w:proofErr w:type="spellStart"/>
            <w:r>
              <w:rPr>
                <w:rFonts w:eastAsia="Palatino Linotype"/>
                <w:spacing w:val="-1"/>
                <w:position w:val="1"/>
                <w:sz w:val="22"/>
                <w:szCs w:val="22"/>
                <w:lang w:val="es-UY"/>
              </w:rPr>
              <w:t>article</w:t>
            </w:r>
            <w:proofErr w:type="spellEnd"/>
            <w:r>
              <w:rPr>
                <w:rFonts w:eastAsia="Palatino Linotype"/>
                <w:spacing w:val="-1"/>
                <w:position w:val="1"/>
                <w:sz w:val="22"/>
                <w:szCs w:val="22"/>
                <w:lang w:val="es-UY"/>
              </w:rPr>
              <w:t xml:space="preserve">. The </w:t>
            </w:r>
            <w:proofErr w:type="spellStart"/>
            <w:r>
              <w:rPr>
                <w:rFonts w:eastAsia="Palatino Linotype"/>
                <w:spacing w:val="-1"/>
                <w:position w:val="1"/>
                <w:sz w:val="22"/>
                <w:szCs w:val="22"/>
                <w:lang w:val="es-UY"/>
              </w:rPr>
              <w:t>represented</w:t>
            </w:r>
            <w:proofErr w:type="spellEnd"/>
            <w:r>
              <w:rPr>
                <w:rFonts w:eastAsia="Palatino Linotype"/>
                <w:spacing w:val="-1"/>
                <w:position w:val="1"/>
                <w:sz w:val="22"/>
                <w:szCs w:val="22"/>
                <w:lang w:val="es-UY"/>
              </w:rPr>
              <w:t xml:space="preserve"> </w:t>
            </w:r>
            <w:proofErr w:type="spellStart"/>
            <w:r>
              <w:rPr>
                <w:rFonts w:eastAsia="Palatino Linotype"/>
                <w:spacing w:val="-1"/>
                <w:position w:val="1"/>
                <w:sz w:val="22"/>
                <w:szCs w:val="22"/>
                <w:lang w:val="es-UY"/>
              </w:rPr>
              <w:t>party</w:t>
            </w:r>
            <w:proofErr w:type="spellEnd"/>
            <w:r>
              <w:rPr>
                <w:rFonts w:eastAsia="Palatino Linotype"/>
                <w:spacing w:val="-1"/>
                <w:position w:val="1"/>
                <w:sz w:val="22"/>
                <w:szCs w:val="22"/>
                <w:lang w:val="es-UY"/>
              </w:rPr>
              <w:t xml:space="preserve"> </w:t>
            </w:r>
            <w:proofErr w:type="spellStart"/>
            <w:r>
              <w:rPr>
                <w:rFonts w:eastAsia="Palatino Linotype"/>
                <w:spacing w:val="-1"/>
                <w:position w:val="1"/>
                <w:sz w:val="22"/>
                <w:szCs w:val="22"/>
                <w:lang w:val="es-UY"/>
              </w:rPr>
              <w:t>must</w:t>
            </w:r>
            <w:proofErr w:type="spellEnd"/>
            <w:r>
              <w:rPr>
                <w:rFonts w:eastAsia="Palatino Linotype"/>
                <w:spacing w:val="-1"/>
                <w:position w:val="1"/>
                <w:sz w:val="22"/>
                <w:szCs w:val="22"/>
                <w:lang w:val="es-UY"/>
              </w:rPr>
              <w:t xml:space="preserve"> </w:t>
            </w:r>
            <w:proofErr w:type="spellStart"/>
            <w:r>
              <w:rPr>
                <w:rFonts w:eastAsia="Palatino Linotype"/>
                <w:spacing w:val="-1"/>
                <w:position w:val="1"/>
                <w:sz w:val="22"/>
                <w:szCs w:val="22"/>
                <w:lang w:val="es-UY"/>
              </w:rPr>
              <w:t>issue</w:t>
            </w:r>
            <w:proofErr w:type="spellEnd"/>
            <w:r>
              <w:rPr>
                <w:rFonts w:eastAsia="Palatino Linotype"/>
                <w:spacing w:val="-1"/>
                <w:position w:val="1"/>
                <w:sz w:val="22"/>
                <w:szCs w:val="22"/>
                <w:lang w:val="es-UY"/>
              </w:rPr>
              <w:t xml:space="preserve"> </w:t>
            </w:r>
            <w:proofErr w:type="spellStart"/>
            <w:r>
              <w:rPr>
                <w:rFonts w:eastAsia="Palatino Linotype"/>
                <w:spacing w:val="-1"/>
                <w:position w:val="1"/>
                <w:sz w:val="22"/>
                <w:szCs w:val="22"/>
                <w:lang w:val="es-UY"/>
              </w:rPr>
              <w:t>invoices</w:t>
            </w:r>
            <w:proofErr w:type="spellEnd"/>
            <w:r>
              <w:rPr>
                <w:rFonts w:eastAsia="Palatino Linotype"/>
                <w:spacing w:val="-1"/>
                <w:position w:val="1"/>
                <w:sz w:val="22"/>
                <w:szCs w:val="22"/>
                <w:lang w:val="es-UY"/>
              </w:rPr>
              <w:t xml:space="preserve"> and </w:t>
            </w:r>
            <w:proofErr w:type="spellStart"/>
            <w:r>
              <w:rPr>
                <w:rFonts w:eastAsia="Palatino Linotype"/>
                <w:spacing w:val="-1"/>
                <w:position w:val="1"/>
                <w:sz w:val="22"/>
                <w:szCs w:val="22"/>
                <w:lang w:val="es-UY"/>
              </w:rPr>
              <w:t>will</w:t>
            </w:r>
            <w:proofErr w:type="spellEnd"/>
            <w:r>
              <w:rPr>
                <w:rFonts w:eastAsia="Palatino Linotype"/>
                <w:spacing w:val="-1"/>
                <w:position w:val="1"/>
                <w:sz w:val="22"/>
                <w:szCs w:val="22"/>
                <w:lang w:val="es-UY"/>
              </w:rPr>
              <w:t xml:space="preserve"> be </w:t>
            </w:r>
            <w:proofErr w:type="spellStart"/>
            <w:r>
              <w:rPr>
                <w:rFonts w:eastAsia="Palatino Linotype"/>
                <w:spacing w:val="-1"/>
                <w:position w:val="1"/>
                <w:sz w:val="22"/>
                <w:szCs w:val="22"/>
                <w:lang w:val="es-UY"/>
              </w:rPr>
              <w:t>the</w:t>
            </w:r>
            <w:proofErr w:type="spellEnd"/>
            <w:r>
              <w:rPr>
                <w:rFonts w:eastAsia="Palatino Linotype"/>
                <w:spacing w:val="-1"/>
                <w:position w:val="1"/>
                <w:sz w:val="22"/>
                <w:szCs w:val="22"/>
                <w:lang w:val="es-UY"/>
              </w:rPr>
              <w:t xml:space="preserve"> </w:t>
            </w:r>
            <w:proofErr w:type="spellStart"/>
            <w:r>
              <w:rPr>
                <w:rFonts w:eastAsia="Palatino Linotype"/>
                <w:spacing w:val="-1"/>
                <w:position w:val="1"/>
                <w:sz w:val="22"/>
                <w:szCs w:val="22"/>
                <w:lang w:val="es-UY"/>
              </w:rPr>
              <w:t>beneficiary</w:t>
            </w:r>
            <w:proofErr w:type="spellEnd"/>
            <w:r>
              <w:rPr>
                <w:rFonts w:eastAsia="Palatino Linotype"/>
                <w:spacing w:val="-1"/>
                <w:position w:val="1"/>
                <w:sz w:val="22"/>
                <w:szCs w:val="22"/>
                <w:lang w:val="es-UY"/>
              </w:rPr>
              <w:t xml:space="preserve"> </w:t>
            </w:r>
            <w:proofErr w:type="spellStart"/>
            <w:r>
              <w:rPr>
                <w:rFonts w:eastAsia="Palatino Linotype"/>
                <w:spacing w:val="-1"/>
                <w:position w:val="1"/>
                <w:sz w:val="22"/>
                <w:szCs w:val="22"/>
                <w:lang w:val="es-UY"/>
              </w:rPr>
              <w:t>of</w:t>
            </w:r>
            <w:proofErr w:type="spellEnd"/>
            <w:r>
              <w:rPr>
                <w:rFonts w:eastAsia="Palatino Linotype"/>
                <w:spacing w:val="-1"/>
                <w:position w:val="1"/>
                <w:sz w:val="22"/>
                <w:szCs w:val="22"/>
                <w:lang w:val="es-UY"/>
              </w:rPr>
              <w:t xml:space="preserve"> </w:t>
            </w:r>
            <w:proofErr w:type="spellStart"/>
            <w:r>
              <w:rPr>
                <w:rFonts w:eastAsia="Palatino Linotype"/>
                <w:spacing w:val="-1"/>
                <w:position w:val="1"/>
                <w:sz w:val="22"/>
                <w:szCs w:val="22"/>
                <w:lang w:val="es-UY"/>
              </w:rPr>
              <w:t>the</w:t>
            </w:r>
            <w:proofErr w:type="spellEnd"/>
            <w:r>
              <w:rPr>
                <w:rFonts w:eastAsia="Palatino Linotype"/>
                <w:spacing w:val="-1"/>
                <w:position w:val="1"/>
                <w:sz w:val="22"/>
                <w:szCs w:val="22"/>
                <w:lang w:val="es-UY"/>
              </w:rPr>
              <w:t xml:space="preserve"> </w:t>
            </w:r>
            <w:proofErr w:type="spellStart"/>
            <w:r>
              <w:rPr>
                <w:rFonts w:eastAsia="Palatino Linotype"/>
                <w:spacing w:val="-1"/>
                <w:position w:val="1"/>
                <w:sz w:val="22"/>
                <w:szCs w:val="22"/>
                <w:lang w:val="es-UY"/>
              </w:rPr>
              <w:t>payment</w:t>
            </w:r>
            <w:proofErr w:type="spellEnd"/>
            <w:r>
              <w:rPr>
                <w:rFonts w:eastAsia="Palatino Linotype"/>
                <w:spacing w:val="-1"/>
                <w:position w:val="1"/>
                <w:sz w:val="22"/>
                <w:szCs w:val="22"/>
                <w:lang w:val="es-UY"/>
              </w:rPr>
              <w:t xml:space="preserve">; </w:t>
            </w:r>
            <w:proofErr w:type="spellStart"/>
            <w:r>
              <w:rPr>
                <w:rFonts w:eastAsia="Palatino Linotype"/>
                <w:spacing w:val="-1"/>
                <w:position w:val="1"/>
                <w:sz w:val="22"/>
                <w:szCs w:val="22"/>
                <w:lang w:val="es-UY"/>
              </w:rPr>
              <w:t>if</w:t>
            </w:r>
            <w:proofErr w:type="spellEnd"/>
            <w:r>
              <w:rPr>
                <w:rFonts w:eastAsia="Palatino Linotype"/>
                <w:spacing w:val="-1"/>
                <w:position w:val="1"/>
                <w:sz w:val="22"/>
                <w:szCs w:val="22"/>
                <w:lang w:val="es-UY"/>
              </w:rPr>
              <w:t xml:space="preserve"> </w:t>
            </w:r>
            <w:proofErr w:type="spellStart"/>
            <w:r>
              <w:rPr>
                <w:rFonts w:eastAsia="Palatino Linotype"/>
                <w:spacing w:val="-1"/>
                <w:position w:val="1"/>
                <w:sz w:val="22"/>
                <w:szCs w:val="22"/>
                <w:lang w:val="es-UY"/>
              </w:rPr>
              <w:t>payment</w:t>
            </w:r>
            <w:proofErr w:type="spellEnd"/>
            <w:r>
              <w:rPr>
                <w:rFonts w:eastAsia="Palatino Linotype"/>
                <w:spacing w:val="-1"/>
                <w:position w:val="1"/>
                <w:sz w:val="22"/>
                <w:szCs w:val="22"/>
                <w:lang w:val="es-UY"/>
              </w:rPr>
              <w:t xml:space="preserve"> </w:t>
            </w:r>
            <w:proofErr w:type="spellStart"/>
            <w:r>
              <w:rPr>
                <w:rFonts w:eastAsia="Palatino Linotype"/>
                <w:spacing w:val="-1"/>
                <w:position w:val="1"/>
                <w:sz w:val="22"/>
                <w:szCs w:val="22"/>
                <w:lang w:val="es-UY"/>
              </w:rPr>
              <w:t>is</w:t>
            </w:r>
            <w:proofErr w:type="spellEnd"/>
            <w:r>
              <w:rPr>
                <w:rFonts w:eastAsia="Palatino Linotype"/>
                <w:spacing w:val="-1"/>
                <w:position w:val="1"/>
                <w:sz w:val="22"/>
                <w:szCs w:val="22"/>
                <w:lang w:val="es-UY"/>
              </w:rPr>
              <w:t xml:space="preserve"> </w:t>
            </w:r>
            <w:proofErr w:type="spellStart"/>
            <w:r>
              <w:rPr>
                <w:rFonts w:eastAsia="Palatino Linotype"/>
                <w:spacing w:val="-1"/>
                <w:position w:val="1"/>
                <w:sz w:val="22"/>
                <w:szCs w:val="22"/>
                <w:lang w:val="es-UY"/>
              </w:rPr>
              <w:t>made</w:t>
            </w:r>
            <w:proofErr w:type="spellEnd"/>
            <w:r>
              <w:rPr>
                <w:rFonts w:eastAsia="Palatino Linotype"/>
                <w:spacing w:val="-1"/>
                <w:position w:val="1"/>
                <w:sz w:val="22"/>
                <w:szCs w:val="22"/>
                <w:lang w:val="es-UY"/>
              </w:rPr>
              <w:t xml:space="preserve"> </w:t>
            </w:r>
            <w:proofErr w:type="spellStart"/>
            <w:r>
              <w:rPr>
                <w:rFonts w:eastAsia="Palatino Linotype"/>
                <w:spacing w:val="-1"/>
                <w:position w:val="1"/>
                <w:sz w:val="22"/>
                <w:szCs w:val="22"/>
                <w:lang w:val="es-UY"/>
              </w:rPr>
              <w:t>by</w:t>
            </w:r>
            <w:proofErr w:type="spellEnd"/>
            <w:r>
              <w:rPr>
                <w:rFonts w:eastAsia="Palatino Linotype"/>
                <w:spacing w:val="-1"/>
                <w:position w:val="1"/>
                <w:sz w:val="22"/>
                <w:szCs w:val="22"/>
                <w:lang w:val="es-UY"/>
              </w:rPr>
              <w:t xml:space="preserve"> </w:t>
            </w:r>
            <w:proofErr w:type="spellStart"/>
            <w:r>
              <w:rPr>
                <w:rFonts w:eastAsia="Palatino Linotype"/>
                <w:spacing w:val="-1"/>
                <w:position w:val="1"/>
                <w:sz w:val="22"/>
                <w:szCs w:val="22"/>
                <w:lang w:val="es-UY"/>
              </w:rPr>
              <w:t>letter</w:t>
            </w:r>
            <w:proofErr w:type="spellEnd"/>
            <w:r>
              <w:rPr>
                <w:rFonts w:eastAsia="Palatino Linotype"/>
                <w:spacing w:val="-1"/>
                <w:position w:val="1"/>
                <w:sz w:val="22"/>
                <w:szCs w:val="22"/>
                <w:lang w:val="es-UY"/>
              </w:rPr>
              <w:t xml:space="preserve"> </w:t>
            </w:r>
            <w:proofErr w:type="spellStart"/>
            <w:r>
              <w:rPr>
                <w:rFonts w:eastAsia="Palatino Linotype"/>
                <w:spacing w:val="-1"/>
                <w:position w:val="1"/>
                <w:sz w:val="22"/>
                <w:szCs w:val="22"/>
                <w:lang w:val="es-UY"/>
              </w:rPr>
              <w:t>of</w:t>
            </w:r>
            <w:proofErr w:type="spellEnd"/>
            <w:r>
              <w:rPr>
                <w:rFonts w:eastAsia="Palatino Linotype"/>
                <w:spacing w:val="-1"/>
                <w:position w:val="1"/>
                <w:sz w:val="22"/>
                <w:szCs w:val="22"/>
                <w:lang w:val="es-UY"/>
              </w:rPr>
              <w:t xml:space="preserve"> </w:t>
            </w:r>
            <w:proofErr w:type="spellStart"/>
            <w:r>
              <w:rPr>
                <w:rFonts w:eastAsia="Palatino Linotype"/>
                <w:spacing w:val="-1"/>
                <w:position w:val="1"/>
                <w:sz w:val="22"/>
                <w:szCs w:val="22"/>
                <w:lang w:val="es-UY"/>
              </w:rPr>
              <w:t>credit</w:t>
            </w:r>
            <w:proofErr w:type="spellEnd"/>
            <w:r>
              <w:rPr>
                <w:rFonts w:eastAsia="Palatino Linotype"/>
                <w:spacing w:val="-1"/>
                <w:position w:val="1"/>
                <w:sz w:val="22"/>
                <w:szCs w:val="22"/>
                <w:lang w:val="es-UY"/>
              </w:rPr>
              <w:t xml:space="preserve">, </w:t>
            </w:r>
            <w:proofErr w:type="spellStart"/>
            <w:r>
              <w:rPr>
                <w:rFonts w:eastAsia="Palatino Linotype"/>
                <w:spacing w:val="-1"/>
                <w:position w:val="1"/>
                <w:sz w:val="22"/>
                <w:szCs w:val="22"/>
                <w:lang w:val="es-UY"/>
              </w:rPr>
              <w:t>the</w:t>
            </w:r>
            <w:proofErr w:type="spellEnd"/>
            <w:r>
              <w:rPr>
                <w:rFonts w:eastAsia="Palatino Linotype"/>
                <w:spacing w:val="-1"/>
                <w:position w:val="1"/>
                <w:sz w:val="22"/>
                <w:szCs w:val="22"/>
                <w:lang w:val="es-UY"/>
              </w:rPr>
              <w:t xml:space="preserve"> representative </w:t>
            </w:r>
            <w:proofErr w:type="spellStart"/>
            <w:r>
              <w:rPr>
                <w:rFonts w:eastAsia="Palatino Linotype"/>
                <w:spacing w:val="-1"/>
                <w:position w:val="1"/>
                <w:sz w:val="22"/>
                <w:szCs w:val="22"/>
                <w:lang w:val="es-UY"/>
              </w:rPr>
              <w:t>will</w:t>
            </w:r>
            <w:proofErr w:type="spellEnd"/>
            <w:r>
              <w:rPr>
                <w:rFonts w:eastAsia="Palatino Linotype"/>
                <w:spacing w:val="-1"/>
                <w:position w:val="1"/>
                <w:sz w:val="22"/>
                <w:szCs w:val="22"/>
                <w:lang w:val="es-UY"/>
              </w:rPr>
              <w:t xml:space="preserve"> be </w:t>
            </w:r>
            <w:proofErr w:type="spellStart"/>
            <w:r>
              <w:rPr>
                <w:rFonts w:eastAsia="Palatino Linotype"/>
                <w:spacing w:val="-1"/>
                <w:position w:val="1"/>
                <w:sz w:val="22"/>
                <w:szCs w:val="22"/>
                <w:lang w:val="es-UY"/>
              </w:rPr>
              <w:t>the</w:t>
            </w:r>
            <w:proofErr w:type="spellEnd"/>
            <w:r>
              <w:rPr>
                <w:rFonts w:eastAsia="Palatino Linotype"/>
                <w:spacing w:val="-1"/>
                <w:position w:val="1"/>
                <w:sz w:val="22"/>
                <w:szCs w:val="22"/>
                <w:lang w:val="es-UY"/>
              </w:rPr>
              <w:t xml:space="preserve"> </w:t>
            </w:r>
            <w:proofErr w:type="spellStart"/>
            <w:r>
              <w:rPr>
                <w:rFonts w:eastAsia="Palatino Linotype"/>
                <w:spacing w:val="-1"/>
                <w:position w:val="1"/>
                <w:sz w:val="22"/>
                <w:szCs w:val="22"/>
                <w:lang w:val="es-UY"/>
              </w:rPr>
              <w:t>beneficiary</w:t>
            </w:r>
            <w:proofErr w:type="spellEnd"/>
            <w:r>
              <w:rPr>
                <w:rFonts w:eastAsia="Palatino Linotype"/>
                <w:spacing w:val="-1"/>
                <w:position w:val="1"/>
                <w:sz w:val="22"/>
                <w:szCs w:val="22"/>
                <w:lang w:val="es-UY"/>
              </w:rPr>
              <w:t xml:space="preserve"> </w:t>
            </w:r>
            <w:proofErr w:type="spellStart"/>
            <w:r>
              <w:rPr>
                <w:rFonts w:eastAsia="Palatino Linotype"/>
                <w:spacing w:val="-1"/>
                <w:position w:val="1"/>
                <w:sz w:val="22"/>
                <w:szCs w:val="22"/>
                <w:lang w:val="es-UY"/>
              </w:rPr>
              <w:t>of</w:t>
            </w:r>
            <w:proofErr w:type="spellEnd"/>
            <w:r>
              <w:rPr>
                <w:rFonts w:eastAsia="Palatino Linotype"/>
                <w:spacing w:val="-1"/>
                <w:position w:val="1"/>
                <w:sz w:val="22"/>
                <w:szCs w:val="22"/>
                <w:lang w:val="es-UY"/>
              </w:rPr>
              <w:t xml:space="preserve"> </w:t>
            </w:r>
            <w:proofErr w:type="spellStart"/>
            <w:r>
              <w:rPr>
                <w:rFonts w:eastAsia="Palatino Linotype"/>
                <w:spacing w:val="-1"/>
                <w:position w:val="1"/>
                <w:sz w:val="22"/>
                <w:szCs w:val="22"/>
                <w:lang w:val="es-UY"/>
              </w:rPr>
              <w:t>the</w:t>
            </w:r>
            <w:proofErr w:type="spellEnd"/>
            <w:r>
              <w:rPr>
                <w:rFonts w:eastAsia="Palatino Linotype"/>
                <w:spacing w:val="-1"/>
                <w:position w:val="1"/>
                <w:sz w:val="22"/>
                <w:szCs w:val="22"/>
                <w:lang w:val="es-UY"/>
              </w:rPr>
              <w:t xml:space="preserve"> </w:t>
            </w:r>
            <w:proofErr w:type="spellStart"/>
            <w:r>
              <w:rPr>
                <w:rFonts w:eastAsia="Palatino Linotype"/>
                <w:spacing w:val="-1"/>
                <w:position w:val="1"/>
                <w:sz w:val="22"/>
                <w:szCs w:val="22"/>
                <w:lang w:val="es-UY"/>
              </w:rPr>
              <w:t>letter</w:t>
            </w:r>
            <w:proofErr w:type="spellEnd"/>
            <w:r>
              <w:rPr>
                <w:rFonts w:eastAsia="Palatino Linotype"/>
                <w:spacing w:val="-1"/>
                <w:position w:val="1"/>
                <w:sz w:val="22"/>
                <w:szCs w:val="22"/>
                <w:lang w:val="es-UY"/>
              </w:rPr>
              <w:t xml:space="preserve"> </w:t>
            </w:r>
            <w:proofErr w:type="spellStart"/>
            <w:r>
              <w:rPr>
                <w:rFonts w:eastAsia="Palatino Linotype"/>
                <w:spacing w:val="-1"/>
                <w:position w:val="1"/>
                <w:sz w:val="22"/>
                <w:szCs w:val="22"/>
                <w:lang w:val="es-UY"/>
              </w:rPr>
              <w:t>of</w:t>
            </w:r>
            <w:proofErr w:type="spellEnd"/>
            <w:r>
              <w:rPr>
                <w:rFonts w:eastAsia="Palatino Linotype"/>
                <w:spacing w:val="-1"/>
                <w:position w:val="1"/>
                <w:sz w:val="22"/>
                <w:szCs w:val="22"/>
                <w:lang w:val="es-UY"/>
              </w:rPr>
              <w:t xml:space="preserve"> </w:t>
            </w:r>
            <w:proofErr w:type="spellStart"/>
            <w:r>
              <w:rPr>
                <w:rFonts w:eastAsia="Palatino Linotype"/>
                <w:spacing w:val="-1"/>
                <w:position w:val="1"/>
                <w:sz w:val="22"/>
                <w:szCs w:val="22"/>
                <w:lang w:val="es-UY"/>
              </w:rPr>
              <w:t>credit</w:t>
            </w:r>
            <w:proofErr w:type="spellEnd"/>
            <w:r>
              <w:rPr>
                <w:rFonts w:eastAsia="Palatino Linotype"/>
                <w:spacing w:val="-1"/>
                <w:position w:val="1"/>
                <w:sz w:val="22"/>
                <w:szCs w:val="22"/>
                <w:lang w:val="es-UY"/>
              </w:rPr>
              <w:t>.</w:t>
            </w:r>
          </w:p>
          <w:p w14:paraId="6EA02688" w14:textId="77777777" w:rsidR="00E255F4" w:rsidRDefault="00E255F4">
            <w:pPr>
              <w:pStyle w:val="Prrafodelista"/>
              <w:tabs>
                <w:tab w:val="left" w:pos="-1800"/>
                <w:tab w:val="left" w:pos="-720"/>
                <w:tab w:val="left" w:pos="426"/>
              </w:tabs>
              <w:ind w:left="318" w:right="176"/>
              <w:jc w:val="both"/>
              <w:rPr>
                <w:rFonts w:eastAsia="Palatino Linotype"/>
                <w:spacing w:val="-1"/>
                <w:position w:val="1"/>
                <w:sz w:val="22"/>
                <w:szCs w:val="22"/>
                <w:lang w:val="es-UY"/>
              </w:rPr>
            </w:pPr>
          </w:p>
          <w:p w14:paraId="10F32965" w14:textId="77777777" w:rsidR="00E255F4" w:rsidRDefault="00000000">
            <w:pPr>
              <w:pStyle w:val="Prrafodelista"/>
              <w:tabs>
                <w:tab w:val="left" w:pos="-1800"/>
                <w:tab w:val="left" w:pos="-720"/>
                <w:tab w:val="left" w:pos="426"/>
              </w:tabs>
              <w:ind w:left="318" w:right="176"/>
              <w:jc w:val="both"/>
              <w:rPr>
                <w:rFonts w:eastAsia="Palatino Linotype"/>
                <w:b/>
                <w:spacing w:val="-1"/>
                <w:position w:val="1"/>
                <w:sz w:val="22"/>
                <w:szCs w:val="22"/>
                <w:u w:val="single"/>
                <w:lang w:val="es-UY"/>
              </w:rPr>
            </w:pPr>
            <w:r>
              <w:rPr>
                <w:rFonts w:eastAsia="Palatino Linotype"/>
                <w:b/>
                <w:spacing w:val="-1"/>
                <w:position w:val="1"/>
                <w:sz w:val="22"/>
                <w:szCs w:val="22"/>
                <w:u w:val="single"/>
                <w:lang w:val="es-UY"/>
              </w:rPr>
              <w:t xml:space="preserve">In </w:t>
            </w:r>
            <w:proofErr w:type="spellStart"/>
            <w:r>
              <w:rPr>
                <w:rFonts w:eastAsia="Palatino Linotype"/>
                <w:b/>
                <w:spacing w:val="-1"/>
                <w:position w:val="1"/>
                <w:sz w:val="22"/>
                <w:szCs w:val="22"/>
                <w:u w:val="single"/>
                <w:lang w:val="es-UY"/>
              </w:rPr>
              <w:t>the</w:t>
            </w:r>
            <w:proofErr w:type="spellEnd"/>
            <w:r>
              <w:rPr>
                <w:rFonts w:eastAsia="Palatino Linotype"/>
                <w:b/>
                <w:spacing w:val="-1"/>
                <w:position w:val="1"/>
                <w:sz w:val="22"/>
                <w:szCs w:val="22"/>
                <w:u w:val="single"/>
                <w:lang w:val="es-UY"/>
              </w:rPr>
              <w:t xml:space="preserve"> case </w:t>
            </w:r>
            <w:proofErr w:type="spellStart"/>
            <w:r>
              <w:rPr>
                <w:rFonts w:eastAsia="Palatino Linotype"/>
                <w:b/>
                <w:spacing w:val="-1"/>
                <w:position w:val="1"/>
                <w:sz w:val="22"/>
                <w:szCs w:val="22"/>
                <w:u w:val="single"/>
                <w:lang w:val="es-UY"/>
              </w:rPr>
              <w:t>of</w:t>
            </w:r>
            <w:proofErr w:type="spellEnd"/>
            <w:r>
              <w:rPr>
                <w:rFonts w:eastAsia="Palatino Linotype"/>
                <w:b/>
                <w:spacing w:val="-1"/>
                <w:position w:val="1"/>
                <w:sz w:val="22"/>
                <w:szCs w:val="22"/>
                <w:u w:val="single"/>
                <w:lang w:val="es-UY"/>
              </w:rPr>
              <w:t xml:space="preserve"> a sales representative</w:t>
            </w:r>
          </w:p>
          <w:p w14:paraId="5B87B014" w14:textId="77777777" w:rsidR="00E255F4" w:rsidRDefault="00E255F4">
            <w:pPr>
              <w:ind w:left="371"/>
              <w:jc w:val="both"/>
              <w:rPr>
                <w:rFonts w:eastAsia="Palatino Linotype"/>
                <w:b/>
                <w:spacing w:val="-1"/>
                <w:position w:val="1"/>
                <w:sz w:val="22"/>
                <w:szCs w:val="22"/>
                <w:u w:val="single"/>
              </w:rPr>
            </w:pPr>
          </w:p>
          <w:p w14:paraId="7F7AC56E" w14:textId="77777777" w:rsidR="00E255F4" w:rsidRDefault="00000000">
            <w:pPr>
              <w:ind w:left="371"/>
              <w:jc w:val="both"/>
              <w:rPr>
                <w:rFonts w:eastAsia="Palatino Linotype"/>
                <w:spacing w:val="-1"/>
                <w:position w:val="1"/>
                <w:sz w:val="22"/>
                <w:szCs w:val="22"/>
              </w:rPr>
            </w:pPr>
            <w:r>
              <w:rPr>
                <w:rFonts w:eastAsia="Palatino Linotype"/>
                <w:spacing w:val="-1"/>
                <w:position w:val="1"/>
                <w:sz w:val="22"/>
                <w:szCs w:val="22"/>
              </w:rPr>
              <w:t xml:space="preserve">The </w:t>
            </w:r>
            <w:proofErr w:type="spellStart"/>
            <w:r>
              <w:rPr>
                <w:rFonts w:eastAsia="Palatino Linotype"/>
                <w:spacing w:val="-1"/>
                <w:position w:val="1"/>
                <w:sz w:val="22"/>
                <w:szCs w:val="22"/>
              </w:rPr>
              <w:t>contract</w:t>
            </w:r>
            <w:proofErr w:type="spellEnd"/>
            <w:r>
              <w:rPr>
                <w:rFonts w:eastAsia="Palatino Linotype"/>
                <w:spacing w:val="-1"/>
                <w:position w:val="1"/>
                <w:sz w:val="22"/>
                <w:szCs w:val="22"/>
              </w:rPr>
              <w:t xml:space="preserve"> </w:t>
            </w:r>
            <w:proofErr w:type="spellStart"/>
            <w:r>
              <w:rPr>
                <w:rFonts w:eastAsia="Palatino Linotype"/>
                <w:spacing w:val="-1"/>
                <w:position w:val="1"/>
                <w:sz w:val="22"/>
                <w:szCs w:val="22"/>
              </w:rPr>
              <w:t>will</w:t>
            </w:r>
            <w:proofErr w:type="spellEnd"/>
            <w:r>
              <w:rPr>
                <w:rFonts w:eastAsia="Palatino Linotype"/>
                <w:spacing w:val="-1"/>
                <w:position w:val="1"/>
                <w:sz w:val="22"/>
                <w:szCs w:val="22"/>
              </w:rPr>
              <w:t xml:space="preserve"> be </w:t>
            </w:r>
            <w:proofErr w:type="spellStart"/>
            <w:r>
              <w:rPr>
                <w:rFonts w:eastAsia="Palatino Linotype"/>
                <w:spacing w:val="-1"/>
                <w:position w:val="1"/>
                <w:sz w:val="22"/>
                <w:szCs w:val="22"/>
              </w:rPr>
              <w:t>awarded</w:t>
            </w:r>
            <w:proofErr w:type="spellEnd"/>
            <w:r>
              <w:rPr>
                <w:rFonts w:eastAsia="Palatino Linotype"/>
                <w:spacing w:val="-1"/>
                <w:position w:val="1"/>
                <w:sz w:val="22"/>
                <w:szCs w:val="22"/>
              </w:rPr>
              <w:t xml:space="preserve"> </w:t>
            </w:r>
            <w:proofErr w:type="spellStart"/>
            <w:r>
              <w:rPr>
                <w:rFonts w:eastAsia="Palatino Linotype"/>
                <w:spacing w:val="-1"/>
                <w:position w:val="1"/>
                <w:sz w:val="22"/>
                <w:szCs w:val="22"/>
              </w:rPr>
              <w:t>to</w:t>
            </w:r>
            <w:proofErr w:type="spellEnd"/>
            <w:r>
              <w:rPr>
                <w:rFonts w:eastAsia="Palatino Linotype"/>
                <w:spacing w:val="-1"/>
                <w:position w:val="1"/>
                <w:sz w:val="22"/>
                <w:szCs w:val="22"/>
              </w:rPr>
              <w:t xml:space="preserve"> </w:t>
            </w:r>
            <w:proofErr w:type="spellStart"/>
            <w:r>
              <w:rPr>
                <w:rFonts w:eastAsia="Palatino Linotype"/>
                <w:spacing w:val="-1"/>
                <w:position w:val="1"/>
                <w:sz w:val="22"/>
                <w:szCs w:val="22"/>
              </w:rPr>
              <w:t>the</w:t>
            </w:r>
            <w:proofErr w:type="spellEnd"/>
            <w:r>
              <w:rPr>
                <w:rFonts w:eastAsia="Palatino Linotype"/>
                <w:spacing w:val="-1"/>
                <w:position w:val="1"/>
                <w:sz w:val="22"/>
                <w:szCs w:val="22"/>
              </w:rPr>
              <w:t xml:space="preserve"> </w:t>
            </w:r>
            <w:proofErr w:type="spellStart"/>
            <w:r>
              <w:rPr>
                <w:rFonts w:eastAsia="Palatino Linotype"/>
                <w:spacing w:val="-1"/>
                <w:position w:val="1"/>
                <w:sz w:val="22"/>
                <w:szCs w:val="22"/>
              </w:rPr>
              <w:t>bidder</w:t>
            </w:r>
            <w:proofErr w:type="spellEnd"/>
            <w:r>
              <w:rPr>
                <w:rFonts w:eastAsia="Palatino Linotype"/>
                <w:spacing w:val="-1"/>
                <w:position w:val="1"/>
                <w:sz w:val="22"/>
                <w:szCs w:val="22"/>
              </w:rPr>
              <w:t xml:space="preserve"> </w:t>
            </w:r>
            <w:proofErr w:type="spellStart"/>
            <w:r>
              <w:rPr>
                <w:rFonts w:eastAsia="Palatino Linotype"/>
                <w:spacing w:val="-1"/>
                <w:position w:val="1"/>
                <w:sz w:val="22"/>
                <w:szCs w:val="22"/>
              </w:rPr>
              <w:t>who</w:t>
            </w:r>
            <w:proofErr w:type="spellEnd"/>
            <w:r>
              <w:rPr>
                <w:rFonts w:eastAsia="Palatino Linotype"/>
                <w:spacing w:val="-1"/>
                <w:position w:val="1"/>
                <w:sz w:val="22"/>
                <w:szCs w:val="22"/>
              </w:rPr>
              <w:t xml:space="preserve"> </w:t>
            </w:r>
            <w:proofErr w:type="spellStart"/>
            <w:r>
              <w:rPr>
                <w:rFonts w:eastAsia="Palatino Linotype"/>
                <w:spacing w:val="-1"/>
                <w:position w:val="1"/>
                <w:sz w:val="22"/>
                <w:szCs w:val="22"/>
              </w:rPr>
              <w:t>submits</w:t>
            </w:r>
            <w:proofErr w:type="spellEnd"/>
            <w:r>
              <w:rPr>
                <w:rFonts w:eastAsia="Palatino Linotype"/>
                <w:spacing w:val="-1"/>
                <w:position w:val="1"/>
                <w:sz w:val="22"/>
                <w:szCs w:val="22"/>
              </w:rPr>
              <w:t xml:space="preserve"> </w:t>
            </w:r>
            <w:proofErr w:type="spellStart"/>
            <w:r>
              <w:rPr>
                <w:rFonts w:eastAsia="Palatino Linotype"/>
                <w:spacing w:val="-1"/>
                <w:position w:val="1"/>
                <w:sz w:val="22"/>
                <w:szCs w:val="22"/>
              </w:rPr>
              <w:t>the</w:t>
            </w:r>
            <w:proofErr w:type="spellEnd"/>
            <w:r>
              <w:rPr>
                <w:rFonts w:eastAsia="Palatino Linotype"/>
                <w:spacing w:val="-1"/>
                <w:position w:val="1"/>
                <w:sz w:val="22"/>
                <w:szCs w:val="22"/>
              </w:rPr>
              <w:t xml:space="preserve"> </w:t>
            </w:r>
            <w:proofErr w:type="spellStart"/>
            <w:r>
              <w:rPr>
                <w:rFonts w:eastAsia="Palatino Linotype"/>
                <w:spacing w:val="-1"/>
                <w:position w:val="1"/>
                <w:sz w:val="22"/>
                <w:szCs w:val="22"/>
              </w:rPr>
              <w:t>offer</w:t>
            </w:r>
            <w:proofErr w:type="spellEnd"/>
            <w:r>
              <w:rPr>
                <w:rFonts w:eastAsia="Palatino Linotype"/>
                <w:spacing w:val="-1"/>
                <w:position w:val="1"/>
                <w:sz w:val="22"/>
                <w:szCs w:val="22"/>
              </w:rPr>
              <w:t xml:space="preserve"> and </w:t>
            </w:r>
            <w:proofErr w:type="spellStart"/>
            <w:r>
              <w:rPr>
                <w:rFonts w:eastAsia="Palatino Linotype"/>
                <w:spacing w:val="-1"/>
                <w:position w:val="1"/>
                <w:sz w:val="22"/>
                <w:szCs w:val="22"/>
              </w:rPr>
              <w:t>complies</w:t>
            </w:r>
            <w:proofErr w:type="spellEnd"/>
            <w:r>
              <w:rPr>
                <w:rFonts w:eastAsia="Palatino Linotype"/>
                <w:spacing w:val="-1"/>
                <w:position w:val="1"/>
                <w:sz w:val="22"/>
                <w:szCs w:val="22"/>
              </w:rPr>
              <w:t xml:space="preserve"> </w:t>
            </w:r>
            <w:proofErr w:type="spellStart"/>
            <w:r>
              <w:rPr>
                <w:rFonts w:eastAsia="Palatino Linotype"/>
                <w:spacing w:val="-1"/>
                <w:position w:val="1"/>
                <w:sz w:val="22"/>
                <w:szCs w:val="22"/>
              </w:rPr>
              <w:t>with</w:t>
            </w:r>
            <w:proofErr w:type="spellEnd"/>
            <w:r>
              <w:rPr>
                <w:rFonts w:eastAsia="Palatino Linotype"/>
                <w:spacing w:val="-1"/>
                <w:position w:val="1"/>
                <w:sz w:val="22"/>
                <w:szCs w:val="22"/>
              </w:rPr>
              <w:t xml:space="preserve"> </w:t>
            </w:r>
            <w:proofErr w:type="spellStart"/>
            <w:r>
              <w:rPr>
                <w:rFonts w:eastAsia="Palatino Linotype"/>
                <w:spacing w:val="-1"/>
                <w:position w:val="1"/>
                <w:sz w:val="22"/>
                <w:szCs w:val="22"/>
              </w:rPr>
              <w:t>the</w:t>
            </w:r>
            <w:proofErr w:type="spellEnd"/>
            <w:r>
              <w:rPr>
                <w:rFonts w:eastAsia="Palatino Linotype"/>
                <w:spacing w:val="-1"/>
                <w:position w:val="1"/>
                <w:sz w:val="22"/>
                <w:szCs w:val="22"/>
              </w:rPr>
              <w:t xml:space="preserve"> </w:t>
            </w:r>
            <w:proofErr w:type="spellStart"/>
            <w:r>
              <w:rPr>
                <w:rFonts w:eastAsia="Palatino Linotype"/>
                <w:spacing w:val="-1"/>
                <w:position w:val="1"/>
                <w:sz w:val="22"/>
                <w:szCs w:val="22"/>
              </w:rPr>
              <w:t>requirements</w:t>
            </w:r>
            <w:proofErr w:type="spellEnd"/>
            <w:r>
              <w:rPr>
                <w:rFonts w:eastAsia="Palatino Linotype"/>
                <w:spacing w:val="-1"/>
                <w:position w:val="1"/>
                <w:sz w:val="22"/>
                <w:szCs w:val="22"/>
              </w:rPr>
              <w:t xml:space="preserve"> </w:t>
            </w:r>
            <w:proofErr w:type="spellStart"/>
            <w:r>
              <w:rPr>
                <w:rFonts w:eastAsia="Palatino Linotype"/>
                <w:spacing w:val="-1"/>
                <w:position w:val="1"/>
                <w:sz w:val="22"/>
                <w:szCs w:val="22"/>
              </w:rPr>
              <w:t>outlined</w:t>
            </w:r>
            <w:proofErr w:type="spellEnd"/>
            <w:r>
              <w:rPr>
                <w:rFonts w:eastAsia="Palatino Linotype"/>
                <w:spacing w:val="-1"/>
                <w:position w:val="1"/>
                <w:sz w:val="22"/>
                <w:szCs w:val="22"/>
              </w:rPr>
              <w:t xml:space="preserve"> in </w:t>
            </w:r>
            <w:proofErr w:type="spellStart"/>
            <w:r>
              <w:rPr>
                <w:rFonts w:eastAsia="Palatino Linotype"/>
                <w:spacing w:val="-1"/>
                <w:position w:val="1"/>
                <w:sz w:val="22"/>
                <w:szCs w:val="22"/>
              </w:rPr>
              <w:t>section</w:t>
            </w:r>
            <w:proofErr w:type="spellEnd"/>
            <w:r>
              <w:rPr>
                <w:rFonts w:eastAsia="Palatino Linotype"/>
                <w:spacing w:val="-1"/>
                <w:position w:val="1"/>
                <w:sz w:val="22"/>
                <w:szCs w:val="22"/>
              </w:rPr>
              <w:t xml:space="preserve"> a) </w:t>
            </w:r>
            <w:proofErr w:type="spellStart"/>
            <w:r>
              <w:rPr>
                <w:rFonts w:eastAsia="Palatino Linotype"/>
                <w:spacing w:val="-1"/>
                <w:position w:val="1"/>
                <w:sz w:val="22"/>
                <w:szCs w:val="22"/>
              </w:rPr>
              <w:t>of</w:t>
            </w:r>
            <w:proofErr w:type="spellEnd"/>
            <w:r>
              <w:rPr>
                <w:rFonts w:eastAsia="Palatino Linotype"/>
                <w:spacing w:val="-1"/>
                <w:position w:val="1"/>
                <w:sz w:val="22"/>
                <w:szCs w:val="22"/>
              </w:rPr>
              <w:t xml:space="preserve"> </w:t>
            </w:r>
            <w:proofErr w:type="spellStart"/>
            <w:r>
              <w:rPr>
                <w:rFonts w:eastAsia="Palatino Linotype"/>
                <w:spacing w:val="-1"/>
                <w:position w:val="1"/>
                <w:sz w:val="22"/>
                <w:szCs w:val="22"/>
              </w:rPr>
              <w:t>this</w:t>
            </w:r>
            <w:proofErr w:type="spellEnd"/>
            <w:r>
              <w:rPr>
                <w:rFonts w:eastAsia="Palatino Linotype"/>
                <w:spacing w:val="-1"/>
                <w:position w:val="1"/>
                <w:sz w:val="22"/>
                <w:szCs w:val="22"/>
              </w:rPr>
              <w:t xml:space="preserve"> </w:t>
            </w:r>
            <w:proofErr w:type="spellStart"/>
            <w:r>
              <w:rPr>
                <w:rFonts w:eastAsia="Palatino Linotype"/>
                <w:spacing w:val="-1"/>
                <w:position w:val="1"/>
                <w:sz w:val="22"/>
                <w:szCs w:val="22"/>
              </w:rPr>
              <w:t>article</w:t>
            </w:r>
            <w:proofErr w:type="spellEnd"/>
            <w:r>
              <w:rPr>
                <w:rFonts w:eastAsia="Palatino Linotype"/>
                <w:spacing w:val="-1"/>
                <w:position w:val="1"/>
                <w:sz w:val="22"/>
                <w:szCs w:val="22"/>
              </w:rPr>
              <w:t xml:space="preserve">. </w:t>
            </w:r>
            <w:proofErr w:type="spellStart"/>
            <w:r>
              <w:rPr>
                <w:rFonts w:eastAsia="Palatino Linotype"/>
                <w:spacing w:val="-1"/>
                <w:position w:val="1"/>
                <w:sz w:val="22"/>
                <w:szCs w:val="22"/>
              </w:rPr>
              <w:t>That</w:t>
            </w:r>
            <w:proofErr w:type="spellEnd"/>
            <w:r>
              <w:rPr>
                <w:rFonts w:eastAsia="Palatino Linotype"/>
                <w:spacing w:val="-1"/>
                <w:position w:val="1"/>
                <w:sz w:val="22"/>
                <w:szCs w:val="22"/>
              </w:rPr>
              <w:t xml:space="preserve"> </w:t>
            </w:r>
            <w:proofErr w:type="spellStart"/>
            <w:r>
              <w:rPr>
                <w:rFonts w:eastAsia="Palatino Linotype"/>
                <w:spacing w:val="-1"/>
                <w:position w:val="1"/>
                <w:sz w:val="22"/>
                <w:szCs w:val="22"/>
              </w:rPr>
              <w:t>bidder</w:t>
            </w:r>
            <w:proofErr w:type="spellEnd"/>
            <w:r>
              <w:rPr>
                <w:rFonts w:eastAsia="Palatino Linotype"/>
                <w:spacing w:val="-1"/>
                <w:position w:val="1"/>
                <w:sz w:val="22"/>
                <w:szCs w:val="22"/>
              </w:rPr>
              <w:t xml:space="preserve"> </w:t>
            </w:r>
            <w:proofErr w:type="spellStart"/>
            <w:r>
              <w:rPr>
                <w:rFonts w:eastAsia="Palatino Linotype"/>
                <w:spacing w:val="-1"/>
                <w:position w:val="1"/>
                <w:sz w:val="22"/>
                <w:szCs w:val="22"/>
              </w:rPr>
              <w:t>will</w:t>
            </w:r>
            <w:proofErr w:type="spellEnd"/>
            <w:r>
              <w:rPr>
                <w:rFonts w:eastAsia="Palatino Linotype"/>
                <w:spacing w:val="-1"/>
                <w:position w:val="1"/>
                <w:sz w:val="22"/>
                <w:szCs w:val="22"/>
              </w:rPr>
              <w:t xml:space="preserve"> be </w:t>
            </w:r>
            <w:proofErr w:type="spellStart"/>
            <w:r>
              <w:rPr>
                <w:rFonts w:eastAsia="Palatino Linotype"/>
                <w:spacing w:val="-1"/>
                <w:position w:val="1"/>
                <w:sz w:val="22"/>
                <w:szCs w:val="22"/>
              </w:rPr>
              <w:t>responsible</w:t>
            </w:r>
            <w:proofErr w:type="spellEnd"/>
            <w:r>
              <w:rPr>
                <w:rFonts w:eastAsia="Palatino Linotype"/>
                <w:spacing w:val="-1"/>
                <w:position w:val="1"/>
                <w:sz w:val="22"/>
                <w:szCs w:val="22"/>
              </w:rPr>
              <w:t xml:space="preserve"> </w:t>
            </w:r>
            <w:proofErr w:type="spellStart"/>
            <w:r>
              <w:rPr>
                <w:rFonts w:eastAsia="Palatino Linotype"/>
                <w:spacing w:val="-1"/>
                <w:position w:val="1"/>
                <w:sz w:val="22"/>
                <w:szCs w:val="22"/>
              </w:rPr>
              <w:t>for</w:t>
            </w:r>
            <w:proofErr w:type="spellEnd"/>
            <w:r>
              <w:rPr>
                <w:rFonts w:eastAsia="Palatino Linotype"/>
                <w:spacing w:val="-1"/>
                <w:position w:val="1"/>
                <w:sz w:val="22"/>
                <w:szCs w:val="22"/>
              </w:rPr>
              <w:t xml:space="preserve"> </w:t>
            </w:r>
            <w:proofErr w:type="spellStart"/>
            <w:r>
              <w:rPr>
                <w:rFonts w:eastAsia="Palatino Linotype"/>
                <w:spacing w:val="-1"/>
                <w:position w:val="1"/>
                <w:sz w:val="22"/>
                <w:szCs w:val="22"/>
              </w:rPr>
              <w:t>issuing</w:t>
            </w:r>
            <w:proofErr w:type="spellEnd"/>
            <w:r>
              <w:rPr>
                <w:rFonts w:eastAsia="Palatino Linotype"/>
                <w:spacing w:val="-1"/>
                <w:position w:val="1"/>
                <w:sz w:val="22"/>
                <w:szCs w:val="22"/>
              </w:rPr>
              <w:t xml:space="preserve"> </w:t>
            </w:r>
            <w:proofErr w:type="spellStart"/>
            <w:r>
              <w:rPr>
                <w:rFonts w:eastAsia="Palatino Linotype"/>
                <w:spacing w:val="-1"/>
                <w:position w:val="1"/>
                <w:sz w:val="22"/>
                <w:szCs w:val="22"/>
              </w:rPr>
              <w:t>invoices</w:t>
            </w:r>
            <w:proofErr w:type="spellEnd"/>
            <w:r>
              <w:rPr>
                <w:rFonts w:eastAsia="Palatino Linotype"/>
                <w:spacing w:val="-1"/>
                <w:position w:val="1"/>
                <w:sz w:val="22"/>
                <w:szCs w:val="22"/>
              </w:rPr>
              <w:t xml:space="preserve"> and </w:t>
            </w:r>
            <w:proofErr w:type="spellStart"/>
            <w:r>
              <w:rPr>
                <w:rFonts w:eastAsia="Palatino Linotype"/>
                <w:spacing w:val="-1"/>
                <w:position w:val="1"/>
                <w:sz w:val="22"/>
                <w:szCs w:val="22"/>
              </w:rPr>
              <w:t>will</w:t>
            </w:r>
            <w:proofErr w:type="spellEnd"/>
            <w:r>
              <w:rPr>
                <w:rFonts w:eastAsia="Palatino Linotype"/>
                <w:spacing w:val="-1"/>
                <w:position w:val="1"/>
                <w:sz w:val="22"/>
                <w:szCs w:val="22"/>
              </w:rPr>
              <w:t xml:space="preserve"> be </w:t>
            </w:r>
            <w:proofErr w:type="spellStart"/>
            <w:r>
              <w:rPr>
                <w:rFonts w:eastAsia="Palatino Linotype"/>
                <w:spacing w:val="-1"/>
                <w:position w:val="1"/>
                <w:sz w:val="22"/>
                <w:szCs w:val="22"/>
              </w:rPr>
              <w:t>the</w:t>
            </w:r>
            <w:proofErr w:type="spellEnd"/>
            <w:r>
              <w:rPr>
                <w:rFonts w:eastAsia="Palatino Linotype"/>
                <w:spacing w:val="-1"/>
                <w:position w:val="1"/>
                <w:sz w:val="22"/>
                <w:szCs w:val="22"/>
              </w:rPr>
              <w:t xml:space="preserve"> </w:t>
            </w:r>
            <w:proofErr w:type="spellStart"/>
            <w:r>
              <w:rPr>
                <w:rFonts w:eastAsia="Palatino Linotype"/>
                <w:spacing w:val="-1"/>
                <w:position w:val="1"/>
                <w:sz w:val="22"/>
                <w:szCs w:val="22"/>
              </w:rPr>
              <w:t>recipient</w:t>
            </w:r>
            <w:proofErr w:type="spellEnd"/>
            <w:r>
              <w:rPr>
                <w:rFonts w:eastAsia="Palatino Linotype"/>
                <w:spacing w:val="-1"/>
                <w:position w:val="1"/>
                <w:sz w:val="22"/>
                <w:szCs w:val="22"/>
              </w:rPr>
              <w:t xml:space="preserve"> </w:t>
            </w:r>
            <w:proofErr w:type="spellStart"/>
            <w:r>
              <w:rPr>
                <w:rFonts w:eastAsia="Palatino Linotype"/>
                <w:spacing w:val="-1"/>
                <w:position w:val="1"/>
                <w:sz w:val="22"/>
                <w:szCs w:val="22"/>
              </w:rPr>
              <w:t>of</w:t>
            </w:r>
            <w:proofErr w:type="spellEnd"/>
            <w:r>
              <w:rPr>
                <w:rFonts w:eastAsia="Palatino Linotype"/>
                <w:spacing w:val="-1"/>
                <w:position w:val="1"/>
                <w:sz w:val="22"/>
                <w:szCs w:val="22"/>
              </w:rPr>
              <w:t xml:space="preserve"> </w:t>
            </w:r>
            <w:proofErr w:type="spellStart"/>
            <w:r>
              <w:rPr>
                <w:rFonts w:eastAsia="Palatino Linotype"/>
                <w:spacing w:val="-1"/>
                <w:position w:val="1"/>
                <w:sz w:val="22"/>
                <w:szCs w:val="22"/>
              </w:rPr>
              <w:t>the</w:t>
            </w:r>
            <w:proofErr w:type="spellEnd"/>
            <w:r>
              <w:rPr>
                <w:rFonts w:eastAsia="Palatino Linotype"/>
                <w:spacing w:val="-1"/>
                <w:position w:val="1"/>
                <w:sz w:val="22"/>
                <w:szCs w:val="22"/>
              </w:rPr>
              <w:t xml:space="preserve"> </w:t>
            </w:r>
            <w:proofErr w:type="spellStart"/>
            <w:r>
              <w:rPr>
                <w:rFonts w:eastAsia="Palatino Linotype"/>
                <w:spacing w:val="-1"/>
                <w:position w:val="1"/>
                <w:sz w:val="22"/>
                <w:szCs w:val="22"/>
              </w:rPr>
              <w:t>payment</w:t>
            </w:r>
            <w:proofErr w:type="spellEnd"/>
            <w:r>
              <w:rPr>
                <w:rFonts w:eastAsia="Palatino Linotype"/>
                <w:spacing w:val="-1"/>
                <w:position w:val="1"/>
                <w:sz w:val="22"/>
                <w:szCs w:val="22"/>
              </w:rPr>
              <w:t>.</w:t>
            </w:r>
          </w:p>
          <w:p w14:paraId="23F508D2" w14:textId="77777777" w:rsidR="00E255F4" w:rsidRDefault="00000000">
            <w:pPr>
              <w:ind w:left="371"/>
              <w:jc w:val="both"/>
              <w:rPr>
                <w:rFonts w:eastAsia="Palatino Linotype"/>
                <w:spacing w:val="-1"/>
                <w:position w:val="1"/>
                <w:sz w:val="22"/>
                <w:szCs w:val="22"/>
              </w:rPr>
            </w:pPr>
            <w:r>
              <w:rPr>
                <w:rFonts w:eastAsia="Palatino Linotype"/>
                <w:spacing w:val="-1"/>
                <w:position w:val="1"/>
                <w:sz w:val="22"/>
                <w:szCs w:val="22"/>
              </w:rPr>
              <w:t xml:space="preserve">In </w:t>
            </w:r>
            <w:proofErr w:type="spellStart"/>
            <w:r>
              <w:rPr>
                <w:rFonts w:eastAsia="Palatino Linotype"/>
                <w:spacing w:val="-1"/>
                <w:position w:val="1"/>
                <w:sz w:val="22"/>
                <w:szCs w:val="22"/>
              </w:rPr>
              <w:t>the</w:t>
            </w:r>
            <w:proofErr w:type="spellEnd"/>
            <w:r>
              <w:rPr>
                <w:rFonts w:eastAsia="Palatino Linotype"/>
                <w:spacing w:val="-1"/>
                <w:position w:val="1"/>
                <w:sz w:val="22"/>
                <w:szCs w:val="22"/>
              </w:rPr>
              <w:t xml:space="preserve"> case </w:t>
            </w:r>
            <w:proofErr w:type="spellStart"/>
            <w:r>
              <w:rPr>
                <w:rFonts w:eastAsia="Palatino Linotype"/>
                <w:spacing w:val="-1"/>
                <w:position w:val="1"/>
                <w:sz w:val="22"/>
                <w:szCs w:val="22"/>
              </w:rPr>
              <w:t>of</w:t>
            </w:r>
            <w:proofErr w:type="spellEnd"/>
            <w:r>
              <w:rPr>
                <w:rFonts w:eastAsia="Palatino Linotype"/>
                <w:spacing w:val="-1"/>
                <w:position w:val="1"/>
                <w:sz w:val="22"/>
                <w:szCs w:val="22"/>
              </w:rPr>
              <w:t xml:space="preserve"> </w:t>
            </w:r>
            <w:proofErr w:type="spellStart"/>
            <w:r>
              <w:rPr>
                <w:rFonts w:eastAsia="Palatino Linotype"/>
                <w:spacing w:val="-1"/>
                <w:position w:val="1"/>
                <w:sz w:val="22"/>
                <w:szCs w:val="22"/>
              </w:rPr>
              <w:t>import</w:t>
            </w:r>
            <w:proofErr w:type="spellEnd"/>
            <w:r>
              <w:rPr>
                <w:rFonts w:eastAsia="Palatino Linotype"/>
                <w:spacing w:val="-1"/>
                <w:position w:val="1"/>
                <w:sz w:val="22"/>
                <w:szCs w:val="22"/>
              </w:rPr>
              <w:t xml:space="preserve">, a </w:t>
            </w:r>
            <w:proofErr w:type="spellStart"/>
            <w:r>
              <w:rPr>
                <w:rFonts w:eastAsia="Palatino Linotype"/>
                <w:spacing w:val="-1"/>
                <w:position w:val="1"/>
                <w:sz w:val="22"/>
                <w:szCs w:val="22"/>
              </w:rPr>
              <w:t>transferable</w:t>
            </w:r>
            <w:proofErr w:type="spellEnd"/>
            <w:r>
              <w:rPr>
                <w:rFonts w:eastAsia="Palatino Linotype"/>
                <w:spacing w:val="-1"/>
                <w:position w:val="1"/>
                <w:sz w:val="22"/>
                <w:szCs w:val="22"/>
              </w:rPr>
              <w:t xml:space="preserve"> </w:t>
            </w:r>
            <w:proofErr w:type="spellStart"/>
            <w:r>
              <w:rPr>
                <w:rFonts w:eastAsia="Palatino Linotype"/>
                <w:spacing w:val="-1"/>
                <w:position w:val="1"/>
                <w:sz w:val="22"/>
                <w:szCs w:val="22"/>
              </w:rPr>
              <w:t>letter</w:t>
            </w:r>
            <w:proofErr w:type="spellEnd"/>
            <w:r>
              <w:rPr>
                <w:rFonts w:eastAsia="Palatino Linotype"/>
                <w:spacing w:val="-1"/>
                <w:position w:val="1"/>
                <w:sz w:val="22"/>
                <w:szCs w:val="22"/>
              </w:rPr>
              <w:t xml:space="preserve"> </w:t>
            </w:r>
            <w:proofErr w:type="spellStart"/>
            <w:r>
              <w:rPr>
                <w:rFonts w:eastAsia="Palatino Linotype"/>
                <w:spacing w:val="-1"/>
                <w:position w:val="1"/>
                <w:sz w:val="22"/>
                <w:szCs w:val="22"/>
              </w:rPr>
              <w:t>of</w:t>
            </w:r>
            <w:proofErr w:type="spellEnd"/>
            <w:r>
              <w:rPr>
                <w:rFonts w:eastAsia="Palatino Linotype"/>
                <w:spacing w:val="-1"/>
                <w:position w:val="1"/>
                <w:sz w:val="22"/>
                <w:szCs w:val="22"/>
              </w:rPr>
              <w:t xml:space="preserve"> </w:t>
            </w:r>
            <w:proofErr w:type="spellStart"/>
            <w:r>
              <w:rPr>
                <w:rFonts w:eastAsia="Palatino Linotype"/>
                <w:spacing w:val="-1"/>
                <w:position w:val="1"/>
                <w:sz w:val="22"/>
                <w:szCs w:val="22"/>
              </w:rPr>
              <w:t>credit</w:t>
            </w:r>
            <w:proofErr w:type="spellEnd"/>
            <w:r>
              <w:rPr>
                <w:rFonts w:eastAsia="Palatino Linotype"/>
                <w:spacing w:val="-1"/>
                <w:position w:val="1"/>
                <w:sz w:val="22"/>
                <w:szCs w:val="22"/>
              </w:rPr>
              <w:t xml:space="preserve"> </w:t>
            </w:r>
            <w:proofErr w:type="spellStart"/>
            <w:r>
              <w:rPr>
                <w:rFonts w:eastAsia="Palatino Linotype"/>
                <w:spacing w:val="-1"/>
                <w:position w:val="1"/>
                <w:sz w:val="22"/>
                <w:szCs w:val="22"/>
              </w:rPr>
              <w:t>may</w:t>
            </w:r>
            <w:proofErr w:type="spellEnd"/>
            <w:r>
              <w:rPr>
                <w:rFonts w:eastAsia="Palatino Linotype"/>
                <w:spacing w:val="-1"/>
                <w:position w:val="1"/>
                <w:sz w:val="22"/>
                <w:szCs w:val="22"/>
              </w:rPr>
              <w:t xml:space="preserve"> be </w:t>
            </w:r>
            <w:proofErr w:type="spellStart"/>
            <w:r>
              <w:rPr>
                <w:rFonts w:eastAsia="Palatino Linotype"/>
                <w:spacing w:val="-1"/>
                <w:position w:val="1"/>
                <w:sz w:val="22"/>
                <w:szCs w:val="22"/>
              </w:rPr>
              <w:t>opened</w:t>
            </w:r>
            <w:proofErr w:type="spellEnd"/>
            <w:r>
              <w:rPr>
                <w:rFonts w:eastAsia="Palatino Linotype"/>
                <w:spacing w:val="-1"/>
                <w:position w:val="1"/>
                <w:sz w:val="22"/>
                <w:szCs w:val="22"/>
              </w:rPr>
              <w:t xml:space="preserve">, </w:t>
            </w:r>
            <w:proofErr w:type="spellStart"/>
            <w:r>
              <w:rPr>
                <w:rFonts w:eastAsia="Palatino Linotype"/>
                <w:spacing w:val="-1"/>
                <w:position w:val="1"/>
                <w:sz w:val="22"/>
                <w:szCs w:val="22"/>
              </w:rPr>
              <w:t>with</w:t>
            </w:r>
            <w:proofErr w:type="spellEnd"/>
            <w:r>
              <w:rPr>
                <w:rFonts w:eastAsia="Palatino Linotype"/>
                <w:spacing w:val="-1"/>
                <w:position w:val="1"/>
                <w:sz w:val="22"/>
                <w:szCs w:val="22"/>
              </w:rPr>
              <w:t xml:space="preserve"> </w:t>
            </w:r>
            <w:proofErr w:type="spellStart"/>
            <w:r>
              <w:rPr>
                <w:rFonts w:eastAsia="Palatino Linotype"/>
                <w:spacing w:val="-1"/>
                <w:position w:val="1"/>
                <w:sz w:val="22"/>
                <w:szCs w:val="22"/>
              </w:rPr>
              <w:t>the</w:t>
            </w:r>
            <w:proofErr w:type="spellEnd"/>
            <w:r>
              <w:rPr>
                <w:rFonts w:eastAsia="Palatino Linotype"/>
                <w:spacing w:val="-1"/>
                <w:position w:val="1"/>
                <w:sz w:val="22"/>
                <w:szCs w:val="22"/>
              </w:rPr>
              <w:t xml:space="preserve"> </w:t>
            </w:r>
            <w:proofErr w:type="spellStart"/>
            <w:r>
              <w:rPr>
                <w:rFonts w:eastAsia="Palatino Linotype"/>
                <w:spacing w:val="-1"/>
                <w:position w:val="1"/>
                <w:sz w:val="22"/>
                <w:szCs w:val="22"/>
              </w:rPr>
              <w:t>successful</w:t>
            </w:r>
            <w:proofErr w:type="spellEnd"/>
            <w:r>
              <w:rPr>
                <w:rFonts w:eastAsia="Palatino Linotype"/>
                <w:spacing w:val="-1"/>
                <w:position w:val="1"/>
                <w:sz w:val="22"/>
                <w:szCs w:val="22"/>
              </w:rPr>
              <w:t xml:space="preserve"> </w:t>
            </w:r>
            <w:proofErr w:type="spellStart"/>
            <w:r>
              <w:rPr>
                <w:rFonts w:eastAsia="Palatino Linotype"/>
                <w:spacing w:val="-1"/>
                <w:position w:val="1"/>
                <w:sz w:val="22"/>
                <w:szCs w:val="22"/>
              </w:rPr>
              <w:t>bidder</w:t>
            </w:r>
            <w:proofErr w:type="spellEnd"/>
            <w:r>
              <w:rPr>
                <w:rFonts w:eastAsia="Palatino Linotype"/>
                <w:spacing w:val="-1"/>
                <w:position w:val="1"/>
                <w:sz w:val="22"/>
                <w:szCs w:val="22"/>
              </w:rPr>
              <w:t xml:space="preserve"> </w:t>
            </w:r>
            <w:proofErr w:type="spellStart"/>
            <w:r>
              <w:rPr>
                <w:rFonts w:eastAsia="Palatino Linotype"/>
                <w:spacing w:val="-1"/>
                <w:position w:val="1"/>
                <w:sz w:val="22"/>
                <w:szCs w:val="22"/>
              </w:rPr>
              <w:t>always</w:t>
            </w:r>
            <w:proofErr w:type="spellEnd"/>
            <w:r>
              <w:rPr>
                <w:rFonts w:eastAsia="Palatino Linotype"/>
                <w:spacing w:val="-1"/>
                <w:position w:val="1"/>
                <w:sz w:val="22"/>
                <w:szCs w:val="22"/>
              </w:rPr>
              <w:t xml:space="preserve"> </w:t>
            </w:r>
            <w:proofErr w:type="spellStart"/>
            <w:r>
              <w:rPr>
                <w:rFonts w:eastAsia="Palatino Linotype"/>
                <w:spacing w:val="-1"/>
                <w:position w:val="1"/>
                <w:sz w:val="22"/>
                <w:szCs w:val="22"/>
              </w:rPr>
              <w:t>being</w:t>
            </w:r>
            <w:proofErr w:type="spellEnd"/>
            <w:r>
              <w:rPr>
                <w:rFonts w:eastAsia="Palatino Linotype"/>
                <w:spacing w:val="-1"/>
                <w:position w:val="1"/>
                <w:sz w:val="22"/>
                <w:szCs w:val="22"/>
              </w:rPr>
              <w:t xml:space="preserve"> </w:t>
            </w:r>
            <w:proofErr w:type="spellStart"/>
            <w:r>
              <w:rPr>
                <w:rFonts w:eastAsia="Palatino Linotype"/>
                <w:spacing w:val="-1"/>
                <w:position w:val="1"/>
                <w:sz w:val="22"/>
                <w:szCs w:val="22"/>
              </w:rPr>
              <w:t>the</w:t>
            </w:r>
            <w:proofErr w:type="spellEnd"/>
            <w:r>
              <w:rPr>
                <w:rFonts w:eastAsia="Palatino Linotype"/>
                <w:spacing w:val="-1"/>
                <w:position w:val="1"/>
                <w:sz w:val="22"/>
                <w:szCs w:val="22"/>
              </w:rPr>
              <w:t xml:space="preserve"> </w:t>
            </w:r>
            <w:proofErr w:type="spellStart"/>
            <w:r>
              <w:rPr>
                <w:rFonts w:eastAsia="Palatino Linotype"/>
                <w:spacing w:val="-1"/>
                <w:position w:val="1"/>
                <w:sz w:val="22"/>
                <w:szCs w:val="22"/>
              </w:rPr>
              <w:t>one</w:t>
            </w:r>
            <w:proofErr w:type="spellEnd"/>
            <w:r>
              <w:rPr>
                <w:rFonts w:eastAsia="Palatino Linotype"/>
                <w:spacing w:val="-1"/>
                <w:position w:val="1"/>
                <w:sz w:val="22"/>
                <w:szCs w:val="22"/>
              </w:rPr>
              <w:t xml:space="preserve"> </w:t>
            </w:r>
            <w:proofErr w:type="spellStart"/>
            <w:r>
              <w:rPr>
                <w:rFonts w:eastAsia="Palatino Linotype"/>
                <w:spacing w:val="-1"/>
                <w:position w:val="1"/>
                <w:sz w:val="22"/>
                <w:szCs w:val="22"/>
              </w:rPr>
              <w:t>who</w:t>
            </w:r>
            <w:proofErr w:type="spellEnd"/>
            <w:r>
              <w:rPr>
                <w:rFonts w:eastAsia="Palatino Linotype"/>
                <w:spacing w:val="-1"/>
                <w:position w:val="1"/>
                <w:sz w:val="22"/>
                <w:szCs w:val="22"/>
              </w:rPr>
              <w:t xml:space="preserve"> </w:t>
            </w:r>
            <w:proofErr w:type="spellStart"/>
            <w:r>
              <w:rPr>
                <w:rFonts w:eastAsia="Palatino Linotype"/>
                <w:spacing w:val="-1"/>
                <w:position w:val="1"/>
                <w:sz w:val="22"/>
                <w:szCs w:val="22"/>
              </w:rPr>
              <w:t>must</w:t>
            </w:r>
            <w:proofErr w:type="spellEnd"/>
            <w:r>
              <w:rPr>
                <w:rFonts w:eastAsia="Palatino Linotype"/>
                <w:spacing w:val="-1"/>
                <w:position w:val="1"/>
                <w:sz w:val="22"/>
                <w:szCs w:val="22"/>
              </w:rPr>
              <w:t xml:space="preserve"> </w:t>
            </w:r>
            <w:proofErr w:type="spellStart"/>
            <w:r>
              <w:rPr>
                <w:rFonts w:eastAsia="Palatino Linotype"/>
                <w:spacing w:val="-1"/>
                <w:position w:val="1"/>
                <w:sz w:val="22"/>
                <w:szCs w:val="22"/>
              </w:rPr>
              <w:t>invoice</w:t>
            </w:r>
            <w:proofErr w:type="spellEnd"/>
            <w:r>
              <w:rPr>
                <w:rFonts w:eastAsia="Palatino Linotype"/>
                <w:spacing w:val="-1"/>
                <w:position w:val="1"/>
                <w:sz w:val="22"/>
                <w:szCs w:val="22"/>
              </w:rPr>
              <w:t>.</w:t>
            </w:r>
          </w:p>
          <w:p w14:paraId="0A601D82" w14:textId="77777777" w:rsidR="00E255F4" w:rsidRDefault="00E255F4">
            <w:pPr>
              <w:ind w:left="318"/>
              <w:rPr>
                <w:rFonts w:eastAsia="Palatino Linotype"/>
                <w:b/>
                <w:spacing w:val="-1"/>
                <w:position w:val="1"/>
                <w:sz w:val="22"/>
                <w:szCs w:val="22"/>
                <w:lang w:val="es-ES"/>
              </w:rPr>
            </w:pPr>
          </w:p>
          <w:p w14:paraId="2458C711" w14:textId="77777777" w:rsidR="00E255F4" w:rsidRDefault="00000000">
            <w:pPr>
              <w:numPr>
                <w:ilvl w:val="0"/>
                <w:numId w:val="49"/>
              </w:numPr>
              <w:ind w:left="318"/>
            </w:pPr>
            <w:proofErr w:type="spellStart"/>
            <w:r>
              <w:rPr>
                <w:b/>
                <w:sz w:val="22"/>
                <w:szCs w:val="22"/>
                <w:lang w:val="es-ES"/>
              </w:rPr>
              <w:t>Annex</w:t>
            </w:r>
            <w:proofErr w:type="spellEnd"/>
            <w:r>
              <w:rPr>
                <w:b/>
                <w:sz w:val="22"/>
                <w:szCs w:val="22"/>
                <w:lang w:val="es-ES"/>
              </w:rPr>
              <w:t xml:space="preserve"> VIII - </w:t>
            </w:r>
            <w:proofErr w:type="spellStart"/>
            <w:r>
              <w:rPr>
                <w:b/>
                <w:sz w:val="22"/>
                <w:szCs w:val="22"/>
                <w:lang w:val="es-ES"/>
              </w:rPr>
              <w:t>Declaration</w:t>
            </w:r>
            <w:proofErr w:type="spellEnd"/>
            <w:r>
              <w:rPr>
                <w:b/>
                <w:sz w:val="22"/>
                <w:szCs w:val="22"/>
                <w:lang w:val="es-ES"/>
              </w:rPr>
              <w:t xml:space="preserve"> </w:t>
            </w:r>
            <w:proofErr w:type="spellStart"/>
            <w:r>
              <w:rPr>
                <w:b/>
                <w:sz w:val="22"/>
                <w:szCs w:val="22"/>
                <w:lang w:val="es-ES"/>
              </w:rPr>
              <w:t>on</w:t>
            </w:r>
            <w:proofErr w:type="spellEnd"/>
            <w:r>
              <w:rPr>
                <w:b/>
                <w:sz w:val="22"/>
                <w:szCs w:val="22"/>
                <w:lang w:val="es-ES"/>
              </w:rPr>
              <w:t xml:space="preserve"> Gender </w:t>
            </w:r>
            <w:proofErr w:type="spellStart"/>
            <w:r>
              <w:rPr>
                <w:b/>
                <w:sz w:val="22"/>
                <w:szCs w:val="22"/>
                <w:lang w:val="es-ES"/>
              </w:rPr>
              <w:t>Equality</w:t>
            </w:r>
            <w:proofErr w:type="spellEnd"/>
          </w:p>
          <w:p w14:paraId="7CD98B8C" w14:textId="77777777" w:rsidR="00E255F4" w:rsidRDefault="00E255F4">
            <w:pPr>
              <w:pStyle w:val="Prrafodelista"/>
              <w:rPr>
                <w:b/>
                <w:sz w:val="22"/>
                <w:szCs w:val="22"/>
                <w:lang w:val="es-ES"/>
              </w:rPr>
            </w:pPr>
          </w:p>
          <w:p w14:paraId="40CB78CA" w14:textId="77777777" w:rsidR="00E255F4" w:rsidRDefault="00000000">
            <w:pPr>
              <w:numPr>
                <w:ilvl w:val="0"/>
                <w:numId w:val="49"/>
              </w:numPr>
              <w:ind w:left="318"/>
              <w:rPr>
                <w:b/>
                <w:sz w:val="22"/>
                <w:szCs w:val="22"/>
                <w:lang w:val="es-ES"/>
              </w:rPr>
            </w:pPr>
            <w:proofErr w:type="spellStart"/>
            <w:r>
              <w:rPr>
                <w:b/>
                <w:sz w:val="22"/>
                <w:szCs w:val="22"/>
                <w:lang w:val="es-ES"/>
              </w:rPr>
              <w:t>Annex</w:t>
            </w:r>
            <w:proofErr w:type="spellEnd"/>
            <w:r>
              <w:rPr>
                <w:b/>
                <w:sz w:val="22"/>
                <w:szCs w:val="22"/>
                <w:lang w:val="es-ES"/>
              </w:rPr>
              <w:t xml:space="preserve"> IX - </w:t>
            </w:r>
            <w:proofErr w:type="spellStart"/>
            <w:r>
              <w:rPr>
                <w:b/>
                <w:sz w:val="22"/>
                <w:szCs w:val="22"/>
                <w:lang w:val="es-ES"/>
              </w:rPr>
              <w:t>Confidentiality</w:t>
            </w:r>
            <w:proofErr w:type="spellEnd"/>
            <w:r>
              <w:rPr>
                <w:b/>
                <w:sz w:val="22"/>
                <w:szCs w:val="22"/>
                <w:lang w:val="es-ES"/>
              </w:rPr>
              <w:t xml:space="preserve"> </w:t>
            </w:r>
            <w:proofErr w:type="spellStart"/>
            <w:r>
              <w:rPr>
                <w:b/>
                <w:sz w:val="22"/>
                <w:szCs w:val="22"/>
                <w:lang w:val="es-ES"/>
              </w:rPr>
              <w:t>Commitments</w:t>
            </w:r>
            <w:proofErr w:type="spellEnd"/>
          </w:p>
          <w:p w14:paraId="58E5ABD5" w14:textId="77777777" w:rsidR="00E255F4" w:rsidRDefault="00E255F4">
            <w:pPr>
              <w:ind w:left="720"/>
              <w:rPr>
                <w:b/>
                <w:sz w:val="22"/>
                <w:szCs w:val="22"/>
                <w:lang w:val="es-ES"/>
              </w:rPr>
            </w:pPr>
          </w:p>
          <w:p w14:paraId="7DFDEB08" w14:textId="77777777" w:rsidR="00E255F4" w:rsidRDefault="00000000">
            <w:pPr>
              <w:ind w:left="352"/>
            </w:pPr>
            <w:proofErr w:type="spellStart"/>
            <w:r>
              <w:rPr>
                <w:sz w:val="22"/>
                <w:szCs w:val="22"/>
                <w:lang w:val="es-ES"/>
              </w:rPr>
              <w:t>Within</w:t>
            </w:r>
            <w:proofErr w:type="spellEnd"/>
            <w:r>
              <w:rPr>
                <w:sz w:val="22"/>
                <w:szCs w:val="22"/>
                <w:lang w:val="es-ES"/>
              </w:rPr>
              <w:t xml:space="preserve"> </w:t>
            </w:r>
            <w:proofErr w:type="spellStart"/>
            <w:r>
              <w:rPr>
                <w:sz w:val="22"/>
                <w:szCs w:val="22"/>
                <w:lang w:val="es-ES"/>
              </w:rPr>
              <w:t>the</w:t>
            </w:r>
            <w:proofErr w:type="spellEnd"/>
            <w:r>
              <w:rPr>
                <w:sz w:val="22"/>
                <w:szCs w:val="22"/>
                <w:lang w:val="es-ES"/>
              </w:rPr>
              <w:t xml:space="preserve"> </w:t>
            </w:r>
            <w:proofErr w:type="spellStart"/>
            <w:r>
              <w:rPr>
                <w:sz w:val="22"/>
                <w:szCs w:val="22"/>
                <w:lang w:val="es-ES"/>
              </w:rPr>
              <w:t>framework</w:t>
            </w:r>
            <w:proofErr w:type="spellEnd"/>
            <w:r>
              <w:rPr>
                <w:sz w:val="22"/>
                <w:szCs w:val="22"/>
                <w:lang w:val="es-ES"/>
              </w:rPr>
              <w:t xml:space="preserve"> </w:t>
            </w:r>
            <w:proofErr w:type="spellStart"/>
            <w:r>
              <w:rPr>
                <w:sz w:val="22"/>
                <w:szCs w:val="22"/>
                <w:lang w:val="es-ES"/>
              </w:rPr>
              <w:t>of</w:t>
            </w:r>
            <w:proofErr w:type="spellEnd"/>
            <w:r>
              <w:rPr>
                <w:sz w:val="22"/>
                <w:szCs w:val="22"/>
                <w:lang w:val="es-ES"/>
              </w:rPr>
              <w:t xml:space="preserve"> Law 18.331 and </w:t>
            </w:r>
            <w:proofErr w:type="spellStart"/>
            <w:r>
              <w:rPr>
                <w:sz w:val="22"/>
                <w:szCs w:val="22"/>
                <w:lang w:val="es-ES"/>
              </w:rPr>
              <w:t>regulatory</w:t>
            </w:r>
            <w:proofErr w:type="spellEnd"/>
            <w:r>
              <w:rPr>
                <w:sz w:val="22"/>
                <w:szCs w:val="22"/>
                <w:lang w:val="es-ES"/>
              </w:rPr>
              <w:t xml:space="preserve"> </w:t>
            </w:r>
            <w:proofErr w:type="spellStart"/>
            <w:r>
              <w:rPr>
                <w:sz w:val="22"/>
                <w:szCs w:val="22"/>
                <w:lang w:val="es-ES"/>
              </w:rPr>
              <w:t>decrees</w:t>
            </w:r>
            <w:proofErr w:type="spellEnd"/>
            <w:r>
              <w:rPr>
                <w:sz w:val="22"/>
                <w:szCs w:val="22"/>
                <w:lang w:val="es-ES"/>
              </w:rPr>
              <w:t xml:space="preserve"> and in </w:t>
            </w:r>
            <w:proofErr w:type="spellStart"/>
            <w:r>
              <w:rPr>
                <w:sz w:val="22"/>
                <w:szCs w:val="22"/>
                <w:lang w:val="es-ES"/>
              </w:rPr>
              <w:t>accordance</w:t>
            </w:r>
            <w:proofErr w:type="spellEnd"/>
            <w:r>
              <w:rPr>
                <w:sz w:val="22"/>
                <w:szCs w:val="22"/>
                <w:lang w:val="es-ES"/>
              </w:rPr>
              <w:t xml:space="preserve"> </w:t>
            </w:r>
            <w:proofErr w:type="spellStart"/>
            <w:r>
              <w:rPr>
                <w:sz w:val="22"/>
                <w:szCs w:val="22"/>
                <w:lang w:val="es-ES"/>
              </w:rPr>
              <w:t>with</w:t>
            </w:r>
            <w:proofErr w:type="spellEnd"/>
            <w:r>
              <w:rPr>
                <w:sz w:val="22"/>
                <w:szCs w:val="22"/>
                <w:lang w:val="es-ES"/>
              </w:rPr>
              <w:t xml:space="preserve"> </w:t>
            </w:r>
            <w:proofErr w:type="spellStart"/>
            <w:r>
              <w:rPr>
                <w:sz w:val="22"/>
                <w:szCs w:val="22"/>
                <w:lang w:val="es-ES"/>
              </w:rPr>
              <w:t>the</w:t>
            </w:r>
            <w:proofErr w:type="spellEnd"/>
            <w:r>
              <w:rPr>
                <w:sz w:val="22"/>
                <w:szCs w:val="22"/>
                <w:lang w:val="es-ES"/>
              </w:rPr>
              <w:t xml:space="preserve"> </w:t>
            </w:r>
            <w:proofErr w:type="spellStart"/>
            <w:r>
              <w:rPr>
                <w:sz w:val="22"/>
                <w:szCs w:val="22"/>
                <w:lang w:val="es-ES"/>
              </w:rPr>
              <w:t>provisions</w:t>
            </w:r>
            <w:proofErr w:type="spellEnd"/>
            <w:r>
              <w:rPr>
                <w:sz w:val="22"/>
                <w:szCs w:val="22"/>
                <w:lang w:val="es-ES"/>
              </w:rPr>
              <w:t xml:space="preserve"> </w:t>
            </w:r>
            <w:proofErr w:type="spellStart"/>
            <w:r>
              <w:rPr>
                <w:sz w:val="22"/>
                <w:szCs w:val="22"/>
                <w:lang w:val="es-ES"/>
              </w:rPr>
              <w:t>of</w:t>
            </w:r>
            <w:proofErr w:type="spellEnd"/>
            <w:r>
              <w:rPr>
                <w:sz w:val="22"/>
                <w:szCs w:val="22"/>
                <w:lang w:val="es-ES"/>
              </w:rPr>
              <w:t xml:space="preserve"> RD 720/2014, </w:t>
            </w:r>
            <w:proofErr w:type="spellStart"/>
            <w:r>
              <w:rPr>
                <w:sz w:val="22"/>
                <w:szCs w:val="22"/>
                <w:lang w:val="es-ES"/>
              </w:rPr>
              <w:t>the</w:t>
            </w:r>
            <w:proofErr w:type="spellEnd"/>
            <w:r>
              <w:rPr>
                <w:sz w:val="22"/>
                <w:szCs w:val="22"/>
                <w:lang w:val="es-ES"/>
              </w:rPr>
              <w:t xml:space="preserve"> </w:t>
            </w:r>
            <w:proofErr w:type="spellStart"/>
            <w:r>
              <w:rPr>
                <w:sz w:val="22"/>
                <w:szCs w:val="22"/>
                <w:lang w:val="es-ES"/>
              </w:rPr>
              <w:t>bidder</w:t>
            </w:r>
            <w:proofErr w:type="spellEnd"/>
            <w:r>
              <w:rPr>
                <w:sz w:val="22"/>
                <w:szCs w:val="22"/>
                <w:lang w:val="es-ES"/>
              </w:rPr>
              <w:t xml:space="preserve"> </w:t>
            </w:r>
            <w:proofErr w:type="spellStart"/>
            <w:r>
              <w:rPr>
                <w:sz w:val="22"/>
                <w:szCs w:val="22"/>
                <w:lang w:val="es-ES"/>
              </w:rPr>
              <w:t>must</w:t>
            </w:r>
            <w:proofErr w:type="spellEnd"/>
            <w:r>
              <w:rPr>
                <w:sz w:val="22"/>
                <w:szCs w:val="22"/>
                <w:lang w:val="es-ES"/>
              </w:rPr>
              <w:t xml:space="preserve"> </w:t>
            </w:r>
            <w:proofErr w:type="spellStart"/>
            <w:r>
              <w:rPr>
                <w:sz w:val="22"/>
                <w:szCs w:val="22"/>
                <w:lang w:val="es-ES"/>
              </w:rPr>
              <w:t>sign</w:t>
            </w:r>
            <w:proofErr w:type="spellEnd"/>
            <w:r>
              <w:rPr>
                <w:sz w:val="22"/>
                <w:szCs w:val="22"/>
                <w:lang w:val="es-ES"/>
              </w:rPr>
              <w:t xml:space="preserve"> and </w:t>
            </w:r>
            <w:proofErr w:type="spellStart"/>
            <w:r>
              <w:rPr>
                <w:sz w:val="22"/>
                <w:szCs w:val="22"/>
                <w:lang w:val="es-ES"/>
              </w:rPr>
              <w:t>submit</w:t>
            </w:r>
            <w:proofErr w:type="spellEnd"/>
            <w:r>
              <w:rPr>
                <w:sz w:val="22"/>
                <w:szCs w:val="22"/>
                <w:lang w:val="es-ES"/>
              </w:rPr>
              <w:t xml:space="preserve"> </w:t>
            </w:r>
            <w:proofErr w:type="spellStart"/>
            <w:r>
              <w:rPr>
                <w:sz w:val="22"/>
                <w:szCs w:val="22"/>
                <w:lang w:val="es-ES"/>
              </w:rPr>
              <w:t>Annex</w:t>
            </w:r>
            <w:proofErr w:type="spellEnd"/>
            <w:r>
              <w:rPr>
                <w:sz w:val="22"/>
                <w:szCs w:val="22"/>
                <w:lang w:val="es-ES"/>
              </w:rPr>
              <w:t xml:space="preserve"> IX – </w:t>
            </w:r>
            <w:proofErr w:type="spellStart"/>
            <w:r>
              <w:rPr>
                <w:sz w:val="22"/>
                <w:szCs w:val="22"/>
                <w:lang w:val="es-ES"/>
              </w:rPr>
              <w:t>Confidentiality</w:t>
            </w:r>
            <w:proofErr w:type="spellEnd"/>
            <w:r>
              <w:rPr>
                <w:sz w:val="22"/>
                <w:szCs w:val="22"/>
                <w:lang w:val="es-ES"/>
              </w:rPr>
              <w:t xml:space="preserve"> </w:t>
            </w:r>
            <w:proofErr w:type="spellStart"/>
            <w:r>
              <w:rPr>
                <w:sz w:val="22"/>
                <w:szCs w:val="22"/>
                <w:lang w:val="es-ES"/>
              </w:rPr>
              <w:t>Commitment</w:t>
            </w:r>
            <w:proofErr w:type="spellEnd"/>
            <w:r>
              <w:rPr>
                <w:sz w:val="22"/>
                <w:szCs w:val="22"/>
                <w:lang w:val="es-ES"/>
              </w:rPr>
              <w:t xml:space="preserve"> prior </w:t>
            </w:r>
            <w:proofErr w:type="spellStart"/>
            <w:r>
              <w:rPr>
                <w:sz w:val="22"/>
                <w:szCs w:val="22"/>
                <w:lang w:val="es-ES"/>
              </w:rPr>
              <w:t>to</w:t>
            </w:r>
            <w:proofErr w:type="spellEnd"/>
            <w:r>
              <w:rPr>
                <w:sz w:val="22"/>
                <w:szCs w:val="22"/>
                <w:lang w:val="es-ES"/>
              </w:rPr>
              <w:t xml:space="preserve"> </w:t>
            </w:r>
            <w:proofErr w:type="spellStart"/>
            <w:r>
              <w:rPr>
                <w:sz w:val="22"/>
                <w:szCs w:val="22"/>
                <w:lang w:val="es-ES"/>
              </w:rPr>
              <w:t>the</w:t>
            </w:r>
            <w:proofErr w:type="spellEnd"/>
            <w:r>
              <w:rPr>
                <w:sz w:val="22"/>
                <w:szCs w:val="22"/>
                <w:lang w:val="es-ES"/>
              </w:rPr>
              <w:t xml:space="preserve"> </w:t>
            </w:r>
            <w:proofErr w:type="spellStart"/>
            <w:r>
              <w:rPr>
                <w:sz w:val="22"/>
                <w:szCs w:val="22"/>
                <w:lang w:val="es-ES"/>
              </w:rPr>
              <w:t>execution</w:t>
            </w:r>
            <w:proofErr w:type="spellEnd"/>
            <w:r>
              <w:rPr>
                <w:sz w:val="22"/>
                <w:szCs w:val="22"/>
                <w:lang w:val="es-ES"/>
              </w:rPr>
              <w:t xml:space="preserve"> </w:t>
            </w:r>
            <w:proofErr w:type="spellStart"/>
            <w:r>
              <w:rPr>
                <w:sz w:val="22"/>
                <w:szCs w:val="22"/>
                <w:lang w:val="es-ES"/>
              </w:rPr>
              <w:t>of</w:t>
            </w:r>
            <w:proofErr w:type="spellEnd"/>
            <w:r>
              <w:rPr>
                <w:sz w:val="22"/>
                <w:szCs w:val="22"/>
                <w:lang w:val="es-ES"/>
              </w:rPr>
              <w:t xml:space="preserve"> </w:t>
            </w:r>
            <w:proofErr w:type="spellStart"/>
            <w:r>
              <w:rPr>
                <w:sz w:val="22"/>
                <w:szCs w:val="22"/>
                <w:lang w:val="es-ES"/>
              </w:rPr>
              <w:t>the</w:t>
            </w:r>
            <w:proofErr w:type="spellEnd"/>
            <w:r>
              <w:rPr>
                <w:sz w:val="22"/>
                <w:szCs w:val="22"/>
                <w:lang w:val="es-ES"/>
              </w:rPr>
              <w:t xml:space="preserve"> </w:t>
            </w:r>
            <w:proofErr w:type="spellStart"/>
            <w:r>
              <w:rPr>
                <w:sz w:val="22"/>
                <w:szCs w:val="22"/>
                <w:lang w:val="es-ES"/>
              </w:rPr>
              <w:t>service</w:t>
            </w:r>
            <w:proofErr w:type="spellEnd"/>
            <w:r>
              <w:rPr>
                <w:sz w:val="22"/>
                <w:szCs w:val="22"/>
                <w:lang w:val="es-ES"/>
              </w:rPr>
              <w:t>.</w:t>
            </w:r>
          </w:p>
          <w:p w14:paraId="112E9E40" w14:textId="77777777" w:rsidR="00E255F4" w:rsidRDefault="00E255F4">
            <w:pPr>
              <w:rPr>
                <w:sz w:val="22"/>
                <w:szCs w:val="22"/>
                <w:lang w:val="es-ES"/>
              </w:rPr>
            </w:pPr>
          </w:p>
          <w:p w14:paraId="4479B8F8" w14:textId="77777777" w:rsidR="00E255F4" w:rsidRDefault="00000000">
            <w:pPr>
              <w:numPr>
                <w:ilvl w:val="0"/>
                <w:numId w:val="49"/>
              </w:numPr>
              <w:ind w:left="318"/>
              <w:rPr>
                <w:b/>
                <w:sz w:val="22"/>
                <w:szCs w:val="22"/>
                <w:lang w:val="es-ES"/>
              </w:rPr>
            </w:pPr>
            <w:proofErr w:type="spellStart"/>
            <w:r>
              <w:rPr>
                <w:b/>
                <w:sz w:val="22"/>
                <w:szCs w:val="22"/>
                <w:lang w:val="es-ES"/>
              </w:rPr>
              <w:t>Annex</w:t>
            </w:r>
            <w:proofErr w:type="spellEnd"/>
            <w:r>
              <w:rPr>
                <w:b/>
                <w:sz w:val="22"/>
                <w:szCs w:val="22"/>
                <w:lang w:val="es-ES"/>
              </w:rPr>
              <w:t xml:space="preserve"> X – </w:t>
            </w:r>
            <w:proofErr w:type="spellStart"/>
            <w:r>
              <w:rPr>
                <w:b/>
                <w:sz w:val="22"/>
                <w:szCs w:val="22"/>
                <w:lang w:val="es-ES"/>
              </w:rPr>
              <w:t>Sworn</w:t>
            </w:r>
            <w:proofErr w:type="spellEnd"/>
            <w:r>
              <w:rPr>
                <w:b/>
                <w:sz w:val="22"/>
                <w:szCs w:val="22"/>
                <w:lang w:val="es-ES"/>
              </w:rPr>
              <w:t xml:space="preserve"> </w:t>
            </w:r>
            <w:proofErr w:type="spellStart"/>
            <w:r>
              <w:rPr>
                <w:b/>
                <w:sz w:val="22"/>
                <w:szCs w:val="22"/>
                <w:lang w:val="es-ES"/>
              </w:rPr>
              <w:t>Statement</w:t>
            </w:r>
            <w:proofErr w:type="spellEnd"/>
            <w:r>
              <w:rPr>
                <w:b/>
                <w:sz w:val="22"/>
                <w:szCs w:val="22"/>
                <w:lang w:val="es-ES"/>
              </w:rPr>
              <w:t xml:space="preserve"> Art. 46 </w:t>
            </w:r>
            <w:proofErr w:type="spellStart"/>
            <w:r>
              <w:rPr>
                <w:b/>
                <w:sz w:val="22"/>
                <w:szCs w:val="22"/>
                <w:lang w:val="es-ES"/>
              </w:rPr>
              <w:t>of</w:t>
            </w:r>
            <w:proofErr w:type="spellEnd"/>
            <w:r>
              <w:rPr>
                <w:b/>
                <w:sz w:val="22"/>
                <w:szCs w:val="22"/>
                <w:lang w:val="es-ES"/>
              </w:rPr>
              <w:t xml:space="preserve"> </w:t>
            </w:r>
            <w:proofErr w:type="spellStart"/>
            <w:r>
              <w:rPr>
                <w:b/>
                <w:sz w:val="22"/>
                <w:szCs w:val="22"/>
                <w:lang w:val="es-ES"/>
              </w:rPr>
              <w:t>the</w:t>
            </w:r>
            <w:proofErr w:type="spellEnd"/>
            <w:r>
              <w:rPr>
                <w:b/>
                <w:sz w:val="22"/>
                <w:szCs w:val="22"/>
                <w:lang w:val="es-ES"/>
              </w:rPr>
              <w:t xml:space="preserve"> TOCAF</w:t>
            </w:r>
          </w:p>
          <w:p w14:paraId="0CB9D305" w14:textId="77777777" w:rsidR="00E255F4" w:rsidRDefault="00E255F4">
            <w:pPr>
              <w:ind w:left="-42"/>
              <w:rPr>
                <w:b/>
                <w:sz w:val="22"/>
                <w:szCs w:val="22"/>
                <w:lang w:val="es-ES"/>
              </w:rPr>
            </w:pPr>
          </w:p>
          <w:p w14:paraId="4FE120E3" w14:textId="77777777" w:rsidR="00E255F4" w:rsidRDefault="00000000">
            <w:pPr>
              <w:numPr>
                <w:ilvl w:val="0"/>
                <w:numId w:val="49"/>
              </w:numPr>
              <w:ind w:left="318"/>
              <w:rPr>
                <w:b/>
                <w:sz w:val="22"/>
                <w:szCs w:val="22"/>
                <w:lang w:val="es-ES"/>
              </w:rPr>
            </w:pPr>
            <w:proofErr w:type="spellStart"/>
            <w:r>
              <w:rPr>
                <w:b/>
                <w:sz w:val="22"/>
                <w:szCs w:val="22"/>
              </w:rPr>
              <w:t>Annex</w:t>
            </w:r>
            <w:proofErr w:type="spellEnd"/>
            <w:r>
              <w:rPr>
                <w:b/>
                <w:sz w:val="22"/>
                <w:szCs w:val="22"/>
              </w:rPr>
              <w:t xml:space="preserve"> XI</w:t>
            </w:r>
            <w:r>
              <w:rPr>
                <w:sz w:val="22"/>
                <w:szCs w:val="22"/>
              </w:rPr>
              <w:t xml:space="preserve">- </w:t>
            </w:r>
            <w:proofErr w:type="spellStart"/>
            <w:r>
              <w:rPr>
                <w:sz w:val="22"/>
                <w:szCs w:val="22"/>
              </w:rPr>
              <w:t>Sworn</w:t>
            </w:r>
            <w:proofErr w:type="spellEnd"/>
            <w:r>
              <w:rPr>
                <w:sz w:val="22"/>
                <w:szCs w:val="22"/>
              </w:rPr>
              <w:t xml:space="preserve"> </w:t>
            </w:r>
            <w:proofErr w:type="spellStart"/>
            <w:r>
              <w:rPr>
                <w:sz w:val="22"/>
                <w:szCs w:val="22"/>
              </w:rPr>
              <w:t>Statement</w:t>
            </w:r>
            <w:proofErr w:type="spellEnd"/>
            <w:r>
              <w:rPr>
                <w:sz w:val="22"/>
                <w:szCs w:val="22"/>
              </w:rPr>
              <w:t xml:space="preserve"> </w:t>
            </w:r>
            <w:proofErr w:type="spellStart"/>
            <w:r>
              <w:rPr>
                <w:sz w:val="22"/>
                <w:szCs w:val="22"/>
              </w:rPr>
              <w:t>of</w:t>
            </w:r>
            <w:proofErr w:type="spellEnd"/>
            <w:r>
              <w:rPr>
                <w:sz w:val="22"/>
                <w:szCs w:val="22"/>
              </w:rPr>
              <w:t xml:space="preserve"> </w:t>
            </w:r>
            <w:proofErr w:type="spellStart"/>
            <w:r>
              <w:rPr>
                <w:sz w:val="22"/>
                <w:szCs w:val="22"/>
              </w:rPr>
              <w:t>Occupational</w:t>
            </w:r>
            <w:proofErr w:type="spellEnd"/>
            <w:r>
              <w:rPr>
                <w:sz w:val="22"/>
                <w:szCs w:val="22"/>
              </w:rPr>
              <w:t xml:space="preserve"> Safety and Health</w:t>
            </w:r>
          </w:p>
          <w:p w14:paraId="0AB7758A" w14:textId="77777777" w:rsidR="00E255F4" w:rsidRDefault="00E255F4">
            <w:pPr>
              <w:pStyle w:val="Prrafodelista"/>
              <w:rPr>
                <w:b/>
                <w:sz w:val="22"/>
                <w:szCs w:val="22"/>
                <w:lang w:val="es-ES"/>
              </w:rPr>
            </w:pPr>
          </w:p>
          <w:p w14:paraId="3B24F724" w14:textId="77777777" w:rsidR="00E255F4" w:rsidRDefault="00000000">
            <w:pPr>
              <w:numPr>
                <w:ilvl w:val="0"/>
                <w:numId w:val="49"/>
              </w:numPr>
              <w:ind w:left="318"/>
              <w:rPr>
                <w:b/>
                <w:sz w:val="22"/>
                <w:szCs w:val="22"/>
                <w:lang w:val="es-ES"/>
              </w:rPr>
            </w:pPr>
            <w:proofErr w:type="spellStart"/>
            <w:r>
              <w:rPr>
                <w:b/>
                <w:sz w:val="22"/>
                <w:szCs w:val="22"/>
                <w:lang w:val="es-ES"/>
              </w:rPr>
              <w:t>Annex</w:t>
            </w:r>
            <w:proofErr w:type="spellEnd"/>
            <w:r>
              <w:rPr>
                <w:b/>
                <w:sz w:val="22"/>
                <w:szCs w:val="22"/>
                <w:lang w:val="es-ES"/>
              </w:rPr>
              <w:t xml:space="preserve"> XII – </w:t>
            </w:r>
            <w:proofErr w:type="spellStart"/>
            <w:r>
              <w:rPr>
                <w:b/>
                <w:sz w:val="22"/>
                <w:szCs w:val="22"/>
                <w:lang w:val="es-ES"/>
              </w:rPr>
              <w:t>Sworn</w:t>
            </w:r>
            <w:proofErr w:type="spellEnd"/>
            <w:r>
              <w:rPr>
                <w:b/>
                <w:sz w:val="22"/>
                <w:szCs w:val="22"/>
                <w:lang w:val="es-ES"/>
              </w:rPr>
              <w:t xml:space="preserve"> </w:t>
            </w:r>
            <w:proofErr w:type="spellStart"/>
            <w:r>
              <w:rPr>
                <w:b/>
                <w:sz w:val="22"/>
                <w:szCs w:val="22"/>
                <w:lang w:val="es-ES"/>
              </w:rPr>
              <w:t>Statement</w:t>
            </w:r>
            <w:proofErr w:type="spellEnd"/>
            <w:r>
              <w:rPr>
                <w:b/>
                <w:sz w:val="22"/>
                <w:szCs w:val="22"/>
                <w:lang w:val="es-ES"/>
              </w:rPr>
              <w:t xml:space="preserve"> </w:t>
            </w:r>
            <w:proofErr w:type="spellStart"/>
            <w:r>
              <w:rPr>
                <w:b/>
                <w:sz w:val="22"/>
                <w:szCs w:val="22"/>
                <w:lang w:val="es-ES"/>
              </w:rPr>
              <w:t>of</w:t>
            </w:r>
            <w:proofErr w:type="spellEnd"/>
            <w:r>
              <w:rPr>
                <w:b/>
                <w:sz w:val="22"/>
                <w:szCs w:val="22"/>
                <w:lang w:val="es-ES"/>
              </w:rPr>
              <w:t xml:space="preserve"> NOT </w:t>
            </w:r>
            <w:proofErr w:type="spellStart"/>
            <w:r>
              <w:rPr>
                <w:b/>
                <w:sz w:val="22"/>
                <w:szCs w:val="22"/>
                <w:lang w:val="es-ES"/>
              </w:rPr>
              <w:t>being</w:t>
            </w:r>
            <w:proofErr w:type="spellEnd"/>
            <w:r>
              <w:rPr>
                <w:b/>
                <w:sz w:val="22"/>
                <w:szCs w:val="22"/>
                <w:lang w:val="es-ES"/>
              </w:rPr>
              <w:t xml:space="preserve"> </w:t>
            </w:r>
            <w:proofErr w:type="spellStart"/>
            <w:r>
              <w:rPr>
                <w:b/>
                <w:sz w:val="22"/>
                <w:szCs w:val="22"/>
                <w:lang w:val="es-ES"/>
              </w:rPr>
              <w:t>registered</w:t>
            </w:r>
            <w:proofErr w:type="spellEnd"/>
            <w:r>
              <w:rPr>
                <w:b/>
                <w:sz w:val="22"/>
                <w:szCs w:val="22"/>
                <w:lang w:val="es-ES"/>
              </w:rPr>
              <w:t xml:space="preserve"> as a </w:t>
            </w:r>
            <w:proofErr w:type="spellStart"/>
            <w:r>
              <w:rPr>
                <w:b/>
                <w:sz w:val="22"/>
                <w:szCs w:val="22"/>
                <w:lang w:val="es-ES"/>
              </w:rPr>
              <w:t>Delinquent</w:t>
            </w:r>
            <w:proofErr w:type="spellEnd"/>
            <w:r>
              <w:rPr>
                <w:b/>
                <w:sz w:val="22"/>
                <w:szCs w:val="22"/>
                <w:lang w:val="es-ES"/>
              </w:rPr>
              <w:t xml:space="preserve"> Child </w:t>
            </w:r>
            <w:proofErr w:type="spellStart"/>
            <w:r>
              <w:rPr>
                <w:b/>
                <w:sz w:val="22"/>
                <w:szCs w:val="22"/>
                <w:lang w:val="es-ES"/>
              </w:rPr>
              <w:t>Support</w:t>
            </w:r>
            <w:proofErr w:type="spellEnd"/>
            <w:r>
              <w:rPr>
                <w:b/>
                <w:sz w:val="22"/>
                <w:szCs w:val="22"/>
                <w:lang w:val="es-ES"/>
              </w:rPr>
              <w:t xml:space="preserve"> </w:t>
            </w:r>
            <w:proofErr w:type="spellStart"/>
            <w:r>
              <w:rPr>
                <w:b/>
                <w:sz w:val="22"/>
                <w:szCs w:val="22"/>
                <w:lang w:val="es-ES"/>
              </w:rPr>
              <w:t>Debtor</w:t>
            </w:r>
            <w:proofErr w:type="spellEnd"/>
          </w:p>
          <w:p w14:paraId="1429E8E9" w14:textId="77777777" w:rsidR="00E255F4" w:rsidRDefault="00E255F4">
            <w:pPr>
              <w:pStyle w:val="Prrafodelista"/>
              <w:rPr>
                <w:b/>
                <w:sz w:val="22"/>
                <w:szCs w:val="22"/>
                <w:lang w:val="es-ES"/>
              </w:rPr>
            </w:pPr>
          </w:p>
          <w:p w14:paraId="26D8FB67" w14:textId="77777777" w:rsidR="00E255F4" w:rsidRDefault="00000000">
            <w:pPr>
              <w:jc w:val="both"/>
            </w:pPr>
            <w:r>
              <w:rPr>
                <w:sz w:val="22"/>
                <w:szCs w:val="22"/>
              </w:rPr>
              <w:t xml:space="preserve">In </w:t>
            </w:r>
            <w:proofErr w:type="spellStart"/>
            <w:r>
              <w:rPr>
                <w:sz w:val="22"/>
                <w:szCs w:val="22"/>
              </w:rPr>
              <w:t>accordance</w:t>
            </w:r>
            <w:proofErr w:type="spellEnd"/>
            <w:r>
              <w:rPr>
                <w:sz w:val="22"/>
                <w:szCs w:val="22"/>
              </w:rPr>
              <w:t xml:space="preserve"> </w:t>
            </w:r>
            <w:proofErr w:type="spellStart"/>
            <w:r>
              <w:rPr>
                <w:sz w:val="22"/>
                <w:szCs w:val="22"/>
              </w:rPr>
              <w:t>with</w:t>
            </w:r>
            <w:proofErr w:type="spellEnd"/>
            <w:r>
              <w:rPr>
                <w:sz w:val="22"/>
                <w:szCs w:val="22"/>
              </w:rPr>
              <w:t xml:space="preserve"> </w:t>
            </w:r>
            <w:proofErr w:type="spellStart"/>
            <w:r>
              <w:rPr>
                <w:sz w:val="22"/>
                <w:szCs w:val="22"/>
              </w:rPr>
              <w:t>the</w:t>
            </w:r>
            <w:proofErr w:type="spellEnd"/>
            <w:r>
              <w:rPr>
                <w:sz w:val="22"/>
                <w:szCs w:val="22"/>
              </w:rPr>
              <w:t xml:space="preserve"> </w:t>
            </w:r>
            <w:proofErr w:type="spellStart"/>
            <w:r>
              <w:rPr>
                <w:sz w:val="22"/>
                <w:szCs w:val="22"/>
              </w:rPr>
              <w:t>provisions</w:t>
            </w:r>
            <w:proofErr w:type="spellEnd"/>
            <w:r>
              <w:rPr>
                <w:sz w:val="22"/>
                <w:szCs w:val="22"/>
              </w:rPr>
              <w:t xml:space="preserve"> </w:t>
            </w:r>
            <w:proofErr w:type="spellStart"/>
            <w:r>
              <w:rPr>
                <w:sz w:val="22"/>
                <w:szCs w:val="22"/>
              </w:rPr>
              <w:t>of</w:t>
            </w:r>
            <w:proofErr w:type="spellEnd"/>
            <w:r>
              <w:rPr>
                <w:sz w:val="22"/>
                <w:szCs w:val="22"/>
              </w:rPr>
              <w:t xml:space="preserve"> Laws Nos. 17,957 </w:t>
            </w:r>
            <w:proofErr w:type="spellStart"/>
            <w:r>
              <w:rPr>
                <w:sz w:val="22"/>
                <w:szCs w:val="22"/>
              </w:rPr>
              <w:t>of</w:t>
            </w:r>
            <w:proofErr w:type="spellEnd"/>
            <w:r>
              <w:rPr>
                <w:sz w:val="22"/>
                <w:szCs w:val="22"/>
              </w:rPr>
              <w:t xml:space="preserve"> April 4, 2026 and 18,244 </w:t>
            </w:r>
            <w:proofErr w:type="spellStart"/>
            <w:r>
              <w:rPr>
                <w:sz w:val="22"/>
                <w:szCs w:val="22"/>
              </w:rPr>
              <w:t>of</w:t>
            </w:r>
            <w:proofErr w:type="spellEnd"/>
            <w:r>
              <w:rPr>
                <w:sz w:val="22"/>
                <w:szCs w:val="22"/>
              </w:rPr>
              <w:t xml:space="preserve"> December 27, 2007 </w:t>
            </w:r>
            <w:proofErr w:type="spellStart"/>
            <w:r>
              <w:rPr>
                <w:sz w:val="22"/>
                <w:szCs w:val="22"/>
              </w:rPr>
              <w:t>on</w:t>
            </w:r>
            <w:proofErr w:type="spellEnd"/>
            <w:r>
              <w:rPr>
                <w:sz w:val="22"/>
                <w:szCs w:val="22"/>
              </w:rPr>
              <w:t xml:space="preserve"> </w:t>
            </w:r>
            <w:proofErr w:type="spellStart"/>
            <w:r>
              <w:rPr>
                <w:sz w:val="22"/>
                <w:szCs w:val="22"/>
              </w:rPr>
              <w:t>Delinquent</w:t>
            </w:r>
            <w:proofErr w:type="spellEnd"/>
            <w:r>
              <w:rPr>
                <w:sz w:val="22"/>
                <w:szCs w:val="22"/>
              </w:rPr>
              <w:t xml:space="preserve"> Child </w:t>
            </w:r>
            <w:proofErr w:type="spellStart"/>
            <w:r>
              <w:rPr>
                <w:sz w:val="22"/>
                <w:szCs w:val="22"/>
              </w:rPr>
              <w:t>Support</w:t>
            </w:r>
            <w:proofErr w:type="spellEnd"/>
            <w:r>
              <w:rPr>
                <w:sz w:val="22"/>
                <w:szCs w:val="22"/>
              </w:rPr>
              <w:t xml:space="preserve"> </w:t>
            </w:r>
            <w:proofErr w:type="spellStart"/>
            <w:r>
              <w:rPr>
                <w:sz w:val="22"/>
                <w:szCs w:val="22"/>
              </w:rPr>
              <w:t>Debtors</w:t>
            </w:r>
            <w:proofErr w:type="spellEnd"/>
            <w:r>
              <w:rPr>
                <w:sz w:val="22"/>
                <w:szCs w:val="22"/>
              </w:rPr>
              <w:t xml:space="preserve">, </w:t>
            </w:r>
            <w:proofErr w:type="spellStart"/>
            <w:r>
              <w:rPr>
                <w:sz w:val="22"/>
                <w:szCs w:val="22"/>
              </w:rPr>
              <w:t>bidders</w:t>
            </w:r>
            <w:proofErr w:type="spellEnd"/>
            <w:r>
              <w:rPr>
                <w:sz w:val="22"/>
                <w:szCs w:val="22"/>
              </w:rPr>
              <w:t xml:space="preserve"> </w:t>
            </w:r>
            <w:proofErr w:type="spellStart"/>
            <w:r>
              <w:rPr>
                <w:sz w:val="22"/>
                <w:szCs w:val="22"/>
              </w:rPr>
              <w:t>must</w:t>
            </w:r>
            <w:proofErr w:type="spellEnd"/>
            <w:r>
              <w:rPr>
                <w:sz w:val="22"/>
                <w:szCs w:val="22"/>
              </w:rPr>
              <w:t xml:space="preserve"> declare at </w:t>
            </w:r>
            <w:proofErr w:type="spellStart"/>
            <w:r>
              <w:rPr>
                <w:sz w:val="22"/>
                <w:szCs w:val="22"/>
              </w:rPr>
              <w:t>the</w:t>
            </w:r>
            <w:proofErr w:type="spellEnd"/>
            <w:r>
              <w:rPr>
                <w:sz w:val="22"/>
                <w:szCs w:val="22"/>
              </w:rPr>
              <w:t xml:space="preserve"> time </w:t>
            </w:r>
            <w:proofErr w:type="spellStart"/>
            <w:r>
              <w:rPr>
                <w:sz w:val="22"/>
                <w:szCs w:val="22"/>
              </w:rPr>
              <w:t>of</w:t>
            </w:r>
            <w:proofErr w:type="spellEnd"/>
            <w:r>
              <w:rPr>
                <w:sz w:val="22"/>
                <w:szCs w:val="22"/>
              </w:rPr>
              <w:t xml:space="preserve"> </w:t>
            </w:r>
            <w:proofErr w:type="spellStart"/>
            <w:r>
              <w:rPr>
                <w:sz w:val="22"/>
                <w:szCs w:val="22"/>
              </w:rPr>
              <w:t>submitting</w:t>
            </w:r>
            <w:proofErr w:type="spellEnd"/>
            <w:r>
              <w:rPr>
                <w:sz w:val="22"/>
                <w:szCs w:val="22"/>
              </w:rPr>
              <w:t xml:space="preserve"> </w:t>
            </w:r>
            <w:proofErr w:type="spellStart"/>
            <w:r>
              <w:rPr>
                <w:sz w:val="22"/>
                <w:szCs w:val="22"/>
              </w:rPr>
              <w:t>their</w:t>
            </w:r>
            <w:proofErr w:type="spellEnd"/>
            <w:r>
              <w:rPr>
                <w:sz w:val="22"/>
                <w:szCs w:val="22"/>
              </w:rPr>
              <w:t xml:space="preserve"> </w:t>
            </w:r>
            <w:proofErr w:type="spellStart"/>
            <w:r>
              <w:rPr>
                <w:sz w:val="22"/>
                <w:szCs w:val="22"/>
              </w:rPr>
              <w:t>bids</w:t>
            </w:r>
            <w:proofErr w:type="spellEnd"/>
            <w:r>
              <w:rPr>
                <w:sz w:val="22"/>
                <w:szCs w:val="22"/>
              </w:rPr>
              <w:t xml:space="preserve"> </w:t>
            </w:r>
            <w:proofErr w:type="spellStart"/>
            <w:r>
              <w:rPr>
                <w:sz w:val="22"/>
                <w:szCs w:val="22"/>
              </w:rPr>
              <w:t>that</w:t>
            </w:r>
            <w:proofErr w:type="spellEnd"/>
            <w:r>
              <w:rPr>
                <w:sz w:val="22"/>
                <w:szCs w:val="22"/>
              </w:rPr>
              <w:t xml:space="preserve"> </w:t>
            </w:r>
            <w:proofErr w:type="spellStart"/>
            <w:r>
              <w:rPr>
                <w:sz w:val="22"/>
                <w:szCs w:val="22"/>
              </w:rPr>
              <w:t>they</w:t>
            </w:r>
            <w:proofErr w:type="spellEnd"/>
            <w:r>
              <w:rPr>
                <w:sz w:val="22"/>
                <w:szCs w:val="22"/>
              </w:rPr>
              <w:t xml:space="preserve"> are </w:t>
            </w:r>
            <w:proofErr w:type="spellStart"/>
            <w:r>
              <w:rPr>
                <w:sz w:val="22"/>
                <w:szCs w:val="22"/>
              </w:rPr>
              <w:t>not</w:t>
            </w:r>
            <w:proofErr w:type="spellEnd"/>
            <w:r>
              <w:rPr>
                <w:sz w:val="22"/>
                <w:szCs w:val="22"/>
              </w:rPr>
              <w:t xml:space="preserve"> </w:t>
            </w:r>
            <w:proofErr w:type="spellStart"/>
            <w:r>
              <w:rPr>
                <w:sz w:val="22"/>
                <w:szCs w:val="22"/>
              </w:rPr>
              <w:t>registered</w:t>
            </w:r>
            <w:proofErr w:type="spellEnd"/>
            <w:r>
              <w:rPr>
                <w:sz w:val="22"/>
                <w:szCs w:val="22"/>
              </w:rPr>
              <w:t xml:space="preserve"> in </w:t>
            </w:r>
            <w:proofErr w:type="spellStart"/>
            <w:r>
              <w:rPr>
                <w:sz w:val="22"/>
                <w:szCs w:val="22"/>
              </w:rPr>
              <w:t>the</w:t>
            </w:r>
            <w:proofErr w:type="spellEnd"/>
            <w:r>
              <w:rPr>
                <w:sz w:val="22"/>
                <w:szCs w:val="22"/>
              </w:rPr>
              <w:t xml:space="preserve"> </w:t>
            </w:r>
            <w:proofErr w:type="spellStart"/>
            <w:r>
              <w:rPr>
                <w:sz w:val="22"/>
                <w:szCs w:val="22"/>
              </w:rPr>
              <w:t>National</w:t>
            </w:r>
            <w:proofErr w:type="spellEnd"/>
            <w:r>
              <w:rPr>
                <w:sz w:val="22"/>
                <w:szCs w:val="22"/>
              </w:rPr>
              <w:t xml:space="preserve"> </w:t>
            </w:r>
            <w:proofErr w:type="spellStart"/>
            <w:r>
              <w:rPr>
                <w:sz w:val="22"/>
                <w:szCs w:val="22"/>
              </w:rPr>
              <w:t>Registry</w:t>
            </w:r>
            <w:proofErr w:type="spellEnd"/>
            <w:r>
              <w:rPr>
                <w:sz w:val="22"/>
                <w:szCs w:val="22"/>
              </w:rPr>
              <w:t xml:space="preserve"> </w:t>
            </w:r>
            <w:proofErr w:type="spellStart"/>
            <w:r>
              <w:rPr>
                <w:sz w:val="22"/>
                <w:szCs w:val="22"/>
              </w:rPr>
              <w:t>of</w:t>
            </w:r>
            <w:proofErr w:type="spellEnd"/>
            <w:r>
              <w:rPr>
                <w:sz w:val="22"/>
                <w:szCs w:val="22"/>
              </w:rPr>
              <w:t xml:space="preserve"> Personal Acts, </w:t>
            </w:r>
            <w:proofErr w:type="spellStart"/>
            <w:r>
              <w:rPr>
                <w:sz w:val="22"/>
                <w:szCs w:val="22"/>
              </w:rPr>
              <w:t>Interdictions</w:t>
            </w:r>
            <w:proofErr w:type="spellEnd"/>
            <w:r>
              <w:rPr>
                <w:sz w:val="22"/>
                <w:szCs w:val="22"/>
              </w:rPr>
              <w:t xml:space="preserve"> Section, </w:t>
            </w:r>
            <w:proofErr w:type="spellStart"/>
            <w:r>
              <w:rPr>
                <w:sz w:val="22"/>
                <w:szCs w:val="22"/>
              </w:rPr>
              <w:t>in</w:t>
            </w:r>
            <w:r>
              <w:rPr>
                <w:color w:val="000000"/>
                <w:sz w:val="22"/>
                <w:szCs w:val="22"/>
              </w:rPr>
              <w:t>status</w:t>
            </w:r>
            <w:proofErr w:type="spellEnd"/>
            <w:r>
              <w:rPr>
                <w:color w:val="000000"/>
                <w:sz w:val="22"/>
                <w:szCs w:val="22"/>
              </w:rPr>
              <w:t xml:space="preserve"> as a </w:t>
            </w:r>
            <w:proofErr w:type="spellStart"/>
            <w:r>
              <w:rPr>
                <w:color w:val="000000"/>
                <w:sz w:val="22"/>
                <w:szCs w:val="22"/>
              </w:rPr>
              <w:t>delinquent</w:t>
            </w:r>
            <w:proofErr w:type="spellEnd"/>
            <w:r>
              <w:rPr>
                <w:color w:val="000000"/>
                <w:sz w:val="22"/>
                <w:szCs w:val="22"/>
              </w:rPr>
              <w:t xml:space="preserve"> </w:t>
            </w:r>
            <w:proofErr w:type="spellStart"/>
            <w:r>
              <w:rPr>
                <w:color w:val="000000"/>
                <w:sz w:val="22"/>
                <w:szCs w:val="22"/>
              </w:rPr>
              <w:t>alimony</w:t>
            </w:r>
            <w:proofErr w:type="spellEnd"/>
            <w:r>
              <w:rPr>
                <w:color w:val="000000"/>
                <w:sz w:val="22"/>
                <w:szCs w:val="22"/>
              </w:rPr>
              <w:t xml:space="preserve"> </w:t>
            </w:r>
            <w:proofErr w:type="spellStart"/>
            <w:r>
              <w:rPr>
                <w:color w:val="000000"/>
                <w:sz w:val="22"/>
                <w:szCs w:val="22"/>
              </w:rPr>
              <w:t>debtor</w:t>
            </w:r>
            <w:proofErr w:type="spellEnd"/>
            <w:r>
              <w:rPr>
                <w:color w:val="000000"/>
                <w:sz w:val="22"/>
                <w:szCs w:val="22"/>
              </w:rPr>
              <w:t xml:space="preserve">, </w:t>
            </w:r>
            <w:proofErr w:type="spellStart"/>
            <w:r>
              <w:rPr>
                <w:color w:val="000000"/>
                <w:sz w:val="22"/>
                <w:szCs w:val="22"/>
              </w:rPr>
              <w:t>according</w:t>
            </w:r>
            <w:proofErr w:type="spellEnd"/>
            <w:r>
              <w:rPr>
                <w:color w:val="000000"/>
                <w:sz w:val="22"/>
                <w:szCs w:val="22"/>
              </w:rPr>
              <w:t xml:space="preserve"> </w:t>
            </w:r>
            <w:proofErr w:type="spellStart"/>
            <w:r>
              <w:rPr>
                <w:color w:val="000000"/>
                <w:sz w:val="22"/>
                <w:szCs w:val="22"/>
              </w:rPr>
              <w:t>to</w:t>
            </w:r>
            <w:proofErr w:type="spellEnd"/>
            <w:r>
              <w:rPr>
                <w:color w:val="000000"/>
                <w:sz w:val="22"/>
                <w:szCs w:val="22"/>
              </w:rPr>
              <w:t xml:space="preserve"> </w:t>
            </w:r>
            <w:proofErr w:type="spellStart"/>
            <w:r>
              <w:rPr>
                <w:color w:val="000000"/>
                <w:sz w:val="22"/>
                <w:szCs w:val="22"/>
              </w:rPr>
              <w:t>the</w:t>
            </w:r>
            <w:proofErr w:type="spellEnd"/>
            <w:r>
              <w:rPr>
                <w:color w:val="000000"/>
                <w:sz w:val="22"/>
                <w:szCs w:val="22"/>
              </w:rPr>
              <w:t xml:space="preserve"> Affidavit </w:t>
            </w:r>
            <w:proofErr w:type="spellStart"/>
            <w:r>
              <w:rPr>
                <w:color w:val="000000"/>
                <w:sz w:val="22"/>
                <w:szCs w:val="22"/>
              </w:rPr>
              <w:t>contained</w:t>
            </w:r>
            <w:proofErr w:type="spellEnd"/>
            <w:r>
              <w:rPr>
                <w:color w:val="000000"/>
                <w:sz w:val="22"/>
                <w:szCs w:val="22"/>
              </w:rPr>
              <w:t xml:space="preserve"> in </w:t>
            </w:r>
            <w:proofErr w:type="spellStart"/>
            <w:r>
              <w:rPr>
                <w:color w:val="000000"/>
                <w:sz w:val="22"/>
                <w:szCs w:val="22"/>
              </w:rPr>
              <w:t>Annex</w:t>
            </w:r>
            <w:proofErr w:type="spellEnd"/>
            <w:r>
              <w:rPr>
                <w:color w:val="000000"/>
                <w:sz w:val="22"/>
                <w:szCs w:val="22"/>
              </w:rPr>
              <w:t xml:space="preserve"> XII</w:t>
            </w:r>
            <w:r>
              <w:rPr>
                <w:color w:val="FF0000"/>
                <w:sz w:val="22"/>
                <w:szCs w:val="22"/>
              </w:rPr>
              <w:t>.</w:t>
            </w:r>
          </w:p>
          <w:p w14:paraId="6D316034" w14:textId="77777777" w:rsidR="00E255F4" w:rsidRDefault="00E255F4">
            <w:pPr>
              <w:jc w:val="both"/>
              <w:rPr>
                <w:color w:val="FF0000"/>
                <w:sz w:val="22"/>
                <w:szCs w:val="22"/>
              </w:rPr>
            </w:pPr>
          </w:p>
          <w:p w14:paraId="1A44972A" w14:textId="77777777" w:rsidR="00E255F4" w:rsidRDefault="00000000">
            <w:pPr>
              <w:jc w:val="both"/>
              <w:rPr>
                <w:color w:val="FF0000"/>
                <w:sz w:val="22"/>
                <w:szCs w:val="22"/>
              </w:rPr>
            </w:pPr>
            <w:r>
              <w:rPr>
                <w:sz w:val="22"/>
                <w:szCs w:val="22"/>
              </w:rPr>
              <w:t xml:space="preserve">The </w:t>
            </w:r>
            <w:proofErr w:type="spellStart"/>
            <w:r>
              <w:rPr>
                <w:sz w:val="22"/>
                <w:szCs w:val="22"/>
              </w:rPr>
              <w:t>aforementioned</w:t>
            </w:r>
            <w:proofErr w:type="spellEnd"/>
            <w:r>
              <w:rPr>
                <w:sz w:val="22"/>
                <w:szCs w:val="22"/>
              </w:rPr>
              <w:t xml:space="preserve"> </w:t>
            </w:r>
            <w:proofErr w:type="spellStart"/>
            <w:r>
              <w:rPr>
                <w:sz w:val="22"/>
                <w:szCs w:val="22"/>
              </w:rPr>
              <w:t>declaration</w:t>
            </w:r>
            <w:proofErr w:type="spellEnd"/>
            <w:r>
              <w:rPr>
                <w:sz w:val="22"/>
                <w:szCs w:val="22"/>
              </w:rPr>
              <w:t xml:space="preserve"> </w:t>
            </w:r>
            <w:proofErr w:type="spellStart"/>
            <w:r>
              <w:rPr>
                <w:sz w:val="22"/>
                <w:szCs w:val="22"/>
              </w:rPr>
              <w:t>must</w:t>
            </w:r>
            <w:proofErr w:type="spellEnd"/>
            <w:r>
              <w:rPr>
                <w:sz w:val="22"/>
                <w:szCs w:val="22"/>
              </w:rPr>
              <w:t xml:space="preserve"> </w:t>
            </w:r>
            <w:proofErr w:type="spellStart"/>
            <w:r>
              <w:rPr>
                <w:sz w:val="22"/>
                <w:szCs w:val="22"/>
              </w:rPr>
              <w:t>include</w:t>
            </w:r>
            <w:proofErr w:type="spellEnd"/>
            <w:r>
              <w:rPr>
                <w:sz w:val="22"/>
                <w:szCs w:val="22"/>
              </w:rPr>
              <w:t xml:space="preserve"> </w:t>
            </w:r>
            <w:proofErr w:type="spellStart"/>
            <w:r>
              <w:rPr>
                <w:sz w:val="22"/>
                <w:szCs w:val="22"/>
              </w:rPr>
              <w:t>the</w:t>
            </w:r>
            <w:proofErr w:type="spellEnd"/>
            <w:r>
              <w:rPr>
                <w:sz w:val="22"/>
                <w:szCs w:val="22"/>
              </w:rPr>
              <w:t xml:space="preserve"> </w:t>
            </w:r>
            <w:proofErr w:type="spellStart"/>
            <w:r>
              <w:rPr>
                <w:sz w:val="22"/>
                <w:szCs w:val="22"/>
              </w:rPr>
              <w:t>Owners</w:t>
            </w:r>
            <w:proofErr w:type="spellEnd"/>
            <w:r>
              <w:rPr>
                <w:sz w:val="22"/>
                <w:szCs w:val="22"/>
              </w:rPr>
              <w:t xml:space="preserve">, </w:t>
            </w:r>
            <w:proofErr w:type="spellStart"/>
            <w:r>
              <w:rPr>
                <w:sz w:val="22"/>
                <w:szCs w:val="22"/>
              </w:rPr>
              <w:t>Directors</w:t>
            </w:r>
            <w:proofErr w:type="spellEnd"/>
            <w:r>
              <w:rPr>
                <w:sz w:val="22"/>
                <w:szCs w:val="22"/>
              </w:rPr>
              <w:t xml:space="preserve"> and </w:t>
            </w:r>
            <w:proofErr w:type="spellStart"/>
            <w:r>
              <w:rPr>
                <w:sz w:val="22"/>
                <w:szCs w:val="22"/>
              </w:rPr>
              <w:t>Administrators</w:t>
            </w:r>
            <w:proofErr w:type="spellEnd"/>
            <w:r>
              <w:rPr>
                <w:sz w:val="22"/>
                <w:szCs w:val="22"/>
              </w:rPr>
              <w:t xml:space="preserve"> </w:t>
            </w:r>
            <w:proofErr w:type="spellStart"/>
            <w:r>
              <w:rPr>
                <w:sz w:val="22"/>
                <w:szCs w:val="22"/>
              </w:rPr>
              <w:t>of</w:t>
            </w:r>
            <w:proofErr w:type="spellEnd"/>
            <w:r>
              <w:rPr>
                <w:sz w:val="22"/>
                <w:szCs w:val="22"/>
              </w:rPr>
              <w:t xml:space="preserve"> </w:t>
            </w:r>
            <w:proofErr w:type="spellStart"/>
            <w:r>
              <w:rPr>
                <w:sz w:val="22"/>
                <w:szCs w:val="22"/>
              </w:rPr>
              <w:t>the</w:t>
            </w:r>
            <w:proofErr w:type="spellEnd"/>
            <w:r>
              <w:rPr>
                <w:sz w:val="22"/>
                <w:szCs w:val="22"/>
              </w:rPr>
              <w:t xml:space="preserve"> </w:t>
            </w:r>
            <w:proofErr w:type="spellStart"/>
            <w:r>
              <w:rPr>
                <w:sz w:val="22"/>
                <w:szCs w:val="22"/>
              </w:rPr>
              <w:t>declaring</w:t>
            </w:r>
            <w:proofErr w:type="spellEnd"/>
            <w:r>
              <w:rPr>
                <w:sz w:val="22"/>
                <w:szCs w:val="22"/>
              </w:rPr>
              <w:t xml:space="preserve"> </w:t>
            </w:r>
            <w:proofErr w:type="spellStart"/>
            <w:r>
              <w:rPr>
                <w:sz w:val="22"/>
                <w:szCs w:val="22"/>
              </w:rPr>
              <w:t>company</w:t>
            </w:r>
            <w:proofErr w:type="spellEnd"/>
            <w:r>
              <w:rPr>
                <w:color w:val="FF0000"/>
                <w:sz w:val="22"/>
                <w:szCs w:val="22"/>
              </w:rPr>
              <w:t>.</w:t>
            </w:r>
          </w:p>
          <w:p w14:paraId="5467EBDE" w14:textId="77777777" w:rsidR="00E255F4" w:rsidRDefault="00E255F4">
            <w:pPr>
              <w:pStyle w:val="Prrafodelista"/>
              <w:tabs>
                <w:tab w:val="left" w:pos="-720"/>
              </w:tabs>
              <w:ind w:left="0"/>
              <w:jc w:val="both"/>
              <w:rPr>
                <w:color w:val="FF0000"/>
                <w:spacing w:val="-3"/>
                <w:sz w:val="22"/>
                <w:szCs w:val="22"/>
                <w:lang w:val="es-ES"/>
              </w:rPr>
            </w:pPr>
          </w:p>
          <w:p w14:paraId="31D073AC" w14:textId="77777777" w:rsidR="00E255F4" w:rsidRDefault="00000000">
            <w:pPr>
              <w:rPr>
                <w:spacing w:val="-3"/>
                <w:sz w:val="22"/>
                <w:szCs w:val="22"/>
              </w:rPr>
            </w:pPr>
            <w:r>
              <w:rPr>
                <w:color w:val="000000"/>
                <w:spacing w:val="-3"/>
                <w:sz w:val="22"/>
                <w:szCs w:val="22"/>
                <w:lang w:val="es-ES"/>
              </w:rPr>
              <w:t xml:space="preserve">Prior </w:t>
            </w:r>
            <w:proofErr w:type="spellStart"/>
            <w:r>
              <w:rPr>
                <w:color w:val="000000"/>
                <w:spacing w:val="-3"/>
                <w:sz w:val="22"/>
                <w:szCs w:val="22"/>
                <w:lang w:val="es-ES"/>
              </w:rPr>
              <w:t>to</w:t>
            </w:r>
            <w:proofErr w:type="spellEnd"/>
            <w:r>
              <w:rPr>
                <w:color w:val="000000"/>
                <w:spacing w:val="-3"/>
                <w:sz w:val="22"/>
                <w:szCs w:val="22"/>
                <w:lang w:val="es-ES"/>
              </w:rPr>
              <w:t xml:space="preserve"> </w:t>
            </w:r>
            <w:proofErr w:type="spellStart"/>
            <w:r>
              <w:rPr>
                <w:color w:val="000000"/>
                <w:spacing w:val="-3"/>
                <w:sz w:val="22"/>
                <w:szCs w:val="22"/>
                <w:lang w:val="es-ES"/>
              </w:rPr>
              <w:t>the</w:t>
            </w:r>
            <w:proofErr w:type="spellEnd"/>
            <w:r>
              <w:rPr>
                <w:color w:val="000000"/>
                <w:spacing w:val="-3"/>
                <w:sz w:val="22"/>
                <w:szCs w:val="22"/>
                <w:lang w:val="es-ES"/>
              </w:rPr>
              <w:t xml:space="preserve"> </w:t>
            </w:r>
            <w:proofErr w:type="spellStart"/>
            <w:r>
              <w:rPr>
                <w:color w:val="000000"/>
                <w:spacing w:val="-3"/>
                <w:sz w:val="22"/>
                <w:szCs w:val="22"/>
                <w:lang w:val="es-ES"/>
              </w:rPr>
              <w:t>perfection</w:t>
            </w:r>
            <w:proofErr w:type="spellEnd"/>
            <w:r>
              <w:rPr>
                <w:color w:val="000000"/>
                <w:spacing w:val="-3"/>
                <w:sz w:val="22"/>
                <w:szCs w:val="22"/>
                <w:lang w:val="es-ES"/>
              </w:rPr>
              <w:t xml:space="preserve"> </w:t>
            </w:r>
            <w:proofErr w:type="spellStart"/>
            <w:r>
              <w:rPr>
                <w:color w:val="000000"/>
                <w:spacing w:val="-3"/>
                <w:sz w:val="22"/>
                <w:szCs w:val="22"/>
                <w:lang w:val="es-ES"/>
              </w:rPr>
              <w:t>of</w:t>
            </w:r>
            <w:proofErr w:type="spellEnd"/>
            <w:r>
              <w:rPr>
                <w:color w:val="000000"/>
                <w:spacing w:val="-3"/>
                <w:sz w:val="22"/>
                <w:szCs w:val="22"/>
                <w:lang w:val="es-ES"/>
              </w:rPr>
              <w:t xml:space="preserve"> </w:t>
            </w:r>
            <w:proofErr w:type="spellStart"/>
            <w:r>
              <w:rPr>
                <w:color w:val="000000"/>
                <w:spacing w:val="-3"/>
                <w:sz w:val="22"/>
                <w:szCs w:val="22"/>
                <w:lang w:val="es-ES"/>
              </w:rPr>
              <w:t>the</w:t>
            </w:r>
            <w:proofErr w:type="spellEnd"/>
            <w:r>
              <w:rPr>
                <w:color w:val="000000"/>
                <w:spacing w:val="-3"/>
                <w:sz w:val="22"/>
                <w:szCs w:val="22"/>
                <w:lang w:val="es-ES"/>
              </w:rPr>
              <w:t xml:space="preserve"> </w:t>
            </w:r>
            <w:proofErr w:type="spellStart"/>
            <w:r>
              <w:rPr>
                <w:color w:val="000000"/>
                <w:spacing w:val="-3"/>
                <w:sz w:val="22"/>
                <w:szCs w:val="22"/>
                <w:lang w:val="es-ES"/>
              </w:rPr>
              <w:t>contract</w:t>
            </w:r>
            <w:proofErr w:type="spellEnd"/>
            <w:r>
              <w:rPr>
                <w:color w:val="000000"/>
                <w:spacing w:val="-3"/>
                <w:sz w:val="22"/>
                <w:szCs w:val="22"/>
                <w:lang w:val="es-ES"/>
              </w:rPr>
              <w:t xml:space="preserve"> (Art. 18 </w:t>
            </w:r>
            <w:proofErr w:type="spellStart"/>
            <w:r>
              <w:rPr>
                <w:color w:val="000000"/>
                <w:spacing w:val="-3"/>
                <w:sz w:val="22"/>
                <w:szCs w:val="22"/>
                <w:lang w:val="es-ES"/>
              </w:rPr>
              <w:t>of</w:t>
            </w:r>
            <w:proofErr w:type="spellEnd"/>
            <w:r>
              <w:rPr>
                <w:color w:val="000000"/>
                <w:spacing w:val="-3"/>
                <w:sz w:val="22"/>
                <w:szCs w:val="22"/>
                <w:lang w:val="es-ES"/>
              </w:rPr>
              <w:t xml:space="preserve"> </w:t>
            </w:r>
            <w:proofErr w:type="spellStart"/>
            <w:r>
              <w:rPr>
                <w:color w:val="000000"/>
                <w:spacing w:val="-3"/>
                <w:sz w:val="22"/>
                <w:szCs w:val="22"/>
                <w:lang w:val="es-ES"/>
              </w:rPr>
              <w:t>the</w:t>
            </w:r>
            <w:proofErr w:type="spellEnd"/>
            <w:r>
              <w:rPr>
                <w:color w:val="000000"/>
                <w:spacing w:val="-3"/>
                <w:sz w:val="22"/>
                <w:szCs w:val="22"/>
                <w:lang w:val="es-ES"/>
              </w:rPr>
              <w:t xml:space="preserve"> </w:t>
            </w:r>
            <w:proofErr w:type="spellStart"/>
            <w:r>
              <w:rPr>
                <w:color w:val="000000"/>
                <w:spacing w:val="-3"/>
                <w:sz w:val="22"/>
                <w:szCs w:val="22"/>
                <w:lang w:val="es-ES"/>
              </w:rPr>
              <w:t>aforementioned</w:t>
            </w:r>
            <w:proofErr w:type="spellEnd"/>
            <w:r>
              <w:rPr>
                <w:color w:val="000000"/>
                <w:spacing w:val="-3"/>
                <w:sz w:val="22"/>
                <w:szCs w:val="22"/>
                <w:lang w:val="es-ES"/>
              </w:rPr>
              <w:t xml:space="preserve"> Tender </w:t>
            </w:r>
            <w:proofErr w:type="spellStart"/>
            <w:r>
              <w:rPr>
                <w:color w:val="000000"/>
                <w:spacing w:val="-3"/>
                <w:sz w:val="22"/>
                <w:szCs w:val="22"/>
                <w:lang w:val="es-ES"/>
              </w:rPr>
              <w:t>Document</w:t>
            </w:r>
            <w:proofErr w:type="spellEnd"/>
            <w:r>
              <w:rPr>
                <w:color w:val="000000"/>
                <w:spacing w:val="-3"/>
                <w:sz w:val="22"/>
                <w:szCs w:val="22"/>
                <w:lang w:val="es-ES"/>
              </w:rPr>
              <w:t xml:space="preserve">), </w:t>
            </w:r>
            <w:proofErr w:type="spellStart"/>
            <w:r>
              <w:rPr>
                <w:color w:val="000000"/>
                <w:spacing w:val="-3"/>
                <w:sz w:val="22"/>
                <w:szCs w:val="22"/>
                <w:lang w:val="es-ES"/>
              </w:rPr>
              <w:t>the</w:t>
            </w:r>
            <w:proofErr w:type="spellEnd"/>
            <w:r>
              <w:rPr>
                <w:color w:val="000000"/>
                <w:spacing w:val="-3"/>
                <w:sz w:val="22"/>
                <w:szCs w:val="22"/>
                <w:lang w:val="es-ES"/>
              </w:rPr>
              <w:t xml:space="preserve"> </w:t>
            </w:r>
            <w:proofErr w:type="spellStart"/>
            <w:r>
              <w:rPr>
                <w:color w:val="000000"/>
                <w:spacing w:val="-3"/>
                <w:sz w:val="22"/>
                <w:szCs w:val="22"/>
                <w:lang w:val="es-ES"/>
              </w:rPr>
              <w:t>successful</w:t>
            </w:r>
            <w:proofErr w:type="spellEnd"/>
            <w:r>
              <w:rPr>
                <w:color w:val="000000"/>
                <w:spacing w:val="-3"/>
                <w:sz w:val="22"/>
                <w:szCs w:val="22"/>
                <w:lang w:val="es-ES"/>
              </w:rPr>
              <w:t xml:space="preserve"> </w:t>
            </w:r>
            <w:proofErr w:type="spellStart"/>
            <w:r>
              <w:rPr>
                <w:color w:val="000000"/>
                <w:spacing w:val="-3"/>
                <w:sz w:val="22"/>
                <w:szCs w:val="22"/>
                <w:lang w:val="es-ES"/>
              </w:rPr>
              <w:t>bidder</w:t>
            </w:r>
            <w:proofErr w:type="spellEnd"/>
            <w:r>
              <w:rPr>
                <w:color w:val="000000"/>
                <w:spacing w:val="-3"/>
                <w:sz w:val="22"/>
                <w:szCs w:val="22"/>
                <w:lang w:val="es-ES"/>
              </w:rPr>
              <w:t xml:space="preserve"> </w:t>
            </w:r>
            <w:proofErr w:type="spellStart"/>
            <w:r>
              <w:rPr>
                <w:color w:val="000000"/>
                <w:spacing w:val="-3"/>
                <w:sz w:val="22"/>
                <w:szCs w:val="22"/>
                <w:lang w:val="es-ES"/>
              </w:rPr>
              <w:t>must</w:t>
            </w:r>
            <w:proofErr w:type="spellEnd"/>
            <w:r>
              <w:rPr>
                <w:color w:val="000000"/>
                <w:spacing w:val="-3"/>
                <w:sz w:val="22"/>
                <w:szCs w:val="22"/>
                <w:lang w:val="es-ES"/>
              </w:rPr>
              <w:t xml:space="preserve"> </w:t>
            </w:r>
            <w:proofErr w:type="spellStart"/>
            <w:r>
              <w:rPr>
                <w:color w:val="000000"/>
                <w:spacing w:val="-3"/>
                <w:sz w:val="22"/>
                <w:szCs w:val="22"/>
                <w:lang w:val="es-ES"/>
              </w:rPr>
              <w:t>deliver</w:t>
            </w:r>
            <w:proofErr w:type="spellEnd"/>
            <w:r>
              <w:rPr>
                <w:color w:val="000000"/>
                <w:spacing w:val="-3"/>
                <w:sz w:val="22"/>
                <w:szCs w:val="22"/>
                <w:lang w:val="es-ES"/>
              </w:rPr>
              <w:t xml:space="preserve"> </w:t>
            </w:r>
            <w:proofErr w:type="spellStart"/>
            <w:r>
              <w:rPr>
                <w:color w:val="000000"/>
                <w:spacing w:val="-3"/>
                <w:sz w:val="22"/>
                <w:szCs w:val="22"/>
                <w:lang w:val="es-ES"/>
              </w:rPr>
              <w:t>the</w:t>
            </w:r>
            <w:proofErr w:type="spellEnd"/>
            <w:r>
              <w:rPr>
                <w:color w:val="000000"/>
                <w:spacing w:val="-3"/>
                <w:sz w:val="22"/>
                <w:szCs w:val="22"/>
                <w:lang w:val="es-ES"/>
              </w:rPr>
              <w:t xml:space="preserve"> </w:t>
            </w:r>
            <w:proofErr w:type="spellStart"/>
            <w:r>
              <w:rPr>
                <w:color w:val="000000"/>
                <w:spacing w:val="-3"/>
                <w:sz w:val="22"/>
                <w:szCs w:val="22"/>
                <w:lang w:val="es-ES"/>
              </w:rPr>
              <w:t>aforementioned</w:t>
            </w:r>
            <w:proofErr w:type="spellEnd"/>
            <w:r>
              <w:rPr>
                <w:color w:val="000000"/>
                <w:spacing w:val="-3"/>
                <w:sz w:val="22"/>
                <w:szCs w:val="22"/>
                <w:lang w:val="es-ES"/>
              </w:rPr>
              <w:t xml:space="preserve"> </w:t>
            </w:r>
            <w:proofErr w:type="spellStart"/>
            <w:r>
              <w:rPr>
                <w:color w:val="000000"/>
                <w:spacing w:val="-3"/>
                <w:sz w:val="22"/>
                <w:szCs w:val="22"/>
                <w:lang w:val="es-ES"/>
              </w:rPr>
              <w:t>documentation</w:t>
            </w:r>
            <w:proofErr w:type="spellEnd"/>
            <w:r>
              <w:rPr>
                <w:color w:val="000000"/>
                <w:spacing w:val="-3"/>
                <w:sz w:val="22"/>
                <w:szCs w:val="22"/>
                <w:lang w:val="es-ES"/>
              </w:rPr>
              <w:t xml:space="preserve"> (c </w:t>
            </w:r>
            <w:proofErr w:type="spellStart"/>
            <w:r>
              <w:rPr>
                <w:color w:val="000000"/>
                <w:spacing w:val="-3"/>
                <w:sz w:val="22"/>
                <w:szCs w:val="22"/>
                <w:lang w:val="es-ES"/>
              </w:rPr>
              <w:t>to</w:t>
            </w:r>
            <w:proofErr w:type="spellEnd"/>
            <w:r>
              <w:rPr>
                <w:color w:val="000000"/>
                <w:spacing w:val="-3"/>
                <w:sz w:val="22"/>
                <w:szCs w:val="22"/>
                <w:lang w:val="es-ES"/>
              </w:rPr>
              <w:t xml:space="preserve"> g) </w:t>
            </w:r>
            <w:proofErr w:type="spellStart"/>
            <w:r>
              <w:rPr>
                <w:color w:val="000000"/>
                <w:spacing w:val="-3"/>
                <w:sz w:val="22"/>
                <w:szCs w:val="22"/>
                <w:lang w:val="es-ES"/>
              </w:rPr>
              <w:t>within</w:t>
            </w:r>
            <w:proofErr w:type="spellEnd"/>
            <w:r>
              <w:rPr>
                <w:color w:val="000000"/>
                <w:spacing w:val="-3"/>
                <w:sz w:val="22"/>
                <w:szCs w:val="22"/>
                <w:lang w:val="es-ES"/>
              </w:rPr>
              <w:t xml:space="preserve"> </w:t>
            </w:r>
            <w:proofErr w:type="spellStart"/>
            <w:r>
              <w:rPr>
                <w:color w:val="000000"/>
                <w:spacing w:val="-3"/>
                <w:sz w:val="22"/>
                <w:szCs w:val="22"/>
                <w:lang w:val="es-ES"/>
              </w:rPr>
              <w:t>the</w:t>
            </w:r>
            <w:proofErr w:type="spellEnd"/>
            <w:r>
              <w:rPr>
                <w:color w:val="000000"/>
                <w:spacing w:val="-3"/>
                <w:sz w:val="22"/>
                <w:szCs w:val="22"/>
                <w:lang w:val="es-ES"/>
              </w:rPr>
              <w:t xml:space="preserve"> </w:t>
            </w:r>
            <w:proofErr w:type="spellStart"/>
            <w:r>
              <w:rPr>
                <w:color w:val="000000"/>
                <w:spacing w:val="-3"/>
                <w:sz w:val="22"/>
                <w:szCs w:val="22"/>
                <w:lang w:val="es-ES"/>
              </w:rPr>
              <w:t>deadlines</w:t>
            </w:r>
            <w:proofErr w:type="spellEnd"/>
            <w:r>
              <w:rPr>
                <w:color w:val="000000"/>
                <w:spacing w:val="-3"/>
                <w:sz w:val="22"/>
                <w:szCs w:val="22"/>
                <w:lang w:val="es-ES"/>
              </w:rPr>
              <w:t xml:space="preserve"> </w:t>
            </w:r>
            <w:proofErr w:type="spellStart"/>
            <w:r>
              <w:rPr>
                <w:color w:val="000000"/>
                <w:spacing w:val="-3"/>
                <w:sz w:val="22"/>
                <w:szCs w:val="22"/>
                <w:lang w:val="es-ES"/>
              </w:rPr>
              <w:t>established</w:t>
            </w:r>
            <w:proofErr w:type="spellEnd"/>
            <w:r>
              <w:rPr>
                <w:color w:val="000000"/>
                <w:spacing w:val="-3"/>
                <w:sz w:val="22"/>
                <w:szCs w:val="22"/>
                <w:lang w:val="es-ES"/>
              </w:rPr>
              <w:t xml:space="preserve"> in </w:t>
            </w:r>
            <w:proofErr w:type="spellStart"/>
            <w:r>
              <w:rPr>
                <w:color w:val="000000"/>
                <w:spacing w:val="-3"/>
                <w:sz w:val="22"/>
                <w:szCs w:val="22"/>
                <w:lang w:val="es-ES"/>
              </w:rPr>
              <w:t>the</w:t>
            </w:r>
            <w:proofErr w:type="spellEnd"/>
            <w:r>
              <w:rPr>
                <w:color w:val="000000"/>
                <w:spacing w:val="-3"/>
                <w:sz w:val="22"/>
                <w:szCs w:val="22"/>
                <w:lang w:val="es-ES"/>
              </w:rPr>
              <w:t xml:space="preserve"> </w:t>
            </w:r>
            <w:proofErr w:type="spellStart"/>
            <w:r>
              <w:rPr>
                <w:color w:val="000000"/>
                <w:spacing w:val="-3"/>
                <w:sz w:val="22"/>
                <w:szCs w:val="22"/>
                <w:lang w:val="es-ES"/>
              </w:rPr>
              <w:t>award</w:t>
            </w:r>
            <w:proofErr w:type="spellEnd"/>
            <w:r>
              <w:rPr>
                <w:color w:val="000000"/>
                <w:spacing w:val="-3"/>
                <w:sz w:val="22"/>
                <w:szCs w:val="22"/>
                <w:lang w:val="es-ES"/>
              </w:rPr>
              <w:t xml:space="preserve"> </w:t>
            </w:r>
            <w:proofErr w:type="spellStart"/>
            <w:r>
              <w:rPr>
                <w:color w:val="000000"/>
                <w:spacing w:val="-3"/>
                <w:sz w:val="22"/>
                <w:szCs w:val="22"/>
                <w:lang w:val="es-ES"/>
              </w:rPr>
              <w:t>notification</w:t>
            </w:r>
            <w:proofErr w:type="spellEnd"/>
            <w:r>
              <w:rPr>
                <w:color w:val="000000"/>
                <w:spacing w:val="-3"/>
                <w:sz w:val="22"/>
                <w:szCs w:val="22"/>
                <w:lang w:val="es-ES"/>
              </w:rPr>
              <w:t xml:space="preserve">, </w:t>
            </w:r>
            <w:proofErr w:type="spellStart"/>
            <w:r>
              <w:rPr>
                <w:color w:val="000000"/>
                <w:spacing w:val="-3"/>
                <w:sz w:val="22"/>
                <w:szCs w:val="22"/>
                <w:lang w:val="es-ES"/>
              </w:rPr>
              <w:t>to</w:t>
            </w:r>
            <w:proofErr w:type="spellEnd"/>
            <w:r>
              <w:rPr>
                <w:color w:val="000000"/>
                <w:spacing w:val="-3"/>
                <w:sz w:val="22"/>
                <w:szCs w:val="22"/>
                <w:lang w:val="es-ES"/>
              </w:rPr>
              <w:t xml:space="preserve"> </w:t>
            </w:r>
            <w:proofErr w:type="spellStart"/>
            <w:r>
              <w:rPr>
                <w:color w:val="000000"/>
                <w:spacing w:val="-3"/>
                <w:sz w:val="22"/>
                <w:szCs w:val="22"/>
                <w:lang w:val="es-ES"/>
              </w:rPr>
              <w:t>the</w:t>
            </w:r>
            <w:proofErr w:type="spellEnd"/>
            <w:r>
              <w:rPr>
                <w:color w:val="000000"/>
                <w:spacing w:val="-3"/>
                <w:sz w:val="22"/>
                <w:szCs w:val="22"/>
                <w:lang w:val="es-ES"/>
              </w:rPr>
              <w:t xml:space="preserve"> OSE Bidding Office</w:t>
            </w:r>
          </w:p>
        </w:tc>
      </w:tr>
      <w:tr w:rsidR="00E255F4" w14:paraId="5FB54AE8" w14:textId="77777777">
        <w:tc>
          <w:tcPr>
            <w:tcW w:w="730" w:type="dxa"/>
            <w:tcBorders>
              <w:top w:val="single" w:sz="4" w:space="0" w:color="000000"/>
              <w:left w:val="single" w:sz="4" w:space="0" w:color="000000"/>
              <w:bottom w:val="single" w:sz="4" w:space="0" w:color="000000"/>
              <w:right w:val="single" w:sz="4" w:space="0" w:color="000000"/>
            </w:tcBorders>
          </w:tcPr>
          <w:p w14:paraId="02672D58" w14:textId="77777777" w:rsidR="00E255F4" w:rsidRDefault="00000000">
            <w:pPr>
              <w:jc w:val="both"/>
              <w:rPr>
                <w:rFonts w:eastAsia="Palatino Linotype"/>
                <w:b/>
                <w:sz w:val="22"/>
                <w:highlight w:val="yellow"/>
              </w:rPr>
            </w:pPr>
            <w:r>
              <w:rPr>
                <w:rFonts w:eastAsia="Palatino Linotype"/>
                <w:b/>
                <w:spacing w:val="-1"/>
                <w:sz w:val="22"/>
              </w:rPr>
              <w:lastRenderedPageBreak/>
              <w:t>1</w:t>
            </w:r>
            <w:r>
              <w:rPr>
                <w:rFonts w:eastAsia="Palatino Linotype"/>
                <w:b/>
                <w:sz w:val="22"/>
              </w:rPr>
              <w:t>8</w:t>
            </w:r>
            <w:r>
              <w:rPr>
                <w:rFonts w:eastAsia="Palatino Linotype"/>
                <w:b/>
                <w:spacing w:val="-2"/>
                <w:sz w:val="22"/>
              </w:rPr>
              <w:t xml:space="preserve"> </w:t>
            </w:r>
            <w:r>
              <w:rPr>
                <w:rFonts w:eastAsia="Palatino Linotype"/>
                <w:b/>
                <w:spacing w:val="-2"/>
                <w:sz w:val="22"/>
              </w:rPr>
              <w:tab/>
            </w:r>
          </w:p>
        </w:tc>
        <w:tc>
          <w:tcPr>
            <w:tcW w:w="9048" w:type="dxa"/>
            <w:tcBorders>
              <w:top w:val="single" w:sz="4" w:space="0" w:color="000000"/>
              <w:left w:val="single" w:sz="4" w:space="0" w:color="000000"/>
              <w:bottom w:val="single" w:sz="4" w:space="0" w:color="000000"/>
              <w:right w:val="single" w:sz="4" w:space="0" w:color="000000"/>
            </w:tcBorders>
          </w:tcPr>
          <w:p w14:paraId="4B434C7B" w14:textId="77777777" w:rsidR="00E255F4" w:rsidRDefault="00000000">
            <w:pPr>
              <w:jc w:val="both"/>
            </w:pPr>
            <w:proofErr w:type="spellStart"/>
            <w:r>
              <w:rPr>
                <w:rFonts w:eastAsia="Palatino Linotype"/>
                <w:b/>
                <w:spacing w:val="-1"/>
                <w:sz w:val="22"/>
              </w:rPr>
              <w:t>Improvement</w:t>
            </w:r>
            <w:r>
              <w:rPr>
                <w:rFonts w:eastAsia="Palatino Linotype"/>
                <w:b/>
                <w:sz w:val="22"/>
              </w:rPr>
              <w:t>or</w:t>
            </w:r>
            <w:proofErr w:type="spellEnd"/>
            <w:r>
              <w:rPr>
                <w:rFonts w:eastAsia="Palatino Linotype"/>
                <w:b/>
                <w:sz w:val="22"/>
              </w:rPr>
              <w:t xml:space="preserve"> </w:t>
            </w:r>
            <w:proofErr w:type="spellStart"/>
            <w:r>
              <w:rPr>
                <w:rFonts w:eastAsia="Palatino Linotype"/>
                <w:b/>
                <w:sz w:val="22"/>
              </w:rPr>
              <w:t>of</w:t>
            </w:r>
            <w:proofErr w:type="spellEnd"/>
            <w:r>
              <w:rPr>
                <w:rFonts w:eastAsia="Palatino Linotype"/>
                <w:b/>
                <w:sz w:val="22"/>
              </w:rPr>
              <w:t xml:space="preserve"> </w:t>
            </w:r>
            <w:proofErr w:type="spellStart"/>
            <w:r>
              <w:rPr>
                <w:rFonts w:eastAsia="Palatino Linotype"/>
                <w:b/>
                <w:sz w:val="22"/>
              </w:rPr>
              <w:t>the</w:t>
            </w:r>
            <w:proofErr w:type="spellEnd"/>
            <w:r>
              <w:rPr>
                <w:rFonts w:eastAsia="Palatino Linotype"/>
                <w:b/>
                <w:sz w:val="22"/>
              </w:rPr>
              <w:t xml:space="preserve"> </w:t>
            </w:r>
            <w:proofErr w:type="spellStart"/>
            <w:r>
              <w:rPr>
                <w:rFonts w:eastAsia="Palatino Linotype"/>
                <w:b/>
                <w:sz w:val="22"/>
              </w:rPr>
              <w:t>contract</w:t>
            </w:r>
            <w:proofErr w:type="spellEnd"/>
          </w:p>
          <w:p w14:paraId="6FD9D769" w14:textId="77777777" w:rsidR="00E255F4" w:rsidRDefault="00000000">
            <w:pPr>
              <w:jc w:val="both"/>
              <w:rPr>
                <w:rFonts w:eastAsia="Palatino Linotype"/>
                <w:spacing w:val="-1"/>
                <w:sz w:val="22"/>
              </w:rPr>
            </w:pPr>
            <w:proofErr w:type="spellStart"/>
            <w:r>
              <w:rPr>
                <w:rFonts w:eastAsia="Palatino Linotype"/>
                <w:spacing w:val="-1"/>
                <w:sz w:val="22"/>
              </w:rPr>
              <w:t>It</w:t>
            </w:r>
            <w:proofErr w:type="spellEnd"/>
            <w:r>
              <w:rPr>
                <w:rFonts w:eastAsia="Palatino Linotype"/>
                <w:spacing w:val="-1"/>
                <w:sz w:val="22"/>
              </w:rPr>
              <w:t xml:space="preserve"> </w:t>
            </w:r>
            <w:proofErr w:type="spellStart"/>
            <w:r>
              <w:rPr>
                <w:rFonts w:eastAsia="Palatino Linotype"/>
                <w:spacing w:val="-1"/>
                <w:sz w:val="22"/>
              </w:rPr>
              <w:t>is</w:t>
            </w:r>
            <w:proofErr w:type="spellEnd"/>
            <w:r>
              <w:rPr>
                <w:rFonts w:eastAsia="Palatino Linotype"/>
                <w:spacing w:val="-1"/>
                <w:sz w:val="22"/>
              </w:rPr>
              <w:t xml:space="preserve"> </w:t>
            </w:r>
            <w:proofErr w:type="spellStart"/>
            <w:r>
              <w:rPr>
                <w:rFonts w:eastAsia="Palatino Linotype"/>
                <w:spacing w:val="-1"/>
                <w:sz w:val="22"/>
              </w:rPr>
              <w:t>added</w:t>
            </w:r>
            <w:proofErr w:type="spellEnd"/>
            <w:r>
              <w:rPr>
                <w:rFonts w:eastAsia="Palatino Linotype"/>
                <w:spacing w:val="-1"/>
                <w:sz w:val="22"/>
              </w:rPr>
              <w:t>:</w:t>
            </w:r>
          </w:p>
          <w:p w14:paraId="1329C7FD" w14:textId="77777777" w:rsidR="00E255F4" w:rsidRDefault="00E255F4">
            <w:pPr>
              <w:jc w:val="both"/>
              <w:rPr>
                <w:rFonts w:eastAsia="Palatino Linotype"/>
                <w:spacing w:val="-1"/>
                <w:sz w:val="22"/>
              </w:rPr>
            </w:pPr>
          </w:p>
          <w:p w14:paraId="44E9FDAA" w14:textId="77777777" w:rsidR="00E255F4" w:rsidRDefault="00000000">
            <w:pPr>
              <w:jc w:val="both"/>
              <w:rPr>
                <w:rFonts w:eastAsia="Palatino Linotype"/>
                <w:b/>
                <w:spacing w:val="-1"/>
                <w:position w:val="1"/>
                <w:sz w:val="22"/>
                <w:szCs w:val="22"/>
              </w:rPr>
            </w:pPr>
            <w:r>
              <w:rPr>
                <w:rFonts w:eastAsia="Calibri"/>
                <w:sz w:val="22"/>
              </w:rPr>
              <w:t xml:space="preserve">The </w:t>
            </w:r>
            <w:proofErr w:type="spellStart"/>
            <w:r>
              <w:rPr>
                <w:rFonts w:eastAsia="Calibri"/>
                <w:sz w:val="22"/>
              </w:rPr>
              <w:t>contract</w:t>
            </w:r>
            <w:proofErr w:type="spellEnd"/>
            <w:r>
              <w:rPr>
                <w:rFonts w:eastAsia="Calibri"/>
                <w:sz w:val="22"/>
              </w:rPr>
              <w:t xml:space="preserve"> </w:t>
            </w:r>
            <w:proofErr w:type="spellStart"/>
            <w:r>
              <w:rPr>
                <w:rFonts w:eastAsia="Calibri"/>
                <w:sz w:val="22"/>
              </w:rPr>
              <w:t>is</w:t>
            </w:r>
            <w:proofErr w:type="spellEnd"/>
            <w:r>
              <w:rPr>
                <w:rFonts w:eastAsia="Calibri"/>
                <w:sz w:val="22"/>
              </w:rPr>
              <w:t xml:space="preserve"> </w:t>
            </w:r>
            <w:proofErr w:type="spellStart"/>
            <w:r>
              <w:rPr>
                <w:rFonts w:eastAsia="Calibri"/>
                <w:sz w:val="22"/>
              </w:rPr>
              <w:t>considered</w:t>
            </w:r>
            <w:proofErr w:type="spellEnd"/>
            <w:r>
              <w:rPr>
                <w:rFonts w:eastAsia="Calibri"/>
                <w:sz w:val="22"/>
              </w:rPr>
              <w:t xml:space="preserve"> </w:t>
            </w:r>
            <w:proofErr w:type="spellStart"/>
            <w:r>
              <w:rPr>
                <w:rFonts w:eastAsia="Calibri"/>
                <w:sz w:val="22"/>
              </w:rPr>
              <w:t>finalized</w:t>
            </w:r>
            <w:proofErr w:type="spellEnd"/>
            <w:r>
              <w:rPr>
                <w:rFonts w:eastAsia="Calibri"/>
                <w:sz w:val="22"/>
              </w:rPr>
              <w:t xml:space="preserve"> </w:t>
            </w:r>
            <w:proofErr w:type="spellStart"/>
            <w:r>
              <w:rPr>
                <w:rFonts w:eastAsia="Calibri"/>
                <w:sz w:val="22"/>
              </w:rPr>
              <w:t>upon</w:t>
            </w:r>
            <w:proofErr w:type="spellEnd"/>
            <w:r>
              <w:rPr>
                <w:rFonts w:eastAsia="Calibri"/>
                <w:sz w:val="22"/>
              </w:rPr>
              <w:t xml:space="preserve"> </w:t>
            </w:r>
            <w:proofErr w:type="spellStart"/>
            <w:r>
              <w:rPr>
                <w:rFonts w:eastAsia="Calibri"/>
                <w:sz w:val="22"/>
              </w:rPr>
              <w:t>notification</w:t>
            </w:r>
            <w:proofErr w:type="spellEnd"/>
            <w:r>
              <w:rPr>
                <w:rFonts w:eastAsia="Calibri"/>
                <w:sz w:val="22"/>
              </w:rPr>
              <w:t xml:space="preserve"> </w:t>
            </w:r>
            <w:proofErr w:type="spellStart"/>
            <w:r>
              <w:rPr>
                <w:rFonts w:eastAsia="Calibri"/>
                <w:sz w:val="22"/>
              </w:rPr>
              <w:t>of</w:t>
            </w:r>
            <w:proofErr w:type="spellEnd"/>
            <w:r>
              <w:rPr>
                <w:rFonts w:eastAsia="Calibri"/>
                <w:sz w:val="22"/>
              </w:rPr>
              <w:t xml:space="preserve"> </w:t>
            </w:r>
            <w:proofErr w:type="spellStart"/>
            <w:r>
              <w:rPr>
                <w:rFonts w:eastAsia="Calibri"/>
                <w:sz w:val="22"/>
              </w:rPr>
              <w:t>the</w:t>
            </w:r>
            <w:proofErr w:type="spellEnd"/>
            <w:r>
              <w:rPr>
                <w:rFonts w:eastAsia="Calibri"/>
                <w:sz w:val="22"/>
              </w:rPr>
              <w:t xml:space="preserve"> </w:t>
            </w:r>
            <w:proofErr w:type="spellStart"/>
            <w:r>
              <w:rPr>
                <w:rFonts w:eastAsia="Calibri"/>
                <w:sz w:val="22"/>
              </w:rPr>
              <w:t>purchase</w:t>
            </w:r>
            <w:proofErr w:type="spellEnd"/>
            <w:r>
              <w:rPr>
                <w:rFonts w:eastAsia="Calibri"/>
                <w:sz w:val="22"/>
              </w:rPr>
              <w:t xml:space="preserve"> </w:t>
            </w:r>
            <w:proofErr w:type="spellStart"/>
            <w:r>
              <w:rPr>
                <w:rFonts w:eastAsia="Calibri"/>
                <w:sz w:val="22"/>
              </w:rPr>
              <w:t>order</w:t>
            </w:r>
            <w:proofErr w:type="spellEnd"/>
            <w:r>
              <w:rPr>
                <w:rFonts w:eastAsia="Calibri"/>
                <w:sz w:val="22"/>
              </w:rPr>
              <w:t xml:space="preserve"> </w:t>
            </w:r>
            <w:proofErr w:type="spellStart"/>
            <w:r>
              <w:rPr>
                <w:rFonts w:eastAsia="Calibri"/>
                <w:sz w:val="22"/>
              </w:rPr>
              <w:t>number</w:t>
            </w:r>
            <w:proofErr w:type="spellEnd"/>
            <w:r>
              <w:rPr>
                <w:rFonts w:eastAsia="Calibri"/>
                <w:sz w:val="22"/>
              </w:rPr>
              <w:t xml:space="preserve">. </w:t>
            </w:r>
            <w:proofErr w:type="spellStart"/>
            <w:r>
              <w:rPr>
                <w:rFonts w:eastAsia="Calibri"/>
                <w:sz w:val="22"/>
              </w:rPr>
              <w:t>This</w:t>
            </w:r>
            <w:proofErr w:type="spellEnd"/>
            <w:r>
              <w:rPr>
                <w:rFonts w:eastAsia="Calibri"/>
                <w:sz w:val="22"/>
              </w:rPr>
              <w:t xml:space="preserve"> </w:t>
            </w:r>
            <w:proofErr w:type="spellStart"/>
            <w:r>
              <w:rPr>
                <w:rFonts w:eastAsia="Calibri"/>
                <w:sz w:val="22"/>
              </w:rPr>
              <w:t>notification</w:t>
            </w:r>
            <w:proofErr w:type="spellEnd"/>
            <w:r>
              <w:rPr>
                <w:rFonts w:eastAsia="Calibri"/>
                <w:sz w:val="22"/>
              </w:rPr>
              <w:t xml:space="preserve"> </w:t>
            </w:r>
            <w:proofErr w:type="spellStart"/>
            <w:r>
              <w:rPr>
                <w:rFonts w:eastAsia="Calibri"/>
                <w:sz w:val="22"/>
              </w:rPr>
              <w:t>will</w:t>
            </w:r>
            <w:proofErr w:type="spellEnd"/>
            <w:r>
              <w:rPr>
                <w:rFonts w:eastAsia="Calibri"/>
                <w:sz w:val="22"/>
              </w:rPr>
              <w:t xml:space="preserve"> be </w:t>
            </w:r>
            <w:proofErr w:type="spellStart"/>
            <w:r>
              <w:rPr>
                <w:rFonts w:eastAsia="Calibri"/>
                <w:sz w:val="22"/>
              </w:rPr>
              <w:t>made</w:t>
            </w:r>
            <w:proofErr w:type="spellEnd"/>
            <w:r>
              <w:rPr>
                <w:rFonts w:eastAsia="Calibri"/>
                <w:sz w:val="22"/>
              </w:rPr>
              <w:t xml:space="preserve"> once </w:t>
            </w:r>
            <w:proofErr w:type="spellStart"/>
            <w:r>
              <w:rPr>
                <w:rFonts w:eastAsia="Calibri"/>
                <w:sz w:val="22"/>
              </w:rPr>
              <w:t>the</w:t>
            </w:r>
            <w:proofErr w:type="spellEnd"/>
            <w:r>
              <w:rPr>
                <w:rFonts w:eastAsia="Calibri"/>
                <w:sz w:val="22"/>
              </w:rPr>
              <w:t xml:space="preserve"> </w:t>
            </w:r>
            <w:proofErr w:type="spellStart"/>
            <w:r>
              <w:rPr>
                <w:rFonts w:eastAsia="Calibri"/>
                <w:sz w:val="22"/>
              </w:rPr>
              <w:t>relevant</w:t>
            </w:r>
            <w:proofErr w:type="spellEnd"/>
            <w:r>
              <w:rPr>
                <w:rFonts w:eastAsia="Calibri"/>
                <w:sz w:val="22"/>
              </w:rPr>
              <w:t xml:space="preserve"> </w:t>
            </w:r>
            <w:proofErr w:type="spellStart"/>
            <w:r>
              <w:rPr>
                <w:rFonts w:eastAsia="Calibri"/>
                <w:sz w:val="22"/>
              </w:rPr>
              <w:t>guarantees</w:t>
            </w:r>
            <w:proofErr w:type="spellEnd"/>
            <w:r>
              <w:rPr>
                <w:rFonts w:eastAsia="Calibri"/>
                <w:sz w:val="22"/>
              </w:rPr>
              <w:t xml:space="preserve"> </w:t>
            </w:r>
            <w:proofErr w:type="spellStart"/>
            <w:r>
              <w:rPr>
                <w:rFonts w:eastAsia="Calibri"/>
                <w:sz w:val="22"/>
              </w:rPr>
              <w:t>have</w:t>
            </w:r>
            <w:proofErr w:type="spellEnd"/>
            <w:r>
              <w:rPr>
                <w:rFonts w:eastAsia="Calibri"/>
                <w:sz w:val="22"/>
              </w:rPr>
              <w:t xml:space="preserve"> </w:t>
            </w:r>
            <w:proofErr w:type="spellStart"/>
            <w:r>
              <w:rPr>
                <w:rFonts w:eastAsia="Calibri"/>
                <w:sz w:val="22"/>
              </w:rPr>
              <w:t>been</w:t>
            </w:r>
            <w:proofErr w:type="spellEnd"/>
            <w:r>
              <w:rPr>
                <w:rFonts w:eastAsia="Calibri"/>
                <w:sz w:val="22"/>
              </w:rPr>
              <w:t xml:space="preserve"> </w:t>
            </w:r>
            <w:proofErr w:type="spellStart"/>
            <w:r>
              <w:rPr>
                <w:rFonts w:eastAsia="Calibri"/>
                <w:sz w:val="22"/>
              </w:rPr>
              <w:t>established</w:t>
            </w:r>
            <w:proofErr w:type="spellEnd"/>
            <w:r>
              <w:rPr>
                <w:rFonts w:eastAsia="Calibri"/>
                <w:sz w:val="22"/>
              </w:rPr>
              <w:t xml:space="preserve"> and </w:t>
            </w:r>
            <w:proofErr w:type="spellStart"/>
            <w:r>
              <w:rPr>
                <w:rFonts w:eastAsia="Calibri"/>
                <w:sz w:val="22"/>
              </w:rPr>
              <w:t>the</w:t>
            </w:r>
            <w:proofErr w:type="spellEnd"/>
            <w:r>
              <w:rPr>
                <w:rFonts w:eastAsia="Calibri"/>
                <w:sz w:val="22"/>
              </w:rPr>
              <w:t xml:space="preserve"> legal </w:t>
            </w:r>
            <w:proofErr w:type="spellStart"/>
            <w:r>
              <w:rPr>
                <w:rFonts w:eastAsia="Calibri"/>
                <w:sz w:val="22"/>
              </w:rPr>
              <w:t>documentation</w:t>
            </w:r>
            <w:proofErr w:type="spellEnd"/>
            <w:r>
              <w:rPr>
                <w:rFonts w:eastAsia="Calibri"/>
                <w:sz w:val="22"/>
              </w:rPr>
              <w:t xml:space="preserve"> </w:t>
            </w:r>
            <w:proofErr w:type="spellStart"/>
            <w:r>
              <w:rPr>
                <w:rFonts w:eastAsia="Calibri"/>
                <w:sz w:val="22"/>
              </w:rPr>
              <w:t>required</w:t>
            </w:r>
            <w:proofErr w:type="spellEnd"/>
            <w:r>
              <w:rPr>
                <w:rFonts w:eastAsia="Calibri"/>
                <w:sz w:val="22"/>
              </w:rPr>
              <w:t xml:space="preserve"> </w:t>
            </w:r>
            <w:proofErr w:type="spellStart"/>
            <w:r>
              <w:rPr>
                <w:rFonts w:eastAsia="Calibri"/>
                <w:sz w:val="22"/>
              </w:rPr>
              <w:t>for</w:t>
            </w:r>
            <w:proofErr w:type="spellEnd"/>
            <w:r>
              <w:rPr>
                <w:rFonts w:eastAsia="Calibri"/>
                <w:sz w:val="22"/>
              </w:rPr>
              <w:t xml:space="preserve"> </w:t>
            </w:r>
            <w:proofErr w:type="spellStart"/>
            <w:r>
              <w:rPr>
                <w:rFonts w:eastAsia="Calibri"/>
                <w:sz w:val="22"/>
              </w:rPr>
              <w:t>contracting</w:t>
            </w:r>
            <w:proofErr w:type="spellEnd"/>
            <w:r>
              <w:rPr>
                <w:rFonts w:eastAsia="Calibri"/>
                <w:sz w:val="22"/>
              </w:rPr>
              <w:t xml:space="preserve"> </w:t>
            </w:r>
            <w:proofErr w:type="spellStart"/>
            <w:r>
              <w:rPr>
                <w:rFonts w:eastAsia="Calibri"/>
                <w:sz w:val="22"/>
              </w:rPr>
              <w:t>with</w:t>
            </w:r>
            <w:proofErr w:type="spellEnd"/>
            <w:r>
              <w:rPr>
                <w:rFonts w:eastAsia="Calibri"/>
                <w:sz w:val="22"/>
              </w:rPr>
              <w:t xml:space="preserve"> </w:t>
            </w:r>
            <w:proofErr w:type="spellStart"/>
            <w:r>
              <w:rPr>
                <w:rFonts w:eastAsia="Calibri"/>
                <w:sz w:val="22"/>
              </w:rPr>
              <w:t>the</w:t>
            </w:r>
            <w:proofErr w:type="spellEnd"/>
            <w:r>
              <w:rPr>
                <w:rFonts w:eastAsia="Calibri"/>
                <w:sz w:val="22"/>
              </w:rPr>
              <w:t xml:space="preserve"> State has </w:t>
            </w:r>
            <w:proofErr w:type="spellStart"/>
            <w:r>
              <w:rPr>
                <w:rFonts w:eastAsia="Calibri"/>
                <w:sz w:val="22"/>
              </w:rPr>
              <w:t>been</w:t>
            </w:r>
            <w:proofErr w:type="spellEnd"/>
            <w:r>
              <w:rPr>
                <w:rFonts w:eastAsia="Calibri"/>
                <w:sz w:val="22"/>
              </w:rPr>
              <w:t xml:space="preserve"> </w:t>
            </w:r>
            <w:proofErr w:type="spellStart"/>
            <w:r>
              <w:rPr>
                <w:rFonts w:eastAsia="Calibri"/>
                <w:sz w:val="22"/>
              </w:rPr>
              <w:t>submitted</w:t>
            </w:r>
            <w:proofErr w:type="spellEnd"/>
            <w:r>
              <w:rPr>
                <w:rFonts w:eastAsia="Calibri"/>
                <w:sz w:val="22"/>
              </w:rPr>
              <w:t>.</w:t>
            </w:r>
          </w:p>
        </w:tc>
      </w:tr>
      <w:tr w:rsidR="00E255F4" w14:paraId="431B20EE" w14:textId="77777777">
        <w:tc>
          <w:tcPr>
            <w:tcW w:w="730" w:type="dxa"/>
            <w:tcBorders>
              <w:top w:val="single" w:sz="4" w:space="0" w:color="000000"/>
              <w:left w:val="single" w:sz="4" w:space="0" w:color="000000"/>
              <w:bottom w:val="single" w:sz="4" w:space="0" w:color="000000"/>
              <w:right w:val="single" w:sz="4" w:space="0" w:color="000000"/>
            </w:tcBorders>
          </w:tcPr>
          <w:p w14:paraId="4907928D" w14:textId="77777777" w:rsidR="00E255F4" w:rsidRDefault="00000000">
            <w:pPr>
              <w:ind w:right="-36"/>
              <w:rPr>
                <w:rFonts w:eastAsia="Palatino Linotype"/>
                <w:b/>
                <w:sz w:val="22"/>
                <w:szCs w:val="22"/>
                <w:lang w:val="es-ES"/>
              </w:rPr>
            </w:pPr>
            <w:r>
              <w:rPr>
                <w:rFonts w:eastAsia="Palatino Linotype"/>
                <w:b/>
                <w:sz w:val="22"/>
                <w:szCs w:val="22"/>
                <w:lang w:val="es-ES"/>
              </w:rPr>
              <w:t>19.1</w:t>
            </w:r>
          </w:p>
        </w:tc>
        <w:tc>
          <w:tcPr>
            <w:tcW w:w="9048" w:type="dxa"/>
            <w:tcBorders>
              <w:top w:val="single" w:sz="4" w:space="0" w:color="000000"/>
              <w:left w:val="single" w:sz="4" w:space="0" w:color="000000"/>
              <w:bottom w:val="single" w:sz="4" w:space="0" w:color="000000"/>
              <w:right w:val="single" w:sz="4" w:space="0" w:color="000000"/>
            </w:tcBorders>
          </w:tcPr>
          <w:p w14:paraId="428E171F" w14:textId="77777777" w:rsidR="00E255F4" w:rsidRDefault="00000000">
            <w:pPr>
              <w:jc w:val="both"/>
              <w:rPr>
                <w:rFonts w:eastAsia="Palatino Linotype"/>
                <w:b/>
                <w:spacing w:val="-1"/>
                <w:position w:val="1"/>
                <w:sz w:val="22"/>
                <w:lang w:val="es-ES"/>
              </w:rPr>
            </w:pPr>
            <w:proofErr w:type="spellStart"/>
            <w:r>
              <w:rPr>
                <w:rFonts w:eastAsia="Palatino Linotype"/>
                <w:b/>
                <w:spacing w:val="-1"/>
                <w:position w:val="1"/>
                <w:sz w:val="22"/>
                <w:lang w:val="es-ES"/>
              </w:rPr>
              <w:t>Guarantee</w:t>
            </w:r>
            <w:proofErr w:type="spellEnd"/>
            <w:r>
              <w:rPr>
                <w:rFonts w:eastAsia="Palatino Linotype"/>
                <w:b/>
                <w:spacing w:val="-1"/>
                <w:position w:val="1"/>
                <w:sz w:val="22"/>
                <w:lang w:val="es-ES"/>
              </w:rPr>
              <w:t xml:space="preserve"> </w:t>
            </w:r>
            <w:proofErr w:type="spellStart"/>
            <w:r>
              <w:rPr>
                <w:rFonts w:eastAsia="Palatino Linotype"/>
                <w:b/>
                <w:spacing w:val="-1"/>
                <w:position w:val="1"/>
                <w:sz w:val="22"/>
                <w:lang w:val="es-ES"/>
              </w:rPr>
              <w:t>of</w:t>
            </w:r>
            <w:proofErr w:type="spellEnd"/>
            <w:r>
              <w:rPr>
                <w:rFonts w:eastAsia="Palatino Linotype"/>
                <w:b/>
                <w:spacing w:val="-1"/>
                <w:position w:val="1"/>
                <w:sz w:val="22"/>
                <w:lang w:val="es-ES"/>
              </w:rPr>
              <w:t xml:space="preserve"> </w:t>
            </w:r>
            <w:proofErr w:type="spellStart"/>
            <w:r>
              <w:rPr>
                <w:rFonts w:eastAsia="Palatino Linotype"/>
                <w:b/>
                <w:spacing w:val="-1"/>
                <w:position w:val="1"/>
                <w:sz w:val="22"/>
                <w:lang w:val="es-ES"/>
              </w:rPr>
              <w:t>faithful</w:t>
            </w:r>
            <w:proofErr w:type="spellEnd"/>
            <w:r>
              <w:rPr>
                <w:rFonts w:eastAsia="Palatino Linotype"/>
                <w:b/>
                <w:spacing w:val="-1"/>
                <w:position w:val="1"/>
                <w:sz w:val="22"/>
                <w:lang w:val="es-ES"/>
              </w:rPr>
              <w:t xml:space="preserve"> performance </w:t>
            </w:r>
            <w:proofErr w:type="spellStart"/>
            <w:r>
              <w:rPr>
                <w:rFonts w:eastAsia="Palatino Linotype"/>
                <w:b/>
                <w:spacing w:val="-1"/>
                <w:position w:val="1"/>
                <w:sz w:val="22"/>
                <w:lang w:val="es-ES"/>
              </w:rPr>
              <w:t>of</w:t>
            </w:r>
            <w:proofErr w:type="spellEnd"/>
            <w:r>
              <w:rPr>
                <w:rFonts w:eastAsia="Palatino Linotype"/>
                <w:b/>
                <w:spacing w:val="-1"/>
                <w:position w:val="1"/>
                <w:sz w:val="22"/>
                <w:lang w:val="es-ES"/>
              </w:rPr>
              <w:t xml:space="preserve"> </w:t>
            </w:r>
            <w:proofErr w:type="spellStart"/>
            <w:r>
              <w:rPr>
                <w:rFonts w:eastAsia="Palatino Linotype"/>
                <w:b/>
                <w:spacing w:val="-1"/>
                <w:position w:val="1"/>
                <w:sz w:val="22"/>
                <w:lang w:val="es-ES"/>
              </w:rPr>
              <w:t>the</w:t>
            </w:r>
            <w:proofErr w:type="spellEnd"/>
            <w:r>
              <w:rPr>
                <w:rFonts w:eastAsia="Palatino Linotype"/>
                <w:b/>
                <w:spacing w:val="-1"/>
                <w:position w:val="1"/>
                <w:sz w:val="22"/>
                <w:lang w:val="es-ES"/>
              </w:rPr>
              <w:t xml:space="preserve"> </w:t>
            </w:r>
            <w:proofErr w:type="spellStart"/>
            <w:r>
              <w:rPr>
                <w:rFonts w:eastAsia="Palatino Linotype"/>
                <w:b/>
                <w:spacing w:val="-1"/>
                <w:position w:val="1"/>
                <w:sz w:val="22"/>
                <w:lang w:val="es-ES"/>
              </w:rPr>
              <w:t>contract</w:t>
            </w:r>
            <w:proofErr w:type="spellEnd"/>
            <w:r>
              <w:rPr>
                <w:rFonts w:eastAsia="Palatino Linotype"/>
                <w:b/>
                <w:spacing w:val="-1"/>
                <w:position w:val="1"/>
                <w:sz w:val="22"/>
                <w:lang w:val="es-ES"/>
              </w:rPr>
              <w:t xml:space="preserve"> - </w:t>
            </w:r>
            <w:proofErr w:type="spellStart"/>
            <w:r>
              <w:rPr>
                <w:rFonts w:eastAsia="Palatino Linotype"/>
                <w:b/>
                <w:spacing w:val="-1"/>
                <w:position w:val="1"/>
                <w:sz w:val="22"/>
                <w:lang w:val="es-ES"/>
              </w:rPr>
              <w:t>Constitution</w:t>
            </w:r>
            <w:proofErr w:type="spellEnd"/>
          </w:p>
          <w:p w14:paraId="6019C951" w14:textId="77777777" w:rsidR="00E255F4" w:rsidRDefault="00000000">
            <w:pPr>
              <w:jc w:val="both"/>
              <w:rPr>
                <w:rFonts w:eastAsia="Palatino Linotype"/>
                <w:b/>
                <w:spacing w:val="-1"/>
                <w:position w:val="1"/>
                <w:sz w:val="22"/>
                <w:szCs w:val="22"/>
                <w:lang w:val="es-ES"/>
              </w:rPr>
            </w:pPr>
            <w:proofErr w:type="spellStart"/>
            <w:r>
              <w:rPr>
                <w:rFonts w:eastAsia="Palatino Linotype"/>
                <w:b/>
                <w:spacing w:val="-1"/>
                <w:position w:val="1"/>
                <w:sz w:val="22"/>
                <w:szCs w:val="22"/>
                <w:lang w:val="es-ES"/>
              </w:rPr>
              <w:t>It</w:t>
            </w:r>
            <w:proofErr w:type="spellEnd"/>
            <w:r>
              <w:rPr>
                <w:rFonts w:eastAsia="Palatino Linotype"/>
                <w:b/>
                <w:spacing w:val="-1"/>
                <w:position w:val="1"/>
                <w:sz w:val="22"/>
                <w:szCs w:val="22"/>
                <w:lang w:val="es-ES"/>
              </w:rPr>
              <w:t xml:space="preserve"> </w:t>
            </w:r>
            <w:proofErr w:type="spellStart"/>
            <w:r>
              <w:rPr>
                <w:rFonts w:eastAsia="Palatino Linotype"/>
                <w:b/>
                <w:spacing w:val="-1"/>
                <w:position w:val="1"/>
                <w:sz w:val="22"/>
                <w:szCs w:val="22"/>
                <w:lang w:val="es-ES"/>
              </w:rPr>
              <w:t>is</w:t>
            </w:r>
            <w:proofErr w:type="spellEnd"/>
            <w:r>
              <w:rPr>
                <w:rFonts w:eastAsia="Palatino Linotype"/>
                <w:b/>
                <w:spacing w:val="-1"/>
                <w:position w:val="1"/>
                <w:sz w:val="22"/>
                <w:szCs w:val="22"/>
                <w:lang w:val="es-ES"/>
              </w:rPr>
              <w:t xml:space="preserve"> </w:t>
            </w:r>
            <w:proofErr w:type="spellStart"/>
            <w:r>
              <w:rPr>
                <w:rFonts w:eastAsia="Palatino Linotype"/>
                <w:b/>
                <w:spacing w:val="-1"/>
                <w:position w:val="1"/>
                <w:sz w:val="22"/>
                <w:szCs w:val="22"/>
                <w:lang w:val="es-ES"/>
              </w:rPr>
              <w:t>added</w:t>
            </w:r>
            <w:proofErr w:type="spellEnd"/>
            <w:r>
              <w:rPr>
                <w:rFonts w:eastAsia="Palatino Linotype"/>
                <w:b/>
                <w:spacing w:val="-1"/>
                <w:position w:val="1"/>
                <w:sz w:val="22"/>
                <w:szCs w:val="22"/>
                <w:lang w:val="es-ES"/>
              </w:rPr>
              <w:t>:</w:t>
            </w:r>
          </w:p>
          <w:p w14:paraId="584D0616" w14:textId="77777777" w:rsidR="00E255F4" w:rsidRDefault="00E255F4">
            <w:pPr>
              <w:jc w:val="both"/>
              <w:rPr>
                <w:rFonts w:eastAsia="Palatino Linotype"/>
                <w:b/>
                <w:spacing w:val="-1"/>
                <w:position w:val="1"/>
                <w:sz w:val="22"/>
                <w:szCs w:val="22"/>
                <w:lang w:val="es-ES"/>
              </w:rPr>
            </w:pPr>
          </w:p>
          <w:p w14:paraId="1DEF55C8" w14:textId="77777777" w:rsidR="00E255F4" w:rsidRDefault="00000000">
            <w:pPr>
              <w:jc w:val="both"/>
              <w:rPr>
                <w:rFonts w:eastAsia="Palatino Linotype"/>
                <w:spacing w:val="-1"/>
                <w:position w:val="1"/>
                <w:sz w:val="22"/>
                <w:szCs w:val="22"/>
                <w:lang w:val="es-ES"/>
              </w:rPr>
            </w:pPr>
            <w:r>
              <w:rPr>
                <w:rFonts w:eastAsia="Palatino Linotype"/>
                <w:spacing w:val="-1"/>
                <w:position w:val="1"/>
                <w:sz w:val="22"/>
                <w:szCs w:val="22"/>
                <w:lang w:val="es-ES"/>
              </w:rPr>
              <w:t xml:space="preserve">The </w:t>
            </w:r>
            <w:proofErr w:type="spellStart"/>
            <w:r>
              <w:rPr>
                <w:rFonts w:eastAsia="Palatino Linotype"/>
                <w:spacing w:val="-1"/>
                <w:position w:val="1"/>
                <w:sz w:val="22"/>
                <w:szCs w:val="22"/>
                <w:lang w:val="es-ES"/>
              </w:rPr>
              <w:t>Guarantee</w:t>
            </w:r>
            <w:proofErr w:type="spellEnd"/>
            <w:r>
              <w:rPr>
                <w:rFonts w:eastAsia="Palatino Linotype"/>
                <w:spacing w:val="-1"/>
                <w:position w:val="1"/>
                <w:sz w:val="22"/>
                <w:szCs w:val="22"/>
                <w:lang w:val="es-ES"/>
              </w:rPr>
              <w:t xml:space="preserve"> </w:t>
            </w:r>
            <w:proofErr w:type="spellStart"/>
            <w:r>
              <w:rPr>
                <w:rFonts w:eastAsia="Palatino Linotype"/>
                <w:spacing w:val="-1"/>
                <w:position w:val="1"/>
                <w:sz w:val="22"/>
                <w:szCs w:val="22"/>
                <w:lang w:val="es-ES"/>
              </w:rPr>
              <w:t>of</w:t>
            </w:r>
            <w:proofErr w:type="spellEnd"/>
            <w:r>
              <w:rPr>
                <w:rFonts w:eastAsia="Palatino Linotype"/>
                <w:spacing w:val="-1"/>
                <w:position w:val="1"/>
                <w:sz w:val="22"/>
                <w:szCs w:val="22"/>
                <w:lang w:val="es-ES"/>
              </w:rPr>
              <w:t xml:space="preserve"> </w:t>
            </w:r>
            <w:proofErr w:type="spellStart"/>
            <w:r>
              <w:rPr>
                <w:rFonts w:eastAsia="Palatino Linotype"/>
                <w:spacing w:val="-1"/>
                <w:position w:val="1"/>
                <w:sz w:val="22"/>
                <w:szCs w:val="22"/>
                <w:lang w:val="es-ES"/>
              </w:rPr>
              <w:t>faithful</w:t>
            </w:r>
            <w:proofErr w:type="spellEnd"/>
            <w:r>
              <w:rPr>
                <w:rFonts w:eastAsia="Palatino Linotype"/>
                <w:spacing w:val="-1"/>
                <w:position w:val="1"/>
                <w:sz w:val="22"/>
                <w:szCs w:val="22"/>
                <w:lang w:val="es-ES"/>
              </w:rPr>
              <w:t xml:space="preserve"> </w:t>
            </w:r>
            <w:proofErr w:type="spellStart"/>
            <w:r>
              <w:rPr>
                <w:rFonts w:eastAsia="Palatino Linotype"/>
                <w:spacing w:val="-1"/>
                <w:position w:val="1"/>
                <w:sz w:val="22"/>
                <w:szCs w:val="22"/>
                <w:lang w:val="es-ES"/>
              </w:rPr>
              <w:t>compliance</w:t>
            </w:r>
            <w:proofErr w:type="spellEnd"/>
            <w:r>
              <w:rPr>
                <w:rFonts w:eastAsia="Palatino Linotype"/>
                <w:spacing w:val="-1"/>
                <w:position w:val="1"/>
                <w:sz w:val="22"/>
                <w:szCs w:val="22"/>
                <w:lang w:val="es-ES"/>
              </w:rPr>
              <w:t xml:space="preserve"> </w:t>
            </w:r>
            <w:proofErr w:type="spellStart"/>
            <w:r>
              <w:rPr>
                <w:rFonts w:eastAsia="Palatino Linotype"/>
                <w:spacing w:val="-1"/>
                <w:position w:val="1"/>
                <w:sz w:val="22"/>
                <w:szCs w:val="22"/>
                <w:lang w:val="es-ES"/>
              </w:rPr>
              <w:t>with</w:t>
            </w:r>
            <w:proofErr w:type="spellEnd"/>
            <w:r>
              <w:rPr>
                <w:rFonts w:eastAsia="Palatino Linotype"/>
                <w:spacing w:val="-1"/>
                <w:position w:val="1"/>
                <w:sz w:val="22"/>
                <w:szCs w:val="22"/>
                <w:lang w:val="es-ES"/>
              </w:rPr>
              <w:t xml:space="preserve"> </w:t>
            </w:r>
            <w:proofErr w:type="spellStart"/>
            <w:r>
              <w:rPr>
                <w:rFonts w:eastAsia="Palatino Linotype"/>
                <w:spacing w:val="-1"/>
                <w:position w:val="1"/>
                <w:sz w:val="22"/>
                <w:szCs w:val="22"/>
                <w:lang w:val="es-ES"/>
              </w:rPr>
              <w:t>the</w:t>
            </w:r>
            <w:proofErr w:type="spellEnd"/>
            <w:r>
              <w:rPr>
                <w:rFonts w:eastAsia="Palatino Linotype"/>
                <w:spacing w:val="-1"/>
                <w:position w:val="1"/>
                <w:sz w:val="22"/>
                <w:szCs w:val="22"/>
                <w:lang w:val="es-ES"/>
              </w:rPr>
              <w:t xml:space="preserve"> </w:t>
            </w:r>
            <w:proofErr w:type="spellStart"/>
            <w:r>
              <w:rPr>
                <w:rFonts w:eastAsia="Palatino Linotype"/>
                <w:spacing w:val="-1"/>
                <w:position w:val="1"/>
                <w:sz w:val="22"/>
                <w:szCs w:val="22"/>
                <w:lang w:val="es-ES"/>
              </w:rPr>
              <w:t>contract</w:t>
            </w:r>
            <w:proofErr w:type="spellEnd"/>
            <w:r>
              <w:rPr>
                <w:rFonts w:eastAsia="Palatino Linotype"/>
                <w:spacing w:val="-1"/>
                <w:position w:val="1"/>
                <w:sz w:val="22"/>
                <w:szCs w:val="22"/>
                <w:lang w:val="es-ES"/>
              </w:rPr>
              <w:t xml:space="preserve"> </w:t>
            </w:r>
            <w:proofErr w:type="spellStart"/>
            <w:r>
              <w:rPr>
                <w:rFonts w:eastAsia="Palatino Linotype"/>
                <w:spacing w:val="-1"/>
                <w:position w:val="1"/>
                <w:sz w:val="22"/>
                <w:szCs w:val="22"/>
                <w:lang w:val="es-ES"/>
              </w:rPr>
              <w:t>will</w:t>
            </w:r>
            <w:proofErr w:type="spellEnd"/>
            <w:r>
              <w:rPr>
                <w:rFonts w:eastAsia="Palatino Linotype"/>
                <w:spacing w:val="-1"/>
                <w:position w:val="1"/>
                <w:sz w:val="22"/>
                <w:szCs w:val="22"/>
                <w:lang w:val="es-ES"/>
              </w:rPr>
              <w:t xml:space="preserve"> be </w:t>
            </w:r>
            <w:proofErr w:type="spellStart"/>
            <w:r>
              <w:rPr>
                <w:rFonts w:eastAsia="Palatino Linotype"/>
                <w:spacing w:val="-1"/>
                <w:position w:val="1"/>
                <w:sz w:val="22"/>
                <w:szCs w:val="22"/>
                <w:lang w:val="es-ES"/>
              </w:rPr>
              <w:t>mandatory</w:t>
            </w:r>
            <w:proofErr w:type="spellEnd"/>
            <w:r>
              <w:rPr>
                <w:rFonts w:eastAsia="Palatino Linotype"/>
                <w:spacing w:val="-1"/>
                <w:position w:val="1"/>
                <w:sz w:val="22"/>
                <w:szCs w:val="22"/>
                <w:lang w:val="es-ES"/>
              </w:rPr>
              <w:t xml:space="preserve"> </w:t>
            </w:r>
            <w:proofErr w:type="spellStart"/>
            <w:r>
              <w:rPr>
                <w:rFonts w:eastAsia="Palatino Linotype"/>
                <w:spacing w:val="-1"/>
                <w:position w:val="1"/>
                <w:sz w:val="22"/>
                <w:szCs w:val="22"/>
                <w:lang w:val="es-ES"/>
              </w:rPr>
              <w:t>for</w:t>
            </w:r>
            <w:proofErr w:type="spellEnd"/>
            <w:r>
              <w:rPr>
                <w:rFonts w:eastAsia="Palatino Linotype"/>
                <w:spacing w:val="-1"/>
                <w:position w:val="1"/>
                <w:sz w:val="22"/>
                <w:szCs w:val="22"/>
                <w:lang w:val="es-ES"/>
              </w:rPr>
              <w:t xml:space="preserve"> 5% (</w:t>
            </w:r>
            <w:proofErr w:type="spellStart"/>
            <w:r>
              <w:rPr>
                <w:rFonts w:eastAsia="Palatino Linotype"/>
                <w:spacing w:val="-1"/>
                <w:position w:val="1"/>
                <w:sz w:val="22"/>
                <w:szCs w:val="22"/>
                <w:lang w:val="es-ES"/>
              </w:rPr>
              <w:t>five</w:t>
            </w:r>
            <w:proofErr w:type="spellEnd"/>
            <w:r>
              <w:rPr>
                <w:rFonts w:eastAsia="Palatino Linotype"/>
                <w:spacing w:val="-1"/>
                <w:position w:val="1"/>
                <w:sz w:val="22"/>
                <w:szCs w:val="22"/>
                <w:lang w:val="es-ES"/>
              </w:rPr>
              <w:t xml:space="preserve"> </w:t>
            </w:r>
            <w:proofErr w:type="spellStart"/>
            <w:r>
              <w:rPr>
                <w:rFonts w:eastAsia="Palatino Linotype"/>
                <w:spacing w:val="-1"/>
                <w:position w:val="1"/>
                <w:sz w:val="22"/>
                <w:szCs w:val="22"/>
                <w:lang w:val="es-ES"/>
              </w:rPr>
              <w:t>percent</w:t>
            </w:r>
            <w:proofErr w:type="spellEnd"/>
            <w:r>
              <w:rPr>
                <w:rFonts w:eastAsia="Palatino Linotype"/>
                <w:spacing w:val="-1"/>
                <w:position w:val="1"/>
                <w:sz w:val="22"/>
                <w:szCs w:val="22"/>
                <w:lang w:val="es-ES"/>
              </w:rPr>
              <w:t xml:space="preserve">) </w:t>
            </w:r>
            <w:proofErr w:type="spellStart"/>
            <w:r>
              <w:rPr>
                <w:rFonts w:eastAsia="Palatino Linotype"/>
                <w:spacing w:val="-1"/>
                <w:position w:val="1"/>
                <w:sz w:val="22"/>
                <w:szCs w:val="22"/>
                <w:lang w:val="es-ES"/>
              </w:rPr>
              <w:t>of</w:t>
            </w:r>
            <w:proofErr w:type="spellEnd"/>
            <w:r>
              <w:rPr>
                <w:rFonts w:eastAsia="Palatino Linotype"/>
                <w:spacing w:val="-1"/>
                <w:position w:val="1"/>
                <w:sz w:val="22"/>
                <w:szCs w:val="22"/>
                <w:lang w:val="es-ES"/>
              </w:rPr>
              <w:t xml:space="preserve"> </w:t>
            </w:r>
            <w:proofErr w:type="spellStart"/>
            <w:r>
              <w:rPr>
                <w:rFonts w:eastAsia="Palatino Linotype"/>
                <w:spacing w:val="-1"/>
                <w:position w:val="1"/>
                <w:sz w:val="22"/>
                <w:szCs w:val="22"/>
                <w:lang w:val="es-ES"/>
              </w:rPr>
              <w:t>the</w:t>
            </w:r>
            <w:proofErr w:type="spellEnd"/>
            <w:r>
              <w:rPr>
                <w:rFonts w:eastAsia="Palatino Linotype"/>
                <w:spacing w:val="-1"/>
                <w:position w:val="1"/>
                <w:sz w:val="22"/>
                <w:szCs w:val="22"/>
                <w:lang w:val="es-ES"/>
              </w:rPr>
              <w:t xml:space="preserve"> total </w:t>
            </w:r>
            <w:proofErr w:type="spellStart"/>
            <w:r>
              <w:rPr>
                <w:rFonts w:eastAsia="Palatino Linotype"/>
                <w:spacing w:val="-1"/>
                <w:position w:val="1"/>
                <w:sz w:val="22"/>
                <w:szCs w:val="22"/>
                <w:lang w:val="es-ES"/>
              </w:rPr>
              <w:t>amount</w:t>
            </w:r>
            <w:proofErr w:type="spellEnd"/>
            <w:r>
              <w:rPr>
                <w:rFonts w:eastAsia="Palatino Linotype"/>
                <w:spacing w:val="-1"/>
                <w:position w:val="1"/>
                <w:sz w:val="22"/>
                <w:szCs w:val="22"/>
                <w:lang w:val="es-ES"/>
              </w:rPr>
              <w:t xml:space="preserve"> </w:t>
            </w:r>
            <w:proofErr w:type="spellStart"/>
            <w:r>
              <w:rPr>
                <w:rFonts w:eastAsia="Palatino Linotype"/>
                <w:spacing w:val="-1"/>
                <w:position w:val="1"/>
                <w:sz w:val="22"/>
                <w:szCs w:val="22"/>
                <w:lang w:val="es-ES"/>
              </w:rPr>
              <w:t>awarded</w:t>
            </w:r>
            <w:proofErr w:type="spellEnd"/>
            <w:r>
              <w:rPr>
                <w:rFonts w:eastAsia="Palatino Linotype"/>
                <w:spacing w:val="-1"/>
                <w:position w:val="1"/>
                <w:sz w:val="22"/>
                <w:szCs w:val="22"/>
                <w:lang w:val="es-ES"/>
              </w:rPr>
              <w:t xml:space="preserve"> and </w:t>
            </w:r>
            <w:proofErr w:type="spellStart"/>
            <w:r>
              <w:rPr>
                <w:rFonts w:eastAsia="Palatino Linotype"/>
                <w:spacing w:val="-1"/>
                <w:position w:val="1"/>
                <w:sz w:val="22"/>
                <w:szCs w:val="22"/>
                <w:lang w:val="es-ES"/>
              </w:rPr>
              <w:t>will</w:t>
            </w:r>
            <w:proofErr w:type="spellEnd"/>
            <w:r>
              <w:rPr>
                <w:rFonts w:eastAsia="Palatino Linotype"/>
                <w:spacing w:val="-1"/>
                <w:position w:val="1"/>
                <w:sz w:val="22"/>
                <w:szCs w:val="22"/>
                <w:lang w:val="es-ES"/>
              </w:rPr>
              <w:t xml:space="preserve"> be </w:t>
            </w:r>
            <w:proofErr w:type="spellStart"/>
            <w:r>
              <w:rPr>
                <w:rFonts w:eastAsia="Palatino Linotype"/>
                <w:spacing w:val="-1"/>
                <w:position w:val="1"/>
                <w:sz w:val="22"/>
                <w:szCs w:val="22"/>
                <w:lang w:val="es-ES"/>
              </w:rPr>
              <w:t>presented</w:t>
            </w:r>
            <w:proofErr w:type="spellEnd"/>
            <w:r>
              <w:rPr>
                <w:rFonts w:eastAsia="Palatino Linotype"/>
                <w:spacing w:val="-1"/>
                <w:position w:val="1"/>
                <w:sz w:val="22"/>
                <w:szCs w:val="22"/>
                <w:lang w:val="es-ES"/>
              </w:rPr>
              <w:t xml:space="preserve"> </w:t>
            </w:r>
            <w:proofErr w:type="spellStart"/>
            <w:r>
              <w:rPr>
                <w:rFonts w:eastAsia="Palatino Linotype"/>
                <w:spacing w:val="-1"/>
                <w:position w:val="1"/>
                <w:sz w:val="22"/>
                <w:szCs w:val="22"/>
                <w:lang w:val="es-ES"/>
              </w:rPr>
              <w:t>or</w:t>
            </w:r>
            <w:proofErr w:type="spellEnd"/>
            <w:r>
              <w:rPr>
                <w:rFonts w:eastAsia="Palatino Linotype"/>
                <w:spacing w:val="-1"/>
                <w:position w:val="1"/>
                <w:sz w:val="22"/>
                <w:szCs w:val="22"/>
                <w:lang w:val="es-ES"/>
              </w:rPr>
              <w:t xml:space="preserve"> </w:t>
            </w:r>
            <w:proofErr w:type="spellStart"/>
            <w:r>
              <w:rPr>
                <w:rFonts w:eastAsia="Palatino Linotype"/>
                <w:spacing w:val="-1"/>
                <w:position w:val="1"/>
                <w:sz w:val="22"/>
                <w:szCs w:val="22"/>
                <w:lang w:val="es-ES"/>
              </w:rPr>
              <w:t>constituted</w:t>
            </w:r>
            <w:proofErr w:type="spellEnd"/>
            <w:r>
              <w:rPr>
                <w:rFonts w:eastAsia="Palatino Linotype"/>
                <w:spacing w:val="-1"/>
                <w:position w:val="1"/>
                <w:sz w:val="22"/>
                <w:szCs w:val="22"/>
                <w:lang w:val="es-ES"/>
              </w:rPr>
              <w:t xml:space="preserve"> in </w:t>
            </w:r>
            <w:proofErr w:type="spellStart"/>
            <w:r>
              <w:rPr>
                <w:rFonts w:eastAsia="Palatino Linotype"/>
                <w:spacing w:val="-1"/>
                <w:position w:val="1"/>
                <w:sz w:val="22"/>
                <w:szCs w:val="22"/>
                <w:lang w:val="es-ES"/>
              </w:rPr>
              <w:t>the</w:t>
            </w:r>
            <w:proofErr w:type="spellEnd"/>
            <w:r>
              <w:rPr>
                <w:rFonts w:eastAsia="Palatino Linotype"/>
                <w:spacing w:val="-1"/>
                <w:position w:val="1"/>
                <w:sz w:val="22"/>
                <w:szCs w:val="22"/>
                <w:lang w:val="es-ES"/>
              </w:rPr>
              <w:t xml:space="preserve"> </w:t>
            </w:r>
            <w:proofErr w:type="spellStart"/>
            <w:r>
              <w:rPr>
                <w:rFonts w:eastAsia="Palatino Linotype"/>
                <w:spacing w:val="-1"/>
                <w:position w:val="1"/>
                <w:sz w:val="22"/>
                <w:szCs w:val="22"/>
                <w:lang w:val="es-ES"/>
              </w:rPr>
              <w:t>Supplier</w:t>
            </w:r>
            <w:proofErr w:type="spellEnd"/>
            <w:r>
              <w:rPr>
                <w:rFonts w:eastAsia="Palatino Linotype"/>
                <w:spacing w:val="-1"/>
                <w:position w:val="1"/>
                <w:sz w:val="22"/>
                <w:szCs w:val="22"/>
                <w:lang w:val="es-ES"/>
              </w:rPr>
              <w:t xml:space="preserve"> Service Module </w:t>
            </w:r>
            <w:proofErr w:type="spellStart"/>
            <w:r>
              <w:rPr>
                <w:rFonts w:eastAsia="Palatino Linotype"/>
                <w:spacing w:val="-1"/>
                <w:position w:val="1"/>
                <w:sz w:val="22"/>
                <w:szCs w:val="22"/>
                <w:lang w:val="es-ES"/>
              </w:rPr>
              <w:t>of</w:t>
            </w:r>
            <w:proofErr w:type="spellEnd"/>
            <w:r>
              <w:rPr>
                <w:rFonts w:eastAsia="Palatino Linotype"/>
                <w:spacing w:val="-1"/>
                <w:position w:val="1"/>
                <w:sz w:val="22"/>
                <w:szCs w:val="22"/>
                <w:lang w:val="es-ES"/>
              </w:rPr>
              <w:t xml:space="preserve"> OSE, </w:t>
            </w:r>
            <w:proofErr w:type="spellStart"/>
            <w:r>
              <w:rPr>
                <w:rFonts w:eastAsia="Palatino Linotype"/>
                <w:spacing w:val="-1"/>
                <w:position w:val="1"/>
                <w:sz w:val="22"/>
                <w:szCs w:val="22"/>
                <w:lang w:val="es-ES"/>
              </w:rPr>
              <w:t>located</w:t>
            </w:r>
            <w:proofErr w:type="spellEnd"/>
            <w:r>
              <w:rPr>
                <w:rFonts w:eastAsia="Palatino Linotype"/>
                <w:spacing w:val="-1"/>
                <w:position w:val="1"/>
                <w:sz w:val="22"/>
                <w:szCs w:val="22"/>
                <w:lang w:val="es-ES"/>
              </w:rPr>
              <w:t xml:space="preserve"> </w:t>
            </w:r>
            <w:proofErr w:type="spellStart"/>
            <w:r>
              <w:rPr>
                <w:rFonts w:eastAsia="Palatino Linotype"/>
                <w:spacing w:val="-1"/>
                <w:position w:val="1"/>
                <w:sz w:val="22"/>
                <w:szCs w:val="22"/>
                <w:lang w:val="es-ES"/>
              </w:rPr>
              <w:t>on</w:t>
            </w:r>
            <w:proofErr w:type="spellEnd"/>
            <w:r>
              <w:rPr>
                <w:rFonts w:eastAsia="Palatino Linotype"/>
                <w:spacing w:val="-1"/>
                <w:position w:val="1"/>
                <w:sz w:val="22"/>
                <w:szCs w:val="22"/>
                <w:lang w:val="es-ES"/>
              </w:rPr>
              <w:t xml:space="preserve"> </w:t>
            </w:r>
            <w:proofErr w:type="spellStart"/>
            <w:r>
              <w:rPr>
                <w:rFonts w:eastAsia="Palatino Linotype"/>
                <w:spacing w:val="-1"/>
                <w:position w:val="1"/>
                <w:sz w:val="22"/>
                <w:szCs w:val="22"/>
                <w:lang w:val="es-ES"/>
              </w:rPr>
              <w:t>the</w:t>
            </w:r>
            <w:proofErr w:type="spellEnd"/>
            <w:r>
              <w:rPr>
                <w:rFonts w:eastAsia="Palatino Linotype"/>
                <w:spacing w:val="-1"/>
                <w:position w:val="1"/>
                <w:sz w:val="22"/>
                <w:szCs w:val="22"/>
                <w:lang w:val="es-ES"/>
              </w:rPr>
              <w:t xml:space="preserve"> Ground Floor </w:t>
            </w:r>
            <w:proofErr w:type="spellStart"/>
            <w:r>
              <w:rPr>
                <w:rFonts w:eastAsia="Palatino Linotype"/>
                <w:spacing w:val="-1"/>
                <w:position w:val="1"/>
                <w:sz w:val="22"/>
                <w:szCs w:val="22"/>
                <w:lang w:val="es-ES"/>
              </w:rPr>
              <w:t>of</w:t>
            </w:r>
            <w:proofErr w:type="spellEnd"/>
            <w:r>
              <w:rPr>
                <w:rFonts w:eastAsia="Palatino Linotype"/>
                <w:spacing w:val="-1"/>
                <w:position w:val="1"/>
                <w:sz w:val="22"/>
                <w:szCs w:val="22"/>
                <w:lang w:val="es-ES"/>
              </w:rPr>
              <w:t xml:space="preserve"> </w:t>
            </w:r>
            <w:proofErr w:type="spellStart"/>
            <w:r>
              <w:rPr>
                <w:rFonts w:eastAsia="Palatino Linotype"/>
                <w:spacing w:val="-1"/>
                <w:position w:val="1"/>
                <w:sz w:val="22"/>
                <w:szCs w:val="22"/>
                <w:lang w:val="es-ES"/>
              </w:rPr>
              <w:t>the</w:t>
            </w:r>
            <w:proofErr w:type="spellEnd"/>
            <w:r>
              <w:rPr>
                <w:rFonts w:eastAsia="Palatino Linotype"/>
                <w:spacing w:val="-1"/>
                <w:position w:val="1"/>
                <w:sz w:val="22"/>
                <w:szCs w:val="22"/>
                <w:lang w:val="es-ES"/>
              </w:rPr>
              <w:t xml:space="preserve"> Central Building, </w:t>
            </w:r>
            <w:proofErr w:type="spellStart"/>
            <w:r>
              <w:rPr>
                <w:rFonts w:eastAsia="Palatino Linotype"/>
                <w:spacing w:val="-1"/>
                <w:position w:val="1"/>
                <w:sz w:val="22"/>
                <w:szCs w:val="22"/>
                <w:lang w:val="es-ES"/>
              </w:rPr>
              <w:t>located</w:t>
            </w:r>
            <w:proofErr w:type="spellEnd"/>
            <w:r>
              <w:rPr>
                <w:rFonts w:eastAsia="Palatino Linotype"/>
                <w:spacing w:val="-1"/>
                <w:position w:val="1"/>
                <w:sz w:val="22"/>
                <w:szCs w:val="22"/>
                <w:lang w:val="es-ES"/>
              </w:rPr>
              <w:t xml:space="preserve"> at Carlos Roxlo Street 1275, Montevideo.</w:t>
            </w:r>
          </w:p>
          <w:p w14:paraId="01BAA0B1" w14:textId="77777777" w:rsidR="00E255F4" w:rsidRDefault="00000000">
            <w:pPr>
              <w:jc w:val="both"/>
              <w:rPr>
                <w:rFonts w:eastAsia="Palatino Linotype"/>
              </w:rPr>
            </w:pPr>
            <w:r>
              <w:rPr>
                <w:spacing w:val="-1"/>
                <w:position w:val="1"/>
                <w:sz w:val="22"/>
                <w:szCs w:val="22"/>
                <w:lang w:val="es-ES"/>
              </w:rPr>
              <w:t xml:space="preserve"> </w:t>
            </w:r>
          </w:p>
          <w:p w14:paraId="6FB36144" w14:textId="77777777" w:rsidR="00E255F4" w:rsidRDefault="00000000">
            <w:pPr>
              <w:jc w:val="both"/>
            </w:pPr>
            <w:r>
              <w:rPr>
                <w:rFonts w:eastAsia="Palatino Linotype"/>
                <w:spacing w:val="-1"/>
                <w:position w:val="1"/>
                <w:sz w:val="22"/>
                <w:szCs w:val="22"/>
                <w:lang w:val="es-ES"/>
              </w:rPr>
              <w:t xml:space="preserve">The </w:t>
            </w:r>
            <w:proofErr w:type="spellStart"/>
            <w:r>
              <w:rPr>
                <w:rFonts w:eastAsia="Palatino Linotype"/>
                <w:spacing w:val="-1"/>
                <w:position w:val="1"/>
                <w:sz w:val="22"/>
                <w:szCs w:val="22"/>
                <w:lang w:val="es-ES"/>
              </w:rPr>
              <w:t>minimum</w:t>
            </w:r>
            <w:proofErr w:type="spellEnd"/>
            <w:r>
              <w:rPr>
                <w:rFonts w:eastAsia="Palatino Linotype"/>
                <w:spacing w:val="-1"/>
                <w:position w:val="1"/>
                <w:sz w:val="22"/>
                <w:szCs w:val="22"/>
                <w:lang w:val="es-ES"/>
              </w:rPr>
              <w:t xml:space="preserve"> </w:t>
            </w:r>
            <w:proofErr w:type="spellStart"/>
            <w:r>
              <w:rPr>
                <w:rFonts w:eastAsia="Palatino Linotype"/>
                <w:spacing w:val="-1"/>
                <w:position w:val="1"/>
                <w:sz w:val="22"/>
                <w:szCs w:val="22"/>
                <w:lang w:val="es-ES"/>
              </w:rPr>
              <w:t>amount</w:t>
            </w:r>
            <w:proofErr w:type="spellEnd"/>
            <w:r>
              <w:rPr>
                <w:rFonts w:eastAsia="Palatino Linotype"/>
                <w:spacing w:val="-1"/>
                <w:position w:val="1"/>
                <w:sz w:val="22"/>
                <w:szCs w:val="22"/>
                <w:lang w:val="es-ES"/>
              </w:rPr>
              <w:t xml:space="preserve"> </w:t>
            </w:r>
            <w:proofErr w:type="spellStart"/>
            <w:r>
              <w:rPr>
                <w:rFonts w:eastAsia="Palatino Linotype"/>
                <w:spacing w:val="-1"/>
                <w:position w:val="1"/>
                <w:sz w:val="22"/>
                <w:szCs w:val="22"/>
                <w:lang w:val="es-ES"/>
              </w:rPr>
              <w:t>to</w:t>
            </w:r>
            <w:proofErr w:type="spellEnd"/>
            <w:r>
              <w:rPr>
                <w:rFonts w:eastAsia="Palatino Linotype"/>
                <w:spacing w:val="-1"/>
                <w:position w:val="1"/>
                <w:sz w:val="22"/>
                <w:szCs w:val="22"/>
                <w:lang w:val="es-ES"/>
              </w:rPr>
              <w:t xml:space="preserve"> </w:t>
            </w:r>
            <w:proofErr w:type="spellStart"/>
            <w:r>
              <w:rPr>
                <w:rFonts w:eastAsia="Palatino Linotype"/>
                <w:spacing w:val="-1"/>
                <w:position w:val="1"/>
                <w:sz w:val="22"/>
                <w:szCs w:val="22"/>
                <w:lang w:val="es-ES"/>
              </w:rPr>
              <w:t>demand</w:t>
            </w:r>
            <w:proofErr w:type="spellEnd"/>
            <w:r>
              <w:rPr>
                <w:rFonts w:eastAsia="Palatino Linotype"/>
                <w:spacing w:val="-1"/>
                <w:position w:val="1"/>
                <w:sz w:val="22"/>
                <w:szCs w:val="22"/>
                <w:lang w:val="es-ES"/>
              </w:rPr>
              <w:t xml:space="preserve"> </w:t>
            </w:r>
            <w:proofErr w:type="spellStart"/>
            <w:r>
              <w:rPr>
                <w:rFonts w:eastAsia="Palatino Linotype"/>
                <w:spacing w:val="-1"/>
                <w:position w:val="1"/>
                <w:sz w:val="22"/>
                <w:szCs w:val="22"/>
                <w:lang w:val="es-ES"/>
              </w:rPr>
              <w:t>the</w:t>
            </w:r>
            <w:proofErr w:type="spellEnd"/>
            <w:r>
              <w:rPr>
                <w:rFonts w:eastAsia="Palatino Linotype"/>
                <w:spacing w:val="-1"/>
                <w:position w:val="1"/>
                <w:sz w:val="22"/>
                <w:szCs w:val="22"/>
                <w:lang w:val="es-ES"/>
              </w:rPr>
              <w:t xml:space="preserve"> </w:t>
            </w:r>
            <w:proofErr w:type="spellStart"/>
            <w:r>
              <w:rPr>
                <w:rFonts w:eastAsia="Palatino Linotype"/>
                <w:spacing w:val="-1"/>
                <w:position w:val="1"/>
                <w:sz w:val="22"/>
                <w:szCs w:val="22"/>
                <w:lang w:val="es-ES"/>
              </w:rPr>
              <w:t>aforementioned</w:t>
            </w:r>
            <w:proofErr w:type="spellEnd"/>
            <w:r>
              <w:rPr>
                <w:rFonts w:eastAsia="Palatino Linotype"/>
                <w:spacing w:val="-1"/>
                <w:position w:val="1"/>
                <w:sz w:val="22"/>
                <w:szCs w:val="22"/>
                <w:lang w:val="es-ES"/>
              </w:rPr>
              <w:t xml:space="preserve"> </w:t>
            </w:r>
            <w:proofErr w:type="spellStart"/>
            <w:r>
              <w:rPr>
                <w:rFonts w:eastAsia="Palatino Linotype"/>
                <w:spacing w:val="-1"/>
                <w:position w:val="1"/>
                <w:sz w:val="22"/>
                <w:szCs w:val="22"/>
                <w:lang w:val="es-ES"/>
              </w:rPr>
              <w:t>guarantee</w:t>
            </w:r>
            <w:proofErr w:type="spellEnd"/>
            <w:r>
              <w:rPr>
                <w:rFonts w:eastAsia="Palatino Linotype"/>
                <w:spacing w:val="-1"/>
                <w:position w:val="1"/>
                <w:sz w:val="22"/>
                <w:szCs w:val="22"/>
                <w:lang w:val="es-ES"/>
              </w:rPr>
              <w:t xml:space="preserve"> </w:t>
            </w:r>
            <w:proofErr w:type="spellStart"/>
            <w:r>
              <w:rPr>
                <w:rFonts w:eastAsia="Palatino Linotype"/>
                <w:spacing w:val="-1"/>
                <w:position w:val="1"/>
                <w:sz w:val="22"/>
                <w:szCs w:val="22"/>
                <w:lang w:val="es-ES"/>
              </w:rPr>
              <w:t>for</w:t>
            </w:r>
            <w:proofErr w:type="spellEnd"/>
            <w:r>
              <w:rPr>
                <w:rFonts w:eastAsia="Palatino Linotype"/>
                <w:spacing w:val="-1"/>
                <w:position w:val="1"/>
                <w:sz w:val="22"/>
                <w:szCs w:val="22"/>
                <w:lang w:val="es-ES"/>
              </w:rPr>
              <w:t xml:space="preserve"> </w:t>
            </w:r>
            <w:proofErr w:type="spellStart"/>
            <w:r>
              <w:rPr>
                <w:rFonts w:eastAsia="Palatino Linotype"/>
                <w:spacing w:val="-1"/>
                <w:position w:val="1"/>
                <w:sz w:val="22"/>
                <w:szCs w:val="22"/>
                <w:lang w:val="es-ES"/>
              </w:rPr>
              <w:t>the</w:t>
            </w:r>
            <w:proofErr w:type="spellEnd"/>
            <w:r>
              <w:rPr>
                <w:rFonts w:eastAsia="Palatino Linotype"/>
                <w:spacing w:val="-1"/>
                <w:position w:val="1"/>
                <w:sz w:val="22"/>
                <w:szCs w:val="22"/>
                <w:lang w:val="es-ES"/>
              </w:rPr>
              <w:t xml:space="preserve"> </w:t>
            </w:r>
            <w:proofErr w:type="spellStart"/>
            <w:r>
              <w:rPr>
                <w:rFonts w:eastAsia="Palatino Linotype"/>
                <w:spacing w:val="-1"/>
                <w:position w:val="1"/>
                <w:sz w:val="22"/>
                <w:szCs w:val="22"/>
                <w:lang w:val="es-ES"/>
              </w:rPr>
              <w:t>period</w:t>
            </w:r>
            <w:proofErr w:type="spellEnd"/>
            <w:r>
              <w:rPr>
                <w:rFonts w:eastAsia="Palatino Linotype"/>
                <w:spacing w:val="-1"/>
                <w:position w:val="1"/>
                <w:sz w:val="22"/>
                <w:szCs w:val="22"/>
                <w:lang w:val="es-ES"/>
              </w:rPr>
              <w:t xml:space="preserve"> January - December 2026 </w:t>
            </w:r>
            <w:proofErr w:type="spellStart"/>
            <w:r>
              <w:rPr>
                <w:rFonts w:eastAsia="Palatino Linotype"/>
                <w:spacing w:val="-1"/>
                <w:position w:val="1"/>
                <w:sz w:val="22"/>
                <w:szCs w:val="22"/>
                <w:lang w:val="es-ES"/>
              </w:rPr>
              <w:t>is</w:t>
            </w:r>
            <w:proofErr w:type="spellEnd"/>
            <w:r>
              <w:rPr>
                <w:rFonts w:eastAsia="Palatino Linotype"/>
                <w:spacing w:val="-1"/>
                <w:position w:val="1"/>
                <w:sz w:val="22"/>
                <w:szCs w:val="22"/>
                <w:lang w:val="es-ES"/>
              </w:rPr>
              <w:t xml:space="preserve"> $5,482,000 (</w:t>
            </w:r>
            <w:proofErr w:type="spellStart"/>
            <w:r>
              <w:rPr>
                <w:rFonts w:eastAsia="Palatino Linotype"/>
                <w:spacing w:val="-1"/>
                <w:position w:val="1"/>
                <w:sz w:val="22"/>
                <w:szCs w:val="22"/>
                <w:lang w:val="es-ES"/>
              </w:rPr>
              <w:t>five</w:t>
            </w:r>
            <w:proofErr w:type="spellEnd"/>
            <w:r>
              <w:rPr>
                <w:rFonts w:eastAsia="Palatino Linotype"/>
                <w:spacing w:val="-1"/>
                <w:position w:val="1"/>
                <w:sz w:val="22"/>
                <w:szCs w:val="22"/>
                <w:lang w:val="es-ES"/>
              </w:rPr>
              <w:t xml:space="preserve"> </w:t>
            </w:r>
            <w:proofErr w:type="spellStart"/>
            <w:r>
              <w:rPr>
                <w:rFonts w:eastAsia="Palatino Linotype"/>
                <w:spacing w:val="-1"/>
                <w:position w:val="1"/>
                <w:sz w:val="22"/>
                <w:szCs w:val="22"/>
                <w:lang w:val="es-ES"/>
              </w:rPr>
              <w:t>million</w:t>
            </w:r>
            <w:proofErr w:type="spellEnd"/>
            <w:r>
              <w:rPr>
                <w:rFonts w:eastAsia="Palatino Linotype"/>
                <w:spacing w:val="-1"/>
                <w:position w:val="1"/>
                <w:sz w:val="22"/>
                <w:szCs w:val="22"/>
                <w:lang w:val="es-ES"/>
              </w:rPr>
              <w:t xml:space="preserve"> </w:t>
            </w:r>
            <w:proofErr w:type="spellStart"/>
            <w:r>
              <w:rPr>
                <w:rFonts w:eastAsia="Palatino Linotype"/>
                <w:spacing w:val="-1"/>
                <w:position w:val="1"/>
                <w:sz w:val="22"/>
                <w:szCs w:val="22"/>
                <w:lang w:val="es-ES"/>
              </w:rPr>
              <w:t>four</w:t>
            </w:r>
            <w:proofErr w:type="spellEnd"/>
            <w:r>
              <w:rPr>
                <w:rFonts w:eastAsia="Palatino Linotype"/>
                <w:spacing w:val="-1"/>
                <w:position w:val="1"/>
                <w:sz w:val="22"/>
                <w:szCs w:val="22"/>
                <w:lang w:val="es-ES"/>
              </w:rPr>
              <w:t xml:space="preserve"> </w:t>
            </w:r>
            <w:proofErr w:type="spellStart"/>
            <w:r>
              <w:rPr>
                <w:rFonts w:eastAsia="Palatino Linotype"/>
                <w:spacing w:val="-1"/>
                <w:position w:val="1"/>
                <w:sz w:val="22"/>
                <w:szCs w:val="22"/>
                <w:lang w:val="es-ES"/>
              </w:rPr>
              <w:t>hundred</w:t>
            </w:r>
            <w:proofErr w:type="spellEnd"/>
            <w:r>
              <w:rPr>
                <w:rFonts w:eastAsia="Palatino Linotype"/>
                <w:spacing w:val="-1"/>
                <w:position w:val="1"/>
                <w:sz w:val="22"/>
                <w:szCs w:val="22"/>
                <w:lang w:val="es-ES"/>
              </w:rPr>
              <w:t xml:space="preserve"> </w:t>
            </w:r>
            <w:proofErr w:type="spellStart"/>
            <w:r>
              <w:rPr>
                <w:rFonts w:eastAsia="Palatino Linotype"/>
                <w:spacing w:val="-1"/>
                <w:position w:val="1"/>
                <w:sz w:val="22"/>
                <w:szCs w:val="22"/>
                <w:lang w:val="es-ES"/>
              </w:rPr>
              <w:t>eighty-two</w:t>
            </w:r>
            <w:proofErr w:type="spellEnd"/>
            <w:r>
              <w:rPr>
                <w:rFonts w:eastAsia="Palatino Linotype"/>
                <w:spacing w:val="-1"/>
                <w:position w:val="1"/>
                <w:sz w:val="22"/>
                <w:szCs w:val="22"/>
                <w:lang w:val="es-ES"/>
              </w:rPr>
              <w:t xml:space="preserve"> </w:t>
            </w:r>
            <w:proofErr w:type="spellStart"/>
            <w:r>
              <w:rPr>
                <w:rFonts w:eastAsia="Palatino Linotype"/>
                <w:spacing w:val="-1"/>
                <w:position w:val="1"/>
                <w:sz w:val="22"/>
                <w:szCs w:val="22"/>
                <w:lang w:val="es-ES"/>
              </w:rPr>
              <w:t>thousand</w:t>
            </w:r>
            <w:proofErr w:type="spellEnd"/>
            <w:r>
              <w:rPr>
                <w:rFonts w:eastAsia="Palatino Linotype"/>
                <w:spacing w:val="-1"/>
                <w:position w:val="1"/>
                <w:sz w:val="22"/>
                <w:szCs w:val="22"/>
                <w:lang w:val="es-ES"/>
              </w:rPr>
              <w:t xml:space="preserve"> </w:t>
            </w:r>
            <w:proofErr w:type="spellStart"/>
            <w:r>
              <w:rPr>
                <w:rFonts w:eastAsia="Palatino Linotype"/>
                <w:spacing w:val="-1"/>
                <w:position w:val="1"/>
                <w:sz w:val="22"/>
                <w:szCs w:val="22"/>
                <w:lang w:val="es-ES"/>
              </w:rPr>
              <w:t>Uruguayan</w:t>
            </w:r>
            <w:proofErr w:type="spellEnd"/>
            <w:r>
              <w:rPr>
                <w:rFonts w:eastAsia="Palatino Linotype"/>
                <w:spacing w:val="-1"/>
                <w:position w:val="1"/>
                <w:sz w:val="22"/>
                <w:szCs w:val="22"/>
                <w:lang w:val="es-ES"/>
              </w:rPr>
              <w:t xml:space="preserve"> pesos).</w:t>
            </w:r>
          </w:p>
          <w:p w14:paraId="4FA76C09" w14:textId="77777777" w:rsidR="00E255F4" w:rsidRDefault="00E255F4">
            <w:pPr>
              <w:jc w:val="both"/>
              <w:rPr>
                <w:rFonts w:eastAsia="Palatino Linotype"/>
                <w:spacing w:val="-1"/>
                <w:position w:val="1"/>
                <w:sz w:val="22"/>
                <w:szCs w:val="22"/>
                <w:lang w:val="es-ES"/>
              </w:rPr>
            </w:pPr>
          </w:p>
          <w:p w14:paraId="64E86943" w14:textId="77777777" w:rsidR="00E255F4" w:rsidRDefault="00000000">
            <w:pPr>
              <w:jc w:val="both"/>
              <w:rPr>
                <w:rFonts w:eastAsia="Palatino Linotype"/>
                <w:spacing w:val="-1"/>
                <w:position w:val="1"/>
                <w:sz w:val="22"/>
                <w:lang w:val="es-ES"/>
              </w:rPr>
            </w:pPr>
            <w:proofErr w:type="spellStart"/>
            <w:r>
              <w:rPr>
                <w:sz w:val="22"/>
                <w:szCs w:val="22"/>
                <w:lang w:val="es-ES"/>
              </w:rPr>
              <w:t>If</w:t>
            </w:r>
            <w:proofErr w:type="spellEnd"/>
            <w:r>
              <w:rPr>
                <w:sz w:val="22"/>
                <w:szCs w:val="22"/>
                <w:lang w:val="es-ES"/>
              </w:rPr>
              <w:t xml:space="preserve"> </w:t>
            </w:r>
            <w:proofErr w:type="spellStart"/>
            <w:r>
              <w:rPr>
                <w:sz w:val="22"/>
                <w:szCs w:val="22"/>
                <w:lang w:val="es-ES"/>
              </w:rPr>
              <w:t>the</w:t>
            </w:r>
            <w:proofErr w:type="spellEnd"/>
            <w:r>
              <w:rPr>
                <w:sz w:val="22"/>
                <w:szCs w:val="22"/>
                <w:lang w:val="es-ES"/>
              </w:rPr>
              <w:t xml:space="preserve"> </w:t>
            </w:r>
            <w:proofErr w:type="spellStart"/>
            <w:r>
              <w:rPr>
                <w:sz w:val="22"/>
                <w:szCs w:val="22"/>
                <w:lang w:val="es-ES"/>
              </w:rPr>
              <w:t>guarantee</w:t>
            </w:r>
            <w:proofErr w:type="spellEnd"/>
            <w:r>
              <w:rPr>
                <w:sz w:val="22"/>
                <w:szCs w:val="22"/>
                <w:lang w:val="es-ES"/>
              </w:rPr>
              <w:t xml:space="preserve"> </w:t>
            </w:r>
            <w:proofErr w:type="spellStart"/>
            <w:r>
              <w:rPr>
                <w:sz w:val="22"/>
                <w:szCs w:val="22"/>
                <w:lang w:val="es-ES"/>
              </w:rPr>
              <w:t>of</w:t>
            </w:r>
            <w:proofErr w:type="spellEnd"/>
            <w:r>
              <w:rPr>
                <w:sz w:val="22"/>
                <w:szCs w:val="22"/>
                <w:lang w:val="es-ES"/>
              </w:rPr>
              <w:t xml:space="preserve"> </w:t>
            </w:r>
            <w:proofErr w:type="spellStart"/>
            <w:r>
              <w:rPr>
                <w:sz w:val="22"/>
                <w:szCs w:val="22"/>
                <w:lang w:val="es-ES"/>
              </w:rPr>
              <w:t>faithful</w:t>
            </w:r>
            <w:proofErr w:type="spellEnd"/>
            <w:r>
              <w:rPr>
                <w:sz w:val="22"/>
                <w:szCs w:val="22"/>
                <w:lang w:val="es-ES"/>
              </w:rPr>
              <w:t xml:space="preserve"> performance </w:t>
            </w:r>
            <w:proofErr w:type="spellStart"/>
            <w:r>
              <w:rPr>
                <w:sz w:val="22"/>
                <w:szCs w:val="22"/>
                <w:lang w:val="es-ES"/>
              </w:rPr>
              <w:t>of</w:t>
            </w:r>
            <w:proofErr w:type="spellEnd"/>
            <w:r>
              <w:rPr>
                <w:sz w:val="22"/>
                <w:szCs w:val="22"/>
                <w:lang w:val="es-ES"/>
              </w:rPr>
              <w:t xml:space="preserve"> </w:t>
            </w:r>
            <w:proofErr w:type="spellStart"/>
            <w:r>
              <w:rPr>
                <w:sz w:val="22"/>
                <w:szCs w:val="22"/>
                <w:lang w:val="es-ES"/>
              </w:rPr>
              <w:t>the</w:t>
            </w:r>
            <w:proofErr w:type="spellEnd"/>
            <w:r>
              <w:rPr>
                <w:sz w:val="22"/>
                <w:szCs w:val="22"/>
                <w:lang w:val="es-ES"/>
              </w:rPr>
              <w:t xml:space="preserve"> </w:t>
            </w:r>
            <w:proofErr w:type="spellStart"/>
            <w:r>
              <w:rPr>
                <w:sz w:val="22"/>
                <w:szCs w:val="22"/>
                <w:lang w:val="es-ES"/>
              </w:rPr>
              <w:t>contract</w:t>
            </w:r>
            <w:proofErr w:type="spellEnd"/>
            <w:r>
              <w:rPr>
                <w:sz w:val="22"/>
                <w:szCs w:val="22"/>
                <w:lang w:val="es-ES"/>
              </w:rPr>
              <w:t xml:space="preserve"> </w:t>
            </w:r>
            <w:proofErr w:type="spellStart"/>
            <w:r>
              <w:rPr>
                <w:sz w:val="22"/>
                <w:szCs w:val="22"/>
                <w:lang w:val="es-ES"/>
              </w:rPr>
              <w:t>is</w:t>
            </w:r>
            <w:proofErr w:type="spellEnd"/>
            <w:r>
              <w:rPr>
                <w:sz w:val="22"/>
                <w:szCs w:val="22"/>
                <w:lang w:val="es-ES"/>
              </w:rPr>
              <w:t xml:space="preserve"> </w:t>
            </w:r>
            <w:proofErr w:type="spellStart"/>
            <w:r>
              <w:rPr>
                <w:sz w:val="22"/>
                <w:szCs w:val="22"/>
                <w:lang w:val="es-ES"/>
              </w:rPr>
              <w:t>constituted</w:t>
            </w:r>
            <w:proofErr w:type="spellEnd"/>
            <w:r>
              <w:rPr>
                <w:sz w:val="22"/>
                <w:szCs w:val="22"/>
                <w:lang w:val="es-ES"/>
              </w:rPr>
              <w:t xml:space="preserve"> </w:t>
            </w:r>
            <w:proofErr w:type="spellStart"/>
            <w:r>
              <w:rPr>
                <w:sz w:val="22"/>
                <w:szCs w:val="22"/>
                <w:lang w:val="es-ES"/>
              </w:rPr>
              <w:t>by</w:t>
            </w:r>
            <w:proofErr w:type="spellEnd"/>
            <w:r>
              <w:rPr>
                <w:sz w:val="22"/>
                <w:szCs w:val="22"/>
                <w:lang w:val="es-ES"/>
              </w:rPr>
              <w:t xml:space="preserve"> </w:t>
            </w:r>
            <w:proofErr w:type="spellStart"/>
            <w:r>
              <w:rPr>
                <w:sz w:val="22"/>
                <w:szCs w:val="22"/>
                <w:lang w:val="es-ES"/>
              </w:rPr>
              <w:t>means</w:t>
            </w:r>
            <w:proofErr w:type="spellEnd"/>
            <w:r>
              <w:rPr>
                <w:sz w:val="22"/>
                <w:szCs w:val="22"/>
                <w:lang w:val="es-ES"/>
              </w:rPr>
              <w:t xml:space="preserve"> </w:t>
            </w:r>
            <w:proofErr w:type="spellStart"/>
            <w:r>
              <w:rPr>
                <w:sz w:val="22"/>
                <w:szCs w:val="22"/>
                <w:lang w:val="es-ES"/>
              </w:rPr>
              <w:t>of</w:t>
            </w:r>
            <w:proofErr w:type="spellEnd"/>
            <w:r>
              <w:rPr>
                <w:sz w:val="22"/>
                <w:szCs w:val="22"/>
                <w:lang w:val="es-ES"/>
              </w:rPr>
              <w:t xml:space="preserve"> a </w:t>
            </w:r>
            <w:proofErr w:type="spellStart"/>
            <w:r>
              <w:rPr>
                <w:sz w:val="22"/>
                <w:szCs w:val="22"/>
                <w:lang w:val="es-ES"/>
              </w:rPr>
              <w:t>surety</w:t>
            </w:r>
            <w:proofErr w:type="spellEnd"/>
            <w:r>
              <w:rPr>
                <w:sz w:val="22"/>
                <w:szCs w:val="22"/>
                <w:lang w:val="es-ES"/>
              </w:rPr>
              <w:t xml:space="preserve"> </w:t>
            </w:r>
            <w:proofErr w:type="spellStart"/>
            <w:r>
              <w:rPr>
                <w:sz w:val="22"/>
                <w:szCs w:val="22"/>
                <w:lang w:val="es-ES"/>
              </w:rPr>
              <w:t>or</w:t>
            </w:r>
            <w:proofErr w:type="spellEnd"/>
            <w:r>
              <w:rPr>
                <w:sz w:val="22"/>
                <w:szCs w:val="22"/>
                <w:lang w:val="es-ES"/>
              </w:rPr>
              <w:t xml:space="preserve"> </w:t>
            </w:r>
            <w:proofErr w:type="spellStart"/>
            <w:r>
              <w:rPr>
                <w:sz w:val="22"/>
                <w:szCs w:val="22"/>
                <w:lang w:val="es-ES"/>
              </w:rPr>
              <w:t>bank</w:t>
            </w:r>
            <w:proofErr w:type="spellEnd"/>
            <w:r>
              <w:rPr>
                <w:sz w:val="22"/>
                <w:szCs w:val="22"/>
                <w:lang w:val="es-ES"/>
              </w:rPr>
              <w:t xml:space="preserve"> </w:t>
            </w:r>
            <w:proofErr w:type="spellStart"/>
            <w:r>
              <w:rPr>
                <w:sz w:val="22"/>
                <w:szCs w:val="22"/>
                <w:lang w:val="es-ES"/>
              </w:rPr>
              <w:t>guarantee</w:t>
            </w:r>
            <w:proofErr w:type="spellEnd"/>
            <w:r>
              <w:rPr>
                <w:sz w:val="22"/>
                <w:szCs w:val="22"/>
                <w:lang w:val="es-ES"/>
              </w:rPr>
              <w:t xml:space="preserve">, </w:t>
            </w:r>
            <w:proofErr w:type="spellStart"/>
            <w:r>
              <w:rPr>
                <w:sz w:val="22"/>
                <w:szCs w:val="22"/>
                <w:lang w:val="es-ES"/>
              </w:rPr>
              <w:t>said</w:t>
            </w:r>
            <w:proofErr w:type="spellEnd"/>
            <w:r>
              <w:rPr>
                <w:sz w:val="22"/>
                <w:szCs w:val="22"/>
                <w:lang w:val="es-ES"/>
              </w:rPr>
              <w:t xml:space="preserve"> </w:t>
            </w:r>
            <w:proofErr w:type="spellStart"/>
            <w:r>
              <w:rPr>
                <w:sz w:val="22"/>
                <w:szCs w:val="22"/>
                <w:lang w:val="es-ES"/>
              </w:rPr>
              <w:t>documents</w:t>
            </w:r>
            <w:proofErr w:type="spellEnd"/>
            <w:r>
              <w:rPr>
                <w:sz w:val="22"/>
                <w:szCs w:val="22"/>
                <w:lang w:val="es-ES"/>
              </w:rPr>
              <w:t xml:space="preserve"> </w:t>
            </w:r>
            <w:proofErr w:type="spellStart"/>
            <w:r>
              <w:rPr>
                <w:sz w:val="22"/>
                <w:szCs w:val="22"/>
                <w:lang w:val="es-ES"/>
              </w:rPr>
              <w:t>issued</w:t>
            </w:r>
            <w:proofErr w:type="spellEnd"/>
            <w:r>
              <w:rPr>
                <w:sz w:val="22"/>
                <w:szCs w:val="22"/>
                <w:lang w:val="es-ES"/>
              </w:rPr>
              <w:t xml:space="preserve"> </w:t>
            </w:r>
            <w:proofErr w:type="spellStart"/>
            <w:r>
              <w:rPr>
                <w:sz w:val="22"/>
                <w:szCs w:val="22"/>
                <w:lang w:val="es-ES"/>
              </w:rPr>
              <w:t>by</w:t>
            </w:r>
            <w:proofErr w:type="spellEnd"/>
            <w:r>
              <w:rPr>
                <w:sz w:val="22"/>
                <w:szCs w:val="22"/>
                <w:lang w:val="es-ES"/>
              </w:rPr>
              <w:t xml:space="preserve"> </w:t>
            </w:r>
            <w:proofErr w:type="spellStart"/>
            <w:r>
              <w:rPr>
                <w:sz w:val="22"/>
                <w:szCs w:val="22"/>
                <w:lang w:val="es-ES"/>
              </w:rPr>
              <w:t>the</w:t>
            </w:r>
            <w:proofErr w:type="spellEnd"/>
            <w:r>
              <w:rPr>
                <w:sz w:val="22"/>
                <w:szCs w:val="22"/>
                <w:lang w:val="es-ES"/>
              </w:rPr>
              <w:t xml:space="preserve"> </w:t>
            </w:r>
            <w:proofErr w:type="spellStart"/>
            <w:r>
              <w:rPr>
                <w:sz w:val="22"/>
                <w:szCs w:val="22"/>
                <w:lang w:val="es-ES"/>
              </w:rPr>
              <w:t>guaranteeing</w:t>
            </w:r>
            <w:proofErr w:type="spellEnd"/>
            <w:r>
              <w:rPr>
                <w:sz w:val="22"/>
                <w:szCs w:val="22"/>
                <w:lang w:val="es-ES"/>
              </w:rPr>
              <w:t xml:space="preserve"> </w:t>
            </w:r>
            <w:proofErr w:type="spellStart"/>
            <w:r>
              <w:rPr>
                <w:sz w:val="22"/>
                <w:szCs w:val="22"/>
                <w:lang w:val="es-ES"/>
              </w:rPr>
              <w:t>entity</w:t>
            </w:r>
            <w:proofErr w:type="spellEnd"/>
            <w:r>
              <w:rPr>
                <w:sz w:val="22"/>
                <w:szCs w:val="22"/>
                <w:lang w:val="es-ES"/>
              </w:rPr>
              <w:t xml:space="preserve"> </w:t>
            </w:r>
            <w:proofErr w:type="spellStart"/>
            <w:r>
              <w:rPr>
                <w:sz w:val="22"/>
                <w:szCs w:val="22"/>
                <w:lang w:val="es-ES"/>
              </w:rPr>
              <w:t>must</w:t>
            </w:r>
            <w:proofErr w:type="spellEnd"/>
            <w:r>
              <w:rPr>
                <w:sz w:val="22"/>
                <w:szCs w:val="22"/>
                <w:lang w:val="es-ES"/>
              </w:rPr>
              <w:t xml:space="preserve"> be </w:t>
            </w:r>
            <w:proofErr w:type="spellStart"/>
            <w:r>
              <w:rPr>
                <w:sz w:val="22"/>
                <w:szCs w:val="22"/>
                <w:lang w:val="es-ES"/>
              </w:rPr>
              <w:t>accompanied</w:t>
            </w:r>
            <w:proofErr w:type="spellEnd"/>
            <w:r>
              <w:rPr>
                <w:sz w:val="22"/>
                <w:szCs w:val="22"/>
                <w:lang w:val="es-ES"/>
              </w:rPr>
              <w:t xml:space="preserve"> </w:t>
            </w:r>
            <w:proofErr w:type="spellStart"/>
            <w:r>
              <w:rPr>
                <w:sz w:val="22"/>
                <w:szCs w:val="22"/>
                <w:lang w:val="es-ES"/>
              </w:rPr>
              <w:t>by</w:t>
            </w:r>
            <w:proofErr w:type="spellEnd"/>
            <w:r>
              <w:rPr>
                <w:sz w:val="22"/>
                <w:szCs w:val="22"/>
                <w:lang w:val="es-ES"/>
              </w:rPr>
              <w:t xml:space="preserve"> a </w:t>
            </w:r>
            <w:proofErr w:type="spellStart"/>
            <w:r>
              <w:rPr>
                <w:sz w:val="22"/>
                <w:szCs w:val="22"/>
                <w:lang w:val="es-ES"/>
              </w:rPr>
              <w:t>notarized</w:t>
            </w:r>
            <w:proofErr w:type="spellEnd"/>
            <w:r>
              <w:rPr>
                <w:sz w:val="22"/>
                <w:szCs w:val="22"/>
                <w:lang w:val="es-ES"/>
              </w:rPr>
              <w:t xml:space="preserve"> </w:t>
            </w:r>
            <w:proofErr w:type="spellStart"/>
            <w:r>
              <w:rPr>
                <w:sz w:val="22"/>
                <w:szCs w:val="22"/>
                <w:lang w:val="es-ES"/>
              </w:rPr>
              <w:t>certification</w:t>
            </w:r>
            <w:proofErr w:type="spellEnd"/>
            <w:r>
              <w:rPr>
                <w:sz w:val="22"/>
                <w:szCs w:val="22"/>
                <w:lang w:val="es-ES"/>
              </w:rPr>
              <w:t xml:space="preserve"> </w:t>
            </w:r>
            <w:proofErr w:type="spellStart"/>
            <w:r>
              <w:rPr>
                <w:sz w:val="22"/>
                <w:szCs w:val="22"/>
                <w:lang w:val="es-ES"/>
              </w:rPr>
              <w:t>of</w:t>
            </w:r>
            <w:proofErr w:type="spellEnd"/>
            <w:r>
              <w:rPr>
                <w:sz w:val="22"/>
                <w:szCs w:val="22"/>
                <w:lang w:val="es-ES"/>
              </w:rPr>
              <w:t xml:space="preserve"> </w:t>
            </w:r>
            <w:proofErr w:type="spellStart"/>
            <w:r>
              <w:rPr>
                <w:sz w:val="22"/>
                <w:szCs w:val="22"/>
                <w:lang w:val="es-ES"/>
              </w:rPr>
              <w:t>signatures</w:t>
            </w:r>
            <w:proofErr w:type="spellEnd"/>
            <w:r>
              <w:rPr>
                <w:sz w:val="22"/>
                <w:szCs w:val="22"/>
                <w:lang w:val="es-ES"/>
              </w:rPr>
              <w:t>.</w:t>
            </w:r>
          </w:p>
        </w:tc>
      </w:tr>
      <w:tr w:rsidR="00E255F4" w14:paraId="0EEA6F21" w14:textId="77777777">
        <w:tc>
          <w:tcPr>
            <w:tcW w:w="730" w:type="dxa"/>
            <w:tcBorders>
              <w:top w:val="single" w:sz="4" w:space="0" w:color="000000"/>
              <w:left w:val="single" w:sz="4" w:space="0" w:color="000000"/>
              <w:bottom w:val="single" w:sz="4" w:space="0" w:color="000000"/>
              <w:right w:val="single" w:sz="4" w:space="0" w:color="000000"/>
            </w:tcBorders>
          </w:tcPr>
          <w:p w14:paraId="02CB3264" w14:textId="77777777" w:rsidR="00E255F4" w:rsidRDefault="00000000">
            <w:pPr>
              <w:ind w:right="-36"/>
              <w:rPr>
                <w:rFonts w:eastAsia="Palatino Linotype"/>
                <w:b/>
                <w:sz w:val="22"/>
                <w:szCs w:val="22"/>
                <w:lang w:val="es-ES"/>
              </w:rPr>
            </w:pPr>
            <w:r>
              <w:rPr>
                <w:rFonts w:eastAsia="Palatino Linotype"/>
                <w:b/>
                <w:sz w:val="22"/>
                <w:szCs w:val="22"/>
                <w:lang w:val="es-ES"/>
              </w:rPr>
              <w:t>21</w:t>
            </w:r>
          </w:p>
        </w:tc>
        <w:tc>
          <w:tcPr>
            <w:tcW w:w="9048" w:type="dxa"/>
            <w:tcBorders>
              <w:top w:val="single" w:sz="4" w:space="0" w:color="000000"/>
              <w:left w:val="single" w:sz="4" w:space="0" w:color="000000"/>
              <w:bottom w:val="single" w:sz="4" w:space="0" w:color="000000"/>
              <w:right w:val="single" w:sz="4" w:space="0" w:color="000000"/>
            </w:tcBorders>
          </w:tcPr>
          <w:p w14:paraId="4858D755" w14:textId="77777777" w:rsidR="00E255F4" w:rsidRDefault="00000000">
            <w:pPr>
              <w:rPr>
                <w:b/>
                <w:iCs/>
                <w:sz w:val="22"/>
                <w:szCs w:val="22"/>
                <w:lang w:eastAsia="es-UY"/>
              </w:rPr>
            </w:pPr>
            <w:r>
              <w:rPr>
                <w:b/>
                <w:iCs/>
                <w:sz w:val="22"/>
                <w:szCs w:val="22"/>
                <w:lang w:eastAsia="es-UY"/>
              </w:rPr>
              <w:t xml:space="preserve">Personal </w:t>
            </w:r>
            <w:proofErr w:type="spellStart"/>
            <w:r>
              <w:rPr>
                <w:b/>
                <w:iCs/>
                <w:sz w:val="22"/>
                <w:szCs w:val="22"/>
                <w:lang w:eastAsia="es-UY"/>
              </w:rPr>
              <w:t>Fulfillment</w:t>
            </w:r>
            <w:proofErr w:type="spellEnd"/>
            <w:r>
              <w:rPr>
                <w:b/>
                <w:iCs/>
                <w:sz w:val="22"/>
                <w:szCs w:val="22"/>
                <w:lang w:eastAsia="es-UY"/>
              </w:rPr>
              <w:t xml:space="preserve"> </w:t>
            </w:r>
            <w:proofErr w:type="spellStart"/>
            <w:r>
              <w:rPr>
                <w:b/>
                <w:iCs/>
                <w:sz w:val="22"/>
                <w:szCs w:val="22"/>
                <w:lang w:eastAsia="es-UY"/>
              </w:rPr>
              <w:t>of</w:t>
            </w:r>
            <w:proofErr w:type="spellEnd"/>
            <w:r>
              <w:rPr>
                <w:b/>
                <w:iCs/>
                <w:sz w:val="22"/>
                <w:szCs w:val="22"/>
                <w:lang w:eastAsia="es-UY"/>
              </w:rPr>
              <w:t xml:space="preserve"> </w:t>
            </w:r>
            <w:proofErr w:type="spellStart"/>
            <w:r>
              <w:rPr>
                <w:b/>
                <w:iCs/>
                <w:sz w:val="22"/>
                <w:szCs w:val="22"/>
                <w:lang w:eastAsia="es-UY"/>
              </w:rPr>
              <w:t>Obligations</w:t>
            </w:r>
            <w:proofErr w:type="spellEnd"/>
          </w:p>
          <w:p w14:paraId="1349A9C8" w14:textId="77777777" w:rsidR="00E255F4" w:rsidRDefault="00000000">
            <w:pPr>
              <w:spacing w:after="120"/>
              <w:jc w:val="both"/>
              <w:rPr>
                <w:iCs/>
                <w:sz w:val="22"/>
                <w:szCs w:val="22"/>
                <w:lang w:eastAsia="es-UY"/>
              </w:rPr>
            </w:pPr>
            <w:proofErr w:type="spellStart"/>
            <w:r>
              <w:rPr>
                <w:iCs/>
                <w:sz w:val="22"/>
                <w:szCs w:val="22"/>
                <w:lang w:eastAsia="es-UY"/>
              </w:rPr>
              <w:t>It</w:t>
            </w:r>
            <w:proofErr w:type="spellEnd"/>
            <w:r>
              <w:rPr>
                <w:iCs/>
                <w:sz w:val="22"/>
                <w:szCs w:val="22"/>
                <w:lang w:eastAsia="es-UY"/>
              </w:rPr>
              <w:t xml:space="preserve"> </w:t>
            </w:r>
            <w:proofErr w:type="spellStart"/>
            <w:r>
              <w:rPr>
                <w:iCs/>
                <w:sz w:val="22"/>
                <w:szCs w:val="22"/>
                <w:lang w:eastAsia="es-UY"/>
              </w:rPr>
              <w:t>is</w:t>
            </w:r>
            <w:proofErr w:type="spellEnd"/>
            <w:r>
              <w:rPr>
                <w:iCs/>
                <w:sz w:val="22"/>
                <w:szCs w:val="22"/>
                <w:lang w:eastAsia="es-UY"/>
              </w:rPr>
              <w:t xml:space="preserve"> </w:t>
            </w:r>
            <w:proofErr w:type="spellStart"/>
            <w:r>
              <w:rPr>
                <w:iCs/>
                <w:sz w:val="22"/>
                <w:szCs w:val="22"/>
                <w:lang w:eastAsia="es-UY"/>
              </w:rPr>
              <w:t>added</w:t>
            </w:r>
            <w:proofErr w:type="spellEnd"/>
            <w:r>
              <w:rPr>
                <w:iCs/>
                <w:sz w:val="22"/>
                <w:szCs w:val="22"/>
                <w:lang w:eastAsia="es-UY"/>
              </w:rPr>
              <w:t>:</w:t>
            </w:r>
          </w:p>
          <w:p w14:paraId="0C03163B" w14:textId="77777777" w:rsidR="00E255F4" w:rsidRDefault="00000000">
            <w:pPr>
              <w:spacing w:after="120" w:line="240" w:lineRule="auto"/>
              <w:rPr>
                <w:iCs/>
                <w:sz w:val="22"/>
                <w:szCs w:val="22"/>
                <w:lang w:eastAsia="es-UY"/>
              </w:rPr>
            </w:pPr>
            <w:r>
              <w:rPr>
                <w:iCs/>
                <w:sz w:val="22"/>
                <w:szCs w:val="22"/>
                <w:lang w:eastAsia="es-UY"/>
              </w:rPr>
              <w:t xml:space="preserve">Legal </w:t>
            </w:r>
            <w:proofErr w:type="spellStart"/>
            <w:r>
              <w:rPr>
                <w:iCs/>
                <w:sz w:val="22"/>
                <w:szCs w:val="22"/>
                <w:lang w:eastAsia="es-UY"/>
              </w:rPr>
              <w:t>regulations</w:t>
            </w:r>
            <w:proofErr w:type="spellEnd"/>
            <w:r>
              <w:rPr>
                <w:iCs/>
                <w:sz w:val="22"/>
                <w:szCs w:val="22"/>
                <w:lang w:eastAsia="es-UY"/>
              </w:rPr>
              <w:t xml:space="preserve"> and </w:t>
            </w:r>
            <w:proofErr w:type="spellStart"/>
            <w:r>
              <w:rPr>
                <w:iCs/>
                <w:sz w:val="22"/>
                <w:szCs w:val="22"/>
                <w:lang w:eastAsia="es-UY"/>
              </w:rPr>
              <w:t>provisions</w:t>
            </w:r>
            <w:proofErr w:type="spellEnd"/>
            <w:r>
              <w:rPr>
                <w:iCs/>
                <w:sz w:val="22"/>
                <w:szCs w:val="22"/>
                <w:lang w:eastAsia="es-UY"/>
              </w:rPr>
              <w:t xml:space="preserve"> </w:t>
            </w:r>
            <w:proofErr w:type="spellStart"/>
            <w:r>
              <w:rPr>
                <w:iCs/>
                <w:sz w:val="22"/>
                <w:szCs w:val="22"/>
                <w:lang w:eastAsia="es-UY"/>
              </w:rPr>
              <w:t>corresponding</w:t>
            </w:r>
            <w:proofErr w:type="spellEnd"/>
            <w:r>
              <w:rPr>
                <w:iCs/>
                <w:sz w:val="22"/>
                <w:szCs w:val="22"/>
                <w:lang w:eastAsia="es-UY"/>
              </w:rPr>
              <w:t xml:space="preserve"> </w:t>
            </w:r>
            <w:proofErr w:type="spellStart"/>
            <w:r>
              <w:rPr>
                <w:iCs/>
                <w:sz w:val="22"/>
                <w:szCs w:val="22"/>
                <w:lang w:eastAsia="es-UY"/>
              </w:rPr>
              <w:t>to</w:t>
            </w:r>
            <w:proofErr w:type="spellEnd"/>
            <w:r>
              <w:rPr>
                <w:iCs/>
                <w:sz w:val="22"/>
                <w:szCs w:val="22"/>
                <w:lang w:eastAsia="es-UY"/>
              </w:rPr>
              <w:t xml:space="preserve"> Law 18.251.</w:t>
            </w:r>
          </w:p>
          <w:p w14:paraId="6D788E3A" w14:textId="77777777" w:rsidR="00E255F4" w:rsidRDefault="00000000">
            <w:pPr>
              <w:spacing w:after="120" w:line="240" w:lineRule="auto"/>
            </w:pPr>
            <w:r>
              <w:rPr>
                <w:iCs/>
                <w:sz w:val="22"/>
                <w:szCs w:val="22"/>
                <w:lang w:eastAsia="es-UY"/>
              </w:rPr>
              <w:t xml:space="preserve">The </w:t>
            </w:r>
            <w:proofErr w:type="spellStart"/>
            <w:r>
              <w:rPr>
                <w:iCs/>
                <w:sz w:val="22"/>
                <w:szCs w:val="22"/>
                <w:lang w:eastAsia="es-UY"/>
              </w:rPr>
              <w:t>service</w:t>
            </w:r>
            <w:proofErr w:type="spellEnd"/>
            <w:r>
              <w:rPr>
                <w:iCs/>
                <w:sz w:val="22"/>
                <w:szCs w:val="22"/>
                <w:lang w:eastAsia="es-UY"/>
              </w:rPr>
              <w:t xml:space="preserve"> </w:t>
            </w:r>
            <w:proofErr w:type="spellStart"/>
            <w:r>
              <w:rPr>
                <w:iCs/>
                <w:sz w:val="22"/>
                <w:szCs w:val="22"/>
                <w:lang w:eastAsia="es-UY"/>
              </w:rPr>
              <w:t>provider's</w:t>
            </w:r>
            <w:proofErr w:type="spellEnd"/>
            <w:r>
              <w:rPr>
                <w:iCs/>
                <w:sz w:val="22"/>
                <w:szCs w:val="22"/>
                <w:lang w:eastAsia="es-UY"/>
              </w:rPr>
              <w:t xml:space="preserve"> </w:t>
            </w:r>
            <w:proofErr w:type="spellStart"/>
            <w:r>
              <w:rPr>
                <w:iCs/>
                <w:sz w:val="22"/>
                <w:szCs w:val="22"/>
                <w:lang w:eastAsia="es-UY"/>
              </w:rPr>
              <w:t>obligations</w:t>
            </w:r>
            <w:proofErr w:type="spellEnd"/>
            <w:r>
              <w:rPr>
                <w:iCs/>
                <w:sz w:val="22"/>
                <w:szCs w:val="22"/>
                <w:lang w:eastAsia="es-UY"/>
              </w:rPr>
              <w:t xml:space="preserve"> </w:t>
            </w:r>
            <w:proofErr w:type="spellStart"/>
            <w:r>
              <w:rPr>
                <w:iCs/>
                <w:sz w:val="22"/>
                <w:szCs w:val="22"/>
                <w:lang w:eastAsia="es-UY"/>
              </w:rPr>
              <w:t>include</w:t>
            </w:r>
            <w:proofErr w:type="spellEnd"/>
            <w:r>
              <w:rPr>
                <w:iCs/>
                <w:sz w:val="22"/>
                <w:szCs w:val="22"/>
                <w:lang w:eastAsia="es-UY"/>
              </w:rPr>
              <w:t xml:space="preserve"> </w:t>
            </w:r>
            <w:proofErr w:type="spellStart"/>
            <w:r>
              <w:rPr>
                <w:iCs/>
                <w:sz w:val="22"/>
                <w:szCs w:val="22"/>
                <w:lang w:eastAsia="es-UY"/>
              </w:rPr>
              <w:t>complying</w:t>
            </w:r>
            <w:proofErr w:type="spellEnd"/>
            <w:r>
              <w:rPr>
                <w:iCs/>
                <w:sz w:val="22"/>
                <w:szCs w:val="22"/>
                <w:lang w:eastAsia="es-UY"/>
              </w:rPr>
              <w:t xml:space="preserve"> </w:t>
            </w:r>
            <w:proofErr w:type="spellStart"/>
            <w:r>
              <w:rPr>
                <w:iCs/>
                <w:sz w:val="22"/>
                <w:szCs w:val="22"/>
                <w:lang w:eastAsia="es-UY"/>
              </w:rPr>
              <w:t>with</w:t>
            </w:r>
            <w:proofErr w:type="spellEnd"/>
            <w:r>
              <w:rPr>
                <w:iCs/>
                <w:sz w:val="22"/>
                <w:szCs w:val="22"/>
                <w:lang w:eastAsia="es-UY"/>
              </w:rPr>
              <w:t xml:space="preserve"> </w:t>
            </w:r>
            <w:proofErr w:type="spellStart"/>
            <w:r>
              <w:rPr>
                <w:iCs/>
                <w:sz w:val="22"/>
                <w:szCs w:val="22"/>
                <w:lang w:eastAsia="es-UY"/>
              </w:rPr>
              <w:t>current</w:t>
            </w:r>
            <w:proofErr w:type="spellEnd"/>
            <w:r>
              <w:rPr>
                <w:iCs/>
                <w:sz w:val="22"/>
                <w:szCs w:val="22"/>
                <w:lang w:eastAsia="es-UY"/>
              </w:rPr>
              <w:t xml:space="preserve"> legal </w:t>
            </w:r>
            <w:proofErr w:type="spellStart"/>
            <w:r>
              <w:rPr>
                <w:iCs/>
                <w:sz w:val="22"/>
                <w:szCs w:val="22"/>
                <w:lang w:eastAsia="es-UY"/>
              </w:rPr>
              <w:t>regulations</w:t>
            </w:r>
            <w:proofErr w:type="spellEnd"/>
            <w:r>
              <w:rPr>
                <w:iCs/>
                <w:sz w:val="22"/>
                <w:szCs w:val="22"/>
                <w:lang w:eastAsia="es-UY"/>
              </w:rPr>
              <w:t xml:space="preserve"> </w:t>
            </w:r>
            <w:proofErr w:type="spellStart"/>
            <w:r>
              <w:rPr>
                <w:iCs/>
                <w:sz w:val="22"/>
                <w:szCs w:val="22"/>
                <w:lang w:eastAsia="es-UY"/>
              </w:rPr>
              <w:t>related</w:t>
            </w:r>
            <w:proofErr w:type="spellEnd"/>
            <w:r>
              <w:rPr>
                <w:iCs/>
                <w:sz w:val="22"/>
                <w:szCs w:val="22"/>
                <w:lang w:eastAsia="es-UY"/>
              </w:rPr>
              <w:t xml:space="preserve"> </w:t>
            </w:r>
            <w:proofErr w:type="spellStart"/>
            <w:r>
              <w:rPr>
                <w:iCs/>
                <w:sz w:val="22"/>
                <w:szCs w:val="22"/>
                <w:lang w:eastAsia="es-UY"/>
              </w:rPr>
              <w:t>to</w:t>
            </w:r>
            <w:proofErr w:type="spellEnd"/>
            <w:r>
              <w:rPr>
                <w:iCs/>
                <w:sz w:val="22"/>
                <w:szCs w:val="22"/>
                <w:lang w:eastAsia="es-UY"/>
              </w:rPr>
              <w:t xml:space="preserve"> </w:t>
            </w:r>
            <w:proofErr w:type="spellStart"/>
            <w:r>
              <w:rPr>
                <w:iCs/>
                <w:sz w:val="22"/>
                <w:szCs w:val="22"/>
                <w:lang w:eastAsia="es-UY"/>
              </w:rPr>
              <w:t>the</w:t>
            </w:r>
            <w:proofErr w:type="spellEnd"/>
            <w:r>
              <w:rPr>
                <w:iCs/>
                <w:sz w:val="22"/>
                <w:szCs w:val="22"/>
                <w:lang w:eastAsia="es-UY"/>
              </w:rPr>
              <w:t xml:space="preserve"> </w:t>
            </w:r>
            <w:proofErr w:type="spellStart"/>
            <w:r>
              <w:rPr>
                <w:iCs/>
                <w:sz w:val="22"/>
                <w:szCs w:val="22"/>
                <w:lang w:eastAsia="es-UY"/>
              </w:rPr>
              <w:t>service</w:t>
            </w:r>
            <w:proofErr w:type="spellEnd"/>
            <w:r>
              <w:rPr>
                <w:iCs/>
                <w:sz w:val="22"/>
                <w:szCs w:val="22"/>
                <w:lang w:eastAsia="es-UY"/>
              </w:rPr>
              <w:t xml:space="preserve"> </w:t>
            </w:r>
            <w:proofErr w:type="spellStart"/>
            <w:r>
              <w:rPr>
                <w:iCs/>
                <w:sz w:val="22"/>
                <w:szCs w:val="22"/>
                <w:lang w:eastAsia="es-UY"/>
              </w:rPr>
              <w:t>provided</w:t>
            </w:r>
            <w:proofErr w:type="spellEnd"/>
            <w:r>
              <w:rPr>
                <w:iCs/>
                <w:sz w:val="22"/>
                <w:szCs w:val="22"/>
                <w:lang w:eastAsia="es-UY"/>
              </w:rPr>
              <w:t xml:space="preserve"> (labor, </w:t>
            </w:r>
            <w:proofErr w:type="spellStart"/>
            <w:r>
              <w:rPr>
                <w:iCs/>
                <w:sz w:val="22"/>
                <w:szCs w:val="22"/>
                <w:lang w:eastAsia="es-UY"/>
              </w:rPr>
              <w:t>tax</w:t>
            </w:r>
            <w:proofErr w:type="spellEnd"/>
            <w:r>
              <w:rPr>
                <w:iCs/>
                <w:sz w:val="22"/>
                <w:szCs w:val="22"/>
                <w:lang w:eastAsia="es-UY"/>
              </w:rPr>
              <w:t xml:space="preserve">, </w:t>
            </w:r>
            <w:proofErr w:type="spellStart"/>
            <w:r>
              <w:rPr>
                <w:iCs/>
                <w:sz w:val="22"/>
                <w:szCs w:val="22"/>
                <w:lang w:eastAsia="es-UY"/>
              </w:rPr>
              <w:t>occupational</w:t>
            </w:r>
            <w:proofErr w:type="spellEnd"/>
            <w:r>
              <w:rPr>
                <w:iCs/>
                <w:sz w:val="22"/>
                <w:szCs w:val="22"/>
                <w:lang w:eastAsia="es-UY"/>
              </w:rPr>
              <w:t xml:space="preserve"> safety, </w:t>
            </w:r>
            <w:proofErr w:type="spellStart"/>
            <w:r>
              <w:rPr>
                <w:iCs/>
                <w:sz w:val="22"/>
                <w:szCs w:val="22"/>
                <w:lang w:eastAsia="es-UY"/>
              </w:rPr>
              <w:t>environmental</w:t>
            </w:r>
            <w:proofErr w:type="spellEnd"/>
            <w:r>
              <w:rPr>
                <w:iCs/>
                <w:sz w:val="22"/>
                <w:szCs w:val="22"/>
                <w:lang w:eastAsia="es-UY"/>
              </w:rPr>
              <w:t xml:space="preserve">, etc.) </w:t>
            </w:r>
            <w:proofErr w:type="spellStart"/>
            <w:r>
              <w:rPr>
                <w:iCs/>
                <w:sz w:val="22"/>
                <w:szCs w:val="22"/>
                <w:lang w:eastAsia="es-UY"/>
              </w:rPr>
              <w:t>during</w:t>
            </w:r>
            <w:proofErr w:type="spellEnd"/>
            <w:r>
              <w:rPr>
                <w:iCs/>
                <w:sz w:val="22"/>
                <w:szCs w:val="22"/>
                <w:lang w:eastAsia="es-UY"/>
              </w:rPr>
              <w:t xml:space="preserve"> </w:t>
            </w:r>
            <w:proofErr w:type="spellStart"/>
            <w:r>
              <w:rPr>
                <w:iCs/>
                <w:sz w:val="22"/>
                <w:szCs w:val="22"/>
                <w:lang w:eastAsia="es-UY"/>
              </w:rPr>
              <w:t>the</w:t>
            </w:r>
            <w:proofErr w:type="spellEnd"/>
            <w:r>
              <w:rPr>
                <w:iCs/>
                <w:sz w:val="22"/>
                <w:szCs w:val="22"/>
                <w:lang w:eastAsia="es-UY"/>
              </w:rPr>
              <w:t xml:space="preserve"> </w:t>
            </w:r>
            <w:proofErr w:type="spellStart"/>
            <w:r>
              <w:rPr>
                <w:iCs/>
                <w:sz w:val="22"/>
                <w:szCs w:val="22"/>
                <w:lang w:eastAsia="es-UY"/>
              </w:rPr>
              <w:t>execution</w:t>
            </w:r>
            <w:proofErr w:type="spellEnd"/>
            <w:r>
              <w:rPr>
                <w:iCs/>
                <w:sz w:val="22"/>
                <w:szCs w:val="22"/>
                <w:lang w:eastAsia="es-UY"/>
              </w:rPr>
              <w:t xml:space="preserve"> </w:t>
            </w:r>
            <w:proofErr w:type="spellStart"/>
            <w:r>
              <w:rPr>
                <w:iCs/>
                <w:sz w:val="22"/>
                <w:szCs w:val="22"/>
                <w:lang w:eastAsia="es-UY"/>
              </w:rPr>
              <w:t>of</w:t>
            </w:r>
            <w:proofErr w:type="spellEnd"/>
            <w:r>
              <w:rPr>
                <w:iCs/>
                <w:sz w:val="22"/>
                <w:szCs w:val="22"/>
                <w:lang w:eastAsia="es-UY"/>
              </w:rPr>
              <w:t xml:space="preserve"> </w:t>
            </w:r>
            <w:proofErr w:type="spellStart"/>
            <w:r>
              <w:rPr>
                <w:iCs/>
                <w:sz w:val="22"/>
                <w:szCs w:val="22"/>
                <w:lang w:eastAsia="es-UY"/>
              </w:rPr>
              <w:t>the</w:t>
            </w:r>
            <w:proofErr w:type="spellEnd"/>
            <w:r>
              <w:rPr>
                <w:iCs/>
                <w:sz w:val="22"/>
                <w:szCs w:val="22"/>
                <w:lang w:eastAsia="es-UY"/>
              </w:rPr>
              <w:t xml:space="preserve"> </w:t>
            </w:r>
            <w:proofErr w:type="spellStart"/>
            <w:r>
              <w:rPr>
                <w:iCs/>
                <w:sz w:val="22"/>
                <w:szCs w:val="22"/>
                <w:lang w:eastAsia="es-UY"/>
              </w:rPr>
              <w:t>contract</w:t>
            </w:r>
            <w:proofErr w:type="spellEnd"/>
            <w:r>
              <w:rPr>
                <w:iCs/>
                <w:sz w:val="22"/>
                <w:szCs w:val="22"/>
                <w:lang w:eastAsia="es-UY"/>
              </w:rPr>
              <w:t xml:space="preserve">, and in particular, </w:t>
            </w:r>
            <w:proofErr w:type="spellStart"/>
            <w:r>
              <w:rPr>
                <w:iCs/>
                <w:sz w:val="22"/>
                <w:szCs w:val="22"/>
                <w:lang w:eastAsia="es-UY"/>
              </w:rPr>
              <w:t>with</w:t>
            </w:r>
            <w:proofErr w:type="spellEnd"/>
            <w:r>
              <w:rPr>
                <w:iCs/>
                <w:sz w:val="22"/>
                <w:szCs w:val="22"/>
                <w:lang w:eastAsia="es-UY"/>
              </w:rPr>
              <w:t xml:space="preserve"> </w:t>
            </w:r>
            <w:proofErr w:type="spellStart"/>
            <w:r>
              <w:rPr>
                <w:iCs/>
                <w:sz w:val="22"/>
                <w:szCs w:val="22"/>
                <w:lang w:eastAsia="es-UY"/>
              </w:rPr>
              <w:t>the</w:t>
            </w:r>
            <w:proofErr w:type="spellEnd"/>
            <w:r>
              <w:rPr>
                <w:iCs/>
                <w:sz w:val="22"/>
                <w:szCs w:val="22"/>
                <w:lang w:eastAsia="es-UY"/>
              </w:rPr>
              <w:t xml:space="preserve"> labor and </w:t>
            </w:r>
            <w:proofErr w:type="spellStart"/>
            <w:r>
              <w:rPr>
                <w:iCs/>
                <w:sz w:val="22"/>
                <w:szCs w:val="22"/>
                <w:lang w:eastAsia="es-UY"/>
              </w:rPr>
              <w:t>salary</w:t>
            </w:r>
            <w:proofErr w:type="spellEnd"/>
            <w:r>
              <w:rPr>
                <w:iCs/>
                <w:sz w:val="22"/>
                <w:szCs w:val="22"/>
                <w:lang w:eastAsia="es-UY"/>
              </w:rPr>
              <w:t xml:space="preserve"> </w:t>
            </w:r>
            <w:proofErr w:type="spellStart"/>
            <w:r>
              <w:rPr>
                <w:iCs/>
                <w:sz w:val="22"/>
                <w:szCs w:val="22"/>
                <w:lang w:eastAsia="es-UY"/>
              </w:rPr>
              <w:t>provisions</w:t>
            </w:r>
            <w:proofErr w:type="spellEnd"/>
            <w:r>
              <w:rPr>
                <w:iCs/>
                <w:sz w:val="22"/>
                <w:szCs w:val="22"/>
                <w:lang w:eastAsia="es-UY"/>
              </w:rPr>
              <w:t xml:space="preserve"> </w:t>
            </w:r>
            <w:proofErr w:type="spellStart"/>
            <w:r>
              <w:rPr>
                <w:iCs/>
                <w:sz w:val="22"/>
                <w:szCs w:val="22"/>
                <w:lang w:eastAsia="es-UY"/>
              </w:rPr>
              <w:t>contained</w:t>
            </w:r>
            <w:proofErr w:type="spellEnd"/>
            <w:r>
              <w:rPr>
                <w:iCs/>
                <w:sz w:val="22"/>
                <w:szCs w:val="22"/>
                <w:lang w:eastAsia="es-UY"/>
              </w:rPr>
              <w:t xml:space="preserve"> in Law 18.251 and Decree 137/016.</w:t>
            </w:r>
          </w:p>
          <w:p w14:paraId="44F53B22" w14:textId="77777777" w:rsidR="00E255F4" w:rsidRDefault="00000000">
            <w:r>
              <w:rPr>
                <w:iCs/>
                <w:sz w:val="22"/>
                <w:szCs w:val="22"/>
                <w:lang w:eastAsia="es-UY"/>
              </w:rPr>
              <w:t xml:space="preserve">The </w:t>
            </w:r>
            <w:proofErr w:type="spellStart"/>
            <w:r>
              <w:rPr>
                <w:iCs/>
                <w:sz w:val="22"/>
                <w:szCs w:val="22"/>
                <w:lang w:eastAsia="es-UY"/>
              </w:rPr>
              <w:t>service</w:t>
            </w:r>
            <w:proofErr w:type="spellEnd"/>
            <w:r>
              <w:rPr>
                <w:iCs/>
                <w:sz w:val="22"/>
                <w:szCs w:val="22"/>
                <w:lang w:eastAsia="es-UY"/>
              </w:rPr>
              <w:t xml:space="preserve"> </w:t>
            </w:r>
            <w:proofErr w:type="spellStart"/>
            <w:r>
              <w:rPr>
                <w:iCs/>
                <w:sz w:val="22"/>
                <w:szCs w:val="22"/>
                <w:lang w:eastAsia="es-UY"/>
              </w:rPr>
              <w:t>provider</w:t>
            </w:r>
            <w:proofErr w:type="spellEnd"/>
            <w:r>
              <w:rPr>
                <w:iCs/>
                <w:sz w:val="22"/>
                <w:szCs w:val="22"/>
                <w:lang w:eastAsia="es-UY"/>
              </w:rPr>
              <w:t xml:space="preserve"> </w:t>
            </w:r>
            <w:proofErr w:type="spellStart"/>
            <w:r>
              <w:rPr>
                <w:iCs/>
                <w:sz w:val="22"/>
                <w:szCs w:val="22"/>
                <w:lang w:eastAsia="es-UY"/>
              </w:rPr>
              <w:t>must</w:t>
            </w:r>
            <w:proofErr w:type="spellEnd"/>
            <w:r>
              <w:rPr>
                <w:iCs/>
                <w:sz w:val="22"/>
                <w:szCs w:val="22"/>
                <w:lang w:eastAsia="es-UY"/>
              </w:rPr>
              <w:t xml:space="preserve"> </w:t>
            </w:r>
            <w:proofErr w:type="spellStart"/>
            <w:r>
              <w:rPr>
                <w:iCs/>
                <w:sz w:val="22"/>
                <w:szCs w:val="22"/>
                <w:lang w:eastAsia="es-UY"/>
              </w:rPr>
              <w:t>communicate</w:t>
            </w:r>
            <w:proofErr w:type="spellEnd"/>
            <w:r>
              <w:rPr>
                <w:iCs/>
                <w:sz w:val="22"/>
                <w:szCs w:val="22"/>
                <w:lang w:eastAsia="es-UY"/>
              </w:rPr>
              <w:t xml:space="preserve"> </w:t>
            </w:r>
            <w:proofErr w:type="spellStart"/>
            <w:r>
              <w:rPr>
                <w:iCs/>
                <w:sz w:val="22"/>
                <w:szCs w:val="22"/>
                <w:lang w:eastAsia="es-UY"/>
              </w:rPr>
              <w:t>to</w:t>
            </w:r>
            <w:proofErr w:type="spellEnd"/>
            <w:r>
              <w:rPr>
                <w:iCs/>
                <w:sz w:val="22"/>
                <w:szCs w:val="22"/>
                <w:lang w:eastAsia="es-UY"/>
              </w:rPr>
              <w:t xml:space="preserve"> OSE </w:t>
            </w:r>
            <w:proofErr w:type="spellStart"/>
            <w:r>
              <w:rPr>
                <w:iCs/>
                <w:sz w:val="22"/>
                <w:szCs w:val="22"/>
                <w:lang w:eastAsia="es-UY"/>
              </w:rPr>
              <w:t>the</w:t>
            </w:r>
            <w:proofErr w:type="spellEnd"/>
            <w:r>
              <w:rPr>
                <w:iCs/>
                <w:sz w:val="22"/>
                <w:szCs w:val="22"/>
                <w:lang w:eastAsia="es-UY"/>
              </w:rPr>
              <w:t xml:space="preserve"> personal data </w:t>
            </w:r>
            <w:proofErr w:type="spellStart"/>
            <w:r>
              <w:rPr>
                <w:iCs/>
                <w:sz w:val="22"/>
                <w:szCs w:val="22"/>
                <w:lang w:eastAsia="es-UY"/>
              </w:rPr>
              <w:t>of</w:t>
            </w:r>
            <w:proofErr w:type="spellEnd"/>
            <w:r>
              <w:rPr>
                <w:iCs/>
                <w:sz w:val="22"/>
                <w:szCs w:val="22"/>
                <w:lang w:eastAsia="es-UY"/>
              </w:rPr>
              <w:t xml:space="preserve"> </w:t>
            </w:r>
            <w:proofErr w:type="spellStart"/>
            <w:r>
              <w:rPr>
                <w:iCs/>
                <w:sz w:val="22"/>
                <w:szCs w:val="22"/>
                <w:lang w:eastAsia="es-UY"/>
              </w:rPr>
              <w:t>the</w:t>
            </w:r>
            <w:proofErr w:type="spellEnd"/>
            <w:r>
              <w:rPr>
                <w:iCs/>
                <w:sz w:val="22"/>
                <w:szCs w:val="22"/>
                <w:lang w:eastAsia="es-UY"/>
              </w:rPr>
              <w:t xml:space="preserve"> </w:t>
            </w:r>
            <w:proofErr w:type="spellStart"/>
            <w:r>
              <w:rPr>
                <w:iCs/>
                <w:sz w:val="22"/>
                <w:szCs w:val="22"/>
                <w:lang w:eastAsia="es-UY"/>
              </w:rPr>
              <w:t>workers</w:t>
            </w:r>
            <w:proofErr w:type="spellEnd"/>
            <w:r>
              <w:rPr>
                <w:iCs/>
                <w:sz w:val="22"/>
                <w:szCs w:val="22"/>
                <w:lang w:eastAsia="es-UY"/>
              </w:rPr>
              <w:t xml:space="preserve"> </w:t>
            </w:r>
            <w:proofErr w:type="spellStart"/>
            <w:r>
              <w:rPr>
                <w:iCs/>
                <w:sz w:val="22"/>
                <w:szCs w:val="22"/>
                <w:lang w:eastAsia="es-UY"/>
              </w:rPr>
              <w:t>involved</w:t>
            </w:r>
            <w:proofErr w:type="spellEnd"/>
            <w:r>
              <w:rPr>
                <w:iCs/>
                <w:sz w:val="22"/>
                <w:szCs w:val="22"/>
                <w:lang w:eastAsia="es-UY"/>
              </w:rPr>
              <w:t xml:space="preserve"> in </w:t>
            </w:r>
            <w:proofErr w:type="spellStart"/>
            <w:r>
              <w:rPr>
                <w:iCs/>
                <w:sz w:val="22"/>
                <w:szCs w:val="22"/>
                <w:lang w:eastAsia="es-UY"/>
              </w:rPr>
              <w:t>providing</w:t>
            </w:r>
            <w:proofErr w:type="spellEnd"/>
            <w:r>
              <w:rPr>
                <w:iCs/>
                <w:sz w:val="22"/>
                <w:szCs w:val="22"/>
                <w:lang w:eastAsia="es-UY"/>
              </w:rPr>
              <w:t xml:space="preserve"> </w:t>
            </w:r>
            <w:proofErr w:type="spellStart"/>
            <w:r>
              <w:rPr>
                <w:iCs/>
                <w:sz w:val="22"/>
                <w:szCs w:val="22"/>
                <w:lang w:eastAsia="es-UY"/>
              </w:rPr>
              <w:t>the</w:t>
            </w:r>
            <w:proofErr w:type="spellEnd"/>
            <w:r>
              <w:rPr>
                <w:iCs/>
                <w:sz w:val="22"/>
                <w:szCs w:val="22"/>
                <w:lang w:eastAsia="es-UY"/>
              </w:rPr>
              <w:t xml:space="preserve"> </w:t>
            </w:r>
            <w:proofErr w:type="spellStart"/>
            <w:r>
              <w:rPr>
                <w:iCs/>
                <w:sz w:val="22"/>
                <w:szCs w:val="22"/>
                <w:lang w:eastAsia="es-UY"/>
              </w:rPr>
              <w:t>contracted</w:t>
            </w:r>
            <w:proofErr w:type="spellEnd"/>
            <w:r>
              <w:rPr>
                <w:iCs/>
                <w:sz w:val="22"/>
                <w:szCs w:val="22"/>
                <w:lang w:eastAsia="es-UY"/>
              </w:rPr>
              <w:t xml:space="preserve"> </w:t>
            </w:r>
            <w:proofErr w:type="spellStart"/>
            <w:r>
              <w:rPr>
                <w:iCs/>
                <w:sz w:val="22"/>
                <w:szCs w:val="22"/>
                <w:lang w:eastAsia="es-UY"/>
              </w:rPr>
              <w:t>service</w:t>
            </w:r>
            <w:proofErr w:type="spellEnd"/>
            <w:r>
              <w:rPr>
                <w:iCs/>
                <w:sz w:val="22"/>
                <w:szCs w:val="22"/>
                <w:lang w:eastAsia="es-UY"/>
              </w:rPr>
              <w:t xml:space="preserve">, in </w:t>
            </w:r>
            <w:proofErr w:type="spellStart"/>
            <w:r>
              <w:rPr>
                <w:iCs/>
                <w:sz w:val="22"/>
                <w:szCs w:val="22"/>
                <w:lang w:eastAsia="es-UY"/>
              </w:rPr>
              <w:t>order</w:t>
            </w:r>
            <w:proofErr w:type="spellEnd"/>
            <w:r>
              <w:rPr>
                <w:iCs/>
                <w:sz w:val="22"/>
                <w:szCs w:val="22"/>
                <w:lang w:eastAsia="es-UY"/>
              </w:rPr>
              <w:t xml:space="preserve"> </w:t>
            </w:r>
            <w:proofErr w:type="spellStart"/>
            <w:r>
              <w:rPr>
                <w:iCs/>
                <w:sz w:val="22"/>
                <w:szCs w:val="22"/>
                <w:lang w:eastAsia="es-UY"/>
              </w:rPr>
              <w:t>to</w:t>
            </w:r>
            <w:proofErr w:type="spellEnd"/>
            <w:r>
              <w:rPr>
                <w:iCs/>
                <w:sz w:val="22"/>
                <w:szCs w:val="22"/>
                <w:lang w:eastAsia="es-UY"/>
              </w:rPr>
              <w:t xml:space="preserve"> </w:t>
            </w:r>
            <w:proofErr w:type="spellStart"/>
            <w:r>
              <w:rPr>
                <w:iCs/>
                <w:sz w:val="22"/>
                <w:szCs w:val="22"/>
                <w:lang w:eastAsia="es-UY"/>
              </w:rPr>
              <w:t>facilitate</w:t>
            </w:r>
            <w:proofErr w:type="spellEnd"/>
            <w:r>
              <w:rPr>
                <w:iCs/>
                <w:sz w:val="22"/>
                <w:szCs w:val="22"/>
                <w:lang w:eastAsia="es-UY"/>
              </w:rPr>
              <w:t xml:space="preserve"> control and </w:t>
            </w:r>
            <w:proofErr w:type="spellStart"/>
            <w:r>
              <w:rPr>
                <w:iCs/>
                <w:sz w:val="22"/>
                <w:szCs w:val="22"/>
                <w:lang w:eastAsia="es-UY"/>
              </w:rPr>
              <w:t>any</w:t>
            </w:r>
            <w:proofErr w:type="spellEnd"/>
            <w:r>
              <w:rPr>
                <w:iCs/>
                <w:sz w:val="22"/>
                <w:szCs w:val="22"/>
                <w:lang w:eastAsia="es-UY"/>
              </w:rPr>
              <w:t xml:space="preserve"> </w:t>
            </w:r>
            <w:proofErr w:type="spellStart"/>
            <w:r>
              <w:rPr>
                <w:iCs/>
                <w:sz w:val="22"/>
                <w:szCs w:val="22"/>
                <w:lang w:eastAsia="es-UY"/>
              </w:rPr>
              <w:t>changes</w:t>
            </w:r>
            <w:proofErr w:type="spellEnd"/>
            <w:r>
              <w:rPr>
                <w:iCs/>
                <w:sz w:val="22"/>
                <w:szCs w:val="22"/>
                <w:lang w:eastAsia="es-UY"/>
              </w:rPr>
              <w:t xml:space="preserve"> in </w:t>
            </w:r>
            <w:proofErr w:type="spellStart"/>
            <w:r>
              <w:rPr>
                <w:iCs/>
                <w:sz w:val="22"/>
                <w:szCs w:val="22"/>
                <w:lang w:eastAsia="es-UY"/>
              </w:rPr>
              <w:t>the</w:t>
            </w:r>
            <w:proofErr w:type="spellEnd"/>
            <w:r>
              <w:rPr>
                <w:iCs/>
                <w:sz w:val="22"/>
                <w:szCs w:val="22"/>
                <w:lang w:eastAsia="es-UY"/>
              </w:rPr>
              <w:t xml:space="preserve"> </w:t>
            </w:r>
            <w:proofErr w:type="spellStart"/>
            <w:r>
              <w:rPr>
                <w:iCs/>
                <w:sz w:val="22"/>
                <w:szCs w:val="22"/>
                <w:lang w:eastAsia="es-UY"/>
              </w:rPr>
              <w:t>payroll</w:t>
            </w:r>
            <w:proofErr w:type="spellEnd"/>
            <w:r>
              <w:rPr>
                <w:iCs/>
                <w:sz w:val="22"/>
                <w:szCs w:val="22"/>
                <w:lang w:eastAsia="es-UY"/>
              </w:rPr>
              <w:t xml:space="preserve"> </w:t>
            </w:r>
            <w:proofErr w:type="spellStart"/>
            <w:r>
              <w:rPr>
                <w:iCs/>
                <w:sz w:val="22"/>
                <w:szCs w:val="22"/>
                <w:lang w:eastAsia="es-UY"/>
              </w:rPr>
              <w:t>of</w:t>
            </w:r>
            <w:proofErr w:type="spellEnd"/>
            <w:r>
              <w:rPr>
                <w:iCs/>
                <w:sz w:val="22"/>
                <w:szCs w:val="22"/>
                <w:lang w:eastAsia="es-UY"/>
              </w:rPr>
              <w:t xml:space="preserve"> </w:t>
            </w:r>
            <w:proofErr w:type="spellStart"/>
            <w:r>
              <w:rPr>
                <w:iCs/>
                <w:sz w:val="22"/>
                <w:szCs w:val="22"/>
                <w:lang w:eastAsia="es-UY"/>
              </w:rPr>
              <w:t>workers</w:t>
            </w:r>
            <w:proofErr w:type="spellEnd"/>
            <w:r>
              <w:rPr>
                <w:iCs/>
                <w:sz w:val="22"/>
                <w:szCs w:val="22"/>
                <w:lang w:eastAsia="es-UY"/>
              </w:rPr>
              <w:t xml:space="preserve"> </w:t>
            </w:r>
            <w:proofErr w:type="spellStart"/>
            <w:r>
              <w:rPr>
                <w:iCs/>
                <w:sz w:val="22"/>
                <w:szCs w:val="22"/>
                <w:lang w:eastAsia="es-UY"/>
              </w:rPr>
              <w:t>involved</w:t>
            </w:r>
            <w:proofErr w:type="spellEnd"/>
            <w:r>
              <w:rPr>
                <w:iCs/>
                <w:sz w:val="22"/>
                <w:szCs w:val="22"/>
                <w:lang w:eastAsia="es-UY"/>
              </w:rPr>
              <w:t xml:space="preserve"> in </w:t>
            </w:r>
            <w:proofErr w:type="spellStart"/>
            <w:r>
              <w:rPr>
                <w:iCs/>
                <w:sz w:val="22"/>
                <w:szCs w:val="22"/>
                <w:lang w:eastAsia="es-UY"/>
              </w:rPr>
              <w:t>providing</w:t>
            </w:r>
            <w:proofErr w:type="spellEnd"/>
            <w:r>
              <w:rPr>
                <w:iCs/>
                <w:sz w:val="22"/>
                <w:szCs w:val="22"/>
                <w:lang w:eastAsia="es-UY"/>
              </w:rPr>
              <w:t xml:space="preserve"> </w:t>
            </w:r>
            <w:proofErr w:type="spellStart"/>
            <w:r>
              <w:rPr>
                <w:iCs/>
                <w:sz w:val="22"/>
                <w:szCs w:val="22"/>
                <w:lang w:eastAsia="es-UY"/>
              </w:rPr>
              <w:t>the</w:t>
            </w:r>
            <w:proofErr w:type="spellEnd"/>
            <w:r>
              <w:rPr>
                <w:iCs/>
                <w:sz w:val="22"/>
                <w:szCs w:val="22"/>
                <w:lang w:eastAsia="es-UY"/>
              </w:rPr>
              <w:t xml:space="preserve"> </w:t>
            </w:r>
            <w:proofErr w:type="spellStart"/>
            <w:r>
              <w:rPr>
                <w:iCs/>
                <w:sz w:val="22"/>
                <w:szCs w:val="22"/>
                <w:lang w:eastAsia="es-UY"/>
              </w:rPr>
              <w:t>service</w:t>
            </w:r>
            <w:proofErr w:type="spellEnd"/>
            <w:r>
              <w:rPr>
                <w:iCs/>
                <w:sz w:val="22"/>
                <w:szCs w:val="22"/>
                <w:lang w:eastAsia="es-UY"/>
              </w:rPr>
              <w:t>.</w:t>
            </w:r>
          </w:p>
        </w:tc>
      </w:tr>
      <w:tr w:rsidR="00E255F4" w14:paraId="1CEE10AA" w14:textId="77777777">
        <w:tc>
          <w:tcPr>
            <w:tcW w:w="730" w:type="dxa"/>
            <w:tcBorders>
              <w:top w:val="single" w:sz="4" w:space="0" w:color="000000"/>
              <w:left w:val="single" w:sz="4" w:space="0" w:color="000000"/>
              <w:bottom w:val="single" w:sz="4" w:space="0" w:color="000000"/>
              <w:right w:val="single" w:sz="4" w:space="0" w:color="000000"/>
            </w:tcBorders>
          </w:tcPr>
          <w:p w14:paraId="52B60E6B" w14:textId="77777777" w:rsidR="00E255F4" w:rsidRDefault="00000000">
            <w:pPr>
              <w:ind w:right="-36"/>
              <w:rPr>
                <w:rFonts w:eastAsia="Palatino Linotype"/>
                <w:b/>
                <w:sz w:val="22"/>
                <w:szCs w:val="22"/>
                <w:lang w:val="es-ES"/>
              </w:rPr>
            </w:pPr>
            <w:r>
              <w:rPr>
                <w:rFonts w:eastAsia="Palatino Linotype"/>
                <w:b/>
                <w:sz w:val="22"/>
                <w:szCs w:val="22"/>
                <w:lang w:val="es-ES"/>
              </w:rPr>
              <w:t>23</w:t>
            </w:r>
          </w:p>
        </w:tc>
        <w:tc>
          <w:tcPr>
            <w:tcW w:w="9048" w:type="dxa"/>
            <w:tcBorders>
              <w:top w:val="single" w:sz="4" w:space="0" w:color="000000"/>
              <w:left w:val="single" w:sz="4" w:space="0" w:color="000000"/>
              <w:bottom w:val="single" w:sz="4" w:space="0" w:color="000000"/>
              <w:right w:val="single" w:sz="4" w:space="0" w:color="000000"/>
            </w:tcBorders>
          </w:tcPr>
          <w:p w14:paraId="2D53F903" w14:textId="77777777" w:rsidR="00E255F4" w:rsidRDefault="00000000">
            <w:pPr>
              <w:jc w:val="both"/>
              <w:rPr>
                <w:rFonts w:eastAsia="Palatino Linotype"/>
                <w:b/>
                <w:spacing w:val="9"/>
                <w:position w:val="1"/>
                <w:sz w:val="22"/>
                <w:szCs w:val="22"/>
                <w:lang w:val="es-ES"/>
              </w:rPr>
            </w:pPr>
            <w:proofErr w:type="spellStart"/>
            <w:r>
              <w:rPr>
                <w:rFonts w:eastAsia="Palatino Linotype"/>
                <w:b/>
                <w:spacing w:val="9"/>
                <w:position w:val="1"/>
                <w:sz w:val="22"/>
                <w:szCs w:val="22"/>
                <w:lang w:val="es-ES"/>
              </w:rPr>
              <w:t>Penalties</w:t>
            </w:r>
            <w:proofErr w:type="spellEnd"/>
          </w:p>
          <w:p w14:paraId="0984AF46" w14:textId="77777777" w:rsidR="00E255F4" w:rsidRDefault="00000000">
            <w:pPr>
              <w:spacing w:after="120"/>
              <w:jc w:val="both"/>
              <w:rPr>
                <w:rFonts w:eastAsia="Palatino Linotype"/>
                <w:spacing w:val="9"/>
                <w:position w:val="1"/>
                <w:sz w:val="22"/>
                <w:szCs w:val="22"/>
                <w:lang w:val="es-ES"/>
              </w:rPr>
            </w:pPr>
            <w:proofErr w:type="spellStart"/>
            <w:r>
              <w:rPr>
                <w:rFonts w:eastAsia="Palatino Linotype"/>
                <w:spacing w:val="9"/>
                <w:position w:val="1"/>
                <w:sz w:val="22"/>
                <w:szCs w:val="22"/>
                <w:lang w:val="es-ES"/>
              </w:rPr>
              <w:t>It</w:t>
            </w:r>
            <w:proofErr w:type="spellEnd"/>
            <w:r>
              <w:rPr>
                <w:rFonts w:eastAsia="Palatino Linotype"/>
                <w:spacing w:val="9"/>
                <w:position w:val="1"/>
                <w:sz w:val="22"/>
                <w:szCs w:val="22"/>
                <w:lang w:val="es-ES"/>
              </w:rPr>
              <w:t xml:space="preserve"> </w:t>
            </w:r>
            <w:proofErr w:type="spellStart"/>
            <w:r>
              <w:rPr>
                <w:rFonts w:eastAsia="Palatino Linotype"/>
                <w:spacing w:val="9"/>
                <w:position w:val="1"/>
                <w:sz w:val="22"/>
                <w:szCs w:val="22"/>
                <w:lang w:val="es-ES"/>
              </w:rPr>
              <w:t>is</w:t>
            </w:r>
            <w:proofErr w:type="spellEnd"/>
            <w:r>
              <w:rPr>
                <w:rFonts w:eastAsia="Palatino Linotype"/>
                <w:spacing w:val="9"/>
                <w:position w:val="1"/>
                <w:sz w:val="22"/>
                <w:szCs w:val="22"/>
                <w:lang w:val="es-ES"/>
              </w:rPr>
              <w:t xml:space="preserve"> </w:t>
            </w:r>
            <w:proofErr w:type="spellStart"/>
            <w:r>
              <w:rPr>
                <w:rFonts w:eastAsia="Palatino Linotype"/>
                <w:spacing w:val="9"/>
                <w:position w:val="1"/>
                <w:sz w:val="22"/>
                <w:szCs w:val="22"/>
                <w:lang w:val="es-ES"/>
              </w:rPr>
              <w:t>added</w:t>
            </w:r>
            <w:proofErr w:type="spellEnd"/>
            <w:r>
              <w:rPr>
                <w:rFonts w:eastAsia="Palatino Linotype"/>
                <w:spacing w:val="9"/>
                <w:position w:val="1"/>
                <w:sz w:val="22"/>
                <w:szCs w:val="22"/>
                <w:lang w:val="es-ES"/>
              </w:rPr>
              <w:t>:</w:t>
            </w:r>
          </w:p>
          <w:p w14:paraId="4244D956" w14:textId="77777777" w:rsidR="00E255F4" w:rsidRDefault="00000000">
            <w:pPr>
              <w:tabs>
                <w:tab w:val="left" w:pos="0"/>
              </w:tabs>
              <w:jc w:val="both"/>
              <w:rPr>
                <w:rFonts w:eastAsia="Palatino Linotype"/>
                <w:b/>
                <w:spacing w:val="-1"/>
                <w:position w:val="1"/>
                <w:sz w:val="22"/>
                <w:szCs w:val="22"/>
                <w:lang w:val="es-ES"/>
              </w:rPr>
            </w:pPr>
            <w:proofErr w:type="spellStart"/>
            <w:r>
              <w:rPr>
                <w:rFonts w:eastAsia="Palatino Linotype"/>
                <w:b/>
                <w:spacing w:val="-1"/>
                <w:position w:val="1"/>
                <w:sz w:val="22"/>
                <w:szCs w:val="22"/>
                <w:lang w:val="es-ES"/>
              </w:rPr>
              <w:t>Penalties</w:t>
            </w:r>
            <w:proofErr w:type="spellEnd"/>
            <w:r>
              <w:rPr>
                <w:rFonts w:eastAsia="Palatino Linotype"/>
                <w:b/>
                <w:spacing w:val="-1"/>
                <w:position w:val="1"/>
                <w:sz w:val="22"/>
                <w:szCs w:val="22"/>
                <w:lang w:val="es-ES"/>
              </w:rPr>
              <w:t xml:space="preserve"> </w:t>
            </w:r>
            <w:proofErr w:type="spellStart"/>
            <w:r>
              <w:rPr>
                <w:rFonts w:eastAsia="Palatino Linotype"/>
                <w:b/>
                <w:spacing w:val="-1"/>
                <w:position w:val="1"/>
                <w:sz w:val="22"/>
                <w:szCs w:val="22"/>
                <w:lang w:val="es-ES"/>
              </w:rPr>
              <w:t>for</w:t>
            </w:r>
            <w:proofErr w:type="spellEnd"/>
            <w:r>
              <w:rPr>
                <w:rFonts w:eastAsia="Palatino Linotype"/>
                <w:b/>
                <w:spacing w:val="-1"/>
                <w:position w:val="1"/>
                <w:sz w:val="22"/>
                <w:szCs w:val="22"/>
                <w:lang w:val="es-ES"/>
              </w:rPr>
              <w:t xml:space="preserve"> </w:t>
            </w:r>
            <w:proofErr w:type="spellStart"/>
            <w:r>
              <w:rPr>
                <w:rFonts w:eastAsia="Palatino Linotype"/>
                <w:b/>
                <w:spacing w:val="-1"/>
                <w:position w:val="1"/>
                <w:sz w:val="22"/>
                <w:szCs w:val="22"/>
                <w:lang w:val="es-ES"/>
              </w:rPr>
              <w:t>failure</w:t>
            </w:r>
            <w:proofErr w:type="spellEnd"/>
            <w:r>
              <w:rPr>
                <w:rFonts w:eastAsia="Palatino Linotype"/>
                <w:b/>
                <w:spacing w:val="-1"/>
                <w:position w:val="1"/>
                <w:sz w:val="22"/>
                <w:szCs w:val="22"/>
                <w:lang w:val="es-ES"/>
              </w:rPr>
              <w:t xml:space="preserve"> </w:t>
            </w:r>
            <w:proofErr w:type="spellStart"/>
            <w:r>
              <w:rPr>
                <w:rFonts w:eastAsia="Palatino Linotype"/>
                <w:b/>
                <w:spacing w:val="-1"/>
                <w:position w:val="1"/>
                <w:sz w:val="22"/>
                <w:szCs w:val="22"/>
                <w:lang w:val="es-ES"/>
              </w:rPr>
              <w:t>to</w:t>
            </w:r>
            <w:proofErr w:type="spellEnd"/>
            <w:r>
              <w:rPr>
                <w:rFonts w:eastAsia="Palatino Linotype"/>
                <w:b/>
                <w:spacing w:val="-1"/>
                <w:position w:val="1"/>
                <w:sz w:val="22"/>
                <w:szCs w:val="22"/>
                <w:lang w:val="es-ES"/>
              </w:rPr>
              <w:t xml:space="preserve"> </w:t>
            </w:r>
            <w:proofErr w:type="spellStart"/>
            <w:r>
              <w:rPr>
                <w:rFonts w:eastAsia="Palatino Linotype"/>
                <w:b/>
                <w:spacing w:val="-1"/>
                <w:position w:val="1"/>
                <w:sz w:val="22"/>
                <w:szCs w:val="22"/>
                <w:lang w:val="es-ES"/>
              </w:rPr>
              <w:t>meet</w:t>
            </w:r>
            <w:proofErr w:type="spellEnd"/>
            <w:r>
              <w:rPr>
                <w:rFonts w:eastAsia="Palatino Linotype"/>
                <w:b/>
                <w:spacing w:val="-1"/>
                <w:position w:val="1"/>
                <w:sz w:val="22"/>
                <w:szCs w:val="22"/>
                <w:lang w:val="es-ES"/>
              </w:rPr>
              <w:t xml:space="preserve"> </w:t>
            </w:r>
            <w:proofErr w:type="spellStart"/>
            <w:r>
              <w:rPr>
                <w:rFonts w:eastAsia="Palatino Linotype"/>
                <w:b/>
                <w:spacing w:val="-1"/>
                <w:position w:val="1"/>
                <w:sz w:val="22"/>
                <w:szCs w:val="22"/>
                <w:lang w:val="es-ES"/>
              </w:rPr>
              <w:t>quantity</w:t>
            </w:r>
            <w:proofErr w:type="spellEnd"/>
            <w:r>
              <w:rPr>
                <w:rFonts w:eastAsia="Palatino Linotype"/>
                <w:b/>
                <w:spacing w:val="-1"/>
                <w:position w:val="1"/>
                <w:sz w:val="22"/>
                <w:szCs w:val="22"/>
                <w:lang w:val="es-ES"/>
              </w:rPr>
              <w:t xml:space="preserve"> and/</w:t>
            </w:r>
            <w:proofErr w:type="spellStart"/>
            <w:r>
              <w:rPr>
                <w:rFonts w:eastAsia="Palatino Linotype"/>
                <w:b/>
                <w:spacing w:val="-1"/>
                <w:position w:val="1"/>
                <w:sz w:val="22"/>
                <w:szCs w:val="22"/>
                <w:lang w:val="es-ES"/>
              </w:rPr>
              <w:t>or</w:t>
            </w:r>
            <w:proofErr w:type="spellEnd"/>
            <w:r>
              <w:rPr>
                <w:rFonts w:eastAsia="Palatino Linotype"/>
                <w:b/>
                <w:spacing w:val="-1"/>
                <w:position w:val="1"/>
                <w:sz w:val="22"/>
                <w:szCs w:val="22"/>
                <w:lang w:val="es-ES"/>
              </w:rPr>
              <w:t xml:space="preserve"> </w:t>
            </w:r>
            <w:proofErr w:type="spellStart"/>
            <w:r>
              <w:rPr>
                <w:rFonts w:eastAsia="Palatino Linotype"/>
                <w:b/>
                <w:spacing w:val="-1"/>
                <w:position w:val="1"/>
                <w:sz w:val="22"/>
                <w:szCs w:val="22"/>
                <w:lang w:val="es-ES"/>
              </w:rPr>
              <w:t>deadline</w:t>
            </w:r>
            <w:proofErr w:type="spellEnd"/>
          </w:p>
          <w:p w14:paraId="665287F7" w14:textId="77777777" w:rsidR="00E255F4" w:rsidRDefault="00E255F4">
            <w:pPr>
              <w:tabs>
                <w:tab w:val="left" w:pos="0"/>
              </w:tabs>
              <w:jc w:val="both"/>
              <w:rPr>
                <w:rFonts w:eastAsia="Palatino Linotype"/>
                <w:b/>
                <w:spacing w:val="-1"/>
                <w:position w:val="1"/>
                <w:sz w:val="22"/>
                <w:szCs w:val="22"/>
                <w:lang w:val="es-ES"/>
              </w:rPr>
            </w:pPr>
          </w:p>
          <w:p w14:paraId="0736F2C3" w14:textId="77777777" w:rsidR="00E255F4" w:rsidRDefault="00000000">
            <w:pPr>
              <w:tabs>
                <w:tab w:val="left" w:pos="0"/>
              </w:tabs>
              <w:spacing w:after="120"/>
              <w:jc w:val="both"/>
            </w:pPr>
            <w:proofErr w:type="spellStart"/>
            <w:r>
              <w:rPr>
                <w:sz w:val="22"/>
                <w:szCs w:val="22"/>
                <w:lang w:val="es-CO"/>
              </w:rPr>
              <w:t>If</w:t>
            </w:r>
            <w:proofErr w:type="spellEnd"/>
            <w:r>
              <w:rPr>
                <w:sz w:val="22"/>
                <w:szCs w:val="22"/>
                <w:lang w:val="es-CO"/>
              </w:rPr>
              <w:t xml:space="preserve"> </w:t>
            </w:r>
            <w:proofErr w:type="spellStart"/>
            <w:r>
              <w:rPr>
                <w:sz w:val="22"/>
                <w:szCs w:val="22"/>
                <w:lang w:val="es-CO"/>
              </w:rPr>
              <w:t>the</w:t>
            </w:r>
            <w:proofErr w:type="spellEnd"/>
            <w:r>
              <w:rPr>
                <w:sz w:val="22"/>
                <w:szCs w:val="22"/>
                <w:lang w:val="es-CO"/>
              </w:rPr>
              <w:t xml:space="preserve"> </w:t>
            </w:r>
            <w:proofErr w:type="spellStart"/>
            <w:r>
              <w:rPr>
                <w:sz w:val="22"/>
                <w:szCs w:val="22"/>
                <w:lang w:val="es-CO"/>
              </w:rPr>
              <w:t>supplier</w:t>
            </w:r>
            <w:proofErr w:type="spellEnd"/>
            <w:r>
              <w:rPr>
                <w:sz w:val="22"/>
                <w:szCs w:val="22"/>
                <w:lang w:val="es-CO"/>
              </w:rPr>
              <w:t xml:space="preserve"> </w:t>
            </w:r>
            <w:proofErr w:type="spellStart"/>
            <w:r>
              <w:rPr>
                <w:sz w:val="22"/>
                <w:szCs w:val="22"/>
                <w:lang w:val="es-CO"/>
              </w:rPr>
              <w:t>fails</w:t>
            </w:r>
            <w:proofErr w:type="spellEnd"/>
            <w:r>
              <w:rPr>
                <w:sz w:val="22"/>
                <w:szCs w:val="22"/>
                <w:lang w:val="es-CO"/>
              </w:rPr>
              <w:t xml:space="preserve"> </w:t>
            </w:r>
            <w:proofErr w:type="spellStart"/>
            <w:r>
              <w:rPr>
                <w:sz w:val="22"/>
                <w:szCs w:val="22"/>
                <w:lang w:val="es-CO"/>
              </w:rPr>
              <w:t>to</w:t>
            </w:r>
            <w:proofErr w:type="spellEnd"/>
            <w:r>
              <w:rPr>
                <w:sz w:val="22"/>
                <w:szCs w:val="22"/>
                <w:lang w:val="es-CO"/>
              </w:rPr>
              <w:t xml:space="preserve"> </w:t>
            </w:r>
            <w:proofErr w:type="spellStart"/>
            <w:r>
              <w:rPr>
                <w:sz w:val="22"/>
                <w:szCs w:val="22"/>
                <w:lang w:val="es-CO"/>
              </w:rPr>
              <w:t>deliver</w:t>
            </w:r>
            <w:proofErr w:type="spellEnd"/>
            <w:r>
              <w:rPr>
                <w:sz w:val="22"/>
                <w:szCs w:val="22"/>
                <w:lang w:val="es-CO"/>
              </w:rPr>
              <w:t xml:space="preserve"> </w:t>
            </w:r>
            <w:proofErr w:type="spellStart"/>
            <w:r>
              <w:rPr>
                <w:sz w:val="22"/>
                <w:szCs w:val="22"/>
                <w:lang w:val="es-CO"/>
              </w:rPr>
              <w:t>all</w:t>
            </w:r>
            <w:proofErr w:type="spellEnd"/>
            <w:r>
              <w:rPr>
                <w:sz w:val="22"/>
                <w:szCs w:val="22"/>
                <w:lang w:val="es-CO"/>
              </w:rPr>
              <w:t xml:space="preserve"> </w:t>
            </w:r>
            <w:proofErr w:type="spellStart"/>
            <w:r>
              <w:rPr>
                <w:sz w:val="22"/>
                <w:szCs w:val="22"/>
                <w:lang w:val="es-CO"/>
              </w:rPr>
              <w:t>the</w:t>
            </w:r>
            <w:proofErr w:type="spellEnd"/>
            <w:r>
              <w:rPr>
                <w:sz w:val="22"/>
                <w:szCs w:val="22"/>
                <w:lang w:val="es-CO"/>
              </w:rPr>
              <w:t xml:space="preserve"> </w:t>
            </w:r>
            <w:proofErr w:type="spellStart"/>
            <w:r>
              <w:rPr>
                <w:sz w:val="22"/>
                <w:szCs w:val="22"/>
                <w:lang w:val="es-CO"/>
              </w:rPr>
              <w:t>awarded</w:t>
            </w:r>
            <w:proofErr w:type="spellEnd"/>
            <w:r>
              <w:rPr>
                <w:sz w:val="22"/>
                <w:szCs w:val="22"/>
                <w:lang w:val="es-CO"/>
              </w:rPr>
              <w:t xml:space="preserve"> </w:t>
            </w:r>
            <w:proofErr w:type="spellStart"/>
            <w:r>
              <w:rPr>
                <w:sz w:val="22"/>
                <w:szCs w:val="22"/>
                <w:lang w:val="es-CO"/>
              </w:rPr>
              <w:t>goods</w:t>
            </w:r>
            <w:proofErr w:type="spellEnd"/>
            <w:r>
              <w:rPr>
                <w:sz w:val="22"/>
                <w:szCs w:val="22"/>
                <w:lang w:val="es-CO"/>
              </w:rPr>
              <w:t xml:space="preserve"> </w:t>
            </w:r>
            <w:proofErr w:type="spellStart"/>
            <w:r>
              <w:rPr>
                <w:sz w:val="22"/>
                <w:szCs w:val="22"/>
                <w:lang w:val="es-CO"/>
              </w:rPr>
              <w:t>within</w:t>
            </w:r>
            <w:proofErr w:type="spellEnd"/>
            <w:r>
              <w:rPr>
                <w:sz w:val="22"/>
                <w:szCs w:val="22"/>
                <w:lang w:val="es-CO"/>
              </w:rPr>
              <w:t xml:space="preserve"> </w:t>
            </w:r>
            <w:proofErr w:type="spellStart"/>
            <w:r>
              <w:rPr>
                <w:sz w:val="22"/>
                <w:szCs w:val="22"/>
                <w:lang w:val="es-CO"/>
              </w:rPr>
              <w:t>the</w:t>
            </w:r>
            <w:proofErr w:type="spellEnd"/>
            <w:r>
              <w:rPr>
                <w:sz w:val="22"/>
                <w:szCs w:val="22"/>
                <w:lang w:val="es-CO"/>
              </w:rPr>
              <w:t xml:space="preserve"> total and/</w:t>
            </w:r>
            <w:proofErr w:type="spellStart"/>
            <w:r>
              <w:rPr>
                <w:sz w:val="22"/>
                <w:szCs w:val="22"/>
                <w:lang w:val="es-CO"/>
              </w:rPr>
              <w:t>or</w:t>
            </w:r>
            <w:proofErr w:type="spellEnd"/>
            <w:r>
              <w:rPr>
                <w:sz w:val="22"/>
                <w:szCs w:val="22"/>
                <w:lang w:val="es-CO"/>
              </w:rPr>
              <w:t xml:space="preserve"> </w:t>
            </w:r>
            <w:proofErr w:type="spellStart"/>
            <w:r>
              <w:rPr>
                <w:sz w:val="22"/>
                <w:szCs w:val="22"/>
                <w:lang w:val="es-CO"/>
              </w:rPr>
              <w:t>partial</w:t>
            </w:r>
            <w:proofErr w:type="spellEnd"/>
            <w:r>
              <w:rPr>
                <w:sz w:val="22"/>
                <w:szCs w:val="22"/>
                <w:lang w:val="es-CO"/>
              </w:rPr>
              <w:t xml:space="preserve"> </w:t>
            </w:r>
            <w:proofErr w:type="spellStart"/>
            <w:r>
              <w:rPr>
                <w:sz w:val="22"/>
                <w:szCs w:val="22"/>
                <w:lang w:val="es-CO"/>
              </w:rPr>
              <w:t>timeframe</w:t>
            </w:r>
            <w:proofErr w:type="spellEnd"/>
            <w:r>
              <w:rPr>
                <w:sz w:val="22"/>
                <w:szCs w:val="22"/>
                <w:lang w:val="es-CO"/>
              </w:rPr>
              <w:t xml:space="preserve"> </w:t>
            </w:r>
            <w:proofErr w:type="spellStart"/>
            <w:r>
              <w:rPr>
                <w:sz w:val="22"/>
                <w:szCs w:val="22"/>
                <w:lang w:val="es-CO"/>
              </w:rPr>
              <w:t>stipulated</w:t>
            </w:r>
            <w:proofErr w:type="spellEnd"/>
            <w:r>
              <w:rPr>
                <w:sz w:val="22"/>
                <w:szCs w:val="22"/>
                <w:lang w:val="es-CO"/>
              </w:rPr>
              <w:t xml:space="preserve"> in </w:t>
            </w:r>
            <w:proofErr w:type="spellStart"/>
            <w:r>
              <w:rPr>
                <w:sz w:val="22"/>
                <w:szCs w:val="22"/>
                <w:lang w:val="es-CO"/>
              </w:rPr>
              <w:t>Article</w:t>
            </w:r>
            <w:proofErr w:type="spellEnd"/>
            <w:r>
              <w:rPr>
                <w:sz w:val="22"/>
                <w:szCs w:val="22"/>
                <w:lang w:val="es-CO"/>
              </w:rPr>
              <w:t xml:space="preserve"> 25 </w:t>
            </w:r>
            <w:proofErr w:type="spellStart"/>
            <w:r>
              <w:rPr>
                <w:sz w:val="22"/>
                <w:szCs w:val="22"/>
                <w:lang w:val="es-CO"/>
              </w:rPr>
              <w:t>of</w:t>
            </w:r>
            <w:proofErr w:type="spellEnd"/>
            <w:r>
              <w:rPr>
                <w:sz w:val="22"/>
                <w:szCs w:val="22"/>
                <w:lang w:val="es-CO"/>
              </w:rPr>
              <w:t xml:space="preserve"> </w:t>
            </w:r>
            <w:proofErr w:type="spellStart"/>
            <w:r>
              <w:rPr>
                <w:sz w:val="22"/>
                <w:szCs w:val="22"/>
                <w:lang w:val="es-CO"/>
              </w:rPr>
              <w:t>these</w:t>
            </w:r>
            <w:proofErr w:type="spellEnd"/>
            <w:r>
              <w:rPr>
                <w:sz w:val="22"/>
                <w:szCs w:val="22"/>
                <w:lang w:val="es-CO"/>
              </w:rPr>
              <w:t xml:space="preserve"> </w:t>
            </w:r>
            <w:proofErr w:type="spellStart"/>
            <w:r>
              <w:rPr>
                <w:sz w:val="22"/>
                <w:szCs w:val="22"/>
                <w:lang w:val="es-CO"/>
              </w:rPr>
              <w:t>Terms</w:t>
            </w:r>
            <w:proofErr w:type="spellEnd"/>
            <w:r>
              <w:rPr>
                <w:sz w:val="22"/>
                <w:szCs w:val="22"/>
                <w:lang w:val="es-CO"/>
              </w:rPr>
              <w:t xml:space="preserve"> and </w:t>
            </w:r>
            <w:proofErr w:type="spellStart"/>
            <w:r>
              <w:rPr>
                <w:sz w:val="22"/>
                <w:szCs w:val="22"/>
                <w:lang w:val="es-CO"/>
              </w:rPr>
              <w:t>Conditions</w:t>
            </w:r>
            <w:proofErr w:type="spellEnd"/>
            <w:r>
              <w:rPr>
                <w:sz w:val="22"/>
                <w:szCs w:val="22"/>
                <w:lang w:val="es-CO"/>
              </w:rPr>
              <w:t xml:space="preserve">, OSE </w:t>
            </w:r>
            <w:proofErr w:type="spellStart"/>
            <w:r>
              <w:rPr>
                <w:sz w:val="22"/>
                <w:szCs w:val="22"/>
                <w:lang w:val="es-CO"/>
              </w:rPr>
              <w:t>will</w:t>
            </w:r>
            <w:proofErr w:type="spellEnd"/>
            <w:r>
              <w:rPr>
                <w:sz w:val="22"/>
                <w:szCs w:val="22"/>
                <w:lang w:val="es-CO"/>
              </w:rPr>
              <w:t xml:space="preserve"> </w:t>
            </w:r>
            <w:proofErr w:type="spellStart"/>
            <w:r>
              <w:rPr>
                <w:sz w:val="22"/>
                <w:szCs w:val="22"/>
                <w:lang w:val="es-CO"/>
              </w:rPr>
              <w:t>deduct</w:t>
            </w:r>
            <w:proofErr w:type="spellEnd"/>
            <w:r>
              <w:rPr>
                <w:sz w:val="22"/>
                <w:szCs w:val="22"/>
                <w:lang w:val="es-CO"/>
              </w:rPr>
              <w:t xml:space="preserve"> </w:t>
            </w:r>
            <w:proofErr w:type="spellStart"/>
            <w:r>
              <w:rPr>
                <w:sz w:val="22"/>
                <w:szCs w:val="22"/>
                <w:lang w:val="es-CO"/>
              </w:rPr>
              <w:t>from</w:t>
            </w:r>
            <w:proofErr w:type="spellEnd"/>
            <w:r>
              <w:rPr>
                <w:sz w:val="22"/>
                <w:szCs w:val="22"/>
                <w:lang w:val="es-CO"/>
              </w:rPr>
              <w:t xml:space="preserve"> </w:t>
            </w:r>
            <w:proofErr w:type="spellStart"/>
            <w:r>
              <w:rPr>
                <w:sz w:val="22"/>
                <w:szCs w:val="22"/>
                <w:lang w:val="es-CO"/>
              </w:rPr>
              <w:t>the</w:t>
            </w:r>
            <w:proofErr w:type="spellEnd"/>
            <w:r>
              <w:rPr>
                <w:sz w:val="22"/>
                <w:szCs w:val="22"/>
                <w:lang w:val="es-CO"/>
              </w:rPr>
              <w:t xml:space="preserve"> </w:t>
            </w:r>
            <w:proofErr w:type="spellStart"/>
            <w:r>
              <w:rPr>
                <w:sz w:val="22"/>
                <w:szCs w:val="22"/>
                <w:lang w:val="es-CO"/>
              </w:rPr>
              <w:t>awarded</w:t>
            </w:r>
            <w:proofErr w:type="spellEnd"/>
            <w:r>
              <w:rPr>
                <w:sz w:val="22"/>
                <w:szCs w:val="22"/>
                <w:lang w:val="es-CO"/>
              </w:rPr>
              <w:t xml:space="preserve"> </w:t>
            </w:r>
            <w:proofErr w:type="spellStart"/>
            <w:r>
              <w:rPr>
                <w:sz w:val="22"/>
                <w:szCs w:val="22"/>
                <w:lang w:val="es-CO"/>
              </w:rPr>
              <w:t>amount</w:t>
            </w:r>
            <w:proofErr w:type="spellEnd"/>
            <w:r>
              <w:rPr>
                <w:sz w:val="22"/>
                <w:szCs w:val="22"/>
                <w:lang w:val="es-CO"/>
              </w:rPr>
              <w:t xml:space="preserve"> </w:t>
            </w:r>
            <w:proofErr w:type="spellStart"/>
            <w:r>
              <w:rPr>
                <w:sz w:val="22"/>
                <w:szCs w:val="22"/>
                <w:lang w:val="es-CO"/>
              </w:rPr>
              <w:t>an</w:t>
            </w:r>
            <w:proofErr w:type="spellEnd"/>
            <w:r>
              <w:rPr>
                <w:sz w:val="22"/>
                <w:szCs w:val="22"/>
                <w:lang w:val="es-CO"/>
              </w:rPr>
              <w:t xml:space="preserve"> </w:t>
            </w:r>
            <w:proofErr w:type="spellStart"/>
            <w:r>
              <w:rPr>
                <w:sz w:val="22"/>
                <w:szCs w:val="22"/>
                <w:lang w:val="es-CO"/>
              </w:rPr>
              <w:t>amount</w:t>
            </w:r>
            <w:proofErr w:type="spellEnd"/>
            <w:r>
              <w:rPr>
                <w:sz w:val="22"/>
                <w:szCs w:val="22"/>
                <w:lang w:val="es-CO"/>
              </w:rPr>
              <w:t xml:space="preserve"> </w:t>
            </w:r>
            <w:proofErr w:type="spellStart"/>
            <w:r>
              <w:rPr>
                <w:sz w:val="22"/>
                <w:szCs w:val="22"/>
                <w:lang w:val="es-CO"/>
              </w:rPr>
              <w:t>equivalent</w:t>
            </w:r>
            <w:proofErr w:type="spellEnd"/>
            <w:r>
              <w:rPr>
                <w:sz w:val="22"/>
                <w:szCs w:val="22"/>
                <w:lang w:val="es-CO"/>
              </w:rPr>
              <w:t xml:space="preserve"> </w:t>
            </w:r>
            <w:proofErr w:type="spellStart"/>
            <w:r>
              <w:rPr>
                <w:sz w:val="22"/>
                <w:szCs w:val="22"/>
                <w:lang w:val="es-CO"/>
              </w:rPr>
              <w:t>to</w:t>
            </w:r>
            <w:proofErr w:type="spellEnd"/>
            <w:r>
              <w:rPr>
                <w:sz w:val="22"/>
                <w:szCs w:val="22"/>
                <w:lang w:val="es-CO"/>
              </w:rPr>
              <w:t xml:space="preserve"> 1% (</w:t>
            </w:r>
            <w:proofErr w:type="spellStart"/>
            <w:r>
              <w:rPr>
                <w:sz w:val="22"/>
                <w:szCs w:val="22"/>
                <w:lang w:val="es-CO"/>
              </w:rPr>
              <w:t>one</w:t>
            </w:r>
            <w:proofErr w:type="spellEnd"/>
            <w:r>
              <w:rPr>
                <w:sz w:val="22"/>
                <w:szCs w:val="22"/>
                <w:lang w:val="es-CO"/>
              </w:rPr>
              <w:t xml:space="preserve"> </w:t>
            </w:r>
            <w:proofErr w:type="spellStart"/>
            <w:r>
              <w:rPr>
                <w:sz w:val="22"/>
                <w:szCs w:val="22"/>
                <w:lang w:val="es-CO"/>
              </w:rPr>
              <w:t>percent</w:t>
            </w:r>
            <w:proofErr w:type="spellEnd"/>
            <w:r>
              <w:rPr>
                <w:sz w:val="22"/>
                <w:szCs w:val="22"/>
                <w:lang w:val="es-CO"/>
              </w:rPr>
              <w:t xml:space="preserve">) </w:t>
            </w:r>
            <w:proofErr w:type="spellStart"/>
            <w:r>
              <w:rPr>
                <w:sz w:val="22"/>
                <w:szCs w:val="22"/>
                <w:lang w:val="es-CO"/>
              </w:rPr>
              <w:t>of</w:t>
            </w:r>
            <w:proofErr w:type="spellEnd"/>
            <w:r>
              <w:rPr>
                <w:sz w:val="22"/>
                <w:szCs w:val="22"/>
                <w:lang w:val="es-CO"/>
              </w:rPr>
              <w:t xml:space="preserve"> </w:t>
            </w:r>
            <w:proofErr w:type="spellStart"/>
            <w:r>
              <w:rPr>
                <w:sz w:val="22"/>
                <w:szCs w:val="22"/>
                <w:lang w:val="es-CO"/>
              </w:rPr>
              <w:t>the</w:t>
            </w:r>
            <w:proofErr w:type="spellEnd"/>
            <w:r>
              <w:rPr>
                <w:sz w:val="22"/>
                <w:szCs w:val="22"/>
                <w:lang w:val="es-CO"/>
              </w:rPr>
              <w:t xml:space="preserve"> </w:t>
            </w:r>
            <w:proofErr w:type="spellStart"/>
            <w:r>
              <w:rPr>
                <w:sz w:val="22"/>
                <w:szCs w:val="22"/>
                <w:lang w:val="es-CO"/>
              </w:rPr>
              <w:t>price</w:t>
            </w:r>
            <w:proofErr w:type="spellEnd"/>
            <w:r>
              <w:rPr>
                <w:sz w:val="22"/>
                <w:szCs w:val="22"/>
                <w:lang w:val="es-CO"/>
              </w:rPr>
              <w:t xml:space="preserve"> </w:t>
            </w:r>
            <w:proofErr w:type="spellStart"/>
            <w:r>
              <w:rPr>
                <w:sz w:val="22"/>
                <w:szCs w:val="22"/>
                <w:lang w:val="es-CO"/>
              </w:rPr>
              <w:t>of</w:t>
            </w:r>
            <w:proofErr w:type="spellEnd"/>
            <w:r>
              <w:rPr>
                <w:sz w:val="22"/>
                <w:szCs w:val="22"/>
                <w:lang w:val="es-CO"/>
              </w:rPr>
              <w:t xml:space="preserve"> </w:t>
            </w:r>
            <w:proofErr w:type="spellStart"/>
            <w:r>
              <w:rPr>
                <w:sz w:val="22"/>
                <w:szCs w:val="22"/>
                <w:lang w:val="es-CO"/>
              </w:rPr>
              <w:t>the</w:t>
            </w:r>
            <w:proofErr w:type="spellEnd"/>
            <w:r>
              <w:rPr>
                <w:sz w:val="22"/>
                <w:szCs w:val="22"/>
                <w:lang w:val="es-CO"/>
              </w:rPr>
              <w:t xml:space="preserve"> </w:t>
            </w:r>
            <w:proofErr w:type="spellStart"/>
            <w:r>
              <w:rPr>
                <w:sz w:val="22"/>
                <w:szCs w:val="22"/>
                <w:lang w:val="es-CO"/>
              </w:rPr>
              <w:t>corresponding</w:t>
            </w:r>
            <w:proofErr w:type="spellEnd"/>
            <w:r>
              <w:rPr>
                <w:sz w:val="22"/>
                <w:szCs w:val="22"/>
                <w:lang w:val="es-CO"/>
              </w:rPr>
              <w:t xml:space="preserve"> </w:t>
            </w:r>
            <w:proofErr w:type="spellStart"/>
            <w:r>
              <w:rPr>
                <w:sz w:val="22"/>
                <w:szCs w:val="22"/>
                <w:lang w:val="es-CO"/>
              </w:rPr>
              <w:t>item</w:t>
            </w:r>
            <w:proofErr w:type="spellEnd"/>
            <w:r>
              <w:rPr>
                <w:sz w:val="22"/>
                <w:szCs w:val="22"/>
                <w:lang w:val="es-CO"/>
              </w:rPr>
              <w:t xml:space="preserve"> </w:t>
            </w:r>
            <w:proofErr w:type="spellStart"/>
            <w:r>
              <w:rPr>
                <w:sz w:val="22"/>
                <w:szCs w:val="22"/>
                <w:lang w:val="es-CO"/>
              </w:rPr>
              <w:t>that</w:t>
            </w:r>
            <w:proofErr w:type="spellEnd"/>
            <w:r>
              <w:rPr>
                <w:sz w:val="22"/>
                <w:szCs w:val="22"/>
                <w:lang w:val="es-CO"/>
              </w:rPr>
              <w:t xml:space="preserve"> </w:t>
            </w:r>
            <w:proofErr w:type="spellStart"/>
            <w:r>
              <w:rPr>
                <w:sz w:val="22"/>
                <w:szCs w:val="22"/>
                <w:lang w:val="es-CO"/>
              </w:rPr>
              <w:t>is</w:t>
            </w:r>
            <w:proofErr w:type="spellEnd"/>
            <w:r>
              <w:rPr>
                <w:sz w:val="22"/>
                <w:szCs w:val="22"/>
                <w:lang w:val="es-CO"/>
              </w:rPr>
              <w:t xml:space="preserve"> </w:t>
            </w:r>
            <w:proofErr w:type="spellStart"/>
            <w:r>
              <w:rPr>
                <w:sz w:val="22"/>
                <w:szCs w:val="22"/>
                <w:lang w:val="es-CO"/>
              </w:rPr>
              <w:t>overdue</w:t>
            </w:r>
            <w:proofErr w:type="spellEnd"/>
            <w:r>
              <w:rPr>
                <w:sz w:val="22"/>
                <w:szCs w:val="22"/>
                <w:lang w:val="es-CO"/>
              </w:rPr>
              <w:t xml:space="preserve"> </w:t>
            </w:r>
            <w:proofErr w:type="spellStart"/>
            <w:r>
              <w:rPr>
                <w:sz w:val="22"/>
                <w:szCs w:val="22"/>
                <w:lang w:val="es-CO"/>
              </w:rPr>
              <w:t>for</w:t>
            </w:r>
            <w:proofErr w:type="spellEnd"/>
            <w:r>
              <w:rPr>
                <w:sz w:val="22"/>
                <w:szCs w:val="22"/>
                <w:lang w:val="es-CO"/>
              </w:rPr>
              <w:t xml:space="preserve"> </w:t>
            </w:r>
            <w:proofErr w:type="spellStart"/>
            <w:r>
              <w:rPr>
                <w:sz w:val="22"/>
                <w:szCs w:val="22"/>
                <w:lang w:val="es-CO"/>
              </w:rPr>
              <w:t>each</w:t>
            </w:r>
            <w:proofErr w:type="spellEnd"/>
            <w:r>
              <w:rPr>
                <w:sz w:val="22"/>
                <w:szCs w:val="22"/>
                <w:lang w:val="es-CO"/>
              </w:rPr>
              <w:t xml:space="preserve"> </w:t>
            </w:r>
            <w:proofErr w:type="spellStart"/>
            <w:r>
              <w:rPr>
                <w:sz w:val="22"/>
                <w:szCs w:val="22"/>
                <w:lang w:val="es-CO"/>
              </w:rPr>
              <w:t>week</w:t>
            </w:r>
            <w:proofErr w:type="spellEnd"/>
            <w:r>
              <w:rPr>
                <w:sz w:val="22"/>
                <w:szCs w:val="22"/>
                <w:lang w:val="es-CO"/>
              </w:rPr>
              <w:t xml:space="preserve"> </w:t>
            </w:r>
            <w:proofErr w:type="spellStart"/>
            <w:r>
              <w:rPr>
                <w:sz w:val="22"/>
                <w:szCs w:val="22"/>
                <w:lang w:val="es-CO"/>
              </w:rPr>
              <w:t>or</w:t>
            </w:r>
            <w:proofErr w:type="spellEnd"/>
            <w:r>
              <w:rPr>
                <w:sz w:val="22"/>
                <w:szCs w:val="22"/>
                <w:lang w:val="es-CO"/>
              </w:rPr>
              <w:t xml:space="preserve"> </w:t>
            </w:r>
            <w:proofErr w:type="spellStart"/>
            <w:r>
              <w:rPr>
                <w:sz w:val="22"/>
                <w:szCs w:val="22"/>
                <w:lang w:val="es-CO"/>
              </w:rPr>
              <w:t>part</w:t>
            </w:r>
            <w:proofErr w:type="spellEnd"/>
            <w:r>
              <w:rPr>
                <w:sz w:val="22"/>
                <w:szCs w:val="22"/>
                <w:lang w:val="es-CO"/>
              </w:rPr>
              <w:t xml:space="preserve"> </w:t>
            </w:r>
            <w:proofErr w:type="spellStart"/>
            <w:r>
              <w:rPr>
                <w:sz w:val="22"/>
                <w:szCs w:val="22"/>
                <w:lang w:val="es-CO"/>
              </w:rPr>
              <w:t>of</w:t>
            </w:r>
            <w:proofErr w:type="spellEnd"/>
            <w:r>
              <w:rPr>
                <w:sz w:val="22"/>
                <w:szCs w:val="22"/>
                <w:lang w:val="es-CO"/>
              </w:rPr>
              <w:t xml:space="preserve"> a </w:t>
            </w:r>
            <w:proofErr w:type="spellStart"/>
            <w:r>
              <w:rPr>
                <w:sz w:val="22"/>
                <w:szCs w:val="22"/>
                <w:lang w:val="es-CO"/>
              </w:rPr>
              <w:t>week</w:t>
            </w:r>
            <w:proofErr w:type="spellEnd"/>
            <w:r>
              <w:rPr>
                <w:sz w:val="22"/>
                <w:szCs w:val="22"/>
                <w:lang w:val="es-CO"/>
              </w:rPr>
              <w:t xml:space="preserve"> </w:t>
            </w:r>
            <w:proofErr w:type="spellStart"/>
            <w:r>
              <w:rPr>
                <w:sz w:val="22"/>
                <w:szCs w:val="22"/>
                <w:lang w:val="es-CO"/>
              </w:rPr>
              <w:t>of</w:t>
            </w:r>
            <w:proofErr w:type="spellEnd"/>
            <w:r>
              <w:rPr>
                <w:sz w:val="22"/>
                <w:szCs w:val="22"/>
                <w:lang w:val="es-CO"/>
              </w:rPr>
              <w:t xml:space="preserve"> </w:t>
            </w:r>
            <w:proofErr w:type="spellStart"/>
            <w:r>
              <w:rPr>
                <w:sz w:val="22"/>
                <w:szCs w:val="22"/>
                <w:lang w:val="es-CO"/>
              </w:rPr>
              <w:t>delay</w:t>
            </w:r>
            <w:proofErr w:type="spellEnd"/>
            <w:r>
              <w:rPr>
                <w:sz w:val="22"/>
                <w:szCs w:val="22"/>
                <w:lang w:val="es-CO"/>
              </w:rPr>
              <w:t xml:space="preserve">, up </w:t>
            </w:r>
            <w:proofErr w:type="spellStart"/>
            <w:r>
              <w:rPr>
                <w:sz w:val="22"/>
                <w:szCs w:val="22"/>
                <w:lang w:val="es-CO"/>
              </w:rPr>
              <w:t>to</w:t>
            </w:r>
            <w:proofErr w:type="spellEnd"/>
            <w:r>
              <w:rPr>
                <w:sz w:val="22"/>
                <w:szCs w:val="22"/>
                <w:lang w:val="es-CO"/>
              </w:rPr>
              <w:t xml:space="preserve"> 40% (</w:t>
            </w:r>
            <w:proofErr w:type="spellStart"/>
            <w:r>
              <w:rPr>
                <w:sz w:val="22"/>
                <w:szCs w:val="22"/>
                <w:lang w:val="es-CO"/>
              </w:rPr>
              <w:t>forty</w:t>
            </w:r>
            <w:proofErr w:type="spellEnd"/>
            <w:r>
              <w:rPr>
                <w:sz w:val="22"/>
                <w:szCs w:val="22"/>
                <w:lang w:val="es-CO"/>
              </w:rPr>
              <w:t xml:space="preserve"> </w:t>
            </w:r>
            <w:proofErr w:type="spellStart"/>
            <w:r>
              <w:rPr>
                <w:sz w:val="22"/>
                <w:szCs w:val="22"/>
                <w:lang w:val="es-CO"/>
              </w:rPr>
              <w:t>percent</w:t>
            </w:r>
            <w:proofErr w:type="spellEnd"/>
            <w:r>
              <w:rPr>
                <w:sz w:val="22"/>
                <w:szCs w:val="22"/>
                <w:lang w:val="es-CO"/>
              </w:rPr>
              <w:t xml:space="preserve">) </w:t>
            </w:r>
            <w:proofErr w:type="spellStart"/>
            <w:r>
              <w:rPr>
                <w:sz w:val="22"/>
                <w:szCs w:val="22"/>
                <w:lang w:val="es-CO"/>
              </w:rPr>
              <w:t>of</w:t>
            </w:r>
            <w:proofErr w:type="spellEnd"/>
            <w:r>
              <w:rPr>
                <w:sz w:val="22"/>
                <w:szCs w:val="22"/>
                <w:lang w:val="es-CO"/>
              </w:rPr>
              <w:t xml:space="preserve"> </w:t>
            </w:r>
            <w:proofErr w:type="spellStart"/>
            <w:r>
              <w:rPr>
                <w:sz w:val="22"/>
                <w:szCs w:val="22"/>
                <w:lang w:val="es-CO"/>
              </w:rPr>
              <w:t>the</w:t>
            </w:r>
            <w:proofErr w:type="spellEnd"/>
            <w:r>
              <w:rPr>
                <w:sz w:val="22"/>
                <w:szCs w:val="22"/>
                <w:lang w:val="es-CO"/>
              </w:rPr>
              <w:t xml:space="preserve"> </w:t>
            </w:r>
            <w:proofErr w:type="spellStart"/>
            <w:r>
              <w:rPr>
                <w:sz w:val="22"/>
                <w:szCs w:val="22"/>
                <w:lang w:val="es-CO"/>
              </w:rPr>
              <w:t>amount</w:t>
            </w:r>
            <w:proofErr w:type="spellEnd"/>
            <w:r>
              <w:rPr>
                <w:sz w:val="22"/>
                <w:szCs w:val="22"/>
                <w:lang w:val="es-CO"/>
              </w:rPr>
              <w:t xml:space="preserve"> </w:t>
            </w:r>
            <w:proofErr w:type="spellStart"/>
            <w:r>
              <w:rPr>
                <w:sz w:val="22"/>
                <w:szCs w:val="22"/>
                <w:lang w:val="es-CO"/>
              </w:rPr>
              <w:t>of</w:t>
            </w:r>
            <w:proofErr w:type="spellEnd"/>
            <w:r>
              <w:rPr>
                <w:sz w:val="22"/>
                <w:szCs w:val="22"/>
                <w:lang w:val="es-CO"/>
              </w:rPr>
              <w:t xml:space="preserve"> </w:t>
            </w:r>
            <w:proofErr w:type="spellStart"/>
            <w:r>
              <w:rPr>
                <w:sz w:val="22"/>
                <w:szCs w:val="22"/>
                <w:lang w:val="es-CO"/>
              </w:rPr>
              <w:t>the</w:t>
            </w:r>
            <w:proofErr w:type="spellEnd"/>
            <w:r>
              <w:rPr>
                <w:sz w:val="22"/>
                <w:szCs w:val="22"/>
                <w:lang w:val="es-CO"/>
              </w:rPr>
              <w:t xml:space="preserve"> </w:t>
            </w:r>
            <w:proofErr w:type="spellStart"/>
            <w:r>
              <w:rPr>
                <w:sz w:val="22"/>
                <w:szCs w:val="22"/>
                <w:lang w:val="es-CO"/>
              </w:rPr>
              <w:t>overdue</w:t>
            </w:r>
            <w:proofErr w:type="spellEnd"/>
            <w:r>
              <w:rPr>
                <w:sz w:val="22"/>
                <w:szCs w:val="22"/>
                <w:lang w:val="es-CO"/>
              </w:rPr>
              <w:t xml:space="preserve"> </w:t>
            </w:r>
            <w:proofErr w:type="spellStart"/>
            <w:r>
              <w:rPr>
                <w:sz w:val="22"/>
                <w:szCs w:val="22"/>
                <w:lang w:val="es-CO"/>
              </w:rPr>
              <w:t>item</w:t>
            </w:r>
            <w:proofErr w:type="spellEnd"/>
            <w:r>
              <w:rPr>
                <w:sz w:val="22"/>
                <w:szCs w:val="22"/>
                <w:lang w:val="es-CO"/>
              </w:rPr>
              <w:t xml:space="preserve">. </w:t>
            </w:r>
            <w:proofErr w:type="spellStart"/>
            <w:r>
              <w:rPr>
                <w:sz w:val="22"/>
                <w:szCs w:val="22"/>
                <w:lang w:val="es-CO"/>
              </w:rPr>
              <w:t>If</w:t>
            </w:r>
            <w:proofErr w:type="spellEnd"/>
            <w:r>
              <w:rPr>
                <w:sz w:val="22"/>
                <w:szCs w:val="22"/>
                <w:lang w:val="es-CO"/>
              </w:rPr>
              <w:t xml:space="preserve">, </w:t>
            </w:r>
            <w:proofErr w:type="spellStart"/>
            <w:r>
              <w:rPr>
                <w:sz w:val="22"/>
                <w:szCs w:val="22"/>
                <w:lang w:val="es-CO"/>
              </w:rPr>
              <w:t>upon</w:t>
            </w:r>
            <w:proofErr w:type="spellEnd"/>
            <w:r>
              <w:rPr>
                <w:sz w:val="22"/>
                <w:szCs w:val="22"/>
                <w:lang w:val="es-CO"/>
              </w:rPr>
              <w:t xml:space="preserve"> </w:t>
            </w:r>
            <w:proofErr w:type="spellStart"/>
            <w:r>
              <w:rPr>
                <w:sz w:val="22"/>
                <w:szCs w:val="22"/>
                <w:lang w:val="es-CO"/>
              </w:rPr>
              <w:t>reaching</w:t>
            </w:r>
            <w:proofErr w:type="spellEnd"/>
            <w:r>
              <w:rPr>
                <w:sz w:val="22"/>
                <w:szCs w:val="22"/>
                <w:lang w:val="es-CO"/>
              </w:rPr>
              <w:t xml:space="preserve"> </w:t>
            </w:r>
            <w:proofErr w:type="spellStart"/>
            <w:r>
              <w:rPr>
                <w:sz w:val="22"/>
                <w:szCs w:val="22"/>
                <w:lang w:val="es-CO"/>
              </w:rPr>
              <w:t>this</w:t>
            </w:r>
            <w:proofErr w:type="spellEnd"/>
            <w:r>
              <w:rPr>
                <w:sz w:val="22"/>
                <w:szCs w:val="22"/>
                <w:lang w:val="es-CO"/>
              </w:rPr>
              <w:t xml:space="preserve"> </w:t>
            </w:r>
            <w:proofErr w:type="spellStart"/>
            <w:r>
              <w:rPr>
                <w:sz w:val="22"/>
                <w:szCs w:val="22"/>
                <w:lang w:val="es-CO"/>
              </w:rPr>
              <w:t>percentage</w:t>
            </w:r>
            <w:proofErr w:type="spellEnd"/>
            <w:r>
              <w:rPr>
                <w:sz w:val="22"/>
                <w:szCs w:val="22"/>
                <w:lang w:val="es-CO"/>
              </w:rPr>
              <w:t xml:space="preserve">, </w:t>
            </w:r>
            <w:proofErr w:type="spellStart"/>
            <w:r>
              <w:rPr>
                <w:sz w:val="22"/>
                <w:szCs w:val="22"/>
                <w:lang w:val="es-CO"/>
              </w:rPr>
              <w:t>the</w:t>
            </w:r>
            <w:proofErr w:type="spellEnd"/>
            <w:r>
              <w:rPr>
                <w:sz w:val="22"/>
                <w:szCs w:val="22"/>
                <w:lang w:val="es-CO"/>
              </w:rPr>
              <w:t xml:space="preserve"> </w:t>
            </w:r>
            <w:proofErr w:type="spellStart"/>
            <w:r>
              <w:rPr>
                <w:sz w:val="22"/>
                <w:szCs w:val="22"/>
                <w:lang w:val="es-CO"/>
              </w:rPr>
              <w:t>supplier</w:t>
            </w:r>
            <w:proofErr w:type="spellEnd"/>
            <w:r>
              <w:rPr>
                <w:sz w:val="22"/>
                <w:szCs w:val="22"/>
                <w:lang w:val="es-CO"/>
              </w:rPr>
              <w:t xml:space="preserve"> </w:t>
            </w:r>
            <w:proofErr w:type="spellStart"/>
            <w:r>
              <w:rPr>
                <w:sz w:val="22"/>
                <w:szCs w:val="22"/>
                <w:lang w:val="es-CO"/>
              </w:rPr>
              <w:t>persists</w:t>
            </w:r>
            <w:proofErr w:type="spellEnd"/>
            <w:r>
              <w:rPr>
                <w:sz w:val="22"/>
                <w:szCs w:val="22"/>
                <w:lang w:val="es-CO"/>
              </w:rPr>
              <w:t xml:space="preserve"> in non-</w:t>
            </w:r>
            <w:proofErr w:type="spellStart"/>
            <w:r>
              <w:rPr>
                <w:sz w:val="22"/>
                <w:szCs w:val="22"/>
                <w:lang w:val="es-CO"/>
              </w:rPr>
              <w:t>compliance</w:t>
            </w:r>
            <w:proofErr w:type="spellEnd"/>
            <w:r>
              <w:rPr>
                <w:sz w:val="22"/>
                <w:szCs w:val="22"/>
                <w:lang w:val="es-CO"/>
              </w:rPr>
              <w:t xml:space="preserve">, </w:t>
            </w:r>
            <w:proofErr w:type="spellStart"/>
            <w:r>
              <w:rPr>
                <w:sz w:val="22"/>
                <w:szCs w:val="22"/>
                <w:lang w:val="es-CO"/>
              </w:rPr>
              <w:t>this</w:t>
            </w:r>
            <w:proofErr w:type="spellEnd"/>
            <w:r>
              <w:rPr>
                <w:sz w:val="22"/>
                <w:szCs w:val="22"/>
                <w:lang w:val="es-CO"/>
              </w:rPr>
              <w:t xml:space="preserve"> </w:t>
            </w:r>
            <w:proofErr w:type="spellStart"/>
            <w:r>
              <w:rPr>
                <w:sz w:val="22"/>
                <w:szCs w:val="22"/>
                <w:lang w:val="es-CO"/>
              </w:rPr>
              <w:t>will</w:t>
            </w:r>
            <w:proofErr w:type="spellEnd"/>
            <w:r>
              <w:rPr>
                <w:sz w:val="22"/>
                <w:szCs w:val="22"/>
                <w:lang w:val="es-CO"/>
              </w:rPr>
              <w:t xml:space="preserve"> be </w:t>
            </w:r>
            <w:proofErr w:type="spellStart"/>
            <w:r>
              <w:rPr>
                <w:sz w:val="22"/>
                <w:szCs w:val="22"/>
                <w:lang w:val="es-CO"/>
              </w:rPr>
              <w:t>sufficient</w:t>
            </w:r>
            <w:proofErr w:type="spellEnd"/>
            <w:r>
              <w:rPr>
                <w:sz w:val="22"/>
                <w:szCs w:val="22"/>
                <w:lang w:val="es-CO"/>
              </w:rPr>
              <w:t xml:space="preserve"> cause </w:t>
            </w:r>
            <w:proofErr w:type="spellStart"/>
            <w:r>
              <w:rPr>
                <w:sz w:val="22"/>
                <w:szCs w:val="22"/>
                <w:lang w:val="es-CO"/>
              </w:rPr>
              <w:t>for</w:t>
            </w:r>
            <w:proofErr w:type="spellEnd"/>
            <w:r>
              <w:rPr>
                <w:sz w:val="22"/>
                <w:szCs w:val="22"/>
                <w:lang w:val="es-CO"/>
              </w:rPr>
              <w:t xml:space="preserve"> </w:t>
            </w:r>
            <w:proofErr w:type="spellStart"/>
            <w:r>
              <w:rPr>
                <w:sz w:val="22"/>
                <w:szCs w:val="22"/>
                <w:lang w:val="es-CO"/>
              </w:rPr>
              <w:t>the</w:t>
            </w:r>
            <w:proofErr w:type="spellEnd"/>
            <w:r>
              <w:rPr>
                <w:sz w:val="22"/>
                <w:szCs w:val="22"/>
                <w:lang w:val="es-CO"/>
              </w:rPr>
              <w:t xml:space="preserve"> unilateral </w:t>
            </w:r>
            <w:proofErr w:type="spellStart"/>
            <w:r>
              <w:rPr>
                <w:sz w:val="22"/>
                <w:szCs w:val="22"/>
                <w:lang w:val="es-CO"/>
              </w:rPr>
              <w:t>termination</w:t>
            </w:r>
            <w:proofErr w:type="spellEnd"/>
            <w:r>
              <w:rPr>
                <w:sz w:val="22"/>
                <w:szCs w:val="22"/>
                <w:lang w:val="es-CO"/>
              </w:rPr>
              <w:t xml:space="preserve"> </w:t>
            </w:r>
            <w:proofErr w:type="spellStart"/>
            <w:r>
              <w:rPr>
                <w:sz w:val="22"/>
                <w:szCs w:val="22"/>
                <w:lang w:val="es-CO"/>
              </w:rPr>
              <w:t>of</w:t>
            </w:r>
            <w:proofErr w:type="spellEnd"/>
            <w:r>
              <w:rPr>
                <w:sz w:val="22"/>
                <w:szCs w:val="22"/>
                <w:lang w:val="es-CO"/>
              </w:rPr>
              <w:t xml:space="preserve"> </w:t>
            </w:r>
            <w:proofErr w:type="spellStart"/>
            <w:r>
              <w:rPr>
                <w:sz w:val="22"/>
                <w:szCs w:val="22"/>
                <w:lang w:val="es-CO"/>
              </w:rPr>
              <w:t>the</w:t>
            </w:r>
            <w:proofErr w:type="spellEnd"/>
            <w:r>
              <w:rPr>
                <w:sz w:val="22"/>
                <w:szCs w:val="22"/>
                <w:lang w:val="es-CO"/>
              </w:rPr>
              <w:t xml:space="preserve"> </w:t>
            </w:r>
            <w:proofErr w:type="spellStart"/>
            <w:r>
              <w:rPr>
                <w:sz w:val="22"/>
                <w:szCs w:val="22"/>
                <w:lang w:val="es-CO"/>
              </w:rPr>
              <w:t>contract</w:t>
            </w:r>
            <w:proofErr w:type="spellEnd"/>
            <w:r>
              <w:rPr>
                <w:sz w:val="22"/>
                <w:szCs w:val="22"/>
                <w:lang w:val="es-CO"/>
              </w:rPr>
              <w:t>.</w:t>
            </w:r>
          </w:p>
          <w:p w14:paraId="620BE91F" w14:textId="77777777" w:rsidR="00E255F4" w:rsidRDefault="00000000">
            <w:pPr>
              <w:tabs>
                <w:tab w:val="left" w:pos="0"/>
              </w:tabs>
              <w:spacing w:after="240"/>
              <w:jc w:val="both"/>
              <w:rPr>
                <w:sz w:val="22"/>
                <w:szCs w:val="22"/>
                <w:lang w:val="es-CO"/>
              </w:rPr>
            </w:pPr>
            <w:proofErr w:type="spellStart"/>
            <w:r>
              <w:rPr>
                <w:sz w:val="22"/>
                <w:szCs w:val="22"/>
                <w:lang w:val="es-CO"/>
              </w:rPr>
              <w:t>This</w:t>
            </w:r>
            <w:proofErr w:type="spellEnd"/>
            <w:r>
              <w:rPr>
                <w:sz w:val="22"/>
                <w:szCs w:val="22"/>
                <w:lang w:val="es-CO"/>
              </w:rPr>
              <w:t xml:space="preserve"> </w:t>
            </w:r>
            <w:proofErr w:type="spellStart"/>
            <w:r>
              <w:rPr>
                <w:sz w:val="22"/>
                <w:szCs w:val="22"/>
                <w:lang w:val="es-CO"/>
              </w:rPr>
              <w:t>same</w:t>
            </w:r>
            <w:proofErr w:type="spellEnd"/>
            <w:r>
              <w:rPr>
                <w:sz w:val="22"/>
                <w:szCs w:val="22"/>
                <w:lang w:val="es-CO"/>
              </w:rPr>
              <w:t xml:space="preserve"> </w:t>
            </w:r>
            <w:proofErr w:type="spellStart"/>
            <w:r>
              <w:rPr>
                <w:sz w:val="22"/>
                <w:szCs w:val="22"/>
                <w:lang w:val="es-CO"/>
              </w:rPr>
              <w:t>criterion</w:t>
            </w:r>
            <w:proofErr w:type="spellEnd"/>
            <w:r>
              <w:rPr>
                <w:sz w:val="22"/>
                <w:szCs w:val="22"/>
                <w:lang w:val="es-CO"/>
              </w:rPr>
              <w:t xml:space="preserve"> </w:t>
            </w:r>
            <w:proofErr w:type="spellStart"/>
            <w:r>
              <w:rPr>
                <w:sz w:val="22"/>
                <w:szCs w:val="22"/>
                <w:lang w:val="es-CO"/>
              </w:rPr>
              <w:t>will</w:t>
            </w:r>
            <w:proofErr w:type="spellEnd"/>
            <w:r>
              <w:rPr>
                <w:sz w:val="22"/>
                <w:szCs w:val="22"/>
                <w:lang w:val="es-CO"/>
              </w:rPr>
              <w:t xml:space="preserve"> be </w:t>
            </w:r>
            <w:proofErr w:type="spellStart"/>
            <w:r>
              <w:rPr>
                <w:sz w:val="22"/>
                <w:szCs w:val="22"/>
                <w:lang w:val="es-CO"/>
              </w:rPr>
              <w:t>applied</w:t>
            </w:r>
            <w:proofErr w:type="spellEnd"/>
            <w:r>
              <w:rPr>
                <w:sz w:val="22"/>
                <w:szCs w:val="22"/>
                <w:lang w:val="es-CO"/>
              </w:rPr>
              <w:t xml:space="preserve"> </w:t>
            </w:r>
            <w:proofErr w:type="spellStart"/>
            <w:r>
              <w:rPr>
                <w:sz w:val="22"/>
                <w:szCs w:val="22"/>
                <w:lang w:val="es-CO"/>
              </w:rPr>
              <w:t>if</w:t>
            </w:r>
            <w:proofErr w:type="spellEnd"/>
            <w:r>
              <w:rPr>
                <w:sz w:val="22"/>
                <w:szCs w:val="22"/>
                <w:lang w:val="es-CO"/>
              </w:rPr>
              <w:t xml:space="preserve"> </w:t>
            </w:r>
            <w:proofErr w:type="spellStart"/>
            <w:r>
              <w:rPr>
                <w:sz w:val="22"/>
                <w:szCs w:val="22"/>
                <w:lang w:val="es-CO"/>
              </w:rPr>
              <w:t>the</w:t>
            </w:r>
            <w:proofErr w:type="spellEnd"/>
            <w:r>
              <w:rPr>
                <w:sz w:val="22"/>
                <w:szCs w:val="22"/>
                <w:lang w:val="es-CO"/>
              </w:rPr>
              <w:t xml:space="preserve"> </w:t>
            </w:r>
            <w:proofErr w:type="spellStart"/>
            <w:r>
              <w:rPr>
                <w:sz w:val="22"/>
                <w:szCs w:val="22"/>
                <w:lang w:val="es-CO"/>
              </w:rPr>
              <w:t>scheduled</w:t>
            </w:r>
            <w:proofErr w:type="spellEnd"/>
            <w:r>
              <w:rPr>
                <w:sz w:val="22"/>
                <w:szCs w:val="22"/>
                <w:lang w:val="es-CO"/>
              </w:rPr>
              <w:t xml:space="preserve"> date </w:t>
            </w:r>
            <w:proofErr w:type="spellStart"/>
            <w:r>
              <w:rPr>
                <w:sz w:val="22"/>
                <w:szCs w:val="22"/>
                <w:lang w:val="es-CO"/>
              </w:rPr>
              <w:t>for</w:t>
            </w:r>
            <w:proofErr w:type="spellEnd"/>
            <w:r>
              <w:rPr>
                <w:sz w:val="22"/>
                <w:szCs w:val="22"/>
                <w:lang w:val="es-CO"/>
              </w:rPr>
              <w:t xml:space="preserve"> </w:t>
            </w:r>
            <w:proofErr w:type="spellStart"/>
            <w:r>
              <w:rPr>
                <w:sz w:val="22"/>
                <w:szCs w:val="22"/>
                <w:lang w:val="es-CO"/>
              </w:rPr>
              <w:t>the</w:t>
            </w:r>
            <w:proofErr w:type="spellEnd"/>
            <w:r>
              <w:rPr>
                <w:sz w:val="22"/>
                <w:szCs w:val="22"/>
                <w:lang w:val="es-CO"/>
              </w:rPr>
              <w:t xml:space="preserve"> provisional </w:t>
            </w:r>
            <w:proofErr w:type="spellStart"/>
            <w:r>
              <w:rPr>
                <w:sz w:val="22"/>
                <w:szCs w:val="22"/>
                <w:lang w:val="es-CO"/>
              </w:rPr>
              <w:t>acceptance</w:t>
            </w:r>
            <w:proofErr w:type="spellEnd"/>
            <w:r>
              <w:rPr>
                <w:sz w:val="22"/>
                <w:szCs w:val="22"/>
                <w:lang w:val="es-CO"/>
              </w:rPr>
              <w:t xml:space="preserve"> </w:t>
            </w:r>
            <w:proofErr w:type="spellStart"/>
            <w:r>
              <w:rPr>
                <w:sz w:val="22"/>
                <w:szCs w:val="22"/>
                <w:lang w:val="es-CO"/>
              </w:rPr>
              <w:t>of</w:t>
            </w:r>
            <w:proofErr w:type="spellEnd"/>
            <w:r>
              <w:rPr>
                <w:sz w:val="22"/>
                <w:szCs w:val="22"/>
                <w:lang w:val="es-CO"/>
              </w:rPr>
              <w:t xml:space="preserve"> </w:t>
            </w:r>
            <w:proofErr w:type="spellStart"/>
            <w:r>
              <w:rPr>
                <w:sz w:val="22"/>
                <w:szCs w:val="22"/>
                <w:lang w:val="es-CO"/>
              </w:rPr>
              <w:t>the</w:t>
            </w:r>
            <w:proofErr w:type="spellEnd"/>
            <w:r>
              <w:rPr>
                <w:sz w:val="22"/>
                <w:szCs w:val="22"/>
                <w:lang w:val="es-CO"/>
              </w:rPr>
              <w:t xml:space="preserve"> tender </w:t>
            </w:r>
            <w:proofErr w:type="spellStart"/>
            <w:r>
              <w:rPr>
                <w:sz w:val="22"/>
                <w:szCs w:val="22"/>
                <w:lang w:val="es-CO"/>
              </w:rPr>
              <w:t>is</w:t>
            </w:r>
            <w:proofErr w:type="spellEnd"/>
            <w:r>
              <w:rPr>
                <w:sz w:val="22"/>
                <w:szCs w:val="22"/>
                <w:lang w:val="es-CO"/>
              </w:rPr>
              <w:t xml:space="preserve"> </w:t>
            </w:r>
            <w:proofErr w:type="spellStart"/>
            <w:r>
              <w:rPr>
                <w:sz w:val="22"/>
                <w:szCs w:val="22"/>
                <w:lang w:val="es-CO"/>
              </w:rPr>
              <w:t>not</w:t>
            </w:r>
            <w:proofErr w:type="spellEnd"/>
            <w:r>
              <w:rPr>
                <w:sz w:val="22"/>
                <w:szCs w:val="22"/>
                <w:lang w:val="es-CO"/>
              </w:rPr>
              <w:t xml:space="preserve"> </w:t>
            </w:r>
            <w:proofErr w:type="spellStart"/>
            <w:r>
              <w:rPr>
                <w:sz w:val="22"/>
                <w:szCs w:val="22"/>
                <w:lang w:val="es-CO"/>
              </w:rPr>
              <w:t>met</w:t>
            </w:r>
            <w:proofErr w:type="spellEnd"/>
            <w:r>
              <w:rPr>
                <w:sz w:val="22"/>
                <w:szCs w:val="22"/>
                <w:lang w:val="es-CO"/>
              </w:rPr>
              <w:t>.</w:t>
            </w:r>
          </w:p>
          <w:p w14:paraId="7DFB32A2" w14:textId="77777777" w:rsidR="00E255F4" w:rsidRDefault="00000000">
            <w:pPr>
              <w:tabs>
                <w:tab w:val="left" w:pos="0"/>
              </w:tabs>
              <w:spacing w:after="240"/>
              <w:jc w:val="both"/>
              <w:rPr>
                <w:sz w:val="22"/>
                <w:szCs w:val="22"/>
                <w:lang w:val="es-CO"/>
              </w:rPr>
            </w:pPr>
            <w:r>
              <w:rPr>
                <w:sz w:val="22"/>
                <w:szCs w:val="22"/>
                <w:lang w:val="es-ES" w:eastAsia="es-UY"/>
              </w:rPr>
              <w:lastRenderedPageBreak/>
              <w:t xml:space="preserve">For </w:t>
            </w:r>
            <w:proofErr w:type="spellStart"/>
            <w:r>
              <w:rPr>
                <w:sz w:val="22"/>
                <w:szCs w:val="22"/>
                <w:lang w:val="es-ES" w:eastAsia="es-UY"/>
              </w:rPr>
              <w:t>goods</w:t>
            </w:r>
            <w:proofErr w:type="spellEnd"/>
            <w:r>
              <w:rPr>
                <w:sz w:val="22"/>
                <w:szCs w:val="22"/>
                <w:lang w:val="es-ES" w:eastAsia="es-UY"/>
              </w:rPr>
              <w:t xml:space="preserve"> </w:t>
            </w:r>
            <w:proofErr w:type="spellStart"/>
            <w:r>
              <w:rPr>
                <w:sz w:val="22"/>
                <w:szCs w:val="22"/>
                <w:lang w:val="es-ES" w:eastAsia="es-UY"/>
              </w:rPr>
              <w:t>imported</w:t>
            </w:r>
            <w:proofErr w:type="spellEnd"/>
            <w:r>
              <w:rPr>
                <w:sz w:val="22"/>
                <w:szCs w:val="22"/>
                <w:lang w:val="es-ES" w:eastAsia="es-UY"/>
              </w:rPr>
              <w:t xml:space="preserve"> </w:t>
            </w:r>
            <w:proofErr w:type="spellStart"/>
            <w:r>
              <w:rPr>
                <w:sz w:val="22"/>
                <w:szCs w:val="22"/>
                <w:lang w:val="es-ES" w:eastAsia="es-UY"/>
              </w:rPr>
              <w:t>by</w:t>
            </w:r>
            <w:proofErr w:type="spellEnd"/>
            <w:r>
              <w:rPr>
                <w:sz w:val="22"/>
                <w:szCs w:val="22"/>
                <w:lang w:val="es-ES" w:eastAsia="es-UY"/>
              </w:rPr>
              <w:t xml:space="preserve"> OSE, </w:t>
            </w:r>
            <w:proofErr w:type="spellStart"/>
            <w:r>
              <w:rPr>
                <w:sz w:val="22"/>
                <w:szCs w:val="22"/>
                <w:lang w:val="es-ES" w:eastAsia="es-UY"/>
              </w:rPr>
              <w:t>the</w:t>
            </w:r>
            <w:proofErr w:type="spellEnd"/>
            <w:r>
              <w:rPr>
                <w:sz w:val="22"/>
                <w:szCs w:val="22"/>
                <w:lang w:val="es-ES" w:eastAsia="es-UY"/>
              </w:rPr>
              <w:t xml:space="preserve"> FOB (sea </w:t>
            </w:r>
            <w:proofErr w:type="spellStart"/>
            <w:r>
              <w:rPr>
                <w:sz w:val="22"/>
                <w:szCs w:val="22"/>
                <w:lang w:val="es-ES" w:eastAsia="es-UY"/>
              </w:rPr>
              <w:t>freight</w:t>
            </w:r>
            <w:proofErr w:type="spellEnd"/>
            <w:r>
              <w:rPr>
                <w:sz w:val="22"/>
                <w:szCs w:val="22"/>
                <w:lang w:val="es-ES" w:eastAsia="es-UY"/>
              </w:rPr>
              <w:t>) and FCA (</w:t>
            </w:r>
            <w:proofErr w:type="spellStart"/>
            <w:r>
              <w:rPr>
                <w:sz w:val="22"/>
                <w:szCs w:val="22"/>
                <w:lang w:val="es-ES" w:eastAsia="es-UY"/>
              </w:rPr>
              <w:t>land</w:t>
            </w:r>
            <w:proofErr w:type="spellEnd"/>
            <w:r>
              <w:rPr>
                <w:sz w:val="22"/>
                <w:szCs w:val="22"/>
                <w:lang w:val="es-ES" w:eastAsia="es-UY"/>
              </w:rPr>
              <w:t xml:space="preserve"> and air </w:t>
            </w:r>
            <w:proofErr w:type="spellStart"/>
            <w:r>
              <w:rPr>
                <w:sz w:val="22"/>
                <w:szCs w:val="22"/>
                <w:lang w:val="es-ES" w:eastAsia="es-UY"/>
              </w:rPr>
              <w:t>freight</w:t>
            </w:r>
            <w:proofErr w:type="spellEnd"/>
            <w:r>
              <w:rPr>
                <w:sz w:val="22"/>
                <w:szCs w:val="22"/>
                <w:lang w:val="es-ES" w:eastAsia="es-UY"/>
              </w:rPr>
              <w:t xml:space="preserve">) </w:t>
            </w:r>
            <w:proofErr w:type="spellStart"/>
            <w:r>
              <w:rPr>
                <w:sz w:val="22"/>
                <w:szCs w:val="22"/>
                <w:lang w:val="es-ES" w:eastAsia="es-UY"/>
              </w:rPr>
              <w:t>terms</w:t>
            </w:r>
            <w:proofErr w:type="spellEnd"/>
            <w:r>
              <w:rPr>
                <w:sz w:val="22"/>
                <w:szCs w:val="22"/>
                <w:lang w:val="es-ES" w:eastAsia="es-UY"/>
              </w:rPr>
              <w:t xml:space="preserve"> are </w:t>
            </w:r>
            <w:proofErr w:type="spellStart"/>
            <w:r>
              <w:rPr>
                <w:sz w:val="22"/>
                <w:szCs w:val="22"/>
                <w:lang w:val="es-ES" w:eastAsia="es-UY"/>
              </w:rPr>
              <w:t>used</w:t>
            </w:r>
            <w:proofErr w:type="spellEnd"/>
            <w:r>
              <w:rPr>
                <w:sz w:val="22"/>
                <w:szCs w:val="22"/>
                <w:lang w:val="es-ES" w:eastAsia="es-UY"/>
              </w:rPr>
              <w:t xml:space="preserve"> </w:t>
            </w:r>
            <w:proofErr w:type="spellStart"/>
            <w:r>
              <w:rPr>
                <w:sz w:val="22"/>
                <w:szCs w:val="22"/>
                <w:lang w:val="es-ES" w:eastAsia="es-UY"/>
              </w:rPr>
              <w:t>to</w:t>
            </w:r>
            <w:proofErr w:type="spellEnd"/>
            <w:r>
              <w:rPr>
                <w:sz w:val="22"/>
                <w:szCs w:val="22"/>
                <w:lang w:val="es-ES" w:eastAsia="es-UY"/>
              </w:rPr>
              <w:t xml:space="preserve"> </w:t>
            </w:r>
            <w:proofErr w:type="spellStart"/>
            <w:r>
              <w:rPr>
                <w:sz w:val="22"/>
                <w:szCs w:val="22"/>
                <w:lang w:val="es-ES" w:eastAsia="es-UY"/>
              </w:rPr>
              <w:t>verify</w:t>
            </w:r>
            <w:proofErr w:type="spellEnd"/>
            <w:r>
              <w:rPr>
                <w:sz w:val="22"/>
                <w:szCs w:val="22"/>
                <w:lang w:val="es-ES" w:eastAsia="es-UY"/>
              </w:rPr>
              <w:t xml:space="preserve"> </w:t>
            </w:r>
            <w:proofErr w:type="spellStart"/>
            <w:r>
              <w:rPr>
                <w:sz w:val="22"/>
                <w:szCs w:val="22"/>
                <w:lang w:val="es-ES" w:eastAsia="es-UY"/>
              </w:rPr>
              <w:t>delivery</w:t>
            </w:r>
            <w:proofErr w:type="spellEnd"/>
            <w:r>
              <w:rPr>
                <w:sz w:val="22"/>
                <w:szCs w:val="22"/>
                <w:lang w:val="es-ES" w:eastAsia="es-UY"/>
              </w:rPr>
              <w:t xml:space="preserve"> </w:t>
            </w:r>
            <w:proofErr w:type="spellStart"/>
            <w:r>
              <w:rPr>
                <w:sz w:val="22"/>
                <w:szCs w:val="22"/>
                <w:lang w:val="es-ES" w:eastAsia="es-UY"/>
              </w:rPr>
              <w:t>compliance</w:t>
            </w:r>
            <w:proofErr w:type="spellEnd"/>
            <w:r>
              <w:rPr>
                <w:sz w:val="22"/>
                <w:szCs w:val="22"/>
                <w:lang w:val="es-ES" w:eastAsia="es-UY"/>
              </w:rPr>
              <w:t xml:space="preserve">. For </w:t>
            </w:r>
            <w:proofErr w:type="spellStart"/>
            <w:r>
              <w:rPr>
                <w:sz w:val="22"/>
                <w:szCs w:val="22"/>
                <w:lang w:val="es-ES" w:eastAsia="es-UY"/>
              </w:rPr>
              <w:t>deliveries</w:t>
            </w:r>
            <w:proofErr w:type="spellEnd"/>
            <w:r>
              <w:rPr>
                <w:sz w:val="22"/>
                <w:szCs w:val="22"/>
                <w:lang w:val="es-ES" w:eastAsia="es-UY"/>
              </w:rPr>
              <w:t xml:space="preserve"> </w:t>
            </w:r>
            <w:proofErr w:type="spellStart"/>
            <w:r>
              <w:rPr>
                <w:sz w:val="22"/>
                <w:szCs w:val="22"/>
                <w:lang w:val="es-ES" w:eastAsia="es-UY"/>
              </w:rPr>
              <w:t>from</w:t>
            </w:r>
            <w:proofErr w:type="spellEnd"/>
            <w:r>
              <w:rPr>
                <w:sz w:val="22"/>
                <w:szCs w:val="22"/>
                <w:lang w:val="es-ES" w:eastAsia="es-UY"/>
              </w:rPr>
              <w:t xml:space="preserve"> a Free Trade Zone </w:t>
            </w:r>
            <w:proofErr w:type="spellStart"/>
            <w:r>
              <w:rPr>
                <w:sz w:val="22"/>
                <w:szCs w:val="22"/>
                <w:lang w:val="es-ES" w:eastAsia="es-UY"/>
              </w:rPr>
              <w:t>or</w:t>
            </w:r>
            <w:proofErr w:type="spellEnd"/>
            <w:r>
              <w:rPr>
                <w:sz w:val="22"/>
                <w:szCs w:val="22"/>
                <w:lang w:val="es-ES" w:eastAsia="es-UY"/>
              </w:rPr>
              <w:t xml:space="preserve"> a </w:t>
            </w:r>
            <w:proofErr w:type="spellStart"/>
            <w:r>
              <w:rPr>
                <w:sz w:val="22"/>
                <w:szCs w:val="22"/>
                <w:lang w:val="es-ES" w:eastAsia="es-UY"/>
              </w:rPr>
              <w:t>customs</w:t>
            </w:r>
            <w:proofErr w:type="spellEnd"/>
            <w:r>
              <w:rPr>
                <w:sz w:val="22"/>
                <w:szCs w:val="22"/>
                <w:lang w:val="es-ES" w:eastAsia="es-UY"/>
              </w:rPr>
              <w:t xml:space="preserve">-free </w:t>
            </w:r>
            <w:proofErr w:type="spellStart"/>
            <w:r>
              <w:rPr>
                <w:sz w:val="22"/>
                <w:szCs w:val="22"/>
                <w:lang w:val="es-ES" w:eastAsia="es-UY"/>
              </w:rPr>
              <w:t>warehouse</w:t>
            </w:r>
            <w:proofErr w:type="spellEnd"/>
            <w:r>
              <w:rPr>
                <w:sz w:val="22"/>
                <w:szCs w:val="22"/>
                <w:lang w:val="es-ES" w:eastAsia="es-UY"/>
              </w:rPr>
              <w:t xml:space="preserve">, </w:t>
            </w:r>
            <w:proofErr w:type="spellStart"/>
            <w:r>
              <w:rPr>
                <w:sz w:val="22"/>
                <w:szCs w:val="22"/>
                <w:lang w:val="es-ES" w:eastAsia="es-UY"/>
              </w:rPr>
              <w:t>the</w:t>
            </w:r>
            <w:proofErr w:type="spellEnd"/>
            <w:r>
              <w:rPr>
                <w:sz w:val="22"/>
                <w:szCs w:val="22"/>
                <w:lang w:val="es-ES" w:eastAsia="es-UY"/>
              </w:rPr>
              <w:t xml:space="preserve"> CIP </w:t>
            </w:r>
            <w:proofErr w:type="spellStart"/>
            <w:r>
              <w:rPr>
                <w:sz w:val="22"/>
                <w:szCs w:val="22"/>
                <w:lang w:val="es-ES" w:eastAsia="es-UY"/>
              </w:rPr>
              <w:t>term</w:t>
            </w:r>
            <w:proofErr w:type="spellEnd"/>
            <w:r>
              <w:rPr>
                <w:sz w:val="22"/>
                <w:szCs w:val="22"/>
                <w:lang w:val="es-ES" w:eastAsia="es-UY"/>
              </w:rPr>
              <w:t xml:space="preserve"> </w:t>
            </w:r>
            <w:proofErr w:type="spellStart"/>
            <w:r>
              <w:rPr>
                <w:sz w:val="22"/>
                <w:szCs w:val="22"/>
                <w:lang w:val="es-ES" w:eastAsia="es-UY"/>
              </w:rPr>
              <w:t>will</w:t>
            </w:r>
            <w:proofErr w:type="spellEnd"/>
            <w:r>
              <w:rPr>
                <w:sz w:val="22"/>
                <w:szCs w:val="22"/>
                <w:lang w:val="es-ES" w:eastAsia="es-UY"/>
              </w:rPr>
              <w:t xml:space="preserve"> </w:t>
            </w:r>
            <w:proofErr w:type="spellStart"/>
            <w:r>
              <w:rPr>
                <w:sz w:val="22"/>
                <w:szCs w:val="22"/>
                <w:lang w:val="es-ES" w:eastAsia="es-UY"/>
              </w:rPr>
              <w:t>apply</w:t>
            </w:r>
            <w:proofErr w:type="spellEnd"/>
            <w:r>
              <w:rPr>
                <w:sz w:val="22"/>
                <w:szCs w:val="22"/>
                <w:lang w:val="es-ES" w:eastAsia="es-UY"/>
              </w:rPr>
              <w:t>.</w:t>
            </w:r>
          </w:p>
          <w:p w14:paraId="28D27208" w14:textId="77777777" w:rsidR="00E255F4" w:rsidRDefault="00000000">
            <w:pPr>
              <w:tabs>
                <w:tab w:val="left" w:pos="0"/>
              </w:tabs>
              <w:rPr>
                <w:rFonts w:eastAsia="Palatino Linotype"/>
                <w:b/>
                <w:spacing w:val="-1"/>
                <w:position w:val="1"/>
                <w:sz w:val="22"/>
                <w:szCs w:val="22"/>
                <w:lang w:val="es-ES"/>
              </w:rPr>
            </w:pPr>
            <w:proofErr w:type="spellStart"/>
            <w:r>
              <w:rPr>
                <w:rFonts w:eastAsia="Palatino Linotype"/>
                <w:b/>
                <w:spacing w:val="-1"/>
                <w:position w:val="1"/>
                <w:sz w:val="22"/>
                <w:szCs w:val="22"/>
                <w:lang w:val="es-ES"/>
              </w:rPr>
              <w:t>Penalties</w:t>
            </w:r>
            <w:proofErr w:type="spellEnd"/>
            <w:r>
              <w:rPr>
                <w:rFonts w:eastAsia="Palatino Linotype"/>
                <w:b/>
                <w:spacing w:val="-1"/>
                <w:position w:val="1"/>
                <w:sz w:val="22"/>
                <w:szCs w:val="22"/>
                <w:lang w:val="es-ES"/>
              </w:rPr>
              <w:t xml:space="preserve"> </w:t>
            </w:r>
            <w:proofErr w:type="spellStart"/>
            <w:r>
              <w:rPr>
                <w:rFonts w:eastAsia="Palatino Linotype"/>
                <w:b/>
                <w:spacing w:val="-1"/>
                <w:position w:val="1"/>
                <w:sz w:val="22"/>
                <w:szCs w:val="22"/>
                <w:lang w:val="es-ES"/>
              </w:rPr>
              <w:t>for</w:t>
            </w:r>
            <w:proofErr w:type="spellEnd"/>
            <w:r>
              <w:rPr>
                <w:rFonts w:eastAsia="Palatino Linotype"/>
                <w:b/>
                <w:spacing w:val="-1"/>
                <w:position w:val="1"/>
                <w:sz w:val="22"/>
                <w:szCs w:val="22"/>
                <w:lang w:val="es-ES"/>
              </w:rPr>
              <w:t xml:space="preserve"> non-</w:t>
            </w:r>
            <w:proofErr w:type="spellStart"/>
            <w:r>
              <w:rPr>
                <w:rFonts w:eastAsia="Palatino Linotype"/>
                <w:b/>
                <w:spacing w:val="-1"/>
                <w:position w:val="1"/>
                <w:sz w:val="22"/>
                <w:szCs w:val="22"/>
                <w:lang w:val="es-ES"/>
              </w:rPr>
              <w:t>compliance</w:t>
            </w:r>
            <w:proofErr w:type="spellEnd"/>
            <w:r>
              <w:rPr>
                <w:rFonts w:eastAsia="Palatino Linotype"/>
                <w:b/>
                <w:spacing w:val="-1"/>
                <w:position w:val="1"/>
                <w:sz w:val="22"/>
                <w:szCs w:val="22"/>
                <w:lang w:val="es-ES"/>
              </w:rPr>
              <w:t xml:space="preserve"> </w:t>
            </w:r>
            <w:proofErr w:type="spellStart"/>
            <w:r>
              <w:rPr>
                <w:rFonts w:eastAsia="Palatino Linotype"/>
                <w:b/>
                <w:spacing w:val="-1"/>
                <w:position w:val="1"/>
                <w:sz w:val="22"/>
                <w:szCs w:val="22"/>
                <w:lang w:val="es-ES"/>
              </w:rPr>
              <w:t>with</w:t>
            </w:r>
            <w:proofErr w:type="spellEnd"/>
            <w:r>
              <w:rPr>
                <w:rFonts w:eastAsia="Palatino Linotype"/>
                <w:b/>
                <w:spacing w:val="-1"/>
                <w:position w:val="1"/>
                <w:sz w:val="22"/>
                <w:szCs w:val="22"/>
                <w:lang w:val="es-ES"/>
              </w:rPr>
              <w:t xml:space="preserve"> </w:t>
            </w:r>
            <w:proofErr w:type="spellStart"/>
            <w:r>
              <w:rPr>
                <w:rFonts w:eastAsia="Palatino Linotype"/>
                <w:b/>
                <w:spacing w:val="-1"/>
                <w:position w:val="1"/>
                <w:sz w:val="22"/>
                <w:szCs w:val="22"/>
                <w:lang w:val="es-ES"/>
              </w:rPr>
              <w:t>technical</w:t>
            </w:r>
            <w:proofErr w:type="spellEnd"/>
            <w:r>
              <w:rPr>
                <w:rFonts w:eastAsia="Palatino Linotype"/>
                <w:b/>
                <w:spacing w:val="-1"/>
                <w:position w:val="1"/>
                <w:sz w:val="22"/>
                <w:szCs w:val="22"/>
                <w:lang w:val="es-ES"/>
              </w:rPr>
              <w:t xml:space="preserve"> </w:t>
            </w:r>
            <w:proofErr w:type="spellStart"/>
            <w:r>
              <w:rPr>
                <w:rFonts w:eastAsia="Palatino Linotype"/>
                <w:b/>
                <w:spacing w:val="-1"/>
                <w:position w:val="1"/>
                <w:sz w:val="22"/>
                <w:szCs w:val="22"/>
                <w:lang w:val="es-ES"/>
              </w:rPr>
              <w:t>specifications</w:t>
            </w:r>
            <w:proofErr w:type="spellEnd"/>
            <w:r>
              <w:rPr>
                <w:rFonts w:eastAsia="Palatino Linotype"/>
                <w:b/>
                <w:spacing w:val="-1"/>
                <w:position w:val="1"/>
                <w:sz w:val="22"/>
                <w:szCs w:val="22"/>
                <w:lang w:val="es-ES"/>
              </w:rPr>
              <w:br/>
            </w:r>
          </w:p>
          <w:p w14:paraId="2C6D5614" w14:textId="77777777" w:rsidR="00E255F4" w:rsidRDefault="00000000">
            <w:pPr>
              <w:tabs>
                <w:tab w:val="left" w:pos="0"/>
              </w:tabs>
              <w:spacing w:after="120"/>
              <w:jc w:val="both"/>
              <w:rPr>
                <w:sz w:val="22"/>
                <w:szCs w:val="22"/>
                <w:lang w:val="es-CO"/>
              </w:rPr>
            </w:pPr>
            <w:proofErr w:type="spellStart"/>
            <w:r>
              <w:rPr>
                <w:sz w:val="22"/>
                <w:szCs w:val="22"/>
                <w:lang w:val="es-CO"/>
              </w:rPr>
              <w:t>If</w:t>
            </w:r>
            <w:proofErr w:type="spellEnd"/>
            <w:r>
              <w:rPr>
                <w:sz w:val="22"/>
                <w:szCs w:val="22"/>
                <w:lang w:val="es-CO"/>
              </w:rPr>
              <w:t xml:space="preserve"> </w:t>
            </w:r>
            <w:proofErr w:type="spellStart"/>
            <w:r>
              <w:rPr>
                <w:sz w:val="22"/>
                <w:szCs w:val="22"/>
                <w:lang w:val="es-CO"/>
              </w:rPr>
              <w:t>the</w:t>
            </w:r>
            <w:proofErr w:type="spellEnd"/>
            <w:r>
              <w:rPr>
                <w:sz w:val="22"/>
                <w:szCs w:val="22"/>
                <w:lang w:val="es-CO"/>
              </w:rPr>
              <w:t xml:space="preserve"> </w:t>
            </w:r>
            <w:proofErr w:type="spellStart"/>
            <w:r>
              <w:rPr>
                <w:sz w:val="22"/>
                <w:szCs w:val="22"/>
                <w:lang w:val="es-CO"/>
              </w:rPr>
              <w:t>delivered</w:t>
            </w:r>
            <w:proofErr w:type="spellEnd"/>
            <w:r>
              <w:rPr>
                <w:sz w:val="22"/>
                <w:szCs w:val="22"/>
                <w:lang w:val="es-CO"/>
              </w:rPr>
              <w:t xml:space="preserve"> </w:t>
            </w:r>
            <w:proofErr w:type="spellStart"/>
            <w:r>
              <w:rPr>
                <w:sz w:val="22"/>
                <w:szCs w:val="22"/>
                <w:lang w:val="es-CO"/>
              </w:rPr>
              <w:t>supply</w:t>
            </w:r>
            <w:proofErr w:type="spellEnd"/>
            <w:r>
              <w:rPr>
                <w:sz w:val="22"/>
                <w:szCs w:val="22"/>
                <w:lang w:val="es-CO"/>
              </w:rPr>
              <w:t xml:space="preserve"> </w:t>
            </w:r>
            <w:proofErr w:type="spellStart"/>
            <w:r>
              <w:rPr>
                <w:sz w:val="22"/>
                <w:szCs w:val="22"/>
                <w:lang w:val="es-CO"/>
              </w:rPr>
              <w:t>does</w:t>
            </w:r>
            <w:proofErr w:type="spellEnd"/>
            <w:r>
              <w:rPr>
                <w:sz w:val="22"/>
                <w:szCs w:val="22"/>
                <w:lang w:val="es-CO"/>
              </w:rPr>
              <w:t xml:space="preserve"> </w:t>
            </w:r>
            <w:proofErr w:type="spellStart"/>
            <w:r>
              <w:rPr>
                <w:sz w:val="22"/>
                <w:szCs w:val="22"/>
                <w:lang w:val="es-CO"/>
              </w:rPr>
              <w:t>not</w:t>
            </w:r>
            <w:proofErr w:type="spellEnd"/>
            <w:r>
              <w:rPr>
                <w:sz w:val="22"/>
                <w:szCs w:val="22"/>
                <w:lang w:val="es-CO"/>
              </w:rPr>
              <w:t xml:space="preserve"> </w:t>
            </w:r>
            <w:proofErr w:type="spellStart"/>
            <w:r>
              <w:rPr>
                <w:sz w:val="22"/>
                <w:szCs w:val="22"/>
                <w:lang w:val="es-CO"/>
              </w:rPr>
              <w:t>meet</w:t>
            </w:r>
            <w:proofErr w:type="spellEnd"/>
            <w:r>
              <w:rPr>
                <w:sz w:val="22"/>
                <w:szCs w:val="22"/>
                <w:lang w:val="es-CO"/>
              </w:rPr>
              <w:t xml:space="preserve"> </w:t>
            </w:r>
            <w:proofErr w:type="spellStart"/>
            <w:r>
              <w:rPr>
                <w:sz w:val="22"/>
                <w:szCs w:val="22"/>
                <w:lang w:val="es-CO"/>
              </w:rPr>
              <w:t>the</w:t>
            </w:r>
            <w:proofErr w:type="spellEnd"/>
            <w:r>
              <w:rPr>
                <w:sz w:val="22"/>
                <w:szCs w:val="22"/>
                <w:lang w:val="es-CO"/>
              </w:rPr>
              <w:t xml:space="preserve"> </w:t>
            </w:r>
            <w:proofErr w:type="spellStart"/>
            <w:r>
              <w:rPr>
                <w:sz w:val="22"/>
                <w:szCs w:val="22"/>
                <w:lang w:val="es-CO"/>
              </w:rPr>
              <w:t>Technical</w:t>
            </w:r>
            <w:proofErr w:type="spellEnd"/>
            <w:r>
              <w:rPr>
                <w:sz w:val="22"/>
                <w:szCs w:val="22"/>
                <w:lang w:val="es-CO"/>
              </w:rPr>
              <w:t xml:space="preserve"> </w:t>
            </w:r>
            <w:proofErr w:type="spellStart"/>
            <w:r>
              <w:rPr>
                <w:sz w:val="22"/>
                <w:szCs w:val="22"/>
                <w:lang w:val="es-CO"/>
              </w:rPr>
              <w:t>Specifications</w:t>
            </w:r>
            <w:proofErr w:type="spellEnd"/>
            <w:r>
              <w:rPr>
                <w:sz w:val="22"/>
                <w:szCs w:val="22"/>
                <w:lang w:val="es-CO"/>
              </w:rPr>
              <w:t xml:space="preserve"> </w:t>
            </w:r>
            <w:proofErr w:type="spellStart"/>
            <w:r>
              <w:rPr>
                <w:sz w:val="22"/>
                <w:szCs w:val="22"/>
                <w:lang w:val="es-CO"/>
              </w:rPr>
              <w:t>required</w:t>
            </w:r>
            <w:proofErr w:type="spellEnd"/>
            <w:r>
              <w:rPr>
                <w:sz w:val="22"/>
                <w:szCs w:val="22"/>
                <w:lang w:val="es-CO"/>
              </w:rPr>
              <w:t xml:space="preserve"> in </w:t>
            </w:r>
            <w:proofErr w:type="spellStart"/>
            <w:r>
              <w:rPr>
                <w:sz w:val="22"/>
                <w:szCs w:val="22"/>
                <w:lang w:val="es-CO"/>
              </w:rPr>
              <w:t>this</w:t>
            </w:r>
            <w:proofErr w:type="spellEnd"/>
            <w:r>
              <w:rPr>
                <w:sz w:val="22"/>
                <w:szCs w:val="22"/>
                <w:lang w:val="es-CO"/>
              </w:rPr>
              <w:t xml:space="preserve"> </w:t>
            </w:r>
            <w:proofErr w:type="spellStart"/>
            <w:r>
              <w:rPr>
                <w:sz w:val="22"/>
                <w:szCs w:val="22"/>
                <w:lang w:val="es-CO"/>
              </w:rPr>
              <w:t>document</w:t>
            </w:r>
            <w:proofErr w:type="spellEnd"/>
            <w:r>
              <w:rPr>
                <w:sz w:val="22"/>
                <w:szCs w:val="22"/>
                <w:lang w:val="es-CO"/>
              </w:rPr>
              <w:t xml:space="preserve">, </w:t>
            </w:r>
            <w:proofErr w:type="spellStart"/>
            <w:r>
              <w:rPr>
                <w:sz w:val="22"/>
                <w:szCs w:val="22"/>
                <w:lang w:val="es-CO"/>
              </w:rPr>
              <w:t>the</w:t>
            </w:r>
            <w:proofErr w:type="spellEnd"/>
            <w:r>
              <w:rPr>
                <w:sz w:val="22"/>
                <w:szCs w:val="22"/>
                <w:lang w:val="es-CO"/>
              </w:rPr>
              <w:t xml:space="preserve"> </w:t>
            </w:r>
            <w:proofErr w:type="spellStart"/>
            <w:r>
              <w:rPr>
                <w:sz w:val="22"/>
                <w:szCs w:val="22"/>
                <w:lang w:val="es-CO"/>
              </w:rPr>
              <w:t>supplier</w:t>
            </w:r>
            <w:proofErr w:type="spellEnd"/>
            <w:r>
              <w:rPr>
                <w:sz w:val="22"/>
                <w:szCs w:val="22"/>
                <w:lang w:val="es-CO"/>
              </w:rPr>
              <w:t xml:space="preserve"> </w:t>
            </w:r>
            <w:proofErr w:type="spellStart"/>
            <w:r>
              <w:rPr>
                <w:sz w:val="22"/>
                <w:szCs w:val="22"/>
                <w:lang w:val="es-CO"/>
              </w:rPr>
              <w:t>shall</w:t>
            </w:r>
            <w:proofErr w:type="spellEnd"/>
            <w:r>
              <w:rPr>
                <w:sz w:val="22"/>
                <w:szCs w:val="22"/>
                <w:lang w:val="es-CO"/>
              </w:rPr>
              <w:t xml:space="preserve"> </w:t>
            </w:r>
            <w:proofErr w:type="spellStart"/>
            <w:r>
              <w:rPr>
                <w:sz w:val="22"/>
                <w:szCs w:val="22"/>
                <w:lang w:val="es-CO"/>
              </w:rPr>
              <w:t>bear</w:t>
            </w:r>
            <w:proofErr w:type="spellEnd"/>
            <w:r>
              <w:rPr>
                <w:sz w:val="22"/>
                <w:szCs w:val="22"/>
                <w:lang w:val="es-CO"/>
              </w:rPr>
              <w:t xml:space="preserve"> </w:t>
            </w:r>
            <w:proofErr w:type="spellStart"/>
            <w:r>
              <w:rPr>
                <w:sz w:val="22"/>
                <w:szCs w:val="22"/>
                <w:lang w:val="es-CO"/>
              </w:rPr>
              <w:t>all</w:t>
            </w:r>
            <w:proofErr w:type="spellEnd"/>
            <w:r>
              <w:rPr>
                <w:sz w:val="22"/>
                <w:szCs w:val="22"/>
                <w:lang w:val="es-CO"/>
              </w:rPr>
              <w:t xml:space="preserve"> </w:t>
            </w:r>
            <w:proofErr w:type="spellStart"/>
            <w:r>
              <w:rPr>
                <w:sz w:val="22"/>
                <w:szCs w:val="22"/>
                <w:lang w:val="es-CO"/>
              </w:rPr>
              <w:t>costs</w:t>
            </w:r>
            <w:proofErr w:type="spellEnd"/>
            <w:r>
              <w:rPr>
                <w:sz w:val="22"/>
                <w:szCs w:val="22"/>
                <w:lang w:val="es-CO"/>
              </w:rPr>
              <w:t xml:space="preserve"> </w:t>
            </w:r>
            <w:proofErr w:type="spellStart"/>
            <w:r>
              <w:rPr>
                <w:sz w:val="22"/>
                <w:szCs w:val="22"/>
                <w:lang w:val="es-CO"/>
              </w:rPr>
              <w:t>of</w:t>
            </w:r>
            <w:proofErr w:type="spellEnd"/>
            <w:r>
              <w:rPr>
                <w:sz w:val="22"/>
                <w:szCs w:val="22"/>
                <w:lang w:val="es-CO"/>
              </w:rPr>
              <w:t xml:space="preserve"> </w:t>
            </w:r>
            <w:proofErr w:type="spellStart"/>
            <w:r>
              <w:rPr>
                <w:sz w:val="22"/>
                <w:szCs w:val="22"/>
                <w:lang w:val="es-CO"/>
              </w:rPr>
              <w:t>replacing</w:t>
            </w:r>
            <w:proofErr w:type="spellEnd"/>
            <w:r>
              <w:rPr>
                <w:sz w:val="22"/>
                <w:szCs w:val="22"/>
                <w:lang w:val="es-CO"/>
              </w:rPr>
              <w:t xml:space="preserve"> </w:t>
            </w:r>
            <w:proofErr w:type="spellStart"/>
            <w:r>
              <w:rPr>
                <w:sz w:val="22"/>
                <w:szCs w:val="22"/>
                <w:lang w:val="es-CO"/>
              </w:rPr>
              <w:t>it</w:t>
            </w:r>
            <w:proofErr w:type="spellEnd"/>
            <w:r>
              <w:rPr>
                <w:sz w:val="22"/>
                <w:szCs w:val="22"/>
                <w:lang w:val="es-CO"/>
              </w:rPr>
              <w:t>.</w:t>
            </w:r>
          </w:p>
          <w:p w14:paraId="798C0771" w14:textId="77777777" w:rsidR="00E255F4" w:rsidRDefault="00000000">
            <w:pPr>
              <w:tabs>
                <w:tab w:val="left" w:pos="0"/>
              </w:tabs>
              <w:jc w:val="both"/>
              <w:rPr>
                <w:sz w:val="22"/>
                <w:szCs w:val="22"/>
                <w:lang w:val="es-CO"/>
              </w:rPr>
            </w:pPr>
            <w:r>
              <w:rPr>
                <w:sz w:val="22"/>
                <w:szCs w:val="22"/>
                <w:lang w:val="es-CO"/>
              </w:rPr>
              <w:t xml:space="preserve">Once </w:t>
            </w:r>
            <w:proofErr w:type="spellStart"/>
            <w:r>
              <w:rPr>
                <w:sz w:val="22"/>
                <w:szCs w:val="22"/>
                <w:lang w:val="es-CO"/>
              </w:rPr>
              <w:t>this</w:t>
            </w:r>
            <w:proofErr w:type="spellEnd"/>
            <w:r>
              <w:rPr>
                <w:sz w:val="22"/>
                <w:szCs w:val="22"/>
                <w:lang w:val="es-CO"/>
              </w:rPr>
              <w:t xml:space="preserve"> </w:t>
            </w:r>
            <w:proofErr w:type="spellStart"/>
            <w:r>
              <w:rPr>
                <w:sz w:val="22"/>
                <w:szCs w:val="22"/>
                <w:lang w:val="es-CO"/>
              </w:rPr>
              <w:t>situation</w:t>
            </w:r>
            <w:proofErr w:type="spellEnd"/>
            <w:r>
              <w:rPr>
                <w:sz w:val="22"/>
                <w:szCs w:val="22"/>
                <w:lang w:val="es-CO"/>
              </w:rPr>
              <w:t xml:space="preserve"> </w:t>
            </w:r>
            <w:proofErr w:type="spellStart"/>
            <w:r>
              <w:rPr>
                <w:sz w:val="22"/>
                <w:szCs w:val="22"/>
                <w:lang w:val="es-CO"/>
              </w:rPr>
              <w:t>is</w:t>
            </w:r>
            <w:proofErr w:type="spellEnd"/>
            <w:r>
              <w:rPr>
                <w:sz w:val="22"/>
                <w:szCs w:val="22"/>
                <w:lang w:val="es-CO"/>
              </w:rPr>
              <w:t xml:space="preserve"> </w:t>
            </w:r>
            <w:proofErr w:type="spellStart"/>
            <w:r>
              <w:rPr>
                <w:sz w:val="22"/>
                <w:szCs w:val="22"/>
                <w:lang w:val="es-CO"/>
              </w:rPr>
              <w:t>configured</w:t>
            </w:r>
            <w:proofErr w:type="spellEnd"/>
            <w:r>
              <w:rPr>
                <w:sz w:val="22"/>
                <w:szCs w:val="22"/>
                <w:lang w:val="es-CO"/>
              </w:rPr>
              <w:t xml:space="preserve">, </w:t>
            </w:r>
            <w:proofErr w:type="spellStart"/>
            <w:r>
              <w:rPr>
                <w:sz w:val="22"/>
                <w:szCs w:val="22"/>
                <w:lang w:val="es-CO"/>
              </w:rPr>
              <w:t>the</w:t>
            </w:r>
            <w:proofErr w:type="spellEnd"/>
            <w:r>
              <w:rPr>
                <w:sz w:val="22"/>
                <w:szCs w:val="22"/>
                <w:lang w:val="es-CO"/>
              </w:rPr>
              <w:t xml:space="preserve"> </w:t>
            </w:r>
            <w:proofErr w:type="spellStart"/>
            <w:r>
              <w:rPr>
                <w:sz w:val="22"/>
                <w:szCs w:val="22"/>
                <w:lang w:val="es-CO"/>
              </w:rPr>
              <w:t>penalties</w:t>
            </w:r>
            <w:proofErr w:type="spellEnd"/>
            <w:r>
              <w:rPr>
                <w:sz w:val="22"/>
                <w:szCs w:val="22"/>
                <w:lang w:val="es-CO"/>
              </w:rPr>
              <w:t xml:space="preserve"> </w:t>
            </w:r>
            <w:proofErr w:type="spellStart"/>
            <w:r>
              <w:rPr>
                <w:sz w:val="22"/>
                <w:szCs w:val="22"/>
                <w:lang w:val="es-CO"/>
              </w:rPr>
              <w:t>for</w:t>
            </w:r>
            <w:proofErr w:type="spellEnd"/>
            <w:r>
              <w:rPr>
                <w:sz w:val="22"/>
                <w:szCs w:val="22"/>
                <w:lang w:val="es-CO"/>
              </w:rPr>
              <w:t xml:space="preserve"> non-</w:t>
            </w:r>
            <w:proofErr w:type="spellStart"/>
            <w:r>
              <w:rPr>
                <w:sz w:val="22"/>
                <w:szCs w:val="22"/>
                <w:lang w:val="es-CO"/>
              </w:rPr>
              <w:t>compliance</w:t>
            </w:r>
            <w:proofErr w:type="spellEnd"/>
            <w:r>
              <w:rPr>
                <w:sz w:val="22"/>
                <w:szCs w:val="22"/>
                <w:lang w:val="es-CO"/>
              </w:rPr>
              <w:t xml:space="preserve"> </w:t>
            </w:r>
            <w:proofErr w:type="spellStart"/>
            <w:r>
              <w:rPr>
                <w:sz w:val="22"/>
                <w:szCs w:val="22"/>
                <w:lang w:val="es-CO"/>
              </w:rPr>
              <w:t>with</w:t>
            </w:r>
            <w:proofErr w:type="spellEnd"/>
            <w:r>
              <w:rPr>
                <w:sz w:val="22"/>
                <w:szCs w:val="22"/>
                <w:lang w:val="es-CO"/>
              </w:rPr>
              <w:t xml:space="preserve"> </w:t>
            </w:r>
            <w:proofErr w:type="spellStart"/>
            <w:r>
              <w:rPr>
                <w:sz w:val="22"/>
                <w:szCs w:val="22"/>
                <w:lang w:val="es-CO"/>
              </w:rPr>
              <w:t>quantity</w:t>
            </w:r>
            <w:proofErr w:type="spellEnd"/>
            <w:r>
              <w:rPr>
                <w:sz w:val="22"/>
                <w:szCs w:val="22"/>
                <w:lang w:val="es-CO"/>
              </w:rPr>
              <w:t xml:space="preserve"> and/</w:t>
            </w:r>
            <w:proofErr w:type="spellStart"/>
            <w:r>
              <w:rPr>
                <w:sz w:val="22"/>
                <w:szCs w:val="22"/>
                <w:lang w:val="es-CO"/>
              </w:rPr>
              <w:t>or</w:t>
            </w:r>
            <w:proofErr w:type="spellEnd"/>
            <w:r>
              <w:rPr>
                <w:sz w:val="22"/>
                <w:szCs w:val="22"/>
                <w:lang w:val="es-CO"/>
              </w:rPr>
              <w:t xml:space="preserve"> </w:t>
            </w:r>
            <w:proofErr w:type="spellStart"/>
            <w:r>
              <w:rPr>
                <w:sz w:val="22"/>
                <w:szCs w:val="22"/>
                <w:lang w:val="es-CO"/>
              </w:rPr>
              <w:t>deadline</w:t>
            </w:r>
            <w:proofErr w:type="spellEnd"/>
            <w:r>
              <w:rPr>
                <w:sz w:val="22"/>
                <w:szCs w:val="22"/>
                <w:lang w:val="es-CO"/>
              </w:rPr>
              <w:t xml:space="preserve"> </w:t>
            </w:r>
            <w:proofErr w:type="spellStart"/>
            <w:r>
              <w:rPr>
                <w:sz w:val="22"/>
                <w:szCs w:val="22"/>
                <w:lang w:val="es-CO"/>
              </w:rPr>
              <w:t>established</w:t>
            </w:r>
            <w:proofErr w:type="spellEnd"/>
            <w:r>
              <w:rPr>
                <w:sz w:val="22"/>
                <w:szCs w:val="22"/>
                <w:lang w:val="es-CO"/>
              </w:rPr>
              <w:t xml:space="preserve"> </w:t>
            </w:r>
            <w:proofErr w:type="spellStart"/>
            <w:r>
              <w:rPr>
                <w:sz w:val="22"/>
                <w:szCs w:val="22"/>
                <w:lang w:val="es-CO"/>
              </w:rPr>
              <w:t>above</w:t>
            </w:r>
            <w:proofErr w:type="spellEnd"/>
            <w:r>
              <w:rPr>
                <w:sz w:val="22"/>
                <w:szCs w:val="22"/>
                <w:lang w:val="es-CO"/>
              </w:rPr>
              <w:t xml:space="preserve"> in </w:t>
            </w:r>
            <w:proofErr w:type="spellStart"/>
            <w:r>
              <w:rPr>
                <w:sz w:val="22"/>
                <w:szCs w:val="22"/>
                <w:lang w:val="es-CO"/>
              </w:rPr>
              <w:t>this</w:t>
            </w:r>
            <w:proofErr w:type="spellEnd"/>
            <w:r>
              <w:rPr>
                <w:sz w:val="22"/>
                <w:szCs w:val="22"/>
                <w:lang w:val="es-CO"/>
              </w:rPr>
              <w:t xml:space="preserve"> </w:t>
            </w:r>
            <w:proofErr w:type="spellStart"/>
            <w:r>
              <w:rPr>
                <w:sz w:val="22"/>
                <w:szCs w:val="22"/>
                <w:lang w:val="es-CO"/>
              </w:rPr>
              <w:t>article</w:t>
            </w:r>
            <w:proofErr w:type="spellEnd"/>
            <w:r>
              <w:rPr>
                <w:sz w:val="22"/>
                <w:szCs w:val="22"/>
                <w:lang w:val="es-CO"/>
              </w:rPr>
              <w:t xml:space="preserve"> </w:t>
            </w:r>
            <w:proofErr w:type="spellStart"/>
            <w:r>
              <w:rPr>
                <w:sz w:val="22"/>
                <w:szCs w:val="22"/>
                <w:lang w:val="es-CO"/>
              </w:rPr>
              <w:t>will</w:t>
            </w:r>
            <w:proofErr w:type="spellEnd"/>
            <w:r>
              <w:rPr>
                <w:sz w:val="22"/>
                <w:szCs w:val="22"/>
                <w:lang w:val="es-CO"/>
              </w:rPr>
              <w:t xml:space="preserve"> </w:t>
            </w:r>
            <w:proofErr w:type="spellStart"/>
            <w:r>
              <w:rPr>
                <w:sz w:val="22"/>
                <w:szCs w:val="22"/>
                <w:lang w:val="es-CO"/>
              </w:rPr>
              <w:t>apply</w:t>
            </w:r>
            <w:proofErr w:type="spellEnd"/>
            <w:r>
              <w:rPr>
                <w:sz w:val="22"/>
                <w:szCs w:val="22"/>
                <w:lang w:val="es-CO"/>
              </w:rPr>
              <w:t>.</w:t>
            </w:r>
          </w:p>
          <w:p w14:paraId="0C067383" w14:textId="77777777" w:rsidR="00E255F4" w:rsidRDefault="00E255F4">
            <w:pPr>
              <w:tabs>
                <w:tab w:val="left" w:pos="0"/>
              </w:tabs>
              <w:rPr>
                <w:color w:val="70AD47"/>
                <w:sz w:val="22"/>
                <w:szCs w:val="22"/>
                <w:lang w:val="es-CO"/>
              </w:rPr>
            </w:pPr>
          </w:p>
          <w:p w14:paraId="6E8A2CFF" w14:textId="77777777" w:rsidR="00E255F4" w:rsidRDefault="00000000">
            <w:pPr>
              <w:tabs>
                <w:tab w:val="left" w:pos="0"/>
              </w:tabs>
              <w:rPr>
                <w:b/>
                <w:sz w:val="22"/>
                <w:szCs w:val="22"/>
                <w:lang w:val="es-CO"/>
              </w:rPr>
            </w:pPr>
            <w:proofErr w:type="spellStart"/>
            <w:r>
              <w:rPr>
                <w:b/>
                <w:sz w:val="22"/>
                <w:szCs w:val="22"/>
                <w:lang w:val="es-CO"/>
              </w:rPr>
              <w:t>Penalties</w:t>
            </w:r>
            <w:proofErr w:type="spellEnd"/>
            <w:r>
              <w:rPr>
                <w:b/>
                <w:sz w:val="22"/>
                <w:szCs w:val="22"/>
                <w:lang w:val="es-CO"/>
              </w:rPr>
              <w:t xml:space="preserve"> </w:t>
            </w:r>
            <w:proofErr w:type="spellStart"/>
            <w:r>
              <w:rPr>
                <w:b/>
                <w:sz w:val="22"/>
                <w:szCs w:val="22"/>
                <w:lang w:val="es-CO"/>
              </w:rPr>
              <w:t>for</w:t>
            </w:r>
            <w:proofErr w:type="spellEnd"/>
            <w:r>
              <w:rPr>
                <w:b/>
                <w:sz w:val="22"/>
                <w:szCs w:val="22"/>
                <w:lang w:val="es-CO"/>
              </w:rPr>
              <w:t xml:space="preserve"> </w:t>
            </w:r>
            <w:proofErr w:type="spellStart"/>
            <w:r>
              <w:rPr>
                <w:b/>
                <w:sz w:val="22"/>
                <w:szCs w:val="22"/>
                <w:lang w:val="es-CO"/>
              </w:rPr>
              <w:t>shortages</w:t>
            </w:r>
            <w:proofErr w:type="spellEnd"/>
            <w:r>
              <w:rPr>
                <w:b/>
                <w:sz w:val="22"/>
                <w:szCs w:val="22"/>
                <w:lang w:val="es-CO"/>
              </w:rPr>
              <w:t xml:space="preserve"> </w:t>
            </w:r>
            <w:proofErr w:type="spellStart"/>
            <w:r>
              <w:rPr>
                <w:b/>
                <w:sz w:val="22"/>
                <w:szCs w:val="22"/>
                <w:lang w:val="es-CO"/>
              </w:rPr>
              <w:t>or</w:t>
            </w:r>
            <w:proofErr w:type="spellEnd"/>
            <w:r>
              <w:rPr>
                <w:b/>
                <w:sz w:val="22"/>
                <w:szCs w:val="22"/>
                <w:lang w:val="es-CO"/>
              </w:rPr>
              <w:t xml:space="preserve"> </w:t>
            </w:r>
            <w:proofErr w:type="spellStart"/>
            <w:r>
              <w:rPr>
                <w:b/>
                <w:sz w:val="22"/>
                <w:szCs w:val="22"/>
                <w:lang w:val="es-CO"/>
              </w:rPr>
              <w:t>breakages</w:t>
            </w:r>
            <w:proofErr w:type="spellEnd"/>
            <w:r>
              <w:rPr>
                <w:b/>
                <w:sz w:val="22"/>
                <w:szCs w:val="22"/>
                <w:lang w:val="es-CO"/>
              </w:rPr>
              <w:t xml:space="preserve"> </w:t>
            </w:r>
            <w:proofErr w:type="spellStart"/>
            <w:r>
              <w:rPr>
                <w:b/>
                <w:sz w:val="22"/>
                <w:szCs w:val="22"/>
                <w:lang w:val="es-CO"/>
              </w:rPr>
              <w:t>of</w:t>
            </w:r>
            <w:proofErr w:type="spellEnd"/>
            <w:r>
              <w:rPr>
                <w:b/>
                <w:sz w:val="22"/>
                <w:szCs w:val="22"/>
                <w:lang w:val="es-CO"/>
              </w:rPr>
              <w:t xml:space="preserve"> </w:t>
            </w:r>
            <w:proofErr w:type="spellStart"/>
            <w:r>
              <w:rPr>
                <w:b/>
                <w:sz w:val="22"/>
                <w:szCs w:val="22"/>
                <w:lang w:val="es-CO"/>
              </w:rPr>
              <w:t>the</w:t>
            </w:r>
            <w:proofErr w:type="spellEnd"/>
            <w:r>
              <w:rPr>
                <w:b/>
                <w:sz w:val="22"/>
                <w:szCs w:val="22"/>
                <w:lang w:val="es-CO"/>
              </w:rPr>
              <w:t xml:space="preserve"> </w:t>
            </w:r>
            <w:proofErr w:type="spellStart"/>
            <w:r>
              <w:rPr>
                <w:b/>
                <w:sz w:val="22"/>
                <w:szCs w:val="22"/>
                <w:lang w:val="es-CO"/>
              </w:rPr>
              <w:t>supply</w:t>
            </w:r>
            <w:proofErr w:type="spellEnd"/>
            <w:r>
              <w:rPr>
                <w:b/>
                <w:sz w:val="22"/>
                <w:szCs w:val="22"/>
                <w:lang w:val="es-CO"/>
              </w:rPr>
              <w:t xml:space="preserve"> at </w:t>
            </w:r>
            <w:proofErr w:type="spellStart"/>
            <w:r>
              <w:rPr>
                <w:b/>
                <w:sz w:val="22"/>
                <w:szCs w:val="22"/>
                <w:lang w:val="es-CO"/>
              </w:rPr>
              <w:t>the</w:t>
            </w:r>
            <w:proofErr w:type="spellEnd"/>
            <w:r>
              <w:rPr>
                <w:b/>
                <w:sz w:val="22"/>
                <w:szCs w:val="22"/>
                <w:lang w:val="es-CO"/>
              </w:rPr>
              <w:t xml:space="preserve"> time </w:t>
            </w:r>
            <w:proofErr w:type="spellStart"/>
            <w:r>
              <w:rPr>
                <w:b/>
                <w:sz w:val="22"/>
                <w:szCs w:val="22"/>
                <w:lang w:val="es-CO"/>
              </w:rPr>
              <w:t>of</w:t>
            </w:r>
            <w:proofErr w:type="spellEnd"/>
            <w:r>
              <w:rPr>
                <w:b/>
                <w:sz w:val="22"/>
                <w:szCs w:val="22"/>
                <w:lang w:val="es-CO"/>
              </w:rPr>
              <w:t xml:space="preserve"> </w:t>
            </w:r>
            <w:proofErr w:type="spellStart"/>
            <w:r>
              <w:rPr>
                <w:b/>
                <w:sz w:val="22"/>
                <w:szCs w:val="22"/>
                <w:lang w:val="es-CO"/>
              </w:rPr>
              <w:t>delivery</w:t>
            </w:r>
            <w:proofErr w:type="spellEnd"/>
            <w:r>
              <w:rPr>
                <w:b/>
                <w:sz w:val="22"/>
                <w:szCs w:val="22"/>
                <w:lang w:val="es-CO"/>
              </w:rPr>
              <w:t xml:space="preserve"> </w:t>
            </w:r>
            <w:proofErr w:type="spellStart"/>
            <w:r>
              <w:rPr>
                <w:b/>
                <w:sz w:val="22"/>
                <w:szCs w:val="22"/>
                <w:lang w:val="es-CO"/>
              </w:rPr>
              <w:t>to</w:t>
            </w:r>
            <w:proofErr w:type="spellEnd"/>
            <w:r>
              <w:rPr>
                <w:b/>
                <w:sz w:val="22"/>
                <w:szCs w:val="22"/>
                <w:lang w:val="es-CO"/>
              </w:rPr>
              <w:t xml:space="preserve"> </w:t>
            </w:r>
            <w:proofErr w:type="spellStart"/>
            <w:r>
              <w:rPr>
                <w:b/>
                <w:sz w:val="22"/>
                <w:szCs w:val="22"/>
                <w:lang w:val="es-CO"/>
              </w:rPr>
              <w:t>the</w:t>
            </w:r>
            <w:proofErr w:type="spellEnd"/>
            <w:r>
              <w:rPr>
                <w:b/>
                <w:sz w:val="22"/>
                <w:szCs w:val="22"/>
                <w:lang w:val="es-CO"/>
              </w:rPr>
              <w:t xml:space="preserve"> </w:t>
            </w:r>
            <w:proofErr w:type="spellStart"/>
            <w:r>
              <w:rPr>
                <w:b/>
                <w:sz w:val="22"/>
                <w:szCs w:val="22"/>
                <w:lang w:val="es-CO"/>
              </w:rPr>
              <w:t>stipulated</w:t>
            </w:r>
            <w:proofErr w:type="spellEnd"/>
            <w:r>
              <w:rPr>
                <w:b/>
                <w:sz w:val="22"/>
                <w:szCs w:val="22"/>
                <w:lang w:val="es-CO"/>
              </w:rPr>
              <w:t xml:space="preserve"> place </w:t>
            </w:r>
            <w:proofErr w:type="spellStart"/>
            <w:r>
              <w:rPr>
                <w:b/>
                <w:sz w:val="22"/>
                <w:szCs w:val="22"/>
                <w:lang w:val="es-CO"/>
              </w:rPr>
              <w:t>for</w:t>
            </w:r>
            <w:proofErr w:type="spellEnd"/>
            <w:r>
              <w:rPr>
                <w:b/>
                <w:sz w:val="22"/>
                <w:szCs w:val="22"/>
                <w:lang w:val="es-CO"/>
              </w:rPr>
              <w:t xml:space="preserve"> </w:t>
            </w:r>
            <w:proofErr w:type="spellStart"/>
            <w:r>
              <w:rPr>
                <w:b/>
                <w:sz w:val="22"/>
                <w:szCs w:val="22"/>
                <w:lang w:val="es-CO"/>
              </w:rPr>
              <w:t>the</w:t>
            </w:r>
            <w:proofErr w:type="spellEnd"/>
            <w:r>
              <w:rPr>
                <w:b/>
                <w:sz w:val="22"/>
                <w:szCs w:val="22"/>
                <w:lang w:val="es-CO"/>
              </w:rPr>
              <w:t xml:space="preserve"> </w:t>
            </w:r>
            <w:proofErr w:type="spellStart"/>
            <w:r>
              <w:rPr>
                <w:b/>
                <w:sz w:val="22"/>
                <w:szCs w:val="22"/>
                <w:lang w:val="es-CO"/>
              </w:rPr>
              <w:t>market</w:t>
            </w:r>
            <w:proofErr w:type="spellEnd"/>
            <w:r>
              <w:rPr>
                <w:b/>
                <w:sz w:val="22"/>
                <w:szCs w:val="22"/>
                <w:lang w:val="es-CO"/>
              </w:rPr>
              <w:br/>
            </w:r>
          </w:p>
          <w:p w14:paraId="45ED2C9F" w14:textId="77777777" w:rsidR="00E255F4" w:rsidRDefault="00000000">
            <w:pPr>
              <w:tabs>
                <w:tab w:val="left" w:pos="0"/>
              </w:tabs>
              <w:jc w:val="both"/>
              <w:rPr>
                <w:sz w:val="22"/>
                <w:szCs w:val="22"/>
                <w:lang w:val="es-CO"/>
              </w:rPr>
            </w:pPr>
            <w:proofErr w:type="spellStart"/>
            <w:r>
              <w:rPr>
                <w:rFonts w:eastAsia="Palatino Linotype"/>
                <w:spacing w:val="-1"/>
                <w:position w:val="1"/>
                <w:sz w:val="22"/>
                <w:szCs w:val="22"/>
                <w:lang w:val="es-ES"/>
              </w:rPr>
              <w:t>Upon</w:t>
            </w:r>
            <w:proofErr w:type="spellEnd"/>
            <w:r>
              <w:rPr>
                <w:rFonts w:eastAsia="Palatino Linotype"/>
                <w:spacing w:val="-1"/>
                <w:position w:val="1"/>
                <w:sz w:val="22"/>
                <w:szCs w:val="22"/>
                <w:lang w:val="es-ES"/>
              </w:rPr>
              <w:t xml:space="preserve"> </w:t>
            </w:r>
            <w:proofErr w:type="spellStart"/>
            <w:r>
              <w:rPr>
                <w:rFonts w:eastAsia="Palatino Linotype"/>
                <w:spacing w:val="-1"/>
                <w:position w:val="1"/>
                <w:sz w:val="22"/>
                <w:szCs w:val="22"/>
                <w:lang w:val="es-ES"/>
              </w:rPr>
              <w:t>receiving</w:t>
            </w:r>
            <w:proofErr w:type="spellEnd"/>
            <w:r>
              <w:rPr>
                <w:rFonts w:eastAsia="Palatino Linotype"/>
                <w:spacing w:val="-1"/>
                <w:position w:val="1"/>
                <w:sz w:val="22"/>
                <w:szCs w:val="22"/>
                <w:lang w:val="es-ES"/>
              </w:rPr>
              <w:t xml:space="preserve"> </w:t>
            </w:r>
            <w:proofErr w:type="spellStart"/>
            <w:r>
              <w:rPr>
                <w:rFonts w:eastAsia="Palatino Linotype"/>
                <w:spacing w:val="-1"/>
                <w:position w:val="1"/>
                <w:sz w:val="22"/>
                <w:szCs w:val="22"/>
                <w:lang w:val="es-ES"/>
              </w:rPr>
              <w:t>the</w:t>
            </w:r>
            <w:proofErr w:type="spellEnd"/>
            <w:r>
              <w:rPr>
                <w:rFonts w:eastAsia="Palatino Linotype"/>
                <w:spacing w:val="-1"/>
                <w:position w:val="1"/>
                <w:sz w:val="22"/>
                <w:szCs w:val="22"/>
                <w:lang w:val="es-ES"/>
              </w:rPr>
              <w:t xml:space="preserve"> </w:t>
            </w:r>
            <w:proofErr w:type="spellStart"/>
            <w:r>
              <w:rPr>
                <w:rFonts w:eastAsia="Palatino Linotype"/>
                <w:spacing w:val="-1"/>
                <w:position w:val="1"/>
                <w:sz w:val="22"/>
                <w:szCs w:val="22"/>
                <w:lang w:val="es-ES"/>
              </w:rPr>
              <w:t>merchandise</w:t>
            </w:r>
            <w:proofErr w:type="spellEnd"/>
            <w:r>
              <w:rPr>
                <w:rFonts w:eastAsia="Palatino Linotype"/>
                <w:spacing w:val="-1"/>
                <w:position w:val="1"/>
                <w:sz w:val="22"/>
                <w:szCs w:val="22"/>
                <w:lang w:val="es-ES"/>
              </w:rPr>
              <w:t xml:space="preserve"> at </w:t>
            </w:r>
            <w:proofErr w:type="spellStart"/>
            <w:r>
              <w:rPr>
                <w:rFonts w:eastAsia="Palatino Linotype"/>
                <w:spacing w:val="-1"/>
                <w:position w:val="1"/>
                <w:sz w:val="22"/>
                <w:szCs w:val="22"/>
                <w:lang w:val="es-ES"/>
              </w:rPr>
              <w:t>the</w:t>
            </w:r>
            <w:proofErr w:type="spellEnd"/>
            <w:r>
              <w:rPr>
                <w:rFonts w:eastAsia="Palatino Linotype"/>
                <w:spacing w:val="-1"/>
                <w:position w:val="1"/>
                <w:sz w:val="22"/>
                <w:szCs w:val="22"/>
                <w:lang w:val="es-ES"/>
              </w:rPr>
              <w:t xml:space="preserve"> </w:t>
            </w:r>
            <w:proofErr w:type="spellStart"/>
            <w:r>
              <w:rPr>
                <w:rFonts w:eastAsia="Palatino Linotype"/>
                <w:spacing w:val="-1"/>
                <w:position w:val="1"/>
                <w:sz w:val="22"/>
                <w:szCs w:val="22"/>
                <w:lang w:val="es-ES"/>
              </w:rPr>
              <w:t>designated</w:t>
            </w:r>
            <w:proofErr w:type="spellEnd"/>
            <w:r>
              <w:rPr>
                <w:rFonts w:eastAsia="Palatino Linotype"/>
                <w:spacing w:val="-1"/>
                <w:position w:val="1"/>
                <w:sz w:val="22"/>
                <w:szCs w:val="22"/>
                <w:lang w:val="es-ES"/>
              </w:rPr>
              <w:t xml:space="preserve"> </w:t>
            </w:r>
            <w:proofErr w:type="spellStart"/>
            <w:r>
              <w:rPr>
                <w:rFonts w:eastAsia="Palatino Linotype"/>
                <w:spacing w:val="-1"/>
                <w:position w:val="1"/>
                <w:sz w:val="22"/>
                <w:szCs w:val="22"/>
                <w:lang w:val="es-ES"/>
              </w:rPr>
              <w:t>delivery</w:t>
            </w:r>
            <w:proofErr w:type="spellEnd"/>
            <w:r>
              <w:rPr>
                <w:rFonts w:eastAsia="Palatino Linotype"/>
                <w:spacing w:val="-1"/>
                <w:position w:val="1"/>
                <w:sz w:val="22"/>
                <w:szCs w:val="22"/>
                <w:lang w:val="es-ES"/>
              </w:rPr>
              <w:t xml:space="preserve"> </w:t>
            </w:r>
            <w:proofErr w:type="spellStart"/>
            <w:r>
              <w:rPr>
                <w:rFonts w:eastAsia="Palatino Linotype"/>
                <w:spacing w:val="-1"/>
                <w:position w:val="1"/>
                <w:sz w:val="22"/>
                <w:szCs w:val="22"/>
                <w:lang w:val="es-ES"/>
              </w:rPr>
              <w:t>location</w:t>
            </w:r>
            <w:proofErr w:type="spellEnd"/>
            <w:r>
              <w:rPr>
                <w:rFonts w:eastAsia="Palatino Linotype"/>
                <w:spacing w:val="-1"/>
                <w:position w:val="1"/>
                <w:sz w:val="22"/>
                <w:szCs w:val="22"/>
                <w:lang w:val="es-ES"/>
              </w:rPr>
              <w:t xml:space="preserve">, and </w:t>
            </w:r>
            <w:proofErr w:type="spellStart"/>
            <w:r>
              <w:rPr>
                <w:rFonts w:eastAsia="Palatino Linotype"/>
                <w:spacing w:val="-1"/>
                <w:position w:val="1"/>
                <w:sz w:val="22"/>
                <w:szCs w:val="22"/>
                <w:lang w:val="es-ES"/>
              </w:rPr>
              <w:t>if</w:t>
            </w:r>
            <w:proofErr w:type="spellEnd"/>
            <w:r>
              <w:rPr>
                <w:rFonts w:eastAsia="Palatino Linotype"/>
                <w:spacing w:val="-1"/>
                <w:position w:val="1"/>
                <w:sz w:val="22"/>
                <w:szCs w:val="22"/>
                <w:lang w:val="es-ES"/>
              </w:rPr>
              <w:t xml:space="preserve"> </w:t>
            </w:r>
            <w:proofErr w:type="spellStart"/>
            <w:r>
              <w:rPr>
                <w:rFonts w:eastAsia="Palatino Linotype"/>
                <w:spacing w:val="-1"/>
                <w:position w:val="1"/>
                <w:sz w:val="22"/>
                <w:szCs w:val="22"/>
                <w:lang w:val="es-ES"/>
              </w:rPr>
              <w:t>the</w:t>
            </w:r>
            <w:proofErr w:type="spellEnd"/>
            <w:r>
              <w:rPr>
                <w:rFonts w:eastAsia="Palatino Linotype"/>
                <w:spacing w:val="-1"/>
                <w:position w:val="1"/>
                <w:sz w:val="22"/>
                <w:szCs w:val="22"/>
                <w:lang w:val="es-ES"/>
              </w:rPr>
              <w:t xml:space="preserve"> </w:t>
            </w:r>
            <w:proofErr w:type="spellStart"/>
            <w:r>
              <w:rPr>
                <w:rFonts w:eastAsia="Palatino Linotype"/>
                <w:spacing w:val="-1"/>
                <w:position w:val="1"/>
                <w:sz w:val="22"/>
                <w:szCs w:val="22"/>
                <w:lang w:val="es-ES"/>
              </w:rPr>
              <w:t>claim</w:t>
            </w:r>
            <w:proofErr w:type="spellEnd"/>
            <w:r>
              <w:rPr>
                <w:rFonts w:eastAsia="Palatino Linotype"/>
                <w:spacing w:val="-1"/>
                <w:position w:val="1"/>
                <w:sz w:val="22"/>
                <w:szCs w:val="22"/>
                <w:lang w:val="es-ES"/>
              </w:rPr>
              <w:t xml:space="preserve"> </w:t>
            </w:r>
            <w:proofErr w:type="spellStart"/>
            <w:r>
              <w:rPr>
                <w:rFonts w:eastAsia="Palatino Linotype"/>
                <w:spacing w:val="-1"/>
                <w:position w:val="1"/>
                <w:sz w:val="22"/>
                <w:szCs w:val="22"/>
                <w:lang w:val="es-ES"/>
              </w:rPr>
              <w:t>against</w:t>
            </w:r>
            <w:proofErr w:type="spellEnd"/>
            <w:r>
              <w:rPr>
                <w:rFonts w:eastAsia="Palatino Linotype"/>
                <w:spacing w:val="-1"/>
                <w:position w:val="1"/>
                <w:sz w:val="22"/>
                <w:szCs w:val="22"/>
                <w:lang w:val="es-ES"/>
              </w:rPr>
              <w:t xml:space="preserve"> </w:t>
            </w:r>
            <w:proofErr w:type="spellStart"/>
            <w:r>
              <w:rPr>
                <w:rFonts w:eastAsia="Palatino Linotype"/>
                <w:spacing w:val="-1"/>
                <w:position w:val="1"/>
                <w:sz w:val="22"/>
                <w:szCs w:val="22"/>
                <w:lang w:val="es-ES"/>
              </w:rPr>
              <w:t>the</w:t>
            </w:r>
            <w:proofErr w:type="spellEnd"/>
            <w:r>
              <w:rPr>
                <w:rFonts w:eastAsia="Palatino Linotype"/>
                <w:spacing w:val="-1"/>
                <w:position w:val="1"/>
                <w:sz w:val="22"/>
                <w:szCs w:val="22"/>
                <w:lang w:val="es-ES"/>
              </w:rPr>
              <w:t xml:space="preserve"> </w:t>
            </w:r>
            <w:proofErr w:type="spellStart"/>
            <w:r>
              <w:rPr>
                <w:rFonts w:eastAsia="Palatino Linotype"/>
                <w:spacing w:val="-1"/>
                <w:position w:val="1"/>
                <w:sz w:val="22"/>
                <w:szCs w:val="22"/>
                <w:lang w:val="es-ES"/>
              </w:rPr>
              <w:t>international</w:t>
            </w:r>
            <w:proofErr w:type="spellEnd"/>
            <w:r>
              <w:rPr>
                <w:rFonts w:eastAsia="Palatino Linotype"/>
                <w:spacing w:val="-1"/>
                <w:position w:val="1"/>
                <w:sz w:val="22"/>
                <w:szCs w:val="22"/>
                <w:lang w:val="es-ES"/>
              </w:rPr>
              <w:t xml:space="preserve"> </w:t>
            </w:r>
            <w:proofErr w:type="spellStart"/>
            <w:r>
              <w:rPr>
                <w:rFonts w:eastAsia="Palatino Linotype"/>
                <w:spacing w:val="-1"/>
                <w:position w:val="1"/>
                <w:sz w:val="22"/>
                <w:szCs w:val="22"/>
                <w:lang w:val="es-ES"/>
              </w:rPr>
              <w:t>insurance</w:t>
            </w:r>
            <w:proofErr w:type="spellEnd"/>
            <w:r>
              <w:rPr>
                <w:rFonts w:eastAsia="Palatino Linotype"/>
                <w:spacing w:val="-1"/>
                <w:position w:val="1"/>
                <w:sz w:val="22"/>
                <w:szCs w:val="22"/>
                <w:lang w:val="es-ES"/>
              </w:rPr>
              <w:t xml:space="preserve"> </w:t>
            </w:r>
            <w:proofErr w:type="spellStart"/>
            <w:r>
              <w:rPr>
                <w:rFonts w:eastAsia="Palatino Linotype"/>
                <w:spacing w:val="-1"/>
                <w:position w:val="1"/>
                <w:sz w:val="22"/>
                <w:szCs w:val="22"/>
                <w:lang w:val="es-ES"/>
              </w:rPr>
              <w:t>is</w:t>
            </w:r>
            <w:proofErr w:type="spellEnd"/>
            <w:r>
              <w:rPr>
                <w:rFonts w:eastAsia="Palatino Linotype"/>
                <w:spacing w:val="-1"/>
                <w:position w:val="1"/>
                <w:sz w:val="22"/>
                <w:szCs w:val="22"/>
                <w:lang w:val="es-ES"/>
              </w:rPr>
              <w:t xml:space="preserve"> </w:t>
            </w:r>
            <w:proofErr w:type="spellStart"/>
            <w:r>
              <w:rPr>
                <w:rFonts w:eastAsia="Palatino Linotype"/>
                <w:spacing w:val="-1"/>
                <w:position w:val="1"/>
                <w:sz w:val="22"/>
                <w:szCs w:val="22"/>
                <w:lang w:val="es-ES"/>
              </w:rPr>
              <w:t>not</w:t>
            </w:r>
            <w:proofErr w:type="spellEnd"/>
            <w:r>
              <w:rPr>
                <w:rFonts w:eastAsia="Palatino Linotype"/>
                <w:spacing w:val="-1"/>
                <w:position w:val="1"/>
                <w:sz w:val="22"/>
                <w:szCs w:val="22"/>
                <w:lang w:val="es-ES"/>
              </w:rPr>
              <w:t xml:space="preserve"> </w:t>
            </w:r>
            <w:proofErr w:type="spellStart"/>
            <w:r>
              <w:rPr>
                <w:rFonts w:eastAsia="Palatino Linotype"/>
                <w:spacing w:val="-1"/>
                <w:position w:val="1"/>
                <w:sz w:val="22"/>
                <w:szCs w:val="22"/>
                <w:lang w:val="es-ES"/>
              </w:rPr>
              <w:t>applicable</w:t>
            </w:r>
            <w:proofErr w:type="spellEnd"/>
            <w:r>
              <w:rPr>
                <w:rFonts w:eastAsia="Palatino Linotype"/>
                <w:spacing w:val="-1"/>
                <w:position w:val="1"/>
                <w:sz w:val="22"/>
                <w:szCs w:val="22"/>
                <w:lang w:val="es-ES"/>
              </w:rPr>
              <w:t xml:space="preserve">, </w:t>
            </w:r>
            <w:proofErr w:type="spellStart"/>
            <w:r>
              <w:rPr>
                <w:rFonts w:eastAsia="Palatino Linotype"/>
                <w:spacing w:val="-1"/>
                <w:position w:val="1"/>
                <w:sz w:val="22"/>
                <w:szCs w:val="22"/>
                <w:lang w:val="es-ES"/>
              </w:rPr>
              <w:t>the</w:t>
            </w:r>
            <w:proofErr w:type="spellEnd"/>
            <w:r>
              <w:rPr>
                <w:rFonts w:eastAsia="Palatino Linotype"/>
                <w:spacing w:val="-1"/>
                <w:position w:val="1"/>
                <w:sz w:val="22"/>
                <w:szCs w:val="22"/>
                <w:lang w:val="es-ES"/>
              </w:rPr>
              <w:t xml:space="preserve"> </w:t>
            </w:r>
            <w:proofErr w:type="spellStart"/>
            <w:r>
              <w:rPr>
                <w:rFonts w:eastAsia="Palatino Linotype"/>
                <w:spacing w:val="-1"/>
                <w:position w:val="1"/>
                <w:sz w:val="22"/>
                <w:szCs w:val="22"/>
                <w:lang w:val="es-ES"/>
              </w:rPr>
              <w:t>supplier</w:t>
            </w:r>
            <w:proofErr w:type="spellEnd"/>
            <w:r>
              <w:rPr>
                <w:rFonts w:eastAsia="Palatino Linotype"/>
                <w:spacing w:val="-1"/>
                <w:position w:val="1"/>
                <w:sz w:val="22"/>
                <w:szCs w:val="22"/>
                <w:lang w:val="es-ES"/>
              </w:rPr>
              <w:t xml:space="preserve"> </w:t>
            </w:r>
            <w:proofErr w:type="spellStart"/>
            <w:r>
              <w:rPr>
                <w:rFonts w:eastAsia="Palatino Linotype"/>
                <w:spacing w:val="-1"/>
                <w:position w:val="1"/>
                <w:sz w:val="22"/>
                <w:szCs w:val="22"/>
                <w:lang w:val="es-ES"/>
              </w:rPr>
              <w:t>must</w:t>
            </w:r>
            <w:proofErr w:type="spellEnd"/>
            <w:r>
              <w:rPr>
                <w:rFonts w:eastAsia="Palatino Linotype"/>
                <w:spacing w:val="-1"/>
                <w:position w:val="1"/>
                <w:sz w:val="22"/>
                <w:szCs w:val="22"/>
                <w:lang w:val="es-ES"/>
              </w:rPr>
              <w:t xml:space="preserve"> </w:t>
            </w:r>
            <w:proofErr w:type="spellStart"/>
            <w:r>
              <w:rPr>
                <w:rFonts w:eastAsia="Palatino Linotype"/>
                <w:spacing w:val="-1"/>
                <w:position w:val="1"/>
                <w:sz w:val="22"/>
                <w:szCs w:val="22"/>
                <w:lang w:val="es-ES"/>
              </w:rPr>
              <w:t>assume</w:t>
            </w:r>
            <w:proofErr w:type="spellEnd"/>
            <w:r>
              <w:rPr>
                <w:rFonts w:eastAsia="Palatino Linotype"/>
                <w:spacing w:val="-1"/>
                <w:position w:val="1"/>
                <w:sz w:val="22"/>
                <w:szCs w:val="22"/>
                <w:lang w:val="es-ES"/>
              </w:rPr>
              <w:t xml:space="preserve"> </w:t>
            </w:r>
            <w:proofErr w:type="spellStart"/>
            <w:r>
              <w:rPr>
                <w:rFonts w:eastAsia="Palatino Linotype"/>
                <w:spacing w:val="-1"/>
                <w:position w:val="1"/>
                <w:sz w:val="22"/>
                <w:szCs w:val="22"/>
                <w:lang w:val="es-ES"/>
              </w:rPr>
              <w:t>all</w:t>
            </w:r>
            <w:proofErr w:type="spellEnd"/>
            <w:r>
              <w:rPr>
                <w:rFonts w:eastAsia="Palatino Linotype"/>
                <w:spacing w:val="-1"/>
                <w:position w:val="1"/>
                <w:sz w:val="22"/>
                <w:szCs w:val="22"/>
                <w:lang w:val="es-ES"/>
              </w:rPr>
              <w:t xml:space="preserve"> </w:t>
            </w:r>
            <w:proofErr w:type="spellStart"/>
            <w:r>
              <w:rPr>
                <w:rFonts w:eastAsia="Palatino Linotype"/>
                <w:spacing w:val="-1"/>
                <w:position w:val="1"/>
                <w:sz w:val="22"/>
                <w:szCs w:val="22"/>
                <w:lang w:val="es-ES"/>
              </w:rPr>
              <w:t>costs</w:t>
            </w:r>
            <w:proofErr w:type="spellEnd"/>
            <w:r>
              <w:rPr>
                <w:rFonts w:eastAsia="Palatino Linotype"/>
                <w:spacing w:val="-1"/>
                <w:position w:val="1"/>
                <w:sz w:val="22"/>
                <w:szCs w:val="22"/>
                <w:lang w:val="es-ES"/>
              </w:rPr>
              <w:t xml:space="preserve"> </w:t>
            </w:r>
            <w:proofErr w:type="spellStart"/>
            <w:r>
              <w:rPr>
                <w:rFonts w:eastAsia="Palatino Linotype"/>
                <w:spacing w:val="-1"/>
                <w:position w:val="1"/>
                <w:sz w:val="22"/>
                <w:szCs w:val="22"/>
                <w:lang w:val="es-ES"/>
              </w:rPr>
              <w:t>of</w:t>
            </w:r>
            <w:proofErr w:type="spellEnd"/>
            <w:r>
              <w:rPr>
                <w:rFonts w:eastAsia="Palatino Linotype"/>
                <w:spacing w:val="-1"/>
                <w:position w:val="1"/>
                <w:sz w:val="22"/>
                <w:szCs w:val="22"/>
                <w:lang w:val="es-ES"/>
              </w:rPr>
              <w:t xml:space="preserve"> </w:t>
            </w:r>
            <w:proofErr w:type="spellStart"/>
            <w:r>
              <w:rPr>
                <w:rFonts w:eastAsia="Palatino Linotype"/>
                <w:spacing w:val="-1"/>
                <w:position w:val="1"/>
                <w:sz w:val="22"/>
                <w:szCs w:val="22"/>
                <w:lang w:val="es-ES"/>
              </w:rPr>
              <w:t>replacing</w:t>
            </w:r>
            <w:proofErr w:type="spellEnd"/>
            <w:r>
              <w:rPr>
                <w:rFonts w:eastAsia="Palatino Linotype"/>
                <w:spacing w:val="-1"/>
                <w:position w:val="1"/>
                <w:sz w:val="22"/>
                <w:szCs w:val="22"/>
                <w:lang w:val="es-ES"/>
              </w:rPr>
              <w:t xml:space="preserve"> </w:t>
            </w:r>
            <w:proofErr w:type="spellStart"/>
            <w:r>
              <w:rPr>
                <w:rFonts w:eastAsia="Palatino Linotype"/>
                <w:spacing w:val="-1"/>
                <w:position w:val="1"/>
                <w:sz w:val="22"/>
                <w:szCs w:val="22"/>
                <w:lang w:val="es-ES"/>
              </w:rPr>
              <w:t>this</w:t>
            </w:r>
            <w:proofErr w:type="spellEnd"/>
            <w:r>
              <w:rPr>
                <w:rFonts w:eastAsia="Palatino Linotype"/>
                <w:spacing w:val="-1"/>
                <w:position w:val="1"/>
                <w:sz w:val="22"/>
                <w:szCs w:val="22"/>
                <w:lang w:val="es-ES"/>
              </w:rPr>
              <w:t xml:space="preserve"> </w:t>
            </w:r>
            <w:proofErr w:type="spellStart"/>
            <w:r>
              <w:rPr>
                <w:rFonts w:eastAsia="Palatino Linotype"/>
                <w:spacing w:val="-1"/>
                <w:position w:val="1"/>
                <w:sz w:val="22"/>
                <w:szCs w:val="22"/>
                <w:lang w:val="es-ES"/>
              </w:rPr>
              <w:t>merchandise</w:t>
            </w:r>
            <w:proofErr w:type="spellEnd"/>
            <w:r>
              <w:rPr>
                <w:rFonts w:eastAsia="Palatino Linotype"/>
                <w:spacing w:val="-1"/>
                <w:position w:val="1"/>
                <w:sz w:val="22"/>
                <w:szCs w:val="22"/>
                <w:lang w:val="es-ES"/>
              </w:rPr>
              <w:t xml:space="preserve"> up </w:t>
            </w:r>
            <w:proofErr w:type="spellStart"/>
            <w:r>
              <w:rPr>
                <w:rFonts w:eastAsia="Palatino Linotype"/>
                <w:spacing w:val="-1"/>
                <w:position w:val="1"/>
                <w:sz w:val="22"/>
                <w:szCs w:val="22"/>
                <w:lang w:val="es-ES"/>
              </w:rPr>
              <w:t>to</w:t>
            </w:r>
            <w:proofErr w:type="spellEnd"/>
            <w:r>
              <w:rPr>
                <w:rFonts w:eastAsia="Palatino Linotype"/>
                <w:spacing w:val="-1"/>
                <w:position w:val="1"/>
                <w:sz w:val="22"/>
                <w:szCs w:val="22"/>
                <w:lang w:val="es-ES"/>
              </w:rPr>
              <w:t xml:space="preserve"> </w:t>
            </w:r>
            <w:proofErr w:type="spellStart"/>
            <w:r>
              <w:rPr>
                <w:rFonts w:eastAsia="Palatino Linotype"/>
                <w:spacing w:val="-1"/>
                <w:position w:val="1"/>
                <w:sz w:val="22"/>
                <w:szCs w:val="22"/>
                <w:lang w:val="es-ES"/>
              </w:rPr>
              <w:t>said</w:t>
            </w:r>
            <w:proofErr w:type="spellEnd"/>
            <w:r>
              <w:rPr>
                <w:rFonts w:eastAsia="Palatino Linotype"/>
                <w:spacing w:val="-1"/>
                <w:position w:val="1"/>
                <w:sz w:val="22"/>
                <w:szCs w:val="22"/>
                <w:lang w:val="es-ES"/>
              </w:rPr>
              <w:t xml:space="preserve"> </w:t>
            </w:r>
            <w:proofErr w:type="spellStart"/>
            <w:proofErr w:type="gramStart"/>
            <w:r>
              <w:rPr>
                <w:rFonts w:eastAsia="Palatino Linotype"/>
                <w:spacing w:val="-1"/>
                <w:position w:val="1"/>
                <w:sz w:val="22"/>
                <w:szCs w:val="22"/>
                <w:lang w:val="es-ES"/>
              </w:rPr>
              <w:t>destination</w:t>
            </w:r>
            <w:proofErr w:type="spellEnd"/>
            <w:r>
              <w:rPr>
                <w:rFonts w:eastAsia="Palatino Linotype"/>
                <w:spacing w:val="-1"/>
                <w:position w:val="1"/>
                <w:sz w:val="22"/>
                <w:szCs w:val="22"/>
                <w:lang w:val="es-ES"/>
              </w:rPr>
              <w:t>.</w:t>
            </w:r>
            <w:r>
              <w:rPr>
                <w:sz w:val="22"/>
                <w:szCs w:val="22"/>
                <w:lang w:val="es-CO"/>
              </w:rPr>
              <w:t>Once</w:t>
            </w:r>
            <w:proofErr w:type="gramEnd"/>
            <w:r>
              <w:rPr>
                <w:sz w:val="22"/>
                <w:szCs w:val="22"/>
                <w:lang w:val="es-CO"/>
              </w:rPr>
              <w:t xml:space="preserve"> </w:t>
            </w:r>
            <w:proofErr w:type="spellStart"/>
            <w:r>
              <w:rPr>
                <w:sz w:val="22"/>
                <w:szCs w:val="22"/>
                <w:lang w:val="es-CO"/>
              </w:rPr>
              <w:t>this</w:t>
            </w:r>
            <w:proofErr w:type="spellEnd"/>
            <w:r>
              <w:rPr>
                <w:sz w:val="22"/>
                <w:szCs w:val="22"/>
                <w:lang w:val="es-CO"/>
              </w:rPr>
              <w:t xml:space="preserve"> </w:t>
            </w:r>
            <w:proofErr w:type="spellStart"/>
            <w:r>
              <w:rPr>
                <w:sz w:val="22"/>
                <w:szCs w:val="22"/>
                <w:lang w:val="es-CO"/>
              </w:rPr>
              <w:t>breach</w:t>
            </w:r>
            <w:proofErr w:type="spellEnd"/>
            <w:r>
              <w:rPr>
                <w:sz w:val="22"/>
                <w:szCs w:val="22"/>
                <w:lang w:val="es-CO"/>
              </w:rPr>
              <w:t xml:space="preserve"> </w:t>
            </w:r>
            <w:proofErr w:type="spellStart"/>
            <w:r>
              <w:rPr>
                <w:sz w:val="22"/>
                <w:szCs w:val="22"/>
                <w:lang w:val="es-CO"/>
              </w:rPr>
              <w:t>is</w:t>
            </w:r>
            <w:proofErr w:type="spellEnd"/>
            <w:r>
              <w:rPr>
                <w:sz w:val="22"/>
                <w:szCs w:val="22"/>
                <w:lang w:val="es-CO"/>
              </w:rPr>
              <w:t xml:space="preserve"> </w:t>
            </w:r>
            <w:proofErr w:type="spellStart"/>
            <w:r>
              <w:rPr>
                <w:sz w:val="22"/>
                <w:szCs w:val="22"/>
                <w:lang w:val="es-CO"/>
              </w:rPr>
              <w:t>established</w:t>
            </w:r>
            <w:proofErr w:type="spellEnd"/>
            <w:r>
              <w:rPr>
                <w:sz w:val="22"/>
                <w:szCs w:val="22"/>
                <w:lang w:val="es-CO"/>
              </w:rPr>
              <w:t xml:space="preserve">, </w:t>
            </w:r>
            <w:proofErr w:type="spellStart"/>
            <w:r>
              <w:rPr>
                <w:sz w:val="22"/>
                <w:szCs w:val="22"/>
                <w:lang w:val="es-CO"/>
              </w:rPr>
              <w:t>the</w:t>
            </w:r>
            <w:proofErr w:type="spellEnd"/>
            <w:r>
              <w:rPr>
                <w:sz w:val="22"/>
                <w:szCs w:val="22"/>
                <w:lang w:val="es-CO"/>
              </w:rPr>
              <w:t xml:space="preserve"> </w:t>
            </w:r>
            <w:proofErr w:type="spellStart"/>
            <w:r>
              <w:rPr>
                <w:sz w:val="22"/>
                <w:szCs w:val="22"/>
                <w:lang w:val="es-CO"/>
              </w:rPr>
              <w:t>penalties</w:t>
            </w:r>
            <w:proofErr w:type="spellEnd"/>
            <w:r>
              <w:rPr>
                <w:sz w:val="22"/>
                <w:szCs w:val="22"/>
                <w:lang w:val="es-CO"/>
              </w:rPr>
              <w:t xml:space="preserve"> </w:t>
            </w:r>
            <w:proofErr w:type="spellStart"/>
            <w:r>
              <w:rPr>
                <w:sz w:val="22"/>
                <w:szCs w:val="22"/>
                <w:lang w:val="es-CO"/>
              </w:rPr>
              <w:t>for</w:t>
            </w:r>
            <w:proofErr w:type="spellEnd"/>
            <w:r>
              <w:rPr>
                <w:sz w:val="22"/>
                <w:szCs w:val="22"/>
                <w:lang w:val="es-CO"/>
              </w:rPr>
              <w:t xml:space="preserve"> </w:t>
            </w:r>
            <w:proofErr w:type="spellStart"/>
            <w:r>
              <w:rPr>
                <w:sz w:val="22"/>
                <w:szCs w:val="22"/>
                <w:lang w:val="es-CO"/>
              </w:rPr>
              <w:t>breach</w:t>
            </w:r>
            <w:proofErr w:type="spellEnd"/>
            <w:r>
              <w:rPr>
                <w:sz w:val="22"/>
                <w:szCs w:val="22"/>
                <w:lang w:val="es-CO"/>
              </w:rPr>
              <w:t xml:space="preserve"> </w:t>
            </w:r>
            <w:proofErr w:type="spellStart"/>
            <w:r>
              <w:rPr>
                <w:sz w:val="22"/>
                <w:szCs w:val="22"/>
                <w:lang w:val="es-CO"/>
              </w:rPr>
              <w:t>of</w:t>
            </w:r>
            <w:proofErr w:type="spellEnd"/>
            <w:r>
              <w:rPr>
                <w:sz w:val="22"/>
                <w:szCs w:val="22"/>
                <w:lang w:val="es-CO"/>
              </w:rPr>
              <w:t xml:space="preserve"> </w:t>
            </w:r>
            <w:proofErr w:type="spellStart"/>
            <w:r>
              <w:rPr>
                <w:sz w:val="22"/>
                <w:szCs w:val="22"/>
                <w:lang w:val="es-CO"/>
              </w:rPr>
              <w:t>quantity</w:t>
            </w:r>
            <w:proofErr w:type="spellEnd"/>
            <w:r>
              <w:rPr>
                <w:sz w:val="22"/>
                <w:szCs w:val="22"/>
                <w:lang w:val="es-CO"/>
              </w:rPr>
              <w:t xml:space="preserve"> and/</w:t>
            </w:r>
            <w:proofErr w:type="spellStart"/>
            <w:r>
              <w:rPr>
                <w:sz w:val="22"/>
                <w:szCs w:val="22"/>
                <w:lang w:val="es-CO"/>
              </w:rPr>
              <w:t>or</w:t>
            </w:r>
            <w:proofErr w:type="spellEnd"/>
            <w:r>
              <w:rPr>
                <w:sz w:val="22"/>
                <w:szCs w:val="22"/>
                <w:lang w:val="es-CO"/>
              </w:rPr>
              <w:t xml:space="preserve"> </w:t>
            </w:r>
            <w:proofErr w:type="spellStart"/>
            <w:r>
              <w:rPr>
                <w:sz w:val="22"/>
                <w:szCs w:val="22"/>
                <w:lang w:val="es-CO"/>
              </w:rPr>
              <w:t>deadline</w:t>
            </w:r>
            <w:proofErr w:type="spellEnd"/>
            <w:r>
              <w:rPr>
                <w:sz w:val="22"/>
                <w:szCs w:val="22"/>
                <w:lang w:val="es-CO"/>
              </w:rPr>
              <w:t xml:space="preserve"> </w:t>
            </w:r>
            <w:proofErr w:type="spellStart"/>
            <w:r>
              <w:rPr>
                <w:sz w:val="22"/>
                <w:szCs w:val="22"/>
                <w:lang w:val="es-CO"/>
              </w:rPr>
              <w:t>established</w:t>
            </w:r>
            <w:proofErr w:type="spellEnd"/>
            <w:r>
              <w:rPr>
                <w:sz w:val="22"/>
                <w:szCs w:val="22"/>
                <w:lang w:val="es-CO"/>
              </w:rPr>
              <w:t xml:space="preserve"> </w:t>
            </w:r>
            <w:proofErr w:type="spellStart"/>
            <w:r>
              <w:rPr>
                <w:sz w:val="22"/>
                <w:szCs w:val="22"/>
                <w:lang w:val="es-CO"/>
              </w:rPr>
              <w:t>above</w:t>
            </w:r>
            <w:proofErr w:type="spellEnd"/>
            <w:r>
              <w:rPr>
                <w:sz w:val="22"/>
                <w:szCs w:val="22"/>
                <w:lang w:val="es-CO"/>
              </w:rPr>
              <w:t xml:space="preserve"> in </w:t>
            </w:r>
            <w:proofErr w:type="spellStart"/>
            <w:r>
              <w:rPr>
                <w:sz w:val="22"/>
                <w:szCs w:val="22"/>
                <w:lang w:val="es-CO"/>
              </w:rPr>
              <w:t>this</w:t>
            </w:r>
            <w:proofErr w:type="spellEnd"/>
            <w:r>
              <w:rPr>
                <w:sz w:val="22"/>
                <w:szCs w:val="22"/>
                <w:lang w:val="es-CO"/>
              </w:rPr>
              <w:t xml:space="preserve"> </w:t>
            </w:r>
            <w:proofErr w:type="spellStart"/>
            <w:r>
              <w:rPr>
                <w:sz w:val="22"/>
                <w:szCs w:val="22"/>
                <w:lang w:val="es-CO"/>
              </w:rPr>
              <w:t>article</w:t>
            </w:r>
            <w:proofErr w:type="spellEnd"/>
            <w:r>
              <w:rPr>
                <w:sz w:val="22"/>
                <w:szCs w:val="22"/>
                <w:lang w:val="es-CO"/>
              </w:rPr>
              <w:t xml:space="preserve"> </w:t>
            </w:r>
            <w:proofErr w:type="spellStart"/>
            <w:r>
              <w:rPr>
                <w:sz w:val="22"/>
                <w:szCs w:val="22"/>
                <w:lang w:val="es-CO"/>
              </w:rPr>
              <w:t>will</w:t>
            </w:r>
            <w:proofErr w:type="spellEnd"/>
            <w:r>
              <w:rPr>
                <w:sz w:val="22"/>
                <w:szCs w:val="22"/>
                <w:lang w:val="es-CO"/>
              </w:rPr>
              <w:t xml:space="preserve"> </w:t>
            </w:r>
            <w:proofErr w:type="spellStart"/>
            <w:r>
              <w:rPr>
                <w:sz w:val="22"/>
                <w:szCs w:val="22"/>
                <w:lang w:val="es-CO"/>
              </w:rPr>
              <w:t>apply</w:t>
            </w:r>
            <w:proofErr w:type="spellEnd"/>
            <w:r>
              <w:rPr>
                <w:sz w:val="22"/>
                <w:szCs w:val="22"/>
                <w:lang w:val="es-CO"/>
              </w:rPr>
              <w:t>.</w:t>
            </w:r>
          </w:p>
          <w:p w14:paraId="36D59E83" w14:textId="77777777" w:rsidR="00E255F4" w:rsidRDefault="00E255F4">
            <w:pPr>
              <w:tabs>
                <w:tab w:val="left" w:pos="0"/>
              </w:tabs>
              <w:jc w:val="both"/>
              <w:rPr>
                <w:sz w:val="22"/>
                <w:szCs w:val="22"/>
                <w:lang w:val="es-CO"/>
              </w:rPr>
            </w:pPr>
          </w:p>
          <w:p w14:paraId="3C2EDDC2" w14:textId="77777777" w:rsidR="00E255F4" w:rsidRDefault="00000000">
            <w:pPr>
              <w:tabs>
                <w:tab w:val="left" w:pos="0"/>
              </w:tabs>
              <w:jc w:val="both"/>
              <w:rPr>
                <w:b/>
                <w:sz w:val="22"/>
                <w:szCs w:val="22"/>
                <w:lang w:val="es-CO"/>
              </w:rPr>
            </w:pPr>
            <w:proofErr w:type="spellStart"/>
            <w:r>
              <w:rPr>
                <w:b/>
                <w:sz w:val="22"/>
                <w:szCs w:val="22"/>
                <w:lang w:val="es-CO"/>
              </w:rPr>
              <w:t>Penalties</w:t>
            </w:r>
            <w:proofErr w:type="spellEnd"/>
            <w:r>
              <w:rPr>
                <w:b/>
                <w:sz w:val="22"/>
                <w:szCs w:val="22"/>
                <w:lang w:val="es-CO"/>
              </w:rPr>
              <w:t xml:space="preserve"> </w:t>
            </w:r>
            <w:proofErr w:type="spellStart"/>
            <w:r>
              <w:rPr>
                <w:b/>
                <w:sz w:val="22"/>
                <w:szCs w:val="22"/>
                <w:lang w:val="es-CO"/>
              </w:rPr>
              <w:t>for</w:t>
            </w:r>
            <w:proofErr w:type="spellEnd"/>
            <w:r>
              <w:rPr>
                <w:b/>
                <w:sz w:val="22"/>
                <w:szCs w:val="22"/>
                <w:lang w:val="es-CO"/>
              </w:rPr>
              <w:t xml:space="preserve"> non-</w:t>
            </w:r>
            <w:proofErr w:type="spellStart"/>
            <w:r>
              <w:rPr>
                <w:b/>
                <w:sz w:val="22"/>
                <w:szCs w:val="22"/>
                <w:lang w:val="es-CO"/>
              </w:rPr>
              <w:t>compliance</w:t>
            </w:r>
            <w:proofErr w:type="spellEnd"/>
            <w:r>
              <w:rPr>
                <w:b/>
                <w:sz w:val="22"/>
                <w:szCs w:val="22"/>
                <w:lang w:val="es-CO"/>
              </w:rPr>
              <w:t xml:space="preserve"> </w:t>
            </w:r>
            <w:proofErr w:type="spellStart"/>
            <w:r>
              <w:rPr>
                <w:b/>
                <w:sz w:val="22"/>
                <w:szCs w:val="22"/>
                <w:lang w:val="es-CO"/>
              </w:rPr>
              <w:t>or</w:t>
            </w:r>
            <w:proofErr w:type="spellEnd"/>
            <w:r>
              <w:rPr>
                <w:b/>
                <w:sz w:val="22"/>
                <w:szCs w:val="22"/>
                <w:lang w:val="es-CO"/>
              </w:rPr>
              <w:t xml:space="preserve"> </w:t>
            </w:r>
            <w:proofErr w:type="spellStart"/>
            <w:r>
              <w:rPr>
                <w:b/>
                <w:sz w:val="22"/>
                <w:szCs w:val="22"/>
                <w:lang w:val="es-CO"/>
              </w:rPr>
              <w:t>defects</w:t>
            </w:r>
            <w:proofErr w:type="spellEnd"/>
            <w:r>
              <w:rPr>
                <w:b/>
                <w:sz w:val="22"/>
                <w:szCs w:val="22"/>
                <w:lang w:val="es-CO"/>
              </w:rPr>
              <w:t xml:space="preserve"> in </w:t>
            </w:r>
            <w:proofErr w:type="spellStart"/>
            <w:r>
              <w:rPr>
                <w:b/>
                <w:sz w:val="22"/>
                <w:szCs w:val="22"/>
                <w:lang w:val="es-CO"/>
              </w:rPr>
              <w:t>the</w:t>
            </w:r>
            <w:proofErr w:type="spellEnd"/>
            <w:r>
              <w:rPr>
                <w:b/>
                <w:sz w:val="22"/>
                <w:szCs w:val="22"/>
                <w:lang w:val="es-CO"/>
              </w:rPr>
              <w:t xml:space="preserve"> </w:t>
            </w:r>
            <w:proofErr w:type="spellStart"/>
            <w:r>
              <w:rPr>
                <w:b/>
                <w:sz w:val="22"/>
                <w:szCs w:val="22"/>
                <w:lang w:val="es-CO"/>
              </w:rPr>
              <w:t>documentation</w:t>
            </w:r>
            <w:proofErr w:type="spellEnd"/>
            <w:r>
              <w:rPr>
                <w:b/>
                <w:sz w:val="22"/>
                <w:szCs w:val="22"/>
                <w:lang w:val="es-CO"/>
              </w:rPr>
              <w:t xml:space="preserve"> </w:t>
            </w:r>
            <w:proofErr w:type="spellStart"/>
            <w:r>
              <w:rPr>
                <w:b/>
                <w:sz w:val="22"/>
                <w:szCs w:val="22"/>
                <w:lang w:val="es-CO"/>
              </w:rPr>
              <w:t>of</w:t>
            </w:r>
            <w:proofErr w:type="spellEnd"/>
            <w:r>
              <w:rPr>
                <w:b/>
                <w:sz w:val="22"/>
                <w:szCs w:val="22"/>
                <w:lang w:val="es-CO"/>
              </w:rPr>
              <w:t xml:space="preserve"> </w:t>
            </w:r>
            <w:proofErr w:type="spellStart"/>
            <w:r>
              <w:rPr>
                <w:b/>
                <w:sz w:val="22"/>
                <w:szCs w:val="22"/>
                <w:lang w:val="es-CO"/>
              </w:rPr>
              <w:t>goods</w:t>
            </w:r>
            <w:proofErr w:type="spellEnd"/>
            <w:r>
              <w:rPr>
                <w:b/>
                <w:sz w:val="22"/>
                <w:szCs w:val="22"/>
                <w:lang w:val="es-CO"/>
              </w:rPr>
              <w:t xml:space="preserve"> </w:t>
            </w:r>
            <w:proofErr w:type="spellStart"/>
            <w:r>
              <w:rPr>
                <w:b/>
                <w:sz w:val="22"/>
                <w:szCs w:val="22"/>
                <w:lang w:val="es-CO"/>
              </w:rPr>
              <w:t>to</w:t>
            </w:r>
            <w:proofErr w:type="spellEnd"/>
            <w:r>
              <w:rPr>
                <w:b/>
                <w:sz w:val="22"/>
                <w:szCs w:val="22"/>
                <w:lang w:val="es-CO"/>
              </w:rPr>
              <w:t xml:space="preserve"> be </w:t>
            </w:r>
            <w:proofErr w:type="spellStart"/>
            <w:r>
              <w:rPr>
                <w:b/>
                <w:sz w:val="22"/>
                <w:szCs w:val="22"/>
                <w:lang w:val="es-CO"/>
              </w:rPr>
              <w:t>imported</w:t>
            </w:r>
            <w:r>
              <w:rPr>
                <w:rFonts w:eastAsia="Palatino Linotype"/>
                <w:position w:val="1"/>
                <w:sz w:val="22"/>
                <w:szCs w:val="22"/>
                <w:lang w:val="es-ES"/>
              </w:rPr>
              <w:t>by</w:t>
            </w:r>
            <w:proofErr w:type="spellEnd"/>
            <w:r>
              <w:rPr>
                <w:rFonts w:eastAsia="Palatino Linotype"/>
                <w:position w:val="1"/>
                <w:sz w:val="22"/>
                <w:szCs w:val="22"/>
                <w:lang w:val="es-ES"/>
              </w:rPr>
              <w:t xml:space="preserve"> OSE</w:t>
            </w:r>
          </w:p>
          <w:p w14:paraId="6CFE30F8" w14:textId="77777777" w:rsidR="00E255F4" w:rsidRDefault="00E255F4">
            <w:pPr>
              <w:tabs>
                <w:tab w:val="left" w:pos="0"/>
              </w:tabs>
              <w:jc w:val="both"/>
              <w:rPr>
                <w:b/>
                <w:sz w:val="22"/>
                <w:szCs w:val="22"/>
                <w:lang w:val="es-CO"/>
              </w:rPr>
            </w:pPr>
          </w:p>
          <w:p w14:paraId="6EA97D99" w14:textId="77777777" w:rsidR="00E255F4" w:rsidRDefault="00000000">
            <w:pPr>
              <w:tabs>
                <w:tab w:val="left" w:pos="0"/>
              </w:tabs>
              <w:jc w:val="both"/>
            </w:pPr>
            <w:r>
              <w:rPr>
                <w:rFonts w:eastAsia="Palatino Linotype"/>
                <w:spacing w:val="-1"/>
                <w:position w:val="1"/>
                <w:sz w:val="22"/>
                <w:szCs w:val="22"/>
                <w:lang w:val="es-ES"/>
              </w:rPr>
              <w:t xml:space="preserve">The </w:t>
            </w:r>
            <w:proofErr w:type="spellStart"/>
            <w:r>
              <w:rPr>
                <w:rFonts w:eastAsia="Palatino Linotype"/>
                <w:spacing w:val="-1"/>
                <w:position w:val="1"/>
                <w:sz w:val="22"/>
                <w:szCs w:val="22"/>
                <w:lang w:val="es-ES"/>
              </w:rPr>
              <w:t>supplier</w:t>
            </w:r>
            <w:proofErr w:type="spellEnd"/>
            <w:r>
              <w:rPr>
                <w:rFonts w:eastAsia="Palatino Linotype"/>
                <w:spacing w:val="-1"/>
                <w:position w:val="1"/>
                <w:sz w:val="22"/>
                <w:szCs w:val="22"/>
                <w:lang w:val="es-ES"/>
              </w:rPr>
              <w:t xml:space="preserve"> </w:t>
            </w:r>
            <w:proofErr w:type="spellStart"/>
            <w:r>
              <w:rPr>
                <w:rFonts w:eastAsia="Palatino Linotype"/>
                <w:spacing w:val="-1"/>
                <w:position w:val="1"/>
                <w:sz w:val="22"/>
                <w:szCs w:val="22"/>
                <w:lang w:val="es-ES"/>
              </w:rPr>
              <w:t>will</w:t>
            </w:r>
            <w:proofErr w:type="spellEnd"/>
            <w:r>
              <w:rPr>
                <w:rFonts w:eastAsia="Palatino Linotype"/>
                <w:spacing w:val="-1"/>
                <w:position w:val="1"/>
                <w:sz w:val="22"/>
                <w:szCs w:val="22"/>
                <w:lang w:val="es-ES"/>
              </w:rPr>
              <w:t xml:space="preserve"> be </w:t>
            </w:r>
            <w:proofErr w:type="spellStart"/>
            <w:r>
              <w:rPr>
                <w:rFonts w:eastAsia="Palatino Linotype"/>
                <w:spacing w:val="-1"/>
                <w:position w:val="1"/>
                <w:sz w:val="22"/>
                <w:szCs w:val="22"/>
                <w:lang w:val="es-ES"/>
              </w:rPr>
              <w:t>responsible</w:t>
            </w:r>
            <w:proofErr w:type="spellEnd"/>
            <w:r>
              <w:rPr>
                <w:rFonts w:eastAsia="Palatino Linotype"/>
                <w:spacing w:val="-1"/>
                <w:position w:val="1"/>
                <w:sz w:val="22"/>
                <w:szCs w:val="22"/>
                <w:lang w:val="es-ES"/>
              </w:rPr>
              <w:t xml:space="preserve"> </w:t>
            </w:r>
            <w:proofErr w:type="spellStart"/>
            <w:r>
              <w:rPr>
                <w:rFonts w:eastAsia="Palatino Linotype"/>
                <w:spacing w:val="-1"/>
                <w:position w:val="1"/>
                <w:sz w:val="22"/>
                <w:szCs w:val="22"/>
                <w:lang w:val="es-ES"/>
              </w:rPr>
              <w:t>for</w:t>
            </w:r>
            <w:proofErr w:type="spellEnd"/>
            <w:r>
              <w:rPr>
                <w:rFonts w:eastAsia="Palatino Linotype"/>
                <w:spacing w:val="-1"/>
                <w:position w:val="1"/>
                <w:sz w:val="22"/>
                <w:szCs w:val="22"/>
                <w:lang w:val="es-ES"/>
              </w:rPr>
              <w:t xml:space="preserve"> </w:t>
            </w:r>
            <w:proofErr w:type="spellStart"/>
            <w:r>
              <w:rPr>
                <w:rFonts w:eastAsia="Palatino Linotype"/>
                <w:spacing w:val="-1"/>
                <w:position w:val="1"/>
                <w:sz w:val="22"/>
                <w:szCs w:val="22"/>
                <w:lang w:val="es-ES"/>
              </w:rPr>
              <w:t>paying</w:t>
            </w:r>
            <w:proofErr w:type="spellEnd"/>
            <w:r>
              <w:rPr>
                <w:rFonts w:eastAsia="Palatino Linotype"/>
                <w:spacing w:val="-1"/>
                <w:position w:val="1"/>
                <w:sz w:val="22"/>
                <w:szCs w:val="22"/>
                <w:lang w:val="es-ES"/>
              </w:rPr>
              <w:t xml:space="preserve"> </w:t>
            </w:r>
            <w:proofErr w:type="spellStart"/>
            <w:r>
              <w:rPr>
                <w:rFonts w:eastAsia="Palatino Linotype"/>
                <w:spacing w:val="-1"/>
                <w:position w:val="1"/>
                <w:sz w:val="22"/>
                <w:szCs w:val="22"/>
                <w:lang w:val="es-ES"/>
              </w:rPr>
              <w:t>the</w:t>
            </w:r>
            <w:proofErr w:type="spellEnd"/>
            <w:r>
              <w:rPr>
                <w:rFonts w:eastAsia="Palatino Linotype"/>
                <w:spacing w:val="-1"/>
                <w:position w:val="1"/>
                <w:sz w:val="22"/>
                <w:szCs w:val="22"/>
                <w:lang w:val="es-ES"/>
              </w:rPr>
              <w:t xml:space="preserve"> </w:t>
            </w:r>
            <w:proofErr w:type="spellStart"/>
            <w:r>
              <w:rPr>
                <w:rFonts w:eastAsia="Palatino Linotype"/>
                <w:spacing w:val="-1"/>
                <w:position w:val="1"/>
                <w:sz w:val="22"/>
                <w:szCs w:val="22"/>
                <w:lang w:val="es-ES"/>
              </w:rPr>
              <w:t>storage</w:t>
            </w:r>
            <w:proofErr w:type="spellEnd"/>
            <w:r>
              <w:rPr>
                <w:rFonts w:eastAsia="Palatino Linotype"/>
                <w:spacing w:val="-1"/>
                <w:position w:val="1"/>
                <w:sz w:val="22"/>
                <w:szCs w:val="22"/>
                <w:lang w:val="es-ES"/>
              </w:rPr>
              <w:t xml:space="preserve"> </w:t>
            </w:r>
            <w:proofErr w:type="spellStart"/>
            <w:r>
              <w:rPr>
                <w:rFonts w:eastAsia="Palatino Linotype"/>
                <w:spacing w:val="-1"/>
                <w:position w:val="1"/>
                <w:sz w:val="22"/>
                <w:szCs w:val="22"/>
                <w:lang w:val="es-ES"/>
              </w:rPr>
              <w:t>costs</w:t>
            </w:r>
            <w:proofErr w:type="spellEnd"/>
            <w:r>
              <w:rPr>
                <w:rFonts w:eastAsia="Palatino Linotype"/>
                <w:spacing w:val="-1"/>
                <w:position w:val="1"/>
                <w:sz w:val="22"/>
                <w:szCs w:val="22"/>
                <w:lang w:val="es-ES"/>
              </w:rPr>
              <w:t xml:space="preserve"> and </w:t>
            </w:r>
            <w:proofErr w:type="spellStart"/>
            <w:r>
              <w:rPr>
                <w:rFonts w:eastAsia="Palatino Linotype"/>
                <w:spacing w:val="-1"/>
                <w:position w:val="1"/>
                <w:sz w:val="22"/>
                <w:szCs w:val="22"/>
                <w:lang w:val="es-ES"/>
              </w:rPr>
              <w:t>delays</w:t>
            </w:r>
            <w:proofErr w:type="spellEnd"/>
            <w:r>
              <w:rPr>
                <w:rFonts w:eastAsia="Palatino Linotype"/>
                <w:spacing w:val="-1"/>
                <w:position w:val="1"/>
                <w:sz w:val="22"/>
                <w:szCs w:val="22"/>
                <w:lang w:val="es-ES"/>
              </w:rPr>
              <w:t xml:space="preserve"> in </w:t>
            </w:r>
            <w:proofErr w:type="spellStart"/>
            <w:r>
              <w:rPr>
                <w:rFonts w:eastAsia="Palatino Linotype"/>
                <w:spacing w:val="-1"/>
                <w:position w:val="1"/>
                <w:sz w:val="22"/>
                <w:szCs w:val="22"/>
                <w:lang w:val="es-ES"/>
              </w:rPr>
              <w:t>returning</w:t>
            </w:r>
            <w:proofErr w:type="spellEnd"/>
            <w:r>
              <w:rPr>
                <w:rFonts w:eastAsia="Palatino Linotype"/>
                <w:spacing w:val="-1"/>
                <w:position w:val="1"/>
                <w:sz w:val="22"/>
                <w:szCs w:val="22"/>
                <w:lang w:val="es-ES"/>
              </w:rPr>
              <w:t xml:space="preserve"> </w:t>
            </w:r>
            <w:proofErr w:type="spellStart"/>
            <w:r>
              <w:rPr>
                <w:rFonts w:eastAsia="Palatino Linotype"/>
                <w:spacing w:val="-1"/>
                <w:position w:val="1"/>
                <w:sz w:val="22"/>
                <w:szCs w:val="22"/>
                <w:lang w:val="es-ES"/>
              </w:rPr>
              <w:t>containers</w:t>
            </w:r>
            <w:proofErr w:type="spellEnd"/>
            <w:r>
              <w:rPr>
                <w:rFonts w:eastAsia="Palatino Linotype"/>
                <w:spacing w:val="-1"/>
                <w:position w:val="1"/>
                <w:sz w:val="22"/>
                <w:szCs w:val="22"/>
                <w:lang w:val="es-ES"/>
              </w:rPr>
              <w:t xml:space="preserve"> in </w:t>
            </w:r>
            <w:proofErr w:type="spellStart"/>
            <w:r>
              <w:rPr>
                <w:rFonts w:eastAsia="Palatino Linotype"/>
                <w:spacing w:val="-1"/>
                <w:position w:val="1"/>
                <w:sz w:val="22"/>
                <w:szCs w:val="22"/>
                <w:lang w:val="es-ES"/>
              </w:rPr>
              <w:t>the</w:t>
            </w:r>
            <w:proofErr w:type="spellEnd"/>
            <w:r>
              <w:rPr>
                <w:rFonts w:eastAsia="Palatino Linotype"/>
                <w:spacing w:val="-1"/>
                <w:position w:val="1"/>
                <w:sz w:val="22"/>
                <w:szCs w:val="22"/>
                <w:lang w:val="es-ES"/>
              </w:rPr>
              <w:t xml:space="preserve"> </w:t>
            </w:r>
            <w:proofErr w:type="spellStart"/>
            <w:r>
              <w:rPr>
                <w:rFonts w:eastAsia="Palatino Linotype"/>
                <w:spacing w:val="-1"/>
                <w:position w:val="1"/>
                <w:sz w:val="22"/>
                <w:szCs w:val="22"/>
                <w:lang w:val="es-ES"/>
              </w:rPr>
              <w:t>following</w:t>
            </w:r>
            <w:proofErr w:type="spellEnd"/>
            <w:r>
              <w:rPr>
                <w:rFonts w:eastAsia="Palatino Linotype"/>
                <w:spacing w:val="-1"/>
                <w:position w:val="1"/>
                <w:sz w:val="22"/>
                <w:szCs w:val="22"/>
                <w:lang w:val="es-ES"/>
              </w:rPr>
              <w:t xml:space="preserve"> </w:t>
            </w:r>
            <w:proofErr w:type="spellStart"/>
            <w:r>
              <w:rPr>
                <w:rFonts w:eastAsia="Palatino Linotype"/>
                <w:spacing w:val="-1"/>
                <w:position w:val="1"/>
                <w:sz w:val="22"/>
                <w:szCs w:val="22"/>
                <w:lang w:val="es-ES"/>
              </w:rPr>
              <w:t>situations</w:t>
            </w:r>
            <w:proofErr w:type="spellEnd"/>
            <w:r>
              <w:rPr>
                <w:rFonts w:eastAsia="Palatino Linotype"/>
                <w:spacing w:val="-1"/>
                <w:position w:val="1"/>
                <w:sz w:val="22"/>
                <w:szCs w:val="22"/>
                <w:lang w:val="es-ES"/>
              </w:rPr>
              <w:t>:</w:t>
            </w:r>
          </w:p>
          <w:p w14:paraId="774438CF" w14:textId="77777777" w:rsidR="00E255F4" w:rsidRDefault="00E255F4">
            <w:pPr>
              <w:tabs>
                <w:tab w:val="left" w:pos="426"/>
              </w:tabs>
              <w:ind w:left="360"/>
              <w:jc w:val="both"/>
              <w:rPr>
                <w:rFonts w:eastAsia="Palatino Linotype"/>
                <w:spacing w:val="-1"/>
                <w:position w:val="1"/>
                <w:sz w:val="22"/>
                <w:szCs w:val="22"/>
                <w:lang w:val="es-ES"/>
              </w:rPr>
            </w:pPr>
          </w:p>
          <w:p w14:paraId="0F446280" w14:textId="77777777" w:rsidR="00E255F4" w:rsidRDefault="00000000">
            <w:pPr>
              <w:numPr>
                <w:ilvl w:val="0"/>
                <w:numId w:val="39"/>
              </w:numPr>
              <w:tabs>
                <w:tab w:val="left" w:pos="459"/>
              </w:tabs>
              <w:ind w:left="459" w:hanging="425"/>
              <w:jc w:val="both"/>
              <w:rPr>
                <w:sz w:val="22"/>
                <w:szCs w:val="22"/>
                <w:lang w:val="es-ES"/>
              </w:rPr>
            </w:pPr>
            <w:proofErr w:type="spellStart"/>
            <w:r>
              <w:rPr>
                <w:sz w:val="22"/>
                <w:szCs w:val="22"/>
                <w:lang w:val="es-ES"/>
              </w:rPr>
              <w:t>Documents</w:t>
            </w:r>
            <w:proofErr w:type="spellEnd"/>
            <w:r>
              <w:rPr>
                <w:sz w:val="22"/>
                <w:szCs w:val="22"/>
                <w:lang w:val="es-ES"/>
              </w:rPr>
              <w:t xml:space="preserve"> </w:t>
            </w:r>
            <w:proofErr w:type="spellStart"/>
            <w:r>
              <w:rPr>
                <w:sz w:val="22"/>
                <w:szCs w:val="22"/>
                <w:lang w:val="es-ES"/>
              </w:rPr>
              <w:t>submitted</w:t>
            </w:r>
            <w:proofErr w:type="spellEnd"/>
            <w:r>
              <w:rPr>
                <w:sz w:val="22"/>
                <w:szCs w:val="22"/>
                <w:lang w:val="es-ES"/>
              </w:rPr>
              <w:t xml:space="preserve"> </w:t>
            </w:r>
            <w:proofErr w:type="spellStart"/>
            <w:r>
              <w:rPr>
                <w:sz w:val="22"/>
                <w:szCs w:val="22"/>
                <w:lang w:val="es-ES"/>
              </w:rPr>
              <w:t>outside</w:t>
            </w:r>
            <w:proofErr w:type="spellEnd"/>
            <w:r>
              <w:rPr>
                <w:sz w:val="22"/>
                <w:szCs w:val="22"/>
                <w:lang w:val="es-ES"/>
              </w:rPr>
              <w:t xml:space="preserve"> </w:t>
            </w:r>
            <w:proofErr w:type="spellStart"/>
            <w:r>
              <w:rPr>
                <w:sz w:val="22"/>
                <w:szCs w:val="22"/>
                <w:lang w:val="es-ES"/>
              </w:rPr>
              <w:t>the</w:t>
            </w:r>
            <w:proofErr w:type="spellEnd"/>
            <w:r>
              <w:rPr>
                <w:sz w:val="22"/>
                <w:szCs w:val="22"/>
                <w:lang w:val="es-ES"/>
              </w:rPr>
              <w:t xml:space="preserve"> </w:t>
            </w:r>
            <w:proofErr w:type="spellStart"/>
            <w:r>
              <w:rPr>
                <w:sz w:val="22"/>
                <w:szCs w:val="22"/>
                <w:lang w:val="es-ES"/>
              </w:rPr>
              <w:t>stipulated</w:t>
            </w:r>
            <w:proofErr w:type="spellEnd"/>
            <w:r>
              <w:rPr>
                <w:sz w:val="22"/>
                <w:szCs w:val="22"/>
                <w:lang w:val="es-ES"/>
              </w:rPr>
              <w:t xml:space="preserve"> </w:t>
            </w:r>
            <w:proofErr w:type="spellStart"/>
            <w:r>
              <w:rPr>
                <w:sz w:val="22"/>
                <w:szCs w:val="22"/>
                <w:lang w:val="es-ES"/>
              </w:rPr>
              <w:t>deadline</w:t>
            </w:r>
            <w:proofErr w:type="spellEnd"/>
            <w:r>
              <w:rPr>
                <w:sz w:val="22"/>
                <w:szCs w:val="22"/>
                <w:lang w:val="es-ES"/>
              </w:rPr>
              <w:t>.</w:t>
            </w:r>
          </w:p>
          <w:p w14:paraId="4D83815F" w14:textId="77777777" w:rsidR="00E255F4" w:rsidRDefault="00000000">
            <w:pPr>
              <w:numPr>
                <w:ilvl w:val="0"/>
                <w:numId w:val="39"/>
              </w:numPr>
              <w:tabs>
                <w:tab w:val="left" w:pos="459"/>
              </w:tabs>
              <w:ind w:left="459" w:hanging="425"/>
              <w:jc w:val="both"/>
              <w:rPr>
                <w:sz w:val="22"/>
                <w:szCs w:val="22"/>
                <w:lang w:val="es-ES"/>
              </w:rPr>
            </w:pPr>
            <w:proofErr w:type="spellStart"/>
            <w:r>
              <w:rPr>
                <w:sz w:val="22"/>
                <w:szCs w:val="22"/>
                <w:lang w:val="es-ES"/>
              </w:rPr>
              <w:t>Required</w:t>
            </w:r>
            <w:proofErr w:type="spellEnd"/>
            <w:r>
              <w:rPr>
                <w:sz w:val="22"/>
                <w:szCs w:val="22"/>
                <w:lang w:val="es-ES"/>
              </w:rPr>
              <w:t xml:space="preserve"> </w:t>
            </w:r>
            <w:proofErr w:type="spellStart"/>
            <w:r>
              <w:rPr>
                <w:sz w:val="22"/>
                <w:szCs w:val="22"/>
                <w:lang w:val="es-ES"/>
              </w:rPr>
              <w:t>documents</w:t>
            </w:r>
            <w:proofErr w:type="spellEnd"/>
            <w:r>
              <w:rPr>
                <w:sz w:val="22"/>
                <w:szCs w:val="22"/>
                <w:lang w:val="es-ES"/>
              </w:rPr>
              <w:t xml:space="preserve"> </w:t>
            </w:r>
            <w:proofErr w:type="spellStart"/>
            <w:r>
              <w:rPr>
                <w:sz w:val="22"/>
                <w:szCs w:val="22"/>
                <w:lang w:val="es-ES"/>
              </w:rPr>
              <w:t>with</w:t>
            </w:r>
            <w:proofErr w:type="spellEnd"/>
            <w:r>
              <w:rPr>
                <w:sz w:val="22"/>
                <w:szCs w:val="22"/>
                <w:lang w:val="es-ES"/>
              </w:rPr>
              <w:t xml:space="preserve"> </w:t>
            </w:r>
            <w:proofErr w:type="spellStart"/>
            <w:r>
              <w:rPr>
                <w:sz w:val="22"/>
                <w:szCs w:val="22"/>
                <w:lang w:val="es-ES"/>
              </w:rPr>
              <w:t>errors</w:t>
            </w:r>
            <w:proofErr w:type="spellEnd"/>
            <w:r>
              <w:rPr>
                <w:sz w:val="22"/>
                <w:szCs w:val="22"/>
                <w:lang w:val="es-ES"/>
              </w:rPr>
              <w:t xml:space="preserve"> and </w:t>
            </w:r>
            <w:proofErr w:type="spellStart"/>
            <w:r>
              <w:rPr>
                <w:sz w:val="22"/>
                <w:szCs w:val="22"/>
                <w:lang w:val="es-ES"/>
              </w:rPr>
              <w:t>omissions</w:t>
            </w:r>
            <w:proofErr w:type="spellEnd"/>
            <w:r>
              <w:rPr>
                <w:sz w:val="22"/>
                <w:szCs w:val="22"/>
                <w:lang w:val="es-ES"/>
              </w:rPr>
              <w:t>.</w:t>
            </w:r>
          </w:p>
          <w:p w14:paraId="4906EE2E" w14:textId="77777777" w:rsidR="00E255F4" w:rsidRDefault="00000000">
            <w:pPr>
              <w:numPr>
                <w:ilvl w:val="0"/>
                <w:numId w:val="39"/>
              </w:numPr>
              <w:tabs>
                <w:tab w:val="left" w:pos="459"/>
              </w:tabs>
              <w:ind w:left="459" w:hanging="425"/>
              <w:jc w:val="both"/>
              <w:rPr>
                <w:sz w:val="22"/>
                <w:szCs w:val="22"/>
                <w:lang w:val="es-ES"/>
              </w:rPr>
            </w:pPr>
            <w:proofErr w:type="spellStart"/>
            <w:r>
              <w:rPr>
                <w:sz w:val="22"/>
                <w:szCs w:val="22"/>
                <w:lang w:val="es-ES"/>
              </w:rPr>
              <w:t>Supplier</w:t>
            </w:r>
            <w:proofErr w:type="spellEnd"/>
            <w:r>
              <w:rPr>
                <w:sz w:val="22"/>
                <w:szCs w:val="22"/>
                <w:lang w:val="es-ES"/>
              </w:rPr>
              <w:t xml:space="preserve"> </w:t>
            </w:r>
            <w:proofErr w:type="spellStart"/>
            <w:r>
              <w:rPr>
                <w:sz w:val="22"/>
                <w:szCs w:val="22"/>
                <w:lang w:val="es-ES"/>
              </w:rPr>
              <w:t>obligations</w:t>
            </w:r>
            <w:proofErr w:type="spellEnd"/>
            <w:r>
              <w:rPr>
                <w:sz w:val="22"/>
                <w:szCs w:val="22"/>
                <w:lang w:val="es-ES"/>
              </w:rPr>
              <w:t xml:space="preserve"> </w:t>
            </w:r>
            <w:proofErr w:type="spellStart"/>
            <w:r>
              <w:rPr>
                <w:sz w:val="22"/>
                <w:szCs w:val="22"/>
                <w:lang w:val="es-ES"/>
              </w:rPr>
              <w:t>not</w:t>
            </w:r>
            <w:proofErr w:type="spellEnd"/>
            <w:r>
              <w:rPr>
                <w:sz w:val="22"/>
                <w:szCs w:val="22"/>
                <w:lang w:val="es-ES"/>
              </w:rPr>
              <w:t xml:space="preserve"> </w:t>
            </w:r>
            <w:proofErr w:type="spellStart"/>
            <w:r>
              <w:rPr>
                <w:sz w:val="22"/>
                <w:szCs w:val="22"/>
                <w:lang w:val="es-ES"/>
              </w:rPr>
              <w:t>assumed</w:t>
            </w:r>
            <w:proofErr w:type="spellEnd"/>
            <w:r>
              <w:rPr>
                <w:sz w:val="22"/>
                <w:szCs w:val="22"/>
                <w:lang w:val="es-ES"/>
              </w:rPr>
              <w:t xml:space="preserve"> in a </w:t>
            </w:r>
            <w:proofErr w:type="spellStart"/>
            <w:r>
              <w:rPr>
                <w:sz w:val="22"/>
                <w:szCs w:val="22"/>
                <w:lang w:val="es-ES"/>
              </w:rPr>
              <w:t>timely</w:t>
            </w:r>
            <w:proofErr w:type="spellEnd"/>
            <w:r>
              <w:rPr>
                <w:sz w:val="22"/>
                <w:szCs w:val="22"/>
                <w:lang w:val="es-ES"/>
              </w:rPr>
              <w:t xml:space="preserve"> </w:t>
            </w:r>
            <w:proofErr w:type="spellStart"/>
            <w:r>
              <w:rPr>
                <w:sz w:val="22"/>
                <w:szCs w:val="22"/>
                <w:lang w:val="es-ES"/>
              </w:rPr>
              <w:t>manner</w:t>
            </w:r>
            <w:proofErr w:type="spellEnd"/>
            <w:r>
              <w:rPr>
                <w:sz w:val="22"/>
                <w:szCs w:val="22"/>
                <w:lang w:val="es-ES"/>
              </w:rPr>
              <w:t xml:space="preserve">; </w:t>
            </w:r>
            <w:proofErr w:type="spellStart"/>
            <w:r>
              <w:rPr>
                <w:sz w:val="22"/>
                <w:szCs w:val="22"/>
                <w:lang w:val="es-ES"/>
              </w:rPr>
              <w:t>for</w:t>
            </w:r>
            <w:proofErr w:type="spellEnd"/>
            <w:r>
              <w:rPr>
                <w:sz w:val="22"/>
                <w:szCs w:val="22"/>
                <w:lang w:val="es-ES"/>
              </w:rPr>
              <w:t xml:space="preserve"> </w:t>
            </w:r>
            <w:proofErr w:type="spellStart"/>
            <w:r>
              <w:rPr>
                <w:sz w:val="22"/>
                <w:szCs w:val="22"/>
                <w:lang w:val="es-ES"/>
              </w:rPr>
              <w:t>example</w:t>
            </w:r>
            <w:proofErr w:type="spellEnd"/>
            <w:r>
              <w:rPr>
                <w:sz w:val="22"/>
                <w:szCs w:val="22"/>
                <w:lang w:val="es-ES"/>
              </w:rPr>
              <w:t xml:space="preserve">, </w:t>
            </w:r>
            <w:proofErr w:type="spellStart"/>
            <w:r>
              <w:rPr>
                <w:sz w:val="22"/>
                <w:szCs w:val="22"/>
                <w:lang w:val="es-ES"/>
              </w:rPr>
              <w:t>the</w:t>
            </w:r>
            <w:proofErr w:type="spellEnd"/>
            <w:r>
              <w:rPr>
                <w:sz w:val="22"/>
                <w:szCs w:val="22"/>
                <w:lang w:val="es-ES"/>
              </w:rPr>
              <w:t xml:space="preserve"> </w:t>
            </w:r>
            <w:proofErr w:type="spellStart"/>
            <w:r>
              <w:rPr>
                <w:sz w:val="22"/>
                <w:szCs w:val="22"/>
                <w:lang w:val="es-ES"/>
              </w:rPr>
              <w:t>cancellation</w:t>
            </w:r>
            <w:proofErr w:type="spellEnd"/>
            <w:r>
              <w:rPr>
                <w:sz w:val="22"/>
                <w:szCs w:val="22"/>
                <w:lang w:val="es-ES"/>
              </w:rPr>
              <w:t xml:space="preserve"> </w:t>
            </w:r>
            <w:proofErr w:type="spellStart"/>
            <w:r>
              <w:rPr>
                <w:sz w:val="22"/>
                <w:szCs w:val="22"/>
                <w:lang w:val="es-ES"/>
              </w:rPr>
              <w:t>of</w:t>
            </w:r>
            <w:proofErr w:type="spellEnd"/>
            <w:r>
              <w:rPr>
                <w:sz w:val="22"/>
                <w:szCs w:val="22"/>
                <w:lang w:val="es-ES"/>
              </w:rPr>
              <w:t xml:space="preserve"> local expenses.</w:t>
            </w:r>
          </w:p>
          <w:p w14:paraId="29EC3E4B" w14:textId="77777777" w:rsidR="00E255F4" w:rsidRDefault="00E255F4">
            <w:pPr>
              <w:tabs>
                <w:tab w:val="left" w:pos="0"/>
              </w:tabs>
              <w:jc w:val="both"/>
              <w:rPr>
                <w:rFonts w:eastAsia="Palatino Linotype"/>
                <w:spacing w:val="-1"/>
                <w:position w:val="1"/>
                <w:sz w:val="22"/>
                <w:szCs w:val="22"/>
                <w:lang w:val="es-ES"/>
              </w:rPr>
            </w:pPr>
          </w:p>
          <w:p w14:paraId="671E8614" w14:textId="77777777" w:rsidR="00E255F4" w:rsidRDefault="00000000">
            <w:pPr>
              <w:tabs>
                <w:tab w:val="left" w:pos="0"/>
              </w:tabs>
              <w:jc w:val="both"/>
            </w:pPr>
            <w:proofErr w:type="spellStart"/>
            <w:r>
              <w:rPr>
                <w:rFonts w:eastAsia="Palatino Linotype"/>
                <w:spacing w:val="-1"/>
                <w:position w:val="1"/>
                <w:sz w:val="22"/>
                <w:szCs w:val="22"/>
                <w:lang w:val="es-ES"/>
              </w:rPr>
              <w:t>Failure</w:t>
            </w:r>
            <w:proofErr w:type="spellEnd"/>
            <w:r>
              <w:rPr>
                <w:rFonts w:eastAsia="Palatino Linotype"/>
                <w:spacing w:val="-1"/>
                <w:position w:val="1"/>
                <w:sz w:val="22"/>
                <w:szCs w:val="22"/>
                <w:lang w:val="es-ES"/>
              </w:rPr>
              <w:t xml:space="preserve"> </w:t>
            </w:r>
            <w:proofErr w:type="spellStart"/>
            <w:r>
              <w:rPr>
                <w:rFonts w:eastAsia="Palatino Linotype"/>
                <w:spacing w:val="-1"/>
                <w:position w:val="1"/>
                <w:sz w:val="22"/>
                <w:szCs w:val="22"/>
                <w:lang w:val="es-ES"/>
              </w:rPr>
              <w:t>to</w:t>
            </w:r>
            <w:proofErr w:type="spellEnd"/>
            <w:r>
              <w:rPr>
                <w:rFonts w:eastAsia="Palatino Linotype"/>
                <w:spacing w:val="-1"/>
                <w:position w:val="1"/>
                <w:sz w:val="22"/>
                <w:szCs w:val="22"/>
                <w:lang w:val="es-ES"/>
              </w:rPr>
              <w:t xml:space="preserve"> </w:t>
            </w:r>
            <w:proofErr w:type="spellStart"/>
            <w:r>
              <w:rPr>
                <w:rFonts w:eastAsia="Palatino Linotype"/>
                <w:spacing w:val="-1"/>
                <w:position w:val="1"/>
                <w:sz w:val="22"/>
                <w:szCs w:val="22"/>
                <w:lang w:val="es-ES"/>
              </w:rPr>
              <w:t>submit</w:t>
            </w:r>
            <w:proofErr w:type="spellEnd"/>
            <w:r>
              <w:rPr>
                <w:rFonts w:eastAsia="Palatino Linotype"/>
                <w:spacing w:val="-1"/>
                <w:position w:val="1"/>
                <w:sz w:val="22"/>
                <w:szCs w:val="22"/>
                <w:lang w:val="es-ES"/>
              </w:rPr>
              <w:t xml:space="preserve"> </w:t>
            </w:r>
            <w:proofErr w:type="spellStart"/>
            <w:r>
              <w:rPr>
                <w:rFonts w:eastAsia="Palatino Linotype"/>
                <w:spacing w:val="-1"/>
                <w:position w:val="1"/>
                <w:sz w:val="22"/>
                <w:szCs w:val="22"/>
                <w:lang w:val="es-ES"/>
              </w:rPr>
              <w:t>the</w:t>
            </w:r>
            <w:proofErr w:type="spellEnd"/>
            <w:r>
              <w:rPr>
                <w:rFonts w:eastAsia="Palatino Linotype"/>
                <w:spacing w:val="-1"/>
                <w:position w:val="1"/>
                <w:sz w:val="22"/>
                <w:szCs w:val="22"/>
                <w:lang w:val="es-ES"/>
              </w:rPr>
              <w:t xml:space="preserve"> </w:t>
            </w:r>
            <w:proofErr w:type="spellStart"/>
            <w:r>
              <w:rPr>
                <w:rFonts w:eastAsia="Palatino Linotype"/>
                <w:spacing w:val="-1"/>
                <w:position w:val="1"/>
                <w:sz w:val="22"/>
                <w:szCs w:val="22"/>
                <w:lang w:val="es-ES"/>
              </w:rPr>
              <w:t>documentation</w:t>
            </w:r>
            <w:proofErr w:type="spellEnd"/>
            <w:r>
              <w:rPr>
                <w:rFonts w:eastAsia="Palatino Linotype"/>
                <w:spacing w:val="-1"/>
                <w:position w:val="1"/>
                <w:sz w:val="22"/>
                <w:szCs w:val="22"/>
                <w:lang w:val="es-ES"/>
              </w:rPr>
              <w:t xml:space="preserve"> </w:t>
            </w:r>
            <w:proofErr w:type="spellStart"/>
            <w:r>
              <w:rPr>
                <w:rFonts w:eastAsia="Palatino Linotype"/>
                <w:spacing w:val="-1"/>
                <w:position w:val="1"/>
                <w:sz w:val="22"/>
                <w:szCs w:val="22"/>
                <w:lang w:val="es-ES"/>
              </w:rPr>
              <w:t>within</w:t>
            </w:r>
            <w:proofErr w:type="spellEnd"/>
            <w:r>
              <w:rPr>
                <w:rFonts w:eastAsia="Palatino Linotype"/>
                <w:spacing w:val="-1"/>
                <w:position w:val="1"/>
                <w:sz w:val="22"/>
                <w:szCs w:val="22"/>
                <w:lang w:val="es-ES"/>
              </w:rPr>
              <w:t xml:space="preserve"> </w:t>
            </w:r>
            <w:proofErr w:type="spellStart"/>
            <w:r>
              <w:rPr>
                <w:rFonts w:eastAsia="Palatino Linotype"/>
                <w:spacing w:val="-1"/>
                <w:position w:val="1"/>
                <w:sz w:val="22"/>
                <w:szCs w:val="22"/>
                <w:lang w:val="es-ES"/>
              </w:rPr>
              <w:t>the</w:t>
            </w:r>
            <w:proofErr w:type="spellEnd"/>
            <w:r>
              <w:rPr>
                <w:rFonts w:eastAsia="Palatino Linotype"/>
                <w:spacing w:val="-1"/>
                <w:position w:val="1"/>
                <w:sz w:val="22"/>
                <w:szCs w:val="22"/>
                <w:lang w:val="es-ES"/>
              </w:rPr>
              <w:t xml:space="preserve"> </w:t>
            </w:r>
            <w:proofErr w:type="spellStart"/>
            <w:r>
              <w:rPr>
                <w:rFonts w:eastAsia="Palatino Linotype"/>
                <w:spacing w:val="-1"/>
                <w:position w:val="1"/>
                <w:sz w:val="22"/>
                <w:szCs w:val="22"/>
                <w:lang w:val="es-ES"/>
              </w:rPr>
              <w:t>established</w:t>
            </w:r>
            <w:proofErr w:type="spellEnd"/>
            <w:r>
              <w:rPr>
                <w:rFonts w:eastAsia="Palatino Linotype"/>
                <w:spacing w:val="-1"/>
                <w:position w:val="1"/>
                <w:sz w:val="22"/>
                <w:szCs w:val="22"/>
                <w:lang w:val="es-ES"/>
              </w:rPr>
              <w:t xml:space="preserve"> </w:t>
            </w:r>
            <w:proofErr w:type="spellStart"/>
            <w:r>
              <w:rPr>
                <w:rFonts w:eastAsia="Palatino Linotype"/>
                <w:spacing w:val="-1"/>
                <w:position w:val="1"/>
                <w:sz w:val="22"/>
                <w:szCs w:val="22"/>
                <w:lang w:val="es-ES"/>
              </w:rPr>
              <w:t>timeframe</w:t>
            </w:r>
            <w:proofErr w:type="spellEnd"/>
            <w:r>
              <w:rPr>
                <w:rFonts w:eastAsia="Palatino Linotype"/>
                <w:spacing w:val="-1"/>
                <w:position w:val="1"/>
                <w:sz w:val="22"/>
                <w:szCs w:val="22"/>
                <w:lang w:val="es-ES"/>
              </w:rPr>
              <w:t xml:space="preserve">, as </w:t>
            </w:r>
            <w:proofErr w:type="spellStart"/>
            <w:r>
              <w:rPr>
                <w:rFonts w:eastAsia="Palatino Linotype"/>
                <w:spacing w:val="-1"/>
                <w:position w:val="1"/>
                <w:sz w:val="22"/>
                <w:szCs w:val="22"/>
                <w:lang w:val="es-ES"/>
              </w:rPr>
              <w:t>well</w:t>
            </w:r>
            <w:proofErr w:type="spellEnd"/>
            <w:r>
              <w:rPr>
                <w:rFonts w:eastAsia="Palatino Linotype"/>
                <w:spacing w:val="-1"/>
                <w:position w:val="1"/>
                <w:sz w:val="22"/>
                <w:szCs w:val="22"/>
                <w:lang w:val="es-ES"/>
              </w:rPr>
              <w:t xml:space="preserve"> as </w:t>
            </w:r>
            <w:proofErr w:type="spellStart"/>
            <w:r>
              <w:rPr>
                <w:rFonts w:eastAsia="Palatino Linotype"/>
                <w:spacing w:val="-1"/>
                <w:position w:val="1"/>
                <w:sz w:val="22"/>
                <w:szCs w:val="22"/>
                <w:lang w:val="es-ES"/>
              </w:rPr>
              <w:t>errors</w:t>
            </w:r>
            <w:proofErr w:type="spellEnd"/>
            <w:r>
              <w:rPr>
                <w:rFonts w:eastAsia="Palatino Linotype"/>
                <w:spacing w:val="-1"/>
                <w:position w:val="1"/>
                <w:sz w:val="22"/>
                <w:szCs w:val="22"/>
                <w:lang w:val="es-ES"/>
              </w:rPr>
              <w:t xml:space="preserve"> and </w:t>
            </w:r>
            <w:proofErr w:type="spellStart"/>
            <w:r>
              <w:rPr>
                <w:rFonts w:eastAsia="Palatino Linotype"/>
                <w:spacing w:val="-1"/>
                <w:position w:val="1"/>
                <w:sz w:val="22"/>
                <w:szCs w:val="22"/>
                <w:lang w:val="es-ES"/>
              </w:rPr>
              <w:t>omissions</w:t>
            </w:r>
            <w:proofErr w:type="spellEnd"/>
            <w:r>
              <w:rPr>
                <w:rFonts w:eastAsia="Palatino Linotype"/>
                <w:spacing w:val="-1"/>
                <w:position w:val="1"/>
                <w:sz w:val="22"/>
                <w:szCs w:val="22"/>
                <w:lang w:val="es-ES"/>
              </w:rPr>
              <w:t xml:space="preserve">, </w:t>
            </w:r>
            <w:proofErr w:type="spellStart"/>
            <w:r>
              <w:rPr>
                <w:rFonts w:eastAsia="Palatino Linotype"/>
                <w:spacing w:val="-1"/>
                <w:position w:val="1"/>
                <w:sz w:val="22"/>
                <w:szCs w:val="22"/>
                <w:lang w:val="es-ES"/>
              </w:rPr>
              <w:t>will</w:t>
            </w:r>
            <w:proofErr w:type="spellEnd"/>
            <w:r>
              <w:rPr>
                <w:rFonts w:eastAsia="Palatino Linotype"/>
                <w:spacing w:val="-1"/>
                <w:position w:val="1"/>
                <w:sz w:val="22"/>
                <w:szCs w:val="22"/>
                <w:lang w:val="es-ES"/>
              </w:rPr>
              <w:t xml:space="preserve"> </w:t>
            </w:r>
            <w:proofErr w:type="spellStart"/>
            <w:r>
              <w:rPr>
                <w:rFonts w:eastAsia="Palatino Linotype"/>
                <w:spacing w:val="-1"/>
                <w:position w:val="1"/>
                <w:sz w:val="22"/>
                <w:szCs w:val="22"/>
                <w:lang w:val="es-ES"/>
              </w:rPr>
              <w:t>entitle</w:t>
            </w:r>
            <w:proofErr w:type="spellEnd"/>
            <w:r>
              <w:rPr>
                <w:rFonts w:eastAsia="Palatino Linotype"/>
                <w:spacing w:val="-1"/>
                <w:position w:val="1"/>
                <w:sz w:val="22"/>
                <w:szCs w:val="22"/>
                <w:lang w:val="es-ES"/>
              </w:rPr>
              <w:t xml:space="preserve"> OSE </w:t>
            </w:r>
            <w:proofErr w:type="spellStart"/>
            <w:r>
              <w:rPr>
                <w:rFonts w:eastAsia="Palatino Linotype"/>
                <w:spacing w:val="-1"/>
                <w:position w:val="1"/>
                <w:sz w:val="22"/>
                <w:szCs w:val="22"/>
                <w:lang w:val="es-ES"/>
              </w:rPr>
              <w:t>to</w:t>
            </w:r>
            <w:proofErr w:type="spellEnd"/>
            <w:r>
              <w:rPr>
                <w:rFonts w:eastAsia="Palatino Linotype"/>
                <w:spacing w:val="-1"/>
                <w:position w:val="1"/>
                <w:sz w:val="22"/>
                <w:szCs w:val="22"/>
                <w:lang w:val="es-ES"/>
              </w:rPr>
              <w:t xml:space="preserve"> </w:t>
            </w:r>
            <w:proofErr w:type="spellStart"/>
            <w:r>
              <w:rPr>
                <w:rFonts w:eastAsia="Palatino Linotype"/>
                <w:spacing w:val="-1"/>
                <w:position w:val="1"/>
                <w:sz w:val="22"/>
                <w:szCs w:val="22"/>
                <w:lang w:val="es-ES"/>
              </w:rPr>
              <w:t>demand</w:t>
            </w:r>
            <w:proofErr w:type="spellEnd"/>
            <w:r>
              <w:rPr>
                <w:rFonts w:eastAsia="Palatino Linotype"/>
                <w:spacing w:val="-1"/>
                <w:position w:val="1"/>
                <w:sz w:val="22"/>
                <w:szCs w:val="22"/>
                <w:lang w:val="es-ES"/>
              </w:rPr>
              <w:t xml:space="preserve"> </w:t>
            </w:r>
            <w:proofErr w:type="spellStart"/>
            <w:r>
              <w:rPr>
                <w:rFonts w:eastAsia="Palatino Linotype"/>
                <w:spacing w:val="-1"/>
                <w:position w:val="1"/>
                <w:sz w:val="22"/>
                <w:szCs w:val="22"/>
                <w:lang w:val="es-ES"/>
              </w:rPr>
              <w:t>from</w:t>
            </w:r>
            <w:proofErr w:type="spellEnd"/>
            <w:r>
              <w:rPr>
                <w:rFonts w:eastAsia="Palatino Linotype"/>
                <w:spacing w:val="-1"/>
                <w:position w:val="1"/>
                <w:sz w:val="22"/>
                <w:szCs w:val="22"/>
                <w:lang w:val="es-ES"/>
              </w:rPr>
              <w:t xml:space="preserve"> </w:t>
            </w:r>
            <w:proofErr w:type="spellStart"/>
            <w:r>
              <w:rPr>
                <w:rFonts w:eastAsia="Palatino Linotype"/>
                <w:spacing w:val="-1"/>
                <w:position w:val="1"/>
                <w:sz w:val="22"/>
                <w:szCs w:val="22"/>
                <w:lang w:val="es-ES"/>
              </w:rPr>
              <w:t>the</w:t>
            </w:r>
            <w:proofErr w:type="spellEnd"/>
            <w:r>
              <w:rPr>
                <w:rFonts w:eastAsia="Palatino Linotype"/>
                <w:spacing w:val="-1"/>
                <w:position w:val="1"/>
                <w:sz w:val="22"/>
                <w:szCs w:val="22"/>
                <w:lang w:val="es-ES"/>
              </w:rPr>
              <w:t xml:space="preserve"> </w:t>
            </w:r>
            <w:proofErr w:type="spellStart"/>
            <w:r>
              <w:rPr>
                <w:rFonts w:eastAsia="Palatino Linotype"/>
                <w:spacing w:val="-1"/>
                <w:position w:val="1"/>
                <w:sz w:val="22"/>
                <w:szCs w:val="22"/>
                <w:lang w:val="es-ES"/>
              </w:rPr>
              <w:t>supplier</w:t>
            </w:r>
            <w:proofErr w:type="spellEnd"/>
            <w:r>
              <w:rPr>
                <w:rFonts w:eastAsia="Palatino Linotype"/>
                <w:spacing w:val="-1"/>
                <w:position w:val="1"/>
                <w:sz w:val="22"/>
                <w:szCs w:val="22"/>
                <w:lang w:val="es-ES"/>
              </w:rPr>
              <w:t xml:space="preserve"> </w:t>
            </w:r>
            <w:proofErr w:type="spellStart"/>
            <w:r>
              <w:rPr>
                <w:rFonts w:eastAsia="Palatino Linotype"/>
                <w:spacing w:val="-1"/>
                <w:position w:val="1"/>
                <w:sz w:val="22"/>
                <w:szCs w:val="22"/>
                <w:lang w:val="es-ES"/>
              </w:rPr>
              <w:t>the</w:t>
            </w:r>
            <w:proofErr w:type="spellEnd"/>
            <w:r>
              <w:rPr>
                <w:rFonts w:eastAsia="Palatino Linotype"/>
                <w:spacing w:val="-1"/>
                <w:position w:val="1"/>
                <w:sz w:val="22"/>
                <w:szCs w:val="22"/>
                <w:lang w:val="es-ES"/>
              </w:rPr>
              <w:t xml:space="preserve"> </w:t>
            </w:r>
            <w:proofErr w:type="spellStart"/>
            <w:r>
              <w:rPr>
                <w:rFonts w:eastAsia="Palatino Linotype"/>
                <w:spacing w:val="-1"/>
                <w:position w:val="1"/>
                <w:sz w:val="22"/>
                <w:szCs w:val="22"/>
                <w:lang w:val="es-ES"/>
              </w:rPr>
              <w:t>payment</w:t>
            </w:r>
            <w:proofErr w:type="spellEnd"/>
            <w:r>
              <w:rPr>
                <w:rFonts w:eastAsia="Palatino Linotype"/>
                <w:spacing w:val="-1"/>
                <w:position w:val="1"/>
                <w:sz w:val="22"/>
                <w:szCs w:val="22"/>
                <w:lang w:val="es-ES"/>
              </w:rPr>
              <w:t xml:space="preserve"> </w:t>
            </w:r>
            <w:proofErr w:type="spellStart"/>
            <w:r>
              <w:rPr>
                <w:rFonts w:eastAsia="Palatino Linotype"/>
                <w:spacing w:val="-1"/>
                <w:position w:val="1"/>
                <w:sz w:val="22"/>
                <w:szCs w:val="22"/>
                <w:lang w:val="es-ES"/>
              </w:rPr>
              <w:t>of</w:t>
            </w:r>
            <w:proofErr w:type="spellEnd"/>
            <w:r>
              <w:rPr>
                <w:rFonts w:eastAsia="Palatino Linotype"/>
                <w:spacing w:val="-1"/>
                <w:position w:val="1"/>
                <w:sz w:val="22"/>
                <w:szCs w:val="22"/>
                <w:lang w:val="es-ES"/>
              </w:rPr>
              <w:t xml:space="preserve"> </w:t>
            </w:r>
            <w:proofErr w:type="spellStart"/>
            <w:r>
              <w:rPr>
                <w:rFonts w:eastAsia="Palatino Linotype"/>
                <w:spacing w:val="-1"/>
                <w:position w:val="1"/>
                <w:sz w:val="22"/>
                <w:szCs w:val="22"/>
                <w:lang w:val="es-ES"/>
              </w:rPr>
              <w:t>all</w:t>
            </w:r>
            <w:proofErr w:type="spellEnd"/>
            <w:r>
              <w:rPr>
                <w:rFonts w:eastAsia="Palatino Linotype"/>
                <w:spacing w:val="-1"/>
                <w:position w:val="1"/>
                <w:sz w:val="22"/>
                <w:szCs w:val="22"/>
                <w:lang w:val="es-ES"/>
              </w:rPr>
              <w:t xml:space="preserve"> expenses </w:t>
            </w:r>
            <w:proofErr w:type="spellStart"/>
            <w:r>
              <w:rPr>
                <w:rFonts w:eastAsia="Palatino Linotype"/>
                <w:spacing w:val="-1"/>
                <w:position w:val="1"/>
                <w:sz w:val="22"/>
                <w:szCs w:val="22"/>
                <w:lang w:val="es-ES"/>
              </w:rPr>
              <w:t>incurred</w:t>
            </w:r>
            <w:proofErr w:type="spellEnd"/>
            <w:r>
              <w:rPr>
                <w:rFonts w:eastAsia="Palatino Linotype"/>
                <w:spacing w:val="-1"/>
                <w:position w:val="1"/>
                <w:sz w:val="22"/>
                <w:szCs w:val="22"/>
                <w:lang w:val="es-ES"/>
              </w:rPr>
              <w:t xml:space="preserve"> and </w:t>
            </w:r>
            <w:proofErr w:type="spellStart"/>
            <w:r>
              <w:rPr>
                <w:rFonts w:eastAsia="Palatino Linotype"/>
                <w:spacing w:val="-1"/>
                <w:position w:val="1"/>
                <w:sz w:val="22"/>
                <w:szCs w:val="22"/>
                <w:lang w:val="es-ES"/>
              </w:rPr>
              <w:t>damages</w:t>
            </w:r>
            <w:proofErr w:type="spellEnd"/>
            <w:r>
              <w:rPr>
                <w:rFonts w:eastAsia="Palatino Linotype"/>
                <w:spacing w:val="-1"/>
                <w:position w:val="1"/>
                <w:sz w:val="22"/>
                <w:szCs w:val="22"/>
                <w:lang w:val="es-ES"/>
              </w:rPr>
              <w:t xml:space="preserve"> </w:t>
            </w:r>
            <w:proofErr w:type="spellStart"/>
            <w:r>
              <w:rPr>
                <w:rFonts w:eastAsia="Palatino Linotype"/>
                <w:spacing w:val="-1"/>
                <w:position w:val="1"/>
                <w:sz w:val="22"/>
                <w:szCs w:val="22"/>
                <w:lang w:val="es-ES"/>
              </w:rPr>
              <w:t>caused</w:t>
            </w:r>
            <w:proofErr w:type="spellEnd"/>
            <w:r>
              <w:rPr>
                <w:rFonts w:eastAsia="Palatino Linotype"/>
                <w:spacing w:val="-1"/>
                <w:position w:val="1"/>
                <w:sz w:val="22"/>
                <w:szCs w:val="22"/>
                <w:lang w:val="es-ES"/>
              </w:rPr>
              <w:t xml:space="preserve"> </w:t>
            </w:r>
            <w:proofErr w:type="spellStart"/>
            <w:r>
              <w:rPr>
                <w:rFonts w:eastAsia="Palatino Linotype"/>
                <w:spacing w:val="-1"/>
                <w:position w:val="1"/>
                <w:sz w:val="22"/>
                <w:szCs w:val="22"/>
                <w:lang w:val="es-ES"/>
              </w:rPr>
              <w:t>until</w:t>
            </w:r>
            <w:proofErr w:type="spellEnd"/>
            <w:r>
              <w:rPr>
                <w:rFonts w:eastAsia="Palatino Linotype"/>
                <w:spacing w:val="-1"/>
                <w:position w:val="1"/>
                <w:sz w:val="22"/>
                <w:szCs w:val="22"/>
                <w:lang w:val="es-ES"/>
              </w:rPr>
              <w:t xml:space="preserve"> </w:t>
            </w:r>
            <w:proofErr w:type="spellStart"/>
            <w:r>
              <w:rPr>
                <w:rFonts w:eastAsia="Palatino Linotype"/>
                <w:spacing w:val="-1"/>
                <w:position w:val="1"/>
                <w:sz w:val="22"/>
                <w:szCs w:val="22"/>
                <w:lang w:val="es-ES"/>
              </w:rPr>
              <w:t>the</w:t>
            </w:r>
            <w:proofErr w:type="spellEnd"/>
            <w:r>
              <w:rPr>
                <w:rFonts w:eastAsia="Palatino Linotype"/>
                <w:spacing w:val="-1"/>
                <w:position w:val="1"/>
                <w:sz w:val="22"/>
                <w:szCs w:val="22"/>
                <w:lang w:val="es-ES"/>
              </w:rPr>
              <w:t xml:space="preserve"> </w:t>
            </w:r>
            <w:proofErr w:type="spellStart"/>
            <w:r>
              <w:rPr>
                <w:rFonts w:eastAsia="Palatino Linotype"/>
                <w:spacing w:val="-1"/>
                <w:position w:val="1"/>
                <w:sz w:val="22"/>
                <w:szCs w:val="22"/>
                <w:lang w:val="es-ES"/>
              </w:rPr>
              <w:t>moment</w:t>
            </w:r>
            <w:proofErr w:type="spellEnd"/>
            <w:r>
              <w:rPr>
                <w:rFonts w:eastAsia="Palatino Linotype"/>
                <w:spacing w:val="-1"/>
                <w:position w:val="1"/>
                <w:sz w:val="22"/>
                <w:szCs w:val="22"/>
                <w:lang w:val="es-ES"/>
              </w:rPr>
              <w:t xml:space="preserve"> OSE has in </w:t>
            </w:r>
            <w:proofErr w:type="spellStart"/>
            <w:r>
              <w:rPr>
                <w:rFonts w:eastAsia="Palatino Linotype"/>
                <w:spacing w:val="-1"/>
                <w:position w:val="1"/>
                <w:sz w:val="22"/>
                <w:szCs w:val="22"/>
                <w:lang w:val="es-ES"/>
              </w:rPr>
              <w:t>its</w:t>
            </w:r>
            <w:proofErr w:type="spellEnd"/>
            <w:r>
              <w:rPr>
                <w:rFonts w:eastAsia="Palatino Linotype"/>
                <w:spacing w:val="-1"/>
                <w:position w:val="1"/>
                <w:sz w:val="22"/>
                <w:szCs w:val="22"/>
                <w:lang w:val="es-ES"/>
              </w:rPr>
              <w:t xml:space="preserve"> </w:t>
            </w:r>
            <w:proofErr w:type="spellStart"/>
            <w:r>
              <w:rPr>
                <w:rFonts w:eastAsia="Palatino Linotype"/>
                <w:spacing w:val="-1"/>
                <w:position w:val="1"/>
                <w:sz w:val="22"/>
                <w:szCs w:val="22"/>
                <w:lang w:val="es-ES"/>
              </w:rPr>
              <w:t>possession</w:t>
            </w:r>
            <w:proofErr w:type="spellEnd"/>
            <w:r>
              <w:rPr>
                <w:rFonts w:eastAsia="Palatino Linotype"/>
                <w:spacing w:val="-1"/>
                <w:position w:val="1"/>
                <w:sz w:val="22"/>
                <w:szCs w:val="22"/>
                <w:lang w:val="es-ES"/>
              </w:rPr>
              <w:t xml:space="preserve"> and </w:t>
            </w:r>
            <w:proofErr w:type="spellStart"/>
            <w:r>
              <w:rPr>
                <w:rFonts w:eastAsia="Palatino Linotype"/>
                <w:spacing w:val="-1"/>
                <w:position w:val="1"/>
                <w:sz w:val="22"/>
                <w:szCs w:val="22"/>
                <w:lang w:val="es-ES"/>
              </w:rPr>
              <w:t>accepts</w:t>
            </w:r>
            <w:proofErr w:type="spellEnd"/>
            <w:r>
              <w:rPr>
                <w:rFonts w:eastAsia="Palatino Linotype"/>
                <w:spacing w:val="-1"/>
                <w:position w:val="1"/>
                <w:sz w:val="22"/>
                <w:szCs w:val="22"/>
                <w:lang w:val="es-ES"/>
              </w:rPr>
              <w:t xml:space="preserve"> </w:t>
            </w:r>
            <w:proofErr w:type="spellStart"/>
            <w:r>
              <w:rPr>
                <w:rFonts w:eastAsia="Palatino Linotype"/>
                <w:spacing w:val="-1"/>
                <w:position w:val="1"/>
                <w:sz w:val="22"/>
                <w:szCs w:val="22"/>
                <w:lang w:val="es-ES"/>
              </w:rPr>
              <w:t>the</w:t>
            </w:r>
            <w:proofErr w:type="spellEnd"/>
            <w:r>
              <w:rPr>
                <w:rFonts w:eastAsia="Palatino Linotype"/>
                <w:spacing w:val="-1"/>
                <w:position w:val="1"/>
                <w:sz w:val="22"/>
                <w:szCs w:val="22"/>
                <w:lang w:val="es-ES"/>
              </w:rPr>
              <w:t xml:space="preserve"> </w:t>
            </w:r>
            <w:proofErr w:type="spellStart"/>
            <w:r>
              <w:rPr>
                <w:rFonts w:eastAsia="Palatino Linotype"/>
                <w:spacing w:val="-1"/>
                <w:position w:val="1"/>
                <w:sz w:val="22"/>
                <w:szCs w:val="22"/>
                <w:lang w:val="es-ES"/>
              </w:rPr>
              <w:t>documentation</w:t>
            </w:r>
            <w:proofErr w:type="spellEnd"/>
            <w:r>
              <w:rPr>
                <w:rFonts w:eastAsia="Palatino Linotype"/>
                <w:spacing w:val="-1"/>
                <w:position w:val="1"/>
                <w:sz w:val="22"/>
                <w:szCs w:val="22"/>
                <w:lang w:val="es-ES"/>
              </w:rPr>
              <w:t xml:space="preserve"> in </w:t>
            </w:r>
            <w:proofErr w:type="spellStart"/>
            <w:r>
              <w:rPr>
                <w:rFonts w:eastAsia="Palatino Linotype"/>
                <w:spacing w:val="-1"/>
                <w:position w:val="1"/>
                <w:sz w:val="22"/>
                <w:szCs w:val="22"/>
                <w:lang w:val="es-ES"/>
              </w:rPr>
              <w:t>accordance</w:t>
            </w:r>
            <w:proofErr w:type="spellEnd"/>
            <w:r>
              <w:rPr>
                <w:rFonts w:eastAsia="Palatino Linotype"/>
                <w:spacing w:val="-1"/>
                <w:position w:val="1"/>
                <w:sz w:val="22"/>
                <w:szCs w:val="22"/>
                <w:lang w:val="es-ES"/>
              </w:rPr>
              <w:t xml:space="preserve"> </w:t>
            </w:r>
            <w:proofErr w:type="spellStart"/>
            <w:r>
              <w:rPr>
                <w:rFonts w:eastAsia="Palatino Linotype"/>
                <w:spacing w:val="-1"/>
                <w:position w:val="1"/>
                <w:sz w:val="22"/>
                <w:szCs w:val="22"/>
                <w:lang w:val="es-ES"/>
              </w:rPr>
              <w:t>with</w:t>
            </w:r>
            <w:proofErr w:type="spellEnd"/>
            <w:r>
              <w:rPr>
                <w:rFonts w:eastAsia="Palatino Linotype"/>
                <w:spacing w:val="-1"/>
                <w:position w:val="1"/>
                <w:sz w:val="22"/>
                <w:szCs w:val="22"/>
                <w:lang w:val="es-ES"/>
              </w:rPr>
              <w:t xml:space="preserve"> </w:t>
            </w:r>
            <w:proofErr w:type="spellStart"/>
            <w:r>
              <w:rPr>
                <w:rFonts w:eastAsia="Palatino Linotype"/>
                <w:spacing w:val="-1"/>
                <w:position w:val="1"/>
                <w:sz w:val="22"/>
                <w:szCs w:val="22"/>
                <w:lang w:val="es-ES"/>
              </w:rPr>
              <w:t>the</w:t>
            </w:r>
            <w:proofErr w:type="spellEnd"/>
            <w:r>
              <w:rPr>
                <w:rFonts w:eastAsia="Palatino Linotype"/>
                <w:spacing w:val="-1"/>
                <w:position w:val="1"/>
                <w:sz w:val="22"/>
                <w:szCs w:val="22"/>
                <w:lang w:val="es-ES"/>
              </w:rPr>
              <w:t xml:space="preserve"> </w:t>
            </w:r>
            <w:proofErr w:type="spellStart"/>
            <w:r>
              <w:rPr>
                <w:rFonts w:eastAsia="Palatino Linotype"/>
                <w:spacing w:val="-1"/>
                <w:position w:val="1"/>
                <w:sz w:val="22"/>
                <w:szCs w:val="22"/>
                <w:lang w:val="es-ES"/>
              </w:rPr>
              <w:t>requirements</w:t>
            </w:r>
            <w:proofErr w:type="spellEnd"/>
            <w:r>
              <w:rPr>
                <w:rFonts w:eastAsia="Palatino Linotype"/>
                <w:spacing w:val="-1"/>
                <w:position w:val="1"/>
                <w:sz w:val="22"/>
                <w:szCs w:val="22"/>
                <w:lang w:val="es-ES"/>
              </w:rPr>
              <w:t xml:space="preserve"> </w:t>
            </w:r>
            <w:proofErr w:type="spellStart"/>
            <w:r>
              <w:rPr>
                <w:rFonts w:eastAsia="Palatino Linotype"/>
                <w:spacing w:val="-1"/>
                <w:position w:val="1"/>
                <w:sz w:val="22"/>
                <w:szCs w:val="22"/>
                <w:lang w:val="es-ES"/>
              </w:rPr>
              <w:t>for</w:t>
            </w:r>
            <w:proofErr w:type="spellEnd"/>
            <w:r>
              <w:rPr>
                <w:rFonts w:eastAsia="Palatino Linotype"/>
                <w:spacing w:val="-1"/>
                <w:position w:val="1"/>
                <w:sz w:val="22"/>
                <w:szCs w:val="22"/>
                <w:lang w:val="es-ES"/>
              </w:rPr>
              <w:t xml:space="preserve"> </w:t>
            </w:r>
            <w:proofErr w:type="spellStart"/>
            <w:r>
              <w:rPr>
                <w:rFonts w:eastAsia="Palatino Linotype"/>
                <w:spacing w:val="-1"/>
                <w:position w:val="1"/>
                <w:sz w:val="22"/>
                <w:szCs w:val="22"/>
                <w:lang w:val="es-ES"/>
              </w:rPr>
              <w:t>managing</w:t>
            </w:r>
            <w:proofErr w:type="spellEnd"/>
            <w:r>
              <w:rPr>
                <w:rFonts w:eastAsia="Palatino Linotype"/>
                <w:spacing w:val="-1"/>
                <w:position w:val="1"/>
                <w:sz w:val="22"/>
                <w:szCs w:val="22"/>
                <w:lang w:val="es-ES"/>
              </w:rPr>
              <w:t xml:space="preserve"> </w:t>
            </w:r>
            <w:proofErr w:type="spellStart"/>
            <w:r>
              <w:rPr>
                <w:rFonts w:eastAsia="Palatino Linotype"/>
                <w:spacing w:val="-1"/>
                <w:position w:val="1"/>
                <w:sz w:val="22"/>
                <w:szCs w:val="22"/>
                <w:lang w:val="es-ES"/>
              </w:rPr>
              <w:t>the</w:t>
            </w:r>
            <w:proofErr w:type="spellEnd"/>
            <w:r>
              <w:rPr>
                <w:rFonts w:eastAsia="Palatino Linotype"/>
                <w:spacing w:val="-1"/>
                <w:position w:val="1"/>
                <w:sz w:val="22"/>
                <w:szCs w:val="22"/>
                <w:lang w:val="es-ES"/>
              </w:rPr>
              <w:t xml:space="preserve"> </w:t>
            </w:r>
            <w:proofErr w:type="spellStart"/>
            <w:r>
              <w:rPr>
                <w:rFonts w:eastAsia="Palatino Linotype"/>
                <w:spacing w:val="-1"/>
                <w:position w:val="1"/>
                <w:sz w:val="22"/>
                <w:szCs w:val="22"/>
                <w:lang w:val="es-ES"/>
              </w:rPr>
              <w:t>dispatch</w:t>
            </w:r>
            <w:proofErr w:type="spellEnd"/>
            <w:r>
              <w:rPr>
                <w:rFonts w:eastAsia="Palatino Linotype"/>
                <w:spacing w:val="-1"/>
                <w:position w:val="1"/>
                <w:sz w:val="22"/>
                <w:szCs w:val="22"/>
                <w:lang w:val="es-ES"/>
              </w:rPr>
              <w:t xml:space="preserve"> </w:t>
            </w:r>
            <w:proofErr w:type="spellStart"/>
            <w:r>
              <w:rPr>
                <w:rFonts w:eastAsia="Palatino Linotype"/>
                <w:spacing w:val="-1"/>
                <w:position w:val="1"/>
                <w:sz w:val="22"/>
                <w:szCs w:val="22"/>
                <w:lang w:val="es-ES"/>
              </w:rPr>
              <w:t>of</w:t>
            </w:r>
            <w:proofErr w:type="spellEnd"/>
            <w:r>
              <w:rPr>
                <w:rFonts w:eastAsia="Palatino Linotype"/>
                <w:spacing w:val="-1"/>
                <w:position w:val="1"/>
                <w:sz w:val="22"/>
                <w:szCs w:val="22"/>
                <w:lang w:val="es-ES"/>
              </w:rPr>
              <w:t xml:space="preserve"> </w:t>
            </w:r>
            <w:proofErr w:type="spellStart"/>
            <w:r>
              <w:rPr>
                <w:rFonts w:eastAsia="Palatino Linotype"/>
                <w:spacing w:val="-1"/>
                <w:position w:val="1"/>
                <w:sz w:val="22"/>
                <w:szCs w:val="22"/>
                <w:lang w:val="es-ES"/>
              </w:rPr>
              <w:t>the</w:t>
            </w:r>
            <w:proofErr w:type="spellEnd"/>
            <w:r>
              <w:rPr>
                <w:rFonts w:eastAsia="Palatino Linotype"/>
                <w:spacing w:val="-1"/>
                <w:position w:val="1"/>
                <w:sz w:val="22"/>
                <w:szCs w:val="22"/>
                <w:lang w:val="es-ES"/>
              </w:rPr>
              <w:t xml:space="preserve"> </w:t>
            </w:r>
            <w:proofErr w:type="spellStart"/>
            <w:r>
              <w:rPr>
                <w:rFonts w:eastAsia="Palatino Linotype"/>
                <w:spacing w:val="-1"/>
                <w:position w:val="1"/>
                <w:sz w:val="22"/>
                <w:szCs w:val="22"/>
                <w:lang w:val="es-ES"/>
              </w:rPr>
              <w:t>merchandise</w:t>
            </w:r>
            <w:proofErr w:type="spellEnd"/>
            <w:r>
              <w:rPr>
                <w:rFonts w:eastAsia="Palatino Linotype"/>
                <w:spacing w:val="-1"/>
                <w:position w:val="1"/>
                <w:sz w:val="22"/>
                <w:szCs w:val="22"/>
                <w:lang w:val="es-ES"/>
              </w:rPr>
              <w:t>.</w:t>
            </w:r>
            <w:r>
              <w:rPr>
                <w:rFonts w:eastAsia="Palatino Linotype"/>
                <w:sz w:val="22"/>
                <w:szCs w:val="22"/>
                <w:lang w:val="es-ES"/>
              </w:rPr>
              <w:t xml:space="preserve"> </w:t>
            </w:r>
          </w:p>
          <w:p w14:paraId="190AAE5F" w14:textId="77777777" w:rsidR="00E255F4" w:rsidRDefault="00E255F4">
            <w:pPr>
              <w:tabs>
                <w:tab w:val="left" w:pos="0"/>
              </w:tabs>
              <w:jc w:val="both"/>
              <w:rPr>
                <w:rFonts w:eastAsia="Palatino Linotype"/>
                <w:sz w:val="22"/>
                <w:szCs w:val="22"/>
                <w:lang w:val="es-ES"/>
              </w:rPr>
            </w:pPr>
          </w:p>
          <w:p w14:paraId="49D024B7" w14:textId="77777777" w:rsidR="00E255F4" w:rsidRDefault="00000000">
            <w:pPr>
              <w:tabs>
                <w:tab w:val="left" w:pos="0"/>
              </w:tabs>
              <w:spacing w:line="240" w:lineRule="auto"/>
              <w:jc w:val="both"/>
              <w:textAlignment w:val="baseline"/>
              <w:rPr>
                <w:sz w:val="22"/>
                <w:szCs w:val="22"/>
              </w:rPr>
            </w:pPr>
            <w:r>
              <w:rPr>
                <w:sz w:val="22"/>
                <w:szCs w:val="22"/>
              </w:rPr>
              <w:t xml:space="preserve">The </w:t>
            </w:r>
            <w:proofErr w:type="spellStart"/>
            <w:r>
              <w:rPr>
                <w:sz w:val="22"/>
                <w:szCs w:val="22"/>
              </w:rPr>
              <w:t>supplier</w:t>
            </w:r>
            <w:proofErr w:type="spellEnd"/>
            <w:r>
              <w:rPr>
                <w:sz w:val="22"/>
                <w:szCs w:val="22"/>
              </w:rPr>
              <w:t xml:space="preserve"> </w:t>
            </w:r>
            <w:proofErr w:type="spellStart"/>
            <w:r>
              <w:rPr>
                <w:sz w:val="22"/>
                <w:szCs w:val="22"/>
              </w:rPr>
              <w:t>will</w:t>
            </w:r>
            <w:proofErr w:type="spellEnd"/>
            <w:r>
              <w:rPr>
                <w:sz w:val="22"/>
                <w:szCs w:val="22"/>
              </w:rPr>
              <w:t xml:space="preserve"> be </w:t>
            </w:r>
            <w:proofErr w:type="spellStart"/>
            <w:r>
              <w:rPr>
                <w:sz w:val="22"/>
                <w:szCs w:val="22"/>
              </w:rPr>
              <w:t>responsible</w:t>
            </w:r>
            <w:proofErr w:type="spellEnd"/>
            <w:r>
              <w:rPr>
                <w:sz w:val="22"/>
                <w:szCs w:val="22"/>
              </w:rPr>
              <w:t xml:space="preserve"> </w:t>
            </w:r>
            <w:proofErr w:type="spellStart"/>
            <w:r>
              <w:rPr>
                <w:sz w:val="22"/>
                <w:szCs w:val="22"/>
              </w:rPr>
              <w:t>for</w:t>
            </w:r>
            <w:proofErr w:type="spellEnd"/>
            <w:r>
              <w:rPr>
                <w:sz w:val="22"/>
                <w:szCs w:val="22"/>
              </w:rPr>
              <w:t xml:space="preserve"> </w:t>
            </w:r>
            <w:proofErr w:type="spellStart"/>
            <w:r>
              <w:rPr>
                <w:sz w:val="22"/>
                <w:szCs w:val="22"/>
              </w:rPr>
              <w:t>any</w:t>
            </w:r>
            <w:proofErr w:type="spellEnd"/>
            <w:r>
              <w:rPr>
                <w:sz w:val="22"/>
                <w:szCs w:val="22"/>
              </w:rPr>
              <w:t xml:space="preserve"> </w:t>
            </w:r>
            <w:proofErr w:type="spellStart"/>
            <w:r>
              <w:rPr>
                <w:sz w:val="22"/>
                <w:szCs w:val="22"/>
              </w:rPr>
              <w:t>charges</w:t>
            </w:r>
            <w:proofErr w:type="spellEnd"/>
            <w:r>
              <w:rPr>
                <w:sz w:val="22"/>
                <w:szCs w:val="22"/>
              </w:rPr>
              <w:t xml:space="preserve"> and </w:t>
            </w:r>
            <w:proofErr w:type="spellStart"/>
            <w:r>
              <w:rPr>
                <w:sz w:val="22"/>
                <w:szCs w:val="22"/>
              </w:rPr>
              <w:t>damages</w:t>
            </w:r>
            <w:proofErr w:type="spellEnd"/>
            <w:r>
              <w:rPr>
                <w:sz w:val="22"/>
                <w:szCs w:val="22"/>
              </w:rPr>
              <w:t xml:space="preserve"> </w:t>
            </w:r>
            <w:proofErr w:type="spellStart"/>
            <w:r>
              <w:rPr>
                <w:sz w:val="22"/>
                <w:szCs w:val="22"/>
              </w:rPr>
              <w:t>that</w:t>
            </w:r>
            <w:proofErr w:type="spellEnd"/>
            <w:r>
              <w:rPr>
                <w:sz w:val="22"/>
                <w:szCs w:val="22"/>
              </w:rPr>
              <w:t xml:space="preserve"> </w:t>
            </w:r>
            <w:proofErr w:type="spellStart"/>
            <w:r>
              <w:rPr>
                <w:sz w:val="22"/>
                <w:szCs w:val="22"/>
              </w:rPr>
              <w:t>may</w:t>
            </w:r>
            <w:proofErr w:type="spellEnd"/>
            <w:r>
              <w:rPr>
                <w:sz w:val="22"/>
                <w:szCs w:val="22"/>
              </w:rPr>
              <w:t xml:space="preserve"> be </w:t>
            </w:r>
            <w:proofErr w:type="spellStart"/>
            <w:r>
              <w:rPr>
                <w:sz w:val="22"/>
                <w:szCs w:val="22"/>
              </w:rPr>
              <w:t>caused</w:t>
            </w:r>
            <w:proofErr w:type="spellEnd"/>
            <w:r>
              <w:rPr>
                <w:sz w:val="22"/>
                <w:szCs w:val="22"/>
              </w:rPr>
              <w:t xml:space="preserve"> </w:t>
            </w:r>
            <w:proofErr w:type="spellStart"/>
            <w:r>
              <w:rPr>
                <w:sz w:val="22"/>
                <w:szCs w:val="22"/>
              </w:rPr>
              <w:t>to</w:t>
            </w:r>
            <w:proofErr w:type="spellEnd"/>
            <w:r>
              <w:rPr>
                <w:sz w:val="22"/>
                <w:szCs w:val="22"/>
              </w:rPr>
              <w:t xml:space="preserve"> OSE </w:t>
            </w:r>
            <w:proofErr w:type="spellStart"/>
            <w:r>
              <w:rPr>
                <w:sz w:val="22"/>
                <w:szCs w:val="22"/>
              </w:rPr>
              <w:t>by</w:t>
            </w:r>
            <w:proofErr w:type="spellEnd"/>
            <w:r>
              <w:rPr>
                <w:sz w:val="22"/>
                <w:szCs w:val="22"/>
              </w:rPr>
              <w:t xml:space="preserve"> non-</w:t>
            </w:r>
            <w:proofErr w:type="spellStart"/>
            <w:r>
              <w:rPr>
                <w:sz w:val="22"/>
                <w:szCs w:val="22"/>
              </w:rPr>
              <w:t>compliance</w:t>
            </w:r>
            <w:proofErr w:type="spellEnd"/>
            <w:r>
              <w:rPr>
                <w:sz w:val="22"/>
                <w:szCs w:val="22"/>
              </w:rPr>
              <w:t xml:space="preserve"> </w:t>
            </w:r>
            <w:proofErr w:type="spellStart"/>
            <w:r>
              <w:rPr>
                <w:sz w:val="22"/>
                <w:szCs w:val="22"/>
              </w:rPr>
              <w:t>with</w:t>
            </w:r>
            <w:proofErr w:type="spellEnd"/>
            <w:r>
              <w:rPr>
                <w:sz w:val="22"/>
                <w:szCs w:val="22"/>
              </w:rPr>
              <w:t xml:space="preserve"> </w:t>
            </w:r>
            <w:proofErr w:type="spellStart"/>
            <w:r>
              <w:rPr>
                <w:sz w:val="22"/>
                <w:szCs w:val="22"/>
              </w:rPr>
              <w:t>the</w:t>
            </w:r>
            <w:proofErr w:type="spellEnd"/>
            <w:r>
              <w:rPr>
                <w:sz w:val="22"/>
                <w:szCs w:val="22"/>
              </w:rPr>
              <w:t xml:space="preserve"> </w:t>
            </w:r>
            <w:proofErr w:type="spellStart"/>
            <w:r>
              <w:rPr>
                <w:sz w:val="22"/>
                <w:szCs w:val="22"/>
              </w:rPr>
              <w:t>provisions</w:t>
            </w:r>
            <w:proofErr w:type="spellEnd"/>
            <w:r>
              <w:rPr>
                <w:sz w:val="22"/>
                <w:szCs w:val="22"/>
              </w:rPr>
              <w:t xml:space="preserve"> </w:t>
            </w:r>
            <w:proofErr w:type="spellStart"/>
            <w:r>
              <w:rPr>
                <w:sz w:val="22"/>
                <w:szCs w:val="22"/>
              </w:rPr>
              <w:t>of</w:t>
            </w:r>
            <w:proofErr w:type="spellEnd"/>
            <w:r>
              <w:rPr>
                <w:sz w:val="22"/>
                <w:szCs w:val="22"/>
              </w:rPr>
              <w:t xml:space="preserve"> </w:t>
            </w:r>
            <w:proofErr w:type="spellStart"/>
            <w:r>
              <w:rPr>
                <w:sz w:val="22"/>
                <w:szCs w:val="22"/>
              </w:rPr>
              <w:t>the</w:t>
            </w:r>
            <w:proofErr w:type="spellEnd"/>
            <w:r>
              <w:rPr>
                <w:sz w:val="22"/>
                <w:szCs w:val="22"/>
              </w:rPr>
              <w:t xml:space="preserve"> </w:t>
            </w:r>
            <w:proofErr w:type="spellStart"/>
            <w:r>
              <w:rPr>
                <w:sz w:val="22"/>
                <w:szCs w:val="22"/>
              </w:rPr>
              <w:t>Shipping</w:t>
            </w:r>
            <w:proofErr w:type="spellEnd"/>
            <w:r>
              <w:rPr>
                <w:sz w:val="22"/>
                <w:szCs w:val="22"/>
              </w:rPr>
              <w:t xml:space="preserve"> Notice and </w:t>
            </w:r>
            <w:proofErr w:type="spellStart"/>
            <w:r>
              <w:rPr>
                <w:sz w:val="22"/>
                <w:szCs w:val="22"/>
              </w:rPr>
              <w:t>the</w:t>
            </w:r>
            <w:proofErr w:type="spellEnd"/>
            <w:r>
              <w:rPr>
                <w:sz w:val="22"/>
                <w:szCs w:val="22"/>
              </w:rPr>
              <w:t xml:space="preserve"> </w:t>
            </w:r>
            <w:proofErr w:type="spellStart"/>
            <w:r>
              <w:rPr>
                <w:sz w:val="22"/>
                <w:szCs w:val="22"/>
              </w:rPr>
              <w:t>Issuance</w:t>
            </w:r>
            <w:proofErr w:type="spellEnd"/>
            <w:r>
              <w:rPr>
                <w:sz w:val="22"/>
                <w:szCs w:val="22"/>
              </w:rPr>
              <w:t xml:space="preserve"> </w:t>
            </w:r>
            <w:proofErr w:type="spellStart"/>
            <w:r>
              <w:rPr>
                <w:sz w:val="22"/>
                <w:szCs w:val="22"/>
              </w:rPr>
              <w:t>of</w:t>
            </w:r>
            <w:proofErr w:type="spellEnd"/>
            <w:r>
              <w:rPr>
                <w:sz w:val="22"/>
                <w:szCs w:val="22"/>
              </w:rPr>
              <w:t xml:space="preserve"> </w:t>
            </w:r>
            <w:proofErr w:type="spellStart"/>
            <w:r>
              <w:rPr>
                <w:sz w:val="22"/>
                <w:szCs w:val="22"/>
              </w:rPr>
              <w:t>documents</w:t>
            </w:r>
            <w:proofErr w:type="spellEnd"/>
            <w:r>
              <w:rPr>
                <w:sz w:val="22"/>
                <w:szCs w:val="22"/>
              </w:rPr>
              <w:t xml:space="preserve"> </w:t>
            </w:r>
            <w:proofErr w:type="spellStart"/>
            <w:r>
              <w:rPr>
                <w:sz w:val="22"/>
                <w:szCs w:val="22"/>
              </w:rPr>
              <w:t>established</w:t>
            </w:r>
            <w:proofErr w:type="spellEnd"/>
            <w:r>
              <w:rPr>
                <w:sz w:val="22"/>
                <w:szCs w:val="22"/>
              </w:rPr>
              <w:t xml:space="preserve"> in </w:t>
            </w:r>
            <w:proofErr w:type="spellStart"/>
            <w:r>
              <w:rPr>
                <w:sz w:val="22"/>
                <w:szCs w:val="22"/>
              </w:rPr>
              <w:t>Article</w:t>
            </w:r>
            <w:proofErr w:type="spellEnd"/>
            <w:r>
              <w:rPr>
                <w:sz w:val="22"/>
                <w:szCs w:val="22"/>
              </w:rPr>
              <w:t xml:space="preserve"> 24 </w:t>
            </w:r>
            <w:proofErr w:type="spellStart"/>
            <w:r>
              <w:rPr>
                <w:sz w:val="22"/>
                <w:szCs w:val="22"/>
              </w:rPr>
              <w:t>of</w:t>
            </w:r>
            <w:proofErr w:type="spellEnd"/>
            <w:r>
              <w:rPr>
                <w:sz w:val="22"/>
                <w:szCs w:val="22"/>
              </w:rPr>
              <w:t xml:space="preserve"> </w:t>
            </w:r>
            <w:proofErr w:type="spellStart"/>
            <w:r>
              <w:rPr>
                <w:sz w:val="22"/>
                <w:szCs w:val="22"/>
              </w:rPr>
              <w:t>this</w:t>
            </w:r>
            <w:proofErr w:type="spellEnd"/>
            <w:r>
              <w:rPr>
                <w:sz w:val="22"/>
                <w:szCs w:val="22"/>
              </w:rPr>
              <w:t xml:space="preserve"> </w:t>
            </w:r>
            <w:proofErr w:type="spellStart"/>
            <w:r>
              <w:rPr>
                <w:sz w:val="22"/>
                <w:szCs w:val="22"/>
              </w:rPr>
              <w:t>document</w:t>
            </w:r>
            <w:proofErr w:type="spellEnd"/>
            <w:r>
              <w:rPr>
                <w:sz w:val="22"/>
                <w:szCs w:val="22"/>
              </w:rPr>
              <w:t>.</w:t>
            </w:r>
          </w:p>
          <w:p w14:paraId="511D4EC8" w14:textId="77777777" w:rsidR="00E255F4" w:rsidRDefault="00E255F4">
            <w:pPr>
              <w:tabs>
                <w:tab w:val="left" w:pos="0"/>
              </w:tabs>
              <w:spacing w:line="240" w:lineRule="auto"/>
              <w:jc w:val="both"/>
              <w:textAlignment w:val="baseline"/>
              <w:rPr>
                <w:sz w:val="22"/>
                <w:szCs w:val="22"/>
              </w:rPr>
            </w:pPr>
          </w:p>
          <w:p w14:paraId="6C642160" w14:textId="77777777" w:rsidR="00E255F4" w:rsidRDefault="00000000">
            <w:pPr>
              <w:tabs>
                <w:tab w:val="left" w:pos="0"/>
              </w:tabs>
              <w:jc w:val="both"/>
              <w:rPr>
                <w:rFonts w:eastAsia="Palatino Linotype"/>
                <w:spacing w:val="-1"/>
                <w:position w:val="1"/>
                <w:sz w:val="22"/>
                <w:szCs w:val="22"/>
                <w:lang w:val="es-ES"/>
              </w:rPr>
            </w:pPr>
            <w:r>
              <w:rPr>
                <w:rFonts w:eastAsia="Palatino Linotype"/>
                <w:spacing w:val="-1"/>
                <w:position w:val="1"/>
                <w:sz w:val="22"/>
                <w:szCs w:val="22"/>
                <w:lang w:val="es-ES"/>
              </w:rPr>
              <w:t xml:space="preserve">In </w:t>
            </w:r>
            <w:proofErr w:type="spellStart"/>
            <w:r>
              <w:rPr>
                <w:rFonts w:eastAsia="Palatino Linotype"/>
                <w:spacing w:val="-1"/>
                <w:position w:val="1"/>
                <w:sz w:val="22"/>
                <w:szCs w:val="22"/>
                <w:lang w:val="es-ES"/>
              </w:rPr>
              <w:t>all</w:t>
            </w:r>
            <w:proofErr w:type="spellEnd"/>
            <w:r>
              <w:rPr>
                <w:rFonts w:eastAsia="Palatino Linotype"/>
                <w:spacing w:val="-1"/>
                <w:position w:val="1"/>
                <w:sz w:val="22"/>
                <w:szCs w:val="22"/>
                <w:lang w:val="es-ES"/>
              </w:rPr>
              <w:t xml:space="preserve"> cases </w:t>
            </w:r>
            <w:proofErr w:type="spellStart"/>
            <w:r>
              <w:rPr>
                <w:rFonts w:eastAsia="Palatino Linotype"/>
                <w:spacing w:val="-1"/>
                <w:position w:val="1"/>
                <w:sz w:val="22"/>
                <w:szCs w:val="22"/>
                <w:lang w:val="es-ES"/>
              </w:rPr>
              <w:t>where</w:t>
            </w:r>
            <w:proofErr w:type="spellEnd"/>
            <w:r>
              <w:rPr>
                <w:rFonts w:eastAsia="Palatino Linotype"/>
                <w:spacing w:val="-1"/>
                <w:position w:val="1"/>
                <w:sz w:val="22"/>
                <w:szCs w:val="22"/>
                <w:lang w:val="es-ES"/>
              </w:rPr>
              <w:t xml:space="preserve"> </w:t>
            </w:r>
            <w:proofErr w:type="spellStart"/>
            <w:r>
              <w:rPr>
                <w:rFonts w:eastAsia="Palatino Linotype"/>
                <w:spacing w:val="-1"/>
                <w:position w:val="1"/>
                <w:sz w:val="22"/>
                <w:szCs w:val="22"/>
                <w:lang w:val="es-ES"/>
              </w:rPr>
              <w:t>there</w:t>
            </w:r>
            <w:proofErr w:type="spellEnd"/>
            <w:r>
              <w:rPr>
                <w:rFonts w:eastAsia="Palatino Linotype"/>
                <w:spacing w:val="-1"/>
                <w:position w:val="1"/>
                <w:sz w:val="22"/>
                <w:szCs w:val="22"/>
                <w:lang w:val="es-ES"/>
              </w:rPr>
              <w:t xml:space="preserve"> </w:t>
            </w:r>
            <w:proofErr w:type="spellStart"/>
            <w:r>
              <w:rPr>
                <w:rFonts w:eastAsia="Palatino Linotype"/>
                <w:spacing w:val="-1"/>
                <w:position w:val="1"/>
                <w:sz w:val="22"/>
                <w:szCs w:val="22"/>
                <w:lang w:val="es-ES"/>
              </w:rPr>
              <w:t>is</w:t>
            </w:r>
            <w:proofErr w:type="spellEnd"/>
            <w:r>
              <w:rPr>
                <w:rFonts w:eastAsia="Palatino Linotype"/>
                <w:spacing w:val="-1"/>
                <w:position w:val="1"/>
                <w:sz w:val="22"/>
                <w:szCs w:val="22"/>
                <w:lang w:val="es-ES"/>
              </w:rPr>
              <w:t xml:space="preserve"> a </w:t>
            </w:r>
            <w:proofErr w:type="spellStart"/>
            <w:r>
              <w:rPr>
                <w:rFonts w:eastAsia="Palatino Linotype"/>
                <w:spacing w:val="-1"/>
                <w:position w:val="1"/>
                <w:sz w:val="22"/>
                <w:szCs w:val="22"/>
                <w:lang w:val="es-ES"/>
              </w:rPr>
              <w:t>breach</w:t>
            </w:r>
            <w:proofErr w:type="spellEnd"/>
            <w:r>
              <w:rPr>
                <w:rFonts w:eastAsia="Palatino Linotype"/>
                <w:spacing w:val="-1"/>
                <w:position w:val="1"/>
                <w:sz w:val="22"/>
                <w:szCs w:val="22"/>
                <w:lang w:val="es-ES"/>
              </w:rPr>
              <w:t xml:space="preserve"> </w:t>
            </w:r>
            <w:proofErr w:type="spellStart"/>
            <w:r>
              <w:rPr>
                <w:rFonts w:eastAsia="Palatino Linotype"/>
                <w:spacing w:val="-1"/>
                <w:position w:val="1"/>
                <w:sz w:val="22"/>
                <w:szCs w:val="22"/>
                <w:lang w:val="es-ES"/>
              </w:rPr>
              <w:t>by</w:t>
            </w:r>
            <w:proofErr w:type="spellEnd"/>
            <w:r>
              <w:rPr>
                <w:rFonts w:eastAsia="Palatino Linotype"/>
                <w:spacing w:val="-1"/>
                <w:position w:val="1"/>
                <w:sz w:val="22"/>
                <w:szCs w:val="22"/>
                <w:lang w:val="es-ES"/>
              </w:rPr>
              <w:t xml:space="preserve"> </w:t>
            </w:r>
            <w:proofErr w:type="spellStart"/>
            <w:r>
              <w:rPr>
                <w:rFonts w:eastAsia="Palatino Linotype"/>
                <w:spacing w:val="-1"/>
                <w:position w:val="1"/>
                <w:sz w:val="22"/>
                <w:szCs w:val="22"/>
                <w:lang w:val="es-ES"/>
              </w:rPr>
              <w:t>the</w:t>
            </w:r>
            <w:proofErr w:type="spellEnd"/>
            <w:r>
              <w:rPr>
                <w:rFonts w:eastAsia="Palatino Linotype"/>
                <w:spacing w:val="-1"/>
                <w:position w:val="1"/>
                <w:sz w:val="22"/>
                <w:szCs w:val="22"/>
                <w:lang w:val="es-ES"/>
              </w:rPr>
              <w:t xml:space="preserve"> </w:t>
            </w:r>
            <w:proofErr w:type="spellStart"/>
            <w:r>
              <w:rPr>
                <w:rFonts w:eastAsia="Palatino Linotype"/>
                <w:spacing w:val="-1"/>
                <w:position w:val="1"/>
                <w:sz w:val="22"/>
                <w:szCs w:val="22"/>
                <w:lang w:val="es-ES"/>
              </w:rPr>
              <w:t>supplier</w:t>
            </w:r>
            <w:proofErr w:type="spellEnd"/>
            <w:r>
              <w:rPr>
                <w:rFonts w:eastAsia="Palatino Linotype"/>
                <w:spacing w:val="-1"/>
                <w:position w:val="1"/>
                <w:sz w:val="22"/>
                <w:szCs w:val="22"/>
                <w:lang w:val="es-ES"/>
              </w:rPr>
              <w:t xml:space="preserve">, </w:t>
            </w:r>
            <w:proofErr w:type="spellStart"/>
            <w:r>
              <w:rPr>
                <w:rFonts w:eastAsia="Palatino Linotype"/>
                <w:spacing w:val="-1"/>
                <w:position w:val="1"/>
                <w:sz w:val="22"/>
                <w:szCs w:val="22"/>
                <w:lang w:val="es-ES"/>
              </w:rPr>
              <w:t>the</w:t>
            </w:r>
            <w:proofErr w:type="spellEnd"/>
            <w:r>
              <w:rPr>
                <w:rFonts w:eastAsia="Palatino Linotype"/>
                <w:spacing w:val="-1"/>
                <w:position w:val="1"/>
                <w:sz w:val="22"/>
                <w:szCs w:val="22"/>
                <w:lang w:val="es-ES"/>
              </w:rPr>
              <w:t xml:space="preserve"> </w:t>
            </w:r>
            <w:proofErr w:type="spellStart"/>
            <w:r>
              <w:rPr>
                <w:rFonts w:eastAsia="Palatino Linotype"/>
                <w:spacing w:val="-1"/>
                <w:position w:val="1"/>
                <w:sz w:val="22"/>
                <w:szCs w:val="22"/>
                <w:lang w:val="es-ES"/>
              </w:rPr>
              <w:t>supplier</w:t>
            </w:r>
            <w:proofErr w:type="spellEnd"/>
            <w:r>
              <w:rPr>
                <w:rFonts w:eastAsia="Palatino Linotype"/>
                <w:spacing w:val="-1"/>
                <w:position w:val="1"/>
                <w:sz w:val="22"/>
                <w:szCs w:val="22"/>
                <w:lang w:val="es-ES"/>
              </w:rPr>
              <w:t xml:space="preserve"> </w:t>
            </w:r>
            <w:proofErr w:type="spellStart"/>
            <w:r>
              <w:rPr>
                <w:rFonts w:eastAsia="Palatino Linotype"/>
                <w:spacing w:val="-1"/>
                <w:position w:val="1"/>
                <w:sz w:val="22"/>
                <w:szCs w:val="22"/>
                <w:lang w:val="es-ES"/>
              </w:rPr>
              <w:t>must</w:t>
            </w:r>
            <w:proofErr w:type="spellEnd"/>
            <w:r>
              <w:rPr>
                <w:rFonts w:eastAsia="Palatino Linotype"/>
                <w:spacing w:val="-1"/>
                <w:position w:val="1"/>
                <w:sz w:val="22"/>
                <w:szCs w:val="22"/>
                <w:lang w:val="es-ES"/>
              </w:rPr>
              <w:t xml:space="preserve"> </w:t>
            </w:r>
            <w:proofErr w:type="spellStart"/>
            <w:r>
              <w:rPr>
                <w:rFonts w:eastAsia="Palatino Linotype"/>
                <w:spacing w:val="-1"/>
                <w:position w:val="1"/>
                <w:sz w:val="22"/>
                <w:szCs w:val="22"/>
                <w:lang w:val="es-ES"/>
              </w:rPr>
              <w:t>assume</w:t>
            </w:r>
            <w:proofErr w:type="spellEnd"/>
            <w:r>
              <w:rPr>
                <w:rFonts w:eastAsia="Palatino Linotype"/>
                <w:spacing w:val="-1"/>
                <w:position w:val="1"/>
                <w:sz w:val="22"/>
                <w:szCs w:val="22"/>
                <w:lang w:val="es-ES"/>
              </w:rPr>
              <w:t xml:space="preserve"> </w:t>
            </w:r>
            <w:proofErr w:type="spellStart"/>
            <w:r>
              <w:rPr>
                <w:rFonts w:eastAsia="Palatino Linotype"/>
                <w:spacing w:val="-1"/>
                <w:position w:val="1"/>
                <w:sz w:val="22"/>
                <w:szCs w:val="22"/>
                <w:lang w:val="es-ES"/>
              </w:rPr>
              <w:t>the</w:t>
            </w:r>
            <w:proofErr w:type="spellEnd"/>
            <w:r>
              <w:rPr>
                <w:rFonts w:eastAsia="Palatino Linotype"/>
                <w:spacing w:val="-1"/>
                <w:position w:val="1"/>
                <w:sz w:val="22"/>
                <w:szCs w:val="22"/>
                <w:lang w:val="es-ES"/>
              </w:rPr>
              <w:t xml:space="preserve"> </w:t>
            </w:r>
            <w:proofErr w:type="spellStart"/>
            <w:r>
              <w:rPr>
                <w:rFonts w:eastAsia="Palatino Linotype"/>
                <w:spacing w:val="-1"/>
                <w:position w:val="1"/>
                <w:sz w:val="22"/>
                <w:szCs w:val="22"/>
                <w:lang w:val="es-ES"/>
              </w:rPr>
              <w:t>costs</w:t>
            </w:r>
            <w:proofErr w:type="spellEnd"/>
            <w:r>
              <w:rPr>
                <w:rFonts w:eastAsia="Palatino Linotype"/>
                <w:spacing w:val="-1"/>
                <w:position w:val="1"/>
                <w:sz w:val="22"/>
                <w:szCs w:val="22"/>
                <w:lang w:val="es-ES"/>
              </w:rPr>
              <w:t xml:space="preserve"> </w:t>
            </w:r>
            <w:proofErr w:type="spellStart"/>
            <w:r>
              <w:rPr>
                <w:rFonts w:eastAsia="Palatino Linotype"/>
                <w:spacing w:val="-1"/>
                <w:position w:val="1"/>
                <w:sz w:val="22"/>
                <w:szCs w:val="22"/>
                <w:lang w:val="es-ES"/>
              </w:rPr>
              <w:t>of</w:t>
            </w:r>
            <w:proofErr w:type="spellEnd"/>
            <w:r>
              <w:rPr>
                <w:rFonts w:eastAsia="Palatino Linotype"/>
                <w:spacing w:val="-1"/>
                <w:position w:val="1"/>
                <w:sz w:val="22"/>
                <w:szCs w:val="22"/>
                <w:lang w:val="es-ES"/>
              </w:rPr>
              <w:t xml:space="preserve"> </w:t>
            </w:r>
            <w:proofErr w:type="spellStart"/>
            <w:r>
              <w:rPr>
                <w:rFonts w:eastAsia="Palatino Linotype"/>
                <w:spacing w:val="-1"/>
                <w:position w:val="1"/>
                <w:sz w:val="22"/>
                <w:szCs w:val="22"/>
                <w:lang w:val="es-ES"/>
              </w:rPr>
              <w:t>modification</w:t>
            </w:r>
            <w:proofErr w:type="spellEnd"/>
            <w:r>
              <w:rPr>
                <w:rFonts w:eastAsia="Palatino Linotype"/>
                <w:spacing w:val="-1"/>
                <w:position w:val="1"/>
                <w:sz w:val="22"/>
                <w:szCs w:val="22"/>
                <w:lang w:val="es-ES"/>
              </w:rPr>
              <w:t xml:space="preserve"> </w:t>
            </w:r>
            <w:proofErr w:type="spellStart"/>
            <w:r>
              <w:rPr>
                <w:rFonts w:eastAsia="Palatino Linotype"/>
                <w:spacing w:val="-1"/>
                <w:position w:val="1"/>
                <w:sz w:val="22"/>
                <w:szCs w:val="22"/>
                <w:lang w:val="es-ES"/>
              </w:rPr>
              <w:t>that</w:t>
            </w:r>
            <w:proofErr w:type="spellEnd"/>
            <w:r>
              <w:rPr>
                <w:rFonts w:eastAsia="Palatino Linotype"/>
                <w:spacing w:val="-1"/>
                <w:position w:val="1"/>
                <w:sz w:val="22"/>
                <w:szCs w:val="22"/>
                <w:lang w:val="es-ES"/>
              </w:rPr>
              <w:t xml:space="preserve"> </w:t>
            </w:r>
            <w:proofErr w:type="spellStart"/>
            <w:r>
              <w:rPr>
                <w:rFonts w:eastAsia="Palatino Linotype"/>
                <w:spacing w:val="-1"/>
                <w:position w:val="1"/>
                <w:sz w:val="22"/>
                <w:szCs w:val="22"/>
                <w:lang w:val="es-ES"/>
              </w:rPr>
              <w:t>may</w:t>
            </w:r>
            <w:proofErr w:type="spellEnd"/>
            <w:r>
              <w:rPr>
                <w:rFonts w:eastAsia="Palatino Linotype"/>
                <w:spacing w:val="-1"/>
                <w:position w:val="1"/>
                <w:sz w:val="22"/>
                <w:szCs w:val="22"/>
                <w:lang w:val="es-ES"/>
              </w:rPr>
              <w:t xml:space="preserve"> be </w:t>
            </w:r>
            <w:proofErr w:type="spellStart"/>
            <w:r>
              <w:rPr>
                <w:rFonts w:eastAsia="Palatino Linotype"/>
                <w:spacing w:val="-1"/>
                <w:position w:val="1"/>
                <w:sz w:val="22"/>
                <w:szCs w:val="22"/>
                <w:lang w:val="es-ES"/>
              </w:rPr>
              <w:t>required</w:t>
            </w:r>
            <w:proofErr w:type="spellEnd"/>
            <w:r>
              <w:rPr>
                <w:rFonts w:eastAsia="Palatino Linotype"/>
                <w:spacing w:val="-1"/>
                <w:position w:val="1"/>
                <w:sz w:val="22"/>
                <w:szCs w:val="22"/>
                <w:lang w:val="es-ES"/>
              </w:rPr>
              <w:t xml:space="preserve"> in </w:t>
            </w:r>
            <w:proofErr w:type="spellStart"/>
            <w:r>
              <w:rPr>
                <w:rFonts w:eastAsia="Palatino Linotype"/>
                <w:spacing w:val="-1"/>
                <w:position w:val="1"/>
                <w:sz w:val="22"/>
                <w:szCs w:val="22"/>
                <w:lang w:val="es-ES"/>
              </w:rPr>
              <w:t>the</w:t>
            </w:r>
            <w:proofErr w:type="spellEnd"/>
            <w:r>
              <w:rPr>
                <w:rFonts w:eastAsia="Palatino Linotype"/>
                <w:spacing w:val="-1"/>
                <w:position w:val="1"/>
                <w:sz w:val="22"/>
                <w:szCs w:val="22"/>
                <w:lang w:val="es-ES"/>
              </w:rPr>
              <w:t xml:space="preserve"> </w:t>
            </w:r>
            <w:proofErr w:type="spellStart"/>
            <w:r>
              <w:rPr>
                <w:rFonts w:eastAsia="Palatino Linotype"/>
                <w:spacing w:val="-1"/>
                <w:position w:val="1"/>
                <w:sz w:val="22"/>
                <w:szCs w:val="22"/>
                <w:lang w:val="es-ES"/>
              </w:rPr>
              <w:t>letter</w:t>
            </w:r>
            <w:proofErr w:type="spellEnd"/>
            <w:r>
              <w:rPr>
                <w:rFonts w:eastAsia="Palatino Linotype"/>
                <w:spacing w:val="-1"/>
                <w:position w:val="1"/>
                <w:sz w:val="22"/>
                <w:szCs w:val="22"/>
                <w:lang w:val="es-ES"/>
              </w:rPr>
              <w:t xml:space="preserve"> </w:t>
            </w:r>
            <w:proofErr w:type="spellStart"/>
            <w:r>
              <w:rPr>
                <w:rFonts w:eastAsia="Palatino Linotype"/>
                <w:spacing w:val="-1"/>
                <w:position w:val="1"/>
                <w:sz w:val="22"/>
                <w:szCs w:val="22"/>
                <w:lang w:val="es-ES"/>
              </w:rPr>
              <w:t>of</w:t>
            </w:r>
            <w:proofErr w:type="spellEnd"/>
            <w:r>
              <w:rPr>
                <w:rFonts w:eastAsia="Palatino Linotype"/>
                <w:spacing w:val="-1"/>
                <w:position w:val="1"/>
                <w:sz w:val="22"/>
                <w:szCs w:val="22"/>
                <w:lang w:val="es-ES"/>
              </w:rPr>
              <w:t xml:space="preserve"> </w:t>
            </w:r>
            <w:proofErr w:type="spellStart"/>
            <w:r>
              <w:rPr>
                <w:rFonts w:eastAsia="Palatino Linotype"/>
                <w:spacing w:val="-1"/>
                <w:position w:val="1"/>
                <w:sz w:val="22"/>
                <w:szCs w:val="22"/>
                <w:lang w:val="es-ES"/>
              </w:rPr>
              <w:t>credit</w:t>
            </w:r>
            <w:proofErr w:type="spellEnd"/>
            <w:r>
              <w:rPr>
                <w:rFonts w:eastAsia="Palatino Linotype"/>
                <w:spacing w:val="-1"/>
                <w:position w:val="1"/>
                <w:sz w:val="22"/>
                <w:szCs w:val="22"/>
                <w:lang w:val="es-ES"/>
              </w:rPr>
              <w:t>.</w:t>
            </w:r>
          </w:p>
          <w:p w14:paraId="58614E18" w14:textId="77777777" w:rsidR="00E255F4" w:rsidRDefault="00E255F4">
            <w:pPr>
              <w:tabs>
                <w:tab w:val="left" w:pos="0"/>
              </w:tabs>
              <w:jc w:val="both"/>
              <w:rPr>
                <w:rFonts w:eastAsia="Palatino Linotype"/>
                <w:spacing w:val="-1"/>
                <w:position w:val="1"/>
                <w:sz w:val="22"/>
                <w:szCs w:val="22"/>
                <w:lang w:val="es-ES"/>
              </w:rPr>
            </w:pPr>
          </w:p>
          <w:p w14:paraId="27FDD00D" w14:textId="77777777" w:rsidR="00E255F4" w:rsidRDefault="00E255F4">
            <w:pPr>
              <w:tabs>
                <w:tab w:val="left" w:pos="0"/>
              </w:tabs>
              <w:jc w:val="both"/>
              <w:rPr>
                <w:rFonts w:eastAsia="Palatino Linotype"/>
                <w:spacing w:val="-1"/>
                <w:position w:val="1"/>
                <w:sz w:val="22"/>
                <w:szCs w:val="22"/>
                <w:lang w:val="es-ES"/>
              </w:rPr>
            </w:pPr>
          </w:p>
          <w:p w14:paraId="4F235AB0" w14:textId="77777777" w:rsidR="00E255F4" w:rsidRDefault="00E255F4">
            <w:pPr>
              <w:tabs>
                <w:tab w:val="left" w:pos="0"/>
              </w:tabs>
              <w:jc w:val="both"/>
              <w:rPr>
                <w:rFonts w:eastAsia="Palatino Linotype"/>
                <w:spacing w:val="-1"/>
                <w:position w:val="1"/>
                <w:sz w:val="22"/>
                <w:szCs w:val="22"/>
                <w:lang w:val="es-ES"/>
              </w:rPr>
            </w:pPr>
          </w:p>
          <w:p w14:paraId="1A5AF538" w14:textId="77777777" w:rsidR="00E255F4" w:rsidRDefault="00000000">
            <w:pPr>
              <w:tabs>
                <w:tab w:val="left" w:pos="0"/>
              </w:tabs>
              <w:jc w:val="both"/>
            </w:pPr>
            <w:proofErr w:type="spellStart"/>
            <w:r>
              <w:rPr>
                <w:b/>
                <w:sz w:val="22"/>
                <w:szCs w:val="22"/>
                <w:lang w:val="es-CO"/>
              </w:rPr>
              <w:t>Penalties</w:t>
            </w:r>
            <w:proofErr w:type="spellEnd"/>
            <w:r>
              <w:rPr>
                <w:b/>
                <w:sz w:val="22"/>
                <w:szCs w:val="22"/>
                <w:lang w:val="es-CO"/>
              </w:rPr>
              <w:t xml:space="preserve"> </w:t>
            </w:r>
            <w:proofErr w:type="spellStart"/>
            <w:r>
              <w:rPr>
                <w:b/>
                <w:sz w:val="22"/>
                <w:szCs w:val="22"/>
                <w:lang w:val="es-CO"/>
              </w:rPr>
              <w:t>for</w:t>
            </w:r>
            <w:proofErr w:type="spellEnd"/>
            <w:r>
              <w:rPr>
                <w:b/>
                <w:sz w:val="22"/>
                <w:szCs w:val="22"/>
                <w:lang w:val="es-CO"/>
              </w:rPr>
              <w:t xml:space="preserve"> non-</w:t>
            </w:r>
            <w:proofErr w:type="spellStart"/>
            <w:r>
              <w:rPr>
                <w:b/>
                <w:sz w:val="22"/>
                <w:szCs w:val="22"/>
                <w:lang w:val="es-CO"/>
              </w:rPr>
              <w:t>compliance</w:t>
            </w:r>
            <w:proofErr w:type="spellEnd"/>
            <w:r>
              <w:rPr>
                <w:b/>
                <w:sz w:val="22"/>
                <w:szCs w:val="22"/>
                <w:lang w:val="es-CO"/>
              </w:rPr>
              <w:t xml:space="preserve"> in </w:t>
            </w:r>
            <w:proofErr w:type="spellStart"/>
            <w:r>
              <w:rPr>
                <w:b/>
                <w:sz w:val="22"/>
                <w:szCs w:val="22"/>
                <w:lang w:val="es-CO"/>
              </w:rPr>
              <w:t>responding</w:t>
            </w:r>
            <w:proofErr w:type="spellEnd"/>
            <w:r>
              <w:rPr>
                <w:b/>
                <w:sz w:val="22"/>
                <w:szCs w:val="22"/>
                <w:lang w:val="es-CO"/>
              </w:rPr>
              <w:t xml:space="preserve"> </w:t>
            </w:r>
            <w:proofErr w:type="spellStart"/>
            <w:r>
              <w:rPr>
                <w:b/>
                <w:sz w:val="22"/>
                <w:szCs w:val="22"/>
                <w:lang w:val="es-CO"/>
              </w:rPr>
              <w:t>to</w:t>
            </w:r>
            <w:proofErr w:type="spellEnd"/>
            <w:r>
              <w:rPr>
                <w:b/>
                <w:sz w:val="22"/>
                <w:szCs w:val="22"/>
                <w:lang w:val="es-CO"/>
              </w:rPr>
              <w:t xml:space="preserve"> </w:t>
            </w:r>
            <w:proofErr w:type="spellStart"/>
            <w:r>
              <w:rPr>
                <w:b/>
                <w:sz w:val="22"/>
                <w:szCs w:val="22"/>
                <w:lang w:val="es-CO"/>
              </w:rPr>
              <w:t>support</w:t>
            </w:r>
            <w:proofErr w:type="spellEnd"/>
            <w:r>
              <w:rPr>
                <w:b/>
                <w:sz w:val="22"/>
                <w:szCs w:val="22"/>
                <w:lang w:val="es-CO"/>
              </w:rPr>
              <w:t xml:space="preserve"> and </w:t>
            </w:r>
            <w:proofErr w:type="spellStart"/>
            <w:r>
              <w:rPr>
                <w:b/>
                <w:sz w:val="22"/>
                <w:szCs w:val="22"/>
                <w:lang w:val="es-CO"/>
              </w:rPr>
              <w:t>maintenance</w:t>
            </w:r>
            <w:proofErr w:type="spellEnd"/>
          </w:p>
          <w:p w14:paraId="2E7E32AC" w14:textId="77777777" w:rsidR="00E255F4" w:rsidRDefault="00E255F4">
            <w:pPr>
              <w:tabs>
                <w:tab w:val="left" w:pos="0"/>
              </w:tabs>
              <w:jc w:val="both"/>
              <w:rPr>
                <w:b/>
                <w:sz w:val="22"/>
                <w:szCs w:val="22"/>
                <w:lang w:val="es-CO"/>
              </w:rPr>
            </w:pPr>
          </w:p>
          <w:p w14:paraId="3A6AB558" w14:textId="77777777" w:rsidR="00E255F4" w:rsidRDefault="00000000">
            <w:pPr>
              <w:tabs>
                <w:tab w:val="left" w:pos="0"/>
              </w:tabs>
              <w:jc w:val="both"/>
            </w:pPr>
            <w:proofErr w:type="spellStart"/>
            <w:r>
              <w:rPr>
                <w:sz w:val="22"/>
                <w:szCs w:val="22"/>
                <w:lang w:val="es-CO"/>
              </w:rPr>
              <w:t>If</w:t>
            </w:r>
            <w:proofErr w:type="spellEnd"/>
            <w:r>
              <w:rPr>
                <w:sz w:val="22"/>
                <w:szCs w:val="22"/>
                <w:lang w:val="es-CO"/>
              </w:rPr>
              <w:t xml:space="preserve"> </w:t>
            </w:r>
            <w:proofErr w:type="spellStart"/>
            <w:r>
              <w:rPr>
                <w:sz w:val="22"/>
                <w:szCs w:val="22"/>
                <w:lang w:val="es-CO"/>
              </w:rPr>
              <w:t>the</w:t>
            </w:r>
            <w:proofErr w:type="spellEnd"/>
            <w:r>
              <w:rPr>
                <w:sz w:val="22"/>
                <w:szCs w:val="22"/>
                <w:lang w:val="es-CO"/>
              </w:rPr>
              <w:t xml:space="preserve"> </w:t>
            </w:r>
            <w:proofErr w:type="spellStart"/>
            <w:r>
              <w:rPr>
                <w:sz w:val="22"/>
                <w:szCs w:val="22"/>
                <w:lang w:val="es-CO"/>
              </w:rPr>
              <w:t>maintenance</w:t>
            </w:r>
            <w:proofErr w:type="spellEnd"/>
            <w:r>
              <w:rPr>
                <w:sz w:val="22"/>
                <w:szCs w:val="22"/>
                <w:lang w:val="es-CO"/>
              </w:rPr>
              <w:t xml:space="preserve"> </w:t>
            </w:r>
            <w:proofErr w:type="spellStart"/>
            <w:r>
              <w:rPr>
                <w:sz w:val="22"/>
                <w:szCs w:val="22"/>
                <w:lang w:val="es-CO"/>
              </w:rPr>
              <w:t>service</w:t>
            </w:r>
            <w:proofErr w:type="spellEnd"/>
            <w:r>
              <w:rPr>
                <w:sz w:val="22"/>
                <w:szCs w:val="22"/>
                <w:lang w:val="es-CO"/>
              </w:rPr>
              <w:t xml:space="preserve"> </w:t>
            </w:r>
            <w:proofErr w:type="spellStart"/>
            <w:r>
              <w:rPr>
                <w:sz w:val="22"/>
                <w:szCs w:val="22"/>
                <w:lang w:val="es-CO"/>
              </w:rPr>
              <w:t>is</w:t>
            </w:r>
            <w:proofErr w:type="spellEnd"/>
            <w:r>
              <w:rPr>
                <w:sz w:val="22"/>
                <w:szCs w:val="22"/>
                <w:lang w:val="es-CO"/>
              </w:rPr>
              <w:t xml:space="preserve"> </w:t>
            </w:r>
            <w:proofErr w:type="spellStart"/>
            <w:r>
              <w:rPr>
                <w:sz w:val="22"/>
                <w:szCs w:val="22"/>
                <w:lang w:val="es-CO"/>
              </w:rPr>
              <w:t>not</w:t>
            </w:r>
            <w:proofErr w:type="spellEnd"/>
            <w:r>
              <w:rPr>
                <w:sz w:val="22"/>
                <w:szCs w:val="22"/>
                <w:lang w:val="es-CO"/>
              </w:rPr>
              <w:t xml:space="preserve"> </w:t>
            </w:r>
            <w:proofErr w:type="spellStart"/>
            <w:r>
              <w:rPr>
                <w:sz w:val="22"/>
                <w:szCs w:val="22"/>
                <w:lang w:val="es-CO"/>
              </w:rPr>
              <w:t>fulfilled</w:t>
            </w:r>
            <w:proofErr w:type="spellEnd"/>
            <w:r>
              <w:rPr>
                <w:sz w:val="22"/>
                <w:szCs w:val="22"/>
                <w:lang w:val="es-CO"/>
              </w:rPr>
              <w:t xml:space="preserve"> in </w:t>
            </w:r>
            <w:proofErr w:type="spellStart"/>
            <w:r>
              <w:rPr>
                <w:sz w:val="22"/>
                <w:szCs w:val="22"/>
                <w:lang w:val="es-CO"/>
              </w:rPr>
              <w:t>the</w:t>
            </w:r>
            <w:proofErr w:type="spellEnd"/>
            <w:r>
              <w:rPr>
                <w:sz w:val="22"/>
                <w:szCs w:val="22"/>
                <w:lang w:val="es-CO"/>
              </w:rPr>
              <w:t xml:space="preserve"> </w:t>
            </w:r>
            <w:proofErr w:type="spellStart"/>
            <w:r>
              <w:rPr>
                <w:sz w:val="22"/>
                <w:szCs w:val="22"/>
                <w:lang w:val="es-CO"/>
              </w:rPr>
              <w:t>terms</w:t>
            </w:r>
            <w:proofErr w:type="spellEnd"/>
            <w:r>
              <w:rPr>
                <w:sz w:val="22"/>
                <w:szCs w:val="22"/>
                <w:lang w:val="es-CO"/>
              </w:rPr>
              <w:t xml:space="preserve"> </w:t>
            </w:r>
            <w:proofErr w:type="spellStart"/>
            <w:r>
              <w:rPr>
                <w:sz w:val="22"/>
                <w:szCs w:val="22"/>
                <w:lang w:val="es-CO"/>
              </w:rPr>
              <w:t>provided</w:t>
            </w:r>
            <w:proofErr w:type="spellEnd"/>
            <w:r>
              <w:rPr>
                <w:sz w:val="22"/>
                <w:szCs w:val="22"/>
                <w:lang w:val="es-CO"/>
              </w:rPr>
              <w:t xml:space="preserve"> (2.2.14 </w:t>
            </w:r>
            <w:proofErr w:type="spellStart"/>
            <w:r>
              <w:rPr>
                <w:sz w:val="22"/>
                <w:szCs w:val="22"/>
                <w:lang w:val="es-CO"/>
              </w:rPr>
              <w:t>to</w:t>
            </w:r>
            <w:proofErr w:type="spellEnd"/>
            <w:r>
              <w:rPr>
                <w:sz w:val="22"/>
                <w:szCs w:val="22"/>
                <w:lang w:val="es-CO"/>
              </w:rPr>
              <w:t xml:space="preserve"> 2.2.18) </w:t>
            </w:r>
            <w:proofErr w:type="spellStart"/>
            <w:r>
              <w:rPr>
                <w:sz w:val="22"/>
                <w:szCs w:val="22"/>
                <w:lang w:val="es-CO"/>
              </w:rPr>
              <w:t>the</w:t>
            </w:r>
            <w:proofErr w:type="spellEnd"/>
            <w:r>
              <w:rPr>
                <w:sz w:val="22"/>
                <w:szCs w:val="22"/>
                <w:lang w:val="es-CO"/>
              </w:rPr>
              <w:t xml:space="preserve"> </w:t>
            </w:r>
            <w:proofErr w:type="spellStart"/>
            <w:r>
              <w:rPr>
                <w:sz w:val="22"/>
                <w:szCs w:val="22"/>
                <w:lang w:val="es-CO"/>
              </w:rPr>
              <w:t>monthly</w:t>
            </w:r>
            <w:proofErr w:type="spellEnd"/>
            <w:r>
              <w:rPr>
                <w:sz w:val="22"/>
                <w:szCs w:val="22"/>
                <w:lang w:val="es-CO"/>
              </w:rPr>
              <w:t xml:space="preserve"> </w:t>
            </w:r>
            <w:proofErr w:type="spellStart"/>
            <w:r>
              <w:rPr>
                <w:sz w:val="22"/>
                <w:szCs w:val="22"/>
                <w:lang w:val="es-CO"/>
              </w:rPr>
              <w:t>payment</w:t>
            </w:r>
            <w:proofErr w:type="spellEnd"/>
            <w:r>
              <w:rPr>
                <w:sz w:val="22"/>
                <w:szCs w:val="22"/>
                <w:lang w:val="es-CO"/>
              </w:rPr>
              <w:t xml:space="preserve"> </w:t>
            </w:r>
            <w:proofErr w:type="spellStart"/>
            <w:r>
              <w:rPr>
                <w:sz w:val="22"/>
                <w:szCs w:val="22"/>
                <w:lang w:val="es-CO"/>
              </w:rPr>
              <w:t>for</w:t>
            </w:r>
            <w:proofErr w:type="spellEnd"/>
            <w:r>
              <w:rPr>
                <w:sz w:val="22"/>
                <w:szCs w:val="22"/>
                <w:lang w:val="es-CO"/>
              </w:rPr>
              <w:t xml:space="preserve"> </w:t>
            </w:r>
            <w:proofErr w:type="spellStart"/>
            <w:r>
              <w:rPr>
                <w:sz w:val="22"/>
                <w:szCs w:val="22"/>
                <w:lang w:val="es-CO"/>
              </w:rPr>
              <w:t>the</w:t>
            </w:r>
            <w:proofErr w:type="spellEnd"/>
            <w:r>
              <w:rPr>
                <w:sz w:val="22"/>
                <w:szCs w:val="22"/>
                <w:lang w:val="es-CO"/>
              </w:rPr>
              <w:t xml:space="preserve"> </w:t>
            </w:r>
            <w:proofErr w:type="spellStart"/>
            <w:r>
              <w:rPr>
                <w:sz w:val="22"/>
                <w:szCs w:val="22"/>
                <w:lang w:val="es-CO"/>
              </w:rPr>
              <w:t>same</w:t>
            </w:r>
            <w:proofErr w:type="spellEnd"/>
            <w:r>
              <w:rPr>
                <w:sz w:val="22"/>
                <w:szCs w:val="22"/>
                <w:lang w:val="es-CO"/>
              </w:rPr>
              <w:t xml:space="preserve"> </w:t>
            </w:r>
            <w:proofErr w:type="spellStart"/>
            <w:r>
              <w:rPr>
                <w:sz w:val="22"/>
                <w:szCs w:val="22"/>
                <w:lang w:val="es-CO"/>
              </w:rPr>
              <w:t>may</w:t>
            </w:r>
            <w:proofErr w:type="spellEnd"/>
            <w:r>
              <w:rPr>
                <w:sz w:val="22"/>
                <w:szCs w:val="22"/>
                <w:lang w:val="es-CO"/>
              </w:rPr>
              <w:t xml:space="preserve"> be </w:t>
            </w:r>
            <w:proofErr w:type="spellStart"/>
            <w:r>
              <w:rPr>
                <w:sz w:val="22"/>
                <w:szCs w:val="22"/>
                <w:lang w:val="es-CO"/>
              </w:rPr>
              <w:t>withheld</w:t>
            </w:r>
            <w:proofErr w:type="spellEnd"/>
            <w:r>
              <w:rPr>
                <w:sz w:val="22"/>
                <w:szCs w:val="22"/>
                <w:lang w:val="es-CO"/>
              </w:rPr>
              <w:t xml:space="preserve"> </w:t>
            </w:r>
            <w:proofErr w:type="spellStart"/>
            <w:r>
              <w:rPr>
                <w:sz w:val="22"/>
                <w:szCs w:val="22"/>
                <w:lang w:val="es-CO"/>
              </w:rPr>
              <w:t>until</w:t>
            </w:r>
            <w:proofErr w:type="spellEnd"/>
            <w:r>
              <w:rPr>
                <w:sz w:val="22"/>
                <w:szCs w:val="22"/>
                <w:lang w:val="es-CO"/>
              </w:rPr>
              <w:t xml:space="preserve"> </w:t>
            </w:r>
            <w:proofErr w:type="spellStart"/>
            <w:r>
              <w:rPr>
                <w:sz w:val="22"/>
                <w:szCs w:val="22"/>
                <w:lang w:val="es-CO"/>
              </w:rPr>
              <w:t>the</w:t>
            </w:r>
            <w:proofErr w:type="spellEnd"/>
            <w:r>
              <w:rPr>
                <w:sz w:val="22"/>
                <w:szCs w:val="22"/>
                <w:lang w:val="es-CO"/>
              </w:rPr>
              <w:t xml:space="preserve"> </w:t>
            </w:r>
            <w:proofErr w:type="spellStart"/>
            <w:r>
              <w:rPr>
                <w:sz w:val="22"/>
                <w:szCs w:val="22"/>
                <w:lang w:val="es-CO"/>
              </w:rPr>
              <w:t>situation</w:t>
            </w:r>
            <w:proofErr w:type="spellEnd"/>
            <w:r>
              <w:rPr>
                <w:sz w:val="22"/>
                <w:szCs w:val="22"/>
                <w:lang w:val="es-CO"/>
              </w:rPr>
              <w:t xml:space="preserve"> </w:t>
            </w:r>
            <w:proofErr w:type="spellStart"/>
            <w:r>
              <w:rPr>
                <w:sz w:val="22"/>
                <w:szCs w:val="22"/>
                <w:lang w:val="es-CO"/>
              </w:rPr>
              <w:t>is</w:t>
            </w:r>
            <w:proofErr w:type="spellEnd"/>
            <w:r>
              <w:rPr>
                <w:sz w:val="22"/>
                <w:szCs w:val="22"/>
                <w:lang w:val="es-CO"/>
              </w:rPr>
              <w:t xml:space="preserve"> </w:t>
            </w:r>
            <w:proofErr w:type="spellStart"/>
            <w:r>
              <w:rPr>
                <w:sz w:val="22"/>
                <w:szCs w:val="22"/>
                <w:lang w:val="es-CO"/>
              </w:rPr>
              <w:t>regularized</w:t>
            </w:r>
            <w:proofErr w:type="spellEnd"/>
            <w:r>
              <w:rPr>
                <w:sz w:val="22"/>
                <w:szCs w:val="22"/>
                <w:lang w:val="es-CO"/>
              </w:rPr>
              <w:t>.</w:t>
            </w:r>
          </w:p>
          <w:p w14:paraId="2ABBC809" w14:textId="77777777" w:rsidR="00E255F4" w:rsidRDefault="00E255F4">
            <w:pPr>
              <w:tabs>
                <w:tab w:val="left" w:pos="0"/>
              </w:tabs>
              <w:jc w:val="both"/>
              <w:rPr>
                <w:sz w:val="22"/>
                <w:szCs w:val="22"/>
                <w:lang w:val="es-CO"/>
              </w:rPr>
            </w:pPr>
          </w:p>
          <w:p w14:paraId="00F5DDA9" w14:textId="77777777" w:rsidR="00E255F4" w:rsidRDefault="00000000">
            <w:pPr>
              <w:tabs>
                <w:tab w:val="left" w:pos="0"/>
              </w:tabs>
              <w:jc w:val="both"/>
              <w:rPr>
                <w:b/>
                <w:sz w:val="22"/>
                <w:szCs w:val="22"/>
                <w:u w:val="single"/>
                <w:lang w:val="es-CO"/>
              </w:rPr>
            </w:pPr>
            <w:r>
              <w:rPr>
                <w:b/>
                <w:sz w:val="22"/>
                <w:szCs w:val="22"/>
                <w:u w:val="single"/>
                <w:lang w:val="es-CO"/>
              </w:rPr>
              <w:lastRenderedPageBreak/>
              <w:t xml:space="preserve">For </w:t>
            </w:r>
            <w:proofErr w:type="spellStart"/>
            <w:r>
              <w:rPr>
                <w:b/>
                <w:sz w:val="22"/>
                <w:szCs w:val="22"/>
                <w:u w:val="single"/>
                <w:lang w:val="es-CO"/>
              </w:rPr>
              <w:t>all</w:t>
            </w:r>
            <w:proofErr w:type="spellEnd"/>
            <w:r>
              <w:rPr>
                <w:b/>
                <w:sz w:val="22"/>
                <w:szCs w:val="22"/>
                <w:u w:val="single"/>
                <w:lang w:val="es-CO"/>
              </w:rPr>
              <w:t xml:space="preserve"> cases:</w:t>
            </w:r>
          </w:p>
          <w:p w14:paraId="73454E72" w14:textId="77777777" w:rsidR="00E255F4" w:rsidRDefault="00E255F4">
            <w:pPr>
              <w:tabs>
                <w:tab w:val="left" w:pos="0"/>
              </w:tabs>
              <w:jc w:val="both"/>
              <w:rPr>
                <w:b/>
                <w:sz w:val="22"/>
                <w:szCs w:val="22"/>
                <w:u w:val="single"/>
                <w:lang w:val="es-CO"/>
              </w:rPr>
            </w:pPr>
          </w:p>
          <w:p w14:paraId="44DF5224" w14:textId="77777777" w:rsidR="00E255F4" w:rsidRDefault="00000000">
            <w:pPr>
              <w:jc w:val="both"/>
              <w:rPr>
                <w:rFonts w:eastAsia="Palatino Linotype"/>
                <w:b/>
                <w:spacing w:val="-1"/>
                <w:position w:val="1"/>
                <w:sz w:val="22"/>
                <w:szCs w:val="22"/>
              </w:rPr>
            </w:pPr>
            <w:r>
              <w:rPr>
                <w:rFonts w:eastAsia="Palatino Linotype"/>
                <w:b/>
                <w:spacing w:val="-1"/>
                <w:position w:val="1"/>
                <w:sz w:val="22"/>
                <w:szCs w:val="22"/>
              </w:rPr>
              <w:t xml:space="preserve">The </w:t>
            </w:r>
            <w:proofErr w:type="spellStart"/>
            <w:r>
              <w:rPr>
                <w:rFonts w:eastAsia="Palatino Linotype"/>
                <w:b/>
                <w:spacing w:val="-1"/>
                <w:position w:val="1"/>
                <w:sz w:val="22"/>
                <w:szCs w:val="22"/>
              </w:rPr>
              <w:t>decision</w:t>
            </w:r>
            <w:proofErr w:type="spellEnd"/>
            <w:r>
              <w:rPr>
                <w:rFonts w:eastAsia="Palatino Linotype"/>
                <w:b/>
                <w:spacing w:val="-1"/>
                <w:position w:val="1"/>
                <w:sz w:val="22"/>
                <w:szCs w:val="22"/>
              </w:rPr>
              <w:t xml:space="preserve"> </w:t>
            </w:r>
            <w:proofErr w:type="spellStart"/>
            <w:r>
              <w:rPr>
                <w:rFonts w:eastAsia="Palatino Linotype"/>
                <w:b/>
                <w:spacing w:val="-1"/>
                <w:position w:val="1"/>
                <w:sz w:val="22"/>
                <w:szCs w:val="22"/>
              </w:rPr>
              <w:t>to</w:t>
            </w:r>
            <w:proofErr w:type="spellEnd"/>
            <w:r>
              <w:rPr>
                <w:rFonts w:eastAsia="Palatino Linotype"/>
                <w:b/>
                <w:spacing w:val="-1"/>
                <w:position w:val="1"/>
                <w:sz w:val="22"/>
                <w:szCs w:val="22"/>
              </w:rPr>
              <w:t xml:space="preserve"> </w:t>
            </w:r>
            <w:proofErr w:type="spellStart"/>
            <w:r>
              <w:rPr>
                <w:rFonts w:eastAsia="Palatino Linotype"/>
                <w:b/>
                <w:spacing w:val="-1"/>
                <w:position w:val="1"/>
                <w:sz w:val="22"/>
                <w:szCs w:val="22"/>
              </w:rPr>
              <w:t>replace</w:t>
            </w:r>
            <w:proofErr w:type="spellEnd"/>
            <w:r>
              <w:rPr>
                <w:rFonts w:eastAsia="Palatino Linotype"/>
                <w:b/>
                <w:spacing w:val="-1"/>
                <w:position w:val="1"/>
                <w:sz w:val="22"/>
                <w:szCs w:val="22"/>
              </w:rPr>
              <w:t xml:space="preserve"> </w:t>
            </w:r>
            <w:proofErr w:type="spellStart"/>
            <w:r>
              <w:rPr>
                <w:rFonts w:eastAsia="Palatino Linotype"/>
                <w:b/>
                <w:spacing w:val="-1"/>
                <w:position w:val="1"/>
                <w:sz w:val="22"/>
                <w:szCs w:val="22"/>
              </w:rPr>
              <w:t>materials</w:t>
            </w:r>
            <w:proofErr w:type="spellEnd"/>
            <w:r>
              <w:rPr>
                <w:rFonts w:eastAsia="Palatino Linotype"/>
                <w:b/>
                <w:spacing w:val="-1"/>
                <w:position w:val="1"/>
                <w:sz w:val="22"/>
                <w:szCs w:val="22"/>
              </w:rPr>
              <w:t xml:space="preserve"> </w:t>
            </w:r>
            <w:proofErr w:type="spellStart"/>
            <w:r>
              <w:rPr>
                <w:rFonts w:eastAsia="Palatino Linotype"/>
                <w:b/>
                <w:spacing w:val="-1"/>
                <w:position w:val="1"/>
                <w:sz w:val="22"/>
                <w:szCs w:val="22"/>
              </w:rPr>
              <w:t>that</w:t>
            </w:r>
            <w:proofErr w:type="spellEnd"/>
            <w:r>
              <w:rPr>
                <w:rFonts w:eastAsia="Palatino Linotype"/>
                <w:b/>
                <w:spacing w:val="-1"/>
                <w:position w:val="1"/>
                <w:sz w:val="22"/>
                <w:szCs w:val="22"/>
              </w:rPr>
              <w:t xml:space="preserve"> do </w:t>
            </w:r>
            <w:proofErr w:type="spellStart"/>
            <w:r>
              <w:rPr>
                <w:rFonts w:eastAsia="Palatino Linotype"/>
                <w:b/>
                <w:spacing w:val="-1"/>
                <w:position w:val="1"/>
                <w:sz w:val="22"/>
                <w:szCs w:val="22"/>
              </w:rPr>
              <w:t>not</w:t>
            </w:r>
            <w:proofErr w:type="spellEnd"/>
            <w:r>
              <w:rPr>
                <w:rFonts w:eastAsia="Palatino Linotype"/>
                <w:b/>
                <w:spacing w:val="-1"/>
                <w:position w:val="1"/>
                <w:sz w:val="22"/>
                <w:szCs w:val="22"/>
              </w:rPr>
              <w:t xml:space="preserve"> </w:t>
            </w:r>
            <w:proofErr w:type="spellStart"/>
            <w:r>
              <w:rPr>
                <w:rFonts w:eastAsia="Palatino Linotype"/>
                <w:b/>
                <w:spacing w:val="-1"/>
                <w:position w:val="1"/>
                <w:sz w:val="22"/>
                <w:szCs w:val="22"/>
              </w:rPr>
              <w:t>meet</w:t>
            </w:r>
            <w:proofErr w:type="spellEnd"/>
            <w:r>
              <w:rPr>
                <w:rFonts w:eastAsia="Palatino Linotype"/>
                <w:b/>
                <w:spacing w:val="-1"/>
                <w:position w:val="1"/>
                <w:sz w:val="22"/>
                <w:szCs w:val="22"/>
              </w:rPr>
              <w:t xml:space="preserve"> </w:t>
            </w:r>
            <w:proofErr w:type="spellStart"/>
            <w:r>
              <w:rPr>
                <w:rFonts w:eastAsia="Palatino Linotype"/>
                <w:b/>
                <w:spacing w:val="-1"/>
                <w:position w:val="1"/>
                <w:sz w:val="22"/>
                <w:szCs w:val="22"/>
              </w:rPr>
              <w:t>the</w:t>
            </w:r>
            <w:proofErr w:type="spellEnd"/>
            <w:r>
              <w:rPr>
                <w:rFonts w:eastAsia="Palatino Linotype"/>
                <w:b/>
                <w:spacing w:val="-1"/>
                <w:position w:val="1"/>
                <w:sz w:val="22"/>
                <w:szCs w:val="22"/>
              </w:rPr>
              <w:t xml:space="preserve"> </w:t>
            </w:r>
            <w:proofErr w:type="spellStart"/>
            <w:r>
              <w:rPr>
                <w:rFonts w:eastAsia="Palatino Linotype"/>
                <w:b/>
                <w:spacing w:val="-1"/>
                <w:position w:val="1"/>
                <w:sz w:val="22"/>
                <w:szCs w:val="22"/>
              </w:rPr>
              <w:t>Technical</w:t>
            </w:r>
            <w:proofErr w:type="spellEnd"/>
            <w:r>
              <w:rPr>
                <w:rFonts w:eastAsia="Palatino Linotype"/>
                <w:b/>
                <w:spacing w:val="-1"/>
                <w:position w:val="1"/>
                <w:sz w:val="22"/>
                <w:szCs w:val="22"/>
              </w:rPr>
              <w:t xml:space="preserve"> </w:t>
            </w:r>
            <w:proofErr w:type="spellStart"/>
            <w:r>
              <w:rPr>
                <w:rFonts w:eastAsia="Palatino Linotype"/>
                <w:b/>
                <w:spacing w:val="-1"/>
                <w:position w:val="1"/>
                <w:sz w:val="22"/>
                <w:szCs w:val="22"/>
              </w:rPr>
              <w:t>Specifications</w:t>
            </w:r>
            <w:proofErr w:type="spellEnd"/>
            <w:r>
              <w:rPr>
                <w:rFonts w:eastAsia="Palatino Linotype"/>
                <w:b/>
                <w:spacing w:val="-1"/>
                <w:position w:val="1"/>
                <w:sz w:val="22"/>
                <w:szCs w:val="22"/>
              </w:rPr>
              <w:t xml:space="preserve">, are </w:t>
            </w:r>
            <w:proofErr w:type="spellStart"/>
            <w:r>
              <w:rPr>
                <w:rFonts w:eastAsia="Palatino Linotype"/>
                <w:b/>
                <w:spacing w:val="-1"/>
                <w:position w:val="1"/>
                <w:sz w:val="22"/>
                <w:szCs w:val="22"/>
              </w:rPr>
              <w:t>missing</w:t>
            </w:r>
            <w:proofErr w:type="spellEnd"/>
            <w:r>
              <w:rPr>
                <w:rFonts w:eastAsia="Palatino Linotype"/>
                <w:b/>
                <w:spacing w:val="-1"/>
                <w:position w:val="1"/>
                <w:sz w:val="22"/>
                <w:szCs w:val="22"/>
              </w:rPr>
              <w:t xml:space="preserve"> and/</w:t>
            </w:r>
            <w:proofErr w:type="spellStart"/>
            <w:r>
              <w:rPr>
                <w:rFonts w:eastAsia="Palatino Linotype"/>
                <w:b/>
                <w:spacing w:val="-1"/>
                <w:position w:val="1"/>
                <w:sz w:val="22"/>
                <w:szCs w:val="22"/>
              </w:rPr>
              <w:t>or</w:t>
            </w:r>
            <w:proofErr w:type="spellEnd"/>
            <w:r>
              <w:rPr>
                <w:rFonts w:eastAsia="Palatino Linotype"/>
                <w:b/>
                <w:spacing w:val="-1"/>
                <w:position w:val="1"/>
                <w:sz w:val="22"/>
                <w:szCs w:val="22"/>
              </w:rPr>
              <w:t xml:space="preserve"> </w:t>
            </w:r>
            <w:proofErr w:type="spellStart"/>
            <w:r>
              <w:rPr>
                <w:rFonts w:eastAsia="Palatino Linotype"/>
                <w:b/>
                <w:spacing w:val="-1"/>
                <w:position w:val="1"/>
                <w:sz w:val="22"/>
                <w:szCs w:val="22"/>
              </w:rPr>
              <w:t>broken</w:t>
            </w:r>
            <w:proofErr w:type="spellEnd"/>
            <w:r>
              <w:rPr>
                <w:rFonts w:eastAsia="Palatino Linotype"/>
                <w:b/>
                <w:spacing w:val="-1"/>
                <w:position w:val="1"/>
                <w:sz w:val="22"/>
                <w:szCs w:val="22"/>
              </w:rPr>
              <w:t xml:space="preserve">, </w:t>
            </w:r>
            <w:proofErr w:type="spellStart"/>
            <w:r>
              <w:rPr>
                <w:rFonts w:eastAsia="Palatino Linotype"/>
                <w:b/>
                <w:spacing w:val="-1"/>
                <w:position w:val="1"/>
                <w:sz w:val="22"/>
                <w:szCs w:val="22"/>
              </w:rPr>
              <w:t>is</w:t>
            </w:r>
            <w:proofErr w:type="spellEnd"/>
            <w:r>
              <w:rPr>
                <w:rFonts w:eastAsia="Palatino Linotype"/>
                <w:b/>
                <w:spacing w:val="-1"/>
                <w:position w:val="1"/>
                <w:sz w:val="22"/>
                <w:szCs w:val="22"/>
              </w:rPr>
              <w:t xml:space="preserve"> at </w:t>
            </w:r>
            <w:proofErr w:type="spellStart"/>
            <w:r>
              <w:rPr>
                <w:rFonts w:eastAsia="Palatino Linotype"/>
                <w:b/>
                <w:spacing w:val="-1"/>
                <w:position w:val="1"/>
                <w:sz w:val="22"/>
                <w:szCs w:val="22"/>
              </w:rPr>
              <w:t>the</w:t>
            </w:r>
            <w:proofErr w:type="spellEnd"/>
            <w:r>
              <w:rPr>
                <w:rFonts w:eastAsia="Palatino Linotype"/>
                <w:b/>
                <w:spacing w:val="-1"/>
                <w:position w:val="1"/>
                <w:sz w:val="22"/>
                <w:szCs w:val="22"/>
              </w:rPr>
              <w:t xml:space="preserve"> sole </w:t>
            </w:r>
            <w:proofErr w:type="spellStart"/>
            <w:r>
              <w:rPr>
                <w:rFonts w:eastAsia="Palatino Linotype"/>
                <w:b/>
                <w:spacing w:val="-1"/>
                <w:position w:val="1"/>
                <w:sz w:val="22"/>
                <w:szCs w:val="22"/>
              </w:rPr>
              <w:t>discretion</w:t>
            </w:r>
            <w:proofErr w:type="spellEnd"/>
            <w:r>
              <w:rPr>
                <w:rFonts w:eastAsia="Palatino Linotype"/>
                <w:b/>
                <w:spacing w:val="-1"/>
                <w:position w:val="1"/>
                <w:sz w:val="22"/>
                <w:szCs w:val="22"/>
              </w:rPr>
              <w:t xml:space="preserve"> </w:t>
            </w:r>
            <w:proofErr w:type="spellStart"/>
            <w:r>
              <w:rPr>
                <w:rFonts w:eastAsia="Palatino Linotype"/>
                <w:b/>
                <w:spacing w:val="-1"/>
                <w:position w:val="1"/>
                <w:sz w:val="22"/>
                <w:szCs w:val="22"/>
              </w:rPr>
              <w:t>of</w:t>
            </w:r>
            <w:proofErr w:type="spellEnd"/>
            <w:r>
              <w:rPr>
                <w:rFonts w:eastAsia="Palatino Linotype"/>
                <w:b/>
                <w:spacing w:val="-1"/>
                <w:position w:val="1"/>
                <w:sz w:val="22"/>
                <w:szCs w:val="22"/>
              </w:rPr>
              <w:t xml:space="preserve"> </w:t>
            </w:r>
            <w:proofErr w:type="spellStart"/>
            <w:r>
              <w:rPr>
                <w:rFonts w:eastAsia="Palatino Linotype"/>
                <w:b/>
                <w:spacing w:val="-1"/>
                <w:position w:val="1"/>
                <w:sz w:val="22"/>
                <w:szCs w:val="22"/>
              </w:rPr>
              <w:t>the</w:t>
            </w:r>
            <w:proofErr w:type="spellEnd"/>
            <w:r>
              <w:rPr>
                <w:rFonts w:eastAsia="Palatino Linotype"/>
                <w:b/>
                <w:spacing w:val="-1"/>
                <w:position w:val="1"/>
                <w:sz w:val="22"/>
                <w:szCs w:val="22"/>
              </w:rPr>
              <w:t xml:space="preserve"> </w:t>
            </w:r>
            <w:proofErr w:type="spellStart"/>
            <w:r>
              <w:rPr>
                <w:rFonts w:eastAsia="Palatino Linotype"/>
                <w:b/>
                <w:spacing w:val="-1"/>
                <w:position w:val="1"/>
                <w:sz w:val="22"/>
                <w:szCs w:val="22"/>
              </w:rPr>
              <w:t>Administration</w:t>
            </w:r>
            <w:proofErr w:type="spellEnd"/>
            <w:r>
              <w:rPr>
                <w:rFonts w:eastAsia="Palatino Linotype"/>
                <w:b/>
                <w:spacing w:val="-1"/>
                <w:position w:val="1"/>
                <w:sz w:val="22"/>
                <w:szCs w:val="22"/>
              </w:rPr>
              <w:t>.</w:t>
            </w:r>
          </w:p>
          <w:p w14:paraId="465F15A8" w14:textId="77777777" w:rsidR="00E255F4" w:rsidRDefault="00E255F4">
            <w:pPr>
              <w:jc w:val="both"/>
              <w:rPr>
                <w:rFonts w:eastAsia="Palatino Linotype"/>
                <w:b/>
                <w:spacing w:val="-1"/>
                <w:position w:val="1"/>
                <w:sz w:val="22"/>
                <w:szCs w:val="22"/>
                <w:u w:val="single"/>
              </w:rPr>
            </w:pPr>
          </w:p>
          <w:p w14:paraId="48CE9B0F" w14:textId="77777777" w:rsidR="00E255F4" w:rsidRDefault="00000000">
            <w:pPr>
              <w:jc w:val="both"/>
              <w:rPr>
                <w:b/>
                <w:i/>
                <w:sz w:val="22"/>
                <w:szCs w:val="22"/>
              </w:rPr>
            </w:pPr>
            <w:r>
              <w:rPr>
                <w:rStyle w:val="nfasis"/>
                <w:b/>
                <w:bCs/>
                <w:i w:val="0"/>
                <w:color w:val="222222"/>
                <w:sz w:val="22"/>
                <w:szCs w:val="22"/>
              </w:rPr>
              <w:t xml:space="preserve">The </w:t>
            </w:r>
            <w:proofErr w:type="spellStart"/>
            <w:r>
              <w:rPr>
                <w:rStyle w:val="nfasis"/>
                <w:b/>
                <w:bCs/>
                <w:i w:val="0"/>
                <w:color w:val="222222"/>
                <w:sz w:val="22"/>
                <w:szCs w:val="22"/>
              </w:rPr>
              <w:t>deadline</w:t>
            </w:r>
            <w:proofErr w:type="spellEnd"/>
            <w:r>
              <w:rPr>
                <w:rStyle w:val="nfasis"/>
                <w:b/>
                <w:bCs/>
                <w:i w:val="0"/>
                <w:color w:val="222222"/>
                <w:sz w:val="22"/>
                <w:szCs w:val="22"/>
              </w:rPr>
              <w:t xml:space="preserve"> </w:t>
            </w:r>
            <w:proofErr w:type="spellStart"/>
            <w:r>
              <w:rPr>
                <w:rStyle w:val="nfasis"/>
                <w:b/>
                <w:bCs/>
                <w:i w:val="0"/>
                <w:color w:val="222222"/>
                <w:sz w:val="22"/>
                <w:szCs w:val="22"/>
              </w:rPr>
              <w:t>for</w:t>
            </w:r>
            <w:proofErr w:type="spellEnd"/>
            <w:r>
              <w:rPr>
                <w:rStyle w:val="nfasis"/>
                <w:b/>
                <w:bCs/>
                <w:i w:val="0"/>
                <w:color w:val="222222"/>
                <w:sz w:val="22"/>
                <w:szCs w:val="22"/>
              </w:rPr>
              <w:t xml:space="preserve"> </w:t>
            </w:r>
            <w:proofErr w:type="spellStart"/>
            <w:r>
              <w:rPr>
                <w:rStyle w:val="nfasis"/>
                <w:b/>
                <w:bCs/>
                <w:i w:val="0"/>
                <w:color w:val="222222"/>
                <w:sz w:val="22"/>
                <w:szCs w:val="22"/>
              </w:rPr>
              <w:t>repairing</w:t>
            </w:r>
            <w:proofErr w:type="spellEnd"/>
            <w:r>
              <w:rPr>
                <w:rStyle w:val="nfasis"/>
                <w:b/>
                <w:bCs/>
                <w:i w:val="0"/>
                <w:color w:val="222222"/>
                <w:sz w:val="22"/>
                <w:szCs w:val="22"/>
              </w:rPr>
              <w:t xml:space="preserve"> </w:t>
            </w:r>
            <w:proofErr w:type="spellStart"/>
            <w:r>
              <w:rPr>
                <w:rStyle w:val="nfasis"/>
                <w:b/>
                <w:bCs/>
                <w:i w:val="0"/>
                <w:color w:val="222222"/>
                <w:sz w:val="22"/>
                <w:szCs w:val="22"/>
              </w:rPr>
              <w:t>or</w:t>
            </w:r>
            <w:proofErr w:type="spellEnd"/>
            <w:r>
              <w:rPr>
                <w:rStyle w:val="nfasis"/>
                <w:b/>
                <w:bCs/>
                <w:i w:val="0"/>
                <w:color w:val="222222"/>
                <w:sz w:val="22"/>
                <w:szCs w:val="22"/>
              </w:rPr>
              <w:t xml:space="preserve"> </w:t>
            </w:r>
            <w:proofErr w:type="spellStart"/>
            <w:r>
              <w:rPr>
                <w:rStyle w:val="nfasis"/>
                <w:b/>
                <w:bCs/>
                <w:i w:val="0"/>
                <w:color w:val="222222"/>
                <w:sz w:val="22"/>
                <w:szCs w:val="22"/>
              </w:rPr>
              <w:t>replacing</w:t>
            </w:r>
            <w:proofErr w:type="spellEnd"/>
            <w:r>
              <w:rPr>
                <w:rStyle w:val="nfasis"/>
                <w:b/>
                <w:bCs/>
                <w:i w:val="0"/>
                <w:color w:val="222222"/>
                <w:sz w:val="22"/>
                <w:szCs w:val="22"/>
              </w:rPr>
              <w:t xml:space="preserve"> </w:t>
            </w:r>
            <w:proofErr w:type="spellStart"/>
            <w:r>
              <w:rPr>
                <w:rStyle w:val="nfasis"/>
                <w:b/>
                <w:bCs/>
                <w:i w:val="0"/>
                <w:color w:val="222222"/>
                <w:sz w:val="22"/>
                <w:szCs w:val="22"/>
              </w:rPr>
              <w:t>the</w:t>
            </w:r>
            <w:proofErr w:type="spellEnd"/>
            <w:r>
              <w:rPr>
                <w:rStyle w:val="nfasis"/>
                <w:b/>
                <w:bCs/>
                <w:i w:val="0"/>
                <w:color w:val="222222"/>
                <w:sz w:val="22"/>
                <w:szCs w:val="22"/>
              </w:rPr>
              <w:t xml:space="preserve"> </w:t>
            </w:r>
            <w:proofErr w:type="spellStart"/>
            <w:r>
              <w:rPr>
                <w:rStyle w:val="nfasis"/>
                <w:b/>
                <w:bCs/>
                <w:i w:val="0"/>
                <w:color w:val="222222"/>
                <w:sz w:val="22"/>
                <w:szCs w:val="22"/>
              </w:rPr>
              <w:t>goods</w:t>
            </w:r>
            <w:proofErr w:type="spellEnd"/>
            <w:r>
              <w:rPr>
                <w:rStyle w:val="nfasis"/>
                <w:b/>
                <w:bCs/>
                <w:i w:val="0"/>
                <w:color w:val="222222"/>
                <w:sz w:val="22"/>
                <w:szCs w:val="22"/>
              </w:rPr>
              <w:t xml:space="preserve"> </w:t>
            </w:r>
            <w:proofErr w:type="spellStart"/>
            <w:r>
              <w:rPr>
                <w:rStyle w:val="nfasis"/>
                <w:b/>
                <w:bCs/>
                <w:i w:val="0"/>
                <w:color w:val="222222"/>
                <w:sz w:val="22"/>
                <w:szCs w:val="22"/>
              </w:rPr>
              <w:t>will</w:t>
            </w:r>
            <w:proofErr w:type="spellEnd"/>
            <w:r>
              <w:rPr>
                <w:rStyle w:val="nfasis"/>
                <w:b/>
                <w:bCs/>
                <w:i w:val="0"/>
                <w:color w:val="222222"/>
                <w:sz w:val="22"/>
                <w:szCs w:val="22"/>
              </w:rPr>
              <w:t xml:space="preserve"> be a </w:t>
            </w:r>
            <w:proofErr w:type="spellStart"/>
            <w:r>
              <w:rPr>
                <w:rStyle w:val="nfasis"/>
                <w:b/>
                <w:bCs/>
                <w:i w:val="0"/>
                <w:color w:val="222222"/>
                <w:sz w:val="22"/>
                <w:szCs w:val="22"/>
              </w:rPr>
              <w:t>maximum</w:t>
            </w:r>
            <w:proofErr w:type="spellEnd"/>
            <w:r>
              <w:rPr>
                <w:rStyle w:val="nfasis"/>
                <w:b/>
                <w:bCs/>
                <w:i w:val="0"/>
                <w:color w:val="222222"/>
                <w:sz w:val="22"/>
                <w:szCs w:val="22"/>
              </w:rPr>
              <w:t xml:space="preserve"> </w:t>
            </w:r>
            <w:proofErr w:type="spellStart"/>
            <w:r>
              <w:rPr>
                <w:rStyle w:val="nfasis"/>
                <w:b/>
                <w:bCs/>
                <w:i w:val="0"/>
                <w:color w:val="222222"/>
                <w:sz w:val="22"/>
                <w:szCs w:val="22"/>
              </w:rPr>
              <w:t>of</w:t>
            </w:r>
            <w:proofErr w:type="spellEnd"/>
            <w:r>
              <w:rPr>
                <w:rStyle w:val="nfasis"/>
                <w:b/>
                <w:bCs/>
                <w:i w:val="0"/>
                <w:color w:val="222222"/>
                <w:sz w:val="22"/>
                <w:szCs w:val="22"/>
              </w:rPr>
              <w:t xml:space="preserve"> 3 </w:t>
            </w:r>
            <w:proofErr w:type="spellStart"/>
            <w:r>
              <w:rPr>
                <w:rStyle w:val="nfasis"/>
                <w:b/>
                <w:bCs/>
                <w:i w:val="0"/>
                <w:color w:val="222222"/>
                <w:sz w:val="22"/>
                <w:szCs w:val="22"/>
              </w:rPr>
              <w:t>months</w:t>
            </w:r>
            <w:proofErr w:type="spellEnd"/>
            <w:r>
              <w:rPr>
                <w:rStyle w:val="nfasis"/>
                <w:b/>
                <w:bCs/>
                <w:i w:val="0"/>
                <w:color w:val="222222"/>
                <w:sz w:val="22"/>
                <w:szCs w:val="22"/>
              </w:rPr>
              <w:t xml:space="preserve"> (90 calendar </w:t>
            </w:r>
            <w:proofErr w:type="spellStart"/>
            <w:r>
              <w:rPr>
                <w:rStyle w:val="nfasis"/>
                <w:b/>
                <w:bCs/>
                <w:i w:val="0"/>
                <w:color w:val="222222"/>
                <w:sz w:val="22"/>
                <w:szCs w:val="22"/>
              </w:rPr>
              <w:t>days</w:t>
            </w:r>
            <w:proofErr w:type="spellEnd"/>
            <w:r>
              <w:rPr>
                <w:rStyle w:val="nfasis"/>
                <w:b/>
                <w:bCs/>
                <w:i w:val="0"/>
                <w:color w:val="222222"/>
                <w:sz w:val="22"/>
                <w:szCs w:val="22"/>
              </w:rPr>
              <w:t xml:space="preserve">) </w:t>
            </w:r>
            <w:proofErr w:type="spellStart"/>
            <w:r>
              <w:rPr>
                <w:rStyle w:val="nfasis"/>
                <w:b/>
                <w:bCs/>
                <w:i w:val="0"/>
                <w:color w:val="222222"/>
                <w:sz w:val="22"/>
                <w:szCs w:val="22"/>
              </w:rPr>
              <w:t>from</w:t>
            </w:r>
            <w:proofErr w:type="spellEnd"/>
            <w:r>
              <w:rPr>
                <w:rStyle w:val="nfasis"/>
                <w:b/>
                <w:bCs/>
                <w:i w:val="0"/>
                <w:color w:val="222222"/>
                <w:sz w:val="22"/>
                <w:szCs w:val="22"/>
              </w:rPr>
              <w:t xml:space="preserve"> </w:t>
            </w:r>
            <w:proofErr w:type="spellStart"/>
            <w:r>
              <w:rPr>
                <w:rStyle w:val="nfasis"/>
                <w:b/>
                <w:bCs/>
                <w:i w:val="0"/>
                <w:color w:val="222222"/>
                <w:sz w:val="22"/>
                <w:szCs w:val="22"/>
              </w:rPr>
              <w:t>the</w:t>
            </w:r>
            <w:proofErr w:type="spellEnd"/>
            <w:r>
              <w:rPr>
                <w:rStyle w:val="nfasis"/>
                <w:b/>
                <w:bCs/>
                <w:i w:val="0"/>
                <w:color w:val="222222"/>
                <w:sz w:val="22"/>
                <w:szCs w:val="22"/>
              </w:rPr>
              <w:t xml:space="preserve"> </w:t>
            </w:r>
            <w:proofErr w:type="spellStart"/>
            <w:r>
              <w:rPr>
                <w:rStyle w:val="nfasis"/>
                <w:b/>
                <w:bCs/>
                <w:i w:val="0"/>
                <w:color w:val="222222"/>
                <w:sz w:val="22"/>
                <w:szCs w:val="22"/>
              </w:rPr>
              <w:t>corresponding</w:t>
            </w:r>
            <w:proofErr w:type="spellEnd"/>
            <w:r>
              <w:rPr>
                <w:rStyle w:val="nfasis"/>
                <w:b/>
                <w:bCs/>
                <w:i w:val="0"/>
                <w:color w:val="222222"/>
                <w:sz w:val="22"/>
                <w:szCs w:val="22"/>
              </w:rPr>
              <w:t xml:space="preserve"> </w:t>
            </w:r>
            <w:proofErr w:type="spellStart"/>
            <w:r>
              <w:rPr>
                <w:rStyle w:val="nfasis"/>
                <w:b/>
                <w:bCs/>
                <w:i w:val="0"/>
                <w:color w:val="222222"/>
                <w:sz w:val="22"/>
                <w:szCs w:val="22"/>
              </w:rPr>
              <w:t>communication</w:t>
            </w:r>
            <w:proofErr w:type="spellEnd"/>
            <w:r>
              <w:rPr>
                <w:rStyle w:val="nfasis"/>
                <w:b/>
                <w:bCs/>
                <w:i w:val="0"/>
                <w:color w:val="222222"/>
                <w:sz w:val="22"/>
                <w:szCs w:val="22"/>
              </w:rPr>
              <w:t xml:space="preserve">, </w:t>
            </w:r>
            <w:proofErr w:type="spellStart"/>
            <w:r>
              <w:rPr>
                <w:rStyle w:val="nfasis"/>
                <w:b/>
                <w:bCs/>
                <w:i w:val="0"/>
                <w:color w:val="222222"/>
                <w:sz w:val="22"/>
                <w:szCs w:val="22"/>
              </w:rPr>
              <w:t>which</w:t>
            </w:r>
            <w:proofErr w:type="spellEnd"/>
            <w:r>
              <w:rPr>
                <w:rStyle w:val="nfasis"/>
                <w:b/>
                <w:bCs/>
                <w:i w:val="0"/>
                <w:color w:val="222222"/>
                <w:sz w:val="22"/>
                <w:szCs w:val="22"/>
              </w:rPr>
              <w:t xml:space="preserve"> </w:t>
            </w:r>
            <w:proofErr w:type="spellStart"/>
            <w:r>
              <w:rPr>
                <w:rStyle w:val="nfasis"/>
                <w:b/>
                <w:bCs/>
                <w:i w:val="0"/>
                <w:color w:val="222222"/>
                <w:sz w:val="22"/>
                <w:szCs w:val="22"/>
              </w:rPr>
              <w:t>may</w:t>
            </w:r>
            <w:proofErr w:type="spellEnd"/>
            <w:r>
              <w:rPr>
                <w:rStyle w:val="nfasis"/>
                <w:b/>
                <w:bCs/>
                <w:i w:val="0"/>
                <w:color w:val="222222"/>
                <w:sz w:val="22"/>
                <w:szCs w:val="22"/>
              </w:rPr>
              <w:t xml:space="preserve"> be extended </w:t>
            </w:r>
            <w:proofErr w:type="spellStart"/>
            <w:r>
              <w:rPr>
                <w:rStyle w:val="nfasis"/>
                <w:b/>
                <w:bCs/>
                <w:i w:val="0"/>
                <w:color w:val="222222"/>
                <w:sz w:val="22"/>
                <w:szCs w:val="22"/>
              </w:rPr>
              <w:t>only</w:t>
            </w:r>
            <w:proofErr w:type="spellEnd"/>
            <w:r>
              <w:rPr>
                <w:rStyle w:val="nfasis"/>
                <w:b/>
                <w:bCs/>
                <w:i w:val="0"/>
                <w:color w:val="222222"/>
                <w:sz w:val="22"/>
                <w:szCs w:val="22"/>
              </w:rPr>
              <w:t xml:space="preserve"> once, </w:t>
            </w:r>
            <w:proofErr w:type="spellStart"/>
            <w:r>
              <w:rPr>
                <w:rStyle w:val="nfasis"/>
                <w:b/>
                <w:bCs/>
                <w:i w:val="0"/>
                <w:color w:val="222222"/>
                <w:sz w:val="22"/>
                <w:szCs w:val="22"/>
              </w:rPr>
              <w:t>for</w:t>
            </w:r>
            <w:proofErr w:type="spellEnd"/>
            <w:r>
              <w:rPr>
                <w:rStyle w:val="nfasis"/>
                <w:b/>
                <w:bCs/>
                <w:i w:val="0"/>
                <w:color w:val="222222"/>
                <w:sz w:val="22"/>
                <w:szCs w:val="22"/>
              </w:rPr>
              <w:t xml:space="preserve"> a </w:t>
            </w:r>
            <w:proofErr w:type="spellStart"/>
            <w:r>
              <w:rPr>
                <w:rStyle w:val="nfasis"/>
                <w:b/>
                <w:bCs/>
                <w:i w:val="0"/>
                <w:color w:val="222222"/>
                <w:sz w:val="22"/>
                <w:szCs w:val="22"/>
              </w:rPr>
              <w:t>maximum</w:t>
            </w:r>
            <w:proofErr w:type="spellEnd"/>
            <w:r>
              <w:rPr>
                <w:rStyle w:val="nfasis"/>
                <w:b/>
                <w:bCs/>
                <w:i w:val="0"/>
                <w:color w:val="222222"/>
                <w:sz w:val="22"/>
                <w:szCs w:val="22"/>
              </w:rPr>
              <w:t xml:space="preserve"> </w:t>
            </w:r>
            <w:proofErr w:type="spellStart"/>
            <w:r>
              <w:rPr>
                <w:rStyle w:val="nfasis"/>
                <w:b/>
                <w:bCs/>
                <w:i w:val="0"/>
                <w:color w:val="222222"/>
                <w:sz w:val="22"/>
                <w:szCs w:val="22"/>
              </w:rPr>
              <w:t>period</w:t>
            </w:r>
            <w:proofErr w:type="spellEnd"/>
            <w:r>
              <w:rPr>
                <w:rStyle w:val="nfasis"/>
                <w:b/>
                <w:bCs/>
                <w:i w:val="0"/>
                <w:color w:val="222222"/>
                <w:sz w:val="22"/>
                <w:szCs w:val="22"/>
              </w:rPr>
              <w:t xml:space="preserve"> </w:t>
            </w:r>
            <w:proofErr w:type="spellStart"/>
            <w:r>
              <w:rPr>
                <w:rStyle w:val="nfasis"/>
                <w:b/>
                <w:bCs/>
                <w:i w:val="0"/>
                <w:color w:val="222222"/>
                <w:sz w:val="22"/>
                <w:szCs w:val="22"/>
              </w:rPr>
              <w:t>of</w:t>
            </w:r>
            <w:proofErr w:type="spellEnd"/>
            <w:r>
              <w:rPr>
                <w:rStyle w:val="nfasis"/>
                <w:b/>
                <w:bCs/>
                <w:i w:val="0"/>
                <w:color w:val="222222"/>
                <w:sz w:val="22"/>
                <w:szCs w:val="22"/>
              </w:rPr>
              <w:t xml:space="preserve"> 30 </w:t>
            </w:r>
            <w:proofErr w:type="spellStart"/>
            <w:r>
              <w:rPr>
                <w:rStyle w:val="nfasis"/>
                <w:b/>
                <w:bCs/>
                <w:i w:val="0"/>
                <w:color w:val="222222"/>
                <w:sz w:val="22"/>
                <w:szCs w:val="22"/>
              </w:rPr>
              <w:t>additional</w:t>
            </w:r>
            <w:proofErr w:type="spellEnd"/>
            <w:r>
              <w:rPr>
                <w:rStyle w:val="nfasis"/>
                <w:b/>
                <w:bCs/>
                <w:i w:val="0"/>
                <w:color w:val="222222"/>
                <w:sz w:val="22"/>
                <w:szCs w:val="22"/>
              </w:rPr>
              <w:t xml:space="preserve"> </w:t>
            </w:r>
            <w:proofErr w:type="spellStart"/>
            <w:r>
              <w:rPr>
                <w:rStyle w:val="nfasis"/>
                <w:b/>
                <w:bCs/>
                <w:i w:val="0"/>
                <w:color w:val="222222"/>
                <w:sz w:val="22"/>
                <w:szCs w:val="22"/>
              </w:rPr>
              <w:t>days</w:t>
            </w:r>
            <w:proofErr w:type="spellEnd"/>
            <w:r>
              <w:rPr>
                <w:rStyle w:val="nfasis"/>
                <w:b/>
                <w:bCs/>
                <w:i w:val="0"/>
                <w:color w:val="222222"/>
                <w:sz w:val="22"/>
                <w:szCs w:val="22"/>
              </w:rPr>
              <w:t xml:space="preserve"> at </w:t>
            </w:r>
            <w:proofErr w:type="spellStart"/>
            <w:r>
              <w:rPr>
                <w:rStyle w:val="nfasis"/>
                <w:b/>
                <w:bCs/>
                <w:i w:val="0"/>
                <w:color w:val="222222"/>
                <w:sz w:val="22"/>
                <w:szCs w:val="22"/>
              </w:rPr>
              <w:t>the</w:t>
            </w:r>
            <w:proofErr w:type="spellEnd"/>
            <w:r>
              <w:rPr>
                <w:rStyle w:val="nfasis"/>
                <w:b/>
                <w:bCs/>
                <w:i w:val="0"/>
                <w:color w:val="222222"/>
                <w:sz w:val="22"/>
                <w:szCs w:val="22"/>
              </w:rPr>
              <w:t xml:space="preserve"> </w:t>
            </w:r>
            <w:proofErr w:type="spellStart"/>
            <w:r>
              <w:rPr>
                <w:rStyle w:val="nfasis"/>
                <w:b/>
                <w:bCs/>
                <w:i w:val="0"/>
                <w:color w:val="222222"/>
                <w:sz w:val="22"/>
                <w:szCs w:val="22"/>
              </w:rPr>
              <w:t>discretion</w:t>
            </w:r>
            <w:proofErr w:type="spellEnd"/>
            <w:r>
              <w:rPr>
                <w:rStyle w:val="nfasis"/>
                <w:b/>
                <w:bCs/>
                <w:i w:val="0"/>
                <w:color w:val="222222"/>
                <w:sz w:val="22"/>
                <w:szCs w:val="22"/>
              </w:rPr>
              <w:t xml:space="preserve"> </w:t>
            </w:r>
            <w:proofErr w:type="spellStart"/>
            <w:r>
              <w:rPr>
                <w:rStyle w:val="nfasis"/>
                <w:b/>
                <w:bCs/>
                <w:i w:val="0"/>
                <w:color w:val="222222"/>
                <w:sz w:val="22"/>
                <w:szCs w:val="22"/>
              </w:rPr>
              <w:t>of</w:t>
            </w:r>
            <w:proofErr w:type="spellEnd"/>
            <w:r>
              <w:rPr>
                <w:rStyle w:val="nfasis"/>
                <w:b/>
                <w:bCs/>
                <w:i w:val="0"/>
                <w:color w:val="222222"/>
                <w:sz w:val="22"/>
                <w:szCs w:val="22"/>
              </w:rPr>
              <w:t xml:space="preserve"> </w:t>
            </w:r>
            <w:proofErr w:type="spellStart"/>
            <w:r>
              <w:rPr>
                <w:rStyle w:val="nfasis"/>
                <w:b/>
                <w:bCs/>
                <w:i w:val="0"/>
                <w:color w:val="222222"/>
                <w:sz w:val="22"/>
                <w:szCs w:val="22"/>
              </w:rPr>
              <w:t>the</w:t>
            </w:r>
            <w:proofErr w:type="spellEnd"/>
            <w:r>
              <w:rPr>
                <w:rStyle w:val="nfasis"/>
                <w:b/>
                <w:bCs/>
                <w:i w:val="0"/>
                <w:color w:val="222222"/>
                <w:sz w:val="22"/>
                <w:szCs w:val="22"/>
              </w:rPr>
              <w:t xml:space="preserve"> </w:t>
            </w:r>
            <w:proofErr w:type="spellStart"/>
            <w:r>
              <w:rPr>
                <w:rStyle w:val="nfasis"/>
                <w:b/>
                <w:bCs/>
                <w:i w:val="0"/>
                <w:color w:val="222222"/>
                <w:sz w:val="22"/>
                <w:szCs w:val="22"/>
              </w:rPr>
              <w:t>Administration</w:t>
            </w:r>
            <w:proofErr w:type="spellEnd"/>
            <w:r>
              <w:rPr>
                <w:rStyle w:val="nfasis"/>
                <w:b/>
                <w:bCs/>
                <w:i w:val="0"/>
                <w:color w:val="222222"/>
                <w:sz w:val="22"/>
                <w:szCs w:val="22"/>
              </w:rPr>
              <w:t>.</w:t>
            </w:r>
          </w:p>
          <w:p w14:paraId="391F5DCD" w14:textId="77777777" w:rsidR="00E255F4" w:rsidRDefault="00E255F4">
            <w:pPr>
              <w:jc w:val="both"/>
              <w:rPr>
                <w:rFonts w:eastAsia="Palatino Linotype"/>
                <w:b/>
                <w:i/>
                <w:spacing w:val="-1"/>
                <w:position w:val="1"/>
                <w:sz w:val="22"/>
                <w:szCs w:val="22"/>
                <w:u w:val="single"/>
              </w:rPr>
            </w:pPr>
          </w:p>
          <w:p w14:paraId="035E42AA" w14:textId="77777777" w:rsidR="00E255F4" w:rsidRDefault="00000000">
            <w:pPr>
              <w:tabs>
                <w:tab w:val="left" w:pos="0"/>
              </w:tabs>
              <w:jc w:val="both"/>
              <w:rPr>
                <w:b/>
                <w:sz w:val="22"/>
                <w:szCs w:val="22"/>
              </w:rPr>
            </w:pPr>
            <w:proofErr w:type="spellStart"/>
            <w:r>
              <w:rPr>
                <w:b/>
                <w:sz w:val="22"/>
                <w:szCs w:val="22"/>
              </w:rPr>
              <w:t>Specifically</w:t>
            </w:r>
            <w:proofErr w:type="spellEnd"/>
            <w:r>
              <w:rPr>
                <w:b/>
                <w:sz w:val="22"/>
                <w:szCs w:val="22"/>
              </w:rPr>
              <w:t xml:space="preserve"> </w:t>
            </w:r>
            <w:proofErr w:type="spellStart"/>
            <w:r>
              <w:rPr>
                <w:b/>
                <w:sz w:val="22"/>
                <w:szCs w:val="22"/>
              </w:rPr>
              <w:t>for</w:t>
            </w:r>
            <w:proofErr w:type="spellEnd"/>
            <w:r>
              <w:rPr>
                <w:b/>
                <w:sz w:val="22"/>
                <w:szCs w:val="22"/>
              </w:rPr>
              <w:t xml:space="preserve"> </w:t>
            </w:r>
            <w:proofErr w:type="spellStart"/>
            <w:r>
              <w:rPr>
                <w:b/>
                <w:sz w:val="22"/>
                <w:szCs w:val="22"/>
              </w:rPr>
              <w:t>goods</w:t>
            </w:r>
            <w:proofErr w:type="spellEnd"/>
            <w:r>
              <w:rPr>
                <w:b/>
                <w:sz w:val="22"/>
                <w:szCs w:val="22"/>
              </w:rPr>
              <w:t xml:space="preserve"> </w:t>
            </w:r>
            <w:proofErr w:type="spellStart"/>
            <w:r>
              <w:rPr>
                <w:b/>
                <w:sz w:val="22"/>
                <w:szCs w:val="22"/>
              </w:rPr>
              <w:t>to</w:t>
            </w:r>
            <w:proofErr w:type="spellEnd"/>
            <w:r>
              <w:rPr>
                <w:b/>
                <w:sz w:val="22"/>
                <w:szCs w:val="22"/>
              </w:rPr>
              <w:t xml:space="preserve"> be </w:t>
            </w:r>
            <w:proofErr w:type="spellStart"/>
            <w:r>
              <w:rPr>
                <w:b/>
                <w:sz w:val="22"/>
                <w:szCs w:val="22"/>
              </w:rPr>
              <w:t>imported</w:t>
            </w:r>
            <w:proofErr w:type="spellEnd"/>
            <w:r>
              <w:rPr>
                <w:b/>
                <w:sz w:val="22"/>
                <w:szCs w:val="22"/>
              </w:rPr>
              <w:t xml:space="preserve"> </w:t>
            </w:r>
            <w:proofErr w:type="spellStart"/>
            <w:r>
              <w:rPr>
                <w:b/>
                <w:sz w:val="22"/>
                <w:szCs w:val="22"/>
              </w:rPr>
              <w:t>by</w:t>
            </w:r>
            <w:proofErr w:type="spellEnd"/>
            <w:r>
              <w:rPr>
                <w:b/>
                <w:sz w:val="22"/>
                <w:szCs w:val="22"/>
              </w:rPr>
              <w:t xml:space="preserve"> OSE, </w:t>
            </w:r>
            <w:proofErr w:type="spellStart"/>
            <w:r>
              <w:rPr>
                <w:b/>
                <w:sz w:val="22"/>
                <w:szCs w:val="22"/>
              </w:rPr>
              <w:t>all</w:t>
            </w:r>
            <w:proofErr w:type="spellEnd"/>
            <w:r>
              <w:rPr>
                <w:b/>
                <w:sz w:val="22"/>
                <w:szCs w:val="22"/>
              </w:rPr>
              <w:t xml:space="preserve"> </w:t>
            </w:r>
            <w:proofErr w:type="spellStart"/>
            <w:r>
              <w:rPr>
                <w:b/>
                <w:sz w:val="22"/>
                <w:szCs w:val="22"/>
              </w:rPr>
              <w:t>import</w:t>
            </w:r>
            <w:proofErr w:type="spellEnd"/>
            <w:r>
              <w:rPr>
                <w:b/>
                <w:sz w:val="22"/>
                <w:szCs w:val="22"/>
              </w:rPr>
              <w:t xml:space="preserve"> </w:t>
            </w:r>
            <w:proofErr w:type="spellStart"/>
            <w:r>
              <w:rPr>
                <w:b/>
                <w:sz w:val="22"/>
                <w:szCs w:val="22"/>
              </w:rPr>
              <w:t>costs</w:t>
            </w:r>
            <w:proofErr w:type="spellEnd"/>
            <w:r>
              <w:rPr>
                <w:b/>
                <w:sz w:val="22"/>
                <w:szCs w:val="22"/>
              </w:rPr>
              <w:t xml:space="preserve"> are </w:t>
            </w:r>
            <w:proofErr w:type="spellStart"/>
            <w:r>
              <w:rPr>
                <w:b/>
                <w:sz w:val="22"/>
                <w:szCs w:val="22"/>
              </w:rPr>
              <w:t>the</w:t>
            </w:r>
            <w:proofErr w:type="spellEnd"/>
            <w:r>
              <w:rPr>
                <w:b/>
                <w:sz w:val="22"/>
                <w:szCs w:val="22"/>
              </w:rPr>
              <w:t xml:space="preserve"> </w:t>
            </w:r>
            <w:proofErr w:type="spellStart"/>
            <w:r>
              <w:rPr>
                <w:b/>
                <w:sz w:val="22"/>
                <w:szCs w:val="22"/>
              </w:rPr>
              <w:t>responsibility</w:t>
            </w:r>
            <w:proofErr w:type="spellEnd"/>
            <w:r>
              <w:rPr>
                <w:b/>
                <w:sz w:val="22"/>
                <w:szCs w:val="22"/>
              </w:rPr>
              <w:t xml:space="preserve"> </w:t>
            </w:r>
            <w:proofErr w:type="spellStart"/>
            <w:r>
              <w:rPr>
                <w:b/>
                <w:sz w:val="22"/>
                <w:szCs w:val="22"/>
              </w:rPr>
              <w:t>of</w:t>
            </w:r>
            <w:proofErr w:type="spellEnd"/>
            <w:r>
              <w:rPr>
                <w:b/>
                <w:sz w:val="22"/>
                <w:szCs w:val="22"/>
              </w:rPr>
              <w:t xml:space="preserve"> </w:t>
            </w:r>
            <w:proofErr w:type="spellStart"/>
            <w:r>
              <w:rPr>
                <w:b/>
                <w:sz w:val="22"/>
                <w:szCs w:val="22"/>
              </w:rPr>
              <w:t>the</w:t>
            </w:r>
            <w:proofErr w:type="spellEnd"/>
            <w:r>
              <w:rPr>
                <w:b/>
                <w:sz w:val="22"/>
                <w:szCs w:val="22"/>
              </w:rPr>
              <w:t xml:space="preserve"> </w:t>
            </w:r>
            <w:proofErr w:type="spellStart"/>
            <w:r>
              <w:rPr>
                <w:b/>
                <w:sz w:val="22"/>
                <w:szCs w:val="22"/>
              </w:rPr>
              <w:t>successful</w:t>
            </w:r>
            <w:proofErr w:type="spellEnd"/>
            <w:r>
              <w:rPr>
                <w:b/>
                <w:sz w:val="22"/>
                <w:szCs w:val="22"/>
              </w:rPr>
              <w:t xml:space="preserve"> </w:t>
            </w:r>
            <w:proofErr w:type="spellStart"/>
            <w:r>
              <w:rPr>
                <w:b/>
                <w:sz w:val="22"/>
                <w:szCs w:val="22"/>
              </w:rPr>
              <w:t>bidder</w:t>
            </w:r>
            <w:proofErr w:type="spellEnd"/>
            <w:r>
              <w:rPr>
                <w:b/>
                <w:sz w:val="22"/>
                <w:szCs w:val="22"/>
              </w:rPr>
              <w:t xml:space="preserve">. OSE </w:t>
            </w:r>
            <w:proofErr w:type="spellStart"/>
            <w:r>
              <w:rPr>
                <w:b/>
                <w:sz w:val="22"/>
                <w:szCs w:val="22"/>
              </w:rPr>
              <w:t>will</w:t>
            </w:r>
            <w:proofErr w:type="spellEnd"/>
            <w:r>
              <w:rPr>
                <w:b/>
                <w:sz w:val="22"/>
                <w:szCs w:val="22"/>
              </w:rPr>
              <w:t xml:space="preserve"> </w:t>
            </w:r>
            <w:proofErr w:type="spellStart"/>
            <w:r>
              <w:rPr>
                <w:b/>
                <w:sz w:val="22"/>
                <w:szCs w:val="22"/>
              </w:rPr>
              <w:t>receive</w:t>
            </w:r>
            <w:proofErr w:type="spellEnd"/>
            <w:r>
              <w:rPr>
                <w:b/>
                <w:sz w:val="22"/>
                <w:szCs w:val="22"/>
              </w:rPr>
              <w:t xml:space="preserve"> </w:t>
            </w:r>
            <w:proofErr w:type="spellStart"/>
            <w:r>
              <w:rPr>
                <w:b/>
                <w:sz w:val="22"/>
                <w:szCs w:val="22"/>
              </w:rPr>
              <w:t>the</w:t>
            </w:r>
            <w:proofErr w:type="spellEnd"/>
            <w:r>
              <w:rPr>
                <w:b/>
                <w:sz w:val="22"/>
                <w:szCs w:val="22"/>
              </w:rPr>
              <w:t xml:space="preserve"> </w:t>
            </w:r>
            <w:proofErr w:type="spellStart"/>
            <w:r>
              <w:rPr>
                <w:b/>
                <w:sz w:val="22"/>
                <w:szCs w:val="22"/>
              </w:rPr>
              <w:t>replacement</w:t>
            </w:r>
            <w:proofErr w:type="spellEnd"/>
            <w:r>
              <w:rPr>
                <w:b/>
                <w:sz w:val="22"/>
                <w:szCs w:val="22"/>
              </w:rPr>
              <w:t xml:space="preserve"> </w:t>
            </w:r>
            <w:proofErr w:type="spellStart"/>
            <w:r>
              <w:rPr>
                <w:b/>
                <w:sz w:val="22"/>
                <w:szCs w:val="22"/>
              </w:rPr>
              <w:t>goods</w:t>
            </w:r>
            <w:proofErr w:type="spellEnd"/>
            <w:r>
              <w:rPr>
                <w:b/>
                <w:sz w:val="22"/>
                <w:szCs w:val="22"/>
              </w:rPr>
              <w:t xml:space="preserve"> at </w:t>
            </w:r>
            <w:proofErr w:type="spellStart"/>
            <w:r>
              <w:rPr>
                <w:b/>
                <w:sz w:val="22"/>
                <w:szCs w:val="22"/>
              </w:rPr>
              <w:t>the</w:t>
            </w:r>
            <w:proofErr w:type="spellEnd"/>
            <w:r>
              <w:rPr>
                <w:b/>
                <w:sz w:val="22"/>
                <w:szCs w:val="22"/>
              </w:rPr>
              <w:t xml:space="preserve"> </w:t>
            </w:r>
            <w:proofErr w:type="spellStart"/>
            <w:r>
              <w:rPr>
                <w:b/>
                <w:sz w:val="22"/>
                <w:szCs w:val="22"/>
              </w:rPr>
              <w:t>designated</w:t>
            </w:r>
            <w:proofErr w:type="spellEnd"/>
            <w:r>
              <w:rPr>
                <w:b/>
                <w:sz w:val="22"/>
                <w:szCs w:val="22"/>
              </w:rPr>
              <w:t xml:space="preserve"> </w:t>
            </w:r>
            <w:proofErr w:type="spellStart"/>
            <w:r>
              <w:rPr>
                <w:b/>
                <w:sz w:val="22"/>
                <w:szCs w:val="22"/>
              </w:rPr>
              <w:t>facilities</w:t>
            </w:r>
            <w:proofErr w:type="spellEnd"/>
            <w:r>
              <w:rPr>
                <w:b/>
                <w:sz w:val="22"/>
                <w:szCs w:val="22"/>
              </w:rPr>
              <w:t xml:space="preserve"> at no </w:t>
            </w:r>
            <w:proofErr w:type="spellStart"/>
            <w:r>
              <w:rPr>
                <w:b/>
                <w:sz w:val="22"/>
                <w:szCs w:val="22"/>
              </w:rPr>
              <w:t>cost</w:t>
            </w:r>
            <w:proofErr w:type="spellEnd"/>
            <w:r>
              <w:rPr>
                <w:b/>
                <w:sz w:val="22"/>
                <w:szCs w:val="22"/>
              </w:rPr>
              <w:t xml:space="preserve"> </w:t>
            </w:r>
            <w:proofErr w:type="spellStart"/>
            <w:r>
              <w:rPr>
                <w:b/>
                <w:sz w:val="22"/>
                <w:szCs w:val="22"/>
              </w:rPr>
              <w:t>to</w:t>
            </w:r>
            <w:proofErr w:type="spellEnd"/>
            <w:r>
              <w:rPr>
                <w:b/>
                <w:sz w:val="22"/>
                <w:szCs w:val="22"/>
              </w:rPr>
              <w:t xml:space="preserve"> </w:t>
            </w:r>
            <w:proofErr w:type="spellStart"/>
            <w:r>
              <w:rPr>
                <w:b/>
                <w:sz w:val="22"/>
                <w:szCs w:val="22"/>
              </w:rPr>
              <w:t>them</w:t>
            </w:r>
            <w:proofErr w:type="spellEnd"/>
            <w:r>
              <w:rPr>
                <w:b/>
                <w:sz w:val="22"/>
                <w:szCs w:val="22"/>
              </w:rPr>
              <w:t>.</w:t>
            </w:r>
          </w:p>
          <w:p w14:paraId="52302848" w14:textId="77777777" w:rsidR="00E255F4" w:rsidRDefault="00E255F4">
            <w:pPr>
              <w:tabs>
                <w:tab w:val="left" w:pos="0"/>
              </w:tabs>
              <w:jc w:val="both"/>
              <w:rPr>
                <w:b/>
                <w:sz w:val="22"/>
                <w:szCs w:val="22"/>
                <w:u w:val="single"/>
                <w:lang w:val="es-CO"/>
              </w:rPr>
            </w:pPr>
          </w:p>
          <w:p w14:paraId="1C8638A9" w14:textId="77777777" w:rsidR="00E255F4" w:rsidRDefault="00000000">
            <w:pPr>
              <w:shd w:val="clear" w:color="auto" w:fill="FFFFFF"/>
              <w:tabs>
                <w:tab w:val="left" w:pos="0"/>
              </w:tabs>
              <w:jc w:val="both"/>
            </w:pPr>
            <w:r>
              <w:rPr>
                <w:sz w:val="22"/>
                <w:szCs w:val="22"/>
                <w:lang w:eastAsia="es-UY"/>
              </w:rPr>
              <w:t xml:space="preserve">The fines </w:t>
            </w:r>
            <w:proofErr w:type="spellStart"/>
            <w:r>
              <w:rPr>
                <w:sz w:val="22"/>
                <w:szCs w:val="22"/>
                <w:lang w:eastAsia="es-UY"/>
              </w:rPr>
              <w:t>will</w:t>
            </w:r>
            <w:proofErr w:type="spellEnd"/>
            <w:r>
              <w:rPr>
                <w:sz w:val="22"/>
                <w:szCs w:val="22"/>
                <w:lang w:eastAsia="es-UY"/>
              </w:rPr>
              <w:t xml:space="preserve"> be </w:t>
            </w:r>
            <w:proofErr w:type="spellStart"/>
            <w:r>
              <w:rPr>
                <w:sz w:val="22"/>
                <w:szCs w:val="22"/>
                <w:lang w:eastAsia="es-UY"/>
              </w:rPr>
              <w:t>deducted</w:t>
            </w:r>
            <w:proofErr w:type="spellEnd"/>
            <w:r>
              <w:rPr>
                <w:sz w:val="22"/>
                <w:szCs w:val="22"/>
                <w:lang w:eastAsia="es-UY"/>
              </w:rPr>
              <w:t xml:space="preserve"> </w:t>
            </w:r>
            <w:proofErr w:type="spellStart"/>
            <w:r>
              <w:rPr>
                <w:sz w:val="22"/>
                <w:szCs w:val="22"/>
                <w:lang w:eastAsia="es-UY"/>
              </w:rPr>
              <w:t>from</w:t>
            </w:r>
            <w:proofErr w:type="spellEnd"/>
            <w:r>
              <w:rPr>
                <w:sz w:val="22"/>
                <w:szCs w:val="22"/>
                <w:lang w:eastAsia="es-UY"/>
              </w:rPr>
              <w:t xml:space="preserve"> </w:t>
            </w:r>
            <w:proofErr w:type="spellStart"/>
            <w:r>
              <w:rPr>
                <w:sz w:val="22"/>
                <w:szCs w:val="22"/>
                <w:lang w:eastAsia="es-UY"/>
              </w:rPr>
              <w:t>any</w:t>
            </w:r>
            <w:proofErr w:type="spellEnd"/>
            <w:r>
              <w:rPr>
                <w:sz w:val="22"/>
                <w:szCs w:val="22"/>
                <w:lang w:eastAsia="es-UY"/>
              </w:rPr>
              <w:t xml:space="preserve"> </w:t>
            </w:r>
            <w:proofErr w:type="spellStart"/>
            <w:r>
              <w:rPr>
                <w:sz w:val="22"/>
                <w:szCs w:val="22"/>
                <w:lang w:eastAsia="es-UY"/>
              </w:rPr>
              <w:t>outstanding</w:t>
            </w:r>
            <w:proofErr w:type="spellEnd"/>
            <w:r>
              <w:rPr>
                <w:sz w:val="22"/>
                <w:szCs w:val="22"/>
                <w:lang w:eastAsia="es-UY"/>
              </w:rPr>
              <w:t xml:space="preserve"> </w:t>
            </w:r>
            <w:proofErr w:type="spellStart"/>
            <w:r>
              <w:rPr>
                <w:sz w:val="22"/>
                <w:szCs w:val="22"/>
                <w:lang w:eastAsia="es-UY"/>
              </w:rPr>
              <w:t>invoices</w:t>
            </w:r>
            <w:proofErr w:type="spellEnd"/>
            <w:r>
              <w:rPr>
                <w:sz w:val="22"/>
                <w:szCs w:val="22"/>
                <w:lang w:eastAsia="es-UY"/>
              </w:rPr>
              <w:t xml:space="preserve"> </w:t>
            </w:r>
            <w:proofErr w:type="spellStart"/>
            <w:r>
              <w:rPr>
                <w:sz w:val="22"/>
                <w:szCs w:val="22"/>
                <w:lang w:eastAsia="es-UY"/>
              </w:rPr>
              <w:t>related</w:t>
            </w:r>
            <w:proofErr w:type="spellEnd"/>
            <w:r>
              <w:rPr>
                <w:sz w:val="22"/>
                <w:szCs w:val="22"/>
                <w:lang w:eastAsia="es-UY"/>
              </w:rPr>
              <w:t xml:space="preserve"> </w:t>
            </w:r>
            <w:proofErr w:type="spellStart"/>
            <w:r>
              <w:rPr>
                <w:sz w:val="22"/>
                <w:szCs w:val="22"/>
                <w:lang w:eastAsia="es-UY"/>
              </w:rPr>
              <w:t>to</w:t>
            </w:r>
            <w:proofErr w:type="spellEnd"/>
            <w:r>
              <w:rPr>
                <w:sz w:val="22"/>
                <w:szCs w:val="22"/>
                <w:lang w:eastAsia="es-UY"/>
              </w:rPr>
              <w:t xml:space="preserve"> </w:t>
            </w:r>
            <w:proofErr w:type="spellStart"/>
            <w:r>
              <w:rPr>
                <w:sz w:val="22"/>
                <w:szCs w:val="22"/>
                <w:lang w:eastAsia="es-UY"/>
              </w:rPr>
              <w:t>this</w:t>
            </w:r>
            <w:proofErr w:type="spellEnd"/>
            <w:r>
              <w:rPr>
                <w:sz w:val="22"/>
                <w:szCs w:val="22"/>
                <w:lang w:eastAsia="es-UY"/>
              </w:rPr>
              <w:t xml:space="preserve"> </w:t>
            </w:r>
            <w:proofErr w:type="spellStart"/>
            <w:r>
              <w:rPr>
                <w:sz w:val="22"/>
                <w:szCs w:val="22"/>
                <w:lang w:eastAsia="es-UY"/>
              </w:rPr>
              <w:t>or</w:t>
            </w:r>
            <w:proofErr w:type="spellEnd"/>
            <w:r>
              <w:rPr>
                <w:sz w:val="22"/>
                <w:szCs w:val="22"/>
                <w:lang w:eastAsia="es-UY"/>
              </w:rPr>
              <w:t xml:space="preserve"> </w:t>
            </w:r>
            <w:proofErr w:type="spellStart"/>
            <w:r>
              <w:rPr>
                <w:sz w:val="22"/>
                <w:szCs w:val="22"/>
                <w:lang w:eastAsia="es-UY"/>
              </w:rPr>
              <w:t>any</w:t>
            </w:r>
            <w:proofErr w:type="spellEnd"/>
            <w:r>
              <w:rPr>
                <w:sz w:val="22"/>
                <w:szCs w:val="22"/>
                <w:lang w:eastAsia="es-UY"/>
              </w:rPr>
              <w:t xml:space="preserve"> </w:t>
            </w:r>
            <w:proofErr w:type="spellStart"/>
            <w:r>
              <w:rPr>
                <w:sz w:val="22"/>
                <w:szCs w:val="22"/>
                <w:lang w:eastAsia="es-UY"/>
              </w:rPr>
              <w:t>other</w:t>
            </w:r>
            <w:proofErr w:type="spellEnd"/>
            <w:r>
              <w:rPr>
                <w:sz w:val="22"/>
                <w:szCs w:val="22"/>
                <w:lang w:eastAsia="es-UY"/>
              </w:rPr>
              <w:t xml:space="preserve"> </w:t>
            </w:r>
            <w:proofErr w:type="spellStart"/>
            <w:r>
              <w:rPr>
                <w:sz w:val="22"/>
                <w:szCs w:val="22"/>
                <w:lang w:eastAsia="es-UY"/>
              </w:rPr>
              <w:t>contract</w:t>
            </w:r>
            <w:proofErr w:type="spellEnd"/>
            <w:r>
              <w:rPr>
                <w:sz w:val="22"/>
                <w:szCs w:val="22"/>
                <w:lang w:eastAsia="es-UY"/>
              </w:rPr>
              <w:t xml:space="preserve"> </w:t>
            </w:r>
            <w:proofErr w:type="spellStart"/>
            <w:r>
              <w:rPr>
                <w:sz w:val="22"/>
                <w:szCs w:val="22"/>
                <w:lang w:eastAsia="es-UY"/>
              </w:rPr>
              <w:t>the</w:t>
            </w:r>
            <w:proofErr w:type="spellEnd"/>
            <w:r>
              <w:rPr>
                <w:sz w:val="22"/>
                <w:szCs w:val="22"/>
                <w:lang w:eastAsia="es-UY"/>
              </w:rPr>
              <w:t xml:space="preserve"> Company has </w:t>
            </w:r>
            <w:proofErr w:type="spellStart"/>
            <w:r>
              <w:rPr>
                <w:sz w:val="22"/>
                <w:szCs w:val="22"/>
                <w:lang w:eastAsia="es-UY"/>
              </w:rPr>
              <w:t>with</w:t>
            </w:r>
            <w:proofErr w:type="spellEnd"/>
            <w:r>
              <w:rPr>
                <w:sz w:val="22"/>
                <w:szCs w:val="22"/>
                <w:lang w:eastAsia="es-UY"/>
              </w:rPr>
              <w:t xml:space="preserve"> OSE. </w:t>
            </w:r>
            <w:proofErr w:type="spellStart"/>
            <w:r>
              <w:rPr>
                <w:sz w:val="22"/>
                <w:szCs w:val="22"/>
                <w:lang w:eastAsia="es-UY"/>
              </w:rPr>
              <w:t>Otherwise</w:t>
            </w:r>
            <w:proofErr w:type="spellEnd"/>
            <w:r>
              <w:rPr>
                <w:sz w:val="22"/>
                <w:szCs w:val="22"/>
                <w:lang w:eastAsia="es-UY"/>
              </w:rPr>
              <w:t xml:space="preserve">, </w:t>
            </w:r>
            <w:proofErr w:type="spellStart"/>
            <w:r>
              <w:rPr>
                <w:sz w:val="22"/>
                <w:szCs w:val="22"/>
                <w:lang w:eastAsia="es-UY"/>
              </w:rPr>
              <w:t>the</w:t>
            </w:r>
            <w:proofErr w:type="spellEnd"/>
            <w:r>
              <w:rPr>
                <w:sz w:val="22"/>
                <w:szCs w:val="22"/>
                <w:lang w:eastAsia="es-UY"/>
              </w:rPr>
              <w:t xml:space="preserve"> </w:t>
            </w:r>
            <w:proofErr w:type="spellStart"/>
            <w:r>
              <w:rPr>
                <w:sz w:val="22"/>
                <w:szCs w:val="22"/>
                <w:lang w:eastAsia="es-UY"/>
              </w:rPr>
              <w:t>contractor</w:t>
            </w:r>
            <w:proofErr w:type="spellEnd"/>
            <w:r>
              <w:rPr>
                <w:sz w:val="22"/>
                <w:szCs w:val="22"/>
                <w:lang w:eastAsia="es-UY"/>
              </w:rPr>
              <w:t xml:space="preserve"> </w:t>
            </w:r>
            <w:proofErr w:type="spellStart"/>
            <w:r>
              <w:rPr>
                <w:sz w:val="22"/>
                <w:szCs w:val="22"/>
                <w:lang w:eastAsia="es-UY"/>
              </w:rPr>
              <w:t>must</w:t>
            </w:r>
            <w:proofErr w:type="spellEnd"/>
            <w:r>
              <w:rPr>
                <w:sz w:val="22"/>
                <w:szCs w:val="22"/>
                <w:lang w:eastAsia="es-UY"/>
              </w:rPr>
              <w:t xml:space="preserve"> </w:t>
            </w:r>
            <w:proofErr w:type="spellStart"/>
            <w:r>
              <w:rPr>
                <w:sz w:val="22"/>
                <w:szCs w:val="22"/>
                <w:lang w:eastAsia="es-UY"/>
              </w:rPr>
              <w:t>pay</w:t>
            </w:r>
            <w:proofErr w:type="spellEnd"/>
            <w:r>
              <w:rPr>
                <w:sz w:val="22"/>
                <w:szCs w:val="22"/>
                <w:lang w:eastAsia="es-UY"/>
              </w:rPr>
              <w:t xml:space="preserve"> OSE </w:t>
            </w:r>
            <w:proofErr w:type="spellStart"/>
            <w:r>
              <w:rPr>
                <w:sz w:val="22"/>
                <w:szCs w:val="22"/>
                <w:lang w:eastAsia="es-UY"/>
              </w:rPr>
              <w:t>the</w:t>
            </w:r>
            <w:proofErr w:type="spellEnd"/>
            <w:r>
              <w:rPr>
                <w:sz w:val="22"/>
                <w:szCs w:val="22"/>
                <w:lang w:eastAsia="es-UY"/>
              </w:rPr>
              <w:t xml:space="preserve"> </w:t>
            </w:r>
            <w:proofErr w:type="spellStart"/>
            <w:r>
              <w:rPr>
                <w:sz w:val="22"/>
                <w:szCs w:val="22"/>
                <w:lang w:eastAsia="es-UY"/>
              </w:rPr>
              <w:t>corresponding</w:t>
            </w:r>
            <w:proofErr w:type="spellEnd"/>
            <w:r>
              <w:rPr>
                <w:sz w:val="22"/>
                <w:szCs w:val="22"/>
                <w:lang w:eastAsia="es-UY"/>
              </w:rPr>
              <w:t xml:space="preserve"> </w:t>
            </w:r>
            <w:proofErr w:type="spellStart"/>
            <w:r>
              <w:rPr>
                <w:sz w:val="22"/>
                <w:szCs w:val="22"/>
                <w:lang w:eastAsia="es-UY"/>
              </w:rPr>
              <w:t>amount</w:t>
            </w:r>
            <w:proofErr w:type="spellEnd"/>
            <w:r>
              <w:rPr>
                <w:sz w:val="22"/>
                <w:szCs w:val="22"/>
                <w:lang w:eastAsia="es-UY"/>
              </w:rPr>
              <w:t xml:space="preserve"> </w:t>
            </w:r>
            <w:proofErr w:type="spellStart"/>
            <w:r>
              <w:rPr>
                <w:sz w:val="22"/>
                <w:szCs w:val="22"/>
                <w:lang w:eastAsia="es-UY"/>
              </w:rPr>
              <w:t>within</w:t>
            </w:r>
            <w:proofErr w:type="spellEnd"/>
            <w:r>
              <w:rPr>
                <w:sz w:val="22"/>
                <w:szCs w:val="22"/>
                <w:lang w:eastAsia="es-UY"/>
              </w:rPr>
              <w:t xml:space="preserve"> </w:t>
            </w:r>
            <w:proofErr w:type="spellStart"/>
            <w:r>
              <w:rPr>
                <w:sz w:val="22"/>
                <w:szCs w:val="22"/>
                <w:lang w:eastAsia="es-UY"/>
              </w:rPr>
              <w:t>the</w:t>
            </w:r>
            <w:proofErr w:type="spellEnd"/>
            <w:r>
              <w:rPr>
                <w:sz w:val="22"/>
                <w:szCs w:val="22"/>
                <w:lang w:eastAsia="es-UY"/>
              </w:rPr>
              <w:t xml:space="preserve"> </w:t>
            </w:r>
            <w:proofErr w:type="spellStart"/>
            <w:r>
              <w:rPr>
                <w:sz w:val="22"/>
                <w:szCs w:val="22"/>
                <w:lang w:eastAsia="es-UY"/>
              </w:rPr>
              <w:t>timeframe</w:t>
            </w:r>
            <w:proofErr w:type="spellEnd"/>
            <w:r>
              <w:rPr>
                <w:sz w:val="22"/>
                <w:szCs w:val="22"/>
                <w:lang w:eastAsia="es-UY"/>
              </w:rPr>
              <w:t xml:space="preserve"> </w:t>
            </w:r>
            <w:proofErr w:type="spellStart"/>
            <w:r>
              <w:rPr>
                <w:sz w:val="22"/>
                <w:szCs w:val="22"/>
                <w:lang w:eastAsia="es-UY"/>
              </w:rPr>
              <w:t>specified</w:t>
            </w:r>
            <w:proofErr w:type="spellEnd"/>
            <w:r>
              <w:rPr>
                <w:sz w:val="22"/>
                <w:szCs w:val="22"/>
                <w:lang w:eastAsia="es-UY"/>
              </w:rPr>
              <w:t xml:space="preserve"> in </w:t>
            </w:r>
            <w:proofErr w:type="spellStart"/>
            <w:r>
              <w:rPr>
                <w:sz w:val="22"/>
                <w:szCs w:val="22"/>
                <w:lang w:eastAsia="es-UY"/>
              </w:rPr>
              <w:t>the</w:t>
            </w:r>
            <w:proofErr w:type="spellEnd"/>
            <w:r>
              <w:rPr>
                <w:sz w:val="22"/>
                <w:szCs w:val="22"/>
                <w:lang w:eastAsia="es-UY"/>
              </w:rPr>
              <w:t xml:space="preserve"> </w:t>
            </w:r>
            <w:proofErr w:type="spellStart"/>
            <w:r>
              <w:rPr>
                <w:sz w:val="22"/>
                <w:szCs w:val="22"/>
                <w:lang w:eastAsia="es-UY"/>
              </w:rPr>
              <w:t>notification</w:t>
            </w:r>
            <w:proofErr w:type="spellEnd"/>
            <w:r>
              <w:rPr>
                <w:sz w:val="22"/>
                <w:szCs w:val="22"/>
                <w:lang w:eastAsia="es-UY"/>
              </w:rPr>
              <w:t>.</w:t>
            </w:r>
          </w:p>
          <w:p w14:paraId="64387173" w14:textId="77777777" w:rsidR="00E255F4" w:rsidRDefault="00E255F4">
            <w:pPr>
              <w:shd w:val="clear" w:color="auto" w:fill="FFFFFF"/>
              <w:tabs>
                <w:tab w:val="left" w:pos="0"/>
              </w:tabs>
              <w:jc w:val="both"/>
              <w:rPr>
                <w:sz w:val="22"/>
                <w:szCs w:val="22"/>
                <w:lang w:eastAsia="es-UY"/>
              </w:rPr>
            </w:pPr>
          </w:p>
          <w:p w14:paraId="6465429C" w14:textId="77777777" w:rsidR="00E255F4" w:rsidRDefault="00000000">
            <w:pPr>
              <w:shd w:val="clear" w:color="auto" w:fill="FFFFFF"/>
              <w:tabs>
                <w:tab w:val="left" w:pos="0"/>
              </w:tabs>
              <w:jc w:val="both"/>
              <w:rPr>
                <w:sz w:val="22"/>
                <w:szCs w:val="22"/>
                <w:lang w:eastAsia="es-UY"/>
              </w:rPr>
            </w:pPr>
            <w:proofErr w:type="spellStart"/>
            <w:r>
              <w:rPr>
                <w:sz w:val="22"/>
                <w:szCs w:val="22"/>
                <w:lang w:eastAsia="es-UY"/>
              </w:rPr>
              <w:t>If</w:t>
            </w:r>
            <w:proofErr w:type="spellEnd"/>
            <w:r>
              <w:rPr>
                <w:sz w:val="22"/>
                <w:szCs w:val="22"/>
                <w:lang w:eastAsia="es-UY"/>
              </w:rPr>
              <w:t xml:space="preserve"> </w:t>
            </w:r>
            <w:proofErr w:type="spellStart"/>
            <w:r>
              <w:rPr>
                <w:sz w:val="22"/>
                <w:szCs w:val="22"/>
                <w:lang w:eastAsia="es-UY"/>
              </w:rPr>
              <w:t>payment</w:t>
            </w:r>
            <w:proofErr w:type="spellEnd"/>
            <w:r>
              <w:rPr>
                <w:sz w:val="22"/>
                <w:szCs w:val="22"/>
                <w:lang w:eastAsia="es-UY"/>
              </w:rPr>
              <w:t xml:space="preserve"> </w:t>
            </w:r>
            <w:proofErr w:type="spellStart"/>
            <w:r>
              <w:rPr>
                <w:sz w:val="22"/>
                <w:szCs w:val="22"/>
                <w:lang w:eastAsia="es-UY"/>
              </w:rPr>
              <w:t>is</w:t>
            </w:r>
            <w:proofErr w:type="spellEnd"/>
            <w:r>
              <w:rPr>
                <w:sz w:val="22"/>
                <w:szCs w:val="22"/>
                <w:lang w:eastAsia="es-UY"/>
              </w:rPr>
              <w:t xml:space="preserve"> </w:t>
            </w:r>
            <w:proofErr w:type="spellStart"/>
            <w:r>
              <w:rPr>
                <w:sz w:val="22"/>
                <w:szCs w:val="22"/>
                <w:lang w:eastAsia="es-UY"/>
              </w:rPr>
              <w:t>not</w:t>
            </w:r>
            <w:proofErr w:type="spellEnd"/>
            <w:r>
              <w:rPr>
                <w:sz w:val="22"/>
                <w:szCs w:val="22"/>
                <w:lang w:eastAsia="es-UY"/>
              </w:rPr>
              <w:t xml:space="preserve"> </w:t>
            </w:r>
            <w:proofErr w:type="spellStart"/>
            <w:r>
              <w:rPr>
                <w:sz w:val="22"/>
                <w:szCs w:val="22"/>
                <w:lang w:eastAsia="es-UY"/>
              </w:rPr>
              <w:t>made</w:t>
            </w:r>
            <w:proofErr w:type="spellEnd"/>
            <w:r>
              <w:rPr>
                <w:sz w:val="22"/>
                <w:szCs w:val="22"/>
                <w:lang w:eastAsia="es-UY"/>
              </w:rPr>
              <w:t xml:space="preserve">, OSE reserves </w:t>
            </w:r>
            <w:proofErr w:type="spellStart"/>
            <w:r>
              <w:rPr>
                <w:sz w:val="22"/>
                <w:szCs w:val="22"/>
                <w:lang w:eastAsia="es-UY"/>
              </w:rPr>
              <w:t>the</w:t>
            </w:r>
            <w:proofErr w:type="spellEnd"/>
            <w:r>
              <w:rPr>
                <w:sz w:val="22"/>
                <w:szCs w:val="22"/>
                <w:lang w:eastAsia="es-UY"/>
              </w:rPr>
              <w:t xml:space="preserve"> </w:t>
            </w:r>
            <w:proofErr w:type="spellStart"/>
            <w:r>
              <w:rPr>
                <w:sz w:val="22"/>
                <w:szCs w:val="22"/>
                <w:lang w:eastAsia="es-UY"/>
              </w:rPr>
              <w:t>right</w:t>
            </w:r>
            <w:proofErr w:type="spellEnd"/>
            <w:r>
              <w:rPr>
                <w:sz w:val="22"/>
                <w:szCs w:val="22"/>
                <w:lang w:eastAsia="es-UY"/>
              </w:rPr>
              <w:t xml:space="preserve"> </w:t>
            </w:r>
            <w:proofErr w:type="spellStart"/>
            <w:r>
              <w:rPr>
                <w:sz w:val="22"/>
                <w:szCs w:val="22"/>
                <w:lang w:eastAsia="es-UY"/>
              </w:rPr>
              <w:t>to</w:t>
            </w:r>
            <w:proofErr w:type="spellEnd"/>
            <w:r>
              <w:rPr>
                <w:sz w:val="22"/>
                <w:szCs w:val="22"/>
                <w:lang w:eastAsia="es-UY"/>
              </w:rPr>
              <w:t xml:space="preserve"> </w:t>
            </w:r>
            <w:proofErr w:type="spellStart"/>
            <w:r>
              <w:rPr>
                <w:sz w:val="22"/>
                <w:szCs w:val="22"/>
                <w:lang w:eastAsia="es-UY"/>
              </w:rPr>
              <w:t>take</w:t>
            </w:r>
            <w:proofErr w:type="spellEnd"/>
            <w:r>
              <w:rPr>
                <w:sz w:val="22"/>
                <w:szCs w:val="22"/>
                <w:lang w:eastAsia="es-UY"/>
              </w:rPr>
              <w:t xml:space="preserve"> legal </w:t>
            </w:r>
            <w:proofErr w:type="spellStart"/>
            <w:r>
              <w:rPr>
                <w:sz w:val="22"/>
                <w:szCs w:val="22"/>
                <w:lang w:eastAsia="es-UY"/>
              </w:rPr>
              <w:t>action</w:t>
            </w:r>
            <w:proofErr w:type="spellEnd"/>
            <w:r>
              <w:rPr>
                <w:sz w:val="22"/>
                <w:szCs w:val="22"/>
                <w:lang w:eastAsia="es-UY"/>
              </w:rPr>
              <w:t xml:space="preserve"> </w:t>
            </w:r>
            <w:proofErr w:type="spellStart"/>
            <w:r>
              <w:rPr>
                <w:sz w:val="22"/>
                <w:szCs w:val="22"/>
                <w:lang w:eastAsia="es-UY"/>
              </w:rPr>
              <w:t>to</w:t>
            </w:r>
            <w:proofErr w:type="spellEnd"/>
            <w:r>
              <w:rPr>
                <w:sz w:val="22"/>
                <w:szCs w:val="22"/>
                <w:lang w:eastAsia="es-UY"/>
              </w:rPr>
              <w:t xml:space="preserve"> </w:t>
            </w:r>
            <w:proofErr w:type="spellStart"/>
            <w:r>
              <w:rPr>
                <w:sz w:val="22"/>
                <w:szCs w:val="22"/>
                <w:lang w:eastAsia="es-UY"/>
              </w:rPr>
              <w:t>collect</w:t>
            </w:r>
            <w:proofErr w:type="spellEnd"/>
            <w:r>
              <w:rPr>
                <w:sz w:val="22"/>
                <w:szCs w:val="22"/>
                <w:lang w:eastAsia="es-UY"/>
              </w:rPr>
              <w:t xml:space="preserve"> </w:t>
            </w:r>
            <w:proofErr w:type="spellStart"/>
            <w:r>
              <w:rPr>
                <w:sz w:val="22"/>
                <w:szCs w:val="22"/>
                <w:lang w:eastAsia="es-UY"/>
              </w:rPr>
              <w:t>the</w:t>
            </w:r>
            <w:proofErr w:type="spellEnd"/>
            <w:r>
              <w:rPr>
                <w:sz w:val="22"/>
                <w:szCs w:val="22"/>
                <w:lang w:eastAsia="es-UY"/>
              </w:rPr>
              <w:t xml:space="preserve"> </w:t>
            </w:r>
            <w:proofErr w:type="spellStart"/>
            <w:r>
              <w:rPr>
                <w:sz w:val="22"/>
                <w:szCs w:val="22"/>
                <w:lang w:eastAsia="es-UY"/>
              </w:rPr>
              <w:t>debt</w:t>
            </w:r>
            <w:proofErr w:type="spellEnd"/>
            <w:r>
              <w:rPr>
                <w:sz w:val="22"/>
                <w:szCs w:val="22"/>
                <w:lang w:eastAsia="es-UY"/>
              </w:rPr>
              <w:t>.</w:t>
            </w:r>
          </w:p>
          <w:p w14:paraId="1BB941DA" w14:textId="77777777" w:rsidR="00E255F4" w:rsidRDefault="00E255F4">
            <w:pPr>
              <w:shd w:val="clear" w:color="auto" w:fill="FFFFFF"/>
              <w:tabs>
                <w:tab w:val="left" w:pos="0"/>
              </w:tabs>
              <w:jc w:val="both"/>
              <w:rPr>
                <w:sz w:val="22"/>
                <w:szCs w:val="22"/>
                <w:lang w:eastAsia="es-UY"/>
              </w:rPr>
            </w:pPr>
          </w:p>
          <w:p w14:paraId="2D20003E" w14:textId="77777777" w:rsidR="00E255F4" w:rsidRDefault="00000000">
            <w:pPr>
              <w:shd w:val="clear" w:color="auto" w:fill="FFFFFF"/>
              <w:tabs>
                <w:tab w:val="left" w:pos="0"/>
              </w:tabs>
              <w:jc w:val="both"/>
              <w:rPr>
                <w:sz w:val="22"/>
                <w:szCs w:val="22"/>
                <w:lang w:eastAsia="es-UY"/>
              </w:rPr>
            </w:pPr>
            <w:proofErr w:type="spellStart"/>
            <w:r>
              <w:rPr>
                <w:sz w:val="22"/>
                <w:szCs w:val="22"/>
                <w:lang w:eastAsia="es-UY"/>
              </w:rPr>
              <w:t>Where</w:t>
            </w:r>
            <w:proofErr w:type="spellEnd"/>
            <w:r>
              <w:rPr>
                <w:sz w:val="22"/>
                <w:szCs w:val="22"/>
                <w:lang w:eastAsia="es-UY"/>
              </w:rPr>
              <w:t xml:space="preserve"> </w:t>
            </w:r>
            <w:proofErr w:type="spellStart"/>
            <w:r>
              <w:rPr>
                <w:sz w:val="22"/>
                <w:szCs w:val="22"/>
                <w:lang w:eastAsia="es-UY"/>
              </w:rPr>
              <w:t>applicable</w:t>
            </w:r>
            <w:proofErr w:type="spellEnd"/>
            <w:r>
              <w:rPr>
                <w:sz w:val="22"/>
                <w:szCs w:val="22"/>
                <w:lang w:eastAsia="es-UY"/>
              </w:rPr>
              <w:t xml:space="preserve">, fines </w:t>
            </w:r>
            <w:proofErr w:type="spellStart"/>
            <w:r>
              <w:rPr>
                <w:sz w:val="22"/>
                <w:szCs w:val="22"/>
                <w:lang w:eastAsia="es-UY"/>
              </w:rPr>
              <w:t>will</w:t>
            </w:r>
            <w:proofErr w:type="spellEnd"/>
            <w:r>
              <w:rPr>
                <w:sz w:val="22"/>
                <w:szCs w:val="22"/>
                <w:lang w:eastAsia="es-UY"/>
              </w:rPr>
              <w:t xml:space="preserve"> be </w:t>
            </w:r>
            <w:proofErr w:type="spellStart"/>
            <w:r>
              <w:rPr>
                <w:sz w:val="22"/>
                <w:szCs w:val="22"/>
                <w:lang w:eastAsia="es-UY"/>
              </w:rPr>
              <w:t>applied</w:t>
            </w:r>
            <w:proofErr w:type="spellEnd"/>
            <w:r>
              <w:rPr>
                <w:sz w:val="22"/>
                <w:szCs w:val="22"/>
                <w:lang w:eastAsia="es-UY"/>
              </w:rPr>
              <w:t xml:space="preserve"> </w:t>
            </w:r>
            <w:proofErr w:type="spellStart"/>
            <w:r>
              <w:rPr>
                <w:sz w:val="22"/>
                <w:szCs w:val="22"/>
                <w:lang w:eastAsia="es-UY"/>
              </w:rPr>
              <w:t>to</w:t>
            </w:r>
            <w:proofErr w:type="spellEnd"/>
            <w:r>
              <w:rPr>
                <w:sz w:val="22"/>
                <w:szCs w:val="22"/>
                <w:lang w:eastAsia="es-UY"/>
              </w:rPr>
              <w:t xml:space="preserve"> </w:t>
            </w:r>
            <w:proofErr w:type="spellStart"/>
            <w:r>
              <w:rPr>
                <w:sz w:val="22"/>
                <w:szCs w:val="22"/>
                <w:lang w:eastAsia="es-UY"/>
              </w:rPr>
              <w:t>the</w:t>
            </w:r>
            <w:proofErr w:type="spellEnd"/>
            <w:r>
              <w:rPr>
                <w:sz w:val="22"/>
                <w:szCs w:val="22"/>
                <w:lang w:eastAsia="es-UY"/>
              </w:rPr>
              <w:t xml:space="preserve"> </w:t>
            </w:r>
            <w:proofErr w:type="spellStart"/>
            <w:r>
              <w:rPr>
                <w:sz w:val="22"/>
                <w:szCs w:val="22"/>
                <w:lang w:eastAsia="es-UY"/>
              </w:rPr>
              <w:t>adjusted</w:t>
            </w:r>
            <w:proofErr w:type="spellEnd"/>
            <w:r>
              <w:rPr>
                <w:sz w:val="22"/>
                <w:szCs w:val="22"/>
                <w:lang w:eastAsia="es-UY"/>
              </w:rPr>
              <w:t xml:space="preserve"> </w:t>
            </w:r>
            <w:proofErr w:type="spellStart"/>
            <w:r>
              <w:rPr>
                <w:sz w:val="22"/>
                <w:szCs w:val="22"/>
                <w:lang w:eastAsia="es-UY"/>
              </w:rPr>
              <w:t>basic</w:t>
            </w:r>
            <w:proofErr w:type="spellEnd"/>
            <w:r>
              <w:rPr>
                <w:sz w:val="22"/>
                <w:szCs w:val="22"/>
                <w:lang w:eastAsia="es-UY"/>
              </w:rPr>
              <w:t xml:space="preserve"> </w:t>
            </w:r>
            <w:proofErr w:type="spellStart"/>
            <w:r>
              <w:rPr>
                <w:sz w:val="22"/>
                <w:szCs w:val="22"/>
                <w:lang w:eastAsia="es-UY"/>
              </w:rPr>
              <w:t>values</w:t>
            </w:r>
            <w:proofErr w:type="spellEnd"/>
            <w:r>
              <w:rPr>
                <w:sz w:val="22"/>
                <w:szCs w:val="22"/>
                <w:lang w:eastAsia="es-UY"/>
              </w:rPr>
              <w:t xml:space="preserve">, </w:t>
            </w:r>
            <w:proofErr w:type="spellStart"/>
            <w:r>
              <w:rPr>
                <w:sz w:val="22"/>
                <w:szCs w:val="22"/>
                <w:lang w:eastAsia="es-UY"/>
              </w:rPr>
              <w:t>according</w:t>
            </w:r>
            <w:proofErr w:type="spellEnd"/>
            <w:r>
              <w:rPr>
                <w:sz w:val="22"/>
                <w:szCs w:val="22"/>
                <w:lang w:eastAsia="es-UY"/>
              </w:rPr>
              <w:t xml:space="preserve"> </w:t>
            </w:r>
            <w:proofErr w:type="spellStart"/>
            <w:r>
              <w:rPr>
                <w:sz w:val="22"/>
                <w:szCs w:val="22"/>
                <w:lang w:eastAsia="es-UY"/>
              </w:rPr>
              <w:t>to</w:t>
            </w:r>
            <w:proofErr w:type="spellEnd"/>
            <w:r>
              <w:rPr>
                <w:sz w:val="22"/>
                <w:szCs w:val="22"/>
                <w:lang w:eastAsia="es-UY"/>
              </w:rPr>
              <w:t xml:space="preserve"> </w:t>
            </w:r>
            <w:proofErr w:type="spellStart"/>
            <w:r>
              <w:rPr>
                <w:sz w:val="22"/>
                <w:szCs w:val="22"/>
                <w:lang w:eastAsia="es-UY"/>
              </w:rPr>
              <w:t>the</w:t>
            </w:r>
            <w:proofErr w:type="spellEnd"/>
            <w:r>
              <w:rPr>
                <w:sz w:val="22"/>
                <w:szCs w:val="22"/>
                <w:lang w:eastAsia="es-UY"/>
              </w:rPr>
              <w:t xml:space="preserve"> </w:t>
            </w:r>
            <w:proofErr w:type="spellStart"/>
            <w:r>
              <w:rPr>
                <w:sz w:val="22"/>
                <w:szCs w:val="22"/>
                <w:lang w:eastAsia="es-UY"/>
              </w:rPr>
              <w:t>parametric</w:t>
            </w:r>
            <w:proofErr w:type="spellEnd"/>
            <w:r>
              <w:rPr>
                <w:sz w:val="22"/>
                <w:szCs w:val="22"/>
                <w:lang w:eastAsia="es-UY"/>
              </w:rPr>
              <w:t xml:space="preserve"> formula </w:t>
            </w:r>
            <w:proofErr w:type="spellStart"/>
            <w:r>
              <w:rPr>
                <w:sz w:val="22"/>
                <w:szCs w:val="22"/>
                <w:lang w:eastAsia="es-UY"/>
              </w:rPr>
              <w:t>established</w:t>
            </w:r>
            <w:proofErr w:type="spellEnd"/>
            <w:r>
              <w:rPr>
                <w:sz w:val="22"/>
                <w:szCs w:val="22"/>
                <w:lang w:eastAsia="es-UY"/>
              </w:rPr>
              <w:t xml:space="preserve"> in Art. 10.3.2.</w:t>
            </w:r>
          </w:p>
          <w:p w14:paraId="3FB61F45" w14:textId="77777777" w:rsidR="00E255F4" w:rsidRDefault="00E255F4">
            <w:pPr>
              <w:shd w:val="clear" w:color="auto" w:fill="FFFFFF"/>
              <w:tabs>
                <w:tab w:val="left" w:pos="0"/>
              </w:tabs>
              <w:jc w:val="both"/>
              <w:rPr>
                <w:sz w:val="22"/>
                <w:szCs w:val="22"/>
                <w:lang w:eastAsia="es-UY"/>
              </w:rPr>
            </w:pPr>
          </w:p>
          <w:p w14:paraId="48DA5E40" w14:textId="77777777" w:rsidR="00E255F4" w:rsidRDefault="00000000">
            <w:pPr>
              <w:pStyle w:val="Default"/>
              <w:jc w:val="both"/>
            </w:pPr>
            <w:proofErr w:type="spellStart"/>
            <w:r>
              <w:rPr>
                <w:rFonts w:ascii="Times New Roman" w:hAnsi="Times New Roman" w:cs="Times New Roman"/>
                <w:sz w:val="22"/>
                <w:szCs w:val="22"/>
                <w:lang w:val="es-UY" w:eastAsia="es-UY"/>
              </w:rPr>
              <w:t>If</w:t>
            </w:r>
            <w:proofErr w:type="spellEnd"/>
            <w:r>
              <w:rPr>
                <w:rFonts w:ascii="Times New Roman" w:hAnsi="Times New Roman" w:cs="Times New Roman"/>
                <w:sz w:val="22"/>
                <w:szCs w:val="22"/>
                <w:lang w:val="es-UY" w:eastAsia="es-UY"/>
              </w:rPr>
              <w:t xml:space="preserve">, </w:t>
            </w:r>
            <w:proofErr w:type="spellStart"/>
            <w:r>
              <w:rPr>
                <w:rFonts w:ascii="Times New Roman" w:hAnsi="Times New Roman" w:cs="Times New Roman"/>
                <w:sz w:val="22"/>
                <w:szCs w:val="22"/>
                <w:lang w:val="es-UY" w:eastAsia="es-UY"/>
              </w:rPr>
              <w:t>due</w:t>
            </w:r>
            <w:proofErr w:type="spellEnd"/>
            <w:r>
              <w:rPr>
                <w:rFonts w:ascii="Times New Roman" w:hAnsi="Times New Roman" w:cs="Times New Roman"/>
                <w:sz w:val="22"/>
                <w:szCs w:val="22"/>
                <w:lang w:val="es-UY" w:eastAsia="es-UY"/>
              </w:rPr>
              <w:t xml:space="preserve"> </w:t>
            </w:r>
            <w:proofErr w:type="spellStart"/>
            <w:r>
              <w:rPr>
                <w:rFonts w:ascii="Times New Roman" w:hAnsi="Times New Roman" w:cs="Times New Roman"/>
                <w:sz w:val="22"/>
                <w:szCs w:val="22"/>
                <w:lang w:val="es-UY" w:eastAsia="es-UY"/>
              </w:rPr>
              <w:t>to</w:t>
            </w:r>
            <w:proofErr w:type="spellEnd"/>
            <w:r>
              <w:rPr>
                <w:rFonts w:ascii="Times New Roman" w:hAnsi="Times New Roman" w:cs="Times New Roman"/>
                <w:sz w:val="22"/>
                <w:szCs w:val="22"/>
                <w:lang w:val="es-UY" w:eastAsia="es-UY"/>
              </w:rPr>
              <w:t xml:space="preserve"> causes </w:t>
            </w:r>
            <w:proofErr w:type="spellStart"/>
            <w:r>
              <w:rPr>
                <w:rFonts w:ascii="Times New Roman" w:hAnsi="Times New Roman" w:cs="Times New Roman"/>
                <w:sz w:val="22"/>
                <w:szCs w:val="22"/>
                <w:lang w:val="es-UY" w:eastAsia="es-UY"/>
              </w:rPr>
              <w:t>attributable</w:t>
            </w:r>
            <w:proofErr w:type="spellEnd"/>
            <w:r>
              <w:rPr>
                <w:rFonts w:ascii="Times New Roman" w:hAnsi="Times New Roman" w:cs="Times New Roman"/>
                <w:sz w:val="22"/>
                <w:szCs w:val="22"/>
                <w:lang w:val="es-UY" w:eastAsia="es-UY"/>
              </w:rPr>
              <w:t xml:space="preserve"> </w:t>
            </w:r>
            <w:proofErr w:type="spellStart"/>
            <w:r>
              <w:rPr>
                <w:rFonts w:ascii="Times New Roman" w:hAnsi="Times New Roman" w:cs="Times New Roman"/>
                <w:sz w:val="22"/>
                <w:szCs w:val="22"/>
                <w:lang w:val="es-UY" w:eastAsia="es-UY"/>
              </w:rPr>
              <w:t>to</w:t>
            </w:r>
            <w:proofErr w:type="spellEnd"/>
            <w:r>
              <w:rPr>
                <w:rFonts w:ascii="Times New Roman" w:hAnsi="Times New Roman" w:cs="Times New Roman"/>
                <w:sz w:val="22"/>
                <w:szCs w:val="22"/>
                <w:lang w:val="es-UY" w:eastAsia="es-UY"/>
              </w:rPr>
              <w:t xml:space="preserve"> </w:t>
            </w:r>
            <w:proofErr w:type="spellStart"/>
            <w:r>
              <w:rPr>
                <w:rFonts w:ascii="Times New Roman" w:hAnsi="Times New Roman" w:cs="Times New Roman"/>
                <w:sz w:val="22"/>
                <w:szCs w:val="22"/>
                <w:lang w:val="es-UY" w:eastAsia="es-UY"/>
              </w:rPr>
              <w:t>the</w:t>
            </w:r>
            <w:proofErr w:type="spellEnd"/>
            <w:r>
              <w:rPr>
                <w:rFonts w:ascii="Times New Roman" w:hAnsi="Times New Roman" w:cs="Times New Roman"/>
                <w:sz w:val="22"/>
                <w:szCs w:val="22"/>
                <w:lang w:val="es-UY" w:eastAsia="es-UY"/>
              </w:rPr>
              <w:t xml:space="preserve"> </w:t>
            </w:r>
            <w:proofErr w:type="spellStart"/>
            <w:r>
              <w:rPr>
                <w:rFonts w:ascii="Times New Roman" w:hAnsi="Times New Roman" w:cs="Times New Roman"/>
                <w:sz w:val="22"/>
                <w:szCs w:val="22"/>
                <w:lang w:val="es-UY" w:eastAsia="es-UY"/>
              </w:rPr>
              <w:t>Awardee</w:t>
            </w:r>
            <w:proofErr w:type="spellEnd"/>
            <w:r>
              <w:rPr>
                <w:rFonts w:ascii="Times New Roman" w:hAnsi="Times New Roman" w:cs="Times New Roman"/>
                <w:sz w:val="22"/>
                <w:szCs w:val="22"/>
                <w:lang w:val="es-UY" w:eastAsia="es-UY"/>
              </w:rPr>
              <w:t xml:space="preserve"> Company, </w:t>
            </w:r>
            <w:proofErr w:type="spellStart"/>
            <w:r>
              <w:rPr>
                <w:rFonts w:ascii="Times New Roman" w:hAnsi="Times New Roman" w:cs="Times New Roman"/>
                <w:sz w:val="22"/>
                <w:szCs w:val="22"/>
                <w:lang w:val="es-UY" w:eastAsia="es-UY"/>
              </w:rPr>
              <w:t>the</w:t>
            </w:r>
            <w:proofErr w:type="spellEnd"/>
            <w:r>
              <w:rPr>
                <w:rFonts w:ascii="Times New Roman" w:hAnsi="Times New Roman" w:cs="Times New Roman"/>
                <w:sz w:val="22"/>
                <w:szCs w:val="22"/>
                <w:lang w:val="es-UY" w:eastAsia="es-UY"/>
              </w:rPr>
              <w:t xml:space="preserve"> </w:t>
            </w:r>
            <w:proofErr w:type="spellStart"/>
            <w:r>
              <w:rPr>
                <w:rFonts w:ascii="Times New Roman" w:hAnsi="Times New Roman" w:cs="Times New Roman"/>
                <w:sz w:val="22"/>
                <w:szCs w:val="22"/>
                <w:lang w:val="es-UY" w:eastAsia="es-UY"/>
              </w:rPr>
              <w:t>Administration</w:t>
            </w:r>
            <w:proofErr w:type="spellEnd"/>
            <w:r>
              <w:rPr>
                <w:rFonts w:ascii="Times New Roman" w:hAnsi="Times New Roman" w:cs="Times New Roman"/>
                <w:sz w:val="22"/>
                <w:szCs w:val="22"/>
                <w:lang w:val="es-UY" w:eastAsia="es-UY"/>
              </w:rPr>
              <w:t xml:space="preserve"> </w:t>
            </w:r>
            <w:proofErr w:type="spellStart"/>
            <w:r>
              <w:rPr>
                <w:rFonts w:ascii="Times New Roman" w:hAnsi="Times New Roman" w:cs="Times New Roman"/>
                <w:sz w:val="22"/>
                <w:szCs w:val="22"/>
                <w:lang w:val="es-UY" w:eastAsia="es-UY"/>
              </w:rPr>
              <w:t>cannot</w:t>
            </w:r>
            <w:proofErr w:type="spellEnd"/>
            <w:r>
              <w:rPr>
                <w:rFonts w:ascii="Times New Roman" w:hAnsi="Times New Roman" w:cs="Times New Roman"/>
                <w:sz w:val="22"/>
                <w:szCs w:val="22"/>
                <w:lang w:val="es-UY" w:eastAsia="es-UY"/>
              </w:rPr>
              <w:t xml:space="preserve"> </w:t>
            </w:r>
            <w:proofErr w:type="spellStart"/>
            <w:r>
              <w:rPr>
                <w:rFonts w:ascii="Times New Roman" w:hAnsi="Times New Roman" w:cs="Times New Roman"/>
                <w:sz w:val="22"/>
                <w:szCs w:val="22"/>
                <w:lang w:val="es-UY" w:eastAsia="es-UY"/>
              </w:rPr>
              <w:t>execute</w:t>
            </w:r>
            <w:proofErr w:type="spellEnd"/>
            <w:r>
              <w:rPr>
                <w:rFonts w:ascii="Times New Roman" w:hAnsi="Times New Roman" w:cs="Times New Roman"/>
                <w:sz w:val="22"/>
                <w:szCs w:val="22"/>
                <w:lang w:val="es-UY" w:eastAsia="es-UY"/>
              </w:rPr>
              <w:t xml:space="preserve"> </w:t>
            </w:r>
            <w:proofErr w:type="spellStart"/>
            <w:r>
              <w:rPr>
                <w:rFonts w:ascii="Times New Roman" w:hAnsi="Times New Roman" w:cs="Times New Roman"/>
                <w:sz w:val="22"/>
                <w:szCs w:val="22"/>
                <w:lang w:val="es-UY" w:eastAsia="es-UY"/>
              </w:rPr>
              <w:t>the</w:t>
            </w:r>
            <w:proofErr w:type="spellEnd"/>
            <w:r>
              <w:rPr>
                <w:rFonts w:ascii="Times New Roman" w:hAnsi="Times New Roman" w:cs="Times New Roman"/>
                <w:sz w:val="22"/>
                <w:szCs w:val="22"/>
                <w:lang w:val="es-UY" w:eastAsia="es-UY"/>
              </w:rPr>
              <w:t xml:space="preserve"> </w:t>
            </w:r>
            <w:proofErr w:type="spellStart"/>
            <w:r>
              <w:rPr>
                <w:rFonts w:ascii="Times New Roman" w:hAnsi="Times New Roman" w:cs="Times New Roman"/>
                <w:sz w:val="22"/>
                <w:szCs w:val="22"/>
                <w:lang w:val="es-UY" w:eastAsia="es-UY"/>
              </w:rPr>
              <w:t>contract</w:t>
            </w:r>
            <w:proofErr w:type="spellEnd"/>
            <w:r>
              <w:rPr>
                <w:rFonts w:ascii="Times New Roman" w:hAnsi="Times New Roman" w:cs="Times New Roman"/>
                <w:sz w:val="22"/>
                <w:szCs w:val="22"/>
                <w:lang w:val="es-UY" w:eastAsia="es-UY"/>
              </w:rPr>
              <w:t xml:space="preserve">, and </w:t>
            </w:r>
            <w:proofErr w:type="spellStart"/>
            <w:r>
              <w:rPr>
                <w:rFonts w:ascii="Times New Roman" w:hAnsi="Times New Roman" w:cs="Times New Roman"/>
                <w:sz w:val="22"/>
                <w:szCs w:val="22"/>
                <w:lang w:val="es-UY" w:eastAsia="es-UY"/>
              </w:rPr>
              <w:t>if</w:t>
            </w:r>
            <w:proofErr w:type="spellEnd"/>
            <w:r>
              <w:rPr>
                <w:rFonts w:ascii="Times New Roman" w:hAnsi="Times New Roman" w:cs="Times New Roman"/>
                <w:sz w:val="22"/>
                <w:szCs w:val="22"/>
                <w:lang w:val="es-UY" w:eastAsia="es-UY"/>
              </w:rPr>
              <w:t xml:space="preserve"> </w:t>
            </w:r>
            <w:proofErr w:type="spellStart"/>
            <w:r>
              <w:rPr>
                <w:rFonts w:ascii="Times New Roman" w:hAnsi="Times New Roman" w:cs="Times New Roman"/>
                <w:sz w:val="22"/>
                <w:szCs w:val="22"/>
                <w:lang w:val="es-UY" w:eastAsia="es-UY"/>
              </w:rPr>
              <w:t>the</w:t>
            </w:r>
            <w:proofErr w:type="spellEnd"/>
            <w:r>
              <w:rPr>
                <w:rFonts w:ascii="Times New Roman" w:hAnsi="Times New Roman" w:cs="Times New Roman"/>
                <w:sz w:val="22"/>
                <w:szCs w:val="22"/>
                <w:lang w:val="es-UY" w:eastAsia="es-UY"/>
              </w:rPr>
              <w:t xml:space="preserve"> </w:t>
            </w:r>
            <w:proofErr w:type="spellStart"/>
            <w:r>
              <w:rPr>
                <w:rFonts w:ascii="Times New Roman" w:hAnsi="Times New Roman" w:cs="Times New Roman"/>
                <w:sz w:val="22"/>
                <w:szCs w:val="22"/>
                <w:lang w:val="es-UY" w:eastAsia="es-UY"/>
              </w:rPr>
              <w:t>deposit</w:t>
            </w:r>
            <w:proofErr w:type="spellEnd"/>
            <w:r>
              <w:rPr>
                <w:rFonts w:ascii="Times New Roman" w:hAnsi="Times New Roman" w:cs="Times New Roman"/>
                <w:sz w:val="22"/>
                <w:szCs w:val="22"/>
                <w:lang w:val="es-UY" w:eastAsia="es-UY"/>
              </w:rPr>
              <w:t xml:space="preserve"> </w:t>
            </w:r>
            <w:proofErr w:type="spellStart"/>
            <w:r>
              <w:rPr>
                <w:rFonts w:ascii="Times New Roman" w:hAnsi="Times New Roman" w:cs="Times New Roman"/>
                <w:sz w:val="22"/>
                <w:szCs w:val="22"/>
                <w:lang w:val="es-UY" w:eastAsia="es-UY"/>
              </w:rPr>
              <w:t>of</w:t>
            </w:r>
            <w:proofErr w:type="spellEnd"/>
            <w:r>
              <w:rPr>
                <w:rFonts w:ascii="Times New Roman" w:hAnsi="Times New Roman" w:cs="Times New Roman"/>
                <w:sz w:val="22"/>
                <w:szCs w:val="22"/>
                <w:lang w:val="es-UY" w:eastAsia="es-UY"/>
              </w:rPr>
              <w:t xml:space="preserve"> </w:t>
            </w:r>
            <w:proofErr w:type="spellStart"/>
            <w:r>
              <w:rPr>
                <w:rFonts w:ascii="Times New Roman" w:hAnsi="Times New Roman" w:cs="Times New Roman"/>
                <w:sz w:val="22"/>
                <w:szCs w:val="22"/>
                <w:lang w:val="es-UY" w:eastAsia="es-UY"/>
              </w:rPr>
              <w:t>the</w:t>
            </w:r>
            <w:proofErr w:type="spellEnd"/>
            <w:r>
              <w:rPr>
                <w:rFonts w:ascii="Times New Roman" w:hAnsi="Times New Roman" w:cs="Times New Roman"/>
                <w:sz w:val="22"/>
                <w:szCs w:val="22"/>
                <w:lang w:val="es-UY" w:eastAsia="es-UY"/>
              </w:rPr>
              <w:t xml:space="preserve"> </w:t>
            </w:r>
            <w:proofErr w:type="spellStart"/>
            <w:r>
              <w:rPr>
                <w:rFonts w:ascii="Times New Roman" w:hAnsi="Times New Roman" w:cs="Times New Roman"/>
                <w:sz w:val="22"/>
                <w:szCs w:val="22"/>
                <w:lang w:val="es-UY" w:eastAsia="es-UY"/>
              </w:rPr>
              <w:t>Guarantee</w:t>
            </w:r>
            <w:proofErr w:type="spellEnd"/>
            <w:r>
              <w:rPr>
                <w:rFonts w:ascii="Times New Roman" w:hAnsi="Times New Roman" w:cs="Times New Roman"/>
                <w:sz w:val="22"/>
                <w:szCs w:val="22"/>
                <w:lang w:val="es-UY" w:eastAsia="es-UY"/>
              </w:rPr>
              <w:t xml:space="preserve"> </w:t>
            </w:r>
            <w:proofErr w:type="spellStart"/>
            <w:r>
              <w:rPr>
                <w:rFonts w:ascii="Times New Roman" w:hAnsi="Times New Roman" w:cs="Times New Roman"/>
                <w:sz w:val="22"/>
                <w:szCs w:val="22"/>
                <w:lang w:val="es-UY" w:eastAsia="es-UY"/>
              </w:rPr>
              <w:t>of</w:t>
            </w:r>
            <w:proofErr w:type="spellEnd"/>
            <w:r>
              <w:rPr>
                <w:rFonts w:ascii="Times New Roman" w:hAnsi="Times New Roman" w:cs="Times New Roman"/>
                <w:sz w:val="22"/>
                <w:szCs w:val="22"/>
                <w:lang w:val="es-UY" w:eastAsia="es-UY"/>
              </w:rPr>
              <w:t xml:space="preserve"> Faithful </w:t>
            </w:r>
            <w:proofErr w:type="spellStart"/>
            <w:r>
              <w:rPr>
                <w:rFonts w:ascii="Times New Roman" w:hAnsi="Times New Roman" w:cs="Times New Roman"/>
                <w:sz w:val="22"/>
                <w:szCs w:val="22"/>
                <w:lang w:val="es-UY" w:eastAsia="es-UY"/>
              </w:rPr>
              <w:t>Compliance</w:t>
            </w:r>
            <w:proofErr w:type="spellEnd"/>
            <w:r>
              <w:rPr>
                <w:rFonts w:ascii="Times New Roman" w:hAnsi="Times New Roman" w:cs="Times New Roman"/>
                <w:sz w:val="22"/>
                <w:szCs w:val="22"/>
                <w:lang w:val="es-UY" w:eastAsia="es-UY"/>
              </w:rPr>
              <w:t xml:space="preserve"> </w:t>
            </w:r>
            <w:proofErr w:type="spellStart"/>
            <w:r>
              <w:rPr>
                <w:rFonts w:ascii="Times New Roman" w:hAnsi="Times New Roman" w:cs="Times New Roman"/>
                <w:sz w:val="22"/>
                <w:szCs w:val="22"/>
                <w:lang w:val="es-UY" w:eastAsia="es-UY"/>
              </w:rPr>
              <w:t>of</w:t>
            </w:r>
            <w:proofErr w:type="spellEnd"/>
            <w:r>
              <w:rPr>
                <w:rFonts w:ascii="Times New Roman" w:hAnsi="Times New Roman" w:cs="Times New Roman"/>
                <w:sz w:val="22"/>
                <w:szCs w:val="22"/>
                <w:lang w:val="es-UY" w:eastAsia="es-UY"/>
              </w:rPr>
              <w:t xml:space="preserve"> </w:t>
            </w:r>
            <w:proofErr w:type="spellStart"/>
            <w:r>
              <w:rPr>
                <w:rFonts w:ascii="Times New Roman" w:hAnsi="Times New Roman" w:cs="Times New Roman"/>
                <w:sz w:val="22"/>
                <w:szCs w:val="22"/>
                <w:lang w:val="es-UY" w:eastAsia="es-UY"/>
              </w:rPr>
              <w:t>Contract</w:t>
            </w:r>
            <w:proofErr w:type="spellEnd"/>
            <w:r>
              <w:rPr>
                <w:rFonts w:ascii="Times New Roman" w:hAnsi="Times New Roman" w:cs="Times New Roman"/>
                <w:sz w:val="22"/>
                <w:szCs w:val="22"/>
                <w:lang w:val="es-UY" w:eastAsia="es-UY"/>
              </w:rPr>
              <w:t xml:space="preserve"> </w:t>
            </w:r>
            <w:proofErr w:type="spellStart"/>
            <w:r>
              <w:rPr>
                <w:rFonts w:ascii="Times New Roman" w:hAnsi="Times New Roman" w:cs="Times New Roman"/>
                <w:sz w:val="22"/>
                <w:szCs w:val="22"/>
                <w:lang w:val="es-UY" w:eastAsia="es-UY"/>
              </w:rPr>
              <w:t>is</w:t>
            </w:r>
            <w:proofErr w:type="spellEnd"/>
            <w:r>
              <w:rPr>
                <w:rFonts w:ascii="Times New Roman" w:hAnsi="Times New Roman" w:cs="Times New Roman"/>
                <w:sz w:val="22"/>
                <w:szCs w:val="22"/>
                <w:lang w:val="es-UY" w:eastAsia="es-UY"/>
              </w:rPr>
              <w:t xml:space="preserve"> </w:t>
            </w:r>
            <w:proofErr w:type="spellStart"/>
            <w:r>
              <w:rPr>
                <w:rFonts w:ascii="Times New Roman" w:hAnsi="Times New Roman" w:cs="Times New Roman"/>
                <w:sz w:val="22"/>
                <w:szCs w:val="22"/>
                <w:lang w:val="es-UY" w:eastAsia="es-UY"/>
              </w:rPr>
              <w:t>not</w:t>
            </w:r>
            <w:proofErr w:type="spellEnd"/>
            <w:r>
              <w:rPr>
                <w:rFonts w:ascii="Times New Roman" w:hAnsi="Times New Roman" w:cs="Times New Roman"/>
                <w:sz w:val="22"/>
                <w:szCs w:val="22"/>
                <w:lang w:val="es-UY" w:eastAsia="es-UY"/>
              </w:rPr>
              <w:t xml:space="preserve"> </w:t>
            </w:r>
            <w:proofErr w:type="spellStart"/>
            <w:r>
              <w:rPr>
                <w:rFonts w:ascii="Times New Roman" w:hAnsi="Times New Roman" w:cs="Times New Roman"/>
                <w:sz w:val="22"/>
                <w:szCs w:val="22"/>
                <w:lang w:val="es-UY" w:eastAsia="es-UY"/>
              </w:rPr>
              <w:t>applicable</w:t>
            </w:r>
            <w:proofErr w:type="spellEnd"/>
            <w:r>
              <w:rPr>
                <w:rFonts w:ascii="Times New Roman" w:hAnsi="Times New Roman" w:cs="Times New Roman"/>
                <w:sz w:val="22"/>
                <w:szCs w:val="22"/>
                <w:lang w:val="es-UY" w:eastAsia="es-UY"/>
              </w:rPr>
              <w:t xml:space="preserve">, </w:t>
            </w:r>
            <w:proofErr w:type="spellStart"/>
            <w:r>
              <w:rPr>
                <w:rFonts w:ascii="Times New Roman" w:hAnsi="Times New Roman" w:cs="Times New Roman"/>
                <w:sz w:val="22"/>
                <w:szCs w:val="22"/>
                <w:lang w:val="es-UY" w:eastAsia="es-UY"/>
              </w:rPr>
              <w:t>the</w:t>
            </w:r>
            <w:proofErr w:type="spellEnd"/>
            <w:r>
              <w:rPr>
                <w:rFonts w:ascii="Times New Roman" w:hAnsi="Times New Roman" w:cs="Times New Roman"/>
                <w:sz w:val="22"/>
                <w:szCs w:val="22"/>
                <w:lang w:val="es-UY" w:eastAsia="es-UY"/>
              </w:rPr>
              <w:t xml:space="preserve"> fine </w:t>
            </w:r>
            <w:proofErr w:type="spellStart"/>
            <w:r>
              <w:rPr>
                <w:rFonts w:ascii="Times New Roman" w:hAnsi="Times New Roman" w:cs="Times New Roman"/>
                <w:sz w:val="22"/>
                <w:szCs w:val="22"/>
                <w:lang w:val="es-UY" w:eastAsia="es-UY"/>
              </w:rPr>
              <w:t>equivalent</w:t>
            </w:r>
            <w:proofErr w:type="spellEnd"/>
            <w:r>
              <w:rPr>
                <w:rFonts w:ascii="Times New Roman" w:hAnsi="Times New Roman" w:cs="Times New Roman"/>
                <w:sz w:val="22"/>
                <w:szCs w:val="22"/>
                <w:lang w:val="es-UY" w:eastAsia="es-UY"/>
              </w:rPr>
              <w:t xml:space="preserve"> </w:t>
            </w:r>
            <w:proofErr w:type="spellStart"/>
            <w:r>
              <w:rPr>
                <w:rFonts w:ascii="Times New Roman" w:hAnsi="Times New Roman" w:cs="Times New Roman"/>
                <w:sz w:val="22"/>
                <w:szCs w:val="22"/>
                <w:lang w:val="es-UY" w:eastAsia="es-UY"/>
              </w:rPr>
              <w:t>to</w:t>
            </w:r>
            <w:proofErr w:type="spellEnd"/>
            <w:r>
              <w:rPr>
                <w:rFonts w:ascii="Times New Roman" w:hAnsi="Times New Roman" w:cs="Times New Roman"/>
                <w:sz w:val="22"/>
                <w:szCs w:val="22"/>
                <w:lang w:val="es-UY" w:eastAsia="es-UY"/>
              </w:rPr>
              <w:t xml:space="preserve"> 10% </w:t>
            </w:r>
            <w:proofErr w:type="spellStart"/>
            <w:r>
              <w:rPr>
                <w:rFonts w:ascii="Times New Roman" w:hAnsi="Times New Roman" w:cs="Times New Roman"/>
                <w:sz w:val="22"/>
                <w:szCs w:val="22"/>
                <w:lang w:val="es-UY" w:eastAsia="es-UY"/>
              </w:rPr>
              <w:t>of</w:t>
            </w:r>
            <w:proofErr w:type="spellEnd"/>
            <w:r>
              <w:rPr>
                <w:rFonts w:ascii="Times New Roman" w:hAnsi="Times New Roman" w:cs="Times New Roman"/>
                <w:sz w:val="22"/>
                <w:szCs w:val="22"/>
                <w:lang w:val="es-UY" w:eastAsia="es-UY"/>
              </w:rPr>
              <w:t xml:space="preserve"> </w:t>
            </w:r>
            <w:proofErr w:type="spellStart"/>
            <w:r>
              <w:rPr>
                <w:rFonts w:ascii="Times New Roman" w:hAnsi="Times New Roman" w:cs="Times New Roman"/>
                <w:sz w:val="22"/>
                <w:szCs w:val="22"/>
                <w:lang w:val="es-UY" w:eastAsia="es-UY"/>
              </w:rPr>
              <w:t>the</w:t>
            </w:r>
            <w:proofErr w:type="spellEnd"/>
            <w:r>
              <w:rPr>
                <w:rFonts w:ascii="Times New Roman" w:hAnsi="Times New Roman" w:cs="Times New Roman"/>
                <w:sz w:val="22"/>
                <w:szCs w:val="22"/>
                <w:lang w:val="es-UY" w:eastAsia="es-UY"/>
              </w:rPr>
              <w:t xml:space="preserve"> total </w:t>
            </w:r>
            <w:proofErr w:type="spellStart"/>
            <w:r>
              <w:rPr>
                <w:rFonts w:ascii="Times New Roman" w:hAnsi="Times New Roman" w:cs="Times New Roman"/>
                <w:sz w:val="22"/>
                <w:szCs w:val="22"/>
                <w:lang w:val="es-UY" w:eastAsia="es-UY"/>
              </w:rPr>
              <w:t>amount</w:t>
            </w:r>
            <w:proofErr w:type="spellEnd"/>
            <w:r>
              <w:rPr>
                <w:rFonts w:ascii="Times New Roman" w:hAnsi="Times New Roman" w:cs="Times New Roman"/>
                <w:sz w:val="22"/>
                <w:szCs w:val="22"/>
                <w:lang w:val="es-UY" w:eastAsia="es-UY"/>
              </w:rPr>
              <w:t xml:space="preserve"> </w:t>
            </w:r>
            <w:proofErr w:type="spellStart"/>
            <w:r>
              <w:rPr>
                <w:rFonts w:ascii="Times New Roman" w:hAnsi="Times New Roman" w:cs="Times New Roman"/>
                <w:sz w:val="22"/>
                <w:szCs w:val="22"/>
                <w:lang w:val="es-UY" w:eastAsia="es-UY"/>
              </w:rPr>
              <w:t>awarded</w:t>
            </w:r>
            <w:proofErr w:type="spellEnd"/>
            <w:r>
              <w:rPr>
                <w:rFonts w:ascii="Times New Roman" w:hAnsi="Times New Roman" w:cs="Times New Roman"/>
                <w:sz w:val="22"/>
                <w:szCs w:val="22"/>
                <w:lang w:val="es-UY" w:eastAsia="es-UY"/>
              </w:rPr>
              <w:t xml:space="preserve"> </w:t>
            </w:r>
            <w:proofErr w:type="spellStart"/>
            <w:r>
              <w:rPr>
                <w:rFonts w:ascii="Times New Roman" w:hAnsi="Times New Roman" w:cs="Times New Roman"/>
                <w:sz w:val="22"/>
                <w:szCs w:val="22"/>
                <w:lang w:val="es-UY" w:eastAsia="es-UY"/>
              </w:rPr>
              <w:t>without</w:t>
            </w:r>
            <w:proofErr w:type="spellEnd"/>
            <w:r>
              <w:rPr>
                <w:rFonts w:ascii="Times New Roman" w:hAnsi="Times New Roman" w:cs="Times New Roman"/>
                <w:sz w:val="22"/>
                <w:szCs w:val="22"/>
                <w:lang w:val="es-UY" w:eastAsia="es-UY"/>
              </w:rPr>
              <w:t xml:space="preserve"> </w:t>
            </w:r>
            <w:proofErr w:type="spellStart"/>
            <w:r>
              <w:rPr>
                <w:rFonts w:ascii="Times New Roman" w:hAnsi="Times New Roman" w:cs="Times New Roman"/>
                <w:sz w:val="22"/>
                <w:szCs w:val="22"/>
                <w:lang w:val="es-UY" w:eastAsia="es-UY"/>
              </w:rPr>
              <w:t>taxes</w:t>
            </w:r>
            <w:proofErr w:type="spellEnd"/>
            <w:r>
              <w:rPr>
                <w:rFonts w:ascii="Times New Roman" w:hAnsi="Times New Roman" w:cs="Times New Roman"/>
                <w:sz w:val="22"/>
                <w:szCs w:val="22"/>
                <w:lang w:val="es-UY" w:eastAsia="es-UY"/>
              </w:rPr>
              <w:t xml:space="preserve"> </w:t>
            </w:r>
            <w:proofErr w:type="spellStart"/>
            <w:r>
              <w:rPr>
                <w:rFonts w:ascii="Times New Roman" w:hAnsi="Times New Roman" w:cs="Times New Roman"/>
                <w:sz w:val="22"/>
                <w:szCs w:val="22"/>
                <w:lang w:val="es-UY" w:eastAsia="es-UY"/>
              </w:rPr>
              <w:t>will</w:t>
            </w:r>
            <w:proofErr w:type="spellEnd"/>
            <w:r>
              <w:rPr>
                <w:rFonts w:ascii="Times New Roman" w:hAnsi="Times New Roman" w:cs="Times New Roman"/>
                <w:sz w:val="22"/>
                <w:szCs w:val="22"/>
                <w:lang w:val="es-UY" w:eastAsia="es-UY"/>
              </w:rPr>
              <w:t xml:space="preserve"> be </w:t>
            </w:r>
            <w:proofErr w:type="spellStart"/>
            <w:r>
              <w:rPr>
                <w:rFonts w:ascii="Times New Roman" w:hAnsi="Times New Roman" w:cs="Times New Roman"/>
                <w:sz w:val="22"/>
                <w:szCs w:val="22"/>
                <w:lang w:val="es-UY" w:eastAsia="es-UY"/>
              </w:rPr>
              <w:t>applied</w:t>
            </w:r>
            <w:proofErr w:type="spellEnd"/>
            <w:r>
              <w:rPr>
                <w:rFonts w:ascii="Times New Roman" w:hAnsi="Times New Roman" w:cs="Times New Roman"/>
                <w:sz w:val="22"/>
                <w:szCs w:val="22"/>
                <w:lang w:val="es-UY" w:eastAsia="es-UY"/>
              </w:rPr>
              <w:t xml:space="preserve">, </w:t>
            </w:r>
            <w:proofErr w:type="spellStart"/>
            <w:r>
              <w:rPr>
                <w:rFonts w:ascii="Times New Roman" w:hAnsi="Times New Roman" w:cs="Times New Roman"/>
                <w:sz w:val="22"/>
                <w:szCs w:val="22"/>
                <w:lang w:val="es-UY" w:eastAsia="es-UY"/>
              </w:rPr>
              <w:t>without</w:t>
            </w:r>
            <w:proofErr w:type="spellEnd"/>
            <w:r>
              <w:rPr>
                <w:rFonts w:ascii="Times New Roman" w:hAnsi="Times New Roman" w:cs="Times New Roman"/>
                <w:sz w:val="22"/>
                <w:szCs w:val="22"/>
                <w:lang w:val="es-UY" w:eastAsia="es-UY"/>
              </w:rPr>
              <w:t xml:space="preserve"> </w:t>
            </w:r>
            <w:proofErr w:type="spellStart"/>
            <w:r>
              <w:rPr>
                <w:rFonts w:ascii="Times New Roman" w:hAnsi="Times New Roman" w:cs="Times New Roman"/>
                <w:sz w:val="22"/>
                <w:szCs w:val="22"/>
                <w:lang w:val="es-UY" w:eastAsia="es-UY"/>
              </w:rPr>
              <w:t>prejudice</w:t>
            </w:r>
            <w:proofErr w:type="spellEnd"/>
            <w:r>
              <w:rPr>
                <w:rFonts w:ascii="Times New Roman" w:hAnsi="Times New Roman" w:cs="Times New Roman"/>
                <w:sz w:val="22"/>
                <w:szCs w:val="22"/>
                <w:lang w:val="es-UY" w:eastAsia="es-UY"/>
              </w:rPr>
              <w:t xml:space="preserve"> </w:t>
            </w:r>
            <w:proofErr w:type="spellStart"/>
            <w:r>
              <w:rPr>
                <w:rFonts w:ascii="Times New Roman" w:hAnsi="Times New Roman" w:cs="Times New Roman"/>
                <w:sz w:val="22"/>
                <w:szCs w:val="22"/>
                <w:lang w:val="es-UY" w:eastAsia="es-UY"/>
              </w:rPr>
              <w:t>to</w:t>
            </w:r>
            <w:proofErr w:type="spellEnd"/>
            <w:r>
              <w:rPr>
                <w:rFonts w:ascii="Times New Roman" w:hAnsi="Times New Roman" w:cs="Times New Roman"/>
                <w:sz w:val="22"/>
                <w:szCs w:val="22"/>
                <w:lang w:val="es-UY" w:eastAsia="es-UY"/>
              </w:rPr>
              <w:t xml:space="preserve"> </w:t>
            </w:r>
            <w:proofErr w:type="spellStart"/>
            <w:r>
              <w:rPr>
                <w:rFonts w:ascii="Times New Roman" w:hAnsi="Times New Roman" w:cs="Times New Roman"/>
                <w:sz w:val="22"/>
                <w:szCs w:val="22"/>
                <w:lang w:val="es-UY" w:eastAsia="es-UY"/>
              </w:rPr>
              <w:t>other</w:t>
            </w:r>
            <w:proofErr w:type="spellEnd"/>
            <w:r>
              <w:rPr>
                <w:rFonts w:ascii="Times New Roman" w:hAnsi="Times New Roman" w:cs="Times New Roman"/>
                <w:sz w:val="22"/>
                <w:szCs w:val="22"/>
                <w:lang w:val="es-UY" w:eastAsia="es-UY"/>
              </w:rPr>
              <w:t xml:space="preserve"> </w:t>
            </w:r>
            <w:proofErr w:type="spellStart"/>
            <w:r>
              <w:rPr>
                <w:rFonts w:ascii="Times New Roman" w:hAnsi="Times New Roman" w:cs="Times New Roman"/>
                <w:sz w:val="22"/>
                <w:szCs w:val="22"/>
                <w:lang w:val="es-UY" w:eastAsia="es-UY"/>
              </w:rPr>
              <w:t>actions</w:t>
            </w:r>
            <w:proofErr w:type="spellEnd"/>
            <w:r>
              <w:rPr>
                <w:rFonts w:ascii="Times New Roman" w:hAnsi="Times New Roman" w:cs="Times New Roman"/>
                <w:sz w:val="22"/>
                <w:szCs w:val="22"/>
                <w:lang w:val="es-UY" w:eastAsia="es-UY"/>
              </w:rPr>
              <w:t xml:space="preserve"> </w:t>
            </w:r>
            <w:proofErr w:type="spellStart"/>
            <w:r>
              <w:rPr>
                <w:rFonts w:ascii="Times New Roman" w:hAnsi="Times New Roman" w:cs="Times New Roman"/>
                <w:sz w:val="22"/>
                <w:szCs w:val="22"/>
                <w:lang w:val="es-UY" w:eastAsia="es-UY"/>
              </w:rPr>
              <w:t>that</w:t>
            </w:r>
            <w:proofErr w:type="spellEnd"/>
            <w:r>
              <w:rPr>
                <w:rFonts w:ascii="Times New Roman" w:hAnsi="Times New Roman" w:cs="Times New Roman"/>
                <w:sz w:val="22"/>
                <w:szCs w:val="22"/>
                <w:lang w:val="es-UY" w:eastAsia="es-UY"/>
              </w:rPr>
              <w:t xml:space="preserve"> </w:t>
            </w:r>
            <w:proofErr w:type="spellStart"/>
            <w:r>
              <w:rPr>
                <w:rFonts w:ascii="Times New Roman" w:hAnsi="Times New Roman" w:cs="Times New Roman"/>
                <w:sz w:val="22"/>
                <w:szCs w:val="22"/>
                <w:lang w:val="es-UY" w:eastAsia="es-UY"/>
              </w:rPr>
              <w:t>may</w:t>
            </w:r>
            <w:proofErr w:type="spellEnd"/>
            <w:r>
              <w:rPr>
                <w:rFonts w:ascii="Times New Roman" w:hAnsi="Times New Roman" w:cs="Times New Roman"/>
                <w:sz w:val="22"/>
                <w:szCs w:val="22"/>
                <w:lang w:val="es-UY" w:eastAsia="es-UY"/>
              </w:rPr>
              <w:t xml:space="preserve"> be </w:t>
            </w:r>
            <w:proofErr w:type="spellStart"/>
            <w:r>
              <w:rPr>
                <w:rFonts w:ascii="Times New Roman" w:hAnsi="Times New Roman" w:cs="Times New Roman"/>
                <w:sz w:val="22"/>
                <w:szCs w:val="22"/>
                <w:lang w:val="es-UY" w:eastAsia="es-UY"/>
              </w:rPr>
              <w:t>appropriate</w:t>
            </w:r>
            <w:proofErr w:type="spellEnd"/>
            <w:r>
              <w:rPr>
                <w:rFonts w:ascii="Times New Roman" w:hAnsi="Times New Roman" w:cs="Times New Roman"/>
                <w:sz w:val="22"/>
                <w:szCs w:val="22"/>
                <w:lang w:val="es-UY" w:eastAsia="es-UY"/>
              </w:rPr>
              <w:t xml:space="preserve"> (Art. 64 </w:t>
            </w:r>
            <w:proofErr w:type="spellStart"/>
            <w:r>
              <w:rPr>
                <w:rFonts w:ascii="Times New Roman" w:hAnsi="Times New Roman" w:cs="Times New Roman"/>
                <w:sz w:val="22"/>
                <w:szCs w:val="22"/>
                <w:lang w:val="es-UY" w:eastAsia="es-UY"/>
              </w:rPr>
              <w:t>of</w:t>
            </w:r>
            <w:proofErr w:type="spellEnd"/>
            <w:r>
              <w:rPr>
                <w:rFonts w:ascii="Times New Roman" w:hAnsi="Times New Roman" w:cs="Times New Roman"/>
                <w:sz w:val="22"/>
                <w:szCs w:val="22"/>
                <w:lang w:val="es-UY" w:eastAsia="es-UY"/>
              </w:rPr>
              <w:t xml:space="preserve"> </w:t>
            </w:r>
            <w:proofErr w:type="spellStart"/>
            <w:r>
              <w:rPr>
                <w:rFonts w:ascii="Times New Roman" w:hAnsi="Times New Roman" w:cs="Times New Roman"/>
                <w:sz w:val="22"/>
                <w:szCs w:val="22"/>
                <w:lang w:val="es-UY" w:eastAsia="es-UY"/>
              </w:rPr>
              <w:t>the</w:t>
            </w:r>
            <w:proofErr w:type="spellEnd"/>
            <w:r>
              <w:rPr>
                <w:rFonts w:ascii="Times New Roman" w:hAnsi="Times New Roman" w:cs="Times New Roman"/>
                <w:sz w:val="22"/>
                <w:szCs w:val="22"/>
                <w:lang w:val="es-UY" w:eastAsia="es-UY"/>
              </w:rPr>
              <w:t xml:space="preserve"> TOCAF).</w:t>
            </w:r>
          </w:p>
          <w:p w14:paraId="7C5EA253" w14:textId="77777777" w:rsidR="00E255F4" w:rsidRDefault="00E255F4">
            <w:pPr>
              <w:pStyle w:val="Default"/>
              <w:jc w:val="both"/>
              <w:rPr>
                <w:rFonts w:ascii="Times New Roman" w:hAnsi="Times New Roman" w:cs="Times New Roman"/>
                <w:sz w:val="22"/>
                <w:szCs w:val="22"/>
                <w:lang w:val="es-UY" w:eastAsia="es-UY"/>
              </w:rPr>
            </w:pPr>
          </w:p>
          <w:p w14:paraId="55864BA1" w14:textId="77777777" w:rsidR="00E255F4" w:rsidRDefault="00000000">
            <w:pPr>
              <w:pStyle w:val="Default"/>
              <w:jc w:val="both"/>
            </w:pPr>
            <w:r>
              <w:rPr>
                <w:rFonts w:ascii="Times New Roman" w:hAnsi="Times New Roman" w:cs="Times New Roman"/>
                <w:sz w:val="22"/>
                <w:lang w:val="es-UY"/>
              </w:rPr>
              <w:t xml:space="preserve">The total </w:t>
            </w:r>
            <w:proofErr w:type="spellStart"/>
            <w:r>
              <w:rPr>
                <w:rFonts w:ascii="Times New Roman" w:hAnsi="Times New Roman" w:cs="Times New Roman"/>
                <w:sz w:val="22"/>
                <w:lang w:val="es-UY"/>
              </w:rPr>
              <w:t>or</w:t>
            </w:r>
            <w:proofErr w:type="spellEnd"/>
            <w:r>
              <w:rPr>
                <w:rFonts w:ascii="Times New Roman" w:hAnsi="Times New Roman" w:cs="Times New Roman"/>
                <w:sz w:val="22"/>
                <w:lang w:val="es-UY"/>
              </w:rPr>
              <w:t xml:space="preserve"> </w:t>
            </w:r>
            <w:proofErr w:type="spellStart"/>
            <w:r>
              <w:rPr>
                <w:rFonts w:ascii="Times New Roman" w:hAnsi="Times New Roman" w:cs="Times New Roman"/>
                <w:sz w:val="22"/>
                <w:lang w:val="es-UY"/>
              </w:rPr>
              <w:t>partial</w:t>
            </w:r>
            <w:proofErr w:type="spellEnd"/>
            <w:r>
              <w:rPr>
                <w:rFonts w:ascii="Times New Roman" w:hAnsi="Times New Roman" w:cs="Times New Roman"/>
                <w:sz w:val="22"/>
                <w:lang w:val="es-UY"/>
              </w:rPr>
              <w:t xml:space="preserve"> non-</w:t>
            </w:r>
            <w:proofErr w:type="spellStart"/>
            <w:r>
              <w:rPr>
                <w:rFonts w:ascii="Times New Roman" w:hAnsi="Times New Roman" w:cs="Times New Roman"/>
                <w:sz w:val="22"/>
                <w:lang w:val="es-UY"/>
              </w:rPr>
              <w:t>compliance</w:t>
            </w:r>
            <w:proofErr w:type="spellEnd"/>
            <w:r>
              <w:rPr>
                <w:rFonts w:ascii="Times New Roman" w:hAnsi="Times New Roman" w:cs="Times New Roman"/>
                <w:sz w:val="22"/>
                <w:lang w:val="es-UY"/>
              </w:rPr>
              <w:t xml:space="preserve"> </w:t>
            </w:r>
            <w:proofErr w:type="spellStart"/>
            <w:r>
              <w:rPr>
                <w:rFonts w:ascii="Times New Roman" w:hAnsi="Times New Roman" w:cs="Times New Roman"/>
                <w:sz w:val="22"/>
                <w:lang w:val="es-UY"/>
              </w:rPr>
              <w:t>of</w:t>
            </w:r>
            <w:proofErr w:type="spellEnd"/>
            <w:r>
              <w:rPr>
                <w:rFonts w:ascii="Times New Roman" w:hAnsi="Times New Roman" w:cs="Times New Roman"/>
                <w:sz w:val="22"/>
                <w:lang w:val="es-UY"/>
              </w:rPr>
              <w:t xml:space="preserve"> </w:t>
            </w:r>
            <w:proofErr w:type="spellStart"/>
            <w:r>
              <w:rPr>
                <w:rFonts w:ascii="Times New Roman" w:hAnsi="Times New Roman" w:cs="Times New Roman"/>
                <w:sz w:val="22"/>
                <w:lang w:val="es-UY"/>
              </w:rPr>
              <w:t>the</w:t>
            </w:r>
            <w:proofErr w:type="spellEnd"/>
            <w:r>
              <w:rPr>
                <w:rFonts w:ascii="Times New Roman" w:hAnsi="Times New Roman" w:cs="Times New Roman"/>
                <w:sz w:val="22"/>
                <w:lang w:val="es-UY"/>
              </w:rPr>
              <w:t xml:space="preserve"> </w:t>
            </w:r>
            <w:proofErr w:type="spellStart"/>
            <w:r>
              <w:rPr>
                <w:rFonts w:ascii="Times New Roman" w:hAnsi="Times New Roman" w:cs="Times New Roman"/>
                <w:sz w:val="22"/>
                <w:lang w:val="es-UY"/>
              </w:rPr>
              <w:t>service</w:t>
            </w:r>
            <w:proofErr w:type="spellEnd"/>
            <w:r>
              <w:rPr>
                <w:rFonts w:ascii="Times New Roman" w:hAnsi="Times New Roman" w:cs="Times New Roman"/>
                <w:sz w:val="22"/>
                <w:lang w:val="es-UY"/>
              </w:rPr>
              <w:t xml:space="preserve"> </w:t>
            </w:r>
            <w:proofErr w:type="spellStart"/>
            <w:r>
              <w:rPr>
                <w:rFonts w:ascii="Times New Roman" w:hAnsi="Times New Roman" w:cs="Times New Roman"/>
                <w:sz w:val="22"/>
                <w:lang w:val="es-UY"/>
              </w:rPr>
              <w:t>provider</w:t>
            </w:r>
            <w:proofErr w:type="spellEnd"/>
            <w:r>
              <w:rPr>
                <w:rFonts w:ascii="Times New Roman" w:hAnsi="Times New Roman" w:cs="Times New Roman"/>
                <w:sz w:val="22"/>
                <w:lang w:val="es-UY"/>
              </w:rPr>
              <w:t xml:space="preserve"> </w:t>
            </w:r>
            <w:proofErr w:type="spellStart"/>
            <w:r>
              <w:rPr>
                <w:rFonts w:ascii="Times New Roman" w:hAnsi="Times New Roman" w:cs="Times New Roman"/>
                <w:sz w:val="22"/>
                <w:lang w:val="es-UY"/>
              </w:rPr>
              <w:t>with</w:t>
            </w:r>
            <w:proofErr w:type="spellEnd"/>
            <w:r>
              <w:rPr>
                <w:rFonts w:ascii="Times New Roman" w:hAnsi="Times New Roman" w:cs="Times New Roman"/>
                <w:sz w:val="22"/>
                <w:lang w:val="es-UY"/>
              </w:rPr>
              <w:t xml:space="preserve"> </w:t>
            </w:r>
            <w:proofErr w:type="spellStart"/>
            <w:r>
              <w:rPr>
                <w:rFonts w:ascii="Times New Roman" w:hAnsi="Times New Roman" w:cs="Times New Roman"/>
                <w:sz w:val="22"/>
                <w:lang w:val="es-UY"/>
              </w:rPr>
              <w:t>the</w:t>
            </w:r>
            <w:proofErr w:type="spellEnd"/>
            <w:r>
              <w:rPr>
                <w:rFonts w:ascii="Times New Roman" w:hAnsi="Times New Roman" w:cs="Times New Roman"/>
                <w:sz w:val="22"/>
                <w:lang w:val="es-UY"/>
              </w:rPr>
              <w:t xml:space="preserve"> </w:t>
            </w:r>
            <w:proofErr w:type="spellStart"/>
            <w:r>
              <w:rPr>
                <w:rFonts w:ascii="Times New Roman" w:hAnsi="Times New Roman" w:cs="Times New Roman"/>
                <w:sz w:val="22"/>
                <w:lang w:val="es-UY"/>
              </w:rPr>
              <w:t>commitments</w:t>
            </w:r>
            <w:proofErr w:type="spellEnd"/>
            <w:r>
              <w:rPr>
                <w:rFonts w:ascii="Times New Roman" w:hAnsi="Times New Roman" w:cs="Times New Roman"/>
                <w:sz w:val="22"/>
                <w:lang w:val="es-UY"/>
              </w:rPr>
              <w:t xml:space="preserve"> </w:t>
            </w:r>
            <w:proofErr w:type="spellStart"/>
            <w:r>
              <w:rPr>
                <w:rFonts w:ascii="Times New Roman" w:hAnsi="Times New Roman" w:cs="Times New Roman"/>
                <w:sz w:val="22"/>
                <w:lang w:val="es-UY"/>
              </w:rPr>
              <w:t>made</w:t>
            </w:r>
            <w:proofErr w:type="spellEnd"/>
            <w:r>
              <w:rPr>
                <w:rFonts w:ascii="Times New Roman" w:hAnsi="Times New Roman" w:cs="Times New Roman"/>
                <w:sz w:val="22"/>
                <w:lang w:val="es-UY"/>
              </w:rPr>
              <w:t xml:space="preserve"> </w:t>
            </w:r>
            <w:proofErr w:type="spellStart"/>
            <w:r>
              <w:rPr>
                <w:rFonts w:ascii="Times New Roman" w:hAnsi="Times New Roman" w:cs="Times New Roman"/>
                <w:sz w:val="22"/>
                <w:lang w:val="es-UY"/>
              </w:rPr>
              <w:t>to</w:t>
            </w:r>
            <w:proofErr w:type="spellEnd"/>
            <w:r>
              <w:rPr>
                <w:rFonts w:ascii="Times New Roman" w:hAnsi="Times New Roman" w:cs="Times New Roman"/>
                <w:sz w:val="22"/>
                <w:lang w:val="es-UY"/>
              </w:rPr>
              <w:t xml:space="preserve"> OSE </w:t>
            </w:r>
            <w:proofErr w:type="spellStart"/>
            <w:r>
              <w:rPr>
                <w:rFonts w:ascii="Times New Roman" w:hAnsi="Times New Roman" w:cs="Times New Roman"/>
                <w:sz w:val="22"/>
                <w:lang w:val="es-UY"/>
              </w:rPr>
              <w:t>will</w:t>
            </w:r>
            <w:proofErr w:type="spellEnd"/>
            <w:r>
              <w:rPr>
                <w:rFonts w:ascii="Times New Roman" w:hAnsi="Times New Roman" w:cs="Times New Roman"/>
                <w:sz w:val="22"/>
                <w:lang w:val="es-UY"/>
              </w:rPr>
              <w:t xml:space="preserve"> be </w:t>
            </w:r>
            <w:proofErr w:type="spellStart"/>
            <w:r>
              <w:rPr>
                <w:rFonts w:ascii="Times New Roman" w:hAnsi="Times New Roman" w:cs="Times New Roman"/>
                <w:sz w:val="22"/>
                <w:lang w:val="es-UY"/>
              </w:rPr>
              <w:t>subject</w:t>
            </w:r>
            <w:proofErr w:type="spellEnd"/>
            <w:r>
              <w:rPr>
                <w:rFonts w:ascii="Times New Roman" w:hAnsi="Times New Roman" w:cs="Times New Roman"/>
                <w:sz w:val="22"/>
                <w:lang w:val="es-UY"/>
              </w:rPr>
              <w:t xml:space="preserve"> </w:t>
            </w:r>
            <w:proofErr w:type="spellStart"/>
            <w:r>
              <w:rPr>
                <w:rFonts w:ascii="Times New Roman" w:hAnsi="Times New Roman" w:cs="Times New Roman"/>
                <w:sz w:val="22"/>
                <w:lang w:val="es-UY"/>
              </w:rPr>
              <w:t>to</w:t>
            </w:r>
            <w:proofErr w:type="spellEnd"/>
            <w:r>
              <w:rPr>
                <w:rFonts w:ascii="Times New Roman" w:hAnsi="Times New Roman" w:cs="Times New Roman"/>
                <w:sz w:val="22"/>
                <w:lang w:val="es-UY"/>
              </w:rPr>
              <w:t xml:space="preserve"> </w:t>
            </w:r>
            <w:proofErr w:type="spellStart"/>
            <w:r>
              <w:rPr>
                <w:rFonts w:ascii="Times New Roman" w:hAnsi="Times New Roman" w:cs="Times New Roman"/>
                <w:sz w:val="22"/>
                <w:lang w:val="es-UY"/>
              </w:rPr>
              <w:t>the</w:t>
            </w:r>
            <w:proofErr w:type="spellEnd"/>
            <w:r>
              <w:rPr>
                <w:rFonts w:ascii="Times New Roman" w:hAnsi="Times New Roman" w:cs="Times New Roman"/>
                <w:sz w:val="22"/>
                <w:lang w:val="es-UY"/>
              </w:rPr>
              <w:t xml:space="preserve"> </w:t>
            </w:r>
            <w:proofErr w:type="spellStart"/>
            <w:r>
              <w:rPr>
                <w:rFonts w:ascii="Times New Roman" w:hAnsi="Times New Roman" w:cs="Times New Roman"/>
                <w:sz w:val="22"/>
                <w:lang w:val="es-UY"/>
              </w:rPr>
              <w:t>corresponding</w:t>
            </w:r>
            <w:proofErr w:type="spellEnd"/>
            <w:r>
              <w:rPr>
                <w:rFonts w:ascii="Times New Roman" w:hAnsi="Times New Roman" w:cs="Times New Roman"/>
                <w:sz w:val="22"/>
                <w:lang w:val="es-UY"/>
              </w:rPr>
              <w:t xml:space="preserve"> </w:t>
            </w:r>
            <w:proofErr w:type="spellStart"/>
            <w:r>
              <w:rPr>
                <w:rFonts w:ascii="Times New Roman" w:hAnsi="Times New Roman" w:cs="Times New Roman"/>
                <w:sz w:val="22"/>
                <w:lang w:val="es-UY"/>
              </w:rPr>
              <w:t>sanctions</w:t>
            </w:r>
            <w:proofErr w:type="spellEnd"/>
            <w:r>
              <w:rPr>
                <w:rFonts w:ascii="Times New Roman" w:hAnsi="Times New Roman" w:cs="Times New Roman"/>
                <w:sz w:val="22"/>
                <w:lang w:val="es-UY"/>
              </w:rPr>
              <w:t xml:space="preserve">, as </w:t>
            </w:r>
            <w:proofErr w:type="spellStart"/>
            <w:r>
              <w:rPr>
                <w:rFonts w:ascii="Times New Roman" w:hAnsi="Times New Roman" w:cs="Times New Roman"/>
                <w:sz w:val="22"/>
                <w:lang w:val="es-UY"/>
              </w:rPr>
              <w:t>provided</w:t>
            </w:r>
            <w:proofErr w:type="spellEnd"/>
            <w:r>
              <w:rPr>
                <w:rFonts w:ascii="Times New Roman" w:hAnsi="Times New Roman" w:cs="Times New Roman"/>
                <w:sz w:val="22"/>
                <w:lang w:val="es-UY"/>
              </w:rPr>
              <w:t xml:space="preserve"> in </w:t>
            </w:r>
            <w:proofErr w:type="spellStart"/>
            <w:r>
              <w:rPr>
                <w:rFonts w:ascii="Times New Roman" w:hAnsi="Times New Roman" w:cs="Times New Roman"/>
                <w:sz w:val="22"/>
                <w:lang w:val="es-UY"/>
              </w:rPr>
              <w:t>the</w:t>
            </w:r>
            <w:proofErr w:type="spellEnd"/>
            <w:r>
              <w:rPr>
                <w:rFonts w:ascii="Times New Roman" w:hAnsi="Times New Roman" w:cs="Times New Roman"/>
                <w:sz w:val="22"/>
                <w:lang w:val="es-UY"/>
              </w:rPr>
              <w:t xml:space="preserve"> OSE </w:t>
            </w:r>
            <w:proofErr w:type="spellStart"/>
            <w:r>
              <w:rPr>
                <w:rFonts w:ascii="Times New Roman" w:hAnsi="Times New Roman" w:cs="Times New Roman"/>
                <w:sz w:val="22"/>
                <w:lang w:val="es-UY"/>
              </w:rPr>
              <w:t>Supplier</w:t>
            </w:r>
            <w:proofErr w:type="spellEnd"/>
            <w:r>
              <w:rPr>
                <w:rFonts w:ascii="Times New Roman" w:hAnsi="Times New Roman" w:cs="Times New Roman"/>
                <w:sz w:val="22"/>
                <w:lang w:val="es-UY"/>
              </w:rPr>
              <w:t xml:space="preserve"> </w:t>
            </w:r>
            <w:proofErr w:type="spellStart"/>
            <w:r>
              <w:rPr>
                <w:rFonts w:ascii="Times New Roman" w:hAnsi="Times New Roman" w:cs="Times New Roman"/>
                <w:sz w:val="22"/>
                <w:lang w:val="es-UY"/>
              </w:rPr>
              <w:t>Regulations</w:t>
            </w:r>
            <w:proofErr w:type="spellEnd"/>
            <w:r>
              <w:rPr>
                <w:rFonts w:ascii="Times New Roman" w:hAnsi="Times New Roman" w:cs="Times New Roman"/>
                <w:sz w:val="22"/>
                <w:lang w:val="es-UY"/>
              </w:rPr>
              <w:t xml:space="preserve">, </w:t>
            </w:r>
            <w:proofErr w:type="spellStart"/>
            <w:r>
              <w:rPr>
                <w:rFonts w:ascii="Times New Roman" w:hAnsi="Times New Roman" w:cs="Times New Roman"/>
                <w:sz w:val="22"/>
                <w:lang w:val="es-UY"/>
              </w:rPr>
              <w:t>which</w:t>
            </w:r>
            <w:proofErr w:type="spellEnd"/>
            <w:r>
              <w:rPr>
                <w:rFonts w:ascii="Times New Roman" w:hAnsi="Times New Roman" w:cs="Times New Roman"/>
                <w:sz w:val="22"/>
                <w:lang w:val="es-UY"/>
              </w:rPr>
              <w:t xml:space="preserve"> </w:t>
            </w:r>
            <w:proofErr w:type="spellStart"/>
            <w:r>
              <w:rPr>
                <w:rFonts w:ascii="Times New Roman" w:hAnsi="Times New Roman" w:cs="Times New Roman"/>
                <w:sz w:val="22"/>
                <w:lang w:val="es-UY"/>
              </w:rPr>
              <w:t>may</w:t>
            </w:r>
            <w:proofErr w:type="spellEnd"/>
            <w:r>
              <w:rPr>
                <w:rFonts w:ascii="Times New Roman" w:hAnsi="Times New Roman" w:cs="Times New Roman"/>
                <w:sz w:val="22"/>
                <w:lang w:val="es-UY"/>
              </w:rPr>
              <w:t xml:space="preserve"> lead </w:t>
            </w:r>
            <w:proofErr w:type="spellStart"/>
            <w:r>
              <w:rPr>
                <w:rFonts w:ascii="Times New Roman" w:hAnsi="Times New Roman" w:cs="Times New Roman"/>
                <w:sz w:val="22"/>
                <w:lang w:val="es-UY"/>
              </w:rPr>
              <w:t>to</w:t>
            </w:r>
            <w:proofErr w:type="spellEnd"/>
            <w:r>
              <w:rPr>
                <w:rFonts w:ascii="Times New Roman" w:hAnsi="Times New Roman" w:cs="Times New Roman"/>
                <w:sz w:val="22"/>
                <w:lang w:val="es-UY"/>
              </w:rPr>
              <w:t xml:space="preserve"> </w:t>
            </w:r>
            <w:proofErr w:type="spellStart"/>
            <w:r>
              <w:rPr>
                <w:rFonts w:ascii="Times New Roman" w:hAnsi="Times New Roman" w:cs="Times New Roman"/>
                <w:sz w:val="22"/>
                <w:lang w:val="es-UY"/>
              </w:rPr>
              <w:t>the</w:t>
            </w:r>
            <w:proofErr w:type="spellEnd"/>
            <w:r>
              <w:rPr>
                <w:rFonts w:ascii="Times New Roman" w:hAnsi="Times New Roman" w:cs="Times New Roman"/>
                <w:sz w:val="22"/>
                <w:lang w:val="es-UY"/>
              </w:rPr>
              <w:t xml:space="preserve"> </w:t>
            </w:r>
            <w:proofErr w:type="spellStart"/>
            <w:r>
              <w:rPr>
                <w:rFonts w:ascii="Times New Roman" w:hAnsi="Times New Roman" w:cs="Times New Roman"/>
                <w:sz w:val="22"/>
                <w:lang w:val="es-UY"/>
              </w:rPr>
              <w:t>termination</w:t>
            </w:r>
            <w:proofErr w:type="spellEnd"/>
            <w:r>
              <w:rPr>
                <w:rFonts w:ascii="Times New Roman" w:hAnsi="Times New Roman" w:cs="Times New Roman"/>
                <w:sz w:val="22"/>
                <w:lang w:val="es-UY"/>
              </w:rPr>
              <w:t xml:space="preserve"> </w:t>
            </w:r>
            <w:proofErr w:type="spellStart"/>
            <w:r>
              <w:rPr>
                <w:rFonts w:ascii="Times New Roman" w:hAnsi="Times New Roman" w:cs="Times New Roman"/>
                <w:sz w:val="22"/>
                <w:lang w:val="es-UY"/>
              </w:rPr>
              <w:t>of</w:t>
            </w:r>
            <w:proofErr w:type="spellEnd"/>
            <w:r>
              <w:rPr>
                <w:rFonts w:ascii="Times New Roman" w:hAnsi="Times New Roman" w:cs="Times New Roman"/>
                <w:sz w:val="22"/>
                <w:lang w:val="es-UY"/>
              </w:rPr>
              <w:t xml:space="preserve"> </w:t>
            </w:r>
            <w:proofErr w:type="spellStart"/>
            <w:r>
              <w:rPr>
                <w:rFonts w:ascii="Times New Roman" w:hAnsi="Times New Roman" w:cs="Times New Roman"/>
                <w:sz w:val="22"/>
                <w:lang w:val="es-UY"/>
              </w:rPr>
              <w:t>the</w:t>
            </w:r>
            <w:proofErr w:type="spellEnd"/>
            <w:r>
              <w:rPr>
                <w:rFonts w:ascii="Times New Roman" w:hAnsi="Times New Roman" w:cs="Times New Roman"/>
                <w:sz w:val="22"/>
                <w:lang w:val="es-UY"/>
              </w:rPr>
              <w:t xml:space="preserve"> </w:t>
            </w:r>
            <w:proofErr w:type="spellStart"/>
            <w:r>
              <w:rPr>
                <w:rFonts w:ascii="Times New Roman" w:hAnsi="Times New Roman" w:cs="Times New Roman"/>
                <w:sz w:val="22"/>
                <w:lang w:val="es-UY"/>
              </w:rPr>
              <w:t>contract</w:t>
            </w:r>
            <w:proofErr w:type="spellEnd"/>
            <w:r>
              <w:rPr>
                <w:rFonts w:ascii="Times New Roman" w:hAnsi="Times New Roman" w:cs="Times New Roman"/>
                <w:sz w:val="22"/>
                <w:lang w:val="es-UY"/>
              </w:rPr>
              <w:t xml:space="preserve">, </w:t>
            </w:r>
            <w:proofErr w:type="spellStart"/>
            <w:r>
              <w:rPr>
                <w:rFonts w:ascii="Times New Roman" w:hAnsi="Times New Roman" w:cs="Times New Roman"/>
                <w:sz w:val="22"/>
                <w:lang w:val="es-UY"/>
              </w:rPr>
              <w:t>which</w:t>
            </w:r>
            <w:proofErr w:type="spellEnd"/>
            <w:r>
              <w:rPr>
                <w:rFonts w:ascii="Times New Roman" w:hAnsi="Times New Roman" w:cs="Times New Roman"/>
                <w:sz w:val="22"/>
                <w:lang w:val="es-UY"/>
              </w:rPr>
              <w:t xml:space="preserve"> in </w:t>
            </w:r>
            <w:proofErr w:type="spellStart"/>
            <w:r>
              <w:rPr>
                <w:rFonts w:ascii="Times New Roman" w:hAnsi="Times New Roman" w:cs="Times New Roman"/>
                <w:sz w:val="22"/>
                <w:lang w:val="es-UY"/>
              </w:rPr>
              <w:t>turn</w:t>
            </w:r>
            <w:proofErr w:type="spellEnd"/>
            <w:r>
              <w:rPr>
                <w:rFonts w:ascii="Times New Roman" w:hAnsi="Times New Roman" w:cs="Times New Roman"/>
                <w:sz w:val="22"/>
                <w:lang w:val="es-UY"/>
              </w:rPr>
              <w:t xml:space="preserve"> </w:t>
            </w:r>
            <w:proofErr w:type="spellStart"/>
            <w:r>
              <w:rPr>
                <w:rFonts w:ascii="Times New Roman" w:hAnsi="Times New Roman" w:cs="Times New Roman"/>
                <w:sz w:val="22"/>
                <w:lang w:val="es-UY"/>
              </w:rPr>
              <w:t>will</w:t>
            </w:r>
            <w:proofErr w:type="spellEnd"/>
            <w:r>
              <w:rPr>
                <w:rFonts w:ascii="Times New Roman" w:hAnsi="Times New Roman" w:cs="Times New Roman"/>
                <w:sz w:val="22"/>
                <w:lang w:val="es-UY"/>
              </w:rPr>
              <w:t xml:space="preserve"> </w:t>
            </w:r>
            <w:proofErr w:type="spellStart"/>
            <w:r>
              <w:rPr>
                <w:rFonts w:ascii="Times New Roman" w:hAnsi="Times New Roman" w:cs="Times New Roman"/>
                <w:sz w:val="22"/>
                <w:lang w:val="es-UY"/>
              </w:rPr>
              <w:t>give</w:t>
            </w:r>
            <w:proofErr w:type="spellEnd"/>
            <w:r>
              <w:rPr>
                <w:rFonts w:ascii="Times New Roman" w:hAnsi="Times New Roman" w:cs="Times New Roman"/>
                <w:sz w:val="22"/>
                <w:lang w:val="es-UY"/>
              </w:rPr>
              <w:t xml:space="preserve"> </w:t>
            </w:r>
            <w:proofErr w:type="spellStart"/>
            <w:r>
              <w:rPr>
                <w:rFonts w:ascii="Times New Roman" w:hAnsi="Times New Roman" w:cs="Times New Roman"/>
                <w:sz w:val="22"/>
                <w:lang w:val="es-UY"/>
              </w:rPr>
              <w:t>rise</w:t>
            </w:r>
            <w:proofErr w:type="spellEnd"/>
            <w:r>
              <w:rPr>
                <w:rFonts w:ascii="Times New Roman" w:hAnsi="Times New Roman" w:cs="Times New Roman"/>
                <w:sz w:val="22"/>
                <w:lang w:val="es-UY"/>
              </w:rPr>
              <w:t xml:space="preserve"> </w:t>
            </w:r>
            <w:proofErr w:type="spellStart"/>
            <w:r>
              <w:rPr>
                <w:rFonts w:ascii="Times New Roman" w:hAnsi="Times New Roman" w:cs="Times New Roman"/>
                <w:sz w:val="22"/>
                <w:lang w:val="es-UY"/>
              </w:rPr>
              <w:t>to</w:t>
            </w:r>
            <w:proofErr w:type="spellEnd"/>
            <w:r>
              <w:rPr>
                <w:rFonts w:ascii="Times New Roman" w:hAnsi="Times New Roman" w:cs="Times New Roman"/>
                <w:sz w:val="22"/>
                <w:lang w:val="es-UY"/>
              </w:rPr>
              <w:t xml:space="preserve"> </w:t>
            </w:r>
            <w:proofErr w:type="spellStart"/>
            <w:r>
              <w:rPr>
                <w:rFonts w:ascii="Times New Roman" w:hAnsi="Times New Roman" w:cs="Times New Roman"/>
                <w:sz w:val="22"/>
                <w:lang w:val="es-UY"/>
              </w:rPr>
              <w:t>the</w:t>
            </w:r>
            <w:proofErr w:type="spellEnd"/>
            <w:r>
              <w:rPr>
                <w:rFonts w:ascii="Times New Roman" w:hAnsi="Times New Roman" w:cs="Times New Roman"/>
                <w:sz w:val="22"/>
                <w:lang w:val="es-UY"/>
              </w:rPr>
              <w:t xml:space="preserve"> </w:t>
            </w:r>
            <w:proofErr w:type="spellStart"/>
            <w:r>
              <w:rPr>
                <w:rFonts w:ascii="Times New Roman" w:hAnsi="Times New Roman" w:cs="Times New Roman"/>
                <w:sz w:val="22"/>
                <w:lang w:val="es-UY"/>
              </w:rPr>
              <w:t>loss</w:t>
            </w:r>
            <w:proofErr w:type="spellEnd"/>
            <w:r>
              <w:rPr>
                <w:rFonts w:ascii="Times New Roman" w:hAnsi="Times New Roman" w:cs="Times New Roman"/>
                <w:sz w:val="22"/>
                <w:lang w:val="es-UY"/>
              </w:rPr>
              <w:t xml:space="preserve"> </w:t>
            </w:r>
            <w:proofErr w:type="spellStart"/>
            <w:r>
              <w:rPr>
                <w:rFonts w:ascii="Times New Roman" w:hAnsi="Times New Roman" w:cs="Times New Roman"/>
                <w:sz w:val="22"/>
                <w:lang w:val="es-UY"/>
              </w:rPr>
              <w:t>of</w:t>
            </w:r>
            <w:proofErr w:type="spellEnd"/>
            <w:r>
              <w:rPr>
                <w:rFonts w:ascii="Times New Roman" w:hAnsi="Times New Roman" w:cs="Times New Roman"/>
                <w:sz w:val="22"/>
                <w:lang w:val="es-UY"/>
              </w:rPr>
              <w:t xml:space="preserve"> </w:t>
            </w:r>
            <w:proofErr w:type="spellStart"/>
            <w:r>
              <w:rPr>
                <w:rFonts w:ascii="Times New Roman" w:hAnsi="Times New Roman" w:cs="Times New Roman"/>
                <w:sz w:val="22"/>
                <w:lang w:val="es-UY"/>
              </w:rPr>
              <w:t>the</w:t>
            </w:r>
            <w:proofErr w:type="spellEnd"/>
            <w:r>
              <w:rPr>
                <w:rFonts w:ascii="Times New Roman" w:hAnsi="Times New Roman" w:cs="Times New Roman"/>
                <w:sz w:val="22"/>
                <w:lang w:val="es-UY"/>
              </w:rPr>
              <w:t xml:space="preserve"> Performance </w:t>
            </w:r>
            <w:proofErr w:type="spellStart"/>
            <w:r>
              <w:rPr>
                <w:rFonts w:ascii="Times New Roman" w:hAnsi="Times New Roman" w:cs="Times New Roman"/>
                <w:sz w:val="22"/>
                <w:lang w:val="es-UY"/>
              </w:rPr>
              <w:t>Guarantee</w:t>
            </w:r>
            <w:proofErr w:type="spellEnd"/>
            <w:r>
              <w:rPr>
                <w:rFonts w:ascii="Times New Roman" w:hAnsi="Times New Roman" w:cs="Times New Roman"/>
                <w:sz w:val="22"/>
                <w:lang w:val="es-UY"/>
              </w:rPr>
              <w:t>.</w:t>
            </w:r>
          </w:p>
          <w:p w14:paraId="1C103489" w14:textId="77777777" w:rsidR="00E255F4" w:rsidRDefault="00E255F4">
            <w:pPr>
              <w:pStyle w:val="Default"/>
              <w:jc w:val="both"/>
              <w:rPr>
                <w:rFonts w:ascii="Times New Roman" w:hAnsi="Times New Roman" w:cs="Times New Roman"/>
                <w:sz w:val="22"/>
                <w:lang w:val="es-UY"/>
              </w:rPr>
            </w:pPr>
          </w:p>
          <w:p w14:paraId="34BC2577" w14:textId="77777777" w:rsidR="00E255F4" w:rsidRDefault="00000000">
            <w:pPr>
              <w:pStyle w:val="Default"/>
              <w:jc w:val="both"/>
              <w:rPr>
                <w:rFonts w:ascii="Times New Roman" w:hAnsi="Times New Roman" w:cs="Times New Roman"/>
                <w:sz w:val="22"/>
                <w:lang w:val="es-UY"/>
              </w:rPr>
            </w:pPr>
            <w:r>
              <w:rPr>
                <w:rFonts w:ascii="Times New Roman" w:hAnsi="Times New Roman" w:cs="Times New Roman"/>
                <w:sz w:val="22"/>
                <w:lang w:val="es-UY"/>
              </w:rPr>
              <w:t xml:space="preserve">The </w:t>
            </w:r>
            <w:proofErr w:type="spellStart"/>
            <w:r>
              <w:rPr>
                <w:rFonts w:ascii="Times New Roman" w:hAnsi="Times New Roman" w:cs="Times New Roman"/>
                <w:sz w:val="22"/>
                <w:lang w:val="es-UY"/>
              </w:rPr>
              <w:t>sanctions</w:t>
            </w:r>
            <w:proofErr w:type="spellEnd"/>
            <w:r>
              <w:rPr>
                <w:rFonts w:ascii="Times New Roman" w:hAnsi="Times New Roman" w:cs="Times New Roman"/>
                <w:sz w:val="22"/>
                <w:lang w:val="es-UY"/>
              </w:rPr>
              <w:t xml:space="preserve"> </w:t>
            </w:r>
            <w:proofErr w:type="spellStart"/>
            <w:r>
              <w:rPr>
                <w:rFonts w:ascii="Times New Roman" w:hAnsi="Times New Roman" w:cs="Times New Roman"/>
                <w:sz w:val="22"/>
                <w:lang w:val="es-UY"/>
              </w:rPr>
              <w:t>will</w:t>
            </w:r>
            <w:proofErr w:type="spellEnd"/>
            <w:r>
              <w:rPr>
                <w:rFonts w:ascii="Times New Roman" w:hAnsi="Times New Roman" w:cs="Times New Roman"/>
                <w:sz w:val="22"/>
                <w:lang w:val="es-UY"/>
              </w:rPr>
              <w:t xml:space="preserve"> be </w:t>
            </w:r>
            <w:proofErr w:type="spellStart"/>
            <w:r>
              <w:rPr>
                <w:rFonts w:ascii="Times New Roman" w:hAnsi="Times New Roman" w:cs="Times New Roman"/>
                <w:sz w:val="22"/>
                <w:lang w:val="es-UY"/>
              </w:rPr>
              <w:t>communicated</w:t>
            </w:r>
            <w:proofErr w:type="spellEnd"/>
            <w:r>
              <w:rPr>
                <w:rFonts w:ascii="Times New Roman" w:hAnsi="Times New Roman" w:cs="Times New Roman"/>
                <w:sz w:val="22"/>
                <w:lang w:val="es-UY"/>
              </w:rPr>
              <w:t xml:space="preserve"> </w:t>
            </w:r>
            <w:proofErr w:type="spellStart"/>
            <w:r>
              <w:rPr>
                <w:rFonts w:ascii="Times New Roman" w:hAnsi="Times New Roman" w:cs="Times New Roman"/>
                <w:sz w:val="22"/>
                <w:lang w:val="es-UY"/>
              </w:rPr>
              <w:t>to</w:t>
            </w:r>
            <w:proofErr w:type="spellEnd"/>
            <w:r>
              <w:rPr>
                <w:rFonts w:ascii="Times New Roman" w:hAnsi="Times New Roman" w:cs="Times New Roman"/>
                <w:sz w:val="22"/>
                <w:lang w:val="es-UY"/>
              </w:rPr>
              <w:t xml:space="preserve"> RUPE.</w:t>
            </w:r>
          </w:p>
          <w:p w14:paraId="30F61AD3" w14:textId="77777777" w:rsidR="00E255F4" w:rsidRDefault="00E255F4">
            <w:pPr>
              <w:pStyle w:val="Default"/>
              <w:jc w:val="both"/>
              <w:rPr>
                <w:rFonts w:ascii="Times New Roman" w:hAnsi="Times New Roman" w:cs="Times New Roman"/>
                <w:sz w:val="22"/>
                <w:lang w:val="es-UY"/>
              </w:rPr>
            </w:pPr>
          </w:p>
          <w:p w14:paraId="6C6FED43" w14:textId="77777777" w:rsidR="00E255F4" w:rsidRDefault="00000000">
            <w:pPr>
              <w:tabs>
                <w:tab w:val="left" w:pos="0"/>
              </w:tabs>
              <w:jc w:val="both"/>
              <w:rPr>
                <w:rFonts w:eastAsia="Palatino Linotype"/>
                <w:color w:val="70AD47"/>
                <w:sz w:val="22"/>
                <w:szCs w:val="22"/>
                <w:lang w:val="es-ES"/>
              </w:rPr>
            </w:pPr>
            <w:r>
              <w:rPr>
                <w:sz w:val="22"/>
              </w:rPr>
              <w:t xml:space="preserve">OSE </w:t>
            </w:r>
            <w:proofErr w:type="spellStart"/>
            <w:r>
              <w:rPr>
                <w:sz w:val="22"/>
              </w:rPr>
              <w:t>may</w:t>
            </w:r>
            <w:proofErr w:type="spellEnd"/>
            <w:r>
              <w:rPr>
                <w:sz w:val="22"/>
              </w:rPr>
              <w:t xml:space="preserve"> </w:t>
            </w:r>
            <w:proofErr w:type="spellStart"/>
            <w:r>
              <w:rPr>
                <w:sz w:val="22"/>
              </w:rPr>
              <w:t>also</w:t>
            </w:r>
            <w:proofErr w:type="spellEnd"/>
            <w:r>
              <w:rPr>
                <w:sz w:val="22"/>
              </w:rPr>
              <w:t xml:space="preserve"> </w:t>
            </w:r>
            <w:proofErr w:type="spellStart"/>
            <w:r>
              <w:rPr>
                <w:sz w:val="22"/>
              </w:rPr>
              <w:t>demand</w:t>
            </w:r>
            <w:proofErr w:type="spellEnd"/>
            <w:r>
              <w:rPr>
                <w:sz w:val="22"/>
              </w:rPr>
              <w:t xml:space="preserve">, </w:t>
            </w:r>
            <w:proofErr w:type="spellStart"/>
            <w:r>
              <w:rPr>
                <w:sz w:val="22"/>
              </w:rPr>
              <w:t>through</w:t>
            </w:r>
            <w:proofErr w:type="spellEnd"/>
            <w:r>
              <w:rPr>
                <w:sz w:val="22"/>
              </w:rPr>
              <w:t xml:space="preserve"> </w:t>
            </w:r>
            <w:proofErr w:type="spellStart"/>
            <w:r>
              <w:rPr>
                <w:sz w:val="22"/>
              </w:rPr>
              <w:t>the</w:t>
            </w:r>
            <w:proofErr w:type="spellEnd"/>
            <w:r>
              <w:rPr>
                <w:sz w:val="22"/>
              </w:rPr>
              <w:t xml:space="preserve"> </w:t>
            </w:r>
            <w:proofErr w:type="spellStart"/>
            <w:r>
              <w:rPr>
                <w:sz w:val="22"/>
              </w:rPr>
              <w:t>appropriate</w:t>
            </w:r>
            <w:proofErr w:type="spellEnd"/>
            <w:r>
              <w:rPr>
                <w:sz w:val="22"/>
              </w:rPr>
              <w:t xml:space="preserve"> </w:t>
            </w:r>
            <w:proofErr w:type="spellStart"/>
            <w:r>
              <w:rPr>
                <w:sz w:val="22"/>
              </w:rPr>
              <w:t>channels</w:t>
            </w:r>
            <w:proofErr w:type="spellEnd"/>
            <w:r>
              <w:rPr>
                <w:sz w:val="22"/>
              </w:rPr>
              <w:t xml:space="preserve">, </w:t>
            </w:r>
            <w:proofErr w:type="spellStart"/>
            <w:r>
              <w:rPr>
                <w:sz w:val="22"/>
              </w:rPr>
              <w:t>the</w:t>
            </w:r>
            <w:proofErr w:type="spellEnd"/>
            <w:r>
              <w:rPr>
                <w:sz w:val="22"/>
              </w:rPr>
              <w:t xml:space="preserve"> </w:t>
            </w:r>
            <w:proofErr w:type="spellStart"/>
            <w:r>
              <w:rPr>
                <w:sz w:val="22"/>
              </w:rPr>
              <w:t>damages</w:t>
            </w:r>
            <w:proofErr w:type="spellEnd"/>
            <w:r>
              <w:rPr>
                <w:sz w:val="22"/>
              </w:rPr>
              <w:t xml:space="preserve"> </w:t>
            </w:r>
            <w:proofErr w:type="spellStart"/>
            <w:r>
              <w:rPr>
                <w:sz w:val="22"/>
              </w:rPr>
              <w:t>arising</w:t>
            </w:r>
            <w:proofErr w:type="spellEnd"/>
            <w:r>
              <w:rPr>
                <w:sz w:val="22"/>
              </w:rPr>
              <w:t xml:space="preserve"> </w:t>
            </w:r>
            <w:proofErr w:type="spellStart"/>
            <w:r>
              <w:rPr>
                <w:sz w:val="22"/>
              </w:rPr>
              <w:t>from</w:t>
            </w:r>
            <w:proofErr w:type="spellEnd"/>
            <w:r>
              <w:rPr>
                <w:sz w:val="22"/>
              </w:rPr>
              <w:t xml:space="preserve"> </w:t>
            </w:r>
            <w:proofErr w:type="spellStart"/>
            <w:r>
              <w:rPr>
                <w:sz w:val="22"/>
              </w:rPr>
              <w:t>the</w:t>
            </w:r>
            <w:proofErr w:type="spellEnd"/>
            <w:r>
              <w:rPr>
                <w:sz w:val="22"/>
              </w:rPr>
              <w:t xml:space="preserve"> </w:t>
            </w:r>
            <w:proofErr w:type="spellStart"/>
            <w:r>
              <w:rPr>
                <w:sz w:val="22"/>
              </w:rPr>
              <w:t>breach</w:t>
            </w:r>
            <w:proofErr w:type="spellEnd"/>
            <w:r>
              <w:rPr>
                <w:sz w:val="22"/>
              </w:rPr>
              <w:t xml:space="preserve">, and </w:t>
            </w:r>
            <w:proofErr w:type="spellStart"/>
            <w:r>
              <w:rPr>
                <w:sz w:val="22"/>
              </w:rPr>
              <w:t>may</w:t>
            </w:r>
            <w:proofErr w:type="spellEnd"/>
            <w:r>
              <w:rPr>
                <w:sz w:val="22"/>
              </w:rPr>
              <w:t xml:space="preserve"> </w:t>
            </w:r>
            <w:proofErr w:type="spellStart"/>
            <w:r>
              <w:rPr>
                <w:sz w:val="22"/>
              </w:rPr>
              <w:t>even</w:t>
            </w:r>
            <w:proofErr w:type="spellEnd"/>
            <w:r>
              <w:rPr>
                <w:sz w:val="22"/>
              </w:rPr>
              <w:t xml:space="preserve"> </w:t>
            </w:r>
            <w:proofErr w:type="spellStart"/>
            <w:r>
              <w:rPr>
                <w:sz w:val="22"/>
              </w:rPr>
              <w:t>entrust</w:t>
            </w:r>
            <w:proofErr w:type="spellEnd"/>
            <w:r>
              <w:rPr>
                <w:sz w:val="22"/>
              </w:rPr>
              <w:t xml:space="preserve"> </w:t>
            </w:r>
            <w:proofErr w:type="spellStart"/>
            <w:r>
              <w:rPr>
                <w:sz w:val="22"/>
              </w:rPr>
              <w:t>the</w:t>
            </w:r>
            <w:proofErr w:type="spellEnd"/>
            <w:r>
              <w:rPr>
                <w:sz w:val="22"/>
              </w:rPr>
              <w:t xml:space="preserve"> </w:t>
            </w:r>
            <w:proofErr w:type="spellStart"/>
            <w:r>
              <w:rPr>
                <w:sz w:val="22"/>
              </w:rPr>
              <w:t>termination</w:t>
            </w:r>
            <w:proofErr w:type="spellEnd"/>
            <w:r>
              <w:rPr>
                <w:sz w:val="22"/>
              </w:rPr>
              <w:t xml:space="preserve"> </w:t>
            </w:r>
            <w:proofErr w:type="spellStart"/>
            <w:r>
              <w:rPr>
                <w:sz w:val="22"/>
              </w:rPr>
              <w:t>of</w:t>
            </w:r>
            <w:proofErr w:type="spellEnd"/>
            <w:r>
              <w:rPr>
                <w:sz w:val="22"/>
              </w:rPr>
              <w:t xml:space="preserve"> </w:t>
            </w:r>
            <w:proofErr w:type="spellStart"/>
            <w:r>
              <w:rPr>
                <w:sz w:val="22"/>
              </w:rPr>
              <w:t>the</w:t>
            </w:r>
            <w:proofErr w:type="spellEnd"/>
            <w:r>
              <w:rPr>
                <w:sz w:val="22"/>
              </w:rPr>
              <w:t xml:space="preserve"> </w:t>
            </w:r>
            <w:proofErr w:type="spellStart"/>
            <w:r>
              <w:rPr>
                <w:sz w:val="22"/>
              </w:rPr>
              <w:t>object</w:t>
            </w:r>
            <w:proofErr w:type="spellEnd"/>
            <w:r>
              <w:rPr>
                <w:sz w:val="22"/>
              </w:rPr>
              <w:t xml:space="preserve"> </w:t>
            </w:r>
            <w:proofErr w:type="spellStart"/>
            <w:r>
              <w:rPr>
                <w:sz w:val="22"/>
              </w:rPr>
              <w:t>of</w:t>
            </w:r>
            <w:proofErr w:type="spellEnd"/>
            <w:r>
              <w:rPr>
                <w:sz w:val="22"/>
              </w:rPr>
              <w:t xml:space="preserve"> </w:t>
            </w:r>
            <w:proofErr w:type="spellStart"/>
            <w:r>
              <w:rPr>
                <w:sz w:val="22"/>
              </w:rPr>
              <w:t>the</w:t>
            </w:r>
            <w:proofErr w:type="spellEnd"/>
            <w:r>
              <w:rPr>
                <w:sz w:val="22"/>
              </w:rPr>
              <w:t xml:space="preserve"> </w:t>
            </w:r>
            <w:proofErr w:type="spellStart"/>
            <w:r>
              <w:rPr>
                <w:sz w:val="22"/>
              </w:rPr>
              <w:t>contract</w:t>
            </w:r>
            <w:proofErr w:type="spellEnd"/>
            <w:r>
              <w:rPr>
                <w:sz w:val="22"/>
              </w:rPr>
              <w:t xml:space="preserve"> </w:t>
            </w:r>
            <w:proofErr w:type="spellStart"/>
            <w:r>
              <w:rPr>
                <w:sz w:val="22"/>
              </w:rPr>
              <w:t>to</w:t>
            </w:r>
            <w:proofErr w:type="spellEnd"/>
            <w:r>
              <w:rPr>
                <w:sz w:val="22"/>
              </w:rPr>
              <w:t xml:space="preserve"> </w:t>
            </w:r>
            <w:proofErr w:type="spellStart"/>
            <w:r>
              <w:rPr>
                <w:sz w:val="22"/>
              </w:rPr>
              <w:t>the</w:t>
            </w:r>
            <w:proofErr w:type="spellEnd"/>
            <w:r>
              <w:rPr>
                <w:sz w:val="22"/>
              </w:rPr>
              <w:t xml:space="preserve"> </w:t>
            </w:r>
            <w:proofErr w:type="spellStart"/>
            <w:r>
              <w:rPr>
                <w:sz w:val="22"/>
              </w:rPr>
              <w:t>defaulting</w:t>
            </w:r>
            <w:proofErr w:type="spellEnd"/>
            <w:r>
              <w:rPr>
                <w:sz w:val="22"/>
              </w:rPr>
              <w:t xml:space="preserve"> </w:t>
            </w:r>
            <w:proofErr w:type="spellStart"/>
            <w:r>
              <w:rPr>
                <w:sz w:val="22"/>
              </w:rPr>
              <w:t>supplier</w:t>
            </w:r>
            <w:proofErr w:type="spellEnd"/>
            <w:r>
              <w:rPr>
                <w:sz w:val="22"/>
              </w:rPr>
              <w:t>.</w:t>
            </w:r>
          </w:p>
        </w:tc>
      </w:tr>
      <w:tr w:rsidR="00E255F4" w14:paraId="21F6FD2F" w14:textId="77777777">
        <w:tc>
          <w:tcPr>
            <w:tcW w:w="730" w:type="dxa"/>
            <w:tcBorders>
              <w:top w:val="single" w:sz="4" w:space="0" w:color="000000"/>
              <w:left w:val="single" w:sz="4" w:space="0" w:color="000000"/>
              <w:bottom w:val="single" w:sz="4" w:space="0" w:color="000000"/>
              <w:right w:val="single" w:sz="4" w:space="0" w:color="000000"/>
            </w:tcBorders>
          </w:tcPr>
          <w:p w14:paraId="7401FDD5" w14:textId="77777777" w:rsidR="00E255F4" w:rsidRDefault="00000000">
            <w:pPr>
              <w:ind w:right="-36"/>
              <w:rPr>
                <w:rFonts w:eastAsia="Palatino Linotype"/>
                <w:b/>
                <w:sz w:val="22"/>
                <w:szCs w:val="22"/>
                <w:lang w:val="es-ES"/>
              </w:rPr>
            </w:pPr>
            <w:r>
              <w:rPr>
                <w:rFonts w:eastAsia="Palatino Linotype"/>
                <w:b/>
                <w:sz w:val="22"/>
                <w:szCs w:val="22"/>
                <w:lang w:val="es-ES"/>
              </w:rPr>
              <w:lastRenderedPageBreak/>
              <w:t>24</w:t>
            </w:r>
          </w:p>
        </w:tc>
        <w:tc>
          <w:tcPr>
            <w:tcW w:w="9048" w:type="dxa"/>
            <w:tcBorders>
              <w:top w:val="single" w:sz="4" w:space="0" w:color="000000"/>
              <w:left w:val="single" w:sz="4" w:space="0" w:color="000000"/>
              <w:bottom w:val="single" w:sz="4" w:space="0" w:color="000000"/>
              <w:right w:val="single" w:sz="4" w:space="0" w:color="000000"/>
            </w:tcBorders>
          </w:tcPr>
          <w:p w14:paraId="0B73B770" w14:textId="77777777" w:rsidR="00E255F4" w:rsidRDefault="00000000">
            <w:pPr>
              <w:tabs>
                <w:tab w:val="left" w:pos="0"/>
              </w:tabs>
              <w:jc w:val="both"/>
            </w:pPr>
            <w:r>
              <w:rPr>
                <w:spacing w:val="-1"/>
                <w:position w:val="1"/>
                <w:sz w:val="22"/>
                <w:szCs w:val="22"/>
                <w:lang w:val="es-ES"/>
              </w:rPr>
              <w:t xml:space="preserve"> </w:t>
            </w:r>
            <w:proofErr w:type="spellStart"/>
            <w:r>
              <w:rPr>
                <w:rFonts w:eastAsia="Palatino Linotype"/>
                <w:b/>
                <w:spacing w:val="-3"/>
                <w:sz w:val="22"/>
                <w:szCs w:val="22"/>
                <w:lang w:val="es-ES"/>
              </w:rPr>
              <w:t>Import</w:t>
            </w:r>
            <w:proofErr w:type="spellEnd"/>
          </w:p>
          <w:p w14:paraId="7150FC41" w14:textId="77777777" w:rsidR="00E255F4" w:rsidRDefault="00000000">
            <w:pPr>
              <w:tabs>
                <w:tab w:val="left" w:pos="0"/>
              </w:tabs>
              <w:jc w:val="both"/>
              <w:rPr>
                <w:rFonts w:eastAsia="Palatino Linotype"/>
                <w:b/>
                <w:spacing w:val="-3"/>
                <w:sz w:val="22"/>
                <w:szCs w:val="22"/>
                <w:lang w:val="es-ES"/>
              </w:rPr>
            </w:pPr>
            <w:proofErr w:type="spellStart"/>
            <w:r>
              <w:rPr>
                <w:rFonts w:eastAsia="Palatino Linotype"/>
                <w:b/>
                <w:spacing w:val="-3"/>
                <w:sz w:val="22"/>
                <w:szCs w:val="22"/>
                <w:lang w:val="es-ES"/>
              </w:rPr>
              <w:t>It</w:t>
            </w:r>
            <w:proofErr w:type="spellEnd"/>
            <w:r>
              <w:rPr>
                <w:rFonts w:eastAsia="Palatino Linotype"/>
                <w:b/>
                <w:spacing w:val="-3"/>
                <w:sz w:val="22"/>
                <w:szCs w:val="22"/>
                <w:lang w:val="es-ES"/>
              </w:rPr>
              <w:t xml:space="preserve"> </w:t>
            </w:r>
            <w:proofErr w:type="spellStart"/>
            <w:r>
              <w:rPr>
                <w:rFonts w:eastAsia="Palatino Linotype"/>
                <w:b/>
                <w:spacing w:val="-3"/>
                <w:sz w:val="22"/>
                <w:szCs w:val="22"/>
                <w:lang w:val="es-ES"/>
              </w:rPr>
              <w:t>is</w:t>
            </w:r>
            <w:proofErr w:type="spellEnd"/>
            <w:r>
              <w:rPr>
                <w:rFonts w:eastAsia="Palatino Linotype"/>
                <w:b/>
                <w:spacing w:val="-3"/>
                <w:sz w:val="22"/>
                <w:szCs w:val="22"/>
                <w:lang w:val="es-ES"/>
              </w:rPr>
              <w:t xml:space="preserve"> </w:t>
            </w:r>
            <w:proofErr w:type="spellStart"/>
            <w:r>
              <w:rPr>
                <w:rFonts w:eastAsia="Palatino Linotype"/>
                <w:b/>
                <w:spacing w:val="-3"/>
                <w:sz w:val="22"/>
                <w:szCs w:val="22"/>
                <w:lang w:val="es-ES"/>
              </w:rPr>
              <w:t>added</w:t>
            </w:r>
            <w:proofErr w:type="spellEnd"/>
            <w:r>
              <w:rPr>
                <w:rFonts w:eastAsia="Palatino Linotype"/>
                <w:b/>
                <w:spacing w:val="-3"/>
                <w:sz w:val="22"/>
                <w:szCs w:val="22"/>
                <w:lang w:val="es-ES"/>
              </w:rPr>
              <w:t>:</w:t>
            </w:r>
          </w:p>
          <w:p w14:paraId="4AEA4F23" w14:textId="77777777" w:rsidR="00E255F4" w:rsidRDefault="00E255F4">
            <w:pPr>
              <w:tabs>
                <w:tab w:val="left" w:pos="0"/>
              </w:tabs>
              <w:jc w:val="both"/>
              <w:rPr>
                <w:rFonts w:eastAsia="Palatino Linotype"/>
                <w:b/>
                <w:spacing w:val="-3"/>
                <w:sz w:val="22"/>
                <w:szCs w:val="22"/>
                <w:lang w:val="es-ES"/>
              </w:rPr>
            </w:pPr>
          </w:p>
          <w:p w14:paraId="19EABF91" w14:textId="77777777" w:rsidR="00E255F4" w:rsidRDefault="00000000">
            <w:pPr>
              <w:tabs>
                <w:tab w:val="left" w:pos="0"/>
              </w:tabs>
              <w:jc w:val="both"/>
              <w:rPr>
                <w:rFonts w:eastAsia="Palatino Linotype"/>
                <w:b/>
                <w:spacing w:val="-3"/>
                <w:sz w:val="22"/>
                <w:szCs w:val="22"/>
                <w:lang w:val="es-ES"/>
              </w:rPr>
            </w:pPr>
            <w:proofErr w:type="spellStart"/>
            <w:r>
              <w:rPr>
                <w:rFonts w:eastAsia="Palatino Linotype"/>
                <w:b/>
                <w:spacing w:val="-3"/>
                <w:sz w:val="22"/>
                <w:szCs w:val="22"/>
                <w:lang w:val="es-ES"/>
              </w:rPr>
              <w:t>Shipping</w:t>
            </w:r>
            <w:proofErr w:type="spellEnd"/>
            <w:r>
              <w:rPr>
                <w:rFonts w:eastAsia="Palatino Linotype"/>
                <w:b/>
                <w:spacing w:val="-3"/>
                <w:sz w:val="22"/>
                <w:szCs w:val="22"/>
                <w:lang w:val="es-ES"/>
              </w:rPr>
              <w:t xml:space="preserve"> </w:t>
            </w:r>
            <w:proofErr w:type="spellStart"/>
            <w:r>
              <w:rPr>
                <w:rFonts w:eastAsia="Palatino Linotype"/>
                <w:b/>
                <w:spacing w:val="-3"/>
                <w:sz w:val="22"/>
                <w:szCs w:val="22"/>
                <w:lang w:val="es-ES"/>
              </w:rPr>
              <w:t>coordination</w:t>
            </w:r>
            <w:proofErr w:type="spellEnd"/>
            <w:r>
              <w:rPr>
                <w:rFonts w:eastAsia="Palatino Linotype"/>
                <w:b/>
                <w:spacing w:val="-3"/>
                <w:sz w:val="22"/>
                <w:szCs w:val="22"/>
                <w:lang w:val="es-ES"/>
              </w:rPr>
              <w:t>:</w:t>
            </w:r>
          </w:p>
          <w:p w14:paraId="5DC3ECF3" w14:textId="77777777" w:rsidR="00E255F4" w:rsidRDefault="00E255F4">
            <w:pPr>
              <w:tabs>
                <w:tab w:val="left" w:pos="0"/>
              </w:tabs>
              <w:jc w:val="both"/>
              <w:rPr>
                <w:rFonts w:eastAsia="Palatino Linotype"/>
                <w:b/>
                <w:spacing w:val="-3"/>
                <w:sz w:val="22"/>
                <w:szCs w:val="22"/>
                <w:lang w:val="es-ES"/>
              </w:rPr>
            </w:pPr>
          </w:p>
          <w:p w14:paraId="406606DC" w14:textId="77777777" w:rsidR="00E255F4" w:rsidRDefault="00000000">
            <w:pPr>
              <w:tabs>
                <w:tab w:val="left" w:pos="0"/>
              </w:tabs>
              <w:jc w:val="both"/>
            </w:pPr>
            <w:r>
              <w:rPr>
                <w:rFonts w:eastAsia="Palatino Linotype"/>
                <w:spacing w:val="-3"/>
                <w:sz w:val="22"/>
                <w:szCs w:val="22"/>
                <w:lang w:val="es-ES"/>
              </w:rPr>
              <w:t xml:space="preserve">For </w:t>
            </w:r>
            <w:proofErr w:type="spellStart"/>
            <w:r>
              <w:rPr>
                <w:rFonts w:eastAsia="Palatino Linotype"/>
                <w:spacing w:val="-3"/>
                <w:sz w:val="22"/>
                <w:szCs w:val="22"/>
                <w:lang w:val="es-ES"/>
              </w:rPr>
              <w:t>supplies</w:t>
            </w:r>
            <w:proofErr w:type="spellEnd"/>
            <w:r>
              <w:rPr>
                <w:rFonts w:eastAsia="Palatino Linotype"/>
                <w:spacing w:val="-3"/>
                <w:sz w:val="22"/>
                <w:szCs w:val="22"/>
                <w:lang w:val="es-ES"/>
              </w:rPr>
              <w:t xml:space="preserve"> </w:t>
            </w:r>
            <w:proofErr w:type="spellStart"/>
            <w:r>
              <w:rPr>
                <w:rFonts w:eastAsia="Palatino Linotype"/>
                <w:spacing w:val="-3"/>
                <w:sz w:val="22"/>
                <w:szCs w:val="22"/>
                <w:lang w:val="es-ES"/>
              </w:rPr>
              <w:t>of</w:t>
            </w:r>
            <w:proofErr w:type="spellEnd"/>
            <w:r>
              <w:rPr>
                <w:rFonts w:eastAsia="Palatino Linotype"/>
                <w:spacing w:val="-3"/>
                <w:sz w:val="22"/>
                <w:szCs w:val="22"/>
                <w:lang w:val="es-ES"/>
              </w:rPr>
              <w:t xml:space="preserve"> </w:t>
            </w:r>
            <w:proofErr w:type="spellStart"/>
            <w:r>
              <w:rPr>
                <w:rFonts w:eastAsia="Palatino Linotype"/>
                <w:spacing w:val="-3"/>
                <w:sz w:val="22"/>
                <w:szCs w:val="22"/>
                <w:lang w:val="es-ES"/>
              </w:rPr>
              <w:t>goods</w:t>
            </w:r>
            <w:proofErr w:type="spellEnd"/>
            <w:r>
              <w:rPr>
                <w:rFonts w:eastAsia="Palatino Linotype"/>
                <w:spacing w:val="-3"/>
                <w:sz w:val="22"/>
                <w:szCs w:val="22"/>
                <w:lang w:val="es-ES"/>
              </w:rPr>
              <w:t xml:space="preserve"> </w:t>
            </w:r>
            <w:proofErr w:type="spellStart"/>
            <w:r>
              <w:rPr>
                <w:rFonts w:eastAsia="Palatino Linotype"/>
                <w:spacing w:val="-3"/>
                <w:sz w:val="22"/>
                <w:szCs w:val="22"/>
                <w:lang w:val="es-ES"/>
              </w:rPr>
              <w:t>to</w:t>
            </w:r>
            <w:proofErr w:type="spellEnd"/>
            <w:r>
              <w:rPr>
                <w:rFonts w:eastAsia="Palatino Linotype"/>
                <w:spacing w:val="-3"/>
                <w:sz w:val="22"/>
                <w:szCs w:val="22"/>
                <w:lang w:val="es-ES"/>
              </w:rPr>
              <w:t xml:space="preserve"> be </w:t>
            </w:r>
            <w:proofErr w:type="spellStart"/>
            <w:r>
              <w:rPr>
                <w:rFonts w:eastAsia="Palatino Linotype"/>
                <w:spacing w:val="-3"/>
                <w:sz w:val="22"/>
                <w:szCs w:val="22"/>
                <w:lang w:val="es-ES"/>
              </w:rPr>
              <w:t>imported</w:t>
            </w:r>
            <w:proofErr w:type="spellEnd"/>
            <w:r>
              <w:rPr>
                <w:rFonts w:eastAsia="Palatino Linotype"/>
                <w:spacing w:val="-3"/>
                <w:sz w:val="22"/>
                <w:szCs w:val="22"/>
                <w:lang w:val="es-ES"/>
              </w:rPr>
              <w:t xml:space="preserve"> </w:t>
            </w:r>
            <w:proofErr w:type="spellStart"/>
            <w:r>
              <w:rPr>
                <w:rFonts w:eastAsia="Palatino Linotype"/>
                <w:spacing w:val="-3"/>
                <w:sz w:val="22"/>
                <w:szCs w:val="22"/>
                <w:lang w:val="es-ES"/>
              </w:rPr>
              <w:t>by</w:t>
            </w:r>
            <w:proofErr w:type="spellEnd"/>
            <w:r>
              <w:rPr>
                <w:rFonts w:eastAsia="Palatino Linotype"/>
                <w:spacing w:val="-3"/>
                <w:sz w:val="22"/>
                <w:szCs w:val="22"/>
                <w:lang w:val="es-ES"/>
              </w:rPr>
              <w:t xml:space="preserve"> OSE, </w:t>
            </w:r>
            <w:proofErr w:type="spellStart"/>
            <w:r>
              <w:rPr>
                <w:rFonts w:eastAsia="Palatino Linotype"/>
                <w:spacing w:val="-3"/>
                <w:sz w:val="22"/>
                <w:szCs w:val="22"/>
                <w:lang w:val="es-ES"/>
              </w:rPr>
              <w:t>the</w:t>
            </w:r>
            <w:proofErr w:type="spellEnd"/>
            <w:r>
              <w:rPr>
                <w:rFonts w:eastAsia="Palatino Linotype"/>
                <w:spacing w:val="-3"/>
                <w:sz w:val="22"/>
                <w:szCs w:val="22"/>
                <w:lang w:val="es-ES"/>
              </w:rPr>
              <w:t xml:space="preserve"> </w:t>
            </w:r>
            <w:proofErr w:type="spellStart"/>
            <w:r>
              <w:rPr>
                <w:rFonts w:eastAsia="Palatino Linotype"/>
                <w:spacing w:val="-3"/>
                <w:sz w:val="22"/>
                <w:szCs w:val="22"/>
                <w:lang w:val="es-ES"/>
              </w:rPr>
              <w:t>supplier</w:t>
            </w:r>
            <w:proofErr w:type="spellEnd"/>
            <w:r>
              <w:rPr>
                <w:rFonts w:eastAsia="Palatino Linotype"/>
                <w:spacing w:val="-3"/>
                <w:sz w:val="22"/>
                <w:szCs w:val="22"/>
                <w:lang w:val="es-ES"/>
              </w:rPr>
              <w:t xml:space="preserve"> </w:t>
            </w:r>
            <w:proofErr w:type="spellStart"/>
            <w:r>
              <w:rPr>
                <w:rFonts w:eastAsia="Palatino Linotype"/>
                <w:spacing w:val="-3"/>
                <w:sz w:val="22"/>
                <w:szCs w:val="22"/>
                <w:lang w:val="es-ES"/>
              </w:rPr>
              <w:t>must</w:t>
            </w:r>
            <w:proofErr w:type="spellEnd"/>
            <w:r>
              <w:rPr>
                <w:rFonts w:eastAsia="Palatino Linotype"/>
                <w:spacing w:val="-3"/>
                <w:sz w:val="22"/>
                <w:szCs w:val="22"/>
                <w:lang w:val="es-ES"/>
              </w:rPr>
              <w:t xml:space="preserve"> </w:t>
            </w:r>
            <w:proofErr w:type="spellStart"/>
            <w:r>
              <w:rPr>
                <w:rFonts w:eastAsia="Palatino Linotype"/>
                <w:spacing w:val="-3"/>
                <w:sz w:val="22"/>
                <w:szCs w:val="22"/>
                <w:lang w:val="es-ES"/>
              </w:rPr>
              <w:t>take</w:t>
            </w:r>
            <w:proofErr w:type="spellEnd"/>
            <w:r>
              <w:rPr>
                <w:rFonts w:eastAsia="Palatino Linotype"/>
                <w:spacing w:val="-3"/>
                <w:sz w:val="22"/>
                <w:szCs w:val="22"/>
                <w:lang w:val="es-ES"/>
              </w:rPr>
              <w:t xml:space="preserve"> </w:t>
            </w:r>
            <w:proofErr w:type="spellStart"/>
            <w:r>
              <w:rPr>
                <w:rFonts w:eastAsia="Palatino Linotype"/>
                <w:spacing w:val="-3"/>
                <w:sz w:val="22"/>
                <w:szCs w:val="22"/>
                <w:lang w:val="es-ES"/>
              </w:rPr>
              <w:t>into</w:t>
            </w:r>
            <w:proofErr w:type="spellEnd"/>
            <w:r>
              <w:rPr>
                <w:rFonts w:eastAsia="Palatino Linotype"/>
                <w:spacing w:val="-3"/>
                <w:sz w:val="22"/>
                <w:szCs w:val="22"/>
                <w:lang w:val="es-ES"/>
              </w:rPr>
              <w:t xml:space="preserve"> </w:t>
            </w:r>
            <w:proofErr w:type="spellStart"/>
            <w:r>
              <w:rPr>
                <w:rFonts w:eastAsia="Palatino Linotype"/>
                <w:spacing w:val="-3"/>
                <w:sz w:val="22"/>
                <w:szCs w:val="22"/>
                <w:lang w:val="es-ES"/>
              </w:rPr>
              <w:t>account</w:t>
            </w:r>
            <w:proofErr w:type="spellEnd"/>
            <w:r>
              <w:rPr>
                <w:rFonts w:eastAsia="Palatino Linotype"/>
                <w:spacing w:val="-3"/>
                <w:sz w:val="22"/>
                <w:szCs w:val="22"/>
                <w:lang w:val="es-ES"/>
              </w:rPr>
              <w:t>:</w:t>
            </w:r>
          </w:p>
          <w:p w14:paraId="252204EF" w14:textId="77777777" w:rsidR="00E255F4" w:rsidRDefault="00E255F4">
            <w:pPr>
              <w:tabs>
                <w:tab w:val="left" w:pos="0"/>
              </w:tabs>
              <w:jc w:val="both"/>
              <w:rPr>
                <w:rFonts w:eastAsia="Palatino Linotype"/>
                <w:spacing w:val="-3"/>
                <w:sz w:val="22"/>
                <w:szCs w:val="22"/>
                <w:lang w:val="es-ES"/>
              </w:rPr>
            </w:pPr>
          </w:p>
          <w:p w14:paraId="25240497" w14:textId="77777777" w:rsidR="00E255F4" w:rsidRDefault="00000000">
            <w:pPr>
              <w:pStyle w:val="Prrafodelista"/>
              <w:numPr>
                <w:ilvl w:val="0"/>
                <w:numId w:val="52"/>
              </w:numPr>
              <w:ind w:left="459" w:hanging="425"/>
            </w:pPr>
            <w:proofErr w:type="spellStart"/>
            <w:r>
              <w:rPr>
                <w:b/>
                <w:sz w:val="22"/>
                <w:szCs w:val="22"/>
                <w:lang w:val="es-ES"/>
              </w:rPr>
              <w:t>Shipping</w:t>
            </w:r>
            <w:proofErr w:type="spellEnd"/>
            <w:r>
              <w:rPr>
                <w:b/>
                <w:sz w:val="22"/>
                <w:szCs w:val="22"/>
                <w:lang w:val="es-ES"/>
              </w:rPr>
              <w:t xml:space="preserve"> Notice</w:t>
            </w:r>
          </w:p>
          <w:p w14:paraId="71D0DE6F" w14:textId="77777777" w:rsidR="00E255F4" w:rsidRDefault="00E255F4">
            <w:pPr>
              <w:tabs>
                <w:tab w:val="left" w:pos="0"/>
              </w:tabs>
              <w:spacing w:line="240" w:lineRule="auto"/>
              <w:jc w:val="both"/>
              <w:textAlignment w:val="baseline"/>
              <w:rPr>
                <w:rFonts w:eastAsia="Palatino Linotype"/>
                <w:b/>
                <w:spacing w:val="-1"/>
                <w:position w:val="1"/>
                <w:sz w:val="22"/>
                <w:szCs w:val="22"/>
                <w:lang w:val="es-ES"/>
              </w:rPr>
            </w:pPr>
          </w:p>
          <w:p w14:paraId="74F23066" w14:textId="77777777" w:rsidR="00E255F4" w:rsidRDefault="00000000">
            <w:pPr>
              <w:tabs>
                <w:tab w:val="left" w:pos="0"/>
              </w:tabs>
              <w:spacing w:line="240" w:lineRule="auto"/>
              <w:jc w:val="both"/>
              <w:textAlignment w:val="baseline"/>
            </w:pPr>
            <w:r>
              <w:rPr>
                <w:sz w:val="22"/>
                <w:szCs w:val="22"/>
              </w:rPr>
              <w:t xml:space="preserve">At </w:t>
            </w:r>
            <w:proofErr w:type="spellStart"/>
            <w:r>
              <w:rPr>
                <w:sz w:val="22"/>
                <w:szCs w:val="22"/>
              </w:rPr>
              <w:t>least</w:t>
            </w:r>
            <w:proofErr w:type="spellEnd"/>
            <w:r>
              <w:rPr>
                <w:sz w:val="22"/>
                <w:szCs w:val="22"/>
              </w:rPr>
              <w:t xml:space="preserve"> 3 (</w:t>
            </w:r>
            <w:proofErr w:type="spellStart"/>
            <w:r>
              <w:rPr>
                <w:sz w:val="22"/>
                <w:szCs w:val="22"/>
              </w:rPr>
              <w:t>three</w:t>
            </w:r>
            <w:proofErr w:type="spellEnd"/>
            <w:r>
              <w:rPr>
                <w:sz w:val="22"/>
                <w:szCs w:val="22"/>
              </w:rPr>
              <w:t xml:space="preserve">) </w:t>
            </w:r>
            <w:proofErr w:type="spellStart"/>
            <w:r>
              <w:rPr>
                <w:sz w:val="22"/>
                <w:szCs w:val="22"/>
              </w:rPr>
              <w:t>business</w:t>
            </w:r>
            <w:proofErr w:type="spellEnd"/>
            <w:r>
              <w:rPr>
                <w:sz w:val="22"/>
                <w:szCs w:val="22"/>
              </w:rPr>
              <w:t xml:space="preserve"> </w:t>
            </w:r>
            <w:proofErr w:type="spellStart"/>
            <w:r>
              <w:rPr>
                <w:sz w:val="22"/>
                <w:szCs w:val="22"/>
              </w:rPr>
              <w:t>days</w:t>
            </w:r>
            <w:proofErr w:type="spellEnd"/>
            <w:r>
              <w:rPr>
                <w:sz w:val="22"/>
                <w:szCs w:val="22"/>
              </w:rPr>
              <w:t xml:space="preserve"> </w:t>
            </w:r>
            <w:proofErr w:type="spellStart"/>
            <w:r>
              <w:rPr>
                <w:sz w:val="22"/>
                <w:szCs w:val="22"/>
              </w:rPr>
              <w:t>before</w:t>
            </w:r>
            <w:proofErr w:type="spellEnd"/>
            <w:r>
              <w:rPr>
                <w:sz w:val="22"/>
                <w:szCs w:val="22"/>
              </w:rPr>
              <w:t xml:space="preserve"> </w:t>
            </w:r>
            <w:proofErr w:type="spellStart"/>
            <w:r>
              <w:rPr>
                <w:sz w:val="22"/>
                <w:szCs w:val="22"/>
              </w:rPr>
              <w:t>the</w:t>
            </w:r>
            <w:proofErr w:type="spellEnd"/>
            <w:r>
              <w:rPr>
                <w:sz w:val="22"/>
                <w:szCs w:val="22"/>
              </w:rPr>
              <w:t xml:space="preserve"> </w:t>
            </w:r>
            <w:proofErr w:type="spellStart"/>
            <w:r>
              <w:rPr>
                <w:sz w:val="22"/>
                <w:szCs w:val="22"/>
              </w:rPr>
              <w:t>scheduled</w:t>
            </w:r>
            <w:proofErr w:type="spellEnd"/>
            <w:r>
              <w:rPr>
                <w:sz w:val="22"/>
                <w:szCs w:val="22"/>
              </w:rPr>
              <w:t xml:space="preserve"> </w:t>
            </w:r>
            <w:proofErr w:type="spellStart"/>
            <w:r>
              <w:rPr>
                <w:sz w:val="22"/>
                <w:szCs w:val="22"/>
              </w:rPr>
              <w:t>shipping</w:t>
            </w:r>
            <w:proofErr w:type="spellEnd"/>
            <w:r>
              <w:rPr>
                <w:sz w:val="22"/>
                <w:szCs w:val="22"/>
              </w:rPr>
              <w:t xml:space="preserve"> date, </w:t>
            </w:r>
            <w:proofErr w:type="spellStart"/>
            <w:r>
              <w:rPr>
                <w:sz w:val="22"/>
                <w:szCs w:val="22"/>
              </w:rPr>
              <w:t>the</w:t>
            </w:r>
            <w:proofErr w:type="spellEnd"/>
            <w:r>
              <w:rPr>
                <w:sz w:val="22"/>
                <w:szCs w:val="22"/>
              </w:rPr>
              <w:t xml:space="preserve"> </w:t>
            </w:r>
            <w:proofErr w:type="spellStart"/>
            <w:r>
              <w:rPr>
                <w:sz w:val="22"/>
                <w:szCs w:val="22"/>
              </w:rPr>
              <w:t>supplier</w:t>
            </w:r>
            <w:proofErr w:type="spellEnd"/>
            <w:r>
              <w:rPr>
                <w:sz w:val="22"/>
                <w:szCs w:val="22"/>
              </w:rPr>
              <w:t xml:space="preserve"> </w:t>
            </w:r>
            <w:proofErr w:type="spellStart"/>
            <w:r>
              <w:rPr>
                <w:sz w:val="22"/>
                <w:szCs w:val="22"/>
              </w:rPr>
              <w:t>must</w:t>
            </w:r>
            <w:proofErr w:type="spellEnd"/>
            <w:r>
              <w:rPr>
                <w:sz w:val="22"/>
                <w:szCs w:val="22"/>
              </w:rPr>
              <w:t xml:space="preserve"> </w:t>
            </w:r>
            <w:proofErr w:type="spellStart"/>
            <w:r>
              <w:rPr>
                <w:sz w:val="22"/>
                <w:szCs w:val="22"/>
              </w:rPr>
              <w:t>notify</w:t>
            </w:r>
            <w:proofErr w:type="spellEnd"/>
            <w:r>
              <w:rPr>
                <w:sz w:val="22"/>
                <w:szCs w:val="22"/>
              </w:rPr>
              <w:t xml:space="preserve"> </w:t>
            </w:r>
            <w:proofErr w:type="spellStart"/>
            <w:r>
              <w:rPr>
                <w:sz w:val="22"/>
                <w:szCs w:val="22"/>
              </w:rPr>
              <w:t>the</w:t>
            </w:r>
            <w:proofErr w:type="spellEnd"/>
            <w:r>
              <w:rPr>
                <w:sz w:val="22"/>
                <w:szCs w:val="22"/>
              </w:rPr>
              <w:t xml:space="preserve"> Foreign Trade Office (</w:t>
            </w:r>
            <w:proofErr w:type="spellStart"/>
            <w:r>
              <w:rPr>
                <w:sz w:val="22"/>
                <w:szCs w:val="22"/>
              </w:rPr>
              <w:t>Supply</w:t>
            </w:r>
            <w:proofErr w:type="spellEnd"/>
            <w:r>
              <w:rPr>
                <w:sz w:val="22"/>
                <w:szCs w:val="22"/>
              </w:rPr>
              <w:t xml:space="preserve"> Management), </w:t>
            </w:r>
            <w:proofErr w:type="spellStart"/>
            <w:r>
              <w:rPr>
                <w:sz w:val="22"/>
                <w:szCs w:val="22"/>
              </w:rPr>
              <w:t>via</w:t>
            </w:r>
            <w:proofErr w:type="spellEnd"/>
            <w:r>
              <w:rPr>
                <w:sz w:val="22"/>
                <w:szCs w:val="22"/>
              </w:rPr>
              <w:t xml:space="preserve"> email (</w:t>
            </w:r>
            <w:hyperlink r:id="rId19">
              <w:r w:rsidR="00E255F4">
                <w:rPr>
                  <w:rStyle w:val="Hipervnculo"/>
                  <w:sz w:val="22"/>
                  <w:szCs w:val="22"/>
                  <w:lang w:val="es-ES"/>
                </w:rPr>
                <w:t>comercio.exterior@ose.com.uy</w:t>
              </w:r>
            </w:hyperlink>
            <w:r>
              <w:rPr>
                <w:sz w:val="22"/>
                <w:szCs w:val="22"/>
              </w:rPr>
              <w:t xml:space="preserve">) </w:t>
            </w:r>
            <w:proofErr w:type="spellStart"/>
            <w:r>
              <w:rPr>
                <w:sz w:val="22"/>
                <w:szCs w:val="22"/>
              </w:rPr>
              <w:t>the</w:t>
            </w:r>
            <w:proofErr w:type="spellEnd"/>
            <w:r>
              <w:rPr>
                <w:sz w:val="22"/>
                <w:szCs w:val="22"/>
              </w:rPr>
              <w:t xml:space="preserve"> </w:t>
            </w:r>
            <w:proofErr w:type="spellStart"/>
            <w:r>
              <w:rPr>
                <w:sz w:val="22"/>
                <w:szCs w:val="22"/>
              </w:rPr>
              <w:t>following</w:t>
            </w:r>
            <w:proofErr w:type="spellEnd"/>
            <w:r>
              <w:rPr>
                <w:sz w:val="22"/>
                <w:szCs w:val="22"/>
              </w:rPr>
              <w:t xml:space="preserve"> </w:t>
            </w:r>
            <w:proofErr w:type="spellStart"/>
            <w:r>
              <w:rPr>
                <w:sz w:val="22"/>
                <w:szCs w:val="22"/>
              </w:rPr>
              <w:t>information</w:t>
            </w:r>
            <w:proofErr w:type="spellEnd"/>
            <w:r>
              <w:rPr>
                <w:sz w:val="22"/>
                <w:szCs w:val="22"/>
              </w:rPr>
              <w:t>:</w:t>
            </w:r>
          </w:p>
          <w:p w14:paraId="0A379E70" w14:textId="77777777" w:rsidR="00E255F4" w:rsidRDefault="00E255F4">
            <w:pPr>
              <w:tabs>
                <w:tab w:val="left" w:pos="0"/>
              </w:tabs>
              <w:spacing w:line="240" w:lineRule="auto"/>
              <w:jc w:val="both"/>
              <w:textAlignment w:val="baseline"/>
              <w:rPr>
                <w:sz w:val="22"/>
                <w:szCs w:val="22"/>
              </w:rPr>
            </w:pPr>
          </w:p>
          <w:p w14:paraId="12C5D906" w14:textId="77777777" w:rsidR="00E255F4" w:rsidRDefault="00000000">
            <w:pPr>
              <w:numPr>
                <w:ilvl w:val="0"/>
                <w:numId w:val="11"/>
              </w:numPr>
              <w:tabs>
                <w:tab w:val="left" w:pos="709"/>
              </w:tabs>
              <w:spacing w:line="240" w:lineRule="auto"/>
              <w:ind w:left="709" w:hanging="283"/>
              <w:jc w:val="both"/>
              <w:rPr>
                <w:sz w:val="22"/>
                <w:szCs w:val="22"/>
              </w:rPr>
            </w:pPr>
            <w:r>
              <w:rPr>
                <w:sz w:val="22"/>
                <w:szCs w:val="22"/>
              </w:rPr>
              <w:t xml:space="preserve">Purchase </w:t>
            </w:r>
            <w:proofErr w:type="spellStart"/>
            <w:r>
              <w:rPr>
                <w:sz w:val="22"/>
                <w:szCs w:val="22"/>
              </w:rPr>
              <w:t>number</w:t>
            </w:r>
            <w:proofErr w:type="spellEnd"/>
            <w:r>
              <w:rPr>
                <w:sz w:val="22"/>
                <w:szCs w:val="22"/>
              </w:rPr>
              <w:t>.</w:t>
            </w:r>
          </w:p>
          <w:p w14:paraId="4B2386B5" w14:textId="77777777" w:rsidR="00E255F4" w:rsidRDefault="00000000">
            <w:pPr>
              <w:numPr>
                <w:ilvl w:val="0"/>
                <w:numId w:val="11"/>
              </w:numPr>
              <w:tabs>
                <w:tab w:val="left" w:pos="709"/>
              </w:tabs>
              <w:spacing w:line="240" w:lineRule="auto"/>
              <w:ind w:left="709" w:hanging="283"/>
              <w:jc w:val="both"/>
              <w:rPr>
                <w:sz w:val="22"/>
                <w:szCs w:val="22"/>
              </w:rPr>
            </w:pPr>
            <w:proofErr w:type="spellStart"/>
            <w:r>
              <w:rPr>
                <w:sz w:val="22"/>
                <w:szCs w:val="22"/>
              </w:rPr>
              <w:t>Supply</w:t>
            </w:r>
            <w:proofErr w:type="spellEnd"/>
            <w:r>
              <w:rPr>
                <w:sz w:val="22"/>
                <w:szCs w:val="22"/>
              </w:rPr>
              <w:t>/</w:t>
            </w:r>
            <w:proofErr w:type="spellStart"/>
            <w:r>
              <w:rPr>
                <w:sz w:val="22"/>
                <w:szCs w:val="22"/>
              </w:rPr>
              <w:t>ship</w:t>
            </w:r>
            <w:proofErr w:type="spellEnd"/>
            <w:r>
              <w:rPr>
                <w:sz w:val="22"/>
                <w:szCs w:val="22"/>
              </w:rPr>
              <w:t>.</w:t>
            </w:r>
          </w:p>
          <w:p w14:paraId="2CF3AB31" w14:textId="77777777" w:rsidR="00E255F4" w:rsidRDefault="00000000">
            <w:pPr>
              <w:numPr>
                <w:ilvl w:val="0"/>
                <w:numId w:val="11"/>
              </w:numPr>
              <w:tabs>
                <w:tab w:val="left" w:pos="709"/>
              </w:tabs>
              <w:spacing w:line="240" w:lineRule="auto"/>
              <w:ind w:left="709" w:hanging="283"/>
              <w:jc w:val="both"/>
              <w:rPr>
                <w:sz w:val="22"/>
                <w:szCs w:val="22"/>
              </w:rPr>
            </w:pPr>
            <w:proofErr w:type="spellStart"/>
            <w:r>
              <w:rPr>
                <w:sz w:val="22"/>
                <w:szCs w:val="22"/>
              </w:rPr>
              <w:t>Shipping</w:t>
            </w:r>
            <w:proofErr w:type="spellEnd"/>
            <w:r>
              <w:rPr>
                <w:sz w:val="22"/>
                <w:szCs w:val="22"/>
              </w:rPr>
              <w:t xml:space="preserve"> </w:t>
            </w:r>
            <w:proofErr w:type="spellStart"/>
            <w:r>
              <w:rPr>
                <w:sz w:val="22"/>
                <w:szCs w:val="22"/>
              </w:rPr>
              <w:t>value</w:t>
            </w:r>
            <w:proofErr w:type="spellEnd"/>
            <w:r>
              <w:rPr>
                <w:sz w:val="22"/>
                <w:szCs w:val="22"/>
              </w:rPr>
              <w:t>.</w:t>
            </w:r>
          </w:p>
          <w:p w14:paraId="1AFB3DAF" w14:textId="77777777" w:rsidR="00E255F4" w:rsidRDefault="00000000">
            <w:pPr>
              <w:numPr>
                <w:ilvl w:val="0"/>
                <w:numId w:val="11"/>
              </w:numPr>
              <w:tabs>
                <w:tab w:val="left" w:pos="709"/>
              </w:tabs>
              <w:spacing w:line="240" w:lineRule="auto"/>
              <w:ind w:left="709" w:hanging="283"/>
              <w:jc w:val="both"/>
              <w:rPr>
                <w:sz w:val="22"/>
                <w:szCs w:val="22"/>
              </w:rPr>
            </w:pPr>
            <w:proofErr w:type="spellStart"/>
            <w:r>
              <w:rPr>
                <w:sz w:val="22"/>
                <w:szCs w:val="22"/>
              </w:rPr>
              <w:t>Expected</w:t>
            </w:r>
            <w:proofErr w:type="spellEnd"/>
            <w:r>
              <w:rPr>
                <w:sz w:val="22"/>
                <w:szCs w:val="22"/>
              </w:rPr>
              <w:t xml:space="preserve"> </w:t>
            </w:r>
            <w:proofErr w:type="spellStart"/>
            <w:r>
              <w:rPr>
                <w:sz w:val="22"/>
                <w:szCs w:val="22"/>
              </w:rPr>
              <w:t>departure</w:t>
            </w:r>
            <w:proofErr w:type="spellEnd"/>
            <w:r>
              <w:rPr>
                <w:sz w:val="22"/>
                <w:szCs w:val="22"/>
              </w:rPr>
              <w:t xml:space="preserve"> date.</w:t>
            </w:r>
          </w:p>
          <w:p w14:paraId="337A35F8" w14:textId="77777777" w:rsidR="00E255F4" w:rsidRDefault="00000000">
            <w:pPr>
              <w:numPr>
                <w:ilvl w:val="0"/>
                <w:numId w:val="11"/>
              </w:numPr>
              <w:tabs>
                <w:tab w:val="left" w:pos="709"/>
              </w:tabs>
              <w:spacing w:line="240" w:lineRule="auto"/>
              <w:ind w:left="709" w:hanging="283"/>
              <w:jc w:val="both"/>
              <w:rPr>
                <w:sz w:val="22"/>
                <w:szCs w:val="22"/>
              </w:rPr>
            </w:pPr>
            <w:proofErr w:type="spellStart"/>
            <w:r>
              <w:rPr>
                <w:sz w:val="22"/>
                <w:szCs w:val="22"/>
              </w:rPr>
              <w:t>Type</w:t>
            </w:r>
            <w:proofErr w:type="spellEnd"/>
            <w:r>
              <w:rPr>
                <w:sz w:val="22"/>
                <w:szCs w:val="22"/>
              </w:rPr>
              <w:t xml:space="preserve"> </w:t>
            </w:r>
            <w:proofErr w:type="spellStart"/>
            <w:r>
              <w:rPr>
                <w:sz w:val="22"/>
                <w:szCs w:val="22"/>
              </w:rPr>
              <w:t>of</w:t>
            </w:r>
            <w:proofErr w:type="spellEnd"/>
            <w:r>
              <w:rPr>
                <w:sz w:val="22"/>
                <w:szCs w:val="22"/>
              </w:rPr>
              <w:t xml:space="preserve"> </w:t>
            </w:r>
            <w:proofErr w:type="spellStart"/>
            <w:r>
              <w:rPr>
                <w:sz w:val="22"/>
                <w:szCs w:val="22"/>
              </w:rPr>
              <w:t>packages</w:t>
            </w:r>
            <w:proofErr w:type="spellEnd"/>
          </w:p>
          <w:p w14:paraId="72754B4D" w14:textId="77777777" w:rsidR="00E255F4" w:rsidRDefault="00000000">
            <w:pPr>
              <w:numPr>
                <w:ilvl w:val="0"/>
                <w:numId w:val="11"/>
              </w:numPr>
              <w:tabs>
                <w:tab w:val="left" w:pos="709"/>
              </w:tabs>
              <w:spacing w:line="240" w:lineRule="auto"/>
              <w:ind w:left="709" w:hanging="283"/>
              <w:jc w:val="both"/>
              <w:rPr>
                <w:sz w:val="22"/>
                <w:szCs w:val="22"/>
              </w:rPr>
            </w:pPr>
            <w:r>
              <w:rPr>
                <w:sz w:val="22"/>
                <w:szCs w:val="22"/>
              </w:rPr>
              <w:t xml:space="preserve">Net and </w:t>
            </w:r>
            <w:proofErr w:type="spellStart"/>
            <w:r>
              <w:rPr>
                <w:sz w:val="22"/>
                <w:szCs w:val="22"/>
              </w:rPr>
              <w:t>gross</w:t>
            </w:r>
            <w:proofErr w:type="spellEnd"/>
            <w:r>
              <w:rPr>
                <w:sz w:val="22"/>
                <w:szCs w:val="22"/>
              </w:rPr>
              <w:t xml:space="preserve"> </w:t>
            </w:r>
            <w:proofErr w:type="spellStart"/>
            <w:r>
              <w:rPr>
                <w:sz w:val="22"/>
                <w:szCs w:val="22"/>
              </w:rPr>
              <w:t>weight</w:t>
            </w:r>
            <w:proofErr w:type="spellEnd"/>
            <w:r>
              <w:rPr>
                <w:sz w:val="22"/>
                <w:szCs w:val="22"/>
              </w:rPr>
              <w:t xml:space="preserve"> </w:t>
            </w:r>
            <w:proofErr w:type="spellStart"/>
            <w:r>
              <w:rPr>
                <w:sz w:val="22"/>
                <w:szCs w:val="22"/>
              </w:rPr>
              <w:t>of</w:t>
            </w:r>
            <w:proofErr w:type="spellEnd"/>
            <w:r>
              <w:rPr>
                <w:sz w:val="22"/>
                <w:szCs w:val="22"/>
              </w:rPr>
              <w:t xml:space="preserve"> </w:t>
            </w:r>
            <w:proofErr w:type="spellStart"/>
            <w:r>
              <w:rPr>
                <w:sz w:val="22"/>
                <w:szCs w:val="22"/>
              </w:rPr>
              <w:t>the</w:t>
            </w:r>
            <w:proofErr w:type="spellEnd"/>
            <w:r>
              <w:rPr>
                <w:sz w:val="22"/>
                <w:szCs w:val="22"/>
              </w:rPr>
              <w:t xml:space="preserve"> </w:t>
            </w:r>
            <w:proofErr w:type="spellStart"/>
            <w:r>
              <w:rPr>
                <w:sz w:val="22"/>
                <w:szCs w:val="22"/>
              </w:rPr>
              <w:t>packages</w:t>
            </w:r>
            <w:proofErr w:type="spellEnd"/>
          </w:p>
          <w:p w14:paraId="18D6AB82" w14:textId="77777777" w:rsidR="00E255F4" w:rsidRDefault="00E255F4">
            <w:pPr>
              <w:spacing w:line="240" w:lineRule="auto"/>
              <w:ind w:left="426"/>
              <w:jc w:val="both"/>
              <w:rPr>
                <w:sz w:val="22"/>
                <w:szCs w:val="22"/>
              </w:rPr>
            </w:pPr>
          </w:p>
          <w:p w14:paraId="7E7E484E" w14:textId="77777777" w:rsidR="00E255F4" w:rsidRDefault="00E255F4">
            <w:pPr>
              <w:jc w:val="both"/>
              <w:rPr>
                <w:sz w:val="22"/>
                <w:szCs w:val="22"/>
              </w:rPr>
            </w:pPr>
          </w:p>
          <w:p w14:paraId="4DA8CD60" w14:textId="77777777" w:rsidR="00E255F4" w:rsidRDefault="00000000">
            <w:pPr>
              <w:tabs>
                <w:tab w:val="left" w:pos="0"/>
              </w:tabs>
              <w:spacing w:line="240" w:lineRule="auto"/>
              <w:jc w:val="both"/>
              <w:textAlignment w:val="baseline"/>
              <w:rPr>
                <w:sz w:val="22"/>
                <w:szCs w:val="22"/>
              </w:rPr>
            </w:pPr>
            <w:r>
              <w:rPr>
                <w:sz w:val="22"/>
                <w:szCs w:val="22"/>
              </w:rPr>
              <w:t xml:space="preserve">In </w:t>
            </w:r>
            <w:proofErr w:type="spellStart"/>
            <w:r>
              <w:rPr>
                <w:sz w:val="22"/>
                <w:szCs w:val="22"/>
              </w:rPr>
              <w:t>the</w:t>
            </w:r>
            <w:proofErr w:type="spellEnd"/>
            <w:r>
              <w:rPr>
                <w:sz w:val="22"/>
                <w:szCs w:val="22"/>
              </w:rPr>
              <w:t xml:space="preserve"> case </w:t>
            </w:r>
            <w:proofErr w:type="spellStart"/>
            <w:r>
              <w:rPr>
                <w:sz w:val="22"/>
                <w:szCs w:val="22"/>
              </w:rPr>
              <w:t>of</w:t>
            </w:r>
            <w:proofErr w:type="spellEnd"/>
            <w:r>
              <w:rPr>
                <w:sz w:val="22"/>
                <w:szCs w:val="22"/>
              </w:rPr>
              <w:t xml:space="preserve"> </w:t>
            </w:r>
            <w:proofErr w:type="spellStart"/>
            <w:r>
              <w:rPr>
                <w:sz w:val="22"/>
                <w:szCs w:val="22"/>
              </w:rPr>
              <w:t>land</w:t>
            </w:r>
            <w:proofErr w:type="spellEnd"/>
            <w:r>
              <w:rPr>
                <w:sz w:val="22"/>
                <w:szCs w:val="22"/>
              </w:rPr>
              <w:t xml:space="preserve"> </w:t>
            </w:r>
            <w:proofErr w:type="spellStart"/>
            <w:r>
              <w:rPr>
                <w:sz w:val="22"/>
                <w:szCs w:val="22"/>
              </w:rPr>
              <w:t>shipments</w:t>
            </w:r>
            <w:proofErr w:type="spellEnd"/>
            <w:r>
              <w:rPr>
                <w:sz w:val="22"/>
                <w:szCs w:val="22"/>
              </w:rPr>
              <w:t xml:space="preserve">, OSE </w:t>
            </w:r>
            <w:proofErr w:type="spellStart"/>
            <w:r>
              <w:rPr>
                <w:sz w:val="22"/>
                <w:szCs w:val="22"/>
              </w:rPr>
              <w:t>will</w:t>
            </w:r>
            <w:proofErr w:type="spellEnd"/>
            <w:r>
              <w:rPr>
                <w:sz w:val="22"/>
                <w:szCs w:val="22"/>
              </w:rPr>
              <w:t xml:space="preserve"> </w:t>
            </w:r>
            <w:proofErr w:type="spellStart"/>
            <w:r>
              <w:rPr>
                <w:sz w:val="22"/>
                <w:szCs w:val="22"/>
              </w:rPr>
              <w:t>inform</w:t>
            </w:r>
            <w:proofErr w:type="spellEnd"/>
            <w:r>
              <w:rPr>
                <w:sz w:val="22"/>
                <w:szCs w:val="22"/>
              </w:rPr>
              <w:t xml:space="preserve"> </w:t>
            </w:r>
            <w:proofErr w:type="spellStart"/>
            <w:r>
              <w:rPr>
                <w:sz w:val="22"/>
                <w:szCs w:val="22"/>
              </w:rPr>
              <w:t>the</w:t>
            </w:r>
            <w:proofErr w:type="spellEnd"/>
            <w:r>
              <w:rPr>
                <w:sz w:val="22"/>
                <w:szCs w:val="22"/>
              </w:rPr>
              <w:t xml:space="preserve"> </w:t>
            </w:r>
            <w:proofErr w:type="spellStart"/>
            <w:r>
              <w:rPr>
                <w:sz w:val="22"/>
                <w:szCs w:val="22"/>
              </w:rPr>
              <w:t>supplier</w:t>
            </w:r>
            <w:proofErr w:type="spellEnd"/>
            <w:r>
              <w:rPr>
                <w:sz w:val="22"/>
                <w:szCs w:val="22"/>
              </w:rPr>
              <w:t xml:space="preserve"> </w:t>
            </w:r>
            <w:proofErr w:type="spellStart"/>
            <w:r>
              <w:rPr>
                <w:sz w:val="22"/>
                <w:szCs w:val="22"/>
              </w:rPr>
              <w:t>of</w:t>
            </w:r>
            <w:proofErr w:type="spellEnd"/>
            <w:r>
              <w:rPr>
                <w:sz w:val="22"/>
                <w:szCs w:val="22"/>
              </w:rPr>
              <w:t xml:space="preserve"> </w:t>
            </w:r>
            <w:proofErr w:type="spellStart"/>
            <w:r>
              <w:rPr>
                <w:sz w:val="22"/>
                <w:szCs w:val="22"/>
              </w:rPr>
              <w:t>the</w:t>
            </w:r>
            <w:proofErr w:type="spellEnd"/>
            <w:r>
              <w:rPr>
                <w:sz w:val="22"/>
                <w:szCs w:val="22"/>
              </w:rPr>
              <w:t xml:space="preserve"> time </w:t>
            </w:r>
            <w:proofErr w:type="spellStart"/>
            <w:r>
              <w:rPr>
                <w:sz w:val="22"/>
                <w:szCs w:val="22"/>
              </w:rPr>
              <w:t>from</w:t>
            </w:r>
            <w:proofErr w:type="spellEnd"/>
            <w:r>
              <w:rPr>
                <w:sz w:val="22"/>
                <w:szCs w:val="22"/>
              </w:rPr>
              <w:t xml:space="preserve"> </w:t>
            </w:r>
            <w:proofErr w:type="spellStart"/>
            <w:r>
              <w:rPr>
                <w:sz w:val="22"/>
                <w:szCs w:val="22"/>
              </w:rPr>
              <w:t>which</w:t>
            </w:r>
            <w:proofErr w:type="spellEnd"/>
            <w:r>
              <w:rPr>
                <w:sz w:val="22"/>
                <w:szCs w:val="22"/>
              </w:rPr>
              <w:t xml:space="preserve"> </w:t>
            </w:r>
            <w:proofErr w:type="spellStart"/>
            <w:r>
              <w:rPr>
                <w:sz w:val="22"/>
                <w:szCs w:val="22"/>
              </w:rPr>
              <w:t>the</w:t>
            </w:r>
            <w:proofErr w:type="spellEnd"/>
            <w:r>
              <w:rPr>
                <w:sz w:val="22"/>
                <w:szCs w:val="22"/>
              </w:rPr>
              <w:t xml:space="preserve"> </w:t>
            </w:r>
            <w:proofErr w:type="spellStart"/>
            <w:r>
              <w:rPr>
                <w:sz w:val="22"/>
                <w:szCs w:val="22"/>
              </w:rPr>
              <w:t>shipment</w:t>
            </w:r>
            <w:proofErr w:type="spellEnd"/>
            <w:r>
              <w:rPr>
                <w:sz w:val="22"/>
                <w:szCs w:val="22"/>
              </w:rPr>
              <w:t xml:space="preserve"> can </w:t>
            </w:r>
            <w:proofErr w:type="spellStart"/>
            <w:r>
              <w:rPr>
                <w:sz w:val="22"/>
                <w:szCs w:val="22"/>
              </w:rPr>
              <w:t>take</w:t>
            </w:r>
            <w:proofErr w:type="spellEnd"/>
            <w:r>
              <w:rPr>
                <w:sz w:val="22"/>
                <w:szCs w:val="22"/>
              </w:rPr>
              <w:t xml:space="preserve"> place, </w:t>
            </w:r>
            <w:proofErr w:type="spellStart"/>
            <w:r>
              <w:rPr>
                <w:sz w:val="22"/>
                <w:szCs w:val="22"/>
              </w:rPr>
              <w:t>disclaiming</w:t>
            </w:r>
            <w:proofErr w:type="spellEnd"/>
            <w:r>
              <w:rPr>
                <w:sz w:val="22"/>
                <w:szCs w:val="22"/>
              </w:rPr>
              <w:t xml:space="preserve"> </w:t>
            </w:r>
            <w:proofErr w:type="spellStart"/>
            <w:r>
              <w:rPr>
                <w:sz w:val="22"/>
                <w:szCs w:val="22"/>
              </w:rPr>
              <w:t>all</w:t>
            </w:r>
            <w:proofErr w:type="spellEnd"/>
            <w:r>
              <w:rPr>
                <w:sz w:val="22"/>
                <w:szCs w:val="22"/>
              </w:rPr>
              <w:t xml:space="preserve"> </w:t>
            </w:r>
            <w:proofErr w:type="spellStart"/>
            <w:r>
              <w:rPr>
                <w:sz w:val="22"/>
                <w:szCs w:val="22"/>
              </w:rPr>
              <w:t>responsibility</w:t>
            </w:r>
            <w:proofErr w:type="spellEnd"/>
            <w:r>
              <w:rPr>
                <w:sz w:val="22"/>
                <w:szCs w:val="22"/>
              </w:rPr>
              <w:t xml:space="preserve"> </w:t>
            </w:r>
            <w:proofErr w:type="spellStart"/>
            <w:r>
              <w:rPr>
                <w:sz w:val="22"/>
                <w:szCs w:val="22"/>
              </w:rPr>
              <w:t>for</w:t>
            </w:r>
            <w:proofErr w:type="spellEnd"/>
            <w:r>
              <w:rPr>
                <w:sz w:val="22"/>
                <w:szCs w:val="22"/>
              </w:rPr>
              <w:t xml:space="preserve"> </w:t>
            </w:r>
            <w:proofErr w:type="spellStart"/>
            <w:r>
              <w:rPr>
                <w:sz w:val="22"/>
                <w:szCs w:val="22"/>
              </w:rPr>
              <w:t>the</w:t>
            </w:r>
            <w:proofErr w:type="spellEnd"/>
            <w:r>
              <w:rPr>
                <w:sz w:val="22"/>
                <w:szCs w:val="22"/>
              </w:rPr>
              <w:t xml:space="preserve"> </w:t>
            </w:r>
            <w:proofErr w:type="spellStart"/>
            <w:r>
              <w:rPr>
                <w:sz w:val="22"/>
                <w:szCs w:val="22"/>
              </w:rPr>
              <w:t>costs</w:t>
            </w:r>
            <w:proofErr w:type="spellEnd"/>
            <w:r>
              <w:rPr>
                <w:sz w:val="22"/>
                <w:szCs w:val="22"/>
              </w:rPr>
              <w:t xml:space="preserve"> </w:t>
            </w:r>
            <w:proofErr w:type="spellStart"/>
            <w:r>
              <w:rPr>
                <w:sz w:val="22"/>
                <w:szCs w:val="22"/>
              </w:rPr>
              <w:t>that</w:t>
            </w:r>
            <w:proofErr w:type="spellEnd"/>
            <w:r>
              <w:rPr>
                <w:sz w:val="22"/>
                <w:szCs w:val="22"/>
              </w:rPr>
              <w:t xml:space="preserve"> </w:t>
            </w:r>
            <w:proofErr w:type="spellStart"/>
            <w:r>
              <w:rPr>
                <w:sz w:val="22"/>
                <w:szCs w:val="22"/>
              </w:rPr>
              <w:t>may</w:t>
            </w:r>
            <w:proofErr w:type="spellEnd"/>
            <w:r>
              <w:rPr>
                <w:sz w:val="22"/>
                <w:szCs w:val="22"/>
              </w:rPr>
              <w:t xml:space="preserve"> </w:t>
            </w:r>
            <w:proofErr w:type="spellStart"/>
            <w:r>
              <w:rPr>
                <w:sz w:val="22"/>
                <w:szCs w:val="22"/>
              </w:rPr>
              <w:t>arise</w:t>
            </w:r>
            <w:proofErr w:type="spellEnd"/>
            <w:r>
              <w:rPr>
                <w:sz w:val="22"/>
                <w:szCs w:val="22"/>
              </w:rPr>
              <w:t xml:space="preserve"> </w:t>
            </w:r>
            <w:proofErr w:type="spellStart"/>
            <w:r>
              <w:rPr>
                <w:sz w:val="22"/>
                <w:szCs w:val="22"/>
              </w:rPr>
              <w:t>from</w:t>
            </w:r>
            <w:proofErr w:type="spellEnd"/>
            <w:r>
              <w:rPr>
                <w:sz w:val="22"/>
                <w:szCs w:val="22"/>
              </w:rPr>
              <w:t xml:space="preserve"> non-</w:t>
            </w:r>
            <w:proofErr w:type="spellStart"/>
            <w:r>
              <w:rPr>
                <w:sz w:val="22"/>
                <w:szCs w:val="22"/>
              </w:rPr>
              <w:t>compliance</w:t>
            </w:r>
            <w:proofErr w:type="spellEnd"/>
            <w:r>
              <w:rPr>
                <w:sz w:val="22"/>
                <w:szCs w:val="22"/>
              </w:rPr>
              <w:t xml:space="preserve"> </w:t>
            </w:r>
            <w:proofErr w:type="spellStart"/>
            <w:r>
              <w:rPr>
                <w:sz w:val="22"/>
                <w:szCs w:val="22"/>
              </w:rPr>
              <w:t>with</w:t>
            </w:r>
            <w:proofErr w:type="spellEnd"/>
            <w:r>
              <w:rPr>
                <w:sz w:val="22"/>
                <w:szCs w:val="22"/>
              </w:rPr>
              <w:t xml:space="preserve"> </w:t>
            </w:r>
            <w:proofErr w:type="spellStart"/>
            <w:r>
              <w:rPr>
                <w:sz w:val="22"/>
                <w:szCs w:val="22"/>
              </w:rPr>
              <w:t>the</w:t>
            </w:r>
            <w:proofErr w:type="spellEnd"/>
            <w:r>
              <w:rPr>
                <w:sz w:val="22"/>
                <w:szCs w:val="22"/>
              </w:rPr>
              <w:t xml:space="preserve"> </w:t>
            </w:r>
            <w:proofErr w:type="spellStart"/>
            <w:r>
              <w:rPr>
                <w:sz w:val="22"/>
                <w:szCs w:val="22"/>
              </w:rPr>
              <w:t>stated</w:t>
            </w:r>
            <w:proofErr w:type="spellEnd"/>
            <w:r>
              <w:rPr>
                <w:sz w:val="22"/>
                <w:szCs w:val="22"/>
              </w:rPr>
              <w:t xml:space="preserve"> </w:t>
            </w:r>
            <w:proofErr w:type="spellStart"/>
            <w:r>
              <w:rPr>
                <w:sz w:val="22"/>
                <w:szCs w:val="22"/>
              </w:rPr>
              <w:t>terms</w:t>
            </w:r>
            <w:proofErr w:type="spellEnd"/>
            <w:r>
              <w:rPr>
                <w:sz w:val="22"/>
                <w:szCs w:val="22"/>
              </w:rPr>
              <w:t>.</w:t>
            </w:r>
          </w:p>
          <w:p w14:paraId="5FDBAB39" w14:textId="77777777" w:rsidR="00E255F4" w:rsidRDefault="00E255F4">
            <w:pPr>
              <w:tabs>
                <w:tab w:val="left" w:pos="0"/>
              </w:tabs>
              <w:spacing w:line="240" w:lineRule="auto"/>
              <w:jc w:val="both"/>
              <w:textAlignment w:val="baseline"/>
              <w:rPr>
                <w:sz w:val="22"/>
                <w:szCs w:val="22"/>
              </w:rPr>
            </w:pPr>
          </w:p>
          <w:p w14:paraId="09449143" w14:textId="77777777" w:rsidR="00E255F4" w:rsidRDefault="00000000">
            <w:pPr>
              <w:tabs>
                <w:tab w:val="left" w:pos="0"/>
              </w:tabs>
              <w:spacing w:line="240" w:lineRule="auto"/>
              <w:jc w:val="both"/>
              <w:textAlignment w:val="baseline"/>
              <w:rPr>
                <w:color w:val="FF0000"/>
                <w:sz w:val="22"/>
                <w:szCs w:val="22"/>
              </w:rPr>
            </w:pPr>
            <w:proofErr w:type="spellStart"/>
            <w:r>
              <w:rPr>
                <w:sz w:val="22"/>
                <w:szCs w:val="22"/>
              </w:rPr>
              <w:t>When</w:t>
            </w:r>
            <w:proofErr w:type="spellEnd"/>
            <w:r>
              <w:rPr>
                <w:sz w:val="22"/>
                <w:szCs w:val="22"/>
              </w:rPr>
              <w:t xml:space="preserve"> </w:t>
            </w:r>
            <w:proofErr w:type="spellStart"/>
            <w:r>
              <w:rPr>
                <w:sz w:val="22"/>
                <w:szCs w:val="22"/>
              </w:rPr>
              <w:t>the</w:t>
            </w:r>
            <w:proofErr w:type="spellEnd"/>
            <w:r>
              <w:rPr>
                <w:sz w:val="22"/>
                <w:szCs w:val="22"/>
              </w:rPr>
              <w:t xml:space="preserve"> </w:t>
            </w:r>
            <w:proofErr w:type="spellStart"/>
            <w:r>
              <w:rPr>
                <w:sz w:val="22"/>
                <w:szCs w:val="22"/>
              </w:rPr>
              <w:t>contract</w:t>
            </w:r>
            <w:proofErr w:type="spellEnd"/>
            <w:r>
              <w:rPr>
                <w:sz w:val="22"/>
                <w:szCs w:val="22"/>
              </w:rPr>
              <w:t xml:space="preserve"> </w:t>
            </w:r>
            <w:proofErr w:type="spellStart"/>
            <w:r>
              <w:rPr>
                <w:sz w:val="22"/>
                <w:szCs w:val="22"/>
              </w:rPr>
              <w:t>is</w:t>
            </w:r>
            <w:proofErr w:type="spellEnd"/>
            <w:r>
              <w:rPr>
                <w:sz w:val="22"/>
                <w:szCs w:val="22"/>
              </w:rPr>
              <w:t xml:space="preserve"> </w:t>
            </w:r>
            <w:proofErr w:type="spellStart"/>
            <w:r>
              <w:rPr>
                <w:sz w:val="22"/>
                <w:szCs w:val="22"/>
              </w:rPr>
              <w:t>awarded</w:t>
            </w:r>
            <w:proofErr w:type="spellEnd"/>
            <w:r>
              <w:rPr>
                <w:sz w:val="22"/>
                <w:szCs w:val="22"/>
              </w:rPr>
              <w:t xml:space="preserve"> </w:t>
            </w:r>
            <w:proofErr w:type="spellStart"/>
            <w:r>
              <w:rPr>
                <w:sz w:val="22"/>
                <w:szCs w:val="22"/>
              </w:rPr>
              <w:t>under</w:t>
            </w:r>
            <w:proofErr w:type="spellEnd"/>
            <w:r>
              <w:rPr>
                <w:sz w:val="22"/>
                <w:szCs w:val="22"/>
              </w:rPr>
              <w:t xml:space="preserve"> CFR/CPT </w:t>
            </w:r>
            <w:proofErr w:type="spellStart"/>
            <w:r>
              <w:rPr>
                <w:sz w:val="22"/>
                <w:szCs w:val="22"/>
              </w:rPr>
              <w:t>terms</w:t>
            </w:r>
            <w:proofErr w:type="spellEnd"/>
            <w:r>
              <w:rPr>
                <w:sz w:val="22"/>
                <w:szCs w:val="22"/>
              </w:rPr>
              <w:t xml:space="preserve">, OSE </w:t>
            </w:r>
            <w:proofErr w:type="spellStart"/>
            <w:r>
              <w:rPr>
                <w:sz w:val="22"/>
                <w:szCs w:val="22"/>
              </w:rPr>
              <w:t>will</w:t>
            </w:r>
            <w:proofErr w:type="spellEnd"/>
            <w:r>
              <w:rPr>
                <w:sz w:val="22"/>
                <w:szCs w:val="22"/>
              </w:rPr>
              <w:t xml:space="preserve"> </w:t>
            </w:r>
            <w:proofErr w:type="spellStart"/>
            <w:r>
              <w:rPr>
                <w:sz w:val="22"/>
                <w:szCs w:val="22"/>
              </w:rPr>
              <w:t>arrange</w:t>
            </w:r>
            <w:proofErr w:type="spellEnd"/>
            <w:r>
              <w:rPr>
                <w:sz w:val="22"/>
                <w:szCs w:val="22"/>
              </w:rPr>
              <w:t xml:space="preserve"> </w:t>
            </w:r>
            <w:proofErr w:type="spellStart"/>
            <w:r>
              <w:rPr>
                <w:sz w:val="22"/>
                <w:szCs w:val="22"/>
              </w:rPr>
              <w:t>international</w:t>
            </w:r>
            <w:proofErr w:type="spellEnd"/>
            <w:r>
              <w:rPr>
                <w:sz w:val="22"/>
                <w:szCs w:val="22"/>
              </w:rPr>
              <w:t xml:space="preserve"> </w:t>
            </w:r>
            <w:proofErr w:type="spellStart"/>
            <w:r>
              <w:rPr>
                <w:sz w:val="22"/>
                <w:szCs w:val="22"/>
              </w:rPr>
              <w:t>insurance</w:t>
            </w:r>
            <w:proofErr w:type="spellEnd"/>
            <w:r>
              <w:rPr>
                <w:sz w:val="22"/>
                <w:szCs w:val="22"/>
              </w:rPr>
              <w:t xml:space="preserve"> prior </w:t>
            </w:r>
            <w:proofErr w:type="spellStart"/>
            <w:r>
              <w:rPr>
                <w:sz w:val="22"/>
                <w:szCs w:val="22"/>
              </w:rPr>
              <w:t>to</w:t>
            </w:r>
            <w:proofErr w:type="spellEnd"/>
            <w:r>
              <w:rPr>
                <w:sz w:val="22"/>
                <w:szCs w:val="22"/>
              </w:rPr>
              <w:t xml:space="preserve"> </w:t>
            </w:r>
            <w:proofErr w:type="spellStart"/>
            <w:r>
              <w:rPr>
                <w:sz w:val="22"/>
                <w:szCs w:val="22"/>
              </w:rPr>
              <w:t>shipment</w:t>
            </w:r>
            <w:proofErr w:type="spellEnd"/>
            <w:r>
              <w:rPr>
                <w:sz w:val="22"/>
                <w:szCs w:val="22"/>
              </w:rPr>
              <w:t xml:space="preserve">. The </w:t>
            </w:r>
            <w:proofErr w:type="spellStart"/>
            <w:r>
              <w:rPr>
                <w:sz w:val="22"/>
                <w:szCs w:val="22"/>
              </w:rPr>
              <w:t>supplier</w:t>
            </w:r>
            <w:proofErr w:type="spellEnd"/>
            <w:r>
              <w:rPr>
                <w:sz w:val="22"/>
                <w:szCs w:val="22"/>
              </w:rPr>
              <w:t xml:space="preserve"> </w:t>
            </w:r>
            <w:proofErr w:type="spellStart"/>
            <w:r>
              <w:rPr>
                <w:sz w:val="22"/>
                <w:szCs w:val="22"/>
              </w:rPr>
              <w:t>may</w:t>
            </w:r>
            <w:proofErr w:type="spellEnd"/>
            <w:r>
              <w:rPr>
                <w:sz w:val="22"/>
                <w:szCs w:val="22"/>
              </w:rPr>
              <w:t xml:space="preserve"> </w:t>
            </w:r>
            <w:proofErr w:type="spellStart"/>
            <w:r>
              <w:rPr>
                <w:sz w:val="22"/>
                <w:szCs w:val="22"/>
              </w:rPr>
              <w:t>not</w:t>
            </w:r>
            <w:proofErr w:type="spellEnd"/>
            <w:r>
              <w:rPr>
                <w:sz w:val="22"/>
                <w:szCs w:val="22"/>
              </w:rPr>
              <w:t xml:space="preserve"> </w:t>
            </w:r>
            <w:proofErr w:type="spellStart"/>
            <w:r>
              <w:rPr>
                <w:sz w:val="22"/>
                <w:szCs w:val="22"/>
              </w:rPr>
              <w:t>ship</w:t>
            </w:r>
            <w:proofErr w:type="spellEnd"/>
            <w:r>
              <w:rPr>
                <w:sz w:val="22"/>
                <w:szCs w:val="22"/>
              </w:rPr>
              <w:t xml:space="preserve"> </w:t>
            </w:r>
            <w:proofErr w:type="spellStart"/>
            <w:r>
              <w:rPr>
                <w:sz w:val="22"/>
                <w:szCs w:val="22"/>
              </w:rPr>
              <w:t>until</w:t>
            </w:r>
            <w:proofErr w:type="spellEnd"/>
            <w:r>
              <w:rPr>
                <w:sz w:val="22"/>
                <w:szCs w:val="22"/>
              </w:rPr>
              <w:t xml:space="preserve"> </w:t>
            </w:r>
            <w:proofErr w:type="spellStart"/>
            <w:r>
              <w:rPr>
                <w:sz w:val="22"/>
                <w:szCs w:val="22"/>
              </w:rPr>
              <w:t>this</w:t>
            </w:r>
            <w:proofErr w:type="spellEnd"/>
            <w:r>
              <w:rPr>
                <w:sz w:val="22"/>
                <w:szCs w:val="22"/>
              </w:rPr>
              <w:t xml:space="preserve"> </w:t>
            </w:r>
            <w:proofErr w:type="spellStart"/>
            <w:r>
              <w:rPr>
                <w:sz w:val="22"/>
                <w:szCs w:val="22"/>
              </w:rPr>
              <w:t>process</w:t>
            </w:r>
            <w:proofErr w:type="spellEnd"/>
            <w:r>
              <w:rPr>
                <w:sz w:val="22"/>
                <w:szCs w:val="22"/>
              </w:rPr>
              <w:t xml:space="preserve"> </w:t>
            </w:r>
            <w:proofErr w:type="spellStart"/>
            <w:r>
              <w:rPr>
                <w:sz w:val="22"/>
                <w:szCs w:val="22"/>
              </w:rPr>
              <w:t>is</w:t>
            </w:r>
            <w:proofErr w:type="spellEnd"/>
            <w:r>
              <w:rPr>
                <w:sz w:val="22"/>
                <w:szCs w:val="22"/>
              </w:rPr>
              <w:t xml:space="preserve"> </w:t>
            </w:r>
            <w:proofErr w:type="spellStart"/>
            <w:proofErr w:type="gramStart"/>
            <w:r>
              <w:rPr>
                <w:sz w:val="22"/>
                <w:szCs w:val="22"/>
              </w:rPr>
              <w:t>completed</w:t>
            </w:r>
            <w:proofErr w:type="spellEnd"/>
            <w:r>
              <w:rPr>
                <w:sz w:val="22"/>
                <w:szCs w:val="22"/>
              </w:rPr>
              <w:t>.</w:t>
            </w:r>
            <w:r>
              <w:rPr>
                <w:color w:val="FF0000"/>
                <w:sz w:val="22"/>
                <w:szCs w:val="22"/>
              </w:rPr>
              <w:t>.</w:t>
            </w:r>
            <w:proofErr w:type="gramEnd"/>
          </w:p>
          <w:p w14:paraId="26856BDE" w14:textId="77777777" w:rsidR="00E255F4" w:rsidRDefault="00E255F4">
            <w:pPr>
              <w:tabs>
                <w:tab w:val="left" w:pos="0"/>
              </w:tabs>
              <w:spacing w:line="240" w:lineRule="auto"/>
              <w:jc w:val="both"/>
              <w:textAlignment w:val="baseline"/>
              <w:rPr>
                <w:color w:val="FF0000"/>
                <w:sz w:val="22"/>
                <w:szCs w:val="22"/>
              </w:rPr>
            </w:pPr>
          </w:p>
          <w:p w14:paraId="6787E3C9" w14:textId="77777777" w:rsidR="00E255F4" w:rsidRDefault="00000000">
            <w:pPr>
              <w:numPr>
                <w:ilvl w:val="0"/>
                <w:numId w:val="52"/>
              </w:numPr>
              <w:tabs>
                <w:tab w:val="left" w:pos="0"/>
              </w:tabs>
              <w:jc w:val="both"/>
              <w:rPr>
                <w:rFonts w:eastAsia="Palatino Linotype"/>
                <w:b/>
                <w:spacing w:val="-1"/>
                <w:position w:val="1"/>
                <w:sz w:val="22"/>
                <w:szCs w:val="22"/>
                <w:lang w:val="es-ES"/>
              </w:rPr>
            </w:pPr>
            <w:proofErr w:type="spellStart"/>
            <w:r>
              <w:rPr>
                <w:rFonts w:eastAsia="Palatino Linotype"/>
                <w:b/>
                <w:spacing w:val="-1"/>
                <w:position w:val="1"/>
                <w:sz w:val="22"/>
                <w:szCs w:val="22"/>
                <w:lang w:val="es-ES"/>
              </w:rPr>
              <w:t>Issuance</w:t>
            </w:r>
            <w:proofErr w:type="spellEnd"/>
            <w:r>
              <w:rPr>
                <w:rFonts w:eastAsia="Palatino Linotype"/>
                <w:b/>
                <w:spacing w:val="-1"/>
                <w:position w:val="1"/>
                <w:sz w:val="22"/>
                <w:szCs w:val="22"/>
                <w:lang w:val="es-ES"/>
              </w:rPr>
              <w:t xml:space="preserve"> </w:t>
            </w:r>
            <w:proofErr w:type="spellStart"/>
            <w:r>
              <w:rPr>
                <w:rFonts w:eastAsia="Palatino Linotype"/>
                <w:b/>
                <w:spacing w:val="-1"/>
                <w:position w:val="1"/>
                <w:sz w:val="22"/>
                <w:szCs w:val="22"/>
                <w:lang w:val="es-ES"/>
              </w:rPr>
              <w:t>of</w:t>
            </w:r>
            <w:proofErr w:type="spellEnd"/>
            <w:r>
              <w:rPr>
                <w:rFonts w:eastAsia="Palatino Linotype"/>
                <w:b/>
                <w:spacing w:val="-1"/>
                <w:position w:val="1"/>
                <w:sz w:val="22"/>
                <w:szCs w:val="22"/>
                <w:lang w:val="es-ES"/>
              </w:rPr>
              <w:t xml:space="preserve"> </w:t>
            </w:r>
            <w:proofErr w:type="spellStart"/>
            <w:r>
              <w:rPr>
                <w:rFonts w:eastAsia="Palatino Linotype"/>
                <w:b/>
                <w:spacing w:val="-1"/>
                <w:position w:val="1"/>
                <w:sz w:val="22"/>
                <w:szCs w:val="22"/>
                <w:lang w:val="es-ES"/>
              </w:rPr>
              <w:t>documents</w:t>
            </w:r>
            <w:proofErr w:type="spellEnd"/>
          </w:p>
          <w:p w14:paraId="633A8270" w14:textId="77777777" w:rsidR="00E255F4" w:rsidRDefault="00E255F4">
            <w:pPr>
              <w:tabs>
                <w:tab w:val="left" w:pos="0"/>
              </w:tabs>
              <w:jc w:val="both"/>
              <w:rPr>
                <w:rFonts w:eastAsia="Palatino Linotype"/>
                <w:b/>
                <w:spacing w:val="-1"/>
                <w:position w:val="1"/>
                <w:sz w:val="22"/>
                <w:szCs w:val="22"/>
                <w:lang w:val="es-ES"/>
              </w:rPr>
            </w:pPr>
          </w:p>
          <w:p w14:paraId="56AAFC85" w14:textId="77777777" w:rsidR="00E255F4" w:rsidRDefault="00000000">
            <w:pPr>
              <w:tabs>
                <w:tab w:val="left" w:pos="0"/>
              </w:tabs>
              <w:ind w:left="34"/>
              <w:jc w:val="both"/>
              <w:rPr>
                <w:rFonts w:eastAsia="Palatino Linotype"/>
                <w:spacing w:val="-1"/>
                <w:position w:val="1"/>
                <w:sz w:val="22"/>
                <w:szCs w:val="22"/>
                <w:lang w:val="es-ES"/>
              </w:rPr>
            </w:pPr>
            <w:r>
              <w:rPr>
                <w:rFonts w:eastAsia="Palatino Linotype"/>
                <w:spacing w:val="-1"/>
                <w:position w:val="1"/>
                <w:sz w:val="22"/>
                <w:szCs w:val="22"/>
                <w:lang w:val="es-ES"/>
              </w:rPr>
              <w:t xml:space="preserve">The </w:t>
            </w:r>
            <w:proofErr w:type="spellStart"/>
            <w:r>
              <w:rPr>
                <w:rFonts w:eastAsia="Palatino Linotype"/>
                <w:spacing w:val="-1"/>
                <w:position w:val="1"/>
                <w:sz w:val="22"/>
                <w:szCs w:val="22"/>
                <w:lang w:val="es-ES"/>
              </w:rPr>
              <w:t>documentation</w:t>
            </w:r>
            <w:proofErr w:type="spellEnd"/>
            <w:r>
              <w:rPr>
                <w:rFonts w:eastAsia="Palatino Linotype"/>
                <w:spacing w:val="-1"/>
                <w:position w:val="1"/>
                <w:sz w:val="22"/>
                <w:szCs w:val="22"/>
                <w:lang w:val="es-ES"/>
              </w:rPr>
              <w:t xml:space="preserve"> </w:t>
            </w:r>
            <w:proofErr w:type="spellStart"/>
            <w:r>
              <w:rPr>
                <w:rFonts w:eastAsia="Palatino Linotype"/>
                <w:spacing w:val="-1"/>
                <w:position w:val="1"/>
                <w:sz w:val="22"/>
                <w:szCs w:val="22"/>
                <w:lang w:val="es-ES"/>
              </w:rPr>
              <w:t>must</w:t>
            </w:r>
            <w:proofErr w:type="spellEnd"/>
            <w:r>
              <w:rPr>
                <w:rFonts w:eastAsia="Palatino Linotype"/>
                <w:spacing w:val="-1"/>
                <w:position w:val="1"/>
                <w:sz w:val="22"/>
                <w:szCs w:val="22"/>
                <w:lang w:val="es-ES"/>
              </w:rPr>
              <w:t xml:space="preserve"> be </w:t>
            </w:r>
            <w:proofErr w:type="spellStart"/>
            <w:r>
              <w:rPr>
                <w:rFonts w:eastAsia="Palatino Linotype"/>
                <w:spacing w:val="-1"/>
                <w:position w:val="1"/>
                <w:sz w:val="22"/>
                <w:szCs w:val="22"/>
                <w:lang w:val="es-ES"/>
              </w:rPr>
              <w:t>issued</w:t>
            </w:r>
            <w:proofErr w:type="spellEnd"/>
            <w:r>
              <w:rPr>
                <w:rFonts w:eastAsia="Palatino Linotype"/>
                <w:spacing w:val="-1"/>
                <w:position w:val="1"/>
                <w:sz w:val="22"/>
                <w:szCs w:val="22"/>
                <w:lang w:val="es-ES"/>
              </w:rPr>
              <w:t xml:space="preserve"> in </w:t>
            </w:r>
            <w:proofErr w:type="spellStart"/>
            <w:r>
              <w:rPr>
                <w:rFonts w:eastAsia="Palatino Linotype"/>
                <w:spacing w:val="-1"/>
                <w:position w:val="1"/>
                <w:sz w:val="22"/>
                <w:szCs w:val="22"/>
                <w:lang w:val="es-ES"/>
              </w:rPr>
              <w:t>accordance</w:t>
            </w:r>
            <w:proofErr w:type="spellEnd"/>
            <w:r>
              <w:rPr>
                <w:rFonts w:eastAsia="Palatino Linotype"/>
                <w:spacing w:val="-1"/>
                <w:position w:val="1"/>
                <w:sz w:val="22"/>
                <w:szCs w:val="22"/>
                <w:lang w:val="es-ES"/>
              </w:rPr>
              <w:t xml:space="preserve"> </w:t>
            </w:r>
            <w:proofErr w:type="spellStart"/>
            <w:r>
              <w:rPr>
                <w:rFonts w:eastAsia="Palatino Linotype"/>
                <w:spacing w:val="-1"/>
                <w:position w:val="1"/>
                <w:sz w:val="22"/>
                <w:szCs w:val="22"/>
                <w:lang w:val="es-ES"/>
              </w:rPr>
              <w:t>with</w:t>
            </w:r>
            <w:proofErr w:type="spellEnd"/>
            <w:r>
              <w:rPr>
                <w:rFonts w:eastAsia="Palatino Linotype"/>
                <w:spacing w:val="-1"/>
                <w:position w:val="1"/>
                <w:sz w:val="22"/>
                <w:szCs w:val="22"/>
                <w:lang w:val="es-ES"/>
              </w:rPr>
              <w:t xml:space="preserve"> </w:t>
            </w:r>
            <w:proofErr w:type="spellStart"/>
            <w:r>
              <w:rPr>
                <w:rFonts w:eastAsia="Palatino Linotype"/>
                <w:spacing w:val="-1"/>
                <w:position w:val="1"/>
                <w:sz w:val="22"/>
                <w:szCs w:val="22"/>
                <w:lang w:val="es-ES"/>
              </w:rPr>
              <w:t>current</w:t>
            </w:r>
            <w:proofErr w:type="spellEnd"/>
            <w:r>
              <w:rPr>
                <w:rFonts w:eastAsia="Palatino Linotype"/>
                <w:spacing w:val="-1"/>
                <w:position w:val="1"/>
                <w:sz w:val="22"/>
                <w:szCs w:val="22"/>
                <w:lang w:val="es-ES"/>
              </w:rPr>
              <w:t xml:space="preserve"> </w:t>
            </w:r>
            <w:proofErr w:type="spellStart"/>
            <w:r>
              <w:rPr>
                <w:rFonts w:eastAsia="Palatino Linotype"/>
                <w:spacing w:val="-1"/>
                <w:position w:val="1"/>
                <w:sz w:val="22"/>
                <w:szCs w:val="22"/>
                <w:lang w:val="es-ES"/>
              </w:rPr>
              <w:t>regulations</w:t>
            </w:r>
            <w:proofErr w:type="spellEnd"/>
            <w:r>
              <w:rPr>
                <w:rFonts w:eastAsia="Palatino Linotype"/>
                <w:spacing w:val="-1"/>
                <w:position w:val="1"/>
                <w:sz w:val="22"/>
                <w:szCs w:val="22"/>
                <w:lang w:val="es-ES"/>
              </w:rPr>
              <w:t xml:space="preserve">, </w:t>
            </w:r>
            <w:proofErr w:type="spellStart"/>
            <w:r>
              <w:rPr>
                <w:rFonts w:eastAsia="Palatino Linotype"/>
                <w:spacing w:val="-1"/>
                <w:position w:val="1"/>
                <w:sz w:val="22"/>
                <w:szCs w:val="22"/>
                <w:lang w:val="es-ES"/>
              </w:rPr>
              <w:t>reflecting</w:t>
            </w:r>
            <w:proofErr w:type="spellEnd"/>
            <w:r>
              <w:rPr>
                <w:rFonts w:eastAsia="Palatino Linotype"/>
                <w:spacing w:val="-1"/>
                <w:position w:val="1"/>
                <w:sz w:val="22"/>
                <w:szCs w:val="22"/>
                <w:lang w:val="es-ES"/>
              </w:rPr>
              <w:t xml:space="preserve"> </w:t>
            </w:r>
            <w:proofErr w:type="spellStart"/>
            <w:r>
              <w:rPr>
                <w:rFonts w:eastAsia="Palatino Linotype"/>
                <w:spacing w:val="-1"/>
                <w:position w:val="1"/>
                <w:sz w:val="22"/>
                <w:szCs w:val="22"/>
                <w:lang w:val="es-ES"/>
              </w:rPr>
              <w:t>the</w:t>
            </w:r>
            <w:proofErr w:type="spellEnd"/>
            <w:r>
              <w:rPr>
                <w:rFonts w:eastAsia="Palatino Linotype"/>
                <w:spacing w:val="-1"/>
                <w:position w:val="1"/>
                <w:sz w:val="22"/>
                <w:szCs w:val="22"/>
                <w:lang w:val="es-ES"/>
              </w:rPr>
              <w:t xml:space="preserve"> </w:t>
            </w:r>
            <w:proofErr w:type="spellStart"/>
            <w:r>
              <w:rPr>
                <w:rFonts w:eastAsia="Palatino Linotype"/>
                <w:spacing w:val="-1"/>
                <w:position w:val="1"/>
                <w:sz w:val="22"/>
                <w:szCs w:val="22"/>
                <w:lang w:val="es-ES"/>
              </w:rPr>
              <w:t>agreed</w:t>
            </w:r>
            <w:proofErr w:type="spellEnd"/>
            <w:r>
              <w:rPr>
                <w:rFonts w:eastAsia="Palatino Linotype"/>
                <w:spacing w:val="-1"/>
                <w:position w:val="1"/>
                <w:sz w:val="22"/>
                <w:szCs w:val="22"/>
                <w:lang w:val="es-ES"/>
              </w:rPr>
              <w:t xml:space="preserve"> </w:t>
            </w:r>
            <w:proofErr w:type="spellStart"/>
            <w:r>
              <w:rPr>
                <w:rFonts w:eastAsia="Palatino Linotype"/>
                <w:spacing w:val="-1"/>
                <w:position w:val="1"/>
                <w:sz w:val="22"/>
                <w:szCs w:val="22"/>
                <w:lang w:val="es-ES"/>
              </w:rPr>
              <w:t>purchase</w:t>
            </w:r>
            <w:proofErr w:type="spellEnd"/>
            <w:r>
              <w:rPr>
                <w:rFonts w:eastAsia="Palatino Linotype"/>
                <w:spacing w:val="-1"/>
                <w:position w:val="1"/>
                <w:sz w:val="22"/>
                <w:szCs w:val="22"/>
                <w:lang w:val="es-ES"/>
              </w:rPr>
              <w:t xml:space="preserve"> and </w:t>
            </w:r>
            <w:proofErr w:type="spellStart"/>
            <w:r>
              <w:rPr>
                <w:rFonts w:eastAsia="Palatino Linotype"/>
                <w:spacing w:val="-1"/>
                <w:position w:val="1"/>
                <w:sz w:val="22"/>
                <w:szCs w:val="22"/>
                <w:lang w:val="es-ES"/>
              </w:rPr>
              <w:t>payment</w:t>
            </w:r>
            <w:proofErr w:type="spellEnd"/>
            <w:r>
              <w:rPr>
                <w:rFonts w:eastAsia="Palatino Linotype"/>
                <w:spacing w:val="-1"/>
                <w:position w:val="1"/>
                <w:sz w:val="22"/>
                <w:szCs w:val="22"/>
                <w:lang w:val="es-ES"/>
              </w:rPr>
              <w:t xml:space="preserve"> </w:t>
            </w:r>
            <w:proofErr w:type="spellStart"/>
            <w:r>
              <w:rPr>
                <w:rFonts w:eastAsia="Palatino Linotype"/>
                <w:spacing w:val="-1"/>
                <w:position w:val="1"/>
                <w:sz w:val="22"/>
                <w:szCs w:val="22"/>
                <w:lang w:val="es-ES"/>
              </w:rPr>
              <w:t>conditions</w:t>
            </w:r>
            <w:proofErr w:type="spellEnd"/>
            <w:r>
              <w:rPr>
                <w:rFonts w:eastAsia="Palatino Linotype"/>
                <w:spacing w:val="-1"/>
                <w:position w:val="1"/>
                <w:sz w:val="22"/>
                <w:szCs w:val="22"/>
                <w:lang w:val="es-ES"/>
              </w:rPr>
              <w:t xml:space="preserve">, and be </w:t>
            </w:r>
            <w:proofErr w:type="spellStart"/>
            <w:r>
              <w:rPr>
                <w:rFonts w:eastAsia="Palatino Linotype"/>
                <w:spacing w:val="-1"/>
                <w:position w:val="1"/>
                <w:sz w:val="22"/>
                <w:szCs w:val="22"/>
                <w:lang w:val="es-ES"/>
              </w:rPr>
              <w:t>ready</w:t>
            </w:r>
            <w:proofErr w:type="spellEnd"/>
            <w:r>
              <w:rPr>
                <w:rFonts w:eastAsia="Palatino Linotype"/>
                <w:spacing w:val="-1"/>
                <w:position w:val="1"/>
                <w:sz w:val="22"/>
                <w:szCs w:val="22"/>
                <w:lang w:val="es-ES"/>
              </w:rPr>
              <w:t xml:space="preserve"> </w:t>
            </w:r>
            <w:proofErr w:type="spellStart"/>
            <w:r>
              <w:rPr>
                <w:rFonts w:eastAsia="Palatino Linotype"/>
                <w:spacing w:val="-1"/>
                <w:position w:val="1"/>
                <w:sz w:val="22"/>
                <w:szCs w:val="22"/>
                <w:lang w:val="es-ES"/>
              </w:rPr>
              <w:t>for</w:t>
            </w:r>
            <w:proofErr w:type="spellEnd"/>
            <w:r>
              <w:rPr>
                <w:rFonts w:eastAsia="Palatino Linotype"/>
                <w:spacing w:val="-1"/>
                <w:position w:val="1"/>
                <w:sz w:val="22"/>
                <w:szCs w:val="22"/>
                <w:lang w:val="es-ES"/>
              </w:rPr>
              <w:t xml:space="preserve"> </w:t>
            </w:r>
            <w:proofErr w:type="spellStart"/>
            <w:r>
              <w:rPr>
                <w:rFonts w:eastAsia="Palatino Linotype"/>
                <w:spacing w:val="-1"/>
                <w:position w:val="1"/>
                <w:sz w:val="22"/>
                <w:szCs w:val="22"/>
                <w:lang w:val="es-ES"/>
              </w:rPr>
              <w:t>shipment</w:t>
            </w:r>
            <w:proofErr w:type="spellEnd"/>
            <w:r>
              <w:rPr>
                <w:rFonts w:eastAsia="Palatino Linotype"/>
                <w:spacing w:val="-1"/>
                <w:position w:val="1"/>
                <w:sz w:val="22"/>
                <w:szCs w:val="22"/>
                <w:lang w:val="es-ES"/>
              </w:rPr>
              <w:t>.</w:t>
            </w:r>
          </w:p>
          <w:p w14:paraId="78A6617D" w14:textId="77777777" w:rsidR="00E255F4" w:rsidRDefault="00000000">
            <w:pPr>
              <w:tabs>
                <w:tab w:val="left" w:pos="0"/>
              </w:tabs>
              <w:spacing w:line="240" w:lineRule="auto"/>
              <w:jc w:val="both"/>
              <w:textAlignment w:val="baseline"/>
              <w:rPr>
                <w:rFonts w:eastAsia="Palatino Linotype"/>
                <w:spacing w:val="-1"/>
                <w:position w:val="1"/>
                <w:sz w:val="22"/>
                <w:szCs w:val="22"/>
                <w:lang w:val="es-ES"/>
              </w:rPr>
            </w:pPr>
            <w:r>
              <w:rPr>
                <w:sz w:val="22"/>
                <w:szCs w:val="22"/>
                <w:lang w:val="es-ES"/>
              </w:rPr>
              <w:t xml:space="preserve">In </w:t>
            </w:r>
            <w:proofErr w:type="spellStart"/>
            <w:r>
              <w:rPr>
                <w:sz w:val="22"/>
                <w:szCs w:val="22"/>
                <w:lang w:val="es-ES"/>
              </w:rPr>
              <w:t>addition</w:t>
            </w:r>
            <w:proofErr w:type="spellEnd"/>
            <w:r>
              <w:rPr>
                <w:sz w:val="22"/>
                <w:szCs w:val="22"/>
                <w:lang w:val="es-ES"/>
              </w:rPr>
              <w:t xml:space="preserve"> </w:t>
            </w:r>
            <w:proofErr w:type="spellStart"/>
            <w:r>
              <w:rPr>
                <w:sz w:val="22"/>
                <w:szCs w:val="22"/>
                <w:lang w:val="es-ES"/>
              </w:rPr>
              <w:t>to</w:t>
            </w:r>
            <w:proofErr w:type="spellEnd"/>
            <w:r>
              <w:rPr>
                <w:sz w:val="22"/>
                <w:szCs w:val="22"/>
                <w:lang w:val="es-ES"/>
              </w:rPr>
              <w:t xml:space="preserve"> </w:t>
            </w:r>
            <w:proofErr w:type="spellStart"/>
            <w:r>
              <w:rPr>
                <w:sz w:val="22"/>
                <w:szCs w:val="22"/>
                <w:lang w:val="es-ES"/>
              </w:rPr>
              <w:t>the</w:t>
            </w:r>
            <w:proofErr w:type="spellEnd"/>
            <w:r>
              <w:rPr>
                <w:sz w:val="22"/>
                <w:szCs w:val="22"/>
                <w:lang w:val="es-ES"/>
              </w:rPr>
              <w:t xml:space="preserve"> </w:t>
            </w:r>
            <w:proofErr w:type="spellStart"/>
            <w:r>
              <w:rPr>
                <w:sz w:val="22"/>
                <w:szCs w:val="22"/>
                <w:lang w:val="es-ES"/>
              </w:rPr>
              <w:t>shipping</w:t>
            </w:r>
            <w:proofErr w:type="spellEnd"/>
            <w:r>
              <w:rPr>
                <w:sz w:val="22"/>
                <w:szCs w:val="22"/>
                <w:lang w:val="es-ES"/>
              </w:rPr>
              <w:t xml:space="preserve"> </w:t>
            </w:r>
            <w:proofErr w:type="spellStart"/>
            <w:r>
              <w:rPr>
                <w:sz w:val="22"/>
                <w:szCs w:val="22"/>
                <w:lang w:val="es-ES"/>
              </w:rPr>
              <w:t>documents</w:t>
            </w:r>
            <w:proofErr w:type="spellEnd"/>
            <w:r>
              <w:rPr>
                <w:sz w:val="22"/>
                <w:szCs w:val="22"/>
                <w:lang w:val="es-ES"/>
              </w:rPr>
              <w:t xml:space="preserve"> </w:t>
            </w:r>
            <w:proofErr w:type="spellStart"/>
            <w:r>
              <w:rPr>
                <w:sz w:val="22"/>
                <w:szCs w:val="22"/>
                <w:lang w:val="es-ES"/>
              </w:rPr>
              <w:t>required</w:t>
            </w:r>
            <w:proofErr w:type="spellEnd"/>
            <w:r>
              <w:rPr>
                <w:sz w:val="22"/>
                <w:szCs w:val="22"/>
                <w:lang w:val="es-ES"/>
              </w:rPr>
              <w:t xml:space="preserve"> </w:t>
            </w:r>
            <w:proofErr w:type="spellStart"/>
            <w:r>
              <w:rPr>
                <w:sz w:val="22"/>
                <w:szCs w:val="22"/>
                <w:lang w:val="es-ES"/>
              </w:rPr>
              <w:t>for</w:t>
            </w:r>
            <w:proofErr w:type="spellEnd"/>
            <w:r>
              <w:rPr>
                <w:sz w:val="22"/>
                <w:szCs w:val="22"/>
                <w:lang w:val="es-ES"/>
              </w:rPr>
              <w:t xml:space="preserve"> </w:t>
            </w:r>
            <w:proofErr w:type="spellStart"/>
            <w:r>
              <w:rPr>
                <w:sz w:val="22"/>
                <w:szCs w:val="22"/>
                <w:lang w:val="es-ES"/>
              </w:rPr>
              <w:t>customs</w:t>
            </w:r>
            <w:proofErr w:type="spellEnd"/>
            <w:r>
              <w:rPr>
                <w:sz w:val="22"/>
                <w:szCs w:val="22"/>
                <w:lang w:val="es-ES"/>
              </w:rPr>
              <w:t xml:space="preserve"> </w:t>
            </w:r>
            <w:proofErr w:type="spellStart"/>
            <w:r>
              <w:rPr>
                <w:sz w:val="22"/>
                <w:szCs w:val="22"/>
                <w:lang w:val="es-ES"/>
              </w:rPr>
              <w:t>clearance</w:t>
            </w:r>
            <w:proofErr w:type="spellEnd"/>
            <w:r>
              <w:rPr>
                <w:sz w:val="22"/>
                <w:szCs w:val="22"/>
                <w:lang w:val="es-ES"/>
              </w:rPr>
              <w:t xml:space="preserve">, </w:t>
            </w:r>
            <w:proofErr w:type="spellStart"/>
            <w:r>
              <w:rPr>
                <w:sz w:val="22"/>
                <w:szCs w:val="22"/>
                <w:lang w:val="es-ES"/>
              </w:rPr>
              <w:t>the</w:t>
            </w:r>
            <w:proofErr w:type="spellEnd"/>
            <w:r>
              <w:rPr>
                <w:sz w:val="22"/>
                <w:szCs w:val="22"/>
                <w:lang w:val="es-ES"/>
              </w:rPr>
              <w:t xml:space="preserve"> </w:t>
            </w:r>
            <w:proofErr w:type="spellStart"/>
            <w:r>
              <w:rPr>
                <w:sz w:val="22"/>
                <w:szCs w:val="22"/>
                <w:lang w:val="es-ES"/>
              </w:rPr>
              <w:t>presentation</w:t>
            </w:r>
            <w:proofErr w:type="spellEnd"/>
            <w:r>
              <w:rPr>
                <w:sz w:val="22"/>
                <w:szCs w:val="22"/>
                <w:lang w:val="es-ES"/>
              </w:rPr>
              <w:t xml:space="preserve"> </w:t>
            </w:r>
            <w:proofErr w:type="spellStart"/>
            <w:r>
              <w:rPr>
                <w:sz w:val="22"/>
                <w:szCs w:val="22"/>
                <w:lang w:val="es-ES"/>
              </w:rPr>
              <w:t>of</w:t>
            </w:r>
            <w:proofErr w:type="spellEnd"/>
            <w:r>
              <w:rPr>
                <w:sz w:val="22"/>
                <w:szCs w:val="22"/>
                <w:lang w:val="es-ES"/>
              </w:rPr>
              <w:t xml:space="preserve"> </w:t>
            </w:r>
            <w:proofErr w:type="spellStart"/>
            <w:r>
              <w:rPr>
                <w:sz w:val="22"/>
                <w:szCs w:val="22"/>
                <w:lang w:val="es-ES"/>
              </w:rPr>
              <w:t>the</w:t>
            </w:r>
            <w:proofErr w:type="spellEnd"/>
            <w:r>
              <w:rPr>
                <w:sz w:val="22"/>
                <w:szCs w:val="22"/>
                <w:lang w:val="es-ES"/>
              </w:rPr>
              <w:t xml:space="preserve"> </w:t>
            </w:r>
            <w:proofErr w:type="spellStart"/>
            <w:r>
              <w:rPr>
                <w:sz w:val="22"/>
                <w:szCs w:val="22"/>
                <w:lang w:val="es-ES"/>
              </w:rPr>
              <w:t>Certificate</w:t>
            </w:r>
            <w:proofErr w:type="spellEnd"/>
            <w:r>
              <w:rPr>
                <w:sz w:val="22"/>
                <w:szCs w:val="22"/>
                <w:lang w:val="es-ES"/>
              </w:rPr>
              <w:t xml:space="preserve"> </w:t>
            </w:r>
            <w:proofErr w:type="spellStart"/>
            <w:r>
              <w:rPr>
                <w:sz w:val="22"/>
                <w:szCs w:val="22"/>
                <w:lang w:val="es-ES"/>
              </w:rPr>
              <w:t>of</w:t>
            </w:r>
            <w:proofErr w:type="spellEnd"/>
            <w:r>
              <w:rPr>
                <w:sz w:val="22"/>
                <w:szCs w:val="22"/>
                <w:lang w:val="es-ES"/>
              </w:rPr>
              <w:t xml:space="preserve"> </w:t>
            </w:r>
            <w:proofErr w:type="spellStart"/>
            <w:r>
              <w:rPr>
                <w:sz w:val="22"/>
                <w:szCs w:val="22"/>
                <w:lang w:val="es-ES"/>
              </w:rPr>
              <w:t>Origin</w:t>
            </w:r>
            <w:proofErr w:type="spellEnd"/>
            <w:r>
              <w:rPr>
                <w:sz w:val="22"/>
                <w:szCs w:val="22"/>
                <w:lang w:val="es-ES"/>
              </w:rPr>
              <w:t xml:space="preserve"> </w:t>
            </w:r>
            <w:proofErr w:type="spellStart"/>
            <w:r>
              <w:rPr>
                <w:sz w:val="22"/>
                <w:szCs w:val="22"/>
                <w:lang w:val="es-ES"/>
              </w:rPr>
              <w:t>may</w:t>
            </w:r>
            <w:proofErr w:type="spellEnd"/>
            <w:r>
              <w:rPr>
                <w:sz w:val="22"/>
                <w:szCs w:val="22"/>
                <w:lang w:val="es-ES"/>
              </w:rPr>
              <w:t xml:space="preserve"> be </w:t>
            </w:r>
            <w:proofErr w:type="spellStart"/>
            <w:r>
              <w:rPr>
                <w:sz w:val="22"/>
                <w:szCs w:val="22"/>
                <w:lang w:val="es-ES"/>
              </w:rPr>
              <w:t>requested</w:t>
            </w:r>
            <w:proofErr w:type="spellEnd"/>
            <w:r>
              <w:rPr>
                <w:sz w:val="22"/>
                <w:szCs w:val="22"/>
                <w:lang w:val="es-ES"/>
              </w:rPr>
              <w:t xml:space="preserve"> </w:t>
            </w:r>
            <w:proofErr w:type="spellStart"/>
            <w:r>
              <w:rPr>
                <w:sz w:val="22"/>
                <w:szCs w:val="22"/>
                <w:lang w:val="es-ES"/>
              </w:rPr>
              <w:t>for</w:t>
            </w:r>
            <w:proofErr w:type="spellEnd"/>
            <w:r>
              <w:rPr>
                <w:sz w:val="22"/>
                <w:szCs w:val="22"/>
                <w:lang w:val="es-ES"/>
              </w:rPr>
              <w:t xml:space="preserve"> </w:t>
            </w:r>
            <w:proofErr w:type="spellStart"/>
            <w:r>
              <w:rPr>
                <w:sz w:val="22"/>
                <w:szCs w:val="22"/>
                <w:lang w:val="es-ES"/>
              </w:rPr>
              <w:t>each</w:t>
            </w:r>
            <w:proofErr w:type="spellEnd"/>
            <w:r>
              <w:rPr>
                <w:sz w:val="22"/>
                <w:szCs w:val="22"/>
                <w:lang w:val="es-ES"/>
              </w:rPr>
              <w:t xml:space="preserve"> </w:t>
            </w:r>
            <w:proofErr w:type="spellStart"/>
            <w:r>
              <w:rPr>
                <w:sz w:val="22"/>
                <w:szCs w:val="22"/>
                <w:lang w:val="es-ES"/>
              </w:rPr>
              <w:t>shipment</w:t>
            </w:r>
            <w:proofErr w:type="spellEnd"/>
            <w:r>
              <w:rPr>
                <w:sz w:val="22"/>
                <w:szCs w:val="22"/>
                <w:lang w:val="es-ES"/>
              </w:rPr>
              <w:t>.</w:t>
            </w:r>
          </w:p>
        </w:tc>
      </w:tr>
      <w:tr w:rsidR="00E255F4" w14:paraId="75287758" w14:textId="77777777">
        <w:tc>
          <w:tcPr>
            <w:tcW w:w="730" w:type="dxa"/>
            <w:tcBorders>
              <w:top w:val="single" w:sz="4" w:space="0" w:color="000000"/>
              <w:left w:val="single" w:sz="4" w:space="0" w:color="000000"/>
              <w:bottom w:val="single" w:sz="4" w:space="0" w:color="000000"/>
              <w:right w:val="single" w:sz="4" w:space="0" w:color="000000"/>
            </w:tcBorders>
          </w:tcPr>
          <w:p w14:paraId="1B5BC8D2" w14:textId="77777777" w:rsidR="00E255F4" w:rsidRDefault="00000000">
            <w:pPr>
              <w:ind w:right="-36"/>
              <w:rPr>
                <w:rFonts w:eastAsia="Palatino Linotype"/>
                <w:b/>
                <w:sz w:val="22"/>
                <w:szCs w:val="22"/>
                <w:lang w:val="es-ES"/>
              </w:rPr>
            </w:pPr>
            <w:r>
              <w:rPr>
                <w:rFonts w:eastAsia="Palatino Linotype"/>
                <w:b/>
                <w:sz w:val="22"/>
                <w:szCs w:val="22"/>
                <w:lang w:val="es-ES"/>
              </w:rPr>
              <w:lastRenderedPageBreak/>
              <w:t>25</w:t>
            </w:r>
          </w:p>
        </w:tc>
        <w:tc>
          <w:tcPr>
            <w:tcW w:w="9048" w:type="dxa"/>
            <w:tcBorders>
              <w:top w:val="single" w:sz="4" w:space="0" w:color="000000"/>
              <w:left w:val="single" w:sz="4" w:space="0" w:color="000000"/>
              <w:bottom w:val="single" w:sz="4" w:space="0" w:color="000000"/>
              <w:right w:val="single" w:sz="4" w:space="0" w:color="000000"/>
            </w:tcBorders>
          </w:tcPr>
          <w:p w14:paraId="2B33E47A" w14:textId="77777777" w:rsidR="00E255F4" w:rsidRDefault="00000000">
            <w:pPr>
              <w:jc w:val="both"/>
              <w:rPr>
                <w:rFonts w:eastAsia="Palatino Linotype"/>
                <w:b/>
                <w:spacing w:val="-1"/>
                <w:sz w:val="22"/>
                <w:szCs w:val="22"/>
                <w:lang w:val="es-ES"/>
              </w:rPr>
            </w:pPr>
            <w:proofErr w:type="spellStart"/>
            <w:r>
              <w:rPr>
                <w:rFonts w:eastAsia="Palatino Linotype"/>
                <w:b/>
                <w:spacing w:val="-1"/>
                <w:sz w:val="22"/>
                <w:szCs w:val="22"/>
                <w:lang w:val="es-ES"/>
              </w:rPr>
              <w:t>Reception</w:t>
            </w:r>
            <w:proofErr w:type="spellEnd"/>
          </w:p>
          <w:p w14:paraId="00D0DB0A" w14:textId="77777777" w:rsidR="00E255F4" w:rsidRDefault="00000000">
            <w:pPr>
              <w:spacing w:line="360" w:lineRule="auto"/>
              <w:jc w:val="both"/>
              <w:rPr>
                <w:rFonts w:eastAsia="Palatino Linotype"/>
                <w:spacing w:val="-1"/>
                <w:sz w:val="22"/>
                <w:szCs w:val="22"/>
                <w:lang w:val="es-ES"/>
              </w:rPr>
            </w:pPr>
            <w:proofErr w:type="spellStart"/>
            <w:r>
              <w:rPr>
                <w:rFonts w:eastAsia="Palatino Linotype"/>
                <w:spacing w:val="-1"/>
                <w:sz w:val="22"/>
                <w:szCs w:val="22"/>
                <w:lang w:val="es-ES"/>
              </w:rPr>
              <w:t>It</w:t>
            </w:r>
            <w:proofErr w:type="spellEnd"/>
            <w:r>
              <w:rPr>
                <w:rFonts w:eastAsia="Palatino Linotype"/>
                <w:spacing w:val="-1"/>
                <w:sz w:val="22"/>
                <w:szCs w:val="22"/>
                <w:lang w:val="es-ES"/>
              </w:rPr>
              <w:t xml:space="preserve"> </w:t>
            </w:r>
            <w:proofErr w:type="spellStart"/>
            <w:r>
              <w:rPr>
                <w:rFonts w:eastAsia="Palatino Linotype"/>
                <w:spacing w:val="-1"/>
                <w:sz w:val="22"/>
                <w:szCs w:val="22"/>
                <w:lang w:val="es-ES"/>
              </w:rPr>
              <w:t>is</w:t>
            </w:r>
            <w:proofErr w:type="spellEnd"/>
            <w:r>
              <w:rPr>
                <w:rFonts w:eastAsia="Palatino Linotype"/>
                <w:spacing w:val="-1"/>
                <w:sz w:val="22"/>
                <w:szCs w:val="22"/>
                <w:lang w:val="es-ES"/>
              </w:rPr>
              <w:t xml:space="preserve"> </w:t>
            </w:r>
            <w:proofErr w:type="spellStart"/>
            <w:r>
              <w:rPr>
                <w:rFonts w:eastAsia="Palatino Linotype"/>
                <w:spacing w:val="-1"/>
                <w:sz w:val="22"/>
                <w:szCs w:val="22"/>
                <w:lang w:val="es-ES"/>
              </w:rPr>
              <w:t>added</w:t>
            </w:r>
            <w:proofErr w:type="spellEnd"/>
            <w:r>
              <w:rPr>
                <w:rFonts w:eastAsia="Palatino Linotype"/>
                <w:spacing w:val="-1"/>
                <w:sz w:val="22"/>
                <w:szCs w:val="22"/>
                <w:lang w:val="es-ES"/>
              </w:rPr>
              <w:t>:</w:t>
            </w:r>
          </w:p>
          <w:p w14:paraId="676FC361" w14:textId="77777777" w:rsidR="00E255F4" w:rsidRDefault="00000000">
            <w:pPr>
              <w:spacing w:after="120" w:line="360" w:lineRule="auto"/>
              <w:rPr>
                <w:rFonts w:eastAsia="Palatino Linotype"/>
                <w:b/>
                <w:spacing w:val="-1"/>
                <w:position w:val="1"/>
                <w:sz w:val="22"/>
                <w:szCs w:val="22"/>
                <w:lang w:val="es-ES"/>
              </w:rPr>
            </w:pPr>
            <w:proofErr w:type="spellStart"/>
            <w:r>
              <w:rPr>
                <w:rFonts w:eastAsia="Palatino Linotype"/>
                <w:b/>
                <w:spacing w:val="-1"/>
                <w:position w:val="1"/>
                <w:sz w:val="22"/>
                <w:szCs w:val="22"/>
                <w:lang w:val="es-ES"/>
              </w:rPr>
              <w:t>Delivery</w:t>
            </w:r>
            <w:proofErr w:type="spellEnd"/>
            <w:r>
              <w:rPr>
                <w:rFonts w:eastAsia="Palatino Linotype"/>
                <w:b/>
                <w:spacing w:val="-1"/>
                <w:position w:val="1"/>
                <w:sz w:val="22"/>
                <w:szCs w:val="22"/>
                <w:lang w:val="es-ES"/>
              </w:rPr>
              <w:t xml:space="preserve"> </w:t>
            </w:r>
            <w:proofErr w:type="spellStart"/>
            <w:r>
              <w:rPr>
                <w:rFonts w:eastAsia="Palatino Linotype"/>
                <w:b/>
                <w:spacing w:val="-1"/>
                <w:position w:val="1"/>
                <w:sz w:val="22"/>
                <w:szCs w:val="22"/>
                <w:lang w:val="es-ES"/>
              </w:rPr>
              <w:t>location</w:t>
            </w:r>
            <w:proofErr w:type="spellEnd"/>
          </w:p>
          <w:p w14:paraId="45A75BA5" w14:textId="77777777" w:rsidR="00E255F4" w:rsidRDefault="00000000">
            <w:pPr>
              <w:spacing w:after="120"/>
              <w:jc w:val="both"/>
              <w:rPr>
                <w:b/>
                <w:sz w:val="22"/>
                <w:szCs w:val="22"/>
                <w:u w:val="single"/>
                <w:lang w:val="es-ES"/>
              </w:rPr>
            </w:pPr>
            <w:proofErr w:type="spellStart"/>
            <w:r>
              <w:rPr>
                <w:b/>
                <w:sz w:val="22"/>
                <w:szCs w:val="22"/>
                <w:u w:val="single"/>
                <w:lang w:val="es-ES"/>
              </w:rPr>
              <w:t>Integrated</w:t>
            </w:r>
            <w:proofErr w:type="spellEnd"/>
            <w:r>
              <w:rPr>
                <w:b/>
                <w:sz w:val="22"/>
                <w:szCs w:val="22"/>
                <w:u w:val="single"/>
                <w:lang w:val="es-ES"/>
              </w:rPr>
              <w:t xml:space="preserve"> </w:t>
            </w:r>
            <w:proofErr w:type="spellStart"/>
            <w:r>
              <w:rPr>
                <w:b/>
                <w:sz w:val="22"/>
                <w:szCs w:val="22"/>
                <w:u w:val="single"/>
                <w:lang w:val="es-ES"/>
              </w:rPr>
              <w:t>smart</w:t>
            </w:r>
            <w:proofErr w:type="spellEnd"/>
            <w:r>
              <w:rPr>
                <w:b/>
                <w:sz w:val="22"/>
                <w:szCs w:val="22"/>
                <w:u w:val="single"/>
                <w:lang w:val="es-ES"/>
              </w:rPr>
              <w:t xml:space="preserve"> </w:t>
            </w:r>
            <w:proofErr w:type="spellStart"/>
            <w:r>
              <w:rPr>
                <w:b/>
                <w:sz w:val="22"/>
                <w:szCs w:val="22"/>
                <w:u w:val="single"/>
                <w:lang w:val="es-ES"/>
              </w:rPr>
              <w:t>meters</w:t>
            </w:r>
            <w:proofErr w:type="spellEnd"/>
          </w:p>
          <w:p w14:paraId="4073B477" w14:textId="77777777" w:rsidR="00E255F4" w:rsidRDefault="00000000">
            <w:pPr>
              <w:tabs>
                <w:tab w:val="left" w:pos="-540"/>
              </w:tabs>
              <w:spacing w:after="120"/>
              <w:jc w:val="both"/>
            </w:pPr>
            <w:r>
              <w:rPr>
                <w:b/>
                <w:sz w:val="22"/>
                <w:szCs w:val="22"/>
                <w:u w:val="single"/>
                <w:lang w:val="es-ES"/>
              </w:rPr>
              <w:t xml:space="preserve">For </w:t>
            </w:r>
            <w:proofErr w:type="spellStart"/>
            <w:r>
              <w:rPr>
                <w:b/>
                <w:sz w:val="22"/>
                <w:szCs w:val="22"/>
                <w:u w:val="single"/>
                <w:lang w:val="es-ES"/>
              </w:rPr>
              <w:t>job</w:t>
            </w:r>
            <w:proofErr w:type="spellEnd"/>
            <w:r>
              <w:rPr>
                <w:b/>
                <w:sz w:val="22"/>
                <w:szCs w:val="22"/>
                <w:u w:val="single"/>
                <w:lang w:val="es-ES"/>
              </w:rPr>
              <w:t xml:space="preserve"> </w:t>
            </w:r>
            <w:proofErr w:type="spellStart"/>
            <w:proofErr w:type="gramStart"/>
            <w:r>
              <w:rPr>
                <w:b/>
                <w:sz w:val="22"/>
                <w:szCs w:val="22"/>
                <w:u w:val="single"/>
                <w:lang w:val="es-ES"/>
              </w:rPr>
              <w:t>offers,</w:t>
            </w:r>
            <w:r>
              <w:rPr>
                <w:sz w:val="22"/>
                <w:szCs w:val="22"/>
                <w:lang w:val="es-ES"/>
              </w:rPr>
              <w:t>The</w:t>
            </w:r>
            <w:proofErr w:type="spellEnd"/>
            <w:proofErr w:type="gramEnd"/>
            <w:r>
              <w:rPr>
                <w:sz w:val="22"/>
                <w:szCs w:val="22"/>
                <w:lang w:val="es-ES"/>
              </w:rPr>
              <w:t xml:space="preserve"> </w:t>
            </w:r>
            <w:proofErr w:type="spellStart"/>
            <w:r>
              <w:rPr>
                <w:sz w:val="22"/>
                <w:szCs w:val="22"/>
                <w:lang w:val="es-ES"/>
              </w:rPr>
              <w:t>supplier</w:t>
            </w:r>
            <w:proofErr w:type="spellEnd"/>
            <w:r>
              <w:rPr>
                <w:sz w:val="22"/>
                <w:szCs w:val="22"/>
                <w:lang w:val="es-ES"/>
              </w:rPr>
              <w:t xml:space="preserve"> </w:t>
            </w:r>
            <w:proofErr w:type="spellStart"/>
            <w:r>
              <w:rPr>
                <w:sz w:val="22"/>
                <w:szCs w:val="22"/>
                <w:lang w:val="es-ES"/>
              </w:rPr>
              <w:t>must</w:t>
            </w:r>
            <w:proofErr w:type="spellEnd"/>
            <w:r>
              <w:rPr>
                <w:sz w:val="22"/>
                <w:szCs w:val="22"/>
                <w:lang w:val="es-ES"/>
              </w:rPr>
              <w:t xml:space="preserve"> </w:t>
            </w:r>
            <w:proofErr w:type="spellStart"/>
            <w:r>
              <w:rPr>
                <w:sz w:val="22"/>
                <w:szCs w:val="22"/>
                <w:lang w:val="es-ES"/>
              </w:rPr>
              <w:t>deliver</w:t>
            </w:r>
            <w:proofErr w:type="spellEnd"/>
            <w:r>
              <w:rPr>
                <w:sz w:val="22"/>
                <w:szCs w:val="22"/>
                <w:lang w:val="es-ES"/>
              </w:rPr>
              <w:t xml:space="preserve"> </w:t>
            </w:r>
            <w:proofErr w:type="spellStart"/>
            <w:r>
              <w:rPr>
                <w:sz w:val="22"/>
                <w:szCs w:val="22"/>
                <w:lang w:val="es-ES"/>
              </w:rPr>
              <w:t>the</w:t>
            </w:r>
            <w:proofErr w:type="spellEnd"/>
            <w:r>
              <w:rPr>
                <w:sz w:val="22"/>
                <w:szCs w:val="22"/>
                <w:lang w:val="es-ES"/>
              </w:rPr>
              <w:t xml:space="preserve"> 50,000 </w:t>
            </w:r>
            <w:proofErr w:type="spellStart"/>
            <w:r>
              <w:rPr>
                <w:sz w:val="22"/>
                <w:szCs w:val="22"/>
                <w:lang w:val="es-ES"/>
              </w:rPr>
              <w:t>integrated</w:t>
            </w:r>
            <w:proofErr w:type="spellEnd"/>
            <w:r>
              <w:rPr>
                <w:sz w:val="22"/>
                <w:szCs w:val="22"/>
                <w:lang w:val="es-ES"/>
              </w:rPr>
              <w:t xml:space="preserve"> </w:t>
            </w:r>
            <w:proofErr w:type="spellStart"/>
            <w:r>
              <w:rPr>
                <w:sz w:val="22"/>
                <w:szCs w:val="22"/>
                <w:lang w:val="es-ES"/>
              </w:rPr>
              <w:t>smart</w:t>
            </w:r>
            <w:proofErr w:type="spellEnd"/>
            <w:r>
              <w:rPr>
                <w:sz w:val="22"/>
                <w:szCs w:val="22"/>
                <w:lang w:val="es-ES"/>
              </w:rPr>
              <w:t xml:space="preserve"> </w:t>
            </w:r>
            <w:proofErr w:type="spellStart"/>
            <w:r>
              <w:rPr>
                <w:sz w:val="22"/>
                <w:szCs w:val="22"/>
                <w:lang w:val="es-ES"/>
              </w:rPr>
              <w:t>drinking</w:t>
            </w:r>
            <w:proofErr w:type="spellEnd"/>
            <w:r>
              <w:rPr>
                <w:sz w:val="22"/>
                <w:szCs w:val="22"/>
                <w:lang w:val="es-ES"/>
              </w:rPr>
              <w:t xml:space="preserve"> </w:t>
            </w:r>
            <w:proofErr w:type="spellStart"/>
            <w:r>
              <w:rPr>
                <w:sz w:val="22"/>
                <w:szCs w:val="22"/>
                <w:lang w:val="es-ES"/>
              </w:rPr>
              <w:t>water</w:t>
            </w:r>
            <w:proofErr w:type="spellEnd"/>
            <w:r>
              <w:rPr>
                <w:sz w:val="22"/>
                <w:szCs w:val="22"/>
                <w:lang w:val="es-ES"/>
              </w:rPr>
              <w:t xml:space="preserve"> </w:t>
            </w:r>
            <w:proofErr w:type="spellStart"/>
            <w:r>
              <w:rPr>
                <w:sz w:val="22"/>
                <w:szCs w:val="22"/>
                <w:lang w:val="es-ES"/>
              </w:rPr>
              <w:t>meters</w:t>
            </w:r>
            <w:proofErr w:type="spellEnd"/>
            <w:r>
              <w:rPr>
                <w:sz w:val="22"/>
                <w:szCs w:val="22"/>
                <w:lang w:val="es-ES"/>
              </w:rPr>
              <w:t xml:space="preserve"> </w:t>
            </w:r>
            <w:proofErr w:type="spellStart"/>
            <w:r>
              <w:rPr>
                <w:sz w:val="22"/>
                <w:szCs w:val="22"/>
                <w:lang w:val="es-ES"/>
              </w:rPr>
              <w:t>to</w:t>
            </w:r>
            <w:proofErr w:type="spellEnd"/>
            <w:r>
              <w:rPr>
                <w:sz w:val="22"/>
                <w:szCs w:val="22"/>
                <w:lang w:val="es-ES"/>
              </w:rPr>
              <w:t xml:space="preserve"> </w:t>
            </w:r>
            <w:proofErr w:type="spellStart"/>
            <w:r>
              <w:rPr>
                <w:sz w:val="22"/>
                <w:szCs w:val="22"/>
                <w:lang w:val="es-ES"/>
              </w:rPr>
              <w:t>the</w:t>
            </w:r>
            <w:proofErr w:type="spellEnd"/>
            <w:r>
              <w:rPr>
                <w:sz w:val="22"/>
                <w:szCs w:val="22"/>
                <w:lang w:val="es-ES"/>
              </w:rPr>
              <w:t xml:space="preserve"> Central </w:t>
            </w:r>
            <w:proofErr w:type="spellStart"/>
            <w:r>
              <w:rPr>
                <w:sz w:val="22"/>
                <w:szCs w:val="22"/>
                <w:lang w:val="es-ES"/>
              </w:rPr>
              <w:t>Abayubá</w:t>
            </w:r>
            <w:proofErr w:type="spellEnd"/>
            <w:r>
              <w:rPr>
                <w:sz w:val="22"/>
                <w:szCs w:val="22"/>
                <w:lang w:val="es-ES"/>
              </w:rPr>
              <w:t xml:space="preserve"> </w:t>
            </w:r>
            <w:proofErr w:type="spellStart"/>
            <w:r>
              <w:rPr>
                <w:sz w:val="22"/>
                <w:szCs w:val="22"/>
                <w:lang w:val="es-ES"/>
              </w:rPr>
              <w:t>warehouse</w:t>
            </w:r>
            <w:proofErr w:type="spellEnd"/>
            <w:r>
              <w:rPr>
                <w:sz w:val="22"/>
                <w:szCs w:val="22"/>
                <w:lang w:val="es-ES"/>
              </w:rPr>
              <w:t xml:space="preserve"> </w:t>
            </w:r>
            <w:proofErr w:type="spellStart"/>
            <w:r>
              <w:rPr>
                <w:sz w:val="22"/>
                <w:szCs w:val="22"/>
                <w:lang w:val="es-ES"/>
              </w:rPr>
              <w:t>located</w:t>
            </w:r>
            <w:proofErr w:type="spellEnd"/>
            <w:r>
              <w:rPr>
                <w:sz w:val="22"/>
                <w:szCs w:val="22"/>
                <w:lang w:val="es-ES"/>
              </w:rPr>
              <w:t xml:space="preserve"> at Dayman Street 3138, </w:t>
            </w:r>
            <w:proofErr w:type="spellStart"/>
            <w:r>
              <w:rPr>
                <w:sz w:val="22"/>
                <w:szCs w:val="22"/>
                <w:lang w:val="es-ES"/>
              </w:rPr>
              <w:t>corner</w:t>
            </w:r>
            <w:proofErr w:type="spellEnd"/>
            <w:r>
              <w:rPr>
                <w:sz w:val="22"/>
                <w:szCs w:val="22"/>
                <w:lang w:val="es-ES"/>
              </w:rPr>
              <w:t xml:space="preserve"> </w:t>
            </w:r>
            <w:proofErr w:type="spellStart"/>
            <w:r>
              <w:rPr>
                <w:sz w:val="22"/>
                <w:szCs w:val="22"/>
                <w:lang w:val="es-ES"/>
              </w:rPr>
              <w:t>of</w:t>
            </w:r>
            <w:proofErr w:type="spellEnd"/>
            <w:r>
              <w:rPr>
                <w:sz w:val="22"/>
                <w:szCs w:val="22"/>
                <w:lang w:val="es-ES"/>
              </w:rPr>
              <w:t xml:space="preserve"> Con. Abrevadero and Arrayán (</w:t>
            </w:r>
            <w:proofErr w:type="spellStart"/>
            <w:r>
              <w:rPr>
                <w:sz w:val="22"/>
                <w:szCs w:val="22"/>
                <w:lang w:val="es-ES"/>
              </w:rPr>
              <w:t>Abayubá</w:t>
            </w:r>
            <w:proofErr w:type="spellEnd"/>
            <w:r>
              <w:rPr>
                <w:sz w:val="22"/>
                <w:szCs w:val="22"/>
                <w:lang w:val="es-ES"/>
              </w:rPr>
              <w:t xml:space="preserve"> Town), Montevideo, Montevideo </w:t>
            </w:r>
            <w:proofErr w:type="spellStart"/>
            <w:r>
              <w:rPr>
                <w:sz w:val="22"/>
                <w:szCs w:val="22"/>
                <w:lang w:val="es-ES"/>
              </w:rPr>
              <w:t>Department</w:t>
            </w:r>
            <w:proofErr w:type="spellEnd"/>
            <w:r>
              <w:rPr>
                <w:sz w:val="22"/>
                <w:szCs w:val="22"/>
                <w:lang w:val="es-ES"/>
              </w:rPr>
              <w:t xml:space="preserve">, </w:t>
            </w:r>
            <w:proofErr w:type="spellStart"/>
            <w:r>
              <w:rPr>
                <w:sz w:val="22"/>
                <w:szCs w:val="22"/>
                <w:lang w:val="es-ES"/>
              </w:rPr>
              <w:t>on</w:t>
            </w:r>
            <w:proofErr w:type="spellEnd"/>
            <w:r>
              <w:rPr>
                <w:sz w:val="22"/>
                <w:szCs w:val="22"/>
                <w:lang w:val="es-ES"/>
              </w:rPr>
              <w:t xml:space="preserve"> </w:t>
            </w:r>
            <w:proofErr w:type="spellStart"/>
            <w:r>
              <w:rPr>
                <w:sz w:val="22"/>
                <w:szCs w:val="22"/>
                <w:lang w:val="es-ES"/>
              </w:rPr>
              <w:t>business</w:t>
            </w:r>
            <w:proofErr w:type="spellEnd"/>
            <w:r>
              <w:rPr>
                <w:sz w:val="22"/>
                <w:szCs w:val="22"/>
                <w:lang w:val="es-ES"/>
              </w:rPr>
              <w:t xml:space="preserve"> </w:t>
            </w:r>
            <w:proofErr w:type="spellStart"/>
            <w:r>
              <w:rPr>
                <w:sz w:val="22"/>
                <w:szCs w:val="22"/>
                <w:lang w:val="es-ES"/>
              </w:rPr>
              <w:t>days</w:t>
            </w:r>
            <w:proofErr w:type="spellEnd"/>
            <w:r>
              <w:rPr>
                <w:sz w:val="22"/>
                <w:szCs w:val="22"/>
                <w:lang w:val="es-ES"/>
              </w:rPr>
              <w:t xml:space="preserve">, </w:t>
            </w:r>
            <w:proofErr w:type="spellStart"/>
            <w:r>
              <w:rPr>
                <w:sz w:val="22"/>
                <w:szCs w:val="22"/>
                <w:lang w:val="es-ES"/>
              </w:rPr>
              <w:t>from</w:t>
            </w:r>
            <w:proofErr w:type="spellEnd"/>
            <w:r>
              <w:rPr>
                <w:sz w:val="22"/>
                <w:szCs w:val="22"/>
                <w:lang w:val="es-ES"/>
              </w:rPr>
              <w:t xml:space="preserve"> 8:00 a.m. </w:t>
            </w:r>
            <w:proofErr w:type="spellStart"/>
            <w:r>
              <w:rPr>
                <w:sz w:val="22"/>
                <w:szCs w:val="22"/>
                <w:lang w:val="es-ES"/>
              </w:rPr>
              <w:t>to</w:t>
            </w:r>
            <w:proofErr w:type="spellEnd"/>
            <w:r>
              <w:rPr>
                <w:sz w:val="22"/>
                <w:szCs w:val="22"/>
                <w:lang w:val="es-ES"/>
              </w:rPr>
              <w:t xml:space="preserve"> 2:30 p.m., after </w:t>
            </w:r>
            <w:proofErr w:type="spellStart"/>
            <w:r>
              <w:rPr>
                <w:sz w:val="22"/>
                <w:szCs w:val="22"/>
                <w:lang w:val="es-ES"/>
              </w:rPr>
              <w:t>coordinating</w:t>
            </w:r>
            <w:proofErr w:type="spellEnd"/>
            <w:r>
              <w:rPr>
                <w:sz w:val="22"/>
                <w:szCs w:val="22"/>
                <w:lang w:val="es-ES"/>
              </w:rPr>
              <w:t xml:space="preserve"> </w:t>
            </w:r>
            <w:proofErr w:type="spellStart"/>
            <w:r>
              <w:rPr>
                <w:sz w:val="22"/>
                <w:szCs w:val="22"/>
                <w:lang w:val="es-ES"/>
              </w:rPr>
              <w:t>the</w:t>
            </w:r>
            <w:proofErr w:type="spellEnd"/>
            <w:r>
              <w:rPr>
                <w:sz w:val="22"/>
                <w:szCs w:val="22"/>
                <w:lang w:val="es-ES"/>
              </w:rPr>
              <w:t xml:space="preserve"> </w:t>
            </w:r>
            <w:proofErr w:type="spellStart"/>
            <w:r>
              <w:rPr>
                <w:sz w:val="22"/>
                <w:szCs w:val="22"/>
                <w:lang w:val="es-ES"/>
              </w:rPr>
              <w:t>day</w:t>
            </w:r>
            <w:proofErr w:type="spellEnd"/>
            <w:r>
              <w:rPr>
                <w:sz w:val="22"/>
                <w:szCs w:val="22"/>
                <w:lang w:val="es-ES"/>
              </w:rPr>
              <w:t xml:space="preserve"> and time at </w:t>
            </w:r>
            <w:proofErr w:type="spellStart"/>
            <w:r>
              <w:rPr>
                <w:sz w:val="22"/>
                <w:szCs w:val="22"/>
                <w:lang w:val="es-ES"/>
              </w:rPr>
              <w:t>least</w:t>
            </w:r>
            <w:proofErr w:type="spellEnd"/>
            <w:r>
              <w:rPr>
                <w:sz w:val="22"/>
                <w:szCs w:val="22"/>
                <w:lang w:val="es-ES"/>
              </w:rPr>
              <w:t xml:space="preserve"> 72 </w:t>
            </w:r>
            <w:proofErr w:type="spellStart"/>
            <w:r>
              <w:rPr>
                <w:sz w:val="22"/>
                <w:szCs w:val="22"/>
                <w:lang w:val="es-ES"/>
              </w:rPr>
              <w:t>hours</w:t>
            </w:r>
            <w:proofErr w:type="spellEnd"/>
            <w:r>
              <w:rPr>
                <w:sz w:val="22"/>
                <w:szCs w:val="22"/>
                <w:lang w:val="es-ES"/>
              </w:rPr>
              <w:t xml:space="preserve"> in </w:t>
            </w:r>
            <w:proofErr w:type="spellStart"/>
            <w:r>
              <w:rPr>
                <w:sz w:val="22"/>
                <w:szCs w:val="22"/>
                <w:lang w:val="es-ES"/>
              </w:rPr>
              <w:t>advance</w:t>
            </w:r>
            <w:proofErr w:type="spellEnd"/>
            <w:r>
              <w:rPr>
                <w:sz w:val="22"/>
                <w:szCs w:val="22"/>
                <w:lang w:val="es-ES"/>
              </w:rPr>
              <w:t xml:space="preserve"> </w:t>
            </w:r>
            <w:proofErr w:type="spellStart"/>
            <w:r>
              <w:rPr>
                <w:sz w:val="22"/>
                <w:szCs w:val="22"/>
                <w:lang w:val="es-ES"/>
              </w:rPr>
              <w:t>with</w:t>
            </w:r>
            <w:proofErr w:type="spellEnd"/>
            <w:r>
              <w:rPr>
                <w:sz w:val="22"/>
                <w:szCs w:val="22"/>
                <w:lang w:val="es-ES"/>
              </w:rPr>
              <w:t xml:space="preserve"> </w:t>
            </w:r>
            <w:proofErr w:type="spellStart"/>
            <w:r>
              <w:rPr>
                <w:sz w:val="22"/>
                <w:szCs w:val="22"/>
                <w:lang w:val="es-ES"/>
              </w:rPr>
              <w:t>the</w:t>
            </w:r>
            <w:proofErr w:type="spellEnd"/>
            <w:r>
              <w:rPr>
                <w:sz w:val="22"/>
                <w:szCs w:val="22"/>
                <w:lang w:val="es-ES"/>
              </w:rPr>
              <w:t xml:space="preserve"> </w:t>
            </w:r>
            <w:proofErr w:type="spellStart"/>
            <w:r>
              <w:rPr>
                <w:sz w:val="22"/>
                <w:szCs w:val="22"/>
                <w:lang w:val="es-ES"/>
              </w:rPr>
              <w:t>materials</w:t>
            </w:r>
            <w:proofErr w:type="spellEnd"/>
            <w:r>
              <w:rPr>
                <w:sz w:val="22"/>
                <w:szCs w:val="22"/>
                <w:lang w:val="es-ES"/>
              </w:rPr>
              <w:t xml:space="preserve"> </w:t>
            </w:r>
            <w:proofErr w:type="spellStart"/>
            <w:r>
              <w:rPr>
                <w:sz w:val="22"/>
                <w:szCs w:val="22"/>
                <w:lang w:val="es-ES"/>
              </w:rPr>
              <w:t>receiving</w:t>
            </w:r>
            <w:proofErr w:type="spellEnd"/>
            <w:r>
              <w:rPr>
                <w:sz w:val="22"/>
                <w:szCs w:val="22"/>
                <w:lang w:val="es-ES"/>
              </w:rPr>
              <w:t xml:space="preserve"> </w:t>
            </w:r>
            <w:proofErr w:type="spellStart"/>
            <w:r>
              <w:rPr>
                <w:sz w:val="22"/>
                <w:szCs w:val="22"/>
                <w:lang w:val="es-ES"/>
              </w:rPr>
              <w:t>offices</w:t>
            </w:r>
            <w:proofErr w:type="spellEnd"/>
            <w:r>
              <w:rPr>
                <w:sz w:val="22"/>
                <w:szCs w:val="22"/>
                <w:lang w:val="es-ES"/>
              </w:rPr>
              <w:t>: email</w:t>
            </w:r>
            <w:hyperlink r:id="rId20">
              <w:r w:rsidR="00E255F4">
                <w:rPr>
                  <w:rStyle w:val="Hipervnculo"/>
                  <w:sz w:val="22"/>
                  <w:szCs w:val="22"/>
                  <w:lang w:val="es-ES"/>
                </w:rPr>
                <w:t>almacénbayuba@ose.com.uy</w:t>
              </w:r>
            </w:hyperlink>
            <w:r>
              <w:rPr>
                <w:sz w:val="22"/>
                <w:szCs w:val="22"/>
                <w:lang w:val="es-ES"/>
              </w:rPr>
              <w:t xml:space="preserve"> </w:t>
            </w:r>
          </w:p>
          <w:p w14:paraId="31DF05CF" w14:textId="77777777" w:rsidR="00E255F4" w:rsidRDefault="00000000">
            <w:pPr>
              <w:tabs>
                <w:tab w:val="left" w:pos="-540"/>
              </w:tabs>
              <w:jc w:val="both"/>
              <w:rPr>
                <w:sz w:val="22"/>
                <w:szCs w:val="22"/>
                <w:lang w:val="es-ES"/>
              </w:rPr>
            </w:pPr>
            <w:r>
              <w:rPr>
                <w:sz w:val="22"/>
                <w:szCs w:val="22"/>
                <w:lang w:val="es-ES"/>
              </w:rPr>
              <w:t xml:space="preserve">For </w:t>
            </w:r>
            <w:proofErr w:type="spellStart"/>
            <w:r>
              <w:rPr>
                <w:sz w:val="22"/>
                <w:szCs w:val="22"/>
                <w:lang w:val="es-ES"/>
              </w:rPr>
              <w:t>offers</w:t>
            </w:r>
            <w:proofErr w:type="spellEnd"/>
            <w:r>
              <w:rPr>
                <w:sz w:val="22"/>
                <w:szCs w:val="22"/>
                <w:lang w:val="es-ES"/>
              </w:rPr>
              <w:t xml:space="preserve"> </w:t>
            </w:r>
            <w:proofErr w:type="spellStart"/>
            <w:r>
              <w:rPr>
                <w:sz w:val="22"/>
                <w:szCs w:val="22"/>
                <w:lang w:val="es-ES"/>
              </w:rPr>
              <w:t>of</w:t>
            </w:r>
            <w:proofErr w:type="spellEnd"/>
            <w:r>
              <w:rPr>
                <w:sz w:val="22"/>
                <w:szCs w:val="22"/>
                <w:lang w:val="es-ES"/>
              </w:rPr>
              <w:t xml:space="preserve"> </w:t>
            </w:r>
            <w:proofErr w:type="spellStart"/>
            <w:r>
              <w:rPr>
                <w:sz w:val="22"/>
                <w:szCs w:val="22"/>
                <w:lang w:val="es-ES"/>
              </w:rPr>
              <w:t>goods</w:t>
            </w:r>
            <w:proofErr w:type="spellEnd"/>
            <w:r>
              <w:rPr>
                <w:sz w:val="22"/>
                <w:szCs w:val="22"/>
                <w:lang w:val="es-ES"/>
              </w:rPr>
              <w:t xml:space="preserve"> </w:t>
            </w:r>
            <w:proofErr w:type="spellStart"/>
            <w:r>
              <w:rPr>
                <w:sz w:val="22"/>
                <w:szCs w:val="22"/>
                <w:lang w:val="es-ES"/>
              </w:rPr>
              <w:t>to</w:t>
            </w:r>
            <w:proofErr w:type="spellEnd"/>
            <w:r>
              <w:rPr>
                <w:sz w:val="22"/>
                <w:szCs w:val="22"/>
                <w:lang w:val="es-ES"/>
              </w:rPr>
              <w:t xml:space="preserve"> be </w:t>
            </w:r>
            <w:proofErr w:type="spellStart"/>
            <w:r>
              <w:rPr>
                <w:sz w:val="22"/>
                <w:szCs w:val="22"/>
                <w:lang w:val="es-ES"/>
              </w:rPr>
              <w:t>imported</w:t>
            </w:r>
            <w:proofErr w:type="spellEnd"/>
            <w:r>
              <w:rPr>
                <w:sz w:val="22"/>
                <w:szCs w:val="22"/>
                <w:lang w:val="es-ES"/>
              </w:rPr>
              <w:t xml:space="preserve"> </w:t>
            </w:r>
            <w:proofErr w:type="spellStart"/>
            <w:r>
              <w:rPr>
                <w:sz w:val="22"/>
                <w:szCs w:val="22"/>
                <w:lang w:val="es-ES"/>
              </w:rPr>
              <w:t>by</w:t>
            </w:r>
            <w:proofErr w:type="spellEnd"/>
            <w:r>
              <w:rPr>
                <w:sz w:val="22"/>
                <w:szCs w:val="22"/>
                <w:lang w:val="es-ES"/>
              </w:rPr>
              <w:t xml:space="preserve"> OSE, </w:t>
            </w:r>
            <w:proofErr w:type="spellStart"/>
            <w:r>
              <w:rPr>
                <w:sz w:val="22"/>
                <w:szCs w:val="22"/>
                <w:lang w:val="es-ES"/>
              </w:rPr>
              <w:t>please</w:t>
            </w:r>
            <w:proofErr w:type="spellEnd"/>
            <w:r>
              <w:rPr>
                <w:sz w:val="22"/>
                <w:szCs w:val="22"/>
                <w:lang w:val="es-ES"/>
              </w:rPr>
              <w:t xml:space="preserve"> </w:t>
            </w:r>
            <w:proofErr w:type="spellStart"/>
            <w:r>
              <w:rPr>
                <w:sz w:val="22"/>
                <w:szCs w:val="22"/>
                <w:lang w:val="es-ES"/>
              </w:rPr>
              <w:t>refer</w:t>
            </w:r>
            <w:proofErr w:type="spellEnd"/>
            <w:r>
              <w:rPr>
                <w:sz w:val="22"/>
                <w:szCs w:val="22"/>
                <w:lang w:val="es-ES"/>
              </w:rPr>
              <w:t xml:space="preserve"> </w:t>
            </w:r>
            <w:proofErr w:type="spellStart"/>
            <w:r>
              <w:rPr>
                <w:sz w:val="22"/>
                <w:szCs w:val="22"/>
                <w:lang w:val="es-ES"/>
              </w:rPr>
              <w:t>to</w:t>
            </w:r>
            <w:proofErr w:type="spellEnd"/>
            <w:r>
              <w:rPr>
                <w:sz w:val="22"/>
                <w:szCs w:val="22"/>
                <w:lang w:val="es-ES"/>
              </w:rPr>
              <w:t xml:space="preserve"> INCOTERMS2020. The </w:t>
            </w:r>
            <w:proofErr w:type="spellStart"/>
            <w:r>
              <w:rPr>
                <w:sz w:val="22"/>
                <w:szCs w:val="22"/>
                <w:lang w:val="es-ES"/>
              </w:rPr>
              <w:t>supplier</w:t>
            </w:r>
            <w:proofErr w:type="spellEnd"/>
            <w:r>
              <w:rPr>
                <w:sz w:val="22"/>
                <w:szCs w:val="22"/>
                <w:lang w:val="es-ES"/>
              </w:rPr>
              <w:t xml:space="preserve"> </w:t>
            </w:r>
            <w:proofErr w:type="spellStart"/>
            <w:r>
              <w:rPr>
                <w:sz w:val="22"/>
                <w:szCs w:val="22"/>
                <w:lang w:val="es-ES"/>
              </w:rPr>
              <w:t>must</w:t>
            </w:r>
            <w:proofErr w:type="spellEnd"/>
            <w:r>
              <w:rPr>
                <w:sz w:val="22"/>
                <w:szCs w:val="22"/>
                <w:lang w:val="es-ES"/>
              </w:rPr>
              <w:t xml:space="preserve"> </w:t>
            </w:r>
            <w:proofErr w:type="spellStart"/>
            <w:r>
              <w:rPr>
                <w:sz w:val="22"/>
                <w:szCs w:val="22"/>
                <w:lang w:val="es-ES"/>
              </w:rPr>
              <w:t>coordinate</w:t>
            </w:r>
            <w:proofErr w:type="spellEnd"/>
            <w:r>
              <w:rPr>
                <w:sz w:val="22"/>
                <w:szCs w:val="22"/>
                <w:lang w:val="es-ES"/>
              </w:rPr>
              <w:t xml:space="preserve"> </w:t>
            </w:r>
            <w:proofErr w:type="spellStart"/>
            <w:r>
              <w:rPr>
                <w:sz w:val="22"/>
                <w:szCs w:val="22"/>
                <w:lang w:val="es-ES"/>
              </w:rPr>
              <w:t>by</w:t>
            </w:r>
            <w:proofErr w:type="spellEnd"/>
            <w:r>
              <w:rPr>
                <w:sz w:val="22"/>
                <w:szCs w:val="22"/>
                <w:lang w:val="es-ES"/>
              </w:rPr>
              <w:t xml:space="preserve"> email </w:t>
            </w:r>
            <w:proofErr w:type="spellStart"/>
            <w:r>
              <w:rPr>
                <w:sz w:val="22"/>
                <w:szCs w:val="22"/>
                <w:lang w:val="es-ES"/>
              </w:rPr>
              <w:t>with</w:t>
            </w:r>
            <w:proofErr w:type="spellEnd"/>
            <w:r>
              <w:rPr>
                <w:sz w:val="22"/>
                <w:szCs w:val="22"/>
                <w:lang w:val="es-ES"/>
              </w:rPr>
              <w:t xml:space="preserve"> </w:t>
            </w:r>
            <w:proofErr w:type="spellStart"/>
            <w:r>
              <w:rPr>
                <w:sz w:val="22"/>
                <w:szCs w:val="22"/>
                <w:lang w:val="es-ES"/>
              </w:rPr>
              <w:t>the</w:t>
            </w:r>
            <w:proofErr w:type="spellEnd"/>
            <w:r>
              <w:rPr>
                <w:sz w:val="22"/>
                <w:szCs w:val="22"/>
                <w:lang w:val="es-ES"/>
              </w:rPr>
              <w:t xml:space="preserve"> Foreign Trade </w:t>
            </w:r>
            <w:proofErr w:type="spellStart"/>
            <w:r>
              <w:rPr>
                <w:sz w:val="22"/>
                <w:szCs w:val="22"/>
                <w:lang w:val="es-ES"/>
              </w:rPr>
              <w:t>section</w:t>
            </w:r>
            <w:proofErr w:type="spellEnd"/>
            <w:r>
              <w:rPr>
                <w:sz w:val="22"/>
                <w:szCs w:val="22"/>
                <w:lang w:val="es-ES"/>
              </w:rPr>
              <w:t xml:space="preserve"> </w:t>
            </w:r>
            <w:proofErr w:type="spellStart"/>
            <w:r>
              <w:rPr>
                <w:sz w:val="22"/>
                <w:szCs w:val="22"/>
                <w:lang w:val="es-ES"/>
              </w:rPr>
              <w:t>of</w:t>
            </w:r>
            <w:proofErr w:type="spellEnd"/>
            <w:r>
              <w:rPr>
                <w:sz w:val="22"/>
                <w:szCs w:val="22"/>
                <w:lang w:val="es-ES"/>
              </w:rPr>
              <w:t xml:space="preserve"> </w:t>
            </w:r>
            <w:proofErr w:type="spellStart"/>
            <w:r>
              <w:rPr>
                <w:sz w:val="22"/>
                <w:szCs w:val="22"/>
                <w:lang w:val="es-ES"/>
              </w:rPr>
              <w:t>the</w:t>
            </w:r>
            <w:proofErr w:type="spellEnd"/>
            <w:r>
              <w:rPr>
                <w:sz w:val="22"/>
                <w:szCs w:val="22"/>
                <w:lang w:val="es-ES"/>
              </w:rPr>
              <w:t xml:space="preserve"> </w:t>
            </w:r>
            <w:proofErr w:type="spellStart"/>
            <w:r>
              <w:rPr>
                <w:sz w:val="22"/>
                <w:szCs w:val="22"/>
                <w:lang w:val="es-ES"/>
              </w:rPr>
              <w:t>Supply</w:t>
            </w:r>
            <w:proofErr w:type="spellEnd"/>
            <w:r>
              <w:rPr>
                <w:sz w:val="22"/>
                <w:szCs w:val="22"/>
                <w:lang w:val="es-ES"/>
              </w:rPr>
              <w:t xml:space="preserve"> Management at </w:t>
            </w:r>
            <w:proofErr w:type="spellStart"/>
            <w:r>
              <w:rPr>
                <w:sz w:val="22"/>
                <w:szCs w:val="22"/>
                <w:lang w:val="es-ES"/>
              </w:rPr>
              <w:t>the</w:t>
            </w:r>
            <w:proofErr w:type="spellEnd"/>
            <w:r>
              <w:rPr>
                <w:sz w:val="22"/>
                <w:szCs w:val="22"/>
                <w:lang w:val="es-ES"/>
              </w:rPr>
              <w:t xml:space="preserve"> </w:t>
            </w:r>
            <w:proofErr w:type="spellStart"/>
            <w:r>
              <w:rPr>
                <w:sz w:val="22"/>
                <w:szCs w:val="22"/>
                <w:lang w:val="es-ES"/>
              </w:rPr>
              <w:t>following</w:t>
            </w:r>
            <w:proofErr w:type="spellEnd"/>
            <w:r>
              <w:rPr>
                <w:sz w:val="22"/>
                <w:szCs w:val="22"/>
                <w:lang w:val="es-ES"/>
              </w:rPr>
              <w:t xml:space="preserve"> email </w:t>
            </w:r>
            <w:proofErr w:type="spellStart"/>
            <w:r>
              <w:rPr>
                <w:sz w:val="22"/>
                <w:szCs w:val="22"/>
                <w:lang w:val="es-ES"/>
              </w:rPr>
              <w:t>address:</w:t>
            </w:r>
            <w:hyperlink r:id="rId21">
              <w:r w:rsidR="00E255F4">
                <w:rPr>
                  <w:rStyle w:val="Hipervnculo"/>
                  <w:sz w:val="22"/>
                  <w:szCs w:val="22"/>
                  <w:lang w:val="es-ES"/>
                </w:rPr>
                <w:t>comercio.exterior@ose.com.uy</w:t>
              </w:r>
              <w:proofErr w:type="spellEnd"/>
            </w:hyperlink>
          </w:p>
          <w:p w14:paraId="53EEA21A" w14:textId="77777777" w:rsidR="00E255F4" w:rsidRDefault="00E255F4">
            <w:pPr>
              <w:tabs>
                <w:tab w:val="left" w:pos="-540"/>
              </w:tabs>
              <w:jc w:val="both"/>
              <w:rPr>
                <w:sz w:val="22"/>
                <w:szCs w:val="22"/>
                <w:lang w:val="es-ES"/>
              </w:rPr>
            </w:pPr>
          </w:p>
          <w:p w14:paraId="04CD995D" w14:textId="77777777" w:rsidR="00E255F4" w:rsidRDefault="00000000">
            <w:pPr>
              <w:spacing w:line="360" w:lineRule="auto"/>
              <w:jc w:val="both"/>
            </w:pPr>
            <w:proofErr w:type="spellStart"/>
            <w:r>
              <w:rPr>
                <w:rFonts w:eastAsia="Palatino Linotype"/>
                <w:b/>
                <w:spacing w:val="-1"/>
                <w:position w:val="1"/>
                <w:sz w:val="22"/>
                <w:szCs w:val="22"/>
                <w:lang w:val="es-ES"/>
              </w:rPr>
              <w:t>Delivery</w:t>
            </w:r>
            <w:proofErr w:type="spellEnd"/>
            <w:r>
              <w:rPr>
                <w:rFonts w:eastAsia="Palatino Linotype"/>
                <w:b/>
                <w:spacing w:val="-1"/>
                <w:position w:val="1"/>
                <w:sz w:val="22"/>
                <w:szCs w:val="22"/>
                <w:lang w:val="es-ES"/>
              </w:rPr>
              <w:t xml:space="preserve"> time and plan</w:t>
            </w:r>
          </w:p>
          <w:p w14:paraId="5E81370F" w14:textId="77777777" w:rsidR="00E255F4" w:rsidRDefault="00000000">
            <w:pPr>
              <w:pStyle w:val="Prrafodelista"/>
              <w:numPr>
                <w:ilvl w:val="0"/>
                <w:numId w:val="35"/>
              </w:numPr>
              <w:spacing w:after="120"/>
              <w:jc w:val="both"/>
              <w:textAlignment w:val="baseline"/>
            </w:pPr>
            <w:r>
              <w:rPr>
                <w:spacing w:val="-3"/>
                <w:sz w:val="22"/>
                <w:szCs w:val="22"/>
                <w:lang w:val="es-ES"/>
              </w:rPr>
              <w:t xml:space="preserve">The </w:t>
            </w:r>
            <w:proofErr w:type="spellStart"/>
            <w:r>
              <w:rPr>
                <w:spacing w:val="-3"/>
                <w:sz w:val="22"/>
                <w:szCs w:val="22"/>
                <w:lang w:val="es-ES"/>
              </w:rPr>
              <w:t>delivery</w:t>
            </w:r>
            <w:proofErr w:type="spellEnd"/>
            <w:r>
              <w:rPr>
                <w:spacing w:val="-3"/>
                <w:sz w:val="22"/>
                <w:szCs w:val="22"/>
                <w:lang w:val="es-ES"/>
              </w:rPr>
              <w:t xml:space="preserve"> </w:t>
            </w:r>
            <w:proofErr w:type="spellStart"/>
            <w:r>
              <w:rPr>
                <w:spacing w:val="-3"/>
                <w:sz w:val="22"/>
                <w:szCs w:val="22"/>
                <w:lang w:val="es-ES"/>
              </w:rPr>
              <w:t>period</w:t>
            </w:r>
            <w:proofErr w:type="spellEnd"/>
            <w:r>
              <w:rPr>
                <w:spacing w:val="-3"/>
                <w:sz w:val="22"/>
                <w:szCs w:val="22"/>
                <w:lang w:val="es-ES"/>
              </w:rPr>
              <w:t xml:space="preserve"> </w:t>
            </w:r>
            <w:proofErr w:type="spellStart"/>
            <w:r>
              <w:rPr>
                <w:spacing w:val="-3"/>
                <w:sz w:val="22"/>
                <w:szCs w:val="22"/>
                <w:lang w:val="es-ES"/>
              </w:rPr>
              <w:t>will</w:t>
            </w:r>
            <w:proofErr w:type="spellEnd"/>
            <w:r>
              <w:rPr>
                <w:spacing w:val="-3"/>
                <w:sz w:val="22"/>
                <w:szCs w:val="22"/>
                <w:lang w:val="es-ES"/>
              </w:rPr>
              <w:t xml:space="preserve"> be </w:t>
            </w:r>
            <w:proofErr w:type="spellStart"/>
            <w:r>
              <w:rPr>
                <w:spacing w:val="-3"/>
                <w:sz w:val="22"/>
                <w:szCs w:val="22"/>
                <w:lang w:val="es-ES"/>
              </w:rPr>
              <w:t>calculated</w:t>
            </w:r>
            <w:proofErr w:type="spellEnd"/>
            <w:r>
              <w:rPr>
                <w:spacing w:val="-3"/>
                <w:sz w:val="22"/>
                <w:szCs w:val="22"/>
                <w:lang w:val="es-ES"/>
              </w:rPr>
              <w:t xml:space="preserve"> </w:t>
            </w:r>
            <w:proofErr w:type="spellStart"/>
            <w:r>
              <w:rPr>
                <w:spacing w:val="-3"/>
                <w:sz w:val="22"/>
                <w:szCs w:val="22"/>
                <w:lang w:val="es-ES"/>
              </w:rPr>
              <w:t>from</w:t>
            </w:r>
            <w:proofErr w:type="spellEnd"/>
            <w:r>
              <w:rPr>
                <w:spacing w:val="-3"/>
                <w:sz w:val="22"/>
                <w:szCs w:val="22"/>
                <w:lang w:val="es-ES"/>
              </w:rPr>
              <w:t xml:space="preserve"> </w:t>
            </w:r>
            <w:proofErr w:type="spellStart"/>
            <w:r>
              <w:rPr>
                <w:spacing w:val="-3"/>
                <w:sz w:val="22"/>
                <w:szCs w:val="22"/>
                <w:lang w:val="es-ES"/>
              </w:rPr>
              <w:t>the</w:t>
            </w:r>
            <w:proofErr w:type="spellEnd"/>
            <w:r>
              <w:rPr>
                <w:spacing w:val="-3"/>
                <w:sz w:val="22"/>
                <w:szCs w:val="22"/>
                <w:lang w:val="es-ES"/>
              </w:rPr>
              <w:t xml:space="preserve"> </w:t>
            </w:r>
            <w:proofErr w:type="spellStart"/>
            <w:r>
              <w:rPr>
                <w:spacing w:val="-3"/>
                <w:sz w:val="22"/>
                <w:szCs w:val="22"/>
                <w:lang w:val="es-ES"/>
              </w:rPr>
              <w:t>day</w:t>
            </w:r>
            <w:proofErr w:type="spellEnd"/>
            <w:r>
              <w:rPr>
                <w:spacing w:val="-3"/>
                <w:sz w:val="22"/>
                <w:szCs w:val="22"/>
                <w:lang w:val="es-ES"/>
              </w:rPr>
              <w:t xml:space="preserve"> after </w:t>
            </w:r>
            <w:proofErr w:type="spellStart"/>
            <w:r>
              <w:rPr>
                <w:spacing w:val="-3"/>
                <w:sz w:val="22"/>
                <w:szCs w:val="22"/>
                <w:lang w:val="es-ES"/>
              </w:rPr>
              <w:t>notification</w:t>
            </w:r>
            <w:proofErr w:type="spellEnd"/>
            <w:r>
              <w:rPr>
                <w:spacing w:val="-3"/>
                <w:sz w:val="22"/>
                <w:szCs w:val="22"/>
                <w:lang w:val="es-ES"/>
              </w:rPr>
              <w:t xml:space="preserve"> </w:t>
            </w:r>
            <w:proofErr w:type="spellStart"/>
            <w:r>
              <w:rPr>
                <w:spacing w:val="-3"/>
                <w:sz w:val="22"/>
                <w:szCs w:val="22"/>
                <w:lang w:val="es-ES"/>
              </w:rPr>
              <w:t>of</w:t>
            </w:r>
            <w:proofErr w:type="spellEnd"/>
            <w:r>
              <w:rPr>
                <w:spacing w:val="-3"/>
                <w:sz w:val="22"/>
                <w:szCs w:val="22"/>
                <w:lang w:val="es-ES"/>
              </w:rPr>
              <w:t xml:space="preserve"> </w:t>
            </w:r>
            <w:proofErr w:type="spellStart"/>
            <w:r>
              <w:rPr>
                <w:spacing w:val="-3"/>
                <w:sz w:val="22"/>
                <w:szCs w:val="22"/>
                <w:lang w:val="es-ES"/>
              </w:rPr>
              <w:t>the</w:t>
            </w:r>
            <w:proofErr w:type="spellEnd"/>
            <w:r>
              <w:rPr>
                <w:spacing w:val="-3"/>
                <w:sz w:val="22"/>
                <w:szCs w:val="22"/>
                <w:lang w:val="es-ES"/>
              </w:rPr>
              <w:t xml:space="preserve"> </w:t>
            </w:r>
            <w:proofErr w:type="spellStart"/>
            <w:r>
              <w:rPr>
                <w:spacing w:val="-3"/>
                <w:sz w:val="22"/>
                <w:szCs w:val="22"/>
                <w:lang w:val="es-ES"/>
              </w:rPr>
              <w:t>purchase</w:t>
            </w:r>
            <w:proofErr w:type="spellEnd"/>
            <w:r>
              <w:rPr>
                <w:spacing w:val="-3"/>
                <w:sz w:val="22"/>
                <w:szCs w:val="22"/>
                <w:lang w:val="es-ES"/>
              </w:rPr>
              <w:t xml:space="preserve"> </w:t>
            </w:r>
            <w:proofErr w:type="spellStart"/>
            <w:r>
              <w:rPr>
                <w:spacing w:val="-3"/>
                <w:sz w:val="22"/>
                <w:szCs w:val="22"/>
                <w:lang w:val="es-ES"/>
              </w:rPr>
              <w:t>order</w:t>
            </w:r>
            <w:proofErr w:type="spellEnd"/>
            <w:r>
              <w:rPr>
                <w:spacing w:val="-3"/>
                <w:sz w:val="22"/>
                <w:szCs w:val="22"/>
                <w:lang w:val="es-ES"/>
              </w:rPr>
              <w:t xml:space="preserve"> (Art. 18 </w:t>
            </w:r>
            <w:proofErr w:type="spellStart"/>
            <w:r>
              <w:rPr>
                <w:spacing w:val="-3"/>
                <w:sz w:val="22"/>
                <w:szCs w:val="22"/>
                <w:lang w:val="es-ES"/>
              </w:rPr>
              <w:t>of</w:t>
            </w:r>
            <w:proofErr w:type="spellEnd"/>
            <w:r>
              <w:rPr>
                <w:spacing w:val="-3"/>
                <w:sz w:val="22"/>
                <w:szCs w:val="22"/>
                <w:lang w:val="es-ES"/>
              </w:rPr>
              <w:t xml:space="preserve"> </w:t>
            </w:r>
            <w:proofErr w:type="spellStart"/>
            <w:r>
              <w:rPr>
                <w:spacing w:val="-3"/>
                <w:sz w:val="22"/>
                <w:szCs w:val="22"/>
                <w:lang w:val="es-ES"/>
              </w:rPr>
              <w:t>this</w:t>
            </w:r>
            <w:proofErr w:type="spellEnd"/>
            <w:r>
              <w:rPr>
                <w:spacing w:val="-3"/>
                <w:sz w:val="22"/>
                <w:szCs w:val="22"/>
                <w:lang w:val="es-ES"/>
              </w:rPr>
              <w:t xml:space="preserve"> </w:t>
            </w:r>
            <w:proofErr w:type="spellStart"/>
            <w:r>
              <w:rPr>
                <w:spacing w:val="-3"/>
                <w:sz w:val="22"/>
                <w:szCs w:val="22"/>
                <w:lang w:val="es-ES"/>
              </w:rPr>
              <w:t>document</w:t>
            </w:r>
            <w:proofErr w:type="spellEnd"/>
            <w:r>
              <w:rPr>
                <w:spacing w:val="-3"/>
                <w:sz w:val="22"/>
                <w:szCs w:val="22"/>
                <w:lang w:val="es-ES"/>
              </w:rPr>
              <w:t>).</w:t>
            </w:r>
          </w:p>
          <w:p w14:paraId="1E2A3615" w14:textId="77777777" w:rsidR="00E255F4" w:rsidRDefault="00000000">
            <w:pPr>
              <w:pStyle w:val="Prrafodelista"/>
              <w:numPr>
                <w:ilvl w:val="0"/>
                <w:numId w:val="35"/>
              </w:numPr>
              <w:spacing w:after="120"/>
              <w:jc w:val="both"/>
              <w:textAlignment w:val="baseline"/>
            </w:pPr>
            <w:proofErr w:type="spellStart"/>
            <w:r>
              <w:rPr>
                <w:rFonts w:eastAsia="Palatino Linotype"/>
                <w:spacing w:val="-1"/>
                <w:sz w:val="22"/>
                <w:szCs w:val="22"/>
                <w:lang w:val="es-ES" w:eastAsia="en-US"/>
              </w:rPr>
              <w:t>Item</w:t>
            </w:r>
            <w:proofErr w:type="spellEnd"/>
            <w:r>
              <w:rPr>
                <w:rFonts w:eastAsia="Palatino Linotype"/>
                <w:spacing w:val="-1"/>
                <w:sz w:val="22"/>
                <w:szCs w:val="22"/>
                <w:lang w:val="es-ES" w:eastAsia="en-US"/>
              </w:rPr>
              <w:t xml:space="preserve"> 1 </w:t>
            </w:r>
            <w:proofErr w:type="spellStart"/>
            <w:r>
              <w:rPr>
                <w:rFonts w:eastAsia="Palatino Linotype"/>
                <w:spacing w:val="-1"/>
                <w:sz w:val="22"/>
                <w:szCs w:val="22"/>
                <w:lang w:val="es-ES" w:eastAsia="en-US"/>
              </w:rPr>
              <w:t>will</w:t>
            </w:r>
            <w:proofErr w:type="spellEnd"/>
            <w:r>
              <w:rPr>
                <w:rFonts w:eastAsia="Palatino Linotype"/>
                <w:spacing w:val="-1"/>
                <w:sz w:val="22"/>
                <w:szCs w:val="22"/>
                <w:lang w:val="es-ES" w:eastAsia="en-US"/>
              </w:rPr>
              <w:t xml:space="preserve"> be </w:t>
            </w:r>
            <w:proofErr w:type="spellStart"/>
            <w:r>
              <w:rPr>
                <w:rFonts w:eastAsia="Palatino Linotype"/>
                <w:spacing w:val="-1"/>
                <w:sz w:val="22"/>
                <w:szCs w:val="22"/>
                <w:lang w:val="es-ES" w:eastAsia="en-US"/>
              </w:rPr>
              <w:t>delivered</w:t>
            </w:r>
            <w:proofErr w:type="spellEnd"/>
            <w:r>
              <w:rPr>
                <w:rFonts w:eastAsia="Palatino Linotype"/>
                <w:spacing w:val="-1"/>
                <w:sz w:val="22"/>
                <w:szCs w:val="22"/>
                <w:lang w:val="es-ES" w:eastAsia="en-US"/>
              </w:rPr>
              <w:t xml:space="preserve"> in a </w:t>
            </w:r>
            <w:proofErr w:type="gramStart"/>
            <w:r>
              <w:rPr>
                <w:rFonts w:eastAsia="Palatino Linotype"/>
                <w:spacing w:val="-1"/>
                <w:sz w:val="22"/>
                <w:szCs w:val="22"/>
                <w:lang w:val="es-ES" w:eastAsia="en-US"/>
              </w:rPr>
              <w:t>single</w:t>
            </w:r>
            <w:proofErr w:type="gramEnd"/>
            <w:r>
              <w:rPr>
                <w:rFonts w:eastAsia="Palatino Linotype"/>
                <w:spacing w:val="-1"/>
                <w:sz w:val="22"/>
                <w:szCs w:val="22"/>
                <w:lang w:val="es-ES" w:eastAsia="en-US"/>
              </w:rPr>
              <w:t xml:space="preserve"> </w:t>
            </w:r>
            <w:proofErr w:type="spellStart"/>
            <w:r>
              <w:rPr>
                <w:rFonts w:eastAsia="Palatino Linotype"/>
                <w:spacing w:val="-1"/>
                <w:sz w:val="22"/>
                <w:szCs w:val="22"/>
                <w:lang w:val="es-ES" w:eastAsia="en-US"/>
              </w:rPr>
              <w:t>installment</w:t>
            </w:r>
            <w:proofErr w:type="spellEnd"/>
            <w:r>
              <w:rPr>
                <w:rFonts w:eastAsia="Palatino Linotype"/>
                <w:spacing w:val="-1"/>
                <w:sz w:val="22"/>
                <w:szCs w:val="22"/>
                <w:lang w:val="es-ES" w:eastAsia="en-US"/>
              </w:rPr>
              <w:t xml:space="preserve"> </w:t>
            </w:r>
            <w:proofErr w:type="spellStart"/>
            <w:r>
              <w:rPr>
                <w:rFonts w:eastAsia="Palatino Linotype"/>
                <w:spacing w:val="-1"/>
                <w:sz w:val="22"/>
                <w:szCs w:val="22"/>
                <w:lang w:val="es-ES" w:eastAsia="en-US"/>
              </w:rPr>
              <w:t>within</w:t>
            </w:r>
            <w:proofErr w:type="spellEnd"/>
            <w:r>
              <w:rPr>
                <w:rFonts w:eastAsia="Palatino Linotype"/>
                <w:spacing w:val="-1"/>
                <w:sz w:val="22"/>
                <w:szCs w:val="22"/>
                <w:lang w:val="es-ES" w:eastAsia="en-US"/>
              </w:rPr>
              <w:t xml:space="preserve"> 150 calendar </w:t>
            </w:r>
            <w:proofErr w:type="spellStart"/>
            <w:r>
              <w:rPr>
                <w:rFonts w:eastAsia="Palatino Linotype"/>
                <w:spacing w:val="-1"/>
                <w:sz w:val="22"/>
                <w:szCs w:val="22"/>
                <w:lang w:val="es-ES" w:eastAsia="en-US"/>
              </w:rPr>
              <w:t>days</w:t>
            </w:r>
            <w:proofErr w:type="spellEnd"/>
            <w:r>
              <w:rPr>
                <w:rFonts w:eastAsia="Palatino Linotype"/>
                <w:spacing w:val="-1"/>
                <w:sz w:val="22"/>
                <w:szCs w:val="22"/>
                <w:lang w:val="es-ES" w:eastAsia="en-US"/>
              </w:rPr>
              <w:t>.</w:t>
            </w:r>
          </w:p>
          <w:p w14:paraId="5469923A" w14:textId="77777777" w:rsidR="00E255F4" w:rsidRDefault="00000000">
            <w:pPr>
              <w:pStyle w:val="Prrafodelista"/>
              <w:numPr>
                <w:ilvl w:val="0"/>
                <w:numId w:val="35"/>
              </w:numPr>
              <w:spacing w:after="120"/>
              <w:jc w:val="both"/>
              <w:textAlignment w:val="baseline"/>
            </w:pPr>
            <w:r>
              <w:rPr>
                <w:rFonts w:eastAsia="Palatino Linotype"/>
                <w:spacing w:val="-1"/>
                <w:sz w:val="22"/>
                <w:szCs w:val="22"/>
                <w:lang w:val="es-ES" w:eastAsia="en-US"/>
              </w:rPr>
              <w:t xml:space="preserve">From </w:t>
            </w:r>
            <w:proofErr w:type="spellStart"/>
            <w:r>
              <w:rPr>
                <w:rFonts w:eastAsia="Palatino Linotype"/>
                <w:spacing w:val="-1"/>
                <w:sz w:val="22"/>
                <w:szCs w:val="22"/>
                <w:lang w:val="es-ES" w:eastAsia="en-US"/>
              </w:rPr>
              <w:t>the</w:t>
            </w:r>
            <w:proofErr w:type="spellEnd"/>
            <w:r>
              <w:rPr>
                <w:rFonts w:eastAsia="Palatino Linotype"/>
                <w:spacing w:val="-1"/>
                <w:sz w:val="22"/>
                <w:szCs w:val="22"/>
                <w:lang w:val="es-ES" w:eastAsia="en-US"/>
              </w:rPr>
              <w:t xml:space="preserve"> date </w:t>
            </w:r>
            <w:proofErr w:type="spellStart"/>
            <w:r>
              <w:rPr>
                <w:rFonts w:eastAsia="Palatino Linotype"/>
                <w:spacing w:val="-1"/>
                <w:sz w:val="22"/>
                <w:szCs w:val="22"/>
                <w:lang w:val="es-ES" w:eastAsia="en-US"/>
              </w:rPr>
              <w:t>of</w:t>
            </w:r>
            <w:proofErr w:type="spellEnd"/>
            <w:r>
              <w:rPr>
                <w:rFonts w:eastAsia="Palatino Linotype"/>
                <w:spacing w:val="-1"/>
                <w:sz w:val="22"/>
                <w:szCs w:val="22"/>
                <w:lang w:val="es-ES" w:eastAsia="en-US"/>
              </w:rPr>
              <w:t xml:space="preserve"> </w:t>
            </w:r>
            <w:proofErr w:type="spellStart"/>
            <w:r>
              <w:rPr>
                <w:rFonts w:eastAsia="Palatino Linotype"/>
                <w:spacing w:val="-1"/>
                <w:sz w:val="22"/>
                <w:szCs w:val="22"/>
                <w:lang w:val="es-ES" w:eastAsia="en-US"/>
              </w:rPr>
              <w:t>delivery</w:t>
            </w:r>
            <w:proofErr w:type="spellEnd"/>
            <w:r>
              <w:rPr>
                <w:rFonts w:eastAsia="Palatino Linotype"/>
                <w:spacing w:val="-1"/>
                <w:sz w:val="22"/>
                <w:szCs w:val="22"/>
                <w:lang w:val="es-ES" w:eastAsia="en-US"/>
              </w:rPr>
              <w:t xml:space="preserve"> </w:t>
            </w:r>
            <w:proofErr w:type="spellStart"/>
            <w:r>
              <w:rPr>
                <w:rFonts w:eastAsia="Palatino Linotype"/>
                <w:spacing w:val="-1"/>
                <w:sz w:val="22"/>
                <w:szCs w:val="22"/>
                <w:lang w:val="es-ES" w:eastAsia="en-US"/>
              </w:rPr>
              <w:t>of</w:t>
            </w:r>
            <w:proofErr w:type="spellEnd"/>
            <w:r>
              <w:rPr>
                <w:rFonts w:eastAsia="Palatino Linotype"/>
                <w:spacing w:val="-1"/>
                <w:sz w:val="22"/>
                <w:szCs w:val="22"/>
                <w:lang w:val="es-ES" w:eastAsia="en-US"/>
              </w:rPr>
              <w:t xml:space="preserve"> </w:t>
            </w:r>
            <w:proofErr w:type="spellStart"/>
            <w:r>
              <w:rPr>
                <w:rFonts w:eastAsia="Palatino Linotype"/>
                <w:spacing w:val="-1"/>
                <w:sz w:val="22"/>
                <w:szCs w:val="22"/>
                <w:lang w:val="es-ES" w:eastAsia="en-US"/>
              </w:rPr>
              <w:t>the</w:t>
            </w:r>
            <w:proofErr w:type="spellEnd"/>
            <w:r>
              <w:rPr>
                <w:rFonts w:eastAsia="Palatino Linotype"/>
                <w:spacing w:val="-1"/>
                <w:sz w:val="22"/>
                <w:szCs w:val="22"/>
                <w:lang w:val="es-ES" w:eastAsia="en-US"/>
              </w:rPr>
              <w:t xml:space="preserve"> </w:t>
            </w:r>
            <w:proofErr w:type="spellStart"/>
            <w:r>
              <w:rPr>
                <w:rFonts w:eastAsia="Palatino Linotype"/>
                <w:spacing w:val="-1"/>
                <w:sz w:val="22"/>
                <w:szCs w:val="22"/>
                <w:lang w:val="es-ES" w:eastAsia="en-US"/>
              </w:rPr>
              <w:t>smart</w:t>
            </w:r>
            <w:proofErr w:type="spellEnd"/>
            <w:r>
              <w:rPr>
                <w:rFonts w:eastAsia="Palatino Linotype"/>
                <w:spacing w:val="-1"/>
                <w:sz w:val="22"/>
                <w:szCs w:val="22"/>
                <w:lang w:val="es-ES" w:eastAsia="en-US"/>
              </w:rPr>
              <w:t xml:space="preserve"> </w:t>
            </w:r>
            <w:proofErr w:type="spellStart"/>
            <w:proofErr w:type="gramStart"/>
            <w:r>
              <w:rPr>
                <w:rFonts w:eastAsia="Palatino Linotype"/>
                <w:spacing w:val="-1"/>
                <w:sz w:val="22"/>
                <w:szCs w:val="22"/>
                <w:lang w:val="es-ES" w:eastAsia="en-US"/>
              </w:rPr>
              <w:t>meters,</w:t>
            </w:r>
            <w:r>
              <w:rPr>
                <w:spacing w:val="-3"/>
                <w:sz w:val="22"/>
                <w:szCs w:val="24"/>
                <w:lang w:val="es-ES" w:eastAsia="en-US"/>
              </w:rPr>
              <w:t>The</w:t>
            </w:r>
            <w:proofErr w:type="spellEnd"/>
            <w:proofErr w:type="gramEnd"/>
            <w:r>
              <w:rPr>
                <w:spacing w:val="-3"/>
                <w:sz w:val="22"/>
                <w:szCs w:val="24"/>
                <w:lang w:val="es-ES" w:eastAsia="en-US"/>
              </w:rPr>
              <w:t xml:space="preserve"> </w:t>
            </w:r>
            <w:proofErr w:type="spellStart"/>
            <w:r>
              <w:rPr>
                <w:spacing w:val="-3"/>
                <w:sz w:val="22"/>
                <w:szCs w:val="24"/>
                <w:lang w:val="es-ES" w:eastAsia="en-US"/>
              </w:rPr>
              <w:t>successful</w:t>
            </w:r>
            <w:proofErr w:type="spellEnd"/>
            <w:r>
              <w:rPr>
                <w:spacing w:val="-3"/>
                <w:sz w:val="22"/>
                <w:szCs w:val="24"/>
                <w:lang w:val="es-ES" w:eastAsia="en-US"/>
              </w:rPr>
              <w:t xml:space="preserve"> </w:t>
            </w:r>
            <w:proofErr w:type="spellStart"/>
            <w:r>
              <w:rPr>
                <w:spacing w:val="-3"/>
                <w:sz w:val="22"/>
                <w:szCs w:val="24"/>
                <w:lang w:val="es-ES" w:eastAsia="en-US"/>
              </w:rPr>
              <w:t>bidder</w:t>
            </w:r>
            <w:proofErr w:type="spellEnd"/>
            <w:r>
              <w:rPr>
                <w:spacing w:val="-3"/>
                <w:sz w:val="22"/>
                <w:szCs w:val="24"/>
                <w:lang w:val="es-ES" w:eastAsia="en-US"/>
              </w:rPr>
              <w:t xml:space="preserve"> </w:t>
            </w:r>
            <w:proofErr w:type="spellStart"/>
            <w:r>
              <w:rPr>
                <w:spacing w:val="-3"/>
                <w:sz w:val="22"/>
                <w:szCs w:val="24"/>
                <w:lang w:val="es-ES" w:eastAsia="en-US"/>
              </w:rPr>
              <w:t>must</w:t>
            </w:r>
            <w:proofErr w:type="spellEnd"/>
            <w:r>
              <w:rPr>
                <w:spacing w:val="-3"/>
                <w:sz w:val="22"/>
                <w:szCs w:val="24"/>
                <w:lang w:val="es-ES" w:eastAsia="en-US"/>
              </w:rPr>
              <w:t xml:space="preserve"> configure and </w:t>
            </w:r>
            <w:proofErr w:type="spellStart"/>
            <w:r>
              <w:rPr>
                <w:spacing w:val="-3"/>
                <w:sz w:val="22"/>
                <w:szCs w:val="24"/>
                <w:lang w:val="es-ES" w:eastAsia="en-US"/>
              </w:rPr>
              <w:t>deliver</w:t>
            </w:r>
            <w:proofErr w:type="spellEnd"/>
            <w:r>
              <w:rPr>
                <w:spacing w:val="-3"/>
                <w:sz w:val="22"/>
                <w:szCs w:val="24"/>
                <w:lang w:val="es-ES" w:eastAsia="en-US"/>
              </w:rPr>
              <w:t xml:space="preserve"> </w:t>
            </w:r>
            <w:proofErr w:type="spellStart"/>
            <w:r>
              <w:rPr>
                <w:spacing w:val="-3"/>
                <w:sz w:val="22"/>
                <w:szCs w:val="24"/>
                <w:lang w:val="es-ES" w:eastAsia="en-US"/>
              </w:rPr>
              <w:t>them</w:t>
            </w:r>
            <w:proofErr w:type="spellEnd"/>
            <w:r>
              <w:rPr>
                <w:spacing w:val="-3"/>
                <w:sz w:val="22"/>
                <w:szCs w:val="24"/>
                <w:lang w:val="es-ES" w:eastAsia="en-US"/>
              </w:rPr>
              <w:t xml:space="preserve"> </w:t>
            </w:r>
            <w:proofErr w:type="spellStart"/>
            <w:r>
              <w:rPr>
                <w:spacing w:val="-3"/>
                <w:sz w:val="22"/>
                <w:szCs w:val="24"/>
                <w:lang w:val="es-ES" w:eastAsia="en-US"/>
              </w:rPr>
              <w:t>to</w:t>
            </w:r>
            <w:proofErr w:type="spellEnd"/>
            <w:r>
              <w:rPr>
                <w:spacing w:val="-3"/>
                <w:sz w:val="22"/>
                <w:szCs w:val="24"/>
                <w:lang w:val="es-ES" w:eastAsia="en-US"/>
              </w:rPr>
              <w:t xml:space="preserve"> OSE </w:t>
            </w:r>
            <w:proofErr w:type="spellStart"/>
            <w:r>
              <w:rPr>
                <w:spacing w:val="-3"/>
                <w:sz w:val="22"/>
                <w:szCs w:val="24"/>
                <w:lang w:val="es-ES" w:eastAsia="en-US"/>
              </w:rPr>
              <w:t>organized</w:t>
            </w:r>
            <w:proofErr w:type="spellEnd"/>
            <w:r>
              <w:rPr>
                <w:spacing w:val="-3"/>
                <w:sz w:val="22"/>
                <w:szCs w:val="24"/>
                <w:lang w:val="es-ES" w:eastAsia="en-US"/>
              </w:rPr>
              <w:t xml:space="preserve"> in </w:t>
            </w:r>
            <w:proofErr w:type="spellStart"/>
            <w:r>
              <w:rPr>
                <w:spacing w:val="-3"/>
                <w:sz w:val="22"/>
                <w:szCs w:val="24"/>
                <w:lang w:val="es-ES" w:eastAsia="en-US"/>
              </w:rPr>
              <w:t>ordered</w:t>
            </w:r>
            <w:proofErr w:type="spellEnd"/>
            <w:r>
              <w:rPr>
                <w:spacing w:val="-3"/>
                <w:sz w:val="22"/>
                <w:szCs w:val="24"/>
                <w:lang w:val="es-ES" w:eastAsia="en-US"/>
              </w:rPr>
              <w:t xml:space="preserve"> </w:t>
            </w:r>
            <w:proofErr w:type="spellStart"/>
            <w:r>
              <w:rPr>
                <w:spacing w:val="-3"/>
                <w:sz w:val="22"/>
                <w:szCs w:val="24"/>
                <w:lang w:val="es-ES" w:eastAsia="en-US"/>
              </w:rPr>
              <w:t>lots</w:t>
            </w:r>
            <w:proofErr w:type="spellEnd"/>
            <w:r>
              <w:rPr>
                <w:spacing w:val="-3"/>
                <w:sz w:val="22"/>
                <w:szCs w:val="24"/>
                <w:lang w:val="es-ES" w:eastAsia="en-US"/>
              </w:rPr>
              <w:t xml:space="preserve"> </w:t>
            </w:r>
            <w:proofErr w:type="spellStart"/>
            <w:r>
              <w:rPr>
                <w:spacing w:val="-3"/>
                <w:sz w:val="22"/>
                <w:szCs w:val="24"/>
                <w:lang w:val="es-ES" w:eastAsia="en-US"/>
              </w:rPr>
              <w:t>with</w:t>
            </w:r>
            <w:proofErr w:type="spellEnd"/>
            <w:r>
              <w:rPr>
                <w:spacing w:val="-3"/>
                <w:sz w:val="22"/>
                <w:szCs w:val="24"/>
                <w:lang w:val="es-ES" w:eastAsia="en-US"/>
              </w:rPr>
              <w:t xml:space="preserve"> consecutive </w:t>
            </w:r>
            <w:proofErr w:type="spellStart"/>
            <w:r>
              <w:rPr>
                <w:spacing w:val="-3"/>
                <w:sz w:val="22"/>
                <w:szCs w:val="24"/>
                <w:lang w:val="es-ES" w:eastAsia="en-US"/>
              </w:rPr>
              <w:t>numbering</w:t>
            </w:r>
            <w:proofErr w:type="spellEnd"/>
            <w:r>
              <w:rPr>
                <w:spacing w:val="-3"/>
                <w:sz w:val="22"/>
                <w:szCs w:val="24"/>
                <w:lang w:val="es-ES" w:eastAsia="en-US"/>
              </w:rPr>
              <w:t xml:space="preserve"> and </w:t>
            </w:r>
            <w:proofErr w:type="spellStart"/>
            <w:r>
              <w:rPr>
                <w:spacing w:val="-3"/>
                <w:sz w:val="22"/>
                <w:szCs w:val="24"/>
                <w:lang w:val="es-ES" w:eastAsia="en-US"/>
              </w:rPr>
              <w:t>properly</w:t>
            </w:r>
            <w:proofErr w:type="spellEnd"/>
            <w:r>
              <w:rPr>
                <w:spacing w:val="-3"/>
                <w:sz w:val="22"/>
                <w:szCs w:val="24"/>
                <w:lang w:val="es-ES" w:eastAsia="en-US"/>
              </w:rPr>
              <w:t xml:space="preserve"> </w:t>
            </w:r>
            <w:proofErr w:type="spellStart"/>
            <w:r>
              <w:rPr>
                <w:spacing w:val="-3"/>
                <w:sz w:val="22"/>
                <w:szCs w:val="24"/>
                <w:lang w:val="es-ES" w:eastAsia="en-US"/>
              </w:rPr>
              <w:t>packaged</w:t>
            </w:r>
            <w:proofErr w:type="spellEnd"/>
            <w:r>
              <w:rPr>
                <w:spacing w:val="-3"/>
                <w:sz w:val="22"/>
                <w:szCs w:val="24"/>
                <w:lang w:val="es-ES" w:eastAsia="en-US"/>
              </w:rPr>
              <w:t xml:space="preserve"> </w:t>
            </w:r>
            <w:proofErr w:type="spellStart"/>
            <w:r>
              <w:rPr>
                <w:spacing w:val="-3"/>
                <w:sz w:val="22"/>
                <w:szCs w:val="24"/>
                <w:lang w:val="es-ES" w:eastAsia="en-US"/>
              </w:rPr>
              <w:t>to</w:t>
            </w:r>
            <w:proofErr w:type="spellEnd"/>
            <w:r>
              <w:rPr>
                <w:spacing w:val="-3"/>
                <w:sz w:val="22"/>
                <w:szCs w:val="24"/>
                <w:lang w:val="es-ES" w:eastAsia="en-US"/>
              </w:rPr>
              <w:t xml:space="preserve"> </w:t>
            </w:r>
            <w:proofErr w:type="spellStart"/>
            <w:r>
              <w:rPr>
                <w:spacing w:val="-3"/>
                <w:sz w:val="22"/>
                <w:szCs w:val="24"/>
                <w:lang w:val="es-ES" w:eastAsia="en-US"/>
              </w:rPr>
              <w:t>avoid</w:t>
            </w:r>
            <w:proofErr w:type="spellEnd"/>
            <w:r>
              <w:rPr>
                <w:spacing w:val="-3"/>
                <w:sz w:val="22"/>
                <w:szCs w:val="24"/>
                <w:lang w:val="es-ES" w:eastAsia="en-US"/>
              </w:rPr>
              <w:t xml:space="preserve"> </w:t>
            </w:r>
            <w:proofErr w:type="spellStart"/>
            <w:r>
              <w:rPr>
                <w:spacing w:val="-3"/>
                <w:sz w:val="22"/>
                <w:szCs w:val="24"/>
                <w:lang w:val="es-ES" w:eastAsia="en-US"/>
              </w:rPr>
              <w:t>damage</w:t>
            </w:r>
            <w:proofErr w:type="spellEnd"/>
            <w:r>
              <w:rPr>
                <w:spacing w:val="-3"/>
                <w:sz w:val="22"/>
                <w:szCs w:val="24"/>
                <w:lang w:val="es-ES" w:eastAsia="en-US"/>
              </w:rPr>
              <w:t xml:space="preserve"> </w:t>
            </w:r>
            <w:proofErr w:type="spellStart"/>
            <w:r>
              <w:rPr>
                <w:spacing w:val="-3"/>
                <w:sz w:val="22"/>
                <w:szCs w:val="24"/>
                <w:lang w:val="es-ES" w:eastAsia="en-US"/>
              </w:rPr>
              <w:t>during</w:t>
            </w:r>
            <w:proofErr w:type="spellEnd"/>
            <w:r>
              <w:rPr>
                <w:spacing w:val="-3"/>
                <w:sz w:val="22"/>
                <w:szCs w:val="24"/>
                <w:lang w:val="es-ES" w:eastAsia="en-US"/>
              </w:rPr>
              <w:t xml:space="preserve"> </w:t>
            </w:r>
            <w:proofErr w:type="spellStart"/>
            <w:r>
              <w:rPr>
                <w:spacing w:val="-3"/>
                <w:sz w:val="22"/>
                <w:szCs w:val="24"/>
                <w:lang w:val="es-ES" w:eastAsia="en-US"/>
              </w:rPr>
              <w:t>transport</w:t>
            </w:r>
            <w:proofErr w:type="spellEnd"/>
            <w:r>
              <w:rPr>
                <w:spacing w:val="-3"/>
                <w:sz w:val="22"/>
                <w:szCs w:val="24"/>
                <w:lang w:val="es-ES" w:eastAsia="en-US"/>
              </w:rPr>
              <w:t xml:space="preserve">, </w:t>
            </w:r>
            <w:proofErr w:type="spellStart"/>
            <w:r>
              <w:rPr>
                <w:spacing w:val="-3"/>
                <w:sz w:val="22"/>
                <w:szCs w:val="24"/>
                <w:lang w:val="es-ES" w:eastAsia="en-US"/>
              </w:rPr>
              <w:t>with</w:t>
            </w:r>
            <w:proofErr w:type="spellEnd"/>
            <w:r>
              <w:rPr>
                <w:spacing w:val="-3"/>
                <w:sz w:val="22"/>
                <w:szCs w:val="24"/>
                <w:lang w:val="es-ES" w:eastAsia="en-US"/>
              </w:rPr>
              <w:t xml:space="preserve"> a </w:t>
            </w:r>
            <w:proofErr w:type="spellStart"/>
            <w:r>
              <w:rPr>
                <w:spacing w:val="-3"/>
                <w:sz w:val="22"/>
                <w:szCs w:val="24"/>
                <w:lang w:val="es-ES" w:eastAsia="en-US"/>
              </w:rPr>
              <w:t>minimum</w:t>
            </w:r>
            <w:proofErr w:type="spellEnd"/>
            <w:r>
              <w:rPr>
                <w:spacing w:val="-3"/>
                <w:sz w:val="22"/>
                <w:szCs w:val="24"/>
                <w:lang w:val="es-ES" w:eastAsia="en-US"/>
              </w:rPr>
              <w:t xml:space="preserve"> </w:t>
            </w:r>
            <w:proofErr w:type="spellStart"/>
            <w:r>
              <w:rPr>
                <w:spacing w:val="-3"/>
                <w:sz w:val="22"/>
                <w:szCs w:val="24"/>
                <w:lang w:val="es-ES" w:eastAsia="en-US"/>
              </w:rPr>
              <w:t>rate</w:t>
            </w:r>
            <w:proofErr w:type="spellEnd"/>
            <w:r>
              <w:rPr>
                <w:spacing w:val="-3"/>
                <w:sz w:val="22"/>
                <w:szCs w:val="24"/>
                <w:lang w:val="es-ES" w:eastAsia="en-US"/>
              </w:rPr>
              <w:t xml:space="preserve"> </w:t>
            </w:r>
            <w:proofErr w:type="spellStart"/>
            <w:r>
              <w:rPr>
                <w:spacing w:val="-3"/>
                <w:sz w:val="22"/>
                <w:szCs w:val="24"/>
                <w:lang w:val="es-ES" w:eastAsia="en-US"/>
              </w:rPr>
              <w:t>of</w:t>
            </w:r>
            <w:proofErr w:type="spellEnd"/>
            <w:r>
              <w:rPr>
                <w:spacing w:val="-3"/>
                <w:sz w:val="22"/>
                <w:szCs w:val="24"/>
                <w:lang w:val="es-ES" w:eastAsia="en-US"/>
              </w:rPr>
              <w:t xml:space="preserve"> 5,000 </w:t>
            </w:r>
            <w:proofErr w:type="spellStart"/>
            <w:r>
              <w:rPr>
                <w:spacing w:val="-3"/>
                <w:sz w:val="22"/>
                <w:szCs w:val="24"/>
                <w:lang w:val="es-ES" w:eastAsia="en-US"/>
              </w:rPr>
              <w:t>smart</w:t>
            </w:r>
            <w:proofErr w:type="spellEnd"/>
            <w:r>
              <w:rPr>
                <w:spacing w:val="-3"/>
                <w:sz w:val="22"/>
                <w:szCs w:val="24"/>
                <w:lang w:val="es-ES" w:eastAsia="en-US"/>
              </w:rPr>
              <w:t xml:space="preserve"> </w:t>
            </w:r>
            <w:proofErr w:type="spellStart"/>
            <w:r>
              <w:rPr>
                <w:spacing w:val="-3"/>
                <w:sz w:val="22"/>
                <w:szCs w:val="24"/>
                <w:lang w:val="es-ES" w:eastAsia="en-US"/>
              </w:rPr>
              <w:t>meters</w:t>
            </w:r>
            <w:proofErr w:type="spellEnd"/>
            <w:r>
              <w:rPr>
                <w:spacing w:val="-3"/>
                <w:sz w:val="22"/>
                <w:szCs w:val="24"/>
                <w:lang w:val="es-ES" w:eastAsia="en-US"/>
              </w:rPr>
              <w:t xml:space="preserve"> </w:t>
            </w:r>
            <w:proofErr w:type="spellStart"/>
            <w:r>
              <w:rPr>
                <w:spacing w:val="-3"/>
                <w:sz w:val="22"/>
                <w:szCs w:val="24"/>
                <w:lang w:val="es-ES" w:eastAsia="en-US"/>
              </w:rPr>
              <w:t>every</w:t>
            </w:r>
            <w:proofErr w:type="spellEnd"/>
            <w:r>
              <w:rPr>
                <w:spacing w:val="-3"/>
                <w:sz w:val="22"/>
                <w:szCs w:val="24"/>
                <w:lang w:val="es-ES" w:eastAsia="en-US"/>
              </w:rPr>
              <w:t xml:space="preserve"> 15 </w:t>
            </w:r>
            <w:proofErr w:type="spellStart"/>
            <w:r>
              <w:rPr>
                <w:spacing w:val="-3"/>
                <w:sz w:val="22"/>
                <w:szCs w:val="24"/>
                <w:lang w:val="es-ES" w:eastAsia="en-US"/>
              </w:rPr>
              <w:t>days</w:t>
            </w:r>
            <w:proofErr w:type="spellEnd"/>
            <w:r>
              <w:rPr>
                <w:spacing w:val="-3"/>
                <w:sz w:val="22"/>
                <w:szCs w:val="24"/>
                <w:lang w:val="es-ES" w:eastAsia="en-US"/>
              </w:rPr>
              <w:t>.</w:t>
            </w:r>
          </w:p>
          <w:p w14:paraId="711BA9A9" w14:textId="77777777" w:rsidR="00E255F4" w:rsidRDefault="00000000">
            <w:pPr>
              <w:pStyle w:val="Prrafodelista"/>
              <w:numPr>
                <w:ilvl w:val="0"/>
                <w:numId w:val="35"/>
              </w:numPr>
              <w:spacing w:after="120"/>
              <w:jc w:val="both"/>
              <w:textAlignment w:val="baseline"/>
              <w:rPr>
                <w:rFonts w:cs="Arial"/>
                <w:sz w:val="22"/>
                <w:szCs w:val="24"/>
                <w:lang w:val="es-ES" w:eastAsia="en-US"/>
              </w:rPr>
            </w:pPr>
            <w:r>
              <w:rPr>
                <w:rFonts w:cs="Arial"/>
                <w:sz w:val="22"/>
                <w:szCs w:val="24"/>
                <w:lang w:val="es-ES" w:eastAsia="en-US"/>
              </w:rPr>
              <w:t xml:space="preserve">Once OSE has </w:t>
            </w:r>
            <w:proofErr w:type="spellStart"/>
            <w:r>
              <w:rPr>
                <w:rFonts w:cs="Arial"/>
                <w:sz w:val="22"/>
                <w:szCs w:val="24"/>
                <w:lang w:val="es-ES" w:eastAsia="en-US"/>
              </w:rPr>
              <w:t>the</w:t>
            </w:r>
            <w:proofErr w:type="spellEnd"/>
            <w:r>
              <w:rPr>
                <w:rFonts w:cs="Arial"/>
                <w:sz w:val="22"/>
                <w:szCs w:val="24"/>
                <w:lang w:val="es-ES" w:eastAsia="en-US"/>
              </w:rPr>
              <w:t xml:space="preserve"> </w:t>
            </w:r>
            <w:proofErr w:type="spellStart"/>
            <w:r>
              <w:rPr>
                <w:rFonts w:cs="Arial"/>
                <w:sz w:val="22"/>
                <w:szCs w:val="24"/>
                <w:lang w:val="es-ES" w:eastAsia="en-US"/>
              </w:rPr>
              <w:t>meters</w:t>
            </w:r>
            <w:proofErr w:type="spellEnd"/>
            <w:r>
              <w:rPr>
                <w:rFonts w:cs="Arial"/>
                <w:sz w:val="22"/>
                <w:szCs w:val="24"/>
                <w:lang w:val="es-ES" w:eastAsia="en-US"/>
              </w:rPr>
              <w:t xml:space="preserve"> </w:t>
            </w:r>
            <w:proofErr w:type="spellStart"/>
            <w:r>
              <w:rPr>
                <w:rFonts w:cs="Arial"/>
                <w:sz w:val="22"/>
                <w:szCs w:val="24"/>
                <w:lang w:val="es-ES" w:eastAsia="en-US"/>
              </w:rPr>
              <w:t>available</w:t>
            </w:r>
            <w:proofErr w:type="spellEnd"/>
            <w:r>
              <w:rPr>
                <w:rFonts w:cs="Arial"/>
                <w:sz w:val="22"/>
                <w:szCs w:val="24"/>
                <w:lang w:val="es-ES" w:eastAsia="en-US"/>
              </w:rPr>
              <w:t xml:space="preserve">, </w:t>
            </w:r>
            <w:proofErr w:type="spellStart"/>
            <w:r>
              <w:rPr>
                <w:rFonts w:cs="Arial"/>
                <w:sz w:val="22"/>
                <w:szCs w:val="24"/>
                <w:lang w:val="es-ES" w:eastAsia="en-US"/>
              </w:rPr>
              <w:t>it</w:t>
            </w:r>
            <w:proofErr w:type="spellEnd"/>
            <w:r>
              <w:rPr>
                <w:rFonts w:cs="Arial"/>
                <w:sz w:val="22"/>
                <w:szCs w:val="24"/>
                <w:lang w:val="es-ES" w:eastAsia="en-US"/>
              </w:rPr>
              <w:t xml:space="preserve"> </w:t>
            </w:r>
            <w:proofErr w:type="spellStart"/>
            <w:r>
              <w:rPr>
                <w:rFonts w:cs="Arial"/>
                <w:sz w:val="22"/>
                <w:szCs w:val="24"/>
                <w:lang w:val="es-ES" w:eastAsia="en-US"/>
              </w:rPr>
              <w:t>will</w:t>
            </w:r>
            <w:proofErr w:type="spellEnd"/>
            <w:r>
              <w:rPr>
                <w:rFonts w:cs="Arial"/>
                <w:sz w:val="22"/>
                <w:szCs w:val="24"/>
                <w:lang w:val="es-ES" w:eastAsia="en-US"/>
              </w:rPr>
              <w:t xml:space="preserve"> </w:t>
            </w:r>
            <w:proofErr w:type="spellStart"/>
            <w:r>
              <w:rPr>
                <w:rFonts w:cs="Arial"/>
                <w:sz w:val="22"/>
                <w:szCs w:val="24"/>
                <w:lang w:val="es-ES" w:eastAsia="en-US"/>
              </w:rPr>
              <w:t>install</w:t>
            </w:r>
            <w:proofErr w:type="spellEnd"/>
            <w:r>
              <w:rPr>
                <w:rFonts w:cs="Arial"/>
                <w:sz w:val="22"/>
                <w:szCs w:val="24"/>
                <w:lang w:val="es-ES" w:eastAsia="en-US"/>
              </w:rPr>
              <w:t xml:space="preserve"> </w:t>
            </w:r>
            <w:proofErr w:type="spellStart"/>
            <w:r>
              <w:rPr>
                <w:rFonts w:cs="Arial"/>
                <w:sz w:val="22"/>
                <w:szCs w:val="24"/>
                <w:lang w:val="es-ES" w:eastAsia="en-US"/>
              </w:rPr>
              <w:t>them</w:t>
            </w:r>
            <w:proofErr w:type="spellEnd"/>
            <w:r>
              <w:rPr>
                <w:rFonts w:cs="Arial"/>
                <w:sz w:val="22"/>
                <w:szCs w:val="24"/>
                <w:lang w:val="es-ES" w:eastAsia="en-US"/>
              </w:rPr>
              <w:t xml:space="preserve"> </w:t>
            </w:r>
            <w:proofErr w:type="spellStart"/>
            <w:r>
              <w:rPr>
                <w:rFonts w:cs="Arial"/>
                <w:sz w:val="22"/>
                <w:szCs w:val="24"/>
                <w:lang w:val="es-ES" w:eastAsia="en-US"/>
              </w:rPr>
              <w:t>on</w:t>
            </w:r>
            <w:proofErr w:type="spellEnd"/>
            <w:r>
              <w:rPr>
                <w:rFonts w:cs="Arial"/>
                <w:sz w:val="22"/>
                <w:szCs w:val="24"/>
                <w:lang w:val="es-ES" w:eastAsia="en-US"/>
              </w:rPr>
              <w:t xml:space="preserve"> </w:t>
            </w:r>
            <w:proofErr w:type="spellStart"/>
            <w:r>
              <w:rPr>
                <w:rFonts w:cs="Arial"/>
                <w:sz w:val="22"/>
                <w:szCs w:val="24"/>
                <w:lang w:val="es-ES" w:eastAsia="en-US"/>
              </w:rPr>
              <w:t>the</w:t>
            </w:r>
            <w:proofErr w:type="spellEnd"/>
            <w:r>
              <w:rPr>
                <w:rFonts w:cs="Arial"/>
                <w:sz w:val="22"/>
                <w:szCs w:val="24"/>
                <w:lang w:val="es-ES" w:eastAsia="en-US"/>
              </w:rPr>
              <w:t xml:space="preserve"> </w:t>
            </w:r>
            <w:proofErr w:type="spellStart"/>
            <w:r>
              <w:rPr>
                <w:rFonts w:cs="Arial"/>
                <w:sz w:val="22"/>
                <w:szCs w:val="24"/>
                <w:lang w:val="es-ES" w:eastAsia="en-US"/>
              </w:rPr>
              <w:t>corresponding</w:t>
            </w:r>
            <w:proofErr w:type="spellEnd"/>
            <w:r>
              <w:rPr>
                <w:rFonts w:cs="Arial"/>
                <w:sz w:val="22"/>
                <w:szCs w:val="24"/>
                <w:lang w:val="es-ES" w:eastAsia="en-US"/>
              </w:rPr>
              <w:t xml:space="preserve"> </w:t>
            </w:r>
            <w:proofErr w:type="spellStart"/>
            <w:r>
              <w:rPr>
                <w:rFonts w:cs="Arial"/>
                <w:sz w:val="22"/>
                <w:szCs w:val="24"/>
                <w:lang w:val="es-ES" w:eastAsia="en-US"/>
              </w:rPr>
              <w:t>connections</w:t>
            </w:r>
            <w:proofErr w:type="spellEnd"/>
            <w:r>
              <w:rPr>
                <w:rFonts w:cs="Arial"/>
                <w:sz w:val="22"/>
                <w:szCs w:val="24"/>
                <w:lang w:val="es-ES" w:eastAsia="en-US"/>
              </w:rPr>
              <w:t xml:space="preserve"> at a </w:t>
            </w:r>
            <w:proofErr w:type="spellStart"/>
            <w:r>
              <w:rPr>
                <w:rFonts w:cs="Arial"/>
                <w:sz w:val="22"/>
                <w:szCs w:val="24"/>
                <w:lang w:val="es-ES" w:eastAsia="en-US"/>
              </w:rPr>
              <w:t>rate</w:t>
            </w:r>
            <w:proofErr w:type="spellEnd"/>
            <w:r>
              <w:rPr>
                <w:rFonts w:cs="Arial"/>
                <w:sz w:val="22"/>
                <w:szCs w:val="24"/>
                <w:lang w:val="es-ES" w:eastAsia="en-US"/>
              </w:rPr>
              <w:t xml:space="preserve"> </w:t>
            </w:r>
            <w:proofErr w:type="spellStart"/>
            <w:r>
              <w:rPr>
                <w:rFonts w:cs="Arial"/>
                <w:sz w:val="22"/>
                <w:szCs w:val="24"/>
                <w:lang w:val="es-ES" w:eastAsia="en-US"/>
              </w:rPr>
              <w:t>of</w:t>
            </w:r>
            <w:proofErr w:type="spellEnd"/>
            <w:r>
              <w:rPr>
                <w:rFonts w:cs="Arial"/>
                <w:sz w:val="22"/>
                <w:szCs w:val="24"/>
                <w:lang w:val="es-ES" w:eastAsia="en-US"/>
              </w:rPr>
              <w:t xml:space="preserve"> 5,000 </w:t>
            </w:r>
            <w:proofErr w:type="spellStart"/>
            <w:r>
              <w:rPr>
                <w:rFonts w:cs="Arial"/>
                <w:sz w:val="22"/>
                <w:szCs w:val="24"/>
                <w:lang w:val="es-ES" w:eastAsia="en-US"/>
              </w:rPr>
              <w:t>meters</w:t>
            </w:r>
            <w:proofErr w:type="spellEnd"/>
            <w:r>
              <w:rPr>
                <w:rFonts w:cs="Arial"/>
                <w:sz w:val="22"/>
                <w:szCs w:val="24"/>
                <w:lang w:val="es-ES" w:eastAsia="en-US"/>
              </w:rPr>
              <w:t xml:space="preserve"> per </w:t>
            </w:r>
            <w:proofErr w:type="spellStart"/>
            <w:r>
              <w:rPr>
                <w:rFonts w:cs="Arial"/>
                <w:sz w:val="22"/>
                <w:szCs w:val="24"/>
                <w:lang w:val="es-ES" w:eastAsia="en-US"/>
              </w:rPr>
              <w:t>month</w:t>
            </w:r>
            <w:proofErr w:type="spellEnd"/>
            <w:r>
              <w:rPr>
                <w:rFonts w:cs="Arial"/>
                <w:sz w:val="22"/>
                <w:szCs w:val="24"/>
                <w:lang w:val="es-ES" w:eastAsia="en-US"/>
              </w:rPr>
              <w:t xml:space="preserve">. The </w:t>
            </w:r>
            <w:proofErr w:type="spellStart"/>
            <w:r>
              <w:rPr>
                <w:rFonts w:cs="Arial"/>
                <w:sz w:val="22"/>
                <w:szCs w:val="24"/>
                <w:lang w:val="es-ES" w:eastAsia="en-US"/>
              </w:rPr>
              <w:t>installation</w:t>
            </w:r>
            <w:proofErr w:type="spellEnd"/>
            <w:r>
              <w:rPr>
                <w:rFonts w:cs="Arial"/>
                <w:sz w:val="22"/>
                <w:szCs w:val="24"/>
                <w:lang w:val="es-ES" w:eastAsia="en-US"/>
              </w:rPr>
              <w:t xml:space="preserve"> </w:t>
            </w:r>
            <w:proofErr w:type="spellStart"/>
            <w:r>
              <w:rPr>
                <w:rFonts w:cs="Arial"/>
                <w:sz w:val="22"/>
                <w:szCs w:val="24"/>
                <w:lang w:val="es-ES" w:eastAsia="en-US"/>
              </w:rPr>
              <w:t>will</w:t>
            </w:r>
            <w:proofErr w:type="spellEnd"/>
            <w:r>
              <w:rPr>
                <w:rFonts w:cs="Arial"/>
                <w:sz w:val="22"/>
                <w:szCs w:val="24"/>
                <w:lang w:val="es-ES" w:eastAsia="en-US"/>
              </w:rPr>
              <w:t xml:space="preserve"> be </w:t>
            </w:r>
            <w:proofErr w:type="spellStart"/>
            <w:r>
              <w:rPr>
                <w:rFonts w:cs="Arial"/>
                <w:sz w:val="22"/>
                <w:szCs w:val="24"/>
                <w:lang w:val="es-ES" w:eastAsia="en-US"/>
              </w:rPr>
              <w:t>coordinated</w:t>
            </w:r>
            <w:proofErr w:type="spellEnd"/>
            <w:r>
              <w:rPr>
                <w:rFonts w:cs="Arial"/>
                <w:sz w:val="22"/>
                <w:szCs w:val="24"/>
                <w:lang w:val="es-ES" w:eastAsia="en-US"/>
              </w:rPr>
              <w:t xml:space="preserve"> </w:t>
            </w:r>
            <w:proofErr w:type="spellStart"/>
            <w:r>
              <w:rPr>
                <w:rFonts w:cs="Arial"/>
                <w:sz w:val="22"/>
                <w:szCs w:val="24"/>
                <w:lang w:val="es-ES" w:eastAsia="en-US"/>
              </w:rPr>
              <w:t>between</w:t>
            </w:r>
            <w:proofErr w:type="spellEnd"/>
            <w:r>
              <w:rPr>
                <w:rFonts w:cs="Arial"/>
                <w:sz w:val="22"/>
                <w:szCs w:val="24"/>
                <w:lang w:val="es-ES" w:eastAsia="en-US"/>
              </w:rPr>
              <w:t xml:space="preserve"> </w:t>
            </w:r>
            <w:proofErr w:type="spellStart"/>
            <w:r>
              <w:rPr>
                <w:rFonts w:cs="Arial"/>
                <w:sz w:val="22"/>
                <w:szCs w:val="24"/>
                <w:lang w:val="es-ES" w:eastAsia="en-US"/>
              </w:rPr>
              <w:t>the</w:t>
            </w:r>
            <w:proofErr w:type="spellEnd"/>
            <w:r>
              <w:rPr>
                <w:rFonts w:cs="Arial"/>
                <w:sz w:val="22"/>
                <w:szCs w:val="24"/>
                <w:lang w:val="es-ES" w:eastAsia="en-US"/>
              </w:rPr>
              <w:t xml:space="preserve"> Project Management and </w:t>
            </w:r>
            <w:proofErr w:type="spellStart"/>
            <w:r>
              <w:rPr>
                <w:rFonts w:cs="Arial"/>
                <w:sz w:val="22"/>
                <w:szCs w:val="24"/>
                <w:lang w:val="es-ES" w:eastAsia="en-US"/>
              </w:rPr>
              <w:t>the</w:t>
            </w:r>
            <w:proofErr w:type="spellEnd"/>
            <w:r>
              <w:rPr>
                <w:rFonts w:cs="Arial"/>
                <w:sz w:val="22"/>
                <w:szCs w:val="24"/>
                <w:lang w:val="es-ES" w:eastAsia="en-US"/>
              </w:rPr>
              <w:t xml:space="preserve"> </w:t>
            </w:r>
            <w:proofErr w:type="spellStart"/>
            <w:r>
              <w:rPr>
                <w:rFonts w:cs="Arial"/>
                <w:sz w:val="22"/>
                <w:szCs w:val="24"/>
                <w:lang w:val="es-ES" w:eastAsia="en-US"/>
              </w:rPr>
              <w:t>winning</w:t>
            </w:r>
            <w:proofErr w:type="spellEnd"/>
            <w:r>
              <w:rPr>
                <w:rFonts w:cs="Arial"/>
                <w:sz w:val="22"/>
                <w:szCs w:val="24"/>
                <w:lang w:val="es-ES" w:eastAsia="en-US"/>
              </w:rPr>
              <w:t xml:space="preserve"> </w:t>
            </w:r>
            <w:proofErr w:type="spellStart"/>
            <w:r>
              <w:rPr>
                <w:rFonts w:cs="Arial"/>
                <w:sz w:val="22"/>
                <w:szCs w:val="24"/>
                <w:lang w:val="es-ES" w:eastAsia="en-US"/>
              </w:rPr>
              <w:t>bidder</w:t>
            </w:r>
            <w:proofErr w:type="spellEnd"/>
            <w:r>
              <w:rPr>
                <w:rFonts w:cs="Arial"/>
                <w:sz w:val="22"/>
                <w:szCs w:val="24"/>
                <w:lang w:val="es-ES" w:eastAsia="en-US"/>
              </w:rPr>
              <w:t xml:space="preserve"> </w:t>
            </w:r>
            <w:proofErr w:type="spellStart"/>
            <w:r>
              <w:rPr>
                <w:rFonts w:cs="Arial"/>
                <w:sz w:val="22"/>
                <w:szCs w:val="24"/>
                <w:lang w:val="es-ES" w:eastAsia="en-US"/>
              </w:rPr>
              <w:t>to</w:t>
            </w:r>
            <w:proofErr w:type="spellEnd"/>
            <w:r>
              <w:rPr>
                <w:rFonts w:cs="Arial"/>
                <w:sz w:val="22"/>
                <w:szCs w:val="24"/>
                <w:lang w:val="es-ES" w:eastAsia="en-US"/>
              </w:rPr>
              <w:t xml:space="preserve"> </w:t>
            </w:r>
            <w:proofErr w:type="spellStart"/>
            <w:r>
              <w:rPr>
                <w:rFonts w:cs="Arial"/>
                <w:sz w:val="22"/>
                <w:szCs w:val="24"/>
                <w:lang w:val="es-ES" w:eastAsia="en-US"/>
              </w:rPr>
              <w:t>ensure</w:t>
            </w:r>
            <w:proofErr w:type="spellEnd"/>
            <w:r>
              <w:rPr>
                <w:rFonts w:cs="Arial"/>
                <w:sz w:val="22"/>
                <w:szCs w:val="24"/>
                <w:lang w:val="es-ES" w:eastAsia="en-US"/>
              </w:rPr>
              <w:t xml:space="preserve"> </w:t>
            </w:r>
            <w:proofErr w:type="spellStart"/>
            <w:r>
              <w:rPr>
                <w:rFonts w:cs="Arial"/>
                <w:sz w:val="22"/>
                <w:szCs w:val="24"/>
                <w:lang w:val="es-ES" w:eastAsia="en-US"/>
              </w:rPr>
              <w:t>proper</w:t>
            </w:r>
            <w:proofErr w:type="spellEnd"/>
            <w:r>
              <w:rPr>
                <w:rFonts w:cs="Arial"/>
                <w:sz w:val="22"/>
                <w:szCs w:val="24"/>
                <w:lang w:val="es-ES" w:eastAsia="en-US"/>
              </w:rPr>
              <w:t xml:space="preserve"> </w:t>
            </w:r>
            <w:proofErr w:type="spellStart"/>
            <w:r>
              <w:rPr>
                <w:rFonts w:cs="Arial"/>
                <w:sz w:val="22"/>
                <w:szCs w:val="24"/>
                <w:lang w:val="es-ES" w:eastAsia="en-US"/>
              </w:rPr>
              <w:t>equipment</w:t>
            </w:r>
            <w:proofErr w:type="spellEnd"/>
            <w:r>
              <w:rPr>
                <w:rFonts w:cs="Arial"/>
                <w:sz w:val="22"/>
                <w:szCs w:val="24"/>
                <w:lang w:val="es-ES" w:eastAsia="en-US"/>
              </w:rPr>
              <w:t xml:space="preserve"> and </w:t>
            </w:r>
            <w:proofErr w:type="spellStart"/>
            <w:r>
              <w:rPr>
                <w:rFonts w:cs="Arial"/>
                <w:sz w:val="22"/>
                <w:szCs w:val="24"/>
                <w:lang w:val="es-ES" w:eastAsia="en-US"/>
              </w:rPr>
              <w:t>supply</w:t>
            </w:r>
            <w:proofErr w:type="spellEnd"/>
            <w:r>
              <w:rPr>
                <w:rFonts w:cs="Arial"/>
                <w:sz w:val="22"/>
                <w:szCs w:val="24"/>
                <w:lang w:val="es-ES" w:eastAsia="en-US"/>
              </w:rPr>
              <w:t xml:space="preserve"> </w:t>
            </w:r>
            <w:proofErr w:type="spellStart"/>
            <w:r>
              <w:rPr>
                <w:rFonts w:cs="Arial"/>
                <w:sz w:val="22"/>
                <w:szCs w:val="24"/>
                <w:lang w:val="es-ES" w:eastAsia="en-US"/>
              </w:rPr>
              <w:t>coordination</w:t>
            </w:r>
            <w:proofErr w:type="spellEnd"/>
            <w:r>
              <w:rPr>
                <w:rFonts w:cs="Arial"/>
                <w:sz w:val="22"/>
                <w:szCs w:val="24"/>
                <w:lang w:val="es-ES" w:eastAsia="en-US"/>
              </w:rPr>
              <w:t>.</w:t>
            </w:r>
          </w:p>
          <w:p w14:paraId="4D48BC7E" w14:textId="77777777" w:rsidR="00E255F4" w:rsidRDefault="00000000">
            <w:pPr>
              <w:numPr>
                <w:ilvl w:val="0"/>
                <w:numId w:val="35"/>
              </w:numPr>
              <w:spacing w:after="120"/>
              <w:jc w:val="both"/>
              <w:textAlignment w:val="baseline"/>
              <w:rPr>
                <w:rFonts w:cs="Arial"/>
                <w:sz w:val="22"/>
                <w:szCs w:val="24"/>
                <w:lang w:val="es-ES"/>
              </w:rPr>
            </w:pPr>
            <w:proofErr w:type="spellStart"/>
            <w:r>
              <w:rPr>
                <w:rFonts w:cs="Arial"/>
                <w:sz w:val="22"/>
                <w:szCs w:val="24"/>
                <w:lang w:val="es-ES"/>
              </w:rPr>
              <w:t>Within</w:t>
            </w:r>
            <w:proofErr w:type="spellEnd"/>
            <w:r>
              <w:rPr>
                <w:rFonts w:cs="Arial"/>
                <w:sz w:val="22"/>
                <w:szCs w:val="24"/>
                <w:lang w:val="es-ES"/>
              </w:rPr>
              <w:t xml:space="preserve"> 30 </w:t>
            </w:r>
            <w:proofErr w:type="spellStart"/>
            <w:r>
              <w:rPr>
                <w:rFonts w:cs="Arial"/>
                <w:sz w:val="22"/>
                <w:szCs w:val="24"/>
                <w:lang w:val="es-ES"/>
              </w:rPr>
              <w:t>days</w:t>
            </w:r>
            <w:proofErr w:type="spellEnd"/>
            <w:r>
              <w:rPr>
                <w:rFonts w:cs="Arial"/>
                <w:sz w:val="22"/>
                <w:szCs w:val="24"/>
                <w:lang w:val="es-ES"/>
              </w:rPr>
              <w:t xml:space="preserve"> </w:t>
            </w:r>
            <w:proofErr w:type="spellStart"/>
            <w:r>
              <w:rPr>
                <w:rFonts w:cs="Arial"/>
                <w:sz w:val="22"/>
                <w:szCs w:val="24"/>
                <w:lang w:val="es-ES"/>
              </w:rPr>
              <w:t>of</w:t>
            </w:r>
            <w:proofErr w:type="spellEnd"/>
            <w:r>
              <w:rPr>
                <w:rFonts w:cs="Arial"/>
                <w:sz w:val="22"/>
                <w:szCs w:val="24"/>
                <w:lang w:val="es-ES"/>
              </w:rPr>
              <w:t xml:space="preserve"> </w:t>
            </w:r>
            <w:proofErr w:type="spellStart"/>
            <w:r>
              <w:rPr>
                <w:rFonts w:cs="Arial"/>
                <w:sz w:val="22"/>
                <w:szCs w:val="24"/>
                <w:lang w:val="es-ES"/>
              </w:rPr>
              <w:t>the</w:t>
            </w:r>
            <w:r>
              <w:rPr>
                <w:rFonts w:eastAsia="Palatino Linotype"/>
                <w:spacing w:val="-1"/>
                <w:position w:val="1"/>
                <w:sz w:val="22"/>
                <w:szCs w:val="22"/>
                <w:lang w:val="es-ES"/>
              </w:rPr>
              <w:t>notification</w:t>
            </w:r>
            <w:proofErr w:type="spellEnd"/>
            <w:r>
              <w:rPr>
                <w:rFonts w:eastAsia="Palatino Linotype"/>
                <w:spacing w:val="-1"/>
                <w:position w:val="1"/>
                <w:sz w:val="22"/>
                <w:szCs w:val="22"/>
                <w:lang w:val="es-ES"/>
              </w:rPr>
              <w:t xml:space="preserve"> </w:t>
            </w:r>
            <w:proofErr w:type="spellStart"/>
            <w:r>
              <w:rPr>
                <w:rFonts w:eastAsia="Palatino Linotype"/>
                <w:spacing w:val="-1"/>
                <w:position w:val="1"/>
                <w:sz w:val="22"/>
                <w:szCs w:val="22"/>
                <w:lang w:val="es-ES"/>
              </w:rPr>
              <w:t>of</w:t>
            </w:r>
            <w:proofErr w:type="spellEnd"/>
            <w:r>
              <w:rPr>
                <w:rFonts w:eastAsia="Palatino Linotype"/>
                <w:spacing w:val="-1"/>
                <w:position w:val="1"/>
                <w:sz w:val="22"/>
                <w:szCs w:val="22"/>
                <w:lang w:val="es-ES"/>
              </w:rPr>
              <w:t xml:space="preserve"> </w:t>
            </w:r>
            <w:proofErr w:type="spellStart"/>
            <w:r>
              <w:rPr>
                <w:rFonts w:eastAsia="Palatino Linotype"/>
                <w:spacing w:val="-1"/>
                <w:position w:val="1"/>
                <w:sz w:val="22"/>
                <w:szCs w:val="22"/>
                <w:lang w:val="es-ES"/>
              </w:rPr>
              <w:t>the</w:t>
            </w:r>
            <w:proofErr w:type="spellEnd"/>
            <w:r>
              <w:rPr>
                <w:rFonts w:eastAsia="Palatino Linotype"/>
                <w:spacing w:val="-1"/>
                <w:position w:val="1"/>
                <w:sz w:val="22"/>
                <w:szCs w:val="22"/>
                <w:lang w:val="es-ES"/>
              </w:rPr>
              <w:t xml:space="preserve"> </w:t>
            </w:r>
            <w:proofErr w:type="spellStart"/>
            <w:r>
              <w:rPr>
                <w:rFonts w:eastAsia="Palatino Linotype"/>
                <w:spacing w:val="-1"/>
                <w:position w:val="1"/>
                <w:sz w:val="22"/>
                <w:szCs w:val="22"/>
                <w:lang w:val="es-ES"/>
              </w:rPr>
              <w:t>purchase</w:t>
            </w:r>
            <w:proofErr w:type="spellEnd"/>
            <w:r>
              <w:rPr>
                <w:rFonts w:eastAsia="Palatino Linotype"/>
                <w:spacing w:val="-1"/>
                <w:position w:val="1"/>
                <w:sz w:val="22"/>
                <w:szCs w:val="22"/>
                <w:lang w:val="es-ES"/>
              </w:rPr>
              <w:t xml:space="preserve"> </w:t>
            </w:r>
            <w:proofErr w:type="spellStart"/>
            <w:r>
              <w:rPr>
                <w:rFonts w:eastAsia="Palatino Linotype"/>
                <w:spacing w:val="-1"/>
                <w:position w:val="1"/>
                <w:sz w:val="22"/>
                <w:szCs w:val="22"/>
                <w:lang w:val="es-ES"/>
              </w:rPr>
              <w:t>order</w:t>
            </w:r>
            <w:proofErr w:type="spellEnd"/>
            <w:r>
              <w:rPr>
                <w:rFonts w:eastAsia="Palatino Linotype"/>
                <w:spacing w:val="-1"/>
                <w:position w:val="1"/>
                <w:sz w:val="22"/>
                <w:szCs w:val="22"/>
                <w:lang w:val="es-ES"/>
              </w:rPr>
              <w:t xml:space="preserve"> (Art. 18 </w:t>
            </w:r>
            <w:proofErr w:type="spellStart"/>
            <w:r>
              <w:rPr>
                <w:rFonts w:eastAsia="Palatino Linotype"/>
                <w:spacing w:val="-1"/>
                <w:position w:val="1"/>
                <w:sz w:val="22"/>
                <w:szCs w:val="22"/>
                <w:lang w:val="es-ES"/>
              </w:rPr>
              <w:t>of</w:t>
            </w:r>
            <w:proofErr w:type="spellEnd"/>
            <w:r>
              <w:rPr>
                <w:rFonts w:eastAsia="Palatino Linotype"/>
                <w:spacing w:val="-1"/>
                <w:position w:val="1"/>
                <w:sz w:val="22"/>
                <w:szCs w:val="22"/>
                <w:lang w:val="es-ES"/>
              </w:rPr>
              <w:t xml:space="preserve"> </w:t>
            </w:r>
            <w:proofErr w:type="spellStart"/>
            <w:r>
              <w:rPr>
                <w:rFonts w:eastAsia="Palatino Linotype"/>
                <w:spacing w:val="-1"/>
                <w:position w:val="1"/>
                <w:sz w:val="22"/>
                <w:szCs w:val="22"/>
                <w:lang w:val="es-ES"/>
              </w:rPr>
              <w:t>this</w:t>
            </w:r>
            <w:proofErr w:type="spellEnd"/>
            <w:r>
              <w:rPr>
                <w:rFonts w:eastAsia="Palatino Linotype"/>
                <w:spacing w:val="-1"/>
                <w:position w:val="1"/>
                <w:sz w:val="22"/>
                <w:szCs w:val="22"/>
                <w:lang w:val="es-ES"/>
              </w:rPr>
              <w:t xml:space="preserve"> </w:t>
            </w:r>
            <w:proofErr w:type="spellStart"/>
            <w:proofErr w:type="gramStart"/>
            <w:r>
              <w:rPr>
                <w:rFonts w:eastAsia="Palatino Linotype"/>
                <w:spacing w:val="-1"/>
                <w:position w:val="1"/>
                <w:sz w:val="22"/>
                <w:szCs w:val="22"/>
                <w:lang w:val="es-ES"/>
              </w:rPr>
              <w:t>document</w:t>
            </w:r>
            <w:proofErr w:type="spellEnd"/>
            <w:r>
              <w:rPr>
                <w:rFonts w:eastAsia="Palatino Linotype"/>
                <w:spacing w:val="-1"/>
                <w:position w:val="1"/>
                <w:sz w:val="22"/>
                <w:szCs w:val="22"/>
                <w:lang w:val="es-ES"/>
              </w:rPr>
              <w:t>)</w:t>
            </w:r>
            <w:r>
              <w:rPr>
                <w:rFonts w:cs="Arial"/>
                <w:sz w:val="22"/>
                <w:szCs w:val="24"/>
                <w:lang w:val="es-ES"/>
              </w:rPr>
              <w:t>The</w:t>
            </w:r>
            <w:proofErr w:type="gramEnd"/>
            <w:r>
              <w:rPr>
                <w:rFonts w:cs="Arial"/>
                <w:sz w:val="22"/>
                <w:szCs w:val="24"/>
                <w:lang w:val="es-ES"/>
              </w:rPr>
              <w:t xml:space="preserve"> </w:t>
            </w:r>
            <w:proofErr w:type="spellStart"/>
            <w:r>
              <w:rPr>
                <w:rFonts w:cs="Arial"/>
                <w:sz w:val="22"/>
                <w:szCs w:val="24"/>
                <w:lang w:val="es-ES"/>
              </w:rPr>
              <w:t>successful</w:t>
            </w:r>
            <w:proofErr w:type="spellEnd"/>
            <w:r>
              <w:rPr>
                <w:rFonts w:cs="Arial"/>
                <w:sz w:val="22"/>
                <w:szCs w:val="24"/>
                <w:lang w:val="es-ES"/>
              </w:rPr>
              <w:t xml:space="preserve"> </w:t>
            </w:r>
            <w:proofErr w:type="spellStart"/>
            <w:r>
              <w:rPr>
                <w:rFonts w:cs="Arial"/>
                <w:sz w:val="22"/>
                <w:szCs w:val="24"/>
                <w:lang w:val="es-ES"/>
              </w:rPr>
              <w:t>bidder</w:t>
            </w:r>
            <w:proofErr w:type="spellEnd"/>
            <w:r>
              <w:rPr>
                <w:rFonts w:cs="Arial"/>
                <w:sz w:val="22"/>
                <w:szCs w:val="24"/>
                <w:lang w:val="es-ES"/>
              </w:rPr>
              <w:t xml:space="preserve"> </w:t>
            </w:r>
            <w:proofErr w:type="spellStart"/>
            <w:r>
              <w:rPr>
                <w:rFonts w:cs="Arial"/>
                <w:sz w:val="22"/>
                <w:szCs w:val="24"/>
                <w:lang w:val="es-ES"/>
              </w:rPr>
              <w:t>must</w:t>
            </w:r>
            <w:proofErr w:type="spellEnd"/>
            <w:r>
              <w:rPr>
                <w:rFonts w:cs="Arial"/>
                <w:sz w:val="22"/>
                <w:szCs w:val="24"/>
                <w:lang w:val="es-ES"/>
              </w:rPr>
              <w:t xml:space="preserve"> </w:t>
            </w:r>
            <w:proofErr w:type="spellStart"/>
            <w:r>
              <w:rPr>
                <w:rFonts w:cs="Arial"/>
                <w:sz w:val="22"/>
                <w:szCs w:val="24"/>
                <w:lang w:val="es-ES"/>
              </w:rPr>
              <w:t>inform</w:t>
            </w:r>
            <w:proofErr w:type="spellEnd"/>
            <w:r>
              <w:rPr>
                <w:rFonts w:cs="Arial"/>
                <w:sz w:val="22"/>
                <w:szCs w:val="24"/>
                <w:lang w:val="es-ES"/>
              </w:rPr>
              <w:t xml:space="preserve"> OSE </w:t>
            </w:r>
            <w:proofErr w:type="spellStart"/>
            <w:r>
              <w:rPr>
                <w:rFonts w:cs="Arial"/>
                <w:sz w:val="22"/>
                <w:szCs w:val="24"/>
                <w:lang w:val="es-ES"/>
              </w:rPr>
              <w:t>of</w:t>
            </w:r>
            <w:proofErr w:type="spellEnd"/>
            <w:r>
              <w:rPr>
                <w:rFonts w:cs="Arial"/>
                <w:sz w:val="22"/>
                <w:szCs w:val="24"/>
                <w:lang w:val="es-ES"/>
              </w:rPr>
              <w:t xml:space="preserve"> </w:t>
            </w:r>
            <w:proofErr w:type="spellStart"/>
            <w:r>
              <w:rPr>
                <w:rFonts w:cs="Arial"/>
                <w:sz w:val="22"/>
                <w:szCs w:val="24"/>
                <w:lang w:val="es-ES"/>
              </w:rPr>
              <w:t>the</w:t>
            </w:r>
            <w:proofErr w:type="spellEnd"/>
            <w:r>
              <w:rPr>
                <w:rFonts w:cs="Arial"/>
                <w:sz w:val="22"/>
                <w:szCs w:val="24"/>
                <w:lang w:val="es-ES"/>
              </w:rPr>
              <w:t xml:space="preserve"> </w:t>
            </w:r>
            <w:proofErr w:type="spellStart"/>
            <w:r>
              <w:rPr>
                <w:rFonts w:cs="Arial"/>
                <w:sz w:val="22"/>
                <w:szCs w:val="24"/>
                <w:lang w:val="es-ES"/>
              </w:rPr>
              <w:t>computer</w:t>
            </w:r>
            <w:proofErr w:type="spellEnd"/>
            <w:r>
              <w:rPr>
                <w:rFonts w:cs="Arial"/>
                <w:sz w:val="22"/>
                <w:szCs w:val="24"/>
                <w:lang w:val="es-ES"/>
              </w:rPr>
              <w:t xml:space="preserve"> and </w:t>
            </w:r>
            <w:proofErr w:type="spellStart"/>
            <w:r>
              <w:rPr>
                <w:rFonts w:cs="Arial"/>
                <w:sz w:val="22"/>
                <w:szCs w:val="24"/>
                <w:lang w:val="es-ES"/>
              </w:rPr>
              <w:t>telecommunications</w:t>
            </w:r>
            <w:proofErr w:type="spellEnd"/>
            <w:r>
              <w:rPr>
                <w:rFonts w:cs="Arial"/>
                <w:sz w:val="22"/>
                <w:szCs w:val="24"/>
                <w:lang w:val="es-ES"/>
              </w:rPr>
              <w:t xml:space="preserve"> </w:t>
            </w:r>
            <w:proofErr w:type="spellStart"/>
            <w:r>
              <w:rPr>
                <w:rFonts w:cs="Arial"/>
                <w:sz w:val="22"/>
                <w:szCs w:val="24"/>
                <w:lang w:val="es-ES"/>
              </w:rPr>
              <w:t>requirements</w:t>
            </w:r>
            <w:proofErr w:type="spellEnd"/>
            <w:r>
              <w:rPr>
                <w:rFonts w:cs="Arial"/>
                <w:sz w:val="22"/>
                <w:szCs w:val="24"/>
                <w:lang w:val="es-ES"/>
              </w:rPr>
              <w:t xml:space="preserve"> </w:t>
            </w:r>
            <w:proofErr w:type="spellStart"/>
            <w:r>
              <w:rPr>
                <w:rFonts w:cs="Arial"/>
                <w:sz w:val="22"/>
                <w:szCs w:val="24"/>
                <w:lang w:val="es-ES"/>
              </w:rPr>
              <w:lastRenderedPageBreak/>
              <w:t>that</w:t>
            </w:r>
            <w:proofErr w:type="spellEnd"/>
            <w:r>
              <w:rPr>
                <w:rFonts w:cs="Arial"/>
                <w:sz w:val="22"/>
                <w:szCs w:val="24"/>
                <w:lang w:val="es-ES"/>
              </w:rPr>
              <w:t xml:space="preserve"> </w:t>
            </w:r>
            <w:proofErr w:type="spellStart"/>
            <w:r>
              <w:rPr>
                <w:rFonts w:cs="Arial"/>
                <w:sz w:val="22"/>
                <w:szCs w:val="24"/>
                <w:lang w:val="es-ES"/>
              </w:rPr>
              <w:t>it</w:t>
            </w:r>
            <w:proofErr w:type="spellEnd"/>
            <w:r>
              <w:rPr>
                <w:rFonts w:cs="Arial"/>
                <w:sz w:val="22"/>
                <w:szCs w:val="24"/>
                <w:lang w:val="es-ES"/>
              </w:rPr>
              <w:t xml:space="preserve"> </w:t>
            </w:r>
            <w:proofErr w:type="spellStart"/>
            <w:r>
              <w:rPr>
                <w:rFonts w:cs="Arial"/>
                <w:sz w:val="22"/>
                <w:szCs w:val="24"/>
                <w:lang w:val="es-ES"/>
              </w:rPr>
              <w:t>will</w:t>
            </w:r>
            <w:proofErr w:type="spellEnd"/>
            <w:r>
              <w:rPr>
                <w:rFonts w:cs="Arial"/>
                <w:sz w:val="22"/>
                <w:szCs w:val="24"/>
                <w:lang w:val="es-ES"/>
              </w:rPr>
              <w:t xml:space="preserve"> </w:t>
            </w:r>
            <w:proofErr w:type="spellStart"/>
            <w:r>
              <w:rPr>
                <w:rFonts w:cs="Arial"/>
                <w:sz w:val="22"/>
                <w:szCs w:val="24"/>
                <w:lang w:val="es-ES"/>
              </w:rPr>
              <w:t>demand</w:t>
            </w:r>
            <w:proofErr w:type="spellEnd"/>
            <w:r>
              <w:rPr>
                <w:rFonts w:cs="Arial"/>
                <w:sz w:val="22"/>
                <w:szCs w:val="24"/>
                <w:lang w:val="es-ES"/>
              </w:rPr>
              <w:t xml:space="preserve"> </w:t>
            </w:r>
            <w:proofErr w:type="spellStart"/>
            <w:r>
              <w:rPr>
                <w:rFonts w:cs="Arial"/>
                <w:sz w:val="22"/>
                <w:szCs w:val="24"/>
                <w:lang w:val="es-ES"/>
              </w:rPr>
              <w:t>from</w:t>
            </w:r>
            <w:proofErr w:type="spellEnd"/>
            <w:r>
              <w:rPr>
                <w:rFonts w:cs="Arial"/>
                <w:sz w:val="22"/>
                <w:szCs w:val="24"/>
                <w:lang w:val="es-ES"/>
              </w:rPr>
              <w:t xml:space="preserve"> </w:t>
            </w:r>
            <w:proofErr w:type="spellStart"/>
            <w:r>
              <w:rPr>
                <w:rFonts w:cs="Arial"/>
                <w:sz w:val="22"/>
                <w:szCs w:val="24"/>
                <w:lang w:val="es-ES"/>
              </w:rPr>
              <w:t>it</w:t>
            </w:r>
            <w:proofErr w:type="spellEnd"/>
            <w:r>
              <w:rPr>
                <w:rFonts w:cs="Arial"/>
                <w:sz w:val="22"/>
                <w:szCs w:val="24"/>
                <w:lang w:val="es-ES"/>
              </w:rPr>
              <w:t xml:space="preserve">, in </w:t>
            </w:r>
            <w:proofErr w:type="spellStart"/>
            <w:r>
              <w:rPr>
                <w:rFonts w:cs="Arial"/>
                <w:sz w:val="22"/>
                <w:szCs w:val="24"/>
                <w:lang w:val="es-ES"/>
              </w:rPr>
              <w:t>accordance</w:t>
            </w:r>
            <w:proofErr w:type="spellEnd"/>
            <w:r>
              <w:rPr>
                <w:rFonts w:cs="Arial"/>
                <w:sz w:val="22"/>
                <w:szCs w:val="24"/>
                <w:lang w:val="es-ES"/>
              </w:rPr>
              <w:t xml:space="preserve"> </w:t>
            </w:r>
            <w:proofErr w:type="spellStart"/>
            <w:r>
              <w:rPr>
                <w:rFonts w:cs="Arial"/>
                <w:sz w:val="22"/>
                <w:szCs w:val="24"/>
                <w:lang w:val="es-ES"/>
              </w:rPr>
              <w:t>with</w:t>
            </w:r>
            <w:proofErr w:type="spellEnd"/>
            <w:r>
              <w:rPr>
                <w:rFonts w:cs="Arial"/>
                <w:sz w:val="22"/>
                <w:szCs w:val="24"/>
                <w:lang w:val="es-ES"/>
              </w:rPr>
              <w:t xml:space="preserve"> </w:t>
            </w:r>
            <w:proofErr w:type="spellStart"/>
            <w:r>
              <w:rPr>
                <w:rFonts w:cs="Arial"/>
                <w:sz w:val="22"/>
                <w:szCs w:val="24"/>
                <w:lang w:val="es-ES"/>
              </w:rPr>
              <w:t>the</w:t>
            </w:r>
            <w:proofErr w:type="spellEnd"/>
            <w:r>
              <w:rPr>
                <w:rFonts w:cs="Arial"/>
                <w:sz w:val="22"/>
                <w:szCs w:val="24"/>
                <w:lang w:val="es-ES"/>
              </w:rPr>
              <w:t xml:space="preserve"> </w:t>
            </w:r>
            <w:proofErr w:type="spellStart"/>
            <w:r>
              <w:rPr>
                <w:rFonts w:cs="Arial"/>
                <w:sz w:val="22"/>
                <w:szCs w:val="24"/>
                <w:lang w:val="es-ES"/>
              </w:rPr>
              <w:t>characteristics</w:t>
            </w:r>
            <w:proofErr w:type="spellEnd"/>
            <w:r>
              <w:rPr>
                <w:rFonts w:cs="Arial"/>
                <w:sz w:val="22"/>
                <w:szCs w:val="24"/>
                <w:lang w:val="es-ES"/>
              </w:rPr>
              <w:t xml:space="preserve"> and </w:t>
            </w:r>
            <w:proofErr w:type="spellStart"/>
            <w:r>
              <w:rPr>
                <w:rFonts w:cs="Arial"/>
                <w:sz w:val="22"/>
                <w:szCs w:val="24"/>
                <w:lang w:val="es-ES"/>
              </w:rPr>
              <w:t>conditions</w:t>
            </w:r>
            <w:proofErr w:type="spellEnd"/>
            <w:r>
              <w:rPr>
                <w:rFonts w:cs="Arial"/>
                <w:sz w:val="22"/>
                <w:szCs w:val="24"/>
                <w:lang w:val="es-ES"/>
              </w:rPr>
              <w:t xml:space="preserve"> </w:t>
            </w:r>
            <w:proofErr w:type="spellStart"/>
            <w:r>
              <w:rPr>
                <w:rFonts w:cs="Arial"/>
                <w:sz w:val="22"/>
                <w:szCs w:val="24"/>
                <w:lang w:val="es-ES"/>
              </w:rPr>
              <w:t>indicated</w:t>
            </w:r>
            <w:proofErr w:type="spellEnd"/>
            <w:r>
              <w:rPr>
                <w:rFonts w:cs="Arial"/>
                <w:sz w:val="22"/>
                <w:szCs w:val="24"/>
                <w:lang w:val="es-ES"/>
              </w:rPr>
              <w:t xml:space="preserve"> in </w:t>
            </w:r>
            <w:proofErr w:type="spellStart"/>
            <w:r>
              <w:rPr>
                <w:rFonts w:cs="Arial"/>
                <w:sz w:val="22"/>
                <w:szCs w:val="24"/>
                <w:lang w:val="es-ES"/>
              </w:rPr>
              <w:t>Chapter</w:t>
            </w:r>
            <w:proofErr w:type="spellEnd"/>
            <w:r>
              <w:rPr>
                <w:rFonts w:cs="Arial"/>
                <w:sz w:val="22"/>
                <w:szCs w:val="24"/>
                <w:lang w:val="es-ES"/>
              </w:rPr>
              <w:t xml:space="preserve"> 4 – </w:t>
            </w:r>
            <w:proofErr w:type="spellStart"/>
            <w:r>
              <w:rPr>
                <w:rFonts w:cs="Arial"/>
                <w:sz w:val="22"/>
                <w:szCs w:val="24"/>
                <w:lang w:val="es-ES"/>
              </w:rPr>
              <w:t>Characteristics</w:t>
            </w:r>
            <w:proofErr w:type="spellEnd"/>
            <w:r>
              <w:rPr>
                <w:rFonts w:cs="Arial"/>
                <w:sz w:val="22"/>
                <w:szCs w:val="24"/>
                <w:lang w:val="es-ES"/>
              </w:rPr>
              <w:t xml:space="preserve"> </w:t>
            </w:r>
            <w:proofErr w:type="spellStart"/>
            <w:r>
              <w:rPr>
                <w:rFonts w:cs="Arial"/>
                <w:sz w:val="22"/>
                <w:szCs w:val="24"/>
                <w:lang w:val="es-ES"/>
              </w:rPr>
              <w:t>of</w:t>
            </w:r>
            <w:proofErr w:type="spellEnd"/>
            <w:r>
              <w:rPr>
                <w:rFonts w:cs="Arial"/>
                <w:sz w:val="22"/>
                <w:szCs w:val="24"/>
                <w:lang w:val="es-ES"/>
              </w:rPr>
              <w:t xml:space="preserve"> data </w:t>
            </w:r>
            <w:proofErr w:type="spellStart"/>
            <w:r>
              <w:rPr>
                <w:rFonts w:cs="Arial"/>
                <w:sz w:val="22"/>
                <w:szCs w:val="24"/>
                <w:lang w:val="es-ES"/>
              </w:rPr>
              <w:t>reception</w:t>
            </w:r>
            <w:proofErr w:type="spellEnd"/>
            <w:r>
              <w:rPr>
                <w:rFonts w:cs="Arial"/>
                <w:sz w:val="22"/>
                <w:szCs w:val="24"/>
                <w:lang w:val="es-ES"/>
              </w:rPr>
              <w:t xml:space="preserve"> and Software </w:t>
            </w:r>
            <w:proofErr w:type="spellStart"/>
            <w:r>
              <w:rPr>
                <w:rFonts w:cs="Arial"/>
                <w:sz w:val="22"/>
                <w:szCs w:val="24"/>
                <w:lang w:val="es-ES"/>
              </w:rPr>
              <w:t>applications</w:t>
            </w:r>
            <w:proofErr w:type="spellEnd"/>
            <w:r>
              <w:rPr>
                <w:rFonts w:cs="Arial"/>
                <w:sz w:val="22"/>
                <w:szCs w:val="24"/>
                <w:lang w:val="es-ES"/>
              </w:rPr>
              <w:t xml:space="preserve"> </w:t>
            </w:r>
            <w:proofErr w:type="spellStart"/>
            <w:r>
              <w:rPr>
                <w:rFonts w:cs="Arial"/>
                <w:sz w:val="22"/>
                <w:szCs w:val="24"/>
                <w:lang w:val="es-ES"/>
              </w:rPr>
              <w:t>of</w:t>
            </w:r>
            <w:proofErr w:type="spellEnd"/>
            <w:r>
              <w:rPr>
                <w:rFonts w:cs="Arial"/>
                <w:sz w:val="22"/>
                <w:szCs w:val="24"/>
                <w:lang w:val="es-ES"/>
              </w:rPr>
              <w:t xml:space="preserve"> </w:t>
            </w:r>
            <w:proofErr w:type="spellStart"/>
            <w:r>
              <w:rPr>
                <w:rFonts w:cs="Arial"/>
                <w:sz w:val="22"/>
                <w:szCs w:val="24"/>
                <w:lang w:val="es-ES"/>
              </w:rPr>
              <w:t>Annex</w:t>
            </w:r>
            <w:proofErr w:type="spellEnd"/>
            <w:r>
              <w:rPr>
                <w:rFonts w:cs="Arial"/>
                <w:sz w:val="22"/>
                <w:szCs w:val="24"/>
                <w:lang w:val="es-ES"/>
              </w:rPr>
              <w:t xml:space="preserve"> VII - </w:t>
            </w:r>
            <w:proofErr w:type="spellStart"/>
            <w:r>
              <w:rPr>
                <w:rFonts w:cs="Arial"/>
                <w:sz w:val="22"/>
                <w:szCs w:val="24"/>
                <w:lang w:val="es-ES"/>
              </w:rPr>
              <w:t>Technical</w:t>
            </w:r>
            <w:proofErr w:type="spellEnd"/>
            <w:r>
              <w:rPr>
                <w:rFonts w:cs="Arial"/>
                <w:sz w:val="22"/>
                <w:szCs w:val="24"/>
                <w:lang w:val="es-ES"/>
              </w:rPr>
              <w:t xml:space="preserve"> </w:t>
            </w:r>
            <w:proofErr w:type="spellStart"/>
            <w:r>
              <w:rPr>
                <w:rFonts w:cs="Arial"/>
                <w:sz w:val="22"/>
                <w:szCs w:val="24"/>
                <w:lang w:val="es-ES"/>
              </w:rPr>
              <w:t>Specifications</w:t>
            </w:r>
            <w:proofErr w:type="spellEnd"/>
            <w:r>
              <w:rPr>
                <w:rFonts w:cs="Arial"/>
                <w:sz w:val="22"/>
                <w:szCs w:val="24"/>
                <w:lang w:val="es-ES"/>
              </w:rPr>
              <w:t>.</w:t>
            </w:r>
          </w:p>
          <w:p w14:paraId="7A74109A" w14:textId="77777777" w:rsidR="00E255F4" w:rsidRDefault="00000000">
            <w:pPr>
              <w:pStyle w:val="Prrafodelista"/>
              <w:numPr>
                <w:ilvl w:val="0"/>
                <w:numId w:val="35"/>
              </w:numPr>
              <w:spacing w:after="120"/>
              <w:jc w:val="both"/>
              <w:textAlignment w:val="baseline"/>
            </w:pPr>
            <w:r>
              <w:rPr>
                <w:spacing w:val="-3"/>
                <w:sz w:val="22"/>
                <w:szCs w:val="24"/>
                <w:lang w:val="es-ES" w:eastAsia="en-US"/>
              </w:rPr>
              <w:t xml:space="preserve">The </w:t>
            </w:r>
            <w:proofErr w:type="spellStart"/>
            <w:r>
              <w:rPr>
                <w:spacing w:val="-3"/>
                <w:sz w:val="22"/>
                <w:szCs w:val="24"/>
                <w:lang w:val="es-ES" w:eastAsia="en-US"/>
              </w:rPr>
              <w:t>installation</w:t>
            </w:r>
            <w:proofErr w:type="spellEnd"/>
            <w:r>
              <w:rPr>
                <w:spacing w:val="-3"/>
                <w:sz w:val="22"/>
                <w:szCs w:val="24"/>
                <w:lang w:val="es-ES" w:eastAsia="en-US"/>
              </w:rPr>
              <w:t xml:space="preserve"> </w:t>
            </w:r>
            <w:proofErr w:type="spellStart"/>
            <w:r>
              <w:rPr>
                <w:spacing w:val="-3"/>
                <w:sz w:val="22"/>
                <w:szCs w:val="24"/>
                <w:lang w:val="es-ES" w:eastAsia="en-US"/>
              </w:rPr>
              <w:t>of</w:t>
            </w:r>
            <w:proofErr w:type="spellEnd"/>
            <w:r>
              <w:rPr>
                <w:spacing w:val="-3"/>
                <w:sz w:val="22"/>
                <w:szCs w:val="24"/>
                <w:lang w:val="es-ES" w:eastAsia="en-US"/>
              </w:rPr>
              <w:t xml:space="preserve"> </w:t>
            </w:r>
            <w:proofErr w:type="spellStart"/>
            <w:r>
              <w:rPr>
                <w:spacing w:val="-3"/>
                <w:sz w:val="22"/>
                <w:szCs w:val="24"/>
                <w:lang w:val="es-ES" w:eastAsia="en-US"/>
              </w:rPr>
              <w:t>the</w:t>
            </w:r>
            <w:proofErr w:type="spellEnd"/>
            <w:r>
              <w:rPr>
                <w:spacing w:val="-3"/>
                <w:sz w:val="22"/>
                <w:szCs w:val="24"/>
                <w:lang w:val="es-ES" w:eastAsia="en-US"/>
              </w:rPr>
              <w:t xml:space="preserve"> software </w:t>
            </w:r>
            <w:proofErr w:type="spellStart"/>
            <w:r>
              <w:rPr>
                <w:spacing w:val="-3"/>
                <w:sz w:val="22"/>
                <w:szCs w:val="24"/>
                <w:lang w:val="es-ES" w:eastAsia="en-US"/>
              </w:rPr>
              <w:t>applications</w:t>
            </w:r>
            <w:proofErr w:type="spellEnd"/>
            <w:r>
              <w:rPr>
                <w:spacing w:val="-3"/>
                <w:sz w:val="22"/>
                <w:szCs w:val="24"/>
                <w:lang w:val="es-ES" w:eastAsia="en-US"/>
              </w:rPr>
              <w:t xml:space="preserve"> </w:t>
            </w:r>
            <w:proofErr w:type="spellStart"/>
            <w:r>
              <w:rPr>
                <w:spacing w:val="-3"/>
                <w:sz w:val="22"/>
                <w:szCs w:val="24"/>
                <w:lang w:val="es-ES" w:eastAsia="en-US"/>
              </w:rPr>
              <w:t>will</w:t>
            </w:r>
            <w:proofErr w:type="spellEnd"/>
            <w:r>
              <w:rPr>
                <w:spacing w:val="-3"/>
                <w:sz w:val="22"/>
                <w:szCs w:val="24"/>
                <w:lang w:val="es-ES" w:eastAsia="en-US"/>
              </w:rPr>
              <w:t xml:space="preserve"> be </w:t>
            </w:r>
            <w:proofErr w:type="spellStart"/>
            <w:r>
              <w:rPr>
                <w:spacing w:val="-3"/>
                <w:sz w:val="22"/>
                <w:szCs w:val="24"/>
                <w:lang w:val="es-ES" w:eastAsia="en-US"/>
              </w:rPr>
              <w:t>carried</w:t>
            </w:r>
            <w:proofErr w:type="spellEnd"/>
            <w:r>
              <w:rPr>
                <w:spacing w:val="-3"/>
                <w:sz w:val="22"/>
                <w:szCs w:val="24"/>
                <w:lang w:val="es-ES" w:eastAsia="en-US"/>
              </w:rPr>
              <w:t xml:space="preserve"> </w:t>
            </w:r>
            <w:proofErr w:type="spellStart"/>
            <w:r>
              <w:rPr>
                <w:spacing w:val="-3"/>
                <w:sz w:val="22"/>
                <w:szCs w:val="24"/>
                <w:lang w:val="es-ES" w:eastAsia="en-US"/>
              </w:rPr>
              <w:t>out</w:t>
            </w:r>
            <w:proofErr w:type="spellEnd"/>
            <w:r>
              <w:rPr>
                <w:spacing w:val="-3"/>
                <w:sz w:val="22"/>
                <w:szCs w:val="24"/>
                <w:lang w:val="es-ES" w:eastAsia="en-US"/>
              </w:rPr>
              <w:t xml:space="preserve"> </w:t>
            </w:r>
            <w:proofErr w:type="spellStart"/>
            <w:r>
              <w:rPr>
                <w:spacing w:val="-3"/>
                <w:sz w:val="22"/>
                <w:szCs w:val="24"/>
                <w:lang w:val="es-ES" w:eastAsia="en-US"/>
              </w:rPr>
              <w:t>immediately</w:t>
            </w:r>
            <w:proofErr w:type="spellEnd"/>
            <w:r>
              <w:rPr>
                <w:spacing w:val="-3"/>
                <w:sz w:val="22"/>
                <w:szCs w:val="24"/>
                <w:lang w:val="es-ES" w:eastAsia="en-US"/>
              </w:rPr>
              <w:t xml:space="preserve"> after </w:t>
            </w:r>
            <w:proofErr w:type="spellStart"/>
            <w:r>
              <w:rPr>
                <w:spacing w:val="-3"/>
                <w:sz w:val="22"/>
                <w:szCs w:val="24"/>
                <w:lang w:val="es-ES" w:eastAsia="en-US"/>
              </w:rPr>
              <w:t>the</w:t>
            </w:r>
            <w:proofErr w:type="spellEnd"/>
            <w:r>
              <w:rPr>
                <w:spacing w:val="-3"/>
                <w:sz w:val="22"/>
                <w:szCs w:val="24"/>
                <w:lang w:val="es-ES" w:eastAsia="en-US"/>
              </w:rPr>
              <w:t xml:space="preserve"> OSE Works Management </w:t>
            </w:r>
            <w:proofErr w:type="spellStart"/>
            <w:r>
              <w:rPr>
                <w:spacing w:val="-3"/>
                <w:sz w:val="22"/>
                <w:szCs w:val="24"/>
                <w:lang w:val="es-ES" w:eastAsia="en-US"/>
              </w:rPr>
              <w:t>indicates</w:t>
            </w:r>
            <w:proofErr w:type="spellEnd"/>
            <w:r>
              <w:rPr>
                <w:spacing w:val="-3"/>
                <w:sz w:val="22"/>
                <w:szCs w:val="24"/>
                <w:lang w:val="es-ES" w:eastAsia="en-US"/>
              </w:rPr>
              <w:t xml:space="preserve"> </w:t>
            </w:r>
            <w:proofErr w:type="spellStart"/>
            <w:r>
              <w:rPr>
                <w:spacing w:val="-3"/>
                <w:sz w:val="22"/>
                <w:szCs w:val="24"/>
                <w:lang w:val="es-ES" w:eastAsia="en-US"/>
              </w:rPr>
              <w:t>the</w:t>
            </w:r>
            <w:proofErr w:type="spellEnd"/>
            <w:r>
              <w:rPr>
                <w:spacing w:val="-3"/>
                <w:sz w:val="22"/>
                <w:szCs w:val="24"/>
                <w:lang w:val="es-ES" w:eastAsia="en-US"/>
              </w:rPr>
              <w:t xml:space="preserve"> </w:t>
            </w:r>
            <w:proofErr w:type="spellStart"/>
            <w:r>
              <w:rPr>
                <w:spacing w:val="-3"/>
                <w:sz w:val="22"/>
                <w:szCs w:val="24"/>
                <w:lang w:val="es-ES" w:eastAsia="en-US"/>
              </w:rPr>
              <w:t>availability</w:t>
            </w:r>
            <w:proofErr w:type="spellEnd"/>
            <w:r>
              <w:rPr>
                <w:spacing w:val="-3"/>
                <w:sz w:val="22"/>
                <w:szCs w:val="24"/>
                <w:lang w:val="es-ES" w:eastAsia="en-US"/>
              </w:rPr>
              <w:t xml:space="preserve"> </w:t>
            </w:r>
            <w:proofErr w:type="spellStart"/>
            <w:r>
              <w:rPr>
                <w:spacing w:val="-3"/>
                <w:sz w:val="22"/>
                <w:szCs w:val="24"/>
                <w:lang w:val="es-ES" w:eastAsia="en-US"/>
              </w:rPr>
              <w:t>of</w:t>
            </w:r>
            <w:proofErr w:type="spellEnd"/>
            <w:r>
              <w:rPr>
                <w:spacing w:val="-3"/>
                <w:sz w:val="22"/>
                <w:szCs w:val="24"/>
                <w:lang w:val="es-ES" w:eastAsia="en-US"/>
              </w:rPr>
              <w:t xml:space="preserve"> </w:t>
            </w:r>
            <w:proofErr w:type="spellStart"/>
            <w:r>
              <w:rPr>
                <w:spacing w:val="-3"/>
                <w:sz w:val="22"/>
                <w:szCs w:val="24"/>
                <w:lang w:val="es-ES" w:eastAsia="en-US"/>
              </w:rPr>
              <w:t>the</w:t>
            </w:r>
            <w:proofErr w:type="spellEnd"/>
            <w:r>
              <w:rPr>
                <w:spacing w:val="-3"/>
                <w:sz w:val="22"/>
                <w:szCs w:val="24"/>
                <w:lang w:val="es-ES" w:eastAsia="en-US"/>
              </w:rPr>
              <w:t xml:space="preserve"> </w:t>
            </w:r>
            <w:proofErr w:type="spellStart"/>
            <w:r>
              <w:rPr>
                <w:spacing w:val="-3"/>
                <w:sz w:val="22"/>
                <w:szCs w:val="24"/>
                <w:lang w:val="es-ES" w:eastAsia="en-US"/>
              </w:rPr>
              <w:t>required</w:t>
            </w:r>
            <w:proofErr w:type="spellEnd"/>
            <w:r>
              <w:rPr>
                <w:spacing w:val="-3"/>
                <w:sz w:val="22"/>
                <w:szCs w:val="24"/>
                <w:lang w:val="es-ES" w:eastAsia="en-US"/>
              </w:rPr>
              <w:t xml:space="preserve"> </w:t>
            </w:r>
            <w:proofErr w:type="spellStart"/>
            <w:r>
              <w:rPr>
                <w:spacing w:val="-3"/>
                <w:sz w:val="22"/>
                <w:szCs w:val="24"/>
                <w:lang w:val="es-ES" w:eastAsia="en-US"/>
              </w:rPr>
              <w:t>computer</w:t>
            </w:r>
            <w:proofErr w:type="spellEnd"/>
            <w:r>
              <w:rPr>
                <w:spacing w:val="-3"/>
                <w:sz w:val="22"/>
                <w:szCs w:val="24"/>
                <w:lang w:val="es-ES" w:eastAsia="en-US"/>
              </w:rPr>
              <w:t xml:space="preserve"> </w:t>
            </w:r>
            <w:proofErr w:type="spellStart"/>
            <w:r>
              <w:rPr>
                <w:spacing w:val="-3"/>
                <w:sz w:val="22"/>
                <w:szCs w:val="24"/>
                <w:lang w:val="es-ES" w:eastAsia="en-US"/>
              </w:rPr>
              <w:t>infrastructure</w:t>
            </w:r>
            <w:proofErr w:type="spellEnd"/>
            <w:r>
              <w:rPr>
                <w:spacing w:val="-3"/>
                <w:sz w:val="22"/>
                <w:szCs w:val="24"/>
                <w:lang w:val="es-ES" w:eastAsia="en-US"/>
              </w:rPr>
              <w:t>.</w:t>
            </w:r>
          </w:p>
          <w:p w14:paraId="51ADD430" w14:textId="77777777" w:rsidR="00E255F4" w:rsidRDefault="00000000">
            <w:pPr>
              <w:jc w:val="both"/>
              <w:rPr>
                <w:rFonts w:eastAsia="Palatino Linotype"/>
                <w:b/>
                <w:spacing w:val="-1"/>
                <w:position w:val="1"/>
                <w:sz w:val="22"/>
                <w:szCs w:val="22"/>
                <w:lang w:val="es-ES"/>
              </w:rPr>
            </w:pPr>
            <w:proofErr w:type="spellStart"/>
            <w:r>
              <w:rPr>
                <w:rFonts w:eastAsia="Palatino Linotype"/>
                <w:b/>
                <w:spacing w:val="-1"/>
                <w:position w:val="1"/>
                <w:sz w:val="22"/>
                <w:szCs w:val="22"/>
                <w:lang w:val="es-ES"/>
              </w:rPr>
              <w:t>Shipping</w:t>
            </w:r>
            <w:proofErr w:type="spellEnd"/>
            <w:r>
              <w:rPr>
                <w:rFonts w:eastAsia="Palatino Linotype"/>
                <w:b/>
                <w:spacing w:val="-1"/>
                <w:position w:val="1"/>
                <w:sz w:val="22"/>
                <w:szCs w:val="22"/>
                <w:lang w:val="es-ES"/>
              </w:rPr>
              <w:t xml:space="preserve"> </w:t>
            </w:r>
            <w:proofErr w:type="spellStart"/>
            <w:r>
              <w:rPr>
                <w:rFonts w:eastAsia="Palatino Linotype"/>
                <w:b/>
                <w:spacing w:val="-1"/>
                <w:position w:val="1"/>
                <w:sz w:val="22"/>
                <w:szCs w:val="22"/>
                <w:lang w:val="es-ES"/>
              </w:rPr>
              <w:t>deadline</w:t>
            </w:r>
            <w:proofErr w:type="spellEnd"/>
            <w:r>
              <w:rPr>
                <w:rFonts w:eastAsia="Palatino Linotype"/>
                <w:b/>
                <w:spacing w:val="-1"/>
                <w:position w:val="1"/>
                <w:sz w:val="22"/>
                <w:szCs w:val="22"/>
                <w:lang w:val="es-ES"/>
              </w:rPr>
              <w:t xml:space="preserve"> </w:t>
            </w:r>
            <w:proofErr w:type="spellStart"/>
            <w:r>
              <w:rPr>
                <w:rFonts w:eastAsia="Palatino Linotype"/>
                <w:b/>
                <w:spacing w:val="-1"/>
                <w:position w:val="1"/>
                <w:sz w:val="22"/>
                <w:szCs w:val="22"/>
                <w:lang w:val="es-ES"/>
              </w:rPr>
              <w:t>for</w:t>
            </w:r>
            <w:proofErr w:type="spellEnd"/>
            <w:r>
              <w:rPr>
                <w:rFonts w:eastAsia="Palatino Linotype"/>
                <w:b/>
                <w:spacing w:val="-1"/>
                <w:position w:val="1"/>
                <w:sz w:val="22"/>
                <w:szCs w:val="22"/>
                <w:lang w:val="es-ES"/>
              </w:rPr>
              <w:t xml:space="preserve"> </w:t>
            </w:r>
            <w:proofErr w:type="spellStart"/>
            <w:r>
              <w:rPr>
                <w:rFonts w:eastAsia="Palatino Linotype"/>
                <w:b/>
                <w:spacing w:val="-1"/>
                <w:position w:val="1"/>
                <w:sz w:val="22"/>
                <w:szCs w:val="22"/>
                <w:lang w:val="es-ES"/>
              </w:rPr>
              <w:t>offers</w:t>
            </w:r>
            <w:proofErr w:type="spellEnd"/>
            <w:r>
              <w:rPr>
                <w:rFonts w:eastAsia="Palatino Linotype"/>
                <w:b/>
                <w:spacing w:val="-1"/>
                <w:position w:val="1"/>
                <w:sz w:val="22"/>
                <w:szCs w:val="22"/>
                <w:lang w:val="es-ES"/>
              </w:rPr>
              <w:t xml:space="preserve"> </w:t>
            </w:r>
            <w:proofErr w:type="spellStart"/>
            <w:r>
              <w:rPr>
                <w:rFonts w:eastAsia="Palatino Linotype"/>
                <w:b/>
                <w:spacing w:val="-1"/>
                <w:position w:val="1"/>
                <w:sz w:val="22"/>
                <w:szCs w:val="22"/>
                <w:lang w:val="es-ES"/>
              </w:rPr>
              <w:t>of</w:t>
            </w:r>
            <w:proofErr w:type="spellEnd"/>
            <w:r>
              <w:rPr>
                <w:rFonts w:eastAsia="Palatino Linotype"/>
                <w:b/>
                <w:spacing w:val="-1"/>
                <w:position w:val="1"/>
                <w:sz w:val="22"/>
                <w:szCs w:val="22"/>
                <w:lang w:val="es-ES"/>
              </w:rPr>
              <w:t xml:space="preserve"> </w:t>
            </w:r>
            <w:proofErr w:type="spellStart"/>
            <w:r>
              <w:rPr>
                <w:rFonts w:eastAsia="Palatino Linotype"/>
                <w:b/>
                <w:spacing w:val="-1"/>
                <w:position w:val="1"/>
                <w:sz w:val="22"/>
                <w:szCs w:val="22"/>
                <w:lang w:val="es-ES"/>
              </w:rPr>
              <w:t>goods</w:t>
            </w:r>
            <w:proofErr w:type="spellEnd"/>
            <w:r>
              <w:rPr>
                <w:rFonts w:eastAsia="Palatino Linotype"/>
                <w:b/>
                <w:spacing w:val="-1"/>
                <w:position w:val="1"/>
                <w:sz w:val="22"/>
                <w:szCs w:val="22"/>
                <w:lang w:val="es-ES"/>
              </w:rPr>
              <w:t xml:space="preserve"> </w:t>
            </w:r>
            <w:proofErr w:type="spellStart"/>
            <w:r>
              <w:rPr>
                <w:rFonts w:eastAsia="Palatino Linotype"/>
                <w:b/>
                <w:spacing w:val="-1"/>
                <w:position w:val="1"/>
                <w:sz w:val="22"/>
                <w:szCs w:val="22"/>
                <w:lang w:val="es-ES"/>
              </w:rPr>
              <w:t>to</w:t>
            </w:r>
            <w:proofErr w:type="spellEnd"/>
            <w:r>
              <w:rPr>
                <w:rFonts w:eastAsia="Palatino Linotype"/>
                <w:b/>
                <w:spacing w:val="-1"/>
                <w:position w:val="1"/>
                <w:sz w:val="22"/>
                <w:szCs w:val="22"/>
                <w:lang w:val="es-ES"/>
              </w:rPr>
              <w:t xml:space="preserve"> be </w:t>
            </w:r>
            <w:proofErr w:type="spellStart"/>
            <w:r>
              <w:rPr>
                <w:rFonts w:eastAsia="Palatino Linotype"/>
                <w:b/>
                <w:spacing w:val="-1"/>
                <w:position w:val="1"/>
                <w:sz w:val="22"/>
                <w:szCs w:val="22"/>
                <w:lang w:val="es-ES"/>
              </w:rPr>
              <w:t>imported</w:t>
            </w:r>
            <w:proofErr w:type="spellEnd"/>
            <w:r>
              <w:rPr>
                <w:rFonts w:eastAsia="Palatino Linotype"/>
                <w:b/>
                <w:spacing w:val="-1"/>
                <w:position w:val="1"/>
                <w:sz w:val="22"/>
                <w:szCs w:val="22"/>
                <w:lang w:val="es-ES"/>
              </w:rPr>
              <w:t xml:space="preserve"> </w:t>
            </w:r>
            <w:proofErr w:type="spellStart"/>
            <w:r>
              <w:rPr>
                <w:rFonts w:eastAsia="Palatino Linotype"/>
                <w:b/>
                <w:spacing w:val="-1"/>
                <w:position w:val="1"/>
                <w:sz w:val="22"/>
                <w:szCs w:val="22"/>
                <w:lang w:val="es-ES"/>
              </w:rPr>
              <w:t>by</w:t>
            </w:r>
            <w:proofErr w:type="spellEnd"/>
            <w:r>
              <w:rPr>
                <w:rFonts w:eastAsia="Palatino Linotype"/>
                <w:b/>
                <w:spacing w:val="-1"/>
                <w:position w:val="1"/>
                <w:sz w:val="22"/>
                <w:szCs w:val="22"/>
                <w:lang w:val="es-ES"/>
              </w:rPr>
              <w:t xml:space="preserve"> OSE</w:t>
            </w:r>
          </w:p>
          <w:p w14:paraId="14B2132D" w14:textId="77777777" w:rsidR="00E255F4" w:rsidRDefault="00E255F4">
            <w:pPr>
              <w:jc w:val="both"/>
              <w:rPr>
                <w:rFonts w:eastAsia="Palatino Linotype"/>
                <w:b/>
                <w:spacing w:val="-1"/>
                <w:position w:val="1"/>
                <w:sz w:val="22"/>
                <w:szCs w:val="22"/>
                <w:lang w:val="es-ES"/>
              </w:rPr>
            </w:pPr>
          </w:p>
          <w:p w14:paraId="0E9661BE" w14:textId="77777777" w:rsidR="00E255F4" w:rsidRDefault="00000000">
            <w:pPr>
              <w:shd w:val="clear" w:color="auto" w:fill="FFFFFF"/>
              <w:spacing w:line="240" w:lineRule="auto"/>
              <w:jc w:val="both"/>
              <w:rPr>
                <w:sz w:val="22"/>
                <w:szCs w:val="22"/>
                <w:lang w:val="es-ES" w:eastAsia="es-UY"/>
              </w:rPr>
            </w:pPr>
            <w:r>
              <w:rPr>
                <w:iCs/>
                <w:sz w:val="22"/>
                <w:szCs w:val="22"/>
                <w:lang w:val="es-ES" w:eastAsia="es-UY"/>
              </w:rPr>
              <w:t xml:space="preserve">The </w:t>
            </w:r>
            <w:proofErr w:type="spellStart"/>
            <w:r>
              <w:rPr>
                <w:iCs/>
                <w:sz w:val="22"/>
                <w:szCs w:val="22"/>
                <w:lang w:val="es-ES" w:eastAsia="es-UY"/>
              </w:rPr>
              <w:t>shipping</w:t>
            </w:r>
            <w:proofErr w:type="spellEnd"/>
            <w:r>
              <w:rPr>
                <w:iCs/>
                <w:sz w:val="22"/>
                <w:szCs w:val="22"/>
                <w:lang w:val="es-ES" w:eastAsia="es-UY"/>
              </w:rPr>
              <w:t xml:space="preserve"> </w:t>
            </w:r>
            <w:proofErr w:type="spellStart"/>
            <w:r>
              <w:rPr>
                <w:iCs/>
                <w:sz w:val="22"/>
                <w:szCs w:val="22"/>
                <w:lang w:val="es-ES" w:eastAsia="es-UY"/>
              </w:rPr>
              <w:t>period</w:t>
            </w:r>
            <w:proofErr w:type="spellEnd"/>
            <w:r>
              <w:rPr>
                <w:iCs/>
                <w:sz w:val="22"/>
                <w:szCs w:val="22"/>
                <w:lang w:val="es-ES" w:eastAsia="es-UY"/>
              </w:rPr>
              <w:t xml:space="preserve"> </w:t>
            </w:r>
            <w:proofErr w:type="spellStart"/>
            <w:r>
              <w:rPr>
                <w:iCs/>
                <w:sz w:val="22"/>
                <w:szCs w:val="22"/>
                <w:lang w:val="es-ES" w:eastAsia="es-UY"/>
              </w:rPr>
              <w:t>will</w:t>
            </w:r>
            <w:proofErr w:type="spellEnd"/>
            <w:r>
              <w:rPr>
                <w:iCs/>
                <w:sz w:val="22"/>
                <w:szCs w:val="22"/>
                <w:lang w:val="es-ES" w:eastAsia="es-UY"/>
              </w:rPr>
              <w:t xml:space="preserve"> be a </w:t>
            </w:r>
            <w:proofErr w:type="spellStart"/>
            <w:r>
              <w:rPr>
                <w:iCs/>
                <w:sz w:val="22"/>
                <w:szCs w:val="22"/>
                <w:lang w:val="es-ES" w:eastAsia="es-UY"/>
              </w:rPr>
              <w:t>maximum</w:t>
            </w:r>
            <w:proofErr w:type="spellEnd"/>
            <w:r>
              <w:rPr>
                <w:iCs/>
                <w:sz w:val="22"/>
                <w:szCs w:val="22"/>
                <w:lang w:val="es-ES" w:eastAsia="es-UY"/>
              </w:rPr>
              <w:t xml:space="preserve"> </w:t>
            </w:r>
            <w:proofErr w:type="spellStart"/>
            <w:r>
              <w:rPr>
                <w:iCs/>
                <w:sz w:val="22"/>
                <w:szCs w:val="22"/>
                <w:lang w:val="es-ES" w:eastAsia="es-UY"/>
              </w:rPr>
              <w:t>of</w:t>
            </w:r>
            <w:proofErr w:type="spellEnd"/>
            <w:r>
              <w:rPr>
                <w:iCs/>
                <w:sz w:val="22"/>
                <w:szCs w:val="22"/>
                <w:lang w:val="es-ES" w:eastAsia="es-UY"/>
              </w:rPr>
              <w:t xml:space="preserve"> 95 calendar </w:t>
            </w:r>
            <w:proofErr w:type="spellStart"/>
            <w:r>
              <w:rPr>
                <w:iCs/>
                <w:sz w:val="22"/>
                <w:szCs w:val="22"/>
                <w:lang w:val="es-ES" w:eastAsia="es-UY"/>
              </w:rPr>
              <w:t>days</w:t>
            </w:r>
            <w:proofErr w:type="spellEnd"/>
            <w:r>
              <w:rPr>
                <w:iCs/>
                <w:sz w:val="22"/>
                <w:szCs w:val="22"/>
                <w:lang w:val="es-ES" w:eastAsia="es-UY"/>
              </w:rPr>
              <w:t xml:space="preserve"> </w:t>
            </w:r>
            <w:proofErr w:type="spellStart"/>
            <w:r>
              <w:rPr>
                <w:iCs/>
                <w:sz w:val="22"/>
                <w:szCs w:val="22"/>
                <w:lang w:val="es-ES" w:eastAsia="es-UY"/>
              </w:rPr>
              <w:t>under</w:t>
            </w:r>
            <w:proofErr w:type="spellEnd"/>
            <w:r>
              <w:rPr>
                <w:iCs/>
                <w:sz w:val="22"/>
                <w:szCs w:val="22"/>
                <w:lang w:val="es-ES" w:eastAsia="es-UY"/>
              </w:rPr>
              <w:t xml:space="preserve"> FOB </w:t>
            </w:r>
            <w:proofErr w:type="spellStart"/>
            <w:r>
              <w:rPr>
                <w:iCs/>
                <w:sz w:val="22"/>
                <w:szCs w:val="22"/>
                <w:lang w:val="es-ES" w:eastAsia="es-UY"/>
              </w:rPr>
              <w:t>conditions</w:t>
            </w:r>
            <w:proofErr w:type="spellEnd"/>
            <w:r>
              <w:rPr>
                <w:iCs/>
                <w:sz w:val="22"/>
                <w:szCs w:val="22"/>
                <w:lang w:val="es-ES" w:eastAsia="es-UY"/>
              </w:rPr>
              <w:t xml:space="preserve"> (sea </w:t>
            </w:r>
            <w:proofErr w:type="spellStart"/>
            <w:r>
              <w:rPr>
                <w:iCs/>
                <w:sz w:val="22"/>
                <w:szCs w:val="22"/>
                <w:lang w:val="es-ES" w:eastAsia="es-UY"/>
              </w:rPr>
              <w:t>shipments</w:t>
            </w:r>
            <w:proofErr w:type="spellEnd"/>
            <w:r>
              <w:rPr>
                <w:iCs/>
                <w:sz w:val="22"/>
                <w:szCs w:val="22"/>
                <w:lang w:val="es-ES" w:eastAsia="es-UY"/>
              </w:rPr>
              <w:t xml:space="preserve">) and 135 calendar </w:t>
            </w:r>
            <w:proofErr w:type="spellStart"/>
            <w:r>
              <w:rPr>
                <w:iCs/>
                <w:sz w:val="22"/>
                <w:szCs w:val="22"/>
                <w:lang w:val="es-ES" w:eastAsia="es-UY"/>
              </w:rPr>
              <w:t>days</w:t>
            </w:r>
            <w:proofErr w:type="spellEnd"/>
            <w:r>
              <w:rPr>
                <w:iCs/>
                <w:sz w:val="22"/>
                <w:szCs w:val="22"/>
                <w:lang w:val="es-ES" w:eastAsia="es-UY"/>
              </w:rPr>
              <w:t xml:space="preserve"> </w:t>
            </w:r>
            <w:proofErr w:type="spellStart"/>
            <w:r>
              <w:rPr>
                <w:iCs/>
                <w:sz w:val="22"/>
                <w:szCs w:val="22"/>
                <w:lang w:val="es-ES" w:eastAsia="es-UY"/>
              </w:rPr>
              <w:t>under</w:t>
            </w:r>
            <w:proofErr w:type="spellEnd"/>
            <w:r>
              <w:rPr>
                <w:iCs/>
                <w:sz w:val="22"/>
                <w:szCs w:val="22"/>
                <w:lang w:val="es-ES" w:eastAsia="es-UY"/>
              </w:rPr>
              <w:t xml:space="preserve"> FCA </w:t>
            </w:r>
            <w:proofErr w:type="spellStart"/>
            <w:r>
              <w:rPr>
                <w:iCs/>
                <w:sz w:val="22"/>
                <w:szCs w:val="22"/>
                <w:lang w:val="es-ES" w:eastAsia="es-UY"/>
              </w:rPr>
              <w:t>conditions</w:t>
            </w:r>
            <w:proofErr w:type="spellEnd"/>
            <w:r>
              <w:rPr>
                <w:iCs/>
                <w:sz w:val="22"/>
                <w:szCs w:val="22"/>
                <w:lang w:val="es-ES" w:eastAsia="es-UY"/>
              </w:rPr>
              <w:t xml:space="preserve"> (</w:t>
            </w:r>
            <w:proofErr w:type="spellStart"/>
            <w:r>
              <w:rPr>
                <w:iCs/>
                <w:sz w:val="22"/>
                <w:szCs w:val="22"/>
                <w:lang w:val="es-ES" w:eastAsia="es-UY"/>
              </w:rPr>
              <w:t>land</w:t>
            </w:r>
            <w:proofErr w:type="spellEnd"/>
            <w:r>
              <w:rPr>
                <w:iCs/>
                <w:sz w:val="22"/>
                <w:szCs w:val="22"/>
                <w:lang w:val="es-ES" w:eastAsia="es-UY"/>
              </w:rPr>
              <w:t xml:space="preserve"> and air </w:t>
            </w:r>
            <w:proofErr w:type="spellStart"/>
            <w:r>
              <w:rPr>
                <w:iCs/>
                <w:sz w:val="22"/>
                <w:szCs w:val="22"/>
                <w:lang w:val="es-ES" w:eastAsia="es-UY"/>
              </w:rPr>
              <w:t>shipments</w:t>
            </w:r>
            <w:proofErr w:type="spellEnd"/>
            <w:r>
              <w:rPr>
                <w:iCs/>
                <w:sz w:val="22"/>
                <w:szCs w:val="22"/>
                <w:lang w:val="es-ES" w:eastAsia="es-UY"/>
              </w:rPr>
              <w:t>).</w:t>
            </w:r>
          </w:p>
          <w:p w14:paraId="3A3078EF" w14:textId="77777777" w:rsidR="00E255F4" w:rsidRDefault="00000000">
            <w:pPr>
              <w:pStyle w:val="NormalWeb"/>
              <w:shd w:val="clear" w:color="auto" w:fill="FFFFFF"/>
            </w:pPr>
            <w:r>
              <w:rPr>
                <w:rFonts w:eastAsia="Calibri"/>
                <w:sz w:val="22"/>
                <w:szCs w:val="22"/>
              </w:rPr>
              <w:t xml:space="preserve">For </w:t>
            </w:r>
            <w:proofErr w:type="spellStart"/>
            <w:r>
              <w:rPr>
                <w:rFonts w:eastAsia="Calibri"/>
                <w:sz w:val="22"/>
                <w:szCs w:val="22"/>
              </w:rPr>
              <w:t>delivery</w:t>
            </w:r>
            <w:proofErr w:type="spellEnd"/>
            <w:r>
              <w:rPr>
                <w:rFonts w:eastAsia="Calibri"/>
                <w:sz w:val="22"/>
                <w:szCs w:val="22"/>
              </w:rPr>
              <w:t xml:space="preserve"> </w:t>
            </w:r>
            <w:proofErr w:type="spellStart"/>
            <w:r>
              <w:rPr>
                <w:rFonts w:eastAsia="Calibri"/>
                <w:sz w:val="22"/>
                <w:szCs w:val="22"/>
              </w:rPr>
              <w:t>to</w:t>
            </w:r>
            <w:proofErr w:type="spellEnd"/>
            <w:r>
              <w:rPr>
                <w:rFonts w:eastAsia="Calibri"/>
                <w:sz w:val="22"/>
                <w:szCs w:val="22"/>
              </w:rPr>
              <w:t xml:space="preserve"> a free </w:t>
            </w:r>
            <w:proofErr w:type="spellStart"/>
            <w:r>
              <w:rPr>
                <w:rFonts w:eastAsia="Calibri"/>
                <w:sz w:val="22"/>
                <w:szCs w:val="22"/>
              </w:rPr>
              <w:t>zone</w:t>
            </w:r>
            <w:proofErr w:type="spellEnd"/>
            <w:r>
              <w:rPr>
                <w:rFonts w:eastAsia="Calibri"/>
                <w:sz w:val="22"/>
                <w:szCs w:val="22"/>
              </w:rPr>
              <w:t xml:space="preserve"> </w:t>
            </w:r>
            <w:proofErr w:type="spellStart"/>
            <w:r>
              <w:rPr>
                <w:rFonts w:eastAsia="Calibri"/>
                <w:sz w:val="22"/>
                <w:szCs w:val="22"/>
              </w:rPr>
              <w:t>or</w:t>
            </w:r>
            <w:proofErr w:type="spellEnd"/>
            <w:r>
              <w:rPr>
                <w:rFonts w:eastAsia="Calibri"/>
                <w:sz w:val="22"/>
                <w:szCs w:val="22"/>
              </w:rPr>
              <w:t xml:space="preserve"> </w:t>
            </w:r>
            <w:proofErr w:type="spellStart"/>
            <w:r>
              <w:rPr>
                <w:rFonts w:eastAsia="Calibri"/>
                <w:sz w:val="22"/>
                <w:szCs w:val="22"/>
              </w:rPr>
              <w:t>warehouse</w:t>
            </w:r>
            <w:proofErr w:type="spellEnd"/>
            <w:r>
              <w:rPr>
                <w:rFonts w:eastAsia="Calibri"/>
                <w:sz w:val="22"/>
                <w:szCs w:val="22"/>
              </w:rPr>
              <w:t xml:space="preserve"> </w:t>
            </w:r>
            <w:proofErr w:type="spellStart"/>
            <w:r>
              <w:rPr>
                <w:rFonts w:eastAsia="Calibri"/>
                <w:sz w:val="22"/>
                <w:szCs w:val="22"/>
              </w:rPr>
              <w:t>with</w:t>
            </w:r>
            <w:proofErr w:type="spellEnd"/>
            <w:r>
              <w:rPr>
                <w:rFonts w:eastAsia="Calibri"/>
                <w:sz w:val="22"/>
                <w:szCs w:val="22"/>
              </w:rPr>
              <w:t xml:space="preserve"> </w:t>
            </w:r>
            <w:proofErr w:type="spellStart"/>
            <w:r>
              <w:rPr>
                <w:rFonts w:eastAsia="Calibri"/>
                <w:sz w:val="22"/>
                <w:szCs w:val="22"/>
              </w:rPr>
              <w:t>customs</w:t>
            </w:r>
            <w:proofErr w:type="spellEnd"/>
            <w:r>
              <w:rPr>
                <w:rFonts w:eastAsia="Calibri"/>
                <w:sz w:val="22"/>
                <w:szCs w:val="22"/>
              </w:rPr>
              <w:t xml:space="preserve"> </w:t>
            </w:r>
            <w:proofErr w:type="spellStart"/>
            <w:r>
              <w:rPr>
                <w:rFonts w:eastAsia="Calibri"/>
                <w:sz w:val="22"/>
                <w:szCs w:val="22"/>
              </w:rPr>
              <w:t>franchise</w:t>
            </w:r>
            <w:proofErr w:type="spellEnd"/>
            <w:r>
              <w:rPr>
                <w:rFonts w:eastAsia="Calibri"/>
                <w:sz w:val="22"/>
                <w:szCs w:val="22"/>
              </w:rPr>
              <w:t xml:space="preserve">, </w:t>
            </w:r>
            <w:proofErr w:type="spellStart"/>
            <w:r>
              <w:rPr>
                <w:rFonts w:eastAsia="Calibri"/>
                <w:sz w:val="22"/>
                <w:szCs w:val="22"/>
              </w:rPr>
              <w:t>the</w:t>
            </w:r>
            <w:proofErr w:type="spellEnd"/>
            <w:r>
              <w:rPr>
                <w:rFonts w:eastAsia="Calibri"/>
                <w:sz w:val="22"/>
                <w:szCs w:val="22"/>
              </w:rPr>
              <w:t xml:space="preserve"> </w:t>
            </w:r>
            <w:proofErr w:type="spellStart"/>
            <w:r>
              <w:rPr>
                <w:rFonts w:eastAsia="Calibri"/>
                <w:sz w:val="22"/>
                <w:szCs w:val="22"/>
              </w:rPr>
              <w:t>term</w:t>
            </w:r>
            <w:proofErr w:type="spellEnd"/>
            <w:r>
              <w:rPr>
                <w:rFonts w:eastAsia="Calibri"/>
                <w:sz w:val="22"/>
                <w:szCs w:val="22"/>
              </w:rPr>
              <w:t xml:space="preserve"> </w:t>
            </w:r>
            <w:proofErr w:type="spellStart"/>
            <w:r>
              <w:rPr>
                <w:rFonts w:eastAsia="Calibri"/>
                <w:sz w:val="22"/>
                <w:szCs w:val="22"/>
              </w:rPr>
              <w:t>will</w:t>
            </w:r>
            <w:proofErr w:type="spellEnd"/>
            <w:r>
              <w:rPr>
                <w:rFonts w:eastAsia="Calibri"/>
                <w:sz w:val="22"/>
                <w:szCs w:val="22"/>
              </w:rPr>
              <w:t xml:space="preserve"> be a </w:t>
            </w:r>
            <w:proofErr w:type="spellStart"/>
            <w:r>
              <w:rPr>
                <w:rFonts w:eastAsia="Calibri"/>
                <w:sz w:val="22"/>
                <w:szCs w:val="22"/>
              </w:rPr>
              <w:t>maximum</w:t>
            </w:r>
            <w:proofErr w:type="spellEnd"/>
            <w:r>
              <w:rPr>
                <w:rFonts w:eastAsia="Calibri"/>
                <w:sz w:val="22"/>
                <w:szCs w:val="22"/>
              </w:rPr>
              <w:t xml:space="preserve"> </w:t>
            </w:r>
            <w:proofErr w:type="spellStart"/>
            <w:r>
              <w:rPr>
                <w:rFonts w:eastAsia="Calibri"/>
                <w:sz w:val="22"/>
                <w:szCs w:val="22"/>
              </w:rPr>
              <w:t>of</w:t>
            </w:r>
            <w:proofErr w:type="spellEnd"/>
            <w:r>
              <w:rPr>
                <w:rFonts w:eastAsia="Calibri"/>
                <w:sz w:val="22"/>
                <w:szCs w:val="22"/>
              </w:rPr>
              <w:t xml:space="preserve"> 140 calendar </w:t>
            </w:r>
            <w:proofErr w:type="spellStart"/>
            <w:r>
              <w:rPr>
                <w:rFonts w:eastAsia="Calibri"/>
                <w:sz w:val="22"/>
                <w:szCs w:val="22"/>
              </w:rPr>
              <w:t>days</w:t>
            </w:r>
            <w:proofErr w:type="spellEnd"/>
            <w:r>
              <w:rPr>
                <w:rFonts w:eastAsia="Calibri"/>
                <w:sz w:val="22"/>
                <w:szCs w:val="22"/>
              </w:rPr>
              <w:t xml:space="preserve"> </w:t>
            </w:r>
            <w:proofErr w:type="spellStart"/>
            <w:r>
              <w:rPr>
                <w:rFonts w:eastAsia="Calibri"/>
                <w:sz w:val="22"/>
                <w:szCs w:val="22"/>
              </w:rPr>
              <w:t>under</w:t>
            </w:r>
            <w:proofErr w:type="spellEnd"/>
            <w:r>
              <w:rPr>
                <w:rFonts w:eastAsia="Calibri"/>
                <w:sz w:val="22"/>
                <w:szCs w:val="22"/>
              </w:rPr>
              <w:t xml:space="preserve"> CIP </w:t>
            </w:r>
            <w:proofErr w:type="spellStart"/>
            <w:r>
              <w:rPr>
                <w:rFonts w:eastAsia="Calibri"/>
                <w:sz w:val="22"/>
                <w:szCs w:val="22"/>
              </w:rPr>
              <w:t>conditions</w:t>
            </w:r>
            <w:proofErr w:type="spellEnd"/>
            <w:r>
              <w:rPr>
                <w:rFonts w:eastAsia="Calibri"/>
                <w:sz w:val="22"/>
                <w:szCs w:val="22"/>
              </w:rPr>
              <w:t>.</w:t>
            </w:r>
          </w:p>
          <w:p w14:paraId="709C4A87" w14:textId="77777777" w:rsidR="00E255F4" w:rsidRDefault="00E255F4">
            <w:pPr>
              <w:pStyle w:val="NormalWeb"/>
              <w:shd w:val="clear" w:color="auto" w:fill="FFFFFF"/>
              <w:rPr>
                <w:rFonts w:eastAsia="Calibri"/>
                <w:sz w:val="22"/>
                <w:szCs w:val="22"/>
                <w:lang w:eastAsia="es-UY"/>
              </w:rPr>
            </w:pPr>
          </w:p>
          <w:p w14:paraId="36E417DA" w14:textId="77777777" w:rsidR="00E255F4" w:rsidRDefault="00000000">
            <w:pPr>
              <w:pStyle w:val="NormalWeb"/>
              <w:shd w:val="clear" w:color="auto" w:fill="FFFFFF"/>
            </w:pPr>
            <w:r>
              <w:rPr>
                <w:rFonts w:eastAsia="Calibri"/>
                <w:sz w:val="22"/>
                <w:szCs w:val="22"/>
              </w:rPr>
              <w:t xml:space="preserve">The </w:t>
            </w:r>
            <w:proofErr w:type="spellStart"/>
            <w:r>
              <w:rPr>
                <w:rFonts w:eastAsia="Calibri"/>
                <w:sz w:val="22"/>
                <w:szCs w:val="22"/>
              </w:rPr>
              <w:t>delivery</w:t>
            </w:r>
            <w:proofErr w:type="spellEnd"/>
            <w:r>
              <w:rPr>
                <w:rFonts w:eastAsia="Calibri"/>
                <w:sz w:val="22"/>
                <w:szCs w:val="22"/>
              </w:rPr>
              <w:t xml:space="preserve"> </w:t>
            </w:r>
            <w:proofErr w:type="spellStart"/>
            <w:r>
              <w:rPr>
                <w:rFonts w:eastAsia="Calibri"/>
                <w:sz w:val="22"/>
                <w:szCs w:val="22"/>
              </w:rPr>
              <w:t>to</w:t>
            </w:r>
            <w:proofErr w:type="spellEnd"/>
            <w:r>
              <w:rPr>
                <w:rFonts w:eastAsia="Calibri"/>
                <w:sz w:val="22"/>
                <w:szCs w:val="22"/>
              </w:rPr>
              <w:t xml:space="preserve"> </w:t>
            </w:r>
            <w:proofErr w:type="spellStart"/>
            <w:r>
              <w:rPr>
                <w:rFonts w:eastAsia="Calibri"/>
                <w:sz w:val="22"/>
                <w:szCs w:val="22"/>
              </w:rPr>
              <w:t>the</w:t>
            </w:r>
            <w:proofErr w:type="spellEnd"/>
            <w:r>
              <w:rPr>
                <w:rFonts w:eastAsia="Calibri"/>
                <w:sz w:val="22"/>
                <w:szCs w:val="22"/>
              </w:rPr>
              <w:t xml:space="preserve"> Free Zone </w:t>
            </w:r>
            <w:proofErr w:type="spellStart"/>
            <w:r>
              <w:rPr>
                <w:rFonts w:eastAsia="Calibri"/>
                <w:sz w:val="22"/>
                <w:szCs w:val="22"/>
              </w:rPr>
              <w:t>or</w:t>
            </w:r>
            <w:proofErr w:type="spellEnd"/>
            <w:r>
              <w:rPr>
                <w:rFonts w:eastAsia="Calibri"/>
                <w:sz w:val="22"/>
                <w:szCs w:val="22"/>
              </w:rPr>
              <w:t xml:space="preserve"> </w:t>
            </w:r>
            <w:proofErr w:type="spellStart"/>
            <w:r>
              <w:rPr>
                <w:rFonts w:eastAsia="Calibri"/>
                <w:sz w:val="22"/>
                <w:szCs w:val="22"/>
              </w:rPr>
              <w:t>customs</w:t>
            </w:r>
            <w:proofErr w:type="spellEnd"/>
            <w:r>
              <w:rPr>
                <w:rFonts w:eastAsia="Calibri"/>
                <w:sz w:val="22"/>
                <w:szCs w:val="22"/>
              </w:rPr>
              <w:t xml:space="preserve"> </w:t>
            </w:r>
            <w:proofErr w:type="spellStart"/>
            <w:r>
              <w:rPr>
                <w:rFonts w:eastAsia="Calibri"/>
                <w:sz w:val="22"/>
                <w:szCs w:val="22"/>
              </w:rPr>
              <w:t>franchise</w:t>
            </w:r>
            <w:proofErr w:type="spellEnd"/>
            <w:r>
              <w:rPr>
                <w:rFonts w:eastAsia="Calibri"/>
                <w:sz w:val="22"/>
                <w:szCs w:val="22"/>
              </w:rPr>
              <w:t xml:space="preserve"> </w:t>
            </w:r>
            <w:proofErr w:type="spellStart"/>
            <w:r>
              <w:rPr>
                <w:rFonts w:eastAsia="Calibri"/>
                <w:sz w:val="22"/>
                <w:szCs w:val="22"/>
              </w:rPr>
              <w:t>warehouse</w:t>
            </w:r>
            <w:proofErr w:type="spellEnd"/>
            <w:r>
              <w:rPr>
                <w:rFonts w:eastAsia="Calibri"/>
                <w:sz w:val="22"/>
                <w:szCs w:val="22"/>
              </w:rPr>
              <w:t xml:space="preserve"> </w:t>
            </w:r>
            <w:proofErr w:type="spellStart"/>
            <w:r>
              <w:rPr>
                <w:rFonts w:eastAsia="Calibri"/>
                <w:sz w:val="22"/>
                <w:szCs w:val="22"/>
              </w:rPr>
              <w:t>will</w:t>
            </w:r>
            <w:proofErr w:type="spellEnd"/>
            <w:r>
              <w:rPr>
                <w:rFonts w:eastAsia="Calibri"/>
                <w:sz w:val="22"/>
                <w:szCs w:val="22"/>
              </w:rPr>
              <w:t xml:space="preserve"> be </w:t>
            </w:r>
            <w:proofErr w:type="spellStart"/>
            <w:r>
              <w:rPr>
                <w:rFonts w:eastAsia="Calibri"/>
                <w:sz w:val="22"/>
                <w:szCs w:val="22"/>
              </w:rPr>
              <w:t>considered</w:t>
            </w:r>
            <w:proofErr w:type="spellEnd"/>
            <w:r>
              <w:rPr>
                <w:rFonts w:eastAsia="Calibri"/>
                <w:sz w:val="22"/>
                <w:szCs w:val="22"/>
              </w:rPr>
              <w:t xml:space="preserve"> complete </w:t>
            </w:r>
            <w:proofErr w:type="spellStart"/>
            <w:r>
              <w:rPr>
                <w:rFonts w:eastAsia="Calibri"/>
                <w:sz w:val="22"/>
                <w:szCs w:val="22"/>
              </w:rPr>
              <w:t>when</w:t>
            </w:r>
            <w:proofErr w:type="spellEnd"/>
            <w:r>
              <w:rPr>
                <w:rFonts w:eastAsia="Calibri"/>
                <w:sz w:val="22"/>
                <w:szCs w:val="22"/>
              </w:rPr>
              <w:t xml:space="preserve"> </w:t>
            </w:r>
            <w:proofErr w:type="spellStart"/>
            <w:r>
              <w:rPr>
                <w:rFonts w:eastAsia="Calibri"/>
                <w:sz w:val="22"/>
                <w:szCs w:val="22"/>
              </w:rPr>
              <w:t>the</w:t>
            </w:r>
            <w:proofErr w:type="spellEnd"/>
            <w:r>
              <w:rPr>
                <w:rFonts w:eastAsia="Calibri"/>
                <w:sz w:val="22"/>
                <w:szCs w:val="22"/>
              </w:rPr>
              <w:t xml:space="preserve"> </w:t>
            </w:r>
            <w:proofErr w:type="spellStart"/>
            <w:r>
              <w:rPr>
                <w:rFonts w:eastAsia="Calibri"/>
                <w:sz w:val="22"/>
                <w:szCs w:val="22"/>
              </w:rPr>
              <w:t>supplier</w:t>
            </w:r>
            <w:proofErr w:type="spellEnd"/>
            <w:r>
              <w:rPr>
                <w:rFonts w:eastAsia="Calibri"/>
                <w:sz w:val="22"/>
                <w:szCs w:val="22"/>
              </w:rPr>
              <w:t xml:space="preserve"> </w:t>
            </w:r>
            <w:proofErr w:type="spellStart"/>
            <w:r>
              <w:rPr>
                <w:rFonts w:eastAsia="Calibri"/>
                <w:sz w:val="22"/>
                <w:szCs w:val="22"/>
              </w:rPr>
              <w:t>delivers</w:t>
            </w:r>
            <w:proofErr w:type="spellEnd"/>
            <w:r>
              <w:rPr>
                <w:rFonts w:eastAsia="Calibri"/>
                <w:sz w:val="22"/>
                <w:szCs w:val="22"/>
              </w:rPr>
              <w:t xml:space="preserve"> </w:t>
            </w:r>
            <w:proofErr w:type="spellStart"/>
            <w:r>
              <w:rPr>
                <w:rFonts w:eastAsia="Calibri"/>
                <w:sz w:val="22"/>
                <w:szCs w:val="22"/>
              </w:rPr>
              <w:t>the</w:t>
            </w:r>
            <w:proofErr w:type="spellEnd"/>
            <w:r>
              <w:rPr>
                <w:rFonts w:eastAsia="Calibri"/>
                <w:sz w:val="22"/>
                <w:szCs w:val="22"/>
              </w:rPr>
              <w:t xml:space="preserve"> </w:t>
            </w:r>
            <w:proofErr w:type="spellStart"/>
            <w:r>
              <w:rPr>
                <w:rFonts w:eastAsia="Calibri"/>
                <w:sz w:val="22"/>
                <w:szCs w:val="22"/>
              </w:rPr>
              <w:t>documents</w:t>
            </w:r>
            <w:proofErr w:type="spellEnd"/>
            <w:r>
              <w:rPr>
                <w:rFonts w:eastAsia="Calibri"/>
                <w:sz w:val="22"/>
                <w:szCs w:val="22"/>
              </w:rPr>
              <w:t xml:space="preserve"> in </w:t>
            </w:r>
            <w:proofErr w:type="spellStart"/>
            <w:r>
              <w:rPr>
                <w:rFonts w:eastAsia="Calibri"/>
                <w:sz w:val="22"/>
                <w:szCs w:val="22"/>
              </w:rPr>
              <w:t>order</w:t>
            </w:r>
            <w:proofErr w:type="spellEnd"/>
            <w:r>
              <w:rPr>
                <w:rFonts w:eastAsia="Calibri"/>
                <w:sz w:val="22"/>
                <w:szCs w:val="22"/>
              </w:rPr>
              <w:t xml:space="preserve"> </w:t>
            </w:r>
            <w:proofErr w:type="spellStart"/>
            <w:r>
              <w:rPr>
                <w:rFonts w:eastAsia="Calibri"/>
                <w:sz w:val="22"/>
                <w:szCs w:val="22"/>
              </w:rPr>
              <w:t>for</w:t>
            </w:r>
            <w:proofErr w:type="spellEnd"/>
            <w:r>
              <w:rPr>
                <w:rFonts w:eastAsia="Calibri"/>
                <w:sz w:val="22"/>
                <w:szCs w:val="22"/>
              </w:rPr>
              <w:t xml:space="preserve"> </w:t>
            </w:r>
            <w:proofErr w:type="spellStart"/>
            <w:r>
              <w:rPr>
                <w:rFonts w:eastAsia="Calibri"/>
                <w:sz w:val="22"/>
                <w:szCs w:val="22"/>
              </w:rPr>
              <w:t>dispatch</w:t>
            </w:r>
            <w:proofErr w:type="spellEnd"/>
            <w:r>
              <w:rPr>
                <w:rFonts w:eastAsia="Calibri"/>
                <w:sz w:val="22"/>
                <w:szCs w:val="22"/>
              </w:rPr>
              <w:t xml:space="preserve"> </w:t>
            </w:r>
            <w:proofErr w:type="spellStart"/>
            <w:r>
              <w:rPr>
                <w:rFonts w:eastAsia="Calibri"/>
                <w:sz w:val="22"/>
                <w:szCs w:val="22"/>
              </w:rPr>
              <w:t>to</w:t>
            </w:r>
            <w:proofErr w:type="spellEnd"/>
            <w:r>
              <w:rPr>
                <w:rFonts w:eastAsia="Calibri"/>
                <w:sz w:val="22"/>
                <w:szCs w:val="22"/>
              </w:rPr>
              <w:t xml:space="preserve"> </w:t>
            </w:r>
            <w:proofErr w:type="spellStart"/>
            <w:r>
              <w:rPr>
                <w:rFonts w:eastAsia="Calibri"/>
                <w:sz w:val="22"/>
                <w:szCs w:val="22"/>
              </w:rPr>
              <w:t>the</w:t>
            </w:r>
            <w:proofErr w:type="spellEnd"/>
            <w:r>
              <w:rPr>
                <w:rFonts w:eastAsia="Calibri"/>
                <w:sz w:val="22"/>
                <w:szCs w:val="22"/>
              </w:rPr>
              <w:t xml:space="preserve"> OSE Foreign Trade Office.</w:t>
            </w:r>
          </w:p>
          <w:p w14:paraId="6773D4F1" w14:textId="77777777" w:rsidR="00E255F4" w:rsidRDefault="00E255F4">
            <w:pPr>
              <w:pStyle w:val="NormalWeb"/>
              <w:shd w:val="clear" w:color="auto" w:fill="FFFFFF"/>
              <w:rPr>
                <w:rFonts w:eastAsia="Calibri"/>
                <w:sz w:val="22"/>
                <w:szCs w:val="22"/>
              </w:rPr>
            </w:pPr>
          </w:p>
          <w:p w14:paraId="61BD1E14" w14:textId="77777777" w:rsidR="00E255F4" w:rsidRDefault="00000000">
            <w:pPr>
              <w:pStyle w:val="Default"/>
              <w:jc w:val="both"/>
            </w:pPr>
            <w:r>
              <w:rPr>
                <w:rFonts w:ascii="Times New Roman" w:hAnsi="Times New Roman" w:cs="Times New Roman"/>
                <w:sz w:val="22"/>
                <w:szCs w:val="22"/>
              </w:rPr>
              <w:t xml:space="preserve">The </w:t>
            </w:r>
            <w:proofErr w:type="spellStart"/>
            <w:r>
              <w:rPr>
                <w:rFonts w:ascii="Times New Roman" w:hAnsi="Times New Roman" w:cs="Times New Roman"/>
                <w:sz w:val="22"/>
                <w:szCs w:val="22"/>
              </w:rPr>
              <w:t>delivery</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period</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will</w:t>
            </w:r>
            <w:proofErr w:type="spellEnd"/>
            <w:r>
              <w:rPr>
                <w:rFonts w:ascii="Times New Roman" w:hAnsi="Times New Roman" w:cs="Times New Roman"/>
                <w:sz w:val="22"/>
                <w:szCs w:val="22"/>
              </w:rPr>
              <w:t xml:space="preserve"> be </w:t>
            </w:r>
            <w:proofErr w:type="spellStart"/>
            <w:r>
              <w:rPr>
                <w:rFonts w:ascii="Times New Roman" w:hAnsi="Times New Roman" w:cs="Times New Roman"/>
                <w:sz w:val="22"/>
                <w:szCs w:val="22"/>
              </w:rPr>
              <w:t>calculated</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from</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the</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day</w:t>
            </w:r>
            <w:proofErr w:type="spellEnd"/>
            <w:r>
              <w:rPr>
                <w:rFonts w:ascii="Times New Roman" w:hAnsi="Times New Roman" w:cs="Times New Roman"/>
                <w:sz w:val="22"/>
                <w:szCs w:val="22"/>
              </w:rPr>
              <w:t xml:space="preserve"> after </w:t>
            </w:r>
            <w:proofErr w:type="spellStart"/>
            <w:r>
              <w:rPr>
                <w:rFonts w:ascii="Times New Roman" w:hAnsi="Times New Roman" w:cs="Times New Roman"/>
                <w:sz w:val="22"/>
                <w:szCs w:val="22"/>
              </w:rPr>
              <w:t>the</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purchase</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order</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is</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communicated</w:t>
            </w:r>
            <w:proofErr w:type="spellEnd"/>
            <w:r>
              <w:rPr>
                <w:rFonts w:ascii="Times New Roman" w:hAnsi="Times New Roman" w:cs="Times New Roman"/>
                <w:sz w:val="22"/>
                <w:szCs w:val="22"/>
              </w:rPr>
              <w:t xml:space="preserve"> (Art. 18 </w:t>
            </w:r>
            <w:proofErr w:type="spellStart"/>
            <w:r>
              <w:rPr>
                <w:rFonts w:ascii="Times New Roman" w:hAnsi="Times New Roman" w:cs="Times New Roman"/>
                <w:sz w:val="22"/>
                <w:szCs w:val="22"/>
              </w:rPr>
              <w:t>of</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this</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document</w:t>
            </w:r>
            <w:proofErr w:type="spellEnd"/>
            <w:r>
              <w:rPr>
                <w:rFonts w:ascii="Times New Roman" w:hAnsi="Times New Roman" w:cs="Times New Roman"/>
                <w:sz w:val="22"/>
                <w:szCs w:val="22"/>
              </w:rPr>
              <w:t>)</w:t>
            </w:r>
          </w:p>
          <w:p w14:paraId="2F37E120" w14:textId="77777777" w:rsidR="00E255F4" w:rsidRDefault="00E255F4">
            <w:pPr>
              <w:jc w:val="both"/>
              <w:rPr>
                <w:rFonts w:eastAsia="Palatino Linotype"/>
                <w:color w:val="000000"/>
                <w:spacing w:val="-1"/>
                <w:position w:val="1"/>
                <w:sz w:val="22"/>
                <w:szCs w:val="22"/>
                <w:lang w:val="en-US"/>
              </w:rPr>
            </w:pPr>
          </w:p>
          <w:p w14:paraId="0DC445C5" w14:textId="77777777" w:rsidR="00E255F4" w:rsidRDefault="00000000">
            <w:pPr>
              <w:jc w:val="both"/>
              <w:rPr>
                <w:rFonts w:eastAsia="Palatino Linotype"/>
                <w:b/>
                <w:spacing w:val="-1"/>
                <w:position w:val="1"/>
                <w:sz w:val="22"/>
                <w:szCs w:val="22"/>
                <w:lang w:val="en-US"/>
              </w:rPr>
            </w:pPr>
            <w:r>
              <w:rPr>
                <w:rFonts w:eastAsia="Palatino Linotype"/>
                <w:b/>
                <w:spacing w:val="-1"/>
                <w:position w:val="1"/>
                <w:sz w:val="22"/>
                <w:szCs w:val="22"/>
                <w:lang w:val="en-US"/>
              </w:rPr>
              <w:t>Transfer of costs and risks</w:t>
            </w:r>
          </w:p>
          <w:p w14:paraId="3DB5526F" w14:textId="77777777" w:rsidR="00E255F4" w:rsidRDefault="00E255F4">
            <w:pPr>
              <w:jc w:val="both"/>
              <w:rPr>
                <w:rFonts w:eastAsia="Palatino Linotype"/>
                <w:b/>
                <w:spacing w:val="-1"/>
                <w:position w:val="1"/>
                <w:sz w:val="22"/>
                <w:szCs w:val="22"/>
                <w:lang w:val="en-US"/>
              </w:rPr>
            </w:pPr>
          </w:p>
          <w:p w14:paraId="70284B2E" w14:textId="77777777" w:rsidR="00E255F4" w:rsidRDefault="00000000">
            <w:pPr>
              <w:spacing w:line="240" w:lineRule="auto"/>
              <w:jc w:val="both"/>
              <w:textAlignment w:val="baseline"/>
              <w:rPr>
                <w:sz w:val="22"/>
                <w:szCs w:val="22"/>
              </w:rPr>
            </w:pPr>
            <w:r>
              <w:rPr>
                <w:sz w:val="22"/>
                <w:szCs w:val="22"/>
              </w:rPr>
              <w:t xml:space="preserve">The place </w:t>
            </w:r>
            <w:proofErr w:type="spellStart"/>
            <w:r>
              <w:rPr>
                <w:sz w:val="22"/>
                <w:szCs w:val="22"/>
              </w:rPr>
              <w:t>of</w:t>
            </w:r>
            <w:proofErr w:type="spellEnd"/>
            <w:r>
              <w:rPr>
                <w:sz w:val="22"/>
                <w:szCs w:val="22"/>
              </w:rPr>
              <w:t xml:space="preserve"> </w:t>
            </w:r>
            <w:proofErr w:type="spellStart"/>
            <w:r>
              <w:rPr>
                <w:sz w:val="22"/>
                <w:szCs w:val="22"/>
              </w:rPr>
              <w:t>delivery</w:t>
            </w:r>
            <w:proofErr w:type="spellEnd"/>
            <w:r>
              <w:rPr>
                <w:sz w:val="22"/>
                <w:szCs w:val="22"/>
              </w:rPr>
              <w:t xml:space="preserve"> </w:t>
            </w:r>
            <w:proofErr w:type="spellStart"/>
            <w:r>
              <w:rPr>
                <w:sz w:val="22"/>
                <w:szCs w:val="22"/>
              </w:rPr>
              <w:t>of</w:t>
            </w:r>
            <w:proofErr w:type="spellEnd"/>
            <w:r>
              <w:rPr>
                <w:sz w:val="22"/>
                <w:szCs w:val="22"/>
              </w:rPr>
              <w:t xml:space="preserve"> </w:t>
            </w:r>
            <w:proofErr w:type="spellStart"/>
            <w:r>
              <w:rPr>
                <w:sz w:val="22"/>
                <w:szCs w:val="22"/>
              </w:rPr>
              <w:t>the</w:t>
            </w:r>
            <w:proofErr w:type="spellEnd"/>
            <w:r>
              <w:rPr>
                <w:sz w:val="22"/>
                <w:szCs w:val="22"/>
              </w:rPr>
              <w:t xml:space="preserve"> </w:t>
            </w:r>
            <w:proofErr w:type="spellStart"/>
            <w:r>
              <w:rPr>
                <w:sz w:val="22"/>
                <w:szCs w:val="22"/>
              </w:rPr>
              <w:t>goods</w:t>
            </w:r>
            <w:proofErr w:type="spellEnd"/>
            <w:r>
              <w:rPr>
                <w:sz w:val="22"/>
                <w:szCs w:val="22"/>
              </w:rPr>
              <w:t xml:space="preserve">, </w:t>
            </w:r>
            <w:proofErr w:type="spellStart"/>
            <w:r>
              <w:rPr>
                <w:sz w:val="22"/>
                <w:szCs w:val="22"/>
              </w:rPr>
              <w:t>the</w:t>
            </w:r>
            <w:proofErr w:type="spellEnd"/>
            <w:r>
              <w:rPr>
                <w:sz w:val="22"/>
                <w:szCs w:val="22"/>
              </w:rPr>
              <w:t xml:space="preserve"> transfer </w:t>
            </w:r>
            <w:proofErr w:type="spellStart"/>
            <w:r>
              <w:rPr>
                <w:sz w:val="22"/>
                <w:szCs w:val="22"/>
              </w:rPr>
              <w:t>of</w:t>
            </w:r>
            <w:proofErr w:type="spellEnd"/>
            <w:r>
              <w:rPr>
                <w:sz w:val="22"/>
                <w:szCs w:val="22"/>
              </w:rPr>
              <w:t xml:space="preserve"> </w:t>
            </w:r>
            <w:proofErr w:type="spellStart"/>
            <w:r>
              <w:rPr>
                <w:sz w:val="22"/>
                <w:szCs w:val="22"/>
              </w:rPr>
              <w:t>costs</w:t>
            </w:r>
            <w:proofErr w:type="spellEnd"/>
            <w:r>
              <w:rPr>
                <w:sz w:val="22"/>
                <w:szCs w:val="22"/>
              </w:rPr>
              <w:t xml:space="preserve"> and </w:t>
            </w:r>
            <w:proofErr w:type="spellStart"/>
            <w:r>
              <w:rPr>
                <w:sz w:val="22"/>
                <w:szCs w:val="22"/>
              </w:rPr>
              <w:t>risks</w:t>
            </w:r>
            <w:proofErr w:type="spellEnd"/>
            <w:r>
              <w:rPr>
                <w:sz w:val="22"/>
                <w:szCs w:val="22"/>
              </w:rPr>
              <w:t xml:space="preserve"> </w:t>
            </w:r>
            <w:proofErr w:type="spellStart"/>
            <w:r>
              <w:rPr>
                <w:sz w:val="22"/>
                <w:szCs w:val="22"/>
              </w:rPr>
              <w:t>will</w:t>
            </w:r>
            <w:proofErr w:type="spellEnd"/>
            <w:r>
              <w:rPr>
                <w:sz w:val="22"/>
                <w:szCs w:val="22"/>
              </w:rPr>
              <w:t xml:space="preserve"> be </w:t>
            </w:r>
            <w:proofErr w:type="spellStart"/>
            <w:r>
              <w:rPr>
                <w:sz w:val="22"/>
                <w:szCs w:val="22"/>
              </w:rPr>
              <w:t>governed</w:t>
            </w:r>
            <w:proofErr w:type="spellEnd"/>
            <w:r>
              <w:rPr>
                <w:sz w:val="22"/>
                <w:szCs w:val="22"/>
              </w:rPr>
              <w:t xml:space="preserve"> </w:t>
            </w:r>
            <w:proofErr w:type="spellStart"/>
            <w:r>
              <w:rPr>
                <w:sz w:val="22"/>
                <w:szCs w:val="22"/>
              </w:rPr>
              <w:t>by</w:t>
            </w:r>
            <w:proofErr w:type="spellEnd"/>
            <w:r>
              <w:rPr>
                <w:sz w:val="22"/>
                <w:szCs w:val="22"/>
              </w:rPr>
              <w:t xml:space="preserve"> </w:t>
            </w:r>
            <w:proofErr w:type="spellStart"/>
            <w:r>
              <w:rPr>
                <w:sz w:val="22"/>
                <w:szCs w:val="22"/>
              </w:rPr>
              <w:t>the</w:t>
            </w:r>
            <w:proofErr w:type="spellEnd"/>
            <w:r>
              <w:rPr>
                <w:sz w:val="22"/>
                <w:szCs w:val="22"/>
              </w:rPr>
              <w:t xml:space="preserve"> INCOTERMS 2020 rules.</w:t>
            </w:r>
          </w:p>
          <w:p w14:paraId="54D92244" w14:textId="77777777" w:rsidR="00E255F4" w:rsidRDefault="00000000">
            <w:pPr>
              <w:spacing w:before="240" w:line="360" w:lineRule="auto"/>
              <w:jc w:val="both"/>
            </w:pPr>
            <w:proofErr w:type="spellStart"/>
            <w:r>
              <w:rPr>
                <w:rFonts w:eastAsia="Palatino Linotype"/>
                <w:b/>
                <w:spacing w:val="-1"/>
                <w:sz w:val="22"/>
                <w:szCs w:val="22"/>
                <w:lang w:val="es-ES"/>
              </w:rPr>
              <w:t>Reception</w:t>
            </w:r>
            <w:proofErr w:type="spellEnd"/>
            <w:r>
              <w:rPr>
                <w:rFonts w:eastAsia="Palatino Linotype"/>
                <w:b/>
                <w:spacing w:val="-1"/>
                <w:sz w:val="22"/>
                <w:szCs w:val="22"/>
                <w:lang w:val="es-ES"/>
              </w:rPr>
              <w:t xml:space="preserve"> </w:t>
            </w:r>
            <w:proofErr w:type="spellStart"/>
            <w:r>
              <w:rPr>
                <w:rFonts w:eastAsia="Palatino Linotype"/>
                <w:b/>
                <w:spacing w:val="-1"/>
                <w:sz w:val="22"/>
                <w:szCs w:val="22"/>
                <w:lang w:val="es-ES"/>
              </w:rPr>
              <w:t>conditions</w:t>
            </w:r>
            <w:proofErr w:type="spellEnd"/>
            <w:r>
              <w:rPr>
                <w:rFonts w:eastAsia="Palatino Linotype"/>
                <w:b/>
                <w:spacing w:val="-1"/>
                <w:sz w:val="22"/>
                <w:szCs w:val="22"/>
                <w:lang w:val="es-ES"/>
              </w:rPr>
              <w:t>:</w:t>
            </w:r>
          </w:p>
          <w:p w14:paraId="29045C9A" w14:textId="77777777" w:rsidR="00E255F4" w:rsidRDefault="00000000">
            <w:pPr>
              <w:pStyle w:val="Prrafodelista"/>
              <w:numPr>
                <w:ilvl w:val="0"/>
                <w:numId w:val="7"/>
              </w:numPr>
              <w:spacing w:after="120"/>
              <w:jc w:val="both"/>
              <w:rPr>
                <w:sz w:val="22"/>
                <w:szCs w:val="22"/>
                <w:lang w:val="es-ES" w:eastAsia="en-US"/>
              </w:rPr>
            </w:pPr>
            <w:r>
              <w:rPr>
                <w:sz w:val="22"/>
                <w:szCs w:val="22"/>
                <w:lang w:val="es-ES" w:eastAsia="en-US"/>
              </w:rPr>
              <w:t xml:space="preserve">The </w:t>
            </w:r>
            <w:proofErr w:type="spellStart"/>
            <w:r>
              <w:rPr>
                <w:sz w:val="22"/>
                <w:szCs w:val="22"/>
                <w:lang w:val="es-ES" w:eastAsia="en-US"/>
              </w:rPr>
              <w:t>batch</w:t>
            </w:r>
            <w:proofErr w:type="spellEnd"/>
            <w:r>
              <w:rPr>
                <w:sz w:val="22"/>
                <w:szCs w:val="22"/>
                <w:lang w:val="es-ES" w:eastAsia="en-US"/>
              </w:rPr>
              <w:t xml:space="preserve"> </w:t>
            </w:r>
            <w:proofErr w:type="spellStart"/>
            <w:r>
              <w:rPr>
                <w:sz w:val="22"/>
                <w:szCs w:val="22"/>
                <w:lang w:val="es-ES" w:eastAsia="en-US"/>
              </w:rPr>
              <w:t>of</w:t>
            </w:r>
            <w:proofErr w:type="spellEnd"/>
            <w:r>
              <w:rPr>
                <w:sz w:val="22"/>
                <w:szCs w:val="22"/>
                <w:lang w:val="es-ES" w:eastAsia="en-US"/>
              </w:rPr>
              <w:t xml:space="preserve"> 50,000 </w:t>
            </w:r>
            <w:proofErr w:type="spellStart"/>
            <w:r>
              <w:rPr>
                <w:sz w:val="22"/>
                <w:szCs w:val="22"/>
                <w:lang w:val="es-ES" w:eastAsia="en-US"/>
              </w:rPr>
              <w:t>integrated</w:t>
            </w:r>
            <w:proofErr w:type="spellEnd"/>
            <w:r>
              <w:rPr>
                <w:sz w:val="22"/>
                <w:szCs w:val="22"/>
                <w:lang w:val="es-ES" w:eastAsia="en-US"/>
              </w:rPr>
              <w:t xml:space="preserve"> 13mm </w:t>
            </w:r>
            <w:proofErr w:type="spellStart"/>
            <w:r>
              <w:rPr>
                <w:sz w:val="22"/>
                <w:szCs w:val="22"/>
                <w:lang w:val="es-ES" w:eastAsia="en-US"/>
              </w:rPr>
              <w:t>smart</w:t>
            </w:r>
            <w:proofErr w:type="spellEnd"/>
            <w:r>
              <w:rPr>
                <w:sz w:val="22"/>
                <w:szCs w:val="22"/>
                <w:lang w:val="es-ES" w:eastAsia="en-US"/>
              </w:rPr>
              <w:t xml:space="preserve"> </w:t>
            </w:r>
            <w:proofErr w:type="spellStart"/>
            <w:r>
              <w:rPr>
                <w:sz w:val="22"/>
                <w:szCs w:val="22"/>
                <w:lang w:val="es-ES" w:eastAsia="en-US"/>
              </w:rPr>
              <w:t>meters</w:t>
            </w:r>
            <w:proofErr w:type="spellEnd"/>
            <w:r>
              <w:rPr>
                <w:sz w:val="22"/>
                <w:szCs w:val="22"/>
                <w:lang w:val="es-ES" w:eastAsia="en-US"/>
              </w:rPr>
              <w:t xml:space="preserve"> </w:t>
            </w:r>
            <w:proofErr w:type="spellStart"/>
            <w:r>
              <w:rPr>
                <w:sz w:val="22"/>
                <w:szCs w:val="22"/>
                <w:lang w:val="es-ES" w:eastAsia="en-US"/>
              </w:rPr>
              <w:t>offered</w:t>
            </w:r>
            <w:proofErr w:type="spellEnd"/>
            <w:r>
              <w:rPr>
                <w:sz w:val="22"/>
                <w:szCs w:val="22"/>
                <w:lang w:val="es-ES" w:eastAsia="en-US"/>
              </w:rPr>
              <w:t xml:space="preserve"> </w:t>
            </w:r>
            <w:proofErr w:type="spellStart"/>
            <w:r>
              <w:rPr>
                <w:sz w:val="22"/>
                <w:szCs w:val="22"/>
                <w:lang w:val="es-ES" w:eastAsia="en-US"/>
              </w:rPr>
              <w:t>will</w:t>
            </w:r>
            <w:proofErr w:type="spellEnd"/>
            <w:r>
              <w:rPr>
                <w:sz w:val="22"/>
                <w:szCs w:val="22"/>
                <w:lang w:val="es-ES" w:eastAsia="en-US"/>
              </w:rPr>
              <w:t xml:space="preserve"> </w:t>
            </w:r>
            <w:proofErr w:type="spellStart"/>
            <w:r>
              <w:rPr>
                <w:sz w:val="22"/>
                <w:szCs w:val="22"/>
                <w:lang w:val="es-ES" w:eastAsia="en-US"/>
              </w:rPr>
              <w:t>undergo</w:t>
            </w:r>
            <w:proofErr w:type="spellEnd"/>
            <w:r>
              <w:rPr>
                <w:sz w:val="22"/>
                <w:szCs w:val="22"/>
                <w:lang w:val="es-ES" w:eastAsia="en-US"/>
              </w:rPr>
              <w:t xml:space="preserve"> </w:t>
            </w:r>
            <w:proofErr w:type="spellStart"/>
            <w:r>
              <w:rPr>
                <w:sz w:val="22"/>
                <w:szCs w:val="22"/>
                <w:lang w:val="es-ES" w:eastAsia="en-US"/>
              </w:rPr>
              <w:t>factory</w:t>
            </w:r>
            <w:proofErr w:type="spellEnd"/>
            <w:r>
              <w:rPr>
                <w:sz w:val="22"/>
                <w:szCs w:val="22"/>
                <w:lang w:val="es-ES" w:eastAsia="en-US"/>
              </w:rPr>
              <w:t xml:space="preserve"> </w:t>
            </w:r>
            <w:proofErr w:type="spellStart"/>
            <w:r>
              <w:rPr>
                <w:sz w:val="22"/>
                <w:szCs w:val="22"/>
                <w:lang w:val="es-ES" w:eastAsia="en-US"/>
              </w:rPr>
              <w:t>acceptance</w:t>
            </w:r>
            <w:proofErr w:type="spellEnd"/>
            <w:r>
              <w:rPr>
                <w:sz w:val="22"/>
                <w:szCs w:val="22"/>
                <w:lang w:val="es-ES" w:eastAsia="en-US"/>
              </w:rPr>
              <w:t xml:space="preserve">, </w:t>
            </w:r>
            <w:proofErr w:type="spellStart"/>
            <w:r>
              <w:rPr>
                <w:sz w:val="22"/>
                <w:szCs w:val="22"/>
                <w:lang w:val="es-ES" w:eastAsia="en-US"/>
              </w:rPr>
              <w:t>with</w:t>
            </w:r>
            <w:proofErr w:type="spellEnd"/>
            <w:r>
              <w:rPr>
                <w:sz w:val="22"/>
                <w:szCs w:val="22"/>
                <w:lang w:val="es-ES" w:eastAsia="en-US"/>
              </w:rPr>
              <w:t xml:space="preserve"> </w:t>
            </w:r>
            <w:proofErr w:type="spellStart"/>
            <w:r>
              <w:rPr>
                <w:sz w:val="22"/>
                <w:szCs w:val="22"/>
                <w:lang w:val="es-ES" w:eastAsia="en-US"/>
              </w:rPr>
              <w:t>the</w:t>
            </w:r>
            <w:proofErr w:type="spellEnd"/>
            <w:r>
              <w:rPr>
                <w:sz w:val="22"/>
                <w:szCs w:val="22"/>
                <w:lang w:val="es-ES" w:eastAsia="en-US"/>
              </w:rPr>
              <w:t xml:space="preserve"> </w:t>
            </w:r>
            <w:proofErr w:type="spellStart"/>
            <w:r>
              <w:rPr>
                <w:sz w:val="22"/>
                <w:szCs w:val="22"/>
                <w:lang w:val="es-ES" w:eastAsia="en-US"/>
              </w:rPr>
              <w:t>characteristics</w:t>
            </w:r>
            <w:proofErr w:type="spellEnd"/>
            <w:r>
              <w:rPr>
                <w:sz w:val="22"/>
                <w:szCs w:val="22"/>
                <w:lang w:val="es-ES" w:eastAsia="en-US"/>
              </w:rPr>
              <w:t xml:space="preserve"> and </w:t>
            </w:r>
            <w:proofErr w:type="spellStart"/>
            <w:r>
              <w:rPr>
                <w:sz w:val="22"/>
                <w:szCs w:val="22"/>
                <w:lang w:val="es-ES" w:eastAsia="en-US"/>
              </w:rPr>
              <w:t>conditions</w:t>
            </w:r>
            <w:proofErr w:type="spellEnd"/>
            <w:r>
              <w:rPr>
                <w:sz w:val="22"/>
                <w:szCs w:val="22"/>
                <w:lang w:val="es-ES" w:eastAsia="en-US"/>
              </w:rPr>
              <w:t xml:space="preserve"> </w:t>
            </w:r>
            <w:proofErr w:type="spellStart"/>
            <w:r>
              <w:rPr>
                <w:sz w:val="22"/>
                <w:szCs w:val="22"/>
                <w:lang w:val="es-ES" w:eastAsia="en-US"/>
              </w:rPr>
              <w:t>described</w:t>
            </w:r>
            <w:proofErr w:type="spellEnd"/>
            <w:r>
              <w:rPr>
                <w:sz w:val="22"/>
                <w:szCs w:val="22"/>
                <w:lang w:val="es-ES" w:eastAsia="en-US"/>
              </w:rPr>
              <w:t xml:space="preserve"> in </w:t>
            </w:r>
            <w:proofErr w:type="spellStart"/>
            <w:r>
              <w:rPr>
                <w:sz w:val="22"/>
                <w:szCs w:val="22"/>
                <w:lang w:val="es-ES" w:eastAsia="en-US"/>
              </w:rPr>
              <w:t>Articles</w:t>
            </w:r>
            <w:proofErr w:type="spellEnd"/>
            <w:r>
              <w:rPr>
                <w:sz w:val="22"/>
                <w:szCs w:val="22"/>
                <w:lang w:val="es-ES" w:eastAsia="en-US"/>
              </w:rPr>
              <w:t xml:space="preserve"> 9.2.1 and 9.2.2 </w:t>
            </w:r>
            <w:proofErr w:type="spellStart"/>
            <w:r>
              <w:rPr>
                <w:sz w:val="22"/>
                <w:szCs w:val="22"/>
                <w:lang w:val="es-ES" w:eastAsia="en-US"/>
              </w:rPr>
              <w:t>of</w:t>
            </w:r>
            <w:proofErr w:type="spellEnd"/>
            <w:r>
              <w:rPr>
                <w:sz w:val="22"/>
                <w:szCs w:val="22"/>
                <w:lang w:val="es-ES" w:eastAsia="en-US"/>
              </w:rPr>
              <w:t xml:space="preserve"> </w:t>
            </w:r>
            <w:proofErr w:type="spellStart"/>
            <w:r>
              <w:rPr>
                <w:sz w:val="22"/>
                <w:szCs w:val="22"/>
                <w:lang w:val="es-ES" w:eastAsia="en-US"/>
              </w:rPr>
              <w:t>Annex</w:t>
            </w:r>
            <w:proofErr w:type="spellEnd"/>
            <w:r>
              <w:rPr>
                <w:sz w:val="22"/>
                <w:szCs w:val="22"/>
                <w:lang w:val="es-ES" w:eastAsia="en-US"/>
              </w:rPr>
              <w:t xml:space="preserve"> VII (</w:t>
            </w:r>
            <w:proofErr w:type="spellStart"/>
            <w:r>
              <w:rPr>
                <w:sz w:val="22"/>
                <w:szCs w:val="22"/>
                <w:lang w:val="es-ES" w:eastAsia="en-US"/>
              </w:rPr>
              <w:t>Technical</w:t>
            </w:r>
            <w:proofErr w:type="spellEnd"/>
            <w:r>
              <w:rPr>
                <w:sz w:val="22"/>
                <w:szCs w:val="22"/>
                <w:lang w:val="es-ES" w:eastAsia="en-US"/>
              </w:rPr>
              <w:t xml:space="preserve"> </w:t>
            </w:r>
            <w:proofErr w:type="spellStart"/>
            <w:r>
              <w:rPr>
                <w:sz w:val="22"/>
                <w:szCs w:val="22"/>
                <w:lang w:val="es-ES" w:eastAsia="en-US"/>
              </w:rPr>
              <w:t>Specifications</w:t>
            </w:r>
            <w:proofErr w:type="spellEnd"/>
            <w:r>
              <w:rPr>
                <w:sz w:val="22"/>
                <w:szCs w:val="22"/>
                <w:lang w:val="es-ES" w:eastAsia="en-US"/>
              </w:rPr>
              <w:t xml:space="preserve">). Factory </w:t>
            </w:r>
            <w:proofErr w:type="spellStart"/>
            <w:r>
              <w:rPr>
                <w:sz w:val="22"/>
                <w:szCs w:val="22"/>
                <w:lang w:val="es-ES" w:eastAsia="en-US"/>
              </w:rPr>
              <w:t>acceptance</w:t>
            </w:r>
            <w:proofErr w:type="spellEnd"/>
            <w:r>
              <w:rPr>
                <w:sz w:val="22"/>
                <w:szCs w:val="22"/>
                <w:lang w:val="es-ES" w:eastAsia="en-US"/>
              </w:rPr>
              <w:t xml:space="preserve"> </w:t>
            </w:r>
            <w:proofErr w:type="spellStart"/>
            <w:r>
              <w:rPr>
                <w:sz w:val="22"/>
                <w:szCs w:val="22"/>
                <w:lang w:val="es-ES" w:eastAsia="en-US"/>
              </w:rPr>
              <w:t>applies</w:t>
            </w:r>
            <w:proofErr w:type="spellEnd"/>
            <w:r>
              <w:rPr>
                <w:sz w:val="22"/>
                <w:szCs w:val="22"/>
                <w:lang w:val="es-ES" w:eastAsia="en-US"/>
              </w:rPr>
              <w:t xml:space="preserve"> </w:t>
            </w:r>
            <w:proofErr w:type="spellStart"/>
            <w:r>
              <w:rPr>
                <w:sz w:val="22"/>
                <w:szCs w:val="22"/>
                <w:lang w:val="es-ES" w:eastAsia="en-US"/>
              </w:rPr>
              <w:t>exclusively</w:t>
            </w:r>
            <w:proofErr w:type="spellEnd"/>
            <w:r>
              <w:rPr>
                <w:sz w:val="22"/>
                <w:szCs w:val="22"/>
                <w:lang w:val="es-ES" w:eastAsia="en-US"/>
              </w:rPr>
              <w:t xml:space="preserve"> </w:t>
            </w:r>
            <w:proofErr w:type="spellStart"/>
            <w:r>
              <w:rPr>
                <w:sz w:val="22"/>
                <w:szCs w:val="22"/>
                <w:lang w:val="es-ES" w:eastAsia="en-US"/>
              </w:rPr>
              <w:t>to</w:t>
            </w:r>
            <w:proofErr w:type="spellEnd"/>
            <w:r>
              <w:rPr>
                <w:sz w:val="22"/>
                <w:szCs w:val="22"/>
                <w:lang w:val="es-ES" w:eastAsia="en-US"/>
              </w:rPr>
              <w:t xml:space="preserve"> </w:t>
            </w:r>
            <w:proofErr w:type="spellStart"/>
            <w:r>
              <w:rPr>
                <w:sz w:val="22"/>
                <w:szCs w:val="22"/>
                <w:lang w:val="es-ES" w:eastAsia="en-US"/>
              </w:rPr>
              <w:t>their</w:t>
            </w:r>
            <w:proofErr w:type="spellEnd"/>
            <w:r>
              <w:rPr>
                <w:sz w:val="22"/>
                <w:szCs w:val="22"/>
                <w:lang w:val="es-ES" w:eastAsia="en-US"/>
              </w:rPr>
              <w:t xml:space="preserve"> </w:t>
            </w:r>
            <w:proofErr w:type="spellStart"/>
            <w:r>
              <w:rPr>
                <w:sz w:val="22"/>
                <w:szCs w:val="22"/>
                <w:lang w:val="es-ES" w:eastAsia="en-US"/>
              </w:rPr>
              <w:t>metrological</w:t>
            </w:r>
            <w:proofErr w:type="spellEnd"/>
            <w:r>
              <w:rPr>
                <w:sz w:val="22"/>
                <w:szCs w:val="22"/>
                <w:lang w:val="es-ES" w:eastAsia="en-US"/>
              </w:rPr>
              <w:t xml:space="preserve"> </w:t>
            </w:r>
            <w:proofErr w:type="spellStart"/>
            <w:r>
              <w:rPr>
                <w:sz w:val="22"/>
                <w:szCs w:val="22"/>
                <w:lang w:val="es-ES" w:eastAsia="en-US"/>
              </w:rPr>
              <w:t>evaluation</w:t>
            </w:r>
            <w:proofErr w:type="spellEnd"/>
            <w:r>
              <w:rPr>
                <w:sz w:val="22"/>
                <w:szCs w:val="22"/>
                <w:lang w:val="es-ES" w:eastAsia="en-US"/>
              </w:rPr>
              <w:t>.</w:t>
            </w:r>
          </w:p>
          <w:p w14:paraId="276147E1" w14:textId="77777777" w:rsidR="00E255F4" w:rsidRDefault="00000000">
            <w:pPr>
              <w:pStyle w:val="Prrafodelista"/>
              <w:numPr>
                <w:ilvl w:val="0"/>
                <w:numId w:val="7"/>
              </w:numPr>
              <w:spacing w:after="120"/>
              <w:jc w:val="both"/>
              <w:rPr>
                <w:sz w:val="22"/>
                <w:szCs w:val="22"/>
                <w:lang w:val="es-ES" w:eastAsia="en-US"/>
              </w:rPr>
            </w:pPr>
            <w:proofErr w:type="spellStart"/>
            <w:r>
              <w:rPr>
                <w:rFonts w:eastAsia="Palatino Linotype"/>
                <w:spacing w:val="-1"/>
                <w:sz w:val="22"/>
                <w:szCs w:val="22"/>
                <w:lang w:val="es-ES" w:eastAsia="en-US"/>
              </w:rPr>
              <w:t>Upon</w:t>
            </w:r>
            <w:proofErr w:type="spellEnd"/>
            <w:r>
              <w:rPr>
                <w:rFonts w:eastAsia="Palatino Linotype"/>
                <w:spacing w:val="-1"/>
                <w:sz w:val="22"/>
                <w:szCs w:val="22"/>
                <w:lang w:val="es-ES" w:eastAsia="en-US"/>
              </w:rPr>
              <w:t xml:space="preserve"> </w:t>
            </w:r>
            <w:proofErr w:type="spellStart"/>
            <w:r>
              <w:rPr>
                <w:rFonts w:eastAsia="Palatino Linotype"/>
                <w:spacing w:val="-1"/>
                <w:sz w:val="22"/>
                <w:szCs w:val="22"/>
                <w:lang w:val="es-ES" w:eastAsia="en-US"/>
              </w:rPr>
              <w:t>receipt</w:t>
            </w:r>
            <w:proofErr w:type="spellEnd"/>
            <w:r>
              <w:rPr>
                <w:rFonts w:eastAsia="Palatino Linotype"/>
                <w:spacing w:val="-1"/>
                <w:sz w:val="22"/>
                <w:szCs w:val="22"/>
                <w:lang w:val="es-ES" w:eastAsia="en-US"/>
              </w:rPr>
              <w:t xml:space="preserve"> at OSE, </w:t>
            </w:r>
            <w:proofErr w:type="spellStart"/>
            <w:r>
              <w:rPr>
                <w:rFonts w:eastAsia="Palatino Linotype"/>
                <w:spacing w:val="-1"/>
                <w:sz w:val="22"/>
                <w:szCs w:val="22"/>
                <w:lang w:val="es-ES" w:eastAsia="en-US"/>
              </w:rPr>
              <w:t>compliance</w:t>
            </w:r>
            <w:proofErr w:type="spellEnd"/>
            <w:r>
              <w:rPr>
                <w:rFonts w:eastAsia="Palatino Linotype"/>
                <w:spacing w:val="-1"/>
                <w:sz w:val="22"/>
                <w:szCs w:val="22"/>
                <w:lang w:val="es-ES" w:eastAsia="en-US"/>
              </w:rPr>
              <w:t xml:space="preserve"> </w:t>
            </w:r>
            <w:proofErr w:type="spellStart"/>
            <w:r>
              <w:rPr>
                <w:rFonts w:eastAsia="Palatino Linotype"/>
                <w:spacing w:val="-1"/>
                <w:sz w:val="22"/>
                <w:szCs w:val="22"/>
                <w:lang w:val="es-ES" w:eastAsia="en-US"/>
              </w:rPr>
              <w:t>with</w:t>
            </w:r>
            <w:proofErr w:type="spellEnd"/>
            <w:r>
              <w:rPr>
                <w:rFonts w:eastAsia="Palatino Linotype"/>
                <w:spacing w:val="-1"/>
                <w:sz w:val="22"/>
                <w:szCs w:val="22"/>
                <w:lang w:val="es-ES" w:eastAsia="en-US"/>
              </w:rPr>
              <w:t xml:space="preserve"> </w:t>
            </w:r>
            <w:proofErr w:type="spellStart"/>
            <w:r>
              <w:rPr>
                <w:rFonts w:eastAsia="Palatino Linotype"/>
                <w:spacing w:val="-1"/>
                <w:sz w:val="22"/>
                <w:szCs w:val="22"/>
                <w:lang w:val="es-ES" w:eastAsia="en-US"/>
              </w:rPr>
              <w:t>the</w:t>
            </w:r>
            <w:proofErr w:type="spellEnd"/>
            <w:r>
              <w:rPr>
                <w:rFonts w:eastAsia="Palatino Linotype"/>
                <w:spacing w:val="-1"/>
                <w:sz w:val="22"/>
                <w:szCs w:val="22"/>
                <w:lang w:val="es-ES" w:eastAsia="en-US"/>
              </w:rPr>
              <w:t xml:space="preserve"> </w:t>
            </w:r>
            <w:proofErr w:type="spellStart"/>
            <w:r>
              <w:rPr>
                <w:rFonts w:eastAsia="Palatino Linotype"/>
                <w:spacing w:val="-1"/>
                <w:sz w:val="22"/>
                <w:szCs w:val="22"/>
                <w:lang w:val="es-ES" w:eastAsia="en-US"/>
              </w:rPr>
              <w:t>provisions</w:t>
            </w:r>
            <w:proofErr w:type="spellEnd"/>
            <w:r>
              <w:rPr>
                <w:rFonts w:eastAsia="Palatino Linotype"/>
                <w:spacing w:val="-1"/>
                <w:sz w:val="22"/>
                <w:szCs w:val="22"/>
                <w:lang w:val="es-ES" w:eastAsia="en-US"/>
              </w:rPr>
              <w:t xml:space="preserve"> </w:t>
            </w:r>
            <w:proofErr w:type="spellStart"/>
            <w:r>
              <w:rPr>
                <w:rFonts w:eastAsia="Palatino Linotype"/>
                <w:spacing w:val="-1"/>
                <w:sz w:val="22"/>
                <w:szCs w:val="22"/>
                <w:lang w:val="es-ES" w:eastAsia="en-US"/>
              </w:rPr>
              <w:t>of</w:t>
            </w:r>
            <w:proofErr w:type="spellEnd"/>
            <w:r>
              <w:rPr>
                <w:rFonts w:eastAsia="Palatino Linotype"/>
                <w:spacing w:val="-1"/>
                <w:sz w:val="22"/>
                <w:szCs w:val="22"/>
                <w:lang w:val="es-ES" w:eastAsia="en-US"/>
              </w:rPr>
              <w:t xml:space="preserve"> </w:t>
            </w:r>
            <w:proofErr w:type="spellStart"/>
            <w:r>
              <w:rPr>
                <w:rFonts w:eastAsia="Palatino Linotype"/>
                <w:spacing w:val="-1"/>
                <w:sz w:val="22"/>
                <w:szCs w:val="22"/>
                <w:lang w:val="es-ES" w:eastAsia="en-US"/>
              </w:rPr>
              <w:t>the</w:t>
            </w:r>
            <w:proofErr w:type="spellEnd"/>
            <w:r>
              <w:rPr>
                <w:rFonts w:eastAsia="Palatino Linotype"/>
                <w:spacing w:val="-1"/>
                <w:sz w:val="22"/>
                <w:szCs w:val="22"/>
                <w:lang w:val="es-ES" w:eastAsia="en-US"/>
              </w:rPr>
              <w:t xml:space="preserve"> </w:t>
            </w:r>
            <w:proofErr w:type="spellStart"/>
            <w:r>
              <w:rPr>
                <w:rFonts w:eastAsia="Palatino Linotype"/>
                <w:spacing w:val="-1"/>
                <w:sz w:val="22"/>
                <w:szCs w:val="22"/>
                <w:lang w:val="es-ES" w:eastAsia="en-US"/>
              </w:rPr>
              <w:t>Technical</w:t>
            </w:r>
            <w:proofErr w:type="spellEnd"/>
            <w:r>
              <w:rPr>
                <w:rFonts w:eastAsia="Palatino Linotype"/>
                <w:spacing w:val="-1"/>
                <w:sz w:val="22"/>
                <w:szCs w:val="22"/>
                <w:lang w:val="es-ES" w:eastAsia="en-US"/>
              </w:rPr>
              <w:t xml:space="preserve"> </w:t>
            </w:r>
            <w:proofErr w:type="spellStart"/>
            <w:r>
              <w:rPr>
                <w:rFonts w:eastAsia="Palatino Linotype"/>
                <w:spacing w:val="-1"/>
                <w:sz w:val="22"/>
                <w:szCs w:val="22"/>
                <w:lang w:val="es-ES" w:eastAsia="en-US"/>
              </w:rPr>
              <w:t>Specifications</w:t>
            </w:r>
            <w:proofErr w:type="spellEnd"/>
            <w:r>
              <w:rPr>
                <w:rFonts w:eastAsia="Palatino Linotype"/>
                <w:spacing w:val="-1"/>
                <w:sz w:val="22"/>
                <w:szCs w:val="22"/>
                <w:lang w:val="es-ES" w:eastAsia="en-US"/>
              </w:rPr>
              <w:t xml:space="preserve"> (</w:t>
            </w:r>
            <w:proofErr w:type="spellStart"/>
            <w:r>
              <w:rPr>
                <w:rFonts w:eastAsia="Palatino Linotype"/>
                <w:spacing w:val="-1"/>
                <w:sz w:val="22"/>
                <w:szCs w:val="22"/>
                <w:lang w:val="es-ES" w:eastAsia="en-US"/>
              </w:rPr>
              <w:t>Annex</w:t>
            </w:r>
            <w:proofErr w:type="spellEnd"/>
            <w:r>
              <w:rPr>
                <w:rFonts w:eastAsia="Palatino Linotype"/>
                <w:spacing w:val="-1"/>
                <w:sz w:val="22"/>
                <w:szCs w:val="22"/>
                <w:lang w:val="es-ES" w:eastAsia="en-US"/>
              </w:rPr>
              <w:t xml:space="preserve"> VII) </w:t>
            </w:r>
            <w:proofErr w:type="spellStart"/>
            <w:r>
              <w:rPr>
                <w:rFonts w:eastAsia="Palatino Linotype"/>
                <w:spacing w:val="-1"/>
                <w:sz w:val="22"/>
                <w:szCs w:val="22"/>
                <w:lang w:val="es-ES" w:eastAsia="en-US"/>
              </w:rPr>
              <w:t>regarding</w:t>
            </w:r>
            <w:proofErr w:type="spellEnd"/>
            <w:r>
              <w:rPr>
                <w:rFonts w:eastAsia="Palatino Linotype"/>
                <w:spacing w:val="-1"/>
                <w:sz w:val="22"/>
                <w:szCs w:val="22"/>
                <w:lang w:val="es-ES" w:eastAsia="en-US"/>
              </w:rPr>
              <w:t xml:space="preserve"> </w:t>
            </w:r>
            <w:proofErr w:type="spellStart"/>
            <w:r>
              <w:rPr>
                <w:rFonts w:eastAsia="Palatino Linotype"/>
                <w:spacing w:val="-1"/>
                <w:sz w:val="22"/>
                <w:szCs w:val="22"/>
                <w:lang w:val="es-ES" w:eastAsia="en-US"/>
              </w:rPr>
              <w:t>delivery</w:t>
            </w:r>
            <w:proofErr w:type="spellEnd"/>
            <w:r>
              <w:rPr>
                <w:rFonts w:eastAsia="Palatino Linotype"/>
                <w:spacing w:val="-1"/>
                <w:sz w:val="22"/>
                <w:szCs w:val="22"/>
                <w:lang w:val="es-ES" w:eastAsia="en-US"/>
              </w:rPr>
              <w:t xml:space="preserve"> </w:t>
            </w:r>
            <w:proofErr w:type="spellStart"/>
            <w:r>
              <w:rPr>
                <w:rFonts w:eastAsia="Palatino Linotype"/>
                <w:spacing w:val="-1"/>
                <w:sz w:val="22"/>
                <w:szCs w:val="22"/>
                <w:lang w:val="es-ES" w:eastAsia="en-US"/>
              </w:rPr>
              <w:t>conditions</w:t>
            </w:r>
            <w:proofErr w:type="spellEnd"/>
            <w:r>
              <w:rPr>
                <w:rFonts w:eastAsia="Palatino Linotype"/>
                <w:spacing w:val="-1"/>
                <w:sz w:val="22"/>
                <w:szCs w:val="22"/>
                <w:lang w:val="es-ES" w:eastAsia="en-US"/>
              </w:rPr>
              <w:t xml:space="preserve"> </w:t>
            </w:r>
            <w:proofErr w:type="spellStart"/>
            <w:r>
              <w:rPr>
                <w:rFonts w:eastAsia="Palatino Linotype"/>
                <w:spacing w:val="-1"/>
                <w:sz w:val="22"/>
                <w:szCs w:val="22"/>
                <w:lang w:val="es-ES" w:eastAsia="en-US"/>
              </w:rPr>
              <w:t>will</w:t>
            </w:r>
            <w:proofErr w:type="spellEnd"/>
            <w:r>
              <w:rPr>
                <w:rFonts w:eastAsia="Palatino Linotype"/>
                <w:spacing w:val="-1"/>
                <w:sz w:val="22"/>
                <w:szCs w:val="22"/>
                <w:lang w:val="es-ES" w:eastAsia="en-US"/>
              </w:rPr>
              <w:t xml:space="preserve"> be </w:t>
            </w:r>
            <w:proofErr w:type="spellStart"/>
            <w:proofErr w:type="gramStart"/>
            <w:r>
              <w:rPr>
                <w:rFonts w:eastAsia="Palatino Linotype"/>
                <w:spacing w:val="-1"/>
                <w:sz w:val="22"/>
                <w:szCs w:val="22"/>
                <w:lang w:val="es-ES" w:eastAsia="en-US"/>
              </w:rPr>
              <w:t>verified.</w:t>
            </w:r>
            <w:r>
              <w:rPr>
                <w:sz w:val="22"/>
                <w:szCs w:val="22"/>
                <w:lang w:val="es-ES" w:eastAsia="en-US"/>
              </w:rPr>
              <w:t>The</w:t>
            </w:r>
            <w:proofErr w:type="spellEnd"/>
            <w:proofErr w:type="gramEnd"/>
            <w:r>
              <w:rPr>
                <w:sz w:val="22"/>
                <w:szCs w:val="22"/>
                <w:lang w:val="es-ES" w:eastAsia="en-US"/>
              </w:rPr>
              <w:t xml:space="preserve"> </w:t>
            </w:r>
            <w:proofErr w:type="spellStart"/>
            <w:r>
              <w:rPr>
                <w:sz w:val="22"/>
                <w:szCs w:val="22"/>
                <w:lang w:val="es-ES" w:eastAsia="en-US"/>
              </w:rPr>
              <w:t>consistency</w:t>
            </w:r>
            <w:proofErr w:type="spellEnd"/>
            <w:r>
              <w:rPr>
                <w:sz w:val="22"/>
                <w:szCs w:val="22"/>
                <w:lang w:val="es-ES" w:eastAsia="en-US"/>
              </w:rPr>
              <w:t xml:space="preserve"> </w:t>
            </w:r>
            <w:proofErr w:type="spellStart"/>
            <w:r>
              <w:rPr>
                <w:sz w:val="22"/>
                <w:szCs w:val="22"/>
                <w:lang w:val="es-ES" w:eastAsia="en-US"/>
              </w:rPr>
              <w:t>of</w:t>
            </w:r>
            <w:proofErr w:type="spellEnd"/>
            <w:r>
              <w:rPr>
                <w:sz w:val="22"/>
                <w:szCs w:val="22"/>
                <w:lang w:val="es-ES" w:eastAsia="en-US"/>
              </w:rPr>
              <w:t xml:space="preserve"> </w:t>
            </w:r>
            <w:proofErr w:type="spellStart"/>
            <w:r>
              <w:rPr>
                <w:sz w:val="22"/>
                <w:szCs w:val="22"/>
                <w:lang w:val="es-ES" w:eastAsia="en-US"/>
              </w:rPr>
              <w:t>the</w:t>
            </w:r>
            <w:proofErr w:type="spellEnd"/>
            <w:r>
              <w:rPr>
                <w:sz w:val="22"/>
                <w:szCs w:val="22"/>
                <w:lang w:val="es-ES" w:eastAsia="en-US"/>
              </w:rPr>
              <w:t xml:space="preserve"> </w:t>
            </w:r>
            <w:proofErr w:type="spellStart"/>
            <w:r>
              <w:rPr>
                <w:sz w:val="22"/>
                <w:szCs w:val="22"/>
                <w:lang w:val="es-ES" w:eastAsia="en-US"/>
              </w:rPr>
              <w:t>characteristics</w:t>
            </w:r>
            <w:proofErr w:type="spellEnd"/>
            <w:r>
              <w:rPr>
                <w:sz w:val="22"/>
                <w:szCs w:val="22"/>
                <w:lang w:val="es-ES" w:eastAsia="en-US"/>
              </w:rPr>
              <w:t xml:space="preserve"> </w:t>
            </w:r>
            <w:proofErr w:type="spellStart"/>
            <w:r>
              <w:rPr>
                <w:sz w:val="22"/>
                <w:szCs w:val="22"/>
                <w:lang w:val="es-ES" w:eastAsia="en-US"/>
              </w:rPr>
              <w:t>of</w:t>
            </w:r>
            <w:proofErr w:type="spellEnd"/>
            <w:r>
              <w:rPr>
                <w:sz w:val="22"/>
                <w:szCs w:val="22"/>
                <w:lang w:val="es-ES" w:eastAsia="en-US"/>
              </w:rPr>
              <w:t xml:space="preserve"> </w:t>
            </w:r>
            <w:proofErr w:type="spellStart"/>
            <w:r>
              <w:rPr>
                <w:sz w:val="22"/>
                <w:szCs w:val="22"/>
                <w:lang w:val="es-ES" w:eastAsia="en-US"/>
              </w:rPr>
              <w:t>the</w:t>
            </w:r>
            <w:proofErr w:type="spellEnd"/>
            <w:r>
              <w:rPr>
                <w:sz w:val="22"/>
                <w:szCs w:val="22"/>
                <w:lang w:val="es-ES" w:eastAsia="en-US"/>
              </w:rPr>
              <w:t xml:space="preserve"> </w:t>
            </w:r>
            <w:proofErr w:type="spellStart"/>
            <w:r>
              <w:rPr>
                <w:sz w:val="22"/>
                <w:szCs w:val="22"/>
                <w:lang w:val="es-ES" w:eastAsia="en-US"/>
              </w:rPr>
              <w:t>product</w:t>
            </w:r>
            <w:proofErr w:type="spellEnd"/>
            <w:r>
              <w:rPr>
                <w:sz w:val="22"/>
                <w:szCs w:val="22"/>
                <w:lang w:val="es-ES" w:eastAsia="en-US"/>
              </w:rPr>
              <w:t xml:space="preserve"> </w:t>
            </w:r>
            <w:proofErr w:type="spellStart"/>
            <w:r>
              <w:rPr>
                <w:sz w:val="22"/>
                <w:szCs w:val="22"/>
                <w:lang w:val="es-ES" w:eastAsia="en-US"/>
              </w:rPr>
              <w:t>offered</w:t>
            </w:r>
            <w:proofErr w:type="spellEnd"/>
            <w:r>
              <w:rPr>
                <w:sz w:val="22"/>
                <w:szCs w:val="22"/>
                <w:lang w:val="es-ES" w:eastAsia="en-US"/>
              </w:rPr>
              <w:t xml:space="preserve"> </w:t>
            </w:r>
            <w:proofErr w:type="spellStart"/>
            <w:r>
              <w:rPr>
                <w:sz w:val="22"/>
                <w:szCs w:val="22"/>
                <w:lang w:val="es-ES" w:eastAsia="en-US"/>
              </w:rPr>
              <w:t>with</w:t>
            </w:r>
            <w:proofErr w:type="spellEnd"/>
            <w:r>
              <w:rPr>
                <w:sz w:val="22"/>
                <w:szCs w:val="22"/>
                <w:lang w:val="es-ES" w:eastAsia="en-US"/>
              </w:rPr>
              <w:t xml:space="preserve"> </w:t>
            </w:r>
            <w:proofErr w:type="spellStart"/>
            <w:r>
              <w:rPr>
                <w:sz w:val="22"/>
                <w:szCs w:val="22"/>
                <w:lang w:val="es-ES" w:eastAsia="en-US"/>
              </w:rPr>
              <w:t>respect</w:t>
            </w:r>
            <w:proofErr w:type="spellEnd"/>
            <w:r>
              <w:rPr>
                <w:sz w:val="22"/>
                <w:szCs w:val="22"/>
                <w:lang w:val="es-ES" w:eastAsia="en-US"/>
              </w:rPr>
              <w:t xml:space="preserve"> </w:t>
            </w:r>
            <w:proofErr w:type="spellStart"/>
            <w:r>
              <w:rPr>
                <w:sz w:val="22"/>
                <w:szCs w:val="22"/>
                <w:lang w:val="es-ES" w:eastAsia="en-US"/>
              </w:rPr>
              <w:t>to</w:t>
            </w:r>
            <w:proofErr w:type="spellEnd"/>
            <w:r>
              <w:rPr>
                <w:sz w:val="22"/>
                <w:szCs w:val="22"/>
                <w:lang w:val="es-ES" w:eastAsia="en-US"/>
              </w:rPr>
              <w:t xml:space="preserve"> </w:t>
            </w:r>
            <w:proofErr w:type="spellStart"/>
            <w:r>
              <w:rPr>
                <w:sz w:val="22"/>
                <w:szCs w:val="22"/>
                <w:lang w:val="es-ES" w:eastAsia="en-US"/>
              </w:rPr>
              <w:t>the</w:t>
            </w:r>
            <w:proofErr w:type="spellEnd"/>
            <w:r>
              <w:rPr>
                <w:sz w:val="22"/>
                <w:szCs w:val="22"/>
                <w:lang w:val="es-ES" w:eastAsia="en-US"/>
              </w:rPr>
              <w:t xml:space="preserve"> </w:t>
            </w:r>
            <w:proofErr w:type="spellStart"/>
            <w:r>
              <w:rPr>
                <w:sz w:val="22"/>
                <w:szCs w:val="22"/>
                <w:lang w:val="es-ES" w:eastAsia="en-US"/>
              </w:rPr>
              <w:t>one</w:t>
            </w:r>
            <w:proofErr w:type="spellEnd"/>
            <w:r>
              <w:rPr>
                <w:sz w:val="22"/>
                <w:szCs w:val="22"/>
                <w:lang w:val="es-ES" w:eastAsia="en-US"/>
              </w:rPr>
              <w:t xml:space="preserve"> </w:t>
            </w:r>
            <w:proofErr w:type="spellStart"/>
            <w:r>
              <w:rPr>
                <w:sz w:val="22"/>
                <w:szCs w:val="22"/>
                <w:lang w:val="es-ES" w:eastAsia="en-US"/>
              </w:rPr>
              <w:t>provided</w:t>
            </w:r>
            <w:proofErr w:type="spellEnd"/>
            <w:r>
              <w:rPr>
                <w:sz w:val="22"/>
                <w:szCs w:val="22"/>
                <w:lang w:val="es-ES" w:eastAsia="en-US"/>
              </w:rPr>
              <w:t xml:space="preserve"> </w:t>
            </w:r>
            <w:proofErr w:type="spellStart"/>
            <w:r>
              <w:rPr>
                <w:sz w:val="22"/>
                <w:szCs w:val="22"/>
                <w:lang w:val="es-ES" w:eastAsia="en-US"/>
              </w:rPr>
              <w:t>will</w:t>
            </w:r>
            <w:proofErr w:type="spellEnd"/>
            <w:r>
              <w:rPr>
                <w:sz w:val="22"/>
                <w:szCs w:val="22"/>
                <w:lang w:val="es-ES" w:eastAsia="en-US"/>
              </w:rPr>
              <w:t xml:space="preserve"> be </w:t>
            </w:r>
            <w:proofErr w:type="spellStart"/>
            <w:r>
              <w:rPr>
                <w:sz w:val="22"/>
                <w:szCs w:val="22"/>
                <w:lang w:val="es-ES" w:eastAsia="en-US"/>
              </w:rPr>
              <w:t>verified</w:t>
            </w:r>
            <w:proofErr w:type="spellEnd"/>
            <w:r>
              <w:rPr>
                <w:sz w:val="22"/>
                <w:szCs w:val="22"/>
                <w:lang w:val="es-ES" w:eastAsia="en-US"/>
              </w:rPr>
              <w:t xml:space="preserve">, and </w:t>
            </w:r>
            <w:proofErr w:type="spellStart"/>
            <w:r>
              <w:rPr>
                <w:sz w:val="22"/>
                <w:szCs w:val="22"/>
                <w:lang w:val="es-ES" w:eastAsia="en-US"/>
              </w:rPr>
              <w:t>they</w:t>
            </w:r>
            <w:proofErr w:type="spellEnd"/>
            <w:r>
              <w:rPr>
                <w:sz w:val="22"/>
                <w:szCs w:val="22"/>
                <w:lang w:val="es-ES" w:eastAsia="en-US"/>
              </w:rPr>
              <w:t xml:space="preserve"> </w:t>
            </w:r>
            <w:proofErr w:type="spellStart"/>
            <w:r>
              <w:rPr>
                <w:sz w:val="22"/>
                <w:szCs w:val="22"/>
                <w:lang w:val="es-ES" w:eastAsia="en-US"/>
              </w:rPr>
              <w:t>must</w:t>
            </w:r>
            <w:proofErr w:type="spellEnd"/>
            <w:r>
              <w:rPr>
                <w:sz w:val="22"/>
                <w:szCs w:val="22"/>
                <w:lang w:val="es-ES" w:eastAsia="en-US"/>
              </w:rPr>
              <w:t xml:space="preserve"> coincide.</w:t>
            </w:r>
          </w:p>
          <w:p w14:paraId="5A0F4499" w14:textId="77777777" w:rsidR="00E255F4" w:rsidRDefault="00000000">
            <w:pPr>
              <w:pStyle w:val="Prrafodelista"/>
              <w:numPr>
                <w:ilvl w:val="0"/>
                <w:numId w:val="7"/>
              </w:numPr>
              <w:spacing w:after="120"/>
              <w:jc w:val="both"/>
            </w:pPr>
            <w:r>
              <w:rPr>
                <w:sz w:val="22"/>
                <w:szCs w:val="22"/>
                <w:lang w:val="es-ES" w:eastAsia="en-US"/>
              </w:rPr>
              <w:t xml:space="preserve">The provisional </w:t>
            </w:r>
            <w:proofErr w:type="spellStart"/>
            <w:r>
              <w:rPr>
                <w:sz w:val="22"/>
                <w:szCs w:val="22"/>
                <w:lang w:val="es-ES" w:eastAsia="en-US"/>
              </w:rPr>
              <w:t>acceptance</w:t>
            </w:r>
            <w:proofErr w:type="spellEnd"/>
            <w:r>
              <w:rPr>
                <w:sz w:val="22"/>
                <w:szCs w:val="22"/>
                <w:lang w:val="es-ES" w:eastAsia="en-US"/>
              </w:rPr>
              <w:t xml:space="preserve"> </w:t>
            </w:r>
            <w:proofErr w:type="spellStart"/>
            <w:r>
              <w:rPr>
                <w:sz w:val="22"/>
                <w:szCs w:val="22"/>
                <w:lang w:val="es-ES" w:eastAsia="en-US"/>
              </w:rPr>
              <w:t>of</w:t>
            </w:r>
            <w:proofErr w:type="spellEnd"/>
            <w:r>
              <w:rPr>
                <w:sz w:val="22"/>
                <w:szCs w:val="22"/>
                <w:lang w:val="es-ES" w:eastAsia="en-US"/>
              </w:rPr>
              <w:t xml:space="preserve"> </w:t>
            </w:r>
            <w:proofErr w:type="spellStart"/>
            <w:r>
              <w:rPr>
                <w:sz w:val="22"/>
                <w:szCs w:val="22"/>
                <w:lang w:val="es-ES" w:eastAsia="en-US"/>
              </w:rPr>
              <w:t>the</w:t>
            </w:r>
            <w:proofErr w:type="spellEnd"/>
            <w:r>
              <w:rPr>
                <w:sz w:val="22"/>
                <w:szCs w:val="22"/>
                <w:lang w:val="es-ES" w:eastAsia="en-US"/>
              </w:rPr>
              <w:t xml:space="preserve"> tender </w:t>
            </w:r>
            <w:proofErr w:type="spellStart"/>
            <w:r>
              <w:rPr>
                <w:sz w:val="22"/>
                <w:szCs w:val="22"/>
                <w:lang w:val="es-ES" w:eastAsia="en-US"/>
              </w:rPr>
              <w:t>will</w:t>
            </w:r>
            <w:proofErr w:type="spellEnd"/>
            <w:r>
              <w:rPr>
                <w:sz w:val="22"/>
                <w:szCs w:val="22"/>
                <w:lang w:val="es-ES" w:eastAsia="en-US"/>
              </w:rPr>
              <w:t xml:space="preserve"> be once </w:t>
            </w:r>
            <w:proofErr w:type="spellStart"/>
            <w:r>
              <w:rPr>
                <w:sz w:val="22"/>
                <w:szCs w:val="22"/>
                <w:lang w:val="es-ES" w:eastAsia="en-US"/>
              </w:rPr>
              <w:t>the</w:t>
            </w:r>
            <w:proofErr w:type="spellEnd"/>
            <w:r>
              <w:rPr>
                <w:sz w:val="22"/>
                <w:szCs w:val="22"/>
                <w:lang w:val="es-ES" w:eastAsia="en-US"/>
              </w:rPr>
              <w:t xml:space="preserve"> </w:t>
            </w:r>
            <w:proofErr w:type="spellStart"/>
            <w:r>
              <w:rPr>
                <w:sz w:val="22"/>
                <w:szCs w:val="22"/>
                <w:lang w:val="es-ES" w:eastAsia="en-US"/>
              </w:rPr>
              <w:t>conditions</w:t>
            </w:r>
            <w:proofErr w:type="spellEnd"/>
            <w:r>
              <w:rPr>
                <w:sz w:val="22"/>
                <w:szCs w:val="22"/>
                <w:lang w:val="es-ES" w:eastAsia="en-US"/>
              </w:rPr>
              <w:t xml:space="preserve"> </w:t>
            </w:r>
            <w:proofErr w:type="spellStart"/>
            <w:r>
              <w:rPr>
                <w:sz w:val="22"/>
                <w:szCs w:val="22"/>
                <w:lang w:val="es-ES" w:eastAsia="en-US"/>
              </w:rPr>
              <w:t>described</w:t>
            </w:r>
            <w:proofErr w:type="spellEnd"/>
            <w:r>
              <w:rPr>
                <w:sz w:val="22"/>
                <w:szCs w:val="22"/>
                <w:lang w:val="es-ES" w:eastAsia="en-US"/>
              </w:rPr>
              <w:t xml:space="preserve"> in </w:t>
            </w:r>
            <w:proofErr w:type="spellStart"/>
            <w:r>
              <w:rPr>
                <w:sz w:val="22"/>
                <w:szCs w:val="22"/>
                <w:lang w:val="es-ES" w:eastAsia="en-US"/>
              </w:rPr>
              <w:t>Chapter</w:t>
            </w:r>
            <w:proofErr w:type="spellEnd"/>
            <w:r>
              <w:rPr>
                <w:sz w:val="22"/>
                <w:szCs w:val="22"/>
                <w:lang w:val="es-ES" w:eastAsia="en-US"/>
              </w:rPr>
              <w:t xml:space="preserve"> 9 </w:t>
            </w:r>
            <w:proofErr w:type="spellStart"/>
            <w:r>
              <w:rPr>
                <w:sz w:val="22"/>
                <w:szCs w:val="22"/>
                <w:lang w:val="es-ES" w:eastAsia="en-US"/>
              </w:rPr>
              <w:t>of</w:t>
            </w:r>
            <w:proofErr w:type="spellEnd"/>
            <w:r>
              <w:rPr>
                <w:sz w:val="22"/>
                <w:szCs w:val="22"/>
                <w:lang w:val="es-ES" w:eastAsia="en-US"/>
              </w:rPr>
              <w:t xml:space="preserve"> </w:t>
            </w:r>
            <w:proofErr w:type="spellStart"/>
            <w:r>
              <w:rPr>
                <w:sz w:val="22"/>
                <w:szCs w:val="22"/>
                <w:lang w:val="es-ES" w:eastAsia="en-US"/>
              </w:rPr>
              <w:t>Annex</w:t>
            </w:r>
            <w:proofErr w:type="spellEnd"/>
            <w:r>
              <w:rPr>
                <w:sz w:val="22"/>
                <w:szCs w:val="22"/>
                <w:lang w:val="es-ES" w:eastAsia="en-US"/>
              </w:rPr>
              <w:t xml:space="preserve"> VII (</w:t>
            </w:r>
            <w:proofErr w:type="spellStart"/>
            <w:r>
              <w:rPr>
                <w:sz w:val="22"/>
                <w:szCs w:val="22"/>
                <w:lang w:val="es-ES" w:eastAsia="en-US"/>
              </w:rPr>
              <w:t>Technical</w:t>
            </w:r>
            <w:proofErr w:type="spellEnd"/>
            <w:r>
              <w:rPr>
                <w:sz w:val="22"/>
                <w:szCs w:val="22"/>
                <w:lang w:val="es-ES" w:eastAsia="en-US"/>
              </w:rPr>
              <w:t xml:space="preserve"> </w:t>
            </w:r>
            <w:proofErr w:type="spellStart"/>
            <w:r>
              <w:rPr>
                <w:sz w:val="22"/>
                <w:szCs w:val="22"/>
                <w:lang w:val="es-ES" w:eastAsia="en-US"/>
              </w:rPr>
              <w:t>Specifications</w:t>
            </w:r>
            <w:proofErr w:type="spellEnd"/>
            <w:r>
              <w:rPr>
                <w:sz w:val="22"/>
                <w:szCs w:val="22"/>
                <w:lang w:val="es-ES" w:eastAsia="en-US"/>
              </w:rPr>
              <w:t xml:space="preserve">) </w:t>
            </w:r>
            <w:proofErr w:type="spellStart"/>
            <w:r>
              <w:rPr>
                <w:sz w:val="22"/>
                <w:szCs w:val="22"/>
                <w:lang w:val="es-ES" w:eastAsia="en-US"/>
              </w:rPr>
              <w:t>have</w:t>
            </w:r>
            <w:proofErr w:type="spellEnd"/>
            <w:r>
              <w:rPr>
                <w:sz w:val="22"/>
                <w:szCs w:val="22"/>
                <w:lang w:val="es-ES" w:eastAsia="en-US"/>
              </w:rPr>
              <w:t xml:space="preserve"> </w:t>
            </w:r>
            <w:proofErr w:type="spellStart"/>
            <w:r>
              <w:rPr>
                <w:sz w:val="22"/>
                <w:szCs w:val="22"/>
                <w:lang w:val="es-ES" w:eastAsia="en-US"/>
              </w:rPr>
              <w:t>been</w:t>
            </w:r>
            <w:proofErr w:type="spellEnd"/>
            <w:r>
              <w:rPr>
                <w:sz w:val="22"/>
                <w:szCs w:val="22"/>
                <w:lang w:val="es-ES" w:eastAsia="en-US"/>
              </w:rPr>
              <w:t xml:space="preserve"> </w:t>
            </w:r>
            <w:proofErr w:type="spellStart"/>
            <w:r>
              <w:rPr>
                <w:sz w:val="22"/>
                <w:szCs w:val="22"/>
                <w:lang w:val="es-ES" w:eastAsia="en-US"/>
              </w:rPr>
              <w:t>met</w:t>
            </w:r>
            <w:proofErr w:type="spellEnd"/>
            <w:r>
              <w:rPr>
                <w:sz w:val="22"/>
                <w:szCs w:val="22"/>
                <w:lang w:val="es-ES" w:eastAsia="en-US"/>
              </w:rPr>
              <w:t xml:space="preserve">, </w:t>
            </w:r>
            <w:proofErr w:type="spellStart"/>
            <w:r>
              <w:rPr>
                <w:sz w:val="22"/>
                <w:szCs w:val="22"/>
                <w:lang w:val="es-ES" w:eastAsia="en-US"/>
              </w:rPr>
              <w:t>including</w:t>
            </w:r>
            <w:proofErr w:type="spellEnd"/>
            <w:r>
              <w:rPr>
                <w:sz w:val="22"/>
                <w:szCs w:val="22"/>
                <w:lang w:val="es-ES" w:eastAsia="en-US"/>
              </w:rPr>
              <w:t xml:space="preserve"> </w:t>
            </w:r>
            <w:proofErr w:type="spellStart"/>
            <w:r>
              <w:rPr>
                <w:sz w:val="22"/>
                <w:szCs w:val="22"/>
                <w:lang w:val="es-ES" w:eastAsia="en-US"/>
              </w:rPr>
              <w:t>the</w:t>
            </w:r>
            <w:proofErr w:type="spellEnd"/>
            <w:r>
              <w:rPr>
                <w:sz w:val="22"/>
                <w:szCs w:val="22"/>
                <w:lang w:val="es-ES" w:eastAsia="en-US"/>
              </w:rPr>
              <w:t xml:space="preserve"> </w:t>
            </w:r>
            <w:proofErr w:type="spellStart"/>
            <w:r>
              <w:rPr>
                <w:sz w:val="22"/>
                <w:szCs w:val="22"/>
                <w:lang w:val="es-ES" w:eastAsia="en-US"/>
              </w:rPr>
              <w:t>validation</w:t>
            </w:r>
            <w:proofErr w:type="spellEnd"/>
            <w:r>
              <w:rPr>
                <w:sz w:val="22"/>
                <w:szCs w:val="22"/>
                <w:lang w:val="es-ES" w:eastAsia="en-US"/>
              </w:rPr>
              <w:t xml:space="preserve"> </w:t>
            </w:r>
            <w:proofErr w:type="spellStart"/>
            <w:r>
              <w:rPr>
                <w:sz w:val="22"/>
                <w:szCs w:val="22"/>
                <w:lang w:val="es-ES" w:eastAsia="en-US"/>
              </w:rPr>
              <w:t>of</w:t>
            </w:r>
            <w:proofErr w:type="spellEnd"/>
            <w:r>
              <w:rPr>
                <w:sz w:val="22"/>
                <w:szCs w:val="22"/>
                <w:lang w:val="es-ES" w:eastAsia="en-US"/>
              </w:rPr>
              <w:t xml:space="preserve"> </w:t>
            </w:r>
            <w:proofErr w:type="spellStart"/>
            <w:r>
              <w:rPr>
                <w:sz w:val="22"/>
                <w:szCs w:val="22"/>
                <w:lang w:val="es-ES" w:eastAsia="en-US"/>
              </w:rPr>
              <w:t>the</w:t>
            </w:r>
            <w:proofErr w:type="spellEnd"/>
            <w:r>
              <w:rPr>
                <w:sz w:val="22"/>
                <w:szCs w:val="22"/>
                <w:lang w:val="es-ES" w:eastAsia="en-US"/>
              </w:rPr>
              <w:t xml:space="preserve"> </w:t>
            </w:r>
            <w:proofErr w:type="spellStart"/>
            <w:r>
              <w:rPr>
                <w:sz w:val="22"/>
                <w:szCs w:val="22"/>
                <w:lang w:val="es-ES" w:eastAsia="en-US"/>
              </w:rPr>
              <w:t>Telemetry</w:t>
            </w:r>
            <w:proofErr w:type="spellEnd"/>
            <w:r>
              <w:rPr>
                <w:sz w:val="22"/>
                <w:szCs w:val="22"/>
                <w:lang w:val="es-ES" w:eastAsia="en-US"/>
              </w:rPr>
              <w:t xml:space="preserve"> </w:t>
            </w:r>
            <w:proofErr w:type="spellStart"/>
            <w:r>
              <w:rPr>
                <w:sz w:val="22"/>
                <w:szCs w:val="22"/>
                <w:lang w:val="es-ES" w:eastAsia="en-US"/>
              </w:rPr>
              <w:t>System</w:t>
            </w:r>
            <w:proofErr w:type="spellEnd"/>
            <w:r>
              <w:rPr>
                <w:sz w:val="22"/>
                <w:szCs w:val="22"/>
                <w:lang w:val="es-ES" w:eastAsia="en-US"/>
              </w:rPr>
              <w:t xml:space="preserve"> (Art. 9.1 </w:t>
            </w:r>
            <w:proofErr w:type="spellStart"/>
            <w:r>
              <w:rPr>
                <w:sz w:val="22"/>
                <w:szCs w:val="22"/>
                <w:lang w:val="es-ES" w:eastAsia="en-US"/>
              </w:rPr>
              <w:t>of</w:t>
            </w:r>
            <w:proofErr w:type="spellEnd"/>
            <w:r>
              <w:rPr>
                <w:sz w:val="22"/>
                <w:szCs w:val="22"/>
                <w:lang w:val="es-ES" w:eastAsia="en-US"/>
              </w:rPr>
              <w:t xml:space="preserve"> </w:t>
            </w:r>
            <w:proofErr w:type="spellStart"/>
            <w:r>
              <w:rPr>
                <w:sz w:val="22"/>
                <w:szCs w:val="22"/>
                <w:lang w:val="es-ES" w:eastAsia="en-US"/>
              </w:rPr>
              <w:t>Annex</w:t>
            </w:r>
            <w:proofErr w:type="spellEnd"/>
            <w:r>
              <w:rPr>
                <w:sz w:val="22"/>
                <w:szCs w:val="22"/>
                <w:lang w:val="es-ES" w:eastAsia="en-US"/>
              </w:rPr>
              <w:t xml:space="preserve"> VII - </w:t>
            </w:r>
            <w:proofErr w:type="spellStart"/>
            <w:r>
              <w:rPr>
                <w:sz w:val="22"/>
                <w:szCs w:val="22"/>
                <w:lang w:val="es-ES" w:eastAsia="en-US"/>
              </w:rPr>
              <w:t>Technical</w:t>
            </w:r>
            <w:proofErr w:type="spellEnd"/>
            <w:r>
              <w:rPr>
                <w:sz w:val="22"/>
                <w:szCs w:val="22"/>
                <w:lang w:val="es-ES" w:eastAsia="en-US"/>
              </w:rPr>
              <w:t xml:space="preserve"> </w:t>
            </w:r>
            <w:proofErr w:type="spellStart"/>
            <w:r>
              <w:rPr>
                <w:sz w:val="22"/>
                <w:szCs w:val="22"/>
                <w:lang w:val="es-ES" w:eastAsia="en-US"/>
              </w:rPr>
              <w:t>Specifications</w:t>
            </w:r>
            <w:proofErr w:type="spellEnd"/>
            <w:r>
              <w:rPr>
                <w:sz w:val="22"/>
                <w:szCs w:val="22"/>
                <w:lang w:val="es-ES" w:eastAsia="en-US"/>
              </w:rPr>
              <w:t xml:space="preserve">) </w:t>
            </w:r>
            <w:proofErr w:type="spellStart"/>
            <w:r>
              <w:rPr>
                <w:sz w:val="22"/>
                <w:szCs w:val="22"/>
                <w:lang w:val="es-ES" w:eastAsia="en-US"/>
              </w:rPr>
              <w:t>for</w:t>
            </w:r>
            <w:proofErr w:type="spellEnd"/>
            <w:r>
              <w:rPr>
                <w:sz w:val="22"/>
                <w:szCs w:val="22"/>
                <w:lang w:val="es-ES" w:eastAsia="en-US"/>
              </w:rPr>
              <w:t xml:space="preserve"> </w:t>
            </w:r>
            <w:proofErr w:type="spellStart"/>
            <w:r>
              <w:rPr>
                <w:sz w:val="22"/>
                <w:szCs w:val="22"/>
                <w:lang w:val="es-ES" w:eastAsia="en-US"/>
              </w:rPr>
              <w:t>all</w:t>
            </w:r>
            <w:proofErr w:type="spellEnd"/>
            <w:r>
              <w:rPr>
                <w:sz w:val="22"/>
                <w:szCs w:val="22"/>
                <w:lang w:val="es-ES" w:eastAsia="en-US"/>
              </w:rPr>
              <w:t xml:space="preserve"> </w:t>
            </w:r>
            <w:proofErr w:type="spellStart"/>
            <w:r>
              <w:rPr>
                <w:sz w:val="22"/>
                <w:szCs w:val="22"/>
                <w:lang w:val="es-ES" w:eastAsia="en-US"/>
              </w:rPr>
              <w:t>connections</w:t>
            </w:r>
            <w:proofErr w:type="spellEnd"/>
            <w:r>
              <w:rPr>
                <w:sz w:val="22"/>
                <w:szCs w:val="22"/>
                <w:lang w:val="es-ES" w:eastAsia="en-US"/>
              </w:rPr>
              <w:t>.</w:t>
            </w:r>
          </w:p>
          <w:p w14:paraId="16C794D3" w14:textId="77777777" w:rsidR="00E255F4" w:rsidRDefault="00000000">
            <w:pPr>
              <w:pStyle w:val="Prrafodelista"/>
              <w:numPr>
                <w:ilvl w:val="0"/>
                <w:numId w:val="7"/>
              </w:numPr>
              <w:spacing w:after="120"/>
              <w:jc w:val="both"/>
            </w:pPr>
            <w:r>
              <w:rPr>
                <w:sz w:val="22"/>
                <w:szCs w:val="22"/>
                <w:lang w:val="es-ES" w:eastAsia="en-US"/>
              </w:rPr>
              <w:t xml:space="preserve">For </w:t>
            </w:r>
            <w:proofErr w:type="spellStart"/>
            <w:r>
              <w:rPr>
                <w:sz w:val="22"/>
                <w:szCs w:val="22"/>
                <w:lang w:val="es-ES" w:eastAsia="en-US"/>
              </w:rPr>
              <w:t>market</w:t>
            </w:r>
            <w:proofErr w:type="spellEnd"/>
            <w:r>
              <w:rPr>
                <w:sz w:val="22"/>
                <w:szCs w:val="22"/>
                <w:lang w:val="es-ES" w:eastAsia="en-US"/>
              </w:rPr>
              <w:t xml:space="preserve"> </w:t>
            </w:r>
            <w:proofErr w:type="spellStart"/>
            <w:r>
              <w:rPr>
                <w:sz w:val="22"/>
                <w:szCs w:val="22"/>
                <w:lang w:val="es-ES" w:eastAsia="en-US"/>
              </w:rPr>
              <w:t>offers</w:t>
            </w:r>
            <w:proofErr w:type="spellEnd"/>
            <w:r>
              <w:rPr>
                <w:sz w:val="22"/>
                <w:szCs w:val="22"/>
                <w:lang w:val="es-ES" w:eastAsia="en-US"/>
              </w:rPr>
              <w:t xml:space="preserve"> </w:t>
            </w:r>
            <w:proofErr w:type="spellStart"/>
            <w:r>
              <w:rPr>
                <w:sz w:val="22"/>
                <w:szCs w:val="22"/>
                <w:lang w:val="es-ES" w:eastAsia="en-US"/>
              </w:rPr>
              <w:t>of</w:t>
            </w:r>
            <w:proofErr w:type="spellEnd"/>
            <w:r>
              <w:rPr>
                <w:sz w:val="22"/>
                <w:szCs w:val="22"/>
                <w:lang w:val="es-ES" w:eastAsia="en-US"/>
              </w:rPr>
              <w:t xml:space="preserve"> </w:t>
            </w:r>
            <w:proofErr w:type="spellStart"/>
            <w:r>
              <w:rPr>
                <w:sz w:val="22"/>
                <w:szCs w:val="22"/>
                <w:lang w:val="es-ES" w:eastAsia="en-US"/>
              </w:rPr>
              <w:t>the</w:t>
            </w:r>
            <w:proofErr w:type="spellEnd"/>
            <w:r>
              <w:rPr>
                <w:sz w:val="22"/>
                <w:szCs w:val="22"/>
                <w:lang w:val="es-ES" w:eastAsia="en-US"/>
              </w:rPr>
              <w:t xml:space="preserve"> </w:t>
            </w:r>
            <w:proofErr w:type="spellStart"/>
            <w:r>
              <w:rPr>
                <w:sz w:val="22"/>
                <w:szCs w:val="22"/>
                <w:lang w:val="es-ES" w:eastAsia="en-US"/>
              </w:rPr>
              <w:t>goods</w:t>
            </w:r>
            <w:proofErr w:type="spellEnd"/>
            <w:r>
              <w:rPr>
                <w:sz w:val="22"/>
                <w:szCs w:val="22"/>
                <w:lang w:val="es-ES" w:eastAsia="en-US"/>
              </w:rPr>
              <w:t xml:space="preserve"> </w:t>
            </w:r>
            <w:proofErr w:type="spellStart"/>
            <w:r>
              <w:rPr>
                <w:sz w:val="22"/>
                <w:szCs w:val="22"/>
                <w:lang w:val="es-ES" w:eastAsia="en-US"/>
              </w:rPr>
              <w:t>offered</w:t>
            </w:r>
            <w:proofErr w:type="spellEnd"/>
            <w:r>
              <w:rPr>
                <w:sz w:val="22"/>
                <w:szCs w:val="22"/>
                <w:lang w:val="es-ES" w:eastAsia="en-US"/>
              </w:rPr>
              <w:t xml:space="preserve">, once </w:t>
            </w:r>
            <w:proofErr w:type="spellStart"/>
            <w:r>
              <w:rPr>
                <w:sz w:val="22"/>
                <w:szCs w:val="22"/>
                <w:lang w:val="es-ES" w:eastAsia="en-US"/>
              </w:rPr>
              <w:t>the</w:t>
            </w:r>
            <w:proofErr w:type="spellEnd"/>
            <w:r>
              <w:rPr>
                <w:sz w:val="22"/>
                <w:szCs w:val="22"/>
                <w:lang w:val="es-ES" w:eastAsia="en-US"/>
              </w:rPr>
              <w:t xml:space="preserve"> </w:t>
            </w:r>
            <w:proofErr w:type="spellStart"/>
            <w:r>
              <w:rPr>
                <w:sz w:val="22"/>
                <w:szCs w:val="22"/>
                <w:lang w:val="es-ES" w:eastAsia="en-US"/>
              </w:rPr>
              <w:t>consistency</w:t>
            </w:r>
            <w:proofErr w:type="spellEnd"/>
            <w:r>
              <w:rPr>
                <w:sz w:val="22"/>
                <w:szCs w:val="22"/>
                <w:lang w:val="es-ES" w:eastAsia="en-US"/>
              </w:rPr>
              <w:t xml:space="preserve"> </w:t>
            </w:r>
            <w:proofErr w:type="spellStart"/>
            <w:r>
              <w:rPr>
                <w:sz w:val="22"/>
                <w:szCs w:val="22"/>
                <w:lang w:val="es-ES" w:eastAsia="en-US"/>
              </w:rPr>
              <w:t>of</w:t>
            </w:r>
            <w:proofErr w:type="spellEnd"/>
            <w:r>
              <w:rPr>
                <w:sz w:val="22"/>
                <w:szCs w:val="22"/>
                <w:lang w:val="es-ES" w:eastAsia="en-US"/>
              </w:rPr>
              <w:t xml:space="preserve"> </w:t>
            </w:r>
            <w:proofErr w:type="spellStart"/>
            <w:r>
              <w:rPr>
                <w:sz w:val="22"/>
                <w:szCs w:val="22"/>
                <w:lang w:val="es-ES" w:eastAsia="en-US"/>
              </w:rPr>
              <w:t>the</w:t>
            </w:r>
            <w:proofErr w:type="spellEnd"/>
            <w:r>
              <w:rPr>
                <w:sz w:val="22"/>
                <w:szCs w:val="22"/>
                <w:lang w:val="es-ES" w:eastAsia="en-US"/>
              </w:rPr>
              <w:t xml:space="preserve"> </w:t>
            </w:r>
            <w:proofErr w:type="spellStart"/>
            <w:r>
              <w:rPr>
                <w:sz w:val="22"/>
                <w:szCs w:val="22"/>
                <w:lang w:val="es-ES" w:eastAsia="en-US"/>
              </w:rPr>
              <w:t>characteristics</w:t>
            </w:r>
            <w:proofErr w:type="spellEnd"/>
            <w:r>
              <w:rPr>
                <w:sz w:val="22"/>
                <w:szCs w:val="22"/>
                <w:lang w:val="es-ES" w:eastAsia="en-US"/>
              </w:rPr>
              <w:t xml:space="preserve"> </w:t>
            </w:r>
            <w:proofErr w:type="spellStart"/>
            <w:r>
              <w:rPr>
                <w:sz w:val="22"/>
                <w:szCs w:val="22"/>
                <w:lang w:val="es-ES" w:eastAsia="en-US"/>
              </w:rPr>
              <w:t>of</w:t>
            </w:r>
            <w:proofErr w:type="spellEnd"/>
            <w:r>
              <w:rPr>
                <w:sz w:val="22"/>
                <w:szCs w:val="22"/>
                <w:lang w:val="es-ES" w:eastAsia="en-US"/>
              </w:rPr>
              <w:t xml:space="preserve"> </w:t>
            </w:r>
            <w:proofErr w:type="spellStart"/>
            <w:r>
              <w:rPr>
                <w:sz w:val="22"/>
                <w:szCs w:val="22"/>
                <w:lang w:val="es-ES" w:eastAsia="en-US"/>
              </w:rPr>
              <w:t>the</w:t>
            </w:r>
            <w:proofErr w:type="spellEnd"/>
            <w:r>
              <w:rPr>
                <w:sz w:val="22"/>
                <w:szCs w:val="22"/>
                <w:lang w:val="es-ES" w:eastAsia="en-US"/>
              </w:rPr>
              <w:t xml:space="preserve"> </w:t>
            </w:r>
            <w:proofErr w:type="spellStart"/>
            <w:r>
              <w:rPr>
                <w:sz w:val="22"/>
                <w:szCs w:val="22"/>
                <w:lang w:val="es-ES" w:eastAsia="en-US"/>
              </w:rPr>
              <w:t>product</w:t>
            </w:r>
            <w:proofErr w:type="spellEnd"/>
            <w:r>
              <w:rPr>
                <w:sz w:val="22"/>
                <w:szCs w:val="22"/>
                <w:lang w:val="es-ES" w:eastAsia="en-US"/>
              </w:rPr>
              <w:t xml:space="preserve"> </w:t>
            </w:r>
            <w:proofErr w:type="spellStart"/>
            <w:r>
              <w:rPr>
                <w:sz w:val="22"/>
                <w:szCs w:val="22"/>
                <w:lang w:val="es-ES" w:eastAsia="en-US"/>
              </w:rPr>
              <w:t>offered</w:t>
            </w:r>
            <w:proofErr w:type="spellEnd"/>
            <w:r>
              <w:rPr>
                <w:sz w:val="22"/>
                <w:szCs w:val="22"/>
                <w:lang w:val="es-ES" w:eastAsia="en-US"/>
              </w:rPr>
              <w:t xml:space="preserve"> </w:t>
            </w:r>
            <w:proofErr w:type="spellStart"/>
            <w:r>
              <w:rPr>
                <w:sz w:val="22"/>
                <w:szCs w:val="22"/>
                <w:lang w:val="es-ES" w:eastAsia="en-US"/>
              </w:rPr>
              <w:t>with</w:t>
            </w:r>
            <w:proofErr w:type="spellEnd"/>
            <w:r>
              <w:rPr>
                <w:sz w:val="22"/>
                <w:szCs w:val="22"/>
                <w:lang w:val="es-ES" w:eastAsia="en-US"/>
              </w:rPr>
              <w:t xml:space="preserve"> </w:t>
            </w:r>
            <w:proofErr w:type="spellStart"/>
            <w:r>
              <w:rPr>
                <w:sz w:val="22"/>
                <w:szCs w:val="22"/>
                <w:lang w:val="es-ES" w:eastAsia="en-US"/>
              </w:rPr>
              <w:t>respect</w:t>
            </w:r>
            <w:proofErr w:type="spellEnd"/>
            <w:r>
              <w:rPr>
                <w:sz w:val="22"/>
                <w:szCs w:val="22"/>
                <w:lang w:val="es-ES" w:eastAsia="en-US"/>
              </w:rPr>
              <w:t xml:space="preserve"> </w:t>
            </w:r>
            <w:proofErr w:type="spellStart"/>
            <w:r>
              <w:rPr>
                <w:sz w:val="22"/>
                <w:szCs w:val="22"/>
                <w:lang w:val="es-ES" w:eastAsia="en-US"/>
              </w:rPr>
              <w:t>to</w:t>
            </w:r>
            <w:proofErr w:type="spellEnd"/>
            <w:r>
              <w:rPr>
                <w:sz w:val="22"/>
                <w:szCs w:val="22"/>
                <w:lang w:val="es-ES" w:eastAsia="en-US"/>
              </w:rPr>
              <w:t xml:space="preserve"> </w:t>
            </w:r>
            <w:proofErr w:type="spellStart"/>
            <w:r>
              <w:rPr>
                <w:sz w:val="22"/>
                <w:szCs w:val="22"/>
                <w:lang w:val="es-ES" w:eastAsia="en-US"/>
              </w:rPr>
              <w:t>the</w:t>
            </w:r>
            <w:proofErr w:type="spellEnd"/>
            <w:r>
              <w:rPr>
                <w:sz w:val="22"/>
                <w:szCs w:val="22"/>
                <w:lang w:val="es-ES" w:eastAsia="en-US"/>
              </w:rPr>
              <w:t xml:space="preserve"> </w:t>
            </w:r>
            <w:proofErr w:type="spellStart"/>
            <w:r>
              <w:rPr>
                <w:sz w:val="22"/>
                <w:szCs w:val="22"/>
                <w:lang w:val="es-ES" w:eastAsia="en-US"/>
              </w:rPr>
              <w:t>one</w:t>
            </w:r>
            <w:proofErr w:type="spellEnd"/>
            <w:r>
              <w:rPr>
                <w:sz w:val="22"/>
                <w:szCs w:val="22"/>
                <w:lang w:val="es-ES" w:eastAsia="en-US"/>
              </w:rPr>
              <w:t xml:space="preserve"> </w:t>
            </w:r>
            <w:proofErr w:type="spellStart"/>
            <w:r>
              <w:rPr>
                <w:sz w:val="22"/>
                <w:szCs w:val="22"/>
                <w:lang w:val="es-ES" w:eastAsia="en-US"/>
              </w:rPr>
              <w:t>provided</w:t>
            </w:r>
            <w:proofErr w:type="spellEnd"/>
            <w:r>
              <w:rPr>
                <w:sz w:val="22"/>
                <w:szCs w:val="22"/>
                <w:lang w:val="es-ES" w:eastAsia="en-US"/>
              </w:rPr>
              <w:t xml:space="preserve"> has </w:t>
            </w:r>
            <w:proofErr w:type="spellStart"/>
            <w:r>
              <w:rPr>
                <w:sz w:val="22"/>
                <w:szCs w:val="22"/>
                <w:lang w:val="es-ES" w:eastAsia="en-US"/>
              </w:rPr>
              <w:t>been</w:t>
            </w:r>
            <w:proofErr w:type="spellEnd"/>
            <w:r>
              <w:rPr>
                <w:sz w:val="22"/>
                <w:szCs w:val="22"/>
                <w:lang w:val="es-ES" w:eastAsia="en-US"/>
              </w:rPr>
              <w:t xml:space="preserve"> </w:t>
            </w:r>
            <w:proofErr w:type="spellStart"/>
            <w:r>
              <w:rPr>
                <w:sz w:val="22"/>
                <w:szCs w:val="22"/>
                <w:lang w:val="es-ES" w:eastAsia="en-US"/>
              </w:rPr>
              <w:t>verified</w:t>
            </w:r>
            <w:proofErr w:type="spellEnd"/>
            <w:r>
              <w:rPr>
                <w:sz w:val="22"/>
                <w:szCs w:val="22"/>
                <w:lang w:val="es-ES" w:eastAsia="en-US"/>
              </w:rPr>
              <w:t xml:space="preserve">, as </w:t>
            </w:r>
            <w:proofErr w:type="spellStart"/>
            <w:r>
              <w:rPr>
                <w:sz w:val="22"/>
                <w:szCs w:val="22"/>
                <w:lang w:val="es-ES" w:eastAsia="en-US"/>
              </w:rPr>
              <w:t>well</w:t>
            </w:r>
            <w:proofErr w:type="spellEnd"/>
            <w:r>
              <w:rPr>
                <w:sz w:val="22"/>
                <w:szCs w:val="22"/>
                <w:lang w:val="es-ES" w:eastAsia="en-US"/>
              </w:rPr>
              <w:t xml:space="preserve"> as </w:t>
            </w:r>
            <w:proofErr w:type="spellStart"/>
            <w:r>
              <w:rPr>
                <w:sz w:val="22"/>
                <w:szCs w:val="22"/>
                <w:lang w:val="es-ES" w:eastAsia="en-US"/>
              </w:rPr>
              <w:t>verifying</w:t>
            </w:r>
            <w:proofErr w:type="spellEnd"/>
            <w:r>
              <w:rPr>
                <w:sz w:val="22"/>
                <w:szCs w:val="22"/>
                <w:lang w:val="es-ES" w:eastAsia="en-US"/>
              </w:rPr>
              <w:t xml:space="preserve"> </w:t>
            </w:r>
            <w:proofErr w:type="spellStart"/>
            <w:r>
              <w:rPr>
                <w:sz w:val="22"/>
                <w:szCs w:val="22"/>
                <w:lang w:val="es-ES" w:eastAsia="en-US"/>
              </w:rPr>
              <w:t>that</w:t>
            </w:r>
            <w:proofErr w:type="spellEnd"/>
            <w:r>
              <w:rPr>
                <w:sz w:val="22"/>
                <w:szCs w:val="22"/>
                <w:lang w:val="es-ES" w:eastAsia="en-US"/>
              </w:rPr>
              <w:t xml:space="preserve"> </w:t>
            </w:r>
            <w:proofErr w:type="spellStart"/>
            <w:r>
              <w:rPr>
                <w:sz w:val="22"/>
                <w:szCs w:val="22"/>
                <w:lang w:val="es-ES" w:eastAsia="en-US"/>
              </w:rPr>
              <w:t>said</w:t>
            </w:r>
            <w:proofErr w:type="spellEnd"/>
            <w:r>
              <w:rPr>
                <w:sz w:val="22"/>
                <w:szCs w:val="22"/>
                <w:lang w:val="es-ES" w:eastAsia="en-US"/>
              </w:rPr>
              <w:t xml:space="preserve"> </w:t>
            </w:r>
            <w:proofErr w:type="spellStart"/>
            <w:r>
              <w:rPr>
                <w:sz w:val="22"/>
                <w:szCs w:val="22"/>
                <w:lang w:val="es-ES" w:eastAsia="en-US"/>
              </w:rPr>
              <w:t>lot</w:t>
            </w:r>
            <w:proofErr w:type="spellEnd"/>
            <w:r>
              <w:rPr>
                <w:sz w:val="22"/>
                <w:szCs w:val="22"/>
                <w:lang w:val="es-ES" w:eastAsia="en-US"/>
              </w:rPr>
              <w:t xml:space="preserve"> </w:t>
            </w:r>
            <w:proofErr w:type="spellStart"/>
            <w:r>
              <w:rPr>
                <w:sz w:val="22"/>
                <w:szCs w:val="22"/>
                <w:lang w:val="es-ES" w:eastAsia="en-US"/>
              </w:rPr>
              <w:t>agrees</w:t>
            </w:r>
            <w:proofErr w:type="spellEnd"/>
            <w:r>
              <w:rPr>
                <w:sz w:val="22"/>
                <w:szCs w:val="22"/>
                <w:lang w:val="es-ES" w:eastAsia="en-US"/>
              </w:rPr>
              <w:t xml:space="preserve"> </w:t>
            </w:r>
            <w:proofErr w:type="spellStart"/>
            <w:r>
              <w:rPr>
                <w:sz w:val="22"/>
                <w:szCs w:val="22"/>
                <w:lang w:val="es-ES" w:eastAsia="en-US"/>
              </w:rPr>
              <w:t>with</w:t>
            </w:r>
            <w:proofErr w:type="spellEnd"/>
            <w:r>
              <w:rPr>
                <w:sz w:val="22"/>
                <w:szCs w:val="22"/>
                <w:lang w:val="es-ES" w:eastAsia="en-US"/>
              </w:rPr>
              <w:t xml:space="preserve"> </w:t>
            </w:r>
            <w:proofErr w:type="spellStart"/>
            <w:r>
              <w:rPr>
                <w:sz w:val="22"/>
                <w:szCs w:val="22"/>
                <w:lang w:val="es-ES" w:eastAsia="en-US"/>
              </w:rPr>
              <w:t>the</w:t>
            </w:r>
            <w:proofErr w:type="spellEnd"/>
            <w:r>
              <w:rPr>
                <w:sz w:val="22"/>
                <w:szCs w:val="22"/>
                <w:lang w:val="es-ES" w:eastAsia="en-US"/>
              </w:rPr>
              <w:t xml:space="preserve"> </w:t>
            </w:r>
            <w:proofErr w:type="spellStart"/>
            <w:r>
              <w:rPr>
                <w:sz w:val="22"/>
                <w:szCs w:val="22"/>
                <w:lang w:val="es-ES" w:eastAsia="en-US"/>
              </w:rPr>
              <w:t>one</w:t>
            </w:r>
            <w:proofErr w:type="spellEnd"/>
            <w:r>
              <w:rPr>
                <w:sz w:val="22"/>
                <w:szCs w:val="22"/>
                <w:lang w:val="es-ES" w:eastAsia="en-US"/>
              </w:rPr>
              <w:t xml:space="preserve"> </w:t>
            </w:r>
            <w:proofErr w:type="spellStart"/>
            <w:r>
              <w:rPr>
                <w:sz w:val="22"/>
                <w:szCs w:val="22"/>
                <w:lang w:val="es-ES" w:eastAsia="en-US"/>
              </w:rPr>
              <w:t>received</w:t>
            </w:r>
            <w:proofErr w:type="spellEnd"/>
            <w:r>
              <w:rPr>
                <w:sz w:val="22"/>
                <w:szCs w:val="22"/>
                <w:lang w:val="es-ES" w:eastAsia="en-US"/>
              </w:rPr>
              <w:t xml:space="preserve"> at </w:t>
            </w:r>
            <w:proofErr w:type="spellStart"/>
            <w:r>
              <w:rPr>
                <w:sz w:val="22"/>
                <w:szCs w:val="22"/>
                <w:lang w:val="es-ES" w:eastAsia="en-US"/>
              </w:rPr>
              <w:t>the</w:t>
            </w:r>
            <w:proofErr w:type="spellEnd"/>
            <w:r>
              <w:rPr>
                <w:sz w:val="22"/>
                <w:szCs w:val="22"/>
                <w:lang w:val="es-ES" w:eastAsia="en-US"/>
              </w:rPr>
              <w:t xml:space="preserve"> </w:t>
            </w:r>
            <w:proofErr w:type="spellStart"/>
            <w:r>
              <w:rPr>
                <w:sz w:val="22"/>
                <w:szCs w:val="22"/>
                <w:lang w:val="es-ES" w:eastAsia="en-US"/>
              </w:rPr>
              <w:t>factory</w:t>
            </w:r>
            <w:proofErr w:type="spellEnd"/>
            <w:r>
              <w:rPr>
                <w:sz w:val="22"/>
                <w:szCs w:val="22"/>
                <w:lang w:val="es-ES" w:eastAsia="en-US"/>
              </w:rPr>
              <w:t xml:space="preserve">, </w:t>
            </w:r>
            <w:proofErr w:type="spellStart"/>
            <w:r>
              <w:rPr>
                <w:sz w:val="22"/>
                <w:szCs w:val="22"/>
                <w:lang w:val="es-ES" w:eastAsia="en-US"/>
              </w:rPr>
              <w:t>the</w:t>
            </w:r>
            <w:proofErr w:type="spellEnd"/>
            <w:r>
              <w:rPr>
                <w:sz w:val="22"/>
                <w:szCs w:val="22"/>
                <w:lang w:val="es-ES" w:eastAsia="en-US"/>
              </w:rPr>
              <w:t xml:space="preserve"> </w:t>
            </w:r>
            <w:proofErr w:type="spellStart"/>
            <w:r>
              <w:rPr>
                <w:sz w:val="22"/>
                <w:szCs w:val="22"/>
                <w:lang w:val="es-ES" w:eastAsia="en-US"/>
              </w:rPr>
              <w:t>partial</w:t>
            </w:r>
            <w:proofErr w:type="spellEnd"/>
            <w:r>
              <w:rPr>
                <w:sz w:val="22"/>
                <w:szCs w:val="22"/>
                <w:lang w:val="es-ES" w:eastAsia="en-US"/>
              </w:rPr>
              <w:t xml:space="preserve"> </w:t>
            </w:r>
            <w:proofErr w:type="spellStart"/>
            <w:r>
              <w:rPr>
                <w:sz w:val="22"/>
                <w:szCs w:val="22"/>
                <w:lang w:val="es-ES" w:eastAsia="en-US"/>
              </w:rPr>
              <w:t>receipt</w:t>
            </w:r>
            <w:proofErr w:type="spellEnd"/>
            <w:r>
              <w:rPr>
                <w:sz w:val="22"/>
                <w:szCs w:val="22"/>
                <w:lang w:val="es-ES" w:eastAsia="en-US"/>
              </w:rPr>
              <w:t xml:space="preserve"> </w:t>
            </w:r>
            <w:proofErr w:type="spellStart"/>
            <w:r>
              <w:rPr>
                <w:sz w:val="22"/>
                <w:szCs w:val="22"/>
                <w:lang w:val="es-ES" w:eastAsia="en-US"/>
              </w:rPr>
              <w:t>of</w:t>
            </w:r>
            <w:proofErr w:type="spellEnd"/>
            <w:r>
              <w:rPr>
                <w:sz w:val="22"/>
                <w:szCs w:val="22"/>
                <w:lang w:val="es-ES" w:eastAsia="en-US"/>
              </w:rPr>
              <w:t xml:space="preserve"> 50% </w:t>
            </w:r>
            <w:proofErr w:type="spellStart"/>
            <w:r>
              <w:rPr>
                <w:sz w:val="22"/>
                <w:szCs w:val="22"/>
                <w:lang w:val="es-ES" w:eastAsia="en-US"/>
              </w:rPr>
              <w:t>of</w:t>
            </w:r>
            <w:proofErr w:type="spellEnd"/>
            <w:r>
              <w:rPr>
                <w:sz w:val="22"/>
                <w:szCs w:val="22"/>
                <w:lang w:val="es-ES" w:eastAsia="en-US"/>
              </w:rPr>
              <w:t xml:space="preserve"> </w:t>
            </w:r>
            <w:proofErr w:type="spellStart"/>
            <w:r>
              <w:rPr>
                <w:sz w:val="22"/>
                <w:szCs w:val="22"/>
                <w:lang w:val="es-ES" w:eastAsia="en-US"/>
              </w:rPr>
              <w:t>Item</w:t>
            </w:r>
            <w:proofErr w:type="spellEnd"/>
            <w:r>
              <w:rPr>
                <w:sz w:val="22"/>
                <w:szCs w:val="22"/>
                <w:lang w:val="es-ES" w:eastAsia="en-US"/>
              </w:rPr>
              <w:t xml:space="preserve"> 1 </w:t>
            </w:r>
            <w:proofErr w:type="spellStart"/>
            <w:r>
              <w:rPr>
                <w:sz w:val="22"/>
                <w:szCs w:val="22"/>
                <w:lang w:val="es-ES" w:eastAsia="en-US"/>
              </w:rPr>
              <w:t>is</w:t>
            </w:r>
            <w:proofErr w:type="spellEnd"/>
            <w:r>
              <w:rPr>
                <w:sz w:val="22"/>
                <w:szCs w:val="22"/>
                <w:lang w:val="es-ES" w:eastAsia="en-US"/>
              </w:rPr>
              <w:t xml:space="preserve"> </w:t>
            </w:r>
            <w:proofErr w:type="spellStart"/>
            <w:r>
              <w:rPr>
                <w:sz w:val="22"/>
                <w:szCs w:val="22"/>
                <w:lang w:val="es-ES" w:eastAsia="en-US"/>
              </w:rPr>
              <w:t>accepted</w:t>
            </w:r>
            <w:proofErr w:type="spellEnd"/>
            <w:r>
              <w:rPr>
                <w:sz w:val="22"/>
                <w:szCs w:val="22"/>
                <w:lang w:val="es-ES" w:eastAsia="en-US"/>
              </w:rPr>
              <w:t>.</w:t>
            </w:r>
          </w:p>
          <w:p w14:paraId="01A52412" w14:textId="77777777" w:rsidR="00E255F4" w:rsidRDefault="00000000">
            <w:pPr>
              <w:pStyle w:val="Prrafodelista"/>
              <w:numPr>
                <w:ilvl w:val="0"/>
                <w:numId w:val="7"/>
              </w:numPr>
              <w:spacing w:after="120"/>
              <w:jc w:val="both"/>
              <w:rPr>
                <w:sz w:val="22"/>
                <w:szCs w:val="22"/>
                <w:lang w:val="es-ES" w:eastAsia="en-US"/>
              </w:rPr>
            </w:pPr>
            <w:r>
              <w:rPr>
                <w:sz w:val="22"/>
                <w:szCs w:val="22"/>
                <w:lang w:val="es-ES" w:eastAsia="en-US"/>
              </w:rPr>
              <w:t xml:space="preserve">The </w:t>
            </w:r>
            <w:proofErr w:type="spellStart"/>
            <w:r>
              <w:rPr>
                <w:sz w:val="22"/>
                <w:szCs w:val="22"/>
                <w:lang w:val="es-ES" w:eastAsia="en-US"/>
              </w:rPr>
              <w:t>remotely</w:t>
            </w:r>
            <w:proofErr w:type="spellEnd"/>
            <w:r>
              <w:rPr>
                <w:sz w:val="22"/>
                <w:szCs w:val="22"/>
                <w:lang w:val="es-ES" w:eastAsia="en-US"/>
              </w:rPr>
              <w:t xml:space="preserve"> </w:t>
            </w:r>
            <w:proofErr w:type="spellStart"/>
            <w:r>
              <w:rPr>
                <w:sz w:val="22"/>
                <w:szCs w:val="22"/>
                <w:lang w:val="es-ES" w:eastAsia="en-US"/>
              </w:rPr>
              <w:t>measured</w:t>
            </w:r>
            <w:proofErr w:type="spellEnd"/>
            <w:r>
              <w:rPr>
                <w:sz w:val="22"/>
                <w:szCs w:val="22"/>
                <w:lang w:val="es-ES" w:eastAsia="en-US"/>
              </w:rPr>
              <w:t xml:space="preserve"> </w:t>
            </w:r>
            <w:proofErr w:type="spellStart"/>
            <w:r>
              <w:rPr>
                <w:sz w:val="22"/>
                <w:szCs w:val="22"/>
                <w:lang w:val="es-ES" w:eastAsia="en-US"/>
              </w:rPr>
              <w:t>connections</w:t>
            </w:r>
            <w:proofErr w:type="spellEnd"/>
            <w:r>
              <w:rPr>
                <w:sz w:val="22"/>
                <w:szCs w:val="22"/>
                <w:lang w:val="es-ES" w:eastAsia="en-US"/>
              </w:rPr>
              <w:t xml:space="preserve"> </w:t>
            </w:r>
            <w:proofErr w:type="spellStart"/>
            <w:r>
              <w:rPr>
                <w:sz w:val="22"/>
                <w:szCs w:val="22"/>
                <w:lang w:val="es-ES" w:eastAsia="en-US"/>
              </w:rPr>
              <w:t>will</w:t>
            </w:r>
            <w:proofErr w:type="spellEnd"/>
            <w:r>
              <w:rPr>
                <w:sz w:val="22"/>
                <w:szCs w:val="22"/>
                <w:lang w:val="es-ES" w:eastAsia="en-US"/>
              </w:rPr>
              <w:t xml:space="preserve"> be </w:t>
            </w:r>
            <w:proofErr w:type="spellStart"/>
            <w:r>
              <w:rPr>
                <w:sz w:val="22"/>
                <w:szCs w:val="22"/>
                <w:lang w:val="es-ES" w:eastAsia="en-US"/>
              </w:rPr>
              <w:t>received</w:t>
            </w:r>
            <w:proofErr w:type="spellEnd"/>
            <w:r>
              <w:rPr>
                <w:sz w:val="22"/>
                <w:szCs w:val="22"/>
                <w:lang w:val="es-ES" w:eastAsia="en-US"/>
              </w:rPr>
              <w:t xml:space="preserve"> </w:t>
            </w:r>
            <w:proofErr w:type="spellStart"/>
            <w:r>
              <w:rPr>
                <w:sz w:val="22"/>
                <w:szCs w:val="22"/>
                <w:lang w:val="es-ES" w:eastAsia="en-US"/>
              </w:rPr>
              <w:t>on</w:t>
            </w:r>
            <w:proofErr w:type="spellEnd"/>
            <w:r>
              <w:rPr>
                <w:sz w:val="22"/>
                <w:szCs w:val="22"/>
                <w:lang w:val="es-ES" w:eastAsia="en-US"/>
              </w:rPr>
              <w:t xml:space="preserve">-site </w:t>
            </w:r>
            <w:proofErr w:type="spellStart"/>
            <w:r>
              <w:rPr>
                <w:sz w:val="22"/>
                <w:szCs w:val="22"/>
                <w:lang w:val="es-ES" w:eastAsia="en-US"/>
              </w:rPr>
              <w:t>during</w:t>
            </w:r>
            <w:proofErr w:type="spellEnd"/>
            <w:r>
              <w:rPr>
                <w:sz w:val="22"/>
                <w:szCs w:val="22"/>
                <w:lang w:val="es-ES" w:eastAsia="en-US"/>
              </w:rPr>
              <w:t xml:space="preserve"> </w:t>
            </w:r>
            <w:proofErr w:type="spellStart"/>
            <w:r>
              <w:rPr>
                <w:sz w:val="22"/>
                <w:szCs w:val="22"/>
                <w:lang w:val="es-ES" w:eastAsia="en-US"/>
              </w:rPr>
              <w:t>the</w:t>
            </w:r>
            <w:proofErr w:type="spellEnd"/>
            <w:r>
              <w:rPr>
                <w:sz w:val="22"/>
                <w:szCs w:val="22"/>
                <w:lang w:val="es-ES" w:eastAsia="en-US"/>
              </w:rPr>
              <w:t xml:space="preserve"> provisional </w:t>
            </w:r>
            <w:proofErr w:type="spellStart"/>
            <w:r>
              <w:rPr>
                <w:sz w:val="22"/>
                <w:szCs w:val="22"/>
                <w:lang w:val="es-ES" w:eastAsia="en-US"/>
              </w:rPr>
              <w:t>acceptance</w:t>
            </w:r>
            <w:proofErr w:type="spellEnd"/>
            <w:r>
              <w:rPr>
                <w:sz w:val="22"/>
                <w:szCs w:val="22"/>
                <w:lang w:val="es-ES" w:eastAsia="en-US"/>
              </w:rPr>
              <w:t xml:space="preserve"> </w:t>
            </w:r>
            <w:proofErr w:type="spellStart"/>
            <w:r>
              <w:rPr>
                <w:sz w:val="22"/>
                <w:szCs w:val="22"/>
                <w:lang w:val="es-ES" w:eastAsia="en-US"/>
              </w:rPr>
              <w:t>of</w:t>
            </w:r>
            <w:proofErr w:type="spellEnd"/>
            <w:r>
              <w:rPr>
                <w:sz w:val="22"/>
                <w:szCs w:val="22"/>
                <w:lang w:val="es-ES" w:eastAsia="en-US"/>
              </w:rPr>
              <w:t xml:space="preserve"> </w:t>
            </w:r>
            <w:proofErr w:type="spellStart"/>
            <w:r>
              <w:rPr>
                <w:sz w:val="22"/>
                <w:szCs w:val="22"/>
                <w:lang w:val="es-ES" w:eastAsia="en-US"/>
              </w:rPr>
              <w:t>the</w:t>
            </w:r>
            <w:proofErr w:type="spellEnd"/>
            <w:r>
              <w:rPr>
                <w:sz w:val="22"/>
                <w:szCs w:val="22"/>
                <w:lang w:val="es-ES" w:eastAsia="en-US"/>
              </w:rPr>
              <w:t xml:space="preserve"> tender. </w:t>
            </w:r>
            <w:proofErr w:type="spellStart"/>
            <w:r>
              <w:rPr>
                <w:sz w:val="22"/>
                <w:szCs w:val="22"/>
                <w:lang w:val="es-ES" w:eastAsia="en-US"/>
              </w:rPr>
              <w:t>Partial</w:t>
            </w:r>
            <w:proofErr w:type="spellEnd"/>
            <w:r>
              <w:rPr>
                <w:sz w:val="22"/>
                <w:szCs w:val="22"/>
                <w:lang w:val="es-ES" w:eastAsia="en-US"/>
              </w:rPr>
              <w:t xml:space="preserve"> </w:t>
            </w:r>
            <w:proofErr w:type="spellStart"/>
            <w:r>
              <w:rPr>
                <w:sz w:val="22"/>
                <w:szCs w:val="22"/>
                <w:lang w:val="es-ES" w:eastAsia="en-US"/>
              </w:rPr>
              <w:t>acceptances</w:t>
            </w:r>
            <w:proofErr w:type="spellEnd"/>
            <w:r>
              <w:rPr>
                <w:sz w:val="22"/>
                <w:szCs w:val="22"/>
                <w:lang w:val="es-ES" w:eastAsia="en-US"/>
              </w:rPr>
              <w:t xml:space="preserve"> </w:t>
            </w:r>
            <w:proofErr w:type="spellStart"/>
            <w:r>
              <w:rPr>
                <w:sz w:val="22"/>
                <w:szCs w:val="22"/>
                <w:lang w:val="es-ES" w:eastAsia="en-US"/>
              </w:rPr>
              <w:t>may</w:t>
            </w:r>
            <w:proofErr w:type="spellEnd"/>
            <w:r>
              <w:rPr>
                <w:sz w:val="22"/>
                <w:szCs w:val="22"/>
                <w:lang w:val="es-ES" w:eastAsia="en-US"/>
              </w:rPr>
              <w:t xml:space="preserve"> be </w:t>
            </w:r>
            <w:proofErr w:type="spellStart"/>
            <w:r>
              <w:rPr>
                <w:sz w:val="22"/>
                <w:szCs w:val="22"/>
                <w:lang w:val="es-ES" w:eastAsia="en-US"/>
              </w:rPr>
              <w:t>carried</w:t>
            </w:r>
            <w:proofErr w:type="spellEnd"/>
            <w:r>
              <w:rPr>
                <w:sz w:val="22"/>
                <w:szCs w:val="22"/>
                <w:lang w:val="es-ES" w:eastAsia="en-US"/>
              </w:rPr>
              <w:t xml:space="preserve"> </w:t>
            </w:r>
            <w:proofErr w:type="spellStart"/>
            <w:r>
              <w:rPr>
                <w:sz w:val="22"/>
                <w:szCs w:val="22"/>
                <w:lang w:val="es-ES" w:eastAsia="en-US"/>
              </w:rPr>
              <w:t>out</w:t>
            </w:r>
            <w:proofErr w:type="spellEnd"/>
            <w:r>
              <w:rPr>
                <w:sz w:val="22"/>
                <w:szCs w:val="22"/>
                <w:lang w:val="es-ES" w:eastAsia="en-US"/>
              </w:rPr>
              <w:t xml:space="preserve"> </w:t>
            </w:r>
            <w:proofErr w:type="spellStart"/>
            <w:r>
              <w:rPr>
                <w:sz w:val="22"/>
                <w:szCs w:val="22"/>
                <w:lang w:val="es-ES" w:eastAsia="en-US"/>
              </w:rPr>
              <w:t>based</w:t>
            </w:r>
            <w:proofErr w:type="spellEnd"/>
            <w:r>
              <w:rPr>
                <w:sz w:val="22"/>
                <w:szCs w:val="22"/>
                <w:lang w:val="es-ES" w:eastAsia="en-US"/>
              </w:rPr>
              <w:t xml:space="preserve"> </w:t>
            </w:r>
            <w:proofErr w:type="spellStart"/>
            <w:r>
              <w:rPr>
                <w:sz w:val="22"/>
                <w:szCs w:val="22"/>
                <w:lang w:val="es-ES" w:eastAsia="en-US"/>
              </w:rPr>
              <w:t>on</w:t>
            </w:r>
            <w:proofErr w:type="spellEnd"/>
            <w:r>
              <w:rPr>
                <w:sz w:val="22"/>
                <w:szCs w:val="22"/>
                <w:lang w:val="es-ES" w:eastAsia="en-US"/>
              </w:rPr>
              <w:t xml:space="preserve"> </w:t>
            </w:r>
            <w:proofErr w:type="spellStart"/>
            <w:r>
              <w:rPr>
                <w:sz w:val="22"/>
                <w:szCs w:val="22"/>
                <w:lang w:val="es-ES" w:eastAsia="en-US"/>
              </w:rPr>
              <w:t>the</w:t>
            </w:r>
            <w:proofErr w:type="spellEnd"/>
            <w:r>
              <w:rPr>
                <w:sz w:val="22"/>
                <w:szCs w:val="22"/>
                <w:lang w:val="es-ES" w:eastAsia="en-US"/>
              </w:rPr>
              <w:t xml:space="preserve"> </w:t>
            </w:r>
            <w:proofErr w:type="spellStart"/>
            <w:r>
              <w:rPr>
                <w:sz w:val="22"/>
                <w:szCs w:val="22"/>
                <w:lang w:val="es-ES" w:eastAsia="en-US"/>
              </w:rPr>
              <w:t>number</w:t>
            </w:r>
            <w:proofErr w:type="spellEnd"/>
            <w:r>
              <w:rPr>
                <w:sz w:val="22"/>
                <w:szCs w:val="22"/>
                <w:lang w:val="es-ES" w:eastAsia="en-US"/>
              </w:rPr>
              <w:t xml:space="preserve"> </w:t>
            </w:r>
            <w:proofErr w:type="spellStart"/>
            <w:r>
              <w:rPr>
                <w:sz w:val="22"/>
                <w:szCs w:val="22"/>
                <w:lang w:val="es-ES" w:eastAsia="en-US"/>
              </w:rPr>
              <w:t>of</w:t>
            </w:r>
            <w:proofErr w:type="spellEnd"/>
            <w:r>
              <w:rPr>
                <w:sz w:val="22"/>
                <w:szCs w:val="22"/>
                <w:lang w:val="es-ES" w:eastAsia="en-US"/>
              </w:rPr>
              <w:t xml:space="preserve"> </w:t>
            </w:r>
            <w:proofErr w:type="spellStart"/>
            <w:r>
              <w:rPr>
                <w:sz w:val="22"/>
                <w:szCs w:val="22"/>
                <w:lang w:val="es-ES" w:eastAsia="en-US"/>
              </w:rPr>
              <w:t>remotely</w:t>
            </w:r>
            <w:proofErr w:type="spellEnd"/>
            <w:r>
              <w:rPr>
                <w:sz w:val="22"/>
                <w:szCs w:val="22"/>
                <w:lang w:val="es-ES" w:eastAsia="en-US"/>
              </w:rPr>
              <w:t xml:space="preserve"> </w:t>
            </w:r>
            <w:proofErr w:type="spellStart"/>
            <w:r>
              <w:rPr>
                <w:sz w:val="22"/>
                <w:szCs w:val="22"/>
                <w:lang w:val="es-ES" w:eastAsia="en-US"/>
              </w:rPr>
              <w:t>measured</w:t>
            </w:r>
            <w:proofErr w:type="spellEnd"/>
            <w:r>
              <w:rPr>
                <w:sz w:val="22"/>
                <w:szCs w:val="22"/>
                <w:lang w:val="es-ES" w:eastAsia="en-US"/>
              </w:rPr>
              <w:t xml:space="preserve"> </w:t>
            </w:r>
            <w:proofErr w:type="spellStart"/>
            <w:r>
              <w:rPr>
                <w:sz w:val="22"/>
                <w:szCs w:val="22"/>
                <w:lang w:val="es-ES" w:eastAsia="en-US"/>
              </w:rPr>
              <w:t>connections</w:t>
            </w:r>
            <w:proofErr w:type="spellEnd"/>
            <w:r>
              <w:rPr>
                <w:sz w:val="22"/>
                <w:szCs w:val="22"/>
                <w:lang w:val="es-ES" w:eastAsia="en-US"/>
              </w:rPr>
              <w:t xml:space="preserve"> once </w:t>
            </w:r>
            <w:proofErr w:type="spellStart"/>
            <w:r>
              <w:rPr>
                <w:sz w:val="22"/>
                <w:szCs w:val="22"/>
                <w:lang w:val="es-ES" w:eastAsia="en-US"/>
              </w:rPr>
              <w:t>they</w:t>
            </w:r>
            <w:proofErr w:type="spellEnd"/>
            <w:r>
              <w:rPr>
                <w:sz w:val="22"/>
                <w:szCs w:val="22"/>
                <w:lang w:val="es-ES" w:eastAsia="en-US"/>
              </w:rPr>
              <w:t xml:space="preserve"> </w:t>
            </w:r>
            <w:proofErr w:type="spellStart"/>
            <w:r>
              <w:rPr>
                <w:sz w:val="22"/>
                <w:szCs w:val="22"/>
                <w:lang w:val="es-ES" w:eastAsia="en-US"/>
              </w:rPr>
              <w:t>comply</w:t>
            </w:r>
            <w:proofErr w:type="spellEnd"/>
            <w:r>
              <w:rPr>
                <w:sz w:val="22"/>
                <w:szCs w:val="22"/>
                <w:lang w:val="es-ES" w:eastAsia="en-US"/>
              </w:rPr>
              <w:t xml:space="preserve"> </w:t>
            </w:r>
            <w:proofErr w:type="spellStart"/>
            <w:r>
              <w:rPr>
                <w:sz w:val="22"/>
                <w:szCs w:val="22"/>
                <w:lang w:val="es-ES" w:eastAsia="en-US"/>
              </w:rPr>
              <w:t>with</w:t>
            </w:r>
            <w:proofErr w:type="spellEnd"/>
            <w:r>
              <w:rPr>
                <w:sz w:val="22"/>
                <w:szCs w:val="22"/>
                <w:lang w:val="es-ES" w:eastAsia="en-US"/>
              </w:rPr>
              <w:t xml:space="preserve"> </w:t>
            </w:r>
            <w:proofErr w:type="spellStart"/>
            <w:r>
              <w:rPr>
                <w:sz w:val="22"/>
                <w:szCs w:val="22"/>
                <w:lang w:val="es-ES" w:eastAsia="en-US"/>
              </w:rPr>
              <w:t>the</w:t>
            </w:r>
            <w:proofErr w:type="spellEnd"/>
            <w:r>
              <w:rPr>
                <w:sz w:val="22"/>
                <w:szCs w:val="22"/>
                <w:lang w:val="es-ES" w:eastAsia="en-US"/>
              </w:rPr>
              <w:t xml:space="preserve"> </w:t>
            </w:r>
            <w:proofErr w:type="spellStart"/>
            <w:r>
              <w:rPr>
                <w:sz w:val="22"/>
                <w:szCs w:val="22"/>
                <w:lang w:val="es-ES" w:eastAsia="en-US"/>
              </w:rPr>
              <w:t>provisions</w:t>
            </w:r>
            <w:proofErr w:type="spellEnd"/>
            <w:r>
              <w:rPr>
                <w:sz w:val="22"/>
                <w:szCs w:val="22"/>
                <w:lang w:val="es-ES" w:eastAsia="en-US"/>
              </w:rPr>
              <w:t xml:space="preserve"> </w:t>
            </w:r>
            <w:proofErr w:type="spellStart"/>
            <w:r>
              <w:rPr>
                <w:sz w:val="22"/>
                <w:szCs w:val="22"/>
                <w:lang w:val="es-ES" w:eastAsia="en-US"/>
              </w:rPr>
              <w:t>of</w:t>
            </w:r>
            <w:proofErr w:type="spellEnd"/>
            <w:r>
              <w:rPr>
                <w:sz w:val="22"/>
                <w:szCs w:val="22"/>
                <w:lang w:val="es-ES" w:eastAsia="en-US"/>
              </w:rPr>
              <w:t xml:space="preserve"> </w:t>
            </w:r>
            <w:proofErr w:type="spellStart"/>
            <w:r>
              <w:rPr>
                <w:sz w:val="22"/>
                <w:szCs w:val="22"/>
                <w:lang w:val="es-ES" w:eastAsia="en-US"/>
              </w:rPr>
              <w:t>Article</w:t>
            </w:r>
            <w:proofErr w:type="spellEnd"/>
            <w:r>
              <w:rPr>
                <w:sz w:val="22"/>
                <w:szCs w:val="22"/>
                <w:lang w:val="es-ES" w:eastAsia="en-US"/>
              </w:rPr>
              <w:t xml:space="preserve"> 9.1 </w:t>
            </w:r>
            <w:proofErr w:type="spellStart"/>
            <w:r>
              <w:rPr>
                <w:sz w:val="22"/>
                <w:szCs w:val="22"/>
                <w:lang w:val="es-ES" w:eastAsia="en-US"/>
              </w:rPr>
              <w:t>of</w:t>
            </w:r>
            <w:proofErr w:type="spellEnd"/>
            <w:r>
              <w:rPr>
                <w:sz w:val="22"/>
                <w:szCs w:val="22"/>
                <w:lang w:val="es-ES" w:eastAsia="en-US"/>
              </w:rPr>
              <w:t xml:space="preserve"> </w:t>
            </w:r>
            <w:proofErr w:type="spellStart"/>
            <w:r>
              <w:rPr>
                <w:sz w:val="22"/>
                <w:szCs w:val="22"/>
                <w:lang w:val="es-ES" w:eastAsia="en-US"/>
              </w:rPr>
              <w:t>Annex</w:t>
            </w:r>
            <w:proofErr w:type="spellEnd"/>
            <w:r>
              <w:rPr>
                <w:sz w:val="22"/>
                <w:szCs w:val="22"/>
                <w:lang w:val="es-ES" w:eastAsia="en-US"/>
              </w:rPr>
              <w:t xml:space="preserve"> VII – </w:t>
            </w:r>
            <w:proofErr w:type="spellStart"/>
            <w:r>
              <w:rPr>
                <w:sz w:val="22"/>
                <w:szCs w:val="22"/>
                <w:lang w:val="es-ES" w:eastAsia="en-US"/>
              </w:rPr>
              <w:t>Technical</w:t>
            </w:r>
            <w:proofErr w:type="spellEnd"/>
            <w:r>
              <w:rPr>
                <w:sz w:val="22"/>
                <w:szCs w:val="22"/>
                <w:lang w:val="es-ES" w:eastAsia="en-US"/>
              </w:rPr>
              <w:t xml:space="preserve"> </w:t>
            </w:r>
            <w:proofErr w:type="spellStart"/>
            <w:r>
              <w:rPr>
                <w:sz w:val="22"/>
                <w:szCs w:val="22"/>
                <w:lang w:val="es-ES" w:eastAsia="en-US"/>
              </w:rPr>
              <w:t>Specifications</w:t>
            </w:r>
            <w:proofErr w:type="spellEnd"/>
            <w:r>
              <w:rPr>
                <w:sz w:val="22"/>
                <w:szCs w:val="22"/>
                <w:lang w:val="es-ES" w:eastAsia="en-US"/>
              </w:rPr>
              <w:t>.</w:t>
            </w:r>
            <w:r>
              <w:rPr>
                <w:color w:val="538135"/>
                <w:sz w:val="22"/>
                <w:szCs w:val="22"/>
                <w:lang w:val="es-ES" w:eastAsia="en-US"/>
              </w:rPr>
              <w:t xml:space="preserve"> </w:t>
            </w:r>
            <w:proofErr w:type="spellStart"/>
            <w:r>
              <w:rPr>
                <w:sz w:val="22"/>
                <w:szCs w:val="22"/>
                <w:lang w:val="es-ES" w:eastAsia="en-US"/>
              </w:rPr>
              <w:t>which</w:t>
            </w:r>
            <w:proofErr w:type="spellEnd"/>
            <w:r>
              <w:rPr>
                <w:sz w:val="22"/>
                <w:szCs w:val="22"/>
                <w:lang w:val="es-ES" w:eastAsia="en-US"/>
              </w:rPr>
              <w:t xml:space="preserve"> </w:t>
            </w:r>
            <w:proofErr w:type="spellStart"/>
            <w:r>
              <w:rPr>
                <w:sz w:val="22"/>
                <w:szCs w:val="22"/>
                <w:lang w:val="es-ES" w:eastAsia="en-US"/>
              </w:rPr>
              <w:t>may</w:t>
            </w:r>
            <w:proofErr w:type="spellEnd"/>
            <w:r>
              <w:rPr>
                <w:sz w:val="22"/>
                <w:szCs w:val="22"/>
                <w:lang w:val="es-ES" w:eastAsia="en-US"/>
              </w:rPr>
              <w:t xml:space="preserve"> be </w:t>
            </w:r>
            <w:proofErr w:type="spellStart"/>
            <w:r>
              <w:rPr>
                <w:sz w:val="22"/>
                <w:szCs w:val="22"/>
                <w:lang w:val="es-ES" w:eastAsia="en-US"/>
              </w:rPr>
              <w:t>grouped</w:t>
            </w:r>
            <w:proofErr w:type="spellEnd"/>
            <w:r>
              <w:rPr>
                <w:sz w:val="22"/>
                <w:szCs w:val="22"/>
                <w:lang w:val="es-ES" w:eastAsia="en-US"/>
              </w:rPr>
              <w:t xml:space="preserve"> </w:t>
            </w:r>
            <w:proofErr w:type="spellStart"/>
            <w:r>
              <w:rPr>
                <w:sz w:val="22"/>
                <w:szCs w:val="22"/>
                <w:lang w:val="es-ES" w:eastAsia="en-US"/>
              </w:rPr>
              <w:t>by</w:t>
            </w:r>
            <w:proofErr w:type="spellEnd"/>
            <w:r>
              <w:rPr>
                <w:sz w:val="22"/>
                <w:szCs w:val="22"/>
                <w:lang w:val="es-ES" w:eastAsia="en-US"/>
              </w:rPr>
              <w:t xml:space="preserve"> time </w:t>
            </w:r>
            <w:proofErr w:type="spellStart"/>
            <w:r>
              <w:rPr>
                <w:sz w:val="22"/>
                <w:szCs w:val="22"/>
                <w:lang w:val="es-ES" w:eastAsia="en-US"/>
              </w:rPr>
              <w:t>or</w:t>
            </w:r>
            <w:proofErr w:type="spellEnd"/>
            <w:r>
              <w:rPr>
                <w:sz w:val="22"/>
                <w:szCs w:val="22"/>
                <w:lang w:val="es-ES" w:eastAsia="en-US"/>
              </w:rPr>
              <w:t xml:space="preserve"> </w:t>
            </w:r>
            <w:proofErr w:type="spellStart"/>
            <w:r>
              <w:rPr>
                <w:sz w:val="22"/>
                <w:szCs w:val="22"/>
                <w:lang w:val="es-ES" w:eastAsia="en-US"/>
              </w:rPr>
              <w:t>by</w:t>
            </w:r>
            <w:proofErr w:type="spellEnd"/>
            <w:r>
              <w:rPr>
                <w:sz w:val="22"/>
                <w:szCs w:val="22"/>
                <w:lang w:val="es-ES" w:eastAsia="en-US"/>
              </w:rPr>
              <w:t xml:space="preserve"> </w:t>
            </w:r>
            <w:proofErr w:type="spellStart"/>
            <w:r>
              <w:rPr>
                <w:sz w:val="22"/>
                <w:szCs w:val="22"/>
                <w:lang w:val="es-ES" w:eastAsia="en-US"/>
              </w:rPr>
              <w:t>batch</w:t>
            </w:r>
            <w:proofErr w:type="spellEnd"/>
            <w:r>
              <w:rPr>
                <w:sz w:val="22"/>
                <w:szCs w:val="22"/>
                <w:lang w:val="es-ES" w:eastAsia="en-US"/>
              </w:rPr>
              <w:t>.</w:t>
            </w:r>
          </w:p>
          <w:p w14:paraId="3765699B" w14:textId="77777777" w:rsidR="00E255F4" w:rsidRDefault="00000000">
            <w:pPr>
              <w:spacing w:before="120" w:after="120"/>
              <w:jc w:val="both"/>
              <w:rPr>
                <w:rFonts w:eastAsia="Palatino Linotype"/>
                <w:b/>
                <w:spacing w:val="-1"/>
                <w:position w:val="1"/>
                <w:sz w:val="22"/>
                <w:szCs w:val="22"/>
                <w:lang w:val="es-ES"/>
              </w:rPr>
            </w:pPr>
            <w:proofErr w:type="spellStart"/>
            <w:r>
              <w:rPr>
                <w:rFonts w:eastAsia="Palatino Linotype"/>
                <w:b/>
                <w:spacing w:val="-1"/>
                <w:position w:val="1"/>
                <w:sz w:val="22"/>
                <w:szCs w:val="22"/>
                <w:lang w:val="es-ES"/>
              </w:rPr>
              <w:t>Extension</w:t>
            </w:r>
            <w:proofErr w:type="spellEnd"/>
            <w:r>
              <w:rPr>
                <w:rFonts w:eastAsia="Palatino Linotype"/>
                <w:b/>
                <w:spacing w:val="-1"/>
                <w:position w:val="1"/>
                <w:sz w:val="22"/>
                <w:szCs w:val="22"/>
                <w:lang w:val="es-ES"/>
              </w:rPr>
              <w:t xml:space="preserve"> </w:t>
            </w:r>
            <w:proofErr w:type="spellStart"/>
            <w:r>
              <w:rPr>
                <w:rFonts w:eastAsia="Palatino Linotype"/>
                <w:b/>
                <w:spacing w:val="-1"/>
                <w:position w:val="1"/>
                <w:sz w:val="22"/>
                <w:szCs w:val="22"/>
                <w:lang w:val="es-ES"/>
              </w:rPr>
              <w:t>of</w:t>
            </w:r>
            <w:proofErr w:type="spellEnd"/>
            <w:r>
              <w:rPr>
                <w:rFonts w:eastAsia="Palatino Linotype"/>
                <w:b/>
                <w:spacing w:val="-1"/>
                <w:position w:val="1"/>
                <w:sz w:val="22"/>
                <w:szCs w:val="22"/>
                <w:lang w:val="es-ES"/>
              </w:rPr>
              <w:t xml:space="preserve"> </w:t>
            </w:r>
            <w:proofErr w:type="spellStart"/>
            <w:r>
              <w:rPr>
                <w:rFonts w:eastAsia="Palatino Linotype"/>
                <w:b/>
                <w:spacing w:val="-1"/>
                <w:position w:val="1"/>
                <w:sz w:val="22"/>
                <w:szCs w:val="22"/>
                <w:lang w:val="es-ES"/>
              </w:rPr>
              <w:t>the</w:t>
            </w:r>
            <w:proofErr w:type="spellEnd"/>
            <w:r>
              <w:rPr>
                <w:rFonts w:eastAsia="Palatino Linotype"/>
                <w:b/>
                <w:spacing w:val="-1"/>
                <w:position w:val="1"/>
                <w:sz w:val="22"/>
                <w:szCs w:val="22"/>
                <w:lang w:val="es-ES"/>
              </w:rPr>
              <w:t xml:space="preserve"> </w:t>
            </w:r>
            <w:proofErr w:type="spellStart"/>
            <w:r>
              <w:rPr>
                <w:rFonts w:eastAsia="Palatino Linotype"/>
                <w:b/>
                <w:spacing w:val="-1"/>
                <w:position w:val="1"/>
                <w:sz w:val="22"/>
                <w:szCs w:val="22"/>
                <w:lang w:val="es-ES"/>
              </w:rPr>
              <w:t>completion</w:t>
            </w:r>
            <w:proofErr w:type="spellEnd"/>
            <w:r>
              <w:rPr>
                <w:rFonts w:eastAsia="Palatino Linotype"/>
                <w:b/>
                <w:spacing w:val="-1"/>
                <w:position w:val="1"/>
                <w:sz w:val="22"/>
                <w:szCs w:val="22"/>
                <w:lang w:val="es-ES"/>
              </w:rPr>
              <w:t xml:space="preserve"> date</w:t>
            </w:r>
          </w:p>
          <w:p w14:paraId="48913973" w14:textId="77777777" w:rsidR="00E255F4" w:rsidRDefault="00000000">
            <w:pPr>
              <w:pStyle w:val="Textocomentario"/>
              <w:spacing w:after="120"/>
              <w:ind w:left="34"/>
              <w:jc w:val="both"/>
            </w:pPr>
            <w:r>
              <w:rPr>
                <w:sz w:val="22"/>
                <w:szCs w:val="24"/>
                <w:lang w:val="es-UY" w:eastAsia="en-US"/>
              </w:rPr>
              <w:t xml:space="preserve">The </w:t>
            </w:r>
            <w:proofErr w:type="spellStart"/>
            <w:r>
              <w:rPr>
                <w:sz w:val="22"/>
                <w:szCs w:val="24"/>
                <w:lang w:val="es-UY" w:eastAsia="en-US"/>
              </w:rPr>
              <w:t>Administration</w:t>
            </w:r>
            <w:proofErr w:type="spellEnd"/>
            <w:r>
              <w:rPr>
                <w:sz w:val="22"/>
                <w:szCs w:val="24"/>
                <w:lang w:val="es-UY" w:eastAsia="en-US"/>
              </w:rPr>
              <w:t xml:space="preserve"> </w:t>
            </w:r>
            <w:proofErr w:type="spellStart"/>
            <w:r>
              <w:rPr>
                <w:sz w:val="22"/>
                <w:szCs w:val="24"/>
                <w:lang w:val="es-UY" w:eastAsia="en-US"/>
              </w:rPr>
              <w:t>may</w:t>
            </w:r>
            <w:proofErr w:type="spellEnd"/>
            <w:r>
              <w:rPr>
                <w:sz w:val="22"/>
                <w:szCs w:val="24"/>
                <w:lang w:val="es-UY" w:eastAsia="en-US"/>
              </w:rPr>
              <w:t xml:space="preserve"> </w:t>
            </w:r>
            <w:proofErr w:type="spellStart"/>
            <w:r>
              <w:rPr>
                <w:sz w:val="22"/>
                <w:szCs w:val="24"/>
                <w:lang w:val="es-UY" w:eastAsia="en-US"/>
              </w:rPr>
              <w:t>extend</w:t>
            </w:r>
            <w:proofErr w:type="spellEnd"/>
            <w:r>
              <w:rPr>
                <w:sz w:val="22"/>
                <w:szCs w:val="24"/>
                <w:lang w:val="es-UY" w:eastAsia="en-US"/>
              </w:rPr>
              <w:t xml:space="preserve"> </w:t>
            </w:r>
            <w:proofErr w:type="spellStart"/>
            <w:r>
              <w:rPr>
                <w:sz w:val="22"/>
                <w:szCs w:val="24"/>
                <w:lang w:val="es-UY" w:eastAsia="en-US"/>
              </w:rPr>
              <w:t>the</w:t>
            </w:r>
            <w:proofErr w:type="spellEnd"/>
            <w:r>
              <w:rPr>
                <w:sz w:val="22"/>
                <w:szCs w:val="24"/>
                <w:lang w:val="es-UY" w:eastAsia="en-US"/>
              </w:rPr>
              <w:t xml:space="preserve"> </w:t>
            </w:r>
            <w:proofErr w:type="spellStart"/>
            <w:r>
              <w:rPr>
                <w:sz w:val="22"/>
                <w:szCs w:val="24"/>
                <w:lang w:val="es-UY" w:eastAsia="en-US"/>
              </w:rPr>
              <w:t>planned</w:t>
            </w:r>
            <w:proofErr w:type="spellEnd"/>
            <w:r>
              <w:rPr>
                <w:sz w:val="22"/>
                <w:szCs w:val="24"/>
                <w:lang w:val="es-UY" w:eastAsia="en-US"/>
              </w:rPr>
              <w:t xml:space="preserve"> </w:t>
            </w:r>
            <w:proofErr w:type="spellStart"/>
            <w:r>
              <w:rPr>
                <w:sz w:val="22"/>
                <w:szCs w:val="24"/>
                <w:lang w:val="es-UY" w:eastAsia="en-US"/>
              </w:rPr>
              <w:t>completion</w:t>
            </w:r>
            <w:proofErr w:type="spellEnd"/>
            <w:r>
              <w:rPr>
                <w:sz w:val="22"/>
                <w:szCs w:val="24"/>
                <w:lang w:val="es-UY" w:eastAsia="en-US"/>
              </w:rPr>
              <w:t xml:space="preserve"> date </w:t>
            </w:r>
            <w:proofErr w:type="spellStart"/>
            <w:r>
              <w:rPr>
                <w:sz w:val="22"/>
                <w:szCs w:val="24"/>
                <w:lang w:val="es-UY" w:eastAsia="en-US"/>
              </w:rPr>
              <w:t>when</w:t>
            </w:r>
            <w:proofErr w:type="spellEnd"/>
            <w:r>
              <w:rPr>
                <w:sz w:val="22"/>
                <w:szCs w:val="24"/>
                <w:lang w:val="es-UY" w:eastAsia="en-US"/>
              </w:rPr>
              <w:t xml:space="preserve"> a </w:t>
            </w:r>
            <w:proofErr w:type="spellStart"/>
            <w:r>
              <w:rPr>
                <w:sz w:val="22"/>
                <w:szCs w:val="24"/>
                <w:lang w:val="es-UY" w:eastAsia="en-US"/>
              </w:rPr>
              <w:t>change</w:t>
            </w:r>
            <w:proofErr w:type="spellEnd"/>
            <w:r>
              <w:rPr>
                <w:sz w:val="22"/>
                <w:szCs w:val="24"/>
                <w:lang w:val="es-UY" w:eastAsia="en-US"/>
              </w:rPr>
              <w:t xml:space="preserve"> </w:t>
            </w:r>
            <w:proofErr w:type="spellStart"/>
            <w:r>
              <w:rPr>
                <w:sz w:val="22"/>
                <w:szCs w:val="24"/>
                <w:lang w:val="es-UY" w:eastAsia="en-US"/>
              </w:rPr>
              <w:t>is</w:t>
            </w:r>
            <w:proofErr w:type="spellEnd"/>
            <w:r>
              <w:rPr>
                <w:sz w:val="22"/>
                <w:szCs w:val="24"/>
                <w:lang w:val="es-UY" w:eastAsia="en-US"/>
              </w:rPr>
              <w:t xml:space="preserve"> </w:t>
            </w:r>
            <w:proofErr w:type="spellStart"/>
            <w:r>
              <w:rPr>
                <w:sz w:val="22"/>
                <w:szCs w:val="24"/>
                <w:lang w:val="es-UY" w:eastAsia="en-US"/>
              </w:rPr>
              <w:t>ordered</w:t>
            </w:r>
            <w:proofErr w:type="spellEnd"/>
            <w:r>
              <w:rPr>
                <w:sz w:val="22"/>
                <w:szCs w:val="24"/>
                <w:lang w:val="es-UY" w:eastAsia="en-US"/>
              </w:rPr>
              <w:t xml:space="preserve"> </w:t>
            </w:r>
            <w:proofErr w:type="spellStart"/>
            <w:r>
              <w:rPr>
                <w:sz w:val="22"/>
                <w:szCs w:val="24"/>
                <w:lang w:val="es-UY" w:eastAsia="en-US"/>
              </w:rPr>
              <w:t>that</w:t>
            </w:r>
            <w:proofErr w:type="spellEnd"/>
            <w:r>
              <w:rPr>
                <w:sz w:val="22"/>
                <w:szCs w:val="24"/>
                <w:lang w:val="es-UY" w:eastAsia="en-US"/>
              </w:rPr>
              <w:t xml:space="preserve"> </w:t>
            </w:r>
            <w:proofErr w:type="spellStart"/>
            <w:r>
              <w:rPr>
                <w:sz w:val="22"/>
                <w:szCs w:val="24"/>
                <w:lang w:val="es-UY" w:eastAsia="en-US"/>
              </w:rPr>
              <w:t>makes</w:t>
            </w:r>
            <w:proofErr w:type="spellEnd"/>
            <w:r>
              <w:rPr>
                <w:sz w:val="22"/>
                <w:szCs w:val="24"/>
                <w:lang w:val="es-UY" w:eastAsia="en-US"/>
              </w:rPr>
              <w:t xml:space="preserve"> </w:t>
            </w:r>
            <w:proofErr w:type="spellStart"/>
            <w:r>
              <w:rPr>
                <w:sz w:val="22"/>
                <w:szCs w:val="24"/>
                <w:lang w:val="es-UY" w:eastAsia="en-US"/>
              </w:rPr>
              <w:t>it</w:t>
            </w:r>
            <w:proofErr w:type="spellEnd"/>
            <w:r>
              <w:rPr>
                <w:sz w:val="22"/>
                <w:szCs w:val="24"/>
                <w:lang w:val="es-UY" w:eastAsia="en-US"/>
              </w:rPr>
              <w:t xml:space="preserve"> </w:t>
            </w:r>
            <w:proofErr w:type="spellStart"/>
            <w:r>
              <w:rPr>
                <w:sz w:val="22"/>
                <w:szCs w:val="24"/>
                <w:lang w:val="es-UY" w:eastAsia="en-US"/>
              </w:rPr>
              <w:t>impossible</w:t>
            </w:r>
            <w:proofErr w:type="spellEnd"/>
            <w:r>
              <w:rPr>
                <w:sz w:val="22"/>
                <w:szCs w:val="24"/>
                <w:lang w:val="es-UY" w:eastAsia="en-US"/>
              </w:rPr>
              <w:t xml:space="preserve"> </w:t>
            </w:r>
            <w:proofErr w:type="spellStart"/>
            <w:r>
              <w:rPr>
                <w:sz w:val="22"/>
                <w:szCs w:val="24"/>
                <w:lang w:val="es-UY" w:eastAsia="en-US"/>
              </w:rPr>
              <w:t>to</w:t>
            </w:r>
            <w:proofErr w:type="spellEnd"/>
            <w:r>
              <w:rPr>
                <w:sz w:val="22"/>
                <w:szCs w:val="24"/>
                <w:lang w:val="es-UY" w:eastAsia="en-US"/>
              </w:rPr>
              <w:t xml:space="preserve"> complete </w:t>
            </w:r>
            <w:proofErr w:type="spellStart"/>
            <w:r>
              <w:rPr>
                <w:sz w:val="22"/>
                <w:szCs w:val="24"/>
                <w:lang w:val="es-UY" w:eastAsia="en-US"/>
              </w:rPr>
              <w:t>the</w:t>
            </w:r>
            <w:proofErr w:type="spellEnd"/>
            <w:r>
              <w:rPr>
                <w:sz w:val="22"/>
                <w:szCs w:val="24"/>
                <w:lang w:val="es-UY" w:eastAsia="en-US"/>
              </w:rPr>
              <w:t xml:space="preserve"> </w:t>
            </w:r>
            <w:proofErr w:type="spellStart"/>
            <w:r>
              <w:rPr>
                <w:sz w:val="22"/>
                <w:szCs w:val="24"/>
                <w:lang w:val="es-UY" w:eastAsia="en-US"/>
              </w:rPr>
              <w:t>work</w:t>
            </w:r>
            <w:proofErr w:type="spellEnd"/>
            <w:r>
              <w:rPr>
                <w:sz w:val="22"/>
                <w:szCs w:val="24"/>
                <w:lang w:val="es-UY" w:eastAsia="en-US"/>
              </w:rPr>
              <w:t xml:space="preserve"> </w:t>
            </w:r>
            <w:proofErr w:type="spellStart"/>
            <w:r>
              <w:rPr>
                <w:sz w:val="22"/>
                <w:szCs w:val="24"/>
                <w:lang w:val="es-UY" w:eastAsia="en-US"/>
              </w:rPr>
              <w:t>on</w:t>
            </w:r>
            <w:proofErr w:type="spellEnd"/>
            <w:r>
              <w:rPr>
                <w:sz w:val="22"/>
                <w:szCs w:val="24"/>
                <w:lang w:val="es-UY" w:eastAsia="en-US"/>
              </w:rPr>
              <w:t xml:space="preserve"> </w:t>
            </w:r>
            <w:proofErr w:type="spellStart"/>
            <w:r>
              <w:rPr>
                <w:sz w:val="22"/>
                <w:szCs w:val="24"/>
                <w:lang w:val="es-UY" w:eastAsia="en-US"/>
              </w:rPr>
              <w:t>the</w:t>
            </w:r>
            <w:proofErr w:type="spellEnd"/>
            <w:r>
              <w:rPr>
                <w:sz w:val="22"/>
                <w:szCs w:val="24"/>
                <w:lang w:val="es-UY" w:eastAsia="en-US"/>
              </w:rPr>
              <w:t xml:space="preserve"> </w:t>
            </w:r>
            <w:proofErr w:type="spellStart"/>
            <w:r>
              <w:rPr>
                <w:sz w:val="22"/>
                <w:szCs w:val="24"/>
                <w:lang w:val="es-UY" w:eastAsia="en-US"/>
              </w:rPr>
              <w:t>planned</w:t>
            </w:r>
            <w:proofErr w:type="spellEnd"/>
            <w:r>
              <w:rPr>
                <w:sz w:val="22"/>
                <w:szCs w:val="24"/>
                <w:lang w:val="es-UY" w:eastAsia="en-US"/>
              </w:rPr>
              <w:t xml:space="preserve"> date </w:t>
            </w:r>
            <w:proofErr w:type="spellStart"/>
            <w:r>
              <w:rPr>
                <w:sz w:val="22"/>
                <w:szCs w:val="24"/>
                <w:lang w:val="es-UY" w:eastAsia="en-US"/>
              </w:rPr>
              <w:t>without</w:t>
            </w:r>
            <w:proofErr w:type="spellEnd"/>
            <w:r>
              <w:rPr>
                <w:sz w:val="22"/>
                <w:szCs w:val="24"/>
                <w:lang w:val="es-UY" w:eastAsia="en-US"/>
              </w:rPr>
              <w:t xml:space="preserve"> </w:t>
            </w:r>
            <w:proofErr w:type="spellStart"/>
            <w:r>
              <w:rPr>
                <w:sz w:val="22"/>
                <w:szCs w:val="24"/>
                <w:lang w:val="es-UY" w:eastAsia="en-US"/>
              </w:rPr>
              <w:t>the</w:t>
            </w:r>
            <w:proofErr w:type="spellEnd"/>
            <w:r>
              <w:rPr>
                <w:sz w:val="22"/>
                <w:szCs w:val="24"/>
                <w:lang w:val="es-UY" w:eastAsia="en-US"/>
              </w:rPr>
              <w:t xml:space="preserve"> Contractor </w:t>
            </w:r>
            <w:proofErr w:type="spellStart"/>
            <w:r>
              <w:rPr>
                <w:sz w:val="22"/>
                <w:szCs w:val="24"/>
                <w:lang w:val="es-UY" w:eastAsia="en-US"/>
              </w:rPr>
              <w:t>taking</w:t>
            </w:r>
            <w:proofErr w:type="spellEnd"/>
            <w:r>
              <w:rPr>
                <w:sz w:val="22"/>
                <w:szCs w:val="24"/>
                <w:lang w:val="es-UY" w:eastAsia="en-US"/>
              </w:rPr>
              <w:t xml:space="preserve"> </w:t>
            </w:r>
            <w:proofErr w:type="spellStart"/>
            <w:r>
              <w:rPr>
                <w:sz w:val="22"/>
                <w:szCs w:val="24"/>
                <w:lang w:val="es-UY" w:eastAsia="en-US"/>
              </w:rPr>
              <w:t>measures</w:t>
            </w:r>
            <w:proofErr w:type="spellEnd"/>
            <w:r>
              <w:rPr>
                <w:sz w:val="22"/>
                <w:szCs w:val="24"/>
                <w:lang w:val="es-UY" w:eastAsia="en-US"/>
              </w:rPr>
              <w:t xml:space="preserve"> </w:t>
            </w:r>
            <w:proofErr w:type="spellStart"/>
            <w:r>
              <w:rPr>
                <w:sz w:val="22"/>
                <w:szCs w:val="24"/>
                <w:lang w:val="es-UY" w:eastAsia="en-US"/>
              </w:rPr>
              <w:t>to</w:t>
            </w:r>
            <w:proofErr w:type="spellEnd"/>
            <w:r>
              <w:rPr>
                <w:sz w:val="22"/>
                <w:szCs w:val="24"/>
                <w:lang w:val="es-UY" w:eastAsia="en-US"/>
              </w:rPr>
              <w:t xml:space="preserve"> </w:t>
            </w:r>
            <w:proofErr w:type="spellStart"/>
            <w:r>
              <w:rPr>
                <w:sz w:val="22"/>
                <w:szCs w:val="24"/>
                <w:lang w:val="es-UY" w:eastAsia="en-US"/>
              </w:rPr>
              <w:t>accelerate</w:t>
            </w:r>
            <w:proofErr w:type="spellEnd"/>
            <w:r>
              <w:rPr>
                <w:sz w:val="22"/>
                <w:szCs w:val="24"/>
                <w:lang w:val="es-UY" w:eastAsia="en-US"/>
              </w:rPr>
              <w:t xml:space="preserve"> </w:t>
            </w:r>
            <w:proofErr w:type="spellStart"/>
            <w:r>
              <w:rPr>
                <w:sz w:val="22"/>
                <w:szCs w:val="24"/>
                <w:lang w:val="es-UY" w:eastAsia="en-US"/>
              </w:rPr>
              <w:t>the</w:t>
            </w:r>
            <w:proofErr w:type="spellEnd"/>
            <w:r>
              <w:rPr>
                <w:sz w:val="22"/>
                <w:szCs w:val="24"/>
                <w:lang w:val="es-UY" w:eastAsia="en-US"/>
              </w:rPr>
              <w:t xml:space="preserve"> pace </w:t>
            </w:r>
            <w:proofErr w:type="spellStart"/>
            <w:r>
              <w:rPr>
                <w:sz w:val="22"/>
                <w:szCs w:val="24"/>
                <w:lang w:val="es-UY" w:eastAsia="en-US"/>
              </w:rPr>
              <w:t>of</w:t>
            </w:r>
            <w:proofErr w:type="spellEnd"/>
            <w:r>
              <w:rPr>
                <w:sz w:val="22"/>
                <w:szCs w:val="24"/>
                <w:lang w:val="es-UY" w:eastAsia="en-US"/>
              </w:rPr>
              <w:t xml:space="preserve"> </w:t>
            </w:r>
            <w:proofErr w:type="spellStart"/>
            <w:r>
              <w:rPr>
                <w:sz w:val="22"/>
                <w:szCs w:val="24"/>
                <w:lang w:val="es-UY" w:eastAsia="en-US"/>
              </w:rPr>
              <w:t>execution</w:t>
            </w:r>
            <w:proofErr w:type="spellEnd"/>
            <w:r>
              <w:rPr>
                <w:sz w:val="22"/>
                <w:szCs w:val="24"/>
                <w:lang w:val="es-UY" w:eastAsia="en-US"/>
              </w:rPr>
              <w:t xml:space="preserve"> </w:t>
            </w:r>
            <w:proofErr w:type="spellStart"/>
            <w:r>
              <w:rPr>
                <w:sz w:val="22"/>
                <w:szCs w:val="24"/>
                <w:lang w:val="es-UY" w:eastAsia="en-US"/>
              </w:rPr>
              <w:t>of</w:t>
            </w:r>
            <w:proofErr w:type="spellEnd"/>
            <w:r>
              <w:rPr>
                <w:sz w:val="22"/>
                <w:szCs w:val="24"/>
                <w:lang w:val="es-UY" w:eastAsia="en-US"/>
              </w:rPr>
              <w:t xml:space="preserve"> </w:t>
            </w:r>
            <w:proofErr w:type="spellStart"/>
            <w:r>
              <w:rPr>
                <w:sz w:val="22"/>
                <w:szCs w:val="24"/>
                <w:lang w:val="es-UY" w:eastAsia="en-US"/>
              </w:rPr>
              <w:t>the</w:t>
            </w:r>
            <w:proofErr w:type="spellEnd"/>
            <w:r>
              <w:rPr>
                <w:sz w:val="22"/>
                <w:szCs w:val="24"/>
                <w:lang w:val="es-UY" w:eastAsia="en-US"/>
              </w:rPr>
              <w:t xml:space="preserve"> </w:t>
            </w:r>
            <w:proofErr w:type="spellStart"/>
            <w:r>
              <w:rPr>
                <w:sz w:val="22"/>
                <w:szCs w:val="24"/>
                <w:lang w:val="es-UY" w:eastAsia="en-US"/>
              </w:rPr>
              <w:t>remaining</w:t>
            </w:r>
            <w:proofErr w:type="spellEnd"/>
            <w:r>
              <w:rPr>
                <w:sz w:val="22"/>
                <w:szCs w:val="24"/>
                <w:lang w:val="es-UY" w:eastAsia="en-US"/>
              </w:rPr>
              <w:t xml:space="preserve"> </w:t>
            </w:r>
            <w:proofErr w:type="spellStart"/>
            <w:r>
              <w:rPr>
                <w:sz w:val="22"/>
                <w:szCs w:val="24"/>
                <w:lang w:val="es-UY" w:eastAsia="en-US"/>
              </w:rPr>
              <w:t>work</w:t>
            </w:r>
            <w:proofErr w:type="spellEnd"/>
            <w:r>
              <w:rPr>
                <w:sz w:val="22"/>
                <w:szCs w:val="24"/>
                <w:lang w:val="es-UY" w:eastAsia="en-US"/>
              </w:rPr>
              <w:t>.</w:t>
            </w:r>
          </w:p>
          <w:p w14:paraId="0655C36D" w14:textId="77777777" w:rsidR="00E255F4" w:rsidRDefault="00000000">
            <w:pPr>
              <w:pStyle w:val="Textocomentario"/>
              <w:spacing w:after="120"/>
              <w:ind w:left="34"/>
              <w:jc w:val="both"/>
              <w:rPr>
                <w:sz w:val="22"/>
                <w:szCs w:val="24"/>
                <w:lang w:val="es-UY" w:eastAsia="en-US"/>
              </w:rPr>
            </w:pPr>
            <w:proofErr w:type="spellStart"/>
            <w:r>
              <w:rPr>
                <w:sz w:val="22"/>
                <w:szCs w:val="24"/>
                <w:lang w:val="es-UY" w:eastAsia="en-US"/>
              </w:rPr>
              <w:lastRenderedPageBreak/>
              <w:t>If</w:t>
            </w:r>
            <w:proofErr w:type="spellEnd"/>
            <w:r>
              <w:rPr>
                <w:sz w:val="22"/>
                <w:szCs w:val="24"/>
                <w:lang w:val="es-UY" w:eastAsia="en-US"/>
              </w:rPr>
              <w:t xml:space="preserve"> OSE </w:t>
            </w:r>
            <w:proofErr w:type="spellStart"/>
            <w:r>
              <w:rPr>
                <w:sz w:val="22"/>
                <w:szCs w:val="24"/>
                <w:lang w:val="es-UY" w:eastAsia="en-US"/>
              </w:rPr>
              <w:t>orders</w:t>
            </w:r>
            <w:proofErr w:type="spellEnd"/>
            <w:r>
              <w:rPr>
                <w:sz w:val="22"/>
                <w:szCs w:val="24"/>
                <w:lang w:val="es-UY" w:eastAsia="en-US"/>
              </w:rPr>
              <w:t xml:space="preserve"> </w:t>
            </w:r>
            <w:proofErr w:type="spellStart"/>
            <w:r>
              <w:rPr>
                <w:sz w:val="22"/>
                <w:szCs w:val="24"/>
                <w:lang w:val="es-UY" w:eastAsia="en-US"/>
              </w:rPr>
              <w:t>variations</w:t>
            </w:r>
            <w:proofErr w:type="spellEnd"/>
            <w:r>
              <w:rPr>
                <w:sz w:val="22"/>
                <w:szCs w:val="24"/>
                <w:lang w:val="es-UY" w:eastAsia="en-US"/>
              </w:rPr>
              <w:t xml:space="preserve"> </w:t>
            </w:r>
            <w:proofErr w:type="spellStart"/>
            <w:r>
              <w:rPr>
                <w:sz w:val="22"/>
                <w:szCs w:val="24"/>
                <w:lang w:val="es-UY" w:eastAsia="en-US"/>
              </w:rPr>
              <w:t>or</w:t>
            </w:r>
            <w:proofErr w:type="spellEnd"/>
            <w:r>
              <w:rPr>
                <w:sz w:val="22"/>
                <w:szCs w:val="24"/>
                <w:lang w:val="es-UY" w:eastAsia="en-US"/>
              </w:rPr>
              <w:t xml:space="preserve"> </w:t>
            </w:r>
            <w:proofErr w:type="spellStart"/>
            <w:r>
              <w:rPr>
                <w:sz w:val="22"/>
                <w:szCs w:val="24"/>
                <w:lang w:val="es-UY" w:eastAsia="en-US"/>
              </w:rPr>
              <w:t>unforeseen</w:t>
            </w:r>
            <w:proofErr w:type="spellEnd"/>
            <w:r>
              <w:rPr>
                <w:sz w:val="22"/>
                <w:szCs w:val="24"/>
                <w:lang w:val="es-UY" w:eastAsia="en-US"/>
              </w:rPr>
              <w:t xml:space="preserve"> </w:t>
            </w:r>
            <w:proofErr w:type="spellStart"/>
            <w:r>
              <w:rPr>
                <w:sz w:val="22"/>
                <w:szCs w:val="24"/>
                <w:lang w:val="es-UY" w:eastAsia="en-US"/>
              </w:rPr>
              <w:t>events</w:t>
            </w:r>
            <w:proofErr w:type="spellEnd"/>
            <w:r>
              <w:rPr>
                <w:sz w:val="22"/>
                <w:szCs w:val="24"/>
                <w:lang w:val="es-UY" w:eastAsia="en-US"/>
              </w:rPr>
              <w:t xml:space="preserve"> </w:t>
            </w:r>
            <w:proofErr w:type="spellStart"/>
            <w:r>
              <w:rPr>
                <w:sz w:val="22"/>
                <w:szCs w:val="24"/>
                <w:lang w:val="es-UY" w:eastAsia="en-US"/>
              </w:rPr>
              <w:t>arise</w:t>
            </w:r>
            <w:proofErr w:type="spellEnd"/>
            <w:r>
              <w:rPr>
                <w:sz w:val="22"/>
                <w:szCs w:val="24"/>
                <w:lang w:val="es-UY" w:eastAsia="en-US"/>
              </w:rPr>
              <w:t xml:space="preserve"> </w:t>
            </w:r>
            <w:proofErr w:type="spellStart"/>
            <w:r>
              <w:rPr>
                <w:sz w:val="22"/>
                <w:szCs w:val="24"/>
                <w:lang w:val="es-UY" w:eastAsia="en-US"/>
              </w:rPr>
              <w:t>that</w:t>
            </w:r>
            <w:proofErr w:type="spellEnd"/>
            <w:r>
              <w:rPr>
                <w:sz w:val="22"/>
                <w:szCs w:val="24"/>
                <w:lang w:val="es-UY" w:eastAsia="en-US"/>
              </w:rPr>
              <w:t xml:space="preserve"> </w:t>
            </w:r>
            <w:proofErr w:type="spellStart"/>
            <w:r>
              <w:rPr>
                <w:sz w:val="22"/>
                <w:szCs w:val="24"/>
                <w:lang w:val="es-UY" w:eastAsia="en-US"/>
              </w:rPr>
              <w:t>make</w:t>
            </w:r>
            <w:proofErr w:type="spellEnd"/>
            <w:r>
              <w:rPr>
                <w:sz w:val="22"/>
                <w:szCs w:val="24"/>
                <w:lang w:val="es-UY" w:eastAsia="en-US"/>
              </w:rPr>
              <w:t xml:space="preserve"> </w:t>
            </w:r>
            <w:proofErr w:type="spellStart"/>
            <w:r>
              <w:rPr>
                <w:sz w:val="22"/>
                <w:szCs w:val="24"/>
                <w:lang w:val="es-UY" w:eastAsia="en-US"/>
              </w:rPr>
              <w:t>it</w:t>
            </w:r>
            <w:proofErr w:type="spellEnd"/>
            <w:r>
              <w:rPr>
                <w:sz w:val="22"/>
                <w:szCs w:val="24"/>
                <w:lang w:val="es-UY" w:eastAsia="en-US"/>
              </w:rPr>
              <w:t xml:space="preserve"> </w:t>
            </w:r>
            <w:proofErr w:type="spellStart"/>
            <w:r>
              <w:rPr>
                <w:sz w:val="22"/>
                <w:szCs w:val="24"/>
                <w:lang w:val="es-UY" w:eastAsia="en-US"/>
              </w:rPr>
              <w:t>impossible</w:t>
            </w:r>
            <w:proofErr w:type="spellEnd"/>
            <w:r>
              <w:rPr>
                <w:sz w:val="22"/>
                <w:szCs w:val="24"/>
                <w:lang w:val="es-UY" w:eastAsia="en-US"/>
              </w:rPr>
              <w:t xml:space="preserve"> </w:t>
            </w:r>
            <w:proofErr w:type="spellStart"/>
            <w:r>
              <w:rPr>
                <w:sz w:val="22"/>
                <w:szCs w:val="24"/>
                <w:lang w:val="es-UY" w:eastAsia="en-US"/>
              </w:rPr>
              <w:t>to</w:t>
            </w:r>
            <w:proofErr w:type="spellEnd"/>
            <w:r>
              <w:rPr>
                <w:sz w:val="22"/>
                <w:szCs w:val="24"/>
                <w:lang w:val="es-UY" w:eastAsia="en-US"/>
              </w:rPr>
              <w:t xml:space="preserve"> </w:t>
            </w:r>
            <w:proofErr w:type="spellStart"/>
            <w:r>
              <w:rPr>
                <w:sz w:val="22"/>
                <w:szCs w:val="24"/>
                <w:lang w:val="es-UY" w:eastAsia="en-US"/>
              </w:rPr>
              <w:t>comply</w:t>
            </w:r>
            <w:proofErr w:type="spellEnd"/>
            <w:r>
              <w:rPr>
                <w:sz w:val="22"/>
                <w:szCs w:val="24"/>
                <w:lang w:val="es-UY" w:eastAsia="en-US"/>
              </w:rPr>
              <w:t xml:space="preserve"> </w:t>
            </w:r>
            <w:proofErr w:type="spellStart"/>
            <w:r>
              <w:rPr>
                <w:sz w:val="22"/>
                <w:szCs w:val="24"/>
                <w:lang w:val="es-UY" w:eastAsia="en-US"/>
              </w:rPr>
              <w:t>with</w:t>
            </w:r>
            <w:proofErr w:type="spellEnd"/>
            <w:r>
              <w:rPr>
                <w:sz w:val="22"/>
                <w:szCs w:val="24"/>
                <w:lang w:val="es-UY" w:eastAsia="en-US"/>
              </w:rPr>
              <w:t xml:space="preserve"> </w:t>
            </w:r>
            <w:proofErr w:type="spellStart"/>
            <w:r>
              <w:rPr>
                <w:sz w:val="22"/>
                <w:szCs w:val="24"/>
                <w:lang w:val="es-UY" w:eastAsia="en-US"/>
              </w:rPr>
              <w:t>the</w:t>
            </w:r>
            <w:proofErr w:type="spellEnd"/>
            <w:r>
              <w:rPr>
                <w:sz w:val="22"/>
                <w:szCs w:val="24"/>
                <w:lang w:val="es-UY" w:eastAsia="en-US"/>
              </w:rPr>
              <w:t xml:space="preserve"> </w:t>
            </w:r>
            <w:proofErr w:type="spellStart"/>
            <w:r>
              <w:rPr>
                <w:sz w:val="22"/>
                <w:szCs w:val="24"/>
                <w:lang w:val="es-UY" w:eastAsia="en-US"/>
              </w:rPr>
              <w:t>deadlines</w:t>
            </w:r>
            <w:proofErr w:type="spellEnd"/>
            <w:r>
              <w:rPr>
                <w:sz w:val="22"/>
                <w:szCs w:val="24"/>
                <w:lang w:val="es-UY" w:eastAsia="en-US"/>
              </w:rPr>
              <w:t xml:space="preserve"> </w:t>
            </w:r>
            <w:proofErr w:type="spellStart"/>
            <w:r>
              <w:rPr>
                <w:sz w:val="22"/>
                <w:szCs w:val="24"/>
                <w:lang w:val="es-UY" w:eastAsia="en-US"/>
              </w:rPr>
              <w:t>established</w:t>
            </w:r>
            <w:proofErr w:type="spellEnd"/>
            <w:r>
              <w:rPr>
                <w:sz w:val="22"/>
                <w:szCs w:val="24"/>
                <w:lang w:val="es-UY" w:eastAsia="en-US"/>
              </w:rPr>
              <w:t xml:space="preserve"> in </w:t>
            </w:r>
            <w:proofErr w:type="spellStart"/>
            <w:r>
              <w:rPr>
                <w:sz w:val="22"/>
                <w:szCs w:val="24"/>
                <w:lang w:val="es-UY" w:eastAsia="en-US"/>
              </w:rPr>
              <w:t>the</w:t>
            </w:r>
            <w:proofErr w:type="spellEnd"/>
            <w:r>
              <w:rPr>
                <w:sz w:val="22"/>
                <w:szCs w:val="24"/>
                <w:lang w:val="es-UY" w:eastAsia="en-US"/>
              </w:rPr>
              <w:t xml:space="preserve"> General Project </w:t>
            </w:r>
            <w:proofErr w:type="spellStart"/>
            <w:r>
              <w:rPr>
                <w:sz w:val="22"/>
                <w:szCs w:val="24"/>
                <w:lang w:val="es-UY" w:eastAsia="en-US"/>
              </w:rPr>
              <w:t>Execution</w:t>
            </w:r>
            <w:proofErr w:type="spellEnd"/>
            <w:r>
              <w:rPr>
                <w:sz w:val="22"/>
                <w:szCs w:val="24"/>
                <w:lang w:val="es-UY" w:eastAsia="en-US"/>
              </w:rPr>
              <w:t xml:space="preserve"> Plan, </w:t>
            </w:r>
            <w:proofErr w:type="spellStart"/>
            <w:r>
              <w:rPr>
                <w:sz w:val="22"/>
                <w:szCs w:val="24"/>
                <w:lang w:val="es-UY" w:eastAsia="en-US"/>
              </w:rPr>
              <w:t>the</w:t>
            </w:r>
            <w:proofErr w:type="spellEnd"/>
            <w:r>
              <w:rPr>
                <w:sz w:val="22"/>
                <w:szCs w:val="24"/>
                <w:lang w:val="es-UY" w:eastAsia="en-US"/>
              </w:rPr>
              <w:t xml:space="preserve"> </w:t>
            </w:r>
            <w:proofErr w:type="spellStart"/>
            <w:r>
              <w:rPr>
                <w:sz w:val="22"/>
                <w:szCs w:val="24"/>
                <w:lang w:val="es-UY" w:eastAsia="en-US"/>
              </w:rPr>
              <w:t>Awardee</w:t>
            </w:r>
            <w:proofErr w:type="spellEnd"/>
            <w:r>
              <w:rPr>
                <w:sz w:val="22"/>
                <w:szCs w:val="24"/>
                <w:lang w:val="es-UY" w:eastAsia="en-US"/>
              </w:rPr>
              <w:t xml:space="preserve"> </w:t>
            </w:r>
            <w:proofErr w:type="spellStart"/>
            <w:r>
              <w:rPr>
                <w:sz w:val="22"/>
                <w:szCs w:val="24"/>
                <w:lang w:val="es-UY" w:eastAsia="en-US"/>
              </w:rPr>
              <w:t>may</w:t>
            </w:r>
            <w:proofErr w:type="spellEnd"/>
            <w:r>
              <w:rPr>
                <w:sz w:val="22"/>
                <w:szCs w:val="24"/>
                <w:lang w:val="es-UY" w:eastAsia="en-US"/>
              </w:rPr>
              <w:t xml:space="preserve"> </w:t>
            </w:r>
            <w:proofErr w:type="spellStart"/>
            <w:r>
              <w:rPr>
                <w:sz w:val="22"/>
                <w:szCs w:val="24"/>
                <w:lang w:val="es-UY" w:eastAsia="en-US"/>
              </w:rPr>
              <w:t>request</w:t>
            </w:r>
            <w:proofErr w:type="spellEnd"/>
            <w:r>
              <w:rPr>
                <w:sz w:val="22"/>
                <w:szCs w:val="24"/>
                <w:lang w:val="es-UY" w:eastAsia="en-US"/>
              </w:rPr>
              <w:t xml:space="preserve"> </w:t>
            </w:r>
            <w:proofErr w:type="spellStart"/>
            <w:r>
              <w:rPr>
                <w:sz w:val="22"/>
                <w:szCs w:val="24"/>
                <w:lang w:val="es-UY" w:eastAsia="en-US"/>
              </w:rPr>
              <w:t>an</w:t>
            </w:r>
            <w:proofErr w:type="spellEnd"/>
            <w:r>
              <w:rPr>
                <w:sz w:val="22"/>
                <w:szCs w:val="24"/>
                <w:lang w:val="es-UY" w:eastAsia="en-US"/>
              </w:rPr>
              <w:t xml:space="preserve"> </w:t>
            </w:r>
            <w:proofErr w:type="spellStart"/>
            <w:r>
              <w:rPr>
                <w:sz w:val="22"/>
                <w:szCs w:val="24"/>
                <w:lang w:val="es-UY" w:eastAsia="en-US"/>
              </w:rPr>
              <w:t>extension</w:t>
            </w:r>
            <w:proofErr w:type="spellEnd"/>
            <w:r>
              <w:rPr>
                <w:sz w:val="22"/>
                <w:szCs w:val="24"/>
                <w:lang w:val="es-UY" w:eastAsia="en-US"/>
              </w:rPr>
              <w:t xml:space="preserve"> </w:t>
            </w:r>
            <w:proofErr w:type="spellStart"/>
            <w:r>
              <w:rPr>
                <w:sz w:val="22"/>
                <w:szCs w:val="24"/>
                <w:lang w:val="es-UY" w:eastAsia="en-US"/>
              </w:rPr>
              <w:t>of</w:t>
            </w:r>
            <w:proofErr w:type="spellEnd"/>
            <w:r>
              <w:rPr>
                <w:sz w:val="22"/>
                <w:szCs w:val="24"/>
                <w:lang w:val="es-UY" w:eastAsia="en-US"/>
              </w:rPr>
              <w:t xml:space="preserve"> </w:t>
            </w:r>
            <w:proofErr w:type="spellStart"/>
            <w:r>
              <w:rPr>
                <w:sz w:val="22"/>
                <w:szCs w:val="24"/>
                <w:lang w:val="es-UY" w:eastAsia="en-US"/>
              </w:rPr>
              <w:t>the</w:t>
            </w:r>
            <w:proofErr w:type="spellEnd"/>
            <w:r>
              <w:rPr>
                <w:sz w:val="22"/>
                <w:szCs w:val="24"/>
                <w:lang w:val="es-UY" w:eastAsia="en-US"/>
              </w:rPr>
              <w:t xml:space="preserve"> </w:t>
            </w:r>
            <w:proofErr w:type="spellStart"/>
            <w:r>
              <w:rPr>
                <w:sz w:val="22"/>
                <w:szCs w:val="24"/>
                <w:lang w:val="es-UY" w:eastAsia="en-US"/>
              </w:rPr>
              <w:t>execution</w:t>
            </w:r>
            <w:proofErr w:type="spellEnd"/>
            <w:r>
              <w:rPr>
                <w:sz w:val="22"/>
                <w:szCs w:val="24"/>
                <w:lang w:val="es-UY" w:eastAsia="en-US"/>
              </w:rPr>
              <w:t xml:space="preserve"> </w:t>
            </w:r>
            <w:proofErr w:type="spellStart"/>
            <w:r>
              <w:rPr>
                <w:sz w:val="22"/>
                <w:szCs w:val="24"/>
                <w:lang w:val="es-UY" w:eastAsia="en-US"/>
              </w:rPr>
              <w:t>period</w:t>
            </w:r>
            <w:proofErr w:type="spellEnd"/>
            <w:r>
              <w:rPr>
                <w:sz w:val="22"/>
                <w:szCs w:val="24"/>
                <w:lang w:val="es-UY" w:eastAsia="en-US"/>
              </w:rPr>
              <w:t>.</w:t>
            </w:r>
          </w:p>
          <w:p w14:paraId="2336ED7D" w14:textId="77777777" w:rsidR="00E255F4" w:rsidRDefault="00000000">
            <w:pPr>
              <w:pStyle w:val="Textocomentario"/>
              <w:spacing w:after="120"/>
              <w:ind w:left="34"/>
              <w:jc w:val="both"/>
            </w:pPr>
            <w:proofErr w:type="spellStart"/>
            <w:r>
              <w:rPr>
                <w:sz w:val="22"/>
                <w:szCs w:val="24"/>
                <w:lang w:val="es-UY" w:eastAsia="en-US"/>
              </w:rPr>
              <w:t>Requests</w:t>
            </w:r>
            <w:proofErr w:type="spellEnd"/>
            <w:r>
              <w:rPr>
                <w:sz w:val="22"/>
                <w:szCs w:val="24"/>
                <w:lang w:val="es-UY" w:eastAsia="en-US"/>
              </w:rPr>
              <w:t xml:space="preserve"> </w:t>
            </w:r>
            <w:proofErr w:type="spellStart"/>
            <w:r>
              <w:rPr>
                <w:sz w:val="22"/>
                <w:szCs w:val="24"/>
                <w:lang w:val="es-UY" w:eastAsia="en-US"/>
              </w:rPr>
              <w:t>for</w:t>
            </w:r>
            <w:proofErr w:type="spellEnd"/>
            <w:r>
              <w:rPr>
                <w:sz w:val="22"/>
                <w:szCs w:val="24"/>
                <w:lang w:val="es-UY" w:eastAsia="en-US"/>
              </w:rPr>
              <w:t xml:space="preserve"> </w:t>
            </w:r>
            <w:proofErr w:type="spellStart"/>
            <w:r>
              <w:rPr>
                <w:sz w:val="22"/>
                <w:szCs w:val="24"/>
                <w:lang w:val="es-UY" w:eastAsia="en-US"/>
              </w:rPr>
              <w:t>extensions</w:t>
            </w:r>
            <w:proofErr w:type="spellEnd"/>
            <w:r>
              <w:rPr>
                <w:sz w:val="22"/>
                <w:szCs w:val="24"/>
                <w:lang w:val="es-UY" w:eastAsia="en-US"/>
              </w:rPr>
              <w:t xml:space="preserve"> </w:t>
            </w:r>
            <w:proofErr w:type="spellStart"/>
            <w:r>
              <w:rPr>
                <w:sz w:val="22"/>
                <w:szCs w:val="24"/>
                <w:lang w:val="es-UY" w:eastAsia="en-US"/>
              </w:rPr>
              <w:t>must</w:t>
            </w:r>
            <w:proofErr w:type="spellEnd"/>
            <w:r>
              <w:rPr>
                <w:sz w:val="22"/>
                <w:szCs w:val="24"/>
                <w:lang w:val="es-UY" w:eastAsia="en-US"/>
              </w:rPr>
              <w:t xml:space="preserve"> be </w:t>
            </w:r>
            <w:proofErr w:type="spellStart"/>
            <w:r>
              <w:rPr>
                <w:sz w:val="22"/>
                <w:szCs w:val="24"/>
                <w:lang w:val="es-UY" w:eastAsia="en-US"/>
              </w:rPr>
              <w:t>submitted</w:t>
            </w:r>
            <w:proofErr w:type="spellEnd"/>
            <w:r>
              <w:rPr>
                <w:sz w:val="22"/>
                <w:szCs w:val="24"/>
                <w:lang w:val="es-UY" w:eastAsia="en-US"/>
              </w:rPr>
              <w:t xml:space="preserve"> in </w:t>
            </w:r>
            <w:proofErr w:type="spellStart"/>
            <w:r>
              <w:rPr>
                <w:sz w:val="22"/>
                <w:szCs w:val="24"/>
                <w:lang w:val="es-UY" w:eastAsia="en-US"/>
              </w:rPr>
              <w:t>writing</w:t>
            </w:r>
            <w:proofErr w:type="spellEnd"/>
            <w:r>
              <w:rPr>
                <w:sz w:val="22"/>
                <w:szCs w:val="24"/>
                <w:lang w:val="es-UY" w:eastAsia="en-US"/>
              </w:rPr>
              <w:t xml:space="preserve"> </w:t>
            </w:r>
            <w:proofErr w:type="spellStart"/>
            <w:r>
              <w:rPr>
                <w:sz w:val="22"/>
                <w:szCs w:val="24"/>
                <w:lang w:val="es-UY" w:eastAsia="en-US"/>
              </w:rPr>
              <w:t>within</w:t>
            </w:r>
            <w:proofErr w:type="spellEnd"/>
            <w:r>
              <w:rPr>
                <w:sz w:val="22"/>
                <w:szCs w:val="24"/>
                <w:lang w:val="es-UY" w:eastAsia="en-US"/>
              </w:rPr>
              <w:t xml:space="preserve"> ten (10) </w:t>
            </w:r>
            <w:proofErr w:type="spellStart"/>
            <w:r>
              <w:rPr>
                <w:sz w:val="22"/>
                <w:szCs w:val="24"/>
                <w:lang w:val="es-UY" w:eastAsia="en-US"/>
              </w:rPr>
              <w:t>business</w:t>
            </w:r>
            <w:proofErr w:type="spellEnd"/>
            <w:r>
              <w:rPr>
                <w:sz w:val="22"/>
                <w:szCs w:val="24"/>
                <w:lang w:val="es-UY" w:eastAsia="en-US"/>
              </w:rPr>
              <w:t xml:space="preserve"> </w:t>
            </w:r>
            <w:proofErr w:type="spellStart"/>
            <w:r>
              <w:rPr>
                <w:sz w:val="22"/>
                <w:szCs w:val="24"/>
                <w:lang w:val="es-UY" w:eastAsia="en-US"/>
              </w:rPr>
              <w:t>days</w:t>
            </w:r>
            <w:proofErr w:type="spellEnd"/>
            <w:r>
              <w:rPr>
                <w:sz w:val="22"/>
                <w:szCs w:val="24"/>
                <w:lang w:val="es-UY" w:eastAsia="en-US"/>
              </w:rPr>
              <w:t xml:space="preserve"> </w:t>
            </w:r>
            <w:proofErr w:type="spellStart"/>
            <w:r>
              <w:rPr>
                <w:sz w:val="22"/>
                <w:szCs w:val="24"/>
                <w:lang w:val="es-UY" w:eastAsia="en-US"/>
              </w:rPr>
              <w:t>of</w:t>
            </w:r>
            <w:proofErr w:type="spellEnd"/>
            <w:r>
              <w:rPr>
                <w:sz w:val="22"/>
                <w:szCs w:val="24"/>
                <w:lang w:val="es-UY" w:eastAsia="en-US"/>
              </w:rPr>
              <w:t xml:space="preserve"> </w:t>
            </w:r>
            <w:proofErr w:type="spellStart"/>
            <w:r>
              <w:rPr>
                <w:sz w:val="22"/>
                <w:szCs w:val="24"/>
                <w:lang w:val="es-UY" w:eastAsia="en-US"/>
              </w:rPr>
              <w:t>the</w:t>
            </w:r>
            <w:proofErr w:type="spellEnd"/>
            <w:r>
              <w:rPr>
                <w:sz w:val="22"/>
                <w:szCs w:val="24"/>
                <w:lang w:val="es-UY" w:eastAsia="en-US"/>
              </w:rPr>
              <w:t xml:space="preserve"> </w:t>
            </w:r>
            <w:proofErr w:type="spellStart"/>
            <w:r>
              <w:rPr>
                <w:sz w:val="22"/>
                <w:szCs w:val="24"/>
                <w:lang w:val="es-UY" w:eastAsia="en-US"/>
              </w:rPr>
              <w:t>occurrence</w:t>
            </w:r>
            <w:proofErr w:type="spellEnd"/>
            <w:r>
              <w:rPr>
                <w:sz w:val="22"/>
                <w:szCs w:val="24"/>
                <w:lang w:val="es-UY" w:eastAsia="en-US"/>
              </w:rPr>
              <w:t xml:space="preserve"> </w:t>
            </w:r>
            <w:proofErr w:type="spellStart"/>
            <w:r>
              <w:rPr>
                <w:sz w:val="22"/>
                <w:szCs w:val="24"/>
                <w:lang w:val="es-UY" w:eastAsia="en-US"/>
              </w:rPr>
              <w:t>of</w:t>
            </w:r>
            <w:proofErr w:type="spellEnd"/>
            <w:r>
              <w:rPr>
                <w:sz w:val="22"/>
                <w:szCs w:val="24"/>
                <w:lang w:val="es-UY" w:eastAsia="en-US"/>
              </w:rPr>
              <w:t xml:space="preserve"> </w:t>
            </w:r>
            <w:proofErr w:type="spellStart"/>
            <w:r>
              <w:rPr>
                <w:sz w:val="22"/>
                <w:szCs w:val="24"/>
                <w:lang w:val="es-UY" w:eastAsia="en-US"/>
              </w:rPr>
              <w:t>the</w:t>
            </w:r>
            <w:proofErr w:type="spellEnd"/>
            <w:r>
              <w:rPr>
                <w:sz w:val="22"/>
                <w:szCs w:val="24"/>
                <w:lang w:val="es-UY" w:eastAsia="en-US"/>
              </w:rPr>
              <w:t xml:space="preserve"> causes </w:t>
            </w:r>
            <w:proofErr w:type="spellStart"/>
            <w:r>
              <w:rPr>
                <w:sz w:val="22"/>
                <w:szCs w:val="24"/>
                <w:lang w:val="es-UY" w:eastAsia="en-US"/>
              </w:rPr>
              <w:t>that</w:t>
            </w:r>
            <w:proofErr w:type="spellEnd"/>
            <w:r>
              <w:rPr>
                <w:sz w:val="22"/>
                <w:szCs w:val="24"/>
                <w:lang w:val="es-UY" w:eastAsia="en-US"/>
              </w:rPr>
              <w:t xml:space="preserve"> </w:t>
            </w:r>
            <w:proofErr w:type="spellStart"/>
            <w:r>
              <w:rPr>
                <w:sz w:val="22"/>
                <w:szCs w:val="24"/>
                <w:lang w:val="es-UY" w:eastAsia="en-US"/>
              </w:rPr>
              <w:t>may</w:t>
            </w:r>
            <w:proofErr w:type="spellEnd"/>
            <w:r>
              <w:rPr>
                <w:sz w:val="22"/>
                <w:szCs w:val="24"/>
                <w:lang w:val="es-UY" w:eastAsia="en-US"/>
              </w:rPr>
              <w:t xml:space="preserve"> warrant </w:t>
            </w:r>
            <w:proofErr w:type="spellStart"/>
            <w:r>
              <w:rPr>
                <w:sz w:val="22"/>
                <w:szCs w:val="24"/>
                <w:lang w:val="es-UY" w:eastAsia="en-US"/>
              </w:rPr>
              <w:t>them</w:t>
            </w:r>
            <w:proofErr w:type="spellEnd"/>
            <w:r>
              <w:rPr>
                <w:sz w:val="22"/>
                <w:szCs w:val="24"/>
                <w:lang w:val="es-UY" w:eastAsia="en-US"/>
              </w:rPr>
              <w:t>.</w:t>
            </w:r>
          </w:p>
          <w:p w14:paraId="0D41936E" w14:textId="77777777" w:rsidR="00E255F4" w:rsidRDefault="00000000">
            <w:pPr>
              <w:pStyle w:val="Textocomentario"/>
              <w:spacing w:after="120"/>
              <w:ind w:left="34"/>
              <w:jc w:val="both"/>
              <w:rPr>
                <w:sz w:val="22"/>
                <w:szCs w:val="24"/>
                <w:lang w:val="es-UY" w:eastAsia="en-US"/>
              </w:rPr>
            </w:pPr>
            <w:r>
              <w:rPr>
                <w:sz w:val="22"/>
                <w:szCs w:val="24"/>
                <w:lang w:val="es-UY" w:eastAsia="en-US"/>
              </w:rPr>
              <w:t xml:space="preserve">The </w:t>
            </w:r>
            <w:proofErr w:type="spellStart"/>
            <w:r>
              <w:rPr>
                <w:sz w:val="22"/>
                <w:szCs w:val="24"/>
                <w:lang w:val="es-UY" w:eastAsia="en-US"/>
              </w:rPr>
              <w:t>Administration</w:t>
            </w:r>
            <w:proofErr w:type="spellEnd"/>
            <w:r>
              <w:rPr>
                <w:sz w:val="22"/>
                <w:szCs w:val="24"/>
                <w:lang w:val="es-UY" w:eastAsia="en-US"/>
              </w:rPr>
              <w:t xml:space="preserve"> </w:t>
            </w:r>
            <w:proofErr w:type="spellStart"/>
            <w:r>
              <w:rPr>
                <w:sz w:val="22"/>
                <w:szCs w:val="24"/>
                <w:lang w:val="es-UY" w:eastAsia="en-US"/>
              </w:rPr>
              <w:t>will</w:t>
            </w:r>
            <w:proofErr w:type="spellEnd"/>
            <w:r>
              <w:rPr>
                <w:sz w:val="22"/>
                <w:szCs w:val="24"/>
                <w:lang w:val="es-UY" w:eastAsia="en-US"/>
              </w:rPr>
              <w:t xml:space="preserve"> determine </w:t>
            </w:r>
            <w:proofErr w:type="spellStart"/>
            <w:r>
              <w:rPr>
                <w:sz w:val="22"/>
                <w:szCs w:val="24"/>
                <w:lang w:val="es-UY" w:eastAsia="en-US"/>
              </w:rPr>
              <w:t>whether</w:t>
            </w:r>
            <w:proofErr w:type="spellEnd"/>
            <w:r>
              <w:rPr>
                <w:sz w:val="22"/>
                <w:szCs w:val="24"/>
                <w:lang w:val="es-UY" w:eastAsia="en-US"/>
              </w:rPr>
              <w:t xml:space="preserve"> and </w:t>
            </w:r>
            <w:proofErr w:type="spellStart"/>
            <w:r>
              <w:rPr>
                <w:sz w:val="22"/>
                <w:szCs w:val="24"/>
                <w:lang w:val="es-UY" w:eastAsia="en-US"/>
              </w:rPr>
              <w:t>for</w:t>
            </w:r>
            <w:proofErr w:type="spellEnd"/>
            <w:r>
              <w:rPr>
                <w:sz w:val="22"/>
                <w:szCs w:val="24"/>
                <w:lang w:val="es-UY" w:eastAsia="en-US"/>
              </w:rPr>
              <w:t xml:space="preserve"> </w:t>
            </w:r>
            <w:proofErr w:type="spellStart"/>
            <w:r>
              <w:rPr>
                <w:sz w:val="22"/>
                <w:szCs w:val="24"/>
                <w:lang w:val="es-UY" w:eastAsia="en-US"/>
              </w:rPr>
              <w:t>how</w:t>
            </w:r>
            <w:proofErr w:type="spellEnd"/>
            <w:r>
              <w:rPr>
                <w:sz w:val="22"/>
                <w:szCs w:val="24"/>
                <w:lang w:val="es-UY" w:eastAsia="en-US"/>
              </w:rPr>
              <w:t xml:space="preserve"> </w:t>
            </w:r>
            <w:proofErr w:type="spellStart"/>
            <w:r>
              <w:rPr>
                <w:sz w:val="22"/>
                <w:szCs w:val="24"/>
                <w:lang w:val="es-UY" w:eastAsia="en-US"/>
              </w:rPr>
              <w:t>long</w:t>
            </w:r>
            <w:proofErr w:type="spellEnd"/>
            <w:r>
              <w:rPr>
                <w:sz w:val="22"/>
                <w:szCs w:val="24"/>
                <w:lang w:val="es-UY" w:eastAsia="en-US"/>
              </w:rPr>
              <w:t xml:space="preserve"> </w:t>
            </w:r>
            <w:proofErr w:type="spellStart"/>
            <w:r>
              <w:rPr>
                <w:sz w:val="22"/>
                <w:szCs w:val="24"/>
                <w:lang w:val="es-UY" w:eastAsia="en-US"/>
              </w:rPr>
              <w:t>the</w:t>
            </w:r>
            <w:proofErr w:type="spellEnd"/>
            <w:r>
              <w:rPr>
                <w:sz w:val="22"/>
                <w:szCs w:val="24"/>
                <w:lang w:val="es-UY" w:eastAsia="en-US"/>
              </w:rPr>
              <w:t xml:space="preserve"> </w:t>
            </w:r>
            <w:proofErr w:type="spellStart"/>
            <w:r>
              <w:rPr>
                <w:sz w:val="22"/>
                <w:szCs w:val="24"/>
                <w:lang w:val="es-UY" w:eastAsia="en-US"/>
              </w:rPr>
              <w:t>planned</w:t>
            </w:r>
            <w:proofErr w:type="spellEnd"/>
            <w:r>
              <w:rPr>
                <w:sz w:val="22"/>
                <w:szCs w:val="24"/>
                <w:lang w:val="es-UY" w:eastAsia="en-US"/>
              </w:rPr>
              <w:t xml:space="preserve"> </w:t>
            </w:r>
            <w:proofErr w:type="spellStart"/>
            <w:r>
              <w:rPr>
                <w:sz w:val="22"/>
                <w:szCs w:val="24"/>
                <w:lang w:val="es-UY" w:eastAsia="en-US"/>
              </w:rPr>
              <w:t>completion</w:t>
            </w:r>
            <w:proofErr w:type="spellEnd"/>
            <w:r>
              <w:rPr>
                <w:sz w:val="22"/>
                <w:szCs w:val="24"/>
                <w:lang w:val="es-UY" w:eastAsia="en-US"/>
              </w:rPr>
              <w:t xml:space="preserve"> date </w:t>
            </w:r>
            <w:proofErr w:type="spellStart"/>
            <w:r>
              <w:rPr>
                <w:sz w:val="22"/>
                <w:szCs w:val="24"/>
                <w:lang w:val="es-UY" w:eastAsia="en-US"/>
              </w:rPr>
              <w:t>should</w:t>
            </w:r>
            <w:proofErr w:type="spellEnd"/>
            <w:r>
              <w:rPr>
                <w:sz w:val="22"/>
                <w:szCs w:val="24"/>
                <w:lang w:val="es-UY" w:eastAsia="en-US"/>
              </w:rPr>
              <w:t xml:space="preserve"> be extended.</w:t>
            </w:r>
          </w:p>
          <w:p w14:paraId="27C18D39" w14:textId="77777777" w:rsidR="00E255F4" w:rsidRDefault="00000000">
            <w:pPr>
              <w:pStyle w:val="Textocomentario"/>
              <w:spacing w:after="120"/>
              <w:ind w:left="34"/>
              <w:jc w:val="both"/>
              <w:rPr>
                <w:sz w:val="22"/>
                <w:szCs w:val="24"/>
                <w:lang w:val="es-UY" w:eastAsia="en-US"/>
              </w:rPr>
            </w:pPr>
            <w:proofErr w:type="spellStart"/>
            <w:r>
              <w:rPr>
                <w:sz w:val="22"/>
                <w:szCs w:val="24"/>
                <w:lang w:val="es-UY" w:eastAsia="en-US"/>
              </w:rPr>
              <w:t>If</w:t>
            </w:r>
            <w:proofErr w:type="spellEnd"/>
            <w:r>
              <w:rPr>
                <w:sz w:val="22"/>
                <w:szCs w:val="24"/>
                <w:lang w:val="es-UY" w:eastAsia="en-US"/>
              </w:rPr>
              <w:t xml:space="preserve"> </w:t>
            </w:r>
            <w:proofErr w:type="spellStart"/>
            <w:r>
              <w:rPr>
                <w:sz w:val="22"/>
                <w:szCs w:val="24"/>
                <w:lang w:val="es-UY" w:eastAsia="en-US"/>
              </w:rPr>
              <w:t>the</w:t>
            </w:r>
            <w:proofErr w:type="spellEnd"/>
            <w:r>
              <w:rPr>
                <w:sz w:val="22"/>
                <w:szCs w:val="24"/>
                <w:lang w:val="es-UY" w:eastAsia="en-US"/>
              </w:rPr>
              <w:t xml:space="preserve"> </w:t>
            </w:r>
            <w:proofErr w:type="spellStart"/>
            <w:r>
              <w:rPr>
                <w:sz w:val="22"/>
                <w:szCs w:val="24"/>
                <w:lang w:val="es-UY" w:eastAsia="en-US"/>
              </w:rPr>
              <w:t>Awardee</w:t>
            </w:r>
            <w:proofErr w:type="spellEnd"/>
            <w:r>
              <w:rPr>
                <w:sz w:val="22"/>
                <w:szCs w:val="24"/>
                <w:lang w:val="es-UY" w:eastAsia="en-US"/>
              </w:rPr>
              <w:t xml:space="preserve"> has </w:t>
            </w:r>
            <w:proofErr w:type="spellStart"/>
            <w:r>
              <w:rPr>
                <w:sz w:val="22"/>
                <w:szCs w:val="24"/>
                <w:lang w:val="es-UY" w:eastAsia="en-US"/>
              </w:rPr>
              <w:t>not</w:t>
            </w:r>
            <w:proofErr w:type="spellEnd"/>
            <w:r>
              <w:rPr>
                <w:sz w:val="22"/>
                <w:szCs w:val="24"/>
                <w:lang w:val="es-UY" w:eastAsia="en-US"/>
              </w:rPr>
              <w:t xml:space="preserve"> </w:t>
            </w:r>
            <w:proofErr w:type="spellStart"/>
            <w:r>
              <w:rPr>
                <w:sz w:val="22"/>
                <w:szCs w:val="24"/>
                <w:lang w:val="es-UY" w:eastAsia="en-US"/>
              </w:rPr>
              <w:t>given</w:t>
            </w:r>
            <w:proofErr w:type="spellEnd"/>
            <w:r>
              <w:rPr>
                <w:sz w:val="22"/>
                <w:szCs w:val="24"/>
                <w:lang w:val="es-UY" w:eastAsia="en-US"/>
              </w:rPr>
              <w:t xml:space="preserve"> </w:t>
            </w:r>
            <w:proofErr w:type="spellStart"/>
            <w:r>
              <w:rPr>
                <w:sz w:val="22"/>
                <w:szCs w:val="24"/>
                <w:lang w:val="es-UY" w:eastAsia="en-US"/>
              </w:rPr>
              <w:t>timely</w:t>
            </w:r>
            <w:proofErr w:type="spellEnd"/>
            <w:r>
              <w:rPr>
                <w:sz w:val="22"/>
                <w:szCs w:val="24"/>
                <w:lang w:val="es-UY" w:eastAsia="en-US"/>
              </w:rPr>
              <w:t xml:space="preserve"> </w:t>
            </w:r>
            <w:proofErr w:type="spellStart"/>
            <w:r>
              <w:rPr>
                <w:sz w:val="22"/>
                <w:szCs w:val="24"/>
                <w:lang w:val="es-UY" w:eastAsia="en-US"/>
              </w:rPr>
              <w:t>notice</w:t>
            </w:r>
            <w:proofErr w:type="spellEnd"/>
            <w:r>
              <w:rPr>
                <w:sz w:val="22"/>
                <w:szCs w:val="24"/>
                <w:lang w:val="es-UY" w:eastAsia="en-US"/>
              </w:rPr>
              <w:t xml:space="preserve"> </w:t>
            </w:r>
            <w:proofErr w:type="spellStart"/>
            <w:r>
              <w:rPr>
                <w:sz w:val="22"/>
                <w:szCs w:val="24"/>
                <w:lang w:val="es-UY" w:eastAsia="en-US"/>
              </w:rPr>
              <w:t>of</w:t>
            </w:r>
            <w:proofErr w:type="spellEnd"/>
            <w:r>
              <w:rPr>
                <w:sz w:val="22"/>
                <w:szCs w:val="24"/>
                <w:lang w:val="es-UY" w:eastAsia="en-US"/>
              </w:rPr>
              <w:t xml:space="preserve"> a </w:t>
            </w:r>
            <w:proofErr w:type="spellStart"/>
            <w:r>
              <w:rPr>
                <w:sz w:val="22"/>
                <w:szCs w:val="24"/>
                <w:lang w:val="es-UY" w:eastAsia="en-US"/>
              </w:rPr>
              <w:t>delay</w:t>
            </w:r>
            <w:proofErr w:type="spellEnd"/>
            <w:r>
              <w:rPr>
                <w:sz w:val="22"/>
                <w:szCs w:val="24"/>
                <w:lang w:val="es-UY" w:eastAsia="en-US"/>
              </w:rPr>
              <w:t xml:space="preserve"> </w:t>
            </w:r>
            <w:proofErr w:type="spellStart"/>
            <w:r>
              <w:rPr>
                <w:sz w:val="22"/>
                <w:szCs w:val="24"/>
                <w:lang w:val="es-UY" w:eastAsia="en-US"/>
              </w:rPr>
              <w:t>or</w:t>
            </w:r>
            <w:proofErr w:type="spellEnd"/>
            <w:r>
              <w:rPr>
                <w:sz w:val="22"/>
                <w:szCs w:val="24"/>
                <w:lang w:val="es-UY" w:eastAsia="en-US"/>
              </w:rPr>
              <w:t xml:space="preserve"> has </w:t>
            </w:r>
            <w:proofErr w:type="spellStart"/>
            <w:r>
              <w:rPr>
                <w:sz w:val="22"/>
                <w:szCs w:val="24"/>
                <w:lang w:val="es-UY" w:eastAsia="en-US"/>
              </w:rPr>
              <w:t>not</w:t>
            </w:r>
            <w:proofErr w:type="spellEnd"/>
            <w:r>
              <w:rPr>
                <w:sz w:val="22"/>
                <w:szCs w:val="24"/>
                <w:lang w:val="es-UY" w:eastAsia="en-US"/>
              </w:rPr>
              <w:t xml:space="preserve"> </w:t>
            </w:r>
            <w:proofErr w:type="spellStart"/>
            <w:r>
              <w:rPr>
                <w:sz w:val="22"/>
                <w:szCs w:val="24"/>
                <w:lang w:val="es-UY" w:eastAsia="en-US"/>
              </w:rPr>
              <w:t>cooperated</w:t>
            </w:r>
            <w:proofErr w:type="spellEnd"/>
            <w:r>
              <w:rPr>
                <w:sz w:val="22"/>
                <w:szCs w:val="24"/>
                <w:lang w:val="es-UY" w:eastAsia="en-US"/>
              </w:rPr>
              <w:t xml:space="preserve"> in </w:t>
            </w:r>
            <w:proofErr w:type="spellStart"/>
            <w:r>
              <w:rPr>
                <w:sz w:val="22"/>
                <w:szCs w:val="24"/>
                <w:lang w:val="es-UY" w:eastAsia="en-US"/>
              </w:rPr>
              <w:t>resolving</w:t>
            </w:r>
            <w:proofErr w:type="spellEnd"/>
            <w:r>
              <w:rPr>
                <w:sz w:val="22"/>
                <w:szCs w:val="24"/>
                <w:lang w:val="es-UY" w:eastAsia="en-US"/>
              </w:rPr>
              <w:t xml:space="preserve"> </w:t>
            </w:r>
            <w:proofErr w:type="spellStart"/>
            <w:r>
              <w:rPr>
                <w:sz w:val="22"/>
                <w:szCs w:val="24"/>
                <w:lang w:val="es-UY" w:eastAsia="en-US"/>
              </w:rPr>
              <w:t>it</w:t>
            </w:r>
            <w:proofErr w:type="spellEnd"/>
            <w:r>
              <w:rPr>
                <w:sz w:val="22"/>
                <w:szCs w:val="24"/>
                <w:lang w:val="es-UY" w:eastAsia="en-US"/>
              </w:rPr>
              <w:t xml:space="preserve">, </w:t>
            </w:r>
            <w:proofErr w:type="spellStart"/>
            <w:r>
              <w:rPr>
                <w:sz w:val="22"/>
                <w:szCs w:val="24"/>
                <w:lang w:val="es-UY" w:eastAsia="en-US"/>
              </w:rPr>
              <w:t>such</w:t>
            </w:r>
            <w:proofErr w:type="spellEnd"/>
            <w:r>
              <w:rPr>
                <w:sz w:val="22"/>
                <w:szCs w:val="24"/>
                <w:lang w:val="es-UY" w:eastAsia="en-US"/>
              </w:rPr>
              <w:t xml:space="preserve"> </w:t>
            </w:r>
            <w:proofErr w:type="spellStart"/>
            <w:r>
              <w:rPr>
                <w:sz w:val="22"/>
                <w:szCs w:val="24"/>
                <w:lang w:val="es-UY" w:eastAsia="en-US"/>
              </w:rPr>
              <w:t>delay</w:t>
            </w:r>
            <w:proofErr w:type="spellEnd"/>
            <w:r>
              <w:rPr>
                <w:sz w:val="22"/>
                <w:szCs w:val="24"/>
                <w:lang w:val="es-UY" w:eastAsia="en-US"/>
              </w:rPr>
              <w:t xml:space="preserve"> </w:t>
            </w:r>
            <w:proofErr w:type="spellStart"/>
            <w:r>
              <w:rPr>
                <w:sz w:val="22"/>
                <w:szCs w:val="24"/>
                <w:lang w:val="es-UY" w:eastAsia="en-US"/>
              </w:rPr>
              <w:t>will</w:t>
            </w:r>
            <w:proofErr w:type="spellEnd"/>
            <w:r>
              <w:rPr>
                <w:sz w:val="22"/>
                <w:szCs w:val="24"/>
                <w:lang w:val="es-UY" w:eastAsia="en-US"/>
              </w:rPr>
              <w:t xml:space="preserve"> </w:t>
            </w:r>
            <w:proofErr w:type="spellStart"/>
            <w:r>
              <w:rPr>
                <w:sz w:val="22"/>
                <w:szCs w:val="24"/>
                <w:lang w:val="es-UY" w:eastAsia="en-US"/>
              </w:rPr>
              <w:t>not</w:t>
            </w:r>
            <w:proofErr w:type="spellEnd"/>
            <w:r>
              <w:rPr>
                <w:sz w:val="22"/>
                <w:szCs w:val="24"/>
                <w:lang w:val="es-UY" w:eastAsia="en-US"/>
              </w:rPr>
              <w:t xml:space="preserve"> be </w:t>
            </w:r>
            <w:proofErr w:type="spellStart"/>
            <w:r>
              <w:rPr>
                <w:sz w:val="22"/>
                <w:szCs w:val="24"/>
                <w:lang w:val="es-UY" w:eastAsia="en-US"/>
              </w:rPr>
              <w:t>considered</w:t>
            </w:r>
            <w:proofErr w:type="spellEnd"/>
            <w:r>
              <w:rPr>
                <w:sz w:val="22"/>
                <w:szCs w:val="24"/>
                <w:lang w:val="es-UY" w:eastAsia="en-US"/>
              </w:rPr>
              <w:t xml:space="preserve"> in </w:t>
            </w:r>
            <w:proofErr w:type="spellStart"/>
            <w:r>
              <w:rPr>
                <w:sz w:val="22"/>
                <w:szCs w:val="24"/>
                <w:lang w:val="es-UY" w:eastAsia="en-US"/>
              </w:rPr>
              <w:t>determining</w:t>
            </w:r>
            <w:proofErr w:type="spellEnd"/>
            <w:r>
              <w:rPr>
                <w:sz w:val="22"/>
                <w:szCs w:val="24"/>
                <w:lang w:val="es-UY" w:eastAsia="en-US"/>
              </w:rPr>
              <w:t xml:space="preserve"> </w:t>
            </w:r>
            <w:proofErr w:type="spellStart"/>
            <w:r>
              <w:rPr>
                <w:sz w:val="22"/>
                <w:szCs w:val="24"/>
                <w:lang w:val="es-UY" w:eastAsia="en-US"/>
              </w:rPr>
              <w:t>the</w:t>
            </w:r>
            <w:proofErr w:type="spellEnd"/>
            <w:r>
              <w:rPr>
                <w:sz w:val="22"/>
                <w:szCs w:val="24"/>
                <w:lang w:val="es-UY" w:eastAsia="en-US"/>
              </w:rPr>
              <w:t xml:space="preserve"> new </w:t>
            </w:r>
            <w:proofErr w:type="spellStart"/>
            <w:r>
              <w:rPr>
                <w:sz w:val="22"/>
                <w:szCs w:val="24"/>
                <w:lang w:val="es-UY" w:eastAsia="en-US"/>
              </w:rPr>
              <w:t>completion</w:t>
            </w:r>
            <w:proofErr w:type="spellEnd"/>
            <w:r>
              <w:rPr>
                <w:sz w:val="22"/>
                <w:szCs w:val="24"/>
                <w:lang w:val="es-UY" w:eastAsia="en-US"/>
              </w:rPr>
              <w:t xml:space="preserve"> date.</w:t>
            </w:r>
          </w:p>
          <w:p w14:paraId="47538844" w14:textId="77777777" w:rsidR="00E255F4" w:rsidRDefault="00000000">
            <w:pPr>
              <w:spacing w:before="240" w:after="120"/>
              <w:ind w:right="-34"/>
              <w:jc w:val="both"/>
              <w:rPr>
                <w:rFonts w:eastAsia="Palatino Linotype"/>
                <w:b/>
                <w:spacing w:val="-1"/>
                <w:sz w:val="22"/>
                <w:szCs w:val="22"/>
                <w:lang w:val="es-ES"/>
              </w:rPr>
            </w:pPr>
            <w:r>
              <w:rPr>
                <w:rFonts w:eastAsia="Palatino Linotype"/>
                <w:b/>
                <w:spacing w:val="-1"/>
                <w:sz w:val="22"/>
                <w:szCs w:val="22"/>
                <w:lang w:val="es-ES"/>
              </w:rPr>
              <w:t xml:space="preserve">Service </w:t>
            </w:r>
            <w:proofErr w:type="spellStart"/>
            <w:r>
              <w:rPr>
                <w:rFonts w:eastAsia="Palatino Linotype"/>
                <w:b/>
                <w:spacing w:val="-1"/>
                <w:sz w:val="22"/>
                <w:szCs w:val="22"/>
                <w:lang w:val="es-ES"/>
              </w:rPr>
              <w:t>provision</w:t>
            </w:r>
            <w:proofErr w:type="spellEnd"/>
            <w:r>
              <w:rPr>
                <w:rFonts w:eastAsia="Palatino Linotype"/>
                <w:b/>
                <w:spacing w:val="-1"/>
                <w:sz w:val="22"/>
                <w:szCs w:val="22"/>
                <w:lang w:val="es-ES"/>
              </w:rPr>
              <w:t xml:space="preserve"> </w:t>
            </w:r>
            <w:proofErr w:type="spellStart"/>
            <w:r>
              <w:rPr>
                <w:rFonts w:eastAsia="Palatino Linotype"/>
                <w:b/>
                <w:spacing w:val="-1"/>
                <w:sz w:val="22"/>
                <w:szCs w:val="22"/>
                <w:lang w:val="es-ES"/>
              </w:rPr>
              <w:t>period</w:t>
            </w:r>
            <w:proofErr w:type="spellEnd"/>
            <w:r>
              <w:rPr>
                <w:rFonts w:eastAsia="Palatino Linotype"/>
                <w:b/>
                <w:spacing w:val="-1"/>
                <w:sz w:val="22"/>
                <w:szCs w:val="22"/>
                <w:lang w:val="es-ES"/>
              </w:rPr>
              <w:t>:</w:t>
            </w:r>
          </w:p>
          <w:p w14:paraId="6A9F7A42" w14:textId="77777777" w:rsidR="00E255F4" w:rsidRDefault="00000000">
            <w:pPr>
              <w:pStyle w:val="Prrafodelista"/>
              <w:numPr>
                <w:ilvl w:val="0"/>
                <w:numId w:val="38"/>
              </w:numPr>
              <w:spacing w:after="120"/>
              <w:ind w:left="714" w:hanging="357"/>
              <w:jc w:val="both"/>
            </w:pPr>
            <w:r>
              <w:rPr>
                <w:sz w:val="22"/>
                <w:szCs w:val="22"/>
                <w:lang w:val="es-ES"/>
              </w:rPr>
              <w:t xml:space="preserve">The </w:t>
            </w:r>
            <w:proofErr w:type="spellStart"/>
            <w:r>
              <w:rPr>
                <w:sz w:val="22"/>
                <w:szCs w:val="22"/>
                <w:lang w:val="es-ES"/>
              </w:rPr>
              <w:t>term</w:t>
            </w:r>
            <w:proofErr w:type="spellEnd"/>
            <w:r>
              <w:rPr>
                <w:sz w:val="22"/>
                <w:szCs w:val="22"/>
                <w:lang w:val="es-ES"/>
              </w:rPr>
              <w:t xml:space="preserve"> </w:t>
            </w:r>
            <w:proofErr w:type="spellStart"/>
            <w:r>
              <w:rPr>
                <w:sz w:val="22"/>
                <w:szCs w:val="22"/>
                <w:lang w:val="es-ES"/>
              </w:rPr>
              <w:t>for</w:t>
            </w:r>
            <w:proofErr w:type="spellEnd"/>
            <w:r>
              <w:rPr>
                <w:sz w:val="22"/>
                <w:szCs w:val="22"/>
                <w:lang w:val="es-ES"/>
              </w:rPr>
              <w:t xml:space="preserve"> </w:t>
            </w:r>
            <w:proofErr w:type="spellStart"/>
            <w:r>
              <w:rPr>
                <w:sz w:val="22"/>
                <w:szCs w:val="22"/>
                <w:lang w:val="es-ES"/>
              </w:rPr>
              <w:t>providing</w:t>
            </w:r>
            <w:proofErr w:type="spellEnd"/>
            <w:r>
              <w:rPr>
                <w:sz w:val="22"/>
                <w:szCs w:val="22"/>
                <w:lang w:val="es-ES"/>
              </w:rPr>
              <w:t xml:space="preserve"> </w:t>
            </w:r>
            <w:proofErr w:type="spellStart"/>
            <w:r>
              <w:rPr>
                <w:sz w:val="22"/>
                <w:szCs w:val="22"/>
                <w:lang w:val="es-ES"/>
              </w:rPr>
              <w:t>Telemetry</w:t>
            </w:r>
            <w:proofErr w:type="spellEnd"/>
            <w:r>
              <w:rPr>
                <w:sz w:val="22"/>
                <w:szCs w:val="22"/>
                <w:lang w:val="es-ES"/>
              </w:rPr>
              <w:t xml:space="preserve"> </w:t>
            </w:r>
            <w:proofErr w:type="spellStart"/>
            <w:r>
              <w:rPr>
                <w:sz w:val="22"/>
                <w:szCs w:val="22"/>
                <w:lang w:val="es-ES"/>
              </w:rPr>
              <w:t>Support</w:t>
            </w:r>
            <w:proofErr w:type="spellEnd"/>
            <w:r>
              <w:rPr>
                <w:sz w:val="22"/>
                <w:szCs w:val="22"/>
                <w:lang w:val="es-ES"/>
              </w:rPr>
              <w:t xml:space="preserve"> and </w:t>
            </w:r>
            <w:proofErr w:type="spellStart"/>
            <w:r>
              <w:rPr>
                <w:sz w:val="22"/>
                <w:szCs w:val="22"/>
                <w:lang w:val="es-ES"/>
              </w:rPr>
              <w:t>Maintenance</w:t>
            </w:r>
            <w:proofErr w:type="spellEnd"/>
            <w:r>
              <w:rPr>
                <w:sz w:val="22"/>
                <w:szCs w:val="22"/>
                <w:lang w:val="es-ES"/>
              </w:rPr>
              <w:t xml:space="preserve"> (</w:t>
            </w:r>
            <w:proofErr w:type="spellStart"/>
            <w:r>
              <w:rPr>
                <w:sz w:val="22"/>
                <w:szCs w:val="22"/>
                <w:lang w:val="es-ES"/>
              </w:rPr>
              <w:t>described</w:t>
            </w:r>
            <w:proofErr w:type="spellEnd"/>
            <w:r>
              <w:rPr>
                <w:sz w:val="22"/>
                <w:szCs w:val="22"/>
                <w:lang w:val="es-ES"/>
              </w:rPr>
              <w:t xml:space="preserve"> in </w:t>
            </w:r>
            <w:proofErr w:type="spellStart"/>
            <w:r>
              <w:rPr>
                <w:sz w:val="22"/>
                <w:szCs w:val="22"/>
                <w:lang w:val="es-ES"/>
              </w:rPr>
              <w:t>Chapters</w:t>
            </w:r>
            <w:proofErr w:type="spellEnd"/>
            <w:r>
              <w:rPr>
                <w:sz w:val="22"/>
                <w:szCs w:val="22"/>
                <w:lang w:val="es-ES"/>
              </w:rPr>
              <w:t xml:space="preserve"> 1, 2 and 6 </w:t>
            </w:r>
            <w:proofErr w:type="spellStart"/>
            <w:r>
              <w:rPr>
                <w:sz w:val="22"/>
                <w:szCs w:val="22"/>
                <w:lang w:val="es-ES"/>
              </w:rPr>
              <w:t>of</w:t>
            </w:r>
            <w:proofErr w:type="spellEnd"/>
            <w:r>
              <w:rPr>
                <w:sz w:val="22"/>
                <w:szCs w:val="22"/>
                <w:lang w:val="es-ES"/>
              </w:rPr>
              <w:t xml:space="preserve"> </w:t>
            </w:r>
            <w:proofErr w:type="spellStart"/>
            <w:r>
              <w:rPr>
                <w:sz w:val="22"/>
                <w:szCs w:val="22"/>
                <w:lang w:val="es-ES"/>
              </w:rPr>
              <w:t>Annex</w:t>
            </w:r>
            <w:proofErr w:type="spellEnd"/>
            <w:r>
              <w:rPr>
                <w:sz w:val="22"/>
                <w:szCs w:val="22"/>
                <w:lang w:val="es-ES"/>
              </w:rPr>
              <w:t xml:space="preserve"> VII-</w:t>
            </w:r>
            <w:proofErr w:type="spellStart"/>
            <w:r>
              <w:rPr>
                <w:sz w:val="22"/>
                <w:szCs w:val="22"/>
                <w:lang w:val="es-ES"/>
              </w:rPr>
              <w:t>Technical</w:t>
            </w:r>
            <w:proofErr w:type="spellEnd"/>
            <w:r>
              <w:rPr>
                <w:sz w:val="22"/>
                <w:szCs w:val="22"/>
                <w:lang w:val="es-ES"/>
              </w:rPr>
              <w:t xml:space="preserve"> </w:t>
            </w:r>
            <w:proofErr w:type="spellStart"/>
            <w:r>
              <w:rPr>
                <w:sz w:val="22"/>
                <w:szCs w:val="22"/>
                <w:lang w:val="es-ES"/>
              </w:rPr>
              <w:t>Specifications</w:t>
            </w:r>
            <w:proofErr w:type="spellEnd"/>
            <w:r>
              <w:rPr>
                <w:sz w:val="22"/>
                <w:szCs w:val="22"/>
                <w:lang w:val="es-ES"/>
              </w:rPr>
              <w:t xml:space="preserve">) </w:t>
            </w:r>
            <w:proofErr w:type="spellStart"/>
            <w:r>
              <w:rPr>
                <w:sz w:val="22"/>
                <w:szCs w:val="22"/>
                <w:lang w:val="es-ES"/>
              </w:rPr>
              <w:t>will</w:t>
            </w:r>
            <w:proofErr w:type="spellEnd"/>
            <w:r>
              <w:rPr>
                <w:sz w:val="22"/>
                <w:szCs w:val="22"/>
                <w:lang w:val="es-ES"/>
              </w:rPr>
              <w:t xml:space="preserve"> be 60 </w:t>
            </w:r>
            <w:proofErr w:type="spellStart"/>
            <w:r>
              <w:rPr>
                <w:sz w:val="22"/>
                <w:szCs w:val="22"/>
                <w:lang w:val="es-ES"/>
              </w:rPr>
              <w:t>months</w:t>
            </w:r>
            <w:proofErr w:type="spellEnd"/>
            <w:r>
              <w:rPr>
                <w:sz w:val="22"/>
                <w:szCs w:val="22"/>
                <w:lang w:val="es-ES"/>
              </w:rPr>
              <w:t xml:space="preserve"> and </w:t>
            </w:r>
            <w:proofErr w:type="spellStart"/>
            <w:r>
              <w:rPr>
                <w:sz w:val="22"/>
                <w:szCs w:val="22"/>
                <w:lang w:val="es-ES"/>
              </w:rPr>
              <w:t>will</w:t>
            </w:r>
            <w:proofErr w:type="spellEnd"/>
            <w:r>
              <w:rPr>
                <w:sz w:val="22"/>
                <w:szCs w:val="22"/>
                <w:lang w:val="es-ES"/>
              </w:rPr>
              <w:t xml:space="preserve"> be </w:t>
            </w:r>
            <w:proofErr w:type="spellStart"/>
            <w:r>
              <w:rPr>
                <w:sz w:val="22"/>
                <w:szCs w:val="22"/>
                <w:lang w:val="es-ES"/>
              </w:rPr>
              <w:t>counted</w:t>
            </w:r>
            <w:proofErr w:type="spellEnd"/>
            <w:r>
              <w:rPr>
                <w:sz w:val="22"/>
                <w:szCs w:val="22"/>
                <w:lang w:val="es-ES"/>
              </w:rPr>
              <w:t xml:space="preserve"> </w:t>
            </w:r>
            <w:proofErr w:type="spellStart"/>
            <w:r>
              <w:rPr>
                <w:sz w:val="22"/>
                <w:szCs w:val="22"/>
                <w:lang w:val="es-ES"/>
              </w:rPr>
              <w:t>from</w:t>
            </w:r>
            <w:proofErr w:type="spellEnd"/>
            <w:r>
              <w:rPr>
                <w:sz w:val="22"/>
                <w:szCs w:val="22"/>
                <w:lang w:val="es-ES"/>
              </w:rPr>
              <w:t xml:space="preserve"> </w:t>
            </w:r>
            <w:proofErr w:type="spellStart"/>
            <w:r>
              <w:rPr>
                <w:sz w:val="22"/>
                <w:szCs w:val="22"/>
                <w:lang w:val="es-ES"/>
              </w:rPr>
              <w:t>the</w:t>
            </w:r>
            <w:proofErr w:type="spellEnd"/>
            <w:r>
              <w:rPr>
                <w:sz w:val="22"/>
                <w:szCs w:val="22"/>
                <w:lang w:val="es-ES"/>
              </w:rPr>
              <w:t xml:space="preserve"> date </w:t>
            </w:r>
            <w:proofErr w:type="spellStart"/>
            <w:r>
              <w:rPr>
                <w:sz w:val="22"/>
                <w:szCs w:val="22"/>
                <w:lang w:val="es-ES"/>
              </w:rPr>
              <w:t>of</w:t>
            </w:r>
            <w:proofErr w:type="spellEnd"/>
            <w:r>
              <w:rPr>
                <w:sz w:val="22"/>
                <w:szCs w:val="22"/>
                <w:lang w:val="es-ES"/>
              </w:rPr>
              <w:t xml:space="preserve"> provisional </w:t>
            </w:r>
            <w:proofErr w:type="spellStart"/>
            <w:r>
              <w:rPr>
                <w:sz w:val="22"/>
                <w:szCs w:val="22"/>
                <w:lang w:val="es-ES"/>
              </w:rPr>
              <w:t>receipt</w:t>
            </w:r>
            <w:proofErr w:type="spellEnd"/>
            <w:r>
              <w:rPr>
                <w:sz w:val="22"/>
                <w:szCs w:val="22"/>
                <w:lang w:val="es-ES"/>
              </w:rPr>
              <w:t xml:space="preserve"> </w:t>
            </w:r>
            <w:proofErr w:type="spellStart"/>
            <w:r>
              <w:rPr>
                <w:sz w:val="22"/>
                <w:szCs w:val="22"/>
                <w:lang w:val="es-ES"/>
              </w:rPr>
              <w:t>of</w:t>
            </w:r>
            <w:proofErr w:type="spellEnd"/>
            <w:r>
              <w:rPr>
                <w:sz w:val="22"/>
                <w:szCs w:val="22"/>
                <w:lang w:val="es-ES"/>
              </w:rPr>
              <w:t xml:space="preserve"> </w:t>
            </w:r>
            <w:proofErr w:type="spellStart"/>
            <w:r>
              <w:rPr>
                <w:sz w:val="22"/>
                <w:szCs w:val="22"/>
                <w:lang w:val="es-ES"/>
              </w:rPr>
              <w:t>the</w:t>
            </w:r>
            <w:proofErr w:type="spellEnd"/>
            <w:r>
              <w:rPr>
                <w:sz w:val="22"/>
                <w:szCs w:val="22"/>
                <w:lang w:val="es-ES"/>
              </w:rPr>
              <w:t xml:space="preserve"> tender, in </w:t>
            </w:r>
            <w:proofErr w:type="spellStart"/>
            <w:r>
              <w:rPr>
                <w:sz w:val="22"/>
                <w:szCs w:val="22"/>
                <w:lang w:val="es-ES"/>
              </w:rPr>
              <w:t>accordance</w:t>
            </w:r>
            <w:proofErr w:type="spellEnd"/>
            <w:r>
              <w:rPr>
                <w:sz w:val="22"/>
                <w:szCs w:val="22"/>
                <w:lang w:val="es-ES"/>
              </w:rPr>
              <w:t xml:space="preserve"> </w:t>
            </w:r>
            <w:proofErr w:type="spellStart"/>
            <w:r>
              <w:rPr>
                <w:sz w:val="22"/>
                <w:szCs w:val="22"/>
                <w:lang w:val="es-ES"/>
              </w:rPr>
              <w:t>with</w:t>
            </w:r>
            <w:proofErr w:type="spellEnd"/>
            <w:r>
              <w:rPr>
                <w:sz w:val="22"/>
                <w:szCs w:val="22"/>
                <w:lang w:val="es-ES"/>
              </w:rPr>
              <w:t xml:space="preserve"> </w:t>
            </w:r>
            <w:proofErr w:type="spellStart"/>
            <w:r>
              <w:rPr>
                <w:sz w:val="22"/>
                <w:szCs w:val="22"/>
                <w:lang w:val="es-ES"/>
              </w:rPr>
              <w:t>the</w:t>
            </w:r>
            <w:proofErr w:type="spellEnd"/>
            <w:r>
              <w:rPr>
                <w:sz w:val="22"/>
                <w:szCs w:val="22"/>
                <w:lang w:val="es-ES"/>
              </w:rPr>
              <w:t xml:space="preserve"> </w:t>
            </w:r>
            <w:proofErr w:type="spellStart"/>
            <w:r>
              <w:rPr>
                <w:sz w:val="22"/>
                <w:szCs w:val="22"/>
                <w:lang w:val="es-ES"/>
              </w:rPr>
              <w:t>provisions</w:t>
            </w:r>
            <w:proofErr w:type="spellEnd"/>
            <w:r>
              <w:rPr>
                <w:sz w:val="22"/>
                <w:szCs w:val="22"/>
                <w:lang w:val="es-ES"/>
              </w:rPr>
              <w:t xml:space="preserve"> </w:t>
            </w:r>
            <w:proofErr w:type="spellStart"/>
            <w:r>
              <w:rPr>
                <w:sz w:val="22"/>
                <w:szCs w:val="22"/>
                <w:lang w:val="es-ES"/>
              </w:rPr>
              <w:t>of</w:t>
            </w:r>
            <w:proofErr w:type="spellEnd"/>
            <w:r>
              <w:rPr>
                <w:sz w:val="22"/>
                <w:szCs w:val="22"/>
                <w:lang w:val="es-ES"/>
              </w:rPr>
              <w:t xml:space="preserve"> </w:t>
            </w:r>
            <w:proofErr w:type="spellStart"/>
            <w:r>
              <w:rPr>
                <w:sz w:val="22"/>
                <w:szCs w:val="22"/>
                <w:lang w:val="es-ES"/>
              </w:rPr>
              <w:t>Article</w:t>
            </w:r>
            <w:proofErr w:type="spellEnd"/>
            <w:r>
              <w:rPr>
                <w:sz w:val="22"/>
                <w:szCs w:val="22"/>
                <w:lang w:val="es-ES"/>
              </w:rPr>
              <w:t xml:space="preserve"> 25, </w:t>
            </w:r>
            <w:proofErr w:type="spellStart"/>
            <w:r>
              <w:rPr>
                <w:sz w:val="22"/>
                <w:szCs w:val="22"/>
                <w:lang w:val="es-ES"/>
              </w:rPr>
              <w:t>section</w:t>
            </w:r>
            <w:proofErr w:type="spellEnd"/>
            <w:r>
              <w:rPr>
                <w:sz w:val="22"/>
                <w:szCs w:val="22"/>
                <w:lang w:val="es-ES"/>
              </w:rPr>
              <w:t>: “</w:t>
            </w:r>
            <w:proofErr w:type="spellStart"/>
            <w:r>
              <w:rPr>
                <w:sz w:val="22"/>
                <w:szCs w:val="22"/>
                <w:lang w:val="es-ES"/>
              </w:rPr>
              <w:t>Reception</w:t>
            </w:r>
            <w:proofErr w:type="spellEnd"/>
            <w:r>
              <w:rPr>
                <w:sz w:val="22"/>
                <w:szCs w:val="22"/>
                <w:lang w:val="es-ES"/>
              </w:rPr>
              <w:t xml:space="preserve"> </w:t>
            </w:r>
            <w:proofErr w:type="spellStart"/>
            <w:r>
              <w:rPr>
                <w:sz w:val="22"/>
                <w:szCs w:val="22"/>
                <w:lang w:val="es-ES"/>
              </w:rPr>
              <w:t>Conditions</w:t>
            </w:r>
            <w:proofErr w:type="spellEnd"/>
            <w:r>
              <w:rPr>
                <w:sz w:val="22"/>
                <w:szCs w:val="22"/>
                <w:lang w:val="es-ES"/>
              </w:rPr>
              <w:t xml:space="preserve">”, </w:t>
            </w:r>
            <w:proofErr w:type="spellStart"/>
            <w:r>
              <w:rPr>
                <w:sz w:val="22"/>
                <w:szCs w:val="22"/>
                <w:lang w:val="es-ES"/>
              </w:rPr>
              <w:t>of</w:t>
            </w:r>
            <w:proofErr w:type="spellEnd"/>
            <w:r>
              <w:rPr>
                <w:sz w:val="22"/>
                <w:szCs w:val="22"/>
                <w:lang w:val="es-ES"/>
              </w:rPr>
              <w:t xml:space="preserve"> </w:t>
            </w:r>
            <w:proofErr w:type="spellStart"/>
            <w:r>
              <w:rPr>
                <w:sz w:val="22"/>
                <w:szCs w:val="22"/>
                <w:lang w:val="es-ES"/>
              </w:rPr>
              <w:t>this</w:t>
            </w:r>
            <w:proofErr w:type="spellEnd"/>
            <w:r>
              <w:rPr>
                <w:sz w:val="22"/>
                <w:szCs w:val="22"/>
                <w:lang w:val="es-ES"/>
              </w:rPr>
              <w:t xml:space="preserve"> </w:t>
            </w:r>
            <w:proofErr w:type="spellStart"/>
            <w:r>
              <w:rPr>
                <w:sz w:val="22"/>
                <w:szCs w:val="22"/>
                <w:lang w:val="es-ES"/>
              </w:rPr>
              <w:t>Annex</w:t>
            </w:r>
            <w:proofErr w:type="spellEnd"/>
            <w:r>
              <w:rPr>
                <w:sz w:val="22"/>
                <w:szCs w:val="22"/>
                <w:lang w:val="es-ES"/>
              </w:rPr>
              <w:t xml:space="preserve"> III.</w:t>
            </w:r>
          </w:p>
          <w:p w14:paraId="032222DA" w14:textId="77777777" w:rsidR="00E255F4" w:rsidRDefault="00000000">
            <w:pPr>
              <w:pStyle w:val="Prrafodelista"/>
              <w:numPr>
                <w:ilvl w:val="0"/>
                <w:numId w:val="38"/>
              </w:numPr>
              <w:spacing w:after="120"/>
              <w:jc w:val="both"/>
            </w:pPr>
            <w:r>
              <w:rPr>
                <w:sz w:val="22"/>
                <w:szCs w:val="22"/>
                <w:lang w:val="es-ES"/>
              </w:rPr>
              <w:t xml:space="preserve">In </w:t>
            </w:r>
            <w:proofErr w:type="spellStart"/>
            <w:r>
              <w:rPr>
                <w:sz w:val="22"/>
                <w:szCs w:val="22"/>
                <w:lang w:val="es-ES"/>
              </w:rPr>
              <w:t>the</w:t>
            </w:r>
            <w:proofErr w:type="spellEnd"/>
            <w:r>
              <w:rPr>
                <w:sz w:val="22"/>
                <w:szCs w:val="22"/>
                <w:lang w:val="es-ES"/>
              </w:rPr>
              <w:t xml:space="preserve"> </w:t>
            </w:r>
            <w:proofErr w:type="spellStart"/>
            <w:r>
              <w:rPr>
                <w:sz w:val="22"/>
                <w:szCs w:val="22"/>
                <w:lang w:val="es-ES"/>
              </w:rPr>
              <w:t>event</w:t>
            </w:r>
            <w:proofErr w:type="spellEnd"/>
            <w:r>
              <w:rPr>
                <w:sz w:val="22"/>
                <w:szCs w:val="22"/>
                <w:lang w:val="es-ES"/>
              </w:rPr>
              <w:t xml:space="preserve"> </w:t>
            </w:r>
            <w:proofErr w:type="spellStart"/>
            <w:r>
              <w:rPr>
                <w:sz w:val="22"/>
                <w:szCs w:val="22"/>
                <w:lang w:val="es-ES"/>
              </w:rPr>
              <w:t>of</w:t>
            </w:r>
            <w:proofErr w:type="spellEnd"/>
            <w:r>
              <w:rPr>
                <w:sz w:val="22"/>
                <w:szCs w:val="22"/>
                <w:lang w:val="es-ES"/>
              </w:rPr>
              <w:t xml:space="preserve"> </w:t>
            </w:r>
            <w:proofErr w:type="spellStart"/>
            <w:r>
              <w:rPr>
                <w:sz w:val="22"/>
                <w:szCs w:val="22"/>
                <w:lang w:val="es-ES"/>
              </w:rPr>
              <w:t>partial</w:t>
            </w:r>
            <w:proofErr w:type="spellEnd"/>
            <w:r>
              <w:rPr>
                <w:sz w:val="22"/>
                <w:szCs w:val="22"/>
                <w:lang w:val="es-ES"/>
              </w:rPr>
              <w:t xml:space="preserve"> </w:t>
            </w:r>
            <w:proofErr w:type="spellStart"/>
            <w:r>
              <w:rPr>
                <w:sz w:val="22"/>
                <w:szCs w:val="22"/>
                <w:lang w:val="es-ES"/>
              </w:rPr>
              <w:t>receptions</w:t>
            </w:r>
            <w:proofErr w:type="spellEnd"/>
            <w:r>
              <w:rPr>
                <w:sz w:val="22"/>
                <w:szCs w:val="22"/>
                <w:lang w:val="es-ES"/>
              </w:rPr>
              <w:t xml:space="preserve"> (Art. 25, </w:t>
            </w:r>
            <w:proofErr w:type="spellStart"/>
            <w:r>
              <w:rPr>
                <w:sz w:val="22"/>
                <w:szCs w:val="22"/>
                <w:lang w:val="es-ES"/>
              </w:rPr>
              <w:t>section</w:t>
            </w:r>
            <w:proofErr w:type="spellEnd"/>
            <w:r>
              <w:rPr>
                <w:sz w:val="22"/>
                <w:szCs w:val="22"/>
                <w:lang w:val="es-ES"/>
              </w:rPr>
              <w:t>: “</w:t>
            </w:r>
            <w:proofErr w:type="spellStart"/>
            <w:r>
              <w:rPr>
                <w:sz w:val="22"/>
                <w:szCs w:val="22"/>
                <w:lang w:val="es-ES"/>
              </w:rPr>
              <w:t>Reception</w:t>
            </w:r>
            <w:proofErr w:type="spellEnd"/>
            <w:r>
              <w:rPr>
                <w:sz w:val="22"/>
                <w:szCs w:val="22"/>
                <w:lang w:val="es-ES"/>
              </w:rPr>
              <w:t xml:space="preserve"> </w:t>
            </w:r>
            <w:proofErr w:type="spellStart"/>
            <w:r>
              <w:rPr>
                <w:sz w:val="22"/>
                <w:szCs w:val="22"/>
                <w:lang w:val="es-ES"/>
              </w:rPr>
              <w:t>Conditions</w:t>
            </w:r>
            <w:proofErr w:type="spellEnd"/>
            <w:r>
              <w:rPr>
                <w:sz w:val="22"/>
                <w:szCs w:val="22"/>
                <w:lang w:val="es-ES"/>
              </w:rPr>
              <w:t xml:space="preserve">”, </w:t>
            </w:r>
            <w:proofErr w:type="spellStart"/>
            <w:r>
              <w:rPr>
                <w:sz w:val="22"/>
                <w:szCs w:val="22"/>
                <w:lang w:val="es-ES"/>
              </w:rPr>
              <w:t>item</w:t>
            </w:r>
            <w:proofErr w:type="spellEnd"/>
            <w:r>
              <w:rPr>
                <w:sz w:val="22"/>
                <w:szCs w:val="22"/>
                <w:lang w:val="es-ES"/>
              </w:rPr>
              <w:t xml:space="preserve"> f) </w:t>
            </w:r>
            <w:proofErr w:type="spellStart"/>
            <w:r>
              <w:rPr>
                <w:sz w:val="22"/>
                <w:szCs w:val="22"/>
                <w:lang w:val="es-ES"/>
              </w:rPr>
              <w:t>of</w:t>
            </w:r>
            <w:proofErr w:type="spellEnd"/>
            <w:r>
              <w:rPr>
                <w:sz w:val="22"/>
                <w:szCs w:val="22"/>
                <w:lang w:val="es-ES"/>
              </w:rPr>
              <w:t xml:space="preserve"> </w:t>
            </w:r>
            <w:proofErr w:type="spellStart"/>
            <w:r>
              <w:rPr>
                <w:sz w:val="22"/>
                <w:szCs w:val="22"/>
                <w:lang w:val="es-ES"/>
              </w:rPr>
              <w:t>this</w:t>
            </w:r>
            <w:proofErr w:type="spellEnd"/>
            <w:r>
              <w:rPr>
                <w:sz w:val="22"/>
                <w:szCs w:val="22"/>
                <w:lang w:val="es-ES"/>
              </w:rPr>
              <w:t xml:space="preserve"> </w:t>
            </w:r>
            <w:proofErr w:type="spellStart"/>
            <w:r>
              <w:rPr>
                <w:sz w:val="22"/>
                <w:szCs w:val="22"/>
                <w:lang w:val="es-ES"/>
              </w:rPr>
              <w:t>Annex</w:t>
            </w:r>
            <w:proofErr w:type="spellEnd"/>
            <w:r>
              <w:rPr>
                <w:sz w:val="22"/>
                <w:szCs w:val="22"/>
                <w:lang w:val="es-ES"/>
              </w:rPr>
              <w:t xml:space="preserve"> III), </w:t>
            </w:r>
            <w:proofErr w:type="spellStart"/>
            <w:r>
              <w:rPr>
                <w:sz w:val="22"/>
                <w:szCs w:val="22"/>
                <w:lang w:val="es-ES"/>
              </w:rPr>
              <w:t>the</w:t>
            </w:r>
            <w:proofErr w:type="spellEnd"/>
            <w:r>
              <w:rPr>
                <w:sz w:val="22"/>
                <w:szCs w:val="22"/>
                <w:lang w:val="es-ES"/>
              </w:rPr>
              <w:t xml:space="preserve"> </w:t>
            </w:r>
            <w:proofErr w:type="spellStart"/>
            <w:r>
              <w:rPr>
                <w:sz w:val="22"/>
                <w:szCs w:val="22"/>
                <w:lang w:val="es-ES"/>
              </w:rPr>
              <w:t>Telemetry</w:t>
            </w:r>
            <w:proofErr w:type="spellEnd"/>
            <w:r>
              <w:rPr>
                <w:sz w:val="22"/>
                <w:szCs w:val="22"/>
                <w:lang w:val="es-ES"/>
              </w:rPr>
              <w:t xml:space="preserve"> Service </w:t>
            </w:r>
            <w:proofErr w:type="spellStart"/>
            <w:r>
              <w:rPr>
                <w:sz w:val="22"/>
                <w:szCs w:val="22"/>
                <w:lang w:val="es-ES"/>
              </w:rPr>
              <w:t>will</w:t>
            </w:r>
            <w:proofErr w:type="spellEnd"/>
            <w:r>
              <w:rPr>
                <w:sz w:val="22"/>
                <w:szCs w:val="22"/>
                <w:lang w:val="es-ES"/>
              </w:rPr>
              <w:t xml:space="preserve"> be </w:t>
            </w:r>
            <w:proofErr w:type="spellStart"/>
            <w:r>
              <w:rPr>
                <w:sz w:val="22"/>
                <w:szCs w:val="22"/>
                <w:lang w:val="es-ES"/>
              </w:rPr>
              <w:t>provided</w:t>
            </w:r>
            <w:proofErr w:type="spellEnd"/>
            <w:r>
              <w:rPr>
                <w:sz w:val="22"/>
                <w:szCs w:val="22"/>
                <w:lang w:val="es-ES"/>
              </w:rPr>
              <w:t xml:space="preserve"> in </w:t>
            </w:r>
            <w:proofErr w:type="spellStart"/>
            <w:r>
              <w:rPr>
                <w:sz w:val="22"/>
                <w:szCs w:val="22"/>
                <w:lang w:val="es-ES"/>
              </w:rPr>
              <w:t>all</w:t>
            </w:r>
            <w:proofErr w:type="spellEnd"/>
            <w:r>
              <w:rPr>
                <w:sz w:val="22"/>
                <w:szCs w:val="22"/>
                <w:lang w:val="es-ES"/>
              </w:rPr>
              <w:t xml:space="preserve"> </w:t>
            </w:r>
            <w:proofErr w:type="spellStart"/>
            <w:r>
              <w:rPr>
                <w:sz w:val="22"/>
                <w:szCs w:val="22"/>
                <w:lang w:val="es-ES"/>
              </w:rPr>
              <w:t>the</w:t>
            </w:r>
            <w:proofErr w:type="spellEnd"/>
            <w:r>
              <w:rPr>
                <w:sz w:val="22"/>
                <w:szCs w:val="22"/>
                <w:lang w:val="es-ES"/>
              </w:rPr>
              <w:t xml:space="preserve"> </w:t>
            </w:r>
            <w:proofErr w:type="spellStart"/>
            <w:r>
              <w:rPr>
                <w:sz w:val="22"/>
                <w:szCs w:val="22"/>
                <w:lang w:val="es-ES"/>
              </w:rPr>
              <w:t>telemetry</w:t>
            </w:r>
            <w:proofErr w:type="spellEnd"/>
            <w:r>
              <w:rPr>
                <w:sz w:val="22"/>
                <w:szCs w:val="22"/>
                <w:lang w:val="es-ES"/>
              </w:rPr>
              <w:t xml:space="preserve"> </w:t>
            </w:r>
            <w:proofErr w:type="spellStart"/>
            <w:r>
              <w:rPr>
                <w:sz w:val="22"/>
                <w:szCs w:val="22"/>
                <w:lang w:val="es-ES"/>
              </w:rPr>
              <w:t>connections</w:t>
            </w:r>
            <w:proofErr w:type="spellEnd"/>
            <w:r>
              <w:rPr>
                <w:sz w:val="22"/>
                <w:szCs w:val="22"/>
                <w:lang w:val="es-ES"/>
              </w:rPr>
              <w:t xml:space="preserve"> </w:t>
            </w:r>
            <w:proofErr w:type="spellStart"/>
            <w:r>
              <w:rPr>
                <w:sz w:val="22"/>
                <w:szCs w:val="22"/>
                <w:lang w:val="es-ES"/>
              </w:rPr>
              <w:t>involved</w:t>
            </w:r>
            <w:proofErr w:type="spellEnd"/>
            <w:r>
              <w:rPr>
                <w:sz w:val="22"/>
                <w:szCs w:val="22"/>
                <w:lang w:val="es-ES"/>
              </w:rPr>
              <w:t xml:space="preserve"> </w:t>
            </w:r>
            <w:proofErr w:type="spellStart"/>
            <w:r>
              <w:rPr>
                <w:sz w:val="22"/>
                <w:szCs w:val="22"/>
                <w:lang w:val="es-ES"/>
              </w:rPr>
              <w:t>from</w:t>
            </w:r>
            <w:proofErr w:type="spellEnd"/>
            <w:r>
              <w:rPr>
                <w:sz w:val="22"/>
                <w:szCs w:val="22"/>
                <w:lang w:val="es-ES"/>
              </w:rPr>
              <w:t xml:space="preserve"> </w:t>
            </w:r>
            <w:proofErr w:type="spellStart"/>
            <w:r>
              <w:rPr>
                <w:sz w:val="22"/>
                <w:szCs w:val="22"/>
                <w:lang w:val="es-ES"/>
              </w:rPr>
              <w:t>each</w:t>
            </w:r>
            <w:proofErr w:type="spellEnd"/>
            <w:r>
              <w:rPr>
                <w:sz w:val="22"/>
                <w:szCs w:val="22"/>
                <w:lang w:val="es-ES"/>
              </w:rPr>
              <w:t xml:space="preserve"> date </w:t>
            </w:r>
            <w:proofErr w:type="spellStart"/>
            <w:r>
              <w:rPr>
                <w:sz w:val="22"/>
                <w:szCs w:val="22"/>
                <w:lang w:val="es-ES"/>
              </w:rPr>
              <w:t>of</w:t>
            </w:r>
            <w:proofErr w:type="spellEnd"/>
            <w:r>
              <w:rPr>
                <w:sz w:val="22"/>
                <w:szCs w:val="22"/>
                <w:lang w:val="es-ES"/>
              </w:rPr>
              <w:t xml:space="preserve"> </w:t>
            </w:r>
            <w:proofErr w:type="spellStart"/>
            <w:r>
              <w:rPr>
                <w:sz w:val="22"/>
                <w:szCs w:val="22"/>
                <w:lang w:val="es-ES"/>
              </w:rPr>
              <w:t>partial</w:t>
            </w:r>
            <w:proofErr w:type="spellEnd"/>
            <w:r>
              <w:rPr>
                <w:sz w:val="22"/>
                <w:szCs w:val="22"/>
                <w:lang w:val="es-ES"/>
              </w:rPr>
              <w:t xml:space="preserve"> </w:t>
            </w:r>
            <w:proofErr w:type="spellStart"/>
            <w:r>
              <w:rPr>
                <w:sz w:val="22"/>
                <w:szCs w:val="22"/>
                <w:lang w:val="es-ES"/>
              </w:rPr>
              <w:t>reception</w:t>
            </w:r>
            <w:proofErr w:type="spellEnd"/>
            <w:r>
              <w:rPr>
                <w:sz w:val="22"/>
                <w:szCs w:val="22"/>
                <w:lang w:val="es-ES"/>
              </w:rPr>
              <w:t>.</w:t>
            </w:r>
          </w:p>
          <w:p w14:paraId="4F9FB5C0" w14:textId="77777777" w:rsidR="00E255F4" w:rsidRDefault="00000000">
            <w:pPr>
              <w:pStyle w:val="Prrafodelista"/>
              <w:numPr>
                <w:ilvl w:val="0"/>
                <w:numId w:val="38"/>
              </w:numPr>
              <w:spacing w:after="120"/>
              <w:jc w:val="both"/>
            </w:pPr>
            <w:r>
              <w:rPr>
                <w:sz w:val="22"/>
                <w:szCs w:val="22"/>
                <w:lang w:val="es-ES"/>
              </w:rPr>
              <w:t xml:space="preserve">In </w:t>
            </w:r>
            <w:proofErr w:type="spellStart"/>
            <w:r>
              <w:rPr>
                <w:sz w:val="22"/>
                <w:szCs w:val="22"/>
                <w:lang w:val="es-ES"/>
              </w:rPr>
              <w:t>any</w:t>
            </w:r>
            <w:proofErr w:type="spellEnd"/>
            <w:r>
              <w:rPr>
                <w:sz w:val="22"/>
                <w:szCs w:val="22"/>
                <w:lang w:val="es-ES"/>
              </w:rPr>
              <w:t xml:space="preserve"> case, </w:t>
            </w:r>
            <w:proofErr w:type="spellStart"/>
            <w:r>
              <w:rPr>
                <w:sz w:val="22"/>
                <w:szCs w:val="22"/>
                <w:lang w:val="es-ES"/>
              </w:rPr>
              <w:t>the</w:t>
            </w:r>
            <w:proofErr w:type="spellEnd"/>
            <w:r>
              <w:rPr>
                <w:sz w:val="22"/>
                <w:szCs w:val="22"/>
                <w:lang w:val="es-ES"/>
              </w:rPr>
              <w:t xml:space="preserve"> </w:t>
            </w:r>
            <w:proofErr w:type="spellStart"/>
            <w:r>
              <w:rPr>
                <w:sz w:val="22"/>
                <w:szCs w:val="22"/>
                <w:lang w:val="es-ES"/>
              </w:rPr>
              <w:t>provision</w:t>
            </w:r>
            <w:proofErr w:type="spellEnd"/>
            <w:r>
              <w:rPr>
                <w:sz w:val="22"/>
                <w:szCs w:val="22"/>
                <w:lang w:val="es-ES"/>
              </w:rPr>
              <w:t xml:space="preserve"> </w:t>
            </w:r>
            <w:proofErr w:type="spellStart"/>
            <w:r>
              <w:rPr>
                <w:sz w:val="22"/>
                <w:szCs w:val="22"/>
                <w:lang w:val="es-ES"/>
              </w:rPr>
              <w:t>of</w:t>
            </w:r>
            <w:proofErr w:type="spellEnd"/>
            <w:r>
              <w:rPr>
                <w:sz w:val="22"/>
                <w:szCs w:val="22"/>
                <w:lang w:val="es-ES"/>
              </w:rPr>
              <w:t xml:space="preserve"> </w:t>
            </w:r>
            <w:proofErr w:type="spellStart"/>
            <w:r>
              <w:rPr>
                <w:sz w:val="22"/>
                <w:szCs w:val="22"/>
                <w:lang w:val="es-ES"/>
              </w:rPr>
              <w:t>the</w:t>
            </w:r>
            <w:proofErr w:type="spellEnd"/>
            <w:r>
              <w:rPr>
                <w:sz w:val="22"/>
                <w:szCs w:val="22"/>
                <w:lang w:val="es-ES"/>
              </w:rPr>
              <w:t xml:space="preserve"> </w:t>
            </w:r>
            <w:proofErr w:type="spellStart"/>
            <w:r>
              <w:rPr>
                <w:sz w:val="22"/>
                <w:szCs w:val="22"/>
                <w:lang w:val="es-ES"/>
              </w:rPr>
              <w:t>Telemetry</w:t>
            </w:r>
            <w:proofErr w:type="spellEnd"/>
            <w:r>
              <w:rPr>
                <w:sz w:val="22"/>
                <w:szCs w:val="22"/>
                <w:lang w:val="es-ES"/>
              </w:rPr>
              <w:t xml:space="preserve"> Service </w:t>
            </w:r>
            <w:proofErr w:type="spellStart"/>
            <w:r>
              <w:rPr>
                <w:sz w:val="22"/>
                <w:szCs w:val="22"/>
                <w:lang w:val="es-ES"/>
              </w:rPr>
              <w:t>will</w:t>
            </w:r>
            <w:proofErr w:type="spellEnd"/>
            <w:r>
              <w:rPr>
                <w:sz w:val="22"/>
                <w:szCs w:val="22"/>
                <w:lang w:val="es-ES"/>
              </w:rPr>
              <w:t xml:space="preserve"> </w:t>
            </w:r>
            <w:proofErr w:type="spellStart"/>
            <w:r>
              <w:rPr>
                <w:sz w:val="22"/>
                <w:szCs w:val="22"/>
                <w:lang w:val="es-ES"/>
              </w:rPr>
              <w:t>end</w:t>
            </w:r>
            <w:proofErr w:type="spellEnd"/>
            <w:r>
              <w:rPr>
                <w:sz w:val="22"/>
                <w:szCs w:val="22"/>
                <w:lang w:val="es-ES"/>
              </w:rPr>
              <w:t xml:space="preserve"> once </w:t>
            </w:r>
            <w:proofErr w:type="spellStart"/>
            <w:r>
              <w:rPr>
                <w:sz w:val="22"/>
                <w:szCs w:val="22"/>
                <w:lang w:val="es-ES"/>
              </w:rPr>
              <w:t>the</w:t>
            </w:r>
            <w:proofErr w:type="spellEnd"/>
            <w:r>
              <w:rPr>
                <w:sz w:val="22"/>
                <w:szCs w:val="22"/>
                <w:lang w:val="es-ES"/>
              </w:rPr>
              <w:t xml:space="preserve"> </w:t>
            </w:r>
            <w:proofErr w:type="spellStart"/>
            <w:r>
              <w:rPr>
                <w:sz w:val="22"/>
                <w:szCs w:val="22"/>
                <w:lang w:val="es-ES"/>
              </w:rPr>
              <w:t>amount</w:t>
            </w:r>
            <w:proofErr w:type="spellEnd"/>
            <w:r>
              <w:rPr>
                <w:sz w:val="22"/>
                <w:szCs w:val="22"/>
                <w:lang w:val="es-ES"/>
              </w:rPr>
              <w:t xml:space="preserve"> </w:t>
            </w:r>
            <w:proofErr w:type="spellStart"/>
            <w:r>
              <w:rPr>
                <w:sz w:val="22"/>
                <w:szCs w:val="22"/>
                <w:lang w:val="es-ES"/>
              </w:rPr>
              <w:t>quoted</w:t>
            </w:r>
            <w:proofErr w:type="spellEnd"/>
            <w:r>
              <w:rPr>
                <w:sz w:val="22"/>
                <w:szCs w:val="22"/>
                <w:lang w:val="es-ES"/>
              </w:rPr>
              <w:t xml:space="preserve"> in </w:t>
            </w:r>
            <w:proofErr w:type="spellStart"/>
            <w:r>
              <w:rPr>
                <w:sz w:val="22"/>
                <w:szCs w:val="22"/>
                <w:lang w:val="es-ES"/>
              </w:rPr>
              <w:t>Item</w:t>
            </w:r>
            <w:proofErr w:type="spellEnd"/>
            <w:r>
              <w:rPr>
                <w:sz w:val="22"/>
                <w:szCs w:val="22"/>
                <w:lang w:val="es-ES"/>
              </w:rPr>
              <w:t xml:space="preserve"> 3 </w:t>
            </w:r>
            <w:proofErr w:type="spellStart"/>
            <w:r>
              <w:rPr>
                <w:sz w:val="22"/>
                <w:szCs w:val="22"/>
                <w:lang w:val="es-ES"/>
              </w:rPr>
              <w:t>of</w:t>
            </w:r>
            <w:proofErr w:type="spellEnd"/>
            <w:r>
              <w:rPr>
                <w:sz w:val="22"/>
                <w:szCs w:val="22"/>
                <w:lang w:val="es-ES"/>
              </w:rPr>
              <w:t xml:space="preserve"> </w:t>
            </w:r>
            <w:proofErr w:type="spellStart"/>
            <w:r>
              <w:rPr>
                <w:sz w:val="22"/>
                <w:szCs w:val="22"/>
                <w:lang w:val="es-ES"/>
              </w:rPr>
              <w:t>Annex</w:t>
            </w:r>
            <w:proofErr w:type="spellEnd"/>
            <w:r>
              <w:rPr>
                <w:sz w:val="22"/>
                <w:szCs w:val="22"/>
                <w:lang w:val="es-ES"/>
              </w:rPr>
              <w:t xml:space="preserve"> V b) </w:t>
            </w:r>
            <w:proofErr w:type="spellStart"/>
            <w:r>
              <w:rPr>
                <w:sz w:val="22"/>
                <w:szCs w:val="22"/>
                <w:lang w:val="es-ES"/>
              </w:rPr>
              <w:t>of</w:t>
            </w:r>
            <w:proofErr w:type="spellEnd"/>
            <w:r>
              <w:rPr>
                <w:sz w:val="22"/>
                <w:szCs w:val="22"/>
                <w:lang w:val="es-ES"/>
              </w:rPr>
              <w:t xml:space="preserve"> </w:t>
            </w:r>
            <w:proofErr w:type="spellStart"/>
            <w:r>
              <w:rPr>
                <w:sz w:val="22"/>
                <w:szCs w:val="22"/>
                <w:lang w:val="es-ES"/>
              </w:rPr>
              <w:t>the</w:t>
            </w:r>
            <w:proofErr w:type="spellEnd"/>
            <w:r>
              <w:rPr>
                <w:sz w:val="22"/>
                <w:szCs w:val="22"/>
                <w:lang w:val="es-ES"/>
              </w:rPr>
              <w:t xml:space="preserve"> </w:t>
            </w:r>
            <w:proofErr w:type="spellStart"/>
            <w:r>
              <w:rPr>
                <w:sz w:val="22"/>
                <w:szCs w:val="22"/>
                <w:lang w:val="es-ES"/>
              </w:rPr>
              <w:t>Quantities</w:t>
            </w:r>
            <w:proofErr w:type="spellEnd"/>
            <w:r>
              <w:rPr>
                <w:sz w:val="22"/>
                <w:szCs w:val="22"/>
                <w:lang w:val="es-ES"/>
              </w:rPr>
              <w:t xml:space="preserve"> and </w:t>
            </w:r>
            <w:proofErr w:type="spellStart"/>
            <w:r>
              <w:rPr>
                <w:sz w:val="22"/>
                <w:szCs w:val="22"/>
                <w:lang w:val="es-ES"/>
              </w:rPr>
              <w:t>Prices</w:t>
            </w:r>
            <w:proofErr w:type="spellEnd"/>
            <w:r>
              <w:rPr>
                <w:sz w:val="22"/>
                <w:szCs w:val="22"/>
                <w:lang w:val="es-ES"/>
              </w:rPr>
              <w:t xml:space="preserve"> </w:t>
            </w:r>
            <w:proofErr w:type="spellStart"/>
            <w:r>
              <w:rPr>
                <w:sz w:val="22"/>
                <w:szCs w:val="22"/>
                <w:lang w:val="es-ES"/>
              </w:rPr>
              <w:t>Schedules</w:t>
            </w:r>
            <w:proofErr w:type="spellEnd"/>
            <w:r>
              <w:rPr>
                <w:sz w:val="22"/>
                <w:szCs w:val="22"/>
                <w:lang w:val="es-ES"/>
              </w:rPr>
              <w:t xml:space="preserve"> has </w:t>
            </w:r>
            <w:proofErr w:type="spellStart"/>
            <w:r>
              <w:rPr>
                <w:sz w:val="22"/>
                <w:szCs w:val="22"/>
                <w:lang w:val="es-ES"/>
              </w:rPr>
              <w:t>been</w:t>
            </w:r>
            <w:proofErr w:type="spellEnd"/>
            <w:r>
              <w:rPr>
                <w:sz w:val="22"/>
                <w:szCs w:val="22"/>
                <w:lang w:val="es-ES"/>
              </w:rPr>
              <w:t xml:space="preserve"> </w:t>
            </w:r>
            <w:proofErr w:type="spellStart"/>
            <w:r>
              <w:rPr>
                <w:sz w:val="22"/>
                <w:szCs w:val="22"/>
                <w:lang w:val="es-ES"/>
              </w:rPr>
              <w:t>exhausted</w:t>
            </w:r>
            <w:proofErr w:type="spellEnd"/>
            <w:r>
              <w:rPr>
                <w:sz w:val="22"/>
                <w:szCs w:val="22"/>
                <w:lang w:val="es-ES"/>
              </w:rPr>
              <w:t>.</w:t>
            </w:r>
          </w:p>
          <w:p w14:paraId="3D0C5534" w14:textId="77777777" w:rsidR="00E255F4" w:rsidRDefault="00000000">
            <w:pPr>
              <w:spacing w:after="120"/>
              <w:jc w:val="both"/>
              <w:rPr>
                <w:rFonts w:eastAsia="Palatino Linotype"/>
                <w:b/>
                <w:spacing w:val="-1"/>
                <w:position w:val="1"/>
                <w:sz w:val="22"/>
                <w:szCs w:val="22"/>
                <w:lang w:val="es-ES"/>
              </w:rPr>
            </w:pPr>
            <w:proofErr w:type="spellStart"/>
            <w:r>
              <w:rPr>
                <w:rFonts w:eastAsia="Palatino Linotype"/>
                <w:b/>
                <w:spacing w:val="-1"/>
                <w:position w:val="1"/>
                <w:sz w:val="22"/>
                <w:szCs w:val="22"/>
                <w:lang w:val="es-ES"/>
              </w:rPr>
              <w:t>Controls</w:t>
            </w:r>
            <w:proofErr w:type="spellEnd"/>
          </w:p>
          <w:p w14:paraId="1D2D7D31" w14:textId="77777777" w:rsidR="00E255F4" w:rsidRDefault="00000000">
            <w:pPr>
              <w:jc w:val="both"/>
              <w:rPr>
                <w:rFonts w:eastAsia="Palatino Linotype"/>
                <w:b/>
                <w:spacing w:val="-1"/>
                <w:sz w:val="22"/>
                <w:lang w:val="es-ES"/>
              </w:rPr>
            </w:pPr>
            <w:r>
              <w:rPr>
                <w:rFonts w:eastAsia="Palatino Linotype"/>
                <w:spacing w:val="-1"/>
                <w:sz w:val="22"/>
                <w:szCs w:val="22"/>
                <w:lang w:val="es-ES"/>
              </w:rPr>
              <w:t xml:space="preserve">The </w:t>
            </w:r>
            <w:proofErr w:type="spellStart"/>
            <w:r>
              <w:rPr>
                <w:rFonts w:eastAsia="Palatino Linotype"/>
                <w:spacing w:val="-1"/>
                <w:sz w:val="22"/>
                <w:szCs w:val="22"/>
                <w:lang w:val="es-ES"/>
              </w:rPr>
              <w:t>controls</w:t>
            </w:r>
            <w:proofErr w:type="spellEnd"/>
            <w:r>
              <w:rPr>
                <w:rFonts w:eastAsia="Palatino Linotype"/>
                <w:spacing w:val="-1"/>
                <w:sz w:val="22"/>
                <w:szCs w:val="22"/>
                <w:lang w:val="es-ES"/>
              </w:rPr>
              <w:t xml:space="preserve"> </w:t>
            </w:r>
            <w:proofErr w:type="spellStart"/>
            <w:r>
              <w:rPr>
                <w:rFonts w:eastAsia="Palatino Linotype"/>
                <w:spacing w:val="-1"/>
                <w:sz w:val="22"/>
                <w:szCs w:val="22"/>
                <w:lang w:val="es-ES"/>
              </w:rPr>
              <w:t>that</w:t>
            </w:r>
            <w:proofErr w:type="spellEnd"/>
            <w:r>
              <w:rPr>
                <w:rFonts w:eastAsia="Palatino Linotype"/>
                <w:spacing w:val="-1"/>
                <w:sz w:val="22"/>
                <w:szCs w:val="22"/>
                <w:lang w:val="es-ES"/>
              </w:rPr>
              <w:t xml:space="preserve"> OSE </w:t>
            </w:r>
            <w:proofErr w:type="spellStart"/>
            <w:r>
              <w:rPr>
                <w:rFonts w:eastAsia="Palatino Linotype"/>
                <w:spacing w:val="-1"/>
                <w:sz w:val="22"/>
                <w:szCs w:val="22"/>
                <w:lang w:val="es-ES"/>
              </w:rPr>
              <w:t>will</w:t>
            </w:r>
            <w:proofErr w:type="spellEnd"/>
            <w:r>
              <w:rPr>
                <w:rFonts w:eastAsia="Palatino Linotype"/>
                <w:spacing w:val="-1"/>
                <w:sz w:val="22"/>
                <w:szCs w:val="22"/>
                <w:lang w:val="es-ES"/>
              </w:rPr>
              <w:t xml:space="preserve"> </w:t>
            </w:r>
            <w:proofErr w:type="spellStart"/>
            <w:r>
              <w:rPr>
                <w:rFonts w:eastAsia="Palatino Linotype"/>
                <w:spacing w:val="-1"/>
                <w:sz w:val="22"/>
                <w:szCs w:val="22"/>
                <w:lang w:val="es-ES"/>
              </w:rPr>
              <w:t>carry</w:t>
            </w:r>
            <w:proofErr w:type="spellEnd"/>
            <w:r>
              <w:rPr>
                <w:rFonts w:eastAsia="Palatino Linotype"/>
                <w:spacing w:val="-1"/>
                <w:sz w:val="22"/>
                <w:szCs w:val="22"/>
                <w:lang w:val="es-ES"/>
              </w:rPr>
              <w:t xml:space="preserve"> </w:t>
            </w:r>
            <w:proofErr w:type="spellStart"/>
            <w:r>
              <w:rPr>
                <w:rFonts w:eastAsia="Palatino Linotype"/>
                <w:spacing w:val="-1"/>
                <w:sz w:val="22"/>
                <w:szCs w:val="22"/>
                <w:lang w:val="es-ES"/>
              </w:rPr>
              <w:t>out</w:t>
            </w:r>
            <w:proofErr w:type="spellEnd"/>
            <w:r>
              <w:rPr>
                <w:rFonts w:eastAsia="Palatino Linotype"/>
                <w:spacing w:val="-1"/>
                <w:sz w:val="22"/>
                <w:szCs w:val="22"/>
                <w:lang w:val="es-ES"/>
              </w:rPr>
              <w:t xml:space="preserve"> </w:t>
            </w:r>
            <w:proofErr w:type="spellStart"/>
            <w:r>
              <w:rPr>
                <w:rFonts w:eastAsia="Palatino Linotype"/>
                <w:spacing w:val="-1"/>
                <w:sz w:val="22"/>
                <w:szCs w:val="22"/>
                <w:lang w:val="es-ES"/>
              </w:rPr>
              <w:t>will</w:t>
            </w:r>
            <w:proofErr w:type="spellEnd"/>
            <w:r>
              <w:rPr>
                <w:rFonts w:eastAsia="Palatino Linotype"/>
                <w:spacing w:val="-1"/>
                <w:sz w:val="22"/>
                <w:szCs w:val="22"/>
                <w:lang w:val="es-ES"/>
              </w:rPr>
              <w:t xml:space="preserve"> be in </w:t>
            </w:r>
            <w:proofErr w:type="spellStart"/>
            <w:r>
              <w:rPr>
                <w:rFonts w:eastAsia="Palatino Linotype"/>
                <w:spacing w:val="-1"/>
                <w:sz w:val="22"/>
                <w:szCs w:val="22"/>
                <w:lang w:val="es-ES"/>
              </w:rPr>
              <w:t>accordance</w:t>
            </w:r>
            <w:proofErr w:type="spellEnd"/>
            <w:r>
              <w:rPr>
                <w:rFonts w:eastAsia="Palatino Linotype"/>
                <w:spacing w:val="-1"/>
                <w:sz w:val="22"/>
                <w:szCs w:val="22"/>
                <w:lang w:val="es-ES"/>
              </w:rPr>
              <w:t xml:space="preserve"> </w:t>
            </w:r>
            <w:proofErr w:type="spellStart"/>
            <w:r>
              <w:rPr>
                <w:rFonts w:eastAsia="Palatino Linotype"/>
                <w:spacing w:val="-1"/>
                <w:sz w:val="22"/>
                <w:szCs w:val="22"/>
                <w:lang w:val="es-ES"/>
              </w:rPr>
              <w:t>with</w:t>
            </w:r>
            <w:proofErr w:type="spellEnd"/>
            <w:r>
              <w:rPr>
                <w:rFonts w:eastAsia="Palatino Linotype"/>
                <w:spacing w:val="-1"/>
                <w:sz w:val="22"/>
                <w:szCs w:val="22"/>
                <w:lang w:val="es-ES"/>
              </w:rPr>
              <w:t xml:space="preserve"> </w:t>
            </w:r>
            <w:proofErr w:type="spellStart"/>
            <w:r>
              <w:rPr>
                <w:rFonts w:eastAsia="Palatino Linotype"/>
                <w:spacing w:val="-1"/>
                <w:sz w:val="22"/>
                <w:szCs w:val="22"/>
                <w:lang w:val="es-ES"/>
              </w:rPr>
              <w:t>the</w:t>
            </w:r>
            <w:proofErr w:type="spellEnd"/>
            <w:r>
              <w:rPr>
                <w:rFonts w:eastAsia="Palatino Linotype"/>
                <w:spacing w:val="-1"/>
                <w:sz w:val="22"/>
                <w:szCs w:val="22"/>
                <w:lang w:val="es-ES"/>
              </w:rPr>
              <w:t xml:space="preserve"> </w:t>
            </w:r>
            <w:proofErr w:type="spellStart"/>
            <w:r>
              <w:rPr>
                <w:rFonts w:eastAsia="Palatino Linotype"/>
                <w:spacing w:val="-1"/>
                <w:sz w:val="22"/>
                <w:szCs w:val="22"/>
                <w:lang w:val="es-ES"/>
              </w:rPr>
              <w:t>provisions</w:t>
            </w:r>
            <w:proofErr w:type="spellEnd"/>
            <w:r>
              <w:rPr>
                <w:rFonts w:eastAsia="Palatino Linotype"/>
                <w:spacing w:val="-1"/>
                <w:sz w:val="22"/>
                <w:szCs w:val="22"/>
                <w:lang w:val="es-ES"/>
              </w:rPr>
              <w:t xml:space="preserve"> </w:t>
            </w:r>
            <w:proofErr w:type="spellStart"/>
            <w:r>
              <w:rPr>
                <w:rFonts w:eastAsia="Palatino Linotype"/>
                <w:spacing w:val="-1"/>
                <w:sz w:val="22"/>
                <w:szCs w:val="22"/>
                <w:lang w:val="es-ES"/>
              </w:rPr>
              <w:t>of</w:t>
            </w:r>
            <w:proofErr w:type="spellEnd"/>
            <w:r>
              <w:rPr>
                <w:rFonts w:eastAsia="Palatino Linotype"/>
                <w:spacing w:val="-1"/>
                <w:sz w:val="22"/>
                <w:szCs w:val="22"/>
                <w:lang w:val="es-ES"/>
              </w:rPr>
              <w:t xml:space="preserve"> </w:t>
            </w:r>
            <w:proofErr w:type="spellStart"/>
            <w:r>
              <w:rPr>
                <w:rFonts w:eastAsia="Palatino Linotype"/>
                <w:spacing w:val="-1"/>
                <w:sz w:val="22"/>
                <w:szCs w:val="22"/>
                <w:lang w:val="es-ES"/>
              </w:rPr>
              <w:t>the</w:t>
            </w:r>
            <w:proofErr w:type="spellEnd"/>
            <w:r>
              <w:rPr>
                <w:rFonts w:eastAsia="Palatino Linotype"/>
                <w:spacing w:val="-1"/>
                <w:sz w:val="22"/>
                <w:szCs w:val="22"/>
                <w:lang w:val="es-ES"/>
              </w:rPr>
              <w:t xml:space="preserve"> </w:t>
            </w:r>
            <w:proofErr w:type="spellStart"/>
            <w:r>
              <w:rPr>
                <w:rFonts w:eastAsia="Palatino Linotype"/>
                <w:spacing w:val="-1"/>
                <w:sz w:val="22"/>
                <w:szCs w:val="22"/>
                <w:lang w:val="es-ES"/>
              </w:rPr>
              <w:t>Technical</w:t>
            </w:r>
            <w:proofErr w:type="spellEnd"/>
            <w:r>
              <w:rPr>
                <w:rFonts w:eastAsia="Palatino Linotype"/>
                <w:spacing w:val="-1"/>
                <w:sz w:val="22"/>
                <w:szCs w:val="22"/>
                <w:lang w:val="es-ES"/>
              </w:rPr>
              <w:t xml:space="preserve"> </w:t>
            </w:r>
            <w:proofErr w:type="spellStart"/>
            <w:r>
              <w:rPr>
                <w:rFonts w:eastAsia="Palatino Linotype"/>
                <w:spacing w:val="-1"/>
                <w:sz w:val="22"/>
                <w:szCs w:val="22"/>
                <w:lang w:val="es-ES"/>
              </w:rPr>
              <w:t>Specifications</w:t>
            </w:r>
            <w:proofErr w:type="spellEnd"/>
            <w:r>
              <w:rPr>
                <w:rFonts w:eastAsia="Palatino Linotype"/>
                <w:spacing w:val="-1"/>
                <w:sz w:val="22"/>
                <w:szCs w:val="22"/>
                <w:lang w:val="es-ES"/>
              </w:rPr>
              <w:t xml:space="preserve"> (</w:t>
            </w:r>
            <w:proofErr w:type="spellStart"/>
            <w:r>
              <w:rPr>
                <w:rFonts w:eastAsia="Palatino Linotype"/>
                <w:spacing w:val="-1"/>
                <w:sz w:val="22"/>
                <w:szCs w:val="22"/>
                <w:lang w:val="es-ES"/>
              </w:rPr>
              <w:t>Annex</w:t>
            </w:r>
            <w:proofErr w:type="spellEnd"/>
            <w:r>
              <w:rPr>
                <w:rFonts w:eastAsia="Palatino Linotype"/>
                <w:spacing w:val="-1"/>
                <w:sz w:val="22"/>
                <w:szCs w:val="22"/>
                <w:lang w:val="es-ES"/>
              </w:rPr>
              <w:t xml:space="preserve"> VII).</w:t>
            </w:r>
          </w:p>
        </w:tc>
      </w:tr>
      <w:tr w:rsidR="00E255F4" w14:paraId="31593608" w14:textId="77777777">
        <w:tc>
          <w:tcPr>
            <w:tcW w:w="730" w:type="dxa"/>
            <w:tcBorders>
              <w:top w:val="single" w:sz="4" w:space="0" w:color="000000"/>
              <w:left w:val="single" w:sz="4" w:space="0" w:color="000000"/>
              <w:bottom w:val="single" w:sz="4" w:space="0" w:color="000000"/>
              <w:right w:val="single" w:sz="4" w:space="0" w:color="000000"/>
            </w:tcBorders>
          </w:tcPr>
          <w:p w14:paraId="2C77742A" w14:textId="77777777" w:rsidR="00E255F4" w:rsidRDefault="00000000">
            <w:pPr>
              <w:ind w:right="-36"/>
              <w:rPr>
                <w:rFonts w:eastAsia="Palatino Linotype"/>
                <w:b/>
                <w:sz w:val="22"/>
                <w:szCs w:val="22"/>
                <w:lang w:val="es-ES"/>
              </w:rPr>
            </w:pPr>
            <w:r>
              <w:rPr>
                <w:rFonts w:eastAsia="Palatino Linotype"/>
                <w:b/>
                <w:sz w:val="22"/>
                <w:szCs w:val="22"/>
                <w:lang w:val="es-ES"/>
              </w:rPr>
              <w:lastRenderedPageBreak/>
              <w:t>28</w:t>
            </w:r>
          </w:p>
        </w:tc>
        <w:tc>
          <w:tcPr>
            <w:tcW w:w="9048" w:type="dxa"/>
            <w:tcBorders>
              <w:top w:val="single" w:sz="4" w:space="0" w:color="000000"/>
              <w:left w:val="single" w:sz="4" w:space="0" w:color="000000"/>
              <w:bottom w:val="single" w:sz="4" w:space="0" w:color="000000"/>
              <w:right w:val="single" w:sz="4" w:space="0" w:color="000000"/>
            </w:tcBorders>
          </w:tcPr>
          <w:p w14:paraId="7DB03935" w14:textId="77777777" w:rsidR="00E255F4" w:rsidRDefault="00000000">
            <w:pPr>
              <w:pStyle w:val="Prrafodelista"/>
              <w:ind w:left="0"/>
              <w:jc w:val="both"/>
              <w:rPr>
                <w:rFonts w:eastAsia="Palatino Linotype"/>
                <w:b/>
                <w:spacing w:val="-1"/>
                <w:sz w:val="22"/>
                <w:szCs w:val="22"/>
                <w:lang w:val="es-ES" w:eastAsia="en-US"/>
              </w:rPr>
            </w:pPr>
            <w:proofErr w:type="spellStart"/>
            <w:r>
              <w:rPr>
                <w:rFonts w:eastAsia="Palatino Linotype"/>
                <w:b/>
                <w:spacing w:val="-1"/>
                <w:sz w:val="22"/>
                <w:szCs w:val="22"/>
                <w:lang w:val="es-ES" w:eastAsia="en-US"/>
              </w:rPr>
              <w:t>Payments</w:t>
            </w:r>
            <w:proofErr w:type="spellEnd"/>
          </w:p>
          <w:p w14:paraId="6C8FB12B" w14:textId="77777777" w:rsidR="00E255F4" w:rsidRDefault="00000000">
            <w:pPr>
              <w:pStyle w:val="Prrafodelista"/>
              <w:spacing w:after="120"/>
              <w:ind w:left="0"/>
              <w:jc w:val="both"/>
              <w:rPr>
                <w:rFonts w:eastAsia="Palatino Linotype"/>
                <w:spacing w:val="-1"/>
                <w:sz w:val="22"/>
                <w:szCs w:val="22"/>
                <w:lang w:val="es-ES" w:eastAsia="en-US"/>
              </w:rPr>
            </w:pPr>
            <w:proofErr w:type="spellStart"/>
            <w:r>
              <w:rPr>
                <w:rFonts w:eastAsia="Palatino Linotype"/>
                <w:spacing w:val="-1"/>
                <w:sz w:val="22"/>
                <w:szCs w:val="22"/>
                <w:lang w:val="es-ES" w:eastAsia="en-US"/>
              </w:rPr>
              <w:t>It</w:t>
            </w:r>
            <w:proofErr w:type="spellEnd"/>
            <w:r>
              <w:rPr>
                <w:rFonts w:eastAsia="Palatino Linotype"/>
                <w:spacing w:val="-1"/>
                <w:sz w:val="22"/>
                <w:szCs w:val="22"/>
                <w:lang w:val="es-ES" w:eastAsia="en-US"/>
              </w:rPr>
              <w:t xml:space="preserve"> </w:t>
            </w:r>
            <w:proofErr w:type="spellStart"/>
            <w:r>
              <w:rPr>
                <w:rFonts w:eastAsia="Palatino Linotype"/>
                <w:spacing w:val="-1"/>
                <w:sz w:val="22"/>
                <w:szCs w:val="22"/>
                <w:lang w:val="es-ES" w:eastAsia="en-US"/>
              </w:rPr>
              <w:t>is</w:t>
            </w:r>
            <w:proofErr w:type="spellEnd"/>
            <w:r>
              <w:rPr>
                <w:rFonts w:eastAsia="Palatino Linotype"/>
                <w:spacing w:val="-1"/>
                <w:sz w:val="22"/>
                <w:szCs w:val="22"/>
                <w:lang w:val="es-ES" w:eastAsia="en-US"/>
              </w:rPr>
              <w:t xml:space="preserve"> </w:t>
            </w:r>
            <w:proofErr w:type="spellStart"/>
            <w:r>
              <w:rPr>
                <w:rFonts w:eastAsia="Palatino Linotype"/>
                <w:spacing w:val="-1"/>
                <w:sz w:val="22"/>
                <w:szCs w:val="22"/>
                <w:lang w:val="es-ES" w:eastAsia="en-US"/>
              </w:rPr>
              <w:t>added</w:t>
            </w:r>
            <w:proofErr w:type="spellEnd"/>
            <w:r>
              <w:rPr>
                <w:rFonts w:eastAsia="Palatino Linotype"/>
                <w:spacing w:val="-1"/>
                <w:sz w:val="22"/>
                <w:szCs w:val="22"/>
                <w:lang w:val="es-ES" w:eastAsia="en-US"/>
              </w:rPr>
              <w:t>:</w:t>
            </w:r>
          </w:p>
          <w:p w14:paraId="5F8CB5D5" w14:textId="77777777" w:rsidR="00E255F4" w:rsidRDefault="00000000">
            <w:pPr>
              <w:pStyle w:val="Prrafodelista"/>
              <w:spacing w:after="240"/>
              <w:ind w:left="0"/>
              <w:jc w:val="both"/>
              <w:rPr>
                <w:rFonts w:eastAsia="Palatino Linotype"/>
                <w:spacing w:val="-1"/>
                <w:sz w:val="22"/>
                <w:szCs w:val="22"/>
                <w:lang w:val="es-ES" w:eastAsia="en-US"/>
              </w:rPr>
            </w:pPr>
            <w:r>
              <w:rPr>
                <w:rFonts w:eastAsia="Palatino Linotype"/>
                <w:b/>
                <w:spacing w:val="-1"/>
                <w:sz w:val="22"/>
                <w:szCs w:val="22"/>
                <w:lang w:val="es-ES" w:eastAsia="en-US"/>
              </w:rPr>
              <w:t xml:space="preserve">Payment </w:t>
            </w:r>
            <w:proofErr w:type="spellStart"/>
            <w:r>
              <w:rPr>
                <w:rFonts w:eastAsia="Palatino Linotype"/>
                <w:b/>
                <w:spacing w:val="-1"/>
                <w:sz w:val="22"/>
                <w:szCs w:val="22"/>
                <w:lang w:val="es-ES" w:eastAsia="en-US"/>
              </w:rPr>
              <w:t>for</w:t>
            </w:r>
            <w:proofErr w:type="spellEnd"/>
            <w:r>
              <w:rPr>
                <w:rFonts w:eastAsia="Palatino Linotype"/>
                <w:b/>
                <w:spacing w:val="-1"/>
                <w:sz w:val="22"/>
                <w:szCs w:val="22"/>
                <w:lang w:val="es-ES" w:eastAsia="en-US"/>
              </w:rPr>
              <w:t xml:space="preserve"> </w:t>
            </w:r>
            <w:proofErr w:type="spellStart"/>
            <w:r>
              <w:rPr>
                <w:rFonts w:eastAsia="Palatino Linotype"/>
                <w:b/>
                <w:spacing w:val="-1"/>
                <w:sz w:val="22"/>
                <w:szCs w:val="22"/>
                <w:lang w:val="es-ES" w:eastAsia="en-US"/>
              </w:rPr>
              <w:t>services</w:t>
            </w:r>
            <w:proofErr w:type="spellEnd"/>
            <w:r>
              <w:rPr>
                <w:rFonts w:eastAsia="Palatino Linotype"/>
                <w:b/>
                <w:spacing w:val="-1"/>
                <w:sz w:val="22"/>
                <w:szCs w:val="22"/>
                <w:lang w:val="es-ES" w:eastAsia="en-US"/>
              </w:rPr>
              <w:t xml:space="preserve"> and </w:t>
            </w:r>
            <w:proofErr w:type="spellStart"/>
            <w:r>
              <w:rPr>
                <w:rFonts w:eastAsia="Palatino Linotype"/>
                <w:b/>
                <w:spacing w:val="-1"/>
                <w:sz w:val="22"/>
                <w:szCs w:val="22"/>
                <w:lang w:val="es-ES" w:eastAsia="en-US"/>
              </w:rPr>
              <w:t>supplies</w:t>
            </w:r>
            <w:r>
              <w:rPr>
                <w:rFonts w:eastAsia="Palatino Linotype"/>
                <w:spacing w:val="-1"/>
                <w:sz w:val="22"/>
                <w:szCs w:val="22"/>
                <w:lang w:val="es-ES" w:eastAsia="en-US"/>
              </w:rPr>
              <w:t>The</w:t>
            </w:r>
            <w:proofErr w:type="spellEnd"/>
            <w:r>
              <w:rPr>
                <w:rFonts w:eastAsia="Palatino Linotype"/>
                <w:spacing w:val="-1"/>
                <w:sz w:val="22"/>
                <w:szCs w:val="22"/>
                <w:lang w:val="es-ES" w:eastAsia="en-US"/>
              </w:rPr>
              <w:t xml:space="preserve"> </w:t>
            </w:r>
            <w:proofErr w:type="spellStart"/>
            <w:r>
              <w:rPr>
                <w:rFonts w:eastAsia="Palatino Linotype"/>
                <w:spacing w:val="-1"/>
                <w:sz w:val="22"/>
                <w:szCs w:val="22"/>
                <w:lang w:val="es-ES" w:eastAsia="en-US"/>
              </w:rPr>
              <w:t>awards</w:t>
            </w:r>
            <w:proofErr w:type="spellEnd"/>
            <w:r>
              <w:rPr>
                <w:rFonts w:eastAsia="Palatino Linotype"/>
                <w:spacing w:val="-1"/>
                <w:sz w:val="22"/>
                <w:szCs w:val="22"/>
                <w:lang w:val="es-ES" w:eastAsia="en-US"/>
              </w:rPr>
              <w:t xml:space="preserve"> </w:t>
            </w:r>
            <w:proofErr w:type="spellStart"/>
            <w:r>
              <w:rPr>
                <w:rFonts w:eastAsia="Palatino Linotype"/>
                <w:spacing w:val="-1"/>
                <w:sz w:val="22"/>
                <w:szCs w:val="22"/>
                <w:lang w:val="es-ES" w:eastAsia="en-US"/>
              </w:rPr>
              <w:t>will</w:t>
            </w:r>
            <w:proofErr w:type="spellEnd"/>
            <w:r>
              <w:rPr>
                <w:rFonts w:eastAsia="Palatino Linotype"/>
                <w:spacing w:val="-1"/>
                <w:sz w:val="22"/>
                <w:szCs w:val="22"/>
                <w:lang w:val="es-ES" w:eastAsia="en-US"/>
              </w:rPr>
              <w:t xml:space="preserve"> be </w:t>
            </w:r>
            <w:proofErr w:type="spellStart"/>
            <w:r>
              <w:rPr>
                <w:rFonts w:eastAsia="Palatino Linotype"/>
                <w:spacing w:val="-1"/>
                <w:sz w:val="22"/>
                <w:szCs w:val="22"/>
                <w:lang w:val="es-ES" w:eastAsia="en-US"/>
              </w:rPr>
              <w:t>made</w:t>
            </w:r>
            <w:proofErr w:type="spellEnd"/>
            <w:r>
              <w:rPr>
                <w:rFonts w:eastAsia="Palatino Linotype"/>
                <w:spacing w:val="-1"/>
                <w:sz w:val="22"/>
                <w:szCs w:val="22"/>
                <w:lang w:val="es-ES" w:eastAsia="en-US"/>
              </w:rPr>
              <w:t xml:space="preserve"> </w:t>
            </w:r>
            <w:proofErr w:type="spellStart"/>
            <w:r>
              <w:rPr>
                <w:rFonts w:eastAsia="Palatino Linotype"/>
                <w:spacing w:val="-1"/>
                <w:sz w:val="22"/>
                <w:szCs w:val="22"/>
                <w:lang w:val="es-ES" w:eastAsia="en-US"/>
              </w:rPr>
              <w:t>by</w:t>
            </w:r>
            <w:proofErr w:type="spellEnd"/>
            <w:r>
              <w:rPr>
                <w:rFonts w:eastAsia="Palatino Linotype"/>
                <w:spacing w:val="-1"/>
                <w:sz w:val="22"/>
                <w:szCs w:val="22"/>
                <w:lang w:val="es-ES" w:eastAsia="en-US"/>
              </w:rPr>
              <w:t xml:space="preserve"> </w:t>
            </w:r>
            <w:proofErr w:type="spellStart"/>
            <w:r>
              <w:rPr>
                <w:rFonts w:eastAsia="Palatino Linotype"/>
                <w:spacing w:val="-1"/>
                <w:sz w:val="22"/>
                <w:szCs w:val="22"/>
                <w:lang w:val="es-ES" w:eastAsia="en-US"/>
              </w:rPr>
              <w:t>distinguishing</w:t>
            </w:r>
            <w:proofErr w:type="spellEnd"/>
            <w:r>
              <w:rPr>
                <w:rFonts w:eastAsia="Palatino Linotype"/>
                <w:spacing w:val="-1"/>
                <w:sz w:val="22"/>
                <w:szCs w:val="22"/>
                <w:lang w:val="es-ES" w:eastAsia="en-US"/>
              </w:rPr>
              <w:t xml:space="preserve"> </w:t>
            </w:r>
            <w:proofErr w:type="spellStart"/>
            <w:r>
              <w:rPr>
                <w:rFonts w:eastAsia="Palatino Linotype"/>
                <w:spacing w:val="-1"/>
                <w:sz w:val="22"/>
                <w:szCs w:val="22"/>
                <w:lang w:val="es-ES" w:eastAsia="en-US"/>
              </w:rPr>
              <w:t>the</w:t>
            </w:r>
            <w:proofErr w:type="spellEnd"/>
            <w:r>
              <w:rPr>
                <w:rFonts w:eastAsia="Palatino Linotype"/>
                <w:spacing w:val="-1"/>
                <w:sz w:val="22"/>
                <w:szCs w:val="22"/>
                <w:lang w:val="es-ES" w:eastAsia="en-US"/>
              </w:rPr>
              <w:t xml:space="preserve"> </w:t>
            </w:r>
            <w:proofErr w:type="spellStart"/>
            <w:r>
              <w:rPr>
                <w:rFonts w:eastAsia="Palatino Linotype"/>
                <w:spacing w:val="-1"/>
                <w:sz w:val="22"/>
                <w:szCs w:val="22"/>
                <w:lang w:val="es-ES" w:eastAsia="en-US"/>
              </w:rPr>
              <w:t>following</w:t>
            </w:r>
            <w:proofErr w:type="spellEnd"/>
            <w:r>
              <w:rPr>
                <w:rFonts w:eastAsia="Palatino Linotype"/>
                <w:spacing w:val="-1"/>
                <w:sz w:val="22"/>
                <w:szCs w:val="22"/>
                <w:lang w:val="es-ES" w:eastAsia="en-US"/>
              </w:rPr>
              <w:t xml:space="preserve"> cases:</w:t>
            </w:r>
          </w:p>
          <w:p w14:paraId="342885EB" w14:textId="77777777" w:rsidR="00E255F4" w:rsidRDefault="00000000">
            <w:pPr>
              <w:pStyle w:val="Prrafodelista"/>
              <w:numPr>
                <w:ilvl w:val="0"/>
                <w:numId w:val="75"/>
              </w:numPr>
              <w:spacing w:after="240"/>
              <w:jc w:val="both"/>
              <w:rPr>
                <w:rFonts w:eastAsia="Palatino Linotype"/>
                <w:b/>
                <w:spacing w:val="-1"/>
                <w:sz w:val="22"/>
                <w:szCs w:val="22"/>
                <w:lang w:val="es-ES" w:eastAsia="en-US"/>
              </w:rPr>
            </w:pPr>
            <w:r>
              <w:rPr>
                <w:rFonts w:eastAsia="Palatino Linotype"/>
                <w:b/>
                <w:position w:val="1"/>
                <w:sz w:val="22"/>
                <w:szCs w:val="22"/>
                <w:lang w:val="es-ES" w:eastAsia="en-US"/>
              </w:rPr>
              <w:t xml:space="preserve">Payment </w:t>
            </w:r>
            <w:proofErr w:type="spellStart"/>
            <w:r>
              <w:rPr>
                <w:rFonts w:eastAsia="Palatino Linotype"/>
                <w:b/>
                <w:position w:val="1"/>
                <w:sz w:val="22"/>
                <w:szCs w:val="22"/>
                <w:lang w:val="es-ES" w:eastAsia="en-US"/>
              </w:rPr>
              <w:t>for</w:t>
            </w:r>
            <w:proofErr w:type="spellEnd"/>
            <w:r>
              <w:rPr>
                <w:rFonts w:eastAsia="Palatino Linotype"/>
                <w:b/>
                <w:position w:val="1"/>
                <w:sz w:val="22"/>
                <w:szCs w:val="22"/>
                <w:lang w:val="es-ES" w:eastAsia="en-US"/>
              </w:rPr>
              <w:t xml:space="preserve"> </w:t>
            </w:r>
            <w:proofErr w:type="spellStart"/>
            <w:r>
              <w:rPr>
                <w:rFonts w:eastAsia="Palatino Linotype"/>
                <w:b/>
                <w:position w:val="1"/>
                <w:sz w:val="22"/>
                <w:szCs w:val="22"/>
                <w:lang w:val="es-ES" w:eastAsia="en-US"/>
              </w:rPr>
              <w:t>goods</w:t>
            </w:r>
            <w:proofErr w:type="spellEnd"/>
            <w:r>
              <w:rPr>
                <w:rFonts w:eastAsia="Palatino Linotype"/>
                <w:b/>
                <w:position w:val="1"/>
                <w:sz w:val="22"/>
                <w:szCs w:val="22"/>
                <w:lang w:val="es-ES" w:eastAsia="en-US"/>
              </w:rPr>
              <w:t xml:space="preserve"> </w:t>
            </w:r>
            <w:proofErr w:type="spellStart"/>
            <w:r>
              <w:rPr>
                <w:rFonts w:eastAsia="Palatino Linotype"/>
                <w:b/>
                <w:position w:val="1"/>
                <w:sz w:val="22"/>
                <w:szCs w:val="22"/>
                <w:lang w:val="es-ES" w:eastAsia="en-US"/>
              </w:rPr>
              <w:t>offer</w:t>
            </w:r>
            <w:proofErr w:type="spellEnd"/>
            <w:r>
              <w:rPr>
                <w:rFonts w:eastAsia="Palatino Linotype"/>
                <w:b/>
                <w:position w:val="1"/>
                <w:sz w:val="22"/>
                <w:szCs w:val="22"/>
                <w:lang w:val="es-ES" w:eastAsia="en-US"/>
              </w:rPr>
              <w:t xml:space="preserve"> (</w:t>
            </w:r>
            <w:proofErr w:type="spellStart"/>
            <w:r>
              <w:rPr>
                <w:rFonts w:eastAsia="Palatino Linotype"/>
                <w:b/>
                <w:position w:val="1"/>
                <w:sz w:val="22"/>
                <w:szCs w:val="22"/>
                <w:lang w:val="es-ES" w:eastAsia="en-US"/>
              </w:rPr>
              <w:t>domestically</w:t>
            </w:r>
            <w:proofErr w:type="spellEnd"/>
            <w:r>
              <w:rPr>
                <w:rFonts w:eastAsia="Palatino Linotype"/>
                <w:b/>
                <w:position w:val="1"/>
                <w:sz w:val="22"/>
                <w:szCs w:val="22"/>
                <w:lang w:val="es-ES" w:eastAsia="en-US"/>
              </w:rPr>
              <w:t xml:space="preserve"> </w:t>
            </w:r>
            <w:proofErr w:type="spellStart"/>
            <w:proofErr w:type="gramStart"/>
            <w:r>
              <w:rPr>
                <w:rFonts w:eastAsia="Palatino Linotype"/>
                <w:b/>
                <w:position w:val="1"/>
                <w:sz w:val="22"/>
                <w:szCs w:val="22"/>
                <w:lang w:val="es-ES" w:eastAsia="en-US"/>
              </w:rPr>
              <w:t>manufactured</w:t>
            </w:r>
            <w:proofErr w:type="spellEnd"/>
            <w:r>
              <w:rPr>
                <w:rFonts w:eastAsia="Palatino Linotype"/>
                <w:b/>
                <w:position w:val="1"/>
                <w:sz w:val="22"/>
                <w:szCs w:val="22"/>
                <w:lang w:val="es-ES" w:eastAsia="en-US"/>
              </w:rPr>
              <w:t>)</w:t>
            </w:r>
            <w:proofErr w:type="spellStart"/>
            <w:r>
              <w:rPr>
                <w:rFonts w:eastAsia="Palatino Linotype"/>
                <w:b/>
                <w:spacing w:val="-1"/>
                <w:sz w:val="22"/>
                <w:szCs w:val="22"/>
                <w:lang w:val="es-ES" w:eastAsia="en-US"/>
              </w:rPr>
              <w:t>or</w:t>
            </w:r>
            <w:proofErr w:type="spellEnd"/>
            <w:proofErr w:type="gramEnd"/>
            <w:r>
              <w:rPr>
                <w:rFonts w:eastAsia="Palatino Linotype"/>
                <w:b/>
                <w:spacing w:val="-1"/>
                <w:sz w:val="22"/>
                <w:szCs w:val="22"/>
                <w:lang w:val="es-ES" w:eastAsia="en-US"/>
              </w:rPr>
              <w:t xml:space="preserve"> </w:t>
            </w:r>
            <w:proofErr w:type="spellStart"/>
            <w:r>
              <w:rPr>
                <w:rFonts w:eastAsia="Palatino Linotype"/>
                <w:b/>
                <w:spacing w:val="-1"/>
                <w:sz w:val="22"/>
                <w:szCs w:val="22"/>
                <w:lang w:val="es-ES" w:eastAsia="en-US"/>
              </w:rPr>
              <w:t>imported</w:t>
            </w:r>
            <w:proofErr w:type="spellEnd"/>
            <w:r>
              <w:rPr>
                <w:rFonts w:eastAsia="Palatino Linotype"/>
                <w:b/>
                <w:spacing w:val="-1"/>
                <w:sz w:val="22"/>
                <w:szCs w:val="22"/>
                <w:lang w:val="es-ES" w:eastAsia="en-US"/>
              </w:rPr>
              <w:t xml:space="preserve"> </w:t>
            </w:r>
            <w:proofErr w:type="spellStart"/>
            <w:r>
              <w:rPr>
                <w:rFonts w:eastAsia="Palatino Linotype"/>
                <w:b/>
                <w:spacing w:val="-1"/>
                <w:sz w:val="22"/>
                <w:szCs w:val="22"/>
                <w:lang w:val="es-ES" w:eastAsia="en-US"/>
              </w:rPr>
              <w:t>goods</w:t>
            </w:r>
            <w:proofErr w:type="spellEnd"/>
            <w:r>
              <w:rPr>
                <w:rFonts w:eastAsia="Palatino Linotype"/>
                <w:b/>
                <w:spacing w:val="-1"/>
                <w:sz w:val="22"/>
                <w:szCs w:val="22"/>
                <w:lang w:val="es-ES" w:eastAsia="en-US"/>
              </w:rPr>
              <w:t xml:space="preserve">), </w:t>
            </w:r>
            <w:proofErr w:type="spellStart"/>
            <w:r>
              <w:rPr>
                <w:rFonts w:eastAsia="Palatino Linotype"/>
                <w:b/>
                <w:spacing w:val="-1"/>
                <w:sz w:val="22"/>
                <w:szCs w:val="22"/>
                <w:lang w:val="es-ES" w:eastAsia="en-US"/>
              </w:rPr>
              <w:t>quoted</w:t>
            </w:r>
            <w:proofErr w:type="spellEnd"/>
            <w:r>
              <w:rPr>
                <w:rFonts w:eastAsia="Palatino Linotype"/>
                <w:b/>
                <w:spacing w:val="-1"/>
                <w:sz w:val="22"/>
                <w:szCs w:val="22"/>
                <w:lang w:val="es-ES" w:eastAsia="en-US"/>
              </w:rPr>
              <w:t xml:space="preserve"> in </w:t>
            </w:r>
            <w:proofErr w:type="spellStart"/>
            <w:r>
              <w:rPr>
                <w:rFonts w:eastAsia="Palatino Linotype"/>
                <w:b/>
                <w:spacing w:val="-1"/>
                <w:sz w:val="22"/>
                <w:szCs w:val="22"/>
                <w:lang w:val="es-ES" w:eastAsia="en-US"/>
              </w:rPr>
              <w:t>national</w:t>
            </w:r>
            <w:proofErr w:type="spellEnd"/>
            <w:r>
              <w:rPr>
                <w:rFonts w:eastAsia="Palatino Linotype"/>
                <w:b/>
                <w:spacing w:val="-1"/>
                <w:sz w:val="22"/>
                <w:szCs w:val="22"/>
                <w:lang w:val="es-ES" w:eastAsia="en-US"/>
              </w:rPr>
              <w:t xml:space="preserve"> </w:t>
            </w:r>
            <w:proofErr w:type="spellStart"/>
            <w:r>
              <w:rPr>
                <w:rFonts w:eastAsia="Palatino Linotype"/>
                <w:b/>
                <w:spacing w:val="-1"/>
                <w:sz w:val="22"/>
                <w:szCs w:val="22"/>
                <w:lang w:val="es-ES" w:eastAsia="en-US"/>
              </w:rPr>
              <w:t>currency</w:t>
            </w:r>
            <w:proofErr w:type="spellEnd"/>
            <w:r>
              <w:rPr>
                <w:rFonts w:eastAsia="Palatino Linotype"/>
                <w:b/>
                <w:spacing w:val="-1"/>
                <w:sz w:val="22"/>
                <w:szCs w:val="22"/>
                <w:lang w:val="es-ES" w:eastAsia="en-US"/>
              </w:rPr>
              <w:t xml:space="preserve"> (</w:t>
            </w:r>
            <w:proofErr w:type="spellStart"/>
            <w:r>
              <w:rPr>
                <w:rFonts w:eastAsia="Palatino Linotype"/>
                <w:b/>
                <w:spacing w:val="-1"/>
                <w:sz w:val="22"/>
                <w:szCs w:val="22"/>
                <w:lang w:val="es-ES" w:eastAsia="en-US"/>
              </w:rPr>
              <w:t>Uruguayan</w:t>
            </w:r>
            <w:proofErr w:type="spellEnd"/>
            <w:r>
              <w:rPr>
                <w:rFonts w:eastAsia="Palatino Linotype"/>
                <w:b/>
                <w:spacing w:val="-1"/>
                <w:sz w:val="22"/>
                <w:szCs w:val="22"/>
                <w:lang w:val="es-ES" w:eastAsia="en-US"/>
              </w:rPr>
              <w:t xml:space="preserve"> pesos) </w:t>
            </w:r>
            <w:proofErr w:type="spellStart"/>
            <w:r>
              <w:rPr>
                <w:rFonts w:eastAsia="Palatino Linotype"/>
                <w:b/>
                <w:spacing w:val="-1"/>
                <w:sz w:val="22"/>
                <w:szCs w:val="22"/>
                <w:lang w:val="es-ES" w:eastAsia="en-US"/>
              </w:rPr>
              <w:t>of</w:t>
            </w:r>
            <w:proofErr w:type="spellEnd"/>
            <w:r>
              <w:rPr>
                <w:rFonts w:eastAsia="Palatino Linotype"/>
                <w:b/>
                <w:spacing w:val="-1"/>
                <w:sz w:val="22"/>
                <w:szCs w:val="22"/>
                <w:lang w:val="es-ES" w:eastAsia="en-US"/>
              </w:rPr>
              <w:t xml:space="preserve"> </w:t>
            </w:r>
            <w:proofErr w:type="spellStart"/>
            <w:r>
              <w:rPr>
                <w:rFonts w:eastAsia="Palatino Linotype"/>
                <w:b/>
                <w:spacing w:val="-1"/>
                <w:sz w:val="22"/>
                <w:szCs w:val="22"/>
                <w:lang w:val="es-ES" w:eastAsia="en-US"/>
              </w:rPr>
              <w:t>Item</w:t>
            </w:r>
            <w:proofErr w:type="spellEnd"/>
            <w:r>
              <w:rPr>
                <w:rFonts w:eastAsia="Palatino Linotype"/>
                <w:b/>
                <w:spacing w:val="-1"/>
                <w:sz w:val="22"/>
                <w:szCs w:val="22"/>
                <w:lang w:val="es-ES" w:eastAsia="en-US"/>
              </w:rPr>
              <w:t xml:space="preserve"> 1</w:t>
            </w:r>
          </w:p>
          <w:p w14:paraId="11A66489" w14:textId="77777777" w:rsidR="00E255F4" w:rsidRDefault="00000000">
            <w:pPr>
              <w:pStyle w:val="Prrafodelista"/>
              <w:spacing w:after="240"/>
              <w:ind w:left="0"/>
              <w:jc w:val="both"/>
            </w:pPr>
            <w:r>
              <w:rPr>
                <w:rFonts w:eastAsia="Palatino Linotype"/>
                <w:spacing w:val="-1"/>
                <w:sz w:val="22"/>
                <w:szCs w:val="22"/>
                <w:lang w:val="es-ES" w:eastAsia="en-US"/>
              </w:rPr>
              <w:t xml:space="preserve">The </w:t>
            </w:r>
            <w:proofErr w:type="spellStart"/>
            <w:r>
              <w:rPr>
                <w:rFonts w:eastAsia="Palatino Linotype"/>
                <w:spacing w:val="-1"/>
                <w:sz w:val="22"/>
                <w:szCs w:val="22"/>
                <w:lang w:val="es-ES" w:eastAsia="en-US"/>
              </w:rPr>
              <w:t>payment</w:t>
            </w:r>
            <w:proofErr w:type="spellEnd"/>
            <w:r>
              <w:rPr>
                <w:rFonts w:eastAsia="Palatino Linotype"/>
                <w:spacing w:val="-1"/>
                <w:sz w:val="22"/>
                <w:szCs w:val="22"/>
                <w:lang w:val="es-ES" w:eastAsia="en-US"/>
              </w:rPr>
              <w:t xml:space="preserve"> </w:t>
            </w:r>
            <w:proofErr w:type="spellStart"/>
            <w:r>
              <w:rPr>
                <w:rFonts w:eastAsia="Palatino Linotype"/>
                <w:spacing w:val="-1"/>
                <w:sz w:val="22"/>
                <w:szCs w:val="22"/>
                <w:lang w:val="es-ES" w:eastAsia="en-US"/>
              </w:rPr>
              <w:t>term</w:t>
            </w:r>
            <w:proofErr w:type="spellEnd"/>
            <w:r>
              <w:rPr>
                <w:rFonts w:eastAsia="Palatino Linotype"/>
                <w:spacing w:val="-1"/>
                <w:sz w:val="22"/>
                <w:szCs w:val="22"/>
                <w:lang w:val="es-ES" w:eastAsia="en-US"/>
              </w:rPr>
              <w:t xml:space="preserve"> </w:t>
            </w:r>
            <w:proofErr w:type="spellStart"/>
            <w:r>
              <w:rPr>
                <w:rFonts w:eastAsia="Palatino Linotype"/>
                <w:spacing w:val="-1"/>
                <w:sz w:val="22"/>
                <w:szCs w:val="22"/>
                <w:lang w:val="es-ES" w:eastAsia="en-US"/>
              </w:rPr>
              <w:t>is</w:t>
            </w:r>
            <w:proofErr w:type="spellEnd"/>
            <w:r>
              <w:rPr>
                <w:rFonts w:eastAsia="Palatino Linotype"/>
                <w:spacing w:val="-1"/>
                <w:sz w:val="22"/>
                <w:szCs w:val="22"/>
                <w:lang w:val="es-ES" w:eastAsia="en-US"/>
              </w:rPr>
              <w:t xml:space="preserve"> 60 (</w:t>
            </w:r>
            <w:proofErr w:type="spellStart"/>
            <w:r>
              <w:rPr>
                <w:rFonts w:eastAsia="Palatino Linotype"/>
                <w:spacing w:val="-1"/>
                <w:sz w:val="22"/>
                <w:szCs w:val="22"/>
                <w:lang w:val="es-ES" w:eastAsia="en-US"/>
              </w:rPr>
              <w:t>sixty</w:t>
            </w:r>
            <w:proofErr w:type="spellEnd"/>
            <w:r>
              <w:rPr>
                <w:rFonts w:eastAsia="Palatino Linotype"/>
                <w:spacing w:val="-1"/>
                <w:sz w:val="22"/>
                <w:szCs w:val="22"/>
                <w:lang w:val="es-ES" w:eastAsia="en-US"/>
              </w:rPr>
              <w:t xml:space="preserve">) </w:t>
            </w:r>
            <w:proofErr w:type="spellStart"/>
            <w:r>
              <w:rPr>
                <w:rFonts w:eastAsia="Palatino Linotype"/>
                <w:spacing w:val="-1"/>
                <w:sz w:val="22"/>
                <w:szCs w:val="22"/>
                <w:lang w:val="es-ES" w:eastAsia="en-US"/>
              </w:rPr>
              <w:t>days</w:t>
            </w:r>
            <w:proofErr w:type="spellEnd"/>
            <w:r>
              <w:rPr>
                <w:rFonts w:eastAsia="Palatino Linotype"/>
                <w:spacing w:val="-1"/>
                <w:sz w:val="22"/>
                <w:szCs w:val="22"/>
                <w:lang w:val="es-ES" w:eastAsia="en-US"/>
              </w:rPr>
              <w:t xml:space="preserve"> </w:t>
            </w:r>
            <w:proofErr w:type="spellStart"/>
            <w:r>
              <w:rPr>
                <w:rFonts w:eastAsia="Palatino Linotype"/>
                <w:spacing w:val="-1"/>
                <w:sz w:val="22"/>
                <w:szCs w:val="22"/>
                <w:lang w:val="es-ES" w:eastAsia="en-US"/>
              </w:rPr>
              <w:t>from</w:t>
            </w:r>
            <w:proofErr w:type="spellEnd"/>
            <w:r>
              <w:rPr>
                <w:rFonts w:eastAsia="Palatino Linotype"/>
                <w:spacing w:val="-1"/>
                <w:sz w:val="22"/>
                <w:szCs w:val="22"/>
                <w:lang w:val="es-ES" w:eastAsia="en-US"/>
              </w:rPr>
              <w:t xml:space="preserve"> </w:t>
            </w:r>
            <w:proofErr w:type="spellStart"/>
            <w:r>
              <w:rPr>
                <w:rFonts w:eastAsia="Palatino Linotype"/>
                <w:spacing w:val="-1"/>
                <w:sz w:val="22"/>
                <w:szCs w:val="22"/>
                <w:lang w:val="es-ES" w:eastAsia="en-US"/>
              </w:rPr>
              <w:t>the</w:t>
            </w:r>
            <w:proofErr w:type="spellEnd"/>
            <w:r>
              <w:rPr>
                <w:rFonts w:eastAsia="Palatino Linotype"/>
                <w:spacing w:val="-1"/>
                <w:sz w:val="22"/>
                <w:szCs w:val="22"/>
                <w:lang w:val="es-ES" w:eastAsia="en-US"/>
              </w:rPr>
              <w:t xml:space="preserve"> </w:t>
            </w:r>
            <w:proofErr w:type="spellStart"/>
            <w:r>
              <w:rPr>
                <w:rFonts w:eastAsia="Palatino Linotype"/>
                <w:spacing w:val="-1"/>
                <w:sz w:val="22"/>
                <w:szCs w:val="22"/>
                <w:lang w:val="es-ES" w:eastAsia="en-US"/>
              </w:rPr>
              <w:t>invoice</w:t>
            </w:r>
            <w:proofErr w:type="spellEnd"/>
            <w:r>
              <w:rPr>
                <w:rFonts w:eastAsia="Palatino Linotype"/>
                <w:spacing w:val="-1"/>
                <w:sz w:val="22"/>
                <w:szCs w:val="22"/>
                <w:lang w:val="es-ES" w:eastAsia="en-US"/>
              </w:rPr>
              <w:t xml:space="preserve"> date.</w:t>
            </w:r>
          </w:p>
          <w:p w14:paraId="376B9F48" w14:textId="77777777" w:rsidR="00E255F4" w:rsidRDefault="00000000">
            <w:pPr>
              <w:pStyle w:val="Prrafodelista"/>
              <w:numPr>
                <w:ilvl w:val="0"/>
                <w:numId w:val="75"/>
              </w:numPr>
              <w:spacing w:after="240"/>
              <w:jc w:val="both"/>
              <w:rPr>
                <w:rFonts w:eastAsia="Palatino Linotype"/>
                <w:b/>
                <w:spacing w:val="-1"/>
                <w:sz w:val="22"/>
                <w:szCs w:val="22"/>
                <w:lang w:val="es-ES"/>
              </w:rPr>
            </w:pPr>
            <w:r>
              <w:rPr>
                <w:b/>
                <w:sz w:val="22"/>
                <w:szCs w:val="22"/>
                <w:lang w:val="es-ES"/>
              </w:rPr>
              <w:t xml:space="preserve">Payment </w:t>
            </w:r>
            <w:proofErr w:type="spellStart"/>
            <w:r>
              <w:rPr>
                <w:b/>
                <w:sz w:val="22"/>
                <w:szCs w:val="22"/>
                <w:lang w:val="es-ES"/>
              </w:rPr>
              <w:t>for</w:t>
            </w:r>
            <w:proofErr w:type="spellEnd"/>
            <w:r>
              <w:rPr>
                <w:b/>
                <w:sz w:val="22"/>
                <w:szCs w:val="22"/>
                <w:lang w:val="es-ES"/>
              </w:rPr>
              <w:t xml:space="preserve"> </w:t>
            </w:r>
            <w:proofErr w:type="spellStart"/>
            <w:r>
              <w:rPr>
                <w:b/>
                <w:sz w:val="22"/>
                <w:szCs w:val="22"/>
                <w:lang w:val="es-ES"/>
              </w:rPr>
              <w:t>goods</w:t>
            </w:r>
            <w:proofErr w:type="spellEnd"/>
            <w:r>
              <w:rPr>
                <w:b/>
                <w:sz w:val="22"/>
                <w:szCs w:val="22"/>
                <w:lang w:val="es-ES"/>
              </w:rPr>
              <w:t xml:space="preserve"> </w:t>
            </w:r>
            <w:proofErr w:type="spellStart"/>
            <w:r>
              <w:rPr>
                <w:b/>
                <w:sz w:val="22"/>
                <w:szCs w:val="22"/>
                <w:lang w:val="es-ES"/>
              </w:rPr>
              <w:t>to</w:t>
            </w:r>
            <w:proofErr w:type="spellEnd"/>
            <w:r>
              <w:rPr>
                <w:b/>
                <w:sz w:val="22"/>
                <w:szCs w:val="22"/>
                <w:lang w:val="es-ES"/>
              </w:rPr>
              <w:t xml:space="preserve"> be </w:t>
            </w:r>
            <w:proofErr w:type="spellStart"/>
            <w:r>
              <w:rPr>
                <w:b/>
                <w:sz w:val="22"/>
                <w:szCs w:val="22"/>
                <w:lang w:val="es-ES"/>
              </w:rPr>
              <w:t>imported</w:t>
            </w:r>
            <w:proofErr w:type="spellEnd"/>
            <w:r>
              <w:rPr>
                <w:b/>
                <w:sz w:val="22"/>
                <w:szCs w:val="22"/>
                <w:lang w:val="es-ES"/>
              </w:rPr>
              <w:t xml:space="preserve"> </w:t>
            </w:r>
            <w:proofErr w:type="spellStart"/>
            <w:r>
              <w:rPr>
                <w:b/>
                <w:sz w:val="22"/>
                <w:szCs w:val="22"/>
                <w:lang w:val="es-ES"/>
              </w:rPr>
              <w:t>by</w:t>
            </w:r>
            <w:proofErr w:type="spellEnd"/>
            <w:r>
              <w:rPr>
                <w:b/>
                <w:sz w:val="22"/>
                <w:szCs w:val="22"/>
                <w:lang w:val="es-ES"/>
              </w:rPr>
              <w:t xml:space="preserve"> OSE </w:t>
            </w:r>
            <w:proofErr w:type="spellStart"/>
            <w:r>
              <w:rPr>
                <w:b/>
                <w:sz w:val="22"/>
                <w:szCs w:val="22"/>
                <w:lang w:val="es-ES"/>
              </w:rPr>
              <w:t>under</w:t>
            </w:r>
            <w:proofErr w:type="spellEnd"/>
            <w:r>
              <w:rPr>
                <w:b/>
                <w:sz w:val="22"/>
                <w:szCs w:val="22"/>
                <w:lang w:val="es-ES"/>
              </w:rPr>
              <w:t xml:space="preserve"> </w:t>
            </w:r>
            <w:proofErr w:type="spellStart"/>
            <w:r>
              <w:rPr>
                <w:b/>
                <w:sz w:val="22"/>
                <w:szCs w:val="22"/>
                <w:lang w:val="es-ES"/>
              </w:rPr>
              <w:t>item</w:t>
            </w:r>
            <w:proofErr w:type="spellEnd"/>
            <w:r>
              <w:rPr>
                <w:b/>
                <w:sz w:val="22"/>
                <w:szCs w:val="22"/>
                <w:lang w:val="es-ES"/>
              </w:rPr>
              <w:t xml:space="preserve"> 1</w:t>
            </w:r>
          </w:p>
          <w:p w14:paraId="36CA59E2" w14:textId="77777777" w:rsidR="00E255F4" w:rsidRDefault="00000000">
            <w:pPr>
              <w:tabs>
                <w:tab w:val="left" w:pos="0"/>
              </w:tabs>
              <w:autoSpaceDE w:val="0"/>
              <w:spacing w:line="240" w:lineRule="atLeast"/>
              <w:jc w:val="both"/>
              <w:textAlignment w:val="baseline"/>
              <w:rPr>
                <w:sz w:val="22"/>
                <w:szCs w:val="22"/>
              </w:rPr>
            </w:pPr>
            <w:r>
              <w:rPr>
                <w:sz w:val="22"/>
                <w:szCs w:val="22"/>
              </w:rPr>
              <w:t xml:space="preserve">Payment </w:t>
            </w:r>
            <w:proofErr w:type="spellStart"/>
            <w:r>
              <w:rPr>
                <w:sz w:val="22"/>
                <w:szCs w:val="22"/>
              </w:rPr>
              <w:t>for</w:t>
            </w:r>
            <w:proofErr w:type="spellEnd"/>
            <w:r>
              <w:rPr>
                <w:sz w:val="22"/>
                <w:szCs w:val="22"/>
              </w:rPr>
              <w:t xml:space="preserve"> </w:t>
            </w:r>
            <w:proofErr w:type="spellStart"/>
            <w:r>
              <w:rPr>
                <w:sz w:val="22"/>
                <w:szCs w:val="22"/>
              </w:rPr>
              <w:t>the</w:t>
            </w:r>
            <w:proofErr w:type="spellEnd"/>
            <w:r>
              <w:rPr>
                <w:sz w:val="22"/>
                <w:szCs w:val="22"/>
              </w:rPr>
              <w:t xml:space="preserve"> </w:t>
            </w:r>
            <w:proofErr w:type="spellStart"/>
            <w:r>
              <w:rPr>
                <w:sz w:val="22"/>
                <w:szCs w:val="22"/>
              </w:rPr>
              <w:t>goods</w:t>
            </w:r>
            <w:proofErr w:type="spellEnd"/>
            <w:r>
              <w:rPr>
                <w:sz w:val="22"/>
                <w:szCs w:val="22"/>
              </w:rPr>
              <w:t xml:space="preserve"> </w:t>
            </w:r>
            <w:proofErr w:type="spellStart"/>
            <w:r>
              <w:rPr>
                <w:sz w:val="22"/>
                <w:szCs w:val="22"/>
              </w:rPr>
              <w:t>to</w:t>
            </w:r>
            <w:proofErr w:type="spellEnd"/>
            <w:r>
              <w:rPr>
                <w:sz w:val="22"/>
                <w:szCs w:val="22"/>
              </w:rPr>
              <w:t xml:space="preserve"> be </w:t>
            </w:r>
            <w:proofErr w:type="spellStart"/>
            <w:r>
              <w:rPr>
                <w:sz w:val="22"/>
                <w:szCs w:val="22"/>
              </w:rPr>
              <w:t>imported</w:t>
            </w:r>
            <w:proofErr w:type="spellEnd"/>
            <w:r>
              <w:rPr>
                <w:sz w:val="22"/>
                <w:szCs w:val="22"/>
              </w:rPr>
              <w:t xml:space="preserve"> </w:t>
            </w:r>
            <w:proofErr w:type="spellStart"/>
            <w:r>
              <w:rPr>
                <w:sz w:val="22"/>
                <w:szCs w:val="22"/>
              </w:rPr>
              <w:t>by</w:t>
            </w:r>
            <w:proofErr w:type="spellEnd"/>
            <w:r>
              <w:rPr>
                <w:sz w:val="22"/>
                <w:szCs w:val="22"/>
              </w:rPr>
              <w:t xml:space="preserve"> OSE </w:t>
            </w:r>
            <w:proofErr w:type="spellStart"/>
            <w:r>
              <w:rPr>
                <w:sz w:val="22"/>
                <w:szCs w:val="22"/>
              </w:rPr>
              <w:t>will</w:t>
            </w:r>
            <w:proofErr w:type="spellEnd"/>
            <w:r>
              <w:rPr>
                <w:sz w:val="22"/>
                <w:szCs w:val="22"/>
              </w:rPr>
              <w:t xml:space="preserve"> be </w:t>
            </w:r>
            <w:proofErr w:type="spellStart"/>
            <w:r>
              <w:rPr>
                <w:sz w:val="22"/>
                <w:szCs w:val="22"/>
              </w:rPr>
              <w:t>made</w:t>
            </w:r>
            <w:proofErr w:type="spellEnd"/>
            <w:r>
              <w:rPr>
                <w:sz w:val="22"/>
                <w:szCs w:val="22"/>
              </w:rPr>
              <w:t xml:space="preserve"> in </w:t>
            </w:r>
            <w:proofErr w:type="spellStart"/>
            <w:r>
              <w:rPr>
                <w:sz w:val="22"/>
                <w:szCs w:val="22"/>
              </w:rPr>
              <w:t>the</w:t>
            </w:r>
            <w:proofErr w:type="spellEnd"/>
            <w:r>
              <w:rPr>
                <w:sz w:val="22"/>
                <w:szCs w:val="22"/>
              </w:rPr>
              <w:t xml:space="preserve"> </w:t>
            </w:r>
            <w:proofErr w:type="spellStart"/>
            <w:r>
              <w:rPr>
                <w:sz w:val="22"/>
                <w:szCs w:val="22"/>
              </w:rPr>
              <w:t>quoted</w:t>
            </w:r>
            <w:proofErr w:type="spellEnd"/>
            <w:r>
              <w:rPr>
                <w:sz w:val="22"/>
                <w:szCs w:val="22"/>
              </w:rPr>
              <w:t xml:space="preserve"> </w:t>
            </w:r>
            <w:proofErr w:type="spellStart"/>
            <w:r>
              <w:rPr>
                <w:sz w:val="22"/>
                <w:szCs w:val="22"/>
              </w:rPr>
              <w:t>currency</w:t>
            </w:r>
            <w:proofErr w:type="spellEnd"/>
            <w:r>
              <w:rPr>
                <w:sz w:val="22"/>
                <w:szCs w:val="22"/>
              </w:rPr>
              <w:t xml:space="preserve"> as </w:t>
            </w:r>
            <w:proofErr w:type="spellStart"/>
            <w:r>
              <w:rPr>
                <w:sz w:val="22"/>
                <w:szCs w:val="22"/>
              </w:rPr>
              <w:t>follows</w:t>
            </w:r>
            <w:proofErr w:type="spellEnd"/>
            <w:r>
              <w:rPr>
                <w:sz w:val="22"/>
                <w:szCs w:val="22"/>
              </w:rPr>
              <w:t>:</w:t>
            </w:r>
          </w:p>
          <w:p w14:paraId="0BE70CF2" w14:textId="77777777" w:rsidR="00E255F4" w:rsidRDefault="00E255F4">
            <w:pPr>
              <w:tabs>
                <w:tab w:val="left" w:pos="426"/>
              </w:tabs>
              <w:autoSpaceDE w:val="0"/>
              <w:spacing w:line="240" w:lineRule="atLeast"/>
              <w:jc w:val="both"/>
              <w:rPr>
                <w:sz w:val="22"/>
                <w:szCs w:val="22"/>
              </w:rPr>
            </w:pPr>
          </w:p>
          <w:p w14:paraId="39E84B39" w14:textId="77777777" w:rsidR="00E255F4" w:rsidRDefault="00000000">
            <w:pPr>
              <w:tabs>
                <w:tab w:val="left" w:pos="426"/>
              </w:tabs>
              <w:autoSpaceDE w:val="0"/>
              <w:spacing w:line="240" w:lineRule="atLeast"/>
              <w:jc w:val="both"/>
              <w:rPr>
                <w:sz w:val="22"/>
                <w:szCs w:val="22"/>
              </w:rPr>
            </w:pPr>
            <w:proofErr w:type="spellStart"/>
            <w:r>
              <w:rPr>
                <w:sz w:val="22"/>
                <w:szCs w:val="22"/>
              </w:rPr>
              <w:t>Against</w:t>
            </w:r>
            <w:proofErr w:type="spellEnd"/>
            <w:r>
              <w:rPr>
                <w:sz w:val="22"/>
                <w:szCs w:val="22"/>
              </w:rPr>
              <w:t xml:space="preserve"> Letter </w:t>
            </w:r>
            <w:proofErr w:type="spellStart"/>
            <w:r>
              <w:rPr>
                <w:sz w:val="22"/>
                <w:szCs w:val="22"/>
              </w:rPr>
              <w:t>of</w:t>
            </w:r>
            <w:proofErr w:type="spellEnd"/>
            <w:r>
              <w:rPr>
                <w:sz w:val="22"/>
                <w:szCs w:val="22"/>
              </w:rPr>
              <w:t xml:space="preserve"> Credit as </w:t>
            </w:r>
            <w:proofErr w:type="spellStart"/>
            <w:r>
              <w:rPr>
                <w:sz w:val="22"/>
                <w:szCs w:val="22"/>
              </w:rPr>
              <w:t>detailed</w:t>
            </w:r>
            <w:proofErr w:type="spellEnd"/>
            <w:r>
              <w:rPr>
                <w:sz w:val="22"/>
                <w:szCs w:val="22"/>
              </w:rPr>
              <w:t>:</w:t>
            </w:r>
          </w:p>
          <w:p w14:paraId="1F9AA319" w14:textId="77777777" w:rsidR="00E255F4" w:rsidRDefault="00E255F4">
            <w:pPr>
              <w:tabs>
                <w:tab w:val="left" w:pos="426"/>
              </w:tabs>
              <w:autoSpaceDE w:val="0"/>
              <w:spacing w:line="240" w:lineRule="atLeast"/>
              <w:jc w:val="both"/>
              <w:rPr>
                <w:sz w:val="22"/>
                <w:szCs w:val="22"/>
              </w:rPr>
            </w:pPr>
          </w:p>
          <w:p w14:paraId="0A6FC450" w14:textId="77777777" w:rsidR="00E255F4" w:rsidRDefault="00000000">
            <w:pPr>
              <w:numPr>
                <w:ilvl w:val="2"/>
                <w:numId w:val="74"/>
              </w:numPr>
              <w:tabs>
                <w:tab w:val="left" w:pos="709"/>
              </w:tabs>
              <w:autoSpaceDE w:val="0"/>
              <w:spacing w:line="240" w:lineRule="atLeast"/>
              <w:ind w:left="709" w:hanging="283"/>
              <w:jc w:val="both"/>
              <w:textAlignment w:val="baseline"/>
            </w:pPr>
            <w:proofErr w:type="spellStart"/>
            <w:r>
              <w:rPr>
                <w:sz w:val="22"/>
                <w:szCs w:val="22"/>
              </w:rPr>
              <w:t>Ninety</w:t>
            </w:r>
            <w:proofErr w:type="spellEnd"/>
            <w:r>
              <w:rPr>
                <w:sz w:val="22"/>
                <w:szCs w:val="22"/>
              </w:rPr>
              <w:t xml:space="preserve"> </w:t>
            </w:r>
            <w:proofErr w:type="spellStart"/>
            <w:r>
              <w:rPr>
                <w:sz w:val="22"/>
                <w:szCs w:val="22"/>
              </w:rPr>
              <w:t>percent</w:t>
            </w:r>
            <w:proofErr w:type="spellEnd"/>
            <w:r>
              <w:rPr>
                <w:sz w:val="22"/>
                <w:szCs w:val="22"/>
              </w:rPr>
              <w:t xml:space="preserve"> (90%) </w:t>
            </w:r>
            <w:proofErr w:type="spellStart"/>
            <w:r>
              <w:rPr>
                <w:sz w:val="22"/>
                <w:szCs w:val="22"/>
              </w:rPr>
              <w:t>of</w:t>
            </w:r>
            <w:proofErr w:type="spellEnd"/>
            <w:r>
              <w:rPr>
                <w:sz w:val="22"/>
                <w:szCs w:val="22"/>
              </w:rPr>
              <w:t xml:space="preserve"> </w:t>
            </w:r>
            <w:proofErr w:type="spellStart"/>
            <w:r>
              <w:rPr>
                <w:sz w:val="22"/>
                <w:szCs w:val="22"/>
              </w:rPr>
              <w:t>the</w:t>
            </w:r>
            <w:proofErr w:type="spellEnd"/>
            <w:r>
              <w:rPr>
                <w:sz w:val="22"/>
                <w:szCs w:val="22"/>
              </w:rPr>
              <w:t xml:space="preserve"> </w:t>
            </w:r>
            <w:proofErr w:type="spellStart"/>
            <w:r>
              <w:rPr>
                <w:sz w:val="22"/>
                <w:szCs w:val="22"/>
              </w:rPr>
              <w:t>amount</w:t>
            </w:r>
            <w:proofErr w:type="spellEnd"/>
            <w:r>
              <w:rPr>
                <w:sz w:val="22"/>
                <w:szCs w:val="22"/>
              </w:rPr>
              <w:t xml:space="preserve"> </w:t>
            </w:r>
            <w:proofErr w:type="spellStart"/>
            <w:r>
              <w:rPr>
                <w:sz w:val="22"/>
                <w:szCs w:val="22"/>
              </w:rPr>
              <w:t>according</w:t>
            </w:r>
            <w:proofErr w:type="spellEnd"/>
            <w:r>
              <w:rPr>
                <w:sz w:val="22"/>
                <w:szCs w:val="22"/>
              </w:rPr>
              <w:t xml:space="preserve"> </w:t>
            </w:r>
            <w:proofErr w:type="spellStart"/>
            <w:r>
              <w:rPr>
                <w:sz w:val="22"/>
                <w:szCs w:val="22"/>
              </w:rPr>
              <w:t>to</w:t>
            </w:r>
            <w:proofErr w:type="spellEnd"/>
            <w:r>
              <w:rPr>
                <w:sz w:val="22"/>
                <w:szCs w:val="22"/>
              </w:rPr>
              <w:t xml:space="preserve"> </w:t>
            </w:r>
            <w:proofErr w:type="spellStart"/>
            <w:r>
              <w:rPr>
                <w:sz w:val="22"/>
                <w:szCs w:val="22"/>
              </w:rPr>
              <w:t>the</w:t>
            </w:r>
            <w:proofErr w:type="spellEnd"/>
            <w:r>
              <w:rPr>
                <w:sz w:val="22"/>
                <w:szCs w:val="22"/>
              </w:rPr>
              <w:t xml:space="preserve"> </w:t>
            </w:r>
            <w:proofErr w:type="spellStart"/>
            <w:r>
              <w:rPr>
                <w:sz w:val="22"/>
                <w:szCs w:val="22"/>
              </w:rPr>
              <w:t>awarded</w:t>
            </w:r>
            <w:proofErr w:type="spellEnd"/>
            <w:r>
              <w:rPr>
                <w:sz w:val="22"/>
                <w:szCs w:val="22"/>
              </w:rPr>
              <w:t xml:space="preserve"> INCOTERM </w:t>
            </w:r>
            <w:proofErr w:type="spellStart"/>
            <w:r>
              <w:rPr>
                <w:sz w:val="22"/>
                <w:szCs w:val="22"/>
              </w:rPr>
              <w:t>will</w:t>
            </w:r>
            <w:proofErr w:type="spellEnd"/>
            <w:r>
              <w:rPr>
                <w:sz w:val="22"/>
                <w:szCs w:val="22"/>
              </w:rPr>
              <w:t xml:space="preserve"> be </w:t>
            </w:r>
            <w:proofErr w:type="spellStart"/>
            <w:r>
              <w:rPr>
                <w:sz w:val="22"/>
                <w:szCs w:val="22"/>
              </w:rPr>
              <w:t>paid</w:t>
            </w:r>
            <w:proofErr w:type="spellEnd"/>
            <w:r>
              <w:rPr>
                <w:sz w:val="22"/>
                <w:szCs w:val="22"/>
              </w:rPr>
              <w:t xml:space="preserve"> </w:t>
            </w:r>
            <w:proofErr w:type="spellStart"/>
            <w:r>
              <w:rPr>
                <w:sz w:val="22"/>
                <w:szCs w:val="22"/>
              </w:rPr>
              <w:t>against</w:t>
            </w:r>
            <w:proofErr w:type="spellEnd"/>
            <w:r>
              <w:rPr>
                <w:sz w:val="22"/>
                <w:szCs w:val="22"/>
              </w:rPr>
              <w:t xml:space="preserve"> </w:t>
            </w:r>
            <w:proofErr w:type="spellStart"/>
            <w:r>
              <w:rPr>
                <w:sz w:val="22"/>
                <w:szCs w:val="22"/>
              </w:rPr>
              <w:t>presentation</w:t>
            </w:r>
            <w:proofErr w:type="spellEnd"/>
            <w:r>
              <w:rPr>
                <w:sz w:val="22"/>
                <w:szCs w:val="22"/>
              </w:rPr>
              <w:t xml:space="preserve"> </w:t>
            </w:r>
            <w:proofErr w:type="spellStart"/>
            <w:r>
              <w:rPr>
                <w:sz w:val="22"/>
                <w:szCs w:val="22"/>
              </w:rPr>
              <w:t>of</w:t>
            </w:r>
            <w:proofErr w:type="spellEnd"/>
            <w:r>
              <w:rPr>
                <w:sz w:val="22"/>
                <w:szCs w:val="22"/>
              </w:rPr>
              <w:t xml:space="preserve"> </w:t>
            </w:r>
            <w:proofErr w:type="spellStart"/>
            <w:r>
              <w:rPr>
                <w:sz w:val="22"/>
                <w:szCs w:val="22"/>
              </w:rPr>
              <w:t>the</w:t>
            </w:r>
            <w:proofErr w:type="spellEnd"/>
            <w:r>
              <w:rPr>
                <w:sz w:val="22"/>
                <w:szCs w:val="22"/>
              </w:rPr>
              <w:t xml:space="preserve"> </w:t>
            </w:r>
            <w:proofErr w:type="spellStart"/>
            <w:r>
              <w:rPr>
                <w:sz w:val="22"/>
                <w:szCs w:val="22"/>
              </w:rPr>
              <w:t>documentation</w:t>
            </w:r>
            <w:proofErr w:type="spellEnd"/>
            <w:r>
              <w:rPr>
                <w:sz w:val="22"/>
                <w:szCs w:val="22"/>
              </w:rPr>
              <w:t xml:space="preserve"> in </w:t>
            </w:r>
            <w:proofErr w:type="spellStart"/>
            <w:r>
              <w:rPr>
                <w:sz w:val="22"/>
                <w:szCs w:val="22"/>
              </w:rPr>
              <w:t>order</w:t>
            </w:r>
            <w:proofErr w:type="spellEnd"/>
            <w:r>
              <w:rPr>
                <w:sz w:val="22"/>
                <w:szCs w:val="22"/>
              </w:rPr>
              <w:t xml:space="preserve"> </w:t>
            </w:r>
            <w:proofErr w:type="spellStart"/>
            <w:r>
              <w:rPr>
                <w:sz w:val="22"/>
                <w:szCs w:val="22"/>
              </w:rPr>
              <w:t>for</w:t>
            </w:r>
            <w:proofErr w:type="spellEnd"/>
            <w:r>
              <w:rPr>
                <w:sz w:val="22"/>
                <w:szCs w:val="22"/>
              </w:rPr>
              <w:t xml:space="preserve"> </w:t>
            </w:r>
            <w:proofErr w:type="spellStart"/>
            <w:r>
              <w:rPr>
                <w:sz w:val="22"/>
                <w:szCs w:val="22"/>
              </w:rPr>
              <w:t>dispatch</w:t>
            </w:r>
            <w:proofErr w:type="spellEnd"/>
            <w:r>
              <w:rPr>
                <w:sz w:val="22"/>
                <w:szCs w:val="22"/>
              </w:rPr>
              <w:t>.</w:t>
            </w:r>
          </w:p>
          <w:p w14:paraId="7CCAD673" w14:textId="77777777" w:rsidR="00E255F4" w:rsidRDefault="00E255F4">
            <w:pPr>
              <w:tabs>
                <w:tab w:val="left" w:pos="709"/>
              </w:tabs>
              <w:autoSpaceDE w:val="0"/>
              <w:spacing w:line="240" w:lineRule="atLeast"/>
              <w:ind w:left="709" w:hanging="283"/>
              <w:jc w:val="both"/>
              <w:rPr>
                <w:sz w:val="22"/>
                <w:szCs w:val="22"/>
              </w:rPr>
            </w:pPr>
          </w:p>
          <w:p w14:paraId="0C91EC1F" w14:textId="77777777" w:rsidR="00E255F4" w:rsidRDefault="00000000">
            <w:pPr>
              <w:numPr>
                <w:ilvl w:val="2"/>
                <w:numId w:val="74"/>
              </w:numPr>
              <w:tabs>
                <w:tab w:val="left" w:pos="709"/>
              </w:tabs>
              <w:autoSpaceDE w:val="0"/>
              <w:spacing w:line="240" w:lineRule="atLeast"/>
              <w:ind w:left="709" w:hanging="283"/>
              <w:jc w:val="both"/>
              <w:textAlignment w:val="baseline"/>
              <w:rPr>
                <w:strike/>
                <w:sz w:val="22"/>
                <w:szCs w:val="22"/>
              </w:rPr>
            </w:pPr>
            <w:r>
              <w:rPr>
                <w:sz w:val="22"/>
                <w:szCs w:val="22"/>
              </w:rPr>
              <w:t xml:space="preserve">Ten </w:t>
            </w:r>
            <w:proofErr w:type="spellStart"/>
            <w:r>
              <w:rPr>
                <w:sz w:val="22"/>
                <w:szCs w:val="22"/>
              </w:rPr>
              <w:t>percent</w:t>
            </w:r>
            <w:proofErr w:type="spellEnd"/>
            <w:r>
              <w:rPr>
                <w:sz w:val="22"/>
                <w:szCs w:val="22"/>
              </w:rPr>
              <w:t xml:space="preserve"> (10%) </w:t>
            </w:r>
            <w:proofErr w:type="spellStart"/>
            <w:r>
              <w:rPr>
                <w:sz w:val="22"/>
                <w:szCs w:val="22"/>
              </w:rPr>
              <w:t>of</w:t>
            </w:r>
            <w:proofErr w:type="spellEnd"/>
            <w:r>
              <w:rPr>
                <w:sz w:val="22"/>
                <w:szCs w:val="22"/>
              </w:rPr>
              <w:t xml:space="preserve"> </w:t>
            </w:r>
            <w:proofErr w:type="spellStart"/>
            <w:r>
              <w:rPr>
                <w:sz w:val="22"/>
                <w:szCs w:val="22"/>
              </w:rPr>
              <w:t>the</w:t>
            </w:r>
            <w:proofErr w:type="spellEnd"/>
            <w:r>
              <w:rPr>
                <w:sz w:val="22"/>
                <w:szCs w:val="22"/>
              </w:rPr>
              <w:t xml:space="preserve"> </w:t>
            </w:r>
            <w:proofErr w:type="spellStart"/>
            <w:r>
              <w:rPr>
                <w:sz w:val="22"/>
                <w:szCs w:val="22"/>
              </w:rPr>
              <w:t>amount</w:t>
            </w:r>
            <w:proofErr w:type="spellEnd"/>
            <w:r>
              <w:rPr>
                <w:sz w:val="22"/>
                <w:szCs w:val="22"/>
              </w:rPr>
              <w:t xml:space="preserve"> </w:t>
            </w:r>
            <w:proofErr w:type="spellStart"/>
            <w:r>
              <w:rPr>
                <w:sz w:val="22"/>
                <w:szCs w:val="22"/>
              </w:rPr>
              <w:t>according</w:t>
            </w:r>
            <w:proofErr w:type="spellEnd"/>
            <w:r>
              <w:rPr>
                <w:sz w:val="22"/>
                <w:szCs w:val="22"/>
              </w:rPr>
              <w:t xml:space="preserve"> </w:t>
            </w:r>
            <w:proofErr w:type="spellStart"/>
            <w:r>
              <w:rPr>
                <w:sz w:val="22"/>
                <w:szCs w:val="22"/>
              </w:rPr>
              <w:t>to</w:t>
            </w:r>
            <w:proofErr w:type="spellEnd"/>
            <w:r>
              <w:rPr>
                <w:sz w:val="22"/>
                <w:szCs w:val="22"/>
              </w:rPr>
              <w:t xml:space="preserve"> </w:t>
            </w:r>
            <w:proofErr w:type="spellStart"/>
            <w:r>
              <w:rPr>
                <w:sz w:val="22"/>
                <w:szCs w:val="22"/>
              </w:rPr>
              <w:t>the</w:t>
            </w:r>
            <w:proofErr w:type="spellEnd"/>
            <w:r>
              <w:rPr>
                <w:sz w:val="22"/>
                <w:szCs w:val="22"/>
              </w:rPr>
              <w:t xml:space="preserve"> </w:t>
            </w:r>
            <w:proofErr w:type="spellStart"/>
            <w:r>
              <w:rPr>
                <w:sz w:val="22"/>
                <w:szCs w:val="22"/>
              </w:rPr>
              <w:t>awarded</w:t>
            </w:r>
            <w:proofErr w:type="spellEnd"/>
            <w:r>
              <w:rPr>
                <w:sz w:val="22"/>
                <w:szCs w:val="22"/>
              </w:rPr>
              <w:t xml:space="preserve"> INCOTERM </w:t>
            </w:r>
            <w:proofErr w:type="spellStart"/>
            <w:r>
              <w:rPr>
                <w:sz w:val="22"/>
                <w:szCs w:val="22"/>
              </w:rPr>
              <w:t>will</w:t>
            </w:r>
            <w:proofErr w:type="spellEnd"/>
            <w:r>
              <w:rPr>
                <w:sz w:val="22"/>
                <w:szCs w:val="22"/>
              </w:rPr>
              <w:t xml:space="preserve"> be </w:t>
            </w:r>
            <w:proofErr w:type="spellStart"/>
            <w:r>
              <w:rPr>
                <w:sz w:val="22"/>
                <w:szCs w:val="22"/>
              </w:rPr>
              <w:t>paid</w:t>
            </w:r>
            <w:proofErr w:type="spellEnd"/>
            <w:r>
              <w:rPr>
                <w:sz w:val="22"/>
                <w:szCs w:val="22"/>
              </w:rPr>
              <w:t xml:space="preserve"> after </w:t>
            </w:r>
            <w:proofErr w:type="spellStart"/>
            <w:r>
              <w:rPr>
                <w:sz w:val="22"/>
                <w:szCs w:val="22"/>
              </w:rPr>
              <w:t>receipt</w:t>
            </w:r>
            <w:proofErr w:type="spellEnd"/>
            <w:r>
              <w:rPr>
                <w:sz w:val="22"/>
                <w:szCs w:val="22"/>
              </w:rPr>
              <w:t xml:space="preserve"> and </w:t>
            </w:r>
            <w:proofErr w:type="spellStart"/>
            <w:r>
              <w:rPr>
                <w:sz w:val="22"/>
                <w:szCs w:val="22"/>
              </w:rPr>
              <w:t>acceptance</w:t>
            </w:r>
            <w:proofErr w:type="spellEnd"/>
            <w:r>
              <w:rPr>
                <w:sz w:val="22"/>
                <w:szCs w:val="22"/>
              </w:rPr>
              <w:t xml:space="preserve"> </w:t>
            </w:r>
            <w:proofErr w:type="spellStart"/>
            <w:r>
              <w:rPr>
                <w:sz w:val="22"/>
                <w:szCs w:val="22"/>
              </w:rPr>
              <w:t>of</w:t>
            </w:r>
            <w:proofErr w:type="spellEnd"/>
            <w:r>
              <w:rPr>
                <w:sz w:val="22"/>
                <w:szCs w:val="22"/>
              </w:rPr>
              <w:t xml:space="preserve"> </w:t>
            </w:r>
            <w:proofErr w:type="spellStart"/>
            <w:r>
              <w:rPr>
                <w:sz w:val="22"/>
                <w:szCs w:val="22"/>
              </w:rPr>
              <w:t>the</w:t>
            </w:r>
            <w:proofErr w:type="spellEnd"/>
            <w:r>
              <w:rPr>
                <w:sz w:val="22"/>
                <w:szCs w:val="22"/>
              </w:rPr>
              <w:t xml:space="preserve"> </w:t>
            </w:r>
            <w:proofErr w:type="spellStart"/>
            <w:r>
              <w:rPr>
                <w:sz w:val="22"/>
                <w:szCs w:val="22"/>
              </w:rPr>
              <w:t>goods</w:t>
            </w:r>
            <w:proofErr w:type="spellEnd"/>
            <w:r>
              <w:rPr>
                <w:sz w:val="22"/>
                <w:szCs w:val="22"/>
              </w:rPr>
              <w:t xml:space="preserve"> at </w:t>
            </w:r>
            <w:proofErr w:type="spellStart"/>
            <w:r>
              <w:rPr>
                <w:sz w:val="22"/>
                <w:szCs w:val="22"/>
              </w:rPr>
              <w:t>the</w:t>
            </w:r>
            <w:proofErr w:type="spellEnd"/>
            <w:r>
              <w:rPr>
                <w:sz w:val="22"/>
                <w:szCs w:val="22"/>
              </w:rPr>
              <w:t xml:space="preserve"> </w:t>
            </w:r>
            <w:proofErr w:type="spellStart"/>
            <w:r>
              <w:rPr>
                <w:sz w:val="22"/>
                <w:szCs w:val="22"/>
              </w:rPr>
              <w:t>delivery</w:t>
            </w:r>
            <w:proofErr w:type="spellEnd"/>
            <w:r>
              <w:rPr>
                <w:sz w:val="22"/>
                <w:szCs w:val="22"/>
              </w:rPr>
              <w:t xml:space="preserve"> </w:t>
            </w:r>
            <w:proofErr w:type="spellStart"/>
            <w:r>
              <w:rPr>
                <w:sz w:val="22"/>
                <w:szCs w:val="22"/>
              </w:rPr>
              <w:t>location</w:t>
            </w:r>
            <w:proofErr w:type="spellEnd"/>
            <w:r>
              <w:rPr>
                <w:sz w:val="22"/>
                <w:szCs w:val="22"/>
              </w:rPr>
              <w:t xml:space="preserve"> </w:t>
            </w:r>
            <w:proofErr w:type="spellStart"/>
            <w:r>
              <w:rPr>
                <w:sz w:val="22"/>
                <w:szCs w:val="22"/>
              </w:rPr>
              <w:t>stipulated</w:t>
            </w:r>
            <w:proofErr w:type="spellEnd"/>
            <w:r>
              <w:rPr>
                <w:sz w:val="22"/>
                <w:szCs w:val="22"/>
              </w:rPr>
              <w:t xml:space="preserve"> </w:t>
            </w:r>
            <w:proofErr w:type="spellStart"/>
            <w:r>
              <w:rPr>
                <w:sz w:val="22"/>
                <w:szCs w:val="22"/>
              </w:rPr>
              <w:t>for</w:t>
            </w:r>
            <w:proofErr w:type="spellEnd"/>
            <w:r>
              <w:rPr>
                <w:sz w:val="22"/>
                <w:szCs w:val="22"/>
              </w:rPr>
              <w:t xml:space="preserve"> </w:t>
            </w:r>
            <w:proofErr w:type="spellStart"/>
            <w:r>
              <w:rPr>
                <w:sz w:val="22"/>
                <w:szCs w:val="22"/>
              </w:rPr>
              <w:t>the</w:t>
            </w:r>
            <w:proofErr w:type="spellEnd"/>
            <w:r>
              <w:rPr>
                <w:sz w:val="22"/>
                <w:szCs w:val="22"/>
              </w:rPr>
              <w:t xml:space="preserve"> </w:t>
            </w:r>
            <w:proofErr w:type="spellStart"/>
            <w:r>
              <w:rPr>
                <w:sz w:val="22"/>
                <w:szCs w:val="22"/>
              </w:rPr>
              <w:t>market</w:t>
            </w:r>
            <w:proofErr w:type="spellEnd"/>
            <w:r>
              <w:rPr>
                <w:sz w:val="22"/>
                <w:szCs w:val="22"/>
              </w:rPr>
              <w:t xml:space="preserve">.   </w:t>
            </w:r>
          </w:p>
          <w:p w14:paraId="551C1BEE" w14:textId="77777777" w:rsidR="00E255F4" w:rsidRDefault="00E255F4">
            <w:pPr>
              <w:tabs>
                <w:tab w:val="left" w:pos="426"/>
              </w:tabs>
              <w:autoSpaceDE w:val="0"/>
              <w:spacing w:line="240" w:lineRule="atLeast"/>
              <w:jc w:val="both"/>
              <w:rPr>
                <w:strike/>
                <w:sz w:val="22"/>
                <w:szCs w:val="22"/>
              </w:rPr>
            </w:pPr>
          </w:p>
          <w:p w14:paraId="32685BEB" w14:textId="77777777" w:rsidR="00E255F4" w:rsidRDefault="00000000">
            <w:pPr>
              <w:tabs>
                <w:tab w:val="left" w:pos="0"/>
              </w:tabs>
              <w:spacing w:line="240" w:lineRule="auto"/>
              <w:jc w:val="both"/>
              <w:textAlignment w:val="baseline"/>
              <w:rPr>
                <w:b/>
                <w:sz w:val="22"/>
                <w:szCs w:val="22"/>
              </w:rPr>
            </w:pPr>
            <w:r>
              <w:rPr>
                <w:sz w:val="22"/>
                <w:szCs w:val="22"/>
              </w:rPr>
              <w:t xml:space="preserve">The </w:t>
            </w:r>
            <w:proofErr w:type="spellStart"/>
            <w:r>
              <w:rPr>
                <w:sz w:val="22"/>
                <w:szCs w:val="22"/>
              </w:rPr>
              <w:t>offer</w:t>
            </w:r>
            <w:proofErr w:type="spellEnd"/>
            <w:r>
              <w:rPr>
                <w:sz w:val="22"/>
                <w:szCs w:val="22"/>
              </w:rPr>
              <w:t xml:space="preserve"> </w:t>
            </w:r>
            <w:proofErr w:type="spellStart"/>
            <w:r>
              <w:rPr>
                <w:sz w:val="22"/>
                <w:szCs w:val="22"/>
              </w:rPr>
              <w:t>must</w:t>
            </w:r>
            <w:proofErr w:type="spellEnd"/>
            <w:r>
              <w:rPr>
                <w:sz w:val="22"/>
                <w:szCs w:val="22"/>
              </w:rPr>
              <w:t xml:space="preserve"> </w:t>
            </w:r>
            <w:proofErr w:type="spellStart"/>
            <w:r>
              <w:rPr>
                <w:sz w:val="22"/>
                <w:szCs w:val="22"/>
              </w:rPr>
              <w:t>include</w:t>
            </w:r>
            <w:proofErr w:type="spellEnd"/>
            <w:r>
              <w:rPr>
                <w:sz w:val="22"/>
                <w:szCs w:val="22"/>
              </w:rPr>
              <w:t xml:space="preserve">: </w:t>
            </w:r>
            <w:proofErr w:type="spellStart"/>
            <w:r>
              <w:rPr>
                <w:sz w:val="22"/>
                <w:szCs w:val="22"/>
              </w:rPr>
              <w:t>the</w:t>
            </w:r>
            <w:proofErr w:type="spellEnd"/>
            <w:r>
              <w:rPr>
                <w:sz w:val="22"/>
                <w:szCs w:val="22"/>
              </w:rPr>
              <w:t xml:space="preserve"> </w:t>
            </w:r>
            <w:proofErr w:type="spellStart"/>
            <w:r>
              <w:rPr>
                <w:sz w:val="22"/>
                <w:szCs w:val="22"/>
              </w:rPr>
              <w:t>name</w:t>
            </w:r>
            <w:proofErr w:type="spellEnd"/>
            <w:r>
              <w:rPr>
                <w:sz w:val="22"/>
                <w:szCs w:val="22"/>
              </w:rPr>
              <w:t xml:space="preserve"> </w:t>
            </w:r>
            <w:proofErr w:type="spellStart"/>
            <w:r>
              <w:rPr>
                <w:sz w:val="22"/>
                <w:szCs w:val="22"/>
              </w:rPr>
              <w:t>of</w:t>
            </w:r>
            <w:proofErr w:type="spellEnd"/>
            <w:r>
              <w:rPr>
                <w:sz w:val="22"/>
                <w:szCs w:val="22"/>
              </w:rPr>
              <w:t xml:space="preserve"> </w:t>
            </w:r>
            <w:proofErr w:type="spellStart"/>
            <w:r>
              <w:rPr>
                <w:sz w:val="22"/>
                <w:szCs w:val="22"/>
              </w:rPr>
              <w:t>the</w:t>
            </w:r>
            <w:proofErr w:type="spellEnd"/>
            <w:r>
              <w:rPr>
                <w:sz w:val="22"/>
                <w:szCs w:val="22"/>
              </w:rPr>
              <w:t xml:space="preserve"> </w:t>
            </w:r>
            <w:proofErr w:type="spellStart"/>
            <w:r>
              <w:rPr>
                <w:sz w:val="22"/>
                <w:szCs w:val="22"/>
              </w:rPr>
              <w:t>beneficiary</w:t>
            </w:r>
            <w:proofErr w:type="spellEnd"/>
            <w:r>
              <w:rPr>
                <w:sz w:val="22"/>
                <w:szCs w:val="22"/>
              </w:rPr>
              <w:t xml:space="preserve"> </w:t>
            </w:r>
            <w:proofErr w:type="spellStart"/>
            <w:r>
              <w:rPr>
                <w:sz w:val="22"/>
                <w:szCs w:val="22"/>
              </w:rPr>
              <w:t>of</w:t>
            </w:r>
            <w:proofErr w:type="spellEnd"/>
            <w:r>
              <w:rPr>
                <w:sz w:val="22"/>
                <w:szCs w:val="22"/>
              </w:rPr>
              <w:t xml:space="preserve"> </w:t>
            </w:r>
            <w:proofErr w:type="spellStart"/>
            <w:r>
              <w:rPr>
                <w:sz w:val="22"/>
                <w:szCs w:val="22"/>
              </w:rPr>
              <w:t>the</w:t>
            </w:r>
            <w:proofErr w:type="spellEnd"/>
            <w:r>
              <w:rPr>
                <w:sz w:val="22"/>
                <w:szCs w:val="22"/>
              </w:rPr>
              <w:t xml:space="preserve"> Letter </w:t>
            </w:r>
            <w:proofErr w:type="spellStart"/>
            <w:r>
              <w:rPr>
                <w:sz w:val="22"/>
                <w:szCs w:val="22"/>
              </w:rPr>
              <w:t>of</w:t>
            </w:r>
            <w:proofErr w:type="spellEnd"/>
            <w:r>
              <w:rPr>
                <w:sz w:val="22"/>
                <w:szCs w:val="22"/>
              </w:rPr>
              <w:t xml:space="preserve"> Credit, </w:t>
            </w:r>
            <w:proofErr w:type="spellStart"/>
            <w:r>
              <w:rPr>
                <w:sz w:val="22"/>
                <w:szCs w:val="22"/>
              </w:rPr>
              <w:t>address</w:t>
            </w:r>
            <w:proofErr w:type="spellEnd"/>
            <w:r>
              <w:rPr>
                <w:sz w:val="22"/>
                <w:szCs w:val="22"/>
              </w:rPr>
              <w:t xml:space="preserve">, </w:t>
            </w:r>
            <w:proofErr w:type="spellStart"/>
            <w:r>
              <w:rPr>
                <w:sz w:val="22"/>
                <w:szCs w:val="22"/>
              </w:rPr>
              <w:t>city</w:t>
            </w:r>
            <w:proofErr w:type="spellEnd"/>
            <w:r>
              <w:rPr>
                <w:sz w:val="22"/>
                <w:szCs w:val="22"/>
              </w:rPr>
              <w:t xml:space="preserve">, country, </w:t>
            </w:r>
            <w:proofErr w:type="spellStart"/>
            <w:r>
              <w:rPr>
                <w:sz w:val="22"/>
                <w:szCs w:val="22"/>
              </w:rPr>
              <w:t>telephone</w:t>
            </w:r>
            <w:proofErr w:type="spellEnd"/>
            <w:r>
              <w:rPr>
                <w:sz w:val="22"/>
                <w:szCs w:val="22"/>
              </w:rPr>
              <w:t xml:space="preserve"> </w:t>
            </w:r>
            <w:proofErr w:type="spellStart"/>
            <w:r>
              <w:rPr>
                <w:sz w:val="22"/>
                <w:szCs w:val="22"/>
              </w:rPr>
              <w:t>number</w:t>
            </w:r>
            <w:proofErr w:type="spellEnd"/>
            <w:r>
              <w:rPr>
                <w:sz w:val="22"/>
                <w:szCs w:val="22"/>
              </w:rPr>
              <w:t xml:space="preserve">, and email </w:t>
            </w:r>
            <w:proofErr w:type="spellStart"/>
            <w:r>
              <w:rPr>
                <w:sz w:val="22"/>
                <w:szCs w:val="22"/>
              </w:rPr>
              <w:t>address</w:t>
            </w:r>
            <w:proofErr w:type="spellEnd"/>
            <w:r>
              <w:rPr>
                <w:sz w:val="22"/>
                <w:szCs w:val="22"/>
              </w:rPr>
              <w:t>.</w:t>
            </w:r>
          </w:p>
          <w:p w14:paraId="689B13C5" w14:textId="77777777" w:rsidR="00E255F4" w:rsidRDefault="00E255F4">
            <w:pPr>
              <w:tabs>
                <w:tab w:val="left" w:pos="0"/>
              </w:tabs>
              <w:spacing w:line="240" w:lineRule="auto"/>
              <w:jc w:val="both"/>
              <w:textAlignment w:val="baseline"/>
              <w:rPr>
                <w:b/>
                <w:sz w:val="22"/>
                <w:szCs w:val="22"/>
              </w:rPr>
            </w:pPr>
          </w:p>
          <w:p w14:paraId="20525EC2" w14:textId="77777777" w:rsidR="00E255F4" w:rsidRDefault="00000000">
            <w:pPr>
              <w:tabs>
                <w:tab w:val="left" w:pos="426"/>
              </w:tabs>
              <w:spacing w:line="240" w:lineRule="auto"/>
              <w:jc w:val="both"/>
              <w:textAlignment w:val="baseline"/>
              <w:rPr>
                <w:sz w:val="22"/>
                <w:szCs w:val="22"/>
              </w:rPr>
            </w:pPr>
            <w:r>
              <w:rPr>
                <w:sz w:val="22"/>
                <w:szCs w:val="22"/>
              </w:rPr>
              <w:t xml:space="preserve">For </w:t>
            </w:r>
            <w:proofErr w:type="spellStart"/>
            <w:r>
              <w:rPr>
                <w:sz w:val="22"/>
                <w:szCs w:val="22"/>
              </w:rPr>
              <w:t>the</w:t>
            </w:r>
            <w:proofErr w:type="spellEnd"/>
            <w:r>
              <w:rPr>
                <w:sz w:val="22"/>
                <w:szCs w:val="22"/>
              </w:rPr>
              <w:t xml:space="preserve"> </w:t>
            </w:r>
            <w:proofErr w:type="spellStart"/>
            <w:r>
              <w:rPr>
                <w:sz w:val="22"/>
                <w:szCs w:val="22"/>
              </w:rPr>
              <w:t>opening</w:t>
            </w:r>
            <w:proofErr w:type="spellEnd"/>
            <w:r>
              <w:rPr>
                <w:sz w:val="22"/>
                <w:szCs w:val="22"/>
              </w:rPr>
              <w:t xml:space="preserve"> </w:t>
            </w:r>
            <w:proofErr w:type="spellStart"/>
            <w:r>
              <w:rPr>
                <w:sz w:val="22"/>
                <w:szCs w:val="22"/>
              </w:rPr>
              <w:t>of</w:t>
            </w:r>
            <w:proofErr w:type="spellEnd"/>
            <w:r>
              <w:rPr>
                <w:sz w:val="22"/>
                <w:szCs w:val="22"/>
              </w:rPr>
              <w:t xml:space="preserve"> </w:t>
            </w:r>
            <w:proofErr w:type="spellStart"/>
            <w:r>
              <w:rPr>
                <w:sz w:val="22"/>
                <w:szCs w:val="22"/>
              </w:rPr>
              <w:t>the</w:t>
            </w:r>
            <w:proofErr w:type="spellEnd"/>
            <w:r>
              <w:rPr>
                <w:sz w:val="22"/>
                <w:szCs w:val="22"/>
              </w:rPr>
              <w:t xml:space="preserve"> Letter </w:t>
            </w:r>
            <w:proofErr w:type="spellStart"/>
            <w:r>
              <w:rPr>
                <w:sz w:val="22"/>
                <w:szCs w:val="22"/>
              </w:rPr>
              <w:t>of</w:t>
            </w:r>
            <w:proofErr w:type="spellEnd"/>
            <w:r>
              <w:rPr>
                <w:sz w:val="22"/>
                <w:szCs w:val="22"/>
              </w:rPr>
              <w:t xml:space="preserve"> Credit, </w:t>
            </w:r>
            <w:proofErr w:type="spellStart"/>
            <w:r>
              <w:rPr>
                <w:sz w:val="22"/>
                <w:szCs w:val="22"/>
              </w:rPr>
              <w:t>the</w:t>
            </w:r>
            <w:proofErr w:type="spellEnd"/>
            <w:r>
              <w:rPr>
                <w:sz w:val="22"/>
                <w:szCs w:val="22"/>
              </w:rPr>
              <w:t xml:space="preserve"> </w:t>
            </w:r>
            <w:proofErr w:type="spellStart"/>
            <w:r>
              <w:rPr>
                <w:sz w:val="22"/>
                <w:szCs w:val="22"/>
              </w:rPr>
              <w:t>supplier</w:t>
            </w:r>
            <w:proofErr w:type="spellEnd"/>
            <w:r>
              <w:rPr>
                <w:sz w:val="22"/>
                <w:szCs w:val="22"/>
              </w:rPr>
              <w:t xml:space="preserve"> </w:t>
            </w:r>
            <w:proofErr w:type="spellStart"/>
            <w:r>
              <w:rPr>
                <w:sz w:val="22"/>
                <w:szCs w:val="22"/>
              </w:rPr>
              <w:t>will</w:t>
            </w:r>
            <w:proofErr w:type="spellEnd"/>
            <w:r>
              <w:rPr>
                <w:sz w:val="22"/>
                <w:szCs w:val="22"/>
              </w:rPr>
              <w:t xml:space="preserve"> </w:t>
            </w:r>
            <w:proofErr w:type="spellStart"/>
            <w:r>
              <w:rPr>
                <w:sz w:val="22"/>
                <w:szCs w:val="22"/>
              </w:rPr>
              <w:t>have</w:t>
            </w:r>
            <w:proofErr w:type="spellEnd"/>
            <w:r>
              <w:rPr>
                <w:sz w:val="22"/>
                <w:szCs w:val="22"/>
              </w:rPr>
              <w:t xml:space="preserve"> 5 calendar </w:t>
            </w:r>
            <w:proofErr w:type="spellStart"/>
            <w:r>
              <w:rPr>
                <w:sz w:val="22"/>
                <w:szCs w:val="22"/>
              </w:rPr>
              <w:t>days</w:t>
            </w:r>
            <w:proofErr w:type="spellEnd"/>
            <w:r>
              <w:rPr>
                <w:sz w:val="22"/>
                <w:szCs w:val="22"/>
              </w:rPr>
              <w:t xml:space="preserve"> </w:t>
            </w:r>
            <w:proofErr w:type="spellStart"/>
            <w:r>
              <w:rPr>
                <w:sz w:val="22"/>
                <w:szCs w:val="22"/>
              </w:rPr>
              <w:t>to</w:t>
            </w:r>
            <w:proofErr w:type="spellEnd"/>
            <w:r>
              <w:rPr>
                <w:sz w:val="22"/>
                <w:szCs w:val="22"/>
              </w:rPr>
              <w:t xml:space="preserve"> </w:t>
            </w:r>
            <w:proofErr w:type="spellStart"/>
            <w:r>
              <w:rPr>
                <w:sz w:val="22"/>
                <w:szCs w:val="22"/>
              </w:rPr>
              <w:t>communicate</w:t>
            </w:r>
            <w:proofErr w:type="spellEnd"/>
            <w:r>
              <w:rPr>
                <w:sz w:val="22"/>
                <w:szCs w:val="22"/>
              </w:rPr>
              <w:t xml:space="preserve"> </w:t>
            </w:r>
            <w:proofErr w:type="spellStart"/>
            <w:r>
              <w:rPr>
                <w:sz w:val="22"/>
                <w:szCs w:val="22"/>
              </w:rPr>
              <w:t>their</w:t>
            </w:r>
            <w:proofErr w:type="spellEnd"/>
            <w:r>
              <w:rPr>
                <w:sz w:val="22"/>
                <w:szCs w:val="22"/>
              </w:rPr>
              <w:t xml:space="preserve"> </w:t>
            </w:r>
            <w:proofErr w:type="spellStart"/>
            <w:r>
              <w:rPr>
                <w:sz w:val="22"/>
                <w:szCs w:val="22"/>
              </w:rPr>
              <w:t>agreement</w:t>
            </w:r>
            <w:proofErr w:type="spellEnd"/>
            <w:r>
              <w:rPr>
                <w:sz w:val="22"/>
                <w:szCs w:val="22"/>
              </w:rPr>
              <w:t xml:space="preserve"> </w:t>
            </w:r>
            <w:proofErr w:type="spellStart"/>
            <w:r>
              <w:rPr>
                <w:sz w:val="22"/>
                <w:szCs w:val="22"/>
              </w:rPr>
              <w:t>or</w:t>
            </w:r>
            <w:proofErr w:type="spellEnd"/>
            <w:r>
              <w:rPr>
                <w:sz w:val="22"/>
                <w:szCs w:val="22"/>
              </w:rPr>
              <w:t xml:space="preserve"> </w:t>
            </w:r>
            <w:proofErr w:type="spellStart"/>
            <w:r>
              <w:rPr>
                <w:sz w:val="22"/>
                <w:szCs w:val="22"/>
              </w:rPr>
              <w:t>suggest</w:t>
            </w:r>
            <w:proofErr w:type="spellEnd"/>
            <w:r>
              <w:rPr>
                <w:sz w:val="22"/>
                <w:szCs w:val="22"/>
              </w:rPr>
              <w:t xml:space="preserve"> </w:t>
            </w:r>
            <w:proofErr w:type="spellStart"/>
            <w:r>
              <w:rPr>
                <w:sz w:val="22"/>
                <w:szCs w:val="22"/>
              </w:rPr>
              <w:t>any</w:t>
            </w:r>
            <w:proofErr w:type="spellEnd"/>
            <w:r>
              <w:rPr>
                <w:sz w:val="22"/>
                <w:szCs w:val="22"/>
              </w:rPr>
              <w:t xml:space="preserve"> </w:t>
            </w:r>
            <w:proofErr w:type="spellStart"/>
            <w:r>
              <w:rPr>
                <w:sz w:val="22"/>
                <w:szCs w:val="22"/>
              </w:rPr>
              <w:t>modifications</w:t>
            </w:r>
            <w:proofErr w:type="spellEnd"/>
            <w:r>
              <w:rPr>
                <w:sz w:val="22"/>
                <w:szCs w:val="22"/>
              </w:rPr>
              <w:t xml:space="preserve"> </w:t>
            </w:r>
            <w:proofErr w:type="spellStart"/>
            <w:r>
              <w:rPr>
                <w:sz w:val="22"/>
                <w:szCs w:val="22"/>
              </w:rPr>
              <w:t>to</w:t>
            </w:r>
            <w:proofErr w:type="spellEnd"/>
            <w:r>
              <w:rPr>
                <w:sz w:val="22"/>
                <w:szCs w:val="22"/>
              </w:rPr>
              <w:t xml:space="preserve"> </w:t>
            </w:r>
            <w:proofErr w:type="spellStart"/>
            <w:r>
              <w:rPr>
                <w:sz w:val="22"/>
                <w:szCs w:val="22"/>
              </w:rPr>
              <w:t>the</w:t>
            </w:r>
            <w:proofErr w:type="spellEnd"/>
            <w:r>
              <w:rPr>
                <w:sz w:val="22"/>
                <w:szCs w:val="22"/>
              </w:rPr>
              <w:t xml:space="preserve"> draft Letter </w:t>
            </w:r>
            <w:proofErr w:type="spellStart"/>
            <w:r>
              <w:rPr>
                <w:sz w:val="22"/>
                <w:szCs w:val="22"/>
              </w:rPr>
              <w:t>of</w:t>
            </w:r>
            <w:proofErr w:type="spellEnd"/>
            <w:r>
              <w:rPr>
                <w:sz w:val="22"/>
                <w:szCs w:val="22"/>
              </w:rPr>
              <w:t xml:space="preserve"> Credit </w:t>
            </w:r>
            <w:proofErr w:type="spellStart"/>
            <w:r>
              <w:rPr>
                <w:sz w:val="22"/>
                <w:szCs w:val="22"/>
              </w:rPr>
              <w:t>that</w:t>
            </w:r>
            <w:proofErr w:type="spellEnd"/>
            <w:r>
              <w:rPr>
                <w:sz w:val="22"/>
                <w:szCs w:val="22"/>
              </w:rPr>
              <w:t xml:space="preserve"> </w:t>
            </w:r>
            <w:proofErr w:type="spellStart"/>
            <w:r>
              <w:rPr>
                <w:sz w:val="22"/>
                <w:szCs w:val="22"/>
              </w:rPr>
              <w:t>the</w:t>
            </w:r>
            <w:proofErr w:type="spellEnd"/>
            <w:r>
              <w:rPr>
                <w:sz w:val="22"/>
                <w:szCs w:val="22"/>
              </w:rPr>
              <w:t xml:space="preserve"> Foreign Trade Office </w:t>
            </w:r>
            <w:proofErr w:type="spellStart"/>
            <w:r>
              <w:rPr>
                <w:sz w:val="22"/>
                <w:szCs w:val="22"/>
              </w:rPr>
              <w:t>will</w:t>
            </w:r>
            <w:proofErr w:type="spellEnd"/>
            <w:r>
              <w:rPr>
                <w:sz w:val="22"/>
                <w:szCs w:val="22"/>
              </w:rPr>
              <w:t xml:space="preserve"> </w:t>
            </w:r>
            <w:proofErr w:type="spellStart"/>
            <w:r>
              <w:rPr>
                <w:sz w:val="22"/>
                <w:szCs w:val="22"/>
              </w:rPr>
              <w:t>send</w:t>
            </w:r>
            <w:proofErr w:type="spellEnd"/>
            <w:r>
              <w:rPr>
                <w:sz w:val="22"/>
                <w:szCs w:val="22"/>
              </w:rPr>
              <w:t xml:space="preserve"> </w:t>
            </w:r>
            <w:proofErr w:type="spellStart"/>
            <w:r>
              <w:rPr>
                <w:sz w:val="22"/>
                <w:szCs w:val="22"/>
              </w:rPr>
              <w:t>them</w:t>
            </w:r>
            <w:proofErr w:type="spellEnd"/>
            <w:r>
              <w:rPr>
                <w:sz w:val="22"/>
                <w:szCs w:val="22"/>
              </w:rPr>
              <w:t xml:space="preserve"> </w:t>
            </w:r>
            <w:proofErr w:type="spellStart"/>
            <w:r>
              <w:rPr>
                <w:sz w:val="22"/>
                <w:szCs w:val="22"/>
              </w:rPr>
              <w:t>via</w:t>
            </w:r>
            <w:proofErr w:type="spellEnd"/>
            <w:r>
              <w:rPr>
                <w:sz w:val="22"/>
                <w:szCs w:val="22"/>
              </w:rPr>
              <w:t xml:space="preserve"> email. </w:t>
            </w:r>
            <w:proofErr w:type="spellStart"/>
            <w:r>
              <w:rPr>
                <w:sz w:val="22"/>
                <w:szCs w:val="22"/>
              </w:rPr>
              <w:t>If</w:t>
            </w:r>
            <w:proofErr w:type="spellEnd"/>
            <w:r>
              <w:rPr>
                <w:sz w:val="22"/>
                <w:szCs w:val="22"/>
              </w:rPr>
              <w:t xml:space="preserve"> </w:t>
            </w:r>
            <w:proofErr w:type="spellStart"/>
            <w:r>
              <w:rPr>
                <w:sz w:val="22"/>
                <w:szCs w:val="22"/>
              </w:rPr>
              <w:t>the</w:t>
            </w:r>
            <w:proofErr w:type="spellEnd"/>
            <w:r>
              <w:rPr>
                <w:sz w:val="22"/>
                <w:szCs w:val="22"/>
              </w:rPr>
              <w:t xml:space="preserve"> </w:t>
            </w:r>
            <w:proofErr w:type="spellStart"/>
            <w:r>
              <w:rPr>
                <w:sz w:val="22"/>
                <w:szCs w:val="22"/>
              </w:rPr>
              <w:t>supplier</w:t>
            </w:r>
            <w:proofErr w:type="spellEnd"/>
            <w:r>
              <w:rPr>
                <w:sz w:val="22"/>
                <w:szCs w:val="22"/>
              </w:rPr>
              <w:t xml:space="preserve"> has </w:t>
            </w:r>
            <w:proofErr w:type="spellStart"/>
            <w:r>
              <w:rPr>
                <w:sz w:val="22"/>
                <w:szCs w:val="22"/>
              </w:rPr>
              <w:t>not</w:t>
            </w:r>
            <w:proofErr w:type="spellEnd"/>
            <w:r>
              <w:rPr>
                <w:sz w:val="22"/>
                <w:szCs w:val="22"/>
              </w:rPr>
              <w:t xml:space="preserve"> responded </w:t>
            </w:r>
            <w:proofErr w:type="spellStart"/>
            <w:r>
              <w:rPr>
                <w:sz w:val="22"/>
                <w:szCs w:val="22"/>
              </w:rPr>
              <w:t>within</w:t>
            </w:r>
            <w:proofErr w:type="spellEnd"/>
            <w:r>
              <w:rPr>
                <w:sz w:val="22"/>
                <w:szCs w:val="22"/>
              </w:rPr>
              <w:t xml:space="preserve"> </w:t>
            </w:r>
            <w:proofErr w:type="spellStart"/>
            <w:r>
              <w:rPr>
                <w:sz w:val="22"/>
                <w:szCs w:val="22"/>
              </w:rPr>
              <w:t>this</w:t>
            </w:r>
            <w:proofErr w:type="spellEnd"/>
            <w:r>
              <w:rPr>
                <w:sz w:val="22"/>
                <w:szCs w:val="22"/>
              </w:rPr>
              <w:t xml:space="preserve"> </w:t>
            </w:r>
            <w:proofErr w:type="spellStart"/>
            <w:r>
              <w:rPr>
                <w:sz w:val="22"/>
                <w:szCs w:val="22"/>
              </w:rPr>
              <w:t>period</w:t>
            </w:r>
            <w:proofErr w:type="spellEnd"/>
            <w:r>
              <w:rPr>
                <w:sz w:val="22"/>
                <w:szCs w:val="22"/>
              </w:rPr>
              <w:t xml:space="preserve">, </w:t>
            </w:r>
            <w:proofErr w:type="spellStart"/>
            <w:r>
              <w:rPr>
                <w:sz w:val="22"/>
                <w:szCs w:val="22"/>
              </w:rPr>
              <w:t>the</w:t>
            </w:r>
            <w:proofErr w:type="spellEnd"/>
            <w:r>
              <w:rPr>
                <w:sz w:val="22"/>
                <w:szCs w:val="22"/>
              </w:rPr>
              <w:t xml:space="preserve"> Foreign Trade Office </w:t>
            </w:r>
            <w:proofErr w:type="spellStart"/>
            <w:r>
              <w:rPr>
                <w:sz w:val="22"/>
                <w:szCs w:val="22"/>
              </w:rPr>
              <w:t>will</w:t>
            </w:r>
            <w:proofErr w:type="spellEnd"/>
            <w:r>
              <w:rPr>
                <w:sz w:val="22"/>
                <w:szCs w:val="22"/>
              </w:rPr>
              <w:t xml:space="preserve"> </w:t>
            </w:r>
            <w:proofErr w:type="spellStart"/>
            <w:r>
              <w:rPr>
                <w:sz w:val="22"/>
                <w:szCs w:val="22"/>
              </w:rPr>
              <w:t>consider</w:t>
            </w:r>
            <w:proofErr w:type="spellEnd"/>
            <w:r>
              <w:rPr>
                <w:sz w:val="22"/>
                <w:szCs w:val="22"/>
              </w:rPr>
              <w:t xml:space="preserve"> </w:t>
            </w:r>
            <w:proofErr w:type="spellStart"/>
            <w:r>
              <w:rPr>
                <w:sz w:val="22"/>
                <w:szCs w:val="22"/>
              </w:rPr>
              <w:t>the</w:t>
            </w:r>
            <w:proofErr w:type="spellEnd"/>
            <w:r>
              <w:rPr>
                <w:sz w:val="22"/>
                <w:szCs w:val="22"/>
              </w:rPr>
              <w:t xml:space="preserve"> </w:t>
            </w:r>
            <w:proofErr w:type="spellStart"/>
            <w:r>
              <w:rPr>
                <w:sz w:val="22"/>
                <w:szCs w:val="22"/>
              </w:rPr>
              <w:t>established</w:t>
            </w:r>
            <w:proofErr w:type="spellEnd"/>
            <w:r>
              <w:rPr>
                <w:sz w:val="22"/>
                <w:szCs w:val="22"/>
              </w:rPr>
              <w:t xml:space="preserve"> </w:t>
            </w:r>
            <w:proofErr w:type="spellStart"/>
            <w:r>
              <w:rPr>
                <w:sz w:val="22"/>
                <w:szCs w:val="22"/>
              </w:rPr>
              <w:t>terms</w:t>
            </w:r>
            <w:proofErr w:type="spellEnd"/>
            <w:r>
              <w:rPr>
                <w:sz w:val="22"/>
                <w:szCs w:val="22"/>
              </w:rPr>
              <w:t xml:space="preserve"> </w:t>
            </w:r>
            <w:proofErr w:type="spellStart"/>
            <w:r>
              <w:rPr>
                <w:sz w:val="22"/>
                <w:szCs w:val="22"/>
              </w:rPr>
              <w:t>accepted</w:t>
            </w:r>
            <w:proofErr w:type="spellEnd"/>
            <w:r>
              <w:rPr>
                <w:sz w:val="22"/>
                <w:szCs w:val="22"/>
              </w:rPr>
              <w:t xml:space="preserve"> </w:t>
            </w:r>
            <w:proofErr w:type="spellStart"/>
            <w:r>
              <w:rPr>
                <w:sz w:val="22"/>
                <w:szCs w:val="22"/>
              </w:rPr>
              <w:t>by</w:t>
            </w:r>
            <w:proofErr w:type="spellEnd"/>
            <w:r>
              <w:rPr>
                <w:sz w:val="22"/>
                <w:szCs w:val="22"/>
              </w:rPr>
              <w:t xml:space="preserve"> </w:t>
            </w:r>
            <w:proofErr w:type="spellStart"/>
            <w:r>
              <w:rPr>
                <w:sz w:val="22"/>
                <w:szCs w:val="22"/>
              </w:rPr>
              <w:t>the</w:t>
            </w:r>
            <w:proofErr w:type="spellEnd"/>
            <w:r>
              <w:rPr>
                <w:sz w:val="22"/>
                <w:szCs w:val="22"/>
              </w:rPr>
              <w:t xml:space="preserve"> </w:t>
            </w:r>
            <w:proofErr w:type="spellStart"/>
            <w:r>
              <w:rPr>
                <w:sz w:val="22"/>
                <w:szCs w:val="22"/>
              </w:rPr>
              <w:t>beneficiary</w:t>
            </w:r>
            <w:proofErr w:type="spellEnd"/>
            <w:r>
              <w:rPr>
                <w:sz w:val="22"/>
                <w:szCs w:val="22"/>
              </w:rPr>
              <w:t xml:space="preserve"> and </w:t>
            </w:r>
            <w:proofErr w:type="spellStart"/>
            <w:r>
              <w:rPr>
                <w:sz w:val="22"/>
                <w:szCs w:val="22"/>
              </w:rPr>
              <w:t>will</w:t>
            </w:r>
            <w:proofErr w:type="spellEnd"/>
            <w:r>
              <w:rPr>
                <w:sz w:val="22"/>
                <w:szCs w:val="22"/>
              </w:rPr>
              <w:t xml:space="preserve"> </w:t>
            </w:r>
            <w:proofErr w:type="spellStart"/>
            <w:r>
              <w:rPr>
                <w:sz w:val="22"/>
                <w:szCs w:val="22"/>
              </w:rPr>
              <w:t>proceed</w:t>
            </w:r>
            <w:proofErr w:type="spellEnd"/>
            <w:r>
              <w:rPr>
                <w:sz w:val="22"/>
                <w:szCs w:val="22"/>
              </w:rPr>
              <w:t xml:space="preserve"> </w:t>
            </w:r>
            <w:proofErr w:type="spellStart"/>
            <w:r>
              <w:rPr>
                <w:sz w:val="22"/>
                <w:szCs w:val="22"/>
              </w:rPr>
              <w:t>to</w:t>
            </w:r>
            <w:proofErr w:type="spellEnd"/>
            <w:r>
              <w:rPr>
                <w:sz w:val="22"/>
                <w:szCs w:val="22"/>
              </w:rPr>
              <w:t xml:space="preserve"> open </w:t>
            </w:r>
            <w:proofErr w:type="spellStart"/>
            <w:r>
              <w:rPr>
                <w:sz w:val="22"/>
                <w:szCs w:val="22"/>
              </w:rPr>
              <w:t>the</w:t>
            </w:r>
            <w:proofErr w:type="spellEnd"/>
            <w:r>
              <w:rPr>
                <w:sz w:val="22"/>
                <w:szCs w:val="22"/>
              </w:rPr>
              <w:t xml:space="preserve"> </w:t>
            </w:r>
            <w:r>
              <w:rPr>
                <w:sz w:val="22"/>
                <w:szCs w:val="22"/>
              </w:rPr>
              <w:lastRenderedPageBreak/>
              <w:t xml:space="preserve">Letter </w:t>
            </w:r>
            <w:proofErr w:type="spellStart"/>
            <w:r>
              <w:rPr>
                <w:sz w:val="22"/>
                <w:szCs w:val="22"/>
              </w:rPr>
              <w:t>of</w:t>
            </w:r>
            <w:proofErr w:type="spellEnd"/>
            <w:r>
              <w:rPr>
                <w:sz w:val="22"/>
                <w:szCs w:val="22"/>
              </w:rPr>
              <w:t xml:space="preserve"> Credit. </w:t>
            </w:r>
            <w:proofErr w:type="spellStart"/>
            <w:r>
              <w:rPr>
                <w:sz w:val="22"/>
                <w:szCs w:val="22"/>
              </w:rPr>
              <w:t>If</w:t>
            </w:r>
            <w:proofErr w:type="spellEnd"/>
            <w:r>
              <w:rPr>
                <w:sz w:val="22"/>
                <w:szCs w:val="22"/>
              </w:rPr>
              <w:t xml:space="preserve">, after </w:t>
            </w:r>
            <w:proofErr w:type="spellStart"/>
            <w:r>
              <w:rPr>
                <w:sz w:val="22"/>
                <w:szCs w:val="22"/>
              </w:rPr>
              <w:t>this</w:t>
            </w:r>
            <w:proofErr w:type="spellEnd"/>
            <w:r>
              <w:rPr>
                <w:sz w:val="22"/>
                <w:szCs w:val="22"/>
              </w:rPr>
              <w:t xml:space="preserve"> </w:t>
            </w:r>
            <w:proofErr w:type="spellStart"/>
            <w:r>
              <w:rPr>
                <w:sz w:val="22"/>
                <w:szCs w:val="22"/>
              </w:rPr>
              <w:t>period</w:t>
            </w:r>
            <w:proofErr w:type="spellEnd"/>
            <w:r>
              <w:rPr>
                <w:sz w:val="22"/>
                <w:szCs w:val="22"/>
              </w:rPr>
              <w:t xml:space="preserve">, </w:t>
            </w:r>
            <w:proofErr w:type="spellStart"/>
            <w:r>
              <w:rPr>
                <w:sz w:val="22"/>
                <w:szCs w:val="22"/>
              </w:rPr>
              <w:t>the</w:t>
            </w:r>
            <w:proofErr w:type="spellEnd"/>
            <w:r>
              <w:rPr>
                <w:sz w:val="22"/>
                <w:szCs w:val="22"/>
              </w:rPr>
              <w:t xml:space="preserve"> </w:t>
            </w:r>
            <w:proofErr w:type="spellStart"/>
            <w:r>
              <w:rPr>
                <w:sz w:val="22"/>
                <w:szCs w:val="22"/>
              </w:rPr>
              <w:t>beneficiary</w:t>
            </w:r>
            <w:proofErr w:type="spellEnd"/>
            <w:r>
              <w:rPr>
                <w:sz w:val="22"/>
                <w:szCs w:val="22"/>
              </w:rPr>
              <w:t xml:space="preserve"> </w:t>
            </w:r>
            <w:proofErr w:type="spellStart"/>
            <w:r>
              <w:rPr>
                <w:sz w:val="22"/>
                <w:szCs w:val="22"/>
              </w:rPr>
              <w:t>requests</w:t>
            </w:r>
            <w:proofErr w:type="spellEnd"/>
            <w:r>
              <w:rPr>
                <w:sz w:val="22"/>
                <w:szCs w:val="22"/>
              </w:rPr>
              <w:t xml:space="preserve"> a </w:t>
            </w:r>
            <w:proofErr w:type="spellStart"/>
            <w:r>
              <w:rPr>
                <w:sz w:val="22"/>
                <w:szCs w:val="22"/>
              </w:rPr>
              <w:t>modification</w:t>
            </w:r>
            <w:proofErr w:type="spellEnd"/>
            <w:r>
              <w:rPr>
                <w:sz w:val="22"/>
                <w:szCs w:val="22"/>
              </w:rPr>
              <w:t xml:space="preserve"> </w:t>
            </w:r>
            <w:proofErr w:type="spellStart"/>
            <w:r>
              <w:rPr>
                <w:sz w:val="22"/>
                <w:szCs w:val="22"/>
              </w:rPr>
              <w:t>to</w:t>
            </w:r>
            <w:proofErr w:type="spellEnd"/>
            <w:r>
              <w:rPr>
                <w:sz w:val="22"/>
                <w:szCs w:val="22"/>
              </w:rPr>
              <w:t xml:space="preserve"> </w:t>
            </w:r>
            <w:proofErr w:type="spellStart"/>
            <w:r>
              <w:rPr>
                <w:sz w:val="22"/>
                <w:szCs w:val="22"/>
              </w:rPr>
              <w:t>any</w:t>
            </w:r>
            <w:proofErr w:type="spellEnd"/>
            <w:r>
              <w:rPr>
                <w:sz w:val="22"/>
                <w:szCs w:val="22"/>
              </w:rPr>
              <w:t xml:space="preserve"> </w:t>
            </w:r>
            <w:proofErr w:type="spellStart"/>
            <w:r>
              <w:rPr>
                <w:sz w:val="22"/>
                <w:szCs w:val="22"/>
              </w:rPr>
              <w:t>of</w:t>
            </w:r>
            <w:proofErr w:type="spellEnd"/>
            <w:r>
              <w:rPr>
                <w:sz w:val="22"/>
                <w:szCs w:val="22"/>
              </w:rPr>
              <w:t xml:space="preserve"> </w:t>
            </w:r>
            <w:proofErr w:type="spellStart"/>
            <w:r>
              <w:rPr>
                <w:sz w:val="22"/>
                <w:szCs w:val="22"/>
              </w:rPr>
              <w:t>the</w:t>
            </w:r>
            <w:proofErr w:type="spellEnd"/>
            <w:r>
              <w:rPr>
                <w:sz w:val="22"/>
                <w:szCs w:val="22"/>
              </w:rPr>
              <w:t xml:space="preserve"> </w:t>
            </w:r>
            <w:proofErr w:type="spellStart"/>
            <w:r>
              <w:rPr>
                <w:sz w:val="22"/>
                <w:szCs w:val="22"/>
              </w:rPr>
              <w:t>established</w:t>
            </w:r>
            <w:proofErr w:type="spellEnd"/>
            <w:r>
              <w:rPr>
                <w:sz w:val="22"/>
                <w:szCs w:val="22"/>
              </w:rPr>
              <w:t xml:space="preserve"> </w:t>
            </w:r>
            <w:proofErr w:type="spellStart"/>
            <w:r>
              <w:rPr>
                <w:sz w:val="22"/>
                <w:szCs w:val="22"/>
              </w:rPr>
              <w:t>conditions</w:t>
            </w:r>
            <w:proofErr w:type="spellEnd"/>
            <w:r>
              <w:rPr>
                <w:sz w:val="22"/>
                <w:szCs w:val="22"/>
              </w:rPr>
              <w:t xml:space="preserve">, </w:t>
            </w:r>
            <w:proofErr w:type="spellStart"/>
            <w:r>
              <w:rPr>
                <w:sz w:val="22"/>
                <w:szCs w:val="22"/>
              </w:rPr>
              <w:t>they</w:t>
            </w:r>
            <w:proofErr w:type="spellEnd"/>
            <w:r>
              <w:rPr>
                <w:sz w:val="22"/>
                <w:szCs w:val="22"/>
              </w:rPr>
              <w:t xml:space="preserve"> </w:t>
            </w:r>
            <w:proofErr w:type="spellStart"/>
            <w:r>
              <w:rPr>
                <w:sz w:val="22"/>
                <w:szCs w:val="22"/>
              </w:rPr>
              <w:t>will</w:t>
            </w:r>
            <w:proofErr w:type="spellEnd"/>
            <w:r>
              <w:rPr>
                <w:sz w:val="22"/>
                <w:szCs w:val="22"/>
              </w:rPr>
              <w:t xml:space="preserve"> be </w:t>
            </w:r>
            <w:proofErr w:type="spellStart"/>
            <w:r>
              <w:rPr>
                <w:sz w:val="22"/>
                <w:szCs w:val="22"/>
              </w:rPr>
              <w:t>responsible</w:t>
            </w:r>
            <w:proofErr w:type="spellEnd"/>
            <w:r>
              <w:rPr>
                <w:sz w:val="22"/>
                <w:szCs w:val="22"/>
              </w:rPr>
              <w:t xml:space="preserve"> </w:t>
            </w:r>
            <w:proofErr w:type="spellStart"/>
            <w:r>
              <w:rPr>
                <w:sz w:val="22"/>
                <w:szCs w:val="22"/>
              </w:rPr>
              <w:t>for</w:t>
            </w:r>
            <w:proofErr w:type="spellEnd"/>
            <w:r>
              <w:rPr>
                <w:sz w:val="22"/>
                <w:szCs w:val="22"/>
              </w:rPr>
              <w:t xml:space="preserve"> </w:t>
            </w:r>
            <w:proofErr w:type="spellStart"/>
            <w:r>
              <w:rPr>
                <w:sz w:val="22"/>
                <w:szCs w:val="22"/>
              </w:rPr>
              <w:t>all</w:t>
            </w:r>
            <w:proofErr w:type="spellEnd"/>
            <w:r>
              <w:rPr>
                <w:sz w:val="22"/>
                <w:szCs w:val="22"/>
              </w:rPr>
              <w:t xml:space="preserve"> </w:t>
            </w:r>
            <w:proofErr w:type="spellStart"/>
            <w:r>
              <w:rPr>
                <w:sz w:val="22"/>
                <w:szCs w:val="22"/>
              </w:rPr>
              <w:t>costs</w:t>
            </w:r>
            <w:proofErr w:type="spellEnd"/>
            <w:r>
              <w:rPr>
                <w:sz w:val="22"/>
                <w:szCs w:val="22"/>
              </w:rPr>
              <w:t xml:space="preserve"> </w:t>
            </w:r>
            <w:proofErr w:type="spellStart"/>
            <w:r>
              <w:rPr>
                <w:sz w:val="22"/>
                <w:szCs w:val="22"/>
              </w:rPr>
              <w:t>associated</w:t>
            </w:r>
            <w:proofErr w:type="spellEnd"/>
            <w:r>
              <w:rPr>
                <w:sz w:val="22"/>
                <w:szCs w:val="22"/>
              </w:rPr>
              <w:t xml:space="preserve"> </w:t>
            </w:r>
            <w:proofErr w:type="spellStart"/>
            <w:r>
              <w:rPr>
                <w:sz w:val="22"/>
                <w:szCs w:val="22"/>
              </w:rPr>
              <w:t>with</w:t>
            </w:r>
            <w:proofErr w:type="spellEnd"/>
            <w:r>
              <w:rPr>
                <w:sz w:val="22"/>
                <w:szCs w:val="22"/>
              </w:rPr>
              <w:t xml:space="preserve"> </w:t>
            </w:r>
            <w:proofErr w:type="spellStart"/>
            <w:r>
              <w:rPr>
                <w:sz w:val="22"/>
                <w:szCs w:val="22"/>
              </w:rPr>
              <w:t>such</w:t>
            </w:r>
            <w:proofErr w:type="spellEnd"/>
            <w:r>
              <w:rPr>
                <w:sz w:val="22"/>
                <w:szCs w:val="22"/>
              </w:rPr>
              <w:t xml:space="preserve"> </w:t>
            </w:r>
            <w:proofErr w:type="spellStart"/>
            <w:r>
              <w:rPr>
                <w:sz w:val="22"/>
                <w:szCs w:val="22"/>
              </w:rPr>
              <w:t>modification</w:t>
            </w:r>
            <w:proofErr w:type="spellEnd"/>
            <w:r>
              <w:rPr>
                <w:sz w:val="22"/>
                <w:szCs w:val="22"/>
              </w:rPr>
              <w:t>.</w:t>
            </w:r>
          </w:p>
          <w:p w14:paraId="130A0B6D" w14:textId="77777777" w:rsidR="00E255F4" w:rsidRDefault="00E255F4">
            <w:pPr>
              <w:tabs>
                <w:tab w:val="left" w:pos="0"/>
              </w:tabs>
              <w:spacing w:line="240" w:lineRule="auto"/>
              <w:ind w:left="720"/>
              <w:jc w:val="both"/>
              <w:textAlignment w:val="baseline"/>
              <w:rPr>
                <w:sz w:val="22"/>
                <w:szCs w:val="22"/>
              </w:rPr>
            </w:pPr>
          </w:p>
          <w:p w14:paraId="03650B00" w14:textId="77777777" w:rsidR="00E255F4" w:rsidRDefault="00000000">
            <w:pPr>
              <w:tabs>
                <w:tab w:val="left" w:pos="0"/>
              </w:tabs>
              <w:spacing w:line="240" w:lineRule="auto"/>
              <w:jc w:val="both"/>
              <w:textAlignment w:val="baseline"/>
            </w:pPr>
            <w:r>
              <w:rPr>
                <w:sz w:val="22"/>
                <w:szCs w:val="22"/>
              </w:rPr>
              <w:t xml:space="preserve">The </w:t>
            </w:r>
            <w:proofErr w:type="spellStart"/>
            <w:r>
              <w:rPr>
                <w:sz w:val="22"/>
                <w:szCs w:val="22"/>
              </w:rPr>
              <w:t>offeror</w:t>
            </w:r>
            <w:proofErr w:type="spellEnd"/>
            <w:r>
              <w:rPr>
                <w:sz w:val="22"/>
                <w:szCs w:val="22"/>
              </w:rPr>
              <w:t xml:space="preserve"> </w:t>
            </w:r>
            <w:proofErr w:type="spellStart"/>
            <w:r>
              <w:rPr>
                <w:sz w:val="22"/>
                <w:szCs w:val="22"/>
              </w:rPr>
              <w:t>should</w:t>
            </w:r>
            <w:proofErr w:type="spellEnd"/>
            <w:r>
              <w:rPr>
                <w:sz w:val="22"/>
                <w:szCs w:val="22"/>
              </w:rPr>
              <w:t xml:space="preserve"> </w:t>
            </w:r>
            <w:proofErr w:type="spellStart"/>
            <w:r>
              <w:rPr>
                <w:sz w:val="22"/>
                <w:szCs w:val="22"/>
              </w:rPr>
              <w:t>bear</w:t>
            </w:r>
            <w:proofErr w:type="spellEnd"/>
            <w:r>
              <w:rPr>
                <w:sz w:val="22"/>
                <w:szCs w:val="22"/>
              </w:rPr>
              <w:t xml:space="preserve"> in </w:t>
            </w:r>
            <w:proofErr w:type="spellStart"/>
            <w:r>
              <w:rPr>
                <w:sz w:val="22"/>
                <w:szCs w:val="22"/>
              </w:rPr>
              <w:t>mind</w:t>
            </w:r>
            <w:proofErr w:type="spellEnd"/>
            <w:r>
              <w:rPr>
                <w:sz w:val="22"/>
                <w:szCs w:val="22"/>
              </w:rPr>
              <w:t xml:space="preserve"> </w:t>
            </w:r>
            <w:proofErr w:type="spellStart"/>
            <w:r>
              <w:rPr>
                <w:sz w:val="22"/>
                <w:szCs w:val="22"/>
              </w:rPr>
              <w:t>that</w:t>
            </w:r>
            <w:proofErr w:type="spellEnd"/>
            <w:r>
              <w:rPr>
                <w:sz w:val="22"/>
                <w:szCs w:val="22"/>
              </w:rPr>
              <w:t xml:space="preserve"> </w:t>
            </w:r>
            <w:proofErr w:type="spellStart"/>
            <w:r>
              <w:rPr>
                <w:sz w:val="22"/>
                <w:szCs w:val="22"/>
              </w:rPr>
              <w:t>the</w:t>
            </w:r>
            <w:proofErr w:type="spellEnd"/>
            <w:r>
              <w:rPr>
                <w:sz w:val="22"/>
                <w:szCs w:val="22"/>
              </w:rPr>
              <w:t xml:space="preserve"> </w:t>
            </w:r>
            <w:proofErr w:type="spellStart"/>
            <w:r>
              <w:rPr>
                <w:sz w:val="22"/>
                <w:szCs w:val="22"/>
              </w:rPr>
              <w:t>only</w:t>
            </w:r>
            <w:proofErr w:type="spellEnd"/>
            <w:r>
              <w:rPr>
                <w:sz w:val="22"/>
                <w:szCs w:val="22"/>
              </w:rPr>
              <w:t xml:space="preserve"> </w:t>
            </w:r>
            <w:proofErr w:type="spellStart"/>
            <w:r>
              <w:rPr>
                <w:sz w:val="22"/>
                <w:szCs w:val="22"/>
              </w:rPr>
              <w:t>cost</w:t>
            </w:r>
            <w:proofErr w:type="spellEnd"/>
            <w:r>
              <w:rPr>
                <w:sz w:val="22"/>
                <w:szCs w:val="22"/>
              </w:rPr>
              <w:t xml:space="preserve"> </w:t>
            </w:r>
            <w:proofErr w:type="spellStart"/>
            <w:r>
              <w:rPr>
                <w:sz w:val="22"/>
                <w:szCs w:val="22"/>
              </w:rPr>
              <w:t>that</w:t>
            </w:r>
            <w:proofErr w:type="spellEnd"/>
            <w:r>
              <w:rPr>
                <w:sz w:val="22"/>
                <w:szCs w:val="22"/>
              </w:rPr>
              <w:t xml:space="preserve"> OSE </w:t>
            </w:r>
            <w:proofErr w:type="spellStart"/>
            <w:r>
              <w:rPr>
                <w:sz w:val="22"/>
                <w:szCs w:val="22"/>
              </w:rPr>
              <w:t>will</w:t>
            </w:r>
            <w:proofErr w:type="spellEnd"/>
            <w:r>
              <w:rPr>
                <w:sz w:val="22"/>
                <w:szCs w:val="22"/>
              </w:rPr>
              <w:t xml:space="preserve"> </w:t>
            </w:r>
            <w:proofErr w:type="spellStart"/>
            <w:r>
              <w:rPr>
                <w:sz w:val="22"/>
                <w:szCs w:val="22"/>
              </w:rPr>
              <w:t>assume</w:t>
            </w:r>
            <w:proofErr w:type="spellEnd"/>
            <w:r>
              <w:rPr>
                <w:sz w:val="22"/>
                <w:szCs w:val="22"/>
              </w:rPr>
              <w:t xml:space="preserve"> </w:t>
            </w:r>
            <w:proofErr w:type="spellStart"/>
            <w:r>
              <w:rPr>
                <w:sz w:val="22"/>
                <w:szCs w:val="22"/>
              </w:rPr>
              <w:t>with</w:t>
            </w:r>
            <w:proofErr w:type="spellEnd"/>
            <w:r>
              <w:rPr>
                <w:sz w:val="22"/>
                <w:szCs w:val="22"/>
              </w:rPr>
              <w:t xml:space="preserve"> </w:t>
            </w:r>
            <w:proofErr w:type="spellStart"/>
            <w:r>
              <w:rPr>
                <w:sz w:val="22"/>
                <w:szCs w:val="22"/>
              </w:rPr>
              <w:t>respect</w:t>
            </w:r>
            <w:proofErr w:type="spellEnd"/>
            <w:r>
              <w:rPr>
                <w:sz w:val="22"/>
                <w:szCs w:val="22"/>
              </w:rPr>
              <w:t xml:space="preserve"> </w:t>
            </w:r>
            <w:proofErr w:type="spellStart"/>
            <w:r>
              <w:rPr>
                <w:sz w:val="22"/>
                <w:szCs w:val="22"/>
              </w:rPr>
              <w:t>to</w:t>
            </w:r>
            <w:proofErr w:type="spellEnd"/>
            <w:r>
              <w:rPr>
                <w:sz w:val="22"/>
                <w:szCs w:val="22"/>
              </w:rPr>
              <w:t xml:space="preserve"> </w:t>
            </w:r>
            <w:proofErr w:type="spellStart"/>
            <w:r>
              <w:rPr>
                <w:sz w:val="22"/>
                <w:szCs w:val="22"/>
              </w:rPr>
              <w:t>the</w:t>
            </w:r>
            <w:proofErr w:type="spellEnd"/>
            <w:r>
              <w:rPr>
                <w:sz w:val="22"/>
                <w:szCs w:val="22"/>
              </w:rPr>
              <w:t xml:space="preserve"> Letter </w:t>
            </w:r>
            <w:proofErr w:type="spellStart"/>
            <w:r>
              <w:rPr>
                <w:sz w:val="22"/>
                <w:szCs w:val="22"/>
              </w:rPr>
              <w:t>of</w:t>
            </w:r>
            <w:proofErr w:type="spellEnd"/>
            <w:r>
              <w:rPr>
                <w:sz w:val="22"/>
                <w:szCs w:val="22"/>
              </w:rPr>
              <w:t xml:space="preserve"> Credit </w:t>
            </w:r>
            <w:proofErr w:type="spellStart"/>
            <w:r>
              <w:rPr>
                <w:sz w:val="22"/>
                <w:szCs w:val="22"/>
              </w:rPr>
              <w:t>will</w:t>
            </w:r>
            <w:proofErr w:type="spellEnd"/>
            <w:r>
              <w:rPr>
                <w:sz w:val="22"/>
                <w:szCs w:val="22"/>
              </w:rPr>
              <w:t xml:space="preserve"> be </w:t>
            </w:r>
            <w:proofErr w:type="spellStart"/>
            <w:r>
              <w:rPr>
                <w:sz w:val="22"/>
                <w:szCs w:val="22"/>
              </w:rPr>
              <w:t>that</w:t>
            </w:r>
            <w:proofErr w:type="spellEnd"/>
            <w:r>
              <w:rPr>
                <w:sz w:val="22"/>
                <w:szCs w:val="22"/>
              </w:rPr>
              <w:t xml:space="preserve"> </w:t>
            </w:r>
            <w:proofErr w:type="spellStart"/>
            <w:r>
              <w:rPr>
                <w:sz w:val="22"/>
                <w:szCs w:val="22"/>
              </w:rPr>
              <w:t>of</w:t>
            </w:r>
            <w:proofErr w:type="spellEnd"/>
            <w:r>
              <w:rPr>
                <w:sz w:val="22"/>
                <w:szCs w:val="22"/>
              </w:rPr>
              <w:t xml:space="preserve"> </w:t>
            </w:r>
            <w:proofErr w:type="spellStart"/>
            <w:r>
              <w:rPr>
                <w:sz w:val="22"/>
                <w:szCs w:val="22"/>
              </w:rPr>
              <w:t>its</w:t>
            </w:r>
            <w:proofErr w:type="spellEnd"/>
            <w:r>
              <w:rPr>
                <w:sz w:val="22"/>
                <w:szCs w:val="22"/>
              </w:rPr>
              <w:t xml:space="preserve"> </w:t>
            </w:r>
            <w:proofErr w:type="spellStart"/>
            <w:r>
              <w:rPr>
                <w:sz w:val="22"/>
                <w:szCs w:val="22"/>
              </w:rPr>
              <w:t>issuance</w:t>
            </w:r>
            <w:proofErr w:type="spellEnd"/>
            <w:r>
              <w:rPr>
                <w:sz w:val="22"/>
                <w:szCs w:val="22"/>
              </w:rPr>
              <w:t xml:space="preserve">, </w:t>
            </w:r>
            <w:proofErr w:type="spellStart"/>
            <w:r>
              <w:rPr>
                <w:sz w:val="22"/>
                <w:szCs w:val="22"/>
              </w:rPr>
              <w:t>with</w:t>
            </w:r>
            <w:proofErr w:type="spellEnd"/>
            <w:r>
              <w:rPr>
                <w:sz w:val="22"/>
                <w:szCs w:val="22"/>
              </w:rPr>
              <w:t xml:space="preserve"> </w:t>
            </w:r>
            <w:proofErr w:type="spellStart"/>
            <w:r>
              <w:rPr>
                <w:sz w:val="22"/>
                <w:szCs w:val="22"/>
              </w:rPr>
              <w:t>all</w:t>
            </w:r>
            <w:proofErr w:type="spellEnd"/>
            <w:r>
              <w:rPr>
                <w:sz w:val="22"/>
                <w:szCs w:val="22"/>
              </w:rPr>
              <w:t xml:space="preserve"> </w:t>
            </w:r>
            <w:proofErr w:type="spellStart"/>
            <w:r>
              <w:rPr>
                <w:sz w:val="22"/>
                <w:szCs w:val="22"/>
              </w:rPr>
              <w:t>bank</w:t>
            </w:r>
            <w:proofErr w:type="spellEnd"/>
            <w:r>
              <w:rPr>
                <w:sz w:val="22"/>
                <w:szCs w:val="22"/>
              </w:rPr>
              <w:t xml:space="preserve"> </w:t>
            </w:r>
            <w:proofErr w:type="spellStart"/>
            <w:r>
              <w:rPr>
                <w:sz w:val="22"/>
                <w:szCs w:val="22"/>
              </w:rPr>
              <w:t>negotiation</w:t>
            </w:r>
            <w:proofErr w:type="spellEnd"/>
            <w:r>
              <w:rPr>
                <w:sz w:val="22"/>
                <w:szCs w:val="22"/>
              </w:rPr>
              <w:t xml:space="preserve"> expenses as </w:t>
            </w:r>
            <w:proofErr w:type="spellStart"/>
            <w:r>
              <w:rPr>
                <w:sz w:val="22"/>
                <w:szCs w:val="22"/>
              </w:rPr>
              <w:t>well</w:t>
            </w:r>
            <w:proofErr w:type="spellEnd"/>
            <w:r>
              <w:rPr>
                <w:sz w:val="22"/>
                <w:szCs w:val="22"/>
              </w:rPr>
              <w:t xml:space="preserve"> as </w:t>
            </w:r>
            <w:proofErr w:type="spellStart"/>
            <w:r>
              <w:rPr>
                <w:sz w:val="22"/>
                <w:szCs w:val="22"/>
              </w:rPr>
              <w:t>those</w:t>
            </w:r>
            <w:proofErr w:type="spellEnd"/>
            <w:r>
              <w:rPr>
                <w:sz w:val="22"/>
                <w:szCs w:val="22"/>
              </w:rPr>
              <w:t xml:space="preserve"> </w:t>
            </w:r>
            <w:proofErr w:type="spellStart"/>
            <w:r>
              <w:rPr>
                <w:sz w:val="22"/>
                <w:szCs w:val="22"/>
              </w:rPr>
              <w:t>generated</w:t>
            </w:r>
            <w:proofErr w:type="spellEnd"/>
            <w:r>
              <w:rPr>
                <w:sz w:val="22"/>
                <w:szCs w:val="22"/>
              </w:rPr>
              <w:t xml:space="preserve"> </w:t>
            </w:r>
            <w:proofErr w:type="spellStart"/>
            <w:r>
              <w:rPr>
                <w:sz w:val="22"/>
                <w:szCs w:val="22"/>
              </w:rPr>
              <w:t>outside</w:t>
            </w:r>
            <w:proofErr w:type="spellEnd"/>
            <w:r>
              <w:rPr>
                <w:sz w:val="22"/>
                <w:szCs w:val="22"/>
              </w:rPr>
              <w:t xml:space="preserve"> </w:t>
            </w:r>
            <w:proofErr w:type="spellStart"/>
            <w:r>
              <w:rPr>
                <w:sz w:val="22"/>
                <w:szCs w:val="22"/>
              </w:rPr>
              <w:t>the</w:t>
            </w:r>
            <w:proofErr w:type="spellEnd"/>
            <w:r>
              <w:rPr>
                <w:sz w:val="22"/>
                <w:szCs w:val="22"/>
              </w:rPr>
              <w:t xml:space="preserve"> country </w:t>
            </w:r>
            <w:proofErr w:type="spellStart"/>
            <w:r>
              <w:rPr>
                <w:sz w:val="22"/>
                <w:szCs w:val="22"/>
              </w:rPr>
              <w:t>being</w:t>
            </w:r>
            <w:proofErr w:type="spellEnd"/>
            <w:r>
              <w:rPr>
                <w:sz w:val="22"/>
                <w:szCs w:val="22"/>
              </w:rPr>
              <w:t xml:space="preserve"> </w:t>
            </w:r>
            <w:proofErr w:type="spellStart"/>
            <w:r>
              <w:rPr>
                <w:sz w:val="22"/>
                <w:szCs w:val="22"/>
              </w:rPr>
              <w:t>the</w:t>
            </w:r>
            <w:proofErr w:type="spellEnd"/>
            <w:r>
              <w:rPr>
                <w:sz w:val="22"/>
                <w:szCs w:val="22"/>
              </w:rPr>
              <w:t xml:space="preserve"> </w:t>
            </w:r>
            <w:proofErr w:type="spellStart"/>
            <w:r>
              <w:rPr>
                <w:sz w:val="22"/>
                <w:szCs w:val="22"/>
              </w:rPr>
              <w:t>responsibility</w:t>
            </w:r>
            <w:proofErr w:type="spellEnd"/>
            <w:r>
              <w:rPr>
                <w:sz w:val="22"/>
                <w:szCs w:val="22"/>
              </w:rPr>
              <w:t xml:space="preserve"> </w:t>
            </w:r>
            <w:proofErr w:type="spellStart"/>
            <w:r>
              <w:rPr>
                <w:sz w:val="22"/>
                <w:szCs w:val="22"/>
              </w:rPr>
              <w:t>of</w:t>
            </w:r>
            <w:proofErr w:type="spellEnd"/>
            <w:r>
              <w:rPr>
                <w:sz w:val="22"/>
                <w:szCs w:val="22"/>
              </w:rPr>
              <w:t xml:space="preserve"> </w:t>
            </w:r>
            <w:proofErr w:type="spellStart"/>
            <w:r>
              <w:rPr>
                <w:sz w:val="22"/>
                <w:szCs w:val="22"/>
              </w:rPr>
              <w:t>the</w:t>
            </w:r>
            <w:proofErr w:type="spellEnd"/>
            <w:r>
              <w:rPr>
                <w:sz w:val="22"/>
                <w:szCs w:val="22"/>
              </w:rPr>
              <w:t xml:space="preserve"> </w:t>
            </w:r>
            <w:proofErr w:type="spellStart"/>
            <w:r>
              <w:rPr>
                <w:sz w:val="22"/>
                <w:szCs w:val="22"/>
              </w:rPr>
              <w:t>beneficiary</w:t>
            </w:r>
            <w:proofErr w:type="spellEnd"/>
            <w:r>
              <w:rPr>
                <w:sz w:val="22"/>
                <w:szCs w:val="22"/>
              </w:rPr>
              <w:t>.</w:t>
            </w:r>
          </w:p>
          <w:p w14:paraId="5663AD88" w14:textId="77777777" w:rsidR="00E255F4" w:rsidRDefault="00E255F4">
            <w:pPr>
              <w:tabs>
                <w:tab w:val="left" w:pos="426"/>
              </w:tabs>
              <w:spacing w:line="240" w:lineRule="auto"/>
              <w:jc w:val="both"/>
              <w:textAlignment w:val="baseline"/>
              <w:rPr>
                <w:sz w:val="22"/>
                <w:szCs w:val="22"/>
              </w:rPr>
            </w:pPr>
          </w:p>
          <w:p w14:paraId="49050C87" w14:textId="77777777" w:rsidR="00E255F4" w:rsidRDefault="00000000">
            <w:pPr>
              <w:tabs>
                <w:tab w:val="left" w:pos="0"/>
              </w:tabs>
              <w:spacing w:line="240" w:lineRule="auto"/>
              <w:jc w:val="both"/>
              <w:textAlignment w:val="baseline"/>
              <w:rPr>
                <w:sz w:val="22"/>
                <w:szCs w:val="22"/>
              </w:rPr>
            </w:pPr>
            <w:proofErr w:type="spellStart"/>
            <w:r>
              <w:rPr>
                <w:sz w:val="22"/>
                <w:szCs w:val="22"/>
              </w:rPr>
              <w:t>If</w:t>
            </w:r>
            <w:proofErr w:type="spellEnd"/>
            <w:r>
              <w:rPr>
                <w:sz w:val="22"/>
                <w:szCs w:val="22"/>
              </w:rPr>
              <w:t xml:space="preserve"> </w:t>
            </w:r>
            <w:proofErr w:type="spellStart"/>
            <w:r>
              <w:rPr>
                <w:sz w:val="22"/>
                <w:szCs w:val="22"/>
              </w:rPr>
              <w:t>deemed</w:t>
            </w:r>
            <w:proofErr w:type="spellEnd"/>
            <w:r>
              <w:rPr>
                <w:sz w:val="22"/>
                <w:szCs w:val="22"/>
              </w:rPr>
              <w:t xml:space="preserve"> </w:t>
            </w:r>
            <w:proofErr w:type="spellStart"/>
            <w:r>
              <w:rPr>
                <w:sz w:val="22"/>
                <w:szCs w:val="22"/>
              </w:rPr>
              <w:t>appropriate</w:t>
            </w:r>
            <w:proofErr w:type="spellEnd"/>
            <w:r>
              <w:rPr>
                <w:sz w:val="22"/>
                <w:szCs w:val="22"/>
              </w:rPr>
              <w:t xml:space="preserve"> </w:t>
            </w:r>
            <w:proofErr w:type="spellStart"/>
            <w:r>
              <w:rPr>
                <w:sz w:val="22"/>
                <w:szCs w:val="22"/>
              </w:rPr>
              <w:t>by</w:t>
            </w:r>
            <w:proofErr w:type="spellEnd"/>
            <w:r>
              <w:rPr>
                <w:sz w:val="22"/>
                <w:szCs w:val="22"/>
              </w:rPr>
              <w:t xml:space="preserve"> OSE, </w:t>
            </w:r>
            <w:proofErr w:type="spellStart"/>
            <w:r>
              <w:rPr>
                <w:sz w:val="22"/>
                <w:szCs w:val="22"/>
              </w:rPr>
              <w:t>it</w:t>
            </w:r>
            <w:proofErr w:type="spellEnd"/>
            <w:r>
              <w:rPr>
                <w:sz w:val="22"/>
                <w:szCs w:val="22"/>
              </w:rPr>
              <w:t xml:space="preserve"> </w:t>
            </w:r>
            <w:proofErr w:type="spellStart"/>
            <w:r>
              <w:rPr>
                <w:sz w:val="22"/>
                <w:szCs w:val="22"/>
              </w:rPr>
              <w:t>may</w:t>
            </w:r>
            <w:proofErr w:type="spellEnd"/>
            <w:r>
              <w:rPr>
                <w:sz w:val="22"/>
                <w:szCs w:val="22"/>
              </w:rPr>
              <w:t xml:space="preserve"> </w:t>
            </w:r>
            <w:proofErr w:type="spellStart"/>
            <w:r>
              <w:rPr>
                <w:sz w:val="22"/>
                <w:szCs w:val="22"/>
              </w:rPr>
              <w:t>choose</w:t>
            </w:r>
            <w:proofErr w:type="spellEnd"/>
            <w:r>
              <w:rPr>
                <w:sz w:val="22"/>
                <w:szCs w:val="22"/>
              </w:rPr>
              <w:t xml:space="preserve"> a </w:t>
            </w:r>
            <w:proofErr w:type="spellStart"/>
            <w:r>
              <w:rPr>
                <w:sz w:val="22"/>
                <w:szCs w:val="22"/>
              </w:rPr>
              <w:t>payment</w:t>
            </w:r>
            <w:proofErr w:type="spellEnd"/>
            <w:r>
              <w:rPr>
                <w:sz w:val="22"/>
                <w:szCs w:val="22"/>
              </w:rPr>
              <w:t xml:space="preserve"> </w:t>
            </w:r>
            <w:proofErr w:type="spellStart"/>
            <w:r>
              <w:rPr>
                <w:sz w:val="22"/>
                <w:szCs w:val="22"/>
              </w:rPr>
              <w:t>method</w:t>
            </w:r>
            <w:proofErr w:type="spellEnd"/>
            <w:r>
              <w:rPr>
                <w:sz w:val="22"/>
                <w:szCs w:val="22"/>
              </w:rPr>
              <w:t xml:space="preserve"> </w:t>
            </w:r>
            <w:proofErr w:type="spellStart"/>
            <w:r>
              <w:rPr>
                <w:sz w:val="22"/>
                <w:szCs w:val="22"/>
              </w:rPr>
              <w:t>other</w:t>
            </w:r>
            <w:proofErr w:type="spellEnd"/>
            <w:r>
              <w:rPr>
                <w:sz w:val="22"/>
                <w:szCs w:val="22"/>
              </w:rPr>
              <w:t xml:space="preserve"> </w:t>
            </w:r>
            <w:proofErr w:type="spellStart"/>
            <w:r>
              <w:rPr>
                <w:sz w:val="22"/>
                <w:szCs w:val="22"/>
              </w:rPr>
              <w:t>than</w:t>
            </w:r>
            <w:proofErr w:type="spellEnd"/>
            <w:r>
              <w:rPr>
                <w:sz w:val="22"/>
                <w:szCs w:val="22"/>
              </w:rPr>
              <w:t xml:space="preserve"> a </w:t>
            </w:r>
            <w:proofErr w:type="spellStart"/>
            <w:r>
              <w:rPr>
                <w:sz w:val="22"/>
                <w:szCs w:val="22"/>
              </w:rPr>
              <w:t>letter</w:t>
            </w:r>
            <w:proofErr w:type="spellEnd"/>
            <w:r>
              <w:rPr>
                <w:sz w:val="22"/>
                <w:szCs w:val="22"/>
              </w:rPr>
              <w:t xml:space="preserve"> </w:t>
            </w:r>
            <w:proofErr w:type="spellStart"/>
            <w:r>
              <w:rPr>
                <w:sz w:val="22"/>
                <w:szCs w:val="22"/>
              </w:rPr>
              <w:t>of</w:t>
            </w:r>
            <w:proofErr w:type="spellEnd"/>
            <w:r>
              <w:rPr>
                <w:sz w:val="22"/>
                <w:szCs w:val="22"/>
              </w:rPr>
              <w:t xml:space="preserve"> </w:t>
            </w:r>
            <w:proofErr w:type="spellStart"/>
            <w:r>
              <w:rPr>
                <w:sz w:val="22"/>
                <w:szCs w:val="22"/>
              </w:rPr>
              <w:t>credit</w:t>
            </w:r>
            <w:proofErr w:type="spellEnd"/>
            <w:r>
              <w:rPr>
                <w:sz w:val="22"/>
                <w:szCs w:val="22"/>
              </w:rPr>
              <w:t xml:space="preserve">. Payment </w:t>
            </w:r>
            <w:proofErr w:type="spellStart"/>
            <w:r>
              <w:rPr>
                <w:sz w:val="22"/>
                <w:szCs w:val="22"/>
              </w:rPr>
              <w:t>will</w:t>
            </w:r>
            <w:proofErr w:type="spellEnd"/>
            <w:r>
              <w:rPr>
                <w:sz w:val="22"/>
                <w:szCs w:val="22"/>
              </w:rPr>
              <w:t xml:space="preserve"> be </w:t>
            </w:r>
            <w:proofErr w:type="spellStart"/>
            <w:r>
              <w:rPr>
                <w:sz w:val="22"/>
                <w:szCs w:val="22"/>
              </w:rPr>
              <w:t>made</w:t>
            </w:r>
            <w:proofErr w:type="spellEnd"/>
            <w:r>
              <w:rPr>
                <w:sz w:val="22"/>
                <w:szCs w:val="22"/>
              </w:rPr>
              <w:t xml:space="preserve"> in full </w:t>
            </w:r>
            <w:proofErr w:type="spellStart"/>
            <w:r>
              <w:rPr>
                <w:sz w:val="22"/>
                <w:szCs w:val="22"/>
              </w:rPr>
              <w:t>within</w:t>
            </w:r>
            <w:proofErr w:type="spellEnd"/>
            <w:r>
              <w:rPr>
                <w:sz w:val="22"/>
                <w:szCs w:val="22"/>
              </w:rPr>
              <w:t xml:space="preserve"> 60 (</w:t>
            </w:r>
            <w:proofErr w:type="spellStart"/>
            <w:r>
              <w:rPr>
                <w:sz w:val="22"/>
                <w:szCs w:val="22"/>
              </w:rPr>
              <w:t>sixty</w:t>
            </w:r>
            <w:proofErr w:type="spellEnd"/>
            <w:r>
              <w:rPr>
                <w:sz w:val="22"/>
                <w:szCs w:val="22"/>
              </w:rPr>
              <w:t xml:space="preserve">) </w:t>
            </w:r>
            <w:proofErr w:type="spellStart"/>
            <w:r>
              <w:rPr>
                <w:sz w:val="22"/>
                <w:szCs w:val="22"/>
              </w:rPr>
              <w:t>days</w:t>
            </w:r>
            <w:proofErr w:type="spellEnd"/>
            <w:r>
              <w:rPr>
                <w:sz w:val="22"/>
                <w:szCs w:val="22"/>
              </w:rPr>
              <w:t xml:space="preserve"> </w:t>
            </w:r>
            <w:proofErr w:type="spellStart"/>
            <w:r>
              <w:rPr>
                <w:sz w:val="22"/>
                <w:szCs w:val="22"/>
              </w:rPr>
              <w:t>of</w:t>
            </w:r>
            <w:proofErr w:type="spellEnd"/>
            <w:r>
              <w:rPr>
                <w:sz w:val="22"/>
                <w:szCs w:val="22"/>
              </w:rPr>
              <w:t xml:space="preserve"> </w:t>
            </w:r>
            <w:proofErr w:type="spellStart"/>
            <w:r>
              <w:rPr>
                <w:sz w:val="22"/>
                <w:szCs w:val="22"/>
              </w:rPr>
              <w:t>acceptance</w:t>
            </w:r>
            <w:proofErr w:type="spellEnd"/>
            <w:r>
              <w:rPr>
                <w:sz w:val="22"/>
                <w:szCs w:val="22"/>
              </w:rPr>
              <w:t xml:space="preserve"> </w:t>
            </w:r>
            <w:proofErr w:type="spellStart"/>
            <w:r>
              <w:rPr>
                <w:sz w:val="22"/>
                <w:szCs w:val="22"/>
              </w:rPr>
              <w:t>of</w:t>
            </w:r>
            <w:proofErr w:type="spellEnd"/>
            <w:r>
              <w:rPr>
                <w:sz w:val="22"/>
                <w:szCs w:val="22"/>
              </w:rPr>
              <w:t xml:space="preserve"> </w:t>
            </w:r>
            <w:proofErr w:type="spellStart"/>
            <w:r>
              <w:rPr>
                <w:sz w:val="22"/>
                <w:szCs w:val="22"/>
              </w:rPr>
              <w:t>the</w:t>
            </w:r>
            <w:proofErr w:type="spellEnd"/>
            <w:r>
              <w:rPr>
                <w:sz w:val="22"/>
                <w:szCs w:val="22"/>
              </w:rPr>
              <w:t xml:space="preserve"> </w:t>
            </w:r>
            <w:proofErr w:type="spellStart"/>
            <w:r>
              <w:rPr>
                <w:sz w:val="22"/>
                <w:szCs w:val="22"/>
              </w:rPr>
              <w:t>merchandise</w:t>
            </w:r>
            <w:proofErr w:type="spellEnd"/>
            <w:r>
              <w:rPr>
                <w:sz w:val="22"/>
                <w:szCs w:val="22"/>
              </w:rPr>
              <w:t>.</w:t>
            </w:r>
          </w:p>
          <w:p w14:paraId="61BE73E1" w14:textId="77777777" w:rsidR="00E255F4" w:rsidRDefault="00E255F4">
            <w:pPr>
              <w:pStyle w:val="Prrafodelista"/>
              <w:ind w:left="0"/>
              <w:jc w:val="both"/>
              <w:rPr>
                <w:rFonts w:eastAsia="Palatino Linotype"/>
                <w:spacing w:val="-1"/>
                <w:sz w:val="22"/>
                <w:szCs w:val="22"/>
                <w:lang w:val="es-ES" w:eastAsia="en-US"/>
              </w:rPr>
            </w:pPr>
          </w:p>
          <w:p w14:paraId="62705A99" w14:textId="77777777" w:rsidR="00E255F4" w:rsidRDefault="00000000">
            <w:pPr>
              <w:pStyle w:val="Prrafodelista"/>
              <w:numPr>
                <w:ilvl w:val="0"/>
                <w:numId w:val="75"/>
              </w:numPr>
              <w:spacing w:after="240"/>
              <w:jc w:val="both"/>
            </w:pPr>
            <w:r>
              <w:rPr>
                <w:rFonts w:eastAsia="Palatino Linotype"/>
                <w:b/>
                <w:spacing w:val="-1"/>
                <w:sz w:val="22"/>
                <w:szCs w:val="22"/>
                <w:lang w:val="es-ES" w:eastAsia="en-US"/>
              </w:rPr>
              <w:t xml:space="preserve">Payment </w:t>
            </w:r>
            <w:proofErr w:type="spellStart"/>
            <w:r>
              <w:rPr>
                <w:rFonts w:eastAsia="Palatino Linotype"/>
                <w:b/>
                <w:spacing w:val="-1"/>
                <w:sz w:val="22"/>
                <w:szCs w:val="22"/>
                <w:lang w:val="es-ES" w:eastAsia="en-US"/>
              </w:rPr>
              <w:t>for</w:t>
            </w:r>
            <w:proofErr w:type="spellEnd"/>
            <w:r>
              <w:rPr>
                <w:rFonts w:eastAsia="Palatino Linotype"/>
                <w:b/>
                <w:spacing w:val="-1"/>
                <w:sz w:val="22"/>
                <w:szCs w:val="22"/>
                <w:lang w:val="es-ES" w:eastAsia="en-US"/>
              </w:rPr>
              <w:t xml:space="preserve"> </w:t>
            </w:r>
            <w:proofErr w:type="spellStart"/>
            <w:r>
              <w:rPr>
                <w:rFonts w:eastAsia="Palatino Linotype"/>
                <w:b/>
                <w:spacing w:val="-1"/>
                <w:sz w:val="22"/>
                <w:szCs w:val="22"/>
                <w:lang w:val="es-ES" w:eastAsia="en-US"/>
              </w:rPr>
              <w:t>Services</w:t>
            </w:r>
            <w:proofErr w:type="spellEnd"/>
            <w:r>
              <w:rPr>
                <w:rFonts w:eastAsia="Palatino Linotype"/>
                <w:b/>
                <w:spacing w:val="-1"/>
                <w:sz w:val="22"/>
                <w:szCs w:val="22"/>
                <w:lang w:val="es-ES" w:eastAsia="en-US"/>
              </w:rPr>
              <w:t xml:space="preserve"> </w:t>
            </w:r>
            <w:proofErr w:type="spellStart"/>
            <w:r>
              <w:rPr>
                <w:rFonts w:eastAsia="Palatino Linotype"/>
                <w:b/>
                <w:spacing w:val="-1"/>
                <w:sz w:val="22"/>
                <w:szCs w:val="22"/>
                <w:lang w:val="es-ES" w:eastAsia="en-US"/>
              </w:rPr>
              <w:t>under</w:t>
            </w:r>
            <w:proofErr w:type="spellEnd"/>
            <w:r>
              <w:rPr>
                <w:rFonts w:eastAsia="Palatino Linotype"/>
                <w:b/>
                <w:spacing w:val="-1"/>
                <w:sz w:val="22"/>
                <w:szCs w:val="22"/>
                <w:lang w:val="es-ES" w:eastAsia="en-US"/>
              </w:rPr>
              <w:t xml:space="preserve"> </w:t>
            </w:r>
            <w:proofErr w:type="spellStart"/>
            <w:r>
              <w:rPr>
                <w:rFonts w:eastAsia="Palatino Linotype"/>
                <w:b/>
                <w:spacing w:val="-1"/>
                <w:sz w:val="22"/>
                <w:szCs w:val="22"/>
                <w:lang w:val="es-ES" w:eastAsia="en-US"/>
              </w:rPr>
              <w:t>Items</w:t>
            </w:r>
            <w:proofErr w:type="spellEnd"/>
            <w:r>
              <w:rPr>
                <w:rFonts w:eastAsia="Palatino Linotype"/>
                <w:b/>
                <w:spacing w:val="-1"/>
                <w:sz w:val="22"/>
                <w:szCs w:val="22"/>
                <w:lang w:val="es-ES" w:eastAsia="en-US"/>
              </w:rPr>
              <w:t xml:space="preserve"> 2 and 3</w:t>
            </w:r>
          </w:p>
          <w:p w14:paraId="0B5093F3" w14:textId="77777777" w:rsidR="00E255F4" w:rsidRDefault="00000000">
            <w:pPr>
              <w:pStyle w:val="Prrafodelista"/>
              <w:ind w:left="0"/>
              <w:jc w:val="both"/>
              <w:rPr>
                <w:rFonts w:eastAsia="Palatino Linotype"/>
                <w:spacing w:val="-1"/>
                <w:sz w:val="22"/>
                <w:szCs w:val="22"/>
                <w:lang w:val="es-ES" w:eastAsia="en-US"/>
              </w:rPr>
            </w:pPr>
            <w:r>
              <w:rPr>
                <w:rFonts w:eastAsia="Palatino Linotype"/>
                <w:spacing w:val="-1"/>
                <w:sz w:val="22"/>
                <w:szCs w:val="22"/>
                <w:lang w:val="es-ES" w:eastAsia="en-US"/>
              </w:rPr>
              <w:t xml:space="preserve">The </w:t>
            </w:r>
            <w:proofErr w:type="spellStart"/>
            <w:r>
              <w:rPr>
                <w:rFonts w:eastAsia="Palatino Linotype"/>
                <w:spacing w:val="-1"/>
                <w:sz w:val="22"/>
                <w:szCs w:val="22"/>
                <w:lang w:val="es-ES" w:eastAsia="en-US"/>
              </w:rPr>
              <w:t>payment</w:t>
            </w:r>
            <w:proofErr w:type="spellEnd"/>
            <w:r>
              <w:rPr>
                <w:rFonts w:eastAsia="Palatino Linotype"/>
                <w:spacing w:val="-1"/>
                <w:sz w:val="22"/>
                <w:szCs w:val="22"/>
                <w:lang w:val="es-ES" w:eastAsia="en-US"/>
              </w:rPr>
              <w:t xml:space="preserve"> </w:t>
            </w:r>
            <w:proofErr w:type="spellStart"/>
            <w:r>
              <w:rPr>
                <w:rFonts w:eastAsia="Palatino Linotype"/>
                <w:spacing w:val="-1"/>
                <w:sz w:val="22"/>
                <w:szCs w:val="22"/>
                <w:lang w:val="es-ES" w:eastAsia="en-US"/>
              </w:rPr>
              <w:t>term</w:t>
            </w:r>
            <w:proofErr w:type="spellEnd"/>
            <w:r>
              <w:rPr>
                <w:rFonts w:eastAsia="Palatino Linotype"/>
                <w:spacing w:val="-1"/>
                <w:sz w:val="22"/>
                <w:szCs w:val="22"/>
                <w:lang w:val="es-ES" w:eastAsia="en-US"/>
              </w:rPr>
              <w:t xml:space="preserve"> </w:t>
            </w:r>
            <w:proofErr w:type="spellStart"/>
            <w:r>
              <w:rPr>
                <w:rFonts w:eastAsia="Palatino Linotype"/>
                <w:spacing w:val="-1"/>
                <w:sz w:val="22"/>
                <w:szCs w:val="22"/>
                <w:lang w:val="es-ES" w:eastAsia="en-US"/>
              </w:rPr>
              <w:t>is</w:t>
            </w:r>
            <w:proofErr w:type="spellEnd"/>
            <w:r>
              <w:rPr>
                <w:rFonts w:eastAsia="Palatino Linotype"/>
                <w:spacing w:val="-1"/>
                <w:sz w:val="22"/>
                <w:szCs w:val="22"/>
                <w:lang w:val="es-ES" w:eastAsia="en-US"/>
              </w:rPr>
              <w:t xml:space="preserve"> 30 (</w:t>
            </w:r>
            <w:proofErr w:type="spellStart"/>
            <w:r>
              <w:rPr>
                <w:rFonts w:eastAsia="Palatino Linotype"/>
                <w:spacing w:val="-1"/>
                <w:sz w:val="22"/>
                <w:szCs w:val="22"/>
                <w:lang w:val="es-ES" w:eastAsia="en-US"/>
              </w:rPr>
              <w:t>thirty</w:t>
            </w:r>
            <w:proofErr w:type="spellEnd"/>
            <w:r>
              <w:rPr>
                <w:rFonts w:eastAsia="Palatino Linotype"/>
                <w:spacing w:val="-1"/>
                <w:sz w:val="22"/>
                <w:szCs w:val="22"/>
                <w:lang w:val="es-ES" w:eastAsia="en-US"/>
              </w:rPr>
              <w:t xml:space="preserve">) </w:t>
            </w:r>
            <w:proofErr w:type="spellStart"/>
            <w:r>
              <w:rPr>
                <w:rFonts w:eastAsia="Palatino Linotype"/>
                <w:spacing w:val="-1"/>
                <w:sz w:val="22"/>
                <w:szCs w:val="22"/>
                <w:lang w:val="es-ES" w:eastAsia="en-US"/>
              </w:rPr>
              <w:t>days</w:t>
            </w:r>
            <w:proofErr w:type="spellEnd"/>
            <w:r>
              <w:rPr>
                <w:rFonts w:eastAsia="Palatino Linotype"/>
                <w:spacing w:val="-1"/>
                <w:sz w:val="22"/>
                <w:szCs w:val="22"/>
                <w:lang w:val="es-ES" w:eastAsia="en-US"/>
              </w:rPr>
              <w:t xml:space="preserve"> </w:t>
            </w:r>
            <w:proofErr w:type="spellStart"/>
            <w:r>
              <w:rPr>
                <w:rFonts w:eastAsia="Palatino Linotype"/>
                <w:spacing w:val="-1"/>
                <w:sz w:val="22"/>
                <w:szCs w:val="22"/>
                <w:lang w:val="es-ES" w:eastAsia="en-US"/>
              </w:rPr>
              <w:t>from</w:t>
            </w:r>
            <w:proofErr w:type="spellEnd"/>
            <w:r>
              <w:rPr>
                <w:rFonts w:eastAsia="Palatino Linotype"/>
                <w:spacing w:val="-1"/>
                <w:sz w:val="22"/>
                <w:szCs w:val="22"/>
                <w:lang w:val="es-ES" w:eastAsia="en-US"/>
              </w:rPr>
              <w:t xml:space="preserve"> </w:t>
            </w:r>
            <w:proofErr w:type="spellStart"/>
            <w:r>
              <w:rPr>
                <w:rFonts w:eastAsia="Palatino Linotype"/>
                <w:spacing w:val="-1"/>
                <w:sz w:val="22"/>
                <w:szCs w:val="22"/>
                <w:lang w:val="es-ES" w:eastAsia="en-US"/>
              </w:rPr>
              <w:t>the</w:t>
            </w:r>
            <w:proofErr w:type="spellEnd"/>
            <w:r>
              <w:rPr>
                <w:rFonts w:eastAsia="Palatino Linotype"/>
                <w:spacing w:val="-1"/>
                <w:sz w:val="22"/>
                <w:szCs w:val="22"/>
                <w:lang w:val="es-ES" w:eastAsia="en-US"/>
              </w:rPr>
              <w:t xml:space="preserve"> </w:t>
            </w:r>
            <w:proofErr w:type="spellStart"/>
            <w:r>
              <w:rPr>
                <w:rFonts w:eastAsia="Palatino Linotype"/>
                <w:spacing w:val="-1"/>
                <w:sz w:val="22"/>
                <w:szCs w:val="22"/>
                <w:lang w:val="es-ES" w:eastAsia="en-US"/>
              </w:rPr>
              <w:t>invoice</w:t>
            </w:r>
            <w:proofErr w:type="spellEnd"/>
            <w:r>
              <w:rPr>
                <w:rFonts w:eastAsia="Palatino Linotype"/>
                <w:spacing w:val="-1"/>
                <w:sz w:val="22"/>
                <w:szCs w:val="22"/>
                <w:lang w:val="es-ES" w:eastAsia="en-US"/>
              </w:rPr>
              <w:t xml:space="preserve"> date.</w:t>
            </w:r>
          </w:p>
          <w:p w14:paraId="2D488820" w14:textId="77777777" w:rsidR="00E255F4" w:rsidRDefault="00E255F4">
            <w:pPr>
              <w:pStyle w:val="Prrafodelista"/>
              <w:ind w:left="0"/>
              <w:jc w:val="both"/>
              <w:rPr>
                <w:rFonts w:eastAsia="Palatino Linotype"/>
                <w:spacing w:val="-1"/>
                <w:sz w:val="22"/>
                <w:szCs w:val="22"/>
                <w:lang w:val="es-ES" w:eastAsia="en-US"/>
              </w:rPr>
            </w:pPr>
          </w:p>
          <w:p w14:paraId="529B0BF7" w14:textId="77777777" w:rsidR="00E255F4" w:rsidRDefault="00E255F4">
            <w:pPr>
              <w:jc w:val="both"/>
              <w:rPr>
                <w:rFonts w:eastAsia="Palatino Linotype"/>
                <w:spacing w:val="-1"/>
                <w:sz w:val="22"/>
                <w:szCs w:val="22"/>
                <w:lang w:val="es-ES" w:eastAsia="en-US"/>
              </w:rPr>
            </w:pPr>
          </w:p>
          <w:p w14:paraId="2126E27E" w14:textId="77777777" w:rsidR="00E255F4" w:rsidRDefault="00000000">
            <w:pPr>
              <w:pStyle w:val="Prrafodelista"/>
              <w:numPr>
                <w:ilvl w:val="0"/>
                <w:numId w:val="75"/>
              </w:numPr>
              <w:spacing w:after="240"/>
              <w:jc w:val="both"/>
              <w:rPr>
                <w:rFonts w:eastAsia="Palatino Linotype"/>
                <w:spacing w:val="-1"/>
                <w:sz w:val="22"/>
                <w:szCs w:val="22"/>
                <w:lang w:val="es-ES" w:eastAsia="en-US"/>
              </w:rPr>
            </w:pPr>
            <w:r>
              <w:rPr>
                <w:rFonts w:eastAsia="Palatino Linotype"/>
                <w:b/>
                <w:position w:val="1"/>
                <w:sz w:val="22"/>
                <w:szCs w:val="22"/>
                <w:lang w:val="es-ES" w:eastAsia="en-US"/>
              </w:rPr>
              <w:t xml:space="preserve">Payment </w:t>
            </w:r>
            <w:proofErr w:type="spellStart"/>
            <w:r>
              <w:rPr>
                <w:rFonts w:eastAsia="Palatino Linotype"/>
                <w:b/>
                <w:position w:val="1"/>
                <w:sz w:val="22"/>
                <w:szCs w:val="22"/>
                <w:lang w:val="es-ES" w:eastAsia="en-US"/>
              </w:rPr>
              <w:t>for</w:t>
            </w:r>
            <w:proofErr w:type="spellEnd"/>
            <w:r>
              <w:rPr>
                <w:rFonts w:eastAsia="Palatino Linotype"/>
                <w:b/>
                <w:position w:val="1"/>
                <w:sz w:val="22"/>
                <w:szCs w:val="22"/>
                <w:lang w:val="es-ES" w:eastAsia="en-US"/>
              </w:rPr>
              <w:t xml:space="preserve"> </w:t>
            </w:r>
            <w:proofErr w:type="spellStart"/>
            <w:r>
              <w:rPr>
                <w:rFonts w:eastAsia="Palatino Linotype"/>
                <w:b/>
                <w:position w:val="1"/>
                <w:sz w:val="22"/>
                <w:szCs w:val="22"/>
                <w:lang w:val="es-ES" w:eastAsia="en-US"/>
              </w:rPr>
              <w:t>goods</w:t>
            </w:r>
            <w:proofErr w:type="spellEnd"/>
            <w:r>
              <w:rPr>
                <w:rFonts w:eastAsia="Palatino Linotype"/>
                <w:b/>
                <w:position w:val="1"/>
                <w:sz w:val="22"/>
                <w:szCs w:val="22"/>
                <w:lang w:val="es-ES" w:eastAsia="en-US"/>
              </w:rPr>
              <w:t xml:space="preserve"> </w:t>
            </w:r>
            <w:proofErr w:type="spellStart"/>
            <w:r>
              <w:rPr>
                <w:rFonts w:eastAsia="Palatino Linotype"/>
                <w:b/>
                <w:position w:val="1"/>
                <w:sz w:val="22"/>
                <w:szCs w:val="22"/>
                <w:lang w:val="es-ES" w:eastAsia="en-US"/>
              </w:rPr>
              <w:t>offered</w:t>
            </w:r>
            <w:proofErr w:type="spellEnd"/>
            <w:r>
              <w:rPr>
                <w:rFonts w:eastAsia="Palatino Linotype"/>
                <w:b/>
                <w:position w:val="1"/>
                <w:sz w:val="22"/>
                <w:szCs w:val="22"/>
                <w:lang w:val="es-ES" w:eastAsia="en-US"/>
              </w:rPr>
              <w:t xml:space="preserve"> in </w:t>
            </w:r>
            <w:proofErr w:type="spellStart"/>
            <w:r>
              <w:rPr>
                <w:rFonts w:eastAsia="Palatino Linotype"/>
                <w:b/>
                <w:position w:val="1"/>
                <w:sz w:val="22"/>
                <w:szCs w:val="22"/>
                <w:lang w:val="es-ES" w:eastAsia="en-US"/>
              </w:rPr>
              <w:t>the</w:t>
            </w:r>
            <w:proofErr w:type="spellEnd"/>
            <w:r>
              <w:rPr>
                <w:rFonts w:eastAsia="Palatino Linotype"/>
                <w:b/>
                <w:position w:val="1"/>
                <w:sz w:val="22"/>
                <w:szCs w:val="22"/>
                <w:lang w:val="es-ES" w:eastAsia="en-US"/>
              </w:rPr>
              <w:t xml:space="preserve"> </w:t>
            </w:r>
            <w:proofErr w:type="spellStart"/>
            <w:r>
              <w:rPr>
                <w:rFonts w:eastAsia="Palatino Linotype"/>
                <w:b/>
                <w:position w:val="1"/>
                <w:sz w:val="22"/>
                <w:szCs w:val="22"/>
                <w:lang w:val="es-ES" w:eastAsia="en-US"/>
              </w:rPr>
              <w:t>market</w:t>
            </w:r>
            <w:proofErr w:type="spellEnd"/>
            <w:r>
              <w:rPr>
                <w:rFonts w:eastAsia="Palatino Linotype"/>
                <w:b/>
                <w:position w:val="1"/>
                <w:sz w:val="22"/>
                <w:szCs w:val="22"/>
                <w:lang w:val="es-ES" w:eastAsia="en-US"/>
              </w:rPr>
              <w:t xml:space="preserve"> (</w:t>
            </w:r>
            <w:proofErr w:type="spellStart"/>
            <w:r>
              <w:rPr>
                <w:rFonts w:eastAsia="Palatino Linotype"/>
                <w:b/>
                <w:position w:val="1"/>
                <w:sz w:val="22"/>
                <w:szCs w:val="22"/>
                <w:lang w:val="es-ES" w:eastAsia="en-US"/>
              </w:rPr>
              <w:t>domestically</w:t>
            </w:r>
            <w:proofErr w:type="spellEnd"/>
            <w:r>
              <w:rPr>
                <w:rFonts w:eastAsia="Palatino Linotype"/>
                <w:b/>
                <w:position w:val="1"/>
                <w:sz w:val="22"/>
                <w:szCs w:val="22"/>
                <w:lang w:val="es-ES" w:eastAsia="en-US"/>
              </w:rPr>
              <w:t xml:space="preserve"> </w:t>
            </w:r>
            <w:proofErr w:type="spellStart"/>
            <w:r>
              <w:rPr>
                <w:rFonts w:eastAsia="Palatino Linotype"/>
                <w:b/>
                <w:position w:val="1"/>
                <w:sz w:val="22"/>
                <w:szCs w:val="22"/>
                <w:lang w:val="es-ES" w:eastAsia="en-US"/>
              </w:rPr>
              <w:t>manufactured</w:t>
            </w:r>
            <w:proofErr w:type="spellEnd"/>
            <w:r>
              <w:rPr>
                <w:rFonts w:eastAsia="Palatino Linotype"/>
                <w:b/>
                <w:position w:val="1"/>
                <w:sz w:val="22"/>
                <w:szCs w:val="22"/>
                <w:lang w:val="es-ES" w:eastAsia="en-US"/>
              </w:rPr>
              <w:t xml:space="preserve"> </w:t>
            </w:r>
            <w:proofErr w:type="spellStart"/>
            <w:r>
              <w:rPr>
                <w:rFonts w:eastAsia="Palatino Linotype"/>
                <w:b/>
                <w:position w:val="1"/>
                <w:sz w:val="22"/>
                <w:szCs w:val="22"/>
                <w:lang w:val="es-ES" w:eastAsia="en-US"/>
              </w:rPr>
              <w:t>or</w:t>
            </w:r>
            <w:proofErr w:type="spellEnd"/>
            <w:r>
              <w:rPr>
                <w:rFonts w:eastAsia="Palatino Linotype"/>
                <w:b/>
                <w:position w:val="1"/>
                <w:sz w:val="22"/>
                <w:szCs w:val="22"/>
                <w:lang w:val="es-ES" w:eastAsia="en-US"/>
              </w:rPr>
              <w:t xml:space="preserve"> </w:t>
            </w:r>
            <w:proofErr w:type="spellStart"/>
            <w:r>
              <w:rPr>
                <w:rFonts w:eastAsia="Palatino Linotype"/>
                <w:b/>
                <w:position w:val="1"/>
                <w:sz w:val="22"/>
                <w:szCs w:val="22"/>
                <w:lang w:val="es-ES" w:eastAsia="en-US"/>
              </w:rPr>
              <w:t>imported</w:t>
            </w:r>
            <w:proofErr w:type="spellEnd"/>
            <w:r>
              <w:rPr>
                <w:rFonts w:eastAsia="Palatino Linotype"/>
                <w:b/>
                <w:position w:val="1"/>
                <w:sz w:val="22"/>
                <w:szCs w:val="22"/>
                <w:lang w:val="es-ES" w:eastAsia="en-US"/>
              </w:rPr>
              <w:t xml:space="preserve"> </w:t>
            </w:r>
            <w:proofErr w:type="spellStart"/>
            <w:r>
              <w:rPr>
                <w:rFonts w:eastAsia="Palatino Linotype"/>
                <w:b/>
                <w:position w:val="1"/>
                <w:sz w:val="22"/>
                <w:szCs w:val="22"/>
                <w:lang w:val="es-ES" w:eastAsia="en-US"/>
              </w:rPr>
              <w:t>goods</w:t>
            </w:r>
            <w:proofErr w:type="spellEnd"/>
            <w:r>
              <w:rPr>
                <w:rFonts w:eastAsia="Palatino Linotype"/>
                <w:b/>
                <w:position w:val="1"/>
                <w:sz w:val="22"/>
                <w:szCs w:val="22"/>
                <w:lang w:val="es-ES" w:eastAsia="en-US"/>
              </w:rPr>
              <w:t xml:space="preserve">), </w:t>
            </w:r>
            <w:proofErr w:type="spellStart"/>
            <w:r>
              <w:rPr>
                <w:rFonts w:eastAsia="Palatino Linotype"/>
                <w:b/>
                <w:position w:val="1"/>
                <w:sz w:val="22"/>
                <w:szCs w:val="22"/>
                <w:lang w:val="es-ES" w:eastAsia="en-US"/>
              </w:rPr>
              <w:t>quoted</w:t>
            </w:r>
            <w:proofErr w:type="spellEnd"/>
            <w:r>
              <w:rPr>
                <w:rFonts w:eastAsia="Palatino Linotype"/>
                <w:b/>
                <w:position w:val="1"/>
                <w:sz w:val="22"/>
                <w:szCs w:val="22"/>
                <w:lang w:val="es-ES" w:eastAsia="en-US"/>
              </w:rPr>
              <w:t xml:space="preserve"> in </w:t>
            </w:r>
            <w:proofErr w:type="spellStart"/>
            <w:r>
              <w:rPr>
                <w:rFonts w:eastAsia="Palatino Linotype"/>
                <w:b/>
                <w:position w:val="1"/>
                <w:sz w:val="22"/>
                <w:szCs w:val="22"/>
                <w:lang w:val="es-ES" w:eastAsia="en-US"/>
              </w:rPr>
              <w:t>foreign</w:t>
            </w:r>
            <w:proofErr w:type="spellEnd"/>
            <w:r>
              <w:rPr>
                <w:rFonts w:eastAsia="Palatino Linotype"/>
                <w:b/>
                <w:position w:val="1"/>
                <w:sz w:val="22"/>
                <w:szCs w:val="22"/>
                <w:lang w:val="es-ES" w:eastAsia="en-US"/>
              </w:rPr>
              <w:t xml:space="preserve"> </w:t>
            </w:r>
            <w:proofErr w:type="spellStart"/>
            <w:proofErr w:type="gramStart"/>
            <w:r>
              <w:rPr>
                <w:rFonts w:eastAsia="Palatino Linotype"/>
                <w:b/>
                <w:position w:val="1"/>
                <w:sz w:val="22"/>
                <w:szCs w:val="22"/>
                <w:lang w:val="es-ES" w:eastAsia="en-US"/>
              </w:rPr>
              <w:t>currency</w:t>
            </w:r>
            <w:proofErr w:type="spellEnd"/>
            <w:r>
              <w:rPr>
                <w:rFonts w:eastAsia="Palatino Linotype"/>
                <w:position w:val="1"/>
                <w:sz w:val="22"/>
                <w:szCs w:val="22"/>
                <w:lang w:val="es-ES" w:eastAsia="en-US"/>
              </w:rPr>
              <w:t>(</w:t>
            </w:r>
            <w:proofErr w:type="gramEnd"/>
            <w:r>
              <w:rPr>
                <w:rFonts w:eastAsia="Palatino Linotype"/>
                <w:position w:val="1"/>
                <w:sz w:val="22"/>
                <w:szCs w:val="22"/>
                <w:lang w:val="es-ES" w:eastAsia="en-US"/>
              </w:rPr>
              <w:t xml:space="preserve">US </w:t>
            </w:r>
            <w:proofErr w:type="spellStart"/>
            <w:r>
              <w:rPr>
                <w:rFonts w:eastAsia="Palatino Linotype"/>
                <w:position w:val="1"/>
                <w:sz w:val="22"/>
                <w:szCs w:val="22"/>
                <w:lang w:val="es-ES" w:eastAsia="en-US"/>
              </w:rPr>
              <w:t>dollars</w:t>
            </w:r>
            <w:proofErr w:type="spellEnd"/>
            <w:r>
              <w:rPr>
                <w:rFonts w:eastAsia="Palatino Linotype"/>
                <w:position w:val="1"/>
                <w:sz w:val="22"/>
                <w:szCs w:val="22"/>
                <w:lang w:val="es-ES" w:eastAsia="en-US"/>
              </w:rPr>
              <w:t xml:space="preserve"> </w:t>
            </w:r>
            <w:proofErr w:type="spellStart"/>
            <w:r>
              <w:rPr>
                <w:rFonts w:eastAsia="Palatino Linotype"/>
                <w:position w:val="1"/>
                <w:sz w:val="22"/>
                <w:szCs w:val="22"/>
                <w:lang w:val="es-ES" w:eastAsia="en-US"/>
              </w:rPr>
              <w:t>or</w:t>
            </w:r>
            <w:proofErr w:type="spellEnd"/>
            <w:r>
              <w:rPr>
                <w:rFonts w:eastAsia="Palatino Linotype"/>
                <w:position w:val="1"/>
                <w:sz w:val="22"/>
                <w:szCs w:val="22"/>
                <w:lang w:val="es-ES" w:eastAsia="en-US"/>
              </w:rPr>
              <w:t xml:space="preserve"> euros).</w:t>
            </w:r>
          </w:p>
          <w:p w14:paraId="6BCBB47E" w14:textId="77777777" w:rsidR="00E255F4" w:rsidRDefault="00000000">
            <w:pPr>
              <w:pStyle w:val="Prrafodelista"/>
              <w:ind w:left="0"/>
              <w:jc w:val="both"/>
            </w:pPr>
            <w:r>
              <w:rPr>
                <w:rFonts w:eastAsia="Palatino Linotype"/>
                <w:spacing w:val="-1"/>
                <w:sz w:val="22"/>
                <w:szCs w:val="22"/>
                <w:lang w:val="es-ES" w:eastAsia="en-US"/>
              </w:rPr>
              <w:t xml:space="preserve">The </w:t>
            </w:r>
            <w:proofErr w:type="spellStart"/>
            <w:r>
              <w:rPr>
                <w:rFonts w:eastAsia="Palatino Linotype"/>
                <w:spacing w:val="-1"/>
                <w:sz w:val="22"/>
                <w:szCs w:val="22"/>
                <w:lang w:val="es-ES" w:eastAsia="en-US"/>
              </w:rPr>
              <w:t>payment</w:t>
            </w:r>
            <w:proofErr w:type="spellEnd"/>
            <w:r>
              <w:rPr>
                <w:rFonts w:eastAsia="Palatino Linotype"/>
                <w:spacing w:val="-1"/>
                <w:sz w:val="22"/>
                <w:szCs w:val="22"/>
                <w:lang w:val="es-ES" w:eastAsia="en-US"/>
              </w:rPr>
              <w:t xml:space="preserve"> </w:t>
            </w:r>
            <w:proofErr w:type="spellStart"/>
            <w:r>
              <w:rPr>
                <w:rFonts w:eastAsia="Palatino Linotype"/>
                <w:spacing w:val="-1"/>
                <w:sz w:val="22"/>
                <w:szCs w:val="22"/>
                <w:lang w:val="es-ES" w:eastAsia="en-US"/>
              </w:rPr>
              <w:t>term</w:t>
            </w:r>
            <w:proofErr w:type="spellEnd"/>
            <w:r>
              <w:rPr>
                <w:rFonts w:eastAsia="Palatino Linotype"/>
                <w:spacing w:val="-1"/>
                <w:sz w:val="22"/>
                <w:szCs w:val="22"/>
                <w:lang w:val="es-ES" w:eastAsia="en-US"/>
              </w:rPr>
              <w:t xml:space="preserve"> </w:t>
            </w:r>
            <w:proofErr w:type="spellStart"/>
            <w:r>
              <w:rPr>
                <w:rFonts w:eastAsia="Palatino Linotype"/>
                <w:spacing w:val="-1"/>
                <w:sz w:val="22"/>
                <w:szCs w:val="22"/>
                <w:lang w:val="es-ES" w:eastAsia="en-US"/>
              </w:rPr>
              <w:t>is</w:t>
            </w:r>
            <w:proofErr w:type="spellEnd"/>
            <w:r>
              <w:rPr>
                <w:rFonts w:eastAsia="Palatino Linotype"/>
                <w:spacing w:val="-1"/>
                <w:sz w:val="22"/>
                <w:szCs w:val="22"/>
                <w:lang w:val="es-ES" w:eastAsia="en-US"/>
              </w:rPr>
              <w:t xml:space="preserve"> 60 (</w:t>
            </w:r>
            <w:proofErr w:type="spellStart"/>
            <w:r>
              <w:rPr>
                <w:rFonts w:eastAsia="Palatino Linotype"/>
                <w:spacing w:val="-1"/>
                <w:sz w:val="22"/>
                <w:szCs w:val="22"/>
                <w:lang w:val="es-ES" w:eastAsia="en-US"/>
              </w:rPr>
              <w:t>sixty</w:t>
            </w:r>
            <w:proofErr w:type="spellEnd"/>
            <w:r>
              <w:rPr>
                <w:rFonts w:eastAsia="Palatino Linotype"/>
                <w:spacing w:val="-1"/>
                <w:sz w:val="22"/>
                <w:szCs w:val="22"/>
                <w:lang w:val="es-ES" w:eastAsia="en-US"/>
              </w:rPr>
              <w:t xml:space="preserve">) </w:t>
            </w:r>
            <w:proofErr w:type="spellStart"/>
            <w:r>
              <w:rPr>
                <w:rFonts w:eastAsia="Palatino Linotype"/>
                <w:spacing w:val="-1"/>
                <w:sz w:val="22"/>
                <w:szCs w:val="22"/>
                <w:lang w:val="es-ES" w:eastAsia="en-US"/>
              </w:rPr>
              <w:t>days</w:t>
            </w:r>
            <w:proofErr w:type="spellEnd"/>
            <w:r>
              <w:rPr>
                <w:rFonts w:eastAsia="Palatino Linotype"/>
                <w:spacing w:val="-1"/>
                <w:sz w:val="22"/>
                <w:szCs w:val="22"/>
                <w:lang w:val="es-ES" w:eastAsia="en-US"/>
              </w:rPr>
              <w:t xml:space="preserve"> </w:t>
            </w:r>
            <w:proofErr w:type="spellStart"/>
            <w:r>
              <w:rPr>
                <w:rFonts w:eastAsia="Palatino Linotype"/>
                <w:spacing w:val="-1"/>
                <w:sz w:val="22"/>
                <w:szCs w:val="22"/>
                <w:lang w:val="es-ES" w:eastAsia="en-US"/>
              </w:rPr>
              <w:t>from</w:t>
            </w:r>
            <w:proofErr w:type="spellEnd"/>
            <w:r>
              <w:rPr>
                <w:rFonts w:eastAsia="Palatino Linotype"/>
                <w:spacing w:val="-1"/>
                <w:sz w:val="22"/>
                <w:szCs w:val="22"/>
                <w:lang w:val="es-ES" w:eastAsia="en-US"/>
              </w:rPr>
              <w:t xml:space="preserve"> </w:t>
            </w:r>
            <w:proofErr w:type="spellStart"/>
            <w:r>
              <w:rPr>
                <w:rFonts w:eastAsia="Palatino Linotype"/>
                <w:spacing w:val="-1"/>
                <w:sz w:val="22"/>
                <w:szCs w:val="22"/>
                <w:lang w:val="es-ES" w:eastAsia="en-US"/>
              </w:rPr>
              <w:t>the</w:t>
            </w:r>
            <w:proofErr w:type="spellEnd"/>
            <w:r>
              <w:rPr>
                <w:rFonts w:eastAsia="Palatino Linotype"/>
                <w:spacing w:val="-1"/>
                <w:sz w:val="22"/>
                <w:szCs w:val="22"/>
                <w:lang w:val="es-ES" w:eastAsia="en-US"/>
              </w:rPr>
              <w:t xml:space="preserve"> </w:t>
            </w:r>
            <w:proofErr w:type="spellStart"/>
            <w:r>
              <w:rPr>
                <w:rFonts w:eastAsia="Palatino Linotype"/>
                <w:spacing w:val="-1"/>
                <w:sz w:val="22"/>
                <w:szCs w:val="22"/>
                <w:lang w:val="es-ES" w:eastAsia="en-US"/>
              </w:rPr>
              <w:t>invoice</w:t>
            </w:r>
            <w:proofErr w:type="spellEnd"/>
            <w:r>
              <w:rPr>
                <w:rFonts w:eastAsia="Palatino Linotype"/>
                <w:spacing w:val="-1"/>
                <w:sz w:val="22"/>
                <w:szCs w:val="22"/>
                <w:lang w:val="es-ES" w:eastAsia="en-US"/>
              </w:rPr>
              <w:t xml:space="preserve"> date.</w:t>
            </w:r>
          </w:p>
          <w:p w14:paraId="00D832E0" w14:textId="77777777" w:rsidR="00E255F4" w:rsidRDefault="00E255F4">
            <w:pPr>
              <w:pStyle w:val="Prrafodelista"/>
              <w:ind w:left="0"/>
              <w:jc w:val="both"/>
              <w:rPr>
                <w:rFonts w:eastAsia="Palatino Linotype"/>
                <w:spacing w:val="-1"/>
                <w:sz w:val="22"/>
                <w:szCs w:val="22"/>
                <w:lang w:val="es-ES" w:eastAsia="en-US"/>
              </w:rPr>
            </w:pPr>
          </w:p>
          <w:p w14:paraId="01245A79" w14:textId="77777777" w:rsidR="00E255F4" w:rsidRDefault="00000000">
            <w:pPr>
              <w:tabs>
                <w:tab w:val="left" w:pos="0"/>
              </w:tabs>
              <w:jc w:val="both"/>
              <w:textAlignment w:val="baseline"/>
              <w:rPr>
                <w:b/>
                <w:sz w:val="22"/>
                <w:szCs w:val="22"/>
              </w:rPr>
            </w:pPr>
            <w:r>
              <w:rPr>
                <w:b/>
                <w:sz w:val="22"/>
                <w:szCs w:val="22"/>
              </w:rPr>
              <w:t xml:space="preserve">Payment </w:t>
            </w:r>
            <w:proofErr w:type="spellStart"/>
            <w:r>
              <w:rPr>
                <w:b/>
                <w:sz w:val="22"/>
                <w:szCs w:val="22"/>
              </w:rPr>
              <w:t>delays</w:t>
            </w:r>
            <w:proofErr w:type="spellEnd"/>
          </w:p>
          <w:p w14:paraId="6AAF960B" w14:textId="77777777" w:rsidR="00E255F4" w:rsidRDefault="00E255F4">
            <w:pPr>
              <w:tabs>
                <w:tab w:val="left" w:pos="0"/>
              </w:tabs>
              <w:jc w:val="both"/>
              <w:textAlignment w:val="baseline"/>
              <w:rPr>
                <w:b/>
                <w:sz w:val="22"/>
                <w:szCs w:val="22"/>
              </w:rPr>
            </w:pPr>
          </w:p>
          <w:p w14:paraId="6D1C1146" w14:textId="77777777" w:rsidR="00E255F4" w:rsidRDefault="00000000">
            <w:pPr>
              <w:jc w:val="both"/>
              <w:rPr>
                <w:rFonts w:eastAsia="Palatino Linotype"/>
                <w:spacing w:val="-1"/>
                <w:sz w:val="22"/>
                <w:szCs w:val="22"/>
                <w:lang w:val="es-ES"/>
              </w:rPr>
            </w:pPr>
            <w:proofErr w:type="spellStart"/>
            <w:r>
              <w:rPr>
                <w:rFonts w:eastAsia="Palatino Linotype"/>
                <w:spacing w:val="-1"/>
                <w:sz w:val="22"/>
                <w:szCs w:val="22"/>
                <w:lang w:val="es-ES"/>
              </w:rPr>
              <w:t>If</w:t>
            </w:r>
            <w:proofErr w:type="spellEnd"/>
            <w:r>
              <w:rPr>
                <w:rFonts w:eastAsia="Palatino Linotype"/>
                <w:spacing w:val="-1"/>
                <w:sz w:val="22"/>
                <w:szCs w:val="22"/>
                <w:lang w:val="es-ES"/>
              </w:rPr>
              <w:t xml:space="preserve"> OSE </w:t>
            </w:r>
            <w:proofErr w:type="spellStart"/>
            <w:r>
              <w:rPr>
                <w:rFonts w:eastAsia="Palatino Linotype"/>
                <w:spacing w:val="-1"/>
                <w:sz w:val="22"/>
                <w:szCs w:val="22"/>
                <w:lang w:val="es-ES"/>
              </w:rPr>
              <w:t>makes</w:t>
            </w:r>
            <w:proofErr w:type="spellEnd"/>
            <w:r>
              <w:rPr>
                <w:rFonts w:eastAsia="Palatino Linotype"/>
                <w:spacing w:val="-1"/>
                <w:sz w:val="22"/>
                <w:szCs w:val="22"/>
                <w:lang w:val="es-ES"/>
              </w:rPr>
              <w:t xml:space="preserve"> a </w:t>
            </w:r>
            <w:proofErr w:type="spellStart"/>
            <w:r>
              <w:rPr>
                <w:rFonts w:eastAsia="Palatino Linotype"/>
                <w:spacing w:val="-1"/>
                <w:sz w:val="22"/>
                <w:szCs w:val="22"/>
                <w:lang w:val="es-ES"/>
              </w:rPr>
              <w:t>payment</w:t>
            </w:r>
            <w:proofErr w:type="spellEnd"/>
            <w:r>
              <w:rPr>
                <w:rFonts w:eastAsia="Palatino Linotype"/>
                <w:spacing w:val="-1"/>
                <w:sz w:val="22"/>
                <w:szCs w:val="22"/>
                <w:lang w:val="es-ES"/>
              </w:rPr>
              <w:t xml:space="preserve"> </w:t>
            </w:r>
            <w:proofErr w:type="spellStart"/>
            <w:r>
              <w:rPr>
                <w:rFonts w:eastAsia="Palatino Linotype"/>
                <w:spacing w:val="-1"/>
                <w:sz w:val="22"/>
                <w:szCs w:val="22"/>
                <w:lang w:val="es-ES"/>
              </w:rPr>
              <w:t>on</w:t>
            </w:r>
            <w:proofErr w:type="spellEnd"/>
            <w:r>
              <w:rPr>
                <w:rFonts w:eastAsia="Palatino Linotype"/>
                <w:spacing w:val="-1"/>
                <w:sz w:val="22"/>
                <w:szCs w:val="22"/>
                <w:lang w:val="es-ES"/>
              </w:rPr>
              <w:t xml:space="preserve"> </w:t>
            </w:r>
            <w:proofErr w:type="spellStart"/>
            <w:r>
              <w:rPr>
                <w:rFonts w:eastAsia="Palatino Linotype"/>
                <w:spacing w:val="-1"/>
                <w:sz w:val="22"/>
                <w:szCs w:val="22"/>
                <w:lang w:val="es-ES"/>
              </w:rPr>
              <w:t>an</w:t>
            </w:r>
            <w:proofErr w:type="spellEnd"/>
            <w:r>
              <w:rPr>
                <w:rFonts w:eastAsia="Palatino Linotype"/>
                <w:spacing w:val="-1"/>
                <w:sz w:val="22"/>
                <w:szCs w:val="22"/>
                <w:lang w:val="es-ES"/>
              </w:rPr>
              <w:t xml:space="preserve"> </w:t>
            </w:r>
            <w:proofErr w:type="spellStart"/>
            <w:r>
              <w:rPr>
                <w:rFonts w:eastAsia="Palatino Linotype"/>
                <w:spacing w:val="-1"/>
                <w:sz w:val="22"/>
                <w:szCs w:val="22"/>
                <w:lang w:val="es-ES"/>
              </w:rPr>
              <w:t>invoice</w:t>
            </w:r>
            <w:proofErr w:type="spellEnd"/>
            <w:r>
              <w:rPr>
                <w:rFonts w:eastAsia="Palatino Linotype"/>
                <w:spacing w:val="-1"/>
                <w:sz w:val="22"/>
                <w:szCs w:val="22"/>
                <w:lang w:val="es-ES"/>
              </w:rPr>
              <w:t xml:space="preserve"> </w:t>
            </w:r>
            <w:proofErr w:type="spellStart"/>
            <w:r>
              <w:rPr>
                <w:rFonts w:eastAsia="Palatino Linotype"/>
                <w:spacing w:val="-1"/>
                <w:sz w:val="22"/>
                <w:szCs w:val="22"/>
                <w:lang w:val="es-ES"/>
              </w:rPr>
              <w:t>beyond</w:t>
            </w:r>
            <w:proofErr w:type="spellEnd"/>
            <w:r>
              <w:rPr>
                <w:rFonts w:eastAsia="Palatino Linotype"/>
                <w:spacing w:val="-1"/>
                <w:sz w:val="22"/>
                <w:szCs w:val="22"/>
                <w:lang w:val="es-ES"/>
              </w:rPr>
              <w:t xml:space="preserve"> </w:t>
            </w:r>
            <w:proofErr w:type="spellStart"/>
            <w:r>
              <w:rPr>
                <w:rFonts w:eastAsia="Palatino Linotype"/>
                <w:spacing w:val="-1"/>
                <w:sz w:val="22"/>
                <w:szCs w:val="22"/>
                <w:lang w:val="es-ES"/>
              </w:rPr>
              <w:t>the</w:t>
            </w:r>
            <w:proofErr w:type="spellEnd"/>
            <w:r>
              <w:rPr>
                <w:rFonts w:eastAsia="Palatino Linotype"/>
                <w:spacing w:val="-1"/>
                <w:sz w:val="22"/>
                <w:szCs w:val="22"/>
                <w:lang w:val="es-ES"/>
              </w:rPr>
              <w:t xml:space="preserve"> </w:t>
            </w:r>
            <w:proofErr w:type="spellStart"/>
            <w:r>
              <w:rPr>
                <w:rFonts w:eastAsia="Palatino Linotype"/>
                <w:spacing w:val="-1"/>
                <w:sz w:val="22"/>
                <w:szCs w:val="22"/>
                <w:lang w:val="es-ES"/>
              </w:rPr>
              <w:t>established</w:t>
            </w:r>
            <w:proofErr w:type="spellEnd"/>
            <w:r>
              <w:rPr>
                <w:rFonts w:eastAsia="Palatino Linotype"/>
                <w:spacing w:val="-1"/>
                <w:sz w:val="22"/>
                <w:szCs w:val="22"/>
                <w:lang w:val="es-ES"/>
              </w:rPr>
              <w:t xml:space="preserve"> </w:t>
            </w:r>
            <w:proofErr w:type="spellStart"/>
            <w:r>
              <w:rPr>
                <w:rFonts w:eastAsia="Palatino Linotype"/>
                <w:spacing w:val="-1"/>
                <w:sz w:val="22"/>
                <w:szCs w:val="22"/>
                <w:lang w:val="es-ES"/>
              </w:rPr>
              <w:t>deadline</w:t>
            </w:r>
            <w:proofErr w:type="spellEnd"/>
            <w:r>
              <w:rPr>
                <w:rFonts w:eastAsia="Palatino Linotype"/>
                <w:spacing w:val="-1"/>
                <w:sz w:val="22"/>
                <w:szCs w:val="22"/>
                <w:lang w:val="es-ES"/>
              </w:rPr>
              <w:t xml:space="preserve">, </w:t>
            </w:r>
            <w:proofErr w:type="spellStart"/>
            <w:r>
              <w:rPr>
                <w:rFonts w:eastAsia="Palatino Linotype"/>
                <w:spacing w:val="-1"/>
                <w:sz w:val="22"/>
                <w:szCs w:val="22"/>
                <w:lang w:val="es-ES"/>
              </w:rPr>
              <w:t>the</w:t>
            </w:r>
            <w:proofErr w:type="spellEnd"/>
            <w:r>
              <w:rPr>
                <w:rFonts w:eastAsia="Palatino Linotype"/>
                <w:spacing w:val="-1"/>
                <w:sz w:val="22"/>
                <w:szCs w:val="22"/>
                <w:lang w:val="es-ES"/>
              </w:rPr>
              <w:t xml:space="preserve"> </w:t>
            </w:r>
            <w:proofErr w:type="spellStart"/>
            <w:r>
              <w:rPr>
                <w:rFonts w:eastAsia="Palatino Linotype"/>
                <w:spacing w:val="-1"/>
                <w:sz w:val="22"/>
                <w:szCs w:val="22"/>
                <w:lang w:val="es-ES"/>
              </w:rPr>
              <w:t>supplier</w:t>
            </w:r>
            <w:proofErr w:type="spellEnd"/>
            <w:r>
              <w:rPr>
                <w:rFonts w:eastAsia="Palatino Linotype"/>
                <w:spacing w:val="-1"/>
                <w:sz w:val="22"/>
                <w:szCs w:val="22"/>
                <w:lang w:val="es-ES"/>
              </w:rPr>
              <w:t xml:space="preserve"> </w:t>
            </w:r>
            <w:proofErr w:type="spellStart"/>
            <w:r>
              <w:rPr>
                <w:rFonts w:eastAsia="Palatino Linotype"/>
                <w:spacing w:val="-1"/>
                <w:sz w:val="22"/>
                <w:szCs w:val="22"/>
                <w:lang w:val="es-ES"/>
              </w:rPr>
              <w:t>will</w:t>
            </w:r>
            <w:proofErr w:type="spellEnd"/>
            <w:r>
              <w:rPr>
                <w:rFonts w:eastAsia="Palatino Linotype"/>
                <w:spacing w:val="-1"/>
                <w:sz w:val="22"/>
                <w:szCs w:val="22"/>
                <w:lang w:val="es-ES"/>
              </w:rPr>
              <w:t xml:space="preserve"> be </w:t>
            </w:r>
            <w:proofErr w:type="spellStart"/>
            <w:r>
              <w:rPr>
                <w:rFonts w:eastAsia="Palatino Linotype"/>
                <w:spacing w:val="-1"/>
                <w:sz w:val="22"/>
                <w:szCs w:val="22"/>
                <w:lang w:val="es-ES"/>
              </w:rPr>
              <w:t>entitled</w:t>
            </w:r>
            <w:proofErr w:type="spellEnd"/>
            <w:r>
              <w:rPr>
                <w:rFonts w:eastAsia="Palatino Linotype"/>
                <w:spacing w:val="-1"/>
                <w:sz w:val="22"/>
                <w:szCs w:val="22"/>
                <w:lang w:val="es-ES"/>
              </w:rPr>
              <w:t xml:space="preserve"> </w:t>
            </w:r>
            <w:proofErr w:type="spellStart"/>
            <w:r>
              <w:rPr>
                <w:rFonts w:eastAsia="Palatino Linotype"/>
                <w:spacing w:val="-1"/>
                <w:sz w:val="22"/>
                <w:szCs w:val="22"/>
                <w:lang w:val="es-ES"/>
              </w:rPr>
              <w:t>to</w:t>
            </w:r>
            <w:proofErr w:type="spellEnd"/>
            <w:r>
              <w:rPr>
                <w:rFonts w:eastAsia="Palatino Linotype"/>
                <w:spacing w:val="-1"/>
                <w:sz w:val="22"/>
                <w:szCs w:val="22"/>
                <w:lang w:val="es-ES"/>
              </w:rPr>
              <w:t xml:space="preserve"> </w:t>
            </w:r>
            <w:proofErr w:type="spellStart"/>
            <w:r>
              <w:rPr>
                <w:rFonts w:eastAsia="Palatino Linotype"/>
                <w:spacing w:val="-1"/>
                <w:sz w:val="22"/>
                <w:szCs w:val="22"/>
                <w:lang w:val="es-ES"/>
              </w:rPr>
              <w:t>an</w:t>
            </w:r>
            <w:proofErr w:type="spellEnd"/>
            <w:r>
              <w:rPr>
                <w:rFonts w:eastAsia="Palatino Linotype"/>
                <w:spacing w:val="-1"/>
                <w:sz w:val="22"/>
                <w:szCs w:val="22"/>
                <w:lang w:val="es-ES"/>
              </w:rPr>
              <w:t xml:space="preserve"> </w:t>
            </w:r>
            <w:proofErr w:type="spellStart"/>
            <w:r>
              <w:rPr>
                <w:rFonts w:eastAsia="Palatino Linotype"/>
                <w:spacing w:val="-1"/>
                <w:sz w:val="22"/>
                <w:szCs w:val="22"/>
                <w:lang w:val="es-ES"/>
              </w:rPr>
              <w:t>additional</w:t>
            </w:r>
            <w:proofErr w:type="spellEnd"/>
            <w:r>
              <w:rPr>
                <w:rFonts w:eastAsia="Palatino Linotype"/>
                <w:spacing w:val="-1"/>
                <w:sz w:val="22"/>
                <w:szCs w:val="22"/>
                <w:lang w:val="es-ES"/>
              </w:rPr>
              <w:t xml:space="preserve"> </w:t>
            </w:r>
            <w:proofErr w:type="spellStart"/>
            <w:r>
              <w:rPr>
                <w:rFonts w:eastAsia="Palatino Linotype"/>
                <w:spacing w:val="-1"/>
                <w:sz w:val="22"/>
                <w:szCs w:val="22"/>
                <w:lang w:val="es-ES"/>
              </w:rPr>
              <w:t>adjustment</w:t>
            </w:r>
            <w:proofErr w:type="spellEnd"/>
            <w:r>
              <w:rPr>
                <w:rFonts w:eastAsia="Palatino Linotype"/>
                <w:spacing w:val="-1"/>
                <w:sz w:val="22"/>
                <w:szCs w:val="22"/>
                <w:lang w:val="es-ES"/>
              </w:rPr>
              <w:t xml:space="preserve"> </w:t>
            </w:r>
            <w:proofErr w:type="spellStart"/>
            <w:r>
              <w:rPr>
                <w:rFonts w:eastAsia="Palatino Linotype"/>
                <w:spacing w:val="-1"/>
                <w:sz w:val="22"/>
                <w:szCs w:val="22"/>
                <w:lang w:val="es-ES"/>
              </w:rPr>
              <w:t>by</w:t>
            </w:r>
            <w:proofErr w:type="spellEnd"/>
            <w:r>
              <w:rPr>
                <w:rFonts w:eastAsia="Palatino Linotype"/>
                <w:spacing w:val="-1"/>
                <w:sz w:val="22"/>
                <w:szCs w:val="22"/>
                <w:lang w:val="es-ES"/>
              </w:rPr>
              <w:t xml:space="preserve"> </w:t>
            </w:r>
            <w:proofErr w:type="spellStart"/>
            <w:r>
              <w:rPr>
                <w:rFonts w:eastAsia="Palatino Linotype"/>
                <w:spacing w:val="-1"/>
                <w:sz w:val="22"/>
                <w:szCs w:val="22"/>
                <w:lang w:val="es-ES"/>
              </w:rPr>
              <w:t>applying</w:t>
            </w:r>
            <w:proofErr w:type="spellEnd"/>
            <w:r>
              <w:rPr>
                <w:rFonts w:eastAsia="Palatino Linotype"/>
                <w:spacing w:val="-1"/>
                <w:sz w:val="22"/>
                <w:szCs w:val="22"/>
                <w:lang w:val="es-ES"/>
              </w:rPr>
              <w:t xml:space="preserve"> </w:t>
            </w:r>
            <w:proofErr w:type="spellStart"/>
            <w:r>
              <w:rPr>
                <w:rFonts w:eastAsia="Palatino Linotype"/>
                <w:spacing w:val="-1"/>
                <w:sz w:val="22"/>
                <w:szCs w:val="22"/>
                <w:lang w:val="es-ES"/>
              </w:rPr>
              <w:t>the</w:t>
            </w:r>
            <w:proofErr w:type="spellEnd"/>
            <w:r>
              <w:rPr>
                <w:rFonts w:eastAsia="Palatino Linotype"/>
                <w:spacing w:val="-1"/>
                <w:sz w:val="22"/>
                <w:szCs w:val="22"/>
                <w:lang w:val="es-ES"/>
              </w:rPr>
              <w:t xml:space="preserve"> </w:t>
            </w:r>
            <w:proofErr w:type="spellStart"/>
            <w:r>
              <w:rPr>
                <w:rFonts w:eastAsia="Palatino Linotype"/>
                <w:spacing w:val="-1"/>
                <w:sz w:val="22"/>
                <w:szCs w:val="22"/>
                <w:lang w:val="es-ES"/>
              </w:rPr>
              <w:t>corresponding</w:t>
            </w:r>
            <w:proofErr w:type="spellEnd"/>
            <w:r>
              <w:rPr>
                <w:rFonts w:eastAsia="Palatino Linotype"/>
                <w:spacing w:val="-1"/>
                <w:sz w:val="22"/>
                <w:szCs w:val="22"/>
                <w:lang w:val="es-ES"/>
              </w:rPr>
              <w:t xml:space="preserve"> late </w:t>
            </w:r>
            <w:proofErr w:type="spellStart"/>
            <w:r>
              <w:rPr>
                <w:rFonts w:eastAsia="Palatino Linotype"/>
                <w:spacing w:val="-1"/>
                <w:sz w:val="22"/>
                <w:szCs w:val="22"/>
                <w:lang w:val="es-ES"/>
              </w:rPr>
              <w:t>payment</w:t>
            </w:r>
            <w:proofErr w:type="spellEnd"/>
            <w:r>
              <w:rPr>
                <w:rFonts w:eastAsia="Palatino Linotype"/>
                <w:spacing w:val="-1"/>
                <w:sz w:val="22"/>
                <w:szCs w:val="22"/>
                <w:lang w:val="es-ES"/>
              </w:rPr>
              <w:t xml:space="preserve"> </w:t>
            </w:r>
            <w:proofErr w:type="spellStart"/>
            <w:r>
              <w:rPr>
                <w:rFonts w:eastAsia="Palatino Linotype"/>
                <w:spacing w:val="-1"/>
                <w:sz w:val="22"/>
                <w:szCs w:val="22"/>
                <w:lang w:val="es-ES"/>
              </w:rPr>
              <w:t>interest</w:t>
            </w:r>
            <w:proofErr w:type="spellEnd"/>
            <w:r>
              <w:rPr>
                <w:rFonts w:eastAsia="Palatino Linotype"/>
                <w:spacing w:val="-1"/>
                <w:sz w:val="22"/>
                <w:szCs w:val="22"/>
                <w:lang w:val="es-ES"/>
              </w:rPr>
              <w:t xml:space="preserve"> </w:t>
            </w:r>
            <w:proofErr w:type="spellStart"/>
            <w:r>
              <w:rPr>
                <w:rFonts w:eastAsia="Palatino Linotype"/>
                <w:spacing w:val="-1"/>
                <w:sz w:val="22"/>
                <w:szCs w:val="22"/>
                <w:lang w:val="es-ES"/>
              </w:rPr>
              <w:t>rate</w:t>
            </w:r>
            <w:proofErr w:type="spellEnd"/>
            <w:r>
              <w:rPr>
                <w:rFonts w:eastAsia="Palatino Linotype"/>
                <w:spacing w:val="-1"/>
                <w:sz w:val="22"/>
                <w:szCs w:val="22"/>
                <w:lang w:val="es-ES"/>
              </w:rPr>
              <w:t xml:space="preserve"> </w:t>
            </w:r>
            <w:proofErr w:type="spellStart"/>
            <w:r>
              <w:rPr>
                <w:rFonts w:eastAsia="Palatino Linotype"/>
                <w:spacing w:val="-1"/>
                <w:sz w:val="22"/>
                <w:szCs w:val="22"/>
                <w:lang w:val="es-ES"/>
              </w:rPr>
              <w:t>to</w:t>
            </w:r>
            <w:proofErr w:type="spellEnd"/>
            <w:r>
              <w:rPr>
                <w:rFonts w:eastAsia="Palatino Linotype"/>
                <w:spacing w:val="-1"/>
                <w:sz w:val="22"/>
                <w:szCs w:val="22"/>
                <w:lang w:val="es-ES"/>
              </w:rPr>
              <w:t xml:space="preserve"> </w:t>
            </w:r>
            <w:proofErr w:type="spellStart"/>
            <w:r>
              <w:rPr>
                <w:rFonts w:eastAsia="Palatino Linotype"/>
                <w:spacing w:val="-1"/>
                <w:sz w:val="22"/>
                <w:szCs w:val="22"/>
                <w:lang w:val="es-ES"/>
              </w:rPr>
              <w:t>the</w:t>
            </w:r>
            <w:proofErr w:type="spellEnd"/>
            <w:r>
              <w:rPr>
                <w:rFonts w:eastAsia="Palatino Linotype"/>
                <w:spacing w:val="-1"/>
                <w:sz w:val="22"/>
                <w:szCs w:val="22"/>
                <w:lang w:val="es-ES"/>
              </w:rPr>
              <w:t xml:space="preserve"> </w:t>
            </w:r>
            <w:proofErr w:type="spellStart"/>
            <w:r>
              <w:rPr>
                <w:rFonts w:eastAsia="Palatino Linotype"/>
                <w:spacing w:val="-1"/>
                <w:sz w:val="22"/>
                <w:szCs w:val="22"/>
                <w:lang w:val="es-ES"/>
              </w:rPr>
              <w:t>overdue</w:t>
            </w:r>
            <w:proofErr w:type="spellEnd"/>
            <w:r>
              <w:rPr>
                <w:rFonts w:eastAsia="Palatino Linotype"/>
                <w:spacing w:val="-1"/>
                <w:sz w:val="22"/>
                <w:szCs w:val="22"/>
                <w:lang w:val="es-ES"/>
              </w:rPr>
              <w:t xml:space="preserve"> </w:t>
            </w:r>
            <w:proofErr w:type="spellStart"/>
            <w:r>
              <w:rPr>
                <w:rFonts w:eastAsia="Palatino Linotype"/>
                <w:spacing w:val="-1"/>
                <w:sz w:val="22"/>
                <w:szCs w:val="22"/>
                <w:lang w:val="es-ES"/>
              </w:rPr>
              <w:t>amount</w:t>
            </w:r>
            <w:proofErr w:type="spellEnd"/>
            <w:r>
              <w:rPr>
                <w:rFonts w:eastAsia="Palatino Linotype"/>
                <w:spacing w:val="-1"/>
                <w:sz w:val="22"/>
                <w:szCs w:val="22"/>
                <w:lang w:val="es-ES"/>
              </w:rPr>
              <w:t xml:space="preserve">, </w:t>
            </w:r>
            <w:proofErr w:type="spellStart"/>
            <w:r>
              <w:rPr>
                <w:rFonts w:eastAsia="Palatino Linotype"/>
                <w:spacing w:val="-1"/>
                <w:sz w:val="22"/>
                <w:szCs w:val="22"/>
                <w:lang w:val="es-ES"/>
              </w:rPr>
              <w:t>based</w:t>
            </w:r>
            <w:proofErr w:type="spellEnd"/>
            <w:r>
              <w:rPr>
                <w:rFonts w:eastAsia="Palatino Linotype"/>
                <w:spacing w:val="-1"/>
                <w:sz w:val="22"/>
                <w:szCs w:val="22"/>
                <w:lang w:val="es-ES"/>
              </w:rPr>
              <w:t xml:space="preserve"> </w:t>
            </w:r>
            <w:proofErr w:type="spellStart"/>
            <w:r>
              <w:rPr>
                <w:rFonts w:eastAsia="Palatino Linotype"/>
                <w:spacing w:val="-1"/>
                <w:sz w:val="22"/>
                <w:szCs w:val="22"/>
                <w:lang w:val="es-ES"/>
              </w:rPr>
              <w:t>on</w:t>
            </w:r>
            <w:proofErr w:type="spellEnd"/>
            <w:r>
              <w:rPr>
                <w:rFonts w:eastAsia="Palatino Linotype"/>
                <w:spacing w:val="-1"/>
                <w:sz w:val="22"/>
                <w:szCs w:val="22"/>
                <w:lang w:val="es-ES"/>
              </w:rPr>
              <w:t xml:space="preserve"> </w:t>
            </w:r>
            <w:proofErr w:type="spellStart"/>
            <w:r>
              <w:rPr>
                <w:rFonts w:eastAsia="Palatino Linotype"/>
                <w:spacing w:val="-1"/>
                <w:sz w:val="22"/>
                <w:szCs w:val="22"/>
                <w:lang w:val="es-ES"/>
              </w:rPr>
              <w:t>the</w:t>
            </w:r>
            <w:proofErr w:type="spellEnd"/>
            <w:r>
              <w:rPr>
                <w:rFonts w:eastAsia="Palatino Linotype"/>
                <w:spacing w:val="-1"/>
                <w:sz w:val="22"/>
                <w:szCs w:val="22"/>
                <w:lang w:val="es-ES"/>
              </w:rPr>
              <w:t xml:space="preserve"> </w:t>
            </w:r>
            <w:proofErr w:type="spellStart"/>
            <w:r>
              <w:rPr>
                <w:rFonts w:eastAsia="Palatino Linotype"/>
                <w:spacing w:val="-1"/>
                <w:sz w:val="22"/>
                <w:szCs w:val="22"/>
                <w:lang w:val="es-ES"/>
              </w:rPr>
              <w:t>payment</w:t>
            </w:r>
            <w:proofErr w:type="spellEnd"/>
            <w:r>
              <w:rPr>
                <w:rFonts w:eastAsia="Palatino Linotype"/>
                <w:spacing w:val="-1"/>
                <w:sz w:val="22"/>
                <w:szCs w:val="22"/>
                <w:lang w:val="es-ES"/>
              </w:rPr>
              <w:t xml:space="preserve"> </w:t>
            </w:r>
            <w:proofErr w:type="spellStart"/>
            <w:r>
              <w:rPr>
                <w:rFonts w:eastAsia="Palatino Linotype"/>
                <w:spacing w:val="-1"/>
                <w:sz w:val="22"/>
                <w:szCs w:val="22"/>
                <w:lang w:val="es-ES"/>
              </w:rPr>
              <w:t>method</w:t>
            </w:r>
            <w:proofErr w:type="spellEnd"/>
            <w:r>
              <w:rPr>
                <w:rFonts w:eastAsia="Palatino Linotype"/>
                <w:spacing w:val="-1"/>
                <w:sz w:val="22"/>
                <w:szCs w:val="22"/>
                <w:lang w:val="es-ES"/>
              </w:rPr>
              <w:t xml:space="preserve"> </w:t>
            </w:r>
            <w:proofErr w:type="spellStart"/>
            <w:r>
              <w:rPr>
                <w:rFonts w:eastAsia="Palatino Linotype"/>
                <w:spacing w:val="-1"/>
                <w:sz w:val="22"/>
                <w:szCs w:val="22"/>
                <w:lang w:val="es-ES"/>
              </w:rPr>
              <w:t>indicated</w:t>
            </w:r>
            <w:proofErr w:type="spellEnd"/>
            <w:r>
              <w:rPr>
                <w:rFonts w:eastAsia="Palatino Linotype"/>
                <w:spacing w:val="-1"/>
                <w:sz w:val="22"/>
                <w:szCs w:val="22"/>
                <w:lang w:val="es-ES"/>
              </w:rPr>
              <w:t xml:space="preserve"> in </w:t>
            </w:r>
            <w:proofErr w:type="spellStart"/>
            <w:r>
              <w:rPr>
                <w:rFonts w:eastAsia="Palatino Linotype"/>
                <w:spacing w:val="-1"/>
                <w:sz w:val="22"/>
                <w:szCs w:val="22"/>
                <w:lang w:val="es-ES"/>
              </w:rPr>
              <w:t>their</w:t>
            </w:r>
            <w:proofErr w:type="spellEnd"/>
            <w:r>
              <w:rPr>
                <w:rFonts w:eastAsia="Palatino Linotype"/>
                <w:spacing w:val="-1"/>
                <w:sz w:val="22"/>
                <w:szCs w:val="22"/>
                <w:lang w:val="es-ES"/>
              </w:rPr>
              <w:t xml:space="preserve"> </w:t>
            </w:r>
            <w:proofErr w:type="spellStart"/>
            <w:r>
              <w:rPr>
                <w:rFonts w:eastAsia="Palatino Linotype"/>
                <w:spacing w:val="-1"/>
                <w:sz w:val="22"/>
                <w:szCs w:val="22"/>
                <w:lang w:val="es-ES"/>
              </w:rPr>
              <w:t>offer</w:t>
            </w:r>
            <w:proofErr w:type="spellEnd"/>
            <w:r>
              <w:rPr>
                <w:rFonts w:eastAsia="Palatino Linotype"/>
                <w:spacing w:val="-1"/>
                <w:sz w:val="22"/>
                <w:szCs w:val="22"/>
                <w:lang w:val="es-ES"/>
              </w:rPr>
              <w:t>.</w:t>
            </w:r>
          </w:p>
          <w:p w14:paraId="68CFA3E3" w14:textId="77777777" w:rsidR="00E255F4" w:rsidRDefault="00E255F4">
            <w:pPr>
              <w:jc w:val="both"/>
              <w:rPr>
                <w:rFonts w:eastAsia="Palatino Linotype"/>
                <w:spacing w:val="-1"/>
                <w:sz w:val="22"/>
                <w:szCs w:val="22"/>
                <w:lang w:val="es-ES"/>
              </w:rPr>
            </w:pPr>
          </w:p>
          <w:p w14:paraId="00CF263E" w14:textId="77777777" w:rsidR="00E255F4" w:rsidRDefault="00000000">
            <w:pPr>
              <w:tabs>
                <w:tab w:val="left" w:pos="284"/>
                <w:tab w:val="left" w:pos="567"/>
              </w:tabs>
              <w:jc w:val="both"/>
            </w:pPr>
            <w:proofErr w:type="spellStart"/>
            <w:r>
              <w:rPr>
                <w:sz w:val="22"/>
                <w:szCs w:val="22"/>
                <w:lang w:val="es-CR"/>
              </w:rPr>
              <w:t>These</w:t>
            </w:r>
            <w:proofErr w:type="spellEnd"/>
            <w:r>
              <w:rPr>
                <w:sz w:val="22"/>
                <w:szCs w:val="22"/>
                <w:lang w:val="es-CR"/>
              </w:rPr>
              <w:t xml:space="preserve"> </w:t>
            </w:r>
            <w:proofErr w:type="spellStart"/>
            <w:r>
              <w:rPr>
                <w:sz w:val="22"/>
                <w:szCs w:val="22"/>
                <w:lang w:val="es-CR"/>
              </w:rPr>
              <w:t>applications</w:t>
            </w:r>
            <w:proofErr w:type="spellEnd"/>
            <w:r>
              <w:rPr>
                <w:sz w:val="22"/>
                <w:szCs w:val="22"/>
                <w:lang w:val="es-CR"/>
              </w:rPr>
              <w:t xml:space="preserve"> </w:t>
            </w:r>
            <w:proofErr w:type="spellStart"/>
            <w:r>
              <w:rPr>
                <w:sz w:val="22"/>
                <w:szCs w:val="22"/>
                <w:lang w:val="es-CR"/>
              </w:rPr>
              <w:t>may</w:t>
            </w:r>
            <w:proofErr w:type="spellEnd"/>
            <w:r>
              <w:rPr>
                <w:sz w:val="22"/>
                <w:szCs w:val="22"/>
                <w:lang w:val="es-CR"/>
              </w:rPr>
              <w:t xml:space="preserve"> be </w:t>
            </w:r>
            <w:proofErr w:type="spellStart"/>
            <w:r>
              <w:rPr>
                <w:sz w:val="22"/>
                <w:szCs w:val="22"/>
                <w:lang w:val="es-CR"/>
              </w:rPr>
              <w:t>submitted</w:t>
            </w:r>
            <w:proofErr w:type="spellEnd"/>
            <w:r>
              <w:rPr>
                <w:sz w:val="22"/>
                <w:szCs w:val="22"/>
                <w:lang w:val="es-CR"/>
              </w:rPr>
              <w:t xml:space="preserve"> up </w:t>
            </w:r>
            <w:proofErr w:type="spellStart"/>
            <w:r>
              <w:rPr>
                <w:sz w:val="22"/>
                <w:szCs w:val="22"/>
                <w:lang w:val="es-CR"/>
              </w:rPr>
              <w:t>to</w:t>
            </w:r>
            <w:proofErr w:type="spellEnd"/>
            <w:r>
              <w:rPr>
                <w:sz w:val="22"/>
                <w:szCs w:val="22"/>
                <w:lang w:val="es-CR"/>
              </w:rPr>
              <w:t xml:space="preserve"> a </w:t>
            </w:r>
            <w:proofErr w:type="spellStart"/>
            <w:r>
              <w:rPr>
                <w:sz w:val="22"/>
                <w:szCs w:val="22"/>
                <w:lang w:val="es-CR"/>
              </w:rPr>
              <w:t>maximum</w:t>
            </w:r>
            <w:proofErr w:type="spellEnd"/>
            <w:r>
              <w:rPr>
                <w:sz w:val="22"/>
                <w:szCs w:val="22"/>
                <w:lang w:val="es-CR"/>
              </w:rPr>
              <w:t xml:space="preserve"> </w:t>
            </w:r>
            <w:proofErr w:type="spellStart"/>
            <w:r>
              <w:rPr>
                <w:sz w:val="22"/>
                <w:szCs w:val="22"/>
                <w:lang w:val="es-CR"/>
              </w:rPr>
              <w:t>of</w:t>
            </w:r>
            <w:proofErr w:type="spellEnd"/>
            <w:r>
              <w:rPr>
                <w:sz w:val="22"/>
                <w:szCs w:val="22"/>
                <w:lang w:val="es-CR"/>
              </w:rPr>
              <w:t xml:space="preserve"> 60 </w:t>
            </w:r>
            <w:proofErr w:type="spellStart"/>
            <w:r>
              <w:rPr>
                <w:sz w:val="22"/>
                <w:szCs w:val="22"/>
                <w:lang w:val="es-CR"/>
              </w:rPr>
              <w:t>days</w:t>
            </w:r>
            <w:proofErr w:type="spellEnd"/>
            <w:r>
              <w:rPr>
                <w:sz w:val="22"/>
                <w:szCs w:val="22"/>
                <w:lang w:val="es-CR"/>
              </w:rPr>
              <w:t xml:space="preserve"> </w:t>
            </w:r>
            <w:proofErr w:type="spellStart"/>
            <w:r>
              <w:rPr>
                <w:sz w:val="22"/>
                <w:szCs w:val="22"/>
                <w:lang w:val="es-CR"/>
              </w:rPr>
              <w:t>from</w:t>
            </w:r>
            <w:proofErr w:type="spellEnd"/>
            <w:r>
              <w:rPr>
                <w:sz w:val="22"/>
                <w:szCs w:val="22"/>
                <w:lang w:val="es-CR"/>
              </w:rPr>
              <w:t xml:space="preserve"> </w:t>
            </w:r>
            <w:proofErr w:type="spellStart"/>
            <w:r>
              <w:rPr>
                <w:sz w:val="22"/>
                <w:szCs w:val="22"/>
                <w:lang w:val="es-CR"/>
              </w:rPr>
              <w:t>the</w:t>
            </w:r>
            <w:proofErr w:type="spellEnd"/>
            <w:r>
              <w:rPr>
                <w:sz w:val="22"/>
                <w:szCs w:val="22"/>
                <w:lang w:val="es-CR"/>
              </w:rPr>
              <w:t xml:space="preserve"> date </w:t>
            </w:r>
            <w:proofErr w:type="spellStart"/>
            <w:r>
              <w:rPr>
                <w:sz w:val="22"/>
                <w:szCs w:val="22"/>
                <w:lang w:val="es-CR"/>
              </w:rPr>
              <w:t>the</w:t>
            </w:r>
            <w:proofErr w:type="spellEnd"/>
            <w:r>
              <w:rPr>
                <w:sz w:val="22"/>
                <w:szCs w:val="22"/>
                <w:lang w:val="es-CR"/>
              </w:rPr>
              <w:t xml:space="preserve"> </w:t>
            </w:r>
            <w:proofErr w:type="spellStart"/>
            <w:r>
              <w:rPr>
                <w:sz w:val="22"/>
                <w:szCs w:val="22"/>
                <w:lang w:val="es-CR"/>
              </w:rPr>
              <w:t>invoice</w:t>
            </w:r>
            <w:proofErr w:type="spellEnd"/>
            <w:r>
              <w:rPr>
                <w:sz w:val="22"/>
                <w:szCs w:val="22"/>
                <w:lang w:val="es-CR"/>
              </w:rPr>
              <w:t xml:space="preserve"> </w:t>
            </w:r>
            <w:proofErr w:type="spellStart"/>
            <w:r>
              <w:rPr>
                <w:sz w:val="22"/>
                <w:szCs w:val="22"/>
                <w:lang w:val="es-CR"/>
              </w:rPr>
              <w:t>for</w:t>
            </w:r>
            <w:proofErr w:type="spellEnd"/>
            <w:r>
              <w:rPr>
                <w:sz w:val="22"/>
                <w:szCs w:val="22"/>
                <w:lang w:val="es-CR"/>
              </w:rPr>
              <w:t xml:space="preserve"> </w:t>
            </w:r>
            <w:proofErr w:type="spellStart"/>
            <w:r>
              <w:rPr>
                <w:sz w:val="22"/>
                <w:szCs w:val="22"/>
                <w:lang w:val="es-CR"/>
              </w:rPr>
              <w:t>the</w:t>
            </w:r>
            <w:proofErr w:type="spellEnd"/>
            <w:r>
              <w:rPr>
                <w:sz w:val="22"/>
                <w:szCs w:val="22"/>
                <w:lang w:val="es-CR"/>
              </w:rPr>
              <w:t xml:space="preserve"> </w:t>
            </w:r>
            <w:proofErr w:type="spellStart"/>
            <w:r>
              <w:rPr>
                <w:sz w:val="22"/>
                <w:szCs w:val="22"/>
                <w:lang w:val="es-CR"/>
              </w:rPr>
              <w:t>delivery</w:t>
            </w:r>
            <w:proofErr w:type="spellEnd"/>
            <w:r>
              <w:rPr>
                <w:sz w:val="22"/>
                <w:szCs w:val="22"/>
                <w:lang w:val="es-CR"/>
              </w:rPr>
              <w:t xml:space="preserve"> </w:t>
            </w:r>
            <w:proofErr w:type="spellStart"/>
            <w:r>
              <w:rPr>
                <w:sz w:val="22"/>
                <w:szCs w:val="22"/>
                <w:lang w:val="es-CR"/>
              </w:rPr>
              <w:t>of</w:t>
            </w:r>
            <w:proofErr w:type="spellEnd"/>
            <w:r>
              <w:rPr>
                <w:sz w:val="22"/>
                <w:szCs w:val="22"/>
                <w:lang w:val="es-CR"/>
              </w:rPr>
              <w:t xml:space="preserve"> </w:t>
            </w:r>
            <w:proofErr w:type="spellStart"/>
            <w:r>
              <w:rPr>
                <w:sz w:val="22"/>
                <w:szCs w:val="22"/>
                <w:lang w:val="es-CR"/>
              </w:rPr>
              <w:t>the</w:t>
            </w:r>
            <w:proofErr w:type="spellEnd"/>
            <w:r>
              <w:rPr>
                <w:sz w:val="22"/>
                <w:szCs w:val="22"/>
                <w:lang w:val="es-CR"/>
              </w:rPr>
              <w:t xml:space="preserve"> </w:t>
            </w:r>
            <w:proofErr w:type="spellStart"/>
            <w:r>
              <w:rPr>
                <w:sz w:val="22"/>
                <w:szCs w:val="22"/>
                <w:lang w:val="es-CR"/>
              </w:rPr>
              <w:t>corresponding</w:t>
            </w:r>
            <w:proofErr w:type="spellEnd"/>
            <w:r>
              <w:rPr>
                <w:sz w:val="22"/>
                <w:szCs w:val="22"/>
                <w:lang w:val="es-CR"/>
              </w:rPr>
              <w:t xml:space="preserve"> </w:t>
            </w:r>
            <w:proofErr w:type="spellStart"/>
            <w:r>
              <w:rPr>
                <w:sz w:val="22"/>
                <w:szCs w:val="22"/>
                <w:lang w:val="es-CR"/>
              </w:rPr>
              <w:t>materials</w:t>
            </w:r>
            <w:proofErr w:type="spellEnd"/>
            <w:r>
              <w:rPr>
                <w:sz w:val="22"/>
                <w:szCs w:val="22"/>
                <w:lang w:val="es-CR"/>
              </w:rPr>
              <w:t xml:space="preserve"> </w:t>
            </w:r>
            <w:proofErr w:type="spellStart"/>
            <w:r>
              <w:rPr>
                <w:sz w:val="22"/>
                <w:szCs w:val="22"/>
                <w:lang w:val="es-CR"/>
              </w:rPr>
              <w:t>is</w:t>
            </w:r>
            <w:proofErr w:type="spellEnd"/>
            <w:r>
              <w:rPr>
                <w:sz w:val="22"/>
                <w:szCs w:val="22"/>
                <w:lang w:val="es-CR"/>
              </w:rPr>
              <w:t xml:space="preserve"> </w:t>
            </w:r>
            <w:proofErr w:type="spellStart"/>
            <w:r>
              <w:rPr>
                <w:sz w:val="22"/>
                <w:szCs w:val="22"/>
                <w:lang w:val="es-CR"/>
              </w:rPr>
              <w:t>issued</w:t>
            </w:r>
            <w:proofErr w:type="spellEnd"/>
            <w:r>
              <w:rPr>
                <w:sz w:val="22"/>
                <w:szCs w:val="22"/>
                <w:lang w:val="es-CR"/>
              </w:rPr>
              <w:t xml:space="preserve">. </w:t>
            </w:r>
            <w:proofErr w:type="spellStart"/>
            <w:r>
              <w:rPr>
                <w:sz w:val="22"/>
                <w:szCs w:val="22"/>
                <w:lang w:val="es-CR"/>
              </w:rPr>
              <w:t>Failure</w:t>
            </w:r>
            <w:proofErr w:type="spellEnd"/>
            <w:r>
              <w:rPr>
                <w:sz w:val="22"/>
                <w:szCs w:val="22"/>
                <w:lang w:val="es-CR"/>
              </w:rPr>
              <w:t xml:space="preserve"> </w:t>
            </w:r>
            <w:proofErr w:type="spellStart"/>
            <w:r>
              <w:rPr>
                <w:sz w:val="22"/>
                <w:szCs w:val="22"/>
                <w:lang w:val="es-CR"/>
              </w:rPr>
              <w:t>to</w:t>
            </w:r>
            <w:proofErr w:type="spellEnd"/>
            <w:r>
              <w:rPr>
                <w:sz w:val="22"/>
                <w:szCs w:val="22"/>
                <w:lang w:val="es-CR"/>
              </w:rPr>
              <w:t xml:space="preserve"> </w:t>
            </w:r>
            <w:proofErr w:type="spellStart"/>
            <w:r>
              <w:rPr>
                <w:sz w:val="22"/>
                <w:szCs w:val="22"/>
                <w:lang w:val="es-CR"/>
              </w:rPr>
              <w:t>meet</w:t>
            </w:r>
            <w:proofErr w:type="spellEnd"/>
            <w:r>
              <w:rPr>
                <w:sz w:val="22"/>
                <w:szCs w:val="22"/>
                <w:lang w:val="es-CR"/>
              </w:rPr>
              <w:t xml:space="preserve"> </w:t>
            </w:r>
            <w:proofErr w:type="spellStart"/>
            <w:r>
              <w:rPr>
                <w:sz w:val="22"/>
                <w:szCs w:val="22"/>
                <w:lang w:val="es-CR"/>
              </w:rPr>
              <w:t>this</w:t>
            </w:r>
            <w:proofErr w:type="spellEnd"/>
            <w:r>
              <w:rPr>
                <w:sz w:val="22"/>
                <w:szCs w:val="22"/>
                <w:lang w:val="es-CR"/>
              </w:rPr>
              <w:t xml:space="preserve"> </w:t>
            </w:r>
            <w:proofErr w:type="spellStart"/>
            <w:r>
              <w:rPr>
                <w:sz w:val="22"/>
                <w:szCs w:val="22"/>
                <w:lang w:val="es-CR"/>
              </w:rPr>
              <w:t>deadline</w:t>
            </w:r>
            <w:proofErr w:type="spellEnd"/>
            <w:r>
              <w:rPr>
                <w:sz w:val="22"/>
                <w:szCs w:val="22"/>
                <w:lang w:val="es-CR"/>
              </w:rPr>
              <w:t xml:space="preserve"> </w:t>
            </w:r>
            <w:proofErr w:type="spellStart"/>
            <w:r>
              <w:rPr>
                <w:sz w:val="22"/>
                <w:szCs w:val="22"/>
                <w:lang w:val="es-CR"/>
              </w:rPr>
              <w:t>will</w:t>
            </w:r>
            <w:proofErr w:type="spellEnd"/>
            <w:r>
              <w:rPr>
                <w:sz w:val="22"/>
                <w:szCs w:val="22"/>
                <w:lang w:val="es-CR"/>
              </w:rPr>
              <w:t xml:space="preserve"> </w:t>
            </w:r>
            <w:proofErr w:type="spellStart"/>
            <w:r>
              <w:rPr>
                <w:sz w:val="22"/>
                <w:szCs w:val="22"/>
                <w:lang w:val="es-CR"/>
              </w:rPr>
              <w:t>result</w:t>
            </w:r>
            <w:proofErr w:type="spellEnd"/>
            <w:r>
              <w:rPr>
                <w:sz w:val="22"/>
                <w:szCs w:val="22"/>
                <w:lang w:val="es-CR"/>
              </w:rPr>
              <w:t xml:space="preserve"> in </w:t>
            </w:r>
            <w:proofErr w:type="spellStart"/>
            <w:r>
              <w:rPr>
                <w:sz w:val="22"/>
                <w:szCs w:val="22"/>
                <w:lang w:val="es-CR"/>
              </w:rPr>
              <w:t>the</w:t>
            </w:r>
            <w:proofErr w:type="spellEnd"/>
            <w:r>
              <w:rPr>
                <w:sz w:val="22"/>
                <w:szCs w:val="22"/>
                <w:lang w:val="es-CR"/>
              </w:rPr>
              <w:t xml:space="preserve"> </w:t>
            </w:r>
            <w:proofErr w:type="spellStart"/>
            <w:r>
              <w:rPr>
                <w:sz w:val="22"/>
                <w:szCs w:val="22"/>
                <w:lang w:val="es-CR"/>
              </w:rPr>
              <w:t>expiration</w:t>
            </w:r>
            <w:proofErr w:type="spellEnd"/>
            <w:r>
              <w:rPr>
                <w:sz w:val="22"/>
                <w:szCs w:val="22"/>
                <w:lang w:val="es-CR"/>
              </w:rPr>
              <w:t xml:space="preserve"> </w:t>
            </w:r>
            <w:proofErr w:type="spellStart"/>
            <w:r>
              <w:rPr>
                <w:sz w:val="22"/>
                <w:szCs w:val="22"/>
                <w:lang w:val="es-CR"/>
              </w:rPr>
              <w:t>of</w:t>
            </w:r>
            <w:proofErr w:type="spellEnd"/>
            <w:r>
              <w:rPr>
                <w:sz w:val="22"/>
                <w:szCs w:val="22"/>
                <w:lang w:val="es-CR"/>
              </w:rPr>
              <w:t xml:space="preserve"> </w:t>
            </w:r>
            <w:proofErr w:type="spellStart"/>
            <w:r>
              <w:rPr>
                <w:sz w:val="22"/>
                <w:szCs w:val="22"/>
                <w:lang w:val="es-CR"/>
              </w:rPr>
              <w:t>the</w:t>
            </w:r>
            <w:proofErr w:type="spellEnd"/>
            <w:r>
              <w:rPr>
                <w:sz w:val="22"/>
                <w:szCs w:val="22"/>
                <w:lang w:val="es-CR"/>
              </w:rPr>
              <w:t xml:space="preserve"> </w:t>
            </w:r>
            <w:proofErr w:type="spellStart"/>
            <w:r>
              <w:rPr>
                <w:sz w:val="22"/>
                <w:szCs w:val="22"/>
                <w:lang w:val="es-CR"/>
              </w:rPr>
              <w:t>successful</w:t>
            </w:r>
            <w:proofErr w:type="spellEnd"/>
            <w:r>
              <w:rPr>
                <w:sz w:val="22"/>
                <w:szCs w:val="22"/>
                <w:lang w:val="es-CR"/>
              </w:rPr>
              <w:t xml:space="preserve"> </w:t>
            </w:r>
            <w:proofErr w:type="spellStart"/>
            <w:r>
              <w:rPr>
                <w:sz w:val="22"/>
                <w:szCs w:val="22"/>
                <w:lang w:val="es-CR"/>
              </w:rPr>
              <w:t>bidder's</w:t>
            </w:r>
            <w:proofErr w:type="spellEnd"/>
            <w:r>
              <w:rPr>
                <w:sz w:val="22"/>
                <w:szCs w:val="22"/>
                <w:lang w:val="es-CR"/>
              </w:rPr>
              <w:t xml:space="preserve"> </w:t>
            </w:r>
            <w:proofErr w:type="spellStart"/>
            <w:r>
              <w:rPr>
                <w:sz w:val="22"/>
                <w:szCs w:val="22"/>
                <w:lang w:val="es-CR"/>
              </w:rPr>
              <w:t>right</w:t>
            </w:r>
            <w:proofErr w:type="spellEnd"/>
            <w:r>
              <w:rPr>
                <w:sz w:val="22"/>
                <w:szCs w:val="22"/>
                <w:lang w:val="es-CR"/>
              </w:rPr>
              <w:t>.</w:t>
            </w:r>
          </w:p>
          <w:p w14:paraId="25FAC5C8" w14:textId="77777777" w:rsidR="00E255F4" w:rsidRDefault="00E255F4">
            <w:pPr>
              <w:tabs>
                <w:tab w:val="left" w:pos="284"/>
                <w:tab w:val="left" w:pos="567"/>
              </w:tabs>
              <w:jc w:val="both"/>
              <w:rPr>
                <w:sz w:val="22"/>
                <w:szCs w:val="22"/>
                <w:lang w:val="es-ES_tradnl"/>
              </w:rPr>
            </w:pPr>
          </w:p>
          <w:p w14:paraId="20825869" w14:textId="77777777" w:rsidR="00E255F4" w:rsidRDefault="00000000">
            <w:pPr>
              <w:tabs>
                <w:tab w:val="left" w:pos="284"/>
                <w:tab w:val="left" w:pos="567"/>
              </w:tabs>
              <w:jc w:val="both"/>
              <w:rPr>
                <w:sz w:val="22"/>
                <w:szCs w:val="22"/>
              </w:rPr>
            </w:pPr>
            <w:r>
              <w:rPr>
                <w:sz w:val="22"/>
                <w:szCs w:val="22"/>
                <w:lang w:val="es-ES_tradnl"/>
              </w:rPr>
              <w:t xml:space="preserve">The </w:t>
            </w:r>
            <w:proofErr w:type="spellStart"/>
            <w:r>
              <w:rPr>
                <w:sz w:val="22"/>
                <w:szCs w:val="22"/>
                <w:lang w:val="es-ES_tradnl"/>
              </w:rPr>
              <w:t>aforementioned</w:t>
            </w:r>
            <w:proofErr w:type="spellEnd"/>
            <w:r>
              <w:rPr>
                <w:sz w:val="22"/>
                <w:szCs w:val="22"/>
                <w:lang w:val="es-ES_tradnl"/>
              </w:rPr>
              <w:t xml:space="preserve"> </w:t>
            </w:r>
            <w:proofErr w:type="spellStart"/>
            <w:r>
              <w:rPr>
                <w:sz w:val="22"/>
                <w:szCs w:val="22"/>
                <w:lang w:val="es-ES_tradnl"/>
              </w:rPr>
              <w:t>request</w:t>
            </w:r>
            <w:proofErr w:type="spellEnd"/>
            <w:r>
              <w:rPr>
                <w:sz w:val="22"/>
                <w:szCs w:val="22"/>
                <w:lang w:val="es-ES_tradnl"/>
              </w:rPr>
              <w:t xml:space="preserve"> </w:t>
            </w:r>
            <w:proofErr w:type="spellStart"/>
            <w:r>
              <w:rPr>
                <w:sz w:val="22"/>
                <w:szCs w:val="22"/>
                <w:lang w:val="es-ES_tradnl"/>
              </w:rPr>
              <w:t>must</w:t>
            </w:r>
            <w:proofErr w:type="spellEnd"/>
            <w:r>
              <w:rPr>
                <w:sz w:val="22"/>
                <w:szCs w:val="22"/>
                <w:lang w:val="es-ES_tradnl"/>
              </w:rPr>
              <w:t xml:space="preserve"> be </w:t>
            </w:r>
            <w:proofErr w:type="spellStart"/>
            <w:r>
              <w:rPr>
                <w:sz w:val="22"/>
                <w:szCs w:val="22"/>
                <w:lang w:val="es-ES_tradnl"/>
              </w:rPr>
              <w:t>submitted</w:t>
            </w:r>
            <w:proofErr w:type="spellEnd"/>
            <w:r>
              <w:rPr>
                <w:sz w:val="22"/>
                <w:szCs w:val="22"/>
                <w:lang w:val="es-ES_tradnl"/>
              </w:rPr>
              <w:t xml:space="preserve"> </w:t>
            </w:r>
            <w:proofErr w:type="spellStart"/>
            <w:r>
              <w:rPr>
                <w:sz w:val="22"/>
                <w:szCs w:val="22"/>
                <w:lang w:val="es-ES_tradnl"/>
              </w:rPr>
              <w:t>to</w:t>
            </w:r>
            <w:proofErr w:type="spellEnd"/>
            <w:r>
              <w:rPr>
                <w:sz w:val="22"/>
                <w:szCs w:val="22"/>
                <w:lang w:val="es-ES_tradnl"/>
              </w:rPr>
              <w:t xml:space="preserve"> </w:t>
            </w:r>
            <w:proofErr w:type="spellStart"/>
            <w:r>
              <w:rPr>
                <w:sz w:val="22"/>
                <w:szCs w:val="22"/>
                <w:lang w:val="es-ES_tradnl"/>
              </w:rPr>
              <w:t>the</w:t>
            </w:r>
            <w:proofErr w:type="spellEnd"/>
            <w:r>
              <w:rPr>
                <w:sz w:val="22"/>
                <w:szCs w:val="22"/>
                <w:lang w:val="es-ES_tradnl"/>
              </w:rPr>
              <w:t xml:space="preserve"> Office </w:t>
            </w:r>
            <w:proofErr w:type="spellStart"/>
            <w:r>
              <w:rPr>
                <w:sz w:val="22"/>
                <w:szCs w:val="22"/>
                <w:lang w:val="es-ES_tradnl"/>
              </w:rPr>
              <w:t>of</w:t>
            </w:r>
            <w:proofErr w:type="spellEnd"/>
            <w:r>
              <w:rPr>
                <w:sz w:val="22"/>
                <w:szCs w:val="22"/>
                <w:lang w:val="es-ES_tradnl"/>
              </w:rPr>
              <w:t xml:space="preserve"> </w:t>
            </w:r>
            <w:proofErr w:type="spellStart"/>
            <w:r>
              <w:rPr>
                <w:sz w:val="22"/>
                <w:szCs w:val="22"/>
                <w:lang w:val="es-ES_tradnl"/>
              </w:rPr>
              <w:t>the</w:t>
            </w:r>
            <w:proofErr w:type="spellEnd"/>
            <w:r>
              <w:rPr>
                <w:sz w:val="22"/>
                <w:szCs w:val="22"/>
                <w:lang w:val="es-ES_tradnl"/>
              </w:rPr>
              <w:t xml:space="preserve"> </w:t>
            </w:r>
            <w:proofErr w:type="spellStart"/>
            <w:r>
              <w:rPr>
                <w:sz w:val="22"/>
                <w:szCs w:val="22"/>
                <w:lang w:val="es-ES_tradnl"/>
              </w:rPr>
              <w:t>Measurement</w:t>
            </w:r>
            <w:proofErr w:type="spellEnd"/>
            <w:r>
              <w:rPr>
                <w:sz w:val="22"/>
                <w:szCs w:val="22"/>
                <w:lang w:val="es-ES_tradnl"/>
              </w:rPr>
              <w:t xml:space="preserve"> and Special </w:t>
            </w:r>
            <w:proofErr w:type="spellStart"/>
            <w:r>
              <w:rPr>
                <w:sz w:val="22"/>
                <w:szCs w:val="22"/>
                <w:lang w:val="es-ES_tradnl"/>
              </w:rPr>
              <w:t>Clients</w:t>
            </w:r>
            <w:proofErr w:type="spellEnd"/>
            <w:r>
              <w:rPr>
                <w:sz w:val="22"/>
                <w:szCs w:val="22"/>
                <w:lang w:val="es-ES_tradnl"/>
              </w:rPr>
              <w:t xml:space="preserve"> Management </w:t>
            </w:r>
            <w:proofErr w:type="spellStart"/>
            <w:r>
              <w:rPr>
                <w:sz w:val="22"/>
                <w:szCs w:val="22"/>
                <w:lang w:val="es-ES_tradnl"/>
              </w:rPr>
              <w:t>of</w:t>
            </w:r>
            <w:proofErr w:type="spellEnd"/>
            <w:r>
              <w:rPr>
                <w:sz w:val="22"/>
                <w:szCs w:val="22"/>
                <w:lang w:val="es-ES_tradnl"/>
              </w:rPr>
              <w:t xml:space="preserve"> </w:t>
            </w:r>
            <w:proofErr w:type="spellStart"/>
            <w:r>
              <w:rPr>
                <w:sz w:val="22"/>
                <w:szCs w:val="22"/>
                <w:lang w:val="es-ES_tradnl"/>
              </w:rPr>
              <w:t>the</w:t>
            </w:r>
            <w:proofErr w:type="spellEnd"/>
            <w:r>
              <w:rPr>
                <w:sz w:val="22"/>
                <w:szCs w:val="22"/>
                <w:lang w:val="es-ES_tradnl"/>
              </w:rPr>
              <w:t xml:space="preserve"> </w:t>
            </w:r>
            <w:proofErr w:type="spellStart"/>
            <w:r>
              <w:rPr>
                <w:sz w:val="22"/>
                <w:szCs w:val="22"/>
                <w:lang w:val="es-ES_tradnl"/>
              </w:rPr>
              <w:t>Measurement</w:t>
            </w:r>
            <w:proofErr w:type="spellEnd"/>
            <w:r>
              <w:rPr>
                <w:sz w:val="22"/>
                <w:szCs w:val="22"/>
                <w:lang w:val="es-ES_tradnl"/>
              </w:rPr>
              <w:t xml:space="preserve">, </w:t>
            </w:r>
            <w:proofErr w:type="spellStart"/>
            <w:r>
              <w:rPr>
                <w:sz w:val="22"/>
                <w:szCs w:val="22"/>
                <w:lang w:val="es-ES_tradnl"/>
              </w:rPr>
              <w:t>Readings</w:t>
            </w:r>
            <w:proofErr w:type="spellEnd"/>
            <w:r>
              <w:rPr>
                <w:sz w:val="22"/>
                <w:szCs w:val="22"/>
                <w:lang w:val="es-ES_tradnl"/>
              </w:rPr>
              <w:t xml:space="preserve"> and New </w:t>
            </w:r>
            <w:proofErr w:type="spellStart"/>
            <w:r>
              <w:rPr>
                <w:sz w:val="22"/>
                <w:szCs w:val="22"/>
                <w:lang w:val="es-ES_tradnl"/>
              </w:rPr>
              <w:t>Services</w:t>
            </w:r>
            <w:proofErr w:type="spellEnd"/>
            <w:r>
              <w:rPr>
                <w:sz w:val="22"/>
                <w:szCs w:val="22"/>
                <w:lang w:val="es-ES_tradnl"/>
              </w:rPr>
              <w:t xml:space="preserve"> Management, </w:t>
            </w:r>
            <w:proofErr w:type="spellStart"/>
            <w:r>
              <w:rPr>
                <w:sz w:val="22"/>
                <w:szCs w:val="22"/>
                <w:lang w:val="es-ES_tradnl"/>
              </w:rPr>
              <w:t>by</w:t>
            </w:r>
            <w:proofErr w:type="spellEnd"/>
            <w:r>
              <w:rPr>
                <w:sz w:val="22"/>
                <w:szCs w:val="22"/>
                <w:lang w:val="es-ES_tradnl"/>
              </w:rPr>
              <w:t xml:space="preserve"> </w:t>
            </w:r>
            <w:proofErr w:type="spellStart"/>
            <w:r>
              <w:rPr>
                <w:sz w:val="22"/>
                <w:szCs w:val="22"/>
                <w:lang w:val="es-ES_tradnl"/>
              </w:rPr>
              <w:t>means</w:t>
            </w:r>
            <w:proofErr w:type="spellEnd"/>
            <w:r>
              <w:rPr>
                <w:sz w:val="22"/>
                <w:szCs w:val="22"/>
                <w:lang w:val="es-ES_tradnl"/>
              </w:rPr>
              <w:t xml:space="preserve"> </w:t>
            </w:r>
            <w:proofErr w:type="spellStart"/>
            <w:r>
              <w:rPr>
                <w:sz w:val="22"/>
                <w:szCs w:val="22"/>
                <w:lang w:val="es-ES_tradnl"/>
              </w:rPr>
              <w:t>of</w:t>
            </w:r>
            <w:proofErr w:type="spellEnd"/>
            <w:r>
              <w:rPr>
                <w:sz w:val="22"/>
                <w:szCs w:val="22"/>
                <w:lang w:val="es-ES_tradnl"/>
              </w:rPr>
              <w:t xml:space="preserve"> a note </w:t>
            </w:r>
            <w:proofErr w:type="spellStart"/>
            <w:r>
              <w:rPr>
                <w:sz w:val="22"/>
                <w:szCs w:val="22"/>
                <w:lang w:val="es-ES_tradnl"/>
              </w:rPr>
              <w:t>establishing</w:t>
            </w:r>
            <w:proofErr w:type="spellEnd"/>
            <w:r>
              <w:rPr>
                <w:sz w:val="22"/>
                <w:szCs w:val="22"/>
                <w:lang w:val="es-ES_tradnl"/>
              </w:rPr>
              <w:t xml:space="preserve"> </w:t>
            </w:r>
            <w:proofErr w:type="spellStart"/>
            <w:r>
              <w:rPr>
                <w:sz w:val="22"/>
                <w:szCs w:val="22"/>
                <w:lang w:val="es-ES_tradnl"/>
              </w:rPr>
              <w:t>the</w:t>
            </w:r>
            <w:proofErr w:type="spellEnd"/>
            <w:r>
              <w:rPr>
                <w:sz w:val="22"/>
                <w:szCs w:val="22"/>
                <w:lang w:val="es-ES_tradnl"/>
              </w:rPr>
              <w:t xml:space="preserve"> </w:t>
            </w:r>
            <w:proofErr w:type="spellStart"/>
            <w:r>
              <w:rPr>
                <w:sz w:val="22"/>
                <w:szCs w:val="22"/>
                <w:lang w:val="es-ES_tradnl"/>
              </w:rPr>
              <w:t>pertinent</w:t>
            </w:r>
            <w:proofErr w:type="spellEnd"/>
            <w:r>
              <w:rPr>
                <w:sz w:val="22"/>
                <w:szCs w:val="22"/>
                <w:lang w:val="es-ES_tradnl"/>
              </w:rPr>
              <w:t xml:space="preserve"> </w:t>
            </w:r>
            <w:proofErr w:type="spellStart"/>
            <w:r>
              <w:rPr>
                <w:sz w:val="22"/>
                <w:szCs w:val="22"/>
                <w:lang w:val="es-ES_tradnl"/>
              </w:rPr>
              <w:t>calculation</w:t>
            </w:r>
            <w:proofErr w:type="spellEnd"/>
            <w:r>
              <w:rPr>
                <w:sz w:val="22"/>
                <w:szCs w:val="22"/>
                <w:lang w:val="es-ES_tradnl"/>
              </w:rPr>
              <w:t xml:space="preserve">, </w:t>
            </w:r>
            <w:proofErr w:type="spellStart"/>
            <w:r>
              <w:rPr>
                <w:sz w:val="22"/>
                <w:szCs w:val="22"/>
                <w:lang w:val="es-ES_tradnl"/>
              </w:rPr>
              <w:t>signed</w:t>
            </w:r>
            <w:proofErr w:type="spellEnd"/>
            <w:r>
              <w:rPr>
                <w:sz w:val="22"/>
                <w:szCs w:val="22"/>
                <w:lang w:val="es-ES_tradnl"/>
              </w:rPr>
              <w:t xml:space="preserve"> </w:t>
            </w:r>
            <w:proofErr w:type="spellStart"/>
            <w:r>
              <w:rPr>
                <w:sz w:val="22"/>
                <w:szCs w:val="22"/>
                <w:lang w:val="es-ES_tradnl"/>
              </w:rPr>
              <w:t>by</w:t>
            </w:r>
            <w:proofErr w:type="spellEnd"/>
            <w:r>
              <w:rPr>
                <w:sz w:val="22"/>
                <w:szCs w:val="22"/>
                <w:lang w:val="es-ES_tradnl"/>
              </w:rPr>
              <w:t xml:space="preserve"> a representative </w:t>
            </w:r>
            <w:proofErr w:type="spellStart"/>
            <w:r>
              <w:rPr>
                <w:sz w:val="22"/>
                <w:szCs w:val="22"/>
                <w:lang w:val="es-ES_tradnl"/>
              </w:rPr>
              <w:t>with</w:t>
            </w:r>
            <w:proofErr w:type="spellEnd"/>
            <w:r>
              <w:rPr>
                <w:sz w:val="22"/>
                <w:szCs w:val="22"/>
                <w:lang w:val="es-ES_tradnl"/>
              </w:rPr>
              <w:t xml:space="preserve"> </w:t>
            </w:r>
            <w:proofErr w:type="spellStart"/>
            <w:r>
              <w:rPr>
                <w:sz w:val="22"/>
                <w:szCs w:val="22"/>
                <w:lang w:val="es-ES_tradnl"/>
              </w:rPr>
              <w:t>sufficient</w:t>
            </w:r>
            <w:proofErr w:type="spellEnd"/>
            <w:r>
              <w:rPr>
                <w:sz w:val="22"/>
                <w:szCs w:val="22"/>
                <w:lang w:val="es-ES_tradnl"/>
              </w:rPr>
              <w:t xml:space="preserve"> </w:t>
            </w:r>
            <w:proofErr w:type="spellStart"/>
            <w:r>
              <w:rPr>
                <w:sz w:val="22"/>
                <w:szCs w:val="22"/>
                <w:lang w:val="es-ES_tradnl"/>
              </w:rPr>
              <w:t>powers</w:t>
            </w:r>
            <w:proofErr w:type="spellEnd"/>
            <w:r>
              <w:rPr>
                <w:sz w:val="22"/>
                <w:szCs w:val="22"/>
                <w:lang w:val="es-ES_tradnl"/>
              </w:rPr>
              <w:t xml:space="preserve">, </w:t>
            </w:r>
            <w:proofErr w:type="spellStart"/>
            <w:r>
              <w:rPr>
                <w:sz w:val="22"/>
                <w:szCs w:val="22"/>
                <w:lang w:val="es-ES_tradnl"/>
              </w:rPr>
              <w:t>registered</w:t>
            </w:r>
            <w:proofErr w:type="spellEnd"/>
            <w:r>
              <w:rPr>
                <w:sz w:val="22"/>
                <w:szCs w:val="22"/>
                <w:lang w:val="es-ES_tradnl"/>
              </w:rPr>
              <w:t xml:space="preserve"> in RUPE.</w:t>
            </w:r>
          </w:p>
          <w:p w14:paraId="43866F73" w14:textId="77777777" w:rsidR="00E255F4" w:rsidRDefault="00E255F4">
            <w:pPr>
              <w:jc w:val="both"/>
              <w:rPr>
                <w:rFonts w:eastAsia="Palatino Linotype"/>
                <w:spacing w:val="-1"/>
                <w:sz w:val="22"/>
                <w:szCs w:val="22"/>
                <w:lang w:val="es-ES"/>
              </w:rPr>
            </w:pPr>
          </w:p>
          <w:p w14:paraId="176E72EC" w14:textId="77777777" w:rsidR="00E255F4" w:rsidRDefault="00000000">
            <w:pPr>
              <w:jc w:val="both"/>
              <w:rPr>
                <w:rFonts w:eastAsia="Palatino Linotype"/>
                <w:b/>
                <w:spacing w:val="-1"/>
                <w:sz w:val="22"/>
                <w:szCs w:val="22"/>
                <w:lang w:val="es-ES"/>
              </w:rPr>
            </w:pPr>
            <w:r>
              <w:rPr>
                <w:rFonts w:eastAsia="Palatino Linotype"/>
                <w:b/>
                <w:spacing w:val="-1"/>
                <w:sz w:val="22"/>
                <w:szCs w:val="22"/>
                <w:lang w:val="es-ES"/>
              </w:rPr>
              <w:t>Billing</w:t>
            </w:r>
          </w:p>
          <w:p w14:paraId="033B8554" w14:textId="77777777" w:rsidR="00E255F4" w:rsidRDefault="00E255F4">
            <w:pPr>
              <w:jc w:val="both"/>
              <w:rPr>
                <w:rFonts w:eastAsia="Palatino Linotype"/>
                <w:b/>
                <w:strike/>
                <w:spacing w:val="-1"/>
                <w:sz w:val="22"/>
                <w:szCs w:val="22"/>
                <w:lang w:val="es-ES" w:eastAsia="es-ES"/>
              </w:rPr>
            </w:pPr>
          </w:p>
          <w:p w14:paraId="1D76A6D5" w14:textId="77777777" w:rsidR="00E255F4" w:rsidRDefault="00000000">
            <w:pPr>
              <w:pStyle w:val="Textocomentario"/>
              <w:jc w:val="both"/>
              <w:rPr>
                <w:b/>
                <w:sz w:val="22"/>
                <w:szCs w:val="22"/>
                <w:lang w:val="es-UY" w:eastAsia="en-US"/>
              </w:rPr>
            </w:pPr>
            <w:proofErr w:type="spellStart"/>
            <w:r>
              <w:rPr>
                <w:b/>
                <w:sz w:val="22"/>
                <w:szCs w:val="22"/>
                <w:lang w:val="es-UY" w:eastAsia="en-US"/>
              </w:rPr>
              <w:t>Suppliers</w:t>
            </w:r>
            <w:proofErr w:type="spellEnd"/>
            <w:r>
              <w:rPr>
                <w:b/>
                <w:sz w:val="22"/>
                <w:szCs w:val="22"/>
                <w:lang w:val="es-UY" w:eastAsia="en-US"/>
              </w:rPr>
              <w:t xml:space="preserve"> </w:t>
            </w:r>
            <w:proofErr w:type="spellStart"/>
            <w:r>
              <w:rPr>
                <w:b/>
                <w:sz w:val="22"/>
                <w:szCs w:val="22"/>
                <w:lang w:val="es-UY" w:eastAsia="en-US"/>
              </w:rPr>
              <w:t>included</w:t>
            </w:r>
            <w:proofErr w:type="spellEnd"/>
            <w:r>
              <w:rPr>
                <w:b/>
                <w:sz w:val="22"/>
                <w:szCs w:val="22"/>
                <w:lang w:val="es-UY" w:eastAsia="en-US"/>
              </w:rPr>
              <w:t xml:space="preserve"> in </w:t>
            </w:r>
            <w:proofErr w:type="spellStart"/>
            <w:r>
              <w:rPr>
                <w:b/>
                <w:sz w:val="22"/>
                <w:szCs w:val="22"/>
                <w:lang w:val="es-UY" w:eastAsia="en-US"/>
              </w:rPr>
              <w:t>the</w:t>
            </w:r>
            <w:proofErr w:type="spellEnd"/>
            <w:r>
              <w:rPr>
                <w:b/>
                <w:sz w:val="22"/>
                <w:szCs w:val="22"/>
                <w:lang w:val="es-UY" w:eastAsia="en-US"/>
              </w:rPr>
              <w:t xml:space="preserve"> Electronic Billing </w:t>
            </w:r>
            <w:proofErr w:type="spellStart"/>
            <w:r>
              <w:rPr>
                <w:b/>
                <w:sz w:val="22"/>
                <w:szCs w:val="22"/>
                <w:lang w:val="es-UY" w:eastAsia="en-US"/>
              </w:rPr>
              <w:t>System</w:t>
            </w:r>
            <w:proofErr w:type="spellEnd"/>
          </w:p>
          <w:p w14:paraId="6BEAFF83" w14:textId="77777777" w:rsidR="00E255F4" w:rsidRDefault="00000000">
            <w:pPr>
              <w:jc w:val="both"/>
              <w:rPr>
                <w:rFonts w:eastAsia="Palatino Linotype"/>
                <w:spacing w:val="-1"/>
                <w:sz w:val="22"/>
                <w:szCs w:val="22"/>
                <w:lang w:val="es-ES"/>
              </w:rPr>
            </w:pPr>
            <w:r>
              <w:rPr>
                <w:sz w:val="22"/>
                <w:szCs w:val="22"/>
                <w:lang w:val="es-ES" w:eastAsia="es-ES"/>
              </w:rPr>
              <w:t xml:space="preserve">For </w:t>
            </w:r>
            <w:proofErr w:type="spellStart"/>
            <w:r>
              <w:rPr>
                <w:sz w:val="22"/>
                <w:szCs w:val="22"/>
                <w:lang w:val="es-ES" w:eastAsia="es-ES"/>
              </w:rPr>
              <w:t>suppliers</w:t>
            </w:r>
            <w:proofErr w:type="spellEnd"/>
            <w:r>
              <w:rPr>
                <w:sz w:val="22"/>
                <w:szCs w:val="22"/>
                <w:lang w:val="es-ES" w:eastAsia="es-ES"/>
              </w:rPr>
              <w:t xml:space="preserve"> </w:t>
            </w:r>
            <w:proofErr w:type="spellStart"/>
            <w:r>
              <w:rPr>
                <w:sz w:val="22"/>
                <w:szCs w:val="22"/>
                <w:lang w:val="es-ES" w:eastAsia="es-ES"/>
              </w:rPr>
              <w:t>who</w:t>
            </w:r>
            <w:proofErr w:type="spellEnd"/>
            <w:r>
              <w:rPr>
                <w:sz w:val="22"/>
                <w:szCs w:val="22"/>
                <w:lang w:val="es-ES" w:eastAsia="es-ES"/>
              </w:rPr>
              <w:t xml:space="preserve"> </w:t>
            </w:r>
            <w:proofErr w:type="spellStart"/>
            <w:r>
              <w:rPr>
                <w:sz w:val="22"/>
                <w:szCs w:val="22"/>
                <w:lang w:val="es-ES" w:eastAsia="es-ES"/>
              </w:rPr>
              <w:t>have</w:t>
            </w:r>
            <w:proofErr w:type="spellEnd"/>
            <w:r>
              <w:rPr>
                <w:sz w:val="22"/>
                <w:szCs w:val="22"/>
                <w:lang w:val="es-ES" w:eastAsia="es-ES"/>
              </w:rPr>
              <w:t xml:space="preserve"> Electronic Billing, </w:t>
            </w:r>
            <w:proofErr w:type="spellStart"/>
            <w:r>
              <w:rPr>
                <w:sz w:val="22"/>
                <w:szCs w:val="22"/>
                <w:lang w:val="es-ES" w:eastAsia="es-ES"/>
              </w:rPr>
              <w:t>they</w:t>
            </w:r>
            <w:proofErr w:type="spellEnd"/>
            <w:r>
              <w:rPr>
                <w:sz w:val="22"/>
                <w:szCs w:val="22"/>
                <w:lang w:val="es-ES" w:eastAsia="es-ES"/>
              </w:rPr>
              <w:t xml:space="preserve"> </w:t>
            </w:r>
            <w:proofErr w:type="spellStart"/>
            <w:r>
              <w:rPr>
                <w:sz w:val="22"/>
                <w:szCs w:val="22"/>
                <w:lang w:val="es-ES" w:eastAsia="es-ES"/>
              </w:rPr>
              <w:t>must</w:t>
            </w:r>
            <w:proofErr w:type="spellEnd"/>
            <w:r>
              <w:rPr>
                <w:sz w:val="22"/>
                <w:szCs w:val="22"/>
                <w:lang w:val="es-ES" w:eastAsia="es-ES"/>
              </w:rPr>
              <w:t xml:space="preserve"> </w:t>
            </w:r>
            <w:proofErr w:type="spellStart"/>
            <w:r>
              <w:rPr>
                <w:sz w:val="22"/>
                <w:szCs w:val="22"/>
                <w:lang w:val="es-ES" w:eastAsia="es-ES"/>
              </w:rPr>
              <w:t>include</w:t>
            </w:r>
            <w:proofErr w:type="spellEnd"/>
            <w:r>
              <w:rPr>
                <w:sz w:val="22"/>
                <w:szCs w:val="22"/>
                <w:lang w:val="es-ES" w:eastAsia="es-ES"/>
              </w:rPr>
              <w:t xml:space="preserve"> </w:t>
            </w:r>
            <w:proofErr w:type="spellStart"/>
            <w:r>
              <w:rPr>
                <w:sz w:val="22"/>
                <w:szCs w:val="22"/>
                <w:lang w:val="es-ES" w:eastAsia="es-ES"/>
              </w:rPr>
              <w:t>the</w:t>
            </w:r>
            <w:proofErr w:type="spellEnd"/>
            <w:r>
              <w:rPr>
                <w:sz w:val="22"/>
                <w:szCs w:val="22"/>
                <w:lang w:val="es-ES" w:eastAsia="es-ES"/>
              </w:rPr>
              <w:t xml:space="preserve"> HS/RM (Service </w:t>
            </w:r>
            <w:proofErr w:type="spellStart"/>
            <w:r>
              <w:rPr>
                <w:sz w:val="22"/>
                <w:szCs w:val="22"/>
                <w:lang w:val="es-ES" w:eastAsia="es-ES"/>
              </w:rPr>
              <w:t>Sheet</w:t>
            </w:r>
            <w:proofErr w:type="spellEnd"/>
            <w:r>
              <w:rPr>
                <w:sz w:val="22"/>
                <w:szCs w:val="22"/>
                <w:lang w:val="es-ES" w:eastAsia="es-ES"/>
              </w:rPr>
              <w:t xml:space="preserve">, </w:t>
            </w:r>
            <w:proofErr w:type="spellStart"/>
            <w:r>
              <w:rPr>
                <w:sz w:val="22"/>
                <w:szCs w:val="22"/>
                <w:lang w:val="es-ES" w:eastAsia="es-ES"/>
              </w:rPr>
              <w:t>duly</w:t>
            </w:r>
            <w:proofErr w:type="spellEnd"/>
            <w:r>
              <w:rPr>
                <w:sz w:val="22"/>
                <w:szCs w:val="22"/>
                <w:lang w:val="es-ES" w:eastAsia="es-ES"/>
              </w:rPr>
              <w:t xml:space="preserve"> </w:t>
            </w:r>
            <w:proofErr w:type="spellStart"/>
            <w:r>
              <w:rPr>
                <w:sz w:val="22"/>
                <w:szCs w:val="22"/>
                <w:lang w:val="es-ES" w:eastAsia="es-ES"/>
              </w:rPr>
              <w:t>authorized</w:t>
            </w:r>
            <w:proofErr w:type="spellEnd"/>
            <w:r>
              <w:rPr>
                <w:sz w:val="22"/>
                <w:szCs w:val="22"/>
                <w:lang w:val="es-ES" w:eastAsia="es-ES"/>
              </w:rPr>
              <w:t xml:space="preserve"> </w:t>
            </w:r>
            <w:proofErr w:type="spellStart"/>
            <w:r>
              <w:rPr>
                <w:sz w:val="22"/>
                <w:szCs w:val="22"/>
                <w:lang w:val="es-ES" w:eastAsia="es-ES"/>
              </w:rPr>
              <w:t>or</w:t>
            </w:r>
            <w:proofErr w:type="spellEnd"/>
            <w:r>
              <w:rPr>
                <w:sz w:val="22"/>
                <w:szCs w:val="22"/>
                <w:lang w:val="es-ES" w:eastAsia="es-ES"/>
              </w:rPr>
              <w:t xml:space="preserve"> </w:t>
            </w:r>
            <w:proofErr w:type="spellStart"/>
            <w:r>
              <w:rPr>
                <w:sz w:val="22"/>
                <w:szCs w:val="22"/>
                <w:lang w:val="es-ES" w:eastAsia="es-ES"/>
              </w:rPr>
              <w:t>Materials</w:t>
            </w:r>
            <w:proofErr w:type="spellEnd"/>
            <w:r>
              <w:rPr>
                <w:sz w:val="22"/>
                <w:szCs w:val="22"/>
                <w:lang w:val="es-ES" w:eastAsia="es-ES"/>
              </w:rPr>
              <w:t xml:space="preserve"> </w:t>
            </w:r>
            <w:proofErr w:type="spellStart"/>
            <w:r>
              <w:rPr>
                <w:sz w:val="22"/>
                <w:szCs w:val="22"/>
                <w:lang w:val="es-ES" w:eastAsia="es-ES"/>
              </w:rPr>
              <w:t>Receipt</w:t>
            </w:r>
            <w:proofErr w:type="spellEnd"/>
            <w:r>
              <w:rPr>
                <w:sz w:val="22"/>
                <w:szCs w:val="22"/>
                <w:lang w:val="es-ES" w:eastAsia="es-ES"/>
              </w:rPr>
              <w:t xml:space="preserve">) data </w:t>
            </w:r>
            <w:proofErr w:type="spellStart"/>
            <w:r>
              <w:rPr>
                <w:sz w:val="22"/>
                <w:szCs w:val="22"/>
                <w:lang w:val="es-ES" w:eastAsia="es-ES"/>
              </w:rPr>
              <w:t>provided</w:t>
            </w:r>
            <w:proofErr w:type="spellEnd"/>
            <w:r>
              <w:rPr>
                <w:sz w:val="22"/>
                <w:szCs w:val="22"/>
                <w:lang w:val="es-ES" w:eastAsia="es-ES"/>
              </w:rPr>
              <w:t xml:space="preserve"> </w:t>
            </w:r>
            <w:proofErr w:type="spellStart"/>
            <w:r>
              <w:rPr>
                <w:sz w:val="22"/>
                <w:szCs w:val="22"/>
                <w:lang w:val="es-ES" w:eastAsia="es-ES"/>
              </w:rPr>
              <w:t>by</w:t>
            </w:r>
            <w:proofErr w:type="spellEnd"/>
            <w:r>
              <w:rPr>
                <w:sz w:val="22"/>
                <w:szCs w:val="22"/>
                <w:lang w:val="es-ES" w:eastAsia="es-ES"/>
              </w:rPr>
              <w:t xml:space="preserve"> OSE in </w:t>
            </w:r>
            <w:proofErr w:type="spellStart"/>
            <w:r>
              <w:rPr>
                <w:sz w:val="22"/>
                <w:szCs w:val="22"/>
                <w:lang w:val="es-ES" w:eastAsia="es-ES"/>
              </w:rPr>
              <w:t>the</w:t>
            </w:r>
            <w:proofErr w:type="spellEnd"/>
            <w:r>
              <w:rPr>
                <w:sz w:val="22"/>
                <w:szCs w:val="22"/>
                <w:lang w:val="es-ES" w:eastAsia="es-ES"/>
              </w:rPr>
              <w:t xml:space="preserve"> Purchase </w:t>
            </w:r>
            <w:proofErr w:type="spellStart"/>
            <w:r>
              <w:rPr>
                <w:sz w:val="22"/>
                <w:szCs w:val="22"/>
                <w:lang w:val="es-ES" w:eastAsia="es-ES"/>
              </w:rPr>
              <w:t>Order</w:t>
            </w:r>
            <w:proofErr w:type="spellEnd"/>
            <w:r>
              <w:rPr>
                <w:sz w:val="22"/>
                <w:szCs w:val="22"/>
                <w:lang w:val="es-ES" w:eastAsia="es-ES"/>
              </w:rPr>
              <w:t xml:space="preserve"> </w:t>
            </w:r>
            <w:proofErr w:type="spellStart"/>
            <w:r>
              <w:rPr>
                <w:sz w:val="22"/>
                <w:szCs w:val="22"/>
                <w:lang w:val="es-ES" w:eastAsia="es-ES"/>
              </w:rPr>
              <w:t>field</w:t>
            </w:r>
            <w:proofErr w:type="spellEnd"/>
            <w:r>
              <w:rPr>
                <w:sz w:val="22"/>
                <w:szCs w:val="22"/>
                <w:lang w:val="es-ES" w:eastAsia="es-ES"/>
              </w:rPr>
              <w:t xml:space="preserve"> </w:t>
            </w:r>
            <w:proofErr w:type="spellStart"/>
            <w:r>
              <w:rPr>
                <w:sz w:val="22"/>
                <w:szCs w:val="22"/>
                <w:lang w:val="es-ES" w:eastAsia="es-ES"/>
              </w:rPr>
              <w:t>when</w:t>
            </w:r>
            <w:proofErr w:type="spellEnd"/>
            <w:r>
              <w:rPr>
                <w:sz w:val="22"/>
                <w:szCs w:val="22"/>
                <w:lang w:val="es-ES" w:eastAsia="es-ES"/>
              </w:rPr>
              <w:t xml:space="preserve"> </w:t>
            </w:r>
            <w:proofErr w:type="spellStart"/>
            <w:r>
              <w:rPr>
                <w:sz w:val="22"/>
                <w:szCs w:val="22"/>
                <w:lang w:val="es-ES" w:eastAsia="es-ES"/>
              </w:rPr>
              <w:t>issuing</w:t>
            </w:r>
            <w:proofErr w:type="spellEnd"/>
            <w:r>
              <w:rPr>
                <w:sz w:val="22"/>
                <w:szCs w:val="22"/>
                <w:lang w:val="es-ES" w:eastAsia="es-ES"/>
              </w:rPr>
              <w:t xml:space="preserve"> </w:t>
            </w:r>
            <w:proofErr w:type="spellStart"/>
            <w:r>
              <w:rPr>
                <w:sz w:val="22"/>
                <w:szCs w:val="22"/>
                <w:lang w:val="es-ES" w:eastAsia="es-ES"/>
              </w:rPr>
              <w:t>the</w:t>
            </w:r>
            <w:proofErr w:type="spellEnd"/>
            <w:r>
              <w:rPr>
                <w:sz w:val="22"/>
                <w:szCs w:val="22"/>
                <w:lang w:val="es-ES" w:eastAsia="es-ES"/>
              </w:rPr>
              <w:t xml:space="preserve"> </w:t>
            </w:r>
            <w:proofErr w:type="spellStart"/>
            <w:r>
              <w:rPr>
                <w:sz w:val="22"/>
                <w:szCs w:val="22"/>
                <w:lang w:val="es-ES" w:eastAsia="es-ES"/>
              </w:rPr>
              <w:t>invoice</w:t>
            </w:r>
            <w:proofErr w:type="spellEnd"/>
            <w:r>
              <w:rPr>
                <w:sz w:val="22"/>
                <w:szCs w:val="22"/>
                <w:lang w:val="es-ES" w:eastAsia="es-ES"/>
              </w:rPr>
              <w:t xml:space="preserve">, </w:t>
            </w:r>
            <w:proofErr w:type="spellStart"/>
            <w:r>
              <w:rPr>
                <w:sz w:val="22"/>
                <w:szCs w:val="22"/>
                <w:lang w:val="es-ES" w:eastAsia="es-ES"/>
              </w:rPr>
              <w:t>or</w:t>
            </w:r>
            <w:proofErr w:type="spellEnd"/>
            <w:r>
              <w:rPr>
                <w:sz w:val="22"/>
                <w:szCs w:val="22"/>
                <w:lang w:val="es-ES" w:eastAsia="es-ES"/>
              </w:rPr>
              <w:t xml:space="preserve"> </w:t>
            </w:r>
            <w:proofErr w:type="spellStart"/>
            <w:r>
              <w:rPr>
                <w:sz w:val="22"/>
                <w:szCs w:val="22"/>
                <w:lang w:val="es-ES" w:eastAsia="es-ES"/>
              </w:rPr>
              <w:t>they</w:t>
            </w:r>
            <w:proofErr w:type="spellEnd"/>
            <w:r>
              <w:rPr>
                <w:sz w:val="22"/>
                <w:szCs w:val="22"/>
                <w:lang w:val="es-ES" w:eastAsia="es-ES"/>
              </w:rPr>
              <w:t xml:space="preserve"> </w:t>
            </w:r>
            <w:proofErr w:type="spellStart"/>
            <w:r>
              <w:rPr>
                <w:sz w:val="22"/>
                <w:szCs w:val="22"/>
                <w:lang w:val="es-ES" w:eastAsia="es-ES"/>
              </w:rPr>
              <w:t>will</w:t>
            </w:r>
            <w:proofErr w:type="spellEnd"/>
            <w:r>
              <w:rPr>
                <w:sz w:val="22"/>
                <w:szCs w:val="22"/>
                <w:lang w:val="es-ES" w:eastAsia="es-ES"/>
              </w:rPr>
              <w:t xml:space="preserve"> </w:t>
            </w:r>
            <w:proofErr w:type="spellStart"/>
            <w:r>
              <w:rPr>
                <w:sz w:val="22"/>
                <w:szCs w:val="22"/>
                <w:lang w:val="es-ES" w:eastAsia="es-ES"/>
              </w:rPr>
              <w:t>have</w:t>
            </w:r>
            <w:proofErr w:type="spellEnd"/>
            <w:r>
              <w:rPr>
                <w:sz w:val="22"/>
                <w:szCs w:val="22"/>
                <w:lang w:val="es-ES" w:eastAsia="es-ES"/>
              </w:rPr>
              <w:t xml:space="preserve"> a </w:t>
            </w:r>
            <w:proofErr w:type="spellStart"/>
            <w:r>
              <w:rPr>
                <w:sz w:val="22"/>
                <w:szCs w:val="22"/>
                <w:lang w:val="es-ES" w:eastAsia="es-ES"/>
              </w:rPr>
              <w:t>period</w:t>
            </w:r>
            <w:proofErr w:type="spellEnd"/>
            <w:r>
              <w:rPr>
                <w:sz w:val="22"/>
                <w:szCs w:val="22"/>
                <w:lang w:val="es-ES" w:eastAsia="es-ES"/>
              </w:rPr>
              <w:t xml:space="preserve"> </w:t>
            </w:r>
            <w:proofErr w:type="spellStart"/>
            <w:r>
              <w:rPr>
                <w:sz w:val="22"/>
                <w:szCs w:val="22"/>
                <w:lang w:val="es-ES" w:eastAsia="es-ES"/>
              </w:rPr>
              <w:t>of</w:t>
            </w:r>
            <w:proofErr w:type="spellEnd"/>
            <w:r>
              <w:rPr>
                <w:sz w:val="22"/>
                <w:szCs w:val="22"/>
                <w:lang w:val="es-ES" w:eastAsia="es-ES"/>
              </w:rPr>
              <w:t xml:space="preserve"> 72 </w:t>
            </w:r>
            <w:proofErr w:type="spellStart"/>
            <w:r>
              <w:rPr>
                <w:sz w:val="22"/>
                <w:szCs w:val="22"/>
                <w:lang w:val="es-ES" w:eastAsia="es-ES"/>
              </w:rPr>
              <w:t>hours</w:t>
            </w:r>
            <w:proofErr w:type="spellEnd"/>
            <w:r>
              <w:rPr>
                <w:sz w:val="22"/>
                <w:szCs w:val="22"/>
                <w:lang w:val="es-ES" w:eastAsia="es-ES"/>
              </w:rPr>
              <w:t xml:space="preserve"> </w:t>
            </w:r>
            <w:proofErr w:type="spellStart"/>
            <w:r>
              <w:rPr>
                <w:sz w:val="22"/>
                <w:szCs w:val="22"/>
                <w:lang w:val="es-ES" w:eastAsia="es-ES"/>
              </w:rPr>
              <w:t>to</w:t>
            </w:r>
            <w:proofErr w:type="spellEnd"/>
            <w:r>
              <w:rPr>
                <w:sz w:val="22"/>
                <w:szCs w:val="22"/>
                <w:lang w:val="es-ES" w:eastAsia="es-ES"/>
              </w:rPr>
              <w:t xml:space="preserve"> </w:t>
            </w:r>
            <w:proofErr w:type="spellStart"/>
            <w:r>
              <w:rPr>
                <w:sz w:val="22"/>
                <w:szCs w:val="22"/>
                <w:lang w:val="es-ES" w:eastAsia="es-ES"/>
              </w:rPr>
              <w:t>enter</w:t>
            </w:r>
            <w:proofErr w:type="spellEnd"/>
            <w:r>
              <w:rPr>
                <w:sz w:val="22"/>
                <w:szCs w:val="22"/>
                <w:lang w:val="es-ES" w:eastAsia="es-ES"/>
              </w:rPr>
              <w:t xml:space="preserve"> </w:t>
            </w:r>
            <w:proofErr w:type="spellStart"/>
            <w:r>
              <w:rPr>
                <w:sz w:val="22"/>
                <w:szCs w:val="22"/>
                <w:lang w:val="es-ES" w:eastAsia="es-ES"/>
              </w:rPr>
              <w:t>the</w:t>
            </w:r>
            <w:proofErr w:type="spellEnd"/>
            <w:r>
              <w:rPr>
                <w:sz w:val="22"/>
                <w:szCs w:val="22"/>
                <w:lang w:val="es-ES" w:eastAsia="es-ES"/>
              </w:rPr>
              <w:t xml:space="preserve"> </w:t>
            </w:r>
            <w:proofErr w:type="spellStart"/>
            <w:r>
              <w:rPr>
                <w:sz w:val="22"/>
                <w:szCs w:val="22"/>
                <w:lang w:val="es-ES" w:eastAsia="es-ES"/>
              </w:rPr>
              <w:t>Suppliers</w:t>
            </w:r>
            <w:proofErr w:type="spellEnd"/>
            <w:r>
              <w:rPr>
                <w:sz w:val="22"/>
                <w:szCs w:val="22"/>
                <w:lang w:val="es-ES" w:eastAsia="es-ES"/>
              </w:rPr>
              <w:t xml:space="preserve">-HS/RM CFE </w:t>
            </w:r>
            <w:proofErr w:type="spellStart"/>
            <w:r>
              <w:rPr>
                <w:sz w:val="22"/>
                <w:szCs w:val="22"/>
                <w:lang w:val="es-ES" w:eastAsia="es-ES"/>
              </w:rPr>
              <w:t>Entry</w:t>
            </w:r>
            <w:proofErr w:type="spellEnd"/>
            <w:r>
              <w:rPr>
                <w:sz w:val="22"/>
                <w:szCs w:val="22"/>
                <w:lang w:val="es-ES" w:eastAsia="es-ES"/>
              </w:rPr>
              <w:t xml:space="preserve"> </w:t>
            </w:r>
            <w:proofErr w:type="spellStart"/>
            <w:r>
              <w:rPr>
                <w:sz w:val="22"/>
                <w:szCs w:val="22"/>
                <w:lang w:val="es-ES" w:eastAsia="es-ES"/>
              </w:rPr>
              <w:t>application</w:t>
            </w:r>
            <w:proofErr w:type="spellEnd"/>
            <w:r>
              <w:rPr>
                <w:sz w:val="22"/>
                <w:szCs w:val="22"/>
                <w:lang w:val="es-ES" w:eastAsia="es-ES"/>
              </w:rPr>
              <w:t xml:space="preserve"> </w:t>
            </w:r>
            <w:proofErr w:type="spellStart"/>
            <w:r>
              <w:rPr>
                <w:sz w:val="22"/>
                <w:szCs w:val="22"/>
                <w:lang w:val="es-ES" w:eastAsia="es-ES"/>
              </w:rPr>
              <w:t>on</w:t>
            </w:r>
            <w:proofErr w:type="spellEnd"/>
            <w:r>
              <w:rPr>
                <w:sz w:val="22"/>
                <w:szCs w:val="22"/>
                <w:lang w:val="es-ES" w:eastAsia="es-ES"/>
              </w:rPr>
              <w:t xml:space="preserve"> </w:t>
            </w:r>
            <w:proofErr w:type="spellStart"/>
            <w:r>
              <w:rPr>
                <w:sz w:val="22"/>
                <w:szCs w:val="22"/>
                <w:lang w:val="es-ES" w:eastAsia="es-ES"/>
              </w:rPr>
              <w:t>the</w:t>
            </w:r>
            <w:proofErr w:type="spellEnd"/>
            <w:r>
              <w:rPr>
                <w:sz w:val="22"/>
                <w:szCs w:val="22"/>
                <w:lang w:val="es-ES" w:eastAsia="es-ES"/>
              </w:rPr>
              <w:t xml:space="preserve"> OSE </w:t>
            </w:r>
            <w:proofErr w:type="spellStart"/>
            <w:r>
              <w:rPr>
                <w:sz w:val="22"/>
                <w:szCs w:val="22"/>
                <w:lang w:val="es-ES" w:eastAsia="es-ES"/>
              </w:rPr>
              <w:t>website</w:t>
            </w:r>
            <w:proofErr w:type="spellEnd"/>
            <w:r>
              <w:rPr>
                <w:sz w:val="22"/>
                <w:szCs w:val="22"/>
                <w:lang w:val="es-ES" w:eastAsia="es-ES"/>
              </w:rPr>
              <w:t xml:space="preserve"> and </w:t>
            </w:r>
            <w:proofErr w:type="spellStart"/>
            <w:r>
              <w:rPr>
                <w:sz w:val="22"/>
                <w:szCs w:val="22"/>
                <w:lang w:val="es-ES" w:eastAsia="es-ES"/>
              </w:rPr>
              <w:t>associate</w:t>
            </w:r>
            <w:proofErr w:type="spellEnd"/>
            <w:r>
              <w:rPr>
                <w:sz w:val="22"/>
                <w:szCs w:val="22"/>
                <w:lang w:val="es-ES" w:eastAsia="es-ES"/>
              </w:rPr>
              <w:t xml:space="preserve"> </w:t>
            </w:r>
            <w:proofErr w:type="spellStart"/>
            <w:r>
              <w:rPr>
                <w:sz w:val="22"/>
                <w:szCs w:val="22"/>
                <w:lang w:val="es-ES" w:eastAsia="es-ES"/>
              </w:rPr>
              <w:t>the</w:t>
            </w:r>
            <w:proofErr w:type="spellEnd"/>
            <w:r>
              <w:rPr>
                <w:sz w:val="22"/>
                <w:szCs w:val="22"/>
                <w:lang w:val="es-ES" w:eastAsia="es-ES"/>
              </w:rPr>
              <w:t xml:space="preserve"> CFE </w:t>
            </w:r>
            <w:proofErr w:type="spellStart"/>
            <w:r>
              <w:rPr>
                <w:sz w:val="22"/>
                <w:szCs w:val="22"/>
                <w:lang w:val="es-ES" w:eastAsia="es-ES"/>
              </w:rPr>
              <w:t>number</w:t>
            </w:r>
            <w:proofErr w:type="spellEnd"/>
            <w:r>
              <w:rPr>
                <w:sz w:val="22"/>
                <w:szCs w:val="22"/>
                <w:lang w:val="es-ES" w:eastAsia="es-ES"/>
              </w:rPr>
              <w:t xml:space="preserve"> </w:t>
            </w:r>
            <w:proofErr w:type="spellStart"/>
            <w:r>
              <w:rPr>
                <w:sz w:val="22"/>
                <w:szCs w:val="22"/>
                <w:lang w:val="es-ES" w:eastAsia="es-ES"/>
              </w:rPr>
              <w:t>with</w:t>
            </w:r>
            <w:proofErr w:type="spellEnd"/>
            <w:r>
              <w:rPr>
                <w:sz w:val="22"/>
                <w:szCs w:val="22"/>
                <w:lang w:val="es-ES" w:eastAsia="es-ES"/>
              </w:rPr>
              <w:t xml:space="preserve"> </w:t>
            </w:r>
            <w:proofErr w:type="spellStart"/>
            <w:r>
              <w:rPr>
                <w:sz w:val="22"/>
                <w:szCs w:val="22"/>
                <w:lang w:val="es-ES" w:eastAsia="es-ES"/>
              </w:rPr>
              <w:t>the</w:t>
            </w:r>
            <w:proofErr w:type="spellEnd"/>
            <w:r>
              <w:rPr>
                <w:sz w:val="22"/>
                <w:szCs w:val="22"/>
                <w:lang w:val="es-ES" w:eastAsia="es-ES"/>
              </w:rPr>
              <w:t xml:space="preserve"> HS/RM.</w:t>
            </w:r>
          </w:p>
        </w:tc>
      </w:tr>
      <w:tr w:rsidR="00E255F4" w14:paraId="14CE4767" w14:textId="77777777">
        <w:tc>
          <w:tcPr>
            <w:tcW w:w="730" w:type="dxa"/>
            <w:tcBorders>
              <w:top w:val="single" w:sz="4" w:space="0" w:color="000000"/>
            </w:tcBorders>
          </w:tcPr>
          <w:p w14:paraId="467AAB0B" w14:textId="77777777" w:rsidR="00E255F4" w:rsidRDefault="00E255F4">
            <w:pPr>
              <w:snapToGrid w:val="0"/>
              <w:ind w:right="-36"/>
              <w:rPr>
                <w:rFonts w:eastAsia="Palatino Linotype"/>
                <w:b/>
                <w:strike/>
                <w:spacing w:val="-1"/>
                <w:sz w:val="22"/>
                <w:szCs w:val="22"/>
                <w:lang w:val="es-ES"/>
              </w:rPr>
            </w:pPr>
          </w:p>
        </w:tc>
        <w:tc>
          <w:tcPr>
            <w:tcW w:w="9038" w:type="dxa"/>
            <w:tcBorders>
              <w:top w:val="single" w:sz="4" w:space="0" w:color="000000"/>
            </w:tcBorders>
          </w:tcPr>
          <w:p w14:paraId="6B00B28A" w14:textId="77777777" w:rsidR="00E255F4" w:rsidRDefault="00E255F4">
            <w:pPr>
              <w:tabs>
                <w:tab w:val="left" w:pos="0"/>
              </w:tabs>
              <w:snapToGrid w:val="0"/>
              <w:jc w:val="both"/>
              <w:rPr>
                <w:rFonts w:eastAsia="Palatino Linotype"/>
                <w:b/>
                <w:strike/>
                <w:sz w:val="22"/>
                <w:szCs w:val="22"/>
                <w:lang w:val="es-ES"/>
              </w:rPr>
            </w:pPr>
          </w:p>
        </w:tc>
      </w:tr>
    </w:tbl>
    <w:p w14:paraId="48960A37" w14:textId="77777777" w:rsidR="00E255F4" w:rsidRDefault="00000000">
      <w:pPr>
        <w:pStyle w:val="Ttulo1"/>
        <w:numPr>
          <w:ilvl w:val="0"/>
          <w:numId w:val="0"/>
        </w:numPr>
        <w:spacing w:before="0" w:after="0"/>
        <w:ind w:left="720"/>
        <w:jc w:val="center"/>
        <w:rPr>
          <w:rFonts w:ascii="Times New Roman" w:eastAsia="Palatino Linotype" w:hAnsi="Times New Roman" w:cs="Times New Roman"/>
          <w:b w:val="0"/>
          <w:color w:val="548DD4"/>
          <w:sz w:val="28"/>
          <w:szCs w:val="24"/>
          <w:lang w:val="pt-BR"/>
        </w:rPr>
      </w:pPr>
      <w:r>
        <w:br w:type="page"/>
      </w:r>
      <w:bookmarkStart w:id="80" w:name="__RefHeading___Toc137_3847131730"/>
      <w:bookmarkEnd w:id="80"/>
      <w:r>
        <w:rPr>
          <w:rFonts w:ascii="Times New Roman" w:hAnsi="Times New Roman" w:cs="Times New Roman"/>
          <w:b w:val="0"/>
          <w:color w:val="548DD4"/>
          <w:sz w:val="28"/>
          <w:szCs w:val="24"/>
          <w:lang w:val="pt-BR"/>
        </w:rPr>
        <w:lastRenderedPageBreak/>
        <w:t xml:space="preserve">  </w:t>
      </w:r>
      <w:bookmarkStart w:id="81" w:name="__RefHeading___Toc225377251"/>
      <w:r>
        <w:rPr>
          <w:rFonts w:ascii="Times New Roman" w:eastAsia="Palatino Linotype" w:hAnsi="Times New Roman" w:cs="Times New Roman"/>
          <w:b w:val="0"/>
          <w:color w:val="548DD4"/>
          <w:sz w:val="28"/>
          <w:szCs w:val="24"/>
          <w:lang w:val="pt-BR"/>
        </w:rPr>
        <w:t>ANNEX IV</w:t>
      </w:r>
      <w:bookmarkEnd w:id="81"/>
    </w:p>
    <w:p w14:paraId="3F12CAFA" w14:textId="77777777" w:rsidR="00E255F4" w:rsidRDefault="00000000">
      <w:pPr>
        <w:pStyle w:val="Ttulo1"/>
        <w:numPr>
          <w:ilvl w:val="0"/>
          <w:numId w:val="0"/>
        </w:numPr>
        <w:spacing w:before="0" w:after="0"/>
        <w:ind w:left="720" w:right="-567"/>
        <w:jc w:val="center"/>
        <w:rPr>
          <w:rFonts w:ascii="Times New Roman" w:eastAsia="Palatino Linotype" w:hAnsi="Times New Roman" w:cs="Times New Roman"/>
          <w:b w:val="0"/>
          <w:color w:val="548DD4"/>
          <w:sz w:val="28"/>
          <w:szCs w:val="24"/>
          <w:lang w:val="pt-BR"/>
        </w:rPr>
      </w:pPr>
      <w:bookmarkStart w:id="82" w:name="__RefHeading___Toc225377252"/>
      <w:bookmarkEnd w:id="82"/>
      <w:proofErr w:type="spellStart"/>
      <w:r>
        <w:rPr>
          <w:rFonts w:ascii="Times New Roman" w:eastAsia="Palatino Linotype" w:hAnsi="Times New Roman" w:cs="Times New Roman"/>
          <w:b w:val="0"/>
          <w:color w:val="548DD4"/>
          <w:sz w:val="28"/>
          <w:szCs w:val="24"/>
          <w:lang w:val="pt-BR"/>
        </w:rPr>
        <w:t>Offer</w:t>
      </w:r>
      <w:proofErr w:type="spellEnd"/>
      <w:r>
        <w:rPr>
          <w:rFonts w:ascii="Times New Roman" w:eastAsia="Palatino Linotype" w:hAnsi="Times New Roman" w:cs="Times New Roman"/>
          <w:b w:val="0"/>
          <w:color w:val="548DD4"/>
          <w:sz w:val="28"/>
          <w:szCs w:val="24"/>
          <w:lang w:val="pt-BR"/>
        </w:rPr>
        <w:t xml:space="preserve"> </w:t>
      </w:r>
      <w:proofErr w:type="spellStart"/>
      <w:r>
        <w:rPr>
          <w:rFonts w:ascii="Times New Roman" w:eastAsia="Palatino Linotype" w:hAnsi="Times New Roman" w:cs="Times New Roman"/>
          <w:b w:val="0"/>
          <w:color w:val="548DD4"/>
          <w:sz w:val="28"/>
          <w:szCs w:val="24"/>
          <w:lang w:val="pt-BR"/>
        </w:rPr>
        <w:t>Form</w:t>
      </w:r>
      <w:proofErr w:type="spellEnd"/>
    </w:p>
    <w:p w14:paraId="4F01C158" w14:textId="77777777" w:rsidR="00E255F4" w:rsidRDefault="00E255F4">
      <w:pPr>
        <w:ind w:right="-567"/>
        <w:rPr>
          <w:rFonts w:eastAsia="Palatino Linotype"/>
          <w:b/>
          <w:color w:val="548DD4"/>
          <w:sz w:val="16"/>
          <w:szCs w:val="24"/>
          <w:lang w:val="pt-BR"/>
        </w:rPr>
      </w:pPr>
    </w:p>
    <w:p w14:paraId="116335B9" w14:textId="77777777" w:rsidR="00E255F4" w:rsidRDefault="00000000">
      <w:pPr>
        <w:ind w:right="-567"/>
        <w:rPr>
          <w:spacing w:val="-3"/>
          <w:lang w:val="es-ES_tradnl"/>
        </w:rPr>
      </w:pPr>
      <w:r>
        <w:rPr>
          <w:lang w:val="es-CO"/>
        </w:rPr>
        <w:t>Tender No. _____</w:t>
      </w:r>
    </w:p>
    <w:p w14:paraId="2610AB23" w14:textId="77777777" w:rsidR="00E255F4" w:rsidRDefault="00000000">
      <w:pPr>
        <w:tabs>
          <w:tab w:val="left" w:pos="-720"/>
        </w:tabs>
        <w:ind w:right="-567"/>
        <w:jc w:val="right"/>
        <w:rPr>
          <w:spacing w:val="-3"/>
          <w:lang w:val="es-ES_tradnl"/>
        </w:rPr>
      </w:pPr>
      <w:r>
        <w:rPr>
          <w:spacing w:val="-3"/>
          <w:lang w:val="es-ES_tradnl"/>
        </w:rPr>
        <w:t xml:space="preserve">Montevideo, ___ </w:t>
      </w:r>
      <w:proofErr w:type="spellStart"/>
      <w:r>
        <w:rPr>
          <w:spacing w:val="-3"/>
          <w:lang w:val="es-ES_tradnl"/>
        </w:rPr>
        <w:t>of</w:t>
      </w:r>
      <w:proofErr w:type="spellEnd"/>
      <w:r>
        <w:rPr>
          <w:spacing w:val="-3"/>
          <w:lang w:val="es-ES_tradnl"/>
        </w:rPr>
        <w:t xml:space="preserve"> ______________ </w:t>
      </w:r>
      <w:proofErr w:type="spellStart"/>
      <w:r>
        <w:rPr>
          <w:spacing w:val="-3"/>
          <w:lang w:val="es-ES_tradnl"/>
        </w:rPr>
        <w:t>of</w:t>
      </w:r>
      <w:proofErr w:type="spellEnd"/>
      <w:r>
        <w:rPr>
          <w:spacing w:val="-3"/>
          <w:lang w:val="es-ES_tradnl"/>
        </w:rPr>
        <w:t xml:space="preserve"> ____</w:t>
      </w:r>
    </w:p>
    <w:p w14:paraId="688228A4" w14:textId="77777777" w:rsidR="00E255F4" w:rsidRDefault="00000000">
      <w:pPr>
        <w:ind w:right="-567"/>
      </w:pPr>
      <w:r>
        <w:rPr>
          <w:spacing w:val="-3"/>
          <w:lang w:val="es-ES_tradnl"/>
        </w:rPr>
        <w:t>PROPONENT'S INFORMATION</w:t>
      </w:r>
      <w:r>
        <w:rPr>
          <w:rStyle w:val="FootnoteAnchor"/>
          <w:spacing w:val="-3"/>
          <w:lang w:val="es-ES_tradnl"/>
        </w:rPr>
        <w:footnoteReference w:id="1"/>
      </w:r>
      <w:r>
        <w:rPr>
          <w:spacing w:val="-3"/>
          <w:lang w:val="es-ES_tradnl"/>
        </w:rPr>
        <w:t>:</w:t>
      </w:r>
    </w:p>
    <w:p w14:paraId="645E0DFE" w14:textId="77777777" w:rsidR="00E255F4" w:rsidRDefault="00E255F4">
      <w:pPr>
        <w:rPr>
          <w:spacing w:val="-3"/>
          <w:lang w:val="es-ES_tradnl"/>
        </w:rPr>
      </w:pPr>
    </w:p>
    <w:tbl>
      <w:tblPr>
        <w:tblW w:w="8258" w:type="dxa"/>
        <w:jc w:val="center"/>
        <w:tblLayout w:type="fixed"/>
        <w:tblLook w:val="04A0" w:firstRow="1" w:lastRow="0" w:firstColumn="1" w:lastColumn="0" w:noHBand="0" w:noVBand="1"/>
      </w:tblPr>
      <w:tblGrid>
        <w:gridCol w:w="2693"/>
        <w:gridCol w:w="2601"/>
        <w:gridCol w:w="2964"/>
      </w:tblGrid>
      <w:tr w:rsidR="00E255F4" w14:paraId="47BBA915" w14:textId="77777777">
        <w:trPr>
          <w:jc w:val="center"/>
        </w:trPr>
        <w:tc>
          <w:tcPr>
            <w:tcW w:w="2693" w:type="dxa"/>
            <w:tcBorders>
              <w:top w:val="single" w:sz="4" w:space="0" w:color="000000"/>
              <w:left w:val="single" w:sz="4" w:space="0" w:color="000000"/>
              <w:bottom w:val="single" w:sz="4" w:space="0" w:color="000000"/>
              <w:right w:val="single" w:sz="4" w:space="0" w:color="000000"/>
            </w:tcBorders>
            <w:shd w:val="clear" w:color="auto" w:fill="C6D9F1"/>
            <w:vAlign w:val="center"/>
          </w:tcPr>
          <w:p w14:paraId="074BB121" w14:textId="77777777" w:rsidR="00E255F4" w:rsidRDefault="00000000">
            <w:pPr>
              <w:tabs>
                <w:tab w:val="left" w:pos="-720"/>
              </w:tabs>
              <w:ind w:right="-567"/>
              <w:jc w:val="center"/>
              <w:rPr>
                <w:spacing w:val="-3"/>
                <w:lang w:val="es-ES_tradnl"/>
              </w:rPr>
            </w:pPr>
            <w:r>
              <w:rPr>
                <w:spacing w:val="-3"/>
                <w:lang w:val="es-ES_tradnl"/>
              </w:rPr>
              <w:t>RUT</w:t>
            </w:r>
          </w:p>
        </w:tc>
        <w:tc>
          <w:tcPr>
            <w:tcW w:w="2601" w:type="dxa"/>
            <w:tcBorders>
              <w:top w:val="single" w:sz="4" w:space="0" w:color="000000"/>
              <w:left w:val="single" w:sz="4" w:space="0" w:color="000000"/>
              <w:bottom w:val="single" w:sz="4" w:space="0" w:color="000000"/>
              <w:right w:val="single" w:sz="4" w:space="0" w:color="000000"/>
            </w:tcBorders>
            <w:shd w:val="clear" w:color="auto" w:fill="C6D9F1"/>
            <w:vAlign w:val="center"/>
          </w:tcPr>
          <w:p w14:paraId="7DD6E905" w14:textId="77777777" w:rsidR="00E255F4" w:rsidRDefault="00000000">
            <w:pPr>
              <w:tabs>
                <w:tab w:val="left" w:pos="-720"/>
              </w:tabs>
              <w:ind w:right="-567"/>
              <w:jc w:val="center"/>
              <w:rPr>
                <w:spacing w:val="-3"/>
                <w:lang w:val="es-ES_tradnl"/>
              </w:rPr>
            </w:pPr>
            <w:r>
              <w:rPr>
                <w:spacing w:val="-3"/>
                <w:lang w:val="es-ES_tradnl"/>
              </w:rPr>
              <w:t>COMPANY NAME</w:t>
            </w:r>
          </w:p>
        </w:tc>
        <w:tc>
          <w:tcPr>
            <w:tcW w:w="2964" w:type="dxa"/>
            <w:tcBorders>
              <w:top w:val="single" w:sz="4" w:space="0" w:color="000000"/>
              <w:left w:val="single" w:sz="4" w:space="0" w:color="000000"/>
              <w:bottom w:val="single" w:sz="4" w:space="0" w:color="000000"/>
              <w:right w:val="single" w:sz="4" w:space="0" w:color="000000"/>
            </w:tcBorders>
            <w:shd w:val="clear" w:color="auto" w:fill="C6D9F1"/>
            <w:vAlign w:val="center"/>
          </w:tcPr>
          <w:p w14:paraId="38B66133" w14:textId="77777777" w:rsidR="00E255F4" w:rsidRDefault="00000000">
            <w:pPr>
              <w:tabs>
                <w:tab w:val="left" w:pos="-720"/>
              </w:tabs>
              <w:ind w:right="-567"/>
              <w:jc w:val="center"/>
              <w:rPr>
                <w:spacing w:val="-3"/>
                <w:lang w:val="es-ES_tradnl"/>
              </w:rPr>
            </w:pPr>
            <w:r>
              <w:rPr>
                <w:spacing w:val="-3"/>
                <w:lang w:val="es-ES_tradnl"/>
              </w:rPr>
              <w:t>TRADE NAME</w:t>
            </w:r>
          </w:p>
        </w:tc>
      </w:tr>
      <w:tr w:rsidR="00E255F4" w14:paraId="526DD267" w14:textId="77777777">
        <w:trPr>
          <w:jc w:val="center"/>
        </w:trPr>
        <w:tc>
          <w:tcPr>
            <w:tcW w:w="2693" w:type="dxa"/>
            <w:tcBorders>
              <w:top w:val="single" w:sz="4" w:space="0" w:color="000000"/>
              <w:left w:val="single" w:sz="4" w:space="0" w:color="000000"/>
              <w:bottom w:val="single" w:sz="4" w:space="0" w:color="000000"/>
              <w:right w:val="single" w:sz="4" w:space="0" w:color="000000"/>
            </w:tcBorders>
            <w:vAlign w:val="center"/>
          </w:tcPr>
          <w:p w14:paraId="05527661" w14:textId="77777777" w:rsidR="00E255F4" w:rsidRDefault="00E255F4">
            <w:pPr>
              <w:tabs>
                <w:tab w:val="left" w:pos="-720"/>
              </w:tabs>
              <w:snapToGrid w:val="0"/>
              <w:ind w:right="-567"/>
              <w:jc w:val="center"/>
              <w:rPr>
                <w:spacing w:val="-3"/>
                <w:lang w:val="es-ES_tradnl"/>
              </w:rPr>
            </w:pPr>
          </w:p>
        </w:tc>
        <w:tc>
          <w:tcPr>
            <w:tcW w:w="2601" w:type="dxa"/>
            <w:tcBorders>
              <w:top w:val="single" w:sz="4" w:space="0" w:color="000000"/>
              <w:left w:val="single" w:sz="4" w:space="0" w:color="000000"/>
              <w:bottom w:val="single" w:sz="4" w:space="0" w:color="000000"/>
              <w:right w:val="single" w:sz="4" w:space="0" w:color="000000"/>
            </w:tcBorders>
            <w:vAlign w:val="center"/>
          </w:tcPr>
          <w:p w14:paraId="4794225B" w14:textId="77777777" w:rsidR="00E255F4" w:rsidRDefault="00E255F4">
            <w:pPr>
              <w:tabs>
                <w:tab w:val="left" w:pos="-720"/>
              </w:tabs>
              <w:snapToGrid w:val="0"/>
              <w:ind w:right="-567"/>
              <w:jc w:val="center"/>
              <w:rPr>
                <w:spacing w:val="-3"/>
                <w:lang w:val="es-ES_tradnl"/>
              </w:rPr>
            </w:pPr>
          </w:p>
        </w:tc>
        <w:tc>
          <w:tcPr>
            <w:tcW w:w="2964" w:type="dxa"/>
            <w:tcBorders>
              <w:top w:val="single" w:sz="4" w:space="0" w:color="000000"/>
              <w:left w:val="single" w:sz="4" w:space="0" w:color="000000"/>
              <w:bottom w:val="single" w:sz="4" w:space="0" w:color="000000"/>
              <w:right w:val="single" w:sz="4" w:space="0" w:color="000000"/>
            </w:tcBorders>
            <w:vAlign w:val="center"/>
          </w:tcPr>
          <w:p w14:paraId="18F6E2F7" w14:textId="77777777" w:rsidR="00E255F4" w:rsidRDefault="00E255F4">
            <w:pPr>
              <w:tabs>
                <w:tab w:val="left" w:pos="-720"/>
              </w:tabs>
              <w:snapToGrid w:val="0"/>
              <w:ind w:right="-567"/>
              <w:jc w:val="center"/>
              <w:rPr>
                <w:spacing w:val="-3"/>
                <w:lang w:val="es-ES_tradnl"/>
              </w:rPr>
            </w:pPr>
          </w:p>
        </w:tc>
      </w:tr>
      <w:tr w:rsidR="00E255F4" w14:paraId="3E55E3DF" w14:textId="77777777">
        <w:trPr>
          <w:jc w:val="center"/>
        </w:trPr>
        <w:tc>
          <w:tcPr>
            <w:tcW w:w="2693" w:type="dxa"/>
            <w:tcBorders>
              <w:top w:val="single" w:sz="4" w:space="0" w:color="000000"/>
              <w:left w:val="single" w:sz="4" w:space="0" w:color="000000"/>
              <w:bottom w:val="single" w:sz="4" w:space="0" w:color="000000"/>
              <w:right w:val="single" w:sz="4" w:space="0" w:color="000000"/>
            </w:tcBorders>
            <w:shd w:val="clear" w:color="auto" w:fill="C6D9F1"/>
            <w:vAlign w:val="center"/>
          </w:tcPr>
          <w:p w14:paraId="5A2DADDB" w14:textId="77777777" w:rsidR="00E255F4" w:rsidRDefault="00000000">
            <w:pPr>
              <w:tabs>
                <w:tab w:val="left" w:pos="-720"/>
              </w:tabs>
              <w:ind w:right="-567"/>
              <w:jc w:val="center"/>
              <w:rPr>
                <w:spacing w:val="-3"/>
                <w:lang w:val="es-ES_tradnl"/>
              </w:rPr>
            </w:pPr>
            <w:r>
              <w:rPr>
                <w:spacing w:val="-3"/>
                <w:lang w:val="es-ES_tradnl"/>
              </w:rPr>
              <w:t>LEGAL ADDRESS</w:t>
            </w:r>
          </w:p>
        </w:tc>
        <w:tc>
          <w:tcPr>
            <w:tcW w:w="2601" w:type="dxa"/>
            <w:tcBorders>
              <w:top w:val="single" w:sz="4" w:space="0" w:color="000000"/>
              <w:left w:val="single" w:sz="4" w:space="0" w:color="000000"/>
              <w:bottom w:val="single" w:sz="4" w:space="0" w:color="000000"/>
              <w:right w:val="single" w:sz="4" w:space="0" w:color="000000"/>
            </w:tcBorders>
            <w:shd w:val="clear" w:color="auto" w:fill="C6D9F1"/>
            <w:vAlign w:val="center"/>
          </w:tcPr>
          <w:p w14:paraId="25738EBD" w14:textId="77777777" w:rsidR="00E255F4" w:rsidRDefault="00000000">
            <w:pPr>
              <w:tabs>
                <w:tab w:val="left" w:pos="-720"/>
              </w:tabs>
              <w:ind w:right="-567"/>
              <w:jc w:val="center"/>
              <w:rPr>
                <w:spacing w:val="-3"/>
                <w:lang w:val="es-ES_tradnl"/>
              </w:rPr>
            </w:pPr>
            <w:r>
              <w:rPr>
                <w:spacing w:val="-3"/>
                <w:lang w:val="es-ES_tradnl"/>
              </w:rPr>
              <w:t>TELEPHONE AND FAX</w:t>
            </w:r>
          </w:p>
        </w:tc>
        <w:tc>
          <w:tcPr>
            <w:tcW w:w="2964" w:type="dxa"/>
            <w:tcBorders>
              <w:top w:val="single" w:sz="4" w:space="0" w:color="000000"/>
              <w:left w:val="single" w:sz="4" w:space="0" w:color="000000"/>
              <w:bottom w:val="single" w:sz="4" w:space="0" w:color="000000"/>
              <w:right w:val="single" w:sz="4" w:space="0" w:color="000000"/>
            </w:tcBorders>
            <w:shd w:val="clear" w:color="auto" w:fill="C6D9F1"/>
            <w:vAlign w:val="center"/>
          </w:tcPr>
          <w:p w14:paraId="5D37BCE1" w14:textId="77777777" w:rsidR="00E255F4" w:rsidRDefault="00000000">
            <w:pPr>
              <w:tabs>
                <w:tab w:val="left" w:pos="-720"/>
              </w:tabs>
              <w:ind w:right="-567"/>
              <w:jc w:val="center"/>
              <w:rPr>
                <w:spacing w:val="-3"/>
                <w:lang w:val="es-ES_tradnl"/>
              </w:rPr>
            </w:pPr>
            <w:r>
              <w:rPr>
                <w:spacing w:val="-3"/>
                <w:lang w:val="es-ES_tradnl"/>
              </w:rPr>
              <w:t>EMAIL</w:t>
            </w:r>
          </w:p>
        </w:tc>
      </w:tr>
      <w:tr w:rsidR="00E255F4" w14:paraId="19DB792E" w14:textId="77777777">
        <w:trPr>
          <w:jc w:val="center"/>
        </w:trPr>
        <w:tc>
          <w:tcPr>
            <w:tcW w:w="2693" w:type="dxa"/>
            <w:tcBorders>
              <w:top w:val="single" w:sz="4" w:space="0" w:color="000000"/>
              <w:left w:val="single" w:sz="4" w:space="0" w:color="000000"/>
              <w:bottom w:val="single" w:sz="4" w:space="0" w:color="000000"/>
              <w:right w:val="single" w:sz="4" w:space="0" w:color="000000"/>
            </w:tcBorders>
            <w:vAlign w:val="center"/>
          </w:tcPr>
          <w:p w14:paraId="0013BD94" w14:textId="77777777" w:rsidR="00E255F4" w:rsidRDefault="00E255F4">
            <w:pPr>
              <w:tabs>
                <w:tab w:val="left" w:pos="-720"/>
              </w:tabs>
              <w:snapToGrid w:val="0"/>
              <w:ind w:right="-567"/>
              <w:jc w:val="center"/>
              <w:rPr>
                <w:spacing w:val="-3"/>
                <w:lang w:val="es-ES_tradnl"/>
              </w:rPr>
            </w:pPr>
          </w:p>
        </w:tc>
        <w:tc>
          <w:tcPr>
            <w:tcW w:w="2601" w:type="dxa"/>
            <w:tcBorders>
              <w:top w:val="single" w:sz="4" w:space="0" w:color="000000"/>
              <w:left w:val="single" w:sz="4" w:space="0" w:color="000000"/>
              <w:bottom w:val="single" w:sz="4" w:space="0" w:color="000000"/>
              <w:right w:val="single" w:sz="4" w:space="0" w:color="000000"/>
            </w:tcBorders>
            <w:vAlign w:val="center"/>
          </w:tcPr>
          <w:p w14:paraId="105C88E5" w14:textId="77777777" w:rsidR="00E255F4" w:rsidRDefault="00E255F4">
            <w:pPr>
              <w:tabs>
                <w:tab w:val="left" w:pos="-720"/>
              </w:tabs>
              <w:snapToGrid w:val="0"/>
              <w:ind w:right="-567"/>
              <w:jc w:val="center"/>
              <w:rPr>
                <w:spacing w:val="-3"/>
                <w:lang w:val="es-ES_tradnl"/>
              </w:rPr>
            </w:pPr>
          </w:p>
        </w:tc>
        <w:tc>
          <w:tcPr>
            <w:tcW w:w="2964" w:type="dxa"/>
            <w:tcBorders>
              <w:top w:val="single" w:sz="4" w:space="0" w:color="000000"/>
              <w:left w:val="single" w:sz="4" w:space="0" w:color="000000"/>
              <w:bottom w:val="single" w:sz="4" w:space="0" w:color="000000"/>
              <w:right w:val="single" w:sz="4" w:space="0" w:color="000000"/>
            </w:tcBorders>
            <w:vAlign w:val="center"/>
          </w:tcPr>
          <w:p w14:paraId="48FC8086" w14:textId="77777777" w:rsidR="00E255F4" w:rsidRDefault="00E255F4">
            <w:pPr>
              <w:tabs>
                <w:tab w:val="left" w:pos="-720"/>
              </w:tabs>
              <w:snapToGrid w:val="0"/>
              <w:ind w:right="-567"/>
              <w:jc w:val="center"/>
              <w:rPr>
                <w:spacing w:val="-3"/>
                <w:lang w:val="es-ES_tradnl"/>
              </w:rPr>
            </w:pPr>
          </w:p>
        </w:tc>
      </w:tr>
    </w:tbl>
    <w:p w14:paraId="13C49B93" w14:textId="77777777" w:rsidR="00E255F4" w:rsidRDefault="00E255F4">
      <w:pPr>
        <w:tabs>
          <w:tab w:val="left" w:pos="-720"/>
        </w:tabs>
        <w:ind w:right="-567"/>
        <w:rPr>
          <w:spacing w:val="-3"/>
          <w:lang w:val="es-ES_tradnl"/>
        </w:rPr>
      </w:pPr>
    </w:p>
    <w:p w14:paraId="78912347" w14:textId="77777777" w:rsidR="00E255F4" w:rsidRDefault="00000000">
      <w:pPr>
        <w:tabs>
          <w:tab w:val="left" w:pos="-720"/>
        </w:tabs>
        <w:ind w:right="-567"/>
        <w:rPr>
          <w:spacing w:val="-3"/>
          <w:lang w:val="es-ES_tradnl"/>
        </w:rPr>
      </w:pPr>
      <w:r>
        <w:rPr>
          <w:spacing w:val="-3"/>
          <w:lang w:val="es-ES_tradnl"/>
        </w:rPr>
        <w:t xml:space="preserve">Dear </w:t>
      </w:r>
      <w:proofErr w:type="spellStart"/>
      <w:r>
        <w:rPr>
          <w:spacing w:val="-3"/>
          <w:lang w:val="es-ES_tradnl"/>
        </w:rPr>
        <w:t>Sirs</w:t>
      </w:r>
      <w:proofErr w:type="spellEnd"/>
      <w:r>
        <w:rPr>
          <w:spacing w:val="-3"/>
          <w:lang w:val="es-ES_tradnl"/>
        </w:rPr>
        <w:t xml:space="preserve">, </w:t>
      </w:r>
      <w:proofErr w:type="spellStart"/>
      <w:r>
        <w:rPr>
          <w:spacing w:val="-3"/>
          <w:lang w:val="es-ES_tradnl"/>
        </w:rPr>
        <w:t>Administration</w:t>
      </w:r>
      <w:proofErr w:type="spellEnd"/>
      <w:r>
        <w:rPr>
          <w:spacing w:val="-3"/>
          <w:lang w:val="es-ES_tradnl"/>
        </w:rPr>
        <w:t xml:space="preserve"> </w:t>
      </w:r>
      <w:proofErr w:type="spellStart"/>
      <w:r>
        <w:rPr>
          <w:spacing w:val="-3"/>
          <w:lang w:val="es-ES_tradnl"/>
        </w:rPr>
        <w:t>of</w:t>
      </w:r>
      <w:proofErr w:type="spellEnd"/>
      <w:r>
        <w:rPr>
          <w:spacing w:val="-3"/>
          <w:lang w:val="es-ES_tradnl"/>
        </w:rPr>
        <w:t xml:space="preserve"> </w:t>
      </w:r>
      <w:proofErr w:type="spellStart"/>
      <w:r>
        <w:rPr>
          <w:spacing w:val="-3"/>
          <w:lang w:val="es-ES_tradnl"/>
        </w:rPr>
        <w:t>the</w:t>
      </w:r>
      <w:proofErr w:type="spellEnd"/>
      <w:r>
        <w:rPr>
          <w:spacing w:val="-3"/>
          <w:lang w:val="es-ES_tradnl"/>
        </w:rPr>
        <w:t xml:space="preserve"> State </w:t>
      </w:r>
      <w:proofErr w:type="spellStart"/>
      <w:r>
        <w:rPr>
          <w:spacing w:val="-3"/>
          <w:lang w:val="es-ES_tradnl"/>
        </w:rPr>
        <w:t>Waterworks</w:t>
      </w:r>
      <w:proofErr w:type="spellEnd"/>
      <w:r>
        <w:rPr>
          <w:spacing w:val="-3"/>
          <w:lang w:val="es-ES_tradnl"/>
        </w:rPr>
        <w:t xml:space="preserve"> (OSE)</w:t>
      </w:r>
    </w:p>
    <w:p w14:paraId="73034291" w14:textId="77777777" w:rsidR="00E255F4" w:rsidRDefault="00E255F4">
      <w:pPr>
        <w:tabs>
          <w:tab w:val="left" w:pos="-720"/>
        </w:tabs>
        <w:ind w:right="-567"/>
        <w:rPr>
          <w:spacing w:val="-3"/>
          <w:lang w:val="es-ES_tradnl"/>
        </w:rPr>
      </w:pPr>
    </w:p>
    <w:p w14:paraId="5F1DA48B" w14:textId="77777777" w:rsidR="00E255F4" w:rsidRDefault="00000000">
      <w:pPr>
        <w:tabs>
          <w:tab w:val="left" w:pos="-720"/>
        </w:tabs>
        <w:ind w:right="-567"/>
      </w:pPr>
      <w:r>
        <w:rPr>
          <w:spacing w:val="-3"/>
          <w:lang w:val="es-ES_tradnl"/>
        </w:rPr>
        <w:t xml:space="preserve">With </w:t>
      </w:r>
      <w:proofErr w:type="spellStart"/>
      <w:r>
        <w:rPr>
          <w:spacing w:val="-3"/>
          <w:lang w:val="es-ES_tradnl"/>
        </w:rPr>
        <w:t>my</w:t>
      </w:r>
      <w:proofErr w:type="spellEnd"/>
      <w:r>
        <w:rPr>
          <w:spacing w:val="-3"/>
          <w:lang w:val="es-ES_tradnl"/>
        </w:rPr>
        <w:t xml:space="preserve"> </w:t>
      </w:r>
      <w:proofErr w:type="spellStart"/>
      <w:r>
        <w:rPr>
          <w:spacing w:val="-3"/>
          <w:lang w:val="es-ES_tradnl"/>
        </w:rPr>
        <w:t>highest</w:t>
      </w:r>
      <w:proofErr w:type="spellEnd"/>
      <w:r>
        <w:rPr>
          <w:spacing w:val="-3"/>
          <w:lang w:val="es-ES_tradnl"/>
        </w:rPr>
        <w:t xml:space="preserve"> </w:t>
      </w:r>
      <w:proofErr w:type="spellStart"/>
      <w:r>
        <w:rPr>
          <w:spacing w:val="-3"/>
          <w:lang w:val="es-ES_tradnl"/>
        </w:rPr>
        <w:t>regards</w:t>
      </w:r>
      <w:proofErr w:type="spellEnd"/>
      <w:r>
        <w:rPr>
          <w:rFonts w:ascii="Arial" w:hAnsi="Arial" w:cs="Arial"/>
          <w:spacing w:val="-3"/>
          <w:lang w:val="es-ES_tradnl"/>
        </w:rPr>
        <w:tab/>
      </w:r>
      <w:r>
        <w:rPr>
          <w:rFonts w:ascii="Arial" w:hAnsi="Arial" w:cs="Arial"/>
          <w:spacing w:val="-3"/>
          <w:lang w:val="es-ES_tradnl"/>
        </w:rPr>
        <w:tab/>
      </w:r>
      <w:r>
        <w:rPr>
          <w:rFonts w:ascii="Arial" w:hAnsi="Arial" w:cs="Arial"/>
          <w:spacing w:val="-3"/>
          <w:lang w:val="es-ES_tradnl"/>
        </w:rPr>
        <w:tab/>
      </w:r>
      <w:r>
        <w:rPr>
          <w:rFonts w:ascii="Arial" w:hAnsi="Arial" w:cs="Arial"/>
          <w:spacing w:val="-3"/>
          <w:lang w:val="es-ES_tradnl"/>
        </w:rPr>
        <w:tab/>
      </w:r>
    </w:p>
    <w:p w14:paraId="0F3E49AE" w14:textId="77777777" w:rsidR="00E255F4" w:rsidRDefault="00000000">
      <w:pPr>
        <w:tabs>
          <w:tab w:val="left" w:pos="-720"/>
        </w:tabs>
        <w:ind w:right="-567"/>
        <w:jc w:val="both"/>
      </w:pPr>
      <w:r>
        <w:rPr>
          <w:spacing w:val="-3"/>
          <w:lang w:val="es-ES_tradnl"/>
        </w:rPr>
        <w:t xml:space="preserve">The </w:t>
      </w:r>
      <w:proofErr w:type="spellStart"/>
      <w:r>
        <w:rPr>
          <w:spacing w:val="-3"/>
          <w:lang w:val="es-ES_tradnl"/>
        </w:rPr>
        <w:t>undersigned</w:t>
      </w:r>
      <w:proofErr w:type="spellEnd"/>
      <w:r>
        <w:rPr>
          <w:spacing w:val="-3"/>
          <w:lang w:val="es-ES_tradnl"/>
        </w:rPr>
        <w:t xml:space="preserve">, Mr. __________________, ID No. ______________, representative </w:t>
      </w:r>
      <w:proofErr w:type="spellStart"/>
      <w:r>
        <w:rPr>
          <w:spacing w:val="-3"/>
          <w:lang w:val="es-ES_tradnl"/>
        </w:rPr>
        <w:t>of</w:t>
      </w:r>
      <w:proofErr w:type="spellEnd"/>
      <w:r>
        <w:rPr>
          <w:spacing w:val="-3"/>
          <w:lang w:val="es-ES_tradnl"/>
        </w:rPr>
        <w:t xml:space="preserve"> </w:t>
      </w:r>
      <w:proofErr w:type="spellStart"/>
      <w:r>
        <w:rPr>
          <w:spacing w:val="-3"/>
          <w:lang w:val="es-ES_tradnl"/>
        </w:rPr>
        <w:t>the</w:t>
      </w:r>
      <w:proofErr w:type="spellEnd"/>
      <w:r>
        <w:rPr>
          <w:spacing w:val="-3"/>
          <w:lang w:val="es-ES_tradnl"/>
        </w:rPr>
        <w:t xml:space="preserve"> </w:t>
      </w:r>
      <w:proofErr w:type="spellStart"/>
      <w:r>
        <w:rPr>
          <w:spacing w:val="-3"/>
          <w:lang w:val="es-ES_tradnl"/>
        </w:rPr>
        <w:t>indicated</w:t>
      </w:r>
      <w:proofErr w:type="spellEnd"/>
      <w:r>
        <w:rPr>
          <w:spacing w:val="-3"/>
          <w:lang w:val="es-ES_tradnl"/>
        </w:rPr>
        <w:t xml:space="preserve"> </w:t>
      </w:r>
      <w:proofErr w:type="spellStart"/>
      <w:r>
        <w:rPr>
          <w:spacing w:val="-3"/>
          <w:lang w:val="es-ES_tradnl"/>
        </w:rPr>
        <w:t>company</w:t>
      </w:r>
      <w:proofErr w:type="spellEnd"/>
      <w:r>
        <w:rPr>
          <w:spacing w:val="-3"/>
          <w:lang w:val="es-ES_tradnl"/>
        </w:rPr>
        <w:t xml:space="preserve">, declares </w:t>
      </w:r>
      <w:proofErr w:type="spellStart"/>
      <w:r>
        <w:rPr>
          <w:spacing w:val="-3"/>
          <w:lang w:val="es-ES_tradnl"/>
        </w:rPr>
        <w:t>that</w:t>
      </w:r>
      <w:proofErr w:type="spellEnd"/>
      <w:r>
        <w:rPr>
          <w:spacing w:val="-3"/>
          <w:lang w:val="es-ES_tradnl"/>
        </w:rPr>
        <w:t xml:space="preserve"> he </w:t>
      </w:r>
      <w:proofErr w:type="spellStart"/>
      <w:r>
        <w:rPr>
          <w:spacing w:val="-3"/>
          <w:lang w:val="es-ES_tradnl"/>
        </w:rPr>
        <w:t>is</w:t>
      </w:r>
      <w:proofErr w:type="spellEnd"/>
      <w:r>
        <w:rPr>
          <w:spacing w:val="-3"/>
          <w:lang w:val="es-ES_tradnl"/>
        </w:rPr>
        <w:t xml:space="preserve"> in a position </w:t>
      </w:r>
      <w:proofErr w:type="spellStart"/>
      <w:r>
        <w:rPr>
          <w:spacing w:val="-3"/>
          <w:lang w:val="es-ES_tradnl"/>
        </w:rPr>
        <w:t>to</w:t>
      </w:r>
      <w:proofErr w:type="spellEnd"/>
      <w:r>
        <w:rPr>
          <w:spacing w:val="-3"/>
          <w:lang w:val="es-ES_tradnl"/>
        </w:rPr>
        <w:t xml:space="preserve"> </w:t>
      </w:r>
      <w:proofErr w:type="spellStart"/>
      <w:r>
        <w:rPr>
          <w:spacing w:val="-3"/>
          <w:lang w:val="es-ES_tradnl"/>
        </w:rPr>
        <w:t>contract</w:t>
      </w:r>
      <w:proofErr w:type="spellEnd"/>
      <w:r>
        <w:rPr>
          <w:spacing w:val="-3"/>
          <w:lang w:val="es-ES_tradnl"/>
        </w:rPr>
        <w:t xml:space="preserve"> </w:t>
      </w:r>
      <w:proofErr w:type="spellStart"/>
      <w:r>
        <w:rPr>
          <w:spacing w:val="-3"/>
          <w:lang w:val="es-ES_tradnl"/>
        </w:rPr>
        <w:t>with</w:t>
      </w:r>
      <w:proofErr w:type="spellEnd"/>
      <w:r>
        <w:rPr>
          <w:spacing w:val="-3"/>
          <w:lang w:val="es-ES_tradnl"/>
        </w:rPr>
        <w:t xml:space="preserve"> </w:t>
      </w:r>
      <w:proofErr w:type="spellStart"/>
      <w:r>
        <w:rPr>
          <w:spacing w:val="-3"/>
          <w:lang w:val="es-ES_tradnl"/>
        </w:rPr>
        <w:t>the</w:t>
      </w:r>
      <w:proofErr w:type="spellEnd"/>
      <w:r>
        <w:rPr>
          <w:spacing w:val="-3"/>
          <w:lang w:val="es-ES_tradnl"/>
        </w:rPr>
        <w:t xml:space="preserve"> State and </w:t>
      </w:r>
      <w:proofErr w:type="spellStart"/>
      <w:r>
        <w:rPr>
          <w:spacing w:val="-3"/>
          <w:lang w:val="es-ES_tradnl"/>
        </w:rPr>
        <w:t>that</w:t>
      </w:r>
      <w:proofErr w:type="spellEnd"/>
      <w:r>
        <w:rPr>
          <w:spacing w:val="-3"/>
          <w:lang w:val="es-ES_tradnl"/>
        </w:rPr>
        <w:t xml:space="preserve"> he </w:t>
      </w:r>
      <w:proofErr w:type="spellStart"/>
      <w:r>
        <w:rPr>
          <w:spacing w:val="-3"/>
          <w:lang w:val="es-ES_tradnl"/>
        </w:rPr>
        <w:t>submits</w:t>
      </w:r>
      <w:proofErr w:type="spellEnd"/>
      <w:r>
        <w:rPr>
          <w:spacing w:val="-3"/>
          <w:lang w:val="es-ES_tradnl"/>
        </w:rPr>
        <w:t xml:space="preserve"> </w:t>
      </w:r>
      <w:proofErr w:type="spellStart"/>
      <w:r>
        <w:rPr>
          <w:spacing w:val="-3"/>
          <w:lang w:val="es-ES_tradnl"/>
        </w:rPr>
        <w:t>to</w:t>
      </w:r>
      <w:proofErr w:type="spellEnd"/>
      <w:r>
        <w:rPr>
          <w:spacing w:val="-3"/>
          <w:lang w:val="es-ES_tradnl"/>
        </w:rPr>
        <w:t xml:space="preserve"> </w:t>
      </w:r>
      <w:proofErr w:type="spellStart"/>
      <w:r>
        <w:rPr>
          <w:spacing w:val="-3"/>
          <w:lang w:val="es-ES_tradnl"/>
        </w:rPr>
        <w:t>the</w:t>
      </w:r>
      <w:proofErr w:type="spellEnd"/>
      <w:r>
        <w:rPr>
          <w:spacing w:val="-3"/>
          <w:lang w:val="es-ES_tradnl"/>
        </w:rPr>
        <w:t xml:space="preserve"> Laws and Courts </w:t>
      </w:r>
      <w:proofErr w:type="spellStart"/>
      <w:r>
        <w:rPr>
          <w:spacing w:val="-3"/>
          <w:lang w:val="es-ES_tradnl"/>
        </w:rPr>
        <w:t>of</w:t>
      </w:r>
      <w:proofErr w:type="spellEnd"/>
      <w:r>
        <w:rPr>
          <w:spacing w:val="-3"/>
          <w:lang w:val="es-ES_tradnl"/>
        </w:rPr>
        <w:t xml:space="preserve"> </w:t>
      </w:r>
      <w:proofErr w:type="spellStart"/>
      <w:r>
        <w:rPr>
          <w:spacing w:val="-3"/>
          <w:lang w:val="es-ES_tradnl"/>
        </w:rPr>
        <w:t>the</w:t>
      </w:r>
      <w:proofErr w:type="spellEnd"/>
      <w:r>
        <w:rPr>
          <w:spacing w:val="-3"/>
          <w:lang w:val="es-ES_tradnl"/>
        </w:rPr>
        <w:t xml:space="preserve"> Country, </w:t>
      </w:r>
      <w:proofErr w:type="spellStart"/>
      <w:r>
        <w:rPr>
          <w:spacing w:val="-3"/>
          <w:lang w:val="es-ES_tradnl"/>
        </w:rPr>
        <w:t>to</w:t>
      </w:r>
      <w:proofErr w:type="spellEnd"/>
      <w:r>
        <w:rPr>
          <w:spacing w:val="-3"/>
          <w:lang w:val="es-ES_tradnl"/>
        </w:rPr>
        <w:t xml:space="preserve"> </w:t>
      </w:r>
      <w:proofErr w:type="spellStart"/>
      <w:r>
        <w:rPr>
          <w:spacing w:val="-3"/>
          <w:lang w:val="es-ES_tradnl"/>
        </w:rPr>
        <w:t>the</w:t>
      </w:r>
      <w:proofErr w:type="spellEnd"/>
      <w:r>
        <w:rPr>
          <w:spacing w:val="-3"/>
          <w:lang w:val="es-ES_tradnl"/>
        </w:rPr>
        <w:t xml:space="preserve"> </w:t>
      </w:r>
      <w:proofErr w:type="spellStart"/>
      <w:r>
        <w:rPr>
          <w:spacing w:val="-3"/>
          <w:lang w:val="es-ES_tradnl"/>
        </w:rPr>
        <w:t>exclusion</w:t>
      </w:r>
      <w:proofErr w:type="spellEnd"/>
      <w:r>
        <w:rPr>
          <w:spacing w:val="-3"/>
          <w:lang w:val="es-ES_tradnl"/>
        </w:rPr>
        <w:t xml:space="preserve"> </w:t>
      </w:r>
      <w:proofErr w:type="spellStart"/>
      <w:r>
        <w:rPr>
          <w:spacing w:val="-3"/>
          <w:lang w:val="es-ES_tradnl"/>
        </w:rPr>
        <w:t>of</w:t>
      </w:r>
      <w:proofErr w:type="spellEnd"/>
      <w:r>
        <w:rPr>
          <w:spacing w:val="-3"/>
          <w:lang w:val="es-ES_tradnl"/>
        </w:rPr>
        <w:t xml:space="preserve"> </w:t>
      </w:r>
      <w:proofErr w:type="spellStart"/>
      <w:r>
        <w:rPr>
          <w:spacing w:val="-3"/>
          <w:lang w:val="es-ES_tradnl"/>
        </w:rPr>
        <w:t>any</w:t>
      </w:r>
      <w:proofErr w:type="spellEnd"/>
      <w:r>
        <w:rPr>
          <w:spacing w:val="-3"/>
          <w:lang w:val="es-ES_tradnl"/>
        </w:rPr>
        <w:t xml:space="preserve"> </w:t>
      </w:r>
      <w:proofErr w:type="spellStart"/>
      <w:r>
        <w:rPr>
          <w:spacing w:val="-3"/>
          <w:lang w:val="es-ES_tradnl"/>
        </w:rPr>
        <w:t>other</w:t>
      </w:r>
      <w:proofErr w:type="spellEnd"/>
      <w:r>
        <w:rPr>
          <w:spacing w:val="-3"/>
          <w:lang w:val="es-ES_tradnl"/>
        </w:rPr>
        <w:t xml:space="preserve"> </w:t>
      </w:r>
      <w:proofErr w:type="spellStart"/>
      <w:r>
        <w:rPr>
          <w:spacing w:val="-3"/>
          <w:lang w:val="es-ES_tradnl"/>
        </w:rPr>
        <w:t>recourse</w:t>
      </w:r>
      <w:proofErr w:type="spellEnd"/>
      <w:r>
        <w:rPr>
          <w:spacing w:val="-3"/>
          <w:lang w:val="es-ES_tradnl"/>
        </w:rPr>
        <w:t xml:space="preserve">, </w:t>
      </w:r>
      <w:proofErr w:type="spellStart"/>
      <w:r>
        <w:rPr>
          <w:spacing w:val="-3"/>
          <w:lang w:val="es-ES_tradnl"/>
        </w:rPr>
        <w:t>committing</w:t>
      </w:r>
      <w:proofErr w:type="spellEnd"/>
      <w:r>
        <w:rPr>
          <w:spacing w:val="-3"/>
          <w:lang w:val="es-ES_tradnl"/>
        </w:rPr>
        <w:t xml:space="preserve"> </w:t>
      </w:r>
      <w:proofErr w:type="spellStart"/>
      <w:r>
        <w:rPr>
          <w:spacing w:val="-3"/>
          <w:lang w:val="es-ES_tradnl"/>
        </w:rPr>
        <w:t>to</w:t>
      </w:r>
      <w:proofErr w:type="spellEnd"/>
      <w:r>
        <w:rPr>
          <w:spacing w:val="-3"/>
          <w:lang w:val="es-ES_tradnl"/>
        </w:rPr>
        <w:t xml:space="preserve"> </w:t>
      </w:r>
      <w:proofErr w:type="spellStart"/>
      <w:r>
        <w:rPr>
          <w:spacing w:val="-3"/>
          <w:lang w:val="es-ES_tradnl"/>
        </w:rPr>
        <w:t>carry</w:t>
      </w:r>
      <w:proofErr w:type="spellEnd"/>
      <w:r>
        <w:rPr>
          <w:spacing w:val="-3"/>
          <w:lang w:val="es-ES_tradnl"/>
        </w:rPr>
        <w:t xml:space="preserve"> </w:t>
      </w:r>
      <w:proofErr w:type="spellStart"/>
      <w:r>
        <w:rPr>
          <w:spacing w:val="-3"/>
          <w:lang w:val="es-ES_tradnl"/>
        </w:rPr>
        <w:t>out</w:t>
      </w:r>
      <w:proofErr w:type="spellEnd"/>
      <w:r>
        <w:rPr>
          <w:spacing w:val="-3"/>
          <w:lang w:val="es-ES_tradnl"/>
        </w:rPr>
        <w:t xml:space="preserve"> </w:t>
      </w:r>
      <w:proofErr w:type="spellStart"/>
      <w:r>
        <w:rPr>
          <w:spacing w:val="-3"/>
          <w:lang w:val="es-ES_tradnl"/>
        </w:rPr>
        <w:t>the</w:t>
      </w:r>
      <w:proofErr w:type="spellEnd"/>
      <w:r>
        <w:rPr>
          <w:spacing w:val="-3"/>
          <w:lang w:val="es-ES_tradnl"/>
        </w:rPr>
        <w:t xml:space="preserve"> </w:t>
      </w:r>
      <w:proofErr w:type="spellStart"/>
      <w:r>
        <w:rPr>
          <w:spacing w:val="-3"/>
          <w:lang w:val="es-ES_tradnl"/>
        </w:rPr>
        <w:t>supply</w:t>
      </w:r>
      <w:proofErr w:type="spellEnd"/>
      <w:r>
        <w:rPr>
          <w:spacing w:val="-3"/>
          <w:lang w:val="es-ES_tradnl"/>
        </w:rPr>
        <w:t xml:space="preserve"> and </w:t>
      </w:r>
      <w:proofErr w:type="spellStart"/>
      <w:r>
        <w:rPr>
          <w:spacing w:val="-3"/>
          <w:lang w:val="es-ES_tradnl"/>
        </w:rPr>
        <w:t>execute</w:t>
      </w:r>
      <w:proofErr w:type="spellEnd"/>
      <w:r>
        <w:rPr>
          <w:spacing w:val="-3"/>
          <w:lang w:val="es-ES_tradnl"/>
        </w:rPr>
        <w:t xml:space="preserve"> </w:t>
      </w:r>
      <w:proofErr w:type="spellStart"/>
      <w:r>
        <w:rPr>
          <w:spacing w:val="-3"/>
          <w:lang w:val="es-ES_tradnl"/>
        </w:rPr>
        <w:t>the</w:t>
      </w:r>
      <w:proofErr w:type="spellEnd"/>
      <w:r>
        <w:rPr>
          <w:spacing w:val="-3"/>
          <w:lang w:val="es-ES_tradnl"/>
        </w:rPr>
        <w:t xml:space="preserve"> </w:t>
      </w:r>
      <w:proofErr w:type="spellStart"/>
      <w:r>
        <w:rPr>
          <w:spacing w:val="-3"/>
          <w:lang w:val="es-ES_tradnl"/>
        </w:rPr>
        <w:t>services</w:t>
      </w:r>
      <w:proofErr w:type="spellEnd"/>
      <w:r>
        <w:rPr>
          <w:spacing w:val="-3"/>
          <w:lang w:val="es-ES_tradnl"/>
        </w:rPr>
        <w:t xml:space="preserve"> </w:t>
      </w:r>
      <w:proofErr w:type="spellStart"/>
      <w:r>
        <w:rPr>
          <w:spacing w:val="-3"/>
          <w:lang w:val="es-ES_tradnl"/>
        </w:rPr>
        <w:t>detailed</w:t>
      </w:r>
      <w:proofErr w:type="spellEnd"/>
      <w:r>
        <w:rPr>
          <w:spacing w:val="-3"/>
          <w:lang w:val="es-ES_tradnl"/>
        </w:rPr>
        <w:t xml:space="preserve"> in </w:t>
      </w:r>
      <w:proofErr w:type="spellStart"/>
      <w:r>
        <w:rPr>
          <w:spacing w:val="-3"/>
          <w:lang w:val="es-ES_tradnl"/>
        </w:rPr>
        <w:t>the</w:t>
      </w:r>
      <w:proofErr w:type="spellEnd"/>
      <w:r>
        <w:rPr>
          <w:spacing w:val="-3"/>
          <w:lang w:val="es-ES_tradnl"/>
        </w:rPr>
        <w:t xml:space="preserve"> </w:t>
      </w:r>
      <w:proofErr w:type="spellStart"/>
      <w:r>
        <w:rPr>
          <w:spacing w:val="-3"/>
          <w:lang w:val="es-ES_tradnl"/>
        </w:rPr>
        <w:t>bidding</w:t>
      </w:r>
      <w:proofErr w:type="spellEnd"/>
      <w:r>
        <w:rPr>
          <w:spacing w:val="-3"/>
          <w:lang w:val="es-ES_tradnl"/>
        </w:rPr>
        <w:t xml:space="preserve"> </w:t>
      </w:r>
      <w:proofErr w:type="spellStart"/>
      <w:r>
        <w:rPr>
          <w:spacing w:val="-3"/>
          <w:lang w:val="es-ES_tradnl"/>
        </w:rPr>
        <w:t>documents</w:t>
      </w:r>
      <w:proofErr w:type="spellEnd"/>
      <w:r>
        <w:rPr>
          <w:spacing w:val="-3"/>
          <w:lang w:val="es-ES_tradnl"/>
        </w:rPr>
        <w:t xml:space="preserve"> </w:t>
      </w:r>
      <w:proofErr w:type="spellStart"/>
      <w:r>
        <w:rPr>
          <w:spacing w:val="-3"/>
          <w:lang w:val="es-ES_tradnl"/>
        </w:rPr>
        <w:t>that</w:t>
      </w:r>
      <w:proofErr w:type="spellEnd"/>
      <w:r>
        <w:rPr>
          <w:spacing w:val="-3"/>
          <w:lang w:val="es-ES_tradnl"/>
        </w:rPr>
        <w:t xml:space="preserve"> </w:t>
      </w:r>
      <w:proofErr w:type="spellStart"/>
      <w:r>
        <w:rPr>
          <w:spacing w:val="-3"/>
          <w:lang w:val="es-ES_tradnl"/>
        </w:rPr>
        <w:t>govern</w:t>
      </w:r>
      <w:proofErr w:type="spellEnd"/>
      <w:r>
        <w:rPr>
          <w:spacing w:val="-3"/>
          <w:lang w:val="es-ES_tradnl"/>
        </w:rPr>
        <w:t xml:space="preserve"> Tender No. ______, </w:t>
      </w:r>
      <w:proofErr w:type="spellStart"/>
      <w:r>
        <w:rPr>
          <w:spacing w:val="-3"/>
          <w:lang w:val="es-ES_tradnl"/>
        </w:rPr>
        <w:t>for</w:t>
      </w:r>
      <w:proofErr w:type="spellEnd"/>
      <w:r>
        <w:rPr>
          <w:spacing w:val="-3"/>
          <w:lang w:val="es-ES_tradnl"/>
        </w:rPr>
        <w:t xml:space="preserve"> </w:t>
      </w:r>
      <w:proofErr w:type="spellStart"/>
      <w:r>
        <w:rPr>
          <w:spacing w:val="-3"/>
          <w:lang w:val="es-ES_tradnl"/>
        </w:rPr>
        <w:t>the</w:t>
      </w:r>
      <w:proofErr w:type="spellEnd"/>
      <w:r>
        <w:rPr>
          <w:spacing w:val="-3"/>
          <w:lang w:val="es-ES_tradnl"/>
        </w:rPr>
        <w:t xml:space="preserve"> </w:t>
      </w:r>
      <w:proofErr w:type="spellStart"/>
      <w:r>
        <w:rPr>
          <w:spacing w:val="-3"/>
          <w:lang w:val="es-ES_tradnl"/>
        </w:rPr>
        <w:t>unit</w:t>
      </w:r>
      <w:proofErr w:type="spellEnd"/>
      <w:r>
        <w:rPr>
          <w:spacing w:val="-3"/>
          <w:lang w:val="es-ES_tradnl"/>
        </w:rPr>
        <w:t xml:space="preserve"> and total </w:t>
      </w:r>
      <w:proofErr w:type="spellStart"/>
      <w:r>
        <w:rPr>
          <w:spacing w:val="-3"/>
          <w:lang w:val="es-ES_tradnl"/>
        </w:rPr>
        <w:t>prices</w:t>
      </w:r>
      <w:proofErr w:type="spellEnd"/>
      <w:r>
        <w:rPr>
          <w:spacing w:val="-3"/>
          <w:lang w:val="es-ES_tradnl"/>
        </w:rPr>
        <w:t xml:space="preserve"> </w:t>
      </w:r>
      <w:proofErr w:type="spellStart"/>
      <w:r>
        <w:rPr>
          <w:spacing w:val="-3"/>
          <w:lang w:val="es-ES_tradnl"/>
        </w:rPr>
        <w:t>quoted</w:t>
      </w:r>
      <w:proofErr w:type="spellEnd"/>
      <w:r>
        <w:rPr>
          <w:spacing w:val="-3"/>
          <w:lang w:val="es-ES_tradnl"/>
        </w:rPr>
        <w:t xml:space="preserve"> in </w:t>
      </w:r>
      <w:proofErr w:type="spellStart"/>
      <w:r>
        <w:rPr>
          <w:spacing w:val="-3"/>
          <w:lang w:val="es-ES_tradnl"/>
        </w:rPr>
        <w:t>currency</w:t>
      </w:r>
      <w:proofErr w:type="spellEnd"/>
      <w:r>
        <w:rPr>
          <w:spacing w:val="-3"/>
          <w:lang w:val="es-ES_tradnl"/>
        </w:rPr>
        <w:t xml:space="preserve"> ______.</w:t>
      </w:r>
    </w:p>
    <w:p w14:paraId="639D623D" w14:textId="77777777" w:rsidR="00E255F4" w:rsidRDefault="00E255F4">
      <w:pPr>
        <w:tabs>
          <w:tab w:val="left" w:pos="-720"/>
        </w:tabs>
        <w:ind w:right="-567"/>
        <w:jc w:val="both"/>
        <w:rPr>
          <w:spacing w:val="-3"/>
          <w:highlight w:val="yellow"/>
          <w:lang w:val="es-ES_tradnl"/>
        </w:rPr>
      </w:pPr>
    </w:p>
    <w:p w14:paraId="27CEA9AF" w14:textId="77777777" w:rsidR="00E255F4" w:rsidRDefault="00000000">
      <w:pPr>
        <w:tabs>
          <w:tab w:val="left" w:pos="-720"/>
        </w:tabs>
        <w:ind w:right="-567"/>
        <w:jc w:val="both"/>
      </w:pPr>
      <w:proofErr w:type="gramStart"/>
      <w:r>
        <w:rPr>
          <w:spacing w:val="-3"/>
          <w:u w:val="single"/>
          <w:lang w:val="es-ES_tradnl"/>
        </w:rPr>
        <w:t>TOTAL</w:t>
      </w:r>
      <w:proofErr w:type="gramEnd"/>
      <w:r>
        <w:rPr>
          <w:spacing w:val="-3"/>
          <w:u w:val="single"/>
          <w:lang w:val="es-ES_tradnl"/>
        </w:rPr>
        <w:t xml:space="preserve"> PRICE OF THE PLAZA OFFER</w:t>
      </w:r>
      <w:r>
        <w:rPr>
          <w:rStyle w:val="FootnoteAnchor"/>
        </w:rPr>
        <w:footnoteReference w:id="2"/>
      </w:r>
      <w:r>
        <w:rPr>
          <w:spacing w:val="-3"/>
          <w:lang w:val="es-ES_tradnl"/>
        </w:rPr>
        <w:t>: _____________ (Numbers) _______ (Letters)</w:t>
      </w:r>
    </w:p>
    <w:p w14:paraId="3E506B27" w14:textId="77777777" w:rsidR="00E255F4" w:rsidRDefault="00000000">
      <w:pPr>
        <w:tabs>
          <w:tab w:val="left" w:pos="-720"/>
        </w:tabs>
        <w:ind w:right="-567"/>
        <w:jc w:val="both"/>
      </w:pPr>
      <w:proofErr w:type="spellStart"/>
      <w:r>
        <w:rPr>
          <w:spacing w:val="-3"/>
          <w:lang w:val="es-ES_tradnl"/>
        </w:rPr>
        <w:t>This</w:t>
      </w:r>
      <w:proofErr w:type="spellEnd"/>
      <w:r>
        <w:rPr>
          <w:spacing w:val="-3"/>
          <w:lang w:val="es-ES_tradnl"/>
        </w:rPr>
        <w:t xml:space="preserve"> </w:t>
      </w:r>
      <w:proofErr w:type="spellStart"/>
      <w:r>
        <w:rPr>
          <w:spacing w:val="-3"/>
          <w:lang w:val="es-ES_tradnl"/>
        </w:rPr>
        <w:t>amount</w:t>
      </w:r>
      <w:proofErr w:type="spellEnd"/>
      <w:r>
        <w:rPr>
          <w:spacing w:val="-3"/>
          <w:lang w:val="es-ES_tradnl"/>
        </w:rPr>
        <w:t xml:space="preserve"> </w:t>
      </w:r>
      <w:proofErr w:type="spellStart"/>
      <w:r>
        <w:rPr>
          <w:spacing w:val="-3"/>
          <w:lang w:val="es-ES_tradnl"/>
        </w:rPr>
        <w:t>matches</w:t>
      </w:r>
      <w:proofErr w:type="spellEnd"/>
      <w:r>
        <w:rPr>
          <w:spacing w:val="-3"/>
          <w:lang w:val="es-ES_tradnl"/>
        </w:rPr>
        <w:t xml:space="preserve"> </w:t>
      </w:r>
      <w:proofErr w:type="spellStart"/>
      <w:r>
        <w:rPr>
          <w:spacing w:val="-3"/>
          <w:lang w:val="es-ES_tradnl"/>
        </w:rPr>
        <w:t>the</w:t>
      </w:r>
      <w:proofErr w:type="spellEnd"/>
      <w:r>
        <w:rPr>
          <w:spacing w:val="-3"/>
          <w:lang w:val="es-ES_tradnl"/>
        </w:rPr>
        <w:t xml:space="preserve"> “Total Offer Price” in </w:t>
      </w:r>
      <w:proofErr w:type="spellStart"/>
      <w:r>
        <w:rPr>
          <w:spacing w:val="-3"/>
          <w:lang w:val="es-ES_tradnl"/>
        </w:rPr>
        <w:t>the</w:t>
      </w:r>
      <w:proofErr w:type="spellEnd"/>
      <w:r>
        <w:rPr>
          <w:spacing w:val="-3"/>
          <w:lang w:val="es-ES_tradnl"/>
        </w:rPr>
        <w:t xml:space="preserve"> List </w:t>
      </w:r>
      <w:proofErr w:type="spellStart"/>
      <w:r>
        <w:rPr>
          <w:spacing w:val="-3"/>
          <w:lang w:val="es-ES_tradnl"/>
        </w:rPr>
        <w:t>of</w:t>
      </w:r>
      <w:proofErr w:type="spellEnd"/>
      <w:r>
        <w:rPr>
          <w:spacing w:val="-3"/>
          <w:lang w:val="es-ES_tradnl"/>
        </w:rPr>
        <w:t xml:space="preserve"> </w:t>
      </w:r>
      <w:proofErr w:type="spellStart"/>
      <w:r>
        <w:rPr>
          <w:spacing w:val="-3"/>
          <w:lang w:val="es-ES_tradnl"/>
        </w:rPr>
        <w:t>Quantities</w:t>
      </w:r>
      <w:proofErr w:type="spellEnd"/>
      <w:r>
        <w:rPr>
          <w:spacing w:val="-3"/>
          <w:lang w:val="es-ES_tradnl"/>
        </w:rPr>
        <w:t xml:space="preserve"> and </w:t>
      </w:r>
      <w:proofErr w:type="spellStart"/>
      <w:r>
        <w:rPr>
          <w:spacing w:val="-3"/>
          <w:lang w:val="es-ES_tradnl"/>
        </w:rPr>
        <w:t>Prices</w:t>
      </w:r>
      <w:proofErr w:type="spellEnd"/>
      <w:r>
        <w:rPr>
          <w:spacing w:val="-3"/>
          <w:lang w:val="es-ES_tradnl"/>
        </w:rPr>
        <w:t xml:space="preserve"> (</w:t>
      </w:r>
      <w:proofErr w:type="spellStart"/>
      <w:r>
        <w:rPr>
          <w:spacing w:val="-3"/>
          <w:lang w:val="es-ES_tradnl"/>
        </w:rPr>
        <w:t>Annex</w:t>
      </w:r>
      <w:proofErr w:type="spellEnd"/>
      <w:r>
        <w:rPr>
          <w:spacing w:val="-3"/>
          <w:lang w:val="es-ES_tradnl"/>
        </w:rPr>
        <w:t xml:space="preserve"> V a) </w:t>
      </w:r>
      <w:proofErr w:type="spellStart"/>
      <w:r>
        <w:rPr>
          <w:spacing w:val="-3"/>
          <w:lang w:val="es-ES_tradnl"/>
        </w:rPr>
        <w:t>of</w:t>
      </w:r>
      <w:proofErr w:type="spellEnd"/>
      <w:r>
        <w:rPr>
          <w:spacing w:val="-3"/>
          <w:lang w:val="es-ES_tradnl"/>
        </w:rPr>
        <w:t xml:space="preserve"> </w:t>
      </w:r>
      <w:proofErr w:type="spellStart"/>
      <w:r>
        <w:rPr>
          <w:spacing w:val="-3"/>
          <w:lang w:val="es-ES_tradnl"/>
        </w:rPr>
        <w:t>the</w:t>
      </w:r>
      <w:proofErr w:type="spellEnd"/>
      <w:r>
        <w:rPr>
          <w:spacing w:val="-3"/>
          <w:lang w:val="es-ES_tradnl"/>
        </w:rPr>
        <w:t xml:space="preserve"> tender </w:t>
      </w:r>
      <w:proofErr w:type="spellStart"/>
      <w:r>
        <w:rPr>
          <w:spacing w:val="-3"/>
          <w:lang w:val="es-ES_tradnl"/>
        </w:rPr>
        <w:t>documents</w:t>
      </w:r>
      <w:proofErr w:type="spellEnd"/>
      <w:r>
        <w:rPr>
          <w:spacing w:val="-3"/>
          <w:lang w:val="es-ES_tradnl"/>
        </w:rPr>
        <w:t>.</w:t>
      </w:r>
    </w:p>
    <w:p w14:paraId="2E2B8312" w14:textId="77777777" w:rsidR="00E255F4" w:rsidRDefault="00E255F4">
      <w:pPr>
        <w:tabs>
          <w:tab w:val="left" w:pos="-720"/>
        </w:tabs>
        <w:ind w:right="-567"/>
        <w:jc w:val="both"/>
        <w:rPr>
          <w:spacing w:val="-3"/>
          <w:lang w:val="es-ES_tradnl"/>
        </w:rPr>
      </w:pPr>
    </w:p>
    <w:p w14:paraId="56502374" w14:textId="77777777" w:rsidR="00E255F4" w:rsidRDefault="00000000">
      <w:pPr>
        <w:tabs>
          <w:tab w:val="left" w:pos="-720"/>
        </w:tabs>
        <w:ind w:right="-567"/>
        <w:jc w:val="both"/>
      </w:pPr>
      <w:proofErr w:type="gramStart"/>
      <w:r>
        <w:rPr>
          <w:spacing w:val="-3"/>
          <w:u w:val="single"/>
          <w:lang w:val="es-ES_tradnl"/>
        </w:rPr>
        <w:t>TOTAL</w:t>
      </w:r>
      <w:proofErr w:type="gramEnd"/>
      <w:r>
        <w:rPr>
          <w:spacing w:val="-3"/>
          <w:u w:val="single"/>
          <w:lang w:val="es-ES_tradnl"/>
        </w:rPr>
        <w:t xml:space="preserve"> PRICE OF THE SERVICES OFFER</w:t>
      </w:r>
      <w:r>
        <w:rPr>
          <w:rStyle w:val="FootnoteAnchor"/>
        </w:rPr>
        <w:footnoteReference w:id="3"/>
      </w:r>
      <w:r>
        <w:rPr>
          <w:spacing w:val="-3"/>
          <w:lang w:val="es-ES_tradnl"/>
        </w:rPr>
        <w:t>: _____________ (Numbers) _______ (Letters)</w:t>
      </w:r>
    </w:p>
    <w:p w14:paraId="5B6CF1C8" w14:textId="77777777" w:rsidR="00E255F4" w:rsidRDefault="00000000">
      <w:pPr>
        <w:tabs>
          <w:tab w:val="left" w:pos="-720"/>
        </w:tabs>
        <w:ind w:right="-567"/>
        <w:jc w:val="both"/>
        <w:rPr>
          <w:spacing w:val="-3"/>
          <w:lang w:val="es-ES_tradnl"/>
        </w:rPr>
      </w:pPr>
      <w:proofErr w:type="spellStart"/>
      <w:r>
        <w:rPr>
          <w:spacing w:val="-3"/>
          <w:lang w:val="es-ES_tradnl"/>
        </w:rPr>
        <w:t>This</w:t>
      </w:r>
      <w:proofErr w:type="spellEnd"/>
      <w:r>
        <w:rPr>
          <w:spacing w:val="-3"/>
          <w:lang w:val="es-ES_tradnl"/>
        </w:rPr>
        <w:t xml:space="preserve"> </w:t>
      </w:r>
      <w:proofErr w:type="spellStart"/>
      <w:r>
        <w:rPr>
          <w:spacing w:val="-3"/>
          <w:lang w:val="es-ES_tradnl"/>
        </w:rPr>
        <w:t>amount</w:t>
      </w:r>
      <w:proofErr w:type="spellEnd"/>
      <w:r>
        <w:rPr>
          <w:spacing w:val="-3"/>
          <w:lang w:val="es-ES_tradnl"/>
        </w:rPr>
        <w:t xml:space="preserve"> </w:t>
      </w:r>
      <w:proofErr w:type="spellStart"/>
      <w:r>
        <w:rPr>
          <w:spacing w:val="-3"/>
          <w:lang w:val="es-ES_tradnl"/>
        </w:rPr>
        <w:t>matches</w:t>
      </w:r>
      <w:proofErr w:type="spellEnd"/>
      <w:r>
        <w:rPr>
          <w:spacing w:val="-3"/>
          <w:lang w:val="es-ES_tradnl"/>
        </w:rPr>
        <w:t xml:space="preserve"> </w:t>
      </w:r>
      <w:proofErr w:type="spellStart"/>
      <w:r>
        <w:rPr>
          <w:spacing w:val="-3"/>
          <w:lang w:val="es-ES_tradnl"/>
        </w:rPr>
        <w:t>the</w:t>
      </w:r>
      <w:proofErr w:type="spellEnd"/>
      <w:r>
        <w:rPr>
          <w:spacing w:val="-3"/>
          <w:lang w:val="es-ES_tradnl"/>
        </w:rPr>
        <w:t xml:space="preserve"> “Total Offer Price” in </w:t>
      </w:r>
      <w:proofErr w:type="spellStart"/>
      <w:r>
        <w:rPr>
          <w:spacing w:val="-3"/>
          <w:lang w:val="es-ES_tradnl"/>
        </w:rPr>
        <w:t>the</w:t>
      </w:r>
      <w:proofErr w:type="spellEnd"/>
      <w:r>
        <w:rPr>
          <w:spacing w:val="-3"/>
          <w:lang w:val="es-ES_tradnl"/>
        </w:rPr>
        <w:t xml:space="preserve"> List </w:t>
      </w:r>
      <w:proofErr w:type="spellStart"/>
      <w:r>
        <w:rPr>
          <w:spacing w:val="-3"/>
          <w:lang w:val="es-ES_tradnl"/>
        </w:rPr>
        <w:t>of</w:t>
      </w:r>
      <w:proofErr w:type="spellEnd"/>
      <w:r>
        <w:rPr>
          <w:spacing w:val="-3"/>
          <w:lang w:val="es-ES_tradnl"/>
        </w:rPr>
        <w:t xml:space="preserve"> </w:t>
      </w:r>
      <w:proofErr w:type="spellStart"/>
      <w:r>
        <w:rPr>
          <w:spacing w:val="-3"/>
          <w:lang w:val="es-ES_tradnl"/>
        </w:rPr>
        <w:t>Quantities</w:t>
      </w:r>
      <w:proofErr w:type="spellEnd"/>
      <w:r>
        <w:rPr>
          <w:spacing w:val="-3"/>
          <w:lang w:val="es-ES_tradnl"/>
        </w:rPr>
        <w:t xml:space="preserve"> and </w:t>
      </w:r>
      <w:proofErr w:type="spellStart"/>
      <w:r>
        <w:rPr>
          <w:spacing w:val="-3"/>
          <w:lang w:val="es-ES_tradnl"/>
        </w:rPr>
        <w:t>Prices</w:t>
      </w:r>
      <w:proofErr w:type="spellEnd"/>
      <w:r>
        <w:rPr>
          <w:spacing w:val="-3"/>
          <w:lang w:val="es-ES_tradnl"/>
        </w:rPr>
        <w:t xml:space="preserve"> (</w:t>
      </w:r>
      <w:proofErr w:type="spellStart"/>
      <w:r>
        <w:rPr>
          <w:spacing w:val="-3"/>
          <w:lang w:val="es-ES_tradnl"/>
        </w:rPr>
        <w:t>Annex</w:t>
      </w:r>
      <w:proofErr w:type="spellEnd"/>
      <w:r>
        <w:rPr>
          <w:spacing w:val="-3"/>
          <w:lang w:val="es-ES_tradnl"/>
        </w:rPr>
        <w:t xml:space="preserve"> V b) </w:t>
      </w:r>
      <w:proofErr w:type="spellStart"/>
      <w:r>
        <w:rPr>
          <w:spacing w:val="-3"/>
          <w:lang w:val="es-ES_tradnl"/>
        </w:rPr>
        <w:t>of</w:t>
      </w:r>
      <w:proofErr w:type="spellEnd"/>
      <w:r>
        <w:rPr>
          <w:spacing w:val="-3"/>
          <w:lang w:val="es-ES_tradnl"/>
        </w:rPr>
        <w:t xml:space="preserve"> </w:t>
      </w:r>
      <w:proofErr w:type="spellStart"/>
      <w:r>
        <w:rPr>
          <w:spacing w:val="-3"/>
          <w:lang w:val="es-ES_tradnl"/>
        </w:rPr>
        <w:t>the</w:t>
      </w:r>
      <w:proofErr w:type="spellEnd"/>
      <w:r>
        <w:rPr>
          <w:spacing w:val="-3"/>
          <w:lang w:val="es-ES_tradnl"/>
        </w:rPr>
        <w:t xml:space="preserve"> </w:t>
      </w:r>
      <w:proofErr w:type="spellStart"/>
      <w:r>
        <w:rPr>
          <w:spacing w:val="-3"/>
          <w:lang w:val="es-ES_tradnl"/>
        </w:rPr>
        <w:t>documents</w:t>
      </w:r>
      <w:proofErr w:type="spellEnd"/>
    </w:p>
    <w:p w14:paraId="7D845AEC" w14:textId="77777777" w:rsidR="00E255F4" w:rsidRDefault="00000000">
      <w:pPr>
        <w:tabs>
          <w:tab w:val="left" w:pos="-720"/>
        </w:tabs>
        <w:ind w:right="-567"/>
        <w:jc w:val="both"/>
        <w:rPr>
          <w:spacing w:val="-3"/>
          <w:lang w:val="es-ES_tradnl"/>
        </w:rPr>
      </w:pPr>
      <w:proofErr w:type="spellStart"/>
      <w:r>
        <w:rPr>
          <w:spacing w:val="-3"/>
          <w:lang w:val="es-ES_tradnl"/>
        </w:rPr>
        <w:t>bidders</w:t>
      </w:r>
      <w:proofErr w:type="spellEnd"/>
      <w:r>
        <w:rPr>
          <w:spacing w:val="-3"/>
          <w:lang w:val="es-ES_tradnl"/>
        </w:rPr>
        <w:t>.</w:t>
      </w:r>
    </w:p>
    <w:p w14:paraId="59A104B2" w14:textId="77777777" w:rsidR="00E255F4" w:rsidRDefault="00E255F4">
      <w:pPr>
        <w:tabs>
          <w:tab w:val="left" w:pos="-720"/>
        </w:tabs>
        <w:ind w:right="-567"/>
        <w:jc w:val="both"/>
        <w:rPr>
          <w:spacing w:val="-3"/>
          <w:u w:val="single"/>
          <w:lang w:val="es-ES_tradnl"/>
        </w:rPr>
      </w:pPr>
    </w:p>
    <w:p w14:paraId="113E0F56" w14:textId="77777777" w:rsidR="00E255F4" w:rsidRDefault="00000000">
      <w:pPr>
        <w:tabs>
          <w:tab w:val="left" w:pos="-720"/>
        </w:tabs>
        <w:ind w:right="-567"/>
        <w:jc w:val="both"/>
      </w:pPr>
      <w:proofErr w:type="gramStart"/>
      <w:r>
        <w:rPr>
          <w:spacing w:val="-3"/>
          <w:sz w:val="18"/>
          <w:szCs w:val="18"/>
          <w:u w:val="single"/>
          <w:lang w:val="es-ES_tradnl"/>
        </w:rPr>
        <w:t>TOTAL</w:t>
      </w:r>
      <w:proofErr w:type="gramEnd"/>
      <w:r>
        <w:rPr>
          <w:spacing w:val="-3"/>
          <w:sz w:val="18"/>
          <w:szCs w:val="18"/>
          <w:u w:val="single"/>
          <w:lang w:val="es-ES_tradnl"/>
        </w:rPr>
        <w:t xml:space="preserve"> OFFER PRICE ITEM 5</w:t>
      </w:r>
      <w:r>
        <w:rPr>
          <w:spacing w:val="-3"/>
          <w:sz w:val="18"/>
          <w:szCs w:val="18"/>
          <w:lang w:val="es-ES_tradnl"/>
        </w:rPr>
        <w:t>: _____________ (Numbers) _______ (Letters)</w:t>
      </w:r>
    </w:p>
    <w:p w14:paraId="14DF1496" w14:textId="77777777" w:rsidR="00E255F4" w:rsidRDefault="00000000">
      <w:pPr>
        <w:tabs>
          <w:tab w:val="left" w:pos="-720"/>
        </w:tabs>
        <w:ind w:right="-567"/>
        <w:jc w:val="both"/>
      </w:pPr>
      <w:proofErr w:type="spellStart"/>
      <w:r>
        <w:rPr>
          <w:spacing w:val="-3"/>
          <w:sz w:val="18"/>
          <w:szCs w:val="18"/>
          <w:lang w:val="es-ES_tradnl"/>
        </w:rPr>
        <w:t>This</w:t>
      </w:r>
      <w:proofErr w:type="spellEnd"/>
      <w:r>
        <w:rPr>
          <w:spacing w:val="-3"/>
          <w:sz w:val="18"/>
          <w:szCs w:val="18"/>
          <w:lang w:val="es-ES_tradnl"/>
        </w:rPr>
        <w:t xml:space="preserve"> </w:t>
      </w:r>
      <w:proofErr w:type="spellStart"/>
      <w:r>
        <w:rPr>
          <w:spacing w:val="-3"/>
          <w:sz w:val="18"/>
          <w:szCs w:val="18"/>
          <w:lang w:val="es-ES_tradnl"/>
        </w:rPr>
        <w:t>amount</w:t>
      </w:r>
      <w:proofErr w:type="spellEnd"/>
      <w:r>
        <w:rPr>
          <w:spacing w:val="-3"/>
          <w:sz w:val="18"/>
          <w:szCs w:val="18"/>
          <w:lang w:val="es-ES_tradnl"/>
        </w:rPr>
        <w:t xml:space="preserve"> </w:t>
      </w:r>
      <w:proofErr w:type="spellStart"/>
      <w:r>
        <w:rPr>
          <w:spacing w:val="-3"/>
          <w:sz w:val="18"/>
          <w:szCs w:val="18"/>
          <w:lang w:val="es-ES_tradnl"/>
        </w:rPr>
        <w:t>matches</w:t>
      </w:r>
      <w:proofErr w:type="spellEnd"/>
      <w:r>
        <w:rPr>
          <w:spacing w:val="-3"/>
          <w:sz w:val="18"/>
          <w:szCs w:val="18"/>
          <w:lang w:val="es-ES_tradnl"/>
        </w:rPr>
        <w:t xml:space="preserve"> </w:t>
      </w:r>
      <w:proofErr w:type="spellStart"/>
      <w:r>
        <w:rPr>
          <w:spacing w:val="-3"/>
          <w:sz w:val="18"/>
          <w:szCs w:val="18"/>
          <w:lang w:val="es-ES_tradnl"/>
        </w:rPr>
        <w:t>the</w:t>
      </w:r>
      <w:proofErr w:type="spellEnd"/>
      <w:r>
        <w:rPr>
          <w:spacing w:val="-3"/>
          <w:sz w:val="18"/>
          <w:szCs w:val="18"/>
          <w:lang w:val="es-ES_tradnl"/>
        </w:rPr>
        <w:t xml:space="preserve"> “Total Offer Price” in </w:t>
      </w:r>
      <w:proofErr w:type="spellStart"/>
      <w:r>
        <w:rPr>
          <w:spacing w:val="-3"/>
          <w:sz w:val="18"/>
          <w:szCs w:val="18"/>
          <w:lang w:val="es-ES_tradnl"/>
        </w:rPr>
        <w:t>the</w:t>
      </w:r>
      <w:proofErr w:type="spellEnd"/>
      <w:r>
        <w:rPr>
          <w:spacing w:val="-3"/>
          <w:sz w:val="18"/>
          <w:szCs w:val="18"/>
          <w:lang w:val="es-ES_tradnl"/>
        </w:rPr>
        <w:t xml:space="preserve"> List </w:t>
      </w:r>
      <w:proofErr w:type="spellStart"/>
      <w:r>
        <w:rPr>
          <w:spacing w:val="-3"/>
          <w:sz w:val="18"/>
          <w:szCs w:val="18"/>
          <w:lang w:val="es-ES_tradnl"/>
        </w:rPr>
        <w:t>of</w:t>
      </w:r>
      <w:proofErr w:type="spellEnd"/>
      <w:r>
        <w:rPr>
          <w:spacing w:val="-3"/>
          <w:sz w:val="18"/>
          <w:szCs w:val="18"/>
          <w:lang w:val="es-ES_tradnl"/>
        </w:rPr>
        <w:t xml:space="preserve"> </w:t>
      </w:r>
      <w:proofErr w:type="spellStart"/>
      <w:r>
        <w:rPr>
          <w:spacing w:val="-3"/>
          <w:sz w:val="18"/>
          <w:szCs w:val="18"/>
          <w:lang w:val="es-ES_tradnl"/>
        </w:rPr>
        <w:t>Quantities</w:t>
      </w:r>
      <w:proofErr w:type="spellEnd"/>
      <w:r>
        <w:rPr>
          <w:spacing w:val="-3"/>
          <w:sz w:val="18"/>
          <w:szCs w:val="18"/>
          <w:lang w:val="es-ES_tradnl"/>
        </w:rPr>
        <w:t xml:space="preserve"> and </w:t>
      </w:r>
      <w:proofErr w:type="spellStart"/>
      <w:r>
        <w:rPr>
          <w:spacing w:val="-3"/>
          <w:sz w:val="18"/>
          <w:szCs w:val="18"/>
          <w:lang w:val="es-ES_tradnl"/>
        </w:rPr>
        <w:t>Prices</w:t>
      </w:r>
      <w:proofErr w:type="spellEnd"/>
      <w:r>
        <w:rPr>
          <w:spacing w:val="-3"/>
          <w:sz w:val="18"/>
          <w:szCs w:val="18"/>
          <w:lang w:val="es-ES_tradnl"/>
        </w:rPr>
        <w:t xml:space="preserve"> (</w:t>
      </w:r>
      <w:proofErr w:type="spellStart"/>
      <w:r>
        <w:rPr>
          <w:spacing w:val="-3"/>
          <w:sz w:val="18"/>
          <w:szCs w:val="18"/>
          <w:lang w:val="es-ES_tradnl"/>
        </w:rPr>
        <w:t>Annex</w:t>
      </w:r>
      <w:proofErr w:type="spellEnd"/>
      <w:r>
        <w:rPr>
          <w:spacing w:val="-3"/>
          <w:sz w:val="18"/>
          <w:szCs w:val="18"/>
          <w:lang w:val="es-ES_tradnl"/>
        </w:rPr>
        <w:t xml:space="preserve"> V d) </w:t>
      </w:r>
      <w:proofErr w:type="spellStart"/>
      <w:r>
        <w:rPr>
          <w:spacing w:val="-3"/>
          <w:sz w:val="18"/>
          <w:szCs w:val="18"/>
          <w:lang w:val="es-ES_tradnl"/>
        </w:rPr>
        <w:t>of</w:t>
      </w:r>
      <w:proofErr w:type="spellEnd"/>
      <w:r>
        <w:rPr>
          <w:spacing w:val="-3"/>
          <w:sz w:val="18"/>
          <w:szCs w:val="18"/>
          <w:lang w:val="es-ES_tradnl"/>
        </w:rPr>
        <w:t xml:space="preserve"> </w:t>
      </w:r>
      <w:proofErr w:type="spellStart"/>
      <w:r>
        <w:rPr>
          <w:spacing w:val="-3"/>
          <w:sz w:val="18"/>
          <w:szCs w:val="18"/>
          <w:lang w:val="es-ES_tradnl"/>
        </w:rPr>
        <w:t>the</w:t>
      </w:r>
      <w:proofErr w:type="spellEnd"/>
      <w:r>
        <w:rPr>
          <w:spacing w:val="-3"/>
          <w:sz w:val="18"/>
          <w:szCs w:val="18"/>
          <w:lang w:val="es-ES_tradnl"/>
        </w:rPr>
        <w:t xml:space="preserve"> tender </w:t>
      </w:r>
      <w:proofErr w:type="spellStart"/>
      <w:r>
        <w:rPr>
          <w:spacing w:val="-3"/>
          <w:sz w:val="18"/>
          <w:szCs w:val="18"/>
          <w:lang w:val="es-ES_tradnl"/>
        </w:rPr>
        <w:t>documents</w:t>
      </w:r>
      <w:proofErr w:type="spellEnd"/>
      <w:r>
        <w:rPr>
          <w:spacing w:val="-3"/>
          <w:sz w:val="18"/>
          <w:szCs w:val="18"/>
          <w:lang w:val="es-ES_tradnl"/>
        </w:rPr>
        <w:t>.</w:t>
      </w:r>
    </w:p>
    <w:p w14:paraId="4D2576C3" w14:textId="77777777" w:rsidR="00E255F4" w:rsidRDefault="00000000">
      <w:pPr>
        <w:tabs>
          <w:tab w:val="left" w:pos="-720"/>
        </w:tabs>
        <w:spacing w:before="240"/>
        <w:jc w:val="both"/>
      </w:pPr>
      <w:proofErr w:type="gramStart"/>
      <w:r>
        <w:rPr>
          <w:spacing w:val="-3"/>
          <w:u w:val="single"/>
          <w:lang w:val="es-ES_tradnl"/>
        </w:rPr>
        <w:t>TOTAL</w:t>
      </w:r>
      <w:proofErr w:type="gramEnd"/>
      <w:r>
        <w:rPr>
          <w:spacing w:val="-3"/>
          <w:u w:val="single"/>
          <w:lang w:val="es-ES_tradnl"/>
        </w:rPr>
        <w:t xml:space="preserve"> PRICE OF THE OFFER RELATED SERVICES</w:t>
      </w:r>
      <w:r>
        <w:rPr>
          <w:rStyle w:val="FootnoteAnchor"/>
        </w:rPr>
        <w:footnoteReference w:id="4"/>
      </w:r>
      <w:r>
        <w:rPr>
          <w:spacing w:val="-3"/>
          <w:lang w:val="es-ES_tradnl"/>
        </w:rPr>
        <w:t>: ___________ (Numbers) _______ (Letters)</w:t>
      </w:r>
    </w:p>
    <w:p w14:paraId="314A007D" w14:textId="77777777" w:rsidR="00E255F4" w:rsidRDefault="00000000">
      <w:pPr>
        <w:tabs>
          <w:tab w:val="left" w:pos="-720"/>
        </w:tabs>
        <w:jc w:val="both"/>
      </w:pPr>
      <w:proofErr w:type="spellStart"/>
      <w:r>
        <w:rPr>
          <w:spacing w:val="-3"/>
          <w:lang w:val="es-ES_tradnl"/>
        </w:rPr>
        <w:t>This</w:t>
      </w:r>
      <w:proofErr w:type="spellEnd"/>
      <w:r>
        <w:rPr>
          <w:spacing w:val="-3"/>
          <w:lang w:val="es-ES_tradnl"/>
        </w:rPr>
        <w:t xml:space="preserve"> </w:t>
      </w:r>
      <w:proofErr w:type="spellStart"/>
      <w:r>
        <w:rPr>
          <w:spacing w:val="-3"/>
          <w:lang w:val="es-ES_tradnl"/>
        </w:rPr>
        <w:t>amount</w:t>
      </w:r>
      <w:proofErr w:type="spellEnd"/>
      <w:r>
        <w:rPr>
          <w:spacing w:val="-3"/>
          <w:lang w:val="es-ES_tradnl"/>
        </w:rPr>
        <w:t xml:space="preserve"> </w:t>
      </w:r>
      <w:proofErr w:type="spellStart"/>
      <w:r>
        <w:rPr>
          <w:spacing w:val="-3"/>
          <w:lang w:val="es-ES_tradnl"/>
        </w:rPr>
        <w:t>matches</w:t>
      </w:r>
      <w:proofErr w:type="spellEnd"/>
      <w:r>
        <w:rPr>
          <w:spacing w:val="-3"/>
          <w:lang w:val="es-ES_tradnl"/>
        </w:rPr>
        <w:t xml:space="preserve"> </w:t>
      </w:r>
      <w:proofErr w:type="spellStart"/>
      <w:r>
        <w:rPr>
          <w:spacing w:val="-3"/>
          <w:lang w:val="es-ES_tradnl"/>
        </w:rPr>
        <w:t>the</w:t>
      </w:r>
      <w:proofErr w:type="spellEnd"/>
      <w:r>
        <w:rPr>
          <w:spacing w:val="-3"/>
          <w:lang w:val="es-ES_tradnl"/>
        </w:rPr>
        <w:t xml:space="preserve"> “Total Offer Price” in </w:t>
      </w:r>
      <w:proofErr w:type="spellStart"/>
      <w:r>
        <w:rPr>
          <w:spacing w:val="-3"/>
          <w:lang w:val="es-ES_tradnl"/>
        </w:rPr>
        <w:t>the</w:t>
      </w:r>
      <w:proofErr w:type="spellEnd"/>
      <w:r>
        <w:rPr>
          <w:spacing w:val="-3"/>
          <w:lang w:val="es-ES_tradnl"/>
        </w:rPr>
        <w:t xml:space="preserve"> Bill </w:t>
      </w:r>
      <w:proofErr w:type="spellStart"/>
      <w:r>
        <w:rPr>
          <w:spacing w:val="-3"/>
          <w:lang w:val="es-ES_tradnl"/>
        </w:rPr>
        <w:t>of</w:t>
      </w:r>
      <w:proofErr w:type="spellEnd"/>
      <w:r>
        <w:rPr>
          <w:spacing w:val="-3"/>
          <w:lang w:val="es-ES_tradnl"/>
        </w:rPr>
        <w:t xml:space="preserve"> </w:t>
      </w:r>
      <w:proofErr w:type="spellStart"/>
      <w:r>
        <w:rPr>
          <w:spacing w:val="-3"/>
          <w:lang w:val="es-ES_tradnl"/>
        </w:rPr>
        <w:t>Quantities</w:t>
      </w:r>
      <w:proofErr w:type="spellEnd"/>
      <w:r>
        <w:rPr>
          <w:spacing w:val="-3"/>
          <w:lang w:val="es-ES_tradnl"/>
        </w:rPr>
        <w:t xml:space="preserve"> and </w:t>
      </w:r>
      <w:proofErr w:type="spellStart"/>
      <w:r>
        <w:rPr>
          <w:spacing w:val="-3"/>
          <w:lang w:val="es-ES_tradnl"/>
        </w:rPr>
        <w:t>Prices</w:t>
      </w:r>
      <w:proofErr w:type="spellEnd"/>
      <w:r>
        <w:rPr>
          <w:spacing w:val="-3"/>
          <w:lang w:val="es-ES_tradnl"/>
        </w:rPr>
        <w:t xml:space="preserve"> (</w:t>
      </w:r>
      <w:proofErr w:type="spellStart"/>
      <w:r>
        <w:rPr>
          <w:spacing w:val="-3"/>
          <w:lang w:val="es-ES_tradnl"/>
        </w:rPr>
        <w:t>Annex</w:t>
      </w:r>
      <w:proofErr w:type="spellEnd"/>
      <w:r>
        <w:rPr>
          <w:spacing w:val="-3"/>
          <w:lang w:val="es-ES_tradnl"/>
        </w:rPr>
        <w:t xml:space="preserve"> V c).</w:t>
      </w:r>
    </w:p>
    <w:p w14:paraId="7F019997" w14:textId="77777777" w:rsidR="00E255F4" w:rsidRDefault="00E255F4">
      <w:pPr>
        <w:rPr>
          <w:spacing w:val="-3"/>
          <w:lang w:val="es-ES_tradnl"/>
        </w:rPr>
      </w:pPr>
    </w:p>
    <w:p w14:paraId="7B6E426B" w14:textId="77777777" w:rsidR="00E255F4" w:rsidRDefault="00000000">
      <w:pPr>
        <w:ind w:right="-567"/>
        <w:rPr>
          <w:lang w:val="es-ES_tradnl"/>
        </w:rPr>
      </w:pPr>
      <w:r>
        <w:rPr>
          <w:spacing w:val="-3"/>
          <w:u w:val="single"/>
          <w:lang w:val="es-ES_tradnl"/>
        </w:rPr>
        <w:t>OFFER VALIDITY PERIOD</w:t>
      </w:r>
      <w:r>
        <w:rPr>
          <w:rStyle w:val="FootnoteAnchor"/>
          <w:spacing w:val="-3"/>
          <w:lang w:val="es-ES_tradnl"/>
        </w:rPr>
        <w:footnoteReference w:id="5"/>
      </w:r>
      <w:r>
        <w:rPr>
          <w:spacing w:val="-3"/>
          <w:lang w:val="es-ES_tradnl"/>
        </w:rPr>
        <w:t xml:space="preserve">: As </w:t>
      </w:r>
      <w:proofErr w:type="spellStart"/>
      <w:r>
        <w:rPr>
          <w:spacing w:val="-3"/>
          <w:lang w:val="es-ES_tradnl"/>
        </w:rPr>
        <w:t>established</w:t>
      </w:r>
      <w:proofErr w:type="spellEnd"/>
      <w:r>
        <w:rPr>
          <w:spacing w:val="-3"/>
          <w:lang w:val="es-ES_tradnl"/>
        </w:rPr>
        <w:t xml:space="preserve"> in Art. 10.1 </w:t>
      </w:r>
      <w:proofErr w:type="spellStart"/>
      <w:r>
        <w:rPr>
          <w:spacing w:val="-3"/>
          <w:lang w:val="es-ES_tradnl"/>
        </w:rPr>
        <w:t>of</w:t>
      </w:r>
      <w:proofErr w:type="spellEnd"/>
      <w:r>
        <w:rPr>
          <w:spacing w:val="-3"/>
          <w:lang w:val="es-ES_tradnl"/>
        </w:rPr>
        <w:t xml:space="preserve"> Section II and/</w:t>
      </w:r>
      <w:proofErr w:type="spellStart"/>
      <w:r>
        <w:rPr>
          <w:spacing w:val="-3"/>
          <w:lang w:val="es-ES_tradnl"/>
        </w:rPr>
        <w:t>or</w:t>
      </w:r>
      <w:proofErr w:type="spellEnd"/>
      <w:r>
        <w:rPr>
          <w:spacing w:val="-3"/>
          <w:lang w:val="es-ES_tradnl"/>
        </w:rPr>
        <w:t xml:space="preserve"> </w:t>
      </w:r>
      <w:proofErr w:type="spellStart"/>
      <w:r>
        <w:rPr>
          <w:spacing w:val="-3"/>
          <w:lang w:val="es-ES_tradnl"/>
        </w:rPr>
        <w:t>Amendments</w:t>
      </w:r>
      <w:proofErr w:type="spellEnd"/>
      <w:r>
        <w:rPr>
          <w:spacing w:val="-3"/>
          <w:lang w:val="es-ES_tradnl"/>
        </w:rPr>
        <w:t xml:space="preserve"> </w:t>
      </w:r>
      <w:proofErr w:type="spellStart"/>
      <w:r>
        <w:rPr>
          <w:spacing w:val="-3"/>
          <w:lang w:val="es-ES_tradnl"/>
        </w:rPr>
        <w:t>if</w:t>
      </w:r>
      <w:proofErr w:type="spellEnd"/>
      <w:r>
        <w:rPr>
          <w:spacing w:val="-3"/>
          <w:lang w:val="es-ES_tradnl"/>
        </w:rPr>
        <w:t xml:space="preserve"> </w:t>
      </w:r>
      <w:proofErr w:type="spellStart"/>
      <w:r>
        <w:rPr>
          <w:spacing w:val="-3"/>
          <w:lang w:val="es-ES_tradnl"/>
        </w:rPr>
        <w:t>any</w:t>
      </w:r>
      <w:proofErr w:type="spellEnd"/>
      <w:r>
        <w:rPr>
          <w:spacing w:val="-3"/>
          <w:lang w:val="es-ES_tradnl"/>
        </w:rPr>
        <w:t>.</w:t>
      </w:r>
    </w:p>
    <w:p w14:paraId="4FF6F9C8" w14:textId="77777777" w:rsidR="00E255F4" w:rsidRDefault="00000000">
      <w:pPr>
        <w:ind w:right="-567"/>
        <w:rPr>
          <w:lang w:val="es-ES_tradnl"/>
        </w:rPr>
      </w:pPr>
      <w:r>
        <w:rPr>
          <w:spacing w:val="-3"/>
          <w:u w:val="single"/>
          <w:lang w:val="es-ES_tradnl"/>
        </w:rPr>
        <w:t>DELIVERY TIME</w:t>
      </w:r>
      <w:r>
        <w:rPr>
          <w:rStyle w:val="FootnoteAnchor"/>
          <w:spacing w:val="-3"/>
          <w:lang w:val="es-ES_tradnl"/>
        </w:rPr>
        <w:footnoteReference w:id="6"/>
      </w:r>
      <w:r>
        <w:rPr>
          <w:spacing w:val="-3"/>
          <w:lang w:val="es-ES_tradnl"/>
        </w:rPr>
        <w:t xml:space="preserve">: As </w:t>
      </w:r>
      <w:proofErr w:type="spellStart"/>
      <w:r>
        <w:rPr>
          <w:spacing w:val="-3"/>
          <w:lang w:val="es-ES_tradnl"/>
        </w:rPr>
        <w:t>established</w:t>
      </w:r>
      <w:proofErr w:type="spellEnd"/>
      <w:r>
        <w:rPr>
          <w:spacing w:val="-3"/>
          <w:lang w:val="es-ES_tradnl"/>
        </w:rPr>
        <w:t xml:space="preserve"> in Art. 25 </w:t>
      </w:r>
      <w:proofErr w:type="spellStart"/>
      <w:r>
        <w:rPr>
          <w:spacing w:val="-3"/>
          <w:lang w:val="es-ES_tradnl"/>
        </w:rPr>
        <w:t>of</w:t>
      </w:r>
      <w:proofErr w:type="spellEnd"/>
      <w:r>
        <w:rPr>
          <w:spacing w:val="-3"/>
          <w:lang w:val="es-ES_tradnl"/>
        </w:rPr>
        <w:t xml:space="preserve"> Section II and/</w:t>
      </w:r>
      <w:proofErr w:type="spellStart"/>
      <w:r>
        <w:rPr>
          <w:spacing w:val="-3"/>
          <w:lang w:val="es-ES_tradnl"/>
        </w:rPr>
        <w:t>or</w:t>
      </w:r>
      <w:proofErr w:type="spellEnd"/>
      <w:r>
        <w:rPr>
          <w:spacing w:val="-3"/>
          <w:lang w:val="es-ES_tradnl"/>
        </w:rPr>
        <w:t xml:space="preserve"> </w:t>
      </w:r>
      <w:proofErr w:type="spellStart"/>
      <w:r>
        <w:rPr>
          <w:spacing w:val="-3"/>
          <w:lang w:val="es-ES_tradnl"/>
        </w:rPr>
        <w:t>Amendments</w:t>
      </w:r>
      <w:proofErr w:type="spellEnd"/>
      <w:r>
        <w:rPr>
          <w:spacing w:val="-3"/>
          <w:lang w:val="es-ES_tradnl"/>
        </w:rPr>
        <w:t xml:space="preserve"> </w:t>
      </w:r>
      <w:proofErr w:type="spellStart"/>
      <w:r>
        <w:rPr>
          <w:spacing w:val="-3"/>
          <w:lang w:val="es-ES_tradnl"/>
        </w:rPr>
        <w:t>if</w:t>
      </w:r>
      <w:proofErr w:type="spellEnd"/>
      <w:r>
        <w:rPr>
          <w:spacing w:val="-3"/>
          <w:lang w:val="es-ES_tradnl"/>
        </w:rPr>
        <w:t xml:space="preserve"> </w:t>
      </w:r>
      <w:proofErr w:type="spellStart"/>
      <w:r>
        <w:rPr>
          <w:spacing w:val="-3"/>
          <w:lang w:val="es-ES_tradnl"/>
        </w:rPr>
        <w:t>any</w:t>
      </w:r>
      <w:proofErr w:type="spellEnd"/>
      <w:r>
        <w:rPr>
          <w:spacing w:val="-3"/>
          <w:lang w:val="es-ES_tradnl"/>
        </w:rPr>
        <w:t>.</w:t>
      </w:r>
    </w:p>
    <w:p w14:paraId="50D951AF" w14:textId="77777777" w:rsidR="00E255F4" w:rsidRDefault="00000000">
      <w:pPr>
        <w:rPr>
          <w:lang w:val="es-ES_tradnl"/>
        </w:rPr>
      </w:pPr>
      <w:r>
        <w:rPr>
          <w:u w:val="single"/>
          <w:lang w:val="es-ES_tradnl"/>
        </w:rPr>
        <w:t>METHOD OF PAYMENT</w:t>
      </w:r>
      <w:r>
        <w:rPr>
          <w:rStyle w:val="FootnoteAnchor"/>
          <w:spacing w:val="-3"/>
          <w:u w:val="single"/>
          <w:lang w:val="es-ES_tradnl"/>
        </w:rPr>
        <w:footnoteReference w:id="7"/>
      </w:r>
      <w:r>
        <w:rPr>
          <w:u w:val="single"/>
          <w:lang w:val="es-ES_tradnl"/>
        </w:rPr>
        <w:t>:</w:t>
      </w:r>
      <w:r>
        <w:rPr>
          <w:lang w:val="es-ES_tradnl"/>
        </w:rPr>
        <w:t xml:space="preserve">As </w:t>
      </w:r>
      <w:proofErr w:type="spellStart"/>
      <w:r>
        <w:rPr>
          <w:lang w:val="es-ES_tradnl"/>
        </w:rPr>
        <w:t>established</w:t>
      </w:r>
      <w:proofErr w:type="spellEnd"/>
      <w:r>
        <w:rPr>
          <w:lang w:val="es-ES_tradnl"/>
        </w:rPr>
        <w:t xml:space="preserve"> in </w:t>
      </w:r>
      <w:proofErr w:type="spellStart"/>
      <w:r>
        <w:rPr>
          <w:lang w:val="es-ES_tradnl"/>
        </w:rPr>
        <w:t>Article</w:t>
      </w:r>
      <w:proofErr w:type="spellEnd"/>
      <w:r>
        <w:rPr>
          <w:lang w:val="es-ES_tradnl"/>
        </w:rPr>
        <w:t xml:space="preserve"> 28 </w:t>
      </w:r>
      <w:proofErr w:type="spellStart"/>
      <w:r>
        <w:rPr>
          <w:lang w:val="es-ES_tradnl"/>
        </w:rPr>
        <w:t>of</w:t>
      </w:r>
      <w:proofErr w:type="spellEnd"/>
      <w:r>
        <w:rPr>
          <w:lang w:val="es-ES_tradnl"/>
        </w:rPr>
        <w:t xml:space="preserve"> Section II and/</w:t>
      </w:r>
      <w:proofErr w:type="spellStart"/>
      <w:r>
        <w:rPr>
          <w:lang w:val="es-ES_tradnl"/>
        </w:rPr>
        <w:t>or</w:t>
      </w:r>
      <w:proofErr w:type="spellEnd"/>
      <w:r>
        <w:rPr>
          <w:lang w:val="es-ES_tradnl"/>
        </w:rPr>
        <w:t xml:space="preserve"> </w:t>
      </w:r>
      <w:proofErr w:type="spellStart"/>
      <w:r>
        <w:rPr>
          <w:lang w:val="es-ES_tradnl"/>
        </w:rPr>
        <w:t>Amendments</w:t>
      </w:r>
      <w:proofErr w:type="spellEnd"/>
      <w:r>
        <w:rPr>
          <w:lang w:val="es-ES_tradnl"/>
        </w:rPr>
        <w:t xml:space="preserve"> </w:t>
      </w:r>
      <w:proofErr w:type="spellStart"/>
      <w:r>
        <w:rPr>
          <w:lang w:val="es-ES_tradnl"/>
        </w:rPr>
        <w:t>if</w:t>
      </w:r>
      <w:proofErr w:type="spellEnd"/>
      <w:r>
        <w:rPr>
          <w:lang w:val="es-ES_tradnl"/>
        </w:rPr>
        <w:t xml:space="preserve"> </w:t>
      </w:r>
      <w:proofErr w:type="spellStart"/>
      <w:r>
        <w:rPr>
          <w:lang w:val="es-ES_tradnl"/>
        </w:rPr>
        <w:t>any</w:t>
      </w:r>
      <w:proofErr w:type="spellEnd"/>
      <w:r>
        <w:rPr>
          <w:lang w:val="es-ES_tradnl"/>
        </w:rPr>
        <w:t>.</w:t>
      </w:r>
    </w:p>
    <w:p w14:paraId="3C1F9339" w14:textId="77777777" w:rsidR="00E255F4" w:rsidRDefault="00000000">
      <w:pPr>
        <w:jc w:val="center"/>
        <w:rPr>
          <w:rFonts w:cs="Arial"/>
          <w:b/>
          <w:lang w:val="es-ES"/>
        </w:rPr>
      </w:pPr>
      <w:r>
        <w:rPr>
          <w:rFonts w:cs="Arial"/>
          <w:b/>
          <w:lang w:val="es-ES"/>
        </w:rPr>
        <w:t>____________________ ________________________</w:t>
      </w:r>
      <w:r>
        <w:rPr>
          <w:rFonts w:cs="Arial"/>
          <w:b/>
          <w:lang w:val="es-ES"/>
        </w:rPr>
        <w:tab/>
      </w:r>
      <w:r>
        <w:rPr>
          <w:rFonts w:cs="Arial"/>
          <w:b/>
          <w:lang w:val="es-ES"/>
        </w:rPr>
        <w:tab/>
      </w:r>
      <w:r>
        <w:rPr>
          <w:rFonts w:cs="Arial"/>
          <w:b/>
          <w:lang w:val="es-ES"/>
        </w:rPr>
        <w:tab/>
      </w:r>
    </w:p>
    <w:p w14:paraId="225FB3B9" w14:textId="77777777" w:rsidR="00E255F4" w:rsidRDefault="00000000">
      <w:pPr>
        <w:jc w:val="center"/>
        <w:rPr>
          <w:bCs/>
          <w:spacing w:val="-3"/>
          <w:lang w:val="es-ES_tradnl"/>
        </w:rPr>
      </w:pPr>
      <w:proofErr w:type="spellStart"/>
      <w:r>
        <w:rPr>
          <w:bCs/>
          <w:lang w:val="es-ES_tradnl"/>
        </w:rPr>
        <w:t>Signature</w:t>
      </w:r>
      <w:proofErr w:type="spellEnd"/>
      <w:r>
        <w:rPr>
          <w:bCs/>
          <w:lang w:val="es-ES_tradnl"/>
        </w:rPr>
        <w:t xml:space="preserve">(s) </w:t>
      </w:r>
      <w:proofErr w:type="spellStart"/>
      <w:r>
        <w:rPr>
          <w:bCs/>
          <w:lang w:val="es-ES_tradnl"/>
        </w:rPr>
        <w:t>Clarification</w:t>
      </w:r>
      <w:proofErr w:type="spellEnd"/>
      <w:r>
        <w:rPr>
          <w:bCs/>
          <w:lang w:val="es-ES_tradnl"/>
        </w:rPr>
        <w:t xml:space="preserve"> </w:t>
      </w:r>
      <w:proofErr w:type="spellStart"/>
      <w:r>
        <w:rPr>
          <w:bCs/>
          <w:lang w:val="es-ES_tradnl"/>
        </w:rPr>
        <w:t>of</w:t>
      </w:r>
      <w:proofErr w:type="spellEnd"/>
      <w:r>
        <w:rPr>
          <w:bCs/>
          <w:lang w:val="es-ES_tradnl"/>
        </w:rPr>
        <w:t xml:space="preserve"> </w:t>
      </w:r>
      <w:proofErr w:type="spellStart"/>
      <w:r>
        <w:rPr>
          <w:bCs/>
          <w:lang w:val="es-ES_tradnl"/>
        </w:rPr>
        <w:t>Signature</w:t>
      </w:r>
      <w:proofErr w:type="spellEnd"/>
      <w:r>
        <w:rPr>
          <w:bCs/>
          <w:lang w:val="es-ES_tradnl"/>
        </w:rPr>
        <w:t>(s)</w:t>
      </w:r>
      <w:r>
        <w:br w:type="page"/>
      </w:r>
    </w:p>
    <w:p w14:paraId="4C7E74A8" w14:textId="77777777" w:rsidR="00E255F4" w:rsidRDefault="00000000">
      <w:pPr>
        <w:jc w:val="center"/>
        <w:rPr>
          <w:rFonts w:eastAsia="Palatino Linotype"/>
          <w:b/>
          <w:color w:val="548DD4"/>
          <w:sz w:val="28"/>
          <w:szCs w:val="24"/>
          <w:lang w:val="es-ES"/>
        </w:rPr>
      </w:pPr>
      <w:r>
        <w:rPr>
          <w:rFonts w:eastAsia="Palatino Linotype"/>
          <w:b/>
          <w:color w:val="548DD4"/>
          <w:sz w:val="28"/>
          <w:szCs w:val="24"/>
          <w:lang w:val="es-ES"/>
        </w:rPr>
        <w:lastRenderedPageBreak/>
        <w:t>ANNEX V</w:t>
      </w:r>
    </w:p>
    <w:p w14:paraId="2A4E3091" w14:textId="77777777" w:rsidR="00E255F4" w:rsidRDefault="00000000">
      <w:pPr>
        <w:pStyle w:val="Ttulo1"/>
        <w:numPr>
          <w:ilvl w:val="0"/>
          <w:numId w:val="0"/>
        </w:numPr>
        <w:spacing w:before="0" w:after="0"/>
        <w:ind w:left="2847" w:hanging="437"/>
        <w:rPr>
          <w:rFonts w:ascii="Times New Roman" w:eastAsia="Palatino Linotype" w:hAnsi="Times New Roman" w:cs="Times New Roman"/>
          <w:b w:val="0"/>
          <w:color w:val="548DD4"/>
          <w:sz w:val="28"/>
          <w:szCs w:val="24"/>
          <w:lang w:val="es-ES"/>
        </w:rPr>
      </w:pPr>
      <w:bookmarkStart w:id="83" w:name="__RefHeading___Toc225377253"/>
      <w:bookmarkEnd w:id="83"/>
      <w:proofErr w:type="spellStart"/>
      <w:r>
        <w:rPr>
          <w:rFonts w:ascii="Times New Roman" w:eastAsia="Palatino Linotype" w:hAnsi="Times New Roman" w:cs="Times New Roman"/>
          <w:b w:val="0"/>
          <w:color w:val="548DD4"/>
          <w:sz w:val="28"/>
          <w:szCs w:val="24"/>
          <w:lang w:val="es-AR"/>
        </w:rPr>
        <w:t>Quantity</w:t>
      </w:r>
      <w:proofErr w:type="spellEnd"/>
      <w:r>
        <w:rPr>
          <w:rFonts w:ascii="Times New Roman" w:eastAsia="Palatino Linotype" w:hAnsi="Times New Roman" w:cs="Times New Roman"/>
          <w:b w:val="0"/>
          <w:color w:val="548DD4"/>
          <w:sz w:val="28"/>
          <w:szCs w:val="24"/>
          <w:lang w:val="es-AR"/>
        </w:rPr>
        <w:t xml:space="preserve"> and Price Sheets (a)</w:t>
      </w:r>
    </w:p>
    <w:p w14:paraId="14A9F4DC" w14:textId="77777777" w:rsidR="00E255F4" w:rsidRDefault="00E255F4">
      <w:pPr>
        <w:jc w:val="center"/>
        <w:rPr>
          <w:rFonts w:eastAsia="Palatino Linotype"/>
          <w:b/>
          <w:color w:val="548DD4"/>
          <w:sz w:val="28"/>
          <w:szCs w:val="24"/>
          <w:lang w:val="es-ES"/>
        </w:rPr>
      </w:pPr>
    </w:p>
    <w:p w14:paraId="572348A7" w14:textId="77777777" w:rsidR="00E255F4" w:rsidRDefault="00000000">
      <w:pPr>
        <w:spacing w:after="120"/>
        <w:jc w:val="center"/>
        <w:rPr>
          <w:rFonts w:eastAsia="Palatino Linotype"/>
          <w:bCs/>
          <w:color w:val="548DD4"/>
          <w:kern w:val="2"/>
          <w:sz w:val="28"/>
          <w:szCs w:val="28"/>
          <w:u w:val="single"/>
          <w:lang w:val="es-ES"/>
        </w:rPr>
      </w:pPr>
      <w:proofErr w:type="spellStart"/>
      <w:r>
        <w:rPr>
          <w:rFonts w:eastAsia="Palatino Linotype"/>
          <w:bCs/>
          <w:color w:val="548DD4"/>
          <w:kern w:val="2"/>
          <w:sz w:val="28"/>
          <w:szCs w:val="28"/>
          <w:u w:val="single"/>
          <w:lang w:val="es-ES"/>
        </w:rPr>
        <w:t>Offers</w:t>
      </w:r>
      <w:proofErr w:type="spellEnd"/>
      <w:r>
        <w:rPr>
          <w:rFonts w:eastAsia="Palatino Linotype"/>
          <w:bCs/>
          <w:color w:val="548DD4"/>
          <w:kern w:val="2"/>
          <w:sz w:val="28"/>
          <w:szCs w:val="28"/>
          <w:u w:val="single"/>
          <w:lang w:val="es-ES"/>
        </w:rPr>
        <w:t xml:space="preserve"> </w:t>
      </w:r>
      <w:proofErr w:type="spellStart"/>
      <w:r>
        <w:rPr>
          <w:rFonts w:eastAsia="Palatino Linotype"/>
          <w:bCs/>
          <w:color w:val="548DD4"/>
          <w:kern w:val="2"/>
          <w:sz w:val="28"/>
          <w:szCs w:val="28"/>
          <w:u w:val="single"/>
          <w:lang w:val="es-ES"/>
        </w:rPr>
        <w:t>of</w:t>
      </w:r>
      <w:proofErr w:type="spellEnd"/>
      <w:r>
        <w:rPr>
          <w:rFonts w:eastAsia="Palatino Linotype"/>
          <w:bCs/>
          <w:color w:val="548DD4"/>
          <w:kern w:val="2"/>
          <w:sz w:val="28"/>
          <w:szCs w:val="28"/>
          <w:u w:val="single"/>
          <w:lang w:val="es-ES"/>
        </w:rPr>
        <w:t xml:space="preserve"> local </w:t>
      </w:r>
      <w:proofErr w:type="spellStart"/>
      <w:r>
        <w:rPr>
          <w:rFonts w:eastAsia="Palatino Linotype"/>
          <w:bCs/>
          <w:color w:val="548DD4"/>
          <w:kern w:val="2"/>
          <w:sz w:val="28"/>
          <w:szCs w:val="28"/>
          <w:u w:val="single"/>
          <w:lang w:val="es-ES"/>
        </w:rPr>
        <w:t>goods</w:t>
      </w:r>
      <w:proofErr w:type="spellEnd"/>
      <w:r>
        <w:rPr>
          <w:rFonts w:eastAsia="Palatino Linotype"/>
          <w:bCs/>
          <w:color w:val="548DD4"/>
          <w:kern w:val="2"/>
          <w:sz w:val="28"/>
          <w:szCs w:val="28"/>
          <w:u w:val="single"/>
          <w:lang w:val="es-ES"/>
        </w:rPr>
        <w:t xml:space="preserve"> (</w:t>
      </w:r>
      <w:proofErr w:type="spellStart"/>
      <w:r>
        <w:rPr>
          <w:rFonts w:eastAsia="Palatino Linotype"/>
          <w:bCs/>
          <w:color w:val="548DD4"/>
          <w:kern w:val="2"/>
          <w:sz w:val="28"/>
          <w:szCs w:val="28"/>
          <w:u w:val="single"/>
          <w:lang w:val="es-ES"/>
        </w:rPr>
        <w:t>domestic</w:t>
      </w:r>
      <w:proofErr w:type="spellEnd"/>
      <w:r>
        <w:rPr>
          <w:rFonts w:eastAsia="Palatino Linotype"/>
          <w:bCs/>
          <w:color w:val="548DD4"/>
          <w:kern w:val="2"/>
          <w:sz w:val="28"/>
          <w:szCs w:val="28"/>
          <w:u w:val="single"/>
          <w:lang w:val="es-ES"/>
        </w:rPr>
        <w:t xml:space="preserve"> manufacture </w:t>
      </w:r>
      <w:proofErr w:type="spellStart"/>
      <w:r>
        <w:rPr>
          <w:rFonts w:eastAsia="Palatino Linotype"/>
          <w:bCs/>
          <w:color w:val="548DD4"/>
          <w:kern w:val="2"/>
          <w:sz w:val="28"/>
          <w:szCs w:val="28"/>
          <w:u w:val="single"/>
          <w:lang w:val="es-ES"/>
        </w:rPr>
        <w:t>or</w:t>
      </w:r>
      <w:proofErr w:type="spellEnd"/>
      <w:r>
        <w:rPr>
          <w:rFonts w:eastAsia="Palatino Linotype"/>
          <w:bCs/>
          <w:color w:val="548DD4"/>
          <w:kern w:val="2"/>
          <w:sz w:val="28"/>
          <w:szCs w:val="28"/>
          <w:u w:val="single"/>
          <w:lang w:val="es-ES"/>
        </w:rPr>
        <w:t xml:space="preserve"> </w:t>
      </w:r>
      <w:proofErr w:type="spellStart"/>
      <w:r>
        <w:rPr>
          <w:rFonts w:eastAsia="Palatino Linotype"/>
          <w:bCs/>
          <w:color w:val="548DD4"/>
          <w:kern w:val="2"/>
          <w:sz w:val="28"/>
          <w:szCs w:val="28"/>
          <w:u w:val="single"/>
          <w:lang w:val="es-ES"/>
        </w:rPr>
        <w:t>imported</w:t>
      </w:r>
      <w:proofErr w:type="spellEnd"/>
      <w:r>
        <w:rPr>
          <w:rFonts w:eastAsia="Palatino Linotype"/>
          <w:bCs/>
          <w:color w:val="548DD4"/>
          <w:kern w:val="2"/>
          <w:sz w:val="28"/>
          <w:szCs w:val="28"/>
          <w:u w:val="single"/>
          <w:lang w:val="es-ES"/>
        </w:rPr>
        <w:t xml:space="preserve"> </w:t>
      </w:r>
      <w:proofErr w:type="spellStart"/>
      <w:r>
        <w:rPr>
          <w:rFonts w:eastAsia="Palatino Linotype"/>
          <w:bCs/>
          <w:color w:val="548DD4"/>
          <w:kern w:val="2"/>
          <w:sz w:val="28"/>
          <w:szCs w:val="28"/>
          <w:u w:val="single"/>
          <w:lang w:val="es-ES"/>
        </w:rPr>
        <w:t>goods</w:t>
      </w:r>
      <w:proofErr w:type="spellEnd"/>
      <w:r>
        <w:rPr>
          <w:rFonts w:eastAsia="Palatino Linotype"/>
          <w:bCs/>
          <w:color w:val="548DD4"/>
          <w:kern w:val="2"/>
          <w:sz w:val="28"/>
          <w:szCs w:val="28"/>
          <w:u w:val="single"/>
          <w:lang w:val="es-ES"/>
        </w:rPr>
        <w:t>) (a1)</w:t>
      </w:r>
    </w:p>
    <w:p w14:paraId="7FA7195D" w14:textId="77777777" w:rsidR="00E255F4" w:rsidRDefault="00000000">
      <w:pPr>
        <w:spacing w:after="240"/>
        <w:jc w:val="center"/>
        <w:rPr>
          <w:rFonts w:eastAsia="Palatino Linotype"/>
          <w:bCs/>
          <w:color w:val="548DD4"/>
          <w:kern w:val="2"/>
          <w:sz w:val="26"/>
          <w:szCs w:val="26"/>
          <w:lang w:val="pt-BR"/>
        </w:rPr>
      </w:pPr>
      <w:r>
        <w:rPr>
          <w:rFonts w:eastAsia="Palatino Linotype"/>
          <w:bCs/>
          <w:color w:val="548DD4"/>
          <w:kern w:val="2"/>
          <w:sz w:val="26"/>
          <w:szCs w:val="26"/>
          <w:lang w:val="pt-BR"/>
        </w:rPr>
        <w:object w:dxaOrig="1440" w:dyaOrig="932" w14:anchorId="29758C50">
          <v:shape id="ole_rId14" o:spid="_x0000_i1025" style="width:76.8pt;height:49.8pt" coordsize="" o:spt="100" adj="0,,0" path="" stroked="f">
            <v:stroke joinstyle="miter"/>
            <v:imagedata r:id="rId22" o:title=""/>
            <v:formulas/>
            <v:path o:connecttype="segments"/>
          </v:shape>
          <o:OLEObject Type="Embed" ProgID="Excel.Sheet.12" ShapeID="ole_rId14" DrawAspect="Icon" ObjectID="_1838902118" r:id="rId23"/>
        </w:object>
      </w:r>
    </w:p>
    <w:p w14:paraId="4884F7CD" w14:textId="77777777" w:rsidR="00E255F4" w:rsidRDefault="00000000">
      <w:pPr>
        <w:spacing w:after="240"/>
        <w:jc w:val="center"/>
        <w:rPr>
          <w:rFonts w:eastAsia="Palatino Linotype"/>
          <w:bCs/>
          <w:color w:val="548DD4"/>
          <w:kern w:val="2"/>
          <w:sz w:val="28"/>
          <w:szCs w:val="28"/>
          <w:u w:val="single"/>
          <w:lang w:val="pt-BR"/>
        </w:rPr>
      </w:pPr>
      <w:proofErr w:type="spellStart"/>
      <w:r>
        <w:rPr>
          <w:rFonts w:eastAsia="Palatino Linotype"/>
          <w:bCs/>
          <w:color w:val="548DD4"/>
          <w:kern w:val="2"/>
          <w:sz w:val="28"/>
          <w:szCs w:val="28"/>
          <w:u w:val="single"/>
          <w:lang w:val="pt-BR"/>
        </w:rPr>
        <w:t>Offer</w:t>
      </w:r>
      <w:proofErr w:type="spellEnd"/>
      <w:r>
        <w:rPr>
          <w:rFonts w:eastAsia="Palatino Linotype"/>
          <w:bCs/>
          <w:color w:val="548DD4"/>
          <w:kern w:val="2"/>
          <w:sz w:val="28"/>
          <w:szCs w:val="28"/>
          <w:u w:val="single"/>
          <w:lang w:val="pt-BR"/>
        </w:rPr>
        <w:t xml:space="preserve"> </w:t>
      </w:r>
      <w:proofErr w:type="spellStart"/>
      <w:r>
        <w:rPr>
          <w:rFonts w:eastAsia="Palatino Linotype"/>
          <w:bCs/>
          <w:color w:val="548DD4"/>
          <w:kern w:val="2"/>
          <w:sz w:val="28"/>
          <w:szCs w:val="28"/>
          <w:u w:val="single"/>
          <w:lang w:val="pt-BR"/>
        </w:rPr>
        <w:t>of</w:t>
      </w:r>
      <w:proofErr w:type="spellEnd"/>
      <w:r>
        <w:rPr>
          <w:rFonts w:eastAsia="Palatino Linotype"/>
          <w:bCs/>
          <w:color w:val="548DD4"/>
          <w:kern w:val="2"/>
          <w:sz w:val="28"/>
          <w:szCs w:val="28"/>
          <w:u w:val="single"/>
          <w:lang w:val="pt-BR"/>
        </w:rPr>
        <w:t xml:space="preserve"> </w:t>
      </w:r>
      <w:proofErr w:type="spellStart"/>
      <w:r>
        <w:rPr>
          <w:rFonts w:eastAsia="Palatino Linotype"/>
          <w:bCs/>
          <w:color w:val="548DD4"/>
          <w:kern w:val="2"/>
          <w:sz w:val="28"/>
          <w:szCs w:val="28"/>
          <w:u w:val="single"/>
          <w:lang w:val="pt-BR"/>
        </w:rPr>
        <w:t>goods</w:t>
      </w:r>
      <w:proofErr w:type="spellEnd"/>
      <w:r>
        <w:rPr>
          <w:rFonts w:eastAsia="Palatino Linotype"/>
          <w:bCs/>
          <w:color w:val="548DD4"/>
          <w:kern w:val="2"/>
          <w:sz w:val="28"/>
          <w:szCs w:val="28"/>
          <w:u w:val="single"/>
          <w:lang w:val="pt-BR"/>
        </w:rPr>
        <w:t xml:space="preserve"> </w:t>
      </w:r>
      <w:proofErr w:type="spellStart"/>
      <w:r>
        <w:rPr>
          <w:rFonts w:eastAsia="Palatino Linotype"/>
          <w:bCs/>
          <w:color w:val="548DD4"/>
          <w:kern w:val="2"/>
          <w:sz w:val="28"/>
          <w:szCs w:val="28"/>
          <w:u w:val="single"/>
          <w:lang w:val="pt-BR"/>
        </w:rPr>
        <w:t>to</w:t>
      </w:r>
      <w:proofErr w:type="spellEnd"/>
      <w:r>
        <w:rPr>
          <w:rFonts w:eastAsia="Palatino Linotype"/>
          <w:bCs/>
          <w:color w:val="548DD4"/>
          <w:kern w:val="2"/>
          <w:sz w:val="28"/>
          <w:szCs w:val="28"/>
          <w:u w:val="single"/>
          <w:lang w:val="pt-BR"/>
        </w:rPr>
        <w:t xml:space="preserve"> </w:t>
      </w:r>
      <w:proofErr w:type="spellStart"/>
      <w:r>
        <w:rPr>
          <w:rFonts w:eastAsia="Palatino Linotype"/>
          <w:bCs/>
          <w:color w:val="548DD4"/>
          <w:kern w:val="2"/>
          <w:sz w:val="28"/>
          <w:szCs w:val="28"/>
          <w:u w:val="single"/>
          <w:lang w:val="pt-BR"/>
        </w:rPr>
        <w:t>be</w:t>
      </w:r>
      <w:proofErr w:type="spellEnd"/>
      <w:r>
        <w:rPr>
          <w:rFonts w:eastAsia="Palatino Linotype"/>
          <w:bCs/>
          <w:color w:val="548DD4"/>
          <w:kern w:val="2"/>
          <w:sz w:val="28"/>
          <w:szCs w:val="28"/>
          <w:u w:val="single"/>
          <w:lang w:val="pt-BR"/>
        </w:rPr>
        <w:t xml:space="preserve"> </w:t>
      </w:r>
      <w:proofErr w:type="spellStart"/>
      <w:r>
        <w:rPr>
          <w:rFonts w:eastAsia="Palatino Linotype"/>
          <w:bCs/>
          <w:color w:val="548DD4"/>
          <w:kern w:val="2"/>
          <w:sz w:val="28"/>
          <w:szCs w:val="28"/>
          <w:u w:val="single"/>
          <w:lang w:val="pt-BR"/>
        </w:rPr>
        <w:t>imported</w:t>
      </w:r>
      <w:r>
        <w:rPr>
          <w:rFonts w:eastAsia="Palatino Linotype"/>
          <w:bCs/>
          <w:color w:val="0070C0"/>
          <w:kern w:val="2"/>
          <w:sz w:val="28"/>
          <w:szCs w:val="28"/>
          <w:u w:val="single"/>
          <w:lang w:val="pt-BR"/>
        </w:rPr>
        <w:t>by</w:t>
      </w:r>
      <w:proofErr w:type="spellEnd"/>
      <w:r>
        <w:rPr>
          <w:rFonts w:eastAsia="Palatino Linotype"/>
          <w:bCs/>
          <w:color w:val="0070C0"/>
          <w:kern w:val="2"/>
          <w:sz w:val="28"/>
          <w:szCs w:val="28"/>
          <w:u w:val="single"/>
          <w:lang w:val="pt-BR"/>
        </w:rPr>
        <w:t xml:space="preserve"> OSE</w:t>
      </w:r>
      <w:r>
        <w:rPr>
          <w:rFonts w:eastAsia="Palatino Linotype"/>
          <w:bCs/>
          <w:color w:val="548DD4"/>
          <w:kern w:val="2"/>
          <w:sz w:val="28"/>
          <w:szCs w:val="28"/>
          <w:u w:val="single"/>
          <w:lang w:val="pt-BR"/>
        </w:rPr>
        <w:t>(a2)</w:t>
      </w:r>
    </w:p>
    <w:bookmarkStart w:id="84" w:name="_1830934025"/>
    <w:bookmarkEnd w:id="84"/>
    <w:p w14:paraId="3023466B" w14:textId="77777777" w:rsidR="00E255F4" w:rsidRDefault="00000000">
      <w:pPr>
        <w:spacing w:after="240"/>
        <w:jc w:val="center"/>
        <w:rPr>
          <w:rFonts w:eastAsia="Palatino Linotype"/>
          <w:bCs/>
          <w:color w:val="548DD4"/>
          <w:kern w:val="2"/>
          <w:sz w:val="26"/>
          <w:szCs w:val="26"/>
          <w:lang w:val="pt-BR"/>
        </w:rPr>
      </w:pPr>
      <w:r>
        <w:rPr>
          <w:rFonts w:eastAsia="Palatino Linotype"/>
          <w:bCs/>
          <w:color w:val="548DD4"/>
          <w:kern w:val="2"/>
          <w:sz w:val="26"/>
          <w:szCs w:val="26"/>
          <w:lang w:val="pt-BR"/>
        </w:rPr>
        <w:object w:dxaOrig="1311" w:dyaOrig="834" w14:anchorId="1D949229">
          <v:shape id="ole_rId16" o:spid="_x0000_i1026" style="width:76.8pt;height:49.8pt" coordsize="" o:spt="100" adj="0,,0" path="" stroked="f">
            <v:stroke joinstyle="miter"/>
            <v:imagedata r:id="rId24" o:title=""/>
            <v:formulas/>
            <v:path o:connecttype="segments"/>
          </v:shape>
          <o:OLEObject Type="Embed" ProgID="Excel.Sheet.12" ShapeID="ole_rId16" DrawAspect="Icon" ObjectID="_1838902119" r:id="rId25"/>
        </w:object>
      </w:r>
    </w:p>
    <w:p w14:paraId="545153A2" w14:textId="77777777" w:rsidR="00E255F4" w:rsidRDefault="00000000">
      <w:pPr>
        <w:pStyle w:val="Ttulo1"/>
        <w:numPr>
          <w:ilvl w:val="0"/>
          <w:numId w:val="0"/>
        </w:numPr>
        <w:spacing w:before="0" w:after="0"/>
        <w:ind w:left="720" w:hanging="720"/>
        <w:jc w:val="center"/>
        <w:rPr>
          <w:rFonts w:ascii="Times New Roman" w:eastAsia="Palatino Linotype" w:hAnsi="Times New Roman" w:cs="Times New Roman"/>
          <w:b w:val="0"/>
          <w:color w:val="548DD4"/>
          <w:sz w:val="28"/>
          <w:szCs w:val="24"/>
          <w:u w:val="single"/>
          <w:lang w:val="pt-BR"/>
        </w:rPr>
      </w:pPr>
      <w:bookmarkStart w:id="85" w:name="__RefHeading___Toc225377254"/>
      <w:bookmarkEnd w:id="85"/>
      <w:proofErr w:type="spellStart"/>
      <w:r>
        <w:rPr>
          <w:rFonts w:ascii="Times New Roman" w:eastAsia="Palatino Linotype" w:hAnsi="Times New Roman" w:cs="Times New Roman"/>
          <w:b w:val="0"/>
          <w:color w:val="548DD4"/>
          <w:sz w:val="28"/>
          <w:szCs w:val="24"/>
          <w:u w:val="single"/>
          <w:lang w:val="pt-BR"/>
        </w:rPr>
        <w:t>Support</w:t>
      </w:r>
      <w:proofErr w:type="spellEnd"/>
      <w:r>
        <w:rPr>
          <w:rFonts w:ascii="Times New Roman" w:eastAsia="Palatino Linotype" w:hAnsi="Times New Roman" w:cs="Times New Roman"/>
          <w:b w:val="0"/>
          <w:color w:val="548DD4"/>
          <w:sz w:val="28"/>
          <w:szCs w:val="24"/>
          <w:u w:val="single"/>
          <w:lang w:val="pt-BR"/>
        </w:rPr>
        <w:t xml:space="preserve"> </w:t>
      </w:r>
      <w:proofErr w:type="spellStart"/>
      <w:r>
        <w:rPr>
          <w:rFonts w:ascii="Times New Roman" w:eastAsia="Palatino Linotype" w:hAnsi="Times New Roman" w:cs="Times New Roman"/>
          <w:b w:val="0"/>
          <w:color w:val="548DD4"/>
          <w:sz w:val="28"/>
          <w:szCs w:val="24"/>
          <w:u w:val="single"/>
          <w:lang w:val="pt-BR"/>
        </w:rPr>
        <w:t>and</w:t>
      </w:r>
      <w:proofErr w:type="spellEnd"/>
      <w:r>
        <w:rPr>
          <w:rFonts w:ascii="Times New Roman" w:eastAsia="Palatino Linotype" w:hAnsi="Times New Roman" w:cs="Times New Roman"/>
          <w:b w:val="0"/>
          <w:color w:val="548DD4"/>
          <w:sz w:val="28"/>
          <w:szCs w:val="24"/>
          <w:u w:val="single"/>
          <w:lang w:val="pt-BR"/>
        </w:rPr>
        <w:t xml:space="preserve"> Maintenance Service (b)</w:t>
      </w:r>
    </w:p>
    <w:p w14:paraId="4F0242BF" w14:textId="77777777" w:rsidR="00E255F4" w:rsidRDefault="00E255F4">
      <w:pPr>
        <w:jc w:val="center"/>
        <w:rPr>
          <w:rFonts w:eastAsia="Palatino Linotype"/>
          <w:b/>
          <w:color w:val="548DD4"/>
          <w:sz w:val="28"/>
          <w:szCs w:val="24"/>
          <w:u w:val="single"/>
          <w:lang w:val="pt-BR"/>
        </w:rPr>
      </w:pPr>
    </w:p>
    <w:bookmarkStart w:id="86" w:name="_1833537825"/>
    <w:bookmarkEnd w:id="86"/>
    <w:p w14:paraId="24C76B83" w14:textId="77777777" w:rsidR="00E255F4" w:rsidRDefault="00000000">
      <w:pPr>
        <w:jc w:val="center"/>
        <w:rPr>
          <w:rFonts w:eastAsia="Palatino Linotype"/>
          <w:lang w:val="pt-BR"/>
        </w:rPr>
      </w:pPr>
      <w:r>
        <w:rPr>
          <w:rFonts w:eastAsia="Palatino Linotype"/>
          <w:lang w:val="pt-BR"/>
        </w:rPr>
        <w:object w:dxaOrig="1440" w:dyaOrig="932" w14:anchorId="67B7F21A">
          <v:shape id="ole_rId18" o:spid="_x0000_i1027" style="width:103.8pt;height:49.2pt" coordsize="" o:spt="100" adj="0,,0" path="" stroked="f">
            <v:stroke joinstyle="miter"/>
            <v:imagedata r:id="rId26" o:title=""/>
            <v:formulas/>
            <v:path o:connecttype="segments"/>
          </v:shape>
          <o:OLEObject Type="Embed" ProgID="Excel.Sheet.12" ShapeID="ole_rId18" DrawAspect="Icon" ObjectID="_1838902120" r:id="rId27"/>
        </w:object>
      </w:r>
    </w:p>
    <w:p w14:paraId="11743711" w14:textId="77777777" w:rsidR="00E255F4" w:rsidRDefault="00E255F4">
      <w:pPr>
        <w:jc w:val="center"/>
        <w:rPr>
          <w:rFonts w:eastAsia="Palatino Linotype"/>
          <w:lang w:val="en-US"/>
        </w:rPr>
      </w:pPr>
    </w:p>
    <w:p w14:paraId="32713CAD" w14:textId="77777777" w:rsidR="00E255F4" w:rsidRDefault="00E255F4">
      <w:pPr>
        <w:jc w:val="center"/>
        <w:rPr>
          <w:rFonts w:eastAsia="Palatino Linotype"/>
          <w:lang w:val="en-US"/>
        </w:rPr>
      </w:pPr>
    </w:p>
    <w:p w14:paraId="3D3186D9" w14:textId="77777777" w:rsidR="00E255F4" w:rsidRDefault="00000000">
      <w:pPr>
        <w:pStyle w:val="Ttulo1"/>
        <w:numPr>
          <w:ilvl w:val="0"/>
          <w:numId w:val="0"/>
        </w:numPr>
        <w:spacing w:before="0" w:after="0"/>
        <w:jc w:val="center"/>
        <w:rPr>
          <w:rFonts w:ascii="Times New Roman" w:eastAsia="Palatino Linotype" w:hAnsi="Times New Roman" w:cs="Times New Roman"/>
          <w:b w:val="0"/>
          <w:color w:val="548DD4"/>
          <w:sz w:val="28"/>
          <w:u w:val="single"/>
        </w:rPr>
      </w:pPr>
      <w:bookmarkStart w:id="87" w:name="__RefHeading___Toc225377255"/>
      <w:bookmarkEnd w:id="87"/>
      <w:proofErr w:type="spellStart"/>
      <w:r>
        <w:rPr>
          <w:rFonts w:ascii="Times New Roman" w:eastAsia="Palatino Linotype" w:hAnsi="Times New Roman" w:cs="Times New Roman"/>
          <w:b w:val="0"/>
          <w:color w:val="548DD4"/>
          <w:sz w:val="28"/>
          <w:u w:val="single"/>
          <w:lang w:val="es-ES"/>
        </w:rPr>
        <w:t>Related</w:t>
      </w:r>
      <w:proofErr w:type="spellEnd"/>
      <w:r>
        <w:rPr>
          <w:rFonts w:ascii="Times New Roman" w:eastAsia="Palatino Linotype" w:hAnsi="Times New Roman" w:cs="Times New Roman"/>
          <w:b w:val="0"/>
          <w:color w:val="548DD4"/>
          <w:sz w:val="28"/>
          <w:u w:val="single"/>
          <w:lang w:val="es-ES"/>
        </w:rPr>
        <w:t xml:space="preserve"> </w:t>
      </w:r>
      <w:proofErr w:type="spellStart"/>
      <w:r>
        <w:rPr>
          <w:rFonts w:ascii="Times New Roman" w:eastAsia="Palatino Linotype" w:hAnsi="Times New Roman" w:cs="Times New Roman"/>
          <w:b w:val="0"/>
          <w:color w:val="548DD4"/>
          <w:sz w:val="28"/>
          <w:u w:val="single"/>
          <w:lang w:val="es-ES"/>
        </w:rPr>
        <w:t>Services</w:t>
      </w:r>
      <w:proofErr w:type="spellEnd"/>
      <w:r>
        <w:rPr>
          <w:rFonts w:ascii="Times New Roman" w:eastAsia="Palatino Linotype" w:hAnsi="Times New Roman" w:cs="Times New Roman"/>
          <w:b w:val="0"/>
          <w:color w:val="548DD4"/>
          <w:sz w:val="28"/>
          <w:u w:val="single"/>
          <w:lang w:val="es-ES"/>
        </w:rPr>
        <w:t xml:space="preserve"> (c)</w:t>
      </w:r>
    </w:p>
    <w:p w14:paraId="300F100B" w14:textId="77777777" w:rsidR="00E255F4" w:rsidRDefault="00E255F4">
      <w:pPr>
        <w:rPr>
          <w:rFonts w:eastAsia="Palatino Linotype"/>
          <w:b/>
          <w:color w:val="548DD4"/>
          <w:sz w:val="28"/>
          <w:u w:val="single"/>
          <w:lang w:val="en-US"/>
        </w:rPr>
      </w:pPr>
    </w:p>
    <w:p w14:paraId="4CE74E56" w14:textId="77777777" w:rsidR="00E255F4" w:rsidRDefault="00000000">
      <w:pPr>
        <w:tabs>
          <w:tab w:val="left" w:pos="3423"/>
        </w:tabs>
        <w:spacing w:line="240" w:lineRule="auto"/>
        <w:rPr>
          <w:lang w:val="es-ES"/>
        </w:rPr>
      </w:pPr>
      <w:r>
        <w:rPr>
          <w:lang w:val="es-ES"/>
        </w:rPr>
        <w:tab/>
      </w:r>
    </w:p>
    <w:bookmarkStart w:id="88" w:name="_1833538093"/>
    <w:bookmarkEnd w:id="88"/>
    <w:p w14:paraId="60B51900" w14:textId="77777777" w:rsidR="00E255F4" w:rsidRDefault="00000000">
      <w:pPr>
        <w:spacing w:line="240" w:lineRule="auto"/>
        <w:jc w:val="center"/>
        <w:rPr>
          <w:lang w:val="es-ES"/>
        </w:rPr>
      </w:pPr>
      <w:r>
        <w:rPr>
          <w:lang w:val="es-ES"/>
        </w:rPr>
        <w:object w:dxaOrig="1440" w:dyaOrig="932" w14:anchorId="16CFCD07">
          <v:shape id="ole_rId20" o:spid="_x0000_i1028" style="width:76.8pt;height:49.8pt" coordsize="" o:spt="100" adj="0,,0" path="" stroked="f">
            <v:stroke joinstyle="miter"/>
            <v:imagedata r:id="rId28" o:title=""/>
            <v:formulas/>
            <v:path o:connecttype="segments"/>
          </v:shape>
          <o:OLEObject Type="Embed" ProgID="Excel.Sheet.12" ShapeID="ole_rId20" DrawAspect="Icon" ObjectID="_1838902121" r:id="rId29"/>
        </w:object>
      </w:r>
      <w:r>
        <w:br w:type="page"/>
      </w:r>
    </w:p>
    <w:p w14:paraId="1E8CF416" w14:textId="77777777" w:rsidR="00E255F4" w:rsidRDefault="00E255F4">
      <w:pPr>
        <w:spacing w:line="240" w:lineRule="auto"/>
        <w:jc w:val="center"/>
        <w:rPr>
          <w:lang w:val="es-ES"/>
        </w:rPr>
      </w:pPr>
    </w:p>
    <w:p w14:paraId="207CB6BA" w14:textId="77777777" w:rsidR="00E255F4" w:rsidRDefault="00000000">
      <w:pPr>
        <w:jc w:val="center"/>
        <w:rPr>
          <w:rFonts w:eastAsia="Palatino Linotype"/>
          <w:color w:val="5B9BD5"/>
          <w:sz w:val="28"/>
          <w:szCs w:val="28"/>
          <w:lang w:val="es-ES"/>
        </w:rPr>
      </w:pPr>
      <w:r>
        <w:rPr>
          <w:rFonts w:eastAsia="Palatino Linotype"/>
          <w:color w:val="5B9BD5"/>
          <w:sz w:val="28"/>
          <w:szCs w:val="28"/>
          <w:lang w:val="es-AR"/>
        </w:rPr>
        <w:t>ANNEX VI</w:t>
      </w:r>
    </w:p>
    <w:p w14:paraId="6B7AC307" w14:textId="77777777" w:rsidR="00E255F4" w:rsidRDefault="00000000">
      <w:pPr>
        <w:keepNext/>
        <w:jc w:val="center"/>
        <w:outlineLvl w:val="0"/>
        <w:rPr>
          <w:rFonts w:eastAsia="Palatino Linotype"/>
          <w:bCs/>
          <w:color w:val="5B9BD5"/>
          <w:kern w:val="2"/>
          <w:sz w:val="28"/>
          <w:szCs w:val="28"/>
          <w:lang w:val="es-ES"/>
        </w:rPr>
      </w:pPr>
      <w:bookmarkStart w:id="89" w:name="__RefHeading___Toc225377256"/>
      <w:bookmarkEnd w:id="89"/>
      <w:proofErr w:type="spellStart"/>
      <w:r>
        <w:rPr>
          <w:rFonts w:eastAsia="Palatino Linotype"/>
          <w:bCs/>
          <w:color w:val="5B9BD5"/>
          <w:kern w:val="2"/>
          <w:sz w:val="28"/>
          <w:szCs w:val="28"/>
          <w:lang w:val="es-ES"/>
        </w:rPr>
        <w:t>Shipping</w:t>
      </w:r>
      <w:proofErr w:type="spellEnd"/>
      <w:r>
        <w:rPr>
          <w:rFonts w:eastAsia="Palatino Linotype"/>
          <w:bCs/>
          <w:color w:val="5B9BD5"/>
          <w:kern w:val="2"/>
          <w:sz w:val="28"/>
          <w:szCs w:val="28"/>
          <w:lang w:val="es-ES"/>
        </w:rPr>
        <w:t xml:space="preserve"> </w:t>
      </w:r>
      <w:proofErr w:type="spellStart"/>
      <w:r>
        <w:rPr>
          <w:rFonts w:eastAsia="Palatino Linotype"/>
          <w:bCs/>
          <w:color w:val="5B9BD5"/>
          <w:kern w:val="2"/>
          <w:sz w:val="28"/>
          <w:szCs w:val="28"/>
          <w:lang w:val="es-ES"/>
        </w:rPr>
        <w:t>details</w:t>
      </w:r>
      <w:proofErr w:type="spellEnd"/>
      <w:r>
        <w:rPr>
          <w:rFonts w:eastAsia="Palatino Linotype"/>
          <w:bCs/>
          <w:color w:val="5B9BD5"/>
          <w:kern w:val="2"/>
          <w:sz w:val="28"/>
          <w:szCs w:val="28"/>
          <w:lang w:val="es-ES"/>
        </w:rPr>
        <w:t xml:space="preserve"> </w:t>
      </w:r>
      <w:proofErr w:type="spellStart"/>
      <w:r>
        <w:rPr>
          <w:rFonts w:eastAsia="Palatino Linotype"/>
          <w:bCs/>
          <w:color w:val="5B9BD5"/>
          <w:kern w:val="2"/>
          <w:sz w:val="28"/>
          <w:szCs w:val="28"/>
          <w:lang w:val="es-ES"/>
        </w:rPr>
        <w:t>form</w:t>
      </w:r>
      <w:proofErr w:type="spellEnd"/>
      <w:r>
        <w:rPr>
          <w:rFonts w:eastAsia="Palatino Linotype"/>
          <w:bCs/>
          <w:color w:val="5B9BD5"/>
          <w:kern w:val="2"/>
          <w:sz w:val="28"/>
          <w:szCs w:val="28"/>
          <w:lang w:val="es-ES"/>
        </w:rPr>
        <w:t xml:space="preserve"> (REQUIRED)</w:t>
      </w:r>
    </w:p>
    <w:p w14:paraId="5F98CBFE" w14:textId="77777777" w:rsidR="00E255F4" w:rsidRDefault="00E255F4">
      <w:pPr>
        <w:spacing w:line="240" w:lineRule="auto"/>
        <w:jc w:val="center"/>
        <w:rPr>
          <w:rFonts w:eastAsia="Palatino Linotype"/>
          <w:bCs/>
          <w:color w:val="5B9BD5"/>
          <w:kern w:val="2"/>
          <w:sz w:val="28"/>
          <w:szCs w:val="28"/>
          <w:lang w:val="es-ES"/>
        </w:rPr>
      </w:pPr>
    </w:p>
    <w:bookmarkStart w:id="90" w:name="_1830934014"/>
    <w:bookmarkEnd w:id="90"/>
    <w:p w14:paraId="03D6B135" w14:textId="77777777" w:rsidR="00E255F4" w:rsidRDefault="00000000">
      <w:pPr>
        <w:spacing w:line="240" w:lineRule="auto"/>
        <w:jc w:val="center"/>
        <w:rPr>
          <w:lang w:val="es-ES"/>
        </w:rPr>
      </w:pPr>
      <w:r>
        <w:rPr>
          <w:lang w:val="es-ES"/>
        </w:rPr>
        <w:object w:dxaOrig="1311" w:dyaOrig="834" w14:anchorId="3CF94981">
          <v:shape id="ole_rId22" o:spid="_x0000_i1029" style="width:76.8pt;height:49.8pt" coordsize="" o:spt="100" adj="0,,0" path="" stroked="f">
            <v:stroke joinstyle="miter"/>
            <v:imagedata r:id="rId30" o:title=""/>
            <v:formulas/>
            <v:path o:connecttype="segments"/>
          </v:shape>
          <o:OLEObject Type="Embed" ProgID="Word.Document.12" ShapeID="ole_rId22" DrawAspect="Icon" ObjectID="_1838902122" r:id="rId31"/>
        </w:object>
      </w:r>
    </w:p>
    <w:p w14:paraId="5E59013D" w14:textId="77777777" w:rsidR="00E255F4" w:rsidRDefault="00E255F4">
      <w:pPr>
        <w:pStyle w:val="Ttulo1"/>
        <w:numPr>
          <w:ilvl w:val="0"/>
          <w:numId w:val="0"/>
        </w:numPr>
        <w:spacing w:before="0" w:after="0"/>
        <w:ind w:left="720" w:hanging="720"/>
        <w:jc w:val="center"/>
        <w:rPr>
          <w:rFonts w:ascii="Times New Roman" w:eastAsia="Palatino Linotype" w:hAnsi="Times New Roman" w:cs="Times New Roman"/>
          <w:b w:val="0"/>
          <w:color w:val="548DD4"/>
          <w:sz w:val="28"/>
          <w:szCs w:val="24"/>
        </w:rPr>
      </w:pPr>
    </w:p>
    <w:p w14:paraId="179169D6" w14:textId="77777777" w:rsidR="00E255F4" w:rsidRDefault="00E255F4">
      <w:pPr>
        <w:pStyle w:val="Ttulo1"/>
        <w:numPr>
          <w:ilvl w:val="0"/>
          <w:numId w:val="0"/>
        </w:numPr>
        <w:spacing w:before="0" w:after="0"/>
        <w:ind w:left="720" w:hanging="720"/>
        <w:jc w:val="center"/>
        <w:rPr>
          <w:rFonts w:ascii="Times New Roman" w:eastAsia="Palatino Linotype" w:hAnsi="Times New Roman" w:cs="Times New Roman"/>
          <w:b w:val="0"/>
          <w:color w:val="548DD4"/>
          <w:sz w:val="28"/>
          <w:szCs w:val="24"/>
        </w:rPr>
      </w:pPr>
    </w:p>
    <w:p w14:paraId="40960711" w14:textId="77777777" w:rsidR="00E255F4" w:rsidRDefault="00E255F4">
      <w:pPr>
        <w:pStyle w:val="Ttulo1"/>
        <w:numPr>
          <w:ilvl w:val="0"/>
          <w:numId w:val="0"/>
        </w:numPr>
        <w:spacing w:before="0" w:after="0"/>
        <w:ind w:left="720" w:hanging="720"/>
        <w:jc w:val="center"/>
        <w:rPr>
          <w:rFonts w:ascii="Times New Roman" w:eastAsia="Palatino Linotype" w:hAnsi="Times New Roman" w:cs="Times New Roman"/>
          <w:b w:val="0"/>
          <w:color w:val="548DD4"/>
          <w:sz w:val="28"/>
          <w:szCs w:val="24"/>
        </w:rPr>
      </w:pPr>
    </w:p>
    <w:p w14:paraId="5699E639" w14:textId="77777777" w:rsidR="00E255F4" w:rsidRDefault="00E255F4">
      <w:pPr>
        <w:pStyle w:val="Ttulo1"/>
        <w:numPr>
          <w:ilvl w:val="0"/>
          <w:numId w:val="0"/>
        </w:numPr>
        <w:spacing w:before="0" w:after="0"/>
        <w:ind w:left="720" w:hanging="720"/>
        <w:jc w:val="center"/>
        <w:rPr>
          <w:rFonts w:ascii="Times New Roman" w:eastAsia="Palatino Linotype" w:hAnsi="Times New Roman" w:cs="Times New Roman"/>
          <w:b w:val="0"/>
          <w:color w:val="548DD4"/>
          <w:sz w:val="28"/>
          <w:szCs w:val="24"/>
        </w:rPr>
      </w:pPr>
    </w:p>
    <w:p w14:paraId="69220ABF" w14:textId="77777777" w:rsidR="00E255F4" w:rsidRDefault="00E255F4">
      <w:pPr>
        <w:pStyle w:val="Ttulo1"/>
        <w:numPr>
          <w:ilvl w:val="0"/>
          <w:numId w:val="0"/>
        </w:numPr>
        <w:spacing w:before="0" w:after="0"/>
        <w:ind w:left="720" w:hanging="720"/>
        <w:jc w:val="center"/>
        <w:rPr>
          <w:rFonts w:ascii="Times New Roman" w:eastAsia="Palatino Linotype" w:hAnsi="Times New Roman" w:cs="Times New Roman"/>
          <w:b w:val="0"/>
          <w:color w:val="548DD4"/>
          <w:sz w:val="28"/>
          <w:szCs w:val="24"/>
        </w:rPr>
      </w:pPr>
    </w:p>
    <w:p w14:paraId="5A032CC2" w14:textId="77777777" w:rsidR="00E255F4" w:rsidRDefault="00E255F4">
      <w:pPr>
        <w:pStyle w:val="Ttulo1"/>
        <w:numPr>
          <w:ilvl w:val="0"/>
          <w:numId w:val="0"/>
        </w:numPr>
        <w:spacing w:before="0" w:after="0"/>
        <w:ind w:left="720" w:hanging="720"/>
        <w:jc w:val="center"/>
        <w:rPr>
          <w:rFonts w:ascii="Times New Roman" w:eastAsia="Palatino Linotype" w:hAnsi="Times New Roman" w:cs="Times New Roman"/>
          <w:b w:val="0"/>
          <w:color w:val="548DD4"/>
          <w:sz w:val="28"/>
          <w:szCs w:val="24"/>
        </w:rPr>
      </w:pPr>
    </w:p>
    <w:p w14:paraId="46D8F37B" w14:textId="77777777" w:rsidR="00E255F4" w:rsidRDefault="00E255F4">
      <w:pPr>
        <w:pStyle w:val="Ttulo1"/>
        <w:numPr>
          <w:ilvl w:val="0"/>
          <w:numId w:val="0"/>
        </w:numPr>
        <w:spacing w:before="0" w:after="0"/>
        <w:ind w:left="720" w:hanging="720"/>
        <w:jc w:val="center"/>
        <w:rPr>
          <w:rFonts w:ascii="Times New Roman" w:eastAsia="Palatino Linotype" w:hAnsi="Times New Roman" w:cs="Times New Roman"/>
          <w:b w:val="0"/>
          <w:color w:val="548DD4"/>
          <w:sz w:val="28"/>
          <w:szCs w:val="24"/>
        </w:rPr>
      </w:pPr>
    </w:p>
    <w:p w14:paraId="0C0189D5" w14:textId="77777777" w:rsidR="00E255F4" w:rsidRDefault="00E255F4">
      <w:pPr>
        <w:pStyle w:val="Ttulo1"/>
        <w:numPr>
          <w:ilvl w:val="0"/>
          <w:numId w:val="0"/>
        </w:numPr>
        <w:spacing w:before="0" w:after="0"/>
        <w:ind w:left="720" w:hanging="720"/>
        <w:jc w:val="center"/>
        <w:rPr>
          <w:rFonts w:ascii="Times New Roman" w:eastAsia="Palatino Linotype" w:hAnsi="Times New Roman" w:cs="Times New Roman"/>
          <w:b w:val="0"/>
          <w:color w:val="548DD4"/>
          <w:sz w:val="28"/>
          <w:szCs w:val="24"/>
        </w:rPr>
      </w:pPr>
    </w:p>
    <w:p w14:paraId="3211632E" w14:textId="77777777" w:rsidR="00E255F4" w:rsidRDefault="00E255F4">
      <w:pPr>
        <w:pStyle w:val="Ttulo1"/>
        <w:numPr>
          <w:ilvl w:val="0"/>
          <w:numId w:val="0"/>
        </w:numPr>
        <w:spacing w:before="0" w:after="0"/>
        <w:ind w:left="720" w:hanging="720"/>
        <w:jc w:val="center"/>
        <w:rPr>
          <w:rFonts w:ascii="Times New Roman" w:eastAsia="Palatino Linotype" w:hAnsi="Times New Roman" w:cs="Times New Roman"/>
          <w:b w:val="0"/>
          <w:color w:val="548DD4"/>
          <w:sz w:val="28"/>
          <w:szCs w:val="24"/>
        </w:rPr>
      </w:pPr>
    </w:p>
    <w:p w14:paraId="6016BB65" w14:textId="77777777" w:rsidR="00E255F4" w:rsidRDefault="00E255F4">
      <w:pPr>
        <w:pStyle w:val="Ttulo1"/>
        <w:numPr>
          <w:ilvl w:val="0"/>
          <w:numId w:val="0"/>
        </w:numPr>
        <w:spacing w:before="0" w:after="0"/>
        <w:ind w:left="720" w:hanging="720"/>
        <w:jc w:val="center"/>
        <w:rPr>
          <w:rFonts w:ascii="Times New Roman" w:eastAsia="Palatino Linotype" w:hAnsi="Times New Roman" w:cs="Times New Roman"/>
          <w:b w:val="0"/>
          <w:color w:val="548DD4"/>
          <w:sz w:val="28"/>
          <w:szCs w:val="24"/>
        </w:rPr>
      </w:pPr>
    </w:p>
    <w:p w14:paraId="631FE9CE" w14:textId="77777777" w:rsidR="00E255F4" w:rsidRDefault="00E255F4">
      <w:pPr>
        <w:pStyle w:val="Ttulo1"/>
        <w:numPr>
          <w:ilvl w:val="0"/>
          <w:numId w:val="0"/>
        </w:numPr>
        <w:spacing w:before="0" w:after="0"/>
        <w:ind w:left="720" w:hanging="720"/>
        <w:jc w:val="center"/>
        <w:rPr>
          <w:rFonts w:ascii="Times New Roman" w:eastAsia="Palatino Linotype" w:hAnsi="Times New Roman" w:cs="Times New Roman"/>
          <w:b w:val="0"/>
          <w:color w:val="548DD4"/>
          <w:sz w:val="28"/>
          <w:szCs w:val="24"/>
        </w:rPr>
      </w:pPr>
    </w:p>
    <w:p w14:paraId="5A59750D" w14:textId="77777777" w:rsidR="00E255F4" w:rsidRDefault="00E255F4">
      <w:pPr>
        <w:pStyle w:val="Ttulo1"/>
        <w:numPr>
          <w:ilvl w:val="0"/>
          <w:numId w:val="0"/>
        </w:numPr>
        <w:spacing w:before="0" w:after="0"/>
        <w:ind w:left="720" w:hanging="720"/>
        <w:jc w:val="center"/>
        <w:rPr>
          <w:rFonts w:ascii="Times New Roman" w:eastAsia="Palatino Linotype" w:hAnsi="Times New Roman" w:cs="Times New Roman"/>
          <w:b w:val="0"/>
          <w:color w:val="548DD4"/>
          <w:sz w:val="28"/>
          <w:szCs w:val="24"/>
        </w:rPr>
      </w:pPr>
    </w:p>
    <w:p w14:paraId="34EC5F2C" w14:textId="77777777" w:rsidR="00E255F4" w:rsidRDefault="00E255F4">
      <w:pPr>
        <w:pStyle w:val="Ttulo1"/>
        <w:numPr>
          <w:ilvl w:val="0"/>
          <w:numId w:val="0"/>
        </w:numPr>
        <w:spacing w:before="0" w:after="0"/>
        <w:ind w:left="720" w:hanging="720"/>
        <w:jc w:val="center"/>
        <w:rPr>
          <w:rFonts w:ascii="Times New Roman" w:eastAsia="Palatino Linotype" w:hAnsi="Times New Roman" w:cs="Times New Roman"/>
          <w:b w:val="0"/>
          <w:color w:val="548DD4"/>
          <w:sz w:val="28"/>
          <w:szCs w:val="24"/>
        </w:rPr>
      </w:pPr>
    </w:p>
    <w:p w14:paraId="6B0BE097" w14:textId="77777777" w:rsidR="00E255F4" w:rsidRDefault="00E255F4">
      <w:pPr>
        <w:pStyle w:val="Ttulo1"/>
        <w:numPr>
          <w:ilvl w:val="0"/>
          <w:numId w:val="0"/>
        </w:numPr>
        <w:spacing w:before="0" w:after="0"/>
        <w:ind w:left="720" w:hanging="720"/>
        <w:jc w:val="center"/>
        <w:rPr>
          <w:rFonts w:ascii="Times New Roman" w:eastAsia="Palatino Linotype" w:hAnsi="Times New Roman" w:cs="Times New Roman"/>
          <w:b w:val="0"/>
          <w:color w:val="548DD4"/>
          <w:sz w:val="28"/>
          <w:szCs w:val="24"/>
        </w:rPr>
      </w:pPr>
    </w:p>
    <w:p w14:paraId="41B3F73E" w14:textId="77777777" w:rsidR="00E255F4" w:rsidRDefault="00E255F4">
      <w:pPr>
        <w:pStyle w:val="Ttulo1"/>
        <w:numPr>
          <w:ilvl w:val="0"/>
          <w:numId w:val="0"/>
        </w:numPr>
        <w:spacing w:before="0" w:after="0"/>
        <w:ind w:left="720" w:hanging="720"/>
        <w:jc w:val="center"/>
        <w:rPr>
          <w:rFonts w:ascii="Times New Roman" w:eastAsia="Palatino Linotype" w:hAnsi="Times New Roman" w:cs="Times New Roman"/>
          <w:b w:val="0"/>
          <w:color w:val="548DD4"/>
          <w:sz w:val="28"/>
          <w:szCs w:val="24"/>
        </w:rPr>
      </w:pPr>
    </w:p>
    <w:p w14:paraId="3020DF10" w14:textId="77777777" w:rsidR="00E255F4" w:rsidRDefault="00E255F4">
      <w:pPr>
        <w:rPr>
          <w:rFonts w:eastAsia="Palatino Linotype"/>
          <w:b/>
          <w:color w:val="548DD4"/>
          <w:sz w:val="28"/>
          <w:szCs w:val="24"/>
          <w:lang w:val="en-US"/>
        </w:rPr>
      </w:pPr>
    </w:p>
    <w:p w14:paraId="781A44F9" w14:textId="77777777" w:rsidR="00E255F4" w:rsidRDefault="00E255F4">
      <w:pPr>
        <w:rPr>
          <w:rFonts w:eastAsia="Palatino Linotype"/>
          <w:lang w:val="en-US"/>
        </w:rPr>
      </w:pPr>
    </w:p>
    <w:p w14:paraId="22D4EE55" w14:textId="77777777" w:rsidR="00E255F4" w:rsidRDefault="00E255F4">
      <w:pPr>
        <w:rPr>
          <w:rFonts w:eastAsia="Palatino Linotype"/>
          <w:lang w:val="en-US"/>
        </w:rPr>
      </w:pPr>
    </w:p>
    <w:p w14:paraId="5DC7FFAE" w14:textId="77777777" w:rsidR="00E255F4" w:rsidRDefault="00E255F4">
      <w:pPr>
        <w:rPr>
          <w:rFonts w:eastAsia="Palatino Linotype"/>
          <w:lang w:val="en-US"/>
        </w:rPr>
      </w:pPr>
    </w:p>
    <w:p w14:paraId="5CA89704" w14:textId="77777777" w:rsidR="00E255F4" w:rsidRDefault="00E255F4">
      <w:pPr>
        <w:rPr>
          <w:rFonts w:eastAsia="Palatino Linotype"/>
          <w:lang w:val="en-US"/>
        </w:rPr>
      </w:pPr>
    </w:p>
    <w:p w14:paraId="4AB6685E" w14:textId="77777777" w:rsidR="00E255F4" w:rsidRDefault="00E255F4">
      <w:pPr>
        <w:rPr>
          <w:rFonts w:eastAsia="Palatino Linotype"/>
          <w:lang w:val="en-US"/>
        </w:rPr>
      </w:pPr>
    </w:p>
    <w:p w14:paraId="52CEB7E9" w14:textId="77777777" w:rsidR="00E255F4" w:rsidRDefault="00E255F4">
      <w:pPr>
        <w:rPr>
          <w:rFonts w:eastAsia="Palatino Linotype"/>
          <w:lang w:val="en-US"/>
        </w:rPr>
      </w:pPr>
    </w:p>
    <w:p w14:paraId="5F7256B6" w14:textId="77777777" w:rsidR="00E255F4" w:rsidRDefault="00E255F4">
      <w:pPr>
        <w:rPr>
          <w:rFonts w:eastAsia="Palatino Linotype"/>
          <w:lang w:val="en-US"/>
        </w:rPr>
      </w:pPr>
    </w:p>
    <w:p w14:paraId="407561A1" w14:textId="77777777" w:rsidR="00E255F4" w:rsidRDefault="00E255F4">
      <w:pPr>
        <w:rPr>
          <w:rFonts w:eastAsia="Palatino Linotype"/>
          <w:lang w:val="en-US"/>
        </w:rPr>
      </w:pPr>
    </w:p>
    <w:p w14:paraId="722F2B56" w14:textId="77777777" w:rsidR="00E255F4" w:rsidRDefault="00E255F4">
      <w:pPr>
        <w:rPr>
          <w:rFonts w:eastAsia="Palatino Linotype"/>
          <w:lang w:val="en-US"/>
        </w:rPr>
      </w:pPr>
    </w:p>
    <w:p w14:paraId="169E77E2" w14:textId="77777777" w:rsidR="00E255F4" w:rsidRDefault="00E255F4">
      <w:pPr>
        <w:rPr>
          <w:rFonts w:eastAsia="Palatino Linotype"/>
          <w:lang w:val="en-US"/>
        </w:rPr>
      </w:pPr>
    </w:p>
    <w:p w14:paraId="5869D378" w14:textId="77777777" w:rsidR="00E255F4" w:rsidRDefault="00E255F4">
      <w:pPr>
        <w:rPr>
          <w:rFonts w:eastAsia="Palatino Linotype"/>
          <w:lang w:val="en-US"/>
        </w:rPr>
      </w:pPr>
    </w:p>
    <w:p w14:paraId="6EE28F89" w14:textId="77777777" w:rsidR="00E255F4" w:rsidRDefault="00E255F4">
      <w:pPr>
        <w:rPr>
          <w:rFonts w:eastAsia="Palatino Linotype"/>
          <w:lang w:val="en-US"/>
        </w:rPr>
      </w:pPr>
    </w:p>
    <w:p w14:paraId="04A97F06" w14:textId="77777777" w:rsidR="00E255F4" w:rsidRDefault="00E255F4">
      <w:pPr>
        <w:pStyle w:val="Ttulo1"/>
        <w:numPr>
          <w:ilvl w:val="0"/>
          <w:numId w:val="0"/>
        </w:numPr>
        <w:spacing w:before="0" w:after="0"/>
        <w:ind w:left="720" w:hanging="720"/>
        <w:jc w:val="center"/>
        <w:rPr>
          <w:rFonts w:ascii="Times New Roman" w:eastAsia="Palatino Linotype" w:hAnsi="Times New Roman" w:cs="Times New Roman"/>
          <w:b w:val="0"/>
          <w:color w:val="548DD4"/>
          <w:sz w:val="28"/>
          <w:szCs w:val="24"/>
        </w:rPr>
      </w:pPr>
    </w:p>
    <w:p w14:paraId="757AAD38" w14:textId="77777777" w:rsidR="00E255F4" w:rsidRDefault="00E255F4">
      <w:pPr>
        <w:rPr>
          <w:rFonts w:eastAsia="Palatino Linotype"/>
          <w:b/>
          <w:color w:val="548DD4"/>
          <w:sz w:val="28"/>
          <w:szCs w:val="24"/>
          <w:lang w:val="en-US"/>
        </w:rPr>
      </w:pPr>
    </w:p>
    <w:p w14:paraId="7E542557" w14:textId="77777777" w:rsidR="00E255F4" w:rsidRDefault="00E255F4">
      <w:pPr>
        <w:rPr>
          <w:rFonts w:eastAsia="Palatino Linotype"/>
          <w:lang w:val="en-US"/>
        </w:rPr>
      </w:pPr>
    </w:p>
    <w:p w14:paraId="7D297F4D" w14:textId="77777777" w:rsidR="00E255F4" w:rsidRDefault="00E255F4">
      <w:pPr>
        <w:rPr>
          <w:rFonts w:eastAsia="Palatino Linotype"/>
          <w:lang w:val="en-US"/>
        </w:rPr>
      </w:pPr>
    </w:p>
    <w:p w14:paraId="3C05A130" w14:textId="77777777" w:rsidR="00E255F4" w:rsidRDefault="00E255F4">
      <w:pPr>
        <w:rPr>
          <w:rFonts w:eastAsia="Palatino Linotype"/>
          <w:lang w:val="en-US"/>
        </w:rPr>
      </w:pPr>
    </w:p>
    <w:p w14:paraId="3F057DC9" w14:textId="77777777" w:rsidR="00E255F4" w:rsidRDefault="00E255F4">
      <w:pPr>
        <w:rPr>
          <w:rFonts w:eastAsia="Palatino Linotype"/>
          <w:lang w:val="en-US"/>
        </w:rPr>
      </w:pPr>
    </w:p>
    <w:p w14:paraId="50B76F92" w14:textId="77777777" w:rsidR="00E255F4" w:rsidRDefault="00E255F4">
      <w:pPr>
        <w:pStyle w:val="Ttulo1"/>
        <w:numPr>
          <w:ilvl w:val="0"/>
          <w:numId w:val="0"/>
        </w:numPr>
        <w:spacing w:before="0" w:after="0"/>
        <w:ind w:left="720" w:hanging="720"/>
        <w:jc w:val="center"/>
        <w:rPr>
          <w:rFonts w:ascii="Times New Roman" w:eastAsia="Palatino Linotype" w:hAnsi="Times New Roman" w:cs="Times New Roman"/>
          <w:b w:val="0"/>
          <w:color w:val="548DD4"/>
          <w:sz w:val="28"/>
          <w:szCs w:val="24"/>
        </w:rPr>
      </w:pPr>
    </w:p>
    <w:p w14:paraId="28400EEE" w14:textId="77777777" w:rsidR="00E255F4" w:rsidRDefault="00000000">
      <w:pPr>
        <w:pStyle w:val="Ttulo1"/>
        <w:numPr>
          <w:ilvl w:val="0"/>
          <w:numId w:val="0"/>
        </w:numPr>
        <w:spacing w:before="0" w:after="0"/>
        <w:ind w:left="720" w:hanging="720"/>
        <w:jc w:val="center"/>
        <w:rPr>
          <w:rFonts w:ascii="Times New Roman" w:eastAsia="Palatino Linotype" w:hAnsi="Times New Roman" w:cs="Times New Roman"/>
          <w:b w:val="0"/>
          <w:color w:val="548DD4"/>
          <w:sz w:val="28"/>
          <w:szCs w:val="24"/>
        </w:rPr>
      </w:pPr>
      <w:bookmarkStart w:id="91" w:name="__RefHeading___Toc225377257"/>
      <w:bookmarkEnd w:id="91"/>
      <w:r>
        <w:rPr>
          <w:rFonts w:ascii="Times New Roman" w:eastAsia="Palatino Linotype" w:hAnsi="Times New Roman" w:cs="Times New Roman"/>
          <w:b w:val="0"/>
          <w:color w:val="548DD4"/>
          <w:sz w:val="28"/>
          <w:szCs w:val="24"/>
        </w:rPr>
        <w:t>ANNEX VI</w:t>
      </w:r>
    </w:p>
    <w:p w14:paraId="3C89809A" w14:textId="77777777" w:rsidR="00E255F4" w:rsidRDefault="00000000">
      <w:pPr>
        <w:pStyle w:val="Ttulo1"/>
        <w:numPr>
          <w:ilvl w:val="0"/>
          <w:numId w:val="0"/>
        </w:numPr>
        <w:spacing w:before="0" w:after="0"/>
        <w:jc w:val="center"/>
      </w:pPr>
      <w:bookmarkStart w:id="92" w:name="__RefHeading___Toc225377258"/>
      <w:bookmarkEnd w:id="92"/>
      <w:r>
        <w:rPr>
          <w:rFonts w:ascii="Times New Roman" w:hAnsi="Times New Roman" w:cs="Times New Roman"/>
          <w:b w:val="0"/>
          <w:color w:val="0070C0"/>
          <w:sz w:val="28"/>
        </w:rPr>
        <w:t>Forms Art. 9.1 a) I) 1. Section II</w:t>
      </w:r>
    </w:p>
    <w:p w14:paraId="02175A02" w14:textId="77777777" w:rsidR="00E255F4" w:rsidRDefault="00E255F4">
      <w:pPr>
        <w:rPr>
          <w:b/>
          <w:color w:val="0070C0"/>
          <w:sz w:val="28"/>
          <w:lang w:val="es-ES"/>
        </w:rPr>
      </w:pPr>
    </w:p>
    <w:p w14:paraId="54E4ABD5" w14:textId="77777777" w:rsidR="00E255F4" w:rsidRDefault="00000000">
      <w:pPr>
        <w:pStyle w:val="Ttulo1"/>
        <w:numPr>
          <w:ilvl w:val="0"/>
          <w:numId w:val="0"/>
        </w:numPr>
        <w:spacing w:before="0" w:after="0"/>
        <w:jc w:val="center"/>
        <w:rPr>
          <w:rFonts w:ascii="Times New Roman" w:hAnsi="Times New Roman" w:cs="Times New Roman"/>
          <w:b w:val="0"/>
          <w:color w:val="0070C0"/>
          <w:sz w:val="28"/>
          <w:lang w:val="es-ES"/>
        </w:rPr>
      </w:pPr>
      <w:bookmarkStart w:id="93" w:name="__RefHeading___Toc225377259"/>
      <w:bookmarkEnd w:id="93"/>
      <w:proofErr w:type="spellStart"/>
      <w:r>
        <w:rPr>
          <w:rFonts w:ascii="Times New Roman" w:hAnsi="Times New Roman" w:cs="Times New Roman"/>
          <w:b w:val="0"/>
          <w:color w:val="0070C0"/>
          <w:sz w:val="28"/>
          <w:lang w:val="es-ES"/>
        </w:rPr>
        <w:t>Bidder's</w:t>
      </w:r>
      <w:proofErr w:type="spellEnd"/>
      <w:r>
        <w:rPr>
          <w:rFonts w:ascii="Times New Roman" w:hAnsi="Times New Roman" w:cs="Times New Roman"/>
          <w:b w:val="0"/>
          <w:color w:val="0070C0"/>
          <w:sz w:val="28"/>
          <w:lang w:val="es-ES"/>
        </w:rPr>
        <w:t xml:space="preserve"> </w:t>
      </w:r>
      <w:proofErr w:type="spellStart"/>
      <w:r>
        <w:rPr>
          <w:rFonts w:ascii="Times New Roman" w:hAnsi="Times New Roman" w:cs="Times New Roman"/>
          <w:b w:val="0"/>
          <w:color w:val="0070C0"/>
          <w:sz w:val="28"/>
          <w:lang w:val="es-ES"/>
        </w:rPr>
        <w:t>experience</w:t>
      </w:r>
      <w:proofErr w:type="spellEnd"/>
    </w:p>
    <w:p w14:paraId="63A0F18E" w14:textId="77777777" w:rsidR="00E255F4" w:rsidRDefault="00E255F4">
      <w:pPr>
        <w:jc w:val="both"/>
        <w:rPr>
          <w:b/>
          <w:color w:val="0070C0"/>
          <w:sz w:val="22"/>
          <w:szCs w:val="22"/>
          <w:lang w:val="es-ES"/>
        </w:rPr>
      </w:pPr>
    </w:p>
    <w:p w14:paraId="305FCA00" w14:textId="77777777" w:rsidR="00E255F4" w:rsidRDefault="00000000">
      <w:pPr>
        <w:jc w:val="both"/>
        <w:rPr>
          <w:strike/>
          <w:sz w:val="22"/>
          <w:szCs w:val="22"/>
          <w:lang w:val="es-ES"/>
        </w:rPr>
      </w:pPr>
      <w:r>
        <w:rPr>
          <w:sz w:val="22"/>
          <w:szCs w:val="22"/>
          <w:lang w:val="es-ES"/>
        </w:rPr>
        <w:t xml:space="preserve">The </w:t>
      </w:r>
      <w:proofErr w:type="spellStart"/>
      <w:r>
        <w:rPr>
          <w:sz w:val="22"/>
          <w:szCs w:val="22"/>
          <w:lang w:val="es-ES"/>
        </w:rPr>
        <w:t>bidder</w:t>
      </w:r>
      <w:proofErr w:type="spellEnd"/>
      <w:r>
        <w:rPr>
          <w:sz w:val="22"/>
          <w:szCs w:val="22"/>
          <w:lang w:val="es-ES"/>
        </w:rPr>
        <w:t xml:space="preserve"> </w:t>
      </w:r>
      <w:proofErr w:type="spellStart"/>
      <w:r>
        <w:rPr>
          <w:sz w:val="22"/>
          <w:szCs w:val="22"/>
          <w:lang w:val="es-ES"/>
        </w:rPr>
        <w:t>must</w:t>
      </w:r>
      <w:proofErr w:type="spellEnd"/>
      <w:r>
        <w:rPr>
          <w:sz w:val="22"/>
          <w:szCs w:val="22"/>
          <w:lang w:val="es-ES"/>
        </w:rPr>
        <w:t xml:space="preserve"> </w:t>
      </w:r>
      <w:proofErr w:type="spellStart"/>
      <w:r>
        <w:rPr>
          <w:sz w:val="22"/>
          <w:szCs w:val="22"/>
          <w:lang w:val="es-ES"/>
        </w:rPr>
        <w:t>provide</w:t>
      </w:r>
      <w:proofErr w:type="spellEnd"/>
      <w:r>
        <w:rPr>
          <w:sz w:val="22"/>
          <w:szCs w:val="22"/>
          <w:lang w:val="es-ES"/>
        </w:rPr>
        <w:t xml:space="preserve"> </w:t>
      </w:r>
      <w:proofErr w:type="spellStart"/>
      <w:r>
        <w:rPr>
          <w:sz w:val="22"/>
          <w:szCs w:val="22"/>
          <w:lang w:val="es-ES"/>
        </w:rPr>
        <w:t>all</w:t>
      </w:r>
      <w:proofErr w:type="spellEnd"/>
      <w:r>
        <w:rPr>
          <w:sz w:val="22"/>
          <w:szCs w:val="22"/>
          <w:lang w:val="es-ES"/>
        </w:rPr>
        <w:t xml:space="preserve"> </w:t>
      </w:r>
      <w:proofErr w:type="spellStart"/>
      <w:r>
        <w:rPr>
          <w:sz w:val="22"/>
          <w:szCs w:val="22"/>
          <w:lang w:val="es-ES"/>
        </w:rPr>
        <w:t>the</w:t>
      </w:r>
      <w:proofErr w:type="spellEnd"/>
      <w:r>
        <w:rPr>
          <w:sz w:val="22"/>
          <w:szCs w:val="22"/>
          <w:lang w:val="es-ES"/>
        </w:rPr>
        <w:t xml:space="preserve"> </w:t>
      </w:r>
      <w:proofErr w:type="spellStart"/>
      <w:r>
        <w:rPr>
          <w:sz w:val="22"/>
          <w:szCs w:val="22"/>
          <w:lang w:val="es-ES"/>
        </w:rPr>
        <w:t>information</w:t>
      </w:r>
      <w:proofErr w:type="spellEnd"/>
      <w:r>
        <w:rPr>
          <w:sz w:val="22"/>
          <w:szCs w:val="22"/>
          <w:lang w:val="es-ES"/>
        </w:rPr>
        <w:t xml:space="preserve"> </w:t>
      </w:r>
      <w:proofErr w:type="spellStart"/>
      <w:r>
        <w:rPr>
          <w:sz w:val="22"/>
          <w:szCs w:val="22"/>
          <w:lang w:val="es-ES"/>
        </w:rPr>
        <w:t>requested</w:t>
      </w:r>
      <w:proofErr w:type="spellEnd"/>
      <w:r>
        <w:rPr>
          <w:sz w:val="22"/>
          <w:szCs w:val="22"/>
          <w:lang w:val="es-ES"/>
        </w:rPr>
        <w:t xml:space="preserve"> in </w:t>
      </w:r>
      <w:proofErr w:type="spellStart"/>
      <w:r>
        <w:rPr>
          <w:sz w:val="22"/>
          <w:szCs w:val="22"/>
          <w:lang w:val="es-ES"/>
        </w:rPr>
        <w:t>the</w:t>
      </w:r>
      <w:proofErr w:type="spellEnd"/>
      <w:r>
        <w:rPr>
          <w:sz w:val="22"/>
          <w:szCs w:val="22"/>
          <w:lang w:val="es-ES"/>
        </w:rPr>
        <w:t xml:space="preserve"> table </w:t>
      </w:r>
      <w:proofErr w:type="spellStart"/>
      <w:r>
        <w:rPr>
          <w:sz w:val="22"/>
          <w:szCs w:val="22"/>
          <w:lang w:val="es-ES"/>
        </w:rPr>
        <w:t>below</w:t>
      </w:r>
      <w:proofErr w:type="spellEnd"/>
      <w:r>
        <w:rPr>
          <w:sz w:val="22"/>
          <w:szCs w:val="22"/>
          <w:lang w:val="es-ES"/>
        </w:rPr>
        <w:t>:</w:t>
      </w:r>
    </w:p>
    <w:p w14:paraId="65D52DAD" w14:textId="77777777" w:rsidR="00E255F4" w:rsidRDefault="00E255F4">
      <w:pPr>
        <w:jc w:val="both"/>
        <w:rPr>
          <w:strike/>
          <w:sz w:val="22"/>
          <w:szCs w:val="22"/>
          <w:lang w:val="es-ES"/>
        </w:rPr>
      </w:pPr>
    </w:p>
    <w:tbl>
      <w:tblPr>
        <w:tblW w:w="10007" w:type="dxa"/>
        <w:jc w:val="center"/>
        <w:tblLayout w:type="fixed"/>
        <w:tblCellMar>
          <w:left w:w="28" w:type="dxa"/>
          <w:right w:w="28" w:type="dxa"/>
        </w:tblCellMar>
        <w:tblLook w:val="04A0" w:firstRow="1" w:lastRow="0" w:firstColumn="1" w:lastColumn="0" w:noHBand="0" w:noVBand="1"/>
      </w:tblPr>
      <w:tblGrid>
        <w:gridCol w:w="1610"/>
        <w:gridCol w:w="3519"/>
        <w:gridCol w:w="1418"/>
        <w:gridCol w:w="1725"/>
        <w:gridCol w:w="1735"/>
      </w:tblGrid>
      <w:tr w:rsidR="00E255F4" w14:paraId="71D2C493" w14:textId="77777777">
        <w:trPr>
          <w:cantSplit/>
          <w:trHeight w:val="619"/>
          <w:tblHeader/>
          <w:jc w:val="center"/>
        </w:trPr>
        <w:tc>
          <w:tcPr>
            <w:tcW w:w="1610" w:type="dxa"/>
            <w:tcBorders>
              <w:top w:val="single" w:sz="4" w:space="0" w:color="000000"/>
              <w:left w:val="single" w:sz="4" w:space="0" w:color="000000"/>
              <w:bottom w:val="single" w:sz="4" w:space="0" w:color="000000"/>
              <w:right w:val="single" w:sz="4" w:space="0" w:color="000000"/>
            </w:tcBorders>
            <w:vAlign w:val="center"/>
          </w:tcPr>
          <w:p w14:paraId="3E463138" w14:textId="77777777" w:rsidR="00E255F4" w:rsidRDefault="00000000">
            <w:pPr>
              <w:spacing w:line="240" w:lineRule="auto"/>
              <w:jc w:val="center"/>
            </w:pPr>
            <w:proofErr w:type="spellStart"/>
            <w:r>
              <w:rPr>
                <w:spacing w:val="-2"/>
                <w:sz w:val="22"/>
                <w:lang w:val="es-ES"/>
              </w:rPr>
              <w:t>Contract</w:t>
            </w:r>
            <w:proofErr w:type="spellEnd"/>
            <w:r>
              <w:rPr>
                <w:spacing w:val="-2"/>
                <w:sz w:val="22"/>
                <w:lang w:val="es-ES"/>
              </w:rPr>
              <w:t xml:space="preserve"> No.</w:t>
            </w:r>
          </w:p>
        </w:tc>
        <w:tc>
          <w:tcPr>
            <w:tcW w:w="3519"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5DB1659" w14:textId="77777777" w:rsidR="00E255F4" w:rsidRDefault="00000000">
            <w:pPr>
              <w:spacing w:line="240" w:lineRule="auto"/>
              <w:jc w:val="center"/>
              <w:rPr>
                <w:spacing w:val="-2"/>
                <w:sz w:val="22"/>
                <w:lang w:val="es-ES"/>
              </w:rPr>
            </w:pPr>
            <w:proofErr w:type="spellStart"/>
            <w:r>
              <w:rPr>
                <w:spacing w:val="-2"/>
                <w:sz w:val="22"/>
                <w:lang w:val="es-ES"/>
              </w:rPr>
              <w:t>Contract</w:t>
            </w:r>
            <w:proofErr w:type="spellEnd"/>
            <w:r>
              <w:rPr>
                <w:spacing w:val="-2"/>
                <w:sz w:val="22"/>
                <w:lang w:val="es-ES"/>
              </w:rPr>
              <w:t xml:space="preserve"> </w:t>
            </w:r>
            <w:proofErr w:type="spellStart"/>
            <w:r>
              <w:rPr>
                <w:spacing w:val="-2"/>
                <w:sz w:val="22"/>
                <w:lang w:val="es-ES"/>
              </w:rPr>
              <w:t>Identification</w:t>
            </w:r>
            <w:proofErr w:type="spellEnd"/>
          </w:p>
        </w:tc>
        <w:tc>
          <w:tcPr>
            <w:tcW w:w="1418" w:type="dxa"/>
            <w:tcBorders>
              <w:top w:val="single" w:sz="4" w:space="0" w:color="000000"/>
              <w:left w:val="single" w:sz="4" w:space="0" w:color="000000"/>
              <w:bottom w:val="single" w:sz="4" w:space="0" w:color="000000"/>
              <w:right w:val="single" w:sz="4" w:space="0" w:color="000000"/>
            </w:tcBorders>
            <w:vAlign w:val="center"/>
          </w:tcPr>
          <w:p w14:paraId="60F5287A" w14:textId="77777777" w:rsidR="00E255F4" w:rsidRDefault="00000000">
            <w:pPr>
              <w:spacing w:line="240" w:lineRule="auto"/>
              <w:jc w:val="center"/>
              <w:rPr>
                <w:spacing w:val="-2"/>
                <w:sz w:val="22"/>
                <w:lang w:val="es-ES"/>
              </w:rPr>
            </w:pPr>
            <w:r>
              <w:rPr>
                <w:spacing w:val="-2"/>
                <w:sz w:val="22"/>
                <w:lang w:val="es-ES"/>
              </w:rPr>
              <w:t xml:space="preserve">Date </w:t>
            </w:r>
            <w:proofErr w:type="spellStart"/>
            <w:r>
              <w:rPr>
                <w:spacing w:val="-2"/>
                <w:sz w:val="22"/>
                <w:lang w:val="es-ES"/>
              </w:rPr>
              <w:t>of</w:t>
            </w:r>
            <w:proofErr w:type="spellEnd"/>
            <w:r>
              <w:rPr>
                <w:spacing w:val="-2"/>
                <w:sz w:val="22"/>
                <w:lang w:val="es-ES"/>
              </w:rPr>
              <w:t xml:space="preserve"> </w:t>
            </w:r>
            <w:proofErr w:type="spellStart"/>
            <w:r>
              <w:rPr>
                <w:spacing w:val="-2"/>
                <w:sz w:val="22"/>
                <w:lang w:val="es-ES"/>
              </w:rPr>
              <w:t>completion</w:t>
            </w:r>
            <w:proofErr w:type="spellEnd"/>
          </w:p>
        </w:tc>
        <w:tc>
          <w:tcPr>
            <w:tcW w:w="1725"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81EA97C" w14:textId="77777777" w:rsidR="00E255F4" w:rsidRDefault="00000000">
            <w:pPr>
              <w:spacing w:line="240" w:lineRule="auto"/>
              <w:jc w:val="center"/>
              <w:rPr>
                <w:spacing w:val="-2"/>
                <w:sz w:val="22"/>
                <w:lang w:val="es-ES"/>
              </w:rPr>
            </w:pPr>
            <w:proofErr w:type="spellStart"/>
            <w:r>
              <w:rPr>
                <w:spacing w:val="-2"/>
                <w:sz w:val="22"/>
                <w:lang w:val="es-ES"/>
              </w:rPr>
              <w:t>Amount</w:t>
            </w:r>
            <w:proofErr w:type="spellEnd"/>
          </w:p>
        </w:tc>
        <w:tc>
          <w:tcPr>
            <w:tcW w:w="1735"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B58D9BC" w14:textId="77777777" w:rsidR="00E255F4" w:rsidRDefault="00E255F4">
            <w:pPr>
              <w:snapToGrid w:val="0"/>
              <w:spacing w:line="240" w:lineRule="auto"/>
              <w:rPr>
                <w:spacing w:val="-2"/>
                <w:sz w:val="22"/>
                <w:lang w:val="es-ES"/>
              </w:rPr>
            </w:pPr>
          </w:p>
          <w:p w14:paraId="6AA5B30C" w14:textId="77777777" w:rsidR="00E255F4" w:rsidRDefault="00000000">
            <w:pPr>
              <w:spacing w:line="240" w:lineRule="auto"/>
              <w:jc w:val="center"/>
              <w:rPr>
                <w:spacing w:val="-2"/>
                <w:sz w:val="22"/>
                <w:lang w:val="es-ES"/>
              </w:rPr>
            </w:pPr>
            <w:proofErr w:type="spellStart"/>
            <w:r>
              <w:rPr>
                <w:spacing w:val="-2"/>
                <w:sz w:val="22"/>
                <w:lang w:val="es-ES"/>
              </w:rPr>
              <w:t>Currency</w:t>
            </w:r>
            <w:proofErr w:type="spellEnd"/>
          </w:p>
        </w:tc>
      </w:tr>
      <w:tr w:rsidR="00E255F4" w14:paraId="490A0344" w14:textId="77777777">
        <w:trPr>
          <w:cantSplit/>
          <w:jc w:val="center"/>
        </w:trPr>
        <w:tc>
          <w:tcPr>
            <w:tcW w:w="16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DCC26DA" w14:textId="77777777" w:rsidR="00E255F4" w:rsidRDefault="00000000">
            <w:pPr>
              <w:spacing w:before="120" w:after="120" w:line="240" w:lineRule="auto"/>
              <w:jc w:val="center"/>
              <w:rPr>
                <w:spacing w:val="-2"/>
                <w:lang w:val="es-ES"/>
              </w:rPr>
            </w:pPr>
            <w:r>
              <w:rPr>
                <w:spacing w:val="-2"/>
                <w:lang w:val="es-ES"/>
              </w:rPr>
              <w:t>1</w:t>
            </w:r>
          </w:p>
        </w:tc>
        <w:tc>
          <w:tcPr>
            <w:tcW w:w="351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BFB3EF4" w14:textId="77777777" w:rsidR="00E255F4" w:rsidRDefault="00000000">
            <w:pPr>
              <w:spacing w:before="120" w:after="120" w:line="240" w:lineRule="auto"/>
            </w:pPr>
            <w:proofErr w:type="spellStart"/>
            <w:r>
              <w:rPr>
                <w:spacing w:val="-2"/>
                <w:sz w:val="22"/>
                <w:lang w:val="es-ES"/>
              </w:rPr>
              <w:t>Contract</w:t>
            </w:r>
            <w:proofErr w:type="spellEnd"/>
            <w:r>
              <w:rPr>
                <w:spacing w:val="-2"/>
                <w:sz w:val="22"/>
                <w:lang w:val="es-ES"/>
              </w:rPr>
              <w:t xml:space="preserve"> Name and </w:t>
            </w:r>
            <w:proofErr w:type="spellStart"/>
            <w:r>
              <w:rPr>
                <w:spacing w:val="-2"/>
                <w:sz w:val="22"/>
                <w:lang w:val="es-ES"/>
              </w:rPr>
              <w:t>Identification</w:t>
            </w:r>
            <w:proofErr w:type="spellEnd"/>
            <w:r>
              <w:rPr>
                <w:spacing w:val="-2"/>
                <w:sz w:val="22"/>
                <w:lang w:val="es-ES"/>
              </w:rPr>
              <w:t>:</w:t>
            </w:r>
          </w:p>
          <w:p w14:paraId="50AAF49A" w14:textId="77777777" w:rsidR="00E255F4" w:rsidRDefault="00000000">
            <w:pPr>
              <w:spacing w:before="120" w:after="120" w:line="240" w:lineRule="auto"/>
              <w:rPr>
                <w:spacing w:val="-2"/>
                <w:sz w:val="22"/>
                <w:lang w:val="es-ES"/>
              </w:rPr>
            </w:pPr>
            <w:proofErr w:type="spellStart"/>
            <w:r>
              <w:rPr>
                <w:spacing w:val="-2"/>
                <w:sz w:val="22"/>
                <w:lang w:val="es-ES"/>
              </w:rPr>
              <w:t>Contracting</w:t>
            </w:r>
            <w:proofErr w:type="spellEnd"/>
            <w:r>
              <w:rPr>
                <w:spacing w:val="-2"/>
                <w:sz w:val="22"/>
                <w:lang w:val="es-ES"/>
              </w:rPr>
              <w:t xml:space="preserve"> Party Name:</w:t>
            </w:r>
          </w:p>
          <w:p w14:paraId="4976893E" w14:textId="77777777" w:rsidR="00E255F4" w:rsidRDefault="00000000">
            <w:pPr>
              <w:spacing w:before="120" w:after="120" w:line="240" w:lineRule="auto"/>
              <w:rPr>
                <w:spacing w:val="-2"/>
                <w:sz w:val="4"/>
                <w:lang w:val="es-ES"/>
              </w:rPr>
            </w:pPr>
            <w:proofErr w:type="spellStart"/>
            <w:r>
              <w:rPr>
                <w:spacing w:val="-2"/>
                <w:sz w:val="22"/>
                <w:lang w:val="es-ES"/>
              </w:rPr>
              <w:t>Description</w:t>
            </w:r>
            <w:proofErr w:type="spellEnd"/>
            <w:r>
              <w:rPr>
                <w:spacing w:val="-2"/>
                <w:sz w:val="22"/>
                <w:lang w:val="es-ES"/>
              </w:rPr>
              <w:t xml:space="preserve"> </w:t>
            </w:r>
            <w:proofErr w:type="spellStart"/>
            <w:r>
              <w:rPr>
                <w:spacing w:val="-2"/>
                <w:sz w:val="22"/>
                <w:lang w:val="es-ES"/>
              </w:rPr>
              <w:t>of</w:t>
            </w:r>
            <w:proofErr w:type="spellEnd"/>
            <w:r>
              <w:rPr>
                <w:spacing w:val="-2"/>
                <w:sz w:val="22"/>
                <w:lang w:val="es-ES"/>
              </w:rPr>
              <w:t xml:space="preserve"> </w:t>
            </w:r>
            <w:proofErr w:type="spellStart"/>
            <w:r>
              <w:rPr>
                <w:spacing w:val="-2"/>
                <w:sz w:val="22"/>
                <w:lang w:val="es-ES"/>
              </w:rPr>
              <w:t>the</w:t>
            </w:r>
            <w:proofErr w:type="spellEnd"/>
            <w:r>
              <w:rPr>
                <w:spacing w:val="-2"/>
                <w:sz w:val="22"/>
                <w:lang w:val="es-ES"/>
              </w:rPr>
              <w:t xml:space="preserve"> </w:t>
            </w:r>
            <w:proofErr w:type="spellStart"/>
            <w:r>
              <w:rPr>
                <w:spacing w:val="-2"/>
                <w:sz w:val="22"/>
                <w:lang w:val="es-ES"/>
              </w:rPr>
              <w:t>supply</w:t>
            </w:r>
            <w:proofErr w:type="spellEnd"/>
            <w:r>
              <w:rPr>
                <w:spacing w:val="-2"/>
                <w:sz w:val="22"/>
                <w:lang w:val="es-ES"/>
              </w:rPr>
              <w:t xml:space="preserve"> </w:t>
            </w:r>
            <w:proofErr w:type="spellStart"/>
            <w:r>
              <w:rPr>
                <w:spacing w:val="-2"/>
                <w:sz w:val="22"/>
                <w:lang w:val="es-ES"/>
              </w:rPr>
              <w:t>provided</w:t>
            </w:r>
            <w:proofErr w:type="spellEnd"/>
            <w:r>
              <w:rPr>
                <w:spacing w:val="-2"/>
                <w:sz w:val="22"/>
                <w:lang w:val="es-ES"/>
              </w:rPr>
              <w:t xml:space="preserve"> </w:t>
            </w:r>
            <w:proofErr w:type="spellStart"/>
            <w:r>
              <w:rPr>
                <w:spacing w:val="-2"/>
                <w:sz w:val="22"/>
                <w:lang w:val="es-ES"/>
              </w:rPr>
              <w:t>by</w:t>
            </w:r>
            <w:proofErr w:type="spellEnd"/>
            <w:r>
              <w:rPr>
                <w:spacing w:val="-2"/>
                <w:sz w:val="22"/>
                <w:lang w:val="es-ES"/>
              </w:rPr>
              <w:t xml:space="preserve"> </w:t>
            </w:r>
            <w:proofErr w:type="spellStart"/>
            <w:r>
              <w:rPr>
                <w:spacing w:val="-2"/>
                <w:sz w:val="22"/>
                <w:lang w:val="es-ES"/>
              </w:rPr>
              <w:t>the</w:t>
            </w:r>
            <w:proofErr w:type="spellEnd"/>
            <w:r>
              <w:rPr>
                <w:spacing w:val="-2"/>
                <w:sz w:val="22"/>
                <w:lang w:val="es-ES"/>
              </w:rPr>
              <w:t xml:space="preserve"> </w:t>
            </w:r>
            <w:proofErr w:type="spellStart"/>
            <w:r>
              <w:rPr>
                <w:spacing w:val="-2"/>
                <w:sz w:val="22"/>
                <w:lang w:val="es-ES"/>
              </w:rPr>
              <w:t>supplier</w:t>
            </w:r>
            <w:proofErr w:type="spellEnd"/>
            <w:r>
              <w:rPr>
                <w:spacing w:val="-2"/>
                <w:sz w:val="22"/>
                <w:lang w:val="es-ES"/>
              </w:rPr>
              <w:t>:</w:t>
            </w:r>
            <w:r>
              <w:rPr>
                <w:spacing w:val="-2"/>
                <w:sz w:val="22"/>
                <w:lang w:val="es-ES"/>
              </w:rPr>
              <w:br/>
            </w:r>
          </w:p>
          <w:p w14:paraId="637BEC6F" w14:textId="77777777" w:rsidR="00E255F4" w:rsidRDefault="00000000">
            <w:pPr>
              <w:spacing w:before="120" w:after="120" w:line="240" w:lineRule="auto"/>
              <w:rPr>
                <w:spacing w:val="-2"/>
                <w:lang w:val="es-ES"/>
              </w:rPr>
            </w:pPr>
            <w:proofErr w:type="spellStart"/>
            <w:r>
              <w:rPr>
                <w:spacing w:val="-2"/>
                <w:sz w:val="22"/>
                <w:lang w:val="es-ES"/>
              </w:rPr>
              <w:t>Address</w:t>
            </w:r>
            <w:proofErr w:type="spellEnd"/>
            <w:r>
              <w:rPr>
                <w:spacing w:val="-2"/>
                <w:sz w:val="22"/>
                <w:lang w:val="es-ES"/>
              </w:rPr>
              <w:t>/</w:t>
            </w:r>
            <w:proofErr w:type="spellStart"/>
            <w:r>
              <w:rPr>
                <w:spacing w:val="-2"/>
                <w:sz w:val="22"/>
                <w:lang w:val="es-ES"/>
              </w:rPr>
              <w:t>phone</w:t>
            </w:r>
            <w:proofErr w:type="spellEnd"/>
            <w:r>
              <w:rPr>
                <w:spacing w:val="-2"/>
                <w:sz w:val="22"/>
                <w:lang w:val="es-ES"/>
              </w:rPr>
              <w:t xml:space="preserve"> and email </w:t>
            </w:r>
            <w:proofErr w:type="spellStart"/>
            <w:r>
              <w:rPr>
                <w:spacing w:val="-2"/>
                <w:sz w:val="22"/>
                <w:lang w:val="es-ES"/>
              </w:rPr>
              <w:t>of</w:t>
            </w:r>
            <w:proofErr w:type="spellEnd"/>
            <w:r>
              <w:rPr>
                <w:spacing w:val="-2"/>
                <w:sz w:val="22"/>
                <w:lang w:val="es-ES"/>
              </w:rPr>
              <w:t xml:space="preserve"> </w:t>
            </w:r>
            <w:proofErr w:type="spellStart"/>
            <w:r>
              <w:rPr>
                <w:spacing w:val="-2"/>
                <w:sz w:val="22"/>
                <w:lang w:val="es-ES"/>
              </w:rPr>
              <w:t>the</w:t>
            </w:r>
            <w:proofErr w:type="spellEnd"/>
            <w:r>
              <w:rPr>
                <w:spacing w:val="-2"/>
                <w:sz w:val="22"/>
                <w:lang w:val="es-ES"/>
              </w:rPr>
              <w:t xml:space="preserve"> Contractor:</w:t>
            </w:r>
          </w:p>
        </w:tc>
        <w:tc>
          <w:tcPr>
            <w:tcW w:w="141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42A4128" w14:textId="77777777" w:rsidR="00E255F4" w:rsidRDefault="00E255F4">
            <w:pPr>
              <w:snapToGrid w:val="0"/>
              <w:rPr>
                <w:spacing w:val="-2"/>
                <w:lang w:val="es-ES"/>
              </w:rPr>
            </w:pPr>
          </w:p>
          <w:p w14:paraId="0412656A" w14:textId="77777777" w:rsidR="00E255F4" w:rsidRDefault="00E255F4">
            <w:pPr>
              <w:rPr>
                <w:spacing w:val="-2"/>
                <w:lang w:val="es-ES"/>
              </w:rPr>
            </w:pPr>
          </w:p>
        </w:tc>
        <w:tc>
          <w:tcPr>
            <w:tcW w:w="1725"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0C94ABB" w14:textId="77777777" w:rsidR="00E255F4" w:rsidRDefault="00E255F4">
            <w:pPr>
              <w:snapToGrid w:val="0"/>
              <w:rPr>
                <w:spacing w:val="-2"/>
                <w:lang w:val="es-ES"/>
              </w:rPr>
            </w:pPr>
          </w:p>
        </w:tc>
        <w:tc>
          <w:tcPr>
            <w:tcW w:w="1735"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544BCC0" w14:textId="77777777" w:rsidR="00E255F4" w:rsidRDefault="00E255F4">
            <w:pPr>
              <w:snapToGrid w:val="0"/>
              <w:rPr>
                <w:spacing w:val="-2"/>
                <w:lang w:val="es-ES"/>
              </w:rPr>
            </w:pPr>
          </w:p>
        </w:tc>
      </w:tr>
      <w:tr w:rsidR="00E255F4" w14:paraId="6EE56BA2" w14:textId="77777777">
        <w:trPr>
          <w:cantSplit/>
          <w:jc w:val="center"/>
        </w:trPr>
        <w:tc>
          <w:tcPr>
            <w:tcW w:w="16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02C28AA" w14:textId="77777777" w:rsidR="00E255F4" w:rsidRDefault="00000000">
            <w:pPr>
              <w:spacing w:before="120" w:after="120" w:line="240" w:lineRule="auto"/>
              <w:jc w:val="center"/>
              <w:rPr>
                <w:spacing w:val="-2"/>
                <w:lang w:val="es-ES"/>
              </w:rPr>
            </w:pPr>
            <w:r>
              <w:rPr>
                <w:spacing w:val="-2"/>
                <w:lang w:val="es-ES"/>
              </w:rPr>
              <w:t>2</w:t>
            </w:r>
          </w:p>
        </w:tc>
        <w:tc>
          <w:tcPr>
            <w:tcW w:w="351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920B6E1" w14:textId="77777777" w:rsidR="00E255F4" w:rsidRDefault="00000000">
            <w:pPr>
              <w:spacing w:before="120" w:after="120" w:line="240" w:lineRule="auto"/>
            </w:pPr>
            <w:proofErr w:type="spellStart"/>
            <w:r>
              <w:rPr>
                <w:spacing w:val="-2"/>
                <w:sz w:val="22"/>
                <w:lang w:val="es-ES"/>
              </w:rPr>
              <w:t>Contract</w:t>
            </w:r>
            <w:proofErr w:type="spellEnd"/>
            <w:r>
              <w:rPr>
                <w:spacing w:val="-2"/>
                <w:sz w:val="22"/>
                <w:lang w:val="es-ES"/>
              </w:rPr>
              <w:t xml:space="preserve"> Name and </w:t>
            </w:r>
            <w:proofErr w:type="spellStart"/>
            <w:r>
              <w:rPr>
                <w:spacing w:val="-2"/>
                <w:sz w:val="22"/>
                <w:lang w:val="es-ES"/>
              </w:rPr>
              <w:t>Identification</w:t>
            </w:r>
            <w:proofErr w:type="spellEnd"/>
            <w:r>
              <w:rPr>
                <w:spacing w:val="-2"/>
                <w:sz w:val="22"/>
                <w:lang w:val="es-ES"/>
              </w:rPr>
              <w:t>:</w:t>
            </w:r>
          </w:p>
          <w:p w14:paraId="5714CD9F" w14:textId="77777777" w:rsidR="00E255F4" w:rsidRDefault="00000000">
            <w:pPr>
              <w:spacing w:before="120" w:after="120" w:line="240" w:lineRule="auto"/>
              <w:rPr>
                <w:spacing w:val="-2"/>
                <w:sz w:val="22"/>
                <w:lang w:val="es-ES"/>
              </w:rPr>
            </w:pPr>
            <w:proofErr w:type="spellStart"/>
            <w:r>
              <w:rPr>
                <w:spacing w:val="-2"/>
                <w:sz w:val="22"/>
                <w:lang w:val="es-ES"/>
              </w:rPr>
              <w:t>Contracting</w:t>
            </w:r>
            <w:proofErr w:type="spellEnd"/>
            <w:r>
              <w:rPr>
                <w:spacing w:val="-2"/>
                <w:sz w:val="22"/>
                <w:lang w:val="es-ES"/>
              </w:rPr>
              <w:t xml:space="preserve"> Party Name:</w:t>
            </w:r>
          </w:p>
          <w:p w14:paraId="54213E94" w14:textId="77777777" w:rsidR="00E255F4" w:rsidRDefault="00000000">
            <w:pPr>
              <w:spacing w:before="120" w:after="120" w:line="240" w:lineRule="auto"/>
              <w:rPr>
                <w:spacing w:val="-2"/>
                <w:sz w:val="4"/>
                <w:lang w:val="es-ES"/>
              </w:rPr>
            </w:pPr>
            <w:proofErr w:type="spellStart"/>
            <w:r>
              <w:rPr>
                <w:spacing w:val="-2"/>
                <w:sz w:val="22"/>
                <w:lang w:val="es-ES"/>
              </w:rPr>
              <w:t>Description</w:t>
            </w:r>
            <w:proofErr w:type="spellEnd"/>
            <w:r>
              <w:rPr>
                <w:spacing w:val="-2"/>
                <w:sz w:val="22"/>
                <w:lang w:val="es-ES"/>
              </w:rPr>
              <w:t xml:space="preserve"> </w:t>
            </w:r>
            <w:proofErr w:type="spellStart"/>
            <w:r>
              <w:rPr>
                <w:spacing w:val="-2"/>
                <w:sz w:val="22"/>
                <w:lang w:val="es-ES"/>
              </w:rPr>
              <w:t>of</w:t>
            </w:r>
            <w:proofErr w:type="spellEnd"/>
            <w:r>
              <w:rPr>
                <w:spacing w:val="-2"/>
                <w:sz w:val="22"/>
                <w:lang w:val="es-ES"/>
              </w:rPr>
              <w:t xml:space="preserve"> </w:t>
            </w:r>
            <w:proofErr w:type="spellStart"/>
            <w:r>
              <w:rPr>
                <w:spacing w:val="-2"/>
                <w:sz w:val="22"/>
                <w:lang w:val="es-ES"/>
              </w:rPr>
              <w:t>the</w:t>
            </w:r>
            <w:proofErr w:type="spellEnd"/>
            <w:r>
              <w:rPr>
                <w:spacing w:val="-2"/>
                <w:sz w:val="22"/>
                <w:lang w:val="es-ES"/>
              </w:rPr>
              <w:t xml:space="preserve"> </w:t>
            </w:r>
            <w:proofErr w:type="spellStart"/>
            <w:r>
              <w:rPr>
                <w:spacing w:val="-2"/>
                <w:sz w:val="22"/>
                <w:lang w:val="es-ES"/>
              </w:rPr>
              <w:t>supply</w:t>
            </w:r>
            <w:proofErr w:type="spellEnd"/>
            <w:r>
              <w:rPr>
                <w:spacing w:val="-2"/>
                <w:sz w:val="22"/>
                <w:lang w:val="es-ES"/>
              </w:rPr>
              <w:t xml:space="preserve"> </w:t>
            </w:r>
            <w:proofErr w:type="spellStart"/>
            <w:r>
              <w:rPr>
                <w:spacing w:val="-2"/>
                <w:sz w:val="22"/>
                <w:lang w:val="es-ES"/>
              </w:rPr>
              <w:t>provided</w:t>
            </w:r>
            <w:proofErr w:type="spellEnd"/>
            <w:r>
              <w:rPr>
                <w:spacing w:val="-2"/>
                <w:sz w:val="22"/>
                <w:lang w:val="es-ES"/>
              </w:rPr>
              <w:t xml:space="preserve"> </w:t>
            </w:r>
            <w:proofErr w:type="spellStart"/>
            <w:r>
              <w:rPr>
                <w:spacing w:val="-2"/>
                <w:sz w:val="22"/>
                <w:lang w:val="es-ES"/>
              </w:rPr>
              <w:t>by</w:t>
            </w:r>
            <w:proofErr w:type="spellEnd"/>
            <w:r>
              <w:rPr>
                <w:spacing w:val="-2"/>
                <w:sz w:val="22"/>
                <w:lang w:val="es-ES"/>
              </w:rPr>
              <w:t xml:space="preserve"> </w:t>
            </w:r>
            <w:proofErr w:type="spellStart"/>
            <w:r>
              <w:rPr>
                <w:spacing w:val="-2"/>
                <w:sz w:val="22"/>
                <w:lang w:val="es-ES"/>
              </w:rPr>
              <w:t>the</w:t>
            </w:r>
            <w:proofErr w:type="spellEnd"/>
            <w:r>
              <w:rPr>
                <w:spacing w:val="-2"/>
                <w:sz w:val="22"/>
                <w:lang w:val="es-ES"/>
              </w:rPr>
              <w:t xml:space="preserve"> </w:t>
            </w:r>
            <w:proofErr w:type="spellStart"/>
            <w:r>
              <w:rPr>
                <w:spacing w:val="-2"/>
                <w:sz w:val="22"/>
                <w:lang w:val="es-ES"/>
              </w:rPr>
              <w:t>supplier</w:t>
            </w:r>
            <w:proofErr w:type="spellEnd"/>
            <w:r>
              <w:rPr>
                <w:spacing w:val="-2"/>
                <w:sz w:val="22"/>
                <w:lang w:val="es-ES"/>
              </w:rPr>
              <w:t>:</w:t>
            </w:r>
            <w:r>
              <w:rPr>
                <w:spacing w:val="-2"/>
                <w:sz w:val="22"/>
                <w:lang w:val="es-ES"/>
              </w:rPr>
              <w:br/>
            </w:r>
          </w:p>
          <w:p w14:paraId="1A6A8A3C" w14:textId="77777777" w:rsidR="00E255F4" w:rsidRDefault="00000000">
            <w:pPr>
              <w:spacing w:before="120" w:after="120" w:line="240" w:lineRule="auto"/>
            </w:pPr>
            <w:proofErr w:type="spellStart"/>
            <w:r>
              <w:rPr>
                <w:spacing w:val="-2"/>
                <w:sz w:val="22"/>
                <w:lang w:val="es-ES"/>
              </w:rPr>
              <w:t>Address</w:t>
            </w:r>
            <w:proofErr w:type="spellEnd"/>
            <w:r>
              <w:rPr>
                <w:spacing w:val="-2"/>
                <w:sz w:val="22"/>
                <w:lang w:val="es-ES"/>
              </w:rPr>
              <w:t>/</w:t>
            </w:r>
            <w:proofErr w:type="spellStart"/>
            <w:r>
              <w:rPr>
                <w:spacing w:val="-2"/>
                <w:sz w:val="22"/>
                <w:lang w:val="es-ES"/>
              </w:rPr>
              <w:t>phone</w:t>
            </w:r>
            <w:proofErr w:type="spellEnd"/>
            <w:r>
              <w:rPr>
                <w:spacing w:val="-2"/>
                <w:sz w:val="22"/>
                <w:lang w:val="es-ES"/>
              </w:rPr>
              <w:t xml:space="preserve"> and email </w:t>
            </w:r>
            <w:proofErr w:type="spellStart"/>
            <w:r>
              <w:rPr>
                <w:spacing w:val="-2"/>
                <w:sz w:val="22"/>
                <w:lang w:val="es-ES"/>
              </w:rPr>
              <w:t>of</w:t>
            </w:r>
            <w:proofErr w:type="spellEnd"/>
            <w:r>
              <w:rPr>
                <w:spacing w:val="-2"/>
                <w:sz w:val="22"/>
                <w:lang w:val="es-ES"/>
              </w:rPr>
              <w:t xml:space="preserve"> </w:t>
            </w:r>
            <w:proofErr w:type="spellStart"/>
            <w:r>
              <w:rPr>
                <w:spacing w:val="-2"/>
                <w:sz w:val="22"/>
                <w:lang w:val="es-ES"/>
              </w:rPr>
              <w:t>the</w:t>
            </w:r>
            <w:proofErr w:type="spellEnd"/>
            <w:r>
              <w:rPr>
                <w:spacing w:val="-2"/>
                <w:sz w:val="22"/>
                <w:lang w:val="es-ES"/>
              </w:rPr>
              <w:t xml:space="preserve"> Contractor:</w:t>
            </w:r>
          </w:p>
        </w:tc>
        <w:tc>
          <w:tcPr>
            <w:tcW w:w="141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445EACE" w14:textId="77777777" w:rsidR="00E255F4" w:rsidRDefault="00E255F4">
            <w:pPr>
              <w:snapToGrid w:val="0"/>
              <w:rPr>
                <w:spacing w:val="-2"/>
                <w:sz w:val="22"/>
                <w:lang w:val="es-ES"/>
              </w:rPr>
            </w:pPr>
          </w:p>
        </w:tc>
        <w:tc>
          <w:tcPr>
            <w:tcW w:w="1725"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94D8D7F" w14:textId="77777777" w:rsidR="00E255F4" w:rsidRDefault="00E255F4">
            <w:pPr>
              <w:snapToGrid w:val="0"/>
              <w:rPr>
                <w:spacing w:val="-2"/>
                <w:lang w:val="es-ES"/>
              </w:rPr>
            </w:pPr>
          </w:p>
        </w:tc>
        <w:tc>
          <w:tcPr>
            <w:tcW w:w="1735"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F39FE80" w14:textId="77777777" w:rsidR="00E255F4" w:rsidRDefault="00E255F4">
            <w:pPr>
              <w:snapToGrid w:val="0"/>
              <w:rPr>
                <w:spacing w:val="-2"/>
                <w:lang w:val="es-ES"/>
              </w:rPr>
            </w:pPr>
          </w:p>
        </w:tc>
      </w:tr>
      <w:tr w:rsidR="00E255F4" w14:paraId="342CA396" w14:textId="77777777">
        <w:trPr>
          <w:cantSplit/>
          <w:jc w:val="center"/>
        </w:trPr>
        <w:tc>
          <w:tcPr>
            <w:tcW w:w="16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25F1EDC" w14:textId="77777777" w:rsidR="00E255F4" w:rsidRDefault="00000000">
            <w:pPr>
              <w:spacing w:before="120" w:after="120" w:line="240" w:lineRule="auto"/>
              <w:jc w:val="center"/>
              <w:rPr>
                <w:spacing w:val="-2"/>
                <w:lang w:val="es-ES"/>
              </w:rPr>
            </w:pPr>
            <w:r>
              <w:rPr>
                <w:spacing w:val="-2"/>
                <w:lang w:val="es-ES"/>
              </w:rPr>
              <w:t>n</w:t>
            </w:r>
          </w:p>
        </w:tc>
        <w:tc>
          <w:tcPr>
            <w:tcW w:w="351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62FC53F" w14:textId="77777777" w:rsidR="00E255F4" w:rsidRDefault="00000000">
            <w:pPr>
              <w:spacing w:before="120" w:after="120" w:line="240" w:lineRule="auto"/>
            </w:pPr>
            <w:proofErr w:type="spellStart"/>
            <w:r>
              <w:rPr>
                <w:spacing w:val="-2"/>
                <w:sz w:val="22"/>
                <w:lang w:val="es-ES"/>
              </w:rPr>
              <w:t>Contract</w:t>
            </w:r>
            <w:proofErr w:type="spellEnd"/>
            <w:r>
              <w:rPr>
                <w:spacing w:val="-2"/>
                <w:sz w:val="22"/>
                <w:lang w:val="es-ES"/>
              </w:rPr>
              <w:t xml:space="preserve"> Name and </w:t>
            </w:r>
            <w:proofErr w:type="spellStart"/>
            <w:r>
              <w:rPr>
                <w:spacing w:val="-2"/>
                <w:sz w:val="22"/>
                <w:lang w:val="es-ES"/>
              </w:rPr>
              <w:t>Identification</w:t>
            </w:r>
            <w:proofErr w:type="spellEnd"/>
            <w:r>
              <w:rPr>
                <w:spacing w:val="-2"/>
                <w:sz w:val="22"/>
                <w:lang w:val="es-ES"/>
              </w:rPr>
              <w:t>:</w:t>
            </w:r>
          </w:p>
          <w:p w14:paraId="31AEEE4F" w14:textId="77777777" w:rsidR="00E255F4" w:rsidRDefault="00000000">
            <w:pPr>
              <w:spacing w:before="120" w:after="120" w:line="240" w:lineRule="auto"/>
            </w:pPr>
            <w:proofErr w:type="spellStart"/>
            <w:r>
              <w:rPr>
                <w:spacing w:val="-2"/>
                <w:sz w:val="22"/>
                <w:lang w:val="es-ES"/>
              </w:rPr>
              <w:t>Contracting</w:t>
            </w:r>
            <w:proofErr w:type="spellEnd"/>
            <w:r>
              <w:rPr>
                <w:spacing w:val="-2"/>
                <w:sz w:val="22"/>
                <w:lang w:val="es-ES"/>
              </w:rPr>
              <w:t xml:space="preserve"> Party Name:</w:t>
            </w:r>
          </w:p>
          <w:p w14:paraId="1EF9202C" w14:textId="77777777" w:rsidR="00E255F4" w:rsidRDefault="00000000">
            <w:pPr>
              <w:spacing w:before="120" w:after="120" w:line="240" w:lineRule="auto"/>
              <w:rPr>
                <w:spacing w:val="-2"/>
                <w:sz w:val="4"/>
                <w:lang w:val="es-ES"/>
              </w:rPr>
            </w:pPr>
            <w:proofErr w:type="spellStart"/>
            <w:r>
              <w:rPr>
                <w:spacing w:val="-2"/>
                <w:sz w:val="22"/>
                <w:lang w:val="es-ES"/>
              </w:rPr>
              <w:t>Description</w:t>
            </w:r>
            <w:proofErr w:type="spellEnd"/>
            <w:r>
              <w:rPr>
                <w:spacing w:val="-2"/>
                <w:sz w:val="22"/>
                <w:lang w:val="es-ES"/>
              </w:rPr>
              <w:t xml:space="preserve"> </w:t>
            </w:r>
            <w:proofErr w:type="spellStart"/>
            <w:r>
              <w:rPr>
                <w:spacing w:val="-2"/>
                <w:sz w:val="22"/>
                <w:lang w:val="es-ES"/>
              </w:rPr>
              <w:t>of</w:t>
            </w:r>
            <w:proofErr w:type="spellEnd"/>
            <w:r>
              <w:rPr>
                <w:spacing w:val="-2"/>
                <w:sz w:val="22"/>
                <w:lang w:val="es-ES"/>
              </w:rPr>
              <w:t xml:space="preserve"> </w:t>
            </w:r>
            <w:proofErr w:type="spellStart"/>
            <w:r>
              <w:rPr>
                <w:spacing w:val="-2"/>
                <w:sz w:val="22"/>
                <w:lang w:val="es-ES"/>
              </w:rPr>
              <w:t>the</w:t>
            </w:r>
            <w:proofErr w:type="spellEnd"/>
            <w:r>
              <w:rPr>
                <w:spacing w:val="-2"/>
                <w:sz w:val="22"/>
                <w:lang w:val="es-ES"/>
              </w:rPr>
              <w:t xml:space="preserve"> </w:t>
            </w:r>
            <w:proofErr w:type="spellStart"/>
            <w:r>
              <w:rPr>
                <w:spacing w:val="-2"/>
                <w:sz w:val="22"/>
                <w:lang w:val="es-ES"/>
              </w:rPr>
              <w:t>supply</w:t>
            </w:r>
            <w:proofErr w:type="spellEnd"/>
            <w:r>
              <w:rPr>
                <w:spacing w:val="-2"/>
                <w:sz w:val="22"/>
                <w:lang w:val="es-ES"/>
              </w:rPr>
              <w:t xml:space="preserve"> </w:t>
            </w:r>
            <w:proofErr w:type="spellStart"/>
            <w:r>
              <w:rPr>
                <w:spacing w:val="-2"/>
                <w:sz w:val="22"/>
                <w:lang w:val="es-ES"/>
              </w:rPr>
              <w:t>provided</w:t>
            </w:r>
            <w:proofErr w:type="spellEnd"/>
            <w:r>
              <w:rPr>
                <w:spacing w:val="-2"/>
                <w:sz w:val="22"/>
                <w:lang w:val="es-ES"/>
              </w:rPr>
              <w:t xml:space="preserve"> </w:t>
            </w:r>
            <w:proofErr w:type="spellStart"/>
            <w:r>
              <w:rPr>
                <w:spacing w:val="-2"/>
                <w:sz w:val="22"/>
                <w:lang w:val="es-ES"/>
              </w:rPr>
              <w:t>by</w:t>
            </w:r>
            <w:proofErr w:type="spellEnd"/>
            <w:r>
              <w:rPr>
                <w:spacing w:val="-2"/>
                <w:sz w:val="22"/>
                <w:lang w:val="es-ES"/>
              </w:rPr>
              <w:t xml:space="preserve"> </w:t>
            </w:r>
            <w:proofErr w:type="spellStart"/>
            <w:r>
              <w:rPr>
                <w:spacing w:val="-2"/>
                <w:sz w:val="22"/>
                <w:lang w:val="es-ES"/>
              </w:rPr>
              <w:t>the</w:t>
            </w:r>
            <w:proofErr w:type="spellEnd"/>
            <w:r>
              <w:rPr>
                <w:spacing w:val="-2"/>
                <w:sz w:val="22"/>
                <w:lang w:val="es-ES"/>
              </w:rPr>
              <w:t xml:space="preserve"> </w:t>
            </w:r>
            <w:proofErr w:type="spellStart"/>
            <w:r>
              <w:rPr>
                <w:spacing w:val="-2"/>
                <w:sz w:val="22"/>
                <w:lang w:val="es-ES"/>
              </w:rPr>
              <w:t>supplier</w:t>
            </w:r>
            <w:proofErr w:type="spellEnd"/>
            <w:r>
              <w:rPr>
                <w:spacing w:val="-2"/>
                <w:sz w:val="22"/>
                <w:lang w:val="es-ES"/>
              </w:rPr>
              <w:t>:</w:t>
            </w:r>
            <w:r>
              <w:rPr>
                <w:spacing w:val="-2"/>
                <w:sz w:val="22"/>
                <w:lang w:val="es-ES"/>
              </w:rPr>
              <w:br/>
            </w:r>
          </w:p>
          <w:p w14:paraId="5653F8CC" w14:textId="77777777" w:rsidR="00E255F4" w:rsidRDefault="00000000">
            <w:pPr>
              <w:spacing w:before="120" w:after="120" w:line="240" w:lineRule="auto"/>
            </w:pPr>
            <w:proofErr w:type="spellStart"/>
            <w:r>
              <w:rPr>
                <w:spacing w:val="-2"/>
                <w:sz w:val="22"/>
                <w:lang w:val="es-ES"/>
              </w:rPr>
              <w:t>Address</w:t>
            </w:r>
            <w:proofErr w:type="spellEnd"/>
            <w:r>
              <w:rPr>
                <w:spacing w:val="-2"/>
                <w:sz w:val="22"/>
                <w:lang w:val="es-ES"/>
              </w:rPr>
              <w:t>/</w:t>
            </w:r>
            <w:proofErr w:type="spellStart"/>
            <w:r>
              <w:rPr>
                <w:spacing w:val="-2"/>
                <w:sz w:val="22"/>
                <w:lang w:val="es-ES"/>
              </w:rPr>
              <w:t>phone</w:t>
            </w:r>
            <w:proofErr w:type="spellEnd"/>
            <w:r>
              <w:rPr>
                <w:spacing w:val="-2"/>
                <w:sz w:val="22"/>
                <w:lang w:val="es-ES"/>
              </w:rPr>
              <w:t xml:space="preserve"> and email </w:t>
            </w:r>
            <w:proofErr w:type="spellStart"/>
            <w:r>
              <w:rPr>
                <w:spacing w:val="-2"/>
                <w:sz w:val="22"/>
                <w:lang w:val="es-ES"/>
              </w:rPr>
              <w:t>of</w:t>
            </w:r>
            <w:proofErr w:type="spellEnd"/>
            <w:r>
              <w:rPr>
                <w:spacing w:val="-2"/>
                <w:sz w:val="22"/>
                <w:lang w:val="es-ES"/>
              </w:rPr>
              <w:t xml:space="preserve"> </w:t>
            </w:r>
            <w:proofErr w:type="spellStart"/>
            <w:r>
              <w:rPr>
                <w:spacing w:val="-2"/>
                <w:sz w:val="22"/>
                <w:lang w:val="es-ES"/>
              </w:rPr>
              <w:t>the</w:t>
            </w:r>
            <w:proofErr w:type="spellEnd"/>
            <w:r>
              <w:rPr>
                <w:spacing w:val="-2"/>
                <w:sz w:val="22"/>
                <w:lang w:val="es-ES"/>
              </w:rPr>
              <w:t xml:space="preserve"> Contractor:</w:t>
            </w:r>
          </w:p>
        </w:tc>
        <w:tc>
          <w:tcPr>
            <w:tcW w:w="141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E7C8884" w14:textId="77777777" w:rsidR="00E255F4" w:rsidRDefault="00E255F4">
            <w:pPr>
              <w:snapToGrid w:val="0"/>
              <w:rPr>
                <w:spacing w:val="-2"/>
                <w:sz w:val="22"/>
                <w:lang w:val="es-ES"/>
              </w:rPr>
            </w:pPr>
          </w:p>
        </w:tc>
        <w:tc>
          <w:tcPr>
            <w:tcW w:w="1725"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A8E2B10" w14:textId="77777777" w:rsidR="00E255F4" w:rsidRDefault="00E255F4">
            <w:pPr>
              <w:snapToGrid w:val="0"/>
              <w:rPr>
                <w:spacing w:val="-2"/>
                <w:lang w:val="es-ES"/>
              </w:rPr>
            </w:pPr>
          </w:p>
        </w:tc>
        <w:tc>
          <w:tcPr>
            <w:tcW w:w="1735"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B16C912" w14:textId="77777777" w:rsidR="00E255F4" w:rsidRDefault="00E255F4">
            <w:pPr>
              <w:snapToGrid w:val="0"/>
              <w:rPr>
                <w:spacing w:val="-2"/>
                <w:lang w:val="es-ES"/>
              </w:rPr>
            </w:pPr>
          </w:p>
        </w:tc>
      </w:tr>
    </w:tbl>
    <w:p w14:paraId="2F8C88A3" w14:textId="77777777" w:rsidR="00E255F4" w:rsidRDefault="00E255F4">
      <w:pPr>
        <w:jc w:val="both"/>
        <w:rPr>
          <w:lang w:val="es-ES" w:eastAsia="es-ES"/>
        </w:rPr>
      </w:pPr>
    </w:p>
    <w:p w14:paraId="3D629235" w14:textId="77777777" w:rsidR="00E255F4" w:rsidRDefault="00000000">
      <w:pPr>
        <w:jc w:val="both"/>
        <w:rPr>
          <w:lang w:val="es-ES" w:eastAsia="es-ES"/>
        </w:rPr>
      </w:pPr>
      <w:r>
        <w:br w:type="page"/>
      </w:r>
    </w:p>
    <w:p w14:paraId="098FCF8D" w14:textId="77777777" w:rsidR="00E255F4" w:rsidRDefault="00000000">
      <w:pPr>
        <w:pStyle w:val="Ttulo1"/>
        <w:numPr>
          <w:ilvl w:val="0"/>
          <w:numId w:val="0"/>
        </w:numPr>
        <w:spacing w:before="0" w:after="0"/>
        <w:jc w:val="center"/>
        <w:rPr>
          <w:rFonts w:ascii="Times New Roman" w:hAnsi="Times New Roman" w:cs="Times New Roman"/>
          <w:b w:val="0"/>
          <w:color w:val="0070C0"/>
          <w:sz w:val="28"/>
        </w:rPr>
      </w:pPr>
      <w:bookmarkStart w:id="94" w:name="__RefHeading___Toc225377260"/>
      <w:bookmarkEnd w:id="94"/>
      <w:r>
        <w:rPr>
          <w:rFonts w:ascii="Times New Roman" w:eastAsia="Palatino Linotype" w:hAnsi="Times New Roman" w:cs="Times New Roman"/>
          <w:b w:val="0"/>
          <w:color w:val="548DD4"/>
          <w:sz w:val="28"/>
          <w:lang w:val="pt-BR"/>
        </w:rPr>
        <w:lastRenderedPageBreak/>
        <w:t>ANNEX VI</w:t>
      </w:r>
    </w:p>
    <w:p w14:paraId="6D1A14F5" w14:textId="77777777" w:rsidR="00E255F4" w:rsidRDefault="00000000">
      <w:pPr>
        <w:pStyle w:val="Ttulo1"/>
        <w:numPr>
          <w:ilvl w:val="0"/>
          <w:numId w:val="0"/>
        </w:numPr>
        <w:spacing w:before="0" w:after="0"/>
        <w:jc w:val="center"/>
      </w:pPr>
      <w:bookmarkStart w:id="95" w:name="__RefHeading___Toc225377261"/>
      <w:bookmarkEnd w:id="95"/>
      <w:r>
        <w:rPr>
          <w:rFonts w:ascii="Times New Roman" w:hAnsi="Times New Roman" w:cs="Times New Roman"/>
          <w:b w:val="0"/>
          <w:color w:val="0070C0"/>
          <w:sz w:val="28"/>
        </w:rPr>
        <w:t>Forms Art. 9.1 c) I) 3. Section II</w:t>
      </w:r>
    </w:p>
    <w:p w14:paraId="1CA2F8D0" w14:textId="77777777" w:rsidR="00E255F4" w:rsidRDefault="00E255F4">
      <w:pPr>
        <w:rPr>
          <w:b/>
          <w:color w:val="0070C0"/>
          <w:sz w:val="28"/>
          <w:lang w:val="es-ES"/>
        </w:rPr>
      </w:pPr>
    </w:p>
    <w:p w14:paraId="332FF624" w14:textId="77777777" w:rsidR="00E255F4" w:rsidRDefault="00000000">
      <w:pPr>
        <w:pStyle w:val="Ttulo1"/>
        <w:numPr>
          <w:ilvl w:val="0"/>
          <w:numId w:val="0"/>
        </w:numPr>
        <w:spacing w:before="0" w:after="0"/>
        <w:jc w:val="center"/>
        <w:rPr>
          <w:rFonts w:ascii="Times New Roman" w:hAnsi="Times New Roman" w:cs="Times New Roman"/>
          <w:color w:val="0070C0"/>
          <w:sz w:val="28"/>
          <w:lang w:val="es-ES"/>
        </w:rPr>
      </w:pPr>
      <w:bookmarkStart w:id="96" w:name="__RefHeading___Toc225377262"/>
      <w:bookmarkEnd w:id="96"/>
      <w:proofErr w:type="spellStart"/>
      <w:r>
        <w:rPr>
          <w:rFonts w:ascii="Times New Roman" w:hAnsi="Times New Roman" w:cs="Times New Roman"/>
          <w:b w:val="0"/>
          <w:color w:val="0070C0"/>
          <w:sz w:val="28"/>
          <w:lang w:val="es-ES"/>
        </w:rPr>
        <w:t>Manufacturer's</w:t>
      </w:r>
      <w:proofErr w:type="spellEnd"/>
      <w:r>
        <w:rPr>
          <w:rFonts w:ascii="Times New Roman" w:hAnsi="Times New Roman" w:cs="Times New Roman"/>
          <w:b w:val="0"/>
          <w:color w:val="0070C0"/>
          <w:sz w:val="28"/>
          <w:lang w:val="es-ES"/>
        </w:rPr>
        <w:t xml:space="preserve"> </w:t>
      </w:r>
      <w:proofErr w:type="spellStart"/>
      <w:r>
        <w:rPr>
          <w:rFonts w:ascii="Times New Roman" w:hAnsi="Times New Roman" w:cs="Times New Roman"/>
          <w:b w:val="0"/>
          <w:color w:val="0070C0"/>
          <w:sz w:val="28"/>
          <w:lang w:val="es-ES"/>
        </w:rPr>
        <w:t>experience</w:t>
      </w:r>
      <w:proofErr w:type="spellEnd"/>
    </w:p>
    <w:p w14:paraId="52028DDB" w14:textId="77777777" w:rsidR="00E255F4" w:rsidRDefault="00E255F4">
      <w:pPr>
        <w:pStyle w:val="Default"/>
        <w:jc w:val="both"/>
        <w:rPr>
          <w:rFonts w:ascii="Times New Roman" w:hAnsi="Times New Roman" w:cs="Times New Roman"/>
          <w:bCs/>
          <w:strike/>
          <w:color w:val="0070C0"/>
          <w:sz w:val="22"/>
          <w:szCs w:val="22"/>
        </w:rPr>
      </w:pPr>
    </w:p>
    <w:p w14:paraId="4708EF0A" w14:textId="77777777" w:rsidR="00E255F4" w:rsidRDefault="00000000">
      <w:pPr>
        <w:jc w:val="both"/>
        <w:rPr>
          <w:sz w:val="22"/>
          <w:szCs w:val="22"/>
          <w:lang w:val="es-ES"/>
        </w:rPr>
      </w:pPr>
      <w:r>
        <w:rPr>
          <w:sz w:val="22"/>
          <w:szCs w:val="22"/>
          <w:lang w:val="es-ES"/>
        </w:rPr>
        <w:t xml:space="preserve">The </w:t>
      </w:r>
      <w:proofErr w:type="spellStart"/>
      <w:r>
        <w:rPr>
          <w:sz w:val="22"/>
          <w:szCs w:val="22"/>
          <w:lang w:val="es-ES"/>
        </w:rPr>
        <w:t>bidder</w:t>
      </w:r>
      <w:proofErr w:type="spellEnd"/>
      <w:r>
        <w:rPr>
          <w:sz w:val="22"/>
          <w:szCs w:val="22"/>
          <w:lang w:val="es-ES"/>
        </w:rPr>
        <w:t xml:space="preserve"> </w:t>
      </w:r>
      <w:proofErr w:type="spellStart"/>
      <w:r>
        <w:rPr>
          <w:sz w:val="22"/>
          <w:szCs w:val="22"/>
          <w:lang w:val="es-ES"/>
        </w:rPr>
        <w:t>must</w:t>
      </w:r>
      <w:proofErr w:type="spellEnd"/>
      <w:r>
        <w:rPr>
          <w:sz w:val="22"/>
          <w:szCs w:val="22"/>
          <w:lang w:val="es-ES"/>
        </w:rPr>
        <w:t xml:space="preserve"> </w:t>
      </w:r>
      <w:proofErr w:type="spellStart"/>
      <w:r>
        <w:rPr>
          <w:sz w:val="22"/>
          <w:szCs w:val="22"/>
          <w:lang w:val="es-ES"/>
        </w:rPr>
        <w:t>provide</w:t>
      </w:r>
      <w:proofErr w:type="spellEnd"/>
      <w:r>
        <w:rPr>
          <w:sz w:val="22"/>
          <w:szCs w:val="22"/>
          <w:lang w:val="es-ES"/>
        </w:rPr>
        <w:t xml:space="preserve"> </w:t>
      </w:r>
      <w:proofErr w:type="spellStart"/>
      <w:r>
        <w:rPr>
          <w:sz w:val="22"/>
          <w:szCs w:val="22"/>
          <w:lang w:val="es-ES"/>
        </w:rPr>
        <w:t>all</w:t>
      </w:r>
      <w:proofErr w:type="spellEnd"/>
      <w:r>
        <w:rPr>
          <w:sz w:val="22"/>
          <w:szCs w:val="22"/>
          <w:lang w:val="es-ES"/>
        </w:rPr>
        <w:t xml:space="preserve"> </w:t>
      </w:r>
      <w:proofErr w:type="spellStart"/>
      <w:r>
        <w:rPr>
          <w:sz w:val="22"/>
          <w:szCs w:val="22"/>
          <w:lang w:val="es-ES"/>
        </w:rPr>
        <w:t>the</w:t>
      </w:r>
      <w:proofErr w:type="spellEnd"/>
      <w:r>
        <w:rPr>
          <w:sz w:val="22"/>
          <w:szCs w:val="22"/>
          <w:lang w:val="es-ES"/>
        </w:rPr>
        <w:t xml:space="preserve"> </w:t>
      </w:r>
      <w:proofErr w:type="spellStart"/>
      <w:r>
        <w:rPr>
          <w:sz w:val="22"/>
          <w:szCs w:val="22"/>
          <w:lang w:val="es-ES"/>
        </w:rPr>
        <w:t>information</w:t>
      </w:r>
      <w:proofErr w:type="spellEnd"/>
      <w:r>
        <w:rPr>
          <w:sz w:val="22"/>
          <w:szCs w:val="22"/>
          <w:lang w:val="es-ES"/>
        </w:rPr>
        <w:t xml:space="preserve"> </w:t>
      </w:r>
      <w:proofErr w:type="spellStart"/>
      <w:r>
        <w:rPr>
          <w:sz w:val="22"/>
          <w:szCs w:val="22"/>
          <w:lang w:val="es-ES"/>
        </w:rPr>
        <w:t>requested</w:t>
      </w:r>
      <w:proofErr w:type="spellEnd"/>
      <w:r>
        <w:rPr>
          <w:sz w:val="22"/>
          <w:szCs w:val="22"/>
          <w:lang w:val="es-ES"/>
        </w:rPr>
        <w:t xml:space="preserve"> in </w:t>
      </w:r>
      <w:proofErr w:type="spellStart"/>
      <w:r>
        <w:rPr>
          <w:sz w:val="22"/>
          <w:szCs w:val="22"/>
          <w:lang w:val="es-ES"/>
        </w:rPr>
        <w:t>the</w:t>
      </w:r>
      <w:proofErr w:type="spellEnd"/>
      <w:r>
        <w:rPr>
          <w:sz w:val="22"/>
          <w:szCs w:val="22"/>
          <w:lang w:val="es-ES"/>
        </w:rPr>
        <w:t xml:space="preserve"> table </w:t>
      </w:r>
      <w:proofErr w:type="spellStart"/>
      <w:r>
        <w:rPr>
          <w:sz w:val="22"/>
          <w:szCs w:val="22"/>
          <w:lang w:val="es-ES"/>
        </w:rPr>
        <w:t>below</w:t>
      </w:r>
      <w:proofErr w:type="spellEnd"/>
      <w:r>
        <w:rPr>
          <w:sz w:val="22"/>
          <w:szCs w:val="22"/>
          <w:lang w:val="es-ES"/>
        </w:rPr>
        <w:t>:</w:t>
      </w:r>
    </w:p>
    <w:p w14:paraId="3CC71C5D" w14:textId="77777777" w:rsidR="00E255F4" w:rsidRDefault="00E255F4">
      <w:pPr>
        <w:pStyle w:val="Default"/>
        <w:jc w:val="both"/>
        <w:rPr>
          <w:rFonts w:ascii="Times New Roman" w:hAnsi="Times New Roman" w:cs="Times New Roman"/>
          <w:bCs/>
          <w:sz w:val="22"/>
          <w:szCs w:val="22"/>
        </w:rPr>
      </w:pPr>
    </w:p>
    <w:tbl>
      <w:tblPr>
        <w:tblW w:w="8282" w:type="dxa"/>
        <w:jc w:val="center"/>
        <w:tblLayout w:type="fixed"/>
        <w:tblCellMar>
          <w:left w:w="28" w:type="dxa"/>
          <w:right w:w="28" w:type="dxa"/>
        </w:tblCellMar>
        <w:tblLook w:val="04A0" w:firstRow="1" w:lastRow="0" w:firstColumn="1" w:lastColumn="0" w:noHBand="0" w:noVBand="1"/>
      </w:tblPr>
      <w:tblGrid>
        <w:gridCol w:w="1610"/>
        <w:gridCol w:w="3519"/>
        <w:gridCol w:w="1418"/>
        <w:gridCol w:w="1735"/>
      </w:tblGrid>
      <w:tr w:rsidR="00E255F4" w14:paraId="0BC4CC25" w14:textId="77777777">
        <w:trPr>
          <w:cantSplit/>
          <w:trHeight w:val="619"/>
          <w:tblHeader/>
          <w:jc w:val="center"/>
        </w:trPr>
        <w:tc>
          <w:tcPr>
            <w:tcW w:w="1610" w:type="dxa"/>
            <w:tcBorders>
              <w:top w:val="single" w:sz="4" w:space="0" w:color="000000"/>
              <w:left w:val="single" w:sz="4" w:space="0" w:color="000000"/>
              <w:bottom w:val="single" w:sz="4" w:space="0" w:color="000000"/>
              <w:right w:val="single" w:sz="4" w:space="0" w:color="000000"/>
            </w:tcBorders>
            <w:vAlign w:val="center"/>
          </w:tcPr>
          <w:p w14:paraId="3D97EB6F" w14:textId="77777777" w:rsidR="00E255F4" w:rsidRDefault="00000000">
            <w:pPr>
              <w:spacing w:line="240" w:lineRule="auto"/>
              <w:jc w:val="center"/>
            </w:pPr>
            <w:proofErr w:type="spellStart"/>
            <w:r>
              <w:rPr>
                <w:spacing w:val="-2"/>
                <w:sz w:val="22"/>
                <w:lang w:val="es-ES"/>
              </w:rPr>
              <w:t>Contract</w:t>
            </w:r>
            <w:proofErr w:type="spellEnd"/>
            <w:r>
              <w:rPr>
                <w:spacing w:val="-2"/>
                <w:sz w:val="22"/>
                <w:lang w:val="es-ES"/>
              </w:rPr>
              <w:t xml:space="preserve"> No.</w:t>
            </w:r>
          </w:p>
        </w:tc>
        <w:tc>
          <w:tcPr>
            <w:tcW w:w="3519"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82FDE64" w14:textId="77777777" w:rsidR="00E255F4" w:rsidRDefault="00000000">
            <w:pPr>
              <w:spacing w:line="240" w:lineRule="auto"/>
              <w:jc w:val="center"/>
            </w:pPr>
            <w:proofErr w:type="spellStart"/>
            <w:r>
              <w:rPr>
                <w:spacing w:val="-2"/>
                <w:sz w:val="22"/>
                <w:lang w:val="es-ES"/>
              </w:rPr>
              <w:t>Contract</w:t>
            </w:r>
            <w:proofErr w:type="spellEnd"/>
            <w:r>
              <w:rPr>
                <w:spacing w:val="-2"/>
                <w:sz w:val="22"/>
                <w:lang w:val="es-ES"/>
              </w:rPr>
              <w:t xml:space="preserve"> </w:t>
            </w:r>
            <w:proofErr w:type="spellStart"/>
            <w:r>
              <w:rPr>
                <w:spacing w:val="-2"/>
                <w:sz w:val="22"/>
                <w:lang w:val="es-ES"/>
              </w:rPr>
              <w:t>Identification</w:t>
            </w:r>
            <w:proofErr w:type="spellEnd"/>
          </w:p>
        </w:tc>
        <w:tc>
          <w:tcPr>
            <w:tcW w:w="1418" w:type="dxa"/>
            <w:tcBorders>
              <w:top w:val="single" w:sz="4" w:space="0" w:color="000000"/>
              <w:left w:val="single" w:sz="4" w:space="0" w:color="000000"/>
              <w:bottom w:val="single" w:sz="4" w:space="0" w:color="000000"/>
              <w:right w:val="single" w:sz="4" w:space="0" w:color="000000"/>
            </w:tcBorders>
            <w:vAlign w:val="center"/>
          </w:tcPr>
          <w:p w14:paraId="2F73465F" w14:textId="77777777" w:rsidR="00E255F4" w:rsidRDefault="00000000">
            <w:pPr>
              <w:spacing w:line="240" w:lineRule="auto"/>
              <w:jc w:val="center"/>
              <w:rPr>
                <w:spacing w:val="-2"/>
                <w:sz w:val="22"/>
                <w:lang w:val="es-ES"/>
              </w:rPr>
            </w:pPr>
            <w:r>
              <w:rPr>
                <w:spacing w:val="-2"/>
                <w:sz w:val="22"/>
                <w:lang w:val="es-ES"/>
              </w:rPr>
              <w:t xml:space="preserve">Date </w:t>
            </w:r>
            <w:proofErr w:type="spellStart"/>
            <w:r>
              <w:rPr>
                <w:spacing w:val="-2"/>
                <w:sz w:val="22"/>
                <w:lang w:val="es-ES"/>
              </w:rPr>
              <w:t>of</w:t>
            </w:r>
            <w:proofErr w:type="spellEnd"/>
            <w:r>
              <w:rPr>
                <w:spacing w:val="-2"/>
                <w:sz w:val="22"/>
                <w:lang w:val="es-ES"/>
              </w:rPr>
              <w:t xml:space="preserve"> </w:t>
            </w:r>
            <w:proofErr w:type="spellStart"/>
            <w:r>
              <w:rPr>
                <w:spacing w:val="-2"/>
                <w:sz w:val="22"/>
                <w:lang w:val="es-ES"/>
              </w:rPr>
              <w:t>completion</w:t>
            </w:r>
            <w:proofErr w:type="spellEnd"/>
          </w:p>
        </w:tc>
        <w:tc>
          <w:tcPr>
            <w:tcW w:w="1735"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45F6C25" w14:textId="77777777" w:rsidR="00E255F4" w:rsidRDefault="00000000">
            <w:pPr>
              <w:spacing w:line="240" w:lineRule="auto"/>
              <w:jc w:val="center"/>
              <w:rPr>
                <w:spacing w:val="-2"/>
                <w:sz w:val="22"/>
                <w:lang w:val="es-ES"/>
              </w:rPr>
            </w:pPr>
            <w:r>
              <w:rPr>
                <w:spacing w:val="-2"/>
                <w:sz w:val="22"/>
                <w:lang w:val="es-ES"/>
              </w:rPr>
              <w:t>Sales (</w:t>
            </w:r>
            <w:proofErr w:type="spellStart"/>
            <w:r>
              <w:rPr>
                <w:spacing w:val="-2"/>
                <w:sz w:val="22"/>
                <w:lang w:val="es-ES"/>
              </w:rPr>
              <w:t>expressed</w:t>
            </w:r>
            <w:proofErr w:type="spellEnd"/>
            <w:r>
              <w:rPr>
                <w:spacing w:val="-2"/>
                <w:sz w:val="22"/>
                <w:lang w:val="es-ES"/>
              </w:rPr>
              <w:t xml:space="preserve"> in </w:t>
            </w:r>
            <w:proofErr w:type="spellStart"/>
            <w:r>
              <w:rPr>
                <w:spacing w:val="-2"/>
                <w:sz w:val="22"/>
                <w:lang w:val="es-ES"/>
              </w:rPr>
              <w:t>quantity</w:t>
            </w:r>
            <w:proofErr w:type="spellEnd"/>
            <w:r>
              <w:rPr>
                <w:spacing w:val="-2"/>
                <w:sz w:val="22"/>
                <w:lang w:val="es-ES"/>
              </w:rPr>
              <w:t>)</w:t>
            </w:r>
          </w:p>
        </w:tc>
      </w:tr>
      <w:tr w:rsidR="00E255F4" w14:paraId="50759A90" w14:textId="77777777">
        <w:trPr>
          <w:cantSplit/>
          <w:jc w:val="center"/>
        </w:trPr>
        <w:tc>
          <w:tcPr>
            <w:tcW w:w="16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7D84EEE" w14:textId="77777777" w:rsidR="00E255F4" w:rsidRDefault="00000000">
            <w:pPr>
              <w:spacing w:before="120" w:after="120" w:line="240" w:lineRule="auto"/>
              <w:jc w:val="center"/>
              <w:rPr>
                <w:spacing w:val="-2"/>
                <w:lang w:val="es-ES"/>
              </w:rPr>
            </w:pPr>
            <w:r>
              <w:rPr>
                <w:spacing w:val="-2"/>
                <w:lang w:val="es-ES"/>
              </w:rPr>
              <w:t>1</w:t>
            </w:r>
          </w:p>
        </w:tc>
        <w:tc>
          <w:tcPr>
            <w:tcW w:w="351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058CFBC" w14:textId="77777777" w:rsidR="00E255F4" w:rsidRDefault="00000000">
            <w:pPr>
              <w:spacing w:before="120" w:after="120" w:line="240" w:lineRule="auto"/>
            </w:pPr>
            <w:proofErr w:type="spellStart"/>
            <w:r>
              <w:rPr>
                <w:spacing w:val="-2"/>
                <w:sz w:val="22"/>
                <w:lang w:val="es-ES"/>
              </w:rPr>
              <w:t>Contract</w:t>
            </w:r>
            <w:proofErr w:type="spellEnd"/>
            <w:r>
              <w:rPr>
                <w:spacing w:val="-2"/>
                <w:sz w:val="22"/>
                <w:lang w:val="es-ES"/>
              </w:rPr>
              <w:t xml:space="preserve"> Name and </w:t>
            </w:r>
            <w:proofErr w:type="spellStart"/>
            <w:r>
              <w:rPr>
                <w:spacing w:val="-2"/>
                <w:sz w:val="22"/>
                <w:lang w:val="es-ES"/>
              </w:rPr>
              <w:t>Identification</w:t>
            </w:r>
            <w:proofErr w:type="spellEnd"/>
            <w:r>
              <w:rPr>
                <w:spacing w:val="-2"/>
                <w:sz w:val="22"/>
                <w:lang w:val="es-ES"/>
              </w:rPr>
              <w:t>:</w:t>
            </w:r>
          </w:p>
          <w:p w14:paraId="4A263FE1" w14:textId="77777777" w:rsidR="00E255F4" w:rsidRDefault="00000000">
            <w:pPr>
              <w:spacing w:before="120" w:after="120" w:line="240" w:lineRule="auto"/>
              <w:rPr>
                <w:spacing w:val="-2"/>
                <w:sz w:val="22"/>
                <w:lang w:val="es-ES"/>
              </w:rPr>
            </w:pPr>
            <w:proofErr w:type="spellStart"/>
            <w:r>
              <w:rPr>
                <w:spacing w:val="-2"/>
                <w:sz w:val="22"/>
                <w:lang w:val="es-ES"/>
              </w:rPr>
              <w:t>Contracting</w:t>
            </w:r>
            <w:proofErr w:type="spellEnd"/>
            <w:r>
              <w:rPr>
                <w:spacing w:val="-2"/>
                <w:sz w:val="22"/>
                <w:lang w:val="es-ES"/>
              </w:rPr>
              <w:t xml:space="preserve"> Party Name:</w:t>
            </w:r>
          </w:p>
          <w:p w14:paraId="386D79C0" w14:textId="77777777" w:rsidR="00E255F4" w:rsidRDefault="00000000">
            <w:pPr>
              <w:spacing w:before="120" w:after="120" w:line="240" w:lineRule="auto"/>
              <w:rPr>
                <w:spacing w:val="-2"/>
                <w:sz w:val="4"/>
                <w:lang w:val="es-ES"/>
              </w:rPr>
            </w:pPr>
            <w:proofErr w:type="spellStart"/>
            <w:r>
              <w:rPr>
                <w:spacing w:val="-2"/>
                <w:sz w:val="22"/>
                <w:lang w:val="es-ES"/>
              </w:rPr>
              <w:t>Description</w:t>
            </w:r>
            <w:proofErr w:type="spellEnd"/>
            <w:r>
              <w:rPr>
                <w:spacing w:val="-2"/>
                <w:sz w:val="22"/>
                <w:lang w:val="es-ES"/>
              </w:rPr>
              <w:t xml:space="preserve"> </w:t>
            </w:r>
            <w:proofErr w:type="spellStart"/>
            <w:r>
              <w:rPr>
                <w:spacing w:val="-2"/>
                <w:sz w:val="22"/>
                <w:lang w:val="es-ES"/>
              </w:rPr>
              <w:t>of</w:t>
            </w:r>
            <w:proofErr w:type="spellEnd"/>
            <w:r>
              <w:rPr>
                <w:spacing w:val="-2"/>
                <w:sz w:val="22"/>
                <w:lang w:val="es-ES"/>
              </w:rPr>
              <w:t xml:space="preserve"> </w:t>
            </w:r>
            <w:proofErr w:type="spellStart"/>
            <w:r>
              <w:rPr>
                <w:spacing w:val="-2"/>
                <w:sz w:val="22"/>
                <w:lang w:val="es-ES"/>
              </w:rPr>
              <w:t>the</w:t>
            </w:r>
            <w:proofErr w:type="spellEnd"/>
            <w:r>
              <w:rPr>
                <w:spacing w:val="-2"/>
                <w:sz w:val="22"/>
                <w:lang w:val="es-ES"/>
              </w:rPr>
              <w:t xml:space="preserve"> </w:t>
            </w:r>
            <w:proofErr w:type="spellStart"/>
            <w:r>
              <w:rPr>
                <w:spacing w:val="-2"/>
                <w:sz w:val="22"/>
                <w:lang w:val="es-ES"/>
              </w:rPr>
              <w:t>supply</w:t>
            </w:r>
            <w:proofErr w:type="spellEnd"/>
            <w:r>
              <w:rPr>
                <w:spacing w:val="-2"/>
                <w:sz w:val="22"/>
                <w:lang w:val="es-ES"/>
              </w:rPr>
              <w:t xml:space="preserve"> </w:t>
            </w:r>
            <w:proofErr w:type="spellStart"/>
            <w:r>
              <w:rPr>
                <w:spacing w:val="-2"/>
                <w:sz w:val="22"/>
                <w:lang w:val="es-ES"/>
              </w:rPr>
              <w:t>provided</w:t>
            </w:r>
            <w:proofErr w:type="spellEnd"/>
            <w:r>
              <w:rPr>
                <w:spacing w:val="-2"/>
                <w:sz w:val="22"/>
                <w:lang w:val="es-ES"/>
              </w:rPr>
              <w:t xml:space="preserve"> </w:t>
            </w:r>
            <w:proofErr w:type="spellStart"/>
            <w:r>
              <w:rPr>
                <w:spacing w:val="-2"/>
                <w:sz w:val="22"/>
                <w:lang w:val="es-ES"/>
              </w:rPr>
              <w:t>by</w:t>
            </w:r>
            <w:proofErr w:type="spellEnd"/>
            <w:r>
              <w:rPr>
                <w:spacing w:val="-2"/>
                <w:sz w:val="22"/>
                <w:lang w:val="es-ES"/>
              </w:rPr>
              <w:t xml:space="preserve"> </w:t>
            </w:r>
            <w:proofErr w:type="spellStart"/>
            <w:r>
              <w:rPr>
                <w:spacing w:val="-2"/>
                <w:sz w:val="22"/>
                <w:lang w:val="es-ES"/>
              </w:rPr>
              <w:t>the</w:t>
            </w:r>
            <w:proofErr w:type="spellEnd"/>
            <w:r>
              <w:rPr>
                <w:spacing w:val="-2"/>
                <w:sz w:val="22"/>
                <w:lang w:val="es-ES"/>
              </w:rPr>
              <w:t xml:space="preserve"> </w:t>
            </w:r>
            <w:proofErr w:type="spellStart"/>
            <w:r>
              <w:rPr>
                <w:spacing w:val="-2"/>
                <w:sz w:val="22"/>
                <w:lang w:val="es-ES"/>
              </w:rPr>
              <w:t>supplier</w:t>
            </w:r>
            <w:proofErr w:type="spellEnd"/>
            <w:r>
              <w:rPr>
                <w:spacing w:val="-2"/>
                <w:sz w:val="22"/>
                <w:lang w:val="es-ES"/>
              </w:rPr>
              <w:t>:</w:t>
            </w:r>
            <w:r>
              <w:rPr>
                <w:spacing w:val="-2"/>
                <w:sz w:val="22"/>
                <w:lang w:val="es-ES"/>
              </w:rPr>
              <w:br/>
            </w:r>
          </w:p>
          <w:p w14:paraId="5AE47A83" w14:textId="77777777" w:rsidR="00E255F4" w:rsidRDefault="00000000">
            <w:pPr>
              <w:spacing w:before="120" w:after="120" w:line="240" w:lineRule="auto"/>
              <w:rPr>
                <w:spacing w:val="-2"/>
                <w:lang w:val="es-ES"/>
              </w:rPr>
            </w:pPr>
            <w:proofErr w:type="spellStart"/>
            <w:r>
              <w:rPr>
                <w:spacing w:val="-2"/>
                <w:sz w:val="22"/>
                <w:lang w:val="es-ES"/>
              </w:rPr>
              <w:t>Address</w:t>
            </w:r>
            <w:proofErr w:type="spellEnd"/>
            <w:r>
              <w:rPr>
                <w:spacing w:val="-2"/>
                <w:sz w:val="22"/>
                <w:lang w:val="es-ES"/>
              </w:rPr>
              <w:t>/</w:t>
            </w:r>
            <w:proofErr w:type="spellStart"/>
            <w:r>
              <w:rPr>
                <w:spacing w:val="-2"/>
                <w:sz w:val="22"/>
                <w:lang w:val="es-ES"/>
              </w:rPr>
              <w:t>phone</w:t>
            </w:r>
            <w:proofErr w:type="spellEnd"/>
            <w:r>
              <w:rPr>
                <w:spacing w:val="-2"/>
                <w:sz w:val="22"/>
                <w:lang w:val="es-ES"/>
              </w:rPr>
              <w:t xml:space="preserve"> and email </w:t>
            </w:r>
            <w:proofErr w:type="spellStart"/>
            <w:r>
              <w:rPr>
                <w:spacing w:val="-2"/>
                <w:sz w:val="22"/>
                <w:lang w:val="es-ES"/>
              </w:rPr>
              <w:t>of</w:t>
            </w:r>
            <w:proofErr w:type="spellEnd"/>
            <w:r>
              <w:rPr>
                <w:spacing w:val="-2"/>
                <w:sz w:val="22"/>
                <w:lang w:val="es-ES"/>
              </w:rPr>
              <w:t xml:space="preserve"> </w:t>
            </w:r>
            <w:proofErr w:type="spellStart"/>
            <w:r>
              <w:rPr>
                <w:spacing w:val="-2"/>
                <w:sz w:val="22"/>
                <w:lang w:val="es-ES"/>
              </w:rPr>
              <w:t>the</w:t>
            </w:r>
            <w:proofErr w:type="spellEnd"/>
            <w:r>
              <w:rPr>
                <w:spacing w:val="-2"/>
                <w:sz w:val="22"/>
                <w:lang w:val="es-ES"/>
              </w:rPr>
              <w:t xml:space="preserve"> Contractor:</w:t>
            </w:r>
          </w:p>
        </w:tc>
        <w:tc>
          <w:tcPr>
            <w:tcW w:w="141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A3CE389" w14:textId="77777777" w:rsidR="00E255F4" w:rsidRDefault="00E255F4">
            <w:pPr>
              <w:snapToGrid w:val="0"/>
              <w:rPr>
                <w:spacing w:val="-2"/>
                <w:lang w:val="es-ES"/>
              </w:rPr>
            </w:pPr>
          </w:p>
          <w:p w14:paraId="5CF1C07B" w14:textId="77777777" w:rsidR="00E255F4" w:rsidRDefault="00E255F4">
            <w:pPr>
              <w:rPr>
                <w:spacing w:val="-2"/>
                <w:lang w:val="es-ES"/>
              </w:rPr>
            </w:pPr>
          </w:p>
        </w:tc>
        <w:tc>
          <w:tcPr>
            <w:tcW w:w="1735"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17213FD" w14:textId="77777777" w:rsidR="00E255F4" w:rsidRDefault="00E255F4">
            <w:pPr>
              <w:snapToGrid w:val="0"/>
              <w:rPr>
                <w:spacing w:val="-2"/>
                <w:lang w:val="es-ES"/>
              </w:rPr>
            </w:pPr>
          </w:p>
        </w:tc>
      </w:tr>
      <w:tr w:rsidR="00E255F4" w14:paraId="5E7E22CA" w14:textId="77777777">
        <w:trPr>
          <w:cantSplit/>
          <w:jc w:val="center"/>
        </w:trPr>
        <w:tc>
          <w:tcPr>
            <w:tcW w:w="16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AB7755B" w14:textId="77777777" w:rsidR="00E255F4" w:rsidRDefault="00000000">
            <w:pPr>
              <w:spacing w:before="120" w:after="120" w:line="240" w:lineRule="auto"/>
              <w:jc w:val="center"/>
              <w:rPr>
                <w:spacing w:val="-2"/>
                <w:lang w:val="es-ES"/>
              </w:rPr>
            </w:pPr>
            <w:r>
              <w:rPr>
                <w:spacing w:val="-2"/>
                <w:lang w:val="es-ES"/>
              </w:rPr>
              <w:t>2</w:t>
            </w:r>
          </w:p>
        </w:tc>
        <w:tc>
          <w:tcPr>
            <w:tcW w:w="351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B1E053D" w14:textId="77777777" w:rsidR="00E255F4" w:rsidRDefault="00000000">
            <w:pPr>
              <w:spacing w:before="120" w:after="120" w:line="240" w:lineRule="auto"/>
            </w:pPr>
            <w:proofErr w:type="spellStart"/>
            <w:r>
              <w:rPr>
                <w:spacing w:val="-2"/>
                <w:sz w:val="22"/>
                <w:lang w:val="es-ES"/>
              </w:rPr>
              <w:t>Contract</w:t>
            </w:r>
            <w:proofErr w:type="spellEnd"/>
            <w:r>
              <w:rPr>
                <w:spacing w:val="-2"/>
                <w:sz w:val="22"/>
                <w:lang w:val="es-ES"/>
              </w:rPr>
              <w:t xml:space="preserve"> Name and </w:t>
            </w:r>
            <w:proofErr w:type="spellStart"/>
            <w:r>
              <w:rPr>
                <w:spacing w:val="-2"/>
                <w:sz w:val="22"/>
                <w:lang w:val="es-ES"/>
              </w:rPr>
              <w:t>Identification</w:t>
            </w:r>
            <w:proofErr w:type="spellEnd"/>
            <w:r>
              <w:rPr>
                <w:spacing w:val="-2"/>
                <w:sz w:val="22"/>
                <w:lang w:val="es-ES"/>
              </w:rPr>
              <w:t>:</w:t>
            </w:r>
          </w:p>
          <w:p w14:paraId="49BBE58D" w14:textId="77777777" w:rsidR="00E255F4" w:rsidRDefault="00000000">
            <w:pPr>
              <w:spacing w:before="120" w:after="120" w:line="240" w:lineRule="auto"/>
              <w:rPr>
                <w:spacing w:val="-2"/>
                <w:sz w:val="22"/>
                <w:lang w:val="es-ES"/>
              </w:rPr>
            </w:pPr>
            <w:proofErr w:type="spellStart"/>
            <w:r>
              <w:rPr>
                <w:spacing w:val="-2"/>
                <w:sz w:val="22"/>
                <w:lang w:val="es-ES"/>
              </w:rPr>
              <w:t>Contracting</w:t>
            </w:r>
            <w:proofErr w:type="spellEnd"/>
            <w:r>
              <w:rPr>
                <w:spacing w:val="-2"/>
                <w:sz w:val="22"/>
                <w:lang w:val="es-ES"/>
              </w:rPr>
              <w:t xml:space="preserve"> Party Name:</w:t>
            </w:r>
          </w:p>
          <w:p w14:paraId="48623DBF" w14:textId="77777777" w:rsidR="00E255F4" w:rsidRDefault="00000000">
            <w:pPr>
              <w:spacing w:before="120" w:after="120" w:line="240" w:lineRule="auto"/>
              <w:rPr>
                <w:spacing w:val="-2"/>
                <w:sz w:val="4"/>
                <w:lang w:val="es-ES"/>
              </w:rPr>
            </w:pPr>
            <w:proofErr w:type="spellStart"/>
            <w:r>
              <w:rPr>
                <w:spacing w:val="-2"/>
                <w:sz w:val="22"/>
                <w:lang w:val="es-ES"/>
              </w:rPr>
              <w:t>Description</w:t>
            </w:r>
            <w:proofErr w:type="spellEnd"/>
            <w:r>
              <w:rPr>
                <w:spacing w:val="-2"/>
                <w:sz w:val="22"/>
                <w:lang w:val="es-ES"/>
              </w:rPr>
              <w:t xml:space="preserve"> </w:t>
            </w:r>
            <w:proofErr w:type="spellStart"/>
            <w:r>
              <w:rPr>
                <w:spacing w:val="-2"/>
                <w:sz w:val="22"/>
                <w:lang w:val="es-ES"/>
              </w:rPr>
              <w:t>of</w:t>
            </w:r>
            <w:proofErr w:type="spellEnd"/>
            <w:r>
              <w:rPr>
                <w:spacing w:val="-2"/>
                <w:sz w:val="22"/>
                <w:lang w:val="es-ES"/>
              </w:rPr>
              <w:t xml:space="preserve"> </w:t>
            </w:r>
            <w:proofErr w:type="spellStart"/>
            <w:r>
              <w:rPr>
                <w:spacing w:val="-2"/>
                <w:sz w:val="22"/>
                <w:lang w:val="es-ES"/>
              </w:rPr>
              <w:t>the</w:t>
            </w:r>
            <w:proofErr w:type="spellEnd"/>
            <w:r>
              <w:rPr>
                <w:spacing w:val="-2"/>
                <w:sz w:val="22"/>
                <w:lang w:val="es-ES"/>
              </w:rPr>
              <w:t xml:space="preserve"> </w:t>
            </w:r>
            <w:proofErr w:type="spellStart"/>
            <w:r>
              <w:rPr>
                <w:spacing w:val="-2"/>
                <w:sz w:val="22"/>
                <w:lang w:val="es-ES"/>
              </w:rPr>
              <w:t>supply</w:t>
            </w:r>
            <w:proofErr w:type="spellEnd"/>
            <w:r>
              <w:rPr>
                <w:spacing w:val="-2"/>
                <w:sz w:val="22"/>
                <w:lang w:val="es-ES"/>
              </w:rPr>
              <w:t xml:space="preserve"> </w:t>
            </w:r>
            <w:proofErr w:type="spellStart"/>
            <w:r>
              <w:rPr>
                <w:spacing w:val="-2"/>
                <w:sz w:val="22"/>
                <w:lang w:val="es-ES"/>
              </w:rPr>
              <w:t>provided</w:t>
            </w:r>
            <w:proofErr w:type="spellEnd"/>
            <w:r>
              <w:rPr>
                <w:spacing w:val="-2"/>
                <w:sz w:val="22"/>
                <w:lang w:val="es-ES"/>
              </w:rPr>
              <w:t xml:space="preserve"> </w:t>
            </w:r>
            <w:proofErr w:type="spellStart"/>
            <w:r>
              <w:rPr>
                <w:spacing w:val="-2"/>
                <w:sz w:val="22"/>
                <w:lang w:val="es-ES"/>
              </w:rPr>
              <w:t>by</w:t>
            </w:r>
            <w:proofErr w:type="spellEnd"/>
            <w:r>
              <w:rPr>
                <w:spacing w:val="-2"/>
                <w:sz w:val="22"/>
                <w:lang w:val="es-ES"/>
              </w:rPr>
              <w:t xml:space="preserve"> </w:t>
            </w:r>
            <w:proofErr w:type="spellStart"/>
            <w:r>
              <w:rPr>
                <w:spacing w:val="-2"/>
                <w:sz w:val="22"/>
                <w:lang w:val="es-ES"/>
              </w:rPr>
              <w:t>the</w:t>
            </w:r>
            <w:proofErr w:type="spellEnd"/>
            <w:r>
              <w:rPr>
                <w:spacing w:val="-2"/>
                <w:sz w:val="22"/>
                <w:lang w:val="es-ES"/>
              </w:rPr>
              <w:t xml:space="preserve"> </w:t>
            </w:r>
            <w:proofErr w:type="spellStart"/>
            <w:r>
              <w:rPr>
                <w:spacing w:val="-2"/>
                <w:sz w:val="22"/>
                <w:lang w:val="es-ES"/>
              </w:rPr>
              <w:t>supplier</w:t>
            </w:r>
            <w:proofErr w:type="spellEnd"/>
            <w:r>
              <w:rPr>
                <w:spacing w:val="-2"/>
                <w:sz w:val="22"/>
                <w:lang w:val="es-ES"/>
              </w:rPr>
              <w:t>:</w:t>
            </w:r>
            <w:r>
              <w:rPr>
                <w:spacing w:val="-2"/>
                <w:sz w:val="22"/>
                <w:lang w:val="es-ES"/>
              </w:rPr>
              <w:br/>
            </w:r>
          </w:p>
          <w:p w14:paraId="7BE794F6" w14:textId="77777777" w:rsidR="00E255F4" w:rsidRDefault="00000000">
            <w:pPr>
              <w:spacing w:before="120" w:after="120" w:line="240" w:lineRule="auto"/>
            </w:pPr>
            <w:proofErr w:type="spellStart"/>
            <w:r>
              <w:rPr>
                <w:spacing w:val="-2"/>
                <w:sz w:val="22"/>
                <w:lang w:val="es-ES"/>
              </w:rPr>
              <w:t>Address</w:t>
            </w:r>
            <w:proofErr w:type="spellEnd"/>
            <w:r>
              <w:rPr>
                <w:spacing w:val="-2"/>
                <w:sz w:val="22"/>
                <w:lang w:val="es-ES"/>
              </w:rPr>
              <w:t>/</w:t>
            </w:r>
            <w:proofErr w:type="spellStart"/>
            <w:r>
              <w:rPr>
                <w:spacing w:val="-2"/>
                <w:sz w:val="22"/>
                <w:lang w:val="es-ES"/>
              </w:rPr>
              <w:t>phone</w:t>
            </w:r>
            <w:proofErr w:type="spellEnd"/>
            <w:r>
              <w:rPr>
                <w:spacing w:val="-2"/>
                <w:sz w:val="22"/>
                <w:lang w:val="es-ES"/>
              </w:rPr>
              <w:t xml:space="preserve"> and email </w:t>
            </w:r>
            <w:proofErr w:type="spellStart"/>
            <w:r>
              <w:rPr>
                <w:spacing w:val="-2"/>
                <w:sz w:val="22"/>
                <w:lang w:val="es-ES"/>
              </w:rPr>
              <w:t>of</w:t>
            </w:r>
            <w:proofErr w:type="spellEnd"/>
            <w:r>
              <w:rPr>
                <w:spacing w:val="-2"/>
                <w:sz w:val="22"/>
                <w:lang w:val="es-ES"/>
              </w:rPr>
              <w:t xml:space="preserve"> </w:t>
            </w:r>
            <w:proofErr w:type="spellStart"/>
            <w:r>
              <w:rPr>
                <w:spacing w:val="-2"/>
                <w:sz w:val="22"/>
                <w:lang w:val="es-ES"/>
              </w:rPr>
              <w:t>the</w:t>
            </w:r>
            <w:proofErr w:type="spellEnd"/>
            <w:r>
              <w:rPr>
                <w:spacing w:val="-2"/>
                <w:sz w:val="22"/>
                <w:lang w:val="es-ES"/>
              </w:rPr>
              <w:t xml:space="preserve"> Contractor:</w:t>
            </w:r>
          </w:p>
        </w:tc>
        <w:tc>
          <w:tcPr>
            <w:tcW w:w="141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E4A93A1" w14:textId="77777777" w:rsidR="00E255F4" w:rsidRDefault="00E255F4">
            <w:pPr>
              <w:snapToGrid w:val="0"/>
              <w:rPr>
                <w:spacing w:val="-2"/>
                <w:sz w:val="22"/>
                <w:lang w:val="es-ES"/>
              </w:rPr>
            </w:pPr>
          </w:p>
        </w:tc>
        <w:tc>
          <w:tcPr>
            <w:tcW w:w="1735"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E0E87D8" w14:textId="77777777" w:rsidR="00E255F4" w:rsidRDefault="00E255F4">
            <w:pPr>
              <w:snapToGrid w:val="0"/>
              <w:rPr>
                <w:spacing w:val="-2"/>
                <w:lang w:val="es-ES"/>
              </w:rPr>
            </w:pPr>
          </w:p>
        </w:tc>
      </w:tr>
      <w:tr w:rsidR="00E255F4" w14:paraId="0E372CDB" w14:textId="77777777">
        <w:trPr>
          <w:cantSplit/>
          <w:jc w:val="center"/>
        </w:trPr>
        <w:tc>
          <w:tcPr>
            <w:tcW w:w="16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8097780" w14:textId="77777777" w:rsidR="00E255F4" w:rsidRDefault="00000000">
            <w:pPr>
              <w:spacing w:before="120" w:after="120" w:line="240" w:lineRule="auto"/>
              <w:jc w:val="center"/>
              <w:rPr>
                <w:spacing w:val="-2"/>
                <w:lang w:val="es-ES"/>
              </w:rPr>
            </w:pPr>
            <w:r>
              <w:rPr>
                <w:spacing w:val="-2"/>
                <w:lang w:val="es-ES"/>
              </w:rPr>
              <w:t>n</w:t>
            </w:r>
          </w:p>
        </w:tc>
        <w:tc>
          <w:tcPr>
            <w:tcW w:w="351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E3A345B" w14:textId="77777777" w:rsidR="00E255F4" w:rsidRDefault="00000000">
            <w:pPr>
              <w:spacing w:before="120" w:after="120" w:line="240" w:lineRule="auto"/>
            </w:pPr>
            <w:proofErr w:type="spellStart"/>
            <w:r>
              <w:rPr>
                <w:spacing w:val="-2"/>
                <w:sz w:val="22"/>
                <w:lang w:val="es-ES"/>
              </w:rPr>
              <w:t>Contract</w:t>
            </w:r>
            <w:proofErr w:type="spellEnd"/>
            <w:r>
              <w:rPr>
                <w:spacing w:val="-2"/>
                <w:sz w:val="22"/>
                <w:lang w:val="es-ES"/>
              </w:rPr>
              <w:t xml:space="preserve"> Name and </w:t>
            </w:r>
            <w:proofErr w:type="spellStart"/>
            <w:r>
              <w:rPr>
                <w:spacing w:val="-2"/>
                <w:sz w:val="22"/>
                <w:lang w:val="es-ES"/>
              </w:rPr>
              <w:t>Identification</w:t>
            </w:r>
            <w:proofErr w:type="spellEnd"/>
            <w:r>
              <w:rPr>
                <w:spacing w:val="-2"/>
                <w:sz w:val="22"/>
                <w:lang w:val="es-ES"/>
              </w:rPr>
              <w:t>:</w:t>
            </w:r>
          </w:p>
          <w:p w14:paraId="69F74C24" w14:textId="77777777" w:rsidR="00E255F4" w:rsidRDefault="00000000">
            <w:pPr>
              <w:spacing w:before="120" w:after="120" w:line="240" w:lineRule="auto"/>
              <w:rPr>
                <w:spacing w:val="-2"/>
                <w:sz w:val="22"/>
                <w:lang w:val="es-ES"/>
              </w:rPr>
            </w:pPr>
            <w:proofErr w:type="spellStart"/>
            <w:r>
              <w:rPr>
                <w:spacing w:val="-2"/>
                <w:sz w:val="22"/>
                <w:lang w:val="es-ES"/>
              </w:rPr>
              <w:t>Contracting</w:t>
            </w:r>
            <w:proofErr w:type="spellEnd"/>
            <w:r>
              <w:rPr>
                <w:spacing w:val="-2"/>
                <w:sz w:val="22"/>
                <w:lang w:val="es-ES"/>
              </w:rPr>
              <w:t xml:space="preserve"> Party Name:</w:t>
            </w:r>
          </w:p>
          <w:p w14:paraId="4F30ED0D" w14:textId="77777777" w:rsidR="00E255F4" w:rsidRDefault="00000000">
            <w:pPr>
              <w:spacing w:before="120" w:after="120" w:line="240" w:lineRule="auto"/>
              <w:rPr>
                <w:spacing w:val="-2"/>
                <w:sz w:val="4"/>
                <w:lang w:val="es-ES"/>
              </w:rPr>
            </w:pPr>
            <w:proofErr w:type="spellStart"/>
            <w:r>
              <w:rPr>
                <w:spacing w:val="-2"/>
                <w:sz w:val="22"/>
                <w:lang w:val="es-ES"/>
              </w:rPr>
              <w:t>Description</w:t>
            </w:r>
            <w:proofErr w:type="spellEnd"/>
            <w:r>
              <w:rPr>
                <w:spacing w:val="-2"/>
                <w:sz w:val="22"/>
                <w:lang w:val="es-ES"/>
              </w:rPr>
              <w:t xml:space="preserve"> </w:t>
            </w:r>
            <w:proofErr w:type="spellStart"/>
            <w:r>
              <w:rPr>
                <w:spacing w:val="-2"/>
                <w:sz w:val="22"/>
                <w:lang w:val="es-ES"/>
              </w:rPr>
              <w:t>of</w:t>
            </w:r>
            <w:proofErr w:type="spellEnd"/>
            <w:r>
              <w:rPr>
                <w:spacing w:val="-2"/>
                <w:sz w:val="22"/>
                <w:lang w:val="es-ES"/>
              </w:rPr>
              <w:t xml:space="preserve"> </w:t>
            </w:r>
            <w:proofErr w:type="spellStart"/>
            <w:r>
              <w:rPr>
                <w:spacing w:val="-2"/>
                <w:sz w:val="22"/>
                <w:lang w:val="es-ES"/>
              </w:rPr>
              <w:t>the</w:t>
            </w:r>
            <w:proofErr w:type="spellEnd"/>
            <w:r>
              <w:rPr>
                <w:spacing w:val="-2"/>
                <w:sz w:val="22"/>
                <w:lang w:val="es-ES"/>
              </w:rPr>
              <w:t xml:space="preserve"> </w:t>
            </w:r>
            <w:proofErr w:type="spellStart"/>
            <w:r>
              <w:rPr>
                <w:spacing w:val="-2"/>
                <w:sz w:val="22"/>
                <w:lang w:val="es-ES"/>
              </w:rPr>
              <w:t>supply</w:t>
            </w:r>
            <w:proofErr w:type="spellEnd"/>
            <w:r>
              <w:rPr>
                <w:spacing w:val="-2"/>
                <w:sz w:val="22"/>
                <w:lang w:val="es-ES"/>
              </w:rPr>
              <w:t xml:space="preserve"> </w:t>
            </w:r>
            <w:proofErr w:type="spellStart"/>
            <w:r>
              <w:rPr>
                <w:spacing w:val="-2"/>
                <w:sz w:val="22"/>
                <w:lang w:val="es-ES"/>
              </w:rPr>
              <w:t>provided</w:t>
            </w:r>
            <w:proofErr w:type="spellEnd"/>
            <w:r>
              <w:rPr>
                <w:spacing w:val="-2"/>
                <w:sz w:val="22"/>
                <w:lang w:val="es-ES"/>
              </w:rPr>
              <w:t xml:space="preserve"> </w:t>
            </w:r>
            <w:proofErr w:type="spellStart"/>
            <w:r>
              <w:rPr>
                <w:spacing w:val="-2"/>
                <w:sz w:val="22"/>
                <w:lang w:val="es-ES"/>
              </w:rPr>
              <w:t>by</w:t>
            </w:r>
            <w:proofErr w:type="spellEnd"/>
            <w:r>
              <w:rPr>
                <w:spacing w:val="-2"/>
                <w:sz w:val="22"/>
                <w:lang w:val="es-ES"/>
              </w:rPr>
              <w:t xml:space="preserve"> </w:t>
            </w:r>
            <w:proofErr w:type="spellStart"/>
            <w:r>
              <w:rPr>
                <w:spacing w:val="-2"/>
                <w:sz w:val="22"/>
                <w:lang w:val="es-ES"/>
              </w:rPr>
              <w:t>the</w:t>
            </w:r>
            <w:proofErr w:type="spellEnd"/>
            <w:r>
              <w:rPr>
                <w:spacing w:val="-2"/>
                <w:sz w:val="22"/>
                <w:lang w:val="es-ES"/>
              </w:rPr>
              <w:t xml:space="preserve"> </w:t>
            </w:r>
            <w:proofErr w:type="spellStart"/>
            <w:r>
              <w:rPr>
                <w:spacing w:val="-2"/>
                <w:sz w:val="22"/>
                <w:lang w:val="es-ES"/>
              </w:rPr>
              <w:t>supplier</w:t>
            </w:r>
            <w:proofErr w:type="spellEnd"/>
            <w:r>
              <w:rPr>
                <w:spacing w:val="-2"/>
                <w:sz w:val="22"/>
                <w:lang w:val="es-ES"/>
              </w:rPr>
              <w:t>:</w:t>
            </w:r>
            <w:r>
              <w:rPr>
                <w:spacing w:val="-2"/>
                <w:sz w:val="22"/>
                <w:lang w:val="es-ES"/>
              </w:rPr>
              <w:br/>
            </w:r>
          </w:p>
          <w:p w14:paraId="2302DBC0" w14:textId="77777777" w:rsidR="00E255F4" w:rsidRDefault="00000000">
            <w:pPr>
              <w:spacing w:before="120" w:after="120" w:line="240" w:lineRule="auto"/>
            </w:pPr>
            <w:proofErr w:type="spellStart"/>
            <w:r>
              <w:rPr>
                <w:spacing w:val="-2"/>
                <w:sz w:val="22"/>
                <w:lang w:val="es-ES"/>
              </w:rPr>
              <w:t>Address</w:t>
            </w:r>
            <w:proofErr w:type="spellEnd"/>
            <w:r>
              <w:rPr>
                <w:spacing w:val="-2"/>
                <w:sz w:val="22"/>
                <w:lang w:val="es-ES"/>
              </w:rPr>
              <w:t>/</w:t>
            </w:r>
            <w:proofErr w:type="spellStart"/>
            <w:r>
              <w:rPr>
                <w:spacing w:val="-2"/>
                <w:sz w:val="22"/>
                <w:lang w:val="es-ES"/>
              </w:rPr>
              <w:t>phone</w:t>
            </w:r>
            <w:proofErr w:type="spellEnd"/>
            <w:r>
              <w:rPr>
                <w:spacing w:val="-2"/>
                <w:sz w:val="22"/>
                <w:lang w:val="es-ES"/>
              </w:rPr>
              <w:t xml:space="preserve"> and email </w:t>
            </w:r>
            <w:proofErr w:type="spellStart"/>
            <w:r>
              <w:rPr>
                <w:spacing w:val="-2"/>
                <w:sz w:val="22"/>
                <w:lang w:val="es-ES"/>
              </w:rPr>
              <w:t>of</w:t>
            </w:r>
            <w:proofErr w:type="spellEnd"/>
            <w:r>
              <w:rPr>
                <w:spacing w:val="-2"/>
                <w:sz w:val="22"/>
                <w:lang w:val="es-ES"/>
              </w:rPr>
              <w:t xml:space="preserve"> </w:t>
            </w:r>
            <w:proofErr w:type="spellStart"/>
            <w:r>
              <w:rPr>
                <w:spacing w:val="-2"/>
                <w:sz w:val="22"/>
                <w:lang w:val="es-ES"/>
              </w:rPr>
              <w:t>the</w:t>
            </w:r>
            <w:proofErr w:type="spellEnd"/>
            <w:r>
              <w:rPr>
                <w:spacing w:val="-2"/>
                <w:sz w:val="22"/>
                <w:lang w:val="es-ES"/>
              </w:rPr>
              <w:t xml:space="preserve"> Contractor:</w:t>
            </w:r>
          </w:p>
        </w:tc>
        <w:tc>
          <w:tcPr>
            <w:tcW w:w="141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FB507ED" w14:textId="77777777" w:rsidR="00E255F4" w:rsidRDefault="00E255F4">
            <w:pPr>
              <w:snapToGrid w:val="0"/>
              <w:rPr>
                <w:spacing w:val="-2"/>
                <w:sz w:val="22"/>
                <w:lang w:val="es-ES"/>
              </w:rPr>
            </w:pPr>
          </w:p>
        </w:tc>
        <w:tc>
          <w:tcPr>
            <w:tcW w:w="1735"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EFDEB43" w14:textId="77777777" w:rsidR="00E255F4" w:rsidRDefault="00E255F4">
            <w:pPr>
              <w:snapToGrid w:val="0"/>
              <w:rPr>
                <w:spacing w:val="-2"/>
                <w:lang w:val="es-ES"/>
              </w:rPr>
            </w:pPr>
          </w:p>
        </w:tc>
      </w:tr>
    </w:tbl>
    <w:p w14:paraId="75C073EB" w14:textId="77777777" w:rsidR="00E255F4" w:rsidRDefault="00E255F4">
      <w:pPr>
        <w:jc w:val="both"/>
        <w:rPr>
          <w:lang w:val="es-ES"/>
        </w:rPr>
      </w:pPr>
    </w:p>
    <w:p w14:paraId="732BFE92" w14:textId="77777777" w:rsidR="00E255F4" w:rsidRDefault="00E255F4">
      <w:pPr>
        <w:pStyle w:val="Default"/>
        <w:jc w:val="both"/>
        <w:rPr>
          <w:rFonts w:ascii="Times New Roman" w:hAnsi="Times New Roman" w:cs="Times New Roman"/>
          <w:sz w:val="22"/>
          <w:szCs w:val="22"/>
        </w:rPr>
      </w:pPr>
    </w:p>
    <w:p w14:paraId="79D21F25" w14:textId="77777777" w:rsidR="00E255F4" w:rsidRDefault="00000000">
      <w:pPr>
        <w:pStyle w:val="Default"/>
        <w:rPr>
          <w:rFonts w:ascii="Times New Roman" w:hAnsi="Times New Roman" w:cs="Times New Roman"/>
          <w:sz w:val="22"/>
          <w:szCs w:val="22"/>
        </w:rPr>
      </w:pPr>
      <w:r>
        <w:rPr>
          <w:rFonts w:ascii="Times New Roman" w:hAnsi="Times New Roman" w:cs="Times New Roman"/>
          <w:sz w:val="22"/>
          <w:szCs w:val="22"/>
        </w:rPr>
        <w:t>Note:</w:t>
      </w:r>
    </w:p>
    <w:p w14:paraId="0D01D53E" w14:textId="77777777" w:rsidR="00E255F4" w:rsidRDefault="00E255F4">
      <w:pPr>
        <w:pStyle w:val="Default"/>
        <w:rPr>
          <w:rFonts w:ascii="Times New Roman" w:hAnsi="Times New Roman" w:cs="Times New Roman"/>
          <w:sz w:val="22"/>
          <w:szCs w:val="22"/>
        </w:rPr>
      </w:pPr>
    </w:p>
    <w:p w14:paraId="1A5E564F" w14:textId="77777777" w:rsidR="00E255F4" w:rsidRDefault="00000000">
      <w:pPr>
        <w:pStyle w:val="Default"/>
        <w:jc w:val="both"/>
      </w:pPr>
      <w:proofErr w:type="spellStart"/>
      <w:r>
        <w:rPr>
          <w:rFonts w:ascii="Times New Roman" w:hAnsi="Times New Roman" w:cs="Times New Roman"/>
          <w:sz w:val="22"/>
          <w:szCs w:val="22"/>
        </w:rPr>
        <w:t>Specifically</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identify</w:t>
      </w:r>
      <w:proofErr w:type="spellEnd"/>
      <w:r>
        <w:rPr>
          <w:rFonts w:ascii="Times New Roman" w:hAnsi="Times New Roman" w:cs="Times New Roman"/>
          <w:sz w:val="22"/>
          <w:szCs w:val="22"/>
        </w:rPr>
        <w:t xml:space="preserve"> in </w:t>
      </w:r>
      <w:proofErr w:type="spellStart"/>
      <w:r>
        <w:rPr>
          <w:rFonts w:ascii="Times New Roman" w:hAnsi="Times New Roman" w:cs="Times New Roman"/>
          <w:sz w:val="22"/>
          <w:szCs w:val="22"/>
        </w:rPr>
        <w:t>the</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form</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the</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contracts</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with</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volumes</w:t>
      </w:r>
      <w:proofErr w:type="spellEnd"/>
      <w:r>
        <w:rPr>
          <w:rFonts w:ascii="Times New Roman" w:hAnsi="Times New Roman" w:cs="Times New Roman"/>
          <w:sz w:val="22"/>
          <w:szCs w:val="22"/>
        </w:rPr>
        <w:t xml:space="preserve"> and marketing similar </w:t>
      </w:r>
      <w:proofErr w:type="spellStart"/>
      <w:r>
        <w:rPr>
          <w:rFonts w:ascii="Times New Roman" w:hAnsi="Times New Roman" w:cs="Times New Roman"/>
          <w:sz w:val="22"/>
          <w:szCs w:val="22"/>
        </w:rPr>
        <w:t>to</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the</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offered</w:t>
      </w:r>
      <w:proofErr w:type="spellEnd"/>
      <w:r>
        <w:rPr>
          <w:rFonts w:ascii="Times New Roman" w:hAnsi="Times New Roman" w:cs="Times New Roman"/>
          <w:sz w:val="22"/>
          <w:szCs w:val="22"/>
        </w:rPr>
        <w:t xml:space="preserve"> </w:t>
      </w:r>
      <w:proofErr w:type="spellStart"/>
      <w:proofErr w:type="gramStart"/>
      <w:r>
        <w:rPr>
          <w:rFonts w:ascii="Times New Roman" w:hAnsi="Times New Roman" w:cs="Times New Roman"/>
          <w:sz w:val="22"/>
          <w:szCs w:val="22"/>
        </w:rPr>
        <w:t>good</w:t>
      </w:r>
      <w:proofErr w:type="spellEnd"/>
      <w:r>
        <w:rPr>
          <w:rFonts w:ascii="Times New Roman" w:hAnsi="Times New Roman" w:cs="Times New Roman"/>
          <w:sz w:val="22"/>
          <w:szCs w:val="22"/>
        </w:rPr>
        <w:t>(</w:t>
      </w:r>
      <w:proofErr w:type="gramEnd"/>
      <w:r>
        <w:rPr>
          <w:rFonts w:ascii="Times New Roman" w:hAnsi="Times New Roman" w:cs="Times New Roman"/>
          <w:sz w:val="22"/>
          <w:szCs w:val="22"/>
        </w:rPr>
        <w:t>Art. 9.1 c) I 3.</w:t>
      </w:r>
      <w:r>
        <w:br w:type="page"/>
      </w:r>
    </w:p>
    <w:p w14:paraId="3021E3AD" w14:textId="77777777" w:rsidR="00E255F4" w:rsidRDefault="00E255F4">
      <w:pPr>
        <w:rPr>
          <w:color w:val="000000"/>
          <w:sz w:val="22"/>
          <w:szCs w:val="22"/>
          <w:lang w:val="es-ES"/>
        </w:rPr>
      </w:pPr>
    </w:p>
    <w:p w14:paraId="1F28288F" w14:textId="77777777" w:rsidR="00E255F4" w:rsidRDefault="00000000">
      <w:pPr>
        <w:pStyle w:val="Ttulo1"/>
        <w:numPr>
          <w:ilvl w:val="0"/>
          <w:numId w:val="0"/>
        </w:numPr>
        <w:spacing w:before="0" w:after="0"/>
        <w:ind w:left="720" w:hanging="720"/>
        <w:jc w:val="center"/>
        <w:rPr>
          <w:rFonts w:ascii="Times New Roman" w:eastAsia="Palatino Linotype" w:hAnsi="Times New Roman" w:cs="Times New Roman"/>
          <w:b w:val="0"/>
          <w:color w:val="548DD4"/>
          <w:sz w:val="28"/>
          <w:szCs w:val="24"/>
          <w:lang w:val="es-ES"/>
        </w:rPr>
      </w:pPr>
      <w:bookmarkStart w:id="97" w:name="__RefHeading___Toc225377263"/>
      <w:bookmarkEnd w:id="97"/>
      <w:r>
        <w:rPr>
          <w:rFonts w:ascii="Times New Roman" w:eastAsia="Palatino Linotype" w:hAnsi="Times New Roman" w:cs="Times New Roman"/>
          <w:b w:val="0"/>
          <w:color w:val="548DD4"/>
          <w:sz w:val="28"/>
          <w:szCs w:val="24"/>
          <w:lang w:val="es-ES"/>
        </w:rPr>
        <w:t>ANNEX VII</w:t>
      </w:r>
    </w:p>
    <w:p w14:paraId="62A8BF14" w14:textId="77777777" w:rsidR="00E255F4" w:rsidRDefault="00000000">
      <w:pPr>
        <w:pStyle w:val="Piedepgina"/>
        <w:jc w:val="center"/>
        <w:outlineLvl w:val="0"/>
        <w:rPr>
          <w:color w:val="0070C0"/>
          <w:sz w:val="28"/>
          <w:szCs w:val="28"/>
          <w:lang w:val="es-ES" w:eastAsia="es-ES"/>
        </w:rPr>
      </w:pPr>
      <w:bookmarkStart w:id="98" w:name="__RefHeading___Toc225377264"/>
      <w:bookmarkEnd w:id="98"/>
      <w:proofErr w:type="spellStart"/>
      <w:r>
        <w:rPr>
          <w:color w:val="0070C0"/>
          <w:sz w:val="28"/>
          <w:szCs w:val="28"/>
          <w:lang w:val="es-ES" w:eastAsia="es-ES"/>
        </w:rPr>
        <w:t>Technical</w:t>
      </w:r>
      <w:proofErr w:type="spellEnd"/>
      <w:r>
        <w:rPr>
          <w:color w:val="0070C0"/>
          <w:sz w:val="28"/>
          <w:szCs w:val="28"/>
          <w:lang w:val="es-ES" w:eastAsia="es-ES"/>
        </w:rPr>
        <w:t xml:space="preserve"> </w:t>
      </w:r>
      <w:proofErr w:type="spellStart"/>
      <w:r>
        <w:rPr>
          <w:color w:val="0070C0"/>
          <w:sz w:val="28"/>
          <w:szCs w:val="28"/>
          <w:lang w:val="es-ES" w:eastAsia="es-ES"/>
        </w:rPr>
        <w:t>specifications</w:t>
      </w:r>
      <w:proofErr w:type="spellEnd"/>
    </w:p>
    <w:p w14:paraId="7EB746E4" w14:textId="77777777" w:rsidR="00E255F4" w:rsidRDefault="00E255F4">
      <w:pPr>
        <w:pStyle w:val="Piedepgina"/>
        <w:outlineLvl w:val="0"/>
        <w:rPr>
          <w:color w:val="000000"/>
          <w:sz w:val="28"/>
          <w:szCs w:val="28"/>
          <w:lang w:val="es-ES" w:eastAsia="es-ES"/>
        </w:rPr>
      </w:pPr>
    </w:p>
    <w:p w14:paraId="582796DB" w14:textId="77777777" w:rsidR="00E255F4" w:rsidRDefault="00000000">
      <w:pPr>
        <w:keepNext/>
        <w:numPr>
          <w:ilvl w:val="1"/>
          <w:numId w:val="69"/>
        </w:numPr>
        <w:spacing w:before="240" w:after="240"/>
        <w:ind w:left="851"/>
        <w:rPr>
          <w:b/>
          <w:sz w:val="24"/>
          <w:szCs w:val="24"/>
        </w:rPr>
      </w:pPr>
      <w:r>
        <w:rPr>
          <w:b/>
          <w:sz w:val="24"/>
          <w:szCs w:val="24"/>
        </w:rPr>
        <w:t>GENERAL INFORMATION</w:t>
      </w:r>
    </w:p>
    <w:p w14:paraId="01D33D7C" w14:textId="77777777" w:rsidR="00E255F4" w:rsidRDefault="00000000">
      <w:pPr>
        <w:numPr>
          <w:ilvl w:val="1"/>
          <w:numId w:val="43"/>
        </w:numPr>
        <w:tabs>
          <w:tab w:val="left" w:pos="851"/>
        </w:tabs>
        <w:spacing w:after="120"/>
        <w:ind w:left="851"/>
        <w:jc w:val="both"/>
        <w:rPr>
          <w:sz w:val="22"/>
          <w:szCs w:val="22"/>
        </w:rPr>
      </w:pPr>
      <w:r>
        <w:rPr>
          <w:sz w:val="22"/>
          <w:szCs w:val="22"/>
        </w:rPr>
        <w:t xml:space="preserve">The </w:t>
      </w:r>
      <w:proofErr w:type="spellStart"/>
      <w:r>
        <w:rPr>
          <w:sz w:val="22"/>
          <w:szCs w:val="22"/>
        </w:rPr>
        <w:t>Telemetry</w:t>
      </w:r>
      <w:proofErr w:type="spellEnd"/>
      <w:r>
        <w:rPr>
          <w:sz w:val="22"/>
          <w:szCs w:val="22"/>
        </w:rPr>
        <w:t xml:space="preserve"> </w:t>
      </w:r>
      <w:proofErr w:type="spellStart"/>
      <w:r>
        <w:rPr>
          <w:sz w:val="22"/>
          <w:szCs w:val="22"/>
        </w:rPr>
        <w:t>System</w:t>
      </w:r>
      <w:proofErr w:type="spellEnd"/>
      <w:r>
        <w:rPr>
          <w:sz w:val="22"/>
          <w:szCs w:val="22"/>
        </w:rPr>
        <w:t xml:space="preserve"> </w:t>
      </w:r>
      <w:proofErr w:type="spellStart"/>
      <w:r>
        <w:rPr>
          <w:sz w:val="22"/>
          <w:szCs w:val="22"/>
        </w:rPr>
        <w:t>for</w:t>
      </w:r>
      <w:proofErr w:type="spellEnd"/>
      <w:r>
        <w:rPr>
          <w:sz w:val="22"/>
          <w:szCs w:val="22"/>
        </w:rPr>
        <w:t xml:space="preserve"> </w:t>
      </w:r>
      <w:proofErr w:type="spellStart"/>
      <w:r>
        <w:rPr>
          <w:sz w:val="22"/>
          <w:szCs w:val="22"/>
        </w:rPr>
        <w:t>which</w:t>
      </w:r>
      <w:proofErr w:type="spellEnd"/>
      <w:r>
        <w:rPr>
          <w:sz w:val="22"/>
          <w:szCs w:val="22"/>
        </w:rPr>
        <w:t xml:space="preserve"> </w:t>
      </w:r>
      <w:proofErr w:type="spellStart"/>
      <w:r>
        <w:rPr>
          <w:sz w:val="22"/>
          <w:szCs w:val="22"/>
        </w:rPr>
        <w:t>this</w:t>
      </w:r>
      <w:proofErr w:type="spellEnd"/>
      <w:r>
        <w:rPr>
          <w:sz w:val="22"/>
          <w:szCs w:val="22"/>
        </w:rPr>
        <w:t xml:space="preserve"> </w:t>
      </w:r>
      <w:proofErr w:type="spellStart"/>
      <w:r>
        <w:rPr>
          <w:sz w:val="22"/>
          <w:szCs w:val="22"/>
        </w:rPr>
        <w:t>acquisition</w:t>
      </w:r>
      <w:proofErr w:type="spellEnd"/>
      <w:r>
        <w:rPr>
          <w:sz w:val="22"/>
          <w:szCs w:val="22"/>
        </w:rPr>
        <w:t xml:space="preserve"> </w:t>
      </w:r>
      <w:proofErr w:type="spellStart"/>
      <w:r>
        <w:rPr>
          <w:sz w:val="22"/>
          <w:szCs w:val="22"/>
        </w:rPr>
        <w:t>is</w:t>
      </w:r>
      <w:proofErr w:type="spellEnd"/>
      <w:r>
        <w:rPr>
          <w:sz w:val="22"/>
          <w:szCs w:val="22"/>
        </w:rPr>
        <w:t xml:space="preserve"> </w:t>
      </w:r>
      <w:proofErr w:type="spellStart"/>
      <w:r>
        <w:rPr>
          <w:sz w:val="22"/>
          <w:szCs w:val="22"/>
        </w:rPr>
        <w:t>intended</w:t>
      </w:r>
      <w:proofErr w:type="spellEnd"/>
      <w:r>
        <w:rPr>
          <w:sz w:val="22"/>
          <w:szCs w:val="22"/>
        </w:rPr>
        <w:t xml:space="preserve"> </w:t>
      </w:r>
      <w:proofErr w:type="spellStart"/>
      <w:r>
        <w:rPr>
          <w:sz w:val="22"/>
          <w:szCs w:val="22"/>
        </w:rPr>
        <w:t>will</w:t>
      </w:r>
      <w:proofErr w:type="spellEnd"/>
      <w:r>
        <w:rPr>
          <w:sz w:val="22"/>
          <w:szCs w:val="22"/>
        </w:rPr>
        <w:t xml:space="preserve"> </w:t>
      </w:r>
      <w:proofErr w:type="spellStart"/>
      <w:r>
        <w:rPr>
          <w:sz w:val="22"/>
          <w:szCs w:val="22"/>
        </w:rPr>
        <w:t>consist</w:t>
      </w:r>
      <w:proofErr w:type="spellEnd"/>
      <w:r>
        <w:rPr>
          <w:sz w:val="22"/>
          <w:szCs w:val="22"/>
        </w:rPr>
        <w:t xml:space="preserve"> </w:t>
      </w:r>
      <w:proofErr w:type="spellStart"/>
      <w:r>
        <w:rPr>
          <w:sz w:val="22"/>
          <w:szCs w:val="22"/>
        </w:rPr>
        <w:t>of</w:t>
      </w:r>
      <w:proofErr w:type="spellEnd"/>
      <w:r>
        <w:rPr>
          <w:sz w:val="22"/>
          <w:szCs w:val="22"/>
        </w:rPr>
        <w:t xml:space="preserve"> </w:t>
      </w:r>
      <w:proofErr w:type="spellStart"/>
      <w:r>
        <w:rPr>
          <w:sz w:val="22"/>
          <w:szCs w:val="22"/>
        </w:rPr>
        <w:t>integrated</w:t>
      </w:r>
      <w:proofErr w:type="spellEnd"/>
      <w:r>
        <w:rPr>
          <w:sz w:val="22"/>
          <w:szCs w:val="22"/>
        </w:rPr>
        <w:t xml:space="preserve"> </w:t>
      </w:r>
      <w:proofErr w:type="spellStart"/>
      <w:r>
        <w:rPr>
          <w:sz w:val="22"/>
          <w:szCs w:val="22"/>
        </w:rPr>
        <w:t>smart</w:t>
      </w:r>
      <w:proofErr w:type="spellEnd"/>
      <w:r>
        <w:rPr>
          <w:sz w:val="22"/>
          <w:szCs w:val="22"/>
        </w:rPr>
        <w:t xml:space="preserve"> </w:t>
      </w:r>
      <w:proofErr w:type="spellStart"/>
      <w:r>
        <w:rPr>
          <w:sz w:val="22"/>
          <w:szCs w:val="22"/>
        </w:rPr>
        <w:t>drinking</w:t>
      </w:r>
      <w:proofErr w:type="spellEnd"/>
      <w:r>
        <w:rPr>
          <w:sz w:val="22"/>
          <w:szCs w:val="22"/>
        </w:rPr>
        <w:t xml:space="preserve"> </w:t>
      </w:r>
      <w:proofErr w:type="spellStart"/>
      <w:r>
        <w:rPr>
          <w:sz w:val="22"/>
          <w:szCs w:val="22"/>
        </w:rPr>
        <w:t>water</w:t>
      </w:r>
      <w:proofErr w:type="spellEnd"/>
      <w:r>
        <w:rPr>
          <w:sz w:val="22"/>
          <w:szCs w:val="22"/>
        </w:rPr>
        <w:t xml:space="preserve"> </w:t>
      </w:r>
      <w:proofErr w:type="spellStart"/>
      <w:r>
        <w:rPr>
          <w:sz w:val="22"/>
          <w:szCs w:val="22"/>
        </w:rPr>
        <w:t>meters</w:t>
      </w:r>
      <w:proofErr w:type="spellEnd"/>
      <w:r>
        <w:rPr>
          <w:sz w:val="22"/>
          <w:szCs w:val="22"/>
        </w:rPr>
        <w:t xml:space="preserve"> (</w:t>
      </w:r>
      <w:proofErr w:type="spellStart"/>
      <w:r>
        <w:rPr>
          <w:sz w:val="22"/>
          <w:szCs w:val="22"/>
        </w:rPr>
        <w:t>drinking</w:t>
      </w:r>
      <w:proofErr w:type="spellEnd"/>
      <w:r>
        <w:rPr>
          <w:sz w:val="22"/>
          <w:szCs w:val="22"/>
        </w:rPr>
        <w:t xml:space="preserve"> </w:t>
      </w:r>
      <w:proofErr w:type="spellStart"/>
      <w:r>
        <w:rPr>
          <w:sz w:val="22"/>
          <w:szCs w:val="22"/>
        </w:rPr>
        <w:t>water</w:t>
      </w:r>
      <w:proofErr w:type="spellEnd"/>
      <w:r>
        <w:rPr>
          <w:sz w:val="22"/>
          <w:szCs w:val="22"/>
        </w:rPr>
        <w:t xml:space="preserve"> meter and </w:t>
      </w:r>
      <w:proofErr w:type="spellStart"/>
      <w:r>
        <w:rPr>
          <w:sz w:val="22"/>
          <w:szCs w:val="22"/>
        </w:rPr>
        <w:t>telemetry</w:t>
      </w:r>
      <w:proofErr w:type="spellEnd"/>
      <w:r>
        <w:rPr>
          <w:sz w:val="22"/>
          <w:szCs w:val="22"/>
        </w:rPr>
        <w:t xml:space="preserve"> </w:t>
      </w:r>
      <w:proofErr w:type="spellStart"/>
      <w:r>
        <w:rPr>
          <w:sz w:val="22"/>
          <w:szCs w:val="22"/>
        </w:rPr>
        <w:t>device</w:t>
      </w:r>
      <w:proofErr w:type="spellEnd"/>
      <w:r>
        <w:rPr>
          <w:sz w:val="22"/>
          <w:szCs w:val="22"/>
        </w:rPr>
        <w:t xml:space="preserve"> </w:t>
      </w:r>
      <w:proofErr w:type="spellStart"/>
      <w:r>
        <w:rPr>
          <w:sz w:val="22"/>
          <w:szCs w:val="22"/>
        </w:rPr>
        <w:t>integrated</w:t>
      </w:r>
      <w:proofErr w:type="spellEnd"/>
      <w:r>
        <w:rPr>
          <w:sz w:val="22"/>
          <w:szCs w:val="22"/>
        </w:rPr>
        <w:t xml:space="preserve"> </w:t>
      </w:r>
      <w:proofErr w:type="spellStart"/>
      <w:r>
        <w:rPr>
          <w:sz w:val="22"/>
          <w:szCs w:val="22"/>
        </w:rPr>
        <w:t>into</w:t>
      </w:r>
      <w:proofErr w:type="spellEnd"/>
      <w:r>
        <w:rPr>
          <w:sz w:val="22"/>
          <w:szCs w:val="22"/>
        </w:rPr>
        <w:t xml:space="preserve"> </w:t>
      </w:r>
      <w:proofErr w:type="spellStart"/>
      <w:r>
        <w:rPr>
          <w:sz w:val="22"/>
          <w:szCs w:val="22"/>
        </w:rPr>
        <w:t>the</w:t>
      </w:r>
      <w:proofErr w:type="spellEnd"/>
      <w:r>
        <w:rPr>
          <w:sz w:val="22"/>
          <w:szCs w:val="22"/>
        </w:rPr>
        <w:t xml:space="preserve"> </w:t>
      </w:r>
      <w:proofErr w:type="spellStart"/>
      <w:r>
        <w:rPr>
          <w:sz w:val="22"/>
          <w:szCs w:val="22"/>
        </w:rPr>
        <w:t>same</w:t>
      </w:r>
      <w:proofErr w:type="spellEnd"/>
      <w:r>
        <w:rPr>
          <w:sz w:val="22"/>
          <w:szCs w:val="22"/>
        </w:rPr>
        <w:t xml:space="preserve"> </w:t>
      </w:r>
      <w:proofErr w:type="spellStart"/>
      <w:r>
        <w:rPr>
          <w:sz w:val="22"/>
          <w:szCs w:val="22"/>
        </w:rPr>
        <w:t>body</w:t>
      </w:r>
      <w:proofErr w:type="spellEnd"/>
      <w:r>
        <w:rPr>
          <w:sz w:val="22"/>
          <w:szCs w:val="22"/>
        </w:rPr>
        <w:t xml:space="preserve">), </w:t>
      </w:r>
      <w:proofErr w:type="spellStart"/>
      <w:r>
        <w:rPr>
          <w:sz w:val="22"/>
          <w:szCs w:val="22"/>
        </w:rPr>
        <w:t>the</w:t>
      </w:r>
      <w:proofErr w:type="spellEnd"/>
      <w:r>
        <w:rPr>
          <w:sz w:val="22"/>
          <w:szCs w:val="22"/>
        </w:rPr>
        <w:t xml:space="preserve"> </w:t>
      </w:r>
      <w:proofErr w:type="spellStart"/>
      <w:r>
        <w:rPr>
          <w:sz w:val="22"/>
          <w:szCs w:val="22"/>
        </w:rPr>
        <w:t>telemetry</w:t>
      </w:r>
      <w:proofErr w:type="spellEnd"/>
      <w:r>
        <w:rPr>
          <w:sz w:val="22"/>
          <w:szCs w:val="22"/>
        </w:rPr>
        <w:t xml:space="preserve"> </w:t>
      </w:r>
      <w:proofErr w:type="spellStart"/>
      <w:r>
        <w:rPr>
          <w:sz w:val="22"/>
          <w:szCs w:val="22"/>
        </w:rPr>
        <w:t>devices</w:t>
      </w:r>
      <w:proofErr w:type="spellEnd"/>
      <w:r>
        <w:rPr>
          <w:sz w:val="22"/>
          <w:szCs w:val="22"/>
        </w:rPr>
        <w:t xml:space="preserve"> </w:t>
      </w:r>
      <w:proofErr w:type="spellStart"/>
      <w:r>
        <w:rPr>
          <w:sz w:val="22"/>
          <w:szCs w:val="22"/>
        </w:rPr>
        <w:t>that</w:t>
      </w:r>
      <w:proofErr w:type="spellEnd"/>
      <w:r>
        <w:rPr>
          <w:sz w:val="22"/>
          <w:szCs w:val="22"/>
        </w:rPr>
        <w:t xml:space="preserve"> </w:t>
      </w:r>
      <w:proofErr w:type="spellStart"/>
      <w:r>
        <w:rPr>
          <w:sz w:val="22"/>
          <w:szCs w:val="22"/>
        </w:rPr>
        <w:t>will</w:t>
      </w:r>
      <w:proofErr w:type="spellEnd"/>
      <w:r>
        <w:rPr>
          <w:sz w:val="22"/>
          <w:szCs w:val="22"/>
        </w:rPr>
        <w:t xml:space="preserve"> be in </w:t>
      </w:r>
      <w:proofErr w:type="spellStart"/>
      <w:r>
        <w:rPr>
          <w:sz w:val="22"/>
          <w:szCs w:val="22"/>
        </w:rPr>
        <w:t>charge</w:t>
      </w:r>
      <w:proofErr w:type="spellEnd"/>
      <w:r>
        <w:rPr>
          <w:sz w:val="22"/>
          <w:szCs w:val="22"/>
        </w:rPr>
        <w:t xml:space="preserve"> </w:t>
      </w:r>
      <w:proofErr w:type="spellStart"/>
      <w:r>
        <w:rPr>
          <w:sz w:val="22"/>
          <w:szCs w:val="22"/>
        </w:rPr>
        <w:t>of</w:t>
      </w:r>
      <w:proofErr w:type="spellEnd"/>
      <w:r>
        <w:rPr>
          <w:sz w:val="22"/>
          <w:szCs w:val="22"/>
        </w:rPr>
        <w:t xml:space="preserve"> remote </w:t>
      </w:r>
      <w:proofErr w:type="spellStart"/>
      <w:r>
        <w:rPr>
          <w:sz w:val="22"/>
          <w:szCs w:val="22"/>
        </w:rPr>
        <w:t>measurement</w:t>
      </w:r>
      <w:proofErr w:type="spellEnd"/>
      <w:r>
        <w:rPr>
          <w:sz w:val="22"/>
          <w:szCs w:val="22"/>
        </w:rPr>
        <w:t xml:space="preserve"> and </w:t>
      </w:r>
      <w:proofErr w:type="spellStart"/>
      <w:r>
        <w:rPr>
          <w:sz w:val="22"/>
          <w:szCs w:val="22"/>
        </w:rPr>
        <w:t>telecommunication</w:t>
      </w:r>
      <w:proofErr w:type="spellEnd"/>
      <w:r>
        <w:rPr>
          <w:sz w:val="22"/>
          <w:szCs w:val="22"/>
        </w:rPr>
        <w:t xml:space="preserve"> </w:t>
      </w:r>
      <w:proofErr w:type="spellStart"/>
      <w:r>
        <w:rPr>
          <w:sz w:val="22"/>
          <w:szCs w:val="22"/>
        </w:rPr>
        <w:t>of</w:t>
      </w:r>
      <w:proofErr w:type="spellEnd"/>
      <w:r>
        <w:rPr>
          <w:sz w:val="22"/>
          <w:szCs w:val="22"/>
        </w:rPr>
        <w:t xml:space="preserve"> </w:t>
      </w:r>
      <w:proofErr w:type="spellStart"/>
      <w:r>
        <w:rPr>
          <w:sz w:val="22"/>
          <w:szCs w:val="22"/>
        </w:rPr>
        <w:t>information</w:t>
      </w:r>
      <w:proofErr w:type="spellEnd"/>
      <w:r>
        <w:rPr>
          <w:sz w:val="22"/>
          <w:szCs w:val="22"/>
        </w:rPr>
        <w:t xml:space="preserve">, data </w:t>
      </w:r>
      <w:proofErr w:type="spellStart"/>
      <w:r>
        <w:rPr>
          <w:sz w:val="22"/>
          <w:szCs w:val="22"/>
        </w:rPr>
        <w:t>communication</w:t>
      </w:r>
      <w:proofErr w:type="spellEnd"/>
      <w:r>
        <w:rPr>
          <w:sz w:val="22"/>
          <w:szCs w:val="22"/>
        </w:rPr>
        <w:t xml:space="preserve">, and </w:t>
      </w:r>
      <w:proofErr w:type="spellStart"/>
      <w:r>
        <w:rPr>
          <w:sz w:val="22"/>
          <w:szCs w:val="22"/>
        </w:rPr>
        <w:t>the</w:t>
      </w:r>
      <w:proofErr w:type="spellEnd"/>
      <w:r>
        <w:rPr>
          <w:sz w:val="22"/>
          <w:szCs w:val="22"/>
        </w:rPr>
        <w:t xml:space="preserve"> </w:t>
      </w:r>
      <w:proofErr w:type="spellStart"/>
      <w:r>
        <w:rPr>
          <w:sz w:val="22"/>
          <w:szCs w:val="22"/>
        </w:rPr>
        <w:t>computer</w:t>
      </w:r>
      <w:proofErr w:type="spellEnd"/>
      <w:r>
        <w:rPr>
          <w:sz w:val="22"/>
          <w:szCs w:val="22"/>
        </w:rPr>
        <w:t xml:space="preserve"> </w:t>
      </w:r>
      <w:proofErr w:type="spellStart"/>
      <w:r>
        <w:rPr>
          <w:sz w:val="22"/>
          <w:szCs w:val="22"/>
        </w:rPr>
        <w:t>support</w:t>
      </w:r>
      <w:proofErr w:type="spellEnd"/>
      <w:r>
        <w:rPr>
          <w:sz w:val="22"/>
          <w:szCs w:val="22"/>
        </w:rPr>
        <w:t xml:space="preserve"> </w:t>
      </w:r>
      <w:proofErr w:type="spellStart"/>
      <w:r>
        <w:rPr>
          <w:sz w:val="22"/>
          <w:szCs w:val="22"/>
        </w:rPr>
        <w:t>for</w:t>
      </w:r>
      <w:proofErr w:type="spellEnd"/>
      <w:r>
        <w:rPr>
          <w:sz w:val="22"/>
          <w:szCs w:val="22"/>
        </w:rPr>
        <w:t xml:space="preserve"> </w:t>
      </w:r>
      <w:proofErr w:type="spellStart"/>
      <w:r>
        <w:rPr>
          <w:sz w:val="22"/>
          <w:szCs w:val="22"/>
        </w:rPr>
        <w:t>managing</w:t>
      </w:r>
      <w:proofErr w:type="spellEnd"/>
      <w:r>
        <w:rPr>
          <w:sz w:val="22"/>
          <w:szCs w:val="22"/>
        </w:rPr>
        <w:t xml:space="preserve"> </w:t>
      </w:r>
      <w:proofErr w:type="spellStart"/>
      <w:r>
        <w:rPr>
          <w:sz w:val="22"/>
          <w:szCs w:val="22"/>
        </w:rPr>
        <w:t>the</w:t>
      </w:r>
      <w:proofErr w:type="spellEnd"/>
      <w:r>
        <w:rPr>
          <w:sz w:val="22"/>
          <w:szCs w:val="22"/>
        </w:rPr>
        <w:t xml:space="preserve"> </w:t>
      </w:r>
      <w:proofErr w:type="spellStart"/>
      <w:r>
        <w:rPr>
          <w:sz w:val="22"/>
          <w:szCs w:val="22"/>
        </w:rPr>
        <w:t>telemetry</w:t>
      </w:r>
      <w:proofErr w:type="spellEnd"/>
      <w:r>
        <w:rPr>
          <w:sz w:val="22"/>
          <w:szCs w:val="22"/>
        </w:rPr>
        <w:t xml:space="preserve"> </w:t>
      </w:r>
      <w:proofErr w:type="spellStart"/>
      <w:proofErr w:type="gramStart"/>
      <w:r>
        <w:rPr>
          <w:sz w:val="22"/>
          <w:szCs w:val="22"/>
        </w:rPr>
        <w:t>devices</w:t>
      </w:r>
      <w:proofErr w:type="spellEnd"/>
      <w:r>
        <w:rPr>
          <w:sz w:val="22"/>
          <w:szCs w:val="22"/>
        </w:rPr>
        <w:t>.</w:t>
      </w:r>
      <w:r>
        <w:rPr>
          <w:color w:val="FF0000"/>
          <w:sz w:val="22"/>
          <w:szCs w:val="22"/>
        </w:rPr>
        <w:t>.</w:t>
      </w:r>
      <w:proofErr w:type="gramEnd"/>
    </w:p>
    <w:p w14:paraId="1FEA5D12" w14:textId="77777777" w:rsidR="00E255F4" w:rsidRDefault="00000000">
      <w:pPr>
        <w:numPr>
          <w:ilvl w:val="1"/>
          <w:numId w:val="43"/>
        </w:numPr>
        <w:tabs>
          <w:tab w:val="left" w:pos="851"/>
        </w:tabs>
        <w:spacing w:after="120"/>
        <w:ind w:left="851"/>
        <w:jc w:val="both"/>
        <w:rPr>
          <w:sz w:val="22"/>
          <w:szCs w:val="22"/>
        </w:rPr>
      </w:pPr>
      <w:r>
        <w:rPr>
          <w:sz w:val="22"/>
          <w:szCs w:val="22"/>
        </w:rPr>
        <w:t xml:space="preserve">The remote </w:t>
      </w:r>
      <w:proofErr w:type="spellStart"/>
      <w:r>
        <w:rPr>
          <w:sz w:val="22"/>
          <w:szCs w:val="22"/>
        </w:rPr>
        <w:t>metering</w:t>
      </w:r>
      <w:proofErr w:type="spellEnd"/>
      <w:r>
        <w:rPr>
          <w:sz w:val="22"/>
          <w:szCs w:val="22"/>
        </w:rPr>
        <w:t xml:space="preserve"> </w:t>
      </w:r>
      <w:proofErr w:type="spellStart"/>
      <w:r>
        <w:rPr>
          <w:sz w:val="22"/>
          <w:szCs w:val="22"/>
        </w:rPr>
        <w:t>devices</w:t>
      </w:r>
      <w:proofErr w:type="spellEnd"/>
      <w:r>
        <w:rPr>
          <w:sz w:val="22"/>
          <w:szCs w:val="22"/>
        </w:rPr>
        <w:t xml:space="preserve"> </w:t>
      </w:r>
      <w:proofErr w:type="spellStart"/>
      <w:r>
        <w:rPr>
          <w:sz w:val="22"/>
          <w:szCs w:val="22"/>
        </w:rPr>
        <w:t>installed</w:t>
      </w:r>
      <w:proofErr w:type="spellEnd"/>
      <w:r>
        <w:rPr>
          <w:sz w:val="22"/>
          <w:szCs w:val="22"/>
        </w:rPr>
        <w:t xml:space="preserve"> </w:t>
      </w:r>
      <w:proofErr w:type="spellStart"/>
      <w:r>
        <w:rPr>
          <w:sz w:val="22"/>
          <w:szCs w:val="22"/>
        </w:rPr>
        <w:t>on</w:t>
      </w:r>
      <w:proofErr w:type="spellEnd"/>
      <w:r>
        <w:rPr>
          <w:sz w:val="22"/>
          <w:szCs w:val="22"/>
        </w:rPr>
        <w:t xml:space="preserve"> </w:t>
      </w:r>
      <w:proofErr w:type="spellStart"/>
      <w:r>
        <w:rPr>
          <w:sz w:val="22"/>
          <w:szCs w:val="22"/>
        </w:rPr>
        <w:t>each</w:t>
      </w:r>
      <w:proofErr w:type="spellEnd"/>
      <w:r>
        <w:rPr>
          <w:sz w:val="22"/>
          <w:szCs w:val="22"/>
        </w:rPr>
        <w:t xml:space="preserve"> </w:t>
      </w:r>
      <w:proofErr w:type="spellStart"/>
      <w:r>
        <w:rPr>
          <w:sz w:val="22"/>
          <w:szCs w:val="22"/>
        </w:rPr>
        <w:t>drinking</w:t>
      </w:r>
      <w:proofErr w:type="spellEnd"/>
      <w:r>
        <w:rPr>
          <w:sz w:val="22"/>
          <w:szCs w:val="22"/>
        </w:rPr>
        <w:t xml:space="preserve"> </w:t>
      </w:r>
      <w:proofErr w:type="spellStart"/>
      <w:r>
        <w:rPr>
          <w:sz w:val="22"/>
          <w:szCs w:val="22"/>
        </w:rPr>
        <w:t>water</w:t>
      </w:r>
      <w:proofErr w:type="spellEnd"/>
      <w:r>
        <w:rPr>
          <w:sz w:val="22"/>
          <w:szCs w:val="22"/>
        </w:rPr>
        <w:t xml:space="preserve"> meter </w:t>
      </w:r>
      <w:proofErr w:type="spellStart"/>
      <w:r>
        <w:rPr>
          <w:sz w:val="22"/>
          <w:szCs w:val="22"/>
        </w:rPr>
        <w:t>will</w:t>
      </w:r>
      <w:proofErr w:type="spellEnd"/>
      <w:r>
        <w:rPr>
          <w:sz w:val="22"/>
          <w:szCs w:val="22"/>
        </w:rPr>
        <w:t xml:space="preserve"> </w:t>
      </w:r>
      <w:proofErr w:type="spellStart"/>
      <w:r>
        <w:rPr>
          <w:sz w:val="22"/>
          <w:szCs w:val="22"/>
        </w:rPr>
        <w:t>transmit</w:t>
      </w:r>
      <w:proofErr w:type="spellEnd"/>
      <w:r>
        <w:rPr>
          <w:sz w:val="22"/>
          <w:szCs w:val="22"/>
        </w:rPr>
        <w:t xml:space="preserve"> </w:t>
      </w:r>
      <w:proofErr w:type="spellStart"/>
      <w:r>
        <w:rPr>
          <w:sz w:val="22"/>
          <w:szCs w:val="22"/>
        </w:rPr>
        <w:t>the</w:t>
      </w:r>
      <w:proofErr w:type="spellEnd"/>
      <w:r>
        <w:rPr>
          <w:sz w:val="22"/>
          <w:szCs w:val="22"/>
        </w:rPr>
        <w:t xml:space="preserve"> </w:t>
      </w:r>
      <w:proofErr w:type="spellStart"/>
      <w:r>
        <w:rPr>
          <w:sz w:val="22"/>
          <w:szCs w:val="22"/>
        </w:rPr>
        <w:t>information</w:t>
      </w:r>
      <w:proofErr w:type="spellEnd"/>
      <w:r>
        <w:rPr>
          <w:sz w:val="22"/>
          <w:szCs w:val="22"/>
        </w:rPr>
        <w:t xml:space="preserve"> </w:t>
      </w:r>
      <w:proofErr w:type="spellStart"/>
      <w:r>
        <w:rPr>
          <w:sz w:val="22"/>
          <w:szCs w:val="22"/>
        </w:rPr>
        <w:t>wirelessly</w:t>
      </w:r>
      <w:proofErr w:type="spellEnd"/>
      <w:r>
        <w:rPr>
          <w:sz w:val="22"/>
          <w:szCs w:val="22"/>
        </w:rPr>
        <w:t xml:space="preserve"> </w:t>
      </w:r>
      <w:proofErr w:type="spellStart"/>
      <w:r>
        <w:rPr>
          <w:sz w:val="22"/>
          <w:szCs w:val="22"/>
        </w:rPr>
        <w:t>via</w:t>
      </w:r>
      <w:proofErr w:type="spellEnd"/>
      <w:r>
        <w:rPr>
          <w:sz w:val="22"/>
          <w:szCs w:val="22"/>
        </w:rPr>
        <w:t xml:space="preserve"> a </w:t>
      </w:r>
      <w:proofErr w:type="spellStart"/>
      <w:r>
        <w:rPr>
          <w:sz w:val="22"/>
          <w:szCs w:val="22"/>
        </w:rPr>
        <w:t>private</w:t>
      </w:r>
      <w:proofErr w:type="spellEnd"/>
      <w:r>
        <w:rPr>
          <w:sz w:val="22"/>
          <w:szCs w:val="22"/>
        </w:rPr>
        <w:t xml:space="preserve"> </w:t>
      </w:r>
      <w:proofErr w:type="spellStart"/>
      <w:r>
        <w:rPr>
          <w:sz w:val="22"/>
          <w:szCs w:val="22"/>
        </w:rPr>
        <w:t>mobile</w:t>
      </w:r>
      <w:proofErr w:type="spellEnd"/>
      <w:r>
        <w:rPr>
          <w:sz w:val="22"/>
          <w:szCs w:val="22"/>
        </w:rPr>
        <w:t xml:space="preserve"> </w:t>
      </w:r>
      <w:proofErr w:type="spellStart"/>
      <w:r>
        <w:rPr>
          <w:sz w:val="22"/>
          <w:szCs w:val="22"/>
        </w:rPr>
        <w:t>network</w:t>
      </w:r>
      <w:proofErr w:type="spellEnd"/>
      <w:r>
        <w:rPr>
          <w:sz w:val="22"/>
          <w:szCs w:val="22"/>
        </w:rPr>
        <w:t xml:space="preserve"> </w:t>
      </w:r>
      <w:proofErr w:type="spellStart"/>
      <w:r>
        <w:rPr>
          <w:sz w:val="22"/>
          <w:szCs w:val="22"/>
        </w:rPr>
        <w:t>to</w:t>
      </w:r>
      <w:proofErr w:type="spellEnd"/>
      <w:r>
        <w:rPr>
          <w:sz w:val="22"/>
          <w:szCs w:val="22"/>
        </w:rPr>
        <w:t xml:space="preserve"> </w:t>
      </w:r>
      <w:proofErr w:type="spellStart"/>
      <w:r>
        <w:rPr>
          <w:sz w:val="22"/>
          <w:szCs w:val="22"/>
        </w:rPr>
        <w:t>the</w:t>
      </w:r>
      <w:proofErr w:type="spellEnd"/>
      <w:r>
        <w:rPr>
          <w:sz w:val="22"/>
          <w:szCs w:val="22"/>
        </w:rPr>
        <w:t xml:space="preserve"> data </w:t>
      </w:r>
      <w:proofErr w:type="spellStart"/>
      <w:r>
        <w:rPr>
          <w:sz w:val="22"/>
          <w:szCs w:val="22"/>
        </w:rPr>
        <w:t>delivery</w:t>
      </w:r>
      <w:proofErr w:type="spellEnd"/>
      <w:r>
        <w:rPr>
          <w:sz w:val="22"/>
          <w:szCs w:val="22"/>
        </w:rPr>
        <w:t xml:space="preserve"> </w:t>
      </w:r>
      <w:proofErr w:type="spellStart"/>
      <w:r>
        <w:rPr>
          <w:sz w:val="22"/>
          <w:szCs w:val="22"/>
        </w:rPr>
        <w:t>point</w:t>
      </w:r>
      <w:proofErr w:type="spellEnd"/>
      <w:r>
        <w:rPr>
          <w:sz w:val="22"/>
          <w:szCs w:val="22"/>
        </w:rPr>
        <w:t xml:space="preserve">. The </w:t>
      </w:r>
      <w:proofErr w:type="spellStart"/>
      <w:r>
        <w:rPr>
          <w:sz w:val="22"/>
          <w:szCs w:val="22"/>
        </w:rPr>
        <w:t>private</w:t>
      </w:r>
      <w:proofErr w:type="spellEnd"/>
      <w:r>
        <w:rPr>
          <w:sz w:val="22"/>
          <w:szCs w:val="22"/>
        </w:rPr>
        <w:t xml:space="preserve"> </w:t>
      </w:r>
      <w:proofErr w:type="spellStart"/>
      <w:r>
        <w:rPr>
          <w:sz w:val="22"/>
          <w:szCs w:val="22"/>
        </w:rPr>
        <w:t>mobile</w:t>
      </w:r>
      <w:proofErr w:type="spellEnd"/>
      <w:r>
        <w:rPr>
          <w:sz w:val="22"/>
          <w:szCs w:val="22"/>
        </w:rPr>
        <w:t xml:space="preserve"> </w:t>
      </w:r>
      <w:proofErr w:type="spellStart"/>
      <w:r>
        <w:rPr>
          <w:sz w:val="22"/>
          <w:szCs w:val="22"/>
        </w:rPr>
        <w:t>network</w:t>
      </w:r>
      <w:proofErr w:type="spellEnd"/>
      <w:r>
        <w:rPr>
          <w:sz w:val="22"/>
          <w:szCs w:val="22"/>
        </w:rPr>
        <w:t xml:space="preserve"> </w:t>
      </w:r>
      <w:proofErr w:type="spellStart"/>
      <w:r>
        <w:rPr>
          <w:sz w:val="22"/>
          <w:szCs w:val="22"/>
        </w:rPr>
        <w:t>will</w:t>
      </w:r>
      <w:proofErr w:type="spellEnd"/>
      <w:r>
        <w:rPr>
          <w:sz w:val="22"/>
          <w:szCs w:val="22"/>
        </w:rPr>
        <w:t xml:space="preserve"> be </w:t>
      </w:r>
      <w:proofErr w:type="spellStart"/>
      <w:r>
        <w:rPr>
          <w:sz w:val="22"/>
          <w:szCs w:val="22"/>
        </w:rPr>
        <w:t>provided</w:t>
      </w:r>
      <w:proofErr w:type="spellEnd"/>
      <w:r>
        <w:rPr>
          <w:sz w:val="22"/>
          <w:szCs w:val="22"/>
        </w:rPr>
        <w:t xml:space="preserve"> </w:t>
      </w:r>
      <w:proofErr w:type="spellStart"/>
      <w:r>
        <w:rPr>
          <w:sz w:val="22"/>
          <w:szCs w:val="22"/>
        </w:rPr>
        <w:t>by</w:t>
      </w:r>
      <w:proofErr w:type="spellEnd"/>
      <w:r>
        <w:rPr>
          <w:sz w:val="22"/>
          <w:szCs w:val="22"/>
        </w:rPr>
        <w:t xml:space="preserve"> Antel.</w:t>
      </w:r>
    </w:p>
    <w:p w14:paraId="7D0136A8" w14:textId="77777777" w:rsidR="00E255F4" w:rsidRDefault="00000000">
      <w:pPr>
        <w:numPr>
          <w:ilvl w:val="1"/>
          <w:numId w:val="43"/>
        </w:numPr>
        <w:tabs>
          <w:tab w:val="left" w:pos="851"/>
        </w:tabs>
        <w:spacing w:after="120"/>
        <w:ind w:left="851"/>
        <w:jc w:val="both"/>
      </w:pPr>
      <w:r>
        <w:rPr>
          <w:sz w:val="22"/>
          <w:szCs w:val="22"/>
        </w:rPr>
        <w:t xml:space="preserve">The </w:t>
      </w:r>
      <w:proofErr w:type="spellStart"/>
      <w:r>
        <w:rPr>
          <w:sz w:val="22"/>
          <w:szCs w:val="22"/>
        </w:rPr>
        <w:t>supplier</w:t>
      </w:r>
      <w:proofErr w:type="spellEnd"/>
      <w:r>
        <w:rPr>
          <w:sz w:val="22"/>
          <w:szCs w:val="22"/>
        </w:rPr>
        <w:t xml:space="preserve"> </w:t>
      </w:r>
      <w:proofErr w:type="spellStart"/>
      <w:r>
        <w:rPr>
          <w:sz w:val="22"/>
          <w:szCs w:val="22"/>
        </w:rPr>
        <w:t>will</w:t>
      </w:r>
      <w:proofErr w:type="spellEnd"/>
      <w:r>
        <w:rPr>
          <w:sz w:val="22"/>
          <w:szCs w:val="22"/>
        </w:rPr>
        <w:t xml:space="preserve"> </w:t>
      </w:r>
      <w:proofErr w:type="spellStart"/>
      <w:r>
        <w:rPr>
          <w:sz w:val="22"/>
          <w:szCs w:val="22"/>
        </w:rPr>
        <w:t>install</w:t>
      </w:r>
      <w:proofErr w:type="spellEnd"/>
      <w:r>
        <w:rPr>
          <w:sz w:val="22"/>
          <w:szCs w:val="22"/>
        </w:rPr>
        <w:t xml:space="preserve"> </w:t>
      </w:r>
      <w:proofErr w:type="spellStart"/>
      <w:r>
        <w:rPr>
          <w:sz w:val="22"/>
          <w:szCs w:val="22"/>
        </w:rPr>
        <w:t>all</w:t>
      </w:r>
      <w:proofErr w:type="spellEnd"/>
      <w:r>
        <w:rPr>
          <w:sz w:val="22"/>
          <w:szCs w:val="22"/>
        </w:rPr>
        <w:t xml:space="preserve"> </w:t>
      </w:r>
      <w:proofErr w:type="spellStart"/>
      <w:r>
        <w:rPr>
          <w:sz w:val="22"/>
          <w:szCs w:val="22"/>
        </w:rPr>
        <w:t>necessary</w:t>
      </w:r>
      <w:proofErr w:type="spellEnd"/>
      <w:r>
        <w:rPr>
          <w:sz w:val="22"/>
          <w:szCs w:val="22"/>
        </w:rPr>
        <w:t xml:space="preserve"> hardware and/</w:t>
      </w:r>
      <w:proofErr w:type="spellStart"/>
      <w:r>
        <w:rPr>
          <w:sz w:val="22"/>
          <w:szCs w:val="22"/>
        </w:rPr>
        <w:t>or</w:t>
      </w:r>
      <w:proofErr w:type="spellEnd"/>
      <w:r>
        <w:rPr>
          <w:sz w:val="22"/>
          <w:szCs w:val="22"/>
        </w:rPr>
        <w:t xml:space="preserve"> software </w:t>
      </w:r>
      <w:proofErr w:type="spellStart"/>
      <w:r>
        <w:rPr>
          <w:sz w:val="22"/>
          <w:szCs w:val="22"/>
        </w:rPr>
        <w:t>components</w:t>
      </w:r>
      <w:proofErr w:type="spellEnd"/>
      <w:r>
        <w:rPr>
          <w:sz w:val="22"/>
          <w:szCs w:val="22"/>
        </w:rPr>
        <w:t xml:space="preserve"> </w:t>
      </w:r>
      <w:proofErr w:type="spellStart"/>
      <w:r>
        <w:rPr>
          <w:sz w:val="22"/>
          <w:szCs w:val="22"/>
        </w:rPr>
        <w:t>required</w:t>
      </w:r>
      <w:proofErr w:type="spellEnd"/>
      <w:r>
        <w:rPr>
          <w:sz w:val="22"/>
          <w:szCs w:val="22"/>
        </w:rPr>
        <w:t xml:space="preserve"> </w:t>
      </w:r>
      <w:proofErr w:type="spellStart"/>
      <w:r>
        <w:rPr>
          <w:sz w:val="22"/>
          <w:szCs w:val="22"/>
        </w:rPr>
        <w:t>to</w:t>
      </w:r>
      <w:proofErr w:type="spellEnd"/>
      <w:r>
        <w:rPr>
          <w:sz w:val="22"/>
          <w:szCs w:val="22"/>
        </w:rPr>
        <w:t xml:space="preserve"> </w:t>
      </w:r>
      <w:proofErr w:type="spellStart"/>
      <w:r>
        <w:rPr>
          <w:sz w:val="22"/>
          <w:szCs w:val="22"/>
        </w:rPr>
        <w:t>achieve</w:t>
      </w:r>
      <w:proofErr w:type="spellEnd"/>
      <w:r>
        <w:rPr>
          <w:sz w:val="22"/>
          <w:szCs w:val="22"/>
        </w:rPr>
        <w:t xml:space="preserve"> </w:t>
      </w:r>
      <w:proofErr w:type="spellStart"/>
      <w:r>
        <w:rPr>
          <w:sz w:val="22"/>
          <w:szCs w:val="22"/>
        </w:rPr>
        <w:t>optimal</w:t>
      </w:r>
      <w:proofErr w:type="spellEnd"/>
      <w:r>
        <w:rPr>
          <w:sz w:val="22"/>
          <w:szCs w:val="22"/>
        </w:rPr>
        <w:t xml:space="preserve"> performance </w:t>
      </w:r>
      <w:proofErr w:type="spellStart"/>
      <w:r>
        <w:rPr>
          <w:sz w:val="22"/>
          <w:szCs w:val="22"/>
        </w:rPr>
        <w:t>of</w:t>
      </w:r>
      <w:proofErr w:type="spellEnd"/>
      <w:r>
        <w:rPr>
          <w:sz w:val="22"/>
          <w:szCs w:val="22"/>
        </w:rPr>
        <w:t xml:space="preserve"> </w:t>
      </w:r>
      <w:proofErr w:type="spellStart"/>
      <w:r>
        <w:rPr>
          <w:sz w:val="22"/>
          <w:szCs w:val="22"/>
        </w:rPr>
        <w:t>the</w:t>
      </w:r>
      <w:proofErr w:type="spellEnd"/>
      <w:r>
        <w:rPr>
          <w:sz w:val="22"/>
          <w:szCs w:val="22"/>
        </w:rPr>
        <w:t xml:space="preserve"> </w:t>
      </w:r>
      <w:proofErr w:type="spellStart"/>
      <w:r>
        <w:rPr>
          <w:sz w:val="22"/>
          <w:szCs w:val="22"/>
        </w:rPr>
        <w:t>proposed</w:t>
      </w:r>
      <w:proofErr w:type="spellEnd"/>
      <w:r>
        <w:rPr>
          <w:sz w:val="22"/>
          <w:szCs w:val="22"/>
        </w:rPr>
        <w:t xml:space="preserve"> </w:t>
      </w:r>
      <w:proofErr w:type="spellStart"/>
      <w:r>
        <w:rPr>
          <w:sz w:val="22"/>
          <w:szCs w:val="22"/>
        </w:rPr>
        <w:t>Telemetry</w:t>
      </w:r>
      <w:proofErr w:type="spellEnd"/>
      <w:r>
        <w:rPr>
          <w:sz w:val="22"/>
          <w:szCs w:val="22"/>
        </w:rPr>
        <w:t xml:space="preserve"> </w:t>
      </w:r>
      <w:proofErr w:type="spellStart"/>
      <w:r>
        <w:rPr>
          <w:sz w:val="22"/>
          <w:szCs w:val="22"/>
        </w:rPr>
        <w:t>System</w:t>
      </w:r>
      <w:proofErr w:type="spellEnd"/>
      <w:r>
        <w:rPr>
          <w:sz w:val="22"/>
          <w:szCs w:val="22"/>
        </w:rPr>
        <w:t xml:space="preserve">. </w:t>
      </w:r>
      <w:proofErr w:type="spellStart"/>
      <w:r>
        <w:rPr>
          <w:sz w:val="22"/>
          <w:szCs w:val="22"/>
        </w:rPr>
        <w:t>All</w:t>
      </w:r>
      <w:proofErr w:type="spellEnd"/>
      <w:r>
        <w:rPr>
          <w:sz w:val="22"/>
          <w:szCs w:val="22"/>
        </w:rPr>
        <w:t xml:space="preserve"> </w:t>
      </w:r>
      <w:proofErr w:type="spellStart"/>
      <w:r>
        <w:rPr>
          <w:sz w:val="22"/>
          <w:szCs w:val="22"/>
        </w:rPr>
        <w:t>associated</w:t>
      </w:r>
      <w:proofErr w:type="spellEnd"/>
      <w:r>
        <w:rPr>
          <w:sz w:val="22"/>
          <w:szCs w:val="22"/>
        </w:rPr>
        <w:t xml:space="preserve"> </w:t>
      </w:r>
      <w:proofErr w:type="spellStart"/>
      <w:r>
        <w:rPr>
          <w:sz w:val="22"/>
          <w:szCs w:val="22"/>
        </w:rPr>
        <w:t>costs</w:t>
      </w:r>
      <w:proofErr w:type="spellEnd"/>
      <w:r>
        <w:rPr>
          <w:sz w:val="22"/>
          <w:szCs w:val="22"/>
        </w:rPr>
        <w:t xml:space="preserve"> </w:t>
      </w:r>
      <w:proofErr w:type="spellStart"/>
      <w:r>
        <w:rPr>
          <w:sz w:val="22"/>
          <w:szCs w:val="22"/>
        </w:rPr>
        <w:t>must</w:t>
      </w:r>
      <w:proofErr w:type="spellEnd"/>
      <w:r>
        <w:rPr>
          <w:sz w:val="22"/>
          <w:szCs w:val="22"/>
        </w:rPr>
        <w:t xml:space="preserve"> be </w:t>
      </w:r>
      <w:proofErr w:type="spellStart"/>
      <w:r>
        <w:rPr>
          <w:sz w:val="22"/>
          <w:szCs w:val="22"/>
        </w:rPr>
        <w:t>included</w:t>
      </w:r>
      <w:proofErr w:type="spellEnd"/>
      <w:r>
        <w:rPr>
          <w:sz w:val="22"/>
          <w:szCs w:val="22"/>
        </w:rPr>
        <w:t xml:space="preserve"> in </w:t>
      </w:r>
      <w:proofErr w:type="spellStart"/>
      <w:r>
        <w:rPr>
          <w:sz w:val="22"/>
          <w:szCs w:val="22"/>
        </w:rPr>
        <w:t>the</w:t>
      </w:r>
      <w:proofErr w:type="spellEnd"/>
      <w:r>
        <w:rPr>
          <w:sz w:val="22"/>
          <w:szCs w:val="22"/>
        </w:rPr>
        <w:t xml:space="preserve"> </w:t>
      </w:r>
      <w:proofErr w:type="spellStart"/>
      <w:r>
        <w:rPr>
          <w:sz w:val="22"/>
          <w:szCs w:val="22"/>
        </w:rPr>
        <w:t>offer</w:t>
      </w:r>
      <w:proofErr w:type="spellEnd"/>
      <w:r>
        <w:rPr>
          <w:sz w:val="22"/>
          <w:szCs w:val="22"/>
        </w:rPr>
        <w:t xml:space="preserve">, </w:t>
      </w:r>
      <w:proofErr w:type="spellStart"/>
      <w:r>
        <w:rPr>
          <w:sz w:val="22"/>
          <w:szCs w:val="22"/>
        </w:rPr>
        <w:t>except</w:t>
      </w:r>
      <w:proofErr w:type="spellEnd"/>
      <w:r>
        <w:rPr>
          <w:sz w:val="22"/>
          <w:szCs w:val="22"/>
        </w:rPr>
        <w:t xml:space="preserve"> </w:t>
      </w:r>
      <w:proofErr w:type="spellStart"/>
      <w:r>
        <w:rPr>
          <w:sz w:val="22"/>
          <w:szCs w:val="22"/>
        </w:rPr>
        <w:t>for</w:t>
      </w:r>
      <w:proofErr w:type="spellEnd"/>
      <w:r>
        <w:rPr>
          <w:sz w:val="22"/>
          <w:szCs w:val="22"/>
        </w:rPr>
        <w:t xml:space="preserve"> </w:t>
      </w:r>
      <w:proofErr w:type="spellStart"/>
      <w:r>
        <w:rPr>
          <w:sz w:val="22"/>
          <w:szCs w:val="22"/>
        </w:rPr>
        <w:t>the</w:t>
      </w:r>
      <w:proofErr w:type="spellEnd"/>
      <w:r>
        <w:rPr>
          <w:sz w:val="22"/>
          <w:szCs w:val="22"/>
        </w:rPr>
        <w:t xml:space="preserve"> </w:t>
      </w:r>
      <w:proofErr w:type="spellStart"/>
      <w:r>
        <w:rPr>
          <w:sz w:val="22"/>
          <w:szCs w:val="22"/>
        </w:rPr>
        <w:t>connectivity</w:t>
      </w:r>
      <w:proofErr w:type="spellEnd"/>
      <w:r>
        <w:rPr>
          <w:sz w:val="22"/>
          <w:szCs w:val="22"/>
        </w:rPr>
        <w:t xml:space="preserve"> </w:t>
      </w:r>
      <w:proofErr w:type="spellStart"/>
      <w:r>
        <w:rPr>
          <w:sz w:val="22"/>
          <w:szCs w:val="22"/>
        </w:rPr>
        <w:t>of</w:t>
      </w:r>
      <w:proofErr w:type="spellEnd"/>
      <w:r>
        <w:rPr>
          <w:sz w:val="22"/>
          <w:szCs w:val="22"/>
        </w:rPr>
        <w:t xml:space="preserve"> </w:t>
      </w:r>
      <w:proofErr w:type="spellStart"/>
      <w:r>
        <w:rPr>
          <w:sz w:val="22"/>
          <w:szCs w:val="22"/>
        </w:rPr>
        <w:t>the</w:t>
      </w:r>
      <w:proofErr w:type="spellEnd"/>
      <w:r>
        <w:rPr>
          <w:sz w:val="22"/>
          <w:szCs w:val="22"/>
        </w:rPr>
        <w:t xml:space="preserve"> </w:t>
      </w:r>
      <w:proofErr w:type="spellStart"/>
      <w:r>
        <w:rPr>
          <w:sz w:val="22"/>
          <w:szCs w:val="22"/>
        </w:rPr>
        <w:t>telemetry</w:t>
      </w:r>
      <w:proofErr w:type="spellEnd"/>
      <w:r>
        <w:rPr>
          <w:sz w:val="22"/>
          <w:szCs w:val="22"/>
        </w:rPr>
        <w:t xml:space="preserve"> </w:t>
      </w:r>
      <w:proofErr w:type="spellStart"/>
      <w:r>
        <w:rPr>
          <w:sz w:val="22"/>
          <w:szCs w:val="22"/>
        </w:rPr>
        <w:t>devices</w:t>
      </w:r>
      <w:proofErr w:type="spellEnd"/>
      <w:r>
        <w:rPr>
          <w:sz w:val="22"/>
          <w:szCs w:val="22"/>
        </w:rPr>
        <w:t xml:space="preserve">, </w:t>
      </w:r>
      <w:proofErr w:type="spellStart"/>
      <w:r>
        <w:rPr>
          <w:sz w:val="22"/>
          <w:szCs w:val="22"/>
        </w:rPr>
        <w:t>which</w:t>
      </w:r>
      <w:proofErr w:type="spellEnd"/>
      <w:r>
        <w:rPr>
          <w:sz w:val="22"/>
          <w:szCs w:val="22"/>
        </w:rPr>
        <w:t xml:space="preserve"> </w:t>
      </w:r>
      <w:proofErr w:type="spellStart"/>
      <w:r>
        <w:rPr>
          <w:sz w:val="22"/>
          <w:szCs w:val="22"/>
        </w:rPr>
        <w:t>will</w:t>
      </w:r>
      <w:proofErr w:type="spellEnd"/>
      <w:r>
        <w:rPr>
          <w:sz w:val="22"/>
          <w:szCs w:val="22"/>
        </w:rPr>
        <w:t xml:space="preserve"> be </w:t>
      </w:r>
      <w:proofErr w:type="spellStart"/>
      <w:r>
        <w:rPr>
          <w:sz w:val="22"/>
          <w:szCs w:val="22"/>
        </w:rPr>
        <w:t>provided</w:t>
      </w:r>
      <w:proofErr w:type="spellEnd"/>
      <w:r>
        <w:rPr>
          <w:sz w:val="22"/>
          <w:szCs w:val="22"/>
        </w:rPr>
        <w:t xml:space="preserve"> </w:t>
      </w:r>
      <w:proofErr w:type="spellStart"/>
      <w:r>
        <w:rPr>
          <w:sz w:val="22"/>
          <w:szCs w:val="22"/>
        </w:rPr>
        <w:t>by</w:t>
      </w:r>
      <w:proofErr w:type="spellEnd"/>
      <w:r>
        <w:rPr>
          <w:sz w:val="22"/>
          <w:szCs w:val="22"/>
        </w:rPr>
        <w:t xml:space="preserve"> OSE-Antel.</w:t>
      </w:r>
    </w:p>
    <w:p w14:paraId="329AC7F0" w14:textId="77777777" w:rsidR="00E255F4" w:rsidRDefault="00000000">
      <w:pPr>
        <w:numPr>
          <w:ilvl w:val="1"/>
          <w:numId w:val="43"/>
        </w:numPr>
        <w:tabs>
          <w:tab w:val="left" w:pos="851"/>
        </w:tabs>
        <w:spacing w:after="120"/>
        <w:ind w:left="851"/>
        <w:jc w:val="both"/>
        <w:rPr>
          <w:sz w:val="22"/>
          <w:szCs w:val="22"/>
        </w:rPr>
      </w:pPr>
      <w:r>
        <w:rPr>
          <w:sz w:val="22"/>
          <w:szCs w:val="22"/>
        </w:rPr>
        <w:t xml:space="preserve">The </w:t>
      </w:r>
      <w:proofErr w:type="spellStart"/>
      <w:r>
        <w:rPr>
          <w:sz w:val="22"/>
          <w:szCs w:val="22"/>
        </w:rPr>
        <w:t>supplier</w:t>
      </w:r>
      <w:proofErr w:type="spellEnd"/>
      <w:r>
        <w:rPr>
          <w:sz w:val="22"/>
          <w:szCs w:val="22"/>
        </w:rPr>
        <w:t xml:space="preserve"> </w:t>
      </w:r>
      <w:proofErr w:type="spellStart"/>
      <w:r>
        <w:rPr>
          <w:sz w:val="22"/>
          <w:szCs w:val="22"/>
        </w:rPr>
        <w:t>will</w:t>
      </w:r>
      <w:proofErr w:type="spellEnd"/>
      <w:r>
        <w:rPr>
          <w:sz w:val="22"/>
          <w:szCs w:val="22"/>
        </w:rPr>
        <w:t xml:space="preserve"> </w:t>
      </w:r>
      <w:proofErr w:type="spellStart"/>
      <w:r>
        <w:rPr>
          <w:sz w:val="22"/>
          <w:szCs w:val="22"/>
        </w:rPr>
        <w:t>install</w:t>
      </w:r>
      <w:proofErr w:type="spellEnd"/>
      <w:r>
        <w:rPr>
          <w:sz w:val="22"/>
          <w:szCs w:val="22"/>
        </w:rPr>
        <w:t xml:space="preserve"> </w:t>
      </w:r>
      <w:proofErr w:type="spellStart"/>
      <w:r>
        <w:rPr>
          <w:sz w:val="22"/>
          <w:szCs w:val="22"/>
        </w:rPr>
        <w:t>all</w:t>
      </w:r>
      <w:proofErr w:type="spellEnd"/>
      <w:r>
        <w:rPr>
          <w:sz w:val="22"/>
          <w:szCs w:val="22"/>
        </w:rPr>
        <w:t xml:space="preserve"> </w:t>
      </w:r>
      <w:proofErr w:type="spellStart"/>
      <w:r>
        <w:rPr>
          <w:sz w:val="22"/>
          <w:szCs w:val="22"/>
        </w:rPr>
        <w:t>the</w:t>
      </w:r>
      <w:proofErr w:type="spellEnd"/>
      <w:r>
        <w:rPr>
          <w:sz w:val="22"/>
          <w:szCs w:val="22"/>
        </w:rPr>
        <w:t xml:space="preserve"> </w:t>
      </w:r>
      <w:proofErr w:type="spellStart"/>
      <w:r>
        <w:rPr>
          <w:sz w:val="22"/>
          <w:szCs w:val="22"/>
        </w:rPr>
        <w:t>necessary</w:t>
      </w:r>
      <w:proofErr w:type="spellEnd"/>
      <w:r>
        <w:rPr>
          <w:sz w:val="22"/>
          <w:szCs w:val="22"/>
        </w:rPr>
        <w:t xml:space="preserve"> software </w:t>
      </w:r>
      <w:proofErr w:type="spellStart"/>
      <w:r>
        <w:rPr>
          <w:sz w:val="22"/>
          <w:szCs w:val="22"/>
        </w:rPr>
        <w:t>applications</w:t>
      </w:r>
      <w:proofErr w:type="spellEnd"/>
      <w:r>
        <w:rPr>
          <w:sz w:val="22"/>
          <w:szCs w:val="22"/>
        </w:rPr>
        <w:t xml:space="preserve"> </w:t>
      </w:r>
      <w:proofErr w:type="spellStart"/>
      <w:r>
        <w:rPr>
          <w:sz w:val="22"/>
          <w:szCs w:val="22"/>
        </w:rPr>
        <w:t>to</w:t>
      </w:r>
      <w:proofErr w:type="spellEnd"/>
      <w:r>
        <w:rPr>
          <w:sz w:val="22"/>
          <w:szCs w:val="22"/>
        </w:rPr>
        <w:t xml:space="preserve"> </w:t>
      </w:r>
      <w:proofErr w:type="spellStart"/>
      <w:r>
        <w:rPr>
          <w:sz w:val="22"/>
          <w:szCs w:val="22"/>
        </w:rPr>
        <w:t>manage</w:t>
      </w:r>
      <w:proofErr w:type="spellEnd"/>
      <w:r>
        <w:rPr>
          <w:sz w:val="22"/>
          <w:szCs w:val="22"/>
        </w:rPr>
        <w:t xml:space="preserve"> and control </w:t>
      </w:r>
      <w:proofErr w:type="spellStart"/>
      <w:r>
        <w:rPr>
          <w:sz w:val="22"/>
          <w:szCs w:val="22"/>
        </w:rPr>
        <w:t>the</w:t>
      </w:r>
      <w:proofErr w:type="spellEnd"/>
      <w:r>
        <w:rPr>
          <w:sz w:val="22"/>
          <w:szCs w:val="22"/>
        </w:rPr>
        <w:t xml:space="preserve"> </w:t>
      </w:r>
      <w:proofErr w:type="spellStart"/>
      <w:r>
        <w:rPr>
          <w:sz w:val="22"/>
          <w:szCs w:val="22"/>
        </w:rPr>
        <w:t>operation</w:t>
      </w:r>
      <w:proofErr w:type="spellEnd"/>
      <w:r>
        <w:rPr>
          <w:sz w:val="22"/>
          <w:szCs w:val="22"/>
        </w:rPr>
        <w:t xml:space="preserve"> </w:t>
      </w:r>
      <w:proofErr w:type="spellStart"/>
      <w:r>
        <w:rPr>
          <w:sz w:val="22"/>
          <w:szCs w:val="22"/>
        </w:rPr>
        <w:t>of</w:t>
      </w:r>
      <w:proofErr w:type="spellEnd"/>
      <w:r>
        <w:rPr>
          <w:sz w:val="22"/>
          <w:szCs w:val="22"/>
        </w:rPr>
        <w:t xml:space="preserve"> </w:t>
      </w:r>
      <w:proofErr w:type="spellStart"/>
      <w:r>
        <w:rPr>
          <w:sz w:val="22"/>
          <w:szCs w:val="22"/>
        </w:rPr>
        <w:t>the</w:t>
      </w:r>
      <w:proofErr w:type="spellEnd"/>
      <w:r>
        <w:rPr>
          <w:sz w:val="22"/>
          <w:szCs w:val="22"/>
        </w:rPr>
        <w:t xml:space="preserve"> </w:t>
      </w:r>
      <w:proofErr w:type="spellStart"/>
      <w:r>
        <w:rPr>
          <w:sz w:val="22"/>
          <w:szCs w:val="22"/>
        </w:rPr>
        <w:t>implemented</w:t>
      </w:r>
      <w:proofErr w:type="spellEnd"/>
      <w:r>
        <w:rPr>
          <w:sz w:val="22"/>
          <w:szCs w:val="22"/>
        </w:rPr>
        <w:t xml:space="preserve"> </w:t>
      </w:r>
      <w:proofErr w:type="spellStart"/>
      <w:r>
        <w:rPr>
          <w:sz w:val="22"/>
          <w:szCs w:val="22"/>
        </w:rPr>
        <w:t>Telemetry</w:t>
      </w:r>
      <w:proofErr w:type="spellEnd"/>
      <w:r>
        <w:rPr>
          <w:sz w:val="22"/>
          <w:szCs w:val="22"/>
        </w:rPr>
        <w:t xml:space="preserve"> </w:t>
      </w:r>
      <w:proofErr w:type="spellStart"/>
      <w:r>
        <w:rPr>
          <w:sz w:val="22"/>
          <w:szCs w:val="22"/>
        </w:rPr>
        <w:t>System</w:t>
      </w:r>
      <w:proofErr w:type="spellEnd"/>
      <w:r>
        <w:rPr>
          <w:sz w:val="22"/>
          <w:szCs w:val="22"/>
        </w:rPr>
        <w:t xml:space="preserve">, </w:t>
      </w:r>
      <w:proofErr w:type="spellStart"/>
      <w:r>
        <w:rPr>
          <w:sz w:val="22"/>
          <w:szCs w:val="22"/>
        </w:rPr>
        <w:t>including</w:t>
      </w:r>
      <w:proofErr w:type="spellEnd"/>
      <w:r>
        <w:rPr>
          <w:sz w:val="22"/>
          <w:szCs w:val="22"/>
        </w:rPr>
        <w:t xml:space="preserve"> </w:t>
      </w:r>
      <w:proofErr w:type="spellStart"/>
      <w:r>
        <w:rPr>
          <w:sz w:val="22"/>
          <w:szCs w:val="22"/>
        </w:rPr>
        <w:t>aspects</w:t>
      </w:r>
      <w:proofErr w:type="spellEnd"/>
      <w:r>
        <w:rPr>
          <w:sz w:val="22"/>
          <w:szCs w:val="22"/>
        </w:rPr>
        <w:t xml:space="preserve"> </w:t>
      </w:r>
      <w:proofErr w:type="spellStart"/>
      <w:r>
        <w:rPr>
          <w:sz w:val="22"/>
          <w:szCs w:val="22"/>
        </w:rPr>
        <w:t>related</w:t>
      </w:r>
      <w:proofErr w:type="spellEnd"/>
      <w:r>
        <w:rPr>
          <w:sz w:val="22"/>
          <w:szCs w:val="22"/>
        </w:rPr>
        <w:t xml:space="preserve"> </w:t>
      </w:r>
      <w:proofErr w:type="spellStart"/>
      <w:r>
        <w:rPr>
          <w:sz w:val="22"/>
          <w:szCs w:val="22"/>
        </w:rPr>
        <w:t>to</w:t>
      </w:r>
      <w:proofErr w:type="spellEnd"/>
      <w:r>
        <w:rPr>
          <w:sz w:val="22"/>
          <w:szCs w:val="22"/>
        </w:rPr>
        <w:t xml:space="preserve"> </w:t>
      </w:r>
      <w:proofErr w:type="spellStart"/>
      <w:r>
        <w:rPr>
          <w:sz w:val="22"/>
          <w:szCs w:val="22"/>
        </w:rPr>
        <w:t>the</w:t>
      </w:r>
      <w:proofErr w:type="spellEnd"/>
      <w:r>
        <w:rPr>
          <w:sz w:val="22"/>
          <w:szCs w:val="22"/>
        </w:rPr>
        <w:t xml:space="preserve"> </w:t>
      </w:r>
      <w:proofErr w:type="spellStart"/>
      <w:r>
        <w:rPr>
          <w:sz w:val="22"/>
          <w:szCs w:val="22"/>
        </w:rPr>
        <w:t>telecommunication</w:t>
      </w:r>
      <w:proofErr w:type="spellEnd"/>
      <w:r>
        <w:rPr>
          <w:sz w:val="22"/>
          <w:szCs w:val="22"/>
        </w:rPr>
        <w:t xml:space="preserve"> </w:t>
      </w:r>
      <w:proofErr w:type="spellStart"/>
      <w:r>
        <w:rPr>
          <w:sz w:val="22"/>
          <w:szCs w:val="22"/>
        </w:rPr>
        <w:t>of</w:t>
      </w:r>
      <w:proofErr w:type="spellEnd"/>
      <w:r>
        <w:rPr>
          <w:sz w:val="22"/>
          <w:szCs w:val="22"/>
        </w:rPr>
        <w:t xml:space="preserve"> </w:t>
      </w:r>
      <w:proofErr w:type="spellStart"/>
      <w:r>
        <w:rPr>
          <w:sz w:val="22"/>
          <w:szCs w:val="22"/>
        </w:rPr>
        <w:t>information</w:t>
      </w:r>
      <w:proofErr w:type="spellEnd"/>
      <w:r>
        <w:rPr>
          <w:sz w:val="22"/>
          <w:szCs w:val="22"/>
        </w:rPr>
        <w:t xml:space="preserve"> and </w:t>
      </w:r>
      <w:proofErr w:type="spellStart"/>
      <w:r>
        <w:rPr>
          <w:sz w:val="22"/>
          <w:szCs w:val="22"/>
        </w:rPr>
        <w:t>aspects</w:t>
      </w:r>
      <w:proofErr w:type="spellEnd"/>
      <w:r>
        <w:rPr>
          <w:sz w:val="22"/>
          <w:szCs w:val="22"/>
        </w:rPr>
        <w:t xml:space="preserve"> </w:t>
      </w:r>
      <w:proofErr w:type="spellStart"/>
      <w:r>
        <w:rPr>
          <w:sz w:val="22"/>
          <w:szCs w:val="22"/>
        </w:rPr>
        <w:t>related</w:t>
      </w:r>
      <w:proofErr w:type="spellEnd"/>
      <w:r>
        <w:rPr>
          <w:sz w:val="22"/>
          <w:szCs w:val="22"/>
        </w:rPr>
        <w:t xml:space="preserve"> </w:t>
      </w:r>
      <w:proofErr w:type="spellStart"/>
      <w:r>
        <w:rPr>
          <w:sz w:val="22"/>
          <w:szCs w:val="22"/>
        </w:rPr>
        <w:t>to</w:t>
      </w:r>
      <w:proofErr w:type="spellEnd"/>
      <w:r>
        <w:rPr>
          <w:sz w:val="22"/>
          <w:szCs w:val="22"/>
        </w:rPr>
        <w:t xml:space="preserve"> data </w:t>
      </w:r>
      <w:proofErr w:type="spellStart"/>
      <w:r>
        <w:rPr>
          <w:sz w:val="22"/>
          <w:szCs w:val="22"/>
        </w:rPr>
        <w:t>management</w:t>
      </w:r>
      <w:proofErr w:type="spellEnd"/>
      <w:r>
        <w:rPr>
          <w:sz w:val="22"/>
          <w:szCs w:val="22"/>
        </w:rPr>
        <w:t>.</w:t>
      </w:r>
    </w:p>
    <w:p w14:paraId="76F5143B" w14:textId="77777777" w:rsidR="00E255F4" w:rsidRDefault="00000000">
      <w:pPr>
        <w:numPr>
          <w:ilvl w:val="1"/>
          <w:numId w:val="43"/>
        </w:numPr>
        <w:tabs>
          <w:tab w:val="left" w:pos="851"/>
        </w:tabs>
        <w:spacing w:after="120"/>
        <w:ind w:left="851"/>
        <w:jc w:val="both"/>
        <w:rPr>
          <w:sz w:val="22"/>
          <w:szCs w:val="22"/>
        </w:rPr>
      </w:pPr>
      <w:r>
        <w:rPr>
          <w:sz w:val="22"/>
          <w:szCs w:val="22"/>
        </w:rPr>
        <w:t xml:space="preserve">The </w:t>
      </w:r>
      <w:proofErr w:type="spellStart"/>
      <w:r>
        <w:rPr>
          <w:sz w:val="22"/>
          <w:szCs w:val="22"/>
        </w:rPr>
        <w:t>supplier</w:t>
      </w:r>
      <w:proofErr w:type="spellEnd"/>
      <w:r>
        <w:rPr>
          <w:sz w:val="22"/>
          <w:szCs w:val="22"/>
        </w:rPr>
        <w:t xml:space="preserve"> </w:t>
      </w:r>
      <w:proofErr w:type="spellStart"/>
      <w:r>
        <w:rPr>
          <w:sz w:val="22"/>
          <w:szCs w:val="22"/>
        </w:rPr>
        <w:t>is</w:t>
      </w:r>
      <w:proofErr w:type="spellEnd"/>
      <w:r>
        <w:rPr>
          <w:sz w:val="22"/>
          <w:szCs w:val="22"/>
        </w:rPr>
        <w:t xml:space="preserve"> </w:t>
      </w:r>
      <w:proofErr w:type="spellStart"/>
      <w:r>
        <w:rPr>
          <w:sz w:val="22"/>
          <w:szCs w:val="22"/>
        </w:rPr>
        <w:t>exempt</w:t>
      </w:r>
      <w:proofErr w:type="spellEnd"/>
      <w:r>
        <w:rPr>
          <w:sz w:val="22"/>
          <w:szCs w:val="22"/>
        </w:rPr>
        <w:t xml:space="preserve"> </w:t>
      </w:r>
      <w:proofErr w:type="spellStart"/>
      <w:r>
        <w:rPr>
          <w:sz w:val="22"/>
          <w:szCs w:val="22"/>
        </w:rPr>
        <w:t>from</w:t>
      </w:r>
      <w:proofErr w:type="spellEnd"/>
      <w:r>
        <w:rPr>
          <w:sz w:val="22"/>
          <w:szCs w:val="22"/>
        </w:rPr>
        <w:t xml:space="preserve"> </w:t>
      </w:r>
      <w:proofErr w:type="spellStart"/>
      <w:r>
        <w:rPr>
          <w:sz w:val="22"/>
          <w:szCs w:val="22"/>
        </w:rPr>
        <w:t>installing</w:t>
      </w:r>
      <w:proofErr w:type="spellEnd"/>
      <w:r>
        <w:rPr>
          <w:sz w:val="22"/>
          <w:szCs w:val="22"/>
        </w:rPr>
        <w:t xml:space="preserve"> </w:t>
      </w:r>
      <w:proofErr w:type="spellStart"/>
      <w:r>
        <w:rPr>
          <w:sz w:val="22"/>
          <w:szCs w:val="22"/>
        </w:rPr>
        <w:t>the</w:t>
      </w:r>
      <w:proofErr w:type="spellEnd"/>
      <w:r>
        <w:rPr>
          <w:sz w:val="22"/>
          <w:szCs w:val="22"/>
        </w:rPr>
        <w:t xml:space="preserve"> meter at </w:t>
      </w:r>
      <w:proofErr w:type="spellStart"/>
      <w:r>
        <w:rPr>
          <w:sz w:val="22"/>
          <w:szCs w:val="22"/>
        </w:rPr>
        <w:t>the</w:t>
      </w:r>
      <w:proofErr w:type="spellEnd"/>
      <w:r>
        <w:rPr>
          <w:sz w:val="22"/>
          <w:szCs w:val="22"/>
        </w:rPr>
        <w:t xml:space="preserve"> </w:t>
      </w:r>
      <w:proofErr w:type="spellStart"/>
      <w:r>
        <w:rPr>
          <w:sz w:val="22"/>
          <w:szCs w:val="22"/>
        </w:rPr>
        <w:t>connections</w:t>
      </w:r>
      <w:proofErr w:type="spellEnd"/>
      <w:r>
        <w:rPr>
          <w:sz w:val="22"/>
          <w:szCs w:val="22"/>
        </w:rPr>
        <w:t xml:space="preserve">; </w:t>
      </w:r>
      <w:proofErr w:type="spellStart"/>
      <w:r>
        <w:rPr>
          <w:sz w:val="22"/>
          <w:szCs w:val="22"/>
        </w:rPr>
        <w:t>this</w:t>
      </w:r>
      <w:proofErr w:type="spellEnd"/>
      <w:r>
        <w:rPr>
          <w:sz w:val="22"/>
          <w:szCs w:val="22"/>
        </w:rPr>
        <w:t xml:space="preserve"> </w:t>
      </w:r>
      <w:proofErr w:type="spellStart"/>
      <w:r>
        <w:rPr>
          <w:sz w:val="22"/>
          <w:szCs w:val="22"/>
        </w:rPr>
        <w:t>will</w:t>
      </w:r>
      <w:proofErr w:type="spellEnd"/>
      <w:r>
        <w:rPr>
          <w:sz w:val="22"/>
          <w:szCs w:val="22"/>
        </w:rPr>
        <w:t xml:space="preserve"> be </w:t>
      </w:r>
      <w:proofErr w:type="spellStart"/>
      <w:r>
        <w:rPr>
          <w:sz w:val="22"/>
          <w:szCs w:val="22"/>
        </w:rPr>
        <w:t>carried</w:t>
      </w:r>
      <w:proofErr w:type="spellEnd"/>
      <w:r>
        <w:rPr>
          <w:sz w:val="22"/>
          <w:szCs w:val="22"/>
        </w:rPr>
        <w:t xml:space="preserve"> </w:t>
      </w:r>
      <w:proofErr w:type="spellStart"/>
      <w:r>
        <w:rPr>
          <w:sz w:val="22"/>
          <w:szCs w:val="22"/>
        </w:rPr>
        <w:t>out</w:t>
      </w:r>
      <w:proofErr w:type="spellEnd"/>
      <w:r>
        <w:rPr>
          <w:sz w:val="22"/>
          <w:szCs w:val="22"/>
        </w:rPr>
        <w:t xml:space="preserve"> </w:t>
      </w:r>
      <w:proofErr w:type="spellStart"/>
      <w:r>
        <w:rPr>
          <w:sz w:val="22"/>
          <w:szCs w:val="22"/>
        </w:rPr>
        <w:t>by</w:t>
      </w:r>
      <w:proofErr w:type="spellEnd"/>
      <w:r>
        <w:rPr>
          <w:sz w:val="22"/>
          <w:szCs w:val="22"/>
        </w:rPr>
        <w:t xml:space="preserve"> </w:t>
      </w:r>
      <w:proofErr w:type="spellStart"/>
      <w:r>
        <w:rPr>
          <w:sz w:val="22"/>
          <w:szCs w:val="22"/>
        </w:rPr>
        <w:t>technical</w:t>
      </w:r>
      <w:proofErr w:type="spellEnd"/>
      <w:r>
        <w:rPr>
          <w:sz w:val="22"/>
          <w:szCs w:val="22"/>
        </w:rPr>
        <w:t xml:space="preserve"> </w:t>
      </w:r>
      <w:proofErr w:type="spellStart"/>
      <w:r>
        <w:rPr>
          <w:sz w:val="22"/>
          <w:szCs w:val="22"/>
        </w:rPr>
        <w:t>personnel</w:t>
      </w:r>
      <w:proofErr w:type="spellEnd"/>
      <w:r>
        <w:rPr>
          <w:sz w:val="22"/>
          <w:szCs w:val="22"/>
        </w:rPr>
        <w:t xml:space="preserve"> </w:t>
      </w:r>
      <w:proofErr w:type="spellStart"/>
      <w:r>
        <w:rPr>
          <w:sz w:val="22"/>
          <w:szCs w:val="22"/>
        </w:rPr>
        <w:t>from</w:t>
      </w:r>
      <w:proofErr w:type="spellEnd"/>
      <w:r>
        <w:rPr>
          <w:sz w:val="22"/>
          <w:szCs w:val="22"/>
        </w:rPr>
        <w:t xml:space="preserve">, </w:t>
      </w:r>
      <w:proofErr w:type="spellStart"/>
      <w:r>
        <w:rPr>
          <w:sz w:val="22"/>
          <w:szCs w:val="22"/>
        </w:rPr>
        <w:t>or</w:t>
      </w:r>
      <w:proofErr w:type="spellEnd"/>
      <w:r>
        <w:rPr>
          <w:sz w:val="22"/>
          <w:szCs w:val="22"/>
        </w:rPr>
        <w:t xml:space="preserve"> </w:t>
      </w:r>
      <w:proofErr w:type="spellStart"/>
      <w:r>
        <w:rPr>
          <w:sz w:val="22"/>
          <w:szCs w:val="22"/>
        </w:rPr>
        <w:t>contracted</w:t>
      </w:r>
      <w:proofErr w:type="spellEnd"/>
      <w:r>
        <w:rPr>
          <w:sz w:val="22"/>
          <w:szCs w:val="22"/>
        </w:rPr>
        <w:t xml:space="preserve"> </w:t>
      </w:r>
      <w:proofErr w:type="spellStart"/>
      <w:r>
        <w:rPr>
          <w:sz w:val="22"/>
          <w:szCs w:val="22"/>
        </w:rPr>
        <w:t>by</w:t>
      </w:r>
      <w:proofErr w:type="spellEnd"/>
      <w:r>
        <w:rPr>
          <w:sz w:val="22"/>
          <w:szCs w:val="22"/>
        </w:rPr>
        <w:t xml:space="preserve">, OSE. </w:t>
      </w:r>
      <w:proofErr w:type="spellStart"/>
      <w:r>
        <w:rPr>
          <w:sz w:val="22"/>
          <w:szCs w:val="22"/>
        </w:rPr>
        <w:t>All</w:t>
      </w:r>
      <w:proofErr w:type="spellEnd"/>
      <w:r>
        <w:rPr>
          <w:sz w:val="22"/>
          <w:szCs w:val="22"/>
        </w:rPr>
        <w:t xml:space="preserve"> </w:t>
      </w:r>
      <w:proofErr w:type="spellStart"/>
      <w:r>
        <w:rPr>
          <w:sz w:val="22"/>
          <w:szCs w:val="22"/>
        </w:rPr>
        <w:t>activities</w:t>
      </w:r>
      <w:proofErr w:type="spellEnd"/>
      <w:r>
        <w:rPr>
          <w:sz w:val="22"/>
          <w:szCs w:val="22"/>
        </w:rPr>
        <w:t xml:space="preserve"> </w:t>
      </w:r>
      <w:proofErr w:type="spellStart"/>
      <w:r>
        <w:rPr>
          <w:sz w:val="22"/>
          <w:szCs w:val="22"/>
        </w:rPr>
        <w:t>to</w:t>
      </w:r>
      <w:proofErr w:type="spellEnd"/>
      <w:r>
        <w:rPr>
          <w:sz w:val="22"/>
          <w:szCs w:val="22"/>
        </w:rPr>
        <w:t xml:space="preserve"> be </w:t>
      </w:r>
      <w:proofErr w:type="spellStart"/>
      <w:r>
        <w:rPr>
          <w:sz w:val="22"/>
          <w:szCs w:val="22"/>
        </w:rPr>
        <w:t>performed</w:t>
      </w:r>
      <w:proofErr w:type="spellEnd"/>
      <w:r>
        <w:rPr>
          <w:sz w:val="22"/>
          <w:szCs w:val="22"/>
        </w:rPr>
        <w:t xml:space="preserve"> </w:t>
      </w:r>
      <w:proofErr w:type="spellStart"/>
      <w:r>
        <w:rPr>
          <w:sz w:val="22"/>
          <w:szCs w:val="22"/>
        </w:rPr>
        <w:t>by</w:t>
      </w:r>
      <w:proofErr w:type="spellEnd"/>
      <w:r>
        <w:rPr>
          <w:sz w:val="22"/>
          <w:szCs w:val="22"/>
        </w:rPr>
        <w:t xml:space="preserve"> </w:t>
      </w:r>
      <w:proofErr w:type="spellStart"/>
      <w:r>
        <w:rPr>
          <w:sz w:val="22"/>
          <w:szCs w:val="22"/>
        </w:rPr>
        <w:t>the</w:t>
      </w:r>
      <w:proofErr w:type="spellEnd"/>
      <w:r>
        <w:rPr>
          <w:sz w:val="22"/>
          <w:szCs w:val="22"/>
        </w:rPr>
        <w:t xml:space="preserve"> </w:t>
      </w:r>
      <w:proofErr w:type="spellStart"/>
      <w:r>
        <w:rPr>
          <w:sz w:val="22"/>
          <w:szCs w:val="22"/>
        </w:rPr>
        <w:t>successful</w:t>
      </w:r>
      <w:proofErr w:type="spellEnd"/>
      <w:r>
        <w:rPr>
          <w:sz w:val="22"/>
          <w:szCs w:val="22"/>
        </w:rPr>
        <w:t xml:space="preserve"> </w:t>
      </w:r>
      <w:proofErr w:type="spellStart"/>
      <w:r>
        <w:rPr>
          <w:sz w:val="22"/>
          <w:szCs w:val="22"/>
        </w:rPr>
        <w:t>bidder</w:t>
      </w:r>
      <w:proofErr w:type="spellEnd"/>
      <w:r>
        <w:rPr>
          <w:sz w:val="22"/>
          <w:szCs w:val="22"/>
        </w:rPr>
        <w:t xml:space="preserve"> </w:t>
      </w:r>
      <w:proofErr w:type="spellStart"/>
      <w:r>
        <w:rPr>
          <w:sz w:val="22"/>
          <w:szCs w:val="22"/>
        </w:rPr>
        <w:t>will</w:t>
      </w:r>
      <w:proofErr w:type="spellEnd"/>
      <w:r>
        <w:rPr>
          <w:sz w:val="22"/>
          <w:szCs w:val="22"/>
        </w:rPr>
        <w:t xml:space="preserve"> be done </w:t>
      </w:r>
      <w:proofErr w:type="spellStart"/>
      <w:r>
        <w:rPr>
          <w:sz w:val="22"/>
          <w:szCs w:val="22"/>
        </w:rPr>
        <w:t>remotely</w:t>
      </w:r>
      <w:proofErr w:type="spellEnd"/>
      <w:r>
        <w:rPr>
          <w:sz w:val="22"/>
          <w:szCs w:val="22"/>
        </w:rPr>
        <w:t xml:space="preserve">, </w:t>
      </w:r>
      <w:proofErr w:type="spellStart"/>
      <w:r>
        <w:rPr>
          <w:sz w:val="22"/>
          <w:szCs w:val="22"/>
        </w:rPr>
        <w:t>from</w:t>
      </w:r>
      <w:proofErr w:type="spellEnd"/>
      <w:r>
        <w:rPr>
          <w:sz w:val="22"/>
          <w:szCs w:val="22"/>
        </w:rPr>
        <w:t xml:space="preserve"> Montevideo, </w:t>
      </w:r>
      <w:proofErr w:type="spellStart"/>
      <w:r>
        <w:rPr>
          <w:sz w:val="22"/>
          <w:szCs w:val="22"/>
        </w:rPr>
        <w:t>without</w:t>
      </w:r>
      <w:proofErr w:type="spellEnd"/>
      <w:r>
        <w:rPr>
          <w:sz w:val="22"/>
          <w:szCs w:val="22"/>
        </w:rPr>
        <w:t xml:space="preserve"> </w:t>
      </w:r>
      <w:proofErr w:type="spellStart"/>
      <w:r>
        <w:rPr>
          <w:sz w:val="22"/>
          <w:szCs w:val="22"/>
        </w:rPr>
        <w:t>the</w:t>
      </w:r>
      <w:proofErr w:type="spellEnd"/>
      <w:r>
        <w:rPr>
          <w:sz w:val="22"/>
          <w:szCs w:val="22"/>
        </w:rPr>
        <w:t xml:space="preserve"> </w:t>
      </w:r>
      <w:proofErr w:type="spellStart"/>
      <w:r>
        <w:rPr>
          <w:sz w:val="22"/>
          <w:szCs w:val="22"/>
        </w:rPr>
        <w:t>need</w:t>
      </w:r>
      <w:proofErr w:type="spellEnd"/>
      <w:r>
        <w:rPr>
          <w:sz w:val="22"/>
          <w:szCs w:val="22"/>
        </w:rPr>
        <w:t xml:space="preserve"> </w:t>
      </w:r>
      <w:proofErr w:type="spellStart"/>
      <w:r>
        <w:rPr>
          <w:sz w:val="22"/>
          <w:szCs w:val="22"/>
        </w:rPr>
        <w:t>to</w:t>
      </w:r>
      <w:proofErr w:type="spellEnd"/>
      <w:r>
        <w:rPr>
          <w:sz w:val="22"/>
          <w:szCs w:val="22"/>
        </w:rPr>
        <w:t xml:space="preserve"> </w:t>
      </w:r>
      <w:proofErr w:type="spellStart"/>
      <w:r>
        <w:rPr>
          <w:sz w:val="22"/>
          <w:szCs w:val="22"/>
        </w:rPr>
        <w:t>visit</w:t>
      </w:r>
      <w:proofErr w:type="spellEnd"/>
      <w:r>
        <w:rPr>
          <w:sz w:val="22"/>
          <w:szCs w:val="22"/>
        </w:rPr>
        <w:t xml:space="preserve"> </w:t>
      </w:r>
      <w:proofErr w:type="spellStart"/>
      <w:r>
        <w:rPr>
          <w:sz w:val="22"/>
          <w:szCs w:val="22"/>
        </w:rPr>
        <w:t>the</w:t>
      </w:r>
      <w:proofErr w:type="spellEnd"/>
      <w:r>
        <w:rPr>
          <w:sz w:val="22"/>
          <w:szCs w:val="22"/>
        </w:rPr>
        <w:t xml:space="preserve"> </w:t>
      </w:r>
      <w:proofErr w:type="spellStart"/>
      <w:r>
        <w:rPr>
          <w:sz w:val="22"/>
          <w:szCs w:val="22"/>
        </w:rPr>
        <w:t>installation</w:t>
      </w:r>
      <w:proofErr w:type="spellEnd"/>
      <w:r>
        <w:rPr>
          <w:sz w:val="22"/>
          <w:szCs w:val="22"/>
        </w:rPr>
        <w:t xml:space="preserve"> site </w:t>
      </w:r>
      <w:proofErr w:type="spellStart"/>
      <w:r>
        <w:rPr>
          <w:sz w:val="22"/>
          <w:szCs w:val="22"/>
        </w:rPr>
        <w:t>of</w:t>
      </w:r>
      <w:proofErr w:type="spellEnd"/>
      <w:r>
        <w:rPr>
          <w:sz w:val="22"/>
          <w:szCs w:val="22"/>
        </w:rPr>
        <w:t xml:space="preserve"> </w:t>
      </w:r>
      <w:proofErr w:type="spellStart"/>
      <w:r>
        <w:rPr>
          <w:sz w:val="22"/>
          <w:szCs w:val="22"/>
        </w:rPr>
        <w:t>each</w:t>
      </w:r>
      <w:proofErr w:type="spellEnd"/>
      <w:r>
        <w:rPr>
          <w:sz w:val="22"/>
          <w:szCs w:val="22"/>
        </w:rPr>
        <w:t xml:space="preserve"> meter.</w:t>
      </w:r>
    </w:p>
    <w:p w14:paraId="331617AA" w14:textId="77777777" w:rsidR="00E255F4" w:rsidRDefault="00000000">
      <w:pPr>
        <w:numPr>
          <w:ilvl w:val="1"/>
          <w:numId w:val="43"/>
        </w:numPr>
        <w:tabs>
          <w:tab w:val="left" w:pos="851"/>
        </w:tabs>
        <w:spacing w:after="120"/>
        <w:ind w:left="851"/>
        <w:jc w:val="both"/>
        <w:rPr>
          <w:sz w:val="22"/>
          <w:szCs w:val="22"/>
        </w:rPr>
      </w:pPr>
      <w:r>
        <w:rPr>
          <w:sz w:val="22"/>
          <w:szCs w:val="22"/>
        </w:rPr>
        <w:t xml:space="preserve">The </w:t>
      </w:r>
      <w:proofErr w:type="spellStart"/>
      <w:r>
        <w:rPr>
          <w:sz w:val="22"/>
          <w:szCs w:val="22"/>
        </w:rPr>
        <w:t>supplies</w:t>
      </w:r>
      <w:proofErr w:type="spellEnd"/>
      <w:r>
        <w:rPr>
          <w:sz w:val="22"/>
          <w:szCs w:val="22"/>
        </w:rPr>
        <w:t xml:space="preserve"> </w:t>
      </w:r>
      <w:proofErr w:type="spellStart"/>
      <w:r>
        <w:rPr>
          <w:sz w:val="22"/>
          <w:szCs w:val="22"/>
        </w:rPr>
        <w:t>offered</w:t>
      </w:r>
      <w:proofErr w:type="spellEnd"/>
      <w:r>
        <w:rPr>
          <w:sz w:val="22"/>
          <w:szCs w:val="22"/>
        </w:rPr>
        <w:t xml:space="preserve"> </w:t>
      </w:r>
      <w:proofErr w:type="spellStart"/>
      <w:r>
        <w:rPr>
          <w:sz w:val="22"/>
          <w:szCs w:val="22"/>
        </w:rPr>
        <w:t>must</w:t>
      </w:r>
      <w:proofErr w:type="spellEnd"/>
      <w:r>
        <w:rPr>
          <w:sz w:val="22"/>
          <w:szCs w:val="22"/>
        </w:rPr>
        <w:t xml:space="preserve"> be original </w:t>
      </w:r>
      <w:proofErr w:type="spellStart"/>
      <w:r>
        <w:rPr>
          <w:sz w:val="22"/>
          <w:szCs w:val="22"/>
        </w:rPr>
        <w:t>factory</w:t>
      </w:r>
      <w:proofErr w:type="spellEnd"/>
      <w:r>
        <w:rPr>
          <w:sz w:val="22"/>
          <w:szCs w:val="22"/>
        </w:rPr>
        <w:t xml:space="preserve"> </w:t>
      </w:r>
      <w:proofErr w:type="spellStart"/>
      <w:r>
        <w:rPr>
          <w:sz w:val="22"/>
          <w:szCs w:val="22"/>
        </w:rPr>
        <w:t>models</w:t>
      </w:r>
      <w:proofErr w:type="spellEnd"/>
      <w:r>
        <w:rPr>
          <w:sz w:val="22"/>
          <w:szCs w:val="22"/>
        </w:rPr>
        <w:t xml:space="preserve"> </w:t>
      </w:r>
      <w:proofErr w:type="spellStart"/>
      <w:r>
        <w:rPr>
          <w:sz w:val="22"/>
          <w:szCs w:val="22"/>
        </w:rPr>
        <w:t>with</w:t>
      </w:r>
      <w:proofErr w:type="spellEnd"/>
      <w:r>
        <w:rPr>
          <w:sz w:val="22"/>
          <w:szCs w:val="22"/>
        </w:rPr>
        <w:t xml:space="preserve"> </w:t>
      </w:r>
      <w:proofErr w:type="spellStart"/>
      <w:r>
        <w:rPr>
          <w:sz w:val="22"/>
          <w:szCs w:val="22"/>
        </w:rPr>
        <w:t>all</w:t>
      </w:r>
      <w:proofErr w:type="spellEnd"/>
      <w:r>
        <w:rPr>
          <w:sz w:val="22"/>
          <w:szCs w:val="22"/>
        </w:rPr>
        <w:t xml:space="preserve"> </w:t>
      </w:r>
      <w:proofErr w:type="spellStart"/>
      <w:r>
        <w:rPr>
          <w:sz w:val="22"/>
          <w:szCs w:val="22"/>
        </w:rPr>
        <w:t>their</w:t>
      </w:r>
      <w:proofErr w:type="spellEnd"/>
      <w:r>
        <w:rPr>
          <w:sz w:val="22"/>
          <w:szCs w:val="22"/>
        </w:rPr>
        <w:t xml:space="preserve"> original </w:t>
      </w:r>
      <w:proofErr w:type="spellStart"/>
      <w:r>
        <w:rPr>
          <w:sz w:val="22"/>
          <w:szCs w:val="22"/>
        </w:rPr>
        <w:t>components</w:t>
      </w:r>
      <w:proofErr w:type="spellEnd"/>
      <w:r>
        <w:rPr>
          <w:sz w:val="22"/>
          <w:szCs w:val="22"/>
        </w:rPr>
        <w:t xml:space="preserve">, </w:t>
      </w:r>
      <w:proofErr w:type="spellStart"/>
      <w:r>
        <w:rPr>
          <w:sz w:val="22"/>
          <w:szCs w:val="22"/>
        </w:rPr>
        <w:t>without</w:t>
      </w:r>
      <w:proofErr w:type="spellEnd"/>
      <w:r>
        <w:rPr>
          <w:sz w:val="22"/>
          <w:szCs w:val="22"/>
        </w:rPr>
        <w:t xml:space="preserve"> </w:t>
      </w:r>
      <w:proofErr w:type="spellStart"/>
      <w:r>
        <w:rPr>
          <w:sz w:val="22"/>
          <w:szCs w:val="22"/>
        </w:rPr>
        <w:t>adaptations</w:t>
      </w:r>
      <w:proofErr w:type="spellEnd"/>
      <w:r>
        <w:rPr>
          <w:sz w:val="22"/>
          <w:szCs w:val="22"/>
        </w:rPr>
        <w:t xml:space="preserve"> </w:t>
      </w:r>
      <w:proofErr w:type="spellStart"/>
      <w:r>
        <w:rPr>
          <w:sz w:val="22"/>
          <w:szCs w:val="22"/>
        </w:rPr>
        <w:t>with</w:t>
      </w:r>
      <w:proofErr w:type="spellEnd"/>
      <w:r>
        <w:rPr>
          <w:sz w:val="22"/>
          <w:szCs w:val="22"/>
        </w:rPr>
        <w:t xml:space="preserve"> </w:t>
      </w:r>
      <w:proofErr w:type="spellStart"/>
      <w:r>
        <w:rPr>
          <w:sz w:val="22"/>
          <w:szCs w:val="22"/>
        </w:rPr>
        <w:t>elements</w:t>
      </w:r>
      <w:proofErr w:type="spellEnd"/>
      <w:r>
        <w:rPr>
          <w:sz w:val="22"/>
          <w:szCs w:val="22"/>
        </w:rPr>
        <w:t xml:space="preserve"> </w:t>
      </w:r>
      <w:proofErr w:type="spellStart"/>
      <w:r>
        <w:rPr>
          <w:sz w:val="22"/>
          <w:szCs w:val="22"/>
        </w:rPr>
        <w:t>from</w:t>
      </w:r>
      <w:proofErr w:type="spellEnd"/>
      <w:r>
        <w:rPr>
          <w:sz w:val="22"/>
          <w:szCs w:val="22"/>
        </w:rPr>
        <w:t xml:space="preserve"> </w:t>
      </w:r>
      <w:proofErr w:type="spellStart"/>
      <w:r>
        <w:rPr>
          <w:sz w:val="22"/>
          <w:szCs w:val="22"/>
        </w:rPr>
        <w:t>another</w:t>
      </w:r>
      <w:proofErr w:type="spellEnd"/>
      <w:r>
        <w:rPr>
          <w:sz w:val="22"/>
          <w:szCs w:val="22"/>
        </w:rPr>
        <w:t xml:space="preserve"> </w:t>
      </w:r>
      <w:proofErr w:type="spellStart"/>
      <w:r>
        <w:rPr>
          <w:sz w:val="22"/>
          <w:szCs w:val="22"/>
        </w:rPr>
        <w:t>source</w:t>
      </w:r>
      <w:proofErr w:type="spellEnd"/>
      <w:r>
        <w:rPr>
          <w:sz w:val="22"/>
          <w:szCs w:val="22"/>
        </w:rPr>
        <w:t>.</w:t>
      </w:r>
    </w:p>
    <w:p w14:paraId="7196B4E3" w14:textId="77777777" w:rsidR="00E255F4" w:rsidRDefault="00000000">
      <w:pPr>
        <w:numPr>
          <w:ilvl w:val="1"/>
          <w:numId w:val="43"/>
        </w:numPr>
        <w:tabs>
          <w:tab w:val="left" w:pos="851"/>
        </w:tabs>
        <w:spacing w:after="240"/>
        <w:ind w:left="851"/>
        <w:jc w:val="both"/>
      </w:pPr>
      <w:r>
        <w:rPr>
          <w:sz w:val="22"/>
          <w:szCs w:val="22"/>
        </w:rPr>
        <w:t xml:space="preserve">The </w:t>
      </w:r>
      <w:proofErr w:type="spellStart"/>
      <w:r>
        <w:rPr>
          <w:sz w:val="22"/>
          <w:szCs w:val="22"/>
        </w:rPr>
        <w:t>models</w:t>
      </w:r>
      <w:proofErr w:type="spellEnd"/>
      <w:r>
        <w:rPr>
          <w:sz w:val="22"/>
          <w:szCs w:val="22"/>
        </w:rPr>
        <w:t xml:space="preserve"> </w:t>
      </w:r>
      <w:proofErr w:type="spellStart"/>
      <w:r>
        <w:rPr>
          <w:sz w:val="22"/>
          <w:szCs w:val="22"/>
        </w:rPr>
        <w:t>offered</w:t>
      </w:r>
      <w:proofErr w:type="spellEnd"/>
      <w:r>
        <w:rPr>
          <w:sz w:val="22"/>
          <w:szCs w:val="22"/>
        </w:rPr>
        <w:t xml:space="preserve"> </w:t>
      </w:r>
      <w:proofErr w:type="spellStart"/>
      <w:r>
        <w:rPr>
          <w:sz w:val="22"/>
          <w:szCs w:val="22"/>
        </w:rPr>
        <w:t>must</w:t>
      </w:r>
      <w:proofErr w:type="spellEnd"/>
      <w:r>
        <w:rPr>
          <w:sz w:val="22"/>
          <w:szCs w:val="22"/>
        </w:rPr>
        <w:t xml:space="preserve"> be </w:t>
      </w:r>
      <w:proofErr w:type="spellStart"/>
      <w:r>
        <w:rPr>
          <w:sz w:val="22"/>
          <w:szCs w:val="22"/>
        </w:rPr>
        <w:t>current</w:t>
      </w:r>
      <w:proofErr w:type="spellEnd"/>
      <w:r>
        <w:rPr>
          <w:sz w:val="22"/>
          <w:szCs w:val="22"/>
        </w:rPr>
        <w:t xml:space="preserve"> and in </w:t>
      </w:r>
      <w:proofErr w:type="spellStart"/>
      <w:r>
        <w:rPr>
          <w:sz w:val="22"/>
          <w:szCs w:val="22"/>
        </w:rPr>
        <w:t>production</w:t>
      </w:r>
      <w:proofErr w:type="spellEnd"/>
      <w:r>
        <w:rPr>
          <w:sz w:val="22"/>
          <w:szCs w:val="22"/>
        </w:rPr>
        <w:t xml:space="preserve"> at </w:t>
      </w:r>
      <w:proofErr w:type="spellStart"/>
      <w:r>
        <w:rPr>
          <w:sz w:val="22"/>
          <w:szCs w:val="22"/>
        </w:rPr>
        <w:t>the</w:t>
      </w:r>
      <w:proofErr w:type="spellEnd"/>
      <w:r>
        <w:rPr>
          <w:sz w:val="22"/>
          <w:szCs w:val="22"/>
        </w:rPr>
        <w:t xml:space="preserve"> time </w:t>
      </w:r>
      <w:proofErr w:type="spellStart"/>
      <w:r>
        <w:rPr>
          <w:sz w:val="22"/>
          <w:szCs w:val="22"/>
        </w:rPr>
        <w:t>of</w:t>
      </w:r>
      <w:proofErr w:type="spellEnd"/>
      <w:r>
        <w:rPr>
          <w:sz w:val="22"/>
          <w:szCs w:val="22"/>
        </w:rPr>
        <w:t xml:space="preserve"> </w:t>
      </w:r>
      <w:proofErr w:type="spellStart"/>
      <w:r>
        <w:rPr>
          <w:sz w:val="22"/>
          <w:szCs w:val="22"/>
        </w:rPr>
        <w:t>the</w:t>
      </w:r>
      <w:proofErr w:type="spellEnd"/>
      <w:r>
        <w:rPr>
          <w:sz w:val="22"/>
          <w:szCs w:val="22"/>
        </w:rPr>
        <w:t xml:space="preserve"> </w:t>
      </w:r>
      <w:proofErr w:type="spellStart"/>
      <w:r>
        <w:rPr>
          <w:sz w:val="22"/>
          <w:szCs w:val="22"/>
        </w:rPr>
        <w:t>offer</w:t>
      </w:r>
      <w:proofErr w:type="spellEnd"/>
      <w:r>
        <w:rPr>
          <w:sz w:val="22"/>
          <w:szCs w:val="22"/>
        </w:rPr>
        <w:t xml:space="preserve"> </w:t>
      </w:r>
      <w:proofErr w:type="spellStart"/>
      <w:r>
        <w:rPr>
          <w:sz w:val="22"/>
          <w:szCs w:val="22"/>
        </w:rPr>
        <w:t>submission</w:t>
      </w:r>
      <w:proofErr w:type="spellEnd"/>
      <w:r>
        <w:rPr>
          <w:sz w:val="22"/>
          <w:szCs w:val="22"/>
        </w:rPr>
        <w:t xml:space="preserve">. </w:t>
      </w:r>
      <w:proofErr w:type="spellStart"/>
      <w:r>
        <w:rPr>
          <w:sz w:val="22"/>
          <w:szCs w:val="22"/>
        </w:rPr>
        <w:t>Models</w:t>
      </w:r>
      <w:proofErr w:type="spellEnd"/>
      <w:r>
        <w:rPr>
          <w:sz w:val="22"/>
          <w:szCs w:val="22"/>
        </w:rPr>
        <w:t xml:space="preserve"> </w:t>
      </w:r>
      <w:proofErr w:type="spellStart"/>
      <w:r>
        <w:rPr>
          <w:sz w:val="22"/>
          <w:szCs w:val="22"/>
        </w:rPr>
        <w:t>or</w:t>
      </w:r>
      <w:proofErr w:type="spellEnd"/>
      <w:r>
        <w:rPr>
          <w:sz w:val="22"/>
          <w:szCs w:val="22"/>
        </w:rPr>
        <w:t xml:space="preserve"> </w:t>
      </w:r>
      <w:proofErr w:type="spellStart"/>
      <w:r>
        <w:rPr>
          <w:sz w:val="22"/>
          <w:szCs w:val="22"/>
        </w:rPr>
        <w:t>components</w:t>
      </w:r>
      <w:proofErr w:type="spellEnd"/>
      <w:r>
        <w:rPr>
          <w:sz w:val="22"/>
          <w:szCs w:val="22"/>
        </w:rPr>
        <w:t xml:space="preserve"> </w:t>
      </w:r>
      <w:proofErr w:type="spellStart"/>
      <w:r>
        <w:rPr>
          <w:sz w:val="22"/>
          <w:szCs w:val="22"/>
        </w:rPr>
        <w:t>discontinued</w:t>
      </w:r>
      <w:proofErr w:type="spellEnd"/>
      <w:r>
        <w:rPr>
          <w:sz w:val="22"/>
          <w:szCs w:val="22"/>
        </w:rPr>
        <w:t xml:space="preserve"> </w:t>
      </w:r>
      <w:proofErr w:type="spellStart"/>
      <w:r>
        <w:rPr>
          <w:sz w:val="22"/>
          <w:szCs w:val="22"/>
        </w:rPr>
        <w:t>or</w:t>
      </w:r>
      <w:proofErr w:type="spellEnd"/>
      <w:r>
        <w:rPr>
          <w:sz w:val="22"/>
          <w:szCs w:val="22"/>
        </w:rPr>
        <w:t xml:space="preserve"> </w:t>
      </w:r>
      <w:proofErr w:type="spellStart"/>
      <w:r>
        <w:rPr>
          <w:sz w:val="22"/>
          <w:szCs w:val="22"/>
        </w:rPr>
        <w:t>scheduled</w:t>
      </w:r>
      <w:proofErr w:type="spellEnd"/>
      <w:r>
        <w:rPr>
          <w:sz w:val="22"/>
          <w:szCs w:val="22"/>
        </w:rPr>
        <w:t xml:space="preserve"> </w:t>
      </w:r>
      <w:proofErr w:type="spellStart"/>
      <w:r>
        <w:rPr>
          <w:sz w:val="22"/>
          <w:szCs w:val="22"/>
        </w:rPr>
        <w:t>to</w:t>
      </w:r>
      <w:proofErr w:type="spellEnd"/>
      <w:r>
        <w:rPr>
          <w:sz w:val="22"/>
          <w:szCs w:val="22"/>
        </w:rPr>
        <w:t xml:space="preserve"> be </w:t>
      </w:r>
      <w:proofErr w:type="spellStart"/>
      <w:r>
        <w:rPr>
          <w:sz w:val="22"/>
          <w:szCs w:val="22"/>
        </w:rPr>
        <w:t>discontinued</w:t>
      </w:r>
      <w:proofErr w:type="spellEnd"/>
      <w:r>
        <w:rPr>
          <w:sz w:val="22"/>
          <w:szCs w:val="22"/>
        </w:rPr>
        <w:t xml:space="preserve"> </w:t>
      </w:r>
      <w:proofErr w:type="spellStart"/>
      <w:r>
        <w:rPr>
          <w:sz w:val="22"/>
          <w:szCs w:val="22"/>
        </w:rPr>
        <w:t>by</w:t>
      </w:r>
      <w:proofErr w:type="spellEnd"/>
      <w:r>
        <w:rPr>
          <w:sz w:val="22"/>
          <w:szCs w:val="22"/>
        </w:rPr>
        <w:t xml:space="preserve"> </w:t>
      </w:r>
      <w:proofErr w:type="spellStart"/>
      <w:r>
        <w:rPr>
          <w:sz w:val="22"/>
          <w:szCs w:val="22"/>
        </w:rPr>
        <w:t>the</w:t>
      </w:r>
      <w:proofErr w:type="spellEnd"/>
      <w:r>
        <w:rPr>
          <w:sz w:val="22"/>
          <w:szCs w:val="22"/>
        </w:rPr>
        <w:t xml:space="preserve"> </w:t>
      </w:r>
      <w:proofErr w:type="spellStart"/>
      <w:r>
        <w:rPr>
          <w:sz w:val="22"/>
          <w:szCs w:val="22"/>
        </w:rPr>
        <w:t>manufacturer</w:t>
      </w:r>
      <w:proofErr w:type="spellEnd"/>
      <w:r>
        <w:rPr>
          <w:sz w:val="22"/>
          <w:szCs w:val="22"/>
        </w:rPr>
        <w:t xml:space="preserve"> </w:t>
      </w:r>
      <w:proofErr w:type="spellStart"/>
      <w:r>
        <w:rPr>
          <w:sz w:val="22"/>
          <w:szCs w:val="22"/>
        </w:rPr>
        <w:t>within</w:t>
      </w:r>
      <w:proofErr w:type="spellEnd"/>
      <w:r>
        <w:rPr>
          <w:sz w:val="22"/>
          <w:szCs w:val="22"/>
        </w:rPr>
        <w:t xml:space="preserve"> </w:t>
      </w:r>
      <w:proofErr w:type="spellStart"/>
      <w:r>
        <w:rPr>
          <w:sz w:val="22"/>
          <w:szCs w:val="22"/>
        </w:rPr>
        <w:t>the</w:t>
      </w:r>
      <w:proofErr w:type="spellEnd"/>
      <w:r>
        <w:rPr>
          <w:sz w:val="22"/>
          <w:szCs w:val="22"/>
        </w:rPr>
        <w:t xml:space="preserve"> </w:t>
      </w:r>
      <w:proofErr w:type="spellStart"/>
      <w:r>
        <w:rPr>
          <w:sz w:val="22"/>
          <w:szCs w:val="22"/>
        </w:rPr>
        <w:t>next</w:t>
      </w:r>
      <w:proofErr w:type="spellEnd"/>
      <w:r>
        <w:rPr>
          <w:sz w:val="22"/>
          <w:szCs w:val="22"/>
        </w:rPr>
        <w:t xml:space="preserve"> 12 </w:t>
      </w:r>
      <w:proofErr w:type="spellStart"/>
      <w:r>
        <w:rPr>
          <w:sz w:val="22"/>
          <w:szCs w:val="22"/>
        </w:rPr>
        <w:t>months</w:t>
      </w:r>
      <w:proofErr w:type="spellEnd"/>
      <w:r>
        <w:rPr>
          <w:sz w:val="22"/>
          <w:szCs w:val="22"/>
        </w:rPr>
        <w:t xml:space="preserve"> </w:t>
      </w:r>
      <w:proofErr w:type="spellStart"/>
      <w:r>
        <w:rPr>
          <w:sz w:val="22"/>
          <w:szCs w:val="22"/>
        </w:rPr>
        <w:t>will</w:t>
      </w:r>
      <w:proofErr w:type="spellEnd"/>
      <w:r>
        <w:rPr>
          <w:sz w:val="22"/>
          <w:szCs w:val="22"/>
        </w:rPr>
        <w:t xml:space="preserve"> </w:t>
      </w:r>
      <w:proofErr w:type="spellStart"/>
      <w:r>
        <w:rPr>
          <w:sz w:val="22"/>
          <w:szCs w:val="22"/>
        </w:rPr>
        <w:t>not</w:t>
      </w:r>
      <w:proofErr w:type="spellEnd"/>
      <w:r>
        <w:rPr>
          <w:sz w:val="22"/>
          <w:szCs w:val="22"/>
        </w:rPr>
        <w:t xml:space="preserve"> be </w:t>
      </w:r>
      <w:proofErr w:type="spellStart"/>
      <w:r>
        <w:rPr>
          <w:sz w:val="22"/>
          <w:szCs w:val="22"/>
        </w:rPr>
        <w:t>acceptable</w:t>
      </w:r>
      <w:proofErr w:type="spellEnd"/>
      <w:r>
        <w:rPr>
          <w:sz w:val="22"/>
          <w:szCs w:val="22"/>
        </w:rPr>
        <w:t xml:space="preserve">, </w:t>
      </w:r>
      <w:proofErr w:type="spellStart"/>
      <w:r>
        <w:rPr>
          <w:sz w:val="22"/>
          <w:szCs w:val="22"/>
        </w:rPr>
        <w:t>nor</w:t>
      </w:r>
      <w:proofErr w:type="spellEnd"/>
      <w:r>
        <w:rPr>
          <w:sz w:val="22"/>
          <w:szCs w:val="22"/>
        </w:rPr>
        <w:t xml:space="preserve"> </w:t>
      </w:r>
      <w:proofErr w:type="spellStart"/>
      <w:r>
        <w:rPr>
          <w:sz w:val="22"/>
          <w:szCs w:val="22"/>
        </w:rPr>
        <w:t>should</w:t>
      </w:r>
      <w:proofErr w:type="spellEnd"/>
      <w:r>
        <w:rPr>
          <w:sz w:val="22"/>
          <w:szCs w:val="22"/>
        </w:rPr>
        <w:t xml:space="preserve"> </w:t>
      </w:r>
      <w:proofErr w:type="spellStart"/>
      <w:r>
        <w:rPr>
          <w:sz w:val="22"/>
          <w:szCs w:val="22"/>
        </w:rPr>
        <w:t>there</w:t>
      </w:r>
      <w:proofErr w:type="spellEnd"/>
      <w:r>
        <w:rPr>
          <w:sz w:val="22"/>
          <w:szCs w:val="22"/>
        </w:rPr>
        <w:t xml:space="preserve"> be </w:t>
      </w:r>
      <w:proofErr w:type="spellStart"/>
      <w:r>
        <w:rPr>
          <w:sz w:val="22"/>
          <w:szCs w:val="22"/>
        </w:rPr>
        <w:t>any</w:t>
      </w:r>
      <w:proofErr w:type="spellEnd"/>
      <w:r>
        <w:rPr>
          <w:sz w:val="22"/>
          <w:szCs w:val="22"/>
        </w:rPr>
        <w:t xml:space="preserve"> </w:t>
      </w:r>
      <w:proofErr w:type="spellStart"/>
      <w:r>
        <w:rPr>
          <w:sz w:val="22"/>
          <w:szCs w:val="22"/>
        </w:rPr>
        <w:t>announcement</w:t>
      </w:r>
      <w:proofErr w:type="spellEnd"/>
      <w:r>
        <w:rPr>
          <w:sz w:val="22"/>
          <w:szCs w:val="22"/>
        </w:rPr>
        <w:t xml:space="preserve"> </w:t>
      </w:r>
      <w:proofErr w:type="spellStart"/>
      <w:r>
        <w:rPr>
          <w:sz w:val="22"/>
          <w:szCs w:val="22"/>
        </w:rPr>
        <w:t>of</w:t>
      </w:r>
      <w:proofErr w:type="spellEnd"/>
      <w:r>
        <w:rPr>
          <w:sz w:val="22"/>
          <w:szCs w:val="22"/>
        </w:rPr>
        <w:t xml:space="preserve"> </w:t>
      </w:r>
      <w:proofErr w:type="spellStart"/>
      <w:r>
        <w:rPr>
          <w:sz w:val="22"/>
          <w:szCs w:val="22"/>
        </w:rPr>
        <w:t>upcoming</w:t>
      </w:r>
      <w:proofErr w:type="spellEnd"/>
      <w:r>
        <w:rPr>
          <w:sz w:val="22"/>
          <w:szCs w:val="22"/>
        </w:rPr>
        <w:t xml:space="preserve"> </w:t>
      </w:r>
      <w:proofErr w:type="spellStart"/>
      <w:r>
        <w:rPr>
          <w:sz w:val="22"/>
          <w:szCs w:val="22"/>
        </w:rPr>
        <w:t>discontinuation</w:t>
      </w:r>
      <w:proofErr w:type="spellEnd"/>
      <w:r>
        <w:rPr>
          <w:sz w:val="22"/>
          <w:szCs w:val="22"/>
        </w:rPr>
        <w:t xml:space="preserve"> </w:t>
      </w:r>
      <w:proofErr w:type="spellStart"/>
      <w:r>
        <w:rPr>
          <w:sz w:val="22"/>
          <w:szCs w:val="22"/>
        </w:rPr>
        <w:t>for</w:t>
      </w:r>
      <w:proofErr w:type="spellEnd"/>
      <w:r>
        <w:rPr>
          <w:sz w:val="22"/>
          <w:szCs w:val="22"/>
        </w:rPr>
        <w:t xml:space="preserve"> marketing </w:t>
      </w:r>
      <w:proofErr w:type="spellStart"/>
      <w:r>
        <w:rPr>
          <w:sz w:val="22"/>
          <w:szCs w:val="22"/>
        </w:rPr>
        <w:t>or</w:t>
      </w:r>
      <w:proofErr w:type="spellEnd"/>
      <w:r>
        <w:rPr>
          <w:sz w:val="22"/>
          <w:szCs w:val="22"/>
        </w:rPr>
        <w:t xml:space="preserve"> </w:t>
      </w:r>
      <w:proofErr w:type="spellStart"/>
      <w:r>
        <w:rPr>
          <w:sz w:val="22"/>
          <w:szCs w:val="22"/>
        </w:rPr>
        <w:t>support</w:t>
      </w:r>
      <w:proofErr w:type="spellEnd"/>
      <w:r>
        <w:rPr>
          <w:sz w:val="22"/>
          <w:szCs w:val="22"/>
        </w:rPr>
        <w:t>.</w:t>
      </w:r>
    </w:p>
    <w:p w14:paraId="3DA66A64" w14:textId="77777777" w:rsidR="00E255F4" w:rsidRDefault="00000000">
      <w:pPr>
        <w:numPr>
          <w:ilvl w:val="1"/>
          <w:numId w:val="43"/>
        </w:numPr>
        <w:tabs>
          <w:tab w:val="left" w:pos="851"/>
        </w:tabs>
        <w:spacing w:after="240"/>
        <w:ind w:left="851"/>
        <w:jc w:val="both"/>
        <w:rPr>
          <w:sz w:val="22"/>
          <w:szCs w:val="22"/>
        </w:rPr>
      </w:pPr>
      <w:r>
        <w:rPr>
          <w:b/>
          <w:sz w:val="22"/>
          <w:szCs w:val="22"/>
        </w:rPr>
        <w:t xml:space="preserve">From </w:t>
      </w:r>
      <w:proofErr w:type="spellStart"/>
      <w:r>
        <w:rPr>
          <w:b/>
          <w:sz w:val="22"/>
          <w:szCs w:val="22"/>
        </w:rPr>
        <w:t>communication</w:t>
      </w:r>
      <w:proofErr w:type="spellEnd"/>
      <w:r>
        <w:rPr>
          <w:b/>
          <w:sz w:val="22"/>
          <w:szCs w:val="22"/>
        </w:rPr>
        <w:t xml:space="preserve"> </w:t>
      </w:r>
      <w:proofErr w:type="spellStart"/>
      <w:r>
        <w:rPr>
          <w:b/>
          <w:sz w:val="22"/>
          <w:szCs w:val="22"/>
        </w:rPr>
        <w:t>technologies</w:t>
      </w:r>
      <w:proofErr w:type="spellEnd"/>
    </w:p>
    <w:p w14:paraId="344C56F8" w14:textId="77777777" w:rsidR="00E255F4" w:rsidRDefault="00000000">
      <w:pPr>
        <w:numPr>
          <w:ilvl w:val="2"/>
          <w:numId w:val="43"/>
        </w:numPr>
        <w:tabs>
          <w:tab w:val="left" w:pos="851"/>
        </w:tabs>
        <w:spacing w:after="120"/>
        <w:ind w:left="1417" w:hanging="697"/>
        <w:jc w:val="both"/>
        <w:rPr>
          <w:sz w:val="22"/>
          <w:szCs w:val="22"/>
        </w:rPr>
      </w:pPr>
      <w:r>
        <w:rPr>
          <w:sz w:val="22"/>
          <w:szCs w:val="22"/>
        </w:rPr>
        <w:t xml:space="preserve">Data </w:t>
      </w:r>
      <w:proofErr w:type="spellStart"/>
      <w:r>
        <w:rPr>
          <w:sz w:val="22"/>
          <w:szCs w:val="22"/>
        </w:rPr>
        <w:t>transmission</w:t>
      </w:r>
      <w:proofErr w:type="spellEnd"/>
      <w:r>
        <w:rPr>
          <w:sz w:val="22"/>
          <w:szCs w:val="22"/>
        </w:rPr>
        <w:t xml:space="preserve"> </w:t>
      </w:r>
      <w:proofErr w:type="spellStart"/>
      <w:r>
        <w:rPr>
          <w:sz w:val="22"/>
          <w:szCs w:val="22"/>
        </w:rPr>
        <w:t>from</w:t>
      </w:r>
      <w:proofErr w:type="spellEnd"/>
      <w:r>
        <w:rPr>
          <w:sz w:val="22"/>
          <w:szCs w:val="22"/>
        </w:rPr>
        <w:t xml:space="preserve"> </w:t>
      </w:r>
      <w:proofErr w:type="spellStart"/>
      <w:r>
        <w:rPr>
          <w:sz w:val="22"/>
          <w:szCs w:val="22"/>
        </w:rPr>
        <w:t>smart</w:t>
      </w:r>
      <w:proofErr w:type="spellEnd"/>
      <w:r>
        <w:rPr>
          <w:sz w:val="22"/>
          <w:szCs w:val="22"/>
        </w:rPr>
        <w:t xml:space="preserve"> </w:t>
      </w:r>
      <w:proofErr w:type="spellStart"/>
      <w:r>
        <w:rPr>
          <w:sz w:val="22"/>
          <w:szCs w:val="22"/>
        </w:rPr>
        <w:t>meters</w:t>
      </w:r>
      <w:proofErr w:type="spellEnd"/>
      <w:r>
        <w:rPr>
          <w:sz w:val="22"/>
          <w:szCs w:val="22"/>
        </w:rPr>
        <w:t xml:space="preserve"> </w:t>
      </w:r>
      <w:proofErr w:type="spellStart"/>
      <w:r>
        <w:rPr>
          <w:sz w:val="22"/>
          <w:szCs w:val="22"/>
        </w:rPr>
        <w:t>will</w:t>
      </w:r>
      <w:proofErr w:type="spellEnd"/>
      <w:r>
        <w:rPr>
          <w:sz w:val="22"/>
          <w:szCs w:val="22"/>
        </w:rPr>
        <w:t xml:space="preserve"> be </w:t>
      </w:r>
      <w:proofErr w:type="spellStart"/>
      <w:r>
        <w:rPr>
          <w:sz w:val="22"/>
          <w:szCs w:val="22"/>
        </w:rPr>
        <w:t>using</w:t>
      </w:r>
      <w:proofErr w:type="spellEnd"/>
      <w:r>
        <w:rPr>
          <w:sz w:val="22"/>
          <w:szCs w:val="22"/>
        </w:rPr>
        <w:t xml:space="preserve"> </w:t>
      </w:r>
      <w:proofErr w:type="spellStart"/>
      <w:r>
        <w:rPr>
          <w:sz w:val="22"/>
          <w:szCs w:val="22"/>
        </w:rPr>
        <w:t>cellular</w:t>
      </w:r>
      <w:proofErr w:type="spellEnd"/>
      <w:r>
        <w:rPr>
          <w:sz w:val="22"/>
          <w:szCs w:val="22"/>
        </w:rPr>
        <w:t xml:space="preserve"> </w:t>
      </w:r>
      <w:proofErr w:type="spellStart"/>
      <w:r>
        <w:rPr>
          <w:sz w:val="22"/>
          <w:szCs w:val="22"/>
        </w:rPr>
        <w:t>mobile</w:t>
      </w:r>
      <w:proofErr w:type="spellEnd"/>
      <w:r>
        <w:rPr>
          <w:sz w:val="22"/>
          <w:szCs w:val="22"/>
        </w:rPr>
        <w:t xml:space="preserve"> </w:t>
      </w:r>
      <w:proofErr w:type="spellStart"/>
      <w:r>
        <w:rPr>
          <w:sz w:val="22"/>
          <w:szCs w:val="22"/>
        </w:rPr>
        <w:t>communication</w:t>
      </w:r>
      <w:proofErr w:type="spellEnd"/>
      <w:r>
        <w:rPr>
          <w:sz w:val="22"/>
          <w:szCs w:val="22"/>
        </w:rPr>
        <w:t xml:space="preserve"> and </w:t>
      </w:r>
      <w:proofErr w:type="spellStart"/>
      <w:r>
        <w:rPr>
          <w:sz w:val="22"/>
          <w:szCs w:val="22"/>
        </w:rPr>
        <w:t>only</w:t>
      </w:r>
      <w:proofErr w:type="spellEnd"/>
      <w:r>
        <w:rPr>
          <w:sz w:val="22"/>
          <w:szCs w:val="22"/>
        </w:rPr>
        <w:t xml:space="preserve"> </w:t>
      </w:r>
      <w:proofErr w:type="spellStart"/>
      <w:r>
        <w:rPr>
          <w:sz w:val="22"/>
          <w:szCs w:val="22"/>
        </w:rPr>
        <w:t>Narrowband</w:t>
      </w:r>
      <w:proofErr w:type="spellEnd"/>
      <w:r>
        <w:rPr>
          <w:sz w:val="22"/>
          <w:szCs w:val="22"/>
        </w:rPr>
        <w:t xml:space="preserve"> </w:t>
      </w:r>
      <w:proofErr w:type="spellStart"/>
      <w:r>
        <w:rPr>
          <w:sz w:val="22"/>
          <w:szCs w:val="22"/>
        </w:rPr>
        <w:t>IoT</w:t>
      </w:r>
      <w:proofErr w:type="spellEnd"/>
      <w:r>
        <w:rPr>
          <w:sz w:val="22"/>
          <w:szCs w:val="22"/>
        </w:rPr>
        <w:t xml:space="preserve"> and/</w:t>
      </w:r>
      <w:proofErr w:type="spellStart"/>
      <w:r>
        <w:rPr>
          <w:sz w:val="22"/>
          <w:szCs w:val="22"/>
        </w:rPr>
        <w:t>or</w:t>
      </w:r>
      <w:proofErr w:type="spellEnd"/>
      <w:r>
        <w:rPr>
          <w:sz w:val="22"/>
          <w:szCs w:val="22"/>
        </w:rPr>
        <w:t xml:space="preserve"> LTE-M (Cat. M1) </w:t>
      </w:r>
      <w:proofErr w:type="spellStart"/>
      <w:r>
        <w:rPr>
          <w:sz w:val="22"/>
          <w:szCs w:val="22"/>
        </w:rPr>
        <w:t>technologies</w:t>
      </w:r>
      <w:proofErr w:type="spellEnd"/>
      <w:r>
        <w:rPr>
          <w:sz w:val="22"/>
          <w:szCs w:val="22"/>
        </w:rPr>
        <w:t xml:space="preserve">, </w:t>
      </w:r>
      <w:proofErr w:type="spellStart"/>
      <w:r>
        <w:rPr>
          <w:sz w:val="22"/>
          <w:szCs w:val="22"/>
        </w:rPr>
        <w:t>provided</w:t>
      </w:r>
      <w:proofErr w:type="spellEnd"/>
      <w:r>
        <w:rPr>
          <w:sz w:val="22"/>
          <w:szCs w:val="22"/>
        </w:rPr>
        <w:t xml:space="preserve"> </w:t>
      </w:r>
      <w:proofErr w:type="spellStart"/>
      <w:r>
        <w:rPr>
          <w:sz w:val="22"/>
          <w:szCs w:val="22"/>
        </w:rPr>
        <w:t>by</w:t>
      </w:r>
      <w:proofErr w:type="spellEnd"/>
      <w:r>
        <w:rPr>
          <w:sz w:val="22"/>
          <w:szCs w:val="22"/>
        </w:rPr>
        <w:t xml:space="preserve"> Antel, </w:t>
      </w:r>
      <w:proofErr w:type="spellStart"/>
      <w:r>
        <w:rPr>
          <w:sz w:val="22"/>
          <w:szCs w:val="22"/>
        </w:rPr>
        <w:t>will</w:t>
      </w:r>
      <w:proofErr w:type="spellEnd"/>
      <w:r>
        <w:rPr>
          <w:sz w:val="22"/>
          <w:szCs w:val="22"/>
        </w:rPr>
        <w:t xml:space="preserve"> be </w:t>
      </w:r>
      <w:proofErr w:type="spellStart"/>
      <w:r>
        <w:rPr>
          <w:sz w:val="22"/>
          <w:szCs w:val="22"/>
        </w:rPr>
        <w:t>supported</w:t>
      </w:r>
      <w:proofErr w:type="spellEnd"/>
      <w:r>
        <w:rPr>
          <w:sz w:val="22"/>
          <w:szCs w:val="22"/>
        </w:rPr>
        <w:t>.</w:t>
      </w:r>
    </w:p>
    <w:p w14:paraId="6FB13D5C" w14:textId="77777777" w:rsidR="00E255F4" w:rsidRDefault="00000000">
      <w:pPr>
        <w:numPr>
          <w:ilvl w:val="2"/>
          <w:numId w:val="43"/>
        </w:numPr>
        <w:tabs>
          <w:tab w:val="left" w:pos="851"/>
        </w:tabs>
        <w:spacing w:after="120"/>
        <w:ind w:left="1417" w:hanging="697"/>
        <w:jc w:val="both"/>
        <w:rPr>
          <w:sz w:val="22"/>
          <w:szCs w:val="22"/>
        </w:rPr>
      </w:pPr>
      <w:r>
        <w:rPr>
          <w:sz w:val="22"/>
          <w:szCs w:val="22"/>
        </w:rPr>
        <w:t xml:space="preserve">For </w:t>
      </w:r>
      <w:proofErr w:type="spellStart"/>
      <w:r>
        <w:rPr>
          <w:sz w:val="22"/>
          <w:szCs w:val="22"/>
        </w:rPr>
        <w:t>cellular</w:t>
      </w:r>
      <w:proofErr w:type="spellEnd"/>
      <w:r>
        <w:rPr>
          <w:sz w:val="22"/>
          <w:szCs w:val="22"/>
        </w:rPr>
        <w:t xml:space="preserve"> </w:t>
      </w:r>
      <w:proofErr w:type="spellStart"/>
      <w:r>
        <w:rPr>
          <w:sz w:val="22"/>
          <w:szCs w:val="22"/>
        </w:rPr>
        <w:t>mobile</w:t>
      </w:r>
      <w:proofErr w:type="spellEnd"/>
      <w:r>
        <w:rPr>
          <w:sz w:val="22"/>
          <w:szCs w:val="22"/>
        </w:rPr>
        <w:t xml:space="preserve"> </w:t>
      </w:r>
      <w:proofErr w:type="spellStart"/>
      <w:r>
        <w:rPr>
          <w:sz w:val="22"/>
          <w:szCs w:val="22"/>
        </w:rPr>
        <w:t>communications</w:t>
      </w:r>
      <w:proofErr w:type="spellEnd"/>
      <w:r>
        <w:rPr>
          <w:sz w:val="22"/>
          <w:szCs w:val="22"/>
        </w:rPr>
        <w:t xml:space="preserve">, </w:t>
      </w:r>
      <w:proofErr w:type="spellStart"/>
      <w:r>
        <w:rPr>
          <w:sz w:val="22"/>
          <w:szCs w:val="22"/>
        </w:rPr>
        <w:t>private</w:t>
      </w:r>
      <w:proofErr w:type="spellEnd"/>
      <w:r>
        <w:rPr>
          <w:sz w:val="22"/>
          <w:szCs w:val="22"/>
        </w:rPr>
        <w:t xml:space="preserve"> </w:t>
      </w:r>
      <w:proofErr w:type="spellStart"/>
      <w:r>
        <w:rPr>
          <w:sz w:val="22"/>
          <w:szCs w:val="22"/>
        </w:rPr>
        <w:t>mobile</w:t>
      </w:r>
      <w:proofErr w:type="spellEnd"/>
      <w:r>
        <w:rPr>
          <w:sz w:val="22"/>
          <w:szCs w:val="22"/>
        </w:rPr>
        <w:t xml:space="preserve"> </w:t>
      </w:r>
      <w:proofErr w:type="spellStart"/>
      <w:r>
        <w:rPr>
          <w:sz w:val="22"/>
          <w:szCs w:val="22"/>
        </w:rPr>
        <w:t>networks</w:t>
      </w:r>
      <w:proofErr w:type="spellEnd"/>
      <w:r>
        <w:rPr>
          <w:sz w:val="22"/>
          <w:szCs w:val="22"/>
        </w:rPr>
        <w:t xml:space="preserve"> </w:t>
      </w:r>
      <w:proofErr w:type="spellStart"/>
      <w:r>
        <w:rPr>
          <w:sz w:val="22"/>
          <w:szCs w:val="22"/>
        </w:rPr>
        <w:t>must</w:t>
      </w:r>
      <w:proofErr w:type="spellEnd"/>
      <w:r>
        <w:rPr>
          <w:sz w:val="22"/>
          <w:szCs w:val="22"/>
        </w:rPr>
        <w:t xml:space="preserve"> be </w:t>
      </w:r>
      <w:proofErr w:type="spellStart"/>
      <w:r>
        <w:rPr>
          <w:sz w:val="22"/>
          <w:szCs w:val="22"/>
        </w:rPr>
        <w:t>used</w:t>
      </w:r>
      <w:proofErr w:type="spellEnd"/>
      <w:r>
        <w:rPr>
          <w:sz w:val="22"/>
          <w:szCs w:val="22"/>
        </w:rPr>
        <w:t>.</w:t>
      </w:r>
    </w:p>
    <w:p w14:paraId="7D8BE762" w14:textId="77777777" w:rsidR="00E255F4" w:rsidRDefault="00000000">
      <w:pPr>
        <w:numPr>
          <w:ilvl w:val="2"/>
          <w:numId w:val="43"/>
        </w:numPr>
        <w:tabs>
          <w:tab w:val="left" w:pos="851"/>
        </w:tabs>
        <w:spacing w:after="120"/>
        <w:ind w:left="1417" w:hanging="697"/>
        <w:jc w:val="both"/>
      </w:pPr>
      <w:r>
        <w:rPr>
          <w:sz w:val="22"/>
          <w:szCs w:val="22"/>
        </w:rPr>
        <w:t xml:space="preserve">Data </w:t>
      </w:r>
      <w:proofErr w:type="spellStart"/>
      <w:r>
        <w:rPr>
          <w:sz w:val="22"/>
          <w:szCs w:val="22"/>
        </w:rPr>
        <w:t>delivery</w:t>
      </w:r>
      <w:proofErr w:type="spellEnd"/>
      <w:r>
        <w:rPr>
          <w:sz w:val="22"/>
          <w:szCs w:val="22"/>
        </w:rPr>
        <w:t xml:space="preserve"> </w:t>
      </w:r>
      <w:proofErr w:type="spellStart"/>
      <w:r>
        <w:rPr>
          <w:sz w:val="22"/>
          <w:szCs w:val="22"/>
        </w:rPr>
        <w:t>to</w:t>
      </w:r>
      <w:proofErr w:type="spellEnd"/>
      <w:r>
        <w:rPr>
          <w:sz w:val="22"/>
          <w:szCs w:val="22"/>
        </w:rPr>
        <w:t xml:space="preserve"> OSE </w:t>
      </w:r>
      <w:proofErr w:type="spellStart"/>
      <w:r>
        <w:rPr>
          <w:sz w:val="22"/>
          <w:szCs w:val="22"/>
        </w:rPr>
        <w:t>will</w:t>
      </w:r>
      <w:proofErr w:type="spellEnd"/>
      <w:r>
        <w:rPr>
          <w:sz w:val="22"/>
          <w:szCs w:val="22"/>
        </w:rPr>
        <w:t xml:space="preserve"> be </w:t>
      </w:r>
      <w:proofErr w:type="spellStart"/>
      <w:r>
        <w:rPr>
          <w:sz w:val="22"/>
          <w:szCs w:val="22"/>
        </w:rPr>
        <w:t>carried</w:t>
      </w:r>
      <w:proofErr w:type="spellEnd"/>
      <w:r>
        <w:rPr>
          <w:sz w:val="22"/>
          <w:szCs w:val="22"/>
        </w:rPr>
        <w:t xml:space="preserve"> </w:t>
      </w:r>
      <w:proofErr w:type="spellStart"/>
      <w:r>
        <w:rPr>
          <w:sz w:val="22"/>
          <w:szCs w:val="22"/>
        </w:rPr>
        <w:t>out</w:t>
      </w:r>
      <w:proofErr w:type="spellEnd"/>
      <w:r>
        <w:rPr>
          <w:sz w:val="22"/>
          <w:szCs w:val="22"/>
        </w:rPr>
        <w:t xml:space="preserve"> </w:t>
      </w:r>
      <w:proofErr w:type="spellStart"/>
      <w:r>
        <w:rPr>
          <w:sz w:val="22"/>
          <w:szCs w:val="22"/>
        </w:rPr>
        <w:t>through</w:t>
      </w:r>
      <w:proofErr w:type="spellEnd"/>
      <w:r>
        <w:rPr>
          <w:sz w:val="22"/>
          <w:szCs w:val="22"/>
        </w:rPr>
        <w:t xml:space="preserve"> a </w:t>
      </w:r>
      <w:proofErr w:type="spellStart"/>
      <w:r>
        <w:rPr>
          <w:sz w:val="22"/>
          <w:szCs w:val="22"/>
        </w:rPr>
        <w:t>mobile</w:t>
      </w:r>
      <w:proofErr w:type="spellEnd"/>
      <w:r>
        <w:rPr>
          <w:sz w:val="22"/>
          <w:szCs w:val="22"/>
        </w:rPr>
        <w:t xml:space="preserve"> VPN </w:t>
      </w:r>
      <w:proofErr w:type="spellStart"/>
      <w:r>
        <w:rPr>
          <w:sz w:val="22"/>
          <w:szCs w:val="22"/>
        </w:rPr>
        <w:t>to</w:t>
      </w:r>
      <w:proofErr w:type="spellEnd"/>
      <w:r>
        <w:rPr>
          <w:sz w:val="22"/>
          <w:szCs w:val="22"/>
        </w:rPr>
        <w:t xml:space="preserve"> </w:t>
      </w:r>
      <w:proofErr w:type="spellStart"/>
      <w:r>
        <w:rPr>
          <w:sz w:val="22"/>
          <w:szCs w:val="22"/>
        </w:rPr>
        <w:t>the</w:t>
      </w:r>
      <w:proofErr w:type="spellEnd"/>
      <w:r>
        <w:rPr>
          <w:sz w:val="22"/>
          <w:szCs w:val="22"/>
        </w:rPr>
        <w:t xml:space="preserve"> Data </w:t>
      </w:r>
      <w:proofErr w:type="spellStart"/>
      <w:r>
        <w:rPr>
          <w:sz w:val="22"/>
          <w:szCs w:val="22"/>
        </w:rPr>
        <w:t>Collection</w:t>
      </w:r>
      <w:proofErr w:type="spellEnd"/>
      <w:r>
        <w:rPr>
          <w:sz w:val="22"/>
          <w:szCs w:val="22"/>
        </w:rPr>
        <w:t xml:space="preserve"> </w:t>
      </w:r>
      <w:proofErr w:type="spellStart"/>
      <w:r>
        <w:rPr>
          <w:sz w:val="22"/>
          <w:szCs w:val="22"/>
        </w:rPr>
        <w:t>System</w:t>
      </w:r>
      <w:proofErr w:type="spellEnd"/>
      <w:r>
        <w:rPr>
          <w:sz w:val="22"/>
          <w:szCs w:val="22"/>
        </w:rPr>
        <w:t xml:space="preserve">, </w:t>
      </w:r>
      <w:proofErr w:type="spellStart"/>
      <w:r>
        <w:rPr>
          <w:sz w:val="22"/>
          <w:szCs w:val="22"/>
        </w:rPr>
        <w:t>using</w:t>
      </w:r>
      <w:proofErr w:type="spellEnd"/>
      <w:r>
        <w:rPr>
          <w:sz w:val="22"/>
          <w:szCs w:val="22"/>
        </w:rPr>
        <w:t xml:space="preserve"> </w:t>
      </w:r>
      <w:proofErr w:type="spellStart"/>
      <w:r>
        <w:rPr>
          <w:sz w:val="22"/>
          <w:szCs w:val="22"/>
        </w:rPr>
        <w:t>protocols</w:t>
      </w:r>
      <w:proofErr w:type="spellEnd"/>
      <w:r>
        <w:rPr>
          <w:sz w:val="22"/>
          <w:szCs w:val="22"/>
        </w:rPr>
        <w:t xml:space="preserve"> </w:t>
      </w:r>
      <w:proofErr w:type="spellStart"/>
      <w:r>
        <w:rPr>
          <w:sz w:val="22"/>
          <w:szCs w:val="22"/>
        </w:rPr>
        <w:t>that</w:t>
      </w:r>
      <w:proofErr w:type="spellEnd"/>
      <w:r>
        <w:rPr>
          <w:sz w:val="22"/>
          <w:szCs w:val="22"/>
        </w:rPr>
        <w:t xml:space="preserve"> </w:t>
      </w:r>
      <w:proofErr w:type="spellStart"/>
      <w:r>
        <w:rPr>
          <w:sz w:val="22"/>
          <w:szCs w:val="22"/>
        </w:rPr>
        <w:t>will</w:t>
      </w:r>
      <w:proofErr w:type="spellEnd"/>
      <w:r>
        <w:rPr>
          <w:sz w:val="22"/>
          <w:szCs w:val="22"/>
        </w:rPr>
        <w:t xml:space="preserve"> be </w:t>
      </w:r>
      <w:proofErr w:type="spellStart"/>
      <w:r>
        <w:rPr>
          <w:sz w:val="22"/>
          <w:szCs w:val="22"/>
        </w:rPr>
        <w:t>defined</w:t>
      </w:r>
      <w:proofErr w:type="spellEnd"/>
      <w:r>
        <w:rPr>
          <w:sz w:val="22"/>
          <w:szCs w:val="22"/>
        </w:rPr>
        <w:t xml:space="preserve"> in </w:t>
      </w:r>
      <w:proofErr w:type="spellStart"/>
      <w:r>
        <w:rPr>
          <w:sz w:val="22"/>
          <w:szCs w:val="22"/>
        </w:rPr>
        <w:t>this</w:t>
      </w:r>
      <w:proofErr w:type="spellEnd"/>
      <w:r>
        <w:rPr>
          <w:sz w:val="22"/>
          <w:szCs w:val="22"/>
        </w:rPr>
        <w:t xml:space="preserve"> </w:t>
      </w:r>
      <w:proofErr w:type="spellStart"/>
      <w:r>
        <w:rPr>
          <w:sz w:val="22"/>
          <w:szCs w:val="22"/>
        </w:rPr>
        <w:t>document</w:t>
      </w:r>
      <w:proofErr w:type="spellEnd"/>
      <w:r>
        <w:rPr>
          <w:sz w:val="22"/>
          <w:szCs w:val="22"/>
        </w:rPr>
        <w:t>.</w:t>
      </w:r>
    </w:p>
    <w:p w14:paraId="7B388944" w14:textId="77777777" w:rsidR="00E255F4" w:rsidRDefault="00000000">
      <w:pPr>
        <w:numPr>
          <w:ilvl w:val="2"/>
          <w:numId w:val="43"/>
        </w:numPr>
        <w:tabs>
          <w:tab w:val="left" w:pos="851"/>
        </w:tabs>
        <w:spacing w:after="120"/>
        <w:ind w:left="1417" w:hanging="697"/>
        <w:jc w:val="both"/>
        <w:rPr>
          <w:sz w:val="22"/>
          <w:szCs w:val="22"/>
        </w:rPr>
      </w:pPr>
      <w:r>
        <w:rPr>
          <w:sz w:val="22"/>
          <w:szCs w:val="22"/>
        </w:rPr>
        <w:t xml:space="preserve">The use </w:t>
      </w:r>
      <w:proofErr w:type="spellStart"/>
      <w:r>
        <w:rPr>
          <w:sz w:val="22"/>
          <w:szCs w:val="22"/>
        </w:rPr>
        <w:t>of</w:t>
      </w:r>
      <w:proofErr w:type="spellEnd"/>
      <w:r>
        <w:rPr>
          <w:sz w:val="22"/>
          <w:szCs w:val="22"/>
        </w:rPr>
        <w:t xml:space="preserve"> </w:t>
      </w:r>
      <w:proofErr w:type="spellStart"/>
      <w:r>
        <w:rPr>
          <w:sz w:val="22"/>
          <w:szCs w:val="22"/>
        </w:rPr>
        <w:t>public</w:t>
      </w:r>
      <w:proofErr w:type="spellEnd"/>
      <w:r>
        <w:rPr>
          <w:sz w:val="22"/>
          <w:szCs w:val="22"/>
        </w:rPr>
        <w:t xml:space="preserve"> internet </w:t>
      </w:r>
      <w:proofErr w:type="spellStart"/>
      <w:r>
        <w:rPr>
          <w:sz w:val="22"/>
          <w:szCs w:val="22"/>
        </w:rPr>
        <w:t>will</w:t>
      </w:r>
      <w:proofErr w:type="spellEnd"/>
      <w:r>
        <w:rPr>
          <w:sz w:val="22"/>
          <w:szCs w:val="22"/>
        </w:rPr>
        <w:t xml:space="preserve"> </w:t>
      </w:r>
      <w:proofErr w:type="spellStart"/>
      <w:r>
        <w:rPr>
          <w:sz w:val="22"/>
          <w:szCs w:val="22"/>
        </w:rPr>
        <w:t>not</w:t>
      </w:r>
      <w:proofErr w:type="spellEnd"/>
      <w:r>
        <w:rPr>
          <w:sz w:val="22"/>
          <w:szCs w:val="22"/>
        </w:rPr>
        <w:t xml:space="preserve"> be </w:t>
      </w:r>
      <w:proofErr w:type="spellStart"/>
      <w:r>
        <w:rPr>
          <w:sz w:val="22"/>
          <w:szCs w:val="22"/>
        </w:rPr>
        <w:t>permitted</w:t>
      </w:r>
      <w:proofErr w:type="spellEnd"/>
      <w:r>
        <w:rPr>
          <w:sz w:val="22"/>
          <w:szCs w:val="22"/>
        </w:rPr>
        <w:t xml:space="preserve"> </w:t>
      </w:r>
      <w:proofErr w:type="spellStart"/>
      <w:r>
        <w:rPr>
          <w:sz w:val="22"/>
          <w:szCs w:val="22"/>
        </w:rPr>
        <w:t>under</w:t>
      </w:r>
      <w:proofErr w:type="spellEnd"/>
      <w:r>
        <w:rPr>
          <w:sz w:val="22"/>
          <w:szCs w:val="22"/>
        </w:rPr>
        <w:t xml:space="preserve"> </w:t>
      </w:r>
      <w:proofErr w:type="spellStart"/>
      <w:r>
        <w:rPr>
          <w:sz w:val="22"/>
          <w:szCs w:val="22"/>
        </w:rPr>
        <w:t>any</w:t>
      </w:r>
      <w:proofErr w:type="spellEnd"/>
      <w:r>
        <w:rPr>
          <w:sz w:val="22"/>
          <w:szCs w:val="22"/>
        </w:rPr>
        <w:t xml:space="preserve"> </w:t>
      </w:r>
      <w:proofErr w:type="spellStart"/>
      <w:r>
        <w:rPr>
          <w:sz w:val="22"/>
          <w:szCs w:val="22"/>
        </w:rPr>
        <w:t>circumstances</w:t>
      </w:r>
      <w:proofErr w:type="spellEnd"/>
      <w:r>
        <w:rPr>
          <w:sz w:val="22"/>
          <w:szCs w:val="22"/>
        </w:rPr>
        <w:t>.</w:t>
      </w:r>
    </w:p>
    <w:p w14:paraId="42F700D8" w14:textId="77777777" w:rsidR="00E255F4" w:rsidRDefault="00000000">
      <w:pPr>
        <w:pStyle w:val="Ttulo2"/>
        <w:numPr>
          <w:ilvl w:val="0"/>
          <w:numId w:val="0"/>
        </w:numPr>
        <w:spacing w:after="240"/>
      </w:pPr>
      <w:bookmarkStart w:id="99" w:name="__RefHeading___Toc225377265"/>
      <w:bookmarkEnd w:id="99"/>
      <w:r>
        <w:rPr>
          <w:rFonts w:ascii="Times New Roman" w:hAnsi="Times New Roman" w:cs="Times New Roman"/>
          <w:i w:val="0"/>
          <w:sz w:val="24"/>
          <w:szCs w:val="24"/>
          <w:lang w:val="es-UY"/>
        </w:rPr>
        <w:lastRenderedPageBreak/>
        <w:t>2.</w:t>
      </w:r>
      <w:r>
        <w:rPr>
          <w:rFonts w:ascii="Times New Roman" w:hAnsi="Times New Roman" w:cs="Times New Roman"/>
          <w:i w:val="0"/>
          <w:sz w:val="24"/>
          <w:szCs w:val="24"/>
          <w:lang w:val="es-UY"/>
        </w:rPr>
        <w:tab/>
      </w:r>
      <w:r>
        <w:rPr>
          <w:rFonts w:ascii="Times New Roman" w:hAnsi="Times New Roman" w:cs="Times New Roman"/>
          <w:i w:val="0"/>
          <w:sz w:val="24"/>
          <w:szCs w:val="24"/>
        </w:rPr>
        <w:t>CHARACTERISTICS OF THE TELEMETRY SERVICE</w:t>
      </w:r>
    </w:p>
    <w:p w14:paraId="18E84426" w14:textId="77777777" w:rsidR="00E255F4" w:rsidRDefault="00000000">
      <w:pPr>
        <w:numPr>
          <w:ilvl w:val="1"/>
          <w:numId w:val="33"/>
        </w:numPr>
        <w:jc w:val="both"/>
      </w:pPr>
      <w:r>
        <w:rPr>
          <w:sz w:val="22"/>
          <w:szCs w:val="22"/>
        </w:rPr>
        <w:t xml:space="preserve">The </w:t>
      </w:r>
      <w:proofErr w:type="spellStart"/>
      <w:r>
        <w:rPr>
          <w:sz w:val="22"/>
          <w:szCs w:val="22"/>
        </w:rPr>
        <w:t>Telemetry</w:t>
      </w:r>
      <w:proofErr w:type="spellEnd"/>
      <w:r>
        <w:rPr>
          <w:sz w:val="22"/>
          <w:szCs w:val="22"/>
        </w:rPr>
        <w:t xml:space="preserve"> Service </w:t>
      </w:r>
      <w:proofErr w:type="spellStart"/>
      <w:r>
        <w:rPr>
          <w:sz w:val="22"/>
          <w:szCs w:val="22"/>
        </w:rPr>
        <w:t>will</w:t>
      </w:r>
      <w:proofErr w:type="spellEnd"/>
      <w:r>
        <w:rPr>
          <w:sz w:val="22"/>
          <w:szCs w:val="22"/>
        </w:rPr>
        <w:t xml:space="preserve"> be </w:t>
      </w:r>
      <w:proofErr w:type="spellStart"/>
      <w:r>
        <w:rPr>
          <w:sz w:val="22"/>
          <w:szCs w:val="22"/>
        </w:rPr>
        <w:t>responsible</w:t>
      </w:r>
      <w:proofErr w:type="spellEnd"/>
      <w:r>
        <w:rPr>
          <w:sz w:val="22"/>
          <w:szCs w:val="22"/>
        </w:rPr>
        <w:t xml:space="preserve"> </w:t>
      </w:r>
      <w:proofErr w:type="spellStart"/>
      <w:r>
        <w:rPr>
          <w:sz w:val="22"/>
          <w:szCs w:val="22"/>
        </w:rPr>
        <w:t>for</w:t>
      </w:r>
      <w:proofErr w:type="spellEnd"/>
      <w:r>
        <w:rPr>
          <w:sz w:val="22"/>
          <w:szCs w:val="22"/>
        </w:rPr>
        <w:t xml:space="preserve"> </w:t>
      </w:r>
      <w:proofErr w:type="spellStart"/>
      <w:r>
        <w:rPr>
          <w:sz w:val="22"/>
          <w:szCs w:val="22"/>
        </w:rPr>
        <w:t>the</w:t>
      </w:r>
      <w:proofErr w:type="spellEnd"/>
      <w:r>
        <w:rPr>
          <w:sz w:val="22"/>
          <w:szCs w:val="22"/>
        </w:rPr>
        <w:t xml:space="preserve"> </w:t>
      </w:r>
      <w:proofErr w:type="spellStart"/>
      <w:r>
        <w:rPr>
          <w:sz w:val="22"/>
          <w:szCs w:val="22"/>
        </w:rPr>
        <w:t>collection</w:t>
      </w:r>
      <w:proofErr w:type="spellEnd"/>
      <w:r>
        <w:rPr>
          <w:sz w:val="22"/>
          <w:szCs w:val="22"/>
        </w:rPr>
        <w:t xml:space="preserve">, </w:t>
      </w:r>
      <w:proofErr w:type="spellStart"/>
      <w:r>
        <w:rPr>
          <w:sz w:val="22"/>
          <w:szCs w:val="22"/>
        </w:rPr>
        <w:t>transport</w:t>
      </w:r>
      <w:proofErr w:type="spellEnd"/>
      <w:r>
        <w:rPr>
          <w:sz w:val="22"/>
          <w:szCs w:val="22"/>
        </w:rPr>
        <w:t xml:space="preserve"> and </w:t>
      </w:r>
      <w:proofErr w:type="spellStart"/>
      <w:r>
        <w:rPr>
          <w:sz w:val="22"/>
          <w:szCs w:val="22"/>
        </w:rPr>
        <w:t>delivery</w:t>
      </w:r>
      <w:proofErr w:type="spellEnd"/>
      <w:r>
        <w:rPr>
          <w:sz w:val="22"/>
          <w:szCs w:val="22"/>
        </w:rPr>
        <w:t xml:space="preserve"> </w:t>
      </w:r>
      <w:proofErr w:type="spellStart"/>
      <w:r>
        <w:rPr>
          <w:sz w:val="22"/>
          <w:szCs w:val="22"/>
        </w:rPr>
        <w:t>of</w:t>
      </w:r>
      <w:proofErr w:type="spellEnd"/>
      <w:r>
        <w:rPr>
          <w:sz w:val="22"/>
          <w:szCs w:val="22"/>
        </w:rPr>
        <w:t xml:space="preserve"> </w:t>
      </w:r>
      <w:proofErr w:type="spellStart"/>
      <w:r>
        <w:rPr>
          <w:sz w:val="22"/>
          <w:szCs w:val="22"/>
        </w:rPr>
        <w:t>the</w:t>
      </w:r>
      <w:proofErr w:type="spellEnd"/>
      <w:r>
        <w:rPr>
          <w:sz w:val="22"/>
          <w:szCs w:val="22"/>
        </w:rPr>
        <w:t xml:space="preserve"> </w:t>
      </w:r>
      <w:proofErr w:type="spellStart"/>
      <w:r>
        <w:rPr>
          <w:sz w:val="22"/>
          <w:szCs w:val="22"/>
        </w:rPr>
        <w:t>information</w:t>
      </w:r>
      <w:proofErr w:type="spellEnd"/>
      <w:r>
        <w:rPr>
          <w:sz w:val="22"/>
          <w:szCs w:val="22"/>
        </w:rPr>
        <w:t xml:space="preserve"> </w:t>
      </w:r>
      <w:proofErr w:type="spellStart"/>
      <w:r>
        <w:rPr>
          <w:sz w:val="22"/>
          <w:szCs w:val="22"/>
        </w:rPr>
        <w:t>generated</w:t>
      </w:r>
      <w:proofErr w:type="spellEnd"/>
      <w:r>
        <w:rPr>
          <w:sz w:val="22"/>
          <w:szCs w:val="22"/>
        </w:rPr>
        <w:t xml:space="preserve"> in </w:t>
      </w:r>
      <w:proofErr w:type="spellStart"/>
      <w:r>
        <w:rPr>
          <w:sz w:val="22"/>
          <w:szCs w:val="22"/>
        </w:rPr>
        <w:t>the</w:t>
      </w:r>
      <w:proofErr w:type="spellEnd"/>
      <w:r>
        <w:rPr>
          <w:sz w:val="22"/>
          <w:szCs w:val="22"/>
        </w:rPr>
        <w:t xml:space="preserve"> </w:t>
      </w:r>
      <w:proofErr w:type="spellStart"/>
      <w:r>
        <w:rPr>
          <w:sz w:val="22"/>
          <w:szCs w:val="22"/>
        </w:rPr>
        <w:t>telemetry</w:t>
      </w:r>
      <w:proofErr w:type="spellEnd"/>
      <w:r>
        <w:rPr>
          <w:sz w:val="22"/>
          <w:szCs w:val="22"/>
        </w:rPr>
        <w:t xml:space="preserve"> </w:t>
      </w:r>
      <w:proofErr w:type="spellStart"/>
      <w:r>
        <w:rPr>
          <w:sz w:val="22"/>
          <w:szCs w:val="22"/>
        </w:rPr>
        <w:t>devices</w:t>
      </w:r>
      <w:proofErr w:type="spellEnd"/>
      <w:r>
        <w:rPr>
          <w:sz w:val="22"/>
          <w:szCs w:val="22"/>
        </w:rPr>
        <w:t xml:space="preserve"> </w:t>
      </w:r>
      <w:proofErr w:type="spellStart"/>
      <w:r>
        <w:rPr>
          <w:sz w:val="22"/>
          <w:szCs w:val="22"/>
        </w:rPr>
        <w:t>implemented</w:t>
      </w:r>
      <w:proofErr w:type="spellEnd"/>
      <w:r>
        <w:rPr>
          <w:sz w:val="22"/>
          <w:szCs w:val="22"/>
        </w:rPr>
        <w:t xml:space="preserve"> in </w:t>
      </w:r>
      <w:proofErr w:type="spellStart"/>
      <w:r>
        <w:rPr>
          <w:sz w:val="22"/>
          <w:szCs w:val="22"/>
        </w:rPr>
        <w:t>each</w:t>
      </w:r>
      <w:proofErr w:type="spellEnd"/>
      <w:r>
        <w:rPr>
          <w:sz w:val="22"/>
          <w:szCs w:val="22"/>
        </w:rPr>
        <w:t xml:space="preserve"> meter.</w:t>
      </w:r>
    </w:p>
    <w:p w14:paraId="218B2BF1" w14:textId="77777777" w:rsidR="00E255F4" w:rsidRDefault="00000000">
      <w:pPr>
        <w:numPr>
          <w:ilvl w:val="1"/>
          <w:numId w:val="33"/>
        </w:numPr>
        <w:jc w:val="both"/>
      </w:pPr>
      <w:r>
        <w:rPr>
          <w:sz w:val="22"/>
          <w:szCs w:val="22"/>
        </w:rPr>
        <w:t xml:space="preserve">The </w:t>
      </w:r>
      <w:proofErr w:type="spellStart"/>
      <w:r>
        <w:rPr>
          <w:sz w:val="22"/>
          <w:szCs w:val="22"/>
        </w:rPr>
        <w:t>process</w:t>
      </w:r>
      <w:proofErr w:type="spellEnd"/>
      <w:r>
        <w:rPr>
          <w:sz w:val="22"/>
          <w:szCs w:val="22"/>
        </w:rPr>
        <w:t xml:space="preserve"> </w:t>
      </w:r>
      <w:proofErr w:type="spellStart"/>
      <w:r>
        <w:rPr>
          <w:sz w:val="22"/>
          <w:szCs w:val="22"/>
        </w:rPr>
        <w:t>of</w:t>
      </w:r>
      <w:proofErr w:type="spellEnd"/>
      <w:r>
        <w:rPr>
          <w:sz w:val="22"/>
          <w:szCs w:val="22"/>
        </w:rPr>
        <w:t xml:space="preserve"> </w:t>
      </w:r>
      <w:proofErr w:type="spellStart"/>
      <w:r>
        <w:rPr>
          <w:sz w:val="22"/>
          <w:szCs w:val="22"/>
        </w:rPr>
        <w:t>collecting</w:t>
      </w:r>
      <w:proofErr w:type="spellEnd"/>
      <w:r>
        <w:rPr>
          <w:sz w:val="22"/>
          <w:szCs w:val="22"/>
        </w:rPr>
        <w:t xml:space="preserve">, </w:t>
      </w:r>
      <w:proofErr w:type="spellStart"/>
      <w:r>
        <w:rPr>
          <w:sz w:val="22"/>
          <w:szCs w:val="22"/>
        </w:rPr>
        <w:t>transporting</w:t>
      </w:r>
      <w:proofErr w:type="spellEnd"/>
      <w:r>
        <w:rPr>
          <w:sz w:val="22"/>
          <w:szCs w:val="22"/>
        </w:rPr>
        <w:t xml:space="preserve">, and </w:t>
      </w:r>
      <w:proofErr w:type="spellStart"/>
      <w:r>
        <w:rPr>
          <w:sz w:val="22"/>
          <w:szCs w:val="22"/>
        </w:rPr>
        <w:t>delivering</w:t>
      </w:r>
      <w:proofErr w:type="spellEnd"/>
      <w:r>
        <w:rPr>
          <w:sz w:val="22"/>
          <w:szCs w:val="22"/>
        </w:rPr>
        <w:t xml:space="preserve"> </w:t>
      </w:r>
      <w:proofErr w:type="spellStart"/>
      <w:r>
        <w:rPr>
          <w:sz w:val="22"/>
          <w:szCs w:val="22"/>
        </w:rPr>
        <w:t>the</w:t>
      </w:r>
      <w:proofErr w:type="spellEnd"/>
      <w:r>
        <w:rPr>
          <w:sz w:val="22"/>
          <w:szCs w:val="22"/>
        </w:rPr>
        <w:t xml:space="preserve"> </w:t>
      </w:r>
      <w:proofErr w:type="spellStart"/>
      <w:r>
        <w:rPr>
          <w:sz w:val="22"/>
          <w:szCs w:val="22"/>
        </w:rPr>
        <w:t>telemetry</w:t>
      </w:r>
      <w:proofErr w:type="spellEnd"/>
      <w:r>
        <w:rPr>
          <w:sz w:val="22"/>
          <w:szCs w:val="22"/>
        </w:rPr>
        <w:t xml:space="preserve"> </w:t>
      </w:r>
      <w:proofErr w:type="spellStart"/>
      <w:r>
        <w:rPr>
          <w:sz w:val="22"/>
          <w:szCs w:val="22"/>
        </w:rPr>
        <w:t>information</w:t>
      </w:r>
      <w:proofErr w:type="spellEnd"/>
      <w:r>
        <w:rPr>
          <w:sz w:val="22"/>
          <w:szCs w:val="22"/>
        </w:rPr>
        <w:t xml:space="preserve"> </w:t>
      </w:r>
      <w:proofErr w:type="spellStart"/>
      <w:r>
        <w:rPr>
          <w:sz w:val="22"/>
          <w:szCs w:val="22"/>
        </w:rPr>
        <w:t>will</w:t>
      </w:r>
      <w:proofErr w:type="spellEnd"/>
      <w:r>
        <w:rPr>
          <w:sz w:val="22"/>
          <w:szCs w:val="22"/>
        </w:rPr>
        <w:t xml:space="preserve"> be </w:t>
      </w:r>
      <w:proofErr w:type="spellStart"/>
      <w:r>
        <w:rPr>
          <w:sz w:val="22"/>
          <w:szCs w:val="22"/>
        </w:rPr>
        <w:t>carried</w:t>
      </w:r>
      <w:proofErr w:type="spellEnd"/>
      <w:r>
        <w:rPr>
          <w:sz w:val="22"/>
          <w:szCs w:val="22"/>
        </w:rPr>
        <w:t xml:space="preserve"> </w:t>
      </w:r>
      <w:proofErr w:type="spellStart"/>
      <w:r>
        <w:rPr>
          <w:sz w:val="22"/>
          <w:szCs w:val="22"/>
        </w:rPr>
        <w:t>out</w:t>
      </w:r>
      <w:proofErr w:type="spellEnd"/>
      <w:r>
        <w:rPr>
          <w:sz w:val="22"/>
          <w:szCs w:val="22"/>
        </w:rPr>
        <w:t xml:space="preserve"> </w:t>
      </w:r>
      <w:proofErr w:type="spellStart"/>
      <w:r>
        <w:rPr>
          <w:sz w:val="22"/>
          <w:szCs w:val="22"/>
        </w:rPr>
        <w:t>using</w:t>
      </w:r>
      <w:proofErr w:type="spellEnd"/>
      <w:r>
        <w:rPr>
          <w:sz w:val="22"/>
          <w:szCs w:val="22"/>
        </w:rPr>
        <w:t xml:space="preserve"> </w:t>
      </w:r>
      <w:proofErr w:type="spellStart"/>
      <w:r>
        <w:rPr>
          <w:sz w:val="22"/>
          <w:szCs w:val="22"/>
        </w:rPr>
        <w:t>current</w:t>
      </w:r>
      <w:proofErr w:type="spellEnd"/>
      <w:r>
        <w:rPr>
          <w:sz w:val="22"/>
          <w:szCs w:val="22"/>
        </w:rPr>
        <w:t xml:space="preserve"> data </w:t>
      </w:r>
      <w:proofErr w:type="spellStart"/>
      <w:r>
        <w:rPr>
          <w:sz w:val="22"/>
          <w:szCs w:val="22"/>
        </w:rPr>
        <w:t>telecommunication</w:t>
      </w:r>
      <w:proofErr w:type="spellEnd"/>
      <w:r>
        <w:rPr>
          <w:sz w:val="22"/>
          <w:szCs w:val="22"/>
        </w:rPr>
        <w:t xml:space="preserve"> </w:t>
      </w:r>
      <w:proofErr w:type="spellStart"/>
      <w:r>
        <w:rPr>
          <w:sz w:val="22"/>
          <w:szCs w:val="22"/>
        </w:rPr>
        <w:t>technologies</w:t>
      </w:r>
      <w:proofErr w:type="spellEnd"/>
      <w:r>
        <w:rPr>
          <w:sz w:val="22"/>
          <w:szCs w:val="22"/>
        </w:rPr>
        <w:t>.</w:t>
      </w:r>
    </w:p>
    <w:p w14:paraId="732170A0" w14:textId="77777777" w:rsidR="00E255F4" w:rsidRDefault="00000000">
      <w:pPr>
        <w:numPr>
          <w:ilvl w:val="1"/>
          <w:numId w:val="33"/>
        </w:numPr>
        <w:jc w:val="both"/>
        <w:rPr>
          <w:sz w:val="22"/>
          <w:szCs w:val="22"/>
        </w:rPr>
      </w:pPr>
      <w:proofErr w:type="spellStart"/>
      <w:r>
        <w:rPr>
          <w:sz w:val="22"/>
          <w:szCs w:val="22"/>
        </w:rPr>
        <w:t>Support</w:t>
      </w:r>
      <w:proofErr w:type="spellEnd"/>
      <w:r>
        <w:rPr>
          <w:sz w:val="22"/>
          <w:szCs w:val="22"/>
        </w:rPr>
        <w:t xml:space="preserve"> and </w:t>
      </w:r>
      <w:proofErr w:type="spellStart"/>
      <w:r>
        <w:rPr>
          <w:sz w:val="22"/>
          <w:szCs w:val="22"/>
        </w:rPr>
        <w:t>maintenance</w:t>
      </w:r>
      <w:proofErr w:type="spellEnd"/>
      <w:r>
        <w:rPr>
          <w:sz w:val="22"/>
          <w:szCs w:val="22"/>
        </w:rPr>
        <w:t xml:space="preserve"> </w:t>
      </w:r>
      <w:proofErr w:type="spellStart"/>
      <w:r>
        <w:rPr>
          <w:sz w:val="22"/>
          <w:szCs w:val="22"/>
        </w:rPr>
        <w:t>of</w:t>
      </w:r>
      <w:proofErr w:type="spellEnd"/>
      <w:r>
        <w:rPr>
          <w:sz w:val="22"/>
          <w:szCs w:val="22"/>
        </w:rPr>
        <w:t xml:space="preserve"> </w:t>
      </w:r>
      <w:proofErr w:type="spellStart"/>
      <w:r>
        <w:rPr>
          <w:sz w:val="22"/>
          <w:szCs w:val="22"/>
        </w:rPr>
        <w:t>all</w:t>
      </w:r>
      <w:proofErr w:type="spellEnd"/>
      <w:r>
        <w:rPr>
          <w:sz w:val="22"/>
          <w:szCs w:val="22"/>
        </w:rPr>
        <w:t xml:space="preserve"> </w:t>
      </w:r>
      <w:proofErr w:type="spellStart"/>
      <w:r>
        <w:rPr>
          <w:sz w:val="22"/>
          <w:szCs w:val="22"/>
        </w:rPr>
        <w:t>components</w:t>
      </w:r>
      <w:proofErr w:type="spellEnd"/>
      <w:r>
        <w:rPr>
          <w:sz w:val="22"/>
          <w:szCs w:val="22"/>
        </w:rPr>
        <w:t xml:space="preserve"> </w:t>
      </w:r>
      <w:proofErr w:type="spellStart"/>
      <w:r>
        <w:rPr>
          <w:sz w:val="22"/>
          <w:szCs w:val="22"/>
        </w:rPr>
        <w:t>of</w:t>
      </w:r>
      <w:proofErr w:type="spellEnd"/>
      <w:r>
        <w:rPr>
          <w:sz w:val="22"/>
          <w:szCs w:val="22"/>
        </w:rPr>
        <w:t xml:space="preserve"> </w:t>
      </w:r>
      <w:proofErr w:type="spellStart"/>
      <w:r>
        <w:rPr>
          <w:sz w:val="22"/>
          <w:szCs w:val="22"/>
        </w:rPr>
        <w:t>the</w:t>
      </w:r>
      <w:proofErr w:type="spellEnd"/>
      <w:r>
        <w:rPr>
          <w:sz w:val="22"/>
          <w:szCs w:val="22"/>
        </w:rPr>
        <w:t xml:space="preserve"> </w:t>
      </w:r>
      <w:proofErr w:type="spellStart"/>
      <w:r>
        <w:rPr>
          <w:sz w:val="22"/>
          <w:szCs w:val="22"/>
        </w:rPr>
        <w:t>Telemetry</w:t>
      </w:r>
      <w:proofErr w:type="spellEnd"/>
      <w:r>
        <w:rPr>
          <w:sz w:val="22"/>
          <w:szCs w:val="22"/>
        </w:rPr>
        <w:t xml:space="preserve"> Service </w:t>
      </w:r>
      <w:proofErr w:type="spellStart"/>
      <w:r>
        <w:rPr>
          <w:sz w:val="22"/>
          <w:szCs w:val="22"/>
        </w:rPr>
        <w:t>will</w:t>
      </w:r>
      <w:proofErr w:type="spellEnd"/>
      <w:r>
        <w:rPr>
          <w:sz w:val="22"/>
          <w:szCs w:val="22"/>
        </w:rPr>
        <w:t xml:space="preserve"> be </w:t>
      </w:r>
      <w:proofErr w:type="spellStart"/>
      <w:r>
        <w:rPr>
          <w:sz w:val="22"/>
          <w:szCs w:val="22"/>
        </w:rPr>
        <w:t>included</w:t>
      </w:r>
      <w:proofErr w:type="spellEnd"/>
      <w:r>
        <w:rPr>
          <w:sz w:val="22"/>
          <w:szCs w:val="22"/>
        </w:rPr>
        <w:t xml:space="preserve"> </w:t>
      </w:r>
      <w:proofErr w:type="spellStart"/>
      <w:r>
        <w:rPr>
          <w:sz w:val="22"/>
          <w:szCs w:val="22"/>
        </w:rPr>
        <w:t>within</w:t>
      </w:r>
      <w:proofErr w:type="spellEnd"/>
      <w:r>
        <w:rPr>
          <w:sz w:val="22"/>
          <w:szCs w:val="22"/>
        </w:rPr>
        <w:t xml:space="preserve"> </w:t>
      </w:r>
      <w:proofErr w:type="spellStart"/>
      <w:r>
        <w:rPr>
          <w:sz w:val="22"/>
          <w:szCs w:val="22"/>
        </w:rPr>
        <w:t>it</w:t>
      </w:r>
      <w:proofErr w:type="spellEnd"/>
      <w:r>
        <w:rPr>
          <w:sz w:val="22"/>
          <w:szCs w:val="22"/>
        </w:rPr>
        <w:t>.</w:t>
      </w:r>
    </w:p>
    <w:p w14:paraId="64EA8D2E" w14:textId="77777777" w:rsidR="00E255F4" w:rsidRDefault="00000000">
      <w:pPr>
        <w:numPr>
          <w:ilvl w:val="1"/>
          <w:numId w:val="33"/>
        </w:numPr>
        <w:jc w:val="both"/>
      </w:pPr>
      <w:r>
        <w:rPr>
          <w:sz w:val="22"/>
          <w:szCs w:val="22"/>
        </w:rPr>
        <w:t xml:space="preserve">The </w:t>
      </w:r>
      <w:proofErr w:type="spellStart"/>
      <w:r>
        <w:rPr>
          <w:sz w:val="22"/>
          <w:szCs w:val="22"/>
        </w:rPr>
        <w:t>Telemetry</w:t>
      </w:r>
      <w:proofErr w:type="spellEnd"/>
      <w:r>
        <w:rPr>
          <w:sz w:val="22"/>
          <w:szCs w:val="22"/>
        </w:rPr>
        <w:t xml:space="preserve"> Service </w:t>
      </w:r>
      <w:proofErr w:type="spellStart"/>
      <w:r>
        <w:rPr>
          <w:sz w:val="22"/>
          <w:szCs w:val="22"/>
        </w:rPr>
        <w:t>includes</w:t>
      </w:r>
      <w:proofErr w:type="spellEnd"/>
      <w:r>
        <w:rPr>
          <w:sz w:val="22"/>
          <w:szCs w:val="22"/>
        </w:rPr>
        <w:t xml:space="preserve"> </w:t>
      </w:r>
      <w:proofErr w:type="spellStart"/>
      <w:r>
        <w:rPr>
          <w:sz w:val="22"/>
          <w:szCs w:val="22"/>
        </w:rPr>
        <w:t>the</w:t>
      </w:r>
      <w:proofErr w:type="spellEnd"/>
      <w:r>
        <w:rPr>
          <w:sz w:val="22"/>
          <w:szCs w:val="22"/>
        </w:rPr>
        <w:t xml:space="preserve"> </w:t>
      </w:r>
      <w:proofErr w:type="spellStart"/>
      <w:r>
        <w:rPr>
          <w:sz w:val="22"/>
          <w:szCs w:val="22"/>
        </w:rPr>
        <w:t>maintenance</w:t>
      </w:r>
      <w:proofErr w:type="spellEnd"/>
      <w:r>
        <w:rPr>
          <w:sz w:val="22"/>
          <w:szCs w:val="22"/>
        </w:rPr>
        <w:t xml:space="preserve"> and </w:t>
      </w:r>
      <w:proofErr w:type="spellStart"/>
      <w:r>
        <w:rPr>
          <w:sz w:val="22"/>
          <w:szCs w:val="22"/>
        </w:rPr>
        <w:t>support</w:t>
      </w:r>
      <w:proofErr w:type="spellEnd"/>
      <w:r>
        <w:rPr>
          <w:sz w:val="22"/>
          <w:szCs w:val="22"/>
        </w:rPr>
        <w:t xml:space="preserve"> </w:t>
      </w:r>
      <w:proofErr w:type="spellStart"/>
      <w:r>
        <w:rPr>
          <w:sz w:val="22"/>
          <w:szCs w:val="22"/>
        </w:rPr>
        <w:t>of</w:t>
      </w:r>
      <w:proofErr w:type="spellEnd"/>
      <w:r>
        <w:rPr>
          <w:sz w:val="22"/>
          <w:szCs w:val="22"/>
        </w:rPr>
        <w:t xml:space="preserve"> </w:t>
      </w:r>
      <w:proofErr w:type="spellStart"/>
      <w:r>
        <w:rPr>
          <w:sz w:val="22"/>
          <w:szCs w:val="22"/>
        </w:rPr>
        <w:t>each</w:t>
      </w:r>
      <w:proofErr w:type="spellEnd"/>
      <w:r>
        <w:rPr>
          <w:sz w:val="22"/>
          <w:szCs w:val="22"/>
        </w:rPr>
        <w:t xml:space="preserve"> and </w:t>
      </w:r>
      <w:proofErr w:type="spellStart"/>
      <w:r>
        <w:rPr>
          <w:sz w:val="22"/>
          <w:szCs w:val="22"/>
        </w:rPr>
        <w:t>every</w:t>
      </w:r>
      <w:proofErr w:type="spellEnd"/>
      <w:r>
        <w:rPr>
          <w:sz w:val="22"/>
          <w:szCs w:val="22"/>
        </w:rPr>
        <w:t xml:space="preserve"> </w:t>
      </w:r>
      <w:proofErr w:type="spellStart"/>
      <w:r>
        <w:rPr>
          <w:sz w:val="22"/>
          <w:szCs w:val="22"/>
        </w:rPr>
        <w:t>component</w:t>
      </w:r>
      <w:proofErr w:type="spellEnd"/>
      <w:r>
        <w:rPr>
          <w:sz w:val="22"/>
          <w:szCs w:val="22"/>
        </w:rPr>
        <w:t xml:space="preserve"> </w:t>
      </w:r>
      <w:proofErr w:type="spellStart"/>
      <w:r>
        <w:rPr>
          <w:sz w:val="22"/>
          <w:szCs w:val="22"/>
        </w:rPr>
        <w:t>of</w:t>
      </w:r>
      <w:proofErr w:type="spellEnd"/>
      <w:r>
        <w:rPr>
          <w:sz w:val="22"/>
          <w:szCs w:val="22"/>
        </w:rPr>
        <w:t xml:space="preserve"> </w:t>
      </w:r>
      <w:proofErr w:type="spellStart"/>
      <w:r>
        <w:rPr>
          <w:sz w:val="22"/>
          <w:szCs w:val="22"/>
        </w:rPr>
        <w:t>the</w:t>
      </w:r>
      <w:proofErr w:type="spellEnd"/>
      <w:r>
        <w:rPr>
          <w:sz w:val="22"/>
          <w:szCs w:val="22"/>
        </w:rPr>
        <w:t xml:space="preserve"> </w:t>
      </w:r>
      <w:proofErr w:type="spellStart"/>
      <w:r>
        <w:rPr>
          <w:sz w:val="22"/>
          <w:szCs w:val="22"/>
        </w:rPr>
        <w:t>integrated</w:t>
      </w:r>
      <w:proofErr w:type="spellEnd"/>
      <w:r>
        <w:rPr>
          <w:sz w:val="22"/>
          <w:szCs w:val="22"/>
        </w:rPr>
        <w:t xml:space="preserve"> </w:t>
      </w:r>
      <w:proofErr w:type="spellStart"/>
      <w:r>
        <w:rPr>
          <w:sz w:val="22"/>
          <w:szCs w:val="22"/>
        </w:rPr>
        <w:t>smart</w:t>
      </w:r>
      <w:proofErr w:type="spellEnd"/>
      <w:r>
        <w:rPr>
          <w:sz w:val="22"/>
          <w:szCs w:val="22"/>
        </w:rPr>
        <w:t xml:space="preserve"> meter </w:t>
      </w:r>
      <w:proofErr w:type="spellStart"/>
      <w:r>
        <w:rPr>
          <w:sz w:val="22"/>
          <w:szCs w:val="22"/>
        </w:rPr>
        <w:t>provided</w:t>
      </w:r>
      <w:proofErr w:type="spellEnd"/>
      <w:r>
        <w:rPr>
          <w:sz w:val="22"/>
          <w:szCs w:val="22"/>
        </w:rPr>
        <w:t xml:space="preserve"> </w:t>
      </w:r>
      <w:proofErr w:type="spellStart"/>
      <w:r>
        <w:rPr>
          <w:sz w:val="22"/>
          <w:szCs w:val="22"/>
        </w:rPr>
        <w:t>by</w:t>
      </w:r>
      <w:proofErr w:type="spellEnd"/>
      <w:r>
        <w:rPr>
          <w:sz w:val="22"/>
          <w:szCs w:val="22"/>
        </w:rPr>
        <w:t xml:space="preserve"> </w:t>
      </w:r>
      <w:proofErr w:type="spellStart"/>
      <w:r>
        <w:rPr>
          <w:sz w:val="22"/>
          <w:szCs w:val="22"/>
        </w:rPr>
        <w:t>the</w:t>
      </w:r>
      <w:proofErr w:type="spellEnd"/>
      <w:r>
        <w:rPr>
          <w:sz w:val="22"/>
          <w:szCs w:val="22"/>
        </w:rPr>
        <w:t xml:space="preserve"> </w:t>
      </w:r>
      <w:proofErr w:type="spellStart"/>
      <w:r>
        <w:rPr>
          <w:sz w:val="22"/>
          <w:szCs w:val="22"/>
        </w:rPr>
        <w:t>contractor</w:t>
      </w:r>
      <w:proofErr w:type="spellEnd"/>
      <w:r>
        <w:rPr>
          <w:sz w:val="22"/>
          <w:szCs w:val="22"/>
        </w:rPr>
        <w:t xml:space="preserve">, </w:t>
      </w:r>
      <w:proofErr w:type="spellStart"/>
      <w:r>
        <w:rPr>
          <w:sz w:val="22"/>
          <w:szCs w:val="22"/>
        </w:rPr>
        <w:t>keeping</w:t>
      </w:r>
      <w:proofErr w:type="spellEnd"/>
      <w:r>
        <w:rPr>
          <w:sz w:val="22"/>
          <w:szCs w:val="22"/>
        </w:rPr>
        <w:t xml:space="preserve"> </w:t>
      </w:r>
      <w:proofErr w:type="spellStart"/>
      <w:r>
        <w:rPr>
          <w:sz w:val="22"/>
          <w:szCs w:val="22"/>
        </w:rPr>
        <w:t>them</w:t>
      </w:r>
      <w:proofErr w:type="spellEnd"/>
      <w:r>
        <w:rPr>
          <w:sz w:val="22"/>
          <w:szCs w:val="22"/>
        </w:rPr>
        <w:t xml:space="preserve"> in full </w:t>
      </w:r>
      <w:proofErr w:type="spellStart"/>
      <w:r>
        <w:rPr>
          <w:sz w:val="22"/>
          <w:szCs w:val="22"/>
        </w:rPr>
        <w:t>operation</w:t>
      </w:r>
      <w:proofErr w:type="spellEnd"/>
      <w:r>
        <w:rPr>
          <w:sz w:val="22"/>
          <w:szCs w:val="22"/>
        </w:rPr>
        <w:t xml:space="preserve"> and </w:t>
      </w:r>
      <w:proofErr w:type="spellStart"/>
      <w:r>
        <w:rPr>
          <w:sz w:val="22"/>
          <w:szCs w:val="22"/>
        </w:rPr>
        <w:t>addressing</w:t>
      </w:r>
      <w:proofErr w:type="spellEnd"/>
      <w:r>
        <w:rPr>
          <w:sz w:val="22"/>
          <w:szCs w:val="22"/>
        </w:rPr>
        <w:t xml:space="preserve"> </w:t>
      </w:r>
      <w:proofErr w:type="spellStart"/>
      <w:r>
        <w:rPr>
          <w:sz w:val="22"/>
          <w:szCs w:val="22"/>
        </w:rPr>
        <w:t>any</w:t>
      </w:r>
      <w:proofErr w:type="spellEnd"/>
      <w:r>
        <w:rPr>
          <w:sz w:val="22"/>
          <w:szCs w:val="22"/>
        </w:rPr>
        <w:t xml:space="preserve"> </w:t>
      </w:r>
      <w:proofErr w:type="spellStart"/>
      <w:r>
        <w:rPr>
          <w:sz w:val="22"/>
          <w:szCs w:val="22"/>
        </w:rPr>
        <w:t>claims</w:t>
      </w:r>
      <w:proofErr w:type="spellEnd"/>
      <w:r>
        <w:rPr>
          <w:sz w:val="22"/>
          <w:szCs w:val="22"/>
        </w:rPr>
        <w:t xml:space="preserve"> </w:t>
      </w:r>
      <w:proofErr w:type="spellStart"/>
      <w:r>
        <w:rPr>
          <w:sz w:val="22"/>
          <w:szCs w:val="22"/>
        </w:rPr>
        <w:t>made</w:t>
      </w:r>
      <w:proofErr w:type="spellEnd"/>
      <w:r>
        <w:rPr>
          <w:sz w:val="22"/>
          <w:szCs w:val="22"/>
        </w:rPr>
        <w:t xml:space="preserve"> in </w:t>
      </w:r>
      <w:proofErr w:type="spellStart"/>
      <w:r>
        <w:rPr>
          <w:sz w:val="22"/>
          <w:szCs w:val="22"/>
        </w:rPr>
        <w:t>this</w:t>
      </w:r>
      <w:proofErr w:type="spellEnd"/>
      <w:r>
        <w:rPr>
          <w:sz w:val="22"/>
          <w:szCs w:val="22"/>
        </w:rPr>
        <w:t xml:space="preserve"> </w:t>
      </w:r>
      <w:proofErr w:type="spellStart"/>
      <w:r>
        <w:rPr>
          <w:sz w:val="22"/>
          <w:szCs w:val="22"/>
        </w:rPr>
        <w:t>regard</w:t>
      </w:r>
      <w:proofErr w:type="spellEnd"/>
      <w:r>
        <w:rPr>
          <w:sz w:val="22"/>
          <w:szCs w:val="22"/>
        </w:rPr>
        <w:t xml:space="preserve"> </w:t>
      </w:r>
      <w:proofErr w:type="spellStart"/>
      <w:r>
        <w:rPr>
          <w:sz w:val="22"/>
          <w:szCs w:val="22"/>
        </w:rPr>
        <w:t>by</w:t>
      </w:r>
      <w:proofErr w:type="spellEnd"/>
      <w:r>
        <w:rPr>
          <w:sz w:val="22"/>
          <w:szCs w:val="22"/>
        </w:rPr>
        <w:t xml:space="preserve"> OSE, </w:t>
      </w:r>
      <w:proofErr w:type="spellStart"/>
      <w:r>
        <w:rPr>
          <w:sz w:val="22"/>
          <w:szCs w:val="22"/>
        </w:rPr>
        <w:t>within</w:t>
      </w:r>
      <w:proofErr w:type="spellEnd"/>
      <w:r>
        <w:rPr>
          <w:sz w:val="22"/>
          <w:szCs w:val="22"/>
        </w:rPr>
        <w:t xml:space="preserve"> </w:t>
      </w:r>
      <w:proofErr w:type="spellStart"/>
      <w:r>
        <w:rPr>
          <w:sz w:val="22"/>
          <w:szCs w:val="22"/>
        </w:rPr>
        <w:t>the</w:t>
      </w:r>
      <w:proofErr w:type="spellEnd"/>
      <w:r>
        <w:rPr>
          <w:sz w:val="22"/>
          <w:szCs w:val="22"/>
        </w:rPr>
        <w:t xml:space="preserve"> </w:t>
      </w:r>
      <w:proofErr w:type="spellStart"/>
      <w:r>
        <w:rPr>
          <w:sz w:val="22"/>
          <w:szCs w:val="22"/>
        </w:rPr>
        <w:t>framework</w:t>
      </w:r>
      <w:proofErr w:type="spellEnd"/>
      <w:r>
        <w:rPr>
          <w:sz w:val="22"/>
          <w:szCs w:val="22"/>
        </w:rPr>
        <w:t xml:space="preserve"> </w:t>
      </w:r>
      <w:proofErr w:type="spellStart"/>
      <w:r>
        <w:rPr>
          <w:sz w:val="22"/>
          <w:szCs w:val="22"/>
        </w:rPr>
        <w:t>of</w:t>
      </w:r>
      <w:proofErr w:type="spellEnd"/>
      <w:r>
        <w:rPr>
          <w:sz w:val="22"/>
          <w:szCs w:val="22"/>
        </w:rPr>
        <w:t xml:space="preserve"> </w:t>
      </w:r>
      <w:proofErr w:type="spellStart"/>
      <w:r>
        <w:rPr>
          <w:sz w:val="22"/>
          <w:szCs w:val="22"/>
        </w:rPr>
        <w:t>the</w:t>
      </w:r>
      <w:proofErr w:type="spellEnd"/>
      <w:r>
        <w:rPr>
          <w:sz w:val="22"/>
          <w:szCs w:val="22"/>
        </w:rPr>
        <w:t xml:space="preserve"> </w:t>
      </w:r>
      <w:proofErr w:type="spellStart"/>
      <w:r>
        <w:rPr>
          <w:sz w:val="22"/>
          <w:szCs w:val="22"/>
        </w:rPr>
        <w:t>requested</w:t>
      </w:r>
      <w:proofErr w:type="spellEnd"/>
      <w:r>
        <w:rPr>
          <w:sz w:val="22"/>
          <w:szCs w:val="22"/>
        </w:rPr>
        <w:t xml:space="preserve"> </w:t>
      </w:r>
      <w:proofErr w:type="spellStart"/>
      <w:r>
        <w:rPr>
          <w:sz w:val="22"/>
          <w:szCs w:val="22"/>
        </w:rPr>
        <w:t>guarantees</w:t>
      </w:r>
      <w:proofErr w:type="spellEnd"/>
      <w:r>
        <w:rPr>
          <w:sz w:val="22"/>
          <w:szCs w:val="22"/>
        </w:rPr>
        <w:t>.</w:t>
      </w:r>
    </w:p>
    <w:p w14:paraId="1536FCA6" w14:textId="77777777" w:rsidR="00E255F4" w:rsidRDefault="00000000">
      <w:pPr>
        <w:numPr>
          <w:ilvl w:val="1"/>
          <w:numId w:val="33"/>
        </w:numPr>
        <w:jc w:val="both"/>
      </w:pPr>
      <w:proofErr w:type="spellStart"/>
      <w:r>
        <w:rPr>
          <w:sz w:val="22"/>
          <w:szCs w:val="22"/>
        </w:rPr>
        <w:t>Included</w:t>
      </w:r>
      <w:proofErr w:type="spellEnd"/>
      <w:r>
        <w:rPr>
          <w:sz w:val="22"/>
          <w:szCs w:val="22"/>
        </w:rPr>
        <w:t xml:space="preserve"> </w:t>
      </w:r>
      <w:proofErr w:type="spellStart"/>
      <w:r>
        <w:rPr>
          <w:sz w:val="22"/>
          <w:szCs w:val="22"/>
        </w:rPr>
        <w:t>within</w:t>
      </w:r>
      <w:proofErr w:type="spellEnd"/>
      <w:r>
        <w:rPr>
          <w:sz w:val="22"/>
          <w:szCs w:val="22"/>
        </w:rPr>
        <w:t xml:space="preserve"> </w:t>
      </w:r>
      <w:proofErr w:type="spellStart"/>
      <w:r>
        <w:rPr>
          <w:sz w:val="22"/>
          <w:szCs w:val="22"/>
        </w:rPr>
        <w:t>the</w:t>
      </w:r>
      <w:proofErr w:type="spellEnd"/>
      <w:r>
        <w:rPr>
          <w:sz w:val="22"/>
          <w:szCs w:val="22"/>
        </w:rPr>
        <w:t xml:space="preserve"> </w:t>
      </w:r>
      <w:proofErr w:type="spellStart"/>
      <w:r>
        <w:rPr>
          <w:sz w:val="22"/>
          <w:szCs w:val="22"/>
        </w:rPr>
        <w:t>service</w:t>
      </w:r>
      <w:proofErr w:type="spellEnd"/>
      <w:r>
        <w:rPr>
          <w:sz w:val="22"/>
          <w:szCs w:val="22"/>
        </w:rPr>
        <w:t xml:space="preserve"> are </w:t>
      </w:r>
      <w:proofErr w:type="spellStart"/>
      <w:r>
        <w:rPr>
          <w:sz w:val="22"/>
          <w:szCs w:val="22"/>
        </w:rPr>
        <w:t>the</w:t>
      </w:r>
      <w:proofErr w:type="spellEnd"/>
      <w:r>
        <w:rPr>
          <w:sz w:val="22"/>
          <w:szCs w:val="22"/>
        </w:rPr>
        <w:t xml:space="preserve"> </w:t>
      </w:r>
      <w:proofErr w:type="spellStart"/>
      <w:r>
        <w:rPr>
          <w:sz w:val="22"/>
          <w:szCs w:val="22"/>
        </w:rPr>
        <w:t>maintenance</w:t>
      </w:r>
      <w:proofErr w:type="spellEnd"/>
      <w:r>
        <w:rPr>
          <w:sz w:val="22"/>
          <w:szCs w:val="22"/>
        </w:rPr>
        <w:t xml:space="preserve"> and </w:t>
      </w:r>
      <w:proofErr w:type="spellStart"/>
      <w:r>
        <w:rPr>
          <w:sz w:val="22"/>
          <w:szCs w:val="22"/>
        </w:rPr>
        <w:t>support</w:t>
      </w:r>
      <w:proofErr w:type="spellEnd"/>
      <w:r>
        <w:rPr>
          <w:sz w:val="22"/>
          <w:szCs w:val="22"/>
        </w:rPr>
        <w:t xml:space="preserve"> </w:t>
      </w:r>
      <w:proofErr w:type="spellStart"/>
      <w:r>
        <w:rPr>
          <w:sz w:val="22"/>
          <w:szCs w:val="22"/>
        </w:rPr>
        <w:t>of</w:t>
      </w:r>
      <w:proofErr w:type="spellEnd"/>
      <w:r>
        <w:rPr>
          <w:sz w:val="22"/>
          <w:szCs w:val="22"/>
        </w:rPr>
        <w:t xml:space="preserve"> </w:t>
      </w:r>
      <w:proofErr w:type="spellStart"/>
      <w:r>
        <w:rPr>
          <w:sz w:val="22"/>
          <w:szCs w:val="22"/>
        </w:rPr>
        <w:t>all</w:t>
      </w:r>
      <w:proofErr w:type="spellEnd"/>
      <w:r>
        <w:rPr>
          <w:sz w:val="22"/>
          <w:szCs w:val="22"/>
        </w:rPr>
        <w:t xml:space="preserve"> </w:t>
      </w:r>
      <w:proofErr w:type="spellStart"/>
      <w:r>
        <w:rPr>
          <w:sz w:val="22"/>
          <w:szCs w:val="22"/>
        </w:rPr>
        <w:t>applications</w:t>
      </w:r>
      <w:proofErr w:type="spellEnd"/>
      <w:r>
        <w:rPr>
          <w:sz w:val="22"/>
          <w:szCs w:val="22"/>
        </w:rPr>
        <w:t xml:space="preserve">, </w:t>
      </w:r>
      <w:proofErr w:type="spellStart"/>
      <w:r>
        <w:rPr>
          <w:sz w:val="22"/>
          <w:szCs w:val="22"/>
        </w:rPr>
        <w:t>configurations</w:t>
      </w:r>
      <w:proofErr w:type="spellEnd"/>
      <w:r>
        <w:rPr>
          <w:sz w:val="22"/>
          <w:szCs w:val="22"/>
        </w:rPr>
        <w:t xml:space="preserve"> and interfaces </w:t>
      </w:r>
      <w:proofErr w:type="spellStart"/>
      <w:r>
        <w:rPr>
          <w:sz w:val="22"/>
          <w:szCs w:val="22"/>
        </w:rPr>
        <w:t>necessary</w:t>
      </w:r>
      <w:proofErr w:type="spellEnd"/>
      <w:r>
        <w:rPr>
          <w:sz w:val="22"/>
          <w:szCs w:val="22"/>
        </w:rPr>
        <w:t xml:space="preserve"> </w:t>
      </w:r>
      <w:proofErr w:type="spellStart"/>
      <w:r>
        <w:rPr>
          <w:sz w:val="22"/>
          <w:szCs w:val="22"/>
        </w:rPr>
        <w:t>for</w:t>
      </w:r>
      <w:proofErr w:type="spellEnd"/>
      <w:r>
        <w:rPr>
          <w:sz w:val="22"/>
          <w:szCs w:val="22"/>
        </w:rPr>
        <w:t xml:space="preserve"> </w:t>
      </w:r>
      <w:proofErr w:type="spellStart"/>
      <w:r>
        <w:rPr>
          <w:sz w:val="22"/>
          <w:szCs w:val="22"/>
        </w:rPr>
        <w:t>the</w:t>
      </w:r>
      <w:proofErr w:type="spellEnd"/>
      <w:r>
        <w:rPr>
          <w:sz w:val="22"/>
          <w:szCs w:val="22"/>
        </w:rPr>
        <w:t xml:space="preserve"> </w:t>
      </w:r>
      <w:proofErr w:type="spellStart"/>
      <w:r>
        <w:rPr>
          <w:sz w:val="22"/>
          <w:szCs w:val="22"/>
        </w:rPr>
        <w:t>telemetry</w:t>
      </w:r>
      <w:proofErr w:type="spellEnd"/>
      <w:r>
        <w:rPr>
          <w:sz w:val="22"/>
          <w:szCs w:val="22"/>
        </w:rPr>
        <w:t xml:space="preserve"> </w:t>
      </w:r>
      <w:proofErr w:type="spellStart"/>
      <w:r>
        <w:rPr>
          <w:sz w:val="22"/>
          <w:szCs w:val="22"/>
        </w:rPr>
        <w:t>information</w:t>
      </w:r>
      <w:proofErr w:type="spellEnd"/>
      <w:r>
        <w:rPr>
          <w:sz w:val="22"/>
          <w:szCs w:val="22"/>
        </w:rPr>
        <w:t xml:space="preserve"> </w:t>
      </w:r>
      <w:proofErr w:type="spellStart"/>
      <w:r>
        <w:rPr>
          <w:sz w:val="22"/>
          <w:szCs w:val="22"/>
        </w:rPr>
        <w:t>to</w:t>
      </w:r>
      <w:proofErr w:type="spellEnd"/>
      <w:r>
        <w:rPr>
          <w:sz w:val="22"/>
          <w:szCs w:val="22"/>
        </w:rPr>
        <w:t xml:space="preserve"> be </w:t>
      </w:r>
      <w:proofErr w:type="spellStart"/>
      <w:r>
        <w:rPr>
          <w:sz w:val="22"/>
          <w:szCs w:val="22"/>
        </w:rPr>
        <w:t>delivered</w:t>
      </w:r>
      <w:proofErr w:type="spellEnd"/>
      <w:r>
        <w:rPr>
          <w:sz w:val="22"/>
          <w:szCs w:val="22"/>
        </w:rPr>
        <w:t xml:space="preserve"> </w:t>
      </w:r>
      <w:proofErr w:type="spellStart"/>
      <w:r>
        <w:rPr>
          <w:sz w:val="22"/>
          <w:szCs w:val="22"/>
        </w:rPr>
        <w:t>to</w:t>
      </w:r>
      <w:proofErr w:type="spellEnd"/>
      <w:r>
        <w:rPr>
          <w:sz w:val="22"/>
          <w:szCs w:val="22"/>
        </w:rPr>
        <w:t xml:space="preserve"> </w:t>
      </w:r>
      <w:proofErr w:type="spellStart"/>
      <w:r>
        <w:rPr>
          <w:sz w:val="22"/>
          <w:szCs w:val="22"/>
        </w:rPr>
        <w:t>the</w:t>
      </w:r>
      <w:proofErr w:type="spellEnd"/>
      <w:r>
        <w:rPr>
          <w:sz w:val="22"/>
          <w:szCs w:val="22"/>
        </w:rPr>
        <w:t xml:space="preserve"> Data </w:t>
      </w:r>
      <w:proofErr w:type="spellStart"/>
      <w:r>
        <w:rPr>
          <w:sz w:val="22"/>
          <w:szCs w:val="22"/>
        </w:rPr>
        <w:t>Collection</w:t>
      </w:r>
      <w:proofErr w:type="spellEnd"/>
      <w:r>
        <w:rPr>
          <w:sz w:val="22"/>
          <w:szCs w:val="22"/>
        </w:rPr>
        <w:t xml:space="preserve"> </w:t>
      </w:r>
      <w:proofErr w:type="spellStart"/>
      <w:r>
        <w:rPr>
          <w:sz w:val="22"/>
          <w:szCs w:val="22"/>
        </w:rPr>
        <w:t>System</w:t>
      </w:r>
      <w:proofErr w:type="spellEnd"/>
      <w:r>
        <w:rPr>
          <w:sz w:val="22"/>
          <w:szCs w:val="22"/>
        </w:rPr>
        <w:t>.</w:t>
      </w:r>
    </w:p>
    <w:p w14:paraId="79872519" w14:textId="77777777" w:rsidR="00E255F4" w:rsidRDefault="00000000">
      <w:pPr>
        <w:numPr>
          <w:ilvl w:val="1"/>
          <w:numId w:val="33"/>
        </w:numPr>
        <w:jc w:val="both"/>
        <w:rPr>
          <w:sz w:val="22"/>
          <w:szCs w:val="22"/>
        </w:rPr>
      </w:pPr>
      <w:r>
        <w:rPr>
          <w:sz w:val="22"/>
          <w:szCs w:val="22"/>
        </w:rPr>
        <w:t xml:space="preserve">In case </w:t>
      </w:r>
      <w:proofErr w:type="spellStart"/>
      <w:r>
        <w:rPr>
          <w:sz w:val="22"/>
          <w:szCs w:val="22"/>
        </w:rPr>
        <w:t>of</w:t>
      </w:r>
      <w:proofErr w:type="spellEnd"/>
      <w:r>
        <w:rPr>
          <w:sz w:val="22"/>
          <w:szCs w:val="22"/>
        </w:rPr>
        <w:t xml:space="preserve"> </w:t>
      </w:r>
      <w:proofErr w:type="spellStart"/>
      <w:r>
        <w:rPr>
          <w:sz w:val="22"/>
          <w:szCs w:val="22"/>
        </w:rPr>
        <w:t>failure</w:t>
      </w:r>
      <w:proofErr w:type="spellEnd"/>
      <w:r>
        <w:rPr>
          <w:sz w:val="22"/>
          <w:szCs w:val="22"/>
        </w:rPr>
        <w:t xml:space="preserve"> </w:t>
      </w:r>
      <w:proofErr w:type="spellStart"/>
      <w:r>
        <w:rPr>
          <w:sz w:val="22"/>
          <w:szCs w:val="22"/>
        </w:rPr>
        <w:t>of</w:t>
      </w:r>
      <w:proofErr w:type="spellEnd"/>
      <w:r>
        <w:rPr>
          <w:sz w:val="22"/>
          <w:szCs w:val="22"/>
        </w:rPr>
        <w:t xml:space="preserve"> </w:t>
      </w:r>
      <w:proofErr w:type="spellStart"/>
      <w:r>
        <w:rPr>
          <w:sz w:val="22"/>
          <w:szCs w:val="22"/>
        </w:rPr>
        <w:t>the</w:t>
      </w:r>
      <w:proofErr w:type="spellEnd"/>
      <w:r>
        <w:rPr>
          <w:sz w:val="22"/>
          <w:szCs w:val="22"/>
        </w:rPr>
        <w:t xml:space="preserve"> </w:t>
      </w:r>
      <w:proofErr w:type="spellStart"/>
      <w:r>
        <w:rPr>
          <w:sz w:val="22"/>
          <w:szCs w:val="22"/>
        </w:rPr>
        <w:t>telemetry</w:t>
      </w:r>
      <w:proofErr w:type="spellEnd"/>
      <w:r>
        <w:rPr>
          <w:sz w:val="22"/>
          <w:szCs w:val="22"/>
        </w:rPr>
        <w:t xml:space="preserve"> </w:t>
      </w:r>
      <w:proofErr w:type="spellStart"/>
      <w:r>
        <w:rPr>
          <w:sz w:val="22"/>
          <w:szCs w:val="22"/>
        </w:rPr>
        <w:t>device</w:t>
      </w:r>
      <w:proofErr w:type="spellEnd"/>
      <w:r>
        <w:rPr>
          <w:sz w:val="22"/>
          <w:szCs w:val="22"/>
        </w:rPr>
        <w:t xml:space="preserve">, </w:t>
      </w:r>
      <w:proofErr w:type="spellStart"/>
      <w:r>
        <w:rPr>
          <w:sz w:val="22"/>
          <w:szCs w:val="22"/>
        </w:rPr>
        <w:t>the</w:t>
      </w:r>
      <w:proofErr w:type="spellEnd"/>
      <w:r>
        <w:rPr>
          <w:sz w:val="22"/>
          <w:szCs w:val="22"/>
        </w:rPr>
        <w:t xml:space="preserve"> </w:t>
      </w:r>
      <w:proofErr w:type="spellStart"/>
      <w:r>
        <w:rPr>
          <w:sz w:val="22"/>
          <w:szCs w:val="22"/>
        </w:rPr>
        <w:t>integrated</w:t>
      </w:r>
      <w:proofErr w:type="spellEnd"/>
      <w:r>
        <w:rPr>
          <w:sz w:val="22"/>
          <w:szCs w:val="22"/>
        </w:rPr>
        <w:t xml:space="preserve"> </w:t>
      </w:r>
      <w:proofErr w:type="spellStart"/>
      <w:r>
        <w:rPr>
          <w:sz w:val="22"/>
          <w:szCs w:val="22"/>
        </w:rPr>
        <w:t>smart</w:t>
      </w:r>
      <w:proofErr w:type="spellEnd"/>
      <w:r>
        <w:rPr>
          <w:sz w:val="22"/>
          <w:szCs w:val="22"/>
        </w:rPr>
        <w:t xml:space="preserve"> meter </w:t>
      </w:r>
      <w:proofErr w:type="spellStart"/>
      <w:r>
        <w:rPr>
          <w:sz w:val="22"/>
          <w:szCs w:val="22"/>
        </w:rPr>
        <w:t>must</w:t>
      </w:r>
      <w:proofErr w:type="spellEnd"/>
      <w:r>
        <w:rPr>
          <w:sz w:val="22"/>
          <w:szCs w:val="22"/>
        </w:rPr>
        <w:t xml:space="preserve"> be </w:t>
      </w:r>
      <w:proofErr w:type="spellStart"/>
      <w:r>
        <w:rPr>
          <w:sz w:val="22"/>
          <w:szCs w:val="22"/>
        </w:rPr>
        <w:t>replaced</w:t>
      </w:r>
      <w:proofErr w:type="spellEnd"/>
      <w:r>
        <w:rPr>
          <w:sz w:val="22"/>
          <w:szCs w:val="22"/>
        </w:rPr>
        <w:t xml:space="preserve"> </w:t>
      </w:r>
      <w:proofErr w:type="spellStart"/>
      <w:r>
        <w:rPr>
          <w:sz w:val="22"/>
          <w:szCs w:val="22"/>
        </w:rPr>
        <w:t>with</w:t>
      </w:r>
      <w:proofErr w:type="spellEnd"/>
      <w:r>
        <w:rPr>
          <w:sz w:val="22"/>
          <w:szCs w:val="22"/>
        </w:rPr>
        <w:t xml:space="preserve"> a new and </w:t>
      </w:r>
      <w:proofErr w:type="spellStart"/>
      <w:r>
        <w:rPr>
          <w:sz w:val="22"/>
          <w:szCs w:val="22"/>
        </w:rPr>
        <w:t>unused</w:t>
      </w:r>
      <w:proofErr w:type="spellEnd"/>
      <w:r>
        <w:rPr>
          <w:sz w:val="22"/>
          <w:szCs w:val="22"/>
        </w:rPr>
        <w:t xml:space="preserve"> </w:t>
      </w:r>
      <w:proofErr w:type="spellStart"/>
      <w:r>
        <w:rPr>
          <w:sz w:val="22"/>
          <w:szCs w:val="22"/>
        </w:rPr>
        <w:t>one</w:t>
      </w:r>
      <w:proofErr w:type="spellEnd"/>
      <w:r>
        <w:rPr>
          <w:sz w:val="22"/>
          <w:szCs w:val="22"/>
        </w:rPr>
        <w:t xml:space="preserve">, at no </w:t>
      </w:r>
      <w:proofErr w:type="spellStart"/>
      <w:r>
        <w:rPr>
          <w:sz w:val="22"/>
          <w:szCs w:val="22"/>
        </w:rPr>
        <w:t>cost</w:t>
      </w:r>
      <w:proofErr w:type="spellEnd"/>
      <w:r>
        <w:rPr>
          <w:sz w:val="22"/>
          <w:szCs w:val="22"/>
        </w:rPr>
        <w:t xml:space="preserve"> </w:t>
      </w:r>
      <w:proofErr w:type="spellStart"/>
      <w:r>
        <w:rPr>
          <w:sz w:val="22"/>
          <w:szCs w:val="22"/>
        </w:rPr>
        <w:t>to</w:t>
      </w:r>
      <w:proofErr w:type="spellEnd"/>
      <w:r>
        <w:rPr>
          <w:sz w:val="22"/>
          <w:szCs w:val="22"/>
        </w:rPr>
        <w:t xml:space="preserve"> OSE, </w:t>
      </w:r>
      <w:proofErr w:type="spellStart"/>
      <w:r>
        <w:rPr>
          <w:sz w:val="22"/>
          <w:szCs w:val="22"/>
        </w:rPr>
        <w:t>coordinating</w:t>
      </w:r>
      <w:proofErr w:type="spellEnd"/>
      <w:r>
        <w:rPr>
          <w:sz w:val="22"/>
          <w:szCs w:val="22"/>
        </w:rPr>
        <w:t xml:space="preserve"> </w:t>
      </w:r>
      <w:proofErr w:type="spellStart"/>
      <w:r>
        <w:rPr>
          <w:sz w:val="22"/>
          <w:szCs w:val="22"/>
        </w:rPr>
        <w:t>the</w:t>
      </w:r>
      <w:proofErr w:type="spellEnd"/>
      <w:r>
        <w:rPr>
          <w:sz w:val="22"/>
          <w:szCs w:val="22"/>
        </w:rPr>
        <w:t xml:space="preserve"> meter </w:t>
      </w:r>
      <w:proofErr w:type="spellStart"/>
      <w:r>
        <w:rPr>
          <w:sz w:val="22"/>
          <w:szCs w:val="22"/>
        </w:rPr>
        <w:t>replacement</w:t>
      </w:r>
      <w:proofErr w:type="spellEnd"/>
      <w:r>
        <w:rPr>
          <w:sz w:val="22"/>
          <w:szCs w:val="22"/>
        </w:rPr>
        <w:t xml:space="preserve"> </w:t>
      </w:r>
      <w:proofErr w:type="spellStart"/>
      <w:r>
        <w:rPr>
          <w:sz w:val="22"/>
          <w:szCs w:val="22"/>
        </w:rPr>
        <w:t>tasks</w:t>
      </w:r>
      <w:proofErr w:type="spellEnd"/>
      <w:r>
        <w:rPr>
          <w:sz w:val="22"/>
          <w:szCs w:val="22"/>
        </w:rPr>
        <w:t xml:space="preserve"> </w:t>
      </w:r>
      <w:proofErr w:type="spellStart"/>
      <w:r>
        <w:rPr>
          <w:sz w:val="22"/>
          <w:szCs w:val="22"/>
        </w:rPr>
        <w:t>with</w:t>
      </w:r>
      <w:proofErr w:type="spellEnd"/>
      <w:r>
        <w:rPr>
          <w:sz w:val="22"/>
          <w:szCs w:val="22"/>
        </w:rPr>
        <w:t xml:space="preserve"> </w:t>
      </w:r>
      <w:proofErr w:type="spellStart"/>
      <w:r>
        <w:rPr>
          <w:sz w:val="22"/>
          <w:szCs w:val="22"/>
        </w:rPr>
        <w:t>the</w:t>
      </w:r>
      <w:proofErr w:type="spellEnd"/>
      <w:r>
        <w:rPr>
          <w:sz w:val="22"/>
          <w:szCs w:val="22"/>
        </w:rPr>
        <w:t xml:space="preserve"> Agency.</w:t>
      </w:r>
    </w:p>
    <w:p w14:paraId="50A72425" w14:textId="77777777" w:rsidR="00E255F4" w:rsidRDefault="00000000">
      <w:pPr>
        <w:numPr>
          <w:ilvl w:val="1"/>
          <w:numId w:val="33"/>
        </w:numPr>
        <w:jc w:val="both"/>
      </w:pPr>
      <w:r>
        <w:rPr>
          <w:sz w:val="22"/>
          <w:szCs w:val="22"/>
        </w:rPr>
        <w:t xml:space="preserve">In case </w:t>
      </w:r>
      <w:proofErr w:type="spellStart"/>
      <w:r>
        <w:rPr>
          <w:sz w:val="22"/>
          <w:szCs w:val="22"/>
        </w:rPr>
        <w:t>of</w:t>
      </w:r>
      <w:proofErr w:type="spellEnd"/>
      <w:r>
        <w:rPr>
          <w:sz w:val="22"/>
          <w:szCs w:val="22"/>
        </w:rPr>
        <w:t xml:space="preserve"> </w:t>
      </w:r>
      <w:proofErr w:type="spellStart"/>
      <w:r>
        <w:rPr>
          <w:sz w:val="22"/>
          <w:szCs w:val="22"/>
        </w:rPr>
        <w:t>battery</w:t>
      </w:r>
      <w:proofErr w:type="spellEnd"/>
      <w:r>
        <w:rPr>
          <w:sz w:val="22"/>
          <w:szCs w:val="22"/>
        </w:rPr>
        <w:t xml:space="preserve"> </w:t>
      </w:r>
      <w:proofErr w:type="spellStart"/>
      <w:r>
        <w:rPr>
          <w:sz w:val="22"/>
          <w:szCs w:val="22"/>
        </w:rPr>
        <w:t>failure</w:t>
      </w:r>
      <w:proofErr w:type="spellEnd"/>
      <w:r>
        <w:rPr>
          <w:sz w:val="22"/>
          <w:szCs w:val="22"/>
        </w:rPr>
        <w:t xml:space="preserve"> </w:t>
      </w:r>
      <w:proofErr w:type="spellStart"/>
      <w:r>
        <w:rPr>
          <w:sz w:val="22"/>
          <w:szCs w:val="22"/>
        </w:rPr>
        <w:t>or</w:t>
      </w:r>
      <w:proofErr w:type="spellEnd"/>
      <w:r>
        <w:rPr>
          <w:sz w:val="22"/>
          <w:szCs w:val="22"/>
        </w:rPr>
        <w:t xml:space="preserve"> </w:t>
      </w:r>
      <w:proofErr w:type="spellStart"/>
      <w:r>
        <w:rPr>
          <w:sz w:val="22"/>
          <w:szCs w:val="22"/>
        </w:rPr>
        <w:t>if</w:t>
      </w:r>
      <w:proofErr w:type="spellEnd"/>
      <w:r>
        <w:rPr>
          <w:sz w:val="22"/>
          <w:szCs w:val="22"/>
        </w:rPr>
        <w:t xml:space="preserve"> </w:t>
      </w:r>
      <w:proofErr w:type="spellStart"/>
      <w:r>
        <w:rPr>
          <w:sz w:val="22"/>
          <w:szCs w:val="22"/>
        </w:rPr>
        <w:t>the</w:t>
      </w:r>
      <w:proofErr w:type="spellEnd"/>
      <w:r>
        <w:rPr>
          <w:sz w:val="22"/>
          <w:szCs w:val="22"/>
        </w:rPr>
        <w:t xml:space="preserve"> </w:t>
      </w:r>
      <w:proofErr w:type="spellStart"/>
      <w:r>
        <w:rPr>
          <w:sz w:val="22"/>
          <w:szCs w:val="22"/>
        </w:rPr>
        <w:t>battery</w:t>
      </w:r>
      <w:proofErr w:type="spellEnd"/>
      <w:r>
        <w:rPr>
          <w:sz w:val="22"/>
          <w:szCs w:val="22"/>
        </w:rPr>
        <w:t xml:space="preserve"> has run </w:t>
      </w:r>
      <w:proofErr w:type="spellStart"/>
      <w:r>
        <w:rPr>
          <w:sz w:val="22"/>
          <w:szCs w:val="22"/>
        </w:rPr>
        <w:t>out</w:t>
      </w:r>
      <w:proofErr w:type="spellEnd"/>
      <w:r>
        <w:rPr>
          <w:sz w:val="22"/>
          <w:szCs w:val="22"/>
        </w:rPr>
        <w:t xml:space="preserve"> </w:t>
      </w:r>
      <w:proofErr w:type="spellStart"/>
      <w:r>
        <w:rPr>
          <w:sz w:val="22"/>
          <w:szCs w:val="22"/>
        </w:rPr>
        <w:t>of</w:t>
      </w:r>
      <w:proofErr w:type="spellEnd"/>
      <w:r>
        <w:rPr>
          <w:sz w:val="22"/>
          <w:szCs w:val="22"/>
        </w:rPr>
        <w:t xml:space="preserve"> </w:t>
      </w:r>
      <w:proofErr w:type="spellStart"/>
      <w:r>
        <w:rPr>
          <w:sz w:val="22"/>
          <w:szCs w:val="22"/>
        </w:rPr>
        <w:t>power</w:t>
      </w:r>
      <w:proofErr w:type="spellEnd"/>
      <w:r>
        <w:rPr>
          <w:sz w:val="22"/>
          <w:szCs w:val="22"/>
        </w:rPr>
        <w:t xml:space="preserve"> (</w:t>
      </w:r>
      <w:proofErr w:type="spellStart"/>
      <w:r>
        <w:rPr>
          <w:sz w:val="22"/>
          <w:szCs w:val="22"/>
        </w:rPr>
        <w:t>about</w:t>
      </w:r>
      <w:proofErr w:type="spellEnd"/>
      <w:r>
        <w:rPr>
          <w:sz w:val="22"/>
          <w:szCs w:val="22"/>
        </w:rPr>
        <w:t xml:space="preserve"> </w:t>
      </w:r>
      <w:proofErr w:type="spellStart"/>
      <w:r>
        <w:rPr>
          <w:sz w:val="22"/>
          <w:szCs w:val="22"/>
        </w:rPr>
        <w:t>to</w:t>
      </w:r>
      <w:proofErr w:type="spellEnd"/>
      <w:r>
        <w:rPr>
          <w:sz w:val="22"/>
          <w:szCs w:val="22"/>
        </w:rPr>
        <w:t xml:space="preserve"> run </w:t>
      </w:r>
      <w:proofErr w:type="spellStart"/>
      <w:r>
        <w:rPr>
          <w:sz w:val="22"/>
          <w:szCs w:val="22"/>
        </w:rPr>
        <w:t>out</w:t>
      </w:r>
      <w:proofErr w:type="spellEnd"/>
      <w:r>
        <w:rPr>
          <w:sz w:val="22"/>
          <w:szCs w:val="22"/>
        </w:rPr>
        <w:t xml:space="preserve"> </w:t>
      </w:r>
      <w:proofErr w:type="spellStart"/>
      <w:r>
        <w:rPr>
          <w:sz w:val="22"/>
          <w:szCs w:val="22"/>
        </w:rPr>
        <w:t>or</w:t>
      </w:r>
      <w:proofErr w:type="spellEnd"/>
      <w:r>
        <w:rPr>
          <w:sz w:val="22"/>
          <w:szCs w:val="22"/>
        </w:rPr>
        <w:t xml:space="preserve"> </w:t>
      </w:r>
      <w:proofErr w:type="spellStart"/>
      <w:r>
        <w:rPr>
          <w:sz w:val="22"/>
          <w:szCs w:val="22"/>
        </w:rPr>
        <w:t>is</w:t>
      </w:r>
      <w:proofErr w:type="spellEnd"/>
      <w:r>
        <w:rPr>
          <w:sz w:val="22"/>
          <w:szCs w:val="22"/>
        </w:rPr>
        <w:t xml:space="preserve"> </w:t>
      </w:r>
      <w:proofErr w:type="spellStart"/>
      <w:r>
        <w:rPr>
          <w:sz w:val="22"/>
          <w:szCs w:val="22"/>
        </w:rPr>
        <w:t>depleted</w:t>
      </w:r>
      <w:proofErr w:type="spellEnd"/>
      <w:r>
        <w:rPr>
          <w:sz w:val="22"/>
          <w:szCs w:val="22"/>
        </w:rPr>
        <w:t xml:space="preserve">), </w:t>
      </w:r>
      <w:proofErr w:type="spellStart"/>
      <w:r>
        <w:rPr>
          <w:sz w:val="22"/>
          <w:szCs w:val="22"/>
        </w:rPr>
        <w:t>the</w:t>
      </w:r>
      <w:proofErr w:type="spellEnd"/>
      <w:r>
        <w:rPr>
          <w:sz w:val="22"/>
          <w:szCs w:val="22"/>
        </w:rPr>
        <w:t xml:space="preserve"> </w:t>
      </w:r>
      <w:proofErr w:type="spellStart"/>
      <w:r>
        <w:rPr>
          <w:sz w:val="22"/>
          <w:szCs w:val="22"/>
        </w:rPr>
        <w:t>integrated</w:t>
      </w:r>
      <w:proofErr w:type="spellEnd"/>
      <w:r>
        <w:rPr>
          <w:sz w:val="22"/>
          <w:szCs w:val="22"/>
        </w:rPr>
        <w:t xml:space="preserve"> </w:t>
      </w:r>
      <w:proofErr w:type="spellStart"/>
      <w:r>
        <w:rPr>
          <w:sz w:val="22"/>
          <w:szCs w:val="22"/>
        </w:rPr>
        <w:t>smart</w:t>
      </w:r>
      <w:proofErr w:type="spellEnd"/>
      <w:r>
        <w:rPr>
          <w:sz w:val="22"/>
          <w:szCs w:val="22"/>
        </w:rPr>
        <w:t xml:space="preserve"> meter </w:t>
      </w:r>
      <w:proofErr w:type="spellStart"/>
      <w:r>
        <w:rPr>
          <w:sz w:val="22"/>
          <w:szCs w:val="22"/>
        </w:rPr>
        <w:t>must</w:t>
      </w:r>
      <w:proofErr w:type="spellEnd"/>
      <w:r>
        <w:rPr>
          <w:sz w:val="22"/>
          <w:szCs w:val="22"/>
        </w:rPr>
        <w:t xml:space="preserve"> be </w:t>
      </w:r>
      <w:proofErr w:type="spellStart"/>
      <w:r>
        <w:rPr>
          <w:sz w:val="22"/>
          <w:szCs w:val="22"/>
        </w:rPr>
        <w:t>replaced</w:t>
      </w:r>
      <w:proofErr w:type="spellEnd"/>
      <w:r>
        <w:rPr>
          <w:sz w:val="22"/>
          <w:szCs w:val="22"/>
        </w:rPr>
        <w:t xml:space="preserve"> </w:t>
      </w:r>
      <w:proofErr w:type="spellStart"/>
      <w:r>
        <w:rPr>
          <w:sz w:val="22"/>
          <w:szCs w:val="22"/>
        </w:rPr>
        <w:t>with</w:t>
      </w:r>
      <w:proofErr w:type="spellEnd"/>
      <w:r>
        <w:rPr>
          <w:sz w:val="22"/>
          <w:szCs w:val="22"/>
        </w:rPr>
        <w:t xml:space="preserve"> a new and </w:t>
      </w:r>
      <w:proofErr w:type="spellStart"/>
      <w:r>
        <w:rPr>
          <w:sz w:val="22"/>
          <w:szCs w:val="22"/>
        </w:rPr>
        <w:t>unused</w:t>
      </w:r>
      <w:proofErr w:type="spellEnd"/>
      <w:r>
        <w:rPr>
          <w:sz w:val="22"/>
          <w:szCs w:val="22"/>
        </w:rPr>
        <w:t xml:space="preserve"> </w:t>
      </w:r>
      <w:proofErr w:type="spellStart"/>
      <w:r>
        <w:rPr>
          <w:sz w:val="22"/>
          <w:szCs w:val="22"/>
        </w:rPr>
        <w:t>one</w:t>
      </w:r>
      <w:proofErr w:type="spellEnd"/>
      <w:r>
        <w:rPr>
          <w:sz w:val="22"/>
          <w:szCs w:val="22"/>
        </w:rPr>
        <w:t xml:space="preserve">, at no </w:t>
      </w:r>
      <w:proofErr w:type="spellStart"/>
      <w:r>
        <w:rPr>
          <w:sz w:val="22"/>
          <w:szCs w:val="22"/>
        </w:rPr>
        <w:t>cost</w:t>
      </w:r>
      <w:proofErr w:type="spellEnd"/>
      <w:r>
        <w:rPr>
          <w:sz w:val="22"/>
          <w:szCs w:val="22"/>
        </w:rPr>
        <w:t xml:space="preserve"> </w:t>
      </w:r>
      <w:proofErr w:type="spellStart"/>
      <w:r>
        <w:rPr>
          <w:sz w:val="22"/>
          <w:szCs w:val="22"/>
        </w:rPr>
        <w:t>to</w:t>
      </w:r>
      <w:proofErr w:type="spellEnd"/>
      <w:r>
        <w:rPr>
          <w:sz w:val="22"/>
          <w:szCs w:val="22"/>
        </w:rPr>
        <w:t xml:space="preserve"> OSE, </w:t>
      </w:r>
      <w:proofErr w:type="spellStart"/>
      <w:r>
        <w:rPr>
          <w:sz w:val="22"/>
          <w:szCs w:val="22"/>
        </w:rPr>
        <w:t>coordinating</w:t>
      </w:r>
      <w:proofErr w:type="spellEnd"/>
      <w:r>
        <w:rPr>
          <w:sz w:val="22"/>
          <w:szCs w:val="22"/>
        </w:rPr>
        <w:t xml:space="preserve"> </w:t>
      </w:r>
      <w:proofErr w:type="spellStart"/>
      <w:r>
        <w:rPr>
          <w:sz w:val="22"/>
          <w:szCs w:val="22"/>
        </w:rPr>
        <w:t>the</w:t>
      </w:r>
      <w:proofErr w:type="spellEnd"/>
      <w:r>
        <w:rPr>
          <w:sz w:val="22"/>
          <w:szCs w:val="22"/>
        </w:rPr>
        <w:t xml:space="preserve"> meter </w:t>
      </w:r>
      <w:proofErr w:type="spellStart"/>
      <w:r>
        <w:rPr>
          <w:sz w:val="22"/>
          <w:szCs w:val="22"/>
        </w:rPr>
        <w:t>replacement</w:t>
      </w:r>
      <w:proofErr w:type="spellEnd"/>
      <w:r>
        <w:rPr>
          <w:sz w:val="22"/>
          <w:szCs w:val="22"/>
        </w:rPr>
        <w:t xml:space="preserve"> </w:t>
      </w:r>
      <w:proofErr w:type="spellStart"/>
      <w:r>
        <w:rPr>
          <w:sz w:val="22"/>
          <w:szCs w:val="22"/>
        </w:rPr>
        <w:t>tasks</w:t>
      </w:r>
      <w:proofErr w:type="spellEnd"/>
      <w:r>
        <w:rPr>
          <w:sz w:val="22"/>
          <w:szCs w:val="22"/>
        </w:rPr>
        <w:t xml:space="preserve"> </w:t>
      </w:r>
      <w:proofErr w:type="spellStart"/>
      <w:r>
        <w:rPr>
          <w:sz w:val="22"/>
          <w:szCs w:val="22"/>
        </w:rPr>
        <w:t>with</w:t>
      </w:r>
      <w:proofErr w:type="spellEnd"/>
      <w:r>
        <w:rPr>
          <w:sz w:val="22"/>
          <w:szCs w:val="22"/>
        </w:rPr>
        <w:t xml:space="preserve"> </w:t>
      </w:r>
      <w:proofErr w:type="spellStart"/>
      <w:r>
        <w:rPr>
          <w:sz w:val="22"/>
          <w:szCs w:val="22"/>
        </w:rPr>
        <w:t>the</w:t>
      </w:r>
      <w:proofErr w:type="spellEnd"/>
      <w:r>
        <w:rPr>
          <w:sz w:val="22"/>
          <w:szCs w:val="22"/>
        </w:rPr>
        <w:t xml:space="preserve"> Agency.</w:t>
      </w:r>
    </w:p>
    <w:p w14:paraId="37228738" w14:textId="77777777" w:rsidR="00E255F4" w:rsidRDefault="00000000">
      <w:pPr>
        <w:numPr>
          <w:ilvl w:val="1"/>
          <w:numId w:val="33"/>
        </w:numPr>
        <w:jc w:val="both"/>
        <w:rPr>
          <w:sz w:val="22"/>
          <w:szCs w:val="22"/>
        </w:rPr>
      </w:pPr>
      <w:proofErr w:type="spellStart"/>
      <w:r>
        <w:rPr>
          <w:sz w:val="22"/>
          <w:szCs w:val="22"/>
        </w:rPr>
        <w:t>If</w:t>
      </w:r>
      <w:proofErr w:type="spellEnd"/>
      <w:r>
        <w:rPr>
          <w:sz w:val="22"/>
          <w:szCs w:val="22"/>
        </w:rPr>
        <w:t xml:space="preserve"> a </w:t>
      </w:r>
      <w:proofErr w:type="spellStart"/>
      <w:r>
        <w:rPr>
          <w:sz w:val="22"/>
          <w:szCs w:val="22"/>
        </w:rPr>
        <w:t>measurement</w:t>
      </w:r>
      <w:proofErr w:type="spellEnd"/>
      <w:r>
        <w:rPr>
          <w:sz w:val="22"/>
          <w:szCs w:val="22"/>
        </w:rPr>
        <w:t xml:space="preserve"> error </w:t>
      </w:r>
      <w:proofErr w:type="spellStart"/>
      <w:r>
        <w:rPr>
          <w:sz w:val="22"/>
          <w:szCs w:val="22"/>
        </w:rPr>
        <w:t>outside</w:t>
      </w:r>
      <w:proofErr w:type="spellEnd"/>
      <w:r>
        <w:rPr>
          <w:sz w:val="22"/>
          <w:szCs w:val="22"/>
        </w:rPr>
        <w:t xml:space="preserve"> </w:t>
      </w:r>
      <w:proofErr w:type="spellStart"/>
      <w:r>
        <w:rPr>
          <w:sz w:val="22"/>
          <w:szCs w:val="22"/>
        </w:rPr>
        <w:t>the</w:t>
      </w:r>
      <w:proofErr w:type="spellEnd"/>
      <w:r>
        <w:rPr>
          <w:sz w:val="22"/>
          <w:szCs w:val="22"/>
        </w:rPr>
        <w:t xml:space="preserve"> </w:t>
      </w:r>
      <w:proofErr w:type="spellStart"/>
      <w:r>
        <w:rPr>
          <w:sz w:val="22"/>
          <w:szCs w:val="22"/>
        </w:rPr>
        <w:t>range</w:t>
      </w:r>
      <w:proofErr w:type="spellEnd"/>
      <w:r>
        <w:rPr>
          <w:sz w:val="22"/>
          <w:szCs w:val="22"/>
        </w:rPr>
        <w:t xml:space="preserve"> </w:t>
      </w:r>
      <w:proofErr w:type="spellStart"/>
      <w:r>
        <w:rPr>
          <w:sz w:val="22"/>
          <w:szCs w:val="22"/>
        </w:rPr>
        <w:t>allowed</w:t>
      </w:r>
      <w:proofErr w:type="spellEnd"/>
      <w:r>
        <w:rPr>
          <w:sz w:val="22"/>
          <w:szCs w:val="22"/>
        </w:rPr>
        <w:t xml:space="preserve"> </w:t>
      </w:r>
      <w:proofErr w:type="spellStart"/>
      <w:r>
        <w:rPr>
          <w:sz w:val="22"/>
          <w:szCs w:val="22"/>
        </w:rPr>
        <w:t>by</w:t>
      </w:r>
      <w:proofErr w:type="spellEnd"/>
      <w:r>
        <w:rPr>
          <w:sz w:val="22"/>
          <w:szCs w:val="22"/>
        </w:rPr>
        <w:t xml:space="preserve"> OSE </w:t>
      </w:r>
      <w:proofErr w:type="spellStart"/>
      <w:r>
        <w:rPr>
          <w:sz w:val="22"/>
          <w:szCs w:val="22"/>
        </w:rPr>
        <w:t>is</w:t>
      </w:r>
      <w:proofErr w:type="spellEnd"/>
      <w:r>
        <w:rPr>
          <w:sz w:val="22"/>
          <w:szCs w:val="22"/>
        </w:rPr>
        <w:t xml:space="preserve"> </w:t>
      </w:r>
      <w:proofErr w:type="spellStart"/>
      <w:r>
        <w:rPr>
          <w:sz w:val="22"/>
          <w:szCs w:val="22"/>
        </w:rPr>
        <w:t>found</w:t>
      </w:r>
      <w:proofErr w:type="spellEnd"/>
      <w:r>
        <w:rPr>
          <w:sz w:val="22"/>
          <w:szCs w:val="22"/>
        </w:rPr>
        <w:t xml:space="preserve"> in a </w:t>
      </w:r>
      <w:proofErr w:type="spellStart"/>
      <w:r>
        <w:rPr>
          <w:sz w:val="22"/>
          <w:szCs w:val="22"/>
        </w:rPr>
        <w:t>smart</w:t>
      </w:r>
      <w:proofErr w:type="spellEnd"/>
      <w:r>
        <w:rPr>
          <w:sz w:val="22"/>
          <w:szCs w:val="22"/>
        </w:rPr>
        <w:t xml:space="preserve"> meter, </w:t>
      </w:r>
      <w:proofErr w:type="spellStart"/>
      <w:r>
        <w:rPr>
          <w:sz w:val="22"/>
          <w:szCs w:val="22"/>
        </w:rPr>
        <w:t>through</w:t>
      </w:r>
      <w:proofErr w:type="spellEnd"/>
      <w:r>
        <w:rPr>
          <w:sz w:val="22"/>
          <w:szCs w:val="22"/>
        </w:rPr>
        <w:t xml:space="preserve"> </w:t>
      </w:r>
      <w:proofErr w:type="spellStart"/>
      <w:r>
        <w:rPr>
          <w:sz w:val="22"/>
          <w:szCs w:val="22"/>
        </w:rPr>
        <w:t>on</w:t>
      </w:r>
      <w:proofErr w:type="spellEnd"/>
      <w:r>
        <w:rPr>
          <w:sz w:val="22"/>
          <w:szCs w:val="22"/>
        </w:rPr>
        <w:t xml:space="preserve">-site </w:t>
      </w:r>
      <w:proofErr w:type="spellStart"/>
      <w:r>
        <w:rPr>
          <w:sz w:val="22"/>
          <w:szCs w:val="22"/>
        </w:rPr>
        <w:t>or</w:t>
      </w:r>
      <w:proofErr w:type="spellEnd"/>
      <w:r>
        <w:rPr>
          <w:sz w:val="22"/>
          <w:szCs w:val="22"/>
        </w:rPr>
        <w:t xml:space="preserve"> </w:t>
      </w:r>
      <w:proofErr w:type="spellStart"/>
      <w:r>
        <w:rPr>
          <w:sz w:val="22"/>
          <w:szCs w:val="22"/>
        </w:rPr>
        <w:t>laboratory</w:t>
      </w:r>
      <w:proofErr w:type="spellEnd"/>
      <w:r>
        <w:rPr>
          <w:sz w:val="22"/>
          <w:szCs w:val="22"/>
        </w:rPr>
        <w:t xml:space="preserve"> </w:t>
      </w:r>
      <w:proofErr w:type="spellStart"/>
      <w:r>
        <w:rPr>
          <w:sz w:val="22"/>
          <w:szCs w:val="22"/>
        </w:rPr>
        <w:t>testing</w:t>
      </w:r>
      <w:proofErr w:type="spellEnd"/>
      <w:r>
        <w:rPr>
          <w:sz w:val="22"/>
          <w:szCs w:val="22"/>
        </w:rPr>
        <w:t xml:space="preserve">, </w:t>
      </w:r>
      <w:proofErr w:type="spellStart"/>
      <w:r>
        <w:rPr>
          <w:sz w:val="22"/>
          <w:szCs w:val="22"/>
        </w:rPr>
        <w:t>the</w:t>
      </w:r>
      <w:proofErr w:type="spellEnd"/>
      <w:r>
        <w:rPr>
          <w:sz w:val="22"/>
          <w:szCs w:val="22"/>
        </w:rPr>
        <w:t xml:space="preserve"> meter </w:t>
      </w:r>
      <w:proofErr w:type="spellStart"/>
      <w:r>
        <w:rPr>
          <w:sz w:val="22"/>
          <w:szCs w:val="22"/>
        </w:rPr>
        <w:t>must</w:t>
      </w:r>
      <w:proofErr w:type="spellEnd"/>
      <w:r>
        <w:rPr>
          <w:sz w:val="22"/>
          <w:szCs w:val="22"/>
        </w:rPr>
        <w:t xml:space="preserve"> be </w:t>
      </w:r>
      <w:proofErr w:type="spellStart"/>
      <w:r>
        <w:rPr>
          <w:sz w:val="22"/>
          <w:szCs w:val="22"/>
        </w:rPr>
        <w:t>replaced</w:t>
      </w:r>
      <w:proofErr w:type="spellEnd"/>
      <w:r>
        <w:rPr>
          <w:sz w:val="22"/>
          <w:szCs w:val="22"/>
        </w:rPr>
        <w:t xml:space="preserve"> </w:t>
      </w:r>
      <w:proofErr w:type="spellStart"/>
      <w:r>
        <w:rPr>
          <w:sz w:val="22"/>
          <w:szCs w:val="22"/>
        </w:rPr>
        <w:t>with</w:t>
      </w:r>
      <w:proofErr w:type="spellEnd"/>
      <w:r>
        <w:rPr>
          <w:sz w:val="22"/>
          <w:szCs w:val="22"/>
        </w:rPr>
        <w:t xml:space="preserve"> a new and </w:t>
      </w:r>
      <w:proofErr w:type="spellStart"/>
      <w:r>
        <w:rPr>
          <w:sz w:val="22"/>
          <w:szCs w:val="22"/>
        </w:rPr>
        <w:t>unused</w:t>
      </w:r>
      <w:proofErr w:type="spellEnd"/>
      <w:r>
        <w:rPr>
          <w:sz w:val="22"/>
          <w:szCs w:val="22"/>
        </w:rPr>
        <w:t xml:space="preserve"> </w:t>
      </w:r>
      <w:proofErr w:type="spellStart"/>
      <w:r>
        <w:rPr>
          <w:sz w:val="22"/>
          <w:szCs w:val="22"/>
        </w:rPr>
        <w:t>one</w:t>
      </w:r>
      <w:proofErr w:type="spellEnd"/>
      <w:r>
        <w:rPr>
          <w:sz w:val="22"/>
          <w:szCs w:val="22"/>
        </w:rPr>
        <w:t xml:space="preserve">, at no </w:t>
      </w:r>
      <w:proofErr w:type="spellStart"/>
      <w:r>
        <w:rPr>
          <w:sz w:val="22"/>
          <w:szCs w:val="22"/>
        </w:rPr>
        <w:t>cost</w:t>
      </w:r>
      <w:proofErr w:type="spellEnd"/>
      <w:r>
        <w:rPr>
          <w:sz w:val="22"/>
          <w:szCs w:val="22"/>
        </w:rPr>
        <w:t xml:space="preserve"> </w:t>
      </w:r>
      <w:proofErr w:type="spellStart"/>
      <w:r>
        <w:rPr>
          <w:sz w:val="22"/>
          <w:szCs w:val="22"/>
        </w:rPr>
        <w:t>to</w:t>
      </w:r>
      <w:proofErr w:type="spellEnd"/>
      <w:r>
        <w:rPr>
          <w:sz w:val="22"/>
          <w:szCs w:val="22"/>
        </w:rPr>
        <w:t xml:space="preserve"> OSE, </w:t>
      </w:r>
      <w:proofErr w:type="spellStart"/>
      <w:r>
        <w:rPr>
          <w:sz w:val="22"/>
          <w:szCs w:val="22"/>
        </w:rPr>
        <w:t>coordinating</w:t>
      </w:r>
      <w:proofErr w:type="spellEnd"/>
      <w:r>
        <w:rPr>
          <w:sz w:val="22"/>
          <w:szCs w:val="22"/>
        </w:rPr>
        <w:t xml:space="preserve"> </w:t>
      </w:r>
      <w:proofErr w:type="spellStart"/>
      <w:r>
        <w:rPr>
          <w:sz w:val="22"/>
          <w:szCs w:val="22"/>
        </w:rPr>
        <w:t>the</w:t>
      </w:r>
      <w:proofErr w:type="spellEnd"/>
      <w:r>
        <w:rPr>
          <w:sz w:val="22"/>
          <w:szCs w:val="22"/>
        </w:rPr>
        <w:t xml:space="preserve"> meter </w:t>
      </w:r>
      <w:proofErr w:type="spellStart"/>
      <w:r>
        <w:rPr>
          <w:sz w:val="22"/>
          <w:szCs w:val="22"/>
        </w:rPr>
        <w:t>replacement</w:t>
      </w:r>
      <w:proofErr w:type="spellEnd"/>
      <w:r>
        <w:rPr>
          <w:sz w:val="22"/>
          <w:szCs w:val="22"/>
        </w:rPr>
        <w:t xml:space="preserve"> </w:t>
      </w:r>
      <w:proofErr w:type="spellStart"/>
      <w:r>
        <w:rPr>
          <w:sz w:val="22"/>
          <w:szCs w:val="22"/>
        </w:rPr>
        <w:t>tasks</w:t>
      </w:r>
      <w:proofErr w:type="spellEnd"/>
      <w:r>
        <w:rPr>
          <w:sz w:val="22"/>
          <w:szCs w:val="22"/>
        </w:rPr>
        <w:t xml:space="preserve"> </w:t>
      </w:r>
      <w:proofErr w:type="spellStart"/>
      <w:r>
        <w:rPr>
          <w:sz w:val="22"/>
          <w:szCs w:val="22"/>
        </w:rPr>
        <w:t>with</w:t>
      </w:r>
      <w:proofErr w:type="spellEnd"/>
      <w:r>
        <w:rPr>
          <w:sz w:val="22"/>
          <w:szCs w:val="22"/>
        </w:rPr>
        <w:t xml:space="preserve"> </w:t>
      </w:r>
      <w:proofErr w:type="spellStart"/>
      <w:r>
        <w:rPr>
          <w:sz w:val="22"/>
          <w:szCs w:val="22"/>
        </w:rPr>
        <w:t>the</w:t>
      </w:r>
      <w:proofErr w:type="spellEnd"/>
      <w:r>
        <w:rPr>
          <w:sz w:val="22"/>
          <w:szCs w:val="22"/>
        </w:rPr>
        <w:t xml:space="preserve"> Agency.</w:t>
      </w:r>
    </w:p>
    <w:p w14:paraId="42AA38C6" w14:textId="77777777" w:rsidR="00E255F4" w:rsidRDefault="00000000">
      <w:pPr>
        <w:numPr>
          <w:ilvl w:val="1"/>
          <w:numId w:val="33"/>
        </w:numPr>
        <w:jc w:val="both"/>
      </w:pPr>
      <w:r>
        <w:rPr>
          <w:sz w:val="22"/>
          <w:szCs w:val="22"/>
        </w:rPr>
        <w:t xml:space="preserve">The </w:t>
      </w:r>
      <w:proofErr w:type="spellStart"/>
      <w:r>
        <w:rPr>
          <w:sz w:val="22"/>
          <w:szCs w:val="22"/>
        </w:rPr>
        <w:t>contract</w:t>
      </w:r>
      <w:proofErr w:type="spellEnd"/>
      <w:r>
        <w:rPr>
          <w:sz w:val="22"/>
          <w:szCs w:val="22"/>
        </w:rPr>
        <w:t xml:space="preserve"> </w:t>
      </w:r>
      <w:proofErr w:type="spellStart"/>
      <w:r>
        <w:rPr>
          <w:sz w:val="22"/>
          <w:szCs w:val="22"/>
        </w:rPr>
        <w:t>will</w:t>
      </w:r>
      <w:proofErr w:type="spellEnd"/>
      <w:r>
        <w:rPr>
          <w:sz w:val="22"/>
          <w:szCs w:val="22"/>
        </w:rPr>
        <w:t xml:space="preserve"> </w:t>
      </w:r>
      <w:proofErr w:type="spellStart"/>
      <w:r>
        <w:rPr>
          <w:sz w:val="22"/>
          <w:szCs w:val="22"/>
        </w:rPr>
        <w:t>also</w:t>
      </w:r>
      <w:proofErr w:type="spellEnd"/>
      <w:r>
        <w:rPr>
          <w:sz w:val="22"/>
          <w:szCs w:val="22"/>
        </w:rPr>
        <w:t xml:space="preserve"> </w:t>
      </w:r>
      <w:proofErr w:type="spellStart"/>
      <w:r>
        <w:rPr>
          <w:sz w:val="22"/>
          <w:szCs w:val="22"/>
        </w:rPr>
        <w:t>cover</w:t>
      </w:r>
      <w:proofErr w:type="spellEnd"/>
      <w:r>
        <w:rPr>
          <w:sz w:val="22"/>
          <w:szCs w:val="22"/>
        </w:rPr>
        <w:t xml:space="preserve"> </w:t>
      </w:r>
      <w:proofErr w:type="spellStart"/>
      <w:r>
        <w:rPr>
          <w:sz w:val="22"/>
          <w:szCs w:val="22"/>
        </w:rPr>
        <w:t>all</w:t>
      </w:r>
      <w:proofErr w:type="spellEnd"/>
      <w:r>
        <w:rPr>
          <w:sz w:val="22"/>
          <w:szCs w:val="22"/>
        </w:rPr>
        <w:t xml:space="preserve"> </w:t>
      </w:r>
      <w:proofErr w:type="spellStart"/>
      <w:r>
        <w:rPr>
          <w:sz w:val="22"/>
          <w:szCs w:val="22"/>
        </w:rPr>
        <w:t>other</w:t>
      </w:r>
      <w:proofErr w:type="spellEnd"/>
      <w:r>
        <w:rPr>
          <w:sz w:val="22"/>
          <w:szCs w:val="22"/>
        </w:rPr>
        <w:t xml:space="preserve"> </w:t>
      </w:r>
      <w:proofErr w:type="spellStart"/>
      <w:r>
        <w:rPr>
          <w:sz w:val="22"/>
          <w:szCs w:val="22"/>
        </w:rPr>
        <w:t>tasks</w:t>
      </w:r>
      <w:proofErr w:type="spellEnd"/>
      <w:r>
        <w:rPr>
          <w:sz w:val="22"/>
          <w:szCs w:val="22"/>
        </w:rPr>
        <w:t xml:space="preserve"> </w:t>
      </w:r>
      <w:proofErr w:type="spellStart"/>
      <w:r>
        <w:rPr>
          <w:sz w:val="22"/>
          <w:szCs w:val="22"/>
        </w:rPr>
        <w:t>related</w:t>
      </w:r>
      <w:proofErr w:type="spellEnd"/>
      <w:r>
        <w:rPr>
          <w:sz w:val="22"/>
          <w:szCs w:val="22"/>
        </w:rPr>
        <w:t xml:space="preserve"> </w:t>
      </w:r>
      <w:proofErr w:type="spellStart"/>
      <w:r>
        <w:rPr>
          <w:sz w:val="22"/>
          <w:szCs w:val="22"/>
        </w:rPr>
        <w:t>to</w:t>
      </w:r>
      <w:proofErr w:type="spellEnd"/>
      <w:r>
        <w:rPr>
          <w:sz w:val="22"/>
          <w:szCs w:val="22"/>
        </w:rPr>
        <w:t xml:space="preserve"> </w:t>
      </w:r>
      <w:proofErr w:type="spellStart"/>
      <w:r>
        <w:rPr>
          <w:sz w:val="22"/>
          <w:szCs w:val="22"/>
        </w:rPr>
        <w:t>the</w:t>
      </w:r>
      <w:proofErr w:type="spellEnd"/>
      <w:r>
        <w:rPr>
          <w:sz w:val="22"/>
          <w:szCs w:val="22"/>
        </w:rPr>
        <w:t xml:space="preserve"> </w:t>
      </w:r>
      <w:proofErr w:type="spellStart"/>
      <w:r>
        <w:rPr>
          <w:sz w:val="22"/>
          <w:szCs w:val="22"/>
        </w:rPr>
        <w:t>telemetry</w:t>
      </w:r>
      <w:proofErr w:type="spellEnd"/>
      <w:r>
        <w:rPr>
          <w:sz w:val="22"/>
          <w:szCs w:val="22"/>
        </w:rPr>
        <w:t xml:space="preserve"> </w:t>
      </w:r>
      <w:proofErr w:type="spellStart"/>
      <w:r>
        <w:rPr>
          <w:sz w:val="22"/>
          <w:szCs w:val="22"/>
        </w:rPr>
        <w:t>device</w:t>
      </w:r>
      <w:proofErr w:type="spellEnd"/>
      <w:r>
        <w:rPr>
          <w:sz w:val="22"/>
          <w:szCs w:val="22"/>
        </w:rPr>
        <w:t xml:space="preserve">, </w:t>
      </w:r>
      <w:proofErr w:type="spellStart"/>
      <w:r>
        <w:rPr>
          <w:sz w:val="22"/>
          <w:szCs w:val="22"/>
        </w:rPr>
        <w:t>such</w:t>
      </w:r>
      <w:proofErr w:type="spellEnd"/>
      <w:r>
        <w:rPr>
          <w:sz w:val="22"/>
          <w:szCs w:val="22"/>
        </w:rPr>
        <w:t xml:space="preserve"> as </w:t>
      </w:r>
      <w:proofErr w:type="spellStart"/>
      <w:r>
        <w:rPr>
          <w:sz w:val="22"/>
          <w:szCs w:val="22"/>
        </w:rPr>
        <w:t>correcting</w:t>
      </w:r>
      <w:proofErr w:type="spellEnd"/>
      <w:r>
        <w:rPr>
          <w:sz w:val="22"/>
          <w:szCs w:val="22"/>
        </w:rPr>
        <w:t xml:space="preserve"> </w:t>
      </w:r>
      <w:proofErr w:type="spellStart"/>
      <w:r>
        <w:rPr>
          <w:sz w:val="22"/>
          <w:szCs w:val="22"/>
        </w:rPr>
        <w:t>discrepancies</w:t>
      </w:r>
      <w:proofErr w:type="spellEnd"/>
      <w:r>
        <w:rPr>
          <w:sz w:val="22"/>
          <w:szCs w:val="22"/>
        </w:rPr>
        <w:t xml:space="preserve"> </w:t>
      </w:r>
      <w:proofErr w:type="spellStart"/>
      <w:r>
        <w:rPr>
          <w:sz w:val="22"/>
          <w:szCs w:val="22"/>
        </w:rPr>
        <w:t>between</w:t>
      </w:r>
      <w:proofErr w:type="spellEnd"/>
      <w:r>
        <w:rPr>
          <w:sz w:val="22"/>
          <w:szCs w:val="22"/>
        </w:rPr>
        <w:t xml:space="preserve"> </w:t>
      </w:r>
      <w:proofErr w:type="spellStart"/>
      <w:r>
        <w:rPr>
          <w:sz w:val="22"/>
          <w:szCs w:val="22"/>
        </w:rPr>
        <w:t>physical</w:t>
      </w:r>
      <w:proofErr w:type="spellEnd"/>
      <w:r>
        <w:rPr>
          <w:sz w:val="22"/>
          <w:szCs w:val="22"/>
        </w:rPr>
        <w:t xml:space="preserve"> and </w:t>
      </w:r>
      <w:proofErr w:type="spellStart"/>
      <w:r>
        <w:rPr>
          <w:sz w:val="22"/>
          <w:szCs w:val="22"/>
        </w:rPr>
        <w:t>telemetry</w:t>
      </w:r>
      <w:proofErr w:type="spellEnd"/>
      <w:r>
        <w:rPr>
          <w:sz w:val="22"/>
          <w:szCs w:val="22"/>
        </w:rPr>
        <w:t xml:space="preserve"> </w:t>
      </w:r>
      <w:proofErr w:type="spellStart"/>
      <w:r>
        <w:rPr>
          <w:sz w:val="22"/>
          <w:szCs w:val="22"/>
        </w:rPr>
        <w:t>readings</w:t>
      </w:r>
      <w:proofErr w:type="spellEnd"/>
      <w:r>
        <w:rPr>
          <w:sz w:val="22"/>
          <w:szCs w:val="22"/>
        </w:rPr>
        <w:t xml:space="preserve">, </w:t>
      </w:r>
      <w:proofErr w:type="spellStart"/>
      <w:r>
        <w:rPr>
          <w:sz w:val="22"/>
          <w:szCs w:val="22"/>
        </w:rPr>
        <w:t>updating</w:t>
      </w:r>
      <w:proofErr w:type="spellEnd"/>
      <w:r>
        <w:rPr>
          <w:sz w:val="22"/>
          <w:szCs w:val="22"/>
        </w:rPr>
        <w:t xml:space="preserve"> firmware, </w:t>
      </w:r>
      <w:proofErr w:type="spellStart"/>
      <w:r>
        <w:rPr>
          <w:sz w:val="22"/>
          <w:szCs w:val="22"/>
        </w:rPr>
        <w:t>reconfigurations</w:t>
      </w:r>
      <w:proofErr w:type="spellEnd"/>
      <w:r>
        <w:rPr>
          <w:sz w:val="22"/>
          <w:szCs w:val="22"/>
        </w:rPr>
        <w:t>, etc.</w:t>
      </w:r>
    </w:p>
    <w:p w14:paraId="1750DE12" w14:textId="77777777" w:rsidR="00E255F4" w:rsidRDefault="00000000">
      <w:pPr>
        <w:numPr>
          <w:ilvl w:val="1"/>
          <w:numId w:val="33"/>
        </w:numPr>
        <w:jc w:val="both"/>
        <w:rPr>
          <w:sz w:val="22"/>
          <w:szCs w:val="22"/>
        </w:rPr>
      </w:pPr>
      <w:r>
        <w:rPr>
          <w:sz w:val="22"/>
          <w:szCs w:val="22"/>
        </w:rPr>
        <w:t xml:space="preserve">In </w:t>
      </w:r>
      <w:proofErr w:type="spellStart"/>
      <w:r>
        <w:rPr>
          <w:sz w:val="22"/>
          <w:szCs w:val="22"/>
        </w:rPr>
        <w:t>the</w:t>
      </w:r>
      <w:proofErr w:type="spellEnd"/>
      <w:r>
        <w:rPr>
          <w:sz w:val="22"/>
          <w:szCs w:val="22"/>
        </w:rPr>
        <w:t xml:space="preserve"> </w:t>
      </w:r>
      <w:proofErr w:type="spellStart"/>
      <w:r>
        <w:rPr>
          <w:sz w:val="22"/>
          <w:szCs w:val="22"/>
        </w:rPr>
        <w:t>event</w:t>
      </w:r>
      <w:proofErr w:type="spellEnd"/>
      <w:r>
        <w:rPr>
          <w:sz w:val="22"/>
          <w:szCs w:val="22"/>
        </w:rPr>
        <w:t xml:space="preserve"> </w:t>
      </w:r>
      <w:proofErr w:type="spellStart"/>
      <w:r>
        <w:rPr>
          <w:sz w:val="22"/>
          <w:szCs w:val="22"/>
        </w:rPr>
        <w:t>of</w:t>
      </w:r>
      <w:proofErr w:type="spellEnd"/>
      <w:r>
        <w:rPr>
          <w:sz w:val="22"/>
          <w:szCs w:val="22"/>
        </w:rPr>
        <w:t xml:space="preserve"> </w:t>
      </w:r>
      <w:proofErr w:type="spellStart"/>
      <w:r>
        <w:rPr>
          <w:sz w:val="22"/>
          <w:szCs w:val="22"/>
        </w:rPr>
        <w:t>repeated</w:t>
      </w:r>
      <w:proofErr w:type="spellEnd"/>
      <w:r>
        <w:rPr>
          <w:sz w:val="22"/>
          <w:szCs w:val="22"/>
        </w:rPr>
        <w:t xml:space="preserve"> </w:t>
      </w:r>
      <w:proofErr w:type="spellStart"/>
      <w:r>
        <w:rPr>
          <w:sz w:val="22"/>
          <w:szCs w:val="22"/>
        </w:rPr>
        <w:t>discrepancies</w:t>
      </w:r>
      <w:proofErr w:type="spellEnd"/>
      <w:r>
        <w:rPr>
          <w:sz w:val="22"/>
          <w:szCs w:val="22"/>
        </w:rPr>
        <w:t xml:space="preserve"> </w:t>
      </w:r>
      <w:proofErr w:type="spellStart"/>
      <w:r>
        <w:rPr>
          <w:sz w:val="22"/>
          <w:szCs w:val="22"/>
        </w:rPr>
        <w:t>between</w:t>
      </w:r>
      <w:proofErr w:type="spellEnd"/>
      <w:r>
        <w:rPr>
          <w:sz w:val="22"/>
          <w:szCs w:val="22"/>
        </w:rPr>
        <w:t xml:space="preserve"> </w:t>
      </w:r>
      <w:proofErr w:type="spellStart"/>
      <w:r>
        <w:rPr>
          <w:sz w:val="22"/>
          <w:szCs w:val="22"/>
        </w:rPr>
        <w:t>the</w:t>
      </w:r>
      <w:proofErr w:type="spellEnd"/>
      <w:r>
        <w:rPr>
          <w:sz w:val="22"/>
          <w:szCs w:val="22"/>
        </w:rPr>
        <w:t xml:space="preserve"> </w:t>
      </w:r>
      <w:proofErr w:type="spellStart"/>
      <w:r>
        <w:rPr>
          <w:sz w:val="22"/>
          <w:szCs w:val="22"/>
        </w:rPr>
        <w:t>physical</w:t>
      </w:r>
      <w:proofErr w:type="spellEnd"/>
      <w:r>
        <w:rPr>
          <w:sz w:val="22"/>
          <w:szCs w:val="22"/>
        </w:rPr>
        <w:t xml:space="preserve"> </w:t>
      </w:r>
      <w:proofErr w:type="spellStart"/>
      <w:r>
        <w:rPr>
          <w:sz w:val="22"/>
          <w:szCs w:val="22"/>
        </w:rPr>
        <w:t>reading</w:t>
      </w:r>
      <w:proofErr w:type="spellEnd"/>
      <w:r>
        <w:rPr>
          <w:sz w:val="22"/>
          <w:szCs w:val="22"/>
        </w:rPr>
        <w:t xml:space="preserve"> and </w:t>
      </w:r>
      <w:proofErr w:type="spellStart"/>
      <w:r>
        <w:rPr>
          <w:sz w:val="22"/>
          <w:szCs w:val="22"/>
        </w:rPr>
        <w:t>the</w:t>
      </w:r>
      <w:proofErr w:type="spellEnd"/>
      <w:r>
        <w:rPr>
          <w:sz w:val="22"/>
          <w:szCs w:val="22"/>
        </w:rPr>
        <w:t xml:space="preserve"> remote </w:t>
      </w:r>
      <w:proofErr w:type="spellStart"/>
      <w:r>
        <w:rPr>
          <w:sz w:val="22"/>
          <w:szCs w:val="22"/>
        </w:rPr>
        <w:t>measurement</w:t>
      </w:r>
      <w:proofErr w:type="spellEnd"/>
      <w:r>
        <w:rPr>
          <w:sz w:val="22"/>
          <w:szCs w:val="22"/>
        </w:rPr>
        <w:t xml:space="preserve">, </w:t>
      </w:r>
      <w:proofErr w:type="spellStart"/>
      <w:r>
        <w:rPr>
          <w:sz w:val="22"/>
          <w:szCs w:val="22"/>
        </w:rPr>
        <w:t>the</w:t>
      </w:r>
      <w:proofErr w:type="spellEnd"/>
      <w:r>
        <w:rPr>
          <w:sz w:val="22"/>
          <w:szCs w:val="22"/>
        </w:rPr>
        <w:t xml:space="preserve"> </w:t>
      </w:r>
      <w:proofErr w:type="spellStart"/>
      <w:r>
        <w:rPr>
          <w:sz w:val="22"/>
          <w:szCs w:val="22"/>
        </w:rPr>
        <w:t>successful</w:t>
      </w:r>
      <w:proofErr w:type="spellEnd"/>
      <w:r>
        <w:rPr>
          <w:sz w:val="22"/>
          <w:szCs w:val="22"/>
        </w:rPr>
        <w:t xml:space="preserve"> </w:t>
      </w:r>
      <w:proofErr w:type="spellStart"/>
      <w:r>
        <w:rPr>
          <w:sz w:val="22"/>
          <w:szCs w:val="22"/>
        </w:rPr>
        <w:t>bidder</w:t>
      </w:r>
      <w:proofErr w:type="spellEnd"/>
      <w:r>
        <w:rPr>
          <w:sz w:val="22"/>
          <w:szCs w:val="22"/>
        </w:rPr>
        <w:t xml:space="preserve"> </w:t>
      </w:r>
      <w:proofErr w:type="spellStart"/>
      <w:r>
        <w:rPr>
          <w:sz w:val="22"/>
          <w:szCs w:val="22"/>
        </w:rPr>
        <w:t>must</w:t>
      </w:r>
      <w:proofErr w:type="spellEnd"/>
      <w:r>
        <w:rPr>
          <w:sz w:val="22"/>
          <w:szCs w:val="22"/>
        </w:rPr>
        <w:t xml:space="preserve"> </w:t>
      </w:r>
      <w:proofErr w:type="spellStart"/>
      <w:r>
        <w:rPr>
          <w:sz w:val="22"/>
          <w:szCs w:val="22"/>
        </w:rPr>
        <w:t>replace</w:t>
      </w:r>
      <w:proofErr w:type="spellEnd"/>
      <w:r>
        <w:rPr>
          <w:sz w:val="22"/>
          <w:szCs w:val="22"/>
        </w:rPr>
        <w:t xml:space="preserve"> </w:t>
      </w:r>
      <w:proofErr w:type="spellStart"/>
      <w:r>
        <w:rPr>
          <w:sz w:val="22"/>
          <w:szCs w:val="22"/>
        </w:rPr>
        <w:t>the</w:t>
      </w:r>
      <w:proofErr w:type="spellEnd"/>
      <w:r>
        <w:rPr>
          <w:sz w:val="22"/>
          <w:szCs w:val="22"/>
        </w:rPr>
        <w:t xml:space="preserve"> </w:t>
      </w:r>
      <w:proofErr w:type="spellStart"/>
      <w:r>
        <w:rPr>
          <w:sz w:val="22"/>
          <w:szCs w:val="22"/>
        </w:rPr>
        <w:t>integrated</w:t>
      </w:r>
      <w:proofErr w:type="spellEnd"/>
      <w:r>
        <w:rPr>
          <w:sz w:val="22"/>
          <w:szCs w:val="22"/>
        </w:rPr>
        <w:t xml:space="preserve"> </w:t>
      </w:r>
      <w:proofErr w:type="spellStart"/>
      <w:r>
        <w:rPr>
          <w:sz w:val="22"/>
          <w:szCs w:val="22"/>
        </w:rPr>
        <w:t>smart</w:t>
      </w:r>
      <w:proofErr w:type="spellEnd"/>
      <w:r>
        <w:rPr>
          <w:sz w:val="22"/>
          <w:szCs w:val="22"/>
        </w:rPr>
        <w:t xml:space="preserve"> meter </w:t>
      </w:r>
      <w:proofErr w:type="spellStart"/>
      <w:r>
        <w:rPr>
          <w:sz w:val="22"/>
          <w:szCs w:val="22"/>
        </w:rPr>
        <w:t>with</w:t>
      </w:r>
      <w:proofErr w:type="spellEnd"/>
      <w:r>
        <w:rPr>
          <w:sz w:val="22"/>
          <w:szCs w:val="22"/>
        </w:rPr>
        <w:t xml:space="preserve"> a new and </w:t>
      </w:r>
      <w:proofErr w:type="spellStart"/>
      <w:r>
        <w:rPr>
          <w:sz w:val="22"/>
          <w:szCs w:val="22"/>
        </w:rPr>
        <w:t>unused</w:t>
      </w:r>
      <w:proofErr w:type="spellEnd"/>
      <w:r>
        <w:rPr>
          <w:sz w:val="22"/>
          <w:szCs w:val="22"/>
        </w:rPr>
        <w:t xml:space="preserve"> </w:t>
      </w:r>
      <w:proofErr w:type="spellStart"/>
      <w:r>
        <w:rPr>
          <w:sz w:val="22"/>
          <w:szCs w:val="22"/>
        </w:rPr>
        <w:t>one</w:t>
      </w:r>
      <w:proofErr w:type="spellEnd"/>
      <w:r>
        <w:rPr>
          <w:sz w:val="22"/>
          <w:szCs w:val="22"/>
        </w:rPr>
        <w:t>.</w:t>
      </w:r>
    </w:p>
    <w:p w14:paraId="14641FB9" w14:textId="77777777" w:rsidR="00E255F4" w:rsidRDefault="00000000">
      <w:pPr>
        <w:numPr>
          <w:ilvl w:val="1"/>
          <w:numId w:val="33"/>
        </w:numPr>
        <w:jc w:val="both"/>
      </w:pPr>
      <w:r>
        <w:rPr>
          <w:sz w:val="22"/>
          <w:szCs w:val="22"/>
        </w:rPr>
        <w:t xml:space="preserve">The </w:t>
      </w:r>
      <w:proofErr w:type="spellStart"/>
      <w:r>
        <w:rPr>
          <w:sz w:val="22"/>
          <w:szCs w:val="22"/>
        </w:rPr>
        <w:t>Contract</w:t>
      </w:r>
      <w:proofErr w:type="spellEnd"/>
      <w:r>
        <w:rPr>
          <w:sz w:val="22"/>
          <w:szCs w:val="22"/>
        </w:rPr>
        <w:t xml:space="preserve"> </w:t>
      </w:r>
      <w:proofErr w:type="spellStart"/>
      <w:r>
        <w:rPr>
          <w:sz w:val="22"/>
          <w:szCs w:val="22"/>
        </w:rPr>
        <w:t>will</w:t>
      </w:r>
      <w:proofErr w:type="spellEnd"/>
      <w:r>
        <w:rPr>
          <w:sz w:val="22"/>
          <w:szCs w:val="22"/>
        </w:rPr>
        <w:t xml:space="preserve"> </w:t>
      </w:r>
      <w:proofErr w:type="spellStart"/>
      <w:r>
        <w:rPr>
          <w:sz w:val="22"/>
          <w:szCs w:val="22"/>
        </w:rPr>
        <w:t>include</w:t>
      </w:r>
      <w:proofErr w:type="spellEnd"/>
      <w:r>
        <w:rPr>
          <w:sz w:val="22"/>
          <w:szCs w:val="22"/>
        </w:rPr>
        <w:t xml:space="preserve"> </w:t>
      </w:r>
      <w:proofErr w:type="spellStart"/>
      <w:r>
        <w:rPr>
          <w:sz w:val="22"/>
          <w:szCs w:val="22"/>
        </w:rPr>
        <w:t>the</w:t>
      </w:r>
      <w:proofErr w:type="spellEnd"/>
      <w:r>
        <w:rPr>
          <w:sz w:val="22"/>
          <w:szCs w:val="22"/>
        </w:rPr>
        <w:t xml:space="preserve"> </w:t>
      </w:r>
      <w:proofErr w:type="spellStart"/>
      <w:r>
        <w:rPr>
          <w:sz w:val="22"/>
          <w:szCs w:val="22"/>
        </w:rPr>
        <w:t>configurations</w:t>
      </w:r>
      <w:proofErr w:type="spellEnd"/>
      <w:r>
        <w:rPr>
          <w:sz w:val="22"/>
          <w:szCs w:val="22"/>
        </w:rPr>
        <w:t xml:space="preserve"> </w:t>
      </w:r>
      <w:proofErr w:type="spellStart"/>
      <w:r>
        <w:rPr>
          <w:sz w:val="22"/>
          <w:szCs w:val="22"/>
        </w:rPr>
        <w:t>required</w:t>
      </w:r>
      <w:proofErr w:type="spellEnd"/>
      <w:r>
        <w:rPr>
          <w:sz w:val="22"/>
          <w:szCs w:val="22"/>
        </w:rPr>
        <w:t xml:space="preserve"> in </w:t>
      </w:r>
      <w:proofErr w:type="spellStart"/>
      <w:r>
        <w:rPr>
          <w:sz w:val="22"/>
          <w:szCs w:val="22"/>
        </w:rPr>
        <w:t>the</w:t>
      </w:r>
      <w:proofErr w:type="spellEnd"/>
      <w:r>
        <w:rPr>
          <w:sz w:val="22"/>
          <w:szCs w:val="22"/>
        </w:rPr>
        <w:t xml:space="preserve"> </w:t>
      </w:r>
      <w:proofErr w:type="spellStart"/>
      <w:r>
        <w:rPr>
          <w:sz w:val="22"/>
          <w:szCs w:val="22"/>
        </w:rPr>
        <w:t>Telemetry</w:t>
      </w:r>
      <w:proofErr w:type="spellEnd"/>
      <w:r>
        <w:rPr>
          <w:sz w:val="22"/>
          <w:szCs w:val="22"/>
        </w:rPr>
        <w:t xml:space="preserve"> </w:t>
      </w:r>
      <w:proofErr w:type="spellStart"/>
      <w:r>
        <w:rPr>
          <w:sz w:val="22"/>
          <w:szCs w:val="22"/>
        </w:rPr>
        <w:t>System</w:t>
      </w:r>
      <w:proofErr w:type="spellEnd"/>
      <w:r>
        <w:rPr>
          <w:sz w:val="22"/>
          <w:szCs w:val="22"/>
        </w:rPr>
        <w:t xml:space="preserve"> </w:t>
      </w:r>
      <w:proofErr w:type="spellStart"/>
      <w:r>
        <w:rPr>
          <w:sz w:val="22"/>
          <w:szCs w:val="22"/>
        </w:rPr>
        <w:t>for</w:t>
      </w:r>
      <w:proofErr w:type="spellEnd"/>
      <w:r>
        <w:rPr>
          <w:sz w:val="22"/>
          <w:szCs w:val="22"/>
        </w:rPr>
        <w:t xml:space="preserve"> </w:t>
      </w:r>
      <w:proofErr w:type="spellStart"/>
      <w:r>
        <w:rPr>
          <w:sz w:val="22"/>
          <w:szCs w:val="22"/>
        </w:rPr>
        <w:t>additions</w:t>
      </w:r>
      <w:proofErr w:type="spellEnd"/>
      <w:r>
        <w:rPr>
          <w:sz w:val="22"/>
          <w:szCs w:val="22"/>
        </w:rPr>
        <w:t xml:space="preserve"> and </w:t>
      </w:r>
      <w:proofErr w:type="spellStart"/>
      <w:r>
        <w:rPr>
          <w:sz w:val="22"/>
          <w:szCs w:val="22"/>
        </w:rPr>
        <w:t>removals</w:t>
      </w:r>
      <w:proofErr w:type="spellEnd"/>
      <w:r>
        <w:rPr>
          <w:sz w:val="22"/>
          <w:szCs w:val="22"/>
        </w:rPr>
        <w:t xml:space="preserve"> </w:t>
      </w:r>
      <w:proofErr w:type="spellStart"/>
      <w:r>
        <w:rPr>
          <w:sz w:val="22"/>
          <w:szCs w:val="22"/>
        </w:rPr>
        <w:t>of</w:t>
      </w:r>
      <w:proofErr w:type="spellEnd"/>
      <w:r>
        <w:rPr>
          <w:sz w:val="22"/>
          <w:szCs w:val="22"/>
        </w:rPr>
        <w:t xml:space="preserve"> </w:t>
      </w:r>
      <w:proofErr w:type="spellStart"/>
      <w:r>
        <w:rPr>
          <w:sz w:val="22"/>
          <w:szCs w:val="22"/>
        </w:rPr>
        <w:t>drinking</w:t>
      </w:r>
      <w:proofErr w:type="spellEnd"/>
      <w:r>
        <w:rPr>
          <w:sz w:val="22"/>
          <w:szCs w:val="22"/>
        </w:rPr>
        <w:t xml:space="preserve"> </w:t>
      </w:r>
      <w:proofErr w:type="spellStart"/>
      <w:r>
        <w:rPr>
          <w:sz w:val="22"/>
          <w:szCs w:val="22"/>
        </w:rPr>
        <w:t>water</w:t>
      </w:r>
      <w:proofErr w:type="spellEnd"/>
      <w:r>
        <w:rPr>
          <w:sz w:val="22"/>
          <w:szCs w:val="22"/>
        </w:rPr>
        <w:t xml:space="preserve"> </w:t>
      </w:r>
      <w:proofErr w:type="spellStart"/>
      <w:r>
        <w:rPr>
          <w:sz w:val="22"/>
          <w:szCs w:val="22"/>
        </w:rPr>
        <w:t>service</w:t>
      </w:r>
      <w:proofErr w:type="spellEnd"/>
      <w:r>
        <w:rPr>
          <w:sz w:val="22"/>
          <w:szCs w:val="22"/>
        </w:rPr>
        <w:t>.</w:t>
      </w:r>
    </w:p>
    <w:p w14:paraId="6021C51C" w14:textId="77777777" w:rsidR="00E255F4" w:rsidRDefault="00000000">
      <w:pPr>
        <w:numPr>
          <w:ilvl w:val="1"/>
          <w:numId w:val="33"/>
        </w:numPr>
        <w:jc w:val="both"/>
      </w:pPr>
      <w:proofErr w:type="spellStart"/>
      <w:r>
        <w:rPr>
          <w:sz w:val="22"/>
          <w:szCs w:val="22"/>
        </w:rPr>
        <w:t>All</w:t>
      </w:r>
      <w:proofErr w:type="spellEnd"/>
      <w:r>
        <w:rPr>
          <w:sz w:val="22"/>
          <w:szCs w:val="22"/>
        </w:rPr>
        <w:t xml:space="preserve"> </w:t>
      </w:r>
      <w:proofErr w:type="spellStart"/>
      <w:r>
        <w:rPr>
          <w:sz w:val="22"/>
          <w:szCs w:val="22"/>
        </w:rPr>
        <w:t>costs</w:t>
      </w:r>
      <w:proofErr w:type="spellEnd"/>
      <w:r>
        <w:rPr>
          <w:sz w:val="22"/>
          <w:szCs w:val="22"/>
        </w:rPr>
        <w:t xml:space="preserve"> </w:t>
      </w:r>
      <w:proofErr w:type="spellStart"/>
      <w:r>
        <w:rPr>
          <w:sz w:val="22"/>
          <w:szCs w:val="22"/>
        </w:rPr>
        <w:t>associated</w:t>
      </w:r>
      <w:proofErr w:type="spellEnd"/>
      <w:r>
        <w:rPr>
          <w:sz w:val="22"/>
          <w:szCs w:val="22"/>
        </w:rPr>
        <w:t xml:space="preserve"> </w:t>
      </w:r>
      <w:proofErr w:type="spellStart"/>
      <w:r>
        <w:rPr>
          <w:sz w:val="22"/>
          <w:szCs w:val="22"/>
        </w:rPr>
        <w:t>with</w:t>
      </w:r>
      <w:proofErr w:type="spellEnd"/>
      <w:r>
        <w:rPr>
          <w:sz w:val="22"/>
          <w:szCs w:val="22"/>
        </w:rPr>
        <w:t xml:space="preserve"> </w:t>
      </w:r>
      <w:proofErr w:type="spellStart"/>
      <w:r>
        <w:rPr>
          <w:sz w:val="22"/>
          <w:szCs w:val="22"/>
        </w:rPr>
        <w:t>the</w:t>
      </w:r>
      <w:proofErr w:type="spellEnd"/>
      <w:r>
        <w:rPr>
          <w:sz w:val="22"/>
          <w:szCs w:val="22"/>
        </w:rPr>
        <w:t xml:space="preserve"> </w:t>
      </w:r>
      <w:proofErr w:type="spellStart"/>
      <w:r>
        <w:rPr>
          <w:sz w:val="22"/>
          <w:szCs w:val="22"/>
        </w:rPr>
        <w:t>infrastructure</w:t>
      </w:r>
      <w:proofErr w:type="spellEnd"/>
      <w:r>
        <w:rPr>
          <w:sz w:val="22"/>
          <w:szCs w:val="22"/>
        </w:rPr>
        <w:t xml:space="preserve"> </w:t>
      </w:r>
      <w:proofErr w:type="spellStart"/>
      <w:r>
        <w:rPr>
          <w:sz w:val="22"/>
          <w:szCs w:val="22"/>
        </w:rPr>
        <w:t>of</w:t>
      </w:r>
      <w:proofErr w:type="spellEnd"/>
      <w:r>
        <w:rPr>
          <w:sz w:val="22"/>
          <w:szCs w:val="22"/>
        </w:rPr>
        <w:t xml:space="preserve"> </w:t>
      </w:r>
      <w:proofErr w:type="spellStart"/>
      <w:r>
        <w:rPr>
          <w:sz w:val="22"/>
          <w:szCs w:val="22"/>
        </w:rPr>
        <w:t>the</w:t>
      </w:r>
      <w:proofErr w:type="spellEnd"/>
      <w:r>
        <w:rPr>
          <w:sz w:val="22"/>
          <w:szCs w:val="22"/>
        </w:rPr>
        <w:t xml:space="preserve"> </w:t>
      </w:r>
      <w:proofErr w:type="spellStart"/>
      <w:r>
        <w:rPr>
          <w:sz w:val="22"/>
          <w:szCs w:val="22"/>
        </w:rPr>
        <w:t>contracted</w:t>
      </w:r>
      <w:proofErr w:type="spellEnd"/>
      <w:r>
        <w:rPr>
          <w:sz w:val="22"/>
          <w:szCs w:val="22"/>
        </w:rPr>
        <w:t xml:space="preserve"> </w:t>
      </w:r>
      <w:proofErr w:type="spellStart"/>
      <w:r>
        <w:rPr>
          <w:sz w:val="22"/>
          <w:szCs w:val="22"/>
        </w:rPr>
        <w:t>Telemetry</w:t>
      </w:r>
      <w:proofErr w:type="spellEnd"/>
      <w:r>
        <w:rPr>
          <w:sz w:val="22"/>
          <w:szCs w:val="22"/>
        </w:rPr>
        <w:t xml:space="preserve"> </w:t>
      </w:r>
      <w:proofErr w:type="spellStart"/>
      <w:r>
        <w:rPr>
          <w:sz w:val="22"/>
          <w:szCs w:val="22"/>
        </w:rPr>
        <w:t>support</w:t>
      </w:r>
      <w:proofErr w:type="spellEnd"/>
      <w:r>
        <w:rPr>
          <w:sz w:val="22"/>
          <w:szCs w:val="22"/>
        </w:rPr>
        <w:t xml:space="preserve"> and </w:t>
      </w:r>
      <w:proofErr w:type="spellStart"/>
      <w:r>
        <w:rPr>
          <w:sz w:val="22"/>
          <w:szCs w:val="22"/>
        </w:rPr>
        <w:t>maintenance</w:t>
      </w:r>
      <w:proofErr w:type="spellEnd"/>
      <w:r>
        <w:rPr>
          <w:sz w:val="22"/>
          <w:szCs w:val="22"/>
        </w:rPr>
        <w:t xml:space="preserve"> </w:t>
      </w:r>
      <w:proofErr w:type="spellStart"/>
      <w:r>
        <w:rPr>
          <w:sz w:val="22"/>
          <w:szCs w:val="22"/>
        </w:rPr>
        <w:t>service</w:t>
      </w:r>
      <w:proofErr w:type="spellEnd"/>
      <w:r>
        <w:rPr>
          <w:sz w:val="22"/>
          <w:szCs w:val="22"/>
        </w:rPr>
        <w:t xml:space="preserve"> </w:t>
      </w:r>
      <w:proofErr w:type="spellStart"/>
      <w:r>
        <w:rPr>
          <w:sz w:val="22"/>
          <w:szCs w:val="22"/>
        </w:rPr>
        <w:t>will</w:t>
      </w:r>
      <w:proofErr w:type="spellEnd"/>
      <w:r>
        <w:rPr>
          <w:sz w:val="22"/>
          <w:szCs w:val="22"/>
        </w:rPr>
        <w:t xml:space="preserve"> be </w:t>
      </w:r>
      <w:proofErr w:type="spellStart"/>
      <w:r>
        <w:rPr>
          <w:sz w:val="22"/>
          <w:szCs w:val="22"/>
        </w:rPr>
        <w:t>included</w:t>
      </w:r>
      <w:proofErr w:type="spellEnd"/>
      <w:r>
        <w:rPr>
          <w:sz w:val="22"/>
          <w:szCs w:val="22"/>
        </w:rPr>
        <w:t xml:space="preserve"> in </w:t>
      </w:r>
      <w:proofErr w:type="spellStart"/>
      <w:r>
        <w:rPr>
          <w:sz w:val="22"/>
          <w:szCs w:val="22"/>
        </w:rPr>
        <w:t>the</w:t>
      </w:r>
      <w:proofErr w:type="spellEnd"/>
      <w:r>
        <w:rPr>
          <w:sz w:val="22"/>
          <w:szCs w:val="22"/>
        </w:rPr>
        <w:t xml:space="preserve"> </w:t>
      </w:r>
      <w:proofErr w:type="spellStart"/>
      <w:r>
        <w:rPr>
          <w:sz w:val="22"/>
          <w:szCs w:val="22"/>
        </w:rPr>
        <w:t>quoted</w:t>
      </w:r>
      <w:proofErr w:type="spellEnd"/>
      <w:r>
        <w:rPr>
          <w:sz w:val="22"/>
          <w:szCs w:val="22"/>
        </w:rPr>
        <w:t xml:space="preserve"> </w:t>
      </w:r>
      <w:proofErr w:type="spellStart"/>
      <w:r>
        <w:rPr>
          <w:sz w:val="22"/>
          <w:szCs w:val="22"/>
        </w:rPr>
        <w:t>service</w:t>
      </w:r>
      <w:proofErr w:type="spellEnd"/>
      <w:r>
        <w:rPr>
          <w:sz w:val="22"/>
          <w:szCs w:val="22"/>
        </w:rPr>
        <w:t xml:space="preserve"> </w:t>
      </w:r>
      <w:proofErr w:type="spellStart"/>
      <w:r>
        <w:rPr>
          <w:sz w:val="22"/>
          <w:szCs w:val="22"/>
        </w:rPr>
        <w:t>price</w:t>
      </w:r>
      <w:proofErr w:type="spellEnd"/>
      <w:r>
        <w:rPr>
          <w:sz w:val="22"/>
          <w:szCs w:val="22"/>
        </w:rPr>
        <w:t xml:space="preserve">, </w:t>
      </w:r>
      <w:proofErr w:type="spellStart"/>
      <w:r>
        <w:rPr>
          <w:sz w:val="22"/>
          <w:szCs w:val="22"/>
        </w:rPr>
        <w:t>except</w:t>
      </w:r>
      <w:proofErr w:type="spellEnd"/>
      <w:r>
        <w:rPr>
          <w:sz w:val="22"/>
          <w:szCs w:val="22"/>
        </w:rPr>
        <w:t xml:space="preserve"> </w:t>
      </w:r>
      <w:proofErr w:type="spellStart"/>
      <w:r>
        <w:rPr>
          <w:sz w:val="22"/>
          <w:szCs w:val="22"/>
        </w:rPr>
        <w:t>for</w:t>
      </w:r>
      <w:proofErr w:type="spellEnd"/>
      <w:r>
        <w:rPr>
          <w:sz w:val="22"/>
          <w:szCs w:val="22"/>
        </w:rPr>
        <w:t xml:space="preserve"> </w:t>
      </w:r>
      <w:proofErr w:type="spellStart"/>
      <w:r>
        <w:rPr>
          <w:sz w:val="22"/>
          <w:szCs w:val="22"/>
        </w:rPr>
        <w:t>connectivity</w:t>
      </w:r>
      <w:proofErr w:type="spellEnd"/>
      <w:r>
        <w:rPr>
          <w:sz w:val="22"/>
          <w:szCs w:val="22"/>
        </w:rPr>
        <w:t xml:space="preserve"> </w:t>
      </w:r>
      <w:proofErr w:type="spellStart"/>
      <w:r>
        <w:rPr>
          <w:sz w:val="22"/>
          <w:szCs w:val="22"/>
        </w:rPr>
        <w:t>to</w:t>
      </w:r>
      <w:proofErr w:type="spellEnd"/>
      <w:r>
        <w:rPr>
          <w:sz w:val="22"/>
          <w:szCs w:val="22"/>
        </w:rPr>
        <w:t xml:space="preserve"> </w:t>
      </w:r>
      <w:proofErr w:type="spellStart"/>
      <w:r>
        <w:rPr>
          <w:sz w:val="22"/>
          <w:szCs w:val="22"/>
        </w:rPr>
        <w:t>the</w:t>
      </w:r>
      <w:proofErr w:type="spellEnd"/>
      <w:r>
        <w:rPr>
          <w:sz w:val="22"/>
          <w:szCs w:val="22"/>
        </w:rPr>
        <w:t xml:space="preserve"> Data </w:t>
      </w:r>
      <w:proofErr w:type="spellStart"/>
      <w:r>
        <w:rPr>
          <w:sz w:val="22"/>
          <w:szCs w:val="22"/>
        </w:rPr>
        <w:t>Collection</w:t>
      </w:r>
      <w:proofErr w:type="spellEnd"/>
      <w:r>
        <w:rPr>
          <w:sz w:val="22"/>
          <w:szCs w:val="22"/>
        </w:rPr>
        <w:t xml:space="preserve"> </w:t>
      </w:r>
      <w:proofErr w:type="spellStart"/>
      <w:r>
        <w:rPr>
          <w:sz w:val="22"/>
          <w:szCs w:val="22"/>
        </w:rPr>
        <w:t>System</w:t>
      </w:r>
      <w:proofErr w:type="spellEnd"/>
      <w:r>
        <w:rPr>
          <w:sz w:val="22"/>
          <w:szCs w:val="22"/>
        </w:rPr>
        <w:t>.</w:t>
      </w:r>
    </w:p>
    <w:p w14:paraId="0A93B943" w14:textId="77777777" w:rsidR="00E255F4" w:rsidRDefault="00000000">
      <w:pPr>
        <w:numPr>
          <w:ilvl w:val="1"/>
          <w:numId w:val="33"/>
        </w:numPr>
        <w:jc w:val="both"/>
        <w:rPr>
          <w:sz w:val="22"/>
          <w:szCs w:val="22"/>
        </w:rPr>
      </w:pPr>
      <w:r>
        <w:rPr>
          <w:sz w:val="22"/>
          <w:szCs w:val="22"/>
        </w:rPr>
        <w:t xml:space="preserve">The </w:t>
      </w:r>
      <w:proofErr w:type="spellStart"/>
      <w:r>
        <w:rPr>
          <w:sz w:val="22"/>
          <w:szCs w:val="22"/>
        </w:rPr>
        <w:t>Telemetry</w:t>
      </w:r>
      <w:proofErr w:type="spellEnd"/>
      <w:r>
        <w:rPr>
          <w:sz w:val="22"/>
          <w:szCs w:val="22"/>
        </w:rPr>
        <w:t xml:space="preserve"> Service </w:t>
      </w:r>
      <w:proofErr w:type="spellStart"/>
      <w:r>
        <w:rPr>
          <w:sz w:val="22"/>
          <w:szCs w:val="22"/>
        </w:rPr>
        <w:t>will</w:t>
      </w:r>
      <w:proofErr w:type="spellEnd"/>
      <w:r>
        <w:rPr>
          <w:sz w:val="22"/>
          <w:szCs w:val="22"/>
        </w:rPr>
        <w:t xml:space="preserve"> use </w:t>
      </w:r>
      <w:proofErr w:type="spellStart"/>
      <w:r>
        <w:rPr>
          <w:sz w:val="22"/>
          <w:szCs w:val="22"/>
        </w:rPr>
        <w:t>secure</w:t>
      </w:r>
      <w:proofErr w:type="spellEnd"/>
      <w:r>
        <w:rPr>
          <w:sz w:val="22"/>
          <w:szCs w:val="22"/>
        </w:rPr>
        <w:t xml:space="preserve"> </w:t>
      </w:r>
      <w:proofErr w:type="spellStart"/>
      <w:r>
        <w:rPr>
          <w:sz w:val="22"/>
          <w:szCs w:val="22"/>
        </w:rPr>
        <w:t>communication</w:t>
      </w:r>
      <w:proofErr w:type="spellEnd"/>
      <w:r>
        <w:rPr>
          <w:sz w:val="22"/>
          <w:szCs w:val="22"/>
        </w:rPr>
        <w:t xml:space="preserve"> </w:t>
      </w:r>
      <w:proofErr w:type="spellStart"/>
      <w:r>
        <w:rPr>
          <w:sz w:val="22"/>
          <w:szCs w:val="22"/>
        </w:rPr>
        <w:t>protocols</w:t>
      </w:r>
      <w:proofErr w:type="spellEnd"/>
      <w:r>
        <w:rPr>
          <w:sz w:val="22"/>
          <w:szCs w:val="22"/>
        </w:rPr>
        <w:t xml:space="preserve"> </w:t>
      </w:r>
      <w:proofErr w:type="spellStart"/>
      <w:r>
        <w:rPr>
          <w:sz w:val="22"/>
          <w:szCs w:val="22"/>
        </w:rPr>
        <w:t>to</w:t>
      </w:r>
      <w:proofErr w:type="spellEnd"/>
      <w:r>
        <w:rPr>
          <w:sz w:val="22"/>
          <w:szCs w:val="22"/>
        </w:rPr>
        <w:t xml:space="preserve"> </w:t>
      </w:r>
      <w:proofErr w:type="spellStart"/>
      <w:r>
        <w:rPr>
          <w:sz w:val="22"/>
          <w:szCs w:val="22"/>
        </w:rPr>
        <w:t>transport</w:t>
      </w:r>
      <w:proofErr w:type="spellEnd"/>
      <w:r>
        <w:rPr>
          <w:sz w:val="22"/>
          <w:szCs w:val="22"/>
        </w:rPr>
        <w:t xml:space="preserve"> </w:t>
      </w:r>
      <w:proofErr w:type="spellStart"/>
      <w:r>
        <w:rPr>
          <w:sz w:val="22"/>
          <w:szCs w:val="22"/>
        </w:rPr>
        <w:t>the</w:t>
      </w:r>
      <w:proofErr w:type="spellEnd"/>
      <w:r>
        <w:rPr>
          <w:sz w:val="22"/>
          <w:szCs w:val="22"/>
        </w:rPr>
        <w:t xml:space="preserve"> data </w:t>
      </w:r>
      <w:proofErr w:type="spellStart"/>
      <w:r>
        <w:rPr>
          <w:sz w:val="22"/>
          <w:szCs w:val="22"/>
        </w:rPr>
        <w:t>to</w:t>
      </w:r>
      <w:proofErr w:type="spellEnd"/>
      <w:r>
        <w:rPr>
          <w:sz w:val="22"/>
          <w:szCs w:val="22"/>
        </w:rPr>
        <w:t xml:space="preserve"> </w:t>
      </w:r>
      <w:proofErr w:type="spellStart"/>
      <w:r>
        <w:rPr>
          <w:sz w:val="22"/>
          <w:szCs w:val="22"/>
        </w:rPr>
        <w:t>the</w:t>
      </w:r>
      <w:proofErr w:type="spellEnd"/>
      <w:r>
        <w:rPr>
          <w:sz w:val="22"/>
          <w:szCs w:val="22"/>
        </w:rPr>
        <w:t xml:space="preserve"> Data </w:t>
      </w:r>
      <w:proofErr w:type="spellStart"/>
      <w:r>
        <w:rPr>
          <w:sz w:val="22"/>
          <w:szCs w:val="22"/>
        </w:rPr>
        <w:t>Collection</w:t>
      </w:r>
      <w:proofErr w:type="spellEnd"/>
      <w:r>
        <w:rPr>
          <w:sz w:val="22"/>
          <w:szCs w:val="22"/>
        </w:rPr>
        <w:t xml:space="preserve"> </w:t>
      </w:r>
      <w:proofErr w:type="spellStart"/>
      <w:r>
        <w:rPr>
          <w:sz w:val="22"/>
          <w:szCs w:val="22"/>
        </w:rPr>
        <w:t>System</w:t>
      </w:r>
      <w:proofErr w:type="spellEnd"/>
      <w:r>
        <w:rPr>
          <w:sz w:val="22"/>
          <w:szCs w:val="22"/>
        </w:rPr>
        <w:t>.</w:t>
      </w:r>
    </w:p>
    <w:p w14:paraId="6036FD01" w14:textId="77777777" w:rsidR="00E255F4" w:rsidRDefault="00000000">
      <w:pPr>
        <w:numPr>
          <w:ilvl w:val="1"/>
          <w:numId w:val="33"/>
        </w:numPr>
        <w:jc w:val="both"/>
      </w:pPr>
      <w:r>
        <w:rPr>
          <w:sz w:val="22"/>
          <w:szCs w:val="22"/>
        </w:rPr>
        <w:t xml:space="preserve">The </w:t>
      </w:r>
      <w:proofErr w:type="spellStart"/>
      <w:r>
        <w:rPr>
          <w:sz w:val="22"/>
          <w:szCs w:val="22"/>
        </w:rPr>
        <w:t>monthly</w:t>
      </w:r>
      <w:proofErr w:type="spellEnd"/>
      <w:r>
        <w:rPr>
          <w:sz w:val="22"/>
          <w:szCs w:val="22"/>
        </w:rPr>
        <w:t xml:space="preserve"> </w:t>
      </w:r>
      <w:proofErr w:type="spellStart"/>
      <w:r>
        <w:rPr>
          <w:sz w:val="22"/>
          <w:szCs w:val="22"/>
        </w:rPr>
        <w:t>availability</w:t>
      </w:r>
      <w:proofErr w:type="spellEnd"/>
      <w:r>
        <w:rPr>
          <w:sz w:val="22"/>
          <w:szCs w:val="22"/>
        </w:rPr>
        <w:t xml:space="preserve"> </w:t>
      </w:r>
      <w:proofErr w:type="spellStart"/>
      <w:r>
        <w:rPr>
          <w:sz w:val="22"/>
          <w:szCs w:val="22"/>
        </w:rPr>
        <w:t>level</w:t>
      </w:r>
      <w:proofErr w:type="spellEnd"/>
      <w:r>
        <w:rPr>
          <w:sz w:val="22"/>
          <w:szCs w:val="22"/>
        </w:rPr>
        <w:t xml:space="preserve"> </w:t>
      </w:r>
      <w:proofErr w:type="spellStart"/>
      <w:r>
        <w:rPr>
          <w:sz w:val="22"/>
          <w:szCs w:val="22"/>
        </w:rPr>
        <w:t>of</w:t>
      </w:r>
      <w:proofErr w:type="spellEnd"/>
      <w:r>
        <w:rPr>
          <w:sz w:val="22"/>
          <w:szCs w:val="22"/>
        </w:rPr>
        <w:t xml:space="preserve"> remote meter </w:t>
      </w:r>
      <w:proofErr w:type="spellStart"/>
      <w:r>
        <w:rPr>
          <w:sz w:val="22"/>
          <w:szCs w:val="22"/>
        </w:rPr>
        <w:t>readings</w:t>
      </w:r>
      <w:proofErr w:type="spellEnd"/>
      <w:r>
        <w:rPr>
          <w:sz w:val="22"/>
          <w:szCs w:val="22"/>
        </w:rPr>
        <w:t xml:space="preserve"> </w:t>
      </w:r>
      <w:proofErr w:type="spellStart"/>
      <w:r>
        <w:rPr>
          <w:sz w:val="22"/>
          <w:szCs w:val="22"/>
        </w:rPr>
        <w:t>will</w:t>
      </w:r>
      <w:proofErr w:type="spellEnd"/>
      <w:r>
        <w:rPr>
          <w:sz w:val="22"/>
          <w:szCs w:val="22"/>
        </w:rPr>
        <w:t xml:space="preserve"> be at </w:t>
      </w:r>
      <w:proofErr w:type="spellStart"/>
      <w:r>
        <w:rPr>
          <w:sz w:val="22"/>
          <w:szCs w:val="22"/>
        </w:rPr>
        <w:t>least</w:t>
      </w:r>
      <w:proofErr w:type="spellEnd"/>
      <w:r>
        <w:rPr>
          <w:sz w:val="22"/>
          <w:szCs w:val="22"/>
        </w:rPr>
        <w:t xml:space="preserve"> 95.00% </w:t>
      </w:r>
      <w:proofErr w:type="spellStart"/>
      <w:r>
        <w:rPr>
          <w:sz w:val="22"/>
          <w:szCs w:val="22"/>
        </w:rPr>
        <w:t>of</w:t>
      </w:r>
      <w:proofErr w:type="spellEnd"/>
      <w:r>
        <w:rPr>
          <w:sz w:val="22"/>
          <w:szCs w:val="22"/>
        </w:rPr>
        <w:t xml:space="preserve"> </w:t>
      </w:r>
      <w:proofErr w:type="spellStart"/>
      <w:r>
        <w:rPr>
          <w:sz w:val="22"/>
          <w:szCs w:val="22"/>
        </w:rPr>
        <w:t>all</w:t>
      </w:r>
      <w:proofErr w:type="spellEnd"/>
      <w:r>
        <w:rPr>
          <w:sz w:val="22"/>
          <w:szCs w:val="22"/>
        </w:rPr>
        <w:t xml:space="preserve"> </w:t>
      </w:r>
      <w:proofErr w:type="spellStart"/>
      <w:r>
        <w:rPr>
          <w:sz w:val="22"/>
          <w:szCs w:val="22"/>
        </w:rPr>
        <w:t>remotely</w:t>
      </w:r>
      <w:proofErr w:type="spellEnd"/>
      <w:r>
        <w:rPr>
          <w:sz w:val="22"/>
          <w:szCs w:val="22"/>
        </w:rPr>
        <w:t xml:space="preserve"> </w:t>
      </w:r>
      <w:proofErr w:type="spellStart"/>
      <w:r>
        <w:rPr>
          <w:sz w:val="22"/>
          <w:szCs w:val="22"/>
        </w:rPr>
        <w:t>metered</w:t>
      </w:r>
      <w:proofErr w:type="spellEnd"/>
      <w:r>
        <w:rPr>
          <w:sz w:val="22"/>
          <w:szCs w:val="22"/>
        </w:rPr>
        <w:t xml:space="preserve"> </w:t>
      </w:r>
      <w:proofErr w:type="spellStart"/>
      <w:r>
        <w:rPr>
          <w:sz w:val="22"/>
          <w:szCs w:val="22"/>
        </w:rPr>
        <w:t>connections</w:t>
      </w:r>
      <w:proofErr w:type="spellEnd"/>
      <w:r>
        <w:rPr>
          <w:sz w:val="22"/>
          <w:szCs w:val="22"/>
        </w:rPr>
        <w:t xml:space="preserve">. </w:t>
      </w:r>
      <w:proofErr w:type="spellStart"/>
      <w:r>
        <w:rPr>
          <w:sz w:val="22"/>
          <w:szCs w:val="22"/>
        </w:rPr>
        <w:t>This</w:t>
      </w:r>
      <w:proofErr w:type="spellEnd"/>
      <w:r>
        <w:rPr>
          <w:sz w:val="22"/>
          <w:szCs w:val="22"/>
        </w:rPr>
        <w:t xml:space="preserve"> </w:t>
      </w:r>
      <w:proofErr w:type="spellStart"/>
      <w:r>
        <w:rPr>
          <w:sz w:val="22"/>
          <w:szCs w:val="22"/>
        </w:rPr>
        <w:t>calculation</w:t>
      </w:r>
      <w:proofErr w:type="spellEnd"/>
      <w:r>
        <w:rPr>
          <w:sz w:val="22"/>
          <w:szCs w:val="22"/>
        </w:rPr>
        <w:t xml:space="preserve"> </w:t>
      </w:r>
      <w:proofErr w:type="spellStart"/>
      <w:r>
        <w:rPr>
          <w:sz w:val="22"/>
          <w:szCs w:val="22"/>
        </w:rPr>
        <w:t>will</w:t>
      </w:r>
      <w:proofErr w:type="spellEnd"/>
      <w:r>
        <w:rPr>
          <w:sz w:val="22"/>
          <w:szCs w:val="22"/>
        </w:rPr>
        <w:t xml:space="preserve"> </w:t>
      </w:r>
      <w:proofErr w:type="spellStart"/>
      <w:r>
        <w:rPr>
          <w:sz w:val="22"/>
          <w:szCs w:val="22"/>
        </w:rPr>
        <w:t>consider</w:t>
      </w:r>
      <w:proofErr w:type="spellEnd"/>
      <w:r>
        <w:rPr>
          <w:sz w:val="22"/>
          <w:szCs w:val="22"/>
        </w:rPr>
        <w:t xml:space="preserve"> </w:t>
      </w:r>
      <w:proofErr w:type="spellStart"/>
      <w:r>
        <w:rPr>
          <w:sz w:val="22"/>
          <w:szCs w:val="22"/>
        </w:rPr>
        <w:t>the</w:t>
      </w:r>
      <w:proofErr w:type="spellEnd"/>
      <w:r>
        <w:rPr>
          <w:sz w:val="22"/>
          <w:szCs w:val="22"/>
        </w:rPr>
        <w:t xml:space="preserve"> </w:t>
      </w:r>
      <w:proofErr w:type="spellStart"/>
      <w:r>
        <w:rPr>
          <w:sz w:val="22"/>
          <w:szCs w:val="22"/>
        </w:rPr>
        <w:t>number</w:t>
      </w:r>
      <w:proofErr w:type="spellEnd"/>
      <w:r>
        <w:rPr>
          <w:sz w:val="22"/>
          <w:szCs w:val="22"/>
        </w:rPr>
        <w:t xml:space="preserve"> </w:t>
      </w:r>
      <w:proofErr w:type="spellStart"/>
      <w:r>
        <w:rPr>
          <w:sz w:val="22"/>
          <w:szCs w:val="22"/>
        </w:rPr>
        <w:t>of</w:t>
      </w:r>
      <w:proofErr w:type="spellEnd"/>
      <w:r>
        <w:rPr>
          <w:sz w:val="22"/>
          <w:szCs w:val="22"/>
        </w:rPr>
        <w:t xml:space="preserve"> </w:t>
      </w:r>
      <w:proofErr w:type="spellStart"/>
      <w:r>
        <w:rPr>
          <w:sz w:val="22"/>
          <w:szCs w:val="22"/>
        </w:rPr>
        <w:t>readings</w:t>
      </w:r>
      <w:proofErr w:type="spellEnd"/>
      <w:r>
        <w:rPr>
          <w:sz w:val="22"/>
          <w:szCs w:val="22"/>
        </w:rPr>
        <w:t xml:space="preserve"> </w:t>
      </w:r>
      <w:proofErr w:type="spellStart"/>
      <w:r>
        <w:rPr>
          <w:sz w:val="22"/>
          <w:szCs w:val="22"/>
        </w:rPr>
        <w:t>received</w:t>
      </w:r>
      <w:proofErr w:type="spellEnd"/>
      <w:r>
        <w:rPr>
          <w:sz w:val="22"/>
          <w:szCs w:val="22"/>
        </w:rPr>
        <w:t xml:space="preserve"> </w:t>
      </w:r>
      <w:proofErr w:type="spellStart"/>
      <w:r>
        <w:rPr>
          <w:sz w:val="22"/>
          <w:szCs w:val="22"/>
        </w:rPr>
        <w:t>daily</w:t>
      </w:r>
      <w:proofErr w:type="spellEnd"/>
      <w:r>
        <w:rPr>
          <w:sz w:val="22"/>
          <w:szCs w:val="22"/>
        </w:rPr>
        <w:t xml:space="preserve"> in </w:t>
      </w:r>
      <w:proofErr w:type="spellStart"/>
      <w:r>
        <w:rPr>
          <w:sz w:val="22"/>
          <w:szCs w:val="22"/>
        </w:rPr>
        <w:t>the</w:t>
      </w:r>
      <w:proofErr w:type="spellEnd"/>
      <w:r>
        <w:rPr>
          <w:sz w:val="22"/>
          <w:szCs w:val="22"/>
        </w:rPr>
        <w:t xml:space="preserve"> OSE </w:t>
      </w:r>
      <w:proofErr w:type="spellStart"/>
      <w:r>
        <w:rPr>
          <w:sz w:val="22"/>
          <w:szCs w:val="22"/>
        </w:rPr>
        <w:t>system</w:t>
      </w:r>
      <w:proofErr w:type="spellEnd"/>
      <w:r>
        <w:rPr>
          <w:sz w:val="22"/>
          <w:szCs w:val="22"/>
        </w:rPr>
        <w:t xml:space="preserve"> </w:t>
      </w:r>
      <w:proofErr w:type="spellStart"/>
      <w:r>
        <w:rPr>
          <w:sz w:val="22"/>
          <w:szCs w:val="22"/>
        </w:rPr>
        <w:t>within</w:t>
      </w:r>
      <w:proofErr w:type="spellEnd"/>
      <w:r>
        <w:rPr>
          <w:sz w:val="22"/>
          <w:szCs w:val="22"/>
        </w:rPr>
        <w:t xml:space="preserve"> 48 </w:t>
      </w:r>
      <w:proofErr w:type="spellStart"/>
      <w:r>
        <w:rPr>
          <w:sz w:val="22"/>
          <w:szCs w:val="22"/>
        </w:rPr>
        <w:t>hours</w:t>
      </w:r>
      <w:proofErr w:type="spellEnd"/>
      <w:r>
        <w:rPr>
          <w:sz w:val="22"/>
          <w:szCs w:val="22"/>
        </w:rPr>
        <w:t xml:space="preserve"> </w:t>
      </w:r>
      <w:proofErr w:type="spellStart"/>
      <w:r>
        <w:rPr>
          <w:sz w:val="22"/>
          <w:szCs w:val="22"/>
        </w:rPr>
        <w:t>of</w:t>
      </w:r>
      <w:proofErr w:type="spellEnd"/>
      <w:r>
        <w:rPr>
          <w:sz w:val="22"/>
          <w:szCs w:val="22"/>
        </w:rPr>
        <w:t xml:space="preserve"> </w:t>
      </w:r>
      <w:proofErr w:type="spellStart"/>
      <w:r>
        <w:rPr>
          <w:sz w:val="22"/>
          <w:szCs w:val="22"/>
        </w:rPr>
        <w:t>the</w:t>
      </w:r>
      <w:proofErr w:type="spellEnd"/>
      <w:r>
        <w:rPr>
          <w:sz w:val="22"/>
          <w:szCs w:val="22"/>
        </w:rPr>
        <w:t xml:space="preserve"> </w:t>
      </w:r>
      <w:proofErr w:type="spellStart"/>
      <w:r>
        <w:rPr>
          <w:sz w:val="22"/>
          <w:szCs w:val="22"/>
        </w:rPr>
        <w:t>daily</w:t>
      </w:r>
      <w:proofErr w:type="spellEnd"/>
      <w:r>
        <w:rPr>
          <w:sz w:val="22"/>
          <w:szCs w:val="22"/>
        </w:rPr>
        <w:t xml:space="preserve"> </w:t>
      </w:r>
      <w:proofErr w:type="spellStart"/>
      <w:r>
        <w:rPr>
          <w:sz w:val="22"/>
          <w:szCs w:val="22"/>
        </w:rPr>
        <w:t>reading</w:t>
      </w:r>
      <w:proofErr w:type="spellEnd"/>
      <w:r>
        <w:rPr>
          <w:sz w:val="22"/>
          <w:szCs w:val="22"/>
        </w:rPr>
        <w:t xml:space="preserve"> date, </w:t>
      </w:r>
      <w:proofErr w:type="spellStart"/>
      <w:r>
        <w:rPr>
          <w:sz w:val="22"/>
          <w:szCs w:val="22"/>
        </w:rPr>
        <w:t>taking</w:t>
      </w:r>
      <w:proofErr w:type="spellEnd"/>
      <w:r>
        <w:rPr>
          <w:sz w:val="22"/>
          <w:szCs w:val="22"/>
        </w:rPr>
        <w:t xml:space="preserve"> </w:t>
      </w:r>
      <w:proofErr w:type="spellStart"/>
      <w:r>
        <w:rPr>
          <w:sz w:val="22"/>
          <w:szCs w:val="22"/>
        </w:rPr>
        <w:t>into</w:t>
      </w:r>
      <w:proofErr w:type="spellEnd"/>
      <w:r>
        <w:rPr>
          <w:sz w:val="22"/>
          <w:szCs w:val="22"/>
        </w:rPr>
        <w:t xml:space="preserve"> </w:t>
      </w:r>
      <w:proofErr w:type="spellStart"/>
      <w:r>
        <w:rPr>
          <w:sz w:val="22"/>
          <w:szCs w:val="22"/>
        </w:rPr>
        <w:t>account</w:t>
      </w:r>
      <w:proofErr w:type="spellEnd"/>
      <w:r>
        <w:rPr>
          <w:sz w:val="22"/>
          <w:szCs w:val="22"/>
        </w:rPr>
        <w:t xml:space="preserve"> </w:t>
      </w:r>
      <w:proofErr w:type="spellStart"/>
      <w:r>
        <w:rPr>
          <w:sz w:val="22"/>
          <w:szCs w:val="22"/>
        </w:rPr>
        <w:t>all</w:t>
      </w:r>
      <w:proofErr w:type="spellEnd"/>
      <w:r>
        <w:rPr>
          <w:sz w:val="22"/>
          <w:szCs w:val="22"/>
        </w:rPr>
        <w:t xml:space="preserve"> </w:t>
      </w:r>
      <w:proofErr w:type="spellStart"/>
      <w:r>
        <w:rPr>
          <w:sz w:val="22"/>
          <w:szCs w:val="22"/>
        </w:rPr>
        <w:t>remotely</w:t>
      </w:r>
      <w:proofErr w:type="spellEnd"/>
      <w:r>
        <w:rPr>
          <w:sz w:val="22"/>
          <w:szCs w:val="22"/>
        </w:rPr>
        <w:t xml:space="preserve"> </w:t>
      </w:r>
      <w:proofErr w:type="spellStart"/>
      <w:r>
        <w:rPr>
          <w:sz w:val="22"/>
          <w:szCs w:val="22"/>
        </w:rPr>
        <w:t>metered</w:t>
      </w:r>
      <w:proofErr w:type="spellEnd"/>
      <w:r>
        <w:rPr>
          <w:sz w:val="22"/>
          <w:szCs w:val="22"/>
        </w:rPr>
        <w:t xml:space="preserve"> </w:t>
      </w:r>
      <w:proofErr w:type="spellStart"/>
      <w:r>
        <w:rPr>
          <w:sz w:val="22"/>
          <w:szCs w:val="22"/>
        </w:rPr>
        <w:t>connections</w:t>
      </w:r>
      <w:proofErr w:type="spellEnd"/>
      <w:r>
        <w:rPr>
          <w:sz w:val="22"/>
          <w:szCs w:val="22"/>
        </w:rPr>
        <w:t>.</w:t>
      </w:r>
    </w:p>
    <w:p w14:paraId="3894FC03" w14:textId="77777777" w:rsidR="00E255F4" w:rsidRDefault="00000000">
      <w:pPr>
        <w:numPr>
          <w:ilvl w:val="1"/>
          <w:numId w:val="33"/>
        </w:numPr>
        <w:jc w:val="both"/>
        <w:rPr>
          <w:sz w:val="22"/>
          <w:szCs w:val="22"/>
        </w:rPr>
      </w:pPr>
      <w:proofErr w:type="spellStart"/>
      <w:r>
        <w:rPr>
          <w:sz w:val="22"/>
          <w:szCs w:val="22"/>
        </w:rPr>
        <w:t>It</w:t>
      </w:r>
      <w:proofErr w:type="spellEnd"/>
      <w:r>
        <w:rPr>
          <w:sz w:val="22"/>
          <w:szCs w:val="22"/>
        </w:rPr>
        <w:t xml:space="preserve"> </w:t>
      </w:r>
      <w:proofErr w:type="spellStart"/>
      <w:r>
        <w:rPr>
          <w:sz w:val="22"/>
          <w:szCs w:val="22"/>
        </w:rPr>
        <w:t>must</w:t>
      </w:r>
      <w:proofErr w:type="spellEnd"/>
      <w:r>
        <w:rPr>
          <w:sz w:val="22"/>
          <w:szCs w:val="22"/>
        </w:rPr>
        <w:t xml:space="preserve"> be </w:t>
      </w:r>
      <w:proofErr w:type="spellStart"/>
      <w:r>
        <w:rPr>
          <w:sz w:val="22"/>
          <w:szCs w:val="22"/>
        </w:rPr>
        <w:t>ensured</w:t>
      </w:r>
      <w:proofErr w:type="spellEnd"/>
      <w:r>
        <w:rPr>
          <w:sz w:val="22"/>
          <w:szCs w:val="22"/>
        </w:rPr>
        <w:t xml:space="preserve"> </w:t>
      </w:r>
      <w:proofErr w:type="spellStart"/>
      <w:r>
        <w:rPr>
          <w:sz w:val="22"/>
          <w:szCs w:val="22"/>
        </w:rPr>
        <w:t>that</w:t>
      </w:r>
      <w:proofErr w:type="spellEnd"/>
      <w:r>
        <w:rPr>
          <w:sz w:val="22"/>
          <w:szCs w:val="22"/>
        </w:rPr>
        <w:t xml:space="preserve"> </w:t>
      </w:r>
      <w:proofErr w:type="spellStart"/>
      <w:r>
        <w:rPr>
          <w:sz w:val="22"/>
          <w:szCs w:val="22"/>
        </w:rPr>
        <w:t>if</w:t>
      </w:r>
      <w:proofErr w:type="spellEnd"/>
      <w:r>
        <w:rPr>
          <w:sz w:val="22"/>
          <w:szCs w:val="22"/>
        </w:rPr>
        <w:t xml:space="preserve"> </w:t>
      </w:r>
      <w:proofErr w:type="spellStart"/>
      <w:r>
        <w:rPr>
          <w:sz w:val="22"/>
          <w:szCs w:val="22"/>
        </w:rPr>
        <w:t>the</w:t>
      </w:r>
      <w:proofErr w:type="spellEnd"/>
      <w:r>
        <w:rPr>
          <w:sz w:val="22"/>
          <w:szCs w:val="22"/>
        </w:rPr>
        <w:t xml:space="preserve"> </w:t>
      </w:r>
      <w:proofErr w:type="spellStart"/>
      <w:r>
        <w:rPr>
          <w:sz w:val="22"/>
          <w:szCs w:val="22"/>
        </w:rPr>
        <w:t>transmission</w:t>
      </w:r>
      <w:proofErr w:type="spellEnd"/>
      <w:r>
        <w:rPr>
          <w:sz w:val="22"/>
          <w:szCs w:val="22"/>
        </w:rPr>
        <w:t xml:space="preserve"> </w:t>
      </w:r>
      <w:proofErr w:type="spellStart"/>
      <w:r>
        <w:rPr>
          <w:sz w:val="22"/>
          <w:szCs w:val="22"/>
        </w:rPr>
        <w:t>cannot</w:t>
      </w:r>
      <w:proofErr w:type="spellEnd"/>
      <w:r>
        <w:rPr>
          <w:sz w:val="22"/>
          <w:szCs w:val="22"/>
        </w:rPr>
        <w:t xml:space="preserve"> be </w:t>
      </w:r>
      <w:proofErr w:type="spellStart"/>
      <w:r>
        <w:rPr>
          <w:sz w:val="22"/>
          <w:szCs w:val="22"/>
        </w:rPr>
        <w:t>carried</w:t>
      </w:r>
      <w:proofErr w:type="spellEnd"/>
      <w:r>
        <w:rPr>
          <w:sz w:val="22"/>
          <w:szCs w:val="22"/>
        </w:rPr>
        <w:t xml:space="preserve"> </w:t>
      </w:r>
      <w:proofErr w:type="spellStart"/>
      <w:r>
        <w:rPr>
          <w:sz w:val="22"/>
          <w:szCs w:val="22"/>
        </w:rPr>
        <w:t>out</w:t>
      </w:r>
      <w:proofErr w:type="spellEnd"/>
      <w:r>
        <w:rPr>
          <w:sz w:val="22"/>
          <w:szCs w:val="22"/>
        </w:rPr>
        <w:t xml:space="preserve"> </w:t>
      </w:r>
      <w:proofErr w:type="spellStart"/>
      <w:r>
        <w:rPr>
          <w:sz w:val="22"/>
          <w:szCs w:val="22"/>
        </w:rPr>
        <w:t>for</w:t>
      </w:r>
      <w:proofErr w:type="spellEnd"/>
      <w:r>
        <w:rPr>
          <w:sz w:val="22"/>
          <w:szCs w:val="22"/>
        </w:rPr>
        <w:t xml:space="preserve"> </w:t>
      </w:r>
      <w:proofErr w:type="spellStart"/>
      <w:r>
        <w:rPr>
          <w:sz w:val="22"/>
          <w:szCs w:val="22"/>
        </w:rPr>
        <w:t>any</w:t>
      </w:r>
      <w:proofErr w:type="spellEnd"/>
      <w:r>
        <w:rPr>
          <w:sz w:val="22"/>
          <w:szCs w:val="22"/>
        </w:rPr>
        <w:t xml:space="preserve"> </w:t>
      </w:r>
      <w:proofErr w:type="spellStart"/>
      <w:r>
        <w:rPr>
          <w:sz w:val="22"/>
          <w:szCs w:val="22"/>
        </w:rPr>
        <w:t>reason</w:t>
      </w:r>
      <w:proofErr w:type="spellEnd"/>
      <w:r>
        <w:rPr>
          <w:sz w:val="22"/>
          <w:szCs w:val="22"/>
        </w:rPr>
        <w:t xml:space="preserve">, </w:t>
      </w:r>
      <w:proofErr w:type="spellStart"/>
      <w:r>
        <w:rPr>
          <w:sz w:val="22"/>
          <w:szCs w:val="22"/>
        </w:rPr>
        <w:t>the</w:t>
      </w:r>
      <w:proofErr w:type="spellEnd"/>
      <w:r>
        <w:rPr>
          <w:sz w:val="22"/>
          <w:szCs w:val="22"/>
        </w:rPr>
        <w:t xml:space="preserve"> </w:t>
      </w:r>
      <w:proofErr w:type="spellStart"/>
      <w:r>
        <w:rPr>
          <w:sz w:val="22"/>
          <w:szCs w:val="22"/>
        </w:rPr>
        <w:t>hourly</w:t>
      </w:r>
      <w:proofErr w:type="spellEnd"/>
      <w:r>
        <w:rPr>
          <w:sz w:val="22"/>
          <w:szCs w:val="22"/>
        </w:rPr>
        <w:t xml:space="preserve"> </w:t>
      </w:r>
      <w:proofErr w:type="spellStart"/>
      <w:r>
        <w:rPr>
          <w:sz w:val="22"/>
          <w:szCs w:val="22"/>
        </w:rPr>
        <w:t>consumption</w:t>
      </w:r>
      <w:proofErr w:type="spellEnd"/>
      <w:r>
        <w:rPr>
          <w:sz w:val="22"/>
          <w:szCs w:val="22"/>
        </w:rPr>
        <w:t xml:space="preserve"> data </w:t>
      </w:r>
      <w:proofErr w:type="spellStart"/>
      <w:r>
        <w:rPr>
          <w:sz w:val="22"/>
          <w:szCs w:val="22"/>
        </w:rPr>
        <w:t>must</w:t>
      </w:r>
      <w:proofErr w:type="spellEnd"/>
      <w:r>
        <w:rPr>
          <w:sz w:val="22"/>
          <w:szCs w:val="22"/>
        </w:rPr>
        <w:t xml:space="preserve"> </w:t>
      </w:r>
      <w:proofErr w:type="spellStart"/>
      <w:r>
        <w:rPr>
          <w:sz w:val="22"/>
          <w:szCs w:val="22"/>
        </w:rPr>
        <w:t>not</w:t>
      </w:r>
      <w:proofErr w:type="spellEnd"/>
      <w:r>
        <w:rPr>
          <w:sz w:val="22"/>
          <w:szCs w:val="22"/>
        </w:rPr>
        <w:t xml:space="preserve"> be </w:t>
      </w:r>
      <w:proofErr w:type="spellStart"/>
      <w:r>
        <w:rPr>
          <w:sz w:val="22"/>
          <w:szCs w:val="22"/>
        </w:rPr>
        <w:t>lost</w:t>
      </w:r>
      <w:proofErr w:type="spellEnd"/>
      <w:r>
        <w:rPr>
          <w:sz w:val="22"/>
          <w:szCs w:val="22"/>
        </w:rPr>
        <w:t xml:space="preserve">, </w:t>
      </w:r>
      <w:proofErr w:type="spellStart"/>
      <w:r>
        <w:rPr>
          <w:sz w:val="22"/>
          <w:szCs w:val="22"/>
        </w:rPr>
        <w:t>by</w:t>
      </w:r>
      <w:proofErr w:type="spellEnd"/>
      <w:r>
        <w:rPr>
          <w:sz w:val="22"/>
          <w:szCs w:val="22"/>
        </w:rPr>
        <w:t xml:space="preserve"> </w:t>
      </w:r>
      <w:proofErr w:type="spellStart"/>
      <w:r>
        <w:rPr>
          <w:sz w:val="22"/>
          <w:szCs w:val="22"/>
        </w:rPr>
        <w:t>sending</w:t>
      </w:r>
      <w:proofErr w:type="spellEnd"/>
      <w:r>
        <w:rPr>
          <w:sz w:val="22"/>
          <w:szCs w:val="22"/>
        </w:rPr>
        <w:t xml:space="preserve"> </w:t>
      </w:r>
      <w:proofErr w:type="spellStart"/>
      <w:r>
        <w:rPr>
          <w:sz w:val="22"/>
          <w:szCs w:val="22"/>
        </w:rPr>
        <w:t>it</w:t>
      </w:r>
      <w:proofErr w:type="spellEnd"/>
      <w:r>
        <w:rPr>
          <w:sz w:val="22"/>
          <w:szCs w:val="22"/>
        </w:rPr>
        <w:t xml:space="preserve"> in </w:t>
      </w:r>
      <w:proofErr w:type="spellStart"/>
      <w:r>
        <w:rPr>
          <w:sz w:val="22"/>
          <w:szCs w:val="22"/>
        </w:rPr>
        <w:t>the</w:t>
      </w:r>
      <w:proofErr w:type="spellEnd"/>
      <w:r>
        <w:rPr>
          <w:sz w:val="22"/>
          <w:szCs w:val="22"/>
        </w:rPr>
        <w:t xml:space="preserve"> </w:t>
      </w:r>
      <w:proofErr w:type="spellStart"/>
      <w:r>
        <w:rPr>
          <w:sz w:val="22"/>
          <w:szCs w:val="22"/>
        </w:rPr>
        <w:t>next</w:t>
      </w:r>
      <w:proofErr w:type="spellEnd"/>
      <w:r>
        <w:rPr>
          <w:sz w:val="22"/>
          <w:szCs w:val="22"/>
        </w:rPr>
        <w:t xml:space="preserve"> </w:t>
      </w:r>
      <w:proofErr w:type="spellStart"/>
      <w:r>
        <w:rPr>
          <w:sz w:val="22"/>
          <w:szCs w:val="22"/>
        </w:rPr>
        <w:t>transmission</w:t>
      </w:r>
      <w:proofErr w:type="spellEnd"/>
      <w:r>
        <w:rPr>
          <w:sz w:val="22"/>
          <w:szCs w:val="22"/>
        </w:rPr>
        <w:t>.</w:t>
      </w:r>
    </w:p>
    <w:p w14:paraId="4694C11A" w14:textId="77777777" w:rsidR="00E255F4" w:rsidRDefault="00000000">
      <w:pPr>
        <w:numPr>
          <w:ilvl w:val="1"/>
          <w:numId w:val="33"/>
        </w:numPr>
        <w:jc w:val="both"/>
      </w:pPr>
      <w:r>
        <w:rPr>
          <w:sz w:val="22"/>
          <w:szCs w:val="22"/>
        </w:rPr>
        <w:t xml:space="preserve">The </w:t>
      </w:r>
      <w:proofErr w:type="spellStart"/>
      <w:r>
        <w:rPr>
          <w:sz w:val="22"/>
          <w:szCs w:val="22"/>
        </w:rPr>
        <w:t>maximum</w:t>
      </w:r>
      <w:proofErr w:type="spellEnd"/>
      <w:r>
        <w:rPr>
          <w:sz w:val="22"/>
          <w:szCs w:val="22"/>
        </w:rPr>
        <w:t xml:space="preserve"> time </w:t>
      </w:r>
      <w:proofErr w:type="spellStart"/>
      <w:r>
        <w:rPr>
          <w:sz w:val="22"/>
          <w:szCs w:val="22"/>
        </w:rPr>
        <w:t>allowed</w:t>
      </w:r>
      <w:proofErr w:type="spellEnd"/>
      <w:r>
        <w:rPr>
          <w:sz w:val="22"/>
          <w:szCs w:val="22"/>
        </w:rPr>
        <w:t xml:space="preserve"> </w:t>
      </w:r>
      <w:proofErr w:type="spellStart"/>
      <w:r>
        <w:rPr>
          <w:sz w:val="22"/>
          <w:szCs w:val="22"/>
        </w:rPr>
        <w:t>for</w:t>
      </w:r>
      <w:proofErr w:type="spellEnd"/>
      <w:r>
        <w:rPr>
          <w:sz w:val="22"/>
          <w:szCs w:val="22"/>
        </w:rPr>
        <w:t xml:space="preserve"> </w:t>
      </w:r>
      <w:proofErr w:type="spellStart"/>
      <w:r>
        <w:rPr>
          <w:sz w:val="22"/>
          <w:szCs w:val="22"/>
        </w:rPr>
        <w:t>the</w:t>
      </w:r>
      <w:proofErr w:type="spellEnd"/>
      <w:r>
        <w:rPr>
          <w:sz w:val="22"/>
          <w:szCs w:val="22"/>
        </w:rPr>
        <w:t xml:space="preserve"> </w:t>
      </w:r>
      <w:proofErr w:type="spellStart"/>
      <w:r>
        <w:rPr>
          <w:sz w:val="22"/>
          <w:szCs w:val="22"/>
        </w:rPr>
        <w:t>lack</w:t>
      </w:r>
      <w:proofErr w:type="spellEnd"/>
      <w:r>
        <w:rPr>
          <w:sz w:val="22"/>
          <w:szCs w:val="22"/>
        </w:rPr>
        <w:t xml:space="preserve"> </w:t>
      </w:r>
      <w:proofErr w:type="spellStart"/>
      <w:r>
        <w:rPr>
          <w:sz w:val="22"/>
          <w:szCs w:val="22"/>
        </w:rPr>
        <w:t>of</w:t>
      </w:r>
      <w:proofErr w:type="spellEnd"/>
      <w:r>
        <w:rPr>
          <w:sz w:val="22"/>
          <w:szCs w:val="22"/>
        </w:rPr>
        <w:t xml:space="preserve"> </w:t>
      </w:r>
      <w:proofErr w:type="spellStart"/>
      <w:r>
        <w:rPr>
          <w:sz w:val="22"/>
          <w:szCs w:val="22"/>
        </w:rPr>
        <w:t>daily</w:t>
      </w:r>
      <w:proofErr w:type="spellEnd"/>
      <w:r>
        <w:rPr>
          <w:sz w:val="22"/>
          <w:szCs w:val="22"/>
        </w:rPr>
        <w:t xml:space="preserve"> </w:t>
      </w:r>
      <w:proofErr w:type="spellStart"/>
      <w:r>
        <w:rPr>
          <w:sz w:val="22"/>
          <w:szCs w:val="22"/>
        </w:rPr>
        <w:t>transmission</w:t>
      </w:r>
      <w:proofErr w:type="spellEnd"/>
      <w:r>
        <w:rPr>
          <w:sz w:val="22"/>
          <w:szCs w:val="22"/>
        </w:rPr>
        <w:t xml:space="preserve"> </w:t>
      </w:r>
      <w:proofErr w:type="spellStart"/>
      <w:r>
        <w:rPr>
          <w:sz w:val="22"/>
          <w:szCs w:val="22"/>
        </w:rPr>
        <w:t>of</w:t>
      </w:r>
      <w:proofErr w:type="spellEnd"/>
      <w:r>
        <w:rPr>
          <w:sz w:val="22"/>
          <w:szCs w:val="22"/>
        </w:rPr>
        <w:t xml:space="preserve"> </w:t>
      </w:r>
      <w:proofErr w:type="spellStart"/>
      <w:r>
        <w:rPr>
          <w:sz w:val="22"/>
          <w:szCs w:val="22"/>
        </w:rPr>
        <w:t>hourly</w:t>
      </w:r>
      <w:proofErr w:type="spellEnd"/>
      <w:r>
        <w:rPr>
          <w:sz w:val="22"/>
          <w:szCs w:val="22"/>
        </w:rPr>
        <w:t xml:space="preserve"> </w:t>
      </w:r>
      <w:proofErr w:type="spellStart"/>
      <w:r>
        <w:rPr>
          <w:sz w:val="22"/>
          <w:szCs w:val="22"/>
        </w:rPr>
        <w:t>consumption</w:t>
      </w:r>
      <w:proofErr w:type="spellEnd"/>
      <w:r>
        <w:rPr>
          <w:sz w:val="22"/>
          <w:szCs w:val="22"/>
        </w:rPr>
        <w:t xml:space="preserve"> </w:t>
      </w:r>
      <w:proofErr w:type="spellStart"/>
      <w:r>
        <w:rPr>
          <w:sz w:val="22"/>
          <w:szCs w:val="22"/>
        </w:rPr>
        <w:t>reading</w:t>
      </w:r>
      <w:proofErr w:type="spellEnd"/>
      <w:r>
        <w:rPr>
          <w:sz w:val="22"/>
          <w:szCs w:val="22"/>
        </w:rPr>
        <w:t xml:space="preserve"> data </w:t>
      </w:r>
      <w:proofErr w:type="spellStart"/>
      <w:r>
        <w:rPr>
          <w:sz w:val="22"/>
          <w:szCs w:val="22"/>
        </w:rPr>
        <w:t>for</w:t>
      </w:r>
      <w:proofErr w:type="spellEnd"/>
      <w:r>
        <w:rPr>
          <w:sz w:val="22"/>
          <w:szCs w:val="22"/>
        </w:rPr>
        <w:t xml:space="preserve"> </w:t>
      </w:r>
      <w:proofErr w:type="spellStart"/>
      <w:r>
        <w:rPr>
          <w:sz w:val="22"/>
          <w:szCs w:val="22"/>
        </w:rPr>
        <w:t>each</w:t>
      </w:r>
      <w:proofErr w:type="spellEnd"/>
      <w:r>
        <w:rPr>
          <w:sz w:val="22"/>
          <w:szCs w:val="22"/>
        </w:rPr>
        <w:t xml:space="preserve"> </w:t>
      </w:r>
      <w:proofErr w:type="spellStart"/>
      <w:r>
        <w:rPr>
          <w:sz w:val="22"/>
          <w:szCs w:val="22"/>
        </w:rPr>
        <w:t>Supply</w:t>
      </w:r>
      <w:proofErr w:type="spellEnd"/>
      <w:r>
        <w:rPr>
          <w:sz w:val="22"/>
          <w:szCs w:val="22"/>
        </w:rPr>
        <w:t xml:space="preserve"> </w:t>
      </w:r>
      <w:proofErr w:type="spellStart"/>
      <w:r>
        <w:rPr>
          <w:sz w:val="22"/>
          <w:szCs w:val="22"/>
        </w:rPr>
        <w:t>will</w:t>
      </w:r>
      <w:proofErr w:type="spellEnd"/>
      <w:r>
        <w:rPr>
          <w:sz w:val="22"/>
          <w:szCs w:val="22"/>
        </w:rPr>
        <w:t xml:space="preserve"> be 48 </w:t>
      </w:r>
      <w:proofErr w:type="spellStart"/>
      <w:r>
        <w:rPr>
          <w:sz w:val="22"/>
          <w:szCs w:val="22"/>
        </w:rPr>
        <w:t>hours</w:t>
      </w:r>
      <w:proofErr w:type="spellEnd"/>
      <w:r>
        <w:rPr>
          <w:sz w:val="22"/>
          <w:szCs w:val="22"/>
        </w:rPr>
        <w:t xml:space="preserve">, at </w:t>
      </w:r>
      <w:proofErr w:type="spellStart"/>
      <w:r>
        <w:rPr>
          <w:sz w:val="22"/>
          <w:szCs w:val="22"/>
        </w:rPr>
        <w:t>which</w:t>
      </w:r>
      <w:proofErr w:type="spellEnd"/>
      <w:r>
        <w:rPr>
          <w:sz w:val="22"/>
          <w:szCs w:val="22"/>
        </w:rPr>
        <w:t xml:space="preserve"> </w:t>
      </w:r>
      <w:proofErr w:type="spellStart"/>
      <w:r>
        <w:rPr>
          <w:sz w:val="22"/>
          <w:szCs w:val="22"/>
        </w:rPr>
        <w:t>point</w:t>
      </w:r>
      <w:proofErr w:type="spellEnd"/>
      <w:r>
        <w:rPr>
          <w:sz w:val="22"/>
          <w:szCs w:val="22"/>
        </w:rPr>
        <w:t xml:space="preserve"> OSE </w:t>
      </w:r>
      <w:proofErr w:type="spellStart"/>
      <w:r>
        <w:rPr>
          <w:sz w:val="22"/>
          <w:szCs w:val="22"/>
        </w:rPr>
        <w:t>will</w:t>
      </w:r>
      <w:proofErr w:type="spellEnd"/>
      <w:r>
        <w:rPr>
          <w:sz w:val="22"/>
          <w:szCs w:val="22"/>
        </w:rPr>
        <w:t xml:space="preserve"> </w:t>
      </w:r>
      <w:proofErr w:type="spellStart"/>
      <w:r>
        <w:rPr>
          <w:sz w:val="22"/>
          <w:szCs w:val="22"/>
        </w:rPr>
        <w:t>generate</w:t>
      </w:r>
      <w:proofErr w:type="spellEnd"/>
      <w:r>
        <w:rPr>
          <w:sz w:val="22"/>
          <w:szCs w:val="22"/>
        </w:rPr>
        <w:t xml:space="preserve"> a </w:t>
      </w:r>
      <w:proofErr w:type="spellStart"/>
      <w:r>
        <w:rPr>
          <w:sz w:val="22"/>
          <w:szCs w:val="22"/>
        </w:rPr>
        <w:t>claim</w:t>
      </w:r>
      <w:proofErr w:type="spellEnd"/>
      <w:r>
        <w:rPr>
          <w:sz w:val="22"/>
          <w:szCs w:val="22"/>
        </w:rPr>
        <w:t xml:space="preserve"> </w:t>
      </w:r>
      <w:proofErr w:type="spellStart"/>
      <w:r>
        <w:rPr>
          <w:sz w:val="22"/>
          <w:szCs w:val="22"/>
        </w:rPr>
        <w:t>for</w:t>
      </w:r>
      <w:proofErr w:type="spellEnd"/>
      <w:r>
        <w:rPr>
          <w:sz w:val="22"/>
          <w:szCs w:val="22"/>
        </w:rPr>
        <w:t xml:space="preserve"> </w:t>
      </w:r>
      <w:proofErr w:type="spellStart"/>
      <w:r>
        <w:rPr>
          <w:sz w:val="22"/>
          <w:szCs w:val="22"/>
        </w:rPr>
        <w:t>lack</w:t>
      </w:r>
      <w:proofErr w:type="spellEnd"/>
      <w:r>
        <w:rPr>
          <w:sz w:val="22"/>
          <w:szCs w:val="22"/>
        </w:rPr>
        <w:t xml:space="preserve"> </w:t>
      </w:r>
      <w:proofErr w:type="spellStart"/>
      <w:r>
        <w:rPr>
          <w:sz w:val="22"/>
          <w:szCs w:val="22"/>
        </w:rPr>
        <w:t>of</w:t>
      </w:r>
      <w:proofErr w:type="spellEnd"/>
      <w:r>
        <w:rPr>
          <w:sz w:val="22"/>
          <w:szCs w:val="22"/>
        </w:rPr>
        <w:t xml:space="preserve"> </w:t>
      </w:r>
      <w:proofErr w:type="spellStart"/>
      <w:r>
        <w:rPr>
          <w:sz w:val="22"/>
          <w:szCs w:val="22"/>
        </w:rPr>
        <w:t>service</w:t>
      </w:r>
      <w:proofErr w:type="spellEnd"/>
      <w:r>
        <w:rPr>
          <w:sz w:val="22"/>
          <w:szCs w:val="22"/>
        </w:rPr>
        <w:t>.</w:t>
      </w:r>
    </w:p>
    <w:p w14:paraId="53C0DD42" w14:textId="77777777" w:rsidR="00E255F4" w:rsidRDefault="00000000">
      <w:pPr>
        <w:numPr>
          <w:ilvl w:val="1"/>
          <w:numId w:val="33"/>
        </w:numPr>
        <w:jc w:val="both"/>
        <w:rPr>
          <w:sz w:val="22"/>
          <w:szCs w:val="22"/>
        </w:rPr>
      </w:pPr>
      <w:r>
        <w:rPr>
          <w:sz w:val="22"/>
          <w:szCs w:val="22"/>
        </w:rPr>
        <w:t xml:space="preserve">The response time (and </w:t>
      </w:r>
      <w:proofErr w:type="spellStart"/>
      <w:r>
        <w:rPr>
          <w:sz w:val="22"/>
          <w:szCs w:val="22"/>
        </w:rPr>
        <w:t>resolution</w:t>
      </w:r>
      <w:proofErr w:type="spellEnd"/>
      <w:r>
        <w:rPr>
          <w:sz w:val="22"/>
          <w:szCs w:val="22"/>
        </w:rPr>
        <w:t xml:space="preserve"> time) </w:t>
      </w:r>
      <w:proofErr w:type="spellStart"/>
      <w:r>
        <w:rPr>
          <w:sz w:val="22"/>
          <w:szCs w:val="22"/>
        </w:rPr>
        <w:t>for</w:t>
      </w:r>
      <w:proofErr w:type="spellEnd"/>
      <w:r>
        <w:rPr>
          <w:sz w:val="22"/>
          <w:szCs w:val="22"/>
        </w:rPr>
        <w:t xml:space="preserve"> corrective </w:t>
      </w:r>
      <w:proofErr w:type="spellStart"/>
      <w:r>
        <w:rPr>
          <w:sz w:val="22"/>
          <w:szCs w:val="22"/>
        </w:rPr>
        <w:t>actions</w:t>
      </w:r>
      <w:proofErr w:type="spellEnd"/>
      <w:r>
        <w:rPr>
          <w:sz w:val="22"/>
          <w:szCs w:val="22"/>
        </w:rPr>
        <w:t xml:space="preserve"> in response </w:t>
      </w:r>
      <w:proofErr w:type="spellStart"/>
      <w:r>
        <w:rPr>
          <w:sz w:val="22"/>
          <w:szCs w:val="22"/>
        </w:rPr>
        <w:t>to</w:t>
      </w:r>
      <w:proofErr w:type="spellEnd"/>
      <w:r>
        <w:rPr>
          <w:sz w:val="22"/>
          <w:szCs w:val="22"/>
        </w:rPr>
        <w:t xml:space="preserve"> </w:t>
      </w:r>
      <w:proofErr w:type="spellStart"/>
      <w:r>
        <w:rPr>
          <w:sz w:val="22"/>
          <w:szCs w:val="22"/>
        </w:rPr>
        <w:t>an</w:t>
      </w:r>
      <w:proofErr w:type="spellEnd"/>
      <w:r>
        <w:rPr>
          <w:sz w:val="22"/>
          <w:szCs w:val="22"/>
        </w:rPr>
        <w:t xml:space="preserve"> OSE </w:t>
      </w:r>
      <w:proofErr w:type="spellStart"/>
      <w:r>
        <w:rPr>
          <w:sz w:val="22"/>
          <w:szCs w:val="22"/>
        </w:rPr>
        <w:t>claim</w:t>
      </w:r>
      <w:proofErr w:type="spellEnd"/>
      <w:r>
        <w:rPr>
          <w:sz w:val="22"/>
          <w:szCs w:val="22"/>
        </w:rPr>
        <w:t xml:space="preserve"> </w:t>
      </w:r>
      <w:proofErr w:type="spellStart"/>
      <w:r>
        <w:rPr>
          <w:sz w:val="22"/>
          <w:szCs w:val="22"/>
        </w:rPr>
        <w:t>will</w:t>
      </w:r>
      <w:proofErr w:type="spellEnd"/>
      <w:r>
        <w:rPr>
          <w:sz w:val="22"/>
          <w:szCs w:val="22"/>
        </w:rPr>
        <w:t xml:space="preserve"> be </w:t>
      </w:r>
      <w:proofErr w:type="spellStart"/>
      <w:r>
        <w:rPr>
          <w:sz w:val="22"/>
          <w:szCs w:val="22"/>
        </w:rPr>
        <w:t>less</w:t>
      </w:r>
      <w:proofErr w:type="spellEnd"/>
      <w:r>
        <w:rPr>
          <w:sz w:val="22"/>
          <w:szCs w:val="22"/>
        </w:rPr>
        <w:t xml:space="preserve"> </w:t>
      </w:r>
      <w:proofErr w:type="spellStart"/>
      <w:r>
        <w:rPr>
          <w:sz w:val="22"/>
          <w:szCs w:val="22"/>
        </w:rPr>
        <w:t>than</w:t>
      </w:r>
      <w:proofErr w:type="spellEnd"/>
      <w:r>
        <w:rPr>
          <w:sz w:val="22"/>
          <w:szCs w:val="22"/>
        </w:rPr>
        <w:t xml:space="preserve"> 72 </w:t>
      </w:r>
      <w:proofErr w:type="spellStart"/>
      <w:r>
        <w:rPr>
          <w:sz w:val="22"/>
          <w:szCs w:val="22"/>
        </w:rPr>
        <w:t>hours</w:t>
      </w:r>
      <w:proofErr w:type="spellEnd"/>
      <w:r>
        <w:rPr>
          <w:sz w:val="22"/>
          <w:szCs w:val="22"/>
        </w:rPr>
        <w:t>.</w:t>
      </w:r>
    </w:p>
    <w:p w14:paraId="28F50C83" w14:textId="77777777" w:rsidR="00E255F4" w:rsidRDefault="00000000">
      <w:pPr>
        <w:numPr>
          <w:ilvl w:val="1"/>
          <w:numId w:val="33"/>
        </w:numPr>
        <w:jc w:val="both"/>
        <w:rPr>
          <w:sz w:val="22"/>
          <w:szCs w:val="22"/>
        </w:rPr>
      </w:pPr>
      <w:r>
        <w:rPr>
          <w:color w:val="156082"/>
          <w:sz w:val="22"/>
          <w:szCs w:val="22"/>
        </w:rPr>
        <w:lastRenderedPageBreak/>
        <w:t xml:space="preserve">Given </w:t>
      </w:r>
      <w:proofErr w:type="spellStart"/>
      <w:r>
        <w:rPr>
          <w:color w:val="156082"/>
          <w:sz w:val="22"/>
          <w:szCs w:val="22"/>
        </w:rPr>
        <w:t>the</w:t>
      </w:r>
      <w:proofErr w:type="spellEnd"/>
      <w:r>
        <w:rPr>
          <w:color w:val="156082"/>
          <w:sz w:val="22"/>
          <w:szCs w:val="22"/>
        </w:rPr>
        <w:t xml:space="preserve"> </w:t>
      </w:r>
      <w:proofErr w:type="spellStart"/>
      <w:r>
        <w:rPr>
          <w:color w:val="156082"/>
          <w:sz w:val="22"/>
          <w:szCs w:val="22"/>
        </w:rPr>
        <w:t>scale</w:t>
      </w:r>
      <w:proofErr w:type="spellEnd"/>
      <w:r>
        <w:rPr>
          <w:color w:val="156082"/>
          <w:sz w:val="22"/>
          <w:szCs w:val="22"/>
        </w:rPr>
        <w:t xml:space="preserve">, </w:t>
      </w:r>
      <w:proofErr w:type="spellStart"/>
      <w:r>
        <w:rPr>
          <w:color w:val="156082"/>
          <w:sz w:val="22"/>
          <w:szCs w:val="22"/>
        </w:rPr>
        <w:t>complexity</w:t>
      </w:r>
      <w:proofErr w:type="spellEnd"/>
      <w:r>
        <w:rPr>
          <w:color w:val="156082"/>
          <w:sz w:val="22"/>
          <w:szCs w:val="22"/>
        </w:rPr>
        <w:t xml:space="preserve"> and </w:t>
      </w:r>
      <w:proofErr w:type="spellStart"/>
      <w:r>
        <w:rPr>
          <w:color w:val="156082"/>
          <w:sz w:val="22"/>
          <w:szCs w:val="22"/>
        </w:rPr>
        <w:t>duration</w:t>
      </w:r>
      <w:proofErr w:type="spellEnd"/>
      <w:r>
        <w:rPr>
          <w:color w:val="156082"/>
          <w:sz w:val="22"/>
          <w:szCs w:val="22"/>
        </w:rPr>
        <w:t xml:space="preserve"> </w:t>
      </w:r>
      <w:proofErr w:type="spellStart"/>
      <w:r>
        <w:rPr>
          <w:color w:val="156082"/>
          <w:sz w:val="22"/>
          <w:szCs w:val="22"/>
        </w:rPr>
        <w:t>of</w:t>
      </w:r>
      <w:proofErr w:type="spellEnd"/>
      <w:r>
        <w:rPr>
          <w:color w:val="156082"/>
          <w:sz w:val="22"/>
          <w:szCs w:val="22"/>
        </w:rPr>
        <w:t xml:space="preserve"> </w:t>
      </w:r>
      <w:proofErr w:type="spellStart"/>
      <w:r>
        <w:rPr>
          <w:color w:val="156082"/>
          <w:sz w:val="22"/>
          <w:szCs w:val="22"/>
        </w:rPr>
        <w:t>the</w:t>
      </w:r>
      <w:proofErr w:type="spellEnd"/>
      <w:r>
        <w:rPr>
          <w:color w:val="156082"/>
          <w:sz w:val="22"/>
          <w:szCs w:val="22"/>
        </w:rPr>
        <w:t xml:space="preserve"> </w:t>
      </w:r>
      <w:proofErr w:type="spellStart"/>
      <w:r>
        <w:rPr>
          <w:color w:val="156082"/>
          <w:sz w:val="22"/>
          <w:szCs w:val="22"/>
        </w:rPr>
        <w:t>contract</w:t>
      </w:r>
      <w:proofErr w:type="spellEnd"/>
      <w:r>
        <w:rPr>
          <w:color w:val="156082"/>
          <w:sz w:val="22"/>
          <w:szCs w:val="22"/>
        </w:rPr>
        <w:t xml:space="preserve">, in </w:t>
      </w:r>
      <w:proofErr w:type="spellStart"/>
      <w:r>
        <w:rPr>
          <w:color w:val="156082"/>
          <w:sz w:val="22"/>
          <w:szCs w:val="22"/>
        </w:rPr>
        <w:t>addition</w:t>
      </w:r>
      <w:proofErr w:type="spellEnd"/>
      <w:r>
        <w:rPr>
          <w:color w:val="156082"/>
          <w:sz w:val="22"/>
          <w:szCs w:val="22"/>
        </w:rPr>
        <w:t xml:space="preserve"> </w:t>
      </w:r>
      <w:proofErr w:type="spellStart"/>
      <w:r>
        <w:rPr>
          <w:color w:val="156082"/>
          <w:sz w:val="22"/>
          <w:szCs w:val="22"/>
        </w:rPr>
        <w:t>to</w:t>
      </w:r>
      <w:proofErr w:type="spellEnd"/>
      <w:r>
        <w:rPr>
          <w:color w:val="156082"/>
          <w:sz w:val="22"/>
          <w:szCs w:val="22"/>
        </w:rPr>
        <w:t xml:space="preserve"> </w:t>
      </w:r>
      <w:proofErr w:type="spellStart"/>
      <w:r>
        <w:rPr>
          <w:color w:val="156082"/>
          <w:sz w:val="22"/>
          <w:szCs w:val="22"/>
        </w:rPr>
        <w:t>the</w:t>
      </w:r>
      <w:proofErr w:type="spellEnd"/>
      <w:r>
        <w:rPr>
          <w:color w:val="156082"/>
          <w:sz w:val="22"/>
          <w:szCs w:val="22"/>
        </w:rPr>
        <w:t xml:space="preserve"> </w:t>
      </w:r>
      <w:proofErr w:type="spellStart"/>
      <w:r>
        <w:rPr>
          <w:color w:val="156082"/>
          <w:sz w:val="22"/>
          <w:szCs w:val="22"/>
        </w:rPr>
        <w:t>designation</w:t>
      </w:r>
      <w:proofErr w:type="spellEnd"/>
      <w:r>
        <w:rPr>
          <w:color w:val="156082"/>
          <w:sz w:val="22"/>
          <w:szCs w:val="22"/>
        </w:rPr>
        <w:t xml:space="preserve"> </w:t>
      </w:r>
      <w:proofErr w:type="spellStart"/>
      <w:r>
        <w:rPr>
          <w:color w:val="156082"/>
          <w:sz w:val="22"/>
          <w:szCs w:val="22"/>
        </w:rPr>
        <w:t>of</w:t>
      </w:r>
      <w:proofErr w:type="spellEnd"/>
      <w:r>
        <w:rPr>
          <w:color w:val="156082"/>
          <w:sz w:val="22"/>
          <w:szCs w:val="22"/>
        </w:rPr>
        <w:t xml:space="preserve"> a </w:t>
      </w:r>
      <w:proofErr w:type="spellStart"/>
      <w:r>
        <w:rPr>
          <w:color w:val="156082"/>
          <w:sz w:val="22"/>
          <w:szCs w:val="22"/>
        </w:rPr>
        <w:t>responsible</w:t>
      </w:r>
      <w:proofErr w:type="spellEnd"/>
      <w:r>
        <w:rPr>
          <w:color w:val="156082"/>
          <w:sz w:val="22"/>
          <w:szCs w:val="22"/>
        </w:rPr>
        <w:t xml:space="preserve"> </w:t>
      </w:r>
      <w:proofErr w:type="spellStart"/>
      <w:r>
        <w:rPr>
          <w:color w:val="156082"/>
          <w:sz w:val="22"/>
          <w:szCs w:val="22"/>
        </w:rPr>
        <w:t>person</w:t>
      </w:r>
      <w:proofErr w:type="spellEnd"/>
      <w:r>
        <w:rPr>
          <w:color w:val="156082"/>
          <w:sz w:val="22"/>
          <w:szCs w:val="22"/>
        </w:rPr>
        <w:t xml:space="preserve"> and a </w:t>
      </w:r>
      <w:proofErr w:type="spellStart"/>
      <w:r>
        <w:rPr>
          <w:color w:val="156082"/>
          <w:sz w:val="22"/>
          <w:szCs w:val="22"/>
        </w:rPr>
        <w:t>support</w:t>
      </w:r>
      <w:proofErr w:type="spellEnd"/>
      <w:r>
        <w:rPr>
          <w:color w:val="156082"/>
          <w:sz w:val="22"/>
          <w:szCs w:val="22"/>
        </w:rPr>
        <w:t xml:space="preserve"> email as a </w:t>
      </w:r>
      <w:proofErr w:type="spellStart"/>
      <w:r>
        <w:rPr>
          <w:color w:val="156082"/>
          <w:sz w:val="22"/>
          <w:szCs w:val="22"/>
        </w:rPr>
        <w:t>governance</w:t>
      </w:r>
      <w:proofErr w:type="spellEnd"/>
      <w:r>
        <w:rPr>
          <w:color w:val="156082"/>
          <w:sz w:val="22"/>
          <w:szCs w:val="22"/>
        </w:rPr>
        <w:t xml:space="preserve"> </w:t>
      </w:r>
      <w:proofErr w:type="spellStart"/>
      <w:r>
        <w:rPr>
          <w:color w:val="156082"/>
          <w:sz w:val="22"/>
          <w:szCs w:val="22"/>
        </w:rPr>
        <w:t>model</w:t>
      </w:r>
      <w:proofErr w:type="spellEnd"/>
      <w:r>
        <w:rPr>
          <w:color w:val="156082"/>
          <w:sz w:val="22"/>
          <w:szCs w:val="22"/>
        </w:rPr>
        <w:t xml:space="preserve">; </w:t>
      </w:r>
      <w:proofErr w:type="spellStart"/>
      <w:r>
        <w:rPr>
          <w:color w:val="156082"/>
          <w:sz w:val="22"/>
          <w:szCs w:val="22"/>
        </w:rPr>
        <w:t>the</w:t>
      </w:r>
      <w:proofErr w:type="spellEnd"/>
      <w:r>
        <w:rPr>
          <w:color w:val="156082"/>
          <w:sz w:val="22"/>
          <w:szCs w:val="22"/>
        </w:rPr>
        <w:t xml:space="preserve"> </w:t>
      </w:r>
      <w:proofErr w:type="spellStart"/>
      <w:r>
        <w:rPr>
          <w:color w:val="156082"/>
          <w:sz w:val="22"/>
          <w:szCs w:val="22"/>
        </w:rPr>
        <w:t>successful</w:t>
      </w:r>
      <w:proofErr w:type="spellEnd"/>
      <w:r>
        <w:rPr>
          <w:color w:val="156082"/>
          <w:sz w:val="22"/>
          <w:szCs w:val="22"/>
        </w:rPr>
        <w:t xml:space="preserve"> </w:t>
      </w:r>
      <w:proofErr w:type="spellStart"/>
      <w:r>
        <w:rPr>
          <w:color w:val="156082"/>
          <w:sz w:val="22"/>
          <w:szCs w:val="22"/>
        </w:rPr>
        <w:t>bidder</w:t>
      </w:r>
      <w:proofErr w:type="spellEnd"/>
      <w:r>
        <w:rPr>
          <w:color w:val="156082"/>
          <w:sz w:val="22"/>
          <w:szCs w:val="22"/>
        </w:rPr>
        <w:t xml:space="preserve"> </w:t>
      </w:r>
      <w:proofErr w:type="spellStart"/>
      <w:r>
        <w:rPr>
          <w:color w:val="156082"/>
          <w:sz w:val="22"/>
          <w:szCs w:val="22"/>
        </w:rPr>
        <w:t>must</w:t>
      </w:r>
      <w:proofErr w:type="spellEnd"/>
      <w:r>
        <w:rPr>
          <w:color w:val="156082"/>
          <w:sz w:val="22"/>
          <w:szCs w:val="22"/>
        </w:rPr>
        <w:t xml:space="preserve"> </w:t>
      </w:r>
      <w:proofErr w:type="spellStart"/>
      <w:r>
        <w:rPr>
          <w:color w:val="156082"/>
          <w:sz w:val="22"/>
          <w:szCs w:val="22"/>
        </w:rPr>
        <w:t>integrate</w:t>
      </w:r>
      <w:proofErr w:type="spellEnd"/>
      <w:r>
        <w:rPr>
          <w:color w:val="156082"/>
          <w:sz w:val="22"/>
          <w:szCs w:val="22"/>
        </w:rPr>
        <w:t xml:space="preserve"> </w:t>
      </w:r>
      <w:proofErr w:type="spellStart"/>
      <w:r>
        <w:rPr>
          <w:color w:val="156082"/>
          <w:sz w:val="22"/>
          <w:szCs w:val="22"/>
        </w:rPr>
        <w:t>into</w:t>
      </w:r>
      <w:proofErr w:type="spellEnd"/>
      <w:r>
        <w:rPr>
          <w:color w:val="156082"/>
          <w:sz w:val="22"/>
          <w:szCs w:val="22"/>
        </w:rPr>
        <w:t xml:space="preserve"> a formal contractual </w:t>
      </w:r>
      <w:proofErr w:type="spellStart"/>
      <w:r>
        <w:rPr>
          <w:color w:val="156082"/>
          <w:sz w:val="22"/>
          <w:szCs w:val="22"/>
        </w:rPr>
        <w:t>monitoring</w:t>
      </w:r>
      <w:proofErr w:type="spellEnd"/>
      <w:r>
        <w:rPr>
          <w:color w:val="156082"/>
          <w:sz w:val="22"/>
          <w:szCs w:val="22"/>
        </w:rPr>
        <w:t xml:space="preserve"> </w:t>
      </w:r>
      <w:proofErr w:type="spellStart"/>
      <w:r>
        <w:rPr>
          <w:color w:val="156082"/>
          <w:sz w:val="22"/>
          <w:szCs w:val="22"/>
        </w:rPr>
        <w:t>scheme</w:t>
      </w:r>
      <w:proofErr w:type="spellEnd"/>
      <w:r>
        <w:rPr>
          <w:color w:val="156082"/>
          <w:sz w:val="22"/>
          <w:szCs w:val="22"/>
        </w:rPr>
        <w:t xml:space="preserve"> (</w:t>
      </w:r>
      <w:proofErr w:type="spellStart"/>
      <w:r>
        <w:rPr>
          <w:color w:val="156082"/>
          <w:sz w:val="22"/>
          <w:szCs w:val="22"/>
        </w:rPr>
        <w:t>monthly</w:t>
      </w:r>
      <w:proofErr w:type="spellEnd"/>
      <w:r>
        <w:rPr>
          <w:color w:val="156082"/>
          <w:sz w:val="22"/>
          <w:szCs w:val="22"/>
        </w:rPr>
        <w:t xml:space="preserve"> meeting), </w:t>
      </w:r>
      <w:proofErr w:type="spellStart"/>
      <w:r>
        <w:rPr>
          <w:color w:val="156082"/>
          <w:sz w:val="22"/>
          <w:szCs w:val="22"/>
        </w:rPr>
        <w:t>with</w:t>
      </w:r>
      <w:proofErr w:type="spellEnd"/>
      <w:r>
        <w:rPr>
          <w:color w:val="156082"/>
          <w:sz w:val="22"/>
          <w:szCs w:val="22"/>
        </w:rPr>
        <w:t xml:space="preserve"> </w:t>
      </w:r>
      <w:proofErr w:type="spellStart"/>
      <w:r>
        <w:rPr>
          <w:color w:val="156082"/>
          <w:sz w:val="22"/>
          <w:szCs w:val="22"/>
        </w:rPr>
        <w:t>periodic</w:t>
      </w:r>
      <w:proofErr w:type="spellEnd"/>
      <w:r>
        <w:rPr>
          <w:color w:val="156082"/>
          <w:sz w:val="22"/>
          <w:szCs w:val="22"/>
        </w:rPr>
        <w:t xml:space="preserve"> control </w:t>
      </w:r>
      <w:proofErr w:type="spellStart"/>
      <w:r>
        <w:rPr>
          <w:color w:val="156082"/>
          <w:sz w:val="22"/>
          <w:szCs w:val="22"/>
        </w:rPr>
        <w:t>instances</w:t>
      </w:r>
      <w:proofErr w:type="spellEnd"/>
      <w:r>
        <w:rPr>
          <w:color w:val="156082"/>
          <w:sz w:val="22"/>
          <w:szCs w:val="22"/>
        </w:rPr>
        <w:t xml:space="preserve">, </w:t>
      </w:r>
      <w:proofErr w:type="spellStart"/>
      <w:r>
        <w:rPr>
          <w:color w:val="156082"/>
          <w:sz w:val="22"/>
          <w:szCs w:val="22"/>
        </w:rPr>
        <w:t>standardized</w:t>
      </w:r>
      <w:proofErr w:type="spellEnd"/>
      <w:r>
        <w:rPr>
          <w:color w:val="156082"/>
          <w:sz w:val="22"/>
          <w:szCs w:val="22"/>
        </w:rPr>
        <w:t xml:space="preserve"> </w:t>
      </w:r>
      <w:proofErr w:type="spellStart"/>
      <w:r>
        <w:rPr>
          <w:color w:val="156082"/>
          <w:sz w:val="22"/>
          <w:szCs w:val="22"/>
        </w:rPr>
        <w:t>reports</w:t>
      </w:r>
      <w:proofErr w:type="spellEnd"/>
      <w:r>
        <w:rPr>
          <w:color w:val="156082"/>
          <w:sz w:val="22"/>
          <w:szCs w:val="22"/>
        </w:rPr>
        <w:t xml:space="preserve"> (</w:t>
      </w:r>
      <w:proofErr w:type="spellStart"/>
      <w:r>
        <w:rPr>
          <w:color w:val="156082"/>
          <w:sz w:val="22"/>
          <w:szCs w:val="22"/>
        </w:rPr>
        <w:t>reports</w:t>
      </w:r>
      <w:proofErr w:type="spellEnd"/>
      <w:r>
        <w:rPr>
          <w:color w:val="156082"/>
          <w:sz w:val="22"/>
          <w:szCs w:val="22"/>
        </w:rPr>
        <w:t xml:space="preserve"> </w:t>
      </w:r>
      <w:proofErr w:type="spellStart"/>
      <w:r>
        <w:rPr>
          <w:color w:val="156082"/>
          <w:sz w:val="22"/>
          <w:szCs w:val="22"/>
        </w:rPr>
        <w:t>on</w:t>
      </w:r>
      <w:proofErr w:type="spellEnd"/>
      <w:r>
        <w:rPr>
          <w:color w:val="156082"/>
          <w:sz w:val="22"/>
          <w:szCs w:val="22"/>
        </w:rPr>
        <w:t xml:space="preserve"> </w:t>
      </w:r>
      <w:proofErr w:type="spellStart"/>
      <w:r>
        <w:rPr>
          <w:color w:val="156082"/>
          <w:sz w:val="22"/>
          <w:szCs w:val="22"/>
        </w:rPr>
        <w:t>progress</w:t>
      </w:r>
      <w:proofErr w:type="spellEnd"/>
      <w:r>
        <w:rPr>
          <w:color w:val="156082"/>
          <w:sz w:val="22"/>
          <w:szCs w:val="22"/>
        </w:rPr>
        <w:t xml:space="preserve">, </w:t>
      </w:r>
      <w:proofErr w:type="spellStart"/>
      <w:r>
        <w:rPr>
          <w:color w:val="156082"/>
          <w:sz w:val="22"/>
          <w:szCs w:val="22"/>
        </w:rPr>
        <w:t>incidents</w:t>
      </w:r>
      <w:proofErr w:type="spellEnd"/>
      <w:r>
        <w:rPr>
          <w:color w:val="156082"/>
          <w:sz w:val="22"/>
          <w:szCs w:val="22"/>
        </w:rPr>
        <w:t xml:space="preserve">, corrective </w:t>
      </w:r>
      <w:proofErr w:type="spellStart"/>
      <w:r>
        <w:rPr>
          <w:color w:val="156082"/>
          <w:sz w:val="22"/>
          <w:szCs w:val="22"/>
        </w:rPr>
        <w:t>actions</w:t>
      </w:r>
      <w:proofErr w:type="spellEnd"/>
      <w:r>
        <w:rPr>
          <w:color w:val="156082"/>
          <w:sz w:val="22"/>
          <w:szCs w:val="22"/>
        </w:rPr>
        <w:t xml:space="preserve">, </w:t>
      </w:r>
      <w:proofErr w:type="spellStart"/>
      <w:r>
        <w:rPr>
          <w:color w:val="156082"/>
          <w:sz w:val="22"/>
          <w:szCs w:val="22"/>
        </w:rPr>
        <w:t>maintenance</w:t>
      </w:r>
      <w:proofErr w:type="spellEnd"/>
      <w:r>
        <w:rPr>
          <w:color w:val="156082"/>
          <w:sz w:val="22"/>
          <w:szCs w:val="22"/>
        </w:rPr>
        <w:t xml:space="preserve"> and </w:t>
      </w:r>
      <w:proofErr w:type="spellStart"/>
      <w:r>
        <w:rPr>
          <w:color w:val="156082"/>
          <w:sz w:val="22"/>
          <w:szCs w:val="22"/>
        </w:rPr>
        <w:t>risks</w:t>
      </w:r>
      <w:proofErr w:type="spellEnd"/>
      <w:r>
        <w:rPr>
          <w:color w:val="156082"/>
          <w:sz w:val="22"/>
          <w:szCs w:val="22"/>
        </w:rPr>
        <w:t xml:space="preserve">), </w:t>
      </w:r>
      <w:proofErr w:type="spellStart"/>
      <w:r>
        <w:rPr>
          <w:color w:val="156082"/>
          <w:sz w:val="22"/>
          <w:szCs w:val="22"/>
        </w:rPr>
        <w:t>escalation</w:t>
      </w:r>
      <w:proofErr w:type="spellEnd"/>
      <w:r>
        <w:rPr>
          <w:color w:val="156082"/>
          <w:sz w:val="22"/>
          <w:szCs w:val="22"/>
        </w:rPr>
        <w:t xml:space="preserve"> and performance </w:t>
      </w:r>
      <w:proofErr w:type="spellStart"/>
      <w:r>
        <w:rPr>
          <w:color w:val="156082"/>
          <w:sz w:val="22"/>
          <w:szCs w:val="22"/>
        </w:rPr>
        <w:t>monitoring.</w:t>
      </w:r>
      <w:r>
        <w:rPr>
          <w:sz w:val="22"/>
          <w:szCs w:val="22"/>
        </w:rPr>
        <w:t>The</w:t>
      </w:r>
      <w:proofErr w:type="spellEnd"/>
      <w:r>
        <w:rPr>
          <w:sz w:val="22"/>
          <w:szCs w:val="22"/>
        </w:rPr>
        <w:t xml:space="preserve"> </w:t>
      </w:r>
      <w:proofErr w:type="spellStart"/>
      <w:r>
        <w:rPr>
          <w:sz w:val="22"/>
          <w:szCs w:val="22"/>
        </w:rPr>
        <w:t>successful</w:t>
      </w:r>
      <w:proofErr w:type="spellEnd"/>
      <w:r>
        <w:rPr>
          <w:sz w:val="22"/>
          <w:szCs w:val="22"/>
        </w:rPr>
        <w:t xml:space="preserve"> </w:t>
      </w:r>
      <w:proofErr w:type="spellStart"/>
      <w:r>
        <w:rPr>
          <w:sz w:val="22"/>
          <w:szCs w:val="22"/>
        </w:rPr>
        <w:t>bidder</w:t>
      </w:r>
      <w:proofErr w:type="spellEnd"/>
      <w:r>
        <w:rPr>
          <w:sz w:val="22"/>
          <w:szCs w:val="22"/>
        </w:rPr>
        <w:t xml:space="preserve"> </w:t>
      </w:r>
      <w:proofErr w:type="spellStart"/>
      <w:r>
        <w:rPr>
          <w:sz w:val="22"/>
          <w:szCs w:val="22"/>
        </w:rPr>
        <w:t>must</w:t>
      </w:r>
      <w:proofErr w:type="spellEnd"/>
      <w:r>
        <w:rPr>
          <w:sz w:val="22"/>
          <w:szCs w:val="22"/>
        </w:rPr>
        <w:t xml:space="preserve"> </w:t>
      </w:r>
      <w:proofErr w:type="spellStart"/>
      <w:r>
        <w:rPr>
          <w:sz w:val="22"/>
          <w:szCs w:val="22"/>
        </w:rPr>
        <w:t>propose</w:t>
      </w:r>
      <w:proofErr w:type="spellEnd"/>
      <w:r>
        <w:rPr>
          <w:sz w:val="22"/>
          <w:szCs w:val="22"/>
        </w:rPr>
        <w:t xml:space="preserve"> a </w:t>
      </w:r>
      <w:proofErr w:type="spellStart"/>
      <w:r>
        <w:rPr>
          <w:sz w:val="22"/>
          <w:szCs w:val="22"/>
        </w:rPr>
        <w:t>governance</w:t>
      </w:r>
      <w:proofErr w:type="spellEnd"/>
      <w:r>
        <w:rPr>
          <w:sz w:val="22"/>
          <w:szCs w:val="22"/>
        </w:rPr>
        <w:t xml:space="preserve"> </w:t>
      </w:r>
      <w:proofErr w:type="spellStart"/>
      <w:r>
        <w:rPr>
          <w:sz w:val="22"/>
          <w:szCs w:val="22"/>
        </w:rPr>
        <w:t>model</w:t>
      </w:r>
      <w:proofErr w:type="spellEnd"/>
      <w:r>
        <w:rPr>
          <w:sz w:val="22"/>
          <w:szCs w:val="22"/>
        </w:rPr>
        <w:t xml:space="preserve"> </w:t>
      </w:r>
      <w:proofErr w:type="spellStart"/>
      <w:r>
        <w:rPr>
          <w:sz w:val="22"/>
          <w:szCs w:val="22"/>
        </w:rPr>
        <w:t>that</w:t>
      </w:r>
      <w:proofErr w:type="spellEnd"/>
      <w:r>
        <w:rPr>
          <w:sz w:val="22"/>
          <w:szCs w:val="22"/>
        </w:rPr>
        <w:t xml:space="preserve"> </w:t>
      </w:r>
      <w:proofErr w:type="spellStart"/>
      <w:r>
        <w:rPr>
          <w:sz w:val="22"/>
          <w:szCs w:val="22"/>
        </w:rPr>
        <w:t>addresses</w:t>
      </w:r>
      <w:proofErr w:type="spellEnd"/>
      <w:r>
        <w:rPr>
          <w:sz w:val="22"/>
          <w:szCs w:val="22"/>
        </w:rPr>
        <w:t xml:space="preserve"> </w:t>
      </w:r>
      <w:proofErr w:type="spellStart"/>
      <w:r>
        <w:rPr>
          <w:sz w:val="22"/>
          <w:szCs w:val="22"/>
        </w:rPr>
        <w:t>all</w:t>
      </w:r>
      <w:proofErr w:type="spellEnd"/>
      <w:r>
        <w:rPr>
          <w:sz w:val="22"/>
          <w:szCs w:val="22"/>
        </w:rPr>
        <w:t xml:space="preserve"> </w:t>
      </w:r>
      <w:proofErr w:type="spellStart"/>
      <w:r>
        <w:rPr>
          <w:sz w:val="22"/>
          <w:szCs w:val="22"/>
        </w:rPr>
        <w:t>these</w:t>
      </w:r>
      <w:proofErr w:type="spellEnd"/>
      <w:r>
        <w:rPr>
          <w:sz w:val="22"/>
          <w:szCs w:val="22"/>
        </w:rPr>
        <w:t xml:space="preserve"> </w:t>
      </w:r>
      <w:proofErr w:type="spellStart"/>
      <w:r>
        <w:rPr>
          <w:sz w:val="22"/>
          <w:szCs w:val="22"/>
        </w:rPr>
        <w:t>aspects</w:t>
      </w:r>
      <w:proofErr w:type="spellEnd"/>
      <w:r>
        <w:rPr>
          <w:sz w:val="22"/>
          <w:szCs w:val="22"/>
        </w:rPr>
        <w:t>.</w:t>
      </w:r>
    </w:p>
    <w:p w14:paraId="5BEDC7C4" w14:textId="77777777" w:rsidR="00E255F4" w:rsidRDefault="00000000">
      <w:pPr>
        <w:numPr>
          <w:ilvl w:val="1"/>
          <w:numId w:val="33"/>
        </w:numPr>
        <w:spacing w:after="120"/>
        <w:jc w:val="both"/>
      </w:pPr>
      <w:bookmarkStart w:id="100" w:name="_lwlsj5rgufi8"/>
      <w:bookmarkEnd w:id="100"/>
      <w:proofErr w:type="spellStart"/>
      <w:r>
        <w:rPr>
          <w:sz w:val="22"/>
          <w:szCs w:val="22"/>
        </w:rPr>
        <w:t>Should</w:t>
      </w:r>
      <w:proofErr w:type="spellEnd"/>
      <w:r>
        <w:rPr>
          <w:sz w:val="22"/>
          <w:szCs w:val="22"/>
        </w:rPr>
        <w:t xml:space="preserve"> </w:t>
      </w:r>
      <w:proofErr w:type="spellStart"/>
      <w:r>
        <w:rPr>
          <w:sz w:val="22"/>
          <w:szCs w:val="22"/>
        </w:rPr>
        <w:t>the</w:t>
      </w:r>
      <w:proofErr w:type="spellEnd"/>
      <w:r>
        <w:rPr>
          <w:sz w:val="22"/>
          <w:szCs w:val="22"/>
        </w:rPr>
        <w:t xml:space="preserve"> </w:t>
      </w:r>
      <w:proofErr w:type="spellStart"/>
      <w:r>
        <w:rPr>
          <w:sz w:val="22"/>
          <w:szCs w:val="22"/>
        </w:rPr>
        <w:t>smart</w:t>
      </w:r>
      <w:proofErr w:type="spellEnd"/>
      <w:r>
        <w:rPr>
          <w:sz w:val="22"/>
          <w:szCs w:val="22"/>
        </w:rPr>
        <w:t xml:space="preserve"> meter </w:t>
      </w:r>
      <w:proofErr w:type="spellStart"/>
      <w:r>
        <w:rPr>
          <w:sz w:val="22"/>
          <w:szCs w:val="22"/>
        </w:rPr>
        <w:t>cease</w:t>
      </w:r>
      <w:proofErr w:type="spellEnd"/>
      <w:r>
        <w:rPr>
          <w:sz w:val="22"/>
          <w:szCs w:val="22"/>
        </w:rPr>
        <w:t xml:space="preserve"> </w:t>
      </w:r>
      <w:proofErr w:type="spellStart"/>
      <w:r>
        <w:rPr>
          <w:sz w:val="22"/>
          <w:szCs w:val="22"/>
        </w:rPr>
        <w:t>transmitting</w:t>
      </w:r>
      <w:proofErr w:type="spellEnd"/>
      <w:r>
        <w:rPr>
          <w:sz w:val="22"/>
          <w:szCs w:val="22"/>
        </w:rPr>
        <w:t xml:space="preserve"> </w:t>
      </w:r>
      <w:proofErr w:type="spellStart"/>
      <w:r>
        <w:rPr>
          <w:sz w:val="22"/>
          <w:szCs w:val="22"/>
        </w:rPr>
        <w:t>during</w:t>
      </w:r>
      <w:proofErr w:type="spellEnd"/>
      <w:r>
        <w:rPr>
          <w:sz w:val="22"/>
          <w:szCs w:val="22"/>
        </w:rPr>
        <w:t xml:space="preserve"> </w:t>
      </w:r>
      <w:proofErr w:type="spellStart"/>
      <w:r>
        <w:rPr>
          <w:sz w:val="22"/>
          <w:szCs w:val="22"/>
        </w:rPr>
        <w:t>the</w:t>
      </w:r>
      <w:proofErr w:type="spellEnd"/>
      <w:r>
        <w:rPr>
          <w:sz w:val="22"/>
          <w:szCs w:val="22"/>
        </w:rPr>
        <w:t xml:space="preserve"> </w:t>
      </w:r>
      <w:proofErr w:type="spellStart"/>
      <w:r>
        <w:rPr>
          <w:sz w:val="22"/>
          <w:szCs w:val="22"/>
        </w:rPr>
        <w:t>contract</w:t>
      </w:r>
      <w:proofErr w:type="spellEnd"/>
      <w:r>
        <w:rPr>
          <w:sz w:val="22"/>
          <w:szCs w:val="22"/>
        </w:rPr>
        <w:t xml:space="preserve"> </w:t>
      </w:r>
      <w:proofErr w:type="spellStart"/>
      <w:r>
        <w:rPr>
          <w:sz w:val="22"/>
          <w:szCs w:val="22"/>
        </w:rPr>
        <w:t>period</w:t>
      </w:r>
      <w:proofErr w:type="spellEnd"/>
      <w:r>
        <w:rPr>
          <w:sz w:val="22"/>
          <w:szCs w:val="22"/>
        </w:rPr>
        <w:t xml:space="preserve"> </w:t>
      </w:r>
      <w:proofErr w:type="spellStart"/>
      <w:r>
        <w:rPr>
          <w:sz w:val="22"/>
          <w:szCs w:val="22"/>
        </w:rPr>
        <w:t>due</w:t>
      </w:r>
      <w:proofErr w:type="spellEnd"/>
      <w:r>
        <w:rPr>
          <w:sz w:val="22"/>
          <w:szCs w:val="22"/>
        </w:rPr>
        <w:t xml:space="preserve"> </w:t>
      </w:r>
      <w:proofErr w:type="spellStart"/>
      <w:r>
        <w:rPr>
          <w:sz w:val="22"/>
          <w:szCs w:val="22"/>
        </w:rPr>
        <w:t>to</w:t>
      </w:r>
      <w:proofErr w:type="spellEnd"/>
      <w:r>
        <w:rPr>
          <w:sz w:val="22"/>
          <w:szCs w:val="22"/>
        </w:rPr>
        <w:t xml:space="preserve"> </w:t>
      </w:r>
      <w:proofErr w:type="spellStart"/>
      <w:r>
        <w:rPr>
          <w:sz w:val="22"/>
          <w:szCs w:val="22"/>
        </w:rPr>
        <w:t>battery</w:t>
      </w:r>
      <w:proofErr w:type="spellEnd"/>
      <w:r>
        <w:rPr>
          <w:sz w:val="22"/>
          <w:szCs w:val="22"/>
        </w:rPr>
        <w:t xml:space="preserve"> </w:t>
      </w:r>
      <w:proofErr w:type="gramStart"/>
      <w:r>
        <w:rPr>
          <w:sz w:val="22"/>
          <w:szCs w:val="22"/>
        </w:rPr>
        <w:t>status</w:t>
      </w:r>
      <w:proofErr w:type="gramEnd"/>
      <w:r>
        <w:rPr>
          <w:sz w:val="22"/>
          <w:szCs w:val="22"/>
        </w:rPr>
        <w:t xml:space="preserve">, </w:t>
      </w:r>
      <w:proofErr w:type="spellStart"/>
      <w:r>
        <w:rPr>
          <w:sz w:val="22"/>
          <w:szCs w:val="22"/>
        </w:rPr>
        <w:t>it</w:t>
      </w:r>
      <w:proofErr w:type="spellEnd"/>
      <w:r>
        <w:rPr>
          <w:sz w:val="22"/>
          <w:szCs w:val="22"/>
        </w:rPr>
        <w:t xml:space="preserve"> </w:t>
      </w:r>
      <w:proofErr w:type="spellStart"/>
      <w:r>
        <w:rPr>
          <w:sz w:val="22"/>
          <w:szCs w:val="22"/>
        </w:rPr>
        <w:t>must</w:t>
      </w:r>
      <w:proofErr w:type="spellEnd"/>
      <w:r>
        <w:rPr>
          <w:sz w:val="22"/>
          <w:szCs w:val="22"/>
        </w:rPr>
        <w:t xml:space="preserve"> be </w:t>
      </w:r>
      <w:proofErr w:type="spellStart"/>
      <w:r>
        <w:rPr>
          <w:sz w:val="22"/>
          <w:szCs w:val="22"/>
        </w:rPr>
        <w:t>replaced</w:t>
      </w:r>
      <w:proofErr w:type="spellEnd"/>
      <w:r>
        <w:rPr>
          <w:sz w:val="22"/>
          <w:szCs w:val="22"/>
        </w:rPr>
        <w:t xml:space="preserve"> </w:t>
      </w:r>
      <w:proofErr w:type="spellStart"/>
      <w:r>
        <w:rPr>
          <w:sz w:val="22"/>
          <w:szCs w:val="22"/>
        </w:rPr>
        <w:t>with</w:t>
      </w:r>
      <w:proofErr w:type="spellEnd"/>
      <w:r>
        <w:rPr>
          <w:sz w:val="22"/>
          <w:szCs w:val="22"/>
        </w:rPr>
        <w:t xml:space="preserve"> a new </w:t>
      </w:r>
      <w:proofErr w:type="spellStart"/>
      <w:r>
        <w:rPr>
          <w:sz w:val="22"/>
          <w:szCs w:val="22"/>
        </w:rPr>
        <w:t>one</w:t>
      </w:r>
      <w:proofErr w:type="spellEnd"/>
      <w:r>
        <w:rPr>
          <w:sz w:val="22"/>
          <w:szCs w:val="22"/>
        </w:rPr>
        <w:t xml:space="preserve"> </w:t>
      </w:r>
      <w:proofErr w:type="spellStart"/>
      <w:r>
        <w:rPr>
          <w:sz w:val="22"/>
          <w:szCs w:val="22"/>
        </w:rPr>
        <w:t>under</w:t>
      </w:r>
      <w:proofErr w:type="spellEnd"/>
      <w:r>
        <w:rPr>
          <w:sz w:val="22"/>
          <w:szCs w:val="22"/>
        </w:rPr>
        <w:t xml:space="preserve"> </w:t>
      </w:r>
      <w:proofErr w:type="spellStart"/>
      <w:r>
        <w:rPr>
          <w:sz w:val="22"/>
          <w:szCs w:val="22"/>
        </w:rPr>
        <w:t>warranty</w:t>
      </w:r>
      <w:proofErr w:type="spellEnd"/>
      <w:r>
        <w:rPr>
          <w:sz w:val="22"/>
          <w:szCs w:val="22"/>
        </w:rPr>
        <w:t xml:space="preserve"> at no </w:t>
      </w:r>
      <w:proofErr w:type="spellStart"/>
      <w:r>
        <w:rPr>
          <w:sz w:val="22"/>
          <w:szCs w:val="22"/>
        </w:rPr>
        <w:t>cost</w:t>
      </w:r>
      <w:proofErr w:type="spellEnd"/>
      <w:r>
        <w:rPr>
          <w:sz w:val="22"/>
          <w:szCs w:val="22"/>
        </w:rPr>
        <w:t xml:space="preserve"> </w:t>
      </w:r>
      <w:proofErr w:type="spellStart"/>
      <w:r>
        <w:rPr>
          <w:sz w:val="22"/>
          <w:szCs w:val="22"/>
        </w:rPr>
        <w:t>to</w:t>
      </w:r>
      <w:proofErr w:type="spellEnd"/>
      <w:r>
        <w:rPr>
          <w:sz w:val="22"/>
          <w:szCs w:val="22"/>
        </w:rPr>
        <w:t xml:space="preserve"> OSE. </w:t>
      </w:r>
      <w:proofErr w:type="spellStart"/>
      <w:r>
        <w:rPr>
          <w:sz w:val="22"/>
          <w:szCs w:val="22"/>
        </w:rPr>
        <w:t>Battery</w:t>
      </w:r>
      <w:proofErr w:type="spellEnd"/>
      <w:r>
        <w:rPr>
          <w:sz w:val="22"/>
          <w:szCs w:val="22"/>
        </w:rPr>
        <w:t xml:space="preserve"> </w:t>
      </w:r>
      <w:proofErr w:type="spellStart"/>
      <w:r>
        <w:rPr>
          <w:sz w:val="22"/>
          <w:szCs w:val="22"/>
        </w:rPr>
        <w:t>replacement</w:t>
      </w:r>
      <w:proofErr w:type="spellEnd"/>
      <w:r>
        <w:rPr>
          <w:sz w:val="22"/>
          <w:szCs w:val="22"/>
        </w:rPr>
        <w:t xml:space="preserve"> </w:t>
      </w:r>
      <w:proofErr w:type="spellStart"/>
      <w:r>
        <w:rPr>
          <w:sz w:val="22"/>
          <w:szCs w:val="22"/>
        </w:rPr>
        <w:t>will</w:t>
      </w:r>
      <w:proofErr w:type="spellEnd"/>
      <w:r>
        <w:rPr>
          <w:sz w:val="22"/>
          <w:szCs w:val="22"/>
        </w:rPr>
        <w:t xml:space="preserve"> be </w:t>
      </w:r>
      <w:proofErr w:type="spellStart"/>
      <w:r>
        <w:rPr>
          <w:sz w:val="22"/>
          <w:szCs w:val="22"/>
        </w:rPr>
        <w:t>permitted</w:t>
      </w:r>
      <w:proofErr w:type="spellEnd"/>
      <w:r>
        <w:rPr>
          <w:sz w:val="22"/>
          <w:szCs w:val="22"/>
        </w:rPr>
        <w:t xml:space="preserve"> </w:t>
      </w:r>
      <w:proofErr w:type="spellStart"/>
      <w:r>
        <w:rPr>
          <w:sz w:val="22"/>
          <w:szCs w:val="22"/>
        </w:rPr>
        <w:t>provided</w:t>
      </w:r>
      <w:proofErr w:type="spellEnd"/>
      <w:r>
        <w:rPr>
          <w:sz w:val="22"/>
          <w:szCs w:val="22"/>
        </w:rPr>
        <w:t xml:space="preserve"> </w:t>
      </w:r>
      <w:proofErr w:type="spellStart"/>
      <w:r>
        <w:rPr>
          <w:sz w:val="22"/>
          <w:szCs w:val="22"/>
        </w:rPr>
        <w:t>the</w:t>
      </w:r>
      <w:proofErr w:type="spellEnd"/>
      <w:r>
        <w:rPr>
          <w:sz w:val="22"/>
          <w:szCs w:val="22"/>
        </w:rPr>
        <w:t xml:space="preserve"> </w:t>
      </w:r>
      <w:proofErr w:type="spellStart"/>
      <w:r>
        <w:rPr>
          <w:sz w:val="22"/>
          <w:szCs w:val="22"/>
        </w:rPr>
        <w:t>operating</w:t>
      </w:r>
      <w:proofErr w:type="spellEnd"/>
      <w:r>
        <w:rPr>
          <w:sz w:val="22"/>
          <w:szCs w:val="22"/>
        </w:rPr>
        <w:t xml:space="preserve"> </w:t>
      </w:r>
      <w:proofErr w:type="spellStart"/>
      <w:r>
        <w:rPr>
          <w:sz w:val="22"/>
          <w:szCs w:val="22"/>
        </w:rPr>
        <w:t>conditions</w:t>
      </w:r>
      <w:proofErr w:type="spellEnd"/>
      <w:r>
        <w:rPr>
          <w:sz w:val="22"/>
          <w:szCs w:val="22"/>
        </w:rPr>
        <w:t xml:space="preserve"> and </w:t>
      </w:r>
      <w:proofErr w:type="spellStart"/>
      <w:r>
        <w:rPr>
          <w:sz w:val="22"/>
          <w:szCs w:val="22"/>
        </w:rPr>
        <w:t>characteristics</w:t>
      </w:r>
      <w:proofErr w:type="spellEnd"/>
      <w:r>
        <w:rPr>
          <w:sz w:val="22"/>
          <w:szCs w:val="22"/>
        </w:rPr>
        <w:t xml:space="preserve"> </w:t>
      </w:r>
      <w:proofErr w:type="spellStart"/>
      <w:r>
        <w:rPr>
          <w:sz w:val="22"/>
          <w:szCs w:val="22"/>
        </w:rPr>
        <w:t>established</w:t>
      </w:r>
      <w:proofErr w:type="spellEnd"/>
      <w:r>
        <w:rPr>
          <w:sz w:val="22"/>
          <w:szCs w:val="22"/>
        </w:rPr>
        <w:t xml:space="preserve"> in </w:t>
      </w:r>
      <w:proofErr w:type="spellStart"/>
      <w:r>
        <w:rPr>
          <w:sz w:val="22"/>
          <w:szCs w:val="22"/>
        </w:rPr>
        <w:t>this</w:t>
      </w:r>
      <w:proofErr w:type="spellEnd"/>
      <w:r>
        <w:rPr>
          <w:sz w:val="22"/>
          <w:szCs w:val="22"/>
        </w:rPr>
        <w:t xml:space="preserve"> </w:t>
      </w:r>
      <w:proofErr w:type="spellStart"/>
      <w:r>
        <w:rPr>
          <w:sz w:val="22"/>
          <w:szCs w:val="22"/>
        </w:rPr>
        <w:t>document</w:t>
      </w:r>
      <w:proofErr w:type="spellEnd"/>
      <w:r>
        <w:rPr>
          <w:sz w:val="22"/>
          <w:szCs w:val="22"/>
        </w:rPr>
        <w:t xml:space="preserve"> </w:t>
      </w:r>
      <w:proofErr w:type="spellStart"/>
      <w:r>
        <w:rPr>
          <w:sz w:val="22"/>
          <w:szCs w:val="22"/>
        </w:rPr>
        <w:t>for</w:t>
      </w:r>
      <w:proofErr w:type="spellEnd"/>
      <w:r>
        <w:rPr>
          <w:sz w:val="22"/>
          <w:szCs w:val="22"/>
        </w:rPr>
        <w:t xml:space="preserve"> </w:t>
      </w:r>
      <w:proofErr w:type="spellStart"/>
      <w:r>
        <w:rPr>
          <w:sz w:val="22"/>
          <w:szCs w:val="22"/>
        </w:rPr>
        <w:t>the</w:t>
      </w:r>
      <w:proofErr w:type="spellEnd"/>
      <w:r>
        <w:rPr>
          <w:sz w:val="22"/>
          <w:szCs w:val="22"/>
        </w:rPr>
        <w:t xml:space="preserve"> </w:t>
      </w:r>
      <w:proofErr w:type="spellStart"/>
      <w:r>
        <w:rPr>
          <w:sz w:val="22"/>
          <w:szCs w:val="22"/>
        </w:rPr>
        <w:t>smart</w:t>
      </w:r>
      <w:proofErr w:type="spellEnd"/>
      <w:r>
        <w:rPr>
          <w:sz w:val="22"/>
          <w:szCs w:val="22"/>
        </w:rPr>
        <w:t xml:space="preserve"> </w:t>
      </w:r>
      <w:proofErr w:type="spellStart"/>
      <w:r>
        <w:rPr>
          <w:sz w:val="22"/>
          <w:szCs w:val="22"/>
        </w:rPr>
        <w:t>metering</w:t>
      </w:r>
      <w:proofErr w:type="spellEnd"/>
      <w:r>
        <w:rPr>
          <w:sz w:val="22"/>
          <w:szCs w:val="22"/>
        </w:rPr>
        <w:t xml:space="preserve"> </w:t>
      </w:r>
      <w:proofErr w:type="spellStart"/>
      <w:r>
        <w:rPr>
          <w:sz w:val="22"/>
          <w:szCs w:val="22"/>
        </w:rPr>
        <w:t>device</w:t>
      </w:r>
      <w:proofErr w:type="spellEnd"/>
      <w:r>
        <w:rPr>
          <w:sz w:val="22"/>
          <w:szCs w:val="22"/>
        </w:rPr>
        <w:t xml:space="preserve"> are </w:t>
      </w:r>
      <w:proofErr w:type="spellStart"/>
      <w:r>
        <w:rPr>
          <w:sz w:val="22"/>
          <w:szCs w:val="22"/>
        </w:rPr>
        <w:t>guaranteed</w:t>
      </w:r>
      <w:proofErr w:type="spellEnd"/>
      <w:r>
        <w:rPr>
          <w:sz w:val="22"/>
          <w:szCs w:val="22"/>
        </w:rPr>
        <w:t xml:space="preserve">. </w:t>
      </w:r>
      <w:proofErr w:type="spellStart"/>
      <w:r>
        <w:rPr>
          <w:sz w:val="22"/>
          <w:szCs w:val="22"/>
        </w:rPr>
        <w:t>All</w:t>
      </w:r>
      <w:proofErr w:type="spellEnd"/>
      <w:r>
        <w:rPr>
          <w:sz w:val="22"/>
          <w:szCs w:val="22"/>
        </w:rPr>
        <w:t xml:space="preserve"> </w:t>
      </w:r>
      <w:proofErr w:type="spellStart"/>
      <w:r>
        <w:rPr>
          <w:sz w:val="22"/>
          <w:szCs w:val="22"/>
        </w:rPr>
        <w:t>costs</w:t>
      </w:r>
      <w:proofErr w:type="spellEnd"/>
      <w:r>
        <w:rPr>
          <w:sz w:val="22"/>
          <w:szCs w:val="22"/>
        </w:rPr>
        <w:t xml:space="preserve"> are </w:t>
      </w:r>
      <w:proofErr w:type="spellStart"/>
      <w:r>
        <w:rPr>
          <w:sz w:val="22"/>
          <w:szCs w:val="22"/>
        </w:rPr>
        <w:t>included</w:t>
      </w:r>
      <w:proofErr w:type="spellEnd"/>
      <w:r>
        <w:rPr>
          <w:sz w:val="22"/>
          <w:szCs w:val="22"/>
        </w:rPr>
        <w:t xml:space="preserve"> in </w:t>
      </w:r>
      <w:proofErr w:type="spellStart"/>
      <w:r>
        <w:rPr>
          <w:sz w:val="22"/>
          <w:szCs w:val="22"/>
        </w:rPr>
        <w:t>the</w:t>
      </w:r>
      <w:proofErr w:type="spellEnd"/>
      <w:r>
        <w:rPr>
          <w:sz w:val="22"/>
          <w:szCs w:val="22"/>
        </w:rPr>
        <w:t xml:space="preserve"> </w:t>
      </w:r>
      <w:proofErr w:type="spellStart"/>
      <w:r>
        <w:rPr>
          <w:sz w:val="22"/>
          <w:szCs w:val="22"/>
        </w:rPr>
        <w:t>quoted</w:t>
      </w:r>
      <w:proofErr w:type="spellEnd"/>
      <w:r>
        <w:rPr>
          <w:sz w:val="22"/>
          <w:szCs w:val="22"/>
        </w:rPr>
        <w:t xml:space="preserve"> </w:t>
      </w:r>
      <w:proofErr w:type="spellStart"/>
      <w:r>
        <w:rPr>
          <w:sz w:val="22"/>
          <w:szCs w:val="22"/>
        </w:rPr>
        <w:t>service</w:t>
      </w:r>
      <w:proofErr w:type="spellEnd"/>
      <w:r>
        <w:rPr>
          <w:sz w:val="22"/>
          <w:szCs w:val="22"/>
        </w:rPr>
        <w:t xml:space="preserve"> </w:t>
      </w:r>
      <w:proofErr w:type="spellStart"/>
      <w:r>
        <w:rPr>
          <w:sz w:val="22"/>
          <w:szCs w:val="22"/>
        </w:rPr>
        <w:t>price</w:t>
      </w:r>
      <w:proofErr w:type="spellEnd"/>
      <w:r>
        <w:rPr>
          <w:sz w:val="22"/>
          <w:szCs w:val="22"/>
        </w:rPr>
        <w:t>.</w:t>
      </w:r>
    </w:p>
    <w:p w14:paraId="4C15A3A9" w14:textId="77777777" w:rsidR="00E255F4" w:rsidRDefault="00E255F4">
      <w:pPr>
        <w:pStyle w:val="Prrafodelista"/>
        <w:spacing w:after="120"/>
        <w:ind w:left="709"/>
        <w:jc w:val="both"/>
        <w:rPr>
          <w:sz w:val="22"/>
          <w:szCs w:val="22"/>
          <w:u w:val="single"/>
          <w:lang w:val="es-ES"/>
        </w:rPr>
      </w:pPr>
    </w:p>
    <w:p w14:paraId="75347517" w14:textId="77777777" w:rsidR="00E255F4" w:rsidRDefault="00000000">
      <w:pPr>
        <w:pStyle w:val="Ttulo2"/>
        <w:spacing w:after="240"/>
        <w:ind w:left="993" w:hanging="993"/>
        <w:rPr>
          <w:rFonts w:ascii="Times New Roman" w:hAnsi="Times New Roman" w:cs="Times New Roman"/>
          <w:i w:val="0"/>
          <w:sz w:val="24"/>
          <w:szCs w:val="24"/>
        </w:rPr>
      </w:pPr>
      <w:bookmarkStart w:id="101" w:name="__RefHeading___Toc139_3847131730"/>
      <w:bookmarkStart w:id="102" w:name="__RefHeading___Toc225377266"/>
      <w:bookmarkEnd w:id="101"/>
      <w:r>
        <w:rPr>
          <w:rFonts w:ascii="Times New Roman" w:hAnsi="Times New Roman" w:cs="Times New Roman"/>
          <w:i w:val="0"/>
          <w:sz w:val="24"/>
          <w:szCs w:val="24"/>
        </w:rPr>
        <w:t>TECHNICAL CHARACTERISTICS OF THE TELEMETRY DEVICE</w:t>
      </w:r>
      <w:bookmarkEnd w:id="102"/>
    </w:p>
    <w:p w14:paraId="787CE65E" w14:textId="77777777" w:rsidR="00E255F4" w:rsidRDefault="00000000">
      <w:pPr>
        <w:numPr>
          <w:ilvl w:val="1"/>
          <w:numId w:val="68"/>
        </w:numPr>
        <w:spacing w:after="120"/>
        <w:ind w:left="993" w:hanging="993"/>
        <w:rPr>
          <w:b/>
          <w:sz w:val="22"/>
          <w:szCs w:val="22"/>
          <w:lang w:val="es-ES"/>
        </w:rPr>
      </w:pPr>
      <w:r>
        <w:rPr>
          <w:b/>
          <w:sz w:val="22"/>
          <w:szCs w:val="22"/>
          <w:lang w:val="es-ES"/>
        </w:rPr>
        <w:t xml:space="preserve">General </w:t>
      </w:r>
      <w:proofErr w:type="spellStart"/>
      <w:r>
        <w:rPr>
          <w:b/>
          <w:sz w:val="22"/>
          <w:szCs w:val="22"/>
          <w:lang w:val="es-ES"/>
        </w:rPr>
        <w:t>characteristics</w:t>
      </w:r>
      <w:proofErr w:type="spellEnd"/>
    </w:p>
    <w:p w14:paraId="6A9E9D74" w14:textId="77777777" w:rsidR="00E255F4" w:rsidRDefault="00000000">
      <w:pPr>
        <w:pStyle w:val="Prrafodelista"/>
        <w:numPr>
          <w:ilvl w:val="2"/>
          <w:numId w:val="68"/>
        </w:numPr>
        <w:tabs>
          <w:tab w:val="left" w:pos="851"/>
        </w:tabs>
        <w:spacing w:after="120"/>
        <w:ind w:left="851" w:hanging="851"/>
        <w:jc w:val="both"/>
        <w:rPr>
          <w:sz w:val="22"/>
          <w:szCs w:val="22"/>
          <w:lang w:val="es-ES"/>
        </w:rPr>
      </w:pPr>
      <w:r>
        <w:rPr>
          <w:sz w:val="22"/>
          <w:szCs w:val="22"/>
          <w:lang w:val="es-ES"/>
        </w:rPr>
        <w:t xml:space="preserve">The </w:t>
      </w:r>
      <w:proofErr w:type="spellStart"/>
      <w:r>
        <w:rPr>
          <w:sz w:val="22"/>
          <w:szCs w:val="22"/>
          <w:lang w:val="es-ES"/>
        </w:rPr>
        <w:t>telemetry</w:t>
      </w:r>
      <w:proofErr w:type="spellEnd"/>
      <w:r>
        <w:rPr>
          <w:sz w:val="22"/>
          <w:szCs w:val="22"/>
          <w:lang w:val="es-ES"/>
        </w:rPr>
        <w:t xml:space="preserve"> </w:t>
      </w:r>
      <w:proofErr w:type="spellStart"/>
      <w:r>
        <w:rPr>
          <w:sz w:val="22"/>
          <w:szCs w:val="22"/>
          <w:lang w:val="es-ES"/>
        </w:rPr>
        <w:t>devices</w:t>
      </w:r>
      <w:proofErr w:type="spellEnd"/>
      <w:r>
        <w:rPr>
          <w:sz w:val="22"/>
          <w:szCs w:val="22"/>
          <w:lang w:val="es-ES"/>
        </w:rPr>
        <w:t xml:space="preserve"> </w:t>
      </w:r>
      <w:proofErr w:type="spellStart"/>
      <w:r>
        <w:rPr>
          <w:sz w:val="22"/>
          <w:szCs w:val="22"/>
          <w:lang w:val="es-ES"/>
        </w:rPr>
        <w:t>that</w:t>
      </w:r>
      <w:proofErr w:type="spellEnd"/>
      <w:r>
        <w:rPr>
          <w:sz w:val="22"/>
          <w:szCs w:val="22"/>
          <w:lang w:val="es-ES"/>
        </w:rPr>
        <w:t xml:space="preserve"> </w:t>
      </w:r>
      <w:proofErr w:type="spellStart"/>
      <w:r>
        <w:rPr>
          <w:sz w:val="22"/>
          <w:szCs w:val="22"/>
          <w:lang w:val="es-ES"/>
        </w:rPr>
        <w:t>will</w:t>
      </w:r>
      <w:proofErr w:type="spellEnd"/>
      <w:r>
        <w:rPr>
          <w:sz w:val="22"/>
          <w:szCs w:val="22"/>
          <w:lang w:val="es-ES"/>
        </w:rPr>
        <w:t xml:space="preserve"> be in </w:t>
      </w:r>
      <w:proofErr w:type="spellStart"/>
      <w:r>
        <w:rPr>
          <w:sz w:val="22"/>
          <w:szCs w:val="22"/>
          <w:lang w:val="es-ES"/>
        </w:rPr>
        <w:t>charge</w:t>
      </w:r>
      <w:proofErr w:type="spellEnd"/>
      <w:r>
        <w:rPr>
          <w:sz w:val="22"/>
          <w:szCs w:val="22"/>
          <w:lang w:val="es-ES"/>
        </w:rPr>
        <w:t xml:space="preserve"> </w:t>
      </w:r>
      <w:proofErr w:type="spellStart"/>
      <w:r>
        <w:rPr>
          <w:sz w:val="22"/>
          <w:szCs w:val="22"/>
          <w:lang w:val="es-ES"/>
        </w:rPr>
        <w:t>of</w:t>
      </w:r>
      <w:proofErr w:type="spellEnd"/>
      <w:r>
        <w:rPr>
          <w:sz w:val="22"/>
          <w:szCs w:val="22"/>
          <w:lang w:val="es-ES"/>
        </w:rPr>
        <w:t xml:space="preserve"> remote </w:t>
      </w:r>
      <w:proofErr w:type="spellStart"/>
      <w:r>
        <w:rPr>
          <w:sz w:val="22"/>
          <w:szCs w:val="22"/>
          <w:lang w:val="es-ES"/>
        </w:rPr>
        <w:t>measurement</w:t>
      </w:r>
      <w:proofErr w:type="spellEnd"/>
      <w:r>
        <w:rPr>
          <w:sz w:val="22"/>
          <w:szCs w:val="22"/>
          <w:lang w:val="es-ES"/>
        </w:rPr>
        <w:t xml:space="preserve"> and </w:t>
      </w:r>
      <w:proofErr w:type="spellStart"/>
      <w:r>
        <w:rPr>
          <w:sz w:val="22"/>
          <w:szCs w:val="22"/>
          <w:lang w:val="es-ES"/>
        </w:rPr>
        <w:t>telecommunication</w:t>
      </w:r>
      <w:proofErr w:type="spellEnd"/>
      <w:r>
        <w:rPr>
          <w:sz w:val="22"/>
          <w:szCs w:val="22"/>
          <w:lang w:val="es-ES"/>
        </w:rPr>
        <w:t xml:space="preserve"> </w:t>
      </w:r>
      <w:proofErr w:type="spellStart"/>
      <w:r>
        <w:rPr>
          <w:sz w:val="22"/>
          <w:szCs w:val="22"/>
          <w:lang w:val="es-ES"/>
        </w:rPr>
        <w:t>of</w:t>
      </w:r>
      <w:proofErr w:type="spellEnd"/>
      <w:r>
        <w:rPr>
          <w:sz w:val="22"/>
          <w:szCs w:val="22"/>
          <w:lang w:val="es-ES"/>
        </w:rPr>
        <w:t xml:space="preserve"> </w:t>
      </w:r>
      <w:proofErr w:type="spellStart"/>
      <w:r>
        <w:rPr>
          <w:sz w:val="22"/>
          <w:szCs w:val="22"/>
          <w:lang w:val="es-ES"/>
        </w:rPr>
        <w:t>information</w:t>
      </w:r>
      <w:proofErr w:type="spellEnd"/>
      <w:r>
        <w:rPr>
          <w:sz w:val="22"/>
          <w:szCs w:val="22"/>
          <w:lang w:val="es-ES"/>
        </w:rPr>
        <w:t xml:space="preserve"> </w:t>
      </w:r>
      <w:proofErr w:type="spellStart"/>
      <w:r>
        <w:rPr>
          <w:sz w:val="22"/>
          <w:szCs w:val="22"/>
          <w:lang w:val="es-ES"/>
        </w:rPr>
        <w:t>will</w:t>
      </w:r>
      <w:proofErr w:type="spellEnd"/>
      <w:r>
        <w:rPr>
          <w:sz w:val="22"/>
          <w:szCs w:val="22"/>
          <w:lang w:val="es-ES"/>
        </w:rPr>
        <w:t xml:space="preserve"> </w:t>
      </w:r>
      <w:proofErr w:type="spellStart"/>
      <w:r>
        <w:rPr>
          <w:sz w:val="22"/>
          <w:szCs w:val="22"/>
          <w:lang w:val="es-ES"/>
        </w:rPr>
        <w:t>generate</w:t>
      </w:r>
      <w:proofErr w:type="spellEnd"/>
      <w:r>
        <w:rPr>
          <w:sz w:val="22"/>
          <w:szCs w:val="22"/>
          <w:lang w:val="es-ES"/>
        </w:rPr>
        <w:t xml:space="preserve"> inductive pulses (</w:t>
      </w:r>
      <w:proofErr w:type="spellStart"/>
      <w:r>
        <w:rPr>
          <w:sz w:val="22"/>
          <w:szCs w:val="22"/>
          <w:lang w:val="es-ES"/>
        </w:rPr>
        <w:t>according</w:t>
      </w:r>
      <w:proofErr w:type="spellEnd"/>
      <w:r>
        <w:rPr>
          <w:sz w:val="22"/>
          <w:szCs w:val="22"/>
          <w:lang w:val="es-ES"/>
        </w:rPr>
        <w:t xml:space="preserve"> </w:t>
      </w:r>
      <w:proofErr w:type="spellStart"/>
      <w:r>
        <w:rPr>
          <w:sz w:val="22"/>
          <w:szCs w:val="22"/>
          <w:lang w:val="es-ES"/>
        </w:rPr>
        <w:t>to</w:t>
      </w:r>
      <w:proofErr w:type="spellEnd"/>
      <w:r>
        <w:rPr>
          <w:sz w:val="22"/>
          <w:szCs w:val="22"/>
          <w:lang w:val="es-ES"/>
        </w:rPr>
        <w:t xml:space="preserve"> </w:t>
      </w:r>
      <w:proofErr w:type="spellStart"/>
      <w:r>
        <w:rPr>
          <w:sz w:val="22"/>
          <w:szCs w:val="22"/>
          <w:lang w:val="es-ES"/>
        </w:rPr>
        <w:t>the</w:t>
      </w:r>
      <w:proofErr w:type="spellEnd"/>
      <w:r>
        <w:rPr>
          <w:sz w:val="22"/>
          <w:szCs w:val="22"/>
          <w:lang w:val="es-ES"/>
        </w:rPr>
        <w:t xml:space="preserve"> </w:t>
      </w:r>
      <w:proofErr w:type="spellStart"/>
      <w:r>
        <w:rPr>
          <w:sz w:val="22"/>
          <w:szCs w:val="22"/>
          <w:lang w:val="es-ES"/>
        </w:rPr>
        <w:t>technology</w:t>
      </w:r>
      <w:proofErr w:type="spellEnd"/>
      <w:r>
        <w:rPr>
          <w:sz w:val="22"/>
          <w:szCs w:val="22"/>
          <w:lang w:val="es-ES"/>
        </w:rPr>
        <w:t xml:space="preserve"> </w:t>
      </w:r>
      <w:proofErr w:type="spellStart"/>
      <w:r>
        <w:rPr>
          <w:sz w:val="22"/>
          <w:szCs w:val="22"/>
          <w:lang w:val="es-ES"/>
        </w:rPr>
        <w:t>available</w:t>
      </w:r>
      <w:proofErr w:type="spellEnd"/>
      <w:r>
        <w:rPr>
          <w:sz w:val="22"/>
          <w:szCs w:val="22"/>
          <w:lang w:val="es-ES"/>
        </w:rPr>
        <w:t xml:space="preserve"> in </w:t>
      </w:r>
      <w:proofErr w:type="spellStart"/>
      <w:r>
        <w:rPr>
          <w:sz w:val="22"/>
          <w:szCs w:val="22"/>
          <w:lang w:val="es-ES"/>
        </w:rPr>
        <w:t>the</w:t>
      </w:r>
      <w:proofErr w:type="spellEnd"/>
      <w:r>
        <w:rPr>
          <w:sz w:val="22"/>
          <w:szCs w:val="22"/>
          <w:lang w:val="es-ES"/>
        </w:rPr>
        <w:t xml:space="preserve"> meter), </w:t>
      </w:r>
      <w:proofErr w:type="spellStart"/>
      <w:r>
        <w:rPr>
          <w:sz w:val="22"/>
          <w:szCs w:val="22"/>
          <w:lang w:val="es-ES"/>
        </w:rPr>
        <w:t>process</w:t>
      </w:r>
      <w:proofErr w:type="spellEnd"/>
      <w:r>
        <w:rPr>
          <w:sz w:val="22"/>
          <w:szCs w:val="22"/>
          <w:lang w:val="es-ES"/>
        </w:rPr>
        <w:t xml:space="preserve"> </w:t>
      </w:r>
      <w:proofErr w:type="spellStart"/>
      <w:r>
        <w:rPr>
          <w:sz w:val="22"/>
          <w:szCs w:val="22"/>
          <w:lang w:val="es-ES"/>
        </w:rPr>
        <w:t>them</w:t>
      </w:r>
      <w:proofErr w:type="spellEnd"/>
      <w:r>
        <w:rPr>
          <w:sz w:val="22"/>
          <w:szCs w:val="22"/>
          <w:lang w:val="es-ES"/>
        </w:rPr>
        <w:t xml:space="preserve"> (</w:t>
      </w:r>
      <w:proofErr w:type="spellStart"/>
      <w:r>
        <w:rPr>
          <w:sz w:val="22"/>
          <w:szCs w:val="22"/>
          <w:lang w:val="es-ES"/>
        </w:rPr>
        <w:t>readings</w:t>
      </w:r>
      <w:proofErr w:type="spellEnd"/>
      <w:r>
        <w:rPr>
          <w:sz w:val="22"/>
          <w:szCs w:val="22"/>
          <w:lang w:val="es-ES"/>
        </w:rPr>
        <w:t xml:space="preserve">, </w:t>
      </w:r>
      <w:proofErr w:type="spellStart"/>
      <w:r>
        <w:rPr>
          <w:sz w:val="22"/>
          <w:szCs w:val="22"/>
          <w:lang w:val="es-ES"/>
        </w:rPr>
        <w:t>alarms</w:t>
      </w:r>
      <w:proofErr w:type="spellEnd"/>
      <w:r>
        <w:rPr>
          <w:sz w:val="22"/>
          <w:szCs w:val="22"/>
          <w:lang w:val="es-ES"/>
        </w:rPr>
        <w:t xml:space="preserve">, etc.), store </w:t>
      </w:r>
      <w:proofErr w:type="spellStart"/>
      <w:r>
        <w:rPr>
          <w:sz w:val="22"/>
          <w:szCs w:val="22"/>
          <w:lang w:val="es-ES"/>
        </w:rPr>
        <w:t>them</w:t>
      </w:r>
      <w:proofErr w:type="spellEnd"/>
      <w:r>
        <w:rPr>
          <w:sz w:val="22"/>
          <w:szCs w:val="22"/>
          <w:lang w:val="es-ES"/>
        </w:rPr>
        <w:t xml:space="preserve"> </w:t>
      </w:r>
      <w:proofErr w:type="spellStart"/>
      <w:r>
        <w:rPr>
          <w:sz w:val="22"/>
          <w:szCs w:val="22"/>
          <w:lang w:val="es-ES"/>
        </w:rPr>
        <w:t>for</w:t>
      </w:r>
      <w:proofErr w:type="spellEnd"/>
      <w:r>
        <w:rPr>
          <w:sz w:val="22"/>
          <w:szCs w:val="22"/>
          <w:lang w:val="es-ES"/>
        </w:rPr>
        <w:t xml:space="preserve"> </w:t>
      </w:r>
      <w:proofErr w:type="spellStart"/>
      <w:r>
        <w:rPr>
          <w:sz w:val="22"/>
          <w:szCs w:val="22"/>
          <w:lang w:val="es-ES"/>
        </w:rPr>
        <w:t>the</w:t>
      </w:r>
      <w:proofErr w:type="spellEnd"/>
      <w:r>
        <w:rPr>
          <w:sz w:val="22"/>
          <w:szCs w:val="22"/>
          <w:lang w:val="es-ES"/>
        </w:rPr>
        <w:t xml:space="preserve"> </w:t>
      </w:r>
      <w:proofErr w:type="spellStart"/>
      <w:r>
        <w:rPr>
          <w:sz w:val="22"/>
          <w:szCs w:val="22"/>
          <w:lang w:val="es-ES"/>
        </w:rPr>
        <w:t>required</w:t>
      </w:r>
      <w:proofErr w:type="spellEnd"/>
      <w:r>
        <w:rPr>
          <w:sz w:val="22"/>
          <w:szCs w:val="22"/>
          <w:lang w:val="es-ES"/>
        </w:rPr>
        <w:t xml:space="preserve"> time </w:t>
      </w:r>
      <w:proofErr w:type="spellStart"/>
      <w:r>
        <w:rPr>
          <w:sz w:val="22"/>
          <w:szCs w:val="22"/>
          <w:lang w:val="es-ES"/>
        </w:rPr>
        <w:t>until</w:t>
      </w:r>
      <w:proofErr w:type="spellEnd"/>
      <w:r>
        <w:rPr>
          <w:sz w:val="22"/>
          <w:szCs w:val="22"/>
          <w:lang w:val="es-ES"/>
        </w:rPr>
        <w:t xml:space="preserve"> a </w:t>
      </w:r>
      <w:proofErr w:type="spellStart"/>
      <w:r>
        <w:rPr>
          <w:sz w:val="22"/>
          <w:szCs w:val="22"/>
          <w:lang w:val="es-ES"/>
        </w:rPr>
        <w:t>confirmed</w:t>
      </w:r>
      <w:proofErr w:type="spellEnd"/>
      <w:r>
        <w:rPr>
          <w:sz w:val="22"/>
          <w:szCs w:val="22"/>
          <w:lang w:val="es-ES"/>
        </w:rPr>
        <w:t xml:space="preserve"> </w:t>
      </w:r>
      <w:proofErr w:type="spellStart"/>
      <w:r>
        <w:rPr>
          <w:sz w:val="22"/>
          <w:szCs w:val="22"/>
          <w:lang w:val="es-ES"/>
        </w:rPr>
        <w:t>transmission</w:t>
      </w:r>
      <w:proofErr w:type="spellEnd"/>
      <w:r>
        <w:rPr>
          <w:sz w:val="22"/>
          <w:szCs w:val="22"/>
          <w:lang w:val="es-ES"/>
        </w:rPr>
        <w:t xml:space="preserve"> and </w:t>
      </w:r>
      <w:proofErr w:type="spellStart"/>
      <w:r>
        <w:rPr>
          <w:sz w:val="22"/>
          <w:szCs w:val="22"/>
          <w:lang w:val="es-ES"/>
        </w:rPr>
        <w:t>transmit</w:t>
      </w:r>
      <w:proofErr w:type="spellEnd"/>
      <w:r>
        <w:rPr>
          <w:sz w:val="22"/>
          <w:szCs w:val="22"/>
          <w:lang w:val="es-ES"/>
        </w:rPr>
        <w:t xml:space="preserve"> </w:t>
      </w:r>
      <w:proofErr w:type="spellStart"/>
      <w:r>
        <w:rPr>
          <w:sz w:val="22"/>
          <w:szCs w:val="22"/>
          <w:lang w:val="es-ES"/>
        </w:rPr>
        <w:t>them</w:t>
      </w:r>
      <w:proofErr w:type="spellEnd"/>
      <w:r>
        <w:rPr>
          <w:sz w:val="22"/>
          <w:szCs w:val="22"/>
          <w:lang w:val="es-ES"/>
        </w:rPr>
        <w:t xml:space="preserve"> </w:t>
      </w:r>
      <w:proofErr w:type="spellStart"/>
      <w:r>
        <w:rPr>
          <w:sz w:val="22"/>
          <w:szCs w:val="22"/>
          <w:lang w:val="es-ES"/>
        </w:rPr>
        <w:t>wirelessly</w:t>
      </w:r>
      <w:proofErr w:type="spellEnd"/>
      <w:r>
        <w:rPr>
          <w:sz w:val="22"/>
          <w:szCs w:val="22"/>
          <w:lang w:val="es-ES"/>
        </w:rPr>
        <w:t xml:space="preserve"> </w:t>
      </w:r>
      <w:proofErr w:type="spellStart"/>
      <w:r>
        <w:rPr>
          <w:sz w:val="22"/>
          <w:szCs w:val="22"/>
          <w:lang w:val="es-ES"/>
        </w:rPr>
        <w:t>through</w:t>
      </w:r>
      <w:proofErr w:type="spellEnd"/>
      <w:r>
        <w:rPr>
          <w:sz w:val="22"/>
          <w:szCs w:val="22"/>
          <w:lang w:val="es-ES"/>
        </w:rPr>
        <w:t xml:space="preserve"> </w:t>
      </w:r>
      <w:proofErr w:type="spellStart"/>
      <w:r>
        <w:rPr>
          <w:sz w:val="22"/>
          <w:szCs w:val="22"/>
          <w:lang w:val="es-ES"/>
        </w:rPr>
        <w:t>the</w:t>
      </w:r>
      <w:proofErr w:type="spellEnd"/>
      <w:r>
        <w:rPr>
          <w:sz w:val="22"/>
          <w:szCs w:val="22"/>
          <w:lang w:val="es-ES"/>
        </w:rPr>
        <w:t xml:space="preserve"> </w:t>
      </w:r>
      <w:proofErr w:type="spellStart"/>
      <w:r>
        <w:rPr>
          <w:sz w:val="22"/>
          <w:szCs w:val="22"/>
          <w:lang w:val="es-ES"/>
        </w:rPr>
        <w:t>technology</w:t>
      </w:r>
      <w:proofErr w:type="spellEnd"/>
      <w:r>
        <w:rPr>
          <w:sz w:val="22"/>
          <w:szCs w:val="22"/>
          <w:lang w:val="es-ES"/>
        </w:rPr>
        <w:t xml:space="preserve"> </w:t>
      </w:r>
      <w:proofErr w:type="spellStart"/>
      <w:r>
        <w:rPr>
          <w:sz w:val="22"/>
          <w:szCs w:val="22"/>
          <w:lang w:val="es-ES"/>
        </w:rPr>
        <w:t>offered</w:t>
      </w:r>
      <w:proofErr w:type="spellEnd"/>
      <w:r>
        <w:rPr>
          <w:sz w:val="22"/>
          <w:szCs w:val="22"/>
          <w:lang w:val="es-ES"/>
        </w:rPr>
        <w:t>.</w:t>
      </w:r>
    </w:p>
    <w:p w14:paraId="620B6E57" w14:textId="77777777" w:rsidR="00E255F4" w:rsidRDefault="00000000">
      <w:pPr>
        <w:pStyle w:val="Prrafodelista"/>
        <w:numPr>
          <w:ilvl w:val="2"/>
          <w:numId w:val="68"/>
        </w:numPr>
        <w:tabs>
          <w:tab w:val="left" w:pos="851"/>
        </w:tabs>
        <w:spacing w:after="120"/>
        <w:ind w:left="851" w:hanging="851"/>
        <w:jc w:val="both"/>
      </w:pPr>
      <w:r>
        <w:rPr>
          <w:sz w:val="22"/>
          <w:szCs w:val="22"/>
          <w:lang w:val="es-ES"/>
        </w:rPr>
        <w:t xml:space="preserve">The </w:t>
      </w:r>
      <w:proofErr w:type="spellStart"/>
      <w:r>
        <w:rPr>
          <w:sz w:val="22"/>
          <w:szCs w:val="22"/>
          <w:lang w:val="es-ES"/>
        </w:rPr>
        <w:t>telemetry</w:t>
      </w:r>
      <w:proofErr w:type="spellEnd"/>
      <w:r>
        <w:rPr>
          <w:sz w:val="22"/>
          <w:szCs w:val="22"/>
          <w:lang w:val="es-ES"/>
        </w:rPr>
        <w:t xml:space="preserve"> </w:t>
      </w:r>
      <w:proofErr w:type="spellStart"/>
      <w:r>
        <w:rPr>
          <w:sz w:val="22"/>
          <w:szCs w:val="22"/>
          <w:lang w:val="es-ES"/>
        </w:rPr>
        <w:t>devices</w:t>
      </w:r>
      <w:proofErr w:type="spellEnd"/>
      <w:r>
        <w:rPr>
          <w:sz w:val="22"/>
          <w:szCs w:val="22"/>
          <w:lang w:val="es-ES"/>
        </w:rPr>
        <w:t xml:space="preserve"> </w:t>
      </w:r>
      <w:proofErr w:type="spellStart"/>
      <w:r>
        <w:rPr>
          <w:sz w:val="22"/>
          <w:szCs w:val="22"/>
          <w:lang w:val="es-ES"/>
        </w:rPr>
        <w:t>implemented</w:t>
      </w:r>
      <w:proofErr w:type="spellEnd"/>
      <w:r>
        <w:rPr>
          <w:sz w:val="22"/>
          <w:szCs w:val="22"/>
          <w:lang w:val="es-ES"/>
        </w:rPr>
        <w:t xml:space="preserve"> in </w:t>
      </w:r>
      <w:proofErr w:type="spellStart"/>
      <w:r>
        <w:rPr>
          <w:sz w:val="22"/>
          <w:szCs w:val="22"/>
          <w:lang w:val="es-ES"/>
        </w:rPr>
        <w:t>each</w:t>
      </w:r>
      <w:proofErr w:type="spellEnd"/>
      <w:r>
        <w:rPr>
          <w:sz w:val="22"/>
          <w:szCs w:val="22"/>
          <w:lang w:val="es-ES"/>
        </w:rPr>
        <w:t xml:space="preserve"> </w:t>
      </w:r>
      <w:proofErr w:type="spellStart"/>
      <w:r>
        <w:rPr>
          <w:sz w:val="22"/>
          <w:szCs w:val="22"/>
          <w:lang w:val="es-ES"/>
        </w:rPr>
        <w:t>drinking</w:t>
      </w:r>
      <w:proofErr w:type="spellEnd"/>
      <w:r>
        <w:rPr>
          <w:sz w:val="22"/>
          <w:szCs w:val="22"/>
          <w:lang w:val="es-ES"/>
        </w:rPr>
        <w:t xml:space="preserve"> </w:t>
      </w:r>
      <w:proofErr w:type="spellStart"/>
      <w:r>
        <w:rPr>
          <w:sz w:val="22"/>
          <w:szCs w:val="22"/>
          <w:lang w:val="es-ES"/>
        </w:rPr>
        <w:t>water</w:t>
      </w:r>
      <w:proofErr w:type="spellEnd"/>
      <w:r>
        <w:rPr>
          <w:sz w:val="22"/>
          <w:szCs w:val="22"/>
          <w:lang w:val="es-ES"/>
        </w:rPr>
        <w:t xml:space="preserve"> meter </w:t>
      </w:r>
      <w:proofErr w:type="spellStart"/>
      <w:r>
        <w:rPr>
          <w:sz w:val="22"/>
          <w:szCs w:val="22"/>
          <w:lang w:val="es-ES"/>
        </w:rPr>
        <w:t>will</w:t>
      </w:r>
      <w:proofErr w:type="spellEnd"/>
      <w:r>
        <w:rPr>
          <w:sz w:val="22"/>
          <w:szCs w:val="22"/>
          <w:lang w:val="es-ES"/>
        </w:rPr>
        <w:t xml:space="preserve"> </w:t>
      </w:r>
      <w:proofErr w:type="spellStart"/>
      <w:r>
        <w:rPr>
          <w:sz w:val="22"/>
          <w:szCs w:val="22"/>
          <w:lang w:val="es-ES"/>
        </w:rPr>
        <w:t>transmit</w:t>
      </w:r>
      <w:proofErr w:type="spellEnd"/>
      <w:r>
        <w:rPr>
          <w:sz w:val="22"/>
          <w:szCs w:val="22"/>
          <w:lang w:val="es-ES"/>
        </w:rPr>
        <w:t xml:space="preserve"> </w:t>
      </w:r>
      <w:proofErr w:type="spellStart"/>
      <w:r>
        <w:rPr>
          <w:sz w:val="22"/>
          <w:szCs w:val="22"/>
          <w:lang w:val="es-ES"/>
        </w:rPr>
        <w:t>the</w:t>
      </w:r>
      <w:proofErr w:type="spellEnd"/>
      <w:r>
        <w:rPr>
          <w:sz w:val="22"/>
          <w:szCs w:val="22"/>
          <w:lang w:val="es-ES"/>
        </w:rPr>
        <w:t xml:space="preserve"> </w:t>
      </w:r>
      <w:proofErr w:type="spellStart"/>
      <w:r>
        <w:rPr>
          <w:sz w:val="22"/>
          <w:szCs w:val="22"/>
          <w:lang w:val="es-ES"/>
        </w:rPr>
        <w:t>information</w:t>
      </w:r>
      <w:proofErr w:type="spellEnd"/>
      <w:r>
        <w:rPr>
          <w:sz w:val="22"/>
          <w:szCs w:val="22"/>
          <w:lang w:val="es-ES"/>
        </w:rPr>
        <w:t xml:space="preserve"> </w:t>
      </w:r>
      <w:proofErr w:type="spellStart"/>
      <w:r>
        <w:rPr>
          <w:sz w:val="22"/>
          <w:szCs w:val="22"/>
          <w:lang w:val="es-ES"/>
        </w:rPr>
        <w:t>wirelessly</w:t>
      </w:r>
      <w:proofErr w:type="spellEnd"/>
      <w:r>
        <w:rPr>
          <w:sz w:val="22"/>
          <w:szCs w:val="22"/>
          <w:lang w:val="es-ES"/>
        </w:rPr>
        <w:t>.</w:t>
      </w:r>
    </w:p>
    <w:p w14:paraId="6B94DB77" w14:textId="77777777" w:rsidR="00E255F4" w:rsidRDefault="00000000">
      <w:pPr>
        <w:pStyle w:val="Prrafodelista"/>
        <w:numPr>
          <w:ilvl w:val="2"/>
          <w:numId w:val="68"/>
        </w:numPr>
        <w:tabs>
          <w:tab w:val="left" w:pos="851"/>
        </w:tabs>
        <w:spacing w:after="120"/>
        <w:ind w:left="851" w:hanging="851"/>
        <w:jc w:val="both"/>
        <w:rPr>
          <w:sz w:val="22"/>
          <w:szCs w:val="22"/>
          <w:lang w:val="es-ES"/>
        </w:rPr>
      </w:pPr>
      <w:r>
        <w:rPr>
          <w:sz w:val="22"/>
          <w:szCs w:val="22"/>
          <w:lang w:val="es-ES"/>
        </w:rPr>
        <w:t xml:space="preserve">The data </w:t>
      </w:r>
      <w:proofErr w:type="spellStart"/>
      <w:r>
        <w:rPr>
          <w:sz w:val="22"/>
          <w:szCs w:val="22"/>
          <w:lang w:val="es-ES"/>
        </w:rPr>
        <w:t>will</w:t>
      </w:r>
      <w:proofErr w:type="spellEnd"/>
      <w:r>
        <w:rPr>
          <w:sz w:val="22"/>
          <w:szCs w:val="22"/>
          <w:lang w:val="es-ES"/>
        </w:rPr>
        <w:t xml:space="preserve"> be </w:t>
      </w:r>
      <w:proofErr w:type="spellStart"/>
      <w:r>
        <w:rPr>
          <w:sz w:val="22"/>
          <w:szCs w:val="22"/>
          <w:lang w:val="es-ES"/>
        </w:rPr>
        <w:t>transmitted</w:t>
      </w:r>
      <w:proofErr w:type="spellEnd"/>
      <w:r>
        <w:rPr>
          <w:sz w:val="22"/>
          <w:szCs w:val="22"/>
          <w:lang w:val="es-ES"/>
        </w:rPr>
        <w:t xml:space="preserve"> </w:t>
      </w:r>
      <w:proofErr w:type="spellStart"/>
      <w:r>
        <w:rPr>
          <w:sz w:val="22"/>
          <w:szCs w:val="22"/>
          <w:lang w:val="es-ES"/>
        </w:rPr>
        <w:t>through</w:t>
      </w:r>
      <w:proofErr w:type="spellEnd"/>
      <w:r>
        <w:rPr>
          <w:sz w:val="22"/>
          <w:szCs w:val="22"/>
          <w:lang w:val="es-ES"/>
        </w:rPr>
        <w:t xml:space="preserve"> </w:t>
      </w:r>
      <w:proofErr w:type="spellStart"/>
      <w:r>
        <w:rPr>
          <w:sz w:val="22"/>
          <w:szCs w:val="22"/>
          <w:lang w:val="es-ES"/>
        </w:rPr>
        <w:t>Antel's</w:t>
      </w:r>
      <w:proofErr w:type="spellEnd"/>
      <w:r>
        <w:rPr>
          <w:sz w:val="22"/>
          <w:szCs w:val="22"/>
          <w:lang w:val="es-ES"/>
        </w:rPr>
        <w:t xml:space="preserve"> </w:t>
      </w:r>
      <w:proofErr w:type="spellStart"/>
      <w:r>
        <w:rPr>
          <w:sz w:val="22"/>
          <w:szCs w:val="22"/>
          <w:lang w:val="es-ES"/>
        </w:rPr>
        <w:t>cellular</w:t>
      </w:r>
      <w:proofErr w:type="spellEnd"/>
      <w:r>
        <w:rPr>
          <w:sz w:val="22"/>
          <w:szCs w:val="22"/>
          <w:lang w:val="es-ES"/>
        </w:rPr>
        <w:t xml:space="preserve"> </w:t>
      </w:r>
      <w:proofErr w:type="spellStart"/>
      <w:r>
        <w:rPr>
          <w:sz w:val="22"/>
          <w:szCs w:val="22"/>
          <w:lang w:val="es-ES"/>
        </w:rPr>
        <w:t>network</w:t>
      </w:r>
      <w:proofErr w:type="spellEnd"/>
      <w:r>
        <w:rPr>
          <w:sz w:val="22"/>
          <w:szCs w:val="22"/>
          <w:lang w:val="es-ES"/>
        </w:rPr>
        <w:t xml:space="preserve"> and </w:t>
      </w:r>
      <w:proofErr w:type="spellStart"/>
      <w:r>
        <w:rPr>
          <w:sz w:val="22"/>
          <w:szCs w:val="22"/>
          <w:lang w:val="es-ES"/>
        </w:rPr>
        <w:t>will</w:t>
      </w:r>
      <w:proofErr w:type="spellEnd"/>
      <w:r>
        <w:rPr>
          <w:sz w:val="22"/>
          <w:szCs w:val="22"/>
          <w:lang w:val="es-ES"/>
        </w:rPr>
        <w:t xml:space="preserve"> be </w:t>
      </w:r>
      <w:proofErr w:type="spellStart"/>
      <w:r>
        <w:rPr>
          <w:sz w:val="22"/>
          <w:szCs w:val="22"/>
          <w:lang w:val="es-ES"/>
        </w:rPr>
        <w:t>using</w:t>
      </w:r>
      <w:proofErr w:type="spellEnd"/>
      <w:r>
        <w:rPr>
          <w:sz w:val="22"/>
          <w:szCs w:val="22"/>
          <w:lang w:val="es-ES"/>
        </w:rPr>
        <w:t xml:space="preserve"> </w:t>
      </w:r>
      <w:proofErr w:type="spellStart"/>
      <w:r>
        <w:rPr>
          <w:sz w:val="22"/>
          <w:szCs w:val="22"/>
          <w:lang w:val="es-ES"/>
        </w:rPr>
        <w:t>Narrowband</w:t>
      </w:r>
      <w:proofErr w:type="spellEnd"/>
      <w:r>
        <w:rPr>
          <w:sz w:val="22"/>
          <w:szCs w:val="22"/>
          <w:lang w:val="es-ES"/>
        </w:rPr>
        <w:t xml:space="preserve"> </w:t>
      </w:r>
      <w:proofErr w:type="spellStart"/>
      <w:r>
        <w:rPr>
          <w:sz w:val="22"/>
          <w:szCs w:val="22"/>
          <w:lang w:val="es-ES"/>
        </w:rPr>
        <w:t>IoT</w:t>
      </w:r>
      <w:proofErr w:type="spellEnd"/>
      <w:r>
        <w:rPr>
          <w:sz w:val="22"/>
          <w:szCs w:val="22"/>
          <w:lang w:val="es-ES"/>
        </w:rPr>
        <w:t xml:space="preserve"> </w:t>
      </w:r>
      <w:proofErr w:type="spellStart"/>
      <w:r>
        <w:rPr>
          <w:sz w:val="22"/>
          <w:szCs w:val="22"/>
          <w:lang w:val="es-ES"/>
        </w:rPr>
        <w:t>or</w:t>
      </w:r>
      <w:proofErr w:type="spellEnd"/>
      <w:r>
        <w:rPr>
          <w:sz w:val="22"/>
          <w:szCs w:val="22"/>
          <w:lang w:val="es-ES"/>
        </w:rPr>
        <w:t xml:space="preserve"> LTE-M Cat. M1 </w:t>
      </w:r>
      <w:proofErr w:type="spellStart"/>
      <w:r>
        <w:rPr>
          <w:sz w:val="22"/>
          <w:szCs w:val="22"/>
          <w:lang w:val="es-ES"/>
        </w:rPr>
        <w:t>technology</w:t>
      </w:r>
      <w:proofErr w:type="spellEnd"/>
      <w:r>
        <w:rPr>
          <w:sz w:val="22"/>
          <w:szCs w:val="22"/>
          <w:lang w:val="es-ES"/>
        </w:rPr>
        <w:t>.</w:t>
      </w:r>
    </w:p>
    <w:p w14:paraId="48B45898" w14:textId="77777777" w:rsidR="00E255F4" w:rsidRDefault="00000000">
      <w:pPr>
        <w:pStyle w:val="Prrafodelista"/>
        <w:numPr>
          <w:ilvl w:val="2"/>
          <w:numId w:val="68"/>
        </w:numPr>
        <w:tabs>
          <w:tab w:val="left" w:pos="851"/>
        </w:tabs>
        <w:spacing w:after="120"/>
        <w:ind w:left="851" w:hanging="851"/>
        <w:jc w:val="both"/>
        <w:rPr>
          <w:sz w:val="22"/>
          <w:szCs w:val="22"/>
          <w:lang w:val="es-ES"/>
        </w:rPr>
      </w:pPr>
      <w:proofErr w:type="spellStart"/>
      <w:r>
        <w:rPr>
          <w:sz w:val="22"/>
          <w:szCs w:val="22"/>
          <w:lang w:val="es-ES"/>
        </w:rPr>
        <w:t>Cellular</w:t>
      </w:r>
      <w:proofErr w:type="spellEnd"/>
      <w:r>
        <w:rPr>
          <w:sz w:val="22"/>
          <w:szCs w:val="22"/>
          <w:lang w:val="es-ES"/>
        </w:rPr>
        <w:t xml:space="preserve"> </w:t>
      </w:r>
      <w:proofErr w:type="spellStart"/>
      <w:r>
        <w:rPr>
          <w:sz w:val="22"/>
          <w:szCs w:val="22"/>
          <w:lang w:val="es-ES"/>
        </w:rPr>
        <w:t>transmission</w:t>
      </w:r>
      <w:proofErr w:type="spellEnd"/>
      <w:r>
        <w:rPr>
          <w:sz w:val="22"/>
          <w:szCs w:val="22"/>
          <w:lang w:val="es-ES"/>
        </w:rPr>
        <w:t xml:space="preserve"> </w:t>
      </w:r>
      <w:proofErr w:type="spellStart"/>
      <w:r>
        <w:rPr>
          <w:sz w:val="22"/>
          <w:szCs w:val="22"/>
          <w:lang w:val="es-ES"/>
        </w:rPr>
        <w:t>devices</w:t>
      </w:r>
      <w:proofErr w:type="spellEnd"/>
      <w:r>
        <w:rPr>
          <w:sz w:val="22"/>
          <w:szCs w:val="22"/>
          <w:lang w:val="es-ES"/>
        </w:rPr>
        <w:t xml:space="preserve"> </w:t>
      </w:r>
      <w:proofErr w:type="spellStart"/>
      <w:r>
        <w:rPr>
          <w:sz w:val="22"/>
          <w:szCs w:val="22"/>
          <w:lang w:val="es-ES"/>
        </w:rPr>
        <w:t>will</w:t>
      </w:r>
      <w:proofErr w:type="spellEnd"/>
      <w:r>
        <w:rPr>
          <w:sz w:val="22"/>
          <w:szCs w:val="22"/>
          <w:lang w:val="es-ES"/>
        </w:rPr>
        <w:t xml:space="preserve"> be </w:t>
      </w:r>
      <w:proofErr w:type="spellStart"/>
      <w:r>
        <w:rPr>
          <w:sz w:val="22"/>
          <w:szCs w:val="22"/>
          <w:lang w:val="es-ES"/>
        </w:rPr>
        <w:t>able</w:t>
      </w:r>
      <w:proofErr w:type="spellEnd"/>
      <w:r>
        <w:rPr>
          <w:sz w:val="22"/>
          <w:szCs w:val="22"/>
          <w:lang w:val="es-ES"/>
        </w:rPr>
        <w:t xml:space="preserve"> </w:t>
      </w:r>
      <w:proofErr w:type="spellStart"/>
      <w:r>
        <w:rPr>
          <w:sz w:val="22"/>
          <w:szCs w:val="22"/>
          <w:lang w:val="es-ES"/>
        </w:rPr>
        <w:t>to</w:t>
      </w:r>
      <w:proofErr w:type="spellEnd"/>
      <w:r>
        <w:rPr>
          <w:sz w:val="22"/>
          <w:szCs w:val="22"/>
          <w:lang w:val="es-ES"/>
        </w:rPr>
        <w:t xml:space="preserve"> use MFF2 </w:t>
      </w:r>
      <w:proofErr w:type="spellStart"/>
      <w:r>
        <w:rPr>
          <w:sz w:val="22"/>
          <w:szCs w:val="22"/>
          <w:lang w:val="es-ES"/>
        </w:rPr>
        <w:t>format</w:t>
      </w:r>
      <w:proofErr w:type="spellEnd"/>
      <w:r>
        <w:rPr>
          <w:sz w:val="22"/>
          <w:szCs w:val="22"/>
          <w:lang w:val="es-ES"/>
        </w:rPr>
        <w:t xml:space="preserve"> SIM </w:t>
      </w:r>
      <w:proofErr w:type="spellStart"/>
      <w:r>
        <w:rPr>
          <w:sz w:val="22"/>
          <w:szCs w:val="22"/>
          <w:lang w:val="es-ES"/>
        </w:rPr>
        <w:t>or</w:t>
      </w:r>
      <w:proofErr w:type="spellEnd"/>
      <w:r>
        <w:rPr>
          <w:sz w:val="22"/>
          <w:szCs w:val="22"/>
          <w:lang w:val="es-ES"/>
        </w:rPr>
        <w:t xml:space="preserve"> </w:t>
      </w:r>
      <w:proofErr w:type="spellStart"/>
      <w:r>
        <w:rPr>
          <w:sz w:val="22"/>
          <w:szCs w:val="22"/>
          <w:lang w:val="es-ES"/>
        </w:rPr>
        <w:t>eSIM</w:t>
      </w:r>
      <w:proofErr w:type="spellEnd"/>
      <w:r>
        <w:rPr>
          <w:sz w:val="22"/>
          <w:szCs w:val="22"/>
          <w:lang w:val="es-ES"/>
        </w:rPr>
        <w:t xml:space="preserve"> </w:t>
      </w:r>
      <w:proofErr w:type="spellStart"/>
      <w:r>
        <w:rPr>
          <w:sz w:val="22"/>
          <w:szCs w:val="22"/>
          <w:lang w:val="es-ES"/>
        </w:rPr>
        <w:t>cards</w:t>
      </w:r>
      <w:proofErr w:type="spellEnd"/>
      <w:r>
        <w:rPr>
          <w:sz w:val="22"/>
          <w:szCs w:val="22"/>
          <w:lang w:val="es-ES"/>
        </w:rPr>
        <w:t>.</w:t>
      </w:r>
    </w:p>
    <w:p w14:paraId="49B79C81" w14:textId="77777777" w:rsidR="00E255F4" w:rsidRDefault="00000000">
      <w:pPr>
        <w:pStyle w:val="Prrafodelista"/>
        <w:numPr>
          <w:ilvl w:val="2"/>
          <w:numId w:val="68"/>
        </w:numPr>
        <w:tabs>
          <w:tab w:val="left" w:pos="851"/>
        </w:tabs>
        <w:spacing w:after="120"/>
        <w:ind w:left="851" w:hanging="851"/>
        <w:jc w:val="both"/>
      </w:pPr>
      <w:r>
        <w:rPr>
          <w:sz w:val="22"/>
          <w:szCs w:val="22"/>
          <w:lang w:val="es-ES"/>
        </w:rPr>
        <w:t xml:space="preserve">The radio </w:t>
      </w:r>
      <w:proofErr w:type="spellStart"/>
      <w:r>
        <w:rPr>
          <w:sz w:val="22"/>
          <w:szCs w:val="22"/>
          <w:lang w:val="es-ES"/>
        </w:rPr>
        <w:t>frequency</w:t>
      </w:r>
      <w:proofErr w:type="spellEnd"/>
      <w:r>
        <w:rPr>
          <w:sz w:val="22"/>
          <w:szCs w:val="22"/>
          <w:lang w:val="es-ES"/>
        </w:rPr>
        <w:t xml:space="preserve"> </w:t>
      </w:r>
      <w:proofErr w:type="spellStart"/>
      <w:r>
        <w:rPr>
          <w:sz w:val="22"/>
          <w:szCs w:val="22"/>
          <w:lang w:val="es-ES"/>
        </w:rPr>
        <w:t>transmission</w:t>
      </w:r>
      <w:proofErr w:type="spellEnd"/>
      <w:r>
        <w:rPr>
          <w:sz w:val="22"/>
          <w:szCs w:val="22"/>
          <w:lang w:val="es-ES"/>
        </w:rPr>
        <w:t xml:space="preserve"> </w:t>
      </w:r>
      <w:proofErr w:type="spellStart"/>
      <w:r>
        <w:rPr>
          <w:sz w:val="22"/>
          <w:szCs w:val="22"/>
          <w:lang w:val="es-ES"/>
        </w:rPr>
        <w:t>devices</w:t>
      </w:r>
      <w:proofErr w:type="spellEnd"/>
      <w:r>
        <w:rPr>
          <w:sz w:val="22"/>
          <w:szCs w:val="22"/>
          <w:lang w:val="es-ES"/>
        </w:rPr>
        <w:t xml:space="preserve"> </w:t>
      </w:r>
      <w:proofErr w:type="spellStart"/>
      <w:r>
        <w:rPr>
          <w:sz w:val="22"/>
          <w:szCs w:val="22"/>
          <w:lang w:val="es-ES"/>
        </w:rPr>
        <w:t>must</w:t>
      </w:r>
      <w:proofErr w:type="spellEnd"/>
      <w:r>
        <w:rPr>
          <w:sz w:val="22"/>
          <w:szCs w:val="22"/>
          <w:lang w:val="es-ES"/>
        </w:rPr>
        <w:t xml:space="preserve"> be </w:t>
      </w:r>
      <w:proofErr w:type="spellStart"/>
      <w:r>
        <w:rPr>
          <w:sz w:val="22"/>
          <w:szCs w:val="22"/>
          <w:lang w:val="es-ES"/>
        </w:rPr>
        <w:t>approved</w:t>
      </w:r>
      <w:proofErr w:type="spellEnd"/>
      <w:r>
        <w:rPr>
          <w:sz w:val="22"/>
          <w:szCs w:val="22"/>
          <w:lang w:val="es-ES"/>
        </w:rPr>
        <w:t xml:space="preserve"> </w:t>
      </w:r>
      <w:proofErr w:type="spellStart"/>
      <w:r>
        <w:rPr>
          <w:sz w:val="22"/>
          <w:szCs w:val="22"/>
          <w:lang w:val="es-ES"/>
        </w:rPr>
        <w:t>by</w:t>
      </w:r>
      <w:proofErr w:type="spellEnd"/>
      <w:r>
        <w:rPr>
          <w:sz w:val="22"/>
          <w:szCs w:val="22"/>
          <w:lang w:val="es-ES"/>
        </w:rPr>
        <w:t xml:space="preserve"> URSEC, </w:t>
      </w:r>
      <w:proofErr w:type="spellStart"/>
      <w:r>
        <w:rPr>
          <w:sz w:val="22"/>
          <w:szCs w:val="22"/>
          <w:lang w:val="es-ES"/>
        </w:rPr>
        <w:t>which</w:t>
      </w:r>
      <w:proofErr w:type="spellEnd"/>
      <w:r>
        <w:rPr>
          <w:sz w:val="22"/>
          <w:szCs w:val="22"/>
          <w:lang w:val="es-ES"/>
        </w:rPr>
        <w:t xml:space="preserve"> </w:t>
      </w:r>
      <w:proofErr w:type="spellStart"/>
      <w:r>
        <w:rPr>
          <w:sz w:val="22"/>
          <w:szCs w:val="22"/>
          <w:lang w:val="es-ES"/>
        </w:rPr>
        <w:t>will</w:t>
      </w:r>
      <w:proofErr w:type="spellEnd"/>
      <w:r>
        <w:rPr>
          <w:sz w:val="22"/>
          <w:szCs w:val="22"/>
          <w:lang w:val="es-ES"/>
        </w:rPr>
        <w:t xml:space="preserve"> be </w:t>
      </w:r>
      <w:proofErr w:type="spellStart"/>
      <w:r>
        <w:rPr>
          <w:sz w:val="22"/>
          <w:szCs w:val="22"/>
          <w:lang w:val="es-ES"/>
        </w:rPr>
        <w:t>accredited</w:t>
      </w:r>
      <w:proofErr w:type="spellEnd"/>
      <w:r>
        <w:rPr>
          <w:sz w:val="22"/>
          <w:szCs w:val="22"/>
          <w:lang w:val="es-ES"/>
        </w:rPr>
        <w:t xml:space="preserve"> </w:t>
      </w:r>
      <w:proofErr w:type="spellStart"/>
      <w:r>
        <w:rPr>
          <w:sz w:val="22"/>
          <w:szCs w:val="22"/>
          <w:lang w:val="es-ES"/>
        </w:rPr>
        <w:t>by</w:t>
      </w:r>
      <w:proofErr w:type="spellEnd"/>
      <w:r>
        <w:rPr>
          <w:sz w:val="22"/>
          <w:szCs w:val="22"/>
          <w:lang w:val="es-ES"/>
        </w:rPr>
        <w:t xml:space="preserve"> </w:t>
      </w:r>
      <w:proofErr w:type="spellStart"/>
      <w:r>
        <w:rPr>
          <w:sz w:val="22"/>
          <w:szCs w:val="22"/>
          <w:lang w:val="es-ES"/>
        </w:rPr>
        <w:t>the</w:t>
      </w:r>
      <w:proofErr w:type="spellEnd"/>
      <w:r>
        <w:rPr>
          <w:sz w:val="22"/>
          <w:szCs w:val="22"/>
          <w:lang w:val="es-ES"/>
        </w:rPr>
        <w:t xml:space="preserve"> </w:t>
      </w:r>
      <w:proofErr w:type="spellStart"/>
      <w:r>
        <w:rPr>
          <w:sz w:val="22"/>
          <w:szCs w:val="22"/>
          <w:lang w:val="es-ES"/>
        </w:rPr>
        <w:t>successful</w:t>
      </w:r>
      <w:proofErr w:type="spellEnd"/>
      <w:r>
        <w:rPr>
          <w:sz w:val="22"/>
          <w:szCs w:val="22"/>
          <w:lang w:val="es-ES"/>
        </w:rPr>
        <w:t xml:space="preserve"> </w:t>
      </w:r>
      <w:proofErr w:type="spellStart"/>
      <w:r>
        <w:rPr>
          <w:sz w:val="22"/>
          <w:szCs w:val="22"/>
          <w:lang w:val="es-ES"/>
        </w:rPr>
        <w:t>bidder</w:t>
      </w:r>
      <w:proofErr w:type="spellEnd"/>
      <w:r>
        <w:rPr>
          <w:sz w:val="22"/>
          <w:szCs w:val="22"/>
          <w:lang w:val="es-ES"/>
        </w:rPr>
        <w:t xml:space="preserve"> </w:t>
      </w:r>
      <w:proofErr w:type="spellStart"/>
      <w:r>
        <w:rPr>
          <w:sz w:val="22"/>
          <w:szCs w:val="22"/>
          <w:lang w:val="es-ES"/>
        </w:rPr>
        <w:t>on</w:t>
      </w:r>
      <w:proofErr w:type="spellEnd"/>
      <w:r>
        <w:rPr>
          <w:sz w:val="22"/>
          <w:szCs w:val="22"/>
          <w:lang w:val="es-ES"/>
        </w:rPr>
        <w:t xml:space="preserve"> </w:t>
      </w:r>
      <w:proofErr w:type="spellStart"/>
      <w:r>
        <w:rPr>
          <w:sz w:val="22"/>
          <w:szCs w:val="22"/>
          <w:lang w:val="es-ES"/>
        </w:rPr>
        <w:t>the</w:t>
      </w:r>
      <w:proofErr w:type="spellEnd"/>
      <w:r>
        <w:rPr>
          <w:sz w:val="22"/>
          <w:szCs w:val="22"/>
          <w:lang w:val="es-ES"/>
        </w:rPr>
        <w:t xml:space="preserve"> date </w:t>
      </w:r>
      <w:proofErr w:type="spellStart"/>
      <w:r>
        <w:rPr>
          <w:sz w:val="22"/>
          <w:szCs w:val="22"/>
          <w:lang w:val="es-ES"/>
        </w:rPr>
        <w:t>of</w:t>
      </w:r>
      <w:proofErr w:type="spellEnd"/>
      <w:r>
        <w:rPr>
          <w:sz w:val="22"/>
          <w:szCs w:val="22"/>
          <w:lang w:val="es-ES"/>
        </w:rPr>
        <w:t xml:space="preserve"> </w:t>
      </w:r>
      <w:proofErr w:type="spellStart"/>
      <w:r>
        <w:rPr>
          <w:sz w:val="22"/>
          <w:szCs w:val="22"/>
          <w:lang w:val="es-ES"/>
        </w:rPr>
        <w:t>the</w:t>
      </w:r>
      <w:proofErr w:type="spellEnd"/>
      <w:r>
        <w:rPr>
          <w:sz w:val="22"/>
          <w:szCs w:val="22"/>
          <w:lang w:val="es-ES"/>
        </w:rPr>
        <w:t xml:space="preserve"> final </w:t>
      </w:r>
      <w:proofErr w:type="spellStart"/>
      <w:r>
        <w:rPr>
          <w:sz w:val="22"/>
          <w:szCs w:val="22"/>
          <w:lang w:val="es-ES"/>
        </w:rPr>
        <w:t>award</w:t>
      </w:r>
      <w:proofErr w:type="spellEnd"/>
      <w:r>
        <w:rPr>
          <w:sz w:val="22"/>
          <w:szCs w:val="22"/>
          <w:lang w:val="es-ES"/>
        </w:rPr>
        <w:t>.</w:t>
      </w:r>
    </w:p>
    <w:p w14:paraId="23FBE02D" w14:textId="77777777" w:rsidR="00E255F4" w:rsidRDefault="00000000">
      <w:pPr>
        <w:pStyle w:val="Prrafodelista"/>
        <w:numPr>
          <w:ilvl w:val="2"/>
          <w:numId w:val="68"/>
        </w:numPr>
        <w:tabs>
          <w:tab w:val="left" w:pos="851"/>
        </w:tabs>
        <w:spacing w:after="120"/>
        <w:ind w:left="851" w:hanging="851"/>
        <w:jc w:val="both"/>
        <w:rPr>
          <w:sz w:val="22"/>
          <w:szCs w:val="22"/>
          <w:lang w:val="es-ES"/>
        </w:rPr>
      </w:pPr>
      <w:r>
        <w:rPr>
          <w:sz w:val="22"/>
          <w:szCs w:val="22"/>
          <w:lang w:val="es-ES"/>
        </w:rPr>
        <w:t xml:space="preserve">The </w:t>
      </w:r>
      <w:proofErr w:type="spellStart"/>
      <w:r>
        <w:rPr>
          <w:sz w:val="22"/>
          <w:szCs w:val="22"/>
          <w:lang w:val="es-ES"/>
        </w:rPr>
        <w:t>telemetry</w:t>
      </w:r>
      <w:proofErr w:type="spellEnd"/>
      <w:r>
        <w:rPr>
          <w:sz w:val="22"/>
          <w:szCs w:val="22"/>
          <w:lang w:val="es-ES"/>
        </w:rPr>
        <w:t xml:space="preserve"> </w:t>
      </w:r>
      <w:proofErr w:type="spellStart"/>
      <w:r>
        <w:rPr>
          <w:sz w:val="22"/>
          <w:szCs w:val="22"/>
          <w:lang w:val="es-ES"/>
        </w:rPr>
        <w:t>devices</w:t>
      </w:r>
      <w:proofErr w:type="spellEnd"/>
      <w:r>
        <w:rPr>
          <w:sz w:val="22"/>
          <w:szCs w:val="22"/>
          <w:lang w:val="es-ES"/>
        </w:rPr>
        <w:t xml:space="preserve"> </w:t>
      </w:r>
      <w:proofErr w:type="spellStart"/>
      <w:r>
        <w:rPr>
          <w:sz w:val="22"/>
          <w:szCs w:val="22"/>
          <w:lang w:val="es-ES"/>
        </w:rPr>
        <w:t>implemented</w:t>
      </w:r>
      <w:proofErr w:type="spellEnd"/>
      <w:r>
        <w:rPr>
          <w:sz w:val="22"/>
          <w:szCs w:val="22"/>
          <w:lang w:val="es-ES"/>
        </w:rPr>
        <w:t xml:space="preserve"> in </w:t>
      </w:r>
      <w:proofErr w:type="spellStart"/>
      <w:r>
        <w:rPr>
          <w:sz w:val="22"/>
          <w:szCs w:val="22"/>
          <w:lang w:val="es-ES"/>
        </w:rPr>
        <w:t>the</w:t>
      </w:r>
      <w:proofErr w:type="spellEnd"/>
      <w:r>
        <w:rPr>
          <w:sz w:val="22"/>
          <w:szCs w:val="22"/>
          <w:lang w:val="es-ES"/>
        </w:rPr>
        <w:t xml:space="preserve"> </w:t>
      </w:r>
      <w:proofErr w:type="spellStart"/>
      <w:r>
        <w:rPr>
          <w:sz w:val="22"/>
          <w:szCs w:val="22"/>
          <w:lang w:val="es-ES"/>
        </w:rPr>
        <w:t>drinking</w:t>
      </w:r>
      <w:proofErr w:type="spellEnd"/>
      <w:r>
        <w:rPr>
          <w:sz w:val="22"/>
          <w:szCs w:val="22"/>
          <w:lang w:val="es-ES"/>
        </w:rPr>
        <w:t xml:space="preserve"> </w:t>
      </w:r>
      <w:proofErr w:type="spellStart"/>
      <w:r>
        <w:rPr>
          <w:sz w:val="22"/>
          <w:szCs w:val="22"/>
          <w:lang w:val="es-ES"/>
        </w:rPr>
        <w:t>water</w:t>
      </w:r>
      <w:proofErr w:type="spellEnd"/>
      <w:r>
        <w:rPr>
          <w:sz w:val="22"/>
          <w:szCs w:val="22"/>
          <w:lang w:val="es-ES"/>
        </w:rPr>
        <w:t xml:space="preserve"> </w:t>
      </w:r>
      <w:proofErr w:type="spellStart"/>
      <w:r>
        <w:rPr>
          <w:sz w:val="22"/>
          <w:szCs w:val="22"/>
          <w:lang w:val="es-ES"/>
        </w:rPr>
        <w:t>meters</w:t>
      </w:r>
      <w:proofErr w:type="spellEnd"/>
      <w:r>
        <w:rPr>
          <w:sz w:val="22"/>
          <w:szCs w:val="22"/>
          <w:lang w:val="es-ES"/>
        </w:rPr>
        <w:t xml:space="preserve"> </w:t>
      </w:r>
      <w:proofErr w:type="spellStart"/>
      <w:r>
        <w:rPr>
          <w:sz w:val="22"/>
          <w:szCs w:val="22"/>
          <w:lang w:val="es-ES"/>
        </w:rPr>
        <w:t>must</w:t>
      </w:r>
      <w:proofErr w:type="spellEnd"/>
      <w:r>
        <w:rPr>
          <w:sz w:val="22"/>
          <w:szCs w:val="22"/>
          <w:lang w:val="es-ES"/>
        </w:rPr>
        <w:t xml:space="preserve"> be </w:t>
      </w:r>
      <w:proofErr w:type="spellStart"/>
      <w:r>
        <w:rPr>
          <w:sz w:val="22"/>
          <w:szCs w:val="22"/>
          <w:lang w:val="es-ES"/>
        </w:rPr>
        <w:t>battery</w:t>
      </w:r>
      <w:proofErr w:type="spellEnd"/>
      <w:r>
        <w:rPr>
          <w:sz w:val="22"/>
          <w:szCs w:val="22"/>
          <w:lang w:val="es-ES"/>
        </w:rPr>
        <w:t xml:space="preserve"> </w:t>
      </w:r>
      <w:proofErr w:type="spellStart"/>
      <w:r>
        <w:rPr>
          <w:sz w:val="22"/>
          <w:szCs w:val="22"/>
          <w:lang w:val="es-ES"/>
        </w:rPr>
        <w:t>powered</w:t>
      </w:r>
      <w:proofErr w:type="spellEnd"/>
      <w:r>
        <w:rPr>
          <w:sz w:val="22"/>
          <w:szCs w:val="22"/>
          <w:lang w:val="es-ES"/>
        </w:rPr>
        <w:t>.</w:t>
      </w:r>
    </w:p>
    <w:p w14:paraId="10D3D3A0" w14:textId="77777777" w:rsidR="00E255F4" w:rsidRDefault="00000000">
      <w:pPr>
        <w:pStyle w:val="Prrafodelista"/>
        <w:numPr>
          <w:ilvl w:val="2"/>
          <w:numId w:val="68"/>
        </w:numPr>
        <w:tabs>
          <w:tab w:val="left" w:pos="851"/>
        </w:tabs>
        <w:spacing w:after="120"/>
        <w:ind w:left="851" w:hanging="851"/>
        <w:jc w:val="both"/>
        <w:rPr>
          <w:sz w:val="22"/>
          <w:szCs w:val="22"/>
          <w:lang w:val="es-ES"/>
        </w:rPr>
      </w:pPr>
      <w:r>
        <w:rPr>
          <w:sz w:val="22"/>
          <w:szCs w:val="22"/>
          <w:lang w:val="es-ES"/>
        </w:rPr>
        <w:t xml:space="preserve">The </w:t>
      </w:r>
      <w:proofErr w:type="spellStart"/>
      <w:r>
        <w:rPr>
          <w:sz w:val="22"/>
          <w:szCs w:val="22"/>
          <w:lang w:val="es-ES"/>
        </w:rPr>
        <w:t>battery</w:t>
      </w:r>
      <w:proofErr w:type="spellEnd"/>
      <w:r>
        <w:rPr>
          <w:sz w:val="22"/>
          <w:szCs w:val="22"/>
          <w:lang w:val="es-ES"/>
        </w:rPr>
        <w:t xml:space="preserve"> </w:t>
      </w:r>
      <w:proofErr w:type="spellStart"/>
      <w:r>
        <w:rPr>
          <w:sz w:val="22"/>
          <w:szCs w:val="22"/>
          <w:lang w:val="es-ES"/>
        </w:rPr>
        <w:t>capacity</w:t>
      </w:r>
      <w:proofErr w:type="spellEnd"/>
      <w:r>
        <w:rPr>
          <w:sz w:val="22"/>
          <w:szCs w:val="22"/>
          <w:lang w:val="es-ES"/>
        </w:rPr>
        <w:t xml:space="preserve"> </w:t>
      </w:r>
      <w:proofErr w:type="spellStart"/>
      <w:r>
        <w:rPr>
          <w:sz w:val="22"/>
          <w:szCs w:val="22"/>
          <w:lang w:val="es-ES"/>
        </w:rPr>
        <w:t>of</w:t>
      </w:r>
      <w:proofErr w:type="spellEnd"/>
      <w:r>
        <w:rPr>
          <w:sz w:val="22"/>
          <w:szCs w:val="22"/>
          <w:lang w:val="es-ES"/>
        </w:rPr>
        <w:t xml:space="preserve"> </w:t>
      </w:r>
      <w:proofErr w:type="spellStart"/>
      <w:r>
        <w:rPr>
          <w:sz w:val="22"/>
          <w:szCs w:val="22"/>
          <w:lang w:val="es-ES"/>
        </w:rPr>
        <w:t>the</w:t>
      </w:r>
      <w:proofErr w:type="spellEnd"/>
      <w:r>
        <w:rPr>
          <w:sz w:val="22"/>
          <w:szCs w:val="22"/>
          <w:lang w:val="es-ES"/>
        </w:rPr>
        <w:t xml:space="preserve"> </w:t>
      </w:r>
      <w:proofErr w:type="spellStart"/>
      <w:r>
        <w:rPr>
          <w:sz w:val="22"/>
          <w:szCs w:val="22"/>
          <w:lang w:val="es-ES"/>
        </w:rPr>
        <w:t>telemetry</w:t>
      </w:r>
      <w:proofErr w:type="spellEnd"/>
      <w:r>
        <w:rPr>
          <w:sz w:val="22"/>
          <w:szCs w:val="22"/>
          <w:lang w:val="es-ES"/>
        </w:rPr>
        <w:t xml:space="preserve"> </w:t>
      </w:r>
      <w:proofErr w:type="spellStart"/>
      <w:r>
        <w:rPr>
          <w:sz w:val="22"/>
          <w:szCs w:val="22"/>
          <w:lang w:val="es-ES"/>
        </w:rPr>
        <w:t>devices</w:t>
      </w:r>
      <w:proofErr w:type="spellEnd"/>
      <w:r>
        <w:rPr>
          <w:sz w:val="22"/>
          <w:szCs w:val="22"/>
          <w:lang w:val="es-ES"/>
        </w:rPr>
        <w:t xml:space="preserve"> </w:t>
      </w:r>
      <w:proofErr w:type="spellStart"/>
      <w:r>
        <w:rPr>
          <w:sz w:val="22"/>
          <w:szCs w:val="22"/>
          <w:lang w:val="es-ES"/>
        </w:rPr>
        <w:t>must</w:t>
      </w:r>
      <w:proofErr w:type="spellEnd"/>
      <w:r>
        <w:rPr>
          <w:sz w:val="22"/>
          <w:szCs w:val="22"/>
          <w:lang w:val="es-ES"/>
        </w:rPr>
        <w:t xml:space="preserve"> </w:t>
      </w:r>
      <w:proofErr w:type="spellStart"/>
      <w:r>
        <w:rPr>
          <w:sz w:val="22"/>
          <w:szCs w:val="22"/>
          <w:lang w:val="es-ES"/>
        </w:rPr>
        <w:t>provide</w:t>
      </w:r>
      <w:proofErr w:type="spellEnd"/>
      <w:r>
        <w:rPr>
          <w:sz w:val="22"/>
          <w:szCs w:val="22"/>
          <w:lang w:val="es-ES"/>
        </w:rPr>
        <w:t xml:space="preserve"> </w:t>
      </w:r>
      <w:proofErr w:type="spellStart"/>
      <w:r>
        <w:rPr>
          <w:sz w:val="22"/>
          <w:szCs w:val="22"/>
          <w:lang w:val="es-ES"/>
        </w:rPr>
        <w:t>said</w:t>
      </w:r>
      <w:proofErr w:type="spellEnd"/>
      <w:r>
        <w:rPr>
          <w:sz w:val="22"/>
          <w:szCs w:val="22"/>
          <w:lang w:val="es-ES"/>
        </w:rPr>
        <w:t xml:space="preserve"> </w:t>
      </w:r>
      <w:proofErr w:type="spellStart"/>
      <w:r>
        <w:rPr>
          <w:sz w:val="22"/>
          <w:szCs w:val="22"/>
          <w:lang w:val="es-ES"/>
        </w:rPr>
        <w:t>equipment</w:t>
      </w:r>
      <w:proofErr w:type="spellEnd"/>
      <w:r>
        <w:rPr>
          <w:sz w:val="22"/>
          <w:szCs w:val="22"/>
          <w:lang w:val="es-ES"/>
        </w:rPr>
        <w:t xml:space="preserve"> </w:t>
      </w:r>
      <w:proofErr w:type="spellStart"/>
      <w:r>
        <w:rPr>
          <w:sz w:val="22"/>
          <w:szCs w:val="22"/>
          <w:lang w:val="es-ES"/>
        </w:rPr>
        <w:t>with</w:t>
      </w:r>
      <w:proofErr w:type="spellEnd"/>
      <w:r>
        <w:rPr>
          <w:sz w:val="22"/>
          <w:szCs w:val="22"/>
          <w:lang w:val="es-ES"/>
        </w:rPr>
        <w:t xml:space="preserve"> a </w:t>
      </w:r>
      <w:proofErr w:type="spellStart"/>
      <w:r>
        <w:rPr>
          <w:sz w:val="22"/>
          <w:szCs w:val="22"/>
          <w:lang w:val="es-ES"/>
        </w:rPr>
        <w:t>minimum</w:t>
      </w:r>
      <w:proofErr w:type="spellEnd"/>
      <w:r>
        <w:rPr>
          <w:sz w:val="22"/>
          <w:szCs w:val="22"/>
          <w:lang w:val="es-ES"/>
        </w:rPr>
        <w:t xml:space="preserve"> </w:t>
      </w:r>
      <w:proofErr w:type="spellStart"/>
      <w:r>
        <w:rPr>
          <w:sz w:val="22"/>
          <w:szCs w:val="22"/>
          <w:lang w:val="es-ES"/>
        </w:rPr>
        <w:t>autonomy</w:t>
      </w:r>
      <w:proofErr w:type="spellEnd"/>
      <w:r>
        <w:rPr>
          <w:sz w:val="22"/>
          <w:szCs w:val="22"/>
          <w:lang w:val="es-ES"/>
        </w:rPr>
        <w:t xml:space="preserve"> </w:t>
      </w:r>
      <w:proofErr w:type="spellStart"/>
      <w:r>
        <w:rPr>
          <w:sz w:val="22"/>
          <w:szCs w:val="22"/>
          <w:lang w:val="es-ES"/>
        </w:rPr>
        <w:t>of</w:t>
      </w:r>
      <w:proofErr w:type="spellEnd"/>
      <w:r>
        <w:rPr>
          <w:sz w:val="22"/>
          <w:szCs w:val="22"/>
          <w:lang w:val="es-ES"/>
        </w:rPr>
        <w:t xml:space="preserve"> 10 </w:t>
      </w:r>
      <w:proofErr w:type="spellStart"/>
      <w:r>
        <w:rPr>
          <w:sz w:val="22"/>
          <w:szCs w:val="22"/>
          <w:lang w:val="es-ES"/>
        </w:rPr>
        <w:t>years</w:t>
      </w:r>
      <w:proofErr w:type="spellEnd"/>
      <w:r>
        <w:rPr>
          <w:sz w:val="22"/>
          <w:szCs w:val="22"/>
          <w:lang w:val="es-ES"/>
        </w:rPr>
        <w:t xml:space="preserve"> </w:t>
      </w:r>
      <w:proofErr w:type="spellStart"/>
      <w:r>
        <w:rPr>
          <w:sz w:val="22"/>
          <w:szCs w:val="22"/>
          <w:lang w:val="es-ES"/>
        </w:rPr>
        <w:t>under</w:t>
      </w:r>
      <w:proofErr w:type="spellEnd"/>
      <w:r>
        <w:rPr>
          <w:sz w:val="22"/>
          <w:szCs w:val="22"/>
          <w:lang w:val="es-ES"/>
        </w:rPr>
        <w:t xml:space="preserve"> </w:t>
      </w:r>
      <w:proofErr w:type="spellStart"/>
      <w:r>
        <w:rPr>
          <w:sz w:val="22"/>
          <w:szCs w:val="22"/>
          <w:lang w:val="es-ES"/>
        </w:rPr>
        <w:t>the</w:t>
      </w:r>
      <w:proofErr w:type="spellEnd"/>
      <w:r>
        <w:rPr>
          <w:sz w:val="22"/>
          <w:szCs w:val="22"/>
          <w:lang w:val="es-ES"/>
        </w:rPr>
        <w:t xml:space="preserve"> </w:t>
      </w:r>
      <w:proofErr w:type="spellStart"/>
      <w:r>
        <w:rPr>
          <w:sz w:val="22"/>
          <w:szCs w:val="22"/>
          <w:lang w:val="es-ES"/>
        </w:rPr>
        <w:t>required</w:t>
      </w:r>
      <w:proofErr w:type="spellEnd"/>
      <w:r>
        <w:rPr>
          <w:sz w:val="22"/>
          <w:szCs w:val="22"/>
          <w:lang w:val="es-ES"/>
        </w:rPr>
        <w:t xml:space="preserve"> </w:t>
      </w:r>
      <w:proofErr w:type="spellStart"/>
      <w:r>
        <w:rPr>
          <w:sz w:val="22"/>
          <w:szCs w:val="22"/>
          <w:lang w:val="es-ES"/>
        </w:rPr>
        <w:t>operating</w:t>
      </w:r>
      <w:proofErr w:type="spellEnd"/>
      <w:r>
        <w:rPr>
          <w:sz w:val="22"/>
          <w:szCs w:val="22"/>
          <w:lang w:val="es-ES"/>
        </w:rPr>
        <w:t xml:space="preserve"> </w:t>
      </w:r>
      <w:proofErr w:type="spellStart"/>
      <w:r>
        <w:rPr>
          <w:sz w:val="22"/>
          <w:szCs w:val="22"/>
          <w:lang w:val="es-ES"/>
        </w:rPr>
        <w:t>conditions</w:t>
      </w:r>
      <w:proofErr w:type="spellEnd"/>
      <w:r>
        <w:rPr>
          <w:sz w:val="22"/>
          <w:szCs w:val="22"/>
          <w:lang w:val="es-ES"/>
        </w:rPr>
        <w:t xml:space="preserve"> </w:t>
      </w:r>
      <w:proofErr w:type="spellStart"/>
      <w:r>
        <w:rPr>
          <w:sz w:val="22"/>
          <w:szCs w:val="22"/>
          <w:lang w:val="es-ES"/>
        </w:rPr>
        <w:t>of</w:t>
      </w:r>
      <w:proofErr w:type="spellEnd"/>
      <w:r>
        <w:rPr>
          <w:sz w:val="22"/>
          <w:szCs w:val="22"/>
          <w:lang w:val="es-ES"/>
        </w:rPr>
        <w:t xml:space="preserve"> </w:t>
      </w:r>
      <w:proofErr w:type="spellStart"/>
      <w:r>
        <w:rPr>
          <w:sz w:val="22"/>
          <w:szCs w:val="22"/>
          <w:lang w:val="es-ES"/>
        </w:rPr>
        <w:t>the</w:t>
      </w:r>
      <w:proofErr w:type="spellEnd"/>
      <w:r>
        <w:rPr>
          <w:sz w:val="22"/>
          <w:szCs w:val="22"/>
          <w:lang w:val="es-ES"/>
        </w:rPr>
        <w:t xml:space="preserve"> </w:t>
      </w:r>
      <w:proofErr w:type="spellStart"/>
      <w:r>
        <w:rPr>
          <w:sz w:val="22"/>
          <w:szCs w:val="22"/>
          <w:lang w:val="es-ES"/>
        </w:rPr>
        <w:t>System</w:t>
      </w:r>
      <w:proofErr w:type="spellEnd"/>
      <w:r>
        <w:rPr>
          <w:sz w:val="22"/>
          <w:szCs w:val="22"/>
          <w:lang w:val="es-ES"/>
        </w:rPr>
        <w:t xml:space="preserve">, </w:t>
      </w:r>
      <w:proofErr w:type="spellStart"/>
      <w:r>
        <w:rPr>
          <w:sz w:val="22"/>
          <w:szCs w:val="22"/>
          <w:lang w:val="es-ES"/>
        </w:rPr>
        <w:t>which</w:t>
      </w:r>
      <w:proofErr w:type="spellEnd"/>
      <w:r>
        <w:rPr>
          <w:sz w:val="22"/>
          <w:szCs w:val="22"/>
          <w:lang w:val="es-ES"/>
        </w:rPr>
        <w:t xml:space="preserve"> </w:t>
      </w:r>
      <w:proofErr w:type="spellStart"/>
      <w:r>
        <w:rPr>
          <w:sz w:val="22"/>
          <w:szCs w:val="22"/>
          <w:lang w:val="es-ES"/>
        </w:rPr>
        <w:t>will</w:t>
      </w:r>
      <w:proofErr w:type="spellEnd"/>
      <w:r>
        <w:rPr>
          <w:sz w:val="22"/>
          <w:szCs w:val="22"/>
          <w:lang w:val="es-ES"/>
        </w:rPr>
        <w:t xml:space="preserve"> be </w:t>
      </w:r>
      <w:proofErr w:type="spellStart"/>
      <w:r>
        <w:rPr>
          <w:sz w:val="22"/>
          <w:szCs w:val="22"/>
          <w:lang w:val="es-ES"/>
        </w:rPr>
        <w:t>accredited</w:t>
      </w:r>
      <w:proofErr w:type="spellEnd"/>
      <w:r>
        <w:rPr>
          <w:sz w:val="22"/>
          <w:szCs w:val="22"/>
          <w:lang w:val="es-ES"/>
        </w:rPr>
        <w:t xml:space="preserve"> in </w:t>
      </w:r>
      <w:proofErr w:type="spellStart"/>
      <w:r>
        <w:rPr>
          <w:sz w:val="22"/>
          <w:szCs w:val="22"/>
          <w:lang w:val="es-ES"/>
        </w:rPr>
        <w:t>the</w:t>
      </w:r>
      <w:proofErr w:type="spellEnd"/>
      <w:r>
        <w:rPr>
          <w:sz w:val="22"/>
          <w:szCs w:val="22"/>
          <w:lang w:val="es-ES"/>
        </w:rPr>
        <w:t xml:space="preserve"> </w:t>
      </w:r>
      <w:proofErr w:type="spellStart"/>
      <w:r>
        <w:rPr>
          <w:sz w:val="22"/>
          <w:szCs w:val="22"/>
          <w:lang w:val="es-ES"/>
        </w:rPr>
        <w:t>offer</w:t>
      </w:r>
      <w:proofErr w:type="spellEnd"/>
      <w:r>
        <w:rPr>
          <w:sz w:val="22"/>
          <w:szCs w:val="22"/>
          <w:lang w:val="es-ES"/>
        </w:rPr>
        <w:t>.</w:t>
      </w:r>
    </w:p>
    <w:p w14:paraId="296A5A39" w14:textId="77777777" w:rsidR="00E255F4" w:rsidRDefault="00000000">
      <w:pPr>
        <w:pStyle w:val="Prrafodelista"/>
        <w:numPr>
          <w:ilvl w:val="2"/>
          <w:numId w:val="68"/>
        </w:numPr>
        <w:tabs>
          <w:tab w:val="left" w:pos="851"/>
        </w:tabs>
        <w:spacing w:after="120"/>
        <w:ind w:left="851" w:hanging="851"/>
        <w:jc w:val="both"/>
      </w:pPr>
      <w:r>
        <w:rPr>
          <w:sz w:val="22"/>
          <w:szCs w:val="22"/>
          <w:lang w:val="es-ES"/>
        </w:rPr>
        <w:t xml:space="preserve">The </w:t>
      </w:r>
      <w:proofErr w:type="spellStart"/>
      <w:r>
        <w:rPr>
          <w:sz w:val="22"/>
          <w:szCs w:val="22"/>
          <w:lang w:val="es-ES"/>
        </w:rPr>
        <w:t>battery</w:t>
      </w:r>
      <w:proofErr w:type="spellEnd"/>
      <w:r>
        <w:rPr>
          <w:sz w:val="22"/>
          <w:szCs w:val="22"/>
          <w:lang w:val="es-ES"/>
        </w:rPr>
        <w:t xml:space="preserve"> </w:t>
      </w:r>
      <w:proofErr w:type="spellStart"/>
      <w:r>
        <w:rPr>
          <w:sz w:val="22"/>
          <w:szCs w:val="22"/>
          <w:lang w:val="es-ES"/>
        </w:rPr>
        <w:t>capacity</w:t>
      </w:r>
      <w:proofErr w:type="spellEnd"/>
      <w:r>
        <w:rPr>
          <w:sz w:val="22"/>
          <w:szCs w:val="22"/>
          <w:lang w:val="es-ES"/>
        </w:rPr>
        <w:t xml:space="preserve"> </w:t>
      </w:r>
      <w:proofErr w:type="spellStart"/>
      <w:r>
        <w:rPr>
          <w:sz w:val="22"/>
          <w:szCs w:val="22"/>
          <w:lang w:val="es-ES"/>
        </w:rPr>
        <w:t>required</w:t>
      </w:r>
      <w:proofErr w:type="spellEnd"/>
      <w:r>
        <w:rPr>
          <w:sz w:val="22"/>
          <w:szCs w:val="22"/>
          <w:lang w:val="es-ES"/>
        </w:rPr>
        <w:t xml:space="preserve"> </w:t>
      </w:r>
      <w:proofErr w:type="spellStart"/>
      <w:r>
        <w:rPr>
          <w:sz w:val="22"/>
          <w:szCs w:val="22"/>
          <w:lang w:val="es-ES"/>
        </w:rPr>
        <w:t>for</w:t>
      </w:r>
      <w:proofErr w:type="spellEnd"/>
      <w:r>
        <w:rPr>
          <w:sz w:val="22"/>
          <w:szCs w:val="22"/>
          <w:lang w:val="es-ES"/>
        </w:rPr>
        <w:t xml:space="preserve"> </w:t>
      </w:r>
      <w:proofErr w:type="spellStart"/>
      <w:r>
        <w:rPr>
          <w:sz w:val="22"/>
          <w:szCs w:val="22"/>
          <w:lang w:val="es-ES"/>
        </w:rPr>
        <w:t>the</w:t>
      </w:r>
      <w:proofErr w:type="spellEnd"/>
      <w:r>
        <w:rPr>
          <w:sz w:val="22"/>
          <w:szCs w:val="22"/>
          <w:lang w:val="es-ES"/>
        </w:rPr>
        <w:t xml:space="preserve"> </w:t>
      </w:r>
      <w:proofErr w:type="spellStart"/>
      <w:r>
        <w:rPr>
          <w:sz w:val="22"/>
          <w:szCs w:val="22"/>
          <w:lang w:val="es-ES"/>
        </w:rPr>
        <w:t>telemetry</w:t>
      </w:r>
      <w:proofErr w:type="spellEnd"/>
      <w:r>
        <w:rPr>
          <w:sz w:val="22"/>
          <w:szCs w:val="22"/>
          <w:lang w:val="es-ES"/>
        </w:rPr>
        <w:t xml:space="preserve"> </w:t>
      </w:r>
      <w:proofErr w:type="spellStart"/>
      <w:r>
        <w:rPr>
          <w:sz w:val="22"/>
          <w:szCs w:val="22"/>
          <w:lang w:val="es-ES"/>
        </w:rPr>
        <w:t>device</w:t>
      </w:r>
      <w:proofErr w:type="spellEnd"/>
      <w:r>
        <w:rPr>
          <w:sz w:val="22"/>
          <w:szCs w:val="22"/>
          <w:lang w:val="es-ES"/>
        </w:rPr>
        <w:t xml:space="preserve"> </w:t>
      </w:r>
      <w:proofErr w:type="spellStart"/>
      <w:r>
        <w:rPr>
          <w:sz w:val="22"/>
          <w:szCs w:val="22"/>
          <w:lang w:val="es-ES"/>
        </w:rPr>
        <w:t>must</w:t>
      </w:r>
      <w:proofErr w:type="spellEnd"/>
      <w:r>
        <w:rPr>
          <w:sz w:val="22"/>
          <w:szCs w:val="22"/>
          <w:lang w:val="es-ES"/>
        </w:rPr>
        <w:t xml:space="preserve"> </w:t>
      </w:r>
      <w:proofErr w:type="spellStart"/>
      <w:r>
        <w:rPr>
          <w:sz w:val="22"/>
          <w:szCs w:val="22"/>
          <w:lang w:val="es-ES"/>
        </w:rPr>
        <w:t>allow</w:t>
      </w:r>
      <w:proofErr w:type="spellEnd"/>
      <w:r>
        <w:rPr>
          <w:sz w:val="22"/>
          <w:szCs w:val="22"/>
          <w:lang w:val="es-ES"/>
        </w:rPr>
        <w:t xml:space="preserve"> </w:t>
      </w:r>
      <w:proofErr w:type="spellStart"/>
      <w:r>
        <w:rPr>
          <w:sz w:val="22"/>
          <w:szCs w:val="22"/>
          <w:lang w:val="es-ES"/>
        </w:rPr>
        <w:t>for</w:t>
      </w:r>
      <w:proofErr w:type="spellEnd"/>
      <w:r>
        <w:rPr>
          <w:sz w:val="22"/>
          <w:szCs w:val="22"/>
          <w:lang w:val="es-ES"/>
        </w:rPr>
        <w:t xml:space="preserve"> at </w:t>
      </w:r>
      <w:proofErr w:type="spellStart"/>
      <w:r>
        <w:rPr>
          <w:sz w:val="22"/>
          <w:szCs w:val="22"/>
          <w:lang w:val="es-ES"/>
        </w:rPr>
        <w:t>least</w:t>
      </w:r>
      <w:proofErr w:type="spellEnd"/>
      <w:r>
        <w:rPr>
          <w:sz w:val="22"/>
          <w:szCs w:val="22"/>
          <w:lang w:val="es-ES"/>
        </w:rPr>
        <w:t xml:space="preserve"> </w:t>
      </w:r>
      <w:proofErr w:type="spellStart"/>
      <w:r>
        <w:rPr>
          <w:sz w:val="22"/>
          <w:szCs w:val="22"/>
          <w:lang w:val="es-ES"/>
        </w:rPr>
        <w:t>one</w:t>
      </w:r>
      <w:proofErr w:type="spellEnd"/>
      <w:r>
        <w:rPr>
          <w:sz w:val="22"/>
          <w:szCs w:val="22"/>
          <w:lang w:val="es-ES"/>
        </w:rPr>
        <w:t xml:space="preserve"> </w:t>
      </w:r>
      <w:proofErr w:type="spellStart"/>
      <w:r>
        <w:rPr>
          <w:sz w:val="22"/>
          <w:szCs w:val="22"/>
          <w:lang w:val="es-ES"/>
        </w:rPr>
        <w:t>daily</w:t>
      </w:r>
      <w:proofErr w:type="spellEnd"/>
      <w:r>
        <w:rPr>
          <w:sz w:val="22"/>
          <w:szCs w:val="22"/>
          <w:lang w:val="es-ES"/>
        </w:rPr>
        <w:t xml:space="preserve"> </w:t>
      </w:r>
      <w:proofErr w:type="spellStart"/>
      <w:r>
        <w:rPr>
          <w:sz w:val="22"/>
          <w:szCs w:val="22"/>
          <w:lang w:val="es-ES"/>
        </w:rPr>
        <w:t>transmission</w:t>
      </w:r>
      <w:proofErr w:type="spellEnd"/>
      <w:r>
        <w:rPr>
          <w:sz w:val="22"/>
          <w:szCs w:val="22"/>
          <w:lang w:val="es-ES"/>
        </w:rPr>
        <w:t xml:space="preserve">, </w:t>
      </w:r>
      <w:proofErr w:type="spellStart"/>
      <w:r>
        <w:rPr>
          <w:sz w:val="22"/>
          <w:szCs w:val="22"/>
          <w:lang w:val="es-ES"/>
        </w:rPr>
        <w:t>taking</w:t>
      </w:r>
      <w:proofErr w:type="spellEnd"/>
      <w:r>
        <w:rPr>
          <w:sz w:val="22"/>
          <w:szCs w:val="22"/>
          <w:lang w:val="es-ES"/>
        </w:rPr>
        <w:t xml:space="preserve"> a </w:t>
      </w:r>
      <w:proofErr w:type="spellStart"/>
      <w:r>
        <w:rPr>
          <w:sz w:val="22"/>
          <w:szCs w:val="22"/>
          <w:lang w:val="es-ES"/>
        </w:rPr>
        <w:t>consumption</w:t>
      </w:r>
      <w:proofErr w:type="spellEnd"/>
      <w:r>
        <w:rPr>
          <w:sz w:val="22"/>
          <w:szCs w:val="22"/>
          <w:lang w:val="es-ES"/>
        </w:rPr>
        <w:t xml:space="preserve"> </w:t>
      </w:r>
      <w:proofErr w:type="spellStart"/>
      <w:r>
        <w:rPr>
          <w:sz w:val="22"/>
          <w:szCs w:val="22"/>
          <w:lang w:val="es-ES"/>
        </w:rPr>
        <w:t>reading</w:t>
      </w:r>
      <w:proofErr w:type="spellEnd"/>
      <w:r>
        <w:rPr>
          <w:sz w:val="22"/>
          <w:szCs w:val="22"/>
          <w:lang w:val="es-ES"/>
        </w:rPr>
        <w:t xml:space="preserve"> </w:t>
      </w:r>
      <w:proofErr w:type="spellStart"/>
      <w:r>
        <w:rPr>
          <w:sz w:val="22"/>
          <w:szCs w:val="22"/>
          <w:lang w:val="es-ES"/>
        </w:rPr>
        <w:t>sample</w:t>
      </w:r>
      <w:proofErr w:type="spellEnd"/>
      <w:r>
        <w:rPr>
          <w:sz w:val="22"/>
          <w:szCs w:val="22"/>
          <w:lang w:val="es-ES"/>
        </w:rPr>
        <w:t xml:space="preserve"> </w:t>
      </w:r>
      <w:proofErr w:type="spellStart"/>
      <w:r>
        <w:rPr>
          <w:sz w:val="22"/>
          <w:szCs w:val="22"/>
          <w:lang w:val="es-ES"/>
        </w:rPr>
        <w:t>every</w:t>
      </w:r>
      <w:proofErr w:type="spellEnd"/>
      <w:r>
        <w:rPr>
          <w:sz w:val="22"/>
          <w:szCs w:val="22"/>
          <w:lang w:val="es-ES"/>
        </w:rPr>
        <w:t xml:space="preserve"> </w:t>
      </w:r>
      <w:proofErr w:type="spellStart"/>
      <w:r>
        <w:rPr>
          <w:sz w:val="22"/>
          <w:szCs w:val="22"/>
          <w:lang w:val="es-ES"/>
        </w:rPr>
        <w:t>hour</w:t>
      </w:r>
      <w:proofErr w:type="spellEnd"/>
      <w:r>
        <w:rPr>
          <w:sz w:val="22"/>
          <w:szCs w:val="22"/>
          <w:lang w:val="es-ES"/>
        </w:rPr>
        <w:t>.</w:t>
      </w:r>
    </w:p>
    <w:p w14:paraId="7013FFEA" w14:textId="77777777" w:rsidR="00E255F4" w:rsidRDefault="00000000">
      <w:pPr>
        <w:pStyle w:val="Prrafodelista"/>
        <w:numPr>
          <w:ilvl w:val="2"/>
          <w:numId w:val="68"/>
        </w:numPr>
        <w:tabs>
          <w:tab w:val="left" w:pos="851"/>
        </w:tabs>
        <w:spacing w:after="120"/>
        <w:ind w:left="851" w:hanging="851"/>
        <w:jc w:val="both"/>
        <w:rPr>
          <w:sz w:val="22"/>
          <w:szCs w:val="22"/>
          <w:lang w:val="es-ES"/>
        </w:rPr>
      </w:pPr>
      <w:proofErr w:type="spellStart"/>
      <w:r>
        <w:rPr>
          <w:sz w:val="22"/>
          <w:szCs w:val="22"/>
          <w:lang w:val="es-ES"/>
        </w:rPr>
        <w:t>It</w:t>
      </w:r>
      <w:proofErr w:type="spellEnd"/>
      <w:r>
        <w:rPr>
          <w:sz w:val="22"/>
          <w:szCs w:val="22"/>
          <w:lang w:val="es-ES"/>
        </w:rPr>
        <w:t xml:space="preserve"> </w:t>
      </w:r>
      <w:proofErr w:type="spellStart"/>
      <w:r>
        <w:rPr>
          <w:sz w:val="22"/>
          <w:szCs w:val="22"/>
          <w:lang w:val="es-ES"/>
        </w:rPr>
        <w:t>must</w:t>
      </w:r>
      <w:proofErr w:type="spellEnd"/>
      <w:r>
        <w:rPr>
          <w:sz w:val="22"/>
          <w:szCs w:val="22"/>
          <w:lang w:val="es-ES"/>
        </w:rPr>
        <w:t xml:space="preserve"> be </w:t>
      </w:r>
      <w:proofErr w:type="spellStart"/>
      <w:r>
        <w:rPr>
          <w:sz w:val="22"/>
          <w:szCs w:val="22"/>
          <w:lang w:val="es-ES"/>
        </w:rPr>
        <w:t>ensured</w:t>
      </w:r>
      <w:proofErr w:type="spellEnd"/>
      <w:r>
        <w:rPr>
          <w:sz w:val="22"/>
          <w:szCs w:val="22"/>
          <w:lang w:val="es-ES"/>
        </w:rPr>
        <w:t xml:space="preserve"> </w:t>
      </w:r>
      <w:proofErr w:type="spellStart"/>
      <w:r>
        <w:rPr>
          <w:sz w:val="22"/>
          <w:szCs w:val="22"/>
          <w:lang w:val="es-ES"/>
        </w:rPr>
        <w:t>that</w:t>
      </w:r>
      <w:proofErr w:type="spellEnd"/>
      <w:r>
        <w:rPr>
          <w:sz w:val="22"/>
          <w:szCs w:val="22"/>
          <w:lang w:val="es-ES"/>
        </w:rPr>
        <w:t xml:space="preserve"> </w:t>
      </w:r>
      <w:proofErr w:type="spellStart"/>
      <w:r>
        <w:rPr>
          <w:sz w:val="22"/>
          <w:szCs w:val="22"/>
          <w:lang w:val="es-ES"/>
        </w:rPr>
        <w:t>if</w:t>
      </w:r>
      <w:proofErr w:type="spellEnd"/>
      <w:r>
        <w:rPr>
          <w:sz w:val="22"/>
          <w:szCs w:val="22"/>
          <w:lang w:val="es-ES"/>
        </w:rPr>
        <w:t xml:space="preserve"> </w:t>
      </w:r>
      <w:proofErr w:type="spellStart"/>
      <w:r>
        <w:rPr>
          <w:sz w:val="22"/>
          <w:szCs w:val="22"/>
          <w:lang w:val="es-ES"/>
        </w:rPr>
        <w:t>the</w:t>
      </w:r>
      <w:proofErr w:type="spellEnd"/>
      <w:r>
        <w:rPr>
          <w:sz w:val="22"/>
          <w:szCs w:val="22"/>
          <w:lang w:val="es-ES"/>
        </w:rPr>
        <w:t xml:space="preserve"> </w:t>
      </w:r>
      <w:proofErr w:type="spellStart"/>
      <w:r>
        <w:rPr>
          <w:sz w:val="22"/>
          <w:szCs w:val="22"/>
          <w:lang w:val="es-ES"/>
        </w:rPr>
        <w:t>transmission</w:t>
      </w:r>
      <w:proofErr w:type="spellEnd"/>
      <w:r>
        <w:rPr>
          <w:sz w:val="22"/>
          <w:szCs w:val="22"/>
          <w:lang w:val="es-ES"/>
        </w:rPr>
        <w:t xml:space="preserve"> </w:t>
      </w:r>
      <w:proofErr w:type="spellStart"/>
      <w:r>
        <w:rPr>
          <w:sz w:val="22"/>
          <w:szCs w:val="22"/>
          <w:lang w:val="es-ES"/>
        </w:rPr>
        <w:t>cannot</w:t>
      </w:r>
      <w:proofErr w:type="spellEnd"/>
      <w:r>
        <w:rPr>
          <w:sz w:val="22"/>
          <w:szCs w:val="22"/>
          <w:lang w:val="es-ES"/>
        </w:rPr>
        <w:t xml:space="preserve"> be </w:t>
      </w:r>
      <w:proofErr w:type="spellStart"/>
      <w:r>
        <w:rPr>
          <w:sz w:val="22"/>
          <w:szCs w:val="22"/>
          <w:lang w:val="es-ES"/>
        </w:rPr>
        <w:t>carried</w:t>
      </w:r>
      <w:proofErr w:type="spellEnd"/>
      <w:r>
        <w:rPr>
          <w:sz w:val="22"/>
          <w:szCs w:val="22"/>
          <w:lang w:val="es-ES"/>
        </w:rPr>
        <w:t xml:space="preserve"> </w:t>
      </w:r>
      <w:proofErr w:type="spellStart"/>
      <w:r>
        <w:rPr>
          <w:sz w:val="22"/>
          <w:szCs w:val="22"/>
          <w:lang w:val="es-ES"/>
        </w:rPr>
        <w:t>out</w:t>
      </w:r>
      <w:proofErr w:type="spellEnd"/>
      <w:r>
        <w:rPr>
          <w:sz w:val="22"/>
          <w:szCs w:val="22"/>
          <w:lang w:val="es-ES"/>
        </w:rPr>
        <w:t xml:space="preserve"> </w:t>
      </w:r>
      <w:proofErr w:type="spellStart"/>
      <w:r>
        <w:rPr>
          <w:sz w:val="22"/>
          <w:szCs w:val="22"/>
          <w:lang w:val="es-ES"/>
        </w:rPr>
        <w:t>for</w:t>
      </w:r>
      <w:proofErr w:type="spellEnd"/>
      <w:r>
        <w:rPr>
          <w:sz w:val="22"/>
          <w:szCs w:val="22"/>
          <w:lang w:val="es-ES"/>
        </w:rPr>
        <w:t xml:space="preserve"> </w:t>
      </w:r>
      <w:proofErr w:type="spellStart"/>
      <w:r>
        <w:rPr>
          <w:sz w:val="22"/>
          <w:szCs w:val="22"/>
          <w:lang w:val="es-ES"/>
        </w:rPr>
        <w:t>any</w:t>
      </w:r>
      <w:proofErr w:type="spellEnd"/>
      <w:r>
        <w:rPr>
          <w:sz w:val="22"/>
          <w:szCs w:val="22"/>
          <w:lang w:val="es-ES"/>
        </w:rPr>
        <w:t xml:space="preserve"> </w:t>
      </w:r>
      <w:proofErr w:type="spellStart"/>
      <w:r>
        <w:rPr>
          <w:sz w:val="22"/>
          <w:szCs w:val="22"/>
          <w:lang w:val="es-ES"/>
        </w:rPr>
        <w:t>reason</w:t>
      </w:r>
      <w:proofErr w:type="spellEnd"/>
      <w:r>
        <w:rPr>
          <w:sz w:val="22"/>
          <w:szCs w:val="22"/>
          <w:lang w:val="es-ES"/>
        </w:rPr>
        <w:t xml:space="preserve">, </w:t>
      </w:r>
      <w:proofErr w:type="spellStart"/>
      <w:r>
        <w:rPr>
          <w:sz w:val="22"/>
          <w:szCs w:val="22"/>
          <w:lang w:val="es-ES"/>
        </w:rPr>
        <w:t>the</w:t>
      </w:r>
      <w:proofErr w:type="spellEnd"/>
      <w:r>
        <w:rPr>
          <w:sz w:val="22"/>
          <w:szCs w:val="22"/>
          <w:lang w:val="es-ES"/>
        </w:rPr>
        <w:t xml:space="preserve"> </w:t>
      </w:r>
      <w:proofErr w:type="spellStart"/>
      <w:r>
        <w:rPr>
          <w:sz w:val="22"/>
          <w:szCs w:val="22"/>
          <w:lang w:val="es-ES"/>
        </w:rPr>
        <w:t>hourly</w:t>
      </w:r>
      <w:proofErr w:type="spellEnd"/>
      <w:r>
        <w:rPr>
          <w:sz w:val="22"/>
          <w:szCs w:val="22"/>
          <w:lang w:val="es-ES"/>
        </w:rPr>
        <w:t xml:space="preserve"> </w:t>
      </w:r>
      <w:proofErr w:type="spellStart"/>
      <w:r>
        <w:rPr>
          <w:sz w:val="22"/>
          <w:szCs w:val="22"/>
          <w:lang w:val="es-ES"/>
        </w:rPr>
        <w:t>consumption</w:t>
      </w:r>
      <w:proofErr w:type="spellEnd"/>
      <w:r>
        <w:rPr>
          <w:sz w:val="22"/>
          <w:szCs w:val="22"/>
          <w:lang w:val="es-ES"/>
        </w:rPr>
        <w:t xml:space="preserve"> data </w:t>
      </w:r>
      <w:proofErr w:type="spellStart"/>
      <w:r>
        <w:rPr>
          <w:sz w:val="22"/>
          <w:szCs w:val="22"/>
          <w:lang w:val="es-ES"/>
        </w:rPr>
        <w:t>must</w:t>
      </w:r>
      <w:proofErr w:type="spellEnd"/>
      <w:r>
        <w:rPr>
          <w:sz w:val="22"/>
          <w:szCs w:val="22"/>
          <w:lang w:val="es-ES"/>
        </w:rPr>
        <w:t xml:space="preserve"> </w:t>
      </w:r>
      <w:proofErr w:type="spellStart"/>
      <w:r>
        <w:rPr>
          <w:sz w:val="22"/>
          <w:szCs w:val="22"/>
          <w:lang w:val="es-ES"/>
        </w:rPr>
        <w:t>not</w:t>
      </w:r>
      <w:proofErr w:type="spellEnd"/>
      <w:r>
        <w:rPr>
          <w:sz w:val="22"/>
          <w:szCs w:val="22"/>
          <w:lang w:val="es-ES"/>
        </w:rPr>
        <w:t xml:space="preserve"> be </w:t>
      </w:r>
      <w:proofErr w:type="spellStart"/>
      <w:r>
        <w:rPr>
          <w:sz w:val="22"/>
          <w:szCs w:val="22"/>
          <w:lang w:val="es-ES"/>
        </w:rPr>
        <w:t>lost</w:t>
      </w:r>
      <w:proofErr w:type="spellEnd"/>
      <w:r>
        <w:rPr>
          <w:sz w:val="22"/>
          <w:szCs w:val="22"/>
          <w:lang w:val="es-ES"/>
        </w:rPr>
        <w:t xml:space="preserve">, </w:t>
      </w:r>
      <w:proofErr w:type="spellStart"/>
      <w:r>
        <w:rPr>
          <w:sz w:val="22"/>
          <w:szCs w:val="22"/>
          <w:lang w:val="es-ES"/>
        </w:rPr>
        <w:t>by</w:t>
      </w:r>
      <w:proofErr w:type="spellEnd"/>
      <w:r>
        <w:rPr>
          <w:sz w:val="22"/>
          <w:szCs w:val="22"/>
          <w:lang w:val="es-ES"/>
        </w:rPr>
        <w:t xml:space="preserve"> </w:t>
      </w:r>
      <w:proofErr w:type="spellStart"/>
      <w:r>
        <w:rPr>
          <w:sz w:val="22"/>
          <w:szCs w:val="22"/>
          <w:lang w:val="es-ES"/>
        </w:rPr>
        <w:t>sending</w:t>
      </w:r>
      <w:proofErr w:type="spellEnd"/>
      <w:r>
        <w:rPr>
          <w:sz w:val="22"/>
          <w:szCs w:val="22"/>
          <w:lang w:val="es-ES"/>
        </w:rPr>
        <w:t xml:space="preserve"> </w:t>
      </w:r>
      <w:proofErr w:type="spellStart"/>
      <w:r>
        <w:rPr>
          <w:sz w:val="22"/>
          <w:szCs w:val="22"/>
          <w:lang w:val="es-ES"/>
        </w:rPr>
        <w:t>it</w:t>
      </w:r>
      <w:proofErr w:type="spellEnd"/>
      <w:r>
        <w:rPr>
          <w:sz w:val="22"/>
          <w:szCs w:val="22"/>
          <w:lang w:val="es-ES"/>
        </w:rPr>
        <w:t xml:space="preserve"> in </w:t>
      </w:r>
      <w:proofErr w:type="spellStart"/>
      <w:r>
        <w:rPr>
          <w:sz w:val="22"/>
          <w:szCs w:val="22"/>
          <w:lang w:val="es-ES"/>
        </w:rPr>
        <w:t>the</w:t>
      </w:r>
      <w:proofErr w:type="spellEnd"/>
      <w:r>
        <w:rPr>
          <w:sz w:val="22"/>
          <w:szCs w:val="22"/>
          <w:lang w:val="es-ES"/>
        </w:rPr>
        <w:t xml:space="preserve"> </w:t>
      </w:r>
      <w:proofErr w:type="spellStart"/>
      <w:r>
        <w:rPr>
          <w:sz w:val="22"/>
          <w:szCs w:val="22"/>
          <w:lang w:val="es-ES"/>
        </w:rPr>
        <w:t>next</w:t>
      </w:r>
      <w:proofErr w:type="spellEnd"/>
      <w:r>
        <w:rPr>
          <w:sz w:val="22"/>
          <w:szCs w:val="22"/>
          <w:lang w:val="es-ES"/>
        </w:rPr>
        <w:t xml:space="preserve"> </w:t>
      </w:r>
      <w:proofErr w:type="spellStart"/>
      <w:r>
        <w:rPr>
          <w:sz w:val="22"/>
          <w:szCs w:val="22"/>
          <w:lang w:val="es-ES"/>
        </w:rPr>
        <w:t>transmission</w:t>
      </w:r>
      <w:proofErr w:type="spellEnd"/>
      <w:r>
        <w:rPr>
          <w:sz w:val="22"/>
          <w:szCs w:val="22"/>
          <w:lang w:val="es-ES"/>
        </w:rPr>
        <w:t>.</w:t>
      </w:r>
    </w:p>
    <w:p w14:paraId="4A4DB196" w14:textId="77777777" w:rsidR="00E255F4" w:rsidRDefault="00000000">
      <w:pPr>
        <w:pStyle w:val="Prrafodelista"/>
        <w:numPr>
          <w:ilvl w:val="2"/>
          <w:numId w:val="68"/>
        </w:numPr>
        <w:tabs>
          <w:tab w:val="left" w:pos="851"/>
        </w:tabs>
        <w:spacing w:after="120"/>
        <w:ind w:left="851" w:hanging="851"/>
        <w:jc w:val="both"/>
      </w:pPr>
      <w:r>
        <w:rPr>
          <w:sz w:val="22"/>
          <w:szCs w:val="22"/>
          <w:lang w:val="es-ES"/>
        </w:rPr>
        <w:t xml:space="preserve">The </w:t>
      </w:r>
      <w:proofErr w:type="spellStart"/>
      <w:r>
        <w:rPr>
          <w:sz w:val="22"/>
          <w:szCs w:val="22"/>
          <w:lang w:val="es-ES"/>
        </w:rPr>
        <w:t>maximum</w:t>
      </w:r>
      <w:proofErr w:type="spellEnd"/>
      <w:r>
        <w:rPr>
          <w:sz w:val="22"/>
          <w:szCs w:val="22"/>
          <w:lang w:val="es-ES"/>
        </w:rPr>
        <w:t xml:space="preserve"> </w:t>
      </w:r>
      <w:proofErr w:type="spellStart"/>
      <w:r>
        <w:rPr>
          <w:sz w:val="22"/>
          <w:szCs w:val="22"/>
          <w:lang w:val="es-ES"/>
        </w:rPr>
        <w:t>acceptable</w:t>
      </w:r>
      <w:proofErr w:type="spellEnd"/>
      <w:r>
        <w:rPr>
          <w:sz w:val="22"/>
          <w:szCs w:val="22"/>
          <w:lang w:val="es-ES"/>
        </w:rPr>
        <w:t xml:space="preserve"> </w:t>
      </w:r>
      <w:proofErr w:type="spellStart"/>
      <w:r>
        <w:rPr>
          <w:sz w:val="22"/>
          <w:szCs w:val="22"/>
          <w:lang w:val="es-ES"/>
        </w:rPr>
        <w:t>period</w:t>
      </w:r>
      <w:proofErr w:type="spellEnd"/>
      <w:r>
        <w:rPr>
          <w:sz w:val="22"/>
          <w:szCs w:val="22"/>
          <w:lang w:val="es-ES"/>
        </w:rPr>
        <w:t xml:space="preserve"> </w:t>
      </w:r>
      <w:proofErr w:type="spellStart"/>
      <w:r>
        <w:rPr>
          <w:sz w:val="22"/>
          <w:szCs w:val="22"/>
          <w:lang w:val="es-ES"/>
        </w:rPr>
        <w:t>for</w:t>
      </w:r>
      <w:proofErr w:type="spellEnd"/>
      <w:r>
        <w:rPr>
          <w:sz w:val="22"/>
          <w:szCs w:val="22"/>
          <w:lang w:val="es-ES"/>
        </w:rPr>
        <w:t xml:space="preserve"> </w:t>
      </w:r>
      <w:proofErr w:type="spellStart"/>
      <w:r>
        <w:rPr>
          <w:sz w:val="22"/>
          <w:szCs w:val="22"/>
          <w:lang w:val="es-ES"/>
        </w:rPr>
        <w:t>failure</w:t>
      </w:r>
      <w:proofErr w:type="spellEnd"/>
      <w:r>
        <w:rPr>
          <w:sz w:val="22"/>
          <w:szCs w:val="22"/>
          <w:lang w:val="es-ES"/>
        </w:rPr>
        <w:t xml:space="preserve"> </w:t>
      </w:r>
      <w:proofErr w:type="spellStart"/>
      <w:r>
        <w:rPr>
          <w:sz w:val="22"/>
          <w:szCs w:val="22"/>
          <w:lang w:val="es-ES"/>
        </w:rPr>
        <w:t>to</w:t>
      </w:r>
      <w:proofErr w:type="spellEnd"/>
      <w:r>
        <w:rPr>
          <w:sz w:val="22"/>
          <w:szCs w:val="22"/>
          <w:lang w:val="es-ES"/>
        </w:rPr>
        <w:t xml:space="preserve"> </w:t>
      </w:r>
      <w:proofErr w:type="spellStart"/>
      <w:r>
        <w:rPr>
          <w:sz w:val="22"/>
          <w:szCs w:val="22"/>
          <w:lang w:val="es-ES"/>
        </w:rPr>
        <w:t>transmit</w:t>
      </w:r>
      <w:proofErr w:type="spellEnd"/>
      <w:r>
        <w:rPr>
          <w:sz w:val="22"/>
          <w:szCs w:val="22"/>
          <w:lang w:val="es-ES"/>
        </w:rPr>
        <w:t xml:space="preserve"> </w:t>
      </w:r>
      <w:proofErr w:type="spellStart"/>
      <w:r>
        <w:rPr>
          <w:sz w:val="22"/>
          <w:szCs w:val="22"/>
          <w:lang w:val="es-ES"/>
        </w:rPr>
        <w:t>the</w:t>
      </w:r>
      <w:proofErr w:type="spellEnd"/>
      <w:r>
        <w:rPr>
          <w:sz w:val="22"/>
          <w:szCs w:val="22"/>
          <w:lang w:val="es-ES"/>
        </w:rPr>
        <w:t xml:space="preserve"> </w:t>
      </w:r>
      <w:proofErr w:type="spellStart"/>
      <w:r>
        <w:rPr>
          <w:sz w:val="22"/>
          <w:szCs w:val="22"/>
          <w:lang w:val="es-ES"/>
        </w:rPr>
        <w:t>daily</w:t>
      </w:r>
      <w:proofErr w:type="spellEnd"/>
      <w:r>
        <w:rPr>
          <w:sz w:val="22"/>
          <w:szCs w:val="22"/>
          <w:lang w:val="es-ES"/>
        </w:rPr>
        <w:t xml:space="preserve"> </w:t>
      </w:r>
      <w:proofErr w:type="spellStart"/>
      <w:r>
        <w:rPr>
          <w:sz w:val="22"/>
          <w:szCs w:val="22"/>
          <w:lang w:val="es-ES"/>
        </w:rPr>
        <w:t>telemetry</w:t>
      </w:r>
      <w:proofErr w:type="spellEnd"/>
      <w:r>
        <w:rPr>
          <w:sz w:val="22"/>
          <w:szCs w:val="22"/>
          <w:lang w:val="es-ES"/>
        </w:rPr>
        <w:t xml:space="preserve"> data at </w:t>
      </w:r>
      <w:proofErr w:type="spellStart"/>
      <w:r>
        <w:rPr>
          <w:sz w:val="22"/>
          <w:szCs w:val="22"/>
          <w:lang w:val="es-ES"/>
        </w:rPr>
        <w:t>the</w:t>
      </w:r>
      <w:proofErr w:type="spellEnd"/>
      <w:r>
        <w:rPr>
          <w:sz w:val="22"/>
          <w:szCs w:val="22"/>
          <w:lang w:val="es-ES"/>
        </w:rPr>
        <w:t xml:space="preserve"> </w:t>
      </w:r>
      <w:proofErr w:type="spellStart"/>
      <w:r>
        <w:rPr>
          <w:sz w:val="22"/>
          <w:szCs w:val="22"/>
          <w:lang w:val="es-ES"/>
        </w:rPr>
        <w:t>established</w:t>
      </w:r>
      <w:proofErr w:type="spellEnd"/>
      <w:r>
        <w:rPr>
          <w:sz w:val="22"/>
          <w:szCs w:val="22"/>
          <w:lang w:val="es-ES"/>
        </w:rPr>
        <w:t xml:space="preserve"> </w:t>
      </w:r>
      <w:proofErr w:type="spellStart"/>
      <w:r>
        <w:rPr>
          <w:sz w:val="22"/>
          <w:szCs w:val="22"/>
          <w:lang w:val="es-ES"/>
        </w:rPr>
        <w:t>rate</w:t>
      </w:r>
      <w:proofErr w:type="spellEnd"/>
      <w:r>
        <w:rPr>
          <w:sz w:val="22"/>
          <w:szCs w:val="22"/>
          <w:lang w:val="es-ES"/>
        </w:rPr>
        <w:t xml:space="preserve"> </w:t>
      </w:r>
      <w:proofErr w:type="spellStart"/>
      <w:r>
        <w:rPr>
          <w:sz w:val="22"/>
          <w:szCs w:val="22"/>
          <w:lang w:val="es-ES"/>
        </w:rPr>
        <w:t>will</w:t>
      </w:r>
      <w:proofErr w:type="spellEnd"/>
      <w:r>
        <w:rPr>
          <w:sz w:val="22"/>
          <w:szCs w:val="22"/>
          <w:lang w:val="es-ES"/>
        </w:rPr>
        <w:t xml:space="preserve"> be 48 </w:t>
      </w:r>
      <w:proofErr w:type="spellStart"/>
      <w:r>
        <w:rPr>
          <w:sz w:val="22"/>
          <w:szCs w:val="22"/>
          <w:lang w:val="es-ES"/>
        </w:rPr>
        <w:t>hours</w:t>
      </w:r>
      <w:proofErr w:type="spellEnd"/>
      <w:r>
        <w:rPr>
          <w:sz w:val="22"/>
          <w:szCs w:val="22"/>
          <w:lang w:val="es-ES"/>
        </w:rPr>
        <w:t xml:space="preserve">. </w:t>
      </w:r>
      <w:proofErr w:type="spellStart"/>
      <w:r>
        <w:rPr>
          <w:sz w:val="22"/>
          <w:szCs w:val="22"/>
          <w:lang w:val="es-ES"/>
        </w:rPr>
        <w:t>Should</w:t>
      </w:r>
      <w:proofErr w:type="spellEnd"/>
      <w:r>
        <w:rPr>
          <w:sz w:val="22"/>
          <w:szCs w:val="22"/>
          <w:lang w:val="es-ES"/>
        </w:rPr>
        <w:t xml:space="preserve"> </w:t>
      </w:r>
      <w:proofErr w:type="spellStart"/>
      <w:r>
        <w:rPr>
          <w:sz w:val="22"/>
          <w:szCs w:val="22"/>
          <w:lang w:val="es-ES"/>
        </w:rPr>
        <w:t>this</w:t>
      </w:r>
      <w:proofErr w:type="spellEnd"/>
      <w:r>
        <w:rPr>
          <w:sz w:val="22"/>
          <w:szCs w:val="22"/>
          <w:lang w:val="es-ES"/>
        </w:rPr>
        <w:t xml:space="preserve"> </w:t>
      </w:r>
      <w:proofErr w:type="spellStart"/>
      <w:r>
        <w:rPr>
          <w:sz w:val="22"/>
          <w:szCs w:val="22"/>
          <w:lang w:val="es-ES"/>
        </w:rPr>
        <w:t>objective</w:t>
      </w:r>
      <w:proofErr w:type="spellEnd"/>
      <w:r>
        <w:rPr>
          <w:sz w:val="22"/>
          <w:szCs w:val="22"/>
          <w:lang w:val="es-ES"/>
        </w:rPr>
        <w:t xml:space="preserve"> </w:t>
      </w:r>
      <w:proofErr w:type="spellStart"/>
      <w:r>
        <w:rPr>
          <w:sz w:val="22"/>
          <w:szCs w:val="22"/>
          <w:lang w:val="es-ES"/>
        </w:rPr>
        <w:t>not</w:t>
      </w:r>
      <w:proofErr w:type="spellEnd"/>
      <w:r>
        <w:rPr>
          <w:sz w:val="22"/>
          <w:szCs w:val="22"/>
          <w:lang w:val="es-ES"/>
        </w:rPr>
        <w:t xml:space="preserve"> be </w:t>
      </w:r>
      <w:proofErr w:type="spellStart"/>
      <w:r>
        <w:rPr>
          <w:sz w:val="22"/>
          <w:szCs w:val="22"/>
          <w:lang w:val="es-ES"/>
        </w:rPr>
        <w:t>met</w:t>
      </w:r>
      <w:proofErr w:type="spellEnd"/>
      <w:r>
        <w:rPr>
          <w:sz w:val="22"/>
          <w:szCs w:val="22"/>
          <w:lang w:val="es-ES"/>
        </w:rPr>
        <w:t xml:space="preserve">, </w:t>
      </w:r>
      <w:proofErr w:type="spellStart"/>
      <w:r>
        <w:rPr>
          <w:sz w:val="22"/>
          <w:szCs w:val="22"/>
          <w:lang w:val="es-ES"/>
        </w:rPr>
        <w:t>all</w:t>
      </w:r>
      <w:proofErr w:type="spellEnd"/>
      <w:r>
        <w:rPr>
          <w:sz w:val="22"/>
          <w:szCs w:val="22"/>
          <w:lang w:val="es-ES"/>
        </w:rPr>
        <w:t xml:space="preserve"> </w:t>
      </w:r>
      <w:proofErr w:type="spellStart"/>
      <w:r>
        <w:rPr>
          <w:sz w:val="22"/>
          <w:szCs w:val="22"/>
          <w:lang w:val="es-ES"/>
        </w:rPr>
        <w:t>necessary</w:t>
      </w:r>
      <w:proofErr w:type="spellEnd"/>
      <w:r>
        <w:rPr>
          <w:sz w:val="22"/>
          <w:szCs w:val="22"/>
          <w:lang w:val="es-ES"/>
        </w:rPr>
        <w:t xml:space="preserve"> </w:t>
      </w:r>
      <w:proofErr w:type="spellStart"/>
      <w:r>
        <w:rPr>
          <w:sz w:val="22"/>
          <w:szCs w:val="22"/>
          <w:lang w:val="es-ES"/>
        </w:rPr>
        <w:t>measures</w:t>
      </w:r>
      <w:proofErr w:type="spellEnd"/>
      <w:r>
        <w:rPr>
          <w:sz w:val="22"/>
          <w:szCs w:val="22"/>
          <w:lang w:val="es-ES"/>
        </w:rPr>
        <w:t xml:space="preserve"> </w:t>
      </w:r>
      <w:proofErr w:type="spellStart"/>
      <w:r>
        <w:rPr>
          <w:sz w:val="22"/>
          <w:szCs w:val="22"/>
          <w:lang w:val="es-ES"/>
        </w:rPr>
        <w:t>must</w:t>
      </w:r>
      <w:proofErr w:type="spellEnd"/>
      <w:r>
        <w:rPr>
          <w:sz w:val="22"/>
          <w:szCs w:val="22"/>
          <w:lang w:val="es-ES"/>
        </w:rPr>
        <w:t xml:space="preserve"> be </w:t>
      </w:r>
      <w:proofErr w:type="spellStart"/>
      <w:r>
        <w:rPr>
          <w:sz w:val="22"/>
          <w:szCs w:val="22"/>
          <w:lang w:val="es-ES"/>
        </w:rPr>
        <w:t>taken</w:t>
      </w:r>
      <w:proofErr w:type="spellEnd"/>
      <w:r>
        <w:rPr>
          <w:sz w:val="22"/>
          <w:szCs w:val="22"/>
          <w:lang w:val="es-ES"/>
        </w:rPr>
        <w:t xml:space="preserve"> </w:t>
      </w:r>
      <w:proofErr w:type="spellStart"/>
      <w:r>
        <w:rPr>
          <w:sz w:val="22"/>
          <w:szCs w:val="22"/>
          <w:lang w:val="es-ES"/>
        </w:rPr>
        <w:t>to</w:t>
      </w:r>
      <w:proofErr w:type="spellEnd"/>
      <w:r>
        <w:rPr>
          <w:sz w:val="22"/>
          <w:szCs w:val="22"/>
          <w:lang w:val="es-ES"/>
        </w:rPr>
        <w:t xml:space="preserve"> </w:t>
      </w:r>
      <w:proofErr w:type="spellStart"/>
      <w:r>
        <w:rPr>
          <w:sz w:val="22"/>
          <w:szCs w:val="22"/>
          <w:lang w:val="es-ES"/>
        </w:rPr>
        <w:t>ensure</w:t>
      </w:r>
      <w:proofErr w:type="spellEnd"/>
      <w:r>
        <w:rPr>
          <w:sz w:val="22"/>
          <w:szCs w:val="22"/>
          <w:lang w:val="es-ES"/>
        </w:rPr>
        <w:t xml:space="preserve"> </w:t>
      </w:r>
      <w:proofErr w:type="spellStart"/>
      <w:r>
        <w:rPr>
          <w:sz w:val="22"/>
          <w:szCs w:val="22"/>
          <w:lang w:val="es-ES"/>
        </w:rPr>
        <w:t>this</w:t>
      </w:r>
      <w:proofErr w:type="spellEnd"/>
      <w:r>
        <w:rPr>
          <w:sz w:val="22"/>
          <w:szCs w:val="22"/>
          <w:lang w:val="es-ES"/>
        </w:rPr>
        <w:t xml:space="preserve"> </w:t>
      </w:r>
      <w:proofErr w:type="spellStart"/>
      <w:r>
        <w:rPr>
          <w:sz w:val="22"/>
          <w:szCs w:val="22"/>
          <w:lang w:val="es-ES"/>
        </w:rPr>
        <w:t>daily</w:t>
      </w:r>
      <w:proofErr w:type="spellEnd"/>
      <w:r>
        <w:rPr>
          <w:sz w:val="22"/>
          <w:szCs w:val="22"/>
          <w:lang w:val="es-ES"/>
        </w:rPr>
        <w:t xml:space="preserve"> </w:t>
      </w:r>
      <w:proofErr w:type="spellStart"/>
      <w:r>
        <w:rPr>
          <w:sz w:val="22"/>
          <w:szCs w:val="22"/>
          <w:lang w:val="es-ES"/>
        </w:rPr>
        <w:t>transmission</w:t>
      </w:r>
      <w:proofErr w:type="spellEnd"/>
      <w:r>
        <w:rPr>
          <w:sz w:val="22"/>
          <w:szCs w:val="22"/>
          <w:lang w:val="es-ES"/>
        </w:rPr>
        <w:t>.</w:t>
      </w:r>
    </w:p>
    <w:p w14:paraId="21A2B1D1" w14:textId="77777777" w:rsidR="00E255F4" w:rsidRDefault="00000000">
      <w:pPr>
        <w:pStyle w:val="Prrafodelista"/>
        <w:numPr>
          <w:ilvl w:val="2"/>
          <w:numId w:val="68"/>
        </w:numPr>
        <w:tabs>
          <w:tab w:val="left" w:pos="851"/>
        </w:tabs>
        <w:spacing w:after="120"/>
        <w:ind w:left="851" w:hanging="851"/>
        <w:jc w:val="both"/>
      </w:pPr>
      <w:r>
        <w:rPr>
          <w:sz w:val="22"/>
          <w:szCs w:val="22"/>
          <w:lang w:val="es-ES"/>
        </w:rPr>
        <w:t xml:space="preserve">The </w:t>
      </w:r>
      <w:proofErr w:type="spellStart"/>
      <w:r>
        <w:rPr>
          <w:sz w:val="22"/>
          <w:szCs w:val="22"/>
          <w:lang w:val="es-ES"/>
        </w:rPr>
        <w:t>storage</w:t>
      </w:r>
      <w:proofErr w:type="spellEnd"/>
      <w:r>
        <w:rPr>
          <w:sz w:val="22"/>
          <w:szCs w:val="22"/>
          <w:lang w:val="es-ES"/>
        </w:rPr>
        <w:t xml:space="preserve"> </w:t>
      </w:r>
      <w:proofErr w:type="spellStart"/>
      <w:r>
        <w:rPr>
          <w:sz w:val="22"/>
          <w:szCs w:val="22"/>
          <w:lang w:val="es-ES"/>
        </w:rPr>
        <w:t>capacity</w:t>
      </w:r>
      <w:proofErr w:type="spellEnd"/>
      <w:r>
        <w:rPr>
          <w:sz w:val="22"/>
          <w:szCs w:val="22"/>
          <w:lang w:val="es-ES"/>
        </w:rPr>
        <w:t xml:space="preserve"> </w:t>
      </w:r>
      <w:proofErr w:type="spellStart"/>
      <w:r>
        <w:rPr>
          <w:sz w:val="22"/>
          <w:szCs w:val="22"/>
          <w:lang w:val="es-ES"/>
        </w:rPr>
        <w:t>of</w:t>
      </w:r>
      <w:proofErr w:type="spellEnd"/>
      <w:r>
        <w:rPr>
          <w:sz w:val="22"/>
          <w:szCs w:val="22"/>
          <w:lang w:val="es-ES"/>
        </w:rPr>
        <w:t xml:space="preserve"> </w:t>
      </w:r>
      <w:proofErr w:type="spellStart"/>
      <w:r>
        <w:rPr>
          <w:sz w:val="22"/>
          <w:szCs w:val="22"/>
          <w:lang w:val="es-ES"/>
        </w:rPr>
        <w:t>the</w:t>
      </w:r>
      <w:proofErr w:type="spellEnd"/>
      <w:r>
        <w:rPr>
          <w:sz w:val="22"/>
          <w:szCs w:val="22"/>
          <w:lang w:val="es-ES"/>
        </w:rPr>
        <w:t xml:space="preserve"> </w:t>
      </w:r>
      <w:proofErr w:type="spellStart"/>
      <w:r>
        <w:rPr>
          <w:sz w:val="22"/>
          <w:szCs w:val="22"/>
          <w:lang w:val="es-ES"/>
        </w:rPr>
        <w:t>telemetry</w:t>
      </w:r>
      <w:proofErr w:type="spellEnd"/>
      <w:r>
        <w:rPr>
          <w:sz w:val="22"/>
          <w:szCs w:val="22"/>
          <w:lang w:val="es-ES"/>
        </w:rPr>
        <w:t xml:space="preserve"> </w:t>
      </w:r>
      <w:proofErr w:type="spellStart"/>
      <w:r>
        <w:rPr>
          <w:sz w:val="22"/>
          <w:szCs w:val="22"/>
          <w:lang w:val="es-ES"/>
        </w:rPr>
        <w:t>devices</w:t>
      </w:r>
      <w:proofErr w:type="spellEnd"/>
      <w:r>
        <w:rPr>
          <w:sz w:val="22"/>
          <w:szCs w:val="22"/>
          <w:lang w:val="es-ES"/>
        </w:rPr>
        <w:t xml:space="preserve"> </w:t>
      </w:r>
      <w:proofErr w:type="spellStart"/>
      <w:r>
        <w:rPr>
          <w:sz w:val="22"/>
          <w:szCs w:val="22"/>
          <w:lang w:val="es-ES"/>
        </w:rPr>
        <w:t>must</w:t>
      </w:r>
      <w:proofErr w:type="spellEnd"/>
      <w:r>
        <w:rPr>
          <w:sz w:val="22"/>
          <w:szCs w:val="22"/>
          <w:lang w:val="es-ES"/>
        </w:rPr>
        <w:t xml:space="preserve"> be </w:t>
      </w:r>
      <w:proofErr w:type="spellStart"/>
      <w:r>
        <w:rPr>
          <w:sz w:val="22"/>
          <w:szCs w:val="22"/>
          <w:lang w:val="es-ES"/>
        </w:rPr>
        <w:t>such</w:t>
      </w:r>
      <w:proofErr w:type="spellEnd"/>
      <w:r>
        <w:rPr>
          <w:sz w:val="22"/>
          <w:szCs w:val="22"/>
          <w:lang w:val="es-ES"/>
        </w:rPr>
        <w:t xml:space="preserve"> </w:t>
      </w:r>
      <w:proofErr w:type="spellStart"/>
      <w:r>
        <w:rPr>
          <w:sz w:val="22"/>
          <w:szCs w:val="22"/>
          <w:lang w:val="es-ES"/>
        </w:rPr>
        <w:t>that</w:t>
      </w:r>
      <w:proofErr w:type="spellEnd"/>
      <w:r>
        <w:rPr>
          <w:sz w:val="22"/>
          <w:szCs w:val="22"/>
          <w:lang w:val="es-ES"/>
        </w:rPr>
        <w:t xml:space="preserve"> </w:t>
      </w:r>
      <w:proofErr w:type="spellStart"/>
      <w:r>
        <w:rPr>
          <w:sz w:val="22"/>
          <w:szCs w:val="22"/>
          <w:lang w:val="es-ES"/>
        </w:rPr>
        <w:t>it</w:t>
      </w:r>
      <w:proofErr w:type="spellEnd"/>
      <w:r>
        <w:rPr>
          <w:sz w:val="22"/>
          <w:szCs w:val="22"/>
          <w:lang w:val="es-ES"/>
        </w:rPr>
        <w:t xml:space="preserve"> </w:t>
      </w:r>
      <w:proofErr w:type="spellStart"/>
      <w:r>
        <w:rPr>
          <w:sz w:val="22"/>
          <w:szCs w:val="22"/>
          <w:lang w:val="es-ES"/>
        </w:rPr>
        <w:t>stores</w:t>
      </w:r>
      <w:proofErr w:type="spellEnd"/>
      <w:r>
        <w:rPr>
          <w:sz w:val="22"/>
          <w:szCs w:val="22"/>
          <w:lang w:val="es-ES"/>
        </w:rPr>
        <w:t xml:space="preserve"> </w:t>
      </w:r>
      <w:proofErr w:type="spellStart"/>
      <w:r>
        <w:rPr>
          <w:sz w:val="22"/>
          <w:szCs w:val="22"/>
          <w:lang w:val="es-ES"/>
        </w:rPr>
        <w:t>all</w:t>
      </w:r>
      <w:proofErr w:type="spellEnd"/>
      <w:r>
        <w:rPr>
          <w:sz w:val="22"/>
          <w:szCs w:val="22"/>
          <w:lang w:val="es-ES"/>
        </w:rPr>
        <w:t xml:space="preserve"> </w:t>
      </w:r>
      <w:proofErr w:type="spellStart"/>
      <w:r>
        <w:rPr>
          <w:sz w:val="22"/>
          <w:szCs w:val="22"/>
          <w:lang w:val="es-ES"/>
        </w:rPr>
        <w:t>the</w:t>
      </w:r>
      <w:proofErr w:type="spellEnd"/>
      <w:r>
        <w:rPr>
          <w:sz w:val="22"/>
          <w:szCs w:val="22"/>
          <w:lang w:val="es-ES"/>
        </w:rPr>
        <w:t xml:space="preserve"> </w:t>
      </w:r>
      <w:proofErr w:type="spellStart"/>
      <w:r>
        <w:rPr>
          <w:sz w:val="22"/>
          <w:szCs w:val="22"/>
          <w:lang w:val="es-ES"/>
        </w:rPr>
        <w:t>requested</w:t>
      </w:r>
      <w:proofErr w:type="spellEnd"/>
      <w:r>
        <w:rPr>
          <w:sz w:val="22"/>
          <w:szCs w:val="22"/>
          <w:lang w:val="es-ES"/>
        </w:rPr>
        <w:t xml:space="preserve"> </w:t>
      </w:r>
      <w:proofErr w:type="spellStart"/>
      <w:r>
        <w:rPr>
          <w:sz w:val="22"/>
          <w:szCs w:val="22"/>
          <w:lang w:val="es-ES"/>
        </w:rPr>
        <w:t>information</w:t>
      </w:r>
      <w:proofErr w:type="spellEnd"/>
      <w:r>
        <w:rPr>
          <w:sz w:val="22"/>
          <w:szCs w:val="22"/>
          <w:lang w:val="es-ES"/>
        </w:rPr>
        <w:t xml:space="preserve"> </w:t>
      </w:r>
      <w:proofErr w:type="spellStart"/>
      <w:r>
        <w:rPr>
          <w:sz w:val="22"/>
          <w:szCs w:val="22"/>
          <w:lang w:val="es-ES"/>
        </w:rPr>
        <w:t>for</w:t>
      </w:r>
      <w:proofErr w:type="spellEnd"/>
      <w:r>
        <w:rPr>
          <w:sz w:val="22"/>
          <w:szCs w:val="22"/>
          <w:lang w:val="es-ES"/>
        </w:rPr>
        <w:t xml:space="preserve"> at </w:t>
      </w:r>
      <w:proofErr w:type="spellStart"/>
      <w:r>
        <w:rPr>
          <w:sz w:val="22"/>
          <w:szCs w:val="22"/>
          <w:lang w:val="es-ES"/>
        </w:rPr>
        <w:t>least</w:t>
      </w:r>
      <w:proofErr w:type="spellEnd"/>
      <w:r>
        <w:rPr>
          <w:sz w:val="22"/>
          <w:szCs w:val="22"/>
          <w:lang w:val="es-ES"/>
        </w:rPr>
        <w:t xml:space="preserve"> 48 </w:t>
      </w:r>
      <w:proofErr w:type="spellStart"/>
      <w:r>
        <w:rPr>
          <w:sz w:val="22"/>
          <w:szCs w:val="22"/>
          <w:lang w:val="es-ES"/>
        </w:rPr>
        <w:t>hours</w:t>
      </w:r>
      <w:proofErr w:type="spellEnd"/>
      <w:r>
        <w:rPr>
          <w:sz w:val="22"/>
          <w:szCs w:val="22"/>
          <w:lang w:val="es-ES"/>
        </w:rPr>
        <w:t>.</w:t>
      </w:r>
    </w:p>
    <w:p w14:paraId="798C6F19" w14:textId="77777777" w:rsidR="00E255F4" w:rsidRDefault="00000000">
      <w:pPr>
        <w:pStyle w:val="Prrafodelista"/>
        <w:numPr>
          <w:ilvl w:val="2"/>
          <w:numId w:val="68"/>
        </w:numPr>
        <w:tabs>
          <w:tab w:val="left" w:pos="851"/>
        </w:tabs>
        <w:spacing w:after="120"/>
        <w:ind w:left="851" w:hanging="851"/>
        <w:jc w:val="both"/>
      </w:pPr>
      <w:r>
        <w:rPr>
          <w:sz w:val="22"/>
          <w:szCs w:val="22"/>
          <w:lang w:val="es-ES"/>
        </w:rPr>
        <w:t xml:space="preserve">The </w:t>
      </w:r>
      <w:proofErr w:type="spellStart"/>
      <w:r>
        <w:rPr>
          <w:sz w:val="22"/>
          <w:szCs w:val="22"/>
          <w:lang w:val="es-ES"/>
        </w:rPr>
        <w:t>telemetry</w:t>
      </w:r>
      <w:proofErr w:type="spellEnd"/>
      <w:r>
        <w:rPr>
          <w:sz w:val="22"/>
          <w:szCs w:val="22"/>
          <w:lang w:val="es-ES"/>
        </w:rPr>
        <w:t xml:space="preserve"> </w:t>
      </w:r>
      <w:proofErr w:type="spellStart"/>
      <w:r>
        <w:rPr>
          <w:sz w:val="22"/>
          <w:szCs w:val="22"/>
          <w:lang w:val="es-ES"/>
        </w:rPr>
        <w:t>device</w:t>
      </w:r>
      <w:proofErr w:type="spellEnd"/>
      <w:r>
        <w:rPr>
          <w:sz w:val="22"/>
          <w:szCs w:val="22"/>
          <w:lang w:val="es-ES"/>
        </w:rPr>
        <w:t xml:space="preserve"> </w:t>
      </w:r>
      <w:proofErr w:type="spellStart"/>
      <w:r>
        <w:rPr>
          <w:sz w:val="22"/>
          <w:szCs w:val="22"/>
          <w:lang w:val="es-ES"/>
        </w:rPr>
        <w:t>must</w:t>
      </w:r>
      <w:proofErr w:type="spellEnd"/>
      <w:r>
        <w:rPr>
          <w:sz w:val="22"/>
          <w:szCs w:val="22"/>
          <w:lang w:val="es-ES"/>
        </w:rPr>
        <w:t xml:space="preserve"> </w:t>
      </w:r>
      <w:proofErr w:type="spellStart"/>
      <w:r>
        <w:rPr>
          <w:sz w:val="22"/>
          <w:szCs w:val="22"/>
          <w:lang w:val="es-ES"/>
        </w:rPr>
        <w:t>have</w:t>
      </w:r>
      <w:proofErr w:type="spellEnd"/>
      <w:r>
        <w:rPr>
          <w:sz w:val="22"/>
          <w:szCs w:val="22"/>
          <w:lang w:val="es-ES"/>
        </w:rPr>
        <w:t xml:space="preserve"> </w:t>
      </w:r>
      <w:proofErr w:type="spellStart"/>
      <w:r>
        <w:rPr>
          <w:sz w:val="22"/>
          <w:szCs w:val="22"/>
          <w:lang w:val="es-ES"/>
        </w:rPr>
        <w:t>an</w:t>
      </w:r>
      <w:proofErr w:type="spellEnd"/>
      <w:r>
        <w:rPr>
          <w:sz w:val="22"/>
          <w:szCs w:val="22"/>
          <w:lang w:val="es-ES"/>
        </w:rPr>
        <w:t xml:space="preserve"> </w:t>
      </w:r>
      <w:proofErr w:type="spellStart"/>
      <w:r>
        <w:rPr>
          <w:sz w:val="22"/>
          <w:szCs w:val="22"/>
          <w:lang w:val="es-ES"/>
        </w:rPr>
        <w:t>internal</w:t>
      </w:r>
      <w:proofErr w:type="spellEnd"/>
      <w:r>
        <w:rPr>
          <w:sz w:val="22"/>
          <w:szCs w:val="22"/>
          <w:lang w:val="es-ES"/>
        </w:rPr>
        <w:t xml:space="preserve"> </w:t>
      </w:r>
      <w:proofErr w:type="spellStart"/>
      <w:r>
        <w:rPr>
          <w:sz w:val="22"/>
          <w:szCs w:val="22"/>
          <w:lang w:val="es-ES"/>
        </w:rPr>
        <w:t>clock</w:t>
      </w:r>
      <w:proofErr w:type="spellEnd"/>
      <w:r>
        <w:rPr>
          <w:sz w:val="22"/>
          <w:szCs w:val="22"/>
          <w:lang w:val="es-ES"/>
        </w:rPr>
        <w:t xml:space="preserve"> </w:t>
      </w:r>
      <w:proofErr w:type="spellStart"/>
      <w:r>
        <w:rPr>
          <w:sz w:val="22"/>
          <w:szCs w:val="22"/>
          <w:lang w:val="es-ES"/>
        </w:rPr>
        <w:t>synchronized</w:t>
      </w:r>
      <w:proofErr w:type="spellEnd"/>
      <w:r>
        <w:rPr>
          <w:sz w:val="22"/>
          <w:szCs w:val="22"/>
          <w:lang w:val="es-ES"/>
        </w:rPr>
        <w:t xml:space="preserve"> </w:t>
      </w:r>
      <w:proofErr w:type="spellStart"/>
      <w:r>
        <w:rPr>
          <w:sz w:val="22"/>
          <w:szCs w:val="22"/>
          <w:lang w:val="es-ES"/>
        </w:rPr>
        <w:t>with</w:t>
      </w:r>
      <w:proofErr w:type="spellEnd"/>
      <w:r>
        <w:rPr>
          <w:sz w:val="22"/>
          <w:szCs w:val="22"/>
          <w:lang w:val="es-ES"/>
        </w:rPr>
        <w:t xml:space="preserve"> </w:t>
      </w:r>
      <w:proofErr w:type="spellStart"/>
      <w:proofErr w:type="gramStart"/>
      <w:r>
        <w:rPr>
          <w:sz w:val="22"/>
          <w:szCs w:val="22"/>
          <w:lang w:val="es-ES"/>
        </w:rPr>
        <w:t>an</w:t>
      </w:r>
      <w:proofErr w:type="spellEnd"/>
      <w:r>
        <w:rPr>
          <w:sz w:val="22"/>
          <w:szCs w:val="22"/>
          <w:lang w:val="es-ES"/>
        </w:rPr>
        <w:t xml:space="preserve"> NTP</w:t>
      </w:r>
      <w:proofErr w:type="gramEnd"/>
      <w:r>
        <w:rPr>
          <w:sz w:val="22"/>
          <w:szCs w:val="22"/>
          <w:lang w:val="es-ES"/>
        </w:rPr>
        <w:t xml:space="preserve"> Server </w:t>
      </w:r>
      <w:proofErr w:type="spellStart"/>
      <w:r>
        <w:rPr>
          <w:sz w:val="22"/>
          <w:szCs w:val="22"/>
          <w:lang w:val="es-ES"/>
        </w:rPr>
        <w:t>provided</w:t>
      </w:r>
      <w:proofErr w:type="spellEnd"/>
      <w:r>
        <w:rPr>
          <w:sz w:val="22"/>
          <w:szCs w:val="22"/>
          <w:lang w:val="es-ES"/>
        </w:rPr>
        <w:t xml:space="preserve"> </w:t>
      </w:r>
      <w:proofErr w:type="spellStart"/>
      <w:r>
        <w:rPr>
          <w:sz w:val="22"/>
          <w:szCs w:val="22"/>
          <w:lang w:val="es-ES"/>
        </w:rPr>
        <w:t>by</w:t>
      </w:r>
      <w:proofErr w:type="spellEnd"/>
      <w:r>
        <w:rPr>
          <w:sz w:val="22"/>
          <w:szCs w:val="22"/>
          <w:lang w:val="es-ES"/>
        </w:rPr>
        <w:t xml:space="preserve"> </w:t>
      </w:r>
      <w:proofErr w:type="spellStart"/>
      <w:r>
        <w:rPr>
          <w:sz w:val="22"/>
          <w:szCs w:val="22"/>
          <w:lang w:val="es-ES"/>
        </w:rPr>
        <w:t>the</w:t>
      </w:r>
      <w:proofErr w:type="spellEnd"/>
      <w:r>
        <w:rPr>
          <w:sz w:val="22"/>
          <w:szCs w:val="22"/>
          <w:lang w:val="es-ES"/>
        </w:rPr>
        <w:t xml:space="preserve"> </w:t>
      </w:r>
      <w:proofErr w:type="spellStart"/>
      <w:r>
        <w:rPr>
          <w:sz w:val="22"/>
          <w:szCs w:val="22"/>
          <w:lang w:val="es-ES"/>
        </w:rPr>
        <w:t>contractor</w:t>
      </w:r>
      <w:proofErr w:type="spellEnd"/>
      <w:r>
        <w:rPr>
          <w:sz w:val="22"/>
          <w:szCs w:val="22"/>
          <w:lang w:val="es-ES"/>
        </w:rPr>
        <w:t xml:space="preserve">, </w:t>
      </w:r>
      <w:proofErr w:type="spellStart"/>
      <w:r>
        <w:rPr>
          <w:sz w:val="22"/>
          <w:szCs w:val="22"/>
          <w:lang w:val="es-ES"/>
        </w:rPr>
        <w:t>accessible</w:t>
      </w:r>
      <w:proofErr w:type="spellEnd"/>
      <w:r>
        <w:rPr>
          <w:sz w:val="22"/>
          <w:szCs w:val="22"/>
          <w:lang w:val="es-ES"/>
        </w:rPr>
        <w:t xml:space="preserve"> </w:t>
      </w:r>
      <w:proofErr w:type="spellStart"/>
      <w:r>
        <w:rPr>
          <w:sz w:val="22"/>
          <w:szCs w:val="22"/>
          <w:lang w:val="es-ES"/>
        </w:rPr>
        <w:t>from</w:t>
      </w:r>
      <w:proofErr w:type="spellEnd"/>
      <w:r>
        <w:rPr>
          <w:sz w:val="22"/>
          <w:szCs w:val="22"/>
          <w:lang w:val="es-ES"/>
        </w:rPr>
        <w:t xml:space="preserve"> </w:t>
      </w:r>
      <w:proofErr w:type="spellStart"/>
      <w:r>
        <w:rPr>
          <w:sz w:val="22"/>
          <w:szCs w:val="22"/>
          <w:lang w:val="es-ES"/>
        </w:rPr>
        <w:t>the</w:t>
      </w:r>
      <w:proofErr w:type="spellEnd"/>
      <w:r>
        <w:rPr>
          <w:sz w:val="22"/>
          <w:szCs w:val="22"/>
          <w:lang w:val="es-ES"/>
        </w:rPr>
        <w:t xml:space="preserve"> </w:t>
      </w:r>
      <w:proofErr w:type="spellStart"/>
      <w:r>
        <w:rPr>
          <w:sz w:val="22"/>
          <w:szCs w:val="22"/>
          <w:lang w:val="es-ES"/>
        </w:rPr>
        <w:t>telemetry</w:t>
      </w:r>
      <w:proofErr w:type="spellEnd"/>
      <w:r>
        <w:rPr>
          <w:sz w:val="22"/>
          <w:szCs w:val="22"/>
          <w:lang w:val="es-ES"/>
        </w:rPr>
        <w:t xml:space="preserve"> </w:t>
      </w:r>
      <w:proofErr w:type="spellStart"/>
      <w:r>
        <w:rPr>
          <w:sz w:val="22"/>
          <w:szCs w:val="22"/>
          <w:lang w:val="es-ES"/>
        </w:rPr>
        <w:t>devices</w:t>
      </w:r>
      <w:proofErr w:type="spellEnd"/>
      <w:r>
        <w:rPr>
          <w:sz w:val="22"/>
          <w:szCs w:val="22"/>
          <w:lang w:val="es-ES"/>
        </w:rPr>
        <w:t>.</w:t>
      </w:r>
    </w:p>
    <w:p w14:paraId="1B8EF990" w14:textId="77777777" w:rsidR="00E255F4" w:rsidRDefault="00000000">
      <w:pPr>
        <w:pStyle w:val="Prrafodelista"/>
        <w:numPr>
          <w:ilvl w:val="2"/>
          <w:numId w:val="68"/>
        </w:numPr>
        <w:tabs>
          <w:tab w:val="left" w:pos="851"/>
        </w:tabs>
        <w:spacing w:after="120"/>
        <w:ind w:left="851" w:hanging="851"/>
        <w:jc w:val="both"/>
      </w:pPr>
      <w:r>
        <w:rPr>
          <w:sz w:val="22"/>
          <w:szCs w:val="22"/>
          <w:lang w:val="es-ES"/>
        </w:rPr>
        <w:t xml:space="preserve">Private IP </w:t>
      </w:r>
      <w:proofErr w:type="spellStart"/>
      <w:r>
        <w:rPr>
          <w:sz w:val="22"/>
          <w:szCs w:val="22"/>
          <w:lang w:val="es-ES"/>
        </w:rPr>
        <w:t>addressing</w:t>
      </w:r>
      <w:proofErr w:type="spellEnd"/>
      <w:r>
        <w:rPr>
          <w:sz w:val="22"/>
          <w:szCs w:val="22"/>
          <w:lang w:val="es-ES"/>
        </w:rPr>
        <w:t xml:space="preserve"> </w:t>
      </w:r>
      <w:proofErr w:type="spellStart"/>
      <w:r>
        <w:rPr>
          <w:sz w:val="22"/>
          <w:szCs w:val="22"/>
          <w:lang w:val="es-ES"/>
        </w:rPr>
        <w:t>is</w:t>
      </w:r>
      <w:proofErr w:type="spellEnd"/>
      <w:r>
        <w:rPr>
          <w:sz w:val="22"/>
          <w:szCs w:val="22"/>
          <w:lang w:val="es-ES"/>
        </w:rPr>
        <w:t xml:space="preserve"> </w:t>
      </w:r>
      <w:proofErr w:type="spellStart"/>
      <w:r>
        <w:rPr>
          <w:sz w:val="22"/>
          <w:szCs w:val="22"/>
          <w:lang w:val="es-ES"/>
        </w:rPr>
        <w:t>used</w:t>
      </w:r>
      <w:proofErr w:type="spellEnd"/>
      <w:r>
        <w:rPr>
          <w:sz w:val="22"/>
          <w:szCs w:val="22"/>
          <w:lang w:val="es-ES"/>
        </w:rPr>
        <w:t xml:space="preserve">, </w:t>
      </w:r>
      <w:proofErr w:type="spellStart"/>
      <w:r>
        <w:rPr>
          <w:sz w:val="22"/>
          <w:szCs w:val="22"/>
          <w:lang w:val="es-ES"/>
        </w:rPr>
        <w:t>to</w:t>
      </w:r>
      <w:proofErr w:type="spellEnd"/>
      <w:r>
        <w:rPr>
          <w:sz w:val="22"/>
          <w:szCs w:val="22"/>
          <w:lang w:val="es-ES"/>
        </w:rPr>
        <w:t xml:space="preserve"> be </w:t>
      </w:r>
      <w:proofErr w:type="spellStart"/>
      <w:r>
        <w:rPr>
          <w:sz w:val="22"/>
          <w:szCs w:val="22"/>
          <w:lang w:val="es-ES"/>
        </w:rPr>
        <w:t>defined</w:t>
      </w:r>
      <w:proofErr w:type="spellEnd"/>
      <w:r>
        <w:rPr>
          <w:sz w:val="22"/>
          <w:szCs w:val="22"/>
          <w:lang w:val="es-ES"/>
        </w:rPr>
        <w:t xml:space="preserve"> in </w:t>
      </w:r>
      <w:proofErr w:type="spellStart"/>
      <w:r>
        <w:rPr>
          <w:sz w:val="22"/>
          <w:szCs w:val="22"/>
          <w:lang w:val="es-ES"/>
        </w:rPr>
        <w:t>the</w:t>
      </w:r>
      <w:proofErr w:type="spellEnd"/>
      <w:r>
        <w:rPr>
          <w:sz w:val="22"/>
          <w:szCs w:val="22"/>
          <w:lang w:val="es-ES"/>
        </w:rPr>
        <w:t xml:space="preserve"> </w:t>
      </w:r>
      <w:proofErr w:type="spellStart"/>
      <w:r>
        <w:rPr>
          <w:sz w:val="22"/>
          <w:szCs w:val="22"/>
          <w:lang w:val="es-ES"/>
        </w:rPr>
        <w:t>project</w:t>
      </w:r>
      <w:proofErr w:type="spellEnd"/>
      <w:r>
        <w:rPr>
          <w:sz w:val="22"/>
          <w:szCs w:val="22"/>
          <w:lang w:val="es-ES"/>
        </w:rPr>
        <w:t xml:space="preserve"> </w:t>
      </w:r>
      <w:proofErr w:type="spellStart"/>
      <w:r>
        <w:rPr>
          <w:sz w:val="22"/>
          <w:szCs w:val="22"/>
          <w:lang w:val="es-ES"/>
        </w:rPr>
        <w:t>stage</w:t>
      </w:r>
      <w:proofErr w:type="spellEnd"/>
      <w:r>
        <w:rPr>
          <w:sz w:val="22"/>
          <w:szCs w:val="22"/>
          <w:lang w:val="es-ES"/>
        </w:rPr>
        <w:t>.</w:t>
      </w:r>
    </w:p>
    <w:p w14:paraId="5708B6F1" w14:textId="77777777" w:rsidR="00E255F4" w:rsidRDefault="00000000">
      <w:pPr>
        <w:pStyle w:val="Prrafodelista"/>
        <w:numPr>
          <w:ilvl w:val="2"/>
          <w:numId w:val="68"/>
        </w:numPr>
        <w:tabs>
          <w:tab w:val="left" w:pos="851"/>
        </w:tabs>
        <w:spacing w:after="120"/>
        <w:ind w:left="851" w:hanging="851"/>
        <w:jc w:val="both"/>
      </w:pPr>
      <w:proofErr w:type="spellStart"/>
      <w:r>
        <w:rPr>
          <w:sz w:val="22"/>
          <w:szCs w:val="22"/>
          <w:lang w:val="es-ES"/>
        </w:rPr>
        <w:t>Telemetry</w:t>
      </w:r>
      <w:proofErr w:type="spellEnd"/>
      <w:r>
        <w:rPr>
          <w:sz w:val="22"/>
          <w:szCs w:val="22"/>
          <w:lang w:val="es-ES"/>
        </w:rPr>
        <w:t xml:space="preserve"> </w:t>
      </w:r>
      <w:proofErr w:type="spellStart"/>
      <w:r>
        <w:rPr>
          <w:sz w:val="22"/>
          <w:szCs w:val="22"/>
          <w:lang w:val="es-ES"/>
        </w:rPr>
        <w:t>devices</w:t>
      </w:r>
      <w:proofErr w:type="spellEnd"/>
      <w:r>
        <w:rPr>
          <w:sz w:val="22"/>
          <w:szCs w:val="22"/>
          <w:lang w:val="es-ES"/>
        </w:rPr>
        <w:t xml:space="preserve"> </w:t>
      </w:r>
      <w:proofErr w:type="spellStart"/>
      <w:r>
        <w:rPr>
          <w:sz w:val="22"/>
          <w:szCs w:val="22"/>
          <w:lang w:val="es-ES"/>
        </w:rPr>
        <w:t>must</w:t>
      </w:r>
      <w:proofErr w:type="spellEnd"/>
      <w:r>
        <w:rPr>
          <w:sz w:val="22"/>
          <w:szCs w:val="22"/>
          <w:lang w:val="es-ES"/>
        </w:rPr>
        <w:t xml:space="preserve"> </w:t>
      </w:r>
      <w:proofErr w:type="spellStart"/>
      <w:r>
        <w:rPr>
          <w:sz w:val="22"/>
          <w:szCs w:val="22"/>
          <w:lang w:val="es-ES"/>
        </w:rPr>
        <w:t>record</w:t>
      </w:r>
      <w:proofErr w:type="spellEnd"/>
      <w:r>
        <w:rPr>
          <w:sz w:val="22"/>
          <w:szCs w:val="22"/>
          <w:lang w:val="es-ES"/>
        </w:rPr>
        <w:t xml:space="preserve"> at </w:t>
      </w:r>
      <w:proofErr w:type="spellStart"/>
      <w:r>
        <w:rPr>
          <w:sz w:val="22"/>
          <w:szCs w:val="22"/>
          <w:lang w:val="es-ES"/>
        </w:rPr>
        <w:t>least</w:t>
      </w:r>
      <w:proofErr w:type="spellEnd"/>
      <w:r>
        <w:rPr>
          <w:sz w:val="22"/>
          <w:szCs w:val="22"/>
          <w:lang w:val="es-ES"/>
        </w:rPr>
        <w:t xml:space="preserve"> </w:t>
      </w:r>
      <w:proofErr w:type="spellStart"/>
      <w:r>
        <w:rPr>
          <w:sz w:val="22"/>
          <w:szCs w:val="22"/>
          <w:lang w:val="es-ES"/>
        </w:rPr>
        <w:t>the</w:t>
      </w:r>
      <w:proofErr w:type="spellEnd"/>
      <w:r>
        <w:rPr>
          <w:sz w:val="22"/>
          <w:szCs w:val="22"/>
          <w:lang w:val="es-ES"/>
        </w:rPr>
        <w:t xml:space="preserve"> </w:t>
      </w:r>
      <w:proofErr w:type="spellStart"/>
      <w:r>
        <w:rPr>
          <w:sz w:val="22"/>
          <w:szCs w:val="22"/>
          <w:lang w:val="es-ES"/>
        </w:rPr>
        <w:t>following</w:t>
      </w:r>
      <w:proofErr w:type="spellEnd"/>
      <w:r>
        <w:rPr>
          <w:sz w:val="22"/>
          <w:szCs w:val="22"/>
          <w:lang w:val="es-ES"/>
        </w:rPr>
        <w:t xml:space="preserve"> </w:t>
      </w:r>
      <w:proofErr w:type="spellStart"/>
      <w:r>
        <w:rPr>
          <w:sz w:val="22"/>
          <w:szCs w:val="22"/>
          <w:lang w:val="es-ES"/>
        </w:rPr>
        <w:t>information</w:t>
      </w:r>
      <w:proofErr w:type="spellEnd"/>
      <w:r>
        <w:rPr>
          <w:sz w:val="22"/>
          <w:szCs w:val="22"/>
          <w:lang w:val="es-ES"/>
        </w:rPr>
        <w:t>:</w:t>
      </w:r>
    </w:p>
    <w:p w14:paraId="045F2D25" w14:textId="77777777" w:rsidR="00E255F4" w:rsidRDefault="00000000">
      <w:pPr>
        <w:pStyle w:val="Prrafodelista"/>
        <w:numPr>
          <w:ilvl w:val="3"/>
          <w:numId w:val="34"/>
        </w:numPr>
        <w:tabs>
          <w:tab w:val="left" w:pos="1276"/>
        </w:tabs>
        <w:spacing w:after="120"/>
        <w:ind w:left="1560" w:hanging="284"/>
        <w:jc w:val="both"/>
        <w:rPr>
          <w:sz w:val="22"/>
          <w:szCs w:val="22"/>
          <w:lang w:val="es-ES"/>
        </w:rPr>
      </w:pPr>
      <w:proofErr w:type="spellStart"/>
      <w:r>
        <w:rPr>
          <w:sz w:val="22"/>
          <w:szCs w:val="22"/>
          <w:lang w:val="es-ES"/>
        </w:rPr>
        <w:t>Identification</w:t>
      </w:r>
      <w:proofErr w:type="spellEnd"/>
      <w:r>
        <w:rPr>
          <w:sz w:val="22"/>
          <w:szCs w:val="22"/>
          <w:lang w:val="es-ES"/>
        </w:rPr>
        <w:t xml:space="preserve"> </w:t>
      </w:r>
      <w:proofErr w:type="spellStart"/>
      <w:r>
        <w:rPr>
          <w:sz w:val="22"/>
          <w:szCs w:val="22"/>
          <w:lang w:val="es-ES"/>
        </w:rPr>
        <w:t>of</w:t>
      </w:r>
      <w:proofErr w:type="spellEnd"/>
      <w:r>
        <w:rPr>
          <w:sz w:val="22"/>
          <w:szCs w:val="22"/>
          <w:lang w:val="es-ES"/>
        </w:rPr>
        <w:t xml:space="preserve"> </w:t>
      </w:r>
      <w:proofErr w:type="spellStart"/>
      <w:r>
        <w:rPr>
          <w:sz w:val="22"/>
          <w:szCs w:val="22"/>
          <w:lang w:val="es-ES"/>
        </w:rPr>
        <w:t>the</w:t>
      </w:r>
      <w:proofErr w:type="spellEnd"/>
      <w:r>
        <w:rPr>
          <w:sz w:val="22"/>
          <w:szCs w:val="22"/>
          <w:lang w:val="es-ES"/>
        </w:rPr>
        <w:t xml:space="preserve"> </w:t>
      </w:r>
      <w:proofErr w:type="spellStart"/>
      <w:r>
        <w:rPr>
          <w:sz w:val="22"/>
          <w:szCs w:val="22"/>
          <w:lang w:val="es-ES"/>
        </w:rPr>
        <w:t>drinking</w:t>
      </w:r>
      <w:proofErr w:type="spellEnd"/>
      <w:r>
        <w:rPr>
          <w:sz w:val="22"/>
          <w:szCs w:val="22"/>
          <w:lang w:val="es-ES"/>
        </w:rPr>
        <w:t xml:space="preserve"> </w:t>
      </w:r>
      <w:proofErr w:type="spellStart"/>
      <w:r>
        <w:rPr>
          <w:sz w:val="22"/>
          <w:szCs w:val="22"/>
          <w:lang w:val="es-ES"/>
        </w:rPr>
        <w:t>water</w:t>
      </w:r>
      <w:proofErr w:type="spellEnd"/>
      <w:r>
        <w:rPr>
          <w:sz w:val="22"/>
          <w:szCs w:val="22"/>
          <w:lang w:val="es-ES"/>
        </w:rPr>
        <w:t xml:space="preserve"> meter</w:t>
      </w:r>
    </w:p>
    <w:p w14:paraId="5253A601" w14:textId="77777777" w:rsidR="00E255F4" w:rsidRDefault="00000000">
      <w:pPr>
        <w:pStyle w:val="Prrafodelista"/>
        <w:numPr>
          <w:ilvl w:val="3"/>
          <w:numId w:val="34"/>
        </w:numPr>
        <w:tabs>
          <w:tab w:val="left" w:pos="1276"/>
        </w:tabs>
        <w:spacing w:after="120"/>
        <w:ind w:left="1560" w:hanging="284"/>
        <w:jc w:val="both"/>
        <w:rPr>
          <w:sz w:val="22"/>
          <w:szCs w:val="22"/>
          <w:lang w:val="es-ES"/>
        </w:rPr>
      </w:pPr>
      <w:r>
        <w:rPr>
          <w:sz w:val="22"/>
          <w:szCs w:val="22"/>
          <w:lang w:val="es-ES"/>
        </w:rPr>
        <w:t xml:space="preserve">Reading </w:t>
      </w:r>
      <w:proofErr w:type="spellStart"/>
      <w:r>
        <w:rPr>
          <w:sz w:val="22"/>
          <w:szCs w:val="22"/>
          <w:lang w:val="es-ES"/>
        </w:rPr>
        <w:t>indicated</w:t>
      </w:r>
      <w:proofErr w:type="spellEnd"/>
      <w:r>
        <w:rPr>
          <w:sz w:val="22"/>
          <w:szCs w:val="22"/>
          <w:lang w:val="es-ES"/>
        </w:rPr>
        <w:t xml:space="preserve"> </w:t>
      </w:r>
      <w:proofErr w:type="spellStart"/>
      <w:r>
        <w:rPr>
          <w:sz w:val="22"/>
          <w:szCs w:val="22"/>
          <w:lang w:val="es-ES"/>
        </w:rPr>
        <w:t>by</w:t>
      </w:r>
      <w:proofErr w:type="spellEnd"/>
      <w:r>
        <w:rPr>
          <w:sz w:val="22"/>
          <w:szCs w:val="22"/>
          <w:lang w:val="es-ES"/>
        </w:rPr>
        <w:t xml:space="preserve"> </w:t>
      </w:r>
      <w:proofErr w:type="spellStart"/>
      <w:r>
        <w:rPr>
          <w:sz w:val="22"/>
          <w:szCs w:val="22"/>
          <w:lang w:val="es-ES"/>
        </w:rPr>
        <w:t>the</w:t>
      </w:r>
      <w:proofErr w:type="spellEnd"/>
      <w:r>
        <w:rPr>
          <w:sz w:val="22"/>
          <w:szCs w:val="22"/>
          <w:lang w:val="es-ES"/>
        </w:rPr>
        <w:t xml:space="preserve"> </w:t>
      </w:r>
      <w:proofErr w:type="spellStart"/>
      <w:r>
        <w:rPr>
          <w:sz w:val="22"/>
          <w:szCs w:val="22"/>
          <w:lang w:val="es-ES"/>
        </w:rPr>
        <w:t>drinking</w:t>
      </w:r>
      <w:proofErr w:type="spellEnd"/>
      <w:r>
        <w:rPr>
          <w:sz w:val="22"/>
          <w:szCs w:val="22"/>
          <w:lang w:val="es-ES"/>
        </w:rPr>
        <w:t xml:space="preserve"> </w:t>
      </w:r>
      <w:proofErr w:type="spellStart"/>
      <w:r>
        <w:rPr>
          <w:sz w:val="22"/>
          <w:szCs w:val="22"/>
          <w:lang w:val="es-ES"/>
        </w:rPr>
        <w:t>water</w:t>
      </w:r>
      <w:proofErr w:type="spellEnd"/>
      <w:r>
        <w:rPr>
          <w:sz w:val="22"/>
          <w:szCs w:val="22"/>
          <w:lang w:val="es-ES"/>
        </w:rPr>
        <w:t xml:space="preserve"> meter </w:t>
      </w:r>
      <w:proofErr w:type="spellStart"/>
      <w:r>
        <w:rPr>
          <w:sz w:val="22"/>
          <w:szCs w:val="22"/>
          <w:lang w:val="es-ES"/>
        </w:rPr>
        <w:t>every</w:t>
      </w:r>
      <w:proofErr w:type="spellEnd"/>
      <w:r>
        <w:rPr>
          <w:sz w:val="22"/>
          <w:szCs w:val="22"/>
          <w:lang w:val="es-ES"/>
        </w:rPr>
        <w:t xml:space="preserve"> </w:t>
      </w:r>
      <w:proofErr w:type="spellStart"/>
      <w:r>
        <w:rPr>
          <w:sz w:val="22"/>
          <w:szCs w:val="22"/>
          <w:lang w:val="es-ES"/>
        </w:rPr>
        <w:t>day</w:t>
      </w:r>
      <w:proofErr w:type="spellEnd"/>
      <w:r>
        <w:rPr>
          <w:sz w:val="22"/>
          <w:szCs w:val="22"/>
          <w:lang w:val="es-ES"/>
        </w:rPr>
        <w:t xml:space="preserve"> at </w:t>
      </w:r>
      <w:proofErr w:type="spellStart"/>
      <w:r>
        <w:rPr>
          <w:sz w:val="22"/>
          <w:szCs w:val="22"/>
          <w:lang w:val="es-ES"/>
        </w:rPr>
        <w:t>every</w:t>
      </w:r>
      <w:proofErr w:type="spellEnd"/>
      <w:r>
        <w:rPr>
          <w:sz w:val="22"/>
          <w:szCs w:val="22"/>
          <w:lang w:val="es-ES"/>
        </w:rPr>
        <w:t xml:space="preserve"> </w:t>
      </w:r>
      <w:proofErr w:type="spellStart"/>
      <w:r>
        <w:rPr>
          <w:sz w:val="22"/>
          <w:szCs w:val="22"/>
          <w:lang w:val="es-ES"/>
        </w:rPr>
        <w:t>exact</w:t>
      </w:r>
      <w:proofErr w:type="spellEnd"/>
      <w:r>
        <w:rPr>
          <w:sz w:val="22"/>
          <w:szCs w:val="22"/>
          <w:lang w:val="es-ES"/>
        </w:rPr>
        <w:t xml:space="preserve"> </w:t>
      </w:r>
      <w:proofErr w:type="spellStart"/>
      <w:r>
        <w:rPr>
          <w:sz w:val="22"/>
          <w:szCs w:val="22"/>
          <w:lang w:val="es-ES"/>
        </w:rPr>
        <w:t>hour</w:t>
      </w:r>
      <w:proofErr w:type="spellEnd"/>
      <w:r>
        <w:rPr>
          <w:sz w:val="22"/>
          <w:szCs w:val="22"/>
          <w:lang w:val="es-ES"/>
        </w:rPr>
        <w:t>.</w:t>
      </w:r>
    </w:p>
    <w:p w14:paraId="6E144BBA" w14:textId="77777777" w:rsidR="00E255F4" w:rsidRDefault="00000000">
      <w:pPr>
        <w:pStyle w:val="Prrafodelista"/>
        <w:numPr>
          <w:ilvl w:val="3"/>
          <w:numId w:val="34"/>
        </w:numPr>
        <w:tabs>
          <w:tab w:val="left" w:pos="1276"/>
        </w:tabs>
        <w:spacing w:after="120"/>
        <w:ind w:left="1560" w:hanging="284"/>
        <w:jc w:val="both"/>
        <w:rPr>
          <w:sz w:val="22"/>
          <w:szCs w:val="22"/>
          <w:lang w:val="es-ES"/>
        </w:rPr>
      </w:pPr>
      <w:r>
        <w:rPr>
          <w:sz w:val="22"/>
          <w:szCs w:val="22"/>
          <w:lang w:val="es-ES"/>
        </w:rPr>
        <w:t xml:space="preserve">Date and time </w:t>
      </w:r>
      <w:proofErr w:type="spellStart"/>
      <w:r>
        <w:rPr>
          <w:sz w:val="22"/>
          <w:szCs w:val="22"/>
          <w:lang w:val="es-ES"/>
        </w:rPr>
        <w:t>of</w:t>
      </w:r>
      <w:proofErr w:type="spellEnd"/>
      <w:r>
        <w:rPr>
          <w:sz w:val="22"/>
          <w:szCs w:val="22"/>
          <w:lang w:val="es-ES"/>
        </w:rPr>
        <w:t xml:space="preserve"> </w:t>
      </w:r>
      <w:proofErr w:type="spellStart"/>
      <w:r>
        <w:rPr>
          <w:sz w:val="22"/>
          <w:szCs w:val="22"/>
          <w:lang w:val="es-ES"/>
        </w:rPr>
        <w:t>each</w:t>
      </w:r>
      <w:proofErr w:type="spellEnd"/>
      <w:r>
        <w:rPr>
          <w:sz w:val="22"/>
          <w:szCs w:val="22"/>
          <w:lang w:val="es-ES"/>
        </w:rPr>
        <w:t xml:space="preserve"> </w:t>
      </w:r>
      <w:proofErr w:type="spellStart"/>
      <w:r>
        <w:rPr>
          <w:sz w:val="22"/>
          <w:szCs w:val="22"/>
          <w:lang w:val="es-ES"/>
        </w:rPr>
        <w:t>hourly</w:t>
      </w:r>
      <w:proofErr w:type="spellEnd"/>
      <w:r>
        <w:rPr>
          <w:sz w:val="22"/>
          <w:szCs w:val="22"/>
          <w:lang w:val="es-ES"/>
        </w:rPr>
        <w:t xml:space="preserve"> </w:t>
      </w:r>
      <w:proofErr w:type="spellStart"/>
      <w:r>
        <w:rPr>
          <w:sz w:val="22"/>
          <w:szCs w:val="22"/>
          <w:lang w:val="es-ES"/>
        </w:rPr>
        <w:t>reading</w:t>
      </w:r>
      <w:proofErr w:type="spellEnd"/>
    </w:p>
    <w:p w14:paraId="1BAA16D5" w14:textId="77777777" w:rsidR="00E255F4" w:rsidRDefault="00000000">
      <w:pPr>
        <w:pStyle w:val="Prrafodelista"/>
        <w:numPr>
          <w:ilvl w:val="3"/>
          <w:numId w:val="34"/>
        </w:numPr>
        <w:tabs>
          <w:tab w:val="left" w:pos="1276"/>
        </w:tabs>
        <w:spacing w:after="120"/>
        <w:ind w:left="1560" w:hanging="284"/>
        <w:jc w:val="both"/>
        <w:rPr>
          <w:sz w:val="22"/>
          <w:szCs w:val="22"/>
          <w:lang w:val="es-ES"/>
        </w:rPr>
      </w:pPr>
      <w:proofErr w:type="spellStart"/>
      <w:r>
        <w:rPr>
          <w:sz w:val="22"/>
          <w:szCs w:val="22"/>
          <w:lang w:val="es-ES"/>
        </w:rPr>
        <w:lastRenderedPageBreak/>
        <w:t>Event</w:t>
      </w:r>
      <w:proofErr w:type="spellEnd"/>
      <w:r>
        <w:rPr>
          <w:sz w:val="22"/>
          <w:szCs w:val="22"/>
          <w:lang w:val="es-ES"/>
        </w:rPr>
        <w:t xml:space="preserve"> </w:t>
      </w:r>
      <w:proofErr w:type="spellStart"/>
      <w:r>
        <w:rPr>
          <w:sz w:val="22"/>
          <w:szCs w:val="22"/>
          <w:lang w:val="es-ES"/>
        </w:rPr>
        <w:t>type</w:t>
      </w:r>
      <w:proofErr w:type="spellEnd"/>
      <w:r>
        <w:rPr>
          <w:sz w:val="22"/>
          <w:szCs w:val="22"/>
          <w:lang w:val="es-ES"/>
        </w:rPr>
        <w:t>.</w:t>
      </w:r>
    </w:p>
    <w:p w14:paraId="673AB162" w14:textId="77777777" w:rsidR="00E255F4" w:rsidRDefault="00000000">
      <w:pPr>
        <w:pStyle w:val="Prrafodelista"/>
        <w:numPr>
          <w:ilvl w:val="3"/>
          <w:numId w:val="34"/>
        </w:numPr>
        <w:tabs>
          <w:tab w:val="left" w:pos="1276"/>
        </w:tabs>
        <w:spacing w:after="240"/>
        <w:ind w:left="1560" w:hanging="284"/>
        <w:jc w:val="both"/>
      </w:pPr>
      <w:r>
        <w:rPr>
          <w:sz w:val="22"/>
          <w:szCs w:val="22"/>
          <w:lang w:val="es-ES"/>
        </w:rPr>
        <w:t xml:space="preserve">Date and time </w:t>
      </w:r>
      <w:proofErr w:type="spellStart"/>
      <w:r>
        <w:rPr>
          <w:sz w:val="22"/>
          <w:szCs w:val="22"/>
          <w:lang w:val="es-ES"/>
        </w:rPr>
        <w:t>of</w:t>
      </w:r>
      <w:proofErr w:type="spellEnd"/>
      <w:r>
        <w:rPr>
          <w:sz w:val="22"/>
          <w:szCs w:val="22"/>
          <w:lang w:val="es-ES"/>
        </w:rPr>
        <w:t xml:space="preserve"> </w:t>
      </w:r>
      <w:proofErr w:type="spellStart"/>
      <w:r>
        <w:rPr>
          <w:sz w:val="22"/>
          <w:szCs w:val="22"/>
          <w:lang w:val="es-ES"/>
        </w:rPr>
        <w:t>all</w:t>
      </w:r>
      <w:proofErr w:type="spellEnd"/>
      <w:r>
        <w:rPr>
          <w:sz w:val="22"/>
          <w:szCs w:val="22"/>
          <w:lang w:val="es-ES"/>
        </w:rPr>
        <w:t xml:space="preserve"> </w:t>
      </w:r>
      <w:proofErr w:type="spellStart"/>
      <w:r>
        <w:rPr>
          <w:sz w:val="22"/>
          <w:szCs w:val="22"/>
          <w:lang w:val="es-ES"/>
        </w:rPr>
        <w:t>events</w:t>
      </w:r>
      <w:proofErr w:type="spellEnd"/>
      <w:r>
        <w:rPr>
          <w:sz w:val="22"/>
          <w:szCs w:val="22"/>
          <w:lang w:val="es-ES"/>
        </w:rPr>
        <w:t xml:space="preserve"> (</w:t>
      </w:r>
      <w:proofErr w:type="spellStart"/>
      <w:r>
        <w:rPr>
          <w:sz w:val="22"/>
          <w:szCs w:val="22"/>
          <w:lang w:val="es-ES"/>
        </w:rPr>
        <w:t>alarms</w:t>
      </w:r>
      <w:proofErr w:type="spellEnd"/>
      <w:r>
        <w:rPr>
          <w:sz w:val="22"/>
          <w:szCs w:val="22"/>
          <w:lang w:val="es-ES"/>
        </w:rPr>
        <w:t xml:space="preserve">, reverse </w:t>
      </w:r>
      <w:proofErr w:type="spellStart"/>
      <w:r>
        <w:rPr>
          <w:sz w:val="22"/>
          <w:szCs w:val="22"/>
          <w:lang w:val="es-ES"/>
        </w:rPr>
        <w:t>flow</w:t>
      </w:r>
      <w:proofErr w:type="spellEnd"/>
      <w:r>
        <w:rPr>
          <w:sz w:val="22"/>
          <w:szCs w:val="22"/>
          <w:lang w:val="es-ES"/>
        </w:rPr>
        <w:t>, etc.)</w:t>
      </w:r>
    </w:p>
    <w:p w14:paraId="51B3EBCB" w14:textId="77777777" w:rsidR="00E255F4" w:rsidRDefault="00000000">
      <w:pPr>
        <w:pStyle w:val="Prrafodelista"/>
        <w:numPr>
          <w:ilvl w:val="2"/>
          <w:numId w:val="68"/>
        </w:numPr>
        <w:tabs>
          <w:tab w:val="left" w:pos="851"/>
        </w:tabs>
        <w:spacing w:after="120"/>
        <w:ind w:left="851" w:hanging="851"/>
        <w:jc w:val="both"/>
      </w:pPr>
      <w:proofErr w:type="spellStart"/>
      <w:r>
        <w:rPr>
          <w:sz w:val="22"/>
          <w:szCs w:val="22"/>
          <w:lang w:val="es-ES"/>
        </w:rPr>
        <w:t>Secure</w:t>
      </w:r>
      <w:proofErr w:type="spellEnd"/>
      <w:r>
        <w:rPr>
          <w:sz w:val="22"/>
          <w:szCs w:val="22"/>
          <w:lang w:val="es-ES"/>
        </w:rPr>
        <w:t xml:space="preserve"> </w:t>
      </w:r>
      <w:proofErr w:type="spellStart"/>
      <w:r>
        <w:rPr>
          <w:sz w:val="22"/>
          <w:szCs w:val="22"/>
          <w:lang w:val="es-ES"/>
        </w:rPr>
        <w:t>communication</w:t>
      </w:r>
      <w:proofErr w:type="spellEnd"/>
      <w:r>
        <w:rPr>
          <w:sz w:val="22"/>
          <w:szCs w:val="22"/>
          <w:lang w:val="es-ES"/>
        </w:rPr>
        <w:t xml:space="preserve"> </w:t>
      </w:r>
      <w:proofErr w:type="spellStart"/>
      <w:r>
        <w:rPr>
          <w:sz w:val="22"/>
          <w:szCs w:val="22"/>
          <w:lang w:val="es-ES"/>
        </w:rPr>
        <w:t>protocols</w:t>
      </w:r>
      <w:proofErr w:type="spellEnd"/>
      <w:r>
        <w:rPr>
          <w:sz w:val="22"/>
          <w:szCs w:val="22"/>
          <w:lang w:val="es-ES"/>
        </w:rPr>
        <w:t xml:space="preserve"> </w:t>
      </w:r>
      <w:proofErr w:type="spellStart"/>
      <w:r>
        <w:rPr>
          <w:sz w:val="22"/>
          <w:szCs w:val="22"/>
          <w:lang w:val="es-ES"/>
        </w:rPr>
        <w:t>will</w:t>
      </w:r>
      <w:proofErr w:type="spellEnd"/>
      <w:r>
        <w:rPr>
          <w:sz w:val="22"/>
          <w:szCs w:val="22"/>
          <w:lang w:val="es-ES"/>
        </w:rPr>
        <w:t xml:space="preserve"> be </w:t>
      </w:r>
      <w:proofErr w:type="spellStart"/>
      <w:r>
        <w:rPr>
          <w:sz w:val="22"/>
          <w:szCs w:val="22"/>
          <w:lang w:val="es-ES"/>
        </w:rPr>
        <w:t>used</w:t>
      </w:r>
      <w:proofErr w:type="spellEnd"/>
      <w:r>
        <w:rPr>
          <w:sz w:val="22"/>
          <w:szCs w:val="22"/>
          <w:lang w:val="es-ES"/>
        </w:rPr>
        <w:t xml:space="preserve"> </w:t>
      </w:r>
      <w:proofErr w:type="spellStart"/>
      <w:r>
        <w:rPr>
          <w:sz w:val="22"/>
          <w:szCs w:val="22"/>
          <w:lang w:val="es-ES"/>
        </w:rPr>
        <w:t>for</w:t>
      </w:r>
      <w:proofErr w:type="spellEnd"/>
      <w:r>
        <w:rPr>
          <w:sz w:val="22"/>
          <w:szCs w:val="22"/>
          <w:lang w:val="es-ES"/>
        </w:rPr>
        <w:t xml:space="preserve"> data transfer.</w:t>
      </w:r>
    </w:p>
    <w:p w14:paraId="7E69B9DC" w14:textId="77777777" w:rsidR="00E255F4" w:rsidRDefault="00000000">
      <w:pPr>
        <w:pStyle w:val="Prrafodelista"/>
        <w:numPr>
          <w:ilvl w:val="2"/>
          <w:numId w:val="68"/>
        </w:numPr>
        <w:tabs>
          <w:tab w:val="left" w:pos="851"/>
        </w:tabs>
        <w:spacing w:after="120"/>
        <w:ind w:left="851" w:hanging="851"/>
        <w:jc w:val="both"/>
      </w:pPr>
      <w:r>
        <w:rPr>
          <w:sz w:val="22"/>
          <w:szCs w:val="22"/>
          <w:lang w:val="es-ES"/>
        </w:rPr>
        <w:t xml:space="preserve">The inductive pulse </w:t>
      </w:r>
      <w:proofErr w:type="spellStart"/>
      <w:r>
        <w:rPr>
          <w:sz w:val="22"/>
          <w:szCs w:val="22"/>
          <w:lang w:val="es-ES"/>
        </w:rPr>
        <w:t>generation</w:t>
      </w:r>
      <w:proofErr w:type="spellEnd"/>
      <w:r>
        <w:rPr>
          <w:sz w:val="22"/>
          <w:szCs w:val="22"/>
          <w:lang w:val="es-ES"/>
        </w:rPr>
        <w:t xml:space="preserve"> </w:t>
      </w:r>
      <w:proofErr w:type="spellStart"/>
      <w:r>
        <w:rPr>
          <w:sz w:val="22"/>
          <w:szCs w:val="22"/>
          <w:lang w:val="es-ES"/>
        </w:rPr>
        <w:t>system</w:t>
      </w:r>
      <w:proofErr w:type="spellEnd"/>
      <w:r>
        <w:rPr>
          <w:sz w:val="22"/>
          <w:szCs w:val="22"/>
          <w:lang w:val="es-ES"/>
        </w:rPr>
        <w:t xml:space="preserve"> </w:t>
      </w:r>
      <w:proofErr w:type="spellStart"/>
      <w:r>
        <w:rPr>
          <w:sz w:val="22"/>
          <w:szCs w:val="22"/>
          <w:lang w:val="es-ES"/>
        </w:rPr>
        <w:t>must</w:t>
      </w:r>
      <w:proofErr w:type="spellEnd"/>
      <w:r>
        <w:rPr>
          <w:sz w:val="22"/>
          <w:szCs w:val="22"/>
          <w:lang w:val="es-ES"/>
        </w:rPr>
        <w:t xml:space="preserve"> </w:t>
      </w:r>
      <w:proofErr w:type="spellStart"/>
      <w:r>
        <w:rPr>
          <w:sz w:val="22"/>
          <w:szCs w:val="22"/>
          <w:lang w:val="es-ES"/>
        </w:rPr>
        <w:t>not</w:t>
      </w:r>
      <w:proofErr w:type="spellEnd"/>
      <w:r>
        <w:rPr>
          <w:sz w:val="22"/>
          <w:szCs w:val="22"/>
          <w:lang w:val="es-ES"/>
        </w:rPr>
        <w:t xml:space="preserve"> alter </w:t>
      </w:r>
      <w:proofErr w:type="spellStart"/>
      <w:r>
        <w:rPr>
          <w:sz w:val="22"/>
          <w:szCs w:val="22"/>
          <w:lang w:val="es-ES"/>
        </w:rPr>
        <w:t>the</w:t>
      </w:r>
      <w:proofErr w:type="spellEnd"/>
      <w:r>
        <w:rPr>
          <w:sz w:val="22"/>
          <w:szCs w:val="22"/>
          <w:lang w:val="es-ES"/>
        </w:rPr>
        <w:t xml:space="preserve"> </w:t>
      </w:r>
      <w:proofErr w:type="spellStart"/>
      <w:r>
        <w:rPr>
          <w:sz w:val="22"/>
          <w:szCs w:val="22"/>
          <w:lang w:val="es-ES"/>
        </w:rPr>
        <w:t>metrological</w:t>
      </w:r>
      <w:proofErr w:type="spellEnd"/>
      <w:r>
        <w:rPr>
          <w:sz w:val="22"/>
          <w:szCs w:val="22"/>
          <w:lang w:val="es-ES"/>
        </w:rPr>
        <w:t xml:space="preserve"> performance </w:t>
      </w:r>
      <w:proofErr w:type="spellStart"/>
      <w:r>
        <w:rPr>
          <w:sz w:val="22"/>
          <w:szCs w:val="22"/>
          <w:lang w:val="es-ES"/>
        </w:rPr>
        <w:t>of</w:t>
      </w:r>
      <w:proofErr w:type="spellEnd"/>
      <w:r>
        <w:rPr>
          <w:sz w:val="22"/>
          <w:szCs w:val="22"/>
          <w:lang w:val="es-ES"/>
        </w:rPr>
        <w:t xml:space="preserve"> </w:t>
      </w:r>
      <w:proofErr w:type="spellStart"/>
      <w:r>
        <w:rPr>
          <w:sz w:val="22"/>
          <w:szCs w:val="22"/>
          <w:lang w:val="es-ES"/>
        </w:rPr>
        <w:t>the</w:t>
      </w:r>
      <w:proofErr w:type="spellEnd"/>
      <w:r>
        <w:rPr>
          <w:sz w:val="22"/>
          <w:szCs w:val="22"/>
          <w:lang w:val="es-ES"/>
        </w:rPr>
        <w:t xml:space="preserve"> meter.</w:t>
      </w:r>
    </w:p>
    <w:p w14:paraId="390C3B70" w14:textId="77777777" w:rsidR="00E255F4" w:rsidRDefault="00000000">
      <w:pPr>
        <w:pStyle w:val="Prrafodelista"/>
        <w:numPr>
          <w:ilvl w:val="2"/>
          <w:numId w:val="68"/>
        </w:numPr>
        <w:tabs>
          <w:tab w:val="left" w:pos="851"/>
        </w:tabs>
        <w:spacing w:after="120"/>
        <w:ind w:left="851" w:hanging="851"/>
        <w:jc w:val="both"/>
      </w:pPr>
      <w:r>
        <w:rPr>
          <w:sz w:val="22"/>
          <w:szCs w:val="22"/>
          <w:lang w:val="es-ES"/>
        </w:rPr>
        <w:t xml:space="preserve">The pulse </w:t>
      </w:r>
      <w:proofErr w:type="spellStart"/>
      <w:r>
        <w:rPr>
          <w:sz w:val="22"/>
          <w:szCs w:val="22"/>
          <w:lang w:val="es-ES"/>
        </w:rPr>
        <w:t>generation</w:t>
      </w:r>
      <w:proofErr w:type="spellEnd"/>
      <w:r>
        <w:rPr>
          <w:sz w:val="22"/>
          <w:szCs w:val="22"/>
          <w:lang w:val="es-ES"/>
        </w:rPr>
        <w:t xml:space="preserve"> </w:t>
      </w:r>
      <w:proofErr w:type="spellStart"/>
      <w:r>
        <w:rPr>
          <w:sz w:val="22"/>
          <w:szCs w:val="22"/>
          <w:lang w:val="es-ES"/>
        </w:rPr>
        <w:t>system</w:t>
      </w:r>
      <w:proofErr w:type="spellEnd"/>
      <w:r>
        <w:rPr>
          <w:sz w:val="22"/>
          <w:szCs w:val="22"/>
          <w:lang w:val="es-ES"/>
        </w:rPr>
        <w:t xml:space="preserve"> </w:t>
      </w:r>
      <w:proofErr w:type="spellStart"/>
      <w:r>
        <w:rPr>
          <w:sz w:val="22"/>
          <w:szCs w:val="22"/>
          <w:lang w:val="es-ES"/>
        </w:rPr>
        <w:t>must</w:t>
      </w:r>
      <w:proofErr w:type="spellEnd"/>
      <w:r>
        <w:rPr>
          <w:sz w:val="22"/>
          <w:szCs w:val="22"/>
          <w:lang w:val="es-ES"/>
        </w:rPr>
        <w:t xml:space="preserve"> </w:t>
      </w:r>
      <w:proofErr w:type="spellStart"/>
      <w:r>
        <w:rPr>
          <w:sz w:val="22"/>
          <w:szCs w:val="22"/>
          <w:lang w:val="es-ES"/>
        </w:rPr>
        <w:t>record</w:t>
      </w:r>
      <w:proofErr w:type="spellEnd"/>
      <w:r>
        <w:rPr>
          <w:sz w:val="22"/>
          <w:szCs w:val="22"/>
          <w:lang w:val="es-ES"/>
        </w:rPr>
        <w:t xml:space="preserve"> a </w:t>
      </w:r>
      <w:proofErr w:type="spellStart"/>
      <w:r>
        <w:rPr>
          <w:sz w:val="22"/>
          <w:szCs w:val="22"/>
          <w:lang w:val="es-ES"/>
        </w:rPr>
        <w:t>maximum</w:t>
      </w:r>
      <w:proofErr w:type="spellEnd"/>
      <w:r>
        <w:rPr>
          <w:sz w:val="22"/>
          <w:szCs w:val="22"/>
          <w:lang w:val="es-ES"/>
        </w:rPr>
        <w:t xml:space="preserve"> </w:t>
      </w:r>
      <w:proofErr w:type="spellStart"/>
      <w:r>
        <w:rPr>
          <w:sz w:val="22"/>
          <w:szCs w:val="22"/>
          <w:lang w:val="es-ES"/>
        </w:rPr>
        <w:t>of</w:t>
      </w:r>
      <w:proofErr w:type="spellEnd"/>
      <w:r>
        <w:rPr>
          <w:sz w:val="22"/>
          <w:szCs w:val="22"/>
          <w:lang w:val="es-ES"/>
        </w:rPr>
        <w:t xml:space="preserve"> </w:t>
      </w:r>
      <w:proofErr w:type="spellStart"/>
      <w:r>
        <w:rPr>
          <w:sz w:val="22"/>
          <w:szCs w:val="22"/>
          <w:lang w:val="es-ES"/>
        </w:rPr>
        <w:t>one</w:t>
      </w:r>
      <w:proofErr w:type="spellEnd"/>
      <w:r>
        <w:rPr>
          <w:sz w:val="22"/>
          <w:szCs w:val="22"/>
          <w:lang w:val="es-ES"/>
        </w:rPr>
        <w:t xml:space="preserve"> </w:t>
      </w:r>
      <w:proofErr w:type="spellStart"/>
      <w:r>
        <w:rPr>
          <w:sz w:val="22"/>
          <w:szCs w:val="22"/>
          <w:lang w:val="es-ES"/>
        </w:rPr>
        <w:t>liter</w:t>
      </w:r>
      <w:proofErr w:type="spellEnd"/>
      <w:r>
        <w:rPr>
          <w:sz w:val="22"/>
          <w:szCs w:val="22"/>
          <w:lang w:val="es-ES"/>
        </w:rPr>
        <w:t xml:space="preserve"> </w:t>
      </w:r>
      <w:proofErr w:type="spellStart"/>
      <w:r>
        <w:rPr>
          <w:sz w:val="22"/>
          <w:szCs w:val="22"/>
          <w:lang w:val="es-ES"/>
        </w:rPr>
        <w:t>of</w:t>
      </w:r>
      <w:proofErr w:type="spellEnd"/>
      <w:r>
        <w:rPr>
          <w:sz w:val="22"/>
          <w:szCs w:val="22"/>
          <w:lang w:val="es-ES"/>
        </w:rPr>
        <w:t xml:space="preserve"> </w:t>
      </w:r>
      <w:proofErr w:type="spellStart"/>
      <w:r>
        <w:rPr>
          <w:sz w:val="22"/>
          <w:szCs w:val="22"/>
          <w:lang w:val="es-ES"/>
        </w:rPr>
        <w:t>consumption</w:t>
      </w:r>
      <w:proofErr w:type="spellEnd"/>
      <w:r>
        <w:rPr>
          <w:sz w:val="22"/>
          <w:szCs w:val="22"/>
          <w:lang w:val="es-ES"/>
        </w:rPr>
        <w:t xml:space="preserve"> per pulse, </w:t>
      </w:r>
      <w:proofErr w:type="spellStart"/>
      <w:r>
        <w:rPr>
          <w:sz w:val="22"/>
          <w:szCs w:val="22"/>
          <w:lang w:val="es-ES"/>
        </w:rPr>
        <w:t>meaning</w:t>
      </w:r>
      <w:proofErr w:type="spellEnd"/>
      <w:r>
        <w:rPr>
          <w:sz w:val="22"/>
          <w:szCs w:val="22"/>
          <w:lang w:val="es-ES"/>
        </w:rPr>
        <w:t xml:space="preserve"> </w:t>
      </w:r>
      <w:proofErr w:type="spellStart"/>
      <w:r>
        <w:rPr>
          <w:sz w:val="22"/>
          <w:szCs w:val="22"/>
          <w:lang w:val="es-ES"/>
        </w:rPr>
        <w:t>that</w:t>
      </w:r>
      <w:proofErr w:type="spellEnd"/>
      <w:r>
        <w:rPr>
          <w:sz w:val="22"/>
          <w:szCs w:val="22"/>
          <w:lang w:val="es-ES"/>
        </w:rPr>
        <w:t xml:space="preserve"> </w:t>
      </w:r>
      <w:proofErr w:type="spellStart"/>
      <w:r>
        <w:rPr>
          <w:sz w:val="22"/>
          <w:szCs w:val="22"/>
          <w:lang w:val="es-ES"/>
        </w:rPr>
        <w:t>each</w:t>
      </w:r>
      <w:proofErr w:type="spellEnd"/>
      <w:r>
        <w:rPr>
          <w:sz w:val="22"/>
          <w:szCs w:val="22"/>
          <w:lang w:val="es-ES"/>
        </w:rPr>
        <w:t xml:space="preserve"> pulse </w:t>
      </w:r>
      <w:proofErr w:type="spellStart"/>
      <w:r>
        <w:rPr>
          <w:sz w:val="22"/>
          <w:szCs w:val="22"/>
          <w:lang w:val="es-ES"/>
        </w:rPr>
        <w:t>should</w:t>
      </w:r>
      <w:proofErr w:type="spellEnd"/>
      <w:r>
        <w:rPr>
          <w:sz w:val="22"/>
          <w:szCs w:val="22"/>
          <w:lang w:val="es-ES"/>
        </w:rPr>
        <w:t xml:space="preserve"> </w:t>
      </w:r>
      <w:proofErr w:type="spellStart"/>
      <w:r>
        <w:rPr>
          <w:sz w:val="22"/>
          <w:szCs w:val="22"/>
          <w:lang w:val="es-ES"/>
        </w:rPr>
        <w:t>correspond</w:t>
      </w:r>
      <w:proofErr w:type="spellEnd"/>
      <w:r>
        <w:rPr>
          <w:sz w:val="22"/>
          <w:szCs w:val="22"/>
          <w:lang w:val="es-ES"/>
        </w:rPr>
        <w:t xml:space="preserve"> </w:t>
      </w:r>
      <w:proofErr w:type="spellStart"/>
      <w:r>
        <w:rPr>
          <w:sz w:val="22"/>
          <w:szCs w:val="22"/>
          <w:lang w:val="es-ES"/>
        </w:rPr>
        <w:t>to</w:t>
      </w:r>
      <w:proofErr w:type="spellEnd"/>
      <w:r>
        <w:rPr>
          <w:sz w:val="22"/>
          <w:szCs w:val="22"/>
          <w:lang w:val="es-ES"/>
        </w:rPr>
        <w:t xml:space="preserve"> a </w:t>
      </w:r>
      <w:proofErr w:type="spellStart"/>
      <w:r>
        <w:rPr>
          <w:sz w:val="22"/>
          <w:szCs w:val="22"/>
          <w:lang w:val="es-ES"/>
        </w:rPr>
        <w:t>maximum</w:t>
      </w:r>
      <w:proofErr w:type="spellEnd"/>
      <w:r>
        <w:rPr>
          <w:sz w:val="22"/>
          <w:szCs w:val="22"/>
          <w:lang w:val="es-ES"/>
        </w:rPr>
        <w:t xml:space="preserve"> </w:t>
      </w:r>
      <w:proofErr w:type="spellStart"/>
      <w:r>
        <w:rPr>
          <w:sz w:val="22"/>
          <w:szCs w:val="22"/>
          <w:lang w:val="es-ES"/>
        </w:rPr>
        <w:t>of</w:t>
      </w:r>
      <w:proofErr w:type="spellEnd"/>
      <w:r>
        <w:rPr>
          <w:sz w:val="22"/>
          <w:szCs w:val="22"/>
          <w:lang w:val="es-ES"/>
        </w:rPr>
        <w:t xml:space="preserve"> </w:t>
      </w:r>
      <w:proofErr w:type="spellStart"/>
      <w:r>
        <w:rPr>
          <w:sz w:val="22"/>
          <w:szCs w:val="22"/>
          <w:lang w:val="es-ES"/>
        </w:rPr>
        <w:t>one</w:t>
      </w:r>
      <w:proofErr w:type="spellEnd"/>
      <w:r>
        <w:rPr>
          <w:sz w:val="22"/>
          <w:szCs w:val="22"/>
          <w:lang w:val="es-ES"/>
        </w:rPr>
        <w:t xml:space="preserve"> </w:t>
      </w:r>
      <w:proofErr w:type="spellStart"/>
      <w:r>
        <w:rPr>
          <w:sz w:val="22"/>
          <w:szCs w:val="22"/>
          <w:lang w:val="es-ES"/>
        </w:rPr>
        <w:t>liter</w:t>
      </w:r>
      <w:proofErr w:type="spellEnd"/>
      <w:r>
        <w:rPr>
          <w:sz w:val="22"/>
          <w:szCs w:val="22"/>
          <w:lang w:val="es-ES"/>
        </w:rPr>
        <w:t>.</w:t>
      </w:r>
    </w:p>
    <w:p w14:paraId="2550FDBF" w14:textId="77777777" w:rsidR="00E255F4" w:rsidRDefault="00000000">
      <w:pPr>
        <w:pStyle w:val="Prrafodelista"/>
        <w:numPr>
          <w:ilvl w:val="2"/>
          <w:numId w:val="68"/>
        </w:numPr>
        <w:tabs>
          <w:tab w:val="left" w:pos="851"/>
        </w:tabs>
        <w:spacing w:after="120"/>
        <w:ind w:left="851" w:hanging="851"/>
        <w:jc w:val="both"/>
        <w:rPr>
          <w:sz w:val="22"/>
          <w:szCs w:val="22"/>
          <w:lang w:val="es-ES"/>
        </w:rPr>
      </w:pPr>
      <w:r>
        <w:rPr>
          <w:sz w:val="22"/>
          <w:szCs w:val="22"/>
          <w:lang w:val="es-ES"/>
        </w:rPr>
        <w:t xml:space="preserve">The </w:t>
      </w:r>
      <w:proofErr w:type="spellStart"/>
      <w:r>
        <w:rPr>
          <w:sz w:val="22"/>
          <w:szCs w:val="22"/>
          <w:lang w:val="es-ES"/>
        </w:rPr>
        <w:t>hourly</w:t>
      </w:r>
      <w:proofErr w:type="spellEnd"/>
      <w:r>
        <w:rPr>
          <w:sz w:val="22"/>
          <w:szCs w:val="22"/>
          <w:lang w:val="es-ES"/>
        </w:rPr>
        <w:t xml:space="preserve"> </w:t>
      </w:r>
      <w:proofErr w:type="spellStart"/>
      <w:r>
        <w:rPr>
          <w:sz w:val="22"/>
          <w:szCs w:val="22"/>
          <w:lang w:val="es-ES"/>
        </w:rPr>
        <w:t>reading</w:t>
      </w:r>
      <w:proofErr w:type="spellEnd"/>
      <w:r>
        <w:rPr>
          <w:sz w:val="22"/>
          <w:szCs w:val="22"/>
          <w:lang w:val="es-ES"/>
        </w:rPr>
        <w:t xml:space="preserve"> data </w:t>
      </w:r>
      <w:proofErr w:type="spellStart"/>
      <w:r>
        <w:rPr>
          <w:sz w:val="22"/>
          <w:szCs w:val="22"/>
          <w:lang w:val="es-ES"/>
        </w:rPr>
        <w:t>that</w:t>
      </w:r>
      <w:proofErr w:type="spellEnd"/>
      <w:r>
        <w:rPr>
          <w:sz w:val="22"/>
          <w:szCs w:val="22"/>
          <w:lang w:val="es-ES"/>
        </w:rPr>
        <w:t xml:space="preserve"> </w:t>
      </w:r>
      <w:proofErr w:type="spellStart"/>
      <w:r>
        <w:rPr>
          <w:sz w:val="22"/>
          <w:szCs w:val="22"/>
          <w:lang w:val="es-ES"/>
        </w:rPr>
        <w:t>the</w:t>
      </w:r>
      <w:proofErr w:type="spellEnd"/>
      <w:r>
        <w:rPr>
          <w:sz w:val="22"/>
          <w:szCs w:val="22"/>
          <w:lang w:val="es-ES"/>
        </w:rPr>
        <w:t xml:space="preserve"> </w:t>
      </w:r>
      <w:proofErr w:type="spellStart"/>
      <w:r>
        <w:rPr>
          <w:sz w:val="22"/>
          <w:szCs w:val="22"/>
          <w:lang w:val="es-ES"/>
        </w:rPr>
        <w:t>telemetry</w:t>
      </w:r>
      <w:proofErr w:type="spellEnd"/>
      <w:r>
        <w:rPr>
          <w:sz w:val="22"/>
          <w:szCs w:val="22"/>
          <w:lang w:val="es-ES"/>
        </w:rPr>
        <w:t xml:space="preserve"> </w:t>
      </w:r>
      <w:proofErr w:type="spellStart"/>
      <w:r>
        <w:rPr>
          <w:sz w:val="22"/>
          <w:szCs w:val="22"/>
          <w:lang w:val="es-ES"/>
        </w:rPr>
        <w:t>device</w:t>
      </w:r>
      <w:proofErr w:type="spellEnd"/>
      <w:r>
        <w:rPr>
          <w:sz w:val="22"/>
          <w:szCs w:val="22"/>
          <w:lang w:val="es-ES"/>
        </w:rPr>
        <w:t xml:space="preserve"> </w:t>
      </w:r>
      <w:proofErr w:type="spellStart"/>
      <w:r>
        <w:rPr>
          <w:sz w:val="22"/>
          <w:szCs w:val="22"/>
          <w:lang w:val="es-ES"/>
        </w:rPr>
        <w:t>will</w:t>
      </w:r>
      <w:proofErr w:type="spellEnd"/>
      <w:r>
        <w:rPr>
          <w:sz w:val="22"/>
          <w:szCs w:val="22"/>
          <w:lang w:val="es-ES"/>
        </w:rPr>
        <w:t xml:space="preserve"> </w:t>
      </w:r>
      <w:proofErr w:type="spellStart"/>
      <w:r>
        <w:rPr>
          <w:sz w:val="22"/>
          <w:szCs w:val="22"/>
          <w:lang w:val="es-ES"/>
        </w:rPr>
        <w:t>transmit</w:t>
      </w:r>
      <w:proofErr w:type="spellEnd"/>
      <w:r>
        <w:rPr>
          <w:sz w:val="22"/>
          <w:szCs w:val="22"/>
          <w:lang w:val="es-ES"/>
        </w:rPr>
        <w:t xml:space="preserve"> </w:t>
      </w:r>
      <w:proofErr w:type="spellStart"/>
      <w:r>
        <w:rPr>
          <w:sz w:val="22"/>
          <w:szCs w:val="22"/>
          <w:lang w:val="es-ES"/>
        </w:rPr>
        <w:t>must</w:t>
      </w:r>
      <w:proofErr w:type="spellEnd"/>
      <w:r>
        <w:rPr>
          <w:sz w:val="22"/>
          <w:szCs w:val="22"/>
          <w:lang w:val="es-ES"/>
        </w:rPr>
        <w:t xml:space="preserve"> </w:t>
      </w:r>
      <w:proofErr w:type="spellStart"/>
      <w:r>
        <w:rPr>
          <w:sz w:val="22"/>
          <w:szCs w:val="22"/>
          <w:lang w:val="es-ES"/>
        </w:rPr>
        <w:t>have</w:t>
      </w:r>
      <w:proofErr w:type="spellEnd"/>
      <w:r>
        <w:rPr>
          <w:sz w:val="22"/>
          <w:szCs w:val="22"/>
          <w:lang w:val="es-ES"/>
        </w:rPr>
        <w:t xml:space="preserve"> </w:t>
      </w:r>
      <w:proofErr w:type="spellStart"/>
      <w:r>
        <w:rPr>
          <w:sz w:val="22"/>
          <w:szCs w:val="22"/>
          <w:lang w:val="es-ES"/>
        </w:rPr>
        <w:t>an</w:t>
      </w:r>
      <w:proofErr w:type="spellEnd"/>
      <w:r>
        <w:rPr>
          <w:sz w:val="22"/>
          <w:szCs w:val="22"/>
          <w:lang w:val="es-ES"/>
        </w:rPr>
        <w:t xml:space="preserve"> </w:t>
      </w:r>
      <w:proofErr w:type="spellStart"/>
      <w:r>
        <w:rPr>
          <w:sz w:val="22"/>
          <w:szCs w:val="22"/>
          <w:lang w:val="es-ES"/>
        </w:rPr>
        <w:t>accuracy</w:t>
      </w:r>
      <w:proofErr w:type="spellEnd"/>
      <w:r>
        <w:rPr>
          <w:sz w:val="22"/>
          <w:szCs w:val="22"/>
          <w:lang w:val="es-ES"/>
        </w:rPr>
        <w:t xml:space="preserve"> </w:t>
      </w:r>
      <w:proofErr w:type="spellStart"/>
      <w:r>
        <w:rPr>
          <w:sz w:val="22"/>
          <w:szCs w:val="22"/>
          <w:lang w:val="es-ES"/>
        </w:rPr>
        <w:t>of</w:t>
      </w:r>
      <w:proofErr w:type="spellEnd"/>
      <w:r>
        <w:rPr>
          <w:sz w:val="22"/>
          <w:szCs w:val="22"/>
          <w:lang w:val="es-ES"/>
        </w:rPr>
        <w:t xml:space="preserve"> 0.001m³ </w:t>
      </w:r>
      <w:proofErr w:type="spellStart"/>
      <w:r>
        <w:rPr>
          <w:sz w:val="22"/>
          <w:szCs w:val="22"/>
          <w:lang w:val="es-ES"/>
        </w:rPr>
        <w:t>or</w:t>
      </w:r>
      <w:proofErr w:type="spellEnd"/>
      <w:r>
        <w:rPr>
          <w:sz w:val="22"/>
          <w:szCs w:val="22"/>
          <w:lang w:val="es-ES"/>
        </w:rPr>
        <w:t xml:space="preserve"> </w:t>
      </w:r>
      <w:proofErr w:type="spellStart"/>
      <w:r>
        <w:rPr>
          <w:sz w:val="22"/>
          <w:szCs w:val="22"/>
          <w:lang w:val="es-ES"/>
        </w:rPr>
        <w:t>greater</w:t>
      </w:r>
      <w:proofErr w:type="spellEnd"/>
      <w:r>
        <w:rPr>
          <w:sz w:val="22"/>
          <w:szCs w:val="22"/>
          <w:lang w:val="es-ES"/>
        </w:rPr>
        <w:t>.</w:t>
      </w:r>
    </w:p>
    <w:p w14:paraId="2F235BDC" w14:textId="77777777" w:rsidR="00E255F4" w:rsidRDefault="00000000">
      <w:pPr>
        <w:pStyle w:val="Prrafodelista"/>
        <w:numPr>
          <w:ilvl w:val="2"/>
          <w:numId w:val="68"/>
        </w:numPr>
        <w:tabs>
          <w:tab w:val="left" w:pos="851"/>
        </w:tabs>
        <w:spacing w:after="120"/>
        <w:ind w:left="851" w:hanging="851"/>
        <w:jc w:val="both"/>
      </w:pPr>
      <w:r>
        <w:rPr>
          <w:sz w:val="22"/>
          <w:szCs w:val="22"/>
          <w:lang w:val="es-ES"/>
        </w:rPr>
        <w:t xml:space="preserve">The </w:t>
      </w:r>
      <w:proofErr w:type="spellStart"/>
      <w:r>
        <w:rPr>
          <w:sz w:val="22"/>
          <w:szCs w:val="22"/>
          <w:lang w:val="es-ES"/>
        </w:rPr>
        <w:t>telemetry</w:t>
      </w:r>
      <w:proofErr w:type="spellEnd"/>
      <w:r>
        <w:rPr>
          <w:sz w:val="22"/>
          <w:szCs w:val="22"/>
          <w:lang w:val="es-ES"/>
        </w:rPr>
        <w:t xml:space="preserve"> </w:t>
      </w:r>
      <w:proofErr w:type="spellStart"/>
      <w:r>
        <w:rPr>
          <w:sz w:val="22"/>
          <w:szCs w:val="22"/>
          <w:lang w:val="es-ES"/>
        </w:rPr>
        <w:t>devices</w:t>
      </w:r>
      <w:proofErr w:type="spellEnd"/>
      <w:r>
        <w:rPr>
          <w:sz w:val="22"/>
          <w:szCs w:val="22"/>
          <w:lang w:val="es-ES"/>
        </w:rPr>
        <w:t xml:space="preserve"> </w:t>
      </w:r>
      <w:proofErr w:type="spellStart"/>
      <w:r>
        <w:rPr>
          <w:sz w:val="22"/>
          <w:szCs w:val="22"/>
          <w:lang w:val="es-ES"/>
        </w:rPr>
        <w:t>will</w:t>
      </w:r>
      <w:proofErr w:type="spellEnd"/>
      <w:r>
        <w:rPr>
          <w:sz w:val="22"/>
          <w:szCs w:val="22"/>
          <w:lang w:val="es-ES"/>
        </w:rPr>
        <w:t xml:space="preserve"> be </w:t>
      </w:r>
      <w:proofErr w:type="spellStart"/>
      <w:r>
        <w:rPr>
          <w:sz w:val="22"/>
          <w:szCs w:val="22"/>
          <w:lang w:val="es-ES"/>
        </w:rPr>
        <w:t>suitable</w:t>
      </w:r>
      <w:proofErr w:type="spellEnd"/>
      <w:r>
        <w:rPr>
          <w:sz w:val="22"/>
          <w:szCs w:val="22"/>
          <w:lang w:val="es-ES"/>
        </w:rPr>
        <w:t xml:space="preserve"> </w:t>
      </w:r>
      <w:proofErr w:type="spellStart"/>
      <w:r>
        <w:rPr>
          <w:sz w:val="22"/>
          <w:szCs w:val="22"/>
          <w:lang w:val="es-ES"/>
        </w:rPr>
        <w:t>for</w:t>
      </w:r>
      <w:proofErr w:type="spellEnd"/>
      <w:r>
        <w:rPr>
          <w:sz w:val="22"/>
          <w:szCs w:val="22"/>
          <w:lang w:val="es-ES"/>
        </w:rPr>
        <w:t xml:space="preserve"> </w:t>
      </w:r>
      <w:proofErr w:type="spellStart"/>
      <w:r>
        <w:rPr>
          <w:sz w:val="22"/>
          <w:szCs w:val="22"/>
          <w:lang w:val="es-ES"/>
        </w:rPr>
        <w:t>working</w:t>
      </w:r>
      <w:proofErr w:type="spellEnd"/>
      <w:r>
        <w:rPr>
          <w:sz w:val="22"/>
          <w:szCs w:val="22"/>
          <w:lang w:val="es-ES"/>
        </w:rPr>
        <w:t xml:space="preserve"> in </w:t>
      </w:r>
      <w:proofErr w:type="spellStart"/>
      <w:r>
        <w:rPr>
          <w:sz w:val="22"/>
          <w:szCs w:val="22"/>
          <w:lang w:val="es-ES"/>
        </w:rPr>
        <w:t>an</w:t>
      </w:r>
      <w:proofErr w:type="spellEnd"/>
      <w:r>
        <w:rPr>
          <w:sz w:val="22"/>
          <w:szCs w:val="22"/>
          <w:lang w:val="es-ES"/>
        </w:rPr>
        <w:t xml:space="preserve"> </w:t>
      </w:r>
      <w:proofErr w:type="spellStart"/>
      <w:r>
        <w:rPr>
          <w:sz w:val="22"/>
          <w:szCs w:val="22"/>
          <w:lang w:val="es-ES"/>
        </w:rPr>
        <w:t>environment</w:t>
      </w:r>
      <w:proofErr w:type="spellEnd"/>
      <w:r>
        <w:rPr>
          <w:sz w:val="22"/>
          <w:szCs w:val="22"/>
          <w:lang w:val="es-ES"/>
        </w:rPr>
        <w:t xml:space="preserve"> </w:t>
      </w:r>
      <w:proofErr w:type="spellStart"/>
      <w:r>
        <w:rPr>
          <w:sz w:val="22"/>
          <w:szCs w:val="22"/>
          <w:lang w:val="es-ES"/>
        </w:rPr>
        <w:t>with</w:t>
      </w:r>
      <w:proofErr w:type="spellEnd"/>
      <w:r>
        <w:rPr>
          <w:sz w:val="22"/>
          <w:szCs w:val="22"/>
          <w:lang w:val="es-ES"/>
        </w:rPr>
        <w:t xml:space="preserve"> a </w:t>
      </w:r>
      <w:proofErr w:type="spellStart"/>
      <w:r>
        <w:rPr>
          <w:sz w:val="22"/>
          <w:szCs w:val="22"/>
          <w:lang w:val="es-ES"/>
        </w:rPr>
        <w:t>temperature</w:t>
      </w:r>
      <w:proofErr w:type="spellEnd"/>
      <w:r>
        <w:rPr>
          <w:sz w:val="22"/>
          <w:szCs w:val="22"/>
          <w:lang w:val="es-ES"/>
        </w:rPr>
        <w:t xml:space="preserve"> </w:t>
      </w:r>
      <w:proofErr w:type="spellStart"/>
      <w:r>
        <w:rPr>
          <w:sz w:val="22"/>
          <w:szCs w:val="22"/>
          <w:lang w:val="es-ES"/>
        </w:rPr>
        <w:t>range</w:t>
      </w:r>
      <w:proofErr w:type="spellEnd"/>
      <w:r>
        <w:rPr>
          <w:sz w:val="22"/>
          <w:szCs w:val="22"/>
          <w:lang w:val="es-ES"/>
        </w:rPr>
        <w:t xml:space="preserve"> </w:t>
      </w:r>
      <w:proofErr w:type="spellStart"/>
      <w:r>
        <w:rPr>
          <w:sz w:val="22"/>
          <w:szCs w:val="22"/>
          <w:lang w:val="es-ES"/>
        </w:rPr>
        <w:t>of</w:t>
      </w:r>
      <w:proofErr w:type="spellEnd"/>
      <w:r>
        <w:rPr>
          <w:sz w:val="22"/>
          <w:szCs w:val="22"/>
          <w:lang w:val="es-ES"/>
        </w:rPr>
        <w:t xml:space="preserve"> </w:t>
      </w:r>
      <w:proofErr w:type="spellStart"/>
      <w:r>
        <w:rPr>
          <w:sz w:val="22"/>
          <w:szCs w:val="22"/>
          <w:lang w:val="es-ES"/>
        </w:rPr>
        <w:t>between</w:t>
      </w:r>
      <w:proofErr w:type="spellEnd"/>
      <w:r>
        <w:rPr>
          <w:sz w:val="22"/>
          <w:szCs w:val="22"/>
          <w:lang w:val="es-ES"/>
        </w:rPr>
        <w:t xml:space="preserve"> -10 and +55 </w:t>
      </w:r>
      <w:proofErr w:type="spellStart"/>
      <w:r>
        <w:rPr>
          <w:sz w:val="22"/>
          <w:szCs w:val="22"/>
          <w:lang w:val="es-ES"/>
        </w:rPr>
        <w:t>degrees</w:t>
      </w:r>
      <w:proofErr w:type="spellEnd"/>
      <w:r>
        <w:rPr>
          <w:sz w:val="22"/>
          <w:szCs w:val="22"/>
          <w:lang w:val="es-ES"/>
        </w:rPr>
        <w:t xml:space="preserve"> Celsius.</w:t>
      </w:r>
    </w:p>
    <w:p w14:paraId="7A87C7BB" w14:textId="77777777" w:rsidR="00E255F4" w:rsidRDefault="00000000">
      <w:pPr>
        <w:pStyle w:val="Prrafodelista"/>
        <w:numPr>
          <w:ilvl w:val="2"/>
          <w:numId w:val="68"/>
        </w:numPr>
        <w:tabs>
          <w:tab w:val="left" w:pos="851"/>
        </w:tabs>
        <w:spacing w:after="120"/>
        <w:ind w:left="851" w:hanging="851"/>
        <w:jc w:val="both"/>
        <w:rPr>
          <w:sz w:val="22"/>
          <w:szCs w:val="22"/>
          <w:lang w:val="es-ES"/>
        </w:rPr>
      </w:pPr>
      <w:proofErr w:type="spellStart"/>
      <w:r>
        <w:rPr>
          <w:sz w:val="22"/>
          <w:szCs w:val="22"/>
          <w:u w:val="single"/>
          <w:lang w:val="es-ES"/>
        </w:rPr>
        <w:t>Transmission</w:t>
      </w:r>
      <w:proofErr w:type="spellEnd"/>
      <w:r>
        <w:rPr>
          <w:sz w:val="22"/>
          <w:szCs w:val="22"/>
          <w:u w:val="single"/>
          <w:lang w:val="es-ES"/>
        </w:rPr>
        <w:t xml:space="preserve"> </w:t>
      </w:r>
      <w:proofErr w:type="spellStart"/>
      <w:r>
        <w:rPr>
          <w:sz w:val="22"/>
          <w:szCs w:val="22"/>
          <w:u w:val="single"/>
          <w:lang w:val="es-ES"/>
        </w:rPr>
        <w:t>identification</w:t>
      </w:r>
      <w:proofErr w:type="spellEnd"/>
      <w:r>
        <w:rPr>
          <w:sz w:val="22"/>
          <w:szCs w:val="22"/>
          <w:u w:val="single"/>
          <w:lang w:val="es-ES"/>
        </w:rPr>
        <w:t xml:space="preserve"> and </w:t>
      </w:r>
      <w:proofErr w:type="spellStart"/>
      <w:r>
        <w:rPr>
          <w:sz w:val="22"/>
          <w:szCs w:val="22"/>
          <w:u w:val="single"/>
          <w:lang w:val="es-ES"/>
        </w:rPr>
        <w:t>security</w:t>
      </w:r>
      <w:r>
        <w:rPr>
          <w:sz w:val="22"/>
          <w:szCs w:val="22"/>
          <w:lang w:val="es-ES"/>
        </w:rPr>
        <w:t>A</w:t>
      </w:r>
      <w:proofErr w:type="spellEnd"/>
      <w:r>
        <w:rPr>
          <w:sz w:val="22"/>
          <w:szCs w:val="22"/>
          <w:lang w:val="es-ES"/>
        </w:rPr>
        <w:t xml:space="preserve"> </w:t>
      </w:r>
      <w:proofErr w:type="spellStart"/>
      <w:r>
        <w:rPr>
          <w:sz w:val="22"/>
          <w:szCs w:val="22"/>
          <w:lang w:val="es-ES"/>
        </w:rPr>
        <w:t>connection</w:t>
      </w:r>
      <w:proofErr w:type="spellEnd"/>
      <w:r>
        <w:rPr>
          <w:sz w:val="22"/>
          <w:szCs w:val="22"/>
          <w:lang w:val="es-ES"/>
        </w:rPr>
        <w:t xml:space="preserve"> </w:t>
      </w:r>
      <w:proofErr w:type="spellStart"/>
      <w:r>
        <w:rPr>
          <w:sz w:val="22"/>
          <w:szCs w:val="22"/>
          <w:lang w:val="es-ES"/>
        </w:rPr>
        <w:t>will</w:t>
      </w:r>
      <w:proofErr w:type="spellEnd"/>
      <w:r>
        <w:rPr>
          <w:sz w:val="22"/>
          <w:szCs w:val="22"/>
          <w:lang w:val="es-ES"/>
        </w:rPr>
        <w:t xml:space="preserve"> be </w:t>
      </w:r>
      <w:proofErr w:type="spellStart"/>
      <w:r>
        <w:rPr>
          <w:sz w:val="22"/>
          <w:szCs w:val="22"/>
          <w:lang w:val="es-ES"/>
        </w:rPr>
        <w:t>established</w:t>
      </w:r>
      <w:proofErr w:type="spellEnd"/>
      <w:r>
        <w:rPr>
          <w:sz w:val="22"/>
          <w:szCs w:val="22"/>
          <w:lang w:val="es-ES"/>
        </w:rPr>
        <w:t xml:space="preserve"> </w:t>
      </w:r>
      <w:proofErr w:type="spellStart"/>
      <w:r>
        <w:rPr>
          <w:sz w:val="22"/>
          <w:szCs w:val="22"/>
          <w:lang w:val="es-ES"/>
        </w:rPr>
        <w:t>with</w:t>
      </w:r>
      <w:proofErr w:type="spellEnd"/>
      <w:r>
        <w:rPr>
          <w:sz w:val="22"/>
          <w:szCs w:val="22"/>
          <w:lang w:val="es-ES"/>
        </w:rPr>
        <w:t xml:space="preserve"> </w:t>
      </w:r>
      <w:proofErr w:type="spellStart"/>
      <w:r>
        <w:rPr>
          <w:sz w:val="22"/>
          <w:szCs w:val="22"/>
          <w:lang w:val="es-ES"/>
        </w:rPr>
        <w:t>each</w:t>
      </w:r>
      <w:proofErr w:type="spellEnd"/>
      <w:r>
        <w:rPr>
          <w:sz w:val="22"/>
          <w:szCs w:val="22"/>
          <w:lang w:val="es-ES"/>
        </w:rPr>
        <w:t xml:space="preserve"> </w:t>
      </w:r>
      <w:proofErr w:type="spellStart"/>
      <w:r>
        <w:rPr>
          <w:sz w:val="22"/>
          <w:szCs w:val="22"/>
          <w:lang w:val="es-ES"/>
        </w:rPr>
        <w:t>telemetry</w:t>
      </w:r>
      <w:proofErr w:type="spellEnd"/>
      <w:r>
        <w:rPr>
          <w:sz w:val="22"/>
          <w:szCs w:val="22"/>
          <w:lang w:val="es-ES"/>
        </w:rPr>
        <w:t xml:space="preserve"> </w:t>
      </w:r>
      <w:proofErr w:type="spellStart"/>
      <w:r>
        <w:rPr>
          <w:sz w:val="22"/>
          <w:szCs w:val="22"/>
          <w:lang w:val="es-ES"/>
        </w:rPr>
        <w:t>device</w:t>
      </w:r>
      <w:proofErr w:type="spellEnd"/>
      <w:r>
        <w:rPr>
          <w:sz w:val="22"/>
          <w:szCs w:val="22"/>
          <w:lang w:val="es-ES"/>
        </w:rPr>
        <w:t xml:space="preserve"> </w:t>
      </w:r>
      <w:proofErr w:type="spellStart"/>
      <w:r>
        <w:rPr>
          <w:sz w:val="22"/>
          <w:szCs w:val="22"/>
          <w:lang w:val="es-ES"/>
        </w:rPr>
        <w:t>using</w:t>
      </w:r>
      <w:proofErr w:type="spellEnd"/>
      <w:r>
        <w:rPr>
          <w:sz w:val="22"/>
          <w:szCs w:val="22"/>
          <w:lang w:val="es-ES"/>
        </w:rPr>
        <w:t xml:space="preserve"> a </w:t>
      </w:r>
      <w:proofErr w:type="spellStart"/>
      <w:r>
        <w:rPr>
          <w:sz w:val="22"/>
          <w:szCs w:val="22"/>
          <w:lang w:val="es-ES"/>
        </w:rPr>
        <w:t>secure</w:t>
      </w:r>
      <w:proofErr w:type="spellEnd"/>
      <w:r>
        <w:rPr>
          <w:sz w:val="22"/>
          <w:szCs w:val="22"/>
          <w:lang w:val="es-ES"/>
        </w:rPr>
        <w:t xml:space="preserve"> </w:t>
      </w:r>
      <w:proofErr w:type="spellStart"/>
      <w:r>
        <w:rPr>
          <w:sz w:val="22"/>
          <w:szCs w:val="22"/>
          <w:lang w:val="es-ES"/>
        </w:rPr>
        <w:t>access</w:t>
      </w:r>
      <w:proofErr w:type="spellEnd"/>
      <w:r>
        <w:rPr>
          <w:sz w:val="22"/>
          <w:szCs w:val="22"/>
          <w:lang w:val="es-ES"/>
        </w:rPr>
        <w:t xml:space="preserve"> </w:t>
      </w:r>
      <w:proofErr w:type="spellStart"/>
      <w:r>
        <w:rPr>
          <w:sz w:val="22"/>
          <w:szCs w:val="22"/>
          <w:lang w:val="es-ES"/>
        </w:rPr>
        <w:t>identification</w:t>
      </w:r>
      <w:proofErr w:type="spellEnd"/>
      <w:r>
        <w:rPr>
          <w:sz w:val="22"/>
          <w:szCs w:val="22"/>
          <w:lang w:val="es-ES"/>
        </w:rPr>
        <w:t xml:space="preserve"> </w:t>
      </w:r>
      <w:proofErr w:type="spellStart"/>
      <w:r>
        <w:rPr>
          <w:sz w:val="22"/>
          <w:szCs w:val="22"/>
          <w:lang w:val="es-ES"/>
        </w:rPr>
        <w:t>method</w:t>
      </w:r>
      <w:proofErr w:type="spellEnd"/>
      <w:r>
        <w:rPr>
          <w:sz w:val="22"/>
          <w:szCs w:val="22"/>
          <w:lang w:val="es-ES"/>
        </w:rPr>
        <w:t xml:space="preserve"> (</w:t>
      </w:r>
      <w:proofErr w:type="spellStart"/>
      <w:r>
        <w:rPr>
          <w:sz w:val="22"/>
          <w:szCs w:val="22"/>
          <w:lang w:val="es-ES"/>
        </w:rPr>
        <w:t>e.g</w:t>
      </w:r>
      <w:proofErr w:type="spellEnd"/>
      <w:r>
        <w:rPr>
          <w:sz w:val="22"/>
          <w:szCs w:val="22"/>
          <w:lang w:val="es-ES"/>
        </w:rPr>
        <w:t xml:space="preserve">., </w:t>
      </w:r>
      <w:proofErr w:type="spellStart"/>
      <w:r>
        <w:rPr>
          <w:sz w:val="22"/>
          <w:szCs w:val="22"/>
          <w:lang w:val="es-ES"/>
        </w:rPr>
        <w:t>identification</w:t>
      </w:r>
      <w:proofErr w:type="spellEnd"/>
      <w:r>
        <w:rPr>
          <w:sz w:val="22"/>
          <w:szCs w:val="22"/>
          <w:lang w:val="es-ES"/>
        </w:rPr>
        <w:t xml:space="preserve"> </w:t>
      </w:r>
      <w:proofErr w:type="spellStart"/>
      <w:r>
        <w:rPr>
          <w:sz w:val="22"/>
          <w:szCs w:val="22"/>
          <w:lang w:val="es-ES"/>
        </w:rPr>
        <w:t>number</w:t>
      </w:r>
      <w:proofErr w:type="spellEnd"/>
      <w:r>
        <w:rPr>
          <w:sz w:val="22"/>
          <w:szCs w:val="22"/>
          <w:lang w:val="es-ES"/>
        </w:rPr>
        <w:t xml:space="preserve"> and </w:t>
      </w:r>
      <w:proofErr w:type="spellStart"/>
      <w:r>
        <w:rPr>
          <w:sz w:val="22"/>
          <w:szCs w:val="22"/>
          <w:lang w:val="es-ES"/>
        </w:rPr>
        <w:t>access</w:t>
      </w:r>
      <w:proofErr w:type="spellEnd"/>
      <w:r>
        <w:rPr>
          <w:sz w:val="22"/>
          <w:szCs w:val="22"/>
          <w:lang w:val="es-ES"/>
        </w:rPr>
        <w:t xml:space="preserve"> </w:t>
      </w:r>
      <w:proofErr w:type="spellStart"/>
      <w:r>
        <w:rPr>
          <w:sz w:val="22"/>
          <w:szCs w:val="22"/>
          <w:lang w:val="es-ES"/>
        </w:rPr>
        <w:t>security</w:t>
      </w:r>
      <w:proofErr w:type="spellEnd"/>
      <w:r>
        <w:rPr>
          <w:sz w:val="22"/>
          <w:szCs w:val="22"/>
          <w:lang w:val="es-ES"/>
        </w:rPr>
        <w:t xml:space="preserve"> </w:t>
      </w:r>
      <w:proofErr w:type="spellStart"/>
      <w:r>
        <w:rPr>
          <w:sz w:val="22"/>
          <w:szCs w:val="22"/>
          <w:lang w:val="es-ES"/>
        </w:rPr>
        <w:t>key</w:t>
      </w:r>
      <w:proofErr w:type="spellEnd"/>
      <w:r>
        <w:rPr>
          <w:sz w:val="22"/>
          <w:szCs w:val="22"/>
          <w:lang w:val="es-ES"/>
        </w:rPr>
        <w:t xml:space="preserve">). Data </w:t>
      </w:r>
      <w:proofErr w:type="spellStart"/>
      <w:r>
        <w:rPr>
          <w:sz w:val="22"/>
          <w:szCs w:val="22"/>
          <w:lang w:val="es-ES"/>
        </w:rPr>
        <w:t>transmitted</w:t>
      </w:r>
      <w:proofErr w:type="spellEnd"/>
      <w:r>
        <w:rPr>
          <w:sz w:val="22"/>
          <w:szCs w:val="22"/>
          <w:lang w:val="es-ES"/>
        </w:rPr>
        <w:t xml:space="preserve"> </w:t>
      </w:r>
      <w:proofErr w:type="spellStart"/>
      <w:r>
        <w:rPr>
          <w:sz w:val="22"/>
          <w:szCs w:val="22"/>
          <w:lang w:val="es-ES"/>
        </w:rPr>
        <w:t>from</w:t>
      </w:r>
      <w:proofErr w:type="spellEnd"/>
      <w:r>
        <w:rPr>
          <w:sz w:val="22"/>
          <w:szCs w:val="22"/>
          <w:lang w:val="es-ES"/>
        </w:rPr>
        <w:t xml:space="preserve"> </w:t>
      </w:r>
      <w:proofErr w:type="spellStart"/>
      <w:r>
        <w:rPr>
          <w:sz w:val="22"/>
          <w:szCs w:val="22"/>
          <w:lang w:val="es-ES"/>
        </w:rPr>
        <w:t>the</w:t>
      </w:r>
      <w:proofErr w:type="spellEnd"/>
      <w:r>
        <w:rPr>
          <w:sz w:val="22"/>
          <w:szCs w:val="22"/>
          <w:lang w:val="es-ES"/>
        </w:rPr>
        <w:t xml:space="preserve"> </w:t>
      </w:r>
      <w:proofErr w:type="spellStart"/>
      <w:r>
        <w:rPr>
          <w:sz w:val="22"/>
          <w:szCs w:val="22"/>
          <w:lang w:val="es-ES"/>
        </w:rPr>
        <w:t>telemetry</w:t>
      </w:r>
      <w:proofErr w:type="spellEnd"/>
      <w:r>
        <w:rPr>
          <w:sz w:val="22"/>
          <w:szCs w:val="22"/>
          <w:lang w:val="es-ES"/>
        </w:rPr>
        <w:t xml:space="preserve"> </w:t>
      </w:r>
      <w:proofErr w:type="spellStart"/>
      <w:r>
        <w:rPr>
          <w:sz w:val="22"/>
          <w:szCs w:val="22"/>
          <w:lang w:val="es-ES"/>
        </w:rPr>
        <w:t>device</w:t>
      </w:r>
      <w:proofErr w:type="spellEnd"/>
      <w:r>
        <w:rPr>
          <w:sz w:val="22"/>
          <w:szCs w:val="22"/>
          <w:lang w:val="es-ES"/>
        </w:rPr>
        <w:t xml:space="preserve"> </w:t>
      </w:r>
      <w:proofErr w:type="spellStart"/>
      <w:r>
        <w:rPr>
          <w:sz w:val="22"/>
          <w:szCs w:val="22"/>
          <w:lang w:val="es-ES"/>
        </w:rPr>
        <w:t>will</w:t>
      </w:r>
      <w:proofErr w:type="spellEnd"/>
      <w:r>
        <w:rPr>
          <w:sz w:val="22"/>
          <w:szCs w:val="22"/>
          <w:lang w:val="es-ES"/>
        </w:rPr>
        <w:t xml:space="preserve"> be </w:t>
      </w:r>
      <w:proofErr w:type="spellStart"/>
      <w:r>
        <w:rPr>
          <w:sz w:val="22"/>
          <w:szCs w:val="22"/>
          <w:lang w:val="es-ES"/>
        </w:rPr>
        <w:t>encrypted</w:t>
      </w:r>
      <w:proofErr w:type="spellEnd"/>
      <w:r>
        <w:rPr>
          <w:sz w:val="22"/>
          <w:szCs w:val="22"/>
          <w:lang w:val="es-ES"/>
        </w:rPr>
        <w:t xml:space="preserve"> </w:t>
      </w:r>
      <w:proofErr w:type="spellStart"/>
      <w:r>
        <w:rPr>
          <w:sz w:val="22"/>
          <w:szCs w:val="22"/>
          <w:lang w:val="es-ES"/>
        </w:rPr>
        <w:t>with</w:t>
      </w:r>
      <w:proofErr w:type="spellEnd"/>
      <w:r>
        <w:rPr>
          <w:sz w:val="22"/>
          <w:szCs w:val="22"/>
          <w:lang w:val="es-ES"/>
        </w:rPr>
        <w:t xml:space="preserve"> at </w:t>
      </w:r>
      <w:proofErr w:type="spellStart"/>
      <w:r>
        <w:rPr>
          <w:sz w:val="22"/>
          <w:szCs w:val="22"/>
          <w:lang w:val="es-ES"/>
        </w:rPr>
        <w:t>least</w:t>
      </w:r>
      <w:proofErr w:type="spellEnd"/>
      <w:r>
        <w:rPr>
          <w:sz w:val="22"/>
          <w:szCs w:val="22"/>
          <w:lang w:val="es-ES"/>
        </w:rPr>
        <w:t xml:space="preserve"> AES128 (</w:t>
      </w:r>
      <w:proofErr w:type="spellStart"/>
      <w:r>
        <w:rPr>
          <w:sz w:val="22"/>
          <w:szCs w:val="22"/>
          <w:lang w:val="es-ES"/>
        </w:rPr>
        <w:t>Advanced</w:t>
      </w:r>
      <w:proofErr w:type="spellEnd"/>
      <w:r>
        <w:rPr>
          <w:sz w:val="22"/>
          <w:szCs w:val="22"/>
          <w:lang w:val="es-ES"/>
        </w:rPr>
        <w:t xml:space="preserve"> </w:t>
      </w:r>
      <w:proofErr w:type="spellStart"/>
      <w:r>
        <w:rPr>
          <w:sz w:val="22"/>
          <w:szCs w:val="22"/>
          <w:lang w:val="es-ES"/>
        </w:rPr>
        <w:t>Encryption</w:t>
      </w:r>
      <w:proofErr w:type="spellEnd"/>
      <w:r>
        <w:rPr>
          <w:sz w:val="22"/>
          <w:szCs w:val="22"/>
          <w:lang w:val="es-ES"/>
        </w:rPr>
        <w:t xml:space="preserve"> Standard) </w:t>
      </w:r>
      <w:proofErr w:type="spellStart"/>
      <w:r>
        <w:rPr>
          <w:sz w:val="22"/>
          <w:szCs w:val="22"/>
          <w:lang w:val="es-ES"/>
        </w:rPr>
        <w:t>encryption</w:t>
      </w:r>
      <w:proofErr w:type="spellEnd"/>
      <w:r>
        <w:rPr>
          <w:sz w:val="22"/>
          <w:szCs w:val="22"/>
          <w:lang w:val="es-ES"/>
        </w:rPr>
        <w:t xml:space="preserve"> </w:t>
      </w:r>
      <w:proofErr w:type="spellStart"/>
      <w:r>
        <w:rPr>
          <w:sz w:val="22"/>
          <w:szCs w:val="22"/>
          <w:lang w:val="es-ES"/>
        </w:rPr>
        <w:t>throughout</w:t>
      </w:r>
      <w:proofErr w:type="spellEnd"/>
      <w:r>
        <w:rPr>
          <w:sz w:val="22"/>
          <w:szCs w:val="22"/>
          <w:lang w:val="es-ES"/>
        </w:rPr>
        <w:t xml:space="preserve"> </w:t>
      </w:r>
      <w:proofErr w:type="spellStart"/>
      <w:r>
        <w:rPr>
          <w:sz w:val="22"/>
          <w:szCs w:val="22"/>
          <w:lang w:val="es-ES"/>
        </w:rPr>
        <w:t>its</w:t>
      </w:r>
      <w:proofErr w:type="spellEnd"/>
      <w:r>
        <w:rPr>
          <w:sz w:val="22"/>
          <w:szCs w:val="22"/>
          <w:lang w:val="es-ES"/>
        </w:rPr>
        <w:t xml:space="preserve"> </w:t>
      </w:r>
      <w:proofErr w:type="spellStart"/>
      <w:r>
        <w:rPr>
          <w:sz w:val="22"/>
          <w:szCs w:val="22"/>
          <w:lang w:val="es-ES"/>
        </w:rPr>
        <w:t>path</w:t>
      </w:r>
      <w:proofErr w:type="spellEnd"/>
      <w:r>
        <w:rPr>
          <w:sz w:val="22"/>
          <w:szCs w:val="22"/>
          <w:lang w:val="es-ES"/>
        </w:rPr>
        <w:t xml:space="preserve"> </w:t>
      </w:r>
      <w:proofErr w:type="spellStart"/>
      <w:r>
        <w:rPr>
          <w:sz w:val="22"/>
          <w:szCs w:val="22"/>
          <w:lang w:val="es-ES"/>
        </w:rPr>
        <w:t>until</w:t>
      </w:r>
      <w:proofErr w:type="spellEnd"/>
      <w:r>
        <w:rPr>
          <w:sz w:val="22"/>
          <w:szCs w:val="22"/>
          <w:lang w:val="es-ES"/>
        </w:rPr>
        <w:t xml:space="preserve"> </w:t>
      </w:r>
      <w:proofErr w:type="spellStart"/>
      <w:r>
        <w:rPr>
          <w:sz w:val="22"/>
          <w:szCs w:val="22"/>
          <w:lang w:val="es-ES"/>
        </w:rPr>
        <w:t>delivery</w:t>
      </w:r>
      <w:proofErr w:type="spellEnd"/>
      <w:r>
        <w:rPr>
          <w:sz w:val="22"/>
          <w:szCs w:val="22"/>
          <w:lang w:val="es-ES"/>
        </w:rPr>
        <w:t>.</w:t>
      </w:r>
    </w:p>
    <w:p w14:paraId="460655B5" w14:textId="77777777" w:rsidR="00E255F4" w:rsidRDefault="00000000">
      <w:pPr>
        <w:numPr>
          <w:ilvl w:val="1"/>
          <w:numId w:val="68"/>
        </w:numPr>
        <w:spacing w:before="240" w:after="120"/>
        <w:ind w:left="714" w:hanging="714"/>
      </w:pPr>
      <w:proofErr w:type="spellStart"/>
      <w:r>
        <w:rPr>
          <w:b/>
          <w:sz w:val="22"/>
          <w:szCs w:val="22"/>
          <w:lang w:val="es-ES"/>
        </w:rPr>
        <w:t>Features</w:t>
      </w:r>
      <w:proofErr w:type="spellEnd"/>
      <w:r>
        <w:rPr>
          <w:b/>
          <w:sz w:val="22"/>
          <w:szCs w:val="22"/>
          <w:lang w:val="es-ES"/>
        </w:rPr>
        <w:t xml:space="preserve"> </w:t>
      </w:r>
      <w:proofErr w:type="spellStart"/>
      <w:r>
        <w:rPr>
          <w:b/>
          <w:sz w:val="22"/>
          <w:szCs w:val="22"/>
          <w:lang w:val="es-ES"/>
        </w:rPr>
        <w:t>of</w:t>
      </w:r>
      <w:proofErr w:type="spellEnd"/>
      <w:r>
        <w:rPr>
          <w:b/>
          <w:sz w:val="22"/>
          <w:szCs w:val="22"/>
          <w:lang w:val="es-ES"/>
        </w:rPr>
        <w:t xml:space="preserve"> </w:t>
      </w:r>
      <w:proofErr w:type="spellStart"/>
      <w:r>
        <w:rPr>
          <w:b/>
          <w:sz w:val="22"/>
          <w:szCs w:val="22"/>
          <w:lang w:val="es-ES"/>
        </w:rPr>
        <w:t>the</w:t>
      </w:r>
      <w:proofErr w:type="spellEnd"/>
      <w:r>
        <w:rPr>
          <w:b/>
          <w:sz w:val="22"/>
          <w:szCs w:val="22"/>
          <w:lang w:val="es-ES"/>
        </w:rPr>
        <w:t xml:space="preserve"> </w:t>
      </w:r>
      <w:proofErr w:type="spellStart"/>
      <w:r>
        <w:rPr>
          <w:b/>
          <w:sz w:val="22"/>
          <w:szCs w:val="22"/>
          <w:lang w:val="es-ES"/>
        </w:rPr>
        <w:t>integrated</w:t>
      </w:r>
      <w:proofErr w:type="spellEnd"/>
      <w:r>
        <w:rPr>
          <w:b/>
          <w:sz w:val="22"/>
          <w:szCs w:val="22"/>
          <w:lang w:val="es-ES"/>
        </w:rPr>
        <w:t xml:space="preserve"> </w:t>
      </w:r>
      <w:proofErr w:type="spellStart"/>
      <w:r>
        <w:rPr>
          <w:b/>
          <w:sz w:val="22"/>
          <w:szCs w:val="22"/>
          <w:lang w:val="es-ES"/>
        </w:rPr>
        <w:t>smart</w:t>
      </w:r>
      <w:proofErr w:type="spellEnd"/>
      <w:r>
        <w:rPr>
          <w:b/>
          <w:sz w:val="22"/>
          <w:szCs w:val="22"/>
          <w:lang w:val="es-ES"/>
        </w:rPr>
        <w:t xml:space="preserve"> meter </w:t>
      </w:r>
      <w:proofErr w:type="spellStart"/>
      <w:r>
        <w:rPr>
          <w:b/>
          <w:sz w:val="22"/>
          <w:szCs w:val="22"/>
          <w:lang w:val="es-ES"/>
        </w:rPr>
        <w:t>body</w:t>
      </w:r>
      <w:proofErr w:type="spellEnd"/>
    </w:p>
    <w:p w14:paraId="7C12D57F" w14:textId="77777777" w:rsidR="00E255F4" w:rsidRDefault="00000000">
      <w:pPr>
        <w:pStyle w:val="Prrafodelista"/>
        <w:numPr>
          <w:ilvl w:val="2"/>
          <w:numId w:val="68"/>
        </w:numPr>
        <w:spacing w:after="120"/>
        <w:ind w:left="709" w:hanging="709"/>
        <w:jc w:val="both"/>
        <w:rPr>
          <w:sz w:val="22"/>
          <w:szCs w:val="22"/>
          <w:lang w:val="es-ES_tradnl"/>
        </w:rPr>
      </w:pPr>
      <w:r>
        <w:rPr>
          <w:sz w:val="22"/>
          <w:szCs w:val="22"/>
          <w:lang w:val="es-ES_tradnl"/>
        </w:rPr>
        <w:t xml:space="preserve">The remote </w:t>
      </w:r>
      <w:proofErr w:type="spellStart"/>
      <w:r>
        <w:rPr>
          <w:sz w:val="22"/>
          <w:szCs w:val="22"/>
          <w:lang w:val="es-ES_tradnl"/>
        </w:rPr>
        <w:t>measurement</w:t>
      </w:r>
      <w:proofErr w:type="spellEnd"/>
      <w:r>
        <w:rPr>
          <w:sz w:val="22"/>
          <w:szCs w:val="22"/>
          <w:lang w:val="es-ES_tradnl"/>
        </w:rPr>
        <w:t xml:space="preserve"> </w:t>
      </w:r>
      <w:proofErr w:type="spellStart"/>
      <w:r>
        <w:rPr>
          <w:sz w:val="22"/>
          <w:szCs w:val="22"/>
          <w:lang w:val="es-ES_tradnl"/>
        </w:rPr>
        <w:t>device</w:t>
      </w:r>
      <w:proofErr w:type="spellEnd"/>
      <w:r>
        <w:rPr>
          <w:sz w:val="22"/>
          <w:szCs w:val="22"/>
          <w:lang w:val="es-ES_tradnl"/>
        </w:rPr>
        <w:t xml:space="preserve"> </w:t>
      </w:r>
      <w:proofErr w:type="spellStart"/>
      <w:r>
        <w:rPr>
          <w:sz w:val="22"/>
          <w:szCs w:val="22"/>
          <w:lang w:val="es-ES_tradnl"/>
        </w:rPr>
        <w:t>will</w:t>
      </w:r>
      <w:proofErr w:type="spellEnd"/>
      <w:r>
        <w:rPr>
          <w:sz w:val="22"/>
          <w:szCs w:val="22"/>
          <w:lang w:val="es-ES_tradnl"/>
        </w:rPr>
        <w:t xml:space="preserve"> be </w:t>
      </w:r>
      <w:proofErr w:type="spellStart"/>
      <w:r>
        <w:rPr>
          <w:sz w:val="22"/>
          <w:szCs w:val="22"/>
          <w:lang w:val="es-ES_tradnl"/>
        </w:rPr>
        <w:t>housed</w:t>
      </w:r>
      <w:proofErr w:type="spellEnd"/>
      <w:r>
        <w:rPr>
          <w:sz w:val="22"/>
          <w:szCs w:val="22"/>
          <w:lang w:val="es-ES_tradnl"/>
        </w:rPr>
        <w:t xml:space="preserve"> </w:t>
      </w:r>
      <w:proofErr w:type="spellStart"/>
      <w:r>
        <w:rPr>
          <w:sz w:val="22"/>
          <w:szCs w:val="22"/>
          <w:lang w:val="es-ES_tradnl"/>
        </w:rPr>
        <w:t>within</w:t>
      </w:r>
      <w:proofErr w:type="spellEnd"/>
      <w:r>
        <w:rPr>
          <w:sz w:val="22"/>
          <w:szCs w:val="22"/>
          <w:lang w:val="es-ES_tradnl"/>
        </w:rPr>
        <w:t xml:space="preserve"> a </w:t>
      </w:r>
      <w:proofErr w:type="gramStart"/>
      <w:r>
        <w:rPr>
          <w:sz w:val="22"/>
          <w:szCs w:val="22"/>
          <w:lang w:val="es-ES_tradnl"/>
        </w:rPr>
        <w:t>single</w:t>
      </w:r>
      <w:proofErr w:type="gramEnd"/>
      <w:r>
        <w:rPr>
          <w:sz w:val="22"/>
          <w:szCs w:val="22"/>
          <w:lang w:val="es-ES_tradnl"/>
        </w:rPr>
        <w:t xml:space="preserve"> </w:t>
      </w:r>
      <w:proofErr w:type="spellStart"/>
      <w:r>
        <w:rPr>
          <w:sz w:val="22"/>
          <w:szCs w:val="22"/>
          <w:lang w:val="es-ES_tradnl"/>
        </w:rPr>
        <w:t>unit</w:t>
      </w:r>
      <w:proofErr w:type="spellEnd"/>
      <w:r>
        <w:rPr>
          <w:sz w:val="22"/>
          <w:szCs w:val="22"/>
          <w:lang w:val="es-ES_tradnl"/>
        </w:rPr>
        <w:t xml:space="preserve"> </w:t>
      </w:r>
      <w:proofErr w:type="spellStart"/>
      <w:r>
        <w:rPr>
          <w:sz w:val="22"/>
          <w:szCs w:val="22"/>
          <w:lang w:val="es-ES_tradnl"/>
        </w:rPr>
        <w:t>containing</w:t>
      </w:r>
      <w:proofErr w:type="spellEnd"/>
      <w:r>
        <w:rPr>
          <w:sz w:val="22"/>
          <w:szCs w:val="22"/>
          <w:lang w:val="es-ES_tradnl"/>
        </w:rPr>
        <w:t xml:space="preserve"> </w:t>
      </w:r>
      <w:proofErr w:type="spellStart"/>
      <w:r>
        <w:rPr>
          <w:sz w:val="22"/>
          <w:szCs w:val="22"/>
          <w:lang w:val="es-ES_tradnl"/>
        </w:rPr>
        <w:t>all</w:t>
      </w:r>
      <w:proofErr w:type="spellEnd"/>
      <w:r>
        <w:rPr>
          <w:sz w:val="22"/>
          <w:szCs w:val="22"/>
          <w:lang w:val="es-ES_tradnl"/>
        </w:rPr>
        <w:t xml:space="preserve"> </w:t>
      </w:r>
      <w:proofErr w:type="spellStart"/>
      <w:r>
        <w:rPr>
          <w:sz w:val="22"/>
          <w:szCs w:val="22"/>
          <w:lang w:val="es-ES_tradnl"/>
        </w:rPr>
        <w:t>the</w:t>
      </w:r>
      <w:proofErr w:type="spellEnd"/>
      <w:r>
        <w:rPr>
          <w:sz w:val="22"/>
          <w:szCs w:val="22"/>
          <w:lang w:val="es-ES_tradnl"/>
        </w:rPr>
        <w:t xml:space="preserve"> </w:t>
      </w:r>
      <w:proofErr w:type="spellStart"/>
      <w:r>
        <w:rPr>
          <w:sz w:val="22"/>
          <w:szCs w:val="22"/>
          <w:lang w:val="es-ES_tradnl"/>
        </w:rPr>
        <w:t>necessary</w:t>
      </w:r>
      <w:proofErr w:type="spellEnd"/>
      <w:r>
        <w:rPr>
          <w:sz w:val="22"/>
          <w:szCs w:val="22"/>
          <w:lang w:val="es-ES_tradnl"/>
        </w:rPr>
        <w:t xml:space="preserve"> </w:t>
      </w:r>
      <w:proofErr w:type="spellStart"/>
      <w:r>
        <w:rPr>
          <w:sz w:val="22"/>
          <w:szCs w:val="22"/>
          <w:lang w:val="es-ES_tradnl"/>
        </w:rPr>
        <w:t>elements</w:t>
      </w:r>
      <w:proofErr w:type="spellEnd"/>
      <w:r>
        <w:rPr>
          <w:sz w:val="22"/>
          <w:szCs w:val="22"/>
          <w:lang w:val="es-ES_tradnl"/>
        </w:rPr>
        <w:t xml:space="preserve"> </w:t>
      </w:r>
      <w:proofErr w:type="spellStart"/>
      <w:r>
        <w:rPr>
          <w:sz w:val="22"/>
          <w:szCs w:val="22"/>
          <w:lang w:val="es-ES_tradnl"/>
        </w:rPr>
        <w:t>to</w:t>
      </w:r>
      <w:proofErr w:type="spellEnd"/>
      <w:r>
        <w:rPr>
          <w:sz w:val="22"/>
          <w:szCs w:val="22"/>
          <w:lang w:val="es-ES_tradnl"/>
        </w:rPr>
        <w:t xml:space="preserve"> </w:t>
      </w:r>
      <w:proofErr w:type="spellStart"/>
      <w:r>
        <w:rPr>
          <w:sz w:val="22"/>
          <w:szCs w:val="22"/>
          <w:lang w:val="es-ES_tradnl"/>
        </w:rPr>
        <w:t>fulfill</w:t>
      </w:r>
      <w:proofErr w:type="spellEnd"/>
      <w:r>
        <w:rPr>
          <w:sz w:val="22"/>
          <w:szCs w:val="22"/>
          <w:lang w:val="es-ES_tradnl"/>
        </w:rPr>
        <w:t xml:space="preserve"> </w:t>
      </w:r>
      <w:proofErr w:type="spellStart"/>
      <w:r>
        <w:rPr>
          <w:sz w:val="22"/>
          <w:szCs w:val="22"/>
          <w:lang w:val="es-ES_tradnl"/>
        </w:rPr>
        <w:t>its</w:t>
      </w:r>
      <w:proofErr w:type="spellEnd"/>
      <w:r>
        <w:rPr>
          <w:sz w:val="22"/>
          <w:szCs w:val="22"/>
          <w:lang w:val="es-ES_tradnl"/>
        </w:rPr>
        <w:t xml:space="preserve"> </w:t>
      </w:r>
      <w:proofErr w:type="spellStart"/>
      <w:r>
        <w:rPr>
          <w:sz w:val="22"/>
          <w:szCs w:val="22"/>
          <w:lang w:val="es-ES_tradnl"/>
        </w:rPr>
        <w:t>purpose</w:t>
      </w:r>
      <w:proofErr w:type="spellEnd"/>
      <w:r>
        <w:rPr>
          <w:sz w:val="22"/>
          <w:szCs w:val="22"/>
          <w:lang w:val="es-ES_tradnl"/>
        </w:rPr>
        <w:t xml:space="preserve">, </w:t>
      </w:r>
      <w:proofErr w:type="spellStart"/>
      <w:r>
        <w:rPr>
          <w:sz w:val="22"/>
          <w:szCs w:val="22"/>
          <w:lang w:val="es-ES_tradnl"/>
        </w:rPr>
        <w:t>this</w:t>
      </w:r>
      <w:proofErr w:type="spellEnd"/>
      <w:r>
        <w:rPr>
          <w:sz w:val="22"/>
          <w:szCs w:val="22"/>
          <w:lang w:val="es-ES_tradnl"/>
        </w:rPr>
        <w:t xml:space="preserve"> </w:t>
      </w:r>
      <w:proofErr w:type="spellStart"/>
      <w:r>
        <w:rPr>
          <w:sz w:val="22"/>
          <w:szCs w:val="22"/>
          <w:lang w:val="es-ES_tradnl"/>
        </w:rPr>
        <w:t>unit</w:t>
      </w:r>
      <w:proofErr w:type="spellEnd"/>
      <w:r>
        <w:rPr>
          <w:sz w:val="22"/>
          <w:szCs w:val="22"/>
          <w:lang w:val="es-ES_tradnl"/>
        </w:rPr>
        <w:t xml:space="preserve"> </w:t>
      </w:r>
      <w:proofErr w:type="spellStart"/>
      <w:r>
        <w:rPr>
          <w:sz w:val="22"/>
          <w:szCs w:val="22"/>
          <w:lang w:val="es-ES_tradnl"/>
        </w:rPr>
        <w:t>being</w:t>
      </w:r>
      <w:proofErr w:type="spellEnd"/>
      <w:r>
        <w:rPr>
          <w:sz w:val="22"/>
          <w:szCs w:val="22"/>
          <w:lang w:val="es-ES_tradnl"/>
        </w:rPr>
        <w:t xml:space="preserve"> </w:t>
      </w:r>
      <w:proofErr w:type="spellStart"/>
      <w:r>
        <w:rPr>
          <w:sz w:val="22"/>
          <w:szCs w:val="22"/>
          <w:lang w:val="es-ES_tradnl"/>
        </w:rPr>
        <w:t>the</w:t>
      </w:r>
      <w:proofErr w:type="spellEnd"/>
      <w:r>
        <w:rPr>
          <w:sz w:val="22"/>
          <w:szCs w:val="22"/>
          <w:lang w:val="es-ES_tradnl"/>
        </w:rPr>
        <w:t xml:space="preserve"> </w:t>
      </w:r>
      <w:proofErr w:type="spellStart"/>
      <w:r>
        <w:rPr>
          <w:sz w:val="22"/>
          <w:szCs w:val="22"/>
          <w:lang w:val="es-ES_tradnl"/>
        </w:rPr>
        <w:t>same</w:t>
      </w:r>
      <w:proofErr w:type="spellEnd"/>
      <w:r>
        <w:rPr>
          <w:sz w:val="22"/>
          <w:szCs w:val="22"/>
          <w:lang w:val="es-ES_tradnl"/>
        </w:rPr>
        <w:t xml:space="preserve"> as </w:t>
      </w:r>
      <w:proofErr w:type="spellStart"/>
      <w:r>
        <w:rPr>
          <w:sz w:val="22"/>
          <w:szCs w:val="22"/>
          <w:lang w:val="es-ES_tradnl"/>
        </w:rPr>
        <w:t>the</w:t>
      </w:r>
      <w:proofErr w:type="spellEnd"/>
      <w:r>
        <w:rPr>
          <w:sz w:val="22"/>
          <w:szCs w:val="22"/>
          <w:lang w:val="es-ES_tradnl"/>
        </w:rPr>
        <w:t xml:space="preserve"> </w:t>
      </w:r>
      <w:proofErr w:type="spellStart"/>
      <w:r>
        <w:rPr>
          <w:sz w:val="22"/>
          <w:szCs w:val="22"/>
          <w:lang w:val="es-ES_tradnl"/>
        </w:rPr>
        <w:t>drinking</w:t>
      </w:r>
      <w:proofErr w:type="spellEnd"/>
      <w:r>
        <w:rPr>
          <w:sz w:val="22"/>
          <w:szCs w:val="22"/>
          <w:lang w:val="es-ES_tradnl"/>
        </w:rPr>
        <w:t xml:space="preserve"> </w:t>
      </w:r>
      <w:proofErr w:type="spellStart"/>
      <w:r>
        <w:rPr>
          <w:sz w:val="22"/>
          <w:szCs w:val="22"/>
          <w:lang w:val="es-ES_tradnl"/>
        </w:rPr>
        <w:t>water</w:t>
      </w:r>
      <w:proofErr w:type="spellEnd"/>
      <w:r>
        <w:rPr>
          <w:sz w:val="22"/>
          <w:szCs w:val="22"/>
          <w:lang w:val="es-ES_tradnl"/>
        </w:rPr>
        <w:t xml:space="preserve"> meter.</w:t>
      </w:r>
    </w:p>
    <w:p w14:paraId="799553AE" w14:textId="77777777" w:rsidR="00E255F4" w:rsidRDefault="00000000">
      <w:pPr>
        <w:pStyle w:val="Prrafodelista"/>
        <w:numPr>
          <w:ilvl w:val="2"/>
          <w:numId w:val="68"/>
        </w:numPr>
        <w:spacing w:after="120"/>
        <w:ind w:left="709" w:hanging="709"/>
        <w:jc w:val="both"/>
      </w:pPr>
      <w:r>
        <w:rPr>
          <w:sz w:val="22"/>
          <w:szCs w:val="22"/>
          <w:lang w:val="es-ES_tradnl"/>
        </w:rPr>
        <w:t xml:space="preserve">The remote </w:t>
      </w:r>
      <w:proofErr w:type="spellStart"/>
      <w:r>
        <w:rPr>
          <w:sz w:val="22"/>
          <w:szCs w:val="22"/>
          <w:lang w:val="es-ES_tradnl"/>
        </w:rPr>
        <w:t>metering</w:t>
      </w:r>
      <w:proofErr w:type="spellEnd"/>
      <w:r>
        <w:rPr>
          <w:sz w:val="22"/>
          <w:szCs w:val="22"/>
          <w:lang w:val="es-ES_tradnl"/>
        </w:rPr>
        <w:t xml:space="preserve"> </w:t>
      </w:r>
      <w:proofErr w:type="spellStart"/>
      <w:r>
        <w:rPr>
          <w:sz w:val="22"/>
          <w:szCs w:val="22"/>
          <w:lang w:val="es-ES_tradnl"/>
        </w:rPr>
        <w:t>device</w:t>
      </w:r>
      <w:proofErr w:type="spellEnd"/>
      <w:r>
        <w:rPr>
          <w:sz w:val="22"/>
          <w:szCs w:val="22"/>
          <w:lang w:val="es-ES_tradnl"/>
        </w:rPr>
        <w:t xml:space="preserve"> </w:t>
      </w:r>
      <w:proofErr w:type="spellStart"/>
      <w:r>
        <w:rPr>
          <w:sz w:val="22"/>
          <w:szCs w:val="22"/>
          <w:lang w:val="es-ES_tradnl"/>
        </w:rPr>
        <w:t>must</w:t>
      </w:r>
      <w:proofErr w:type="spellEnd"/>
      <w:r>
        <w:rPr>
          <w:sz w:val="22"/>
          <w:szCs w:val="22"/>
          <w:lang w:val="es-ES_tradnl"/>
        </w:rPr>
        <w:t xml:space="preserve"> be compatible </w:t>
      </w:r>
      <w:proofErr w:type="spellStart"/>
      <w:r>
        <w:rPr>
          <w:sz w:val="22"/>
          <w:szCs w:val="22"/>
          <w:lang w:val="es-ES_tradnl"/>
        </w:rPr>
        <w:t>with</w:t>
      </w:r>
      <w:proofErr w:type="spellEnd"/>
      <w:r>
        <w:rPr>
          <w:sz w:val="22"/>
          <w:szCs w:val="22"/>
          <w:lang w:val="es-ES_tradnl"/>
        </w:rPr>
        <w:t xml:space="preserve"> </w:t>
      </w:r>
      <w:proofErr w:type="spellStart"/>
      <w:r>
        <w:rPr>
          <w:sz w:val="22"/>
          <w:szCs w:val="22"/>
          <w:lang w:val="es-ES_tradnl"/>
        </w:rPr>
        <w:t>the</w:t>
      </w:r>
      <w:proofErr w:type="spellEnd"/>
      <w:r>
        <w:rPr>
          <w:sz w:val="22"/>
          <w:szCs w:val="22"/>
          <w:lang w:val="es-ES_tradnl"/>
        </w:rPr>
        <w:t xml:space="preserve"> </w:t>
      </w:r>
      <w:proofErr w:type="spellStart"/>
      <w:r>
        <w:rPr>
          <w:sz w:val="22"/>
          <w:szCs w:val="22"/>
          <w:lang w:val="es-ES_tradnl"/>
        </w:rPr>
        <w:t>drinking</w:t>
      </w:r>
      <w:proofErr w:type="spellEnd"/>
      <w:r>
        <w:rPr>
          <w:sz w:val="22"/>
          <w:szCs w:val="22"/>
          <w:lang w:val="es-ES_tradnl"/>
        </w:rPr>
        <w:t xml:space="preserve"> </w:t>
      </w:r>
      <w:proofErr w:type="spellStart"/>
      <w:r>
        <w:rPr>
          <w:sz w:val="22"/>
          <w:szCs w:val="22"/>
          <w:lang w:val="es-ES_tradnl"/>
        </w:rPr>
        <w:t>water</w:t>
      </w:r>
      <w:proofErr w:type="spellEnd"/>
      <w:r>
        <w:rPr>
          <w:sz w:val="22"/>
          <w:szCs w:val="22"/>
          <w:lang w:val="es-ES_tradnl"/>
        </w:rPr>
        <w:t xml:space="preserve"> meter </w:t>
      </w:r>
      <w:proofErr w:type="spellStart"/>
      <w:r>
        <w:rPr>
          <w:sz w:val="22"/>
          <w:szCs w:val="22"/>
          <w:lang w:val="es-ES_tradnl"/>
        </w:rPr>
        <w:t>being</w:t>
      </w:r>
      <w:proofErr w:type="spellEnd"/>
      <w:r>
        <w:rPr>
          <w:sz w:val="22"/>
          <w:szCs w:val="22"/>
          <w:lang w:val="es-ES_tradnl"/>
        </w:rPr>
        <w:t xml:space="preserve"> </w:t>
      </w:r>
      <w:proofErr w:type="spellStart"/>
      <w:r>
        <w:rPr>
          <w:sz w:val="22"/>
          <w:szCs w:val="22"/>
          <w:lang w:val="es-ES_tradnl"/>
        </w:rPr>
        <w:t>offered</w:t>
      </w:r>
      <w:proofErr w:type="spellEnd"/>
      <w:r>
        <w:rPr>
          <w:sz w:val="22"/>
          <w:szCs w:val="22"/>
          <w:lang w:val="es-ES_tradnl"/>
        </w:rPr>
        <w:t>.</w:t>
      </w:r>
    </w:p>
    <w:p w14:paraId="70B845CD" w14:textId="77777777" w:rsidR="00E255F4" w:rsidRDefault="00000000">
      <w:pPr>
        <w:pStyle w:val="Prrafodelista"/>
        <w:numPr>
          <w:ilvl w:val="2"/>
          <w:numId w:val="68"/>
        </w:numPr>
        <w:ind w:left="709" w:hanging="709"/>
        <w:jc w:val="both"/>
        <w:rPr>
          <w:sz w:val="22"/>
          <w:szCs w:val="22"/>
          <w:lang w:val="es-ES_tradnl"/>
        </w:rPr>
      </w:pPr>
      <w:r>
        <w:rPr>
          <w:sz w:val="22"/>
          <w:szCs w:val="22"/>
          <w:lang w:val="es-ES_tradnl"/>
        </w:rPr>
        <w:t xml:space="preserve">The </w:t>
      </w:r>
      <w:proofErr w:type="spellStart"/>
      <w:r>
        <w:rPr>
          <w:sz w:val="22"/>
          <w:szCs w:val="22"/>
          <w:lang w:val="es-ES_tradnl"/>
        </w:rPr>
        <w:t>following</w:t>
      </w:r>
      <w:proofErr w:type="spellEnd"/>
      <w:r>
        <w:rPr>
          <w:sz w:val="22"/>
          <w:szCs w:val="22"/>
          <w:lang w:val="es-ES_tradnl"/>
        </w:rPr>
        <w:t xml:space="preserve"> are </w:t>
      </w:r>
      <w:proofErr w:type="spellStart"/>
      <w:r>
        <w:rPr>
          <w:sz w:val="22"/>
          <w:szCs w:val="22"/>
          <w:lang w:val="es-ES_tradnl"/>
        </w:rPr>
        <w:t>the</w:t>
      </w:r>
      <w:proofErr w:type="spellEnd"/>
      <w:r>
        <w:rPr>
          <w:sz w:val="22"/>
          <w:szCs w:val="22"/>
          <w:lang w:val="es-ES_tradnl"/>
        </w:rPr>
        <w:t xml:space="preserve"> </w:t>
      </w:r>
      <w:proofErr w:type="spellStart"/>
      <w:r>
        <w:rPr>
          <w:sz w:val="22"/>
          <w:szCs w:val="22"/>
          <w:lang w:val="es-ES_tradnl"/>
        </w:rPr>
        <w:t>maximum</w:t>
      </w:r>
      <w:proofErr w:type="spellEnd"/>
      <w:r>
        <w:rPr>
          <w:sz w:val="22"/>
          <w:szCs w:val="22"/>
          <w:lang w:val="es-ES_tradnl"/>
        </w:rPr>
        <w:t xml:space="preserve"> </w:t>
      </w:r>
      <w:proofErr w:type="spellStart"/>
      <w:r>
        <w:rPr>
          <w:sz w:val="22"/>
          <w:szCs w:val="22"/>
          <w:lang w:val="es-ES_tradnl"/>
        </w:rPr>
        <w:t>permitted</w:t>
      </w:r>
      <w:proofErr w:type="spellEnd"/>
      <w:r>
        <w:rPr>
          <w:sz w:val="22"/>
          <w:szCs w:val="22"/>
          <w:lang w:val="es-ES_tradnl"/>
        </w:rPr>
        <w:t xml:space="preserve"> </w:t>
      </w:r>
      <w:proofErr w:type="spellStart"/>
      <w:r>
        <w:rPr>
          <w:sz w:val="22"/>
          <w:szCs w:val="22"/>
          <w:lang w:val="es-ES_tradnl"/>
        </w:rPr>
        <w:t>dimensions</w:t>
      </w:r>
      <w:proofErr w:type="spellEnd"/>
      <w:r>
        <w:rPr>
          <w:sz w:val="22"/>
          <w:szCs w:val="22"/>
          <w:lang w:val="es-ES_tradnl"/>
        </w:rPr>
        <w:t xml:space="preserve"> </w:t>
      </w:r>
      <w:proofErr w:type="spellStart"/>
      <w:r>
        <w:rPr>
          <w:sz w:val="22"/>
          <w:szCs w:val="22"/>
          <w:lang w:val="es-ES_tradnl"/>
        </w:rPr>
        <w:t>for</w:t>
      </w:r>
      <w:proofErr w:type="spellEnd"/>
      <w:r>
        <w:rPr>
          <w:sz w:val="22"/>
          <w:szCs w:val="22"/>
          <w:lang w:val="es-ES_tradnl"/>
        </w:rPr>
        <w:t xml:space="preserve"> </w:t>
      </w:r>
      <w:proofErr w:type="spellStart"/>
      <w:r>
        <w:rPr>
          <w:sz w:val="22"/>
          <w:szCs w:val="22"/>
          <w:lang w:val="es-ES_tradnl"/>
        </w:rPr>
        <w:t>the</w:t>
      </w:r>
      <w:proofErr w:type="spellEnd"/>
      <w:r>
        <w:rPr>
          <w:sz w:val="22"/>
          <w:szCs w:val="22"/>
          <w:lang w:val="es-ES_tradnl"/>
        </w:rPr>
        <w:t xml:space="preserve"> </w:t>
      </w:r>
      <w:proofErr w:type="spellStart"/>
      <w:r>
        <w:rPr>
          <w:sz w:val="22"/>
          <w:szCs w:val="22"/>
          <w:lang w:val="es-ES_tradnl"/>
        </w:rPr>
        <w:t>integrated</w:t>
      </w:r>
      <w:proofErr w:type="spellEnd"/>
      <w:r>
        <w:rPr>
          <w:sz w:val="22"/>
          <w:szCs w:val="22"/>
          <w:lang w:val="es-ES_tradnl"/>
        </w:rPr>
        <w:t xml:space="preserve"> </w:t>
      </w:r>
      <w:proofErr w:type="spellStart"/>
      <w:r>
        <w:rPr>
          <w:sz w:val="22"/>
          <w:szCs w:val="22"/>
          <w:lang w:val="es-ES_tradnl"/>
        </w:rPr>
        <w:t>smart</w:t>
      </w:r>
      <w:proofErr w:type="spellEnd"/>
      <w:r>
        <w:rPr>
          <w:sz w:val="22"/>
          <w:szCs w:val="22"/>
          <w:lang w:val="es-ES_tradnl"/>
        </w:rPr>
        <w:t xml:space="preserve"> meter.</w:t>
      </w:r>
    </w:p>
    <w:p w14:paraId="685AB298" w14:textId="77777777" w:rsidR="00E255F4" w:rsidRDefault="00000000">
      <w:pPr>
        <w:pStyle w:val="Prrafodelista"/>
        <w:spacing w:after="120"/>
        <w:ind w:left="709"/>
        <w:jc w:val="both"/>
      </w:pPr>
      <w:r>
        <w:rPr>
          <w:sz w:val="22"/>
          <w:szCs w:val="22"/>
          <w:lang w:val="es-ES_tradnl"/>
        </w:rPr>
        <w:t xml:space="preserve">The </w:t>
      </w:r>
      <w:proofErr w:type="spellStart"/>
      <w:r>
        <w:rPr>
          <w:sz w:val="22"/>
          <w:szCs w:val="22"/>
          <w:lang w:val="es-ES_tradnl"/>
        </w:rPr>
        <w:t>measurements</w:t>
      </w:r>
      <w:proofErr w:type="spellEnd"/>
      <w:r>
        <w:rPr>
          <w:sz w:val="22"/>
          <w:szCs w:val="22"/>
          <w:lang w:val="es-ES_tradnl"/>
        </w:rPr>
        <w:t xml:space="preserve"> are </w:t>
      </w:r>
      <w:proofErr w:type="spellStart"/>
      <w:r>
        <w:rPr>
          <w:sz w:val="22"/>
          <w:szCs w:val="22"/>
          <w:lang w:val="es-ES_tradnl"/>
        </w:rPr>
        <w:t>taken</w:t>
      </w:r>
      <w:proofErr w:type="spellEnd"/>
      <w:r>
        <w:rPr>
          <w:sz w:val="22"/>
          <w:szCs w:val="22"/>
          <w:lang w:val="es-ES_tradnl"/>
        </w:rPr>
        <w:t xml:space="preserve"> </w:t>
      </w:r>
      <w:proofErr w:type="spellStart"/>
      <w:r>
        <w:rPr>
          <w:sz w:val="22"/>
          <w:szCs w:val="22"/>
          <w:lang w:val="es-ES_tradnl"/>
        </w:rPr>
        <w:t>by</w:t>
      </w:r>
      <w:proofErr w:type="spellEnd"/>
      <w:r>
        <w:rPr>
          <w:sz w:val="22"/>
          <w:szCs w:val="22"/>
          <w:lang w:val="es-ES_tradnl"/>
        </w:rPr>
        <w:t xml:space="preserve"> </w:t>
      </w:r>
      <w:proofErr w:type="spellStart"/>
      <w:r>
        <w:rPr>
          <w:sz w:val="22"/>
          <w:szCs w:val="22"/>
          <w:lang w:val="es-ES_tradnl"/>
        </w:rPr>
        <w:t>placing</w:t>
      </w:r>
      <w:proofErr w:type="spellEnd"/>
      <w:r>
        <w:rPr>
          <w:sz w:val="22"/>
          <w:szCs w:val="22"/>
          <w:lang w:val="es-ES_tradnl"/>
        </w:rPr>
        <w:t xml:space="preserve"> </w:t>
      </w:r>
      <w:proofErr w:type="spellStart"/>
      <w:r>
        <w:rPr>
          <w:sz w:val="22"/>
          <w:szCs w:val="22"/>
          <w:lang w:val="es-ES_tradnl"/>
        </w:rPr>
        <w:t>the</w:t>
      </w:r>
      <w:proofErr w:type="spellEnd"/>
      <w:r>
        <w:rPr>
          <w:sz w:val="22"/>
          <w:szCs w:val="22"/>
          <w:lang w:val="es-ES_tradnl"/>
        </w:rPr>
        <w:t xml:space="preserve"> </w:t>
      </w:r>
      <w:proofErr w:type="spellStart"/>
      <w:r>
        <w:rPr>
          <w:sz w:val="22"/>
          <w:szCs w:val="22"/>
          <w:lang w:val="es-ES_tradnl"/>
        </w:rPr>
        <w:t>integrated</w:t>
      </w:r>
      <w:proofErr w:type="spellEnd"/>
      <w:r>
        <w:rPr>
          <w:sz w:val="22"/>
          <w:szCs w:val="22"/>
          <w:lang w:val="es-ES_tradnl"/>
        </w:rPr>
        <w:t xml:space="preserve"> </w:t>
      </w:r>
      <w:proofErr w:type="spellStart"/>
      <w:r>
        <w:rPr>
          <w:sz w:val="22"/>
          <w:szCs w:val="22"/>
          <w:lang w:val="es-ES_tradnl"/>
        </w:rPr>
        <w:t>smart</w:t>
      </w:r>
      <w:proofErr w:type="spellEnd"/>
      <w:r>
        <w:rPr>
          <w:sz w:val="22"/>
          <w:szCs w:val="22"/>
          <w:lang w:val="es-ES_tradnl"/>
        </w:rPr>
        <w:t xml:space="preserve"> meter </w:t>
      </w:r>
      <w:proofErr w:type="spellStart"/>
      <w:r>
        <w:rPr>
          <w:sz w:val="22"/>
          <w:szCs w:val="22"/>
          <w:lang w:val="es-ES_tradnl"/>
        </w:rPr>
        <w:t>horizontally</w:t>
      </w:r>
      <w:proofErr w:type="spellEnd"/>
      <w:r>
        <w:rPr>
          <w:sz w:val="22"/>
          <w:szCs w:val="22"/>
          <w:lang w:val="es-ES_tradnl"/>
        </w:rPr>
        <w:t xml:space="preserve"> </w:t>
      </w:r>
      <w:proofErr w:type="spellStart"/>
      <w:r>
        <w:rPr>
          <w:sz w:val="22"/>
          <w:szCs w:val="22"/>
          <w:lang w:val="es-ES_tradnl"/>
        </w:rPr>
        <w:t>with</w:t>
      </w:r>
      <w:proofErr w:type="spellEnd"/>
      <w:r>
        <w:rPr>
          <w:sz w:val="22"/>
          <w:szCs w:val="22"/>
          <w:lang w:val="es-ES_tradnl"/>
        </w:rPr>
        <w:t xml:space="preserve"> </w:t>
      </w:r>
      <w:proofErr w:type="spellStart"/>
      <w:r>
        <w:rPr>
          <w:sz w:val="22"/>
          <w:szCs w:val="22"/>
          <w:lang w:val="es-ES_tradnl"/>
        </w:rPr>
        <w:t>the</w:t>
      </w:r>
      <w:proofErr w:type="spellEnd"/>
      <w:r>
        <w:rPr>
          <w:sz w:val="22"/>
          <w:szCs w:val="22"/>
          <w:lang w:val="es-ES_tradnl"/>
        </w:rPr>
        <w:t xml:space="preserve"> </w:t>
      </w:r>
      <w:proofErr w:type="spellStart"/>
      <w:r>
        <w:rPr>
          <w:sz w:val="22"/>
          <w:szCs w:val="22"/>
          <w:lang w:val="es-ES_tradnl"/>
        </w:rPr>
        <w:t>display</w:t>
      </w:r>
      <w:proofErr w:type="spellEnd"/>
      <w:r>
        <w:rPr>
          <w:sz w:val="22"/>
          <w:szCs w:val="22"/>
          <w:lang w:val="es-ES_tradnl"/>
        </w:rPr>
        <w:t xml:space="preserve"> at </w:t>
      </w:r>
      <w:proofErr w:type="spellStart"/>
      <w:r>
        <w:rPr>
          <w:sz w:val="22"/>
          <w:szCs w:val="22"/>
          <w:lang w:val="es-ES_tradnl"/>
        </w:rPr>
        <w:t>the</w:t>
      </w:r>
      <w:proofErr w:type="spellEnd"/>
      <w:r>
        <w:rPr>
          <w:sz w:val="22"/>
          <w:szCs w:val="22"/>
          <w:lang w:val="es-ES_tradnl"/>
        </w:rPr>
        <w:t xml:space="preserve"> top.</w:t>
      </w:r>
    </w:p>
    <w:p w14:paraId="7A826B6C" w14:textId="77777777" w:rsidR="00E255F4" w:rsidRDefault="00000000">
      <w:pPr>
        <w:pStyle w:val="Prrafodelista"/>
        <w:numPr>
          <w:ilvl w:val="3"/>
          <w:numId w:val="68"/>
        </w:numPr>
        <w:spacing w:after="120"/>
        <w:jc w:val="both"/>
      </w:pPr>
      <w:r>
        <w:rPr>
          <w:sz w:val="22"/>
          <w:szCs w:val="22"/>
          <w:lang w:val="es-ES_tradnl"/>
        </w:rPr>
        <w:t xml:space="preserve">Height </w:t>
      </w:r>
      <w:proofErr w:type="spellStart"/>
      <w:r>
        <w:rPr>
          <w:sz w:val="22"/>
          <w:szCs w:val="22"/>
          <w:lang w:val="es-ES_tradnl"/>
        </w:rPr>
        <w:t>from</w:t>
      </w:r>
      <w:proofErr w:type="spellEnd"/>
      <w:r>
        <w:rPr>
          <w:sz w:val="22"/>
          <w:szCs w:val="22"/>
          <w:lang w:val="es-ES_tradnl"/>
        </w:rPr>
        <w:t xml:space="preserve"> bottom </w:t>
      </w:r>
      <w:proofErr w:type="spellStart"/>
      <w:r>
        <w:rPr>
          <w:sz w:val="22"/>
          <w:szCs w:val="22"/>
          <w:lang w:val="es-ES_tradnl"/>
        </w:rPr>
        <w:t>to</w:t>
      </w:r>
      <w:proofErr w:type="spellEnd"/>
      <w:r>
        <w:rPr>
          <w:sz w:val="22"/>
          <w:szCs w:val="22"/>
          <w:lang w:val="es-ES_tradnl"/>
        </w:rPr>
        <w:t xml:space="preserve"> top: 150 mm</w:t>
      </w:r>
    </w:p>
    <w:p w14:paraId="78601840" w14:textId="77777777" w:rsidR="00E255F4" w:rsidRDefault="00000000">
      <w:pPr>
        <w:pStyle w:val="Prrafodelista"/>
        <w:numPr>
          <w:ilvl w:val="3"/>
          <w:numId w:val="68"/>
        </w:numPr>
        <w:spacing w:after="120"/>
        <w:jc w:val="both"/>
      </w:pPr>
      <w:r>
        <w:rPr>
          <w:sz w:val="22"/>
          <w:szCs w:val="22"/>
          <w:lang w:val="es-ES_tradnl"/>
        </w:rPr>
        <w:t xml:space="preserve">Height </w:t>
      </w:r>
      <w:proofErr w:type="spellStart"/>
      <w:r>
        <w:rPr>
          <w:sz w:val="22"/>
          <w:szCs w:val="22"/>
          <w:lang w:val="es-ES_tradnl"/>
        </w:rPr>
        <w:t>from</w:t>
      </w:r>
      <w:proofErr w:type="spellEnd"/>
      <w:r>
        <w:rPr>
          <w:sz w:val="22"/>
          <w:szCs w:val="22"/>
          <w:lang w:val="es-ES_tradnl"/>
        </w:rPr>
        <w:t xml:space="preserve"> </w:t>
      </w:r>
      <w:proofErr w:type="spellStart"/>
      <w:r>
        <w:rPr>
          <w:sz w:val="22"/>
          <w:szCs w:val="22"/>
          <w:lang w:val="es-ES_tradnl"/>
        </w:rPr>
        <w:t>the</w:t>
      </w:r>
      <w:proofErr w:type="spellEnd"/>
      <w:r>
        <w:rPr>
          <w:sz w:val="22"/>
          <w:szCs w:val="22"/>
          <w:lang w:val="es-ES_tradnl"/>
        </w:rPr>
        <w:t xml:space="preserve"> </w:t>
      </w:r>
      <w:proofErr w:type="spellStart"/>
      <w:r>
        <w:rPr>
          <w:sz w:val="22"/>
          <w:szCs w:val="22"/>
          <w:lang w:val="es-ES_tradnl"/>
        </w:rPr>
        <w:t>tube</w:t>
      </w:r>
      <w:proofErr w:type="spellEnd"/>
      <w:r>
        <w:rPr>
          <w:sz w:val="22"/>
          <w:szCs w:val="22"/>
          <w:lang w:val="es-ES_tradnl"/>
        </w:rPr>
        <w:t xml:space="preserve"> axis </w:t>
      </w:r>
      <w:proofErr w:type="spellStart"/>
      <w:r>
        <w:rPr>
          <w:sz w:val="22"/>
          <w:szCs w:val="22"/>
          <w:lang w:val="es-ES_tradnl"/>
        </w:rPr>
        <w:t>to</w:t>
      </w:r>
      <w:proofErr w:type="spellEnd"/>
      <w:r>
        <w:rPr>
          <w:sz w:val="22"/>
          <w:szCs w:val="22"/>
          <w:lang w:val="es-ES_tradnl"/>
        </w:rPr>
        <w:t xml:space="preserve"> </w:t>
      </w:r>
      <w:proofErr w:type="spellStart"/>
      <w:r>
        <w:rPr>
          <w:sz w:val="22"/>
          <w:szCs w:val="22"/>
          <w:lang w:val="es-ES_tradnl"/>
        </w:rPr>
        <w:t>the</w:t>
      </w:r>
      <w:proofErr w:type="spellEnd"/>
      <w:r>
        <w:rPr>
          <w:sz w:val="22"/>
          <w:szCs w:val="22"/>
          <w:lang w:val="es-ES_tradnl"/>
        </w:rPr>
        <w:t xml:space="preserve"> </w:t>
      </w:r>
      <w:proofErr w:type="spellStart"/>
      <w:r>
        <w:rPr>
          <w:sz w:val="22"/>
          <w:szCs w:val="22"/>
          <w:lang w:val="es-ES_tradnl"/>
        </w:rPr>
        <w:t>upper</w:t>
      </w:r>
      <w:proofErr w:type="spellEnd"/>
      <w:r>
        <w:rPr>
          <w:sz w:val="22"/>
          <w:szCs w:val="22"/>
          <w:lang w:val="es-ES_tradnl"/>
        </w:rPr>
        <w:t xml:space="preserve"> </w:t>
      </w:r>
      <w:proofErr w:type="spellStart"/>
      <w:r>
        <w:rPr>
          <w:sz w:val="22"/>
          <w:szCs w:val="22"/>
          <w:lang w:val="es-ES_tradnl"/>
        </w:rPr>
        <w:t>end</w:t>
      </w:r>
      <w:proofErr w:type="spellEnd"/>
      <w:r>
        <w:rPr>
          <w:sz w:val="22"/>
          <w:szCs w:val="22"/>
          <w:lang w:val="es-ES_tradnl"/>
        </w:rPr>
        <w:t>: 140 mm</w:t>
      </w:r>
    </w:p>
    <w:p w14:paraId="198F3F92" w14:textId="77777777" w:rsidR="00E255F4" w:rsidRDefault="00000000">
      <w:pPr>
        <w:pStyle w:val="Prrafodelista"/>
        <w:numPr>
          <w:ilvl w:val="3"/>
          <w:numId w:val="68"/>
        </w:numPr>
        <w:spacing w:after="120"/>
        <w:jc w:val="both"/>
      </w:pPr>
      <w:proofErr w:type="spellStart"/>
      <w:r>
        <w:rPr>
          <w:sz w:val="22"/>
          <w:szCs w:val="22"/>
          <w:lang w:val="es-ES_tradnl"/>
        </w:rPr>
        <w:t>Width</w:t>
      </w:r>
      <w:proofErr w:type="spellEnd"/>
      <w:r>
        <w:rPr>
          <w:sz w:val="22"/>
          <w:szCs w:val="22"/>
          <w:lang w:val="es-ES_tradnl"/>
        </w:rPr>
        <w:t xml:space="preserve"> </w:t>
      </w:r>
      <w:proofErr w:type="spellStart"/>
      <w:r>
        <w:rPr>
          <w:sz w:val="22"/>
          <w:szCs w:val="22"/>
          <w:lang w:val="es-ES_tradnl"/>
        </w:rPr>
        <w:t>from</w:t>
      </w:r>
      <w:proofErr w:type="spellEnd"/>
      <w:r>
        <w:rPr>
          <w:sz w:val="22"/>
          <w:szCs w:val="22"/>
          <w:lang w:val="es-ES_tradnl"/>
        </w:rPr>
        <w:t xml:space="preserve"> </w:t>
      </w:r>
      <w:proofErr w:type="spellStart"/>
      <w:r>
        <w:rPr>
          <w:sz w:val="22"/>
          <w:szCs w:val="22"/>
          <w:lang w:val="es-ES_tradnl"/>
        </w:rPr>
        <w:t>end</w:t>
      </w:r>
      <w:proofErr w:type="spellEnd"/>
      <w:r>
        <w:rPr>
          <w:sz w:val="22"/>
          <w:szCs w:val="22"/>
          <w:lang w:val="es-ES_tradnl"/>
        </w:rPr>
        <w:t xml:space="preserve"> </w:t>
      </w:r>
      <w:proofErr w:type="spellStart"/>
      <w:r>
        <w:rPr>
          <w:sz w:val="22"/>
          <w:szCs w:val="22"/>
          <w:lang w:val="es-ES_tradnl"/>
        </w:rPr>
        <w:t>to</w:t>
      </w:r>
      <w:proofErr w:type="spellEnd"/>
      <w:r>
        <w:rPr>
          <w:sz w:val="22"/>
          <w:szCs w:val="22"/>
          <w:lang w:val="es-ES_tradnl"/>
        </w:rPr>
        <w:t xml:space="preserve"> </w:t>
      </w:r>
      <w:proofErr w:type="spellStart"/>
      <w:r>
        <w:rPr>
          <w:sz w:val="22"/>
          <w:szCs w:val="22"/>
          <w:lang w:val="es-ES_tradnl"/>
        </w:rPr>
        <w:t>end</w:t>
      </w:r>
      <w:proofErr w:type="spellEnd"/>
      <w:r>
        <w:rPr>
          <w:sz w:val="22"/>
          <w:szCs w:val="22"/>
          <w:lang w:val="es-ES_tradnl"/>
        </w:rPr>
        <w:t>: 140 mm</w:t>
      </w:r>
    </w:p>
    <w:p w14:paraId="2786824E" w14:textId="77777777" w:rsidR="00E255F4" w:rsidRDefault="00000000">
      <w:pPr>
        <w:pStyle w:val="Prrafodelista"/>
        <w:numPr>
          <w:ilvl w:val="3"/>
          <w:numId w:val="68"/>
        </w:numPr>
        <w:spacing w:after="120"/>
        <w:jc w:val="both"/>
      </w:pPr>
      <w:proofErr w:type="spellStart"/>
      <w:r>
        <w:rPr>
          <w:sz w:val="22"/>
          <w:szCs w:val="22"/>
          <w:lang w:val="es-ES_tradnl"/>
        </w:rPr>
        <w:t>Width</w:t>
      </w:r>
      <w:proofErr w:type="spellEnd"/>
      <w:r>
        <w:rPr>
          <w:sz w:val="22"/>
          <w:szCs w:val="22"/>
          <w:lang w:val="es-ES_tradnl"/>
        </w:rPr>
        <w:t xml:space="preserve"> </w:t>
      </w:r>
      <w:proofErr w:type="spellStart"/>
      <w:r>
        <w:rPr>
          <w:sz w:val="22"/>
          <w:szCs w:val="22"/>
          <w:lang w:val="es-ES_tradnl"/>
        </w:rPr>
        <w:t>from</w:t>
      </w:r>
      <w:proofErr w:type="spellEnd"/>
      <w:r>
        <w:rPr>
          <w:sz w:val="22"/>
          <w:szCs w:val="22"/>
          <w:lang w:val="es-ES_tradnl"/>
        </w:rPr>
        <w:t xml:space="preserve"> </w:t>
      </w:r>
      <w:proofErr w:type="spellStart"/>
      <w:r>
        <w:rPr>
          <w:sz w:val="22"/>
          <w:szCs w:val="22"/>
          <w:lang w:val="es-ES_tradnl"/>
        </w:rPr>
        <w:t>the</w:t>
      </w:r>
      <w:proofErr w:type="spellEnd"/>
      <w:r>
        <w:rPr>
          <w:sz w:val="22"/>
          <w:szCs w:val="22"/>
          <w:lang w:val="es-ES_tradnl"/>
        </w:rPr>
        <w:t xml:space="preserve"> </w:t>
      </w:r>
      <w:proofErr w:type="spellStart"/>
      <w:r>
        <w:rPr>
          <w:sz w:val="22"/>
          <w:szCs w:val="22"/>
          <w:lang w:val="es-ES_tradnl"/>
        </w:rPr>
        <w:t>tube</w:t>
      </w:r>
      <w:proofErr w:type="spellEnd"/>
      <w:r>
        <w:rPr>
          <w:sz w:val="22"/>
          <w:szCs w:val="22"/>
          <w:lang w:val="es-ES_tradnl"/>
        </w:rPr>
        <w:t xml:space="preserve"> axis </w:t>
      </w:r>
      <w:proofErr w:type="spellStart"/>
      <w:r>
        <w:rPr>
          <w:sz w:val="22"/>
          <w:szCs w:val="22"/>
          <w:lang w:val="es-ES_tradnl"/>
        </w:rPr>
        <w:t>to</w:t>
      </w:r>
      <w:proofErr w:type="spellEnd"/>
      <w:r>
        <w:rPr>
          <w:sz w:val="22"/>
          <w:szCs w:val="22"/>
          <w:lang w:val="es-ES_tradnl"/>
        </w:rPr>
        <w:t xml:space="preserve"> </w:t>
      </w:r>
      <w:proofErr w:type="spellStart"/>
      <w:r>
        <w:rPr>
          <w:sz w:val="22"/>
          <w:szCs w:val="22"/>
          <w:lang w:val="es-ES_tradnl"/>
        </w:rPr>
        <w:t>the</w:t>
      </w:r>
      <w:proofErr w:type="spellEnd"/>
      <w:r>
        <w:rPr>
          <w:sz w:val="22"/>
          <w:szCs w:val="22"/>
          <w:lang w:val="es-ES_tradnl"/>
        </w:rPr>
        <w:t xml:space="preserve"> </w:t>
      </w:r>
      <w:proofErr w:type="spellStart"/>
      <w:r>
        <w:rPr>
          <w:sz w:val="22"/>
          <w:szCs w:val="22"/>
          <w:lang w:val="es-ES_tradnl"/>
        </w:rPr>
        <w:t>furthest</w:t>
      </w:r>
      <w:proofErr w:type="spellEnd"/>
      <w:r>
        <w:rPr>
          <w:sz w:val="22"/>
          <w:szCs w:val="22"/>
          <w:lang w:val="es-ES_tradnl"/>
        </w:rPr>
        <w:t xml:space="preserve"> </w:t>
      </w:r>
      <w:proofErr w:type="spellStart"/>
      <w:r>
        <w:rPr>
          <w:sz w:val="22"/>
          <w:szCs w:val="22"/>
          <w:lang w:val="es-ES_tradnl"/>
        </w:rPr>
        <w:t>end</w:t>
      </w:r>
      <w:proofErr w:type="spellEnd"/>
      <w:r>
        <w:rPr>
          <w:sz w:val="22"/>
          <w:szCs w:val="22"/>
          <w:lang w:val="es-ES_tradnl"/>
        </w:rPr>
        <w:t>: 80 mm</w:t>
      </w:r>
    </w:p>
    <w:p w14:paraId="6E41C200" w14:textId="77777777" w:rsidR="00E255F4" w:rsidRDefault="00000000">
      <w:pPr>
        <w:pStyle w:val="Prrafodelista"/>
        <w:numPr>
          <w:ilvl w:val="2"/>
          <w:numId w:val="68"/>
        </w:numPr>
        <w:spacing w:after="120"/>
        <w:ind w:left="709" w:hanging="709"/>
        <w:jc w:val="both"/>
      </w:pPr>
      <w:proofErr w:type="spellStart"/>
      <w:r>
        <w:rPr>
          <w:sz w:val="22"/>
          <w:szCs w:val="22"/>
          <w:lang w:val="es-ES_tradnl"/>
        </w:rPr>
        <w:t>It</w:t>
      </w:r>
      <w:proofErr w:type="spellEnd"/>
      <w:r>
        <w:rPr>
          <w:sz w:val="22"/>
          <w:szCs w:val="22"/>
          <w:lang w:val="es-ES_tradnl"/>
        </w:rPr>
        <w:t xml:space="preserve"> </w:t>
      </w:r>
      <w:proofErr w:type="spellStart"/>
      <w:r>
        <w:rPr>
          <w:sz w:val="22"/>
          <w:szCs w:val="22"/>
          <w:lang w:val="es-ES_tradnl"/>
        </w:rPr>
        <w:t>must</w:t>
      </w:r>
      <w:proofErr w:type="spellEnd"/>
      <w:r>
        <w:rPr>
          <w:sz w:val="22"/>
          <w:szCs w:val="22"/>
          <w:lang w:val="es-ES_tradnl"/>
        </w:rPr>
        <w:t xml:space="preserve"> </w:t>
      </w:r>
      <w:proofErr w:type="spellStart"/>
      <w:r>
        <w:rPr>
          <w:sz w:val="22"/>
          <w:szCs w:val="22"/>
          <w:lang w:val="es-ES_tradnl"/>
        </w:rPr>
        <w:t>have</w:t>
      </w:r>
      <w:proofErr w:type="spellEnd"/>
      <w:r>
        <w:rPr>
          <w:sz w:val="22"/>
          <w:szCs w:val="22"/>
          <w:lang w:val="es-ES_tradnl"/>
        </w:rPr>
        <w:t xml:space="preserve"> </w:t>
      </w:r>
      <w:proofErr w:type="spellStart"/>
      <w:r>
        <w:rPr>
          <w:sz w:val="22"/>
          <w:szCs w:val="22"/>
          <w:lang w:val="es-ES_tradnl"/>
        </w:rPr>
        <w:t>an</w:t>
      </w:r>
      <w:proofErr w:type="spellEnd"/>
      <w:r>
        <w:rPr>
          <w:sz w:val="22"/>
          <w:szCs w:val="22"/>
          <w:lang w:val="es-ES_tradnl"/>
        </w:rPr>
        <w:t xml:space="preserve"> IP68 </w:t>
      </w:r>
      <w:proofErr w:type="spellStart"/>
      <w:r>
        <w:rPr>
          <w:sz w:val="22"/>
          <w:szCs w:val="22"/>
          <w:lang w:val="es-ES_tradnl"/>
        </w:rPr>
        <w:t>protection</w:t>
      </w:r>
      <w:proofErr w:type="spellEnd"/>
      <w:r>
        <w:rPr>
          <w:sz w:val="22"/>
          <w:szCs w:val="22"/>
          <w:lang w:val="es-ES_tradnl"/>
        </w:rPr>
        <w:t xml:space="preserve"> rating and be </w:t>
      </w:r>
      <w:proofErr w:type="spellStart"/>
      <w:r>
        <w:rPr>
          <w:sz w:val="22"/>
          <w:szCs w:val="22"/>
          <w:lang w:val="es-ES_tradnl"/>
        </w:rPr>
        <w:t>suitable</w:t>
      </w:r>
      <w:proofErr w:type="spellEnd"/>
      <w:r>
        <w:rPr>
          <w:sz w:val="22"/>
          <w:szCs w:val="22"/>
          <w:lang w:val="es-ES_tradnl"/>
        </w:rPr>
        <w:t xml:space="preserve"> </w:t>
      </w:r>
      <w:proofErr w:type="spellStart"/>
      <w:r>
        <w:rPr>
          <w:sz w:val="22"/>
          <w:szCs w:val="22"/>
          <w:lang w:val="es-ES_tradnl"/>
        </w:rPr>
        <w:t>for</w:t>
      </w:r>
      <w:proofErr w:type="spellEnd"/>
      <w:r>
        <w:rPr>
          <w:sz w:val="22"/>
          <w:szCs w:val="22"/>
          <w:lang w:val="es-ES_tradnl"/>
        </w:rPr>
        <w:t xml:space="preserve"> </w:t>
      </w:r>
      <w:proofErr w:type="spellStart"/>
      <w:r>
        <w:rPr>
          <w:sz w:val="22"/>
          <w:szCs w:val="22"/>
          <w:lang w:val="es-ES_tradnl"/>
        </w:rPr>
        <w:t>working</w:t>
      </w:r>
      <w:proofErr w:type="spellEnd"/>
      <w:r>
        <w:rPr>
          <w:sz w:val="22"/>
          <w:szCs w:val="22"/>
          <w:lang w:val="es-ES_tradnl"/>
        </w:rPr>
        <w:t xml:space="preserve"> in </w:t>
      </w:r>
      <w:proofErr w:type="spellStart"/>
      <w:r>
        <w:rPr>
          <w:sz w:val="22"/>
          <w:szCs w:val="22"/>
          <w:lang w:val="es-ES_tradnl"/>
        </w:rPr>
        <w:t>environments</w:t>
      </w:r>
      <w:proofErr w:type="spellEnd"/>
      <w:r>
        <w:rPr>
          <w:sz w:val="22"/>
          <w:szCs w:val="22"/>
          <w:lang w:val="es-ES_tradnl"/>
        </w:rPr>
        <w:t xml:space="preserve"> </w:t>
      </w:r>
      <w:proofErr w:type="spellStart"/>
      <w:r>
        <w:rPr>
          <w:sz w:val="22"/>
          <w:szCs w:val="22"/>
          <w:lang w:val="es-ES_tradnl"/>
        </w:rPr>
        <w:t>with</w:t>
      </w:r>
      <w:proofErr w:type="spellEnd"/>
      <w:r>
        <w:rPr>
          <w:sz w:val="22"/>
          <w:szCs w:val="22"/>
          <w:lang w:val="es-ES_tradnl"/>
        </w:rPr>
        <w:t xml:space="preserve"> a </w:t>
      </w:r>
      <w:proofErr w:type="spellStart"/>
      <w:r>
        <w:rPr>
          <w:sz w:val="22"/>
          <w:szCs w:val="22"/>
          <w:lang w:val="es-ES_tradnl"/>
        </w:rPr>
        <w:t>temperature</w:t>
      </w:r>
      <w:proofErr w:type="spellEnd"/>
      <w:r>
        <w:rPr>
          <w:sz w:val="22"/>
          <w:szCs w:val="22"/>
          <w:lang w:val="es-ES_tradnl"/>
        </w:rPr>
        <w:t xml:space="preserve"> </w:t>
      </w:r>
      <w:proofErr w:type="spellStart"/>
      <w:r>
        <w:rPr>
          <w:sz w:val="22"/>
          <w:szCs w:val="22"/>
          <w:lang w:val="es-ES_tradnl"/>
        </w:rPr>
        <w:t>range</w:t>
      </w:r>
      <w:proofErr w:type="spellEnd"/>
      <w:r>
        <w:rPr>
          <w:sz w:val="22"/>
          <w:szCs w:val="22"/>
          <w:lang w:val="es-ES_tradnl"/>
        </w:rPr>
        <w:t xml:space="preserve"> </w:t>
      </w:r>
      <w:proofErr w:type="spellStart"/>
      <w:r>
        <w:rPr>
          <w:sz w:val="22"/>
          <w:szCs w:val="22"/>
          <w:lang w:val="es-ES_tradnl"/>
        </w:rPr>
        <w:t>of</w:t>
      </w:r>
      <w:proofErr w:type="spellEnd"/>
      <w:r>
        <w:rPr>
          <w:sz w:val="22"/>
          <w:szCs w:val="22"/>
          <w:lang w:val="es-ES_tradnl"/>
        </w:rPr>
        <w:t xml:space="preserve"> </w:t>
      </w:r>
      <w:proofErr w:type="spellStart"/>
      <w:r>
        <w:rPr>
          <w:sz w:val="22"/>
          <w:szCs w:val="22"/>
          <w:lang w:val="es-ES_tradnl"/>
        </w:rPr>
        <w:t>between</w:t>
      </w:r>
      <w:proofErr w:type="spellEnd"/>
      <w:r>
        <w:rPr>
          <w:sz w:val="22"/>
          <w:szCs w:val="22"/>
          <w:lang w:val="es-ES_tradnl"/>
        </w:rPr>
        <w:t xml:space="preserve"> -10 and +55 </w:t>
      </w:r>
      <w:proofErr w:type="spellStart"/>
      <w:r>
        <w:rPr>
          <w:sz w:val="22"/>
          <w:szCs w:val="22"/>
          <w:lang w:val="es-ES_tradnl"/>
        </w:rPr>
        <w:t>degrees</w:t>
      </w:r>
      <w:proofErr w:type="spellEnd"/>
      <w:r>
        <w:rPr>
          <w:sz w:val="22"/>
          <w:szCs w:val="22"/>
          <w:lang w:val="es-ES_tradnl"/>
        </w:rPr>
        <w:t xml:space="preserve"> Celsius.</w:t>
      </w:r>
    </w:p>
    <w:p w14:paraId="6BBC67C5" w14:textId="77777777" w:rsidR="00E255F4" w:rsidRDefault="00000000">
      <w:pPr>
        <w:pStyle w:val="Prrafodelista"/>
        <w:numPr>
          <w:ilvl w:val="2"/>
          <w:numId w:val="68"/>
        </w:numPr>
        <w:spacing w:after="240"/>
        <w:ind w:left="709" w:hanging="709"/>
        <w:jc w:val="both"/>
        <w:rPr>
          <w:sz w:val="22"/>
          <w:szCs w:val="22"/>
          <w:lang w:val="es-ES_tradnl"/>
        </w:rPr>
      </w:pPr>
      <w:r>
        <w:rPr>
          <w:sz w:val="22"/>
          <w:szCs w:val="22"/>
          <w:lang w:val="es-ES_tradnl"/>
        </w:rPr>
        <w:t xml:space="preserve">The </w:t>
      </w:r>
      <w:proofErr w:type="spellStart"/>
      <w:r>
        <w:rPr>
          <w:sz w:val="22"/>
          <w:szCs w:val="22"/>
          <w:lang w:val="es-ES_tradnl"/>
        </w:rPr>
        <w:t>exposed</w:t>
      </w:r>
      <w:proofErr w:type="spellEnd"/>
      <w:r>
        <w:rPr>
          <w:sz w:val="22"/>
          <w:szCs w:val="22"/>
          <w:lang w:val="es-ES_tradnl"/>
        </w:rPr>
        <w:t xml:space="preserve"> </w:t>
      </w:r>
      <w:proofErr w:type="spellStart"/>
      <w:r>
        <w:rPr>
          <w:sz w:val="22"/>
          <w:szCs w:val="22"/>
          <w:lang w:val="es-ES_tradnl"/>
        </w:rPr>
        <w:t>materials</w:t>
      </w:r>
      <w:proofErr w:type="spellEnd"/>
      <w:r>
        <w:rPr>
          <w:sz w:val="22"/>
          <w:szCs w:val="22"/>
          <w:lang w:val="es-ES_tradnl"/>
        </w:rPr>
        <w:t xml:space="preserve"> </w:t>
      </w:r>
      <w:proofErr w:type="spellStart"/>
      <w:r>
        <w:rPr>
          <w:sz w:val="22"/>
          <w:szCs w:val="22"/>
          <w:lang w:val="es-ES_tradnl"/>
        </w:rPr>
        <w:t>must</w:t>
      </w:r>
      <w:proofErr w:type="spellEnd"/>
      <w:r>
        <w:rPr>
          <w:sz w:val="22"/>
          <w:szCs w:val="22"/>
          <w:lang w:val="es-ES_tradnl"/>
        </w:rPr>
        <w:t xml:space="preserve"> be </w:t>
      </w:r>
      <w:proofErr w:type="spellStart"/>
      <w:r>
        <w:rPr>
          <w:sz w:val="22"/>
          <w:szCs w:val="22"/>
          <w:lang w:val="es-ES_tradnl"/>
        </w:rPr>
        <w:t>resistant</w:t>
      </w:r>
      <w:proofErr w:type="spellEnd"/>
      <w:r>
        <w:rPr>
          <w:sz w:val="22"/>
          <w:szCs w:val="22"/>
          <w:lang w:val="es-ES_tradnl"/>
        </w:rPr>
        <w:t xml:space="preserve"> </w:t>
      </w:r>
      <w:proofErr w:type="spellStart"/>
      <w:r>
        <w:rPr>
          <w:sz w:val="22"/>
          <w:szCs w:val="22"/>
          <w:lang w:val="es-ES_tradnl"/>
        </w:rPr>
        <w:t>to</w:t>
      </w:r>
      <w:proofErr w:type="spellEnd"/>
      <w:r>
        <w:rPr>
          <w:sz w:val="22"/>
          <w:szCs w:val="22"/>
          <w:lang w:val="es-ES_tradnl"/>
        </w:rPr>
        <w:t xml:space="preserve"> UV (</w:t>
      </w:r>
      <w:proofErr w:type="spellStart"/>
      <w:r>
        <w:rPr>
          <w:sz w:val="22"/>
          <w:szCs w:val="22"/>
          <w:lang w:val="es-ES_tradnl"/>
        </w:rPr>
        <w:t>ultraviolet</w:t>
      </w:r>
      <w:proofErr w:type="spellEnd"/>
      <w:r>
        <w:rPr>
          <w:sz w:val="22"/>
          <w:szCs w:val="22"/>
          <w:lang w:val="es-ES_tradnl"/>
        </w:rPr>
        <w:t xml:space="preserve">) </w:t>
      </w:r>
      <w:proofErr w:type="spellStart"/>
      <w:r>
        <w:rPr>
          <w:sz w:val="22"/>
          <w:szCs w:val="22"/>
          <w:lang w:val="es-ES_tradnl"/>
        </w:rPr>
        <w:t>radiation</w:t>
      </w:r>
      <w:proofErr w:type="spellEnd"/>
      <w:r>
        <w:rPr>
          <w:sz w:val="22"/>
          <w:szCs w:val="22"/>
          <w:lang w:val="es-ES_tradnl"/>
        </w:rPr>
        <w:t>.</w:t>
      </w:r>
    </w:p>
    <w:p w14:paraId="35E5CE74" w14:textId="77777777" w:rsidR="00E255F4" w:rsidRDefault="00000000">
      <w:pPr>
        <w:numPr>
          <w:ilvl w:val="1"/>
          <w:numId w:val="68"/>
        </w:numPr>
        <w:spacing w:after="120"/>
        <w:ind w:left="714" w:hanging="714"/>
        <w:rPr>
          <w:b/>
          <w:sz w:val="22"/>
          <w:szCs w:val="22"/>
          <w:lang w:val="es-ES"/>
        </w:rPr>
      </w:pPr>
      <w:proofErr w:type="spellStart"/>
      <w:r>
        <w:rPr>
          <w:b/>
          <w:sz w:val="22"/>
          <w:szCs w:val="22"/>
          <w:lang w:val="es-ES"/>
        </w:rPr>
        <w:t>Alarms</w:t>
      </w:r>
      <w:proofErr w:type="spellEnd"/>
    </w:p>
    <w:p w14:paraId="4C2E028B" w14:textId="77777777" w:rsidR="00E255F4" w:rsidRDefault="00000000">
      <w:pPr>
        <w:pStyle w:val="Prrafodelista"/>
        <w:numPr>
          <w:ilvl w:val="2"/>
          <w:numId w:val="68"/>
        </w:numPr>
        <w:tabs>
          <w:tab w:val="left" w:pos="709"/>
        </w:tabs>
        <w:spacing w:after="120"/>
        <w:ind w:left="709" w:hanging="709"/>
        <w:jc w:val="both"/>
        <w:rPr>
          <w:sz w:val="22"/>
          <w:szCs w:val="22"/>
          <w:lang w:val="es-ES"/>
        </w:rPr>
      </w:pPr>
      <w:r>
        <w:rPr>
          <w:sz w:val="22"/>
          <w:szCs w:val="22"/>
          <w:lang w:val="es-ES"/>
        </w:rPr>
        <w:t xml:space="preserve">At a </w:t>
      </w:r>
      <w:proofErr w:type="spellStart"/>
      <w:r>
        <w:rPr>
          <w:sz w:val="22"/>
          <w:szCs w:val="22"/>
          <w:lang w:val="es-ES"/>
        </w:rPr>
        <w:t>minimum</w:t>
      </w:r>
      <w:proofErr w:type="spellEnd"/>
      <w:r>
        <w:rPr>
          <w:sz w:val="22"/>
          <w:szCs w:val="22"/>
          <w:lang w:val="es-ES"/>
        </w:rPr>
        <w:t xml:space="preserve">, </w:t>
      </w:r>
      <w:proofErr w:type="spellStart"/>
      <w:r>
        <w:rPr>
          <w:sz w:val="22"/>
          <w:szCs w:val="22"/>
          <w:lang w:val="es-ES"/>
        </w:rPr>
        <w:t>the</w:t>
      </w:r>
      <w:proofErr w:type="spellEnd"/>
      <w:r>
        <w:rPr>
          <w:sz w:val="22"/>
          <w:szCs w:val="22"/>
          <w:lang w:val="es-ES"/>
        </w:rPr>
        <w:t xml:space="preserve"> </w:t>
      </w:r>
      <w:proofErr w:type="spellStart"/>
      <w:r>
        <w:rPr>
          <w:sz w:val="22"/>
          <w:szCs w:val="22"/>
          <w:lang w:val="es-ES"/>
        </w:rPr>
        <w:t>telemetry</w:t>
      </w:r>
      <w:proofErr w:type="spellEnd"/>
      <w:r>
        <w:rPr>
          <w:sz w:val="22"/>
          <w:szCs w:val="22"/>
          <w:lang w:val="es-ES"/>
        </w:rPr>
        <w:t xml:space="preserve"> </w:t>
      </w:r>
      <w:proofErr w:type="spellStart"/>
      <w:r>
        <w:rPr>
          <w:sz w:val="22"/>
          <w:szCs w:val="22"/>
          <w:lang w:val="es-ES"/>
        </w:rPr>
        <w:t>device</w:t>
      </w:r>
      <w:proofErr w:type="spellEnd"/>
      <w:r>
        <w:rPr>
          <w:sz w:val="22"/>
          <w:szCs w:val="22"/>
          <w:lang w:val="es-ES"/>
        </w:rPr>
        <w:t xml:space="preserve"> </w:t>
      </w:r>
      <w:proofErr w:type="spellStart"/>
      <w:r>
        <w:rPr>
          <w:sz w:val="22"/>
          <w:szCs w:val="22"/>
          <w:lang w:val="es-ES"/>
        </w:rPr>
        <w:t>must</w:t>
      </w:r>
      <w:proofErr w:type="spellEnd"/>
      <w:r>
        <w:rPr>
          <w:sz w:val="22"/>
          <w:szCs w:val="22"/>
          <w:lang w:val="es-ES"/>
        </w:rPr>
        <w:t xml:space="preserve"> </w:t>
      </w:r>
      <w:proofErr w:type="spellStart"/>
      <w:r>
        <w:rPr>
          <w:sz w:val="22"/>
          <w:szCs w:val="22"/>
          <w:lang w:val="es-ES"/>
        </w:rPr>
        <w:t>generate</w:t>
      </w:r>
      <w:proofErr w:type="spellEnd"/>
      <w:r>
        <w:rPr>
          <w:sz w:val="22"/>
          <w:szCs w:val="22"/>
          <w:lang w:val="es-ES"/>
        </w:rPr>
        <w:t xml:space="preserve"> </w:t>
      </w:r>
      <w:proofErr w:type="spellStart"/>
      <w:r>
        <w:rPr>
          <w:sz w:val="22"/>
          <w:szCs w:val="22"/>
          <w:lang w:val="es-ES"/>
        </w:rPr>
        <w:t>alarms</w:t>
      </w:r>
      <w:proofErr w:type="spellEnd"/>
      <w:r>
        <w:rPr>
          <w:sz w:val="22"/>
          <w:szCs w:val="22"/>
          <w:lang w:val="es-ES"/>
        </w:rPr>
        <w:t xml:space="preserve"> </w:t>
      </w:r>
      <w:proofErr w:type="spellStart"/>
      <w:r>
        <w:rPr>
          <w:sz w:val="22"/>
          <w:szCs w:val="22"/>
          <w:lang w:val="es-ES"/>
        </w:rPr>
        <w:t>for</w:t>
      </w:r>
      <w:proofErr w:type="spellEnd"/>
      <w:r>
        <w:rPr>
          <w:sz w:val="22"/>
          <w:szCs w:val="22"/>
          <w:lang w:val="es-ES"/>
        </w:rPr>
        <w:t xml:space="preserve">: reverse </w:t>
      </w:r>
      <w:proofErr w:type="spellStart"/>
      <w:r>
        <w:rPr>
          <w:sz w:val="22"/>
          <w:szCs w:val="22"/>
          <w:lang w:val="es-ES"/>
        </w:rPr>
        <w:t>flow</w:t>
      </w:r>
      <w:proofErr w:type="spellEnd"/>
      <w:r>
        <w:rPr>
          <w:sz w:val="22"/>
          <w:szCs w:val="22"/>
          <w:lang w:val="es-ES"/>
        </w:rPr>
        <w:t xml:space="preserve">, </w:t>
      </w:r>
      <w:proofErr w:type="spellStart"/>
      <w:r>
        <w:rPr>
          <w:sz w:val="22"/>
          <w:szCs w:val="22"/>
          <w:lang w:val="es-ES"/>
        </w:rPr>
        <w:t>peak</w:t>
      </w:r>
      <w:proofErr w:type="spellEnd"/>
      <w:r>
        <w:rPr>
          <w:sz w:val="22"/>
          <w:szCs w:val="22"/>
          <w:lang w:val="es-ES"/>
        </w:rPr>
        <w:t xml:space="preserve"> </w:t>
      </w:r>
      <w:proofErr w:type="spellStart"/>
      <w:r>
        <w:rPr>
          <w:sz w:val="22"/>
          <w:szCs w:val="22"/>
          <w:lang w:val="es-ES"/>
        </w:rPr>
        <w:t>flow</w:t>
      </w:r>
      <w:proofErr w:type="spellEnd"/>
      <w:r>
        <w:rPr>
          <w:sz w:val="22"/>
          <w:szCs w:val="22"/>
          <w:lang w:val="es-ES"/>
        </w:rPr>
        <w:t xml:space="preserve">, </w:t>
      </w:r>
      <w:proofErr w:type="spellStart"/>
      <w:r>
        <w:rPr>
          <w:sz w:val="22"/>
          <w:szCs w:val="22"/>
          <w:lang w:val="es-ES"/>
        </w:rPr>
        <w:t>low</w:t>
      </w:r>
      <w:proofErr w:type="spellEnd"/>
      <w:r>
        <w:rPr>
          <w:sz w:val="22"/>
          <w:szCs w:val="22"/>
          <w:lang w:val="es-ES"/>
        </w:rPr>
        <w:t xml:space="preserve"> </w:t>
      </w:r>
      <w:proofErr w:type="spellStart"/>
      <w:r>
        <w:rPr>
          <w:sz w:val="22"/>
          <w:szCs w:val="22"/>
          <w:lang w:val="es-ES"/>
        </w:rPr>
        <w:t>battery</w:t>
      </w:r>
      <w:proofErr w:type="spellEnd"/>
      <w:r>
        <w:rPr>
          <w:sz w:val="22"/>
          <w:szCs w:val="22"/>
          <w:lang w:val="es-ES"/>
        </w:rPr>
        <w:t>.</w:t>
      </w:r>
    </w:p>
    <w:p w14:paraId="1C247680" w14:textId="77777777" w:rsidR="00E255F4" w:rsidRDefault="00000000">
      <w:pPr>
        <w:pStyle w:val="Prrafodelista"/>
        <w:numPr>
          <w:ilvl w:val="2"/>
          <w:numId w:val="68"/>
        </w:numPr>
        <w:tabs>
          <w:tab w:val="left" w:pos="709"/>
        </w:tabs>
        <w:spacing w:after="120"/>
        <w:ind w:left="709" w:hanging="709"/>
        <w:jc w:val="both"/>
      </w:pPr>
      <w:r>
        <w:rPr>
          <w:sz w:val="22"/>
          <w:szCs w:val="22"/>
          <w:lang w:val="es-ES"/>
        </w:rPr>
        <w:t xml:space="preserve">The </w:t>
      </w:r>
      <w:proofErr w:type="spellStart"/>
      <w:r>
        <w:rPr>
          <w:sz w:val="22"/>
          <w:szCs w:val="22"/>
          <w:lang w:val="es-ES"/>
        </w:rPr>
        <w:t>alarm</w:t>
      </w:r>
      <w:proofErr w:type="spellEnd"/>
      <w:r>
        <w:rPr>
          <w:sz w:val="22"/>
          <w:szCs w:val="22"/>
          <w:lang w:val="es-ES"/>
        </w:rPr>
        <w:t xml:space="preserve"> </w:t>
      </w:r>
      <w:proofErr w:type="spellStart"/>
      <w:r>
        <w:rPr>
          <w:sz w:val="22"/>
          <w:szCs w:val="22"/>
          <w:lang w:val="es-ES"/>
        </w:rPr>
        <w:t>must</w:t>
      </w:r>
      <w:proofErr w:type="spellEnd"/>
      <w:r>
        <w:rPr>
          <w:sz w:val="22"/>
          <w:szCs w:val="22"/>
          <w:lang w:val="es-ES"/>
        </w:rPr>
        <w:t xml:space="preserve"> </w:t>
      </w:r>
      <w:proofErr w:type="spellStart"/>
      <w:r>
        <w:rPr>
          <w:sz w:val="22"/>
          <w:szCs w:val="22"/>
          <w:lang w:val="es-ES"/>
        </w:rPr>
        <w:t>correspond</w:t>
      </w:r>
      <w:proofErr w:type="spellEnd"/>
      <w:r>
        <w:rPr>
          <w:sz w:val="22"/>
          <w:szCs w:val="22"/>
          <w:lang w:val="es-ES"/>
        </w:rPr>
        <w:t xml:space="preserve"> </w:t>
      </w:r>
      <w:proofErr w:type="spellStart"/>
      <w:r>
        <w:rPr>
          <w:sz w:val="22"/>
          <w:szCs w:val="22"/>
          <w:lang w:val="es-ES"/>
        </w:rPr>
        <w:t>to</w:t>
      </w:r>
      <w:proofErr w:type="spellEnd"/>
      <w:r>
        <w:rPr>
          <w:sz w:val="22"/>
          <w:szCs w:val="22"/>
          <w:lang w:val="es-ES"/>
        </w:rPr>
        <w:t xml:space="preserve"> </w:t>
      </w:r>
      <w:proofErr w:type="spellStart"/>
      <w:r>
        <w:rPr>
          <w:sz w:val="22"/>
          <w:szCs w:val="22"/>
          <w:lang w:val="es-ES"/>
        </w:rPr>
        <w:t>the</w:t>
      </w:r>
      <w:proofErr w:type="spellEnd"/>
      <w:r>
        <w:rPr>
          <w:sz w:val="22"/>
          <w:szCs w:val="22"/>
          <w:lang w:val="es-ES"/>
        </w:rPr>
        <w:t xml:space="preserve"> </w:t>
      </w:r>
      <w:proofErr w:type="spellStart"/>
      <w:r>
        <w:rPr>
          <w:sz w:val="22"/>
          <w:szCs w:val="22"/>
          <w:lang w:val="es-ES"/>
        </w:rPr>
        <w:t>situation</w:t>
      </w:r>
      <w:proofErr w:type="spellEnd"/>
      <w:r>
        <w:rPr>
          <w:sz w:val="22"/>
          <w:szCs w:val="22"/>
          <w:lang w:val="es-ES"/>
        </w:rPr>
        <w:t xml:space="preserve"> at </w:t>
      </w:r>
      <w:proofErr w:type="spellStart"/>
      <w:r>
        <w:rPr>
          <w:sz w:val="22"/>
          <w:szCs w:val="22"/>
          <w:lang w:val="es-ES"/>
        </w:rPr>
        <w:t>the</w:t>
      </w:r>
      <w:proofErr w:type="spellEnd"/>
      <w:r>
        <w:rPr>
          <w:sz w:val="22"/>
          <w:szCs w:val="22"/>
          <w:lang w:val="es-ES"/>
        </w:rPr>
        <w:t xml:space="preserve"> time </w:t>
      </w:r>
      <w:proofErr w:type="spellStart"/>
      <w:r>
        <w:rPr>
          <w:sz w:val="22"/>
          <w:szCs w:val="22"/>
          <w:lang w:val="es-ES"/>
        </w:rPr>
        <w:t>of</w:t>
      </w:r>
      <w:proofErr w:type="spellEnd"/>
      <w:r>
        <w:rPr>
          <w:sz w:val="22"/>
          <w:szCs w:val="22"/>
          <w:lang w:val="es-ES"/>
        </w:rPr>
        <w:t xml:space="preserve"> </w:t>
      </w:r>
      <w:proofErr w:type="spellStart"/>
      <w:r>
        <w:rPr>
          <w:sz w:val="22"/>
          <w:szCs w:val="22"/>
          <w:lang w:val="es-ES"/>
        </w:rPr>
        <w:t>transmission</w:t>
      </w:r>
      <w:proofErr w:type="spellEnd"/>
      <w:r>
        <w:rPr>
          <w:sz w:val="22"/>
          <w:szCs w:val="22"/>
          <w:lang w:val="es-ES"/>
        </w:rPr>
        <w:t xml:space="preserve">. The </w:t>
      </w:r>
      <w:proofErr w:type="spellStart"/>
      <w:r>
        <w:rPr>
          <w:sz w:val="22"/>
          <w:szCs w:val="22"/>
          <w:lang w:val="es-ES"/>
        </w:rPr>
        <w:t>system</w:t>
      </w:r>
      <w:proofErr w:type="spellEnd"/>
      <w:r>
        <w:rPr>
          <w:sz w:val="22"/>
          <w:szCs w:val="22"/>
          <w:lang w:val="es-ES"/>
        </w:rPr>
        <w:t xml:space="preserve"> </w:t>
      </w:r>
      <w:proofErr w:type="spellStart"/>
      <w:r>
        <w:rPr>
          <w:sz w:val="22"/>
          <w:szCs w:val="22"/>
          <w:lang w:val="es-ES"/>
        </w:rPr>
        <w:t>must</w:t>
      </w:r>
      <w:proofErr w:type="spellEnd"/>
      <w:r>
        <w:rPr>
          <w:sz w:val="22"/>
          <w:szCs w:val="22"/>
          <w:lang w:val="es-ES"/>
        </w:rPr>
        <w:t xml:space="preserve"> </w:t>
      </w:r>
      <w:proofErr w:type="spellStart"/>
      <w:r>
        <w:rPr>
          <w:sz w:val="22"/>
          <w:szCs w:val="22"/>
          <w:lang w:val="es-ES"/>
        </w:rPr>
        <w:t>report</w:t>
      </w:r>
      <w:proofErr w:type="spellEnd"/>
      <w:r>
        <w:rPr>
          <w:sz w:val="22"/>
          <w:szCs w:val="22"/>
          <w:lang w:val="es-ES"/>
        </w:rPr>
        <w:t xml:space="preserve"> </w:t>
      </w:r>
      <w:proofErr w:type="spellStart"/>
      <w:r>
        <w:rPr>
          <w:sz w:val="22"/>
          <w:szCs w:val="22"/>
          <w:lang w:val="es-ES"/>
        </w:rPr>
        <w:t>daily</w:t>
      </w:r>
      <w:proofErr w:type="spellEnd"/>
      <w:r>
        <w:rPr>
          <w:sz w:val="22"/>
          <w:szCs w:val="22"/>
          <w:lang w:val="es-ES"/>
        </w:rPr>
        <w:t xml:space="preserve"> </w:t>
      </w:r>
      <w:proofErr w:type="spellStart"/>
      <w:r>
        <w:rPr>
          <w:sz w:val="22"/>
          <w:szCs w:val="22"/>
          <w:lang w:val="es-ES"/>
        </w:rPr>
        <w:t>on</w:t>
      </w:r>
      <w:proofErr w:type="spellEnd"/>
      <w:r>
        <w:rPr>
          <w:sz w:val="22"/>
          <w:szCs w:val="22"/>
          <w:lang w:val="es-ES"/>
        </w:rPr>
        <w:t xml:space="preserve"> </w:t>
      </w:r>
      <w:proofErr w:type="spellStart"/>
      <w:r>
        <w:rPr>
          <w:sz w:val="22"/>
          <w:szCs w:val="22"/>
          <w:lang w:val="es-ES"/>
        </w:rPr>
        <w:t>the</w:t>
      </w:r>
      <w:proofErr w:type="spellEnd"/>
      <w:r>
        <w:rPr>
          <w:sz w:val="22"/>
          <w:szCs w:val="22"/>
          <w:lang w:val="es-ES"/>
        </w:rPr>
        <w:t xml:space="preserve"> </w:t>
      </w:r>
      <w:proofErr w:type="spellStart"/>
      <w:r>
        <w:rPr>
          <w:sz w:val="22"/>
          <w:szCs w:val="22"/>
          <w:lang w:val="es-ES"/>
        </w:rPr>
        <w:t>alarms</w:t>
      </w:r>
      <w:proofErr w:type="spellEnd"/>
      <w:r>
        <w:rPr>
          <w:sz w:val="22"/>
          <w:szCs w:val="22"/>
          <w:lang w:val="es-ES"/>
        </w:rPr>
        <w:t xml:space="preserve"> </w:t>
      </w:r>
      <w:proofErr w:type="spellStart"/>
      <w:r>
        <w:rPr>
          <w:sz w:val="22"/>
          <w:szCs w:val="22"/>
          <w:lang w:val="es-ES"/>
        </w:rPr>
        <w:t>generated</w:t>
      </w:r>
      <w:proofErr w:type="spellEnd"/>
      <w:r>
        <w:rPr>
          <w:sz w:val="22"/>
          <w:szCs w:val="22"/>
          <w:lang w:val="es-ES"/>
        </w:rPr>
        <w:t xml:space="preserve"> </w:t>
      </w:r>
      <w:proofErr w:type="spellStart"/>
      <w:r>
        <w:rPr>
          <w:sz w:val="22"/>
          <w:szCs w:val="22"/>
          <w:lang w:val="es-ES"/>
        </w:rPr>
        <w:t>that</w:t>
      </w:r>
      <w:proofErr w:type="spellEnd"/>
      <w:r>
        <w:rPr>
          <w:sz w:val="22"/>
          <w:szCs w:val="22"/>
          <w:lang w:val="es-ES"/>
        </w:rPr>
        <w:t xml:space="preserve"> </w:t>
      </w:r>
      <w:proofErr w:type="spellStart"/>
      <w:r>
        <w:rPr>
          <w:sz w:val="22"/>
          <w:szCs w:val="22"/>
          <w:lang w:val="es-ES"/>
        </w:rPr>
        <w:t>day</w:t>
      </w:r>
      <w:proofErr w:type="spellEnd"/>
      <w:r>
        <w:rPr>
          <w:sz w:val="22"/>
          <w:szCs w:val="22"/>
          <w:lang w:val="es-ES"/>
        </w:rPr>
        <w:t>.</w:t>
      </w:r>
    </w:p>
    <w:p w14:paraId="3DE2C479" w14:textId="77777777" w:rsidR="00E255F4" w:rsidRDefault="00000000">
      <w:pPr>
        <w:pStyle w:val="Prrafodelista"/>
        <w:numPr>
          <w:ilvl w:val="2"/>
          <w:numId w:val="68"/>
        </w:numPr>
        <w:tabs>
          <w:tab w:val="left" w:pos="709"/>
        </w:tabs>
        <w:spacing w:after="120"/>
        <w:ind w:left="709" w:hanging="709"/>
        <w:jc w:val="both"/>
        <w:rPr>
          <w:sz w:val="22"/>
          <w:szCs w:val="22"/>
          <w:lang w:val="es-ES"/>
        </w:rPr>
      </w:pPr>
      <w:proofErr w:type="spellStart"/>
      <w:r>
        <w:rPr>
          <w:sz w:val="22"/>
          <w:szCs w:val="22"/>
          <w:lang w:val="es-ES"/>
        </w:rPr>
        <w:t>All</w:t>
      </w:r>
      <w:proofErr w:type="spellEnd"/>
      <w:r>
        <w:rPr>
          <w:sz w:val="22"/>
          <w:szCs w:val="22"/>
          <w:lang w:val="es-ES"/>
        </w:rPr>
        <w:t xml:space="preserve"> </w:t>
      </w:r>
      <w:proofErr w:type="spellStart"/>
      <w:r>
        <w:rPr>
          <w:sz w:val="22"/>
          <w:szCs w:val="22"/>
          <w:lang w:val="es-ES"/>
        </w:rPr>
        <w:t>alarm</w:t>
      </w:r>
      <w:proofErr w:type="spellEnd"/>
      <w:r>
        <w:rPr>
          <w:sz w:val="22"/>
          <w:szCs w:val="22"/>
          <w:lang w:val="es-ES"/>
        </w:rPr>
        <w:t xml:space="preserve"> </w:t>
      </w:r>
      <w:proofErr w:type="spellStart"/>
      <w:r>
        <w:rPr>
          <w:sz w:val="22"/>
          <w:szCs w:val="22"/>
          <w:lang w:val="es-ES"/>
        </w:rPr>
        <w:t>values</w:t>
      </w:r>
      <w:proofErr w:type="spellEnd"/>
      <w:r>
        <w:rPr>
          <w:sz w:val="22"/>
          <w:szCs w:val="22"/>
          <w:lang w:val="es-ES"/>
        </w:rPr>
        <w:t xml:space="preserve"> ​​</w:t>
      </w:r>
      <w:proofErr w:type="spellStart"/>
      <w:r>
        <w:rPr>
          <w:sz w:val="22"/>
          <w:szCs w:val="22"/>
          <w:lang w:val="es-ES"/>
        </w:rPr>
        <w:t>must</w:t>
      </w:r>
      <w:proofErr w:type="spellEnd"/>
      <w:r>
        <w:rPr>
          <w:sz w:val="22"/>
          <w:szCs w:val="22"/>
          <w:lang w:val="es-ES"/>
        </w:rPr>
        <w:t xml:space="preserve"> be configurable.</w:t>
      </w:r>
    </w:p>
    <w:p w14:paraId="3F9823BC" w14:textId="77777777" w:rsidR="00E255F4" w:rsidRDefault="00000000">
      <w:pPr>
        <w:pStyle w:val="Prrafodelista"/>
        <w:numPr>
          <w:ilvl w:val="2"/>
          <w:numId w:val="68"/>
        </w:numPr>
        <w:tabs>
          <w:tab w:val="left" w:pos="709"/>
        </w:tabs>
        <w:spacing w:after="120"/>
        <w:ind w:left="709" w:hanging="709"/>
        <w:jc w:val="both"/>
        <w:rPr>
          <w:sz w:val="22"/>
          <w:szCs w:val="22"/>
          <w:lang w:val="es-ES"/>
        </w:rPr>
      </w:pPr>
      <w:r>
        <w:rPr>
          <w:sz w:val="22"/>
          <w:szCs w:val="22"/>
          <w:lang w:val="es-ES"/>
        </w:rPr>
        <w:t xml:space="preserve">Brief </w:t>
      </w:r>
      <w:proofErr w:type="spellStart"/>
      <w:r>
        <w:rPr>
          <w:sz w:val="22"/>
          <w:szCs w:val="22"/>
          <w:lang w:val="es-ES"/>
        </w:rPr>
        <w:t>definition</w:t>
      </w:r>
      <w:proofErr w:type="spellEnd"/>
      <w:r>
        <w:rPr>
          <w:sz w:val="22"/>
          <w:szCs w:val="22"/>
          <w:lang w:val="es-ES"/>
        </w:rPr>
        <w:t xml:space="preserve"> </w:t>
      </w:r>
      <w:proofErr w:type="spellStart"/>
      <w:r>
        <w:rPr>
          <w:sz w:val="22"/>
          <w:szCs w:val="22"/>
          <w:lang w:val="es-ES"/>
        </w:rPr>
        <w:t>of</w:t>
      </w:r>
      <w:proofErr w:type="spellEnd"/>
      <w:r>
        <w:rPr>
          <w:sz w:val="22"/>
          <w:szCs w:val="22"/>
          <w:lang w:val="es-ES"/>
        </w:rPr>
        <w:t xml:space="preserve"> </w:t>
      </w:r>
      <w:proofErr w:type="spellStart"/>
      <w:r>
        <w:rPr>
          <w:sz w:val="22"/>
          <w:szCs w:val="22"/>
          <w:lang w:val="es-ES"/>
        </w:rPr>
        <w:t>each</w:t>
      </w:r>
      <w:proofErr w:type="spellEnd"/>
      <w:r>
        <w:rPr>
          <w:sz w:val="22"/>
          <w:szCs w:val="22"/>
          <w:lang w:val="es-ES"/>
        </w:rPr>
        <w:t xml:space="preserve"> </w:t>
      </w:r>
      <w:proofErr w:type="spellStart"/>
      <w:r>
        <w:rPr>
          <w:sz w:val="22"/>
          <w:szCs w:val="22"/>
          <w:lang w:val="es-ES"/>
        </w:rPr>
        <w:t>alarm</w:t>
      </w:r>
      <w:proofErr w:type="spellEnd"/>
      <w:r>
        <w:rPr>
          <w:sz w:val="22"/>
          <w:szCs w:val="22"/>
          <w:lang w:val="es-ES"/>
        </w:rPr>
        <w:t>:</w:t>
      </w:r>
    </w:p>
    <w:p w14:paraId="4A9FAB9A" w14:textId="77777777" w:rsidR="00E255F4" w:rsidRDefault="00000000">
      <w:pPr>
        <w:numPr>
          <w:ilvl w:val="3"/>
          <w:numId w:val="18"/>
        </w:numPr>
        <w:tabs>
          <w:tab w:val="left" w:pos="1134"/>
        </w:tabs>
        <w:spacing w:after="80"/>
        <w:ind w:left="1418" w:hanging="284"/>
        <w:jc w:val="both"/>
        <w:rPr>
          <w:sz w:val="22"/>
          <w:szCs w:val="22"/>
          <w:lang w:val="es-ES"/>
        </w:rPr>
      </w:pPr>
      <w:r>
        <w:rPr>
          <w:sz w:val="22"/>
          <w:szCs w:val="22"/>
          <w:lang w:val="es-ES"/>
        </w:rPr>
        <w:t xml:space="preserve">Reverse </w:t>
      </w:r>
      <w:proofErr w:type="spellStart"/>
      <w:r>
        <w:rPr>
          <w:sz w:val="22"/>
          <w:szCs w:val="22"/>
          <w:lang w:val="es-ES"/>
        </w:rPr>
        <w:t>flow</w:t>
      </w:r>
      <w:proofErr w:type="spellEnd"/>
      <w:r>
        <w:rPr>
          <w:sz w:val="22"/>
          <w:szCs w:val="22"/>
          <w:lang w:val="es-ES"/>
        </w:rPr>
        <w:t xml:space="preserve">: </w:t>
      </w:r>
      <w:proofErr w:type="spellStart"/>
      <w:r>
        <w:rPr>
          <w:sz w:val="22"/>
          <w:szCs w:val="22"/>
          <w:lang w:val="es-ES"/>
        </w:rPr>
        <w:t>corresponds</w:t>
      </w:r>
      <w:proofErr w:type="spellEnd"/>
      <w:r>
        <w:rPr>
          <w:sz w:val="22"/>
          <w:szCs w:val="22"/>
          <w:lang w:val="es-ES"/>
        </w:rPr>
        <w:t xml:space="preserve"> </w:t>
      </w:r>
      <w:proofErr w:type="spellStart"/>
      <w:r>
        <w:rPr>
          <w:sz w:val="22"/>
          <w:szCs w:val="22"/>
          <w:lang w:val="es-ES"/>
        </w:rPr>
        <w:t>to</w:t>
      </w:r>
      <w:proofErr w:type="spellEnd"/>
      <w:r>
        <w:rPr>
          <w:sz w:val="22"/>
          <w:szCs w:val="22"/>
          <w:lang w:val="es-ES"/>
        </w:rPr>
        <w:t xml:space="preserve"> </w:t>
      </w:r>
      <w:proofErr w:type="spellStart"/>
      <w:r>
        <w:rPr>
          <w:sz w:val="22"/>
          <w:szCs w:val="22"/>
          <w:lang w:val="es-ES"/>
        </w:rPr>
        <w:t>the</w:t>
      </w:r>
      <w:proofErr w:type="spellEnd"/>
      <w:r>
        <w:rPr>
          <w:sz w:val="22"/>
          <w:szCs w:val="22"/>
          <w:lang w:val="es-ES"/>
        </w:rPr>
        <w:t xml:space="preserve"> </w:t>
      </w:r>
      <w:proofErr w:type="spellStart"/>
      <w:r>
        <w:rPr>
          <w:sz w:val="22"/>
          <w:szCs w:val="22"/>
          <w:lang w:val="es-ES"/>
        </w:rPr>
        <w:t>situation</w:t>
      </w:r>
      <w:proofErr w:type="spellEnd"/>
      <w:r>
        <w:rPr>
          <w:sz w:val="22"/>
          <w:szCs w:val="22"/>
          <w:lang w:val="es-ES"/>
        </w:rPr>
        <w:t xml:space="preserve"> </w:t>
      </w:r>
      <w:proofErr w:type="spellStart"/>
      <w:r>
        <w:rPr>
          <w:sz w:val="22"/>
          <w:szCs w:val="22"/>
          <w:lang w:val="es-ES"/>
        </w:rPr>
        <w:t>where</w:t>
      </w:r>
      <w:proofErr w:type="spellEnd"/>
      <w:r>
        <w:rPr>
          <w:sz w:val="22"/>
          <w:szCs w:val="22"/>
          <w:lang w:val="es-ES"/>
        </w:rPr>
        <w:t xml:space="preserve"> </w:t>
      </w:r>
      <w:proofErr w:type="spellStart"/>
      <w:r>
        <w:rPr>
          <w:sz w:val="22"/>
          <w:szCs w:val="22"/>
          <w:lang w:val="es-ES"/>
        </w:rPr>
        <w:t>the</w:t>
      </w:r>
      <w:proofErr w:type="spellEnd"/>
      <w:r>
        <w:rPr>
          <w:sz w:val="22"/>
          <w:szCs w:val="22"/>
          <w:lang w:val="es-ES"/>
        </w:rPr>
        <w:t xml:space="preserve"> </w:t>
      </w:r>
      <w:proofErr w:type="spellStart"/>
      <w:r>
        <w:rPr>
          <w:sz w:val="22"/>
          <w:szCs w:val="22"/>
          <w:lang w:val="es-ES"/>
        </w:rPr>
        <w:t>passage</w:t>
      </w:r>
      <w:proofErr w:type="spellEnd"/>
      <w:r>
        <w:rPr>
          <w:sz w:val="22"/>
          <w:szCs w:val="22"/>
          <w:lang w:val="es-ES"/>
        </w:rPr>
        <w:t xml:space="preserve"> </w:t>
      </w:r>
      <w:proofErr w:type="spellStart"/>
      <w:r>
        <w:rPr>
          <w:sz w:val="22"/>
          <w:szCs w:val="22"/>
          <w:lang w:val="es-ES"/>
        </w:rPr>
        <w:t>of</w:t>
      </w:r>
      <w:proofErr w:type="spellEnd"/>
      <w:r>
        <w:rPr>
          <w:sz w:val="22"/>
          <w:szCs w:val="22"/>
          <w:lang w:val="es-ES"/>
        </w:rPr>
        <w:t xml:space="preserve"> </w:t>
      </w:r>
      <w:proofErr w:type="spellStart"/>
      <w:r>
        <w:rPr>
          <w:sz w:val="22"/>
          <w:szCs w:val="22"/>
          <w:lang w:val="es-ES"/>
        </w:rPr>
        <w:t>water</w:t>
      </w:r>
      <w:proofErr w:type="spellEnd"/>
      <w:r>
        <w:rPr>
          <w:sz w:val="22"/>
          <w:szCs w:val="22"/>
          <w:lang w:val="es-ES"/>
        </w:rPr>
        <w:t xml:space="preserve"> in </w:t>
      </w:r>
      <w:proofErr w:type="spellStart"/>
      <w:r>
        <w:rPr>
          <w:sz w:val="22"/>
          <w:szCs w:val="22"/>
          <w:lang w:val="es-ES"/>
        </w:rPr>
        <w:t>the</w:t>
      </w:r>
      <w:proofErr w:type="spellEnd"/>
      <w:r>
        <w:rPr>
          <w:sz w:val="22"/>
          <w:szCs w:val="22"/>
          <w:lang w:val="es-ES"/>
        </w:rPr>
        <w:t xml:space="preserve"> </w:t>
      </w:r>
      <w:proofErr w:type="spellStart"/>
      <w:r>
        <w:rPr>
          <w:sz w:val="22"/>
          <w:szCs w:val="22"/>
          <w:lang w:val="es-ES"/>
        </w:rPr>
        <w:t>opposite</w:t>
      </w:r>
      <w:proofErr w:type="spellEnd"/>
      <w:r>
        <w:rPr>
          <w:sz w:val="22"/>
          <w:szCs w:val="22"/>
          <w:lang w:val="es-ES"/>
        </w:rPr>
        <w:t xml:space="preserve"> </w:t>
      </w:r>
      <w:proofErr w:type="spellStart"/>
      <w:r>
        <w:rPr>
          <w:sz w:val="22"/>
          <w:szCs w:val="22"/>
          <w:lang w:val="es-ES"/>
        </w:rPr>
        <w:t>direction</w:t>
      </w:r>
      <w:proofErr w:type="spellEnd"/>
      <w:r>
        <w:rPr>
          <w:sz w:val="22"/>
          <w:szCs w:val="22"/>
          <w:lang w:val="es-ES"/>
        </w:rPr>
        <w:t xml:space="preserve"> </w:t>
      </w:r>
      <w:proofErr w:type="spellStart"/>
      <w:r>
        <w:rPr>
          <w:sz w:val="22"/>
          <w:szCs w:val="22"/>
          <w:lang w:val="es-ES"/>
        </w:rPr>
        <w:t>to</w:t>
      </w:r>
      <w:proofErr w:type="spellEnd"/>
      <w:r>
        <w:rPr>
          <w:sz w:val="22"/>
          <w:szCs w:val="22"/>
          <w:lang w:val="es-ES"/>
        </w:rPr>
        <w:t xml:space="preserve"> </w:t>
      </w:r>
      <w:proofErr w:type="spellStart"/>
      <w:r>
        <w:rPr>
          <w:sz w:val="22"/>
          <w:szCs w:val="22"/>
          <w:lang w:val="es-ES"/>
        </w:rPr>
        <w:t>that</w:t>
      </w:r>
      <w:proofErr w:type="spellEnd"/>
      <w:r>
        <w:rPr>
          <w:sz w:val="22"/>
          <w:szCs w:val="22"/>
          <w:lang w:val="es-ES"/>
        </w:rPr>
        <w:t xml:space="preserve"> </w:t>
      </w:r>
      <w:proofErr w:type="spellStart"/>
      <w:r>
        <w:rPr>
          <w:sz w:val="22"/>
          <w:szCs w:val="22"/>
          <w:lang w:val="es-ES"/>
        </w:rPr>
        <w:t>for</w:t>
      </w:r>
      <w:proofErr w:type="spellEnd"/>
      <w:r>
        <w:rPr>
          <w:sz w:val="22"/>
          <w:szCs w:val="22"/>
          <w:lang w:val="es-ES"/>
        </w:rPr>
        <w:t xml:space="preserve"> </w:t>
      </w:r>
      <w:proofErr w:type="spellStart"/>
      <w:r>
        <w:rPr>
          <w:sz w:val="22"/>
          <w:szCs w:val="22"/>
          <w:lang w:val="es-ES"/>
        </w:rPr>
        <w:t>which</w:t>
      </w:r>
      <w:proofErr w:type="spellEnd"/>
      <w:r>
        <w:rPr>
          <w:sz w:val="22"/>
          <w:szCs w:val="22"/>
          <w:lang w:val="es-ES"/>
        </w:rPr>
        <w:t xml:space="preserve"> </w:t>
      </w:r>
      <w:proofErr w:type="spellStart"/>
      <w:r>
        <w:rPr>
          <w:sz w:val="22"/>
          <w:szCs w:val="22"/>
          <w:lang w:val="es-ES"/>
        </w:rPr>
        <w:t>the</w:t>
      </w:r>
      <w:proofErr w:type="spellEnd"/>
      <w:r>
        <w:rPr>
          <w:sz w:val="22"/>
          <w:szCs w:val="22"/>
          <w:lang w:val="es-ES"/>
        </w:rPr>
        <w:t xml:space="preserve"> meter </w:t>
      </w:r>
      <w:proofErr w:type="spellStart"/>
      <w:r>
        <w:rPr>
          <w:sz w:val="22"/>
          <w:szCs w:val="22"/>
          <w:lang w:val="es-ES"/>
        </w:rPr>
        <w:t>was</w:t>
      </w:r>
      <w:proofErr w:type="spellEnd"/>
      <w:r>
        <w:rPr>
          <w:sz w:val="22"/>
          <w:szCs w:val="22"/>
          <w:lang w:val="es-ES"/>
        </w:rPr>
        <w:t xml:space="preserve"> </w:t>
      </w:r>
      <w:proofErr w:type="spellStart"/>
      <w:r>
        <w:rPr>
          <w:sz w:val="22"/>
          <w:szCs w:val="22"/>
          <w:lang w:val="es-ES"/>
        </w:rPr>
        <w:t>designed</w:t>
      </w:r>
      <w:proofErr w:type="spellEnd"/>
      <w:r>
        <w:rPr>
          <w:sz w:val="22"/>
          <w:szCs w:val="22"/>
          <w:lang w:val="es-ES"/>
        </w:rPr>
        <w:t xml:space="preserve"> </w:t>
      </w:r>
      <w:proofErr w:type="spellStart"/>
      <w:r>
        <w:rPr>
          <w:sz w:val="22"/>
          <w:szCs w:val="22"/>
          <w:lang w:val="es-ES"/>
        </w:rPr>
        <w:t>is</w:t>
      </w:r>
      <w:proofErr w:type="spellEnd"/>
      <w:r>
        <w:rPr>
          <w:sz w:val="22"/>
          <w:szCs w:val="22"/>
          <w:lang w:val="es-ES"/>
        </w:rPr>
        <w:t xml:space="preserve"> </w:t>
      </w:r>
      <w:proofErr w:type="spellStart"/>
      <w:r>
        <w:rPr>
          <w:sz w:val="22"/>
          <w:szCs w:val="22"/>
          <w:lang w:val="es-ES"/>
        </w:rPr>
        <w:t>detected</w:t>
      </w:r>
      <w:proofErr w:type="spellEnd"/>
      <w:r>
        <w:rPr>
          <w:sz w:val="22"/>
          <w:szCs w:val="22"/>
          <w:lang w:val="es-ES"/>
        </w:rPr>
        <w:t xml:space="preserve"> and </w:t>
      </w:r>
      <w:proofErr w:type="spellStart"/>
      <w:r>
        <w:rPr>
          <w:sz w:val="22"/>
          <w:szCs w:val="22"/>
          <w:lang w:val="es-ES"/>
        </w:rPr>
        <w:t>recorded</w:t>
      </w:r>
      <w:proofErr w:type="spellEnd"/>
      <w:r>
        <w:rPr>
          <w:sz w:val="22"/>
          <w:szCs w:val="22"/>
          <w:lang w:val="es-ES"/>
        </w:rPr>
        <w:t>.</w:t>
      </w:r>
    </w:p>
    <w:p w14:paraId="6A8717A6" w14:textId="77777777" w:rsidR="00E255F4" w:rsidRDefault="00000000">
      <w:pPr>
        <w:numPr>
          <w:ilvl w:val="3"/>
          <w:numId w:val="18"/>
        </w:numPr>
        <w:tabs>
          <w:tab w:val="left" w:pos="1134"/>
        </w:tabs>
        <w:spacing w:after="80"/>
        <w:ind w:left="1418" w:hanging="284"/>
        <w:jc w:val="both"/>
        <w:rPr>
          <w:sz w:val="22"/>
          <w:szCs w:val="22"/>
          <w:lang w:val="es-ES"/>
        </w:rPr>
      </w:pPr>
      <w:r>
        <w:rPr>
          <w:sz w:val="22"/>
          <w:szCs w:val="22"/>
          <w:lang w:val="es-ES"/>
        </w:rPr>
        <w:t xml:space="preserve">Peak </w:t>
      </w:r>
      <w:proofErr w:type="spellStart"/>
      <w:r>
        <w:rPr>
          <w:sz w:val="22"/>
          <w:szCs w:val="22"/>
          <w:lang w:val="es-ES"/>
        </w:rPr>
        <w:t>flow</w:t>
      </w:r>
      <w:proofErr w:type="spellEnd"/>
      <w:r>
        <w:rPr>
          <w:sz w:val="22"/>
          <w:szCs w:val="22"/>
          <w:lang w:val="es-ES"/>
        </w:rPr>
        <w:t xml:space="preserve"> </w:t>
      </w:r>
      <w:proofErr w:type="spellStart"/>
      <w:r>
        <w:rPr>
          <w:sz w:val="22"/>
          <w:szCs w:val="22"/>
          <w:lang w:val="es-ES"/>
        </w:rPr>
        <w:t>rate</w:t>
      </w:r>
      <w:proofErr w:type="spellEnd"/>
      <w:r>
        <w:rPr>
          <w:sz w:val="22"/>
          <w:szCs w:val="22"/>
          <w:lang w:val="es-ES"/>
        </w:rPr>
        <w:t xml:space="preserve">: </w:t>
      </w:r>
      <w:proofErr w:type="spellStart"/>
      <w:r>
        <w:rPr>
          <w:sz w:val="22"/>
          <w:szCs w:val="22"/>
          <w:lang w:val="es-ES"/>
        </w:rPr>
        <w:t>corresponds</w:t>
      </w:r>
      <w:proofErr w:type="spellEnd"/>
      <w:r>
        <w:rPr>
          <w:sz w:val="22"/>
          <w:szCs w:val="22"/>
          <w:lang w:val="es-ES"/>
        </w:rPr>
        <w:t xml:space="preserve"> </w:t>
      </w:r>
      <w:proofErr w:type="spellStart"/>
      <w:r>
        <w:rPr>
          <w:sz w:val="22"/>
          <w:szCs w:val="22"/>
          <w:lang w:val="es-ES"/>
        </w:rPr>
        <w:t>to</w:t>
      </w:r>
      <w:proofErr w:type="spellEnd"/>
      <w:r>
        <w:rPr>
          <w:sz w:val="22"/>
          <w:szCs w:val="22"/>
          <w:lang w:val="es-ES"/>
        </w:rPr>
        <w:t xml:space="preserve"> </w:t>
      </w:r>
      <w:proofErr w:type="spellStart"/>
      <w:r>
        <w:rPr>
          <w:sz w:val="22"/>
          <w:szCs w:val="22"/>
          <w:lang w:val="es-ES"/>
        </w:rPr>
        <w:t>the</w:t>
      </w:r>
      <w:proofErr w:type="spellEnd"/>
      <w:r>
        <w:rPr>
          <w:sz w:val="22"/>
          <w:szCs w:val="22"/>
          <w:lang w:val="es-ES"/>
        </w:rPr>
        <w:t xml:space="preserve"> </w:t>
      </w:r>
      <w:proofErr w:type="spellStart"/>
      <w:r>
        <w:rPr>
          <w:sz w:val="22"/>
          <w:szCs w:val="22"/>
          <w:lang w:val="es-ES"/>
        </w:rPr>
        <w:t>situation</w:t>
      </w:r>
      <w:proofErr w:type="spellEnd"/>
      <w:r>
        <w:rPr>
          <w:sz w:val="22"/>
          <w:szCs w:val="22"/>
          <w:lang w:val="es-ES"/>
        </w:rPr>
        <w:t xml:space="preserve"> </w:t>
      </w:r>
      <w:proofErr w:type="spellStart"/>
      <w:r>
        <w:rPr>
          <w:sz w:val="22"/>
          <w:szCs w:val="22"/>
          <w:lang w:val="es-ES"/>
        </w:rPr>
        <w:t>where</w:t>
      </w:r>
      <w:proofErr w:type="spellEnd"/>
      <w:r>
        <w:rPr>
          <w:sz w:val="22"/>
          <w:szCs w:val="22"/>
          <w:lang w:val="es-ES"/>
        </w:rPr>
        <w:t xml:space="preserve">, in </w:t>
      </w:r>
      <w:proofErr w:type="spellStart"/>
      <w:r>
        <w:rPr>
          <w:sz w:val="22"/>
          <w:szCs w:val="22"/>
          <w:lang w:val="es-ES"/>
        </w:rPr>
        <w:t>the</w:t>
      </w:r>
      <w:proofErr w:type="spellEnd"/>
      <w:r>
        <w:rPr>
          <w:sz w:val="22"/>
          <w:szCs w:val="22"/>
          <w:lang w:val="es-ES"/>
        </w:rPr>
        <w:t xml:space="preserve"> </w:t>
      </w:r>
      <w:proofErr w:type="spellStart"/>
      <w:r>
        <w:rPr>
          <w:sz w:val="22"/>
          <w:szCs w:val="22"/>
          <w:lang w:val="es-ES"/>
        </w:rPr>
        <w:t>instance</w:t>
      </w:r>
      <w:proofErr w:type="spellEnd"/>
      <w:r>
        <w:rPr>
          <w:sz w:val="22"/>
          <w:szCs w:val="22"/>
          <w:lang w:val="es-ES"/>
        </w:rPr>
        <w:t xml:space="preserve"> </w:t>
      </w:r>
      <w:proofErr w:type="spellStart"/>
      <w:r>
        <w:rPr>
          <w:sz w:val="22"/>
          <w:szCs w:val="22"/>
          <w:lang w:val="es-ES"/>
        </w:rPr>
        <w:t>of</w:t>
      </w:r>
      <w:proofErr w:type="spellEnd"/>
      <w:r>
        <w:rPr>
          <w:sz w:val="22"/>
          <w:szCs w:val="22"/>
          <w:lang w:val="es-ES"/>
        </w:rPr>
        <w:t xml:space="preserve"> </w:t>
      </w:r>
      <w:proofErr w:type="spellStart"/>
      <w:r>
        <w:rPr>
          <w:sz w:val="22"/>
          <w:szCs w:val="22"/>
          <w:lang w:val="es-ES"/>
        </w:rPr>
        <w:t>measuring</w:t>
      </w:r>
      <w:proofErr w:type="spellEnd"/>
      <w:r>
        <w:rPr>
          <w:sz w:val="22"/>
          <w:szCs w:val="22"/>
          <w:lang w:val="es-ES"/>
        </w:rPr>
        <w:t xml:space="preserve"> </w:t>
      </w:r>
      <w:proofErr w:type="spellStart"/>
      <w:r>
        <w:rPr>
          <w:sz w:val="22"/>
          <w:szCs w:val="22"/>
          <w:lang w:val="es-ES"/>
        </w:rPr>
        <w:t>the</w:t>
      </w:r>
      <w:proofErr w:type="spellEnd"/>
      <w:r>
        <w:rPr>
          <w:sz w:val="22"/>
          <w:szCs w:val="22"/>
          <w:lang w:val="es-ES"/>
        </w:rPr>
        <w:t xml:space="preserve"> </w:t>
      </w:r>
      <w:proofErr w:type="spellStart"/>
      <w:r>
        <w:rPr>
          <w:sz w:val="22"/>
          <w:szCs w:val="22"/>
          <w:lang w:val="es-ES"/>
        </w:rPr>
        <w:t>instantaneous</w:t>
      </w:r>
      <w:proofErr w:type="spellEnd"/>
      <w:r>
        <w:rPr>
          <w:sz w:val="22"/>
          <w:szCs w:val="22"/>
          <w:lang w:val="es-ES"/>
        </w:rPr>
        <w:t xml:space="preserve"> </w:t>
      </w:r>
      <w:proofErr w:type="spellStart"/>
      <w:r>
        <w:rPr>
          <w:sz w:val="22"/>
          <w:szCs w:val="22"/>
          <w:lang w:val="es-ES"/>
        </w:rPr>
        <w:t>flow</w:t>
      </w:r>
      <w:proofErr w:type="spellEnd"/>
      <w:r>
        <w:rPr>
          <w:sz w:val="22"/>
          <w:szCs w:val="22"/>
          <w:lang w:val="es-ES"/>
        </w:rPr>
        <w:t xml:space="preserve"> </w:t>
      </w:r>
      <w:proofErr w:type="spellStart"/>
      <w:r>
        <w:rPr>
          <w:sz w:val="22"/>
          <w:szCs w:val="22"/>
          <w:lang w:val="es-ES"/>
        </w:rPr>
        <w:t>rate</w:t>
      </w:r>
      <w:proofErr w:type="spellEnd"/>
      <w:r>
        <w:rPr>
          <w:sz w:val="22"/>
          <w:szCs w:val="22"/>
          <w:lang w:val="es-ES"/>
        </w:rPr>
        <w:t xml:space="preserve"> </w:t>
      </w:r>
      <w:proofErr w:type="spellStart"/>
      <w:r>
        <w:rPr>
          <w:sz w:val="22"/>
          <w:szCs w:val="22"/>
          <w:lang w:val="es-ES"/>
        </w:rPr>
        <w:t>of</w:t>
      </w:r>
      <w:proofErr w:type="spellEnd"/>
      <w:r>
        <w:rPr>
          <w:sz w:val="22"/>
          <w:szCs w:val="22"/>
          <w:lang w:val="es-ES"/>
        </w:rPr>
        <w:t xml:space="preserve"> </w:t>
      </w:r>
      <w:proofErr w:type="spellStart"/>
      <w:r>
        <w:rPr>
          <w:sz w:val="22"/>
          <w:szCs w:val="22"/>
          <w:lang w:val="es-ES"/>
        </w:rPr>
        <w:t>the</w:t>
      </w:r>
      <w:proofErr w:type="spellEnd"/>
      <w:r>
        <w:rPr>
          <w:sz w:val="22"/>
          <w:szCs w:val="22"/>
          <w:lang w:val="es-ES"/>
        </w:rPr>
        <w:t xml:space="preserve"> </w:t>
      </w:r>
      <w:proofErr w:type="spellStart"/>
      <w:r>
        <w:rPr>
          <w:sz w:val="22"/>
          <w:szCs w:val="22"/>
          <w:lang w:val="es-ES"/>
        </w:rPr>
        <w:t>water</w:t>
      </w:r>
      <w:proofErr w:type="spellEnd"/>
      <w:r>
        <w:rPr>
          <w:sz w:val="22"/>
          <w:szCs w:val="22"/>
          <w:lang w:val="es-ES"/>
        </w:rPr>
        <w:t xml:space="preserve"> </w:t>
      </w:r>
      <w:proofErr w:type="spellStart"/>
      <w:r>
        <w:rPr>
          <w:sz w:val="22"/>
          <w:szCs w:val="22"/>
          <w:lang w:val="es-ES"/>
        </w:rPr>
        <w:t>circulating</w:t>
      </w:r>
      <w:proofErr w:type="spellEnd"/>
      <w:r>
        <w:rPr>
          <w:sz w:val="22"/>
          <w:szCs w:val="22"/>
          <w:lang w:val="es-ES"/>
        </w:rPr>
        <w:t xml:space="preserve"> </w:t>
      </w:r>
      <w:proofErr w:type="spellStart"/>
      <w:r>
        <w:rPr>
          <w:sz w:val="22"/>
          <w:szCs w:val="22"/>
          <w:lang w:val="es-ES"/>
        </w:rPr>
        <w:t>through</w:t>
      </w:r>
      <w:proofErr w:type="spellEnd"/>
      <w:r>
        <w:rPr>
          <w:sz w:val="22"/>
          <w:szCs w:val="22"/>
          <w:lang w:val="es-ES"/>
        </w:rPr>
        <w:t xml:space="preserve"> </w:t>
      </w:r>
      <w:proofErr w:type="spellStart"/>
      <w:r>
        <w:rPr>
          <w:sz w:val="22"/>
          <w:szCs w:val="22"/>
          <w:lang w:val="es-ES"/>
        </w:rPr>
        <w:t>the</w:t>
      </w:r>
      <w:proofErr w:type="spellEnd"/>
      <w:r>
        <w:rPr>
          <w:sz w:val="22"/>
          <w:szCs w:val="22"/>
          <w:lang w:val="es-ES"/>
        </w:rPr>
        <w:t xml:space="preserve"> meter, </w:t>
      </w:r>
      <w:proofErr w:type="spellStart"/>
      <w:r>
        <w:rPr>
          <w:sz w:val="22"/>
          <w:szCs w:val="22"/>
          <w:lang w:val="es-ES"/>
        </w:rPr>
        <w:t>it</w:t>
      </w:r>
      <w:proofErr w:type="spellEnd"/>
      <w:r>
        <w:rPr>
          <w:sz w:val="22"/>
          <w:szCs w:val="22"/>
          <w:lang w:val="es-ES"/>
        </w:rPr>
        <w:t xml:space="preserve"> </w:t>
      </w:r>
      <w:proofErr w:type="spellStart"/>
      <w:r>
        <w:rPr>
          <w:sz w:val="22"/>
          <w:szCs w:val="22"/>
          <w:lang w:val="es-ES"/>
        </w:rPr>
        <w:t>is</w:t>
      </w:r>
      <w:proofErr w:type="spellEnd"/>
      <w:r>
        <w:rPr>
          <w:sz w:val="22"/>
          <w:szCs w:val="22"/>
          <w:lang w:val="es-ES"/>
        </w:rPr>
        <w:t xml:space="preserve"> </w:t>
      </w:r>
      <w:proofErr w:type="spellStart"/>
      <w:r>
        <w:rPr>
          <w:sz w:val="22"/>
          <w:szCs w:val="22"/>
          <w:lang w:val="es-ES"/>
        </w:rPr>
        <w:t>detected</w:t>
      </w:r>
      <w:proofErr w:type="spellEnd"/>
      <w:r>
        <w:rPr>
          <w:sz w:val="22"/>
          <w:szCs w:val="22"/>
          <w:lang w:val="es-ES"/>
        </w:rPr>
        <w:t xml:space="preserve"> </w:t>
      </w:r>
      <w:proofErr w:type="spellStart"/>
      <w:r>
        <w:rPr>
          <w:sz w:val="22"/>
          <w:szCs w:val="22"/>
          <w:lang w:val="es-ES"/>
        </w:rPr>
        <w:t>that</w:t>
      </w:r>
      <w:proofErr w:type="spellEnd"/>
      <w:r>
        <w:rPr>
          <w:sz w:val="22"/>
          <w:szCs w:val="22"/>
          <w:lang w:val="es-ES"/>
        </w:rPr>
        <w:t xml:space="preserve"> </w:t>
      </w:r>
      <w:proofErr w:type="spellStart"/>
      <w:r>
        <w:rPr>
          <w:sz w:val="22"/>
          <w:szCs w:val="22"/>
          <w:lang w:val="es-ES"/>
        </w:rPr>
        <w:t>said</w:t>
      </w:r>
      <w:proofErr w:type="spellEnd"/>
      <w:r>
        <w:rPr>
          <w:sz w:val="22"/>
          <w:szCs w:val="22"/>
          <w:lang w:val="es-ES"/>
        </w:rPr>
        <w:t xml:space="preserve"> </w:t>
      </w:r>
      <w:proofErr w:type="spellStart"/>
      <w:r>
        <w:rPr>
          <w:sz w:val="22"/>
          <w:szCs w:val="22"/>
          <w:lang w:val="es-ES"/>
        </w:rPr>
        <w:t>flow</w:t>
      </w:r>
      <w:proofErr w:type="spellEnd"/>
      <w:r>
        <w:rPr>
          <w:sz w:val="22"/>
          <w:szCs w:val="22"/>
          <w:lang w:val="es-ES"/>
        </w:rPr>
        <w:t xml:space="preserve"> </w:t>
      </w:r>
      <w:proofErr w:type="spellStart"/>
      <w:r>
        <w:rPr>
          <w:sz w:val="22"/>
          <w:szCs w:val="22"/>
          <w:lang w:val="es-ES"/>
        </w:rPr>
        <w:t>rate</w:t>
      </w:r>
      <w:proofErr w:type="spellEnd"/>
      <w:r>
        <w:rPr>
          <w:sz w:val="22"/>
          <w:szCs w:val="22"/>
          <w:lang w:val="es-ES"/>
        </w:rPr>
        <w:t xml:space="preserve"> </w:t>
      </w:r>
      <w:proofErr w:type="spellStart"/>
      <w:r>
        <w:rPr>
          <w:sz w:val="22"/>
          <w:szCs w:val="22"/>
          <w:lang w:val="es-ES"/>
        </w:rPr>
        <w:t>exceeds</w:t>
      </w:r>
      <w:proofErr w:type="spellEnd"/>
      <w:r>
        <w:rPr>
          <w:sz w:val="22"/>
          <w:szCs w:val="22"/>
          <w:lang w:val="es-ES"/>
        </w:rPr>
        <w:t xml:space="preserve"> </w:t>
      </w:r>
      <w:proofErr w:type="spellStart"/>
      <w:r>
        <w:rPr>
          <w:sz w:val="22"/>
          <w:szCs w:val="22"/>
          <w:lang w:val="es-ES"/>
        </w:rPr>
        <w:t>the</w:t>
      </w:r>
      <w:proofErr w:type="spellEnd"/>
      <w:r>
        <w:rPr>
          <w:sz w:val="22"/>
          <w:szCs w:val="22"/>
          <w:lang w:val="es-ES"/>
        </w:rPr>
        <w:t xml:space="preserve"> </w:t>
      </w:r>
      <w:proofErr w:type="spellStart"/>
      <w:r>
        <w:rPr>
          <w:sz w:val="22"/>
          <w:szCs w:val="22"/>
          <w:lang w:val="es-ES"/>
        </w:rPr>
        <w:t>maximum</w:t>
      </w:r>
      <w:proofErr w:type="spellEnd"/>
      <w:r>
        <w:rPr>
          <w:sz w:val="22"/>
          <w:szCs w:val="22"/>
          <w:lang w:val="es-ES"/>
        </w:rPr>
        <w:t xml:space="preserve"> </w:t>
      </w:r>
      <w:proofErr w:type="spellStart"/>
      <w:r>
        <w:rPr>
          <w:sz w:val="22"/>
          <w:szCs w:val="22"/>
          <w:lang w:val="es-ES"/>
        </w:rPr>
        <w:t>pre-established</w:t>
      </w:r>
      <w:proofErr w:type="spellEnd"/>
      <w:r>
        <w:rPr>
          <w:sz w:val="22"/>
          <w:szCs w:val="22"/>
          <w:lang w:val="es-ES"/>
        </w:rPr>
        <w:t xml:space="preserve"> </w:t>
      </w:r>
      <w:proofErr w:type="spellStart"/>
      <w:r>
        <w:rPr>
          <w:sz w:val="22"/>
          <w:szCs w:val="22"/>
          <w:lang w:val="es-ES"/>
        </w:rPr>
        <w:t>value</w:t>
      </w:r>
      <w:proofErr w:type="spellEnd"/>
      <w:r>
        <w:rPr>
          <w:sz w:val="22"/>
          <w:szCs w:val="22"/>
          <w:lang w:val="es-ES"/>
        </w:rPr>
        <w:t>.</w:t>
      </w:r>
    </w:p>
    <w:p w14:paraId="5BA319F0" w14:textId="77777777" w:rsidR="00E255F4" w:rsidRDefault="00000000">
      <w:pPr>
        <w:numPr>
          <w:ilvl w:val="3"/>
          <w:numId w:val="18"/>
        </w:numPr>
        <w:tabs>
          <w:tab w:val="left" w:pos="1134"/>
        </w:tabs>
        <w:spacing w:after="80"/>
        <w:ind w:left="1418" w:hanging="284"/>
        <w:jc w:val="both"/>
        <w:rPr>
          <w:sz w:val="22"/>
          <w:szCs w:val="22"/>
          <w:lang w:val="es-ES"/>
        </w:rPr>
      </w:pPr>
      <w:r>
        <w:rPr>
          <w:sz w:val="22"/>
          <w:szCs w:val="22"/>
          <w:lang w:val="es-ES"/>
        </w:rPr>
        <w:t xml:space="preserve">Low </w:t>
      </w:r>
      <w:proofErr w:type="spellStart"/>
      <w:r>
        <w:rPr>
          <w:sz w:val="22"/>
          <w:szCs w:val="22"/>
          <w:lang w:val="es-ES"/>
        </w:rPr>
        <w:t>battery</w:t>
      </w:r>
      <w:proofErr w:type="spellEnd"/>
      <w:r>
        <w:rPr>
          <w:sz w:val="22"/>
          <w:szCs w:val="22"/>
          <w:lang w:val="es-ES"/>
        </w:rPr>
        <w:t xml:space="preserve">: </w:t>
      </w:r>
      <w:proofErr w:type="spellStart"/>
      <w:r>
        <w:rPr>
          <w:sz w:val="22"/>
          <w:szCs w:val="22"/>
          <w:lang w:val="es-ES"/>
        </w:rPr>
        <w:t>This</w:t>
      </w:r>
      <w:proofErr w:type="spellEnd"/>
      <w:r>
        <w:rPr>
          <w:sz w:val="22"/>
          <w:szCs w:val="22"/>
          <w:lang w:val="es-ES"/>
        </w:rPr>
        <w:t xml:space="preserve"> </w:t>
      </w:r>
      <w:proofErr w:type="spellStart"/>
      <w:r>
        <w:rPr>
          <w:sz w:val="22"/>
          <w:szCs w:val="22"/>
          <w:lang w:val="es-ES"/>
        </w:rPr>
        <w:t>refers</w:t>
      </w:r>
      <w:proofErr w:type="spellEnd"/>
      <w:r>
        <w:rPr>
          <w:sz w:val="22"/>
          <w:szCs w:val="22"/>
          <w:lang w:val="es-ES"/>
        </w:rPr>
        <w:t xml:space="preserve"> </w:t>
      </w:r>
      <w:proofErr w:type="spellStart"/>
      <w:r>
        <w:rPr>
          <w:sz w:val="22"/>
          <w:szCs w:val="22"/>
          <w:lang w:val="es-ES"/>
        </w:rPr>
        <w:t>to</w:t>
      </w:r>
      <w:proofErr w:type="spellEnd"/>
      <w:r>
        <w:rPr>
          <w:sz w:val="22"/>
          <w:szCs w:val="22"/>
          <w:lang w:val="es-ES"/>
        </w:rPr>
        <w:t xml:space="preserve"> </w:t>
      </w:r>
      <w:proofErr w:type="spellStart"/>
      <w:r>
        <w:rPr>
          <w:sz w:val="22"/>
          <w:szCs w:val="22"/>
          <w:lang w:val="es-ES"/>
        </w:rPr>
        <w:t>the</w:t>
      </w:r>
      <w:proofErr w:type="spellEnd"/>
      <w:r>
        <w:rPr>
          <w:sz w:val="22"/>
          <w:szCs w:val="22"/>
          <w:lang w:val="es-ES"/>
        </w:rPr>
        <w:t xml:space="preserve"> </w:t>
      </w:r>
      <w:proofErr w:type="spellStart"/>
      <w:r>
        <w:rPr>
          <w:sz w:val="22"/>
          <w:szCs w:val="22"/>
          <w:lang w:val="es-ES"/>
        </w:rPr>
        <w:t>battery's</w:t>
      </w:r>
      <w:proofErr w:type="spellEnd"/>
      <w:r>
        <w:rPr>
          <w:sz w:val="22"/>
          <w:szCs w:val="22"/>
          <w:lang w:val="es-ES"/>
        </w:rPr>
        <w:t xml:space="preserve"> </w:t>
      </w:r>
      <w:proofErr w:type="spellStart"/>
      <w:r>
        <w:rPr>
          <w:sz w:val="22"/>
          <w:szCs w:val="22"/>
          <w:lang w:val="es-ES"/>
        </w:rPr>
        <w:t>state</w:t>
      </w:r>
      <w:proofErr w:type="spellEnd"/>
      <w:r>
        <w:rPr>
          <w:sz w:val="22"/>
          <w:szCs w:val="22"/>
          <w:lang w:val="es-ES"/>
        </w:rPr>
        <w:t xml:space="preserve"> </w:t>
      </w:r>
      <w:proofErr w:type="spellStart"/>
      <w:r>
        <w:rPr>
          <w:sz w:val="22"/>
          <w:szCs w:val="22"/>
          <w:lang w:val="es-ES"/>
        </w:rPr>
        <w:t>of</w:t>
      </w:r>
      <w:proofErr w:type="spellEnd"/>
      <w:r>
        <w:rPr>
          <w:sz w:val="22"/>
          <w:szCs w:val="22"/>
          <w:lang w:val="es-ES"/>
        </w:rPr>
        <w:t xml:space="preserve"> </w:t>
      </w:r>
      <w:proofErr w:type="spellStart"/>
      <w:r>
        <w:rPr>
          <w:sz w:val="22"/>
          <w:szCs w:val="22"/>
          <w:lang w:val="es-ES"/>
        </w:rPr>
        <w:t>charge</w:t>
      </w:r>
      <w:proofErr w:type="spellEnd"/>
      <w:r>
        <w:rPr>
          <w:sz w:val="22"/>
          <w:szCs w:val="22"/>
          <w:lang w:val="es-ES"/>
        </w:rPr>
        <w:t xml:space="preserve"> </w:t>
      </w:r>
      <w:proofErr w:type="spellStart"/>
      <w:r>
        <w:rPr>
          <w:sz w:val="22"/>
          <w:szCs w:val="22"/>
          <w:lang w:val="es-ES"/>
        </w:rPr>
        <w:t>when</w:t>
      </w:r>
      <w:proofErr w:type="spellEnd"/>
      <w:r>
        <w:rPr>
          <w:sz w:val="22"/>
          <w:szCs w:val="22"/>
          <w:lang w:val="es-ES"/>
        </w:rPr>
        <w:t xml:space="preserve"> </w:t>
      </w:r>
      <w:proofErr w:type="spellStart"/>
      <w:r>
        <w:rPr>
          <w:sz w:val="22"/>
          <w:szCs w:val="22"/>
          <w:lang w:val="es-ES"/>
        </w:rPr>
        <w:t>it</w:t>
      </w:r>
      <w:proofErr w:type="spellEnd"/>
      <w:r>
        <w:rPr>
          <w:sz w:val="22"/>
          <w:szCs w:val="22"/>
          <w:lang w:val="es-ES"/>
        </w:rPr>
        <w:t xml:space="preserve"> </w:t>
      </w:r>
      <w:proofErr w:type="spellStart"/>
      <w:r>
        <w:rPr>
          <w:sz w:val="22"/>
          <w:szCs w:val="22"/>
          <w:lang w:val="es-ES"/>
        </w:rPr>
        <w:t>falls</w:t>
      </w:r>
      <w:proofErr w:type="spellEnd"/>
      <w:r>
        <w:rPr>
          <w:sz w:val="22"/>
          <w:szCs w:val="22"/>
          <w:lang w:val="es-ES"/>
        </w:rPr>
        <w:t xml:space="preserve"> </w:t>
      </w:r>
      <w:proofErr w:type="spellStart"/>
      <w:r>
        <w:rPr>
          <w:sz w:val="22"/>
          <w:szCs w:val="22"/>
          <w:lang w:val="es-ES"/>
        </w:rPr>
        <w:t>below</w:t>
      </w:r>
      <w:proofErr w:type="spellEnd"/>
      <w:r>
        <w:rPr>
          <w:sz w:val="22"/>
          <w:szCs w:val="22"/>
          <w:lang w:val="es-ES"/>
        </w:rPr>
        <w:t xml:space="preserve"> </w:t>
      </w:r>
      <w:proofErr w:type="spellStart"/>
      <w:r>
        <w:rPr>
          <w:sz w:val="22"/>
          <w:szCs w:val="22"/>
          <w:lang w:val="es-ES"/>
        </w:rPr>
        <w:t>the</w:t>
      </w:r>
      <w:proofErr w:type="spellEnd"/>
      <w:r>
        <w:rPr>
          <w:sz w:val="22"/>
          <w:szCs w:val="22"/>
          <w:lang w:val="es-ES"/>
        </w:rPr>
        <w:t xml:space="preserve"> </w:t>
      </w:r>
      <w:proofErr w:type="spellStart"/>
      <w:r>
        <w:rPr>
          <w:sz w:val="22"/>
          <w:szCs w:val="22"/>
          <w:lang w:val="es-ES"/>
        </w:rPr>
        <w:t>threshold</w:t>
      </w:r>
      <w:proofErr w:type="spellEnd"/>
      <w:r>
        <w:rPr>
          <w:sz w:val="22"/>
          <w:szCs w:val="22"/>
          <w:lang w:val="es-ES"/>
        </w:rPr>
        <w:t xml:space="preserve"> set </w:t>
      </w:r>
      <w:proofErr w:type="spellStart"/>
      <w:r>
        <w:rPr>
          <w:sz w:val="22"/>
          <w:szCs w:val="22"/>
          <w:lang w:val="es-ES"/>
        </w:rPr>
        <w:t>by</w:t>
      </w:r>
      <w:proofErr w:type="spellEnd"/>
      <w:r>
        <w:rPr>
          <w:sz w:val="22"/>
          <w:szCs w:val="22"/>
          <w:lang w:val="es-ES"/>
        </w:rPr>
        <w:t xml:space="preserve"> </w:t>
      </w:r>
      <w:proofErr w:type="spellStart"/>
      <w:r>
        <w:rPr>
          <w:sz w:val="22"/>
          <w:szCs w:val="22"/>
          <w:lang w:val="es-ES"/>
        </w:rPr>
        <w:t>the</w:t>
      </w:r>
      <w:proofErr w:type="spellEnd"/>
      <w:r>
        <w:rPr>
          <w:sz w:val="22"/>
          <w:szCs w:val="22"/>
          <w:lang w:val="es-ES"/>
        </w:rPr>
        <w:t xml:space="preserve"> </w:t>
      </w:r>
      <w:proofErr w:type="spellStart"/>
      <w:r>
        <w:rPr>
          <w:sz w:val="22"/>
          <w:szCs w:val="22"/>
          <w:lang w:val="es-ES"/>
        </w:rPr>
        <w:t>manufacturer</w:t>
      </w:r>
      <w:proofErr w:type="spellEnd"/>
      <w:r>
        <w:rPr>
          <w:sz w:val="22"/>
          <w:szCs w:val="22"/>
          <w:lang w:val="es-ES"/>
        </w:rPr>
        <w:t>.</w:t>
      </w:r>
    </w:p>
    <w:p w14:paraId="1B26F5D7" w14:textId="77777777" w:rsidR="00E255F4" w:rsidRDefault="00E255F4">
      <w:pPr>
        <w:pStyle w:val="Prrafodelista"/>
        <w:ind w:left="0"/>
        <w:rPr>
          <w:vanish/>
          <w:color w:val="000000"/>
          <w:sz w:val="22"/>
          <w:szCs w:val="22"/>
          <w:lang w:val="es-ES"/>
        </w:rPr>
      </w:pPr>
    </w:p>
    <w:p w14:paraId="40B1F0ED" w14:textId="77777777" w:rsidR="00E255F4" w:rsidRDefault="00E255F4">
      <w:pPr>
        <w:pStyle w:val="Ttulo2"/>
        <w:numPr>
          <w:ilvl w:val="0"/>
          <w:numId w:val="0"/>
        </w:numPr>
        <w:spacing w:after="240"/>
        <w:rPr>
          <w:rFonts w:ascii="Times New Roman" w:hAnsi="Times New Roman" w:cs="Times New Roman"/>
          <w:i w:val="0"/>
          <w:vanish/>
          <w:color w:val="000000"/>
          <w:sz w:val="24"/>
          <w:szCs w:val="24"/>
          <w:lang w:val="es-ES"/>
        </w:rPr>
      </w:pPr>
    </w:p>
    <w:p w14:paraId="05749A4E" w14:textId="77777777" w:rsidR="00E255F4" w:rsidRDefault="00000000">
      <w:pPr>
        <w:pStyle w:val="Ttulo2"/>
        <w:numPr>
          <w:ilvl w:val="0"/>
          <w:numId w:val="0"/>
        </w:numPr>
        <w:spacing w:after="240"/>
        <w:ind w:left="709" w:hanging="709"/>
      </w:pPr>
      <w:bookmarkStart w:id="103" w:name="__RefHeading___Toc141_3847131730"/>
      <w:bookmarkStart w:id="104" w:name="__RefHeading___Toc225377267"/>
      <w:bookmarkEnd w:id="103"/>
      <w:r>
        <w:rPr>
          <w:rFonts w:ascii="Times New Roman" w:hAnsi="Times New Roman" w:cs="Times New Roman"/>
          <w:i w:val="0"/>
          <w:sz w:val="24"/>
          <w:szCs w:val="24"/>
          <w:lang w:val="es-UY"/>
        </w:rPr>
        <w:t>4</w:t>
      </w:r>
      <w:r>
        <w:rPr>
          <w:rFonts w:ascii="Times New Roman" w:hAnsi="Times New Roman" w:cs="Times New Roman"/>
          <w:i w:val="0"/>
          <w:sz w:val="24"/>
          <w:szCs w:val="24"/>
          <w:lang w:val="es-UY"/>
        </w:rPr>
        <w:tab/>
      </w:r>
      <w:r>
        <w:rPr>
          <w:rFonts w:ascii="Times New Roman" w:hAnsi="Times New Roman" w:cs="Times New Roman"/>
          <w:i w:val="0"/>
          <w:sz w:val="24"/>
          <w:szCs w:val="24"/>
        </w:rPr>
        <w:t>CHARACTERISTICS OF DATA RECEPTION AND SOFTWARE APPLICATIONS</w:t>
      </w:r>
      <w:bookmarkEnd w:id="104"/>
    </w:p>
    <w:p w14:paraId="65504C85" w14:textId="77777777" w:rsidR="00E255F4" w:rsidRDefault="00000000">
      <w:pPr>
        <w:pStyle w:val="Prrafodelista"/>
        <w:tabs>
          <w:tab w:val="left" w:pos="851"/>
        </w:tabs>
        <w:spacing w:after="120"/>
        <w:ind w:left="709" w:hanging="709"/>
        <w:jc w:val="both"/>
        <w:rPr>
          <w:color w:val="000000"/>
          <w:sz w:val="22"/>
          <w:szCs w:val="22"/>
          <w:lang w:val="es-ES_tradnl"/>
        </w:rPr>
      </w:pPr>
      <w:r>
        <w:rPr>
          <w:color w:val="000000"/>
          <w:sz w:val="22"/>
          <w:szCs w:val="22"/>
          <w:lang w:val="es-ES_tradnl"/>
        </w:rPr>
        <w:t xml:space="preserve">4.1The </w:t>
      </w:r>
      <w:proofErr w:type="spellStart"/>
      <w:r>
        <w:rPr>
          <w:color w:val="000000"/>
          <w:sz w:val="22"/>
          <w:szCs w:val="22"/>
          <w:lang w:val="es-ES_tradnl"/>
        </w:rPr>
        <w:t>successful</w:t>
      </w:r>
      <w:proofErr w:type="spellEnd"/>
      <w:r>
        <w:rPr>
          <w:color w:val="000000"/>
          <w:sz w:val="22"/>
          <w:szCs w:val="22"/>
          <w:lang w:val="es-ES_tradnl"/>
        </w:rPr>
        <w:t xml:space="preserve"> </w:t>
      </w:r>
      <w:proofErr w:type="spellStart"/>
      <w:r>
        <w:rPr>
          <w:color w:val="000000"/>
          <w:sz w:val="22"/>
          <w:szCs w:val="22"/>
          <w:lang w:val="es-ES_tradnl"/>
        </w:rPr>
        <w:t>bidder</w:t>
      </w:r>
      <w:proofErr w:type="spellEnd"/>
      <w:r>
        <w:rPr>
          <w:color w:val="000000"/>
          <w:sz w:val="22"/>
          <w:szCs w:val="22"/>
          <w:lang w:val="es-ES_tradnl"/>
        </w:rPr>
        <w:t xml:space="preserve"> </w:t>
      </w:r>
      <w:proofErr w:type="spellStart"/>
      <w:r>
        <w:rPr>
          <w:color w:val="000000"/>
          <w:sz w:val="22"/>
          <w:szCs w:val="22"/>
          <w:lang w:val="es-ES_tradnl"/>
        </w:rPr>
        <w:t>must</w:t>
      </w:r>
      <w:proofErr w:type="spellEnd"/>
      <w:r>
        <w:rPr>
          <w:color w:val="000000"/>
          <w:sz w:val="22"/>
          <w:szCs w:val="22"/>
          <w:lang w:val="es-ES_tradnl"/>
        </w:rPr>
        <w:t xml:space="preserve"> </w:t>
      </w:r>
      <w:proofErr w:type="spellStart"/>
      <w:r>
        <w:rPr>
          <w:color w:val="000000"/>
          <w:sz w:val="22"/>
          <w:szCs w:val="22"/>
          <w:lang w:val="es-ES_tradnl"/>
        </w:rPr>
        <w:t>provide</w:t>
      </w:r>
      <w:proofErr w:type="spellEnd"/>
      <w:r>
        <w:rPr>
          <w:color w:val="000000"/>
          <w:sz w:val="22"/>
          <w:szCs w:val="22"/>
          <w:lang w:val="es-ES_tradnl"/>
        </w:rPr>
        <w:t xml:space="preserve">, </w:t>
      </w:r>
      <w:proofErr w:type="spellStart"/>
      <w:r>
        <w:rPr>
          <w:color w:val="000000"/>
          <w:sz w:val="22"/>
          <w:szCs w:val="22"/>
          <w:lang w:val="es-ES_tradnl"/>
        </w:rPr>
        <w:t>install</w:t>
      </w:r>
      <w:proofErr w:type="spellEnd"/>
      <w:r>
        <w:rPr>
          <w:color w:val="000000"/>
          <w:sz w:val="22"/>
          <w:szCs w:val="22"/>
          <w:lang w:val="es-ES_tradnl"/>
        </w:rPr>
        <w:t xml:space="preserve"> and configure a Software </w:t>
      </w:r>
      <w:proofErr w:type="spellStart"/>
      <w:r>
        <w:rPr>
          <w:color w:val="000000"/>
          <w:sz w:val="22"/>
          <w:szCs w:val="22"/>
          <w:lang w:val="es-ES_tradnl"/>
        </w:rPr>
        <w:t>for</w:t>
      </w:r>
      <w:proofErr w:type="spellEnd"/>
      <w:r>
        <w:rPr>
          <w:color w:val="000000"/>
          <w:sz w:val="22"/>
          <w:szCs w:val="22"/>
          <w:lang w:val="es-ES_tradnl"/>
        </w:rPr>
        <w:t xml:space="preserve"> </w:t>
      </w:r>
      <w:proofErr w:type="spellStart"/>
      <w:r>
        <w:rPr>
          <w:color w:val="000000"/>
          <w:sz w:val="22"/>
          <w:szCs w:val="22"/>
          <w:lang w:val="es-ES_tradnl"/>
        </w:rPr>
        <w:t>the</w:t>
      </w:r>
      <w:proofErr w:type="spellEnd"/>
      <w:r>
        <w:rPr>
          <w:color w:val="000000"/>
          <w:sz w:val="22"/>
          <w:szCs w:val="22"/>
          <w:lang w:val="es-ES_tradnl"/>
        </w:rPr>
        <w:t xml:space="preserve"> </w:t>
      </w:r>
      <w:proofErr w:type="spellStart"/>
      <w:r>
        <w:rPr>
          <w:color w:val="000000"/>
          <w:sz w:val="22"/>
          <w:szCs w:val="22"/>
          <w:lang w:val="es-ES_tradnl"/>
        </w:rPr>
        <w:t>transmission-reception</w:t>
      </w:r>
      <w:proofErr w:type="spellEnd"/>
      <w:r>
        <w:rPr>
          <w:color w:val="000000"/>
          <w:sz w:val="22"/>
          <w:szCs w:val="22"/>
          <w:lang w:val="es-ES_tradnl"/>
        </w:rPr>
        <w:t xml:space="preserve"> </w:t>
      </w:r>
      <w:proofErr w:type="spellStart"/>
      <w:r>
        <w:rPr>
          <w:color w:val="000000"/>
          <w:sz w:val="22"/>
          <w:szCs w:val="22"/>
          <w:lang w:val="es-ES_tradnl"/>
        </w:rPr>
        <w:t>of</w:t>
      </w:r>
      <w:proofErr w:type="spellEnd"/>
      <w:r>
        <w:rPr>
          <w:color w:val="000000"/>
          <w:sz w:val="22"/>
          <w:szCs w:val="22"/>
          <w:lang w:val="es-ES_tradnl"/>
        </w:rPr>
        <w:t xml:space="preserve"> </w:t>
      </w:r>
      <w:proofErr w:type="spellStart"/>
      <w:r>
        <w:rPr>
          <w:color w:val="000000"/>
          <w:sz w:val="22"/>
          <w:szCs w:val="22"/>
          <w:lang w:val="es-ES_tradnl"/>
        </w:rPr>
        <w:t>the</w:t>
      </w:r>
      <w:proofErr w:type="spellEnd"/>
      <w:r>
        <w:rPr>
          <w:color w:val="000000"/>
          <w:sz w:val="22"/>
          <w:szCs w:val="22"/>
          <w:lang w:val="es-ES_tradnl"/>
        </w:rPr>
        <w:t xml:space="preserve"> data </w:t>
      </w:r>
      <w:proofErr w:type="spellStart"/>
      <w:r>
        <w:rPr>
          <w:color w:val="000000"/>
          <w:sz w:val="22"/>
          <w:szCs w:val="22"/>
          <w:lang w:val="es-ES_tradnl"/>
        </w:rPr>
        <w:t>measured</w:t>
      </w:r>
      <w:proofErr w:type="spellEnd"/>
      <w:r>
        <w:rPr>
          <w:color w:val="000000"/>
          <w:sz w:val="22"/>
          <w:szCs w:val="22"/>
          <w:lang w:val="es-ES_tradnl"/>
        </w:rPr>
        <w:t xml:space="preserve"> </w:t>
      </w:r>
      <w:proofErr w:type="spellStart"/>
      <w:r>
        <w:rPr>
          <w:color w:val="000000"/>
          <w:sz w:val="22"/>
          <w:szCs w:val="22"/>
          <w:lang w:val="es-ES_tradnl"/>
        </w:rPr>
        <w:t>remotely</w:t>
      </w:r>
      <w:proofErr w:type="spellEnd"/>
      <w:r>
        <w:rPr>
          <w:color w:val="000000"/>
          <w:sz w:val="22"/>
          <w:szCs w:val="22"/>
          <w:lang w:val="es-ES_tradnl"/>
        </w:rPr>
        <w:t xml:space="preserve"> </w:t>
      </w:r>
      <w:proofErr w:type="spellStart"/>
      <w:r>
        <w:rPr>
          <w:color w:val="000000"/>
          <w:sz w:val="22"/>
          <w:szCs w:val="22"/>
          <w:lang w:val="es-ES_tradnl"/>
        </w:rPr>
        <w:t>by</w:t>
      </w:r>
      <w:proofErr w:type="spellEnd"/>
      <w:r>
        <w:rPr>
          <w:color w:val="000000"/>
          <w:sz w:val="22"/>
          <w:szCs w:val="22"/>
          <w:lang w:val="es-ES_tradnl"/>
        </w:rPr>
        <w:t xml:space="preserve"> </w:t>
      </w:r>
      <w:proofErr w:type="spellStart"/>
      <w:r>
        <w:rPr>
          <w:color w:val="000000"/>
          <w:sz w:val="22"/>
          <w:szCs w:val="22"/>
          <w:lang w:val="es-ES_tradnl"/>
        </w:rPr>
        <w:t>the</w:t>
      </w:r>
      <w:proofErr w:type="spellEnd"/>
      <w:r>
        <w:rPr>
          <w:color w:val="000000"/>
          <w:sz w:val="22"/>
          <w:szCs w:val="22"/>
          <w:lang w:val="es-ES_tradnl"/>
        </w:rPr>
        <w:t xml:space="preserve"> </w:t>
      </w:r>
      <w:proofErr w:type="spellStart"/>
      <w:r>
        <w:rPr>
          <w:color w:val="000000"/>
          <w:sz w:val="22"/>
          <w:szCs w:val="22"/>
          <w:lang w:val="es-ES_tradnl"/>
        </w:rPr>
        <w:t>smart</w:t>
      </w:r>
      <w:proofErr w:type="spellEnd"/>
      <w:r>
        <w:rPr>
          <w:color w:val="000000"/>
          <w:sz w:val="22"/>
          <w:szCs w:val="22"/>
          <w:lang w:val="es-ES_tradnl"/>
        </w:rPr>
        <w:t xml:space="preserve"> </w:t>
      </w:r>
      <w:proofErr w:type="spellStart"/>
      <w:r>
        <w:rPr>
          <w:color w:val="000000"/>
          <w:sz w:val="22"/>
          <w:szCs w:val="22"/>
          <w:lang w:val="es-ES_tradnl"/>
        </w:rPr>
        <w:t>meters</w:t>
      </w:r>
      <w:proofErr w:type="spellEnd"/>
      <w:r>
        <w:rPr>
          <w:color w:val="000000"/>
          <w:sz w:val="22"/>
          <w:szCs w:val="22"/>
          <w:lang w:val="es-ES_tradnl"/>
        </w:rPr>
        <w:t xml:space="preserve"> </w:t>
      </w:r>
      <w:proofErr w:type="spellStart"/>
      <w:r>
        <w:rPr>
          <w:color w:val="000000"/>
          <w:sz w:val="22"/>
          <w:szCs w:val="22"/>
          <w:lang w:val="es-ES_tradnl"/>
        </w:rPr>
        <w:t>supplied</w:t>
      </w:r>
      <w:proofErr w:type="spellEnd"/>
      <w:r>
        <w:rPr>
          <w:color w:val="000000"/>
          <w:sz w:val="22"/>
          <w:szCs w:val="22"/>
          <w:lang w:val="es-ES_tradnl"/>
        </w:rPr>
        <w:t xml:space="preserve"> and </w:t>
      </w:r>
      <w:proofErr w:type="spellStart"/>
      <w:r>
        <w:rPr>
          <w:color w:val="000000"/>
          <w:sz w:val="22"/>
          <w:szCs w:val="22"/>
          <w:lang w:val="es-ES_tradnl"/>
        </w:rPr>
        <w:t>for</w:t>
      </w:r>
      <w:proofErr w:type="spellEnd"/>
      <w:r>
        <w:rPr>
          <w:color w:val="000000"/>
          <w:sz w:val="22"/>
          <w:szCs w:val="22"/>
          <w:lang w:val="es-ES_tradnl"/>
        </w:rPr>
        <w:t xml:space="preserve"> </w:t>
      </w:r>
      <w:proofErr w:type="spellStart"/>
      <w:r>
        <w:rPr>
          <w:color w:val="000000"/>
          <w:sz w:val="22"/>
          <w:szCs w:val="22"/>
          <w:lang w:val="es-ES_tradnl"/>
        </w:rPr>
        <w:t>the</w:t>
      </w:r>
      <w:proofErr w:type="spellEnd"/>
      <w:r>
        <w:rPr>
          <w:color w:val="000000"/>
          <w:sz w:val="22"/>
          <w:szCs w:val="22"/>
          <w:lang w:val="es-ES_tradnl"/>
        </w:rPr>
        <w:t xml:space="preserve"> control </w:t>
      </w:r>
      <w:proofErr w:type="spellStart"/>
      <w:r>
        <w:rPr>
          <w:color w:val="000000"/>
          <w:sz w:val="22"/>
          <w:szCs w:val="22"/>
          <w:lang w:val="es-ES_tradnl"/>
        </w:rPr>
        <w:t>of</w:t>
      </w:r>
      <w:proofErr w:type="spellEnd"/>
      <w:r>
        <w:rPr>
          <w:color w:val="000000"/>
          <w:sz w:val="22"/>
          <w:szCs w:val="22"/>
          <w:lang w:val="es-ES_tradnl"/>
        </w:rPr>
        <w:t xml:space="preserve"> </w:t>
      </w:r>
      <w:proofErr w:type="spellStart"/>
      <w:r>
        <w:rPr>
          <w:color w:val="000000"/>
          <w:sz w:val="22"/>
          <w:szCs w:val="22"/>
          <w:lang w:val="es-ES_tradnl"/>
        </w:rPr>
        <w:t>the</w:t>
      </w:r>
      <w:proofErr w:type="spellEnd"/>
      <w:r>
        <w:rPr>
          <w:color w:val="000000"/>
          <w:sz w:val="22"/>
          <w:szCs w:val="22"/>
          <w:lang w:val="es-ES_tradnl"/>
        </w:rPr>
        <w:t xml:space="preserve"> </w:t>
      </w:r>
      <w:proofErr w:type="spellStart"/>
      <w:r>
        <w:rPr>
          <w:color w:val="000000"/>
          <w:sz w:val="22"/>
          <w:szCs w:val="22"/>
          <w:lang w:val="es-ES_tradnl"/>
        </w:rPr>
        <w:t>devices</w:t>
      </w:r>
      <w:proofErr w:type="spellEnd"/>
      <w:r>
        <w:rPr>
          <w:color w:val="000000"/>
          <w:sz w:val="22"/>
          <w:szCs w:val="22"/>
          <w:lang w:val="es-ES_tradnl"/>
        </w:rPr>
        <w:t>.</w:t>
      </w:r>
      <w:r>
        <w:rPr>
          <w:color w:val="000000"/>
          <w:sz w:val="22"/>
          <w:szCs w:val="22"/>
          <w:lang w:val="es-ES_tradnl"/>
        </w:rPr>
        <w:tab/>
      </w:r>
    </w:p>
    <w:p w14:paraId="54946E45" w14:textId="77777777" w:rsidR="00E255F4" w:rsidRDefault="00E255F4">
      <w:pPr>
        <w:pStyle w:val="Prrafodelista"/>
        <w:tabs>
          <w:tab w:val="left" w:pos="851"/>
        </w:tabs>
        <w:spacing w:after="120"/>
        <w:ind w:left="0"/>
        <w:jc w:val="both"/>
        <w:rPr>
          <w:color w:val="000000"/>
          <w:sz w:val="22"/>
          <w:szCs w:val="22"/>
          <w:lang w:val="es-ES_tradnl"/>
        </w:rPr>
      </w:pPr>
    </w:p>
    <w:p w14:paraId="5D5732BE" w14:textId="77777777" w:rsidR="00E255F4" w:rsidRDefault="00000000">
      <w:pPr>
        <w:pStyle w:val="Prrafodelista"/>
        <w:tabs>
          <w:tab w:val="left" w:pos="851"/>
        </w:tabs>
        <w:spacing w:after="120"/>
        <w:ind w:left="709" w:hanging="709"/>
        <w:jc w:val="both"/>
        <w:rPr>
          <w:sz w:val="22"/>
          <w:szCs w:val="22"/>
          <w:lang w:val="es-ES_tradnl"/>
        </w:rPr>
      </w:pPr>
      <w:r>
        <w:rPr>
          <w:sz w:val="22"/>
          <w:szCs w:val="22"/>
          <w:lang w:val="es-ES_tradnl"/>
        </w:rPr>
        <w:t xml:space="preserve">4.2The software </w:t>
      </w:r>
      <w:proofErr w:type="spellStart"/>
      <w:r>
        <w:rPr>
          <w:sz w:val="22"/>
          <w:szCs w:val="22"/>
          <w:lang w:val="es-ES_tradnl"/>
        </w:rPr>
        <w:t>application</w:t>
      </w:r>
      <w:proofErr w:type="spellEnd"/>
      <w:r>
        <w:rPr>
          <w:sz w:val="22"/>
          <w:szCs w:val="22"/>
          <w:lang w:val="es-ES_tradnl"/>
        </w:rPr>
        <w:t xml:space="preserve">(s) </w:t>
      </w:r>
      <w:proofErr w:type="spellStart"/>
      <w:r>
        <w:rPr>
          <w:sz w:val="22"/>
          <w:szCs w:val="22"/>
          <w:lang w:val="es-ES_tradnl"/>
        </w:rPr>
        <w:t>for</w:t>
      </w:r>
      <w:proofErr w:type="spellEnd"/>
      <w:r>
        <w:rPr>
          <w:sz w:val="22"/>
          <w:szCs w:val="22"/>
          <w:lang w:val="es-ES_tradnl"/>
        </w:rPr>
        <w:t xml:space="preserve"> </w:t>
      </w:r>
      <w:proofErr w:type="spellStart"/>
      <w:r>
        <w:rPr>
          <w:sz w:val="22"/>
          <w:szCs w:val="22"/>
          <w:lang w:val="es-ES_tradnl"/>
        </w:rPr>
        <w:t>managing</w:t>
      </w:r>
      <w:proofErr w:type="spellEnd"/>
      <w:r>
        <w:rPr>
          <w:sz w:val="22"/>
          <w:szCs w:val="22"/>
          <w:lang w:val="es-ES_tradnl"/>
        </w:rPr>
        <w:t xml:space="preserve"> </w:t>
      </w:r>
      <w:proofErr w:type="spellStart"/>
      <w:r>
        <w:rPr>
          <w:sz w:val="22"/>
          <w:szCs w:val="22"/>
          <w:lang w:val="es-ES_tradnl"/>
        </w:rPr>
        <w:t>the</w:t>
      </w:r>
      <w:proofErr w:type="spellEnd"/>
      <w:r>
        <w:rPr>
          <w:sz w:val="22"/>
          <w:szCs w:val="22"/>
          <w:lang w:val="es-ES_tradnl"/>
        </w:rPr>
        <w:t xml:space="preserve"> </w:t>
      </w:r>
      <w:proofErr w:type="spellStart"/>
      <w:r>
        <w:rPr>
          <w:sz w:val="22"/>
          <w:szCs w:val="22"/>
          <w:lang w:val="es-ES_tradnl"/>
        </w:rPr>
        <w:t>transmission-reception</w:t>
      </w:r>
      <w:proofErr w:type="spellEnd"/>
      <w:r>
        <w:rPr>
          <w:sz w:val="22"/>
          <w:szCs w:val="22"/>
          <w:lang w:val="es-ES_tradnl"/>
        </w:rPr>
        <w:t xml:space="preserve"> and </w:t>
      </w:r>
      <w:proofErr w:type="spellStart"/>
      <w:r>
        <w:rPr>
          <w:sz w:val="22"/>
          <w:szCs w:val="22"/>
          <w:lang w:val="es-ES_tradnl"/>
        </w:rPr>
        <w:t>configuration</w:t>
      </w:r>
      <w:proofErr w:type="spellEnd"/>
      <w:r>
        <w:rPr>
          <w:sz w:val="22"/>
          <w:szCs w:val="22"/>
          <w:lang w:val="es-ES_tradnl"/>
        </w:rPr>
        <w:t xml:space="preserve"> </w:t>
      </w:r>
      <w:proofErr w:type="spellStart"/>
      <w:r>
        <w:rPr>
          <w:sz w:val="22"/>
          <w:szCs w:val="22"/>
          <w:lang w:val="es-ES_tradnl"/>
        </w:rPr>
        <w:t>of</w:t>
      </w:r>
      <w:proofErr w:type="spellEnd"/>
      <w:r>
        <w:rPr>
          <w:sz w:val="22"/>
          <w:szCs w:val="22"/>
          <w:lang w:val="es-ES_tradnl"/>
        </w:rPr>
        <w:t xml:space="preserve"> data and control </w:t>
      </w:r>
      <w:proofErr w:type="spellStart"/>
      <w:r>
        <w:rPr>
          <w:sz w:val="22"/>
          <w:szCs w:val="22"/>
          <w:lang w:val="es-ES_tradnl"/>
        </w:rPr>
        <w:t>of</w:t>
      </w:r>
      <w:proofErr w:type="spellEnd"/>
      <w:r>
        <w:rPr>
          <w:sz w:val="22"/>
          <w:szCs w:val="22"/>
          <w:lang w:val="es-ES_tradnl"/>
        </w:rPr>
        <w:t xml:space="preserve"> </w:t>
      </w:r>
      <w:proofErr w:type="spellStart"/>
      <w:r>
        <w:rPr>
          <w:sz w:val="22"/>
          <w:szCs w:val="22"/>
          <w:lang w:val="es-ES_tradnl"/>
        </w:rPr>
        <w:t>the</w:t>
      </w:r>
      <w:proofErr w:type="spellEnd"/>
      <w:r>
        <w:rPr>
          <w:sz w:val="22"/>
          <w:szCs w:val="22"/>
          <w:lang w:val="es-ES_tradnl"/>
        </w:rPr>
        <w:t xml:space="preserve"> </w:t>
      </w:r>
      <w:proofErr w:type="spellStart"/>
      <w:r>
        <w:rPr>
          <w:sz w:val="22"/>
          <w:szCs w:val="22"/>
          <w:lang w:val="es-ES_tradnl"/>
        </w:rPr>
        <w:t>devices</w:t>
      </w:r>
      <w:proofErr w:type="spellEnd"/>
      <w:r>
        <w:rPr>
          <w:sz w:val="22"/>
          <w:szCs w:val="22"/>
          <w:lang w:val="es-ES_tradnl"/>
        </w:rPr>
        <w:t xml:space="preserve">, as </w:t>
      </w:r>
      <w:proofErr w:type="spellStart"/>
      <w:r>
        <w:rPr>
          <w:sz w:val="22"/>
          <w:szCs w:val="22"/>
          <w:lang w:val="es-ES_tradnl"/>
        </w:rPr>
        <w:t>well</w:t>
      </w:r>
      <w:proofErr w:type="spellEnd"/>
      <w:r>
        <w:rPr>
          <w:sz w:val="22"/>
          <w:szCs w:val="22"/>
          <w:lang w:val="es-ES_tradnl"/>
        </w:rPr>
        <w:t xml:space="preserve"> as </w:t>
      </w:r>
      <w:proofErr w:type="spellStart"/>
      <w:r>
        <w:rPr>
          <w:sz w:val="22"/>
          <w:szCs w:val="22"/>
          <w:lang w:val="es-ES_tradnl"/>
        </w:rPr>
        <w:t>the</w:t>
      </w:r>
      <w:proofErr w:type="spellEnd"/>
      <w:r>
        <w:rPr>
          <w:sz w:val="22"/>
          <w:szCs w:val="22"/>
          <w:lang w:val="es-ES_tradnl"/>
        </w:rPr>
        <w:t xml:space="preserve"> </w:t>
      </w:r>
      <w:proofErr w:type="spellStart"/>
      <w:r>
        <w:rPr>
          <w:sz w:val="22"/>
          <w:szCs w:val="22"/>
          <w:lang w:val="es-ES_tradnl"/>
        </w:rPr>
        <w:t>corresponding</w:t>
      </w:r>
      <w:proofErr w:type="spellEnd"/>
      <w:r>
        <w:rPr>
          <w:sz w:val="22"/>
          <w:szCs w:val="22"/>
          <w:lang w:val="es-ES_tradnl"/>
        </w:rPr>
        <w:t xml:space="preserve"> </w:t>
      </w:r>
      <w:proofErr w:type="gramStart"/>
      <w:r>
        <w:rPr>
          <w:sz w:val="22"/>
          <w:szCs w:val="22"/>
          <w:lang w:val="es-ES_tradnl"/>
        </w:rPr>
        <w:t>interface</w:t>
      </w:r>
      <w:proofErr w:type="gramEnd"/>
      <w:r>
        <w:rPr>
          <w:sz w:val="22"/>
          <w:szCs w:val="22"/>
          <w:lang w:val="es-ES_tradnl"/>
        </w:rPr>
        <w:t xml:space="preserve">, </w:t>
      </w:r>
      <w:proofErr w:type="spellStart"/>
      <w:r>
        <w:rPr>
          <w:sz w:val="22"/>
          <w:szCs w:val="22"/>
          <w:lang w:val="es-ES_tradnl"/>
        </w:rPr>
        <w:t>must</w:t>
      </w:r>
      <w:proofErr w:type="spellEnd"/>
      <w:r>
        <w:rPr>
          <w:sz w:val="22"/>
          <w:szCs w:val="22"/>
          <w:lang w:val="es-ES_tradnl"/>
        </w:rPr>
        <w:t xml:space="preserve"> </w:t>
      </w:r>
      <w:proofErr w:type="spellStart"/>
      <w:r>
        <w:rPr>
          <w:sz w:val="22"/>
          <w:szCs w:val="22"/>
          <w:lang w:val="es-ES_tradnl"/>
        </w:rPr>
        <w:t>begin</w:t>
      </w:r>
      <w:proofErr w:type="spellEnd"/>
      <w:r>
        <w:rPr>
          <w:sz w:val="22"/>
          <w:szCs w:val="22"/>
          <w:lang w:val="es-ES_tradnl"/>
        </w:rPr>
        <w:t xml:space="preserve"> </w:t>
      </w:r>
      <w:proofErr w:type="spellStart"/>
      <w:r>
        <w:rPr>
          <w:sz w:val="22"/>
          <w:szCs w:val="22"/>
          <w:lang w:val="es-ES_tradnl"/>
        </w:rPr>
        <w:t>their</w:t>
      </w:r>
      <w:proofErr w:type="spellEnd"/>
      <w:r>
        <w:rPr>
          <w:sz w:val="22"/>
          <w:szCs w:val="22"/>
          <w:lang w:val="es-ES_tradnl"/>
        </w:rPr>
        <w:t xml:space="preserve"> </w:t>
      </w:r>
      <w:proofErr w:type="spellStart"/>
      <w:r>
        <w:rPr>
          <w:sz w:val="22"/>
          <w:szCs w:val="22"/>
          <w:lang w:val="es-ES_tradnl"/>
        </w:rPr>
        <w:t>implementation</w:t>
      </w:r>
      <w:proofErr w:type="spellEnd"/>
      <w:r>
        <w:rPr>
          <w:sz w:val="22"/>
          <w:szCs w:val="22"/>
          <w:lang w:val="es-ES_tradnl"/>
        </w:rPr>
        <w:t xml:space="preserve"> </w:t>
      </w:r>
      <w:proofErr w:type="spellStart"/>
      <w:r>
        <w:rPr>
          <w:sz w:val="22"/>
          <w:szCs w:val="22"/>
          <w:lang w:val="es-ES_tradnl"/>
        </w:rPr>
        <w:t>from</w:t>
      </w:r>
      <w:proofErr w:type="spellEnd"/>
      <w:r>
        <w:rPr>
          <w:sz w:val="22"/>
          <w:szCs w:val="22"/>
          <w:lang w:val="es-ES_tradnl"/>
        </w:rPr>
        <w:t xml:space="preserve"> </w:t>
      </w:r>
      <w:proofErr w:type="spellStart"/>
      <w:r>
        <w:rPr>
          <w:sz w:val="22"/>
          <w:szCs w:val="22"/>
          <w:lang w:val="es-ES_tradnl"/>
        </w:rPr>
        <w:t>the</w:t>
      </w:r>
      <w:proofErr w:type="spellEnd"/>
      <w:r>
        <w:rPr>
          <w:sz w:val="22"/>
          <w:szCs w:val="22"/>
          <w:lang w:val="es-ES_tradnl"/>
        </w:rPr>
        <w:t xml:space="preserve"> date </w:t>
      </w:r>
      <w:proofErr w:type="spellStart"/>
      <w:r>
        <w:rPr>
          <w:sz w:val="22"/>
          <w:szCs w:val="22"/>
          <w:lang w:val="es-ES_tradnl"/>
        </w:rPr>
        <w:t>of</w:t>
      </w:r>
      <w:proofErr w:type="spellEnd"/>
      <w:r>
        <w:rPr>
          <w:sz w:val="22"/>
          <w:szCs w:val="22"/>
          <w:lang w:val="es-ES_tradnl"/>
        </w:rPr>
        <w:t xml:space="preserve"> </w:t>
      </w:r>
      <w:proofErr w:type="spellStart"/>
      <w:r>
        <w:rPr>
          <w:sz w:val="22"/>
          <w:szCs w:val="22"/>
          <w:lang w:val="es-ES_tradnl"/>
        </w:rPr>
        <w:t>notification</w:t>
      </w:r>
      <w:proofErr w:type="spellEnd"/>
      <w:r>
        <w:rPr>
          <w:sz w:val="22"/>
          <w:szCs w:val="22"/>
          <w:lang w:val="es-ES_tradnl"/>
        </w:rPr>
        <w:t xml:space="preserve"> </w:t>
      </w:r>
      <w:proofErr w:type="spellStart"/>
      <w:r>
        <w:rPr>
          <w:sz w:val="22"/>
          <w:szCs w:val="22"/>
          <w:lang w:val="es-ES_tradnl"/>
        </w:rPr>
        <w:t>to</w:t>
      </w:r>
      <w:proofErr w:type="spellEnd"/>
      <w:r>
        <w:rPr>
          <w:sz w:val="22"/>
          <w:szCs w:val="22"/>
          <w:lang w:val="es-ES_tradnl"/>
        </w:rPr>
        <w:t xml:space="preserve"> </w:t>
      </w:r>
      <w:proofErr w:type="spellStart"/>
      <w:r>
        <w:rPr>
          <w:sz w:val="22"/>
          <w:szCs w:val="22"/>
          <w:lang w:val="es-ES_tradnl"/>
        </w:rPr>
        <w:t>the</w:t>
      </w:r>
      <w:proofErr w:type="spellEnd"/>
      <w:r>
        <w:rPr>
          <w:sz w:val="22"/>
          <w:szCs w:val="22"/>
          <w:lang w:val="es-ES_tradnl"/>
        </w:rPr>
        <w:t xml:space="preserve"> </w:t>
      </w:r>
      <w:proofErr w:type="spellStart"/>
      <w:r>
        <w:rPr>
          <w:sz w:val="22"/>
          <w:szCs w:val="22"/>
          <w:lang w:val="es-ES_tradnl"/>
        </w:rPr>
        <w:t>awardee</w:t>
      </w:r>
      <w:proofErr w:type="spellEnd"/>
      <w:r>
        <w:rPr>
          <w:sz w:val="22"/>
          <w:szCs w:val="22"/>
          <w:lang w:val="es-ES_tradnl"/>
        </w:rPr>
        <w:t xml:space="preserve"> </w:t>
      </w:r>
      <w:proofErr w:type="spellStart"/>
      <w:r>
        <w:rPr>
          <w:sz w:val="22"/>
          <w:szCs w:val="22"/>
          <w:lang w:val="es-ES_tradnl"/>
        </w:rPr>
        <w:t>of</w:t>
      </w:r>
      <w:proofErr w:type="spellEnd"/>
      <w:r>
        <w:rPr>
          <w:sz w:val="22"/>
          <w:szCs w:val="22"/>
          <w:lang w:val="es-ES_tradnl"/>
        </w:rPr>
        <w:t xml:space="preserve"> </w:t>
      </w:r>
      <w:proofErr w:type="spellStart"/>
      <w:r>
        <w:rPr>
          <w:sz w:val="22"/>
          <w:szCs w:val="22"/>
          <w:lang w:val="es-ES_tradnl"/>
        </w:rPr>
        <w:t>their</w:t>
      </w:r>
      <w:proofErr w:type="spellEnd"/>
      <w:r>
        <w:rPr>
          <w:sz w:val="22"/>
          <w:szCs w:val="22"/>
          <w:lang w:val="es-ES_tradnl"/>
        </w:rPr>
        <w:t xml:space="preserve"> final </w:t>
      </w:r>
      <w:proofErr w:type="spellStart"/>
      <w:r>
        <w:rPr>
          <w:sz w:val="22"/>
          <w:szCs w:val="22"/>
          <w:lang w:val="es-ES_tradnl"/>
        </w:rPr>
        <w:t>award</w:t>
      </w:r>
      <w:proofErr w:type="spellEnd"/>
      <w:r>
        <w:rPr>
          <w:sz w:val="22"/>
          <w:szCs w:val="22"/>
          <w:lang w:val="es-ES_tradnl"/>
        </w:rPr>
        <w:t>.</w:t>
      </w:r>
      <w:r>
        <w:rPr>
          <w:sz w:val="22"/>
          <w:szCs w:val="22"/>
          <w:lang w:val="es-ES_tradnl"/>
        </w:rPr>
        <w:tab/>
      </w:r>
    </w:p>
    <w:p w14:paraId="75428F84" w14:textId="77777777" w:rsidR="00E255F4" w:rsidRDefault="00000000">
      <w:pPr>
        <w:pStyle w:val="Prrafodelista"/>
        <w:tabs>
          <w:tab w:val="left" w:pos="851"/>
        </w:tabs>
        <w:spacing w:after="120"/>
        <w:ind w:left="709" w:hanging="709"/>
        <w:jc w:val="both"/>
        <w:rPr>
          <w:sz w:val="22"/>
          <w:szCs w:val="22"/>
          <w:lang w:val="es-ES"/>
        </w:rPr>
      </w:pPr>
      <w:r>
        <w:rPr>
          <w:sz w:val="22"/>
          <w:szCs w:val="22"/>
          <w:lang w:val="es-ES_tradnl"/>
        </w:rPr>
        <w:t>4.3E</w:t>
      </w:r>
      <w:r>
        <w:rPr>
          <w:sz w:val="22"/>
          <w:szCs w:val="22"/>
          <w:lang w:val="es-ES_tradnl"/>
        </w:rPr>
        <w:tab/>
      </w:r>
      <w:r>
        <w:rPr>
          <w:sz w:val="22"/>
          <w:szCs w:val="22"/>
          <w:lang w:val="es-ES"/>
        </w:rPr>
        <w:t xml:space="preserve">The </w:t>
      </w:r>
      <w:proofErr w:type="spellStart"/>
      <w:r>
        <w:rPr>
          <w:sz w:val="22"/>
          <w:szCs w:val="22"/>
          <w:lang w:val="es-ES"/>
        </w:rPr>
        <w:t>supplier</w:t>
      </w:r>
      <w:proofErr w:type="spellEnd"/>
      <w:r>
        <w:rPr>
          <w:sz w:val="22"/>
          <w:szCs w:val="22"/>
          <w:lang w:val="es-ES"/>
        </w:rPr>
        <w:t xml:space="preserve"> </w:t>
      </w:r>
      <w:proofErr w:type="spellStart"/>
      <w:r>
        <w:rPr>
          <w:sz w:val="22"/>
          <w:szCs w:val="22"/>
          <w:lang w:val="es-ES"/>
        </w:rPr>
        <w:t>must</w:t>
      </w:r>
      <w:proofErr w:type="spellEnd"/>
      <w:r>
        <w:rPr>
          <w:sz w:val="22"/>
          <w:szCs w:val="22"/>
          <w:lang w:val="es-ES"/>
        </w:rPr>
        <w:t xml:space="preserve"> </w:t>
      </w:r>
      <w:proofErr w:type="spellStart"/>
      <w:r>
        <w:rPr>
          <w:sz w:val="22"/>
          <w:szCs w:val="22"/>
          <w:lang w:val="es-ES"/>
        </w:rPr>
        <w:t>provide</w:t>
      </w:r>
      <w:proofErr w:type="spellEnd"/>
      <w:r>
        <w:rPr>
          <w:sz w:val="22"/>
          <w:szCs w:val="22"/>
          <w:lang w:val="es-ES"/>
        </w:rPr>
        <w:t xml:space="preserve"> a </w:t>
      </w:r>
      <w:proofErr w:type="spellStart"/>
      <w:r>
        <w:rPr>
          <w:sz w:val="22"/>
          <w:szCs w:val="22"/>
          <w:lang w:val="es-ES"/>
        </w:rPr>
        <w:t>document</w:t>
      </w:r>
      <w:proofErr w:type="spellEnd"/>
      <w:r>
        <w:rPr>
          <w:sz w:val="22"/>
          <w:szCs w:val="22"/>
          <w:lang w:val="es-ES"/>
        </w:rPr>
        <w:t xml:space="preserve"> </w:t>
      </w:r>
      <w:proofErr w:type="spellStart"/>
      <w:r>
        <w:rPr>
          <w:sz w:val="22"/>
          <w:szCs w:val="22"/>
          <w:lang w:val="es-ES"/>
        </w:rPr>
        <w:t>outlining</w:t>
      </w:r>
      <w:proofErr w:type="spellEnd"/>
      <w:r>
        <w:rPr>
          <w:sz w:val="22"/>
          <w:szCs w:val="22"/>
          <w:lang w:val="es-ES"/>
        </w:rPr>
        <w:t xml:space="preserve"> </w:t>
      </w:r>
      <w:proofErr w:type="spellStart"/>
      <w:r>
        <w:rPr>
          <w:sz w:val="22"/>
          <w:szCs w:val="22"/>
          <w:lang w:val="es-ES"/>
        </w:rPr>
        <w:t>the</w:t>
      </w:r>
      <w:proofErr w:type="spellEnd"/>
      <w:r>
        <w:rPr>
          <w:sz w:val="22"/>
          <w:szCs w:val="22"/>
          <w:lang w:val="es-ES"/>
        </w:rPr>
        <w:t xml:space="preserve"> </w:t>
      </w:r>
      <w:proofErr w:type="spellStart"/>
      <w:r>
        <w:rPr>
          <w:sz w:val="22"/>
          <w:szCs w:val="22"/>
          <w:lang w:val="es-ES"/>
        </w:rPr>
        <w:t>alarm</w:t>
      </w:r>
      <w:proofErr w:type="spellEnd"/>
      <w:r>
        <w:rPr>
          <w:sz w:val="22"/>
          <w:szCs w:val="22"/>
          <w:lang w:val="es-ES"/>
        </w:rPr>
        <w:t xml:space="preserve"> </w:t>
      </w:r>
      <w:proofErr w:type="spellStart"/>
      <w:r>
        <w:rPr>
          <w:sz w:val="22"/>
          <w:szCs w:val="22"/>
          <w:lang w:val="es-ES"/>
        </w:rPr>
        <w:t>distribution</w:t>
      </w:r>
      <w:proofErr w:type="spellEnd"/>
      <w:r>
        <w:rPr>
          <w:sz w:val="22"/>
          <w:szCs w:val="22"/>
          <w:lang w:val="es-ES"/>
        </w:rPr>
        <w:t xml:space="preserve"> plan </w:t>
      </w:r>
      <w:proofErr w:type="spellStart"/>
      <w:r>
        <w:rPr>
          <w:sz w:val="22"/>
          <w:szCs w:val="22"/>
          <w:lang w:val="es-ES"/>
        </w:rPr>
        <w:t>to</w:t>
      </w:r>
      <w:proofErr w:type="spellEnd"/>
      <w:r>
        <w:rPr>
          <w:sz w:val="22"/>
          <w:szCs w:val="22"/>
          <w:lang w:val="es-ES"/>
        </w:rPr>
        <w:t xml:space="preserve"> </w:t>
      </w:r>
      <w:proofErr w:type="spellStart"/>
      <w:r>
        <w:rPr>
          <w:sz w:val="22"/>
          <w:szCs w:val="22"/>
          <w:lang w:val="es-ES"/>
        </w:rPr>
        <w:t>enable</w:t>
      </w:r>
      <w:proofErr w:type="spellEnd"/>
      <w:r>
        <w:rPr>
          <w:sz w:val="22"/>
          <w:szCs w:val="22"/>
          <w:lang w:val="es-ES"/>
        </w:rPr>
        <w:t xml:space="preserve"> </w:t>
      </w:r>
      <w:proofErr w:type="spellStart"/>
      <w:r>
        <w:rPr>
          <w:sz w:val="22"/>
          <w:szCs w:val="22"/>
          <w:lang w:val="es-ES"/>
        </w:rPr>
        <w:t>parameterization</w:t>
      </w:r>
      <w:proofErr w:type="spellEnd"/>
      <w:r>
        <w:rPr>
          <w:sz w:val="22"/>
          <w:szCs w:val="22"/>
          <w:lang w:val="es-ES"/>
        </w:rPr>
        <w:t xml:space="preserve"> </w:t>
      </w:r>
      <w:proofErr w:type="spellStart"/>
      <w:r>
        <w:rPr>
          <w:sz w:val="22"/>
          <w:szCs w:val="22"/>
          <w:lang w:val="es-ES"/>
        </w:rPr>
        <w:t>within</w:t>
      </w:r>
      <w:proofErr w:type="spellEnd"/>
      <w:r>
        <w:rPr>
          <w:sz w:val="22"/>
          <w:szCs w:val="22"/>
          <w:lang w:val="es-ES"/>
        </w:rPr>
        <w:t xml:space="preserve"> </w:t>
      </w:r>
      <w:proofErr w:type="spellStart"/>
      <w:r>
        <w:rPr>
          <w:sz w:val="22"/>
          <w:szCs w:val="22"/>
          <w:lang w:val="es-ES"/>
        </w:rPr>
        <w:t>the</w:t>
      </w:r>
      <w:proofErr w:type="spellEnd"/>
      <w:r>
        <w:rPr>
          <w:sz w:val="22"/>
          <w:szCs w:val="22"/>
          <w:lang w:val="es-ES"/>
        </w:rPr>
        <w:t xml:space="preserve"> OSE software.</w:t>
      </w:r>
    </w:p>
    <w:p w14:paraId="1588BBC2" w14:textId="77777777" w:rsidR="00E255F4" w:rsidRDefault="00E255F4">
      <w:pPr>
        <w:pStyle w:val="Prrafodelista"/>
        <w:tabs>
          <w:tab w:val="left" w:pos="851"/>
        </w:tabs>
        <w:spacing w:after="120"/>
        <w:ind w:left="709" w:hanging="709"/>
        <w:jc w:val="both"/>
        <w:rPr>
          <w:sz w:val="22"/>
          <w:szCs w:val="22"/>
          <w:lang w:val="es-ES"/>
        </w:rPr>
      </w:pPr>
    </w:p>
    <w:p w14:paraId="3997BE3E" w14:textId="77777777" w:rsidR="00E255F4" w:rsidRDefault="00000000">
      <w:pPr>
        <w:tabs>
          <w:tab w:val="left" w:pos="851"/>
        </w:tabs>
        <w:jc w:val="both"/>
        <w:rPr>
          <w:sz w:val="22"/>
          <w:szCs w:val="22"/>
        </w:rPr>
      </w:pPr>
      <w:r>
        <w:rPr>
          <w:sz w:val="22"/>
          <w:szCs w:val="22"/>
          <w:lang w:val="es-ES"/>
        </w:rPr>
        <w:t>4.4</w:t>
      </w:r>
      <w:r>
        <w:rPr>
          <w:sz w:val="22"/>
          <w:szCs w:val="22"/>
          <w:lang w:val="es-ES"/>
        </w:rPr>
        <w:tab/>
      </w:r>
      <w:r>
        <w:rPr>
          <w:sz w:val="22"/>
          <w:szCs w:val="22"/>
        </w:rPr>
        <w:t xml:space="preserve">The </w:t>
      </w:r>
      <w:proofErr w:type="spellStart"/>
      <w:r>
        <w:rPr>
          <w:sz w:val="22"/>
          <w:szCs w:val="22"/>
        </w:rPr>
        <w:t>telemetry</w:t>
      </w:r>
      <w:proofErr w:type="spellEnd"/>
      <w:r>
        <w:rPr>
          <w:sz w:val="22"/>
          <w:szCs w:val="22"/>
        </w:rPr>
        <w:t xml:space="preserve"> </w:t>
      </w:r>
      <w:proofErr w:type="spellStart"/>
      <w:r>
        <w:rPr>
          <w:sz w:val="22"/>
          <w:szCs w:val="22"/>
        </w:rPr>
        <w:t>devices</w:t>
      </w:r>
      <w:proofErr w:type="spellEnd"/>
      <w:r>
        <w:rPr>
          <w:sz w:val="22"/>
          <w:szCs w:val="22"/>
        </w:rPr>
        <w:t xml:space="preserve"> </w:t>
      </w:r>
      <w:proofErr w:type="spellStart"/>
      <w:r>
        <w:rPr>
          <w:sz w:val="22"/>
          <w:szCs w:val="22"/>
        </w:rPr>
        <w:t>that</w:t>
      </w:r>
      <w:proofErr w:type="spellEnd"/>
      <w:r>
        <w:rPr>
          <w:sz w:val="22"/>
          <w:szCs w:val="22"/>
        </w:rPr>
        <w:t xml:space="preserve"> </w:t>
      </w:r>
      <w:proofErr w:type="spellStart"/>
      <w:r>
        <w:rPr>
          <w:sz w:val="22"/>
          <w:szCs w:val="22"/>
        </w:rPr>
        <w:t>will</w:t>
      </w:r>
      <w:proofErr w:type="spellEnd"/>
      <w:r>
        <w:rPr>
          <w:sz w:val="22"/>
          <w:szCs w:val="22"/>
        </w:rPr>
        <w:t xml:space="preserve"> be in </w:t>
      </w:r>
      <w:proofErr w:type="spellStart"/>
      <w:r>
        <w:rPr>
          <w:sz w:val="22"/>
          <w:szCs w:val="22"/>
        </w:rPr>
        <w:t>charge</w:t>
      </w:r>
      <w:proofErr w:type="spellEnd"/>
      <w:r>
        <w:rPr>
          <w:sz w:val="22"/>
          <w:szCs w:val="22"/>
        </w:rPr>
        <w:t xml:space="preserve"> </w:t>
      </w:r>
      <w:proofErr w:type="spellStart"/>
      <w:r>
        <w:rPr>
          <w:sz w:val="22"/>
          <w:szCs w:val="22"/>
        </w:rPr>
        <w:t>of</w:t>
      </w:r>
      <w:proofErr w:type="spellEnd"/>
      <w:r>
        <w:rPr>
          <w:sz w:val="22"/>
          <w:szCs w:val="22"/>
        </w:rPr>
        <w:t xml:space="preserve"> remote </w:t>
      </w:r>
      <w:proofErr w:type="spellStart"/>
      <w:r>
        <w:rPr>
          <w:sz w:val="22"/>
          <w:szCs w:val="22"/>
        </w:rPr>
        <w:t>measurement</w:t>
      </w:r>
      <w:proofErr w:type="spellEnd"/>
      <w:r>
        <w:rPr>
          <w:sz w:val="22"/>
          <w:szCs w:val="22"/>
        </w:rPr>
        <w:t xml:space="preserve"> and </w:t>
      </w:r>
      <w:proofErr w:type="spellStart"/>
      <w:r>
        <w:rPr>
          <w:sz w:val="22"/>
          <w:szCs w:val="22"/>
        </w:rPr>
        <w:t>telecommunication</w:t>
      </w:r>
      <w:proofErr w:type="spellEnd"/>
      <w:r>
        <w:rPr>
          <w:sz w:val="22"/>
          <w:szCs w:val="22"/>
        </w:rPr>
        <w:t xml:space="preserve"> </w:t>
      </w:r>
      <w:proofErr w:type="spellStart"/>
      <w:r>
        <w:rPr>
          <w:sz w:val="22"/>
          <w:szCs w:val="22"/>
        </w:rPr>
        <w:t>of</w:t>
      </w:r>
      <w:proofErr w:type="spellEnd"/>
      <w:r>
        <w:rPr>
          <w:sz w:val="22"/>
          <w:szCs w:val="22"/>
        </w:rPr>
        <w:t xml:space="preserve"> </w:t>
      </w:r>
      <w:proofErr w:type="spellStart"/>
      <w:r>
        <w:rPr>
          <w:sz w:val="22"/>
          <w:szCs w:val="22"/>
        </w:rPr>
        <w:t>information</w:t>
      </w:r>
      <w:proofErr w:type="spellEnd"/>
      <w:r>
        <w:rPr>
          <w:sz w:val="22"/>
          <w:szCs w:val="22"/>
        </w:rPr>
        <w:t xml:space="preserve"> </w:t>
      </w:r>
      <w:proofErr w:type="spellStart"/>
      <w:r>
        <w:rPr>
          <w:sz w:val="22"/>
          <w:szCs w:val="22"/>
        </w:rPr>
        <w:t>will</w:t>
      </w:r>
      <w:proofErr w:type="spellEnd"/>
      <w:r>
        <w:rPr>
          <w:sz w:val="22"/>
          <w:szCs w:val="22"/>
        </w:rPr>
        <w:t xml:space="preserve"> </w:t>
      </w:r>
      <w:proofErr w:type="spellStart"/>
      <w:r>
        <w:rPr>
          <w:sz w:val="22"/>
          <w:szCs w:val="22"/>
        </w:rPr>
        <w:t>generate</w:t>
      </w:r>
      <w:proofErr w:type="spellEnd"/>
      <w:r>
        <w:rPr>
          <w:sz w:val="22"/>
          <w:szCs w:val="22"/>
        </w:rPr>
        <w:t xml:space="preserve"> inductive pulses (</w:t>
      </w:r>
      <w:proofErr w:type="spellStart"/>
      <w:r>
        <w:rPr>
          <w:sz w:val="22"/>
          <w:szCs w:val="22"/>
        </w:rPr>
        <w:t>according</w:t>
      </w:r>
      <w:proofErr w:type="spellEnd"/>
      <w:r>
        <w:rPr>
          <w:sz w:val="22"/>
          <w:szCs w:val="22"/>
        </w:rPr>
        <w:t xml:space="preserve"> </w:t>
      </w:r>
      <w:proofErr w:type="spellStart"/>
      <w:r>
        <w:rPr>
          <w:sz w:val="22"/>
          <w:szCs w:val="22"/>
        </w:rPr>
        <w:t>to</w:t>
      </w:r>
      <w:proofErr w:type="spellEnd"/>
      <w:r>
        <w:rPr>
          <w:sz w:val="22"/>
          <w:szCs w:val="22"/>
        </w:rPr>
        <w:t xml:space="preserve"> </w:t>
      </w:r>
      <w:proofErr w:type="spellStart"/>
      <w:r>
        <w:rPr>
          <w:sz w:val="22"/>
          <w:szCs w:val="22"/>
        </w:rPr>
        <w:t>the</w:t>
      </w:r>
      <w:proofErr w:type="spellEnd"/>
      <w:r>
        <w:rPr>
          <w:sz w:val="22"/>
          <w:szCs w:val="22"/>
        </w:rPr>
        <w:t xml:space="preserve"> </w:t>
      </w:r>
      <w:proofErr w:type="spellStart"/>
      <w:r>
        <w:rPr>
          <w:sz w:val="22"/>
          <w:szCs w:val="22"/>
        </w:rPr>
        <w:t>technology</w:t>
      </w:r>
      <w:proofErr w:type="spellEnd"/>
      <w:r>
        <w:rPr>
          <w:sz w:val="22"/>
          <w:szCs w:val="22"/>
        </w:rPr>
        <w:t xml:space="preserve"> </w:t>
      </w:r>
      <w:proofErr w:type="spellStart"/>
      <w:r>
        <w:rPr>
          <w:sz w:val="22"/>
          <w:szCs w:val="22"/>
        </w:rPr>
        <w:t>available</w:t>
      </w:r>
      <w:proofErr w:type="spellEnd"/>
      <w:r>
        <w:rPr>
          <w:sz w:val="22"/>
          <w:szCs w:val="22"/>
        </w:rPr>
        <w:t xml:space="preserve"> in </w:t>
      </w:r>
      <w:proofErr w:type="spellStart"/>
      <w:r>
        <w:rPr>
          <w:sz w:val="22"/>
          <w:szCs w:val="22"/>
        </w:rPr>
        <w:t>the</w:t>
      </w:r>
      <w:proofErr w:type="spellEnd"/>
      <w:r>
        <w:rPr>
          <w:sz w:val="22"/>
          <w:szCs w:val="22"/>
        </w:rPr>
        <w:t xml:space="preserve"> meter), </w:t>
      </w:r>
      <w:proofErr w:type="spellStart"/>
      <w:r>
        <w:rPr>
          <w:sz w:val="22"/>
          <w:szCs w:val="22"/>
        </w:rPr>
        <w:t>process</w:t>
      </w:r>
      <w:proofErr w:type="spellEnd"/>
      <w:r>
        <w:rPr>
          <w:sz w:val="22"/>
          <w:szCs w:val="22"/>
        </w:rPr>
        <w:t xml:space="preserve"> </w:t>
      </w:r>
      <w:proofErr w:type="spellStart"/>
      <w:r>
        <w:rPr>
          <w:sz w:val="22"/>
          <w:szCs w:val="22"/>
        </w:rPr>
        <w:t>them</w:t>
      </w:r>
      <w:proofErr w:type="spellEnd"/>
      <w:r>
        <w:rPr>
          <w:sz w:val="22"/>
          <w:szCs w:val="22"/>
        </w:rPr>
        <w:t xml:space="preserve"> (</w:t>
      </w:r>
      <w:proofErr w:type="spellStart"/>
      <w:r>
        <w:rPr>
          <w:sz w:val="22"/>
          <w:szCs w:val="22"/>
        </w:rPr>
        <w:t>readings</w:t>
      </w:r>
      <w:proofErr w:type="spellEnd"/>
      <w:r>
        <w:rPr>
          <w:sz w:val="22"/>
          <w:szCs w:val="22"/>
        </w:rPr>
        <w:t xml:space="preserve">, </w:t>
      </w:r>
      <w:proofErr w:type="spellStart"/>
      <w:r>
        <w:rPr>
          <w:sz w:val="22"/>
          <w:szCs w:val="22"/>
        </w:rPr>
        <w:t>alarms</w:t>
      </w:r>
      <w:proofErr w:type="spellEnd"/>
      <w:r>
        <w:rPr>
          <w:sz w:val="22"/>
          <w:szCs w:val="22"/>
        </w:rPr>
        <w:t xml:space="preserve">, etc.), store </w:t>
      </w:r>
      <w:proofErr w:type="spellStart"/>
      <w:r>
        <w:rPr>
          <w:sz w:val="22"/>
          <w:szCs w:val="22"/>
        </w:rPr>
        <w:t>them</w:t>
      </w:r>
      <w:proofErr w:type="spellEnd"/>
      <w:r>
        <w:rPr>
          <w:sz w:val="22"/>
          <w:szCs w:val="22"/>
        </w:rPr>
        <w:t xml:space="preserve"> </w:t>
      </w:r>
      <w:proofErr w:type="spellStart"/>
      <w:r>
        <w:rPr>
          <w:sz w:val="22"/>
          <w:szCs w:val="22"/>
        </w:rPr>
        <w:t>for</w:t>
      </w:r>
      <w:proofErr w:type="spellEnd"/>
      <w:r>
        <w:rPr>
          <w:sz w:val="22"/>
          <w:szCs w:val="22"/>
        </w:rPr>
        <w:t xml:space="preserve"> </w:t>
      </w:r>
      <w:proofErr w:type="spellStart"/>
      <w:r>
        <w:rPr>
          <w:sz w:val="22"/>
          <w:szCs w:val="22"/>
        </w:rPr>
        <w:t>the</w:t>
      </w:r>
      <w:proofErr w:type="spellEnd"/>
      <w:r>
        <w:rPr>
          <w:sz w:val="22"/>
          <w:szCs w:val="22"/>
        </w:rPr>
        <w:t xml:space="preserve"> </w:t>
      </w:r>
      <w:proofErr w:type="spellStart"/>
      <w:r>
        <w:rPr>
          <w:sz w:val="22"/>
          <w:szCs w:val="22"/>
        </w:rPr>
        <w:t>required</w:t>
      </w:r>
      <w:proofErr w:type="spellEnd"/>
      <w:r>
        <w:rPr>
          <w:sz w:val="22"/>
          <w:szCs w:val="22"/>
        </w:rPr>
        <w:t xml:space="preserve"> time </w:t>
      </w:r>
      <w:proofErr w:type="spellStart"/>
      <w:r>
        <w:rPr>
          <w:sz w:val="22"/>
          <w:szCs w:val="22"/>
        </w:rPr>
        <w:t>until</w:t>
      </w:r>
      <w:proofErr w:type="spellEnd"/>
      <w:r>
        <w:rPr>
          <w:sz w:val="22"/>
          <w:szCs w:val="22"/>
        </w:rPr>
        <w:t xml:space="preserve"> a </w:t>
      </w:r>
      <w:proofErr w:type="spellStart"/>
      <w:r>
        <w:rPr>
          <w:sz w:val="22"/>
          <w:szCs w:val="22"/>
        </w:rPr>
        <w:t>confirmed</w:t>
      </w:r>
      <w:proofErr w:type="spellEnd"/>
      <w:r>
        <w:rPr>
          <w:sz w:val="22"/>
          <w:szCs w:val="22"/>
        </w:rPr>
        <w:t xml:space="preserve"> </w:t>
      </w:r>
      <w:proofErr w:type="spellStart"/>
      <w:r>
        <w:rPr>
          <w:sz w:val="22"/>
          <w:szCs w:val="22"/>
        </w:rPr>
        <w:t>transmission</w:t>
      </w:r>
      <w:proofErr w:type="spellEnd"/>
      <w:r>
        <w:rPr>
          <w:sz w:val="22"/>
          <w:szCs w:val="22"/>
        </w:rPr>
        <w:t xml:space="preserve"> and </w:t>
      </w:r>
      <w:proofErr w:type="spellStart"/>
      <w:r>
        <w:rPr>
          <w:sz w:val="22"/>
          <w:szCs w:val="22"/>
        </w:rPr>
        <w:t>transmit</w:t>
      </w:r>
      <w:proofErr w:type="spellEnd"/>
      <w:r>
        <w:rPr>
          <w:sz w:val="22"/>
          <w:szCs w:val="22"/>
        </w:rPr>
        <w:t xml:space="preserve"> </w:t>
      </w:r>
      <w:proofErr w:type="spellStart"/>
      <w:r>
        <w:rPr>
          <w:sz w:val="22"/>
          <w:szCs w:val="22"/>
        </w:rPr>
        <w:t>them</w:t>
      </w:r>
      <w:proofErr w:type="spellEnd"/>
      <w:r>
        <w:rPr>
          <w:sz w:val="22"/>
          <w:szCs w:val="22"/>
        </w:rPr>
        <w:t xml:space="preserve"> </w:t>
      </w:r>
      <w:proofErr w:type="spellStart"/>
      <w:r>
        <w:rPr>
          <w:sz w:val="22"/>
          <w:szCs w:val="22"/>
        </w:rPr>
        <w:t>wirelessly</w:t>
      </w:r>
      <w:proofErr w:type="spellEnd"/>
      <w:r>
        <w:rPr>
          <w:sz w:val="22"/>
          <w:szCs w:val="22"/>
        </w:rPr>
        <w:t xml:space="preserve"> </w:t>
      </w:r>
      <w:proofErr w:type="spellStart"/>
      <w:r>
        <w:rPr>
          <w:sz w:val="22"/>
          <w:szCs w:val="22"/>
        </w:rPr>
        <w:t>through</w:t>
      </w:r>
      <w:proofErr w:type="spellEnd"/>
      <w:r>
        <w:rPr>
          <w:sz w:val="22"/>
          <w:szCs w:val="22"/>
        </w:rPr>
        <w:t xml:space="preserve"> </w:t>
      </w:r>
      <w:proofErr w:type="spellStart"/>
      <w:r>
        <w:rPr>
          <w:sz w:val="22"/>
          <w:szCs w:val="22"/>
        </w:rPr>
        <w:t>the</w:t>
      </w:r>
      <w:proofErr w:type="spellEnd"/>
      <w:r>
        <w:rPr>
          <w:sz w:val="22"/>
          <w:szCs w:val="22"/>
        </w:rPr>
        <w:t xml:space="preserve"> </w:t>
      </w:r>
      <w:proofErr w:type="spellStart"/>
      <w:r>
        <w:rPr>
          <w:sz w:val="22"/>
          <w:szCs w:val="22"/>
        </w:rPr>
        <w:t>technology</w:t>
      </w:r>
      <w:proofErr w:type="spellEnd"/>
      <w:r>
        <w:rPr>
          <w:sz w:val="22"/>
          <w:szCs w:val="22"/>
        </w:rPr>
        <w:t xml:space="preserve"> </w:t>
      </w:r>
      <w:proofErr w:type="spellStart"/>
      <w:r>
        <w:rPr>
          <w:sz w:val="22"/>
          <w:szCs w:val="22"/>
        </w:rPr>
        <w:t>offered</w:t>
      </w:r>
      <w:proofErr w:type="spellEnd"/>
      <w:r>
        <w:rPr>
          <w:sz w:val="22"/>
          <w:szCs w:val="22"/>
        </w:rPr>
        <w:t>.</w:t>
      </w:r>
    </w:p>
    <w:p w14:paraId="0D6A3648" w14:textId="77777777" w:rsidR="00E255F4" w:rsidRDefault="00E255F4">
      <w:pPr>
        <w:tabs>
          <w:tab w:val="left" w:pos="851"/>
        </w:tabs>
        <w:jc w:val="both"/>
        <w:rPr>
          <w:sz w:val="22"/>
          <w:szCs w:val="22"/>
        </w:rPr>
      </w:pPr>
    </w:p>
    <w:p w14:paraId="3EB10EE5" w14:textId="77777777" w:rsidR="00E255F4" w:rsidRDefault="00000000">
      <w:pPr>
        <w:tabs>
          <w:tab w:val="left" w:pos="851"/>
        </w:tabs>
        <w:jc w:val="both"/>
        <w:rPr>
          <w:sz w:val="22"/>
          <w:szCs w:val="22"/>
        </w:rPr>
      </w:pPr>
      <w:r>
        <w:rPr>
          <w:sz w:val="22"/>
          <w:szCs w:val="22"/>
        </w:rPr>
        <w:t xml:space="preserve">4.5The </w:t>
      </w:r>
      <w:proofErr w:type="spellStart"/>
      <w:r>
        <w:rPr>
          <w:sz w:val="22"/>
          <w:szCs w:val="22"/>
        </w:rPr>
        <w:t>proposed</w:t>
      </w:r>
      <w:proofErr w:type="spellEnd"/>
      <w:r>
        <w:rPr>
          <w:sz w:val="22"/>
          <w:szCs w:val="22"/>
        </w:rPr>
        <w:t xml:space="preserve"> </w:t>
      </w:r>
      <w:proofErr w:type="spellStart"/>
      <w:r>
        <w:rPr>
          <w:sz w:val="22"/>
          <w:szCs w:val="22"/>
        </w:rPr>
        <w:t>architecture</w:t>
      </w:r>
      <w:proofErr w:type="spellEnd"/>
      <w:r>
        <w:rPr>
          <w:sz w:val="22"/>
          <w:szCs w:val="22"/>
        </w:rPr>
        <w:t xml:space="preserve"> </w:t>
      </w:r>
      <w:proofErr w:type="spellStart"/>
      <w:r>
        <w:rPr>
          <w:sz w:val="22"/>
          <w:szCs w:val="22"/>
        </w:rPr>
        <w:t>consists</w:t>
      </w:r>
      <w:proofErr w:type="spellEnd"/>
      <w:r>
        <w:rPr>
          <w:sz w:val="22"/>
          <w:szCs w:val="22"/>
        </w:rPr>
        <w:t xml:space="preserve"> </w:t>
      </w:r>
      <w:proofErr w:type="spellStart"/>
      <w:r>
        <w:rPr>
          <w:sz w:val="22"/>
          <w:szCs w:val="22"/>
        </w:rPr>
        <w:t>of</w:t>
      </w:r>
      <w:proofErr w:type="spellEnd"/>
      <w:r>
        <w:rPr>
          <w:sz w:val="22"/>
          <w:szCs w:val="22"/>
        </w:rPr>
        <w:t xml:space="preserve"> </w:t>
      </w:r>
      <w:proofErr w:type="spellStart"/>
      <w:r>
        <w:rPr>
          <w:sz w:val="22"/>
          <w:szCs w:val="22"/>
        </w:rPr>
        <w:t>the</w:t>
      </w:r>
      <w:proofErr w:type="spellEnd"/>
      <w:r>
        <w:rPr>
          <w:sz w:val="22"/>
          <w:szCs w:val="22"/>
        </w:rPr>
        <w:t xml:space="preserve"> </w:t>
      </w:r>
      <w:proofErr w:type="spellStart"/>
      <w:r>
        <w:rPr>
          <w:sz w:val="22"/>
          <w:szCs w:val="22"/>
        </w:rPr>
        <w:t>following</w:t>
      </w:r>
      <w:proofErr w:type="spellEnd"/>
      <w:r>
        <w:rPr>
          <w:sz w:val="22"/>
          <w:szCs w:val="22"/>
        </w:rPr>
        <w:t xml:space="preserve"> modules:</w:t>
      </w:r>
      <w:r>
        <w:rPr>
          <w:sz w:val="22"/>
          <w:szCs w:val="22"/>
        </w:rPr>
        <w:tab/>
      </w:r>
    </w:p>
    <w:p w14:paraId="29953D83" w14:textId="77777777" w:rsidR="00E255F4" w:rsidRDefault="00E255F4">
      <w:pPr>
        <w:tabs>
          <w:tab w:val="left" w:pos="851"/>
        </w:tabs>
        <w:jc w:val="both"/>
        <w:rPr>
          <w:sz w:val="22"/>
          <w:szCs w:val="22"/>
        </w:rPr>
      </w:pPr>
    </w:p>
    <w:p w14:paraId="5D6587A8" w14:textId="77777777" w:rsidR="00E255F4" w:rsidRDefault="00000000">
      <w:pPr>
        <w:numPr>
          <w:ilvl w:val="0"/>
          <w:numId w:val="26"/>
        </w:numPr>
        <w:tabs>
          <w:tab w:val="left" w:pos="851"/>
        </w:tabs>
        <w:jc w:val="both"/>
        <w:rPr>
          <w:sz w:val="22"/>
          <w:szCs w:val="22"/>
        </w:rPr>
      </w:pPr>
      <w:proofErr w:type="spellStart"/>
      <w:r>
        <w:rPr>
          <w:sz w:val="22"/>
          <w:szCs w:val="22"/>
        </w:rPr>
        <w:t>Telemetry</w:t>
      </w:r>
      <w:proofErr w:type="spellEnd"/>
      <w:r>
        <w:rPr>
          <w:sz w:val="22"/>
          <w:szCs w:val="22"/>
        </w:rPr>
        <w:t xml:space="preserve"> </w:t>
      </w:r>
      <w:proofErr w:type="spellStart"/>
      <w:r>
        <w:rPr>
          <w:sz w:val="22"/>
          <w:szCs w:val="22"/>
        </w:rPr>
        <w:t>device</w:t>
      </w:r>
      <w:proofErr w:type="spellEnd"/>
      <w:r>
        <w:rPr>
          <w:sz w:val="22"/>
          <w:szCs w:val="22"/>
        </w:rPr>
        <w:t>.</w:t>
      </w:r>
    </w:p>
    <w:p w14:paraId="1B12134C" w14:textId="77777777" w:rsidR="00E255F4" w:rsidRDefault="00000000">
      <w:pPr>
        <w:numPr>
          <w:ilvl w:val="0"/>
          <w:numId w:val="26"/>
        </w:numPr>
        <w:tabs>
          <w:tab w:val="left" w:pos="851"/>
        </w:tabs>
        <w:jc w:val="both"/>
        <w:rPr>
          <w:sz w:val="22"/>
          <w:szCs w:val="22"/>
        </w:rPr>
      </w:pPr>
      <w:r>
        <w:rPr>
          <w:sz w:val="22"/>
          <w:szCs w:val="22"/>
        </w:rPr>
        <w:t xml:space="preserve">Management </w:t>
      </w:r>
      <w:proofErr w:type="spellStart"/>
      <w:r>
        <w:rPr>
          <w:sz w:val="22"/>
          <w:szCs w:val="22"/>
        </w:rPr>
        <w:t>System</w:t>
      </w:r>
      <w:proofErr w:type="spellEnd"/>
      <w:r>
        <w:rPr>
          <w:sz w:val="22"/>
          <w:szCs w:val="22"/>
        </w:rPr>
        <w:t>.</w:t>
      </w:r>
    </w:p>
    <w:p w14:paraId="1F7B073B" w14:textId="77777777" w:rsidR="00E255F4" w:rsidRDefault="00000000">
      <w:pPr>
        <w:numPr>
          <w:ilvl w:val="0"/>
          <w:numId w:val="26"/>
        </w:numPr>
        <w:tabs>
          <w:tab w:val="left" w:pos="851"/>
        </w:tabs>
        <w:jc w:val="both"/>
        <w:rPr>
          <w:sz w:val="22"/>
          <w:szCs w:val="22"/>
        </w:rPr>
      </w:pPr>
      <w:r>
        <w:rPr>
          <w:sz w:val="22"/>
          <w:szCs w:val="22"/>
        </w:rPr>
        <w:t xml:space="preserve">Data </w:t>
      </w:r>
      <w:proofErr w:type="spellStart"/>
      <w:r>
        <w:rPr>
          <w:sz w:val="22"/>
          <w:szCs w:val="22"/>
        </w:rPr>
        <w:t>Collection</w:t>
      </w:r>
      <w:proofErr w:type="spellEnd"/>
      <w:r>
        <w:rPr>
          <w:sz w:val="22"/>
          <w:szCs w:val="22"/>
        </w:rPr>
        <w:t xml:space="preserve"> </w:t>
      </w:r>
      <w:proofErr w:type="spellStart"/>
      <w:r>
        <w:rPr>
          <w:sz w:val="22"/>
          <w:szCs w:val="22"/>
        </w:rPr>
        <w:t>System</w:t>
      </w:r>
      <w:proofErr w:type="spellEnd"/>
      <w:r>
        <w:rPr>
          <w:sz w:val="22"/>
          <w:szCs w:val="22"/>
        </w:rPr>
        <w:t>.</w:t>
      </w:r>
    </w:p>
    <w:p w14:paraId="4DD113E3" w14:textId="77777777" w:rsidR="00E255F4" w:rsidRDefault="00E255F4">
      <w:pPr>
        <w:tabs>
          <w:tab w:val="left" w:pos="851"/>
        </w:tabs>
        <w:jc w:val="both"/>
        <w:rPr>
          <w:sz w:val="22"/>
          <w:szCs w:val="22"/>
        </w:rPr>
      </w:pPr>
    </w:p>
    <w:p w14:paraId="68F4C0CE" w14:textId="77777777" w:rsidR="00E255F4" w:rsidRDefault="00000000">
      <w:pPr>
        <w:tabs>
          <w:tab w:val="left" w:pos="851"/>
        </w:tabs>
        <w:jc w:val="both"/>
        <w:rPr>
          <w:sz w:val="22"/>
          <w:szCs w:val="22"/>
        </w:rPr>
      </w:pPr>
      <w:r>
        <w:rPr>
          <w:sz w:val="22"/>
          <w:szCs w:val="22"/>
        </w:rPr>
        <w:t xml:space="preserve">The </w:t>
      </w:r>
      <w:proofErr w:type="spellStart"/>
      <w:r>
        <w:rPr>
          <w:sz w:val="22"/>
          <w:szCs w:val="22"/>
        </w:rPr>
        <w:t>items</w:t>
      </w:r>
      <w:proofErr w:type="spellEnd"/>
      <w:r>
        <w:rPr>
          <w:sz w:val="22"/>
          <w:szCs w:val="22"/>
        </w:rPr>
        <w:t xml:space="preserve"> </w:t>
      </w:r>
      <w:proofErr w:type="spellStart"/>
      <w:r>
        <w:rPr>
          <w:sz w:val="22"/>
          <w:szCs w:val="22"/>
        </w:rPr>
        <w:t>indicated</w:t>
      </w:r>
      <w:proofErr w:type="spellEnd"/>
      <w:r>
        <w:rPr>
          <w:sz w:val="22"/>
          <w:szCs w:val="22"/>
        </w:rPr>
        <w:t xml:space="preserve"> in </w:t>
      </w:r>
      <w:proofErr w:type="spellStart"/>
      <w:r>
        <w:rPr>
          <w:sz w:val="22"/>
          <w:szCs w:val="22"/>
        </w:rPr>
        <w:t>points</w:t>
      </w:r>
      <w:proofErr w:type="spellEnd"/>
      <w:r>
        <w:rPr>
          <w:sz w:val="22"/>
          <w:szCs w:val="22"/>
        </w:rPr>
        <w:t xml:space="preserve"> 1 and 2 are </w:t>
      </w:r>
      <w:proofErr w:type="spellStart"/>
      <w:r>
        <w:rPr>
          <w:sz w:val="22"/>
          <w:szCs w:val="22"/>
        </w:rPr>
        <w:t>part</w:t>
      </w:r>
      <w:proofErr w:type="spellEnd"/>
      <w:r>
        <w:rPr>
          <w:sz w:val="22"/>
          <w:szCs w:val="22"/>
        </w:rPr>
        <w:t xml:space="preserve"> </w:t>
      </w:r>
      <w:proofErr w:type="spellStart"/>
      <w:r>
        <w:rPr>
          <w:sz w:val="22"/>
          <w:szCs w:val="22"/>
        </w:rPr>
        <w:t>of</w:t>
      </w:r>
      <w:proofErr w:type="spellEnd"/>
      <w:r>
        <w:rPr>
          <w:sz w:val="22"/>
          <w:szCs w:val="22"/>
        </w:rPr>
        <w:t xml:space="preserve"> </w:t>
      </w:r>
      <w:proofErr w:type="spellStart"/>
      <w:r>
        <w:rPr>
          <w:sz w:val="22"/>
          <w:szCs w:val="22"/>
        </w:rPr>
        <w:t>the</w:t>
      </w:r>
      <w:proofErr w:type="spellEnd"/>
      <w:r>
        <w:rPr>
          <w:sz w:val="22"/>
          <w:szCs w:val="22"/>
        </w:rPr>
        <w:t xml:space="preserve"> </w:t>
      </w:r>
      <w:proofErr w:type="spellStart"/>
      <w:r>
        <w:rPr>
          <w:sz w:val="22"/>
          <w:szCs w:val="22"/>
        </w:rPr>
        <w:t>solution</w:t>
      </w:r>
      <w:proofErr w:type="spellEnd"/>
      <w:r>
        <w:rPr>
          <w:sz w:val="22"/>
          <w:szCs w:val="22"/>
        </w:rPr>
        <w:t xml:space="preserve"> </w:t>
      </w:r>
      <w:proofErr w:type="spellStart"/>
      <w:r>
        <w:rPr>
          <w:sz w:val="22"/>
          <w:szCs w:val="22"/>
        </w:rPr>
        <w:t>provided</w:t>
      </w:r>
      <w:proofErr w:type="spellEnd"/>
      <w:r>
        <w:rPr>
          <w:sz w:val="22"/>
          <w:szCs w:val="22"/>
        </w:rPr>
        <w:t xml:space="preserve"> </w:t>
      </w:r>
      <w:proofErr w:type="spellStart"/>
      <w:r>
        <w:rPr>
          <w:sz w:val="22"/>
          <w:szCs w:val="22"/>
        </w:rPr>
        <w:t>by</w:t>
      </w:r>
      <w:proofErr w:type="spellEnd"/>
      <w:r>
        <w:rPr>
          <w:sz w:val="22"/>
          <w:szCs w:val="22"/>
        </w:rPr>
        <w:t xml:space="preserve"> </w:t>
      </w:r>
      <w:proofErr w:type="spellStart"/>
      <w:r>
        <w:rPr>
          <w:sz w:val="22"/>
          <w:szCs w:val="22"/>
        </w:rPr>
        <w:t>the</w:t>
      </w:r>
      <w:proofErr w:type="spellEnd"/>
      <w:r>
        <w:rPr>
          <w:sz w:val="22"/>
          <w:szCs w:val="22"/>
        </w:rPr>
        <w:t xml:space="preserve"> </w:t>
      </w:r>
      <w:proofErr w:type="spellStart"/>
      <w:r>
        <w:rPr>
          <w:sz w:val="22"/>
          <w:szCs w:val="22"/>
        </w:rPr>
        <w:t>contractor</w:t>
      </w:r>
      <w:proofErr w:type="spellEnd"/>
      <w:r>
        <w:rPr>
          <w:sz w:val="22"/>
          <w:szCs w:val="22"/>
        </w:rPr>
        <w:t>.</w:t>
      </w:r>
    </w:p>
    <w:p w14:paraId="10959AC5" w14:textId="77777777" w:rsidR="00E255F4" w:rsidRDefault="00000000">
      <w:pPr>
        <w:tabs>
          <w:tab w:val="left" w:pos="851"/>
        </w:tabs>
        <w:jc w:val="both"/>
      </w:pPr>
      <w:proofErr w:type="spellStart"/>
      <w:r>
        <w:rPr>
          <w:sz w:val="22"/>
          <w:szCs w:val="22"/>
        </w:rPr>
        <w:t>Item</w:t>
      </w:r>
      <w:proofErr w:type="spellEnd"/>
      <w:r>
        <w:rPr>
          <w:sz w:val="22"/>
          <w:szCs w:val="22"/>
        </w:rPr>
        <w:t xml:space="preserve"> 3 </w:t>
      </w:r>
      <w:proofErr w:type="spellStart"/>
      <w:r>
        <w:rPr>
          <w:sz w:val="22"/>
          <w:szCs w:val="22"/>
        </w:rPr>
        <w:t>is</w:t>
      </w:r>
      <w:proofErr w:type="spellEnd"/>
      <w:r>
        <w:rPr>
          <w:sz w:val="22"/>
          <w:szCs w:val="22"/>
        </w:rPr>
        <w:t xml:space="preserve"> </w:t>
      </w:r>
      <w:proofErr w:type="spellStart"/>
      <w:r>
        <w:rPr>
          <w:sz w:val="22"/>
          <w:szCs w:val="22"/>
        </w:rPr>
        <w:t>provided</w:t>
      </w:r>
      <w:proofErr w:type="spellEnd"/>
      <w:r>
        <w:rPr>
          <w:sz w:val="22"/>
          <w:szCs w:val="22"/>
        </w:rPr>
        <w:t xml:space="preserve"> </w:t>
      </w:r>
      <w:proofErr w:type="spellStart"/>
      <w:r>
        <w:rPr>
          <w:sz w:val="22"/>
          <w:szCs w:val="22"/>
        </w:rPr>
        <w:t>by</w:t>
      </w:r>
      <w:proofErr w:type="spellEnd"/>
      <w:r>
        <w:rPr>
          <w:sz w:val="22"/>
          <w:szCs w:val="22"/>
        </w:rPr>
        <w:t xml:space="preserve"> OSE and </w:t>
      </w:r>
      <w:proofErr w:type="spellStart"/>
      <w:r>
        <w:rPr>
          <w:sz w:val="22"/>
          <w:szCs w:val="22"/>
        </w:rPr>
        <w:t>is</w:t>
      </w:r>
      <w:proofErr w:type="spellEnd"/>
      <w:r>
        <w:rPr>
          <w:sz w:val="22"/>
          <w:szCs w:val="22"/>
        </w:rPr>
        <w:t xml:space="preserve"> </w:t>
      </w:r>
      <w:proofErr w:type="spellStart"/>
      <w:r>
        <w:rPr>
          <w:sz w:val="22"/>
          <w:szCs w:val="22"/>
        </w:rPr>
        <w:t>not</w:t>
      </w:r>
      <w:proofErr w:type="spellEnd"/>
      <w:r>
        <w:rPr>
          <w:sz w:val="22"/>
          <w:szCs w:val="22"/>
        </w:rPr>
        <w:t xml:space="preserve"> </w:t>
      </w:r>
      <w:proofErr w:type="spellStart"/>
      <w:r>
        <w:rPr>
          <w:sz w:val="22"/>
          <w:szCs w:val="22"/>
        </w:rPr>
        <w:t>part</w:t>
      </w:r>
      <w:proofErr w:type="spellEnd"/>
      <w:r>
        <w:rPr>
          <w:sz w:val="22"/>
          <w:szCs w:val="22"/>
        </w:rPr>
        <w:t xml:space="preserve"> </w:t>
      </w:r>
      <w:proofErr w:type="spellStart"/>
      <w:r>
        <w:rPr>
          <w:sz w:val="22"/>
          <w:szCs w:val="22"/>
        </w:rPr>
        <w:t>of</w:t>
      </w:r>
      <w:proofErr w:type="spellEnd"/>
      <w:r>
        <w:rPr>
          <w:sz w:val="22"/>
          <w:szCs w:val="22"/>
        </w:rPr>
        <w:t xml:space="preserve"> </w:t>
      </w:r>
      <w:proofErr w:type="spellStart"/>
      <w:r>
        <w:rPr>
          <w:sz w:val="22"/>
          <w:szCs w:val="22"/>
        </w:rPr>
        <w:t>the</w:t>
      </w:r>
      <w:proofErr w:type="spellEnd"/>
      <w:r>
        <w:rPr>
          <w:sz w:val="22"/>
          <w:szCs w:val="22"/>
        </w:rPr>
        <w:t xml:space="preserve"> </w:t>
      </w:r>
      <w:proofErr w:type="spellStart"/>
      <w:r>
        <w:rPr>
          <w:sz w:val="22"/>
          <w:szCs w:val="22"/>
        </w:rPr>
        <w:t>solution</w:t>
      </w:r>
      <w:proofErr w:type="spellEnd"/>
      <w:r>
        <w:rPr>
          <w:sz w:val="22"/>
          <w:szCs w:val="22"/>
        </w:rPr>
        <w:t xml:space="preserve"> </w:t>
      </w:r>
      <w:proofErr w:type="spellStart"/>
      <w:r>
        <w:rPr>
          <w:sz w:val="22"/>
          <w:szCs w:val="22"/>
        </w:rPr>
        <w:t>provided</w:t>
      </w:r>
      <w:proofErr w:type="spellEnd"/>
      <w:r>
        <w:rPr>
          <w:sz w:val="22"/>
          <w:szCs w:val="22"/>
        </w:rPr>
        <w:t xml:space="preserve"> </w:t>
      </w:r>
      <w:proofErr w:type="spellStart"/>
      <w:r>
        <w:rPr>
          <w:sz w:val="22"/>
          <w:szCs w:val="22"/>
        </w:rPr>
        <w:t>by</w:t>
      </w:r>
      <w:proofErr w:type="spellEnd"/>
      <w:r>
        <w:rPr>
          <w:sz w:val="22"/>
          <w:szCs w:val="22"/>
        </w:rPr>
        <w:t xml:space="preserve"> </w:t>
      </w:r>
      <w:proofErr w:type="spellStart"/>
      <w:r>
        <w:rPr>
          <w:sz w:val="22"/>
          <w:szCs w:val="22"/>
        </w:rPr>
        <w:t>the</w:t>
      </w:r>
      <w:proofErr w:type="spellEnd"/>
      <w:r>
        <w:rPr>
          <w:sz w:val="22"/>
          <w:szCs w:val="22"/>
        </w:rPr>
        <w:t xml:space="preserve"> </w:t>
      </w:r>
      <w:proofErr w:type="spellStart"/>
      <w:r>
        <w:rPr>
          <w:sz w:val="22"/>
          <w:szCs w:val="22"/>
        </w:rPr>
        <w:t>contractor</w:t>
      </w:r>
      <w:proofErr w:type="spellEnd"/>
      <w:r>
        <w:rPr>
          <w:sz w:val="22"/>
          <w:szCs w:val="22"/>
        </w:rPr>
        <w:t xml:space="preserve">. The </w:t>
      </w:r>
      <w:proofErr w:type="spellStart"/>
      <w:r>
        <w:rPr>
          <w:sz w:val="22"/>
          <w:szCs w:val="22"/>
        </w:rPr>
        <w:t>device</w:t>
      </w:r>
      <w:proofErr w:type="spellEnd"/>
      <w:r>
        <w:rPr>
          <w:sz w:val="22"/>
          <w:szCs w:val="22"/>
        </w:rPr>
        <w:t xml:space="preserve"> </w:t>
      </w:r>
      <w:proofErr w:type="spellStart"/>
      <w:r>
        <w:rPr>
          <w:sz w:val="22"/>
          <w:szCs w:val="22"/>
        </w:rPr>
        <w:t>must</w:t>
      </w:r>
      <w:proofErr w:type="spellEnd"/>
      <w:r>
        <w:rPr>
          <w:sz w:val="22"/>
          <w:szCs w:val="22"/>
        </w:rPr>
        <w:t xml:space="preserve"> </w:t>
      </w:r>
      <w:proofErr w:type="spellStart"/>
      <w:r>
        <w:rPr>
          <w:sz w:val="22"/>
          <w:szCs w:val="22"/>
        </w:rPr>
        <w:t>send</w:t>
      </w:r>
      <w:proofErr w:type="spellEnd"/>
      <w:r>
        <w:rPr>
          <w:sz w:val="22"/>
          <w:szCs w:val="22"/>
        </w:rPr>
        <w:t xml:space="preserve"> </w:t>
      </w:r>
      <w:proofErr w:type="spellStart"/>
      <w:r>
        <w:rPr>
          <w:sz w:val="22"/>
          <w:szCs w:val="22"/>
        </w:rPr>
        <w:t>the</w:t>
      </w:r>
      <w:proofErr w:type="spellEnd"/>
      <w:r>
        <w:rPr>
          <w:sz w:val="22"/>
          <w:szCs w:val="22"/>
        </w:rPr>
        <w:t xml:space="preserve"> </w:t>
      </w:r>
      <w:proofErr w:type="spellStart"/>
      <w:r>
        <w:rPr>
          <w:sz w:val="22"/>
          <w:szCs w:val="22"/>
        </w:rPr>
        <w:t>telemetry</w:t>
      </w:r>
      <w:proofErr w:type="spellEnd"/>
      <w:r>
        <w:rPr>
          <w:sz w:val="22"/>
          <w:szCs w:val="22"/>
        </w:rPr>
        <w:t xml:space="preserve"> data </w:t>
      </w:r>
      <w:proofErr w:type="spellStart"/>
      <w:r>
        <w:rPr>
          <w:sz w:val="22"/>
          <w:szCs w:val="22"/>
        </w:rPr>
        <w:t>to</w:t>
      </w:r>
      <w:proofErr w:type="spellEnd"/>
      <w:r>
        <w:rPr>
          <w:sz w:val="22"/>
          <w:szCs w:val="22"/>
        </w:rPr>
        <w:t xml:space="preserve"> </w:t>
      </w:r>
      <w:proofErr w:type="spellStart"/>
      <w:r>
        <w:rPr>
          <w:sz w:val="22"/>
          <w:szCs w:val="22"/>
        </w:rPr>
        <w:t>the</w:t>
      </w:r>
      <w:proofErr w:type="spellEnd"/>
      <w:r>
        <w:rPr>
          <w:sz w:val="22"/>
          <w:szCs w:val="22"/>
        </w:rPr>
        <w:t xml:space="preserve"> Data </w:t>
      </w:r>
      <w:proofErr w:type="spellStart"/>
      <w:r>
        <w:rPr>
          <w:sz w:val="22"/>
          <w:szCs w:val="22"/>
        </w:rPr>
        <w:t>Collection</w:t>
      </w:r>
      <w:proofErr w:type="spellEnd"/>
      <w:r>
        <w:rPr>
          <w:sz w:val="22"/>
          <w:szCs w:val="22"/>
        </w:rPr>
        <w:t xml:space="preserve"> </w:t>
      </w:r>
      <w:proofErr w:type="spellStart"/>
      <w:r>
        <w:rPr>
          <w:sz w:val="22"/>
          <w:szCs w:val="22"/>
        </w:rPr>
        <w:t>System</w:t>
      </w:r>
      <w:proofErr w:type="spellEnd"/>
      <w:r>
        <w:rPr>
          <w:sz w:val="22"/>
          <w:szCs w:val="22"/>
        </w:rPr>
        <w:t xml:space="preserve"> </w:t>
      </w:r>
      <w:proofErr w:type="spellStart"/>
      <w:r>
        <w:rPr>
          <w:sz w:val="22"/>
          <w:szCs w:val="22"/>
        </w:rPr>
        <w:t>using</w:t>
      </w:r>
      <w:proofErr w:type="spellEnd"/>
      <w:r>
        <w:rPr>
          <w:sz w:val="22"/>
          <w:szCs w:val="22"/>
        </w:rPr>
        <w:t xml:space="preserve"> </w:t>
      </w:r>
      <w:proofErr w:type="spellStart"/>
      <w:r>
        <w:rPr>
          <w:sz w:val="22"/>
          <w:szCs w:val="22"/>
        </w:rPr>
        <w:t>the</w:t>
      </w:r>
      <w:proofErr w:type="spellEnd"/>
      <w:r>
        <w:rPr>
          <w:sz w:val="22"/>
          <w:szCs w:val="22"/>
        </w:rPr>
        <w:t xml:space="preserve"> </w:t>
      </w:r>
      <w:proofErr w:type="spellStart"/>
      <w:r>
        <w:rPr>
          <w:sz w:val="22"/>
          <w:szCs w:val="22"/>
        </w:rPr>
        <w:t>specifications</w:t>
      </w:r>
      <w:proofErr w:type="spellEnd"/>
      <w:r>
        <w:rPr>
          <w:sz w:val="22"/>
          <w:szCs w:val="22"/>
        </w:rPr>
        <w:t xml:space="preserve"> </w:t>
      </w:r>
      <w:proofErr w:type="spellStart"/>
      <w:r>
        <w:rPr>
          <w:sz w:val="22"/>
          <w:szCs w:val="22"/>
        </w:rPr>
        <w:t>described</w:t>
      </w:r>
      <w:proofErr w:type="spellEnd"/>
      <w:r>
        <w:rPr>
          <w:sz w:val="22"/>
          <w:szCs w:val="22"/>
        </w:rPr>
        <w:t xml:space="preserve"> in </w:t>
      </w:r>
      <w:proofErr w:type="spellStart"/>
      <w:r>
        <w:rPr>
          <w:sz w:val="22"/>
          <w:szCs w:val="22"/>
        </w:rPr>
        <w:t>the</w:t>
      </w:r>
      <w:proofErr w:type="spellEnd"/>
      <w:r>
        <w:rPr>
          <w:sz w:val="22"/>
          <w:szCs w:val="22"/>
        </w:rPr>
        <w:t xml:space="preserve"> </w:t>
      </w:r>
      <w:proofErr w:type="spellStart"/>
      <w:r>
        <w:rPr>
          <w:sz w:val="22"/>
          <w:szCs w:val="22"/>
        </w:rPr>
        <w:t>following</w:t>
      </w:r>
      <w:proofErr w:type="spellEnd"/>
      <w:r>
        <w:rPr>
          <w:sz w:val="22"/>
          <w:szCs w:val="22"/>
        </w:rPr>
        <w:t xml:space="preserve"> </w:t>
      </w:r>
      <w:proofErr w:type="spellStart"/>
      <w:r>
        <w:rPr>
          <w:sz w:val="22"/>
          <w:szCs w:val="22"/>
        </w:rPr>
        <w:t>points</w:t>
      </w:r>
      <w:proofErr w:type="spellEnd"/>
      <w:r>
        <w:rPr>
          <w:sz w:val="22"/>
          <w:szCs w:val="22"/>
        </w:rPr>
        <w:t>.</w:t>
      </w:r>
    </w:p>
    <w:p w14:paraId="565F3BAD" w14:textId="77777777" w:rsidR="00E255F4" w:rsidRDefault="00E255F4">
      <w:pPr>
        <w:tabs>
          <w:tab w:val="left" w:pos="851"/>
        </w:tabs>
        <w:jc w:val="both"/>
        <w:rPr>
          <w:sz w:val="22"/>
          <w:szCs w:val="22"/>
        </w:rPr>
      </w:pPr>
    </w:p>
    <w:p w14:paraId="1E8139F6" w14:textId="77777777" w:rsidR="00E255F4" w:rsidRDefault="00000000">
      <w:pPr>
        <w:tabs>
          <w:tab w:val="left" w:pos="851"/>
        </w:tabs>
        <w:jc w:val="both"/>
        <w:rPr>
          <w:sz w:val="22"/>
          <w:szCs w:val="22"/>
        </w:rPr>
      </w:pPr>
      <w:r>
        <w:rPr>
          <w:sz w:val="22"/>
          <w:szCs w:val="22"/>
        </w:rPr>
        <w:t xml:space="preserve">The remote </w:t>
      </w:r>
      <w:proofErr w:type="spellStart"/>
      <w:r>
        <w:rPr>
          <w:sz w:val="22"/>
          <w:szCs w:val="22"/>
        </w:rPr>
        <w:t>metering</w:t>
      </w:r>
      <w:proofErr w:type="spellEnd"/>
      <w:r>
        <w:rPr>
          <w:sz w:val="22"/>
          <w:szCs w:val="22"/>
        </w:rPr>
        <w:t xml:space="preserve"> </w:t>
      </w:r>
      <w:proofErr w:type="spellStart"/>
      <w:r>
        <w:rPr>
          <w:sz w:val="22"/>
          <w:szCs w:val="22"/>
        </w:rPr>
        <w:t>devices</w:t>
      </w:r>
      <w:proofErr w:type="spellEnd"/>
      <w:r>
        <w:rPr>
          <w:sz w:val="22"/>
          <w:szCs w:val="22"/>
        </w:rPr>
        <w:t xml:space="preserve"> </w:t>
      </w:r>
      <w:proofErr w:type="spellStart"/>
      <w:r>
        <w:rPr>
          <w:sz w:val="22"/>
          <w:szCs w:val="22"/>
        </w:rPr>
        <w:t>installed</w:t>
      </w:r>
      <w:proofErr w:type="spellEnd"/>
      <w:r>
        <w:rPr>
          <w:sz w:val="22"/>
          <w:szCs w:val="22"/>
        </w:rPr>
        <w:t xml:space="preserve"> in </w:t>
      </w:r>
      <w:proofErr w:type="spellStart"/>
      <w:r>
        <w:rPr>
          <w:sz w:val="22"/>
          <w:szCs w:val="22"/>
        </w:rPr>
        <w:t>each</w:t>
      </w:r>
      <w:proofErr w:type="spellEnd"/>
      <w:r>
        <w:rPr>
          <w:sz w:val="22"/>
          <w:szCs w:val="22"/>
        </w:rPr>
        <w:t xml:space="preserve"> </w:t>
      </w:r>
      <w:proofErr w:type="spellStart"/>
      <w:r>
        <w:rPr>
          <w:sz w:val="22"/>
          <w:szCs w:val="22"/>
        </w:rPr>
        <w:t>drinking</w:t>
      </w:r>
      <w:proofErr w:type="spellEnd"/>
      <w:r>
        <w:rPr>
          <w:sz w:val="22"/>
          <w:szCs w:val="22"/>
        </w:rPr>
        <w:t xml:space="preserve"> </w:t>
      </w:r>
      <w:proofErr w:type="spellStart"/>
      <w:r>
        <w:rPr>
          <w:sz w:val="22"/>
          <w:szCs w:val="22"/>
        </w:rPr>
        <w:t>water</w:t>
      </w:r>
      <w:proofErr w:type="spellEnd"/>
      <w:r>
        <w:rPr>
          <w:sz w:val="22"/>
          <w:szCs w:val="22"/>
        </w:rPr>
        <w:t xml:space="preserve"> meter </w:t>
      </w:r>
      <w:proofErr w:type="spellStart"/>
      <w:r>
        <w:rPr>
          <w:sz w:val="22"/>
          <w:szCs w:val="22"/>
        </w:rPr>
        <w:t>will</w:t>
      </w:r>
      <w:proofErr w:type="spellEnd"/>
      <w:r>
        <w:rPr>
          <w:sz w:val="22"/>
          <w:szCs w:val="22"/>
        </w:rPr>
        <w:t xml:space="preserve"> </w:t>
      </w:r>
      <w:proofErr w:type="spellStart"/>
      <w:r>
        <w:rPr>
          <w:sz w:val="22"/>
          <w:szCs w:val="22"/>
        </w:rPr>
        <w:t>transmit</w:t>
      </w:r>
      <w:proofErr w:type="spellEnd"/>
      <w:r>
        <w:rPr>
          <w:sz w:val="22"/>
          <w:szCs w:val="22"/>
        </w:rPr>
        <w:t xml:space="preserve"> </w:t>
      </w:r>
      <w:proofErr w:type="spellStart"/>
      <w:r>
        <w:rPr>
          <w:sz w:val="22"/>
          <w:szCs w:val="22"/>
        </w:rPr>
        <w:t>information</w:t>
      </w:r>
      <w:proofErr w:type="spellEnd"/>
      <w:r>
        <w:rPr>
          <w:sz w:val="22"/>
          <w:szCs w:val="22"/>
        </w:rPr>
        <w:t xml:space="preserve"> </w:t>
      </w:r>
      <w:proofErr w:type="spellStart"/>
      <w:r>
        <w:rPr>
          <w:sz w:val="22"/>
          <w:szCs w:val="22"/>
        </w:rPr>
        <w:t>wirelessly</w:t>
      </w:r>
      <w:proofErr w:type="spellEnd"/>
      <w:r>
        <w:rPr>
          <w:sz w:val="22"/>
          <w:szCs w:val="22"/>
        </w:rPr>
        <w:t xml:space="preserve">, </w:t>
      </w:r>
      <w:proofErr w:type="spellStart"/>
      <w:r>
        <w:rPr>
          <w:sz w:val="22"/>
          <w:szCs w:val="22"/>
        </w:rPr>
        <w:t>using</w:t>
      </w:r>
      <w:proofErr w:type="spellEnd"/>
      <w:r>
        <w:rPr>
          <w:sz w:val="22"/>
          <w:szCs w:val="22"/>
        </w:rPr>
        <w:t xml:space="preserve"> </w:t>
      </w:r>
      <w:proofErr w:type="spellStart"/>
      <w:r>
        <w:rPr>
          <w:sz w:val="22"/>
          <w:szCs w:val="22"/>
        </w:rPr>
        <w:t>Antel's</w:t>
      </w:r>
      <w:proofErr w:type="spellEnd"/>
      <w:r>
        <w:rPr>
          <w:sz w:val="22"/>
          <w:szCs w:val="22"/>
        </w:rPr>
        <w:t xml:space="preserve"> </w:t>
      </w:r>
      <w:proofErr w:type="spellStart"/>
      <w:r>
        <w:rPr>
          <w:sz w:val="22"/>
          <w:szCs w:val="22"/>
        </w:rPr>
        <w:t>mobile</w:t>
      </w:r>
      <w:proofErr w:type="spellEnd"/>
      <w:r>
        <w:rPr>
          <w:sz w:val="22"/>
          <w:szCs w:val="22"/>
        </w:rPr>
        <w:t xml:space="preserve"> </w:t>
      </w:r>
      <w:proofErr w:type="spellStart"/>
      <w:r>
        <w:rPr>
          <w:sz w:val="22"/>
          <w:szCs w:val="22"/>
        </w:rPr>
        <w:t>network</w:t>
      </w:r>
      <w:proofErr w:type="spellEnd"/>
      <w:r>
        <w:rPr>
          <w:sz w:val="22"/>
          <w:szCs w:val="22"/>
        </w:rPr>
        <w:t xml:space="preserve"> </w:t>
      </w:r>
      <w:proofErr w:type="spellStart"/>
      <w:r>
        <w:rPr>
          <w:sz w:val="22"/>
          <w:szCs w:val="22"/>
        </w:rPr>
        <w:t>via</w:t>
      </w:r>
      <w:proofErr w:type="spellEnd"/>
      <w:r>
        <w:rPr>
          <w:sz w:val="22"/>
          <w:szCs w:val="22"/>
        </w:rPr>
        <w:t xml:space="preserve"> Cat-M </w:t>
      </w:r>
      <w:proofErr w:type="spellStart"/>
      <w:r>
        <w:rPr>
          <w:sz w:val="22"/>
          <w:szCs w:val="22"/>
        </w:rPr>
        <w:t>or</w:t>
      </w:r>
      <w:proofErr w:type="spellEnd"/>
      <w:r>
        <w:rPr>
          <w:sz w:val="22"/>
          <w:szCs w:val="22"/>
        </w:rPr>
        <w:t xml:space="preserve"> </w:t>
      </w:r>
      <w:proofErr w:type="spellStart"/>
      <w:r>
        <w:rPr>
          <w:sz w:val="22"/>
          <w:szCs w:val="22"/>
        </w:rPr>
        <w:t>nb-iot</w:t>
      </w:r>
      <w:proofErr w:type="spellEnd"/>
      <w:r>
        <w:rPr>
          <w:sz w:val="22"/>
          <w:szCs w:val="22"/>
        </w:rPr>
        <w:t xml:space="preserve"> </w:t>
      </w:r>
      <w:proofErr w:type="spellStart"/>
      <w:r>
        <w:rPr>
          <w:sz w:val="22"/>
          <w:szCs w:val="22"/>
        </w:rPr>
        <w:t>access</w:t>
      </w:r>
      <w:proofErr w:type="spellEnd"/>
      <w:r>
        <w:rPr>
          <w:sz w:val="22"/>
          <w:szCs w:val="22"/>
        </w:rPr>
        <w:t xml:space="preserve">. No </w:t>
      </w:r>
      <w:proofErr w:type="spellStart"/>
      <w:r>
        <w:rPr>
          <w:sz w:val="22"/>
          <w:szCs w:val="22"/>
        </w:rPr>
        <w:t>other</w:t>
      </w:r>
      <w:proofErr w:type="spellEnd"/>
      <w:r>
        <w:rPr>
          <w:sz w:val="22"/>
          <w:szCs w:val="22"/>
        </w:rPr>
        <w:t xml:space="preserve"> </w:t>
      </w:r>
      <w:proofErr w:type="spellStart"/>
      <w:r>
        <w:rPr>
          <w:sz w:val="22"/>
          <w:szCs w:val="22"/>
        </w:rPr>
        <w:t>connectivity</w:t>
      </w:r>
      <w:proofErr w:type="spellEnd"/>
      <w:r>
        <w:rPr>
          <w:sz w:val="22"/>
          <w:szCs w:val="22"/>
        </w:rPr>
        <w:t xml:space="preserve"> </w:t>
      </w:r>
      <w:proofErr w:type="spellStart"/>
      <w:r>
        <w:rPr>
          <w:sz w:val="22"/>
          <w:szCs w:val="22"/>
        </w:rPr>
        <w:t>technology</w:t>
      </w:r>
      <w:proofErr w:type="spellEnd"/>
      <w:r>
        <w:rPr>
          <w:sz w:val="22"/>
          <w:szCs w:val="22"/>
        </w:rPr>
        <w:t xml:space="preserve"> </w:t>
      </w:r>
      <w:proofErr w:type="spellStart"/>
      <w:r>
        <w:rPr>
          <w:sz w:val="22"/>
          <w:szCs w:val="22"/>
        </w:rPr>
        <w:t>will</w:t>
      </w:r>
      <w:proofErr w:type="spellEnd"/>
      <w:r>
        <w:rPr>
          <w:sz w:val="22"/>
          <w:szCs w:val="22"/>
        </w:rPr>
        <w:t xml:space="preserve"> be </w:t>
      </w:r>
      <w:proofErr w:type="spellStart"/>
      <w:r>
        <w:rPr>
          <w:sz w:val="22"/>
          <w:szCs w:val="22"/>
        </w:rPr>
        <w:t>supported</w:t>
      </w:r>
      <w:proofErr w:type="spellEnd"/>
      <w:r>
        <w:rPr>
          <w:sz w:val="22"/>
          <w:szCs w:val="22"/>
        </w:rPr>
        <w:t>.</w:t>
      </w:r>
    </w:p>
    <w:p w14:paraId="5E994B3C" w14:textId="77777777" w:rsidR="00E255F4" w:rsidRDefault="00E255F4">
      <w:pPr>
        <w:tabs>
          <w:tab w:val="left" w:pos="851"/>
        </w:tabs>
        <w:jc w:val="both"/>
        <w:rPr>
          <w:sz w:val="22"/>
          <w:szCs w:val="22"/>
        </w:rPr>
      </w:pPr>
    </w:p>
    <w:p w14:paraId="39E837D4" w14:textId="77777777" w:rsidR="00E255F4" w:rsidRDefault="00000000">
      <w:pPr>
        <w:tabs>
          <w:tab w:val="left" w:pos="851"/>
        </w:tabs>
        <w:jc w:val="both"/>
      </w:pPr>
      <w:r>
        <w:rPr>
          <w:sz w:val="22"/>
          <w:szCs w:val="22"/>
        </w:rPr>
        <w:t xml:space="preserve">The </w:t>
      </w:r>
      <w:proofErr w:type="spellStart"/>
      <w:r>
        <w:rPr>
          <w:sz w:val="22"/>
          <w:szCs w:val="22"/>
        </w:rPr>
        <w:t>system</w:t>
      </w:r>
      <w:proofErr w:type="spellEnd"/>
      <w:r>
        <w:rPr>
          <w:sz w:val="22"/>
          <w:szCs w:val="22"/>
        </w:rPr>
        <w:t xml:space="preserve"> </w:t>
      </w:r>
      <w:proofErr w:type="spellStart"/>
      <w:r>
        <w:rPr>
          <w:sz w:val="22"/>
          <w:szCs w:val="22"/>
        </w:rPr>
        <w:t>must</w:t>
      </w:r>
      <w:proofErr w:type="spellEnd"/>
      <w:r>
        <w:rPr>
          <w:sz w:val="22"/>
          <w:szCs w:val="22"/>
        </w:rPr>
        <w:t xml:space="preserve"> </w:t>
      </w:r>
      <w:proofErr w:type="spellStart"/>
      <w:r>
        <w:rPr>
          <w:sz w:val="22"/>
          <w:szCs w:val="22"/>
        </w:rPr>
        <w:t>support</w:t>
      </w:r>
      <w:proofErr w:type="spellEnd"/>
      <w:r>
        <w:rPr>
          <w:sz w:val="22"/>
          <w:szCs w:val="22"/>
        </w:rPr>
        <w:t xml:space="preserve"> </w:t>
      </w:r>
      <w:proofErr w:type="spellStart"/>
      <w:r>
        <w:rPr>
          <w:sz w:val="22"/>
          <w:szCs w:val="22"/>
        </w:rPr>
        <w:t>connection</w:t>
      </w:r>
      <w:proofErr w:type="spellEnd"/>
      <w:r>
        <w:rPr>
          <w:sz w:val="22"/>
          <w:szCs w:val="22"/>
        </w:rPr>
        <w:t xml:space="preserve"> </w:t>
      </w:r>
      <w:proofErr w:type="spellStart"/>
      <w:r>
        <w:rPr>
          <w:sz w:val="22"/>
          <w:szCs w:val="22"/>
        </w:rPr>
        <w:t>via</w:t>
      </w:r>
      <w:proofErr w:type="spellEnd"/>
      <w:r>
        <w:rPr>
          <w:sz w:val="22"/>
          <w:szCs w:val="22"/>
        </w:rPr>
        <w:t xml:space="preserve"> a Virtual Private Network, </w:t>
      </w:r>
      <w:proofErr w:type="spellStart"/>
      <w:r>
        <w:rPr>
          <w:sz w:val="22"/>
          <w:szCs w:val="22"/>
        </w:rPr>
        <w:t>implemented</w:t>
      </w:r>
      <w:proofErr w:type="spellEnd"/>
      <w:r>
        <w:rPr>
          <w:sz w:val="22"/>
          <w:szCs w:val="22"/>
        </w:rPr>
        <w:t xml:space="preserve"> </w:t>
      </w:r>
      <w:proofErr w:type="spellStart"/>
      <w:r>
        <w:rPr>
          <w:sz w:val="22"/>
          <w:szCs w:val="22"/>
        </w:rPr>
        <w:t>on</w:t>
      </w:r>
      <w:proofErr w:type="spellEnd"/>
      <w:r>
        <w:rPr>
          <w:sz w:val="22"/>
          <w:szCs w:val="22"/>
        </w:rPr>
        <w:t xml:space="preserve"> </w:t>
      </w:r>
      <w:proofErr w:type="spellStart"/>
      <w:r>
        <w:rPr>
          <w:sz w:val="22"/>
          <w:szCs w:val="22"/>
        </w:rPr>
        <w:t>the</w:t>
      </w:r>
      <w:proofErr w:type="spellEnd"/>
      <w:r>
        <w:rPr>
          <w:sz w:val="22"/>
          <w:szCs w:val="22"/>
        </w:rPr>
        <w:t xml:space="preserve"> </w:t>
      </w:r>
      <w:proofErr w:type="spellStart"/>
      <w:r>
        <w:rPr>
          <w:sz w:val="22"/>
          <w:szCs w:val="22"/>
        </w:rPr>
        <w:t>mobile</w:t>
      </w:r>
      <w:proofErr w:type="spellEnd"/>
      <w:r>
        <w:rPr>
          <w:sz w:val="22"/>
          <w:szCs w:val="22"/>
        </w:rPr>
        <w:t xml:space="preserve"> </w:t>
      </w:r>
      <w:proofErr w:type="spellStart"/>
      <w:r>
        <w:rPr>
          <w:sz w:val="22"/>
          <w:szCs w:val="22"/>
        </w:rPr>
        <w:t>access</w:t>
      </w:r>
      <w:proofErr w:type="spellEnd"/>
      <w:r>
        <w:rPr>
          <w:sz w:val="22"/>
          <w:szCs w:val="22"/>
        </w:rPr>
        <w:t xml:space="preserve"> </w:t>
      </w:r>
      <w:proofErr w:type="spellStart"/>
      <w:r>
        <w:rPr>
          <w:sz w:val="22"/>
          <w:szCs w:val="22"/>
        </w:rPr>
        <w:t>point</w:t>
      </w:r>
      <w:proofErr w:type="spellEnd"/>
      <w:r>
        <w:rPr>
          <w:sz w:val="22"/>
          <w:szCs w:val="22"/>
        </w:rPr>
        <w:t xml:space="preserve"> and </w:t>
      </w:r>
      <w:proofErr w:type="spellStart"/>
      <w:r>
        <w:rPr>
          <w:sz w:val="22"/>
          <w:szCs w:val="22"/>
        </w:rPr>
        <w:t>endpoint</w:t>
      </w:r>
      <w:proofErr w:type="spellEnd"/>
      <w:r>
        <w:rPr>
          <w:sz w:val="22"/>
          <w:szCs w:val="22"/>
        </w:rPr>
        <w:t xml:space="preserve"> </w:t>
      </w:r>
      <w:proofErr w:type="spellStart"/>
      <w:r>
        <w:rPr>
          <w:sz w:val="22"/>
          <w:szCs w:val="22"/>
        </w:rPr>
        <w:t>equipment</w:t>
      </w:r>
      <w:proofErr w:type="spellEnd"/>
      <w:r>
        <w:rPr>
          <w:sz w:val="22"/>
          <w:szCs w:val="22"/>
        </w:rPr>
        <w:t xml:space="preserve">. Dynamic </w:t>
      </w:r>
      <w:proofErr w:type="spellStart"/>
      <w:r>
        <w:rPr>
          <w:sz w:val="22"/>
          <w:szCs w:val="22"/>
        </w:rPr>
        <w:t>private</w:t>
      </w:r>
      <w:proofErr w:type="spellEnd"/>
      <w:r>
        <w:rPr>
          <w:sz w:val="22"/>
          <w:szCs w:val="22"/>
        </w:rPr>
        <w:t xml:space="preserve"> </w:t>
      </w:r>
      <w:proofErr w:type="spellStart"/>
      <w:r>
        <w:rPr>
          <w:sz w:val="22"/>
          <w:szCs w:val="22"/>
        </w:rPr>
        <w:t>IPs</w:t>
      </w:r>
      <w:proofErr w:type="spellEnd"/>
      <w:r>
        <w:rPr>
          <w:sz w:val="22"/>
          <w:szCs w:val="22"/>
        </w:rPr>
        <w:t xml:space="preserve"> (IPv4 </w:t>
      </w:r>
      <w:proofErr w:type="spellStart"/>
      <w:r>
        <w:rPr>
          <w:sz w:val="22"/>
          <w:szCs w:val="22"/>
        </w:rPr>
        <w:t>or</w:t>
      </w:r>
      <w:proofErr w:type="spellEnd"/>
      <w:r>
        <w:rPr>
          <w:sz w:val="22"/>
          <w:szCs w:val="22"/>
        </w:rPr>
        <w:t xml:space="preserve"> IPv6) </w:t>
      </w:r>
      <w:proofErr w:type="spellStart"/>
      <w:r>
        <w:rPr>
          <w:sz w:val="22"/>
          <w:szCs w:val="22"/>
        </w:rPr>
        <w:t>will</w:t>
      </w:r>
      <w:proofErr w:type="spellEnd"/>
      <w:r>
        <w:rPr>
          <w:sz w:val="22"/>
          <w:szCs w:val="22"/>
        </w:rPr>
        <w:t xml:space="preserve"> be </w:t>
      </w:r>
      <w:proofErr w:type="spellStart"/>
      <w:r>
        <w:rPr>
          <w:sz w:val="22"/>
          <w:szCs w:val="22"/>
        </w:rPr>
        <w:t>used</w:t>
      </w:r>
      <w:proofErr w:type="spellEnd"/>
      <w:r>
        <w:rPr>
          <w:sz w:val="22"/>
          <w:szCs w:val="22"/>
        </w:rPr>
        <w:t>.</w:t>
      </w:r>
    </w:p>
    <w:p w14:paraId="1CB2A399" w14:textId="77777777" w:rsidR="00E255F4" w:rsidRDefault="00E255F4">
      <w:pPr>
        <w:tabs>
          <w:tab w:val="left" w:pos="851"/>
        </w:tabs>
        <w:jc w:val="both"/>
        <w:rPr>
          <w:sz w:val="22"/>
          <w:szCs w:val="22"/>
        </w:rPr>
      </w:pPr>
    </w:p>
    <w:p w14:paraId="0C3AE76C" w14:textId="77777777" w:rsidR="00E255F4" w:rsidRDefault="00000000">
      <w:pPr>
        <w:tabs>
          <w:tab w:val="left" w:pos="851"/>
        </w:tabs>
        <w:jc w:val="both"/>
        <w:rPr>
          <w:sz w:val="22"/>
          <w:szCs w:val="22"/>
        </w:rPr>
      </w:pPr>
      <w:r>
        <w:rPr>
          <w:sz w:val="22"/>
          <w:szCs w:val="22"/>
        </w:rPr>
        <w:t xml:space="preserve">The </w:t>
      </w:r>
      <w:proofErr w:type="spellStart"/>
      <w:r>
        <w:rPr>
          <w:sz w:val="22"/>
          <w:szCs w:val="22"/>
        </w:rPr>
        <w:t>costs</w:t>
      </w:r>
      <w:proofErr w:type="spellEnd"/>
      <w:r>
        <w:rPr>
          <w:sz w:val="22"/>
          <w:szCs w:val="22"/>
        </w:rPr>
        <w:t xml:space="preserve"> </w:t>
      </w:r>
      <w:proofErr w:type="spellStart"/>
      <w:r>
        <w:rPr>
          <w:sz w:val="22"/>
          <w:szCs w:val="22"/>
        </w:rPr>
        <w:t>associated</w:t>
      </w:r>
      <w:proofErr w:type="spellEnd"/>
      <w:r>
        <w:rPr>
          <w:sz w:val="22"/>
          <w:szCs w:val="22"/>
        </w:rPr>
        <w:t xml:space="preserve"> </w:t>
      </w:r>
      <w:proofErr w:type="spellStart"/>
      <w:r>
        <w:rPr>
          <w:sz w:val="22"/>
          <w:szCs w:val="22"/>
        </w:rPr>
        <w:t>with</w:t>
      </w:r>
      <w:proofErr w:type="spellEnd"/>
      <w:r>
        <w:rPr>
          <w:sz w:val="22"/>
          <w:szCs w:val="22"/>
        </w:rPr>
        <w:t xml:space="preserve"> </w:t>
      </w:r>
      <w:proofErr w:type="spellStart"/>
      <w:r>
        <w:rPr>
          <w:sz w:val="22"/>
          <w:szCs w:val="22"/>
        </w:rPr>
        <w:t>connectivity</w:t>
      </w:r>
      <w:proofErr w:type="spellEnd"/>
      <w:r>
        <w:rPr>
          <w:sz w:val="22"/>
          <w:szCs w:val="22"/>
        </w:rPr>
        <w:t xml:space="preserve"> </w:t>
      </w:r>
      <w:proofErr w:type="spellStart"/>
      <w:r>
        <w:rPr>
          <w:sz w:val="22"/>
          <w:szCs w:val="22"/>
        </w:rPr>
        <w:t>for</w:t>
      </w:r>
      <w:proofErr w:type="spellEnd"/>
      <w:r>
        <w:rPr>
          <w:sz w:val="22"/>
          <w:szCs w:val="22"/>
        </w:rPr>
        <w:t xml:space="preserve"> </w:t>
      </w:r>
      <w:proofErr w:type="spellStart"/>
      <w:r>
        <w:rPr>
          <w:sz w:val="22"/>
          <w:szCs w:val="22"/>
        </w:rPr>
        <w:t>the</w:t>
      </w:r>
      <w:proofErr w:type="spellEnd"/>
      <w:r>
        <w:rPr>
          <w:sz w:val="22"/>
          <w:szCs w:val="22"/>
        </w:rPr>
        <w:t xml:space="preserve"> </w:t>
      </w:r>
      <w:proofErr w:type="spellStart"/>
      <w:r>
        <w:rPr>
          <w:sz w:val="22"/>
          <w:szCs w:val="22"/>
        </w:rPr>
        <w:t>delivery</w:t>
      </w:r>
      <w:proofErr w:type="spellEnd"/>
      <w:r>
        <w:rPr>
          <w:sz w:val="22"/>
          <w:szCs w:val="22"/>
        </w:rPr>
        <w:t xml:space="preserve"> </w:t>
      </w:r>
      <w:proofErr w:type="spellStart"/>
      <w:r>
        <w:rPr>
          <w:sz w:val="22"/>
          <w:szCs w:val="22"/>
        </w:rPr>
        <w:t>of</w:t>
      </w:r>
      <w:proofErr w:type="spellEnd"/>
      <w:r>
        <w:rPr>
          <w:sz w:val="22"/>
          <w:szCs w:val="22"/>
        </w:rPr>
        <w:t xml:space="preserve"> </w:t>
      </w:r>
      <w:proofErr w:type="spellStart"/>
      <w:r>
        <w:rPr>
          <w:sz w:val="22"/>
          <w:szCs w:val="22"/>
        </w:rPr>
        <w:t>remotely</w:t>
      </w:r>
      <w:proofErr w:type="spellEnd"/>
      <w:r>
        <w:rPr>
          <w:sz w:val="22"/>
          <w:szCs w:val="22"/>
        </w:rPr>
        <w:t xml:space="preserve"> </w:t>
      </w:r>
      <w:proofErr w:type="spellStart"/>
      <w:r>
        <w:rPr>
          <w:sz w:val="22"/>
          <w:szCs w:val="22"/>
        </w:rPr>
        <w:t>metered</w:t>
      </w:r>
      <w:proofErr w:type="spellEnd"/>
      <w:r>
        <w:rPr>
          <w:sz w:val="22"/>
          <w:szCs w:val="22"/>
        </w:rPr>
        <w:t xml:space="preserve"> data </w:t>
      </w:r>
      <w:proofErr w:type="spellStart"/>
      <w:r>
        <w:rPr>
          <w:sz w:val="22"/>
          <w:szCs w:val="22"/>
        </w:rPr>
        <w:t>should</w:t>
      </w:r>
      <w:proofErr w:type="spellEnd"/>
      <w:r>
        <w:rPr>
          <w:sz w:val="22"/>
          <w:szCs w:val="22"/>
        </w:rPr>
        <w:t xml:space="preserve"> </w:t>
      </w:r>
      <w:proofErr w:type="spellStart"/>
      <w:r>
        <w:rPr>
          <w:sz w:val="22"/>
          <w:szCs w:val="22"/>
        </w:rPr>
        <w:t>not</w:t>
      </w:r>
      <w:proofErr w:type="spellEnd"/>
      <w:r>
        <w:rPr>
          <w:sz w:val="22"/>
          <w:szCs w:val="22"/>
        </w:rPr>
        <w:t xml:space="preserve"> be </w:t>
      </w:r>
      <w:proofErr w:type="spellStart"/>
      <w:r>
        <w:rPr>
          <w:sz w:val="22"/>
          <w:szCs w:val="22"/>
        </w:rPr>
        <w:t>included</w:t>
      </w:r>
      <w:proofErr w:type="spellEnd"/>
      <w:r>
        <w:rPr>
          <w:sz w:val="22"/>
          <w:szCs w:val="22"/>
        </w:rPr>
        <w:t xml:space="preserve"> in </w:t>
      </w:r>
      <w:proofErr w:type="spellStart"/>
      <w:r>
        <w:rPr>
          <w:sz w:val="22"/>
          <w:szCs w:val="22"/>
        </w:rPr>
        <w:t>the</w:t>
      </w:r>
      <w:proofErr w:type="spellEnd"/>
      <w:r>
        <w:rPr>
          <w:sz w:val="22"/>
          <w:szCs w:val="22"/>
        </w:rPr>
        <w:t xml:space="preserve"> </w:t>
      </w:r>
      <w:proofErr w:type="spellStart"/>
      <w:r>
        <w:rPr>
          <w:sz w:val="22"/>
          <w:szCs w:val="22"/>
        </w:rPr>
        <w:t>commercial</w:t>
      </w:r>
      <w:proofErr w:type="spellEnd"/>
      <w:r>
        <w:rPr>
          <w:sz w:val="22"/>
          <w:szCs w:val="22"/>
        </w:rPr>
        <w:t xml:space="preserve"> </w:t>
      </w:r>
      <w:proofErr w:type="spellStart"/>
      <w:r>
        <w:rPr>
          <w:sz w:val="22"/>
          <w:szCs w:val="22"/>
        </w:rPr>
        <w:t>offer</w:t>
      </w:r>
      <w:proofErr w:type="spellEnd"/>
      <w:r>
        <w:rPr>
          <w:sz w:val="22"/>
          <w:szCs w:val="22"/>
        </w:rPr>
        <w:t xml:space="preserve">. </w:t>
      </w:r>
      <w:proofErr w:type="spellStart"/>
      <w:r>
        <w:rPr>
          <w:sz w:val="22"/>
          <w:szCs w:val="22"/>
        </w:rPr>
        <w:t>These</w:t>
      </w:r>
      <w:proofErr w:type="spellEnd"/>
      <w:r>
        <w:rPr>
          <w:sz w:val="22"/>
          <w:szCs w:val="22"/>
        </w:rPr>
        <w:t xml:space="preserve"> </w:t>
      </w:r>
      <w:proofErr w:type="spellStart"/>
      <w:r>
        <w:rPr>
          <w:sz w:val="22"/>
          <w:szCs w:val="22"/>
        </w:rPr>
        <w:t>costs</w:t>
      </w:r>
      <w:proofErr w:type="spellEnd"/>
      <w:r>
        <w:rPr>
          <w:sz w:val="22"/>
          <w:szCs w:val="22"/>
        </w:rPr>
        <w:t xml:space="preserve"> </w:t>
      </w:r>
      <w:proofErr w:type="spellStart"/>
      <w:r>
        <w:rPr>
          <w:sz w:val="22"/>
          <w:szCs w:val="22"/>
        </w:rPr>
        <w:t>will</w:t>
      </w:r>
      <w:proofErr w:type="spellEnd"/>
      <w:r>
        <w:rPr>
          <w:sz w:val="22"/>
          <w:szCs w:val="22"/>
        </w:rPr>
        <w:t xml:space="preserve"> be resolved </w:t>
      </w:r>
      <w:proofErr w:type="spellStart"/>
      <w:r>
        <w:rPr>
          <w:sz w:val="22"/>
          <w:szCs w:val="22"/>
        </w:rPr>
        <w:t>through</w:t>
      </w:r>
      <w:proofErr w:type="spellEnd"/>
      <w:r>
        <w:rPr>
          <w:sz w:val="22"/>
          <w:szCs w:val="22"/>
        </w:rPr>
        <w:t xml:space="preserve"> </w:t>
      </w:r>
      <w:proofErr w:type="spellStart"/>
      <w:r>
        <w:rPr>
          <w:sz w:val="22"/>
          <w:szCs w:val="22"/>
        </w:rPr>
        <w:t>an</w:t>
      </w:r>
      <w:proofErr w:type="spellEnd"/>
      <w:r>
        <w:rPr>
          <w:sz w:val="22"/>
          <w:szCs w:val="22"/>
        </w:rPr>
        <w:t xml:space="preserve"> </w:t>
      </w:r>
      <w:proofErr w:type="spellStart"/>
      <w:r>
        <w:rPr>
          <w:sz w:val="22"/>
          <w:szCs w:val="22"/>
        </w:rPr>
        <w:t>agreement</w:t>
      </w:r>
      <w:proofErr w:type="spellEnd"/>
      <w:r>
        <w:rPr>
          <w:sz w:val="22"/>
          <w:szCs w:val="22"/>
        </w:rPr>
        <w:t xml:space="preserve"> </w:t>
      </w:r>
      <w:proofErr w:type="spellStart"/>
      <w:r>
        <w:rPr>
          <w:sz w:val="22"/>
          <w:szCs w:val="22"/>
        </w:rPr>
        <w:t>between</w:t>
      </w:r>
      <w:proofErr w:type="spellEnd"/>
      <w:r>
        <w:rPr>
          <w:sz w:val="22"/>
          <w:szCs w:val="22"/>
        </w:rPr>
        <w:t xml:space="preserve"> OSE and Antel.</w:t>
      </w:r>
    </w:p>
    <w:p w14:paraId="4ACCCE9C" w14:textId="77777777" w:rsidR="00E255F4" w:rsidRDefault="00E255F4">
      <w:pPr>
        <w:tabs>
          <w:tab w:val="left" w:pos="851"/>
        </w:tabs>
        <w:jc w:val="both"/>
        <w:rPr>
          <w:sz w:val="22"/>
          <w:szCs w:val="22"/>
        </w:rPr>
      </w:pPr>
    </w:p>
    <w:p w14:paraId="2E1F0F3D" w14:textId="77777777" w:rsidR="00E255F4" w:rsidRDefault="00000000">
      <w:pPr>
        <w:tabs>
          <w:tab w:val="left" w:pos="851"/>
        </w:tabs>
        <w:jc w:val="both"/>
      </w:pPr>
      <w:r>
        <w:rPr>
          <w:sz w:val="22"/>
          <w:szCs w:val="22"/>
        </w:rPr>
        <w:t xml:space="preserve">The </w:t>
      </w:r>
      <w:proofErr w:type="spellStart"/>
      <w:r>
        <w:rPr>
          <w:sz w:val="22"/>
          <w:szCs w:val="22"/>
        </w:rPr>
        <w:t>smart</w:t>
      </w:r>
      <w:proofErr w:type="spellEnd"/>
      <w:r>
        <w:rPr>
          <w:sz w:val="22"/>
          <w:szCs w:val="22"/>
        </w:rPr>
        <w:t xml:space="preserve"> </w:t>
      </w:r>
      <w:proofErr w:type="spellStart"/>
      <w:r>
        <w:rPr>
          <w:sz w:val="22"/>
          <w:szCs w:val="22"/>
        </w:rPr>
        <w:t>meters</w:t>
      </w:r>
      <w:proofErr w:type="spellEnd"/>
      <w:r>
        <w:rPr>
          <w:sz w:val="22"/>
          <w:szCs w:val="22"/>
        </w:rPr>
        <w:t xml:space="preserve"> </w:t>
      </w:r>
      <w:proofErr w:type="spellStart"/>
      <w:r>
        <w:rPr>
          <w:sz w:val="22"/>
          <w:szCs w:val="22"/>
        </w:rPr>
        <w:t>will</w:t>
      </w:r>
      <w:proofErr w:type="spellEnd"/>
      <w:r>
        <w:rPr>
          <w:sz w:val="22"/>
          <w:szCs w:val="22"/>
        </w:rPr>
        <w:t xml:space="preserve"> </w:t>
      </w:r>
      <w:proofErr w:type="spellStart"/>
      <w:r>
        <w:rPr>
          <w:sz w:val="22"/>
          <w:szCs w:val="22"/>
        </w:rPr>
        <w:t>connect</w:t>
      </w:r>
      <w:proofErr w:type="spellEnd"/>
      <w:r>
        <w:rPr>
          <w:sz w:val="22"/>
          <w:szCs w:val="22"/>
        </w:rPr>
        <w:t xml:space="preserve"> </w:t>
      </w:r>
      <w:proofErr w:type="spellStart"/>
      <w:r>
        <w:rPr>
          <w:sz w:val="22"/>
          <w:szCs w:val="22"/>
        </w:rPr>
        <w:t>to</w:t>
      </w:r>
      <w:proofErr w:type="spellEnd"/>
      <w:r>
        <w:rPr>
          <w:sz w:val="22"/>
          <w:szCs w:val="22"/>
        </w:rPr>
        <w:t xml:space="preserve"> </w:t>
      </w:r>
      <w:proofErr w:type="spellStart"/>
      <w:r>
        <w:rPr>
          <w:sz w:val="22"/>
          <w:szCs w:val="22"/>
        </w:rPr>
        <w:t>the</w:t>
      </w:r>
      <w:proofErr w:type="spellEnd"/>
      <w:r>
        <w:rPr>
          <w:sz w:val="22"/>
          <w:szCs w:val="22"/>
        </w:rPr>
        <w:t xml:space="preserve"> Data </w:t>
      </w:r>
      <w:proofErr w:type="spellStart"/>
      <w:r>
        <w:rPr>
          <w:sz w:val="22"/>
          <w:szCs w:val="22"/>
        </w:rPr>
        <w:t>Collection</w:t>
      </w:r>
      <w:proofErr w:type="spellEnd"/>
      <w:r>
        <w:rPr>
          <w:sz w:val="22"/>
          <w:szCs w:val="22"/>
        </w:rPr>
        <w:t xml:space="preserve"> </w:t>
      </w:r>
      <w:proofErr w:type="spellStart"/>
      <w:r>
        <w:rPr>
          <w:sz w:val="22"/>
          <w:szCs w:val="22"/>
        </w:rPr>
        <w:t>System</w:t>
      </w:r>
      <w:proofErr w:type="spellEnd"/>
      <w:r>
        <w:rPr>
          <w:sz w:val="22"/>
          <w:szCs w:val="22"/>
        </w:rPr>
        <w:t xml:space="preserve">, </w:t>
      </w:r>
      <w:proofErr w:type="spellStart"/>
      <w:r>
        <w:rPr>
          <w:sz w:val="22"/>
          <w:szCs w:val="22"/>
        </w:rPr>
        <w:t>where</w:t>
      </w:r>
      <w:proofErr w:type="spellEnd"/>
      <w:r>
        <w:rPr>
          <w:sz w:val="22"/>
          <w:szCs w:val="22"/>
        </w:rPr>
        <w:t xml:space="preserve"> </w:t>
      </w:r>
      <w:proofErr w:type="spellStart"/>
      <w:r>
        <w:rPr>
          <w:sz w:val="22"/>
          <w:szCs w:val="22"/>
        </w:rPr>
        <w:t>they</w:t>
      </w:r>
      <w:proofErr w:type="spellEnd"/>
      <w:r>
        <w:rPr>
          <w:sz w:val="22"/>
          <w:szCs w:val="22"/>
        </w:rPr>
        <w:t xml:space="preserve"> </w:t>
      </w:r>
      <w:proofErr w:type="spellStart"/>
      <w:r>
        <w:rPr>
          <w:sz w:val="22"/>
          <w:szCs w:val="22"/>
        </w:rPr>
        <w:t>will</w:t>
      </w:r>
      <w:proofErr w:type="spellEnd"/>
      <w:r>
        <w:rPr>
          <w:sz w:val="22"/>
          <w:szCs w:val="22"/>
        </w:rPr>
        <w:t xml:space="preserve"> </w:t>
      </w:r>
      <w:proofErr w:type="spellStart"/>
      <w:r>
        <w:rPr>
          <w:sz w:val="22"/>
          <w:szCs w:val="22"/>
        </w:rPr>
        <w:t>deliver</w:t>
      </w:r>
      <w:proofErr w:type="spellEnd"/>
      <w:r>
        <w:rPr>
          <w:sz w:val="22"/>
          <w:szCs w:val="22"/>
        </w:rPr>
        <w:t xml:space="preserve"> </w:t>
      </w:r>
      <w:proofErr w:type="spellStart"/>
      <w:r>
        <w:rPr>
          <w:sz w:val="22"/>
          <w:szCs w:val="22"/>
        </w:rPr>
        <w:t>the</w:t>
      </w:r>
      <w:proofErr w:type="spellEnd"/>
      <w:r>
        <w:rPr>
          <w:sz w:val="22"/>
          <w:szCs w:val="22"/>
        </w:rPr>
        <w:t xml:space="preserve"> remote </w:t>
      </w:r>
      <w:proofErr w:type="spellStart"/>
      <w:r>
        <w:rPr>
          <w:sz w:val="22"/>
          <w:szCs w:val="22"/>
        </w:rPr>
        <w:t>metering</w:t>
      </w:r>
      <w:proofErr w:type="spellEnd"/>
      <w:r>
        <w:rPr>
          <w:sz w:val="22"/>
          <w:szCs w:val="22"/>
        </w:rPr>
        <w:t xml:space="preserve"> data, and </w:t>
      </w:r>
      <w:proofErr w:type="spellStart"/>
      <w:r>
        <w:rPr>
          <w:sz w:val="22"/>
          <w:szCs w:val="22"/>
        </w:rPr>
        <w:t>to</w:t>
      </w:r>
      <w:proofErr w:type="spellEnd"/>
      <w:r>
        <w:rPr>
          <w:sz w:val="22"/>
          <w:szCs w:val="22"/>
        </w:rPr>
        <w:t xml:space="preserve"> </w:t>
      </w:r>
      <w:proofErr w:type="spellStart"/>
      <w:r>
        <w:rPr>
          <w:sz w:val="22"/>
          <w:szCs w:val="22"/>
        </w:rPr>
        <w:t>the</w:t>
      </w:r>
      <w:proofErr w:type="spellEnd"/>
      <w:r>
        <w:rPr>
          <w:sz w:val="22"/>
          <w:szCs w:val="22"/>
        </w:rPr>
        <w:t xml:space="preserve"> Data Management </w:t>
      </w:r>
      <w:proofErr w:type="spellStart"/>
      <w:r>
        <w:rPr>
          <w:sz w:val="22"/>
          <w:szCs w:val="22"/>
        </w:rPr>
        <w:t>System</w:t>
      </w:r>
      <w:proofErr w:type="spellEnd"/>
      <w:r>
        <w:rPr>
          <w:sz w:val="22"/>
          <w:szCs w:val="22"/>
        </w:rPr>
        <w:t xml:space="preserve">, </w:t>
      </w:r>
      <w:proofErr w:type="spellStart"/>
      <w:r>
        <w:rPr>
          <w:sz w:val="22"/>
          <w:szCs w:val="22"/>
        </w:rPr>
        <w:t>provided</w:t>
      </w:r>
      <w:proofErr w:type="spellEnd"/>
      <w:r>
        <w:rPr>
          <w:sz w:val="22"/>
          <w:szCs w:val="22"/>
        </w:rPr>
        <w:t xml:space="preserve"> </w:t>
      </w:r>
      <w:proofErr w:type="spellStart"/>
      <w:r>
        <w:rPr>
          <w:sz w:val="22"/>
          <w:szCs w:val="22"/>
        </w:rPr>
        <w:t>by</w:t>
      </w:r>
      <w:proofErr w:type="spellEnd"/>
      <w:r>
        <w:rPr>
          <w:sz w:val="22"/>
          <w:szCs w:val="22"/>
        </w:rPr>
        <w:t xml:space="preserve"> </w:t>
      </w:r>
      <w:proofErr w:type="spellStart"/>
      <w:r>
        <w:rPr>
          <w:sz w:val="22"/>
          <w:szCs w:val="22"/>
        </w:rPr>
        <w:t>the</w:t>
      </w:r>
      <w:proofErr w:type="spellEnd"/>
      <w:r>
        <w:rPr>
          <w:sz w:val="22"/>
          <w:szCs w:val="22"/>
        </w:rPr>
        <w:t xml:space="preserve"> </w:t>
      </w:r>
      <w:proofErr w:type="spellStart"/>
      <w:r>
        <w:rPr>
          <w:sz w:val="22"/>
          <w:szCs w:val="22"/>
        </w:rPr>
        <w:t>winning</w:t>
      </w:r>
      <w:proofErr w:type="spellEnd"/>
      <w:r>
        <w:rPr>
          <w:sz w:val="22"/>
          <w:szCs w:val="22"/>
        </w:rPr>
        <w:t xml:space="preserve"> </w:t>
      </w:r>
      <w:proofErr w:type="spellStart"/>
      <w:r>
        <w:rPr>
          <w:sz w:val="22"/>
          <w:szCs w:val="22"/>
        </w:rPr>
        <w:t>bidder</w:t>
      </w:r>
      <w:proofErr w:type="spellEnd"/>
      <w:r>
        <w:rPr>
          <w:sz w:val="22"/>
          <w:szCs w:val="22"/>
        </w:rPr>
        <w:t xml:space="preserve">, </w:t>
      </w:r>
      <w:proofErr w:type="spellStart"/>
      <w:r>
        <w:rPr>
          <w:sz w:val="22"/>
          <w:szCs w:val="22"/>
        </w:rPr>
        <w:t>via</w:t>
      </w:r>
      <w:proofErr w:type="spellEnd"/>
      <w:r>
        <w:rPr>
          <w:sz w:val="22"/>
          <w:szCs w:val="22"/>
        </w:rPr>
        <w:t xml:space="preserve"> Cat-M </w:t>
      </w:r>
      <w:proofErr w:type="spellStart"/>
      <w:r>
        <w:rPr>
          <w:sz w:val="22"/>
          <w:szCs w:val="22"/>
        </w:rPr>
        <w:t>or</w:t>
      </w:r>
      <w:proofErr w:type="spellEnd"/>
      <w:r>
        <w:rPr>
          <w:sz w:val="22"/>
          <w:szCs w:val="22"/>
        </w:rPr>
        <w:t xml:space="preserve"> </w:t>
      </w:r>
      <w:proofErr w:type="spellStart"/>
      <w:r>
        <w:rPr>
          <w:sz w:val="22"/>
          <w:szCs w:val="22"/>
        </w:rPr>
        <w:t>nb-iot</w:t>
      </w:r>
      <w:proofErr w:type="spellEnd"/>
      <w:r>
        <w:rPr>
          <w:sz w:val="22"/>
          <w:szCs w:val="22"/>
        </w:rPr>
        <w:t xml:space="preserve"> </w:t>
      </w:r>
      <w:proofErr w:type="spellStart"/>
      <w:r>
        <w:rPr>
          <w:sz w:val="22"/>
          <w:szCs w:val="22"/>
        </w:rPr>
        <w:t>connection</w:t>
      </w:r>
      <w:proofErr w:type="spellEnd"/>
      <w:r>
        <w:rPr>
          <w:sz w:val="22"/>
          <w:szCs w:val="22"/>
        </w:rPr>
        <w:t xml:space="preserve">. Internet </w:t>
      </w:r>
      <w:proofErr w:type="spellStart"/>
      <w:r>
        <w:rPr>
          <w:sz w:val="22"/>
          <w:szCs w:val="22"/>
        </w:rPr>
        <w:t>connections</w:t>
      </w:r>
      <w:proofErr w:type="spellEnd"/>
      <w:r>
        <w:rPr>
          <w:sz w:val="22"/>
          <w:szCs w:val="22"/>
        </w:rPr>
        <w:t xml:space="preserve"> </w:t>
      </w:r>
      <w:proofErr w:type="spellStart"/>
      <w:r>
        <w:rPr>
          <w:sz w:val="22"/>
          <w:szCs w:val="22"/>
        </w:rPr>
        <w:t>will</w:t>
      </w:r>
      <w:proofErr w:type="spellEnd"/>
      <w:r>
        <w:rPr>
          <w:sz w:val="22"/>
          <w:szCs w:val="22"/>
        </w:rPr>
        <w:t xml:space="preserve"> </w:t>
      </w:r>
      <w:proofErr w:type="spellStart"/>
      <w:r>
        <w:rPr>
          <w:sz w:val="22"/>
          <w:szCs w:val="22"/>
        </w:rPr>
        <w:t>not</w:t>
      </w:r>
      <w:proofErr w:type="spellEnd"/>
      <w:r>
        <w:rPr>
          <w:sz w:val="22"/>
          <w:szCs w:val="22"/>
        </w:rPr>
        <w:t xml:space="preserve"> be </w:t>
      </w:r>
      <w:proofErr w:type="spellStart"/>
      <w:r>
        <w:rPr>
          <w:sz w:val="22"/>
          <w:szCs w:val="22"/>
        </w:rPr>
        <w:t>accepted</w:t>
      </w:r>
      <w:proofErr w:type="spellEnd"/>
      <w:r>
        <w:rPr>
          <w:sz w:val="22"/>
          <w:szCs w:val="22"/>
        </w:rPr>
        <w:t>.</w:t>
      </w:r>
    </w:p>
    <w:p w14:paraId="78986575" w14:textId="77777777" w:rsidR="00E255F4" w:rsidRDefault="00E255F4">
      <w:pPr>
        <w:tabs>
          <w:tab w:val="left" w:pos="851"/>
        </w:tabs>
        <w:jc w:val="both"/>
        <w:rPr>
          <w:sz w:val="22"/>
          <w:szCs w:val="22"/>
        </w:rPr>
      </w:pPr>
    </w:p>
    <w:p w14:paraId="09793297" w14:textId="77777777" w:rsidR="00E255F4" w:rsidRDefault="00000000">
      <w:pPr>
        <w:tabs>
          <w:tab w:val="left" w:pos="851"/>
        </w:tabs>
        <w:jc w:val="both"/>
      </w:pPr>
      <w:r>
        <w:rPr>
          <w:sz w:val="22"/>
          <w:szCs w:val="22"/>
        </w:rPr>
        <w:t xml:space="preserve">The </w:t>
      </w:r>
      <w:proofErr w:type="spellStart"/>
      <w:r>
        <w:rPr>
          <w:sz w:val="22"/>
          <w:szCs w:val="22"/>
        </w:rPr>
        <w:t>telemetry</w:t>
      </w:r>
      <w:proofErr w:type="spellEnd"/>
      <w:r>
        <w:rPr>
          <w:sz w:val="22"/>
          <w:szCs w:val="22"/>
        </w:rPr>
        <w:t xml:space="preserve"> </w:t>
      </w:r>
      <w:proofErr w:type="spellStart"/>
      <w:r>
        <w:rPr>
          <w:sz w:val="22"/>
          <w:szCs w:val="22"/>
        </w:rPr>
        <w:t>device</w:t>
      </w:r>
      <w:proofErr w:type="spellEnd"/>
      <w:r>
        <w:rPr>
          <w:sz w:val="22"/>
          <w:szCs w:val="22"/>
        </w:rPr>
        <w:t xml:space="preserve"> </w:t>
      </w:r>
      <w:proofErr w:type="spellStart"/>
      <w:r>
        <w:rPr>
          <w:sz w:val="22"/>
          <w:szCs w:val="22"/>
        </w:rPr>
        <w:t>must</w:t>
      </w:r>
      <w:proofErr w:type="spellEnd"/>
      <w:r>
        <w:rPr>
          <w:sz w:val="22"/>
          <w:szCs w:val="22"/>
        </w:rPr>
        <w:t xml:space="preserve"> be compatible </w:t>
      </w:r>
      <w:proofErr w:type="spellStart"/>
      <w:r>
        <w:rPr>
          <w:sz w:val="22"/>
          <w:szCs w:val="22"/>
        </w:rPr>
        <w:t>with</w:t>
      </w:r>
      <w:proofErr w:type="spellEnd"/>
      <w:r>
        <w:rPr>
          <w:sz w:val="22"/>
          <w:szCs w:val="22"/>
        </w:rPr>
        <w:t xml:space="preserve"> </w:t>
      </w:r>
      <w:proofErr w:type="spellStart"/>
      <w:r>
        <w:rPr>
          <w:sz w:val="22"/>
          <w:szCs w:val="22"/>
        </w:rPr>
        <w:t>the</w:t>
      </w:r>
      <w:proofErr w:type="spellEnd"/>
      <w:r>
        <w:rPr>
          <w:sz w:val="22"/>
          <w:szCs w:val="22"/>
        </w:rPr>
        <w:t xml:space="preserve"> </w:t>
      </w:r>
      <w:proofErr w:type="spellStart"/>
      <w:r>
        <w:rPr>
          <w:sz w:val="22"/>
          <w:szCs w:val="22"/>
        </w:rPr>
        <w:t>corresponding</w:t>
      </w:r>
      <w:proofErr w:type="spellEnd"/>
      <w:r>
        <w:rPr>
          <w:sz w:val="22"/>
          <w:szCs w:val="22"/>
        </w:rPr>
        <w:t xml:space="preserve"> </w:t>
      </w:r>
      <w:proofErr w:type="spellStart"/>
      <w:r>
        <w:rPr>
          <w:sz w:val="22"/>
          <w:szCs w:val="22"/>
        </w:rPr>
        <w:t>technology</w:t>
      </w:r>
      <w:proofErr w:type="spellEnd"/>
      <w:r>
        <w:rPr>
          <w:sz w:val="22"/>
          <w:szCs w:val="22"/>
        </w:rPr>
        <w:t>(</w:t>
      </w:r>
      <w:proofErr w:type="spellStart"/>
      <w:r>
        <w:rPr>
          <w:sz w:val="22"/>
          <w:szCs w:val="22"/>
        </w:rPr>
        <w:t>ies</w:t>
      </w:r>
      <w:proofErr w:type="spellEnd"/>
      <w:r>
        <w:rPr>
          <w:sz w:val="22"/>
          <w:szCs w:val="22"/>
        </w:rPr>
        <w:t xml:space="preserve">) </w:t>
      </w:r>
      <w:proofErr w:type="spellStart"/>
      <w:r>
        <w:rPr>
          <w:sz w:val="22"/>
          <w:szCs w:val="22"/>
        </w:rPr>
        <w:t>offered</w:t>
      </w:r>
      <w:proofErr w:type="spellEnd"/>
      <w:r>
        <w:rPr>
          <w:sz w:val="22"/>
          <w:szCs w:val="22"/>
        </w:rPr>
        <w:t xml:space="preserve"> </w:t>
      </w:r>
      <w:proofErr w:type="spellStart"/>
      <w:r>
        <w:rPr>
          <w:sz w:val="22"/>
          <w:szCs w:val="22"/>
        </w:rPr>
        <w:t>by</w:t>
      </w:r>
      <w:proofErr w:type="spellEnd"/>
      <w:r>
        <w:rPr>
          <w:sz w:val="22"/>
          <w:szCs w:val="22"/>
        </w:rPr>
        <w:t xml:space="preserve"> Antel and </w:t>
      </w:r>
      <w:proofErr w:type="spellStart"/>
      <w:r>
        <w:rPr>
          <w:sz w:val="22"/>
          <w:szCs w:val="22"/>
        </w:rPr>
        <w:t>must</w:t>
      </w:r>
      <w:proofErr w:type="spellEnd"/>
      <w:r>
        <w:rPr>
          <w:sz w:val="22"/>
          <w:szCs w:val="22"/>
        </w:rPr>
        <w:t xml:space="preserve"> be </w:t>
      </w:r>
      <w:proofErr w:type="spellStart"/>
      <w:r>
        <w:rPr>
          <w:sz w:val="22"/>
          <w:szCs w:val="22"/>
        </w:rPr>
        <w:t>able</w:t>
      </w:r>
      <w:proofErr w:type="spellEnd"/>
      <w:r>
        <w:rPr>
          <w:sz w:val="22"/>
          <w:szCs w:val="22"/>
        </w:rPr>
        <w:t xml:space="preserve"> </w:t>
      </w:r>
      <w:proofErr w:type="spellStart"/>
      <w:r>
        <w:rPr>
          <w:sz w:val="22"/>
          <w:szCs w:val="22"/>
        </w:rPr>
        <w:t>to</w:t>
      </w:r>
      <w:proofErr w:type="spellEnd"/>
      <w:r>
        <w:rPr>
          <w:sz w:val="22"/>
          <w:szCs w:val="22"/>
        </w:rPr>
        <w:t xml:space="preserve"> </w:t>
      </w:r>
      <w:proofErr w:type="spellStart"/>
      <w:r>
        <w:rPr>
          <w:sz w:val="22"/>
          <w:szCs w:val="22"/>
        </w:rPr>
        <w:t>transmit</w:t>
      </w:r>
      <w:proofErr w:type="spellEnd"/>
      <w:r>
        <w:rPr>
          <w:sz w:val="22"/>
          <w:szCs w:val="22"/>
        </w:rPr>
        <w:t xml:space="preserve"> in at </w:t>
      </w:r>
      <w:proofErr w:type="spellStart"/>
      <w:r>
        <w:rPr>
          <w:sz w:val="22"/>
          <w:szCs w:val="22"/>
        </w:rPr>
        <w:t>least</w:t>
      </w:r>
      <w:proofErr w:type="spellEnd"/>
      <w:r>
        <w:rPr>
          <w:sz w:val="22"/>
          <w:szCs w:val="22"/>
        </w:rPr>
        <w:t xml:space="preserve"> </w:t>
      </w:r>
      <w:proofErr w:type="spellStart"/>
      <w:r>
        <w:rPr>
          <w:sz w:val="22"/>
          <w:szCs w:val="22"/>
        </w:rPr>
        <w:t>one</w:t>
      </w:r>
      <w:proofErr w:type="spellEnd"/>
      <w:r>
        <w:rPr>
          <w:sz w:val="22"/>
          <w:szCs w:val="22"/>
        </w:rPr>
        <w:t xml:space="preserve"> </w:t>
      </w:r>
      <w:proofErr w:type="spellStart"/>
      <w:r>
        <w:rPr>
          <w:sz w:val="22"/>
          <w:szCs w:val="22"/>
        </w:rPr>
        <w:t>of</w:t>
      </w:r>
      <w:proofErr w:type="spellEnd"/>
      <w:r>
        <w:rPr>
          <w:sz w:val="22"/>
          <w:szCs w:val="22"/>
        </w:rPr>
        <w:t xml:space="preserve"> </w:t>
      </w:r>
      <w:proofErr w:type="spellStart"/>
      <w:r>
        <w:rPr>
          <w:sz w:val="22"/>
          <w:szCs w:val="22"/>
        </w:rPr>
        <w:t>the</w:t>
      </w:r>
      <w:proofErr w:type="spellEnd"/>
      <w:r>
        <w:rPr>
          <w:sz w:val="22"/>
          <w:szCs w:val="22"/>
        </w:rPr>
        <w:t xml:space="preserve"> </w:t>
      </w:r>
      <w:proofErr w:type="spellStart"/>
      <w:r>
        <w:rPr>
          <w:sz w:val="22"/>
          <w:szCs w:val="22"/>
        </w:rPr>
        <w:t>frequency</w:t>
      </w:r>
      <w:proofErr w:type="spellEnd"/>
      <w:r>
        <w:rPr>
          <w:sz w:val="22"/>
          <w:szCs w:val="22"/>
        </w:rPr>
        <w:t xml:space="preserve"> </w:t>
      </w:r>
      <w:proofErr w:type="spellStart"/>
      <w:r>
        <w:rPr>
          <w:sz w:val="22"/>
          <w:szCs w:val="22"/>
        </w:rPr>
        <w:t>bands</w:t>
      </w:r>
      <w:proofErr w:type="spellEnd"/>
      <w:r>
        <w:rPr>
          <w:sz w:val="22"/>
          <w:szCs w:val="22"/>
        </w:rPr>
        <w:t xml:space="preserve"> </w:t>
      </w:r>
      <w:proofErr w:type="spellStart"/>
      <w:r>
        <w:rPr>
          <w:sz w:val="22"/>
          <w:szCs w:val="22"/>
        </w:rPr>
        <w:t>that</w:t>
      </w:r>
      <w:proofErr w:type="spellEnd"/>
      <w:r>
        <w:rPr>
          <w:sz w:val="22"/>
          <w:szCs w:val="22"/>
        </w:rPr>
        <w:t xml:space="preserve"> Antel has </w:t>
      </w:r>
      <w:proofErr w:type="spellStart"/>
      <w:r>
        <w:rPr>
          <w:sz w:val="22"/>
          <w:szCs w:val="22"/>
        </w:rPr>
        <w:t>available</w:t>
      </w:r>
      <w:proofErr w:type="spellEnd"/>
      <w:r>
        <w:rPr>
          <w:sz w:val="22"/>
          <w:szCs w:val="22"/>
        </w:rPr>
        <w:t xml:space="preserve"> </w:t>
      </w:r>
      <w:proofErr w:type="spellStart"/>
      <w:r>
        <w:rPr>
          <w:sz w:val="22"/>
          <w:szCs w:val="22"/>
        </w:rPr>
        <w:t>for</w:t>
      </w:r>
      <w:proofErr w:type="spellEnd"/>
      <w:r>
        <w:rPr>
          <w:sz w:val="22"/>
          <w:szCs w:val="22"/>
        </w:rPr>
        <w:t xml:space="preserve"> </w:t>
      </w:r>
      <w:proofErr w:type="spellStart"/>
      <w:r>
        <w:rPr>
          <w:sz w:val="22"/>
          <w:szCs w:val="22"/>
        </w:rPr>
        <w:t>the</w:t>
      </w:r>
      <w:proofErr w:type="spellEnd"/>
      <w:r>
        <w:rPr>
          <w:sz w:val="22"/>
          <w:szCs w:val="22"/>
        </w:rPr>
        <w:t xml:space="preserve"> </w:t>
      </w:r>
      <w:proofErr w:type="spellStart"/>
      <w:r>
        <w:rPr>
          <w:sz w:val="22"/>
          <w:szCs w:val="22"/>
        </w:rPr>
        <w:t>corresponding</w:t>
      </w:r>
      <w:proofErr w:type="spellEnd"/>
      <w:r>
        <w:rPr>
          <w:sz w:val="22"/>
          <w:szCs w:val="22"/>
        </w:rPr>
        <w:t xml:space="preserve"> </w:t>
      </w:r>
      <w:proofErr w:type="spellStart"/>
      <w:r>
        <w:rPr>
          <w:sz w:val="22"/>
          <w:szCs w:val="22"/>
        </w:rPr>
        <w:t>technology</w:t>
      </w:r>
      <w:proofErr w:type="spellEnd"/>
      <w:r>
        <w:rPr>
          <w:sz w:val="22"/>
          <w:szCs w:val="22"/>
        </w:rPr>
        <w:t>.</w:t>
      </w:r>
    </w:p>
    <w:p w14:paraId="099692B7" w14:textId="77777777" w:rsidR="00E255F4" w:rsidRDefault="00E255F4">
      <w:pPr>
        <w:tabs>
          <w:tab w:val="left" w:pos="851"/>
        </w:tabs>
        <w:jc w:val="both"/>
        <w:rPr>
          <w:sz w:val="22"/>
          <w:szCs w:val="22"/>
        </w:rPr>
      </w:pPr>
    </w:p>
    <w:p w14:paraId="7087315F" w14:textId="77777777" w:rsidR="00E255F4" w:rsidRDefault="00000000">
      <w:pPr>
        <w:tabs>
          <w:tab w:val="left" w:pos="851"/>
        </w:tabs>
        <w:jc w:val="both"/>
        <w:rPr>
          <w:sz w:val="22"/>
          <w:szCs w:val="22"/>
        </w:rPr>
      </w:pPr>
      <w:proofErr w:type="spellStart"/>
      <w:r>
        <w:rPr>
          <w:sz w:val="22"/>
          <w:szCs w:val="22"/>
        </w:rPr>
        <w:lastRenderedPageBreak/>
        <w:t>Cellular</w:t>
      </w:r>
      <w:proofErr w:type="spellEnd"/>
      <w:r>
        <w:rPr>
          <w:sz w:val="22"/>
          <w:szCs w:val="22"/>
        </w:rPr>
        <w:t xml:space="preserve"> </w:t>
      </w:r>
      <w:proofErr w:type="spellStart"/>
      <w:r>
        <w:rPr>
          <w:sz w:val="22"/>
          <w:szCs w:val="22"/>
        </w:rPr>
        <w:t>transmission</w:t>
      </w:r>
      <w:proofErr w:type="spellEnd"/>
      <w:r>
        <w:rPr>
          <w:sz w:val="22"/>
          <w:szCs w:val="22"/>
        </w:rPr>
        <w:t xml:space="preserve"> modules can use industrial SIM </w:t>
      </w:r>
      <w:proofErr w:type="spellStart"/>
      <w:r>
        <w:rPr>
          <w:sz w:val="22"/>
          <w:szCs w:val="22"/>
        </w:rPr>
        <w:t>cards</w:t>
      </w:r>
      <w:proofErr w:type="spellEnd"/>
      <w:r>
        <w:rPr>
          <w:sz w:val="22"/>
          <w:szCs w:val="22"/>
        </w:rPr>
        <w:t xml:space="preserve"> </w:t>
      </w:r>
      <w:proofErr w:type="spellStart"/>
      <w:r>
        <w:rPr>
          <w:sz w:val="22"/>
          <w:szCs w:val="22"/>
        </w:rPr>
        <w:t>or</w:t>
      </w:r>
      <w:proofErr w:type="spellEnd"/>
      <w:r>
        <w:rPr>
          <w:sz w:val="22"/>
          <w:szCs w:val="22"/>
        </w:rPr>
        <w:t xml:space="preserve"> </w:t>
      </w:r>
      <w:proofErr w:type="spellStart"/>
      <w:r>
        <w:rPr>
          <w:sz w:val="22"/>
          <w:szCs w:val="22"/>
        </w:rPr>
        <w:t>eSIMs</w:t>
      </w:r>
      <w:proofErr w:type="spellEnd"/>
      <w:r>
        <w:rPr>
          <w:sz w:val="22"/>
          <w:szCs w:val="22"/>
        </w:rPr>
        <w:t xml:space="preserve"> (MFF2 </w:t>
      </w:r>
      <w:proofErr w:type="spellStart"/>
      <w:r>
        <w:rPr>
          <w:sz w:val="22"/>
          <w:szCs w:val="22"/>
        </w:rPr>
        <w:t>format</w:t>
      </w:r>
      <w:proofErr w:type="spellEnd"/>
      <w:r>
        <w:rPr>
          <w:sz w:val="22"/>
          <w:szCs w:val="22"/>
        </w:rPr>
        <w:t xml:space="preserve">). </w:t>
      </w:r>
      <w:proofErr w:type="spellStart"/>
      <w:r>
        <w:rPr>
          <w:sz w:val="22"/>
          <w:szCs w:val="22"/>
        </w:rPr>
        <w:t>If</w:t>
      </w:r>
      <w:proofErr w:type="spellEnd"/>
      <w:r>
        <w:rPr>
          <w:sz w:val="22"/>
          <w:szCs w:val="22"/>
        </w:rPr>
        <w:t xml:space="preserve"> industrial </w:t>
      </w:r>
      <w:proofErr w:type="spellStart"/>
      <w:r>
        <w:rPr>
          <w:sz w:val="22"/>
          <w:szCs w:val="22"/>
        </w:rPr>
        <w:t>SIMs</w:t>
      </w:r>
      <w:proofErr w:type="spellEnd"/>
      <w:r>
        <w:rPr>
          <w:sz w:val="22"/>
          <w:szCs w:val="22"/>
        </w:rPr>
        <w:t xml:space="preserve"> are </w:t>
      </w:r>
      <w:proofErr w:type="spellStart"/>
      <w:r>
        <w:rPr>
          <w:sz w:val="22"/>
          <w:szCs w:val="22"/>
        </w:rPr>
        <w:t>used</w:t>
      </w:r>
      <w:proofErr w:type="spellEnd"/>
      <w:r>
        <w:rPr>
          <w:sz w:val="22"/>
          <w:szCs w:val="22"/>
        </w:rPr>
        <w:t xml:space="preserve">, </w:t>
      </w:r>
      <w:proofErr w:type="spellStart"/>
      <w:r>
        <w:rPr>
          <w:sz w:val="22"/>
          <w:szCs w:val="22"/>
        </w:rPr>
        <w:t>they</w:t>
      </w:r>
      <w:proofErr w:type="spellEnd"/>
      <w:r>
        <w:rPr>
          <w:sz w:val="22"/>
          <w:szCs w:val="22"/>
        </w:rPr>
        <w:t xml:space="preserve"> </w:t>
      </w:r>
      <w:proofErr w:type="spellStart"/>
      <w:r>
        <w:rPr>
          <w:sz w:val="22"/>
          <w:szCs w:val="22"/>
        </w:rPr>
        <w:t>will</w:t>
      </w:r>
      <w:proofErr w:type="spellEnd"/>
      <w:r>
        <w:rPr>
          <w:sz w:val="22"/>
          <w:szCs w:val="22"/>
        </w:rPr>
        <w:t xml:space="preserve"> be </w:t>
      </w:r>
      <w:proofErr w:type="spellStart"/>
      <w:r>
        <w:rPr>
          <w:sz w:val="22"/>
          <w:szCs w:val="22"/>
        </w:rPr>
        <w:t>delivered</w:t>
      </w:r>
      <w:proofErr w:type="spellEnd"/>
      <w:r>
        <w:rPr>
          <w:sz w:val="22"/>
          <w:szCs w:val="22"/>
        </w:rPr>
        <w:t xml:space="preserve"> in Uruguay. </w:t>
      </w:r>
      <w:proofErr w:type="spellStart"/>
      <w:r>
        <w:rPr>
          <w:sz w:val="22"/>
          <w:szCs w:val="22"/>
        </w:rPr>
        <w:t>If</w:t>
      </w:r>
      <w:proofErr w:type="spellEnd"/>
      <w:r>
        <w:rPr>
          <w:sz w:val="22"/>
          <w:szCs w:val="22"/>
        </w:rPr>
        <w:t xml:space="preserve"> </w:t>
      </w:r>
      <w:proofErr w:type="spellStart"/>
      <w:r>
        <w:rPr>
          <w:sz w:val="22"/>
          <w:szCs w:val="22"/>
        </w:rPr>
        <w:t>eSIMs</w:t>
      </w:r>
      <w:proofErr w:type="spellEnd"/>
      <w:r>
        <w:rPr>
          <w:sz w:val="22"/>
          <w:szCs w:val="22"/>
        </w:rPr>
        <w:t xml:space="preserve"> (MFF2 </w:t>
      </w:r>
      <w:proofErr w:type="spellStart"/>
      <w:r>
        <w:rPr>
          <w:sz w:val="22"/>
          <w:szCs w:val="22"/>
        </w:rPr>
        <w:t>format</w:t>
      </w:r>
      <w:proofErr w:type="spellEnd"/>
      <w:r>
        <w:rPr>
          <w:sz w:val="22"/>
          <w:szCs w:val="22"/>
        </w:rPr>
        <w:t xml:space="preserve">) are </w:t>
      </w:r>
      <w:proofErr w:type="spellStart"/>
      <w:r>
        <w:rPr>
          <w:sz w:val="22"/>
          <w:szCs w:val="22"/>
        </w:rPr>
        <w:t>used</w:t>
      </w:r>
      <w:proofErr w:type="spellEnd"/>
      <w:r>
        <w:rPr>
          <w:sz w:val="22"/>
          <w:szCs w:val="22"/>
        </w:rPr>
        <w:t xml:space="preserve">, </w:t>
      </w:r>
      <w:proofErr w:type="spellStart"/>
      <w:r>
        <w:rPr>
          <w:sz w:val="22"/>
          <w:szCs w:val="22"/>
        </w:rPr>
        <w:t>delivery</w:t>
      </w:r>
      <w:proofErr w:type="spellEnd"/>
      <w:r>
        <w:rPr>
          <w:sz w:val="22"/>
          <w:szCs w:val="22"/>
        </w:rPr>
        <w:t xml:space="preserve"> </w:t>
      </w:r>
      <w:proofErr w:type="spellStart"/>
      <w:r>
        <w:rPr>
          <w:sz w:val="22"/>
          <w:szCs w:val="22"/>
        </w:rPr>
        <w:t>from</w:t>
      </w:r>
      <w:proofErr w:type="spellEnd"/>
      <w:r>
        <w:rPr>
          <w:sz w:val="22"/>
          <w:szCs w:val="22"/>
        </w:rPr>
        <w:t xml:space="preserve"> </w:t>
      </w:r>
      <w:proofErr w:type="spellStart"/>
      <w:r>
        <w:rPr>
          <w:sz w:val="22"/>
          <w:szCs w:val="22"/>
        </w:rPr>
        <w:t>the</w:t>
      </w:r>
      <w:proofErr w:type="spellEnd"/>
      <w:r>
        <w:rPr>
          <w:sz w:val="22"/>
          <w:szCs w:val="22"/>
        </w:rPr>
        <w:t xml:space="preserve"> </w:t>
      </w:r>
      <w:proofErr w:type="spellStart"/>
      <w:r>
        <w:rPr>
          <w:sz w:val="22"/>
          <w:szCs w:val="22"/>
        </w:rPr>
        <w:t>factory</w:t>
      </w:r>
      <w:proofErr w:type="spellEnd"/>
      <w:r>
        <w:rPr>
          <w:sz w:val="22"/>
          <w:szCs w:val="22"/>
        </w:rPr>
        <w:t xml:space="preserve"> </w:t>
      </w:r>
      <w:proofErr w:type="spellStart"/>
      <w:r>
        <w:rPr>
          <w:sz w:val="22"/>
          <w:szCs w:val="22"/>
        </w:rPr>
        <w:t>will</w:t>
      </w:r>
      <w:proofErr w:type="spellEnd"/>
      <w:r>
        <w:rPr>
          <w:sz w:val="22"/>
          <w:szCs w:val="22"/>
        </w:rPr>
        <w:t xml:space="preserve"> be </w:t>
      </w:r>
      <w:proofErr w:type="spellStart"/>
      <w:r>
        <w:rPr>
          <w:sz w:val="22"/>
          <w:szCs w:val="22"/>
        </w:rPr>
        <w:t>coordinated</w:t>
      </w:r>
      <w:proofErr w:type="spellEnd"/>
      <w:r>
        <w:rPr>
          <w:sz w:val="22"/>
          <w:szCs w:val="22"/>
        </w:rPr>
        <w:t xml:space="preserve"> </w:t>
      </w:r>
      <w:proofErr w:type="spellStart"/>
      <w:r>
        <w:rPr>
          <w:sz w:val="22"/>
          <w:szCs w:val="22"/>
        </w:rPr>
        <w:t>with</w:t>
      </w:r>
      <w:proofErr w:type="spellEnd"/>
      <w:r>
        <w:rPr>
          <w:sz w:val="22"/>
          <w:szCs w:val="22"/>
        </w:rPr>
        <w:t xml:space="preserve"> Antel.</w:t>
      </w:r>
    </w:p>
    <w:p w14:paraId="0D7E00E0" w14:textId="77777777" w:rsidR="00E255F4" w:rsidRDefault="00E255F4">
      <w:pPr>
        <w:tabs>
          <w:tab w:val="left" w:pos="851"/>
        </w:tabs>
        <w:jc w:val="both"/>
        <w:rPr>
          <w:sz w:val="22"/>
          <w:szCs w:val="22"/>
        </w:rPr>
      </w:pPr>
    </w:p>
    <w:p w14:paraId="35F4527D" w14:textId="77777777" w:rsidR="00E255F4" w:rsidRDefault="00000000">
      <w:pPr>
        <w:tabs>
          <w:tab w:val="left" w:pos="851"/>
        </w:tabs>
        <w:jc w:val="both"/>
        <w:rPr>
          <w:sz w:val="22"/>
          <w:szCs w:val="22"/>
        </w:rPr>
      </w:pPr>
      <w:r>
        <w:rPr>
          <w:sz w:val="22"/>
          <w:szCs w:val="22"/>
        </w:rPr>
        <w:t xml:space="preserve">Direct internet </w:t>
      </w:r>
      <w:proofErr w:type="spellStart"/>
      <w:r>
        <w:rPr>
          <w:sz w:val="22"/>
          <w:szCs w:val="22"/>
        </w:rPr>
        <w:t>connection</w:t>
      </w:r>
      <w:proofErr w:type="spellEnd"/>
      <w:r>
        <w:rPr>
          <w:sz w:val="22"/>
          <w:szCs w:val="22"/>
        </w:rPr>
        <w:t xml:space="preserve"> </w:t>
      </w:r>
      <w:proofErr w:type="spellStart"/>
      <w:r>
        <w:rPr>
          <w:sz w:val="22"/>
          <w:szCs w:val="22"/>
        </w:rPr>
        <w:t>will</w:t>
      </w:r>
      <w:proofErr w:type="spellEnd"/>
      <w:r>
        <w:rPr>
          <w:sz w:val="22"/>
          <w:szCs w:val="22"/>
        </w:rPr>
        <w:t xml:space="preserve"> </w:t>
      </w:r>
      <w:proofErr w:type="spellStart"/>
      <w:r>
        <w:rPr>
          <w:sz w:val="22"/>
          <w:szCs w:val="22"/>
        </w:rPr>
        <w:t>not</w:t>
      </w:r>
      <w:proofErr w:type="spellEnd"/>
      <w:r>
        <w:rPr>
          <w:sz w:val="22"/>
          <w:szCs w:val="22"/>
        </w:rPr>
        <w:t xml:space="preserve"> be </w:t>
      </w:r>
      <w:proofErr w:type="spellStart"/>
      <w:r>
        <w:rPr>
          <w:sz w:val="22"/>
          <w:szCs w:val="22"/>
        </w:rPr>
        <w:t>permitted</w:t>
      </w:r>
      <w:proofErr w:type="spellEnd"/>
      <w:r>
        <w:rPr>
          <w:sz w:val="22"/>
          <w:szCs w:val="22"/>
        </w:rPr>
        <w:t xml:space="preserve"> </w:t>
      </w:r>
      <w:proofErr w:type="spellStart"/>
      <w:r>
        <w:rPr>
          <w:sz w:val="22"/>
          <w:szCs w:val="22"/>
        </w:rPr>
        <w:t>under</w:t>
      </w:r>
      <w:proofErr w:type="spellEnd"/>
      <w:r>
        <w:rPr>
          <w:sz w:val="22"/>
          <w:szCs w:val="22"/>
        </w:rPr>
        <w:t xml:space="preserve"> </w:t>
      </w:r>
      <w:proofErr w:type="spellStart"/>
      <w:r>
        <w:rPr>
          <w:sz w:val="22"/>
          <w:szCs w:val="22"/>
        </w:rPr>
        <w:t>any</w:t>
      </w:r>
      <w:proofErr w:type="spellEnd"/>
      <w:r>
        <w:rPr>
          <w:sz w:val="22"/>
          <w:szCs w:val="22"/>
        </w:rPr>
        <w:t xml:space="preserve"> </w:t>
      </w:r>
      <w:proofErr w:type="spellStart"/>
      <w:r>
        <w:rPr>
          <w:sz w:val="22"/>
          <w:szCs w:val="22"/>
        </w:rPr>
        <w:t>circumstances</w:t>
      </w:r>
      <w:proofErr w:type="spellEnd"/>
      <w:r>
        <w:rPr>
          <w:sz w:val="22"/>
          <w:szCs w:val="22"/>
        </w:rPr>
        <w:t xml:space="preserve"> </w:t>
      </w:r>
      <w:proofErr w:type="spellStart"/>
      <w:r>
        <w:rPr>
          <w:sz w:val="22"/>
          <w:szCs w:val="22"/>
        </w:rPr>
        <w:t>within</w:t>
      </w:r>
      <w:proofErr w:type="spellEnd"/>
      <w:r>
        <w:rPr>
          <w:sz w:val="22"/>
          <w:szCs w:val="22"/>
        </w:rPr>
        <w:t xml:space="preserve"> </w:t>
      </w:r>
      <w:proofErr w:type="spellStart"/>
      <w:r>
        <w:rPr>
          <w:sz w:val="22"/>
          <w:szCs w:val="22"/>
        </w:rPr>
        <w:t>the</w:t>
      </w:r>
      <w:proofErr w:type="spellEnd"/>
      <w:r>
        <w:rPr>
          <w:sz w:val="22"/>
          <w:szCs w:val="22"/>
        </w:rPr>
        <w:t xml:space="preserve"> </w:t>
      </w:r>
      <w:proofErr w:type="spellStart"/>
      <w:r>
        <w:rPr>
          <w:sz w:val="22"/>
          <w:szCs w:val="22"/>
        </w:rPr>
        <w:t>entire</w:t>
      </w:r>
      <w:proofErr w:type="spellEnd"/>
      <w:r>
        <w:rPr>
          <w:sz w:val="22"/>
          <w:szCs w:val="22"/>
        </w:rPr>
        <w:t xml:space="preserve"> remote </w:t>
      </w:r>
      <w:proofErr w:type="spellStart"/>
      <w:r>
        <w:rPr>
          <w:sz w:val="22"/>
          <w:szCs w:val="22"/>
        </w:rPr>
        <w:t>metering</w:t>
      </w:r>
      <w:proofErr w:type="spellEnd"/>
      <w:r>
        <w:rPr>
          <w:sz w:val="22"/>
          <w:szCs w:val="22"/>
        </w:rPr>
        <w:t xml:space="preserve"> </w:t>
      </w:r>
      <w:proofErr w:type="spellStart"/>
      <w:r>
        <w:rPr>
          <w:sz w:val="22"/>
          <w:szCs w:val="22"/>
        </w:rPr>
        <w:t>system</w:t>
      </w:r>
      <w:proofErr w:type="spellEnd"/>
      <w:r>
        <w:rPr>
          <w:sz w:val="22"/>
          <w:szCs w:val="22"/>
        </w:rPr>
        <w:t>.</w:t>
      </w:r>
    </w:p>
    <w:p w14:paraId="790D5954" w14:textId="77777777" w:rsidR="00E255F4" w:rsidRDefault="00E255F4">
      <w:pPr>
        <w:tabs>
          <w:tab w:val="left" w:pos="851"/>
        </w:tabs>
        <w:jc w:val="both"/>
        <w:rPr>
          <w:sz w:val="22"/>
          <w:szCs w:val="22"/>
        </w:rPr>
      </w:pPr>
    </w:p>
    <w:p w14:paraId="1028D624" w14:textId="77777777" w:rsidR="00E255F4" w:rsidRDefault="00000000">
      <w:pPr>
        <w:tabs>
          <w:tab w:val="left" w:pos="851"/>
        </w:tabs>
        <w:jc w:val="both"/>
        <w:rPr>
          <w:sz w:val="22"/>
          <w:szCs w:val="22"/>
        </w:rPr>
      </w:pPr>
      <w:r>
        <w:rPr>
          <w:sz w:val="22"/>
          <w:szCs w:val="22"/>
        </w:rPr>
        <w:t xml:space="preserve">The </w:t>
      </w:r>
      <w:proofErr w:type="spellStart"/>
      <w:r>
        <w:rPr>
          <w:sz w:val="22"/>
          <w:szCs w:val="22"/>
        </w:rPr>
        <w:t>telemetry</w:t>
      </w:r>
      <w:proofErr w:type="spellEnd"/>
      <w:r>
        <w:rPr>
          <w:sz w:val="22"/>
          <w:szCs w:val="22"/>
        </w:rPr>
        <w:t xml:space="preserve"> </w:t>
      </w:r>
      <w:proofErr w:type="spellStart"/>
      <w:r>
        <w:rPr>
          <w:sz w:val="22"/>
          <w:szCs w:val="22"/>
        </w:rPr>
        <w:t>devices</w:t>
      </w:r>
      <w:proofErr w:type="spellEnd"/>
      <w:r>
        <w:rPr>
          <w:sz w:val="22"/>
          <w:szCs w:val="22"/>
        </w:rPr>
        <w:t xml:space="preserve"> </w:t>
      </w:r>
      <w:proofErr w:type="spellStart"/>
      <w:r>
        <w:rPr>
          <w:sz w:val="22"/>
          <w:szCs w:val="22"/>
        </w:rPr>
        <w:t>must</w:t>
      </w:r>
      <w:proofErr w:type="spellEnd"/>
      <w:r>
        <w:rPr>
          <w:sz w:val="22"/>
          <w:szCs w:val="22"/>
        </w:rPr>
        <w:t xml:space="preserve"> </w:t>
      </w:r>
      <w:proofErr w:type="spellStart"/>
      <w:r>
        <w:rPr>
          <w:sz w:val="22"/>
          <w:szCs w:val="22"/>
        </w:rPr>
        <w:t>include</w:t>
      </w:r>
      <w:proofErr w:type="spellEnd"/>
      <w:r>
        <w:rPr>
          <w:sz w:val="22"/>
          <w:szCs w:val="22"/>
        </w:rPr>
        <w:t xml:space="preserve"> a Management </w:t>
      </w:r>
      <w:proofErr w:type="spellStart"/>
      <w:r>
        <w:rPr>
          <w:sz w:val="22"/>
          <w:szCs w:val="22"/>
        </w:rPr>
        <w:t>System</w:t>
      </w:r>
      <w:proofErr w:type="spellEnd"/>
      <w:r>
        <w:rPr>
          <w:sz w:val="22"/>
          <w:szCs w:val="22"/>
        </w:rPr>
        <w:t xml:space="preserve">, </w:t>
      </w:r>
      <w:proofErr w:type="spellStart"/>
      <w:r>
        <w:rPr>
          <w:sz w:val="22"/>
          <w:szCs w:val="22"/>
        </w:rPr>
        <w:t>which</w:t>
      </w:r>
      <w:proofErr w:type="spellEnd"/>
      <w:r>
        <w:rPr>
          <w:sz w:val="22"/>
          <w:szCs w:val="22"/>
        </w:rPr>
        <w:t xml:space="preserve"> </w:t>
      </w:r>
      <w:proofErr w:type="spellStart"/>
      <w:r>
        <w:rPr>
          <w:sz w:val="22"/>
          <w:szCs w:val="22"/>
        </w:rPr>
        <w:t>will</w:t>
      </w:r>
      <w:proofErr w:type="spellEnd"/>
      <w:r>
        <w:rPr>
          <w:sz w:val="22"/>
          <w:szCs w:val="22"/>
        </w:rPr>
        <w:t xml:space="preserve"> use </w:t>
      </w:r>
      <w:proofErr w:type="spellStart"/>
      <w:r>
        <w:rPr>
          <w:sz w:val="22"/>
          <w:szCs w:val="22"/>
        </w:rPr>
        <w:t>the</w:t>
      </w:r>
      <w:proofErr w:type="spellEnd"/>
      <w:r>
        <w:rPr>
          <w:sz w:val="22"/>
          <w:szCs w:val="22"/>
        </w:rPr>
        <w:t xml:space="preserve"> </w:t>
      </w:r>
      <w:proofErr w:type="spellStart"/>
      <w:r>
        <w:rPr>
          <w:sz w:val="22"/>
          <w:szCs w:val="22"/>
        </w:rPr>
        <w:t>same</w:t>
      </w:r>
      <w:proofErr w:type="spellEnd"/>
      <w:r>
        <w:rPr>
          <w:sz w:val="22"/>
          <w:szCs w:val="22"/>
        </w:rPr>
        <w:t xml:space="preserve"> Cat-M </w:t>
      </w:r>
      <w:proofErr w:type="spellStart"/>
      <w:r>
        <w:rPr>
          <w:sz w:val="22"/>
          <w:szCs w:val="22"/>
        </w:rPr>
        <w:t>or</w:t>
      </w:r>
      <w:proofErr w:type="spellEnd"/>
      <w:r>
        <w:rPr>
          <w:sz w:val="22"/>
          <w:szCs w:val="22"/>
        </w:rPr>
        <w:t xml:space="preserve"> </w:t>
      </w:r>
      <w:proofErr w:type="spellStart"/>
      <w:r>
        <w:rPr>
          <w:sz w:val="22"/>
          <w:szCs w:val="22"/>
        </w:rPr>
        <w:t>nb-iot</w:t>
      </w:r>
      <w:proofErr w:type="spellEnd"/>
      <w:r>
        <w:rPr>
          <w:sz w:val="22"/>
          <w:szCs w:val="22"/>
        </w:rPr>
        <w:t xml:space="preserve"> </w:t>
      </w:r>
      <w:proofErr w:type="spellStart"/>
      <w:r>
        <w:rPr>
          <w:sz w:val="22"/>
          <w:szCs w:val="22"/>
        </w:rPr>
        <w:t>access</w:t>
      </w:r>
      <w:proofErr w:type="spellEnd"/>
      <w:r>
        <w:rPr>
          <w:sz w:val="22"/>
          <w:szCs w:val="22"/>
        </w:rPr>
        <w:t xml:space="preserve"> </w:t>
      </w:r>
      <w:proofErr w:type="spellStart"/>
      <w:r>
        <w:rPr>
          <w:sz w:val="22"/>
          <w:szCs w:val="22"/>
        </w:rPr>
        <w:t>network</w:t>
      </w:r>
      <w:proofErr w:type="spellEnd"/>
      <w:r>
        <w:rPr>
          <w:sz w:val="22"/>
          <w:szCs w:val="22"/>
        </w:rPr>
        <w:t xml:space="preserve"> </w:t>
      </w:r>
      <w:proofErr w:type="spellStart"/>
      <w:r>
        <w:rPr>
          <w:sz w:val="22"/>
          <w:szCs w:val="22"/>
        </w:rPr>
        <w:t>to</w:t>
      </w:r>
      <w:proofErr w:type="spellEnd"/>
      <w:r>
        <w:rPr>
          <w:sz w:val="22"/>
          <w:szCs w:val="22"/>
        </w:rPr>
        <w:t xml:space="preserve"> </w:t>
      </w:r>
      <w:proofErr w:type="spellStart"/>
      <w:r>
        <w:rPr>
          <w:sz w:val="22"/>
          <w:szCs w:val="22"/>
        </w:rPr>
        <w:t>manage</w:t>
      </w:r>
      <w:proofErr w:type="spellEnd"/>
      <w:r>
        <w:rPr>
          <w:sz w:val="22"/>
          <w:szCs w:val="22"/>
        </w:rPr>
        <w:t xml:space="preserve"> </w:t>
      </w:r>
      <w:proofErr w:type="spellStart"/>
      <w:r>
        <w:rPr>
          <w:sz w:val="22"/>
          <w:szCs w:val="22"/>
        </w:rPr>
        <w:t>the</w:t>
      </w:r>
      <w:proofErr w:type="spellEnd"/>
      <w:r>
        <w:rPr>
          <w:sz w:val="22"/>
          <w:szCs w:val="22"/>
        </w:rPr>
        <w:t xml:space="preserve"> </w:t>
      </w:r>
      <w:proofErr w:type="spellStart"/>
      <w:r>
        <w:rPr>
          <w:sz w:val="22"/>
          <w:szCs w:val="22"/>
        </w:rPr>
        <w:t>telemetry</w:t>
      </w:r>
      <w:proofErr w:type="spellEnd"/>
      <w:r>
        <w:rPr>
          <w:sz w:val="22"/>
          <w:szCs w:val="22"/>
        </w:rPr>
        <w:t xml:space="preserve"> </w:t>
      </w:r>
      <w:proofErr w:type="spellStart"/>
      <w:r>
        <w:rPr>
          <w:sz w:val="22"/>
          <w:szCs w:val="22"/>
        </w:rPr>
        <w:t>equipment</w:t>
      </w:r>
      <w:proofErr w:type="spellEnd"/>
      <w:r>
        <w:rPr>
          <w:sz w:val="22"/>
          <w:szCs w:val="22"/>
        </w:rPr>
        <w:t xml:space="preserve">. </w:t>
      </w:r>
      <w:proofErr w:type="spellStart"/>
      <w:r>
        <w:rPr>
          <w:sz w:val="22"/>
          <w:szCs w:val="22"/>
        </w:rPr>
        <w:t>This</w:t>
      </w:r>
      <w:proofErr w:type="spellEnd"/>
      <w:r>
        <w:rPr>
          <w:sz w:val="22"/>
          <w:szCs w:val="22"/>
        </w:rPr>
        <w:t xml:space="preserve"> </w:t>
      </w:r>
      <w:proofErr w:type="spellStart"/>
      <w:r>
        <w:rPr>
          <w:sz w:val="22"/>
          <w:szCs w:val="22"/>
        </w:rPr>
        <w:t>system</w:t>
      </w:r>
      <w:proofErr w:type="spellEnd"/>
      <w:r>
        <w:rPr>
          <w:sz w:val="22"/>
          <w:szCs w:val="22"/>
        </w:rPr>
        <w:t xml:space="preserve"> </w:t>
      </w:r>
      <w:proofErr w:type="spellStart"/>
      <w:r>
        <w:rPr>
          <w:sz w:val="22"/>
          <w:szCs w:val="22"/>
        </w:rPr>
        <w:t>must</w:t>
      </w:r>
      <w:proofErr w:type="spellEnd"/>
      <w:r>
        <w:rPr>
          <w:sz w:val="22"/>
          <w:szCs w:val="22"/>
        </w:rPr>
        <w:t xml:space="preserve"> be </w:t>
      </w:r>
      <w:proofErr w:type="spellStart"/>
      <w:r>
        <w:rPr>
          <w:sz w:val="22"/>
          <w:szCs w:val="22"/>
        </w:rPr>
        <w:t>capable</w:t>
      </w:r>
      <w:proofErr w:type="spellEnd"/>
      <w:r>
        <w:rPr>
          <w:sz w:val="22"/>
          <w:szCs w:val="22"/>
        </w:rPr>
        <w:t xml:space="preserve"> </w:t>
      </w:r>
      <w:proofErr w:type="spellStart"/>
      <w:r>
        <w:rPr>
          <w:sz w:val="22"/>
          <w:szCs w:val="22"/>
        </w:rPr>
        <w:t>of</w:t>
      </w:r>
      <w:proofErr w:type="spellEnd"/>
      <w:r>
        <w:rPr>
          <w:sz w:val="22"/>
          <w:szCs w:val="22"/>
        </w:rPr>
        <w:t xml:space="preserve"> at </w:t>
      </w:r>
      <w:proofErr w:type="spellStart"/>
      <w:r>
        <w:rPr>
          <w:sz w:val="22"/>
          <w:szCs w:val="22"/>
        </w:rPr>
        <w:t>least</w:t>
      </w:r>
      <w:proofErr w:type="spellEnd"/>
      <w:r>
        <w:rPr>
          <w:sz w:val="22"/>
          <w:szCs w:val="22"/>
        </w:rPr>
        <w:t xml:space="preserve"> </w:t>
      </w:r>
      <w:proofErr w:type="spellStart"/>
      <w:r>
        <w:rPr>
          <w:sz w:val="22"/>
          <w:szCs w:val="22"/>
        </w:rPr>
        <w:t>configuring</w:t>
      </w:r>
      <w:proofErr w:type="spellEnd"/>
      <w:r>
        <w:rPr>
          <w:sz w:val="22"/>
          <w:szCs w:val="22"/>
        </w:rPr>
        <w:t xml:space="preserve"> </w:t>
      </w:r>
      <w:proofErr w:type="spellStart"/>
      <w:r>
        <w:rPr>
          <w:sz w:val="22"/>
          <w:szCs w:val="22"/>
        </w:rPr>
        <w:t>the</w:t>
      </w:r>
      <w:proofErr w:type="spellEnd"/>
      <w:r>
        <w:rPr>
          <w:sz w:val="22"/>
          <w:szCs w:val="22"/>
        </w:rPr>
        <w:t xml:space="preserve"> </w:t>
      </w:r>
      <w:proofErr w:type="spellStart"/>
      <w:r>
        <w:rPr>
          <w:sz w:val="22"/>
          <w:szCs w:val="22"/>
        </w:rPr>
        <w:t>telemetry</w:t>
      </w:r>
      <w:proofErr w:type="spellEnd"/>
      <w:r>
        <w:rPr>
          <w:sz w:val="22"/>
          <w:szCs w:val="22"/>
        </w:rPr>
        <w:t xml:space="preserve"> </w:t>
      </w:r>
      <w:proofErr w:type="spellStart"/>
      <w:r>
        <w:rPr>
          <w:sz w:val="22"/>
          <w:szCs w:val="22"/>
        </w:rPr>
        <w:t>equipment</w:t>
      </w:r>
      <w:proofErr w:type="spellEnd"/>
      <w:r>
        <w:rPr>
          <w:sz w:val="22"/>
          <w:szCs w:val="22"/>
        </w:rPr>
        <w:t xml:space="preserve">, </w:t>
      </w:r>
      <w:proofErr w:type="spellStart"/>
      <w:r>
        <w:rPr>
          <w:sz w:val="22"/>
          <w:szCs w:val="22"/>
        </w:rPr>
        <w:t>performing</w:t>
      </w:r>
      <w:proofErr w:type="spellEnd"/>
      <w:r>
        <w:rPr>
          <w:sz w:val="22"/>
          <w:szCs w:val="22"/>
        </w:rPr>
        <w:t xml:space="preserve"> firmware </w:t>
      </w:r>
      <w:proofErr w:type="spellStart"/>
      <w:r>
        <w:rPr>
          <w:sz w:val="22"/>
          <w:szCs w:val="22"/>
        </w:rPr>
        <w:t>upgrades</w:t>
      </w:r>
      <w:proofErr w:type="spellEnd"/>
      <w:r>
        <w:rPr>
          <w:sz w:val="22"/>
          <w:szCs w:val="22"/>
        </w:rPr>
        <w:t xml:space="preserve">, </w:t>
      </w:r>
      <w:proofErr w:type="spellStart"/>
      <w:r>
        <w:rPr>
          <w:sz w:val="22"/>
          <w:szCs w:val="22"/>
        </w:rPr>
        <w:t>receiving</w:t>
      </w:r>
      <w:proofErr w:type="spellEnd"/>
      <w:r>
        <w:rPr>
          <w:sz w:val="22"/>
          <w:szCs w:val="22"/>
        </w:rPr>
        <w:t xml:space="preserve"> </w:t>
      </w:r>
      <w:proofErr w:type="spellStart"/>
      <w:r>
        <w:rPr>
          <w:sz w:val="22"/>
          <w:szCs w:val="22"/>
        </w:rPr>
        <w:t>alarms</w:t>
      </w:r>
      <w:proofErr w:type="spellEnd"/>
      <w:r>
        <w:rPr>
          <w:sz w:val="22"/>
          <w:szCs w:val="22"/>
        </w:rPr>
        <w:t>, etc.</w:t>
      </w:r>
    </w:p>
    <w:p w14:paraId="09ABE8D7" w14:textId="77777777" w:rsidR="00E255F4" w:rsidRDefault="00E255F4">
      <w:pPr>
        <w:tabs>
          <w:tab w:val="left" w:pos="851"/>
        </w:tabs>
        <w:jc w:val="both"/>
        <w:rPr>
          <w:sz w:val="22"/>
          <w:szCs w:val="22"/>
        </w:rPr>
      </w:pPr>
    </w:p>
    <w:p w14:paraId="231037B4" w14:textId="77777777" w:rsidR="00E255F4" w:rsidRDefault="00000000">
      <w:pPr>
        <w:tabs>
          <w:tab w:val="left" w:pos="851"/>
        </w:tabs>
        <w:jc w:val="both"/>
      </w:pPr>
      <w:r>
        <w:rPr>
          <w:sz w:val="22"/>
          <w:szCs w:val="22"/>
        </w:rPr>
        <w:t xml:space="preserve">The </w:t>
      </w:r>
      <w:proofErr w:type="spellStart"/>
      <w:r>
        <w:rPr>
          <w:sz w:val="22"/>
          <w:szCs w:val="22"/>
        </w:rPr>
        <w:t>user</w:t>
      </w:r>
      <w:proofErr w:type="spellEnd"/>
      <w:r>
        <w:rPr>
          <w:sz w:val="22"/>
          <w:szCs w:val="22"/>
        </w:rPr>
        <w:t xml:space="preserve"> </w:t>
      </w:r>
      <w:proofErr w:type="spellStart"/>
      <w:r>
        <w:rPr>
          <w:sz w:val="22"/>
          <w:szCs w:val="22"/>
        </w:rPr>
        <w:t>must</w:t>
      </w:r>
      <w:proofErr w:type="spellEnd"/>
      <w:r>
        <w:rPr>
          <w:sz w:val="22"/>
          <w:szCs w:val="22"/>
        </w:rPr>
        <w:t xml:space="preserve"> be </w:t>
      </w:r>
      <w:proofErr w:type="spellStart"/>
      <w:r>
        <w:rPr>
          <w:sz w:val="22"/>
          <w:szCs w:val="22"/>
        </w:rPr>
        <w:t>able</w:t>
      </w:r>
      <w:proofErr w:type="spellEnd"/>
      <w:r>
        <w:rPr>
          <w:sz w:val="22"/>
          <w:szCs w:val="22"/>
        </w:rPr>
        <w:t xml:space="preserve"> </w:t>
      </w:r>
      <w:proofErr w:type="spellStart"/>
      <w:r>
        <w:rPr>
          <w:sz w:val="22"/>
          <w:szCs w:val="22"/>
        </w:rPr>
        <w:t>to</w:t>
      </w:r>
      <w:proofErr w:type="spellEnd"/>
      <w:r>
        <w:rPr>
          <w:sz w:val="22"/>
          <w:szCs w:val="22"/>
        </w:rPr>
        <w:t xml:space="preserve"> at </w:t>
      </w:r>
      <w:proofErr w:type="spellStart"/>
      <w:r>
        <w:rPr>
          <w:sz w:val="22"/>
          <w:szCs w:val="22"/>
        </w:rPr>
        <w:t>least</w:t>
      </w:r>
      <w:proofErr w:type="spellEnd"/>
      <w:r>
        <w:rPr>
          <w:sz w:val="22"/>
          <w:szCs w:val="22"/>
        </w:rPr>
        <w:t xml:space="preserve"> configure </w:t>
      </w:r>
      <w:proofErr w:type="spellStart"/>
      <w:r>
        <w:rPr>
          <w:sz w:val="22"/>
          <w:szCs w:val="22"/>
        </w:rPr>
        <w:t>the</w:t>
      </w:r>
      <w:proofErr w:type="spellEnd"/>
      <w:r>
        <w:rPr>
          <w:sz w:val="22"/>
          <w:szCs w:val="22"/>
        </w:rPr>
        <w:t xml:space="preserve"> </w:t>
      </w:r>
      <w:proofErr w:type="spellStart"/>
      <w:r>
        <w:rPr>
          <w:sz w:val="22"/>
          <w:szCs w:val="22"/>
        </w:rPr>
        <w:t>telemetry</w:t>
      </w:r>
      <w:proofErr w:type="spellEnd"/>
      <w:r>
        <w:rPr>
          <w:sz w:val="22"/>
          <w:szCs w:val="22"/>
        </w:rPr>
        <w:t xml:space="preserve"> </w:t>
      </w:r>
      <w:proofErr w:type="spellStart"/>
      <w:r>
        <w:rPr>
          <w:sz w:val="22"/>
          <w:szCs w:val="22"/>
        </w:rPr>
        <w:t>equipment</w:t>
      </w:r>
      <w:proofErr w:type="spellEnd"/>
      <w:r>
        <w:rPr>
          <w:sz w:val="22"/>
          <w:szCs w:val="22"/>
        </w:rPr>
        <w:t xml:space="preserve">, </w:t>
      </w:r>
      <w:proofErr w:type="spellStart"/>
      <w:r>
        <w:rPr>
          <w:sz w:val="22"/>
          <w:szCs w:val="22"/>
        </w:rPr>
        <w:t>perform</w:t>
      </w:r>
      <w:proofErr w:type="spellEnd"/>
      <w:r>
        <w:rPr>
          <w:sz w:val="22"/>
          <w:szCs w:val="22"/>
        </w:rPr>
        <w:t xml:space="preserve"> firmware </w:t>
      </w:r>
      <w:proofErr w:type="spellStart"/>
      <w:r>
        <w:rPr>
          <w:sz w:val="22"/>
          <w:szCs w:val="22"/>
        </w:rPr>
        <w:t>upgrades</w:t>
      </w:r>
      <w:proofErr w:type="spellEnd"/>
      <w:r>
        <w:rPr>
          <w:sz w:val="22"/>
          <w:szCs w:val="22"/>
        </w:rPr>
        <w:t xml:space="preserve">, </w:t>
      </w:r>
      <w:proofErr w:type="spellStart"/>
      <w:r>
        <w:rPr>
          <w:sz w:val="22"/>
          <w:szCs w:val="22"/>
        </w:rPr>
        <w:t>receive</w:t>
      </w:r>
      <w:proofErr w:type="spellEnd"/>
      <w:r>
        <w:rPr>
          <w:sz w:val="22"/>
          <w:szCs w:val="22"/>
        </w:rPr>
        <w:t xml:space="preserve"> </w:t>
      </w:r>
      <w:proofErr w:type="spellStart"/>
      <w:r>
        <w:rPr>
          <w:sz w:val="22"/>
          <w:szCs w:val="22"/>
        </w:rPr>
        <w:t>alarms</w:t>
      </w:r>
      <w:proofErr w:type="spellEnd"/>
      <w:r>
        <w:rPr>
          <w:sz w:val="22"/>
          <w:szCs w:val="22"/>
        </w:rPr>
        <w:t>, etc.</w:t>
      </w:r>
    </w:p>
    <w:p w14:paraId="4035C5B0" w14:textId="77777777" w:rsidR="00E255F4" w:rsidRDefault="00E255F4">
      <w:pPr>
        <w:tabs>
          <w:tab w:val="left" w:pos="851"/>
        </w:tabs>
        <w:jc w:val="both"/>
        <w:rPr>
          <w:sz w:val="22"/>
          <w:szCs w:val="22"/>
        </w:rPr>
      </w:pPr>
    </w:p>
    <w:p w14:paraId="69EDCDD9" w14:textId="77777777" w:rsidR="00E255F4" w:rsidRDefault="00000000">
      <w:pPr>
        <w:tabs>
          <w:tab w:val="left" w:pos="851"/>
        </w:tabs>
        <w:jc w:val="both"/>
        <w:rPr>
          <w:sz w:val="22"/>
          <w:szCs w:val="22"/>
        </w:rPr>
      </w:pPr>
      <w:r>
        <w:rPr>
          <w:sz w:val="22"/>
          <w:szCs w:val="22"/>
        </w:rPr>
        <w:t xml:space="preserve">For </w:t>
      </w:r>
      <w:proofErr w:type="spellStart"/>
      <w:r>
        <w:rPr>
          <w:sz w:val="22"/>
          <w:szCs w:val="22"/>
        </w:rPr>
        <w:t>the</w:t>
      </w:r>
      <w:proofErr w:type="spellEnd"/>
      <w:r>
        <w:rPr>
          <w:sz w:val="22"/>
          <w:szCs w:val="22"/>
        </w:rPr>
        <w:t xml:space="preserve"> Management </w:t>
      </w:r>
      <w:proofErr w:type="spellStart"/>
      <w:r>
        <w:rPr>
          <w:sz w:val="22"/>
          <w:szCs w:val="22"/>
        </w:rPr>
        <w:t>System</w:t>
      </w:r>
      <w:proofErr w:type="spellEnd"/>
      <w:r>
        <w:rPr>
          <w:sz w:val="22"/>
          <w:szCs w:val="22"/>
        </w:rPr>
        <w:t xml:space="preserve">, </w:t>
      </w:r>
      <w:proofErr w:type="spellStart"/>
      <w:r>
        <w:rPr>
          <w:sz w:val="22"/>
          <w:szCs w:val="22"/>
        </w:rPr>
        <w:t>the</w:t>
      </w:r>
      <w:proofErr w:type="spellEnd"/>
      <w:r>
        <w:rPr>
          <w:sz w:val="22"/>
          <w:szCs w:val="22"/>
        </w:rPr>
        <w:t xml:space="preserve"> </w:t>
      </w:r>
      <w:proofErr w:type="spellStart"/>
      <w:r>
        <w:rPr>
          <w:sz w:val="22"/>
          <w:szCs w:val="22"/>
        </w:rPr>
        <w:t>supplier</w:t>
      </w:r>
      <w:proofErr w:type="spellEnd"/>
      <w:r>
        <w:rPr>
          <w:sz w:val="22"/>
          <w:szCs w:val="22"/>
        </w:rPr>
        <w:t xml:space="preserve"> </w:t>
      </w:r>
      <w:proofErr w:type="spellStart"/>
      <w:r>
        <w:rPr>
          <w:sz w:val="22"/>
          <w:szCs w:val="22"/>
        </w:rPr>
        <w:t>will</w:t>
      </w:r>
      <w:proofErr w:type="spellEnd"/>
      <w:r>
        <w:rPr>
          <w:sz w:val="22"/>
          <w:szCs w:val="22"/>
        </w:rPr>
        <w:t xml:space="preserve"> </w:t>
      </w:r>
      <w:proofErr w:type="spellStart"/>
      <w:r>
        <w:rPr>
          <w:sz w:val="22"/>
          <w:szCs w:val="22"/>
        </w:rPr>
        <w:t>install</w:t>
      </w:r>
      <w:proofErr w:type="spellEnd"/>
      <w:r>
        <w:rPr>
          <w:sz w:val="22"/>
          <w:szCs w:val="22"/>
        </w:rPr>
        <w:t xml:space="preserve"> </w:t>
      </w:r>
      <w:proofErr w:type="spellStart"/>
      <w:r>
        <w:rPr>
          <w:sz w:val="22"/>
          <w:szCs w:val="22"/>
        </w:rPr>
        <w:t>all</w:t>
      </w:r>
      <w:proofErr w:type="spellEnd"/>
      <w:r>
        <w:rPr>
          <w:sz w:val="22"/>
          <w:szCs w:val="22"/>
        </w:rPr>
        <w:t xml:space="preserve"> </w:t>
      </w:r>
      <w:proofErr w:type="spellStart"/>
      <w:r>
        <w:rPr>
          <w:sz w:val="22"/>
          <w:szCs w:val="22"/>
        </w:rPr>
        <w:t>necessary</w:t>
      </w:r>
      <w:proofErr w:type="spellEnd"/>
      <w:r>
        <w:rPr>
          <w:sz w:val="22"/>
          <w:szCs w:val="22"/>
        </w:rPr>
        <w:t xml:space="preserve"> hardware and/</w:t>
      </w:r>
      <w:proofErr w:type="spellStart"/>
      <w:r>
        <w:rPr>
          <w:sz w:val="22"/>
          <w:szCs w:val="22"/>
        </w:rPr>
        <w:t>or</w:t>
      </w:r>
      <w:proofErr w:type="spellEnd"/>
      <w:r>
        <w:rPr>
          <w:sz w:val="22"/>
          <w:szCs w:val="22"/>
        </w:rPr>
        <w:t xml:space="preserve"> software </w:t>
      </w:r>
      <w:proofErr w:type="spellStart"/>
      <w:r>
        <w:rPr>
          <w:sz w:val="22"/>
          <w:szCs w:val="22"/>
        </w:rPr>
        <w:t>components</w:t>
      </w:r>
      <w:proofErr w:type="spellEnd"/>
      <w:r>
        <w:rPr>
          <w:sz w:val="22"/>
          <w:szCs w:val="22"/>
        </w:rPr>
        <w:t xml:space="preserve"> </w:t>
      </w:r>
      <w:proofErr w:type="spellStart"/>
      <w:r>
        <w:rPr>
          <w:sz w:val="22"/>
          <w:szCs w:val="22"/>
        </w:rPr>
        <w:t>required</w:t>
      </w:r>
      <w:proofErr w:type="spellEnd"/>
      <w:r>
        <w:rPr>
          <w:sz w:val="22"/>
          <w:szCs w:val="22"/>
        </w:rPr>
        <w:t xml:space="preserve"> </w:t>
      </w:r>
      <w:proofErr w:type="spellStart"/>
      <w:r>
        <w:rPr>
          <w:sz w:val="22"/>
          <w:szCs w:val="22"/>
        </w:rPr>
        <w:t>to</w:t>
      </w:r>
      <w:proofErr w:type="spellEnd"/>
      <w:r>
        <w:rPr>
          <w:sz w:val="22"/>
          <w:szCs w:val="22"/>
        </w:rPr>
        <w:t xml:space="preserve"> </w:t>
      </w:r>
      <w:proofErr w:type="spellStart"/>
      <w:r>
        <w:rPr>
          <w:sz w:val="22"/>
          <w:szCs w:val="22"/>
        </w:rPr>
        <w:t>achieve</w:t>
      </w:r>
      <w:proofErr w:type="spellEnd"/>
      <w:r>
        <w:rPr>
          <w:sz w:val="22"/>
          <w:szCs w:val="22"/>
        </w:rPr>
        <w:t xml:space="preserve"> </w:t>
      </w:r>
      <w:proofErr w:type="spellStart"/>
      <w:r>
        <w:rPr>
          <w:sz w:val="22"/>
          <w:szCs w:val="22"/>
        </w:rPr>
        <w:t>the</w:t>
      </w:r>
      <w:proofErr w:type="spellEnd"/>
      <w:r>
        <w:rPr>
          <w:sz w:val="22"/>
          <w:szCs w:val="22"/>
        </w:rPr>
        <w:t xml:space="preserve"> </w:t>
      </w:r>
      <w:proofErr w:type="spellStart"/>
      <w:r>
        <w:rPr>
          <w:sz w:val="22"/>
          <w:szCs w:val="22"/>
        </w:rPr>
        <w:t>optimal</w:t>
      </w:r>
      <w:proofErr w:type="spellEnd"/>
      <w:r>
        <w:rPr>
          <w:sz w:val="22"/>
          <w:szCs w:val="22"/>
        </w:rPr>
        <w:t xml:space="preserve"> </w:t>
      </w:r>
      <w:proofErr w:type="spellStart"/>
      <w:r>
        <w:rPr>
          <w:sz w:val="22"/>
          <w:szCs w:val="22"/>
        </w:rPr>
        <w:t>operating</w:t>
      </w:r>
      <w:proofErr w:type="spellEnd"/>
      <w:r>
        <w:rPr>
          <w:sz w:val="22"/>
          <w:szCs w:val="22"/>
        </w:rPr>
        <w:t xml:space="preserve"> </w:t>
      </w:r>
      <w:proofErr w:type="spellStart"/>
      <w:r>
        <w:rPr>
          <w:sz w:val="22"/>
          <w:szCs w:val="22"/>
        </w:rPr>
        <w:t>level</w:t>
      </w:r>
      <w:proofErr w:type="spellEnd"/>
      <w:r>
        <w:rPr>
          <w:sz w:val="22"/>
          <w:szCs w:val="22"/>
        </w:rPr>
        <w:t xml:space="preserve"> </w:t>
      </w:r>
      <w:proofErr w:type="spellStart"/>
      <w:r>
        <w:rPr>
          <w:sz w:val="22"/>
          <w:szCs w:val="22"/>
        </w:rPr>
        <w:t>of</w:t>
      </w:r>
      <w:proofErr w:type="spellEnd"/>
      <w:r>
        <w:rPr>
          <w:sz w:val="22"/>
          <w:szCs w:val="22"/>
        </w:rPr>
        <w:t xml:space="preserve"> </w:t>
      </w:r>
      <w:proofErr w:type="spellStart"/>
      <w:r>
        <w:rPr>
          <w:sz w:val="22"/>
          <w:szCs w:val="22"/>
        </w:rPr>
        <w:t>the</w:t>
      </w:r>
      <w:proofErr w:type="spellEnd"/>
      <w:r>
        <w:rPr>
          <w:sz w:val="22"/>
          <w:szCs w:val="22"/>
        </w:rPr>
        <w:t xml:space="preserve"> </w:t>
      </w:r>
      <w:proofErr w:type="spellStart"/>
      <w:r>
        <w:rPr>
          <w:sz w:val="22"/>
          <w:szCs w:val="22"/>
        </w:rPr>
        <w:t>proposed</w:t>
      </w:r>
      <w:proofErr w:type="spellEnd"/>
      <w:r>
        <w:rPr>
          <w:sz w:val="22"/>
          <w:szCs w:val="22"/>
        </w:rPr>
        <w:t xml:space="preserve"> </w:t>
      </w:r>
      <w:proofErr w:type="spellStart"/>
      <w:r>
        <w:rPr>
          <w:sz w:val="22"/>
          <w:szCs w:val="22"/>
        </w:rPr>
        <w:t>Telemetry</w:t>
      </w:r>
      <w:proofErr w:type="spellEnd"/>
      <w:r>
        <w:rPr>
          <w:sz w:val="22"/>
          <w:szCs w:val="22"/>
        </w:rPr>
        <w:t xml:space="preserve"> </w:t>
      </w:r>
      <w:proofErr w:type="spellStart"/>
      <w:r>
        <w:rPr>
          <w:sz w:val="22"/>
          <w:szCs w:val="22"/>
        </w:rPr>
        <w:t>System</w:t>
      </w:r>
      <w:proofErr w:type="spellEnd"/>
      <w:r>
        <w:rPr>
          <w:sz w:val="22"/>
          <w:szCs w:val="22"/>
        </w:rPr>
        <w:t xml:space="preserve">. </w:t>
      </w:r>
      <w:proofErr w:type="spellStart"/>
      <w:r>
        <w:rPr>
          <w:sz w:val="22"/>
          <w:szCs w:val="22"/>
        </w:rPr>
        <w:t>All</w:t>
      </w:r>
      <w:proofErr w:type="spellEnd"/>
      <w:r>
        <w:rPr>
          <w:sz w:val="22"/>
          <w:szCs w:val="22"/>
        </w:rPr>
        <w:t xml:space="preserve"> </w:t>
      </w:r>
      <w:proofErr w:type="spellStart"/>
      <w:r>
        <w:rPr>
          <w:sz w:val="22"/>
          <w:szCs w:val="22"/>
        </w:rPr>
        <w:t>associated</w:t>
      </w:r>
      <w:proofErr w:type="spellEnd"/>
      <w:r>
        <w:rPr>
          <w:sz w:val="22"/>
          <w:szCs w:val="22"/>
        </w:rPr>
        <w:t xml:space="preserve"> </w:t>
      </w:r>
      <w:proofErr w:type="spellStart"/>
      <w:r>
        <w:rPr>
          <w:sz w:val="22"/>
          <w:szCs w:val="22"/>
        </w:rPr>
        <w:t>costs</w:t>
      </w:r>
      <w:proofErr w:type="spellEnd"/>
      <w:r>
        <w:rPr>
          <w:sz w:val="22"/>
          <w:szCs w:val="22"/>
        </w:rPr>
        <w:t xml:space="preserve"> </w:t>
      </w:r>
      <w:proofErr w:type="spellStart"/>
      <w:r>
        <w:rPr>
          <w:sz w:val="22"/>
          <w:szCs w:val="22"/>
        </w:rPr>
        <w:t>will</w:t>
      </w:r>
      <w:proofErr w:type="spellEnd"/>
      <w:r>
        <w:rPr>
          <w:sz w:val="22"/>
          <w:szCs w:val="22"/>
        </w:rPr>
        <w:t xml:space="preserve"> be </w:t>
      </w:r>
      <w:proofErr w:type="spellStart"/>
      <w:r>
        <w:rPr>
          <w:sz w:val="22"/>
          <w:szCs w:val="22"/>
        </w:rPr>
        <w:t>included</w:t>
      </w:r>
      <w:proofErr w:type="spellEnd"/>
      <w:r>
        <w:rPr>
          <w:sz w:val="22"/>
          <w:szCs w:val="22"/>
        </w:rPr>
        <w:t xml:space="preserve"> in </w:t>
      </w:r>
      <w:proofErr w:type="spellStart"/>
      <w:r>
        <w:rPr>
          <w:sz w:val="22"/>
          <w:szCs w:val="22"/>
        </w:rPr>
        <w:t>the</w:t>
      </w:r>
      <w:proofErr w:type="spellEnd"/>
      <w:r>
        <w:rPr>
          <w:sz w:val="22"/>
          <w:szCs w:val="22"/>
        </w:rPr>
        <w:t xml:space="preserve"> </w:t>
      </w:r>
      <w:proofErr w:type="spellStart"/>
      <w:r>
        <w:rPr>
          <w:sz w:val="22"/>
          <w:szCs w:val="22"/>
        </w:rPr>
        <w:t>offer</w:t>
      </w:r>
      <w:proofErr w:type="spellEnd"/>
      <w:r>
        <w:rPr>
          <w:sz w:val="22"/>
          <w:szCs w:val="22"/>
        </w:rPr>
        <w:t>.</w:t>
      </w:r>
    </w:p>
    <w:p w14:paraId="62FEE0A9" w14:textId="77777777" w:rsidR="00E255F4" w:rsidRDefault="00E255F4">
      <w:pPr>
        <w:tabs>
          <w:tab w:val="left" w:pos="851"/>
        </w:tabs>
        <w:jc w:val="both"/>
        <w:rPr>
          <w:sz w:val="22"/>
          <w:szCs w:val="22"/>
        </w:rPr>
      </w:pPr>
    </w:p>
    <w:p w14:paraId="66FDA3A3" w14:textId="77777777" w:rsidR="00E255F4" w:rsidRDefault="00000000">
      <w:pPr>
        <w:tabs>
          <w:tab w:val="left" w:pos="851"/>
        </w:tabs>
        <w:jc w:val="both"/>
        <w:rPr>
          <w:sz w:val="22"/>
          <w:szCs w:val="22"/>
        </w:rPr>
      </w:pPr>
      <w:proofErr w:type="spellStart"/>
      <w:r>
        <w:rPr>
          <w:sz w:val="22"/>
          <w:szCs w:val="22"/>
        </w:rPr>
        <w:t>Attached</w:t>
      </w:r>
      <w:proofErr w:type="spellEnd"/>
      <w:r>
        <w:rPr>
          <w:sz w:val="22"/>
          <w:szCs w:val="22"/>
        </w:rPr>
        <w:t xml:space="preserve"> </w:t>
      </w:r>
      <w:proofErr w:type="spellStart"/>
      <w:r>
        <w:rPr>
          <w:sz w:val="22"/>
          <w:szCs w:val="22"/>
        </w:rPr>
        <w:t>to</w:t>
      </w:r>
      <w:proofErr w:type="spellEnd"/>
      <w:r>
        <w:rPr>
          <w:sz w:val="22"/>
          <w:szCs w:val="22"/>
        </w:rPr>
        <w:t xml:space="preserve"> </w:t>
      </w:r>
      <w:proofErr w:type="spellStart"/>
      <w:r>
        <w:rPr>
          <w:sz w:val="22"/>
          <w:szCs w:val="22"/>
        </w:rPr>
        <w:t>the</w:t>
      </w:r>
      <w:proofErr w:type="spellEnd"/>
      <w:r>
        <w:rPr>
          <w:sz w:val="22"/>
          <w:szCs w:val="22"/>
        </w:rPr>
        <w:t xml:space="preserve"> Management </w:t>
      </w:r>
      <w:proofErr w:type="spellStart"/>
      <w:r>
        <w:rPr>
          <w:sz w:val="22"/>
          <w:szCs w:val="22"/>
        </w:rPr>
        <w:t>System</w:t>
      </w:r>
      <w:proofErr w:type="spellEnd"/>
      <w:r>
        <w:rPr>
          <w:sz w:val="22"/>
          <w:szCs w:val="22"/>
        </w:rPr>
        <w:t xml:space="preserve">, a control panel </w:t>
      </w:r>
      <w:proofErr w:type="spellStart"/>
      <w:r>
        <w:rPr>
          <w:sz w:val="22"/>
          <w:szCs w:val="22"/>
        </w:rPr>
        <w:t>must</w:t>
      </w:r>
      <w:proofErr w:type="spellEnd"/>
      <w:r>
        <w:rPr>
          <w:sz w:val="22"/>
          <w:szCs w:val="22"/>
        </w:rPr>
        <w:t xml:space="preserve"> be </w:t>
      </w:r>
      <w:proofErr w:type="spellStart"/>
      <w:r>
        <w:rPr>
          <w:sz w:val="22"/>
          <w:szCs w:val="22"/>
        </w:rPr>
        <w:t>provided</w:t>
      </w:r>
      <w:proofErr w:type="spellEnd"/>
      <w:r>
        <w:rPr>
          <w:sz w:val="22"/>
          <w:szCs w:val="22"/>
        </w:rPr>
        <w:t xml:space="preserve"> </w:t>
      </w:r>
      <w:proofErr w:type="spellStart"/>
      <w:r>
        <w:rPr>
          <w:sz w:val="22"/>
          <w:szCs w:val="22"/>
        </w:rPr>
        <w:t>where</w:t>
      </w:r>
      <w:proofErr w:type="spellEnd"/>
      <w:r>
        <w:rPr>
          <w:sz w:val="22"/>
          <w:szCs w:val="22"/>
        </w:rPr>
        <w:t xml:space="preserve"> at </w:t>
      </w:r>
      <w:proofErr w:type="spellStart"/>
      <w:r>
        <w:rPr>
          <w:sz w:val="22"/>
          <w:szCs w:val="22"/>
        </w:rPr>
        <w:t>least</w:t>
      </w:r>
      <w:proofErr w:type="spellEnd"/>
      <w:r>
        <w:rPr>
          <w:sz w:val="22"/>
          <w:szCs w:val="22"/>
        </w:rPr>
        <w:t xml:space="preserve"> </w:t>
      </w:r>
      <w:proofErr w:type="spellStart"/>
      <w:r>
        <w:rPr>
          <w:sz w:val="22"/>
          <w:szCs w:val="22"/>
        </w:rPr>
        <w:t>the</w:t>
      </w:r>
      <w:proofErr w:type="spellEnd"/>
      <w:r>
        <w:rPr>
          <w:sz w:val="22"/>
          <w:szCs w:val="22"/>
        </w:rPr>
        <w:t xml:space="preserve"> </w:t>
      </w:r>
      <w:proofErr w:type="spellStart"/>
      <w:r>
        <w:rPr>
          <w:sz w:val="22"/>
          <w:szCs w:val="22"/>
        </w:rPr>
        <w:t>current</w:t>
      </w:r>
      <w:proofErr w:type="spellEnd"/>
      <w:r>
        <w:rPr>
          <w:sz w:val="22"/>
          <w:szCs w:val="22"/>
        </w:rPr>
        <w:t xml:space="preserve"> </w:t>
      </w:r>
      <w:proofErr w:type="spellStart"/>
      <w:r>
        <w:rPr>
          <w:sz w:val="22"/>
          <w:szCs w:val="22"/>
        </w:rPr>
        <w:t>activity</w:t>
      </w:r>
      <w:proofErr w:type="spellEnd"/>
      <w:r>
        <w:rPr>
          <w:sz w:val="22"/>
          <w:szCs w:val="22"/>
        </w:rPr>
        <w:t xml:space="preserve"> </w:t>
      </w:r>
      <w:proofErr w:type="gramStart"/>
      <w:r>
        <w:rPr>
          <w:sz w:val="22"/>
          <w:szCs w:val="22"/>
        </w:rPr>
        <w:t>status</w:t>
      </w:r>
      <w:proofErr w:type="gramEnd"/>
      <w:r>
        <w:rPr>
          <w:sz w:val="22"/>
          <w:szCs w:val="22"/>
        </w:rPr>
        <w:t xml:space="preserve"> </w:t>
      </w:r>
      <w:proofErr w:type="spellStart"/>
      <w:r>
        <w:rPr>
          <w:sz w:val="22"/>
          <w:szCs w:val="22"/>
        </w:rPr>
        <w:t>of</w:t>
      </w:r>
      <w:proofErr w:type="spellEnd"/>
      <w:r>
        <w:rPr>
          <w:sz w:val="22"/>
          <w:szCs w:val="22"/>
        </w:rPr>
        <w:t xml:space="preserve"> </w:t>
      </w:r>
      <w:proofErr w:type="spellStart"/>
      <w:r>
        <w:rPr>
          <w:sz w:val="22"/>
          <w:szCs w:val="22"/>
        </w:rPr>
        <w:t>the</w:t>
      </w:r>
      <w:proofErr w:type="spellEnd"/>
      <w:r>
        <w:rPr>
          <w:sz w:val="22"/>
          <w:szCs w:val="22"/>
        </w:rPr>
        <w:t xml:space="preserve"> </w:t>
      </w:r>
      <w:proofErr w:type="spellStart"/>
      <w:r>
        <w:rPr>
          <w:sz w:val="22"/>
          <w:szCs w:val="22"/>
        </w:rPr>
        <w:t>telemetry</w:t>
      </w:r>
      <w:proofErr w:type="spellEnd"/>
      <w:r>
        <w:rPr>
          <w:sz w:val="22"/>
          <w:szCs w:val="22"/>
        </w:rPr>
        <w:t xml:space="preserve"> </w:t>
      </w:r>
      <w:proofErr w:type="spellStart"/>
      <w:r>
        <w:rPr>
          <w:sz w:val="22"/>
          <w:szCs w:val="22"/>
        </w:rPr>
        <w:t>devices</w:t>
      </w:r>
      <w:proofErr w:type="spellEnd"/>
      <w:r>
        <w:rPr>
          <w:sz w:val="22"/>
          <w:szCs w:val="22"/>
        </w:rPr>
        <w:t xml:space="preserve"> can be </w:t>
      </w:r>
      <w:proofErr w:type="spellStart"/>
      <w:r>
        <w:rPr>
          <w:sz w:val="22"/>
          <w:szCs w:val="22"/>
        </w:rPr>
        <w:t>seen</w:t>
      </w:r>
      <w:proofErr w:type="spellEnd"/>
      <w:r>
        <w:rPr>
          <w:sz w:val="22"/>
          <w:szCs w:val="22"/>
        </w:rPr>
        <w:t>.</w:t>
      </w:r>
    </w:p>
    <w:p w14:paraId="2B7B81CD" w14:textId="77777777" w:rsidR="00E255F4" w:rsidRDefault="00E255F4">
      <w:pPr>
        <w:tabs>
          <w:tab w:val="left" w:pos="851"/>
        </w:tabs>
        <w:jc w:val="both"/>
        <w:rPr>
          <w:sz w:val="22"/>
          <w:szCs w:val="22"/>
        </w:rPr>
      </w:pPr>
    </w:p>
    <w:p w14:paraId="3C2F6A4B" w14:textId="77777777" w:rsidR="00E255F4" w:rsidRDefault="00000000">
      <w:pPr>
        <w:tabs>
          <w:tab w:val="left" w:pos="851"/>
        </w:tabs>
        <w:jc w:val="both"/>
      </w:pPr>
      <w:r>
        <w:rPr>
          <w:sz w:val="22"/>
          <w:szCs w:val="22"/>
        </w:rPr>
        <w:t xml:space="preserve">The data </w:t>
      </w:r>
      <w:proofErr w:type="spellStart"/>
      <w:r>
        <w:rPr>
          <w:sz w:val="22"/>
          <w:szCs w:val="22"/>
        </w:rPr>
        <w:t>will</w:t>
      </w:r>
      <w:proofErr w:type="spellEnd"/>
      <w:r>
        <w:rPr>
          <w:sz w:val="22"/>
          <w:szCs w:val="22"/>
        </w:rPr>
        <w:t xml:space="preserve"> be </w:t>
      </w:r>
      <w:proofErr w:type="spellStart"/>
      <w:r>
        <w:rPr>
          <w:sz w:val="22"/>
          <w:szCs w:val="22"/>
        </w:rPr>
        <w:t>sent</w:t>
      </w:r>
      <w:proofErr w:type="spellEnd"/>
      <w:r>
        <w:rPr>
          <w:sz w:val="22"/>
          <w:szCs w:val="22"/>
        </w:rPr>
        <w:t xml:space="preserve"> </w:t>
      </w:r>
      <w:proofErr w:type="spellStart"/>
      <w:r>
        <w:rPr>
          <w:sz w:val="22"/>
          <w:szCs w:val="22"/>
        </w:rPr>
        <w:t>to</w:t>
      </w:r>
      <w:proofErr w:type="spellEnd"/>
      <w:r>
        <w:rPr>
          <w:sz w:val="22"/>
          <w:szCs w:val="22"/>
        </w:rPr>
        <w:t xml:space="preserve"> </w:t>
      </w:r>
      <w:proofErr w:type="spellStart"/>
      <w:r>
        <w:rPr>
          <w:sz w:val="22"/>
          <w:szCs w:val="22"/>
        </w:rPr>
        <w:t>the</w:t>
      </w:r>
      <w:proofErr w:type="spellEnd"/>
      <w:r>
        <w:rPr>
          <w:sz w:val="22"/>
          <w:szCs w:val="22"/>
        </w:rPr>
        <w:t xml:space="preserve"> Data </w:t>
      </w:r>
      <w:proofErr w:type="spellStart"/>
      <w:r>
        <w:rPr>
          <w:sz w:val="22"/>
          <w:szCs w:val="22"/>
        </w:rPr>
        <w:t>Collection</w:t>
      </w:r>
      <w:proofErr w:type="spellEnd"/>
      <w:r>
        <w:rPr>
          <w:sz w:val="22"/>
          <w:szCs w:val="22"/>
        </w:rPr>
        <w:t xml:space="preserve"> </w:t>
      </w:r>
      <w:proofErr w:type="spellStart"/>
      <w:r>
        <w:rPr>
          <w:sz w:val="22"/>
          <w:szCs w:val="22"/>
        </w:rPr>
        <w:t>System</w:t>
      </w:r>
      <w:proofErr w:type="spellEnd"/>
      <w:r>
        <w:rPr>
          <w:sz w:val="22"/>
          <w:szCs w:val="22"/>
        </w:rPr>
        <w:t xml:space="preserve">. The </w:t>
      </w:r>
      <w:proofErr w:type="spellStart"/>
      <w:r>
        <w:rPr>
          <w:sz w:val="22"/>
          <w:szCs w:val="22"/>
        </w:rPr>
        <w:t>connection</w:t>
      </w:r>
      <w:proofErr w:type="spellEnd"/>
      <w:r>
        <w:rPr>
          <w:sz w:val="22"/>
          <w:szCs w:val="22"/>
        </w:rPr>
        <w:t xml:space="preserve"> </w:t>
      </w:r>
      <w:proofErr w:type="spellStart"/>
      <w:r>
        <w:rPr>
          <w:sz w:val="22"/>
          <w:szCs w:val="22"/>
        </w:rPr>
        <w:t>details</w:t>
      </w:r>
      <w:proofErr w:type="spellEnd"/>
      <w:r>
        <w:rPr>
          <w:sz w:val="22"/>
          <w:szCs w:val="22"/>
        </w:rPr>
        <w:t xml:space="preserve"> </w:t>
      </w:r>
      <w:proofErr w:type="spellStart"/>
      <w:r>
        <w:rPr>
          <w:sz w:val="22"/>
          <w:szCs w:val="22"/>
        </w:rPr>
        <w:t>will</w:t>
      </w:r>
      <w:proofErr w:type="spellEnd"/>
      <w:r>
        <w:rPr>
          <w:sz w:val="22"/>
          <w:szCs w:val="22"/>
        </w:rPr>
        <w:t xml:space="preserve"> be </w:t>
      </w:r>
      <w:proofErr w:type="spellStart"/>
      <w:r>
        <w:rPr>
          <w:sz w:val="22"/>
          <w:szCs w:val="22"/>
        </w:rPr>
        <w:t>provided</w:t>
      </w:r>
      <w:proofErr w:type="spellEnd"/>
      <w:r>
        <w:rPr>
          <w:sz w:val="22"/>
          <w:szCs w:val="22"/>
        </w:rPr>
        <w:t xml:space="preserve"> after </w:t>
      </w:r>
      <w:proofErr w:type="spellStart"/>
      <w:r>
        <w:rPr>
          <w:sz w:val="22"/>
          <w:szCs w:val="22"/>
        </w:rPr>
        <w:t>the</w:t>
      </w:r>
      <w:proofErr w:type="spellEnd"/>
      <w:r>
        <w:rPr>
          <w:sz w:val="22"/>
          <w:szCs w:val="22"/>
        </w:rPr>
        <w:t xml:space="preserve"> </w:t>
      </w:r>
      <w:proofErr w:type="spellStart"/>
      <w:r>
        <w:rPr>
          <w:sz w:val="22"/>
          <w:szCs w:val="22"/>
        </w:rPr>
        <w:t>contract</w:t>
      </w:r>
      <w:proofErr w:type="spellEnd"/>
      <w:r>
        <w:rPr>
          <w:sz w:val="22"/>
          <w:szCs w:val="22"/>
        </w:rPr>
        <w:t xml:space="preserve"> </w:t>
      </w:r>
      <w:proofErr w:type="spellStart"/>
      <w:r>
        <w:rPr>
          <w:sz w:val="22"/>
          <w:szCs w:val="22"/>
        </w:rPr>
        <w:t>is</w:t>
      </w:r>
      <w:proofErr w:type="spellEnd"/>
      <w:r>
        <w:rPr>
          <w:sz w:val="22"/>
          <w:szCs w:val="22"/>
        </w:rPr>
        <w:t xml:space="preserve"> </w:t>
      </w:r>
      <w:proofErr w:type="spellStart"/>
      <w:r>
        <w:rPr>
          <w:sz w:val="22"/>
          <w:szCs w:val="22"/>
        </w:rPr>
        <w:t>awarded</w:t>
      </w:r>
      <w:proofErr w:type="spellEnd"/>
      <w:r>
        <w:rPr>
          <w:sz w:val="22"/>
          <w:szCs w:val="22"/>
        </w:rPr>
        <w:t xml:space="preserve">. </w:t>
      </w:r>
      <w:proofErr w:type="spellStart"/>
      <w:r>
        <w:rPr>
          <w:sz w:val="22"/>
          <w:szCs w:val="22"/>
        </w:rPr>
        <w:t>This</w:t>
      </w:r>
      <w:proofErr w:type="spellEnd"/>
      <w:r>
        <w:rPr>
          <w:sz w:val="22"/>
          <w:szCs w:val="22"/>
        </w:rPr>
        <w:t xml:space="preserve"> </w:t>
      </w:r>
      <w:proofErr w:type="spellStart"/>
      <w:r>
        <w:rPr>
          <w:sz w:val="22"/>
          <w:szCs w:val="22"/>
        </w:rPr>
        <w:t>system</w:t>
      </w:r>
      <w:proofErr w:type="spellEnd"/>
      <w:r>
        <w:rPr>
          <w:sz w:val="22"/>
          <w:szCs w:val="22"/>
        </w:rPr>
        <w:t xml:space="preserve"> </w:t>
      </w:r>
      <w:proofErr w:type="spellStart"/>
      <w:r>
        <w:rPr>
          <w:sz w:val="22"/>
          <w:szCs w:val="22"/>
        </w:rPr>
        <w:t>will</w:t>
      </w:r>
      <w:proofErr w:type="spellEnd"/>
      <w:r>
        <w:rPr>
          <w:sz w:val="22"/>
          <w:szCs w:val="22"/>
        </w:rPr>
        <w:t xml:space="preserve"> be </w:t>
      </w:r>
      <w:proofErr w:type="spellStart"/>
      <w:r>
        <w:rPr>
          <w:sz w:val="22"/>
          <w:szCs w:val="22"/>
        </w:rPr>
        <w:t>connected</w:t>
      </w:r>
      <w:proofErr w:type="spellEnd"/>
      <w:r>
        <w:rPr>
          <w:sz w:val="22"/>
          <w:szCs w:val="22"/>
        </w:rPr>
        <w:t xml:space="preserve"> </w:t>
      </w:r>
      <w:proofErr w:type="spellStart"/>
      <w:r>
        <w:rPr>
          <w:sz w:val="22"/>
          <w:szCs w:val="22"/>
        </w:rPr>
        <w:t>to</w:t>
      </w:r>
      <w:proofErr w:type="spellEnd"/>
      <w:r>
        <w:rPr>
          <w:sz w:val="22"/>
          <w:szCs w:val="22"/>
        </w:rPr>
        <w:t xml:space="preserve"> </w:t>
      </w:r>
      <w:proofErr w:type="spellStart"/>
      <w:r>
        <w:rPr>
          <w:sz w:val="22"/>
          <w:szCs w:val="22"/>
        </w:rPr>
        <w:t>the</w:t>
      </w:r>
      <w:proofErr w:type="spellEnd"/>
      <w:r>
        <w:rPr>
          <w:sz w:val="22"/>
          <w:szCs w:val="22"/>
        </w:rPr>
        <w:t xml:space="preserve"> </w:t>
      </w:r>
      <w:proofErr w:type="spellStart"/>
      <w:r>
        <w:rPr>
          <w:sz w:val="22"/>
          <w:szCs w:val="22"/>
        </w:rPr>
        <w:t>mobile</w:t>
      </w:r>
      <w:proofErr w:type="spellEnd"/>
      <w:r>
        <w:rPr>
          <w:sz w:val="22"/>
          <w:szCs w:val="22"/>
        </w:rPr>
        <w:t xml:space="preserve"> VPN </w:t>
      </w:r>
      <w:proofErr w:type="spellStart"/>
      <w:r>
        <w:rPr>
          <w:sz w:val="22"/>
          <w:szCs w:val="22"/>
        </w:rPr>
        <w:t>of</w:t>
      </w:r>
      <w:proofErr w:type="spellEnd"/>
      <w:r>
        <w:rPr>
          <w:sz w:val="22"/>
          <w:szCs w:val="22"/>
        </w:rPr>
        <w:t xml:space="preserve"> </w:t>
      </w:r>
      <w:proofErr w:type="spellStart"/>
      <w:r>
        <w:rPr>
          <w:sz w:val="22"/>
          <w:szCs w:val="22"/>
        </w:rPr>
        <w:t>the</w:t>
      </w:r>
      <w:proofErr w:type="spellEnd"/>
      <w:r>
        <w:rPr>
          <w:sz w:val="22"/>
          <w:szCs w:val="22"/>
        </w:rPr>
        <w:t xml:space="preserve"> </w:t>
      </w:r>
      <w:proofErr w:type="spellStart"/>
      <w:r>
        <w:rPr>
          <w:sz w:val="22"/>
          <w:szCs w:val="22"/>
        </w:rPr>
        <w:t>telemetry</w:t>
      </w:r>
      <w:proofErr w:type="spellEnd"/>
      <w:r>
        <w:rPr>
          <w:sz w:val="22"/>
          <w:szCs w:val="22"/>
        </w:rPr>
        <w:t xml:space="preserve"> </w:t>
      </w:r>
      <w:proofErr w:type="spellStart"/>
      <w:r>
        <w:rPr>
          <w:sz w:val="22"/>
          <w:szCs w:val="22"/>
        </w:rPr>
        <w:t>equipment</w:t>
      </w:r>
      <w:proofErr w:type="spellEnd"/>
      <w:r>
        <w:rPr>
          <w:sz w:val="22"/>
          <w:szCs w:val="22"/>
        </w:rPr>
        <w:t>.</w:t>
      </w:r>
    </w:p>
    <w:p w14:paraId="020D8A67" w14:textId="77777777" w:rsidR="00E255F4" w:rsidRDefault="00E255F4">
      <w:pPr>
        <w:tabs>
          <w:tab w:val="left" w:pos="851"/>
        </w:tabs>
        <w:jc w:val="both"/>
        <w:rPr>
          <w:sz w:val="22"/>
          <w:szCs w:val="22"/>
        </w:rPr>
      </w:pPr>
    </w:p>
    <w:p w14:paraId="5C834C03" w14:textId="77777777" w:rsidR="00E255F4" w:rsidRDefault="00000000">
      <w:pPr>
        <w:tabs>
          <w:tab w:val="left" w:pos="851"/>
        </w:tabs>
        <w:jc w:val="both"/>
        <w:rPr>
          <w:sz w:val="22"/>
          <w:szCs w:val="22"/>
        </w:rPr>
      </w:pPr>
      <w:proofErr w:type="spellStart"/>
      <w:r>
        <w:rPr>
          <w:sz w:val="22"/>
          <w:szCs w:val="22"/>
        </w:rPr>
        <w:t>Communication</w:t>
      </w:r>
      <w:proofErr w:type="spellEnd"/>
      <w:r>
        <w:rPr>
          <w:sz w:val="22"/>
          <w:szCs w:val="22"/>
        </w:rPr>
        <w:t xml:space="preserve"> </w:t>
      </w:r>
      <w:proofErr w:type="spellStart"/>
      <w:r>
        <w:rPr>
          <w:sz w:val="22"/>
          <w:szCs w:val="22"/>
        </w:rPr>
        <w:t>between</w:t>
      </w:r>
      <w:proofErr w:type="spellEnd"/>
      <w:r>
        <w:rPr>
          <w:sz w:val="22"/>
          <w:szCs w:val="22"/>
        </w:rPr>
        <w:t xml:space="preserve"> </w:t>
      </w:r>
      <w:proofErr w:type="spellStart"/>
      <w:r>
        <w:rPr>
          <w:sz w:val="22"/>
          <w:szCs w:val="22"/>
        </w:rPr>
        <w:t>the</w:t>
      </w:r>
      <w:proofErr w:type="spellEnd"/>
      <w:r>
        <w:rPr>
          <w:sz w:val="22"/>
          <w:szCs w:val="22"/>
        </w:rPr>
        <w:t xml:space="preserve"> </w:t>
      </w:r>
      <w:proofErr w:type="spellStart"/>
      <w:r>
        <w:rPr>
          <w:sz w:val="22"/>
          <w:szCs w:val="22"/>
        </w:rPr>
        <w:t>telemetry</w:t>
      </w:r>
      <w:proofErr w:type="spellEnd"/>
      <w:r>
        <w:rPr>
          <w:sz w:val="22"/>
          <w:szCs w:val="22"/>
        </w:rPr>
        <w:t xml:space="preserve"> </w:t>
      </w:r>
      <w:proofErr w:type="spellStart"/>
      <w:r>
        <w:rPr>
          <w:sz w:val="22"/>
          <w:szCs w:val="22"/>
        </w:rPr>
        <w:t>device</w:t>
      </w:r>
      <w:proofErr w:type="spellEnd"/>
      <w:r>
        <w:rPr>
          <w:sz w:val="22"/>
          <w:szCs w:val="22"/>
        </w:rPr>
        <w:t xml:space="preserve"> and </w:t>
      </w:r>
      <w:proofErr w:type="spellStart"/>
      <w:r>
        <w:rPr>
          <w:sz w:val="22"/>
          <w:szCs w:val="22"/>
        </w:rPr>
        <w:t>the</w:t>
      </w:r>
      <w:proofErr w:type="spellEnd"/>
      <w:r>
        <w:rPr>
          <w:sz w:val="22"/>
          <w:szCs w:val="22"/>
        </w:rPr>
        <w:t xml:space="preserve"> Data </w:t>
      </w:r>
      <w:proofErr w:type="spellStart"/>
      <w:r>
        <w:rPr>
          <w:sz w:val="22"/>
          <w:szCs w:val="22"/>
        </w:rPr>
        <w:t>Collection</w:t>
      </w:r>
      <w:proofErr w:type="spellEnd"/>
      <w:r>
        <w:rPr>
          <w:sz w:val="22"/>
          <w:szCs w:val="22"/>
        </w:rPr>
        <w:t xml:space="preserve"> </w:t>
      </w:r>
      <w:proofErr w:type="spellStart"/>
      <w:r>
        <w:rPr>
          <w:sz w:val="22"/>
          <w:szCs w:val="22"/>
        </w:rPr>
        <w:t>System</w:t>
      </w:r>
      <w:proofErr w:type="spellEnd"/>
      <w:r>
        <w:rPr>
          <w:sz w:val="22"/>
          <w:szCs w:val="22"/>
        </w:rPr>
        <w:t xml:space="preserve"> </w:t>
      </w:r>
      <w:proofErr w:type="spellStart"/>
      <w:r>
        <w:rPr>
          <w:sz w:val="22"/>
          <w:szCs w:val="22"/>
        </w:rPr>
        <w:t>will</w:t>
      </w:r>
      <w:proofErr w:type="spellEnd"/>
      <w:r>
        <w:rPr>
          <w:sz w:val="22"/>
          <w:szCs w:val="22"/>
        </w:rPr>
        <w:t xml:space="preserve"> be </w:t>
      </w:r>
      <w:proofErr w:type="spellStart"/>
      <w:r>
        <w:rPr>
          <w:sz w:val="22"/>
          <w:szCs w:val="22"/>
        </w:rPr>
        <w:t>encrypted</w:t>
      </w:r>
      <w:proofErr w:type="spellEnd"/>
      <w:r>
        <w:rPr>
          <w:sz w:val="22"/>
          <w:szCs w:val="22"/>
        </w:rPr>
        <w:t xml:space="preserve">, in </w:t>
      </w:r>
      <w:proofErr w:type="spellStart"/>
      <w:r>
        <w:rPr>
          <w:sz w:val="22"/>
          <w:szCs w:val="22"/>
        </w:rPr>
        <w:t>order</w:t>
      </w:r>
      <w:proofErr w:type="spellEnd"/>
      <w:r>
        <w:rPr>
          <w:sz w:val="22"/>
          <w:szCs w:val="22"/>
        </w:rPr>
        <w:t xml:space="preserve"> </w:t>
      </w:r>
      <w:proofErr w:type="spellStart"/>
      <w:r>
        <w:rPr>
          <w:sz w:val="22"/>
          <w:szCs w:val="22"/>
        </w:rPr>
        <w:t>to</w:t>
      </w:r>
      <w:proofErr w:type="spellEnd"/>
      <w:r>
        <w:rPr>
          <w:sz w:val="22"/>
          <w:szCs w:val="22"/>
        </w:rPr>
        <w:t xml:space="preserve"> </w:t>
      </w:r>
      <w:proofErr w:type="spellStart"/>
      <w:r>
        <w:rPr>
          <w:sz w:val="22"/>
          <w:szCs w:val="22"/>
        </w:rPr>
        <w:t>protect</w:t>
      </w:r>
      <w:proofErr w:type="spellEnd"/>
      <w:r>
        <w:rPr>
          <w:sz w:val="22"/>
          <w:szCs w:val="22"/>
        </w:rPr>
        <w:t xml:space="preserve"> </w:t>
      </w:r>
      <w:proofErr w:type="spellStart"/>
      <w:r>
        <w:rPr>
          <w:sz w:val="22"/>
          <w:szCs w:val="22"/>
        </w:rPr>
        <w:t>the</w:t>
      </w:r>
      <w:proofErr w:type="spellEnd"/>
      <w:r>
        <w:rPr>
          <w:sz w:val="22"/>
          <w:szCs w:val="22"/>
        </w:rPr>
        <w:t xml:space="preserve"> </w:t>
      </w:r>
      <w:proofErr w:type="spellStart"/>
      <w:r>
        <w:rPr>
          <w:sz w:val="22"/>
          <w:szCs w:val="22"/>
        </w:rPr>
        <w:t>system</w:t>
      </w:r>
      <w:proofErr w:type="spellEnd"/>
      <w:r>
        <w:rPr>
          <w:sz w:val="22"/>
          <w:szCs w:val="22"/>
        </w:rPr>
        <w:t xml:space="preserve"> </w:t>
      </w:r>
      <w:proofErr w:type="spellStart"/>
      <w:r>
        <w:rPr>
          <w:sz w:val="22"/>
          <w:szCs w:val="22"/>
        </w:rPr>
        <w:t>against</w:t>
      </w:r>
      <w:proofErr w:type="spellEnd"/>
      <w:r>
        <w:rPr>
          <w:sz w:val="22"/>
          <w:szCs w:val="22"/>
        </w:rPr>
        <w:t xml:space="preserve"> </w:t>
      </w:r>
      <w:proofErr w:type="spellStart"/>
      <w:r>
        <w:rPr>
          <w:sz w:val="22"/>
          <w:szCs w:val="22"/>
        </w:rPr>
        <w:t>tampering</w:t>
      </w:r>
      <w:proofErr w:type="spellEnd"/>
      <w:r>
        <w:rPr>
          <w:sz w:val="22"/>
          <w:szCs w:val="22"/>
        </w:rPr>
        <w:t xml:space="preserve"> </w:t>
      </w:r>
      <w:proofErr w:type="spellStart"/>
      <w:r>
        <w:rPr>
          <w:sz w:val="22"/>
          <w:szCs w:val="22"/>
        </w:rPr>
        <w:t>with</w:t>
      </w:r>
      <w:proofErr w:type="spellEnd"/>
      <w:r>
        <w:rPr>
          <w:sz w:val="22"/>
          <w:szCs w:val="22"/>
        </w:rPr>
        <w:t xml:space="preserve"> </w:t>
      </w:r>
      <w:proofErr w:type="spellStart"/>
      <w:r>
        <w:rPr>
          <w:sz w:val="22"/>
          <w:szCs w:val="22"/>
        </w:rPr>
        <w:t>the</w:t>
      </w:r>
      <w:proofErr w:type="spellEnd"/>
      <w:r>
        <w:rPr>
          <w:sz w:val="22"/>
          <w:szCs w:val="22"/>
        </w:rPr>
        <w:t xml:space="preserve"> </w:t>
      </w:r>
      <w:proofErr w:type="spellStart"/>
      <w:r>
        <w:rPr>
          <w:sz w:val="22"/>
          <w:szCs w:val="22"/>
        </w:rPr>
        <w:t>device</w:t>
      </w:r>
      <w:proofErr w:type="spellEnd"/>
      <w:r>
        <w:rPr>
          <w:sz w:val="22"/>
          <w:szCs w:val="22"/>
        </w:rPr>
        <w:t xml:space="preserve"> </w:t>
      </w:r>
      <w:proofErr w:type="spellStart"/>
      <w:r>
        <w:rPr>
          <w:sz w:val="22"/>
          <w:szCs w:val="22"/>
        </w:rPr>
        <w:t>or</w:t>
      </w:r>
      <w:proofErr w:type="spellEnd"/>
      <w:r>
        <w:rPr>
          <w:sz w:val="22"/>
          <w:szCs w:val="22"/>
        </w:rPr>
        <w:t xml:space="preserve"> </w:t>
      </w:r>
      <w:proofErr w:type="spellStart"/>
      <w:r>
        <w:rPr>
          <w:sz w:val="22"/>
          <w:szCs w:val="22"/>
        </w:rPr>
        <w:t>concentrator</w:t>
      </w:r>
      <w:proofErr w:type="spellEnd"/>
      <w:r>
        <w:rPr>
          <w:sz w:val="22"/>
          <w:szCs w:val="22"/>
        </w:rPr>
        <w:t>.</w:t>
      </w:r>
    </w:p>
    <w:p w14:paraId="3407EA95" w14:textId="77777777" w:rsidR="00E255F4" w:rsidRDefault="00E255F4">
      <w:pPr>
        <w:tabs>
          <w:tab w:val="left" w:pos="851"/>
        </w:tabs>
        <w:jc w:val="both"/>
        <w:rPr>
          <w:sz w:val="22"/>
          <w:szCs w:val="22"/>
        </w:rPr>
      </w:pPr>
    </w:p>
    <w:p w14:paraId="2EBF184B" w14:textId="77777777" w:rsidR="00E255F4" w:rsidRDefault="00000000">
      <w:pPr>
        <w:tabs>
          <w:tab w:val="left" w:pos="851"/>
        </w:tabs>
        <w:jc w:val="both"/>
      </w:pPr>
      <w:r>
        <w:rPr>
          <w:sz w:val="22"/>
          <w:szCs w:val="22"/>
        </w:rPr>
        <w:t xml:space="preserve">The </w:t>
      </w:r>
      <w:proofErr w:type="spellStart"/>
      <w:r>
        <w:rPr>
          <w:sz w:val="22"/>
          <w:szCs w:val="22"/>
        </w:rPr>
        <w:t>encryption</w:t>
      </w:r>
      <w:proofErr w:type="spellEnd"/>
      <w:r>
        <w:rPr>
          <w:sz w:val="22"/>
          <w:szCs w:val="22"/>
        </w:rPr>
        <w:t xml:space="preserve"> </w:t>
      </w:r>
      <w:proofErr w:type="spellStart"/>
      <w:r>
        <w:rPr>
          <w:sz w:val="22"/>
          <w:szCs w:val="22"/>
        </w:rPr>
        <w:t>mechanism</w:t>
      </w:r>
      <w:proofErr w:type="spellEnd"/>
      <w:r>
        <w:rPr>
          <w:sz w:val="22"/>
          <w:szCs w:val="22"/>
        </w:rPr>
        <w:t xml:space="preserve"> </w:t>
      </w:r>
      <w:proofErr w:type="spellStart"/>
      <w:r>
        <w:rPr>
          <w:sz w:val="22"/>
          <w:szCs w:val="22"/>
        </w:rPr>
        <w:t>will</w:t>
      </w:r>
      <w:proofErr w:type="spellEnd"/>
      <w:r>
        <w:rPr>
          <w:sz w:val="22"/>
          <w:szCs w:val="22"/>
        </w:rPr>
        <w:t xml:space="preserve"> be </w:t>
      </w:r>
      <w:proofErr w:type="spellStart"/>
      <w:r>
        <w:rPr>
          <w:sz w:val="22"/>
          <w:szCs w:val="22"/>
        </w:rPr>
        <w:t>the</w:t>
      </w:r>
      <w:proofErr w:type="spellEnd"/>
      <w:r>
        <w:rPr>
          <w:sz w:val="22"/>
          <w:szCs w:val="22"/>
        </w:rPr>
        <w:t xml:space="preserve"> </w:t>
      </w:r>
      <w:proofErr w:type="spellStart"/>
      <w:r>
        <w:rPr>
          <w:sz w:val="22"/>
          <w:szCs w:val="22"/>
        </w:rPr>
        <w:t>responsibility</w:t>
      </w:r>
      <w:proofErr w:type="spellEnd"/>
      <w:r>
        <w:rPr>
          <w:sz w:val="22"/>
          <w:szCs w:val="22"/>
        </w:rPr>
        <w:t xml:space="preserve"> </w:t>
      </w:r>
      <w:proofErr w:type="spellStart"/>
      <w:r>
        <w:rPr>
          <w:sz w:val="22"/>
          <w:szCs w:val="22"/>
        </w:rPr>
        <w:t>of</w:t>
      </w:r>
      <w:proofErr w:type="spellEnd"/>
      <w:r>
        <w:rPr>
          <w:sz w:val="22"/>
          <w:szCs w:val="22"/>
        </w:rPr>
        <w:t xml:space="preserve"> </w:t>
      </w:r>
      <w:proofErr w:type="spellStart"/>
      <w:r>
        <w:rPr>
          <w:sz w:val="22"/>
          <w:szCs w:val="22"/>
        </w:rPr>
        <w:t>the</w:t>
      </w:r>
      <w:proofErr w:type="spellEnd"/>
      <w:r>
        <w:rPr>
          <w:sz w:val="22"/>
          <w:szCs w:val="22"/>
        </w:rPr>
        <w:t xml:space="preserve"> </w:t>
      </w:r>
      <w:proofErr w:type="spellStart"/>
      <w:r>
        <w:rPr>
          <w:sz w:val="22"/>
          <w:szCs w:val="22"/>
        </w:rPr>
        <w:t>successful</w:t>
      </w:r>
      <w:proofErr w:type="spellEnd"/>
      <w:r>
        <w:rPr>
          <w:sz w:val="22"/>
          <w:szCs w:val="22"/>
        </w:rPr>
        <w:t xml:space="preserve"> </w:t>
      </w:r>
      <w:proofErr w:type="spellStart"/>
      <w:r>
        <w:rPr>
          <w:sz w:val="22"/>
          <w:szCs w:val="22"/>
        </w:rPr>
        <w:t>bidder</w:t>
      </w:r>
      <w:proofErr w:type="spellEnd"/>
      <w:r>
        <w:rPr>
          <w:sz w:val="22"/>
          <w:szCs w:val="22"/>
        </w:rPr>
        <w:t xml:space="preserve">, and </w:t>
      </w:r>
      <w:proofErr w:type="spellStart"/>
      <w:r>
        <w:rPr>
          <w:sz w:val="22"/>
          <w:szCs w:val="22"/>
        </w:rPr>
        <w:t>the</w:t>
      </w:r>
      <w:proofErr w:type="spellEnd"/>
      <w:r>
        <w:rPr>
          <w:sz w:val="22"/>
          <w:szCs w:val="22"/>
        </w:rPr>
        <w:t xml:space="preserve"> </w:t>
      </w:r>
      <w:proofErr w:type="spellStart"/>
      <w:r>
        <w:rPr>
          <w:sz w:val="22"/>
          <w:szCs w:val="22"/>
        </w:rPr>
        <w:t>documentation</w:t>
      </w:r>
      <w:proofErr w:type="spellEnd"/>
      <w:r>
        <w:rPr>
          <w:sz w:val="22"/>
          <w:szCs w:val="22"/>
        </w:rPr>
        <w:t xml:space="preserve"> and </w:t>
      </w:r>
      <w:proofErr w:type="spellStart"/>
      <w:r>
        <w:rPr>
          <w:sz w:val="22"/>
          <w:szCs w:val="22"/>
        </w:rPr>
        <w:t>keys</w:t>
      </w:r>
      <w:proofErr w:type="spellEnd"/>
      <w:r>
        <w:rPr>
          <w:sz w:val="22"/>
          <w:szCs w:val="22"/>
        </w:rPr>
        <w:t xml:space="preserve"> </w:t>
      </w:r>
      <w:proofErr w:type="spellStart"/>
      <w:r>
        <w:rPr>
          <w:sz w:val="22"/>
          <w:szCs w:val="22"/>
        </w:rPr>
        <w:t>that</w:t>
      </w:r>
      <w:proofErr w:type="spellEnd"/>
      <w:r>
        <w:rPr>
          <w:sz w:val="22"/>
          <w:szCs w:val="22"/>
        </w:rPr>
        <w:t xml:space="preserve"> </w:t>
      </w:r>
      <w:proofErr w:type="spellStart"/>
      <w:r>
        <w:rPr>
          <w:sz w:val="22"/>
          <w:szCs w:val="22"/>
        </w:rPr>
        <w:t>allow</w:t>
      </w:r>
      <w:proofErr w:type="spellEnd"/>
      <w:r>
        <w:rPr>
          <w:sz w:val="22"/>
          <w:szCs w:val="22"/>
        </w:rPr>
        <w:t xml:space="preserve"> </w:t>
      </w:r>
      <w:proofErr w:type="spellStart"/>
      <w:r>
        <w:rPr>
          <w:sz w:val="22"/>
          <w:szCs w:val="22"/>
        </w:rPr>
        <w:t>the</w:t>
      </w:r>
      <w:proofErr w:type="spellEnd"/>
      <w:r>
        <w:rPr>
          <w:sz w:val="22"/>
          <w:szCs w:val="22"/>
        </w:rPr>
        <w:t xml:space="preserve"> </w:t>
      </w:r>
      <w:proofErr w:type="spellStart"/>
      <w:r>
        <w:rPr>
          <w:sz w:val="22"/>
          <w:szCs w:val="22"/>
        </w:rPr>
        <w:t>information</w:t>
      </w:r>
      <w:proofErr w:type="spellEnd"/>
      <w:r>
        <w:rPr>
          <w:sz w:val="22"/>
          <w:szCs w:val="22"/>
        </w:rPr>
        <w:t xml:space="preserve"> </w:t>
      </w:r>
      <w:proofErr w:type="spellStart"/>
      <w:r>
        <w:rPr>
          <w:sz w:val="22"/>
          <w:szCs w:val="22"/>
        </w:rPr>
        <w:t>sent</w:t>
      </w:r>
      <w:proofErr w:type="spellEnd"/>
      <w:r>
        <w:rPr>
          <w:sz w:val="22"/>
          <w:szCs w:val="22"/>
        </w:rPr>
        <w:t xml:space="preserve"> </w:t>
      </w:r>
      <w:proofErr w:type="spellStart"/>
      <w:r>
        <w:rPr>
          <w:sz w:val="22"/>
          <w:szCs w:val="22"/>
        </w:rPr>
        <w:t>by</w:t>
      </w:r>
      <w:proofErr w:type="spellEnd"/>
      <w:r>
        <w:rPr>
          <w:sz w:val="22"/>
          <w:szCs w:val="22"/>
        </w:rPr>
        <w:t xml:space="preserve"> </w:t>
      </w:r>
      <w:proofErr w:type="spellStart"/>
      <w:r>
        <w:rPr>
          <w:sz w:val="22"/>
          <w:szCs w:val="22"/>
        </w:rPr>
        <w:t>the</w:t>
      </w:r>
      <w:proofErr w:type="spellEnd"/>
      <w:r>
        <w:rPr>
          <w:sz w:val="22"/>
          <w:szCs w:val="22"/>
        </w:rPr>
        <w:t xml:space="preserve"> Data </w:t>
      </w:r>
      <w:proofErr w:type="spellStart"/>
      <w:r>
        <w:rPr>
          <w:sz w:val="22"/>
          <w:szCs w:val="22"/>
        </w:rPr>
        <w:t>Collection</w:t>
      </w:r>
      <w:proofErr w:type="spellEnd"/>
      <w:r>
        <w:rPr>
          <w:sz w:val="22"/>
          <w:szCs w:val="22"/>
        </w:rPr>
        <w:t xml:space="preserve"> </w:t>
      </w:r>
      <w:proofErr w:type="spellStart"/>
      <w:r>
        <w:rPr>
          <w:sz w:val="22"/>
          <w:szCs w:val="22"/>
        </w:rPr>
        <w:t>System</w:t>
      </w:r>
      <w:proofErr w:type="spellEnd"/>
      <w:r>
        <w:rPr>
          <w:sz w:val="22"/>
          <w:szCs w:val="22"/>
        </w:rPr>
        <w:t xml:space="preserve"> </w:t>
      </w:r>
      <w:proofErr w:type="spellStart"/>
      <w:r>
        <w:rPr>
          <w:sz w:val="22"/>
          <w:szCs w:val="22"/>
        </w:rPr>
        <w:t>to</w:t>
      </w:r>
      <w:proofErr w:type="spellEnd"/>
      <w:r>
        <w:rPr>
          <w:sz w:val="22"/>
          <w:szCs w:val="22"/>
        </w:rPr>
        <w:t xml:space="preserve"> be </w:t>
      </w:r>
      <w:proofErr w:type="spellStart"/>
      <w:r>
        <w:rPr>
          <w:sz w:val="22"/>
          <w:szCs w:val="22"/>
        </w:rPr>
        <w:t>decrypted</w:t>
      </w:r>
      <w:proofErr w:type="spellEnd"/>
      <w:r>
        <w:rPr>
          <w:sz w:val="22"/>
          <w:szCs w:val="22"/>
        </w:rPr>
        <w:t xml:space="preserve"> </w:t>
      </w:r>
      <w:proofErr w:type="spellStart"/>
      <w:r>
        <w:rPr>
          <w:sz w:val="22"/>
          <w:szCs w:val="22"/>
        </w:rPr>
        <w:t>must</w:t>
      </w:r>
      <w:proofErr w:type="spellEnd"/>
      <w:r>
        <w:rPr>
          <w:sz w:val="22"/>
          <w:szCs w:val="22"/>
        </w:rPr>
        <w:t xml:space="preserve"> be </w:t>
      </w:r>
      <w:proofErr w:type="spellStart"/>
      <w:r>
        <w:rPr>
          <w:sz w:val="22"/>
          <w:szCs w:val="22"/>
        </w:rPr>
        <w:t>provided</w:t>
      </w:r>
      <w:proofErr w:type="spellEnd"/>
      <w:r>
        <w:rPr>
          <w:sz w:val="22"/>
          <w:szCs w:val="22"/>
        </w:rPr>
        <w:t>.</w:t>
      </w:r>
    </w:p>
    <w:p w14:paraId="7413B7A1" w14:textId="77777777" w:rsidR="00E255F4" w:rsidRDefault="00E255F4">
      <w:pPr>
        <w:tabs>
          <w:tab w:val="left" w:pos="851"/>
        </w:tabs>
        <w:jc w:val="both"/>
        <w:rPr>
          <w:sz w:val="22"/>
          <w:szCs w:val="22"/>
        </w:rPr>
      </w:pPr>
    </w:p>
    <w:p w14:paraId="33789925" w14:textId="77777777" w:rsidR="00E255F4" w:rsidRDefault="00000000">
      <w:pPr>
        <w:tabs>
          <w:tab w:val="left" w:pos="851"/>
        </w:tabs>
        <w:jc w:val="both"/>
        <w:rPr>
          <w:sz w:val="22"/>
          <w:szCs w:val="22"/>
        </w:rPr>
      </w:pPr>
      <w:r>
        <w:rPr>
          <w:sz w:val="22"/>
          <w:szCs w:val="22"/>
        </w:rPr>
        <w:t xml:space="preserve">Data </w:t>
      </w:r>
      <w:proofErr w:type="spellStart"/>
      <w:r>
        <w:rPr>
          <w:sz w:val="22"/>
          <w:szCs w:val="22"/>
        </w:rPr>
        <w:t>transmission</w:t>
      </w:r>
      <w:proofErr w:type="spellEnd"/>
      <w:r>
        <w:rPr>
          <w:sz w:val="22"/>
          <w:szCs w:val="22"/>
        </w:rPr>
        <w:t xml:space="preserve"> </w:t>
      </w:r>
      <w:proofErr w:type="spellStart"/>
      <w:r>
        <w:rPr>
          <w:sz w:val="22"/>
          <w:szCs w:val="22"/>
        </w:rPr>
        <w:t>will</w:t>
      </w:r>
      <w:proofErr w:type="spellEnd"/>
      <w:r>
        <w:rPr>
          <w:sz w:val="22"/>
          <w:szCs w:val="22"/>
        </w:rPr>
        <w:t xml:space="preserve"> be </w:t>
      </w:r>
      <w:proofErr w:type="spellStart"/>
      <w:r>
        <w:rPr>
          <w:sz w:val="22"/>
          <w:szCs w:val="22"/>
        </w:rPr>
        <w:t>carried</w:t>
      </w:r>
      <w:proofErr w:type="spellEnd"/>
      <w:r>
        <w:rPr>
          <w:sz w:val="22"/>
          <w:szCs w:val="22"/>
        </w:rPr>
        <w:t xml:space="preserve"> </w:t>
      </w:r>
      <w:proofErr w:type="spellStart"/>
      <w:r>
        <w:rPr>
          <w:sz w:val="22"/>
          <w:szCs w:val="22"/>
        </w:rPr>
        <w:t>out</w:t>
      </w:r>
      <w:proofErr w:type="spellEnd"/>
      <w:r>
        <w:rPr>
          <w:sz w:val="22"/>
          <w:szCs w:val="22"/>
        </w:rPr>
        <w:t xml:space="preserve"> </w:t>
      </w:r>
      <w:proofErr w:type="spellStart"/>
      <w:r>
        <w:rPr>
          <w:sz w:val="22"/>
          <w:szCs w:val="22"/>
        </w:rPr>
        <w:t>using</w:t>
      </w:r>
      <w:proofErr w:type="spellEnd"/>
      <w:r>
        <w:rPr>
          <w:sz w:val="22"/>
          <w:szCs w:val="22"/>
        </w:rPr>
        <w:t xml:space="preserve"> </w:t>
      </w:r>
      <w:proofErr w:type="spellStart"/>
      <w:r>
        <w:rPr>
          <w:sz w:val="22"/>
          <w:szCs w:val="22"/>
        </w:rPr>
        <w:t>one</w:t>
      </w:r>
      <w:proofErr w:type="spellEnd"/>
      <w:r>
        <w:rPr>
          <w:sz w:val="22"/>
          <w:szCs w:val="22"/>
        </w:rPr>
        <w:t xml:space="preserve"> </w:t>
      </w:r>
      <w:proofErr w:type="spellStart"/>
      <w:r>
        <w:rPr>
          <w:sz w:val="22"/>
          <w:szCs w:val="22"/>
        </w:rPr>
        <w:t>of</w:t>
      </w:r>
      <w:proofErr w:type="spellEnd"/>
      <w:r>
        <w:rPr>
          <w:sz w:val="22"/>
          <w:szCs w:val="22"/>
        </w:rPr>
        <w:t xml:space="preserve"> </w:t>
      </w:r>
      <w:proofErr w:type="spellStart"/>
      <w:r>
        <w:rPr>
          <w:sz w:val="22"/>
          <w:szCs w:val="22"/>
        </w:rPr>
        <w:t>the</w:t>
      </w:r>
      <w:proofErr w:type="spellEnd"/>
      <w:r>
        <w:rPr>
          <w:sz w:val="22"/>
          <w:szCs w:val="22"/>
        </w:rPr>
        <w:t xml:space="preserve"> </w:t>
      </w:r>
      <w:proofErr w:type="spellStart"/>
      <w:r>
        <w:rPr>
          <w:sz w:val="22"/>
          <w:szCs w:val="22"/>
        </w:rPr>
        <w:t>following</w:t>
      </w:r>
      <w:proofErr w:type="spellEnd"/>
      <w:r>
        <w:rPr>
          <w:sz w:val="22"/>
          <w:szCs w:val="22"/>
        </w:rPr>
        <w:t xml:space="preserve"> </w:t>
      </w:r>
      <w:proofErr w:type="spellStart"/>
      <w:r>
        <w:rPr>
          <w:sz w:val="22"/>
          <w:szCs w:val="22"/>
        </w:rPr>
        <w:t>communication</w:t>
      </w:r>
      <w:proofErr w:type="spellEnd"/>
      <w:r>
        <w:rPr>
          <w:sz w:val="22"/>
          <w:szCs w:val="22"/>
        </w:rPr>
        <w:t xml:space="preserve"> </w:t>
      </w:r>
      <w:proofErr w:type="spellStart"/>
      <w:r>
        <w:rPr>
          <w:sz w:val="22"/>
          <w:szCs w:val="22"/>
        </w:rPr>
        <w:t>protocols</w:t>
      </w:r>
      <w:proofErr w:type="spellEnd"/>
      <w:r>
        <w:rPr>
          <w:sz w:val="22"/>
          <w:szCs w:val="22"/>
        </w:rPr>
        <w:t xml:space="preserve">: MQTT (v3 </w:t>
      </w:r>
      <w:proofErr w:type="spellStart"/>
      <w:r>
        <w:rPr>
          <w:sz w:val="22"/>
          <w:szCs w:val="22"/>
        </w:rPr>
        <w:t>or</w:t>
      </w:r>
      <w:proofErr w:type="spellEnd"/>
      <w:r>
        <w:rPr>
          <w:sz w:val="22"/>
          <w:szCs w:val="22"/>
        </w:rPr>
        <w:t xml:space="preserve"> v5) </w:t>
      </w:r>
      <w:proofErr w:type="spellStart"/>
      <w:r>
        <w:rPr>
          <w:sz w:val="22"/>
          <w:szCs w:val="22"/>
        </w:rPr>
        <w:t>or</w:t>
      </w:r>
      <w:proofErr w:type="spellEnd"/>
      <w:r>
        <w:rPr>
          <w:sz w:val="22"/>
          <w:szCs w:val="22"/>
        </w:rPr>
        <w:t xml:space="preserve"> HTTPS. The </w:t>
      </w:r>
      <w:proofErr w:type="spellStart"/>
      <w:r>
        <w:rPr>
          <w:sz w:val="22"/>
          <w:szCs w:val="22"/>
        </w:rPr>
        <w:t>communication</w:t>
      </w:r>
      <w:proofErr w:type="spellEnd"/>
      <w:r>
        <w:rPr>
          <w:sz w:val="22"/>
          <w:szCs w:val="22"/>
        </w:rPr>
        <w:t xml:space="preserve"> </w:t>
      </w:r>
      <w:proofErr w:type="spellStart"/>
      <w:r>
        <w:rPr>
          <w:sz w:val="22"/>
          <w:szCs w:val="22"/>
        </w:rPr>
        <w:t>must</w:t>
      </w:r>
      <w:proofErr w:type="spellEnd"/>
      <w:r>
        <w:rPr>
          <w:sz w:val="22"/>
          <w:szCs w:val="22"/>
        </w:rPr>
        <w:t xml:space="preserve"> </w:t>
      </w:r>
      <w:proofErr w:type="spellStart"/>
      <w:r>
        <w:rPr>
          <w:sz w:val="22"/>
          <w:szCs w:val="22"/>
        </w:rPr>
        <w:t>contain</w:t>
      </w:r>
      <w:proofErr w:type="spellEnd"/>
      <w:r>
        <w:rPr>
          <w:sz w:val="22"/>
          <w:szCs w:val="22"/>
        </w:rPr>
        <w:t xml:space="preserve"> at </w:t>
      </w:r>
      <w:proofErr w:type="spellStart"/>
      <w:r>
        <w:rPr>
          <w:sz w:val="22"/>
          <w:szCs w:val="22"/>
        </w:rPr>
        <w:t>least</w:t>
      </w:r>
      <w:proofErr w:type="spellEnd"/>
      <w:r>
        <w:rPr>
          <w:sz w:val="22"/>
          <w:szCs w:val="22"/>
        </w:rPr>
        <w:t xml:space="preserve"> </w:t>
      </w:r>
      <w:proofErr w:type="spellStart"/>
      <w:r>
        <w:rPr>
          <w:sz w:val="22"/>
          <w:szCs w:val="22"/>
        </w:rPr>
        <w:t>the</w:t>
      </w:r>
      <w:proofErr w:type="spellEnd"/>
      <w:r>
        <w:rPr>
          <w:sz w:val="22"/>
          <w:szCs w:val="22"/>
        </w:rPr>
        <w:t xml:space="preserve"> </w:t>
      </w:r>
      <w:proofErr w:type="spellStart"/>
      <w:r>
        <w:rPr>
          <w:sz w:val="22"/>
          <w:szCs w:val="22"/>
        </w:rPr>
        <w:t>following</w:t>
      </w:r>
      <w:proofErr w:type="spellEnd"/>
      <w:r>
        <w:rPr>
          <w:sz w:val="22"/>
          <w:szCs w:val="22"/>
        </w:rPr>
        <w:t xml:space="preserve"> data:</w:t>
      </w:r>
    </w:p>
    <w:p w14:paraId="3497EB72" w14:textId="77777777" w:rsidR="00E255F4" w:rsidRDefault="00E255F4">
      <w:pPr>
        <w:tabs>
          <w:tab w:val="left" w:pos="851"/>
        </w:tabs>
        <w:jc w:val="both"/>
        <w:rPr>
          <w:sz w:val="22"/>
          <w:szCs w:val="22"/>
        </w:rPr>
      </w:pPr>
    </w:p>
    <w:p w14:paraId="4330476F" w14:textId="77777777" w:rsidR="00E255F4" w:rsidRDefault="00000000">
      <w:pPr>
        <w:tabs>
          <w:tab w:val="left" w:pos="851"/>
        </w:tabs>
        <w:jc w:val="both"/>
        <w:rPr>
          <w:sz w:val="22"/>
          <w:szCs w:val="22"/>
        </w:rPr>
      </w:pPr>
      <w:r>
        <w:rPr>
          <w:sz w:val="22"/>
          <w:szCs w:val="22"/>
        </w:rPr>
        <w:t xml:space="preserve">a - </w:t>
      </w:r>
      <w:proofErr w:type="spellStart"/>
      <w:r>
        <w:rPr>
          <w:sz w:val="22"/>
          <w:szCs w:val="22"/>
        </w:rPr>
        <w:t>Identification</w:t>
      </w:r>
      <w:proofErr w:type="spellEnd"/>
      <w:r>
        <w:rPr>
          <w:sz w:val="22"/>
          <w:szCs w:val="22"/>
        </w:rPr>
        <w:t xml:space="preserve"> </w:t>
      </w:r>
      <w:proofErr w:type="spellStart"/>
      <w:r>
        <w:rPr>
          <w:sz w:val="22"/>
          <w:szCs w:val="22"/>
        </w:rPr>
        <w:t>of</w:t>
      </w:r>
      <w:proofErr w:type="spellEnd"/>
      <w:r>
        <w:rPr>
          <w:sz w:val="22"/>
          <w:szCs w:val="22"/>
        </w:rPr>
        <w:t xml:space="preserve"> </w:t>
      </w:r>
      <w:proofErr w:type="spellStart"/>
      <w:r>
        <w:rPr>
          <w:sz w:val="22"/>
          <w:szCs w:val="22"/>
        </w:rPr>
        <w:t>the</w:t>
      </w:r>
      <w:proofErr w:type="spellEnd"/>
      <w:r>
        <w:rPr>
          <w:sz w:val="22"/>
          <w:szCs w:val="22"/>
        </w:rPr>
        <w:t xml:space="preserve"> </w:t>
      </w:r>
      <w:proofErr w:type="spellStart"/>
      <w:r>
        <w:rPr>
          <w:sz w:val="22"/>
          <w:szCs w:val="22"/>
        </w:rPr>
        <w:t>drinking</w:t>
      </w:r>
      <w:proofErr w:type="spellEnd"/>
      <w:r>
        <w:rPr>
          <w:sz w:val="22"/>
          <w:szCs w:val="22"/>
        </w:rPr>
        <w:t xml:space="preserve"> </w:t>
      </w:r>
      <w:proofErr w:type="spellStart"/>
      <w:r>
        <w:rPr>
          <w:sz w:val="22"/>
          <w:szCs w:val="22"/>
        </w:rPr>
        <w:t>water</w:t>
      </w:r>
      <w:proofErr w:type="spellEnd"/>
      <w:r>
        <w:rPr>
          <w:sz w:val="22"/>
          <w:szCs w:val="22"/>
        </w:rPr>
        <w:t xml:space="preserve"> meter</w:t>
      </w:r>
    </w:p>
    <w:p w14:paraId="2E31510E" w14:textId="77777777" w:rsidR="00E255F4" w:rsidRDefault="00000000">
      <w:pPr>
        <w:tabs>
          <w:tab w:val="left" w:pos="851"/>
        </w:tabs>
        <w:jc w:val="both"/>
        <w:rPr>
          <w:sz w:val="22"/>
          <w:szCs w:val="22"/>
        </w:rPr>
      </w:pPr>
      <w:r>
        <w:rPr>
          <w:sz w:val="22"/>
          <w:szCs w:val="22"/>
        </w:rPr>
        <w:t xml:space="preserve">b - Reading </w:t>
      </w:r>
      <w:proofErr w:type="spellStart"/>
      <w:r>
        <w:rPr>
          <w:sz w:val="22"/>
          <w:szCs w:val="22"/>
        </w:rPr>
        <w:t>indicated</w:t>
      </w:r>
      <w:proofErr w:type="spellEnd"/>
      <w:r>
        <w:rPr>
          <w:sz w:val="22"/>
          <w:szCs w:val="22"/>
        </w:rPr>
        <w:t xml:space="preserve"> </w:t>
      </w:r>
      <w:proofErr w:type="spellStart"/>
      <w:r>
        <w:rPr>
          <w:sz w:val="22"/>
          <w:szCs w:val="22"/>
        </w:rPr>
        <w:t>by</w:t>
      </w:r>
      <w:proofErr w:type="spellEnd"/>
      <w:r>
        <w:rPr>
          <w:sz w:val="22"/>
          <w:szCs w:val="22"/>
        </w:rPr>
        <w:t xml:space="preserve"> </w:t>
      </w:r>
      <w:proofErr w:type="spellStart"/>
      <w:r>
        <w:rPr>
          <w:sz w:val="22"/>
          <w:szCs w:val="22"/>
        </w:rPr>
        <w:t>the</w:t>
      </w:r>
      <w:proofErr w:type="spellEnd"/>
      <w:r>
        <w:rPr>
          <w:sz w:val="22"/>
          <w:szCs w:val="22"/>
        </w:rPr>
        <w:t xml:space="preserve"> </w:t>
      </w:r>
      <w:proofErr w:type="spellStart"/>
      <w:r>
        <w:rPr>
          <w:sz w:val="22"/>
          <w:szCs w:val="22"/>
        </w:rPr>
        <w:t>drinking</w:t>
      </w:r>
      <w:proofErr w:type="spellEnd"/>
      <w:r>
        <w:rPr>
          <w:sz w:val="22"/>
          <w:szCs w:val="22"/>
        </w:rPr>
        <w:t xml:space="preserve"> </w:t>
      </w:r>
      <w:proofErr w:type="spellStart"/>
      <w:r>
        <w:rPr>
          <w:sz w:val="22"/>
          <w:szCs w:val="22"/>
        </w:rPr>
        <w:t>water</w:t>
      </w:r>
      <w:proofErr w:type="spellEnd"/>
      <w:r>
        <w:rPr>
          <w:sz w:val="22"/>
          <w:szCs w:val="22"/>
        </w:rPr>
        <w:t xml:space="preserve"> meter </w:t>
      </w:r>
      <w:proofErr w:type="spellStart"/>
      <w:r>
        <w:rPr>
          <w:sz w:val="22"/>
          <w:szCs w:val="22"/>
        </w:rPr>
        <w:t>every</w:t>
      </w:r>
      <w:proofErr w:type="spellEnd"/>
      <w:r>
        <w:rPr>
          <w:sz w:val="22"/>
          <w:szCs w:val="22"/>
        </w:rPr>
        <w:t xml:space="preserve"> </w:t>
      </w:r>
      <w:proofErr w:type="spellStart"/>
      <w:r>
        <w:rPr>
          <w:sz w:val="22"/>
          <w:szCs w:val="22"/>
        </w:rPr>
        <w:t>day</w:t>
      </w:r>
      <w:proofErr w:type="spellEnd"/>
      <w:r>
        <w:rPr>
          <w:sz w:val="22"/>
          <w:szCs w:val="22"/>
        </w:rPr>
        <w:t xml:space="preserve"> at </w:t>
      </w:r>
      <w:proofErr w:type="spellStart"/>
      <w:r>
        <w:rPr>
          <w:sz w:val="22"/>
          <w:szCs w:val="22"/>
        </w:rPr>
        <w:t>every</w:t>
      </w:r>
      <w:proofErr w:type="spellEnd"/>
      <w:r>
        <w:rPr>
          <w:sz w:val="22"/>
          <w:szCs w:val="22"/>
        </w:rPr>
        <w:t xml:space="preserve"> </w:t>
      </w:r>
      <w:proofErr w:type="spellStart"/>
      <w:r>
        <w:rPr>
          <w:sz w:val="22"/>
          <w:szCs w:val="22"/>
        </w:rPr>
        <w:t>exact</w:t>
      </w:r>
      <w:proofErr w:type="spellEnd"/>
      <w:r>
        <w:rPr>
          <w:sz w:val="22"/>
          <w:szCs w:val="22"/>
        </w:rPr>
        <w:t xml:space="preserve"> </w:t>
      </w:r>
      <w:proofErr w:type="spellStart"/>
      <w:r>
        <w:rPr>
          <w:sz w:val="22"/>
          <w:szCs w:val="22"/>
        </w:rPr>
        <w:t>hour</w:t>
      </w:r>
      <w:proofErr w:type="spellEnd"/>
    </w:p>
    <w:p w14:paraId="34FF56DC" w14:textId="77777777" w:rsidR="00E255F4" w:rsidRDefault="00000000">
      <w:pPr>
        <w:tabs>
          <w:tab w:val="left" w:pos="851"/>
        </w:tabs>
        <w:jc w:val="both"/>
        <w:rPr>
          <w:sz w:val="22"/>
          <w:szCs w:val="22"/>
        </w:rPr>
      </w:pPr>
      <w:r>
        <w:rPr>
          <w:sz w:val="22"/>
          <w:szCs w:val="22"/>
        </w:rPr>
        <w:t xml:space="preserve">c - Date and time </w:t>
      </w:r>
      <w:proofErr w:type="spellStart"/>
      <w:r>
        <w:rPr>
          <w:sz w:val="22"/>
          <w:szCs w:val="22"/>
        </w:rPr>
        <w:t>of</w:t>
      </w:r>
      <w:proofErr w:type="spellEnd"/>
      <w:r>
        <w:rPr>
          <w:sz w:val="22"/>
          <w:szCs w:val="22"/>
        </w:rPr>
        <w:t xml:space="preserve"> </w:t>
      </w:r>
      <w:proofErr w:type="spellStart"/>
      <w:r>
        <w:rPr>
          <w:sz w:val="22"/>
          <w:szCs w:val="22"/>
        </w:rPr>
        <w:t>each</w:t>
      </w:r>
      <w:proofErr w:type="spellEnd"/>
      <w:r>
        <w:rPr>
          <w:sz w:val="22"/>
          <w:szCs w:val="22"/>
        </w:rPr>
        <w:t xml:space="preserve"> </w:t>
      </w:r>
      <w:proofErr w:type="spellStart"/>
      <w:r>
        <w:rPr>
          <w:sz w:val="22"/>
          <w:szCs w:val="22"/>
        </w:rPr>
        <w:t>hourly</w:t>
      </w:r>
      <w:proofErr w:type="spellEnd"/>
      <w:r>
        <w:rPr>
          <w:sz w:val="22"/>
          <w:szCs w:val="22"/>
        </w:rPr>
        <w:t xml:space="preserve"> </w:t>
      </w:r>
      <w:proofErr w:type="spellStart"/>
      <w:r>
        <w:rPr>
          <w:sz w:val="22"/>
          <w:szCs w:val="22"/>
        </w:rPr>
        <w:t>reading</w:t>
      </w:r>
      <w:proofErr w:type="spellEnd"/>
    </w:p>
    <w:p w14:paraId="42B4086B" w14:textId="77777777" w:rsidR="00E255F4" w:rsidRDefault="00000000">
      <w:pPr>
        <w:tabs>
          <w:tab w:val="left" w:pos="851"/>
        </w:tabs>
        <w:jc w:val="both"/>
        <w:rPr>
          <w:sz w:val="22"/>
          <w:szCs w:val="22"/>
        </w:rPr>
      </w:pPr>
      <w:r>
        <w:rPr>
          <w:sz w:val="22"/>
          <w:szCs w:val="22"/>
        </w:rPr>
        <w:t xml:space="preserve">d - </w:t>
      </w:r>
      <w:proofErr w:type="spellStart"/>
      <w:r>
        <w:rPr>
          <w:sz w:val="22"/>
          <w:szCs w:val="22"/>
        </w:rPr>
        <w:t>Event</w:t>
      </w:r>
      <w:proofErr w:type="spellEnd"/>
      <w:r>
        <w:rPr>
          <w:sz w:val="22"/>
          <w:szCs w:val="22"/>
        </w:rPr>
        <w:t xml:space="preserve"> </w:t>
      </w:r>
      <w:proofErr w:type="spellStart"/>
      <w:r>
        <w:rPr>
          <w:sz w:val="22"/>
          <w:szCs w:val="22"/>
        </w:rPr>
        <w:t>type</w:t>
      </w:r>
      <w:proofErr w:type="spellEnd"/>
    </w:p>
    <w:p w14:paraId="0FB3CA30" w14:textId="77777777" w:rsidR="00E255F4" w:rsidRDefault="00000000">
      <w:pPr>
        <w:tabs>
          <w:tab w:val="left" w:pos="851"/>
        </w:tabs>
        <w:jc w:val="both"/>
        <w:rPr>
          <w:sz w:val="22"/>
          <w:szCs w:val="22"/>
        </w:rPr>
      </w:pPr>
      <w:r>
        <w:rPr>
          <w:sz w:val="22"/>
          <w:szCs w:val="22"/>
        </w:rPr>
        <w:t xml:space="preserve">e - Date and time </w:t>
      </w:r>
      <w:proofErr w:type="spellStart"/>
      <w:r>
        <w:rPr>
          <w:sz w:val="22"/>
          <w:szCs w:val="22"/>
        </w:rPr>
        <w:t>of</w:t>
      </w:r>
      <w:proofErr w:type="spellEnd"/>
      <w:r>
        <w:rPr>
          <w:sz w:val="22"/>
          <w:szCs w:val="22"/>
        </w:rPr>
        <w:t xml:space="preserve"> </w:t>
      </w:r>
      <w:proofErr w:type="spellStart"/>
      <w:r>
        <w:rPr>
          <w:sz w:val="22"/>
          <w:szCs w:val="22"/>
        </w:rPr>
        <w:t>all</w:t>
      </w:r>
      <w:proofErr w:type="spellEnd"/>
      <w:r>
        <w:rPr>
          <w:sz w:val="22"/>
          <w:szCs w:val="22"/>
        </w:rPr>
        <w:t xml:space="preserve"> </w:t>
      </w:r>
      <w:proofErr w:type="spellStart"/>
      <w:r>
        <w:rPr>
          <w:sz w:val="22"/>
          <w:szCs w:val="22"/>
        </w:rPr>
        <w:t>events</w:t>
      </w:r>
      <w:proofErr w:type="spellEnd"/>
      <w:r>
        <w:rPr>
          <w:sz w:val="22"/>
          <w:szCs w:val="22"/>
        </w:rPr>
        <w:t xml:space="preserve"> (</w:t>
      </w:r>
      <w:proofErr w:type="spellStart"/>
      <w:r>
        <w:rPr>
          <w:sz w:val="22"/>
          <w:szCs w:val="22"/>
        </w:rPr>
        <w:t>alarms</w:t>
      </w:r>
      <w:proofErr w:type="spellEnd"/>
      <w:r>
        <w:rPr>
          <w:sz w:val="22"/>
          <w:szCs w:val="22"/>
        </w:rPr>
        <w:t xml:space="preserve">, reverse </w:t>
      </w:r>
      <w:proofErr w:type="spellStart"/>
      <w:r>
        <w:rPr>
          <w:sz w:val="22"/>
          <w:szCs w:val="22"/>
        </w:rPr>
        <w:t>flow</w:t>
      </w:r>
      <w:proofErr w:type="spellEnd"/>
      <w:r>
        <w:rPr>
          <w:sz w:val="22"/>
          <w:szCs w:val="22"/>
        </w:rPr>
        <w:t xml:space="preserve">, </w:t>
      </w:r>
      <w:proofErr w:type="spellStart"/>
      <w:r>
        <w:rPr>
          <w:sz w:val="22"/>
          <w:szCs w:val="22"/>
        </w:rPr>
        <w:t>peak</w:t>
      </w:r>
      <w:proofErr w:type="spellEnd"/>
      <w:r>
        <w:rPr>
          <w:sz w:val="22"/>
          <w:szCs w:val="22"/>
        </w:rPr>
        <w:t xml:space="preserve"> </w:t>
      </w:r>
      <w:proofErr w:type="spellStart"/>
      <w:r>
        <w:rPr>
          <w:sz w:val="22"/>
          <w:szCs w:val="22"/>
        </w:rPr>
        <w:t>flow</w:t>
      </w:r>
      <w:proofErr w:type="spellEnd"/>
      <w:r>
        <w:rPr>
          <w:sz w:val="22"/>
          <w:szCs w:val="22"/>
        </w:rPr>
        <w:t xml:space="preserve">, </w:t>
      </w:r>
      <w:proofErr w:type="spellStart"/>
      <w:r>
        <w:rPr>
          <w:sz w:val="22"/>
          <w:szCs w:val="22"/>
        </w:rPr>
        <w:t>low</w:t>
      </w:r>
      <w:proofErr w:type="spellEnd"/>
      <w:r>
        <w:rPr>
          <w:sz w:val="22"/>
          <w:szCs w:val="22"/>
        </w:rPr>
        <w:t xml:space="preserve"> </w:t>
      </w:r>
      <w:proofErr w:type="spellStart"/>
      <w:r>
        <w:rPr>
          <w:sz w:val="22"/>
          <w:szCs w:val="22"/>
        </w:rPr>
        <w:t>battery</w:t>
      </w:r>
      <w:proofErr w:type="spellEnd"/>
      <w:r>
        <w:rPr>
          <w:sz w:val="22"/>
          <w:szCs w:val="22"/>
        </w:rPr>
        <w:t>,</w:t>
      </w:r>
    </w:p>
    <w:p w14:paraId="7F605AB1" w14:textId="77777777" w:rsidR="00E255F4" w:rsidRDefault="00000000">
      <w:pPr>
        <w:tabs>
          <w:tab w:val="left" w:pos="851"/>
        </w:tabs>
        <w:jc w:val="both"/>
        <w:rPr>
          <w:sz w:val="22"/>
          <w:szCs w:val="22"/>
        </w:rPr>
      </w:pPr>
      <w:r>
        <w:rPr>
          <w:sz w:val="22"/>
          <w:szCs w:val="22"/>
        </w:rPr>
        <w:t>etc.)</w:t>
      </w:r>
    </w:p>
    <w:p w14:paraId="2E842E8A" w14:textId="77777777" w:rsidR="00E255F4" w:rsidRDefault="00E255F4">
      <w:pPr>
        <w:tabs>
          <w:tab w:val="left" w:pos="851"/>
        </w:tabs>
        <w:jc w:val="both"/>
        <w:rPr>
          <w:sz w:val="22"/>
          <w:szCs w:val="22"/>
        </w:rPr>
      </w:pPr>
    </w:p>
    <w:p w14:paraId="1FFA2FE3" w14:textId="77777777" w:rsidR="00E255F4" w:rsidRDefault="00000000">
      <w:pPr>
        <w:tabs>
          <w:tab w:val="left" w:pos="851"/>
        </w:tabs>
        <w:jc w:val="both"/>
      </w:pPr>
      <w:proofErr w:type="spellStart"/>
      <w:r>
        <w:rPr>
          <w:sz w:val="22"/>
          <w:szCs w:val="22"/>
        </w:rPr>
        <w:t>Likewise</w:t>
      </w:r>
      <w:proofErr w:type="spellEnd"/>
      <w:r>
        <w:rPr>
          <w:sz w:val="22"/>
          <w:szCs w:val="22"/>
        </w:rPr>
        <w:t xml:space="preserve">, </w:t>
      </w:r>
      <w:proofErr w:type="spellStart"/>
      <w:r>
        <w:rPr>
          <w:sz w:val="22"/>
          <w:szCs w:val="22"/>
        </w:rPr>
        <w:t>the</w:t>
      </w:r>
      <w:proofErr w:type="spellEnd"/>
      <w:r>
        <w:rPr>
          <w:sz w:val="22"/>
          <w:szCs w:val="22"/>
        </w:rPr>
        <w:t xml:space="preserve"> </w:t>
      </w:r>
      <w:proofErr w:type="spellStart"/>
      <w:r>
        <w:rPr>
          <w:sz w:val="22"/>
          <w:szCs w:val="22"/>
        </w:rPr>
        <w:t>information</w:t>
      </w:r>
      <w:proofErr w:type="spellEnd"/>
      <w:r>
        <w:rPr>
          <w:sz w:val="22"/>
          <w:szCs w:val="22"/>
        </w:rPr>
        <w:t xml:space="preserve"> </w:t>
      </w:r>
      <w:proofErr w:type="spellStart"/>
      <w:r>
        <w:rPr>
          <w:sz w:val="22"/>
          <w:szCs w:val="22"/>
        </w:rPr>
        <w:t>may</w:t>
      </w:r>
      <w:proofErr w:type="spellEnd"/>
      <w:r>
        <w:rPr>
          <w:sz w:val="22"/>
          <w:szCs w:val="22"/>
        </w:rPr>
        <w:t xml:space="preserve"> be extended </w:t>
      </w:r>
      <w:proofErr w:type="spellStart"/>
      <w:r>
        <w:rPr>
          <w:sz w:val="22"/>
          <w:szCs w:val="22"/>
        </w:rPr>
        <w:t>to</w:t>
      </w:r>
      <w:proofErr w:type="spellEnd"/>
      <w:r>
        <w:rPr>
          <w:sz w:val="22"/>
          <w:szCs w:val="22"/>
        </w:rPr>
        <w:t xml:space="preserve"> </w:t>
      </w:r>
      <w:proofErr w:type="spellStart"/>
      <w:r>
        <w:rPr>
          <w:sz w:val="22"/>
          <w:szCs w:val="22"/>
        </w:rPr>
        <w:t>other</w:t>
      </w:r>
      <w:proofErr w:type="spellEnd"/>
      <w:r>
        <w:rPr>
          <w:sz w:val="22"/>
          <w:szCs w:val="22"/>
        </w:rPr>
        <w:t xml:space="preserve"> </w:t>
      </w:r>
      <w:proofErr w:type="spellStart"/>
      <w:r>
        <w:rPr>
          <w:sz w:val="22"/>
          <w:szCs w:val="22"/>
        </w:rPr>
        <w:t>parameters</w:t>
      </w:r>
      <w:proofErr w:type="spellEnd"/>
      <w:r>
        <w:rPr>
          <w:sz w:val="22"/>
          <w:szCs w:val="22"/>
        </w:rPr>
        <w:t xml:space="preserve"> </w:t>
      </w:r>
      <w:proofErr w:type="spellStart"/>
      <w:r>
        <w:rPr>
          <w:sz w:val="22"/>
          <w:szCs w:val="22"/>
        </w:rPr>
        <w:t>supported</w:t>
      </w:r>
      <w:proofErr w:type="spellEnd"/>
      <w:r>
        <w:rPr>
          <w:sz w:val="22"/>
          <w:szCs w:val="22"/>
        </w:rPr>
        <w:t xml:space="preserve"> </w:t>
      </w:r>
      <w:proofErr w:type="spellStart"/>
      <w:r>
        <w:rPr>
          <w:sz w:val="22"/>
          <w:szCs w:val="22"/>
        </w:rPr>
        <w:t>by</w:t>
      </w:r>
      <w:proofErr w:type="spellEnd"/>
      <w:r>
        <w:rPr>
          <w:sz w:val="22"/>
          <w:szCs w:val="22"/>
        </w:rPr>
        <w:t xml:space="preserve"> </w:t>
      </w:r>
      <w:proofErr w:type="spellStart"/>
      <w:r>
        <w:rPr>
          <w:sz w:val="22"/>
          <w:szCs w:val="22"/>
        </w:rPr>
        <w:t>the</w:t>
      </w:r>
      <w:proofErr w:type="spellEnd"/>
      <w:r>
        <w:rPr>
          <w:sz w:val="22"/>
          <w:szCs w:val="22"/>
        </w:rPr>
        <w:t xml:space="preserve"> </w:t>
      </w:r>
      <w:proofErr w:type="spellStart"/>
      <w:r>
        <w:rPr>
          <w:sz w:val="22"/>
          <w:szCs w:val="22"/>
        </w:rPr>
        <w:t>telemetry</w:t>
      </w:r>
      <w:proofErr w:type="spellEnd"/>
      <w:r>
        <w:rPr>
          <w:sz w:val="22"/>
          <w:szCs w:val="22"/>
        </w:rPr>
        <w:t xml:space="preserve"> </w:t>
      </w:r>
      <w:proofErr w:type="spellStart"/>
      <w:r>
        <w:rPr>
          <w:sz w:val="22"/>
          <w:szCs w:val="22"/>
        </w:rPr>
        <w:t>equipment</w:t>
      </w:r>
      <w:proofErr w:type="spellEnd"/>
      <w:r>
        <w:rPr>
          <w:sz w:val="22"/>
          <w:szCs w:val="22"/>
        </w:rPr>
        <w:t>.</w:t>
      </w:r>
    </w:p>
    <w:p w14:paraId="5C0BE371" w14:textId="77777777" w:rsidR="00E255F4" w:rsidRDefault="00E255F4">
      <w:pPr>
        <w:tabs>
          <w:tab w:val="left" w:pos="851"/>
        </w:tabs>
        <w:jc w:val="both"/>
        <w:rPr>
          <w:sz w:val="22"/>
          <w:szCs w:val="22"/>
        </w:rPr>
      </w:pPr>
    </w:p>
    <w:p w14:paraId="4F2146EF" w14:textId="77777777" w:rsidR="00E255F4" w:rsidRDefault="00000000">
      <w:pPr>
        <w:tabs>
          <w:tab w:val="left" w:pos="851"/>
        </w:tabs>
        <w:jc w:val="both"/>
        <w:rPr>
          <w:sz w:val="22"/>
          <w:szCs w:val="22"/>
        </w:rPr>
      </w:pPr>
      <w:proofErr w:type="spellStart"/>
      <w:r>
        <w:rPr>
          <w:sz w:val="22"/>
          <w:szCs w:val="22"/>
        </w:rPr>
        <w:t>Telemetry</w:t>
      </w:r>
      <w:proofErr w:type="spellEnd"/>
      <w:r>
        <w:rPr>
          <w:sz w:val="22"/>
          <w:szCs w:val="22"/>
        </w:rPr>
        <w:t xml:space="preserve"> </w:t>
      </w:r>
      <w:proofErr w:type="spellStart"/>
      <w:r>
        <w:rPr>
          <w:sz w:val="22"/>
          <w:szCs w:val="22"/>
        </w:rPr>
        <w:t>readings</w:t>
      </w:r>
      <w:proofErr w:type="spellEnd"/>
      <w:r>
        <w:rPr>
          <w:sz w:val="22"/>
          <w:szCs w:val="22"/>
        </w:rPr>
        <w:t xml:space="preserve"> </w:t>
      </w:r>
      <w:proofErr w:type="spellStart"/>
      <w:r>
        <w:rPr>
          <w:sz w:val="22"/>
          <w:szCs w:val="22"/>
        </w:rPr>
        <w:t>will</w:t>
      </w:r>
      <w:proofErr w:type="spellEnd"/>
      <w:r>
        <w:rPr>
          <w:sz w:val="22"/>
          <w:szCs w:val="22"/>
        </w:rPr>
        <w:t xml:space="preserve"> be </w:t>
      </w:r>
      <w:proofErr w:type="spellStart"/>
      <w:r>
        <w:rPr>
          <w:sz w:val="22"/>
          <w:szCs w:val="22"/>
        </w:rPr>
        <w:t>taken</w:t>
      </w:r>
      <w:proofErr w:type="spellEnd"/>
      <w:r>
        <w:rPr>
          <w:sz w:val="22"/>
          <w:szCs w:val="22"/>
        </w:rPr>
        <w:t xml:space="preserve"> </w:t>
      </w:r>
      <w:proofErr w:type="spellStart"/>
      <w:r>
        <w:rPr>
          <w:sz w:val="22"/>
          <w:szCs w:val="22"/>
        </w:rPr>
        <w:t>every</w:t>
      </w:r>
      <w:proofErr w:type="spellEnd"/>
      <w:r>
        <w:rPr>
          <w:sz w:val="22"/>
          <w:szCs w:val="22"/>
        </w:rPr>
        <w:t xml:space="preserve"> </w:t>
      </w:r>
      <w:proofErr w:type="spellStart"/>
      <w:r>
        <w:rPr>
          <w:sz w:val="22"/>
          <w:szCs w:val="22"/>
        </w:rPr>
        <w:t>hour</w:t>
      </w:r>
      <w:proofErr w:type="spellEnd"/>
      <w:r>
        <w:rPr>
          <w:sz w:val="22"/>
          <w:szCs w:val="22"/>
        </w:rPr>
        <w:t xml:space="preserve"> and </w:t>
      </w:r>
      <w:proofErr w:type="spellStart"/>
      <w:r>
        <w:rPr>
          <w:sz w:val="22"/>
          <w:szCs w:val="22"/>
        </w:rPr>
        <w:t>reported</w:t>
      </w:r>
      <w:proofErr w:type="spellEnd"/>
      <w:r>
        <w:rPr>
          <w:sz w:val="22"/>
          <w:szCs w:val="22"/>
        </w:rPr>
        <w:t xml:space="preserve"> </w:t>
      </w:r>
      <w:proofErr w:type="spellStart"/>
      <w:r>
        <w:rPr>
          <w:sz w:val="22"/>
          <w:szCs w:val="22"/>
        </w:rPr>
        <w:t>to</w:t>
      </w:r>
      <w:proofErr w:type="spellEnd"/>
      <w:r>
        <w:rPr>
          <w:sz w:val="22"/>
          <w:szCs w:val="22"/>
        </w:rPr>
        <w:t xml:space="preserve"> </w:t>
      </w:r>
      <w:proofErr w:type="spellStart"/>
      <w:r>
        <w:rPr>
          <w:sz w:val="22"/>
          <w:szCs w:val="22"/>
        </w:rPr>
        <w:t>the</w:t>
      </w:r>
      <w:proofErr w:type="spellEnd"/>
      <w:r>
        <w:rPr>
          <w:sz w:val="22"/>
          <w:szCs w:val="22"/>
        </w:rPr>
        <w:t xml:space="preserve"> Data </w:t>
      </w:r>
      <w:proofErr w:type="spellStart"/>
      <w:r>
        <w:rPr>
          <w:sz w:val="22"/>
          <w:szCs w:val="22"/>
        </w:rPr>
        <w:t>Collection</w:t>
      </w:r>
      <w:proofErr w:type="spellEnd"/>
      <w:r>
        <w:rPr>
          <w:sz w:val="22"/>
          <w:szCs w:val="22"/>
        </w:rPr>
        <w:t xml:space="preserve"> </w:t>
      </w:r>
      <w:proofErr w:type="spellStart"/>
      <w:r>
        <w:rPr>
          <w:sz w:val="22"/>
          <w:szCs w:val="22"/>
        </w:rPr>
        <w:t>System</w:t>
      </w:r>
      <w:proofErr w:type="spellEnd"/>
      <w:r>
        <w:rPr>
          <w:sz w:val="22"/>
          <w:szCs w:val="22"/>
        </w:rPr>
        <w:t xml:space="preserve"> </w:t>
      </w:r>
      <w:proofErr w:type="spellStart"/>
      <w:r>
        <w:rPr>
          <w:sz w:val="22"/>
          <w:szCs w:val="22"/>
        </w:rPr>
        <w:t>twice</w:t>
      </w:r>
      <w:proofErr w:type="spellEnd"/>
      <w:r>
        <w:rPr>
          <w:sz w:val="22"/>
          <w:szCs w:val="22"/>
        </w:rPr>
        <w:t xml:space="preserve"> a </w:t>
      </w:r>
      <w:proofErr w:type="spellStart"/>
      <w:r>
        <w:rPr>
          <w:sz w:val="22"/>
          <w:szCs w:val="22"/>
        </w:rPr>
        <w:t>day</w:t>
      </w:r>
      <w:proofErr w:type="spellEnd"/>
      <w:r>
        <w:rPr>
          <w:sz w:val="22"/>
          <w:szCs w:val="22"/>
        </w:rPr>
        <w:t xml:space="preserve">, 12 </w:t>
      </w:r>
      <w:proofErr w:type="spellStart"/>
      <w:r>
        <w:rPr>
          <w:sz w:val="22"/>
          <w:szCs w:val="22"/>
        </w:rPr>
        <w:t>hours</w:t>
      </w:r>
      <w:proofErr w:type="spellEnd"/>
      <w:r>
        <w:rPr>
          <w:sz w:val="22"/>
          <w:szCs w:val="22"/>
        </w:rPr>
        <w:t xml:space="preserve"> </w:t>
      </w:r>
      <w:proofErr w:type="spellStart"/>
      <w:r>
        <w:rPr>
          <w:sz w:val="22"/>
          <w:szCs w:val="22"/>
        </w:rPr>
        <w:t>apart</w:t>
      </w:r>
      <w:proofErr w:type="spellEnd"/>
      <w:r>
        <w:rPr>
          <w:sz w:val="22"/>
          <w:szCs w:val="22"/>
        </w:rPr>
        <w:t xml:space="preserve">. The </w:t>
      </w:r>
      <w:proofErr w:type="spellStart"/>
      <w:r>
        <w:rPr>
          <w:sz w:val="22"/>
          <w:szCs w:val="22"/>
        </w:rPr>
        <w:t>system</w:t>
      </w:r>
      <w:proofErr w:type="spellEnd"/>
      <w:r>
        <w:rPr>
          <w:sz w:val="22"/>
          <w:szCs w:val="22"/>
        </w:rPr>
        <w:t xml:space="preserve"> </w:t>
      </w:r>
      <w:proofErr w:type="spellStart"/>
      <w:r>
        <w:rPr>
          <w:sz w:val="22"/>
          <w:szCs w:val="22"/>
        </w:rPr>
        <w:t>must</w:t>
      </w:r>
      <w:proofErr w:type="spellEnd"/>
      <w:r>
        <w:rPr>
          <w:sz w:val="22"/>
          <w:szCs w:val="22"/>
        </w:rPr>
        <w:t xml:space="preserve"> </w:t>
      </w:r>
      <w:proofErr w:type="spellStart"/>
      <w:r>
        <w:rPr>
          <w:sz w:val="22"/>
          <w:szCs w:val="22"/>
        </w:rPr>
        <w:t>distribute</w:t>
      </w:r>
      <w:proofErr w:type="spellEnd"/>
      <w:r>
        <w:rPr>
          <w:sz w:val="22"/>
          <w:szCs w:val="22"/>
        </w:rPr>
        <w:t xml:space="preserve"> </w:t>
      </w:r>
      <w:proofErr w:type="spellStart"/>
      <w:r>
        <w:rPr>
          <w:sz w:val="22"/>
          <w:szCs w:val="22"/>
        </w:rPr>
        <w:t>the</w:t>
      </w:r>
      <w:proofErr w:type="spellEnd"/>
      <w:r>
        <w:rPr>
          <w:sz w:val="22"/>
          <w:szCs w:val="22"/>
        </w:rPr>
        <w:t xml:space="preserve"> meter </w:t>
      </w:r>
      <w:proofErr w:type="spellStart"/>
      <w:r>
        <w:rPr>
          <w:sz w:val="22"/>
          <w:szCs w:val="22"/>
        </w:rPr>
        <w:t>connections</w:t>
      </w:r>
      <w:proofErr w:type="spellEnd"/>
      <w:r>
        <w:rPr>
          <w:sz w:val="22"/>
          <w:szCs w:val="22"/>
        </w:rPr>
        <w:t xml:space="preserve"> </w:t>
      </w:r>
      <w:proofErr w:type="spellStart"/>
      <w:r>
        <w:rPr>
          <w:sz w:val="22"/>
          <w:szCs w:val="22"/>
        </w:rPr>
        <w:t>throughout</w:t>
      </w:r>
      <w:proofErr w:type="spellEnd"/>
      <w:r>
        <w:rPr>
          <w:sz w:val="22"/>
          <w:szCs w:val="22"/>
        </w:rPr>
        <w:t xml:space="preserve"> </w:t>
      </w:r>
      <w:proofErr w:type="spellStart"/>
      <w:r>
        <w:rPr>
          <w:sz w:val="22"/>
          <w:szCs w:val="22"/>
        </w:rPr>
        <w:t>the</w:t>
      </w:r>
      <w:proofErr w:type="spellEnd"/>
      <w:r>
        <w:rPr>
          <w:sz w:val="22"/>
          <w:szCs w:val="22"/>
        </w:rPr>
        <w:t xml:space="preserve"> </w:t>
      </w:r>
      <w:proofErr w:type="spellStart"/>
      <w:r>
        <w:rPr>
          <w:sz w:val="22"/>
          <w:szCs w:val="22"/>
        </w:rPr>
        <w:t>day</w:t>
      </w:r>
      <w:proofErr w:type="spellEnd"/>
      <w:r>
        <w:rPr>
          <w:sz w:val="22"/>
          <w:szCs w:val="22"/>
        </w:rPr>
        <w:t xml:space="preserve"> </w:t>
      </w:r>
      <w:proofErr w:type="spellStart"/>
      <w:r>
        <w:rPr>
          <w:sz w:val="22"/>
          <w:szCs w:val="22"/>
        </w:rPr>
        <w:t>to</w:t>
      </w:r>
      <w:proofErr w:type="spellEnd"/>
      <w:r>
        <w:rPr>
          <w:sz w:val="22"/>
          <w:szCs w:val="22"/>
        </w:rPr>
        <w:t xml:space="preserve"> </w:t>
      </w:r>
      <w:proofErr w:type="spellStart"/>
      <w:r>
        <w:rPr>
          <w:sz w:val="22"/>
          <w:szCs w:val="22"/>
        </w:rPr>
        <w:t>prevent</w:t>
      </w:r>
      <w:proofErr w:type="spellEnd"/>
      <w:r>
        <w:rPr>
          <w:sz w:val="22"/>
          <w:szCs w:val="22"/>
        </w:rPr>
        <w:t xml:space="preserve"> </w:t>
      </w:r>
      <w:proofErr w:type="spellStart"/>
      <w:r>
        <w:rPr>
          <w:sz w:val="22"/>
          <w:szCs w:val="22"/>
        </w:rPr>
        <w:t>all</w:t>
      </w:r>
      <w:proofErr w:type="spellEnd"/>
      <w:r>
        <w:rPr>
          <w:sz w:val="22"/>
          <w:szCs w:val="22"/>
        </w:rPr>
        <w:t xml:space="preserve"> </w:t>
      </w:r>
      <w:proofErr w:type="spellStart"/>
      <w:r>
        <w:rPr>
          <w:sz w:val="22"/>
          <w:szCs w:val="22"/>
        </w:rPr>
        <w:t>meters</w:t>
      </w:r>
      <w:proofErr w:type="spellEnd"/>
      <w:r>
        <w:rPr>
          <w:sz w:val="22"/>
          <w:szCs w:val="22"/>
        </w:rPr>
        <w:t xml:space="preserve"> </w:t>
      </w:r>
      <w:proofErr w:type="spellStart"/>
      <w:r>
        <w:rPr>
          <w:sz w:val="22"/>
          <w:szCs w:val="22"/>
        </w:rPr>
        <w:t>from</w:t>
      </w:r>
      <w:proofErr w:type="spellEnd"/>
      <w:r>
        <w:rPr>
          <w:sz w:val="22"/>
          <w:szCs w:val="22"/>
        </w:rPr>
        <w:t xml:space="preserve"> </w:t>
      </w:r>
      <w:proofErr w:type="spellStart"/>
      <w:r>
        <w:rPr>
          <w:sz w:val="22"/>
          <w:szCs w:val="22"/>
        </w:rPr>
        <w:t>transmitting</w:t>
      </w:r>
      <w:proofErr w:type="spellEnd"/>
      <w:r>
        <w:rPr>
          <w:sz w:val="22"/>
          <w:szCs w:val="22"/>
        </w:rPr>
        <w:t xml:space="preserve"> data at </w:t>
      </w:r>
      <w:proofErr w:type="spellStart"/>
      <w:r>
        <w:rPr>
          <w:sz w:val="22"/>
          <w:szCs w:val="22"/>
        </w:rPr>
        <w:t>the</w:t>
      </w:r>
      <w:proofErr w:type="spellEnd"/>
      <w:r>
        <w:rPr>
          <w:sz w:val="22"/>
          <w:szCs w:val="22"/>
        </w:rPr>
        <w:t xml:space="preserve"> </w:t>
      </w:r>
      <w:proofErr w:type="spellStart"/>
      <w:r>
        <w:rPr>
          <w:sz w:val="22"/>
          <w:szCs w:val="22"/>
        </w:rPr>
        <w:t>same</w:t>
      </w:r>
      <w:proofErr w:type="spellEnd"/>
      <w:r>
        <w:rPr>
          <w:sz w:val="22"/>
          <w:szCs w:val="22"/>
        </w:rPr>
        <w:t xml:space="preserve"> time.</w:t>
      </w:r>
    </w:p>
    <w:p w14:paraId="4AAB1358" w14:textId="77777777" w:rsidR="00E255F4" w:rsidRDefault="00E255F4">
      <w:pPr>
        <w:tabs>
          <w:tab w:val="left" w:pos="851"/>
        </w:tabs>
        <w:jc w:val="both"/>
        <w:rPr>
          <w:sz w:val="22"/>
          <w:szCs w:val="22"/>
        </w:rPr>
      </w:pPr>
    </w:p>
    <w:p w14:paraId="2011EC9D" w14:textId="77777777" w:rsidR="00E255F4" w:rsidRDefault="00000000">
      <w:pPr>
        <w:tabs>
          <w:tab w:val="left" w:pos="851"/>
        </w:tabs>
        <w:jc w:val="both"/>
      </w:pPr>
      <w:proofErr w:type="spellStart"/>
      <w:r>
        <w:rPr>
          <w:sz w:val="22"/>
          <w:szCs w:val="22"/>
        </w:rPr>
        <w:lastRenderedPageBreak/>
        <w:t>It</w:t>
      </w:r>
      <w:proofErr w:type="spellEnd"/>
      <w:r>
        <w:rPr>
          <w:sz w:val="22"/>
          <w:szCs w:val="22"/>
        </w:rPr>
        <w:t xml:space="preserve"> </w:t>
      </w:r>
      <w:proofErr w:type="spellStart"/>
      <w:r>
        <w:rPr>
          <w:sz w:val="22"/>
          <w:szCs w:val="22"/>
        </w:rPr>
        <w:t>must</w:t>
      </w:r>
      <w:proofErr w:type="spellEnd"/>
      <w:r>
        <w:rPr>
          <w:sz w:val="22"/>
          <w:szCs w:val="22"/>
        </w:rPr>
        <w:t xml:space="preserve"> be </w:t>
      </w:r>
      <w:proofErr w:type="spellStart"/>
      <w:r>
        <w:rPr>
          <w:sz w:val="22"/>
          <w:szCs w:val="22"/>
        </w:rPr>
        <w:t>ensured</w:t>
      </w:r>
      <w:proofErr w:type="spellEnd"/>
      <w:r>
        <w:rPr>
          <w:sz w:val="22"/>
          <w:szCs w:val="22"/>
        </w:rPr>
        <w:t xml:space="preserve"> </w:t>
      </w:r>
      <w:proofErr w:type="spellStart"/>
      <w:r>
        <w:rPr>
          <w:sz w:val="22"/>
          <w:szCs w:val="22"/>
        </w:rPr>
        <w:t>that</w:t>
      </w:r>
      <w:proofErr w:type="spellEnd"/>
      <w:r>
        <w:rPr>
          <w:sz w:val="22"/>
          <w:szCs w:val="22"/>
        </w:rPr>
        <w:t xml:space="preserve"> </w:t>
      </w:r>
      <w:proofErr w:type="spellStart"/>
      <w:r>
        <w:rPr>
          <w:sz w:val="22"/>
          <w:szCs w:val="22"/>
        </w:rPr>
        <w:t>if</w:t>
      </w:r>
      <w:proofErr w:type="spellEnd"/>
      <w:r>
        <w:rPr>
          <w:sz w:val="22"/>
          <w:szCs w:val="22"/>
        </w:rPr>
        <w:t xml:space="preserve"> </w:t>
      </w:r>
      <w:proofErr w:type="spellStart"/>
      <w:r>
        <w:rPr>
          <w:sz w:val="22"/>
          <w:szCs w:val="22"/>
        </w:rPr>
        <w:t>the</w:t>
      </w:r>
      <w:proofErr w:type="spellEnd"/>
      <w:r>
        <w:rPr>
          <w:sz w:val="22"/>
          <w:szCs w:val="22"/>
        </w:rPr>
        <w:t xml:space="preserve"> </w:t>
      </w:r>
      <w:proofErr w:type="spellStart"/>
      <w:r>
        <w:rPr>
          <w:sz w:val="22"/>
          <w:szCs w:val="22"/>
        </w:rPr>
        <w:t>transmission</w:t>
      </w:r>
      <w:proofErr w:type="spellEnd"/>
      <w:r>
        <w:rPr>
          <w:sz w:val="22"/>
          <w:szCs w:val="22"/>
        </w:rPr>
        <w:t xml:space="preserve"> </w:t>
      </w:r>
      <w:proofErr w:type="spellStart"/>
      <w:r>
        <w:rPr>
          <w:sz w:val="22"/>
          <w:szCs w:val="22"/>
        </w:rPr>
        <w:t>cannot</w:t>
      </w:r>
      <w:proofErr w:type="spellEnd"/>
      <w:r>
        <w:rPr>
          <w:sz w:val="22"/>
          <w:szCs w:val="22"/>
        </w:rPr>
        <w:t xml:space="preserve"> be </w:t>
      </w:r>
      <w:proofErr w:type="spellStart"/>
      <w:r>
        <w:rPr>
          <w:sz w:val="22"/>
          <w:szCs w:val="22"/>
        </w:rPr>
        <w:t>completed</w:t>
      </w:r>
      <w:proofErr w:type="spellEnd"/>
      <w:r>
        <w:rPr>
          <w:sz w:val="22"/>
          <w:szCs w:val="22"/>
        </w:rPr>
        <w:t xml:space="preserve"> </w:t>
      </w:r>
      <w:proofErr w:type="spellStart"/>
      <w:r>
        <w:rPr>
          <w:sz w:val="22"/>
          <w:szCs w:val="22"/>
        </w:rPr>
        <w:t>for</w:t>
      </w:r>
      <w:proofErr w:type="spellEnd"/>
      <w:r>
        <w:rPr>
          <w:sz w:val="22"/>
          <w:szCs w:val="22"/>
        </w:rPr>
        <w:t xml:space="preserve"> </w:t>
      </w:r>
      <w:proofErr w:type="spellStart"/>
      <w:r>
        <w:rPr>
          <w:sz w:val="22"/>
          <w:szCs w:val="22"/>
        </w:rPr>
        <w:t>any</w:t>
      </w:r>
      <w:proofErr w:type="spellEnd"/>
      <w:r>
        <w:rPr>
          <w:sz w:val="22"/>
          <w:szCs w:val="22"/>
        </w:rPr>
        <w:t xml:space="preserve"> </w:t>
      </w:r>
      <w:proofErr w:type="spellStart"/>
      <w:r>
        <w:rPr>
          <w:sz w:val="22"/>
          <w:szCs w:val="22"/>
        </w:rPr>
        <w:t>reason</w:t>
      </w:r>
      <w:proofErr w:type="spellEnd"/>
      <w:r>
        <w:rPr>
          <w:sz w:val="22"/>
          <w:szCs w:val="22"/>
        </w:rPr>
        <w:t xml:space="preserve">, </w:t>
      </w:r>
      <w:proofErr w:type="spellStart"/>
      <w:r>
        <w:rPr>
          <w:sz w:val="22"/>
          <w:szCs w:val="22"/>
        </w:rPr>
        <w:t>the</w:t>
      </w:r>
      <w:proofErr w:type="spellEnd"/>
      <w:r>
        <w:rPr>
          <w:sz w:val="22"/>
          <w:szCs w:val="22"/>
        </w:rPr>
        <w:t xml:space="preserve"> </w:t>
      </w:r>
      <w:proofErr w:type="spellStart"/>
      <w:r>
        <w:rPr>
          <w:sz w:val="22"/>
          <w:szCs w:val="22"/>
        </w:rPr>
        <w:t>hourly</w:t>
      </w:r>
      <w:proofErr w:type="spellEnd"/>
      <w:r>
        <w:rPr>
          <w:sz w:val="22"/>
          <w:szCs w:val="22"/>
        </w:rPr>
        <w:t xml:space="preserve"> </w:t>
      </w:r>
      <w:proofErr w:type="spellStart"/>
      <w:r>
        <w:rPr>
          <w:sz w:val="22"/>
          <w:szCs w:val="22"/>
        </w:rPr>
        <w:t>consumption</w:t>
      </w:r>
      <w:proofErr w:type="spellEnd"/>
      <w:r>
        <w:rPr>
          <w:sz w:val="22"/>
          <w:szCs w:val="22"/>
        </w:rPr>
        <w:t xml:space="preserve"> data </w:t>
      </w:r>
      <w:proofErr w:type="spellStart"/>
      <w:r>
        <w:rPr>
          <w:sz w:val="22"/>
          <w:szCs w:val="22"/>
        </w:rPr>
        <w:t>is</w:t>
      </w:r>
      <w:proofErr w:type="spellEnd"/>
      <w:r>
        <w:rPr>
          <w:sz w:val="22"/>
          <w:szCs w:val="22"/>
        </w:rPr>
        <w:t xml:space="preserve"> </w:t>
      </w:r>
      <w:proofErr w:type="spellStart"/>
      <w:r>
        <w:rPr>
          <w:sz w:val="22"/>
          <w:szCs w:val="22"/>
        </w:rPr>
        <w:t>not</w:t>
      </w:r>
      <w:proofErr w:type="spellEnd"/>
      <w:r>
        <w:rPr>
          <w:sz w:val="22"/>
          <w:szCs w:val="22"/>
        </w:rPr>
        <w:t xml:space="preserve"> </w:t>
      </w:r>
      <w:proofErr w:type="spellStart"/>
      <w:r>
        <w:rPr>
          <w:sz w:val="22"/>
          <w:szCs w:val="22"/>
        </w:rPr>
        <w:t>lost</w:t>
      </w:r>
      <w:proofErr w:type="spellEnd"/>
      <w:r>
        <w:rPr>
          <w:sz w:val="22"/>
          <w:szCs w:val="22"/>
        </w:rPr>
        <w:t xml:space="preserve"> and </w:t>
      </w:r>
      <w:proofErr w:type="spellStart"/>
      <w:r>
        <w:rPr>
          <w:sz w:val="22"/>
          <w:szCs w:val="22"/>
        </w:rPr>
        <w:t>is</w:t>
      </w:r>
      <w:proofErr w:type="spellEnd"/>
      <w:r>
        <w:rPr>
          <w:sz w:val="22"/>
          <w:szCs w:val="22"/>
        </w:rPr>
        <w:t xml:space="preserve"> </w:t>
      </w:r>
      <w:proofErr w:type="spellStart"/>
      <w:r>
        <w:rPr>
          <w:sz w:val="22"/>
          <w:szCs w:val="22"/>
        </w:rPr>
        <w:t>transmitted</w:t>
      </w:r>
      <w:proofErr w:type="spellEnd"/>
      <w:r>
        <w:rPr>
          <w:sz w:val="22"/>
          <w:szCs w:val="22"/>
        </w:rPr>
        <w:t xml:space="preserve"> in </w:t>
      </w:r>
      <w:proofErr w:type="spellStart"/>
      <w:r>
        <w:rPr>
          <w:sz w:val="22"/>
          <w:szCs w:val="22"/>
        </w:rPr>
        <w:t>the</w:t>
      </w:r>
      <w:proofErr w:type="spellEnd"/>
      <w:r>
        <w:rPr>
          <w:sz w:val="22"/>
          <w:szCs w:val="22"/>
        </w:rPr>
        <w:t xml:space="preserve"> </w:t>
      </w:r>
      <w:proofErr w:type="spellStart"/>
      <w:r>
        <w:rPr>
          <w:sz w:val="22"/>
          <w:szCs w:val="22"/>
        </w:rPr>
        <w:t>next</w:t>
      </w:r>
      <w:proofErr w:type="spellEnd"/>
      <w:r>
        <w:rPr>
          <w:sz w:val="22"/>
          <w:szCs w:val="22"/>
        </w:rPr>
        <w:t xml:space="preserve"> </w:t>
      </w:r>
      <w:proofErr w:type="spellStart"/>
      <w:r>
        <w:rPr>
          <w:sz w:val="22"/>
          <w:szCs w:val="22"/>
        </w:rPr>
        <w:t>transmission</w:t>
      </w:r>
      <w:proofErr w:type="spellEnd"/>
      <w:r>
        <w:rPr>
          <w:sz w:val="22"/>
          <w:szCs w:val="22"/>
        </w:rPr>
        <w:t xml:space="preserve">. The meter </w:t>
      </w:r>
      <w:proofErr w:type="spellStart"/>
      <w:r>
        <w:rPr>
          <w:sz w:val="22"/>
          <w:szCs w:val="22"/>
        </w:rPr>
        <w:t>must</w:t>
      </w:r>
      <w:proofErr w:type="spellEnd"/>
      <w:r>
        <w:rPr>
          <w:sz w:val="22"/>
          <w:szCs w:val="22"/>
        </w:rPr>
        <w:t xml:space="preserve"> be </w:t>
      </w:r>
      <w:proofErr w:type="spellStart"/>
      <w:r>
        <w:rPr>
          <w:sz w:val="22"/>
          <w:szCs w:val="22"/>
        </w:rPr>
        <w:t>capable</w:t>
      </w:r>
      <w:proofErr w:type="spellEnd"/>
      <w:r>
        <w:rPr>
          <w:sz w:val="22"/>
          <w:szCs w:val="22"/>
        </w:rPr>
        <w:t xml:space="preserve"> </w:t>
      </w:r>
      <w:proofErr w:type="spellStart"/>
      <w:r>
        <w:rPr>
          <w:sz w:val="22"/>
          <w:szCs w:val="22"/>
        </w:rPr>
        <w:t>of</w:t>
      </w:r>
      <w:proofErr w:type="spellEnd"/>
      <w:r>
        <w:rPr>
          <w:sz w:val="22"/>
          <w:szCs w:val="22"/>
        </w:rPr>
        <w:t xml:space="preserve"> </w:t>
      </w:r>
      <w:proofErr w:type="spellStart"/>
      <w:r>
        <w:rPr>
          <w:sz w:val="22"/>
          <w:szCs w:val="22"/>
        </w:rPr>
        <w:t>storing</w:t>
      </w:r>
      <w:proofErr w:type="spellEnd"/>
      <w:r>
        <w:rPr>
          <w:sz w:val="22"/>
          <w:szCs w:val="22"/>
        </w:rPr>
        <w:t xml:space="preserve"> </w:t>
      </w:r>
      <w:proofErr w:type="spellStart"/>
      <w:r>
        <w:rPr>
          <w:sz w:val="22"/>
          <w:szCs w:val="22"/>
        </w:rPr>
        <w:t>four</w:t>
      </w:r>
      <w:proofErr w:type="spellEnd"/>
      <w:r>
        <w:rPr>
          <w:sz w:val="22"/>
          <w:szCs w:val="22"/>
        </w:rPr>
        <w:t xml:space="preserve"> </w:t>
      </w:r>
      <w:proofErr w:type="spellStart"/>
      <w:r>
        <w:rPr>
          <w:sz w:val="22"/>
          <w:szCs w:val="22"/>
        </w:rPr>
        <w:t>days</w:t>
      </w:r>
      <w:proofErr w:type="spellEnd"/>
      <w:r>
        <w:rPr>
          <w:sz w:val="22"/>
          <w:szCs w:val="22"/>
        </w:rPr>
        <w:t xml:space="preserve">' </w:t>
      </w:r>
      <w:proofErr w:type="spellStart"/>
      <w:r>
        <w:rPr>
          <w:sz w:val="22"/>
          <w:szCs w:val="22"/>
        </w:rPr>
        <w:t>worth</w:t>
      </w:r>
      <w:proofErr w:type="spellEnd"/>
      <w:r>
        <w:rPr>
          <w:sz w:val="22"/>
          <w:szCs w:val="22"/>
        </w:rPr>
        <w:t xml:space="preserve"> </w:t>
      </w:r>
      <w:proofErr w:type="spellStart"/>
      <w:r>
        <w:rPr>
          <w:sz w:val="22"/>
          <w:szCs w:val="22"/>
        </w:rPr>
        <w:t>of</w:t>
      </w:r>
      <w:proofErr w:type="spellEnd"/>
      <w:r>
        <w:rPr>
          <w:sz w:val="22"/>
          <w:szCs w:val="22"/>
        </w:rPr>
        <w:t xml:space="preserve"> data.</w:t>
      </w:r>
    </w:p>
    <w:p w14:paraId="6AAF0E1C" w14:textId="77777777" w:rsidR="00E255F4" w:rsidRDefault="00E255F4">
      <w:pPr>
        <w:tabs>
          <w:tab w:val="left" w:pos="851"/>
        </w:tabs>
        <w:jc w:val="both"/>
        <w:rPr>
          <w:sz w:val="22"/>
          <w:szCs w:val="22"/>
        </w:rPr>
      </w:pPr>
    </w:p>
    <w:p w14:paraId="58BD4886" w14:textId="77777777" w:rsidR="00E255F4" w:rsidRDefault="00000000">
      <w:pPr>
        <w:tabs>
          <w:tab w:val="left" w:pos="851"/>
        </w:tabs>
        <w:jc w:val="both"/>
        <w:rPr>
          <w:sz w:val="22"/>
          <w:szCs w:val="22"/>
        </w:rPr>
      </w:pPr>
      <w:r>
        <w:rPr>
          <w:sz w:val="22"/>
          <w:szCs w:val="22"/>
        </w:rPr>
        <w:t xml:space="preserve">The </w:t>
      </w:r>
      <w:proofErr w:type="spellStart"/>
      <w:r>
        <w:rPr>
          <w:sz w:val="22"/>
          <w:szCs w:val="22"/>
        </w:rPr>
        <w:t>telemetry</w:t>
      </w:r>
      <w:proofErr w:type="spellEnd"/>
      <w:r>
        <w:rPr>
          <w:sz w:val="22"/>
          <w:szCs w:val="22"/>
        </w:rPr>
        <w:t xml:space="preserve"> </w:t>
      </w:r>
      <w:proofErr w:type="spellStart"/>
      <w:r>
        <w:rPr>
          <w:sz w:val="22"/>
          <w:szCs w:val="22"/>
        </w:rPr>
        <w:t>device</w:t>
      </w:r>
      <w:proofErr w:type="spellEnd"/>
      <w:r>
        <w:rPr>
          <w:sz w:val="22"/>
          <w:szCs w:val="22"/>
        </w:rPr>
        <w:t xml:space="preserve"> </w:t>
      </w:r>
      <w:proofErr w:type="spellStart"/>
      <w:r>
        <w:rPr>
          <w:sz w:val="22"/>
          <w:szCs w:val="22"/>
        </w:rPr>
        <w:t>must</w:t>
      </w:r>
      <w:proofErr w:type="spellEnd"/>
      <w:r>
        <w:rPr>
          <w:sz w:val="22"/>
          <w:szCs w:val="22"/>
        </w:rPr>
        <w:t xml:space="preserve"> </w:t>
      </w:r>
      <w:proofErr w:type="spellStart"/>
      <w:r>
        <w:rPr>
          <w:sz w:val="22"/>
          <w:szCs w:val="22"/>
        </w:rPr>
        <w:t>have</w:t>
      </w:r>
      <w:proofErr w:type="spellEnd"/>
      <w:r>
        <w:rPr>
          <w:sz w:val="22"/>
          <w:szCs w:val="22"/>
        </w:rPr>
        <w:t xml:space="preserve"> </w:t>
      </w:r>
      <w:proofErr w:type="spellStart"/>
      <w:r>
        <w:rPr>
          <w:sz w:val="22"/>
          <w:szCs w:val="22"/>
        </w:rPr>
        <w:t>an</w:t>
      </w:r>
      <w:proofErr w:type="spellEnd"/>
      <w:r>
        <w:rPr>
          <w:sz w:val="22"/>
          <w:szCs w:val="22"/>
        </w:rPr>
        <w:t xml:space="preserve"> </w:t>
      </w:r>
      <w:proofErr w:type="spellStart"/>
      <w:r>
        <w:rPr>
          <w:sz w:val="22"/>
          <w:szCs w:val="22"/>
        </w:rPr>
        <w:t>internal</w:t>
      </w:r>
      <w:proofErr w:type="spellEnd"/>
      <w:r>
        <w:rPr>
          <w:sz w:val="22"/>
          <w:szCs w:val="22"/>
        </w:rPr>
        <w:t xml:space="preserve"> </w:t>
      </w:r>
      <w:proofErr w:type="spellStart"/>
      <w:r>
        <w:rPr>
          <w:sz w:val="22"/>
          <w:szCs w:val="22"/>
        </w:rPr>
        <w:t>clock</w:t>
      </w:r>
      <w:proofErr w:type="spellEnd"/>
      <w:r>
        <w:rPr>
          <w:sz w:val="22"/>
          <w:szCs w:val="22"/>
        </w:rPr>
        <w:t xml:space="preserve"> </w:t>
      </w:r>
      <w:proofErr w:type="spellStart"/>
      <w:r>
        <w:rPr>
          <w:sz w:val="22"/>
          <w:szCs w:val="22"/>
        </w:rPr>
        <w:t>synchronized</w:t>
      </w:r>
      <w:proofErr w:type="spellEnd"/>
      <w:r>
        <w:rPr>
          <w:sz w:val="22"/>
          <w:szCs w:val="22"/>
        </w:rPr>
        <w:t xml:space="preserve"> </w:t>
      </w:r>
      <w:proofErr w:type="spellStart"/>
      <w:r>
        <w:rPr>
          <w:sz w:val="22"/>
          <w:szCs w:val="22"/>
        </w:rPr>
        <w:t>with</w:t>
      </w:r>
      <w:proofErr w:type="spellEnd"/>
      <w:r>
        <w:rPr>
          <w:sz w:val="22"/>
          <w:szCs w:val="22"/>
        </w:rPr>
        <w:t xml:space="preserve"> </w:t>
      </w:r>
      <w:proofErr w:type="spellStart"/>
      <w:proofErr w:type="gramStart"/>
      <w:r>
        <w:rPr>
          <w:sz w:val="22"/>
          <w:szCs w:val="22"/>
        </w:rPr>
        <w:t>an</w:t>
      </w:r>
      <w:proofErr w:type="spellEnd"/>
      <w:r>
        <w:rPr>
          <w:sz w:val="22"/>
          <w:szCs w:val="22"/>
        </w:rPr>
        <w:t xml:space="preserve"> NTP</w:t>
      </w:r>
      <w:proofErr w:type="gramEnd"/>
      <w:r>
        <w:rPr>
          <w:sz w:val="22"/>
          <w:szCs w:val="22"/>
        </w:rPr>
        <w:t xml:space="preserve"> Server, </w:t>
      </w:r>
      <w:proofErr w:type="spellStart"/>
      <w:r>
        <w:rPr>
          <w:sz w:val="22"/>
          <w:szCs w:val="22"/>
        </w:rPr>
        <w:t>which</w:t>
      </w:r>
      <w:proofErr w:type="spellEnd"/>
      <w:r>
        <w:rPr>
          <w:sz w:val="22"/>
          <w:szCs w:val="22"/>
        </w:rPr>
        <w:t xml:space="preserve"> </w:t>
      </w:r>
      <w:proofErr w:type="spellStart"/>
      <w:r>
        <w:rPr>
          <w:sz w:val="22"/>
          <w:szCs w:val="22"/>
        </w:rPr>
        <w:t>will</w:t>
      </w:r>
      <w:proofErr w:type="spellEnd"/>
      <w:r>
        <w:rPr>
          <w:sz w:val="22"/>
          <w:szCs w:val="22"/>
        </w:rPr>
        <w:t xml:space="preserve"> be </w:t>
      </w:r>
      <w:proofErr w:type="spellStart"/>
      <w:r>
        <w:rPr>
          <w:sz w:val="22"/>
          <w:szCs w:val="22"/>
        </w:rPr>
        <w:t>part</w:t>
      </w:r>
      <w:proofErr w:type="spellEnd"/>
      <w:r>
        <w:rPr>
          <w:sz w:val="22"/>
          <w:szCs w:val="22"/>
        </w:rPr>
        <w:t xml:space="preserve"> </w:t>
      </w:r>
      <w:proofErr w:type="spellStart"/>
      <w:r>
        <w:rPr>
          <w:sz w:val="22"/>
          <w:szCs w:val="22"/>
        </w:rPr>
        <w:t>of</w:t>
      </w:r>
      <w:proofErr w:type="spellEnd"/>
      <w:r>
        <w:rPr>
          <w:sz w:val="22"/>
          <w:szCs w:val="22"/>
        </w:rPr>
        <w:t xml:space="preserve"> </w:t>
      </w:r>
      <w:proofErr w:type="spellStart"/>
      <w:r>
        <w:rPr>
          <w:sz w:val="22"/>
          <w:szCs w:val="22"/>
        </w:rPr>
        <w:t>the</w:t>
      </w:r>
      <w:proofErr w:type="spellEnd"/>
      <w:r>
        <w:rPr>
          <w:sz w:val="22"/>
          <w:szCs w:val="22"/>
        </w:rPr>
        <w:t xml:space="preserve"> Management </w:t>
      </w:r>
      <w:proofErr w:type="spellStart"/>
      <w:r>
        <w:rPr>
          <w:sz w:val="22"/>
          <w:szCs w:val="22"/>
        </w:rPr>
        <w:t>System</w:t>
      </w:r>
      <w:proofErr w:type="spellEnd"/>
      <w:r>
        <w:rPr>
          <w:sz w:val="22"/>
          <w:szCs w:val="22"/>
        </w:rPr>
        <w:t>.</w:t>
      </w:r>
    </w:p>
    <w:p w14:paraId="70941C49" w14:textId="77777777" w:rsidR="00E255F4" w:rsidRDefault="00E255F4">
      <w:pPr>
        <w:tabs>
          <w:tab w:val="left" w:pos="851"/>
        </w:tabs>
        <w:jc w:val="both"/>
        <w:rPr>
          <w:sz w:val="22"/>
          <w:szCs w:val="22"/>
        </w:rPr>
      </w:pPr>
    </w:p>
    <w:p w14:paraId="7D0E1407" w14:textId="77777777" w:rsidR="00E255F4" w:rsidRDefault="00000000">
      <w:pPr>
        <w:tabs>
          <w:tab w:val="left" w:pos="851"/>
        </w:tabs>
        <w:jc w:val="both"/>
        <w:rPr>
          <w:sz w:val="22"/>
          <w:szCs w:val="22"/>
        </w:rPr>
      </w:pPr>
      <w:r>
        <w:rPr>
          <w:sz w:val="22"/>
          <w:szCs w:val="22"/>
        </w:rPr>
        <w:t xml:space="preserve">The Management </w:t>
      </w:r>
      <w:proofErr w:type="spellStart"/>
      <w:r>
        <w:rPr>
          <w:sz w:val="22"/>
          <w:szCs w:val="22"/>
        </w:rPr>
        <w:t>System</w:t>
      </w:r>
      <w:proofErr w:type="spellEnd"/>
      <w:r>
        <w:rPr>
          <w:sz w:val="22"/>
          <w:szCs w:val="22"/>
        </w:rPr>
        <w:t xml:space="preserve"> </w:t>
      </w:r>
      <w:proofErr w:type="spellStart"/>
      <w:r>
        <w:rPr>
          <w:sz w:val="22"/>
          <w:szCs w:val="22"/>
        </w:rPr>
        <w:t>will</w:t>
      </w:r>
      <w:proofErr w:type="spellEnd"/>
      <w:r>
        <w:rPr>
          <w:sz w:val="22"/>
          <w:szCs w:val="22"/>
        </w:rPr>
        <w:t xml:space="preserve"> </w:t>
      </w:r>
      <w:proofErr w:type="spellStart"/>
      <w:r>
        <w:rPr>
          <w:sz w:val="22"/>
          <w:szCs w:val="22"/>
        </w:rPr>
        <w:t>report</w:t>
      </w:r>
      <w:proofErr w:type="spellEnd"/>
      <w:r>
        <w:rPr>
          <w:sz w:val="22"/>
          <w:szCs w:val="22"/>
        </w:rPr>
        <w:t xml:space="preserve"> </w:t>
      </w:r>
      <w:proofErr w:type="spellStart"/>
      <w:r>
        <w:rPr>
          <w:sz w:val="22"/>
          <w:szCs w:val="22"/>
        </w:rPr>
        <w:t>that</w:t>
      </w:r>
      <w:proofErr w:type="spellEnd"/>
      <w:r>
        <w:rPr>
          <w:sz w:val="22"/>
          <w:szCs w:val="22"/>
        </w:rPr>
        <w:t xml:space="preserve"> a meter </w:t>
      </w:r>
      <w:proofErr w:type="spellStart"/>
      <w:r>
        <w:rPr>
          <w:sz w:val="22"/>
          <w:szCs w:val="22"/>
        </w:rPr>
        <w:t>could</w:t>
      </w:r>
      <w:proofErr w:type="spellEnd"/>
      <w:r>
        <w:rPr>
          <w:sz w:val="22"/>
          <w:szCs w:val="22"/>
        </w:rPr>
        <w:t xml:space="preserve"> </w:t>
      </w:r>
      <w:proofErr w:type="spellStart"/>
      <w:r>
        <w:rPr>
          <w:sz w:val="22"/>
          <w:szCs w:val="22"/>
        </w:rPr>
        <w:t>not</w:t>
      </w:r>
      <w:proofErr w:type="spellEnd"/>
      <w:r>
        <w:rPr>
          <w:sz w:val="22"/>
          <w:szCs w:val="22"/>
        </w:rPr>
        <w:t xml:space="preserve"> be </w:t>
      </w:r>
      <w:proofErr w:type="spellStart"/>
      <w:r>
        <w:rPr>
          <w:sz w:val="22"/>
          <w:szCs w:val="22"/>
        </w:rPr>
        <w:t>connected</w:t>
      </w:r>
      <w:proofErr w:type="spellEnd"/>
      <w:r>
        <w:rPr>
          <w:sz w:val="22"/>
          <w:szCs w:val="22"/>
        </w:rPr>
        <w:t xml:space="preserve"> after 24/48 </w:t>
      </w:r>
      <w:proofErr w:type="spellStart"/>
      <w:r>
        <w:rPr>
          <w:sz w:val="22"/>
          <w:szCs w:val="22"/>
        </w:rPr>
        <w:t>hours</w:t>
      </w:r>
      <w:proofErr w:type="spellEnd"/>
      <w:r>
        <w:rPr>
          <w:sz w:val="22"/>
          <w:szCs w:val="22"/>
        </w:rPr>
        <w:t xml:space="preserve"> </w:t>
      </w:r>
      <w:proofErr w:type="spellStart"/>
      <w:r>
        <w:rPr>
          <w:sz w:val="22"/>
          <w:szCs w:val="22"/>
        </w:rPr>
        <w:t>from</w:t>
      </w:r>
      <w:proofErr w:type="spellEnd"/>
      <w:r>
        <w:rPr>
          <w:sz w:val="22"/>
          <w:szCs w:val="22"/>
        </w:rPr>
        <w:t xml:space="preserve"> </w:t>
      </w:r>
      <w:proofErr w:type="spellStart"/>
      <w:r>
        <w:rPr>
          <w:sz w:val="22"/>
          <w:szCs w:val="22"/>
        </w:rPr>
        <w:t>its</w:t>
      </w:r>
      <w:proofErr w:type="spellEnd"/>
      <w:r>
        <w:rPr>
          <w:sz w:val="22"/>
          <w:szCs w:val="22"/>
        </w:rPr>
        <w:t xml:space="preserve"> </w:t>
      </w:r>
      <w:proofErr w:type="spellStart"/>
      <w:r>
        <w:rPr>
          <w:sz w:val="22"/>
          <w:szCs w:val="22"/>
        </w:rPr>
        <w:t>last</w:t>
      </w:r>
      <w:proofErr w:type="spellEnd"/>
      <w:r>
        <w:rPr>
          <w:sz w:val="22"/>
          <w:szCs w:val="22"/>
        </w:rPr>
        <w:t xml:space="preserve"> </w:t>
      </w:r>
      <w:proofErr w:type="spellStart"/>
      <w:r>
        <w:rPr>
          <w:sz w:val="22"/>
          <w:szCs w:val="22"/>
        </w:rPr>
        <w:t>connection</w:t>
      </w:r>
      <w:proofErr w:type="spellEnd"/>
      <w:r>
        <w:rPr>
          <w:sz w:val="22"/>
          <w:szCs w:val="22"/>
        </w:rPr>
        <w:t>.</w:t>
      </w:r>
    </w:p>
    <w:p w14:paraId="202345F5" w14:textId="77777777" w:rsidR="00E255F4" w:rsidRDefault="00E255F4">
      <w:pPr>
        <w:tabs>
          <w:tab w:val="left" w:pos="851"/>
        </w:tabs>
        <w:jc w:val="both"/>
        <w:rPr>
          <w:sz w:val="22"/>
          <w:szCs w:val="22"/>
        </w:rPr>
      </w:pPr>
    </w:p>
    <w:p w14:paraId="043F93C3" w14:textId="77777777" w:rsidR="00E255F4" w:rsidRDefault="00000000">
      <w:pPr>
        <w:tabs>
          <w:tab w:val="left" w:pos="851"/>
        </w:tabs>
        <w:jc w:val="both"/>
        <w:rPr>
          <w:sz w:val="22"/>
          <w:szCs w:val="22"/>
        </w:rPr>
      </w:pPr>
      <w:r>
        <w:rPr>
          <w:sz w:val="22"/>
          <w:szCs w:val="22"/>
        </w:rPr>
        <w:t xml:space="preserve">The </w:t>
      </w:r>
      <w:proofErr w:type="spellStart"/>
      <w:r>
        <w:rPr>
          <w:sz w:val="22"/>
          <w:szCs w:val="22"/>
        </w:rPr>
        <w:t>support</w:t>
      </w:r>
      <w:proofErr w:type="spellEnd"/>
      <w:r>
        <w:rPr>
          <w:sz w:val="22"/>
          <w:szCs w:val="22"/>
        </w:rPr>
        <w:t xml:space="preserve"> and </w:t>
      </w:r>
      <w:proofErr w:type="spellStart"/>
      <w:r>
        <w:rPr>
          <w:sz w:val="22"/>
          <w:szCs w:val="22"/>
        </w:rPr>
        <w:t>maintenance</w:t>
      </w:r>
      <w:proofErr w:type="spellEnd"/>
      <w:r>
        <w:rPr>
          <w:sz w:val="22"/>
          <w:szCs w:val="22"/>
        </w:rPr>
        <w:t xml:space="preserve"> </w:t>
      </w:r>
      <w:proofErr w:type="spellStart"/>
      <w:r>
        <w:rPr>
          <w:sz w:val="22"/>
          <w:szCs w:val="22"/>
        </w:rPr>
        <w:t>of</w:t>
      </w:r>
      <w:proofErr w:type="spellEnd"/>
      <w:r>
        <w:rPr>
          <w:sz w:val="22"/>
          <w:szCs w:val="22"/>
        </w:rPr>
        <w:t xml:space="preserve"> </w:t>
      </w:r>
      <w:proofErr w:type="spellStart"/>
      <w:r>
        <w:rPr>
          <w:sz w:val="22"/>
          <w:szCs w:val="22"/>
        </w:rPr>
        <w:t>all</w:t>
      </w:r>
      <w:proofErr w:type="spellEnd"/>
      <w:r>
        <w:rPr>
          <w:sz w:val="22"/>
          <w:szCs w:val="22"/>
        </w:rPr>
        <w:t xml:space="preserve"> </w:t>
      </w:r>
      <w:proofErr w:type="spellStart"/>
      <w:r>
        <w:rPr>
          <w:sz w:val="22"/>
          <w:szCs w:val="22"/>
        </w:rPr>
        <w:t>components</w:t>
      </w:r>
      <w:proofErr w:type="spellEnd"/>
      <w:r>
        <w:rPr>
          <w:sz w:val="22"/>
          <w:szCs w:val="22"/>
        </w:rPr>
        <w:t xml:space="preserve"> </w:t>
      </w:r>
      <w:proofErr w:type="spellStart"/>
      <w:r>
        <w:rPr>
          <w:sz w:val="22"/>
          <w:szCs w:val="22"/>
        </w:rPr>
        <w:t>of</w:t>
      </w:r>
      <w:proofErr w:type="spellEnd"/>
      <w:r>
        <w:rPr>
          <w:sz w:val="22"/>
          <w:szCs w:val="22"/>
        </w:rPr>
        <w:t xml:space="preserve"> </w:t>
      </w:r>
      <w:proofErr w:type="spellStart"/>
      <w:r>
        <w:rPr>
          <w:sz w:val="22"/>
          <w:szCs w:val="22"/>
        </w:rPr>
        <w:t>the</w:t>
      </w:r>
      <w:proofErr w:type="spellEnd"/>
      <w:r>
        <w:rPr>
          <w:sz w:val="22"/>
          <w:szCs w:val="22"/>
        </w:rPr>
        <w:t xml:space="preserve"> </w:t>
      </w:r>
      <w:proofErr w:type="spellStart"/>
      <w:r>
        <w:rPr>
          <w:sz w:val="22"/>
          <w:szCs w:val="22"/>
        </w:rPr>
        <w:t>Telemetry</w:t>
      </w:r>
      <w:proofErr w:type="spellEnd"/>
      <w:r>
        <w:rPr>
          <w:sz w:val="22"/>
          <w:szCs w:val="22"/>
        </w:rPr>
        <w:t xml:space="preserve"> Service </w:t>
      </w:r>
      <w:proofErr w:type="spellStart"/>
      <w:r>
        <w:rPr>
          <w:sz w:val="22"/>
          <w:szCs w:val="22"/>
        </w:rPr>
        <w:t>provided</w:t>
      </w:r>
      <w:proofErr w:type="spellEnd"/>
      <w:r>
        <w:rPr>
          <w:sz w:val="22"/>
          <w:szCs w:val="22"/>
        </w:rPr>
        <w:t xml:space="preserve"> </w:t>
      </w:r>
      <w:proofErr w:type="spellStart"/>
      <w:r>
        <w:rPr>
          <w:sz w:val="22"/>
          <w:szCs w:val="22"/>
        </w:rPr>
        <w:t>by</w:t>
      </w:r>
      <w:proofErr w:type="spellEnd"/>
      <w:r>
        <w:rPr>
          <w:sz w:val="22"/>
          <w:szCs w:val="22"/>
        </w:rPr>
        <w:t xml:space="preserve"> </w:t>
      </w:r>
      <w:proofErr w:type="spellStart"/>
      <w:r>
        <w:rPr>
          <w:sz w:val="22"/>
          <w:szCs w:val="22"/>
        </w:rPr>
        <w:t>the</w:t>
      </w:r>
      <w:proofErr w:type="spellEnd"/>
      <w:r>
        <w:rPr>
          <w:sz w:val="22"/>
          <w:szCs w:val="22"/>
        </w:rPr>
        <w:t xml:space="preserve"> </w:t>
      </w:r>
      <w:proofErr w:type="spellStart"/>
      <w:r>
        <w:rPr>
          <w:sz w:val="22"/>
          <w:szCs w:val="22"/>
        </w:rPr>
        <w:t>successful</w:t>
      </w:r>
      <w:proofErr w:type="spellEnd"/>
      <w:r>
        <w:rPr>
          <w:sz w:val="22"/>
          <w:szCs w:val="22"/>
        </w:rPr>
        <w:t xml:space="preserve"> </w:t>
      </w:r>
      <w:proofErr w:type="spellStart"/>
      <w:r>
        <w:rPr>
          <w:sz w:val="22"/>
          <w:szCs w:val="22"/>
        </w:rPr>
        <w:t>bidder</w:t>
      </w:r>
      <w:proofErr w:type="spellEnd"/>
      <w:r>
        <w:rPr>
          <w:sz w:val="22"/>
          <w:szCs w:val="22"/>
        </w:rPr>
        <w:t xml:space="preserve"> </w:t>
      </w:r>
      <w:proofErr w:type="spellStart"/>
      <w:r>
        <w:rPr>
          <w:sz w:val="22"/>
          <w:szCs w:val="22"/>
        </w:rPr>
        <w:t>will</w:t>
      </w:r>
      <w:proofErr w:type="spellEnd"/>
      <w:r>
        <w:rPr>
          <w:sz w:val="22"/>
          <w:szCs w:val="22"/>
        </w:rPr>
        <w:t xml:space="preserve"> be </w:t>
      </w:r>
      <w:proofErr w:type="spellStart"/>
      <w:r>
        <w:rPr>
          <w:sz w:val="22"/>
          <w:szCs w:val="22"/>
        </w:rPr>
        <w:t>included</w:t>
      </w:r>
      <w:proofErr w:type="spellEnd"/>
      <w:r>
        <w:rPr>
          <w:sz w:val="22"/>
          <w:szCs w:val="22"/>
        </w:rPr>
        <w:t xml:space="preserve"> </w:t>
      </w:r>
      <w:proofErr w:type="spellStart"/>
      <w:r>
        <w:rPr>
          <w:sz w:val="22"/>
          <w:szCs w:val="22"/>
        </w:rPr>
        <w:t>within</w:t>
      </w:r>
      <w:proofErr w:type="spellEnd"/>
      <w:r>
        <w:rPr>
          <w:sz w:val="22"/>
          <w:szCs w:val="22"/>
        </w:rPr>
        <w:t xml:space="preserve"> </w:t>
      </w:r>
      <w:proofErr w:type="spellStart"/>
      <w:r>
        <w:rPr>
          <w:sz w:val="22"/>
          <w:szCs w:val="22"/>
        </w:rPr>
        <w:t>the</w:t>
      </w:r>
      <w:proofErr w:type="spellEnd"/>
      <w:r>
        <w:rPr>
          <w:sz w:val="22"/>
          <w:szCs w:val="22"/>
        </w:rPr>
        <w:t xml:space="preserve"> </w:t>
      </w:r>
      <w:proofErr w:type="spellStart"/>
      <w:r>
        <w:rPr>
          <w:sz w:val="22"/>
          <w:szCs w:val="22"/>
        </w:rPr>
        <w:t>proposal</w:t>
      </w:r>
      <w:proofErr w:type="spellEnd"/>
      <w:r>
        <w:rPr>
          <w:sz w:val="22"/>
          <w:szCs w:val="22"/>
        </w:rPr>
        <w:t>.</w:t>
      </w:r>
    </w:p>
    <w:p w14:paraId="16144575" w14:textId="77777777" w:rsidR="00E255F4" w:rsidRDefault="00E255F4">
      <w:pPr>
        <w:tabs>
          <w:tab w:val="left" w:pos="851"/>
        </w:tabs>
        <w:jc w:val="both"/>
        <w:rPr>
          <w:sz w:val="22"/>
          <w:szCs w:val="22"/>
        </w:rPr>
      </w:pPr>
    </w:p>
    <w:p w14:paraId="22B95406" w14:textId="77777777" w:rsidR="00E255F4" w:rsidRDefault="00000000">
      <w:pPr>
        <w:tabs>
          <w:tab w:val="left" w:pos="851"/>
        </w:tabs>
        <w:jc w:val="both"/>
        <w:rPr>
          <w:sz w:val="22"/>
          <w:szCs w:val="22"/>
        </w:rPr>
      </w:pPr>
      <w:r>
        <w:rPr>
          <w:sz w:val="22"/>
          <w:szCs w:val="22"/>
        </w:rPr>
        <w:t xml:space="preserve">4.6 </w:t>
      </w:r>
      <w:proofErr w:type="spellStart"/>
      <w:r>
        <w:rPr>
          <w:sz w:val="22"/>
          <w:szCs w:val="22"/>
        </w:rPr>
        <w:t>Cybersecurity</w:t>
      </w:r>
      <w:proofErr w:type="spellEnd"/>
      <w:r>
        <w:rPr>
          <w:sz w:val="22"/>
          <w:szCs w:val="22"/>
        </w:rPr>
        <w:tab/>
      </w:r>
    </w:p>
    <w:p w14:paraId="3AD93EB3" w14:textId="77777777" w:rsidR="00E255F4" w:rsidRDefault="00E255F4">
      <w:pPr>
        <w:tabs>
          <w:tab w:val="left" w:pos="851"/>
        </w:tabs>
        <w:jc w:val="both"/>
        <w:rPr>
          <w:sz w:val="22"/>
          <w:szCs w:val="22"/>
        </w:rPr>
      </w:pPr>
    </w:p>
    <w:p w14:paraId="3B472EAC" w14:textId="77777777" w:rsidR="00E255F4" w:rsidRDefault="00000000">
      <w:pPr>
        <w:spacing w:after="160" w:line="256" w:lineRule="auto"/>
        <w:rPr>
          <w:sz w:val="22"/>
          <w:szCs w:val="22"/>
        </w:rPr>
      </w:pPr>
      <w:r>
        <w:rPr>
          <w:sz w:val="22"/>
          <w:szCs w:val="22"/>
        </w:rPr>
        <w:t xml:space="preserve">The </w:t>
      </w:r>
      <w:proofErr w:type="spellStart"/>
      <w:r>
        <w:rPr>
          <w:sz w:val="22"/>
          <w:szCs w:val="22"/>
        </w:rPr>
        <w:t>solution</w:t>
      </w:r>
      <w:proofErr w:type="spellEnd"/>
      <w:r>
        <w:rPr>
          <w:sz w:val="22"/>
          <w:szCs w:val="22"/>
        </w:rPr>
        <w:t xml:space="preserve"> </w:t>
      </w:r>
      <w:proofErr w:type="spellStart"/>
      <w:r>
        <w:rPr>
          <w:sz w:val="22"/>
          <w:szCs w:val="22"/>
        </w:rPr>
        <w:t>must</w:t>
      </w:r>
      <w:proofErr w:type="spellEnd"/>
      <w:r>
        <w:rPr>
          <w:sz w:val="22"/>
          <w:szCs w:val="22"/>
        </w:rPr>
        <w:t xml:space="preserve"> </w:t>
      </w:r>
      <w:proofErr w:type="spellStart"/>
      <w:r>
        <w:rPr>
          <w:sz w:val="22"/>
          <w:szCs w:val="22"/>
        </w:rPr>
        <w:t>include</w:t>
      </w:r>
      <w:proofErr w:type="spellEnd"/>
      <w:r>
        <w:rPr>
          <w:sz w:val="22"/>
          <w:szCs w:val="22"/>
        </w:rPr>
        <w:t xml:space="preserve">, at a </w:t>
      </w:r>
      <w:proofErr w:type="spellStart"/>
      <w:r>
        <w:rPr>
          <w:sz w:val="22"/>
          <w:szCs w:val="22"/>
        </w:rPr>
        <w:t>minimum</w:t>
      </w:r>
      <w:proofErr w:type="spellEnd"/>
      <w:r>
        <w:rPr>
          <w:sz w:val="22"/>
          <w:szCs w:val="22"/>
        </w:rPr>
        <w:t xml:space="preserve">: </w:t>
      </w:r>
      <w:proofErr w:type="spellStart"/>
      <w:r>
        <w:rPr>
          <w:sz w:val="22"/>
          <w:szCs w:val="22"/>
        </w:rPr>
        <w:t>communications</w:t>
      </w:r>
      <w:proofErr w:type="spellEnd"/>
      <w:r>
        <w:rPr>
          <w:sz w:val="22"/>
          <w:szCs w:val="22"/>
        </w:rPr>
        <w:t xml:space="preserve"> </w:t>
      </w:r>
      <w:proofErr w:type="spellStart"/>
      <w:r>
        <w:rPr>
          <w:sz w:val="22"/>
          <w:szCs w:val="22"/>
        </w:rPr>
        <w:t>security</w:t>
      </w:r>
      <w:proofErr w:type="spellEnd"/>
      <w:r>
        <w:rPr>
          <w:sz w:val="22"/>
          <w:szCs w:val="22"/>
        </w:rPr>
        <w:t xml:space="preserve">; </w:t>
      </w:r>
      <w:proofErr w:type="spellStart"/>
      <w:r>
        <w:rPr>
          <w:sz w:val="22"/>
          <w:szCs w:val="22"/>
        </w:rPr>
        <w:t>authentication</w:t>
      </w:r>
      <w:proofErr w:type="spellEnd"/>
      <w:r>
        <w:rPr>
          <w:sz w:val="22"/>
          <w:szCs w:val="22"/>
        </w:rPr>
        <w:t xml:space="preserve"> and </w:t>
      </w:r>
      <w:proofErr w:type="spellStart"/>
      <w:r>
        <w:rPr>
          <w:sz w:val="22"/>
          <w:szCs w:val="22"/>
        </w:rPr>
        <w:t>access</w:t>
      </w:r>
      <w:proofErr w:type="spellEnd"/>
      <w:r>
        <w:rPr>
          <w:sz w:val="22"/>
          <w:szCs w:val="22"/>
        </w:rPr>
        <w:t xml:space="preserve"> control; </w:t>
      </w:r>
      <w:proofErr w:type="spellStart"/>
      <w:r>
        <w:rPr>
          <w:sz w:val="22"/>
          <w:szCs w:val="22"/>
        </w:rPr>
        <w:t>secure</w:t>
      </w:r>
      <w:proofErr w:type="spellEnd"/>
      <w:r>
        <w:rPr>
          <w:sz w:val="22"/>
          <w:szCs w:val="22"/>
        </w:rPr>
        <w:t xml:space="preserve"> </w:t>
      </w:r>
      <w:proofErr w:type="spellStart"/>
      <w:r>
        <w:rPr>
          <w:sz w:val="22"/>
          <w:szCs w:val="22"/>
        </w:rPr>
        <w:t>device</w:t>
      </w:r>
      <w:proofErr w:type="spellEnd"/>
      <w:r>
        <w:rPr>
          <w:sz w:val="22"/>
          <w:szCs w:val="22"/>
        </w:rPr>
        <w:t xml:space="preserve"> </w:t>
      </w:r>
      <w:proofErr w:type="spellStart"/>
      <w:r>
        <w:rPr>
          <w:sz w:val="22"/>
          <w:szCs w:val="22"/>
        </w:rPr>
        <w:t>configuration</w:t>
      </w:r>
      <w:proofErr w:type="spellEnd"/>
      <w:r>
        <w:rPr>
          <w:sz w:val="22"/>
          <w:szCs w:val="22"/>
        </w:rPr>
        <w:t xml:space="preserve">; </w:t>
      </w:r>
      <w:proofErr w:type="spellStart"/>
      <w:r>
        <w:rPr>
          <w:sz w:val="22"/>
          <w:szCs w:val="22"/>
        </w:rPr>
        <w:t>secure</w:t>
      </w:r>
      <w:proofErr w:type="spellEnd"/>
      <w:r>
        <w:rPr>
          <w:sz w:val="22"/>
          <w:szCs w:val="22"/>
        </w:rPr>
        <w:t xml:space="preserve"> firmware </w:t>
      </w:r>
      <w:proofErr w:type="spellStart"/>
      <w:r>
        <w:rPr>
          <w:sz w:val="22"/>
          <w:szCs w:val="22"/>
        </w:rPr>
        <w:t>updates</w:t>
      </w:r>
      <w:proofErr w:type="spellEnd"/>
      <w:r>
        <w:rPr>
          <w:sz w:val="22"/>
          <w:szCs w:val="22"/>
        </w:rPr>
        <w:t xml:space="preserve">; </w:t>
      </w:r>
      <w:proofErr w:type="spellStart"/>
      <w:r>
        <w:rPr>
          <w:sz w:val="22"/>
          <w:szCs w:val="22"/>
        </w:rPr>
        <w:t>vulnerability</w:t>
      </w:r>
      <w:proofErr w:type="spellEnd"/>
      <w:r>
        <w:rPr>
          <w:sz w:val="22"/>
          <w:szCs w:val="22"/>
        </w:rPr>
        <w:t xml:space="preserve"> </w:t>
      </w:r>
      <w:proofErr w:type="spellStart"/>
      <w:r>
        <w:rPr>
          <w:sz w:val="22"/>
          <w:szCs w:val="22"/>
        </w:rPr>
        <w:t>management</w:t>
      </w:r>
      <w:proofErr w:type="spellEnd"/>
      <w:r>
        <w:rPr>
          <w:sz w:val="22"/>
          <w:szCs w:val="22"/>
        </w:rPr>
        <w:t xml:space="preserve">; and </w:t>
      </w:r>
      <w:proofErr w:type="spellStart"/>
      <w:r>
        <w:rPr>
          <w:sz w:val="22"/>
          <w:szCs w:val="22"/>
        </w:rPr>
        <w:t>event</w:t>
      </w:r>
      <w:proofErr w:type="spellEnd"/>
      <w:r>
        <w:rPr>
          <w:sz w:val="22"/>
          <w:szCs w:val="22"/>
        </w:rPr>
        <w:t xml:space="preserve"> </w:t>
      </w:r>
      <w:proofErr w:type="spellStart"/>
      <w:r>
        <w:rPr>
          <w:sz w:val="22"/>
          <w:szCs w:val="22"/>
        </w:rPr>
        <w:t>logging</w:t>
      </w:r>
      <w:proofErr w:type="spellEnd"/>
      <w:r>
        <w:rPr>
          <w:sz w:val="22"/>
          <w:szCs w:val="22"/>
        </w:rPr>
        <w:t xml:space="preserve">. The </w:t>
      </w:r>
      <w:proofErr w:type="spellStart"/>
      <w:r>
        <w:rPr>
          <w:sz w:val="22"/>
          <w:szCs w:val="22"/>
        </w:rPr>
        <w:t>bidder</w:t>
      </w:r>
      <w:proofErr w:type="spellEnd"/>
      <w:r>
        <w:rPr>
          <w:sz w:val="22"/>
          <w:szCs w:val="22"/>
        </w:rPr>
        <w:t xml:space="preserve"> </w:t>
      </w:r>
      <w:proofErr w:type="spellStart"/>
      <w:r>
        <w:rPr>
          <w:sz w:val="22"/>
          <w:szCs w:val="22"/>
        </w:rPr>
        <w:t>will</w:t>
      </w:r>
      <w:proofErr w:type="spellEnd"/>
      <w:r>
        <w:rPr>
          <w:sz w:val="22"/>
          <w:szCs w:val="22"/>
        </w:rPr>
        <w:t xml:space="preserve"> describe in </w:t>
      </w:r>
      <w:proofErr w:type="spellStart"/>
      <w:r>
        <w:rPr>
          <w:sz w:val="22"/>
          <w:szCs w:val="22"/>
        </w:rPr>
        <w:t>their</w:t>
      </w:r>
      <w:proofErr w:type="spellEnd"/>
      <w:r>
        <w:rPr>
          <w:sz w:val="22"/>
          <w:szCs w:val="22"/>
        </w:rPr>
        <w:t xml:space="preserve"> </w:t>
      </w:r>
      <w:proofErr w:type="spellStart"/>
      <w:r>
        <w:rPr>
          <w:sz w:val="22"/>
          <w:szCs w:val="22"/>
        </w:rPr>
        <w:t>proposal</w:t>
      </w:r>
      <w:proofErr w:type="spellEnd"/>
      <w:r>
        <w:rPr>
          <w:sz w:val="22"/>
          <w:szCs w:val="22"/>
        </w:rPr>
        <w:t xml:space="preserve"> </w:t>
      </w:r>
      <w:proofErr w:type="spellStart"/>
      <w:r>
        <w:rPr>
          <w:sz w:val="22"/>
          <w:szCs w:val="22"/>
        </w:rPr>
        <w:t>how</w:t>
      </w:r>
      <w:proofErr w:type="spellEnd"/>
      <w:r>
        <w:rPr>
          <w:sz w:val="22"/>
          <w:szCs w:val="22"/>
        </w:rPr>
        <w:t xml:space="preserve"> </w:t>
      </w:r>
      <w:proofErr w:type="spellStart"/>
      <w:r>
        <w:rPr>
          <w:sz w:val="22"/>
          <w:szCs w:val="22"/>
        </w:rPr>
        <w:t>they</w:t>
      </w:r>
      <w:proofErr w:type="spellEnd"/>
      <w:r>
        <w:rPr>
          <w:sz w:val="22"/>
          <w:szCs w:val="22"/>
        </w:rPr>
        <w:t xml:space="preserve"> </w:t>
      </w:r>
      <w:proofErr w:type="spellStart"/>
      <w:r>
        <w:rPr>
          <w:sz w:val="22"/>
          <w:szCs w:val="22"/>
        </w:rPr>
        <w:t>implement</w:t>
      </w:r>
      <w:proofErr w:type="spellEnd"/>
      <w:r>
        <w:rPr>
          <w:sz w:val="22"/>
          <w:szCs w:val="22"/>
        </w:rPr>
        <w:t xml:space="preserve"> </w:t>
      </w:r>
      <w:proofErr w:type="spellStart"/>
      <w:r>
        <w:rPr>
          <w:sz w:val="22"/>
          <w:szCs w:val="22"/>
        </w:rPr>
        <w:t>these</w:t>
      </w:r>
      <w:proofErr w:type="spellEnd"/>
      <w:r>
        <w:rPr>
          <w:sz w:val="22"/>
          <w:szCs w:val="22"/>
        </w:rPr>
        <w:t xml:space="preserve"> </w:t>
      </w:r>
      <w:proofErr w:type="spellStart"/>
      <w:r>
        <w:rPr>
          <w:sz w:val="22"/>
          <w:szCs w:val="22"/>
        </w:rPr>
        <w:t>mechanisms</w:t>
      </w:r>
      <w:proofErr w:type="spellEnd"/>
      <w:r>
        <w:rPr>
          <w:sz w:val="22"/>
          <w:szCs w:val="22"/>
        </w:rPr>
        <w:t xml:space="preserve"> and </w:t>
      </w:r>
      <w:proofErr w:type="spellStart"/>
      <w:r>
        <w:rPr>
          <w:sz w:val="22"/>
          <w:szCs w:val="22"/>
        </w:rPr>
        <w:t>how</w:t>
      </w:r>
      <w:proofErr w:type="spellEnd"/>
      <w:r>
        <w:rPr>
          <w:sz w:val="22"/>
          <w:szCs w:val="22"/>
        </w:rPr>
        <w:t xml:space="preserve"> </w:t>
      </w:r>
      <w:proofErr w:type="spellStart"/>
      <w:r>
        <w:rPr>
          <w:sz w:val="22"/>
          <w:szCs w:val="22"/>
        </w:rPr>
        <w:t>the</w:t>
      </w:r>
      <w:proofErr w:type="spellEnd"/>
      <w:r>
        <w:rPr>
          <w:sz w:val="22"/>
          <w:szCs w:val="22"/>
        </w:rPr>
        <w:t xml:space="preserve"> </w:t>
      </w:r>
      <w:proofErr w:type="spellStart"/>
      <w:r>
        <w:rPr>
          <w:sz w:val="22"/>
          <w:szCs w:val="22"/>
        </w:rPr>
        <w:t>solution</w:t>
      </w:r>
      <w:proofErr w:type="spellEnd"/>
      <w:r>
        <w:rPr>
          <w:sz w:val="22"/>
          <w:szCs w:val="22"/>
        </w:rPr>
        <w:t xml:space="preserve"> </w:t>
      </w:r>
      <w:proofErr w:type="spellStart"/>
      <w:r>
        <w:rPr>
          <w:sz w:val="22"/>
          <w:szCs w:val="22"/>
        </w:rPr>
        <w:t>securely</w:t>
      </w:r>
      <w:proofErr w:type="spellEnd"/>
      <w:r>
        <w:rPr>
          <w:sz w:val="22"/>
          <w:szCs w:val="22"/>
        </w:rPr>
        <w:t xml:space="preserve"> </w:t>
      </w:r>
      <w:proofErr w:type="spellStart"/>
      <w:r>
        <w:rPr>
          <w:sz w:val="22"/>
          <w:szCs w:val="22"/>
        </w:rPr>
        <w:t>integrates</w:t>
      </w:r>
      <w:proofErr w:type="spellEnd"/>
      <w:r>
        <w:rPr>
          <w:sz w:val="22"/>
          <w:szCs w:val="22"/>
        </w:rPr>
        <w:t xml:space="preserve"> </w:t>
      </w:r>
      <w:proofErr w:type="spellStart"/>
      <w:r>
        <w:rPr>
          <w:sz w:val="22"/>
          <w:szCs w:val="22"/>
        </w:rPr>
        <w:t>with</w:t>
      </w:r>
      <w:proofErr w:type="spellEnd"/>
      <w:r>
        <w:rPr>
          <w:sz w:val="22"/>
          <w:szCs w:val="22"/>
        </w:rPr>
        <w:t xml:space="preserve"> </w:t>
      </w:r>
      <w:proofErr w:type="spellStart"/>
      <w:r>
        <w:rPr>
          <w:sz w:val="22"/>
          <w:szCs w:val="22"/>
        </w:rPr>
        <w:t>OSE's</w:t>
      </w:r>
      <w:proofErr w:type="spellEnd"/>
      <w:r>
        <w:rPr>
          <w:sz w:val="22"/>
          <w:szCs w:val="22"/>
        </w:rPr>
        <w:t xml:space="preserve"> </w:t>
      </w:r>
      <w:proofErr w:type="spellStart"/>
      <w:r>
        <w:rPr>
          <w:sz w:val="22"/>
          <w:szCs w:val="22"/>
        </w:rPr>
        <w:t>technological</w:t>
      </w:r>
      <w:proofErr w:type="spellEnd"/>
      <w:r>
        <w:rPr>
          <w:sz w:val="22"/>
          <w:szCs w:val="22"/>
        </w:rPr>
        <w:t xml:space="preserve"> </w:t>
      </w:r>
      <w:proofErr w:type="spellStart"/>
      <w:r>
        <w:rPr>
          <w:sz w:val="22"/>
          <w:szCs w:val="22"/>
        </w:rPr>
        <w:t>architecture</w:t>
      </w:r>
      <w:proofErr w:type="spellEnd"/>
      <w:r>
        <w:rPr>
          <w:sz w:val="22"/>
          <w:szCs w:val="22"/>
        </w:rPr>
        <w:t>.</w:t>
      </w:r>
    </w:p>
    <w:p w14:paraId="34D64790" w14:textId="77777777" w:rsidR="00E255F4" w:rsidRDefault="00000000">
      <w:pPr>
        <w:tabs>
          <w:tab w:val="left" w:pos="851"/>
        </w:tabs>
        <w:jc w:val="both"/>
        <w:rPr>
          <w:sz w:val="22"/>
          <w:szCs w:val="22"/>
        </w:rPr>
      </w:pPr>
      <w:r>
        <w:rPr>
          <w:sz w:val="22"/>
          <w:szCs w:val="22"/>
        </w:rPr>
        <w:t xml:space="preserve">4.7 Data </w:t>
      </w:r>
      <w:proofErr w:type="spellStart"/>
      <w:r>
        <w:rPr>
          <w:sz w:val="22"/>
          <w:szCs w:val="22"/>
        </w:rPr>
        <w:t>Governance</w:t>
      </w:r>
      <w:proofErr w:type="spellEnd"/>
      <w:r>
        <w:rPr>
          <w:sz w:val="22"/>
          <w:szCs w:val="22"/>
        </w:rPr>
        <w:tab/>
      </w:r>
    </w:p>
    <w:p w14:paraId="1B84394E" w14:textId="77777777" w:rsidR="00E255F4" w:rsidRDefault="00E255F4">
      <w:pPr>
        <w:tabs>
          <w:tab w:val="left" w:pos="851"/>
        </w:tabs>
        <w:jc w:val="both"/>
        <w:rPr>
          <w:sz w:val="22"/>
          <w:szCs w:val="22"/>
        </w:rPr>
      </w:pPr>
    </w:p>
    <w:p w14:paraId="3A971E95" w14:textId="77777777" w:rsidR="00E255F4" w:rsidRDefault="00000000">
      <w:pPr>
        <w:spacing w:after="160" w:line="256" w:lineRule="auto"/>
      </w:pPr>
      <w:proofErr w:type="spellStart"/>
      <w:r>
        <w:rPr>
          <w:sz w:val="22"/>
          <w:szCs w:val="22"/>
        </w:rPr>
        <w:t>All</w:t>
      </w:r>
      <w:proofErr w:type="spellEnd"/>
      <w:r>
        <w:rPr>
          <w:sz w:val="22"/>
          <w:szCs w:val="22"/>
        </w:rPr>
        <w:t xml:space="preserve"> data </w:t>
      </w:r>
      <w:proofErr w:type="spellStart"/>
      <w:r>
        <w:rPr>
          <w:sz w:val="22"/>
          <w:szCs w:val="22"/>
        </w:rPr>
        <w:t>generated</w:t>
      </w:r>
      <w:proofErr w:type="spellEnd"/>
      <w:r>
        <w:rPr>
          <w:sz w:val="22"/>
          <w:szCs w:val="22"/>
        </w:rPr>
        <w:t xml:space="preserve"> </w:t>
      </w:r>
      <w:proofErr w:type="spellStart"/>
      <w:r>
        <w:rPr>
          <w:sz w:val="22"/>
          <w:szCs w:val="22"/>
        </w:rPr>
        <w:t>by</w:t>
      </w:r>
      <w:proofErr w:type="spellEnd"/>
      <w:r>
        <w:rPr>
          <w:sz w:val="22"/>
          <w:szCs w:val="22"/>
        </w:rPr>
        <w:t xml:space="preserve"> </w:t>
      </w:r>
      <w:proofErr w:type="spellStart"/>
      <w:r>
        <w:rPr>
          <w:sz w:val="22"/>
          <w:szCs w:val="22"/>
        </w:rPr>
        <w:t>the</w:t>
      </w:r>
      <w:proofErr w:type="spellEnd"/>
      <w:r>
        <w:rPr>
          <w:sz w:val="22"/>
          <w:szCs w:val="22"/>
        </w:rPr>
        <w:t xml:space="preserve"> </w:t>
      </w:r>
      <w:proofErr w:type="spellStart"/>
      <w:r>
        <w:rPr>
          <w:sz w:val="22"/>
          <w:szCs w:val="22"/>
        </w:rPr>
        <w:t>micrometers</w:t>
      </w:r>
      <w:proofErr w:type="spellEnd"/>
      <w:r>
        <w:rPr>
          <w:sz w:val="22"/>
          <w:szCs w:val="22"/>
        </w:rPr>
        <w:t xml:space="preserve"> and </w:t>
      </w:r>
      <w:proofErr w:type="spellStart"/>
      <w:r>
        <w:rPr>
          <w:sz w:val="22"/>
          <w:szCs w:val="22"/>
        </w:rPr>
        <w:t>the</w:t>
      </w:r>
      <w:proofErr w:type="spellEnd"/>
      <w:r>
        <w:rPr>
          <w:sz w:val="22"/>
          <w:szCs w:val="22"/>
        </w:rPr>
        <w:t xml:space="preserve"> </w:t>
      </w:r>
      <w:proofErr w:type="spellStart"/>
      <w:r>
        <w:rPr>
          <w:sz w:val="22"/>
          <w:szCs w:val="22"/>
        </w:rPr>
        <w:t>associated</w:t>
      </w:r>
      <w:proofErr w:type="spellEnd"/>
      <w:r>
        <w:rPr>
          <w:sz w:val="22"/>
          <w:szCs w:val="22"/>
        </w:rPr>
        <w:t xml:space="preserve"> </w:t>
      </w:r>
      <w:proofErr w:type="spellStart"/>
      <w:r>
        <w:rPr>
          <w:sz w:val="22"/>
          <w:szCs w:val="22"/>
        </w:rPr>
        <w:t>solution</w:t>
      </w:r>
      <w:proofErr w:type="spellEnd"/>
      <w:r>
        <w:rPr>
          <w:sz w:val="22"/>
          <w:szCs w:val="22"/>
        </w:rPr>
        <w:t xml:space="preserve"> </w:t>
      </w:r>
      <w:proofErr w:type="spellStart"/>
      <w:r>
        <w:rPr>
          <w:sz w:val="22"/>
          <w:szCs w:val="22"/>
        </w:rPr>
        <w:t>will</w:t>
      </w:r>
      <w:proofErr w:type="spellEnd"/>
      <w:r>
        <w:rPr>
          <w:sz w:val="22"/>
          <w:szCs w:val="22"/>
        </w:rPr>
        <w:t xml:space="preserve"> be </w:t>
      </w:r>
      <w:proofErr w:type="spellStart"/>
      <w:r>
        <w:rPr>
          <w:sz w:val="22"/>
          <w:szCs w:val="22"/>
        </w:rPr>
        <w:t>the</w:t>
      </w:r>
      <w:proofErr w:type="spellEnd"/>
      <w:r>
        <w:rPr>
          <w:sz w:val="22"/>
          <w:szCs w:val="22"/>
        </w:rPr>
        <w:t xml:space="preserve"> </w:t>
      </w:r>
      <w:proofErr w:type="spellStart"/>
      <w:r>
        <w:rPr>
          <w:sz w:val="22"/>
          <w:szCs w:val="22"/>
        </w:rPr>
        <w:t>property</w:t>
      </w:r>
      <w:proofErr w:type="spellEnd"/>
      <w:r>
        <w:rPr>
          <w:sz w:val="22"/>
          <w:szCs w:val="22"/>
        </w:rPr>
        <w:t xml:space="preserve"> </w:t>
      </w:r>
      <w:proofErr w:type="spellStart"/>
      <w:r>
        <w:rPr>
          <w:sz w:val="22"/>
          <w:szCs w:val="22"/>
        </w:rPr>
        <w:t>of</w:t>
      </w:r>
      <w:proofErr w:type="spellEnd"/>
      <w:r>
        <w:rPr>
          <w:sz w:val="22"/>
          <w:szCs w:val="22"/>
        </w:rPr>
        <w:t xml:space="preserve"> OSE. The </w:t>
      </w:r>
      <w:proofErr w:type="spellStart"/>
      <w:r>
        <w:rPr>
          <w:sz w:val="22"/>
          <w:szCs w:val="22"/>
        </w:rPr>
        <w:t>solution</w:t>
      </w:r>
      <w:proofErr w:type="spellEnd"/>
      <w:r>
        <w:rPr>
          <w:sz w:val="22"/>
          <w:szCs w:val="22"/>
        </w:rPr>
        <w:t xml:space="preserve"> </w:t>
      </w:r>
      <w:proofErr w:type="spellStart"/>
      <w:r>
        <w:rPr>
          <w:sz w:val="22"/>
          <w:szCs w:val="22"/>
        </w:rPr>
        <w:t>must</w:t>
      </w:r>
      <w:proofErr w:type="spellEnd"/>
      <w:r>
        <w:rPr>
          <w:sz w:val="22"/>
          <w:szCs w:val="22"/>
        </w:rPr>
        <w:t xml:space="preserve"> </w:t>
      </w:r>
      <w:proofErr w:type="spellStart"/>
      <w:r>
        <w:rPr>
          <w:sz w:val="22"/>
          <w:szCs w:val="22"/>
        </w:rPr>
        <w:t>allow</w:t>
      </w:r>
      <w:proofErr w:type="spellEnd"/>
      <w:r>
        <w:rPr>
          <w:sz w:val="22"/>
          <w:szCs w:val="22"/>
        </w:rPr>
        <w:t xml:space="preserve"> </w:t>
      </w:r>
      <w:proofErr w:type="spellStart"/>
      <w:r>
        <w:rPr>
          <w:sz w:val="22"/>
          <w:szCs w:val="22"/>
        </w:rPr>
        <w:t>the</w:t>
      </w:r>
      <w:proofErr w:type="spellEnd"/>
      <w:r>
        <w:rPr>
          <w:sz w:val="22"/>
          <w:szCs w:val="22"/>
        </w:rPr>
        <w:t xml:space="preserve"> </w:t>
      </w:r>
      <w:proofErr w:type="spellStart"/>
      <w:r>
        <w:rPr>
          <w:sz w:val="22"/>
          <w:szCs w:val="22"/>
        </w:rPr>
        <w:t>reading</w:t>
      </w:r>
      <w:proofErr w:type="spellEnd"/>
      <w:r>
        <w:rPr>
          <w:sz w:val="22"/>
          <w:szCs w:val="22"/>
        </w:rPr>
        <w:t xml:space="preserve">, </w:t>
      </w:r>
      <w:proofErr w:type="spellStart"/>
      <w:r>
        <w:rPr>
          <w:sz w:val="22"/>
          <w:szCs w:val="22"/>
        </w:rPr>
        <w:t>extraction</w:t>
      </w:r>
      <w:proofErr w:type="spellEnd"/>
      <w:r>
        <w:rPr>
          <w:sz w:val="22"/>
          <w:szCs w:val="22"/>
        </w:rPr>
        <w:t xml:space="preserve">, </w:t>
      </w:r>
      <w:proofErr w:type="spellStart"/>
      <w:r>
        <w:rPr>
          <w:sz w:val="22"/>
          <w:szCs w:val="22"/>
        </w:rPr>
        <w:t>transmission</w:t>
      </w:r>
      <w:proofErr w:type="spellEnd"/>
      <w:r>
        <w:rPr>
          <w:sz w:val="22"/>
          <w:szCs w:val="22"/>
        </w:rPr>
        <w:t xml:space="preserve">, and </w:t>
      </w:r>
      <w:proofErr w:type="spellStart"/>
      <w:r>
        <w:rPr>
          <w:sz w:val="22"/>
          <w:szCs w:val="22"/>
        </w:rPr>
        <w:t>integration</w:t>
      </w:r>
      <w:proofErr w:type="spellEnd"/>
      <w:r>
        <w:rPr>
          <w:sz w:val="22"/>
          <w:szCs w:val="22"/>
        </w:rPr>
        <w:t xml:space="preserve"> </w:t>
      </w:r>
      <w:proofErr w:type="spellStart"/>
      <w:r>
        <w:rPr>
          <w:sz w:val="22"/>
          <w:szCs w:val="22"/>
        </w:rPr>
        <w:t>of</w:t>
      </w:r>
      <w:proofErr w:type="spellEnd"/>
      <w:r>
        <w:rPr>
          <w:sz w:val="22"/>
          <w:szCs w:val="22"/>
        </w:rPr>
        <w:t xml:space="preserve"> </w:t>
      </w:r>
      <w:proofErr w:type="spellStart"/>
      <w:r>
        <w:rPr>
          <w:sz w:val="22"/>
          <w:szCs w:val="22"/>
        </w:rPr>
        <w:t>all</w:t>
      </w:r>
      <w:proofErr w:type="spellEnd"/>
      <w:r>
        <w:rPr>
          <w:sz w:val="22"/>
          <w:szCs w:val="22"/>
        </w:rPr>
        <w:t xml:space="preserve"> data </w:t>
      </w:r>
      <w:proofErr w:type="spellStart"/>
      <w:r>
        <w:rPr>
          <w:sz w:val="22"/>
          <w:szCs w:val="22"/>
        </w:rPr>
        <w:t>without</w:t>
      </w:r>
      <w:proofErr w:type="spellEnd"/>
      <w:r>
        <w:rPr>
          <w:sz w:val="22"/>
          <w:szCs w:val="22"/>
        </w:rPr>
        <w:t xml:space="preserve"> </w:t>
      </w:r>
      <w:proofErr w:type="spellStart"/>
      <w:r>
        <w:rPr>
          <w:sz w:val="22"/>
          <w:szCs w:val="22"/>
        </w:rPr>
        <w:t>undue</w:t>
      </w:r>
      <w:proofErr w:type="spellEnd"/>
      <w:r>
        <w:rPr>
          <w:sz w:val="22"/>
          <w:szCs w:val="22"/>
        </w:rPr>
        <w:t xml:space="preserve"> </w:t>
      </w:r>
      <w:proofErr w:type="spellStart"/>
      <w:r>
        <w:rPr>
          <w:sz w:val="22"/>
          <w:szCs w:val="22"/>
        </w:rPr>
        <w:t>restrictions</w:t>
      </w:r>
      <w:proofErr w:type="spellEnd"/>
      <w:r>
        <w:rPr>
          <w:sz w:val="22"/>
          <w:szCs w:val="22"/>
        </w:rPr>
        <w:t xml:space="preserve">, </w:t>
      </w:r>
      <w:proofErr w:type="spellStart"/>
      <w:r>
        <w:rPr>
          <w:sz w:val="22"/>
          <w:szCs w:val="22"/>
        </w:rPr>
        <w:t>using</w:t>
      </w:r>
      <w:proofErr w:type="spellEnd"/>
      <w:r>
        <w:rPr>
          <w:sz w:val="22"/>
          <w:szCs w:val="22"/>
        </w:rPr>
        <w:t xml:space="preserve"> interoperable </w:t>
      </w:r>
      <w:proofErr w:type="spellStart"/>
      <w:r>
        <w:rPr>
          <w:sz w:val="22"/>
          <w:szCs w:val="22"/>
        </w:rPr>
        <w:t>standards</w:t>
      </w:r>
      <w:proofErr w:type="spellEnd"/>
      <w:r>
        <w:rPr>
          <w:sz w:val="22"/>
          <w:szCs w:val="22"/>
        </w:rPr>
        <w:t xml:space="preserve"> </w:t>
      </w:r>
      <w:proofErr w:type="spellStart"/>
      <w:r>
        <w:rPr>
          <w:sz w:val="22"/>
          <w:szCs w:val="22"/>
        </w:rPr>
        <w:t>consistent</w:t>
      </w:r>
      <w:proofErr w:type="spellEnd"/>
      <w:r>
        <w:rPr>
          <w:sz w:val="22"/>
          <w:szCs w:val="22"/>
        </w:rPr>
        <w:t xml:space="preserve"> </w:t>
      </w:r>
      <w:proofErr w:type="spellStart"/>
      <w:r>
        <w:rPr>
          <w:sz w:val="22"/>
          <w:szCs w:val="22"/>
        </w:rPr>
        <w:t>with</w:t>
      </w:r>
      <w:proofErr w:type="spellEnd"/>
      <w:r>
        <w:rPr>
          <w:sz w:val="22"/>
          <w:szCs w:val="22"/>
        </w:rPr>
        <w:t xml:space="preserve"> </w:t>
      </w:r>
      <w:proofErr w:type="spellStart"/>
      <w:r>
        <w:rPr>
          <w:sz w:val="22"/>
          <w:szCs w:val="22"/>
        </w:rPr>
        <w:t>OSE's</w:t>
      </w:r>
      <w:proofErr w:type="spellEnd"/>
      <w:r>
        <w:rPr>
          <w:sz w:val="22"/>
          <w:szCs w:val="22"/>
        </w:rPr>
        <w:t xml:space="preserve"> </w:t>
      </w:r>
      <w:proofErr w:type="spellStart"/>
      <w:r>
        <w:rPr>
          <w:sz w:val="22"/>
          <w:szCs w:val="22"/>
        </w:rPr>
        <w:t>institutional</w:t>
      </w:r>
      <w:proofErr w:type="spellEnd"/>
      <w:r>
        <w:rPr>
          <w:sz w:val="22"/>
          <w:szCs w:val="22"/>
        </w:rPr>
        <w:t xml:space="preserve"> </w:t>
      </w:r>
      <w:proofErr w:type="spellStart"/>
      <w:r>
        <w:rPr>
          <w:sz w:val="22"/>
          <w:szCs w:val="22"/>
        </w:rPr>
        <w:t>architecture</w:t>
      </w:r>
      <w:proofErr w:type="spellEnd"/>
      <w:r>
        <w:rPr>
          <w:sz w:val="22"/>
          <w:szCs w:val="22"/>
        </w:rPr>
        <w:t>.</w:t>
      </w:r>
    </w:p>
    <w:p w14:paraId="527D0B47" w14:textId="77777777" w:rsidR="00E255F4" w:rsidRDefault="00000000">
      <w:pPr>
        <w:tabs>
          <w:tab w:val="left" w:pos="851"/>
        </w:tabs>
        <w:jc w:val="both"/>
      </w:pPr>
      <w:r>
        <w:rPr>
          <w:sz w:val="22"/>
          <w:szCs w:val="22"/>
        </w:rPr>
        <w:t xml:space="preserve">4.8 </w:t>
      </w:r>
      <w:proofErr w:type="spellStart"/>
      <w:r>
        <w:rPr>
          <w:sz w:val="22"/>
          <w:szCs w:val="22"/>
        </w:rPr>
        <w:t>Portability</w:t>
      </w:r>
      <w:proofErr w:type="spellEnd"/>
      <w:r>
        <w:rPr>
          <w:sz w:val="22"/>
          <w:szCs w:val="22"/>
        </w:rPr>
        <w:t xml:space="preserve"> / </w:t>
      </w:r>
      <w:proofErr w:type="spellStart"/>
      <w:r>
        <w:rPr>
          <w:sz w:val="22"/>
          <w:szCs w:val="22"/>
        </w:rPr>
        <w:t>Anti-access</w:t>
      </w:r>
      <w:proofErr w:type="spellEnd"/>
      <w:r>
        <w:rPr>
          <w:sz w:val="22"/>
          <w:szCs w:val="22"/>
        </w:rPr>
        <w:t xml:space="preserve"> </w:t>
      </w:r>
      <w:proofErr w:type="spellStart"/>
      <w:r>
        <w:rPr>
          <w:sz w:val="22"/>
          <w:szCs w:val="22"/>
        </w:rPr>
        <w:t>blocking</w:t>
      </w:r>
      <w:proofErr w:type="spellEnd"/>
      <w:r>
        <w:rPr>
          <w:sz w:val="22"/>
          <w:szCs w:val="22"/>
        </w:rPr>
        <w:tab/>
      </w:r>
    </w:p>
    <w:p w14:paraId="222671C5" w14:textId="77777777" w:rsidR="00E255F4" w:rsidRDefault="00E255F4">
      <w:pPr>
        <w:spacing w:after="160" w:line="256" w:lineRule="auto"/>
        <w:rPr>
          <w:sz w:val="22"/>
          <w:szCs w:val="22"/>
          <w:u w:val="single"/>
        </w:rPr>
      </w:pPr>
    </w:p>
    <w:p w14:paraId="37E75747" w14:textId="77777777" w:rsidR="00E255F4" w:rsidRDefault="00000000">
      <w:pPr>
        <w:spacing w:after="160" w:line="256" w:lineRule="auto"/>
      </w:pPr>
      <w:r>
        <w:rPr>
          <w:sz w:val="22"/>
          <w:szCs w:val="22"/>
        </w:rPr>
        <w:t xml:space="preserve">The </w:t>
      </w:r>
      <w:proofErr w:type="spellStart"/>
      <w:r>
        <w:rPr>
          <w:sz w:val="22"/>
          <w:szCs w:val="22"/>
        </w:rPr>
        <w:t>solution</w:t>
      </w:r>
      <w:proofErr w:type="spellEnd"/>
      <w:r>
        <w:rPr>
          <w:sz w:val="22"/>
          <w:szCs w:val="22"/>
        </w:rPr>
        <w:t xml:space="preserve"> </w:t>
      </w:r>
      <w:proofErr w:type="spellStart"/>
      <w:r>
        <w:rPr>
          <w:sz w:val="22"/>
          <w:szCs w:val="22"/>
        </w:rPr>
        <w:t>must</w:t>
      </w:r>
      <w:proofErr w:type="spellEnd"/>
      <w:r>
        <w:rPr>
          <w:sz w:val="22"/>
          <w:szCs w:val="22"/>
        </w:rPr>
        <w:t xml:space="preserve"> </w:t>
      </w:r>
      <w:proofErr w:type="spellStart"/>
      <w:r>
        <w:rPr>
          <w:sz w:val="22"/>
          <w:szCs w:val="22"/>
        </w:rPr>
        <w:t>allow</w:t>
      </w:r>
      <w:proofErr w:type="spellEnd"/>
      <w:r>
        <w:rPr>
          <w:sz w:val="22"/>
          <w:szCs w:val="22"/>
        </w:rPr>
        <w:t xml:space="preserve"> </w:t>
      </w:r>
      <w:proofErr w:type="spellStart"/>
      <w:r>
        <w:rPr>
          <w:sz w:val="22"/>
          <w:szCs w:val="22"/>
        </w:rPr>
        <w:t>for</w:t>
      </w:r>
      <w:proofErr w:type="spellEnd"/>
      <w:r>
        <w:rPr>
          <w:sz w:val="22"/>
          <w:szCs w:val="22"/>
        </w:rPr>
        <w:t xml:space="preserve"> </w:t>
      </w:r>
      <w:proofErr w:type="spellStart"/>
      <w:r>
        <w:rPr>
          <w:sz w:val="22"/>
          <w:szCs w:val="22"/>
        </w:rPr>
        <w:t>the</w:t>
      </w:r>
      <w:proofErr w:type="spellEnd"/>
      <w:r>
        <w:rPr>
          <w:sz w:val="22"/>
          <w:szCs w:val="22"/>
        </w:rPr>
        <w:t xml:space="preserve"> </w:t>
      </w:r>
      <w:proofErr w:type="spellStart"/>
      <w:r>
        <w:rPr>
          <w:sz w:val="22"/>
          <w:szCs w:val="22"/>
        </w:rPr>
        <w:t>extraction</w:t>
      </w:r>
      <w:proofErr w:type="spellEnd"/>
      <w:r>
        <w:rPr>
          <w:sz w:val="22"/>
          <w:szCs w:val="22"/>
        </w:rPr>
        <w:t xml:space="preserve"> and </w:t>
      </w:r>
      <w:proofErr w:type="spellStart"/>
      <w:r>
        <w:rPr>
          <w:sz w:val="22"/>
          <w:szCs w:val="22"/>
        </w:rPr>
        <w:t>export</w:t>
      </w:r>
      <w:proofErr w:type="spellEnd"/>
      <w:r>
        <w:rPr>
          <w:sz w:val="22"/>
          <w:szCs w:val="22"/>
        </w:rPr>
        <w:t xml:space="preserve"> </w:t>
      </w:r>
      <w:proofErr w:type="spellStart"/>
      <w:r>
        <w:rPr>
          <w:sz w:val="22"/>
          <w:szCs w:val="22"/>
        </w:rPr>
        <w:t>of</w:t>
      </w:r>
      <w:proofErr w:type="spellEnd"/>
      <w:r>
        <w:rPr>
          <w:sz w:val="22"/>
          <w:szCs w:val="22"/>
        </w:rPr>
        <w:t xml:space="preserve"> </w:t>
      </w:r>
      <w:proofErr w:type="spellStart"/>
      <w:r>
        <w:rPr>
          <w:sz w:val="22"/>
          <w:szCs w:val="22"/>
        </w:rPr>
        <w:t>information</w:t>
      </w:r>
      <w:proofErr w:type="spellEnd"/>
      <w:r>
        <w:rPr>
          <w:sz w:val="22"/>
          <w:szCs w:val="22"/>
        </w:rPr>
        <w:t xml:space="preserve"> in open </w:t>
      </w:r>
      <w:proofErr w:type="spellStart"/>
      <w:r>
        <w:rPr>
          <w:sz w:val="22"/>
          <w:szCs w:val="22"/>
        </w:rPr>
        <w:t>or</w:t>
      </w:r>
      <w:proofErr w:type="spellEnd"/>
      <w:r>
        <w:rPr>
          <w:sz w:val="22"/>
          <w:szCs w:val="22"/>
        </w:rPr>
        <w:t xml:space="preserve"> </w:t>
      </w:r>
      <w:proofErr w:type="spellStart"/>
      <w:r>
        <w:rPr>
          <w:sz w:val="22"/>
          <w:szCs w:val="22"/>
        </w:rPr>
        <w:t>widely</w:t>
      </w:r>
      <w:proofErr w:type="spellEnd"/>
      <w:r>
        <w:rPr>
          <w:sz w:val="22"/>
          <w:szCs w:val="22"/>
        </w:rPr>
        <w:t xml:space="preserve"> </w:t>
      </w:r>
      <w:proofErr w:type="spellStart"/>
      <w:r>
        <w:rPr>
          <w:sz w:val="22"/>
          <w:szCs w:val="22"/>
        </w:rPr>
        <w:t>adopted</w:t>
      </w:r>
      <w:proofErr w:type="spellEnd"/>
      <w:r>
        <w:rPr>
          <w:sz w:val="22"/>
          <w:szCs w:val="22"/>
        </w:rPr>
        <w:t xml:space="preserve"> </w:t>
      </w:r>
      <w:proofErr w:type="spellStart"/>
      <w:r>
        <w:rPr>
          <w:sz w:val="22"/>
          <w:szCs w:val="22"/>
        </w:rPr>
        <w:t>formats</w:t>
      </w:r>
      <w:proofErr w:type="spellEnd"/>
      <w:r>
        <w:rPr>
          <w:sz w:val="22"/>
          <w:szCs w:val="22"/>
        </w:rPr>
        <w:t xml:space="preserve">, </w:t>
      </w:r>
      <w:proofErr w:type="spellStart"/>
      <w:r>
        <w:rPr>
          <w:sz w:val="22"/>
          <w:szCs w:val="22"/>
        </w:rPr>
        <w:t>with</w:t>
      </w:r>
      <w:proofErr w:type="spellEnd"/>
      <w:r>
        <w:rPr>
          <w:sz w:val="22"/>
          <w:szCs w:val="22"/>
        </w:rPr>
        <w:t xml:space="preserve"> </w:t>
      </w:r>
      <w:proofErr w:type="spellStart"/>
      <w:r>
        <w:rPr>
          <w:sz w:val="22"/>
          <w:szCs w:val="22"/>
        </w:rPr>
        <w:t>documented</w:t>
      </w:r>
      <w:proofErr w:type="spellEnd"/>
      <w:r>
        <w:rPr>
          <w:sz w:val="22"/>
          <w:szCs w:val="22"/>
        </w:rPr>
        <w:t xml:space="preserve"> </w:t>
      </w:r>
      <w:proofErr w:type="spellStart"/>
      <w:r>
        <w:rPr>
          <w:sz w:val="22"/>
          <w:szCs w:val="22"/>
        </w:rPr>
        <w:t>integration</w:t>
      </w:r>
      <w:proofErr w:type="spellEnd"/>
      <w:r>
        <w:rPr>
          <w:sz w:val="22"/>
          <w:szCs w:val="22"/>
        </w:rPr>
        <w:t xml:space="preserve"> </w:t>
      </w:r>
      <w:proofErr w:type="spellStart"/>
      <w:r>
        <w:rPr>
          <w:sz w:val="22"/>
          <w:szCs w:val="22"/>
        </w:rPr>
        <w:t>mechanisms</w:t>
      </w:r>
      <w:proofErr w:type="spellEnd"/>
      <w:r>
        <w:rPr>
          <w:sz w:val="22"/>
          <w:szCs w:val="22"/>
        </w:rPr>
        <w:t xml:space="preserve">. No </w:t>
      </w:r>
      <w:proofErr w:type="spellStart"/>
      <w:r>
        <w:rPr>
          <w:sz w:val="22"/>
          <w:szCs w:val="22"/>
        </w:rPr>
        <w:t>technical</w:t>
      </w:r>
      <w:proofErr w:type="spellEnd"/>
      <w:r>
        <w:rPr>
          <w:sz w:val="22"/>
          <w:szCs w:val="22"/>
        </w:rPr>
        <w:t xml:space="preserve"> </w:t>
      </w:r>
      <w:proofErr w:type="spellStart"/>
      <w:r>
        <w:rPr>
          <w:sz w:val="22"/>
          <w:szCs w:val="22"/>
        </w:rPr>
        <w:t>or</w:t>
      </w:r>
      <w:proofErr w:type="spellEnd"/>
      <w:r>
        <w:rPr>
          <w:sz w:val="22"/>
          <w:szCs w:val="22"/>
        </w:rPr>
        <w:t xml:space="preserve"> legal </w:t>
      </w:r>
      <w:proofErr w:type="spellStart"/>
      <w:r>
        <w:rPr>
          <w:sz w:val="22"/>
          <w:szCs w:val="22"/>
        </w:rPr>
        <w:t>restrictions</w:t>
      </w:r>
      <w:proofErr w:type="spellEnd"/>
      <w:r>
        <w:rPr>
          <w:sz w:val="22"/>
          <w:szCs w:val="22"/>
        </w:rPr>
        <w:t xml:space="preserve"> </w:t>
      </w:r>
      <w:proofErr w:type="spellStart"/>
      <w:r>
        <w:rPr>
          <w:sz w:val="22"/>
          <w:szCs w:val="22"/>
        </w:rPr>
        <w:t>will</w:t>
      </w:r>
      <w:proofErr w:type="spellEnd"/>
      <w:r>
        <w:rPr>
          <w:sz w:val="22"/>
          <w:szCs w:val="22"/>
        </w:rPr>
        <w:t xml:space="preserve"> be </w:t>
      </w:r>
      <w:proofErr w:type="spellStart"/>
      <w:r>
        <w:rPr>
          <w:sz w:val="22"/>
          <w:szCs w:val="22"/>
        </w:rPr>
        <w:t>permitted</w:t>
      </w:r>
      <w:proofErr w:type="spellEnd"/>
      <w:r>
        <w:rPr>
          <w:sz w:val="22"/>
          <w:szCs w:val="22"/>
        </w:rPr>
        <w:t xml:space="preserve"> </w:t>
      </w:r>
      <w:proofErr w:type="spellStart"/>
      <w:r>
        <w:rPr>
          <w:sz w:val="22"/>
          <w:szCs w:val="22"/>
        </w:rPr>
        <w:t>that</w:t>
      </w:r>
      <w:proofErr w:type="spellEnd"/>
      <w:r>
        <w:rPr>
          <w:sz w:val="22"/>
          <w:szCs w:val="22"/>
        </w:rPr>
        <w:t xml:space="preserve"> </w:t>
      </w:r>
      <w:proofErr w:type="spellStart"/>
      <w:r>
        <w:rPr>
          <w:sz w:val="22"/>
          <w:szCs w:val="22"/>
        </w:rPr>
        <w:t>prevent</w:t>
      </w:r>
      <w:proofErr w:type="spellEnd"/>
      <w:r>
        <w:rPr>
          <w:sz w:val="22"/>
          <w:szCs w:val="22"/>
        </w:rPr>
        <w:t xml:space="preserve"> OSE </w:t>
      </w:r>
      <w:proofErr w:type="spellStart"/>
      <w:r>
        <w:rPr>
          <w:sz w:val="22"/>
          <w:szCs w:val="22"/>
        </w:rPr>
        <w:t>from</w:t>
      </w:r>
      <w:proofErr w:type="spellEnd"/>
      <w:r>
        <w:rPr>
          <w:sz w:val="22"/>
          <w:szCs w:val="22"/>
        </w:rPr>
        <w:t xml:space="preserve"> </w:t>
      </w:r>
      <w:proofErr w:type="spellStart"/>
      <w:r>
        <w:rPr>
          <w:sz w:val="22"/>
          <w:szCs w:val="22"/>
        </w:rPr>
        <w:t>accessing</w:t>
      </w:r>
      <w:proofErr w:type="spellEnd"/>
      <w:r>
        <w:rPr>
          <w:sz w:val="22"/>
          <w:szCs w:val="22"/>
        </w:rPr>
        <w:t xml:space="preserve">, </w:t>
      </w:r>
      <w:proofErr w:type="spellStart"/>
      <w:r>
        <w:rPr>
          <w:sz w:val="22"/>
          <w:szCs w:val="22"/>
        </w:rPr>
        <w:t>reusing</w:t>
      </w:r>
      <w:proofErr w:type="spellEnd"/>
      <w:r>
        <w:rPr>
          <w:sz w:val="22"/>
          <w:szCs w:val="22"/>
        </w:rPr>
        <w:t xml:space="preserve">, </w:t>
      </w:r>
      <w:proofErr w:type="spellStart"/>
      <w:r>
        <w:rPr>
          <w:sz w:val="22"/>
          <w:szCs w:val="22"/>
        </w:rPr>
        <w:t>migrating</w:t>
      </w:r>
      <w:proofErr w:type="spellEnd"/>
      <w:r>
        <w:rPr>
          <w:sz w:val="22"/>
          <w:szCs w:val="22"/>
        </w:rPr>
        <w:t xml:space="preserve">, </w:t>
      </w:r>
      <w:proofErr w:type="spellStart"/>
      <w:r>
        <w:rPr>
          <w:sz w:val="22"/>
          <w:szCs w:val="22"/>
        </w:rPr>
        <w:t>or</w:t>
      </w:r>
      <w:proofErr w:type="spellEnd"/>
      <w:r>
        <w:rPr>
          <w:sz w:val="22"/>
          <w:szCs w:val="22"/>
        </w:rPr>
        <w:t xml:space="preserve"> </w:t>
      </w:r>
      <w:proofErr w:type="spellStart"/>
      <w:r>
        <w:rPr>
          <w:sz w:val="22"/>
          <w:szCs w:val="22"/>
        </w:rPr>
        <w:t>integrating</w:t>
      </w:r>
      <w:proofErr w:type="spellEnd"/>
      <w:r>
        <w:rPr>
          <w:sz w:val="22"/>
          <w:szCs w:val="22"/>
        </w:rPr>
        <w:t xml:space="preserve"> </w:t>
      </w:r>
      <w:proofErr w:type="spellStart"/>
      <w:r>
        <w:rPr>
          <w:sz w:val="22"/>
          <w:szCs w:val="22"/>
        </w:rPr>
        <w:t>the</w:t>
      </w:r>
      <w:proofErr w:type="spellEnd"/>
      <w:r>
        <w:rPr>
          <w:sz w:val="22"/>
          <w:szCs w:val="22"/>
        </w:rPr>
        <w:t xml:space="preserve"> </w:t>
      </w:r>
      <w:proofErr w:type="spellStart"/>
      <w:r>
        <w:rPr>
          <w:sz w:val="22"/>
          <w:szCs w:val="22"/>
        </w:rPr>
        <w:t>information</w:t>
      </w:r>
      <w:proofErr w:type="spellEnd"/>
      <w:r>
        <w:rPr>
          <w:sz w:val="22"/>
          <w:szCs w:val="22"/>
        </w:rPr>
        <w:t xml:space="preserve"> </w:t>
      </w:r>
      <w:proofErr w:type="spellStart"/>
      <w:r>
        <w:rPr>
          <w:sz w:val="22"/>
          <w:szCs w:val="22"/>
        </w:rPr>
        <w:t>with</w:t>
      </w:r>
      <w:proofErr w:type="spellEnd"/>
      <w:r>
        <w:rPr>
          <w:sz w:val="22"/>
          <w:szCs w:val="22"/>
        </w:rPr>
        <w:t xml:space="preserve"> </w:t>
      </w:r>
      <w:proofErr w:type="spellStart"/>
      <w:r>
        <w:rPr>
          <w:sz w:val="22"/>
          <w:szCs w:val="22"/>
        </w:rPr>
        <w:t>other</w:t>
      </w:r>
      <w:proofErr w:type="spellEnd"/>
      <w:r>
        <w:rPr>
          <w:sz w:val="22"/>
          <w:szCs w:val="22"/>
        </w:rPr>
        <w:t xml:space="preserve"> </w:t>
      </w:r>
      <w:proofErr w:type="spellStart"/>
      <w:r>
        <w:rPr>
          <w:sz w:val="22"/>
          <w:szCs w:val="22"/>
        </w:rPr>
        <w:t>platforms</w:t>
      </w:r>
      <w:proofErr w:type="spellEnd"/>
      <w:r>
        <w:rPr>
          <w:sz w:val="22"/>
          <w:szCs w:val="22"/>
        </w:rPr>
        <w:t xml:space="preserve"> </w:t>
      </w:r>
      <w:proofErr w:type="spellStart"/>
      <w:r>
        <w:rPr>
          <w:sz w:val="22"/>
          <w:szCs w:val="22"/>
        </w:rPr>
        <w:t>within</w:t>
      </w:r>
      <w:proofErr w:type="spellEnd"/>
      <w:r>
        <w:rPr>
          <w:sz w:val="22"/>
          <w:szCs w:val="22"/>
        </w:rPr>
        <w:t xml:space="preserve"> </w:t>
      </w:r>
      <w:proofErr w:type="spellStart"/>
      <w:r>
        <w:rPr>
          <w:sz w:val="22"/>
          <w:szCs w:val="22"/>
        </w:rPr>
        <w:t>the</w:t>
      </w:r>
      <w:proofErr w:type="spellEnd"/>
      <w:r>
        <w:rPr>
          <w:sz w:val="22"/>
          <w:szCs w:val="22"/>
        </w:rPr>
        <w:t xml:space="preserve"> </w:t>
      </w:r>
      <w:proofErr w:type="spellStart"/>
      <w:r>
        <w:rPr>
          <w:sz w:val="22"/>
          <w:szCs w:val="22"/>
        </w:rPr>
        <w:t>institutional</w:t>
      </w:r>
      <w:proofErr w:type="spellEnd"/>
      <w:r>
        <w:rPr>
          <w:sz w:val="22"/>
          <w:szCs w:val="22"/>
        </w:rPr>
        <w:t xml:space="preserve"> </w:t>
      </w:r>
      <w:proofErr w:type="spellStart"/>
      <w:r>
        <w:rPr>
          <w:sz w:val="22"/>
          <w:szCs w:val="22"/>
        </w:rPr>
        <w:t>ecosystem</w:t>
      </w:r>
      <w:proofErr w:type="spellEnd"/>
      <w:r>
        <w:rPr>
          <w:sz w:val="22"/>
          <w:szCs w:val="22"/>
        </w:rPr>
        <w:t>.</w:t>
      </w:r>
    </w:p>
    <w:p w14:paraId="410C07EC" w14:textId="77777777" w:rsidR="00E255F4" w:rsidRDefault="00E255F4">
      <w:pPr>
        <w:tabs>
          <w:tab w:val="left" w:pos="851"/>
        </w:tabs>
        <w:jc w:val="both"/>
        <w:rPr>
          <w:sz w:val="22"/>
          <w:szCs w:val="22"/>
        </w:rPr>
      </w:pPr>
    </w:p>
    <w:p w14:paraId="0598CD5E" w14:textId="77777777" w:rsidR="00E255F4" w:rsidRDefault="00000000">
      <w:pPr>
        <w:pStyle w:val="Ttulo2"/>
        <w:spacing w:after="240"/>
        <w:ind w:left="567" w:hanging="567"/>
        <w:rPr>
          <w:rFonts w:ascii="Times New Roman" w:hAnsi="Times New Roman" w:cs="Times New Roman"/>
          <w:i w:val="0"/>
          <w:sz w:val="24"/>
          <w:szCs w:val="24"/>
        </w:rPr>
      </w:pPr>
      <w:bookmarkStart w:id="105" w:name="__RefHeading___Toc225377268"/>
      <w:bookmarkEnd w:id="105"/>
      <w:r>
        <w:rPr>
          <w:rFonts w:ascii="Times New Roman" w:hAnsi="Times New Roman" w:cs="Times New Roman"/>
          <w:i w:val="0"/>
          <w:sz w:val="24"/>
          <w:szCs w:val="24"/>
        </w:rPr>
        <w:t>CHARACTERISTICS OF THE TELEMETRY EQUIPMENT INSTALLATION</w:t>
      </w:r>
    </w:p>
    <w:p w14:paraId="520B4073" w14:textId="77777777" w:rsidR="00E255F4" w:rsidRDefault="00000000">
      <w:pPr>
        <w:pStyle w:val="Prrafodelista"/>
        <w:numPr>
          <w:ilvl w:val="1"/>
          <w:numId w:val="29"/>
        </w:numPr>
        <w:spacing w:after="120"/>
        <w:ind w:left="567" w:hanging="567"/>
        <w:jc w:val="both"/>
      </w:pPr>
      <w:r>
        <w:rPr>
          <w:sz w:val="22"/>
          <w:szCs w:val="22"/>
          <w:lang w:val="es-UY"/>
        </w:rPr>
        <w:t xml:space="preserve">The </w:t>
      </w:r>
      <w:proofErr w:type="spellStart"/>
      <w:r>
        <w:rPr>
          <w:sz w:val="22"/>
          <w:szCs w:val="22"/>
          <w:lang w:val="es-UY"/>
        </w:rPr>
        <w:t>successful</w:t>
      </w:r>
      <w:proofErr w:type="spellEnd"/>
      <w:r>
        <w:rPr>
          <w:sz w:val="22"/>
          <w:szCs w:val="22"/>
          <w:lang w:val="es-UY"/>
        </w:rPr>
        <w:t xml:space="preserve"> </w:t>
      </w:r>
      <w:proofErr w:type="spellStart"/>
      <w:r>
        <w:rPr>
          <w:sz w:val="22"/>
          <w:szCs w:val="22"/>
          <w:lang w:val="es-UY"/>
        </w:rPr>
        <w:t>bidder</w:t>
      </w:r>
      <w:proofErr w:type="spellEnd"/>
      <w:r>
        <w:rPr>
          <w:sz w:val="22"/>
          <w:szCs w:val="22"/>
          <w:lang w:val="es-UY"/>
        </w:rPr>
        <w:t xml:space="preserve"> </w:t>
      </w:r>
      <w:proofErr w:type="spellStart"/>
      <w:r>
        <w:rPr>
          <w:sz w:val="22"/>
          <w:szCs w:val="22"/>
          <w:lang w:val="es-UY"/>
        </w:rPr>
        <w:t>must</w:t>
      </w:r>
      <w:proofErr w:type="spellEnd"/>
      <w:r>
        <w:rPr>
          <w:sz w:val="22"/>
          <w:szCs w:val="22"/>
          <w:lang w:val="es-UY"/>
        </w:rPr>
        <w:t xml:space="preserve"> </w:t>
      </w:r>
      <w:proofErr w:type="spellStart"/>
      <w:r>
        <w:rPr>
          <w:sz w:val="22"/>
          <w:szCs w:val="22"/>
          <w:lang w:val="es-UY"/>
        </w:rPr>
        <w:t>submit</w:t>
      </w:r>
      <w:proofErr w:type="spellEnd"/>
      <w:r>
        <w:rPr>
          <w:sz w:val="22"/>
          <w:szCs w:val="22"/>
          <w:lang w:val="es-UY"/>
        </w:rPr>
        <w:t xml:space="preserve"> a </w:t>
      </w:r>
      <w:proofErr w:type="spellStart"/>
      <w:r>
        <w:rPr>
          <w:sz w:val="22"/>
          <w:szCs w:val="22"/>
          <w:lang w:val="es-UY"/>
        </w:rPr>
        <w:t>detailed</w:t>
      </w:r>
      <w:proofErr w:type="spellEnd"/>
      <w:r>
        <w:rPr>
          <w:sz w:val="22"/>
          <w:szCs w:val="22"/>
          <w:lang w:val="es-UY"/>
        </w:rPr>
        <w:t xml:space="preserve"> </w:t>
      </w:r>
      <w:proofErr w:type="spellStart"/>
      <w:r>
        <w:rPr>
          <w:sz w:val="22"/>
          <w:szCs w:val="22"/>
          <w:lang w:val="es-UY"/>
        </w:rPr>
        <w:t>Telemetry</w:t>
      </w:r>
      <w:proofErr w:type="spellEnd"/>
      <w:r>
        <w:rPr>
          <w:sz w:val="22"/>
          <w:szCs w:val="22"/>
          <w:lang w:val="es-UY"/>
        </w:rPr>
        <w:t xml:space="preserve"> </w:t>
      </w:r>
      <w:proofErr w:type="spellStart"/>
      <w:r>
        <w:rPr>
          <w:sz w:val="22"/>
          <w:szCs w:val="22"/>
          <w:lang w:val="es-UY"/>
        </w:rPr>
        <w:t>System</w:t>
      </w:r>
      <w:proofErr w:type="spellEnd"/>
      <w:r>
        <w:rPr>
          <w:sz w:val="22"/>
          <w:szCs w:val="22"/>
          <w:lang w:val="es-UY"/>
        </w:rPr>
        <w:t xml:space="preserve"> </w:t>
      </w:r>
      <w:proofErr w:type="spellStart"/>
      <w:r>
        <w:rPr>
          <w:sz w:val="22"/>
          <w:szCs w:val="22"/>
          <w:lang w:val="es-UY"/>
        </w:rPr>
        <w:t>Implementation</w:t>
      </w:r>
      <w:proofErr w:type="spellEnd"/>
      <w:r>
        <w:rPr>
          <w:sz w:val="22"/>
          <w:szCs w:val="22"/>
          <w:lang w:val="es-UY"/>
        </w:rPr>
        <w:t xml:space="preserve"> Plan, </w:t>
      </w:r>
      <w:proofErr w:type="spellStart"/>
      <w:r>
        <w:rPr>
          <w:sz w:val="22"/>
          <w:szCs w:val="22"/>
          <w:lang w:val="es-UY"/>
        </w:rPr>
        <w:t>including</w:t>
      </w:r>
      <w:proofErr w:type="spellEnd"/>
      <w:r>
        <w:rPr>
          <w:sz w:val="22"/>
          <w:szCs w:val="22"/>
          <w:lang w:val="es-UY"/>
        </w:rPr>
        <w:t xml:space="preserve"> a </w:t>
      </w:r>
      <w:proofErr w:type="spellStart"/>
      <w:r>
        <w:rPr>
          <w:sz w:val="22"/>
          <w:szCs w:val="22"/>
          <w:lang w:val="es-UY"/>
        </w:rPr>
        <w:t>breakdown</w:t>
      </w:r>
      <w:proofErr w:type="spellEnd"/>
      <w:r>
        <w:rPr>
          <w:sz w:val="22"/>
          <w:szCs w:val="22"/>
          <w:lang w:val="es-UY"/>
        </w:rPr>
        <w:t xml:space="preserve"> </w:t>
      </w:r>
      <w:proofErr w:type="spellStart"/>
      <w:r>
        <w:rPr>
          <w:sz w:val="22"/>
          <w:szCs w:val="22"/>
          <w:lang w:val="es-UY"/>
        </w:rPr>
        <w:t>of</w:t>
      </w:r>
      <w:proofErr w:type="spellEnd"/>
      <w:r>
        <w:rPr>
          <w:sz w:val="22"/>
          <w:szCs w:val="22"/>
          <w:lang w:val="es-UY"/>
        </w:rPr>
        <w:t xml:space="preserve"> </w:t>
      </w:r>
      <w:proofErr w:type="spellStart"/>
      <w:r>
        <w:rPr>
          <w:sz w:val="22"/>
          <w:szCs w:val="22"/>
          <w:lang w:val="es-UY"/>
        </w:rPr>
        <w:t>tasks</w:t>
      </w:r>
      <w:proofErr w:type="spellEnd"/>
      <w:r>
        <w:rPr>
          <w:sz w:val="22"/>
          <w:szCs w:val="22"/>
          <w:lang w:val="es-UY"/>
        </w:rPr>
        <w:t xml:space="preserve">, </w:t>
      </w:r>
      <w:proofErr w:type="spellStart"/>
      <w:r>
        <w:rPr>
          <w:sz w:val="22"/>
          <w:szCs w:val="22"/>
          <w:lang w:val="es-UY"/>
        </w:rPr>
        <w:t>execution</w:t>
      </w:r>
      <w:proofErr w:type="spellEnd"/>
      <w:r>
        <w:rPr>
          <w:sz w:val="22"/>
          <w:szCs w:val="22"/>
          <w:lang w:val="es-UY"/>
        </w:rPr>
        <w:t xml:space="preserve"> times and </w:t>
      </w:r>
      <w:proofErr w:type="spellStart"/>
      <w:r>
        <w:rPr>
          <w:sz w:val="22"/>
          <w:szCs w:val="22"/>
          <w:lang w:val="es-UY"/>
        </w:rPr>
        <w:t>milestones</w:t>
      </w:r>
      <w:proofErr w:type="spellEnd"/>
      <w:r>
        <w:rPr>
          <w:sz w:val="22"/>
          <w:szCs w:val="22"/>
          <w:lang w:val="es-UY"/>
        </w:rPr>
        <w:t xml:space="preserve">, </w:t>
      </w:r>
      <w:proofErr w:type="spellStart"/>
      <w:r>
        <w:rPr>
          <w:sz w:val="22"/>
          <w:szCs w:val="22"/>
          <w:lang w:val="es-UY"/>
        </w:rPr>
        <w:t>with</w:t>
      </w:r>
      <w:proofErr w:type="spellEnd"/>
      <w:r>
        <w:rPr>
          <w:sz w:val="22"/>
          <w:szCs w:val="22"/>
          <w:lang w:val="es-UY"/>
        </w:rPr>
        <w:t xml:space="preserve"> </w:t>
      </w:r>
      <w:proofErr w:type="spellStart"/>
      <w:r>
        <w:rPr>
          <w:sz w:val="22"/>
          <w:szCs w:val="22"/>
          <w:lang w:val="es-UY"/>
        </w:rPr>
        <w:t>the</w:t>
      </w:r>
      <w:proofErr w:type="spellEnd"/>
      <w:r>
        <w:rPr>
          <w:sz w:val="22"/>
          <w:szCs w:val="22"/>
          <w:lang w:val="es-UY"/>
        </w:rPr>
        <w:t xml:space="preserve"> </w:t>
      </w:r>
      <w:proofErr w:type="spellStart"/>
      <w:r>
        <w:rPr>
          <w:sz w:val="22"/>
          <w:szCs w:val="22"/>
          <w:lang w:val="es-UY"/>
        </w:rPr>
        <w:t>organization</w:t>
      </w:r>
      <w:proofErr w:type="spellEnd"/>
      <w:r>
        <w:rPr>
          <w:sz w:val="22"/>
          <w:szCs w:val="22"/>
          <w:lang w:val="es-UY"/>
        </w:rPr>
        <w:t xml:space="preserve">, </w:t>
      </w:r>
      <w:proofErr w:type="spellStart"/>
      <w:r>
        <w:rPr>
          <w:sz w:val="22"/>
          <w:szCs w:val="22"/>
          <w:lang w:val="es-UY"/>
        </w:rPr>
        <w:t>sequence</w:t>
      </w:r>
      <w:proofErr w:type="spellEnd"/>
      <w:r>
        <w:rPr>
          <w:sz w:val="22"/>
          <w:szCs w:val="22"/>
          <w:lang w:val="es-UY"/>
        </w:rPr>
        <w:t xml:space="preserve"> and </w:t>
      </w:r>
      <w:proofErr w:type="spellStart"/>
      <w:r>
        <w:rPr>
          <w:sz w:val="22"/>
          <w:szCs w:val="22"/>
          <w:lang w:val="es-UY"/>
        </w:rPr>
        <w:t>schedule</w:t>
      </w:r>
      <w:proofErr w:type="spellEnd"/>
      <w:r>
        <w:rPr>
          <w:sz w:val="22"/>
          <w:szCs w:val="22"/>
          <w:lang w:val="es-UY"/>
        </w:rPr>
        <w:t xml:space="preserve"> </w:t>
      </w:r>
      <w:proofErr w:type="spellStart"/>
      <w:r>
        <w:rPr>
          <w:sz w:val="22"/>
          <w:szCs w:val="22"/>
          <w:lang w:val="es-UY"/>
        </w:rPr>
        <w:t>of</w:t>
      </w:r>
      <w:proofErr w:type="spellEnd"/>
      <w:r>
        <w:rPr>
          <w:sz w:val="22"/>
          <w:szCs w:val="22"/>
          <w:lang w:val="es-UY"/>
        </w:rPr>
        <w:t xml:space="preserve"> </w:t>
      </w:r>
      <w:proofErr w:type="spellStart"/>
      <w:r>
        <w:rPr>
          <w:sz w:val="22"/>
          <w:szCs w:val="22"/>
          <w:lang w:val="es-UY"/>
        </w:rPr>
        <w:t>execution</w:t>
      </w:r>
      <w:proofErr w:type="spellEnd"/>
      <w:r>
        <w:rPr>
          <w:sz w:val="22"/>
          <w:szCs w:val="22"/>
          <w:lang w:val="es-UY"/>
        </w:rPr>
        <w:t xml:space="preserve"> </w:t>
      </w:r>
      <w:proofErr w:type="spellStart"/>
      <w:r>
        <w:rPr>
          <w:sz w:val="22"/>
          <w:szCs w:val="22"/>
          <w:lang w:val="es-UY"/>
        </w:rPr>
        <w:t>of</w:t>
      </w:r>
      <w:proofErr w:type="spellEnd"/>
      <w:r>
        <w:rPr>
          <w:sz w:val="22"/>
          <w:szCs w:val="22"/>
          <w:lang w:val="es-UY"/>
        </w:rPr>
        <w:t xml:space="preserve"> </w:t>
      </w:r>
      <w:proofErr w:type="spellStart"/>
      <w:r>
        <w:rPr>
          <w:sz w:val="22"/>
          <w:szCs w:val="22"/>
          <w:lang w:val="es-UY"/>
        </w:rPr>
        <w:t>all</w:t>
      </w:r>
      <w:proofErr w:type="spellEnd"/>
      <w:r>
        <w:rPr>
          <w:sz w:val="22"/>
          <w:szCs w:val="22"/>
          <w:lang w:val="es-UY"/>
        </w:rPr>
        <w:t xml:space="preserve"> </w:t>
      </w:r>
      <w:proofErr w:type="spellStart"/>
      <w:r>
        <w:rPr>
          <w:sz w:val="22"/>
          <w:szCs w:val="22"/>
          <w:lang w:val="es-UY"/>
        </w:rPr>
        <w:t>activities</w:t>
      </w:r>
      <w:proofErr w:type="spellEnd"/>
      <w:r>
        <w:rPr>
          <w:sz w:val="22"/>
          <w:szCs w:val="22"/>
          <w:lang w:val="es-UY"/>
        </w:rPr>
        <w:t>.</w:t>
      </w:r>
    </w:p>
    <w:p w14:paraId="14B4698D" w14:textId="77777777" w:rsidR="00E255F4" w:rsidRDefault="00000000">
      <w:pPr>
        <w:pStyle w:val="Prrafodelista"/>
        <w:numPr>
          <w:ilvl w:val="1"/>
          <w:numId w:val="29"/>
        </w:numPr>
        <w:spacing w:after="120"/>
        <w:ind w:left="567" w:hanging="567"/>
        <w:jc w:val="both"/>
      </w:pPr>
      <w:r>
        <w:rPr>
          <w:sz w:val="22"/>
          <w:szCs w:val="22"/>
          <w:lang w:val="es-ES"/>
        </w:rPr>
        <w:t xml:space="preserve">OSE </w:t>
      </w:r>
      <w:proofErr w:type="spellStart"/>
      <w:r>
        <w:rPr>
          <w:sz w:val="22"/>
          <w:szCs w:val="22"/>
          <w:lang w:val="es-ES"/>
        </w:rPr>
        <w:t>will</w:t>
      </w:r>
      <w:proofErr w:type="spellEnd"/>
      <w:r>
        <w:rPr>
          <w:sz w:val="22"/>
          <w:szCs w:val="22"/>
          <w:lang w:val="es-ES"/>
        </w:rPr>
        <w:t xml:space="preserve"> </w:t>
      </w:r>
      <w:proofErr w:type="spellStart"/>
      <w:r>
        <w:rPr>
          <w:sz w:val="22"/>
          <w:szCs w:val="22"/>
          <w:lang w:val="es-ES"/>
        </w:rPr>
        <w:t>provide</w:t>
      </w:r>
      <w:proofErr w:type="spellEnd"/>
      <w:r>
        <w:rPr>
          <w:sz w:val="22"/>
          <w:szCs w:val="22"/>
          <w:lang w:val="es-ES"/>
        </w:rPr>
        <w:t xml:space="preserve"> </w:t>
      </w:r>
      <w:proofErr w:type="spellStart"/>
      <w:r>
        <w:rPr>
          <w:sz w:val="22"/>
          <w:szCs w:val="22"/>
          <w:lang w:val="es-ES"/>
        </w:rPr>
        <w:t>the</w:t>
      </w:r>
      <w:proofErr w:type="spellEnd"/>
      <w:r>
        <w:rPr>
          <w:sz w:val="22"/>
          <w:szCs w:val="22"/>
          <w:lang w:val="es-ES"/>
        </w:rPr>
        <w:t xml:space="preserve"> </w:t>
      </w:r>
      <w:proofErr w:type="spellStart"/>
      <w:r>
        <w:rPr>
          <w:sz w:val="22"/>
          <w:szCs w:val="22"/>
          <w:lang w:val="es-ES"/>
        </w:rPr>
        <w:t>successful</w:t>
      </w:r>
      <w:proofErr w:type="spellEnd"/>
      <w:r>
        <w:rPr>
          <w:sz w:val="22"/>
          <w:szCs w:val="22"/>
          <w:lang w:val="es-ES"/>
        </w:rPr>
        <w:t xml:space="preserve"> </w:t>
      </w:r>
      <w:proofErr w:type="spellStart"/>
      <w:r>
        <w:rPr>
          <w:sz w:val="22"/>
          <w:szCs w:val="22"/>
          <w:lang w:val="es-ES"/>
        </w:rPr>
        <w:t>bidder</w:t>
      </w:r>
      <w:proofErr w:type="spellEnd"/>
      <w:r>
        <w:rPr>
          <w:sz w:val="22"/>
          <w:szCs w:val="22"/>
          <w:lang w:val="es-ES"/>
        </w:rPr>
        <w:t xml:space="preserve"> </w:t>
      </w:r>
      <w:proofErr w:type="spellStart"/>
      <w:r>
        <w:rPr>
          <w:sz w:val="22"/>
          <w:szCs w:val="22"/>
          <w:lang w:val="es-ES"/>
        </w:rPr>
        <w:t>with</w:t>
      </w:r>
      <w:proofErr w:type="spellEnd"/>
      <w:r>
        <w:rPr>
          <w:sz w:val="22"/>
          <w:szCs w:val="22"/>
          <w:lang w:val="es-ES"/>
        </w:rPr>
        <w:t xml:space="preserve"> a </w:t>
      </w:r>
      <w:proofErr w:type="spellStart"/>
      <w:r>
        <w:rPr>
          <w:sz w:val="22"/>
          <w:szCs w:val="22"/>
          <w:lang w:val="es-ES"/>
        </w:rPr>
        <w:t>list</w:t>
      </w:r>
      <w:proofErr w:type="spellEnd"/>
      <w:r>
        <w:rPr>
          <w:sz w:val="22"/>
          <w:szCs w:val="22"/>
          <w:lang w:val="es-ES"/>
        </w:rPr>
        <w:t xml:space="preserve"> </w:t>
      </w:r>
      <w:proofErr w:type="spellStart"/>
      <w:r>
        <w:rPr>
          <w:sz w:val="22"/>
          <w:szCs w:val="22"/>
          <w:lang w:val="es-ES"/>
        </w:rPr>
        <w:t>of</w:t>
      </w:r>
      <w:proofErr w:type="spellEnd"/>
      <w:r>
        <w:rPr>
          <w:sz w:val="22"/>
          <w:szCs w:val="22"/>
          <w:lang w:val="es-ES"/>
        </w:rPr>
        <w:t xml:space="preserve"> </w:t>
      </w:r>
      <w:proofErr w:type="spellStart"/>
      <w:r>
        <w:rPr>
          <w:sz w:val="22"/>
          <w:szCs w:val="22"/>
          <w:lang w:val="es-ES"/>
        </w:rPr>
        <w:t>all</w:t>
      </w:r>
      <w:proofErr w:type="spellEnd"/>
      <w:r>
        <w:rPr>
          <w:sz w:val="22"/>
          <w:szCs w:val="22"/>
          <w:lang w:val="es-ES"/>
        </w:rPr>
        <w:t xml:space="preserve"> </w:t>
      </w:r>
      <w:proofErr w:type="spellStart"/>
      <w:r>
        <w:rPr>
          <w:sz w:val="22"/>
          <w:szCs w:val="22"/>
          <w:lang w:val="es-ES"/>
        </w:rPr>
        <w:t>connections</w:t>
      </w:r>
      <w:proofErr w:type="spellEnd"/>
      <w:r>
        <w:rPr>
          <w:sz w:val="22"/>
          <w:szCs w:val="22"/>
          <w:lang w:val="es-ES"/>
        </w:rPr>
        <w:t xml:space="preserve"> </w:t>
      </w:r>
      <w:proofErr w:type="spellStart"/>
      <w:r>
        <w:rPr>
          <w:sz w:val="22"/>
          <w:szCs w:val="22"/>
          <w:lang w:val="es-ES"/>
        </w:rPr>
        <w:t>that</w:t>
      </w:r>
      <w:proofErr w:type="spellEnd"/>
      <w:r>
        <w:rPr>
          <w:sz w:val="22"/>
          <w:szCs w:val="22"/>
          <w:lang w:val="es-ES"/>
        </w:rPr>
        <w:t xml:space="preserve"> </w:t>
      </w:r>
      <w:proofErr w:type="spellStart"/>
      <w:r>
        <w:rPr>
          <w:sz w:val="22"/>
          <w:szCs w:val="22"/>
          <w:lang w:val="es-ES"/>
        </w:rPr>
        <w:t>require</w:t>
      </w:r>
      <w:proofErr w:type="spellEnd"/>
      <w:r>
        <w:rPr>
          <w:sz w:val="22"/>
          <w:szCs w:val="22"/>
          <w:lang w:val="es-ES"/>
        </w:rPr>
        <w:t xml:space="preserve"> remote </w:t>
      </w:r>
      <w:proofErr w:type="spellStart"/>
      <w:r>
        <w:rPr>
          <w:sz w:val="22"/>
          <w:szCs w:val="22"/>
          <w:lang w:val="es-ES"/>
        </w:rPr>
        <w:t>metering</w:t>
      </w:r>
      <w:proofErr w:type="spellEnd"/>
      <w:r>
        <w:rPr>
          <w:sz w:val="22"/>
          <w:szCs w:val="22"/>
          <w:lang w:val="es-ES"/>
        </w:rPr>
        <w:t>.</w:t>
      </w:r>
    </w:p>
    <w:p w14:paraId="6841FDAB" w14:textId="77777777" w:rsidR="00E255F4" w:rsidRDefault="00000000">
      <w:pPr>
        <w:pStyle w:val="Prrafodelista"/>
        <w:numPr>
          <w:ilvl w:val="1"/>
          <w:numId w:val="29"/>
        </w:numPr>
        <w:spacing w:after="120"/>
        <w:ind w:left="567" w:hanging="567"/>
        <w:jc w:val="both"/>
        <w:rPr>
          <w:sz w:val="22"/>
          <w:szCs w:val="22"/>
          <w:lang w:val="es-ES"/>
        </w:rPr>
      </w:pPr>
      <w:r>
        <w:rPr>
          <w:sz w:val="22"/>
          <w:szCs w:val="22"/>
          <w:lang w:val="es-ES"/>
        </w:rPr>
        <w:t xml:space="preserve">The </w:t>
      </w:r>
      <w:proofErr w:type="spellStart"/>
      <w:r>
        <w:rPr>
          <w:sz w:val="22"/>
          <w:szCs w:val="22"/>
          <w:lang w:val="es-ES"/>
        </w:rPr>
        <w:t>following</w:t>
      </w:r>
      <w:proofErr w:type="spellEnd"/>
      <w:r>
        <w:rPr>
          <w:sz w:val="22"/>
          <w:szCs w:val="22"/>
          <w:lang w:val="es-ES"/>
        </w:rPr>
        <w:t xml:space="preserve"> describes </w:t>
      </w:r>
      <w:proofErr w:type="spellStart"/>
      <w:r>
        <w:rPr>
          <w:sz w:val="22"/>
          <w:szCs w:val="22"/>
          <w:lang w:val="es-ES"/>
        </w:rPr>
        <w:t>some</w:t>
      </w:r>
      <w:proofErr w:type="spellEnd"/>
      <w:r>
        <w:rPr>
          <w:sz w:val="22"/>
          <w:szCs w:val="22"/>
          <w:lang w:val="es-ES"/>
        </w:rPr>
        <w:t xml:space="preserve"> </w:t>
      </w:r>
      <w:proofErr w:type="spellStart"/>
      <w:r>
        <w:rPr>
          <w:sz w:val="22"/>
          <w:szCs w:val="22"/>
          <w:lang w:val="es-ES"/>
        </w:rPr>
        <w:t>of</w:t>
      </w:r>
      <w:proofErr w:type="spellEnd"/>
      <w:r>
        <w:rPr>
          <w:sz w:val="22"/>
          <w:szCs w:val="22"/>
          <w:lang w:val="es-ES"/>
        </w:rPr>
        <w:t xml:space="preserve"> </w:t>
      </w:r>
      <w:proofErr w:type="spellStart"/>
      <w:r>
        <w:rPr>
          <w:sz w:val="22"/>
          <w:szCs w:val="22"/>
          <w:lang w:val="es-ES"/>
        </w:rPr>
        <w:t>the</w:t>
      </w:r>
      <w:proofErr w:type="spellEnd"/>
      <w:r>
        <w:rPr>
          <w:sz w:val="22"/>
          <w:szCs w:val="22"/>
          <w:lang w:val="es-ES"/>
        </w:rPr>
        <w:t xml:space="preserve"> </w:t>
      </w:r>
      <w:proofErr w:type="spellStart"/>
      <w:r>
        <w:rPr>
          <w:sz w:val="22"/>
          <w:szCs w:val="22"/>
          <w:lang w:val="es-ES"/>
        </w:rPr>
        <w:t>tasks</w:t>
      </w:r>
      <w:proofErr w:type="spellEnd"/>
      <w:r>
        <w:rPr>
          <w:sz w:val="22"/>
          <w:szCs w:val="22"/>
          <w:lang w:val="es-ES"/>
        </w:rPr>
        <w:t xml:space="preserve"> </w:t>
      </w:r>
      <w:proofErr w:type="spellStart"/>
      <w:r>
        <w:rPr>
          <w:sz w:val="22"/>
          <w:szCs w:val="22"/>
          <w:lang w:val="es-ES"/>
        </w:rPr>
        <w:t>that</w:t>
      </w:r>
      <w:proofErr w:type="spellEnd"/>
      <w:r>
        <w:rPr>
          <w:sz w:val="22"/>
          <w:szCs w:val="22"/>
          <w:lang w:val="es-ES"/>
        </w:rPr>
        <w:t xml:space="preserve"> are </w:t>
      </w:r>
      <w:proofErr w:type="spellStart"/>
      <w:r>
        <w:rPr>
          <w:sz w:val="22"/>
          <w:szCs w:val="22"/>
          <w:lang w:val="es-ES"/>
        </w:rPr>
        <w:t>understood</w:t>
      </w:r>
      <w:proofErr w:type="spellEnd"/>
      <w:r>
        <w:rPr>
          <w:sz w:val="22"/>
          <w:szCs w:val="22"/>
          <w:lang w:val="es-ES"/>
        </w:rPr>
        <w:t xml:space="preserve"> </w:t>
      </w:r>
      <w:proofErr w:type="spellStart"/>
      <w:r>
        <w:rPr>
          <w:sz w:val="22"/>
          <w:szCs w:val="22"/>
          <w:lang w:val="es-ES"/>
        </w:rPr>
        <w:t>to</w:t>
      </w:r>
      <w:proofErr w:type="spellEnd"/>
      <w:r>
        <w:rPr>
          <w:sz w:val="22"/>
          <w:szCs w:val="22"/>
          <w:lang w:val="es-ES"/>
        </w:rPr>
        <w:t xml:space="preserve"> be </w:t>
      </w:r>
      <w:proofErr w:type="spellStart"/>
      <w:r>
        <w:rPr>
          <w:sz w:val="22"/>
          <w:szCs w:val="22"/>
          <w:lang w:val="es-ES"/>
        </w:rPr>
        <w:t>included</w:t>
      </w:r>
      <w:proofErr w:type="spellEnd"/>
      <w:r>
        <w:rPr>
          <w:sz w:val="22"/>
          <w:szCs w:val="22"/>
          <w:lang w:val="es-ES"/>
        </w:rPr>
        <w:t xml:space="preserve"> in </w:t>
      </w:r>
      <w:proofErr w:type="spellStart"/>
      <w:r>
        <w:rPr>
          <w:sz w:val="22"/>
          <w:szCs w:val="22"/>
          <w:lang w:val="es-ES"/>
        </w:rPr>
        <w:t>the</w:t>
      </w:r>
      <w:proofErr w:type="spellEnd"/>
      <w:r>
        <w:rPr>
          <w:sz w:val="22"/>
          <w:szCs w:val="22"/>
          <w:lang w:val="es-ES"/>
        </w:rPr>
        <w:t xml:space="preserve"> </w:t>
      </w:r>
      <w:proofErr w:type="spellStart"/>
      <w:r>
        <w:rPr>
          <w:sz w:val="22"/>
          <w:szCs w:val="22"/>
          <w:lang w:val="es-ES"/>
        </w:rPr>
        <w:t>installation</w:t>
      </w:r>
      <w:proofErr w:type="spellEnd"/>
      <w:r>
        <w:rPr>
          <w:sz w:val="22"/>
          <w:szCs w:val="22"/>
          <w:lang w:val="es-ES"/>
        </w:rPr>
        <w:t xml:space="preserve"> </w:t>
      </w:r>
      <w:proofErr w:type="spellStart"/>
      <w:r>
        <w:rPr>
          <w:sz w:val="22"/>
          <w:szCs w:val="22"/>
          <w:lang w:val="es-ES"/>
        </w:rPr>
        <w:t>of</w:t>
      </w:r>
      <w:proofErr w:type="spellEnd"/>
      <w:r>
        <w:rPr>
          <w:sz w:val="22"/>
          <w:szCs w:val="22"/>
          <w:lang w:val="es-ES"/>
        </w:rPr>
        <w:t xml:space="preserve"> </w:t>
      </w:r>
      <w:proofErr w:type="spellStart"/>
      <w:r>
        <w:rPr>
          <w:sz w:val="22"/>
          <w:szCs w:val="22"/>
          <w:lang w:val="es-ES"/>
        </w:rPr>
        <w:t>the</w:t>
      </w:r>
      <w:proofErr w:type="spellEnd"/>
      <w:r>
        <w:rPr>
          <w:sz w:val="22"/>
          <w:szCs w:val="22"/>
          <w:lang w:val="es-ES"/>
        </w:rPr>
        <w:t xml:space="preserve"> </w:t>
      </w:r>
      <w:proofErr w:type="spellStart"/>
      <w:r>
        <w:rPr>
          <w:sz w:val="22"/>
          <w:szCs w:val="22"/>
          <w:lang w:val="es-ES"/>
        </w:rPr>
        <w:t>telemetry</w:t>
      </w:r>
      <w:proofErr w:type="spellEnd"/>
      <w:r>
        <w:rPr>
          <w:sz w:val="22"/>
          <w:szCs w:val="22"/>
          <w:lang w:val="es-ES"/>
        </w:rPr>
        <w:t xml:space="preserve"> </w:t>
      </w:r>
      <w:proofErr w:type="spellStart"/>
      <w:r>
        <w:rPr>
          <w:sz w:val="22"/>
          <w:szCs w:val="22"/>
          <w:lang w:val="es-ES"/>
        </w:rPr>
        <w:t>equipment</w:t>
      </w:r>
      <w:proofErr w:type="spellEnd"/>
      <w:r>
        <w:rPr>
          <w:sz w:val="22"/>
          <w:szCs w:val="22"/>
          <w:lang w:val="es-ES"/>
        </w:rPr>
        <w:t xml:space="preserve">, </w:t>
      </w:r>
      <w:proofErr w:type="spellStart"/>
      <w:r>
        <w:rPr>
          <w:sz w:val="22"/>
          <w:szCs w:val="22"/>
          <w:lang w:val="es-ES"/>
        </w:rPr>
        <w:t>which</w:t>
      </w:r>
      <w:proofErr w:type="spellEnd"/>
      <w:r>
        <w:rPr>
          <w:sz w:val="22"/>
          <w:szCs w:val="22"/>
          <w:lang w:val="es-ES"/>
        </w:rPr>
        <w:t xml:space="preserve"> </w:t>
      </w:r>
      <w:proofErr w:type="spellStart"/>
      <w:r>
        <w:rPr>
          <w:sz w:val="22"/>
          <w:szCs w:val="22"/>
          <w:lang w:val="es-ES"/>
        </w:rPr>
        <w:t>must</w:t>
      </w:r>
      <w:proofErr w:type="spellEnd"/>
      <w:r>
        <w:rPr>
          <w:sz w:val="22"/>
          <w:szCs w:val="22"/>
          <w:lang w:val="es-ES"/>
        </w:rPr>
        <w:t xml:space="preserve"> be </w:t>
      </w:r>
      <w:proofErr w:type="spellStart"/>
      <w:r>
        <w:rPr>
          <w:sz w:val="22"/>
          <w:szCs w:val="22"/>
          <w:lang w:val="es-ES"/>
        </w:rPr>
        <w:t>integrated</w:t>
      </w:r>
      <w:proofErr w:type="spellEnd"/>
      <w:r>
        <w:rPr>
          <w:sz w:val="22"/>
          <w:szCs w:val="22"/>
          <w:lang w:val="es-ES"/>
        </w:rPr>
        <w:t xml:space="preserve"> </w:t>
      </w:r>
      <w:proofErr w:type="spellStart"/>
      <w:r>
        <w:rPr>
          <w:sz w:val="22"/>
          <w:szCs w:val="22"/>
          <w:lang w:val="es-ES"/>
        </w:rPr>
        <w:t>into</w:t>
      </w:r>
      <w:proofErr w:type="spellEnd"/>
      <w:r>
        <w:rPr>
          <w:sz w:val="22"/>
          <w:szCs w:val="22"/>
          <w:lang w:val="es-ES"/>
        </w:rPr>
        <w:t xml:space="preserve"> </w:t>
      </w:r>
      <w:proofErr w:type="spellStart"/>
      <w:r>
        <w:rPr>
          <w:sz w:val="22"/>
          <w:szCs w:val="22"/>
          <w:lang w:val="es-ES"/>
        </w:rPr>
        <w:t>the</w:t>
      </w:r>
      <w:proofErr w:type="spellEnd"/>
      <w:r>
        <w:rPr>
          <w:sz w:val="22"/>
          <w:szCs w:val="22"/>
          <w:lang w:val="es-ES"/>
        </w:rPr>
        <w:t xml:space="preserve"> </w:t>
      </w:r>
      <w:proofErr w:type="spellStart"/>
      <w:r>
        <w:rPr>
          <w:sz w:val="22"/>
          <w:szCs w:val="22"/>
          <w:lang w:val="es-ES"/>
        </w:rPr>
        <w:t>Implementation</w:t>
      </w:r>
      <w:proofErr w:type="spellEnd"/>
      <w:r>
        <w:rPr>
          <w:sz w:val="22"/>
          <w:szCs w:val="22"/>
          <w:lang w:val="es-ES"/>
        </w:rPr>
        <w:t xml:space="preserve"> Plan </w:t>
      </w:r>
      <w:proofErr w:type="spellStart"/>
      <w:r>
        <w:rPr>
          <w:sz w:val="22"/>
          <w:szCs w:val="22"/>
          <w:lang w:val="es-ES"/>
        </w:rPr>
        <w:t>of</w:t>
      </w:r>
      <w:proofErr w:type="spellEnd"/>
      <w:r>
        <w:rPr>
          <w:sz w:val="22"/>
          <w:szCs w:val="22"/>
          <w:lang w:val="es-ES"/>
        </w:rPr>
        <w:t xml:space="preserve"> </w:t>
      </w:r>
      <w:proofErr w:type="spellStart"/>
      <w:r>
        <w:rPr>
          <w:sz w:val="22"/>
          <w:szCs w:val="22"/>
          <w:lang w:val="es-ES"/>
        </w:rPr>
        <w:t>the</w:t>
      </w:r>
      <w:proofErr w:type="spellEnd"/>
      <w:r>
        <w:rPr>
          <w:sz w:val="22"/>
          <w:szCs w:val="22"/>
          <w:lang w:val="es-ES"/>
        </w:rPr>
        <w:t xml:space="preserve"> </w:t>
      </w:r>
      <w:proofErr w:type="spellStart"/>
      <w:r>
        <w:rPr>
          <w:sz w:val="22"/>
          <w:szCs w:val="22"/>
          <w:lang w:val="es-ES"/>
        </w:rPr>
        <w:t>requested</w:t>
      </w:r>
      <w:proofErr w:type="spellEnd"/>
      <w:r>
        <w:rPr>
          <w:sz w:val="22"/>
          <w:szCs w:val="22"/>
          <w:lang w:val="es-ES"/>
        </w:rPr>
        <w:t xml:space="preserve"> </w:t>
      </w:r>
      <w:proofErr w:type="spellStart"/>
      <w:r>
        <w:rPr>
          <w:sz w:val="22"/>
          <w:szCs w:val="22"/>
          <w:lang w:val="es-ES"/>
        </w:rPr>
        <w:t>project</w:t>
      </w:r>
      <w:proofErr w:type="spellEnd"/>
      <w:r>
        <w:rPr>
          <w:sz w:val="22"/>
          <w:szCs w:val="22"/>
          <w:lang w:val="es-ES"/>
        </w:rPr>
        <w:t>:</w:t>
      </w:r>
    </w:p>
    <w:p w14:paraId="46AD72D8" w14:textId="77777777" w:rsidR="00E255F4" w:rsidRDefault="00000000">
      <w:pPr>
        <w:numPr>
          <w:ilvl w:val="1"/>
          <w:numId w:val="59"/>
        </w:numPr>
        <w:tabs>
          <w:tab w:val="left" w:pos="1418"/>
        </w:tabs>
        <w:spacing w:after="120"/>
        <w:ind w:left="1418" w:hanging="425"/>
        <w:jc w:val="both"/>
        <w:rPr>
          <w:sz w:val="22"/>
          <w:szCs w:val="22"/>
          <w:lang w:val="es-ES"/>
        </w:rPr>
      </w:pPr>
      <w:r>
        <w:rPr>
          <w:sz w:val="22"/>
          <w:szCs w:val="22"/>
          <w:lang w:val="es-ES_tradnl"/>
        </w:rPr>
        <w:t xml:space="preserve">The </w:t>
      </w:r>
      <w:proofErr w:type="spellStart"/>
      <w:r>
        <w:rPr>
          <w:sz w:val="22"/>
          <w:szCs w:val="22"/>
          <w:lang w:val="es-ES_tradnl"/>
        </w:rPr>
        <w:t>supplier</w:t>
      </w:r>
      <w:proofErr w:type="spellEnd"/>
      <w:r>
        <w:rPr>
          <w:sz w:val="22"/>
          <w:szCs w:val="22"/>
          <w:lang w:val="es-ES_tradnl"/>
        </w:rPr>
        <w:t xml:space="preserve"> </w:t>
      </w:r>
      <w:proofErr w:type="spellStart"/>
      <w:r>
        <w:rPr>
          <w:sz w:val="22"/>
          <w:szCs w:val="22"/>
          <w:lang w:val="es-ES_tradnl"/>
        </w:rPr>
        <w:t>will</w:t>
      </w:r>
      <w:proofErr w:type="spellEnd"/>
      <w:r>
        <w:rPr>
          <w:sz w:val="22"/>
          <w:szCs w:val="22"/>
          <w:lang w:val="es-ES_tradnl"/>
        </w:rPr>
        <w:t xml:space="preserve"> be </w:t>
      </w:r>
      <w:proofErr w:type="spellStart"/>
      <w:r>
        <w:rPr>
          <w:sz w:val="22"/>
          <w:szCs w:val="22"/>
          <w:lang w:val="es-ES_tradnl"/>
        </w:rPr>
        <w:t>responsible</w:t>
      </w:r>
      <w:proofErr w:type="spellEnd"/>
      <w:r>
        <w:rPr>
          <w:sz w:val="22"/>
          <w:szCs w:val="22"/>
          <w:lang w:val="es-ES_tradnl"/>
        </w:rPr>
        <w:t xml:space="preserve"> </w:t>
      </w:r>
      <w:proofErr w:type="spellStart"/>
      <w:r>
        <w:rPr>
          <w:sz w:val="22"/>
          <w:szCs w:val="22"/>
          <w:lang w:val="es-ES_tradnl"/>
        </w:rPr>
        <w:t>for</w:t>
      </w:r>
      <w:proofErr w:type="spellEnd"/>
      <w:r>
        <w:rPr>
          <w:sz w:val="22"/>
          <w:szCs w:val="22"/>
          <w:lang w:val="es-ES_tradnl"/>
        </w:rPr>
        <w:t xml:space="preserve"> </w:t>
      </w:r>
      <w:proofErr w:type="spellStart"/>
      <w:r>
        <w:rPr>
          <w:sz w:val="22"/>
          <w:szCs w:val="22"/>
          <w:lang w:val="es-ES_tradnl"/>
        </w:rPr>
        <w:t>configuring</w:t>
      </w:r>
      <w:proofErr w:type="spellEnd"/>
      <w:r>
        <w:rPr>
          <w:sz w:val="22"/>
          <w:szCs w:val="22"/>
          <w:lang w:val="es-ES_tradnl"/>
        </w:rPr>
        <w:t xml:space="preserve"> and </w:t>
      </w:r>
      <w:proofErr w:type="spellStart"/>
      <w:r>
        <w:rPr>
          <w:sz w:val="22"/>
          <w:szCs w:val="22"/>
          <w:lang w:val="es-ES_tradnl"/>
        </w:rPr>
        <w:t>calibrating</w:t>
      </w:r>
      <w:proofErr w:type="spellEnd"/>
      <w:r>
        <w:rPr>
          <w:sz w:val="22"/>
          <w:szCs w:val="22"/>
          <w:lang w:val="es-ES_tradnl"/>
        </w:rPr>
        <w:t xml:space="preserve"> </w:t>
      </w:r>
      <w:proofErr w:type="spellStart"/>
      <w:r>
        <w:rPr>
          <w:sz w:val="22"/>
          <w:szCs w:val="22"/>
          <w:lang w:val="es-ES_tradnl"/>
        </w:rPr>
        <w:t>the</w:t>
      </w:r>
      <w:proofErr w:type="spellEnd"/>
      <w:r>
        <w:rPr>
          <w:sz w:val="22"/>
          <w:szCs w:val="22"/>
          <w:lang w:val="es-ES_tradnl"/>
        </w:rPr>
        <w:t xml:space="preserve"> </w:t>
      </w:r>
      <w:proofErr w:type="spellStart"/>
      <w:r>
        <w:rPr>
          <w:sz w:val="22"/>
          <w:szCs w:val="22"/>
          <w:lang w:val="es-ES_tradnl"/>
        </w:rPr>
        <w:t>measuring</w:t>
      </w:r>
      <w:proofErr w:type="spellEnd"/>
      <w:r>
        <w:rPr>
          <w:sz w:val="22"/>
          <w:szCs w:val="22"/>
          <w:lang w:val="es-ES_tradnl"/>
        </w:rPr>
        <w:t xml:space="preserve"> and </w:t>
      </w:r>
      <w:proofErr w:type="spellStart"/>
      <w:r>
        <w:rPr>
          <w:sz w:val="22"/>
          <w:szCs w:val="22"/>
          <w:lang w:val="es-ES_tradnl"/>
        </w:rPr>
        <w:t>transmission</w:t>
      </w:r>
      <w:proofErr w:type="spellEnd"/>
      <w:r>
        <w:rPr>
          <w:sz w:val="22"/>
          <w:szCs w:val="22"/>
          <w:lang w:val="es-ES_tradnl"/>
        </w:rPr>
        <w:t xml:space="preserve"> </w:t>
      </w:r>
      <w:proofErr w:type="spellStart"/>
      <w:r>
        <w:rPr>
          <w:sz w:val="22"/>
          <w:szCs w:val="22"/>
          <w:lang w:val="es-ES_tradnl"/>
        </w:rPr>
        <w:t>device</w:t>
      </w:r>
      <w:proofErr w:type="spellEnd"/>
      <w:r>
        <w:rPr>
          <w:sz w:val="22"/>
          <w:szCs w:val="22"/>
          <w:lang w:val="es-ES_tradnl"/>
        </w:rPr>
        <w:t>.</w:t>
      </w:r>
    </w:p>
    <w:p w14:paraId="071BADA0" w14:textId="77777777" w:rsidR="00E255F4" w:rsidRDefault="00000000">
      <w:pPr>
        <w:numPr>
          <w:ilvl w:val="1"/>
          <w:numId w:val="59"/>
        </w:numPr>
        <w:tabs>
          <w:tab w:val="left" w:pos="1418"/>
        </w:tabs>
        <w:spacing w:after="120"/>
        <w:ind w:left="1418" w:hanging="425"/>
        <w:jc w:val="both"/>
      </w:pPr>
      <w:r>
        <w:rPr>
          <w:sz w:val="22"/>
          <w:szCs w:val="22"/>
          <w:lang w:val="es-ES_tradnl"/>
        </w:rPr>
        <w:t xml:space="preserve">The </w:t>
      </w:r>
      <w:proofErr w:type="spellStart"/>
      <w:r>
        <w:rPr>
          <w:sz w:val="22"/>
          <w:szCs w:val="22"/>
          <w:lang w:val="es-ES_tradnl"/>
        </w:rPr>
        <w:t>drinking</w:t>
      </w:r>
      <w:proofErr w:type="spellEnd"/>
      <w:r>
        <w:rPr>
          <w:sz w:val="22"/>
          <w:szCs w:val="22"/>
          <w:lang w:val="es-ES_tradnl"/>
        </w:rPr>
        <w:t xml:space="preserve"> </w:t>
      </w:r>
      <w:proofErr w:type="spellStart"/>
      <w:r>
        <w:rPr>
          <w:sz w:val="22"/>
          <w:szCs w:val="22"/>
          <w:lang w:val="es-ES_tradnl"/>
        </w:rPr>
        <w:t>water</w:t>
      </w:r>
      <w:proofErr w:type="spellEnd"/>
      <w:r>
        <w:rPr>
          <w:sz w:val="22"/>
          <w:szCs w:val="22"/>
          <w:lang w:val="es-ES_tradnl"/>
        </w:rPr>
        <w:t xml:space="preserve"> </w:t>
      </w:r>
      <w:proofErr w:type="spellStart"/>
      <w:r>
        <w:rPr>
          <w:sz w:val="22"/>
          <w:szCs w:val="22"/>
          <w:lang w:val="es-ES_tradnl"/>
        </w:rPr>
        <w:t>meters</w:t>
      </w:r>
      <w:proofErr w:type="spellEnd"/>
      <w:r>
        <w:rPr>
          <w:sz w:val="22"/>
          <w:szCs w:val="22"/>
          <w:lang w:val="es-ES_tradnl"/>
        </w:rPr>
        <w:t xml:space="preserve"> </w:t>
      </w:r>
      <w:proofErr w:type="spellStart"/>
      <w:r>
        <w:rPr>
          <w:sz w:val="22"/>
          <w:szCs w:val="22"/>
          <w:lang w:val="es-ES_tradnl"/>
        </w:rPr>
        <w:t>to</w:t>
      </w:r>
      <w:proofErr w:type="spellEnd"/>
      <w:r>
        <w:rPr>
          <w:sz w:val="22"/>
          <w:szCs w:val="22"/>
          <w:lang w:val="es-ES_tradnl"/>
        </w:rPr>
        <w:t xml:space="preserve"> be </w:t>
      </w:r>
      <w:proofErr w:type="spellStart"/>
      <w:r>
        <w:rPr>
          <w:sz w:val="22"/>
          <w:szCs w:val="22"/>
          <w:lang w:val="es-ES_tradnl"/>
        </w:rPr>
        <w:t>used</w:t>
      </w:r>
      <w:proofErr w:type="spellEnd"/>
      <w:r>
        <w:rPr>
          <w:sz w:val="22"/>
          <w:szCs w:val="22"/>
          <w:lang w:val="es-ES_tradnl"/>
        </w:rPr>
        <w:t xml:space="preserve"> </w:t>
      </w:r>
      <w:proofErr w:type="spellStart"/>
      <w:r>
        <w:rPr>
          <w:sz w:val="22"/>
          <w:szCs w:val="22"/>
          <w:lang w:val="es-ES_tradnl"/>
        </w:rPr>
        <w:t>for</w:t>
      </w:r>
      <w:proofErr w:type="spellEnd"/>
      <w:r>
        <w:rPr>
          <w:sz w:val="22"/>
          <w:szCs w:val="22"/>
          <w:lang w:val="es-ES_tradnl"/>
        </w:rPr>
        <w:t xml:space="preserve"> remote </w:t>
      </w:r>
      <w:proofErr w:type="spellStart"/>
      <w:r>
        <w:rPr>
          <w:sz w:val="22"/>
          <w:szCs w:val="22"/>
          <w:lang w:val="es-ES_tradnl"/>
        </w:rPr>
        <w:t>metering</w:t>
      </w:r>
      <w:proofErr w:type="spellEnd"/>
      <w:r>
        <w:rPr>
          <w:sz w:val="22"/>
          <w:szCs w:val="22"/>
          <w:lang w:val="es-ES_tradnl"/>
        </w:rPr>
        <w:t xml:space="preserve"> </w:t>
      </w:r>
      <w:proofErr w:type="spellStart"/>
      <w:r>
        <w:rPr>
          <w:sz w:val="22"/>
          <w:szCs w:val="22"/>
          <w:lang w:val="es-ES_tradnl"/>
        </w:rPr>
        <w:t>will</w:t>
      </w:r>
      <w:proofErr w:type="spellEnd"/>
      <w:r>
        <w:rPr>
          <w:sz w:val="22"/>
          <w:szCs w:val="22"/>
          <w:lang w:val="es-ES_tradnl"/>
        </w:rPr>
        <w:t xml:space="preserve"> be </w:t>
      </w:r>
      <w:proofErr w:type="spellStart"/>
      <w:r>
        <w:rPr>
          <w:sz w:val="22"/>
          <w:szCs w:val="22"/>
          <w:lang w:val="es-ES_tradnl"/>
        </w:rPr>
        <w:t>installed</w:t>
      </w:r>
      <w:proofErr w:type="spellEnd"/>
      <w:r>
        <w:rPr>
          <w:sz w:val="22"/>
          <w:szCs w:val="22"/>
          <w:lang w:val="es-ES_tradnl"/>
        </w:rPr>
        <w:t xml:space="preserve"> </w:t>
      </w:r>
      <w:proofErr w:type="spellStart"/>
      <w:r>
        <w:rPr>
          <w:sz w:val="22"/>
          <w:szCs w:val="22"/>
          <w:lang w:val="es-ES_tradnl"/>
        </w:rPr>
        <w:t>by</w:t>
      </w:r>
      <w:proofErr w:type="spellEnd"/>
      <w:r>
        <w:rPr>
          <w:sz w:val="22"/>
          <w:szCs w:val="22"/>
          <w:lang w:val="es-ES_tradnl"/>
        </w:rPr>
        <w:t xml:space="preserve"> OSE </w:t>
      </w:r>
      <w:proofErr w:type="spellStart"/>
      <w:r>
        <w:rPr>
          <w:sz w:val="22"/>
          <w:szCs w:val="22"/>
          <w:lang w:val="es-ES_tradnl"/>
        </w:rPr>
        <w:t>personnel</w:t>
      </w:r>
      <w:proofErr w:type="spellEnd"/>
      <w:r>
        <w:rPr>
          <w:sz w:val="22"/>
          <w:szCs w:val="22"/>
          <w:lang w:val="es-ES_tradnl"/>
        </w:rPr>
        <w:t xml:space="preserve"> at </w:t>
      </w:r>
      <w:proofErr w:type="spellStart"/>
      <w:r>
        <w:rPr>
          <w:sz w:val="22"/>
          <w:szCs w:val="22"/>
          <w:lang w:val="es-ES_tradnl"/>
        </w:rPr>
        <w:t>the</w:t>
      </w:r>
      <w:proofErr w:type="spellEnd"/>
      <w:r>
        <w:rPr>
          <w:sz w:val="22"/>
          <w:szCs w:val="22"/>
          <w:lang w:val="es-ES_tradnl"/>
        </w:rPr>
        <w:t xml:space="preserve"> </w:t>
      </w:r>
      <w:proofErr w:type="spellStart"/>
      <w:r>
        <w:rPr>
          <w:sz w:val="22"/>
          <w:szCs w:val="22"/>
          <w:lang w:val="es-ES_tradnl"/>
        </w:rPr>
        <w:t>connections</w:t>
      </w:r>
      <w:proofErr w:type="spellEnd"/>
      <w:r>
        <w:rPr>
          <w:sz w:val="22"/>
          <w:szCs w:val="22"/>
          <w:lang w:val="es-ES_tradnl"/>
        </w:rPr>
        <w:t xml:space="preserve"> </w:t>
      </w:r>
      <w:proofErr w:type="spellStart"/>
      <w:r>
        <w:rPr>
          <w:sz w:val="22"/>
          <w:szCs w:val="22"/>
          <w:lang w:val="es-ES_tradnl"/>
        </w:rPr>
        <w:t>that</w:t>
      </w:r>
      <w:proofErr w:type="spellEnd"/>
      <w:r>
        <w:rPr>
          <w:sz w:val="22"/>
          <w:szCs w:val="22"/>
          <w:lang w:val="es-ES_tradnl"/>
        </w:rPr>
        <w:t xml:space="preserve"> </w:t>
      </w:r>
      <w:proofErr w:type="spellStart"/>
      <w:r>
        <w:rPr>
          <w:sz w:val="22"/>
          <w:szCs w:val="22"/>
          <w:lang w:val="es-ES_tradnl"/>
        </w:rPr>
        <w:t>make</w:t>
      </w:r>
      <w:proofErr w:type="spellEnd"/>
      <w:r>
        <w:rPr>
          <w:sz w:val="22"/>
          <w:szCs w:val="22"/>
          <w:lang w:val="es-ES_tradnl"/>
        </w:rPr>
        <w:t xml:space="preserve"> up </w:t>
      </w:r>
      <w:proofErr w:type="spellStart"/>
      <w:r>
        <w:rPr>
          <w:sz w:val="22"/>
          <w:szCs w:val="22"/>
          <w:lang w:val="es-ES_tradnl"/>
        </w:rPr>
        <w:t>the</w:t>
      </w:r>
      <w:proofErr w:type="spellEnd"/>
      <w:r>
        <w:rPr>
          <w:sz w:val="22"/>
          <w:szCs w:val="22"/>
          <w:lang w:val="es-ES_tradnl"/>
        </w:rPr>
        <w:t xml:space="preserve"> </w:t>
      </w:r>
      <w:proofErr w:type="spellStart"/>
      <w:r>
        <w:rPr>
          <w:sz w:val="22"/>
          <w:szCs w:val="22"/>
          <w:lang w:val="es-ES_tradnl"/>
        </w:rPr>
        <w:t>service</w:t>
      </w:r>
      <w:proofErr w:type="spellEnd"/>
      <w:r>
        <w:rPr>
          <w:sz w:val="22"/>
          <w:szCs w:val="22"/>
          <w:lang w:val="es-ES_tradnl"/>
        </w:rPr>
        <w:t>.</w:t>
      </w:r>
    </w:p>
    <w:p w14:paraId="4BE08ED8" w14:textId="77777777" w:rsidR="00E255F4" w:rsidRDefault="00000000">
      <w:pPr>
        <w:numPr>
          <w:ilvl w:val="1"/>
          <w:numId w:val="59"/>
        </w:numPr>
        <w:tabs>
          <w:tab w:val="left" w:pos="1418"/>
        </w:tabs>
        <w:spacing w:after="120"/>
        <w:ind w:left="1418" w:hanging="425"/>
        <w:jc w:val="both"/>
      </w:pPr>
      <w:proofErr w:type="spellStart"/>
      <w:r>
        <w:rPr>
          <w:sz w:val="22"/>
          <w:szCs w:val="22"/>
          <w:lang w:val="es-ES_tradnl"/>
        </w:rPr>
        <w:lastRenderedPageBreak/>
        <w:t>If</w:t>
      </w:r>
      <w:proofErr w:type="spellEnd"/>
      <w:r>
        <w:rPr>
          <w:sz w:val="22"/>
          <w:szCs w:val="22"/>
          <w:lang w:val="es-ES_tradnl"/>
        </w:rPr>
        <w:t xml:space="preserve"> </w:t>
      </w:r>
      <w:proofErr w:type="spellStart"/>
      <w:r>
        <w:rPr>
          <w:sz w:val="22"/>
          <w:szCs w:val="22"/>
          <w:lang w:val="es-ES_tradnl"/>
        </w:rPr>
        <w:t>the</w:t>
      </w:r>
      <w:proofErr w:type="spellEnd"/>
      <w:r>
        <w:rPr>
          <w:sz w:val="22"/>
          <w:szCs w:val="22"/>
          <w:lang w:val="es-ES_tradnl"/>
        </w:rPr>
        <w:t xml:space="preserve"> </w:t>
      </w:r>
      <w:proofErr w:type="spellStart"/>
      <w:r>
        <w:rPr>
          <w:sz w:val="22"/>
          <w:szCs w:val="22"/>
          <w:lang w:val="es-ES_tradnl"/>
        </w:rPr>
        <w:t>technology</w:t>
      </w:r>
      <w:proofErr w:type="spellEnd"/>
      <w:r>
        <w:rPr>
          <w:sz w:val="22"/>
          <w:szCs w:val="22"/>
          <w:lang w:val="es-ES_tradnl"/>
        </w:rPr>
        <w:t xml:space="preserve"> </w:t>
      </w:r>
      <w:proofErr w:type="spellStart"/>
      <w:r>
        <w:rPr>
          <w:sz w:val="22"/>
          <w:szCs w:val="22"/>
          <w:lang w:val="es-ES_tradnl"/>
        </w:rPr>
        <w:t>requires</w:t>
      </w:r>
      <w:proofErr w:type="spellEnd"/>
      <w:r>
        <w:rPr>
          <w:sz w:val="22"/>
          <w:szCs w:val="22"/>
          <w:lang w:val="es-ES_tradnl"/>
        </w:rPr>
        <w:t xml:space="preserve"> </w:t>
      </w:r>
      <w:proofErr w:type="spellStart"/>
      <w:r>
        <w:rPr>
          <w:sz w:val="22"/>
          <w:szCs w:val="22"/>
          <w:lang w:val="es-ES_tradnl"/>
        </w:rPr>
        <w:t>that</w:t>
      </w:r>
      <w:proofErr w:type="spellEnd"/>
      <w:r>
        <w:rPr>
          <w:sz w:val="22"/>
          <w:szCs w:val="22"/>
          <w:lang w:val="es-ES_tradnl"/>
        </w:rPr>
        <w:t xml:space="preserve"> </w:t>
      </w:r>
      <w:proofErr w:type="spellStart"/>
      <w:r>
        <w:rPr>
          <w:sz w:val="22"/>
          <w:szCs w:val="22"/>
          <w:lang w:val="es-ES_tradnl"/>
        </w:rPr>
        <w:t>the</w:t>
      </w:r>
      <w:proofErr w:type="spellEnd"/>
      <w:r>
        <w:rPr>
          <w:sz w:val="22"/>
          <w:szCs w:val="22"/>
          <w:lang w:val="es-ES_tradnl"/>
        </w:rPr>
        <w:t xml:space="preserve"> </w:t>
      </w:r>
      <w:proofErr w:type="spellStart"/>
      <w:r>
        <w:rPr>
          <w:sz w:val="22"/>
          <w:szCs w:val="22"/>
          <w:lang w:val="es-ES_tradnl"/>
        </w:rPr>
        <w:t>meters</w:t>
      </w:r>
      <w:proofErr w:type="spellEnd"/>
      <w:r>
        <w:rPr>
          <w:sz w:val="22"/>
          <w:szCs w:val="22"/>
          <w:lang w:val="es-ES_tradnl"/>
        </w:rPr>
        <w:t xml:space="preserve"> be </w:t>
      </w:r>
      <w:proofErr w:type="spellStart"/>
      <w:r>
        <w:rPr>
          <w:sz w:val="22"/>
          <w:szCs w:val="22"/>
          <w:lang w:val="es-ES_tradnl"/>
        </w:rPr>
        <w:t>installed</w:t>
      </w:r>
      <w:proofErr w:type="spellEnd"/>
      <w:r>
        <w:rPr>
          <w:sz w:val="22"/>
          <w:szCs w:val="22"/>
          <w:lang w:val="es-ES_tradnl"/>
        </w:rPr>
        <w:t xml:space="preserve"> in a </w:t>
      </w:r>
      <w:proofErr w:type="spellStart"/>
      <w:r>
        <w:rPr>
          <w:sz w:val="22"/>
          <w:szCs w:val="22"/>
          <w:lang w:val="es-ES_tradnl"/>
        </w:rPr>
        <w:t>specific</w:t>
      </w:r>
      <w:proofErr w:type="spellEnd"/>
      <w:r>
        <w:rPr>
          <w:sz w:val="22"/>
          <w:szCs w:val="22"/>
          <w:lang w:val="es-ES_tradnl"/>
        </w:rPr>
        <w:t xml:space="preserve"> </w:t>
      </w:r>
      <w:proofErr w:type="spellStart"/>
      <w:r>
        <w:rPr>
          <w:sz w:val="22"/>
          <w:szCs w:val="22"/>
          <w:lang w:val="es-ES_tradnl"/>
        </w:rPr>
        <w:t>order</w:t>
      </w:r>
      <w:proofErr w:type="spellEnd"/>
      <w:r>
        <w:rPr>
          <w:sz w:val="22"/>
          <w:szCs w:val="22"/>
          <w:lang w:val="es-ES_tradnl"/>
        </w:rPr>
        <w:t xml:space="preserve">, </w:t>
      </w:r>
      <w:proofErr w:type="spellStart"/>
      <w:r>
        <w:rPr>
          <w:sz w:val="22"/>
          <w:szCs w:val="22"/>
          <w:lang w:val="es-ES_tradnl"/>
        </w:rPr>
        <w:t>the</w:t>
      </w:r>
      <w:proofErr w:type="spellEnd"/>
      <w:r>
        <w:rPr>
          <w:sz w:val="22"/>
          <w:szCs w:val="22"/>
          <w:lang w:val="es-ES_tradnl"/>
        </w:rPr>
        <w:t xml:space="preserve"> </w:t>
      </w:r>
      <w:proofErr w:type="spellStart"/>
      <w:r>
        <w:rPr>
          <w:sz w:val="22"/>
          <w:szCs w:val="22"/>
          <w:lang w:val="es-ES_tradnl"/>
        </w:rPr>
        <w:t>supplier</w:t>
      </w:r>
      <w:proofErr w:type="spellEnd"/>
      <w:r>
        <w:rPr>
          <w:sz w:val="22"/>
          <w:szCs w:val="22"/>
          <w:lang w:val="es-ES_tradnl"/>
        </w:rPr>
        <w:t xml:space="preserve"> </w:t>
      </w:r>
      <w:proofErr w:type="spellStart"/>
      <w:r>
        <w:rPr>
          <w:sz w:val="22"/>
          <w:szCs w:val="22"/>
          <w:lang w:val="es-ES_tradnl"/>
        </w:rPr>
        <w:t>will</w:t>
      </w:r>
      <w:proofErr w:type="spellEnd"/>
      <w:r>
        <w:rPr>
          <w:sz w:val="22"/>
          <w:szCs w:val="22"/>
          <w:lang w:val="es-ES_tradnl"/>
        </w:rPr>
        <w:t xml:space="preserve"> </w:t>
      </w:r>
      <w:proofErr w:type="spellStart"/>
      <w:r>
        <w:rPr>
          <w:sz w:val="22"/>
          <w:szCs w:val="22"/>
          <w:lang w:val="es-ES_tradnl"/>
        </w:rPr>
        <w:t>provide</w:t>
      </w:r>
      <w:proofErr w:type="spellEnd"/>
      <w:r>
        <w:rPr>
          <w:sz w:val="22"/>
          <w:szCs w:val="22"/>
          <w:lang w:val="es-ES_tradnl"/>
        </w:rPr>
        <w:t xml:space="preserve"> OSE </w:t>
      </w:r>
      <w:proofErr w:type="spellStart"/>
      <w:r>
        <w:rPr>
          <w:sz w:val="22"/>
          <w:szCs w:val="22"/>
          <w:lang w:val="es-ES_tradnl"/>
        </w:rPr>
        <w:t>with</w:t>
      </w:r>
      <w:proofErr w:type="spellEnd"/>
      <w:r>
        <w:rPr>
          <w:sz w:val="22"/>
          <w:szCs w:val="22"/>
          <w:lang w:val="es-ES_tradnl"/>
        </w:rPr>
        <w:t xml:space="preserve"> </w:t>
      </w:r>
      <w:proofErr w:type="spellStart"/>
      <w:r>
        <w:rPr>
          <w:sz w:val="22"/>
          <w:szCs w:val="22"/>
          <w:lang w:val="es-ES_tradnl"/>
        </w:rPr>
        <w:t>the</w:t>
      </w:r>
      <w:proofErr w:type="spellEnd"/>
      <w:r>
        <w:rPr>
          <w:sz w:val="22"/>
          <w:szCs w:val="22"/>
          <w:lang w:val="es-ES_tradnl"/>
        </w:rPr>
        <w:t xml:space="preserve"> </w:t>
      </w:r>
      <w:proofErr w:type="spellStart"/>
      <w:r>
        <w:rPr>
          <w:sz w:val="22"/>
          <w:szCs w:val="22"/>
          <w:lang w:val="es-ES_tradnl"/>
        </w:rPr>
        <w:t>necessary</w:t>
      </w:r>
      <w:proofErr w:type="spellEnd"/>
      <w:r>
        <w:rPr>
          <w:sz w:val="22"/>
          <w:szCs w:val="22"/>
          <w:lang w:val="es-ES_tradnl"/>
        </w:rPr>
        <w:t xml:space="preserve"> </w:t>
      </w:r>
      <w:proofErr w:type="spellStart"/>
      <w:r>
        <w:rPr>
          <w:sz w:val="22"/>
          <w:szCs w:val="22"/>
          <w:lang w:val="es-ES_tradnl"/>
        </w:rPr>
        <w:t>information</w:t>
      </w:r>
      <w:proofErr w:type="spellEnd"/>
      <w:r>
        <w:rPr>
          <w:sz w:val="22"/>
          <w:szCs w:val="22"/>
          <w:lang w:val="es-ES_tradnl"/>
        </w:rPr>
        <w:t xml:space="preserve"> so </w:t>
      </w:r>
      <w:proofErr w:type="spellStart"/>
      <w:r>
        <w:rPr>
          <w:sz w:val="22"/>
          <w:szCs w:val="22"/>
          <w:lang w:val="es-ES_tradnl"/>
        </w:rPr>
        <w:t>that</w:t>
      </w:r>
      <w:proofErr w:type="spellEnd"/>
      <w:r>
        <w:rPr>
          <w:sz w:val="22"/>
          <w:szCs w:val="22"/>
          <w:lang w:val="es-ES_tradnl"/>
        </w:rPr>
        <w:t xml:space="preserve"> OSE </w:t>
      </w:r>
      <w:proofErr w:type="spellStart"/>
      <w:r>
        <w:rPr>
          <w:sz w:val="22"/>
          <w:szCs w:val="22"/>
          <w:lang w:val="es-ES_tradnl"/>
        </w:rPr>
        <w:t>personnel</w:t>
      </w:r>
      <w:proofErr w:type="spellEnd"/>
      <w:r>
        <w:rPr>
          <w:sz w:val="22"/>
          <w:szCs w:val="22"/>
          <w:lang w:val="es-ES_tradnl"/>
        </w:rPr>
        <w:t xml:space="preserve"> can </w:t>
      </w:r>
      <w:proofErr w:type="spellStart"/>
      <w:r>
        <w:rPr>
          <w:sz w:val="22"/>
          <w:szCs w:val="22"/>
          <w:lang w:val="es-ES_tradnl"/>
        </w:rPr>
        <w:t>install</w:t>
      </w:r>
      <w:proofErr w:type="spellEnd"/>
      <w:r>
        <w:rPr>
          <w:sz w:val="22"/>
          <w:szCs w:val="22"/>
          <w:lang w:val="es-ES_tradnl"/>
        </w:rPr>
        <w:t xml:space="preserve"> </w:t>
      </w:r>
      <w:proofErr w:type="spellStart"/>
      <w:r>
        <w:rPr>
          <w:sz w:val="22"/>
          <w:szCs w:val="22"/>
          <w:lang w:val="es-ES_tradnl"/>
        </w:rPr>
        <w:t>them</w:t>
      </w:r>
      <w:proofErr w:type="spellEnd"/>
      <w:r>
        <w:rPr>
          <w:sz w:val="22"/>
          <w:szCs w:val="22"/>
          <w:lang w:val="es-ES_tradnl"/>
        </w:rPr>
        <w:t xml:space="preserve"> in </w:t>
      </w:r>
      <w:proofErr w:type="spellStart"/>
      <w:r>
        <w:rPr>
          <w:sz w:val="22"/>
          <w:szCs w:val="22"/>
          <w:lang w:val="es-ES_tradnl"/>
        </w:rPr>
        <w:t>the</w:t>
      </w:r>
      <w:proofErr w:type="spellEnd"/>
      <w:r>
        <w:rPr>
          <w:sz w:val="22"/>
          <w:szCs w:val="22"/>
          <w:lang w:val="es-ES_tradnl"/>
        </w:rPr>
        <w:t xml:space="preserve"> </w:t>
      </w:r>
      <w:proofErr w:type="spellStart"/>
      <w:r>
        <w:rPr>
          <w:sz w:val="22"/>
          <w:szCs w:val="22"/>
          <w:lang w:val="es-ES_tradnl"/>
        </w:rPr>
        <w:t>corresponding</w:t>
      </w:r>
      <w:proofErr w:type="spellEnd"/>
      <w:r>
        <w:rPr>
          <w:sz w:val="22"/>
          <w:szCs w:val="22"/>
          <w:lang w:val="es-ES_tradnl"/>
        </w:rPr>
        <w:t xml:space="preserve"> </w:t>
      </w:r>
      <w:proofErr w:type="spellStart"/>
      <w:r>
        <w:rPr>
          <w:sz w:val="22"/>
          <w:szCs w:val="22"/>
          <w:lang w:val="es-ES_tradnl"/>
        </w:rPr>
        <w:t>connections</w:t>
      </w:r>
      <w:proofErr w:type="spellEnd"/>
      <w:r>
        <w:rPr>
          <w:sz w:val="22"/>
          <w:szCs w:val="22"/>
          <w:lang w:val="es-ES_tradnl"/>
        </w:rPr>
        <w:t>.</w:t>
      </w:r>
    </w:p>
    <w:p w14:paraId="00D4C565" w14:textId="77777777" w:rsidR="00E255F4" w:rsidRDefault="00000000">
      <w:pPr>
        <w:numPr>
          <w:ilvl w:val="1"/>
          <w:numId w:val="59"/>
        </w:numPr>
        <w:tabs>
          <w:tab w:val="left" w:pos="1418"/>
        </w:tabs>
        <w:spacing w:after="120"/>
        <w:ind w:left="1418" w:hanging="425"/>
        <w:jc w:val="both"/>
        <w:rPr>
          <w:sz w:val="22"/>
          <w:szCs w:val="22"/>
          <w:lang w:val="es-ES_tradnl"/>
        </w:rPr>
      </w:pPr>
      <w:r>
        <w:rPr>
          <w:sz w:val="22"/>
          <w:szCs w:val="22"/>
          <w:lang w:val="es-ES_tradnl"/>
        </w:rPr>
        <w:t xml:space="preserve">Configure </w:t>
      </w:r>
      <w:proofErr w:type="spellStart"/>
      <w:r>
        <w:rPr>
          <w:sz w:val="22"/>
          <w:szCs w:val="22"/>
          <w:lang w:val="es-ES_tradnl"/>
        </w:rPr>
        <w:t>the</w:t>
      </w:r>
      <w:proofErr w:type="spellEnd"/>
      <w:r>
        <w:rPr>
          <w:sz w:val="22"/>
          <w:szCs w:val="22"/>
          <w:lang w:val="es-ES_tradnl"/>
        </w:rPr>
        <w:t xml:space="preserve"> </w:t>
      </w:r>
      <w:proofErr w:type="spellStart"/>
      <w:r>
        <w:rPr>
          <w:sz w:val="22"/>
          <w:szCs w:val="22"/>
          <w:lang w:val="es-ES_tradnl"/>
        </w:rPr>
        <w:t>necessary</w:t>
      </w:r>
      <w:proofErr w:type="spellEnd"/>
      <w:r>
        <w:rPr>
          <w:sz w:val="22"/>
          <w:szCs w:val="22"/>
          <w:lang w:val="es-ES_tradnl"/>
        </w:rPr>
        <w:t xml:space="preserve"> </w:t>
      </w:r>
      <w:proofErr w:type="spellStart"/>
      <w:r>
        <w:rPr>
          <w:sz w:val="22"/>
          <w:szCs w:val="22"/>
          <w:lang w:val="es-ES_tradnl"/>
        </w:rPr>
        <w:t>parameters</w:t>
      </w:r>
      <w:proofErr w:type="spellEnd"/>
      <w:r>
        <w:rPr>
          <w:sz w:val="22"/>
          <w:szCs w:val="22"/>
          <w:lang w:val="es-ES_tradnl"/>
        </w:rPr>
        <w:t xml:space="preserve"> </w:t>
      </w:r>
      <w:proofErr w:type="spellStart"/>
      <w:r>
        <w:rPr>
          <w:sz w:val="22"/>
          <w:szCs w:val="22"/>
          <w:lang w:val="es-ES_tradnl"/>
        </w:rPr>
        <w:t>on</w:t>
      </w:r>
      <w:proofErr w:type="spellEnd"/>
      <w:r>
        <w:rPr>
          <w:sz w:val="22"/>
          <w:szCs w:val="22"/>
          <w:lang w:val="es-ES_tradnl"/>
        </w:rPr>
        <w:t xml:space="preserve"> </w:t>
      </w:r>
      <w:proofErr w:type="spellStart"/>
      <w:r>
        <w:rPr>
          <w:sz w:val="22"/>
          <w:szCs w:val="22"/>
          <w:lang w:val="es-ES_tradnl"/>
        </w:rPr>
        <w:t>all</w:t>
      </w:r>
      <w:proofErr w:type="spellEnd"/>
      <w:r>
        <w:rPr>
          <w:sz w:val="22"/>
          <w:szCs w:val="22"/>
          <w:lang w:val="es-ES_tradnl"/>
        </w:rPr>
        <w:t xml:space="preserve"> </w:t>
      </w:r>
      <w:proofErr w:type="spellStart"/>
      <w:r>
        <w:rPr>
          <w:sz w:val="22"/>
          <w:szCs w:val="22"/>
          <w:lang w:val="es-ES_tradnl"/>
        </w:rPr>
        <w:t>the</w:t>
      </w:r>
      <w:proofErr w:type="spellEnd"/>
      <w:r>
        <w:rPr>
          <w:sz w:val="22"/>
          <w:szCs w:val="22"/>
          <w:lang w:val="es-ES_tradnl"/>
        </w:rPr>
        <w:t xml:space="preserve"> </w:t>
      </w:r>
      <w:proofErr w:type="spellStart"/>
      <w:r>
        <w:rPr>
          <w:sz w:val="22"/>
          <w:szCs w:val="22"/>
          <w:lang w:val="es-ES_tradnl"/>
        </w:rPr>
        <w:t>equipment</w:t>
      </w:r>
      <w:proofErr w:type="spellEnd"/>
      <w:r>
        <w:rPr>
          <w:sz w:val="22"/>
          <w:szCs w:val="22"/>
          <w:lang w:val="es-ES_tradnl"/>
        </w:rPr>
        <w:t xml:space="preserve"> in </w:t>
      </w:r>
      <w:proofErr w:type="spellStart"/>
      <w:r>
        <w:rPr>
          <w:sz w:val="22"/>
          <w:szCs w:val="22"/>
          <w:lang w:val="es-ES_tradnl"/>
        </w:rPr>
        <w:t>the</w:t>
      </w:r>
      <w:proofErr w:type="spellEnd"/>
      <w:r>
        <w:rPr>
          <w:sz w:val="22"/>
          <w:szCs w:val="22"/>
          <w:lang w:val="es-ES_tradnl"/>
        </w:rPr>
        <w:t xml:space="preserve"> </w:t>
      </w:r>
      <w:proofErr w:type="spellStart"/>
      <w:r>
        <w:rPr>
          <w:sz w:val="22"/>
          <w:szCs w:val="22"/>
          <w:lang w:val="es-ES_tradnl"/>
        </w:rPr>
        <w:t>Telemetry</w:t>
      </w:r>
      <w:proofErr w:type="spellEnd"/>
      <w:r>
        <w:rPr>
          <w:sz w:val="22"/>
          <w:szCs w:val="22"/>
          <w:lang w:val="es-ES_tradnl"/>
        </w:rPr>
        <w:t xml:space="preserve"> </w:t>
      </w:r>
      <w:proofErr w:type="spellStart"/>
      <w:r>
        <w:rPr>
          <w:sz w:val="22"/>
          <w:szCs w:val="22"/>
          <w:lang w:val="es-ES_tradnl"/>
        </w:rPr>
        <w:t>System</w:t>
      </w:r>
      <w:proofErr w:type="spellEnd"/>
      <w:r>
        <w:rPr>
          <w:sz w:val="22"/>
          <w:szCs w:val="22"/>
          <w:lang w:val="es-ES_tradnl"/>
        </w:rPr>
        <w:t xml:space="preserve"> and </w:t>
      </w:r>
      <w:proofErr w:type="spellStart"/>
      <w:r>
        <w:rPr>
          <w:sz w:val="22"/>
          <w:szCs w:val="22"/>
          <w:lang w:val="es-ES_tradnl"/>
        </w:rPr>
        <w:t>leave</w:t>
      </w:r>
      <w:proofErr w:type="spellEnd"/>
      <w:r>
        <w:rPr>
          <w:sz w:val="22"/>
          <w:szCs w:val="22"/>
          <w:lang w:val="es-ES_tradnl"/>
        </w:rPr>
        <w:t xml:space="preserve"> </w:t>
      </w:r>
      <w:proofErr w:type="spellStart"/>
      <w:r>
        <w:rPr>
          <w:sz w:val="22"/>
          <w:szCs w:val="22"/>
          <w:lang w:val="es-ES_tradnl"/>
        </w:rPr>
        <w:t>them</w:t>
      </w:r>
      <w:proofErr w:type="spellEnd"/>
      <w:r>
        <w:rPr>
          <w:sz w:val="22"/>
          <w:szCs w:val="22"/>
          <w:lang w:val="es-ES_tradnl"/>
        </w:rPr>
        <w:t xml:space="preserve"> </w:t>
      </w:r>
      <w:proofErr w:type="spellStart"/>
      <w:r>
        <w:rPr>
          <w:sz w:val="22"/>
          <w:szCs w:val="22"/>
          <w:lang w:val="es-ES_tradnl"/>
        </w:rPr>
        <w:t>transmitting</w:t>
      </w:r>
      <w:proofErr w:type="spellEnd"/>
      <w:r>
        <w:rPr>
          <w:sz w:val="22"/>
          <w:szCs w:val="22"/>
          <w:lang w:val="es-ES_tradnl"/>
        </w:rPr>
        <w:t xml:space="preserve"> </w:t>
      </w:r>
      <w:proofErr w:type="spellStart"/>
      <w:r>
        <w:rPr>
          <w:sz w:val="22"/>
          <w:szCs w:val="22"/>
          <w:lang w:val="es-ES_tradnl"/>
        </w:rPr>
        <w:t>the</w:t>
      </w:r>
      <w:proofErr w:type="spellEnd"/>
      <w:r>
        <w:rPr>
          <w:sz w:val="22"/>
          <w:szCs w:val="22"/>
          <w:lang w:val="es-ES_tradnl"/>
        </w:rPr>
        <w:t xml:space="preserve"> </w:t>
      </w:r>
      <w:proofErr w:type="spellStart"/>
      <w:r>
        <w:rPr>
          <w:sz w:val="22"/>
          <w:szCs w:val="22"/>
          <w:lang w:val="es-ES_tradnl"/>
        </w:rPr>
        <w:t>information</w:t>
      </w:r>
      <w:proofErr w:type="spellEnd"/>
      <w:r>
        <w:rPr>
          <w:sz w:val="22"/>
          <w:szCs w:val="22"/>
          <w:lang w:val="es-ES_tradnl"/>
        </w:rPr>
        <w:t>.</w:t>
      </w:r>
    </w:p>
    <w:p w14:paraId="7DA56DC2" w14:textId="77777777" w:rsidR="00E255F4" w:rsidRDefault="00000000">
      <w:pPr>
        <w:numPr>
          <w:ilvl w:val="1"/>
          <w:numId w:val="59"/>
        </w:numPr>
        <w:tabs>
          <w:tab w:val="left" w:pos="1418"/>
        </w:tabs>
        <w:spacing w:after="240"/>
        <w:ind w:left="1417" w:hanging="425"/>
        <w:jc w:val="both"/>
      </w:pPr>
      <w:proofErr w:type="spellStart"/>
      <w:r>
        <w:rPr>
          <w:sz w:val="22"/>
          <w:szCs w:val="22"/>
          <w:lang w:val="es-ES_tradnl"/>
        </w:rPr>
        <w:t>Perform</w:t>
      </w:r>
      <w:proofErr w:type="spellEnd"/>
      <w:r>
        <w:rPr>
          <w:sz w:val="22"/>
          <w:szCs w:val="22"/>
          <w:lang w:val="es-ES_tradnl"/>
        </w:rPr>
        <w:t xml:space="preserve"> </w:t>
      </w:r>
      <w:proofErr w:type="spellStart"/>
      <w:r>
        <w:rPr>
          <w:sz w:val="22"/>
          <w:szCs w:val="22"/>
          <w:lang w:val="es-ES_tradnl"/>
        </w:rPr>
        <w:t>any</w:t>
      </w:r>
      <w:proofErr w:type="spellEnd"/>
      <w:r>
        <w:rPr>
          <w:sz w:val="22"/>
          <w:szCs w:val="22"/>
          <w:lang w:val="es-ES_tradnl"/>
        </w:rPr>
        <w:t xml:space="preserve"> </w:t>
      </w:r>
      <w:proofErr w:type="spellStart"/>
      <w:r>
        <w:rPr>
          <w:sz w:val="22"/>
          <w:szCs w:val="22"/>
          <w:lang w:val="es-ES_tradnl"/>
        </w:rPr>
        <w:t>other</w:t>
      </w:r>
      <w:proofErr w:type="spellEnd"/>
      <w:r>
        <w:rPr>
          <w:sz w:val="22"/>
          <w:szCs w:val="22"/>
          <w:lang w:val="es-ES_tradnl"/>
        </w:rPr>
        <w:t xml:space="preserve"> </w:t>
      </w:r>
      <w:proofErr w:type="spellStart"/>
      <w:r>
        <w:rPr>
          <w:sz w:val="22"/>
          <w:szCs w:val="22"/>
          <w:lang w:val="es-ES_tradnl"/>
        </w:rPr>
        <w:t>task</w:t>
      </w:r>
      <w:proofErr w:type="spellEnd"/>
      <w:r>
        <w:rPr>
          <w:sz w:val="22"/>
          <w:szCs w:val="22"/>
          <w:lang w:val="es-ES_tradnl"/>
        </w:rPr>
        <w:t xml:space="preserve"> </w:t>
      </w:r>
      <w:proofErr w:type="spellStart"/>
      <w:r>
        <w:rPr>
          <w:sz w:val="22"/>
          <w:szCs w:val="22"/>
          <w:lang w:val="es-ES_tradnl"/>
        </w:rPr>
        <w:t>that</w:t>
      </w:r>
      <w:proofErr w:type="spellEnd"/>
      <w:r>
        <w:rPr>
          <w:sz w:val="22"/>
          <w:szCs w:val="22"/>
          <w:lang w:val="es-ES_tradnl"/>
        </w:rPr>
        <w:t xml:space="preserve"> </w:t>
      </w:r>
      <w:proofErr w:type="spellStart"/>
      <w:r>
        <w:rPr>
          <w:sz w:val="22"/>
          <w:szCs w:val="22"/>
          <w:lang w:val="es-ES_tradnl"/>
        </w:rPr>
        <w:t>the</w:t>
      </w:r>
      <w:proofErr w:type="spellEnd"/>
      <w:r>
        <w:rPr>
          <w:sz w:val="22"/>
          <w:szCs w:val="22"/>
          <w:lang w:val="es-ES_tradnl"/>
        </w:rPr>
        <w:t xml:space="preserve"> </w:t>
      </w:r>
      <w:proofErr w:type="spellStart"/>
      <w:r>
        <w:rPr>
          <w:sz w:val="22"/>
          <w:szCs w:val="22"/>
          <w:lang w:val="es-ES_tradnl"/>
        </w:rPr>
        <w:t>supplier</w:t>
      </w:r>
      <w:proofErr w:type="spellEnd"/>
      <w:r>
        <w:rPr>
          <w:sz w:val="22"/>
          <w:szCs w:val="22"/>
          <w:lang w:val="es-ES_tradnl"/>
        </w:rPr>
        <w:t xml:space="preserve"> </w:t>
      </w:r>
      <w:proofErr w:type="spellStart"/>
      <w:r>
        <w:rPr>
          <w:sz w:val="22"/>
          <w:szCs w:val="22"/>
          <w:lang w:val="es-ES_tradnl"/>
        </w:rPr>
        <w:t>deems</w:t>
      </w:r>
      <w:proofErr w:type="spellEnd"/>
      <w:r>
        <w:rPr>
          <w:sz w:val="22"/>
          <w:szCs w:val="22"/>
          <w:lang w:val="es-ES_tradnl"/>
        </w:rPr>
        <w:t xml:space="preserve"> </w:t>
      </w:r>
      <w:proofErr w:type="spellStart"/>
      <w:r>
        <w:rPr>
          <w:sz w:val="22"/>
          <w:szCs w:val="22"/>
          <w:lang w:val="es-ES_tradnl"/>
        </w:rPr>
        <w:t>necessary</w:t>
      </w:r>
      <w:proofErr w:type="spellEnd"/>
      <w:r>
        <w:rPr>
          <w:sz w:val="22"/>
          <w:szCs w:val="22"/>
          <w:lang w:val="es-ES_tradnl"/>
        </w:rPr>
        <w:t xml:space="preserve"> </w:t>
      </w:r>
      <w:proofErr w:type="spellStart"/>
      <w:r>
        <w:rPr>
          <w:sz w:val="22"/>
          <w:szCs w:val="22"/>
          <w:lang w:val="es-ES_tradnl"/>
        </w:rPr>
        <w:t>for</w:t>
      </w:r>
      <w:proofErr w:type="spellEnd"/>
      <w:r>
        <w:rPr>
          <w:sz w:val="22"/>
          <w:szCs w:val="22"/>
          <w:lang w:val="es-ES_tradnl"/>
        </w:rPr>
        <w:t xml:space="preserve"> </w:t>
      </w:r>
      <w:proofErr w:type="spellStart"/>
      <w:r>
        <w:rPr>
          <w:sz w:val="22"/>
          <w:szCs w:val="22"/>
          <w:lang w:val="es-ES_tradnl"/>
        </w:rPr>
        <w:t>the</w:t>
      </w:r>
      <w:proofErr w:type="spellEnd"/>
      <w:r>
        <w:rPr>
          <w:sz w:val="22"/>
          <w:szCs w:val="22"/>
          <w:lang w:val="es-ES_tradnl"/>
        </w:rPr>
        <w:t xml:space="preserve"> </w:t>
      </w:r>
      <w:proofErr w:type="spellStart"/>
      <w:r>
        <w:rPr>
          <w:sz w:val="22"/>
          <w:szCs w:val="22"/>
          <w:lang w:val="es-ES_tradnl"/>
        </w:rPr>
        <w:t>conditioning</w:t>
      </w:r>
      <w:proofErr w:type="spellEnd"/>
      <w:r>
        <w:rPr>
          <w:sz w:val="22"/>
          <w:szCs w:val="22"/>
          <w:lang w:val="es-ES_tradnl"/>
        </w:rPr>
        <w:t xml:space="preserve">, </w:t>
      </w:r>
      <w:proofErr w:type="spellStart"/>
      <w:r>
        <w:rPr>
          <w:sz w:val="22"/>
          <w:szCs w:val="22"/>
          <w:lang w:val="es-ES_tradnl"/>
        </w:rPr>
        <w:t>installation</w:t>
      </w:r>
      <w:proofErr w:type="spellEnd"/>
      <w:r>
        <w:rPr>
          <w:sz w:val="22"/>
          <w:szCs w:val="22"/>
          <w:lang w:val="es-ES_tradnl"/>
        </w:rPr>
        <w:t xml:space="preserve"> and </w:t>
      </w:r>
      <w:proofErr w:type="spellStart"/>
      <w:r>
        <w:rPr>
          <w:sz w:val="22"/>
          <w:szCs w:val="22"/>
          <w:lang w:val="es-ES_tradnl"/>
        </w:rPr>
        <w:t>commissioning</w:t>
      </w:r>
      <w:proofErr w:type="spellEnd"/>
      <w:r>
        <w:rPr>
          <w:sz w:val="22"/>
          <w:szCs w:val="22"/>
          <w:lang w:val="es-ES_tradnl"/>
        </w:rPr>
        <w:t xml:space="preserve"> </w:t>
      </w:r>
      <w:proofErr w:type="spellStart"/>
      <w:r>
        <w:rPr>
          <w:sz w:val="22"/>
          <w:szCs w:val="22"/>
          <w:lang w:val="es-ES_tradnl"/>
        </w:rPr>
        <w:t>of</w:t>
      </w:r>
      <w:proofErr w:type="spellEnd"/>
      <w:r>
        <w:rPr>
          <w:sz w:val="22"/>
          <w:szCs w:val="22"/>
          <w:lang w:val="es-ES_tradnl"/>
        </w:rPr>
        <w:t xml:space="preserve"> </w:t>
      </w:r>
      <w:proofErr w:type="spellStart"/>
      <w:r>
        <w:rPr>
          <w:sz w:val="22"/>
          <w:szCs w:val="22"/>
          <w:lang w:val="es-ES_tradnl"/>
        </w:rPr>
        <w:t>the</w:t>
      </w:r>
      <w:proofErr w:type="spellEnd"/>
      <w:r>
        <w:rPr>
          <w:sz w:val="22"/>
          <w:szCs w:val="22"/>
          <w:lang w:val="es-ES_tradnl"/>
        </w:rPr>
        <w:t xml:space="preserve"> </w:t>
      </w:r>
      <w:proofErr w:type="spellStart"/>
      <w:r>
        <w:rPr>
          <w:sz w:val="22"/>
          <w:szCs w:val="22"/>
          <w:lang w:val="es-ES_tradnl"/>
        </w:rPr>
        <w:t>Telemetry</w:t>
      </w:r>
      <w:proofErr w:type="spellEnd"/>
      <w:r>
        <w:rPr>
          <w:sz w:val="22"/>
          <w:szCs w:val="22"/>
          <w:lang w:val="es-ES_tradnl"/>
        </w:rPr>
        <w:t xml:space="preserve"> </w:t>
      </w:r>
      <w:proofErr w:type="spellStart"/>
      <w:r>
        <w:rPr>
          <w:sz w:val="22"/>
          <w:szCs w:val="22"/>
          <w:lang w:val="es-ES_tradnl"/>
        </w:rPr>
        <w:t>System</w:t>
      </w:r>
      <w:proofErr w:type="spellEnd"/>
      <w:r>
        <w:rPr>
          <w:sz w:val="22"/>
          <w:szCs w:val="22"/>
          <w:lang w:val="es-ES_tradnl"/>
        </w:rPr>
        <w:t>.</w:t>
      </w:r>
    </w:p>
    <w:p w14:paraId="4E70A2EA" w14:textId="77777777" w:rsidR="00E255F4" w:rsidRDefault="00E255F4">
      <w:pPr>
        <w:pStyle w:val="Prrafodelista"/>
        <w:ind w:left="0"/>
        <w:rPr>
          <w:vanish/>
          <w:sz w:val="22"/>
          <w:szCs w:val="22"/>
          <w:lang w:val="es-ES"/>
        </w:rPr>
      </w:pPr>
    </w:p>
    <w:p w14:paraId="5226BE8D" w14:textId="77777777" w:rsidR="00E255F4" w:rsidRDefault="00000000">
      <w:pPr>
        <w:pStyle w:val="Ttulo2"/>
        <w:numPr>
          <w:ilvl w:val="0"/>
          <w:numId w:val="0"/>
        </w:numPr>
        <w:spacing w:after="240"/>
      </w:pPr>
      <w:bookmarkStart w:id="106" w:name="__RefHeading___Toc225377269"/>
      <w:bookmarkEnd w:id="106"/>
      <w:r>
        <w:rPr>
          <w:rFonts w:ascii="Times New Roman" w:hAnsi="Times New Roman" w:cs="Times New Roman"/>
          <w:i w:val="0"/>
          <w:sz w:val="24"/>
          <w:szCs w:val="24"/>
          <w:lang w:val="es-UY"/>
        </w:rPr>
        <w:t>6</w:t>
      </w:r>
      <w:r>
        <w:rPr>
          <w:rFonts w:ascii="Times New Roman" w:hAnsi="Times New Roman" w:cs="Times New Roman"/>
          <w:i w:val="0"/>
          <w:sz w:val="24"/>
          <w:szCs w:val="24"/>
          <w:lang w:val="es-UY"/>
        </w:rPr>
        <w:tab/>
      </w:r>
      <w:r>
        <w:rPr>
          <w:rFonts w:ascii="Times New Roman" w:hAnsi="Times New Roman" w:cs="Times New Roman"/>
          <w:i w:val="0"/>
          <w:sz w:val="24"/>
          <w:szCs w:val="24"/>
        </w:rPr>
        <w:t>MAINTENANCE CHARACTERISTICS</w:t>
      </w:r>
    </w:p>
    <w:p w14:paraId="3369155E" w14:textId="77777777" w:rsidR="00E255F4" w:rsidRDefault="00000000">
      <w:pPr>
        <w:pStyle w:val="Prrafodelista"/>
        <w:numPr>
          <w:ilvl w:val="1"/>
          <w:numId w:val="3"/>
        </w:numPr>
        <w:spacing w:after="120"/>
        <w:ind w:left="567" w:hanging="567"/>
        <w:jc w:val="both"/>
      </w:pPr>
      <w:r>
        <w:rPr>
          <w:sz w:val="22"/>
          <w:szCs w:val="22"/>
          <w:u w:val="single"/>
          <w:lang w:val="es-ES"/>
        </w:rPr>
        <w:t xml:space="preserve">From </w:t>
      </w:r>
      <w:proofErr w:type="spellStart"/>
      <w:r>
        <w:rPr>
          <w:sz w:val="22"/>
          <w:szCs w:val="22"/>
          <w:u w:val="single"/>
          <w:lang w:val="es-ES"/>
        </w:rPr>
        <w:t>the</w:t>
      </w:r>
      <w:proofErr w:type="spellEnd"/>
      <w:r>
        <w:rPr>
          <w:sz w:val="22"/>
          <w:szCs w:val="22"/>
          <w:u w:val="single"/>
          <w:lang w:val="es-ES"/>
        </w:rPr>
        <w:t xml:space="preserve"> date </w:t>
      </w:r>
      <w:proofErr w:type="spellStart"/>
      <w:r>
        <w:rPr>
          <w:sz w:val="22"/>
          <w:szCs w:val="22"/>
          <w:u w:val="single"/>
          <w:lang w:val="es-ES"/>
        </w:rPr>
        <w:t>of</w:t>
      </w:r>
      <w:proofErr w:type="spellEnd"/>
      <w:r>
        <w:rPr>
          <w:sz w:val="22"/>
          <w:szCs w:val="22"/>
          <w:u w:val="single"/>
          <w:lang w:val="es-ES"/>
        </w:rPr>
        <w:t xml:space="preserve"> provisional </w:t>
      </w:r>
      <w:proofErr w:type="spellStart"/>
      <w:r>
        <w:rPr>
          <w:sz w:val="22"/>
          <w:szCs w:val="22"/>
          <w:u w:val="single"/>
          <w:lang w:val="es-ES"/>
        </w:rPr>
        <w:t>receipt</w:t>
      </w:r>
      <w:proofErr w:type="spellEnd"/>
      <w:r>
        <w:rPr>
          <w:sz w:val="22"/>
          <w:szCs w:val="22"/>
          <w:u w:val="single"/>
          <w:lang w:val="es-ES"/>
        </w:rPr>
        <w:t xml:space="preserve"> </w:t>
      </w:r>
      <w:proofErr w:type="spellStart"/>
      <w:r>
        <w:rPr>
          <w:sz w:val="22"/>
          <w:szCs w:val="22"/>
          <w:u w:val="single"/>
          <w:lang w:val="es-ES"/>
        </w:rPr>
        <w:t>of</w:t>
      </w:r>
      <w:proofErr w:type="spellEnd"/>
      <w:r>
        <w:rPr>
          <w:sz w:val="22"/>
          <w:szCs w:val="22"/>
          <w:u w:val="single"/>
          <w:lang w:val="es-ES"/>
        </w:rPr>
        <w:t xml:space="preserve"> </w:t>
      </w:r>
      <w:proofErr w:type="spellStart"/>
      <w:r>
        <w:rPr>
          <w:sz w:val="22"/>
          <w:szCs w:val="22"/>
          <w:u w:val="single"/>
          <w:lang w:val="es-ES"/>
        </w:rPr>
        <w:t>the</w:t>
      </w:r>
      <w:proofErr w:type="spellEnd"/>
      <w:r>
        <w:rPr>
          <w:sz w:val="22"/>
          <w:szCs w:val="22"/>
          <w:u w:val="single"/>
          <w:lang w:val="es-ES"/>
        </w:rPr>
        <w:t xml:space="preserve"> </w:t>
      </w:r>
      <w:proofErr w:type="spellStart"/>
      <w:r>
        <w:rPr>
          <w:sz w:val="22"/>
          <w:szCs w:val="22"/>
          <w:u w:val="single"/>
          <w:lang w:val="es-ES"/>
        </w:rPr>
        <w:t>tender</w:t>
      </w:r>
      <w:r>
        <w:rPr>
          <w:sz w:val="22"/>
          <w:szCs w:val="22"/>
          <w:lang w:val="es-ES"/>
        </w:rPr>
        <w:t>This</w:t>
      </w:r>
      <w:proofErr w:type="spellEnd"/>
      <w:r>
        <w:rPr>
          <w:sz w:val="22"/>
          <w:szCs w:val="22"/>
          <w:lang w:val="es-ES"/>
        </w:rPr>
        <w:t xml:space="preserve"> </w:t>
      </w:r>
      <w:proofErr w:type="spellStart"/>
      <w:r>
        <w:rPr>
          <w:sz w:val="22"/>
          <w:szCs w:val="22"/>
          <w:lang w:val="es-ES"/>
        </w:rPr>
        <w:t>refers</w:t>
      </w:r>
      <w:proofErr w:type="spellEnd"/>
      <w:r>
        <w:rPr>
          <w:sz w:val="22"/>
          <w:szCs w:val="22"/>
          <w:lang w:val="es-ES"/>
        </w:rPr>
        <w:t xml:space="preserve"> </w:t>
      </w:r>
      <w:proofErr w:type="spellStart"/>
      <w:r>
        <w:rPr>
          <w:sz w:val="22"/>
          <w:szCs w:val="22"/>
          <w:lang w:val="es-ES"/>
        </w:rPr>
        <w:t>to</w:t>
      </w:r>
      <w:proofErr w:type="spellEnd"/>
      <w:r>
        <w:rPr>
          <w:sz w:val="22"/>
          <w:szCs w:val="22"/>
          <w:lang w:val="es-ES"/>
        </w:rPr>
        <w:t xml:space="preserve"> </w:t>
      </w:r>
      <w:proofErr w:type="spellStart"/>
      <w:r>
        <w:rPr>
          <w:sz w:val="22"/>
          <w:szCs w:val="22"/>
          <w:lang w:val="es-ES"/>
        </w:rPr>
        <w:t>the</w:t>
      </w:r>
      <w:proofErr w:type="spellEnd"/>
      <w:r>
        <w:rPr>
          <w:sz w:val="22"/>
          <w:szCs w:val="22"/>
          <w:lang w:val="es-ES"/>
        </w:rPr>
        <w:t xml:space="preserve"> </w:t>
      </w:r>
      <w:proofErr w:type="spellStart"/>
      <w:r>
        <w:rPr>
          <w:sz w:val="22"/>
          <w:szCs w:val="22"/>
          <w:lang w:val="es-ES"/>
        </w:rPr>
        <w:t>System</w:t>
      </w:r>
      <w:proofErr w:type="spellEnd"/>
      <w:r>
        <w:rPr>
          <w:sz w:val="22"/>
          <w:szCs w:val="22"/>
          <w:lang w:val="es-ES"/>
        </w:rPr>
        <w:t xml:space="preserve"> and </w:t>
      </w:r>
      <w:proofErr w:type="spellStart"/>
      <w:r>
        <w:rPr>
          <w:sz w:val="22"/>
          <w:szCs w:val="22"/>
          <w:lang w:val="es-ES"/>
        </w:rPr>
        <w:t>the</w:t>
      </w:r>
      <w:proofErr w:type="spellEnd"/>
      <w:r>
        <w:rPr>
          <w:sz w:val="22"/>
          <w:szCs w:val="22"/>
          <w:lang w:val="es-ES"/>
        </w:rPr>
        <w:t xml:space="preserve"> </w:t>
      </w:r>
      <w:proofErr w:type="spellStart"/>
      <w:r>
        <w:rPr>
          <w:sz w:val="22"/>
          <w:szCs w:val="22"/>
          <w:lang w:val="es-ES"/>
        </w:rPr>
        <w:t>Telemetry</w:t>
      </w:r>
      <w:proofErr w:type="spellEnd"/>
      <w:r>
        <w:rPr>
          <w:sz w:val="22"/>
          <w:szCs w:val="22"/>
          <w:lang w:val="es-ES"/>
        </w:rPr>
        <w:t xml:space="preserve"> Service </w:t>
      </w:r>
      <w:proofErr w:type="spellStart"/>
      <w:r>
        <w:rPr>
          <w:sz w:val="22"/>
          <w:szCs w:val="22"/>
          <w:lang w:val="es-ES"/>
        </w:rPr>
        <w:t>implemented</w:t>
      </w:r>
      <w:proofErr w:type="spellEnd"/>
      <w:r>
        <w:rPr>
          <w:sz w:val="22"/>
          <w:szCs w:val="22"/>
          <w:lang w:val="es-ES"/>
        </w:rPr>
        <w:t xml:space="preserve"> in </w:t>
      </w:r>
      <w:proofErr w:type="spellStart"/>
      <w:r>
        <w:rPr>
          <w:sz w:val="22"/>
          <w:szCs w:val="22"/>
          <w:lang w:val="es-ES"/>
        </w:rPr>
        <w:t>all</w:t>
      </w:r>
      <w:proofErr w:type="spellEnd"/>
      <w:r>
        <w:rPr>
          <w:sz w:val="22"/>
          <w:szCs w:val="22"/>
          <w:lang w:val="es-ES"/>
        </w:rPr>
        <w:t xml:space="preserve"> </w:t>
      </w:r>
      <w:proofErr w:type="spellStart"/>
      <w:r>
        <w:rPr>
          <w:sz w:val="22"/>
          <w:szCs w:val="22"/>
          <w:lang w:val="es-ES"/>
        </w:rPr>
        <w:t>the</w:t>
      </w:r>
      <w:proofErr w:type="spellEnd"/>
      <w:r>
        <w:rPr>
          <w:sz w:val="22"/>
          <w:szCs w:val="22"/>
          <w:lang w:val="es-ES"/>
        </w:rPr>
        <w:t xml:space="preserve"> </w:t>
      </w:r>
      <w:proofErr w:type="spellStart"/>
      <w:r>
        <w:rPr>
          <w:sz w:val="22"/>
          <w:szCs w:val="22"/>
          <w:lang w:val="es-ES"/>
        </w:rPr>
        <w:t>drinking</w:t>
      </w:r>
      <w:proofErr w:type="spellEnd"/>
      <w:r>
        <w:rPr>
          <w:sz w:val="22"/>
          <w:szCs w:val="22"/>
          <w:lang w:val="es-ES"/>
        </w:rPr>
        <w:t xml:space="preserve"> </w:t>
      </w:r>
      <w:proofErr w:type="spellStart"/>
      <w:r>
        <w:rPr>
          <w:sz w:val="22"/>
          <w:szCs w:val="22"/>
          <w:lang w:val="es-ES"/>
        </w:rPr>
        <w:t>water</w:t>
      </w:r>
      <w:proofErr w:type="spellEnd"/>
      <w:r>
        <w:rPr>
          <w:sz w:val="22"/>
          <w:szCs w:val="22"/>
          <w:lang w:val="es-ES"/>
        </w:rPr>
        <w:t xml:space="preserve"> </w:t>
      </w:r>
      <w:proofErr w:type="spellStart"/>
      <w:r>
        <w:rPr>
          <w:sz w:val="22"/>
          <w:szCs w:val="22"/>
          <w:lang w:val="es-ES"/>
        </w:rPr>
        <w:t>connections</w:t>
      </w:r>
      <w:proofErr w:type="spellEnd"/>
      <w:r>
        <w:rPr>
          <w:sz w:val="22"/>
          <w:szCs w:val="22"/>
          <w:lang w:val="es-ES"/>
        </w:rPr>
        <w:t xml:space="preserve"> </w:t>
      </w:r>
      <w:proofErr w:type="spellStart"/>
      <w:r>
        <w:rPr>
          <w:sz w:val="22"/>
          <w:szCs w:val="22"/>
          <w:lang w:val="es-ES"/>
        </w:rPr>
        <w:t>involved</w:t>
      </w:r>
      <w:proofErr w:type="spellEnd"/>
      <w:r>
        <w:rPr>
          <w:sz w:val="22"/>
          <w:szCs w:val="22"/>
          <w:lang w:val="es-ES"/>
        </w:rPr>
        <w:t xml:space="preserve"> (</w:t>
      </w:r>
      <w:proofErr w:type="spellStart"/>
      <w:r>
        <w:rPr>
          <w:sz w:val="22"/>
          <w:szCs w:val="22"/>
          <w:lang w:val="es-ES"/>
        </w:rPr>
        <w:t>including</w:t>
      </w:r>
      <w:proofErr w:type="spellEnd"/>
      <w:r>
        <w:rPr>
          <w:sz w:val="22"/>
          <w:szCs w:val="22"/>
          <w:lang w:val="es-ES"/>
        </w:rPr>
        <w:t xml:space="preserve"> </w:t>
      </w:r>
      <w:proofErr w:type="spellStart"/>
      <w:r>
        <w:rPr>
          <w:sz w:val="22"/>
          <w:szCs w:val="22"/>
          <w:lang w:val="es-ES"/>
        </w:rPr>
        <w:t>the</w:t>
      </w:r>
      <w:proofErr w:type="spellEnd"/>
      <w:r>
        <w:rPr>
          <w:sz w:val="22"/>
          <w:szCs w:val="22"/>
          <w:lang w:val="es-ES"/>
        </w:rPr>
        <w:t xml:space="preserve"> </w:t>
      </w:r>
      <w:proofErr w:type="spellStart"/>
      <w:r>
        <w:rPr>
          <w:sz w:val="22"/>
          <w:szCs w:val="22"/>
          <w:lang w:val="es-ES"/>
        </w:rPr>
        <w:t>telemetry</w:t>
      </w:r>
      <w:proofErr w:type="spellEnd"/>
      <w:r>
        <w:rPr>
          <w:sz w:val="22"/>
          <w:szCs w:val="22"/>
          <w:lang w:val="es-ES"/>
        </w:rPr>
        <w:t xml:space="preserve"> </w:t>
      </w:r>
      <w:proofErr w:type="spellStart"/>
      <w:r>
        <w:rPr>
          <w:sz w:val="22"/>
          <w:szCs w:val="22"/>
          <w:lang w:val="es-ES"/>
        </w:rPr>
        <w:t>device</w:t>
      </w:r>
      <w:proofErr w:type="spellEnd"/>
      <w:r>
        <w:rPr>
          <w:sz w:val="22"/>
          <w:szCs w:val="22"/>
          <w:lang w:val="es-ES"/>
        </w:rPr>
        <w:t xml:space="preserve"> and </w:t>
      </w:r>
      <w:proofErr w:type="spellStart"/>
      <w:r>
        <w:rPr>
          <w:sz w:val="22"/>
          <w:szCs w:val="22"/>
          <w:lang w:val="es-ES"/>
        </w:rPr>
        <w:t>the</w:t>
      </w:r>
      <w:proofErr w:type="spellEnd"/>
      <w:r>
        <w:rPr>
          <w:sz w:val="22"/>
          <w:szCs w:val="22"/>
          <w:lang w:val="es-ES"/>
        </w:rPr>
        <w:t xml:space="preserve"> </w:t>
      </w:r>
      <w:proofErr w:type="spellStart"/>
      <w:r>
        <w:rPr>
          <w:sz w:val="22"/>
          <w:szCs w:val="22"/>
          <w:lang w:val="es-ES"/>
        </w:rPr>
        <w:t>Telemetry</w:t>
      </w:r>
      <w:proofErr w:type="spellEnd"/>
      <w:r>
        <w:rPr>
          <w:sz w:val="22"/>
          <w:szCs w:val="22"/>
          <w:lang w:val="es-ES"/>
        </w:rPr>
        <w:t xml:space="preserve"> Service), </w:t>
      </w:r>
      <w:proofErr w:type="spellStart"/>
      <w:r>
        <w:rPr>
          <w:sz w:val="22"/>
          <w:szCs w:val="22"/>
          <w:lang w:val="es-ES"/>
        </w:rPr>
        <w:t>the</w:t>
      </w:r>
      <w:proofErr w:type="spellEnd"/>
      <w:r>
        <w:rPr>
          <w:sz w:val="22"/>
          <w:szCs w:val="22"/>
          <w:lang w:val="es-ES"/>
        </w:rPr>
        <w:t xml:space="preserve"> </w:t>
      </w:r>
      <w:proofErr w:type="spellStart"/>
      <w:r>
        <w:rPr>
          <w:sz w:val="22"/>
          <w:szCs w:val="22"/>
          <w:lang w:val="es-ES"/>
        </w:rPr>
        <w:t>successful</w:t>
      </w:r>
      <w:proofErr w:type="spellEnd"/>
      <w:r>
        <w:rPr>
          <w:sz w:val="22"/>
          <w:szCs w:val="22"/>
          <w:lang w:val="es-ES"/>
        </w:rPr>
        <w:t xml:space="preserve"> </w:t>
      </w:r>
      <w:proofErr w:type="spellStart"/>
      <w:r>
        <w:rPr>
          <w:sz w:val="22"/>
          <w:szCs w:val="22"/>
          <w:lang w:val="es-ES"/>
        </w:rPr>
        <w:t>bidder</w:t>
      </w:r>
      <w:proofErr w:type="spellEnd"/>
      <w:r>
        <w:rPr>
          <w:sz w:val="22"/>
          <w:szCs w:val="22"/>
          <w:lang w:val="es-ES"/>
        </w:rPr>
        <w:t xml:space="preserve"> </w:t>
      </w:r>
      <w:proofErr w:type="spellStart"/>
      <w:r>
        <w:rPr>
          <w:sz w:val="22"/>
          <w:szCs w:val="22"/>
          <w:lang w:val="es-ES"/>
        </w:rPr>
        <w:t>will</w:t>
      </w:r>
      <w:proofErr w:type="spellEnd"/>
      <w:r>
        <w:rPr>
          <w:sz w:val="22"/>
          <w:szCs w:val="22"/>
          <w:lang w:val="es-ES"/>
        </w:rPr>
        <w:t xml:space="preserve"> be </w:t>
      </w:r>
      <w:proofErr w:type="spellStart"/>
      <w:r>
        <w:rPr>
          <w:sz w:val="22"/>
          <w:szCs w:val="22"/>
          <w:lang w:val="es-ES"/>
        </w:rPr>
        <w:t>responsible</w:t>
      </w:r>
      <w:proofErr w:type="spellEnd"/>
      <w:r>
        <w:rPr>
          <w:sz w:val="22"/>
          <w:szCs w:val="22"/>
          <w:lang w:val="es-ES"/>
        </w:rPr>
        <w:t xml:space="preserve"> </w:t>
      </w:r>
      <w:proofErr w:type="spellStart"/>
      <w:r>
        <w:rPr>
          <w:sz w:val="22"/>
          <w:szCs w:val="22"/>
          <w:lang w:val="es-ES"/>
        </w:rPr>
        <w:t>for</w:t>
      </w:r>
      <w:proofErr w:type="spellEnd"/>
      <w:r>
        <w:rPr>
          <w:sz w:val="22"/>
          <w:szCs w:val="22"/>
          <w:lang w:val="es-ES"/>
        </w:rPr>
        <w:t xml:space="preserve"> </w:t>
      </w:r>
      <w:proofErr w:type="spellStart"/>
      <w:r>
        <w:rPr>
          <w:sz w:val="22"/>
          <w:szCs w:val="22"/>
          <w:lang w:val="es-ES"/>
        </w:rPr>
        <w:t>its</w:t>
      </w:r>
      <w:proofErr w:type="spellEnd"/>
      <w:r>
        <w:rPr>
          <w:sz w:val="22"/>
          <w:szCs w:val="22"/>
          <w:lang w:val="es-ES"/>
        </w:rPr>
        <w:t xml:space="preserve"> </w:t>
      </w:r>
      <w:proofErr w:type="spellStart"/>
      <w:r>
        <w:rPr>
          <w:sz w:val="22"/>
          <w:szCs w:val="22"/>
          <w:lang w:val="es-ES"/>
        </w:rPr>
        <w:t>support</w:t>
      </w:r>
      <w:proofErr w:type="spellEnd"/>
      <w:r>
        <w:rPr>
          <w:sz w:val="22"/>
          <w:szCs w:val="22"/>
          <w:lang w:val="es-ES"/>
        </w:rPr>
        <w:t xml:space="preserve"> and </w:t>
      </w:r>
      <w:proofErr w:type="spellStart"/>
      <w:r>
        <w:rPr>
          <w:sz w:val="22"/>
          <w:szCs w:val="22"/>
          <w:lang w:val="es-ES"/>
        </w:rPr>
        <w:t>maintenance</w:t>
      </w:r>
      <w:proofErr w:type="spellEnd"/>
      <w:r>
        <w:rPr>
          <w:sz w:val="22"/>
          <w:szCs w:val="22"/>
          <w:lang w:val="es-ES"/>
        </w:rPr>
        <w:t xml:space="preserve"> </w:t>
      </w:r>
      <w:proofErr w:type="spellStart"/>
      <w:r>
        <w:rPr>
          <w:sz w:val="22"/>
          <w:szCs w:val="22"/>
          <w:lang w:val="es-ES"/>
        </w:rPr>
        <w:t>for</w:t>
      </w:r>
      <w:proofErr w:type="spellEnd"/>
      <w:r>
        <w:rPr>
          <w:sz w:val="22"/>
          <w:szCs w:val="22"/>
          <w:lang w:val="es-ES"/>
        </w:rPr>
        <w:t xml:space="preserve"> a </w:t>
      </w:r>
      <w:proofErr w:type="spellStart"/>
      <w:r>
        <w:rPr>
          <w:sz w:val="22"/>
          <w:szCs w:val="22"/>
          <w:lang w:val="es-ES"/>
        </w:rPr>
        <w:t>period</w:t>
      </w:r>
      <w:proofErr w:type="spellEnd"/>
      <w:r>
        <w:rPr>
          <w:sz w:val="22"/>
          <w:szCs w:val="22"/>
          <w:lang w:val="es-ES"/>
        </w:rPr>
        <w:t xml:space="preserve"> </w:t>
      </w:r>
      <w:proofErr w:type="spellStart"/>
      <w:r>
        <w:rPr>
          <w:sz w:val="22"/>
          <w:szCs w:val="22"/>
          <w:lang w:val="es-ES"/>
        </w:rPr>
        <w:t>of</w:t>
      </w:r>
      <w:proofErr w:type="spellEnd"/>
      <w:r>
        <w:rPr>
          <w:sz w:val="22"/>
          <w:szCs w:val="22"/>
          <w:lang w:val="es-ES"/>
        </w:rPr>
        <w:t xml:space="preserve"> 60 </w:t>
      </w:r>
      <w:proofErr w:type="spellStart"/>
      <w:r>
        <w:rPr>
          <w:sz w:val="22"/>
          <w:szCs w:val="22"/>
          <w:lang w:val="es-ES"/>
        </w:rPr>
        <w:t>months</w:t>
      </w:r>
      <w:proofErr w:type="spellEnd"/>
      <w:r>
        <w:rPr>
          <w:sz w:val="22"/>
          <w:szCs w:val="22"/>
          <w:lang w:val="es-ES"/>
        </w:rPr>
        <w:t xml:space="preserve">, </w:t>
      </w:r>
      <w:proofErr w:type="spellStart"/>
      <w:r>
        <w:rPr>
          <w:sz w:val="22"/>
          <w:szCs w:val="22"/>
          <w:lang w:val="es-ES"/>
        </w:rPr>
        <w:t>guaranteeing</w:t>
      </w:r>
      <w:proofErr w:type="spellEnd"/>
      <w:r>
        <w:rPr>
          <w:sz w:val="22"/>
          <w:szCs w:val="22"/>
          <w:lang w:val="es-ES"/>
        </w:rPr>
        <w:t xml:space="preserve"> </w:t>
      </w:r>
      <w:proofErr w:type="spellStart"/>
      <w:r>
        <w:rPr>
          <w:sz w:val="22"/>
          <w:szCs w:val="22"/>
          <w:lang w:val="es-ES"/>
        </w:rPr>
        <w:t>its</w:t>
      </w:r>
      <w:proofErr w:type="spellEnd"/>
      <w:r>
        <w:rPr>
          <w:sz w:val="22"/>
          <w:szCs w:val="22"/>
          <w:lang w:val="es-ES"/>
        </w:rPr>
        <w:t xml:space="preserve"> </w:t>
      </w:r>
      <w:proofErr w:type="spellStart"/>
      <w:r>
        <w:rPr>
          <w:sz w:val="22"/>
          <w:szCs w:val="22"/>
          <w:lang w:val="es-ES"/>
        </w:rPr>
        <w:t>optimal</w:t>
      </w:r>
      <w:proofErr w:type="spellEnd"/>
      <w:r>
        <w:rPr>
          <w:sz w:val="22"/>
          <w:szCs w:val="22"/>
          <w:lang w:val="es-ES"/>
        </w:rPr>
        <w:t xml:space="preserve"> </w:t>
      </w:r>
      <w:proofErr w:type="spellStart"/>
      <w:r>
        <w:rPr>
          <w:sz w:val="22"/>
          <w:szCs w:val="22"/>
          <w:lang w:val="es-ES"/>
        </w:rPr>
        <w:t>operation</w:t>
      </w:r>
      <w:proofErr w:type="spellEnd"/>
      <w:r>
        <w:rPr>
          <w:sz w:val="22"/>
          <w:szCs w:val="22"/>
          <w:lang w:val="es-ES"/>
        </w:rPr>
        <w:t>.</w:t>
      </w:r>
    </w:p>
    <w:p w14:paraId="6165916F" w14:textId="77777777" w:rsidR="00E255F4" w:rsidRDefault="00000000">
      <w:pPr>
        <w:pStyle w:val="Prrafodelista"/>
        <w:numPr>
          <w:ilvl w:val="1"/>
          <w:numId w:val="3"/>
        </w:numPr>
        <w:spacing w:after="120"/>
        <w:ind w:left="567" w:hanging="567"/>
        <w:jc w:val="both"/>
      </w:pPr>
      <w:r>
        <w:rPr>
          <w:sz w:val="22"/>
          <w:szCs w:val="22"/>
          <w:lang w:val="es-ES"/>
        </w:rPr>
        <w:t xml:space="preserve">In </w:t>
      </w:r>
      <w:proofErr w:type="spellStart"/>
      <w:r>
        <w:rPr>
          <w:sz w:val="22"/>
          <w:szCs w:val="22"/>
          <w:lang w:val="es-ES"/>
        </w:rPr>
        <w:t>the</w:t>
      </w:r>
      <w:proofErr w:type="spellEnd"/>
      <w:r>
        <w:rPr>
          <w:sz w:val="22"/>
          <w:szCs w:val="22"/>
          <w:lang w:val="es-ES"/>
        </w:rPr>
        <w:t xml:space="preserve"> </w:t>
      </w:r>
      <w:proofErr w:type="spellStart"/>
      <w:r>
        <w:rPr>
          <w:sz w:val="22"/>
          <w:szCs w:val="22"/>
          <w:lang w:val="es-ES"/>
        </w:rPr>
        <w:t>event</w:t>
      </w:r>
      <w:proofErr w:type="spellEnd"/>
      <w:r>
        <w:rPr>
          <w:sz w:val="22"/>
          <w:szCs w:val="22"/>
          <w:lang w:val="es-ES"/>
        </w:rPr>
        <w:t xml:space="preserve"> </w:t>
      </w:r>
      <w:proofErr w:type="spellStart"/>
      <w:r>
        <w:rPr>
          <w:sz w:val="22"/>
          <w:szCs w:val="22"/>
          <w:lang w:val="es-ES"/>
        </w:rPr>
        <w:t>of</w:t>
      </w:r>
      <w:proofErr w:type="spellEnd"/>
      <w:r>
        <w:rPr>
          <w:sz w:val="22"/>
          <w:szCs w:val="22"/>
          <w:lang w:val="es-ES"/>
        </w:rPr>
        <w:t xml:space="preserve"> </w:t>
      </w:r>
      <w:proofErr w:type="spellStart"/>
      <w:r>
        <w:rPr>
          <w:sz w:val="22"/>
          <w:szCs w:val="22"/>
          <w:lang w:val="es-ES"/>
        </w:rPr>
        <w:t>partial</w:t>
      </w:r>
      <w:proofErr w:type="spellEnd"/>
      <w:r>
        <w:rPr>
          <w:sz w:val="22"/>
          <w:szCs w:val="22"/>
          <w:lang w:val="es-ES"/>
        </w:rPr>
        <w:t xml:space="preserve"> </w:t>
      </w:r>
      <w:proofErr w:type="spellStart"/>
      <w:r>
        <w:rPr>
          <w:sz w:val="22"/>
          <w:szCs w:val="22"/>
          <w:lang w:val="es-ES"/>
        </w:rPr>
        <w:t>receptions</w:t>
      </w:r>
      <w:proofErr w:type="spellEnd"/>
      <w:r>
        <w:rPr>
          <w:sz w:val="22"/>
          <w:szCs w:val="22"/>
          <w:lang w:val="es-ES"/>
        </w:rPr>
        <w:t xml:space="preserve"> per </w:t>
      </w:r>
      <w:proofErr w:type="spellStart"/>
      <w:r>
        <w:rPr>
          <w:sz w:val="22"/>
          <w:szCs w:val="22"/>
          <w:lang w:val="es-ES"/>
        </w:rPr>
        <w:t>connection</w:t>
      </w:r>
      <w:proofErr w:type="spellEnd"/>
      <w:r>
        <w:rPr>
          <w:sz w:val="22"/>
          <w:szCs w:val="22"/>
          <w:lang w:val="es-ES"/>
        </w:rPr>
        <w:t xml:space="preserve">, </w:t>
      </w:r>
      <w:proofErr w:type="spellStart"/>
      <w:r>
        <w:rPr>
          <w:sz w:val="22"/>
          <w:szCs w:val="22"/>
          <w:lang w:val="es-ES"/>
        </w:rPr>
        <w:t>the</w:t>
      </w:r>
      <w:proofErr w:type="spellEnd"/>
      <w:r>
        <w:rPr>
          <w:sz w:val="22"/>
          <w:szCs w:val="22"/>
          <w:lang w:val="es-ES"/>
        </w:rPr>
        <w:t xml:space="preserve"> </w:t>
      </w:r>
      <w:proofErr w:type="spellStart"/>
      <w:r>
        <w:rPr>
          <w:sz w:val="22"/>
          <w:szCs w:val="22"/>
          <w:lang w:val="es-ES"/>
        </w:rPr>
        <w:t>maintenance</w:t>
      </w:r>
      <w:proofErr w:type="spellEnd"/>
      <w:r>
        <w:rPr>
          <w:sz w:val="22"/>
          <w:szCs w:val="22"/>
          <w:lang w:val="es-ES"/>
        </w:rPr>
        <w:t xml:space="preserve"> </w:t>
      </w:r>
      <w:proofErr w:type="spellStart"/>
      <w:r>
        <w:rPr>
          <w:sz w:val="22"/>
          <w:szCs w:val="22"/>
          <w:lang w:val="es-ES"/>
        </w:rPr>
        <w:t>of</w:t>
      </w:r>
      <w:proofErr w:type="spellEnd"/>
      <w:r>
        <w:rPr>
          <w:sz w:val="22"/>
          <w:szCs w:val="22"/>
          <w:lang w:val="es-ES"/>
        </w:rPr>
        <w:t xml:space="preserve"> </w:t>
      </w:r>
      <w:proofErr w:type="spellStart"/>
      <w:r>
        <w:rPr>
          <w:sz w:val="22"/>
          <w:szCs w:val="22"/>
          <w:lang w:val="es-ES"/>
        </w:rPr>
        <w:t>the</w:t>
      </w:r>
      <w:proofErr w:type="spellEnd"/>
      <w:r>
        <w:rPr>
          <w:sz w:val="22"/>
          <w:szCs w:val="22"/>
          <w:lang w:val="es-ES"/>
        </w:rPr>
        <w:t xml:space="preserve"> </w:t>
      </w:r>
      <w:proofErr w:type="spellStart"/>
      <w:r>
        <w:rPr>
          <w:sz w:val="22"/>
          <w:szCs w:val="22"/>
          <w:lang w:val="es-ES"/>
        </w:rPr>
        <w:t>Telemetry</w:t>
      </w:r>
      <w:proofErr w:type="spellEnd"/>
      <w:r>
        <w:rPr>
          <w:sz w:val="22"/>
          <w:szCs w:val="22"/>
          <w:lang w:val="es-ES"/>
        </w:rPr>
        <w:t xml:space="preserve"> Service </w:t>
      </w:r>
      <w:proofErr w:type="spellStart"/>
      <w:r>
        <w:rPr>
          <w:sz w:val="22"/>
          <w:szCs w:val="22"/>
          <w:lang w:val="es-ES"/>
        </w:rPr>
        <w:t>of</w:t>
      </w:r>
      <w:proofErr w:type="spellEnd"/>
      <w:r>
        <w:rPr>
          <w:sz w:val="22"/>
          <w:szCs w:val="22"/>
          <w:lang w:val="es-ES"/>
        </w:rPr>
        <w:t xml:space="preserve"> </w:t>
      </w:r>
      <w:proofErr w:type="spellStart"/>
      <w:r>
        <w:rPr>
          <w:sz w:val="22"/>
          <w:szCs w:val="22"/>
          <w:lang w:val="es-ES"/>
        </w:rPr>
        <w:t>the</w:t>
      </w:r>
      <w:proofErr w:type="spellEnd"/>
      <w:r>
        <w:rPr>
          <w:sz w:val="22"/>
          <w:szCs w:val="22"/>
          <w:lang w:val="es-ES"/>
        </w:rPr>
        <w:t xml:space="preserve"> </w:t>
      </w:r>
      <w:proofErr w:type="spellStart"/>
      <w:r>
        <w:rPr>
          <w:sz w:val="22"/>
          <w:szCs w:val="22"/>
          <w:lang w:val="es-ES"/>
        </w:rPr>
        <w:t>validated</w:t>
      </w:r>
      <w:proofErr w:type="spellEnd"/>
      <w:r>
        <w:rPr>
          <w:sz w:val="22"/>
          <w:szCs w:val="22"/>
          <w:lang w:val="es-ES"/>
        </w:rPr>
        <w:t xml:space="preserve"> </w:t>
      </w:r>
      <w:proofErr w:type="spellStart"/>
      <w:r>
        <w:rPr>
          <w:sz w:val="22"/>
          <w:szCs w:val="22"/>
          <w:lang w:val="es-ES"/>
        </w:rPr>
        <w:t>connections</w:t>
      </w:r>
      <w:proofErr w:type="spellEnd"/>
      <w:r>
        <w:rPr>
          <w:sz w:val="22"/>
          <w:szCs w:val="22"/>
          <w:lang w:val="es-ES"/>
        </w:rPr>
        <w:t xml:space="preserve"> </w:t>
      </w:r>
      <w:proofErr w:type="spellStart"/>
      <w:r>
        <w:rPr>
          <w:sz w:val="22"/>
          <w:szCs w:val="22"/>
          <w:lang w:val="es-ES"/>
        </w:rPr>
        <w:t>will</w:t>
      </w:r>
      <w:proofErr w:type="spellEnd"/>
      <w:r>
        <w:rPr>
          <w:sz w:val="22"/>
          <w:szCs w:val="22"/>
          <w:lang w:val="es-ES"/>
        </w:rPr>
        <w:t xml:space="preserve"> </w:t>
      </w:r>
      <w:proofErr w:type="spellStart"/>
      <w:r>
        <w:rPr>
          <w:sz w:val="22"/>
          <w:szCs w:val="22"/>
          <w:lang w:val="es-ES"/>
        </w:rPr>
        <w:t>begin</w:t>
      </w:r>
      <w:proofErr w:type="spellEnd"/>
      <w:r>
        <w:rPr>
          <w:sz w:val="22"/>
          <w:szCs w:val="22"/>
          <w:lang w:val="es-ES"/>
        </w:rPr>
        <w:t xml:space="preserve"> </w:t>
      </w:r>
      <w:proofErr w:type="spellStart"/>
      <w:r>
        <w:rPr>
          <w:sz w:val="22"/>
          <w:szCs w:val="22"/>
          <w:lang w:val="es-ES"/>
        </w:rPr>
        <w:t>on</w:t>
      </w:r>
      <w:proofErr w:type="spellEnd"/>
      <w:r>
        <w:rPr>
          <w:sz w:val="22"/>
          <w:szCs w:val="22"/>
          <w:lang w:val="es-ES"/>
        </w:rPr>
        <w:t xml:space="preserve"> </w:t>
      </w:r>
      <w:proofErr w:type="spellStart"/>
      <w:r>
        <w:rPr>
          <w:sz w:val="22"/>
          <w:szCs w:val="22"/>
          <w:lang w:val="es-ES"/>
        </w:rPr>
        <w:t>that</w:t>
      </w:r>
      <w:proofErr w:type="spellEnd"/>
      <w:r>
        <w:rPr>
          <w:sz w:val="22"/>
          <w:szCs w:val="22"/>
          <w:lang w:val="es-ES"/>
        </w:rPr>
        <w:t xml:space="preserve"> date, </w:t>
      </w:r>
      <w:proofErr w:type="spellStart"/>
      <w:r>
        <w:rPr>
          <w:sz w:val="22"/>
          <w:szCs w:val="22"/>
          <w:lang w:val="es-ES"/>
        </w:rPr>
        <w:t>without</w:t>
      </w:r>
      <w:proofErr w:type="spellEnd"/>
      <w:r>
        <w:rPr>
          <w:sz w:val="22"/>
          <w:szCs w:val="22"/>
          <w:lang w:val="es-ES"/>
        </w:rPr>
        <w:t xml:space="preserve"> </w:t>
      </w:r>
      <w:proofErr w:type="spellStart"/>
      <w:r>
        <w:rPr>
          <w:sz w:val="22"/>
          <w:szCs w:val="22"/>
          <w:lang w:val="es-ES"/>
        </w:rPr>
        <w:t>prejudice</w:t>
      </w:r>
      <w:proofErr w:type="spellEnd"/>
      <w:r>
        <w:rPr>
          <w:sz w:val="22"/>
          <w:szCs w:val="22"/>
          <w:lang w:val="es-ES"/>
        </w:rPr>
        <w:t xml:space="preserve"> </w:t>
      </w:r>
      <w:proofErr w:type="spellStart"/>
      <w:r>
        <w:rPr>
          <w:sz w:val="22"/>
          <w:szCs w:val="22"/>
          <w:lang w:val="es-ES"/>
        </w:rPr>
        <w:t>to</w:t>
      </w:r>
      <w:proofErr w:type="spellEnd"/>
      <w:r>
        <w:rPr>
          <w:sz w:val="22"/>
          <w:szCs w:val="22"/>
          <w:lang w:val="es-ES"/>
        </w:rPr>
        <w:t xml:space="preserve"> </w:t>
      </w:r>
      <w:proofErr w:type="spellStart"/>
      <w:r>
        <w:rPr>
          <w:sz w:val="22"/>
          <w:szCs w:val="22"/>
          <w:lang w:val="es-ES"/>
        </w:rPr>
        <w:t>the</w:t>
      </w:r>
      <w:proofErr w:type="spellEnd"/>
      <w:r>
        <w:rPr>
          <w:sz w:val="22"/>
          <w:szCs w:val="22"/>
          <w:lang w:val="es-ES"/>
        </w:rPr>
        <w:t xml:space="preserve"> 60-month </w:t>
      </w:r>
      <w:proofErr w:type="spellStart"/>
      <w:r>
        <w:rPr>
          <w:sz w:val="22"/>
          <w:szCs w:val="22"/>
          <w:lang w:val="es-ES"/>
        </w:rPr>
        <w:t>period</w:t>
      </w:r>
      <w:proofErr w:type="spellEnd"/>
      <w:r>
        <w:rPr>
          <w:sz w:val="22"/>
          <w:szCs w:val="22"/>
          <w:lang w:val="es-ES"/>
        </w:rPr>
        <w:t xml:space="preserve"> </w:t>
      </w:r>
      <w:proofErr w:type="spellStart"/>
      <w:r>
        <w:rPr>
          <w:sz w:val="22"/>
          <w:szCs w:val="22"/>
          <w:lang w:val="es-ES"/>
        </w:rPr>
        <w:t>mentioned</w:t>
      </w:r>
      <w:proofErr w:type="spellEnd"/>
      <w:r>
        <w:rPr>
          <w:sz w:val="22"/>
          <w:szCs w:val="22"/>
          <w:lang w:val="es-ES"/>
        </w:rPr>
        <w:t xml:space="preserve"> in </w:t>
      </w:r>
      <w:proofErr w:type="spellStart"/>
      <w:r>
        <w:rPr>
          <w:sz w:val="22"/>
          <w:szCs w:val="22"/>
          <w:lang w:val="es-ES"/>
        </w:rPr>
        <w:t>the</w:t>
      </w:r>
      <w:proofErr w:type="spellEnd"/>
      <w:r>
        <w:rPr>
          <w:sz w:val="22"/>
          <w:szCs w:val="22"/>
          <w:lang w:val="es-ES"/>
        </w:rPr>
        <w:t xml:space="preserve"> </w:t>
      </w:r>
      <w:proofErr w:type="spellStart"/>
      <w:r>
        <w:rPr>
          <w:sz w:val="22"/>
          <w:szCs w:val="22"/>
          <w:lang w:val="es-ES"/>
        </w:rPr>
        <w:t>previous</w:t>
      </w:r>
      <w:proofErr w:type="spellEnd"/>
      <w:r>
        <w:rPr>
          <w:sz w:val="22"/>
          <w:szCs w:val="22"/>
          <w:lang w:val="es-ES"/>
        </w:rPr>
        <w:t xml:space="preserve"> </w:t>
      </w:r>
      <w:proofErr w:type="spellStart"/>
      <w:r>
        <w:rPr>
          <w:sz w:val="22"/>
          <w:szCs w:val="22"/>
          <w:lang w:val="es-ES"/>
        </w:rPr>
        <w:t>paragraph</w:t>
      </w:r>
      <w:proofErr w:type="spellEnd"/>
      <w:r>
        <w:rPr>
          <w:sz w:val="22"/>
          <w:szCs w:val="22"/>
          <w:lang w:val="es-ES"/>
        </w:rPr>
        <w:t>.</w:t>
      </w:r>
    </w:p>
    <w:p w14:paraId="10894ACF" w14:textId="77777777" w:rsidR="00E255F4" w:rsidRDefault="00000000">
      <w:pPr>
        <w:pStyle w:val="Prrafodelista"/>
        <w:numPr>
          <w:ilvl w:val="1"/>
          <w:numId w:val="3"/>
        </w:numPr>
        <w:spacing w:after="120"/>
        <w:ind w:left="567" w:hanging="567"/>
        <w:jc w:val="both"/>
      </w:pPr>
      <w:r>
        <w:rPr>
          <w:sz w:val="22"/>
          <w:szCs w:val="22"/>
          <w:lang w:val="es-ES"/>
        </w:rPr>
        <w:t xml:space="preserve">The </w:t>
      </w:r>
      <w:proofErr w:type="spellStart"/>
      <w:r>
        <w:rPr>
          <w:sz w:val="22"/>
          <w:szCs w:val="22"/>
          <w:lang w:val="es-ES"/>
        </w:rPr>
        <w:t>bidder</w:t>
      </w:r>
      <w:proofErr w:type="spellEnd"/>
      <w:r>
        <w:rPr>
          <w:sz w:val="22"/>
          <w:szCs w:val="22"/>
          <w:lang w:val="es-ES"/>
        </w:rPr>
        <w:t xml:space="preserve"> </w:t>
      </w:r>
      <w:proofErr w:type="spellStart"/>
      <w:r>
        <w:rPr>
          <w:sz w:val="22"/>
          <w:szCs w:val="22"/>
          <w:lang w:val="es-ES"/>
        </w:rPr>
        <w:t>must</w:t>
      </w:r>
      <w:proofErr w:type="spellEnd"/>
      <w:r>
        <w:rPr>
          <w:sz w:val="22"/>
          <w:szCs w:val="22"/>
          <w:lang w:val="es-ES"/>
        </w:rPr>
        <w:t xml:space="preserve"> </w:t>
      </w:r>
      <w:proofErr w:type="spellStart"/>
      <w:r>
        <w:rPr>
          <w:sz w:val="22"/>
          <w:szCs w:val="22"/>
          <w:lang w:val="es-ES"/>
        </w:rPr>
        <w:t>have</w:t>
      </w:r>
      <w:proofErr w:type="spellEnd"/>
      <w:r>
        <w:rPr>
          <w:sz w:val="22"/>
          <w:szCs w:val="22"/>
          <w:lang w:val="es-ES"/>
        </w:rPr>
        <w:t xml:space="preserve"> a local representative </w:t>
      </w:r>
      <w:proofErr w:type="spellStart"/>
      <w:r>
        <w:rPr>
          <w:sz w:val="22"/>
          <w:szCs w:val="22"/>
          <w:lang w:val="es-ES"/>
        </w:rPr>
        <w:t>who</w:t>
      </w:r>
      <w:proofErr w:type="spellEnd"/>
      <w:r>
        <w:rPr>
          <w:sz w:val="22"/>
          <w:szCs w:val="22"/>
          <w:lang w:val="es-ES"/>
        </w:rPr>
        <w:t xml:space="preserve"> can </w:t>
      </w:r>
      <w:proofErr w:type="spellStart"/>
      <w:r>
        <w:rPr>
          <w:sz w:val="22"/>
          <w:szCs w:val="22"/>
          <w:lang w:val="es-ES"/>
        </w:rPr>
        <w:t>perform</w:t>
      </w:r>
      <w:proofErr w:type="spellEnd"/>
      <w:r>
        <w:rPr>
          <w:sz w:val="22"/>
          <w:szCs w:val="22"/>
          <w:lang w:val="es-ES"/>
        </w:rPr>
        <w:t xml:space="preserve"> </w:t>
      </w:r>
      <w:proofErr w:type="spellStart"/>
      <w:r>
        <w:rPr>
          <w:sz w:val="22"/>
          <w:szCs w:val="22"/>
          <w:lang w:val="es-ES"/>
        </w:rPr>
        <w:t>maintenance</w:t>
      </w:r>
      <w:proofErr w:type="spellEnd"/>
      <w:r>
        <w:rPr>
          <w:sz w:val="22"/>
          <w:szCs w:val="22"/>
          <w:lang w:val="es-ES"/>
        </w:rPr>
        <w:t xml:space="preserve"> </w:t>
      </w:r>
      <w:proofErr w:type="spellStart"/>
      <w:r>
        <w:rPr>
          <w:sz w:val="22"/>
          <w:szCs w:val="22"/>
          <w:lang w:val="es-ES"/>
        </w:rPr>
        <w:t>on</w:t>
      </w:r>
      <w:proofErr w:type="spellEnd"/>
      <w:r>
        <w:rPr>
          <w:sz w:val="22"/>
          <w:szCs w:val="22"/>
          <w:lang w:val="es-ES"/>
        </w:rPr>
        <w:t xml:space="preserve"> </w:t>
      </w:r>
      <w:proofErr w:type="spellStart"/>
      <w:r>
        <w:rPr>
          <w:sz w:val="22"/>
          <w:szCs w:val="22"/>
          <w:lang w:val="es-ES"/>
        </w:rPr>
        <w:t>the</w:t>
      </w:r>
      <w:proofErr w:type="spellEnd"/>
      <w:r>
        <w:rPr>
          <w:sz w:val="22"/>
          <w:szCs w:val="22"/>
          <w:lang w:val="es-ES"/>
        </w:rPr>
        <w:t xml:space="preserve"> </w:t>
      </w:r>
      <w:proofErr w:type="spellStart"/>
      <w:r>
        <w:rPr>
          <w:sz w:val="22"/>
          <w:szCs w:val="22"/>
          <w:lang w:val="es-ES"/>
        </w:rPr>
        <w:t>equipment</w:t>
      </w:r>
      <w:proofErr w:type="spellEnd"/>
      <w:r>
        <w:rPr>
          <w:sz w:val="22"/>
          <w:szCs w:val="22"/>
          <w:lang w:val="es-ES"/>
        </w:rPr>
        <w:t xml:space="preserve"> and </w:t>
      </w:r>
      <w:proofErr w:type="spellStart"/>
      <w:r>
        <w:rPr>
          <w:sz w:val="22"/>
          <w:szCs w:val="22"/>
          <w:lang w:val="es-ES"/>
        </w:rPr>
        <w:t>installed</w:t>
      </w:r>
      <w:proofErr w:type="spellEnd"/>
      <w:r>
        <w:rPr>
          <w:sz w:val="22"/>
          <w:szCs w:val="22"/>
          <w:lang w:val="es-ES"/>
        </w:rPr>
        <w:t xml:space="preserve"> software, and </w:t>
      </w:r>
      <w:proofErr w:type="spellStart"/>
      <w:r>
        <w:rPr>
          <w:sz w:val="22"/>
          <w:szCs w:val="22"/>
          <w:lang w:val="es-ES"/>
        </w:rPr>
        <w:t>the</w:t>
      </w:r>
      <w:proofErr w:type="spellEnd"/>
      <w:r>
        <w:rPr>
          <w:sz w:val="22"/>
          <w:szCs w:val="22"/>
          <w:lang w:val="es-ES"/>
        </w:rPr>
        <w:t xml:space="preserve"> </w:t>
      </w:r>
      <w:proofErr w:type="spellStart"/>
      <w:r>
        <w:rPr>
          <w:sz w:val="22"/>
          <w:szCs w:val="22"/>
          <w:lang w:val="es-ES"/>
        </w:rPr>
        <w:t>bid</w:t>
      </w:r>
      <w:proofErr w:type="spellEnd"/>
      <w:r>
        <w:rPr>
          <w:sz w:val="22"/>
          <w:szCs w:val="22"/>
          <w:lang w:val="es-ES"/>
        </w:rPr>
        <w:t xml:space="preserve"> </w:t>
      </w:r>
      <w:proofErr w:type="spellStart"/>
      <w:r>
        <w:rPr>
          <w:sz w:val="22"/>
          <w:szCs w:val="22"/>
          <w:lang w:val="es-ES"/>
        </w:rPr>
        <w:t>must</w:t>
      </w:r>
      <w:proofErr w:type="spellEnd"/>
      <w:r>
        <w:rPr>
          <w:sz w:val="22"/>
          <w:szCs w:val="22"/>
          <w:lang w:val="es-ES"/>
        </w:rPr>
        <w:t xml:space="preserve"> </w:t>
      </w:r>
      <w:proofErr w:type="spellStart"/>
      <w:r>
        <w:rPr>
          <w:sz w:val="22"/>
          <w:szCs w:val="22"/>
          <w:lang w:val="es-ES"/>
        </w:rPr>
        <w:t>indicate</w:t>
      </w:r>
      <w:proofErr w:type="spellEnd"/>
      <w:r>
        <w:rPr>
          <w:sz w:val="22"/>
          <w:szCs w:val="22"/>
          <w:lang w:val="es-ES"/>
        </w:rPr>
        <w:t xml:space="preserve"> </w:t>
      </w:r>
      <w:proofErr w:type="spellStart"/>
      <w:r>
        <w:rPr>
          <w:sz w:val="22"/>
          <w:szCs w:val="22"/>
          <w:lang w:val="es-ES"/>
        </w:rPr>
        <w:t>who</w:t>
      </w:r>
      <w:proofErr w:type="spellEnd"/>
      <w:r>
        <w:rPr>
          <w:sz w:val="22"/>
          <w:szCs w:val="22"/>
          <w:lang w:val="es-ES"/>
        </w:rPr>
        <w:t xml:space="preserve"> </w:t>
      </w:r>
      <w:proofErr w:type="spellStart"/>
      <w:r>
        <w:rPr>
          <w:sz w:val="22"/>
          <w:szCs w:val="22"/>
          <w:lang w:val="es-ES"/>
        </w:rPr>
        <w:t>will</w:t>
      </w:r>
      <w:proofErr w:type="spellEnd"/>
      <w:r>
        <w:rPr>
          <w:sz w:val="22"/>
          <w:szCs w:val="22"/>
          <w:lang w:val="es-ES"/>
        </w:rPr>
        <w:t xml:space="preserve"> </w:t>
      </w:r>
      <w:proofErr w:type="spellStart"/>
      <w:r>
        <w:rPr>
          <w:sz w:val="22"/>
          <w:szCs w:val="22"/>
          <w:lang w:val="es-ES"/>
        </w:rPr>
        <w:t>provide</w:t>
      </w:r>
      <w:proofErr w:type="spellEnd"/>
      <w:r>
        <w:rPr>
          <w:sz w:val="22"/>
          <w:szCs w:val="22"/>
          <w:lang w:val="es-ES"/>
        </w:rPr>
        <w:t xml:space="preserve"> </w:t>
      </w:r>
      <w:proofErr w:type="spellStart"/>
      <w:r>
        <w:rPr>
          <w:sz w:val="22"/>
          <w:szCs w:val="22"/>
          <w:lang w:val="es-ES"/>
        </w:rPr>
        <w:t>support</w:t>
      </w:r>
      <w:proofErr w:type="spellEnd"/>
      <w:r>
        <w:rPr>
          <w:sz w:val="22"/>
          <w:szCs w:val="22"/>
          <w:lang w:val="es-ES"/>
        </w:rPr>
        <w:t xml:space="preserve"> and </w:t>
      </w:r>
      <w:proofErr w:type="spellStart"/>
      <w:r>
        <w:rPr>
          <w:sz w:val="22"/>
          <w:szCs w:val="22"/>
          <w:lang w:val="es-ES"/>
        </w:rPr>
        <w:t>maintenance</w:t>
      </w:r>
      <w:proofErr w:type="spellEnd"/>
      <w:r>
        <w:rPr>
          <w:sz w:val="22"/>
          <w:szCs w:val="22"/>
          <w:lang w:val="es-ES"/>
        </w:rPr>
        <w:t xml:space="preserve"> </w:t>
      </w:r>
      <w:proofErr w:type="spellStart"/>
      <w:r>
        <w:rPr>
          <w:sz w:val="22"/>
          <w:szCs w:val="22"/>
          <w:lang w:val="es-ES"/>
        </w:rPr>
        <w:t>to</w:t>
      </w:r>
      <w:proofErr w:type="spellEnd"/>
      <w:r>
        <w:rPr>
          <w:sz w:val="22"/>
          <w:szCs w:val="22"/>
          <w:lang w:val="es-ES"/>
        </w:rPr>
        <w:t xml:space="preserve"> </w:t>
      </w:r>
      <w:proofErr w:type="spellStart"/>
      <w:r>
        <w:rPr>
          <w:sz w:val="22"/>
          <w:szCs w:val="22"/>
          <w:lang w:val="es-ES"/>
        </w:rPr>
        <w:t>each</w:t>
      </w:r>
      <w:proofErr w:type="spellEnd"/>
      <w:r>
        <w:rPr>
          <w:sz w:val="22"/>
          <w:szCs w:val="22"/>
          <w:lang w:val="es-ES"/>
        </w:rPr>
        <w:t xml:space="preserve"> and </w:t>
      </w:r>
      <w:proofErr w:type="spellStart"/>
      <w:r>
        <w:rPr>
          <w:sz w:val="22"/>
          <w:szCs w:val="22"/>
          <w:lang w:val="es-ES"/>
        </w:rPr>
        <w:t>every</w:t>
      </w:r>
      <w:proofErr w:type="spellEnd"/>
      <w:r>
        <w:rPr>
          <w:sz w:val="22"/>
          <w:szCs w:val="22"/>
          <w:lang w:val="es-ES"/>
        </w:rPr>
        <w:t xml:space="preserve"> </w:t>
      </w:r>
      <w:proofErr w:type="spellStart"/>
      <w:r>
        <w:rPr>
          <w:sz w:val="22"/>
          <w:szCs w:val="22"/>
          <w:lang w:val="es-ES"/>
        </w:rPr>
        <w:t>component</w:t>
      </w:r>
      <w:proofErr w:type="spellEnd"/>
      <w:r>
        <w:rPr>
          <w:sz w:val="22"/>
          <w:szCs w:val="22"/>
          <w:lang w:val="es-ES"/>
        </w:rPr>
        <w:t xml:space="preserve"> </w:t>
      </w:r>
      <w:proofErr w:type="spellStart"/>
      <w:r>
        <w:rPr>
          <w:sz w:val="22"/>
          <w:szCs w:val="22"/>
          <w:lang w:val="es-ES"/>
        </w:rPr>
        <w:t>of</w:t>
      </w:r>
      <w:proofErr w:type="spellEnd"/>
      <w:r>
        <w:rPr>
          <w:sz w:val="22"/>
          <w:szCs w:val="22"/>
          <w:lang w:val="es-ES"/>
        </w:rPr>
        <w:t xml:space="preserve"> </w:t>
      </w:r>
      <w:proofErr w:type="spellStart"/>
      <w:r>
        <w:rPr>
          <w:sz w:val="22"/>
          <w:szCs w:val="22"/>
          <w:lang w:val="es-ES"/>
        </w:rPr>
        <w:t>the</w:t>
      </w:r>
      <w:proofErr w:type="spellEnd"/>
      <w:r>
        <w:rPr>
          <w:sz w:val="22"/>
          <w:szCs w:val="22"/>
          <w:lang w:val="es-ES"/>
        </w:rPr>
        <w:t xml:space="preserve"> </w:t>
      </w:r>
      <w:proofErr w:type="spellStart"/>
      <w:r>
        <w:rPr>
          <w:sz w:val="22"/>
          <w:szCs w:val="22"/>
          <w:lang w:val="es-ES"/>
        </w:rPr>
        <w:t>Telemetry</w:t>
      </w:r>
      <w:proofErr w:type="spellEnd"/>
      <w:r>
        <w:rPr>
          <w:sz w:val="22"/>
          <w:szCs w:val="22"/>
          <w:lang w:val="es-ES"/>
        </w:rPr>
        <w:t xml:space="preserve"> </w:t>
      </w:r>
      <w:proofErr w:type="spellStart"/>
      <w:r>
        <w:rPr>
          <w:sz w:val="22"/>
          <w:szCs w:val="22"/>
          <w:lang w:val="es-ES"/>
        </w:rPr>
        <w:t>System</w:t>
      </w:r>
      <w:proofErr w:type="spellEnd"/>
      <w:r>
        <w:rPr>
          <w:sz w:val="22"/>
          <w:szCs w:val="22"/>
          <w:lang w:val="es-ES"/>
        </w:rPr>
        <w:t>.</w:t>
      </w:r>
    </w:p>
    <w:p w14:paraId="7E07A7DC" w14:textId="77777777" w:rsidR="00E255F4" w:rsidRDefault="00000000">
      <w:pPr>
        <w:pStyle w:val="Prrafodelista"/>
        <w:numPr>
          <w:ilvl w:val="1"/>
          <w:numId w:val="3"/>
        </w:numPr>
        <w:spacing w:after="120"/>
        <w:ind w:left="567" w:hanging="567"/>
        <w:jc w:val="both"/>
      </w:pPr>
      <w:proofErr w:type="spellStart"/>
      <w:r>
        <w:rPr>
          <w:sz w:val="22"/>
          <w:szCs w:val="22"/>
          <w:lang w:val="es-ES"/>
        </w:rPr>
        <w:t>Maintenance</w:t>
      </w:r>
      <w:proofErr w:type="spellEnd"/>
      <w:r>
        <w:rPr>
          <w:sz w:val="22"/>
          <w:szCs w:val="22"/>
          <w:lang w:val="es-ES"/>
        </w:rPr>
        <w:t xml:space="preserve"> </w:t>
      </w:r>
      <w:proofErr w:type="spellStart"/>
      <w:r>
        <w:rPr>
          <w:sz w:val="22"/>
          <w:szCs w:val="22"/>
          <w:lang w:val="es-ES"/>
        </w:rPr>
        <w:t>will</w:t>
      </w:r>
      <w:proofErr w:type="spellEnd"/>
      <w:r>
        <w:rPr>
          <w:sz w:val="22"/>
          <w:szCs w:val="22"/>
          <w:lang w:val="es-ES"/>
        </w:rPr>
        <w:t xml:space="preserve"> </w:t>
      </w:r>
      <w:proofErr w:type="spellStart"/>
      <w:r>
        <w:rPr>
          <w:sz w:val="22"/>
          <w:szCs w:val="22"/>
          <w:lang w:val="es-ES"/>
        </w:rPr>
        <w:t>include</w:t>
      </w:r>
      <w:proofErr w:type="spellEnd"/>
      <w:r>
        <w:rPr>
          <w:sz w:val="22"/>
          <w:szCs w:val="22"/>
          <w:lang w:val="es-ES"/>
        </w:rPr>
        <w:t xml:space="preserve"> </w:t>
      </w:r>
      <w:proofErr w:type="spellStart"/>
      <w:r>
        <w:rPr>
          <w:sz w:val="22"/>
          <w:szCs w:val="22"/>
          <w:lang w:val="es-ES"/>
        </w:rPr>
        <w:t>all</w:t>
      </w:r>
      <w:proofErr w:type="spellEnd"/>
      <w:r>
        <w:rPr>
          <w:sz w:val="22"/>
          <w:szCs w:val="22"/>
          <w:lang w:val="es-ES"/>
        </w:rPr>
        <w:t xml:space="preserve"> </w:t>
      </w:r>
      <w:proofErr w:type="spellStart"/>
      <w:r>
        <w:rPr>
          <w:sz w:val="22"/>
          <w:szCs w:val="22"/>
          <w:lang w:val="es-ES"/>
        </w:rPr>
        <w:t>supplies</w:t>
      </w:r>
      <w:proofErr w:type="spellEnd"/>
      <w:r>
        <w:rPr>
          <w:sz w:val="22"/>
          <w:szCs w:val="22"/>
          <w:lang w:val="es-ES"/>
        </w:rPr>
        <w:t xml:space="preserve"> and </w:t>
      </w:r>
      <w:proofErr w:type="spellStart"/>
      <w:r>
        <w:rPr>
          <w:sz w:val="22"/>
          <w:szCs w:val="22"/>
          <w:lang w:val="es-ES"/>
        </w:rPr>
        <w:t>support</w:t>
      </w:r>
      <w:proofErr w:type="spellEnd"/>
      <w:r>
        <w:rPr>
          <w:sz w:val="22"/>
          <w:szCs w:val="22"/>
          <w:lang w:val="es-ES"/>
        </w:rPr>
        <w:t xml:space="preserve"> </w:t>
      </w:r>
      <w:proofErr w:type="spellStart"/>
      <w:r>
        <w:rPr>
          <w:sz w:val="22"/>
          <w:szCs w:val="22"/>
          <w:lang w:val="es-ES"/>
        </w:rPr>
        <w:t>necessary</w:t>
      </w:r>
      <w:proofErr w:type="spellEnd"/>
      <w:r>
        <w:rPr>
          <w:sz w:val="22"/>
          <w:szCs w:val="22"/>
          <w:lang w:val="es-ES"/>
        </w:rPr>
        <w:t xml:space="preserve"> </w:t>
      </w:r>
      <w:proofErr w:type="spellStart"/>
      <w:r>
        <w:rPr>
          <w:sz w:val="22"/>
          <w:szCs w:val="22"/>
          <w:lang w:val="es-ES"/>
        </w:rPr>
        <w:t>to</w:t>
      </w:r>
      <w:proofErr w:type="spellEnd"/>
      <w:r>
        <w:rPr>
          <w:sz w:val="22"/>
          <w:szCs w:val="22"/>
          <w:lang w:val="es-ES"/>
        </w:rPr>
        <w:t xml:space="preserve"> </w:t>
      </w:r>
      <w:proofErr w:type="spellStart"/>
      <w:r>
        <w:rPr>
          <w:sz w:val="22"/>
          <w:szCs w:val="22"/>
          <w:lang w:val="es-ES"/>
        </w:rPr>
        <w:t>keep</w:t>
      </w:r>
      <w:proofErr w:type="spellEnd"/>
      <w:r>
        <w:rPr>
          <w:sz w:val="22"/>
          <w:szCs w:val="22"/>
          <w:lang w:val="es-ES"/>
        </w:rPr>
        <w:t xml:space="preserve"> </w:t>
      </w:r>
      <w:proofErr w:type="spellStart"/>
      <w:r>
        <w:rPr>
          <w:sz w:val="22"/>
          <w:szCs w:val="22"/>
          <w:lang w:val="es-ES"/>
        </w:rPr>
        <w:t>the</w:t>
      </w:r>
      <w:proofErr w:type="spellEnd"/>
      <w:r>
        <w:rPr>
          <w:sz w:val="22"/>
          <w:szCs w:val="22"/>
          <w:lang w:val="es-ES"/>
        </w:rPr>
        <w:t xml:space="preserve"> </w:t>
      </w:r>
      <w:proofErr w:type="spellStart"/>
      <w:r>
        <w:rPr>
          <w:sz w:val="22"/>
          <w:szCs w:val="22"/>
          <w:lang w:val="es-ES"/>
        </w:rPr>
        <w:t>equipment</w:t>
      </w:r>
      <w:proofErr w:type="spellEnd"/>
      <w:r>
        <w:rPr>
          <w:sz w:val="22"/>
          <w:szCs w:val="22"/>
          <w:lang w:val="es-ES"/>
        </w:rPr>
        <w:t xml:space="preserve"> running, </w:t>
      </w:r>
      <w:proofErr w:type="spellStart"/>
      <w:r>
        <w:rPr>
          <w:sz w:val="22"/>
          <w:szCs w:val="22"/>
          <w:lang w:val="es-ES"/>
        </w:rPr>
        <w:t>which</w:t>
      </w:r>
      <w:proofErr w:type="spellEnd"/>
      <w:r>
        <w:rPr>
          <w:sz w:val="22"/>
          <w:szCs w:val="22"/>
          <w:lang w:val="es-ES"/>
        </w:rPr>
        <w:t xml:space="preserve"> </w:t>
      </w:r>
      <w:proofErr w:type="spellStart"/>
      <w:r>
        <w:rPr>
          <w:sz w:val="22"/>
          <w:szCs w:val="22"/>
          <w:lang w:val="es-ES"/>
        </w:rPr>
        <w:t>will</w:t>
      </w:r>
      <w:proofErr w:type="spellEnd"/>
      <w:r>
        <w:rPr>
          <w:sz w:val="22"/>
          <w:szCs w:val="22"/>
          <w:lang w:val="es-ES"/>
        </w:rPr>
        <w:t xml:space="preserve"> be </w:t>
      </w:r>
      <w:proofErr w:type="spellStart"/>
      <w:r>
        <w:rPr>
          <w:sz w:val="22"/>
          <w:szCs w:val="22"/>
          <w:lang w:val="es-ES"/>
        </w:rPr>
        <w:t>supplied</w:t>
      </w:r>
      <w:proofErr w:type="spellEnd"/>
      <w:r>
        <w:rPr>
          <w:sz w:val="22"/>
          <w:szCs w:val="22"/>
          <w:lang w:val="es-ES"/>
        </w:rPr>
        <w:t xml:space="preserve"> and </w:t>
      </w:r>
      <w:proofErr w:type="spellStart"/>
      <w:r>
        <w:rPr>
          <w:sz w:val="22"/>
          <w:szCs w:val="22"/>
          <w:lang w:val="es-ES"/>
        </w:rPr>
        <w:t>installed</w:t>
      </w:r>
      <w:proofErr w:type="spellEnd"/>
      <w:r>
        <w:rPr>
          <w:sz w:val="22"/>
          <w:szCs w:val="22"/>
          <w:lang w:val="es-ES"/>
        </w:rPr>
        <w:t xml:space="preserve"> </w:t>
      </w:r>
      <w:proofErr w:type="spellStart"/>
      <w:r>
        <w:rPr>
          <w:sz w:val="22"/>
          <w:szCs w:val="22"/>
          <w:lang w:val="es-ES"/>
        </w:rPr>
        <w:t>by</w:t>
      </w:r>
      <w:proofErr w:type="spellEnd"/>
      <w:r>
        <w:rPr>
          <w:sz w:val="22"/>
          <w:szCs w:val="22"/>
          <w:lang w:val="es-ES"/>
        </w:rPr>
        <w:t xml:space="preserve"> </w:t>
      </w:r>
      <w:proofErr w:type="spellStart"/>
      <w:r>
        <w:rPr>
          <w:sz w:val="22"/>
          <w:szCs w:val="22"/>
          <w:lang w:val="es-ES"/>
        </w:rPr>
        <w:t>the</w:t>
      </w:r>
      <w:proofErr w:type="spellEnd"/>
      <w:r>
        <w:rPr>
          <w:sz w:val="22"/>
          <w:szCs w:val="22"/>
          <w:lang w:val="es-ES"/>
        </w:rPr>
        <w:t xml:space="preserve"> </w:t>
      </w:r>
      <w:proofErr w:type="spellStart"/>
      <w:r>
        <w:rPr>
          <w:sz w:val="22"/>
          <w:szCs w:val="22"/>
          <w:lang w:val="es-ES"/>
        </w:rPr>
        <w:t>contractor</w:t>
      </w:r>
      <w:proofErr w:type="spellEnd"/>
      <w:r>
        <w:rPr>
          <w:sz w:val="22"/>
          <w:szCs w:val="22"/>
          <w:lang w:val="es-ES"/>
        </w:rPr>
        <w:t>.</w:t>
      </w:r>
    </w:p>
    <w:p w14:paraId="06BF99C3" w14:textId="77777777" w:rsidR="00E255F4" w:rsidRDefault="00000000">
      <w:pPr>
        <w:pStyle w:val="Prrafodelista"/>
        <w:numPr>
          <w:ilvl w:val="1"/>
          <w:numId w:val="3"/>
        </w:numPr>
        <w:spacing w:after="120"/>
        <w:ind w:left="567" w:hanging="567"/>
        <w:jc w:val="both"/>
      </w:pPr>
      <w:r>
        <w:rPr>
          <w:sz w:val="22"/>
          <w:szCs w:val="22"/>
          <w:lang w:val="es-ES"/>
        </w:rPr>
        <w:t xml:space="preserve">Reactive </w:t>
      </w:r>
      <w:proofErr w:type="spellStart"/>
      <w:r>
        <w:rPr>
          <w:sz w:val="22"/>
          <w:szCs w:val="22"/>
          <w:lang w:val="es-ES"/>
        </w:rPr>
        <w:t>maintenance</w:t>
      </w:r>
      <w:proofErr w:type="spellEnd"/>
      <w:r>
        <w:rPr>
          <w:sz w:val="22"/>
          <w:szCs w:val="22"/>
          <w:lang w:val="es-ES"/>
        </w:rPr>
        <w:t xml:space="preserve"> </w:t>
      </w:r>
      <w:proofErr w:type="spellStart"/>
      <w:r>
        <w:rPr>
          <w:sz w:val="22"/>
          <w:szCs w:val="22"/>
          <w:lang w:val="es-ES"/>
        </w:rPr>
        <w:t>on</w:t>
      </w:r>
      <w:proofErr w:type="spellEnd"/>
      <w:r>
        <w:rPr>
          <w:sz w:val="22"/>
          <w:szCs w:val="22"/>
          <w:lang w:val="es-ES"/>
        </w:rPr>
        <w:t xml:space="preserve"> </w:t>
      </w:r>
      <w:proofErr w:type="spellStart"/>
      <w:r>
        <w:rPr>
          <w:sz w:val="22"/>
          <w:szCs w:val="22"/>
          <w:lang w:val="es-ES"/>
        </w:rPr>
        <w:t>the</w:t>
      </w:r>
      <w:proofErr w:type="spellEnd"/>
      <w:r>
        <w:rPr>
          <w:sz w:val="22"/>
          <w:szCs w:val="22"/>
          <w:lang w:val="es-ES"/>
        </w:rPr>
        <w:t xml:space="preserve"> </w:t>
      </w:r>
      <w:proofErr w:type="spellStart"/>
      <w:r>
        <w:rPr>
          <w:sz w:val="22"/>
          <w:szCs w:val="22"/>
          <w:lang w:val="es-ES"/>
        </w:rPr>
        <w:t>equipment</w:t>
      </w:r>
      <w:proofErr w:type="spellEnd"/>
      <w:r>
        <w:rPr>
          <w:sz w:val="22"/>
          <w:szCs w:val="22"/>
          <w:lang w:val="es-ES"/>
        </w:rPr>
        <w:t xml:space="preserve"> </w:t>
      </w:r>
      <w:proofErr w:type="spellStart"/>
      <w:r>
        <w:rPr>
          <w:sz w:val="22"/>
          <w:szCs w:val="22"/>
          <w:lang w:val="es-ES"/>
        </w:rPr>
        <w:t>must</w:t>
      </w:r>
      <w:proofErr w:type="spellEnd"/>
      <w:r>
        <w:rPr>
          <w:sz w:val="22"/>
          <w:szCs w:val="22"/>
          <w:lang w:val="es-ES"/>
        </w:rPr>
        <w:t xml:space="preserve"> be </w:t>
      </w:r>
      <w:proofErr w:type="spellStart"/>
      <w:r>
        <w:rPr>
          <w:sz w:val="22"/>
          <w:szCs w:val="22"/>
          <w:lang w:val="es-ES"/>
        </w:rPr>
        <w:t>performed</w:t>
      </w:r>
      <w:proofErr w:type="spellEnd"/>
      <w:r>
        <w:rPr>
          <w:sz w:val="22"/>
          <w:szCs w:val="22"/>
          <w:lang w:val="es-ES"/>
        </w:rPr>
        <w:t xml:space="preserve"> </w:t>
      </w:r>
      <w:proofErr w:type="spellStart"/>
      <w:r>
        <w:rPr>
          <w:sz w:val="22"/>
          <w:szCs w:val="22"/>
          <w:lang w:val="es-ES"/>
        </w:rPr>
        <w:t>within</w:t>
      </w:r>
      <w:proofErr w:type="spellEnd"/>
      <w:r>
        <w:rPr>
          <w:sz w:val="22"/>
          <w:szCs w:val="22"/>
          <w:lang w:val="es-ES"/>
        </w:rPr>
        <w:t xml:space="preserve"> 48 </w:t>
      </w:r>
      <w:proofErr w:type="spellStart"/>
      <w:r>
        <w:rPr>
          <w:sz w:val="22"/>
          <w:szCs w:val="22"/>
          <w:lang w:val="es-ES"/>
        </w:rPr>
        <w:t>hours</w:t>
      </w:r>
      <w:proofErr w:type="spellEnd"/>
      <w:r>
        <w:rPr>
          <w:sz w:val="22"/>
          <w:szCs w:val="22"/>
          <w:lang w:val="es-ES"/>
        </w:rPr>
        <w:t xml:space="preserve"> </w:t>
      </w:r>
      <w:proofErr w:type="spellStart"/>
      <w:r>
        <w:rPr>
          <w:sz w:val="22"/>
          <w:szCs w:val="22"/>
          <w:lang w:val="es-ES"/>
        </w:rPr>
        <w:t>of</w:t>
      </w:r>
      <w:proofErr w:type="spellEnd"/>
      <w:r>
        <w:rPr>
          <w:sz w:val="22"/>
          <w:szCs w:val="22"/>
          <w:lang w:val="es-ES"/>
        </w:rPr>
        <w:t xml:space="preserve"> </w:t>
      </w:r>
      <w:proofErr w:type="spellStart"/>
      <w:r>
        <w:rPr>
          <w:sz w:val="22"/>
          <w:szCs w:val="22"/>
          <w:lang w:val="es-ES"/>
        </w:rPr>
        <w:t>the</w:t>
      </w:r>
      <w:proofErr w:type="spellEnd"/>
      <w:r>
        <w:rPr>
          <w:sz w:val="22"/>
          <w:szCs w:val="22"/>
          <w:lang w:val="es-ES"/>
        </w:rPr>
        <w:t xml:space="preserve"> </w:t>
      </w:r>
      <w:proofErr w:type="spellStart"/>
      <w:r>
        <w:rPr>
          <w:sz w:val="22"/>
          <w:szCs w:val="22"/>
          <w:lang w:val="es-ES"/>
        </w:rPr>
        <w:t>incident</w:t>
      </w:r>
      <w:proofErr w:type="spellEnd"/>
      <w:r>
        <w:rPr>
          <w:sz w:val="22"/>
          <w:szCs w:val="22"/>
          <w:lang w:val="es-ES"/>
        </w:rPr>
        <w:t xml:space="preserve"> </w:t>
      </w:r>
      <w:proofErr w:type="spellStart"/>
      <w:r>
        <w:rPr>
          <w:sz w:val="22"/>
          <w:szCs w:val="22"/>
          <w:lang w:val="es-ES"/>
        </w:rPr>
        <w:t>being</w:t>
      </w:r>
      <w:proofErr w:type="spellEnd"/>
      <w:r>
        <w:rPr>
          <w:sz w:val="22"/>
          <w:szCs w:val="22"/>
          <w:lang w:val="es-ES"/>
        </w:rPr>
        <w:t xml:space="preserve"> </w:t>
      </w:r>
      <w:proofErr w:type="spellStart"/>
      <w:r>
        <w:rPr>
          <w:sz w:val="22"/>
          <w:szCs w:val="22"/>
          <w:lang w:val="es-ES"/>
        </w:rPr>
        <w:t>reported</w:t>
      </w:r>
      <w:proofErr w:type="spellEnd"/>
      <w:r>
        <w:rPr>
          <w:sz w:val="22"/>
          <w:szCs w:val="22"/>
          <w:lang w:val="es-ES"/>
        </w:rPr>
        <w:t xml:space="preserve">, </w:t>
      </w:r>
      <w:proofErr w:type="spellStart"/>
      <w:r>
        <w:rPr>
          <w:sz w:val="22"/>
          <w:szCs w:val="22"/>
          <w:lang w:val="es-ES"/>
        </w:rPr>
        <w:t>leaving</w:t>
      </w:r>
      <w:proofErr w:type="spellEnd"/>
      <w:r>
        <w:rPr>
          <w:sz w:val="22"/>
          <w:szCs w:val="22"/>
          <w:lang w:val="es-ES"/>
        </w:rPr>
        <w:t xml:space="preserve"> </w:t>
      </w:r>
      <w:proofErr w:type="spellStart"/>
      <w:r>
        <w:rPr>
          <w:sz w:val="22"/>
          <w:szCs w:val="22"/>
          <w:lang w:val="es-ES"/>
        </w:rPr>
        <w:t>the</w:t>
      </w:r>
      <w:proofErr w:type="spellEnd"/>
      <w:r>
        <w:rPr>
          <w:sz w:val="22"/>
          <w:szCs w:val="22"/>
          <w:lang w:val="es-ES"/>
        </w:rPr>
        <w:t xml:space="preserve"> </w:t>
      </w:r>
      <w:proofErr w:type="spellStart"/>
      <w:r>
        <w:rPr>
          <w:sz w:val="22"/>
          <w:szCs w:val="22"/>
          <w:lang w:val="es-ES"/>
        </w:rPr>
        <w:t>equipment</w:t>
      </w:r>
      <w:proofErr w:type="spellEnd"/>
      <w:r>
        <w:rPr>
          <w:sz w:val="22"/>
          <w:szCs w:val="22"/>
          <w:lang w:val="es-ES"/>
        </w:rPr>
        <w:t xml:space="preserve"> </w:t>
      </w:r>
      <w:proofErr w:type="spellStart"/>
      <w:r>
        <w:rPr>
          <w:sz w:val="22"/>
          <w:szCs w:val="22"/>
          <w:lang w:val="es-ES"/>
        </w:rPr>
        <w:t>transmitting</w:t>
      </w:r>
      <w:proofErr w:type="spellEnd"/>
      <w:r>
        <w:rPr>
          <w:sz w:val="22"/>
          <w:szCs w:val="22"/>
          <w:lang w:val="es-ES"/>
        </w:rPr>
        <w:t xml:space="preserve"> </w:t>
      </w:r>
      <w:proofErr w:type="spellStart"/>
      <w:r>
        <w:rPr>
          <w:sz w:val="22"/>
          <w:szCs w:val="22"/>
          <w:lang w:val="es-ES"/>
        </w:rPr>
        <w:t>correctly</w:t>
      </w:r>
      <w:proofErr w:type="spellEnd"/>
      <w:r>
        <w:rPr>
          <w:sz w:val="22"/>
          <w:szCs w:val="22"/>
          <w:lang w:val="es-ES"/>
        </w:rPr>
        <w:t>.</w:t>
      </w:r>
    </w:p>
    <w:p w14:paraId="7F7A849C" w14:textId="77777777" w:rsidR="00E255F4" w:rsidRDefault="00000000">
      <w:pPr>
        <w:pStyle w:val="Prrafodelista"/>
        <w:numPr>
          <w:ilvl w:val="1"/>
          <w:numId w:val="3"/>
        </w:numPr>
        <w:spacing w:after="120"/>
        <w:ind w:left="567" w:hanging="567"/>
        <w:jc w:val="both"/>
        <w:rPr>
          <w:sz w:val="22"/>
          <w:szCs w:val="22"/>
          <w:lang w:val="es-ES"/>
        </w:rPr>
      </w:pPr>
      <w:proofErr w:type="spellStart"/>
      <w:r>
        <w:rPr>
          <w:sz w:val="22"/>
          <w:szCs w:val="22"/>
          <w:lang w:val="es-ES"/>
        </w:rPr>
        <w:t>Actions</w:t>
      </w:r>
      <w:proofErr w:type="spellEnd"/>
      <w:r>
        <w:rPr>
          <w:sz w:val="22"/>
          <w:szCs w:val="22"/>
          <w:lang w:val="es-ES"/>
        </w:rPr>
        <w:t xml:space="preserve"> </w:t>
      </w:r>
      <w:proofErr w:type="spellStart"/>
      <w:r>
        <w:rPr>
          <w:sz w:val="22"/>
          <w:szCs w:val="22"/>
          <w:lang w:val="es-ES"/>
        </w:rPr>
        <w:t>for</w:t>
      </w:r>
      <w:proofErr w:type="spellEnd"/>
      <w:r>
        <w:rPr>
          <w:sz w:val="22"/>
          <w:szCs w:val="22"/>
          <w:lang w:val="es-ES"/>
        </w:rPr>
        <w:t xml:space="preserve"> reactive and/</w:t>
      </w:r>
      <w:proofErr w:type="spellStart"/>
      <w:r>
        <w:rPr>
          <w:sz w:val="22"/>
          <w:szCs w:val="22"/>
          <w:lang w:val="es-ES"/>
        </w:rPr>
        <w:t>or</w:t>
      </w:r>
      <w:proofErr w:type="spellEnd"/>
      <w:r>
        <w:rPr>
          <w:sz w:val="22"/>
          <w:szCs w:val="22"/>
          <w:lang w:val="es-ES"/>
        </w:rPr>
        <w:t xml:space="preserve"> preventive </w:t>
      </w:r>
      <w:proofErr w:type="spellStart"/>
      <w:r>
        <w:rPr>
          <w:sz w:val="22"/>
          <w:szCs w:val="22"/>
          <w:lang w:val="es-ES"/>
        </w:rPr>
        <w:t>maintenance</w:t>
      </w:r>
      <w:proofErr w:type="spellEnd"/>
      <w:r>
        <w:rPr>
          <w:sz w:val="22"/>
          <w:szCs w:val="22"/>
          <w:lang w:val="es-ES"/>
        </w:rPr>
        <w:t xml:space="preserve"> as a </w:t>
      </w:r>
      <w:proofErr w:type="spellStart"/>
      <w:r>
        <w:rPr>
          <w:sz w:val="22"/>
          <w:szCs w:val="22"/>
          <w:lang w:val="es-ES"/>
        </w:rPr>
        <w:t>result</w:t>
      </w:r>
      <w:proofErr w:type="spellEnd"/>
      <w:r>
        <w:rPr>
          <w:sz w:val="22"/>
          <w:szCs w:val="22"/>
          <w:lang w:val="es-ES"/>
        </w:rPr>
        <w:t xml:space="preserve"> </w:t>
      </w:r>
      <w:proofErr w:type="spellStart"/>
      <w:r>
        <w:rPr>
          <w:sz w:val="22"/>
          <w:szCs w:val="22"/>
          <w:lang w:val="es-ES"/>
        </w:rPr>
        <w:t>of</w:t>
      </w:r>
      <w:proofErr w:type="spellEnd"/>
      <w:r>
        <w:rPr>
          <w:sz w:val="22"/>
          <w:szCs w:val="22"/>
          <w:lang w:val="es-ES"/>
        </w:rPr>
        <w:t xml:space="preserve"> </w:t>
      </w:r>
      <w:proofErr w:type="spellStart"/>
      <w:r>
        <w:rPr>
          <w:sz w:val="22"/>
          <w:szCs w:val="22"/>
          <w:lang w:val="es-ES"/>
        </w:rPr>
        <w:t>manufacturing</w:t>
      </w:r>
      <w:proofErr w:type="spellEnd"/>
      <w:r>
        <w:rPr>
          <w:sz w:val="22"/>
          <w:szCs w:val="22"/>
          <w:lang w:val="es-ES"/>
        </w:rPr>
        <w:t xml:space="preserve"> </w:t>
      </w:r>
      <w:proofErr w:type="spellStart"/>
      <w:r>
        <w:rPr>
          <w:sz w:val="22"/>
          <w:szCs w:val="22"/>
          <w:lang w:val="es-ES"/>
        </w:rPr>
        <w:t>defects</w:t>
      </w:r>
      <w:proofErr w:type="spellEnd"/>
      <w:r>
        <w:rPr>
          <w:sz w:val="22"/>
          <w:szCs w:val="22"/>
          <w:lang w:val="es-ES"/>
        </w:rPr>
        <w:t xml:space="preserve"> in </w:t>
      </w:r>
      <w:proofErr w:type="spellStart"/>
      <w:r>
        <w:rPr>
          <w:sz w:val="22"/>
          <w:szCs w:val="22"/>
          <w:lang w:val="es-ES"/>
        </w:rPr>
        <w:t>components</w:t>
      </w:r>
      <w:proofErr w:type="spellEnd"/>
      <w:r>
        <w:rPr>
          <w:sz w:val="22"/>
          <w:szCs w:val="22"/>
          <w:lang w:val="es-ES"/>
        </w:rPr>
        <w:t xml:space="preserve">, </w:t>
      </w:r>
      <w:proofErr w:type="spellStart"/>
      <w:r>
        <w:rPr>
          <w:sz w:val="22"/>
          <w:szCs w:val="22"/>
          <w:lang w:val="es-ES"/>
        </w:rPr>
        <w:t>installation</w:t>
      </w:r>
      <w:proofErr w:type="spellEnd"/>
      <w:r>
        <w:rPr>
          <w:sz w:val="22"/>
          <w:szCs w:val="22"/>
          <w:lang w:val="es-ES"/>
        </w:rPr>
        <w:t xml:space="preserve"> </w:t>
      </w:r>
      <w:proofErr w:type="spellStart"/>
      <w:r>
        <w:rPr>
          <w:sz w:val="22"/>
          <w:szCs w:val="22"/>
          <w:lang w:val="es-ES"/>
        </w:rPr>
        <w:t>execution</w:t>
      </w:r>
      <w:proofErr w:type="spellEnd"/>
      <w:r>
        <w:rPr>
          <w:sz w:val="22"/>
          <w:szCs w:val="22"/>
          <w:lang w:val="es-ES"/>
        </w:rPr>
        <w:t xml:space="preserve"> </w:t>
      </w:r>
      <w:proofErr w:type="spellStart"/>
      <w:r>
        <w:rPr>
          <w:sz w:val="22"/>
          <w:szCs w:val="22"/>
          <w:lang w:val="es-ES"/>
        </w:rPr>
        <w:t>or</w:t>
      </w:r>
      <w:proofErr w:type="spellEnd"/>
      <w:r>
        <w:rPr>
          <w:sz w:val="22"/>
          <w:szCs w:val="22"/>
          <w:lang w:val="es-ES"/>
        </w:rPr>
        <w:t xml:space="preserve"> </w:t>
      </w:r>
      <w:proofErr w:type="spellStart"/>
      <w:r>
        <w:rPr>
          <w:sz w:val="22"/>
          <w:szCs w:val="22"/>
          <w:lang w:val="es-ES"/>
        </w:rPr>
        <w:t>configuration</w:t>
      </w:r>
      <w:proofErr w:type="spellEnd"/>
      <w:r>
        <w:rPr>
          <w:sz w:val="22"/>
          <w:szCs w:val="22"/>
          <w:lang w:val="es-ES"/>
        </w:rPr>
        <w:t xml:space="preserve"> </w:t>
      </w:r>
      <w:proofErr w:type="spellStart"/>
      <w:r>
        <w:rPr>
          <w:sz w:val="22"/>
          <w:szCs w:val="22"/>
          <w:lang w:val="es-ES"/>
        </w:rPr>
        <w:t>errors</w:t>
      </w:r>
      <w:proofErr w:type="spellEnd"/>
      <w:r>
        <w:rPr>
          <w:sz w:val="22"/>
          <w:szCs w:val="22"/>
          <w:lang w:val="es-ES"/>
        </w:rPr>
        <w:t xml:space="preserve"> </w:t>
      </w:r>
      <w:proofErr w:type="spellStart"/>
      <w:r>
        <w:rPr>
          <w:sz w:val="22"/>
          <w:szCs w:val="22"/>
          <w:lang w:val="es-ES"/>
        </w:rPr>
        <w:t>will</w:t>
      </w:r>
      <w:proofErr w:type="spellEnd"/>
      <w:r>
        <w:rPr>
          <w:sz w:val="22"/>
          <w:szCs w:val="22"/>
          <w:lang w:val="es-ES"/>
        </w:rPr>
        <w:t xml:space="preserve"> be at </w:t>
      </w:r>
      <w:proofErr w:type="spellStart"/>
      <w:r>
        <w:rPr>
          <w:sz w:val="22"/>
          <w:szCs w:val="22"/>
          <w:lang w:val="es-ES"/>
        </w:rPr>
        <w:t>the</w:t>
      </w:r>
      <w:proofErr w:type="spellEnd"/>
      <w:r>
        <w:rPr>
          <w:sz w:val="22"/>
          <w:szCs w:val="22"/>
          <w:lang w:val="es-ES"/>
        </w:rPr>
        <w:t xml:space="preserve"> expense </w:t>
      </w:r>
      <w:proofErr w:type="spellStart"/>
      <w:r>
        <w:rPr>
          <w:sz w:val="22"/>
          <w:szCs w:val="22"/>
          <w:lang w:val="es-ES"/>
        </w:rPr>
        <w:t>of</w:t>
      </w:r>
      <w:proofErr w:type="spellEnd"/>
      <w:r>
        <w:rPr>
          <w:sz w:val="22"/>
          <w:szCs w:val="22"/>
          <w:lang w:val="es-ES"/>
        </w:rPr>
        <w:t xml:space="preserve"> </w:t>
      </w:r>
      <w:proofErr w:type="spellStart"/>
      <w:r>
        <w:rPr>
          <w:sz w:val="22"/>
          <w:szCs w:val="22"/>
          <w:lang w:val="es-ES"/>
        </w:rPr>
        <w:t>the</w:t>
      </w:r>
      <w:proofErr w:type="spellEnd"/>
      <w:r>
        <w:rPr>
          <w:sz w:val="22"/>
          <w:szCs w:val="22"/>
          <w:lang w:val="es-ES"/>
        </w:rPr>
        <w:t xml:space="preserve"> </w:t>
      </w:r>
      <w:proofErr w:type="spellStart"/>
      <w:r>
        <w:rPr>
          <w:sz w:val="22"/>
          <w:szCs w:val="22"/>
          <w:lang w:val="es-ES"/>
        </w:rPr>
        <w:t>successful</w:t>
      </w:r>
      <w:proofErr w:type="spellEnd"/>
      <w:r>
        <w:rPr>
          <w:sz w:val="22"/>
          <w:szCs w:val="22"/>
          <w:lang w:val="es-ES"/>
        </w:rPr>
        <w:t xml:space="preserve"> </w:t>
      </w:r>
      <w:proofErr w:type="spellStart"/>
      <w:r>
        <w:rPr>
          <w:sz w:val="22"/>
          <w:szCs w:val="22"/>
          <w:lang w:val="es-ES"/>
        </w:rPr>
        <w:t>bidder</w:t>
      </w:r>
      <w:proofErr w:type="spellEnd"/>
      <w:r>
        <w:rPr>
          <w:sz w:val="22"/>
          <w:szCs w:val="22"/>
          <w:lang w:val="es-ES"/>
        </w:rPr>
        <w:t>.</w:t>
      </w:r>
    </w:p>
    <w:p w14:paraId="1A3E4C69" w14:textId="77777777" w:rsidR="00E255F4" w:rsidRDefault="00000000">
      <w:pPr>
        <w:pStyle w:val="Prrafodelista"/>
        <w:numPr>
          <w:ilvl w:val="1"/>
          <w:numId w:val="3"/>
        </w:numPr>
        <w:spacing w:after="120"/>
        <w:ind w:left="567" w:hanging="567"/>
        <w:jc w:val="both"/>
        <w:rPr>
          <w:sz w:val="22"/>
          <w:szCs w:val="22"/>
          <w:lang w:val="es-ES"/>
        </w:rPr>
      </w:pPr>
      <w:r>
        <w:rPr>
          <w:sz w:val="22"/>
          <w:szCs w:val="22"/>
          <w:lang w:val="es-ES"/>
        </w:rPr>
        <w:t xml:space="preserve">For corrective </w:t>
      </w:r>
      <w:proofErr w:type="spellStart"/>
      <w:r>
        <w:rPr>
          <w:sz w:val="22"/>
          <w:szCs w:val="22"/>
          <w:lang w:val="es-ES"/>
        </w:rPr>
        <w:t>actions</w:t>
      </w:r>
      <w:proofErr w:type="spellEnd"/>
      <w:r>
        <w:rPr>
          <w:sz w:val="22"/>
          <w:szCs w:val="22"/>
          <w:lang w:val="es-ES"/>
        </w:rPr>
        <w:t xml:space="preserve"> in software </w:t>
      </w:r>
      <w:proofErr w:type="spellStart"/>
      <w:r>
        <w:rPr>
          <w:sz w:val="22"/>
          <w:szCs w:val="22"/>
          <w:lang w:val="es-ES"/>
        </w:rPr>
        <w:t>applications</w:t>
      </w:r>
      <w:proofErr w:type="spellEnd"/>
      <w:r>
        <w:rPr>
          <w:sz w:val="22"/>
          <w:szCs w:val="22"/>
          <w:lang w:val="es-ES"/>
        </w:rPr>
        <w:t xml:space="preserve"> and interfaces, </w:t>
      </w:r>
      <w:proofErr w:type="spellStart"/>
      <w:r>
        <w:rPr>
          <w:sz w:val="22"/>
          <w:szCs w:val="22"/>
          <w:lang w:val="es-ES"/>
        </w:rPr>
        <w:t>the</w:t>
      </w:r>
      <w:proofErr w:type="spellEnd"/>
      <w:r>
        <w:rPr>
          <w:sz w:val="22"/>
          <w:szCs w:val="22"/>
          <w:lang w:val="es-ES"/>
        </w:rPr>
        <w:t xml:space="preserve"> response and </w:t>
      </w:r>
      <w:proofErr w:type="spellStart"/>
      <w:r>
        <w:rPr>
          <w:sz w:val="22"/>
          <w:szCs w:val="22"/>
          <w:lang w:val="es-ES"/>
        </w:rPr>
        <w:t>resolution</w:t>
      </w:r>
      <w:proofErr w:type="spellEnd"/>
      <w:r>
        <w:rPr>
          <w:sz w:val="22"/>
          <w:szCs w:val="22"/>
          <w:lang w:val="es-ES"/>
        </w:rPr>
        <w:t xml:space="preserve"> time </w:t>
      </w:r>
      <w:proofErr w:type="spellStart"/>
      <w:r>
        <w:rPr>
          <w:sz w:val="22"/>
          <w:szCs w:val="22"/>
          <w:lang w:val="es-ES"/>
        </w:rPr>
        <w:t>must</w:t>
      </w:r>
      <w:proofErr w:type="spellEnd"/>
      <w:r>
        <w:rPr>
          <w:sz w:val="22"/>
          <w:szCs w:val="22"/>
          <w:lang w:val="es-ES"/>
        </w:rPr>
        <w:t xml:space="preserve"> be </w:t>
      </w:r>
      <w:proofErr w:type="spellStart"/>
      <w:r>
        <w:rPr>
          <w:sz w:val="22"/>
          <w:szCs w:val="22"/>
          <w:lang w:val="es-ES"/>
        </w:rPr>
        <w:t>less</w:t>
      </w:r>
      <w:proofErr w:type="spellEnd"/>
      <w:r>
        <w:rPr>
          <w:sz w:val="22"/>
          <w:szCs w:val="22"/>
          <w:lang w:val="es-ES"/>
        </w:rPr>
        <w:t xml:space="preserve"> </w:t>
      </w:r>
      <w:proofErr w:type="spellStart"/>
      <w:r>
        <w:rPr>
          <w:sz w:val="22"/>
          <w:szCs w:val="22"/>
          <w:lang w:val="es-ES"/>
        </w:rPr>
        <w:t>than</w:t>
      </w:r>
      <w:proofErr w:type="spellEnd"/>
      <w:r>
        <w:rPr>
          <w:sz w:val="22"/>
          <w:szCs w:val="22"/>
          <w:lang w:val="es-ES"/>
        </w:rPr>
        <w:t xml:space="preserve"> 72 </w:t>
      </w:r>
      <w:proofErr w:type="spellStart"/>
      <w:r>
        <w:rPr>
          <w:sz w:val="22"/>
          <w:szCs w:val="22"/>
          <w:lang w:val="es-ES"/>
        </w:rPr>
        <w:t>hours</w:t>
      </w:r>
      <w:proofErr w:type="spellEnd"/>
      <w:r>
        <w:rPr>
          <w:sz w:val="22"/>
          <w:szCs w:val="22"/>
          <w:lang w:val="es-ES"/>
        </w:rPr>
        <w:t>.</w:t>
      </w:r>
    </w:p>
    <w:p w14:paraId="630615CF" w14:textId="77777777" w:rsidR="00E255F4" w:rsidRDefault="00000000">
      <w:pPr>
        <w:pStyle w:val="Ttulo2"/>
        <w:spacing w:before="360" w:after="240"/>
        <w:ind w:left="567" w:hanging="567"/>
      </w:pPr>
      <w:bookmarkStart w:id="107" w:name="__RefHeading___Toc143_3847131730"/>
      <w:bookmarkStart w:id="108" w:name="__RefHeading___Toc225377270"/>
      <w:bookmarkEnd w:id="107"/>
      <w:r>
        <w:rPr>
          <w:rFonts w:ascii="Times New Roman" w:hAnsi="Times New Roman" w:cs="Times New Roman"/>
          <w:i w:val="0"/>
          <w:sz w:val="24"/>
          <w:szCs w:val="24"/>
        </w:rPr>
        <w:t>CHARACTERISTICS OF DRINKING WATER METERS</w:t>
      </w:r>
      <w:bookmarkEnd w:id="108"/>
    </w:p>
    <w:p w14:paraId="7B7F92D8" w14:textId="77777777" w:rsidR="00E255F4" w:rsidRDefault="00E255F4">
      <w:pPr>
        <w:pStyle w:val="Prrafodelista"/>
        <w:spacing w:before="240" w:after="240"/>
        <w:ind w:left="0"/>
        <w:rPr>
          <w:b/>
          <w:i/>
          <w:vanish/>
          <w:sz w:val="22"/>
          <w:szCs w:val="22"/>
          <w:lang w:val="es-ES"/>
        </w:rPr>
      </w:pPr>
    </w:p>
    <w:p w14:paraId="683150D7" w14:textId="77777777" w:rsidR="00E255F4" w:rsidRDefault="00000000">
      <w:pPr>
        <w:spacing w:after="120"/>
      </w:pPr>
      <w:r>
        <w:rPr>
          <w:b/>
          <w:sz w:val="22"/>
          <w:szCs w:val="22"/>
        </w:rPr>
        <w:t>7.1</w:t>
      </w:r>
      <w:r>
        <w:tab/>
      </w:r>
      <w:r>
        <w:rPr>
          <w:b/>
          <w:sz w:val="22"/>
          <w:szCs w:val="22"/>
        </w:rPr>
        <w:t xml:space="preserve">General </w:t>
      </w:r>
      <w:proofErr w:type="spellStart"/>
      <w:r>
        <w:rPr>
          <w:b/>
          <w:sz w:val="22"/>
          <w:szCs w:val="22"/>
        </w:rPr>
        <w:t>Characteristics</w:t>
      </w:r>
      <w:proofErr w:type="spellEnd"/>
    </w:p>
    <w:p w14:paraId="46F7495B" w14:textId="77777777" w:rsidR="00E255F4" w:rsidRDefault="00000000">
      <w:pPr>
        <w:pStyle w:val="Prrafodelista"/>
        <w:numPr>
          <w:ilvl w:val="2"/>
          <w:numId w:val="64"/>
        </w:numPr>
        <w:spacing w:after="120"/>
        <w:jc w:val="both"/>
        <w:rPr>
          <w:sz w:val="24"/>
          <w:szCs w:val="24"/>
          <w:lang w:val="es-UY"/>
        </w:rPr>
      </w:pPr>
      <w:proofErr w:type="spellStart"/>
      <w:r>
        <w:rPr>
          <w:color w:val="000000"/>
          <w:spacing w:val="-3"/>
          <w:sz w:val="22"/>
          <w:szCs w:val="22"/>
          <w:lang w:val="es-ES"/>
        </w:rPr>
        <w:t>All</w:t>
      </w:r>
      <w:proofErr w:type="spellEnd"/>
      <w:r>
        <w:rPr>
          <w:color w:val="000000"/>
          <w:spacing w:val="-3"/>
          <w:sz w:val="22"/>
          <w:szCs w:val="22"/>
          <w:lang w:val="es-ES"/>
        </w:rPr>
        <w:t xml:space="preserve"> </w:t>
      </w:r>
      <w:proofErr w:type="spellStart"/>
      <w:r>
        <w:rPr>
          <w:color w:val="000000"/>
          <w:spacing w:val="-3"/>
          <w:sz w:val="22"/>
          <w:szCs w:val="22"/>
          <w:lang w:val="es-ES"/>
        </w:rPr>
        <w:t>meters</w:t>
      </w:r>
      <w:proofErr w:type="spellEnd"/>
      <w:r>
        <w:rPr>
          <w:color w:val="000000"/>
          <w:spacing w:val="-3"/>
          <w:sz w:val="22"/>
          <w:szCs w:val="22"/>
          <w:lang w:val="es-ES"/>
        </w:rPr>
        <w:t xml:space="preserve"> </w:t>
      </w:r>
      <w:proofErr w:type="spellStart"/>
      <w:r>
        <w:rPr>
          <w:color w:val="000000"/>
          <w:spacing w:val="-3"/>
          <w:sz w:val="22"/>
          <w:szCs w:val="22"/>
          <w:lang w:val="es-ES"/>
        </w:rPr>
        <w:t>to</w:t>
      </w:r>
      <w:proofErr w:type="spellEnd"/>
      <w:r>
        <w:rPr>
          <w:color w:val="000000"/>
          <w:spacing w:val="-3"/>
          <w:sz w:val="22"/>
          <w:szCs w:val="22"/>
          <w:lang w:val="es-ES"/>
        </w:rPr>
        <w:t xml:space="preserve"> be </w:t>
      </w:r>
      <w:proofErr w:type="spellStart"/>
      <w:r>
        <w:rPr>
          <w:color w:val="000000"/>
          <w:spacing w:val="-3"/>
          <w:sz w:val="22"/>
          <w:szCs w:val="22"/>
          <w:lang w:val="es-ES"/>
        </w:rPr>
        <w:t>supplied</w:t>
      </w:r>
      <w:r>
        <w:rPr>
          <w:spacing w:val="-3"/>
          <w:sz w:val="22"/>
          <w:szCs w:val="22"/>
          <w:lang w:val="es-ES"/>
        </w:rPr>
        <w:t>They</w:t>
      </w:r>
      <w:proofErr w:type="spellEnd"/>
      <w:r>
        <w:rPr>
          <w:spacing w:val="-3"/>
          <w:sz w:val="22"/>
          <w:szCs w:val="22"/>
          <w:lang w:val="es-ES"/>
        </w:rPr>
        <w:t xml:space="preserve"> </w:t>
      </w:r>
      <w:proofErr w:type="spellStart"/>
      <w:r>
        <w:rPr>
          <w:spacing w:val="-3"/>
          <w:sz w:val="22"/>
          <w:szCs w:val="22"/>
          <w:lang w:val="es-ES"/>
        </w:rPr>
        <w:t>must</w:t>
      </w:r>
      <w:proofErr w:type="spellEnd"/>
      <w:r>
        <w:rPr>
          <w:spacing w:val="-3"/>
          <w:sz w:val="22"/>
          <w:szCs w:val="22"/>
          <w:lang w:val="es-ES"/>
        </w:rPr>
        <w:t xml:space="preserve"> be 13mm (½”) in </w:t>
      </w:r>
      <w:proofErr w:type="spellStart"/>
      <w:r>
        <w:rPr>
          <w:spacing w:val="-3"/>
          <w:sz w:val="22"/>
          <w:szCs w:val="22"/>
          <w:lang w:val="es-ES"/>
        </w:rPr>
        <w:t>diameter</w:t>
      </w:r>
      <w:proofErr w:type="spellEnd"/>
      <w:r>
        <w:rPr>
          <w:spacing w:val="-3"/>
          <w:sz w:val="22"/>
          <w:szCs w:val="22"/>
          <w:lang w:val="es-ES"/>
        </w:rPr>
        <w:t xml:space="preserve"> and </w:t>
      </w:r>
      <w:proofErr w:type="spellStart"/>
      <w:r>
        <w:rPr>
          <w:spacing w:val="-3"/>
          <w:sz w:val="22"/>
          <w:szCs w:val="22"/>
          <w:lang w:val="es-ES"/>
        </w:rPr>
        <w:t>have</w:t>
      </w:r>
      <w:proofErr w:type="spellEnd"/>
      <w:r>
        <w:rPr>
          <w:spacing w:val="-3"/>
          <w:sz w:val="22"/>
          <w:szCs w:val="22"/>
          <w:lang w:val="es-ES"/>
        </w:rPr>
        <w:t xml:space="preserve"> a </w:t>
      </w:r>
      <w:proofErr w:type="spellStart"/>
      <w:r>
        <w:rPr>
          <w:spacing w:val="-3"/>
          <w:sz w:val="22"/>
          <w:szCs w:val="22"/>
          <w:lang w:val="es-ES"/>
        </w:rPr>
        <w:t>plastic</w:t>
      </w:r>
      <w:proofErr w:type="spellEnd"/>
      <w:r>
        <w:rPr>
          <w:spacing w:val="-3"/>
          <w:sz w:val="22"/>
          <w:szCs w:val="22"/>
          <w:lang w:val="es-ES"/>
        </w:rPr>
        <w:t xml:space="preserve"> </w:t>
      </w:r>
      <w:proofErr w:type="spellStart"/>
      <w:r>
        <w:rPr>
          <w:spacing w:val="-3"/>
          <w:sz w:val="22"/>
          <w:szCs w:val="22"/>
          <w:lang w:val="es-ES"/>
        </w:rPr>
        <w:t>casing</w:t>
      </w:r>
      <w:proofErr w:type="spellEnd"/>
      <w:r>
        <w:rPr>
          <w:spacing w:val="-3"/>
          <w:sz w:val="22"/>
          <w:szCs w:val="22"/>
          <w:lang w:val="es-ES"/>
        </w:rPr>
        <w:t>.</w:t>
      </w:r>
    </w:p>
    <w:p w14:paraId="17C60E90" w14:textId="77777777" w:rsidR="00E255F4" w:rsidRDefault="00000000">
      <w:pPr>
        <w:pStyle w:val="Prrafodelista"/>
        <w:numPr>
          <w:ilvl w:val="2"/>
          <w:numId w:val="64"/>
        </w:numPr>
        <w:spacing w:after="120"/>
        <w:jc w:val="both"/>
        <w:rPr>
          <w:sz w:val="24"/>
          <w:szCs w:val="24"/>
          <w:lang w:val="es-UY"/>
        </w:rPr>
      </w:pPr>
      <w:proofErr w:type="spellStart"/>
      <w:r>
        <w:rPr>
          <w:sz w:val="22"/>
          <w:szCs w:val="22"/>
          <w:lang w:val="es-ES"/>
        </w:rPr>
        <w:t>All</w:t>
      </w:r>
      <w:proofErr w:type="spellEnd"/>
      <w:r>
        <w:rPr>
          <w:sz w:val="22"/>
          <w:szCs w:val="22"/>
          <w:lang w:val="es-ES"/>
        </w:rPr>
        <w:t xml:space="preserve"> </w:t>
      </w:r>
      <w:proofErr w:type="spellStart"/>
      <w:r>
        <w:rPr>
          <w:sz w:val="22"/>
          <w:szCs w:val="22"/>
          <w:lang w:val="es-ES"/>
        </w:rPr>
        <w:t>meters</w:t>
      </w:r>
      <w:proofErr w:type="spellEnd"/>
      <w:r>
        <w:rPr>
          <w:sz w:val="22"/>
          <w:szCs w:val="22"/>
          <w:lang w:val="es-ES"/>
        </w:rPr>
        <w:t xml:space="preserve"> </w:t>
      </w:r>
      <w:proofErr w:type="spellStart"/>
      <w:r>
        <w:rPr>
          <w:sz w:val="22"/>
          <w:szCs w:val="22"/>
          <w:lang w:val="es-ES"/>
        </w:rPr>
        <w:t>to</w:t>
      </w:r>
      <w:proofErr w:type="spellEnd"/>
      <w:r>
        <w:rPr>
          <w:sz w:val="22"/>
          <w:szCs w:val="22"/>
          <w:lang w:val="es-ES"/>
        </w:rPr>
        <w:t xml:space="preserve"> be </w:t>
      </w:r>
      <w:proofErr w:type="spellStart"/>
      <w:r>
        <w:rPr>
          <w:sz w:val="22"/>
          <w:szCs w:val="22"/>
          <w:lang w:val="es-ES"/>
        </w:rPr>
        <w:t>supplied</w:t>
      </w:r>
      <w:proofErr w:type="spellEnd"/>
      <w:r>
        <w:rPr>
          <w:sz w:val="22"/>
          <w:szCs w:val="22"/>
          <w:lang w:val="es-ES"/>
        </w:rPr>
        <w:t xml:space="preserve"> </w:t>
      </w:r>
      <w:proofErr w:type="spellStart"/>
      <w:r>
        <w:rPr>
          <w:sz w:val="22"/>
          <w:szCs w:val="22"/>
          <w:lang w:val="es-ES"/>
        </w:rPr>
        <w:t>must</w:t>
      </w:r>
      <w:proofErr w:type="spellEnd"/>
      <w:r>
        <w:rPr>
          <w:sz w:val="22"/>
          <w:szCs w:val="22"/>
          <w:lang w:val="es-ES"/>
        </w:rPr>
        <w:t xml:space="preserve"> be </w:t>
      </w:r>
      <w:proofErr w:type="spellStart"/>
      <w:r>
        <w:rPr>
          <w:sz w:val="22"/>
          <w:szCs w:val="22"/>
          <w:lang w:val="es-ES"/>
        </w:rPr>
        <w:t>volumetric</w:t>
      </w:r>
      <w:proofErr w:type="spellEnd"/>
      <w:r>
        <w:rPr>
          <w:sz w:val="22"/>
          <w:szCs w:val="22"/>
          <w:lang w:val="es-ES"/>
        </w:rPr>
        <w:t xml:space="preserve"> </w:t>
      </w:r>
      <w:proofErr w:type="spellStart"/>
      <w:r>
        <w:rPr>
          <w:sz w:val="22"/>
          <w:szCs w:val="22"/>
          <w:lang w:val="es-ES"/>
        </w:rPr>
        <w:t>or</w:t>
      </w:r>
      <w:proofErr w:type="spellEnd"/>
      <w:r>
        <w:rPr>
          <w:sz w:val="22"/>
          <w:szCs w:val="22"/>
          <w:lang w:val="es-ES"/>
        </w:rPr>
        <w:t xml:space="preserve"> </w:t>
      </w:r>
      <w:proofErr w:type="spellStart"/>
      <w:r>
        <w:rPr>
          <w:sz w:val="22"/>
          <w:szCs w:val="22"/>
          <w:lang w:val="es-ES"/>
        </w:rPr>
        <w:t>ultrasonic</w:t>
      </w:r>
      <w:proofErr w:type="spellEnd"/>
      <w:proofErr w:type="gramStart"/>
      <w:r>
        <w:rPr>
          <w:sz w:val="22"/>
          <w:szCs w:val="22"/>
          <w:lang w:val="es-ES"/>
        </w:rPr>
        <w:t>.</w:t>
      </w:r>
      <w:r>
        <w:rPr>
          <w:color w:val="000000"/>
          <w:sz w:val="22"/>
          <w:szCs w:val="22"/>
          <w:lang w:val="es-ES"/>
        </w:rPr>
        <w:t>,</w:t>
      </w:r>
      <w:proofErr w:type="spellStart"/>
      <w:r>
        <w:rPr>
          <w:sz w:val="22"/>
          <w:szCs w:val="22"/>
          <w:lang w:val="es-ES"/>
        </w:rPr>
        <w:t>with</w:t>
      </w:r>
      <w:proofErr w:type="spellEnd"/>
      <w:proofErr w:type="gramEnd"/>
      <w:r>
        <w:rPr>
          <w:sz w:val="22"/>
          <w:szCs w:val="22"/>
          <w:lang w:val="es-ES"/>
        </w:rPr>
        <w:t xml:space="preserve"> </w:t>
      </w:r>
      <w:proofErr w:type="spellStart"/>
      <w:r>
        <w:rPr>
          <w:sz w:val="22"/>
          <w:szCs w:val="22"/>
          <w:lang w:val="es-ES"/>
        </w:rPr>
        <w:t>dynamic</w:t>
      </w:r>
      <w:proofErr w:type="spellEnd"/>
      <w:r>
        <w:rPr>
          <w:sz w:val="22"/>
          <w:szCs w:val="22"/>
          <w:lang w:val="es-ES"/>
        </w:rPr>
        <w:t xml:space="preserve"> </w:t>
      </w:r>
      <w:proofErr w:type="spellStart"/>
      <w:r>
        <w:rPr>
          <w:sz w:val="22"/>
          <w:szCs w:val="22"/>
          <w:lang w:val="es-ES"/>
        </w:rPr>
        <w:t>range</w:t>
      </w:r>
      <w:r>
        <w:rPr>
          <w:color w:val="000000"/>
          <w:sz w:val="22"/>
          <w:szCs w:val="22"/>
          <w:lang w:val="es-ES"/>
        </w:rPr>
        <w:t>R</w:t>
      </w:r>
      <w:proofErr w:type="spellEnd"/>
      <w:r>
        <w:rPr>
          <w:color w:val="000000"/>
          <w:sz w:val="22"/>
          <w:szCs w:val="22"/>
          <w:lang w:val="es-ES"/>
        </w:rPr>
        <w:t xml:space="preserve"> </w:t>
      </w:r>
      <w:proofErr w:type="spellStart"/>
      <w:r>
        <w:rPr>
          <w:color w:val="000000"/>
          <w:sz w:val="22"/>
          <w:szCs w:val="22"/>
          <w:lang w:val="es-ES"/>
        </w:rPr>
        <w:t>equal</w:t>
      </w:r>
      <w:proofErr w:type="spellEnd"/>
      <w:r>
        <w:rPr>
          <w:color w:val="000000"/>
          <w:sz w:val="22"/>
          <w:szCs w:val="22"/>
          <w:lang w:val="es-ES"/>
        </w:rPr>
        <w:t xml:space="preserve"> </w:t>
      </w:r>
      <w:proofErr w:type="spellStart"/>
      <w:r>
        <w:rPr>
          <w:color w:val="000000"/>
          <w:sz w:val="22"/>
          <w:szCs w:val="22"/>
          <w:lang w:val="es-ES"/>
        </w:rPr>
        <w:t>to</w:t>
      </w:r>
      <w:proofErr w:type="spellEnd"/>
      <w:r>
        <w:rPr>
          <w:color w:val="000000"/>
          <w:sz w:val="22"/>
          <w:szCs w:val="22"/>
          <w:lang w:val="es-ES"/>
        </w:rPr>
        <w:t xml:space="preserve"> </w:t>
      </w:r>
      <w:proofErr w:type="spellStart"/>
      <w:r>
        <w:rPr>
          <w:color w:val="000000"/>
          <w:sz w:val="22"/>
          <w:szCs w:val="22"/>
          <w:lang w:val="es-ES"/>
        </w:rPr>
        <w:t>or</w:t>
      </w:r>
      <w:proofErr w:type="spellEnd"/>
      <w:r>
        <w:rPr>
          <w:color w:val="000000"/>
          <w:sz w:val="22"/>
          <w:szCs w:val="22"/>
          <w:lang w:val="es-ES"/>
        </w:rPr>
        <w:t xml:space="preserve"> </w:t>
      </w:r>
      <w:proofErr w:type="spellStart"/>
      <w:r>
        <w:rPr>
          <w:color w:val="000000"/>
          <w:sz w:val="22"/>
          <w:szCs w:val="22"/>
          <w:lang w:val="es-ES"/>
        </w:rPr>
        <w:t>greater</w:t>
      </w:r>
      <w:proofErr w:type="spellEnd"/>
      <w:r>
        <w:rPr>
          <w:color w:val="000000"/>
          <w:sz w:val="22"/>
          <w:szCs w:val="22"/>
          <w:lang w:val="es-ES"/>
        </w:rPr>
        <w:t xml:space="preserve"> </w:t>
      </w:r>
      <w:proofErr w:type="spellStart"/>
      <w:r>
        <w:rPr>
          <w:color w:val="000000"/>
          <w:sz w:val="22"/>
          <w:szCs w:val="22"/>
          <w:lang w:val="es-ES"/>
        </w:rPr>
        <w:t>than</w:t>
      </w:r>
      <w:proofErr w:type="spellEnd"/>
      <w:r>
        <w:rPr>
          <w:color w:val="000000"/>
          <w:sz w:val="22"/>
          <w:szCs w:val="22"/>
          <w:lang w:val="es-ES"/>
        </w:rPr>
        <w:t xml:space="preserve"> 400 (R=Q3/Q1), </w:t>
      </w:r>
      <w:proofErr w:type="spellStart"/>
      <w:r>
        <w:rPr>
          <w:color w:val="000000"/>
          <w:sz w:val="22"/>
          <w:szCs w:val="22"/>
          <w:lang w:val="es-ES"/>
        </w:rPr>
        <w:t>cold</w:t>
      </w:r>
      <w:proofErr w:type="spellEnd"/>
      <w:r>
        <w:rPr>
          <w:color w:val="000000"/>
          <w:sz w:val="22"/>
          <w:szCs w:val="22"/>
          <w:lang w:val="es-ES"/>
        </w:rPr>
        <w:t xml:space="preserve"> </w:t>
      </w:r>
      <w:proofErr w:type="spellStart"/>
      <w:r>
        <w:rPr>
          <w:color w:val="000000"/>
          <w:sz w:val="22"/>
          <w:szCs w:val="22"/>
          <w:lang w:val="es-ES"/>
        </w:rPr>
        <w:t>water</w:t>
      </w:r>
      <w:r>
        <w:rPr>
          <w:sz w:val="22"/>
          <w:szCs w:val="22"/>
          <w:lang w:val="es-ES"/>
        </w:rPr>
        <w:t>In</w:t>
      </w:r>
      <w:proofErr w:type="spellEnd"/>
      <w:r>
        <w:rPr>
          <w:sz w:val="22"/>
          <w:szCs w:val="22"/>
          <w:lang w:val="es-ES"/>
        </w:rPr>
        <w:t xml:space="preserve"> </w:t>
      </w:r>
      <w:proofErr w:type="spellStart"/>
      <w:r>
        <w:rPr>
          <w:sz w:val="22"/>
          <w:szCs w:val="22"/>
          <w:lang w:val="es-ES"/>
        </w:rPr>
        <w:t>any</w:t>
      </w:r>
      <w:proofErr w:type="spellEnd"/>
      <w:r>
        <w:rPr>
          <w:sz w:val="22"/>
          <w:szCs w:val="22"/>
          <w:lang w:val="es-ES"/>
        </w:rPr>
        <w:t xml:space="preserve"> case, </w:t>
      </w:r>
      <w:proofErr w:type="spellStart"/>
      <w:r>
        <w:rPr>
          <w:sz w:val="22"/>
          <w:szCs w:val="22"/>
          <w:lang w:val="es-ES"/>
        </w:rPr>
        <w:t>the</w:t>
      </w:r>
      <w:proofErr w:type="spellEnd"/>
      <w:r>
        <w:rPr>
          <w:sz w:val="22"/>
          <w:szCs w:val="22"/>
          <w:lang w:val="es-ES"/>
        </w:rPr>
        <w:t xml:space="preserve"> </w:t>
      </w:r>
      <w:proofErr w:type="spellStart"/>
      <w:r>
        <w:rPr>
          <w:sz w:val="22"/>
          <w:szCs w:val="22"/>
          <w:lang w:val="es-ES"/>
        </w:rPr>
        <w:t>telemetry</w:t>
      </w:r>
      <w:proofErr w:type="spellEnd"/>
      <w:r>
        <w:rPr>
          <w:sz w:val="22"/>
          <w:szCs w:val="22"/>
          <w:lang w:val="es-ES"/>
        </w:rPr>
        <w:t xml:space="preserve"> </w:t>
      </w:r>
      <w:proofErr w:type="spellStart"/>
      <w:r>
        <w:rPr>
          <w:sz w:val="22"/>
          <w:szCs w:val="22"/>
          <w:lang w:val="es-ES"/>
        </w:rPr>
        <w:t>device</w:t>
      </w:r>
      <w:proofErr w:type="spellEnd"/>
      <w:r>
        <w:rPr>
          <w:sz w:val="22"/>
          <w:szCs w:val="22"/>
          <w:lang w:val="es-ES"/>
        </w:rPr>
        <w:t xml:space="preserve"> </w:t>
      </w:r>
      <w:proofErr w:type="spellStart"/>
      <w:r>
        <w:rPr>
          <w:sz w:val="22"/>
          <w:szCs w:val="22"/>
          <w:lang w:val="es-ES"/>
        </w:rPr>
        <w:t>will</w:t>
      </w:r>
      <w:proofErr w:type="spellEnd"/>
      <w:r>
        <w:rPr>
          <w:sz w:val="22"/>
          <w:szCs w:val="22"/>
          <w:lang w:val="es-ES"/>
        </w:rPr>
        <w:t xml:space="preserve"> be </w:t>
      </w:r>
      <w:proofErr w:type="spellStart"/>
      <w:r>
        <w:rPr>
          <w:sz w:val="22"/>
          <w:szCs w:val="22"/>
          <w:lang w:val="es-ES"/>
        </w:rPr>
        <w:t>integrated</w:t>
      </w:r>
      <w:proofErr w:type="spellEnd"/>
      <w:r>
        <w:rPr>
          <w:sz w:val="22"/>
          <w:szCs w:val="22"/>
          <w:lang w:val="es-ES"/>
        </w:rPr>
        <w:t xml:space="preserve"> </w:t>
      </w:r>
      <w:proofErr w:type="spellStart"/>
      <w:r>
        <w:rPr>
          <w:sz w:val="22"/>
          <w:szCs w:val="22"/>
          <w:lang w:val="es-ES"/>
        </w:rPr>
        <w:t>into</w:t>
      </w:r>
      <w:proofErr w:type="spellEnd"/>
      <w:r>
        <w:rPr>
          <w:sz w:val="22"/>
          <w:szCs w:val="22"/>
          <w:lang w:val="es-ES"/>
        </w:rPr>
        <w:t xml:space="preserve"> </w:t>
      </w:r>
      <w:proofErr w:type="spellStart"/>
      <w:r>
        <w:rPr>
          <w:sz w:val="22"/>
          <w:szCs w:val="22"/>
          <w:lang w:val="es-ES"/>
        </w:rPr>
        <w:t>the</w:t>
      </w:r>
      <w:proofErr w:type="spellEnd"/>
      <w:r>
        <w:rPr>
          <w:sz w:val="22"/>
          <w:szCs w:val="22"/>
          <w:lang w:val="es-ES"/>
        </w:rPr>
        <w:t xml:space="preserve"> meter in </w:t>
      </w:r>
      <w:proofErr w:type="spellStart"/>
      <w:r>
        <w:rPr>
          <w:sz w:val="22"/>
          <w:szCs w:val="22"/>
          <w:lang w:val="es-ES"/>
        </w:rPr>
        <w:t>the</w:t>
      </w:r>
      <w:proofErr w:type="spellEnd"/>
      <w:r>
        <w:rPr>
          <w:sz w:val="22"/>
          <w:szCs w:val="22"/>
          <w:lang w:val="es-ES"/>
        </w:rPr>
        <w:t xml:space="preserve"> </w:t>
      </w:r>
      <w:proofErr w:type="spellStart"/>
      <w:r>
        <w:rPr>
          <w:sz w:val="22"/>
          <w:szCs w:val="22"/>
          <w:lang w:val="es-ES"/>
        </w:rPr>
        <w:t>same</w:t>
      </w:r>
      <w:proofErr w:type="spellEnd"/>
      <w:r>
        <w:rPr>
          <w:sz w:val="22"/>
          <w:szCs w:val="22"/>
          <w:lang w:val="es-ES"/>
        </w:rPr>
        <w:t xml:space="preserve"> </w:t>
      </w:r>
      <w:proofErr w:type="spellStart"/>
      <w:r>
        <w:rPr>
          <w:sz w:val="22"/>
          <w:szCs w:val="22"/>
          <w:lang w:val="es-ES"/>
        </w:rPr>
        <w:t>body</w:t>
      </w:r>
      <w:proofErr w:type="spellEnd"/>
      <w:r>
        <w:rPr>
          <w:sz w:val="22"/>
          <w:szCs w:val="22"/>
          <w:lang w:val="es-ES"/>
        </w:rPr>
        <w:t xml:space="preserve"> (</w:t>
      </w:r>
      <w:proofErr w:type="spellStart"/>
      <w:r>
        <w:rPr>
          <w:sz w:val="22"/>
          <w:szCs w:val="22"/>
          <w:lang w:val="es-ES"/>
        </w:rPr>
        <w:t>integrated</w:t>
      </w:r>
      <w:proofErr w:type="spellEnd"/>
      <w:r>
        <w:rPr>
          <w:sz w:val="22"/>
          <w:szCs w:val="22"/>
          <w:lang w:val="es-ES"/>
        </w:rPr>
        <w:t xml:space="preserve"> </w:t>
      </w:r>
      <w:proofErr w:type="spellStart"/>
      <w:r>
        <w:rPr>
          <w:sz w:val="22"/>
          <w:szCs w:val="22"/>
          <w:lang w:val="es-ES"/>
        </w:rPr>
        <w:t>smart</w:t>
      </w:r>
      <w:proofErr w:type="spellEnd"/>
      <w:r>
        <w:rPr>
          <w:sz w:val="22"/>
          <w:szCs w:val="22"/>
          <w:lang w:val="es-ES"/>
        </w:rPr>
        <w:t xml:space="preserve"> meter).</w:t>
      </w:r>
    </w:p>
    <w:p w14:paraId="2429705F" w14:textId="77777777" w:rsidR="00E255F4" w:rsidRDefault="00000000">
      <w:pPr>
        <w:pStyle w:val="Prrafodelista"/>
        <w:numPr>
          <w:ilvl w:val="2"/>
          <w:numId w:val="64"/>
        </w:numPr>
        <w:spacing w:after="120"/>
        <w:jc w:val="both"/>
        <w:rPr>
          <w:sz w:val="24"/>
          <w:szCs w:val="24"/>
          <w:lang w:val="es-UY"/>
        </w:rPr>
      </w:pPr>
      <w:proofErr w:type="spellStart"/>
      <w:r>
        <w:rPr>
          <w:color w:val="000000"/>
          <w:sz w:val="22"/>
          <w:szCs w:val="22"/>
          <w:lang w:val="es-ES"/>
        </w:rPr>
        <w:t>All</w:t>
      </w:r>
      <w:proofErr w:type="spellEnd"/>
      <w:r>
        <w:rPr>
          <w:color w:val="000000"/>
          <w:sz w:val="22"/>
          <w:szCs w:val="22"/>
          <w:lang w:val="es-ES"/>
        </w:rPr>
        <w:t xml:space="preserve"> </w:t>
      </w:r>
      <w:proofErr w:type="spellStart"/>
      <w:r>
        <w:rPr>
          <w:color w:val="000000"/>
          <w:sz w:val="22"/>
          <w:szCs w:val="22"/>
          <w:lang w:val="es-ES"/>
        </w:rPr>
        <w:t>meters</w:t>
      </w:r>
      <w:proofErr w:type="spellEnd"/>
      <w:r>
        <w:rPr>
          <w:color w:val="000000"/>
          <w:sz w:val="22"/>
          <w:szCs w:val="22"/>
          <w:lang w:val="es-ES"/>
        </w:rPr>
        <w:t xml:space="preserve"> </w:t>
      </w:r>
      <w:proofErr w:type="spellStart"/>
      <w:r>
        <w:rPr>
          <w:color w:val="000000"/>
          <w:sz w:val="22"/>
          <w:szCs w:val="22"/>
          <w:lang w:val="es-ES"/>
        </w:rPr>
        <w:t>to</w:t>
      </w:r>
      <w:proofErr w:type="spellEnd"/>
      <w:r>
        <w:rPr>
          <w:color w:val="000000"/>
          <w:sz w:val="22"/>
          <w:szCs w:val="22"/>
          <w:lang w:val="es-ES"/>
        </w:rPr>
        <w:t xml:space="preserve"> be </w:t>
      </w:r>
      <w:proofErr w:type="spellStart"/>
      <w:r>
        <w:rPr>
          <w:color w:val="000000"/>
          <w:sz w:val="22"/>
          <w:szCs w:val="22"/>
          <w:lang w:val="es-ES"/>
        </w:rPr>
        <w:t>supplied</w:t>
      </w:r>
      <w:proofErr w:type="spellEnd"/>
      <w:r>
        <w:rPr>
          <w:color w:val="000000"/>
          <w:sz w:val="22"/>
          <w:szCs w:val="22"/>
          <w:lang w:val="es-ES"/>
        </w:rPr>
        <w:t xml:space="preserve"> </w:t>
      </w:r>
      <w:proofErr w:type="spellStart"/>
      <w:r>
        <w:rPr>
          <w:color w:val="000000"/>
          <w:sz w:val="22"/>
          <w:szCs w:val="22"/>
          <w:lang w:val="es-ES"/>
        </w:rPr>
        <w:t>will</w:t>
      </w:r>
      <w:proofErr w:type="spellEnd"/>
      <w:r>
        <w:rPr>
          <w:color w:val="000000"/>
          <w:sz w:val="22"/>
          <w:szCs w:val="22"/>
          <w:lang w:val="es-ES"/>
        </w:rPr>
        <w:t xml:space="preserve"> </w:t>
      </w:r>
      <w:proofErr w:type="spellStart"/>
      <w:r>
        <w:rPr>
          <w:color w:val="000000"/>
          <w:sz w:val="22"/>
          <w:szCs w:val="22"/>
          <w:lang w:val="es-ES"/>
        </w:rPr>
        <w:t>have</w:t>
      </w:r>
      <w:proofErr w:type="spellEnd"/>
      <w:r>
        <w:rPr>
          <w:color w:val="000000"/>
          <w:sz w:val="22"/>
          <w:szCs w:val="22"/>
          <w:lang w:val="es-ES"/>
        </w:rPr>
        <w:t xml:space="preserve"> </w:t>
      </w:r>
      <w:proofErr w:type="spellStart"/>
      <w:r>
        <w:rPr>
          <w:color w:val="000000"/>
          <w:sz w:val="22"/>
          <w:szCs w:val="22"/>
          <w:lang w:val="es-ES"/>
        </w:rPr>
        <w:t>a</w:t>
      </w:r>
      <w:r>
        <w:rPr>
          <w:sz w:val="22"/>
          <w:szCs w:val="22"/>
          <w:lang w:val="es-ES"/>
        </w:rPr>
        <w:t>permanent</w:t>
      </w:r>
      <w:proofErr w:type="spellEnd"/>
      <w:r>
        <w:rPr>
          <w:sz w:val="22"/>
          <w:szCs w:val="22"/>
          <w:lang w:val="es-ES"/>
        </w:rPr>
        <w:t xml:space="preserve"> flow</w:t>
      </w:r>
      <w:r>
        <w:rPr>
          <w:color w:val="000000"/>
          <w:sz w:val="22"/>
          <w:szCs w:val="22"/>
          <w:lang w:val="es-ES"/>
        </w:rPr>
        <w:t xml:space="preserve">Q3=2500 </w:t>
      </w:r>
      <w:proofErr w:type="spellStart"/>
      <w:r>
        <w:rPr>
          <w:color w:val="000000"/>
          <w:sz w:val="22"/>
          <w:szCs w:val="22"/>
          <w:lang w:val="es-ES"/>
        </w:rPr>
        <w:t>lt</w:t>
      </w:r>
      <w:proofErr w:type="spellEnd"/>
      <w:r>
        <w:rPr>
          <w:color w:val="000000"/>
          <w:sz w:val="22"/>
          <w:szCs w:val="22"/>
          <w:lang w:val="es-ES"/>
        </w:rPr>
        <w:t>/</w:t>
      </w:r>
      <w:proofErr w:type="spellStart"/>
      <w:r>
        <w:rPr>
          <w:color w:val="000000"/>
          <w:sz w:val="22"/>
          <w:szCs w:val="22"/>
          <w:lang w:val="es-ES"/>
        </w:rPr>
        <w:t>hr</w:t>
      </w:r>
      <w:proofErr w:type="spellEnd"/>
      <w:r>
        <w:rPr>
          <w:color w:val="000000"/>
          <w:sz w:val="22"/>
          <w:szCs w:val="22"/>
          <w:lang w:val="es-ES"/>
        </w:rPr>
        <w:t xml:space="preserve"> and a </w:t>
      </w:r>
      <w:proofErr w:type="spellStart"/>
      <w:r>
        <w:rPr>
          <w:color w:val="000000"/>
          <w:sz w:val="22"/>
          <w:szCs w:val="22"/>
          <w:lang w:val="es-ES"/>
        </w:rPr>
        <w:t>distance</w:t>
      </w:r>
      <w:proofErr w:type="spellEnd"/>
      <w:r>
        <w:rPr>
          <w:color w:val="000000"/>
          <w:sz w:val="22"/>
          <w:szCs w:val="22"/>
          <w:lang w:val="es-ES"/>
        </w:rPr>
        <w:t xml:space="preserve"> </w:t>
      </w:r>
      <w:proofErr w:type="spellStart"/>
      <w:r>
        <w:rPr>
          <w:color w:val="000000"/>
          <w:sz w:val="22"/>
          <w:szCs w:val="22"/>
          <w:lang w:val="es-ES"/>
        </w:rPr>
        <w:t>between</w:t>
      </w:r>
      <w:proofErr w:type="spellEnd"/>
      <w:r>
        <w:rPr>
          <w:color w:val="000000"/>
          <w:sz w:val="22"/>
          <w:szCs w:val="22"/>
          <w:lang w:val="es-ES"/>
        </w:rPr>
        <w:t xml:space="preserve"> </w:t>
      </w:r>
      <w:proofErr w:type="spellStart"/>
      <w:r>
        <w:rPr>
          <w:color w:val="000000"/>
          <w:sz w:val="22"/>
          <w:szCs w:val="22"/>
          <w:lang w:val="es-ES"/>
        </w:rPr>
        <w:t>threads</w:t>
      </w:r>
      <w:proofErr w:type="spellEnd"/>
      <w:r>
        <w:rPr>
          <w:color w:val="000000"/>
          <w:sz w:val="22"/>
          <w:szCs w:val="22"/>
          <w:lang w:val="es-ES"/>
        </w:rPr>
        <w:t xml:space="preserve"> </w:t>
      </w:r>
      <w:proofErr w:type="spellStart"/>
      <w:r>
        <w:rPr>
          <w:color w:val="000000"/>
          <w:sz w:val="22"/>
          <w:szCs w:val="22"/>
          <w:lang w:val="es-ES"/>
        </w:rPr>
        <w:t>of</w:t>
      </w:r>
      <w:proofErr w:type="spellEnd"/>
      <w:r>
        <w:rPr>
          <w:color w:val="000000"/>
          <w:sz w:val="22"/>
          <w:szCs w:val="22"/>
          <w:lang w:val="es-ES"/>
        </w:rPr>
        <w:t xml:space="preserve"> 130 mm, </w:t>
      </w:r>
      <w:proofErr w:type="spellStart"/>
      <w:r>
        <w:rPr>
          <w:color w:val="000000"/>
          <w:sz w:val="22"/>
          <w:szCs w:val="22"/>
          <w:lang w:val="es-ES"/>
        </w:rPr>
        <w:t>with</w:t>
      </w:r>
      <w:proofErr w:type="spellEnd"/>
      <w:r>
        <w:rPr>
          <w:color w:val="000000"/>
          <w:sz w:val="22"/>
          <w:szCs w:val="22"/>
          <w:lang w:val="es-ES"/>
        </w:rPr>
        <w:t xml:space="preserve"> a 3/4” </w:t>
      </w:r>
      <w:proofErr w:type="spellStart"/>
      <w:r>
        <w:rPr>
          <w:color w:val="000000"/>
          <w:sz w:val="22"/>
          <w:szCs w:val="22"/>
          <w:lang w:val="es-ES"/>
        </w:rPr>
        <w:t>thread</w:t>
      </w:r>
      <w:proofErr w:type="spellEnd"/>
      <w:r>
        <w:rPr>
          <w:color w:val="000000"/>
          <w:sz w:val="22"/>
          <w:szCs w:val="22"/>
          <w:lang w:val="es-ES"/>
        </w:rPr>
        <w:t xml:space="preserve">, </w:t>
      </w:r>
      <w:proofErr w:type="spellStart"/>
      <w:r>
        <w:rPr>
          <w:color w:val="000000"/>
          <w:sz w:val="22"/>
          <w:szCs w:val="22"/>
          <w:lang w:val="es-ES"/>
        </w:rPr>
        <w:t>according</w:t>
      </w:r>
      <w:proofErr w:type="spellEnd"/>
      <w:r>
        <w:rPr>
          <w:color w:val="000000"/>
          <w:sz w:val="22"/>
          <w:szCs w:val="22"/>
          <w:lang w:val="es-ES"/>
        </w:rPr>
        <w:t xml:space="preserve"> </w:t>
      </w:r>
      <w:proofErr w:type="spellStart"/>
      <w:r>
        <w:rPr>
          <w:color w:val="000000"/>
          <w:sz w:val="22"/>
          <w:szCs w:val="22"/>
          <w:lang w:val="es-ES"/>
        </w:rPr>
        <w:t>to</w:t>
      </w:r>
      <w:proofErr w:type="spellEnd"/>
      <w:r>
        <w:rPr>
          <w:color w:val="000000"/>
          <w:sz w:val="22"/>
          <w:szCs w:val="22"/>
          <w:lang w:val="es-ES"/>
        </w:rPr>
        <w:t xml:space="preserve"> ISO 4064/I.</w:t>
      </w:r>
    </w:p>
    <w:p w14:paraId="64C8BFFB" w14:textId="77777777" w:rsidR="00E255F4" w:rsidRDefault="00000000">
      <w:pPr>
        <w:pStyle w:val="Prrafodelista"/>
        <w:numPr>
          <w:ilvl w:val="2"/>
          <w:numId w:val="64"/>
        </w:numPr>
        <w:spacing w:after="120"/>
        <w:jc w:val="both"/>
        <w:rPr>
          <w:sz w:val="24"/>
          <w:szCs w:val="24"/>
          <w:lang w:val="es-UY"/>
        </w:rPr>
      </w:pPr>
      <w:r>
        <w:rPr>
          <w:sz w:val="22"/>
          <w:szCs w:val="22"/>
          <w:lang w:val="es-ES"/>
        </w:rPr>
        <w:t xml:space="preserve">The </w:t>
      </w:r>
      <w:proofErr w:type="spellStart"/>
      <w:r>
        <w:rPr>
          <w:sz w:val="22"/>
          <w:szCs w:val="22"/>
          <w:lang w:val="es-ES"/>
        </w:rPr>
        <w:t>integrated</w:t>
      </w:r>
      <w:proofErr w:type="spellEnd"/>
      <w:r>
        <w:rPr>
          <w:sz w:val="22"/>
          <w:szCs w:val="22"/>
          <w:lang w:val="es-ES"/>
        </w:rPr>
        <w:t xml:space="preserve"> </w:t>
      </w:r>
      <w:proofErr w:type="spellStart"/>
      <w:r>
        <w:rPr>
          <w:sz w:val="22"/>
          <w:szCs w:val="22"/>
          <w:lang w:val="es-ES"/>
        </w:rPr>
        <w:t>smart</w:t>
      </w:r>
      <w:proofErr w:type="spellEnd"/>
      <w:r>
        <w:rPr>
          <w:sz w:val="22"/>
          <w:szCs w:val="22"/>
          <w:lang w:val="es-ES"/>
        </w:rPr>
        <w:t xml:space="preserve"> meter </w:t>
      </w:r>
      <w:proofErr w:type="spellStart"/>
      <w:r>
        <w:rPr>
          <w:sz w:val="22"/>
          <w:szCs w:val="22"/>
          <w:lang w:val="es-ES"/>
        </w:rPr>
        <w:t>will</w:t>
      </w:r>
      <w:proofErr w:type="spellEnd"/>
      <w:r>
        <w:rPr>
          <w:sz w:val="22"/>
          <w:szCs w:val="22"/>
          <w:lang w:val="es-ES"/>
        </w:rPr>
        <w:t xml:space="preserve"> </w:t>
      </w:r>
      <w:proofErr w:type="spellStart"/>
      <w:r>
        <w:rPr>
          <w:sz w:val="22"/>
          <w:szCs w:val="22"/>
          <w:lang w:val="es-ES"/>
        </w:rPr>
        <w:t>have</w:t>
      </w:r>
      <w:proofErr w:type="spellEnd"/>
      <w:r>
        <w:rPr>
          <w:sz w:val="22"/>
          <w:szCs w:val="22"/>
          <w:lang w:val="es-ES"/>
        </w:rPr>
        <w:t xml:space="preserve"> a </w:t>
      </w:r>
      <w:proofErr w:type="spellStart"/>
      <w:r>
        <w:rPr>
          <w:sz w:val="22"/>
          <w:szCs w:val="22"/>
          <w:lang w:val="es-ES"/>
        </w:rPr>
        <w:t>maximum</w:t>
      </w:r>
      <w:proofErr w:type="spellEnd"/>
      <w:r>
        <w:rPr>
          <w:sz w:val="22"/>
          <w:szCs w:val="22"/>
          <w:lang w:val="es-ES"/>
        </w:rPr>
        <w:t xml:space="preserve"> </w:t>
      </w:r>
      <w:proofErr w:type="spellStart"/>
      <w:r>
        <w:rPr>
          <w:sz w:val="22"/>
          <w:szCs w:val="22"/>
          <w:lang w:val="es-ES"/>
        </w:rPr>
        <w:t>height</w:t>
      </w:r>
      <w:proofErr w:type="spellEnd"/>
      <w:r>
        <w:rPr>
          <w:sz w:val="22"/>
          <w:szCs w:val="22"/>
          <w:lang w:val="es-ES"/>
        </w:rPr>
        <w:t xml:space="preserve"> </w:t>
      </w:r>
      <w:proofErr w:type="spellStart"/>
      <w:r>
        <w:rPr>
          <w:sz w:val="22"/>
          <w:szCs w:val="22"/>
          <w:lang w:val="es-ES"/>
        </w:rPr>
        <w:t>of</w:t>
      </w:r>
      <w:proofErr w:type="spellEnd"/>
      <w:r>
        <w:rPr>
          <w:sz w:val="22"/>
          <w:szCs w:val="22"/>
          <w:lang w:val="es-ES"/>
        </w:rPr>
        <w:t xml:space="preserve"> 150 </w:t>
      </w:r>
      <w:proofErr w:type="spellStart"/>
      <w:r>
        <w:rPr>
          <w:sz w:val="22"/>
          <w:szCs w:val="22"/>
          <w:lang w:val="es-ES"/>
        </w:rPr>
        <w:t>mm.</w:t>
      </w:r>
      <w:proofErr w:type="spellEnd"/>
    </w:p>
    <w:p w14:paraId="0479E75D" w14:textId="77777777" w:rsidR="00E255F4" w:rsidRDefault="00000000">
      <w:pPr>
        <w:spacing w:before="240" w:after="120"/>
        <w:rPr>
          <w:b/>
        </w:rPr>
      </w:pPr>
      <w:r>
        <w:rPr>
          <w:b/>
          <w:sz w:val="22"/>
          <w:szCs w:val="22"/>
        </w:rPr>
        <w:t>7.2</w:t>
      </w:r>
      <w:r>
        <w:rPr>
          <w:b/>
        </w:rPr>
        <w:tab/>
      </w:r>
      <w:proofErr w:type="spellStart"/>
      <w:r>
        <w:rPr>
          <w:b/>
          <w:sz w:val="22"/>
          <w:szCs w:val="22"/>
        </w:rPr>
        <w:t>Terminology</w:t>
      </w:r>
      <w:proofErr w:type="spellEnd"/>
      <w:r>
        <w:rPr>
          <w:b/>
          <w:sz w:val="22"/>
          <w:szCs w:val="22"/>
        </w:rPr>
        <w:t xml:space="preserve"> and </w:t>
      </w:r>
      <w:proofErr w:type="spellStart"/>
      <w:r>
        <w:rPr>
          <w:b/>
          <w:sz w:val="22"/>
          <w:szCs w:val="22"/>
        </w:rPr>
        <w:t>definitions</w:t>
      </w:r>
      <w:proofErr w:type="spellEnd"/>
    </w:p>
    <w:p w14:paraId="53AD92D5" w14:textId="77777777" w:rsidR="00E255F4" w:rsidRDefault="00000000">
      <w:pPr>
        <w:numPr>
          <w:ilvl w:val="2"/>
          <w:numId w:val="63"/>
        </w:numPr>
        <w:tabs>
          <w:tab w:val="left" w:pos="709"/>
        </w:tabs>
        <w:jc w:val="both"/>
        <w:rPr>
          <w:color w:val="000000"/>
          <w:sz w:val="22"/>
          <w:szCs w:val="22"/>
          <w:lang w:val="es-ES"/>
        </w:rPr>
      </w:pPr>
      <w:proofErr w:type="spellStart"/>
      <w:r>
        <w:rPr>
          <w:sz w:val="22"/>
          <w:szCs w:val="22"/>
          <w:u w:val="single"/>
          <w:lang w:val="es-ES"/>
        </w:rPr>
        <w:t>Ultrasonic</w:t>
      </w:r>
      <w:proofErr w:type="spellEnd"/>
      <w:r>
        <w:rPr>
          <w:sz w:val="22"/>
          <w:szCs w:val="22"/>
          <w:u w:val="single"/>
          <w:lang w:val="es-ES"/>
        </w:rPr>
        <w:t xml:space="preserve"> meter</w:t>
      </w:r>
    </w:p>
    <w:p w14:paraId="44E6CA1F" w14:textId="77777777" w:rsidR="00E255F4" w:rsidRDefault="00000000">
      <w:pPr>
        <w:tabs>
          <w:tab w:val="left" w:pos="851"/>
        </w:tabs>
        <w:spacing w:after="120"/>
        <w:ind w:left="720"/>
        <w:jc w:val="both"/>
        <w:rPr>
          <w:sz w:val="22"/>
          <w:szCs w:val="22"/>
          <w:lang w:val="es-ES"/>
        </w:rPr>
      </w:pPr>
      <w:r>
        <w:rPr>
          <w:sz w:val="22"/>
          <w:szCs w:val="22"/>
          <w:lang w:val="es-ES"/>
        </w:rPr>
        <w:t xml:space="preserve">The </w:t>
      </w:r>
      <w:proofErr w:type="spellStart"/>
      <w:r>
        <w:rPr>
          <w:sz w:val="22"/>
          <w:szCs w:val="22"/>
          <w:lang w:val="es-ES"/>
        </w:rPr>
        <w:t>ultrasonic</w:t>
      </w:r>
      <w:proofErr w:type="spellEnd"/>
      <w:r>
        <w:rPr>
          <w:sz w:val="22"/>
          <w:szCs w:val="22"/>
          <w:lang w:val="es-ES"/>
        </w:rPr>
        <w:t xml:space="preserve"> meter </w:t>
      </w:r>
      <w:proofErr w:type="spellStart"/>
      <w:r>
        <w:rPr>
          <w:sz w:val="22"/>
          <w:szCs w:val="22"/>
          <w:lang w:val="es-ES"/>
        </w:rPr>
        <w:t>is</w:t>
      </w:r>
      <w:proofErr w:type="spellEnd"/>
      <w:r>
        <w:rPr>
          <w:sz w:val="22"/>
          <w:szCs w:val="22"/>
          <w:lang w:val="es-ES"/>
        </w:rPr>
        <w:t xml:space="preserve"> </w:t>
      </w:r>
      <w:proofErr w:type="spellStart"/>
      <w:r>
        <w:rPr>
          <w:sz w:val="22"/>
          <w:szCs w:val="22"/>
          <w:lang w:val="es-ES"/>
        </w:rPr>
        <w:t>an</w:t>
      </w:r>
      <w:proofErr w:type="spellEnd"/>
      <w:r>
        <w:rPr>
          <w:sz w:val="22"/>
          <w:szCs w:val="22"/>
          <w:lang w:val="es-ES"/>
        </w:rPr>
        <w:t xml:space="preserve"> </w:t>
      </w:r>
      <w:proofErr w:type="spellStart"/>
      <w:r>
        <w:rPr>
          <w:sz w:val="22"/>
          <w:szCs w:val="22"/>
          <w:lang w:val="es-ES"/>
        </w:rPr>
        <w:t>instrument</w:t>
      </w:r>
      <w:proofErr w:type="spellEnd"/>
      <w:r>
        <w:rPr>
          <w:sz w:val="22"/>
          <w:szCs w:val="22"/>
          <w:lang w:val="es-ES"/>
        </w:rPr>
        <w:t xml:space="preserve"> </w:t>
      </w:r>
      <w:proofErr w:type="spellStart"/>
      <w:r>
        <w:rPr>
          <w:sz w:val="22"/>
          <w:szCs w:val="22"/>
          <w:lang w:val="es-ES"/>
        </w:rPr>
        <w:t>that</w:t>
      </w:r>
      <w:proofErr w:type="spellEnd"/>
      <w:r>
        <w:rPr>
          <w:sz w:val="22"/>
          <w:szCs w:val="22"/>
          <w:lang w:val="es-ES"/>
        </w:rPr>
        <w:t xml:space="preserve"> </w:t>
      </w:r>
      <w:proofErr w:type="spellStart"/>
      <w:r>
        <w:rPr>
          <w:sz w:val="22"/>
          <w:szCs w:val="22"/>
          <w:lang w:val="es-ES"/>
        </w:rPr>
        <w:t>calculates</w:t>
      </w:r>
      <w:proofErr w:type="spellEnd"/>
      <w:r>
        <w:rPr>
          <w:sz w:val="22"/>
          <w:szCs w:val="22"/>
          <w:lang w:val="es-ES"/>
        </w:rPr>
        <w:t xml:space="preserve"> </w:t>
      </w:r>
      <w:proofErr w:type="spellStart"/>
      <w:r>
        <w:rPr>
          <w:sz w:val="22"/>
          <w:szCs w:val="22"/>
          <w:lang w:val="es-ES"/>
        </w:rPr>
        <w:t>the</w:t>
      </w:r>
      <w:proofErr w:type="spellEnd"/>
      <w:r>
        <w:rPr>
          <w:sz w:val="22"/>
          <w:szCs w:val="22"/>
          <w:lang w:val="es-ES"/>
        </w:rPr>
        <w:t xml:space="preserve"> </w:t>
      </w:r>
      <w:proofErr w:type="spellStart"/>
      <w:r>
        <w:rPr>
          <w:sz w:val="22"/>
          <w:szCs w:val="22"/>
          <w:lang w:val="es-ES"/>
        </w:rPr>
        <w:t>flow</w:t>
      </w:r>
      <w:proofErr w:type="spellEnd"/>
      <w:r>
        <w:rPr>
          <w:sz w:val="22"/>
          <w:szCs w:val="22"/>
          <w:lang w:val="es-ES"/>
        </w:rPr>
        <w:t xml:space="preserve"> </w:t>
      </w:r>
      <w:proofErr w:type="spellStart"/>
      <w:r>
        <w:rPr>
          <w:sz w:val="22"/>
          <w:szCs w:val="22"/>
          <w:lang w:val="es-ES"/>
        </w:rPr>
        <w:t>rate</w:t>
      </w:r>
      <w:proofErr w:type="spellEnd"/>
      <w:r>
        <w:rPr>
          <w:sz w:val="22"/>
          <w:szCs w:val="22"/>
          <w:lang w:val="es-ES"/>
        </w:rPr>
        <w:t xml:space="preserve"> </w:t>
      </w:r>
      <w:proofErr w:type="spellStart"/>
      <w:r>
        <w:rPr>
          <w:sz w:val="22"/>
          <w:szCs w:val="22"/>
          <w:lang w:val="es-ES"/>
        </w:rPr>
        <w:t>of</w:t>
      </w:r>
      <w:proofErr w:type="spellEnd"/>
      <w:r>
        <w:rPr>
          <w:sz w:val="22"/>
          <w:szCs w:val="22"/>
          <w:lang w:val="es-ES"/>
        </w:rPr>
        <w:t xml:space="preserve"> </w:t>
      </w:r>
      <w:proofErr w:type="spellStart"/>
      <w:r>
        <w:rPr>
          <w:sz w:val="22"/>
          <w:szCs w:val="22"/>
          <w:lang w:val="es-ES"/>
        </w:rPr>
        <w:t>circulating</w:t>
      </w:r>
      <w:proofErr w:type="spellEnd"/>
      <w:r>
        <w:rPr>
          <w:sz w:val="22"/>
          <w:szCs w:val="22"/>
          <w:lang w:val="es-ES"/>
        </w:rPr>
        <w:t xml:space="preserve"> </w:t>
      </w:r>
      <w:proofErr w:type="spellStart"/>
      <w:r>
        <w:rPr>
          <w:sz w:val="22"/>
          <w:szCs w:val="22"/>
          <w:lang w:val="es-ES"/>
        </w:rPr>
        <w:t>water</w:t>
      </w:r>
      <w:proofErr w:type="spellEnd"/>
      <w:r>
        <w:rPr>
          <w:sz w:val="22"/>
          <w:szCs w:val="22"/>
          <w:lang w:val="es-ES"/>
        </w:rPr>
        <w:t xml:space="preserve"> </w:t>
      </w:r>
      <w:proofErr w:type="spellStart"/>
      <w:r>
        <w:rPr>
          <w:sz w:val="22"/>
          <w:szCs w:val="22"/>
          <w:lang w:val="es-ES"/>
        </w:rPr>
        <w:t>by</w:t>
      </w:r>
      <w:proofErr w:type="spellEnd"/>
      <w:r>
        <w:rPr>
          <w:sz w:val="22"/>
          <w:szCs w:val="22"/>
          <w:lang w:val="es-ES"/>
        </w:rPr>
        <w:t xml:space="preserve"> </w:t>
      </w:r>
      <w:proofErr w:type="spellStart"/>
      <w:r>
        <w:rPr>
          <w:sz w:val="22"/>
          <w:szCs w:val="22"/>
          <w:lang w:val="es-ES"/>
        </w:rPr>
        <w:t>the</w:t>
      </w:r>
      <w:proofErr w:type="spellEnd"/>
      <w:r>
        <w:rPr>
          <w:sz w:val="22"/>
          <w:szCs w:val="22"/>
          <w:lang w:val="es-ES"/>
        </w:rPr>
        <w:t xml:space="preserve"> </w:t>
      </w:r>
      <w:proofErr w:type="spellStart"/>
      <w:r>
        <w:rPr>
          <w:sz w:val="22"/>
          <w:szCs w:val="22"/>
          <w:lang w:val="es-ES"/>
        </w:rPr>
        <w:t>difference</w:t>
      </w:r>
      <w:proofErr w:type="spellEnd"/>
      <w:r>
        <w:rPr>
          <w:sz w:val="22"/>
          <w:szCs w:val="22"/>
          <w:lang w:val="es-ES"/>
        </w:rPr>
        <w:t xml:space="preserve"> in </w:t>
      </w:r>
      <w:proofErr w:type="spellStart"/>
      <w:r>
        <w:rPr>
          <w:sz w:val="22"/>
          <w:szCs w:val="22"/>
          <w:lang w:val="es-ES"/>
        </w:rPr>
        <w:t>the</w:t>
      </w:r>
      <w:proofErr w:type="spellEnd"/>
      <w:r>
        <w:rPr>
          <w:sz w:val="22"/>
          <w:szCs w:val="22"/>
          <w:lang w:val="es-ES"/>
        </w:rPr>
        <w:t xml:space="preserve"> response </w:t>
      </w:r>
      <w:proofErr w:type="spellStart"/>
      <w:r>
        <w:rPr>
          <w:sz w:val="22"/>
          <w:szCs w:val="22"/>
          <w:lang w:val="es-ES"/>
        </w:rPr>
        <w:t>speed</w:t>
      </w:r>
      <w:proofErr w:type="spellEnd"/>
      <w:r>
        <w:rPr>
          <w:sz w:val="22"/>
          <w:szCs w:val="22"/>
          <w:lang w:val="es-ES"/>
        </w:rPr>
        <w:t xml:space="preserve"> </w:t>
      </w:r>
      <w:proofErr w:type="spellStart"/>
      <w:r>
        <w:rPr>
          <w:sz w:val="22"/>
          <w:szCs w:val="22"/>
          <w:lang w:val="es-ES"/>
        </w:rPr>
        <w:t>of</w:t>
      </w:r>
      <w:proofErr w:type="spellEnd"/>
      <w:r>
        <w:rPr>
          <w:sz w:val="22"/>
          <w:szCs w:val="22"/>
          <w:lang w:val="es-ES"/>
        </w:rPr>
        <w:t xml:space="preserve"> </w:t>
      </w:r>
      <w:proofErr w:type="spellStart"/>
      <w:r>
        <w:rPr>
          <w:sz w:val="22"/>
          <w:szCs w:val="22"/>
          <w:lang w:val="es-ES"/>
        </w:rPr>
        <w:t>an</w:t>
      </w:r>
      <w:proofErr w:type="spellEnd"/>
      <w:r>
        <w:rPr>
          <w:sz w:val="22"/>
          <w:szCs w:val="22"/>
          <w:lang w:val="es-ES"/>
        </w:rPr>
        <w:t xml:space="preserve"> </w:t>
      </w:r>
      <w:proofErr w:type="spellStart"/>
      <w:r>
        <w:rPr>
          <w:sz w:val="22"/>
          <w:szCs w:val="22"/>
          <w:lang w:val="es-ES"/>
        </w:rPr>
        <w:t>ultrasonic</w:t>
      </w:r>
      <w:proofErr w:type="spellEnd"/>
      <w:r>
        <w:rPr>
          <w:sz w:val="22"/>
          <w:szCs w:val="22"/>
          <w:lang w:val="es-ES"/>
        </w:rPr>
        <w:t xml:space="preserve"> wave.</w:t>
      </w:r>
    </w:p>
    <w:p w14:paraId="64E4F1CF" w14:textId="77777777" w:rsidR="00E255F4" w:rsidRDefault="00000000">
      <w:pPr>
        <w:numPr>
          <w:ilvl w:val="2"/>
          <w:numId w:val="63"/>
        </w:numPr>
        <w:tabs>
          <w:tab w:val="left" w:pos="709"/>
        </w:tabs>
        <w:jc w:val="both"/>
      </w:pPr>
      <w:r>
        <w:rPr>
          <w:color w:val="000000"/>
          <w:sz w:val="22"/>
          <w:szCs w:val="22"/>
          <w:u w:val="single"/>
          <w:lang w:val="es-ES"/>
        </w:rPr>
        <w:t xml:space="preserve">Maximum </w:t>
      </w:r>
      <w:proofErr w:type="spellStart"/>
      <w:r>
        <w:rPr>
          <w:color w:val="000000"/>
          <w:sz w:val="22"/>
          <w:szCs w:val="22"/>
          <w:u w:val="single"/>
          <w:lang w:val="es-ES"/>
        </w:rPr>
        <w:t>or</w:t>
      </w:r>
      <w:proofErr w:type="spellEnd"/>
      <w:r>
        <w:rPr>
          <w:color w:val="000000"/>
          <w:sz w:val="22"/>
          <w:szCs w:val="22"/>
          <w:u w:val="single"/>
          <w:lang w:val="es-ES"/>
        </w:rPr>
        <w:t xml:space="preserve"> </w:t>
      </w:r>
      <w:proofErr w:type="spellStart"/>
      <w:r>
        <w:rPr>
          <w:color w:val="000000"/>
          <w:sz w:val="22"/>
          <w:szCs w:val="22"/>
          <w:u w:val="single"/>
          <w:lang w:val="es-ES"/>
        </w:rPr>
        <w:t>overload</w:t>
      </w:r>
      <w:proofErr w:type="spellEnd"/>
      <w:r>
        <w:rPr>
          <w:color w:val="000000"/>
          <w:sz w:val="22"/>
          <w:szCs w:val="22"/>
          <w:u w:val="single"/>
          <w:lang w:val="es-ES"/>
        </w:rPr>
        <w:t xml:space="preserve"> </w:t>
      </w:r>
      <w:proofErr w:type="spellStart"/>
      <w:r>
        <w:rPr>
          <w:color w:val="000000"/>
          <w:sz w:val="22"/>
          <w:szCs w:val="22"/>
          <w:u w:val="single"/>
          <w:lang w:val="es-ES"/>
        </w:rPr>
        <w:t>flow</w:t>
      </w:r>
      <w:proofErr w:type="spellEnd"/>
      <w:r>
        <w:rPr>
          <w:color w:val="000000"/>
          <w:sz w:val="22"/>
          <w:szCs w:val="22"/>
          <w:u w:val="single"/>
          <w:lang w:val="es-ES"/>
        </w:rPr>
        <w:t xml:space="preserve"> (Q4</w:t>
      </w:r>
      <w:r>
        <w:rPr>
          <w:color w:val="000000"/>
          <w:sz w:val="22"/>
          <w:szCs w:val="22"/>
          <w:lang w:val="es-ES"/>
        </w:rPr>
        <w:t>)</w:t>
      </w:r>
    </w:p>
    <w:p w14:paraId="3E1D7747" w14:textId="77777777" w:rsidR="00E255F4" w:rsidRDefault="00000000">
      <w:pPr>
        <w:tabs>
          <w:tab w:val="left" w:pos="851"/>
        </w:tabs>
        <w:spacing w:after="120"/>
        <w:ind w:left="720"/>
        <w:jc w:val="both"/>
      </w:pPr>
      <w:proofErr w:type="spellStart"/>
      <w:r>
        <w:rPr>
          <w:color w:val="000000"/>
          <w:sz w:val="22"/>
          <w:szCs w:val="22"/>
          <w:lang w:val="es-ES"/>
        </w:rPr>
        <w:lastRenderedPageBreak/>
        <w:t>This</w:t>
      </w:r>
      <w:proofErr w:type="spellEnd"/>
      <w:r>
        <w:rPr>
          <w:color w:val="000000"/>
          <w:sz w:val="22"/>
          <w:szCs w:val="22"/>
          <w:lang w:val="es-ES"/>
        </w:rPr>
        <w:t xml:space="preserve"> </w:t>
      </w:r>
      <w:proofErr w:type="spellStart"/>
      <w:r>
        <w:rPr>
          <w:color w:val="000000"/>
          <w:sz w:val="22"/>
          <w:szCs w:val="22"/>
          <w:lang w:val="es-ES"/>
        </w:rPr>
        <w:t>is</w:t>
      </w:r>
      <w:proofErr w:type="spellEnd"/>
      <w:r>
        <w:rPr>
          <w:color w:val="000000"/>
          <w:sz w:val="22"/>
          <w:szCs w:val="22"/>
          <w:lang w:val="es-ES"/>
        </w:rPr>
        <w:t xml:space="preserve"> </w:t>
      </w:r>
      <w:proofErr w:type="spellStart"/>
      <w:r>
        <w:rPr>
          <w:color w:val="000000"/>
          <w:sz w:val="22"/>
          <w:szCs w:val="22"/>
          <w:lang w:val="es-ES"/>
        </w:rPr>
        <w:t>the</w:t>
      </w:r>
      <w:proofErr w:type="spellEnd"/>
      <w:r>
        <w:rPr>
          <w:color w:val="000000"/>
          <w:sz w:val="22"/>
          <w:szCs w:val="22"/>
          <w:lang w:val="es-ES"/>
        </w:rPr>
        <w:t xml:space="preserve"> </w:t>
      </w:r>
      <w:proofErr w:type="spellStart"/>
      <w:r>
        <w:rPr>
          <w:color w:val="000000"/>
          <w:sz w:val="22"/>
          <w:szCs w:val="22"/>
          <w:lang w:val="es-ES"/>
        </w:rPr>
        <w:t>highest</w:t>
      </w:r>
      <w:proofErr w:type="spellEnd"/>
      <w:r>
        <w:rPr>
          <w:color w:val="000000"/>
          <w:sz w:val="22"/>
          <w:szCs w:val="22"/>
          <w:lang w:val="es-ES"/>
        </w:rPr>
        <w:t xml:space="preserve"> </w:t>
      </w:r>
      <w:proofErr w:type="spellStart"/>
      <w:r>
        <w:rPr>
          <w:color w:val="000000"/>
          <w:sz w:val="22"/>
          <w:szCs w:val="22"/>
          <w:lang w:val="es-ES"/>
        </w:rPr>
        <w:t>flow</w:t>
      </w:r>
      <w:proofErr w:type="spellEnd"/>
      <w:r>
        <w:rPr>
          <w:color w:val="000000"/>
          <w:sz w:val="22"/>
          <w:szCs w:val="22"/>
          <w:lang w:val="es-ES"/>
        </w:rPr>
        <w:t xml:space="preserve"> </w:t>
      </w:r>
      <w:proofErr w:type="spellStart"/>
      <w:r>
        <w:rPr>
          <w:color w:val="000000"/>
          <w:sz w:val="22"/>
          <w:szCs w:val="22"/>
          <w:lang w:val="es-ES"/>
        </w:rPr>
        <w:t>rate</w:t>
      </w:r>
      <w:proofErr w:type="spellEnd"/>
      <w:r>
        <w:rPr>
          <w:color w:val="000000"/>
          <w:sz w:val="22"/>
          <w:szCs w:val="22"/>
          <w:lang w:val="es-ES"/>
        </w:rPr>
        <w:t xml:space="preserve"> at </w:t>
      </w:r>
      <w:proofErr w:type="spellStart"/>
      <w:r>
        <w:rPr>
          <w:color w:val="000000"/>
          <w:sz w:val="22"/>
          <w:szCs w:val="22"/>
          <w:lang w:val="es-ES"/>
        </w:rPr>
        <w:t>which</w:t>
      </w:r>
      <w:proofErr w:type="spellEnd"/>
      <w:r>
        <w:rPr>
          <w:color w:val="000000"/>
          <w:sz w:val="22"/>
          <w:szCs w:val="22"/>
          <w:lang w:val="es-ES"/>
        </w:rPr>
        <w:t xml:space="preserve"> </w:t>
      </w:r>
      <w:proofErr w:type="spellStart"/>
      <w:r>
        <w:rPr>
          <w:color w:val="000000"/>
          <w:sz w:val="22"/>
          <w:szCs w:val="22"/>
          <w:lang w:val="es-ES"/>
        </w:rPr>
        <w:t>the</w:t>
      </w:r>
      <w:proofErr w:type="spellEnd"/>
      <w:r>
        <w:rPr>
          <w:color w:val="000000"/>
          <w:sz w:val="22"/>
          <w:szCs w:val="22"/>
          <w:lang w:val="es-ES"/>
        </w:rPr>
        <w:t xml:space="preserve"> meter </w:t>
      </w:r>
      <w:proofErr w:type="spellStart"/>
      <w:r>
        <w:rPr>
          <w:color w:val="000000"/>
          <w:sz w:val="22"/>
          <w:szCs w:val="22"/>
          <w:lang w:val="es-ES"/>
        </w:rPr>
        <w:t>must</w:t>
      </w:r>
      <w:proofErr w:type="spellEnd"/>
      <w:r>
        <w:rPr>
          <w:color w:val="000000"/>
          <w:sz w:val="22"/>
          <w:szCs w:val="22"/>
          <w:lang w:val="es-ES"/>
        </w:rPr>
        <w:t xml:space="preserve"> be </w:t>
      </w:r>
      <w:proofErr w:type="spellStart"/>
      <w:r>
        <w:rPr>
          <w:color w:val="000000"/>
          <w:sz w:val="22"/>
          <w:szCs w:val="22"/>
          <w:lang w:val="es-ES"/>
        </w:rPr>
        <w:t>able</w:t>
      </w:r>
      <w:proofErr w:type="spellEnd"/>
      <w:r>
        <w:rPr>
          <w:color w:val="000000"/>
          <w:sz w:val="22"/>
          <w:szCs w:val="22"/>
          <w:lang w:val="es-ES"/>
        </w:rPr>
        <w:t xml:space="preserve"> </w:t>
      </w:r>
      <w:proofErr w:type="spellStart"/>
      <w:r>
        <w:rPr>
          <w:color w:val="000000"/>
          <w:sz w:val="22"/>
          <w:szCs w:val="22"/>
          <w:lang w:val="es-ES"/>
        </w:rPr>
        <w:t>to</w:t>
      </w:r>
      <w:proofErr w:type="spellEnd"/>
      <w:r>
        <w:rPr>
          <w:color w:val="000000"/>
          <w:sz w:val="22"/>
          <w:szCs w:val="22"/>
          <w:lang w:val="es-ES"/>
        </w:rPr>
        <w:t xml:space="preserve"> </w:t>
      </w:r>
      <w:proofErr w:type="spellStart"/>
      <w:r>
        <w:rPr>
          <w:color w:val="000000"/>
          <w:sz w:val="22"/>
          <w:szCs w:val="22"/>
          <w:lang w:val="es-ES"/>
        </w:rPr>
        <w:t>operate</w:t>
      </w:r>
      <w:proofErr w:type="spellEnd"/>
      <w:r>
        <w:rPr>
          <w:color w:val="000000"/>
          <w:sz w:val="22"/>
          <w:szCs w:val="22"/>
          <w:lang w:val="es-ES"/>
        </w:rPr>
        <w:t xml:space="preserve"> </w:t>
      </w:r>
      <w:proofErr w:type="spellStart"/>
      <w:r>
        <w:rPr>
          <w:color w:val="000000"/>
          <w:sz w:val="22"/>
          <w:szCs w:val="22"/>
          <w:lang w:val="es-ES"/>
        </w:rPr>
        <w:t>without</w:t>
      </w:r>
      <w:proofErr w:type="spellEnd"/>
      <w:r>
        <w:rPr>
          <w:color w:val="000000"/>
          <w:sz w:val="22"/>
          <w:szCs w:val="22"/>
          <w:lang w:val="es-ES"/>
        </w:rPr>
        <w:t xml:space="preserve"> </w:t>
      </w:r>
      <w:proofErr w:type="spellStart"/>
      <w:r>
        <w:rPr>
          <w:color w:val="000000"/>
          <w:sz w:val="22"/>
          <w:szCs w:val="22"/>
          <w:lang w:val="es-ES"/>
        </w:rPr>
        <w:t>damage</w:t>
      </w:r>
      <w:proofErr w:type="spellEnd"/>
      <w:r>
        <w:rPr>
          <w:color w:val="000000"/>
          <w:sz w:val="22"/>
          <w:szCs w:val="22"/>
          <w:lang w:val="es-ES"/>
        </w:rPr>
        <w:t xml:space="preserve">, </w:t>
      </w:r>
      <w:proofErr w:type="spellStart"/>
      <w:r>
        <w:rPr>
          <w:color w:val="000000"/>
          <w:sz w:val="22"/>
          <w:szCs w:val="22"/>
          <w:lang w:val="es-ES"/>
        </w:rPr>
        <w:t>for</w:t>
      </w:r>
      <w:proofErr w:type="spellEnd"/>
      <w:r>
        <w:rPr>
          <w:color w:val="000000"/>
          <w:sz w:val="22"/>
          <w:szCs w:val="22"/>
          <w:lang w:val="es-ES"/>
        </w:rPr>
        <w:t xml:space="preserve"> </w:t>
      </w:r>
      <w:proofErr w:type="spellStart"/>
      <w:r>
        <w:rPr>
          <w:color w:val="000000"/>
          <w:sz w:val="22"/>
          <w:szCs w:val="22"/>
          <w:lang w:val="es-ES"/>
        </w:rPr>
        <w:t>limited</w:t>
      </w:r>
      <w:proofErr w:type="spellEnd"/>
      <w:r>
        <w:rPr>
          <w:color w:val="000000"/>
          <w:sz w:val="22"/>
          <w:szCs w:val="22"/>
          <w:lang w:val="es-ES"/>
        </w:rPr>
        <w:t xml:space="preserve"> </w:t>
      </w:r>
      <w:proofErr w:type="spellStart"/>
      <w:r>
        <w:rPr>
          <w:color w:val="000000"/>
          <w:sz w:val="22"/>
          <w:szCs w:val="22"/>
          <w:lang w:val="es-ES"/>
        </w:rPr>
        <w:t>periods</w:t>
      </w:r>
      <w:proofErr w:type="spellEnd"/>
      <w:r>
        <w:rPr>
          <w:color w:val="000000"/>
          <w:sz w:val="22"/>
          <w:szCs w:val="22"/>
          <w:lang w:val="es-ES"/>
        </w:rPr>
        <w:t xml:space="preserve"> </w:t>
      </w:r>
      <w:proofErr w:type="spellStart"/>
      <w:r>
        <w:rPr>
          <w:color w:val="000000"/>
          <w:sz w:val="22"/>
          <w:szCs w:val="22"/>
          <w:lang w:val="es-ES"/>
        </w:rPr>
        <w:t>of</w:t>
      </w:r>
      <w:proofErr w:type="spellEnd"/>
      <w:r>
        <w:rPr>
          <w:color w:val="000000"/>
          <w:sz w:val="22"/>
          <w:szCs w:val="22"/>
          <w:lang w:val="es-ES"/>
        </w:rPr>
        <w:t xml:space="preserve"> time and </w:t>
      </w:r>
      <w:proofErr w:type="spellStart"/>
      <w:r>
        <w:rPr>
          <w:color w:val="000000"/>
          <w:sz w:val="22"/>
          <w:szCs w:val="22"/>
          <w:lang w:val="es-ES"/>
        </w:rPr>
        <w:t>under</w:t>
      </w:r>
      <w:proofErr w:type="spellEnd"/>
      <w:r>
        <w:rPr>
          <w:color w:val="000000"/>
          <w:sz w:val="22"/>
          <w:szCs w:val="22"/>
          <w:lang w:val="es-ES"/>
        </w:rPr>
        <w:t xml:space="preserve"> </w:t>
      </w:r>
      <w:proofErr w:type="spellStart"/>
      <w:r>
        <w:rPr>
          <w:color w:val="000000"/>
          <w:sz w:val="22"/>
          <w:szCs w:val="22"/>
          <w:lang w:val="es-ES"/>
        </w:rPr>
        <w:t>uniform</w:t>
      </w:r>
      <w:proofErr w:type="spellEnd"/>
      <w:r>
        <w:rPr>
          <w:color w:val="000000"/>
          <w:sz w:val="22"/>
          <w:szCs w:val="22"/>
          <w:lang w:val="es-ES"/>
        </w:rPr>
        <w:t xml:space="preserve"> </w:t>
      </w:r>
      <w:proofErr w:type="spellStart"/>
      <w:r>
        <w:rPr>
          <w:color w:val="000000"/>
          <w:sz w:val="22"/>
          <w:szCs w:val="22"/>
          <w:lang w:val="es-ES"/>
        </w:rPr>
        <w:t>conditions</w:t>
      </w:r>
      <w:proofErr w:type="spellEnd"/>
      <w:r>
        <w:rPr>
          <w:color w:val="000000"/>
          <w:sz w:val="22"/>
          <w:szCs w:val="22"/>
          <w:lang w:val="es-ES"/>
        </w:rPr>
        <w:t xml:space="preserve">, </w:t>
      </w:r>
      <w:proofErr w:type="spellStart"/>
      <w:r>
        <w:rPr>
          <w:color w:val="000000"/>
          <w:sz w:val="22"/>
          <w:szCs w:val="22"/>
          <w:lang w:val="es-ES"/>
        </w:rPr>
        <w:t>respecting</w:t>
      </w:r>
      <w:proofErr w:type="spellEnd"/>
      <w:r>
        <w:rPr>
          <w:color w:val="000000"/>
          <w:sz w:val="22"/>
          <w:szCs w:val="22"/>
          <w:lang w:val="es-ES"/>
        </w:rPr>
        <w:t xml:space="preserve"> </w:t>
      </w:r>
      <w:proofErr w:type="spellStart"/>
      <w:r>
        <w:rPr>
          <w:color w:val="000000"/>
          <w:sz w:val="22"/>
          <w:szCs w:val="22"/>
          <w:lang w:val="es-ES"/>
        </w:rPr>
        <w:t>the</w:t>
      </w:r>
      <w:proofErr w:type="spellEnd"/>
      <w:r>
        <w:rPr>
          <w:color w:val="000000"/>
          <w:sz w:val="22"/>
          <w:szCs w:val="22"/>
          <w:lang w:val="es-ES"/>
        </w:rPr>
        <w:t xml:space="preserve"> </w:t>
      </w:r>
      <w:proofErr w:type="spellStart"/>
      <w:r>
        <w:rPr>
          <w:color w:val="000000"/>
          <w:sz w:val="22"/>
          <w:szCs w:val="22"/>
          <w:lang w:val="es-ES"/>
        </w:rPr>
        <w:t>maximum</w:t>
      </w:r>
      <w:proofErr w:type="spellEnd"/>
      <w:r>
        <w:rPr>
          <w:color w:val="000000"/>
          <w:sz w:val="22"/>
          <w:szCs w:val="22"/>
          <w:lang w:val="es-ES"/>
        </w:rPr>
        <w:t xml:space="preserve"> </w:t>
      </w:r>
      <w:proofErr w:type="spellStart"/>
      <w:r>
        <w:rPr>
          <w:color w:val="000000"/>
          <w:sz w:val="22"/>
          <w:szCs w:val="22"/>
          <w:lang w:val="es-ES"/>
        </w:rPr>
        <w:t>permissible</w:t>
      </w:r>
      <w:proofErr w:type="spellEnd"/>
      <w:r>
        <w:rPr>
          <w:color w:val="000000"/>
          <w:sz w:val="22"/>
          <w:szCs w:val="22"/>
          <w:lang w:val="es-ES"/>
        </w:rPr>
        <w:t xml:space="preserve"> </w:t>
      </w:r>
      <w:proofErr w:type="spellStart"/>
      <w:r>
        <w:rPr>
          <w:color w:val="000000"/>
          <w:sz w:val="22"/>
          <w:szCs w:val="22"/>
          <w:lang w:val="es-ES"/>
        </w:rPr>
        <w:t>errors</w:t>
      </w:r>
      <w:proofErr w:type="spellEnd"/>
      <w:r>
        <w:rPr>
          <w:color w:val="000000"/>
          <w:sz w:val="22"/>
          <w:szCs w:val="22"/>
          <w:lang w:val="es-ES"/>
        </w:rPr>
        <w:t xml:space="preserve">. </w:t>
      </w:r>
      <w:proofErr w:type="spellStart"/>
      <w:r>
        <w:rPr>
          <w:color w:val="000000"/>
          <w:sz w:val="22"/>
          <w:szCs w:val="22"/>
          <w:lang w:val="es-ES"/>
        </w:rPr>
        <w:t>It</w:t>
      </w:r>
      <w:proofErr w:type="spellEnd"/>
      <w:r>
        <w:rPr>
          <w:color w:val="000000"/>
          <w:sz w:val="22"/>
          <w:szCs w:val="22"/>
          <w:lang w:val="es-ES"/>
        </w:rPr>
        <w:t xml:space="preserve"> </w:t>
      </w:r>
      <w:proofErr w:type="spellStart"/>
      <w:r>
        <w:rPr>
          <w:color w:val="000000"/>
          <w:sz w:val="22"/>
          <w:szCs w:val="22"/>
          <w:lang w:val="es-ES"/>
        </w:rPr>
        <w:t>is</w:t>
      </w:r>
      <w:proofErr w:type="spellEnd"/>
      <w:r>
        <w:rPr>
          <w:color w:val="000000"/>
          <w:sz w:val="22"/>
          <w:szCs w:val="22"/>
          <w:lang w:val="es-ES"/>
        </w:rPr>
        <w:t xml:space="preserve"> </w:t>
      </w:r>
      <w:proofErr w:type="spellStart"/>
      <w:r>
        <w:rPr>
          <w:color w:val="000000"/>
          <w:sz w:val="22"/>
          <w:szCs w:val="22"/>
          <w:lang w:val="es-ES"/>
        </w:rPr>
        <w:t>measured</w:t>
      </w:r>
      <w:proofErr w:type="spellEnd"/>
      <w:r>
        <w:rPr>
          <w:color w:val="000000"/>
          <w:sz w:val="22"/>
          <w:szCs w:val="22"/>
          <w:lang w:val="es-ES"/>
        </w:rPr>
        <w:t xml:space="preserve"> in m³/h.</w:t>
      </w:r>
    </w:p>
    <w:p w14:paraId="0B75B9E9" w14:textId="77777777" w:rsidR="00E255F4" w:rsidRDefault="00000000">
      <w:pPr>
        <w:numPr>
          <w:ilvl w:val="2"/>
          <w:numId w:val="63"/>
        </w:numPr>
        <w:tabs>
          <w:tab w:val="left" w:pos="709"/>
        </w:tabs>
        <w:jc w:val="both"/>
        <w:rPr>
          <w:color w:val="000000"/>
          <w:sz w:val="22"/>
          <w:szCs w:val="22"/>
          <w:u w:val="single"/>
          <w:lang w:val="es-ES"/>
        </w:rPr>
      </w:pPr>
      <w:r>
        <w:rPr>
          <w:color w:val="000000"/>
          <w:sz w:val="22"/>
          <w:szCs w:val="22"/>
          <w:u w:val="single"/>
          <w:lang w:val="es-ES"/>
        </w:rPr>
        <w:t xml:space="preserve">Nominal </w:t>
      </w:r>
      <w:proofErr w:type="spellStart"/>
      <w:r>
        <w:rPr>
          <w:color w:val="000000"/>
          <w:sz w:val="22"/>
          <w:szCs w:val="22"/>
          <w:u w:val="single"/>
          <w:lang w:val="es-ES"/>
        </w:rPr>
        <w:t>or</w:t>
      </w:r>
      <w:proofErr w:type="spellEnd"/>
      <w:r>
        <w:rPr>
          <w:color w:val="000000"/>
          <w:sz w:val="22"/>
          <w:szCs w:val="22"/>
          <w:u w:val="single"/>
          <w:lang w:val="es-ES"/>
        </w:rPr>
        <w:t xml:space="preserve"> </w:t>
      </w:r>
      <w:proofErr w:type="spellStart"/>
      <w:r>
        <w:rPr>
          <w:color w:val="000000"/>
          <w:sz w:val="22"/>
          <w:szCs w:val="22"/>
          <w:u w:val="single"/>
          <w:lang w:val="es-ES"/>
        </w:rPr>
        <w:t>permanent</w:t>
      </w:r>
      <w:proofErr w:type="spellEnd"/>
      <w:r>
        <w:rPr>
          <w:color w:val="000000"/>
          <w:sz w:val="22"/>
          <w:szCs w:val="22"/>
          <w:u w:val="single"/>
          <w:lang w:val="es-ES"/>
        </w:rPr>
        <w:t xml:space="preserve"> </w:t>
      </w:r>
      <w:proofErr w:type="spellStart"/>
      <w:r>
        <w:rPr>
          <w:color w:val="000000"/>
          <w:sz w:val="22"/>
          <w:szCs w:val="22"/>
          <w:u w:val="single"/>
          <w:lang w:val="es-ES"/>
        </w:rPr>
        <w:t>flow</w:t>
      </w:r>
      <w:proofErr w:type="spellEnd"/>
      <w:r>
        <w:rPr>
          <w:color w:val="000000"/>
          <w:sz w:val="22"/>
          <w:szCs w:val="22"/>
          <w:u w:val="single"/>
          <w:lang w:val="es-ES"/>
        </w:rPr>
        <w:t xml:space="preserve"> </w:t>
      </w:r>
      <w:proofErr w:type="spellStart"/>
      <w:r>
        <w:rPr>
          <w:color w:val="000000"/>
          <w:sz w:val="22"/>
          <w:szCs w:val="22"/>
          <w:u w:val="single"/>
          <w:lang w:val="es-ES"/>
        </w:rPr>
        <w:t>rate</w:t>
      </w:r>
      <w:proofErr w:type="spellEnd"/>
      <w:r>
        <w:rPr>
          <w:color w:val="000000"/>
          <w:sz w:val="22"/>
          <w:szCs w:val="22"/>
          <w:u w:val="single"/>
          <w:lang w:val="es-ES"/>
        </w:rPr>
        <w:t xml:space="preserve"> (Q3)</w:t>
      </w:r>
    </w:p>
    <w:p w14:paraId="3E69CE53" w14:textId="77777777" w:rsidR="00E255F4" w:rsidRDefault="00000000">
      <w:pPr>
        <w:tabs>
          <w:tab w:val="left" w:pos="851"/>
        </w:tabs>
        <w:spacing w:after="120"/>
        <w:ind w:left="720"/>
        <w:jc w:val="both"/>
        <w:rPr>
          <w:color w:val="000000"/>
          <w:sz w:val="22"/>
          <w:szCs w:val="22"/>
          <w:lang w:val="es-ES"/>
        </w:rPr>
      </w:pPr>
      <w:proofErr w:type="spellStart"/>
      <w:r>
        <w:rPr>
          <w:color w:val="000000"/>
          <w:sz w:val="22"/>
          <w:szCs w:val="22"/>
          <w:lang w:val="es-ES"/>
        </w:rPr>
        <w:t>This</w:t>
      </w:r>
      <w:proofErr w:type="spellEnd"/>
      <w:r>
        <w:rPr>
          <w:color w:val="000000"/>
          <w:sz w:val="22"/>
          <w:szCs w:val="22"/>
          <w:lang w:val="es-ES"/>
        </w:rPr>
        <w:t xml:space="preserve"> </w:t>
      </w:r>
      <w:proofErr w:type="spellStart"/>
      <w:r>
        <w:rPr>
          <w:color w:val="000000"/>
          <w:sz w:val="22"/>
          <w:szCs w:val="22"/>
          <w:lang w:val="es-ES"/>
        </w:rPr>
        <w:t>is</w:t>
      </w:r>
      <w:proofErr w:type="spellEnd"/>
      <w:r>
        <w:rPr>
          <w:color w:val="000000"/>
          <w:sz w:val="22"/>
          <w:szCs w:val="22"/>
          <w:lang w:val="es-ES"/>
        </w:rPr>
        <w:t xml:space="preserve"> </w:t>
      </w:r>
      <w:proofErr w:type="spellStart"/>
      <w:r>
        <w:rPr>
          <w:color w:val="000000"/>
          <w:sz w:val="22"/>
          <w:szCs w:val="22"/>
          <w:lang w:val="es-ES"/>
        </w:rPr>
        <w:t>the</w:t>
      </w:r>
      <w:proofErr w:type="spellEnd"/>
      <w:r>
        <w:rPr>
          <w:color w:val="000000"/>
          <w:sz w:val="22"/>
          <w:szCs w:val="22"/>
          <w:lang w:val="es-ES"/>
        </w:rPr>
        <w:t xml:space="preserve"> </w:t>
      </w:r>
      <w:proofErr w:type="spellStart"/>
      <w:r>
        <w:rPr>
          <w:color w:val="000000"/>
          <w:sz w:val="22"/>
          <w:szCs w:val="22"/>
          <w:lang w:val="es-ES"/>
        </w:rPr>
        <w:t>flow</w:t>
      </w:r>
      <w:proofErr w:type="spellEnd"/>
      <w:r>
        <w:rPr>
          <w:color w:val="000000"/>
          <w:sz w:val="22"/>
          <w:szCs w:val="22"/>
          <w:lang w:val="es-ES"/>
        </w:rPr>
        <w:t xml:space="preserve"> </w:t>
      </w:r>
      <w:proofErr w:type="spellStart"/>
      <w:r>
        <w:rPr>
          <w:color w:val="000000"/>
          <w:sz w:val="22"/>
          <w:szCs w:val="22"/>
          <w:lang w:val="es-ES"/>
        </w:rPr>
        <w:t>rate</w:t>
      </w:r>
      <w:proofErr w:type="spellEnd"/>
      <w:r>
        <w:rPr>
          <w:color w:val="000000"/>
          <w:sz w:val="22"/>
          <w:szCs w:val="22"/>
          <w:lang w:val="es-ES"/>
        </w:rPr>
        <w:t xml:space="preserve"> at </w:t>
      </w:r>
      <w:proofErr w:type="spellStart"/>
      <w:r>
        <w:rPr>
          <w:color w:val="000000"/>
          <w:sz w:val="22"/>
          <w:szCs w:val="22"/>
          <w:lang w:val="es-ES"/>
        </w:rPr>
        <w:t>which</w:t>
      </w:r>
      <w:proofErr w:type="spellEnd"/>
      <w:r>
        <w:rPr>
          <w:color w:val="000000"/>
          <w:sz w:val="22"/>
          <w:szCs w:val="22"/>
          <w:lang w:val="es-ES"/>
        </w:rPr>
        <w:t xml:space="preserve"> </w:t>
      </w:r>
      <w:proofErr w:type="spellStart"/>
      <w:r>
        <w:rPr>
          <w:color w:val="000000"/>
          <w:sz w:val="22"/>
          <w:szCs w:val="22"/>
          <w:lang w:val="es-ES"/>
        </w:rPr>
        <w:t>the</w:t>
      </w:r>
      <w:proofErr w:type="spellEnd"/>
      <w:r>
        <w:rPr>
          <w:color w:val="000000"/>
          <w:sz w:val="22"/>
          <w:szCs w:val="22"/>
          <w:lang w:val="es-ES"/>
        </w:rPr>
        <w:t xml:space="preserve"> meter can </w:t>
      </w:r>
      <w:proofErr w:type="spellStart"/>
      <w:r>
        <w:rPr>
          <w:color w:val="000000"/>
          <w:sz w:val="22"/>
          <w:szCs w:val="22"/>
          <w:lang w:val="es-ES"/>
        </w:rPr>
        <w:t>operate</w:t>
      </w:r>
      <w:proofErr w:type="spellEnd"/>
      <w:r>
        <w:rPr>
          <w:color w:val="000000"/>
          <w:sz w:val="22"/>
          <w:szCs w:val="22"/>
          <w:lang w:val="es-ES"/>
        </w:rPr>
        <w:t xml:space="preserve"> </w:t>
      </w:r>
      <w:proofErr w:type="spellStart"/>
      <w:r>
        <w:rPr>
          <w:color w:val="000000"/>
          <w:sz w:val="22"/>
          <w:szCs w:val="22"/>
          <w:lang w:val="es-ES"/>
        </w:rPr>
        <w:t>continuously</w:t>
      </w:r>
      <w:proofErr w:type="spellEnd"/>
      <w:r>
        <w:rPr>
          <w:color w:val="000000"/>
          <w:sz w:val="22"/>
          <w:szCs w:val="22"/>
          <w:lang w:val="es-ES"/>
        </w:rPr>
        <w:t xml:space="preserve"> </w:t>
      </w:r>
      <w:proofErr w:type="spellStart"/>
      <w:r>
        <w:rPr>
          <w:color w:val="000000"/>
          <w:sz w:val="22"/>
          <w:szCs w:val="22"/>
          <w:lang w:val="es-ES"/>
        </w:rPr>
        <w:t>without</w:t>
      </w:r>
      <w:proofErr w:type="spellEnd"/>
      <w:r>
        <w:rPr>
          <w:color w:val="000000"/>
          <w:sz w:val="22"/>
          <w:szCs w:val="22"/>
          <w:lang w:val="es-ES"/>
        </w:rPr>
        <w:t xml:space="preserve"> </w:t>
      </w:r>
      <w:proofErr w:type="spellStart"/>
      <w:r>
        <w:rPr>
          <w:color w:val="000000"/>
          <w:sz w:val="22"/>
          <w:szCs w:val="22"/>
          <w:lang w:val="es-ES"/>
        </w:rPr>
        <w:t>affecting</w:t>
      </w:r>
      <w:proofErr w:type="spellEnd"/>
      <w:r>
        <w:rPr>
          <w:color w:val="000000"/>
          <w:sz w:val="22"/>
          <w:szCs w:val="22"/>
          <w:lang w:val="es-ES"/>
        </w:rPr>
        <w:t xml:space="preserve"> </w:t>
      </w:r>
      <w:proofErr w:type="spellStart"/>
      <w:r>
        <w:rPr>
          <w:color w:val="000000"/>
          <w:sz w:val="22"/>
          <w:szCs w:val="22"/>
          <w:lang w:val="es-ES"/>
        </w:rPr>
        <w:t>its</w:t>
      </w:r>
      <w:proofErr w:type="spellEnd"/>
      <w:r>
        <w:rPr>
          <w:color w:val="000000"/>
          <w:sz w:val="22"/>
          <w:szCs w:val="22"/>
          <w:lang w:val="es-ES"/>
        </w:rPr>
        <w:t xml:space="preserve"> </w:t>
      </w:r>
      <w:proofErr w:type="spellStart"/>
      <w:r>
        <w:rPr>
          <w:color w:val="000000"/>
          <w:sz w:val="22"/>
          <w:szCs w:val="22"/>
          <w:lang w:val="es-ES"/>
        </w:rPr>
        <w:t>function</w:t>
      </w:r>
      <w:proofErr w:type="spellEnd"/>
      <w:r>
        <w:rPr>
          <w:color w:val="000000"/>
          <w:sz w:val="22"/>
          <w:szCs w:val="22"/>
          <w:lang w:val="es-ES"/>
        </w:rPr>
        <w:t xml:space="preserve">. </w:t>
      </w:r>
      <w:proofErr w:type="spellStart"/>
      <w:r>
        <w:rPr>
          <w:color w:val="000000"/>
          <w:sz w:val="22"/>
          <w:szCs w:val="22"/>
          <w:lang w:val="es-ES"/>
        </w:rPr>
        <w:t>It</w:t>
      </w:r>
      <w:proofErr w:type="spellEnd"/>
      <w:r>
        <w:rPr>
          <w:color w:val="000000"/>
          <w:sz w:val="22"/>
          <w:szCs w:val="22"/>
          <w:lang w:val="es-ES"/>
        </w:rPr>
        <w:t xml:space="preserve"> </w:t>
      </w:r>
      <w:proofErr w:type="spellStart"/>
      <w:r>
        <w:rPr>
          <w:color w:val="000000"/>
          <w:sz w:val="22"/>
          <w:szCs w:val="22"/>
          <w:lang w:val="es-ES"/>
        </w:rPr>
        <w:t>is</w:t>
      </w:r>
      <w:proofErr w:type="spellEnd"/>
      <w:r>
        <w:rPr>
          <w:color w:val="000000"/>
          <w:sz w:val="22"/>
          <w:szCs w:val="22"/>
          <w:lang w:val="es-ES"/>
        </w:rPr>
        <w:t xml:space="preserve"> </w:t>
      </w:r>
      <w:proofErr w:type="spellStart"/>
      <w:r>
        <w:rPr>
          <w:color w:val="000000"/>
          <w:sz w:val="22"/>
          <w:szCs w:val="22"/>
          <w:lang w:val="es-ES"/>
        </w:rPr>
        <w:t>expressed</w:t>
      </w:r>
      <w:proofErr w:type="spellEnd"/>
      <w:r>
        <w:rPr>
          <w:color w:val="000000"/>
          <w:sz w:val="22"/>
          <w:szCs w:val="22"/>
          <w:lang w:val="es-ES"/>
        </w:rPr>
        <w:t xml:space="preserve"> in m³/h.</w:t>
      </w:r>
    </w:p>
    <w:p w14:paraId="7C1D2635" w14:textId="77777777" w:rsidR="00E255F4" w:rsidRDefault="00000000">
      <w:pPr>
        <w:numPr>
          <w:ilvl w:val="2"/>
          <w:numId w:val="63"/>
        </w:numPr>
        <w:tabs>
          <w:tab w:val="left" w:pos="709"/>
        </w:tabs>
        <w:jc w:val="both"/>
        <w:rPr>
          <w:color w:val="000000"/>
          <w:sz w:val="22"/>
          <w:szCs w:val="22"/>
          <w:u w:val="single"/>
          <w:lang w:val="es-ES"/>
        </w:rPr>
      </w:pPr>
      <w:proofErr w:type="spellStart"/>
      <w:r>
        <w:rPr>
          <w:color w:val="000000"/>
          <w:sz w:val="22"/>
          <w:szCs w:val="22"/>
          <w:u w:val="single"/>
          <w:lang w:val="es-ES"/>
        </w:rPr>
        <w:t>Transition</w:t>
      </w:r>
      <w:proofErr w:type="spellEnd"/>
      <w:r>
        <w:rPr>
          <w:color w:val="000000"/>
          <w:sz w:val="22"/>
          <w:szCs w:val="22"/>
          <w:u w:val="single"/>
          <w:lang w:val="es-ES"/>
        </w:rPr>
        <w:t xml:space="preserve"> </w:t>
      </w:r>
      <w:proofErr w:type="spellStart"/>
      <w:r>
        <w:rPr>
          <w:color w:val="000000"/>
          <w:sz w:val="22"/>
          <w:szCs w:val="22"/>
          <w:u w:val="single"/>
          <w:lang w:val="es-ES"/>
        </w:rPr>
        <w:t>flow</w:t>
      </w:r>
      <w:proofErr w:type="spellEnd"/>
      <w:r>
        <w:rPr>
          <w:color w:val="000000"/>
          <w:sz w:val="22"/>
          <w:szCs w:val="22"/>
          <w:u w:val="single"/>
          <w:lang w:val="es-ES"/>
        </w:rPr>
        <w:t xml:space="preserve"> </w:t>
      </w:r>
      <w:proofErr w:type="spellStart"/>
      <w:r>
        <w:rPr>
          <w:color w:val="000000"/>
          <w:sz w:val="22"/>
          <w:szCs w:val="22"/>
          <w:u w:val="single"/>
          <w:lang w:val="es-ES"/>
        </w:rPr>
        <w:t>rate</w:t>
      </w:r>
      <w:proofErr w:type="spellEnd"/>
      <w:r>
        <w:rPr>
          <w:color w:val="000000"/>
          <w:sz w:val="22"/>
          <w:szCs w:val="22"/>
          <w:u w:val="single"/>
          <w:lang w:val="es-ES"/>
        </w:rPr>
        <w:t xml:space="preserve"> (Q2)</w:t>
      </w:r>
    </w:p>
    <w:p w14:paraId="054FBA37" w14:textId="77777777" w:rsidR="00E255F4" w:rsidRDefault="00000000">
      <w:pPr>
        <w:tabs>
          <w:tab w:val="left" w:pos="851"/>
        </w:tabs>
        <w:spacing w:after="120"/>
        <w:ind w:left="720"/>
        <w:jc w:val="both"/>
      </w:pPr>
      <w:proofErr w:type="spellStart"/>
      <w:r>
        <w:rPr>
          <w:color w:val="000000"/>
          <w:sz w:val="22"/>
          <w:szCs w:val="22"/>
          <w:lang w:val="es-ES"/>
        </w:rPr>
        <w:t>This</w:t>
      </w:r>
      <w:proofErr w:type="spellEnd"/>
      <w:r>
        <w:rPr>
          <w:color w:val="000000"/>
          <w:sz w:val="22"/>
          <w:szCs w:val="22"/>
          <w:lang w:val="es-ES"/>
        </w:rPr>
        <w:t xml:space="preserve"> </w:t>
      </w:r>
      <w:proofErr w:type="spellStart"/>
      <w:r>
        <w:rPr>
          <w:color w:val="000000"/>
          <w:sz w:val="22"/>
          <w:szCs w:val="22"/>
          <w:lang w:val="es-ES"/>
        </w:rPr>
        <w:t>is</w:t>
      </w:r>
      <w:proofErr w:type="spellEnd"/>
      <w:r>
        <w:rPr>
          <w:color w:val="000000"/>
          <w:sz w:val="22"/>
          <w:szCs w:val="22"/>
          <w:lang w:val="es-ES"/>
        </w:rPr>
        <w:t xml:space="preserve"> </w:t>
      </w:r>
      <w:proofErr w:type="spellStart"/>
      <w:r>
        <w:rPr>
          <w:color w:val="000000"/>
          <w:sz w:val="22"/>
          <w:szCs w:val="22"/>
          <w:lang w:val="es-ES"/>
        </w:rPr>
        <w:t>the</w:t>
      </w:r>
      <w:proofErr w:type="spellEnd"/>
      <w:r>
        <w:rPr>
          <w:color w:val="000000"/>
          <w:sz w:val="22"/>
          <w:szCs w:val="22"/>
          <w:lang w:val="es-ES"/>
        </w:rPr>
        <w:t xml:space="preserve"> </w:t>
      </w:r>
      <w:proofErr w:type="spellStart"/>
      <w:r>
        <w:rPr>
          <w:color w:val="000000"/>
          <w:sz w:val="22"/>
          <w:szCs w:val="22"/>
          <w:lang w:val="es-ES"/>
        </w:rPr>
        <w:t>flow</w:t>
      </w:r>
      <w:proofErr w:type="spellEnd"/>
      <w:r>
        <w:rPr>
          <w:color w:val="000000"/>
          <w:sz w:val="22"/>
          <w:szCs w:val="22"/>
          <w:lang w:val="es-ES"/>
        </w:rPr>
        <w:t xml:space="preserve"> </w:t>
      </w:r>
      <w:proofErr w:type="spellStart"/>
      <w:r>
        <w:rPr>
          <w:color w:val="000000"/>
          <w:sz w:val="22"/>
          <w:szCs w:val="22"/>
          <w:lang w:val="es-ES"/>
        </w:rPr>
        <w:t>rate</w:t>
      </w:r>
      <w:proofErr w:type="spellEnd"/>
      <w:r>
        <w:rPr>
          <w:color w:val="000000"/>
          <w:sz w:val="22"/>
          <w:szCs w:val="22"/>
          <w:lang w:val="es-ES"/>
        </w:rPr>
        <w:t xml:space="preserve"> </w:t>
      </w:r>
      <w:proofErr w:type="spellStart"/>
      <w:r>
        <w:rPr>
          <w:color w:val="000000"/>
          <w:sz w:val="22"/>
          <w:szCs w:val="22"/>
          <w:lang w:val="es-ES"/>
        </w:rPr>
        <w:t>that</w:t>
      </w:r>
      <w:proofErr w:type="spellEnd"/>
      <w:r>
        <w:rPr>
          <w:color w:val="000000"/>
          <w:sz w:val="22"/>
          <w:szCs w:val="22"/>
          <w:lang w:val="es-ES"/>
        </w:rPr>
        <w:t xml:space="preserve"> defines </w:t>
      </w:r>
      <w:proofErr w:type="spellStart"/>
      <w:r>
        <w:rPr>
          <w:color w:val="000000"/>
          <w:sz w:val="22"/>
          <w:szCs w:val="22"/>
          <w:lang w:val="es-ES"/>
        </w:rPr>
        <w:t>the</w:t>
      </w:r>
      <w:proofErr w:type="spellEnd"/>
      <w:r>
        <w:rPr>
          <w:color w:val="000000"/>
          <w:sz w:val="22"/>
          <w:szCs w:val="22"/>
          <w:lang w:val="es-ES"/>
        </w:rPr>
        <w:t xml:space="preserve"> </w:t>
      </w:r>
      <w:proofErr w:type="spellStart"/>
      <w:r>
        <w:rPr>
          <w:color w:val="000000"/>
          <w:sz w:val="22"/>
          <w:szCs w:val="22"/>
          <w:lang w:val="es-ES"/>
        </w:rPr>
        <w:t>separation</w:t>
      </w:r>
      <w:proofErr w:type="spellEnd"/>
      <w:r>
        <w:rPr>
          <w:color w:val="000000"/>
          <w:sz w:val="22"/>
          <w:szCs w:val="22"/>
          <w:lang w:val="es-ES"/>
        </w:rPr>
        <w:t xml:space="preserve"> </w:t>
      </w:r>
      <w:proofErr w:type="spellStart"/>
      <w:r>
        <w:rPr>
          <w:color w:val="000000"/>
          <w:sz w:val="22"/>
          <w:szCs w:val="22"/>
          <w:lang w:val="es-ES"/>
        </w:rPr>
        <w:t>between</w:t>
      </w:r>
      <w:proofErr w:type="spellEnd"/>
      <w:r>
        <w:rPr>
          <w:color w:val="000000"/>
          <w:sz w:val="22"/>
          <w:szCs w:val="22"/>
          <w:lang w:val="es-ES"/>
        </w:rPr>
        <w:t xml:space="preserve"> </w:t>
      </w:r>
      <w:proofErr w:type="spellStart"/>
      <w:r>
        <w:rPr>
          <w:color w:val="000000"/>
          <w:sz w:val="22"/>
          <w:szCs w:val="22"/>
          <w:lang w:val="es-ES"/>
        </w:rPr>
        <w:t>the</w:t>
      </w:r>
      <w:proofErr w:type="spellEnd"/>
      <w:r>
        <w:rPr>
          <w:color w:val="000000"/>
          <w:sz w:val="22"/>
          <w:szCs w:val="22"/>
          <w:lang w:val="es-ES"/>
        </w:rPr>
        <w:t xml:space="preserve"> </w:t>
      </w:r>
      <w:proofErr w:type="spellStart"/>
      <w:r>
        <w:rPr>
          <w:color w:val="000000"/>
          <w:sz w:val="22"/>
          <w:szCs w:val="22"/>
          <w:lang w:val="es-ES"/>
        </w:rPr>
        <w:t>upper</w:t>
      </w:r>
      <w:proofErr w:type="spellEnd"/>
      <w:r>
        <w:rPr>
          <w:color w:val="000000"/>
          <w:sz w:val="22"/>
          <w:szCs w:val="22"/>
          <w:lang w:val="es-ES"/>
        </w:rPr>
        <w:t xml:space="preserve"> and </w:t>
      </w:r>
      <w:proofErr w:type="spellStart"/>
      <w:r>
        <w:rPr>
          <w:color w:val="000000"/>
          <w:sz w:val="22"/>
          <w:szCs w:val="22"/>
          <w:lang w:val="es-ES"/>
        </w:rPr>
        <w:t>lower</w:t>
      </w:r>
      <w:proofErr w:type="spellEnd"/>
      <w:r>
        <w:rPr>
          <w:color w:val="000000"/>
          <w:sz w:val="22"/>
          <w:szCs w:val="22"/>
          <w:lang w:val="es-ES"/>
        </w:rPr>
        <w:t xml:space="preserve"> </w:t>
      </w:r>
      <w:proofErr w:type="spellStart"/>
      <w:r>
        <w:rPr>
          <w:color w:val="000000"/>
          <w:sz w:val="22"/>
          <w:szCs w:val="22"/>
          <w:lang w:val="es-ES"/>
        </w:rPr>
        <w:t>measurement</w:t>
      </w:r>
      <w:proofErr w:type="spellEnd"/>
      <w:r>
        <w:rPr>
          <w:color w:val="000000"/>
          <w:sz w:val="22"/>
          <w:szCs w:val="22"/>
          <w:lang w:val="es-ES"/>
        </w:rPr>
        <w:t xml:space="preserve"> </w:t>
      </w:r>
      <w:proofErr w:type="spellStart"/>
      <w:r>
        <w:rPr>
          <w:color w:val="000000"/>
          <w:sz w:val="22"/>
          <w:szCs w:val="22"/>
          <w:lang w:val="es-ES"/>
        </w:rPr>
        <w:t>zones</w:t>
      </w:r>
      <w:proofErr w:type="spellEnd"/>
      <w:r>
        <w:rPr>
          <w:color w:val="000000"/>
          <w:sz w:val="22"/>
          <w:szCs w:val="22"/>
          <w:lang w:val="es-ES"/>
        </w:rPr>
        <w:t xml:space="preserve">, </w:t>
      </w:r>
      <w:proofErr w:type="spellStart"/>
      <w:r>
        <w:rPr>
          <w:color w:val="000000"/>
          <w:sz w:val="22"/>
          <w:szCs w:val="22"/>
          <w:lang w:val="es-ES"/>
        </w:rPr>
        <w:t>where</w:t>
      </w:r>
      <w:proofErr w:type="spellEnd"/>
      <w:r>
        <w:rPr>
          <w:color w:val="000000"/>
          <w:sz w:val="22"/>
          <w:szCs w:val="22"/>
          <w:lang w:val="es-ES"/>
        </w:rPr>
        <w:t xml:space="preserve"> </w:t>
      </w:r>
      <w:proofErr w:type="spellStart"/>
      <w:r>
        <w:rPr>
          <w:color w:val="000000"/>
          <w:sz w:val="22"/>
          <w:szCs w:val="22"/>
          <w:lang w:val="es-ES"/>
        </w:rPr>
        <w:t>the</w:t>
      </w:r>
      <w:proofErr w:type="spellEnd"/>
      <w:r>
        <w:rPr>
          <w:color w:val="000000"/>
          <w:sz w:val="22"/>
          <w:szCs w:val="22"/>
          <w:lang w:val="es-ES"/>
        </w:rPr>
        <w:t xml:space="preserve"> </w:t>
      </w:r>
      <w:proofErr w:type="spellStart"/>
      <w:r>
        <w:rPr>
          <w:color w:val="000000"/>
          <w:sz w:val="22"/>
          <w:szCs w:val="22"/>
          <w:lang w:val="es-ES"/>
        </w:rPr>
        <w:t>maximum</w:t>
      </w:r>
      <w:proofErr w:type="spellEnd"/>
      <w:r>
        <w:rPr>
          <w:color w:val="000000"/>
          <w:sz w:val="22"/>
          <w:szCs w:val="22"/>
          <w:lang w:val="es-ES"/>
        </w:rPr>
        <w:t xml:space="preserve"> </w:t>
      </w:r>
      <w:proofErr w:type="spellStart"/>
      <w:r>
        <w:rPr>
          <w:color w:val="000000"/>
          <w:sz w:val="22"/>
          <w:szCs w:val="22"/>
          <w:lang w:val="es-ES"/>
        </w:rPr>
        <w:t>permissible</w:t>
      </w:r>
      <w:proofErr w:type="spellEnd"/>
      <w:r>
        <w:rPr>
          <w:color w:val="000000"/>
          <w:sz w:val="22"/>
          <w:szCs w:val="22"/>
          <w:lang w:val="es-ES"/>
        </w:rPr>
        <w:t xml:space="preserve"> </w:t>
      </w:r>
      <w:proofErr w:type="spellStart"/>
      <w:r>
        <w:rPr>
          <w:color w:val="000000"/>
          <w:sz w:val="22"/>
          <w:szCs w:val="22"/>
          <w:lang w:val="es-ES"/>
        </w:rPr>
        <w:t>errors</w:t>
      </w:r>
      <w:proofErr w:type="spellEnd"/>
      <w:r>
        <w:rPr>
          <w:color w:val="000000"/>
          <w:sz w:val="22"/>
          <w:szCs w:val="22"/>
          <w:lang w:val="es-ES"/>
        </w:rPr>
        <w:t xml:space="preserve"> </w:t>
      </w:r>
      <w:proofErr w:type="spellStart"/>
      <w:r>
        <w:rPr>
          <w:color w:val="000000"/>
          <w:sz w:val="22"/>
          <w:szCs w:val="22"/>
          <w:lang w:val="es-ES"/>
        </w:rPr>
        <w:t>experience</w:t>
      </w:r>
      <w:proofErr w:type="spellEnd"/>
      <w:r>
        <w:rPr>
          <w:color w:val="000000"/>
          <w:sz w:val="22"/>
          <w:szCs w:val="22"/>
          <w:lang w:val="es-ES"/>
        </w:rPr>
        <w:t xml:space="preserve"> a </w:t>
      </w:r>
      <w:proofErr w:type="spellStart"/>
      <w:r>
        <w:rPr>
          <w:color w:val="000000"/>
          <w:sz w:val="22"/>
          <w:szCs w:val="22"/>
          <w:lang w:val="es-ES"/>
        </w:rPr>
        <w:t>discontinuity</w:t>
      </w:r>
      <w:proofErr w:type="spellEnd"/>
      <w:r>
        <w:rPr>
          <w:color w:val="000000"/>
          <w:sz w:val="22"/>
          <w:szCs w:val="22"/>
          <w:lang w:val="es-ES"/>
        </w:rPr>
        <w:t xml:space="preserve">, </w:t>
      </w:r>
      <w:proofErr w:type="spellStart"/>
      <w:r>
        <w:rPr>
          <w:color w:val="000000"/>
          <w:sz w:val="22"/>
          <w:szCs w:val="22"/>
          <w:lang w:val="es-ES"/>
        </w:rPr>
        <w:t>with</w:t>
      </w:r>
      <w:proofErr w:type="spellEnd"/>
      <w:r>
        <w:rPr>
          <w:color w:val="000000"/>
          <w:sz w:val="22"/>
          <w:szCs w:val="22"/>
          <w:lang w:val="es-ES"/>
        </w:rPr>
        <w:t xml:space="preserve"> </w:t>
      </w:r>
      <w:proofErr w:type="spellStart"/>
      <w:r>
        <w:rPr>
          <w:color w:val="000000"/>
          <w:sz w:val="22"/>
          <w:szCs w:val="22"/>
          <w:lang w:val="es-ES"/>
        </w:rPr>
        <w:t>the</w:t>
      </w:r>
      <w:proofErr w:type="spellEnd"/>
      <w:r>
        <w:rPr>
          <w:color w:val="000000"/>
          <w:sz w:val="22"/>
          <w:szCs w:val="22"/>
          <w:lang w:val="es-ES"/>
        </w:rPr>
        <w:t xml:space="preserve"> </w:t>
      </w:r>
      <w:proofErr w:type="spellStart"/>
      <w:r>
        <w:rPr>
          <w:color w:val="000000"/>
          <w:sz w:val="22"/>
          <w:szCs w:val="22"/>
          <w:lang w:val="es-ES"/>
        </w:rPr>
        <w:t>water</w:t>
      </w:r>
      <w:proofErr w:type="spellEnd"/>
      <w:r>
        <w:rPr>
          <w:color w:val="000000"/>
          <w:sz w:val="22"/>
          <w:szCs w:val="22"/>
          <w:lang w:val="es-ES"/>
        </w:rPr>
        <w:t xml:space="preserve"> </w:t>
      </w:r>
      <w:proofErr w:type="spellStart"/>
      <w:r>
        <w:rPr>
          <w:color w:val="000000"/>
          <w:sz w:val="22"/>
          <w:szCs w:val="22"/>
          <w:lang w:val="es-ES"/>
        </w:rPr>
        <w:t>flow</w:t>
      </w:r>
      <w:proofErr w:type="spellEnd"/>
      <w:r>
        <w:rPr>
          <w:color w:val="000000"/>
          <w:sz w:val="22"/>
          <w:szCs w:val="22"/>
          <w:lang w:val="es-ES"/>
        </w:rPr>
        <w:t xml:space="preserve"> </w:t>
      </w:r>
      <w:proofErr w:type="spellStart"/>
      <w:r>
        <w:rPr>
          <w:color w:val="000000"/>
          <w:sz w:val="22"/>
          <w:szCs w:val="22"/>
          <w:lang w:val="es-ES"/>
        </w:rPr>
        <w:t>being</w:t>
      </w:r>
      <w:proofErr w:type="spellEnd"/>
      <w:r>
        <w:rPr>
          <w:color w:val="000000"/>
          <w:sz w:val="22"/>
          <w:szCs w:val="22"/>
          <w:lang w:val="es-ES"/>
        </w:rPr>
        <w:t xml:space="preserve"> </w:t>
      </w:r>
      <w:proofErr w:type="spellStart"/>
      <w:r>
        <w:rPr>
          <w:color w:val="000000"/>
          <w:sz w:val="22"/>
          <w:szCs w:val="22"/>
          <w:lang w:val="es-ES"/>
        </w:rPr>
        <w:t>measured</w:t>
      </w:r>
      <w:proofErr w:type="spellEnd"/>
      <w:r>
        <w:rPr>
          <w:color w:val="000000"/>
          <w:sz w:val="22"/>
          <w:szCs w:val="22"/>
          <w:lang w:val="es-ES"/>
        </w:rPr>
        <w:t xml:space="preserve"> in a </w:t>
      </w:r>
      <w:proofErr w:type="spellStart"/>
      <w:r>
        <w:rPr>
          <w:color w:val="000000"/>
          <w:sz w:val="22"/>
          <w:szCs w:val="22"/>
          <w:lang w:val="es-ES"/>
        </w:rPr>
        <w:t>uniform</w:t>
      </w:r>
      <w:proofErr w:type="spellEnd"/>
      <w:r>
        <w:rPr>
          <w:color w:val="000000"/>
          <w:sz w:val="22"/>
          <w:szCs w:val="22"/>
          <w:lang w:val="es-ES"/>
        </w:rPr>
        <w:t xml:space="preserve"> </w:t>
      </w:r>
      <w:proofErr w:type="spellStart"/>
      <w:r>
        <w:rPr>
          <w:color w:val="000000"/>
          <w:sz w:val="22"/>
          <w:szCs w:val="22"/>
          <w:lang w:val="es-ES"/>
        </w:rPr>
        <w:t>regime</w:t>
      </w:r>
      <w:proofErr w:type="spellEnd"/>
      <w:r>
        <w:rPr>
          <w:color w:val="000000"/>
          <w:sz w:val="22"/>
          <w:szCs w:val="22"/>
          <w:lang w:val="es-ES"/>
        </w:rPr>
        <w:t xml:space="preserve">. </w:t>
      </w:r>
      <w:proofErr w:type="spellStart"/>
      <w:r>
        <w:rPr>
          <w:color w:val="000000"/>
          <w:sz w:val="22"/>
          <w:szCs w:val="22"/>
          <w:lang w:val="es-ES"/>
        </w:rPr>
        <w:t>It</w:t>
      </w:r>
      <w:proofErr w:type="spellEnd"/>
      <w:r>
        <w:rPr>
          <w:color w:val="000000"/>
          <w:sz w:val="22"/>
          <w:szCs w:val="22"/>
          <w:lang w:val="es-ES"/>
        </w:rPr>
        <w:t xml:space="preserve"> </w:t>
      </w:r>
      <w:proofErr w:type="spellStart"/>
      <w:r>
        <w:rPr>
          <w:color w:val="000000"/>
          <w:sz w:val="22"/>
          <w:szCs w:val="22"/>
          <w:lang w:val="es-ES"/>
        </w:rPr>
        <w:t>is</w:t>
      </w:r>
      <w:proofErr w:type="spellEnd"/>
      <w:r>
        <w:rPr>
          <w:color w:val="000000"/>
          <w:sz w:val="22"/>
          <w:szCs w:val="22"/>
          <w:lang w:val="es-ES"/>
        </w:rPr>
        <w:t xml:space="preserve"> </w:t>
      </w:r>
      <w:proofErr w:type="spellStart"/>
      <w:r>
        <w:rPr>
          <w:color w:val="000000"/>
          <w:sz w:val="22"/>
          <w:szCs w:val="22"/>
          <w:lang w:val="es-ES"/>
        </w:rPr>
        <w:t>measured</w:t>
      </w:r>
      <w:proofErr w:type="spellEnd"/>
      <w:r>
        <w:rPr>
          <w:color w:val="000000"/>
          <w:sz w:val="22"/>
          <w:szCs w:val="22"/>
          <w:lang w:val="es-ES"/>
        </w:rPr>
        <w:t xml:space="preserve"> in m³/h.</w:t>
      </w:r>
    </w:p>
    <w:p w14:paraId="5EA7864D" w14:textId="77777777" w:rsidR="00E255F4" w:rsidRDefault="00000000">
      <w:pPr>
        <w:numPr>
          <w:ilvl w:val="2"/>
          <w:numId w:val="63"/>
        </w:numPr>
        <w:tabs>
          <w:tab w:val="left" w:pos="709"/>
        </w:tabs>
        <w:jc w:val="both"/>
        <w:rPr>
          <w:color w:val="000000"/>
          <w:sz w:val="22"/>
          <w:szCs w:val="22"/>
          <w:u w:val="single"/>
          <w:lang w:val="es-ES"/>
        </w:rPr>
      </w:pPr>
      <w:proofErr w:type="spellStart"/>
      <w:r>
        <w:rPr>
          <w:color w:val="000000"/>
          <w:sz w:val="22"/>
          <w:szCs w:val="22"/>
          <w:u w:val="single"/>
          <w:lang w:val="es-ES"/>
        </w:rPr>
        <w:t>Minimum</w:t>
      </w:r>
      <w:proofErr w:type="spellEnd"/>
      <w:r>
        <w:rPr>
          <w:color w:val="000000"/>
          <w:sz w:val="22"/>
          <w:szCs w:val="22"/>
          <w:u w:val="single"/>
          <w:lang w:val="es-ES"/>
        </w:rPr>
        <w:t xml:space="preserve"> </w:t>
      </w:r>
      <w:proofErr w:type="spellStart"/>
      <w:r>
        <w:rPr>
          <w:color w:val="000000"/>
          <w:sz w:val="22"/>
          <w:szCs w:val="22"/>
          <w:u w:val="single"/>
          <w:lang w:val="es-ES"/>
        </w:rPr>
        <w:t>flow</w:t>
      </w:r>
      <w:proofErr w:type="spellEnd"/>
      <w:r>
        <w:rPr>
          <w:color w:val="000000"/>
          <w:sz w:val="22"/>
          <w:szCs w:val="22"/>
          <w:u w:val="single"/>
          <w:lang w:val="es-ES"/>
        </w:rPr>
        <w:t xml:space="preserve"> </w:t>
      </w:r>
      <w:proofErr w:type="spellStart"/>
      <w:r>
        <w:rPr>
          <w:color w:val="000000"/>
          <w:sz w:val="22"/>
          <w:szCs w:val="22"/>
          <w:u w:val="single"/>
          <w:lang w:val="es-ES"/>
        </w:rPr>
        <w:t>rate</w:t>
      </w:r>
      <w:proofErr w:type="spellEnd"/>
      <w:r>
        <w:rPr>
          <w:color w:val="000000"/>
          <w:sz w:val="22"/>
          <w:szCs w:val="22"/>
          <w:u w:val="single"/>
          <w:lang w:val="es-ES"/>
        </w:rPr>
        <w:t xml:space="preserve"> (Q1)</w:t>
      </w:r>
    </w:p>
    <w:p w14:paraId="5BD82C43" w14:textId="77777777" w:rsidR="00E255F4" w:rsidRDefault="00000000">
      <w:pPr>
        <w:tabs>
          <w:tab w:val="left" w:pos="851"/>
        </w:tabs>
        <w:spacing w:after="120"/>
        <w:ind w:left="720"/>
        <w:jc w:val="both"/>
        <w:rPr>
          <w:color w:val="000000"/>
          <w:sz w:val="22"/>
          <w:szCs w:val="22"/>
          <w:lang w:val="es-ES"/>
        </w:rPr>
      </w:pPr>
      <w:proofErr w:type="spellStart"/>
      <w:r>
        <w:rPr>
          <w:color w:val="000000"/>
          <w:sz w:val="22"/>
          <w:szCs w:val="22"/>
          <w:lang w:val="es-ES"/>
        </w:rPr>
        <w:t>This</w:t>
      </w:r>
      <w:proofErr w:type="spellEnd"/>
      <w:r>
        <w:rPr>
          <w:color w:val="000000"/>
          <w:sz w:val="22"/>
          <w:szCs w:val="22"/>
          <w:lang w:val="es-ES"/>
        </w:rPr>
        <w:t xml:space="preserve"> </w:t>
      </w:r>
      <w:proofErr w:type="spellStart"/>
      <w:r>
        <w:rPr>
          <w:color w:val="000000"/>
          <w:sz w:val="22"/>
          <w:szCs w:val="22"/>
          <w:lang w:val="es-ES"/>
        </w:rPr>
        <w:t>is</w:t>
      </w:r>
      <w:proofErr w:type="spellEnd"/>
      <w:r>
        <w:rPr>
          <w:color w:val="000000"/>
          <w:sz w:val="22"/>
          <w:szCs w:val="22"/>
          <w:lang w:val="es-ES"/>
        </w:rPr>
        <w:t xml:space="preserve"> </w:t>
      </w:r>
      <w:proofErr w:type="spellStart"/>
      <w:r>
        <w:rPr>
          <w:color w:val="000000"/>
          <w:sz w:val="22"/>
          <w:szCs w:val="22"/>
          <w:lang w:val="es-ES"/>
        </w:rPr>
        <w:t>the</w:t>
      </w:r>
      <w:proofErr w:type="spellEnd"/>
      <w:r>
        <w:rPr>
          <w:color w:val="000000"/>
          <w:sz w:val="22"/>
          <w:szCs w:val="22"/>
          <w:lang w:val="es-ES"/>
        </w:rPr>
        <w:t xml:space="preserve"> </w:t>
      </w:r>
      <w:proofErr w:type="spellStart"/>
      <w:r>
        <w:rPr>
          <w:color w:val="000000"/>
          <w:sz w:val="22"/>
          <w:szCs w:val="22"/>
          <w:lang w:val="es-ES"/>
        </w:rPr>
        <w:t>flow</w:t>
      </w:r>
      <w:proofErr w:type="spellEnd"/>
      <w:r>
        <w:rPr>
          <w:color w:val="000000"/>
          <w:sz w:val="22"/>
          <w:szCs w:val="22"/>
          <w:lang w:val="es-ES"/>
        </w:rPr>
        <w:t xml:space="preserve"> </w:t>
      </w:r>
      <w:proofErr w:type="spellStart"/>
      <w:r>
        <w:rPr>
          <w:color w:val="000000"/>
          <w:sz w:val="22"/>
          <w:szCs w:val="22"/>
          <w:lang w:val="es-ES"/>
        </w:rPr>
        <w:t>rate</w:t>
      </w:r>
      <w:proofErr w:type="spellEnd"/>
      <w:r>
        <w:rPr>
          <w:color w:val="000000"/>
          <w:sz w:val="22"/>
          <w:szCs w:val="22"/>
          <w:lang w:val="es-ES"/>
        </w:rPr>
        <w:t xml:space="preserve">, </w:t>
      </w:r>
      <w:proofErr w:type="spellStart"/>
      <w:r>
        <w:rPr>
          <w:color w:val="000000"/>
          <w:sz w:val="22"/>
          <w:szCs w:val="22"/>
          <w:lang w:val="es-ES"/>
        </w:rPr>
        <w:t>from</w:t>
      </w:r>
      <w:proofErr w:type="spellEnd"/>
      <w:r>
        <w:rPr>
          <w:color w:val="000000"/>
          <w:sz w:val="22"/>
          <w:szCs w:val="22"/>
          <w:lang w:val="es-ES"/>
        </w:rPr>
        <w:t xml:space="preserve"> </w:t>
      </w:r>
      <w:proofErr w:type="spellStart"/>
      <w:r>
        <w:rPr>
          <w:color w:val="000000"/>
          <w:sz w:val="22"/>
          <w:szCs w:val="22"/>
          <w:lang w:val="es-ES"/>
        </w:rPr>
        <w:t>which</w:t>
      </w:r>
      <w:proofErr w:type="spellEnd"/>
      <w:r>
        <w:rPr>
          <w:color w:val="000000"/>
          <w:sz w:val="22"/>
          <w:szCs w:val="22"/>
          <w:lang w:val="es-ES"/>
        </w:rPr>
        <w:t xml:space="preserve"> </w:t>
      </w:r>
      <w:proofErr w:type="spellStart"/>
      <w:r>
        <w:rPr>
          <w:color w:val="000000"/>
          <w:sz w:val="22"/>
          <w:szCs w:val="22"/>
          <w:lang w:val="es-ES"/>
        </w:rPr>
        <w:t>all</w:t>
      </w:r>
      <w:proofErr w:type="spellEnd"/>
      <w:r>
        <w:rPr>
          <w:color w:val="000000"/>
          <w:sz w:val="22"/>
          <w:szCs w:val="22"/>
          <w:lang w:val="es-ES"/>
        </w:rPr>
        <w:t xml:space="preserve"> </w:t>
      </w:r>
      <w:proofErr w:type="spellStart"/>
      <w:r>
        <w:rPr>
          <w:color w:val="000000"/>
          <w:sz w:val="22"/>
          <w:szCs w:val="22"/>
          <w:lang w:val="es-ES"/>
        </w:rPr>
        <w:t>meters</w:t>
      </w:r>
      <w:proofErr w:type="spellEnd"/>
      <w:r>
        <w:rPr>
          <w:color w:val="000000"/>
          <w:sz w:val="22"/>
          <w:szCs w:val="22"/>
          <w:lang w:val="es-ES"/>
        </w:rPr>
        <w:t xml:space="preserve"> </w:t>
      </w:r>
      <w:proofErr w:type="spellStart"/>
      <w:r>
        <w:rPr>
          <w:color w:val="000000"/>
          <w:sz w:val="22"/>
          <w:szCs w:val="22"/>
          <w:lang w:val="es-ES"/>
        </w:rPr>
        <w:t>must</w:t>
      </w:r>
      <w:proofErr w:type="spellEnd"/>
      <w:r>
        <w:rPr>
          <w:color w:val="000000"/>
          <w:sz w:val="22"/>
          <w:szCs w:val="22"/>
          <w:lang w:val="es-ES"/>
        </w:rPr>
        <w:t xml:space="preserve"> </w:t>
      </w:r>
      <w:proofErr w:type="spellStart"/>
      <w:r>
        <w:rPr>
          <w:color w:val="000000"/>
          <w:sz w:val="22"/>
          <w:szCs w:val="22"/>
          <w:lang w:val="es-ES"/>
        </w:rPr>
        <w:t>respect</w:t>
      </w:r>
      <w:proofErr w:type="spellEnd"/>
      <w:r>
        <w:rPr>
          <w:color w:val="000000"/>
          <w:sz w:val="22"/>
          <w:szCs w:val="22"/>
          <w:lang w:val="es-ES"/>
        </w:rPr>
        <w:t xml:space="preserve"> </w:t>
      </w:r>
      <w:proofErr w:type="spellStart"/>
      <w:r>
        <w:rPr>
          <w:color w:val="000000"/>
          <w:sz w:val="22"/>
          <w:szCs w:val="22"/>
          <w:lang w:val="es-ES"/>
        </w:rPr>
        <w:t>the</w:t>
      </w:r>
      <w:proofErr w:type="spellEnd"/>
      <w:r>
        <w:rPr>
          <w:color w:val="000000"/>
          <w:sz w:val="22"/>
          <w:szCs w:val="22"/>
          <w:lang w:val="es-ES"/>
        </w:rPr>
        <w:t xml:space="preserve"> </w:t>
      </w:r>
      <w:proofErr w:type="spellStart"/>
      <w:r>
        <w:rPr>
          <w:color w:val="000000"/>
          <w:sz w:val="22"/>
          <w:szCs w:val="22"/>
          <w:lang w:val="es-ES"/>
        </w:rPr>
        <w:t>maximum</w:t>
      </w:r>
      <w:proofErr w:type="spellEnd"/>
      <w:r>
        <w:rPr>
          <w:color w:val="000000"/>
          <w:sz w:val="22"/>
          <w:szCs w:val="22"/>
          <w:lang w:val="es-ES"/>
        </w:rPr>
        <w:t xml:space="preserve"> </w:t>
      </w:r>
      <w:proofErr w:type="spellStart"/>
      <w:r>
        <w:rPr>
          <w:color w:val="000000"/>
          <w:sz w:val="22"/>
          <w:szCs w:val="22"/>
          <w:lang w:val="es-ES"/>
        </w:rPr>
        <w:t>permissible</w:t>
      </w:r>
      <w:proofErr w:type="spellEnd"/>
      <w:r>
        <w:rPr>
          <w:color w:val="000000"/>
          <w:sz w:val="22"/>
          <w:szCs w:val="22"/>
          <w:lang w:val="es-ES"/>
        </w:rPr>
        <w:t xml:space="preserve"> </w:t>
      </w:r>
      <w:proofErr w:type="spellStart"/>
      <w:r>
        <w:rPr>
          <w:color w:val="000000"/>
          <w:sz w:val="22"/>
          <w:szCs w:val="22"/>
          <w:lang w:val="es-ES"/>
        </w:rPr>
        <w:t>errors</w:t>
      </w:r>
      <w:proofErr w:type="spellEnd"/>
      <w:r>
        <w:rPr>
          <w:color w:val="000000"/>
          <w:sz w:val="22"/>
          <w:szCs w:val="22"/>
          <w:lang w:val="es-ES"/>
        </w:rPr>
        <w:t xml:space="preserve">. </w:t>
      </w:r>
      <w:proofErr w:type="spellStart"/>
      <w:r>
        <w:rPr>
          <w:color w:val="000000"/>
          <w:sz w:val="22"/>
          <w:szCs w:val="22"/>
          <w:lang w:val="es-ES"/>
        </w:rPr>
        <w:t>It</w:t>
      </w:r>
      <w:proofErr w:type="spellEnd"/>
      <w:r>
        <w:rPr>
          <w:color w:val="000000"/>
          <w:sz w:val="22"/>
          <w:szCs w:val="22"/>
          <w:lang w:val="es-ES"/>
        </w:rPr>
        <w:t xml:space="preserve"> </w:t>
      </w:r>
      <w:proofErr w:type="spellStart"/>
      <w:r>
        <w:rPr>
          <w:color w:val="000000"/>
          <w:sz w:val="22"/>
          <w:szCs w:val="22"/>
          <w:lang w:val="es-ES"/>
        </w:rPr>
        <w:t>is</w:t>
      </w:r>
      <w:proofErr w:type="spellEnd"/>
      <w:r>
        <w:rPr>
          <w:color w:val="000000"/>
          <w:sz w:val="22"/>
          <w:szCs w:val="22"/>
          <w:lang w:val="es-ES"/>
        </w:rPr>
        <w:t xml:space="preserve"> </w:t>
      </w:r>
      <w:proofErr w:type="spellStart"/>
      <w:r>
        <w:rPr>
          <w:color w:val="000000"/>
          <w:sz w:val="22"/>
          <w:szCs w:val="22"/>
          <w:lang w:val="es-ES"/>
        </w:rPr>
        <w:t>expressed</w:t>
      </w:r>
      <w:proofErr w:type="spellEnd"/>
      <w:r>
        <w:rPr>
          <w:color w:val="000000"/>
          <w:sz w:val="22"/>
          <w:szCs w:val="22"/>
          <w:lang w:val="es-ES"/>
        </w:rPr>
        <w:t xml:space="preserve"> in m³/h.</w:t>
      </w:r>
    </w:p>
    <w:p w14:paraId="0F26DC96" w14:textId="77777777" w:rsidR="00E255F4" w:rsidRDefault="00000000">
      <w:pPr>
        <w:numPr>
          <w:ilvl w:val="2"/>
          <w:numId w:val="63"/>
        </w:numPr>
        <w:tabs>
          <w:tab w:val="left" w:pos="709"/>
        </w:tabs>
        <w:jc w:val="both"/>
        <w:rPr>
          <w:color w:val="000000"/>
          <w:sz w:val="22"/>
          <w:szCs w:val="22"/>
          <w:lang w:val="es-ES"/>
        </w:rPr>
      </w:pPr>
      <w:proofErr w:type="spellStart"/>
      <w:r>
        <w:rPr>
          <w:color w:val="000000"/>
          <w:sz w:val="22"/>
          <w:szCs w:val="22"/>
          <w:u w:val="single"/>
          <w:lang w:val="es-ES"/>
        </w:rPr>
        <w:t>Pressure</w:t>
      </w:r>
      <w:proofErr w:type="spellEnd"/>
      <w:r>
        <w:rPr>
          <w:color w:val="000000"/>
          <w:sz w:val="22"/>
          <w:szCs w:val="22"/>
          <w:u w:val="single"/>
          <w:lang w:val="es-ES"/>
        </w:rPr>
        <w:t xml:space="preserve"> </w:t>
      </w:r>
      <w:proofErr w:type="spellStart"/>
      <w:r>
        <w:rPr>
          <w:color w:val="000000"/>
          <w:sz w:val="22"/>
          <w:szCs w:val="22"/>
          <w:u w:val="single"/>
          <w:lang w:val="es-ES"/>
        </w:rPr>
        <w:t>drop</w:t>
      </w:r>
      <w:proofErr w:type="spellEnd"/>
    </w:p>
    <w:p w14:paraId="60E91C97" w14:textId="77777777" w:rsidR="00E255F4" w:rsidRDefault="00000000">
      <w:pPr>
        <w:tabs>
          <w:tab w:val="left" w:pos="851"/>
        </w:tabs>
        <w:spacing w:after="120"/>
        <w:ind w:left="720"/>
        <w:jc w:val="both"/>
        <w:rPr>
          <w:color w:val="000000"/>
          <w:sz w:val="22"/>
          <w:szCs w:val="22"/>
          <w:lang w:val="es-ES"/>
        </w:rPr>
      </w:pPr>
      <w:proofErr w:type="spellStart"/>
      <w:r>
        <w:rPr>
          <w:color w:val="000000"/>
          <w:sz w:val="22"/>
          <w:szCs w:val="22"/>
          <w:lang w:val="es-ES"/>
        </w:rPr>
        <w:t>It</w:t>
      </w:r>
      <w:proofErr w:type="spellEnd"/>
      <w:r>
        <w:rPr>
          <w:color w:val="000000"/>
          <w:sz w:val="22"/>
          <w:szCs w:val="22"/>
          <w:lang w:val="es-ES"/>
        </w:rPr>
        <w:t xml:space="preserve"> </w:t>
      </w:r>
      <w:proofErr w:type="spellStart"/>
      <w:r>
        <w:rPr>
          <w:color w:val="000000"/>
          <w:sz w:val="22"/>
          <w:szCs w:val="22"/>
          <w:lang w:val="es-ES"/>
        </w:rPr>
        <w:t>is</w:t>
      </w:r>
      <w:proofErr w:type="spellEnd"/>
      <w:r>
        <w:rPr>
          <w:color w:val="000000"/>
          <w:sz w:val="22"/>
          <w:szCs w:val="22"/>
          <w:lang w:val="es-ES"/>
        </w:rPr>
        <w:t xml:space="preserve"> </w:t>
      </w:r>
      <w:proofErr w:type="spellStart"/>
      <w:r>
        <w:rPr>
          <w:color w:val="000000"/>
          <w:sz w:val="22"/>
          <w:szCs w:val="22"/>
          <w:lang w:val="es-ES"/>
        </w:rPr>
        <w:t>the</w:t>
      </w:r>
      <w:proofErr w:type="spellEnd"/>
      <w:r>
        <w:rPr>
          <w:color w:val="000000"/>
          <w:sz w:val="22"/>
          <w:szCs w:val="22"/>
          <w:lang w:val="es-ES"/>
        </w:rPr>
        <w:t xml:space="preserve"> </w:t>
      </w:r>
      <w:proofErr w:type="spellStart"/>
      <w:r>
        <w:rPr>
          <w:color w:val="000000"/>
          <w:sz w:val="22"/>
          <w:szCs w:val="22"/>
          <w:lang w:val="es-ES"/>
        </w:rPr>
        <w:t>loss</w:t>
      </w:r>
      <w:proofErr w:type="spellEnd"/>
      <w:r>
        <w:rPr>
          <w:color w:val="000000"/>
          <w:sz w:val="22"/>
          <w:szCs w:val="22"/>
          <w:lang w:val="es-ES"/>
        </w:rPr>
        <w:t xml:space="preserve"> </w:t>
      </w:r>
      <w:proofErr w:type="spellStart"/>
      <w:r>
        <w:rPr>
          <w:color w:val="000000"/>
          <w:sz w:val="22"/>
          <w:szCs w:val="22"/>
          <w:lang w:val="es-ES"/>
        </w:rPr>
        <w:t>of</w:t>
      </w:r>
      <w:proofErr w:type="spellEnd"/>
      <w:r>
        <w:rPr>
          <w:color w:val="000000"/>
          <w:sz w:val="22"/>
          <w:szCs w:val="22"/>
          <w:lang w:val="es-ES"/>
        </w:rPr>
        <w:t xml:space="preserve"> </w:t>
      </w:r>
      <w:proofErr w:type="spellStart"/>
      <w:r>
        <w:rPr>
          <w:color w:val="000000"/>
          <w:sz w:val="22"/>
          <w:szCs w:val="22"/>
          <w:lang w:val="es-ES"/>
        </w:rPr>
        <w:t>pressure</w:t>
      </w:r>
      <w:proofErr w:type="spellEnd"/>
      <w:r>
        <w:rPr>
          <w:color w:val="000000"/>
          <w:sz w:val="22"/>
          <w:szCs w:val="22"/>
          <w:lang w:val="es-ES"/>
        </w:rPr>
        <w:t xml:space="preserve"> </w:t>
      </w:r>
      <w:proofErr w:type="spellStart"/>
      <w:r>
        <w:rPr>
          <w:color w:val="000000"/>
          <w:sz w:val="22"/>
          <w:szCs w:val="22"/>
          <w:lang w:val="es-ES"/>
        </w:rPr>
        <w:t>due</w:t>
      </w:r>
      <w:proofErr w:type="spellEnd"/>
      <w:r>
        <w:rPr>
          <w:color w:val="000000"/>
          <w:sz w:val="22"/>
          <w:szCs w:val="22"/>
          <w:lang w:val="es-ES"/>
        </w:rPr>
        <w:t xml:space="preserve"> </w:t>
      </w:r>
      <w:proofErr w:type="spellStart"/>
      <w:r>
        <w:rPr>
          <w:color w:val="000000"/>
          <w:sz w:val="22"/>
          <w:szCs w:val="22"/>
          <w:lang w:val="es-ES"/>
        </w:rPr>
        <w:t>to</w:t>
      </w:r>
      <w:proofErr w:type="spellEnd"/>
      <w:r>
        <w:rPr>
          <w:color w:val="000000"/>
          <w:sz w:val="22"/>
          <w:szCs w:val="22"/>
          <w:lang w:val="es-ES"/>
        </w:rPr>
        <w:t xml:space="preserve"> </w:t>
      </w:r>
      <w:proofErr w:type="spellStart"/>
      <w:r>
        <w:rPr>
          <w:color w:val="000000"/>
          <w:sz w:val="22"/>
          <w:szCs w:val="22"/>
          <w:lang w:val="es-ES"/>
        </w:rPr>
        <w:t>the</w:t>
      </w:r>
      <w:proofErr w:type="spellEnd"/>
      <w:r>
        <w:rPr>
          <w:color w:val="000000"/>
          <w:sz w:val="22"/>
          <w:szCs w:val="22"/>
          <w:lang w:val="es-ES"/>
        </w:rPr>
        <w:t xml:space="preserve"> </w:t>
      </w:r>
      <w:proofErr w:type="spellStart"/>
      <w:r>
        <w:rPr>
          <w:color w:val="000000"/>
          <w:sz w:val="22"/>
          <w:szCs w:val="22"/>
          <w:lang w:val="es-ES"/>
        </w:rPr>
        <w:t>presence</w:t>
      </w:r>
      <w:proofErr w:type="spellEnd"/>
      <w:r>
        <w:rPr>
          <w:color w:val="000000"/>
          <w:sz w:val="22"/>
          <w:szCs w:val="22"/>
          <w:lang w:val="es-ES"/>
        </w:rPr>
        <w:t xml:space="preserve"> </w:t>
      </w:r>
      <w:proofErr w:type="spellStart"/>
      <w:r>
        <w:rPr>
          <w:color w:val="000000"/>
          <w:sz w:val="22"/>
          <w:szCs w:val="22"/>
          <w:lang w:val="es-ES"/>
        </w:rPr>
        <w:t>of</w:t>
      </w:r>
      <w:proofErr w:type="spellEnd"/>
      <w:r>
        <w:rPr>
          <w:color w:val="000000"/>
          <w:sz w:val="22"/>
          <w:szCs w:val="22"/>
          <w:lang w:val="es-ES"/>
        </w:rPr>
        <w:t xml:space="preserve"> </w:t>
      </w:r>
      <w:proofErr w:type="spellStart"/>
      <w:r>
        <w:rPr>
          <w:color w:val="000000"/>
          <w:sz w:val="22"/>
          <w:szCs w:val="22"/>
          <w:lang w:val="es-ES"/>
        </w:rPr>
        <w:t>the</w:t>
      </w:r>
      <w:proofErr w:type="spellEnd"/>
      <w:r>
        <w:rPr>
          <w:color w:val="000000"/>
          <w:sz w:val="22"/>
          <w:szCs w:val="22"/>
          <w:lang w:val="es-ES"/>
        </w:rPr>
        <w:t xml:space="preserve"> </w:t>
      </w:r>
      <w:proofErr w:type="spellStart"/>
      <w:r>
        <w:rPr>
          <w:color w:val="000000"/>
          <w:sz w:val="22"/>
          <w:szCs w:val="22"/>
          <w:lang w:val="es-ES"/>
        </w:rPr>
        <w:t>water</w:t>
      </w:r>
      <w:proofErr w:type="spellEnd"/>
      <w:r>
        <w:rPr>
          <w:color w:val="000000"/>
          <w:sz w:val="22"/>
          <w:szCs w:val="22"/>
          <w:lang w:val="es-ES"/>
        </w:rPr>
        <w:t xml:space="preserve"> meter in </w:t>
      </w:r>
      <w:proofErr w:type="spellStart"/>
      <w:r>
        <w:rPr>
          <w:color w:val="000000"/>
          <w:sz w:val="22"/>
          <w:szCs w:val="22"/>
          <w:lang w:val="es-ES"/>
        </w:rPr>
        <w:t>the</w:t>
      </w:r>
      <w:proofErr w:type="spellEnd"/>
      <w:r>
        <w:rPr>
          <w:color w:val="000000"/>
          <w:sz w:val="22"/>
          <w:szCs w:val="22"/>
          <w:lang w:val="es-ES"/>
        </w:rPr>
        <w:t xml:space="preserve"> </w:t>
      </w:r>
      <w:proofErr w:type="spellStart"/>
      <w:r>
        <w:rPr>
          <w:color w:val="000000"/>
          <w:sz w:val="22"/>
          <w:szCs w:val="22"/>
          <w:lang w:val="es-ES"/>
        </w:rPr>
        <w:t>conduit</w:t>
      </w:r>
      <w:proofErr w:type="spellEnd"/>
      <w:r>
        <w:rPr>
          <w:color w:val="000000"/>
          <w:sz w:val="22"/>
          <w:szCs w:val="22"/>
          <w:lang w:val="es-ES"/>
        </w:rPr>
        <w:t xml:space="preserve">, </w:t>
      </w:r>
      <w:proofErr w:type="spellStart"/>
      <w:r>
        <w:rPr>
          <w:color w:val="000000"/>
          <w:sz w:val="22"/>
          <w:szCs w:val="22"/>
          <w:lang w:val="es-ES"/>
        </w:rPr>
        <w:t>whose</w:t>
      </w:r>
      <w:proofErr w:type="spellEnd"/>
      <w:r>
        <w:rPr>
          <w:color w:val="000000"/>
          <w:sz w:val="22"/>
          <w:szCs w:val="22"/>
          <w:lang w:val="es-ES"/>
        </w:rPr>
        <w:t xml:space="preserve"> </w:t>
      </w:r>
      <w:proofErr w:type="spellStart"/>
      <w:r>
        <w:rPr>
          <w:color w:val="000000"/>
          <w:sz w:val="22"/>
          <w:szCs w:val="22"/>
          <w:lang w:val="es-ES"/>
        </w:rPr>
        <w:t>unit</w:t>
      </w:r>
      <w:proofErr w:type="spellEnd"/>
      <w:r>
        <w:rPr>
          <w:color w:val="000000"/>
          <w:sz w:val="22"/>
          <w:szCs w:val="22"/>
          <w:lang w:val="es-ES"/>
        </w:rPr>
        <w:t xml:space="preserve"> </w:t>
      </w:r>
      <w:proofErr w:type="spellStart"/>
      <w:r>
        <w:rPr>
          <w:color w:val="000000"/>
          <w:sz w:val="22"/>
          <w:szCs w:val="22"/>
          <w:lang w:val="es-ES"/>
        </w:rPr>
        <w:t>of</w:t>
      </w:r>
      <w:proofErr w:type="spellEnd"/>
      <w:r>
        <w:rPr>
          <w:color w:val="000000"/>
          <w:sz w:val="22"/>
          <w:szCs w:val="22"/>
          <w:lang w:val="es-ES"/>
        </w:rPr>
        <w:t xml:space="preserve"> </w:t>
      </w:r>
      <w:proofErr w:type="spellStart"/>
      <w:r>
        <w:rPr>
          <w:color w:val="000000"/>
          <w:sz w:val="22"/>
          <w:szCs w:val="22"/>
          <w:lang w:val="es-ES"/>
        </w:rPr>
        <w:t>measurement</w:t>
      </w:r>
      <w:proofErr w:type="spellEnd"/>
      <w:r>
        <w:rPr>
          <w:color w:val="000000"/>
          <w:sz w:val="22"/>
          <w:szCs w:val="22"/>
          <w:lang w:val="es-ES"/>
        </w:rPr>
        <w:t xml:space="preserve"> </w:t>
      </w:r>
      <w:proofErr w:type="spellStart"/>
      <w:r>
        <w:rPr>
          <w:color w:val="000000"/>
          <w:sz w:val="22"/>
          <w:szCs w:val="22"/>
          <w:lang w:val="es-ES"/>
        </w:rPr>
        <w:t>is</w:t>
      </w:r>
      <w:proofErr w:type="spellEnd"/>
      <w:r>
        <w:rPr>
          <w:color w:val="000000"/>
          <w:sz w:val="22"/>
          <w:szCs w:val="22"/>
          <w:lang w:val="es-ES"/>
        </w:rPr>
        <w:t xml:space="preserve"> </w:t>
      </w:r>
      <w:proofErr w:type="spellStart"/>
      <w:r>
        <w:rPr>
          <w:color w:val="000000"/>
          <w:sz w:val="22"/>
          <w:szCs w:val="22"/>
          <w:lang w:val="es-ES"/>
        </w:rPr>
        <w:t>mca</w:t>
      </w:r>
      <w:proofErr w:type="spellEnd"/>
      <w:r>
        <w:rPr>
          <w:color w:val="000000"/>
          <w:sz w:val="22"/>
          <w:szCs w:val="22"/>
          <w:lang w:val="es-ES"/>
        </w:rPr>
        <w:t xml:space="preserve"> (</w:t>
      </w:r>
      <w:proofErr w:type="spellStart"/>
      <w:r>
        <w:rPr>
          <w:color w:val="000000"/>
          <w:sz w:val="22"/>
          <w:szCs w:val="22"/>
          <w:lang w:val="es-ES"/>
        </w:rPr>
        <w:t>meters</w:t>
      </w:r>
      <w:proofErr w:type="spellEnd"/>
      <w:r>
        <w:rPr>
          <w:color w:val="000000"/>
          <w:sz w:val="22"/>
          <w:szCs w:val="22"/>
          <w:lang w:val="es-ES"/>
        </w:rPr>
        <w:t xml:space="preserve"> </w:t>
      </w:r>
      <w:proofErr w:type="spellStart"/>
      <w:r>
        <w:rPr>
          <w:color w:val="000000"/>
          <w:sz w:val="22"/>
          <w:szCs w:val="22"/>
          <w:lang w:val="es-ES"/>
        </w:rPr>
        <w:t>of</w:t>
      </w:r>
      <w:proofErr w:type="spellEnd"/>
      <w:r>
        <w:rPr>
          <w:color w:val="000000"/>
          <w:sz w:val="22"/>
          <w:szCs w:val="22"/>
          <w:lang w:val="es-ES"/>
        </w:rPr>
        <w:t xml:space="preserve"> </w:t>
      </w:r>
      <w:proofErr w:type="spellStart"/>
      <w:r>
        <w:rPr>
          <w:color w:val="000000"/>
          <w:sz w:val="22"/>
          <w:szCs w:val="22"/>
          <w:lang w:val="es-ES"/>
        </w:rPr>
        <w:t>water</w:t>
      </w:r>
      <w:proofErr w:type="spellEnd"/>
      <w:r>
        <w:rPr>
          <w:color w:val="000000"/>
          <w:sz w:val="22"/>
          <w:szCs w:val="22"/>
          <w:lang w:val="es-ES"/>
        </w:rPr>
        <w:t xml:space="preserve"> </w:t>
      </w:r>
      <w:proofErr w:type="spellStart"/>
      <w:r>
        <w:rPr>
          <w:color w:val="000000"/>
          <w:sz w:val="22"/>
          <w:szCs w:val="22"/>
          <w:lang w:val="es-ES"/>
        </w:rPr>
        <w:t>column</w:t>
      </w:r>
      <w:proofErr w:type="spellEnd"/>
      <w:r>
        <w:rPr>
          <w:color w:val="000000"/>
          <w:sz w:val="22"/>
          <w:szCs w:val="22"/>
          <w:lang w:val="es-ES"/>
        </w:rPr>
        <w:t>).</w:t>
      </w:r>
    </w:p>
    <w:p w14:paraId="69FAAC3D" w14:textId="77777777" w:rsidR="00E255F4" w:rsidRDefault="00000000">
      <w:pPr>
        <w:numPr>
          <w:ilvl w:val="2"/>
          <w:numId w:val="63"/>
        </w:numPr>
        <w:tabs>
          <w:tab w:val="left" w:pos="709"/>
        </w:tabs>
        <w:jc w:val="both"/>
        <w:rPr>
          <w:color w:val="000000"/>
          <w:sz w:val="22"/>
          <w:szCs w:val="22"/>
          <w:lang w:val="es-ES"/>
        </w:rPr>
      </w:pPr>
      <w:proofErr w:type="spellStart"/>
      <w:r>
        <w:rPr>
          <w:color w:val="000000"/>
          <w:sz w:val="22"/>
          <w:szCs w:val="22"/>
          <w:u w:val="single"/>
          <w:lang w:val="es-ES"/>
        </w:rPr>
        <w:t>Mistake</w:t>
      </w:r>
      <w:proofErr w:type="spellEnd"/>
      <w:r>
        <w:rPr>
          <w:color w:val="000000"/>
          <w:sz w:val="22"/>
          <w:szCs w:val="22"/>
          <w:lang w:val="es-ES"/>
        </w:rPr>
        <w:br/>
      </w:r>
      <w:proofErr w:type="spellStart"/>
      <w:r>
        <w:rPr>
          <w:color w:val="000000"/>
          <w:sz w:val="22"/>
          <w:szCs w:val="22"/>
          <w:lang w:val="es-ES"/>
        </w:rPr>
        <w:t>It</w:t>
      </w:r>
      <w:proofErr w:type="spellEnd"/>
      <w:r>
        <w:rPr>
          <w:color w:val="000000"/>
          <w:sz w:val="22"/>
          <w:szCs w:val="22"/>
          <w:lang w:val="es-ES"/>
        </w:rPr>
        <w:t xml:space="preserve"> </w:t>
      </w:r>
      <w:proofErr w:type="spellStart"/>
      <w:r>
        <w:rPr>
          <w:color w:val="000000"/>
          <w:sz w:val="22"/>
          <w:szCs w:val="22"/>
          <w:lang w:val="es-ES"/>
        </w:rPr>
        <w:t>is</w:t>
      </w:r>
      <w:proofErr w:type="spellEnd"/>
      <w:r>
        <w:rPr>
          <w:color w:val="000000"/>
          <w:sz w:val="22"/>
          <w:szCs w:val="22"/>
          <w:lang w:val="es-ES"/>
        </w:rPr>
        <w:t xml:space="preserve"> </w:t>
      </w:r>
      <w:proofErr w:type="spellStart"/>
      <w:r>
        <w:rPr>
          <w:color w:val="000000"/>
          <w:sz w:val="22"/>
          <w:szCs w:val="22"/>
          <w:lang w:val="es-ES"/>
        </w:rPr>
        <w:t>the</w:t>
      </w:r>
      <w:proofErr w:type="spellEnd"/>
      <w:r>
        <w:rPr>
          <w:color w:val="000000"/>
          <w:sz w:val="22"/>
          <w:szCs w:val="22"/>
          <w:lang w:val="es-ES"/>
        </w:rPr>
        <w:t xml:space="preserve"> ratio </w:t>
      </w:r>
      <w:proofErr w:type="spellStart"/>
      <w:r>
        <w:rPr>
          <w:color w:val="000000"/>
          <w:sz w:val="22"/>
          <w:szCs w:val="22"/>
          <w:lang w:val="es-ES"/>
        </w:rPr>
        <w:t>between</w:t>
      </w:r>
      <w:proofErr w:type="spellEnd"/>
      <w:r>
        <w:rPr>
          <w:color w:val="000000"/>
          <w:sz w:val="22"/>
          <w:szCs w:val="22"/>
          <w:lang w:val="es-ES"/>
        </w:rPr>
        <w:t xml:space="preserve"> </w:t>
      </w:r>
      <w:proofErr w:type="spellStart"/>
      <w:r>
        <w:rPr>
          <w:color w:val="000000"/>
          <w:sz w:val="22"/>
          <w:szCs w:val="22"/>
          <w:lang w:val="es-ES"/>
        </w:rPr>
        <w:t>the</w:t>
      </w:r>
      <w:proofErr w:type="spellEnd"/>
      <w:r>
        <w:rPr>
          <w:color w:val="000000"/>
          <w:sz w:val="22"/>
          <w:szCs w:val="22"/>
          <w:lang w:val="es-ES"/>
        </w:rPr>
        <w:t xml:space="preserve"> </w:t>
      </w:r>
      <w:proofErr w:type="spellStart"/>
      <w:r>
        <w:rPr>
          <w:color w:val="000000"/>
          <w:sz w:val="22"/>
          <w:szCs w:val="22"/>
          <w:lang w:val="es-ES"/>
        </w:rPr>
        <w:t>difference</w:t>
      </w:r>
      <w:proofErr w:type="spellEnd"/>
      <w:r>
        <w:rPr>
          <w:color w:val="000000"/>
          <w:sz w:val="22"/>
          <w:szCs w:val="22"/>
          <w:lang w:val="es-ES"/>
        </w:rPr>
        <w:t xml:space="preserve"> in </w:t>
      </w:r>
      <w:proofErr w:type="spellStart"/>
      <w:r>
        <w:rPr>
          <w:color w:val="000000"/>
          <w:sz w:val="22"/>
          <w:szCs w:val="22"/>
          <w:lang w:val="es-ES"/>
        </w:rPr>
        <w:t>the</w:t>
      </w:r>
      <w:proofErr w:type="spellEnd"/>
      <w:r>
        <w:rPr>
          <w:color w:val="000000"/>
          <w:sz w:val="22"/>
          <w:szCs w:val="22"/>
          <w:lang w:val="es-ES"/>
        </w:rPr>
        <w:t xml:space="preserve"> </w:t>
      </w:r>
      <w:proofErr w:type="spellStart"/>
      <w:r>
        <w:rPr>
          <w:color w:val="000000"/>
          <w:sz w:val="22"/>
          <w:szCs w:val="22"/>
          <w:lang w:val="es-ES"/>
        </w:rPr>
        <w:t>volume</w:t>
      </w:r>
      <w:proofErr w:type="spellEnd"/>
      <w:r>
        <w:rPr>
          <w:color w:val="000000"/>
          <w:sz w:val="22"/>
          <w:szCs w:val="22"/>
          <w:lang w:val="es-ES"/>
        </w:rPr>
        <w:t xml:space="preserve"> </w:t>
      </w:r>
      <w:proofErr w:type="spellStart"/>
      <w:r>
        <w:rPr>
          <w:color w:val="000000"/>
          <w:sz w:val="22"/>
          <w:szCs w:val="22"/>
          <w:lang w:val="es-ES"/>
        </w:rPr>
        <w:t>indicated</w:t>
      </w:r>
      <w:proofErr w:type="spellEnd"/>
      <w:r>
        <w:rPr>
          <w:color w:val="000000"/>
          <w:sz w:val="22"/>
          <w:szCs w:val="22"/>
          <w:lang w:val="es-ES"/>
        </w:rPr>
        <w:t xml:space="preserve"> </w:t>
      </w:r>
      <w:proofErr w:type="spellStart"/>
      <w:r>
        <w:rPr>
          <w:color w:val="000000"/>
          <w:sz w:val="22"/>
          <w:szCs w:val="22"/>
          <w:lang w:val="es-ES"/>
        </w:rPr>
        <w:t>by</w:t>
      </w:r>
      <w:proofErr w:type="spellEnd"/>
      <w:r>
        <w:rPr>
          <w:color w:val="000000"/>
          <w:sz w:val="22"/>
          <w:szCs w:val="22"/>
          <w:lang w:val="es-ES"/>
        </w:rPr>
        <w:t xml:space="preserve"> </w:t>
      </w:r>
      <w:proofErr w:type="spellStart"/>
      <w:r>
        <w:rPr>
          <w:color w:val="000000"/>
          <w:sz w:val="22"/>
          <w:szCs w:val="22"/>
          <w:lang w:val="es-ES"/>
        </w:rPr>
        <w:t>the</w:t>
      </w:r>
      <w:proofErr w:type="spellEnd"/>
      <w:r>
        <w:rPr>
          <w:color w:val="000000"/>
          <w:sz w:val="22"/>
          <w:szCs w:val="22"/>
          <w:lang w:val="es-ES"/>
        </w:rPr>
        <w:t xml:space="preserve"> meter and </w:t>
      </w:r>
      <w:proofErr w:type="spellStart"/>
      <w:r>
        <w:rPr>
          <w:color w:val="000000"/>
          <w:sz w:val="22"/>
          <w:szCs w:val="22"/>
          <w:lang w:val="es-ES"/>
        </w:rPr>
        <w:t>the</w:t>
      </w:r>
      <w:proofErr w:type="spellEnd"/>
      <w:r>
        <w:rPr>
          <w:color w:val="000000"/>
          <w:sz w:val="22"/>
          <w:szCs w:val="22"/>
          <w:lang w:val="es-ES"/>
        </w:rPr>
        <w:t xml:space="preserve"> </w:t>
      </w:r>
      <w:proofErr w:type="spellStart"/>
      <w:r>
        <w:rPr>
          <w:color w:val="000000"/>
          <w:sz w:val="22"/>
          <w:szCs w:val="22"/>
          <w:lang w:val="es-ES"/>
        </w:rPr>
        <w:t>volume</w:t>
      </w:r>
      <w:proofErr w:type="spellEnd"/>
      <w:r>
        <w:rPr>
          <w:color w:val="000000"/>
          <w:sz w:val="22"/>
          <w:szCs w:val="22"/>
          <w:lang w:val="es-ES"/>
        </w:rPr>
        <w:t xml:space="preserve"> </w:t>
      </w:r>
      <w:proofErr w:type="spellStart"/>
      <w:r>
        <w:rPr>
          <w:color w:val="000000"/>
          <w:sz w:val="22"/>
          <w:szCs w:val="22"/>
          <w:lang w:val="es-ES"/>
        </w:rPr>
        <w:t>of</w:t>
      </w:r>
      <w:proofErr w:type="spellEnd"/>
      <w:r>
        <w:rPr>
          <w:color w:val="000000"/>
          <w:sz w:val="22"/>
          <w:szCs w:val="22"/>
          <w:lang w:val="es-ES"/>
        </w:rPr>
        <w:t xml:space="preserve"> </w:t>
      </w:r>
      <w:proofErr w:type="spellStart"/>
      <w:r>
        <w:rPr>
          <w:color w:val="000000"/>
          <w:sz w:val="22"/>
          <w:szCs w:val="22"/>
          <w:lang w:val="es-ES"/>
        </w:rPr>
        <w:t>the</w:t>
      </w:r>
      <w:proofErr w:type="spellEnd"/>
      <w:r>
        <w:rPr>
          <w:color w:val="000000"/>
          <w:sz w:val="22"/>
          <w:szCs w:val="22"/>
          <w:lang w:val="es-ES"/>
        </w:rPr>
        <w:t xml:space="preserve"> </w:t>
      </w:r>
      <w:proofErr w:type="spellStart"/>
      <w:r>
        <w:rPr>
          <w:color w:val="000000"/>
          <w:sz w:val="22"/>
          <w:szCs w:val="22"/>
          <w:lang w:val="es-ES"/>
        </w:rPr>
        <w:t>liquid</w:t>
      </w:r>
      <w:proofErr w:type="spellEnd"/>
      <w:r>
        <w:rPr>
          <w:color w:val="000000"/>
          <w:sz w:val="22"/>
          <w:szCs w:val="22"/>
          <w:lang w:val="es-ES"/>
        </w:rPr>
        <w:t xml:space="preserve"> </w:t>
      </w:r>
      <w:proofErr w:type="spellStart"/>
      <w:r>
        <w:rPr>
          <w:color w:val="000000"/>
          <w:sz w:val="22"/>
          <w:szCs w:val="22"/>
          <w:lang w:val="es-ES"/>
        </w:rPr>
        <w:t>actually</w:t>
      </w:r>
      <w:proofErr w:type="spellEnd"/>
      <w:r>
        <w:rPr>
          <w:color w:val="000000"/>
          <w:sz w:val="22"/>
          <w:szCs w:val="22"/>
          <w:lang w:val="es-ES"/>
        </w:rPr>
        <w:t xml:space="preserve"> </w:t>
      </w:r>
      <w:proofErr w:type="spellStart"/>
      <w:r>
        <w:rPr>
          <w:color w:val="000000"/>
          <w:sz w:val="22"/>
          <w:szCs w:val="22"/>
          <w:lang w:val="es-ES"/>
        </w:rPr>
        <w:t>drained</w:t>
      </w:r>
      <w:proofErr w:type="spellEnd"/>
      <w:r>
        <w:rPr>
          <w:color w:val="000000"/>
          <w:sz w:val="22"/>
          <w:szCs w:val="22"/>
          <w:lang w:val="es-ES"/>
        </w:rPr>
        <w:t xml:space="preserve"> </w:t>
      </w:r>
      <w:proofErr w:type="spellStart"/>
      <w:r>
        <w:rPr>
          <w:color w:val="000000"/>
          <w:sz w:val="22"/>
          <w:szCs w:val="22"/>
          <w:lang w:val="es-ES"/>
        </w:rPr>
        <w:t>through</w:t>
      </w:r>
      <w:proofErr w:type="spellEnd"/>
      <w:r>
        <w:rPr>
          <w:color w:val="000000"/>
          <w:sz w:val="22"/>
          <w:szCs w:val="22"/>
          <w:lang w:val="es-ES"/>
        </w:rPr>
        <w:t xml:space="preserve"> </w:t>
      </w:r>
      <w:proofErr w:type="spellStart"/>
      <w:r>
        <w:rPr>
          <w:color w:val="000000"/>
          <w:sz w:val="22"/>
          <w:szCs w:val="22"/>
          <w:lang w:val="es-ES"/>
        </w:rPr>
        <w:t>the</w:t>
      </w:r>
      <w:proofErr w:type="spellEnd"/>
      <w:r>
        <w:rPr>
          <w:color w:val="000000"/>
          <w:sz w:val="22"/>
          <w:szCs w:val="22"/>
          <w:lang w:val="es-ES"/>
        </w:rPr>
        <w:t xml:space="preserve"> meter (</w:t>
      </w:r>
      <w:proofErr w:type="spellStart"/>
      <w:r>
        <w:rPr>
          <w:color w:val="000000"/>
          <w:sz w:val="22"/>
          <w:szCs w:val="22"/>
          <w:lang w:val="es-ES"/>
        </w:rPr>
        <w:t>reference</w:t>
      </w:r>
      <w:proofErr w:type="spellEnd"/>
      <w:r>
        <w:rPr>
          <w:color w:val="000000"/>
          <w:sz w:val="22"/>
          <w:szCs w:val="22"/>
          <w:lang w:val="es-ES"/>
        </w:rPr>
        <w:t xml:space="preserve">), and </w:t>
      </w:r>
      <w:proofErr w:type="spellStart"/>
      <w:r>
        <w:rPr>
          <w:color w:val="000000"/>
          <w:sz w:val="22"/>
          <w:szCs w:val="22"/>
          <w:lang w:val="es-ES"/>
        </w:rPr>
        <w:t>the</w:t>
      </w:r>
      <w:proofErr w:type="spellEnd"/>
      <w:r>
        <w:rPr>
          <w:color w:val="000000"/>
          <w:sz w:val="22"/>
          <w:szCs w:val="22"/>
          <w:lang w:val="es-ES"/>
        </w:rPr>
        <w:t xml:space="preserve"> </w:t>
      </w:r>
      <w:proofErr w:type="spellStart"/>
      <w:r>
        <w:rPr>
          <w:color w:val="000000"/>
          <w:sz w:val="22"/>
          <w:szCs w:val="22"/>
          <w:lang w:val="es-ES"/>
        </w:rPr>
        <w:t>reference</w:t>
      </w:r>
      <w:proofErr w:type="spellEnd"/>
      <w:r>
        <w:rPr>
          <w:color w:val="000000"/>
          <w:sz w:val="22"/>
          <w:szCs w:val="22"/>
          <w:lang w:val="es-ES"/>
        </w:rPr>
        <w:t xml:space="preserve"> </w:t>
      </w:r>
      <w:proofErr w:type="spellStart"/>
      <w:r>
        <w:rPr>
          <w:color w:val="000000"/>
          <w:sz w:val="22"/>
          <w:szCs w:val="22"/>
          <w:lang w:val="es-ES"/>
        </w:rPr>
        <w:t>volume</w:t>
      </w:r>
      <w:proofErr w:type="spellEnd"/>
      <w:r>
        <w:rPr>
          <w:color w:val="000000"/>
          <w:sz w:val="22"/>
          <w:szCs w:val="22"/>
          <w:lang w:val="es-ES"/>
        </w:rPr>
        <w:t>.</w:t>
      </w:r>
    </w:p>
    <w:p w14:paraId="50AE82C4" w14:textId="77777777" w:rsidR="00E255F4" w:rsidRDefault="00000000">
      <w:pPr>
        <w:spacing w:before="240" w:after="120"/>
        <w:rPr>
          <w:b/>
        </w:rPr>
      </w:pPr>
      <w:r>
        <w:rPr>
          <w:b/>
          <w:sz w:val="22"/>
          <w:szCs w:val="22"/>
        </w:rPr>
        <w:t>7.3</w:t>
      </w:r>
      <w:r>
        <w:rPr>
          <w:b/>
        </w:rPr>
        <w:tab/>
      </w:r>
      <w:proofErr w:type="spellStart"/>
      <w:r>
        <w:rPr>
          <w:b/>
          <w:sz w:val="22"/>
          <w:szCs w:val="22"/>
        </w:rPr>
        <w:t>Metrological</w:t>
      </w:r>
      <w:proofErr w:type="spellEnd"/>
      <w:r>
        <w:rPr>
          <w:b/>
          <w:sz w:val="22"/>
          <w:szCs w:val="22"/>
        </w:rPr>
        <w:t xml:space="preserve"> and </w:t>
      </w:r>
      <w:proofErr w:type="spellStart"/>
      <w:r>
        <w:rPr>
          <w:b/>
          <w:sz w:val="22"/>
          <w:szCs w:val="22"/>
        </w:rPr>
        <w:t>operational</w:t>
      </w:r>
      <w:proofErr w:type="spellEnd"/>
      <w:r>
        <w:rPr>
          <w:b/>
          <w:sz w:val="22"/>
          <w:szCs w:val="22"/>
        </w:rPr>
        <w:t xml:space="preserve"> </w:t>
      </w:r>
      <w:proofErr w:type="spellStart"/>
      <w:r>
        <w:rPr>
          <w:b/>
          <w:sz w:val="22"/>
          <w:szCs w:val="22"/>
        </w:rPr>
        <w:t>characteristics</w:t>
      </w:r>
      <w:proofErr w:type="spellEnd"/>
    </w:p>
    <w:p w14:paraId="51DB748A" w14:textId="77777777" w:rsidR="00E255F4" w:rsidRDefault="00E255F4">
      <w:pPr>
        <w:pStyle w:val="Prrafodelista"/>
        <w:numPr>
          <w:ilvl w:val="1"/>
          <w:numId w:val="63"/>
        </w:numPr>
        <w:spacing w:after="120" w:line="360" w:lineRule="auto"/>
        <w:rPr>
          <w:b/>
          <w:vanish/>
          <w:color w:val="000000"/>
          <w:sz w:val="22"/>
          <w:szCs w:val="22"/>
          <w:lang w:val="es-ES"/>
        </w:rPr>
      </w:pPr>
    </w:p>
    <w:p w14:paraId="6B12BC14" w14:textId="77777777" w:rsidR="00E255F4" w:rsidRDefault="00000000">
      <w:pPr>
        <w:pStyle w:val="Prrafodelista"/>
        <w:numPr>
          <w:ilvl w:val="2"/>
          <w:numId w:val="4"/>
        </w:numPr>
        <w:spacing w:after="120"/>
        <w:ind w:left="709" w:hanging="709"/>
        <w:rPr>
          <w:color w:val="000000"/>
          <w:sz w:val="22"/>
          <w:szCs w:val="22"/>
          <w:lang w:val="es-ES"/>
        </w:rPr>
      </w:pPr>
      <w:r>
        <w:rPr>
          <w:color w:val="000000"/>
          <w:sz w:val="22"/>
          <w:szCs w:val="22"/>
          <w:u w:val="single"/>
          <w:lang w:val="es-ES"/>
        </w:rPr>
        <w:t xml:space="preserve">Maximum </w:t>
      </w:r>
      <w:proofErr w:type="spellStart"/>
      <w:r>
        <w:rPr>
          <w:color w:val="000000"/>
          <w:sz w:val="22"/>
          <w:szCs w:val="22"/>
          <w:u w:val="single"/>
          <w:lang w:val="es-ES"/>
        </w:rPr>
        <w:t>Permissible</w:t>
      </w:r>
      <w:proofErr w:type="spellEnd"/>
      <w:r>
        <w:rPr>
          <w:color w:val="000000"/>
          <w:sz w:val="22"/>
          <w:szCs w:val="22"/>
          <w:u w:val="single"/>
          <w:lang w:val="es-ES"/>
        </w:rPr>
        <w:t xml:space="preserve"> </w:t>
      </w:r>
      <w:proofErr w:type="spellStart"/>
      <w:r>
        <w:rPr>
          <w:color w:val="000000"/>
          <w:sz w:val="22"/>
          <w:szCs w:val="22"/>
          <w:u w:val="single"/>
          <w:lang w:val="es-ES"/>
        </w:rPr>
        <w:t>Errors</w:t>
      </w:r>
      <w:proofErr w:type="spellEnd"/>
    </w:p>
    <w:p w14:paraId="48C64553" w14:textId="77777777" w:rsidR="00E255F4" w:rsidRDefault="00000000">
      <w:pPr>
        <w:pStyle w:val="Prrafodelista"/>
        <w:numPr>
          <w:ilvl w:val="0"/>
          <w:numId w:val="15"/>
        </w:numPr>
        <w:spacing w:after="120"/>
        <w:ind w:left="1134" w:hanging="425"/>
        <w:jc w:val="both"/>
        <w:rPr>
          <w:color w:val="000000"/>
          <w:sz w:val="22"/>
          <w:szCs w:val="22"/>
          <w:lang w:val="es-ES"/>
        </w:rPr>
      </w:pPr>
      <w:r>
        <w:rPr>
          <w:color w:val="000000"/>
          <w:sz w:val="22"/>
          <w:szCs w:val="22"/>
          <w:lang w:val="es-ES"/>
        </w:rPr>
        <w:t xml:space="preserve">The </w:t>
      </w:r>
      <w:proofErr w:type="spellStart"/>
      <w:r>
        <w:rPr>
          <w:color w:val="000000"/>
          <w:sz w:val="22"/>
          <w:szCs w:val="22"/>
          <w:lang w:val="es-ES"/>
        </w:rPr>
        <w:t>maximum</w:t>
      </w:r>
      <w:proofErr w:type="spellEnd"/>
      <w:r>
        <w:rPr>
          <w:color w:val="000000"/>
          <w:sz w:val="22"/>
          <w:szCs w:val="22"/>
          <w:lang w:val="es-ES"/>
        </w:rPr>
        <w:t xml:space="preserve"> </w:t>
      </w:r>
      <w:proofErr w:type="spellStart"/>
      <w:r>
        <w:rPr>
          <w:color w:val="000000"/>
          <w:sz w:val="22"/>
          <w:szCs w:val="22"/>
          <w:lang w:val="es-ES"/>
        </w:rPr>
        <w:t>permissible</w:t>
      </w:r>
      <w:proofErr w:type="spellEnd"/>
      <w:r>
        <w:rPr>
          <w:color w:val="000000"/>
          <w:sz w:val="22"/>
          <w:szCs w:val="22"/>
          <w:lang w:val="es-ES"/>
        </w:rPr>
        <w:t xml:space="preserve"> error in </w:t>
      </w:r>
      <w:proofErr w:type="spellStart"/>
      <w:r>
        <w:rPr>
          <w:color w:val="000000"/>
          <w:sz w:val="22"/>
          <w:szCs w:val="22"/>
          <w:lang w:val="es-ES"/>
        </w:rPr>
        <w:t>the</w:t>
      </w:r>
      <w:proofErr w:type="spellEnd"/>
      <w:r>
        <w:rPr>
          <w:color w:val="000000"/>
          <w:sz w:val="22"/>
          <w:szCs w:val="22"/>
          <w:lang w:val="es-ES"/>
        </w:rPr>
        <w:t xml:space="preserve"> </w:t>
      </w:r>
      <w:proofErr w:type="spellStart"/>
      <w:r>
        <w:rPr>
          <w:color w:val="000000"/>
          <w:sz w:val="22"/>
          <w:szCs w:val="22"/>
          <w:lang w:val="es-ES"/>
        </w:rPr>
        <w:t>lower</w:t>
      </w:r>
      <w:proofErr w:type="spellEnd"/>
      <w:r>
        <w:rPr>
          <w:color w:val="000000"/>
          <w:sz w:val="22"/>
          <w:szCs w:val="22"/>
          <w:lang w:val="es-ES"/>
        </w:rPr>
        <w:t xml:space="preserve"> </w:t>
      </w:r>
      <w:proofErr w:type="spellStart"/>
      <w:r>
        <w:rPr>
          <w:color w:val="000000"/>
          <w:sz w:val="22"/>
          <w:szCs w:val="22"/>
          <w:lang w:val="es-ES"/>
        </w:rPr>
        <w:t>zone</w:t>
      </w:r>
      <w:proofErr w:type="spellEnd"/>
      <w:r>
        <w:rPr>
          <w:color w:val="000000"/>
          <w:sz w:val="22"/>
          <w:szCs w:val="22"/>
          <w:lang w:val="es-ES"/>
        </w:rPr>
        <w:t xml:space="preserve">, </w:t>
      </w:r>
      <w:proofErr w:type="spellStart"/>
      <w:r>
        <w:rPr>
          <w:color w:val="000000"/>
          <w:sz w:val="22"/>
          <w:szCs w:val="22"/>
          <w:lang w:val="es-ES"/>
        </w:rPr>
        <w:t>between</w:t>
      </w:r>
      <w:proofErr w:type="spellEnd"/>
      <w:r>
        <w:rPr>
          <w:color w:val="000000"/>
          <w:sz w:val="22"/>
          <w:szCs w:val="22"/>
          <w:lang w:val="es-ES"/>
        </w:rPr>
        <w:t xml:space="preserve"> Q1 inclusive and Q2 exclusive, </w:t>
      </w:r>
      <w:proofErr w:type="spellStart"/>
      <w:r>
        <w:rPr>
          <w:color w:val="000000"/>
          <w:sz w:val="22"/>
          <w:szCs w:val="22"/>
          <w:lang w:val="es-ES"/>
        </w:rPr>
        <w:t>is</w:t>
      </w:r>
      <w:proofErr w:type="spellEnd"/>
      <w:r>
        <w:rPr>
          <w:color w:val="000000"/>
          <w:sz w:val="22"/>
          <w:szCs w:val="22"/>
          <w:lang w:val="es-ES"/>
        </w:rPr>
        <w:t xml:space="preserve"> +/- 5% (</w:t>
      </w:r>
      <w:proofErr w:type="spellStart"/>
      <w:r>
        <w:rPr>
          <w:color w:val="000000"/>
          <w:sz w:val="22"/>
          <w:szCs w:val="22"/>
          <w:lang w:val="es-ES"/>
        </w:rPr>
        <w:t>five</w:t>
      </w:r>
      <w:proofErr w:type="spellEnd"/>
      <w:r>
        <w:rPr>
          <w:color w:val="000000"/>
          <w:sz w:val="22"/>
          <w:szCs w:val="22"/>
          <w:lang w:val="es-ES"/>
        </w:rPr>
        <w:t xml:space="preserve"> </w:t>
      </w:r>
      <w:proofErr w:type="spellStart"/>
      <w:r>
        <w:rPr>
          <w:color w:val="000000"/>
          <w:sz w:val="22"/>
          <w:szCs w:val="22"/>
          <w:lang w:val="es-ES"/>
        </w:rPr>
        <w:t>percent</w:t>
      </w:r>
      <w:proofErr w:type="spellEnd"/>
      <w:r>
        <w:rPr>
          <w:color w:val="000000"/>
          <w:sz w:val="22"/>
          <w:szCs w:val="22"/>
          <w:lang w:val="es-ES"/>
        </w:rPr>
        <w:t xml:space="preserve"> in absolute </w:t>
      </w:r>
      <w:proofErr w:type="spellStart"/>
      <w:r>
        <w:rPr>
          <w:color w:val="000000"/>
          <w:sz w:val="22"/>
          <w:szCs w:val="22"/>
          <w:lang w:val="es-ES"/>
        </w:rPr>
        <w:t>value</w:t>
      </w:r>
      <w:proofErr w:type="spellEnd"/>
      <w:r>
        <w:rPr>
          <w:color w:val="000000"/>
          <w:sz w:val="22"/>
          <w:szCs w:val="22"/>
          <w:lang w:val="es-ES"/>
        </w:rPr>
        <w:t>).</w:t>
      </w:r>
    </w:p>
    <w:p w14:paraId="795E56F1" w14:textId="77777777" w:rsidR="00E255F4" w:rsidRDefault="00000000">
      <w:pPr>
        <w:pStyle w:val="Prrafodelista"/>
        <w:numPr>
          <w:ilvl w:val="0"/>
          <w:numId w:val="15"/>
        </w:numPr>
        <w:spacing w:after="120"/>
        <w:ind w:left="1134" w:hanging="425"/>
        <w:jc w:val="both"/>
        <w:rPr>
          <w:color w:val="000000"/>
          <w:sz w:val="22"/>
          <w:szCs w:val="22"/>
          <w:lang w:val="es-ES"/>
        </w:rPr>
      </w:pPr>
      <w:r>
        <w:rPr>
          <w:color w:val="000000"/>
          <w:sz w:val="22"/>
          <w:szCs w:val="22"/>
          <w:lang w:val="es-ES"/>
        </w:rPr>
        <w:t xml:space="preserve">The </w:t>
      </w:r>
      <w:proofErr w:type="spellStart"/>
      <w:r>
        <w:rPr>
          <w:color w:val="000000"/>
          <w:sz w:val="22"/>
          <w:szCs w:val="22"/>
          <w:lang w:val="es-ES"/>
        </w:rPr>
        <w:t>maximum</w:t>
      </w:r>
      <w:proofErr w:type="spellEnd"/>
      <w:r>
        <w:rPr>
          <w:color w:val="000000"/>
          <w:sz w:val="22"/>
          <w:szCs w:val="22"/>
          <w:lang w:val="es-ES"/>
        </w:rPr>
        <w:t xml:space="preserve"> </w:t>
      </w:r>
      <w:proofErr w:type="spellStart"/>
      <w:r>
        <w:rPr>
          <w:color w:val="000000"/>
          <w:sz w:val="22"/>
          <w:szCs w:val="22"/>
          <w:lang w:val="es-ES"/>
        </w:rPr>
        <w:t>permissible</w:t>
      </w:r>
      <w:proofErr w:type="spellEnd"/>
      <w:r>
        <w:rPr>
          <w:color w:val="000000"/>
          <w:sz w:val="22"/>
          <w:szCs w:val="22"/>
          <w:lang w:val="es-ES"/>
        </w:rPr>
        <w:t xml:space="preserve"> error in </w:t>
      </w:r>
      <w:proofErr w:type="spellStart"/>
      <w:r>
        <w:rPr>
          <w:color w:val="000000"/>
          <w:sz w:val="22"/>
          <w:szCs w:val="22"/>
          <w:lang w:val="es-ES"/>
        </w:rPr>
        <w:t>the</w:t>
      </w:r>
      <w:proofErr w:type="spellEnd"/>
      <w:r>
        <w:rPr>
          <w:color w:val="000000"/>
          <w:sz w:val="22"/>
          <w:szCs w:val="22"/>
          <w:lang w:val="es-ES"/>
        </w:rPr>
        <w:t xml:space="preserve"> </w:t>
      </w:r>
      <w:proofErr w:type="spellStart"/>
      <w:r>
        <w:rPr>
          <w:color w:val="000000"/>
          <w:sz w:val="22"/>
          <w:szCs w:val="22"/>
          <w:lang w:val="es-ES"/>
        </w:rPr>
        <w:t>upper</w:t>
      </w:r>
      <w:proofErr w:type="spellEnd"/>
      <w:r>
        <w:rPr>
          <w:color w:val="000000"/>
          <w:sz w:val="22"/>
          <w:szCs w:val="22"/>
          <w:lang w:val="es-ES"/>
        </w:rPr>
        <w:t xml:space="preserve"> </w:t>
      </w:r>
      <w:proofErr w:type="spellStart"/>
      <w:r>
        <w:rPr>
          <w:color w:val="000000"/>
          <w:sz w:val="22"/>
          <w:szCs w:val="22"/>
          <w:lang w:val="es-ES"/>
        </w:rPr>
        <w:t>zone</w:t>
      </w:r>
      <w:proofErr w:type="spellEnd"/>
      <w:r>
        <w:rPr>
          <w:color w:val="000000"/>
          <w:sz w:val="22"/>
          <w:szCs w:val="22"/>
          <w:lang w:val="es-ES"/>
        </w:rPr>
        <w:t xml:space="preserve">, </w:t>
      </w:r>
      <w:proofErr w:type="spellStart"/>
      <w:r>
        <w:rPr>
          <w:color w:val="000000"/>
          <w:sz w:val="22"/>
          <w:szCs w:val="22"/>
          <w:lang w:val="es-ES"/>
        </w:rPr>
        <w:t>between</w:t>
      </w:r>
      <w:proofErr w:type="spellEnd"/>
      <w:r>
        <w:rPr>
          <w:color w:val="000000"/>
          <w:sz w:val="22"/>
          <w:szCs w:val="22"/>
          <w:lang w:val="es-ES"/>
        </w:rPr>
        <w:t xml:space="preserve"> Q2 inclusive and Q4 inclusive, </w:t>
      </w:r>
      <w:proofErr w:type="spellStart"/>
      <w:r>
        <w:rPr>
          <w:color w:val="000000"/>
          <w:sz w:val="22"/>
          <w:szCs w:val="22"/>
          <w:lang w:val="es-ES"/>
        </w:rPr>
        <w:t>is</w:t>
      </w:r>
      <w:proofErr w:type="spellEnd"/>
      <w:r>
        <w:rPr>
          <w:color w:val="000000"/>
          <w:sz w:val="22"/>
          <w:szCs w:val="22"/>
          <w:lang w:val="es-ES"/>
        </w:rPr>
        <w:t xml:space="preserve"> +/- 2% (</w:t>
      </w:r>
      <w:proofErr w:type="spellStart"/>
      <w:r>
        <w:rPr>
          <w:color w:val="000000"/>
          <w:sz w:val="22"/>
          <w:szCs w:val="22"/>
          <w:lang w:val="es-ES"/>
        </w:rPr>
        <w:t>two</w:t>
      </w:r>
      <w:proofErr w:type="spellEnd"/>
      <w:r>
        <w:rPr>
          <w:color w:val="000000"/>
          <w:sz w:val="22"/>
          <w:szCs w:val="22"/>
          <w:lang w:val="es-ES"/>
        </w:rPr>
        <w:t xml:space="preserve"> </w:t>
      </w:r>
      <w:proofErr w:type="spellStart"/>
      <w:r>
        <w:rPr>
          <w:color w:val="000000"/>
          <w:sz w:val="22"/>
          <w:szCs w:val="22"/>
          <w:lang w:val="es-ES"/>
        </w:rPr>
        <w:t>percent</w:t>
      </w:r>
      <w:proofErr w:type="spellEnd"/>
      <w:r>
        <w:rPr>
          <w:color w:val="000000"/>
          <w:sz w:val="22"/>
          <w:szCs w:val="22"/>
          <w:lang w:val="es-ES"/>
        </w:rPr>
        <w:t xml:space="preserve"> in absolute </w:t>
      </w:r>
      <w:proofErr w:type="spellStart"/>
      <w:r>
        <w:rPr>
          <w:color w:val="000000"/>
          <w:sz w:val="22"/>
          <w:szCs w:val="22"/>
          <w:lang w:val="es-ES"/>
        </w:rPr>
        <w:t>value</w:t>
      </w:r>
      <w:proofErr w:type="spellEnd"/>
      <w:r>
        <w:rPr>
          <w:color w:val="000000"/>
          <w:sz w:val="22"/>
          <w:szCs w:val="22"/>
          <w:lang w:val="es-ES"/>
        </w:rPr>
        <w:t>).</w:t>
      </w:r>
    </w:p>
    <w:p w14:paraId="333A5AEE" w14:textId="77777777" w:rsidR="00E255F4" w:rsidRDefault="00000000">
      <w:pPr>
        <w:pStyle w:val="Prrafodelista"/>
        <w:numPr>
          <w:ilvl w:val="2"/>
          <w:numId w:val="4"/>
        </w:numPr>
        <w:spacing w:after="120"/>
        <w:ind w:left="709" w:hanging="709"/>
      </w:pPr>
      <w:proofErr w:type="spellStart"/>
      <w:r>
        <w:rPr>
          <w:color w:val="000000"/>
          <w:sz w:val="22"/>
          <w:szCs w:val="22"/>
          <w:u w:val="single"/>
          <w:lang w:val="es-ES"/>
        </w:rPr>
        <w:t>Definition</w:t>
      </w:r>
      <w:proofErr w:type="spellEnd"/>
      <w:r>
        <w:rPr>
          <w:color w:val="000000"/>
          <w:sz w:val="22"/>
          <w:szCs w:val="22"/>
          <w:u w:val="single"/>
          <w:lang w:val="es-ES"/>
        </w:rPr>
        <w:t xml:space="preserve"> </w:t>
      </w:r>
      <w:proofErr w:type="spellStart"/>
      <w:r>
        <w:rPr>
          <w:color w:val="000000"/>
          <w:sz w:val="22"/>
          <w:szCs w:val="22"/>
          <w:u w:val="single"/>
          <w:lang w:val="es-ES"/>
        </w:rPr>
        <w:t>of</w:t>
      </w:r>
      <w:proofErr w:type="spellEnd"/>
      <w:r>
        <w:rPr>
          <w:color w:val="000000"/>
          <w:sz w:val="22"/>
          <w:szCs w:val="22"/>
          <w:u w:val="single"/>
          <w:lang w:val="es-ES"/>
        </w:rPr>
        <w:t xml:space="preserve"> Flow Rates</w:t>
      </w:r>
      <w:r>
        <w:rPr>
          <w:color w:val="000000"/>
          <w:sz w:val="22"/>
          <w:szCs w:val="22"/>
          <w:lang w:val="es-ES"/>
        </w:rPr>
        <w:t>.</w:t>
      </w:r>
    </w:p>
    <w:p w14:paraId="60BF2E35" w14:textId="77777777" w:rsidR="00E255F4" w:rsidRDefault="00000000">
      <w:pPr>
        <w:pStyle w:val="Prrafodelista"/>
        <w:tabs>
          <w:tab w:val="left" w:pos="-720"/>
          <w:tab w:val="left" w:pos="142"/>
          <w:tab w:val="left" w:pos="709"/>
        </w:tabs>
        <w:spacing w:after="120"/>
        <w:ind w:left="709"/>
        <w:jc w:val="both"/>
        <w:rPr>
          <w:color w:val="000000"/>
          <w:sz w:val="22"/>
          <w:szCs w:val="22"/>
          <w:lang w:val="es-ES"/>
        </w:rPr>
      </w:pPr>
      <w:r>
        <w:rPr>
          <w:color w:val="000000"/>
          <w:sz w:val="22"/>
          <w:szCs w:val="22"/>
          <w:lang w:val="es-ES"/>
        </w:rPr>
        <w:t xml:space="preserve">The </w:t>
      </w:r>
      <w:proofErr w:type="spellStart"/>
      <w:r>
        <w:rPr>
          <w:color w:val="000000"/>
          <w:sz w:val="22"/>
          <w:szCs w:val="22"/>
          <w:lang w:val="es-ES"/>
        </w:rPr>
        <w:t>meters</w:t>
      </w:r>
      <w:proofErr w:type="spellEnd"/>
      <w:r>
        <w:rPr>
          <w:color w:val="000000"/>
          <w:sz w:val="22"/>
          <w:szCs w:val="22"/>
          <w:lang w:val="es-ES"/>
        </w:rPr>
        <w:t xml:space="preserve"> </w:t>
      </w:r>
      <w:proofErr w:type="spellStart"/>
      <w:r>
        <w:rPr>
          <w:color w:val="000000"/>
          <w:sz w:val="22"/>
          <w:szCs w:val="22"/>
          <w:lang w:val="es-ES"/>
        </w:rPr>
        <w:t>must</w:t>
      </w:r>
      <w:proofErr w:type="spellEnd"/>
      <w:r>
        <w:rPr>
          <w:color w:val="000000"/>
          <w:sz w:val="22"/>
          <w:szCs w:val="22"/>
          <w:lang w:val="es-ES"/>
        </w:rPr>
        <w:t xml:space="preserve"> </w:t>
      </w:r>
      <w:proofErr w:type="spellStart"/>
      <w:r>
        <w:rPr>
          <w:color w:val="000000"/>
          <w:sz w:val="22"/>
          <w:szCs w:val="22"/>
          <w:lang w:val="es-ES"/>
        </w:rPr>
        <w:t>comply</w:t>
      </w:r>
      <w:proofErr w:type="spellEnd"/>
      <w:r>
        <w:rPr>
          <w:color w:val="000000"/>
          <w:sz w:val="22"/>
          <w:szCs w:val="22"/>
          <w:lang w:val="es-ES"/>
        </w:rPr>
        <w:t xml:space="preserve"> </w:t>
      </w:r>
      <w:proofErr w:type="spellStart"/>
      <w:r>
        <w:rPr>
          <w:color w:val="000000"/>
          <w:sz w:val="22"/>
          <w:szCs w:val="22"/>
          <w:lang w:val="es-ES"/>
        </w:rPr>
        <w:t>with</w:t>
      </w:r>
      <w:proofErr w:type="spellEnd"/>
      <w:r>
        <w:rPr>
          <w:color w:val="000000"/>
          <w:sz w:val="22"/>
          <w:szCs w:val="22"/>
          <w:lang w:val="es-ES"/>
        </w:rPr>
        <w:t xml:space="preserve"> </w:t>
      </w:r>
      <w:proofErr w:type="spellStart"/>
      <w:r>
        <w:rPr>
          <w:color w:val="000000"/>
          <w:sz w:val="22"/>
          <w:szCs w:val="22"/>
          <w:lang w:val="es-ES"/>
        </w:rPr>
        <w:t>the</w:t>
      </w:r>
      <w:proofErr w:type="spellEnd"/>
      <w:r>
        <w:rPr>
          <w:color w:val="000000"/>
          <w:sz w:val="22"/>
          <w:szCs w:val="22"/>
          <w:lang w:val="es-ES"/>
        </w:rPr>
        <w:t xml:space="preserve"> </w:t>
      </w:r>
      <w:proofErr w:type="spellStart"/>
      <w:r>
        <w:rPr>
          <w:color w:val="000000"/>
          <w:sz w:val="22"/>
          <w:szCs w:val="22"/>
          <w:lang w:val="es-ES"/>
        </w:rPr>
        <w:t>maximum</w:t>
      </w:r>
      <w:proofErr w:type="spellEnd"/>
      <w:r>
        <w:rPr>
          <w:color w:val="000000"/>
          <w:sz w:val="22"/>
          <w:szCs w:val="22"/>
          <w:lang w:val="es-ES"/>
        </w:rPr>
        <w:t xml:space="preserve"> </w:t>
      </w:r>
      <w:proofErr w:type="spellStart"/>
      <w:r>
        <w:rPr>
          <w:color w:val="000000"/>
          <w:sz w:val="22"/>
          <w:szCs w:val="22"/>
          <w:lang w:val="es-ES"/>
        </w:rPr>
        <w:t>values</w:t>
      </w:r>
      <w:proofErr w:type="spellEnd"/>
      <w:r>
        <w:rPr>
          <w:color w:val="000000"/>
          <w:sz w:val="22"/>
          <w:szCs w:val="22"/>
          <w:lang w:val="es-ES"/>
        </w:rPr>
        <w:t xml:space="preserve"> ​​</w:t>
      </w:r>
      <w:proofErr w:type="spellStart"/>
      <w:r>
        <w:rPr>
          <w:color w:val="000000"/>
          <w:sz w:val="22"/>
          <w:szCs w:val="22"/>
          <w:lang w:val="es-ES"/>
        </w:rPr>
        <w:t>for</w:t>
      </w:r>
      <w:proofErr w:type="spellEnd"/>
      <w:r>
        <w:rPr>
          <w:color w:val="000000"/>
          <w:sz w:val="22"/>
          <w:szCs w:val="22"/>
          <w:lang w:val="es-ES"/>
        </w:rPr>
        <w:t xml:space="preserve"> </w:t>
      </w:r>
      <w:proofErr w:type="spellStart"/>
      <w:r>
        <w:rPr>
          <w:color w:val="000000"/>
          <w:sz w:val="22"/>
          <w:szCs w:val="22"/>
          <w:lang w:val="es-ES"/>
        </w:rPr>
        <w:t>the</w:t>
      </w:r>
      <w:proofErr w:type="spellEnd"/>
      <w:r>
        <w:rPr>
          <w:color w:val="000000"/>
          <w:sz w:val="22"/>
          <w:szCs w:val="22"/>
          <w:lang w:val="es-ES"/>
        </w:rPr>
        <w:t xml:space="preserve"> </w:t>
      </w:r>
      <w:proofErr w:type="spellStart"/>
      <w:r>
        <w:rPr>
          <w:color w:val="000000"/>
          <w:sz w:val="22"/>
          <w:szCs w:val="22"/>
          <w:lang w:val="es-ES"/>
        </w:rPr>
        <w:t>minimum</w:t>
      </w:r>
      <w:proofErr w:type="spellEnd"/>
      <w:r>
        <w:rPr>
          <w:color w:val="000000"/>
          <w:sz w:val="22"/>
          <w:szCs w:val="22"/>
          <w:lang w:val="es-ES"/>
        </w:rPr>
        <w:t xml:space="preserve"> (Q1) and </w:t>
      </w:r>
      <w:proofErr w:type="spellStart"/>
      <w:r>
        <w:rPr>
          <w:color w:val="000000"/>
          <w:sz w:val="22"/>
          <w:szCs w:val="22"/>
          <w:lang w:val="es-ES"/>
        </w:rPr>
        <w:t>transition</w:t>
      </w:r>
      <w:proofErr w:type="spellEnd"/>
      <w:r>
        <w:rPr>
          <w:color w:val="000000"/>
          <w:sz w:val="22"/>
          <w:szCs w:val="22"/>
          <w:lang w:val="es-ES"/>
        </w:rPr>
        <w:t xml:space="preserve"> (Q2) </w:t>
      </w:r>
      <w:proofErr w:type="spellStart"/>
      <w:r>
        <w:rPr>
          <w:color w:val="000000"/>
          <w:sz w:val="22"/>
          <w:szCs w:val="22"/>
          <w:lang w:val="es-ES"/>
        </w:rPr>
        <w:t>flow</w:t>
      </w:r>
      <w:proofErr w:type="spellEnd"/>
      <w:r>
        <w:rPr>
          <w:color w:val="000000"/>
          <w:sz w:val="22"/>
          <w:szCs w:val="22"/>
          <w:lang w:val="es-ES"/>
        </w:rPr>
        <w:t xml:space="preserve"> </w:t>
      </w:r>
      <w:proofErr w:type="spellStart"/>
      <w:r>
        <w:rPr>
          <w:color w:val="000000"/>
          <w:sz w:val="22"/>
          <w:szCs w:val="22"/>
          <w:lang w:val="es-ES"/>
        </w:rPr>
        <w:t>rates</w:t>
      </w:r>
      <w:proofErr w:type="spellEnd"/>
      <w:r>
        <w:rPr>
          <w:color w:val="000000"/>
          <w:sz w:val="22"/>
          <w:szCs w:val="22"/>
          <w:lang w:val="es-ES"/>
        </w:rPr>
        <w:t xml:space="preserve">, and </w:t>
      </w:r>
      <w:proofErr w:type="spellStart"/>
      <w:r>
        <w:rPr>
          <w:color w:val="000000"/>
          <w:sz w:val="22"/>
          <w:szCs w:val="22"/>
          <w:lang w:val="es-ES"/>
        </w:rPr>
        <w:t>with</w:t>
      </w:r>
      <w:proofErr w:type="spellEnd"/>
      <w:r>
        <w:rPr>
          <w:color w:val="000000"/>
          <w:sz w:val="22"/>
          <w:szCs w:val="22"/>
          <w:lang w:val="es-ES"/>
        </w:rPr>
        <w:t xml:space="preserve"> </w:t>
      </w:r>
      <w:proofErr w:type="spellStart"/>
      <w:r>
        <w:rPr>
          <w:color w:val="000000"/>
          <w:sz w:val="22"/>
          <w:szCs w:val="22"/>
          <w:lang w:val="es-ES"/>
        </w:rPr>
        <w:t>the</w:t>
      </w:r>
      <w:proofErr w:type="spellEnd"/>
      <w:r>
        <w:rPr>
          <w:color w:val="000000"/>
          <w:sz w:val="22"/>
          <w:szCs w:val="22"/>
          <w:lang w:val="es-ES"/>
        </w:rPr>
        <w:t xml:space="preserve"> </w:t>
      </w:r>
      <w:proofErr w:type="spellStart"/>
      <w:r>
        <w:rPr>
          <w:color w:val="000000"/>
          <w:sz w:val="22"/>
          <w:szCs w:val="22"/>
          <w:lang w:val="es-ES"/>
        </w:rPr>
        <w:t>minimum</w:t>
      </w:r>
      <w:proofErr w:type="spellEnd"/>
      <w:r>
        <w:rPr>
          <w:color w:val="000000"/>
          <w:sz w:val="22"/>
          <w:szCs w:val="22"/>
          <w:lang w:val="es-ES"/>
        </w:rPr>
        <w:t xml:space="preserve"> </w:t>
      </w:r>
      <w:proofErr w:type="spellStart"/>
      <w:r>
        <w:rPr>
          <w:color w:val="000000"/>
          <w:sz w:val="22"/>
          <w:szCs w:val="22"/>
          <w:lang w:val="es-ES"/>
        </w:rPr>
        <w:t>values</w:t>
      </w:r>
      <w:proofErr w:type="spellEnd"/>
      <w:r>
        <w:rPr>
          <w:color w:val="000000"/>
          <w:sz w:val="22"/>
          <w:szCs w:val="22"/>
          <w:lang w:val="es-ES"/>
        </w:rPr>
        <w:t xml:space="preserve"> ​​</w:t>
      </w:r>
      <w:proofErr w:type="spellStart"/>
      <w:r>
        <w:rPr>
          <w:color w:val="000000"/>
          <w:sz w:val="22"/>
          <w:szCs w:val="22"/>
          <w:lang w:val="es-ES"/>
        </w:rPr>
        <w:t>for</w:t>
      </w:r>
      <w:proofErr w:type="spellEnd"/>
      <w:r>
        <w:rPr>
          <w:color w:val="000000"/>
          <w:sz w:val="22"/>
          <w:szCs w:val="22"/>
          <w:lang w:val="es-ES"/>
        </w:rPr>
        <w:t xml:space="preserve"> </w:t>
      </w:r>
      <w:proofErr w:type="spellStart"/>
      <w:r>
        <w:rPr>
          <w:color w:val="000000"/>
          <w:sz w:val="22"/>
          <w:szCs w:val="22"/>
          <w:lang w:val="es-ES"/>
        </w:rPr>
        <w:t>the</w:t>
      </w:r>
      <w:proofErr w:type="spellEnd"/>
      <w:r>
        <w:rPr>
          <w:color w:val="000000"/>
          <w:sz w:val="22"/>
          <w:szCs w:val="22"/>
          <w:lang w:val="es-ES"/>
        </w:rPr>
        <w:t xml:space="preserve"> nominal (Q3) and </w:t>
      </w:r>
      <w:proofErr w:type="spellStart"/>
      <w:r>
        <w:rPr>
          <w:color w:val="000000"/>
          <w:sz w:val="22"/>
          <w:szCs w:val="22"/>
          <w:lang w:val="es-ES"/>
        </w:rPr>
        <w:t>maximum</w:t>
      </w:r>
      <w:proofErr w:type="spellEnd"/>
      <w:r>
        <w:rPr>
          <w:color w:val="000000"/>
          <w:sz w:val="22"/>
          <w:szCs w:val="22"/>
          <w:lang w:val="es-ES"/>
        </w:rPr>
        <w:t xml:space="preserve"> (Q4) </w:t>
      </w:r>
      <w:proofErr w:type="spellStart"/>
      <w:r>
        <w:rPr>
          <w:color w:val="000000"/>
          <w:sz w:val="22"/>
          <w:szCs w:val="22"/>
          <w:lang w:val="es-ES"/>
        </w:rPr>
        <w:t>flow</w:t>
      </w:r>
      <w:proofErr w:type="spellEnd"/>
      <w:r>
        <w:rPr>
          <w:color w:val="000000"/>
          <w:sz w:val="22"/>
          <w:szCs w:val="22"/>
          <w:lang w:val="es-ES"/>
        </w:rPr>
        <w:t xml:space="preserve"> </w:t>
      </w:r>
      <w:proofErr w:type="spellStart"/>
      <w:r>
        <w:rPr>
          <w:color w:val="000000"/>
          <w:sz w:val="22"/>
          <w:szCs w:val="22"/>
          <w:lang w:val="es-ES"/>
        </w:rPr>
        <w:t>rates</w:t>
      </w:r>
      <w:proofErr w:type="spellEnd"/>
      <w:r>
        <w:rPr>
          <w:color w:val="000000"/>
          <w:sz w:val="22"/>
          <w:szCs w:val="22"/>
          <w:lang w:val="es-ES"/>
        </w:rPr>
        <w:t xml:space="preserve">, </w:t>
      </w:r>
      <w:proofErr w:type="spellStart"/>
      <w:r>
        <w:rPr>
          <w:color w:val="000000"/>
          <w:sz w:val="22"/>
          <w:szCs w:val="22"/>
          <w:lang w:val="es-ES"/>
        </w:rPr>
        <w:t>which</w:t>
      </w:r>
      <w:proofErr w:type="spellEnd"/>
      <w:r>
        <w:rPr>
          <w:color w:val="000000"/>
          <w:sz w:val="22"/>
          <w:szCs w:val="22"/>
          <w:lang w:val="es-ES"/>
        </w:rPr>
        <w:t xml:space="preserve"> </w:t>
      </w:r>
      <w:proofErr w:type="spellStart"/>
      <w:r>
        <w:rPr>
          <w:color w:val="000000"/>
          <w:sz w:val="22"/>
          <w:szCs w:val="22"/>
          <w:lang w:val="es-ES"/>
        </w:rPr>
        <w:t>correspond</w:t>
      </w:r>
      <w:proofErr w:type="spellEnd"/>
      <w:r>
        <w:rPr>
          <w:color w:val="000000"/>
          <w:sz w:val="22"/>
          <w:szCs w:val="22"/>
          <w:lang w:val="es-ES"/>
        </w:rPr>
        <w:t xml:space="preserve"> </w:t>
      </w:r>
      <w:proofErr w:type="spellStart"/>
      <w:r>
        <w:rPr>
          <w:color w:val="000000"/>
          <w:sz w:val="22"/>
          <w:szCs w:val="22"/>
          <w:lang w:val="es-ES"/>
        </w:rPr>
        <w:t>to</w:t>
      </w:r>
      <w:proofErr w:type="spellEnd"/>
      <w:r>
        <w:rPr>
          <w:color w:val="000000"/>
          <w:sz w:val="22"/>
          <w:szCs w:val="22"/>
          <w:lang w:val="es-ES"/>
        </w:rPr>
        <w:t xml:space="preserve"> </w:t>
      </w:r>
      <w:proofErr w:type="spellStart"/>
      <w:r>
        <w:rPr>
          <w:color w:val="000000"/>
          <w:sz w:val="22"/>
          <w:szCs w:val="22"/>
          <w:lang w:val="es-ES"/>
        </w:rPr>
        <w:t>values</w:t>
      </w:r>
      <w:proofErr w:type="spellEnd"/>
      <w:r>
        <w:rPr>
          <w:color w:val="000000"/>
          <w:sz w:val="22"/>
          <w:szCs w:val="22"/>
          <w:lang w:val="es-ES"/>
        </w:rPr>
        <w:t xml:space="preserve"> ​​</w:t>
      </w:r>
      <w:proofErr w:type="spellStart"/>
      <w:r>
        <w:rPr>
          <w:color w:val="000000"/>
          <w:sz w:val="22"/>
          <w:szCs w:val="22"/>
          <w:lang w:val="es-ES"/>
        </w:rPr>
        <w:t>of</w:t>
      </w:r>
      <w:proofErr w:type="spellEnd"/>
      <w:r>
        <w:rPr>
          <w:color w:val="000000"/>
          <w:sz w:val="22"/>
          <w:szCs w:val="22"/>
          <w:lang w:val="es-ES"/>
        </w:rPr>
        <w:t xml:space="preserve"> </w:t>
      </w:r>
      <w:proofErr w:type="spellStart"/>
      <w:proofErr w:type="gramStart"/>
      <w:r>
        <w:rPr>
          <w:color w:val="000000"/>
          <w:sz w:val="22"/>
          <w:szCs w:val="22"/>
          <w:lang w:val="es-ES"/>
        </w:rPr>
        <w:t>an</w:t>
      </w:r>
      <w:proofErr w:type="spellEnd"/>
      <w:r>
        <w:rPr>
          <w:color w:val="000000"/>
          <w:sz w:val="22"/>
          <w:szCs w:val="22"/>
          <w:lang w:val="es-ES"/>
        </w:rPr>
        <w:t xml:space="preserve"> R</w:t>
      </w:r>
      <w:proofErr w:type="gramEnd"/>
      <w:r>
        <w:rPr>
          <w:color w:val="000000"/>
          <w:sz w:val="22"/>
          <w:szCs w:val="22"/>
          <w:lang w:val="es-ES"/>
        </w:rPr>
        <w:t xml:space="preserve">=400 </w:t>
      </w:r>
      <w:proofErr w:type="spellStart"/>
      <w:r>
        <w:rPr>
          <w:color w:val="000000"/>
          <w:sz w:val="22"/>
          <w:szCs w:val="22"/>
          <w:lang w:val="es-ES"/>
        </w:rPr>
        <w:t>according</w:t>
      </w:r>
      <w:proofErr w:type="spellEnd"/>
      <w:r>
        <w:rPr>
          <w:color w:val="000000"/>
          <w:sz w:val="22"/>
          <w:szCs w:val="22"/>
          <w:lang w:val="es-ES"/>
        </w:rPr>
        <w:t xml:space="preserve"> </w:t>
      </w:r>
      <w:proofErr w:type="spellStart"/>
      <w:r>
        <w:rPr>
          <w:color w:val="000000"/>
          <w:sz w:val="22"/>
          <w:szCs w:val="22"/>
          <w:lang w:val="es-ES"/>
        </w:rPr>
        <w:t>to</w:t>
      </w:r>
      <w:proofErr w:type="spellEnd"/>
      <w:r>
        <w:rPr>
          <w:color w:val="000000"/>
          <w:sz w:val="22"/>
          <w:szCs w:val="22"/>
          <w:lang w:val="es-ES"/>
        </w:rPr>
        <w:t xml:space="preserve"> </w:t>
      </w:r>
      <w:proofErr w:type="spellStart"/>
      <w:r>
        <w:rPr>
          <w:color w:val="000000"/>
          <w:sz w:val="22"/>
          <w:szCs w:val="22"/>
          <w:lang w:val="es-ES"/>
        </w:rPr>
        <w:t>the</w:t>
      </w:r>
      <w:proofErr w:type="spellEnd"/>
      <w:r>
        <w:rPr>
          <w:color w:val="000000"/>
          <w:sz w:val="22"/>
          <w:szCs w:val="22"/>
          <w:lang w:val="es-ES"/>
        </w:rPr>
        <w:t xml:space="preserve"> ISO 4064/I standard </w:t>
      </w:r>
      <w:proofErr w:type="spellStart"/>
      <w:r>
        <w:rPr>
          <w:color w:val="000000"/>
          <w:sz w:val="22"/>
          <w:szCs w:val="22"/>
          <w:lang w:val="es-ES"/>
        </w:rPr>
        <w:t>for</w:t>
      </w:r>
      <w:proofErr w:type="spellEnd"/>
      <w:r>
        <w:rPr>
          <w:color w:val="000000"/>
          <w:sz w:val="22"/>
          <w:szCs w:val="22"/>
          <w:lang w:val="es-ES"/>
        </w:rPr>
        <w:t xml:space="preserve"> </w:t>
      </w:r>
      <w:proofErr w:type="spellStart"/>
      <w:r>
        <w:rPr>
          <w:color w:val="000000"/>
          <w:sz w:val="22"/>
          <w:szCs w:val="22"/>
          <w:lang w:val="es-ES"/>
        </w:rPr>
        <w:t>cold</w:t>
      </w:r>
      <w:proofErr w:type="spellEnd"/>
      <w:r>
        <w:rPr>
          <w:color w:val="000000"/>
          <w:sz w:val="22"/>
          <w:szCs w:val="22"/>
          <w:lang w:val="es-ES"/>
        </w:rPr>
        <w:t xml:space="preserve"> </w:t>
      </w:r>
      <w:proofErr w:type="spellStart"/>
      <w:r>
        <w:rPr>
          <w:color w:val="000000"/>
          <w:sz w:val="22"/>
          <w:szCs w:val="22"/>
          <w:lang w:val="es-ES"/>
        </w:rPr>
        <w:t>water</w:t>
      </w:r>
      <w:proofErr w:type="spellEnd"/>
      <w:r>
        <w:rPr>
          <w:color w:val="000000"/>
          <w:sz w:val="22"/>
          <w:szCs w:val="22"/>
          <w:lang w:val="es-ES"/>
        </w:rPr>
        <w:t xml:space="preserve"> </w:t>
      </w:r>
      <w:proofErr w:type="spellStart"/>
      <w:r>
        <w:rPr>
          <w:color w:val="000000"/>
          <w:sz w:val="22"/>
          <w:szCs w:val="22"/>
          <w:lang w:val="es-ES"/>
        </w:rPr>
        <w:t>meters</w:t>
      </w:r>
      <w:proofErr w:type="spellEnd"/>
      <w:r>
        <w:rPr>
          <w:color w:val="000000"/>
          <w:sz w:val="22"/>
          <w:szCs w:val="22"/>
          <w:lang w:val="es-ES"/>
        </w:rPr>
        <w:t xml:space="preserve">, </w:t>
      </w:r>
      <w:proofErr w:type="spellStart"/>
      <w:r>
        <w:rPr>
          <w:color w:val="000000"/>
          <w:sz w:val="22"/>
          <w:szCs w:val="22"/>
          <w:lang w:val="es-ES"/>
        </w:rPr>
        <w:t>according</w:t>
      </w:r>
      <w:proofErr w:type="spellEnd"/>
      <w:r>
        <w:rPr>
          <w:color w:val="000000"/>
          <w:sz w:val="22"/>
          <w:szCs w:val="22"/>
          <w:lang w:val="es-ES"/>
        </w:rPr>
        <w:t xml:space="preserve"> </w:t>
      </w:r>
      <w:proofErr w:type="spellStart"/>
      <w:r>
        <w:rPr>
          <w:color w:val="000000"/>
          <w:sz w:val="22"/>
          <w:szCs w:val="22"/>
          <w:lang w:val="es-ES"/>
        </w:rPr>
        <w:t>to</w:t>
      </w:r>
      <w:proofErr w:type="spellEnd"/>
      <w:r>
        <w:rPr>
          <w:color w:val="000000"/>
          <w:sz w:val="22"/>
          <w:szCs w:val="22"/>
          <w:lang w:val="es-ES"/>
        </w:rPr>
        <w:t xml:space="preserve"> </w:t>
      </w:r>
      <w:proofErr w:type="spellStart"/>
      <w:r>
        <w:rPr>
          <w:color w:val="000000"/>
          <w:sz w:val="22"/>
          <w:szCs w:val="22"/>
          <w:lang w:val="es-ES"/>
        </w:rPr>
        <w:t>the</w:t>
      </w:r>
      <w:proofErr w:type="spellEnd"/>
      <w:r>
        <w:rPr>
          <w:color w:val="000000"/>
          <w:sz w:val="22"/>
          <w:szCs w:val="22"/>
          <w:lang w:val="es-ES"/>
        </w:rPr>
        <w:t xml:space="preserve"> </w:t>
      </w:r>
      <w:proofErr w:type="spellStart"/>
      <w:r>
        <w:rPr>
          <w:color w:val="000000"/>
          <w:sz w:val="22"/>
          <w:szCs w:val="22"/>
          <w:lang w:val="es-ES"/>
        </w:rPr>
        <w:t>following</w:t>
      </w:r>
      <w:proofErr w:type="spellEnd"/>
      <w:r>
        <w:rPr>
          <w:color w:val="000000"/>
          <w:sz w:val="22"/>
          <w:szCs w:val="22"/>
          <w:lang w:val="es-ES"/>
        </w:rPr>
        <w:t>:</w:t>
      </w:r>
    </w:p>
    <w:p w14:paraId="215C879D" w14:textId="77777777" w:rsidR="00E255F4" w:rsidRDefault="00000000">
      <w:pPr>
        <w:pStyle w:val="Prrafodelista"/>
        <w:tabs>
          <w:tab w:val="left" w:pos="-720"/>
          <w:tab w:val="left" w:pos="142"/>
          <w:tab w:val="left" w:pos="709"/>
        </w:tabs>
        <w:spacing w:after="120"/>
        <w:ind w:left="709"/>
        <w:jc w:val="center"/>
        <w:rPr>
          <w:color w:val="000000"/>
          <w:sz w:val="22"/>
          <w:szCs w:val="22"/>
          <w:lang w:val="es-ES"/>
        </w:rPr>
      </w:pPr>
      <w:r>
        <w:rPr>
          <w:noProof/>
          <w:lang w:val="es-UY" w:eastAsia="en-US"/>
        </w:rPr>
        <w:drawing>
          <wp:inline distT="0" distB="0" distL="0" distR="0" wp14:anchorId="4285AA09" wp14:editId="1CD902BF">
            <wp:extent cx="1381125" cy="1095375"/>
            <wp:effectExtent l="0" t="0" r="0" b="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32"/>
                    <a:srcRect l="-26" t="-33" r="-26" b="-33"/>
                    <a:stretch>
                      <a:fillRect/>
                    </a:stretch>
                  </pic:blipFill>
                  <pic:spPr bwMode="auto">
                    <a:xfrm>
                      <a:off x="0" y="0"/>
                      <a:ext cx="1381125" cy="1095375"/>
                    </a:xfrm>
                    <a:prstGeom prst="rect">
                      <a:avLst/>
                    </a:prstGeom>
                  </pic:spPr>
                </pic:pic>
              </a:graphicData>
            </a:graphic>
          </wp:inline>
        </w:drawing>
      </w:r>
    </w:p>
    <w:p w14:paraId="75CB5C23" w14:textId="77777777" w:rsidR="00E255F4" w:rsidRDefault="00000000">
      <w:pPr>
        <w:numPr>
          <w:ilvl w:val="2"/>
          <w:numId w:val="4"/>
        </w:numPr>
        <w:tabs>
          <w:tab w:val="left" w:pos="-720"/>
          <w:tab w:val="left" w:pos="709"/>
        </w:tabs>
        <w:spacing w:before="120" w:after="120"/>
        <w:ind w:left="709" w:hanging="709"/>
        <w:jc w:val="both"/>
        <w:rPr>
          <w:color w:val="000000"/>
          <w:sz w:val="22"/>
          <w:szCs w:val="22"/>
          <w:lang w:val="es-ES"/>
        </w:rPr>
      </w:pPr>
      <w:r>
        <w:rPr>
          <w:color w:val="000000"/>
          <w:sz w:val="22"/>
          <w:szCs w:val="22"/>
          <w:lang w:val="es-ES"/>
        </w:rPr>
        <w:t xml:space="preserve">The </w:t>
      </w:r>
      <w:proofErr w:type="spellStart"/>
      <w:r>
        <w:rPr>
          <w:color w:val="000000"/>
          <w:sz w:val="22"/>
          <w:szCs w:val="22"/>
          <w:lang w:val="es-ES"/>
        </w:rPr>
        <w:t>meters</w:t>
      </w:r>
      <w:proofErr w:type="spellEnd"/>
      <w:r>
        <w:rPr>
          <w:color w:val="000000"/>
          <w:sz w:val="22"/>
          <w:szCs w:val="22"/>
          <w:lang w:val="es-ES"/>
        </w:rPr>
        <w:t xml:space="preserve"> </w:t>
      </w:r>
      <w:proofErr w:type="spellStart"/>
      <w:r>
        <w:rPr>
          <w:color w:val="000000"/>
          <w:sz w:val="22"/>
          <w:szCs w:val="22"/>
          <w:lang w:val="es-ES"/>
        </w:rPr>
        <w:t>must</w:t>
      </w:r>
      <w:proofErr w:type="spellEnd"/>
      <w:r>
        <w:rPr>
          <w:color w:val="000000"/>
          <w:sz w:val="22"/>
          <w:szCs w:val="22"/>
          <w:lang w:val="es-ES"/>
        </w:rPr>
        <w:t xml:space="preserve"> </w:t>
      </w:r>
      <w:proofErr w:type="spellStart"/>
      <w:r>
        <w:rPr>
          <w:color w:val="000000"/>
          <w:sz w:val="22"/>
          <w:szCs w:val="22"/>
          <w:lang w:val="es-ES"/>
        </w:rPr>
        <w:t>begin</w:t>
      </w:r>
      <w:proofErr w:type="spellEnd"/>
      <w:r>
        <w:rPr>
          <w:color w:val="000000"/>
          <w:sz w:val="22"/>
          <w:szCs w:val="22"/>
          <w:lang w:val="es-ES"/>
        </w:rPr>
        <w:t xml:space="preserve"> </w:t>
      </w:r>
      <w:proofErr w:type="spellStart"/>
      <w:r>
        <w:rPr>
          <w:color w:val="000000"/>
          <w:sz w:val="22"/>
          <w:szCs w:val="22"/>
          <w:lang w:val="es-ES"/>
        </w:rPr>
        <w:t>recording</w:t>
      </w:r>
      <w:proofErr w:type="spellEnd"/>
      <w:r>
        <w:rPr>
          <w:color w:val="000000"/>
          <w:sz w:val="22"/>
          <w:szCs w:val="22"/>
          <w:lang w:val="es-ES"/>
        </w:rPr>
        <w:t xml:space="preserve"> at </w:t>
      </w:r>
      <w:proofErr w:type="spellStart"/>
      <w:r>
        <w:rPr>
          <w:color w:val="000000"/>
          <w:sz w:val="22"/>
          <w:szCs w:val="22"/>
          <w:lang w:val="es-ES"/>
        </w:rPr>
        <w:t>flow</w:t>
      </w:r>
      <w:proofErr w:type="spellEnd"/>
      <w:r>
        <w:rPr>
          <w:color w:val="000000"/>
          <w:sz w:val="22"/>
          <w:szCs w:val="22"/>
          <w:lang w:val="es-ES"/>
        </w:rPr>
        <w:t xml:space="preserve"> </w:t>
      </w:r>
      <w:proofErr w:type="spellStart"/>
      <w:r>
        <w:rPr>
          <w:color w:val="000000"/>
          <w:sz w:val="22"/>
          <w:szCs w:val="22"/>
          <w:lang w:val="es-ES"/>
        </w:rPr>
        <w:t>rates</w:t>
      </w:r>
      <w:proofErr w:type="spellEnd"/>
      <w:r>
        <w:rPr>
          <w:color w:val="000000"/>
          <w:sz w:val="22"/>
          <w:szCs w:val="22"/>
          <w:lang w:val="es-ES"/>
        </w:rPr>
        <w:t xml:space="preserve"> </w:t>
      </w:r>
      <w:proofErr w:type="spellStart"/>
      <w:r>
        <w:rPr>
          <w:color w:val="000000"/>
          <w:sz w:val="22"/>
          <w:szCs w:val="22"/>
          <w:lang w:val="es-ES"/>
        </w:rPr>
        <w:t>less</w:t>
      </w:r>
      <w:proofErr w:type="spellEnd"/>
      <w:r>
        <w:rPr>
          <w:color w:val="000000"/>
          <w:sz w:val="22"/>
          <w:szCs w:val="22"/>
          <w:lang w:val="es-ES"/>
        </w:rPr>
        <w:t xml:space="preserve"> </w:t>
      </w:r>
      <w:proofErr w:type="spellStart"/>
      <w:r>
        <w:rPr>
          <w:color w:val="000000"/>
          <w:sz w:val="22"/>
          <w:szCs w:val="22"/>
          <w:lang w:val="es-ES"/>
        </w:rPr>
        <w:t>than</w:t>
      </w:r>
      <w:proofErr w:type="spellEnd"/>
      <w:r>
        <w:rPr>
          <w:color w:val="000000"/>
          <w:sz w:val="22"/>
          <w:szCs w:val="22"/>
          <w:lang w:val="es-ES"/>
        </w:rPr>
        <w:t xml:space="preserve"> </w:t>
      </w:r>
      <w:proofErr w:type="spellStart"/>
      <w:r>
        <w:rPr>
          <w:color w:val="000000"/>
          <w:sz w:val="22"/>
          <w:szCs w:val="22"/>
          <w:lang w:val="es-ES"/>
        </w:rPr>
        <w:t>or</w:t>
      </w:r>
      <w:proofErr w:type="spellEnd"/>
      <w:r>
        <w:rPr>
          <w:color w:val="000000"/>
          <w:sz w:val="22"/>
          <w:szCs w:val="22"/>
          <w:lang w:val="es-ES"/>
        </w:rPr>
        <w:t xml:space="preserve"> </w:t>
      </w:r>
      <w:proofErr w:type="spellStart"/>
      <w:r>
        <w:rPr>
          <w:color w:val="000000"/>
          <w:sz w:val="22"/>
          <w:szCs w:val="22"/>
          <w:lang w:val="es-ES"/>
        </w:rPr>
        <w:t>equal</w:t>
      </w:r>
      <w:proofErr w:type="spellEnd"/>
      <w:r>
        <w:rPr>
          <w:color w:val="000000"/>
          <w:sz w:val="22"/>
          <w:szCs w:val="22"/>
          <w:lang w:val="es-ES"/>
        </w:rPr>
        <w:t xml:space="preserve"> </w:t>
      </w:r>
      <w:proofErr w:type="spellStart"/>
      <w:r>
        <w:rPr>
          <w:color w:val="000000"/>
          <w:sz w:val="22"/>
          <w:szCs w:val="22"/>
          <w:lang w:val="es-ES"/>
        </w:rPr>
        <w:t>to</w:t>
      </w:r>
      <w:proofErr w:type="spellEnd"/>
      <w:r>
        <w:rPr>
          <w:color w:val="000000"/>
          <w:sz w:val="22"/>
          <w:szCs w:val="22"/>
          <w:lang w:val="es-ES"/>
        </w:rPr>
        <w:t xml:space="preserve"> 2.5 </w:t>
      </w:r>
      <w:proofErr w:type="spellStart"/>
      <w:r>
        <w:rPr>
          <w:color w:val="000000"/>
          <w:sz w:val="22"/>
          <w:szCs w:val="22"/>
          <w:lang w:val="es-ES"/>
        </w:rPr>
        <w:t>lt</w:t>
      </w:r>
      <w:proofErr w:type="spellEnd"/>
      <w:r>
        <w:rPr>
          <w:color w:val="000000"/>
          <w:sz w:val="22"/>
          <w:szCs w:val="22"/>
          <w:lang w:val="es-ES"/>
        </w:rPr>
        <w:t>/</w:t>
      </w:r>
      <w:proofErr w:type="spellStart"/>
      <w:r>
        <w:rPr>
          <w:color w:val="000000"/>
          <w:sz w:val="22"/>
          <w:szCs w:val="22"/>
          <w:lang w:val="es-ES"/>
        </w:rPr>
        <w:t>hr</w:t>
      </w:r>
      <w:proofErr w:type="spellEnd"/>
      <w:r>
        <w:rPr>
          <w:color w:val="000000"/>
          <w:sz w:val="22"/>
          <w:szCs w:val="22"/>
          <w:lang w:val="es-ES"/>
        </w:rPr>
        <w:t xml:space="preserve">, </w:t>
      </w:r>
      <w:proofErr w:type="spellStart"/>
      <w:r>
        <w:rPr>
          <w:color w:val="000000"/>
          <w:sz w:val="22"/>
          <w:szCs w:val="22"/>
          <w:lang w:val="es-ES"/>
        </w:rPr>
        <w:t>with</w:t>
      </w:r>
      <w:proofErr w:type="spellEnd"/>
      <w:r>
        <w:rPr>
          <w:color w:val="000000"/>
          <w:sz w:val="22"/>
          <w:szCs w:val="22"/>
          <w:lang w:val="es-ES"/>
        </w:rPr>
        <w:t xml:space="preserve"> </w:t>
      </w:r>
      <w:proofErr w:type="spellStart"/>
      <w:r>
        <w:rPr>
          <w:color w:val="000000"/>
          <w:sz w:val="22"/>
          <w:szCs w:val="22"/>
          <w:lang w:val="es-ES"/>
        </w:rPr>
        <w:t>a</w:t>
      </w:r>
      <w:r>
        <w:rPr>
          <w:sz w:val="22"/>
          <w:szCs w:val="22"/>
          <w:lang w:val="es-ES"/>
        </w:rPr>
        <w:t>error</w:t>
      </w:r>
      <w:proofErr w:type="spellEnd"/>
      <w:r>
        <w:rPr>
          <w:sz w:val="22"/>
          <w:szCs w:val="22"/>
          <w:lang w:val="es-ES"/>
        </w:rPr>
        <w:t xml:space="preserve"> </w:t>
      </w:r>
      <w:proofErr w:type="spellStart"/>
      <w:r>
        <w:rPr>
          <w:sz w:val="22"/>
          <w:szCs w:val="22"/>
          <w:lang w:val="es-ES"/>
        </w:rPr>
        <w:t>equal</w:t>
      </w:r>
      <w:proofErr w:type="spellEnd"/>
      <w:r>
        <w:rPr>
          <w:sz w:val="22"/>
          <w:szCs w:val="22"/>
          <w:lang w:val="es-ES"/>
        </w:rPr>
        <w:t xml:space="preserve"> </w:t>
      </w:r>
      <w:proofErr w:type="spellStart"/>
      <w:r>
        <w:rPr>
          <w:sz w:val="22"/>
          <w:szCs w:val="22"/>
          <w:lang w:val="es-ES"/>
        </w:rPr>
        <w:t>to</w:t>
      </w:r>
      <w:proofErr w:type="spellEnd"/>
      <w:r>
        <w:rPr>
          <w:sz w:val="22"/>
          <w:szCs w:val="22"/>
          <w:lang w:val="es-ES"/>
        </w:rPr>
        <w:t xml:space="preserve"> </w:t>
      </w:r>
      <w:proofErr w:type="spellStart"/>
      <w:r>
        <w:rPr>
          <w:sz w:val="22"/>
          <w:szCs w:val="22"/>
          <w:lang w:val="es-ES"/>
        </w:rPr>
        <w:t>or</w:t>
      </w:r>
      <w:proofErr w:type="spellEnd"/>
      <w:r>
        <w:rPr>
          <w:sz w:val="22"/>
          <w:szCs w:val="22"/>
          <w:lang w:val="es-ES"/>
        </w:rPr>
        <w:t xml:space="preserve"> </w:t>
      </w:r>
      <w:proofErr w:type="spellStart"/>
      <w:r>
        <w:rPr>
          <w:sz w:val="22"/>
          <w:szCs w:val="22"/>
          <w:lang w:val="es-ES"/>
        </w:rPr>
        <w:t>greater</w:t>
      </w:r>
      <w:proofErr w:type="spellEnd"/>
      <w:r>
        <w:rPr>
          <w:sz w:val="22"/>
          <w:szCs w:val="22"/>
          <w:lang w:val="es-ES"/>
        </w:rPr>
        <w:t xml:space="preserve"> than</w:t>
      </w:r>
      <w:r>
        <w:rPr>
          <w:color w:val="000000"/>
          <w:sz w:val="22"/>
          <w:szCs w:val="22"/>
          <w:lang w:val="es-ES"/>
        </w:rPr>
        <w:t>-90%. (</w:t>
      </w:r>
      <w:proofErr w:type="spellStart"/>
      <w:r>
        <w:rPr>
          <w:color w:val="000000"/>
          <w:sz w:val="22"/>
          <w:szCs w:val="22"/>
          <w:lang w:val="es-ES"/>
        </w:rPr>
        <w:t>Qo</w:t>
      </w:r>
      <w:proofErr w:type="spellEnd"/>
      <w:r>
        <w:rPr>
          <w:color w:val="000000"/>
          <w:sz w:val="22"/>
          <w:szCs w:val="22"/>
          <w:lang w:val="es-ES"/>
        </w:rPr>
        <w:t>)</w:t>
      </w:r>
    </w:p>
    <w:p w14:paraId="159A9D35" w14:textId="77777777" w:rsidR="00E255F4" w:rsidRDefault="00000000">
      <w:pPr>
        <w:numPr>
          <w:ilvl w:val="2"/>
          <w:numId w:val="4"/>
        </w:numPr>
        <w:tabs>
          <w:tab w:val="left" w:pos="-720"/>
          <w:tab w:val="left" w:pos="709"/>
        </w:tabs>
        <w:spacing w:after="120" w:line="360" w:lineRule="auto"/>
        <w:ind w:left="0" w:firstLine="0"/>
        <w:jc w:val="both"/>
      </w:pPr>
      <w:r>
        <w:rPr>
          <w:sz w:val="22"/>
          <w:szCs w:val="22"/>
        </w:rPr>
        <w:t xml:space="preserve">Water </w:t>
      </w:r>
      <w:proofErr w:type="spellStart"/>
      <w:r>
        <w:rPr>
          <w:sz w:val="22"/>
          <w:szCs w:val="22"/>
        </w:rPr>
        <w:t>temperature</w:t>
      </w:r>
      <w:proofErr w:type="spellEnd"/>
      <w:r>
        <w:rPr>
          <w:sz w:val="22"/>
          <w:szCs w:val="22"/>
        </w:rPr>
        <w:t xml:space="preserve"> </w:t>
      </w:r>
      <w:proofErr w:type="spellStart"/>
      <w:r>
        <w:rPr>
          <w:sz w:val="22"/>
          <w:szCs w:val="22"/>
        </w:rPr>
        <w:t>during</w:t>
      </w:r>
      <w:proofErr w:type="spellEnd"/>
      <w:r>
        <w:rPr>
          <w:sz w:val="22"/>
          <w:szCs w:val="22"/>
        </w:rPr>
        <w:t xml:space="preserve"> </w:t>
      </w:r>
      <w:proofErr w:type="spellStart"/>
      <w:r>
        <w:rPr>
          <w:sz w:val="22"/>
          <w:szCs w:val="22"/>
        </w:rPr>
        <w:t>continuous</w:t>
      </w:r>
      <w:proofErr w:type="spellEnd"/>
      <w:r>
        <w:rPr>
          <w:sz w:val="22"/>
          <w:szCs w:val="22"/>
        </w:rPr>
        <w:t xml:space="preserve"> </w:t>
      </w:r>
      <w:proofErr w:type="spellStart"/>
      <w:r>
        <w:rPr>
          <w:sz w:val="22"/>
          <w:szCs w:val="22"/>
        </w:rPr>
        <w:t>operation</w:t>
      </w:r>
      <w:proofErr w:type="spellEnd"/>
      <w:r>
        <w:rPr>
          <w:sz w:val="22"/>
          <w:szCs w:val="22"/>
        </w:rPr>
        <w:t xml:space="preserve">: </w:t>
      </w:r>
      <w:proofErr w:type="spellStart"/>
      <w:r>
        <w:rPr>
          <w:sz w:val="22"/>
          <w:szCs w:val="22"/>
        </w:rPr>
        <w:t>minimum</w:t>
      </w:r>
      <w:proofErr w:type="spellEnd"/>
      <w:r>
        <w:rPr>
          <w:sz w:val="22"/>
          <w:szCs w:val="22"/>
        </w:rPr>
        <w:t xml:space="preserve"> </w:t>
      </w:r>
      <w:proofErr w:type="spellStart"/>
      <w:r>
        <w:rPr>
          <w:sz w:val="22"/>
          <w:szCs w:val="22"/>
        </w:rPr>
        <w:t>between</w:t>
      </w:r>
      <w:proofErr w:type="spellEnd"/>
      <w:r>
        <w:rPr>
          <w:sz w:val="22"/>
          <w:szCs w:val="22"/>
        </w:rPr>
        <w:t xml:space="preserve"> 0.1 °C and +55 °C. Accidental </w:t>
      </w:r>
      <w:proofErr w:type="spellStart"/>
      <w:r>
        <w:rPr>
          <w:sz w:val="22"/>
          <w:szCs w:val="22"/>
        </w:rPr>
        <w:t>or</w:t>
      </w:r>
      <w:proofErr w:type="spellEnd"/>
      <w:r>
        <w:rPr>
          <w:sz w:val="22"/>
          <w:szCs w:val="22"/>
        </w:rPr>
        <w:t xml:space="preserve"> </w:t>
      </w:r>
      <w:proofErr w:type="spellStart"/>
      <w:r>
        <w:rPr>
          <w:sz w:val="22"/>
          <w:szCs w:val="22"/>
        </w:rPr>
        <w:t>transient</w:t>
      </w:r>
      <w:proofErr w:type="spellEnd"/>
      <w:r>
        <w:rPr>
          <w:sz w:val="22"/>
          <w:szCs w:val="22"/>
        </w:rPr>
        <w:t xml:space="preserve"> </w:t>
      </w:r>
      <w:proofErr w:type="spellStart"/>
      <w:r>
        <w:rPr>
          <w:sz w:val="22"/>
          <w:szCs w:val="22"/>
        </w:rPr>
        <w:t>temperature</w:t>
      </w:r>
      <w:proofErr w:type="spellEnd"/>
      <w:r>
        <w:rPr>
          <w:sz w:val="22"/>
          <w:szCs w:val="22"/>
        </w:rPr>
        <w:t xml:space="preserve">: up </w:t>
      </w:r>
      <w:proofErr w:type="spellStart"/>
      <w:r>
        <w:rPr>
          <w:sz w:val="22"/>
          <w:szCs w:val="22"/>
        </w:rPr>
        <w:t>to</w:t>
      </w:r>
      <w:proofErr w:type="spellEnd"/>
      <w:r>
        <w:rPr>
          <w:sz w:val="22"/>
          <w:szCs w:val="22"/>
        </w:rPr>
        <w:t xml:space="preserve"> 60 °C </w:t>
      </w:r>
      <w:proofErr w:type="spellStart"/>
      <w:r>
        <w:rPr>
          <w:sz w:val="22"/>
          <w:szCs w:val="22"/>
        </w:rPr>
        <w:t>or</w:t>
      </w:r>
      <w:proofErr w:type="spellEnd"/>
      <w:r>
        <w:rPr>
          <w:sz w:val="22"/>
          <w:szCs w:val="22"/>
        </w:rPr>
        <w:t xml:space="preserve"> more, </w:t>
      </w:r>
      <w:proofErr w:type="spellStart"/>
      <w:r>
        <w:rPr>
          <w:sz w:val="22"/>
          <w:szCs w:val="22"/>
        </w:rPr>
        <w:t>if</w:t>
      </w:r>
      <w:proofErr w:type="spellEnd"/>
      <w:r>
        <w:rPr>
          <w:sz w:val="22"/>
          <w:szCs w:val="22"/>
        </w:rPr>
        <w:t xml:space="preserve"> </w:t>
      </w:r>
      <w:proofErr w:type="spellStart"/>
      <w:r>
        <w:rPr>
          <w:sz w:val="22"/>
          <w:szCs w:val="22"/>
        </w:rPr>
        <w:t>certified</w:t>
      </w:r>
      <w:proofErr w:type="spellEnd"/>
      <w:r>
        <w:rPr>
          <w:sz w:val="22"/>
          <w:szCs w:val="22"/>
        </w:rPr>
        <w:t xml:space="preserve"> </w:t>
      </w:r>
      <w:proofErr w:type="spellStart"/>
      <w:r>
        <w:rPr>
          <w:sz w:val="22"/>
          <w:szCs w:val="22"/>
        </w:rPr>
        <w:t>by</w:t>
      </w:r>
      <w:proofErr w:type="spellEnd"/>
      <w:r>
        <w:rPr>
          <w:sz w:val="22"/>
          <w:szCs w:val="22"/>
        </w:rPr>
        <w:t xml:space="preserve"> </w:t>
      </w:r>
      <w:proofErr w:type="spellStart"/>
      <w:r>
        <w:rPr>
          <w:sz w:val="22"/>
          <w:szCs w:val="22"/>
        </w:rPr>
        <w:t>official</w:t>
      </w:r>
      <w:proofErr w:type="spellEnd"/>
      <w:r>
        <w:rPr>
          <w:sz w:val="22"/>
          <w:szCs w:val="22"/>
        </w:rPr>
        <w:t xml:space="preserve"> </w:t>
      </w:r>
      <w:proofErr w:type="spellStart"/>
      <w:r>
        <w:rPr>
          <w:sz w:val="22"/>
          <w:szCs w:val="22"/>
        </w:rPr>
        <w:t>technical</w:t>
      </w:r>
      <w:proofErr w:type="spellEnd"/>
      <w:r>
        <w:rPr>
          <w:sz w:val="22"/>
          <w:szCs w:val="22"/>
        </w:rPr>
        <w:t xml:space="preserve"> </w:t>
      </w:r>
      <w:proofErr w:type="spellStart"/>
      <w:r>
        <w:rPr>
          <w:sz w:val="22"/>
          <w:szCs w:val="22"/>
        </w:rPr>
        <w:t>documentation</w:t>
      </w:r>
      <w:proofErr w:type="spellEnd"/>
      <w:r>
        <w:rPr>
          <w:sz w:val="22"/>
          <w:szCs w:val="22"/>
        </w:rPr>
        <w:t xml:space="preserve"> </w:t>
      </w:r>
      <w:proofErr w:type="spellStart"/>
      <w:r>
        <w:rPr>
          <w:sz w:val="22"/>
          <w:szCs w:val="22"/>
        </w:rPr>
        <w:t>from</w:t>
      </w:r>
      <w:proofErr w:type="spellEnd"/>
      <w:r>
        <w:rPr>
          <w:sz w:val="22"/>
          <w:szCs w:val="22"/>
        </w:rPr>
        <w:t xml:space="preserve"> </w:t>
      </w:r>
      <w:proofErr w:type="spellStart"/>
      <w:r>
        <w:rPr>
          <w:sz w:val="22"/>
          <w:szCs w:val="22"/>
        </w:rPr>
        <w:t>the</w:t>
      </w:r>
      <w:proofErr w:type="spellEnd"/>
      <w:r>
        <w:rPr>
          <w:sz w:val="22"/>
          <w:szCs w:val="22"/>
        </w:rPr>
        <w:t xml:space="preserve"> </w:t>
      </w:r>
      <w:proofErr w:type="spellStart"/>
      <w:proofErr w:type="gramStart"/>
      <w:r>
        <w:rPr>
          <w:sz w:val="22"/>
          <w:szCs w:val="22"/>
        </w:rPr>
        <w:t>manufacturer</w:t>
      </w:r>
      <w:proofErr w:type="spellEnd"/>
      <w:r>
        <w:rPr>
          <w:sz w:val="22"/>
          <w:szCs w:val="22"/>
        </w:rPr>
        <w:t>.</w:t>
      </w:r>
      <w:r>
        <w:rPr>
          <w:color w:val="000000"/>
          <w:sz w:val="22"/>
          <w:szCs w:val="22"/>
          <w:lang w:val="es-ES"/>
        </w:rPr>
        <w:t>.</w:t>
      </w:r>
      <w:proofErr w:type="gramEnd"/>
    </w:p>
    <w:p w14:paraId="678DC2B5" w14:textId="77777777" w:rsidR="00E255F4" w:rsidRDefault="00000000">
      <w:pPr>
        <w:pStyle w:val="Prrafodelista"/>
        <w:numPr>
          <w:ilvl w:val="2"/>
          <w:numId w:val="4"/>
        </w:numPr>
        <w:tabs>
          <w:tab w:val="left" w:pos="-720"/>
          <w:tab w:val="left" w:pos="709"/>
        </w:tabs>
        <w:spacing w:after="120"/>
        <w:jc w:val="both"/>
      </w:pPr>
      <w:r>
        <w:rPr>
          <w:color w:val="000000"/>
          <w:sz w:val="22"/>
          <w:szCs w:val="22"/>
          <w:lang w:val="es-ES"/>
        </w:rPr>
        <w:lastRenderedPageBreak/>
        <w:t xml:space="preserve">The </w:t>
      </w:r>
      <w:proofErr w:type="spellStart"/>
      <w:r>
        <w:rPr>
          <w:color w:val="000000"/>
          <w:sz w:val="22"/>
          <w:szCs w:val="22"/>
          <w:lang w:val="es-ES"/>
        </w:rPr>
        <w:t>working</w:t>
      </w:r>
      <w:proofErr w:type="spellEnd"/>
      <w:r>
        <w:rPr>
          <w:color w:val="000000"/>
          <w:sz w:val="22"/>
          <w:szCs w:val="22"/>
          <w:lang w:val="es-ES"/>
        </w:rPr>
        <w:t xml:space="preserve"> </w:t>
      </w:r>
      <w:proofErr w:type="spellStart"/>
      <w:r>
        <w:rPr>
          <w:color w:val="000000"/>
          <w:sz w:val="22"/>
          <w:szCs w:val="22"/>
          <w:lang w:val="es-ES"/>
        </w:rPr>
        <w:t>pressure</w:t>
      </w:r>
      <w:proofErr w:type="spellEnd"/>
      <w:r>
        <w:rPr>
          <w:color w:val="000000"/>
          <w:sz w:val="22"/>
          <w:szCs w:val="22"/>
          <w:lang w:val="es-ES"/>
        </w:rPr>
        <w:t xml:space="preserve"> </w:t>
      </w:r>
      <w:proofErr w:type="spellStart"/>
      <w:r>
        <w:rPr>
          <w:color w:val="000000"/>
          <w:sz w:val="22"/>
          <w:szCs w:val="22"/>
          <w:lang w:val="es-ES"/>
        </w:rPr>
        <w:t>must</w:t>
      </w:r>
      <w:proofErr w:type="spellEnd"/>
      <w:r>
        <w:rPr>
          <w:color w:val="000000"/>
          <w:sz w:val="22"/>
          <w:szCs w:val="22"/>
          <w:lang w:val="es-ES"/>
        </w:rPr>
        <w:t xml:space="preserve"> be at </w:t>
      </w:r>
      <w:proofErr w:type="spellStart"/>
      <w:r>
        <w:rPr>
          <w:color w:val="000000"/>
          <w:sz w:val="22"/>
          <w:szCs w:val="22"/>
          <w:lang w:val="es-ES"/>
        </w:rPr>
        <w:t>least</w:t>
      </w:r>
      <w:proofErr w:type="spellEnd"/>
      <w:r>
        <w:rPr>
          <w:color w:val="000000"/>
          <w:sz w:val="22"/>
          <w:szCs w:val="22"/>
          <w:lang w:val="es-ES"/>
        </w:rPr>
        <w:t xml:space="preserve"> 10 bar. In </w:t>
      </w:r>
      <w:proofErr w:type="spellStart"/>
      <w:r>
        <w:rPr>
          <w:color w:val="000000"/>
          <w:sz w:val="22"/>
          <w:szCs w:val="22"/>
          <w:lang w:val="es-ES"/>
        </w:rPr>
        <w:t>addition</w:t>
      </w:r>
      <w:proofErr w:type="spellEnd"/>
      <w:r>
        <w:rPr>
          <w:color w:val="000000"/>
          <w:sz w:val="22"/>
          <w:szCs w:val="22"/>
          <w:lang w:val="es-ES"/>
        </w:rPr>
        <w:t xml:space="preserve">, </w:t>
      </w:r>
      <w:proofErr w:type="spellStart"/>
      <w:r>
        <w:rPr>
          <w:color w:val="000000"/>
          <w:sz w:val="22"/>
          <w:szCs w:val="22"/>
          <w:lang w:val="es-ES"/>
        </w:rPr>
        <w:t>the</w:t>
      </w:r>
      <w:proofErr w:type="spellEnd"/>
      <w:r>
        <w:rPr>
          <w:color w:val="000000"/>
          <w:sz w:val="22"/>
          <w:szCs w:val="22"/>
          <w:lang w:val="es-ES"/>
        </w:rPr>
        <w:t xml:space="preserve"> </w:t>
      </w:r>
      <w:proofErr w:type="spellStart"/>
      <w:r>
        <w:rPr>
          <w:color w:val="000000"/>
          <w:sz w:val="22"/>
          <w:szCs w:val="22"/>
          <w:lang w:val="es-ES"/>
        </w:rPr>
        <w:t>meters</w:t>
      </w:r>
      <w:proofErr w:type="spellEnd"/>
      <w:r>
        <w:rPr>
          <w:color w:val="000000"/>
          <w:sz w:val="22"/>
          <w:szCs w:val="22"/>
          <w:lang w:val="es-ES"/>
        </w:rPr>
        <w:t xml:space="preserve"> </w:t>
      </w:r>
      <w:proofErr w:type="spellStart"/>
      <w:r>
        <w:rPr>
          <w:color w:val="000000"/>
          <w:sz w:val="22"/>
          <w:szCs w:val="22"/>
          <w:lang w:val="es-ES"/>
        </w:rPr>
        <w:t>must</w:t>
      </w:r>
      <w:proofErr w:type="spellEnd"/>
      <w:r>
        <w:rPr>
          <w:color w:val="000000"/>
          <w:sz w:val="22"/>
          <w:szCs w:val="22"/>
          <w:lang w:val="es-ES"/>
        </w:rPr>
        <w:t xml:space="preserve"> </w:t>
      </w:r>
      <w:proofErr w:type="spellStart"/>
      <w:r>
        <w:rPr>
          <w:color w:val="000000"/>
          <w:sz w:val="22"/>
          <w:szCs w:val="22"/>
          <w:lang w:val="es-ES"/>
        </w:rPr>
        <w:t>withstand</w:t>
      </w:r>
      <w:proofErr w:type="spellEnd"/>
      <w:r>
        <w:rPr>
          <w:color w:val="000000"/>
          <w:sz w:val="22"/>
          <w:szCs w:val="22"/>
          <w:lang w:val="es-ES"/>
        </w:rPr>
        <w:t xml:space="preserve">, </w:t>
      </w:r>
      <w:proofErr w:type="spellStart"/>
      <w:r>
        <w:rPr>
          <w:color w:val="000000"/>
          <w:sz w:val="22"/>
          <w:szCs w:val="22"/>
          <w:lang w:val="es-ES"/>
        </w:rPr>
        <w:t>without</w:t>
      </w:r>
      <w:proofErr w:type="spellEnd"/>
      <w:r>
        <w:rPr>
          <w:color w:val="000000"/>
          <w:sz w:val="22"/>
          <w:szCs w:val="22"/>
          <w:lang w:val="es-ES"/>
        </w:rPr>
        <w:t xml:space="preserve"> </w:t>
      </w:r>
      <w:proofErr w:type="spellStart"/>
      <w:r>
        <w:rPr>
          <w:color w:val="000000"/>
          <w:sz w:val="22"/>
          <w:szCs w:val="22"/>
          <w:lang w:val="es-ES"/>
        </w:rPr>
        <w:t>deformation</w:t>
      </w:r>
      <w:proofErr w:type="spellEnd"/>
      <w:r>
        <w:rPr>
          <w:color w:val="000000"/>
          <w:sz w:val="22"/>
          <w:szCs w:val="22"/>
          <w:lang w:val="es-ES"/>
        </w:rPr>
        <w:t xml:space="preserve"> </w:t>
      </w:r>
      <w:proofErr w:type="spellStart"/>
      <w:r>
        <w:rPr>
          <w:color w:val="000000"/>
          <w:sz w:val="22"/>
          <w:szCs w:val="22"/>
          <w:lang w:val="es-ES"/>
        </w:rPr>
        <w:t>or</w:t>
      </w:r>
      <w:proofErr w:type="spellEnd"/>
      <w:r>
        <w:rPr>
          <w:color w:val="000000"/>
          <w:sz w:val="22"/>
          <w:szCs w:val="22"/>
          <w:lang w:val="es-ES"/>
        </w:rPr>
        <w:t xml:space="preserve"> </w:t>
      </w:r>
      <w:proofErr w:type="spellStart"/>
      <w:r>
        <w:rPr>
          <w:color w:val="000000"/>
          <w:sz w:val="22"/>
          <w:szCs w:val="22"/>
          <w:lang w:val="es-ES"/>
        </w:rPr>
        <w:t>damage</w:t>
      </w:r>
      <w:proofErr w:type="spellEnd"/>
      <w:r>
        <w:rPr>
          <w:color w:val="000000"/>
          <w:sz w:val="22"/>
          <w:szCs w:val="22"/>
          <w:lang w:val="es-ES"/>
        </w:rPr>
        <w:t xml:space="preserve"> </w:t>
      </w:r>
      <w:proofErr w:type="spellStart"/>
      <w:r>
        <w:rPr>
          <w:color w:val="000000"/>
          <w:sz w:val="22"/>
          <w:szCs w:val="22"/>
          <w:lang w:val="es-ES"/>
        </w:rPr>
        <w:t>to</w:t>
      </w:r>
      <w:proofErr w:type="spellEnd"/>
      <w:r>
        <w:rPr>
          <w:color w:val="000000"/>
          <w:sz w:val="22"/>
          <w:szCs w:val="22"/>
          <w:lang w:val="es-ES"/>
        </w:rPr>
        <w:t xml:space="preserve"> </w:t>
      </w:r>
      <w:proofErr w:type="spellStart"/>
      <w:r>
        <w:rPr>
          <w:color w:val="000000"/>
          <w:sz w:val="22"/>
          <w:szCs w:val="22"/>
          <w:lang w:val="es-ES"/>
        </w:rPr>
        <w:t>any</w:t>
      </w:r>
      <w:proofErr w:type="spellEnd"/>
      <w:r>
        <w:rPr>
          <w:color w:val="000000"/>
          <w:sz w:val="22"/>
          <w:szCs w:val="22"/>
          <w:lang w:val="es-ES"/>
        </w:rPr>
        <w:t xml:space="preserve"> </w:t>
      </w:r>
      <w:proofErr w:type="spellStart"/>
      <w:r>
        <w:rPr>
          <w:color w:val="000000"/>
          <w:sz w:val="22"/>
          <w:szCs w:val="22"/>
          <w:lang w:val="es-ES"/>
        </w:rPr>
        <w:t>of</w:t>
      </w:r>
      <w:proofErr w:type="spellEnd"/>
      <w:r>
        <w:rPr>
          <w:color w:val="000000"/>
          <w:sz w:val="22"/>
          <w:szCs w:val="22"/>
          <w:lang w:val="es-ES"/>
        </w:rPr>
        <w:t xml:space="preserve"> </w:t>
      </w:r>
      <w:proofErr w:type="spellStart"/>
      <w:r>
        <w:rPr>
          <w:color w:val="000000"/>
          <w:sz w:val="22"/>
          <w:szCs w:val="22"/>
          <w:lang w:val="es-ES"/>
        </w:rPr>
        <w:t>their</w:t>
      </w:r>
      <w:proofErr w:type="spellEnd"/>
      <w:r>
        <w:rPr>
          <w:color w:val="000000"/>
          <w:sz w:val="22"/>
          <w:szCs w:val="22"/>
          <w:lang w:val="es-ES"/>
        </w:rPr>
        <w:t xml:space="preserve"> </w:t>
      </w:r>
      <w:proofErr w:type="spellStart"/>
      <w:r>
        <w:rPr>
          <w:color w:val="000000"/>
          <w:sz w:val="22"/>
          <w:szCs w:val="22"/>
          <w:lang w:val="es-ES"/>
        </w:rPr>
        <w:t>parts</w:t>
      </w:r>
      <w:proofErr w:type="spellEnd"/>
      <w:r>
        <w:rPr>
          <w:color w:val="000000"/>
          <w:sz w:val="22"/>
          <w:szCs w:val="22"/>
          <w:lang w:val="es-ES"/>
        </w:rPr>
        <w:t xml:space="preserve">, and </w:t>
      </w:r>
      <w:proofErr w:type="spellStart"/>
      <w:r>
        <w:rPr>
          <w:color w:val="000000"/>
          <w:sz w:val="22"/>
          <w:szCs w:val="22"/>
          <w:lang w:val="es-ES"/>
        </w:rPr>
        <w:t>without</w:t>
      </w:r>
      <w:proofErr w:type="spellEnd"/>
      <w:r>
        <w:rPr>
          <w:color w:val="000000"/>
          <w:sz w:val="22"/>
          <w:szCs w:val="22"/>
          <w:lang w:val="es-ES"/>
        </w:rPr>
        <w:t xml:space="preserve"> </w:t>
      </w:r>
      <w:proofErr w:type="spellStart"/>
      <w:r>
        <w:rPr>
          <w:color w:val="000000"/>
          <w:sz w:val="22"/>
          <w:szCs w:val="22"/>
          <w:lang w:val="es-ES"/>
        </w:rPr>
        <w:t>showing</w:t>
      </w:r>
      <w:proofErr w:type="spellEnd"/>
      <w:r>
        <w:rPr>
          <w:color w:val="000000"/>
          <w:sz w:val="22"/>
          <w:szCs w:val="22"/>
          <w:lang w:val="es-ES"/>
        </w:rPr>
        <w:t xml:space="preserve"> </w:t>
      </w:r>
      <w:proofErr w:type="spellStart"/>
      <w:r>
        <w:rPr>
          <w:color w:val="000000"/>
          <w:sz w:val="22"/>
          <w:szCs w:val="22"/>
          <w:lang w:val="es-ES"/>
        </w:rPr>
        <w:t>any</w:t>
      </w:r>
      <w:proofErr w:type="spellEnd"/>
      <w:r>
        <w:rPr>
          <w:color w:val="000000"/>
          <w:sz w:val="22"/>
          <w:szCs w:val="22"/>
          <w:lang w:val="es-ES"/>
        </w:rPr>
        <w:t xml:space="preserve"> </w:t>
      </w:r>
      <w:proofErr w:type="spellStart"/>
      <w:r>
        <w:rPr>
          <w:color w:val="000000"/>
          <w:sz w:val="22"/>
          <w:szCs w:val="22"/>
          <w:lang w:val="es-ES"/>
        </w:rPr>
        <w:t>leaks</w:t>
      </w:r>
      <w:proofErr w:type="spellEnd"/>
      <w:r>
        <w:rPr>
          <w:color w:val="000000"/>
          <w:sz w:val="22"/>
          <w:szCs w:val="22"/>
          <w:lang w:val="es-ES"/>
        </w:rPr>
        <w:t xml:space="preserve"> </w:t>
      </w:r>
      <w:proofErr w:type="spellStart"/>
      <w:r>
        <w:rPr>
          <w:color w:val="000000"/>
          <w:sz w:val="22"/>
          <w:szCs w:val="22"/>
          <w:lang w:val="es-ES"/>
        </w:rPr>
        <w:t>or</w:t>
      </w:r>
      <w:proofErr w:type="spellEnd"/>
      <w:r>
        <w:rPr>
          <w:color w:val="000000"/>
          <w:sz w:val="22"/>
          <w:szCs w:val="22"/>
          <w:lang w:val="es-ES"/>
        </w:rPr>
        <w:t xml:space="preserve"> </w:t>
      </w:r>
      <w:proofErr w:type="spellStart"/>
      <w:r>
        <w:rPr>
          <w:color w:val="000000"/>
          <w:sz w:val="22"/>
          <w:szCs w:val="22"/>
          <w:lang w:val="es-ES"/>
        </w:rPr>
        <w:t>moisture</w:t>
      </w:r>
      <w:proofErr w:type="spellEnd"/>
      <w:r>
        <w:rPr>
          <w:color w:val="000000"/>
          <w:sz w:val="22"/>
          <w:szCs w:val="22"/>
          <w:lang w:val="es-ES"/>
        </w:rPr>
        <w:t xml:space="preserve">, a </w:t>
      </w:r>
      <w:proofErr w:type="spellStart"/>
      <w:r>
        <w:rPr>
          <w:color w:val="000000"/>
          <w:sz w:val="22"/>
          <w:szCs w:val="22"/>
          <w:lang w:val="es-ES"/>
        </w:rPr>
        <w:t>minimum</w:t>
      </w:r>
      <w:proofErr w:type="spellEnd"/>
      <w:r>
        <w:rPr>
          <w:color w:val="000000"/>
          <w:sz w:val="22"/>
          <w:szCs w:val="22"/>
          <w:lang w:val="es-ES"/>
        </w:rPr>
        <w:t xml:space="preserve"> </w:t>
      </w:r>
      <w:proofErr w:type="spellStart"/>
      <w:r>
        <w:rPr>
          <w:color w:val="000000"/>
          <w:sz w:val="22"/>
          <w:szCs w:val="22"/>
          <w:lang w:val="es-ES"/>
        </w:rPr>
        <w:t>internal</w:t>
      </w:r>
      <w:proofErr w:type="spellEnd"/>
      <w:r>
        <w:rPr>
          <w:color w:val="000000"/>
          <w:sz w:val="22"/>
          <w:szCs w:val="22"/>
          <w:lang w:val="es-ES"/>
        </w:rPr>
        <w:t xml:space="preserve"> </w:t>
      </w:r>
      <w:proofErr w:type="spellStart"/>
      <w:r>
        <w:rPr>
          <w:color w:val="000000"/>
          <w:sz w:val="22"/>
          <w:szCs w:val="22"/>
          <w:lang w:val="es-ES"/>
        </w:rPr>
        <w:t>pressure</w:t>
      </w:r>
      <w:proofErr w:type="spellEnd"/>
      <w:r>
        <w:rPr>
          <w:color w:val="000000"/>
          <w:sz w:val="22"/>
          <w:szCs w:val="22"/>
          <w:lang w:val="es-ES"/>
        </w:rPr>
        <w:t xml:space="preserve"> </w:t>
      </w:r>
      <w:proofErr w:type="spellStart"/>
      <w:r>
        <w:rPr>
          <w:color w:val="000000"/>
          <w:sz w:val="22"/>
          <w:szCs w:val="22"/>
          <w:lang w:val="es-ES"/>
        </w:rPr>
        <w:t>of</w:t>
      </w:r>
      <w:proofErr w:type="spellEnd"/>
      <w:r>
        <w:rPr>
          <w:color w:val="000000"/>
          <w:sz w:val="22"/>
          <w:szCs w:val="22"/>
          <w:lang w:val="es-ES"/>
        </w:rPr>
        <w:t xml:space="preserve"> 16 bar, </w:t>
      </w:r>
      <w:proofErr w:type="spellStart"/>
      <w:r>
        <w:rPr>
          <w:color w:val="000000"/>
          <w:sz w:val="22"/>
          <w:szCs w:val="22"/>
          <w:lang w:val="es-ES"/>
        </w:rPr>
        <w:t>applied</w:t>
      </w:r>
      <w:proofErr w:type="spellEnd"/>
      <w:r>
        <w:rPr>
          <w:color w:val="000000"/>
          <w:sz w:val="22"/>
          <w:szCs w:val="22"/>
          <w:lang w:val="es-ES"/>
        </w:rPr>
        <w:t xml:space="preserve"> </w:t>
      </w:r>
      <w:proofErr w:type="spellStart"/>
      <w:r>
        <w:rPr>
          <w:color w:val="000000"/>
          <w:sz w:val="22"/>
          <w:szCs w:val="22"/>
          <w:lang w:val="es-ES"/>
        </w:rPr>
        <w:t>for</w:t>
      </w:r>
      <w:proofErr w:type="spellEnd"/>
      <w:r>
        <w:rPr>
          <w:color w:val="000000"/>
          <w:sz w:val="22"/>
          <w:szCs w:val="22"/>
          <w:lang w:val="es-ES"/>
        </w:rPr>
        <w:t xml:space="preserve"> a time </w:t>
      </w:r>
      <w:proofErr w:type="spellStart"/>
      <w:r>
        <w:rPr>
          <w:color w:val="000000"/>
          <w:sz w:val="22"/>
          <w:szCs w:val="22"/>
          <w:lang w:val="es-ES"/>
        </w:rPr>
        <w:t>of</w:t>
      </w:r>
      <w:proofErr w:type="spellEnd"/>
      <w:r>
        <w:rPr>
          <w:color w:val="000000"/>
          <w:sz w:val="22"/>
          <w:szCs w:val="22"/>
          <w:lang w:val="es-ES"/>
        </w:rPr>
        <w:t xml:space="preserve"> no </w:t>
      </w:r>
      <w:proofErr w:type="spellStart"/>
      <w:r>
        <w:rPr>
          <w:color w:val="000000"/>
          <w:sz w:val="22"/>
          <w:szCs w:val="22"/>
          <w:lang w:val="es-ES"/>
        </w:rPr>
        <w:t>less</w:t>
      </w:r>
      <w:proofErr w:type="spellEnd"/>
      <w:r>
        <w:rPr>
          <w:color w:val="000000"/>
          <w:sz w:val="22"/>
          <w:szCs w:val="22"/>
          <w:lang w:val="es-ES"/>
        </w:rPr>
        <w:t xml:space="preserve"> </w:t>
      </w:r>
      <w:proofErr w:type="spellStart"/>
      <w:r>
        <w:rPr>
          <w:color w:val="000000"/>
          <w:sz w:val="22"/>
          <w:szCs w:val="22"/>
          <w:lang w:val="es-ES"/>
        </w:rPr>
        <w:t>than</w:t>
      </w:r>
      <w:proofErr w:type="spellEnd"/>
      <w:r>
        <w:rPr>
          <w:color w:val="000000"/>
          <w:sz w:val="22"/>
          <w:szCs w:val="22"/>
          <w:lang w:val="es-ES"/>
        </w:rPr>
        <w:t xml:space="preserve"> 15 minutes, and a </w:t>
      </w:r>
      <w:proofErr w:type="spellStart"/>
      <w:r>
        <w:rPr>
          <w:color w:val="000000"/>
          <w:sz w:val="22"/>
          <w:szCs w:val="22"/>
          <w:lang w:val="es-ES"/>
        </w:rPr>
        <w:t>pressure</w:t>
      </w:r>
      <w:proofErr w:type="spellEnd"/>
      <w:r>
        <w:rPr>
          <w:color w:val="000000"/>
          <w:sz w:val="22"/>
          <w:szCs w:val="22"/>
          <w:lang w:val="es-ES"/>
        </w:rPr>
        <w:t xml:space="preserve"> </w:t>
      </w:r>
      <w:proofErr w:type="spellStart"/>
      <w:r>
        <w:rPr>
          <w:color w:val="000000"/>
          <w:sz w:val="22"/>
          <w:szCs w:val="22"/>
          <w:lang w:val="es-ES"/>
        </w:rPr>
        <w:t>of</w:t>
      </w:r>
      <w:proofErr w:type="spellEnd"/>
      <w:r>
        <w:rPr>
          <w:color w:val="000000"/>
          <w:sz w:val="22"/>
          <w:szCs w:val="22"/>
          <w:lang w:val="es-ES"/>
        </w:rPr>
        <w:t xml:space="preserve"> 20 bar </w:t>
      </w:r>
      <w:proofErr w:type="spellStart"/>
      <w:r>
        <w:rPr>
          <w:color w:val="000000"/>
          <w:sz w:val="22"/>
          <w:szCs w:val="22"/>
          <w:lang w:val="es-ES"/>
        </w:rPr>
        <w:t>applied</w:t>
      </w:r>
      <w:proofErr w:type="spellEnd"/>
      <w:r>
        <w:rPr>
          <w:color w:val="000000"/>
          <w:sz w:val="22"/>
          <w:szCs w:val="22"/>
          <w:lang w:val="es-ES"/>
        </w:rPr>
        <w:t xml:space="preserve"> </w:t>
      </w:r>
      <w:proofErr w:type="spellStart"/>
      <w:r>
        <w:rPr>
          <w:color w:val="000000"/>
          <w:sz w:val="22"/>
          <w:szCs w:val="22"/>
          <w:lang w:val="es-ES"/>
        </w:rPr>
        <w:t>for</w:t>
      </w:r>
      <w:proofErr w:type="spellEnd"/>
      <w:r>
        <w:rPr>
          <w:color w:val="000000"/>
          <w:sz w:val="22"/>
          <w:szCs w:val="22"/>
          <w:lang w:val="es-ES"/>
        </w:rPr>
        <w:t xml:space="preserve"> a </w:t>
      </w:r>
      <w:proofErr w:type="spellStart"/>
      <w:r>
        <w:rPr>
          <w:color w:val="000000"/>
          <w:sz w:val="22"/>
          <w:szCs w:val="22"/>
          <w:lang w:val="es-ES"/>
        </w:rPr>
        <w:t>minimum</w:t>
      </w:r>
      <w:proofErr w:type="spellEnd"/>
      <w:r>
        <w:rPr>
          <w:color w:val="000000"/>
          <w:sz w:val="22"/>
          <w:szCs w:val="22"/>
          <w:lang w:val="es-ES"/>
        </w:rPr>
        <w:t xml:space="preserve"> time </w:t>
      </w:r>
      <w:proofErr w:type="spellStart"/>
      <w:r>
        <w:rPr>
          <w:color w:val="000000"/>
          <w:sz w:val="22"/>
          <w:szCs w:val="22"/>
          <w:lang w:val="es-ES"/>
        </w:rPr>
        <w:t>of</w:t>
      </w:r>
      <w:proofErr w:type="spellEnd"/>
      <w:r>
        <w:rPr>
          <w:color w:val="000000"/>
          <w:sz w:val="22"/>
          <w:szCs w:val="22"/>
          <w:lang w:val="es-ES"/>
        </w:rPr>
        <w:t xml:space="preserve"> </w:t>
      </w:r>
      <w:proofErr w:type="spellStart"/>
      <w:r>
        <w:rPr>
          <w:color w:val="000000"/>
          <w:sz w:val="22"/>
          <w:szCs w:val="22"/>
          <w:lang w:val="es-ES"/>
        </w:rPr>
        <w:t>one</w:t>
      </w:r>
      <w:proofErr w:type="spellEnd"/>
      <w:r>
        <w:rPr>
          <w:color w:val="000000"/>
          <w:sz w:val="22"/>
          <w:szCs w:val="22"/>
          <w:lang w:val="es-ES"/>
        </w:rPr>
        <w:t xml:space="preserve"> minute.</w:t>
      </w:r>
    </w:p>
    <w:p w14:paraId="44738C65" w14:textId="77777777" w:rsidR="00E255F4" w:rsidRDefault="00000000">
      <w:pPr>
        <w:pStyle w:val="Prrafodelista"/>
        <w:numPr>
          <w:ilvl w:val="2"/>
          <w:numId w:val="4"/>
        </w:numPr>
        <w:tabs>
          <w:tab w:val="left" w:pos="-720"/>
          <w:tab w:val="left" w:pos="709"/>
        </w:tabs>
        <w:spacing w:after="120"/>
        <w:jc w:val="both"/>
      </w:pPr>
      <w:r>
        <w:rPr>
          <w:color w:val="000000"/>
          <w:sz w:val="22"/>
          <w:szCs w:val="22"/>
          <w:lang w:val="es-ES"/>
        </w:rPr>
        <w:t xml:space="preserve">The </w:t>
      </w:r>
      <w:proofErr w:type="spellStart"/>
      <w:r>
        <w:rPr>
          <w:color w:val="000000"/>
          <w:sz w:val="22"/>
          <w:szCs w:val="22"/>
          <w:lang w:val="es-ES"/>
        </w:rPr>
        <w:t>maximum</w:t>
      </w:r>
      <w:proofErr w:type="spellEnd"/>
      <w:r>
        <w:rPr>
          <w:color w:val="000000"/>
          <w:sz w:val="22"/>
          <w:szCs w:val="22"/>
          <w:lang w:val="es-ES"/>
        </w:rPr>
        <w:t xml:space="preserve"> </w:t>
      </w:r>
      <w:proofErr w:type="spellStart"/>
      <w:r>
        <w:rPr>
          <w:color w:val="000000"/>
          <w:sz w:val="22"/>
          <w:szCs w:val="22"/>
          <w:lang w:val="es-ES"/>
        </w:rPr>
        <w:t>pressure</w:t>
      </w:r>
      <w:proofErr w:type="spellEnd"/>
      <w:r>
        <w:rPr>
          <w:color w:val="000000"/>
          <w:sz w:val="22"/>
          <w:szCs w:val="22"/>
          <w:lang w:val="es-ES"/>
        </w:rPr>
        <w:t xml:space="preserve"> </w:t>
      </w:r>
      <w:proofErr w:type="spellStart"/>
      <w:r>
        <w:rPr>
          <w:color w:val="000000"/>
          <w:sz w:val="22"/>
          <w:szCs w:val="22"/>
          <w:lang w:val="es-ES"/>
        </w:rPr>
        <w:t>drop</w:t>
      </w:r>
      <w:proofErr w:type="spellEnd"/>
      <w:r>
        <w:rPr>
          <w:color w:val="000000"/>
          <w:sz w:val="22"/>
          <w:szCs w:val="22"/>
          <w:lang w:val="es-ES"/>
        </w:rPr>
        <w:t xml:space="preserve"> </w:t>
      </w:r>
      <w:proofErr w:type="spellStart"/>
      <w:r>
        <w:rPr>
          <w:color w:val="000000"/>
          <w:sz w:val="22"/>
          <w:szCs w:val="22"/>
          <w:lang w:val="es-ES"/>
        </w:rPr>
        <w:t>for</w:t>
      </w:r>
      <w:proofErr w:type="spellEnd"/>
      <w:r>
        <w:rPr>
          <w:color w:val="000000"/>
          <w:sz w:val="22"/>
          <w:szCs w:val="22"/>
          <w:lang w:val="es-ES"/>
        </w:rPr>
        <w:t xml:space="preserve"> normal </w:t>
      </w:r>
      <w:proofErr w:type="spellStart"/>
      <w:r>
        <w:rPr>
          <w:color w:val="000000"/>
          <w:sz w:val="22"/>
          <w:szCs w:val="22"/>
          <w:lang w:val="es-ES"/>
        </w:rPr>
        <w:t>operating</w:t>
      </w:r>
      <w:proofErr w:type="spellEnd"/>
      <w:r>
        <w:rPr>
          <w:color w:val="000000"/>
          <w:sz w:val="22"/>
          <w:szCs w:val="22"/>
          <w:lang w:val="es-ES"/>
        </w:rPr>
        <w:t xml:space="preserve"> </w:t>
      </w:r>
      <w:proofErr w:type="spellStart"/>
      <w:r>
        <w:rPr>
          <w:color w:val="000000"/>
          <w:sz w:val="22"/>
          <w:szCs w:val="22"/>
          <w:lang w:val="es-ES"/>
        </w:rPr>
        <w:t>conditions</w:t>
      </w:r>
      <w:proofErr w:type="spellEnd"/>
      <w:r>
        <w:rPr>
          <w:color w:val="000000"/>
          <w:sz w:val="22"/>
          <w:szCs w:val="22"/>
          <w:lang w:val="es-ES"/>
        </w:rPr>
        <w:t xml:space="preserve"> </w:t>
      </w:r>
      <w:proofErr w:type="spellStart"/>
      <w:r>
        <w:rPr>
          <w:color w:val="000000"/>
          <w:sz w:val="22"/>
          <w:szCs w:val="22"/>
          <w:lang w:val="es-ES"/>
        </w:rPr>
        <w:t>should</w:t>
      </w:r>
      <w:proofErr w:type="spellEnd"/>
      <w:r>
        <w:rPr>
          <w:color w:val="000000"/>
          <w:sz w:val="22"/>
          <w:szCs w:val="22"/>
          <w:lang w:val="es-ES"/>
        </w:rPr>
        <w:t xml:space="preserve"> </w:t>
      </w:r>
      <w:proofErr w:type="spellStart"/>
      <w:r>
        <w:rPr>
          <w:color w:val="000000"/>
          <w:sz w:val="22"/>
          <w:szCs w:val="22"/>
          <w:lang w:val="es-ES"/>
        </w:rPr>
        <w:t>not</w:t>
      </w:r>
      <w:proofErr w:type="spellEnd"/>
      <w:r>
        <w:rPr>
          <w:color w:val="000000"/>
          <w:sz w:val="22"/>
          <w:szCs w:val="22"/>
          <w:lang w:val="es-ES"/>
        </w:rPr>
        <w:t xml:space="preserve"> </w:t>
      </w:r>
      <w:proofErr w:type="spellStart"/>
      <w:r>
        <w:rPr>
          <w:color w:val="000000"/>
          <w:sz w:val="22"/>
          <w:szCs w:val="22"/>
          <w:lang w:val="es-ES"/>
        </w:rPr>
        <w:t>exceed</w:t>
      </w:r>
      <w:proofErr w:type="spellEnd"/>
      <w:r>
        <w:rPr>
          <w:sz w:val="22"/>
          <w:szCs w:val="22"/>
          <w:lang w:val="es-UY"/>
        </w:rPr>
        <w:t xml:space="preserve">0.40 bar at </w:t>
      </w:r>
      <w:proofErr w:type="spellStart"/>
      <w:r>
        <w:rPr>
          <w:sz w:val="22"/>
          <w:szCs w:val="22"/>
          <w:lang w:val="es-UY"/>
        </w:rPr>
        <w:t>permanent</w:t>
      </w:r>
      <w:proofErr w:type="spellEnd"/>
      <w:r>
        <w:rPr>
          <w:sz w:val="22"/>
          <w:szCs w:val="22"/>
          <w:lang w:val="es-UY"/>
        </w:rPr>
        <w:t xml:space="preserve"> </w:t>
      </w:r>
      <w:proofErr w:type="spellStart"/>
      <w:r>
        <w:rPr>
          <w:sz w:val="22"/>
          <w:szCs w:val="22"/>
          <w:lang w:val="es-UY"/>
        </w:rPr>
        <w:t>flow</w:t>
      </w:r>
      <w:proofErr w:type="spellEnd"/>
      <w:r>
        <w:rPr>
          <w:sz w:val="22"/>
          <w:szCs w:val="22"/>
          <w:lang w:val="es-UY"/>
        </w:rPr>
        <w:t xml:space="preserve"> </w:t>
      </w:r>
      <w:proofErr w:type="spellStart"/>
      <w:r>
        <w:rPr>
          <w:sz w:val="22"/>
          <w:szCs w:val="22"/>
          <w:lang w:val="es-UY"/>
        </w:rPr>
        <w:t>rate</w:t>
      </w:r>
      <w:proofErr w:type="spellEnd"/>
      <w:r>
        <w:rPr>
          <w:sz w:val="22"/>
          <w:szCs w:val="22"/>
          <w:lang w:val="es-UY"/>
        </w:rPr>
        <w:t xml:space="preserve"> Q3, in </w:t>
      </w:r>
      <w:proofErr w:type="spellStart"/>
      <w:r>
        <w:rPr>
          <w:sz w:val="22"/>
          <w:szCs w:val="22"/>
          <w:lang w:val="es-UY"/>
        </w:rPr>
        <w:t>accordance</w:t>
      </w:r>
      <w:proofErr w:type="spellEnd"/>
      <w:r>
        <w:rPr>
          <w:sz w:val="22"/>
          <w:szCs w:val="22"/>
          <w:lang w:val="es-UY"/>
        </w:rPr>
        <w:t xml:space="preserve"> </w:t>
      </w:r>
      <w:proofErr w:type="spellStart"/>
      <w:r>
        <w:rPr>
          <w:sz w:val="22"/>
          <w:szCs w:val="22"/>
          <w:lang w:val="es-UY"/>
        </w:rPr>
        <w:t>with</w:t>
      </w:r>
      <w:proofErr w:type="spellEnd"/>
      <w:r>
        <w:rPr>
          <w:sz w:val="22"/>
          <w:szCs w:val="22"/>
          <w:lang w:val="es-UY"/>
        </w:rPr>
        <w:t xml:space="preserve"> OIML R 49 / ISO 4064, </w:t>
      </w:r>
      <w:proofErr w:type="spellStart"/>
      <w:r>
        <w:rPr>
          <w:sz w:val="22"/>
          <w:szCs w:val="22"/>
          <w:lang w:val="es-UY"/>
        </w:rPr>
        <w:t>accredited</w:t>
      </w:r>
      <w:proofErr w:type="spellEnd"/>
      <w:r>
        <w:rPr>
          <w:sz w:val="22"/>
          <w:szCs w:val="22"/>
          <w:lang w:val="es-UY"/>
        </w:rPr>
        <w:t xml:space="preserve"> </w:t>
      </w:r>
      <w:proofErr w:type="spellStart"/>
      <w:r>
        <w:rPr>
          <w:sz w:val="22"/>
          <w:szCs w:val="22"/>
          <w:lang w:val="es-UY"/>
        </w:rPr>
        <w:t>by</w:t>
      </w:r>
      <w:proofErr w:type="spellEnd"/>
      <w:r>
        <w:rPr>
          <w:sz w:val="22"/>
          <w:szCs w:val="22"/>
          <w:lang w:val="es-UY"/>
        </w:rPr>
        <w:t xml:space="preserve"> </w:t>
      </w:r>
      <w:proofErr w:type="spellStart"/>
      <w:r>
        <w:rPr>
          <w:sz w:val="22"/>
          <w:szCs w:val="22"/>
          <w:lang w:val="es-UY"/>
        </w:rPr>
        <w:t>official</w:t>
      </w:r>
      <w:proofErr w:type="spellEnd"/>
      <w:r>
        <w:rPr>
          <w:sz w:val="22"/>
          <w:szCs w:val="22"/>
          <w:lang w:val="es-UY"/>
        </w:rPr>
        <w:t xml:space="preserve"> </w:t>
      </w:r>
      <w:proofErr w:type="spellStart"/>
      <w:r>
        <w:rPr>
          <w:sz w:val="22"/>
          <w:szCs w:val="22"/>
          <w:lang w:val="es-UY"/>
        </w:rPr>
        <w:t>technical</w:t>
      </w:r>
      <w:proofErr w:type="spellEnd"/>
      <w:r>
        <w:rPr>
          <w:sz w:val="22"/>
          <w:szCs w:val="22"/>
          <w:lang w:val="es-UY"/>
        </w:rPr>
        <w:t xml:space="preserve"> </w:t>
      </w:r>
      <w:proofErr w:type="spellStart"/>
      <w:r>
        <w:rPr>
          <w:sz w:val="22"/>
          <w:szCs w:val="22"/>
          <w:lang w:val="es-UY"/>
        </w:rPr>
        <w:t>documentation</w:t>
      </w:r>
      <w:proofErr w:type="spellEnd"/>
      <w:r>
        <w:rPr>
          <w:sz w:val="22"/>
          <w:szCs w:val="22"/>
          <w:lang w:val="es-UY"/>
        </w:rPr>
        <w:t xml:space="preserve"> </w:t>
      </w:r>
      <w:proofErr w:type="spellStart"/>
      <w:r>
        <w:rPr>
          <w:sz w:val="22"/>
          <w:szCs w:val="22"/>
          <w:lang w:val="es-UY"/>
        </w:rPr>
        <w:t>of</w:t>
      </w:r>
      <w:proofErr w:type="spellEnd"/>
      <w:r>
        <w:rPr>
          <w:sz w:val="22"/>
          <w:szCs w:val="22"/>
          <w:lang w:val="es-UY"/>
        </w:rPr>
        <w:t xml:space="preserve"> </w:t>
      </w:r>
      <w:proofErr w:type="spellStart"/>
      <w:r>
        <w:rPr>
          <w:sz w:val="22"/>
          <w:szCs w:val="22"/>
          <w:lang w:val="es-UY"/>
        </w:rPr>
        <w:t>the</w:t>
      </w:r>
      <w:proofErr w:type="spellEnd"/>
      <w:r>
        <w:rPr>
          <w:sz w:val="22"/>
          <w:szCs w:val="22"/>
          <w:lang w:val="es-UY"/>
        </w:rPr>
        <w:t xml:space="preserve"> </w:t>
      </w:r>
      <w:proofErr w:type="spellStart"/>
      <w:r>
        <w:rPr>
          <w:sz w:val="22"/>
          <w:szCs w:val="22"/>
          <w:lang w:val="es-UY"/>
        </w:rPr>
        <w:t>manufacturer</w:t>
      </w:r>
      <w:proofErr w:type="spellEnd"/>
      <w:r>
        <w:rPr>
          <w:color w:val="000000"/>
          <w:sz w:val="22"/>
          <w:szCs w:val="22"/>
          <w:lang w:val="es-ES"/>
        </w:rPr>
        <w:t>.</w:t>
      </w:r>
    </w:p>
    <w:p w14:paraId="1FDDD516" w14:textId="77777777" w:rsidR="00E255F4" w:rsidRDefault="00000000">
      <w:pPr>
        <w:numPr>
          <w:ilvl w:val="1"/>
          <w:numId w:val="4"/>
        </w:numPr>
        <w:spacing w:before="240" w:after="120"/>
        <w:rPr>
          <w:b/>
          <w:sz w:val="22"/>
          <w:szCs w:val="22"/>
        </w:rPr>
      </w:pPr>
      <w:proofErr w:type="spellStart"/>
      <w:r>
        <w:rPr>
          <w:b/>
          <w:sz w:val="22"/>
          <w:szCs w:val="22"/>
        </w:rPr>
        <w:t>Technological</w:t>
      </w:r>
      <w:proofErr w:type="spellEnd"/>
      <w:r>
        <w:rPr>
          <w:b/>
          <w:sz w:val="22"/>
          <w:szCs w:val="22"/>
        </w:rPr>
        <w:t xml:space="preserve"> </w:t>
      </w:r>
      <w:proofErr w:type="spellStart"/>
      <w:r>
        <w:rPr>
          <w:b/>
          <w:sz w:val="22"/>
          <w:szCs w:val="22"/>
        </w:rPr>
        <w:t>Features</w:t>
      </w:r>
      <w:proofErr w:type="spellEnd"/>
    </w:p>
    <w:p w14:paraId="1C447108" w14:textId="77777777" w:rsidR="00E255F4" w:rsidRDefault="00000000">
      <w:pPr>
        <w:numPr>
          <w:ilvl w:val="2"/>
          <w:numId w:val="4"/>
        </w:numPr>
        <w:spacing w:after="120"/>
        <w:rPr>
          <w:b/>
          <w:sz w:val="22"/>
          <w:szCs w:val="22"/>
        </w:rPr>
      </w:pPr>
      <w:proofErr w:type="spellStart"/>
      <w:r>
        <w:rPr>
          <w:b/>
          <w:sz w:val="22"/>
          <w:szCs w:val="22"/>
        </w:rPr>
        <w:t>Construction</w:t>
      </w:r>
      <w:proofErr w:type="spellEnd"/>
      <w:r>
        <w:rPr>
          <w:b/>
          <w:sz w:val="22"/>
          <w:szCs w:val="22"/>
        </w:rPr>
        <w:t xml:space="preserve"> - General </w:t>
      </w:r>
      <w:proofErr w:type="spellStart"/>
      <w:r>
        <w:rPr>
          <w:b/>
          <w:sz w:val="22"/>
          <w:szCs w:val="22"/>
        </w:rPr>
        <w:t>provisions</w:t>
      </w:r>
      <w:proofErr w:type="spellEnd"/>
    </w:p>
    <w:p w14:paraId="08B0F0B0" w14:textId="77777777" w:rsidR="00E255F4" w:rsidRDefault="00000000">
      <w:pPr>
        <w:pStyle w:val="Prrafodelista"/>
        <w:tabs>
          <w:tab w:val="left" w:pos="-720"/>
          <w:tab w:val="left" w:pos="851"/>
          <w:tab w:val="left" w:pos="1276"/>
        </w:tabs>
        <w:spacing w:after="120"/>
        <w:ind w:left="0"/>
        <w:rPr>
          <w:color w:val="000000"/>
          <w:sz w:val="22"/>
          <w:szCs w:val="22"/>
          <w:lang w:val="es-ES"/>
        </w:rPr>
      </w:pPr>
      <w:r>
        <w:rPr>
          <w:color w:val="000000"/>
          <w:sz w:val="22"/>
          <w:szCs w:val="22"/>
          <w:lang w:val="es-ES"/>
        </w:rPr>
        <w:t xml:space="preserve">7.4.1.1 The </w:t>
      </w:r>
      <w:proofErr w:type="spellStart"/>
      <w:r>
        <w:rPr>
          <w:color w:val="000000"/>
          <w:sz w:val="22"/>
          <w:szCs w:val="22"/>
          <w:lang w:val="es-ES"/>
        </w:rPr>
        <w:t>meters</w:t>
      </w:r>
      <w:proofErr w:type="spellEnd"/>
      <w:r>
        <w:rPr>
          <w:color w:val="000000"/>
          <w:sz w:val="22"/>
          <w:szCs w:val="22"/>
          <w:lang w:val="es-ES"/>
        </w:rPr>
        <w:t xml:space="preserve"> </w:t>
      </w:r>
      <w:proofErr w:type="spellStart"/>
      <w:r>
        <w:rPr>
          <w:color w:val="000000"/>
          <w:sz w:val="22"/>
          <w:szCs w:val="22"/>
          <w:lang w:val="es-ES"/>
        </w:rPr>
        <w:t>shall</w:t>
      </w:r>
      <w:proofErr w:type="spellEnd"/>
      <w:r>
        <w:rPr>
          <w:color w:val="000000"/>
          <w:sz w:val="22"/>
          <w:szCs w:val="22"/>
          <w:lang w:val="es-ES"/>
        </w:rPr>
        <w:t xml:space="preserve"> be </w:t>
      </w:r>
      <w:proofErr w:type="spellStart"/>
      <w:r>
        <w:rPr>
          <w:color w:val="000000"/>
          <w:sz w:val="22"/>
          <w:szCs w:val="22"/>
          <w:lang w:val="es-ES"/>
        </w:rPr>
        <w:t>constructed</w:t>
      </w:r>
      <w:proofErr w:type="spellEnd"/>
      <w:r>
        <w:rPr>
          <w:color w:val="000000"/>
          <w:sz w:val="22"/>
          <w:szCs w:val="22"/>
          <w:lang w:val="es-ES"/>
        </w:rPr>
        <w:t xml:space="preserve"> so </w:t>
      </w:r>
      <w:proofErr w:type="spellStart"/>
      <w:r>
        <w:rPr>
          <w:color w:val="000000"/>
          <w:sz w:val="22"/>
          <w:szCs w:val="22"/>
          <w:lang w:val="es-ES"/>
        </w:rPr>
        <w:t>that</w:t>
      </w:r>
      <w:proofErr w:type="spellEnd"/>
      <w:r>
        <w:rPr>
          <w:color w:val="000000"/>
          <w:sz w:val="22"/>
          <w:szCs w:val="22"/>
          <w:lang w:val="es-ES"/>
        </w:rPr>
        <w:t>:</w:t>
      </w:r>
      <w:r>
        <w:rPr>
          <w:color w:val="000000"/>
          <w:sz w:val="22"/>
          <w:szCs w:val="22"/>
          <w:lang w:val="es-ES"/>
        </w:rPr>
        <w:tab/>
      </w:r>
    </w:p>
    <w:p w14:paraId="070E4CEF" w14:textId="77777777" w:rsidR="00E255F4" w:rsidRDefault="00000000">
      <w:pPr>
        <w:pStyle w:val="Prrafodelista"/>
        <w:numPr>
          <w:ilvl w:val="0"/>
          <w:numId w:val="57"/>
        </w:numPr>
        <w:tabs>
          <w:tab w:val="left" w:pos="-720"/>
          <w:tab w:val="left" w:pos="851"/>
          <w:tab w:val="left" w:pos="1276"/>
        </w:tabs>
        <w:spacing w:after="120"/>
        <w:ind w:left="1276" w:hanging="425"/>
        <w:rPr>
          <w:color w:val="000000"/>
          <w:sz w:val="22"/>
          <w:szCs w:val="22"/>
          <w:lang w:val="es-ES"/>
        </w:rPr>
      </w:pPr>
      <w:proofErr w:type="spellStart"/>
      <w:r>
        <w:rPr>
          <w:color w:val="000000"/>
          <w:sz w:val="22"/>
          <w:szCs w:val="22"/>
          <w:lang w:val="es-ES"/>
        </w:rPr>
        <w:t>Ensure</w:t>
      </w:r>
      <w:proofErr w:type="spellEnd"/>
      <w:r>
        <w:rPr>
          <w:color w:val="000000"/>
          <w:sz w:val="22"/>
          <w:szCs w:val="22"/>
          <w:lang w:val="es-ES"/>
        </w:rPr>
        <w:t xml:space="preserve"> a </w:t>
      </w:r>
      <w:proofErr w:type="spellStart"/>
      <w:r>
        <w:rPr>
          <w:color w:val="000000"/>
          <w:sz w:val="22"/>
          <w:szCs w:val="22"/>
          <w:lang w:val="es-ES"/>
        </w:rPr>
        <w:t>long-term</w:t>
      </w:r>
      <w:proofErr w:type="spellEnd"/>
      <w:r>
        <w:rPr>
          <w:color w:val="000000"/>
          <w:sz w:val="22"/>
          <w:szCs w:val="22"/>
          <w:lang w:val="es-ES"/>
        </w:rPr>
        <w:t xml:space="preserve"> </w:t>
      </w:r>
      <w:proofErr w:type="spellStart"/>
      <w:r>
        <w:rPr>
          <w:color w:val="000000"/>
          <w:sz w:val="22"/>
          <w:szCs w:val="22"/>
          <w:lang w:val="es-ES"/>
        </w:rPr>
        <w:t>service</w:t>
      </w:r>
      <w:proofErr w:type="spellEnd"/>
      <w:r>
        <w:rPr>
          <w:color w:val="000000"/>
          <w:sz w:val="22"/>
          <w:szCs w:val="22"/>
          <w:lang w:val="es-ES"/>
        </w:rPr>
        <w:t xml:space="preserve"> </w:t>
      </w:r>
      <w:proofErr w:type="spellStart"/>
      <w:r>
        <w:rPr>
          <w:color w:val="000000"/>
          <w:sz w:val="22"/>
          <w:szCs w:val="22"/>
          <w:lang w:val="es-ES"/>
        </w:rPr>
        <w:t>with</w:t>
      </w:r>
      <w:proofErr w:type="spellEnd"/>
      <w:r>
        <w:rPr>
          <w:color w:val="000000"/>
          <w:sz w:val="22"/>
          <w:szCs w:val="22"/>
          <w:lang w:val="es-ES"/>
        </w:rPr>
        <w:t xml:space="preserve"> a </w:t>
      </w:r>
      <w:proofErr w:type="spellStart"/>
      <w:r>
        <w:rPr>
          <w:color w:val="000000"/>
          <w:sz w:val="22"/>
          <w:szCs w:val="22"/>
          <w:lang w:val="es-ES"/>
        </w:rPr>
        <w:t>guarantee</w:t>
      </w:r>
      <w:proofErr w:type="spellEnd"/>
      <w:r>
        <w:rPr>
          <w:color w:val="000000"/>
          <w:sz w:val="22"/>
          <w:szCs w:val="22"/>
          <w:lang w:val="es-ES"/>
        </w:rPr>
        <w:t xml:space="preserve"> </w:t>
      </w:r>
      <w:proofErr w:type="spellStart"/>
      <w:r>
        <w:rPr>
          <w:color w:val="000000"/>
          <w:sz w:val="22"/>
          <w:szCs w:val="22"/>
          <w:lang w:val="es-ES"/>
        </w:rPr>
        <w:t>against</w:t>
      </w:r>
      <w:proofErr w:type="spellEnd"/>
      <w:r>
        <w:rPr>
          <w:color w:val="000000"/>
          <w:sz w:val="22"/>
          <w:szCs w:val="22"/>
          <w:lang w:val="es-ES"/>
        </w:rPr>
        <w:t xml:space="preserve"> </w:t>
      </w:r>
      <w:proofErr w:type="spellStart"/>
      <w:r>
        <w:rPr>
          <w:color w:val="000000"/>
          <w:sz w:val="22"/>
          <w:szCs w:val="22"/>
          <w:lang w:val="es-ES"/>
        </w:rPr>
        <w:t>fraud</w:t>
      </w:r>
      <w:proofErr w:type="spellEnd"/>
      <w:r>
        <w:rPr>
          <w:color w:val="000000"/>
          <w:sz w:val="22"/>
          <w:szCs w:val="22"/>
          <w:lang w:val="es-ES"/>
        </w:rPr>
        <w:t>.</w:t>
      </w:r>
    </w:p>
    <w:p w14:paraId="4AAA1AC1" w14:textId="77777777" w:rsidR="00E255F4" w:rsidRDefault="00000000">
      <w:pPr>
        <w:pStyle w:val="Prrafodelista"/>
        <w:numPr>
          <w:ilvl w:val="0"/>
          <w:numId w:val="57"/>
        </w:numPr>
        <w:tabs>
          <w:tab w:val="left" w:pos="-720"/>
          <w:tab w:val="left" w:pos="851"/>
          <w:tab w:val="left" w:pos="1276"/>
        </w:tabs>
        <w:spacing w:after="120"/>
        <w:ind w:left="1276" w:hanging="425"/>
        <w:rPr>
          <w:color w:val="000000"/>
          <w:sz w:val="22"/>
          <w:szCs w:val="22"/>
          <w:lang w:val="es-ES"/>
        </w:rPr>
      </w:pPr>
      <w:r>
        <w:rPr>
          <w:color w:val="000000"/>
          <w:sz w:val="22"/>
          <w:szCs w:val="22"/>
          <w:lang w:val="es-ES"/>
        </w:rPr>
        <w:t xml:space="preserve">Meet </w:t>
      </w:r>
      <w:proofErr w:type="spellStart"/>
      <w:r>
        <w:rPr>
          <w:color w:val="000000"/>
          <w:sz w:val="22"/>
          <w:szCs w:val="22"/>
          <w:lang w:val="es-ES"/>
        </w:rPr>
        <w:t>the</w:t>
      </w:r>
      <w:proofErr w:type="spellEnd"/>
      <w:r>
        <w:rPr>
          <w:color w:val="000000"/>
          <w:sz w:val="22"/>
          <w:szCs w:val="22"/>
          <w:lang w:val="es-ES"/>
        </w:rPr>
        <w:t xml:space="preserve"> </w:t>
      </w:r>
      <w:proofErr w:type="spellStart"/>
      <w:r>
        <w:rPr>
          <w:color w:val="000000"/>
          <w:sz w:val="22"/>
          <w:szCs w:val="22"/>
          <w:lang w:val="es-ES"/>
        </w:rPr>
        <w:t>requirements</w:t>
      </w:r>
      <w:proofErr w:type="spellEnd"/>
      <w:r>
        <w:rPr>
          <w:color w:val="000000"/>
          <w:sz w:val="22"/>
          <w:szCs w:val="22"/>
          <w:lang w:val="es-ES"/>
        </w:rPr>
        <w:t xml:space="preserve"> </w:t>
      </w:r>
      <w:proofErr w:type="spellStart"/>
      <w:r>
        <w:rPr>
          <w:color w:val="000000"/>
          <w:sz w:val="22"/>
          <w:szCs w:val="22"/>
          <w:lang w:val="es-ES"/>
        </w:rPr>
        <w:t>of</w:t>
      </w:r>
      <w:proofErr w:type="spellEnd"/>
      <w:r>
        <w:rPr>
          <w:color w:val="000000"/>
          <w:sz w:val="22"/>
          <w:szCs w:val="22"/>
          <w:lang w:val="es-ES"/>
        </w:rPr>
        <w:t xml:space="preserve"> </w:t>
      </w:r>
      <w:proofErr w:type="spellStart"/>
      <w:r>
        <w:rPr>
          <w:color w:val="000000"/>
          <w:sz w:val="22"/>
          <w:szCs w:val="22"/>
          <w:lang w:val="es-ES"/>
        </w:rPr>
        <w:t>this</w:t>
      </w:r>
      <w:proofErr w:type="spellEnd"/>
      <w:r>
        <w:rPr>
          <w:color w:val="000000"/>
          <w:sz w:val="22"/>
          <w:szCs w:val="22"/>
          <w:lang w:val="es-ES"/>
        </w:rPr>
        <w:t xml:space="preserve"> </w:t>
      </w:r>
      <w:proofErr w:type="spellStart"/>
      <w:r>
        <w:rPr>
          <w:color w:val="000000"/>
          <w:sz w:val="22"/>
          <w:szCs w:val="22"/>
          <w:lang w:val="es-ES"/>
        </w:rPr>
        <w:t>document</w:t>
      </w:r>
      <w:proofErr w:type="spellEnd"/>
      <w:r>
        <w:rPr>
          <w:color w:val="000000"/>
          <w:sz w:val="22"/>
          <w:szCs w:val="22"/>
          <w:lang w:val="es-ES"/>
        </w:rPr>
        <w:t xml:space="preserve"> </w:t>
      </w:r>
      <w:proofErr w:type="spellStart"/>
      <w:r>
        <w:rPr>
          <w:color w:val="000000"/>
          <w:sz w:val="22"/>
          <w:szCs w:val="22"/>
          <w:lang w:val="es-ES"/>
        </w:rPr>
        <w:t>under</w:t>
      </w:r>
      <w:proofErr w:type="spellEnd"/>
      <w:r>
        <w:rPr>
          <w:color w:val="000000"/>
          <w:sz w:val="22"/>
          <w:szCs w:val="22"/>
          <w:lang w:val="es-ES"/>
        </w:rPr>
        <w:t xml:space="preserve"> normal </w:t>
      </w:r>
      <w:proofErr w:type="spellStart"/>
      <w:r>
        <w:rPr>
          <w:color w:val="000000"/>
          <w:sz w:val="22"/>
          <w:szCs w:val="22"/>
          <w:lang w:val="es-ES"/>
        </w:rPr>
        <w:t>conditions</w:t>
      </w:r>
      <w:proofErr w:type="spellEnd"/>
      <w:r>
        <w:rPr>
          <w:color w:val="000000"/>
          <w:sz w:val="22"/>
          <w:szCs w:val="22"/>
          <w:lang w:val="es-ES"/>
        </w:rPr>
        <w:t xml:space="preserve"> </w:t>
      </w:r>
      <w:proofErr w:type="spellStart"/>
      <w:r>
        <w:rPr>
          <w:color w:val="000000"/>
          <w:sz w:val="22"/>
          <w:szCs w:val="22"/>
          <w:lang w:val="es-ES"/>
        </w:rPr>
        <w:t>of</w:t>
      </w:r>
      <w:proofErr w:type="spellEnd"/>
      <w:r>
        <w:rPr>
          <w:color w:val="000000"/>
          <w:sz w:val="22"/>
          <w:szCs w:val="22"/>
          <w:lang w:val="es-ES"/>
        </w:rPr>
        <w:t xml:space="preserve"> use.</w:t>
      </w:r>
    </w:p>
    <w:p w14:paraId="7AD14536" w14:textId="77777777" w:rsidR="00E255F4" w:rsidRDefault="00000000">
      <w:pPr>
        <w:pStyle w:val="Prrafodelista"/>
        <w:numPr>
          <w:ilvl w:val="3"/>
          <w:numId w:val="27"/>
        </w:numPr>
        <w:tabs>
          <w:tab w:val="left" w:pos="-720"/>
          <w:tab w:val="left" w:pos="851"/>
          <w:tab w:val="left" w:pos="1276"/>
        </w:tabs>
        <w:spacing w:after="120"/>
        <w:rPr>
          <w:color w:val="000000"/>
          <w:sz w:val="22"/>
          <w:szCs w:val="22"/>
          <w:lang w:val="es-ES"/>
        </w:rPr>
      </w:pPr>
      <w:proofErr w:type="spellStart"/>
      <w:r>
        <w:rPr>
          <w:color w:val="000000"/>
          <w:sz w:val="22"/>
          <w:szCs w:val="22"/>
          <w:lang w:val="es-ES"/>
        </w:rPr>
        <w:t>When</w:t>
      </w:r>
      <w:proofErr w:type="spellEnd"/>
      <w:r>
        <w:rPr>
          <w:color w:val="000000"/>
          <w:sz w:val="22"/>
          <w:szCs w:val="22"/>
          <w:lang w:val="es-ES"/>
        </w:rPr>
        <w:t xml:space="preserve"> </w:t>
      </w:r>
      <w:proofErr w:type="spellStart"/>
      <w:r>
        <w:rPr>
          <w:color w:val="000000"/>
          <w:sz w:val="22"/>
          <w:szCs w:val="22"/>
          <w:lang w:val="es-ES"/>
        </w:rPr>
        <w:t>meters</w:t>
      </w:r>
      <w:proofErr w:type="spellEnd"/>
      <w:r>
        <w:rPr>
          <w:color w:val="000000"/>
          <w:sz w:val="22"/>
          <w:szCs w:val="22"/>
          <w:lang w:val="es-ES"/>
        </w:rPr>
        <w:t xml:space="preserve"> </w:t>
      </w:r>
      <w:proofErr w:type="spellStart"/>
      <w:r>
        <w:rPr>
          <w:color w:val="000000"/>
          <w:sz w:val="22"/>
          <w:szCs w:val="22"/>
          <w:lang w:val="es-ES"/>
        </w:rPr>
        <w:t>may</w:t>
      </w:r>
      <w:proofErr w:type="spellEnd"/>
      <w:r>
        <w:rPr>
          <w:color w:val="000000"/>
          <w:sz w:val="22"/>
          <w:szCs w:val="22"/>
          <w:lang w:val="es-ES"/>
        </w:rPr>
        <w:t xml:space="preserve"> be </w:t>
      </w:r>
      <w:proofErr w:type="spellStart"/>
      <w:r>
        <w:rPr>
          <w:color w:val="000000"/>
          <w:sz w:val="22"/>
          <w:szCs w:val="22"/>
          <w:lang w:val="es-ES"/>
        </w:rPr>
        <w:t>subjected</w:t>
      </w:r>
      <w:proofErr w:type="spellEnd"/>
      <w:r>
        <w:rPr>
          <w:color w:val="000000"/>
          <w:sz w:val="22"/>
          <w:szCs w:val="22"/>
          <w:lang w:val="es-ES"/>
        </w:rPr>
        <w:t xml:space="preserve"> </w:t>
      </w:r>
      <w:proofErr w:type="spellStart"/>
      <w:r>
        <w:rPr>
          <w:color w:val="000000"/>
          <w:sz w:val="22"/>
          <w:szCs w:val="22"/>
          <w:lang w:val="es-ES"/>
        </w:rPr>
        <w:t>to</w:t>
      </w:r>
      <w:proofErr w:type="spellEnd"/>
      <w:r>
        <w:rPr>
          <w:color w:val="000000"/>
          <w:sz w:val="22"/>
          <w:szCs w:val="22"/>
          <w:lang w:val="es-ES"/>
        </w:rPr>
        <w:t xml:space="preserve"> accidental </w:t>
      </w:r>
      <w:proofErr w:type="spellStart"/>
      <w:r>
        <w:rPr>
          <w:color w:val="000000"/>
          <w:sz w:val="22"/>
          <w:szCs w:val="22"/>
          <w:lang w:val="es-ES"/>
        </w:rPr>
        <w:t>backflow</w:t>
      </w:r>
      <w:proofErr w:type="spellEnd"/>
      <w:r>
        <w:rPr>
          <w:color w:val="000000"/>
          <w:sz w:val="22"/>
          <w:szCs w:val="22"/>
          <w:lang w:val="es-ES"/>
        </w:rPr>
        <w:t xml:space="preserve"> </w:t>
      </w:r>
      <w:proofErr w:type="spellStart"/>
      <w:r>
        <w:rPr>
          <w:color w:val="000000"/>
          <w:sz w:val="22"/>
          <w:szCs w:val="22"/>
          <w:lang w:val="es-ES"/>
        </w:rPr>
        <w:t>of</w:t>
      </w:r>
      <w:proofErr w:type="spellEnd"/>
      <w:r>
        <w:rPr>
          <w:color w:val="000000"/>
          <w:sz w:val="22"/>
          <w:szCs w:val="22"/>
          <w:lang w:val="es-ES"/>
        </w:rPr>
        <w:t xml:space="preserve"> </w:t>
      </w:r>
      <w:proofErr w:type="spellStart"/>
      <w:r>
        <w:rPr>
          <w:color w:val="000000"/>
          <w:sz w:val="22"/>
          <w:szCs w:val="22"/>
          <w:lang w:val="es-ES"/>
        </w:rPr>
        <w:t>water</w:t>
      </w:r>
      <w:proofErr w:type="spellEnd"/>
      <w:r>
        <w:rPr>
          <w:color w:val="000000"/>
          <w:sz w:val="22"/>
          <w:szCs w:val="22"/>
          <w:lang w:val="es-ES"/>
        </w:rPr>
        <w:t xml:space="preserve">, </w:t>
      </w:r>
      <w:proofErr w:type="spellStart"/>
      <w:r>
        <w:rPr>
          <w:color w:val="000000"/>
          <w:sz w:val="22"/>
          <w:szCs w:val="22"/>
          <w:lang w:val="es-ES"/>
        </w:rPr>
        <w:t>they</w:t>
      </w:r>
      <w:proofErr w:type="spellEnd"/>
      <w:r>
        <w:rPr>
          <w:color w:val="000000"/>
          <w:sz w:val="22"/>
          <w:szCs w:val="22"/>
          <w:lang w:val="es-ES"/>
        </w:rPr>
        <w:t xml:space="preserve"> </w:t>
      </w:r>
      <w:proofErr w:type="spellStart"/>
      <w:r>
        <w:rPr>
          <w:color w:val="000000"/>
          <w:sz w:val="22"/>
          <w:szCs w:val="22"/>
          <w:lang w:val="es-ES"/>
        </w:rPr>
        <w:t>must</w:t>
      </w:r>
      <w:proofErr w:type="spellEnd"/>
      <w:r>
        <w:rPr>
          <w:color w:val="000000"/>
          <w:sz w:val="22"/>
          <w:szCs w:val="22"/>
          <w:lang w:val="es-ES"/>
        </w:rPr>
        <w:t xml:space="preserve"> be </w:t>
      </w:r>
      <w:proofErr w:type="spellStart"/>
      <w:r>
        <w:rPr>
          <w:color w:val="000000"/>
          <w:sz w:val="22"/>
          <w:szCs w:val="22"/>
          <w:lang w:val="es-ES"/>
        </w:rPr>
        <w:t>able</w:t>
      </w:r>
      <w:proofErr w:type="spellEnd"/>
      <w:r>
        <w:rPr>
          <w:color w:val="000000"/>
          <w:sz w:val="22"/>
          <w:szCs w:val="22"/>
          <w:lang w:val="es-ES"/>
        </w:rPr>
        <w:t xml:space="preserve"> </w:t>
      </w:r>
      <w:proofErr w:type="spellStart"/>
      <w:r>
        <w:rPr>
          <w:color w:val="000000"/>
          <w:sz w:val="22"/>
          <w:szCs w:val="22"/>
          <w:lang w:val="es-ES"/>
        </w:rPr>
        <w:t>to</w:t>
      </w:r>
      <w:proofErr w:type="spellEnd"/>
      <w:r>
        <w:rPr>
          <w:color w:val="000000"/>
          <w:sz w:val="22"/>
          <w:szCs w:val="22"/>
          <w:lang w:val="es-ES"/>
        </w:rPr>
        <w:t xml:space="preserve"> </w:t>
      </w:r>
      <w:proofErr w:type="spellStart"/>
      <w:r>
        <w:rPr>
          <w:color w:val="000000"/>
          <w:sz w:val="22"/>
          <w:szCs w:val="22"/>
          <w:lang w:val="es-ES"/>
        </w:rPr>
        <w:t>withstand</w:t>
      </w:r>
      <w:proofErr w:type="spellEnd"/>
      <w:r>
        <w:rPr>
          <w:color w:val="000000"/>
          <w:sz w:val="22"/>
          <w:szCs w:val="22"/>
          <w:lang w:val="es-ES"/>
        </w:rPr>
        <w:t xml:space="preserve"> </w:t>
      </w:r>
      <w:proofErr w:type="spellStart"/>
      <w:r>
        <w:rPr>
          <w:color w:val="000000"/>
          <w:sz w:val="22"/>
          <w:szCs w:val="22"/>
          <w:lang w:val="es-ES"/>
        </w:rPr>
        <w:t>it</w:t>
      </w:r>
      <w:proofErr w:type="spellEnd"/>
      <w:r>
        <w:rPr>
          <w:color w:val="000000"/>
          <w:sz w:val="22"/>
          <w:szCs w:val="22"/>
          <w:lang w:val="es-ES"/>
        </w:rPr>
        <w:t xml:space="preserve"> </w:t>
      </w:r>
      <w:proofErr w:type="spellStart"/>
      <w:r>
        <w:rPr>
          <w:color w:val="000000"/>
          <w:sz w:val="22"/>
          <w:szCs w:val="22"/>
          <w:lang w:val="es-ES"/>
        </w:rPr>
        <w:t>without</w:t>
      </w:r>
      <w:proofErr w:type="spellEnd"/>
      <w:r>
        <w:rPr>
          <w:color w:val="000000"/>
          <w:sz w:val="22"/>
          <w:szCs w:val="22"/>
          <w:lang w:val="es-ES"/>
        </w:rPr>
        <w:t xml:space="preserve"> </w:t>
      </w:r>
      <w:proofErr w:type="spellStart"/>
      <w:r>
        <w:rPr>
          <w:color w:val="000000"/>
          <w:sz w:val="22"/>
          <w:szCs w:val="22"/>
          <w:lang w:val="es-ES"/>
        </w:rPr>
        <w:t>deterioration</w:t>
      </w:r>
      <w:proofErr w:type="spellEnd"/>
      <w:r>
        <w:rPr>
          <w:color w:val="000000"/>
          <w:sz w:val="22"/>
          <w:szCs w:val="22"/>
          <w:lang w:val="es-ES"/>
        </w:rPr>
        <w:t xml:space="preserve">, </w:t>
      </w:r>
      <w:proofErr w:type="spellStart"/>
      <w:r>
        <w:rPr>
          <w:color w:val="000000"/>
          <w:sz w:val="22"/>
          <w:szCs w:val="22"/>
          <w:lang w:val="es-ES"/>
        </w:rPr>
        <w:t>without</w:t>
      </w:r>
      <w:proofErr w:type="spellEnd"/>
      <w:r>
        <w:rPr>
          <w:color w:val="000000"/>
          <w:sz w:val="22"/>
          <w:szCs w:val="22"/>
          <w:lang w:val="es-ES"/>
        </w:rPr>
        <w:t xml:space="preserve"> </w:t>
      </w:r>
      <w:proofErr w:type="spellStart"/>
      <w:r>
        <w:rPr>
          <w:color w:val="000000"/>
          <w:sz w:val="22"/>
          <w:szCs w:val="22"/>
          <w:lang w:val="es-ES"/>
        </w:rPr>
        <w:t>alteration</w:t>
      </w:r>
      <w:proofErr w:type="spellEnd"/>
      <w:r>
        <w:rPr>
          <w:color w:val="000000"/>
          <w:sz w:val="22"/>
          <w:szCs w:val="22"/>
          <w:lang w:val="es-ES"/>
        </w:rPr>
        <w:t xml:space="preserve"> </w:t>
      </w:r>
      <w:proofErr w:type="spellStart"/>
      <w:r>
        <w:rPr>
          <w:color w:val="000000"/>
          <w:sz w:val="22"/>
          <w:szCs w:val="22"/>
          <w:lang w:val="es-ES"/>
        </w:rPr>
        <w:t>of</w:t>
      </w:r>
      <w:proofErr w:type="spellEnd"/>
      <w:r>
        <w:rPr>
          <w:color w:val="000000"/>
          <w:sz w:val="22"/>
          <w:szCs w:val="22"/>
          <w:lang w:val="es-ES"/>
        </w:rPr>
        <w:t xml:space="preserve"> </w:t>
      </w:r>
      <w:proofErr w:type="spellStart"/>
      <w:r>
        <w:rPr>
          <w:color w:val="000000"/>
          <w:sz w:val="22"/>
          <w:szCs w:val="22"/>
          <w:lang w:val="es-ES"/>
        </w:rPr>
        <w:t>their</w:t>
      </w:r>
      <w:proofErr w:type="spellEnd"/>
      <w:r>
        <w:rPr>
          <w:color w:val="000000"/>
          <w:sz w:val="22"/>
          <w:szCs w:val="22"/>
          <w:lang w:val="es-ES"/>
        </w:rPr>
        <w:t xml:space="preserve"> </w:t>
      </w:r>
      <w:proofErr w:type="spellStart"/>
      <w:r>
        <w:rPr>
          <w:color w:val="000000"/>
          <w:sz w:val="22"/>
          <w:szCs w:val="22"/>
          <w:lang w:val="es-ES"/>
        </w:rPr>
        <w:t>metrological</w:t>
      </w:r>
      <w:proofErr w:type="spellEnd"/>
      <w:r>
        <w:rPr>
          <w:color w:val="000000"/>
          <w:sz w:val="22"/>
          <w:szCs w:val="22"/>
          <w:lang w:val="es-ES"/>
        </w:rPr>
        <w:t xml:space="preserve"> </w:t>
      </w:r>
      <w:proofErr w:type="spellStart"/>
      <w:r>
        <w:rPr>
          <w:color w:val="000000"/>
          <w:sz w:val="22"/>
          <w:szCs w:val="22"/>
          <w:lang w:val="es-ES"/>
        </w:rPr>
        <w:t>qualities</w:t>
      </w:r>
      <w:proofErr w:type="spellEnd"/>
      <w:r>
        <w:rPr>
          <w:color w:val="000000"/>
          <w:sz w:val="22"/>
          <w:szCs w:val="22"/>
          <w:lang w:val="es-ES"/>
        </w:rPr>
        <w:t xml:space="preserve">, </w:t>
      </w:r>
      <w:proofErr w:type="spellStart"/>
      <w:r>
        <w:rPr>
          <w:color w:val="000000"/>
          <w:sz w:val="22"/>
          <w:szCs w:val="22"/>
          <w:lang w:val="es-ES"/>
        </w:rPr>
        <w:t>but</w:t>
      </w:r>
      <w:proofErr w:type="spellEnd"/>
      <w:r>
        <w:rPr>
          <w:color w:val="000000"/>
          <w:sz w:val="22"/>
          <w:szCs w:val="22"/>
          <w:lang w:val="es-ES"/>
        </w:rPr>
        <w:t xml:space="preserve"> </w:t>
      </w:r>
      <w:proofErr w:type="spellStart"/>
      <w:r>
        <w:rPr>
          <w:color w:val="000000"/>
          <w:sz w:val="22"/>
          <w:szCs w:val="22"/>
          <w:lang w:val="es-ES"/>
        </w:rPr>
        <w:t>with</w:t>
      </w:r>
      <w:proofErr w:type="spellEnd"/>
      <w:r>
        <w:rPr>
          <w:color w:val="000000"/>
          <w:sz w:val="22"/>
          <w:szCs w:val="22"/>
          <w:lang w:val="es-ES"/>
        </w:rPr>
        <w:t xml:space="preserve"> </w:t>
      </w:r>
      <w:proofErr w:type="spellStart"/>
      <w:r>
        <w:rPr>
          <w:color w:val="000000"/>
          <w:sz w:val="22"/>
          <w:szCs w:val="22"/>
          <w:lang w:val="es-ES"/>
        </w:rPr>
        <w:t>the</w:t>
      </w:r>
      <w:proofErr w:type="spellEnd"/>
      <w:r>
        <w:rPr>
          <w:color w:val="000000"/>
          <w:sz w:val="22"/>
          <w:szCs w:val="22"/>
          <w:lang w:val="es-ES"/>
        </w:rPr>
        <w:t xml:space="preserve"> </w:t>
      </w:r>
      <w:proofErr w:type="spellStart"/>
      <w:r>
        <w:rPr>
          <w:color w:val="000000"/>
          <w:sz w:val="22"/>
          <w:szCs w:val="22"/>
          <w:lang w:val="es-ES"/>
        </w:rPr>
        <w:t>recording</w:t>
      </w:r>
      <w:proofErr w:type="spellEnd"/>
      <w:r>
        <w:rPr>
          <w:color w:val="000000"/>
          <w:sz w:val="22"/>
          <w:szCs w:val="22"/>
          <w:lang w:val="es-ES"/>
        </w:rPr>
        <w:t xml:space="preserve"> </w:t>
      </w:r>
      <w:proofErr w:type="spellStart"/>
      <w:r>
        <w:rPr>
          <w:color w:val="000000"/>
          <w:sz w:val="22"/>
          <w:szCs w:val="22"/>
          <w:lang w:val="es-ES"/>
        </w:rPr>
        <w:t>of</w:t>
      </w:r>
      <w:proofErr w:type="spellEnd"/>
      <w:r>
        <w:rPr>
          <w:color w:val="000000"/>
          <w:sz w:val="22"/>
          <w:szCs w:val="22"/>
          <w:lang w:val="es-ES"/>
        </w:rPr>
        <w:t xml:space="preserve"> a </w:t>
      </w:r>
      <w:proofErr w:type="spellStart"/>
      <w:r>
        <w:rPr>
          <w:color w:val="000000"/>
          <w:sz w:val="22"/>
          <w:szCs w:val="22"/>
          <w:lang w:val="es-ES"/>
        </w:rPr>
        <w:t>discount</w:t>
      </w:r>
      <w:proofErr w:type="spellEnd"/>
      <w:r>
        <w:rPr>
          <w:color w:val="000000"/>
          <w:sz w:val="22"/>
          <w:szCs w:val="22"/>
          <w:lang w:val="es-ES"/>
        </w:rPr>
        <w:t xml:space="preserve"> </w:t>
      </w:r>
      <w:proofErr w:type="spellStart"/>
      <w:r>
        <w:rPr>
          <w:color w:val="000000"/>
          <w:sz w:val="22"/>
          <w:szCs w:val="22"/>
          <w:lang w:val="es-ES"/>
        </w:rPr>
        <w:t>indication</w:t>
      </w:r>
      <w:proofErr w:type="spellEnd"/>
      <w:r>
        <w:rPr>
          <w:color w:val="000000"/>
          <w:sz w:val="22"/>
          <w:szCs w:val="22"/>
          <w:lang w:val="es-ES"/>
        </w:rPr>
        <w:t>.</w:t>
      </w:r>
    </w:p>
    <w:p w14:paraId="4959266C" w14:textId="77777777" w:rsidR="00E255F4" w:rsidRDefault="00000000">
      <w:pPr>
        <w:numPr>
          <w:ilvl w:val="2"/>
          <w:numId w:val="4"/>
        </w:numPr>
        <w:spacing w:before="240" w:after="120"/>
        <w:rPr>
          <w:b/>
          <w:bCs/>
          <w:iCs/>
          <w:sz w:val="22"/>
          <w:szCs w:val="22"/>
          <w:lang w:val="es-ES"/>
        </w:rPr>
      </w:pPr>
      <w:proofErr w:type="spellStart"/>
      <w:r>
        <w:rPr>
          <w:b/>
          <w:bCs/>
          <w:iCs/>
          <w:sz w:val="22"/>
          <w:szCs w:val="22"/>
          <w:lang w:val="es-ES"/>
        </w:rPr>
        <w:t>Characteristics</w:t>
      </w:r>
      <w:proofErr w:type="spellEnd"/>
      <w:r>
        <w:rPr>
          <w:b/>
          <w:bCs/>
          <w:iCs/>
          <w:sz w:val="22"/>
          <w:szCs w:val="22"/>
          <w:lang w:val="es-ES"/>
        </w:rPr>
        <w:t xml:space="preserve"> </w:t>
      </w:r>
      <w:proofErr w:type="spellStart"/>
      <w:r>
        <w:rPr>
          <w:b/>
          <w:bCs/>
          <w:iCs/>
          <w:sz w:val="22"/>
          <w:szCs w:val="22"/>
          <w:lang w:val="es-ES"/>
        </w:rPr>
        <w:t>of</w:t>
      </w:r>
      <w:proofErr w:type="spellEnd"/>
      <w:r>
        <w:rPr>
          <w:b/>
          <w:bCs/>
          <w:iCs/>
          <w:sz w:val="22"/>
          <w:szCs w:val="22"/>
          <w:lang w:val="es-ES"/>
        </w:rPr>
        <w:t xml:space="preserve"> </w:t>
      </w:r>
      <w:proofErr w:type="spellStart"/>
      <w:r>
        <w:rPr>
          <w:b/>
          <w:bCs/>
          <w:iCs/>
          <w:sz w:val="22"/>
          <w:szCs w:val="22"/>
          <w:lang w:val="es-ES"/>
        </w:rPr>
        <w:t>the</w:t>
      </w:r>
      <w:proofErr w:type="spellEnd"/>
      <w:r>
        <w:rPr>
          <w:b/>
          <w:bCs/>
          <w:iCs/>
          <w:sz w:val="22"/>
          <w:szCs w:val="22"/>
          <w:lang w:val="es-ES"/>
        </w:rPr>
        <w:t xml:space="preserve"> </w:t>
      </w:r>
      <w:proofErr w:type="spellStart"/>
      <w:r>
        <w:rPr>
          <w:b/>
          <w:bCs/>
          <w:iCs/>
          <w:sz w:val="22"/>
          <w:szCs w:val="22"/>
          <w:lang w:val="es-ES"/>
        </w:rPr>
        <w:t>materials</w:t>
      </w:r>
      <w:proofErr w:type="spellEnd"/>
    </w:p>
    <w:p w14:paraId="7C23D62C" w14:textId="77777777" w:rsidR="00E255F4" w:rsidRDefault="00000000">
      <w:pPr>
        <w:tabs>
          <w:tab w:val="left" w:pos="-720"/>
          <w:tab w:val="left" w:pos="1560"/>
        </w:tabs>
        <w:spacing w:after="120"/>
        <w:jc w:val="both"/>
        <w:rPr>
          <w:color w:val="000000"/>
          <w:sz w:val="22"/>
          <w:szCs w:val="22"/>
          <w:lang w:val="es-ES"/>
        </w:rPr>
      </w:pPr>
      <w:r>
        <w:rPr>
          <w:color w:val="000000"/>
          <w:sz w:val="22"/>
          <w:szCs w:val="22"/>
          <w:lang w:val="es-ES"/>
        </w:rPr>
        <w:t xml:space="preserve">The </w:t>
      </w:r>
      <w:proofErr w:type="spellStart"/>
      <w:r>
        <w:rPr>
          <w:color w:val="000000"/>
          <w:sz w:val="22"/>
          <w:szCs w:val="22"/>
          <w:lang w:val="es-ES"/>
        </w:rPr>
        <w:t>characteristics</w:t>
      </w:r>
      <w:proofErr w:type="spellEnd"/>
      <w:r>
        <w:rPr>
          <w:color w:val="000000"/>
          <w:sz w:val="22"/>
          <w:szCs w:val="22"/>
          <w:lang w:val="es-ES"/>
        </w:rPr>
        <w:t xml:space="preserve"> </w:t>
      </w:r>
      <w:proofErr w:type="spellStart"/>
      <w:r>
        <w:rPr>
          <w:color w:val="000000"/>
          <w:sz w:val="22"/>
          <w:szCs w:val="22"/>
          <w:lang w:val="es-ES"/>
        </w:rPr>
        <w:t>of</w:t>
      </w:r>
      <w:proofErr w:type="spellEnd"/>
      <w:r>
        <w:rPr>
          <w:color w:val="000000"/>
          <w:sz w:val="22"/>
          <w:szCs w:val="22"/>
          <w:lang w:val="es-ES"/>
        </w:rPr>
        <w:t xml:space="preserve"> </w:t>
      </w:r>
      <w:proofErr w:type="spellStart"/>
      <w:r>
        <w:rPr>
          <w:color w:val="000000"/>
          <w:sz w:val="22"/>
          <w:szCs w:val="22"/>
          <w:lang w:val="es-ES"/>
        </w:rPr>
        <w:t>the</w:t>
      </w:r>
      <w:proofErr w:type="spellEnd"/>
      <w:r>
        <w:rPr>
          <w:color w:val="000000"/>
          <w:sz w:val="22"/>
          <w:szCs w:val="22"/>
          <w:lang w:val="es-ES"/>
        </w:rPr>
        <w:t xml:space="preserve"> </w:t>
      </w:r>
      <w:proofErr w:type="spellStart"/>
      <w:r>
        <w:rPr>
          <w:color w:val="000000"/>
          <w:sz w:val="22"/>
          <w:szCs w:val="22"/>
          <w:lang w:val="es-ES"/>
        </w:rPr>
        <w:t>materials</w:t>
      </w:r>
      <w:proofErr w:type="spellEnd"/>
      <w:r>
        <w:rPr>
          <w:color w:val="000000"/>
          <w:sz w:val="22"/>
          <w:szCs w:val="22"/>
          <w:lang w:val="es-ES"/>
        </w:rPr>
        <w:t xml:space="preserve"> </w:t>
      </w:r>
      <w:proofErr w:type="spellStart"/>
      <w:r>
        <w:rPr>
          <w:color w:val="000000"/>
          <w:sz w:val="22"/>
          <w:szCs w:val="22"/>
          <w:lang w:val="es-ES"/>
        </w:rPr>
        <w:t>used</w:t>
      </w:r>
      <w:proofErr w:type="spellEnd"/>
      <w:r>
        <w:rPr>
          <w:color w:val="000000"/>
          <w:sz w:val="22"/>
          <w:szCs w:val="22"/>
          <w:lang w:val="es-ES"/>
        </w:rPr>
        <w:t xml:space="preserve"> in </w:t>
      </w:r>
      <w:proofErr w:type="spellStart"/>
      <w:r>
        <w:rPr>
          <w:color w:val="000000"/>
          <w:sz w:val="22"/>
          <w:szCs w:val="22"/>
          <w:lang w:val="es-ES"/>
        </w:rPr>
        <w:t>the</w:t>
      </w:r>
      <w:proofErr w:type="spellEnd"/>
      <w:r>
        <w:rPr>
          <w:color w:val="000000"/>
          <w:sz w:val="22"/>
          <w:szCs w:val="22"/>
          <w:lang w:val="es-ES"/>
        </w:rPr>
        <w:t xml:space="preserve"> </w:t>
      </w:r>
      <w:proofErr w:type="spellStart"/>
      <w:r>
        <w:rPr>
          <w:color w:val="000000"/>
          <w:sz w:val="22"/>
          <w:szCs w:val="22"/>
          <w:lang w:val="es-ES"/>
        </w:rPr>
        <w:t>components</w:t>
      </w:r>
      <w:proofErr w:type="spellEnd"/>
      <w:r>
        <w:rPr>
          <w:color w:val="000000"/>
          <w:sz w:val="22"/>
          <w:szCs w:val="22"/>
          <w:lang w:val="es-ES"/>
        </w:rPr>
        <w:t xml:space="preserve"> </w:t>
      </w:r>
      <w:proofErr w:type="spellStart"/>
      <w:r>
        <w:rPr>
          <w:color w:val="000000"/>
          <w:sz w:val="22"/>
          <w:szCs w:val="22"/>
          <w:lang w:val="es-ES"/>
        </w:rPr>
        <w:t>of</w:t>
      </w:r>
      <w:proofErr w:type="spellEnd"/>
      <w:r>
        <w:rPr>
          <w:color w:val="000000"/>
          <w:sz w:val="22"/>
          <w:szCs w:val="22"/>
          <w:lang w:val="es-ES"/>
        </w:rPr>
        <w:t xml:space="preserve"> </w:t>
      </w:r>
      <w:proofErr w:type="spellStart"/>
      <w:r>
        <w:rPr>
          <w:color w:val="000000"/>
          <w:sz w:val="22"/>
          <w:szCs w:val="22"/>
          <w:lang w:val="es-ES"/>
        </w:rPr>
        <w:t>the</w:t>
      </w:r>
      <w:proofErr w:type="spellEnd"/>
      <w:r>
        <w:rPr>
          <w:color w:val="000000"/>
          <w:sz w:val="22"/>
          <w:szCs w:val="22"/>
          <w:lang w:val="es-ES"/>
        </w:rPr>
        <w:t xml:space="preserve"> meter </w:t>
      </w:r>
      <w:proofErr w:type="spellStart"/>
      <w:r>
        <w:rPr>
          <w:color w:val="000000"/>
          <w:sz w:val="22"/>
          <w:szCs w:val="22"/>
          <w:lang w:val="es-ES"/>
        </w:rPr>
        <w:t>must</w:t>
      </w:r>
      <w:proofErr w:type="spellEnd"/>
      <w:r>
        <w:rPr>
          <w:color w:val="000000"/>
          <w:sz w:val="22"/>
          <w:szCs w:val="22"/>
          <w:lang w:val="es-ES"/>
        </w:rPr>
        <w:t xml:space="preserve"> </w:t>
      </w:r>
      <w:proofErr w:type="spellStart"/>
      <w:r>
        <w:rPr>
          <w:color w:val="000000"/>
          <w:sz w:val="22"/>
          <w:szCs w:val="22"/>
          <w:lang w:val="es-ES"/>
        </w:rPr>
        <w:t>comply</w:t>
      </w:r>
      <w:proofErr w:type="spellEnd"/>
      <w:r>
        <w:rPr>
          <w:color w:val="000000"/>
          <w:sz w:val="22"/>
          <w:szCs w:val="22"/>
          <w:lang w:val="es-ES"/>
        </w:rPr>
        <w:t xml:space="preserve"> </w:t>
      </w:r>
      <w:proofErr w:type="spellStart"/>
      <w:r>
        <w:rPr>
          <w:color w:val="000000"/>
          <w:sz w:val="22"/>
          <w:szCs w:val="22"/>
          <w:lang w:val="es-ES"/>
        </w:rPr>
        <w:t>with</w:t>
      </w:r>
      <w:proofErr w:type="spellEnd"/>
      <w:r>
        <w:rPr>
          <w:color w:val="000000"/>
          <w:sz w:val="22"/>
          <w:szCs w:val="22"/>
          <w:lang w:val="es-ES"/>
        </w:rPr>
        <w:t xml:space="preserve"> </w:t>
      </w:r>
      <w:proofErr w:type="spellStart"/>
      <w:r>
        <w:rPr>
          <w:color w:val="000000"/>
          <w:sz w:val="22"/>
          <w:szCs w:val="22"/>
          <w:lang w:val="es-ES"/>
        </w:rPr>
        <w:t>the</w:t>
      </w:r>
      <w:proofErr w:type="spellEnd"/>
      <w:r>
        <w:rPr>
          <w:color w:val="000000"/>
          <w:sz w:val="22"/>
          <w:szCs w:val="22"/>
          <w:lang w:val="es-ES"/>
        </w:rPr>
        <w:t xml:space="preserve"> </w:t>
      </w:r>
      <w:proofErr w:type="spellStart"/>
      <w:r>
        <w:rPr>
          <w:color w:val="000000"/>
          <w:sz w:val="22"/>
          <w:szCs w:val="22"/>
          <w:lang w:val="es-ES"/>
        </w:rPr>
        <w:t>following</w:t>
      </w:r>
      <w:proofErr w:type="spellEnd"/>
      <w:r>
        <w:rPr>
          <w:color w:val="000000"/>
          <w:sz w:val="22"/>
          <w:szCs w:val="22"/>
          <w:lang w:val="es-ES"/>
        </w:rPr>
        <w:t xml:space="preserve"> </w:t>
      </w:r>
      <w:proofErr w:type="spellStart"/>
      <w:r>
        <w:rPr>
          <w:color w:val="000000"/>
          <w:sz w:val="22"/>
          <w:szCs w:val="22"/>
          <w:lang w:val="es-ES"/>
        </w:rPr>
        <w:t>conditions</w:t>
      </w:r>
      <w:proofErr w:type="spellEnd"/>
      <w:r>
        <w:rPr>
          <w:color w:val="000000"/>
          <w:sz w:val="22"/>
          <w:szCs w:val="22"/>
          <w:lang w:val="es-ES"/>
        </w:rPr>
        <w:t>.</w:t>
      </w:r>
    </w:p>
    <w:p w14:paraId="05DC4721" w14:textId="77777777" w:rsidR="00E255F4" w:rsidRDefault="00000000">
      <w:pPr>
        <w:pStyle w:val="Prrafodelista"/>
        <w:numPr>
          <w:ilvl w:val="1"/>
          <w:numId w:val="47"/>
        </w:numPr>
        <w:tabs>
          <w:tab w:val="left" w:pos="-720"/>
          <w:tab w:val="left" w:pos="993"/>
        </w:tabs>
        <w:spacing w:after="120"/>
        <w:ind w:left="993" w:hanging="426"/>
        <w:jc w:val="both"/>
        <w:rPr>
          <w:color w:val="000000"/>
          <w:sz w:val="22"/>
          <w:szCs w:val="22"/>
          <w:lang w:val="es-ES"/>
        </w:rPr>
      </w:pPr>
      <w:proofErr w:type="spellStart"/>
      <w:r>
        <w:rPr>
          <w:color w:val="000000"/>
          <w:sz w:val="22"/>
          <w:szCs w:val="22"/>
          <w:lang w:val="es-ES"/>
        </w:rPr>
        <w:t>To</w:t>
      </w:r>
      <w:proofErr w:type="spellEnd"/>
      <w:r>
        <w:rPr>
          <w:color w:val="000000"/>
          <w:sz w:val="22"/>
          <w:szCs w:val="22"/>
          <w:lang w:val="es-ES"/>
        </w:rPr>
        <w:t xml:space="preserve"> </w:t>
      </w:r>
      <w:proofErr w:type="spellStart"/>
      <w:r>
        <w:rPr>
          <w:color w:val="000000"/>
          <w:sz w:val="22"/>
          <w:szCs w:val="22"/>
          <w:lang w:val="es-ES"/>
        </w:rPr>
        <w:t>have</w:t>
      </w:r>
      <w:proofErr w:type="spellEnd"/>
      <w:r>
        <w:rPr>
          <w:color w:val="000000"/>
          <w:sz w:val="22"/>
          <w:szCs w:val="22"/>
          <w:lang w:val="es-ES"/>
        </w:rPr>
        <w:t xml:space="preserve"> </w:t>
      </w:r>
      <w:proofErr w:type="spellStart"/>
      <w:r>
        <w:rPr>
          <w:color w:val="000000"/>
          <w:sz w:val="22"/>
          <w:szCs w:val="22"/>
          <w:lang w:val="es-ES"/>
        </w:rPr>
        <w:t>adequate</w:t>
      </w:r>
      <w:proofErr w:type="spellEnd"/>
      <w:r>
        <w:rPr>
          <w:color w:val="000000"/>
          <w:sz w:val="22"/>
          <w:szCs w:val="22"/>
          <w:lang w:val="es-ES"/>
        </w:rPr>
        <w:t xml:space="preserve"> </w:t>
      </w:r>
      <w:proofErr w:type="spellStart"/>
      <w:r>
        <w:rPr>
          <w:color w:val="000000"/>
          <w:sz w:val="22"/>
          <w:szCs w:val="22"/>
          <w:lang w:val="es-ES"/>
        </w:rPr>
        <w:t>resistance</w:t>
      </w:r>
      <w:proofErr w:type="spellEnd"/>
      <w:r>
        <w:rPr>
          <w:color w:val="000000"/>
          <w:sz w:val="22"/>
          <w:szCs w:val="22"/>
          <w:lang w:val="es-ES"/>
        </w:rPr>
        <w:t xml:space="preserve"> </w:t>
      </w:r>
      <w:proofErr w:type="spellStart"/>
      <w:r>
        <w:rPr>
          <w:color w:val="000000"/>
          <w:sz w:val="22"/>
          <w:szCs w:val="22"/>
          <w:lang w:val="es-ES"/>
        </w:rPr>
        <w:t>for</w:t>
      </w:r>
      <w:proofErr w:type="spellEnd"/>
      <w:r>
        <w:rPr>
          <w:color w:val="000000"/>
          <w:sz w:val="22"/>
          <w:szCs w:val="22"/>
          <w:lang w:val="es-ES"/>
        </w:rPr>
        <w:t xml:space="preserve"> </w:t>
      </w:r>
      <w:proofErr w:type="spellStart"/>
      <w:r>
        <w:rPr>
          <w:color w:val="000000"/>
          <w:sz w:val="22"/>
          <w:szCs w:val="22"/>
          <w:lang w:val="es-ES"/>
        </w:rPr>
        <w:t>the</w:t>
      </w:r>
      <w:proofErr w:type="spellEnd"/>
      <w:r>
        <w:rPr>
          <w:color w:val="000000"/>
          <w:sz w:val="22"/>
          <w:szCs w:val="22"/>
          <w:lang w:val="es-ES"/>
        </w:rPr>
        <w:t xml:space="preserve"> use </w:t>
      </w:r>
      <w:proofErr w:type="spellStart"/>
      <w:r>
        <w:rPr>
          <w:color w:val="000000"/>
          <w:sz w:val="22"/>
          <w:szCs w:val="22"/>
          <w:lang w:val="es-ES"/>
        </w:rPr>
        <w:t>for</w:t>
      </w:r>
      <w:proofErr w:type="spellEnd"/>
      <w:r>
        <w:rPr>
          <w:color w:val="000000"/>
          <w:sz w:val="22"/>
          <w:szCs w:val="22"/>
          <w:lang w:val="es-ES"/>
        </w:rPr>
        <w:t xml:space="preserve"> </w:t>
      </w:r>
      <w:proofErr w:type="spellStart"/>
      <w:r>
        <w:rPr>
          <w:color w:val="000000"/>
          <w:sz w:val="22"/>
          <w:szCs w:val="22"/>
          <w:lang w:val="es-ES"/>
        </w:rPr>
        <w:t>which</w:t>
      </w:r>
      <w:proofErr w:type="spellEnd"/>
      <w:r>
        <w:rPr>
          <w:color w:val="000000"/>
          <w:sz w:val="22"/>
          <w:szCs w:val="22"/>
          <w:lang w:val="es-ES"/>
        </w:rPr>
        <w:t xml:space="preserve"> </w:t>
      </w:r>
      <w:proofErr w:type="spellStart"/>
      <w:r>
        <w:rPr>
          <w:color w:val="000000"/>
          <w:sz w:val="22"/>
          <w:szCs w:val="22"/>
          <w:lang w:val="es-ES"/>
        </w:rPr>
        <w:t>they</w:t>
      </w:r>
      <w:proofErr w:type="spellEnd"/>
      <w:r>
        <w:rPr>
          <w:color w:val="000000"/>
          <w:sz w:val="22"/>
          <w:szCs w:val="22"/>
          <w:lang w:val="es-ES"/>
        </w:rPr>
        <w:t xml:space="preserve"> are </w:t>
      </w:r>
      <w:proofErr w:type="spellStart"/>
      <w:r>
        <w:rPr>
          <w:color w:val="000000"/>
          <w:sz w:val="22"/>
          <w:szCs w:val="22"/>
          <w:lang w:val="es-ES"/>
        </w:rPr>
        <w:t>intended</w:t>
      </w:r>
      <w:proofErr w:type="spellEnd"/>
      <w:r>
        <w:rPr>
          <w:color w:val="000000"/>
          <w:sz w:val="22"/>
          <w:szCs w:val="22"/>
          <w:lang w:val="es-ES"/>
        </w:rPr>
        <w:t>.</w:t>
      </w:r>
    </w:p>
    <w:p w14:paraId="6EA17B40" w14:textId="77777777" w:rsidR="00E255F4" w:rsidRDefault="00000000">
      <w:pPr>
        <w:pStyle w:val="Prrafodelista"/>
        <w:numPr>
          <w:ilvl w:val="1"/>
          <w:numId w:val="47"/>
        </w:numPr>
        <w:tabs>
          <w:tab w:val="left" w:pos="-720"/>
          <w:tab w:val="left" w:pos="993"/>
        </w:tabs>
        <w:spacing w:after="120"/>
        <w:ind w:left="993" w:hanging="426"/>
        <w:jc w:val="both"/>
        <w:rPr>
          <w:color w:val="000000"/>
          <w:sz w:val="22"/>
          <w:szCs w:val="22"/>
          <w:lang w:val="es-ES"/>
        </w:rPr>
      </w:pPr>
      <w:r>
        <w:rPr>
          <w:color w:val="000000"/>
          <w:sz w:val="22"/>
          <w:szCs w:val="22"/>
          <w:lang w:val="es-ES"/>
        </w:rPr>
        <w:t xml:space="preserve">They are </w:t>
      </w:r>
      <w:proofErr w:type="spellStart"/>
      <w:r>
        <w:rPr>
          <w:color w:val="000000"/>
          <w:sz w:val="22"/>
          <w:szCs w:val="22"/>
          <w:lang w:val="es-ES"/>
        </w:rPr>
        <w:t>not</w:t>
      </w:r>
      <w:proofErr w:type="spellEnd"/>
      <w:r>
        <w:rPr>
          <w:color w:val="000000"/>
          <w:sz w:val="22"/>
          <w:szCs w:val="22"/>
          <w:lang w:val="es-ES"/>
        </w:rPr>
        <w:t xml:space="preserve"> </w:t>
      </w:r>
      <w:proofErr w:type="spellStart"/>
      <w:r>
        <w:rPr>
          <w:color w:val="000000"/>
          <w:sz w:val="22"/>
          <w:szCs w:val="22"/>
          <w:lang w:val="es-ES"/>
        </w:rPr>
        <w:t>disturbed</w:t>
      </w:r>
      <w:proofErr w:type="spellEnd"/>
      <w:r>
        <w:rPr>
          <w:color w:val="000000"/>
          <w:sz w:val="22"/>
          <w:szCs w:val="22"/>
          <w:lang w:val="es-ES"/>
        </w:rPr>
        <w:t xml:space="preserve"> </w:t>
      </w:r>
      <w:proofErr w:type="spellStart"/>
      <w:r>
        <w:rPr>
          <w:color w:val="000000"/>
          <w:sz w:val="22"/>
          <w:szCs w:val="22"/>
          <w:lang w:val="es-ES"/>
        </w:rPr>
        <w:t>by</w:t>
      </w:r>
      <w:proofErr w:type="spellEnd"/>
      <w:r>
        <w:rPr>
          <w:color w:val="000000"/>
          <w:sz w:val="22"/>
          <w:szCs w:val="22"/>
          <w:lang w:val="es-ES"/>
        </w:rPr>
        <w:t xml:space="preserve"> </w:t>
      </w:r>
      <w:proofErr w:type="spellStart"/>
      <w:r>
        <w:rPr>
          <w:color w:val="000000"/>
          <w:sz w:val="22"/>
          <w:szCs w:val="22"/>
          <w:lang w:val="es-ES"/>
        </w:rPr>
        <w:t>variations</w:t>
      </w:r>
      <w:proofErr w:type="spellEnd"/>
      <w:r>
        <w:rPr>
          <w:color w:val="000000"/>
          <w:sz w:val="22"/>
          <w:szCs w:val="22"/>
          <w:lang w:val="es-ES"/>
        </w:rPr>
        <w:t xml:space="preserve"> in </w:t>
      </w:r>
      <w:proofErr w:type="spellStart"/>
      <w:r>
        <w:rPr>
          <w:color w:val="000000"/>
          <w:sz w:val="22"/>
          <w:szCs w:val="22"/>
          <w:lang w:val="es-ES"/>
        </w:rPr>
        <w:t>water</w:t>
      </w:r>
      <w:proofErr w:type="spellEnd"/>
      <w:r>
        <w:rPr>
          <w:color w:val="000000"/>
          <w:sz w:val="22"/>
          <w:szCs w:val="22"/>
          <w:lang w:val="es-ES"/>
        </w:rPr>
        <w:t xml:space="preserve"> </w:t>
      </w:r>
      <w:proofErr w:type="spellStart"/>
      <w:r>
        <w:rPr>
          <w:color w:val="000000"/>
          <w:sz w:val="22"/>
          <w:szCs w:val="22"/>
          <w:lang w:val="es-ES"/>
        </w:rPr>
        <w:t>temperature</w:t>
      </w:r>
      <w:proofErr w:type="spellEnd"/>
      <w:r>
        <w:rPr>
          <w:color w:val="000000"/>
          <w:sz w:val="22"/>
          <w:szCs w:val="22"/>
          <w:lang w:val="es-ES"/>
        </w:rPr>
        <w:t xml:space="preserve"> </w:t>
      </w:r>
      <w:proofErr w:type="spellStart"/>
      <w:r>
        <w:rPr>
          <w:color w:val="000000"/>
          <w:sz w:val="22"/>
          <w:szCs w:val="22"/>
          <w:lang w:val="es-ES"/>
        </w:rPr>
        <w:t>within</w:t>
      </w:r>
      <w:proofErr w:type="spellEnd"/>
      <w:r>
        <w:rPr>
          <w:color w:val="000000"/>
          <w:sz w:val="22"/>
          <w:szCs w:val="22"/>
          <w:lang w:val="es-ES"/>
        </w:rPr>
        <w:t xml:space="preserve"> </w:t>
      </w:r>
      <w:proofErr w:type="spellStart"/>
      <w:r>
        <w:rPr>
          <w:color w:val="000000"/>
          <w:sz w:val="22"/>
          <w:szCs w:val="22"/>
          <w:lang w:val="es-ES"/>
        </w:rPr>
        <w:t>the</w:t>
      </w:r>
      <w:proofErr w:type="spellEnd"/>
      <w:r>
        <w:rPr>
          <w:color w:val="000000"/>
          <w:sz w:val="22"/>
          <w:szCs w:val="22"/>
          <w:lang w:val="es-ES"/>
        </w:rPr>
        <w:t xml:space="preserve"> </w:t>
      </w:r>
      <w:proofErr w:type="spellStart"/>
      <w:r>
        <w:rPr>
          <w:color w:val="000000"/>
          <w:sz w:val="22"/>
          <w:szCs w:val="22"/>
          <w:lang w:val="es-ES"/>
        </w:rPr>
        <w:t>working</w:t>
      </w:r>
      <w:proofErr w:type="spellEnd"/>
      <w:r>
        <w:rPr>
          <w:color w:val="000000"/>
          <w:sz w:val="22"/>
          <w:szCs w:val="22"/>
          <w:lang w:val="es-ES"/>
        </w:rPr>
        <w:t xml:space="preserve"> </w:t>
      </w:r>
      <w:proofErr w:type="spellStart"/>
      <w:r>
        <w:rPr>
          <w:color w:val="000000"/>
          <w:sz w:val="22"/>
          <w:szCs w:val="22"/>
          <w:lang w:val="es-ES"/>
        </w:rPr>
        <w:t>range</w:t>
      </w:r>
      <w:proofErr w:type="spellEnd"/>
      <w:r>
        <w:rPr>
          <w:color w:val="000000"/>
          <w:sz w:val="22"/>
          <w:szCs w:val="22"/>
          <w:lang w:val="es-ES"/>
        </w:rPr>
        <w:t>.</w:t>
      </w:r>
    </w:p>
    <w:p w14:paraId="44024448" w14:textId="77777777" w:rsidR="00E255F4" w:rsidRDefault="00000000">
      <w:pPr>
        <w:pStyle w:val="Prrafodelista"/>
        <w:numPr>
          <w:ilvl w:val="1"/>
          <w:numId w:val="47"/>
        </w:numPr>
        <w:tabs>
          <w:tab w:val="left" w:pos="-720"/>
          <w:tab w:val="left" w:pos="993"/>
        </w:tabs>
        <w:spacing w:after="120"/>
        <w:ind w:left="993" w:hanging="426"/>
        <w:jc w:val="both"/>
        <w:rPr>
          <w:color w:val="000000"/>
          <w:sz w:val="22"/>
          <w:szCs w:val="22"/>
          <w:lang w:val="es-ES"/>
        </w:rPr>
      </w:pPr>
      <w:r>
        <w:rPr>
          <w:color w:val="000000"/>
          <w:sz w:val="22"/>
          <w:szCs w:val="22"/>
          <w:lang w:val="es-ES"/>
        </w:rPr>
        <w:t xml:space="preserve">They </w:t>
      </w:r>
      <w:proofErr w:type="spellStart"/>
      <w:r>
        <w:rPr>
          <w:color w:val="000000"/>
          <w:sz w:val="22"/>
          <w:szCs w:val="22"/>
          <w:lang w:val="es-ES"/>
        </w:rPr>
        <w:t>must</w:t>
      </w:r>
      <w:proofErr w:type="spellEnd"/>
      <w:r>
        <w:rPr>
          <w:color w:val="000000"/>
          <w:sz w:val="22"/>
          <w:szCs w:val="22"/>
          <w:lang w:val="es-ES"/>
        </w:rPr>
        <w:t xml:space="preserve"> </w:t>
      </w:r>
      <w:proofErr w:type="spellStart"/>
      <w:r>
        <w:rPr>
          <w:color w:val="000000"/>
          <w:sz w:val="22"/>
          <w:szCs w:val="22"/>
          <w:lang w:val="es-ES"/>
        </w:rPr>
        <w:t>not</w:t>
      </w:r>
      <w:proofErr w:type="spellEnd"/>
      <w:r>
        <w:rPr>
          <w:color w:val="000000"/>
          <w:sz w:val="22"/>
          <w:szCs w:val="22"/>
          <w:lang w:val="es-ES"/>
        </w:rPr>
        <w:t xml:space="preserve"> cause </w:t>
      </w:r>
      <w:proofErr w:type="spellStart"/>
      <w:r>
        <w:rPr>
          <w:color w:val="000000"/>
          <w:sz w:val="22"/>
          <w:szCs w:val="22"/>
          <w:lang w:val="es-ES"/>
        </w:rPr>
        <w:t>any</w:t>
      </w:r>
      <w:proofErr w:type="spellEnd"/>
      <w:r>
        <w:rPr>
          <w:color w:val="000000"/>
          <w:sz w:val="22"/>
          <w:szCs w:val="22"/>
          <w:lang w:val="es-ES"/>
        </w:rPr>
        <w:t xml:space="preserve"> </w:t>
      </w:r>
      <w:proofErr w:type="spellStart"/>
      <w:r>
        <w:rPr>
          <w:color w:val="000000"/>
          <w:sz w:val="22"/>
          <w:szCs w:val="22"/>
          <w:lang w:val="es-ES"/>
        </w:rPr>
        <w:t>degradation</w:t>
      </w:r>
      <w:proofErr w:type="spellEnd"/>
      <w:r>
        <w:rPr>
          <w:color w:val="000000"/>
          <w:sz w:val="22"/>
          <w:szCs w:val="22"/>
          <w:lang w:val="es-ES"/>
        </w:rPr>
        <w:t xml:space="preserve"> in </w:t>
      </w:r>
      <w:proofErr w:type="spellStart"/>
      <w:r>
        <w:rPr>
          <w:color w:val="000000"/>
          <w:sz w:val="22"/>
          <w:szCs w:val="22"/>
          <w:lang w:val="es-ES"/>
        </w:rPr>
        <w:t>the</w:t>
      </w:r>
      <w:proofErr w:type="spellEnd"/>
      <w:r>
        <w:rPr>
          <w:color w:val="000000"/>
          <w:sz w:val="22"/>
          <w:szCs w:val="22"/>
          <w:lang w:val="es-ES"/>
        </w:rPr>
        <w:t xml:space="preserve"> </w:t>
      </w:r>
      <w:proofErr w:type="spellStart"/>
      <w:r>
        <w:rPr>
          <w:color w:val="000000"/>
          <w:sz w:val="22"/>
          <w:szCs w:val="22"/>
          <w:lang w:val="es-ES"/>
        </w:rPr>
        <w:t>potability</w:t>
      </w:r>
      <w:proofErr w:type="spellEnd"/>
      <w:r>
        <w:rPr>
          <w:color w:val="000000"/>
          <w:sz w:val="22"/>
          <w:szCs w:val="22"/>
          <w:lang w:val="es-ES"/>
        </w:rPr>
        <w:t xml:space="preserve"> </w:t>
      </w:r>
      <w:proofErr w:type="spellStart"/>
      <w:r>
        <w:rPr>
          <w:color w:val="000000"/>
          <w:sz w:val="22"/>
          <w:szCs w:val="22"/>
          <w:lang w:val="es-ES"/>
        </w:rPr>
        <w:t>of</w:t>
      </w:r>
      <w:proofErr w:type="spellEnd"/>
      <w:r>
        <w:rPr>
          <w:color w:val="000000"/>
          <w:sz w:val="22"/>
          <w:szCs w:val="22"/>
          <w:lang w:val="es-ES"/>
        </w:rPr>
        <w:t xml:space="preserve"> </w:t>
      </w:r>
      <w:proofErr w:type="spellStart"/>
      <w:r>
        <w:rPr>
          <w:color w:val="000000"/>
          <w:sz w:val="22"/>
          <w:szCs w:val="22"/>
          <w:lang w:val="es-ES"/>
        </w:rPr>
        <w:t>the</w:t>
      </w:r>
      <w:proofErr w:type="spellEnd"/>
      <w:r>
        <w:rPr>
          <w:color w:val="000000"/>
          <w:sz w:val="22"/>
          <w:szCs w:val="22"/>
          <w:lang w:val="es-ES"/>
        </w:rPr>
        <w:t xml:space="preserve"> </w:t>
      </w:r>
      <w:proofErr w:type="spellStart"/>
      <w:r>
        <w:rPr>
          <w:color w:val="000000"/>
          <w:sz w:val="22"/>
          <w:szCs w:val="22"/>
          <w:lang w:val="es-ES"/>
        </w:rPr>
        <w:t>water</w:t>
      </w:r>
      <w:proofErr w:type="spellEnd"/>
      <w:r>
        <w:rPr>
          <w:color w:val="000000"/>
          <w:sz w:val="22"/>
          <w:szCs w:val="22"/>
          <w:lang w:val="es-ES"/>
        </w:rPr>
        <w:t xml:space="preserve"> </w:t>
      </w:r>
      <w:proofErr w:type="spellStart"/>
      <w:r>
        <w:rPr>
          <w:color w:val="000000"/>
          <w:sz w:val="22"/>
          <w:szCs w:val="22"/>
          <w:lang w:val="es-ES"/>
        </w:rPr>
        <w:t>or</w:t>
      </w:r>
      <w:proofErr w:type="spellEnd"/>
      <w:r>
        <w:rPr>
          <w:color w:val="000000"/>
          <w:sz w:val="22"/>
          <w:szCs w:val="22"/>
          <w:lang w:val="es-ES"/>
        </w:rPr>
        <w:t xml:space="preserve"> in </w:t>
      </w:r>
      <w:proofErr w:type="spellStart"/>
      <w:r>
        <w:rPr>
          <w:color w:val="000000"/>
          <w:sz w:val="22"/>
          <w:szCs w:val="22"/>
          <w:lang w:val="es-ES"/>
        </w:rPr>
        <w:t>relation</w:t>
      </w:r>
      <w:proofErr w:type="spellEnd"/>
      <w:r>
        <w:rPr>
          <w:color w:val="000000"/>
          <w:sz w:val="22"/>
          <w:szCs w:val="22"/>
          <w:lang w:val="es-ES"/>
        </w:rPr>
        <w:t xml:space="preserve"> </w:t>
      </w:r>
      <w:proofErr w:type="spellStart"/>
      <w:r>
        <w:rPr>
          <w:color w:val="000000"/>
          <w:sz w:val="22"/>
          <w:szCs w:val="22"/>
          <w:lang w:val="es-ES"/>
        </w:rPr>
        <w:t>to</w:t>
      </w:r>
      <w:proofErr w:type="spellEnd"/>
      <w:r>
        <w:rPr>
          <w:color w:val="000000"/>
          <w:sz w:val="22"/>
          <w:szCs w:val="22"/>
          <w:lang w:val="es-ES"/>
        </w:rPr>
        <w:t xml:space="preserve"> </w:t>
      </w:r>
      <w:proofErr w:type="spellStart"/>
      <w:r>
        <w:rPr>
          <w:color w:val="000000"/>
          <w:sz w:val="22"/>
          <w:szCs w:val="22"/>
          <w:lang w:val="es-ES"/>
        </w:rPr>
        <w:t>fiberglass</w:t>
      </w:r>
      <w:proofErr w:type="spellEnd"/>
      <w:r>
        <w:rPr>
          <w:color w:val="000000"/>
          <w:sz w:val="22"/>
          <w:szCs w:val="22"/>
          <w:lang w:val="es-ES"/>
        </w:rPr>
        <w:t xml:space="preserve"> </w:t>
      </w:r>
      <w:proofErr w:type="spellStart"/>
      <w:r>
        <w:rPr>
          <w:color w:val="000000"/>
          <w:sz w:val="22"/>
          <w:szCs w:val="22"/>
          <w:lang w:val="es-ES"/>
        </w:rPr>
        <w:t>or</w:t>
      </w:r>
      <w:proofErr w:type="spellEnd"/>
      <w:r>
        <w:rPr>
          <w:color w:val="000000"/>
          <w:sz w:val="22"/>
          <w:szCs w:val="22"/>
          <w:lang w:val="es-ES"/>
        </w:rPr>
        <w:t xml:space="preserve"> </w:t>
      </w:r>
      <w:proofErr w:type="spellStart"/>
      <w:r>
        <w:rPr>
          <w:color w:val="000000"/>
          <w:sz w:val="22"/>
          <w:szCs w:val="22"/>
          <w:lang w:val="es-ES"/>
        </w:rPr>
        <w:t>the</w:t>
      </w:r>
      <w:proofErr w:type="spellEnd"/>
      <w:r>
        <w:rPr>
          <w:color w:val="000000"/>
          <w:sz w:val="22"/>
          <w:szCs w:val="22"/>
          <w:lang w:val="es-ES"/>
        </w:rPr>
        <w:t xml:space="preserve"> </w:t>
      </w:r>
      <w:proofErr w:type="spellStart"/>
      <w:r>
        <w:rPr>
          <w:color w:val="000000"/>
          <w:sz w:val="22"/>
          <w:szCs w:val="22"/>
          <w:lang w:val="es-ES"/>
        </w:rPr>
        <w:t>propensity</w:t>
      </w:r>
      <w:proofErr w:type="spellEnd"/>
      <w:r>
        <w:rPr>
          <w:color w:val="000000"/>
          <w:sz w:val="22"/>
          <w:szCs w:val="22"/>
          <w:lang w:val="es-ES"/>
        </w:rPr>
        <w:t xml:space="preserve"> </w:t>
      </w:r>
      <w:proofErr w:type="spellStart"/>
      <w:r>
        <w:rPr>
          <w:color w:val="000000"/>
          <w:sz w:val="22"/>
          <w:szCs w:val="22"/>
          <w:lang w:val="es-ES"/>
        </w:rPr>
        <w:t>of</w:t>
      </w:r>
      <w:proofErr w:type="spellEnd"/>
      <w:r>
        <w:rPr>
          <w:color w:val="000000"/>
          <w:sz w:val="22"/>
          <w:szCs w:val="22"/>
          <w:lang w:val="es-ES"/>
        </w:rPr>
        <w:t xml:space="preserve"> </w:t>
      </w:r>
      <w:proofErr w:type="spellStart"/>
      <w:r>
        <w:rPr>
          <w:color w:val="000000"/>
          <w:sz w:val="22"/>
          <w:szCs w:val="22"/>
          <w:lang w:val="es-ES"/>
        </w:rPr>
        <w:t>pathogen</w:t>
      </w:r>
      <w:proofErr w:type="spellEnd"/>
      <w:r>
        <w:rPr>
          <w:color w:val="000000"/>
          <w:sz w:val="22"/>
          <w:szCs w:val="22"/>
          <w:lang w:val="es-ES"/>
        </w:rPr>
        <w:t xml:space="preserve"> </w:t>
      </w:r>
      <w:proofErr w:type="spellStart"/>
      <w:r>
        <w:rPr>
          <w:color w:val="000000"/>
          <w:sz w:val="22"/>
          <w:szCs w:val="22"/>
          <w:lang w:val="es-ES"/>
        </w:rPr>
        <w:t>development</w:t>
      </w:r>
      <w:proofErr w:type="spellEnd"/>
      <w:r>
        <w:rPr>
          <w:color w:val="000000"/>
          <w:sz w:val="22"/>
          <w:szCs w:val="22"/>
          <w:lang w:val="es-ES"/>
        </w:rPr>
        <w:t xml:space="preserve"> in </w:t>
      </w:r>
      <w:proofErr w:type="spellStart"/>
      <w:r>
        <w:rPr>
          <w:color w:val="000000"/>
          <w:sz w:val="22"/>
          <w:szCs w:val="22"/>
          <w:lang w:val="es-ES"/>
        </w:rPr>
        <w:t>the</w:t>
      </w:r>
      <w:proofErr w:type="spellEnd"/>
      <w:r>
        <w:rPr>
          <w:color w:val="000000"/>
          <w:sz w:val="22"/>
          <w:szCs w:val="22"/>
          <w:lang w:val="es-ES"/>
        </w:rPr>
        <w:t xml:space="preserve"> </w:t>
      </w:r>
      <w:proofErr w:type="spellStart"/>
      <w:r>
        <w:rPr>
          <w:color w:val="000000"/>
          <w:sz w:val="22"/>
          <w:szCs w:val="22"/>
          <w:lang w:val="es-ES"/>
        </w:rPr>
        <w:t>plastic</w:t>
      </w:r>
      <w:proofErr w:type="spellEnd"/>
      <w:r>
        <w:rPr>
          <w:color w:val="000000"/>
          <w:sz w:val="22"/>
          <w:szCs w:val="22"/>
          <w:lang w:val="es-ES"/>
        </w:rPr>
        <w:t xml:space="preserve"> </w:t>
      </w:r>
      <w:proofErr w:type="spellStart"/>
      <w:r>
        <w:rPr>
          <w:color w:val="000000"/>
          <w:sz w:val="22"/>
          <w:szCs w:val="22"/>
          <w:lang w:val="es-ES"/>
        </w:rPr>
        <w:t>casings</w:t>
      </w:r>
      <w:proofErr w:type="spellEnd"/>
      <w:r>
        <w:rPr>
          <w:color w:val="000000"/>
          <w:sz w:val="22"/>
          <w:szCs w:val="22"/>
          <w:lang w:val="es-ES"/>
        </w:rPr>
        <w:t xml:space="preserve">. A </w:t>
      </w:r>
      <w:proofErr w:type="spellStart"/>
      <w:r>
        <w:rPr>
          <w:color w:val="000000"/>
          <w:sz w:val="22"/>
          <w:szCs w:val="22"/>
          <w:lang w:val="es-ES"/>
        </w:rPr>
        <w:t>current</w:t>
      </w:r>
      <w:proofErr w:type="spellEnd"/>
      <w:r>
        <w:rPr>
          <w:color w:val="000000"/>
          <w:sz w:val="22"/>
          <w:szCs w:val="22"/>
          <w:lang w:val="es-ES"/>
        </w:rPr>
        <w:t xml:space="preserve"> </w:t>
      </w:r>
      <w:proofErr w:type="spellStart"/>
      <w:r>
        <w:rPr>
          <w:color w:val="000000"/>
          <w:sz w:val="22"/>
          <w:szCs w:val="22"/>
          <w:lang w:val="es-ES"/>
        </w:rPr>
        <w:t>sanitary</w:t>
      </w:r>
      <w:proofErr w:type="spellEnd"/>
      <w:r>
        <w:rPr>
          <w:color w:val="000000"/>
          <w:sz w:val="22"/>
          <w:szCs w:val="22"/>
          <w:lang w:val="es-ES"/>
        </w:rPr>
        <w:t xml:space="preserve"> </w:t>
      </w:r>
      <w:proofErr w:type="spellStart"/>
      <w:r>
        <w:rPr>
          <w:color w:val="000000"/>
          <w:sz w:val="22"/>
          <w:szCs w:val="22"/>
          <w:lang w:val="es-ES"/>
        </w:rPr>
        <w:t>conformity</w:t>
      </w:r>
      <w:proofErr w:type="spellEnd"/>
      <w:r>
        <w:rPr>
          <w:color w:val="000000"/>
          <w:sz w:val="22"/>
          <w:szCs w:val="22"/>
          <w:lang w:val="es-ES"/>
        </w:rPr>
        <w:t xml:space="preserve"> </w:t>
      </w:r>
      <w:proofErr w:type="spellStart"/>
      <w:r>
        <w:rPr>
          <w:color w:val="000000"/>
          <w:sz w:val="22"/>
          <w:szCs w:val="22"/>
          <w:lang w:val="es-ES"/>
        </w:rPr>
        <w:t>certificate</w:t>
      </w:r>
      <w:proofErr w:type="spellEnd"/>
      <w:r>
        <w:rPr>
          <w:color w:val="000000"/>
          <w:sz w:val="22"/>
          <w:szCs w:val="22"/>
          <w:lang w:val="es-ES"/>
        </w:rPr>
        <w:t xml:space="preserve"> </w:t>
      </w:r>
      <w:proofErr w:type="spellStart"/>
      <w:r>
        <w:rPr>
          <w:color w:val="000000"/>
          <w:sz w:val="22"/>
          <w:szCs w:val="22"/>
          <w:lang w:val="es-ES"/>
        </w:rPr>
        <w:t>demonstrating</w:t>
      </w:r>
      <w:proofErr w:type="spellEnd"/>
      <w:r>
        <w:rPr>
          <w:color w:val="000000"/>
          <w:sz w:val="22"/>
          <w:szCs w:val="22"/>
          <w:lang w:val="es-ES"/>
        </w:rPr>
        <w:t xml:space="preserve"> </w:t>
      </w:r>
      <w:proofErr w:type="spellStart"/>
      <w:r>
        <w:rPr>
          <w:color w:val="000000"/>
          <w:sz w:val="22"/>
          <w:szCs w:val="22"/>
          <w:lang w:val="es-ES"/>
        </w:rPr>
        <w:t>this</w:t>
      </w:r>
      <w:proofErr w:type="spellEnd"/>
      <w:r>
        <w:rPr>
          <w:color w:val="000000"/>
          <w:sz w:val="22"/>
          <w:szCs w:val="22"/>
          <w:lang w:val="es-ES"/>
        </w:rPr>
        <w:t xml:space="preserve"> </w:t>
      </w:r>
      <w:proofErr w:type="spellStart"/>
      <w:r>
        <w:rPr>
          <w:color w:val="000000"/>
          <w:sz w:val="22"/>
          <w:szCs w:val="22"/>
          <w:lang w:val="es-ES"/>
        </w:rPr>
        <w:t>condition</w:t>
      </w:r>
      <w:proofErr w:type="spellEnd"/>
      <w:r>
        <w:rPr>
          <w:color w:val="000000"/>
          <w:sz w:val="22"/>
          <w:szCs w:val="22"/>
          <w:lang w:val="es-ES"/>
        </w:rPr>
        <w:t xml:space="preserve"> </w:t>
      </w:r>
      <w:proofErr w:type="spellStart"/>
      <w:r>
        <w:rPr>
          <w:color w:val="000000"/>
          <w:sz w:val="22"/>
          <w:szCs w:val="22"/>
          <w:lang w:val="es-ES"/>
        </w:rPr>
        <w:t>must</w:t>
      </w:r>
      <w:proofErr w:type="spellEnd"/>
      <w:r>
        <w:rPr>
          <w:color w:val="000000"/>
          <w:sz w:val="22"/>
          <w:szCs w:val="22"/>
          <w:lang w:val="es-ES"/>
        </w:rPr>
        <w:t xml:space="preserve"> be </w:t>
      </w:r>
      <w:proofErr w:type="spellStart"/>
      <w:r>
        <w:rPr>
          <w:color w:val="000000"/>
          <w:sz w:val="22"/>
          <w:szCs w:val="22"/>
          <w:lang w:val="es-ES"/>
        </w:rPr>
        <w:t>attached</w:t>
      </w:r>
      <w:proofErr w:type="spellEnd"/>
      <w:r>
        <w:rPr>
          <w:color w:val="000000"/>
          <w:sz w:val="22"/>
          <w:szCs w:val="22"/>
          <w:lang w:val="es-ES"/>
        </w:rPr>
        <w:t xml:space="preserve"> (WRAS, NFS, </w:t>
      </w:r>
      <w:proofErr w:type="spellStart"/>
      <w:r>
        <w:rPr>
          <w:color w:val="000000"/>
          <w:sz w:val="22"/>
          <w:szCs w:val="22"/>
          <w:lang w:val="es-ES"/>
        </w:rPr>
        <w:t>Eurofins</w:t>
      </w:r>
      <w:proofErr w:type="spellEnd"/>
      <w:r>
        <w:rPr>
          <w:color w:val="000000"/>
          <w:sz w:val="22"/>
          <w:szCs w:val="22"/>
          <w:lang w:val="es-ES"/>
        </w:rPr>
        <w:t>, ACS, etc.).</w:t>
      </w:r>
    </w:p>
    <w:p w14:paraId="260245B7" w14:textId="77777777" w:rsidR="00E255F4" w:rsidRDefault="00000000">
      <w:pPr>
        <w:pStyle w:val="Prrafodelista"/>
        <w:numPr>
          <w:ilvl w:val="1"/>
          <w:numId w:val="47"/>
        </w:numPr>
        <w:tabs>
          <w:tab w:val="left" w:pos="-720"/>
          <w:tab w:val="left" w:pos="993"/>
        </w:tabs>
        <w:spacing w:after="120"/>
        <w:ind w:left="993" w:hanging="426"/>
        <w:jc w:val="both"/>
        <w:rPr>
          <w:color w:val="000000"/>
          <w:sz w:val="22"/>
          <w:szCs w:val="22"/>
          <w:lang w:val="es-ES"/>
        </w:rPr>
      </w:pPr>
      <w:proofErr w:type="spellStart"/>
      <w:r>
        <w:rPr>
          <w:color w:val="000000"/>
          <w:sz w:val="22"/>
          <w:szCs w:val="22"/>
          <w:lang w:val="es-ES"/>
        </w:rPr>
        <w:t>To</w:t>
      </w:r>
      <w:proofErr w:type="spellEnd"/>
      <w:r>
        <w:rPr>
          <w:color w:val="000000"/>
          <w:sz w:val="22"/>
          <w:szCs w:val="22"/>
          <w:lang w:val="es-ES"/>
        </w:rPr>
        <w:t xml:space="preserve"> be </w:t>
      </w:r>
      <w:proofErr w:type="spellStart"/>
      <w:r>
        <w:rPr>
          <w:color w:val="000000"/>
          <w:sz w:val="22"/>
          <w:szCs w:val="22"/>
          <w:lang w:val="es-ES"/>
        </w:rPr>
        <w:t>resistant</w:t>
      </w:r>
      <w:proofErr w:type="spellEnd"/>
      <w:r>
        <w:rPr>
          <w:color w:val="000000"/>
          <w:sz w:val="22"/>
          <w:szCs w:val="22"/>
          <w:lang w:val="es-ES"/>
        </w:rPr>
        <w:t xml:space="preserve"> </w:t>
      </w:r>
      <w:proofErr w:type="spellStart"/>
      <w:r>
        <w:rPr>
          <w:color w:val="000000"/>
          <w:sz w:val="22"/>
          <w:szCs w:val="22"/>
          <w:lang w:val="es-ES"/>
        </w:rPr>
        <w:t>to</w:t>
      </w:r>
      <w:proofErr w:type="spellEnd"/>
      <w:r>
        <w:rPr>
          <w:color w:val="000000"/>
          <w:sz w:val="22"/>
          <w:szCs w:val="22"/>
          <w:lang w:val="es-ES"/>
        </w:rPr>
        <w:t xml:space="preserve"> </w:t>
      </w:r>
      <w:proofErr w:type="spellStart"/>
      <w:r>
        <w:rPr>
          <w:color w:val="000000"/>
          <w:sz w:val="22"/>
          <w:szCs w:val="22"/>
          <w:lang w:val="es-ES"/>
        </w:rPr>
        <w:t>internal</w:t>
      </w:r>
      <w:proofErr w:type="spellEnd"/>
      <w:r>
        <w:rPr>
          <w:color w:val="000000"/>
          <w:sz w:val="22"/>
          <w:szCs w:val="22"/>
          <w:lang w:val="es-ES"/>
        </w:rPr>
        <w:t xml:space="preserve"> and </w:t>
      </w:r>
      <w:proofErr w:type="spellStart"/>
      <w:r>
        <w:rPr>
          <w:color w:val="000000"/>
          <w:sz w:val="22"/>
          <w:szCs w:val="22"/>
          <w:lang w:val="es-ES"/>
        </w:rPr>
        <w:t>external</w:t>
      </w:r>
      <w:proofErr w:type="spellEnd"/>
      <w:r>
        <w:rPr>
          <w:color w:val="000000"/>
          <w:sz w:val="22"/>
          <w:szCs w:val="22"/>
          <w:lang w:val="es-ES"/>
        </w:rPr>
        <w:t xml:space="preserve"> </w:t>
      </w:r>
      <w:proofErr w:type="spellStart"/>
      <w:r>
        <w:rPr>
          <w:color w:val="000000"/>
          <w:sz w:val="22"/>
          <w:szCs w:val="22"/>
          <w:lang w:val="es-ES"/>
        </w:rPr>
        <w:t>corrosion</w:t>
      </w:r>
      <w:proofErr w:type="spellEnd"/>
      <w:r>
        <w:rPr>
          <w:color w:val="000000"/>
          <w:sz w:val="22"/>
          <w:szCs w:val="22"/>
          <w:lang w:val="es-ES"/>
        </w:rPr>
        <w:t xml:space="preserve"> </w:t>
      </w:r>
      <w:proofErr w:type="spellStart"/>
      <w:r>
        <w:rPr>
          <w:color w:val="000000"/>
          <w:sz w:val="22"/>
          <w:szCs w:val="22"/>
          <w:lang w:val="es-ES"/>
        </w:rPr>
        <w:t>or</w:t>
      </w:r>
      <w:proofErr w:type="spellEnd"/>
      <w:r>
        <w:rPr>
          <w:color w:val="000000"/>
          <w:sz w:val="22"/>
          <w:szCs w:val="22"/>
          <w:lang w:val="es-ES"/>
        </w:rPr>
        <w:t xml:space="preserve"> </w:t>
      </w:r>
      <w:proofErr w:type="spellStart"/>
      <w:r>
        <w:rPr>
          <w:color w:val="000000"/>
          <w:sz w:val="22"/>
          <w:szCs w:val="22"/>
          <w:lang w:val="es-ES"/>
        </w:rPr>
        <w:t>to</w:t>
      </w:r>
      <w:proofErr w:type="spellEnd"/>
      <w:r>
        <w:rPr>
          <w:color w:val="000000"/>
          <w:sz w:val="22"/>
          <w:szCs w:val="22"/>
          <w:lang w:val="es-ES"/>
        </w:rPr>
        <w:t xml:space="preserve"> be </w:t>
      </w:r>
      <w:proofErr w:type="spellStart"/>
      <w:r>
        <w:rPr>
          <w:color w:val="000000"/>
          <w:sz w:val="22"/>
          <w:szCs w:val="22"/>
          <w:lang w:val="es-ES"/>
        </w:rPr>
        <w:t>protected</w:t>
      </w:r>
      <w:proofErr w:type="spellEnd"/>
      <w:r>
        <w:rPr>
          <w:color w:val="000000"/>
          <w:sz w:val="22"/>
          <w:szCs w:val="22"/>
          <w:lang w:val="es-ES"/>
        </w:rPr>
        <w:t xml:space="preserve"> </w:t>
      </w:r>
      <w:proofErr w:type="spellStart"/>
      <w:r>
        <w:rPr>
          <w:color w:val="000000"/>
          <w:sz w:val="22"/>
          <w:szCs w:val="22"/>
          <w:lang w:val="es-ES"/>
        </w:rPr>
        <w:t>from</w:t>
      </w:r>
      <w:proofErr w:type="spellEnd"/>
      <w:r>
        <w:rPr>
          <w:color w:val="000000"/>
          <w:sz w:val="22"/>
          <w:szCs w:val="22"/>
          <w:lang w:val="es-ES"/>
        </w:rPr>
        <w:t xml:space="preserve"> </w:t>
      </w:r>
      <w:proofErr w:type="spellStart"/>
      <w:r>
        <w:rPr>
          <w:color w:val="000000"/>
          <w:sz w:val="22"/>
          <w:szCs w:val="22"/>
          <w:lang w:val="es-ES"/>
        </w:rPr>
        <w:t>it</w:t>
      </w:r>
      <w:proofErr w:type="spellEnd"/>
      <w:r>
        <w:rPr>
          <w:color w:val="000000"/>
          <w:sz w:val="22"/>
          <w:szCs w:val="22"/>
          <w:lang w:val="es-ES"/>
        </w:rPr>
        <w:t xml:space="preserve"> </w:t>
      </w:r>
      <w:proofErr w:type="spellStart"/>
      <w:r>
        <w:rPr>
          <w:color w:val="000000"/>
          <w:sz w:val="22"/>
          <w:szCs w:val="22"/>
          <w:lang w:val="es-ES"/>
        </w:rPr>
        <w:t>by</w:t>
      </w:r>
      <w:proofErr w:type="spellEnd"/>
      <w:r>
        <w:rPr>
          <w:color w:val="000000"/>
          <w:sz w:val="22"/>
          <w:szCs w:val="22"/>
          <w:lang w:val="es-ES"/>
        </w:rPr>
        <w:t xml:space="preserve"> </w:t>
      </w:r>
      <w:proofErr w:type="spellStart"/>
      <w:r>
        <w:rPr>
          <w:color w:val="000000"/>
          <w:sz w:val="22"/>
          <w:szCs w:val="22"/>
          <w:lang w:val="es-ES"/>
        </w:rPr>
        <w:t>the</w:t>
      </w:r>
      <w:proofErr w:type="spellEnd"/>
      <w:r>
        <w:rPr>
          <w:color w:val="000000"/>
          <w:sz w:val="22"/>
          <w:szCs w:val="22"/>
          <w:lang w:val="es-ES"/>
        </w:rPr>
        <w:t xml:space="preserve"> </w:t>
      </w:r>
      <w:proofErr w:type="spellStart"/>
      <w:r>
        <w:rPr>
          <w:color w:val="000000"/>
          <w:sz w:val="22"/>
          <w:szCs w:val="22"/>
          <w:lang w:val="es-ES"/>
        </w:rPr>
        <w:t>application</w:t>
      </w:r>
      <w:proofErr w:type="spellEnd"/>
      <w:r>
        <w:rPr>
          <w:color w:val="000000"/>
          <w:sz w:val="22"/>
          <w:szCs w:val="22"/>
          <w:lang w:val="es-ES"/>
        </w:rPr>
        <w:t xml:space="preserve"> </w:t>
      </w:r>
      <w:proofErr w:type="spellStart"/>
      <w:r>
        <w:rPr>
          <w:color w:val="000000"/>
          <w:sz w:val="22"/>
          <w:szCs w:val="22"/>
          <w:lang w:val="es-ES"/>
        </w:rPr>
        <w:t>of</w:t>
      </w:r>
      <w:proofErr w:type="spellEnd"/>
      <w:r>
        <w:rPr>
          <w:color w:val="000000"/>
          <w:sz w:val="22"/>
          <w:szCs w:val="22"/>
          <w:lang w:val="es-ES"/>
        </w:rPr>
        <w:t xml:space="preserve"> a </w:t>
      </w:r>
      <w:proofErr w:type="spellStart"/>
      <w:r>
        <w:rPr>
          <w:color w:val="000000"/>
          <w:sz w:val="22"/>
          <w:szCs w:val="22"/>
          <w:lang w:val="es-ES"/>
        </w:rPr>
        <w:t>suitable</w:t>
      </w:r>
      <w:proofErr w:type="spellEnd"/>
      <w:r>
        <w:rPr>
          <w:color w:val="000000"/>
          <w:sz w:val="22"/>
          <w:szCs w:val="22"/>
          <w:lang w:val="es-ES"/>
        </w:rPr>
        <w:t xml:space="preserve"> </w:t>
      </w:r>
      <w:proofErr w:type="spellStart"/>
      <w:r>
        <w:rPr>
          <w:color w:val="000000"/>
          <w:sz w:val="22"/>
          <w:szCs w:val="22"/>
          <w:lang w:val="es-ES"/>
        </w:rPr>
        <w:t>treatment</w:t>
      </w:r>
      <w:proofErr w:type="spellEnd"/>
      <w:r>
        <w:rPr>
          <w:color w:val="000000"/>
          <w:sz w:val="22"/>
          <w:szCs w:val="22"/>
          <w:lang w:val="es-ES"/>
        </w:rPr>
        <w:t>.</w:t>
      </w:r>
    </w:p>
    <w:p w14:paraId="403942DD" w14:textId="77777777" w:rsidR="00E255F4" w:rsidRDefault="00000000">
      <w:pPr>
        <w:pStyle w:val="Prrafodelista"/>
        <w:numPr>
          <w:ilvl w:val="1"/>
          <w:numId w:val="47"/>
        </w:numPr>
        <w:tabs>
          <w:tab w:val="left" w:pos="-720"/>
          <w:tab w:val="left" w:pos="993"/>
        </w:tabs>
        <w:spacing w:after="120"/>
        <w:ind w:left="993" w:hanging="426"/>
        <w:jc w:val="both"/>
        <w:rPr>
          <w:color w:val="000000"/>
          <w:sz w:val="22"/>
          <w:szCs w:val="22"/>
          <w:lang w:val="es-ES"/>
        </w:rPr>
      </w:pPr>
      <w:r>
        <w:rPr>
          <w:color w:val="000000"/>
          <w:sz w:val="22"/>
          <w:szCs w:val="22"/>
          <w:lang w:val="es-ES"/>
        </w:rPr>
        <w:t xml:space="preserve">The </w:t>
      </w:r>
      <w:proofErr w:type="spellStart"/>
      <w:r>
        <w:rPr>
          <w:color w:val="000000"/>
          <w:sz w:val="22"/>
          <w:szCs w:val="22"/>
          <w:lang w:val="es-ES"/>
        </w:rPr>
        <w:t>external</w:t>
      </w:r>
      <w:proofErr w:type="spellEnd"/>
      <w:r>
        <w:rPr>
          <w:color w:val="000000"/>
          <w:sz w:val="22"/>
          <w:szCs w:val="22"/>
          <w:lang w:val="es-ES"/>
        </w:rPr>
        <w:t xml:space="preserve"> </w:t>
      </w:r>
      <w:proofErr w:type="spellStart"/>
      <w:r>
        <w:rPr>
          <w:color w:val="000000"/>
          <w:sz w:val="22"/>
          <w:szCs w:val="22"/>
          <w:lang w:val="es-ES"/>
        </w:rPr>
        <w:t>parts</w:t>
      </w:r>
      <w:proofErr w:type="spellEnd"/>
      <w:r>
        <w:rPr>
          <w:color w:val="000000"/>
          <w:sz w:val="22"/>
          <w:szCs w:val="22"/>
          <w:lang w:val="es-ES"/>
        </w:rPr>
        <w:t xml:space="preserve"> </w:t>
      </w:r>
      <w:proofErr w:type="spellStart"/>
      <w:r>
        <w:rPr>
          <w:color w:val="000000"/>
          <w:sz w:val="22"/>
          <w:szCs w:val="22"/>
          <w:lang w:val="es-ES"/>
        </w:rPr>
        <w:t>must</w:t>
      </w:r>
      <w:proofErr w:type="spellEnd"/>
      <w:r>
        <w:rPr>
          <w:color w:val="000000"/>
          <w:sz w:val="22"/>
          <w:szCs w:val="22"/>
          <w:lang w:val="es-ES"/>
        </w:rPr>
        <w:t xml:space="preserve"> </w:t>
      </w:r>
      <w:proofErr w:type="spellStart"/>
      <w:r>
        <w:rPr>
          <w:color w:val="000000"/>
          <w:sz w:val="22"/>
          <w:szCs w:val="22"/>
          <w:lang w:val="es-ES"/>
        </w:rPr>
        <w:t>withstand</w:t>
      </w:r>
      <w:proofErr w:type="spellEnd"/>
      <w:r>
        <w:rPr>
          <w:color w:val="000000"/>
          <w:sz w:val="22"/>
          <w:szCs w:val="22"/>
          <w:lang w:val="es-ES"/>
        </w:rPr>
        <w:t xml:space="preserve"> </w:t>
      </w:r>
      <w:proofErr w:type="spellStart"/>
      <w:r>
        <w:rPr>
          <w:color w:val="000000"/>
          <w:sz w:val="22"/>
          <w:szCs w:val="22"/>
          <w:lang w:val="es-ES"/>
        </w:rPr>
        <w:t>exposure</w:t>
      </w:r>
      <w:proofErr w:type="spellEnd"/>
      <w:r>
        <w:rPr>
          <w:color w:val="000000"/>
          <w:sz w:val="22"/>
          <w:szCs w:val="22"/>
          <w:lang w:val="es-ES"/>
        </w:rPr>
        <w:t xml:space="preserve"> </w:t>
      </w:r>
      <w:proofErr w:type="spellStart"/>
      <w:r>
        <w:rPr>
          <w:color w:val="000000"/>
          <w:sz w:val="22"/>
          <w:szCs w:val="22"/>
          <w:lang w:val="es-ES"/>
        </w:rPr>
        <w:t>to</w:t>
      </w:r>
      <w:proofErr w:type="spellEnd"/>
      <w:r>
        <w:rPr>
          <w:color w:val="000000"/>
          <w:sz w:val="22"/>
          <w:szCs w:val="22"/>
          <w:lang w:val="es-ES"/>
        </w:rPr>
        <w:t xml:space="preserve"> </w:t>
      </w:r>
      <w:proofErr w:type="spellStart"/>
      <w:r>
        <w:rPr>
          <w:color w:val="000000"/>
          <w:sz w:val="22"/>
          <w:szCs w:val="22"/>
          <w:lang w:val="es-ES"/>
        </w:rPr>
        <w:t>sunlight</w:t>
      </w:r>
      <w:proofErr w:type="spellEnd"/>
      <w:r>
        <w:rPr>
          <w:color w:val="000000"/>
          <w:sz w:val="22"/>
          <w:szCs w:val="22"/>
          <w:lang w:val="es-ES"/>
        </w:rPr>
        <w:t xml:space="preserve"> (</w:t>
      </w:r>
      <w:proofErr w:type="spellStart"/>
      <w:r>
        <w:rPr>
          <w:color w:val="000000"/>
          <w:sz w:val="22"/>
          <w:szCs w:val="22"/>
          <w:lang w:val="es-ES"/>
        </w:rPr>
        <w:t>ultraviolet</w:t>
      </w:r>
      <w:proofErr w:type="spellEnd"/>
      <w:r>
        <w:rPr>
          <w:color w:val="000000"/>
          <w:sz w:val="22"/>
          <w:szCs w:val="22"/>
          <w:lang w:val="es-ES"/>
        </w:rPr>
        <w:t xml:space="preserve"> light).</w:t>
      </w:r>
    </w:p>
    <w:p w14:paraId="6FC6F9C4" w14:textId="77777777" w:rsidR="00E255F4" w:rsidRDefault="00000000">
      <w:pPr>
        <w:numPr>
          <w:ilvl w:val="2"/>
          <w:numId w:val="4"/>
        </w:numPr>
        <w:spacing w:before="240" w:after="120"/>
        <w:rPr>
          <w:b/>
          <w:bCs/>
          <w:iCs/>
          <w:sz w:val="22"/>
          <w:szCs w:val="22"/>
          <w:lang w:val="es-ES"/>
        </w:rPr>
      </w:pPr>
      <w:proofErr w:type="spellStart"/>
      <w:r>
        <w:rPr>
          <w:b/>
          <w:bCs/>
          <w:iCs/>
          <w:sz w:val="22"/>
          <w:szCs w:val="22"/>
          <w:lang w:val="es-ES"/>
        </w:rPr>
        <w:t>Features</w:t>
      </w:r>
      <w:proofErr w:type="spellEnd"/>
      <w:r>
        <w:rPr>
          <w:b/>
          <w:bCs/>
          <w:iCs/>
          <w:sz w:val="22"/>
          <w:szCs w:val="22"/>
          <w:lang w:val="es-ES"/>
        </w:rPr>
        <w:t xml:space="preserve"> </w:t>
      </w:r>
      <w:proofErr w:type="spellStart"/>
      <w:r>
        <w:rPr>
          <w:b/>
          <w:bCs/>
          <w:iCs/>
          <w:sz w:val="22"/>
          <w:szCs w:val="22"/>
          <w:lang w:val="es-ES"/>
        </w:rPr>
        <w:t>of</w:t>
      </w:r>
      <w:proofErr w:type="spellEnd"/>
      <w:r>
        <w:rPr>
          <w:b/>
          <w:bCs/>
          <w:iCs/>
          <w:sz w:val="22"/>
          <w:szCs w:val="22"/>
          <w:lang w:val="es-ES"/>
        </w:rPr>
        <w:t xml:space="preserve"> </w:t>
      </w:r>
      <w:proofErr w:type="spellStart"/>
      <w:r>
        <w:rPr>
          <w:b/>
          <w:bCs/>
          <w:iCs/>
          <w:sz w:val="22"/>
          <w:szCs w:val="22"/>
          <w:lang w:val="es-ES"/>
        </w:rPr>
        <w:t>the</w:t>
      </w:r>
      <w:proofErr w:type="spellEnd"/>
      <w:r>
        <w:rPr>
          <w:b/>
          <w:bCs/>
          <w:iCs/>
          <w:sz w:val="22"/>
          <w:szCs w:val="22"/>
          <w:lang w:val="es-ES"/>
        </w:rPr>
        <w:t xml:space="preserve"> </w:t>
      </w:r>
      <w:proofErr w:type="spellStart"/>
      <w:r>
        <w:rPr>
          <w:b/>
          <w:bCs/>
          <w:iCs/>
          <w:sz w:val="22"/>
          <w:szCs w:val="22"/>
          <w:lang w:val="es-ES"/>
        </w:rPr>
        <w:t>casing</w:t>
      </w:r>
      <w:proofErr w:type="spellEnd"/>
    </w:p>
    <w:p w14:paraId="3F68BA1B" w14:textId="77777777" w:rsidR="00E255F4" w:rsidRDefault="00E255F4">
      <w:pPr>
        <w:pStyle w:val="Prrafodelista"/>
        <w:numPr>
          <w:ilvl w:val="0"/>
          <w:numId w:val="24"/>
        </w:numPr>
        <w:tabs>
          <w:tab w:val="left" w:pos="-720"/>
          <w:tab w:val="left" w:pos="993"/>
          <w:tab w:val="left" w:pos="1276"/>
          <w:tab w:val="left" w:pos="1843"/>
        </w:tabs>
        <w:spacing w:before="120" w:after="120" w:line="360" w:lineRule="auto"/>
        <w:jc w:val="both"/>
        <w:rPr>
          <w:b/>
          <w:bCs/>
          <w:iCs/>
          <w:vanish/>
          <w:color w:val="000000"/>
          <w:sz w:val="22"/>
          <w:szCs w:val="22"/>
          <w:lang w:val="es-ES"/>
        </w:rPr>
      </w:pPr>
    </w:p>
    <w:p w14:paraId="2FB878D9" w14:textId="77777777" w:rsidR="00E255F4" w:rsidRDefault="00E255F4">
      <w:pPr>
        <w:pStyle w:val="Prrafodelista"/>
        <w:numPr>
          <w:ilvl w:val="2"/>
          <w:numId w:val="13"/>
        </w:numPr>
        <w:tabs>
          <w:tab w:val="left" w:pos="-720"/>
          <w:tab w:val="left" w:pos="993"/>
          <w:tab w:val="left" w:pos="1276"/>
          <w:tab w:val="left" w:pos="1843"/>
        </w:tabs>
        <w:spacing w:before="120" w:after="120" w:line="360" w:lineRule="auto"/>
        <w:jc w:val="both"/>
        <w:rPr>
          <w:vanish/>
          <w:color w:val="000000"/>
          <w:sz w:val="22"/>
          <w:szCs w:val="22"/>
          <w:lang w:val="es-ES"/>
        </w:rPr>
      </w:pPr>
    </w:p>
    <w:p w14:paraId="5300EAE8" w14:textId="77777777" w:rsidR="00E255F4" w:rsidRDefault="00000000">
      <w:pPr>
        <w:pStyle w:val="Prrafodelista"/>
        <w:numPr>
          <w:ilvl w:val="3"/>
          <w:numId w:val="4"/>
        </w:numPr>
        <w:tabs>
          <w:tab w:val="left" w:pos="-720"/>
          <w:tab w:val="left" w:pos="142"/>
          <w:tab w:val="left" w:pos="851"/>
          <w:tab w:val="left" w:pos="993"/>
        </w:tabs>
        <w:spacing w:after="120"/>
        <w:ind w:left="851" w:hanging="851"/>
        <w:jc w:val="both"/>
      </w:pPr>
      <w:r>
        <w:rPr>
          <w:color w:val="000000"/>
          <w:sz w:val="22"/>
          <w:szCs w:val="22"/>
          <w:lang w:val="es-ES"/>
        </w:rPr>
        <w:t xml:space="preserve">The </w:t>
      </w:r>
      <w:proofErr w:type="spellStart"/>
      <w:r>
        <w:rPr>
          <w:color w:val="000000"/>
          <w:sz w:val="22"/>
          <w:szCs w:val="22"/>
          <w:lang w:val="es-ES"/>
        </w:rPr>
        <w:t>plastic</w:t>
      </w:r>
      <w:proofErr w:type="spellEnd"/>
      <w:r>
        <w:rPr>
          <w:color w:val="000000"/>
          <w:sz w:val="22"/>
          <w:szCs w:val="22"/>
          <w:lang w:val="es-ES"/>
        </w:rPr>
        <w:t xml:space="preserve"> </w:t>
      </w:r>
      <w:proofErr w:type="spellStart"/>
      <w:r>
        <w:rPr>
          <w:color w:val="000000"/>
          <w:sz w:val="22"/>
          <w:szCs w:val="22"/>
          <w:lang w:val="es-ES"/>
        </w:rPr>
        <w:t>casings</w:t>
      </w:r>
      <w:proofErr w:type="spellEnd"/>
      <w:r>
        <w:rPr>
          <w:color w:val="000000"/>
          <w:sz w:val="22"/>
          <w:szCs w:val="22"/>
          <w:lang w:val="es-ES"/>
        </w:rPr>
        <w:t xml:space="preserve"> </w:t>
      </w:r>
      <w:proofErr w:type="spellStart"/>
      <w:r>
        <w:rPr>
          <w:color w:val="000000"/>
          <w:sz w:val="22"/>
          <w:szCs w:val="22"/>
          <w:lang w:val="es-ES"/>
        </w:rPr>
        <w:t>of</w:t>
      </w:r>
      <w:proofErr w:type="spellEnd"/>
      <w:r>
        <w:rPr>
          <w:color w:val="000000"/>
          <w:sz w:val="22"/>
          <w:szCs w:val="22"/>
          <w:lang w:val="es-ES"/>
        </w:rPr>
        <w:t xml:space="preserve"> </w:t>
      </w:r>
      <w:proofErr w:type="spellStart"/>
      <w:r>
        <w:rPr>
          <w:color w:val="000000"/>
          <w:sz w:val="22"/>
          <w:szCs w:val="22"/>
          <w:lang w:val="es-ES"/>
        </w:rPr>
        <w:t>the</w:t>
      </w:r>
      <w:proofErr w:type="spellEnd"/>
      <w:r>
        <w:rPr>
          <w:color w:val="000000"/>
          <w:sz w:val="22"/>
          <w:szCs w:val="22"/>
          <w:lang w:val="es-ES"/>
        </w:rPr>
        <w:t xml:space="preserve"> </w:t>
      </w:r>
      <w:proofErr w:type="spellStart"/>
      <w:r>
        <w:rPr>
          <w:color w:val="000000"/>
          <w:sz w:val="22"/>
          <w:szCs w:val="22"/>
          <w:lang w:val="es-ES"/>
        </w:rPr>
        <w:t>meters</w:t>
      </w:r>
      <w:proofErr w:type="spellEnd"/>
      <w:r>
        <w:rPr>
          <w:color w:val="000000"/>
          <w:sz w:val="22"/>
          <w:szCs w:val="22"/>
          <w:lang w:val="es-ES"/>
        </w:rPr>
        <w:t xml:space="preserve"> </w:t>
      </w:r>
      <w:proofErr w:type="spellStart"/>
      <w:r>
        <w:rPr>
          <w:color w:val="000000"/>
          <w:sz w:val="22"/>
          <w:szCs w:val="22"/>
          <w:lang w:val="es-ES"/>
        </w:rPr>
        <w:t>must</w:t>
      </w:r>
      <w:proofErr w:type="spellEnd"/>
      <w:r>
        <w:rPr>
          <w:color w:val="000000"/>
          <w:sz w:val="22"/>
          <w:szCs w:val="22"/>
          <w:lang w:val="es-ES"/>
        </w:rPr>
        <w:t xml:space="preserve"> be </w:t>
      </w:r>
      <w:proofErr w:type="spellStart"/>
      <w:r>
        <w:rPr>
          <w:color w:val="000000"/>
          <w:sz w:val="22"/>
          <w:szCs w:val="22"/>
          <w:lang w:val="es-ES"/>
        </w:rPr>
        <w:t>constructed</w:t>
      </w:r>
      <w:proofErr w:type="spellEnd"/>
      <w:r>
        <w:rPr>
          <w:color w:val="000000"/>
          <w:sz w:val="22"/>
          <w:szCs w:val="22"/>
          <w:lang w:val="es-ES"/>
        </w:rPr>
        <w:t xml:space="preserve"> </w:t>
      </w:r>
      <w:proofErr w:type="spellStart"/>
      <w:r>
        <w:rPr>
          <w:color w:val="000000"/>
          <w:sz w:val="22"/>
          <w:szCs w:val="22"/>
          <w:lang w:val="es-ES"/>
        </w:rPr>
        <w:t>of</w:t>
      </w:r>
      <w:proofErr w:type="spellEnd"/>
      <w:r>
        <w:rPr>
          <w:color w:val="000000"/>
          <w:sz w:val="22"/>
          <w:szCs w:val="22"/>
          <w:lang w:val="es-ES"/>
        </w:rPr>
        <w:t xml:space="preserve"> </w:t>
      </w:r>
      <w:proofErr w:type="spellStart"/>
      <w:r>
        <w:rPr>
          <w:color w:val="000000"/>
          <w:sz w:val="22"/>
          <w:szCs w:val="22"/>
          <w:lang w:val="es-ES"/>
        </w:rPr>
        <w:t>highly</w:t>
      </w:r>
      <w:proofErr w:type="spellEnd"/>
      <w:r>
        <w:rPr>
          <w:color w:val="000000"/>
          <w:sz w:val="22"/>
          <w:szCs w:val="22"/>
          <w:lang w:val="es-ES"/>
        </w:rPr>
        <w:t xml:space="preserve"> </w:t>
      </w:r>
      <w:proofErr w:type="spellStart"/>
      <w:r>
        <w:rPr>
          <w:color w:val="000000"/>
          <w:sz w:val="22"/>
          <w:szCs w:val="22"/>
          <w:lang w:val="es-ES"/>
        </w:rPr>
        <w:t>resistant</w:t>
      </w:r>
      <w:proofErr w:type="spellEnd"/>
      <w:r>
        <w:rPr>
          <w:color w:val="000000"/>
          <w:sz w:val="22"/>
          <w:szCs w:val="22"/>
          <w:lang w:val="es-ES"/>
        </w:rPr>
        <w:t xml:space="preserve"> </w:t>
      </w:r>
      <w:proofErr w:type="spellStart"/>
      <w:r>
        <w:rPr>
          <w:color w:val="000000"/>
          <w:sz w:val="22"/>
          <w:szCs w:val="22"/>
          <w:lang w:val="es-ES"/>
        </w:rPr>
        <w:t>synthetic</w:t>
      </w:r>
      <w:proofErr w:type="spellEnd"/>
      <w:r>
        <w:rPr>
          <w:color w:val="000000"/>
          <w:sz w:val="22"/>
          <w:szCs w:val="22"/>
          <w:lang w:val="es-ES"/>
        </w:rPr>
        <w:t xml:space="preserve"> material, </w:t>
      </w:r>
      <w:proofErr w:type="spellStart"/>
      <w:r>
        <w:rPr>
          <w:color w:val="000000"/>
          <w:sz w:val="22"/>
          <w:szCs w:val="22"/>
          <w:lang w:val="es-ES"/>
        </w:rPr>
        <w:t>capable</w:t>
      </w:r>
      <w:proofErr w:type="spellEnd"/>
      <w:r>
        <w:rPr>
          <w:color w:val="000000"/>
          <w:sz w:val="22"/>
          <w:szCs w:val="22"/>
          <w:lang w:val="es-ES"/>
        </w:rPr>
        <w:t xml:space="preserve"> </w:t>
      </w:r>
      <w:proofErr w:type="spellStart"/>
      <w:r>
        <w:rPr>
          <w:color w:val="000000"/>
          <w:sz w:val="22"/>
          <w:szCs w:val="22"/>
          <w:lang w:val="es-ES"/>
        </w:rPr>
        <w:t>of</w:t>
      </w:r>
      <w:proofErr w:type="spellEnd"/>
      <w:r>
        <w:rPr>
          <w:color w:val="000000"/>
          <w:sz w:val="22"/>
          <w:szCs w:val="22"/>
          <w:lang w:val="es-ES"/>
        </w:rPr>
        <w:t xml:space="preserve"> </w:t>
      </w:r>
      <w:proofErr w:type="spellStart"/>
      <w:r>
        <w:rPr>
          <w:color w:val="000000"/>
          <w:sz w:val="22"/>
          <w:szCs w:val="22"/>
          <w:lang w:val="es-ES"/>
        </w:rPr>
        <w:t>withstanding</w:t>
      </w:r>
      <w:proofErr w:type="spellEnd"/>
      <w:r>
        <w:rPr>
          <w:color w:val="000000"/>
          <w:sz w:val="22"/>
          <w:szCs w:val="22"/>
          <w:lang w:val="es-ES"/>
        </w:rPr>
        <w:t xml:space="preserve"> </w:t>
      </w:r>
      <w:proofErr w:type="spellStart"/>
      <w:r>
        <w:rPr>
          <w:color w:val="000000"/>
          <w:sz w:val="22"/>
          <w:szCs w:val="22"/>
          <w:lang w:val="es-ES"/>
        </w:rPr>
        <w:t>the</w:t>
      </w:r>
      <w:proofErr w:type="spellEnd"/>
      <w:r>
        <w:rPr>
          <w:color w:val="000000"/>
          <w:sz w:val="22"/>
          <w:szCs w:val="22"/>
          <w:lang w:val="es-ES"/>
        </w:rPr>
        <w:t xml:space="preserve"> </w:t>
      </w:r>
      <w:proofErr w:type="spellStart"/>
      <w:r>
        <w:rPr>
          <w:color w:val="000000"/>
          <w:sz w:val="22"/>
          <w:szCs w:val="22"/>
          <w:lang w:val="es-ES"/>
        </w:rPr>
        <w:t>characteristic</w:t>
      </w:r>
      <w:proofErr w:type="spellEnd"/>
      <w:r>
        <w:rPr>
          <w:color w:val="000000"/>
          <w:sz w:val="22"/>
          <w:szCs w:val="22"/>
          <w:lang w:val="es-ES"/>
        </w:rPr>
        <w:t xml:space="preserve"> </w:t>
      </w:r>
      <w:proofErr w:type="spellStart"/>
      <w:r>
        <w:rPr>
          <w:color w:val="000000"/>
          <w:sz w:val="22"/>
          <w:szCs w:val="22"/>
          <w:lang w:val="es-ES"/>
        </w:rPr>
        <w:t>service</w:t>
      </w:r>
      <w:proofErr w:type="spellEnd"/>
      <w:r>
        <w:rPr>
          <w:color w:val="000000"/>
          <w:sz w:val="22"/>
          <w:szCs w:val="22"/>
          <w:lang w:val="es-ES"/>
        </w:rPr>
        <w:t xml:space="preserve"> </w:t>
      </w:r>
      <w:proofErr w:type="spellStart"/>
      <w:r>
        <w:rPr>
          <w:color w:val="000000"/>
          <w:sz w:val="22"/>
          <w:szCs w:val="22"/>
          <w:lang w:val="es-ES"/>
        </w:rPr>
        <w:t>pressure</w:t>
      </w:r>
      <w:proofErr w:type="spellEnd"/>
      <w:r>
        <w:rPr>
          <w:color w:val="000000"/>
          <w:sz w:val="22"/>
          <w:szCs w:val="22"/>
          <w:lang w:val="es-ES"/>
        </w:rPr>
        <w:t xml:space="preserve"> </w:t>
      </w:r>
      <w:proofErr w:type="spellStart"/>
      <w:r>
        <w:rPr>
          <w:color w:val="000000"/>
          <w:sz w:val="22"/>
          <w:szCs w:val="22"/>
          <w:lang w:val="es-ES"/>
        </w:rPr>
        <w:t>variations</w:t>
      </w:r>
      <w:proofErr w:type="spellEnd"/>
      <w:r>
        <w:rPr>
          <w:color w:val="000000"/>
          <w:sz w:val="22"/>
          <w:szCs w:val="22"/>
          <w:lang w:val="es-ES"/>
        </w:rPr>
        <w:t xml:space="preserve">, </w:t>
      </w:r>
      <w:proofErr w:type="spellStart"/>
      <w:r>
        <w:rPr>
          <w:color w:val="000000"/>
          <w:sz w:val="22"/>
          <w:szCs w:val="22"/>
          <w:lang w:val="es-ES"/>
        </w:rPr>
        <w:t>temperature</w:t>
      </w:r>
      <w:proofErr w:type="spellEnd"/>
      <w:r>
        <w:rPr>
          <w:color w:val="000000"/>
          <w:sz w:val="22"/>
          <w:szCs w:val="22"/>
          <w:lang w:val="es-ES"/>
        </w:rPr>
        <w:t xml:space="preserve"> </w:t>
      </w:r>
      <w:proofErr w:type="spellStart"/>
      <w:r>
        <w:rPr>
          <w:color w:val="000000"/>
          <w:sz w:val="22"/>
          <w:szCs w:val="22"/>
          <w:lang w:val="es-ES"/>
        </w:rPr>
        <w:t>variations</w:t>
      </w:r>
      <w:proofErr w:type="spellEnd"/>
      <w:r>
        <w:rPr>
          <w:color w:val="000000"/>
          <w:sz w:val="22"/>
          <w:szCs w:val="22"/>
          <w:lang w:val="es-ES"/>
        </w:rPr>
        <w:t xml:space="preserve"> and </w:t>
      </w:r>
      <w:proofErr w:type="spellStart"/>
      <w:r>
        <w:rPr>
          <w:color w:val="000000"/>
          <w:sz w:val="22"/>
          <w:szCs w:val="22"/>
          <w:lang w:val="es-ES"/>
        </w:rPr>
        <w:t>direct</w:t>
      </w:r>
      <w:proofErr w:type="spellEnd"/>
      <w:r>
        <w:rPr>
          <w:color w:val="000000"/>
          <w:sz w:val="22"/>
          <w:szCs w:val="22"/>
          <w:lang w:val="es-ES"/>
        </w:rPr>
        <w:t xml:space="preserve"> </w:t>
      </w:r>
      <w:proofErr w:type="spellStart"/>
      <w:r>
        <w:rPr>
          <w:color w:val="000000"/>
          <w:sz w:val="22"/>
          <w:szCs w:val="22"/>
          <w:lang w:val="es-ES"/>
        </w:rPr>
        <w:t>sunlight</w:t>
      </w:r>
      <w:proofErr w:type="spellEnd"/>
      <w:r>
        <w:rPr>
          <w:color w:val="000000"/>
          <w:sz w:val="22"/>
          <w:szCs w:val="22"/>
          <w:lang w:val="es-ES"/>
        </w:rPr>
        <w:t xml:space="preserve"> </w:t>
      </w:r>
      <w:proofErr w:type="spellStart"/>
      <w:r>
        <w:rPr>
          <w:color w:val="000000"/>
          <w:sz w:val="22"/>
          <w:szCs w:val="22"/>
          <w:lang w:val="es-ES"/>
        </w:rPr>
        <w:t>without</w:t>
      </w:r>
      <w:proofErr w:type="spellEnd"/>
      <w:r>
        <w:rPr>
          <w:color w:val="000000"/>
          <w:sz w:val="22"/>
          <w:szCs w:val="22"/>
          <w:lang w:val="es-ES"/>
        </w:rPr>
        <w:t xml:space="preserve"> </w:t>
      </w:r>
      <w:proofErr w:type="spellStart"/>
      <w:r>
        <w:rPr>
          <w:color w:val="000000"/>
          <w:sz w:val="22"/>
          <w:szCs w:val="22"/>
          <w:lang w:val="es-ES"/>
        </w:rPr>
        <w:t>affecting</w:t>
      </w:r>
      <w:proofErr w:type="spellEnd"/>
      <w:r>
        <w:rPr>
          <w:color w:val="000000"/>
          <w:sz w:val="22"/>
          <w:szCs w:val="22"/>
          <w:lang w:val="es-ES"/>
        </w:rPr>
        <w:t xml:space="preserve"> </w:t>
      </w:r>
      <w:proofErr w:type="spellStart"/>
      <w:r>
        <w:rPr>
          <w:color w:val="000000"/>
          <w:sz w:val="22"/>
          <w:szCs w:val="22"/>
          <w:lang w:val="es-ES"/>
        </w:rPr>
        <w:t>their</w:t>
      </w:r>
      <w:proofErr w:type="spellEnd"/>
      <w:r>
        <w:rPr>
          <w:color w:val="000000"/>
          <w:sz w:val="22"/>
          <w:szCs w:val="22"/>
          <w:lang w:val="es-ES"/>
        </w:rPr>
        <w:t xml:space="preserve"> </w:t>
      </w:r>
      <w:proofErr w:type="spellStart"/>
      <w:r>
        <w:rPr>
          <w:color w:val="000000"/>
          <w:sz w:val="22"/>
          <w:szCs w:val="22"/>
          <w:lang w:val="es-ES"/>
        </w:rPr>
        <w:t>watertightness</w:t>
      </w:r>
      <w:proofErr w:type="spellEnd"/>
      <w:r>
        <w:rPr>
          <w:color w:val="000000"/>
          <w:sz w:val="22"/>
          <w:szCs w:val="22"/>
          <w:lang w:val="es-ES"/>
        </w:rPr>
        <w:t xml:space="preserve">, </w:t>
      </w:r>
      <w:proofErr w:type="spellStart"/>
      <w:r>
        <w:rPr>
          <w:color w:val="000000"/>
          <w:sz w:val="22"/>
          <w:szCs w:val="22"/>
          <w:lang w:val="es-ES"/>
        </w:rPr>
        <w:t>appearance</w:t>
      </w:r>
      <w:proofErr w:type="spellEnd"/>
      <w:r>
        <w:rPr>
          <w:color w:val="000000"/>
          <w:sz w:val="22"/>
          <w:szCs w:val="22"/>
          <w:lang w:val="es-ES"/>
        </w:rPr>
        <w:t xml:space="preserve">, as </w:t>
      </w:r>
      <w:proofErr w:type="spellStart"/>
      <w:r>
        <w:rPr>
          <w:color w:val="000000"/>
          <w:sz w:val="22"/>
          <w:szCs w:val="22"/>
          <w:lang w:val="es-ES"/>
        </w:rPr>
        <w:t>well</w:t>
      </w:r>
      <w:proofErr w:type="spellEnd"/>
      <w:r>
        <w:rPr>
          <w:color w:val="000000"/>
          <w:sz w:val="22"/>
          <w:szCs w:val="22"/>
          <w:lang w:val="es-ES"/>
        </w:rPr>
        <w:t xml:space="preserve"> as </w:t>
      </w:r>
      <w:proofErr w:type="spellStart"/>
      <w:r>
        <w:rPr>
          <w:color w:val="000000"/>
          <w:sz w:val="22"/>
          <w:szCs w:val="22"/>
          <w:lang w:val="es-ES"/>
        </w:rPr>
        <w:t>the</w:t>
      </w:r>
      <w:proofErr w:type="spellEnd"/>
      <w:r>
        <w:rPr>
          <w:color w:val="000000"/>
          <w:sz w:val="22"/>
          <w:szCs w:val="22"/>
          <w:lang w:val="es-ES"/>
        </w:rPr>
        <w:t xml:space="preserve"> </w:t>
      </w:r>
      <w:proofErr w:type="spellStart"/>
      <w:r>
        <w:rPr>
          <w:color w:val="000000"/>
          <w:sz w:val="22"/>
          <w:szCs w:val="22"/>
          <w:lang w:val="es-ES"/>
        </w:rPr>
        <w:t>metrological</w:t>
      </w:r>
      <w:proofErr w:type="spellEnd"/>
      <w:r>
        <w:rPr>
          <w:color w:val="000000"/>
          <w:sz w:val="22"/>
          <w:szCs w:val="22"/>
          <w:lang w:val="es-ES"/>
        </w:rPr>
        <w:t xml:space="preserve"> </w:t>
      </w:r>
      <w:proofErr w:type="spellStart"/>
      <w:r>
        <w:rPr>
          <w:color w:val="000000"/>
          <w:sz w:val="22"/>
          <w:szCs w:val="22"/>
          <w:lang w:val="es-ES"/>
        </w:rPr>
        <w:t>quality</w:t>
      </w:r>
      <w:proofErr w:type="spellEnd"/>
      <w:r>
        <w:rPr>
          <w:color w:val="000000"/>
          <w:sz w:val="22"/>
          <w:szCs w:val="22"/>
          <w:lang w:val="es-ES"/>
        </w:rPr>
        <w:t xml:space="preserve"> </w:t>
      </w:r>
      <w:proofErr w:type="spellStart"/>
      <w:r>
        <w:rPr>
          <w:color w:val="000000"/>
          <w:sz w:val="22"/>
          <w:szCs w:val="22"/>
          <w:lang w:val="es-ES"/>
        </w:rPr>
        <w:t>of</w:t>
      </w:r>
      <w:proofErr w:type="spellEnd"/>
      <w:r>
        <w:rPr>
          <w:color w:val="000000"/>
          <w:sz w:val="22"/>
          <w:szCs w:val="22"/>
          <w:lang w:val="es-ES"/>
        </w:rPr>
        <w:t xml:space="preserve"> </w:t>
      </w:r>
      <w:proofErr w:type="spellStart"/>
      <w:r>
        <w:rPr>
          <w:color w:val="000000"/>
          <w:sz w:val="22"/>
          <w:szCs w:val="22"/>
          <w:lang w:val="es-ES"/>
        </w:rPr>
        <w:t>the</w:t>
      </w:r>
      <w:proofErr w:type="spellEnd"/>
      <w:r>
        <w:rPr>
          <w:color w:val="000000"/>
          <w:sz w:val="22"/>
          <w:szCs w:val="22"/>
          <w:lang w:val="es-ES"/>
        </w:rPr>
        <w:t xml:space="preserve"> meter.</w:t>
      </w:r>
    </w:p>
    <w:p w14:paraId="6540AA75" w14:textId="77777777" w:rsidR="00E255F4" w:rsidRDefault="00000000">
      <w:pPr>
        <w:pStyle w:val="Prrafodelista"/>
        <w:numPr>
          <w:ilvl w:val="3"/>
          <w:numId w:val="4"/>
        </w:numPr>
        <w:tabs>
          <w:tab w:val="left" w:pos="-720"/>
          <w:tab w:val="left" w:pos="142"/>
          <w:tab w:val="left" w:pos="851"/>
          <w:tab w:val="left" w:pos="993"/>
        </w:tabs>
        <w:spacing w:after="120"/>
        <w:ind w:left="851" w:hanging="851"/>
        <w:jc w:val="both"/>
      </w:pPr>
      <w:r>
        <w:rPr>
          <w:color w:val="000000"/>
          <w:sz w:val="22"/>
          <w:szCs w:val="22"/>
          <w:lang w:val="es-ES"/>
        </w:rPr>
        <w:t xml:space="preserve">The </w:t>
      </w:r>
      <w:proofErr w:type="spellStart"/>
      <w:r>
        <w:rPr>
          <w:color w:val="000000"/>
          <w:sz w:val="22"/>
          <w:szCs w:val="22"/>
          <w:lang w:val="es-ES"/>
        </w:rPr>
        <w:t>plastic</w:t>
      </w:r>
      <w:proofErr w:type="spellEnd"/>
      <w:r>
        <w:rPr>
          <w:color w:val="000000"/>
          <w:sz w:val="22"/>
          <w:szCs w:val="22"/>
          <w:lang w:val="es-ES"/>
        </w:rPr>
        <w:t xml:space="preserve"> </w:t>
      </w:r>
      <w:proofErr w:type="spellStart"/>
      <w:r>
        <w:rPr>
          <w:color w:val="000000"/>
          <w:sz w:val="22"/>
          <w:szCs w:val="22"/>
          <w:lang w:val="es-ES"/>
        </w:rPr>
        <w:t>housing</w:t>
      </w:r>
      <w:proofErr w:type="spellEnd"/>
      <w:r>
        <w:rPr>
          <w:color w:val="000000"/>
          <w:sz w:val="22"/>
          <w:szCs w:val="22"/>
          <w:lang w:val="es-ES"/>
        </w:rPr>
        <w:t xml:space="preserve"> </w:t>
      </w:r>
      <w:proofErr w:type="spellStart"/>
      <w:r>
        <w:rPr>
          <w:color w:val="000000"/>
          <w:sz w:val="22"/>
          <w:szCs w:val="22"/>
          <w:lang w:val="es-ES"/>
        </w:rPr>
        <w:t>must</w:t>
      </w:r>
      <w:proofErr w:type="spellEnd"/>
      <w:r>
        <w:rPr>
          <w:color w:val="000000"/>
          <w:sz w:val="22"/>
          <w:szCs w:val="22"/>
          <w:lang w:val="es-ES"/>
        </w:rPr>
        <w:t xml:space="preserve"> </w:t>
      </w:r>
      <w:proofErr w:type="spellStart"/>
      <w:r>
        <w:rPr>
          <w:color w:val="000000"/>
          <w:sz w:val="22"/>
          <w:szCs w:val="22"/>
          <w:lang w:val="es-ES"/>
        </w:rPr>
        <w:t>also</w:t>
      </w:r>
      <w:proofErr w:type="spellEnd"/>
      <w:r>
        <w:rPr>
          <w:color w:val="000000"/>
          <w:sz w:val="22"/>
          <w:szCs w:val="22"/>
          <w:lang w:val="es-ES"/>
        </w:rPr>
        <w:t xml:space="preserve"> </w:t>
      </w:r>
      <w:proofErr w:type="spellStart"/>
      <w:r>
        <w:rPr>
          <w:color w:val="000000"/>
          <w:sz w:val="22"/>
          <w:szCs w:val="22"/>
          <w:lang w:val="es-ES"/>
        </w:rPr>
        <w:t>comply</w:t>
      </w:r>
      <w:proofErr w:type="spellEnd"/>
      <w:r>
        <w:rPr>
          <w:color w:val="000000"/>
          <w:sz w:val="22"/>
          <w:szCs w:val="22"/>
          <w:lang w:val="es-ES"/>
        </w:rPr>
        <w:t xml:space="preserve"> </w:t>
      </w:r>
      <w:proofErr w:type="spellStart"/>
      <w:r>
        <w:rPr>
          <w:color w:val="000000"/>
          <w:sz w:val="22"/>
          <w:szCs w:val="22"/>
          <w:lang w:val="es-ES"/>
        </w:rPr>
        <w:t>with</w:t>
      </w:r>
      <w:proofErr w:type="spellEnd"/>
      <w:r>
        <w:rPr>
          <w:color w:val="000000"/>
          <w:sz w:val="22"/>
          <w:szCs w:val="22"/>
          <w:lang w:val="es-ES"/>
        </w:rPr>
        <w:t xml:space="preserve"> </w:t>
      </w:r>
      <w:proofErr w:type="spellStart"/>
      <w:r>
        <w:rPr>
          <w:color w:val="000000"/>
          <w:sz w:val="22"/>
          <w:szCs w:val="22"/>
          <w:lang w:val="es-ES"/>
        </w:rPr>
        <w:t>the</w:t>
      </w:r>
      <w:proofErr w:type="spellEnd"/>
      <w:r>
        <w:rPr>
          <w:color w:val="000000"/>
          <w:sz w:val="22"/>
          <w:szCs w:val="22"/>
          <w:lang w:val="es-ES"/>
        </w:rPr>
        <w:t xml:space="preserve"> </w:t>
      </w:r>
      <w:proofErr w:type="spellStart"/>
      <w:r>
        <w:rPr>
          <w:color w:val="000000"/>
          <w:sz w:val="22"/>
          <w:szCs w:val="22"/>
          <w:lang w:val="es-ES"/>
        </w:rPr>
        <w:t>dimensions</w:t>
      </w:r>
      <w:proofErr w:type="spellEnd"/>
      <w:r>
        <w:rPr>
          <w:color w:val="000000"/>
          <w:sz w:val="22"/>
          <w:szCs w:val="22"/>
          <w:lang w:val="es-ES"/>
        </w:rPr>
        <w:t xml:space="preserve"> </w:t>
      </w:r>
      <w:proofErr w:type="spellStart"/>
      <w:r>
        <w:rPr>
          <w:color w:val="000000"/>
          <w:sz w:val="22"/>
          <w:szCs w:val="22"/>
          <w:lang w:val="es-ES"/>
        </w:rPr>
        <w:t>of</w:t>
      </w:r>
      <w:proofErr w:type="spellEnd"/>
      <w:r>
        <w:rPr>
          <w:color w:val="000000"/>
          <w:sz w:val="22"/>
          <w:szCs w:val="22"/>
          <w:lang w:val="es-ES"/>
        </w:rPr>
        <w:t xml:space="preserve"> </w:t>
      </w:r>
      <w:proofErr w:type="spellStart"/>
      <w:r>
        <w:rPr>
          <w:color w:val="000000"/>
          <w:sz w:val="22"/>
          <w:szCs w:val="22"/>
          <w:lang w:val="es-ES"/>
        </w:rPr>
        <w:t>the</w:t>
      </w:r>
      <w:proofErr w:type="spellEnd"/>
      <w:r>
        <w:rPr>
          <w:color w:val="000000"/>
          <w:sz w:val="22"/>
          <w:szCs w:val="22"/>
          <w:lang w:val="es-ES"/>
        </w:rPr>
        <w:t xml:space="preserve"> meter and </w:t>
      </w:r>
      <w:proofErr w:type="spellStart"/>
      <w:r>
        <w:rPr>
          <w:color w:val="000000"/>
          <w:sz w:val="22"/>
          <w:szCs w:val="22"/>
          <w:lang w:val="es-ES"/>
        </w:rPr>
        <w:t>threads</w:t>
      </w:r>
      <w:proofErr w:type="spellEnd"/>
      <w:r>
        <w:rPr>
          <w:color w:val="000000"/>
          <w:sz w:val="22"/>
          <w:szCs w:val="22"/>
          <w:lang w:val="es-ES"/>
        </w:rPr>
        <w:t xml:space="preserve"> </w:t>
      </w:r>
      <w:proofErr w:type="spellStart"/>
      <w:r>
        <w:rPr>
          <w:color w:val="000000"/>
          <w:sz w:val="22"/>
          <w:szCs w:val="22"/>
          <w:lang w:val="es-ES"/>
        </w:rPr>
        <w:t>according</w:t>
      </w:r>
      <w:proofErr w:type="spellEnd"/>
      <w:r>
        <w:rPr>
          <w:color w:val="000000"/>
          <w:sz w:val="22"/>
          <w:szCs w:val="22"/>
          <w:lang w:val="es-ES"/>
        </w:rPr>
        <w:t xml:space="preserve"> </w:t>
      </w:r>
      <w:proofErr w:type="spellStart"/>
      <w:r>
        <w:rPr>
          <w:color w:val="000000"/>
          <w:sz w:val="22"/>
          <w:szCs w:val="22"/>
          <w:lang w:val="es-ES"/>
        </w:rPr>
        <w:t>to</w:t>
      </w:r>
      <w:proofErr w:type="spellEnd"/>
      <w:r>
        <w:rPr>
          <w:color w:val="000000"/>
          <w:sz w:val="22"/>
          <w:szCs w:val="22"/>
          <w:lang w:val="es-ES"/>
        </w:rPr>
        <w:t xml:space="preserve"> ISO 4064/I. The </w:t>
      </w:r>
      <w:proofErr w:type="spellStart"/>
      <w:r>
        <w:rPr>
          <w:color w:val="000000"/>
          <w:sz w:val="22"/>
          <w:szCs w:val="22"/>
          <w:lang w:val="es-ES"/>
        </w:rPr>
        <w:t>parts</w:t>
      </w:r>
      <w:proofErr w:type="spellEnd"/>
      <w:r>
        <w:rPr>
          <w:color w:val="000000"/>
          <w:sz w:val="22"/>
          <w:szCs w:val="22"/>
          <w:lang w:val="es-ES"/>
        </w:rPr>
        <w:t xml:space="preserve"> </w:t>
      </w:r>
      <w:proofErr w:type="spellStart"/>
      <w:r>
        <w:rPr>
          <w:color w:val="000000"/>
          <w:sz w:val="22"/>
          <w:szCs w:val="22"/>
          <w:lang w:val="es-ES"/>
        </w:rPr>
        <w:t>must</w:t>
      </w:r>
      <w:proofErr w:type="spellEnd"/>
      <w:r>
        <w:rPr>
          <w:color w:val="000000"/>
          <w:sz w:val="22"/>
          <w:szCs w:val="22"/>
          <w:lang w:val="es-ES"/>
        </w:rPr>
        <w:t xml:space="preserve"> </w:t>
      </w:r>
      <w:proofErr w:type="spellStart"/>
      <w:r>
        <w:rPr>
          <w:color w:val="000000"/>
          <w:sz w:val="22"/>
          <w:szCs w:val="22"/>
          <w:lang w:val="es-ES"/>
        </w:rPr>
        <w:t>have</w:t>
      </w:r>
      <w:proofErr w:type="spellEnd"/>
      <w:r>
        <w:rPr>
          <w:color w:val="000000"/>
          <w:sz w:val="22"/>
          <w:szCs w:val="22"/>
          <w:lang w:val="es-ES"/>
        </w:rPr>
        <w:t xml:space="preserve"> a regular </w:t>
      </w:r>
      <w:proofErr w:type="spellStart"/>
      <w:r>
        <w:rPr>
          <w:color w:val="000000"/>
          <w:sz w:val="22"/>
          <w:szCs w:val="22"/>
          <w:lang w:val="es-ES"/>
        </w:rPr>
        <w:t>surface</w:t>
      </w:r>
      <w:proofErr w:type="spellEnd"/>
      <w:r>
        <w:rPr>
          <w:color w:val="000000"/>
          <w:sz w:val="22"/>
          <w:szCs w:val="22"/>
          <w:lang w:val="es-ES"/>
        </w:rPr>
        <w:t xml:space="preserve"> and </w:t>
      </w:r>
      <w:proofErr w:type="spellStart"/>
      <w:r>
        <w:rPr>
          <w:color w:val="000000"/>
          <w:sz w:val="22"/>
          <w:szCs w:val="22"/>
          <w:lang w:val="es-ES"/>
        </w:rPr>
        <w:t>must</w:t>
      </w:r>
      <w:proofErr w:type="spellEnd"/>
      <w:r>
        <w:rPr>
          <w:color w:val="000000"/>
          <w:sz w:val="22"/>
          <w:szCs w:val="22"/>
          <w:lang w:val="es-ES"/>
        </w:rPr>
        <w:t xml:space="preserve"> </w:t>
      </w:r>
      <w:proofErr w:type="spellStart"/>
      <w:r>
        <w:rPr>
          <w:color w:val="000000"/>
          <w:sz w:val="22"/>
          <w:szCs w:val="22"/>
          <w:lang w:val="es-ES"/>
        </w:rPr>
        <w:t>withstand</w:t>
      </w:r>
      <w:proofErr w:type="spellEnd"/>
      <w:r>
        <w:rPr>
          <w:color w:val="000000"/>
          <w:sz w:val="22"/>
          <w:szCs w:val="22"/>
          <w:lang w:val="es-ES"/>
        </w:rPr>
        <w:t xml:space="preserve"> a </w:t>
      </w:r>
      <w:proofErr w:type="spellStart"/>
      <w:r>
        <w:rPr>
          <w:color w:val="000000"/>
          <w:sz w:val="22"/>
          <w:szCs w:val="22"/>
          <w:lang w:val="es-ES"/>
        </w:rPr>
        <w:t>continuous</w:t>
      </w:r>
      <w:proofErr w:type="spellEnd"/>
      <w:r>
        <w:rPr>
          <w:color w:val="000000"/>
          <w:sz w:val="22"/>
          <w:szCs w:val="22"/>
          <w:lang w:val="es-ES"/>
        </w:rPr>
        <w:t xml:space="preserve"> </w:t>
      </w:r>
      <w:proofErr w:type="spellStart"/>
      <w:r>
        <w:rPr>
          <w:color w:val="000000"/>
          <w:sz w:val="22"/>
          <w:szCs w:val="22"/>
          <w:lang w:val="es-ES"/>
        </w:rPr>
        <w:t>temperature</w:t>
      </w:r>
      <w:proofErr w:type="spellEnd"/>
      <w:r>
        <w:rPr>
          <w:color w:val="000000"/>
          <w:sz w:val="22"/>
          <w:szCs w:val="22"/>
          <w:lang w:val="es-ES"/>
        </w:rPr>
        <w:t xml:space="preserve"> </w:t>
      </w:r>
      <w:proofErr w:type="spellStart"/>
      <w:r>
        <w:rPr>
          <w:color w:val="000000"/>
          <w:sz w:val="22"/>
          <w:szCs w:val="22"/>
          <w:lang w:val="es-ES"/>
        </w:rPr>
        <w:t>of</w:t>
      </w:r>
      <w:proofErr w:type="spellEnd"/>
      <w:r>
        <w:rPr>
          <w:color w:val="000000"/>
          <w:sz w:val="22"/>
          <w:szCs w:val="22"/>
          <w:lang w:val="es-ES"/>
        </w:rPr>
        <w:t xml:space="preserve"> up </w:t>
      </w:r>
      <w:proofErr w:type="spellStart"/>
      <w:r>
        <w:rPr>
          <w:color w:val="000000"/>
          <w:sz w:val="22"/>
          <w:szCs w:val="22"/>
          <w:lang w:val="es-ES"/>
        </w:rPr>
        <w:t>to</w:t>
      </w:r>
      <w:proofErr w:type="spellEnd"/>
      <w:r>
        <w:rPr>
          <w:color w:val="000000"/>
          <w:sz w:val="22"/>
          <w:szCs w:val="22"/>
          <w:lang w:val="es-ES"/>
        </w:rPr>
        <w:t xml:space="preserve"> 55°C.</w:t>
      </w:r>
    </w:p>
    <w:p w14:paraId="7CD84515" w14:textId="77777777" w:rsidR="00E255F4" w:rsidRDefault="00000000">
      <w:pPr>
        <w:pStyle w:val="Prrafodelista"/>
        <w:numPr>
          <w:ilvl w:val="3"/>
          <w:numId w:val="4"/>
        </w:numPr>
        <w:tabs>
          <w:tab w:val="left" w:pos="-720"/>
          <w:tab w:val="left" w:pos="142"/>
          <w:tab w:val="left" w:pos="851"/>
          <w:tab w:val="left" w:pos="993"/>
        </w:tabs>
        <w:spacing w:after="120"/>
        <w:ind w:left="851" w:hanging="851"/>
        <w:jc w:val="both"/>
        <w:rPr>
          <w:sz w:val="22"/>
          <w:szCs w:val="22"/>
          <w:lang w:val="es-ES"/>
        </w:rPr>
      </w:pPr>
      <w:r>
        <w:rPr>
          <w:sz w:val="22"/>
          <w:szCs w:val="22"/>
          <w:lang w:val="es-ES"/>
        </w:rPr>
        <w:t xml:space="preserve">The </w:t>
      </w:r>
      <w:proofErr w:type="spellStart"/>
      <w:r>
        <w:rPr>
          <w:sz w:val="22"/>
          <w:szCs w:val="22"/>
          <w:lang w:val="es-ES"/>
        </w:rPr>
        <w:t>threads</w:t>
      </w:r>
      <w:proofErr w:type="spellEnd"/>
      <w:r>
        <w:rPr>
          <w:sz w:val="22"/>
          <w:szCs w:val="22"/>
          <w:lang w:val="es-ES"/>
        </w:rPr>
        <w:t xml:space="preserve"> at </w:t>
      </w:r>
      <w:proofErr w:type="spellStart"/>
      <w:r>
        <w:rPr>
          <w:sz w:val="22"/>
          <w:szCs w:val="22"/>
          <w:lang w:val="es-ES"/>
        </w:rPr>
        <w:t>the</w:t>
      </w:r>
      <w:proofErr w:type="spellEnd"/>
      <w:r>
        <w:rPr>
          <w:sz w:val="22"/>
          <w:szCs w:val="22"/>
          <w:lang w:val="es-ES"/>
        </w:rPr>
        <w:t xml:space="preserve"> </w:t>
      </w:r>
      <w:proofErr w:type="spellStart"/>
      <w:r>
        <w:rPr>
          <w:sz w:val="22"/>
          <w:szCs w:val="22"/>
          <w:lang w:val="es-ES"/>
        </w:rPr>
        <w:t>connection</w:t>
      </w:r>
      <w:proofErr w:type="spellEnd"/>
      <w:r>
        <w:rPr>
          <w:sz w:val="22"/>
          <w:szCs w:val="22"/>
          <w:lang w:val="es-ES"/>
        </w:rPr>
        <w:t xml:space="preserve"> </w:t>
      </w:r>
      <w:proofErr w:type="spellStart"/>
      <w:r>
        <w:rPr>
          <w:sz w:val="22"/>
          <w:szCs w:val="22"/>
          <w:lang w:val="es-ES"/>
        </w:rPr>
        <w:t>points</w:t>
      </w:r>
      <w:proofErr w:type="spellEnd"/>
      <w:r>
        <w:rPr>
          <w:sz w:val="22"/>
          <w:szCs w:val="22"/>
          <w:lang w:val="es-ES"/>
        </w:rPr>
        <w:t xml:space="preserve"> </w:t>
      </w:r>
      <w:proofErr w:type="spellStart"/>
      <w:r>
        <w:rPr>
          <w:sz w:val="22"/>
          <w:szCs w:val="22"/>
          <w:lang w:val="es-ES"/>
        </w:rPr>
        <w:t>of</w:t>
      </w:r>
      <w:proofErr w:type="spellEnd"/>
      <w:r>
        <w:rPr>
          <w:sz w:val="22"/>
          <w:szCs w:val="22"/>
          <w:lang w:val="es-ES"/>
        </w:rPr>
        <w:t xml:space="preserve"> </w:t>
      </w:r>
      <w:proofErr w:type="spellStart"/>
      <w:r>
        <w:rPr>
          <w:sz w:val="22"/>
          <w:szCs w:val="22"/>
          <w:lang w:val="es-ES"/>
        </w:rPr>
        <w:t>the</w:t>
      </w:r>
      <w:proofErr w:type="spellEnd"/>
      <w:r>
        <w:rPr>
          <w:sz w:val="22"/>
          <w:szCs w:val="22"/>
          <w:lang w:val="es-ES"/>
        </w:rPr>
        <w:t xml:space="preserve"> </w:t>
      </w:r>
      <w:proofErr w:type="spellStart"/>
      <w:r>
        <w:rPr>
          <w:sz w:val="22"/>
          <w:szCs w:val="22"/>
          <w:lang w:val="es-ES"/>
        </w:rPr>
        <w:t>meters</w:t>
      </w:r>
      <w:proofErr w:type="spellEnd"/>
      <w:r>
        <w:rPr>
          <w:sz w:val="22"/>
          <w:szCs w:val="22"/>
          <w:lang w:val="es-ES"/>
        </w:rPr>
        <w:t xml:space="preserve"> </w:t>
      </w:r>
      <w:proofErr w:type="spellStart"/>
      <w:r>
        <w:rPr>
          <w:sz w:val="22"/>
          <w:szCs w:val="22"/>
          <w:lang w:val="es-ES"/>
        </w:rPr>
        <w:t>will</w:t>
      </w:r>
      <w:proofErr w:type="spellEnd"/>
      <w:r>
        <w:rPr>
          <w:sz w:val="22"/>
          <w:szCs w:val="22"/>
          <w:lang w:val="es-ES"/>
        </w:rPr>
        <w:t xml:space="preserve"> be ¾”, and </w:t>
      </w:r>
      <w:proofErr w:type="spellStart"/>
      <w:r>
        <w:rPr>
          <w:sz w:val="22"/>
          <w:szCs w:val="22"/>
          <w:lang w:val="es-ES"/>
        </w:rPr>
        <w:t>must</w:t>
      </w:r>
      <w:proofErr w:type="spellEnd"/>
      <w:r>
        <w:rPr>
          <w:sz w:val="22"/>
          <w:szCs w:val="22"/>
          <w:lang w:val="es-ES"/>
        </w:rPr>
        <w:t xml:space="preserve"> </w:t>
      </w:r>
      <w:proofErr w:type="spellStart"/>
      <w:r>
        <w:rPr>
          <w:sz w:val="22"/>
          <w:szCs w:val="22"/>
          <w:lang w:val="es-ES"/>
        </w:rPr>
        <w:t>comply</w:t>
      </w:r>
      <w:proofErr w:type="spellEnd"/>
      <w:r>
        <w:rPr>
          <w:sz w:val="22"/>
          <w:szCs w:val="22"/>
          <w:lang w:val="es-ES"/>
        </w:rPr>
        <w:t xml:space="preserve"> </w:t>
      </w:r>
      <w:proofErr w:type="spellStart"/>
      <w:r>
        <w:rPr>
          <w:sz w:val="22"/>
          <w:szCs w:val="22"/>
          <w:lang w:val="es-ES"/>
        </w:rPr>
        <w:t>with</w:t>
      </w:r>
      <w:proofErr w:type="spellEnd"/>
      <w:r>
        <w:rPr>
          <w:sz w:val="22"/>
          <w:szCs w:val="22"/>
          <w:lang w:val="es-ES"/>
        </w:rPr>
        <w:t xml:space="preserve"> </w:t>
      </w:r>
      <w:proofErr w:type="spellStart"/>
      <w:r>
        <w:rPr>
          <w:sz w:val="22"/>
          <w:szCs w:val="22"/>
          <w:lang w:val="es-ES"/>
        </w:rPr>
        <w:t>the</w:t>
      </w:r>
      <w:proofErr w:type="spellEnd"/>
      <w:r>
        <w:rPr>
          <w:sz w:val="22"/>
          <w:szCs w:val="22"/>
          <w:lang w:val="es-ES"/>
        </w:rPr>
        <w:t xml:space="preserve"> </w:t>
      </w:r>
      <w:proofErr w:type="spellStart"/>
      <w:r>
        <w:rPr>
          <w:sz w:val="22"/>
          <w:szCs w:val="22"/>
          <w:lang w:val="es-ES"/>
        </w:rPr>
        <w:t>requirements</w:t>
      </w:r>
      <w:proofErr w:type="spellEnd"/>
      <w:r>
        <w:rPr>
          <w:sz w:val="22"/>
          <w:szCs w:val="22"/>
          <w:lang w:val="es-ES"/>
        </w:rPr>
        <w:t xml:space="preserve"> </w:t>
      </w:r>
      <w:proofErr w:type="spellStart"/>
      <w:r>
        <w:rPr>
          <w:sz w:val="22"/>
          <w:szCs w:val="22"/>
          <w:lang w:val="es-ES"/>
        </w:rPr>
        <w:t>of</w:t>
      </w:r>
      <w:proofErr w:type="spellEnd"/>
      <w:r>
        <w:rPr>
          <w:sz w:val="22"/>
          <w:szCs w:val="22"/>
          <w:lang w:val="es-ES"/>
        </w:rPr>
        <w:t xml:space="preserve"> ISO 4064 in </w:t>
      </w:r>
      <w:proofErr w:type="spellStart"/>
      <w:r>
        <w:rPr>
          <w:sz w:val="22"/>
          <w:szCs w:val="22"/>
          <w:lang w:val="es-ES"/>
        </w:rPr>
        <w:t>its</w:t>
      </w:r>
      <w:proofErr w:type="spellEnd"/>
      <w:r>
        <w:rPr>
          <w:sz w:val="22"/>
          <w:szCs w:val="22"/>
          <w:lang w:val="es-ES"/>
        </w:rPr>
        <w:t xml:space="preserve"> </w:t>
      </w:r>
      <w:proofErr w:type="spellStart"/>
      <w:r>
        <w:rPr>
          <w:sz w:val="22"/>
          <w:szCs w:val="22"/>
          <w:lang w:val="es-ES"/>
        </w:rPr>
        <w:t>latest</w:t>
      </w:r>
      <w:proofErr w:type="spellEnd"/>
      <w:r>
        <w:rPr>
          <w:sz w:val="22"/>
          <w:szCs w:val="22"/>
          <w:lang w:val="es-ES"/>
        </w:rPr>
        <w:t xml:space="preserve"> </w:t>
      </w:r>
      <w:proofErr w:type="spellStart"/>
      <w:r>
        <w:rPr>
          <w:sz w:val="22"/>
          <w:szCs w:val="22"/>
          <w:lang w:val="es-ES"/>
        </w:rPr>
        <w:t>version</w:t>
      </w:r>
      <w:proofErr w:type="spellEnd"/>
      <w:r>
        <w:rPr>
          <w:sz w:val="22"/>
          <w:szCs w:val="22"/>
          <w:lang w:val="es-ES"/>
        </w:rPr>
        <w:t>.</w:t>
      </w:r>
    </w:p>
    <w:p w14:paraId="0FDF3D21" w14:textId="77777777" w:rsidR="00E255F4" w:rsidRDefault="00000000">
      <w:pPr>
        <w:pStyle w:val="Prrafodelista"/>
        <w:numPr>
          <w:ilvl w:val="3"/>
          <w:numId w:val="4"/>
        </w:numPr>
        <w:tabs>
          <w:tab w:val="left" w:pos="-720"/>
          <w:tab w:val="left" w:pos="142"/>
          <w:tab w:val="left" w:pos="851"/>
          <w:tab w:val="left" w:pos="993"/>
        </w:tabs>
        <w:spacing w:after="120"/>
        <w:ind w:left="851" w:hanging="851"/>
        <w:jc w:val="both"/>
        <w:rPr>
          <w:sz w:val="22"/>
          <w:szCs w:val="22"/>
          <w:lang w:val="es-ES"/>
        </w:rPr>
      </w:pPr>
      <w:r>
        <w:rPr>
          <w:sz w:val="22"/>
          <w:szCs w:val="22"/>
          <w:lang w:val="es-ES"/>
        </w:rPr>
        <w:t xml:space="preserve">For </w:t>
      </w:r>
      <w:proofErr w:type="spellStart"/>
      <w:r>
        <w:rPr>
          <w:sz w:val="22"/>
          <w:szCs w:val="22"/>
          <w:lang w:val="es-ES"/>
        </w:rPr>
        <w:t>ultrasonic</w:t>
      </w:r>
      <w:proofErr w:type="spellEnd"/>
      <w:r>
        <w:rPr>
          <w:sz w:val="22"/>
          <w:szCs w:val="22"/>
          <w:lang w:val="es-ES"/>
        </w:rPr>
        <w:t xml:space="preserve"> </w:t>
      </w:r>
      <w:proofErr w:type="spellStart"/>
      <w:r>
        <w:rPr>
          <w:sz w:val="22"/>
          <w:szCs w:val="22"/>
          <w:lang w:val="es-ES"/>
        </w:rPr>
        <w:t>flow</w:t>
      </w:r>
      <w:proofErr w:type="spellEnd"/>
      <w:r>
        <w:rPr>
          <w:sz w:val="22"/>
          <w:szCs w:val="22"/>
          <w:lang w:val="es-ES"/>
        </w:rPr>
        <w:t xml:space="preserve"> </w:t>
      </w:r>
      <w:proofErr w:type="spellStart"/>
      <w:r>
        <w:rPr>
          <w:sz w:val="22"/>
          <w:szCs w:val="22"/>
          <w:lang w:val="es-ES"/>
        </w:rPr>
        <w:t>meters</w:t>
      </w:r>
      <w:proofErr w:type="spellEnd"/>
      <w:r>
        <w:rPr>
          <w:sz w:val="22"/>
          <w:szCs w:val="22"/>
          <w:lang w:val="es-ES"/>
        </w:rPr>
        <w:t xml:space="preserve"> </w:t>
      </w:r>
      <w:proofErr w:type="spellStart"/>
      <w:r>
        <w:rPr>
          <w:sz w:val="22"/>
          <w:szCs w:val="22"/>
          <w:lang w:val="es-ES"/>
        </w:rPr>
        <w:t>that</w:t>
      </w:r>
      <w:proofErr w:type="spellEnd"/>
      <w:r>
        <w:rPr>
          <w:sz w:val="22"/>
          <w:szCs w:val="22"/>
          <w:lang w:val="es-ES"/>
        </w:rPr>
        <w:t xml:space="preserve"> </w:t>
      </w:r>
      <w:proofErr w:type="spellStart"/>
      <w:r>
        <w:rPr>
          <w:sz w:val="22"/>
          <w:szCs w:val="22"/>
          <w:lang w:val="es-ES"/>
        </w:rPr>
        <w:t>indicate</w:t>
      </w:r>
      <w:proofErr w:type="spellEnd"/>
      <w:r>
        <w:rPr>
          <w:sz w:val="22"/>
          <w:szCs w:val="22"/>
          <w:lang w:val="es-ES"/>
        </w:rPr>
        <w:t xml:space="preserve"> </w:t>
      </w:r>
      <w:proofErr w:type="spellStart"/>
      <w:r>
        <w:rPr>
          <w:sz w:val="22"/>
          <w:szCs w:val="22"/>
          <w:lang w:val="es-ES"/>
        </w:rPr>
        <w:t>the</w:t>
      </w:r>
      <w:proofErr w:type="spellEnd"/>
      <w:r>
        <w:rPr>
          <w:sz w:val="22"/>
          <w:szCs w:val="22"/>
          <w:lang w:val="es-ES"/>
        </w:rPr>
        <w:t xml:space="preserve"> </w:t>
      </w:r>
      <w:proofErr w:type="spellStart"/>
      <w:r>
        <w:rPr>
          <w:sz w:val="22"/>
          <w:szCs w:val="22"/>
          <w:lang w:val="es-ES"/>
        </w:rPr>
        <w:t>direction</w:t>
      </w:r>
      <w:proofErr w:type="spellEnd"/>
      <w:r>
        <w:rPr>
          <w:sz w:val="22"/>
          <w:szCs w:val="22"/>
          <w:lang w:val="es-ES"/>
        </w:rPr>
        <w:t xml:space="preserve"> </w:t>
      </w:r>
      <w:proofErr w:type="spellStart"/>
      <w:r>
        <w:rPr>
          <w:sz w:val="22"/>
          <w:szCs w:val="22"/>
          <w:lang w:val="es-ES"/>
        </w:rPr>
        <w:t>of</w:t>
      </w:r>
      <w:proofErr w:type="spellEnd"/>
      <w:r>
        <w:rPr>
          <w:sz w:val="22"/>
          <w:szCs w:val="22"/>
          <w:lang w:val="es-ES"/>
        </w:rPr>
        <w:t xml:space="preserve"> </w:t>
      </w:r>
      <w:proofErr w:type="spellStart"/>
      <w:r>
        <w:rPr>
          <w:sz w:val="22"/>
          <w:szCs w:val="22"/>
          <w:lang w:val="es-ES"/>
        </w:rPr>
        <w:t>flow</w:t>
      </w:r>
      <w:proofErr w:type="spellEnd"/>
      <w:r>
        <w:rPr>
          <w:sz w:val="22"/>
          <w:szCs w:val="22"/>
          <w:lang w:val="es-ES"/>
        </w:rPr>
        <w:t xml:space="preserve"> </w:t>
      </w:r>
      <w:proofErr w:type="spellStart"/>
      <w:r>
        <w:rPr>
          <w:sz w:val="22"/>
          <w:szCs w:val="22"/>
          <w:lang w:val="es-ES"/>
        </w:rPr>
        <w:t>on</w:t>
      </w:r>
      <w:proofErr w:type="spellEnd"/>
      <w:r>
        <w:rPr>
          <w:sz w:val="22"/>
          <w:szCs w:val="22"/>
          <w:lang w:val="es-ES"/>
        </w:rPr>
        <w:t xml:space="preserve"> </w:t>
      </w:r>
      <w:proofErr w:type="spellStart"/>
      <w:r>
        <w:rPr>
          <w:sz w:val="22"/>
          <w:szCs w:val="22"/>
          <w:lang w:val="es-ES"/>
        </w:rPr>
        <w:t>their</w:t>
      </w:r>
      <w:proofErr w:type="spellEnd"/>
      <w:r>
        <w:rPr>
          <w:sz w:val="22"/>
          <w:szCs w:val="22"/>
          <w:lang w:val="es-ES"/>
        </w:rPr>
        <w:t xml:space="preserve"> </w:t>
      </w:r>
      <w:proofErr w:type="spellStart"/>
      <w:r>
        <w:rPr>
          <w:sz w:val="22"/>
          <w:szCs w:val="22"/>
          <w:lang w:val="es-ES"/>
        </w:rPr>
        <w:t>display</w:t>
      </w:r>
      <w:proofErr w:type="spellEnd"/>
      <w:r>
        <w:rPr>
          <w:sz w:val="22"/>
          <w:szCs w:val="22"/>
          <w:lang w:val="es-ES"/>
        </w:rPr>
        <w:t xml:space="preserve">, </w:t>
      </w:r>
      <w:proofErr w:type="spellStart"/>
      <w:r>
        <w:rPr>
          <w:sz w:val="22"/>
          <w:szCs w:val="22"/>
          <w:lang w:val="es-ES"/>
        </w:rPr>
        <w:t>they</w:t>
      </w:r>
      <w:proofErr w:type="spellEnd"/>
      <w:r>
        <w:rPr>
          <w:sz w:val="22"/>
          <w:szCs w:val="22"/>
          <w:lang w:val="es-ES"/>
        </w:rPr>
        <w:t xml:space="preserve"> </w:t>
      </w:r>
      <w:proofErr w:type="spellStart"/>
      <w:r>
        <w:rPr>
          <w:sz w:val="22"/>
          <w:szCs w:val="22"/>
          <w:lang w:val="es-ES"/>
        </w:rPr>
        <w:t>must</w:t>
      </w:r>
      <w:proofErr w:type="spellEnd"/>
      <w:r>
        <w:rPr>
          <w:sz w:val="22"/>
          <w:szCs w:val="22"/>
          <w:lang w:val="es-ES"/>
        </w:rPr>
        <w:t xml:space="preserve"> </w:t>
      </w:r>
      <w:proofErr w:type="spellStart"/>
      <w:r>
        <w:rPr>
          <w:sz w:val="22"/>
          <w:szCs w:val="22"/>
          <w:lang w:val="es-ES"/>
        </w:rPr>
        <w:t>have</w:t>
      </w:r>
      <w:proofErr w:type="spellEnd"/>
      <w:r>
        <w:rPr>
          <w:sz w:val="22"/>
          <w:szCs w:val="22"/>
          <w:lang w:val="es-ES"/>
        </w:rPr>
        <w:t xml:space="preserve"> at </w:t>
      </w:r>
      <w:proofErr w:type="spellStart"/>
      <w:r>
        <w:rPr>
          <w:sz w:val="22"/>
          <w:szCs w:val="22"/>
          <w:lang w:val="es-ES"/>
        </w:rPr>
        <w:t>least</w:t>
      </w:r>
      <w:proofErr w:type="spellEnd"/>
      <w:r>
        <w:rPr>
          <w:sz w:val="22"/>
          <w:szCs w:val="22"/>
          <w:lang w:val="es-ES"/>
        </w:rPr>
        <w:t xml:space="preserve"> </w:t>
      </w:r>
      <w:proofErr w:type="spellStart"/>
      <w:r>
        <w:rPr>
          <w:sz w:val="22"/>
          <w:szCs w:val="22"/>
          <w:lang w:val="es-ES"/>
        </w:rPr>
        <w:t>one</w:t>
      </w:r>
      <w:proofErr w:type="spellEnd"/>
      <w:r>
        <w:rPr>
          <w:sz w:val="22"/>
          <w:szCs w:val="22"/>
          <w:lang w:val="es-ES"/>
        </w:rPr>
        <w:t xml:space="preserve"> </w:t>
      </w:r>
      <w:proofErr w:type="spellStart"/>
      <w:r>
        <w:rPr>
          <w:sz w:val="22"/>
          <w:szCs w:val="22"/>
          <w:lang w:val="es-ES"/>
        </w:rPr>
        <w:t>arrow</w:t>
      </w:r>
      <w:proofErr w:type="spellEnd"/>
      <w:r>
        <w:rPr>
          <w:sz w:val="22"/>
          <w:szCs w:val="22"/>
          <w:lang w:val="es-ES"/>
        </w:rPr>
        <w:t xml:space="preserve"> </w:t>
      </w:r>
      <w:proofErr w:type="spellStart"/>
      <w:r>
        <w:rPr>
          <w:sz w:val="22"/>
          <w:szCs w:val="22"/>
          <w:lang w:val="es-ES"/>
        </w:rPr>
        <w:t>indicating</w:t>
      </w:r>
      <w:proofErr w:type="spellEnd"/>
      <w:r>
        <w:rPr>
          <w:sz w:val="22"/>
          <w:szCs w:val="22"/>
          <w:lang w:val="es-ES"/>
        </w:rPr>
        <w:t xml:space="preserve"> </w:t>
      </w:r>
      <w:proofErr w:type="spellStart"/>
      <w:r>
        <w:rPr>
          <w:sz w:val="22"/>
          <w:szCs w:val="22"/>
          <w:lang w:val="es-ES"/>
        </w:rPr>
        <w:t>the</w:t>
      </w:r>
      <w:proofErr w:type="spellEnd"/>
      <w:r>
        <w:rPr>
          <w:sz w:val="22"/>
          <w:szCs w:val="22"/>
          <w:lang w:val="es-ES"/>
        </w:rPr>
        <w:t xml:space="preserve"> </w:t>
      </w:r>
      <w:proofErr w:type="spellStart"/>
      <w:r>
        <w:rPr>
          <w:sz w:val="22"/>
          <w:szCs w:val="22"/>
          <w:lang w:val="es-ES"/>
        </w:rPr>
        <w:t>direction</w:t>
      </w:r>
      <w:proofErr w:type="spellEnd"/>
      <w:r>
        <w:rPr>
          <w:sz w:val="22"/>
          <w:szCs w:val="22"/>
          <w:lang w:val="es-ES"/>
        </w:rPr>
        <w:t xml:space="preserve"> </w:t>
      </w:r>
      <w:proofErr w:type="spellStart"/>
      <w:r>
        <w:rPr>
          <w:sz w:val="22"/>
          <w:szCs w:val="22"/>
          <w:lang w:val="es-ES"/>
        </w:rPr>
        <w:t>of</w:t>
      </w:r>
      <w:proofErr w:type="spellEnd"/>
      <w:r>
        <w:rPr>
          <w:sz w:val="22"/>
          <w:szCs w:val="22"/>
          <w:lang w:val="es-ES"/>
        </w:rPr>
        <w:t xml:space="preserve"> </w:t>
      </w:r>
      <w:proofErr w:type="spellStart"/>
      <w:r>
        <w:rPr>
          <w:sz w:val="22"/>
          <w:szCs w:val="22"/>
          <w:lang w:val="es-ES"/>
        </w:rPr>
        <w:t>water</w:t>
      </w:r>
      <w:proofErr w:type="spellEnd"/>
      <w:r>
        <w:rPr>
          <w:sz w:val="22"/>
          <w:szCs w:val="22"/>
          <w:lang w:val="es-ES"/>
        </w:rPr>
        <w:t xml:space="preserve"> </w:t>
      </w:r>
      <w:proofErr w:type="spellStart"/>
      <w:r>
        <w:rPr>
          <w:sz w:val="22"/>
          <w:szCs w:val="22"/>
          <w:lang w:val="es-ES"/>
        </w:rPr>
        <w:t>circulation</w:t>
      </w:r>
      <w:proofErr w:type="spellEnd"/>
      <w:r>
        <w:rPr>
          <w:sz w:val="22"/>
          <w:szCs w:val="22"/>
          <w:lang w:val="es-ES"/>
        </w:rPr>
        <w:t xml:space="preserve"> </w:t>
      </w:r>
      <w:proofErr w:type="spellStart"/>
      <w:r>
        <w:rPr>
          <w:sz w:val="22"/>
          <w:szCs w:val="22"/>
          <w:lang w:val="es-ES"/>
        </w:rPr>
        <w:t>on</w:t>
      </w:r>
      <w:proofErr w:type="spellEnd"/>
      <w:r>
        <w:rPr>
          <w:sz w:val="22"/>
          <w:szCs w:val="22"/>
          <w:lang w:val="es-ES"/>
        </w:rPr>
        <w:t xml:space="preserve"> </w:t>
      </w:r>
      <w:proofErr w:type="spellStart"/>
      <w:r>
        <w:rPr>
          <w:sz w:val="22"/>
          <w:szCs w:val="22"/>
          <w:lang w:val="es-ES"/>
        </w:rPr>
        <w:t>the</w:t>
      </w:r>
      <w:proofErr w:type="spellEnd"/>
      <w:r>
        <w:rPr>
          <w:sz w:val="22"/>
          <w:szCs w:val="22"/>
          <w:lang w:val="es-ES"/>
        </w:rPr>
        <w:t xml:space="preserve"> </w:t>
      </w:r>
      <w:proofErr w:type="spellStart"/>
      <w:r>
        <w:rPr>
          <w:sz w:val="22"/>
          <w:szCs w:val="22"/>
          <w:lang w:val="es-ES"/>
        </w:rPr>
        <w:t>casing</w:t>
      </w:r>
      <w:proofErr w:type="spellEnd"/>
      <w:r>
        <w:rPr>
          <w:sz w:val="22"/>
          <w:szCs w:val="22"/>
          <w:lang w:val="es-ES"/>
        </w:rPr>
        <w:t>.</w:t>
      </w:r>
    </w:p>
    <w:p w14:paraId="0238D044" w14:textId="77777777" w:rsidR="00E255F4" w:rsidRDefault="00000000">
      <w:pPr>
        <w:pStyle w:val="Prrafodelista"/>
        <w:numPr>
          <w:ilvl w:val="3"/>
          <w:numId w:val="4"/>
        </w:numPr>
        <w:tabs>
          <w:tab w:val="left" w:pos="-720"/>
          <w:tab w:val="left" w:pos="142"/>
          <w:tab w:val="left" w:pos="851"/>
          <w:tab w:val="left" w:pos="993"/>
        </w:tabs>
        <w:spacing w:after="120"/>
        <w:ind w:left="851" w:hanging="851"/>
        <w:jc w:val="both"/>
        <w:rPr>
          <w:sz w:val="22"/>
          <w:szCs w:val="22"/>
          <w:lang w:val="es-ES"/>
        </w:rPr>
      </w:pPr>
      <w:r>
        <w:rPr>
          <w:sz w:val="22"/>
          <w:szCs w:val="22"/>
          <w:lang w:val="es-ES"/>
        </w:rPr>
        <w:t xml:space="preserve">The </w:t>
      </w:r>
      <w:proofErr w:type="spellStart"/>
      <w:r>
        <w:rPr>
          <w:sz w:val="22"/>
          <w:szCs w:val="22"/>
          <w:lang w:val="es-ES"/>
        </w:rPr>
        <w:t>maximum</w:t>
      </w:r>
      <w:proofErr w:type="spellEnd"/>
      <w:r>
        <w:rPr>
          <w:sz w:val="22"/>
          <w:szCs w:val="22"/>
          <w:lang w:val="es-ES"/>
        </w:rPr>
        <w:t xml:space="preserve"> </w:t>
      </w:r>
      <w:proofErr w:type="spellStart"/>
      <w:r>
        <w:rPr>
          <w:sz w:val="22"/>
          <w:szCs w:val="22"/>
          <w:lang w:val="es-ES"/>
        </w:rPr>
        <w:t>or</w:t>
      </w:r>
      <w:proofErr w:type="spellEnd"/>
      <w:r>
        <w:rPr>
          <w:sz w:val="22"/>
          <w:szCs w:val="22"/>
          <w:lang w:val="es-ES"/>
        </w:rPr>
        <w:t xml:space="preserve"> nominal </w:t>
      </w:r>
      <w:proofErr w:type="spellStart"/>
      <w:r>
        <w:rPr>
          <w:sz w:val="22"/>
          <w:szCs w:val="22"/>
          <w:lang w:val="es-ES"/>
        </w:rPr>
        <w:t>flow</w:t>
      </w:r>
      <w:proofErr w:type="spellEnd"/>
      <w:r>
        <w:rPr>
          <w:sz w:val="22"/>
          <w:szCs w:val="22"/>
          <w:lang w:val="es-ES"/>
        </w:rPr>
        <w:t xml:space="preserve"> </w:t>
      </w:r>
      <w:proofErr w:type="spellStart"/>
      <w:r>
        <w:rPr>
          <w:sz w:val="22"/>
          <w:szCs w:val="22"/>
          <w:lang w:val="es-ES"/>
        </w:rPr>
        <w:t>rate</w:t>
      </w:r>
      <w:proofErr w:type="spellEnd"/>
      <w:r>
        <w:rPr>
          <w:sz w:val="22"/>
          <w:szCs w:val="22"/>
          <w:lang w:val="es-ES"/>
        </w:rPr>
        <w:t xml:space="preserve"> and </w:t>
      </w:r>
      <w:proofErr w:type="spellStart"/>
      <w:r>
        <w:rPr>
          <w:sz w:val="22"/>
          <w:szCs w:val="22"/>
          <w:lang w:val="es-ES"/>
        </w:rPr>
        <w:t>the</w:t>
      </w:r>
      <w:proofErr w:type="spellEnd"/>
      <w:r>
        <w:rPr>
          <w:sz w:val="22"/>
          <w:szCs w:val="22"/>
          <w:lang w:val="es-ES"/>
        </w:rPr>
        <w:t xml:space="preserve"> nominal </w:t>
      </w:r>
      <w:proofErr w:type="spellStart"/>
      <w:r>
        <w:rPr>
          <w:sz w:val="22"/>
          <w:szCs w:val="22"/>
          <w:lang w:val="es-ES"/>
        </w:rPr>
        <w:t>diameter</w:t>
      </w:r>
      <w:proofErr w:type="spellEnd"/>
      <w:r>
        <w:rPr>
          <w:sz w:val="22"/>
          <w:szCs w:val="22"/>
          <w:lang w:val="es-ES"/>
        </w:rPr>
        <w:t xml:space="preserve"> </w:t>
      </w:r>
      <w:proofErr w:type="spellStart"/>
      <w:r>
        <w:rPr>
          <w:sz w:val="22"/>
          <w:szCs w:val="22"/>
          <w:lang w:val="es-ES"/>
        </w:rPr>
        <w:t>may</w:t>
      </w:r>
      <w:proofErr w:type="spellEnd"/>
      <w:r>
        <w:rPr>
          <w:sz w:val="22"/>
          <w:szCs w:val="22"/>
          <w:lang w:val="es-ES"/>
        </w:rPr>
        <w:t xml:space="preserve"> </w:t>
      </w:r>
      <w:proofErr w:type="spellStart"/>
      <w:r>
        <w:rPr>
          <w:sz w:val="22"/>
          <w:szCs w:val="22"/>
          <w:lang w:val="es-ES"/>
        </w:rPr>
        <w:t>also</w:t>
      </w:r>
      <w:proofErr w:type="spellEnd"/>
      <w:r>
        <w:rPr>
          <w:sz w:val="22"/>
          <w:szCs w:val="22"/>
          <w:lang w:val="es-ES"/>
        </w:rPr>
        <w:t xml:space="preserve"> be </w:t>
      </w:r>
      <w:proofErr w:type="spellStart"/>
      <w:r>
        <w:rPr>
          <w:sz w:val="22"/>
          <w:szCs w:val="22"/>
          <w:lang w:val="es-ES"/>
        </w:rPr>
        <w:t>indicated</w:t>
      </w:r>
      <w:proofErr w:type="spellEnd"/>
      <w:r>
        <w:rPr>
          <w:sz w:val="22"/>
          <w:szCs w:val="22"/>
          <w:lang w:val="es-ES"/>
        </w:rPr>
        <w:t xml:space="preserve"> </w:t>
      </w:r>
      <w:proofErr w:type="spellStart"/>
      <w:r>
        <w:rPr>
          <w:sz w:val="22"/>
          <w:szCs w:val="22"/>
          <w:lang w:val="es-ES"/>
        </w:rPr>
        <w:t>on</w:t>
      </w:r>
      <w:proofErr w:type="spellEnd"/>
      <w:r>
        <w:rPr>
          <w:sz w:val="22"/>
          <w:szCs w:val="22"/>
          <w:lang w:val="es-ES"/>
        </w:rPr>
        <w:t xml:space="preserve"> </w:t>
      </w:r>
      <w:proofErr w:type="spellStart"/>
      <w:r>
        <w:rPr>
          <w:sz w:val="22"/>
          <w:szCs w:val="22"/>
          <w:lang w:val="es-ES"/>
        </w:rPr>
        <w:t>the</w:t>
      </w:r>
      <w:proofErr w:type="spellEnd"/>
      <w:r>
        <w:rPr>
          <w:sz w:val="22"/>
          <w:szCs w:val="22"/>
          <w:lang w:val="es-ES"/>
        </w:rPr>
        <w:t xml:space="preserve"> </w:t>
      </w:r>
      <w:proofErr w:type="spellStart"/>
      <w:r>
        <w:rPr>
          <w:sz w:val="22"/>
          <w:szCs w:val="22"/>
          <w:lang w:val="es-ES"/>
        </w:rPr>
        <w:t>casing</w:t>
      </w:r>
      <w:proofErr w:type="spellEnd"/>
      <w:r>
        <w:rPr>
          <w:sz w:val="22"/>
          <w:szCs w:val="22"/>
          <w:lang w:val="es-ES"/>
        </w:rPr>
        <w:t>.</w:t>
      </w:r>
    </w:p>
    <w:p w14:paraId="589A79CC" w14:textId="77777777" w:rsidR="00E255F4" w:rsidRDefault="00000000">
      <w:pPr>
        <w:pStyle w:val="Prrafodelista"/>
        <w:numPr>
          <w:ilvl w:val="3"/>
          <w:numId w:val="4"/>
        </w:numPr>
        <w:tabs>
          <w:tab w:val="left" w:pos="-720"/>
          <w:tab w:val="left" w:pos="142"/>
          <w:tab w:val="left" w:pos="851"/>
          <w:tab w:val="left" w:pos="993"/>
        </w:tabs>
        <w:spacing w:after="120"/>
        <w:ind w:left="851" w:hanging="851"/>
        <w:jc w:val="both"/>
      </w:pPr>
      <w:r>
        <w:rPr>
          <w:sz w:val="22"/>
          <w:szCs w:val="22"/>
          <w:lang w:val="es-ES"/>
        </w:rPr>
        <w:t xml:space="preserve">For 13mm gauges, </w:t>
      </w:r>
      <w:proofErr w:type="spellStart"/>
      <w:r>
        <w:rPr>
          <w:sz w:val="22"/>
          <w:szCs w:val="22"/>
          <w:lang w:val="es-ES"/>
        </w:rPr>
        <w:t>the</w:t>
      </w:r>
      <w:proofErr w:type="spellEnd"/>
      <w:r>
        <w:rPr>
          <w:sz w:val="22"/>
          <w:szCs w:val="22"/>
          <w:lang w:val="es-ES"/>
        </w:rPr>
        <w:t xml:space="preserve"> </w:t>
      </w:r>
      <w:proofErr w:type="spellStart"/>
      <w:r>
        <w:rPr>
          <w:sz w:val="22"/>
          <w:szCs w:val="22"/>
          <w:lang w:val="es-ES"/>
        </w:rPr>
        <w:t>housing</w:t>
      </w:r>
      <w:proofErr w:type="spellEnd"/>
      <w:r>
        <w:rPr>
          <w:sz w:val="22"/>
          <w:szCs w:val="22"/>
          <w:lang w:val="es-ES"/>
        </w:rPr>
        <w:t xml:space="preserve"> </w:t>
      </w:r>
      <w:proofErr w:type="spellStart"/>
      <w:r>
        <w:rPr>
          <w:sz w:val="22"/>
          <w:szCs w:val="22"/>
          <w:lang w:val="es-ES"/>
        </w:rPr>
        <w:t>length</w:t>
      </w:r>
      <w:proofErr w:type="spellEnd"/>
      <w:r>
        <w:rPr>
          <w:sz w:val="22"/>
          <w:szCs w:val="22"/>
          <w:lang w:val="es-ES"/>
        </w:rPr>
        <w:t xml:space="preserve"> </w:t>
      </w:r>
      <w:proofErr w:type="spellStart"/>
      <w:r>
        <w:rPr>
          <w:sz w:val="22"/>
          <w:szCs w:val="22"/>
          <w:lang w:val="es-ES"/>
        </w:rPr>
        <w:t>will</w:t>
      </w:r>
      <w:proofErr w:type="spellEnd"/>
      <w:r>
        <w:rPr>
          <w:sz w:val="22"/>
          <w:szCs w:val="22"/>
          <w:lang w:val="es-ES"/>
        </w:rPr>
        <w:t xml:space="preserve"> be 130mm, </w:t>
      </w:r>
      <w:proofErr w:type="spellStart"/>
      <w:r>
        <w:rPr>
          <w:sz w:val="22"/>
          <w:szCs w:val="22"/>
          <w:lang w:val="es-ES"/>
        </w:rPr>
        <w:t>with</w:t>
      </w:r>
      <w:proofErr w:type="spellEnd"/>
      <w:r>
        <w:rPr>
          <w:sz w:val="22"/>
          <w:szCs w:val="22"/>
          <w:lang w:val="es-ES"/>
        </w:rPr>
        <w:t xml:space="preserve"> </w:t>
      </w:r>
      <w:proofErr w:type="spellStart"/>
      <w:r>
        <w:rPr>
          <w:sz w:val="22"/>
          <w:szCs w:val="22"/>
          <w:lang w:val="es-ES"/>
        </w:rPr>
        <w:t>the</w:t>
      </w:r>
      <w:proofErr w:type="spellEnd"/>
      <w:r>
        <w:rPr>
          <w:sz w:val="22"/>
          <w:szCs w:val="22"/>
          <w:lang w:val="es-ES"/>
        </w:rPr>
        <w:t xml:space="preserve"> </w:t>
      </w:r>
      <w:proofErr w:type="spellStart"/>
      <w:r>
        <w:rPr>
          <w:sz w:val="22"/>
          <w:szCs w:val="22"/>
          <w:lang w:val="es-ES"/>
        </w:rPr>
        <w:t>tolerances</w:t>
      </w:r>
      <w:proofErr w:type="spellEnd"/>
      <w:r>
        <w:rPr>
          <w:sz w:val="22"/>
          <w:szCs w:val="22"/>
          <w:lang w:val="es-ES"/>
        </w:rPr>
        <w:t xml:space="preserve"> </w:t>
      </w:r>
      <w:proofErr w:type="spellStart"/>
      <w:r>
        <w:rPr>
          <w:sz w:val="22"/>
          <w:szCs w:val="22"/>
          <w:lang w:val="es-ES"/>
        </w:rPr>
        <w:t>allowed</w:t>
      </w:r>
      <w:proofErr w:type="spellEnd"/>
      <w:r>
        <w:rPr>
          <w:sz w:val="22"/>
          <w:szCs w:val="22"/>
          <w:lang w:val="es-ES"/>
        </w:rPr>
        <w:t xml:space="preserve"> </w:t>
      </w:r>
      <w:proofErr w:type="spellStart"/>
      <w:r>
        <w:rPr>
          <w:sz w:val="22"/>
          <w:szCs w:val="22"/>
          <w:lang w:val="es-ES"/>
        </w:rPr>
        <w:t>by</w:t>
      </w:r>
      <w:proofErr w:type="spellEnd"/>
      <w:r>
        <w:rPr>
          <w:sz w:val="22"/>
          <w:szCs w:val="22"/>
          <w:lang w:val="es-ES"/>
        </w:rPr>
        <w:t xml:space="preserve"> ISO 4064/I.</w:t>
      </w:r>
    </w:p>
    <w:p w14:paraId="393F70B0" w14:textId="77777777" w:rsidR="00E255F4" w:rsidRDefault="00000000">
      <w:pPr>
        <w:pStyle w:val="Prrafodelista"/>
        <w:numPr>
          <w:ilvl w:val="3"/>
          <w:numId w:val="4"/>
        </w:numPr>
        <w:tabs>
          <w:tab w:val="left" w:pos="-720"/>
          <w:tab w:val="left" w:pos="142"/>
          <w:tab w:val="left" w:pos="851"/>
          <w:tab w:val="left" w:pos="993"/>
        </w:tabs>
        <w:spacing w:after="120"/>
        <w:ind w:left="851" w:hanging="851"/>
        <w:jc w:val="both"/>
      </w:pPr>
      <w:proofErr w:type="spellStart"/>
      <w:r>
        <w:rPr>
          <w:sz w:val="22"/>
          <w:szCs w:val="22"/>
          <w:lang w:val="es-ES"/>
        </w:rPr>
        <w:lastRenderedPageBreak/>
        <w:t>Offers</w:t>
      </w:r>
      <w:proofErr w:type="spellEnd"/>
      <w:r>
        <w:rPr>
          <w:sz w:val="22"/>
          <w:szCs w:val="22"/>
          <w:lang w:val="es-ES"/>
        </w:rPr>
        <w:t xml:space="preserve"> </w:t>
      </w:r>
      <w:proofErr w:type="spellStart"/>
      <w:r>
        <w:rPr>
          <w:sz w:val="22"/>
          <w:szCs w:val="22"/>
          <w:lang w:val="es-ES"/>
        </w:rPr>
        <w:t>for</w:t>
      </w:r>
      <w:proofErr w:type="spellEnd"/>
      <w:r>
        <w:rPr>
          <w:sz w:val="22"/>
          <w:szCs w:val="22"/>
          <w:lang w:val="es-ES"/>
        </w:rPr>
        <w:t xml:space="preserve"> </w:t>
      </w:r>
      <w:proofErr w:type="spellStart"/>
      <w:r>
        <w:rPr>
          <w:sz w:val="22"/>
          <w:szCs w:val="22"/>
          <w:lang w:val="es-ES"/>
        </w:rPr>
        <w:t>meters</w:t>
      </w:r>
      <w:proofErr w:type="spellEnd"/>
      <w:r>
        <w:rPr>
          <w:sz w:val="22"/>
          <w:szCs w:val="22"/>
          <w:lang w:val="es-ES"/>
        </w:rPr>
        <w:t xml:space="preserve"> </w:t>
      </w:r>
      <w:proofErr w:type="spellStart"/>
      <w:r>
        <w:rPr>
          <w:sz w:val="22"/>
          <w:szCs w:val="22"/>
          <w:lang w:val="es-ES"/>
        </w:rPr>
        <w:t>with</w:t>
      </w:r>
      <w:proofErr w:type="spellEnd"/>
      <w:r>
        <w:rPr>
          <w:sz w:val="22"/>
          <w:szCs w:val="22"/>
          <w:lang w:val="es-ES"/>
        </w:rPr>
        <w:t xml:space="preserve"> </w:t>
      </w:r>
      <w:proofErr w:type="spellStart"/>
      <w:r>
        <w:rPr>
          <w:sz w:val="22"/>
          <w:szCs w:val="22"/>
          <w:lang w:val="es-ES"/>
        </w:rPr>
        <w:t>casings</w:t>
      </w:r>
      <w:proofErr w:type="spellEnd"/>
      <w:r>
        <w:rPr>
          <w:sz w:val="22"/>
          <w:szCs w:val="22"/>
          <w:lang w:val="es-ES"/>
        </w:rPr>
        <w:t xml:space="preserve"> </w:t>
      </w:r>
      <w:proofErr w:type="spellStart"/>
      <w:r>
        <w:rPr>
          <w:sz w:val="22"/>
          <w:szCs w:val="22"/>
          <w:lang w:val="es-ES"/>
        </w:rPr>
        <w:t>shorter</w:t>
      </w:r>
      <w:proofErr w:type="spellEnd"/>
      <w:r>
        <w:rPr>
          <w:sz w:val="22"/>
          <w:szCs w:val="22"/>
          <w:lang w:val="es-ES"/>
        </w:rPr>
        <w:t xml:space="preserve"> </w:t>
      </w:r>
      <w:proofErr w:type="spellStart"/>
      <w:r>
        <w:rPr>
          <w:sz w:val="22"/>
          <w:szCs w:val="22"/>
          <w:lang w:val="es-ES"/>
        </w:rPr>
        <w:t>than</w:t>
      </w:r>
      <w:proofErr w:type="spellEnd"/>
      <w:r>
        <w:rPr>
          <w:sz w:val="22"/>
          <w:szCs w:val="22"/>
          <w:lang w:val="es-ES"/>
        </w:rPr>
        <w:t xml:space="preserve"> </w:t>
      </w:r>
      <w:proofErr w:type="spellStart"/>
      <w:r>
        <w:rPr>
          <w:sz w:val="22"/>
          <w:szCs w:val="22"/>
          <w:lang w:val="es-ES"/>
        </w:rPr>
        <w:t>the</w:t>
      </w:r>
      <w:proofErr w:type="spellEnd"/>
      <w:r>
        <w:rPr>
          <w:sz w:val="22"/>
          <w:szCs w:val="22"/>
          <w:lang w:val="es-ES"/>
        </w:rPr>
        <w:t xml:space="preserve"> </w:t>
      </w:r>
      <w:proofErr w:type="spellStart"/>
      <w:r>
        <w:rPr>
          <w:sz w:val="22"/>
          <w:szCs w:val="22"/>
          <w:lang w:val="es-ES"/>
        </w:rPr>
        <w:t>length</w:t>
      </w:r>
      <w:proofErr w:type="spellEnd"/>
      <w:r>
        <w:rPr>
          <w:sz w:val="22"/>
          <w:szCs w:val="22"/>
          <w:lang w:val="es-ES"/>
        </w:rPr>
        <w:t xml:space="preserve"> </w:t>
      </w:r>
      <w:proofErr w:type="spellStart"/>
      <w:r>
        <w:rPr>
          <w:sz w:val="22"/>
          <w:szCs w:val="22"/>
          <w:lang w:val="es-ES"/>
        </w:rPr>
        <w:t>specified</w:t>
      </w:r>
      <w:proofErr w:type="spellEnd"/>
      <w:r>
        <w:rPr>
          <w:sz w:val="22"/>
          <w:szCs w:val="22"/>
          <w:lang w:val="es-ES"/>
        </w:rPr>
        <w:t xml:space="preserve"> </w:t>
      </w:r>
      <w:proofErr w:type="spellStart"/>
      <w:r>
        <w:rPr>
          <w:sz w:val="22"/>
          <w:szCs w:val="22"/>
          <w:lang w:val="es-ES"/>
        </w:rPr>
        <w:t>above</w:t>
      </w:r>
      <w:proofErr w:type="spellEnd"/>
      <w:r>
        <w:rPr>
          <w:sz w:val="22"/>
          <w:szCs w:val="22"/>
          <w:lang w:val="es-ES"/>
        </w:rPr>
        <w:t xml:space="preserve"> </w:t>
      </w:r>
      <w:proofErr w:type="spellStart"/>
      <w:r>
        <w:rPr>
          <w:sz w:val="22"/>
          <w:szCs w:val="22"/>
          <w:lang w:val="es-ES"/>
        </w:rPr>
        <w:t>will</w:t>
      </w:r>
      <w:proofErr w:type="spellEnd"/>
      <w:r>
        <w:rPr>
          <w:sz w:val="22"/>
          <w:szCs w:val="22"/>
          <w:lang w:val="es-ES"/>
        </w:rPr>
        <w:t xml:space="preserve"> be </w:t>
      </w:r>
      <w:proofErr w:type="spellStart"/>
      <w:r>
        <w:rPr>
          <w:sz w:val="22"/>
          <w:szCs w:val="22"/>
          <w:lang w:val="es-ES"/>
        </w:rPr>
        <w:t>accepted</w:t>
      </w:r>
      <w:proofErr w:type="spellEnd"/>
      <w:r>
        <w:rPr>
          <w:sz w:val="22"/>
          <w:szCs w:val="22"/>
          <w:lang w:val="es-ES"/>
        </w:rPr>
        <w:t xml:space="preserve">, </w:t>
      </w:r>
      <w:proofErr w:type="spellStart"/>
      <w:r>
        <w:rPr>
          <w:sz w:val="22"/>
          <w:szCs w:val="22"/>
          <w:lang w:val="es-ES"/>
        </w:rPr>
        <w:t>provided</w:t>
      </w:r>
      <w:proofErr w:type="spellEnd"/>
      <w:r>
        <w:rPr>
          <w:sz w:val="22"/>
          <w:szCs w:val="22"/>
          <w:lang w:val="es-ES"/>
        </w:rPr>
        <w:t xml:space="preserve"> </w:t>
      </w:r>
      <w:proofErr w:type="spellStart"/>
      <w:r>
        <w:rPr>
          <w:sz w:val="22"/>
          <w:szCs w:val="22"/>
          <w:lang w:val="es-ES"/>
        </w:rPr>
        <w:t>the</w:t>
      </w:r>
      <w:proofErr w:type="spellEnd"/>
      <w:r>
        <w:rPr>
          <w:sz w:val="22"/>
          <w:szCs w:val="22"/>
          <w:lang w:val="es-ES"/>
        </w:rPr>
        <w:t xml:space="preserve"> </w:t>
      </w:r>
      <w:proofErr w:type="spellStart"/>
      <w:r>
        <w:rPr>
          <w:sz w:val="22"/>
          <w:szCs w:val="22"/>
          <w:lang w:val="es-ES"/>
        </w:rPr>
        <w:t>supply</w:t>
      </w:r>
      <w:proofErr w:type="spellEnd"/>
      <w:r>
        <w:rPr>
          <w:sz w:val="22"/>
          <w:szCs w:val="22"/>
          <w:lang w:val="es-ES"/>
        </w:rPr>
        <w:t xml:space="preserve"> </w:t>
      </w:r>
      <w:proofErr w:type="spellStart"/>
      <w:r>
        <w:rPr>
          <w:sz w:val="22"/>
          <w:szCs w:val="22"/>
          <w:lang w:val="es-ES"/>
        </w:rPr>
        <w:t>includes</w:t>
      </w:r>
      <w:proofErr w:type="spellEnd"/>
      <w:r>
        <w:rPr>
          <w:sz w:val="22"/>
          <w:szCs w:val="22"/>
          <w:lang w:val="es-ES"/>
        </w:rPr>
        <w:t xml:space="preserve"> a </w:t>
      </w:r>
      <w:proofErr w:type="spellStart"/>
      <w:r>
        <w:rPr>
          <w:sz w:val="22"/>
          <w:szCs w:val="22"/>
          <w:lang w:val="es-ES"/>
        </w:rPr>
        <w:t>plastic</w:t>
      </w:r>
      <w:proofErr w:type="spellEnd"/>
      <w:r>
        <w:rPr>
          <w:sz w:val="22"/>
          <w:szCs w:val="22"/>
          <w:lang w:val="es-ES"/>
        </w:rPr>
        <w:t xml:space="preserve"> </w:t>
      </w:r>
      <w:proofErr w:type="spellStart"/>
      <w:r>
        <w:rPr>
          <w:sz w:val="22"/>
          <w:szCs w:val="22"/>
          <w:lang w:val="es-ES"/>
        </w:rPr>
        <w:t>coupling</w:t>
      </w:r>
      <w:proofErr w:type="spellEnd"/>
      <w:r>
        <w:rPr>
          <w:sz w:val="22"/>
          <w:szCs w:val="22"/>
          <w:lang w:val="es-ES"/>
        </w:rPr>
        <w:t xml:space="preserve"> </w:t>
      </w:r>
      <w:proofErr w:type="spellStart"/>
      <w:r>
        <w:rPr>
          <w:sz w:val="22"/>
          <w:szCs w:val="22"/>
          <w:lang w:val="es-ES"/>
        </w:rPr>
        <w:t>to</w:t>
      </w:r>
      <w:proofErr w:type="spellEnd"/>
      <w:r>
        <w:rPr>
          <w:sz w:val="22"/>
          <w:szCs w:val="22"/>
          <w:lang w:val="es-ES"/>
        </w:rPr>
        <w:t xml:space="preserve"> </w:t>
      </w:r>
      <w:proofErr w:type="spellStart"/>
      <w:r>
        <w:rPr>
          <w:sz w:val="22"/>
          <w:szCs w:val="22"/>
          <w:lang w:val="es-ES"/>
        </w:rPr>
        <w:t>achieve</w:t>
      </w:r>
      <w:proofErr w:type="spellEnd"/>
      <w:r>
        <w:rPr>
          <w:sz w:val="22"/>
          <w:szCs w:val="22"/>
          <w:lang w:val="es-ES"/>
        </w:rPr>
        <w:t xml:space="preserve"> </w:t>
      </w:r>
      <w:proofErr w:type="spellStart"/>
      <w:r>
        <w:rPr>
          <w:sz w:val="22"/>
          <w:szCs w:val="22"/>
          <w:lang w:val="es-ES"/>
        </w:rPr>
        <w:t>the</w:t>
      </w:r>
      <w:proofErr w:type="spellEnd"/>
      <w:r>
        <w:rPr>
          <w:sz w:val="22"/>
          <w:szCs w:val="22"/>
          <w:lang w:val="es-ES"/>
        </w:rPr>
        <w:t xml:space="preserve"> total </w:t>
      </w:r>
      <w:proofErr w:type="spellStart"/>
      <w:r>
        <w:rPr>
          <w:sz w:val="22"/>
          <w:szCs w:val="22"/>
          <w:lang w:val="es-ES"/>
        </w:rPr>
        <w:t>length</w:t>
      </w:r>
      <w:proofErr w:type="spellEnd"/>
      <w:r>
        <w:rPr>
          <w:sz w:val="22"/>
          <w:szCs w:val="22"/>
          <w:lang w:val="es-ES"/>
        </w:rPr>
        <w:t xml:space="preserve"> </w:t>
      </w:r>
      <w:proofErr w:type="spellStart"/>
      <w:r>
        <w:rPr>
          <w:sz w:val="22"/>
          <w:szCs w:val="22"/>
          <w:lang w:val="es-ES"/>
        </w:rPr>
        <w:t>requested</w:t>
      </w:r>
      <w:proofErr w:type="spellEnd"/>
      <w:r>
        <w:rPr>
          <w:sz w:val="22"/>
          <w:szCs w:val="22"/>
          <w:lang w:val="es-ES"/>
        </w:rPr>
        <w:t xml:space="preserve">. </w:t>
      </w:r>
      <w:proofErr w:type="spellStart"/>
      <w:r>
        <w:rPr>
          <w:sz w:val="22"/>
          <w:szCs w:val="22"/>
          <w:lang w:val="es-ES"/>
        </w:rPr>
        <w:t>This</w:t>
      </w:r>
      <w:proofErr w:type="spellEnd"/>
      <w:r>
        <w:rPr>
          <w:sz w:val="22"/>
          <w:szCs w:val="22"/>
          <w:lang w:val="es-ES"/>
        </w:rPr>
        <w:t xml:space="preserve"> </w:t>
      </w:r>
      <w:proofErr w:type="spellStart"/>
      <w:r>
        <w:rPr>
          <w:sz w:val="22"/>
          <w:szCs w:val="22"/>
          <w:lang w:val="es-ES"/>
        </w:rPr>
        <w:t>coupling</w:t>
      </w:r>
      <w:proofErr w:type="spellEnd"/>
      <w:r>
        <w:rPr>
          <w:sz w:val="22"/>
          <w:szCs w:val="22"/>
          <w:lang w:val="es-ES"/>
        </w:rPr>
        <w:t xml:space="preserve"> </w:t>
      </w:r>
      <w:proofErr w:type="spellStart"/>
      <w:r>
        <w:rPr>
          <w:sz w:val="22"/>
          <w:szCs w:val="22"/>
          <w:lang w:val="es-ES"/>
        </w:rPr>
        <w:t>must</w:t>
      </w:r>
      <w:proofErr w:type="spellEnd"/>
      <w:r>
        <w:rPr>
          <w:sz w:val="22"/>
          <w:szCs w:val="22"/>
          <w:lang w:val="es-ES"/>
        </w:rPr>
        <w:t xml:space="preserve"> be </w:t>
      </w:r>
      <w:proofErr w:type="spellStart"/>
      <w:r>
        <w:rPr>
          <w:sz w:val="22"/>
          <w:szCs w:val="22"/>
          <w:lang w:val="es-ES"/>
        </w:rPr>
        <w:t>supplied</w:t>
      </w:r>
      <w:proofErr w:type="spellEnd"/>
      <w:r>
        <w:rPr>
          <w:sz w:val="22"/>
          <w:szCs w:val="22"/>
          <w:lang w:val="es-ES"/>
        </w:rPr>
        <w:t xml:space="preserve"> and </w:t>
      </w:r>
      <w:proofErr w:type="spellStart"/>
      <w:r>
        <w:rPr>
          <w:sz w:val="22"/>
          <w:szCs w:val="22"/>
          <w:lang w:val="es-ES"/>
        </w:rPr>
        <w:t>quoted</w:t>
      </w:r>
      <w:proofErr w:type="spellEnd"/>
      <w:r>
        <w:rPr>
          <w:sz w:val="22"/>
          <w:szCs w:val="22"/>
          <w:lang w:val="es-ES"/>
        </w:rPr>
        <w:t xml:space="preserve"> as </w:t>
      </w:r>
      <w:proofErr w:type="spellStart"/>
      <w:r>
        <w:rPr>
          <w:sz w:val="22"/>
          <w:szCs w:val="22"/>
          <w:lang w:val="es-ES"/>
        </w:rPr>
        <w:t>part</w:t>
      </w:r>
      <w:proofErr w:type="spellEnd"/>
      <w:r>
        <w:rPr>
          <w:sz w:val="22"/>
          <w:szCs w:val="22"/>
          <w:lang w:val="es-ES"/>
        </w:rPr>
        <w:t xml:space="preserve"> </w:t>
      </w:r>
      <w:proofErr w:type="spellStart"/>
      <w:r>
        <w:rPr>
          <w:sz w:val="22"/>
          <w:szCs w:val="22"/>
          <w:lang w:val="es-ES"/>
        </w:rPr>
        <w:t>of</w:t>
      </w:r>
      <w:proofErr w:type="spellEnd"/>
      <w:r>
        <w:rPr>
          <w:sz w:val="22"/>
          <w:szCs w:val="22"/>
          <w:lang w:val="es-ES"/>
        </w:rPr>
        <w:t xml:space="preserve"> </w:t>
      </w:r>
      <w:proofErr w:type="spellStart"/>
      <w:r>
        <w:rPr>
          <w:sz w:val="22"/>
          <w:szCs w:val="22"/>
          <w:lang w:val="es-ES"/>
        </w:rPr>
        <w:t>the</w:t>
      </w:r>
      <w:proofErr w:type="spellEnd"/>
      <w:r>
        <w:rPr>
          <w:sz w:val="22"/>
          <w:szCs w:val="22"/>
          <w:lang w:val="es-ES"/>
        </w:rPr>
        <w:t xml:space="preserve"> </w:t>
      </w:r>
      <w:proofErr w:type="spellStart"/>
      <w:r>
        <w:rPr>
          <w:sz w:val="22"/>
          <w:szCs w:val="22"/>
          <w:lang w:val="es-ES"/>
        </w:rPr>
        <w:t>offered</w:t>
      </w:r>
      <w:proofErr w:type="spellEnd"/>
      <w:r>
        <w:rPr>
          <w:sz w:val="22"/>
          <w:szCs w:val="22"/>
          <w:lang w:val="es-ES"/>
        </w:rPr>
        <w:t xml:space="preserve"> meter. </w:t>
      </w:r>
      <w:proofErr w:type="spellStart"/>
      <w:r>
        <w:rPr>
          <w:sz w:val="22"/>
          <w:szCs w:val="22"/>
          <w:lang w:val="es-ES"/>
        </w:rPr>
        <w:t>Tests</w:t>
      </w:r>
      <w:proofErr w:type="spellEnd"/>
      <w:r>
        <w:rPr>
          <w:sz w:val="22"/>
          <w:szCs w:val="22"/>
          <w:lang w:val="es-ES"/>
        </w:rPr>
        <w:t xml:space="preserve"> and </w:t>
      </w:r>
      <w:proofErr w:type="spellStart"/>
      <w:r>
        <w:rPr>
          <w:sz w:val="22"/>
          <w:szCs w:val="22"/>
          <w:lang w:val="es-ES"/>
        </w:rPr>
        <w:t>trials</w:t>
      </w:r>
      <w:proofErr w:type="spellEnd"/>
      <w:r>
        <w:rPr>
          <w:sz w:val="22"/>
          <w:szCs w:val="22"/>
          <w:lang w:val="es-ES"/>
        </w:rPr>
        <w:t xml:space="preserve"> </w:t>
      </w:r>
      <w:proofErr w:type="spellStart"/>
      <w:r>
        <w:rPr>
          <w:sz w:val="22"/>
          <w:szCs w:val="22"/>
          <w:lang w:val="es-ES"/>
        </w:rPr>
        <w:t>will</w:t>
      </w:r>
      <w:proofErr w:type="spellEnd"/>
      <w:r>
        <w:rPr>
          <w:sz w:val="22"/>
          <w:szCs w:val="22"/>
          <w:lang w:val="es-ES"/>
        </w:rPr>
        <w:t xml:space="preserve"> be </w:t>
      </w:r>
      <w:proofErr w:type="spellStart"/>
      <w:r>
        <w:rPr>
          <w:sz w:val="22"/>
          <w:szCs w:val="22"/>
          <w:lang w:val="es-ES"/>
        </w:rPr>
        <w:t>performed</w:t>
      </w:r>
      <w:proofErr w:type="spellEnd"/>
      <w:r>
        <w:rPr>
          <w:sz w:val="22"/>
          <w:szCs w:val="22"/>
          <w:lang w:val="es-ES"/>
        </w:rPr>
        <w:t xml:space="preserve"> </w:t>
      </w:r>
      <w:proofErr w:type="spellStart"/>
      <w:r>
        <w:rPr>
          <w:sz w:val="22"/>
          <w:szCs w:val="22"/>
          <w:lang w:val="es-ES"/>
        </w:rPr>
        <w:t>on</w:t>
      </w:r>
      <w:proofErr w:type="spellEnd"/>
      <w:r>
        <w:rPr>
          <w:sz w:val="22"/>
          <w:szCs w:val="22"/>
          <w:lang w:val="es-ES"/>
        </w:rPr>
        <w:t xml:space="preserve"> </w:t>
      </w:r>
      <w:proofErr w:type="spellStart"/>
      <w:r>
        <w:rPr>
          <w:sz w:val="22"/>
          <w:szCs w:val="22"/>
          <w:lang w:val="es-ES"/>
        </w:rPr>
        <w:t>the</w:t>
      </w:r>
      <w:proofErr w:type="spellEnd"/>
      <w:r>
        <w:rPr>
          <w:sz w:val="22"/>
          <w:szCs w:val="22"/>
          <w:lang w:val="es-ES"/>
        </w:rPr>
        <w:t xml:space="preserve"> </w:t>
      </w:r>
      <w:proofErr w:type="spellStart"/>
      <w:r>
        <w:rPr>
          <w:sz w:val="22"/>
          <w:szCs w:val="22"/>
          <w:lang w:val="es-ES"/>
        </w:rPr>
        <w:t>coupling</w:t>
      </w:r>
      <w:proofErr w:type="spellEnd"/>
      <w:r>
        <w:rPr>
          <w:sz w:val="22"/>
          <w:szCs w:val="22"/>
          <w:lang w:val="es-ES"/>
        </w:rPr>
        <w:t xml:space="preserve">-meter </w:t>
      </w:r>
      <w:proofErr w:type="spellStart"/>
      <w:r>
        <w:rPr>
          <w:sz w:val="22"/>
          <w:szCs w:val="22"/>
          <w:lang w:val="es-ES"/>
        </w:rPr>
        <w:t>assembly</w:t>
      </w:r>
      <w:proofErr w:type="spellEnd"/>
      <w:r>
        <w:rPr>
          <w:sz w:val="22"/>
          <w:szCs w:val="22"/>
          <w:lang w:val="es-ES"/>
        </w:rPr>
        <w:t xml:space="preserve">, </w:t>
      </w:r>
      <w:proofErr w:type="spellStart"/>
      <w:r>
        <w:rPr>
          <w:sz w:val="22"/>
          <w:szCs w:val="22"/>
          <w:lang w:val="es-ES"/>
        </w:rPr>
        <w:t>considering</w:t>
      </w:r>
      <w:proofErr w:type="spellEnd"/>
      <w:r>
        <w:rPr>
          <w:sz w:val="22"/>
          <w:szCs w:val="22"/>
          <w:lang w:val="es-ES"/>
        </w:rPr>
        <w:t xml:space="preserve"> </w:t>
      </w:r>
      <w:proofErr w:type="spellStart"/>
      <w:r>
        <w:rPr>
          <w:sz w:val="22"/>
          <w:szCs w:val="22"/>
          <w:lang w:val="es-ES"/>
        </w:rPr>
        <w:t>it</w:t>
      </w:r>
      <w:proofErr w:type="spellEnd"/>
      <w:r>
        <w:rPr>
          <w:sz w:val="22"/>
          <w:szCs w:val="22"/>
          <w:lang w:val="es-ES"/>
        </w:rPr>
        <w:t xml:space="preserve"> as a </w:t>
      </w:r>
      <w:proofErr w:type="gramStart"/>
      <w:r>
        <w:rPr>
          <w:sz w:val="22"/>
          <w:szCs w:val="22"/>
          <w:lang w:val="es-ES"/>
        </w:rPr>
        <w:t>single</w:t>
      </w:r>
      <w:proofErr w:type="gramEnd"/>
      <w:r>
        <w:rPr>
          <w:sz w:val="22"/>
          <w:szCs w:val="22"/>
          <w:lang w:val="es-ES"/>
        </w:rPr>
        <w:t xml:space="preserve"> </w:t>
      </w:r>
      <w:proofErr w:type="spellStart"/>
      <w:r>
        <w:rPr>
          <w:sz w:val="22"/>
          <w:szCs w:val="22"/>
          <w:lang w:val="es-ES"/>
        </w:rPr>
        <w:t>unit</w:t>
      </w:r>
      <w:proofErr w:type="spellEnd"/>
      <w:r>
        <w:rPr>
          <w:sz w:val="22"/>
          <w:szCs w:val="22"/>
          <w:lang w:val="es-ES"/>
        </w:rPr>
        <w:t xml:space="preserve"> </w:t>
      </w:r>
      <w:proofErr w:type="spellStart"/>
      <w:r>
        <w:rPr>
          <w:sz w:val="22"/>
          <w:szCs w:val="22"/>
          <w:lang w:val="es-ES"/>
        </w:rPr>
        <w:t>for</w:t>
      </w:r>
      <w:proofErr w:type="spellEnd"/>
      <w:r>
        <w:rPr>
          <w:sz w:val="22"/>
          <w:szCs w:val="22"/>
          <w:lang w:val="es-ES"/>
        </w:rPr>
        <w:t xml:space="preserve"> </w:t>
      </w:r>
      <w:proofErr w:type="spellStart"/>
      <w:r>
        <w:rPr>
          <w:sz w:val="22"/>
          <w:szCs w:val="22"/>
          <w:lang w:val="es-ES"/>
        </w:rPr>
        <w:t>these</w:t>
      </w:r>
      <w:proofErr w:type="spellEnd"/>
      <w:r>
        <w:rPr>
          <w:sz w:val="22"/>
          <w:szCs w:val="22"/>
          <w:lang w:val="es-ES"/>
        </w:rPr>
        <w:t xml:space="preserve"> </w:t>
      </w:r>
      <w:proofErr w:type="spellStart"/>
      <w:r>
        <w:rPr>
          <w:sz w:val="22"/>
          <w:szCs w:val="22"/>
          <w:lang w:val="es-ES"/>
        </w:rPr>
        <w:t>purposes</w:t>
      </w:r>
      <w:proofErr w:type="spellEnd"/>
      <w:r>
        <w:rPr>
          <w:sz w:val="22"/>
          <w:szCs w:val="22"/>
          <w:lang w:val="es-ES"/>
        </w:rPr>
        <w:t>.</w:t>
      </w:r>
    </w:p>
    <w:p w14:paraId="51D2D7CB" w14:textId="77777777" w:rsidR="00E255F4" w:rsidRDefault="00000000">
      <w:pPr>
        <w:pStyle w:val="Prrafodelista"/>
        <w:numPr>
          <w:ilvl w:val="3"/>
          <w:numId w:val="4"/>
        </w:numPr>
        <w:tabs>
          <w:tab w:val="left" w:pos="-720"/>
          <w:tab w:val="left" w:pos="142"/>
          <w:tab w:val="left" w:pos="851"/>
          <w:tab w:val="left" w:pos="993"/>
        </w:tabs>
        <w:spacing w:after="120"/>
        <w:ind w:left="851" w:hanging="851"/>
        <w:jc w:val="both"/>
        <w:rPr>
          <w:color w:val="000000"/>
          <w:sz w:val="22"/>
          <w:szCs w:val="22"/>
          <w:lang w:val="es-ES"/>
        </w:rPr>
      </w:pPr>
      <w:r>
        <w:rPr>
          <w:sz w:val="22"/>
          <w:szCs w:val="22"/>
          <w:lang w:val="es-ES"/>
        </w:rPr>
        <w:t xml:space="preserve">The </w:t>
      </w:r>
      <w:proofErr w:type="spellStart"/>
      <w:r>
        <w:rPr>
          <w:sz w:val="22"/>
          <w:szCs w:val="22"/>
          <w:lang w:val="es-ES"/>
        </w:rPr>
        <w:t>height</w:t>
      </w:r>
      <w:proofErr w:type="spellEnd"/>
      <w:r>
        <w:rPr>
          <w:sz w:val="22"/>
          <w:szCs w:val="22"/>
          <w:lang w:val="es-ES"/>
        </w:rPr>
        <w:t xml:space="preserve"> </w:t>
      </w:r>
      <w:proofErr w:type="spellStart"/>
      <w:r>
        <w:rPr>
          <w:sz w:val="22"/>
          <w:szCs w:val="22"/>
          <w:lang w:val="es-ES"/>
        </w:rPr>
        <w:t>of</w:t>
      </w:r>
      <w:proofErr w:type="spellEnd"/>
      <w:r>
        <w:rPr>
          <w:sz w:val="22"/>
          <w:szCs w:val="22"/>
          <w:lang w:val="es-ES"/>
        </w:rPr>
        <w:t xml:space="preserve"> </w:t>
      </w:r>
      <w:proofErr w:type="spellStart"/>
      <w:r>
        <w:rPr>
          <w:sz w:val="22"/>
          <w:szCs w:val="22"/>
          <w:lang w:val="es-ES"/>
        </w:rPr>
        <w:t>the</w:t>
      </w:r>
      <w:proofErr w:type="spellEnd"/>
      <w:r>
        <w:rPr>
          <w:sz w:val="22"/>
          <w:szCs w:val="22"/>
          <w:lang w:val="es-ES"/>
        </w:rPr>
        <w:t xml:space="preserve"> </w:t>
      </w:r>
      <w:proofErr w:type="spellStart"/>
      <w:r>
        <w:rPr>
          <w:sz w:val="22"/>
          <w:szCs w:val="22"/>
          <w:lang w:val="es-ES"/>
        </w:rPr>
        <w:t>integrated</w:t>
      </w:r>
      <w:proofErr w:type="spellEnd"/>
      <w:r>
        <w:rPr>
          <w:sz w:val="22"/>
          <w:szCs w:val="22"/>
          <w:lang w:val="es-ES"/>
        </w:rPr>
        <w:t xml:space="preserve"> </w:t>
      </w:r>
      <w:proofErr w:type="spellStart"/>
      <w:r>
        <w:rPr>
          <w:sz w:val="22"/>
          <w:szCs w:val="22"/>
          <w:lang w:val="es-ES"/>
        </w:rPr>
        <w:t>smart</w:t>
      </w:r>
      <w:proofErr w:type="spellEnd"/>
      <w:r>
        <w:rPr>
          <w:sz w:val="22"/>
          <w:szCs w:val="22"/>
          <w:lang w:val="es-ES"/>
        </w:rPr>
        <w:t xml:space="preserve"> meter, </w:t>
      </w:r>
      <w:proofErr w:type="spellStart"/>
      <w:r>
        <w:rPr>
          <w:sz w:val="22"/>
          <w:szCs w:val="22"/>
          <w:lang w:val="es-ES"/>
        </w:rPr>
        <w:t>understood</w:t>
      </w:r>
      <w:proofErr w:type="spellEnd"/>
      <w:r>
        <w:rPr>
          <w:sz w:val="22"/>
          <w:szCs w:val="22"/>
          <w:lang w:val="es-ES"/>
        </w:rPr>
        <w:t xml:space="preserve"> as </w:t>
      </w:r>
      <w:proofErr w:type="spellStart"/>
      <w:r>
        <w:rPr>
          <w:sz w:val="22"/>
          <w:szCs w:val="22"/>
          <w:lang w:val="es-ES"/>
        </w:rPr>
        <w:t>the</w:t>
      </w:r>
      <w:proofErr w:type="spellEnd"/>
      <w:r>
        <w:rPr>
          <w:sz w:val="22"/>
          <w:szCs w:val="22"/>
          <w:lang w:val="es-ES"/>
        </w:rPr>
        <w:t xml:space="preserve"> transverse </w:t>
      </w:r>
      <w:proofErr w:type="spellStart"/>
      <w:r>
        <w:rPr>
          <w:sz w:val="22"/>
          <w:szCs w:val="22"/>
          <w:lang w:val="es-ES"/>
        </w:rPr>
        <w:t>distance</w:t>
      </w:r>
      <w:proofErr w:type="spellEnd"/>
      <w:r>
        <w:rPr>
          <w:sz w:val="22"/>
          <w:szCs w:val="22"/>
          <w:lang w:val="es-ES"/>
        </w:rPr>
        <w:t xml:space="preserve"> </w:t>
      </w:r>
      <w:proofErr w:type="spellStart"/>
      <w:r>
        <w:rPr>
          <w:sz w:val="22"/>
          <w:szCs w:val="22"/>
          <w:lang w:val="es-ES"/>
        </w:rPr>
        <w:t>to</w:t>
      </w:r>
      <w:proofErr w:type="spellEnd"/>
      <w:r>
        <w:rPr>
          <w:sz w:val="22"/>
          <w:szCs w:val="22"/>
          <w:lang w:val="es-ES"/>
        </w:rPr>
        <w:t xml:space="preserve"> </w:t>
      </w:r>
      <w:proofErr w:type="spellStart"/>
      <w:r>
        <w:rPr>
          <w:sz w:val="22"/>
          <w:szCs w:val="22"/>
          <w:lang w:val="es-ES"/>
        </w:rPr>
        <w:t>the</w:t>
      </w:r>
      <w:proofErr w:type="spellEnd"/>
      <w:r>
        <w:rPr>
          <w:sz w:val="22"/>
          <w:szCs w:val="22"/>
          <w:lang w:val="es-ES"/>
        </w:rPr>
        <w:t xml:space="preserve"> axis </w:t>
      </w:r>
      <w:proofErr w:type="spellStart"/>
      <w:r>
        <w:rPr>
          <w:sz w:val="22"/>
          <w:szCs w:val="22"/>
          <w:lang w:val="es-ES"/>
        </w:rPr>
        <w:t>from</w:t>
      </w:r>
      <w:proofErr w:type="spellEnd"/>
      <w:r>
        <w:rPr>
          <w:sz w:val="22"/>
          <w:szCs w:val="22"/>
          <w:lang w:val="es-ES"/>
        </w:rPr>
        <w:t xml:space="preserve"> </w:t>
      </w:r>
      <w:proofErr w:type="spellStart"/>
      <w:r>
        <w:rPr>
          <w:sz w:val="22"/>
          <w:szCs w:val="22"/>
          <w:lang w:val="es-ES"/>
        </w:rPr>
        <w:t>the</w:t>
      </w:r>
      <w:proofErr w:type="spellEnd"/>
      <w:r>
        <w:rPr>
          <w:sz w:val="22"/>
          <w:szCs w:val="22"/>
          <w:lang w:val="es-ES"/>
        </w:rPr>
        <w:t xml:space="preserve"> center </w:t>
      </w:r>
      <w:proofErr w:type="spellStart"/>
      <w:r>
        <w:rPr>
          <w:sz w:val="22"/>
          <w:szCs w:val="22"/>
          <w:lang w:val="es-ES"/>
        </w:rPr>
        <w:t>of</w:t>
      </w:r>
      <w:proofErr w:type="spellEnd"/>
      <w:r>
        <w:rPr>
          <w:sz w:val="22"/>
          <w:szCs w:val="22"/>
          <w:lang w:val="es-ES"/>
        </w:rPr>
        <w:t xml:space="preserve"> </w:t>
      </w:r>
      <w:proofErr w:type="spellStart"/>
      <w:r>
        <w:rPr>
          <w:sz w:val="22"/>
          <w:szCs w:val="22"/>
          <w:lang w:val="es-ES"/>
        </w:rPr>
        <w:t>the</w:t>
      </w:r>
      <w:proofErr w:type="spellEnd"/>
      <w:r>
        <w:rPr>
          <w:sz w:val="22"/>
          <w:szCs w:val="22"/>
          <w:lang w:val="es-ES"/>
        </w:rPr>
        <w:t xml:space="preserve"> </w:t>
      </w:r>
      <w:proofErr w:type="spellStart"/>
      <w:r>
        <w:rPr>
          <w:sz w:val="22"/>
          <w:szCs w:val="22"/>
          <w:lang w:val="es-ES"/>
        </w:rPr>
        <w:t>water</w:t>
      </w:r>
      <w:proofErr w:type="spellEnd"/>
      <w:r>
        <w:rPr>
          <w:sz w:val="22"/>
          <w:szCs w:val="22"/>
          <w:lang w:val="es-ES"/>
        </w:rPr>
        <w:t xml:space="preserve"> </w:t>
      </w:r>
      <w:proofErr w:type="spellStart"/>
      <w:r>
        <w:rPr>
          <w:sz w:val="22"/>
          <w:szCs w:val="22"/>
          <w:lang w:val="es-ES"/>
        </w:rPr>
        <w:t>inlet</w:t>
      </w:r>
      <w:proofErr w:type="spellEnd"/>
      <w:r>
        <w:rPr>
          <w:sz w:val="22"/>
          <w:szCs w:val="22"/>
          <w:lang w:val="es-ES"/>
        </w:rPr>
        <w:t xml:space="preserve"> </w:t>
      </w:r>
      <w:proofErr w:type="spellStart"/>
      <w:r>
        <w:rPr>
          <w:sz w:val="22"/>
          <w:szCs w:val="22"/>
          <w:lang w:val="es-ES"/>
        </w:rPr>
        <w:t>hole</w:t>
      </w:r>
      <w:proofErr w:type="spellEnd"/>
      <w:r>
        <w:rPr>
          <w:sz w:val="22"/>
          <w:szCs w:val="22"/>
          <w:lang w:val="es-ES"/>
        </w:rPr>
        <w:t xml:space="preserve"> </w:t>
      </w:r>
      <w:proofErr w:type="spellStart"/>
      <w:r>
        <w:rPr>
          <w:sz w:val="22"/>
          <w:szCs w:val="22"/>
          <w:lang w:val="es-ES"/>
        </w:rPr>
        <w:t>to</w:t>
      </w:r>
      <w:proofErr w:type="spellEnd"/>
      <w:r>
        <w:rPr>
          <w:sz w:val="22"/>
          <w:szCs w:val="22"/>
          <w:lang w:val="es-ES"/>
        </w:rPr>
        <w:t xml:space="preserve"> </w:t>
      </w:r>
      <w:proofErr w:type="spellStart"/>
      <w:r>
        <w:rPr>
          <w:sz w:val="22"/>
          <w:szCs w:val="22"/>
          <w:lang w:val="es-ES"/>
        </w:rPr>
        <w:t>the</w:t>
      </w:r>
      <w:proofErr w:type="spellEnd"/>
      <w:r>
        <w:rPr>
          <w:sz w:val="22"/>
          <w:szCs w:val="22"/>
          <w:lang w:val="es-ES"/>
        </w:rPr>
        <w:t xml:space="preserve"> meter </w:t>
      </w:r>
      <w:proofErr w:type="spellStart"/>
      <w:r>
        <w:rPr>
          <w:sz w:val="22"/>
          <w:szCs w:val="22"/>
          <w:lang w:val="es-ES"/>
        </w:rPr>
        <w:t>to</w:t>
      </w:r>
      <w:proofErr w:type="spellEnd"/>
      <w:r>
        <w:rPr>
          <w:sz w:val="22"/>
          <w:szCs w:val="22"/>
          <w:lang w:val="es-ES"/>
        </w:rPr>
        <w:t xml:space="preserve"> </w:t>
      </w:r>
      <w:proofErr w:type="spellStart"/>
      <w:r>
        <w:rPr>
          <w:sz w:val="22"/>
          <w:szCs w:val="22"/>
          <w:lang w:val="es-ES"/>
        </w:rPr>
        <w:t>the</w:t>
      </w:r>
      <w:proofErr w:type="spellEnd"/>
      <w:r>
        <w:rPr>
          <w:sz w:val="22"/>
          <w:szCs w:val="22"/>
          <w:lang w:val="es-ES"/>
        </w:rPr>
        <w:t xml:space="preserve"> </w:t>
      </w:r>
      <w:proofErr w:type="spellStart"/>
      <w:r>
        <w:rPr>
          <w:sz w:val="22"/>
          <w:szCs w:val="22"/>
          <w:lang w:val="es-ES"/>
        </w:rPr>
        <w:t>highest</w:t>
      </w:r>
      <w:proofErr w:type="spellEnd"/>
      <w:r>
        <w:rPr>
          <w:sz w:val="22"/>
          <w:szCs w:val="22"/>
          <w:lang w:val="es-ES"/>
        </w:rPr>
        <w:t xml:space="preserve"> </w:t>
      </w:r>
      <w:proofErr w:type="spellStart"/>
      <w:r>
        <w:rPr>
          <w:sz w:val="22"/>
          <w:szCs w:val="22"/>
          <w:lang w:val="es-ES"/>
        </w:rPr>
        <w:t>point</w:t>
      </w:r>
      <w:proofErr w:type="spellEnd"/>
      <w:r>
        <w:rPr>
          <w:color w:val="00B050"/>
          <w:sz w:val="22"/>
          <w:szCs w:val="22"/>
          <w:lang w:val="es-ES"/>
        </w:rPr>
        <w:t xml:space="preserve"> </w:t>
      </w:r>
      <w:proofErr w:type="spellStart"/>
      <w:r>
        <w:rPr>
          <w:sz w:val="22"/>
          <w:szCs w:val="22"/>
          <w:lang w:val="es-ES"/>
        </w:rPr>
        <w:t>elevated</w:t>
      </w:r>
      <w:proofErr w:type="spellEnd"/>
      <w:r>
        <w:rPr>
          <w:sz w:val="22"/>
          <w:szCs w:val="22"/>
          <w:lang w:val="es-ES"/>
        </w:rPr>
        <w:t xml:space="preserve"> meter</w:t>
      </w:r>
      <w:r>
        <w:rPr>
          <w:color w:val="000000"/>
          <w:sz w:val="22"/>
          <w:szCs w:val="22"/>
          <w:lang w:val="es-ES"/>
        </w:rPr>
        <w:t xml:space="preserve">, </w:t>
      </w:r>
      <w:proofErr w:type="spellStart"/>
      <w:r>
        <w:rPr>
          <w:color w:val="000000"/>
          <w:sz w:val="22"/>
          <w:szCs w:val="22"/>
          <w:lang w:val="es-ES"/>
        </w:rPr>
        <w:t>may</w:t>
      </w:r>
      <w:proofErr w:type="spellEnd"/>
      <w:r>
        <w:rPr>
          <w:color w:val="000000"/>
          <w:sz w:val="22"/>
          <w:szCs w:val="22"/>
          <w:lang w:val="es-ES"/>
        </w:rPr>
        <w:t xml:space="preserve"> </w:t>
      </w:r>
      <w:proofErr w:type="spellStart"/>
      <w:r>
        <w:rPr>
          <w:color w:val="000000"/>
          <w:sz w:val="22"/>
          <w:szCs w:val="22"/>
          <w:lang w:val="es-ES"/>
        </w:rPr>
        <w:t>not</w:t>
      </w:r>
      <w:proofErr w:type="spellEnd"/>
      <w:r>
        <w:rPr>
          <w:color w:val="000000"/>
          <w:sz w:val="22"/>
          <w:szCs w:val="22"/>
          <w:lang w:val="es-ES"/>
        </w:rPr>
        <w:t xml:space="preserve"> exceed</w:t>
      </w:r>
      <w:r>
        <w:rPr>
          <w:sz w:val="22"/>
          <w:szCs w:val="22"/>
          <w:lang w:val="es-ES"/>
        </w:rPr>
        <w:t xml:space="preserve">140 </w:t>
      </w:r>
      <w:proofErr w:type="spellStart"/>
      <w:r>
        <w:rPr>
          <w:sz w:val="22"/>
          <w:szCs w:val="22"/>
          <w:lang w:val="es-ES"/>
        </w:rPr>
        <w:t>mm.</w:t>
      </w:r>
      <w:proofErr w:type="spellEnd"/>
    </w:p>
    <w:p w14:paraId="20AD6801" w14:textId="77777777" w:rsidR="00E255F4" w:rsidRDefault="00000000">
      <w:pPr>
        <w:pStyle w:val="Prrafodelista"/>
        <w:numPr>
          <w:ilvl w:val="3"/>
          <w:numId w:val="4"/>
        </w:numPr>
        <w:tabs>
          <w:tab w:val="left" w:pos="-720"/>
          <w:tab w:val="left" w:pos="142"/>
          <w:tab w:val="left" w:pos="851"/>
          <w:tab w:val="left" w:pos="993"/>
        </w:tabs>
        <w:spacing w:after="120"/>
        <w:ind w:left="851" w:hanging="851"/>
        <w:jc w:val="both"/>
      </w:pPr>
      <w:proofErr w:type="spellStart"/>
      <w:r>
        <w:rPr>
          <w:sz w:val="22"/>
          <w:szCs w:val="22"/>
          <w:lang w:val="es-ES_tradnl"/>
        </w:rPr>
        <w:t>It</w:t>
      </w:r>
      <w:proofErr w:type="spellEnd"/>
      <w:r>
        <w:rPr>
          <w:sz w:val="22"/>
          <w:szCs w:val="22"/>
          <w:lang w:val="es-ES_tradnl"/>
        </w:rPr>
        <w:t xml:space="preserve"> </w:t>
      </w:r>
      <w:proofErr w:type="spellStart"/>
      <w:r>
        <w:rPr>
          <w:sz w:val="22"/>
          <w:szCs w:val="22"/>
          <w:lang w:val="es-ES_tradnl"/>
        </w:rPr>
        <w:t>must</w:t>
      </w:r>
      <w:proofErr w:type="spellEnd"/>
      <w:r>
        <w:rPr>
          <w:sz w:val="22"/>
          <w:szCs w:val="22"/>
          <w:lang w:val="es-ES_tradnl"/>
        </w:rPr>
        <w:t xml:space="preserve"> </w:t>
      </w:r>
      <w:proofErr w:type="spellStart"/>
      <w:r>
        <w:rPr>
          <w:sz w:val="22"/>
          <w:szCs w:val="22"/>
          <w:lang w:val="es-ES_tradnl"/>
        </w:rPr>
        <w:t>have</w:t>
      </w:r>
      <w:proofErr w:type="spellEnd"/>
      <w:r>
        <w:rPr>
          <w:sz w:val="22"/>
          <w:szCs w:val="22"/>
          <w:lang w:val="es-ES_tradnl"/>
        </w:rPr>
        <w:t xml:space="preserve"> </w:t>
      </w:r>
      <w:proofErr w:type="spellStart"/>
      <w:r>
        <w:rPr>
          <w:sz w:val="22"/>
          <w:szCs w:val="22"/>
          <w:lang w:val="es-ES_tradnl"/>
        </w:rPr>
        <w:t>an</w:t>
      </w:r>
      <w:proofErr w:type="spellEnd"/>
      <w:r>
        <w:rPr>
          <w:sz w:val="22"/>
          <w:szCs w:val="22"/>
          <w:lang w:val="es-ES_tradnl"/>
        </w:rPr>
        <w:t xml:space="preserve"> IP68 </w:t>
      </w:r>
      <w:proofErr w:type="spellStart"/>
      <w:r>
        <w:rPr>
          <w:sz w:val="22"/>
          <w:szCs w:val="22"/>
          <w:lang w:val="es-ES_tradnl"/>
        </w:rPr>
        <w:t>protection</w:t>
      </w:r>
      <w:proofErr w:type="spellEnd"/>
      <w:r>
        <w:rPr>
          <w:sz w:val="22"/>
          <w:szCs w:val="22"/>
          <w:lang w:val="es-ES_tradnl"/>
        </w:rPr>
        <w:t xml:space="preserve"> rating and be </w:t>
      </w:r>
      <w:proofErr w:type="spellStart"/>
      <w:r>
        <w:rPr>
          <w:sz w:val="22"/>
          <w:szCs w:val="22"/>
          <w:lang w:val="es-ES_tradnl"/>
        </w:rPr>
        <w:t>suitable</w:t>
      </w:r>
      <w:proofErr w:type="spellEnd"/>
      <w:r>
        <w:rPr>
          <w:sz w:val="22"/>
          <w:szCs w:val="22"/>
          <w:lang w:val="es-ES_tradnl"/>
        </w:rPr>
        <w:t xml:space="preserve"> </w:t>
      </w:r>
      <w:proofErr w:type="spellStart"/>
      <w:r>
        <w:rPr>
          <w:sz w:val="22"/>
          <w:szCs w:val="22"/>
          <w:lang w:val="es-ES_tradnl"/>
        </w:rPr>
        <w:t>for</w:t>
      </w:r>
      <w:proofErr w:type="spellEnd"/>
      <w:r>
        <w:rPr>
          <w:sz w:val="22"/>
          <w:szCs w:val="22"/>
          <w:lang w:val="es-ES_tradnl"/>
        </w:rPr>
        <w:t xml:space="preserve"> </w:t>
      </w:r>
      <w:proofErr w:type="spellStart"/>
      <w:r>
        <w:rPr>
          <w:sz w:val="22"/>
          <w:szCs w:val="22"/>
          <w:lang w:val="es-ES_tradnl"/>
        </w:rPr>
        <w:t>working</w:t>
      </w:r>
      <w:proofErr w:type="spellEnd"/>
      <w:r>
        <w:rPr>
          <w:sz w:val="22"/>
          <w:szCs w:val="22"/>
          <w:lang w:val="es-ES_tradnl"/>
        </w:rPr>
        <w:t xml:space="preserve"> in </w:t>
      </w:r>
      <w:proofErr w:type="spellStart"/>
      <w:r>
        <w:rPr>
          <w:sz w:val="22"/>
          <w:szCs w:val="22"/>
          <w:lang w:val="es-ES_tradnl"/>
        </w:rPr>
        <w:t>environments</w:t>
      </w:r>
      <w:proofErr w:type="spellEnd"/>
      <w:r>
        <w:rPr>
          <w:sz w:val="22"/>
          <w:szCs w:val="22"/>
          <w:lang w:val="es-ES_tradnl"/>
        </w:rPr>
        <w:t xml:space="preserve"> </w:t>
      </w:r>
      <w:proofErr w:type="spellStart"/>
      <w:r>
        <w:rPr>
          <w:sz w:val="22"/>
          <w:szCs w:val="22"/>
          <w:lang w:val="es-ES_tradnl"/>
        </w:rPr>
        <w:t>with</w:t>
      </w:r>
      <w:proofErr w:type="spellEnd"/>
      <w:r>
        <w:rPr>
          <w:sz w:val="22"/>
          <w:szCs w:val="22"/>
          <w:lang w:val="es-ES_tradnl"/>
        </w:rPr>
        <w:t xml:space="preserve"> a </w:t>
      </w:r>
      <w:proofErr w:type="spellStart"/>
      <w:r>
        <w:rPr>
          <w:sz w:val="22"/>
          <w:szCs w:val="22"/>
          <w:lang w:val="es-ES_tradnl"/>
        </w:rPr>
        <w:t>temperature</w:t>
      </w:r>
      <w:proofErr w:type="spellEnd"/>
      <w:r>
        <w:rPr>
          <w:sz w:val="22"/>
          <w:szCs w:val="22"/>
          <w:lang w:val="es-ES_tradnl"/>
        </w:rPr>
        <w:t xml:space="preserve"> </w:t>
      </w:r>
      <w:proofErr w:type="spellStart"/>
      <w:r>
        <w:rPr>
          <w:sz w:val="22"/>
          <w:szCs w:val="22"/>
          <w:lang w:val="es-ES_tradnl"/>
        </w:rPr>
        <w:t>range</w:t>
      </w:r>
      <w:proofErr w:type="spellEnd"/>
      <w:r>
        <w:rPr>
          <w:sz w:val="22"/>
          <w:szCs w:val="22"/>
          <w:lang w:val="es-ES_tradnl"/>
        </w:rPr>
        <w:t xml:space="preserve"> </w:t>
      </w:r>
      <w:proofErr w:type="spellStart"/>
      <w:r>
        <w:rPr>
          <w:sz w:val="22"/>
          <w:szCs w:val="22"/>
          <w:lang w:val="es-ES_tradnl"/>
        </w:rPr>
        <w:t>of</w:t>
      </w:r>
      <w:proofErr w:type="spellEnd"/>
      <w:r>
        <w:rPr>
          <w:sz w:val="22"/>
          <w:szCs w:val="22"/>
          <w:lang w:val="es-ES_tradnl"/>
        </w:rPr>
        <w:t xml:space="preserve"> </w:t>
      </w:r>
      <w:proofErr w:type="spellStart"/>
      <w:r>
        <w:rPr>
          <w:sz w:val="22"/>
          <w:szCs w:val="22"/>
          <w:lang w:val="es-ES_tradnl"/>
        </w:rPr>
        <w:t>between</w:t>
      </w:r>
      <w:proofErr w:type="spellEnd"/>
      <w:r>
        <w:rPr>
          <w:sz w:val="22"/>
          <w:szCs w:val="22"/>
          <w:lang w:val="es-ES_tradnl"/>
        </w:rPr>
        <w:t xml:space="preserve"> -10 and +55 </w:t>
      </w:r>
      <w:proofErr w:type="spellStart"/>
      <w:r>
        <w:rPr>
          <w:sz w:val="22"/>
          <w:szCs w:val="22"/>
          <w:lang w:val="es-ES_tradnl"/>
        </w:rPr>
        <w:t>degrees</w:t>
      </w:r>
      <w:proofErr w:type="spellEnd"/>
      <w:r>
        <w:rPr>
          <w:sz w:val="22"/>
          <w:szCs w:val="22"/>
          <w:lang w:val="es-ES_tradnl"/>
        </w:rPr>
        <w:t xml:space="preserve"> Celsius.</w:t>
      </w:r>
    </w:p>
    <w:p w14:paraId="377BBF5D" w14:textId="77777777" w:rsidR="00E255F4" w:rsidRDefault="00000000">
      <w:pPr>
        <w:numPr>
          <w:ilvl w:val="2"/>
          <w:numId w:val="4"/>
        </w:numPr>
        <w:spacing w:after="120"/>
        <w:ind w:left="709" w:hanging="709"/>
        <w:rPr>
          <w:b/>
          <w:bCs/>
          <w:iCs/>
          <w:sz w:val="22"/>
          <w:szCs w:val="22"/>
          <w:lang w:val="es-ES"/>
        </w:rPr>
      </w:pPr>
      <w:r>
        <w:rPr>
          <w:b/>
          <w:bCs/>
          <w:iCs/>
          <w:sz w:val="22"/>
          <w:szCs w:val="22"/>
          <w:lang w:val="es-ES"/>
        </w:rPr>
        <w:t xml:space="preserve">Filter </w:t>
      </w:r>
      <w:proofErr w:type="spellStart"/>
      <w:r>
        <w:rPr>
          <w:b/>
          <w:bCs/>
          <w:iCs/>
          <w:sz w:val="22"/>
          <w:szCs w:val="22"/>
          <w:lang w:val="es-ES"/>
        </w:rPr>
        <w:t>characteristics</w:t>
      </w:r>
      <w:proofErr w:type="spellEnd"/>
    </w:p>
    <w:p w14:paraId="216913D3" w14:textId="77777777" w:rsidR="00E255F4" w:rsidRDefault="00000000">
      <w:pPr>
        <w:spacing w:after="120"/>
        <w:ind w:left="709"/>
        <w:jc w:val="both"/>
        <w:rPr>
          <w:color w:val="000000"/>
          <w:sz w:val="22"/>
          <w:szCs w:val="22"/>
          <w:lang w:val="es-ES"/>
        </w:rPr>
      </w:pPr>
      <w:r>
        <w:rPr>
          <w:color w:val="000000"/>
          <w:sz w:val="22"/>
          <w:szCs w:val="22"/>
          <w:lang w:val="es-ES"/>
        </w:rPr>
        <w:t xml:space="preserve">The meter </w:t>
      </w:r>
      <w:proofErr w:type="spellStart"/>
      <w:r>
        <w:rPr>
          <w:color w:val="000000"/>
          <w:sz w:val="22"/>
          <w:szCs w:val="22"/>
          <w:lang w:val="es-ES"/>
        </w:rPr>
        <w:t>must</w:t>
      </w:r>
      <w:proofErr w:type="spellEnd"/>
      <w:r>
        <w:rPr>
          <w:color w:val="000000"/>
          <w:sz w:val="22"/>
          <w:szCs w:val="22"/>
          <w:lang w:val="es-ES"/>
        </w:rPr>
        <w:t xml:space="preserve"> be </w:t>
      </w:r>
      <w:proofErr w:type="spellStart"/>
      <w:r>
        <w:rPr>
          <w:color w:val="000000"/>
          <w:sz w:val="22"/>
          <w:szCs w:val="22"/>
          <w:lang w:val="es-ES"/>
        </w:rPr>
        <w:t>provided</w:t>
      </w:r>
      <w:proofErr w:type="spellEnd"/>
      <w:r>
        <w:rPr>
          <w:color w:val="000000"/>
          <w:sz w:val="22"/>
          <w:szCs w:val="22"/>
          <w:lang w:val="es-ES"/>
        </w:rPr>
        <w:t xml:space="preserve"> </w:t>
      </w:r>
      <w:proofErr w:type="spellStart"/>
      <w:r>
        <w:rPr>
          <w:color w:val="000000"/>
          <w:sz w:val="22"/>
          <w:szCs w:val="22"/>
          <w:lang w:val="es-ES"/>
        </w:rPr>
        <w:t>with</w:t>
      </w:r>
      <w:proofErr w:type="spellEnd"/>
      <w:r>
        <w:rPr>
          <w:color w:val="000000"/>
          <w:sz w:val="22"/>
          <w:szCs w:val="22"/>
          <w:lang w:val="es-ES"/>
        </w:rPr>
        <w:t xml:space="preserve"> a </w:t>
      </w:r>
      <w:proofErr w:type="spellStart"/>
      <w:r>
        <w:rPr>
          <w:color w:val="000000"/>
          <w:sz w:val="22"/>
          <w:szCs w:val="22"/>
          <w:lang w:val="es-ES"/>
        </w:rPr>
        <w:t>filter</w:t>
      </w:r>
      <w:proofErr w:type="spellEnd"/>
      <w:r>
        <w:rPr>
          <w:color w:val="000000"/>
          <w:sz w:val="22"/>
          <w:szCs w:val="22"/>
          <w:lang w:val="es-ES"/>
        </w:rPr>
        <w:t xml:space="preserve">, </w:t>
      </w:r>
      <w:proofErr w:type="spellStart"/>
      <w:r>
        <w:rPr>
          <w:color w:val="000000"/>
          <w:sz w:val="22"/>
          <w:szCs w:val="22"/>
          <w:lang w:val="es-ES"/>
        </w:rPr>
        <w:t>located</w:t>
      </w:r>
      <w:proofErr w:type="spellEnd"/>
      <w:r>
        <w:rPr>
          <w:color w:val="000000"/>
          <w:sz w:val="22"/>
          <w:szCs w:val="22"/>
          <w:lang w:val="es-ES"/>
        </w:rPr>
        <w:t xml:space="preserve"> at </w:t>
      </w:r>
      <w:proofErr w:type="spellStart"/>
      <w:r>
        <w:rPr>
          <w:color w:val="000000"/>
          <w:sz w:val="22"/>
          <w:szCs w:val="22"/>
          <w:lang w:val="es-ES"/>
        </w:rPr>
        <w:t>the</w:t>
      </w:r>
      <w:proofErr w:type="spellEnd"/>
      <w:r>
        <w:rPr>
          <w:color w:val="000000"/>
          <w:sz w:val="22"/>
          <w:szCs w:val="22"/>
          <w:lang w:val="es-ES"/>
        </w:rPr>
        <w:t xml:space="preserve"> meter </w:t>
      </w:r>
      <w:proofErr w:type="spellStart"/>
      <w:r>
        <w:rPr>
          <w:color w:val="000000"/>
          <w:sz w:val="22"/>
          <w:szCs w:val="22"/>
          <w:lang w:val="es-ES"/>
        </w:rPr>
        <w:t>inlet</w:t>
      </w:r>
      <w:proofErr w:type="spellEnd"/>
      <w:r>
        <w:rPr>
          <w:color w:val="000000"/>
          <w:sz w:val="22"/>
          <w:szCs w:val="22"/>
          <w:lang w:val="es-ES"/>
        </w:rPr>
        <w:t xml:space="preserve">, </w:t>
      </w:r>
      <w:proofErr w:type="spellStart"/>
      <w:r>
        <w:rPr>
          <w:color w:val="000000"/>
          <w:sz w:val="22"/>
          <w:szCs w:val="22"/>
          <w:lang w:val="es-ES"/>
        </w:rPr>
        <w:t>constructed</w:t>
      </w:r>
      <w:proofErr w:type="spellEnd"/>
      <w:r>
        <w:rPr>
          <w:color w:val="000000"/>
          <w:sz w:val="22"/>
          <w:szCs w:val="22"/>
          <w:lang w:val="es-ES"/>
        </w:rPr>
        <w:t xml:space="preserve"> </w:t>
      </w:r>
      <w:proofErr w:type="spellStart"/>
      <w:r>
        <w:rPr>
          <w:color w:val="000000"/>
          <w:sz w:val="22"/>
          <w:szCs w:val="22"/>
          <w:lang w:val="es-ES"/>
        </w:rPr>
        <w:t>of</w:t>
      </w:r>
      <w:proofErr w:type="spellEnd"/>
      <w:r>
        <w:rPr>
          <w:color w:val="000000"/>
          <w:sz w:val="22"/>
          <w:szCs w:val="22"/>
          <w:lang w:val="es-ES"/>
        </w:rPr>
        <w:t xml:space="preserve"> a </w:t>
      </w:r>
      <w:proofErr w:type="spellStart"/>
      <w:r>
        <w:rPr>
          <w:color w:val="000000"/>
          <w:sz w:val="22"/>
          <w:szCs w:val="22"/>
          <w:lang w:val="es-ES"/>
        </w:rPr>
        <w:t>corrosion-resistant</w:t>
      </w:r>
      <w:proofErr w:type="spellEnd"/>
      <w:r>
        <w:rPr>
          <w:color w:val="000000"/>
          <w:sz w:val="22"/>
          <w:szCs w:val="22"/>
          <w:lang w:val="es-ES"/>
        </w:rPr>
        <w:t xml:space="preserve"> material.</w:t>
      </w:r>
    </w:p>
    <w:p w14:paraId="572A529A" w14:textId="77777777" w:rsidR="00E255F4" w:rsidRDefault="00000000">
      <w:pPr>
        <w:numPr>
          <w:ilvl w:val="2"/>
          <w:numId w:val="4"/>
        </w:numPr>
        <w:spacing w:before="240" w:after="120"/>
        <w:ind w:left="709" w:hanging="709"/>
        <w:rPr>
          <w:b/>
          <w:bCs/>
          <w:iCs/>
          <w:sz w:val="22"/>
          <w:szCs w:val="22"/>
          <w:lang w:val="es-ES"/>
        </w:rPr>
      </w:pPr>
      <w:proofErr w:type="spellStart"/>
      <w:r>
        <w:rPr>
          <w:b/>
          <w:bCs/>
          <w:iCs/>
          <w:sz w:val="22"/>
          <w:szCs w:val="22"/>
          <w:lang w:val="es-ES"/>
        </w:rPr>
        <w:t>Indicator</w:t>
      </w:r>
      <w:proofErr w:type="spellEnd"/>
      <w:r>
        <w:rPr>
          <w:b/>
          <w:bCs/>
          <w:iCs/>
          <w:sz w:val="22"/>
          <w:szCs w:val="22"/>
          <w:lang w:val="es-ES"/>
        </w:rPr>
        <w:t xml:space="preserve"> </w:t>
      </w:r>
      <w:proofErr w:type="spellStart"/>
      <w:r>
        <w:rPr>
          <w:b/>
          <w:bCs/>
          <w:iCs/>
          <w:sz w:val="22"/>
          <w:szCs w:val="22"/>
          <w:lang w:val="es-ES"/>
        </w:rPr>
        <w:t>device</w:t>
      </w:r>
      <w:proofErr w:type="spellEnd"/>
    </w:p>
    <w:p w14:paraId="0DAFCCB1" w14:textId="77777777" w:rsidR="00E255F4" w:rsidRDefault="00000000">
      <w:pPr>
        <w:pStyle w:val="Prrafodelista"/>
        <w:numPr>
          <w:ilvl w:val="3"/>
          <w:numId w:val="4"/>
        </w:numPr>
        <w:tabs>
          <w:tab w:val="left" w:pos="-720"/>
          <w:tab w:val="left" w:pos="0"/>
          <w:tab w:val="left" w:pos="709"/>
          <w:tab w:val="left" w:pos="1276"/>
        </w:tabs>
        <w:spacing w:before="120" w:after="120"/>
        <w:ind w:left="709" w:hanging="709"/>
        <w:jc w:val="both"/>
        <w:rPr>
          <w:color w:val="000000"/>
          <w:sz w:val="22"/>
          <w:szCs w:val="22"/>
          <w:lang w:val="es-ES"/>
        </w:rPr>
      </w:pPr>
      <w:r>
        <w:rPr>
          <w:color w:val="000000"/>
          <w:sz w:val="22"/>
          <w:szCs w:val="22"/>
          <w:lang w:val="es-ES"/>
        </w:rPr>
        <w:t xml:space="preserve">The </w:t>
      </w:r>
      <w:proofErr w:type="spellStart"/>
      <w:r>
        <w:rPr>
          <w:color w:val="000000"/>
          <w:sz w:val="22"/>
          <w:szCs w:val="22"/>
          <w:lang w:val="es-ES"/>
        </w:rPr>
        <w:t>indicating</w:t>
      </w:r>
      <w:proofErr w:type="spellEnd"/>
      <w:r>
        <w:rPr>
          <w:color w:val="000000"/>
          <w:sz w:val="22"/>
          <w:szCs w:val="22"/>
          <w:lang w:val="es-ES"/>
        </w:rPr>
        <w:t xml:space="preserve"> </w:t>
      </w:r>
      <w:proofErr w:type="spellStart"/>
      <w:r>
        <w:rPr>
          <w:color w:val="000000"/>
          <w:sz w:val="22"/>
          <w:szCs w:val="22"/>
          <w:lang w:val="es-ES"/>
        </w:rPr>
        <w:t>device</w:t>
      </w:r>
      <w:proofErr w:type="spellEnd"/>
      <w:r>
        <w:rPr>
          <w:color w:val="000000"/>
          <w:sz w:val="22"/>
          <w:szCs w:val="22"/>
          <w:lang w:val="es-ES"/>
        </w:rPr>
        <w:t xml:space="preserve"> </w:t>
      </w:r>
      <w:proofErr w:type="spellStart"/>
      <w:r>
        <w:rPr>
          <w:color w:val="000000"/>
          <w:sz w:val="22"/>
          <w:szCs w:val="22"/>
          <w:lang w:val="es-ES"/>
        </w:rPr>
        <w:t>must</w:t>
      </w:r>
      <w:proofErr w:type="spellEnd"/>
      <w:r>
        <w:rPr>
          <w:color w:val="000000"/>
          <w:sz w:val="22"/>
          <w:szCs w:val="22"/>
          <w:lang w:val="es-ES"/>
        </w:rPr>
        <w:t xml:space="preserve"> </w:t>
      </w:r>
      <w:proofErr w:type="spellStart"/>
      <w:r>
        <w:rPr>
          <w:color w:val="000000"/>
          <w:sz w:val="22"/>
          <w:szCs w:val="22"/>
          <w:lang w:val="es-ES"/>
        </w:rPr>
        <w:t>allow</w:t>
      </w:r>
      <w:proofErr w:type="spellEnd"/>
      <w:r>
        <w:rPr>
          <w:color w:val="000000"/>
          <w:sz w:val="22"/>
          <w:szCs w:val="22"/>
          <w:lang w:val="es-ES"/>
        </w:rPr>
        <w:t xml:space="preserve">, </w:t>
      </w:r>
      <w:proofErr w:type="spellStart"/>
      <w:r>
        <w:rPr>
          <w:color w:val="000000"/>
          <w:sz w:val="22"/>
          <w:szCs w:val="22"/>
          <w:lang w:val="es-ES"/>
        </w:rPr>
        <w:t>by</w:t>
      </w:r>
      <w:proofErr w:type="spellEnd"/>
      <w:r>
        <w:rPr>
          <w:color w:val="000000"/>
          <w:sz w:val="22"/>
          <w:szCs w:val="22"/>
          <w:lang w:val="es-ES"/>
        </w:rPr>
        <w:t xml:space="preserve"> simple </w:t>
      </w:r>
      <w:proofErr w:type="spellStart"/>
      <w:r>
        <w:rPr>
          <w:color w:val="000000"/>
          <w:sz w:val="22"/>
          <w:szCs w:val="22"/>
          <w:lang w:val="es-ES"/>
        </w:rPr>
        <w:t>juxtaposition</w:t>
      </w:r>
      <w:proofErr w:type="spellEnd"/>
      <w:r>
        <w:rPr>
          <w:color w:val="000000"/>
          <w:sz w:val="22"/>
          <w:szCs w:val="22"/>
          <w:lang w:val="es-ES"/>
        </w:rPr>
        <w:t xml:space="preserve"> </w:t>
      </w:r>
      <w:proofErr w:type="spellStart"/>
      <w:r>
        <w:rPr>
          <w:color w:val="000000"/>
          <w:sz w:val="22"/>
          <w:szCs w:val="22"/>
          <w:lang w:val="es-ES"/>
        </w:rPr>
        <w:t>of</w:t>
      </w:r>
      <w:proofErr w:type="spellEnd"/>
      <w:r>
        <w:rPr>
          <w:color w:val="000000"/>
          <w:sz w:val="22"/>
          <w:szCs w:val="22"/>
          <w:lang w:val="es-ES"/>
        </w:rPr>
        <w:t xml:space="preserve"> </w:t>
      </w:r>
      <w:proofErr w:type="spellStart"/>
      <w:r>
        <w:rPr>
          <w:color w:val="000000"/>
          <w:sz w:val="22"/>
          <w:szCs w:val="22"/>
          <w:lang w:val="es-ES"/>
        </w:rPr>
        <w:t>the</w:t>
      </w:r>
      <w:proofErr w:type="spellEnd"/>
      <w:r>
        <w:rPr>
          <w:color w:val="000000"/>
          <w:sz w:val="22"/>
          <w:szCs w:val="22"/>
          <w:lang w:val="es-ES"/>
        </w:rPr>
        <w:t xml:space="preserve"> </w:t>
      </w:r>
      <w:proofErr w:type="spellStart"/>
      <w:r>
        <w:rPr>
          <w:color w:val="000000"/>
          <w:sz w:val="22"/>
          <w:szCs w:val="22"/>
          <w:lang w:val="es-ES"/>
        </w:rPr>
        <w:t>indications</w:t>
      </w:r>
      <w:proofErr w:type="spellEnd"/>
      <w:r>
        <w:rPr>
          <w:color w:val="000000"/>
          <w:sz w:val="22"/>
          <w:szCs w:val="22"/>
          <w:lang w:val="es-ES"/>
        </w:rPr>
        <w:t xml:space="preserve"> </w:t>
      </w:r>
      <w:proofErr w:type="spellStart"/>
      <w:r>
        <w:rPr>
          <w:color w:val="000000"/>
          <w:sz w:val="22"/>
          <w:szCs w:val="22"/>
          <w:lang w:val="es-ES"/>
        </w:rPr>
        <w:t>of</w:t>
      </w:r>
      <w:proofErr w:type="spellEnd"/>
      <w:r>
        <w:rPr>
          <w:color w:val="000000"/>
          <w:sz w:val="22"/>
          <w:szCs w:val="22"/>
          <w:lang w:val="es-ES"/>
        </w:rPr>
        <w:t xml:space="preserve"> </w:t>
      </w:r>
      <w:proofErr w:type="spellStart"/>
      <w:r>
        <w:rPr>
          <w:color w:val="000000"/>
          <w:sz w:val="22"/>
          <w:szCs w:val="22"/>
          <w:lang w:val="es-ES"/>
        </w:rPr>
        <w:t>the</w:t>
      </w:r>
      <w:proofErr w:type="spellEnd"/>
      <w:r>
        <w:rPr>
          <w:color w:val="000000"/>
          <w:sz w:val="22"/>
          <w:szCs w:val="22"/>
          <w:lang w:val="es-ES"/>
        </w:rPr>
        <w:t xml:space="preserve"> </w:t>
      </w:r>
      <w:proofErr w:type="spellStart"/>
      <w:r>
        <w:rPr>
          <w:color w:val="000000"/>
          <w:sz w:val="22"/>
          <w:szCs w:val="22"/>
          <w:lang w:val="es-ES"/>
        </w:rPr>
        <w:t>different</w:t>
      </w:r>
      <w:proofErr w:type="spellEnd"/>
      <w:r>
        <w:rPr>
          <w:color w:val="000000"/>
          <w:sz w:val="22"/>
          <w:szCs w:val="22"/>
          <w:lang w:val="es-ES"/>
        </w:rPr>
        <w:t xml:space="preserve"> </w:t>
      </w:r>
      <w:proofErr w:type="spellStart"/>
      <w:r>
        <w:rPr>
          <w:color w:val="000000"/>
          <w:sz w:val="22"/>
          <w:szCs w:val="22"/>
          <w:lang w:val="es-ES"/>
        </w:rPr>
        <w:t>elements</w:t>
      </w:r>
      <w:proofErr w:type="spellEnd"/>
      <w:r>
        <w:rPr>
          <w:color w:val="000000"/>
          <w:sz w:val="22"/>
          <w:szCs w:val="22"/>
          <w:lang w:val="es-ES"/>
        </w:rPr>
        <w:t xml:space="preserve"> </w:t>
      </w:r>
      <w:proofErr w:type="spellStart"/>
      <w:r>
        <w:rPr>
          <w:color w:val="000000"/>
          <w:sz w:val="22"/>
          <w:szCs w:val="22"/>
          <w:lang w:val="es-ES"/>
        </w:rPr>
        <w:t>that</w:t>
      </w:r>
      <w:proofErr w:type="spellEnd"/>
      <w:r>
        <w:rPr>
          <w:color w:val="000000"/>
          <w:sz w:val="22"/>
          <w:szCs w:val="22"/>
          <w:lang w:val="es-ES"/>
        </w:rPr>
        <w:t xml:space="preserve"> </w:t>
      </w:r>
      <w:proofErr w:type="spellStart"/>
      <w:r>
        <w:rPr>
          <w:color w:val="000000"/>
          <w:sz w:val="22"/>
          <w:szCs w:val="22"/>
          <w:lang w:val="es-ES"/>
        </w:rPr>
        <w:t>constitute</w:t>
      </w:r>
      <w:proofErr w:type="spellEnd"/>
      <w:r>
        <w:rPr>
          <w:color w:val="000000"/>
          <w:sz w:val="22"/>
          <w:szCs w:val="22"/>
          <w:lang w:val="es-ES"/>
        </w:rPr>
        <w:t xml:space="preserve"> </w:t>
      </w:r>
      <w:proofErr w:type="spellStart"/>
      <w:r>
        <w:rPr>
          <w:color w:val="000000"/>
          <w:sz w:val="22"/>
          <w:szCs w:val="22"/>
          <w:lang w:val="es-ES"/>
        </w:rPr>
        <w:t>it</w:t>
      </w:r>
      <w:proofErr w:type="spellEnd"/>
      <w:r>
        <w:rPr>
          <w:color w:val="000000"/>
          <w:sz w:val="22"/>
          <w:szCs w:val="22"/>
          <w:lang w:val="es-ES"/>
        </w:rPr>
        <w:t xml:space="preserve">, a </w:t>
      </w:r>
      <w:proofErr w:type="spellStart"/>
      <w:r>
        <w:rPr>
          <w:color w:val="000000"/>
          <w:sz w:val="22"/>
          <w:szCs w:val="22"/>
          <w:lang w:val="es-ES"/>
        </w:rPr>
        <w:t>safe</w:t>
      </w:r>
      <w:proofErr w:type="spellEnd"/>
      <w:r>
        <w:rPr>
          <w:color w:val="000000"/>
          <w:sz w:val="22"/>
          <w:szCs w:val="22"/>
          <w:lang w:val="es-ES"/>
        </w:rPr>
        <w:t xml:space="preserve">, </w:t>
      </w:r>
      <w:proofErr w:type="spellStart"/>
      <w:r>
        <w:rPr>
          <w:color w:val="000000"/>
          <w:sz w:val="22"/>
          <w:szCs w:val="22"/>
          <w:lang w:val="es-ES"/>
        </w:rPr>
        <w:t>easy</w:t>
      </w:r>
      <w:proofErr w:type="spellEnd"/>
      <w:r>
        <w:rPr>
          <w:color w:val="000000"/>
          <w:sz w:val="22"/>
          <w:szCs w:val="22"/>
          <w:lang w:val="es-ES"/>
        </w:rPr>
        <w:t xml:space="preserve"> and </w:t>
      </w:r>
      <w:proofErr w:type="spellStart"/>
      <w:r>
        <w:rPr>
          <w:color w:val="000000"/>
          <w:sz w:val="22"/>
          <w:szCs w:val="22"/>
          <w:lang w:val="es-ES"/>
        </w:rPr>
        <w:t>unambiguous</w:t>
      </w:r>
      <w:proofErr w:type="spellEnd"/>
      <w:r>
        <w:rPr>
          <w:color w:val="000000"/>
          <w:sz w:val="22"/>
          <w:szCs w:val="22"/>
          <w:lang w:val="es-ES"/>
        </w:rPr>
        <w:t xml:space="preserve"> </w:t>
      </w:r>
      <w:proofErr w:type="spellStart"/>
      <w:r>
        <w:rPr>
          <w:color w:val="000000"/>
          <w:sz w:val="22"/>
          <w:szCs w:val="22"/>
          <w:lang w:val="es-ES"/>
        </w:rPr>
        <w:t>reading</w:t>
      </w:r>
      <w:proofErr w:type="spellEnd"/>
      <w:r>
        <w:rPr>
          <w:color w:val="000000"/>
          <w:sz w:val="22"/>
          <w:szCs w:val="22"/>
          <w:lang w:val="es-ES"/>
        </w:rPr>
        <w:t xml:space="preserve"> </w:t>
      </w:r>
      <w:proofErr w:type="spellStart"/>
      <w:r>
        <w:rPr>
          <w:color w:val="000000"/>
          <w:sz w:val="22"/>
          <w:szCs w:val="22"/>
          <w:lang w:val="es-ES"/>
        </w:rPr>
        <w:t>of</w:t>
      </w:r>
      <w:proofErr w:type="spellEnd"/>
      <w:r>
        <w:rPr>
          <w:color w:val="000000"/>
          <w:sz w:val="22"/>
          <w:szCs w:val="22"/>
          <w:lang w:val="es-ES"/>
        </w:rPr>
        <w:t xml:space="preserve"> </w:t>
      </w:r>
      <w:proofErr w:type="spellStart"/>
      <w:r>
        <w:rPr>
          <w:color w:val="000000"/>
          <w:sz w:val="22"/>
          <w:szCs w:val="22"/>
          <w:lang w:val="es-ES"/>
        </w:rPr>
        <w:t>the</w:t>
      </w:r>
      <w:proofErr w:type="spellEnd"/>
      <w:r>
        <w:rPr>
          <w:color w:val="000000"/>
          <w:sz w:val="22"/>
          <w:szCs w:val="22"/>
          <w:lang w:val="es-ES"/>
        </w:rPr>
        <w:t xml:space="preserve"> </w:t>
      </w:r>
      <w:proofErr w:type="spellStart"/>
      <w:r>
        <w:rPr>
          <w:color w:val="000000"/>
          <w:sz w:val="22"/>
          <w:szCs w:val="22"/>
          <w:lang w:val="es-ES"/>
        </w:rPr>
        <w:t>volume</w:t>
      </w:r>
      <w:proofErr w:type="spellEnd"/>
      <w:r>
        <w:rPr>
          <w:color w:val="000000"/>
          <w:sz w:val="22"/>
          <w:szCs w:val="22"/>
          <w:lang w:val="es-ES"/>
        </w:rPr>
        <w:t xml:space="preserve"> </w:t>
      </w:r>
      <w:proofErr w:type="spellStart"/>
      <w:r>
        <w:rPr>
          <w:color w:val="000000"/>
          <w:sz w:val="22"/>
          <w:szCs w:val="22"/>
          <w:lang w:val="es-ES"/>
        </w:rPr>
        <w:t>of</w:t>
      </w:r>
      <w:proofErr w:type="spellEnd"/>
      <w:r>
        <w:rPr>
          <w:color w:val="000000"/>
          <w:sz w:val="22"/>
          <w:szCs w:val="22"/>
          <w:lang w:val="es-ES"/>
        </w:rPr>
        <w:t xml:space="preserve"> </w:t>
      </w:r>
      <w:proofErr w:type="spellStart"/>
      <w:r>
        <w:rPr>
          <w:color w:val="000000"/>
          <w:sz w:val="22"/>
          <w:szCs w:val="22"/>
          <w:lang w:val="es-ES"/>
        </w:rPr>
        <w:t>water</w:t>
      </w:r>
      <w:proofErr w:type="spellEnd"/>
      <w:r>
        <w:rPr>
          <w:color w:val="000000"/>
          <w:sz w:val="22"/>
          <w:szCs w:val="22"/>
          <w:lang w:val="es-ES"/>
        </w:rPr>
        <w:t xml:space="preserve"> </w:t>
      </w:r>
      <w:proofErr w:type="spellStart"/>
      <w:r>
        <w:rPr>
          <w:color w:val="000000"/>
          <w:sz w:val="22"/>
          <w:szCs w:val="22"/>
          <w:lang w:val="es-ES"/>
        </w:rPr>
        <w:t>measured</w:t>
      </w:r>
      <w:proofErr w:type="spellEnd"/>
      <w:r>
        <w:rPr>
          <w:color w:val="000000"/>
          <w:sz w:val="22"/>
          <w:szCs w:val="22"/>
          <w:lang w:val="es-ES"/>
        </w:rPr>
        <w:t xml:space="preserve">, </w:t>
      </w:r>
      <w:proofErr w:type="spellStart"/>
      <w:r>
        <w:rPr>
          <w:color w:val="000000"/>
          <w:sz w:val="22"/>
          <w:szCs w:val="22"/>
          <w:lang w:val="es-ES"/>
        </w:rPr>
        <w:t>expressed</w:t>
      </w:r>
      <w:proofErr w:type="spellEnd"/>
      <w:r>
        <w:rPr>
          <w:color w:val="000000"/>
          <w:sz w:val="22"/>
          <w:szCs w:val="22"/>
          <w:lang w:val="es-ES"/>
        </w:rPr>
        <w:t xml:space="preserve"> in </w:t>
      </w:r>
      <w:proofErr w:type="spellStart"/>
      <w:r>
        <w:rPr>
          <w:color w:val="000000"/>
          <w:sz w:val="22"/>
          <w:szCs w:val="22"/>
          <w:lang w:val="es-ES"/>
        </w:rPr>
        <w:t>cubic</w:t>
      </w:r>
      <w:proofErr w:type="spellEnd"/>
      <w:r>
        <w:rPr>
          <w:color w:val="000000"/>
          <w:sz w:val="22"/>
          <w:szCs w:val="22"/>
          <w:lang w:val="es-ES"/>
        </w:rPr>
        <w:t xml:space="preserve"> </w:t>
      </w:r>
      <w:proofErr w:type="spellStart"/>
      <w:r>
        <w:rPr>
          <w:color w:val="000000"/>
          <w:sz w:val="22"/>
          <w:szCs w:val="22"/>
          <w:lang w:val="es-ES"/>
        </w:rPr>
        <w:t>meters</w:t>
      </w:r>
      <w:proofErr w:type="spellEnd"/>
      <w:r>
        <w:rPr>
          <w:color w:val="000000"/>
          <w:sz w:val="22"/>
          <w:szCs w:val="22"/>
          <w:lang w:val="es-ES"/>
        </w:rPr>
        <w:t xml:space="preserve">, and </w:t>
      </w:r>
      <w:proofErr w:type="spellStart"/>
      <w:r>
        <w:rPr>
          <w:color w:val="000000"/>
          <w:sz w:val="22"/>
          <w:szCs w:val="22"/>
          <w:lang w:val="es-ES"/>
        </w:rPr>
        <w:t>without</w:t>
      </w:r>
      <w:proofErr w:type="spellEnd"/>
      <w:r>
        <w:rPr>
          <w:color w:val="000000"/>
          <w:sz w:val="22"/>
          <w:szCs w:val="22"/>
          <w:lang w:val="es-ES"/>
        </w:rPr>
        <w:t xml:space="preserve"> manual </w:t>
      </w:r>
      <w:proofErr w:type="spellStart"/>
      <w:r>
        <w:rPr>
          <w:color w:val="000000"/>
          <w:sz w:val="22"/>
          <w:szCs w:val="22"/>
          <w:lang w:val="es-ES"/>
        </w:rPr>
        <w:t>return</w:t>
      </w:r>
      <w:proofErr w:type="spellEnd"/>
      <w:r>
        <w:rPr>
          <w:color w:val="000000"/>
          <w:sz w:val="22"/>
          <w:szCs w:val="22"/>
          <w:lang w:val="es-ES"/>
        </w:rPr>
        <w:t xml:space="preserve"> </w:t>
      </w:r>
      <w:proofErr w:type="spellStart"/>
      <w:r>
        <w:rPr>
          <w:color w:val="000000"/>
          <w:sz w:val="22"/>
          <w:szCs w:val="22"/>
          <w:lang w:val="es-ES"/>
        </w:rPr>
        <w:t>to</w:t>
      </w:r>
      <w:proofErr w:type="spellEnd"/>
      <w:r>
        <w:rPr>
          <w:color w:val="000000"/>
          <w:sz w:val="22"/>
          <w:szCs w:val="22"/>
          <w:lang w:val="es-ES"/>
        </w:rPr>
        <w:t xml:space="preserve"> </w:t>
      </w:r>
      <w:proofErr w:type="spellStart"/>
      <w:r>
        <w:rPr>
          <w:color w:val="000000"/>
          <w:sz w:val="22"/>
          <w:szCs w:val="22"/>
          <w:lang w:val="es-ES"/>
        </w:rPr>
        <w:t>zero</w:t>
      </w:r>
      <w:proofErr w:type="spellEnd"/>
      <w:r>
        <w:rPr>
          <w:color w:val="000000"/>
          <w:sz w:val="22"/>
          <w:szCs w:val="22"/>
          <w:lang w:val="es-ES"/>
        </w:rPr>
        <w:t>.</w:t>
      </w:r>
    </w:p>
    <w:p w14:paraId="2C4C679C" w14:textId="77777777" w:rsidR="00E255F4" w:rsidRDefault="00000000">
      <w:pPr>
        <w:pStyle w:val="Prrafodelista"/>
        <w:numPr>
          <w:ilvl w:val="3"/>
          <w:numId w:val="4"/>
        </w:numPr>
        <w:tabs>
          <w:tab w:val="left" w:pos="-720"/>
          <w:tab w:val="left" w:pos="0"/>
          <w:tab w:val="left" w:pos="851"/>
          <w:tab w:val="left" w:pos="1276"/>
        </w:tabs>
        <w:spacing w:before="120" w:after="120"/>
        <w:ind w:left="851" w:hanging="851"/>
        <w:jc w:val="both"/>
        <w:rPr>
          <w:color w:val="000000"/>
          <w:sz w:val="22"/>
          <w:szCs w:val="22"/>
          <w:lang w:val="es-ES"/>
        </w:rPr>
      </w:pPr>
      <w:r>
        <w:rPr>
          <w:color w:val="000000"/>
          <w:sz w:val="22"/>
          <w:szCs w:val="22"/>
          <w:lang w:val="es-ES"/>
        </w:rPr>
        <w:t xml:space="preserve">The </w:t>
      </w:r>
      <w:proofErr w:type="spellStart"/>
      <w:r>
        <w:rPr>
          <w:color w:val="000000"/>
          <w:sz w:val="22"/>
          <w:szCs w:val="22"/>
          <w:lang w:val="es-ES"/>
        </w:rPr>
        <w:t>volume</w:t>
      </w:r>
      <w:proofErr w:type="spellEnd"/>
      <w:r>
        <w:rPr>
          <w:color w:val="000000"/>
          <w:sz w:val="22"/>
          <w:szCs w:val="22"/>
          <w:lang w:val="es-ES"/>
        </w:rPr>
        <w:t xml:space="preserve"> </w:t>
      </w:r>
      <w:proofErr w:type="spellStart"/>
      <w:r>
        <w:rPr>
          <w:color w:val="000000"/>
          <w:sz w:val="22"/>
          <w:szCs w:val="22"/>
          <w:lang w:val="es-ES"/>
        </w:rPr>
        <w:t>will</w:t>
      </w:r>
      <w:proofErr w:type="spellEnd"/>
      <w:r>
        <w:rPr>
          <w:color w:val="000000"/>
          <w:sz w:val="22"/>
          <w:szCs w:val="22"/>
          <w:lang w:val="es-ES"/>
        </w:rPr>
        <w:t xml:space="preserve"> be </w:t>
      </w:r>
      <w:proofErr w:type="spellStart"/>
      <w:r>
        <w:rPr>
          <w:color w:val="000000"/>
          <w:sz w:val="22"/>
          <w:szCs w:val="22"/>
          <w:lang w:val="es-ES"/>
        </w:rPr>
        <w:t>given</w:t>
      </w:r>
      <w:proofErr w:type="spellEnd"/>
      <w:r>
        <w:rPr>
          <w:color w:val="000000"/>
          <w:sz w:val="22"/>
          <w:szCs w:val="22"/>
          <w:lang w:val="es-ES"/>
        </w:rPr>
        <w:t xml:space="preserve"> </w:t>
      </w:r>
      <w:proofErr w:type="spellStart"/>
      <w:r>
        <w:rPr>
          <w:color w:val="000000"/>
          <w:sz w:val="22"/>
          <w:szCs w:val="22"/>
          <w:lang w:val="es-ES"/>
        </w:rPr>
        <w:t>by</w:t>
      </w:r>
      <w:proofErr w:type="spellEnd"/>
      <w:r>
        <w:rPr>
          <w:color w:val="000000"/>
          <w:sz w:val="22"/>
          <w:szCs w:val="22"/>
          <w:lang w:val="es-ES"/>
        </w:rPr>
        <w:t xml:space="preserve"> </w:t>
      </w:r>
      <w:proofErr w:type="spellStart"/>
      <w:r>
        <w:rPr>
          <w:color w:val="000000"/>
          <w:sz w:val="22"/>
          <w:szCs w:val="22"/>
          <w:lang w:val="es-ES"/>
        </w:rPr>
        <w:t>the</w:t>
      </w:r>
      <w:proofErr w:type="spellEnd"/>
      <w:r>
        <w:rPr>
          <w:color w:val="000000"/>
          <w:sz w:val="22"/>
          <w:szCs w:val="22"/>
          <w:lang w:val="es-ES"/>
        </w:rPr>
        <w:t xml:space="preserve"> </w:t>
      </w:r>
      <w:proofErr w:type="spellStart"/>
      <w:r>
        <w:rPr>
          <w:color w:val="000000"/>
          <w:sz w:val="22"/>
          <w:szCs w:val="22"/>
          <w:lang w:val="es-ES"/>
        </w:rPr>
        <w:t>reading</w:t>
      </w:r>
      <w:proofErr w:type="spellEnd"/>
      <w:r>
        <w:rPr>
          <w:color w:val="000000"/>
          <w:sz w:val="22"/>
          <w:szCs w:val="22"/>
          <w:lang w:val="es-ES"/>
        </w:rPr>
        <w:t xml:space="preserve"> </w:t>
      </w:r>
      <w:proofErr w:type="spellStart"/>
      <w:r>
        <w:rPr>
          <w:color w:val="000000"/>
          <w:sz w:val="22"/>
          <w:szCs w:val="22"/>
          <w:lang w:val="es-ES"/>
        </w:rPr>
        <w:t>of</w:t>
      </w:r>
      <w:proofErr w:type="spellEnd"/>
      <w:r>
        <w:rPr>
          <w:color w:val="000000"/>
          <w:sz w:val="22"/>
          <w:szCs w:val="22"/>
          <w:lang w:val="es-ES"/>
        </w:rPr>
        <w:t xml:space="preserve"> consecutive </w:t>
      </w:r>
      <w:proofErr w:type="spellStart"/>
      <w:r>
        <w:rPr>
          <w:color w:val="000000"/>
          <w:sz w:val="22"/>
          <w:szCs w:val="22"/>
          <w:lang w:val="es-ES"/>
        </w:rPr>
        <w:t>aligned</w:t>
      </w:r>
      <w:proofErr w:type="spellEnd"/>
      <w:r>
        <w:rPr>
          <w:color w:val="000000"/>
          <w:sz w:val="22"/>
          <w:szCs w:val="22"/>
          <w:lang w:val="es-ES"/>
        </w:rPr>
        <w:t xml:space="preserve"> figures </w:t>
      </w:r>
      <w:proofErr w:type="spellStart"/>
      <w:r>
        <w:rPr>
          <w:color w:val="000000"/>
          <w:sz w:val="22"/>
          <w:szCs w:val="22"/>
          <w:lang w:val="es-ES"/>
        </w:rPr>
        <w:t>shown</w:t>
      </w:r>
      <w:proofErr w:type="spellEnd"/>
      <w:r>
        <w:rPr>
          <w:color w:val="000000"/>
          <w:sz w:val="22"/>
          <w:szCs w:val="22"/>
          <w:lang w:val="es-ES"/>
        </w:rPr>
        <w:t xml:space="preserve"> </w:t>
      </w:r>
      <w:proofErr w:type="spellStart"/>
      <w:r>
        <w:rPr>
          <w:color w:val="000000"/>
          <w:sz w:val="22"/>
          <w:szCs w:val="22"/>
          <w:lang w:val="es-ES"/>
        </w:rPr>
        <w:t>on</w:t>
      </w:r>
      <w:proofErr w:type="spellEnd"/>
      <w:r>
        <w:rPr>
          <w:color w:val="000000"/>
          <w:sz w:val="22"/>
          <w:szCs w:val="22"/>
          <w:lang w:val="es-ES"/>
        </w:rPr>
        <w:t xml:space="preserve"> a digital </w:t>
      </w:r>
      <w:proofErr w:type="spellStart"/>
      <w:r>
        <w:rPr>
          <w:color w:val="000000"/>
          <w:sz w:val="22"/>
          <w:szCs w:val="22"/>
          <w:lang w:val="es-ES"/>
        </w:rPr>
        <w:t>display</w:t>
      </w:r>
      <w:proofErr w:type="spellEnd"/>
      <w:r>
        <w:rPr>
          <w:color w:val="000000"/>
          <w:sz w:val="22"/>
          <w:szCs w:val="22"/>
          <w:lang w:val="es-ES"/>
        </w:rPr>
        <w:t xml:space="preserve">, </w:t>
      </w:r>
      <w:proofErr w:type="spellStart"/>
      <w:r>
        <w:rPr>
          <w:color w:val="000000"/>
          <w:sz w:val="22"/>
          <w:szCs w:val="22"/>
          <w:lang w:val="es-ES"/>
        </w:rPr>
        <w:t>where</w:t>
      </w:r>
      <w:proofErr w:type="spellEnd"/>
      <w:r>
        <w:rPr>
          <w:color w:val="000000"/>
          <w:sz w:val="22"/>
          <w:szCs w:val="22"/>
          <w:lang w:val="es-ES"/>
        </w:rPr>
        <w:t xml:space="preserve"> </w:t>
      </w:r>
      <w:proofErr w:type="spellStart"/>
      <w:r>
        <w:rPr>
          <w:color w:val="000000"/>
          <w:sz w:val="22"/>
          <w:szCs w:val="22"/>
          <w:lang w:val="es-ES"/>
        </w:rPr>
        <w:t>the</w:t>
      </w:r>
      <w:proofErr w:type="spellEnd"/>
      <w:r>
        <w:rPr>
          <w:color w:val="000000"/>
          <w:sz w:val="22"/>
          <w:szCs w:val="22"/>
          <w:lang w:val="es-ES"/>
        </w:rPr>
        <w:t xml:space="preserve"> </w:t>
      </w:r>
      <w:proofErr w:type="spellStart"/>
      <w:r>
        <w:rPr>
          <w:color w:val="000000"/>
          <w:sz w:val="22"/>
          <w:szCs w:val="22"/>
          <w:lang w:val="es-ES"/>
        </w:rPr>
        <w:t>value</w:t>
      </w:r>
      <w:proofErr w:type="spellEnd"/>
      <w:r>
        <w:rPr>
          <w:color w:val="000000"/>
          <w:sz w:val="22"/>
          <w:szCs w:val="22"/>
          <w:lang w:val="es-ES"/>
        </w:rPr>
        <w:t xml:space="preserve"> </w:t>
      </w:r>
      <w:proofErr w:type="spellStart"/>
      <w:r>
        <w:rPr>
          <w:color w:val="000000"/>
          <w:sz w:val="22"/>
          <w:szCs w:val="22"/>
          <w:lang w:val="es-ES"/>
        </w:rPr>
        <w:t>will</w:t>
      </w:r>
      <w:proofErr w:type="spellEnd"/>
      <w:r>
        <w:rPr>
          <w:color w:val="000000"/>
          <w:sz w:val="22"/>
          <w:szCs w:val="22"/>
          <w:lang w:val="es-ES"/>
        </w:rPr>
        <w:t xml:space="preserve"> be in m³ and </w:t>
      </w:r>
      <w:proofErr w:type="spellStart"/>
      <w:r>
        <w:rPr>
          <w:color w:val="000000"/>
          <w:sz w:val="22"/>
          <w:szCs w:val="22"/>
          <w:lang w:val="es-ES"/>
        </w:rPr>
        <w:t>the</w:t>
      </w:r>
      <w:proofErr w:type="spellEnd"/>
      <w:r>
        <w:rPr>
          <w:color w:val="000000"/>
          <w:sz w:val="22"/>
          <w:szCs w:val="22"/>
          <w:lang w:val="es-ES"/>
        </w:rPr>
        <w:t xml:space="preserve"> </w:t>
      </w:r>
      <w:proofErr w:type="spellStart"/>
      <w:r>
        <w:rPr>
          <w:color w:val="000000"/>
          <w:sz w:val="22"/>
          <w:szCs w:val="22"/>
          <w:lang w:val="es-ES"/>
        </w:rPr>
        <w:t>whole</w:t>
      </w:r>
      <w:proofErr w:type="spellEnd"/>
      <w:r>
        <w:rPr>
          <w:color w:val="000000"/>
          <w:sz w:val="22"/>
          <w:szCs w:val="22"/>
          <w:lang w:val="es-ES"/>
        </w:rPr>
        <w:t xml:space="preserve"> </w:t>
      </w:r>
      <w:proofErr w:type="spellStart"/>
      <w:r>
        <w:rPr>
          <w:color w:val="000000"/>
          <w:sz w:val="22"/>
          <w:szCs w:val="22"/>
          <w:lang w:val="es-ES"/>
        </w:rPr>
        <w:t>numbers</w:t>
      </w:r>
      <w:proofErr w:type="spellEnd"/>
      <w:r>
        <w:rPr>
          <w:color w:val="000000"/>
          <w:sz w:val="22"/>
          <w:szCs w:val="22"/>
          <w:lang w:val="es-ES"/>
        </w:rPr>
        <w:t xml:space="preserve"> and </w:t>
      </w:r>
      <w:proofErr w:type="spellStart"/>
      <w:r>
        <w:rPr>
          <w:color w:val="000000"/>
          <w:sz w:val="22"/>
          <w:szCs w:val="22"/>
          <w:lang w:val="es-ES"/>
        </w:rPr>
        <w:t>submultiples</w:t>
      </w:r>
      <w:proofErr w:type="spellEnd"/>
      <w:r>
        <w:rPr>
          <w:color w:val="000000"/>
          <w:sz w:val="22"/>
          <w:szCs w:val="22"/>
          <w:lang w:val="es-ES"/>
        </w:rPr>
        <w:t xml:space="preserve"> </w:t>
      </w:r>
      <w:proofErr w:type="spellStart"/>
      <w:r>
        <w:rPr>
          <w:color w:val="000000"/>
          <w:sz w:val="22"/>
          <w:szCs w:val="22"/>
          <w:lang w:val="es-ES"/>
        </w:rPr>
        <w:t>must</w:t>
      </w:r>
      <w:proofErr w:type="spellEnd"/>
      <w:r>
        <w:rPr>
          <w:color w:val="000000"/>
          <w:sz w:val="22"/>
          <w:szCs w:val="22"/>
          <w:lang w:val="es-ES"/>
        </w:rPr>
        <w:t xml:space="preserve"> be </w:t>
      </w:r>
      <w:proofErr w:type="spellStart"/>
      <w:r>
        <w:rPr>
          <w:color w:val="000000"/>
          <w:sz w:val="22"/>
          <w:szCs w:val="22"/>
          <w:lang w:val="es-ES"/>
        </w:rPr>
        <w:t>included</w:t>
      </w:r>
      <w:proofErr w:type="spellEnd"/>
      <w:r>
        <w:rPr>
          <w:color w:val="000000"/>
          <w:sz w:val="22"/>
          <w:szCs w:val="22"/>
          <w:lang w:val="es-ES"/>
        </w:rPr>
        <w:t>.</w:t>
      </w:r>
    </w:p>
    <w:p w14:paraId="0A2FA630" w14:textId="77777777" w:rsidR="00E255F4" w:rsidRDefault="00000000">
      <w:pPr>
        <w:pStyle w:val="Prrafodelista"/>
        <w:numPr>
          <w:ilvl w:val="3"/>
          <w:numId w:val="4"/>
        </w:numPr>
        <w:tabs>
          <w:tab w:val="left" w:pos="-720"/>
          <w:tab w:val="left" w:pos="0"/>
          <w:tab w:val="left" w:pos="851"/>
          <w:tab w:val="left" w:pos="1276"/>
        </w:tabs>
        <w:spacing w:before="240" w:after="120"/>
        <w:ind w:left="851" w:hanging="851"/>
        <w:jc w:val="both"/>
        <w:rPr>
          <w:color w:val="000000"/>
          <w:sz w:val="22"/>
          <w:szCs w:val="22"/>
          <w:lang w:val="es-ES"/>
        </w:rPr>
      </w:pPr>
      <w:proofErr w:type="spellStart"/>
      <w:r>
        <w:rPr>
          <w:sz w:val="22"/>
          <w:szCs w:val="22"/>
          <w:lang w:val="es-ES"/>
        </w:rPr>
        <w:t>If</w:t>
      </w:r>
      <w:proofErr w:type="spellEnd"/>
      <w:r>
        <w:rPr>
          <w:sz w:val="22"/>
          <w:szCs w:val="22"/>
          <w:lang w:val="es-ES"/>
        </w:rPr>
        <w:t xml:space="preserve"> </w:t>
      </w:r>
      <w:proofErr w:type="spellStart"/>
      <w:r>
        <w:rPr>
          <w:sz w:val="22"/>
          <w:szCs w:val="22"/>
          <w:lang w:val="es-ES"/>
        </w:rPr>
        <w:t>the</w:t>
      </w:r>
      <w:proofErr w:type="spellEnd"/>
      <w:r>
        <w:rPr>
          <w:sz w:val="22"/>
          <w:szCs w:val="22"/>
          <w:lang w:val="es-ES"/>
        </w:rPr>
        <w:t xml:space="preserve"> </w:t>
      </w:r>
      <w:proofErr w:type="spellStart"/>
      <w:r>
        <w:rPr>
          <w:sz w:val="22"/>
          <w:szCs w:val="22"/>
          <w:lang w:val="es-ES"/>
        </w:rPr>
        <w:t>whole</w:t>
      </w:r>
      <w:proofErr w:type="spellEnd"/>
      <w:r>
        <w:rPr>
          <w:sz w:val="22"/>
          <w:szCs w:val="22"/>
          <w:lang w:val="es-ES"/>
        </w:rPr>
        <w:t xml:space="preserve"> </w:t>
      </w:r>
      <w:proofErr w:type="spellStart"/>
      <w:r>
        <w:rPr>
          <w:sz w:val="22"/>
          <w:szCs w:val="22"/>
          <w:lang w:val="es-ES"/>
        </w:rPr>
        <w:t>numbers</w:t>
      </w:r>
      <w:proofErr w:type="spellEnd"/>
      <w:r>
        <w:rPr>
          <w:sz w:val="22"/>
          <w:szCs w:val="22"/>
          <w:lang w:val="es-ES"/>
        </w:rPr>
        <w:t xml:space="preserve"> are </w:t>
      </w:r>
      <w:proofErr w:type="spellStart"/>
      <w:r>
        <w:rPr>
          <w:sz w:val="22"/>
          <w:szCs w:val="22"/>
          <w:lang w:val="es-ES"/>
        </w:rPr>
        <w:t>not</w:t>
      </w:r>
      <w:proofErr w:type="spellEnd"/>
      <w:r>
        <w:rPr>
          <w:sz w:val="22"/>
          <w:szCs w:val="22"/>
          <w:lang w:val="es-ES"/>
        </w:rPr>
        <w:t xml:space="preserve"> </w:t>
      </w:r>
      <w:proofErr w:type="spellStart"/>
      <w:r>
        <w:rPr>
          <w:sz w:val="22"/>
          <w:szCs w:val="22"/>
          <w:lang w:val="es-ES"/>
        </w:rPr>
        <w:t>aligned</w:t>
      </w:r>
      <w:proofErr w:type="spellEnd"/>
      <w:r>
        <w:rPr>
          <w:sz w:val="22"/>
          <w:szCs w:val="22"/>
          <w:lang w:val="es-ES"/>
        </w:rPr>
        <w:t xml:space="preserve"> </w:t>
      </w:r>
      <w:proofErr w:type="spellStart"/>
      <w:r>
        <w:rPr>
          <w:sz w:val="22"/>
          <w:szCs w:val="22"/>
          <w:lang w:val="es-ES"/>
        </w:rPr>
        <w:t>with</w:t>
      </w:r>
      <w:proofErr w:type="spellEnd"/>
      <w:r>
        <w:rPr>
          <w:sz w:val="22"/>
          <w:szCs w:val="22"/>
          <w:lang w:val="es-ES"/>
        </w:rPr>
        <w:t xml:space="preserve"> </w:t>
      </w:r>
      <w:proofErr w:type="spellStart"/>
      <w:r>
        <w:rPr>
          <w:sz w:val="22"/>
          <w:szCs w:val="22"/>
          <w:lang w:val="es-ES"/>
        </w:rPr>
        <w:t>the</w:t>
      </w:r>
      <w:proofErr w:type="spellEnd"/>
      <w:r>
        <w:rPr>
          <w:sz w:val="22"/>
          <w:szCs w:val="22"/>
          <w:lang w:val="es-ES"/>
        </w:rPr>
        <w:t xml:space="preserve"> </w:t>
      </w:r>
      <w:proofErr w:type="spellStart"/>
      <w:r>
        <w:rPr>
          <w:sz w:val="22"/>
          <w:szCs w:val="22"/>
          <w:lang w:val="es-ES"/>
        </w:rPr>
        <w:t>submultiples</w:t>
      </w:r>
      <w:proofErr w:type="spellEnd"/>
      <w:r>
        <w:rPr>
          <w:sz w:val="22"/>
          <w:szCs w:val="22"/>
          <w:lang w:val="es-ES"/>
        </w:rPr>
        <w:t xml:space="preserve">, </w:t>
      </w:r>
      <w:proofErr w:type="spellStart"/>
      <w:r>
        <w:rPr>
          <w:sz w:val="22"/>
          <w:szCs w:val="22"/>
          <w:lang w:val="es-ES"/>
        </w:rPr>
        <w:t>other</w:t>
      </w:r>
      <w:proofErr w:type="spellEnd"/>
      <w:r>
        <w:rPr>
          <w:sz w:val="22"/>
          <w:szCs w:val="22"/>
          <w:lang w:val="es-ES"/>
        </w:rPr>
        <w:t xml:space="preserve"> </w:t>
      </w:r>
      <w:proofErr w:type="spellStart"/>
      <w:r>
        <w:rPr>
          <w:sz w:val="22"/>
          <w:szCs w:val="22"/>
          <w:lang w:val="es-ES"/>
        </w:rPr>
        <w:t>forms</w:t>
      </w:r>
      <w:proofErr w:type="spellEnd"/>
      <w:r>
        <w:rPr>
          <w:sz w:val="22"/>
          <w:szCs w:val="22"/>
          <w:lang w:val="es-ES"/>
        </w:rPr>
        <w:t xml:space="preserve"> </w:t>
      </w:r>
      <w:proofErr w:type="spellStart"/>
      <w:r>
        <w:rPr>
          <w:sz w:val="22"/>
          <w:szCs w:val="22"/>
          <w:lang w:val="es-ES"/>
        </w:rPr>
        <w:t>of</w:t>
      </w:r>
      <w:proofErr w:type="spellEnd"/>
      <w:r>
        <w:rPr>
          <w:sz w:val="22"/>
          <w:szCs w:val="22"/>
          <w:lang w:val="es-ES"/>
        </w:rPr>
        <w:t xml:space="preserve"> </w:t>
      </w:r>
      <w:proofErr w:type="spellStart"/>
      <w:r>
        <w:rPr>
          <w:sz w:val="22"/>
          <w:szCs w:val="22"/>
          <w:lang w:val="es-ES"/>
        </w:rPr>
        <w:t>presentation</w:t>
      </w:r>
      <w:proofErr w:type="spellEnd"/>
      <w:r>
        <w:rPr>
          <w:sz w:val="22"/>
          <w:szCs w:val="22"/>
          <w:lang w:val="es-ES"/>
        </w:rPr>
        <w:t xml:space="preserve"> </w:t>
      </w:r>
      <w:proofErr w:type="spellStart"/>
      <w:r>
        <w:rPr>
          <w:sz w:val="22"/>
          <w:szCs w:val="22"/>
          <w:lang w:val="es-ES"/>
        </w:rPr>
        <w:t>will</w:t>
      </w:r>
      <w:proofErr w:type="spellEnd"/>
      <w:r>
        <w:rPr>
          <w:sz w:val="22"/>
          <w:szCs w:val="22"/>
          <w:lang w:val="es-ES"/>
        </w:rPr>
        <w:t xml:space="preserve"> be </w:t>
      </w:r>
      <w:proofErr w:type="spellStart"/>
      <w:r>
        <w:rPr>
          <w:sz w:val="22"/>
          <w:szCs w:val="22"/>
          <w:lang w:val="es-ES"/>
        </w:rPr>
        <w:t>accepted</w:t>
      </w:r>
      <w:proofErr w:type="spellEnd"/>
      <w:r>
        <w:rPr>
          <w:sz w:val="22"/>
          <w:szCs w:val="22"/>
          <w:lang w:val="es-ES"/>
        </w:rPr>
        <w:t xml:space="preserve"> </w:t>
      </w:r>
      <w:proofErr w:type="spellStart"/>
      <w:r>
        <w:rPr>
          <w:sz w:val="22"/>
          <w:szCs w:val="22"/>
          <w:lang w:val="es-ES"/>
        </w:rPr>
        <w:t>provided</w:t>
      </w:r>
      <w:proofErr w:type="spellEnd"/>
      <w:r>
        <w:rPr>
          <w:sz w:val="22"/>
          <w:szCs w:val="22"/>
          <w:lang w:val="es-ES"/>
        </w:rPr>
        <w:t xml:space="preserve"> </w:t>
      </w:r>
      <w:proofErr w:type="spellStart"/>
      <w:r>
        <w:rPr>
          <w:sz w:val="22"/>
          <w:szCs w:val="22"/>
          <w:lang w:val="es-ES"/>
        </w:rPr>
        <w:t>there</w:t>
      </w:r>
      <w:proofErr w:type="spellEnd"/>
      <w:r>
        <w:rPr>
          <w:sz w:val="22"/>
          <w:szCs w:val="22"/>
          <w:lang w:val="es-ES"/>
        </w:rPr>
        <w:t xml:space="preserve"> </w:t>
      </w:r>
      <w:proofErr w:type="spellStart"/>
      <w:r>
        <w:rPr>
          <w:sz w:val="22"/>
          <w:szCs w:val="22"/>
          <w:lang w:val="es-ES"/>
        </w:rPr>
        <w:t>is</w:t>
      </w:r>
      <w:proofErr w:type="spellEnd"/>
      <w:r>
        <w:rPr>
          <w:sz w:val="22"/>
          <w:szCs w:val="22"/>
          <w:lang w:val="es-ES"/>
        </w:rPr>
        <w:t xml:space="preserve"> no </w:t>
      </w:r>
      <w:proofErr w:type="spellStart"/>
      <w:r>
        <w:rPr>
          <w:sz w:val="22"/>
          <w:szCs w:val="22"/>
          <w:lang w:val="es-ES"/>
        </w:rPr>
        <w:t>ambiguity</w:t>
      </w:r>
      <w:proofErr w:type="spellEnd"/>
      <w:r>
        <w:rPr>
          <w:sz w:val="22"/>
          <w:szCs w:val="22"/>
          <w:lang w:val="es-ES"/>
        </w:rPr>
        <w:t xml:space="preserve"> in </w:t>
      </w:r>
      <w:proofErr w:type="spellStart"/>
      <w:r>
        <w:rPr>
          <w:sz w:val="22"/>
          <w:szCs w:val="22"/>
          <w:lang w:val="es-ES"/>
        </w:rPr>
        <w:t>distinguishing</w:t>
      </w:r>
      <w:proofErr w:type="spellEnd"/>
      <w:r>
        <w:rPr>
          <w:sz w:val="22"/>
          <w:szCs w:val="22"/>
          <w:lang w:val="es-ES"/>
        </w:rPr>
        <w:t xml:space="preserve"> </w:t>
      </w:r>
      <w:proofErr w:type="spellStart"/>
      <w:r>
        <w:rPr>
          <w:sz w:val="22"/>
          <w:szCs w:val="22"/>
          <w:lang w:val="es-ES"/>
        </w:rPr>
        <w:t>between</w:t>
      </w:r>
      <w:proofErr w:type="spellEnd"/>
      <w:r>
        <w:rPr>
          <w:sz w:val="22"/>
          <w:szCs w:val="22"/>
          <w:lang w:val="es-ES"/>
        </w:rPr>
        <w:t xml:space="preserve"> </w:t>
      </w:r>
      <w:proofErr w:type="spellStart"/>
      <w:r>
        <w:rPr>
          <w:sz w:val="22"/>
          <w:szCs w:val="22"/>
          <w:lang w:val="es-ES"/>
        </w:rPr>
        <w:t>the</w:t>
      </w:r>
      <w:proofErr w:type="spellEnd"/>
      <w:r>
        <w:rPr>
          <w:sz w:val="22"/>
          <w:szCs w:val="22"/>
          <w:lang w:val="es-ES"/>
        </w:rPr>
        <w:t xml:space="preserve"> </w:t>
      </w:r>
      <w:proofErr w:type="spellStart"/>
      <w:r>
        <w:rPr>
          <w:sz w:val="22"/>
          <w:szCs w:val="22"/>
          <w:lang w:val="es-ES"/>
        </w:rPr>
        <w:t>primary</w:t>
      </w:r>
      <w:proofErr w:type="spellEnd"/>
      <w:r>
        <w:rPr>
          <w:sz w:val="22"/>
          <w:szCs w:val="22"/>
          <w:lang w:val="es-ES"/>
        </w:rPr>
        <w:t xml:space="preserve"> </w:t>
      </w:r>
      <w:proofErr w:type="spellStart"/>
      <w:r>
        <w:rPr>
          <w:sz w:val="22"/>
          <w:szCs w:val="22"/>
          <w:lang w:val="es-ES"/>
        </w:rPr>
        <w:t>indication</w:t>
      </w:r>
      <w:proofErr w:type="spellEnd"/>
      <w:r>
        <w:rPr>
          <w:sz w:val="22"/>
          <w:szCs w:val="22"/>
          <w:lang w:val="es-ES"/>
        </w:rPr>
        <w:t xml:space="preserve"> and </w:t>
      </w:r>
      <w:proofErr w:type="spellStart"/>
      <w:r>
        <w:rPr>
          <w:sz w:val="22"/>
          <w:szCs w:val="22"/>
          <w:lang w:val="es-ES"/>
        </w:rPr>
        <w:t>the</w:t>
      </w:r>
      <w:proofErr w:type="spellEnd"/>
      <w:r>
        <w:rPr>
          <w:sz w:val="22"/>
          <w:szCs w:val="22"/>
          <w:lang w:val="es-ES"/>
        </w:rPr>
        <w:t xml:space="preserve"> alternative </w:t>
      </w:r>
      <w:proofErr w:type="spellStart"/>
      <w:r>
        <w:rPr>
          <w:sz w:val="22"/>
          <w:szCs w:val="22"/>
          <w:lang w:val="es-ES"/>
        </w:rPr>
        <w:t>visualizations</w:t>
      </w:r>
      <w:proofErr w:type="spellEnd"/>
      <w:r>
        <w:rPr>
          <w:sz w:val="22"/>
          <w:szCs w:val="22"/>
          <w:lang w:val="es-ES"/>
        </w:rPr>
        <w:t xml:space="preserve">, </w:t>
      </w:r>
      <w:proofErr w:type="spellStart"/>
      <w:r>
        <w:rPr>
          <w:sz w:val="22"/>
          <w:szCs w:val="22"/>
          <w:lang w:val="es-ES"/>
        </w:rPr>
        <w:t>for</w:t>
      </w:r>
      <w:proofErr w:type="spellEnd"/>
      <w:r>
        <w:rPr>
          <w:sz w:val="22"/>
          <w:szCs w:val="22"/>
          <w:lang w:val="es-ES"/>
        </w:rPr>
        <w:t xml:space="preserve"> </w:t>
      </w:r>
      <w:proofErr w:type="spellStart"/>
      <w:r>
        <w:rPr>
          <w:sz w:val="22"/>
          <w:szCs w:val="22"/>
          <w:lang w:val="es-ES"/>
        </w:rPr>
        <w:t>example</w:t>
      </w:r>
      <w:proofErr w:type="spellEnd"/>
      <w:r>
        <w:rPr>
          <w:sz w:val="22"/>
          <w:szCs w:val="22"/>
          <w:lang w:val="es-ES"/>
        </w:rPr>
        <w:t xml:space="preserve">, </w:t>
      </w:r>
      <w:proofErr w:type="spellStart"/>
      <w:r>
        <w:rPr>
          <w:sz w:val="22"/>
          <w:szCs w:val="22"/>
          <w:lang w:val="es-ES"/>
        </w:rPr>
        <w:t>submultiples</w:t>
      </w:r>
      <w:proofErr w:type="spellEnd"/>
      <w:r>
        <w:rPr>
          <w:sz w:val="22"/>
          <w:szCs w:val="22"/>
          <w:lang w:val="es-ES"/>
        </w:rPr>
        <w:t xml:space="preserve"> </w:t>
      </w:r>
      <w:proofErr w:type="spellStart"/>
      <w:r>
        <w:rPr>
          <w:sz w:val="22"/>
          <w:szCs w:val="22"/>
          <w:lang w:val="es-ES"/>
        </w:rPr>
        <w:t>for</w:t>
      </w:r>
      <w:proofErr w:type="spellEnd"/>
      <w:r>
        <w:rPr>
          <w:sz w:val="22"/>
          <w:szCs w:val="22"/>
          <w:lang w:val="es-ES"/>
        </w:rPr>
        <w:t xml:space="preserve"> </w:t>
      </w:r>
      <w:proofErr w:type="spellStart"/>
      <w:r>
        <w:rPr>
          <w:sz w:val="22"/>
          <w:szCs w:val="22"/>
          <w:lang w:val="es-ES"/>
        </w:rPr>
        <w:t>verification</w:t>
      </w:r>
      <w:proofErr w:type="spellEnd"/>
      <w:r>
        <w:rPr>
          <w:sz w:val="22"/>
          <w:szCs w:val="22"/>
          <w:lang w:val="es-ES"/>
        </w:rPr>
        <w:t xml:space="preserve"> and </w:t>
      </w:r>
      <w:proofErr w:type="spellStart"/>
      <w:r>
        <w:rPr>
          <w:sz w:val="22"/>
          <w:szCs w:val="22"/>
          <w:lang w:val="es-ES"/>
        </w:rPr>
        <w:t>testing</w:t>
      </w:r>
      <w:proofErr w:type="spellEnd"/>
      <w:r>
        <w:rPr>
          <w:sz w:val="22"/>
          <w:szCs w:val="22"/>
          <w:lang w:val="es-ES"/>
        </w:rPr>
        <w:t>.</w:t>
      </w:r>
    </w:p>
    <w:p w14:paraId="61074319" w14:textId="77777777" w:rsidR="00E255F4" w:rsidRDefault="00000000">
      <w:pPr>
        <w:pStyle w:val="Prrafodelista"/>
        <w:numPr>
          <w:ilvl w:val="3"/>
          <w:numId w:val="4"/>
        </w:numPr>
        <w:tabs>
          <w:tab w:val="left" w:pos="-720"/>
          <w:tab w:val="left" w:pos="0"/>
          <w:tab w:val="left" w:pos="851"/>
          <w:tab w:val="left" w:pos="1276"/>
        </w:tabs>
        <w:spacing w:before="240" w:after="120"/>
        <w:ind w:left="851" w:hanging="851"/>
        <w:jc w:val="both"/>
        <w:rPr>
          <w:color w:val="000000"/>
          <w:sz w:val="22"/>
          <w:szCs w:val="22"/>
          <w:lang w:val="es-ES"/>
        </w:rPr>
      </w:pPr>
      <w:r>
        <w:rPr>
          <w:color w:val="000000"/>
          <w:sz w:val="22"/>
          <w:szCs w:val="22"/>
          <w:lang w:val="es-ES"/>
        </w:rPr>
        <w:t xml:space="preserve">The </w:t>
      </w:r>
      <w:proofErr w:type="spellStart"/>
      <w:r>
        <w:rPr>
          <w:color w:val="000000"/>
          <w:sz w:val="22"/>
          <w:szCs w:val="22"/>
          <w:lang w:val="es-ES"/>
        </w:rPr>
        <w:t>meters</w:t>
      </w:r>
      <w:proofErr w:type="spellEnd"/>
      <w:r>
        <w:rPr>
          <w:color w:val="000000"/>
          <w:sz w:val="22"/>
          <w:szCs w:val="22"/>
          <w:lang w:val="es-ES"/>
        </w:rPr>
        <w:t xml:space="preserve"> </w:t>
      </w:r>
      <w:proofErr w:type="spellStart"/>
      <w:r>
        <w:rPr>
          <w:color w:val="000000"/>
          <w:sz w:val="22"/>
          <w:szCs w:val="22"/>
          <w:lang w:val="es-ES"/>
        </w:rPr>
        <w:t>must</w:t>
      </w:r>
      <w:proofErr w:type="spellEnd"/>
      <w:r>
        <w:rPr>
          <w:color w:val="000000"/>
          <w:sz w:val="22"/>
          <w:szCs w:val="22"/>
          <w:lang w:val="es-ES"/>
        </w:rPr>
        <w:t xml:space="preserve"> </w:t>
      </w:r>
      <w:proofErr w:type="spellStart"/>
      <w:r>
        <w:rPr>
          <w:color w:val="000000"/>
          <w:sz w:val="22"/>
          <w:szCs w:val="22"/>
          <w:lang w:val="es-ES"/>
        </w:rPr>
        <w:t>have</w:t>
      </w:r>
      <w:proofErr w:type="spellEnd"/>
      <w:r>
        <w:rPr>
          <w:color w:val="000000"/>
          <w:sz w:val="22"/>
          <w:szCs w:val="22"/>
          <w:lang w:val="es-ES"/>
        </w:rPr>
        <w:t xml:space="preserve"> a </w:t>
      </w:r>
      <w:proofErr w:type="spellStart"/>
      <w:r>
        <w:rPr>
          <w:color w:val="000000"/>
          <w:sz w:val="22"/>
          <w:szCs w:val="22"/>
          <w:lang w:val="es-ES"/>
        </w:rPr>
        <w:t>reading</w:t>
      </w:r>
      <w:proofErr w:type="spellEnd"/>
      <w:r>
        <w:rPr>
          <w:color w:val="000000"/>
          <w:sz w:val="22"/>
          <w:szCs w:val="22"/>
          <w:lang w:val="es-ES"/>
        </w:rPr>
        <w:t xml:space="preserve"> </w:t>
      </w:r>
      <w:proofErr w:type="spellStart"/>
      <w:r>
        <w:rPr>
          <w:color w:val="000000"/>
          <w:sz w:val="22"/>
          <w:szCs w:val="22"/>
          <w:lang w:val="es-ES"/>
        </w:rPr>
        <w:t>device</w:t>
      </w:r>
      <w:proofErr w:type="spellEnd"/>
      <w:r>
        <w:rPr>
          <w:color w:val="000000"/>
          <w:sz w:val="22"/>
          <w:szCs w:val="22"/>
          <w:lang w:val="es-ES"/>
        </w:rPr>
        <w:t xml:space="preserve"> </w:t>
      </w:r>
      <w:proofErr w:type="spellStart"/>
      <w:r>
        <w:rPr>
          <w:color w:val="000000"/>
          <w:sz w:val="22"/>
          <w:szCs w:val="22"/>
          <w:lang w:val="es-ES"/>
        </w:rPr>
        <w:t>design</w:t>
      </w:r>
      <w:proofErr w:type="spellEnd"/>
      <w:r>
        <w:rPr>
          <w:color w:val="000000"/>
          <w:sz w:val="22"/>
          <w:szCs w:val="22"/>
          <w:lang w:val="es-ES"/>
        </w:rPr>
        <w:t xml:space="preserve"> </w:t>
      </w:r>
      <w:proofErr w:type="spellStart"/>
      <w:r>
        <w:rPr>
          <w:color w:val="000000"/>
          <w:sz w:val="22"/>
          <w:szCs w:val="22"/>
          <w:lang w:val="es-ES"/>
        </w:rPr>
        <w:t>that</w:t>
      </w:r>
      <w:proofErr w:type="spellEnd"/>
      <w:r>
        <w:rPr>
          <w:color w:val="000000"/>
          <w:sz w:val="22"/>
          <w:szCs w:val="22"/>
          <w:lang w:val="es-ES"/>
        </w:rPr>
        <w:t xml:space="preserve"> </w:t>
      </w:r>
      <w:proofErr w:type="spellStart"/>
      <w:r>
        <w:rPr>
          <w:color w:val="000000"/>
          <w:sz w:val="22"/>
          <w:szCs w:val="22"/>
          <w:lang w:val="es-ES"/>
        </w:rPr>
        <w:t>allows</w:t>
      </w:r>
      <w:proofErr w:type="spellEnd"/>
      <w:r>
        <w:rPr>
          <w:color w:val="000000"/>
          <w:sz w:val="22"/>
          <w:szCs w:val="22"/>
          <w:lang w:val="es-ES"/>
        </w:rPr>
        <w:t xml:space="preserve"> </w:t>
      </w:r>
      <w:proofErr w:type="spellStart"/>
      <w:r>
        <w:rPr>
          <w:color w:val="000000"/>
          <w:sz w:val="22"/>
          <w:szCs w:val="22"/>
          <w:lang w:val="es-ES"/>
        </w:rPr>
        <w:t>the</w:t>
      </w:r>
      <w:proofErr w:type="spellEnd"/>
      <w:r>
        <w:rPr>
          <w:color w:val="000000"/>
          <w:sz w:val="22"/>
          <w:szCs w:val="22"/>
          <w:lang w:val="es-ES"/>
        </w:rPr>
        <w:t xml:space="preserve"> m³ </w:t>
      </w:r>
      <w:proofErr w:type="spellStart"/>
      <w:r>
        <w:rPr>
          <w:color w:val="000000"/>
          <w:sz w:val="22"/>
          <w:szCs w:val="22"/>
          <w:lang w:val="es-ES"/>
        </w:rPr>
        <w:t>to</w:t>
      </w:r>
      <w:proofErr w:type="spellEnd"/>
      <w:r>
        <w:rPr>
          <w:color w:val="000000"/>
          <w:sz w:val="22"/>
          <w:szCs w:val="22"/>
          <w:lang w:val="es-ES"/>
        </w:rPr>
        <w:t xml:space="preserve"> be </w:t>
      </w:r>
      <w:proofErr w:type="spellStart"/>
      <w:r>
        <w:rPr>
          <w:color w:val="000000"/>
          <w:sz w:val="22"/>
          <w:szCs w:val="22"/>
          <w:lang w:val="es-ES"/>
        </w:rPr>
        <w:t>read</w:t>
      </w:r>
      <w:proofErr w:type="spellEnd"/>
      <w:r>
        <w:rPr>
          <w:color w:val="000000"/>
          <w:sz w:val="22"/>
          <w:szCs w:val="22"/>
          <w:lang w:val="es-ES"/>
        </w:rPr>
        <w:t xml:space="preserve"> </w:t>
      </w:r>
      <w:proofErr w:type="spellStart"/>
      <w:r>
        <w:rPr>
          <w:color w:val="000000"/>
          <w:sz w:val="22"/>
          <w:szCs w:val="22"/>
          <w:lang w:val="es-ES"/>
        </w:rPr>
        <w:t>clearly</w:t>
      </w:r>
      <w:proofErr w:type="spellEnd"/>
      <w:r>
        <w:rPr>
          <w:color w:val="000000"/>
          <w:sz w:val="22"/>
          <w:szCs w:val="22"/>
          <w:lang w:val="es-ES"/>
        </w:rPr>
        <w:t xml:space="preserve"> and </w:t>
      </w:r>
      <w:proofErr w:type="spellStart"/>
      <w:r>
        <w:rPr>
          <w:color w:val="000000"/>
          <w:sz w:val="22"/>
          <w:szCs w:val="22"/>
          <w:lang w:val="es-ES"/>
        </w:rPr>
        <w:t>with</w:t>
      </w:r>
      <w:proofErr w:type="spellEnd"/>
      <w:r>
        <w:rPr>
          <w:color w:val="000000"/>
          <w:sz w:val="22"/>
          <w:szCs w:val="22"/>
          <w:lang w:val="es-ES"/>
        </w:rPr>
        <w:t xml:space="preserve"> </w:t>
      </w:r>
      <w:proofErr w:type="spellStart"/>
      <w:r>
        <w:rPr>
          <w:color w:val="000000"/>
          <w:sz w:val="22"/>
          <w:szCs w:val="22"/>
          <w:lang w:val="es-ES"/>
        </w:rPr>
        <w:t>the</w:t>
      </w:r>
      <w:proofErr w:type="spellEnd"/>
      <w:r>
        <w:rPr>
          <w:color w:val="000000"/>
          <w:sz w:val="22"/>
          <w:szCs w:val="22"/>
          <w:lang w:val="es-ES"/>
        </w:rPr>
        <w:t xml:space="preserve"> </w:t>
      </w:r>
      <w:proofErr w:type="spellStart"/>
      <w:r>
        <w:rPr>
          <w:color w:val="000000"/>
          <w:sz w:val="22"/>
          <w:szCs w:val="22"/>
          <w:lang w:val="es-ES"/>
        </w:rPr>
        <w:t>widest</w:t>
      </w:r>
      <w:proofErr w:type="spellEnd"/>
      <w:r>
        <w:rPr>
          <w:color w:val="000000"/>
          <w:sz w:val="22"/>
          <w:szCs w:val="22"/>
          <w:lang w:val="es-ES"/>
        </w:rPr>
        <w:t xml:space="preserve"> </w:t>
      </w:r>
      <w:proofErr w:type="spellStart"/>
      <w:r>
        <w:rPr>
          <w:color w:val="000000"/>
          <w:sz w:val="22"/>
          <w:szCs w:val="22"/>
          <w:lang w:val="es-ES"/>
        </w:rPr>
        <w:t>possible</w:t>
      </w:r>
      <w:proofErr w:type="spellEnd"/>
      <w:r>
        <w:rPr>
          <w:color w:val="000000"/>
          <w:sz w:val="22"/>
          <w:szCs w:val="22"/>
          <w:lang w:val="es-ES"/>
        </w:rPr>
        <w:t xml:space="preserve"> </w:t>
      </w:r>
      <w:proofErr w:type="spellStart"/>
      <w:r>
        <w:rPr>
          <w:color w:val="000000"/>
          <w:sz w:val="22"/>
          <w:szCs w:val="22"/>
          <w:lang w:val="es-ES"/>
        </w:rPr>
        <w:t>viewing</w:t>
      </w:r>
      <w:proofErr w:type="spellEnd"/>
      <w:r>
        <w:rPr>
          <w:color w:val="000000"/>
          <w:sz w:val="22"/>
          <w:szCs w:val="22"/>
          <w:lang w:val="es-ES"/>
        </w:rPr>
        <w:t xml:space="preserve"> angle, in </w:t>
      </w:r>
      <w:proofErr w:type="spellStart"/>
      <w:r>
        <w:rPr>
          <w:color w:val="000000"/>
          <w:sz w:val="22"/>
          <w:szCs w:val="22"/>
          <w:lang w:val="es-ES"/>
        </w:rPr>
        <w:t>such</w:t>
      </w:r>
      <w:proofErr w:type="spellEnd"/>
      <w:r>
        <w:rPr>
          <w:color w:val="000000"/>
          <w:sz w:val="22"/>
          <w:szCs w:val="22"/>
          <w:lang w:val="es-ES"/>
        </w:rPr>
        <w:t xml:space="preserve"> a </w:t>
      </w:r>
      <w:proofErr w:type="spellStart"/>
      <w:r>
        <w:rPr>
          <w:color w:val="000000"/>
          <w:sz w:val="22"/>
          <w:szCs w:val="22"/>
          <w:lang w:val="es-ES"/>
        </w:rPr>
        <w:t>way</w:t>
      </w:r>
      <w:proofErr w:type="spellEnd"/>
      <w:r>
        <w:rPr>
          <w:color w:val="000000"/>
          <w:sz w:val="22"/>
          <w:szCs w:val="22"/>
          <w:lang w:val="es-ES"/>
        </w:rPr>
        <w:t xml:space="preserve"> as </w:t>
      </w:r>
      <w:proofErr w:type="spellStart"/>
      <w:r>
        <w:rPr>
          <w:color w:val="000000"/>
          <w:sz w:val="22"/>
          <w:szCs w:val="22"/>
          <w:lang w:val="es-ES"/>
        </w:rPr>
        <w:t>to</w:t>
      </w:r>
      <w:proofErr w:type="spellEnd"/>
      <w:r>
        <w:rPr>
          <w:color w:val="000000"/>
          <w:sz w:val="22"/>
          <w:szCs w:val="22"/>
          <w:lang w:val="es-ES"/>
        </w:rPr>
        <w:t xml:space="preserve"> favor </w:t>
      </w:r>
      <w:proofErr w:type="spellStart"/>
      <w:r>
        <w:rPr>
          <w:color w:val="000000"/>
          <w:sz w:val="22"/>
          <w:szCs w:val="22"/>
          <w:lang w:val="es-ES"/>
        </w:rPr>
        <w:t>the</w:t>
      </w:r>
      <w:proofErr w:type="spellEnd"/>
      <w:r>
        <w:rPr>
          <w:color w:val="000000"/>
          <w:sz w:val="22"/>
          <w:szCs w:val="22"/>
          <w:lang w:val="es-ES"/>
        </w:rPr>
        <w:t xml:space="preserve"> </w:t>
      </w:r>
      <w:proofErr w:type="spellStart"/>
      <w:r>
        <w:rPr>
          <w:color w:val="000000"/>
          <w:sz w:val="22"/>
          <w:szCs w:val="22"/>
          <w:lang w:val="es-ES"/>
        </w:rPr>
        <w:t>correct</w:t>
      </w:r>
      <w:proofErr w:type="spellEnd"/>
      <w:r>
        <w:rPr>
          <w:color w:val="000000"/>
          <w:sz w:val="22"/>
          <w:szCs w:val="22"/>
          <w:lang w:val="es-ES"/>
        </w:rPr>
        <w:t xml:space="preserve"> </w:t>
      </w:r>
      <w:proofErr w:type="spellStart"/>
      <w:r>
        <w:rPr>
          <w:color w:val="000000"/>
          <w:sz w:val="22"/>
          <w:szCs w:val="22"/>
          <w:lang w:val="es-ES"/>
        </w:rPr>
        <w:t>placement</w:t>
      </w:r>
      <w:proofErr w:type="spellEnd"/>
      <w:r>
        <w:rPr>
          <w:color w:val="000000"/>
          <w:sz w:val="22"/>
          <w:szCs w:val="22"/>
          <w:lang w:val="es-ES"/>
        </w:rPr>
        <w:t xml:space="preserve"> </w:t>
      </w:r>
      <w:proofErr w:type="spellStart"/>
      <w:r>
        <w:rPr>
          <w:color w:val="000000"/>
          <w:sz w:val="22"/>
          <w:szCs w:val="22"/>
          <w:lang w:val="es-ES"/>
        </w:rPr>
        <w:t>of</w:t>
      </w:r>
      <w:proofErr w:type="spellEnd"/>
      <w:r>
        <w:rPr>
          <w:color w:val="000000"/>
          <w:sz w:val="22"/>
          <w:szCs w:val="22"/>
          <w:lang w:val="es-ES"/>
        </w:rPr>
        <w:t xml:space="preserve"> </w:t>
      </w:r>
      <w:proofErr w:type="spellStart"/>
      <w:r>
        <w:rPr>
          <w:color w:val="000000"/>
          <w:sz w:val="22"/>
          <w:szCs w:val="22"/>
          <w:lang w:val="es-ES"/>
        </w:rPr>
        <w:t>the</w:t>
      </w:r>
      <w:proofErr w:type="spellEnd"/>
      <w:r>
        <w:rPr>
          <w:color w:val="000000"/>
          <w:sz w:val="22"/>
          <w:szCs w:val="22"/>
          <w:lang w:val="es-ES"/>
        </w:rPr>
        <w:t xml:space="preserve"> meter and a </w:t>
      </w:r>
      <w:proofErr w:type="spellStart"/>
      <w:r>
        <w:rPr>
          <w:color w:val="000000"/>
          <w:sz w:val="22"/>
          <w:szCs w:val="22"/>
          <w:lang w:val="es-ES"/>
        </w:rPr>
        <w:t>good</w:t>
      </w:r>
      <w:proofErr w:type="spellEnd"/>
      <w:r>
        <w:rPr>
          <w:color w:val="000000"/>
          <w:sz w:val="22"/>
          <w:szCs w:val="22"/>
          <w:lang w:val="es-ES"/>
        </w:rPr>
        <w:t xml:space="preserve"> </w:t>
      </w:r>
      <w:proofErr w:type="spellStart"/>
      <w:r>
        <w:rPr>
          <w:color w:val="000000"/>
          <w:sz w:val="22"/>
          <w:szCs w:val="22"/>
          <w:lang w:val="es-ES"/>
        </w:rPr>
        <w:t>reading</w:t>
      </w:r>
      <w:proofErr w:type="spellEnd"/>
      <w:r>
        <w:rPr>
          <w:color w:val="000000"/>
          <w:sz w:val="22"/>
          <w:szCs w:val="22"/>
          <w:lang w:val="es-ES"/>
        </w:rPr>
        <w:t xml:space="preserve"> </w:t>
      </w:r>
      <w:proofErr w:type="spellStart"/>
      <w:r>
        <w:rPr>
          <w:color w:val="000000"/>
          <w:sz w:val="22"/>
          <w:szCs w:val="22"/>
          <w:lang w:val="es-ES"/>
        </w:rPr>
        <w:t>of</w:t>
      </w:r>
      <w:proofErr w:type="spellEnd"/>
      <w:r>
        <w:rPr>
          <w:color w:val="000000"/>
          <w:sz w:val="22"/>
          <w:szCs w:val="22"/>
          <w:lang w:val="es-ES"/>
        </w:rPr>
        <w:t xml:space="preserve"> </w:t>
      </w:r>
      <w:proofErr w:type="spellStart"/>
      <w:r>
        <w:rPr>
          <w:color w:val="000000"/>
          <w:sz w:val="22"/>
          <w:szCs w:val="22"/>
          <w:lang w:val="es-ES"/>
        </w:rPr>
        <w:t>it</w:t>
      </w:r>
      <w:proofErr w:type="spellEnd"/>
      <w:r>
        <w:rPr>
          <w:color w:val="000000"/>
          <w:sz w:val="22"/>
          <w:szCs w:val="22"/>
          <w:lang w:val="es-ES"/>
        </w:rPr>
        <w:t>.</w:t>
      </w:r>
    </w:p>
    <w:p w14:paraId="6EA5F0BE" w14:textId="77777777" w:rsidR="00E255F4" w:rsidRDefault="00000000">
      <w:pPr>
        <w:pStyle w:val="Prrafodelista"/>
        <w:numPr>
          <w:ilvl w:val="3"/>
          <w:numId w:val="4"/>
        </w:numPr>
        <w:tabs>
          <w:tab w:val="left" w:pos="-720"/>
          <w:tab w:val="left" w:pos="0"/>
          <w:tab w:val="left" w:pos="851"/>
          <w:tab w:val="left" w:pos="1276"/>
        </w:tabs>
        <w:spacing w:before="120" w:after="120"/>
        <w:ind w:left="851" w:hanging="851"/>
        <w:jc w:val="both"/>
        <w:rPr>
          <w:color w:val="000000"/>
          <w:sz w:val="22"/>
          <w:szCs w:val="22"/>
          <w:lang w:val="es-ES"/>
        </w:rPr>
      </w:pPr>
      <w:r>
        <w:rPr>
          <w:color w:val="000000"/>
          <w:sz w:val="22"/>
          <w:szCs w:val="22"/>
          <w:lang w:val="es-ES"/>
        </w:rPr>
        <w:t xml:space="preserve">The actual </w:t>
      </w:r>
      <w:proofErr w:type="spellStart"/>
      <w:r>
        <w:rPr>
          <w:color w:val="000000"/>
          <w:sz w:val="22"/>
          <w:szCs w:val="22"/>
          <w:lang w:val="es-ES"/>
        </w:rPr>
        <w:t>or</w:t>
      </w:r>
      <w:proofErr w:type="spellEnd"/>
      <w:r>
        <w:rPr>
          <w:color w:val="000000"/>
          <w:sz w:val="22"/>
          <w:szCs w:val="22"/>
          <w:lang w:val="es-ES"/>
        </w:rPr>
        <w:t xml:space="preserve"> </w:t>
      </w:r>
      <w:proofErr w:type="spellStart"/>
      <w:r>
        <w:rPr>
          <w:color w:val="000000"/>
          <w:sz w:val="22"/>
          <w:szCs w:val="22"/>
          <w:lang w:val="es-ES"/>
        </w:rPr>
        <w:t>apparent</w:t>
      </w:r>
      <w:proofErr w:type="spellEnd"/>
      <w:r>
        <w:rPr>
          <w:color w:val="000000"/>
          <w:sz w:val="22"/>
          <w:szCs w:val="22"/>
          <w:lang w:val="es-ES"/>
        </w:rPr>
        <w:t xml:space="preserve"> </w:t>
      </w:r>
      <w:proofErr w:type="spellStart"/>
      <w:r>
        <w:rPr>
          <w:color w:val="000000"/>
          <w:sz w:val="22"/>
          <w:szCs w:val="22"/>
          <w:lang w:val="es-ES"/>
        </w:rPr>
        <w:t>height</w:t>
      </w:r>
      <w:proofErr w:type="spellEnd"/>
      <w:r>
        <w:rPr>
          <w:color w:val="000000"/>
          <w:sz w:val="22"/>
          <w:szCs w:val="22"/>
          <w:lang w:val="es-ES"/>
        </w:rPr>
        <w:t xml:space="preserve"> </w:t>
      </w:r>
      <w:proofErr w:type="spellStart"/>
      <w:r>
        <w:rPr>
          <w:color w:val="000000"/>
          <w:sz w:val="22"/>
          <w:szCs w:val="22"/>
          <w:lang w:val="es-ES"/>
        </w:rPr>
        <w:t>of</w:t>
      </w:r>
      <w:proofErr w:type="spellEnd"/>
      <w:r>
        <w:rPr>
          <w:color w:val="000000"/>
          <w:sz w:val="22"/>
          <w:szCs w:val="22"/>
          <w:lang w:val="es-ES"/>
        </w:rPr>
        <w:t xml:space="preserve"> </w:t>
      </w:r>
      <w:proofErr w:type="spellStart"/>
      <w:r>
        <w:rPr>
          <w:color w:val="000000"/>
          <w:sz w:val="22"/>
          <w:szCs w:val="22"/>
          <w:lang w:val="es-ES"/>
        </w:rPr>
        <w:t>the</w:t>
      </w:r>
      <w:proofErr w:type="spellEnd"/>
      <w:r>
        <w:rPr>
          <w:color w:val="000000"/>
          <w:sz w:val="22"/>
          <w:szCs w:val="22"/>
          <w:lang w:val="es-ES"/>
        </w:rPr>
        <w:t xml:space="preserve"> </w:t>
      </w:r>
      <w:proofErr w:type="spellStart"/>
      <w:r>
        <w:rPr>
          <w:color w:val="000000"/>
          <w:sz w:val="22"/>
          <w:szCs w:val="22"/>
          <w:lang w:val="es-ES"/>
        </w:rPr>
        <w:t>aligned</w:t>
      </w:r>
      <w:proofErr w:type="spellEnd"/>
      <w:r>
        <w:rPr>
          <w:color w:val="000000"/>
          <w:sz w:val="22"/>
          <w:szCs w:val="22"/>
          <w:lang w:val="es-ES"/>
        </w:rPr>
        <w:t xml:space="preserve"> figures </w:t>
      </w:r>
      <w:proofErr w:type="spellStart"/>
      <w:r>
        <w:rPr>
          <w:color w:val="000000"/>
          <w:sz w:val="22"/>
          <w:szCs w:val="22"/>
          <w:lang w:val="es-ES"/>
        </w:rPr>
        <w:t>shall</w:t>
      </w:r>
      <w:proofErr w:type="spellEnd"/>
      <w:r>
        <w:rPr>
          <w:color w:val="000000"/>
          <w:sz w:val="22"/>
          <w:szCs w:val="22"/>
          <w:lang w:val="es-ES"/>
        </w:rPr>
        <w:t xml:space="preserve"> </w:t>
      </w:r>
      <w:proofErr w:type="spellStart"/>
      <w:r>
        <w:rPr>
          <w:color w:val="000000"/>
          <w:sz w:val="22"/>
          <w:szCs w:val="22"/>
          <w:lang w:val="es-ES"/>
        </w:rPr>
        <w:t>not</w:t>
      </w:r>
      <w:proofErr w:type="spellEnd"/>
      <w:r>
        <w:rPr>
          <w:color w:val="000000"/>
          <w:sz w:val="22"/>
          <w:szCs w:val="22"/>
          <w:lang w:val="es-ES"/>
        </w:rPr>
        <w:t xml:space="preserve"> be </w:t>
      </w:r>
      <w:proofErr w:type="spellStart"/>
      <w:r>
        <w:rPr>
          <w:color w:val="000000"/>
          <w:sz w:val="22"/>
          <w:szCs w:val="22"/>
          <w:lang w:val="es-ES"/>
        </w:rPr>
        <w:t>less</w:t>
      </w:r>
      <w:proofErr w:type="spellEnd"/>
      <w:r>
        <w:rPr>
          <w:color w:val="000000"/>
          <w:sz w:val="22"/>
          <w:szCs w:val="22"/>
          <w:lang w:val="es-ES"/>
        </w:rPr>
        <w:t xml:space="preserve"> </w:t>
      </w:r>
      <w:proofErr w:type="spellStart"/>
      <w:r>
        <w:rPr>
          <w:color w:val="000000"/>
          <w:sz w:val="22"/>
          <w:szCs w:val="22"/>
          <w:lang w:val="es-ES"/>
        </w:rPr>
        <w:t>than</w:t>
      </w:r>
      <w:proofErr w:type="spellEnd"/>
      <w:r>
        <w:rPr>
          <w:color w:val="000000"/>
          <w:sz w:val="22"/>
          <w:szCs w:val="22"/>
          <w:lang w:val="es-ES"/>
        </w:rPr>
        <w:t xml:space="preserve"> 4.0 </w:t>
      </w:r>
      <w:proofErr w:type="spellStart"/>
      <w:r>
        <w:rPr>
          <w:color w:val="000000"/>
          <w:sz w:val="22"/>
          <w:szCs w:val="22"/>
          <w:lang w:val="es-ES"/>
        </w:rPr>
        <w:t>mm.</w:t>
      </w:r>
      <w:proofErr w:type="spellEnd"/>
    </w:p>
    <w:p w14:paraId="6F11A0FB" w14:textId="77777777" w:rsidR="00E255F4" w:rsidRDefault="00000000">
      <w:pPr>
        <w:pStyle w:val="Prrafodelista"/>
        <w:numPr>
          <w:ilvl w:val="3"/>
          <w:numId w:val="4"/>
        </w:numPr>
        <w:tabs>
          <w:tab w:val="left" w:pos="-720"/>
          <w:tab w:val="left" w:pos="0"/>
          <w:tab w:val="left" w:pos="851"/>
          <w:tab w:val="left" w:pos="1276"/>
        </w:tabs>
        <w:spacing w:before="120" w:after="120"/>
        <w:ind w:left="851" w:hanging="851"/>
        <w:jc w:val="both"/>
        <w:rPr>
          <w:color w:val="000000"/>
          <w:sz w:val="22"/>
          <w:szCs w:val="22"/>
          <w:lang w:val="es-ES"/>
        </w:rPr>
      </w:pPr>
      <w:r>
        <w:rPr>
          <w:sz w:val="22"/>
          <w:szCs w:val="22"/>
          <w:lang w:val="es-ES"/>
        </w:rPr>
        <w:t xml:space="preserve">For </w:t>
      </w:r>
      <w:proofErr w:type="spellStart"/>
      <w:r>
        <w:rPr>
          <w:sz w:val="22"/>
          <w:szCs w:val="22"/>
          <w:lang w:val="es-ES"/>
        </w:rPr>
        <w:t>ultrasonic</w:t>
      </w:r>
      <w:proofErr w:type="spellEnd"/>
      <w:r>
        <w:rPr>
          <w:sz w:val="22"/>
          <w:szCs w:val="22"/>
          <w:lang w:val="es-ES"/>
        </w:rPr>
        <w:t xml:space="preserve"> </w:t>
      </w:r>
      <w:proofErr w:type="spellStart"/>
      <w:r>
        <w:rPr>
          <w:sz w:val="22"/>
          <w:szCs w:val="22"/>
          <w:lang w:val="es-ES"/>
        </w:rPr>
        <w:t>flow</w:t>
      </w:r>
      <w:proofErr w:type="spellEnd"/>
      <w:r>
        <w:rPr>
          <w:sz w:val="22"/>
          <w:szCs w:val="22"/>
          <w:lang w:val="es-ES"/>
        </w:rPr>
        <w:t xml:space="preserve"> </w:t>
      </w:r>
      <w:proofErr w:type="spellStart"/>
      <w:r>
        <w:rPr>
          <w:sz w:val="22"/>
          <w:szCs w:val="22"/>
          <w:lang w:val="es-ES"/>
        </w:rPr>
        <w:t>meters</w:t>
      </w:r>
      <w:proofErr w:type="spellEnd"/>
      <w:r>
        <w:rPr>
          <w:sz w:val="22"/>
          <w:szCs w:val="22"/>
          <w:lang w:val="es-ES"/>
        </w:rPr>
        <w:t xml:space="preserve">, </w:t>
      </w:r>
      <w:proofErr w:type="spellStart"/>
      <w:r>
        <w:rPr>
          <w:sz w:val="22"/>
          <w:szCs w:val="22"/>
          <w:lang w:val="es-ES"/>
        </w:rPr>
        <w:t>the</w:t>
      </w:r>
      <w:proofErr w:type="spellEnd"/>
      <w:r>
        <w:rPr>
          <w:sz w:val="22"/>
          <w:szCs w:val="22"/>
          <w:lang w:val="es-ES"/>
        </w:rPr>
        <w:t xml:space="preserve"> </w:t>
      </w:r>
      <w:proofErr w:type="spellStart"/>
      <w:r>
        <w:rPr>
          <w:sz w:val="22"/>
          <w:szCs w:val="22"/>
          <w:lang w:val="es-ES"/>
        </w:rPr>
        <w:t>smallest</w:t>
      </w:r>
      <w:proofErr w:type="spellEnd"/>
      <w:r>
        <w:rPr>
          <w:sz w:val="22"/>
          <w:szCs w:val="22"/>
          <w:lang w:val="es-ES"/>
        </w:rPr>
        <w:t xml:space="preserve"> </w:t>
      </w:r>
      <w:proofErr w:type="spellStart"/>
      <w:r>
        <w:rPr>
          <w:sz w:val="22"/>
          <w:szCs w:val="22"/>
          <w:lang w:val="es-ES"/>
        </w:rPr>
        <w:t>precision</w:t>
      </w:r>
      <w:proofErr w:type="spellEnd"/>
      <w:r>
        <w:rPr>
          <w:sz w:val="22"/>
          <w:szCs w:val="22"/>
          <w:lang w:val="es-ES"/>
        </w:rPr>
        <w:t xml:space="preserve"> </w:t>
      </w:r>
      <w:proofErr w:type="spellStart"/>
      <w:r>
        <w:rPr>
          <w:sz w:val="22"/>
          <w:szCs w:val="22"/>
          <w:lang w:val="es-ES"/>
        </w:rPr>
        <w:t>graduation</w:t>
      </w:r>
      <w:proofErr w:type="spellEnd"/>
      <w:r>
        <w:rPr>
          <w:sz w:val="22"/>
          <w:szCs w:val="22"/>
          <w:lang w:val="es-ES"/>
        </w:rPr>
        <w:t xml:space="preserve"> </w:t>
      </w:r>
      <w:proofErr w:type="spellStart"/>
      <w:r>
        <w:rPr>
          <w:sz w:val="22"/>
          <w:szCs w:val="22"/>
          <w:lang w:val="es-ES"/>
        </w:rPr>
        <w:t>of</w:t>
      </w:r>
      <w:proofErr w:type="spellEnd"/>
      <w:r>
        <w:rPr>
          <w:sz w:val="22"/>
          <w:szCs w:val="22"/>
          <w:lang w:val="es-ES"/>
        </w:rPr>
        <w:t xml:space="preserve"> </w:t>
      </w:r>
      <w:proofErr w:type="spellStart"/>
      <w:r>
        <w:rPr>
          <w:sz w:val="22"/>
          <w:szCs w:val="22"/>
          <w:lang w:val="es-ES"/>
        </w:rPr>
        <w:t>the</w:t>
      </w:r>
      <w:proofErr w:type="spellEnd"/>
      <w:r>
        <w:rPr>
          <w:sz w:val="22"/>
          <w:szCs w:val="22"/>
          <w:lang w:val="es-ES"/>
        </w:rPr>
        <w:t xml:space="preserve"> meter </w:t>
      </w:r>
      <w:proofErr w:type="spellStart"/>
      <w:r>
        <w:rPr>
          <w:sz w:val="22"/>
          <w:szCs w:val="22"/>
          <w:lang w:val="es-ES"/>
        </w:rPr>
        <w:t>must</w:t>
      </w:r>
      <w:proofErr w:type="spellEnd"/>
      <w:r>
        <w:rPr>
          <w:sz w:val="22"/>
          <w:szCs w:val="22"/>
          <w:lang w:val="es-ES"/>
        </w:rPr>
        <w:t xml:space="preserve"> be </w:t>
      </w:r>
      <w:proofErr w:type="spellStart"/>
      <w:r>
        <w:rPr>
          <w:sz w:val="22"/>
          <w:szCs w:val="22"/>
          <w:lang w:val="es-ES"/>
        </w:rPr>
        <w:t>less</w:t>
      </w:r>
      <w:proofErr w:type="spellEnd"/>
      <w:r>
        <w:rPr>
          <w:sz w:val="22"/>
          <w:szCs w:val="22"/>
          <w:lang w:val="es-ES"/>
        </w:rPr>
        <w:t xml:space="preserve"> </w:t>
      </w:r>
      <w:proofErr w:type="spellStart"/>
      <w:r>
        <w:rPr>
          <w:sz w:val="22"/>
          <w:szCs w:val="22"/>
          <w:lang w:val="es-ES"/>
        </w:rPr>
        <w:t>than</w:t>
      </w:r>
      <w:proofErr w:type="spellEnd"/>
      <w:r>
        <w:rPr>
          <w:sz w:val="22"/>
          <w:szCs w:val="22"/>
          <w:lang w:val="es-ES"/>
        </w:rPr>
        <w:t xml:space="preserve"> </w:t>
      </w:r>
      <w:proofErr w:type="spellStart"/>
      <w:r>
        <w:rPr>
          <w:sz w:val="22"/>
          <w:szCs w:val="22"/>
          <w:lang w:val="es-ES"/>
        </w:rPr>
        <w:t>or</w:t>
      </w:r>
      <w:proofErr w:type="spellEnd"/>
      <w:r>
        <w:rPr>
          <w:sz w:val="22"/>
          <w:szCs w:val="22"/>
          <w:lang w:val="es-ES"/>
        </w:rPr>
        <w:t xml:space="preserve"> </w:t>
      </w:r>
      <w:proofErr w:type="spellStart"/>
      <w:r>
        <w:rPr>
          <w:sz w:val="22"/>
          <w:szCs w:val="22"/>
          <w:lang w:val="es-ES"/>
        </w:rPr>
        <w:t>equal</w:t>
      </w:r>
      <w:proofErr w:type="spellEnd"/>
      <w:r>
        <w:rPr>
          <w:sz w:val="22"/>
          <w:szCs w:val="22"/>
          <w:lang w:val="es-ES"/>
        </w:rPr>
        <w:t xml:space="preserve"> </w:t>
      </w:r>
      <w:proofErr w:type="spellStart"/>
      <w:r>
        <w:rPr>
          <w:sz w:val="22"/>
          <w:szCs w:val="22"/>
          <w:lang w:val="es-ES"/>
        </w:rPr>
        <w:t>to</w:t>
      </w:r>
      <w:proofErr w:type="spellEnd"/>
      <w:r>
        <w:rPr>
          <w:sz w:val="22"/>
          <w:szCs w:val="22"/>
          <w:lang w:val="es-ES"/>
        </w:rPr>
        <w:t xml:space="preserve"> 0.001 m³ and </w:t>
      </w:r>
      <w:proofErr w:type="spellStart"/>
      <w:r>
        <w:rPr>
          <w:sz w:val="22"/>
          <w:szCs w:val="22"/>
          <w:lang w:val="es-ES"/>
        </w:rPr>
        <w:t>the</w:t>
      </w:r>
      <w:proofErr w:type="spellEnd"/>
      <w:r>
        <w:rPr>
          <w:sz w:val="22"/>
          <w:szCs w:val="22"/>
          <w:lang w:val="es-ES"/>
        </w:rPr>
        <w:t xml:space="preserve"> </w:t>
      </w:r>
      <w:proofErr w:type="spellStart"/>
      <w:r>
        <w:rPr>
          <w:sz w:val="22"/>
          <w:szCs w:val="22"/>
          <w:lang w:val="es-ES"/>
        </w:rPr>
        <w:t>largest</w:t>
      </w:r>
      <w:proofErr w:type="spellEnd"/>
      <w:r>
        <w:rPr>
          <w:sz w:val="22"/>
          <w:szCs w:val="22"/>
          <w:lang w:val="es-ES"/>
        </w:rPr>
        <w:t xml:space="preserve"> </w:t>
      </w:r>
      <w:proofErr w:type="spellStart"/>
      <w:r>
        <w:rPr>
          <w:sz w:val="22"/>
          <w:szCs w:val="22"/>
          <w:lang w:val="es-ES"/>
        </w:rPr>
        <w:t>indicating</w:t>
      </w:r>
      <w:proofErr w:type="spellEnd"/>
      <w:r>
        <w:rPr>
          <w:sz w:val="22"/>
          <w:szCs w:val="22"/>
          <w:lang w:val="es-ES"/>
        </w:rPr>
        <w:t xml:space="preserve"> </w:t>
      </w:r>
      <w:proofErr w:type="spellStart"/>
      <w:r>
        <w:rPr>
          <w:sz w:val="22"/>
          <w:szCs w:val="22"/>
          <w:lang w:val="es-ES"/>
        </w:rPr>
        <w:t>capacity</w:t>
      </w:r>
      <w:proofErr w:type="spellEnd"/>
      <w:r>
        <w:rPr>
          <w:sz w:val="22"/>
          <w:szCs w:val="22"/>
          <w:lang w:val="es-ES"/>
        </w:rPr>
        <w:t xml:space="preserve"> </w:t>
      </w:r>
      <w:proofErr w:type="spellStart"/>
      <w:r>
        <w:rPr>
          <w:sz w:val="22"/>
          <w:szCs w:val="22"/>
          <w:lang w:val="es-ES"/>
        </w:rPr>
        <w:t>must</w:t>
      </w:r>
      <w:proofErr w:type="spellEnd"/>
      <w:r>
        <w:rPr>
          <w:sz w:val="22"/>
          <w:szCs w:val="22"/>
          <w:lang w:val="es-ES"/>
        </w:rPr>
        <w:t xml:space="preserve"> be </w:t>
      </w:r>
      <w:proofErr w:type="spellStart"/>
      <w:r>
        <w:rPr>
          <w:sz w:val="22"/>
          <w:szCs w:val="22"/>
          <w:lang w:val="es-ES"/>
        </w:rPr>
        <w:t>equal</w:t>
      </w:r>
      <w:proofErr w:type="spellEnd"/>
      <w:r>
        <w:rPr>
          <w:sz w:val="22"/>
          <w:szCs w:val="22"/>
          <w:lang w:val="es-ES"/>
        </w:rPr>
        <w:t xml:space="preserve"> </w:t>
      </w:r>
      <w:proofErr w:type="spellStart"/>
      <w:r>
        <w:rPr>
          <w:sz w:val="22"/>
          <w:szCs w:val="22"/>
          <w:lang w:val="es-ES"/>
        </w:rPr>
        <w:t>to</w:t>
      </w:r>
      <w:proofErr w:type="spellEnd"/>
      <w:r>
        <w:rPr>
          <w:sz w:val="22"/>
          <w:szCs w:val="22"/>
          <w:lang w:val="es-ES"/>
        </w:rPr>
        <w:t xml:space="preserve"> </w:t>
      </w:r>
      <w:proofErr w:type="spellStart"/>
      <w:r>
        <w:rPr>
          <w:sz w:val="22"/>
          <w:szCs w:val="22"/>
          <w:lang w:val="es-ES"/>
        </w:rPr>
        <w:t>or</w:t>
      </w:r>
      <w:proofErr w:type="spellEnd"/>
      <w:r>
        <w:rPr>
          <w:sz w:val="22"/>
          <w:szCs w:val="22"/>
          <w:lang w:val="es-ES"/>
        </w:rPr>
        <w:t xml:space="preserve"> </w:t>
      </w:r>
      <w:proofErr w:type="spellStart"/>
      <w:r>
        <w:rPr>
          <w:sz w:val="22"/>
          <w:szCs w:val="22"/>
          <w:lang w:val="es-ES"/>
        </w:rPr>
        <w:t>greater</w:t>
      </w:r>
      <w:proofErr w:type="spellEnd"/>
      <w:r>
        <w:rPr>
          <w:sz w:val="22"/>
          <w:szCs w:val="22"/>
          <w:lang w:val="es-ES"/>
        </w:rPr>
        <w:t xml:space="preserve"> </w:t>
      </w:r>
      <w:proofErr w:type="spellStart"/>
      <w:r>
        <w:rPr>
          <w:sz w:val="22"/>
          <w:szCs w:val="22"/>
          <w:lang w:val="es-ES"/>
        </w:rPr>
        <w:t>than</w:t>
      </w:r>
      <w:proofErr w:type="spellEnd"/>
      <w:r>
        <w:rPr>
          <w:sz w:val="22"/>
          <w:szCs w:val="22"/>
          <w:lang w:val="es-ES"/>
        </w:rPr>
        <w:t xml:space="preserve"> 99,999 m³. For </w:t>
      </w:r>
      <w:proofErr w:type="spellStart"/>
      <w:r>
        <w:rPr>
          <w:sz w:val="22"/>
          <w:szCs w:val="22"/>
          <w:lang w:val="es-ES"/>
        </w:rPr>
        <w:t>the</w:t>
      </w:r>
      <w:proofErr w:type="spellEnd"/>
      <w:r>
        <w:rPr>
          <w:sz w:val="22"/>
          <w:szCs w:val="22"/>
          <w:lang w:val="es-ES"/>
        </w:rPr>
        <w:t xml:space="preserve"> </w:t>
      </w:r>
      <w:proofErr w:type="spellStart"/>
      <w:r>
        <w:rPr>
          <w:sz w:val="22"/>
          <w:szCs w:val="22"/>
          <w:lang w:val="es-ES"/>
        </w:rPr>
        <w:t>latter</w:t>
      </w:r>
      <w:proofErr w:type="spellEnd"/>
      <w:r>
        <w:rPr>
          <w:sz w:val="22"/>
          <w:szCs w:val="22"/>
          <w:lang w:val="es-ES"/>
        </w:rPr>
        <w:t xml:space="preserve"> </w:t>
      </w:r>
      <w:proofErr w:type="spellStart"/>
      <w:r>
        <w:rPr>
          <w:sz w:val="22"/>
          <w:szCs w:val="22"/>
          <w:lang w:val="es-ES"/>
        </w:rPr>
        <w:t>type</w:t>
      </w:r>
      <w:proofErr w:type="spellEnd"/>
      <w:r>
        <w:rPr>
          <w:sz w:val="22"/>
          <w:szCs w:val="22"/>
          <w:lang w:val="es-ES"/>
        </w:rPr>
        <w:t xml:space="preserve"> </w:t>
      </w:r>
      <w:proofErr w:type="spellStart"/>
      <w:r>
        <w:rPr>
          <w:sz w:val="22"/>
          <w:szCs w:val="22"/>
          <w:lang w:val="es-ES"/>
        </w:rPr>
        <w:t>of</w:t>
      </w:r>
      <w:proofErr w:type="spellEnd"/>
      <w:r>
        <w:rPr>
          <w:sz w:val="22"/>
          <w:szCs w:val="22"/>
          <w:lang w:val="es-ES"/>
        </w:rPr>
        <w:t xml:space="preserve"> meter, </w:t>
      </w:r>
      <w:proofErr w:type="spellStart"/>
      <w:r>
        <w:rPr>
          <w:sz w:val="22"/>
          <w:szCs w:val="22"/>
          <w:lang w:val="es-ES"/>
        </w:rPr>
        <w:t>it</w:t>
      </w:r>
      <w:proofErr w:type="spellEnd"/>
      <w:r>
        <w:rPr>
          <w:sz w:val="22"/>
          <w:szCs w:val="22"/>
          <w:lang w:val="es-ES"/>
        </w:rPr>
        <w:t xml:space="preserve"> </w:t>
      </w:r>
      <w:proofErr w:type="spellStart"/>
      <w:r>
        <w:rPr>
          <w:sz w:val="22"/>
          <w:szCs w:val="22"/>
          <w:lang w:val="es-ES"/>
        </w:rPr>
        <w:t>must</w:t>
      </w:r>
      <w:proofErr w:type="spellEnd"/>
      <w:r>
        <w:rPr>
          <w:sz w:val="22"/>
          <w:szCs w:val="22"/>
          <w:lang w:val="es-ES"/>
        </w:rPr>
        <w:t xml:space="preserve"> </w:t>
      </w:r>
      <w:proofErr w:type="spellStart"/>
      <w:r>
        <w:rPr>
          <w:sz w:val="22"/>
          <w:szCs w:val="22"/>
          <w:lang w:val="es-ES"/>
        </w:rPr>
        <w:t>have</w:t>
      </w:r>
      <w:proofErr w:type="spellEnd"/>
      <w:r>
        <w:rPr>
          <w:sz w:val="22"/>
          <w:szCs w:val="22"/>
          <w:lang w:val="es-ES"/>
        </w:rPr>
        <w:t xml:space="preserve"> </w:t>
      </w:r>
      <w:proofErr w:type="spellStart"/>
      <w:r>
        <w:rPr>
          <w:sz w:val="22"/>
          <w:szCs w:val="22"/>
          <w:lang w:val="es-ES"/>
        </w:rPr>
        <w:t>the</w:t>
      </w:r>
      <w:proofErr w:type="spellEnd"/>
      <w:r>
        <w:rPr>
          <w:sz w:val="22"/>
          <w:szCs w:val="22"/>
          <w:lang w:val="es-ES"/>
        </w:rPr>
        <w:t xml:space="preserve"> </w:t>
      </w:r>
      <w:proofErr w:type="spellStart"/>
      <w:r>
        <w:rPr>
          <w:sz w:val="22"/>
          <w:szCs w:val="22"/>
          <w:lang w:val="es-ES"/>
        </w:rPr>
        <w:t>option</w:t>
      </w:r>
      <w:proofErr w:type="spellEnd"/>
      <w:r>
        <w:rPr>
          <w:sz w:val="22"/>
          <w:szCs w:val="22"/>
          <w:lang w:val="es-ES"/>
        </w:rPr>
        <w:t xml:space="preserve"> </w:t>
      </w:r>
      <w:proofErr w:type="spellStart"/>
      <w:r>
        <w:rPr>
          <w:sz w:val="22"/>
          <w:szCs w:val="22"/>
          <w:lang w:val="es-ES"/>
        </w:rPr>
        <w:t>to</w:t>
      </w:r>
      <w:proofErr w:type="spellEnd"/>
      <w:r>
        <w:rPr>
          <w:sz w:val="22"/>
          <w:szCs w:val="22"/>
          <w:lang w:val="es-ES"/>
        </w:rPr>
        <w:t xml:space="preserve"> </w:t>
      </w:r>
      <w:proofErr w:type="spellStart"/>
      <w:r>
        <w:rPr>
          <w:sz w:val="22"/>
          <w:szCs w:val="22"/>
          <w:lang w:val="es-ES"/>
        </w:rPr>
        <w:t>display</w:t>
      </w:r>
      <w:proofErr w:type="spellEnd"/>
      <w:r>
        <w:rPr>
          <w:sz w:val="22"/>
          <w:szCs w:val="22"/>
          <w:lang w:val="es-ES"/>
        </w:rPr>
        <w:t xml:space="preserve"> a </w:t>
      </w:r>
      <w:proofErr w:type="spellStart"/>
      <w:r>
        <w:rPr>
          <w:sz w:val="22"/>
          <w:szCs w:val="22"/>
          <w:lang w:val="es-ES"/>
        </w:rPr>
        <w:t>higher</w:t>
      </w:r>
      <w:proofErr w:type="spellEnd"/>
      <w:r>
        <w:rPr>
          <w:sz w:val="22"/>
          <w:szCs w:val="22"/>
          <w:lang w:val="es-ES"/>
        </w:rPr>
        <w:t xml:space="preserve"> </w:t>
      </w:r>
      <w:proofErr w:type="spellStart"/>
      <w:r>
        <w:rPr>
          <w:sz w:val="22"/>
          <w:szCs w:val="22"/>
          <w:lang w:val="es-ES"/>
        </w:rPr>
        <w:t>reading</w:t>
      </w:r>
      <w:proofErr w:type="spellEnd"/>
      <w:r>
        <w:rPr>
          <w:sz w:val="22"/>
          <w:szCs w:val="22"/>
          <w:lang w:val="es-ES"/>
        </w:rPr>
        <w:t xml:space="preserve"> </w:t>
      </w:r>
      <w:proofErr w:type="spellStart"/>
      <w:r>
        <w:rPr>
          <w:sz w:val="22"/>
          <w:szCs w:val="22"/>
          <w:lang w:val="es-ES"/>
        </w:rPr>
        <w:t>precision</w:t>
      </w:r>
      <w:proofErr w:type="spellEnd"/>
      <w:r>
        <w:rPr>
          <w:sz w:val="22"/>
          <w:szCs w:val="22"/>
          <w:lang w:val="es-ES"/>
        </w:rPr>
        <w:t xml:space="preserve"> (0.00001 m³) </w:t>
      </w:r>
      <w:proofErr w:type="spellStart"/>
      <w:r>
        <w:rPr>
          <w:sz w:val="22"/>
          <w:szCs w:val="22"/>
          <w:lang w:val="es-ES"/>
        </w:rPr>
        <w:t>for</w:t>
      </w:r>
      <w:proofErr w:type="spellEnd"/>
      <w:r>
        <w:rPr>
          <w:sz w:val="22"/>
          <w:szCs w:val="22"/>
          <w:lang w:val="es-ES"/>
        </w:rPr>
        <w:t xml:space="preserve"> </w:t>
      </w:r>
      <w:proofErr w:type="spellStart"/>
      <w:r>
        <w:rPr>
          <w:sz w:val="22"/>
          <w:szCs w:val="22"/>
          <w:lang w:val="es-ES"/>
        </w:rPr>
        <w:t>the</w:t>
      </w:r>
      <w:proofErr w:type="spellEnd"/>
      <w:r>
        <w:rPr>
          <w:sz w:val="22"/>
          <w:szCs w:val="22"/>
          <w:lang w:val="es-ES"/>
        </w:rPr>
        <w:t xml:space="preserve"> </w:t>
      </w:r>
      <w:proofErr w:type="spellStart"/>
      <w:r>
        <w:rPr>
          <w:sz w:val="22"/>
          <w:szCs w:val="22"/>
          <w:lang w:val="es-ES"/>
        </w:rPr>
        <w:t>purpose</w:t>
      </w:r>
      <w:proofErr w:type="spellEnd"/>
      <w:r>
        <w:rPr>
          <w:sz w:val="22"/>
          <w:szCs w:val="22"/>
          <w:lang w:val="es-ES"/>
        </w:rPr>
        <w:t xml:space="preserve"> </w:t>
      </w:r>
      <w:proofErr w:type="spellStart"/>
      <w:r>
        <w:rPr>
          <w:sz w:val="22"/>
          <w:szCs w:val="22"/>
          <w:lang w:val="es-ES"/>
        </w:rPr>
        <w:t>of</w:t>
      </w:r>
      <w:proofErr w:type="spellEnd"/>
      <w:r>
        <w:rPr>
          <w:sz w:val="22"/>
          <w:szCs w:val="22"/>
          <w:lang w:val="es-ES"/>
        </w:rPr>
        <w:t xml:space="preserve"> </w:t>
      </w:r>
      <w:proofErr w:type="spellStart"/>
      <w:r>
        <w:rPr>
          <w:sz w:val="22"/>
          <w:szCs w:val="22"/>
          <w:lang w:val="es-ES"/>
        </w:rPr>
        <w:t>conducting</w:t>
      </w:r>
      <w:proofErr w:type="spellEnd"/>
      <w:r>
        <w:rPr>
          <w:sz w:val="22"/>
          <w:szCs w:val="22"/>
          <w:lang w:val="es-ES"/>
        </w:rPr>
        <w:t xml:space="preserve"> </w:t>
      </w:r>
      <w:proofErr w:type="spellStart"/>
      <w:r>
        <w:rPr>
          <w:sz w:val="22"/>
          <w:szCs w:val="22"/>
          <w:lang w:val="es-ES"/>
        </w:rPr>
        <w:t>laboratory</w:t>
      </w:r>
      <w:proofErr w:type="spellEnd"/>
      <w:r>
        <w:rPr>
          <w:sz w:val="22"/>
          <w:szCs w:val="22"/>
          <w:lang w:val="es-ES"/>
        </w:rPr>
        <w:t xml:space="preserve"> and </w:t>
      </w:r>
      <w:proofErr w:type="spellStart"/>
      <w:r>
        <w:rPr>
          <w:sz w:val="22"/>
          <w:szCs w:val="22"/>
          <w:lang w:val="es-ES"/>
        </w:rPr>
        <w:t>on</w:t>
      </w:r>
      <w:proofErr w:type="spellEnd"/>
      <w:r>
        <w:rPr>
          <w:sz w:val="22"/>
          <w:szCs w:val="22"/>
          <w:lang w:val="es-ES"/>
        </w:rPr>
        <w:t xml:space="preserve">-site </w:t>
      </w:r>
      <w:proofErr w:type="spellStart"/>
      <w:r>
        <w:rPr>
          <w:sz w:val="22"/>
          <w:szCs w:val="22"/>
          <w:lang w:val="es-ES"/>
        </w:rPr>
        <w:t>tests</w:t>
      </w:r>
      <w:proofErr w:type="spellEnd"/>
      <w:r>
        <w:rPr>
          <w:sz w:val="22"/>
          <w:szCs w:val="22"/>
          <w:lang w:val="es-ES"/>
        </w:rPr>
        <w:t>.</w:t>
      </w:r>
    </w:p>
    <w:p w14:paraId="1259B60C" w14:textId="77777777" w:rsidR="00E255F4" w:rsidRDefault="00000000">
      <w:pPr>
        <w:pStyle w:val="Prrafodelista"/>
        <w:numPr>
          <w:ilvl w:val="3"/>
          <w:numId w:val="4"/>
        </w:numPr>
        <w:tabs>
          <w:tab w:val="left" w:pos="-720"/>
          <w:tab w:val="left" w:pos="0"/>
          <w:tab w:val="left" w:pos="851"/>
          <w:tab w:val="left" w:pos="1276"/>
        </w:tabs>
        <w:spacing w:before="120" w:after="120"/>
        <w:ind w:left="851" w:hanging="851"/>
        <w:jc w:val="both"/>
        <w:rPr>
          <w:color w:val="000000"/>
          <w:sz w:val="22"/>
          <w:szCs w:val="22"/>
          <w:lang w:val="es-ES"/>
        </w:rPr>
      </w:pPr>
      <w:r>
        <w:rPr>
          <w:color w:val="000000"/>
          <w:sz w:val="22"/>
          <w:szCs w:val="22"/>
          <w:lang w:val="es-ES"/>
        </w:rPr>
        <w:t xml:space="preserve">The </w:t>
      </w:r>
      <w:proofErr w:type="spellStart"/>
      <w:r>
        <w:rPr>
          <w:color w:val="000000"/>
          <w:sz w:val="22"/>
          <w:szCs w:val="22"/>
          <w:lang w:val="es-ES"/>
        </w:rPr>
        <w:t>orientation</w:t>
      </w:r>
      <w:proofErr w:type="spellEnd"/>
      <w:r>
        <w:rPr>
          <w:color w:val="000000"/>
          <w:sz w:val="22"/>
          <w:szCs w:val="22"/>
          <w:lang w:val="es-ES"/>
        </w:rPr>
        <w:t xml:space="preserve"> </w:t>
      </w:r>
      <w:proofErr w:type="spellStart"/>
      <w:r>
        <w:rPr>
          <w:color w:val="000000"/>
          <w:sz w:val="22"/>
          <w:szCs w:val="22"/>
          <w:lang w:val="es-ES"/>
        </w:rPr>
        <w:t>of</w:t>
      </w:r>
      <w:proofErr w:type="spellEnd"/>
      <w:r>
        <w:rPr>
          <w:color w:val="000000"/>
          <w:sz w:val="22"/>
          <w:szCs w:val="22"/>
          <w:lang w:val="es-ES"/>
        </w:rPr>
        <w:t xml:space="preserve"> </w:t>
      </w:r>
      <w:proofErr w:type="spellStart"/>
      <w:r>
        <w:rPr>
          <w:color w:val="000000"/>
          <w:sz w:val="22"/>
          <w:szCs w:val="22"/>
          <w:lang w:val="es-ES"/>
        </w:rPr>
        <w:t>the</w:t>
      </w:r>
      <w:proofErr w:type="spellEnd"/>
      <w:r>
        <w:rPr>
          <w:color w:val="000000"/>
          <w:sz w:val="22"/>
          <w:szCs w:val="22"/>
          <w:lang w:val="es-ES"/>
        </w:rPr>
        <w:t xml:space="preserve"> </w:t>
      </w:r>
      <w:proofErr w:type="spellStart"/>
      <w:r>
        <w:rPr>
          <w:color w:val="000000"/>
          <w:sz w:val="22"/>
          <w:szCs w:val="22"/>
          <w:lang w:val="es-ES"/>
        </w:rPr>
        <w:t>indicating</w:t>
      </w:r>
      <w:proofErr w:type="spellEnd"/>
      <w:r>
        <w:rPr>
          <w:color w:val="000000"/>
          <w:sz w:val="22"/>
          <w:szCs w:val="22"/>
          <w:lang w:val="es-ES"/>
        </w:rPr>
        <w:t xml:space="preserve"> </w:t>
      </w:r>
      <w:proofErr w:type="spellStart"/>
      <w:r>
        <w:rPr>
          <w:color w:val="000000"/>
          <w:sz w:val="22"/>
          <w:szCs w:val="22"/>
          <w:lang w:val="es-ES"/>
        </w:rPr>
        <w:t>device</w:t>
      </w:r>
      <w:proofErr w:type="spellEnd"/>
      <w:r>
        <w:rPr>
          <w:color w:val="000000"/>
          <w:sz w:val="22"/>
          <w:szCs w:val="22"/>
          <w:lang w:val="es-ES"/>
        </w:rPr>
        <w:t xml:space="preserve"> </w:t>
      </w:r>
      <w:proofErr w:type="spellStart"/>
      <w:r>
        <w:rPr>
          <w:color w:val="000000"/>
          <w:sz w:val="22"/>
          <w:szCs w:val="22"/>
          <w:lang w:val="es-ES"/>
        </w:rPr>
        <w:t>must</w:t>
      </w:r>
      <w:proofErr w:type="spellEnd"/>
      <w:r>
        <w:rPr>
          <w:color w:val="000000"/>
          <w:sz w:val="22"/>
          <w:szCs w:val="22"/>
          <w:lang w:val="es-ES"/>
        </w:rPr>
        <w:t xml:space="preserve"> be </w:t>
      </w:r>
      <w:proofErr w:type="spellStart"/>
      <w:r>
        <w:rPr>
          <w:color w:val="000000"/>
          <w:sz w:val="22"/>
          <w:szCs w:val="22"/>
          <w:lang w:val="es-ES"/>
        </w:rPr>
        <w:t>such</w:t>
      </w:r>
      <w:proofErr w:type="spellEnd"/>
      <w:r>
        <w:rPr>
          <w:color w:val="000000"/>
          <w:sz w:val="22"/>
          <w:szCs w:val="22"/>
          <w:lang w:val="es-ES"/>
        </w:rPr>
        <w:t xml:space="preserve"> </w:t>
      </w:r>
      <w:proofErr w:type="spellStart"/>
      <w:r>
        <w:rPr>
          <w:color w:val="000000"/>
          <w:sz w:val="22"/>
          <w:szCs w:val="22"/>
          <w:lang w:val="es-ES"/>
        </w:rPr>
        <w:t>that</w:t>
      </w:r>
      <w:proofErr w:type="spellEnd"/>
      <w:r>
        <w:rPr>
          <w:color w:val="000000"/>
          <w:sz w:val="22"/>
          <w:szCs w:val="22"/>
          <w:lang w:val="es-ES"/>
        </w:rPr>
        <w:t>:</w:t>
      </w:r>
    </w:p>
    <w:p w14:paraId="16A99D63" w14:textId="77777777" w:rsidR="00E255F4" w:rsidRDefault="00000000">
      <w:pPr>
        <w:numPr>
          <w:ilvl w:val="0"/>
          <w:numId w:val="21"/>
        </w:numPr>
        <w:tabs>
          <w:tab w:val="left" w:pos="-720"/>
          <w:tab w:val="left" w:pos="0"/>
          <w:tab w:val="left" w:pos="709"/>
          <w:tab w:val="left" w:pos="993"/>
        </w:tabs>
        <w:spacing w:before="120" w:after="120"/>
        <w:jc w:val="both"/>
        <w:rPr>
          <w:color w:val="000000"/>
          <w:sz w:val="22"/>
          <w:szCs w:val="22"/>
          <w:lang w:val="es-ES"/>
        </w:rPr>
      </w:pPr>
      <w:r>
        <w:rPr>
          <w:color w:val="000000"/>
          <w:sz w:val="22"/>
          <w:szCs w:val="22"/>
          <w:lang w:val="es-ES"/>
        </w:rPr>
        <w:t xml:space="preserve">The digital </w:t>
      </w:r>
      <w:proofErr w:type="spellStart"/>
      <w:r>
        <w:rPr>
          <w:color w:val="000000"/>
          <w:sz w:val="22"/>
          <w:szCs w:val="22"/>
          <w:lang w:val="es-ES"/>
        </w:rPr>
        <w:t>reading</w:t>
      </w:r>
      <w:proofErr w:type="spellEnd"/>
      <w:r>
        <w:rPr>
          <w:color w:val="000000"/>
          <w:sz w:val="22"/>
          <w:szCs w:val="22"/>
          <w:lang w:val="es-ES"/>
        </w:rPr>
        <w:t xml:space="preserve"> </w:t>
      </w:r>
      <w:proofErr w:type="spellStart"/>
      <w:r>
        <w:rPr>
          <w:color w:val="000000"/>
          <w:sz w:val="22"/>
          <w:szCs w:val="22"/>
          <w:lang w:val="es-ES"/>
        </w:rPr>
        <w:t>should</w:t>
      </w:r>
      <w:proofErr w:type="spellEnd"/>
      <w:r>
        <w:rPr>
          <w:color w:val="000000"/>
          <w:sz w:val="22"/>
          <w:szCs w:val="22"/>
          <w:lang w:val="es-ES"/>
        </w:rPr>
        <w:t xml:space="preserve"> be perpendicular </w:t>
      </w:r>
      <w:proofErr w:type="spellStart"/>
      <w:r>
        <w:rPr>
          <w:color w:val="000000"/>
          <w:sz w:val="22"/>
          <w:szCs w:val="22"/>
          <w:lang w:val="es-ES"/>
        </w:rPr>
        <w:t>to</w:t>
      </w:r>
      <w:proofErr w:type="spellEnd"/>
      <w:r>
        <w:rPr>
          <w:color w:val="000000"/>
          <w:sz w:val="22"/>
          <w:szCs w:val="22"/>
          <w:lang w:val="es-ES"/>
        </w:rPr>
        <w:t xml:space="preserve"> </w:t>
      </w:r>
      <w:proofErr w:type="spellStart"/>
      <w:r>
        <w:rPr>
          <w:color w:val="000000"/>
          <w:sz w:val="22"/>
          <w:szCs w:val="22"/>
          <w:lang w:val="es-ES"/>
        </w:rPr>
        <w:t>the</w:t>
      </w:r>
      <w:proofErr w:type="spellEnd"/>
      <w:r>
        <w:rPr>
          <w:color w:val="000000"/>
          <w:sz w:val="22"/>
          <w:szCs w:val="22"/>
          <w:lang w:val="es-ES"/>
        </w:rPr>
        <w:t xml:space="preserve"> </w:t>
      </w:r>
      <w:proofErr w:type="spellStart"/>
      <w:r>
        <w:rPr>
          <w:color w:val="000000"/>
          <w:sz w:val="22"/>
          <w:szCs w:val="22"/>
          <w:lang w:val="es-ES"/>
        </w:rPr>
        <w:t>direction</w:t>
      </w:r>
      <w:proofErr w:type="spellEnd"/>
      <w:r>
        <w:rPr>
          <w:color w:val="000000"/>
          <w:sz w:val="22"/>
          <w:szCs w:val="22"/>
          <w:lang w:val="es-ES"/>
        </w:rPr>
        <w:t xml:space="preserve"> </w:t>
      </w:r>
      <w:proofErr w:type="spellStart"/>
      <w:r>
        <w:rPr>
          <w:color w:val="000000"/>
          <w:sz w:val="22"/>
          <w:szCs w:val="22"/>
          <w:lang w:val="es-ES"/>
        </w:rPr>
        <w:t>of</w:t>
      </w:r>
      <w:proofErr w:type="spellEnd"/>
      <w:r>
        <w:rPr>
          <w:color w:val="000000"/>
          <w:sz w:val="22"/>
          <w:szCs w:val="22"/>
          <w:lang w:val="es-ES"/>
        </w:rPr>
        <w:t xml:space="preserve"> </w:t>
      </w:r>
      <w:proofErr w:type="spellStart"/>
      <w:r>
        <w:rPr>
          <w:color w:val="000000"/>
          <w:sz w:val="22"/>
          <w:szCs w:val="22"/>
          <w:lang w:val="es-ES"/>
        </w:rPr>
        <w:t>the</w:t>
      </w:r>
      <w:proofErr w:type="spellEnd"/>
      <w:r>
        <w:rPr>
          <w:color w:val="000000"/>
          <w:sz w:val="22"/>
          <w:szCs w:val="22"/>
          <w:lang w:val="es-ES"/>
        </w:rPr>
        <w:t xml:space="preserve"> </w:t>
      </w:r>
      <w:proofErr w:type="spellStart"/>
      <w:r>
        <w:rPr>
          <w:color w:val="000000"/>
          <w:sz w:val="22"/>
          <w:szCs w:val="22"/>
          <w:lang w:val="es-ES"/>
        </w:rPr>
        <w:t>flow</w:t>
      </w:r>
      <w:proofErr w:type="spellEnd"/>
      <w:r>
        <w:rPr>
          <w:color w:val="000000"/>
          <w:sz w:val="22"/>
          <w:szCs w:val="22"/>
          <w:lang w:val="es-ES"/>
        </w:rPr>
        <w:t>.</w:t>
      </w:r>
    </w:p>
    <w:p w14:paraId="0407AD32" w14:textId="77777777" w:rsidR="00E255F4" w:rsidRDefault="00000000">
      <w:pPr>
        <w:numPr>
          <w:ilvl w:val="0"/>
          <w:numId w:val="21"/>
        </w:numPr>
        <w:tabs>
          <w:tab w:val="left" w:pos="-720"/>
          <w:tab w:val="left" w:pos="0"/>
          <w:tab w:val="left" w:pos="709"/>
          <w:tab w:val="left" w:pos="993"/>
        </w:tabs>
        <w:spacing w:before="120" w:after="120"/>
        <w:jc w:val="both"/>
      </w:pPr>
      <w:r>
        <w:rPr>
          <w:color w:val="000000"/>
          <w:sz w:val="22"/>
          <w:szCs w:val="22"/>
          <w:lang w:val="es-ES"/>
        </w:rPr>
        <w:t xml:space="preserve">The digital </w:t>
      </w:r>
      <w:proofErr w:type="spellStart"/>
      <w:r>
        <w:rPr>
          <w:color w:val="000000"/>
          <w:sz w:val="22"/>
          <w:szCs w:val="22"/>
          <w:lang w:val="es-ES"/>
        </w:rPr>
        <w:t>reading</w:t>
      </w:r>
      <w:proofErr w:type="spellEnd"/>
      <w:r>
        <w:rPr>
          <w:color w:val="000000"/>
          <w:sz w:val="22"/>
          <w:szCs w:val="22"/>
          <w:lang w:val="es-ES"/>
        </w:rPr>
        <w:t xml:space="preserve"> </w:t>
      </w:r>
      <w:proofErr w:type="spellStart"/>
      <w:r>
        <w:rPr>
          <w:color w:val="000000"/>
          <w:sz w:val="22"/>
          <w:szCs w:val="22"/>
          <w:lang w:val="es-ES"/>
        </w:rPr>
        <w:t>must</w:t>
      </w:r>
      <w:proofErr w:type="spellEnd"/>
      <w:r>
        <w:rPr>
          <w:color w:val="000000"/>
          <w:sz w:val="22"/>
          <w:szCs w:val="22"/>
          <w:lang w:val="es-ES"/>
        </w:rPr>
        <w:t xml:space="preserve"> </w:t>
      </w:r>
      <w:proofErr w:type="spellStart"/>
      <w:r>
        <w:rPr>
          <w:color w:val="000000"/>
          <w:sz w:val="22"/>
          <w:szCs w:val="22"/>
          <w:lang w:val="es-ES"/>
        </w:rPr>
        <w:t>allow</w:t>
      </w:r>
      <w:proofErr w:type="spellEnd"/>
      <w:r>
        <w:rPr>
          <w:color w:val="000000"/>
          <w:sz w:val="22"/>
          <w:szCs w:val="22"/>
          <w:lang w:val="es-ES"/>
        </w:rPr>
        <w:t xml:space="preserve"> a </w:t>
      </w:r>
      <w:proofErr w:type="spellStart"/>
      <w:r>
        <w:rPr>
          <w:color w:val="000000"/>
          <w:sz w:val="22"/>
          <w:szCs w:val="22"/>
          <w:lang w:val="es-ES"/>
        </w:rPr>
        <w:t>direct</w:t>
      </w:r>
      <w:proofErr w:type="spellEnd"/>
      <w:r>
        <w:rPr>
          <w:color w:val="000000"/>
          <w:sz w:val="22"/>
          <w:szCs w:val="22"/>
          <w:lang w:val="es-ES"/>
        </w:rPr>
        <w:t xml:space="preserve"> (</w:t>
      </w:r>
      <w:proofErr w:type="spellStart"/>
      <w:r>
        <w:rPr>
          <w:color w:val="000000"/>
          <w:sz w:val="22"/>
          <w:szCs w:val="22"/>
          <w:lang w:val="es-ES"/>
        </w:rPr>
        <w:t>not</w:t>
      </w:r>
      <w:proofErr w:type="spellEnd"/>
      <w:r>
        <w:rPr>
          <w:color w:val="000000"/>
          <w:sz w:val="22"/>
          <w:szCs w:val="22"/>
          <w:lang w:val="es-ES"/>
        </w:rPr>
        <w:t xml:space="preserve"> </w:t>
      </w:r>
      <w:proofErr w:type="spellStart"/>
      <w:r>
        <w:rPr>
          <w:color w:val="000000"/>
          <w:sz w:val="22"/>
          <w:szCs w:val="22"/>
          <w:lang w:val="es-ES"/>
        </w:rPr>
        <w:t>inverted</w:t>
      </w:r>
      <w:proofErr w:type="spellEnd"/>
      <w:r>
        <w:rPr>
          <w:color w:val="000000"/>
          <w:sz w:val="22"/>
          <w:szCs w:val="22"/>
          <w:lang w:val="es-ES"/>
        </w:rPr>
        <w:t xml:space="preserve">) </w:t>
      </w:r>
      <w:proofErr w:type="spellStart"/>
      <w:r>
        <w:rPr>
          <w:color w:val="000000"/>
          <w:sz w:val="22"/>
          <w:szCs w:val="22"/>
          <w:lang w:val="es-ES"/>
        </w:rPr>
        <w:t>reading</w:t>
      </w:r>
      <w:proofErr w:type="spellEnd"/>
      <w:r>
        <w:rPr>
          <w:color w:val="000000"/>
          <w:sz w:val="22"/>
          <w:szCs w:val="22"/>
          <w:lang w:val="es-ES"/>
        </w:rPr>
        <w:t xml:space="preserve"> </w:t>
      </w:r>
      <w:proofErr w:type="spellStart"/>
      <w:r>
        <w:rPr>
          <w:color w:val="000000"/>
          <w:sz w:val="22"/>
          <w:szCs w:val="22"/>
          <w:lang w:val="es-ES"/>
        </w:rPr>
        <w:t>for</w:t>
      </w:r>
      <w:proofErr w:type="spellEnd"/>
      <w:r>
        <w:rPr>
          <w:color w:val="000000"/>
          <w:sz w:val="22"/>
          <w:szCs w:val="22"/>
          <w:lang w:val="es-ES"/>
        </w:rPr>
        <w:t xml:space="preserve"> a </w:t>
      </w:r>
      <w:proofErr w:type="spellStart"/>
      <w:r>
        <w:rPr>
          <w:color w:val="000000"/>
          <w:sz w:val="22"/>
          <w:szCs w:val="22"/>
          <w:lang w:val="es-ES"/>
        </w:rPr>
        <w:t>person</w:t>
      </w:r>
      <w:proofErr w:type="spellEnd"/>
      <w:r>
        <w:rPr>
          <w:color w:val="000000"/>
          <w:sz w:val="22"/>
          <w:szCs w:val="22"/>
          <w:lang w:val="es-ES"/>
        </w:rPr>
        <w:t xml:space="preserve"> </w:t>
      </w:r>
      <w:proofErr w:type="spellStart"/>
      <w:r>
        <w:rPr>
          <w:color w:val="000000"/>
          <w:sz w:val="22"/>
          <w:szCs w:val="22"/>
          <w:lang w:val="es-ES"/>
        </w:rPr>
        <w:t>located</w:t>
      </w:r>
      <w:proofErr w:type="spellEnd"/>
      <w:r>
        <w:rPr>
          <w:color w:val="000000"/>
          <w:sz w:val="22"/>
          <w:szCs w:val="22"/>
          <w:lang w:val="es-ES"/>
        </w:rPr>
        <w:t xml:space="preserve"> </w:t>
      </w:r>
      <w:proofErr w:type="spellStart"/>
      <w:r>
        <w:rPr>
          <w:color w:val="000000"/>
          <w:sz w:val="22"/>
          <w:szCs w:val="22"/>
          <w:lang w:val="es-ES"/>
        </w:rPr>
        <w:t>upstream</w:t>
      </w:r>
      <w:proofErr w:type="spellEnd"/>
      <w:r>
        <w:rPr>
          <w:color w:val="000000"/>
          <w:sz w:val="22"/>
          <w:szCs w:val="22"/>
          <w:lang w:val="es-ES"/>
        </w:rPr>
        <w:t xml:space="preserve"> </w:t>
      </w:r>
      <w:proofErr w:type="spellStart"/>
      <w:r>
        <w:rPr>
          <w:color w:val="000000"/>
          <w:sz w:val="22"/>
          <w:szCs w:val="22"/>
          <w:lang w:val="es-ES"/>
        </w:rPr>
        <w:t>of</w:t>
      </w:r>
      <w:proofErr w:type="spellEnd"/>
      <w:r>
        <w:rPr>
          <w:color w:val="000000"/>
          <w:sz w:val="22"/>
          <w:szCs w:val="22"/>
          <w:lang w:val="es-ES"/>
        </w:rPr>
        <w:t xml:space="preserve"> </w:t>
      </w:r>
      <w:proofErr w:type="spellStart"/>
      <w:r>
        <w:rPr>
          <w:color w:val="000000"/>
          <w:sz w:val="22"/>
          <w:szCs w:val="22"/>
          <w:lang w:val="es-ES"/>
        </w:rPr>
        <w:t>the</w:t>
      </w:r>
      <w:proofErr w:type="spellEnd"/>
      <w:r>
        <w:rPr>
          <w:color w:val="000000"/>
          <w:sz w:val="22"/>
          <w:szCs w:val="22"/>
          <w:lang w:val="es-ES"/>
        </w:rPr>
        <w:t xml:space="preserve"> meter.</w:t>
      </w:r>
    </w:p>
    <w:p w14:paraId="358BFC8E" w14:textId="77777777" w:rsidR="00E255F4" w:rsidRDefault="00000000">
      <w:pPr>
        <w:pStyle w:val="Prrafodelista"/>
        <w:numPr>
          <w:ilvl w:val="2"/>
          <w:numId w:val="4"/>
        </w:numPr>
        <w:spacing w:before="240" w:after="120"/>
        <w:ind w:left="709" w:hanging="709"/>
        <w:rPr>
          <w:b/>
          <w:bCs/>
          <w:iCs/>
          <w:sz w:val="22"/>
          <w:szCs w:val="22"/>
          <w:lang w:val="es-ES"/>
        </w:rPr>
      </w:pPr>
      <w:r>
        <w:rPr>
          <w:b/>
          <w:bCs/>
          <w:iCs/>
          <w:sz w:val="22"/>
          <w:szCs w:val="22"/>
          <w:lang w:val="es-ES"/>
        </w:rPr>
        <w:t xml:space="preserve">Marking and </w:t>
      </w:r>
      <w:proofErr w:type="spellStart"/>
      <w:r>
        <w:rPr>
          <w:b/>
          <w:bCs/>
          <w:iCs/>
          <w:sz w:val="22"/>
          <w:szCs w:val="22"/>
          <w:lang w:val="es-ES"/>
        </w:rPr>
        <w:t>labeling</w:t>
      </w:r>
      <w:proofErr w:type="spellEnd"/>
      <w:r>
        <w:rPr>
          <w:b/>
          <w:bCs/>
          <w:iCs/>
          <w:sz w:val="22"/>
          <w:szCs w:val="22"/>
          <w:lang w:val="es-ES"/>
        </w:rPr>
        <w:t xml:space="preserve"> </w:t>
      </w:r>
      <w:proofErr w:type="spellStart"/>
      <w:r>
        <w:rPr>
          <w:b/>
          <w:bCs/>
          <w:iCs/>
          <w:sz w:val="22"/>
          <w:szCs w:val="22"/>
          <w:lang w:val="es-ES"/>
        </w:rPr>
        <w:t>of</w:t>
      </w:r>
      <w:proofErr w:type="spellEnd"/>
      <w:r>
        <w:rPr>
          <w:b/>
          <w:bCs/>
          <w:iCs/>
          <w:sz w:val="22"/>
          <w:szCs w:val="22"/>
          <w:lang w:val="es-ES"/>
        </w:rPr>
        <w:t xml:space="preserve"> </w:t>
      </w:r>
      <w:proofErr w:type="spellStart"/>
      <w:r>
        <w:rPr>
          <w:b/>
          <w:bCs/>
          <w:iCs/>
          <w:sz w:val="22"/>
          <w:szCs w:val="22"/>
          <w:lang w:val="es-ES"/>
        </w:rPr>
        <w:t>the</w:t>
      </w:r>
      <w:proofErr w:type="spellEnd"/>
      <w:r>
        <w:rPr>
          <w:b/>
          <w:bCs/>
          <w:iCs/>
          <w:sz w:val="22"/>
          <w:szCs w:val="22"/>
          <w:lang w:val="es-ES"/>
        </w:rPr>
        <w:t xml:space="preserve"> meter</w:t>
      </w:r>
    </w:p>
    <w:p w14:paraId="56649F90" w14:textId="77777777" w:rsidR="00E255F4" w:rsidRDefault="00000000">
      <w:pPr>
        <w:tabs>
          <w:tab w:val="left" w:pos="-720"/>
          <w:tab w:val="left" w:pos="0"/>
          <w:tab w:val="left" w:pos="993"/>
          <w:tab w:val="left" w:pos="1276"/>
        </w:tabs>
        <w:spacing w:after="120"/>
        <w:jc w:val="both"/>
        <w:rPr>
          <w:color w:val="000000"/>
          <w:sz w:val="22"/>
          <w:szCs w:val="22"/>
          <w:lang w:val="es-ES"/>
        </w:rPr>
      </w:pPr>
      <w:r>
        <w:rPr>
          <w:color w:val="000000"/>
          <w:sz w:val="22"/>
          <w:szCs w:val="22"/>
          <w:lang w:val="es-ES"/>
        </w:rPr>
        <w:t xml:space="preserve">In </w:t>
      </w:r>
      <w:proofErr w:type="spellStart"/>
      <w:r>
        <w:rPr>
          <w:color w:val="000000"/>
          <w:sz w:val="22"/>
          <w:szCs w:val="22"/>
          <w:lang w:val="es-ES"/>
        </w:rPr>
        <w:t>addition</w:t>
      </w:r>
      <w:proofErr w:type="spellEnd"/>
      <w:r>
        <w:rPr>
          <w:color w:val="000000"/>
          <w:sz w:val="22"/>
          <w:szCs w:val="22"/>
          <w:lang w:val="es-ES"/>
        </w:rPr>
        <w:t xml:space="preserve"> </w:t>
      </w:r>
      <w:proofErr w:type="spellStart"/>
      <w:r>
        <w:rPr>
          <w:color w:val="000000"/>
          <w:sz w:val="22"/>
          <w:szCs w:val="22"/>
          <w:lang w:val="es-ES"/>
        </w:rPr>
        <w:t>to</w:t>
      </w:r>
      <w:proofErr w:type="spellEnd"/>
      <w:r>
        <w:rPr>
          <w:color w:val="000000"/>
          <w:sz w:val="22"/>
          <w:szCs w:val="22"/>
          <w:lang w:val="es-ES"/>
        </w:rPr>
        <w:t xml:space="preserve"> </w:t>
      </w:r>
      <w:proofErr w:type="spellStart"/>
      <w:r>
        <w:rPr>
          <w:color w:val="000000"/>
          <w:sz w:val="22"/>
          <w:szCs w:val="22"/>
          <w:lang w:val="es-ES"/>
        </w:rPr>
        <w:t>the</w:t>
      </w:r>
      <w:proofErr w:type="spellEnd"/>
      <w:r>
        <w:rPr>
          <w:color w:val="000000"/>
          <w:sz w:val="22"/>
          <w:szCs w:val="22"/>
          <w:lang w:val="es-ES"/>
        </w:rPr>
        <w:t xml:space="preserve"> </w:t>
      </w:r>
      <w:proofErr w:type="spellStart"/>
      <w:r>
        <w:rPr>
          <w:color w:val="000000"/>
          <w:sz w:val="22"/>
          <w:szCs w:val="22"/>
          <w:lang w:val="es-ES"/>
        </w:rPr>
        <w:t>flow</w:t>
      </w:r>
      <w:proofErr w:type="spellEnd"/>
      <w:r>
        <w:rPr>
          <w:color w:val="000000"/>
          <w:sz w:val="22"/>
          <w:szCs w:val="22"/>
          <w:lang w:val="es-ES"/>
        </w:rPr>
        <w:t xml:space="preserve"> </w:t>
      </w:r>
      <w:proofErr w:type="spellStart"/>
      <w:r>
        <w:rPr>
          <w:color w:val="000000"/>
          <w:sz w:val="22"/>
          <w:szCs w:val="22"/>
          <w:lang w:val="es-ES"/>
        </w:rPr>
        <w:t>indication</w:t>
      </w:r>
      <w:proofErr w:type="spellEnd"/>
      <w:r>
        <w:rPr>
          <w:color w:val="000000"/>
          <w:sz w:val="22"/>
          <w:szCs w:val="22"/>
          <w:lang w:val="es-ES"/>
        </w:rPr>
        <w:t xml:space="preserve"> </w:t>
      </w:r>
      <w:proofErr w:type="spellStart"/>
      <w:r>
        <w:rPr>
          <w:color w:val="000000"/>
          <w:sz w:val="22"/>
          <w:szCs w:val="22"/>
          <w:lang w:val="es-ES"/>
        </w:rPr>
        <w:t>already</w:t>
      </w:r>
      <w:proofErr w:type="spellEnd"/>
      <w:r>
        <w:rPr>
          <w:color w:val="000000"/>
          <w:sz w:val="22"/>
          <w:szCs w:val="22"/>
          <w:lang w:val="es-ES"/>
        </w:rPr>
        <w:t xml:space="preserve"> </w:t>
      </w:r>
      <w:proofErr w:type="spellStart"/>
      <w:r>
        <w:rPr>
          <w:color w:val="000000"/>
          <w:sz w:val="22"/>
          <w:szCs w:val="22"/>
          <w:lang w:val="es-ES"/>
        </w:rPr>
        <w:t>stated</w:t>
      </w:r>
      <w:proofErr w:type="spellEnd"/>
      <w:r>
        <w:rPr>
          <w:color w:val="000000"/>
          <w:sz w:val="22"/>
          <w:szCs w:val="22"/>
          <w:lang w:val="es-ES"/>
        </w:rPr>
        <w:t xml:space="preserve">, </w:t>
      </w:r>
      <w:proofErr w:type="spellStart"/>
      <w:r>
        <w:rPr>
          <w:color w:val="000000"/>
          <w:sz w:val="22"/>
          <w:szCs w:val="22"/>
          <w:lang w:val="es-ES"/>
        </w:rPr>
        <w:t>the</w:t>
      </w:r>
      <w:proofErr w:type="spellEnd"/>
      <w:r>
        <w:rPr>
          <w:color w:val="000000"/>
          <w:sz w:val="22"/>
          <w:szCs w:val="22"/>
          <w:lang w:val="es-ES"/>
        </w:rPr>
        <w:t xml:space="preserve"> </w:t>
      </w:r>
      <w:proofErr w:type="spellStart"/>
      <w:r>
        <w:rPr>
          <w:color w:val="000000"/>
          <w:sz w:val="22"/>
          <w:szCs w:val="22"/>
          <w:lang w:val="es-ES"/>
        </w:rPr>
        <w:t>following</w:t>
      </w:r>
      <w:proofErr w:type="spellEnd"/>
      <w:r>
        <w:rPr>
          <w:color w:val="000000"/>
          <w:sz w:val="22"/>
          <w:szCs w:val="22"/>
          <w:lang w:val="es-ES"/>
        </w:rPr>
        <w:t xml:space="preserve"> </w:t>
      </w:r>
      <w:proofErr w:type="spellStart"/>
      <w:r>
        <w:rPr>
          <w:color w:val="000000"/>
          <w:sz w:val="22"/>
          <w:szCs w:val="22"/>
          <w:lang w:val="es-ES"/>
        </w:rPr>
        <w:t>indications</w:t>
      </w:r>
      <w:proofErr w:type="spellEnd"/>
      <w:r>
        <w:rPr>
          <w:color w:val="000000"/>
          <w:sz w:val="22"/>
          <w:szCs w:val="22"/>
          <w:lang w:val="es-ES"/>
        </w:rPr>
        <w:t xml:space="preserve"> </w:t>
      </w:r>
      <w:proofErr w:type="spellStart"/>
      <w:r>
        <w:rPr>
          <w:color w:val="000000"/>
          <w:sz w:val="22"/>
          <w:szCs w:val="22"/>
          <w:lang w:val="es-ES"/>
        </w:rPr>
        <w:t>must</w:t>
      </w:r>
      <w:proofErr w:type="spellEnd"/>
      <w:r>
        <w:rPr>
          <w:color w:val="000000"/>
          <w:sz w:val="22"/>
          <w:szCs w:val="22"/>
          <w:lang w:val="es-ES"/>
        </w:rPr>
        <w:t xml:space="preserve"> </w:t>
      </w:r>
      <w:proofErr w:type="spellStart"/>
      <w:r>
        <w:rPr>
          <w:color w:val="000000"/>
          <w:sz w:val="22"/>
          <w:szCs w:val="22"/>
          <w:lang w:val="es-ES"/>
        </w:rPr>
        <w:t>appear</w:t>
      </w:r>
      <w:proofErr w:type="spellEnd"/>
      <w:r>
        <w:rPr>
          <w:color w:val="000000"/>
          <w:sz w:val="22"/>
          <w:szCs w:val="22"/>
          <w:lang w:val="es-ES"/>
        </w:rPr>
        <w:t xml:space="preserve"> </w:t>
      </w:r>
      <w:proofErr w:type="spellStart"/>
      <w:r>
        <w:rPr>
          <w:color w:val="000000"/>
          <w:sz w:val="22"/>
          <w:szCs w:val="22"/>
          <w:lang w:val="es-ES"/>
        </w:rPr>
        <w:t>on</w:t>
      </w:r>
      <w:proofErr w:type="spellEnd"/>
      <w:r>
        <w:rPr>
          <w:color w:val="000000"/>
          <w:sz w:val="22"/>
          <w:szCs w:val="22"/>
          <w:lang w:val="es-ES"/>
        </w:rPr>
        <w:t xml:space="preserve"> </w:t>
      </w:r>
      <w:proofErr w:type="spellStart"/>
      <w:r>
        <w:rPr>
          <w:color w:val="000000"/>
          <w:sz w:val="22"/>
          <w:szCs w:val="22"/>
          <w:lang w:val="es-ES"/>
        </w:rPr>
        <w:t>the</w:t>
      </w:r>
      <w:proofErr w:type="spellEnd"/>
      <w:r>
        <w:rPr>
          <w:color w:val="000000"/>
          <w:sz w:val="22"/>
          <w:szCs w:val="22"/>
          <w:lang w:val="es-ES"/>
        </w:rPr>
        <w:t xml:space="preserve"> meter, </w:t>
      </w:r>
      <w:proofErr w:type="spellStart"/>
      <w:r>
        <w:rPr>
          <w:color w:val="000000"/>
          <w:sz w:val="22"/>
          <w:szCs w:val="22"/>
          <w:lang w:val="es-ES"/>
        </w:rPr>
        <w:t>either</w:t>
      </w:r>
      <w:proofErr w:type="spellEnd"/>
      <w:r>
        <w:rPr>
          <w:color w:val="000000"/>
          <w:sz w:val="22"/>
          <w:szCs w:val="22"/>
          <w:lang w:val="es-ES"/>
        </w:rPr>
        <w:t xml:space="preserve"> </w:t>
      </w:r>
      <w:proofErr w:type="spellStart"/>
      <w:r>
        <w:rPr>
          <w:color w:val="000000"/>
          <w:sz w:val="22"/>
          <w:szCs w:val="22"/>
          <w:lang w:val="es-ES"/>
        </w:rPr>
        <w:t>on</w:t>
      </w:r>
      <w:proofErr w:type="spellEnd"/>
      <w:r>
        <w:rPr>
          <w:color w:val="000000"/>
          <w:sz w:val="22"/>
          <w:szCs w:val="22"/>
          <w:lang w:val="es-ES"/>
        </w:rPr>
        <w:t xml:space="preserve"> </w:t>
      </w:r>
      <w:proofErr w:type="spellStart"/>
      <w:r>
        <w:rPr>
          <w:color w:val="000000"/>
          <w:sz w:val="22"/>
          <w:szCs w:val="22"/>
          <w:lang w:val="es-ES"/>
        </w:rPr>
        <w:t>the</w:t>
      </w:r>
      <w:proofErr w:type="spellEnd"/>
      <w:r>
        <w:rPr>
          <w:color w:val="000000"/>
          <w:sz w:val="22"/>
          <w:szCs w:val="22"/>
          <w:lang w:val="es-ES"/>
        </w:rPr>
        <w:t xml:space="preserve"> </w:t>
      </w:r>
      <w:proofErr w:type="spellStart"/>
      <w:r>
        <w:rPr>
          <w:color w:val="000000"/>
          <w:sz w:val="22"/>
          <w:szCs w:val="22"/>
          <w:lang w:val="es-ES"/>
        </w:rPr>
        <w:t>casing</w:t>
      </w:r>
      <w:proofErr w:type="spellEnd"/>
      <w:r>
        <w:rPr>
          <w:color w:val="000000"/>
          <w:sz w:val="22"/>
          <w:szCs w:val="22"/>
          <w:lang w:val="es-ES"/>
        </w:rPr>
        <w:t xml:space="preserve">, </w:t>
      </w:r>
      <w:proofErr w:type="spellStart"/>
      <w:r>
        <w:rPr>
          <w:color w:val="000000"/>
          <w:sz w:val="22"/>
          <w:szCs w:val="22"/>
          <w:lang w:val="es-ES"/>
        </w:rPr>
        <w:t>on</w:t>
      </w:r>
      <w:proofErr w:type="spellEnd"/>
      <w:r>
        <w:rPr>
          <w:color w:val="000000"/>
          <w:sz w:val="22"/>
          <w:szCs w:val="22"/>
          <w:lang w:val="es-ES"/>
        </w:rPr>
        <w:t xml:space="preserve"> </w:t>
      </w:r>
      <w:proofErr w:type="spellStart"/>
      <w:r>
        <w:rPr>
          <w:color w:val="000000"/>
          <w:sz w:val="22"/>
          <w:szCs w:val="22"/>
          <w:lang w:val="es-ES"/>
        </w:rPr>
        <w:t>the</w:t>
      </w:r>
      <w:proofErr w:type="spellEnd"/>
      <w:r>
        <w:rPr>
          <w:color w:val="000000"/>
          <w:sz w:val="22"/>
          <w:szCs w:val="22"/>
          <w:lang w:val="es-ES"/>
        </w:rPr>
        <w:t xml:space="preserve"> </w:t>
      </w:r>
      <w:proofErr w:type="spellStart"/>
      <w:r>
        <w:rPr>
          <w:color w:val="000000"/>
          <w:sz w:val="22"/>
          <w:szCs w:val="22"/>
          <w:lang w:val="es-ES"/>
        </w:rPr>
        <w:t>indicator</w:t>
      </w:r>
      <w:proofErr w:type="spellEnd"/>
      <w:r>
        <w:rPr>
          <w:color w:val="000000"/>
          <w:sz w:val="22"/>
          <w:szCs w:val="22"/>
          <w:lang w:val="es-ES"/>
        </w:rPr>
        <w:t xml:space="preserve"> </w:t>
      </w:r>
      <w:proofErr w:type="spellStart"/>
      <w:r>
        <w:rPr>
          <w:color w:val="000000"/>
          <w:sz w:val="22"/>
          <w:szCs w:val="22"/>
          <w:lang w:val="es-ES"/>
        </w:rPr>
        <w:t>device</w:t>
      </w:r>
      <w:proofErr w:type="spellEnd"/>
      <w:r>
        <w:rPr>
          <w:color w:val="000000"/>
          <w:sz w:val="22"/>
          <w:szCs w:val="22"/>
          <w:lang w:val="es-ES"/>
        </w:rPr>
        <w:t xml:space="preserve"> </w:t>
      </w:r>
      <w:proofErr w:type="spellStart"/>
      <w:r>
        <w:rPr>
          <w:color w:val="000000"/>
          <w:sz w:val="22"/>
          <w:szCs w:val="22"/>
          <w:lang w:val="es-ES"/>
        </w:rPr>
        <w:t>plate</w:t>
      </w:r>
      <w:proofErr w:type="spellEnd"/>
      <w:r>
        <w:rPr>
          <w:color w:val="000000"/>
          <w:sz w:val="22"/>
          <w:szCs w:val="22"/>
          <w:lang w:val="es-ES"/>
        </w:rPr>
        <w:t xml:space="preserve"> (dial), </w:t>
      </w:r>
      <w:proofErr w:type="spellStart"/>
      <w:r>
        <w:rPr>
          <w:color w:val="000000"/>
          <w:sz w:val="22"/>
          <w:szCs w:val="22"/>
          <w:lang w:val="es-ES"/>
        </w:rPr>
        <w:t>or</w:t>
      </w:r>
      <w:proofErr w:type="spellEnd"/>
      <w:r>
        <w:rPr>
          <w:color w:val="000000"/>
          <w:sz w:val="22"/>
          <w:szCs w:val="22"/>
          <w:lang w:val="es-ES"/>
        </w:rPr>
        <w:t xml:space="preserve"> </w:t>
      </w:r>
      <w:proofErr w:type="spellStart"/>
      <w:r>
        <w:rPr>
          <w:color w:val="000000"/>
          <w:sz w:val="22"/>
          <w:szCs w:val="22"/>
          <w:lang w:val="es-ES"/>
        </w:rPr>
        <w:t>on</w:t>
      </w:r>
      <w:proofErr w:type="spellEnd"/>
      <w:r>
        <w:rPr>
          <w:color w:val="000000"/>
          <w:sz w:val="22"/>
          <w:szCs w:val="22"/>
          <w:lang w:val="es-ES"/>
        </w:rPr>
        <w:t xml:space="preserve"> </w:t>
      </w:r>
      <w:proofErr w:type="spellStart"/>
      <w:r>
        <w:rPr>
          <w:color w:val="000000"/>
          <w:sz w:val="22"/>
          <w:szCs w:val="22"/>
          <w:lang w:val="es-ES"/>
        </w:rPr>
        <w:t>the</w:t>
      </w:r>
      <w:proofErr w:type="spellEnd"/>
      <w:r>
        <w:rPr>
          <w:color w:val="000000"/>
          <w:sz w:val="22"/>
          <w:szCs w:val="22"/>
          <w:lang w:val="es-ES"/>
        </w:rPr>
        <w:t xml:space="preserve"> ring </w:t>
      </w:r>
      <w:proofErr w:type="spellStart"/>
      <w:r>
        <w:rPr>
          <w:color w:val="000000"/>
          <w:sz w:val="22"/>
          <w:szCs w:val="22"/>
          <w:lang w:val="es-ES"/>
        </w:rPr>
        <w:t>of</w:t>
      </w:r>
      <w:r>
        <w:rPr>
          <w:sz w:val="22"/>
          <w:szCs w:val="22"/>
          <w:lang w:val="es-ES"/>
        </w:rPr>
        <w:t>close</w:t>
      </w:r>
      <w:proofErr w:type="spellEnd"/>
      <w:r>
        <w:rPr>
          <w:sz w:val="22"/>
          <w:szCs w:val="22"/>
          <w:lang w:val="es-ES"/>
        </w:rPr>
        <w:t xml:space="preserve"> </w:t>
      </w:r>
      <w:proofErr w:type="spellStart"/>
      <w:r>
        <w:rPr>
          <w:sz w:val="22"/>
          <w:szCs w:val="22"/>
          <w:lang w:val="es-ES"/>
        </w:rPr>
        <w:t>or</w:t>
      </w:r>
      <w:proofErr w:type="spellEnd"/>
      <w:r>
        <w:rPr>
          <w:sz w:val="22"/>
          <w:szCs w:val="22"/>
          <w:lang w:val="es-ES"/>
        </w:rPr>
        <w:t xml:space="preserve"> </w:t>
      </w:r>
      <w:proofErr w:type="spellStart"/>
      <w:r>
        <w:rPr>
          <w:sz w:val="22"/>
          <w:szCs w:val="22"/>
          <w:lang w:val="es-ES"/>
        </w:rPr>
        <w:t>on</w:t>
      </w:r>
      <w:proofErr w:type="spellEnd"/>
      <w:r>
        <w:rPr>
          <w:sz w:val="22"/>
          <w:szCs w:val="22"/>
          <w:lang w:val="es-ES"/>
        </w:rPr>
        <w:t xml:space="preserve"> </w:t>
      </w:r>
      <w:proofErr w:type="spellStart"/>
      <w:r>
        <w:rPr>
          <w:sz w:val="22"/>
          <w:szCs w:val="22"/>
          <w:lang w:val="es-ES"/>
        </w:rPr>
        <w:t>the</w:t>
      </w:r>
      <w:proofErr w:type="spellEnd"/>
      <w:r>
        <w:rPr>
          <w:sz w:val="22"/>
          <w:szCs w:val="22"/>
          <w:lang w:val="es-ES"/>
        </w:rPr>
        <w:t xml:space="preserve"> </w:t>
      </w:r>
      <w:proofErr w:type="spellStart"/>
      <w:r>
        <w:rPr>
          <w:sz w:val="22"/>
          <w:szCs w:val="22"/>
          <w:lang w:val="es-ES"/>
        </w:rPr>
        <w:t>display</w:t>
      </w:r>
      <w:proofErr w:type="spellEnd"/>
      <w:r>
        <w:rPr>
          <w:sz w:val="22"/>
          <w:szCs w:val="22"/>
          <w:lang w:val="es-ES"/>
        </w:rPr>
        <w:t>:</w:t>
      </w:r>
    </w:p>
    <w:p w14:paraId="6D4A3831" w14:textId="77777777" w:rsidR="00E255F4" w:rsidRDefault="00000000">
      <w:pPr>
        <w:numPr>
          <w:ilvl w:val="0"/>
          <w:numId w:val="5"/>
        </w:numPr>
        <w:tabs>
          <w:tab w:val="left" w:pos="-720"/>
          <w:tab w:val="left" w:pos="0"/>
          <w:tab w:val="left" w:pos="993"/>
        </w:tabs>
        <w:spacing w:before="120" w:after="120"/>
        <w:ind w:left="993" w:hanging="426"/>
        <w:jc w:val="both"/>
        <w:rPr>
          <w:color w:val="000000"/>
          <w:sz w:val="22"/>
          <w:szCs w:val="22"/>
          <w:lang w:val="es-ES"/>
        </w:rPr>
      </w:pPr>
      <w:r>
        <w:rPr>
          <w:color w:val="000000"/>
          <w:sz w:val="22"/>
          <w:szCs w:val="22"/>
          <w:lang w:val="es-ES"/>
        </w:rPr>
        <w:t xml:space="preserve">The meter serial </w:t>
      </w:r>
      <w:proofErr w:type="spellStart"/>
      <w:r>
        <w:rPr>
          <w:color w:val="000000"/>
          <w:sz w:val="22"/>
          <w:szCs w:val="22"/>
          <w:lang w:val="es-ES"/>
        </w:rPr>
        <w:t>number</w:t>
      </w:r>
      <w:proofErr w:type="spellEnd"/>
      <w:r>
        <w:rPr>
          <w:color w:val="000000"/>
          <w:sz w:val="22"/>
          <w:szCs w:val="22"/>
          <w:lang w:val="es-ES"/>
        </w:rPr>
        <w:t xml:space="preserve">, up </w:t>
      </w:r>
      <w:proofErr w:type="spellStart"/>
      <w:r>
        <w:rPr>
          <w:color w:val="000000"/>
          <w:sz w:val="22"/>
          <w:szCs w:val="22"/>
          <w:lang w:val="es-ES"/>
        </w:rPr>
        <w:t>to</w:t>
      </w:r>
      <w:proofErr w:type="spellEnd"/>
      <w:r>
        <w:rPr>
          <w:color w:val="000000"/>
          <w:sz w:val="22"/>
          <w:szCs w:val="22"/>
          <w:lang w:val="es-ES"/>
        </w:rPr>
        <w:t xml:space="preserve"> 9 </w:t>
      </w:r>
      <w:proofErr w:type="spellStart"/>
      <w:r>
        <w:rPr>
          <w:color w:val="000000"/>
          <w:sz w:val="22"/>
          <w:szCs w:val="22"/>
          <w:lang w:val="es-ES"/>
        </w:rPr>
        <w:t>digits</w:t>
      </w:r>
      <w:proofErr w:type="spellEnd"/>
      <w:r>
        <w:rPr>
          <w:color w:val="000000"/>
          <w:sz w:val="22"/>
          <w:szCs w:val="22"/>
          <w:lang w:val="es-ES"/>
        </w:rPr>
        <w:t xml:space="preserve">, </w:t>
      </w:r>
      <w:proofErr w:type="spellStart"/>
      <w:r>
        <w:rPr>
          <w:color w:val="000000"/>
          <w:sz w:val="22"/>
          <w:szCs w:val="22"/>
          <w:lang w:val="es-ES"/>
        </w:rPr>
        <w:t>according</w:t>
      </w:r>
      <w:proofErr w:type="spellEnd"/>
      <w:r>
        <w:rPr>
          <w:color w:val="000000"/>
          <w:sz w:val="22"/>
          <w:szCs w:val="22"/>
          <w:lang w:val="es-ES"/>
        </w:rPr>
        <w:t xml:space="preserve"> </w:t>
      </w:r>
      <w:proofErr w:type="spellStart"/>
      <w:r>
        <w:rPr>
          <w:color w:val="000000"/>
          <w:sz w:val="22"/>
          <w:szCs w:val="22"/>
          <w:lang w:val="es-ES"/>
        </w:rPr>
        <w:t>to</w:t>
      </w:r>
      <w:proofErr w:type="spellEnd"/>
      <w:r>
        <w:rPr>
          <w:color w:val="000000"/>
          <w:sz w:val="22"/>
          <w:szCs w:val="22"/>
          <w:lang w:val="es-ES"/>
        </w:rPr>
        <w:t xml:space="preserve"> </w:t>
      </w:r>
      <w:proofErr w:type="spellStart"/>
      <w:r>
        <w:rPr>
          <w:color w:val="000000"/>
          <w:sz w:val="22"/>
          <w:szCs w:val="22"/>
          <w:lang w:val="es-ES"/>
        </w:rPr>
        <w:t>the</w:t>
      </w:r>
      <w:proofErr w:type="spellEnd"/>
      <w:r>
        <w:rPr>
          <w:color w:val="000000"/>
          <w:sz w:val="22"/>
          <w:szCs w:val="22"/>
          <w:lang w:val="es-ES"/>
        </w:rPr>
        <w:t xml:space="preserve"> </w:t>
      </w:r>
      <w:proofErr w:type="spellStart"/>
      <w:r>
        <w:rPr>
          <w:color w:val="000000"/>
          <w:sz w:val="22"/>
          <w:szCs w:val="22"/>
          <w:lang w:val="es-ES"/>
        </w:rPr>
        <w:t>numbering</w:t>
      </w:r>
      <w:proofErr w:type="spellEnd"/>
      <w:r>
        <w:rPr>
          <w:color w:val="000000"/>
          <w:sz w:val="22"/>
          <w:szCs w:val="22"/>
          <w:lang w:val="es-ES"/>
        </w:rPr>
        <w:t xml:space="preserve"> </w:t>
      </w:r>
      <w:proofErr w:type="spellStart"/>
      <w:r>
        <w:rPr>
          <w:color w:val="000000"/>
          <w:sz w:val="22"/>
          <w:szCs w:val="22"/>
          <w:lang w:val="es-ES"/>
        </w:rPr>
        <w:t>system</w:t>
      </w:r>
      <w:proofErr w:type="spellEnd"/>
      <w:r>
        <w:rPr>
          <w:color w:val="000000"/>
          <w:sz w:val="22"/>
          <w:szCs w:val="22"/>
          <w:lang w:val="es-ES"/>
        </w:rPr>
        <w:t xml:space="preserve"> </w:t>
      </w:r>
      <w:proofErr w:type="spellStart"/>
      <w:r>
        <w:rPr>
          <w:color w:val="000000"/>
          <w:sz w:val="22"/>
          <w:szCs w:val="22"/>
          <w:lang w:val="es-ES"/>
        </w:rPr>
        <w:t>determined</w:t>
      </w:r>
      <w:proofErr w:type="spellEnd"/>
      <w:r>
        <w:rPr>
          <w:color w:val="000000"/>
          <w:sz w:val="22"/>
          <w:szCs w:val="22"/>
          <w:lang w:val="es-ES"/>
        </w:rPr>
        <w:t xml:space="preserve"> </w:t>
      </w:r>
      <w:proofErr w:type="spellStart"/>
      <w:r>
        <w:rPr>
          <w:color w:val="000000"/>
          <w:sz w:val="22"/>
          <w:szCs w:val="22"/>
          <w:lang w:val="es-ES"/>
        </w:rPr>
        <w:t>by</w:t>
      </w:r>
      <w:proofErr w:type="spellEnd"/>
      <w:r>
        <w:rPr>
          <w:color w:val="000000"/>
          <w:sz w:val="22"/>
          <w:szCs w:val="22"/>
          <w:lang w:val="es-ES"/>
        </w:rPr>
        <w:t xml:space="preserve"> OSE (3 </w:t>
      </w:r>
      <w:proofErr w:type="spellStart"/>
      <w:r>
        <w:rPr>
          <w:color w:val="000000"/>
          <w:sz w:val="22"/>
          <w:szCs w:val="22"/>
          <w:lang w:val="es-ES"/>
        </w:rPr>
        <w:t>letters</w:t>
      </w:r>
      <w:proofErr w:type="spellEnd"/>
      <w:r>
        <w:rPr>
          <w:color w:val="000000"/>
          <w:sz w:val="22"/>
          <w:szCs w:val="22"/>
          <w:lang w:val="es-ES"/>
        </w:rPr>
        <w:t xml:space="preserve"> and 6 </w:t>
      </w:r>
      <w:proofErr w:type="spellStart"/>
      <w:r>
        <w:rPr>
          <w:color w:val="000000"/>
          <w:sz w:val="22"/>
          <w:szCs w:val="22"/>
          <w:lang w:val="es-ES"/>
        </w:rPr>
        <w:t>numbers</w:t>
      </w:r>
      <w:proofErr w:type="spellEnd"/>
      <w:r>
        <w:rPr>
          <w:color w:val="000000"/>
          <w:sz w:val="22"/>
          <w:szCs w:val="22"/>
          <w:lang w:val="es-ES"/>
        </w:rPr>
        <w:t xml:space="preserve">), </w:t>
      </w:r>
      <w:proofErr w:type="spellStart"/>
      <w:r>
        <w:rPr>
          <w:color w:val="000000"/>
          <w:sz w:val="22"/>
          <w:szCs w:val="22"/>
          <w:lang w:val="es-ES"/>
        </w:rPr>
        <w:t>must</w:t>
      </w:r>
      <w:proofErr w:type="spellEnd"/>
      <w:r>
        <w:rPr>
          <w:color w:val="000000"/>
          <w:sz w:val="22"/>
          <w:szCs w:val="22"/>
          <w:lang w:val="es-ES"/>
        </w:rPr>
        <w:t xml:space="preserve"> be visible </w:t>
      </w:r>
      <w:proofErr w:type="spellStart"/>
      <w:r>
        <w:rPr>
          <w:color w:val="000000"/>
          <w:sz w:val="22"/>
          <w:szCs w:val="22"/>
          <w:lang w:val="es-ES"/>
        </w:rPr>
        <w:t>from</w:t>
      </w:r>
      <w:proofErr w:type="spellEnd"/>
      <w:r>
        <w:rPr>
          <w:color w:val="000000"/>
          <w:sz w:val="22"/>
          <w:szCs w:val="22"/>
          <w:lang w:val="es-ES"/>
        </w:rPr>
        <w:t xml:space="preserve"> </w:t>
      </w:r>
      <w:proofErr w:type="spellStart"/>
      <w:r>
        <w:rPr>
          <w:color w:val="000000"/>
          <w:sz w:val="22"/>
          <w:szCs w:val="22"/>
          <w:lang w:val="es-ES"/>
        </w:rPr>
        <w:t>the</w:t>
      </w:r>
      <w:proofErr w:type="spellEnd"/>
      <w:r>
        <w:rPr>
          <w:color w:val="000000"/>
          <w:sz w:val="22"/>
          <w:szCs w:val="22"/>
          <w:lang w:val="es-ES"/>
        </w:rPr>
        <w:t xml:space="preserve"> </w:t>
      </w:r>
      <w:proofErr w:type="spellStart"/>
      <w:r>
        <w:rPr>
          <w:color w:val="000000"/>
          <w:sz w:val="22"/>
          <w:szCs w:val="22"/>
          <w:lang w:val="es-ES"/>
        </w:rPr>
        <w:t>same</w:t>
      </w:r>
      <w:proofErr w:type="spellEnd"/>
      <w:r>
        <w:rPr>
          <w:color w:val="000000"/>
          <w:sz w:val="22"/>
          <w:szCs w:val="22"/>
          <w:lang w:val="es-ES"/>
        </w:rPr>
        <w:t xml:space="preserve"> angle as </w:t>
      </w:r>
      <w:proofErr w:type="spellStart"/>
      <w:r>
        <w:rPr>
          <w:color w:val="000000"/>
          <w:sz w:val="22"/>
          <w:szCs w:val="22"/>
          <w:lang w:val="es-ES"/>
        </w:rPr>
        <w:t>the</w:t>
      </w:r>
      <w:proofErr w:type="spellEnd"/>
      <w:r>
        <w:rPr>
          <w:color w:val="000000"/>
          <w:sz w:val="22"/>
          <w:szCs w:val="22"/>
          <w:lang w:val="es-ES"/>
        </w:rPr>
        <w:t xml:space="preserve"> </w:t>
      </w:r>
      <w:proofErr w:type="spellStart"/>
      <w:r>
        <w:rPr>
          <w:color w:val="000000"/>
          <w:sz w:val="22"/>
          <w:szCs w:val="22"/>
          <w:lang w:val="es-ES"/>
        </w:rPr>
        <w:t>reading</w:t>
      </w:r>
      <w:proofErr w:type="spellEnd"/>
      <w:r>
        <w:rPr>
          <w:color w:val="000000"/>
          <w:sz w:val="22"/>
          <w:szCs w:val="22"/>
          <w:lang w:val="es-ES"/>
        </w:rPr>
        <w:t xml:space="preserve">. </w:t>
      </w:r>
      <w:proofErr w:type="spellStart"/>
      <w:r>
        <w:rPr>
          <w:color w:val="000000"/>
          <w:sz w:val="22"/>
          <w:szCs w:val="22"/>
          <w:lang w:val="es-ES"/>
        </w:rPr>
        <w:t>Its</w:t>
      </w:r>
      <w:proofErr w:type="spellEnd"/>
      <w:r>
        <w:rPr>
          <w:color w:val="000000"/>
          <w:sz w:val="22"/>
          <w:szCs w:val="22"/>
          <w:lang w:val="es-ES"/>
        </w:rPr>
        <w:t xml:space="preserve"> </w:t>
      </w:r>
      <w:proofErr w:type="spellStart"/>
      <w:r>
        <w:rPr>
          <w:color w:val="000000"/>
          <w:sz w:val="22"/>
          <w:szCs w:val="22"/>
          <w:lang w:val="es-ES"/>
        </w:rPr>
        <w:t>placement</w:t>
      </w:r>
      <w:proofErr w:type="spellEnd"/>
      <w:r>
        <w:rPr>
          <w:color w:val="000000"/>
          <w:sz w:val="22"/>
          <w:szCs w:val="22"/>
          <w:lang w:val="es-ES"/>
        </w:rPr>
        <w:t xml:space="preserve"> </w:t>
      </w:r>
      <w:proofErr w:type="spellStart"/>
      <w:r>
        <w:rPr>
          <w:color w:val="000000"/>
          <w:sz w:val="22"/>
          <w:szCs w:val="22"/>
          <w:lang w:val="es-ES"/>
        </w:rPr>
        <w:t>on</w:t>
      </w:r>
      <w:proofErr w:type="spellEnd"/>
      <w:r>
        <w:rPr>
          <w:color w:val="000000"/>
          <w:sz w:val="22"/>
          <w:szCs w:val="22"/>
          <w:lang w:val="es-ES"/>
        </w:rPr>
        <w:t xml:space="preserve"> </w:t>
      </w:r>
      <w:proofErr w:type="spellStart"/>
      <w:r>
        <w:rPr>
          <w:color w:val="000000"/>
          <w:sz w:val="22"/>
          <w:szCs w:val="22"/>
          <w:lang w:val="es-ES"/>
        </w:rPr>
        <w:t>the</w:t>
      </w:r>
      <w:proofErr w:type="spellEnd"/>
      <w:r>
        <w:rPr>
          <w:color w:val="000000"/>
          <w:sz w:val="22"/>
          <w:szCs w:val="22"/>
          <w:lang w:val="es-ES"/>
        </w:rPr>
        <w:t xml:space="preserve"> dial </w:t>
      </w:r>
      <w:proofErr w:type="spellStart"/>
      <w:r>
        <w:rPr>
          <w:color w:val="000000"/>
          <w:sz w:val="22"/>
          <w:szCs w:val="22"/>
          <w:lang w:val="es-ES"/>
        </w:rPr>
        <w:t>is</w:t>
      </w:r>
      <w:proofErr w:type="spellEnd"/>
      <w:r>
        <w:rPr>
          <w:color w:val="000000"/>
          <w:sz w:val="22"/>
          <w:szCs w:val="22"/>
          <w:lang w:val="es-ES"/>
        </w:rPr>
        <w:t xml:space="preserve"> </w:t>
      </w:r>
      <w:proofErr w:type="spellStart"/>
      <w:r>
        <w:rPr>
          <w:color w:val="000000"/>
          <w:sz w:val="22"/>
          <w:szCs w:val="22"/>
          <w:lang w:val="es-ES"/>
        </w:rPr>
        <w:t>preferred</w:t>
      </w:r>
      <w:proofErr w:type="spellEnd"/>
      <w:r>
        <w:rPr>
          <w:color w:val="000000"/>
          <w:sz w:val="22"/>
          <w:szCs w:val="22"/>
          <w:lang w:val="es-ES"/>
        </w:rPr>
        <w:t xml:space="preserve">. The </w:t>
      </w:r>
      <w:proofErr w:type="spellStart"/>
      <w:r>
        <w:rPr>
          <w:color w:val="000000"/>
          <w:sz w:val="22"/>
          <w:szCs w:val="22"/>
          <w:lang w:val="es-ES"/>
        </w:rPr>
        <w:t>chosen</w:t>
      </w:r>
      <w:proofErr w:type="spellEnd"/>
      <w:r>
        <w:rPr>
          <w:color w:val="000000"/>
          <w:sz w:val="22"/>
          <w:szCs w:val="22"/>
          <w:lang w:val="es-ES"/>
        </w:rPr>
        <w:t xml:space="preserve"> </w:t>
      </w:r>
      <w:proofErr w:type="spellStart"/>
      <w:r>
        <w:rPr>
          <w:color w:val="000000"/>
          <w:sz w:val="22"/>
          <w:szCs w:val="22"/>
          <w:lang w:val="es-ES"/>
        </w:rPr>
        <w:t>number</w:t>
      </w:r>
      <w:proofErr w:type="spellEnd"/>
      <w:r>
        <w:rPr>
          <w:color w:val="000000"/>
          <w:sz w:val="22"/>
          <w:szCs w:val="22"/>
          <w:lang w:val="es-ES"/>
        </w:rPr>
        <w:t xml:space="preserve"> </w:t>
      </w:r>
      <w:proofErr w:type="spellStart"/>
      <w:r>
        <w:rPr>
          <w:color w:val="000000"/>
          <w:sz w:val="22"/>
          <w:szCs w:val="22"/>
          <w:lang w:val="es-ES"/>
        </w:rPr>
        <w:t>type</w:t>
      </w:r>
      <w:proofErr w:type="spellEnd"/>
      <w:r>
        <w:rPr>
          <w:color w:val="000000"/>
          <w:sz w:val="22"/>
          <w:szCs w:val="22"/>
          <w:lang w:val="es-ES"/>
        </w:rPr>
        <w:t xml:space="preserve"> </w:t>
      </w:r>
      <w:proofErr w:type="spellStart"/>
      <w:r>
        <w:rPr>
          <w:color w:val="000000"/>
          <w:sz w:val="22"/>
          <w:szCs w:val="22"/>
          <w:lang w:val="es-ES"/>
        </w:rPr>
        <w:t>must</w:t>
      </w:r>
      <w:proofErr w:type="spellEnd"/>
      <w:r>
        <w:rPr>
          <w:color w:val="000000"/>
          <w:sz w:val="22"/>
          <w:szCs w:val="22"/>
          <w:lang w:val="es-ES"/>
        </w:rPr>
        <w:t xml:space="preserve"> be </w:t>
      </w:r>
      <w:proofErr w:type="spellStart"/>
      <w:r>
        <w:rPr>
          <w:color w:val="000000"/>
          <w:sz w:val="22"/>
          <w:szCs w:val="22"/>
          <w:lang w:val="es-ES"/>
        </w:rPr>
        <w:t>clear</w:t>
      </w:r>
      <w:proofErr w:type="spellEnd"/>
      <w:r>
        <w:rPr>
          <w:color w:val="000000"/>
          <w:sz w:val="22"/>
          <w:szCs w:val="22"/>
          <w:lang w:val="es-ES"/>
        </w:rPr>
        <w:t xml:space="preserve">, </w:t>
      </w:r>
      <w:proofErr w:type="spellStart"/>
      <w:r>
        <w:rPr>
          <w:color w:val="000000"/>
          <w:sz w:val="22"/>
          <w:szCs w:val="22"/>
          <w:lang w:val="es-ES"/>
        </w:rPr>
        <w:t>easily</w:t>
      </w:r>
      <w:proofErr w:type="spellEnd"/>
      <w:r>
        <w:rPr>
          <w:color w:val="000000"/>
          <w:sz w:val="22"/>
          <w:szCs w:val="22"/>
          <w:lang w:val="es-ES"/>
        </w:rPr>
        <w:t xml:space="preserve"> legible, </w:t>
      </w:r>
      <w:proofErr w:type="spellStart"/>
      <w:r>
        <w:rPr>
          <w:color w:val="000000"/>
          <w:sz w:val="22"/>
          <w:szCs w:val="22"/>
          <w:lang w:val="es-ES"/>
        </w:rPr>
        <w:t>unambiguous</w:t>
      </w:r>
      <w:proofErr w:type="spellEnd"/>
      <w:r>
        <w:rPr>
          <w:color w:val="000000"/>
          <w:sz w:val="22"/>
          <w:szCs w:val="22"/>
          <w:lang w:val="es-ES"/>
        </w:rPr>
        <w:t xml:space="preserve">, and </w:t>
      </w:r>
      <w:proofErr w:type="spellStart"/>
      <w:r>
        <w:rPr>
          <w:color w:val="000000"/>
          <w:sz w:val="22"/>
          <w:szCs w:val="22"/>
          <w:lang w:val="es-ES"/>
        </w:rPr>
        <w:t>indelible</w:t>
      </w:r>
      <w:proofErr w:type="spellEnd"/>
      <w:r>
        <w:rPr>
          <w:color w:val="000000"/>
          <w:sz w:val="22"/>
          <w:szCs w:val="22"/>
          <w:lang w:val="es-ES"/>
        </w:rPr>
        <w:t xml:space="preserve">. </w:t>
      </w:r>
      <w:proofErr w:type="spellStart"/>
      <w:r>
        <w:rPr>
          <w:color w:val="000000"/>
          <w:sz w:val="22"/>
          <w:szCs w:val="22"/>
          <w:lang w:val="es-ES"/>
        </w:rPr>
        <w:t>It</w:t>
      </w:r>
      <w:proofErr w:type="spellEnd"/>
      <w:r>
        <w:rPr>
          <w:color w:val="000000"/>
          <w:sz w:val="22"/>
          <w:szCs w:val="22"/>
          <w:lang w:val="es-ES"/>
        </w:rPr>
        <w:t xml:space="preserve"> </w:t>
      </w:r>
      <w:proofErr w:type="spellStart"/>
      <w:r>
        <w:rPr>
          <w:color w:val="000000"/>
          <w:sz w:val="22"/>
          <w:szCs w:val="22"/>
          <w:lang w:val="es-ES"/>
        </w:rPr>
        <w:t>must</w:t>
      </w:r>
      <w:proofErr w:type="spellEnd"/>
      <w:r>
        <w:rPr>
          <w:color w:val="000000"/>
          <w:sz w:val="22"/>
          <w:szCs w:val="22"/>
          <w:lang w:val="es-ES"/>
        </w:rPr>
        <w:t xml:space="preserve"> be </w:t>
      </w:r>
      <w:proofErr w:type="spellStart"/>
      <w:r>
        <w:rPr>
          <w:color w:val="000000"/>
          <w:sz w:val="22"/>
          <w:szCs w:val="22"/>
          <w:lang w:val="es-ES"/>
        </w:rPr>
        <w:t>alphanumeric</w:t>
      </w:r>
      <w:proofErr w:type="spellEnd"/>
      <w:r>
        <w:rPr>
          <w:color w:val="000000"/>
          <w:sz w:val="22"/>
          <w:szCs w:val="22"/>
          <w:lang w:val="es-ES"/>
        </w:rPr>
        <w:t>.</w:t>
      </w:r>
    </w:p>
    <w:p w14:paraId="535AAAAF" w14:textId="77777777" w:rsidR="00E255F4" w:rsidRDefault="00000000">
      <w:pPr>
        <w:numPr>
          <w:ilvl w:val="0"/>
          <w:numId w:val="5"/>
        </w:numPr>
        <w:tabs>
          <w:tab w:val="left" w:pos="-720"/>
          <w:tab w:val="left" w:pos="0"/>
          <w:tab w:val="left" w:pos="993"/>
        </w:tabs>
        <w:spacing w:before="120" w:after="120"/>
        <w:ind w:left="993" w:hanging="426"/>
        <w:jc w:val="both"/>
        <w:rPr>
          <w:color w:val="000000"/>
          <w:sz w:val="22"/>
          <w:szCs w:val="22"/>
          <w:lang w:val="es-ES"/>
        </w:rPr>
      </w:pPr>
      <w:proofErr w:type="spellStart"/>
      <w:r>
        <w:rPr>
          <w:color w:val="000000"/>
          <w:sz w:val="22"/>
          <w:szCs w:val="22"/>
          <w:lang w:val="es-ES"/>
        </w:rPr>
        <w:t>Year</w:t>
      </w:r>
      <w:proofErr w:type="spellEnd"/>
      <w:r>
        <w:rPr>
          <w:color w:val="000000"/>
          <w:sz w:val="22"/>
          <w:szCs w:val="22"/>
          <w:lang w:val="es-ES"/>
        </w:rPr>
        <w:t xml:space="preserve"> </w:t>
      </w:r>
      <w:proofErr w:type="spellStart"/>
      <w:r>
        <w:rPr>
          <w:color w:val="000000"/>
          <w:sz w:val="22"/>
          <w:szCs w:val="22"/>
          <w:lang w:val="es-ES"/>
        </w:rPr>
        <w:t>of</w:t>
      </w:r>
      <w:proofErr w:type="spellEnd"/>
      <w:r>
        <w:rPr>
          <w:color w:val="000000"/>
          <w:sz w:val="22"/>
          <w:szCs w:val="22"/>
          <w:lang w:val="es-ES"/>
        </w:rPr>
        <w:t xml:space="preserve"> manufacture.</w:t>
      </w:r>
    </w:p>
    <w:p w14:paraId="5852D137" w14:textId="77777777" w:rsidR="00E255F4" w:rsidRDefault="00000000">
      <w:pPr>
        <w:numPr>
          <w:ilvl w:val="0"/>
          <w:numId w:val="5"/>
        </w:numPr>
        <w:tabs>
          <w:tab w:val="left" w:pos="-720"/>
          <w:tab w:val="left" w:pos="0"/>
          <w:tab w:val="left" w:pos="993"/>
        </w:tabs>
        <w:spacing w:before="120" w:after="120"/>
        <w:ind w:left="993" w:hanging="426"/>
        <w:jc w:val="both"/>
        <w:rPr>
          <w:color w:val="000000"/>
          <w:sz w:val="22"/>
          <w:szCs w:val="22"/>
          <w:lang w:val="es-ES"/>
        </w:rPr>
      </w:pPr>
      <w:r>
        <w:rPr>
          <w:color w:val="000000"/>
          <w:sz w:val="22"/>
          <w:szCs w:val="22"/>
          <w:lang w:val="es-ES"/>
        </w:rPr>
        <w:lastRenderedPageBreak/>
        <w:t xml:space="preserve">Nominal </w:t>
      </w:r>
      <w:proofErr w:type="spellStart"/>
      <w:r>
        <w:rPr>
          <w:color w:val="000000"/>
          <w:sz w:val="22"/>
          <w:szCs w:val="22"/>
          <w:lang w:val="es-ES"/>
        </w:rPr>
        <w:t>flow</w:t>
      </w:r>
      <w:proofErr w:type="spellEnd"/>
      <w:r>
        <w:rPr>
          <w:color w:val="000000"/>
          <w:sz w:val="22"/>
          <w:szCs w:val="22"/>
          <w:lang w:val="es-ES"/>
        </w:rPr>
        <w:t xml:space="preserve"> </w:t>
      </w:r>
      <w:proofErr w:type="spellStart"/>
      <w:r>
        <w:rPr>
          <w:color w:val="000000"/>
          <w:sz w:val="22"/>
          <w:szCs w:val="22"/>
          <w:lang w:val="es-ES"/>
        </w:rPr>
        <w:t>rate</w:t>
      </w:r>
      <w:proofErr w:type="spellEnd"/>
      <w:r>
        <w:rPr>
          <w:color w:val="000000"/>
          <w:sz w:val="22"/>
          <w:szCs w:val="22"/>
          <w:lang w:val="es-ES"/>
        </w:rPr>
        <w:t xml:space="preserve"> </w:t>
      </w:r>
      <w:proofErr w:type="spellStart"/>
      <w:r>
        <w:rPr>
          <w:color w:val="000000"/>
          <w:sz w:val="22"/>
          <w:szCs w:val="22"/>
          <w:lang w:val="es-ES"/>
        </w:rPr>
        <w:t>or</w:t>
      </w:r>
      <w:proofErr w:type="spellEnd"/>
      <w:r>
        <w:rPr>
          <w:color w:val="000000"/>
          <w:sz w:val="22"/>
          <w:szCs w:val="22"/>
          <w:lang w:val="es-ES"/>
        </w:rPr>
        <w:t xml:space="preserve"> meter </w:t>
      </w:r>
      <w:proofErr w:type="spellStart"/>
      <w:r>
        <w:rPr>
          <w:color w:val="000000"/>
          <w:sz w:val="22"/>
          <w:szCs w:val="22"/>
          <w:lang w:val="es-ES"/>
        </w:rPr>
        <w:t>designation</w:t>
      </w:r>
      <w:proofErr w:type="spellEnd"/>
      <w:r>
        <w:rPr>
          <w:color w:val="000000"/>
          <w:sz w:val="22"/>
          <w:szCs w:val="22"/>
          <w:lang w:val="es-ES"/>
        </w:rPr>
        <w:t>.</w:t>
      </w:r>
    </w:p>
    <w:p w14:paraId="7C311C6B" w14:textId="77777777" w:rsidR="00E255F4" w:rsidRDefault="00000000">
      <w:pPr>
        <w:numPr>
          <w:ilvl w:val="0"/>
          <w:numId w:val="5"/>
        </w:numPr>
        <w:tabs>
          <w:tab w:val="left" w:pos="-720"/>
          <w:tab w:val="left" w:pos="0"/>
          <w:tab w:val="left" w:pos="993"/>
        </w:tabs>
        <w:spacing w:before="120" w:after="120"/>
        <w:ind w:left="993" w:hanging="426"/>
        <w:jc w:val="both"/>
      </w:pPr>
      <w:r>
        <w:rPr>
          <w:sz w:val="22"/>
          <w:szCs w:val="22"/>
          <w:lang w:val="es-ES"/>
        </w:rPr>
        <w:t>Range (R)</w:t>
      </w:r>
      <w:r>
        <w:rPr>
          <w:color w:val="FF0000"/>
          <w:sz w:val="22"/>
          <w:szCs w:val="22"/>
          <w:lang w:val="es-ES"/>
        </w:rPr>
        <w:t xml:space="preserve"> </w:t>
      </w:r>
      <w:proofErr w:type="spellStart"/>
      <w:r>
        <w:rPr>
          <w:color w:val="000000"/>
          <w:sz w:val="22"/>
          <w:szCs w:val="22"/>
          <w:lang w:val="es-ES"/>
        </w:rPr>
        <w:t>of</w:t>
      </w:r>
      <w:proofErr w:type="spellEnd"/>
      <w:r>
        <w:rPr>
          <w:color w:val="000000"/>
          <w:sz w:val="22"/>
          <w:szCs w:val="22"/>
          <w:lang w:val="es-ES"/>
        </w:rPr>
        <w:t xml:space="preserve"> </w:t>
      </w:r>
      <w:proofErr w:type="spellStart"/>
      <w:r>
        <w:rPr>
          <w:color w:val="000000"/>
          <w:sz w:val="22"/>
          <w:szCs w:val="22"/>
          <w:lang w:val="es-ES"/>
        </w:rPr>
        <w:t>the</w:t>
      </w:r>
      <w:proofErr w:type="spellEnd"/>
      <w:r>
        <w:rPr>
          <w:color w:val="000000"/>
          <w:sz w:val="22"/>
          <w:szCs w:val="22"/>
          <w:lang w:val="es-ES"/>
        </w:rPr>
        <w:t xml:space="preserve"> meter.</w:t>
      </w:r>
    </w:p>
    <w:p w14:paraId="031C353A" w14:textId="77777777" w:rsidR="00E255F4" w:rsidRDefault="00000000">
      <w:pPr>
        <w:numPr>
          <w:ilvl w:val="0"/>
          <w:numId w:val="5"/>
        </w:numPr>
        <w:tabs>
          <w:tab w:val="left" w:pos="-720"/>
          <w:tab w:val="left" w:pos="0"/>
          <w:tab w:val="left" w:pos="993"/>
        </w:tabs>
        <w:spacing w:before="120" w:after="120"/>
        <w:ind w:left="993" w:hanging="426"/>
        <w:jc w:val="both"/>
        <w:rPr>
          <w:color w:val="000000"/>
          <w:sz w:val="22"/>
          <w:szCs w:val="22"/>
          <w:lang w:val="es-ES"/>
        </w:rPr>
      </w:pPr>
      <w:proofErr w:type="spellStart"/>
      <w:r>
        <w:rPr>
          <w:color w:val="000000"/>
          <w:sz w:val="22"/>
          <w:szCs w:val="22"/>
          <w:lang w:val="es-ES"/>
        </w:rPr>
        <w:t>Manufacturer's</w:t>
      </w:r>
      <w:proofErr w:type="spellEnd"/>
      <w:r>
        <w:rPr>
          <w:color w:val="000000"/>
          <w:sz w:val="22"/>
          <w:szCs w:val="22"/>
          <w:lang w:val="es-ES"/>
        </w:rPr>
        <w:t xml:space="preserve"> </w:t>
      </w:r>
      <w:proofErr w:type="spellStart"/>
      <w:r>
        <w:rPr>
          <w:color w:val="000000"/>
          <w:sz w:val="22"/>
          <w:szCs w:val="22"/>
          <w:lang w:val="es-ES"/>
        </w:rPr>
        <w:t>name</w:t>
      </w:r>
      <w:proofErr w:type="spellEnd"/>
      <w:r>
        <w:rPr>
          <w:color w:val="000000"/>
          <w:sz w:val="22"/>
          <w:szCs w:val="22"/>
          <w:lang w:val="es-ES"/>
        </w:rPr>
        <w:t xml:space="preserve"> </w:t>
      </w:r>
      <w:proofErr w:type="spellStart"/>
      <w:r>
        <w:rPr>
          <w:color w:val="000000"/>
          <w:sz w:val="22"/>
          <w:szCs w:val="22"/>
          <w:lang w:val="es-ES"/>
        </w:rPr>
        <w:t>or</w:t>
      </w:r>
      <w:proofErr w:type="spellEnd"/>
      <w:r>
        <w:rPr>
          <w:color w:val="000000"/>
          <w:sz w:val="22"/>
          <w:szCs w:val="22"/>
          <w:lang w:val="es-ES"/>
        </w:rPr>
        <w:t xml:space="preserve"> logo.</w:t>
      </w:r>
    </w:p>
    <w:p w14:paraId="6C32AB63" w14:textId="77777777" w:rsidR="00E255F4" w:rsidRDefault="00000000">
      <w:pPr>
        <w:numPr>
          <w:ilvl w:val="0"/>
          <w:numId w:val="5"/>
        </w:numPr>
        <w:tabs>
          <w:tab w:val="left" w:pos="-720"/>
          <w:tab w:val="left" w:pos="0"/>
          <w:tab w:val="left" w:pos="993"/>
        </w:tabs>
        <w:spacing w:before="120" w:after="120"/>
        <w:ind w:left="993" w:hanging="426"/>
        <w:jc w:val="both"/>
        <w:rPr>
          <w:color w:val="000000"/>
          <w:sz w:val="22"/>
          <w:szCs w:val="22"/>
          <w:lang w:val="es-ES"/>
        </w:rPr>
      </w:pPr>
      <w:r>
        <w:rPr>
          <w:color w:val="000000"/>
          <w:sz w:val="22"/>
          <w:szCs w:val="22"/>
          <w:lang w:val="es-ES"/>
        </w:rPr>
        <w:t xml:space="preserve">Symbol </w:t>
      </w:r>
      <w:proofErr w:type="spellStart"/>
      <w:r>
        <w:rPr>
          <w:color w:val="000000"/>
          <w:sz w:val="22"/>
          <w:szCs w:val="22"/>
          <w:lang w:val="es-ES"/>
        </w:rPr>
        <w:t>for</w:t>
      </w:r>
      <w:proofErr w:type="spellEnd"/>
      <w:r>
        <w:rPr>
          <w:color w:val="000000"/>
          <w:sz w:val="22"/>
          <w:szCs w:val="22"/>
          <w:lang w:val="es-ES"/>
        </w:rPr>
        <w:t xml:space="preserve"> </w:t>
      </w:r>
      <w:proofErr w:type="spellStart"/>
      <w:r>
        <w:rPr>
          <w:color w:val="000000"/>
          <w:sz w:val="22"/>
          <w:szCs w:val="22"/>
          <w:lang w:val="es-ES"/>
        </w:rPr>
        <w:t>the</w:t>
      </w:r>
      <w:proofErr w:type="spellEnd"/>
      <w:r>
        <w:rPr>
          <w:color w:val="000000"/>
          <w:sz w:val="22"/>
          <w:szCs w:val="22"/>
          <w:lang w:val="es-ES"/>
        </w:rPr>
        <w:t xml:space="preserve"> </w:t>
      </w:r>
      <w:proofErr w:type="spellStart"/>
      <w:r>
        <w:rPr>
          <w:color w:val="000000"/>
          <w:sz w:val="22"/>
          <w:szCs w:val="22"/>
          <w:lang w:val="es-ES"/>
        </w:rPr>
        <w:t>unit</w:t>
      </w:r>
      <w:proofErr w:type="spellEnd"/>
      <w:r>
        <w:rPr>
          <w:color w:val="000000"/>
          <w:sz w:val="22"/>
          <w:szCs w:val="22"/>
          <w:lang w:val="es-ES"/>
        </w:rPr>
        <w:t xml:space="preserve"> “m3”.</w:t>
      </w:r>
    </w:p>
    <w:p w14:paraId="6EE5F372" w14:textId="77777777" w:rsidR="00E255F4" w:rsidRDefault="00000000">
      <w:pPr>
        <w:numPr>
          <w:ilvl w:val="0"/>
          <w:numId w:val="5"/>
        </w:numPr>
        <w:tabs>
          <w:tab w:val="left" w:pos="-720"/>
          <w:tab w:val="left" w:pos="0"/>
          <w:tab w:val="left" w:pos="993"/>
        </w:tabs>
        <w:spacing w:before="120" w:after="120"/>
        <w:ind w:left="993" w:hanging="426"/>
        <w:jc w:val="both"/>
        <w:rPr>
          <w:color w:val="000000"/>
          <w:sz w:val="22"/>
          <w:szCs w:val="22"/>
          <w:lang w:val="es-ES"/>
        </w:rPr>
      </w:pPr>
      <w:r>
        <w:rPr>
          <w:color w:val="000000"/>
          <w:sz w:val="22"/>
          <w:szCs w:val="22"/>
          <w:lang w:val="es-ES"/>
        </w:rPr>
        <w:t xml:space="preserve">The OSE </w:t>
      </w:r>
      <w:proofErr w:type="spellStart"/>
      <w:r>
        <w:rPr>
          <w:color w:val="000000"/>
          <w:sz w:val="22"/>
          <w:szCs w:val="22"/>
          <w:lang w:val="es-ES"/>
        </w:rPr>
        <w:t>acronym</w:t>
      </w:r>
      <w:proofErr w:type="spellEnd"/>
      <w:r>
        <w:rPr>
          <w:color w:val="000000"/>
          <w:sz w:val="22"/>
          <w:szCs w:val="22"/>
          <w:lang w:val="es-ES"/>
        </w:rPr>
        <w:t xml:space="preserve"> </w:t>
      </w:r>
      <w:proofErr w:type="spellStart"/>
      <w:r>
        <w:rPr>
          <w:color w:val="000000"/>
          <w:sz w:val="22"/>
          <w:szCs w:val="22"/>
          <w:lang w:val="es-ES"/>
        </w:rPr>
        <w:t>or</w:t>
      </w:r>
      <w:proofErr w:type="spellEnd"/>
      <w:r>
        <w:rPr>
          <w:color w:val="000000"/>
          <w:sz w:val="22"/>
          <w:szCs w:val="22"/>
          <w:lang w:val="es-ES"/>
        </w:rPr>
        <w:t xml:space="preserve"> logo </w:t>
      </w:r>
      <w:proofErr w:type="spellStart"/>
      <w:r>
        <w:rPr>
          <w:color w:val="000000"/>
          <w:sz w:val="22"/>
          <w:szCs w:val="22"/>
          <w:lang w:val="es-ES"/>
        </w:rPr>
        <w:t>must</w:t>
      </w:r>
      <w:proofErr w:type="spellEnd"/>
      <w:r>
        <w:rPr>
          <w:color w:val="000000"/>
          <w:sz w:val="22"/>
          <w:szCs w:val="22"/>
          <w:lang w:val="es-ES"/>
        </w:rPr>
        <w:t xml:space="preserve"> be </w:t>
      </w:r>
      <w:proofErr w:type="spellStart"/>
      <w:r>
        <w:rPr>
          <w:color w:val="000000"/>
          <w:sz w:val="22"/>
          <w:szCs w:val="22"/>
          <w:lang w:val="es-ES"/>
        </w:rPr>
        <w:t>displayed</w:t>
      </w:r>
      <w:proofErr w:type="spellEnd"/>
      <w:r>
        <w:rPr>
          <w:color w:val="000000"/>
          <w:sz w:val="22"/>
          <w:szCs w:val="22"/>
          <w:lang w:val="es-ES"/>
        </w:rPr>
        <w:t xml:space="preserve"> in a visible </w:t>
      </w:r>
      <w:proofErr w:type="spellStart"/>
      <w:r>
        <w:rPr>
          <w:color w:val="000000"/>
          <w:sz w:val="22"/>
          <w:szCs w:val="22"/>
          <w:lang w:val="es-ES"/>
        </w:rPr>
        <w:t>location</w:t>
      </w:r>
      <w:proofErr w:type="spellEnd"/>
      <w:r>
        <w:rPr>
          <w:color w:val="000000"/>
          <w:sz w:val="22"/>
          <w:szCs w:val="22"/>
          <w:lang w:val="es-ES"/>
        </w:rPr>
        <w:t xml:space="preserve"> </w:t>
      </w:r>
      <w:proofErr w:type="spellStart"/>
      <w:r>
        <w:rPr>
          <w:color w:val="000000"/>
          <w:sz w:val="22"/>
          <w:szCs w:val="22"/>
          <w:lang w:val="es-ES"/>
        </w:rPr>
        <w:t>on</w:t>
      </w:r>
      <w:proofErr w:type="spellEnd"/>
      <w:r>
        <w:rPr>
          <w:color w:val="000000"/>
          <w:sz w:val="22"/>
          <w:szCs w:val="22"/>
          <w:lang w:val="es-ES"/>
        </w:rPr>
        <w:t xml:space="preserve"> </w:t>
      </w:r>
      <w:proofErr w:type="spellStart"/>
      <w:r>
        <w:rPr>
          <w:color w:val="000000"/>
          <w:sz w:val="22"/>
          <w:szCs w:val="22"/>
          <w:lang w:val="es-ES"/>
        </w:rPr>
        <w:t>the</w:t>
      </w:r>
      <w:proofErr w:type="spellEnd"/>
      <w:r>
        <w:rPr>
          <w:color w:val="000000"/>
          <w:sz w:val="22"/>
          <w:szCs w:val="22"/>
          <w:lang w:val="es-ES"/>
        </w:rPr>
        <w:t xml:space="preserve"> meter. For </w:t>
      </w:r>
      <w:proofErr w:type="spellStart"/>
      <w:r>
        <w:rPr>
          <w:color w:val="000000"/>
          <w:sz w:val="22"/>
          <w:szCs w:val="22"/>
          <w:lang w:val="es-ES"/>
        </w:rPr>
        <w:t>example</w:t>
      </w:r>
      <w:proofErr w:type="spellEnd"/>
      <w:r>
        <w:rPr>
          <w:color w:val="000000"/>
          <w:sz w:val="22"/>
          <w:szCs w:val="22"/>
          <w:lang w:val="es-ES"/>
        </w:rPr>
        <w:t xml:space="preserve">: </w:t>
      </w:r>
      <w:proofErr w:type="spellStart"/>
      <w:r>
        <w:rPr>
          <w:color w:val="000000"/>
          <w:sz w:val="22"/>
          <w:szCs w:val="22"/>
          <w:lang w:val="es-ES"/>
        </w:rPr>
        <w:t>on</w:t>
      </w:r>
      <w:proofErr w:type="spellEnd"/>
      <w:r>
        <w:rPr>
          <w:color w:val="000000"/>
          <w:sz w:val="22"/>
          <w:szCs w:val="22"/>
          <w:lang w:val="es-ES"/>
        </w:rPr>
        <w:t xml:space="preserve"> </w:t>
      </w:r>
      <w:proofErr w:type="spellStart"/>
      <w:r>
        <w:rPr>
          <w:color w:val="000000"/>
          <w:sz w:val="22"/>
          <w:szCs w:val="22"/>
          <w:lang w:val="es-ES"/>
        </w:rPr>
        <w:t>the</w:t>
      </w:r>
      <w:proofErr w:type="spellEnd"/>
      <w:r>
        <w:rPr>
          <w:color w:val="000000"/>
          <w:sz w:val="22"/>
          <w:szCs w:val="22"/>
          <w:lang w:val="es-ES"/>
        </w:rPr>
        <w:t xml:space="preserve"> dial, </w:t>
      </w:r>
      <w:proofErr w:type="spellStart"/>
      <w:r>
        <w:rPr>
          <w:color w:val="000000"/>
          <w:sz w:val="22"/>
          <w:szCs w:val="22"/>
          <w:lang w:val="es-ES"/>
        </w:rPr>
        <w:t>on</w:t>
      </w:r>
      <w:proofErr w:type="spellEnd"/>
      <w:r>
        <w:rPr>
          <w:color w:val="000000"/>
          <w:sz w:val="22"/>
          <w:szCs w:val="22"/>
          <w:lang w:val="es-ES"/>
        </w:rPr>
        <w:t xml:space="preserve"> </w:t>
      </w:r>
      <w:proofErr w:type="spellStart"/>
      <w:r>
        <w:rPr>
          <w:color w:val="000000"/>
          <w:sz w:val="22"/>
          <w:szCs w:val="22"/>
          <w:lang w:val="es-ES"/>
        </w:rPr>
        <w:t>the</w:t>
      </w:r>
      <w:proofErr w:type="spellEnd"/>
      <w:r>
        <w:rPr>
          <w:color w:val="000000"/>
          <w:sz w:val="22"/>
          <w:szCs w:val="22"/>
          <w:lang w:val="es-ES"/>
        </w:rPr>
        <w:t xml:space="preserve"> </w:t>
      </w:r>
      <w:proofErr w:type="spellStart"/>
      <w:r>
        <w:rPr>
          <w:color w:val="000000"/>
          <w:sz w:val="22"/>
          <w:szCs w:val="22"/>
          <w:lang w:val="es-ES"/>
        </w:rPr>
        <w:t>casing</w:t>
      </w:r>
      <w:proofErr w:type="spellEnd"/>
      <w:r>
        <w:rPr>
          <w:color w:val="000000"/>
          <w:sz w:val="22"/>
          <w:szCs w:val="22"/>
          <w:lang w:val="es-ES"/>
        </w:rPr>
        <w:t xml:space="preserve">, </w:t>
      </w:r>
      <w:proofErr w:type="spellStart"/>
      <w:r>
        <w:rPr>
          <w:color w:val="000000"/>
          <w:sz w:val="22"/>
          <w:szCs w:val="22"/>
          <w:lang w:val="es-ES"/>
        </w:rPr>
        <w:t>or</w:t>
      </w:r>
      <w:proofErr w:type="spellEnd"/>
      <w:r>
        <w:rPr>
          <w:color w:val="000000"/>
          <w:sz w:val="22"/>
          <w:szCs w:val="22"/>
          <w:lang w:val="es-ES"/>
        </w:rPr>
        <w:t xml:space="preserve"> as </w:t>
      </w:r>
      <w:proofErr w:type="spellStart"/>
      <w:r>
        <w:rPr>
          <w:color w:val="000000"/>
          <w:sz w:val="22"/>
          <w:szCs w:val="22"/>
          <w:lang w:val="es-ES"/>
        </w:rPr>
        <w:t>part</w:t>
      </w:r>
      <w:proofErr w:type="spellEnd"/>
      <w:r>
        <w:rPr>
          <w:color w:val="000000"/>
          <w:sz w:val="22"/>
          <w:szCs w:val="22"/>
          <w:lang w:val="es-ES"/>
        </w:rPr>
        <w:t xml:space="preserve"> </w:t>
      </w:r>
      <w:proofErr w:type="spellStart"/>
      <w:r>
        <w:rPr>
          <w:color w:val="000000"/>
          <w:sz w:val="22"/>
          <w:szCs w:val="22"/>
          <w:lang w:val="es-ES"/>
        </w:rPr>
        <w:t>of</w:t>
      </w:r>
      <w:proofErr w:type="spellEnd"/>
      <w:r>
        <w:rPr>
          <w:color w:val="000000"/>
          <w:sz w:val="22"/>
          <w:szCs w:val="22"/>
          <w:lang w:val="es-ES"/>
        </w:rPr>
        <w:t xml:space="preserve"> </w:t>
      </w:r>
      <w:proofErr w:type="spellStart"/>
      <w:r>
        <w:rPr>
          <w:color w:val="000000"/>
          <w:sz w:val="22"/>
          <w:szCs w:val="22"/>
          <w:lang w:val="es-ES"/>
        </w:rPr>
        <w:t>the</w:t>
      </w:r>
      <w:proofErr w:type="spellEnd"/>
      <w:r>
        <w:rPr>
          <w:color w:val="000000"/>
          <w:sz w:val="22"/>
          <w:szCs w:val="22"/>
          <w:lang w:val="es-ES"/>
        </w:rPr>
        <w:t xml:space="preserve"> meter </w:t>
      </w:r>
      <w:proofErr w:type="spellStart"/>
      <w:r>
        <w:rPr>
          <w:color w:val="000000"/>
          <w:sz w:val="22"/>
          <w:szCs w:val="22"/>
          <w:lang w:val="es-ES"/>
        </w:rPr>
        <w:t>number</w:t>
      </w:r>
      <w:proofErr w:type="spellEnd"/>
      <w:r>
        <w:rPr>
          <w:color w:val="000000"/>
          <w:sz w:val="22"/>
          <w:szCs w:val="22"/>
          <w:lang w:val="es-ES"/>
        </w:rPr>
        <w:t>.</w:t>
      </w:r>
    </w:p>
    <w:p w14:paraId="06B93E59" w14:textId="77777777" w:rsidR="00E255F4" w:rsidRDefault="00000000">
      <w:pPr>
        <w:numPr>
          <w:ilvl w:val="0"/>
          <w:numId w:val="5"/>
        </w:numPr>
        <w:tabs>
          <w:tab w:val="left" w:pos="-720"/>
          <w:tab w:val="left" w:pos="0"/>
          <w:tab w:val="left" w:pos="993"/>
        </w:tabs>
        <w:spacing w:before="120" w:after="120"/>
        <w:ind w:left="993" w:hanging="426"/>
        <w:jc w:val="both"/>
        <w:rPr>
          <w:color w:val="000000"/>
          <w:sz w:val="22"/>
          <w:szCs w:val="22"/>
          <w:lang w:val="es-ES"/>
        </w:rPr>
      </w:pPr>
      <w:r>
        <w:rPr>
          <w:color w:val="000000"/>
          <w:sz w:val="22"/>
          <w:szCs w:val="22"/>
          <w:lang w:val="es-ES"/>
        </w:rPr>
        <w:t xml:space="preserve">The </w:t>
      </w:r>
      <w:proofErr w:type="spellStart"/>
      <w:r>
        <w:rPr>
          <w:color w:val="000000"/>
          <w:sz w:val="22"/>
          <w:szCs w:val="22"/>
          <w:lang w:val="es-ES"/>
        </w:rPr>
        <w:t>manufacturer</w:t>
      </w:r>
      <w:proofErr w:type="spellEnd"/>
      <w:r>
        <w:rPr>
          <w:color w:val="000000"/>
          <w:sz w:val="22"/>
          <w:szCs w:val="22"/>
          <w:lang w:val="es-ES"/>
        </w:rPr>
        <w:t xml:space="preserve"> </w:t>
      </w:r>
      <w:proofErr w:type="spellStart"/>
      <w:r>
        <w:rPr>
          <w:color w:val="000000"/>
          <w:sz w:val="22"/>
          <w:szCs w:val="22"/>
          <w:lang w:val="es-ES"/>
        </w:rPr>
        <w:t>must</w:t>
      </w:r>
      <w:proofErr w:type="spellEnd"/>
      <w:r>
        <w:rPr>
          <w:color w:val="000000"/>
          <w:sz w:val="22"/>
          <w:szCs w:val="22"/>
          <w:lang w:val="es-ES"/>
        </w:rPr>
        <w:t xml:space="preserve"> </w:t>
      </w:r>
      <w:proofErr w:type="spellStart"/>
      <w:r>
        <w:rPr>
          <w:color w:val="000000"/>
          <w:sz w:val="22"/>
          <w:szCs w:val="22"/>
          <w:lang w:val="es-ES"/>
        </w:rPr>
        <w:t>request</w:t>
      </w:r>
      <w:proofErr w:type="spellEnd"/>
      <w:r>
        <w:rPr>
          <w:color w:val="000000"/>
          <w:sz w:val="22"/>
          <w:szCs w:val="22"/>
          <w:lang w:val="es-ES"/>
        </w:rPr>
        <w:t xml:space="preserve">, </w:t>
      </w:r>
      <w:proofErr w:type="spellStart"/>
      <w:r>
        <w:rPr>
          <w:color w:val="000000"/>
          <w:sz w:val="22"/>
          <w:szCs w:val="22"/>
          <w:lang w:val="es-ES"/>
        </w:rPr>
        <w:t>before</w:t>
      </w:r>
      <w:proofErr w:type="spellEnd"/>
      <w:r>
        <w:rPr>
          <w:color w:val="000000"/>
          <w:sz w:val="22"/>
          <w:szCs w:val="22"/>
          <w:lang w:val="es-ES"/>
        </w:rPr>
        <w:t xml:space="preserve"> </w:t>
      </w:r>
      <w:proofErr w:type="spellStart"/>
      <w:r>
        <w:rPr>
          <w:color w:val="000000"/>
          <w:sz w:val="22"/>
          <w:szCs w:val="22"/>
          <w:lang w:val="es-ES"/>
        </w:rPr>
        <w:t>starting</w:t>
      </w:r>
      <w:proofErr w:type="spellEnd"/>
      <w:r>
        <w:rPr>
          <w:color w:val="000000"/>
          <w:sz w:val="22"/>
          <w:szCs w:val="22"/>
          <w:lang w:val="es-ES"/>
        </w:rPr>
        <w:t xml:space="preserve"> </w:t>
      </w:r>
      <w:proofErr w:type="spellStart"/>
      <w:r>
        <w:rPr>
          <w:color w:val="000000"/>
          <w:sz w:val="22"/>
          <w:szCs w:val="22"/>
          <w:lang w:val="es-ES"/>
        </w:rPr>
        <w:t>the</w:t>
      </w:r>
      <w:proofErr w:type="spellEnd"/>
      <w:r>
        <w:rPr>
          <w:color w:val="000000"/>
          <w:sz w:val="22"/>
          <w:szCs w:val="22"/>
          <w:lang w:val="es-ES"/>
        </w:rPr>
        <w:t xml:space="preserve"> manufacture </w:t>
      </w:r>
      <w:proofErr w:type="spellStart"/>
      <w:r>
        <w:rPr>
          <w:color w:val="000000"/>
          <w:sz w:val="22"/>
          <w:szCs w:val="22"/>
          <w:lang w:val="es-ES"/>
        </w:rPr>
        <w:t>of</w:t>
      </w:r>
      <w:proofErr w:type="spellEnd"/>
      <w:r>
        <w:rPr>
          <w:color w:val="000000"/>
          <w:sz w:val="22"/>
          <w:szCs w:val="22"/>
          <w:lang w:val="es-ES"/>
        </w:rPr>
        <w:t xml:space="preserve"> </w:t>
      </w:r>
      <w:proofErr w:type="spellStart"/>
      <w:r>
        <w:rPr>
          <w:color w:val="000000"/>
          <w:sz w:val="22"/>
          <w:szCs w:val="22"/>
          <w:lang w:val="es-ES"/>
        </w:rPr>
        <w:t>the</w:t>
      </w:r>
      <w:proofErr w:type="spellEnd"/>
      <w:r>
        <w:rPr>
          <w:color w:val="000000"/>
          <w:sz w:val="22"/>
          <w:szCs w:val="22"/>
          <w:lang w:val="es-ES"/>
        </w:rPr>
        <w:t xml:space="preserve"> </w:t>
      </w:r>
      <w:proofErr w:type="spellStart"/>
      <w:r>
        <w:rPr>
          <w:color w:val="000000"/>
          <w:sz w:val="22"/>
          <w:szCs w:val="22"/>
          <w:lang w:val="es-ES"/>
        </w:rPr>
        <w:t>meters</w:t>
      </w:r>
      <w:proofErr w:type="spellEnd"/>
      <w:r>
        <w:rPr>
          <w:color w:val="000000"/>
          <w:sz w:val="22"/>
          <w:szCs w:val="22"/>
          <w:lang w:val="es-ES"/>
        </w:rPr>
        <w:t xml:space="preserve">, </w:t>
      </w:r>
      <w:proofErr w:type="spellStart"/>
      <w:r>
        <w:rPr>
          <w:color w:val="000000"/>
          <w:sz w:val="22"/>
          <w:szCs w:val="22"/>
          <w:lang w:val="es-ES"/>
        </w:rPr>
        <w:t>the</w:t>
      </w:r>
      <w:proofErr w:type="spellEnd"/>
      <w:r>
        <w:rPr>
          <w:color w:val="000000"/>
          <w:sz w:val="22"/>
          <w:szCs w:val="22"/>
          <w:lang w:val="es-ES"/>
        </w:rPr>
        <w:t xml:space="preserve"> </w:t>
      </w:r>
      <w:proofErr w:type="spellStart"/>
      <w:r>
        <w:rPr>
          <w:color w:val="000000"/>
          <w:sz w:val="22"/>
          <w:szCs w:val="22"/>
          <w:lang w:val="es-ES"/>
        </w:rPr>
        <w:t>numbering</w:t>
      </w:r>
      <w:proofErr w:type="spellEnd"/>
      <w:r>
        <w:rPr>
          <w:color w:val="000000"/>
          <w:sz w:val="22"/>
          <w:szCs w:val="22"/>
          <w:lang w:val="es-ES"/>
        </w:rPr>
        <w:t xml:space="preserve"> </w:t>
      </w:r>
      <w:proofErr w:type="spellStart"/>
      <w:r>
        <w:rPr>
          <w:color w:val="000000"/>
          <w:sz w:val="22"/>
          <w:szCs w:val="22"/>
          <w:lang w:val="es-ES"/>
        </w:rPr>
        <w:t>that</w:t>
      </w:r>
      <w:proofErr w:type="spellEnd"/>
      <w:r>
        <w:rPr>
          <w:color w:val="000000"/>
          <w:sz w:val="22"/>
          <w:szCs w:val="22"/>
          <w:lang w:val="es-ES"/>
        </w:rPr>
        <w:t xml:space="preserve"> OSE has </w:t>
      </w:r>
      <w:proofErr w:type="spellStart"/>
      <w:r>
        <w:rPr>
          <w:color w:val="000000"/>
          <w:sz w:val="22"/>
          <w:szCs w:val="22"/>
          <w:lang w:val="es-ES"/>
        </w:rPr>
        <w:t>defined</w:t>
      </w:r>
      <w:proofErr w:type="spellEnd"/>
      <w:r>
        <w:rPr>
          <w:color w:val="000000"/>
          <w:sz w:val="22"/>
          <w:szCs w:val="22"/>
          <w:lang w:val="es-ES"/>
        </w:rPr>
        <w:t xml:space="preserve"> </w:t>
      </w:r>
      <w:proofErr w:type="spellStart"/>
      <w:r>
        <w:rPr>
          <w:color w:val="000000"/>
          <w:sz w:val="22"/>
          <w:szCs w:val="22"/>
          <w:lang w:val="es-ES"/>
        </w:rPr>
        <w:t>for</w:t>
      </w:r>
      <w:proofErr w:type="spellEnd"/>
      <w:r>
        <w:rPr>
          <w:color w:val="000000"/>
          <w:sz w:val="22"/>
          <w:szCs w:val="22"/>
          <w:lang w:val="es-ES"/>
        </w:rPr>
        <w:t xml:space="preserve"> </w:t>
      </w:r>
      <w:proofErr w:type="spellStart"/>
      <w:r>
        <w:rPr>
          <w:color w:val="000000"/>
          <w:sz w:val="22"/>
          <w:szCs w:val="22"/>
          <w:lang w:val="es-ES"/>
        </w:rPr>
        <w:t>the</w:t>
      </w:r>
      <w:proofErr w:type="spellEnd"/>
      <w:r>
        <w:rPr>
          <w:color w:val="000000"/>
          <w:sz w:val="22"/>
          <w:szCs w:val="22"/>
          <w:lang w:val="es-ES"/>
        </w:rPr>
        <w:t xml:space="preserve"> </w:t>
      </w:r>
      <w:proofErr w:type="spellStart"/>
      <w:r>
        <w:rPr>
          <w:color w:val="000000"/>
          <w:sz w:val="22"/>
          <w:szCs w:val="22"/>
          <w:lang w:val="es-ES"/>
        </w:rPr>
        <w:t>awarded</w:t>
      </w:r>
      <w:proofErr w:type="spellEnd"/>
      <w:r>
        <w:rPr>
          <w:color w:val="000000"/>
          <w:sz w:val="22"/>
          <w:szCs w:val="22"/>
          <w:lang w:val="es-ES"/>
        </w:rPr>
        <w:t xml:space="preserve"> </w:t>
      </w:r>
      <w:proofErr w:type="spellStart"/>
      <w:r>
        <w:rPr>
          <w:color w:val="000000"/>
          <w:sz w:val="22"/>
          <w:szCs w:val="22"/>
          <w:lang w:val="es-ES"/>
        </w:rPr>
        <w:t>meters</w:t>
      </w:r>
      <w:proofErr w:type="spellEnd"/>
      <w:r>
        <w:rPr>
          <w:color w:val="000000"/>
          <w:sz w:val="22"/>
          <w:szCs w:val="22"/>
          <w:lang w:val="es-ES"/>
        </w:rPr>
        <w:t>.</w:t>
      </w:r>
    </w:p>
    <w:p w14:paraId="0B999F65" w14:textId="77777777" w:rsidR="00E255F4" w:rsidRDefault="00000000">
      <w:pPr>
        <w:numPr>
          <w:ilvl w:val="0"/>
          <w:numId w:val="5"/>
        </w:numPr>
        <w:tabs>
          <w:tab w:val="left" w:pos="-720"/>
          <w:tab w:val="left" w:pos="0"/>
          <w:tab w:val="left" w:pos="993"/>
        </w:tabs>
        <w:spacing w:before="120" w:after="120"/>
        <w:ind w:left="993" w:hanging="426"/>
        <w:jc w:val="both"/>
      </w:pPr>
      <w:r>
        <w:rPr>
          <w:sz w:val="22"/>
          <w:szCs w:val="22"/>
          <w:lang w:val="es-ES"/>
        </w:rPr>
        <w:t xml:space="preserve">The </w:t>
      </w:r>
      <w:proofErr w:type="spellStart"/>
      <w:r>
        <w:rPr>
          <w:sz w:val="22"/>
          <w:szCs w:val="22"/>
          <w:lang w:val="es-ES"/>
        </w:rPr>
        <w:t>design</w:t>
      </w:r>
      <w:proofErr w:type="spellEnd"/>
      <w:r>
        <w:rPr>
          <w:sz w:val="22"/>
          <w:szCs w:val="22"/>
          <w:lang w:val="es-ES"/>
        </w:rPr>
        <w:t xml:space="preserve"> </w:t>
      </w:r>
      <w:proofErr w:type="spellStart"/>
      <w:r>
        <w:rPr>
          <w:sz w:val="22"/>
          <w:szCs w:val="22"/>
          <w:lang w:val="es-ES"/>
        </w:rPr>
        <w:t>of</w:t>
      </w:r>
      <w:proofErr w:type="spellEnd"/>
      <w:r>
        <w:rPr>
          <w:sz w:val="22"/>
          <w:szCs w:val="22"/>
          <w:lang w:val="es-ES"/>
        </w:rPr>
        <w:t xml:space="preserve"> </w:t>
      </w:r>
      <w:proofErr w:type="spellStart"/>
      <w:r>
        <w:rPr>
          <w:sz w:val="22"/>
          <w:szCs w:val="22"/>
          <w:lang w:val="es-ES"/>
        </w:rPr>
        <w:t>the</w:t>
      </w:r>
      <w:proofErr w:type="spellEnd"/>
      <w:r>
        <w:rPr>
          <w:sz w:val="22"/>
          <w:szCs w:val="22"/>
          <w:lang w:val="es-ES"/>
        </w:rPr>
        <w:t xml:space="preserve"> </w:t>
      </w:r>
      <w:proofErr w:type="spellStart"/>
      <w:r>
        <w:rPr>
          <w:sz w:val="22"/>
          <w:szCs w:val="22"/>
          <w:lang w:val="es-ES"/>
        </w:rPr>
        <w:t>marking</w:t>
      </w:r>
      <w:proofErr w:type="spellEnd"/>
      <w:r>
        <w:rPr>
          <w:sz w:val="22"/>
          <w:szCs w:val="22"/>
          <w:lang w:val="es-ES"/>
        </w:rPr>
        <w:t xml:space="preserve"> and </w:t>
      </w:r>
      <w:proofErr w:type="spellStart"/>
      <w:r>
        <w:rPr>
          <w:sz w:val="22"/>
          <w:szCs w:val="22"/>
          <w:lang w:val="es-ES"/>
        </w:rPr>
        <w:t>labeling</w:t>
      </w:r>
      <w:proofErr w:type="spellEnd"/>
      <w:r>
        <w:rPr>
          <w:sz w:val="22"/>
          <w:szCs w:val="22"/>
          <w:lang w:val="es-ES"/>
        </w:rPr>
        <w:t xml:space="preserve"> </w:t>
      </w:r>
      <w:proofErr w:type="spellStart"/>
      <w:r>
        <w:rPr>
          <w:sz w:val="22"/>
          <w:szCs w:val="22"/>
          <w:lang w:val="es-ES"/>
        </w:rPr>
        <w:t>must</w:t>
      </w:r>
      <w:proofErr w:type="spellEnd"/>
      <w:r>
        <w:rPr>
          <w:sz w:val="22"/>
          <w:szCs w:val="22"/>
          <w:lang w:val="es-ES"/>
        </w:rPr>
        <w:t xml:space="preserve"> be </w:t>
      </w:r>
      <w:proofErr w:type="spellStart"/>
      <w:r>
        <w:rPr>
          <w:sz w:val="22"/>
          <w:szCs w:val="22"/>
          <w:lang w:val="es-ES"/>
        </w:rPr>
        <w:t>validated</w:t>
      </w:r>
      <w:proofErr w:type="spellEnd"/>
      <w:r>
        <w:rPr>
          <w:sz w:val="22"/>
          <w:szCs w:val="22"/>
          <w:lang w:val="es-ES"/>
        </w:rPr>
        <w:t xml:space="preserve"> </w:t>
      </w:r>
      <w:proofErr w:type="spellStart"/>
      <w:r>
        <w:rPr>
          <w:sz w:val="22"/>
          <w:szCs w:val="22"/>
          <w:lang w:val="es-ES"/>
        </w:rPr>
        <w:t>by</w:t>
      </w:r>
      <w:proofErr w:type="spellEnd"/>
      <w:r>
        <w:rPr>
          <w:sz w:val="22"/>
          <w:szCs w:val="22"/>
          <w:lang w:val="es-ES"/>
        </w:rPr>
        <w:t xml:space="preserve"> OSE prior </w:t>
      </w:r>
      <w:proofErr w:type="spellStart"/>
      <w:r>
        <w:rPr>
          <w:sz w:val="22"/>
          <w:szCs w:val="22"/>
          <w:lang w:val="es-ES"/>
        </w:rPr>
        <w:t>to</w:t>
      </w:r>
      <w:proofErr w:type="spellEnd"/>
      <w:r>
        <w:rPr>
          <w:sz w:val="22"/>
          <w:szCs w:val="22"/>
          <w:lang w:val="es-ES"/>
        </w:rPr>
        <w:t xml:space="preserve"> </w:t>
      </w:r>
      <w:proofErr w:type="spellStart"/>
      <w:r>
        <w:rPr>
          <w:sz w:val="22"/>
          <w:szCs w:val="22"/>
          <w:lang w:val="es-ES"/>
        </w:rPr>
        <w:t>the</w:t>
      </w:r>
      <w:proofErr w:type="spellEnd"/>
      <w:r>
        <w:rPr>
          <w:sz w:val="22"/>
          <w:szCs w:val="22"/>
          <w:lang w:val="es-ES"/>
        </w:rPr>
        <w:t xml:space="preserve"> manufacture </w:t>
      </w:r>
      <w:proofErr w:type="spellStart"/>
      <w:r>
        <w:rPr>
          <w:sz w:val="22"/>
          <w:szCs w:val="22"/>
          <w:lang w:val="es-ES"/>
        </w:rPr>
        <w:t>of</w:t>
      </w:r>
      <w:proofErr w:type="spellEnd"/>
      <w:r>
        <w:rPr>
          <w:sz w:val="22"/>
          <w:szCs w:val="22"/>
          <w:lang w:val="es-ES"/>
        </w:rPr>
        <w:t xml:space="preserve"> </w:t>
      </w:r>
      <w:proofErr w:type="spellStart"/>
      <w:r>
        <w:rPr>
          <w:sz w:val="22"/>
          <w:szCs w:val="22"/>
          <w:lang w:val="es-ES"/>
        </w:rPr>
        <w:t>the</w:t>
      </w:r>
      <w:proofErr w:type="spellEnd"/>
      <w:r>
        <w:rPr>
          <w:sz w:val="22"/>
          <w:szCs w:val="22"/>
          <w:lang w:val="es-ES"/>
        </w:rPr>
        <w:t xml:space="preserve"> </w:t>
      </w:r>
      <w:proofErr w:type="spellStart"/>
      <w:r>
        <w:rPr>
          <w:sz w:val="22"/>
          <w:szCs w:val="22"/>
          <w:lang w:val="es-ES"/>
        </w:rPr>
        <w:t>meters</w:t>
      </w:r>
      <w:proofErr w:type="spellEnd"/>
      <w:r>
        <w:rPr>
          <w:sz w:val="22"/>
          <w:szCs w:val="22"/>
          <w:lang w:val="es-ES"/>
        </w:rPr>
        <w:t>.</w:t>
      </w:r>
    </w:p>
    <w:p w14:paraId="1F84AEF9" w14:textId="77777777" w:rsidR="00E255F4" w:rsidRDefault="00000000">
      <w:pPr>
        <w:numPr>
          <w:ilvl w:val="0"/>
          <w:numId w:val="5"/>
        </w:numPr>
        <w:tabs>
          <w:tab w:val="left" w:pos="-720"/>
          <w:tab w:val="left" w:pos="0"/>
          <w:tab w:val="left" w:pos="993"/>
        </w:tabs>
        <w:spacing w:before="120" w:after="120"/>
        <w:ind w:left="993" w:hanging="426"/>
        <w:jc w:val="both"/>
        <w:rPr>
          <w:sz w:val="22"/>
          <w:szCs w:val="22"/>
          <w:lang w:val="es-ES"/>
        </w:rPr>
      </w:pPr>
      <w:r>
        <w:rPr>
          <w:sz w:val="22"/>
          <w:szCs w:val="22"/>
          <w:lang w:val="es-ES"/>
        </w:rPr>
        <w:t xml:space="preserve">The </w:t>
      </w:r>
      <w:proofErr w:type="spellStart"/>
      <w:r>
        <w:rPr>
          <w:sz w:val="22"/>
          <w:szCs w:val="22"/>
          <w:lang w:val="es-ES"/>
        </w:rPr>
        <w:t>labeling</w:t>
      </w:r>
      <w:proofErr w:type="spellEnd"/>
      <w:r>
        <w:rPr>
          <w:sz w:val="22"/>
          <w:szCs w:val="22"/>
          <w:lang w:val="es-ES"/>
        </w:rPr>
        <w:t xml:space="preserve"> and </w:t>
      </w:r>
      <w:proofErr w:type="spellStart"/>
      <w:r>
        <w:rPr>
          <w:sz w:val="22"/>
          <w:szCs w:val="22"/>
          <w:lang w:val="es-ES"/>
        </w:rPr>
        <w:t>marking</w:t>
      </w:r>
      <w:proofErr w:type="spellEnd"/>
      <w:r>
        <w:rPr>
          <w:sz w:val="22"/>
          <w:szCs w:val="22"/>
          <w:lang w:val="es-ES"/>
        </w:rPr>
        <w:t xml:space="preserve"> </w:t>
      </w:r>
      <w:proofErr w:type="spellStart"/>
      <w:r>
        <w:rPr>
          <w:sz w:val="22"/>
          <w:szCs w:val="22"/>
          <w:lang w:val="es-ES"/>
        </w:rPr>
        <w:t>validation</w:t>
      </w:r>
      <w:proofErr w:type="spellEnd"/>
      <w:r>
        <w:rPr>
          <w:sz w:val="22"/>
          <w:szCs w:val="22"/>
          <w:lang w:val="es-ES"/>
        </w:rPr>
        <w:t xml:space="preserve"> </w:t>
      </w:r>
      <w:proofErr w:type="spellStart"/>
      <w:r>
        <w:rPr>
          <w:sz w:val="22"/>
          <w:szCs w:val="22"/>
          <w:lang w:val="es-ES"/>
        </w:rPr>
        <w:t>process</w:t>
      </w:r>
      <w:proofErr w:type="spellEnd"/>
      <w:r>
        <w:rPr>
          <w:sz w:val="22"/>
          <w:szCs w:val="22"/>
          <w:lang w:val="es-ES"/>
        </w:rPr>
        <w:t xml:space="preserve"> </w:t>
      </w:r>
      <w:proofErr w:type="spellStart"/>
      <w:r>
        <w:rPr>
          <w:sz w:val="22"/>
          <w:szCs w:val="22"/>
          <w:lang w:val="es-ES"/>
        </w:rPr>
        <w:t>will</w:t>
      </w:r>
      <w:proofErr w:type="spellEnd"/>
      <w:r>
        <w:rPr>
          <w:sz w:val="22"/>
          <w:szCs w:val="22"/>
          <w:lang w:val="es-ES"/>
        </w:rPr>
        <w:t xml:space="preserve"> </w:t>
      </w:r>
      <w:proofErr w:type="spellStart"/>
      <w:r>
        <w:rPr>
          <w:sz w:val="22"/>
          <w:szCs w:val="22"/>
          <w:lang w:val="es-ES"/>
        </w:rPr>
        <w:t>involve</w:t>
      </w:r>
      <w:proofErr w:type="spellEnd"/>
      <w:r>
        <w:rPr>
          <w:sz w:val="22"/>
          <w:szCs w:val="22"/>
          <w:lang w:val="es-ES"/>
        </w:rPr>
        <w:t xml:space="preserve"> </w:t>
      </w:r>
      <w:proofErr w:type="spellStart"/>
      <w:r>
        <w:rPr>
          <w:sz w:val="22"/>
          <w:szCs w:val="22"/>
          <w:lang w:val="es-ES"/>
        </w:rPr>
        <w:t>the</w:t>
      </w:r>
      <w:proofErr w:type="spellEnd"/>
      <w:r>
        <w:rPr>
          <w:sz w:val="22"/>
          <w:szCs w:val="22"/>
          <w:lang w:val="es-ES"/>
        </w:rPr>
        <w:t xml:space="preserve"> </w:t>
      </w:r>
      <w:proofErr w:type="spellStart"/>
      <w:r>
        <w:rPr>
          <w:sz w:val="22"/>
          <w:szCs w:val="22"/>
          <w:lang w:val="es-ES"/>
        </w:rPr>
        <w:t>manufacturer</w:t>
      </w:r>
      <w:proofErr w:type="spellEnd"/>
      <w:r>
        <w:rPr>
          <w:sz w:val="22"/>
          <w:szCs w:val="22"/>
          <w:lang w:val="es-ES"/>
        </w:rPr>
        <w:t xml:space="preserve"> </w:t>
      </w:r>
      <w:proofErr w:type="spellStart"/>
      <w:r>
        <w:rPr>
          <w:sz w:val="22"/>
          <w:szCs w:val="22"/>
          <w:lang w:val="es-ES"/>
        </w:rPr>
        <w:t>sending</w:t>
      </w:r>
      <w:proofErr w:type="spellEnd"/>
      <w:r>
        <w:rPr>
          <w:sz w:val="22"/>
          <w:szCs w:val="22"/>
          <w:lang w:val="es-ES"/>
        </w:rPr>
        <w:t xml:space="preserve"> OSE a sketch </w:t>
      </w:r>
      <w:proofErr w:type="spellStart"/>
      <w:r>
        <w:rPr>
          <w:sz w:val="22"/>
          <w:szCs w:val="22"/>
          <w:lang w:val="es-ES"/>
        </w:rPr>
        <w:t>or</w:t>
      </w:r>
      <w:proofErr w:type="spellEnd"/>
      <w:r>
        <w:rPr>
          <w:sz w:val="22"/>
          <w:szCs w:val="22"/>
          <w:lang w:val="es-ES"/>
        </w:rPr>
        <w:t xml:space="preserve"> a meter </w:t>
      </w:r>
      <w:proofErr w:type="spellStart"/>
      <w:r>
        <w:rPr>
          <w:sz w:val="22"/>
          <w:szCs w:val="22"/>
          <w:lang w:val="es-ES"/>
        </w:rPr>
        <w:t>with</w:t>
      </w:r>
      <w:proofErr w:type="spellEnd"/>
      <w:r>
        <w:rPr>
          <w:sz w:val="22"/>
          <w:szCs w:val="22"/>
          <w:lang w:val="es-ES"/>
        </w:rPr>
        <w:t xml:space="preserve"> </w:t>
      </w:r>
      <w:proofErr w:type="spellStart"/>
      <w:r>
        <w:rPr>
          <w:sz w:val="22"/>
          <w:szCs w:val="22"/>
          <w:lang w:val="es-ES"/>
        </w:rPr>
        <w:t>the</w:t>
      </w:r>
      <w:proofErr w:type="spellEnd"/>
      <w:r>
        <w:rPr>
          <w:sz w:val="22"/>
          <w:szCs w:val="22"/>
          <w:lang w:val="es-ES"/>
        </w:rPr>
        <w:t xml:space="preserve"> final </w:t>
      </w:r>
      <w:proofErr w:type="spellStart"/>
      <w:r>
        <w:rPr>
          <w:sz w:val="22"/>
          <w:szCs w:val="22"/>
          <w:lang w:val="es-ES"/>
        </w:rPr>
        <w:t>design</w:t>
      </w:r>
      <w:proofErr w:type="spellEnd"/>
      <w:r>
        <w:rPr>
          <w:sz w:val="22"/>
          <w:szCs w:val="22"/>
          <w:lang w:val="es-ES"/>
        </w:rPr>
        <w:t xml:space="preserve">, </w:t>
      </w:r>
      <w:proofErr w:type="spellStart"/>
      <w:r>
        <w:rPr>
          <w:sz w:val="22"/>
          <w:szCs w:val="22"/>
          <w:lang w:val="es-ES"/>
        </w:rPr>
        <w:t>which</w:t>
      </w:r>
      <w:proofErr w:type="spellEnd"/>
      <w:r>
        <w:rPr>
          <w:sz w:val="22"/>
          <w:szCs w:val="22"/>
          <w:lang w:val="es-ES"/>
        </w:rPr>
        <w:t xml:space="preserve"> </w:t>
      </w:r>
      <w:proofErr w:type="spellStart"/>
      <w:r>
        <w:rPr>
          <w:sz w:val="22"/>
          <w:szCs w:val="22"/>
          <w:lang w:val="es-ES"/>
        </w:rPr>
        <w:t>must</w:t>
      </w:r>
      <w:proofErr w:type="spellEnd"/>
      <w:r>
        <w:rPr>
          <w:sz w:val="22"/>
          <w:szCs w:val="22"/>
          <w:lang w:val="es-ES"/>
        </w:rPr>
        <w:t xml:space="preserve"> be </w:t>
      </w:r>
      <w:proofErr w:type="spellStart"/>
      <w:r>
        <w:rPr>
          <w:sz w:val="22"/>
          <w:szCs w:val="22"/>
          <w:lang w:val="es-ES"/>
        </w:rPr>
        <w:t>accepted</w:t>
      </w:r>
      <w:proofErr w:type="spellEnd"/>
      <w:r>
        <w:rPr>
          <w:sz w:val="22"/>
          <w:szCs w:val="22"/>
          <w:lang w:val="es-ES"/>
        </w:rPr>
        <w:t xml:space="preserve"> and </w:t>
      </w:r>
      <w:proofErr w:type="spellStart"/>
      <w:r>
        <w:rPr>
          <w:sz w:val="22"/>
          <w:szCs w:val="22"/>
          <w:lang w:val="es-ES"/>
        </w:rPr>
        <w:t>will</w:t>
      </w:r>
      <w:proofErr w:type="spellEnd"/>
      <w:r>
        <w:rPr>
          <w:sz w:val="22"/>
          <w:szCs w:val="22"/>
          <w:lang w:val="es-ES"/>
        </w:rPr>
        <w:t xml:space="preserve"> serve as </w:t>
      </w:r>
      <w:proofErr w:type="spellStart"/>
      <w:r>
        <w:rPr>
          <w:sz w:val="22"/>
          <w:szCs w:val="22"/>
          <w:lang w:val="es-ES"/>
        </w:rPr>
        <w:t>proof</w:t>
      </w:r>
      <w:proofErr w:type="spellEnd"/>
      <w:r>
        <w:rPr>
          <w:sz w:val="22"/>
          <w:szCs w:val="22"/>
          <w:lang w:val="es-ES"/>
        </w:rPr>
        <w:t xml:space="preserve"> </w:t>
      </w:r>
      <w:proofErr w:type="spellStart"/>
      <w:r>
        <w:rPr>
          <w:sz w:val="22"/>
          <w:szCs w:val="22"/>
          <w:lang w:val="es-ES"/>
        </w:rPr>
        <w:t>of</w:t>
      </w:r>
      <w:proofErr w:type="spellEnd"/>
      <w:r>
        <w:rPr>
          <w:sz w:val="22"/>
          <w:szCs w:val="22"/>
          <w:lang w:val="es-ES"/>
        </w:rPr>
        <w:t xml:space="preserve"> </w:t>
      </w:r>
      <w:proofErr w:type="spellStart"/>
      <w:r>
        <w:rPr>
          <w:sz w:val="22"/>
          <w:szCs w:val="22"/>
          <w:lang w:val="es-ES"/>
        </w:rPr>
        <w:t>compliance</w:t>
      </w:r>
      <w:proofErr w:type="spellEnd"/>
      <w:r>
        <w:rPr>
          <w:sz w:val="22"/>
          <w:szCs w:val="22"/>
          <w:lang w:val="es-ES"/>
        </w:rPr>
        <w:t xml:space="preserve"> </w:t>
      </w:r>
      <w:proofErr w:type="spellStart"/>
      <w:r>
        <w:rPr>
          <w:sz w:val="22"/>
          <w:szCs w:val="22"/>
          <w:lang w:val="es-ES"/>
        </w:rPr>
        <w:t>with</w:t>
      </w:r>
      <w:proofErr w:type="spellEnd"/>
      <w:r>
        <w:rPr>
          <w:sz w:val="22"/>
          <w:szCs w:val="22"/>
          <w:lang w:val="es-ES"/>
        </w:rPr>
        <w:t xml:space="preserve"> </w:t>
      </w:r>
      <w:proofErr w:type="spellStart"/>
      <w:r>
        <w:rPr>
          <w:sz w:val="22"/>
          <w:szCs w:val="22"/>
          <w:lang w:val="es-ES"/>
        </w:rPr>
        <w:t>the</w:t>
      </w:r>
      <w:proofErr w:type="spellEnd"/>
      <w:r>
        <w:rPr>
          <w:sz w:val="22"/>
          <w:szCs w:val="22"/>
          <w:lang w:val="es-ES"/>
        </w:rPr>
        <w:t xml:space="preserve"> </w:t>
      </w:r>
      <w:proofErr w:type="spellStart"/>
      <w:r>
        <w:rPr>
          <w:sz w:val="22"/>
          <w:szCs w:val="22"/>
          <w:lang w:val="es-ES"/>
        </w:rPr>
        <w:t>requirements</w:t>
      </w:r>
      <w:proofErr w:type="spellEnd"/>
      <w:r>
        <w:rPr>
          <w:sz w:val="22"/>
          <w:szCs w:val="22"/>
          <w:lang w:val="es-ES"/>
        </w:rPr>
        <w:t xml:space="preserve"> at </w:t>
      </w:r>
      <w:proofErr w:type="spellStart"/>
      <w:r>
        <w:rPr>
          <w:sz w:val="22"/>
          <w:szCs w:val="22"/>
          <w:lang w:val="es-ES"/>
        </w:rPr>
        <w:t>the</w:t>
      </w:r>
      <w:proofErr w:type="spellEnd"/>
      <w:r>
        <w:rPr>
          <w:sz w:val="22"/>
          <w:szCs w:val="22"/>
          <w:lang w:val="es-ES"/>
        </w:rPr>
        <w:t xml:space="preserve"> meter </w:t>
      </w:r>
      <w:proofErr w:type="spellStart"/>
      <w:r>
        <w:rPr>
          <w:sz w:val="22"/>
          <w:szCs w:val="22"/>
          <w:lang w:val="es-ES"/>
        </w:rPr>
        <w:t>reception</w:t>
      </w:r>
      <w:proofErr w:type="spellEnd"/>
      <w:r>
        <w:rPr>
          <w:sz w:val="22"/>
          <w:szCs w:val="22"/>
          <w:lang w:val="es-ES"/>
        </w:rPr>
        <w:t xml:space="preserve"> </w:t>
      </w:r>
      <w:proofErr w:type="spellStart"/>
      <w:r>
        <w:rPr>
          <w:sz w:val="22"/>
          <w:szCs w:val="22"/>
          <w:lang w:val="es-ES"/>
        </w:rPr>
        <w:t>stage</w:t>
      </w:r>
      <w:proofErr w:type="spellEnd"/>
      <w:r>
        <w:rPr>
          <w:sz w:val="22"/>
          <w:szCs w:val="22"/>
          <w:lang w:val="es-ES"/>
        </w:rPr>
        <w:t>.</w:t>
      </w:r>
    </w:p>
    <w:p w14:paraId="403952A9" w14:textId="77777777" w:rsidR="00E255F4" w:rsidRDefault="00000000">
      <w:pPr>
        <w:pStyle w:val="Prrafodelista"/>
        <w:numPr>
          <w:ilvl w:val="2"/>
          <w:numId w:val="4"/>
        </w:numPr>
        <w:spacing w:before="240" w:after="120"/>
        <w:ind w:left="709" w:hanging="709"/>
        <w:rPr>
          <w:b/>
          <w:bCs/>
          <w:iCs/>
          <w:sz w:val="22"/>
          <w:szCs w:val="22"/>
          <w:lang w:val="es-ES"/>
        </w:rPr>
      </w:pPr>
      <w:proofErr w:type="spellStart"/>
      <w:r>
        <w:rPr>
          <w:b/>
          <w:bCs/>
          <w:iCs/>
          <w:sz w:val="22"/>
          <w:szCs w:val="22"/>
          <w:lang w:val="es-ES"/>
        </w:rPr>
        <w:t>Viewfinder</w:t>
      </w:r>
      <w:proofErr w:type="spellEnd"/>
    </w:p>
    <w:p w14:paraId="7224ECD1" w14:textId="77777777" w:rsidR="00E255F4" w:rsidRDefault="00000000">
      <w:pPr>
        <w:numPr>
          <w:ilvl w:val="3"/>
          <w:numId w:val="4"/>
        </w:numPr>
        <w:tabs>
          <w:tab w:val="left" w:pos="851"/>
        </w:tabs>
        <w:spacing w:before="120" w:after="120"/>
        <w:ind w:left="851" w:hanging="851"/>
        <w:jc w:val="both"/>
        <w:rPr>
          <w:color w:val="000000"/>
          <w:sz w:val="22"/>
          <w:szCs w:val="22"/>
          <w:u w:val="single"/>
          <w:lang w:val="es-ES"/>
        </w:rPr>
      </w:pPr>
      <w:r>
        <w:rPr>
          <w:color w:val="000000"/>
          <w:sz w:val="22"/>
          <w:szCs w:val="22"/>
          <w:lang w:val="es-ES"/>
        </w:rPr>
        <w:t xml:space="preserve">The </w:t>
      </w:r>
      <w:proofErr w:type="spellStart"/>
      <w:r>
        <w:rPr>
          <w:color w:val="000000"/>
          <w:sz w:val="22"/>
          <w:szCs w:val="22"/>
          <w:lang w:val="es-ES"/>
        </w:rPr>
        <w:t>meter's</w:t>
      </w:r>
      <w:proofErr w:type="spellEnd"/>
      <w:r>
        <w:rPr>
          <w:color w:val="000000"/>
          <w:sz w:val="22"/>
          <w:szCs w:val="22"/>
          <w:lang w:val="es-ES"/>
        </w:rPr>
        <w:t xml:space="preserve"> </w:t>
      </w:r>
      <w:proofErr w:type="spellStart"/>
      <w:r>
        <w:rPr>
          <w:color w:val="000000"/>
          <w:sz w:val="22"/>
          <w:szCs w:val="22"/>
          <w:lang w:val="es-ES"/>
        </w:rPr>
        <w:t>display</w:t>
      </w:r>
      <w:proofErr w:type="spellEnd"/>
      <w:r>
        <w:rPr>
          <w:color w:val="000000"/>
          <w:sz w:val="22"/>
          <w:szCs w:val="22"/>
          <w:lang w:val="es-ES"/>
        </w:rPr>
        <w:t xml:space="preserve"> </w:t>
      </w:r>
      <w:proofErr w:type="spellStart"/>
      <w:r>
        <w:rPr>
          <w:color w:val="000000"/>
          <w:sz w:val="22"/>
          <w:szCs w:val="22"/>
          <w:lang w:val="es-ES"/>
        </w:rPr>
        <w:t>must</w:t>
      </w:r>
      <w:proofErr w:type="spellEnd"/>
      <w:r>
        <w:rPr>
          <w:color w:val="000000"/>
          <w:sz w:val="22"/>
          <w:szCs w:val="22"/>
          <w:lang w:val="es-ES"/>
        </w:rPr>
        <w:t xml:space="preserve"> be </w:t>
      </w:r>
      <w:proofErr w:type="spellStart"/>
      <w:r>
        <w:rPr>
          <w:color w:val="000000"/>
          <w:sz w:val="22"/>
          <w:szCs w:val="22"/>
          <w:lang w:val="es-ES"/>
        </w:rPr>
        <w:t>constructed</w:t>
      </w:r>
      <w:proofErr w:type="spellEnd"/>
      <w:r>
        <w:rPr>
          <w:color w:val="000000"/>
          <w:sz w:val="22"/>
          <w:szCs w:val="22"/>
          <w:lang w:val="es-ES"/>
        </w:rPr>
        <w:t xml:space="preserve"> </w:t>
      </w:r>
      <w:proofErr w:type="spellStart"/>
      <w:r>
        <w:rPr>
          <w:color w:val="000000"/>
          <w:sz w:val="22"/>
          <w:szCs w:val="22"/>
          <w:lang w:val="es-ES"/>
        </w:rPr>
        <w:t>of</w:t>
      </w:r>
      <w:proofErr w:type="spellEnd"/>
      <w:r>
        <w:rPr>
          <w:color w:val="000000"/>
          <w:sz w:val="22"/>
          <w:szCs w:val="22"/>
          <w:lang w:val="es-ES"/>
        </w:rPr>
        <w:t xml:space="preserve"> a material </w:t>
      </w:r>
      <w:proofErr w:type="spellStart"/>
      <w:r>
        <w:rPr>
          <w:color w:val="000000"/>
          <w:sz w:val="22"/>
          <w:szCs w:val="22"/>
          <w:lang w:val="es-ES"/>
        </w:rPr>
        <w:t>resistant</w:t>
      </w:r>
      <w:proofErr w:type="spellEnd"/>
      <w:r>
        <w:rPr>
          <w:color w:val="000000"/>
          <w:sz w:val="22"/>
          <w:szCs w:val="22"/>
          <w:lang w:val="es-ES"/>
        </w:rPr>
        <w:t xml:space="preserve"> </w:t>
      </w:r>
      <w:proofErr w:type="spellStart"/>
      <w:r>
        <w:rPr>
          <w:color w:val="000000"/>
          <w:sz w:val="22"/>
          <w:szCs w:val="22"/>
          <w:lang w:val="es-ES"/>
        </w:rPr>
        <w:t>to</w:t>
      </w:r>
      <w:proofErr w:type="spellEnd"/>
      <w:r>
        <w:rPr>
          <w:color w:val="000000"/>
          <w:sz w:val="22"/>
          <w:szCs w:val="22"/>
          <w:lang w:val="es-ES"/>
        </w:rPr>
        <w:t xml:space="preserve"> </w:t>
      </w:r>
      <w:proofErr w:type="spellStart"/>
      <w:r>
        <w:rPr>
          <w:color w:val="000000"/>
          <w:sz w:val="22"/>
          <w:szCs w:val="22"/>
          <w:lang w:val="es-ES"/>
        </w:rPr>
        <w:t>the</w:t>
      </w:r>
      <w:proofErr w:type="spellEnd"/>
      <w:r>
        <w:rPr>
          <w:color w:val="000000"/>
          <w:sz w:val="22"/>
          <w:szCs w:val="22"/>
          <w:lang w:val="es-ES"/>
        </w:rPr>
        <w:t xml:space="preserve"> </w:t>
      </w:r>
      <w:proofErr w:type="spellStart"/>
      <w:r>
        <w:rPr>
          <w:color w:val="000000"/>
          <w:sz w:val="22"/>
          <w:szCs w:val="22"/>
          <w:lang w:val="es-ES"/>
        </w:rPr>
        <w:t>action</w:t>
      </w:r>
      <w:proofErr w:type="spellEnd"/>
      <w:r>
        <w:rPr>
          <w:color w:val="000000"/>
          <w:sz w:val="22"/>
          <w:szCs w:val="22"/>
          <w:lang w:val="es-ES"/>
        </w:rPr>
        <w:t xml:space="preserve"> </w:t>
      </w:r>
      <w:proofErr w:type="spellStart"/>
      <w:r>
        <w:rPr>
          <w:color w:val="000000"/>
          <w:sz w:val="22"/>
          <w:szCs w:val="22"/>
          <w:lang w:val="es-ES"/>
        </w:rPr>
        <w:t>of</w:t>
      </w:r>
      <w:proofErr w:type="spellEnd"/>
      <w:r>
        <w:rPr>
          <w:color w:val="000000"/>
          <w:sz w:val="22"/>
          <w:szCs w:val="22"/>
          <w:lang w:val="es-ES"/>
        </w:rPr>
        <w:t xml:space="preserve"> </w:t>
      </w:r>
      <w:proofErr w:type="spellStart"/>
      <w:r>
        <w:rPr>
          <w:color w:val="000000"/>
          <w:sz w:val="22"/>
          <w:szCs w:val="22"/>
          <w:lang w:val="es-ES"/>
        </w:rPr>
        <w:t>sunlight</w:t>
      </w:r>
      <w:proofErr w:type="spellEnd"/>
      <w:r>
        <w:rPr>
          <w:color w:val="000000"/>
          <w:sz w:val="22"/>
          <w:szCs w:val="22"/>
          <w:lang w:val="es-ES"/>
        </w:rPr>
        <w:t xml:space="preserve">, as </w:t>
      </w:r>
      <w:proofErr w:type="spellStart"/>
      <w:r>
        <w:rPr>
          <w:color w:val="000000"/>
          <w:sz w:val="22"/>
          <w:szCs w:val="22"/>
          <w:lang w:val="es-ES"/>
        </w:rPr>
        <w:t>must</w:t>
      </w:r>
      <w:proofErr w:type="spellEnd"/>
      <w:r>
        <w:rPr>
          <w:color w:val="000000"/>
          <w:sz w:val="22"/>
          <w:szCs w:val="22"/>
          <w:lang w:val="es-ES"/>
        </w:rPr>
        <w:t xml:space="preserve"> </w:t>
      </w:r>
      <w:proofErr w:type="spellStart"/>
      <w:r>
        <w:rPr>
          <w:color w:val="000000"/>
          <w:sz w:val="22"/>
          <w:szCs w:val="22"/>
          <w:lang w:val="es-ES"/>
        </w:rPr>
        <w:t>the</w:t>
      </w:r>
      <w:proofErr w:type="spellEnd"/>
      <w:r>
        <w:rPr>
          <w:color w:val="000000"/>
          <w:sz w:val="22"/>
          <w:szCs w:val="22"/>
          <w:lang w:val="es-ES"/>
        </w:rPr>
        <w:t xml:space="preserve"> dial </w:t>
      </w:r>
      <w:proofErr w:type="spellStart"/>
      <w:r>
        <w:rPr>
          <w:color w:val="000000"/>
          <w:sz w:val="22"/>
          <w:szCs w:val="22"/>
          <w:lang w:val="es-ES"/>
        </w:rPr>
        <w:t>of</w:t>
      </w:r>
      <w:proofErr w:type="spellEnd"/>
      <w:r>
        <w:rPr>
          <w:color w:val="000000"/>
          <w:sz w:val="22"/>
          <w:szCs w:val="22"/>
          <w:lang w:val="es-ES"/>
        </w:rPr>
        <w:t xml:space="preserve"> </w:t>
      </w:r>
      <w:proofErr w:type="spellStart"/>
      <w:r>
        <w:rPr>
          <w:color w:val="000000"/>
          <w:sz w:val="22"/>
          <w:szCs w:val="22"/>
          <w:lang w:val="es-ES"/>
        </w:rPr>
        <w:t>the</w:t>
      </w:r>
      <w:proofErr w:type="spellEnd"/>
      <w:r>
        <w:rPr>
          <w:color w:val="000000"/>
          <w:sz w:val="22"/>
          <w:szCs w:val="22"/>
          <w:lang w:val="es-ES"/>
        </w:rPr>
        <w:t xml:space="preserve"> </w:t>
      </w:r>
      <w:proofErr w:type="spellStart"/>
      <w:r>
        <w:rPr>
          <w:color w:val="000000"/>
          <w:sz w:val="22"/>
          <w:szCs w:val="22"/>
          <w:lang w:val="es-ES"/>
        </w:rPr>
        <w:t>indicating</w:t>
      </w:r>
      <w:proofErr w:type="spellEnd"/>
      <w:r>
        <w:rPr>
          <w:color w:val="000000"/>
          <w:sz w:val="22"/>
          <w:szCs w:val="22"/>
          <w:lang w:val="es-ES"/>
        </w:rPr>
        <w:t xml:space="preserve"> </w:t>
      </w:r>
      <w:proofErr w:type="spellStart"/>
      <w:r>
        <w:rPr>
          <w:color w:val="000000"/>
          <w:sz w:val="22"/>
          <w:szCs w:val="22"/>
          <w:lang w:val="es-ES"/>
        </w:rPr>
        <w:t>device</w:t>
      </w:r>
      <w:proofErr w:type="spellEnd"/>
      <w:r>
        <w:rPr>
          <w:color w:val="000000"/>
          <w:sz w:val="22"/>
          <w:szCs w:val="22"/>
          <w:lang w:val="es-ES"/>
        </w:rPr>
        <w:t xml:space="preserve"> and </w:t>
      </w:r>
      <w:proofErr w:type="spellStart"/>
      <w:r>
        <w:rPr>
          <w:color w:val="000000"/>
          <w:sz w:val="22"/>
          <w:szCs w:val="22"/>
          <w:lang w:val="es-ES"/>
        </w:rPr>
        <w:t>its</w:t>
      </w:r>
      <w:proofErr w:type="spellEnd"/>
      <w:r>
        <w:rPr>
          <w:color w:val="000000"/>
          <w:sz w:val="22"/>
          <w:szCs w:val="22"/>
          <w:lang w:val="es-ES"/>
        </w:rPr>
        <w:t xml:space="preserve"> </w:t>
      </w:r>
      <w:proofErr w:type="spellStart"/>
      <w:r>
        <w:rPr>
          <w:color w:val="000000"/>
          <w:sz w:val="22"/>
          <w:szCs w:val="22"/>
          <w:lang w:val="es-ES"/>
        </w:rPr>
        <w:t>indications</w:t>
      </w:r>
      <w:proofErr w:type="spellEnd"/>
      <w:r>
        <w:rPr>
          <w:color w:val="000000"/>
          <w:sz w:val="22"/>
          <w:szCs w:val="22"/>
          <w:lang w:val="es-ES"/>
        </w:rPr>
        <w:t>.</w:t>
      </w:r>
    </w:p>
    <w:p w14:paraId="0D9DFC73" w14:textId="77777777" w:rsidR="00E255F4" w:rsidRDefault="00000000">
      <w:pPr>
        <w:numPr>
          <w:ilvl w:val="3"/>
          <w:numId w:val="4"/>
        </w:numPr>
        <w:tabs>
          <w:tab w:val="left" w:pos="851"/>
        </w:tabs>
        <w:spacing w:before="120" w:after="120"/>
        <w:ind w:left="851" w:hanging="851"/>
        <w:jc w:val="both"/>
      </w:pPr>
      <w:r>
        <w:rPr>
          <w:color w:val="000000"/>
          <w:sz w:val="22"/>
          <w:szCs w:val="22"/>
          <w:lang w:val="es-ES"/>
        </w:rPr>
        <w:t xml:space="preserve">The meter </w:t>
      </w:r>
      <w:proofErr w:type="spellStart"/>
      <w:r>
        <w:rPr>
          <w:color w:val="000000"/>
          <w:sz w:val="22"/>
          <w:szCs w:val="22"/>
          <w:lang w:val="es-ES"/>
        </w:rPr>
        <w:t>must</w:t>
      </w:r>
      <w:proofErr w:type="spellEnd"/>
      <w:r>
        <w:rPr>
          <w:color w:val="000000"/>
          <w:sz w:val="22"/>
          <w:szCs w:val="22"/>
          <w:lang w:val="es-ES"/>
        </w:rPr>
        <w:t xml:space="preserve"> </w:t>
      </w:r>
      <w:proofErr w:type="spellStart"/>
      <w:r>
        <w:rPr>
          <w:color w:val="000000"/>
          <w:sz w:val="22"/>
          <w:szCs w:val="22"/>
          <w:lang w:val="es-ES"/>
        </w:rPr>
        <w:t>not</w:t>
      </w:r>
      <w:proofErr w:type="spellEnd"/>
      <w:r>
        <w:rPr>
          <w:color w:val="000000"/>
          <w:sz w:val="22"/>
          <w:szCs w:val="22"/>
          <w:lang w:val="es-ES"/>
        </w:rPr>
        <w:t xml:space="preserve"> </w:t>
      </w:r>
      <w:proofErr w:type="spellStart"/>
      <w:r>
        <w:rPr>
          <w:color w:val="000000"/>
          <w:sz w:val="22"/>
          <w:szCs w:val="22"/>
          <w:lang w:val="es-ES"/>
        </w:rPr>
        <w:t>fog</w:t>
      </w:r>
      <w:proofErr w:type="spellEnd"/>
      <w:r>
        <w:rPr>
          <w:color w:val="000000"/>
          <w:sz w:val="22"/>
          <w:szCs w:val="22"/>
          <w:lang w:val="es-ES"/>
        </w:rPr>
        <w:t xml:space="preserve"> up </w:t>
      </w:r>
      <w:proofErr w:type="spellStart"/>
      <w:r>
        <w:rPr>
          <w:color w:val="000000"/>
          <w:sz w:val="22"/>
          <w:szCs w:val="22"/>
          <w:lang w:val="es-ES"/>
        </w:rPr>
        <w:t>under</w:t>
      </w:r>
      <w:proofErr w:type="spellEnd"/>
      <w:r>
        <w:rPr>
          <w:color w:val="000000"/>
          <w:sz w:val="22"/>
          <w:szCs w:val="22"/>
          <w:lang w:val="es-ES"/>
        </w:rPr>
        <w:t xml:space="preserve"> </w:t>
      </w:r>
      <w:proofErr w:type="spellStart"/>
      <w:r>
        <w:rPr>
          <w:color w:val="000000"/>
          <w:sz w:val="22"/>
          <w:szCs w:val="22"/>
          <w:lang w:val="es-ES"/>
        </w:rPr>
        <w:t>any</w:t>
      </w:r>
      <w:proofErr w:type="spellEnd"/>
      <w:r>
        <w:rPr>
          <w:color w:val="000000"/>
          <w:sz w:val="22"/>
          <w:szCs w:val="22"/>
          <w:lang w:val="es-ES"/>
        </w:rPr>
        <w:t xml:space="preserve"> </w:t>
      </w:r>
      <w:proofErr w:type="spellStart"/>
      <w:r>
        <w:rPr>
          <w:color w:val="000000"/>
          <w:sz w:val="22"/>
          <w:szCs w:val="22"/>
          <w:lang w:val="es-ES"/>
        </w:rPr>
        <w:t>weather</w:t>
      </w:r>
      <w:proofErr w:type="spellEnd"/>
      <w:r>
        <w:rPr>
          <w:color w:val="000000"/>
          <w:sz w:val="22"/>
          <w:szCs w:val="22"/>
          <w:lang w:val="es-ES"/>
        </w:rPr>
        <w:t xml:space="preserve"> </w:t>
      </w:r>
      <w:proofErr w:type="spellStart"/>
      <w:r>
        <w:rPr>
          <w:color w:val="000000"/>
          <w:sz w:val="22"/>
          <w:szCs w:val="22"/>
          <w:lang w:val="es-ES"/>
        </w:rPr>
        <w:t>conditions</w:t>
      </w:r>
      <w:proofErr w:type="spellEnd"/>
      <w:r>
        <w:rPr>
          <w:color w:val="000000"/>
          <w:sz w:val="22"/>
          <w:szCs w:val="22"/>
          <w:lang w:val="es-ES"/>
        </w:rPr>
        <w:t xml:space="preserve">. </w:t>
      </w:r>
      <w:proofErr w:type="spellStart"/>
      <w:r>
        <w:rPr>
          <w:color w:val="000000"/>
          <w:sz w:val="22"/>
          <w:szCs w:val="22"/>
          <w:lang w:val="es-ES"/>
        </w:rPr>
        <w:t>It</w:t>
      </w:r>
      <w:proofErr w:type="spellEnd"/>
      <w:r>
        <w:rPr>
          <w:color w:val="000000"/>
          <w:sz w:val="22"/>
          <w:szCs w:val="22"/>
          <w:lang w:val="es-ES"/>
        </w:rPr>
        <w:t xml:space="preserve"> </w:t>
      </w:r>
      <w:proofErr w:type="spellStart"/>
      <w:r>
        <w:rPr>
          <w:color w:val="000000"/>
          <w:sz w:val="22"/>
          <w:szCs w:val="22"/>
          <w:lang w:val="es-ES"/>
        </w:rPr>
        <w:t>is</w:t>
      </w:r>
      <w:proofErr w:type="spellEnd"/>
      <w:r>
        <w:rPr>
          <w:color w:val="000000"/>
          <w:sz w:val="22"/>
          <w:szCs w:val="22"/>
          <w:lang w:val="es-ES"/>
        </w:rPr>
        <w:t xml:space="preserve"> </w:t>
      </w:r>
      <w:proofErr w:type="spellStart"/>
      <w:r>
        <w:rPr>
          <w:color w:val="000000"/>
          <w:sz w:val="22"/>
          <w:szCs w:val="22"/>
          <w:lang w:val="es-ES"/>
        </w:rPr>
        <w:t>expressly</w:t>
      </w:r>
      <w:proofErr w:type="spellEnd"/>
      <w:r>
        <w:rPr>
          <w:color w:val="000000"/>
          <w:sz w:val="22"/>
          <w:szCs w:val="22"/>
          <w:lang w:val="es-ES"/>
        </w:rPr>
        <w:t xml:space="preserve"> </w:t>
      </w:r>
      <w:proofErr w:type="spellStart"/>
      <w:r>
        <w:rPr>
          <w:color w:val="000000"/>
          <w:sz w:val="22"/>
          <w:szCs w:val="22"/>
          <w:lang w:val="es-ES"/>
        </w:rPr>
        <w:t>stated</w:t>
      </w:r>
      <w:proofErr w:type="spellEnd"/>
      <w:r>
        <w:rPr>
          <w:color w:val="000000"/>
          <w:sz w:val="22"/>
          <w:szCs w:val="22"/>
          <w:lang w:val="es-ES"/>
        </w:rPr>
        <w:t xml:space="preserve"> </w:t>
      </w:r>
      <w:proofErr w:type="spellStart"/>
      <w:r>
        <w:rPr>
          <w:color w:val="000000"/>
          <w:sz w:val="22"/>
          <w:szCs w:val="22"/>
          <w:lang w:val="es-ES"/>
        </w:rPr>
        <w:t>that</w:t>
      </w:r>
      <w:proofErr w:type="spellEnd"/>
      <w:r>
        <w:rPr>
          <w:color w:val="000000"/>
          <w:sz w:val="22"/>
          <w:szCs w:val="22"/>
          <w:lang w:val="es-ES"/>
        </w:rPr>
        <w:t xml:space="preserve"> </w:t>
      </w:r>
      <w:proofErr w:type="spellStart"/>
      <w:r>
        <w:rPr>
          <w:color w:val="000000"/>
          <w:sz w:val="22"/>
          <w:szCs w:val="22"/>
          <w:lang w:val="es-ES"/>
        </w:rPr>
        <w:t>this</w:t>
      </w:r>
      <w:proofErr w:type="spellEnd"/>
      <w:r>
        <w:rPr>
          <w:color w:val="000000"/>
          <w:sz w:val="22"/>
          <w:szCs w:val="22"/>
          <w:lang w:val="es-ES"/>
        </w:rPr>
        <w:t xml:space="preserve"> </w:t>
      </w:r>
      <w:proofErr w:type="spellStart"/>
      <w:r>
        <w:rPr>
          <w:color w:val="000000"/>
          <w:sz w:val="22"/>
          <w:szCs w:val="22"/>
          <w:lang w:val="es-ES"/>
        </w:rPr>
        <w:t>requirement</w:t>
      </w:r>
      <w:proofErr w:type="spellEnd"/>
      <w:r>
        <w:rPr>
          <w:color w:val="000000"/>
          <w:sz w:val="22"/>
          <w:szCs w:val="22"/>
          <w:lang w:val="es-ES"/>
        </w:rPr>
        <w:t xml:space="preserve"> </w:t>
      </w:r>
      <w:proofErr w:type="spellStart"/>
      <w:r>
        <w:rPr>
          <w:color w:val="000000"/>
          <w:sz w:val="22"/>
          <w:szCs w:val="22"/>
          <w:lang w:val="es-ES"/>
        </w:rPr>
        <w:t>will</w:t>
      </w:r>
      <w:proofErr w:type="spellEnd"/>
      <w:r>
        <w:rPr>
          <w:color w:val="000000"/>
          <w:sz w:val="22"/>
          <w:szCs w:val="22"/>
          <w:lang w:val="es-ES"/>
        </w:rPr>
        <w:t xml:space="preserve"> be </w:t>
      </w:r>
      <w:proofErr w:type="spellStart"/>
      <w:r>
        <w:rPr>
          <w:color w:val="000000"/>
          <w:sz w:val="22"/>
          <w:szCs w:val="22"/>
          <w:lang w:val="es-ES"/>
        </w:rPr>
        <w:t>strictly</w:t>
      </w:r>
      <w:proofErr w:type="spellEnd"/>
      <w:r>
        <w:rPr>
          <w:color w:val="000000"/>
          <w:sz w:val="22"/>
          <w:szCs w:val="22"/>
          <w:lang w:val="es-ES"/>
        </w:rPr>
        <w:t xml:space="preserve"> </w:t>
      </w:r>
      <w:proofErr w:type="spellStart"/>
      <w:r>
        <w:rPr>
          <w:color w:val="000000"/>
          <w:sz w:val="22"/>
          <w:szCs w:val="22"/>
          <w:lang w:val="es-ES"/>
        </w:rPr>
        <w:t>enforced</w:t>
      </w:r>
      <w:proofErr w:type="spellEnd"/>
      <w:r>
        <w:rPr>
          <w:color w:val="000000"/>
          <w:sz w:val="22"/>
          <w:szCs w:val="22"/>
          <w:lang w:val="es-ES"/>
        </w:rPr>
        <w:t xml:space="preserve">, and </w:t>
      </w:r>
      <w:proofErr w:type="spellStart"/>
      <w:r>
        <w:rPr>
          <w:color w:val="000000"/>
          <w:sz w:val="22"/>
          <w:szCs w:val="22"/>
          <w:lang w:val="es-ES"/>
        </w:rPr>
        <w:t>the</w:t>
      </w:r>
      <w:proofErr w:type="spellEnd"/>
      <w:r>
        <w:rPr>
          <w:color w:val="000000"/>
          <w:sz w:val="22"/>
          <w:szCs w:val="22"/>
          <w:lang w:val="es-ES"/>
        </w:rPr>
        <w:t xml:space="preserve"> </w:t>
      </w:r>
      <w:proofErr w:type="spellStart"/>
      <w:r>
        <w:rPr>
          <w:color w:val="000000"/>
          <w:sz w:val="22"/>
          <w:szCs w:val="22"/>
          <w:lang w:val="es-ES"/>
        </w:rPr>
        <w:t>terms</w:t>
      </w:r>
      <w:proofErr w:type="spellEnd"/>
      <w:r>
        <w:rPr>
          <w:color w:val="000000"/>
          <w:sz w:val="22"/>
          <w:szCs w:val="22"/>
          <w:lang w:val="es-ES"/>
        </w:rPr>
        <w:t xml:space="preserve"> </w:t>
      </w:r>
      <w:proofErr w:type="spellStart"/>
      <w:r>
        <w:rPr>
          <w:color w:val="000000"/>
          <w:sz w:val="22"/>
          <w:szCs w:val="22"/>
          <w:lang w:val="es-ES"/>
        </w:rPr>
        <w:t>of</w:t>
      </w:r>
      <w:proofErr w:type="spellEnd"/>
      <w:r>
        <w:rPr>
          <w:color w:val="000000"/>
          <w:sz w:val="22"/>
          <w:szCs w:val="22"/>
          <w:lang w:val="es-ES"/>
        </w:rPr>
        <w:t xml:space="preserve"> </w:t>
      </w:r>
      <w:proofErr w:type="spellStart"/>
      <w:r>
        <w:rPr>
          <w:color w:val="000000"/>
          <w:sz w:val="22"/>
          <w:szCs w:val="22"/>
          <w:lang w:val="es-ES"/>
        </w:rPr>
        <w:t>the</w:t>
      </w:r>
      <w:proofErr w:type="spellEnd"/>
      <w:r>
        <w:rPr>
          <w:color w:val="000000"/>
          <w:sz w:val="22"/>
          <w:szCs w:val="22"/>
          <w:lang w:val="es-ES"/>
        </w:rPr>
        <w:t xml:space="preserve"> </w:t>
      </w:r>
      <w:proofErr w:type="spellStart"/>
      <w:r>
        <w:rPr>
          <w:color w:val="000000"/>
          <w:sz w:val="22"/>
          <w:szCs w:val="22"/>
          <w:lang w:val="es-ES"/>
        </w:rPr>
        <w:t>warranty</w:t>
      </w:r>
      <w:proofErr w:type="spellEnd"/>
      <w:r>
        <w:rPr>
          <w:color w:val="000000"/>
          <w:sz w:val="22"/>
          <w:szCs w:val="22"/>
          <w:lang w:val="es-ES"/>
        </w:rPr>
        <w:t xml:space="preserve"> </w:t>
      </w:r>
      <w:proofErr w:type="spellStart"/>
      <w:r>
        <w:rPr>
          <w:color w:val="000000"/>
          <w:sz w:val="22"/>
          <w:szCs w:val="22"/>
          <w:lang w:val="es-ES"/>
        </w:rPr>
        <w:t>may</w:t>
      </w:r>
      <w:proofErr w:type="spellEnd"/>
      <w:r>
        <w:rPr>
          <w:color w:val="000000"/>
          <w:sz w:val="22"/>
          <w:szCs w:val="22"/>
          <w:lang w:val="es-ES"/>
        </w:rPr>
        <w:t xml:space="preserve"> </w:t>
      </w:r>
      <w:proofErr w:type="spellStart"/>
      <w:r>
        <w:rPr>
          <w:color w:val="000000"/>
          <w:sz w:val="22"/>
          <w:szCs w:val="22"/>
          <w:lang w:val="es-ES"/>
        </w:rPr>
        <w:t>apply</w:t>
      </w:r>
      <w:proofErr w:type="spellEnd"/>
      <w:r>
        <w:rPr>
          <w:color w:val="000000"/>
          <w:sz w:val="22"/>
          <w:szCs w:val="22"/>
          <w:lang w:val="es-ES"/>
        </w:rPr>
        <w:t xml:space="preserve"> </w:t>
      </w:r>
      <w:proofErr w:type="spellStart"/>
      <w:r>
        <w:rPr>
          <w:color w:val="000000"/>
          <w:sz w:val="22"/>
          <w:szCs w:val="22"/>
          <w:lang w:val="es-ES"/>
        </w:rPr>
        <w:t>if</w:t>
      </w:r>
      <w:proofErr w:type="spellEnd"/>
      <w:r>
        <w:rPr>
          <w:color w:val="000000"/>
          <w:sz w:val="22"/>
          <w:szCs w:val="22"/>
          <w:lang w:val="es-ES"/>
        </w:rPr>
        <w:t xml:space="preserve"> </w:t>
      </w:r>
      <w:proofErr w:type="spellStart"/>
      <w:r>
        <w:rPr>
          <w:color w:val="000000"/>
          <w:sz w:val="22"/>
          <w:szCs w:val="22"/>
          <w:lang w:val="es-ES"/>
        </w:rPr>
        <w:t>fogging</w:t>
      </w:r>
      <w:proofErr w:type="spellEnd"/>
      <w:r>
        <w:rPr>
          <w:color w:val="000000"/>
          <w:sz w:val="22"/>
          <w:szCs w:val="22"/>
          <w:lang w:val="es-ES"/>
        </w:rPr>
        <w:t xml:space="preserve"> </w:t>
      </w:r>
      <w:proofErr w:type="spellStart"/>
      <w:r>
        <w:rPr>
          <w:color w:val="000000"/>
          <w:sz w:val="22"/>
          <w:szCs w:val="22"/>
          <w:lang w:val="es-ES"/>
        </w:rPr>
        <w:t>is</w:t>
      </w:r>
      <w:proofErr w:type="spellEnd"/>
      <w:r>
        <w:rPr>
          <w:color w:val="000000"/>
          <w:sz w:val="22"/>
          <w:szCs w:val="22"/>
          <w:lang w:val="es-ES"/>
        </w:rPr>
        <w:t xml:space="preserve"> </w:t>
      </w:r>
      <w:proofErr w:type="spellStart"/>
      <w:r>
        <w:rPr>
          <w:color w:val="000000"/>
          <w:sz w:val="22"/>
          <w:szCs w:val="22"/>
          <w:lang w:val="es-ES"/>
        </w:rPr>
        <w:t>found</w:t>
      </w:r>
      <w:proofErr w:type="spellEnd"/>
      <w:r>
        <w:rPr>
          <w:color w:val="000000"/>
          <w:sz w:val="22"/>
          <w:szCs w:val="22"/>
          <w:lang w:val="es-ES"/>
        </w:rPr>
        <w:t xml:space="preserve"> in </w:t>
      </w:r>
      <w:proofErr w:type="spellStart"/>
      <w:r>
        <w:rPr>
          <w:color w:val="000000"/>
          <w:sz w:val="22"/>
          <w:szCs w:val="22"/>
          <w:lang w:val="es-ES"/>
        </w:rPr>
        <w:t>service</w:t>
      </w:r>
      <w:proofErr w:type="spellEnd"/>
      <w:r>
        <w:rPr>
          <w:color w:val="000000"/>
          <w:sz w:val="22"/>
          <w:szCs w:val="22"/>
          <w:lang w:val="es-ES"/>
        </w:rPr>
        <w:t>.</w:t>
      </w:r>
    </w:p>
    <w:p w14:paraId="00EA7843" w14:textId="77777777" w:rsidR="00E255F4" w:rsidRDefault="00000000">
      <w:pPr>
        <w:numPr>
          <w:ilvl w:val="3"/>
          <w:numId w:val="4"/>
        </w:numPr>
        <w:tabs>
          <w:tab w:val="left" w:pos="851"/>
        </w:tabs>
        <w:spacing w:before="120" w:after="120"/>
        <w:ind w:left="851" w:hanging="851"/>
        <w:jc w:val="both"/>
        <w:rPr>
          <w:color w:val="000000"/>
          <w:sz w:val="22"/>
          <w:szCs w:val="22"/>
          <w:lang w:val="es-ES"/>
        </w:rPr>
      </w:pPr>
      <w:r>
        <w:rPr>
          <w:color w:val="000000"/>
          <w:sz w:val="22"/>
          <w:szCs w:val="22"/>
          <w:lang w:val="es-ES"/>
        </w:rPr>
        <w:t xml:space="preserve">The visor </w:t>
      </w:r>
      <w:proofErr w:type="spellStart"/>
      <w:r>
        <w:rPr>
          <w:color w:val="000000"/>
          <w:sz w:val="22"/>
          <w:szCs w:val="22"/>
          <w:lang w:val="es-ES"/>
        </w:rPr>
        <w:t>may</w:t>
      </w:r>
      <w:proofErr w:type="spellEnd"/>
      <w:r>
        <w:rPr>
          <w:color w:val="000000"/>
          <w:sz w:val="22"/>
          <w:szCs w:val="22"/>
          <w:lang w:val="es-ES"/>
        </w:rPr>
        <w:t xml:space="preserve"> be </w:t>
      </w:r>
      <w:proofErr w:type="spellStart"/>
      <w:r>
        <w:rPr>
          <w:color w:val="000000"/>
          <w:sz w:val="22"/>
          <w:szCs w:val="22"/>
          <w:lang w:val="es-ES"/>
        </w:rPr>
        <w:t>presented</w:t>
      </w:r>
      <w:proofErr w:type="spellEnd"/>
      <w:r>
        <w:rPr>
          <w:color w:val="000000"/>
          <w:sz w:val="22"/>
          <w:szCs w:val="22"/>
          <w:lang w:val="es-ES"/>
        </w:rPr>
        <w:t xml:space="preserve"> in </w:t>
      </w:r>
      <w:proofErr w:type="spellStart"/>
      <w:r>
        <w:rPr>
          <w:color w:val="000000"/>
          <w:sz w:val="22"/>
          <w:szCs w:val="22"/>
          <w:lang w:val="es-ES"/>
        </w:rPr>
        <w:t>transparent</w:t>
      </w:r>
      <w:proofErr w:type="spellEnd"/>
      <w:r>
        <w:rPr>
          <w:color w:val="000000"/>
          <w:sz w:val="22"/>
          <w:szCs w:val="22"/>
          <w:lang w:val="es-ES"/>
        </w:rPr>
        <w:t xml:space="preserve"> and shock-</w:t>
      </w:r>
      <w:proofErr w:type="spellStart"/>
      <w:r>
        <w:rPr>
          <w:color w:val="000000"/>
          <w:sz w:val="22"/>
          <w:szCs w:val="22"/>
          <w:lang w:val="es-ES"/>
        </w:rPr>
        <w:t>resistant</w:t>
      </w:r>
      <w:proofErr w:type="spellEnd"/>
      <w:r>
        <w:rPr>
          <w:color w:val="000000"/>
          <w:sz w:val="22"/>
          <w:szCs w:val="22"/>
          <w:lang w:val="es-ES"/>
        </w:rPr>
        <w:t xml:space="preserve"> </w:t>
      </w:r>
      <w:proofErr w:type="spellStart"/>
      <w:r>
        <w:rPr>
          <w:color w:val="000000"/>
          <w:sz w:val="22"/>
          <w:szCs w:val="22"/>
          <w:lang w:val="es-ES"/>
        </w:rPr>
        <w:t>plastic</w:t>
      </w:r>
      <w:proofErr w:type="spellEnd"/>
      <w:r>
        <w:rPr>
          <w:color w:val="000000"/>
          <w:sz w:val="22"/>
          <w:szCs w:val="22"/>
          <w:lang w:val="es-ES"/>
        </w:rPr>
        <w:t xml:space="preserve"> material, </w:t>
      </w:r>
      <w:proofErr w:type="spellStart"/>
      <w:r>
        <w:rPr>
          <w:color w:val="000000"/>
          <w:sz w:val="22"/>
          <w:szCs w:val="22"/>
          <w:lang w:val="es-ES"/>
        </w:rPr>
        <w:t>or</w:t>
      </w:r>
      <w:proofErr w:type="spellEnd"/>
      <w:r>
        <w:rPr>
          <w:color w:val="000000"/>
          <w:sz w:val="22"/>
          <w:szCs w:val="22"/>
          <w:lang w:val="es-ES"/>
        </w:rPr>
        <w:t xml:space="preserve"> in </w:t>
      </w:r>
      <w:proofErr w:type="spellStart"/>
      <w:r>
        <w:rPr>
          <w:color w:val="000000"/>
          <w:sz w:val="22"/>
          <w:szCs w:val="22"/>
          <w:lang w:val="es-ES"/>
        </w:rPr>
        <w:t>glass</w:t>
      </w:r>
      <w:proofErr w:type="spellEnd"/>
      <w:r>
        <w:rPr>
          <w:color w:val="000000"/>
          <w:sz w:val="22"/>
          <w:szCs w:val="22"/>
          <w:lang w:val="es-ES"/>
        </w:rPr>
        <w:t xml:space="preserve"> </w:t>
      </w:r>
      <w:proofErr w:type="spellStart"/>
      <w:r>
        <w:rPr>
          <w:color w:val="000000"/>
          <w:sz w:val="22"/>
          <w:szCs w:val="22"/>
          <w:lang w:val="es-ES"/>
        </w:rPr>
        <w:t>or</w:t>
      </w:r>
      <w:proofErr w:type="spellEnd"/>
      <w:r>
        <w:rPr>
          <w:color w:val="000000"/>
          <w:sz w:val="22"/>
          <w:szCs w:val="22"/>
          <w:lang w:val="es-ES"/>
        </w:rPr>
        <w:t xml:space="preserve"> </w:t>
      </w:r>
      <w:proofErr w:type="spellStart"/>
      <w:r>
        <w:rPr>
          <w:color w:val="000000"/>
          <w:sz w:val="22"/>
          <w:szCs w:val="22"/>
          <w:lang w:val="es-ES"/>
        </w:rPr>
        <w:t>crystal</w:t>
      </w:r>
      <w:proofErr w:type="spellEnd"/>
      <w:r>
        <w:rPr>
          <w:color w:val="000000"/>
          <w:sz w:val="22"/>
          <w:szCs w:val="22"/>
          <w:lang w:val="es-ES"/>
        </w:rPr>
        <w:t xml:space="preserve"> </w:t>
      </w:r>
      <w:proofErr w:type="spellStart"/>
      <w:r>
        <w:rPr>
          <w:color w:val="000000"/>
          <w:sz w:val="22"/>
          <w:szCs w:val="22"/>
          <w:lang w:val="es-ES"/>
        </w:rPr>
        <w:t>with</w:t>
      </w:r>
      <w:proofErr w:type="spellEnd"/>
      <w:r>
        <w:rPr>
          <w:color w:val="000000"/>
          <w:sz w:val="22"/>
          <w:szCs w:val="22"/>
          <w:lang w:val="es-ES"/>
        </w:rPr>
        <w:t xml:space="preserve"> similar </w:t>
      </w:r>
      <w:proofErr w:type="spellStart"/>
      <w:r>
        <w:rPr>
          <w:color w:val="000000"/>
          <w:sz w:val="22"/>
          <w:szCs w:val="22"/>
          <w:lang w:val="es-ES"/>
        </w:rPr>
        <w:t>characteristics</w:t>
      </w:r>
      <w:proofErr w:type="spellEnd"/>
      <w:r>
        <w:rPr>
          <w:color w:val="000000"/>
          <w:sz w:val="22"/>
          <w:szCs w:val="22"/>
          <w:lang w:val="es-ES"/>
        </w:rPr>
        <w:t>.</w:t>
      </w:r>
    </w:p>
    <w:p w14:paraId="3E144375" w14:textId="77777777" w:rsidR="00E255F4" w:rsidRDefault="00000000">
      <w:pPr>
        <w:pStyle w:val="Prrafodelista"/>
        <w:numPr>
          <w:ilvl w:val="2"/>
          <w:numId w:val="4"/>
        </w:numPr>
        <w:spacing w:before="240" w:after="120"/>
        <w:ind w:left="709" w:hanging="709"/>
        <w:rPr>
          <w:b/>
          <w:bCs/>
          <w:iCs/>
          <w:sz w:val="22"/>
          <w:szCs w:val="22"/>
          <w:lang w:val="es-ES"/>
        </w:rPr>
      </w:pPr>
      <w:r>
        <w:rPr>
          <w:b/>
          <w:bCs/>
          <w:iCs/>
          <w:sz w:val="22"/>
          <w:szCs w:val="22"/>
          <w:lang w:val="es-ES"/>
        </w:rPr>
        <w:t>Seals</w:t>
      </w:r>
    </w:p>
    <w:p w14:paraId="2A6CC449" w14:textId="77777777" w:rsidR="00E255F4" w:rsidRDefault="00000000">
      <w:pPr>
        <w:tabs>
          <w:tab w:val="left" w:pos="-720"/>
          <w:tab w:val="left" w:pos="567"/>
          <w:tab w:val="left" w:pos="709"/>
        </w:tabs>
        <w:ind w:left="709"/>
        <w:jc w:val="both"/>
      </w:pPr>
      <w:r>
        <w:rPr>
          <w:color w:val="000000"/>
          <w:sz w:val="22"/>
          <w:szCs w:val="22"/>
          <w:lang w:val="es-ES"/>
        </w:rPr>
        <w:t xml:space="preserve">The </w:t>
      </w:r>
      <w:proofErr w:type="spellStart"/>
      <w:r>
        <w:rPr>
          <w:color w:val="000000"/>
          <w:sz w:val="22"/>
          <w:szCs w:val="22"/>
          <w:lang w:val="es-ES"/>
        </w:rPr>
        <w:t>meters</w:t>
      </w:r>
      <w:proofErr w:type="spellEnd"/>
      <w:r>
        <w:rPr>
          <w:color w:val="000000"/>
          <w:sz w:val="22"/>
          <w:szCs w:val="22"/>
          <w:lang w:val="es-ES"/>
        </w:rPr>
        <w:t xml:space="preserve"> </w:t>
      </w:r>
      <w:proofErr w:type="spellStart"/>
      <w:r>
        <w:rPr>
          <w:color w:val="000000"/>
          <w:sz w:val="22"/>
          <w:szCs w:val="22"/>
          <w:lang w:val="es-ES"/>
        </w:rPr>
        <w:t>must</w:t>
      </w:r>
      <w:proofErr w:type="spellEnd"/>
      <w:r>
        <w:rPr>
          <w:color w:val="000000"/>
          <w:sz w:val="22"/>
          <w:szCs w:val="22"/>
          <w:lang w:val="es-ES"/>
        </w:rPr>
        <w:t xml:space="preserve"> </w:t>
      </w:r>
      <w:proofErr w:type="spellStart"/>
      <w:r>
        <w:rPr>
          <w:color w:val="000000"/>
          <w:sz w:val="22"/>
          <w:szCs w:val="22"/>
          <w:lang w:val="es-ES"/>
        </w:rPr>
        <w:t>have</w:t>
      </w:r>
      <w:proofErr w:type="spellEnd"/>
      <w:r>
        <w:rPr>
          <w:color w:val="000000"/>
          <w:sz w:val="22"/>
          <w:szCs w:val="22"/>
          <w:lang w:val="es-ES"/>
        </w:rPr>
        <w:t xml:space="preserve">, </w:t>
      </w:r>
      <w:proofErr w:type="spellStart"/>
      <w:r>
        <w:rPr>
          <w:color w:val="000000"/>
          <w:sz w:val="22"/>
          <w:szCs w:val="22"/>
          <w:lang w:val="es-ES"/>
        </w:rPr>
        <w:t>from</w:t>
      </w:r>
      <w:proofErr w:type="spellEnd"/>
      <w:r>
        <w:rPr>
          <w:color w:val="000000"/>
          <w:sz w:val="22"/>
          <w:szCs w:val="22"/>
          <w:lang w:val="es-ES"/>
        </w:rPr>
        <w:t xml:space="preserve"> </w:t>
      </w:r>
      <w:proofErr w:type="spellStart"/>
      <w:r>
        <w:rPr>
          <w:color w:val="000000"/>
          <w:sz w:val="22"/>
          <w:szCs w:val="22"/>
          <w:lang w:val="es-ES"/>
        </w:rPr>
        <w:t>the</w:t>
      </w:r>
      <w:proofErr w:type="spellEnd"/>
      <w:r>
        <w:rPr>
          <w:color w:val="000000"/>
          <w:sz w:val="22"/>
          <w:szCs w:val="22"/>
          <w:lang w:val="es-ES"/>
        </w:rPr>
        <w:t xml:space="preserve"> </w:t>
      </w:r>
      <w:proofErr w:type="spellStart"/>
      <w:r>
        <w:rPr>
          <w:color w:val="000000"/>
          <w:sz w:val="22"/>
          <w:szCs w:val="22"/>
          <w:lang w:val="es-ES"/>
        </w:rPr>
        <w:t>factory</w:t>
      </w:r>
      <w:proofErr w:type="spellEnd"/>
      <w:r>
        <w:rPr>
          <w:color w:val="000000"/>
          <w:sz w:val="22"/>
          <w:szCs w:val="22"/>
          <w:lang w:val="es-ES"/>
        </w:rPr>
        <w:t xml:space="preserve">, a </w:t>
      </w:r>
      <w:proofErr w:type="spellStart"/>
      <w:r>
        <w:rPr>
          <w:color w:val="000000"/>
          <w:sz w:val="22"/>
          <w:szCs w:val="22"/>
          <w:lang w:val="es-ES"/>
        </w:rPr>
        <w:t>device</w:t>
      </w:r>
      <w:proofErr w:type="spellEnd"/>
      <w:r>
        <w:rPr>
          <w:color w:val="000000"/>
          <w:sz w:val="22"/>
          <w:szCs w:val="22"/>
          <w:lang w:val="es-ES"/>
        </w:rPr>
        <w:t xml:space="preserve"> </w:t>
      </w:r>
      <w:proofErr w:type="spellStart"/>
      <w:r>
        <w:rPr>
          <w:color w:val="000000"/>
          <w:sz w:val="22"/>
          <w:szCs w:val="22"/>
          <w:lang w:val="es-ES"/>
        </w:rPr>
        <w:t>that</w:t>
      </w:r>
      <w:proofErr w:type="spellEnd"/>
      <w:r>
        <w:rPr>
          <w:color w:val="000000"/>
          <w:sz w:val="22"/>
          <w:szCs w:val="22"/>
          <w:lang w:val="es-ES"/>
        </w:rPr>
        <w:t xml:space="preserve"> </w:t>
      </w:r>
      <w:proofErr w:type="spellStart"/>
      <w:r>
        <w:rPr>
          <w:color w:val="000000"/>
          <w:sz w:val="22"/>
          <w:szCs w:val="22"/>
          <w:lang w:val="es-ES"/>
        </w:rPr>
        <w:t>ensures</w:t>
      </w:r>
      <w:proofErr w:type="spellEnd"/>
      <w:r>
        <w:rPr>
          <w:color w:val="000000"/>
          <w:sz w:val="22"/>
          <w:szCs w:val="22"/>
          <w:lang w:val="es-ES"/>
        </w:rPr>
        <w:t xml:space="preserve"> </w:t>
      </w:r>
      <w:proofErr w:type="spellStart"/>
      <w:r>
        <w:rPr>
          <w:color w:val="000000"/>
          <w:sz w:val="22"/>
          <w:szCs w:val="22"/>
          <w:lang w:val="es-ES"/>
        </w:rPr>
        <w:t>their</w:t>
      </w:r>
      <w:proofErr w:type="spellEnd"/>
      <w:r>
        <w:rPr>
          <w:color w:val="000000"/>
          <w:sz w:val="22"/>
          <w:szCs w:val="22"/>
          <w:lang w:val="es-ES"/>
        </w:rPr>
        <w:t xml:space="preserve"> </w:t>
      </w:r>
      <w:proofErr w:type="spellStart"/>
      <w:r>
        <w:rPr>
          <w:color w:val="000000"/>
          <w:sz w:val="22"/>
          <w:szCs w:val="22"/>
          <w:lang w:val="es-ES"/>
        </w:rPr>
        <w:t>inviolability</w:t>
      </w:r>
      <w:proofErr w:type="spellEnd"/>
      <w:r>
        <w:rPr>
          <w:color w:val="000000"/>
          <w:sz w:val="22"/>
          <w:szCs w:val="22"/>
          <w:lang w:val="es-ES"/>
        </w:rPr>
        <w:t xml:space="preserve"> (</w:t>
      </w:r>
      <w:proofErr w:type="spellStart"/>
      <w:r>
        <w:rPr>
          <w:color w:val="000000"/>
          <w:sz w:val="22"/>
          <w:szCs w:val="22"/>
          <w:lang w:val="es-ES"/>
        </w:rPr>
        <w:t>seal</w:t>
      </w:r>
      <w:proofErr w:type="spellEnd"/>
      <w:r>
        <w:rPr>
          <w:color w:val="000000"/>
          <w:sz w:val="22"/>
          <w:szCs w:val="22"/>
          <w:lang w:val="es-ES"/>
        </w:rPr>
        <w:t xml:space="preserve">), in </w:t>
      </w:r>
      <w:proofErr w:type="spellStart"/>
      <w:r>
        <w:rPr>
          <w:color w:val="000000"/>
          <w:sz w:val="22"/>
          <w:szCs w:val="22"/>
          <w:lang w:val="es-ES"/>
        </w:rPr>
        <w:t>such</w:t>
      </w:r>
      <w:proofErr w:type="spellEnd"/>
      <w:r>
        <w:rPr>
          <w:color w:val="000000"/>
          <w:sz w:val="22"/>
          <w:szCs w:val="22"/>
          <w:lang w:val="es-ES"/>
        </w:rPr>
        <w:t xml:space="preserve"> a </w:t>
      </w:r>
      <w:proofErr w:type="spellStart"/>
      <w:r>
        <w:rPr>
          <w:color w:val="000000"/>
          <w:sz w:val="22"/>
          <w:szCs w:val="22"/>
          <w:lang w:val="es-ES"/>
        </w:rPr>
        <w:t>way</w:t>
      </w:r>
      <w:proofErr w:type="spellEnd"/>
      <w:r>
        <w:rPr>
          <w:color w:val="000000"/>
          <w:sz w:val="22"/>
          <w:szCs w:val="22"/>
          <w:lang w:val="es-ES"/>
        </w:rPr>
        <w:t xml:space="preserve"> as </w:t>
      </w:r>
      <w:proofErr w:type="spellStart"/>
      <w:r>
        <w:rPr>
          <w:color w:val="000000"/>
          <w:sz w:val="22"/>
          <w:szCs w:val="22"/>
          <w:lang w:val="es-ES"/>
        </w:rPr>
        <w:t>to</w:t>
      </w:r>
      <w:proofErr w:type="spellEnd"/>
      <w:r>
        <w:rPr>
          <w:color w:val="000000"/>
          <w:sz w:val="22"/>
          <w:szCs w:val="22"/>
          <w:lang w:val="es-ES"/>
        </w:rPr>
        <w:t xml:space="preserve"> </w:t>
      </w:r>
      <w:proofErr w:type="spellStart"/>
      <w:r>
        <w:rPr>
          <w:color w:val="000000"/>
          <w:sz w:val="22"/>
          <w:szCs w:val="22"/>
          <w:lang w:val="es-ES"/>
        </w:rPr>
        <w:t>guarantee</w:t>
      </w:r>
      <w:proofErr w:type="spellEnd"/>
      <w:r>
        <w:rPr>
          <w:color w:val="000000"/>
          <w:sz w:val="22"/>
          <w:szCs w:val="22"/>
          <w:lang w:val="es-ES"/>
        </w:rPr>
        <w:t xml:space="preserve"> </w:t>
      </w:r>
      <w:proofErr w:type="spellStart"/>
      <w:r>
        <w:rPr>
          <w:color w:val="000000"/>
          <w:sz w:val="22"/>
          <w:szCs w:val="22"/>
          <w:lang w:val="es-ES"/>
        </w:rPr>
        <w:t>that</w:t>
      </w:r>
      <w:proofErr w:type="spellEnd"/>
      <w:r>
        <w:rPr>
          <w:color w:val="000000"/>
          <w:sz w:val="22"/>
          <w:szCs w:val="22"/>
          <w:lang w:val="es-ES"/>
        </w:rPr>
        <w:t xml:space="preserve"> </w:t>
      </w:r>
      <w:proofErr w:type="spellStart"/>
      <w:r>
        <w:rPr>
          <w:color w:val="000000"/>
          <w:sz w:val="22"/>
          <w:szCs w:val="22"/>
          <w:lang w:val="es-ES"/>
        </w:rPr>
        <w:t>the</w:t>
      </w:r>
      <w:proofErr w:type="spellEnd"/>
      <w:r>
        <w:rPr>
          <w:color w:val="000000"/>
          <w:sz w:val="22"/>
          <w:szCs w:val="22"/>
          <w:lang w:val="es-ES"/>
        </w:rPr>
        <w:t xml:space="preserve"> meter </w:t>
      </w:r>
      <w:proofErr w:type="spellStart"/>
      <w:r>
        <w:rPr>
          <w:color w:val="000000"/>
          <w:sz w:val="22"/>
          <w:szCs w:val="22"/>
          <w:lang w:val="es-ES"/>
        </w:rPr>
        <w:t>cannot</w:t>
      </w:r>
      <w:proofErr w:type="spellEnd"/>
      <w:r>
        <w:rPr>
          <w:color w:val="000000"/>
          <w:sz w:val="22"/>
          <w:szCs w:val="22"/>
          <w:lang w:val="es-ES"/>
        </w:rPr>
        <w:t xml:space="preserve"> be </w:t>
      </w:r>
      <w:proofErr w:type="spellStart"/>
      <w:r>
        <w:rPr>
          <w:color w:val="000000"/>
          <w:sz w:val="22"/>
          <w:szCs w:val="22"/>
          <w:lang w:val="es-ES"/>
        </w:rPr>
        <w:t>disassembled</w:t>
      </w:r>
      <w:proofErr w:type="spellEnd"/>
      <w:r>
        <w:rPr>
          <w:color w:val="000000"/>
          <w:sz w:val="22"/>
          <w:szCs w:val="22"/>
          <w:lang w:val="es-ES"/>
        </w:rPr>
        <w:t xml:space="preserve"> </w:t>
      </w:r>
      <w:proofErr w:type="spellStart"/>
      <w:r>
        <w:rPr>
          <w:color w:val="000000"/>
          <w:sz w:val="22"/>
          <w:szCs w:val="22"/>
          <w:lang w:val="es-ES"/>
        </w:rPr>
        <w:t>without</w:t>
      </w:r>
      <w:proofErr w:type="spellEnd"/>
      <w:r>
        <w:rPr>
          <w:color w:val="000000"/>
          <w:sz w:val="22"/>
          <w:szCs w:val="22"/>
          <w:lang w:val="es-ES"/>
        </w:rPr>
        <w:t xml:space="preserve"> </w:t>
      </w:r>
      <w:proofErr w:type="spellStart"/>
      <w:r>
        <w:rPr>
          <w:color w:val="000000"/>
          <w:sz w:val="22"/>
          <w:szCs w:val="22"/>
          <w:lang w:val="es-ES"/>
        </w:rPr>
        <w:t>obviously</w:t>
      </w:r>
      <w:proofErr w:type="spellEnd"/>
      <w:r>
        <w:rPr>
          <w:color w:val="000000"/>
          <w:sz w:val="22"/>
          <w:szCs w:val="22"/>
          <w:lang w:val="es-ES"/>
        </w:rPr>
        <w:t xml:space="preserve"> </w:t>
      </w:r>
      <w:proofErr w:type="spellStart"/>
      <w:r>
        <w:rPr>
          <w:color w:val="000000"/>
          <w:sz w:val="22"/>
          <w:szCs w:val="22"/>
          <w:lang w:val="es-ES"/>
        </w:rPr>
        <w:t>damaging</w:t>
      </w:r>
      <w:proofErr w:type="spellEnd"/>
      <w:r>
        <w:rPr>
          <w:color w:val="000000"/>
          <w:sz w:val="22"/>
          <w:szCs w:val="22"/>
          <w:lang w:val="es-ES"/>
        </w:rPr>
        <w:t xml:space="preserve"> </w:t>
      </w:r>
      <w:proofErr w:type="spellStart"/>
      <w:r>
        <w:rPr>
          <w:color w:val="000000"/>
          <w:sz w:val="22"/>
          <w:szCs w:val="22"/>
          <w:lang w:val="es-ES"/>
        </w:rPr>
        <w:t>said</w:t>
      </w:r>
      <w:proofErr w:type="spellEnd"/>
      <w:r>
        <w:rPr>
          <w:color w:val="000000"/>
          <w:sz w:val="22"/>
          <w:szCs w:val="22"/>
          <w:lang w:val="es-ES"/>
        </w:rPr>
        <w:t xml:space="preserve"> </w:t>
      </w:r>
      <w:proofErr w:type="spellStart"/>
      <w:r>
        <w:rPr>
          <w:color w:val="000000"/>
          <w:sz w:val="22"/>
          <w:szCs w:val="22"/>
          <w:lang w:val="es-ES"/>
        </w:rPr>
        <w:t>sealing</w:t>
      </w:r>
      <w:proofErr w:type="spellEnd"/>
      <w:r>
        <w:rPr>
          <w:color w:val="000000"/>
          <w:sz w:val="22"/>
          <w:szCs w:val="22"/>
          <w:lang w:val="es-ES"/>
        </w:rPr>
        <w:t xml:space="preserve"> </w:t>
      </w:r>
      <w:proofErr w:type="spellStart"/>
      <w:r>
        <w:rPr>
          <w:color w:val="000000"/>
          <w:sz w:val="22"/>
          <w:szCs w:val="22"/>
          <w:lang w:val="es-ES"/>
        </w:rPr>
        <w:t>elements</w:t>
      </w:r>
      <w:proofErr w:type="spellEnd"/>
      <w:r>
        <w:rPr>
          <w:color w:val="000000"/>
          <w:sz w:val="22"/>
          <w:szCs w:val="22"/>
          <w:lang w:val="es-ES"/>
        </w:rPr>
        <w:t>.</w:t>
      </w:r>
    </w:p>
    <w:p w14:paraId="29B2EF3A" w14:textId="77777777" w:rsidR="00E255F4" w:rsidRDefault="00000000">
      <w:pPr>
        <w:pStyle w:val="Prrafodelista"/>
        <w:numPr>
          <w:ilvl w:val="2"/>
          <w:numId w:val="4"/>
        </w:numPr>
        <w:spacing w:before="240" w:after="120"/>
        <w:ind w:left="709" w:hanging="709"/>
        <w:rPr>
          <w:b/>
          <w:bCs/>
          <w:iCs/>
          <w:sz w:val="22"/>
          <w:szCs w:val="22"/>
          <w:lang w:val="es-ES"/>
        </w:rPr>
      </w:pPr>
      <w:proofErr w:type="spellStart"/>
      <w:r>
        <w:rPr>
          <w:b/>
          <w:bCs/>
          <w:iCs/>
          <w:sz w:val="22"/>
          <w:szCs w:val="22"/>
          <w:lang w:val="es-ES"/>
        </w:rPr>
        <w:t>Finish</w:t>
      </w:r>
      <w:proofErr w:type="spellEnd"/>
    </w:p>
    <w:p w14:paraId="50903B38" w14:textId="77777777" w:rsidR="00E255F4" w:rsidRDefault="00000000">
      <w:pPr>
        <w:numPr>
          <w:ilvl w:val="3"/>
          <w:numId w:val="4"/>
        </w:numPr>
        <w:tabs>
          <w:tab w:val="left" w:pos="-720"/>
          <w:tab w:val="left" w:pos="0"/>
          <w:tab w:val="left" w:pos="851"/>
          <w:tab w:val="left" w:pos="1276"/>
        </w:tabs>
        <w:spacing w:before="120" w:after="120"/>
        <w:ind w:left="851" w:hanging="851"/>
        <w:jc w:val="both"/>
        <w:rPr>
          <w:color w:val="000000"/>
          <w:sz w:val="22"/>
          <w:szCs w:val="22"/>
          <w:lang w:val="es-ES"/>
        </w:rPr>
      </w:pPr>
      <w:proofErr w:type="spellStart"/>
      <w:r>
        <w:rPr>
          <w:sz w:val="22"/>
          <w:szCs w:val="22"/>
          <w:lang w:val="es-ES"/>
        </w:rPr>
        <w:t>The</w:t>
      </w:r>
      <w:r>
        <w:rPr>
          <w:color w:val="000000"/>
          <w:sz w:val="22"/>
          <w:szCs w:val="22"/>
          <w:lang w:val="es-ES"/>
        </w:rPr>
        <w:t>The</w:t>
      </w:r>
      <w:proofErr w:type="spellEnd"/>
      <w:r>
        <w:rPr>
          <w:color w:val="000000"/>
          <w:sz w:val="22"/>
          <w:szCs w:val="22"/>
          <w:lang w:val="es-ES"/>
        </w:rPr>
        <w:t xml:space="preserve"> </w:t>
      </w:r>
      <w:proofErr w:type="spellStart"/>
      <w:r>
        <w:rPr>
          <w:color w:val="000000"/>
          <w:sz w:val="22"/>
          <w:szCs w:val="22"/>
          <w:lang w:val="es-ES"/>
        </w:rPr>
        <w:t>plastic</w:t>
      </w:r>
      <w:proofErr w:type="spellEnd"/>
      <w:r>
        <w:rPr>
          <w:color w:val="000000"/>
          <w:sz w:val="22"/>
          <w:szCs w:val="22"/>
          <w:lang w:val="es-ES"/>
        </w:rPr>
        <w:t xml:space="preserve"> </w:t>
      </w:r>
      <w:proofErr w:type="spellStart"/>
      <w:r>
        <w:rPr>
          <w:color w:val="000000"/>
          <w:sz w:val="22"/>
          <w:szCs w:val="22"/>
          <w:lang w:val="es-ES"/>
        </w:rPr>
        <w:t>casing</w:t>
      </w:r>
      <w:proofErr w:type="spellEnd"/>
      <w:r>
        <w:rPr>
          <w:color w:val="000000"/>
          <w:sz w:val="22"/>
          <w:szCs w:val="22"/>
          <w:lang w:val="es-ES"/>
        </w:rPr>
        <w:t xml:space="preserve"> </w:t>
      </w:r>
      <w:proofErr w:type="spellStart"/>
      <w:r>
        <w:rPr>
          <w:color w:val="000000"/>
          <w:sz w:val="22"/>
          <w:szCs w:val="22"/>
          <w:lang w:val="es-ES"/>
        </w:rPr>
        <w:t>will</w:t>
      </w:r>
      <w:proofErr w:type="spellEnd"/>
      <w:r>
        <w:rPr>
          <w:color w:val="000000"/>
          <w:sz w:val="22"/>
          <w:szCs w:val="22"/>
          <w:lang w:val="es-ES"/>
        </w:rPr>
        <w:t xml:space="preserve"> be </w:t>
      </w:r>
      <w:proofErr w:type="spellStart"/>
      <w:r>
        <w:rPr>
          <w:color w:val="000000"/>
          <w:sz w:val="22"/>
          <w:szCs w:val="22"/>
          <w:lang w:val="es-ES"/>
        </w:rPr>
        <w:t>accepted</w:t>
      </w:r>
      <w:proofErr w:type="spellEnd"/>
      <w:r>
        <w:rPr>
          <w:color w:val="000000"/>
          <w:sz w:val="22"/>
          <w:szCs w:val="22"/>
          <w:lang w:val="es-ES"/>
        </w:rPr>
        <w:t xml:space="preserve"> in </w:t>
      </w:r>
      <w:proofErr w:type="spellStart"/>
      <w:r>
        <w:rPr>
          <w:color w:val="000000"/>
          <w:sz w:val="22"/>
          <w:szCs w:val="22"/>
          <w:lang w:val="es-ES"/>
        </w:rPr>
        <w:t>the</w:t>
      </w:r>
      <w:proofErr w:type="spellEnd"/>
      <w:r>
        <w:rPr>
          <w:color w:val="000000"/>
          <w:sz w:val="22"/>
          <w:szCs w:val="22"/>
          <w:lang w:val="es-ES"/>
        </w:rPr>
        <w:t xml:space="preserve"> color </w:t>
      </w:r>
      <w:proofErr w:type="spellStart"/>
      <w:r>
        <w:rPr>
          <w:color w:val="000000"/>
          <w:sz w:val="22"/>
          <w:szCs w:val="22"/>
          <w:lang w:val="es-ES"/>
        </w:rPr>
        <w:t>of</w:t>
      </w:r>
      <w:proofErr w:type="spellEnd"/>
      <w:r>
        <w:rPr>
          <w:color w:val="000000"/>
          <w:sz w:val="22"/>
          <w:szCs w:val="22"/>
          <w:lang w:val="es-ES"/>
        </w:rPr>
        <w:t xml:space="preserve"> </w:t>
      </w:r>
      <w:proofErr w:type="spellStart"/>
      <w:r>
        <w:rPr>
          <w:color w:val="000000"/>
          <w:sz w:val="22"/>
          <w:szCs w:val="22"/>
          <w:lang w:val="es-ES"/>
        </w:rPr>
        <w:t>plastic</w:t>
      </w:r>
      <w:proofErr w:type="spellEnd"/>
      <w:r>
        <w:rPr>
          <w:color w:val="000000"/>
          <w:sz w:val="22"/>
          <w:szCs w:val="22"/>
          <w:lang w:val="es-ES"/>
        </w:rPr>
        <w:t xml:space="preserve"> </w:t>
      </w:r>
      <w:proofErr w:type="spellStart"/>
      <w:r>
        <w:rPr>
          <w:color w:val="000000"/>
          <w:sz w:val="22"/>
          <w:szCs w:val="22"/>
          <w:lang w:val="es-ES"/>
        </w:rPr>
        <w:t>proposed</w:t>
      </w:r>
      <w:proofErr w:type="spellEnd"/>
      <w:r>
        <w:rPr>
          <w:color w:val="000000"/>
          <w:sz w:val="22"/>
          <w:szCs w:val="22"/>
          <w:lang w:val="es-ES"/>
        </w:rPr>
        <w:t xml:space="preserve"> </w:t>
      </w:r>
      <w:proofErr w:type="spellStart"/>
      <w:r>
        <w:rPr>
          <w:color w:val="000000"/>
          <w:sz w:val="22"/>
          <w:szCs w:val="22"/>
          <w:lang w:val="es-ES"/>
        </w:rPr>
        <w:t>by</w:t>
      </w:r>
      <w:proofErr w:type="spellEnd"/>
      <w:r>
        <w:rPr>
          <w:color w:val="000000"/>
          <w:sz w:val="22"/>
          <w:szCs w:val="22"/>
          <w:lang w:val="es-ES"/>
        </w:rPr>
        <w:t xml:space="preserve"> </w:t>
      </w:r>
      <w:proofErr w:type="spellStart"/>
      <w:r>
        <w:rPr>
          <w:color w:val="000000"/>
          <w:sz w:val="22"/>
          <w:szCs w:val="22"/>
          <w:lang w:val="es-ES"/>
        </w:rPr>
        <w:t>the</w:t>
      </w:r>
      <w:proofErr w:type="spellEnd"/>
      <w:r>
        <w:rPr>
          <w:color w:val="000000"/>
          <w:sz w:val="22"/>
          <w:szCs w:val="22"/>
          <w:lang w:val="es-ES"/>
        </w:rPr>
        <w:t xml:space="preserve"> </w:t>
      </w:r>
      <w:proofErr w:type="spellStart"/>
      <w:r>
        <w:rPr>
          <w:color w:val="000000"/>
          <w:sz w:val="22"/>
          <w:szCs w:val="22"/>
          <w:lang w:val="es-ES"/>
        </w:rPr>
        <w:t>manufacturer</w:t>
      </w:r>
      <w:proofErr w:type="spellEnd"/>
      <w:r>
        <w:rPr>
          <w:color w:val="000000"/>
          <w:sz w:val="22"/>
          <w:szCs w:val="22"/>
          <w:lang w:val="es-ES"/>
        </w:rPr>
        <w:t xml:space="preserve">, </w:t>
      </w:r>
      <w:proofErr w:type="spellStart"/>
      <w:r>
        <w:rPr>
          <w:color w:val="000000"/>
          <w:sz w:val="22"/>
          <w:szCs w:val="22"/>
          <w:lang w:val="es-ES"/>
        </w:rPr>
        <w:t>provided</w:t>
      </w:r>
      <w:proofErr w:type="spellEnd"/>
      <w:r>
        <w:rPr>
          <w:color w:val="000000"/>
          <w:sz w:val="22"/>
          <w:szCs w:val="22"/>
          <w:lang w:val="es-ES"/>
        </w:rPr>
        <w:t xml:space="preserve"> </w:t>
      </w:r>
      <w:proofErr w:type="spellStart"/>
      <w:r>
        <w:rPr>
          <w:color w:val="000000"/>
          <w:sz w:val="22"/>
          <w:szCs w:val="22"/>
          <w:lang w:val="es-ES"/>
        </w:rPr>
        <w:t>that</w:t>
      </w:r>
      <w:proofErr w:type="spellEnd"/>
      <w:r>
        <w:rPr>
          <w:color w:val="000000"/>
          <w:sz w:val="22"/>
          <w:szCs w:val="22"/>
          <w:lang w:val="es-ES"/>
        </w:rPr>
        <w:t xml:space="preserve"> </w:t>
      </w:r>
      <w:proofErr w:type="spellStart"/>
      <w:r>
        <w:rPr>
          <w:color w:val="000000"/>
          <w:sz w:val="22"/>
          <w:szCs w:val="22"/>
          <w:lang w:val="es-ES"/>
        </w:rPr>
        <w:t>it</w:t>
      </w:r>
      <w:proofErr w:type="spellEnd"/>
      <w:r>
        <w:rPr>
          <w:color w:val="000000"/>
          <w:sz w:val="22"/>
          <w:szCs w:val="22"/>
          <w:lang w:val="es-ES"/>
        </w:rPr>
        <w:t xml:space="preserve"> </w:t>
      </w:r>
      <w:proofErr w:type="spellStart"/>
      <w:r>
        <w:rPr>
          <w:color w:val="000000"/>
          <w:sz w:val="22"/>
          <w:szCs w:val="22"/>
          <w:lang w:val="es-ES"/>
        </w:rPr>
        <w:t>is</w:t>
      </w:r>
      <w:proofErr w:type="spellEnd"/>
      <w:r>
        <w:rPr>
          <w:color w:val="000000"/>
          <w:sz w:val="22"/>
          <w:szCs w:val="22"/>
          <w:lang w:val="es-ES"/>
        </w:rPr>
        <w:t xml:space="preserve"> </w:t>
      </w:r>
      <w:proofErr w:type="spellStart"/>
      <w:r>
        <w:rPr>
          <w:color w:val="000000"/>
          <w:sz w:val="22"/>
          <w:szCs w:val="22"/>
          <w:lang w:val="es-ES"/>
        </w:rPr>
        <w:t>ensured</w:t>
      </w:r>
      <w:proofErr w:type="spellEnd"/>
      <w:r>
        <w:rPr>
          <w:color w:val="000000"/>
          <w:sz w:val="22"/>
          <w:szCs w:val="22"/>
          <w:lang w:val="es-ES"/>
        </w:rPr>
        <w:t xml:space="preserve"> </w:t>
      </w:r>
      <w:proofErr w:type="spellStart"/>
      <w:r>
        <w:rPr>
          <w:color w:val="000000"/>
          <w:sz w:val="22"/>
          <w:szCs w:val="22"/>
          <w:lang w:val="es-ES"/>
        </w:rPr>
        <w:t>that</w:t>
      </w:r>
      <w:proofErr w:type="spellEnd"/>
      <w:r>
        <w:rPr>
          <w:color w:val="000000"/>
          <w:sz w:val="22"/>
          <w:szCs w:val="22"/>
          <w:lang w:val="es-ES"/>
        </w:rPr>
        <w:t xml:space="preserve"> </w:t>
      </w:r>
      <w:proofErr w:type="spellStart"/>
      <w:r>
        <w:rPr>
          <w:color w:val="000000"/>
          <w:sz w:val="22"/>
          <w:szCs w:val="22"/>
          <w:lang w:val="es-ES"/>
        </w:rPr>
        <w:t>the</w:t>
      </w:r>
      <w:proofErr w:type="spellEnd"/>
      <w:r>
        <w:rPr>
          <w:color w:val="000000"/>
          <w:sz w:val="22"/>
          <w:szCs w:val="22"/>
          <w:lang w:val="es-ES"/>
        </w:rPr>
        <w:t xml:space="preserve"> </w:t>
      </w:r>
      <w:proofErr w:type="spellStart"/>
      <w:r>
        <w:rPr>
          <w:color w:val="000000"/>
          <w:sz w:val="22"/>
          <w:szCs w:val="22"/>
          <w:lang w:val="es-ES"/>
        </w:rPr>
        <w:t>plastic</w:t>
      </w:r>
      <w:proofErr w:type="spellEnd"/>
      <w:r>
        <w:rPr>
          <w:color w:val="000000"/>
          <w:sz w:val="22"/>
          <w:szCs w:val="22"/>
          <w:lang w:val="es-ES"/>
        </w:rPr>
        <w:t xml:space="preserve"> material </w:t>
      </w:r>
      <w:proofErr w:type="spellStart"/>
      <w:r>
        <w:rPr>
          <w:color w:val="000000"/>
          <w:sz w:val="22"/>
          <w:szCs w:val="22"/>
          <w:lang w:val="es-ES"/>
        </w:rPr>
        <w:t>component</w:t>
      </w:r>
      <w:proofErr w:type="spellEnd"/>
      <w:r>
        <w:rPr>
          <w:color w:val="000000"/>
          <w:sz w:val="22"/>
          <w:szCs w:val="22"/>
          <w:lang w:val="es-ES"/>
        </w:rPr>
        <w:t xml:space="preserve"> </w:t>
      </w:r>
      <w:proofErr w:type="spellStart"/>
      <w:r>
        <w:rPr>
          <w:color w:val="000000"/>
          <w:sz w:val="22"/>
          <w:szCs w:val="22"/>
          <w:lang w:val="es-ES"/>
        </w:rPr>
        <w:t>of</w:t>
      </w:r>
      <w:proofErr w:type="spellEnd"/>
      <w:r>
        <w:rPr>
          <w:color w:val="000000"/>
          <w:sz w:val="22"/>
          <w:szCs w:val="22"/>
          <w:lang w:val="es-ES"/>
        </w:rPr>
        <w:t xml:space="preserve"> </w:t>
      </w:r>
      <w:proofErr w:type="spellStart"/>
      <w:r>
        <w:rPr>
          <w:color w:val="000000"/>
          <w:sz w:val="22"/>
          <w:szCs w:val="22"/>
          <w:lang w:val="es-ES"/>
        </w:rPr>
        <w:t>the</w:t>
      </w:r>
      <w:proofErr w:type="spellEnd"/>
      <w:r>
        <w:rPr>
          <w:color w:val="000000"/>
          <w:sz w:val="22"/>
          <w:szCs w:val="22"/>
          <w:lang w:val="es-ES"/>
        </w:rPr>
        <w:t xml:space="preserve"> meter </w:t>
      </w:r>
      <w:proofErr w:type="spellStart"/>
      <w:r>
        <w:rPr>
          <w:color w:val="000000"/>
          <w:sz w:val="22"/>
          <w:szCs w:val="22"/>
          <w:lang w:val="es-ES"/>
        </w:rPr>
        <w:t>is</w:t>
      </w:r>
      <w:proofErr w:type="spellEnd"/>
      <w:r>
        <w:rPr>
          <w:color w:val="000000"/>
          <w:sz w:val="22"/>
          <w:szCs w:val="22"/>
          <w:lang w:val="es-ES"/>
        </w:rPr>
        <w:t xml:space="preserve"> </w:t>
      </w:r>
      <w:proofErr w:type="spellStart"/>
      <w:r>
        <w:rPr>
          <w:color w:val="000000"/>
          <w:sz w:val="22"/>
          <w:szCs w:val="22"/>
          <w:lang w:val="es-ES"/>
        </w:rPr>
        <w:t>not</w:t>
      </w:r>
      <w:proofErr w:type="spellEnd"/>
      <w:r>
        <w:rPr>
          <w:color w:val="000000"/>
          <w:sz w:val="22"/>
          <w:szCs w:val="22"/>
          <w:lang w:val="es-ES"/>
        </w:rPr>
        <w:t xml:space="preserve"> </w:t>
      </w:r>
      <w:proofErr w:type="spellStart"/>
      <w:r>
        <w:rPr>
          <w:color w:val="000000"/>
          <w:sz w:val="22"/>
          <w:szCs w:val="22"/>
          <w:lang w:val="es-ES"/>
        </w:rPr>
        <w:t>affected</w:t>
      </w:r>
      <w:proofErr w:type="spellEnd"/>
      <w:r>
        <w:rPr>
          <w:color w:val="000000"/>
          <w:sz w:val="22"/>
          <w:szCs w:val="22"/>
          <w:lang w:val="es-ES"/>
        </w:rPr>
        <w:t xml:space="preserve"> </w:t>
      </w:r>
      <w:proofErr w:type="spellStart"/>
      <w:r>
        <w:rPr>
          <w:color w:val="000000"/>
          <w:sz w:val="22"/>
          <w:szCs w:val="22"/>
          <w:lang w:val="es-ES"/>
        </w:rPr>
        <w:t>by</w:t>
      </w:r>
      <w:proofErr w:type="spellEnd"/>
      <w:r>
        <w:rPr>
          <w:color w:val="000000"/>
          <w:sz w:val="22"/>
          <w:szCs w:val="22"/>
          <w:lang w:val="es-ES"/>
        </w:rPr>
        <w:t xml:space="preserve"> </w:t>
      </w:r>
      <w:proofErr w:type="spellStart"/>
      <w:r>
        <w:rPr>
          <w:color w:val="000000"/>
          <w:sz w:val="22"/>
          <w:szCs w:val="22"/>
          <w:lang w:val="es-ES"/>
        </w:rPr>
        <w:t>atmospheric</w:t>
      </w:r>
      <w:proofErr w:type="spellEnd"/>
      <w:r>
        <w:rPr>
          <w:color w:val="000000"/>
          <w:sz w:val="22"/>
          <w:szCs w:val="22"/>
          <w:lang w:val="es-ES"/>
        </w:rPr>
        <w:t xml:space="preserve"> </w:t>
      </w:r>
      <w:proofErr w:type="spellStart"/>
      <w:r>
        <w:rPr>
          <w:color w:val="000000"/>
          <w:sz w:val="22"/>
          <w:szCs w:val="22"/>
          <w:lang w:val="es-ES"/>
        </w:rPr>
        <w:t>agents</w:t>
      </w:r>
      <w:proofErr w:type="spellEnd"/>
      <w:r>
        <w:rPr>
          <w:color w:val="000000"/>
          <w:sz w:val="22"/>
          <w:szCs w:val="22"/>
          <w:lang w:val="es-ES"/>
        </w:rPr>
        <w:t xml:space="preserve"> (</w:t>
      </w:r>
      <w:proofErr w:type="spellStart"/>
      <w:r>
        <w:rPr>
          <w:color w:val="000000"/>
          <w:sz w:val="22"/>
          <w:szCs w:val="22"/>
          <w:lang w:val="es-ES"/>
        </w:rPr>
        <w:t>sunlight</w:t>
      </w:r>
      <w:proofErr w:type="spellEnd"/>
      <w:r>
        <w:rPr>
          <w:color w:val="000000"/>
          <w:sz w:val="22"/>
          <w:szCs w:val="22"/>
          <w:lang w:val="es-ES"/>
        </w:rPr>
        <w:t xml:space="preserve">, </w:t>
      </w:r>
      <w:proofErr w:type="spellStart"/>
      <w:r>
        <w:rPr>
          <w:color w:val="000000"/>
          <w:sz w:val="22"/>
          <w:szCs w:val="22"/>
          <w:lang w:val="es-ES"/>
        </w:rPr>
        <w:t>temperature</w:t>
      </w:r>
      <w:proofErr w:type="spellEnd"/>
      <w:r>
        <w:rPr>
          <w:color w:val="000000"/>
          <w:sz w:val="22"/>
          <w:szCs w:val="22"/>
          <w:lang w:val="es-ES"/>
        </w:rPr>
        <w:t xml:space="preserve"> </w:t>
      </w:r>
      <w:proofErr w:type="spellStart"/>
      <w:r>
        <w:rPr>
          <w:color w:val="000000"/>
          <w:sz w:val="22"/>
          <w:szCs w:val="22"/>
          <w:lang w:val="es-ES"/>
        </w:rPr>
        <w:t>variations</w:t>
      </w:r>
      <w:proofErr w:type="spellEnd"/>
      <w:r>
        <w:rPr>
          <w:color w:val="000000"/>
          <w:sz w:val="22"/>
          <w:szCs w:val="22"/>
          <w:lang w:val="es-ES"/>
        </w:rPr>
        <w:t>, etc.).</w:t>
      </w:r>
    </w:p>
    <w:p w14:paraId="483CA132" w14:textId="77777777" w:rsidR="00E255F4" w:rsidRDefault="00000000">
      <w:pPr>
        <w:numPr>
          <w:ilvl w:val="1"/>
          <w:numId w:val="4"/>
        </w:numPr>
        <w:spacing w:before="240" w:after="240"/>
        <w:ind w:left="567" w:hanging="567"/>
        <w:rPr>
          <w:b/>
          <w:bCs/>
          <w:sz w:val="22"/>
          <w:szCs w:val="22"/>
          <w:lang w:val="es-ES"/>
        </w:rPr>
      </w:pPr>
      <w:r>
        <w:rPr>
          <w:b/>
          <w:bCs/>
          <w:sz w:val="22"/>
          <w:szCs w:val="22"/>
          <w:lang w:val="es-ES"/>
        </w:rPr>
        <w:t xml:space="preserve">Special </w:t>
      </w:r>
      <w:proofErr w:type="spellStart"/>
      <w:r>
        <w:rPr>
          <w:b/>
          <w:bCs/>
          <w:sz w:val="22"/>
          <w:szCs w:val="22"/>
          <w:lang w:val="es-ES"/>
        </w:rPr>
        <w:t>provisions</w:t>
      </w:r>
      <w:proofErr w:type="spellEnd"/>
    </w:p>
    <w:p w14:paraId="5900CA70" w14:textId="77777777" w:rsidR="00E255F4" w:rsidRDefault="00000000">
      <w:pPr>
        <w:pStyle w:val="Prrafodelista"/>
        <w:numPr>
          <w:ilvl w:val="2"/>
          <w:numId w:val="56"/>
        </w:numPr>
        <w:spacing w:after="120"/>
        <w:ind w:left="709" w:hanging="709"/>
        <w:rPr>
          <w:b/>
          <w:sz w:val="22"/>
          <w:szCs w:val="22"/>
          <w:lang w:val="es-ES"/>
        </w:rPr>
      </w:pPr>
      <w:proofErr w:type="spellStart"/>
      <w:r>
        <w:rPr>
          <w:b/>
          <w:sz w:val="22"/>
          <w:szCs w:val="22"/>
          <w:lang w:val="es-ES"/>
        </w:rPr>
        <w:t>Manufacturing</w:t>
      </w:r>
      <w:proofErr w:type="spellEnd"/>
      <w:r>
        <w:rPr>
          <w:b/>
          <w:sz w:val="22"/>
          <w:szCs w:val="22"/>
          <w:lang w:val="es-ES"/>
        </w:rPr>
        <w:t xml:space="preserve"> </w:t>
      </w:r>
      <w:proofErr w:type="spellStart"/>
      <w:r>
        <w:rPr>
          <w:b/>
          <w:sz w:val="22"/>
          <w:szCs w:val="22"/>
          <w:lang w:val="es-ES"/>
        </w:rPr>
        <w:t>Standards</w:t>
      </w:r>
      <w:proofErr w:type="spellEnd"/>
    </w:p>
    <w:p w14:paraId="0E630B46" w14:textId="77777777" w:rsidR="00E255F4" w:rsidRDefault="00000000">
      <w:pPr>
        <w:numPr>
          <w:ilvl w:val="0"/>
          <w:numId w:val="31"/>
        </w:numPr>
        <w:tabs>
          <w:tab w:val="left" w:pos="-720"/>
          <w:tab w:val="left" w:pos="709"/>
          <w:tab w:val="left" w:pos="993"/>
        </w:tabs>
        <w:spacing w:before="120" w:after="120"/>
        <w:ind w:left="851" w:hanging="851"/>
        <w:jc w:val="both"/>
      </w:pPr>
      <w:r>
        <w:rPr>
          <w:color w:val="000000"/>
          <w:sz w:val="22"/>
          <w:szCs w:val="22"/>
          <w:lang w:val="es-ES"/>
        </w:rPr>
        <w:t xml:space="preserve">  In </w:t>
      </w:r>
      <w:proofErr w:type="spellStart"/>
      <w:r>
        <w:rPr>
          <w:color w:val="000000"/>
          <w:sz w:val="22"/>
          <w:szCs w:val="22"/>
          <w:lang w:val="es-ES"/>
        </w:rPr>
        <w:t>all</w:t>
      </w:r>
      <w:proofErr w:type="spellEnd"/>
      <w:r>
        <w:rPr>
          <w:color w:val="000000"/>
          <w:sz w:val="22"/>
          <w:szCs w:val="22"/>
          <w:lang w:val="es-ES"/>
        </w:rPr>
        <w:t xml:space="preserve"> </w:t>
      </w:r>
      <w:proofErr w:type="spellStart"/>
      <w:r>
        <w:rPr>
          <w:color w:val="000000"/>
          <w:sz w:val="22"/>
          <w:szCs w:val="22"/>
          <w:lang w:val="es-ES"/>
        </w:rPr>
        <w:t>matters</w:t>
      </w:r>
      <w:proofErr w:type="spellEnd"/>
      <w:r>
        <w:rPr>
          <w:color w:val="000000"/>
          <w:sz w:val="22"/>
          <w:szCs w:val="22"/>
          <w:lang w:val="es-ES"/>
        </w:rPr>
        <w:t xml:space="preserve"> </w:t>
      </w:r>
      <w:proofErr w:type="spellStart"/>
      <w:r>
        <w:rPr>
          <w:color w:val="000000"/>
          <w:sz w:val="22"/>
          <w:szCs w:val="22"/>
          <w:lang w:val="es-ES"/>
        </w:rPr>
        <w:t>not</w:t>
      </w:r>
      <w:proofErr w:type="spellEnd"/>
      <w:r>
        <w:rPr>
          <w:color w:val="000000"/>
          <w:sz w:val="22"/>
          <w:szCs w:val="22"/>
          <w:lang w:val="es-ES"/>
        </w:rPr>
        <w:t xml:space="preserve"> </w:t>
      </w:r>
      <w:proofErr w:type="spellStart"/>
      <w:r>
        <w:rPr>
          <w:color w:val="000000"/>
          <w:sz w:val="22"/>
          <w:szCs w:val="22"/>
          <w:lang w:val="es-ES"/>
        </w:rPr>
        <w:t>contrary</w:t>
      </w:r>
      <w:proofErr w:type="spellEnd"/>
      <w:r>
        <w:rPr>
          <w:color w:val="000000"/>
          <w:sz w:val="22"/>
          <w:szCs w:val="22"/>
          <w:lang w:val="es-ES"/>
        </w:rPr>
        <w:t xml:space="preserve"> </w:t>
      </w:r>
      <w:proofErr w:type="spellStart"/>
      <w:r>
        <w:rPr>
          <w:color w:val="000000"/>
          <w:sz w:val="22"/>
          <w:szCs w:val="22"/>
          <w:lang w:val="es-ES"/>
        </w:rPr>
        <w:t>to</w:t>
      </w:r>
      <w:proofErr w:type="spellEnd"/>
      <w:r>
        <w:rPr>
          <w:color w:val="000000"/>
          <w:sz w:val="22"/>
          <w:szCs w:val="22"/>
          <w:lang w:val="es-ES"/>
        </w:rPr>
        <w:t xml:space="preserve"> </w:t>
      </w:r>
      <w:proofErr w:type="spellStart"/>
      <w:r>
        <w:rPr>
          <w:color w:val="000000"/>
          <w:sz w:val="22"/>
          <w:szCs w:val="22"/>
          <w:lang w:val="es-ES"/>
        </w:rPr>
        <w:t>the</w:t>
      </w:r>
      <w:proofErr w:type="spellEnd"/>
      <w:r>
        <w:rPr>
          <w:color w:val="000000"/>
          <w:sz w:val="22"/>
          <w:szCs w:val="22"/>
          <w:lang w:val="es-ES"/>
        </w:rPr>
        <w:t xml:space="preserve"> </w:t>
      </w:r>
      <w:proofErr w:type="spellStart"/>
      <w:r>
        <w:rPr>
          <w:color w:val="000000"/>
          <w:sz w:val="22"/>
          <w:szCs w:val="22"/>
          <w:lang w:val="es-ES"/>
        </w:rPr>
        <w:t>provisions</w:t>
      </w:r>
      <w:proofErr w:type="spellEnd"/>
      <w:r>
        <w:rPr>
          <w:color w:val="000000"/>
          <w:sz w:val="22"/>
          <w:szCs w:val="22"/>
          <w:lang w:val="es-ES"/>
        </w:rPr>
        <w:t xml:space="preserve"> </w:t>
      </w:r>
      <w:proofErr w:type="spellStart"/>
      <w:r>
        <w:rPr>
          <w:color w:val="000000"/>
          <w:sz w:val="22"/>
          <w:szCs w:val="22"/>
          <w:lang w:val="es-ES"/>
        </w:rPr>
        <w:t>of</w:t>
      </w:r>
      <w:proofErr w:type="spellEnd"/>
      <w:r>
        <w:rPr>
          <w:color w:val="000000"/>
          <w:sz w:val="22"/>
          <w:szCs w:val="22"/>
          <w:lang w:val="es-ES"/>
        </w:rPr>
        <w:t xml:space="preserve"> </w:t>
      </w:r>
      <w:proofErr w:type="spellStart"/>
      <w:r>
        <w:rPr>
          <w:color w:val="000000"/>
          <w:sz w:val="22"/>
          <w:szCs w:val="22"/>
          <w:lang w:val="es-ES"/>
        </w:rPr>
        <w:t>this</w:t>
      </w:r>
      <w:proofErr w:type="spellEnd"/>
      <w:r>
        <w:rPr>
          <w:color w:val="000000"/>
          <w:sz w:val="22"/>
          <w:szCs w:val="22"/>
          <w:lang w:val="es-ES"/>
        </w:rPr>
        <w:t xml:space="preserve"> </w:t>
      </w:r>
      <w:proofErr w:type="spellStart"/>
      <w:r>
        <w:rPr>
          <w:color w:val="000000"/>
          <w:sz w:val="22"/>
          <w:szCs w:val="22"/>
          <w:lang w:val="es-ES"/>
        </w:rPr>
        <w:t>document</w:t>
      </w:r>
      <w:proofErr w:type="spellEnd"/>
      <w:r>
        <w:rPr>
          <w:color w:val="000000"/>
          <w:sz w:val="22"/>
          <w:szCs w:val="22"/>
          <w:lang w:val="es-ES"/>
        </w:rPr>
        <w:t xml:space="preserve">, </w:t>
      </w:r>
      <w:proofErr w:type="spellStart"/>
      <w:r>
        <w:rPr>
          <w:color w:val="000000"/>
          <w:sz w:val="22"/>
          <w:szCs w:val="22"/>
          <w:lang w:val="es-ES"/>
        </w:rPr>
        <w:t>the</w:t>
      </w:r>
      <w:proofErr w:type="spellEnd"/>
      <w:r>
        <w:rPr>
          <w:color w:val="000000"/>
          <w:sz w:val="22"/>
          <w:szCs w:val="22"/>
          <w:lang w:val="es-ES"/>
        </w:rPr>
        <w:t xml:space="preserve"> International Standard ISO 4064 / I, II and III </w:t>
      </w:r>
      <w:proofErr w:type="spellStart"/>
      <w:r>
        <w:rPr>
          <w:color w:val="000000"/>
          <w:sz w:val="22"/>
          <w:szCs w:val="22"/>
          <w:lang w:val="es-ES"/>
        </w:rPr>
        <w:t>shall</w:t>
      </w:r>
      <w:proofErr w:type="spellEnd"/>
      <w:r>
        <w:rPr>
          <w:color w:val="000000"/>
          <w:sz w:val="22"/>
          <w:szCs w:val="22"/>
          <w:lang w:val="es-ES"/>
        </w:rPr>
        <w:t xml:space="preserve"> </w:t>
      </w:r>
      <w:proofErr w:type="spellStart"/>
      <w:r>
        <w:rPr>
          <w:color w:val="000000"/>
          <w:sz w:val="22"/>
          <w:szCs w:val="22"/>
          <w:lang w:val="es-ES"/>
        </w:rPr>
        <w:t>apply</w:t>
      </w:r>
      <w:proofErr w:type="spellEnd"/>
      <w:r>
        <w:rPr>
          <w:color w:val="000000"/>
          <w:sz w:val="22"/>
          <w:szCs w:val="22"/>
          <w:lang w:val="es-ES"/>
        </w:rPr>
        <w:t>.</w:t>
      </w:r>
    </w:p>
    <w:p w14:paraId="08B43514" w14:textId="77777777" w:rsidR="00E255F4" w:rsidRDefault="00000000">
      <w:pPr>
        <w:pStyle w:val="Prrafodelista"/>
        <w:numPr>
          <w:ilvl w:val="2"/>
          <w:numId w:val="56"/>
        </w:numPr>
        <w:spacing w:before="240" w:after="120"/>
        <w:ind w:left="709" w:hanging="709"/>
        <w:rPr>
          <w:b/>
          <w:sz w:val="22"/>
          <w:szCs w:val="22"/>
          <w:lang w:val="es-ES"/>
        </w:rPr>
      </w:pPr>
      <w:proofErr w:type="spellStart"/>
      <w:r>
        <w:rPr>
          <w:b/>
          <w:sz w:val="22"/>
          <w:szCs w:val="22"/>
          <w:lang w:val="es-ES"/>
        </w:rPr>
        <w:t>Packaging</w:t>
      </w:r>
      <w:proofErr w:type="spellEnd"/>
    </w:p>
    <w:p w14:paraId="04650009" w14:textId="77777777" w:rsidR="00E255F4" w:rsidRDefault="00E255F4">
      <w:pPr>
        <w:pStyle w:val="Prrafodelista"/>
        <w:numPr>
          <w:ilvl w:val="0"/>
          <w:numId w:val="60"/>
        </w:numPr>
        <w:rPr>
          <w:b/>
          <w:vanish/>
          <w:sz w:val="22"/>
          <w:szCs w:val="22"/>
          <w:lang w:val="es-ES"/>
        </w:rPr>
      </w:pPr>
    </w:p>
    <w:p w14:paraId="31BEFC7D" w14:textId="77777777" w:rsidR="00E255F4" w:rsidRDefault="00E255F4">
      <w:pPr>
        <w:pStyle w:val="Prrafodelista"/>
        <w:numPr>
          <w:ilvl w:val="0"/>
          <w:numId w:val="60"/>
        </w:numPr>
        <w:rPr>
          <w:vanish/>
          <w:sz w:val="22"/>
          <w:szCs w:val="22"/>
        </w:rPr>
      </w:pPr>
    </w:p>
    <w:p w14:paraId="06E90920" w14:textId="77777777" w:rsidR="00E255F4" w:rsidRDefault="00E255F4">
      <w:pPr>
        <w:pStyle w:val="Prrafodelista"/>
        <w:numPr>
          <w:ilvl w:val="0"/>
          <w:numId w:val="60"/>
        </w:numPr>
        <w:rPr>
          <w:vanish/>
          <w:sz w:val="22"/>
          <w:szCs w:val="22"/>
        </w:rPr>
      </w:pPr>
    </w:p>
    <w:p w14:paraId="350FCF91" w14:textId="77777777" w:rsidR="00E255F4" w:rsidRDefault="00E255F4">
      <w:pPr>
        <w:pStyle w:val="Prrafodelista"/>
        <w:numPr>
          <w:ilvl w:val="1"/>
          <w:numId w:val="60"/>
        </w:numPr>
        <w:rPr>
          <w:vanish/>
          <w:sz w:val="22"/>
          <w:szCs w:val="22"/>
        </w:rPr>
      </w:pPr>
    </w:p>
    <w:p w14:paraId="3A9AB755" w14:textId="77777777" w:rsidR="00E255F4" w:rsidRDefault="00E255F4">
      <w:pPr>
        <w:pStyle w:val="Prrafodelista"/>
        <w:numPr>
          <w:ilvl w:val="1"/>
          <w:numId w:val="60"/>
        </w:numPr>
        <w:rPr>
          <w:vanish/>
          <w:sz w:val="22"/>
          <w:szCs w:val="22"/>
        </w:rPr>
      </w:pPr>
    </w:p>
    <w:p w14:paraId="5C78008F" w14:textId="77777777" w:rsidR="00E255F4" w:rsidRDefault="00E255F4">
      <w:pPr>
        <w:pStyle w:val="Prrafodelista"/>
        <w:numPr>
          <w:ilvl w:val="1"/>
          <w:numId w:val="60"/>
        </w:numPr>
        <w:rPr>
          <w:vanish/>
          <w:sz w:val="22"/>
          <w:szCs w:val="22"/>
        </w:rPr>
      </w:pPr>
    </w:p>
    <w:p w14:paraId="02BA4F23" w14:textId="77777777" w:rsidR="00E255F4" w:rsidRDefault="00E255F4">
      <w:pPr>
        <w:pStyle w:val="Prrafodelista"/>
        <w:numPr>
          <w:ilvl w:val="1"/>
          <w:numId w:val="60"/>
        </w:numPr>
        <w:rPr>
          <w:vanish/>
          <w:sz w:val="22"/>
          <w:szCs w:val="22"/>
        </w:rPr>
      </w:pPr>
    </w:p>
    <w:p w14:paraId="407A9562" w14:textId="77777777" w:rsidR="00E255F4" w:rsidRDefault="00E255F4">
      <w:pPr>
        <w:pStyle w:val="Prrafodelista"/>
        <w:numPr>
          <w:ilvl w:val="1"/>
          <w:numId w:val="60"/>
        </w:numPr>
        <w:rPr>
          <w:vanish/>
          <w:sz w:val="22"/>
          <w:szCs w:val="22"/>
        </w:rPr>
      </w:pPr>
    </w:p>
    <w:p w14:paraId="39C195C3" w14:textId="77777777" w:rsidR="00E255F4" w:rsidRDefault="00E255F4">
      <w:pPr>
        <w:pStyle w:val="Prrafodelista"/>
        <w:numPr>
          <w:ilvl w:val="2"/>
          <w:numId w:val="60"/>
        </w:numPr>
        <w:rPr>
          <w:vanish/>
          <w:sz w:val="22"/>
          <w:szCs w:val="22"/>
        </w:rPr>
      </w:pPr>
    </w:p>
    <w:p w14:paraId="529B3D6B" w14:textId="77777777" w:rsidR="00E255F4" w:rsidRDefault="00E255F4">
      <w:pPr>
        <w:pStyle w:val="Prrafodelista"/>
        <w:numPr>
          <w:ilvl w:val="2"/>
          <w:numId w:val="60"/>
        </w:numPr>
        <w:rPr>
          <w:vanish/>
          <w:sz w:val="22"/>
          <w:szCs w:val="22"/>
        </w:rPr>
      </w:pPr>
    </w:p>
    <w:p w14:paraId="28901B12" w14:textId="77777777" w:rsidR="00E255F4" w:rsidRDefault="00000000">
      <w:pPr>
        <w:numPr>
          <w:ilvl w:val="3"/>
          <w:numId w:val="56"/>
        </w:numPr>
        <w:tabs>
          <w:tab w:val="left" w:pos="-720"/>
          <w:tab w:val="left" w:pos="0"/>
          <w:tab w:val="left" w:pos="851"/>
        </w:tabs>
        <w:spacing w:before="120" w:after="120"/>
        <w:ind w:left="851" w:hanging="851"/>
        <w:jc w:val="both"/>
      </w:pPr>
      <w:r>
        <w:rPr>
          <w:color w:val="000000"/>
          <w:sz w:val="22"/>
          <w:szCs w:val="22"/>
          <w:lang w:val="es-ES"/>
        </w:rPr>
        <w:t xml:space="preserve">The </w:t>
      </w:r>
      <w:proofErr w:type="spellStart"/>
      <w:r>
        <w:rPr>
          <w:color w:val="000000"/>
          <w:sz w:val="22"/>
          <w:szCs w:val="22"/>
          <w:lang w:val="es-ES"/>
        </w:rPr>
        <w:t>meters</w:t>
      </w:r>
      <w:proofErr w:type="spellEnd"/>
      <w:r>
        <w:rPr>
          <w:color w:val="000000"/>
          <w:sz w:val="22"/>
          <w:szCs w:val="22"/>
          <w:lang w:val="es-ES"/>
        </w:rPr>
        <w:t xml:space="preserve"> </w:t>
      </w:r>
      <w:proofErr w:type="spellStart"/>
      <w:r>
        <w:rPr>
          <w:color w:val="000000"/>
          <w:sz w:val="22"/>
          <w:szCs w:val="22"/>
          <w:lang w:val="es-ES"/>
        </w:rPr>
        <w:t>must</w:t>
      </w:r>
      <w:proofErr w:type="spellEnd"/>
      <w:r>
        <w:rPr>
          <w:color w:val="000000"/>
          <w:sz w:val="22"/>
          <w:szCs w:val="22"/>
          <w:lang w:val="es-ES"/>
        </w:rPr>
        <w:t xml:space="preserve"> be </w:t>
      </w:r>
      <w:proofErr w:type="spellStart"/>
      <w:r>
        <w:rPr>
          <w:color w:val="000000"/>
          <w:sz w:val="22"/>
          <w:szCs w:val="22"/>
          <w:lang w:val="es-ES"/>
        </w:rPr>
        <w:t>supplied</w:t>
      </w:r>
      <w:proofErr w:type="spellEnd"/>
      <w:r>
        <w:rPr>
          <w:color w:val="000000"/>
          <w:sz w:val="22"/>
          <w:szCs w:val="22"/>
          <w:lang w:val="es-ES"/>
        </w:rPr>
        <w:t xml:space="preserve"> </w:t>
      </w:r>
      <w:proofErr w:type="spellStart"/>
      <w:r>
        <w:rPr>
          <w:color w:val="000000"/>
          <w:sz w:val="22"/>
          <w:szCs w:val="22"/>
          <w:lang w:val="es-ES"/>
        </w:rPr>
        <w:t>conveniently</w:t>
      </w:r>
      <w:proofErr w:type="spellEnd"/>
      <w:r>
        <w:rPr>
          <w:color w:val="000000"/>
          <w:sz w:val="22"/>
          <w:szCs w:val="22"/>
          <w:lang w:val="es-ES"/>
        </w:rPr>
        <w:t xml:space="preserve"> </w:t>
      </w:r>
      <w:proofErr w:type="spellStart"/>
      <w:r>
        <w:rPr>
          <w:color w:val="000000"/>
          <w:sz w:val="22"/>
          <w:szCs w:val="22"/>
          <w:lang w:val="es-ES"/>
        </w:rPr>
        <w:t>packaged</w:t>
      </w:r>
      <w:proofErr w:type="spellEnd"/>
      <w:r>
        <w:rPr>
          <w:color w:val="000000"/>
          <w:sz w:val="22"/>
          <w:szCs w:val="22"/>
          <w:lang w:val="es-ES"/>
        </w:rPr>
        <w:t xml:space="preserve"> in boxes, </w:t>
      </w:r>
      <w:proofErr w:type="spellStart"/>
      <w:r>
        <w:rPr>
          <w:color w:val="000000"/>
          <w:sz w:val="22"/>
          <w:szCs w:val="22"/>
          <w:lang w:val="es-ES"/>
        </w:rPr>
        <w:t>with</w:t>
      </w:r>
      <w:proofErr w:type="spellEnd"/>
      <w:r>
        <w:rPr>
          <w:color w:val="000000"/>
          <w:sz w:val="22"/>
          <w:szCs w:val="22"/>
          <w:lang w:val="es-ES"/>
        </w:rPr>
        <w:t xml:space="preserve"> a </w:t>
      </w:r>
      <w:proofErr w:type="spellStart"/>
      <w:r>
        <w:rPr>
          <w:color w:val="000000"/>
          <w:sz w:val="22"/>
          <w:szCs w:val="22"/>
          <w:lang w:val="es-ES"/>
        </w:rPr>
        <w:t>maximum</w:t>
      </w:r>
      <w:proofErr w:type="spellEnd"/>
      <w:r>
        <w:rPr>
          <w:color w:val="000000"/>
          <w:sz w:val="22"/>
          <w:szCs w:val="22"/>
          <w:lang w:val="es-ES"/>
        </w:rPr>
        <w:t xml:space="preserve"> </w:t>
      </w:r>
      <w:proofErr w:type="spellStart"/>
      <w:r>
        <w:rPr>
          <w:color w:val="000000"/>
          <w:sz w:val="22"/>
          <w:szCs w:val="22"/>
          <w:lang w:val="es-ES"/>
        </w:rPr>
        <w:t>of</w:t>
      </w:r>
      <w:proofErr w:type="spellEnd"/>
      <w:r>
        <w:rPr>
          <w:color w:val="000000"/>
          <w:sz w:val="22"/>
          <w:szCs w:val="22"/>
          <w:lang w:val="es-ES"/>
        </w:rPr>
        <w:t xml:space="preserve"> 20 kg </w:t>
      </w:r>
      <w:proofErr w:type="gramStart"/>
      <w:r>
        <w:rPr>
          <w:color w:val="000000"/>
          <w:sz w:val="22"/>
          <w:szCs w:val="22"/>
          <w:lang w:val="es-ES"/>
        </w:rPr>
        <w:t>per box</w:t>
      </w:r>
      <w:proofErr w:type="gramEnd"/>
      <w:r>
        <w:rPr>
          <w:color w:val="000000"/>
          <w:sz w:val="22"/>
          <w:szCs w:val="22"/>
          <w:lang w:val="es-ES"/>
        </w:rPr>
        <w:t xml:space="preserve">, </w:t>
      </w:r>
      <w:proofErr w:type="spellStart"/>
      <w:r>
        <w:rPr>
          <w:color w:val="000000"/>
          <w:sz w:val="22"/>
          <w:szCs w:val="22"/>
          <w:lang w:val="es-ES"/>
        </w:rPr>
        <w:t>which</w:t>
      </w:r>
      <w:proofErr w:type="spellEnd"/>
      <w:r>
        <w:rPr>
          <w:color w:val="000000"/>
          <w:sz w:val="22"/>
          <w:szCs w:val="22"/>
          <w:lang w:val="es-ES"/>
        </w:rPr>
        <w:t xml:space="preserve"> </w:t>
      </w:r>
      <w:proofErr w:type="spellStart"/>
      <w:r>
        <w:rPr>
          <w:color w:val="000000"/>
          <w:sz w:val="22"/>
          <w:szCs w:val="22"/>
          <w:lang w:val="es-ES"/>
        </w:rPr>
        <w:t>externally</w:t>
      </w:r>
      <w:proofErr w:type="spellEnd"/>
      <w:r>
        <w:rPr>
          <w:color w:val="000000"/>
          <w:sz w:val="22"/>
          <w:szCs w:val="22"/>
          <w:lang w:val="es-ES"/>
        </w:rPr>
        <w:t xml:space="preserve"> </w:t>
      </w:r>
      <w:proofErr w:type="spellStart"/>
      <w:r>
        <w:rPr>
          <w:color w:val="000000"/>
          <w:sz w:val="22"/>
          <w:szCs w:val="22"/>
          <w:lang w:val="es-ES"/>
        </w:rPr>
        <w:t>must</w:t>
      </w:r>
      <w:proofErr w:type="spellEnd"/>
      <w:r>
        <w:rPr>
          <w:color w:val="000000"/>
          <w:sz w:val="22"/>
          <w:szCs w:val="22"/>
          <w:lang w:val="es-ES"/>
        </w:rPr>
        <w:t xml:space="preserve"> </w:t>
      </w:r>
      <w:proofErr w:type="spellStart"/>
      <w:r>
        <w:rPr>
          <w:color w:val="000000"/>
          <w:sz w:val="22"/>
          <w:szCs w:val="22"/>
          <w:lang w:val="es-ES"/>
        </w:rPr>
        <w:t>indicate</w:t>
      </w:r>
      <w:proofErr w:type="spellEnd"/>
      <w:r>
        <w:rPr>
          <w:color w:val="000000"/>
          <w:sz w:val="22"/>
          <w:szCs w:val="22"/>
          <w:lang w:val="es-ES"/>
        </w:rPr>
        <w:t xml:space="preserve"> </w:t>
      </w:r>
      <w:proofErr w:type="spellStart"/>
      <w:r>
        <w:rPr>
          <w:color w:val="000000"/>
          <w:sz w:val="22"/>
          <w:szCs w:val="22"/>
          <w:lang w:val="es-ES"/>
        </w:rPr>
        <w:t>the</w:t>
      </w:r>
      <w:proofErr w:type="spellEnd"/>
      <w:r>
        <w:rPr>
          <w:color w:val="000000"/>
          <w:sz w:val="22"/>
          <w:szCs w:val="22"/>
          <w:lang w:val="es-ES"/>
        </w:rPr>
        <w:t xml:space="preserve"> </w:t>
      </w:r>
      <w:proofErr w:type="spellStart"/>
      <w:r>
        <w:rPr>
          <w:color w:val="000000"/>
          <w:sz w:val="22"/>
          <w:szCs w:val="22"/>
          <w:lang w:val="es-ES"/>
        </w:rPr>
        <w:t>brand</w:t>
      </w:r>
      <w:proofErr w:type="spellEnd"/>
      <w:r>
        <w:rPr>
          <w:color w:val="000000"/>
          <w:sz w:val="22"/>
          <w:szCs w:val="22"/>
          <w:lang w:val="es-ES"/>
        </w:rPr>
        <w:t xml:space="preserve"> </w:t>
      </w:r>
      <w:proofErr w:type="spellStart"/>
      <w:r>
        <w:rPr>
          <w:color w:val="000000"/>
          <w:sz w:val="22"/>
          <w:szCs w:val="22"/>
          <w:lang w:val="es-ES"/>
        </w:rPr>
        <w:t>of</w:t>
      </w:r>
      <w:proofErr w:type="spellEnd"/>
      <w:r>
        <w:rPr>
          <w:color w:val="000000"/>
          <w:sz w:val="22"/>
          <w:szCs w:val="22"/>
          <w:lang w:val="es-ES"/>
        </w:rPr>
        <w:t xml:space="preserve"> </w:t>
      </w:r>
      <w:proofErr w:type="spellStart"/>
      <w:r>
        <w:rPr>
          <w:color w:val="000000"/>
          <w:sz w:val="22"/>
          <w:szCs w:val="22"/>
          <w:lang w:val="es-ES"/>
        </w:rPr>
        <w:t>the</w:t>
      </w:r>
      <w:proofErr w:type="spellEnd"/>
      <w:r>
        <w:rPr>
          <w:color w:val="000000"/>
          <w:sz w:val="22"/>
          <w:szCs w:val="22"/>
          <w:lang w:val="es-ES"/>
        </w:rPr>
        <w:t xml:space="preserve"> meter, </w:t>
      </w:r>
      <w:proofErr w:type="spellStart"/>
      <w:r>
        <w:rPr>
          <w:color w:val="000000"/>
          <w:sz w:val="22"/>
          <w:szCs w:val="22"/>
          <w:lang w:val="es-ES"/>
        </w:rPr>
        <w:t>the</w:t>
      </w:r>
      <w:proofErr w:type="spellEnd"/>
      <w:r>
        <w:rPr>
          <w:color w:val="000000"/>
          <w:sz w:val="22"/>
          <w:szCs w:val="22"/>
          <w:lang w:val="es-ES"/>
        </w:rPr>
        <w:t xml:space="preserve"> </w:t>
      </w:r>
      <w:proofErr w:type="spellStart"/>
      <w:r>
        <w:rPr>
          <w:color w:val="000000"/>
          <w:sz w:val="22"/>
          <w:szCs w:val="22"/>
          <w:lang w:val="es-ES"/>
        </w:rPr>
        <w:t>numbering</w:t>
      </w:r>
      <w:proofErr w:type="spellEnd"/>
      <w:r>
        <w:rPr>
          <w:color w:val="000000"/>
          <w:sz w:val="22"/>
          <w:szCs w:val="22"/>
          <w:lang w:val="es-ES"/>
        </w:rPr>
        <w:t xml:space="preserve"> </w:t>
      </w:r>
      <w:proofErr w:type="spellStart"/>
      <w:r>
        <w:rPr>
          <w:color w:val="000000"/>
          <w:sz w:val="22"/>
          <w:szCs w:val="22"/>
          <w:lang w:val="es-ES"/>
        </w:rPr>
        <w:t>range</w:t>
      </w:r>
      <w:proofErr w:type="spellEnd"/>
      <w:r>
        <w:rPr>
          <w:color w:val="000000"/>
          <w:sz w:val="22"/>
          <w:szCs w:val="22"/>
          <w:lang w:val="es-ES"/>
        </w:rPr>
        <w:t xml:space="preserve"> </w:t>
      </w:r>
      <w:proofErr w:type="spellStart"/>
      <w:r>
        <w:rPr>
          <w:color w:val="000000"/>
          <w:sz w:val="22"/>
          <w:szCs w:val="22"/>
          <w:lang w:val="es-ES"/>
        </w:rPr>
        <w:t>of</w:t>
      </w:r>
      <w:proofErr w:type="spellEnd"/>
      <w:r>
        <w:rPr>
          <w:color w:val="000000"/>
          <w:sz w:val="22"/>
          <w:szCs w:val="22"/>
          <w:lang w:val="es-ES"/>
        </w:rPr>
        <w:t xml:space="preserve"> </w:t>
      </w:r>
      <w:proofErr w:type="spellStart"/>
      <w:r>
        <w:rPr>
          <w:color w:val="000000"/>
          <w:sz w:val="22"/>
          <w:szCs w:val="22"/>
          <w:lang w:val="es-ES"/>
        </w:rPr>
        <w:t>the</w:t>
      </w:r>
      <w:proofErr w:type="spellEnd"/>
      <w:r>
        <w:rPr>
          <w:color w:val="000000"/>
          <w:sz w:val="22"/>
          <w:szCs w:val="22"/>
          <w:lang w:val="es-ES"/>
        </w:rPr>
        <w:t xml:space="preserve"> </w:t>
      </w:r>
      <w:proofErr w:type="spellStart"/>
      <w:r>
        <w:rPr>
          <w:color w:val="000000"/>
          <w:sz w:val="22"/>
          <w:szCs w:val="22"/>
          <w:lang w:val="es-ES"/>
        </w:rPr>
        <w:t>meters</w:t>
      </w:r>
      <w:proofErr w:type="spellEnd"/>
      <w:r>
        <w:rPr>
          <w:color w:val="000000"/>
          <w:sz w:val="22"/>
          <w:szCs w:val="22"/>
          <w:lang w:val="es-ES"/>
        </w:rPr>
        <w:t xml:space="preserve">, </w:t>
      </w:r>
      <w:proofErr w:type="spellStart"/>
      <w:r>
        <w:rPr>
          <w:color w:val="000000"/>
          <w:sz w:val="22"/>
          <w:szCs w:val="22"/>
          <w:lang w:val="es-ES"/>
        </w:rPr>
        <w:t>which</w:t>
      </w:r>
      <w:proofErr w:type="spellEnd"/>
      <w:r>
        <w:rPr>
          <w:color w:val="000000"/>
          <w:sz w:val="22"/>
          <w:szCs w:val="22"/>
          <w:lang w:val="es-ES"/>
        </w:rPr>
        <w:t xml:space="preserve"> </w:t>
      </w:r>
      <w:proofErr w:type="spellStart"/>
      <w:r>
        <w:rPr>
          <w:color w:val="000000"/>
          <w:sz w:val="22"/>
          <w:szCs w:val="22"/>
          <w:lang w:val="es-ES"/>
        </w:rPr>
        <w:t>must</w:t>
      </w:r>
      <w:proofErr w:type="spellEnd"/>
      <w:r>
        <w:rPr>
          <w:color w:val="000000"/>
          <w:sz w:val="22"/>
          <w:szCs w:val="22"/>
          <w:lang w:val="es-ES"/>
        </w:rPr>
        <w:t xml:space="preserve"> be </w:t>
      </w:r>
      <w:proofErr w:type="spellStart"/>
      <w:r>
        <w:rPr>
          <w:color w:val="000000"/>
          <w:sz w:val="22"/>
          <w:szCs w:val="22"/>
          <w:lang w:val="es-ES"/>
        </w:rPr>
        <w:t>sequential</w:t>
      </w:r>
      <w:proofErr w:type="spellEnd"/>
      <w:r>
        <w:rPr>
          <w:color w:val="000000"/>
          <w:sz w:val="22"/>
          <w:szCs w:val="22"/>
          <w:lang w:val="es-ES"/>
        </w:rPr>
        <w:t xml:space="preserve"> </w:t>
      </w:r>
      <w:proofErr w:type="spellStart"/>
      <w:r>
        <w:rPr>
          <w:color w:val="000000"/>
          <w:sz w:val="22"/>
          <w:szCs w:val="22"/>
          <w:lang w:val="es-ES"/>
        </w:rPr>
        <w:t>within</w:t>
      </w:r>
      <w:proofErr w:type="spellEnd"/>
      <w:r>
        <w:rPr>
          <w:color w:val="000000"/>
          <w:sz w:val="22"/>
          <w:szCs w:val="22"/>
          <w:lang w:val="es-ES"/>
        </w:rPr>
        <w:t xml:space="preserve"> </w:t>
      </w:r>
      <w:proofErr w:type="spellStart"/>
      <w:r>
        <w:rPr>
          <w:color w:val="000000"/>
          <w:sz w:val="22"/>
          <w:szCs w:val="22"/>
          <w:lang w:val="es-ES"/>
        </w:rPr>
        <w:t>each</w:t>
      </w:r>
      <w:proofErr w:type="spellEnd"/>
      <w:r>
        <w:rPr>
          <w:color w:val="000000"/>
          <w:sz w:val="22"/>
          <w:szCs w:val="22"/>
          <w:lang w:val="es-ES"/>
        </w:rPr>
        <w:t xml:space="preserve"> box, and </w:t>
      </w:r>
      <w:proofErr w:type="spellStart"/>
      <w:r>
        <w:rPr>
          <w:color w:val="000000"/>
          <w:sz w:val="22"/>
          <w:szCs w:val="22"/>
          <w:lang w:val="es-ES"/>
        </w:rPr>
        <w:t>the</w:t>
      </w:r>
      <w:proofErr w:type="spellEnd"/>
      <w:r>
        <w:rPr>
          <w:color w:val="000000"/>
          <w:sz w:val="22"/>
          <w:szCs w:val="22"/>
          <w:lang w:val="es-ES"/>
        </w:rPr>
        <w:t xml:space="preserve"> </w:t>
      </w:r>
      <w:proofErr w:type="spellStart"/>
      <w:r>
        <w:rPr>
          <w:color w:val="000000"/>
          <w:sz w:val="22"/>
          <w:szCs w:val="22"/>
          <w:lang w:val="es-ES"/>
        </w:rPr>
        <w:t>quantity</w:t>
      </w:r>
      <w:proofErr w:type="spellEnd"/>
      <w:r>
        <w:rPr>
          <w:color w:val="000000"/>
          <w:sz w:val="22"/>
          <w:szCs w:val="22"/>
          <w:lang w:val="es-ES"/>
        </w:rPr>
        <w:t xml:space="preserve"> </w:t>
      </w:r>
      <w:proofErr w:type="spellStart"/>
      <w:r>
        <w:rPr>
          <w:color w:val="000000"/>
          <w:sz w:val="22"/>
          <w:szCs w:val="22"/>
          <w:lang w:val="es-ES"/>
        </w:rPr>
        <w:t>contained</w:t>
      </w:r>
      <w:proofErr w:type="spellEnd"/>
      <w:r>
        <w:rPr>
          <w:color w:val="000000"/>
          <w:sz w:val="22"/>
          <w:szCs w:val="22"/>
          <w:lang w:val="es-ES"/>
        </w:rPr>
        <w:t>.</w:t>
      </w:r>
    </w:p>
    <w:p w14:paraId="3B6B5C47" w14:textId="77777777" w:rsidR="00E255F4" w:rsidRDefault="00000000">
      <w:pPr>
        <w:numPr>
          <w:ilvl w:val="3"/>
          <w:numId w:val="56"/>
        </w:numPr>
        <w:tabs>
          <w:tab w:val="left" w:pos="-720"/>
          <w:tab w:val="left" w:pos="0"/>
          <w:tab w:val="left" w:pos="851"/>
        </w:tabs>
        <w:spacing w:before="120" w:after="120"/>
        <w:ind w:left="851" w:hanging="851"/>
        <w:jc w:val="both"/>
        <w:rPr>
          <w:color w:val="000000"/>
          <w:sz w:val="22"/>
          <w:szCs w:val="22"/>
          <w:lang w:val="es-ES"/>
        </w:rPr>
      </w:pPr>
      <w:r>
        <w:rPr>
          <w:color w:val="000000"/>
          <w:sz w:val="22"/>
          <w:szCs w:val="22"/>
          <w:lang w:val="es-ES"/>
        </w:rPr>
        <w:lastRenderedPageBreak/>
        <w:t xml:space="preserve">The boxes </w:t>
      </w:r>
      <w:proofErr w:type="spellStart"/>
      <w:r>
        <w:rPr>
          <w:color w:val="000000"/>
          <w:sz w:val="22"/>
          <w:szCs w:val="22"/>
          <w:lang w:val="es-ES"/>
        </w:rPr>
        <w:t>must</w:t>
      </w:r>
      <w:proofErr w:type="spellEnd"/>
      <w:r>
        <w:rPr>
          <w:color w:val="000000"/>
          <w:sz w:val="22"/>
          <w:szCs w:val="22"/>
          <w:lang w:val="es-ES"/>
        </w:rPr>
        <w:t xml:space="preserve"> be </w:t>
      </w:r>
      <w:proofErr w:type="spellStart"/>
      <w:r>
        <w:rPr>
          <w:color w:val="000000"/>
          <w:sz w:val="22"/>
          <w:szCs w:val="22"/>
          <w:lang w:val="es-ES"/>
        </w:rPr>
        <w:t>self-supporting</w:t>
      </w:r>
      <w:proofErr w:type="spellEnd"/>
      <w:r>
        <w:rPr>
          <w:color w:val="000000"/>
          <w:sz w:val="22"/>
          <w:szCs w:val="22"/>
          <w:lang w:val="es-ES"/>
        </w:rPr>
        <w:t xml:space="preserve">, </w:t>
      </w:r>
      <w:proofErr w:type="spellStart"/>
      <w:r>
        <w:rPr>
          <w:color w:val="000000"/>
          <w:sz w:val="22"/>
          <w:szCs w:val="22"/>
          <w:lang w:val="es-ES"/>
        </w:rPr>
        <w:t>allowing</w:t>
      </w:r>
      <w:proofErr w:type="spellEnd"/>
      <w:r>
        <w:rPr>
          <w:color w:val="000000"/>
          <w:sz w:val="22"/>
          <w:szCs w:val="22"/>
          <w:lang w:val="es-ES"/>
        </w:rPr>
        <w:t xml:space="preserve"> up </w:t>
      </w:r>
      <w:proofErr w:type="spellStart"/>
      <w:r>
        <w:rPr>
          <w:color w:val="000000"/>
          <w:sz w:val="22"/>
          <w:szCs w:val="22"/>
          <w:lang w:val="es-ES"/>
        </w:rPr>
        <w:t>to</w:t>
      </w:r>
      <w:proofErr w:type="spellEnd"/>
      <w:r>
        <w:rPr>
          <w:color w:val="000000"/>
          <w:sz w:val="22"/>
          <w:szCs w:val="22"/>
          <w:lang w:val="es-ES"/>
        </w:rPr>
        <w:t xml:space="preserve"> 5 boxes </w:t>
      </w:r>
      <w:proofErr w:type="spellStart"/>
      <w:r>
        <w:rPr>
          <w:color w:val="000000"/>
          <w:sz w:val="22"/>
          <w:szCs w:val="22"/>
          <w:lang w:val="es-ES"/>
        </w:rPr>
        <w:t>to</w:t>
      </w:r>
      <w:proofErr w:type="spellEnd"/>
      <w:r>
        <w:rPr>
          <w:color w:val="000000"/>
          <w:sz w:val="22"/>
          <w:szCs w:val="22"/>
          <w:lang w:val="es-ES"/>
        </w:rPr>
        <w:t xml:space="preserve"> be </w:t>
      </w:r>
      <w:proofErr w:type="spellStart"/>
      <w:r>
        <w:rPr>
          <w:color w:val="000000"/>
          <w:sz w:val="22"/>
          <w:szCs w:val="22"/>
          <w:lang w:val="es-ES"/>
        </w:rPr>
        <w:t>stacked</w:t>
      </w:r>
      <w:proofErr w:type="spellEnd"/>
      <w:r>
        <w:rPr>
          <w:color w:val="000000"/>
          <w:sz w:val="22"/>
          <w:szCs w:val="22"/>
          <w:lang w:val="es-ES"/>
        </w:rPr>
        <w:t xml:space="preserve"> </w:t>
      </w:r>
      <w:proofErr w:type="spellStart"/>
      <w:r>
        <w:rPr>
          <w:color w:val="000000"/>
          <w:sz w:val="22"/>
          <w:szCs w:val="22"/>
          <w:lang w:val="es-ES"/>
        </w:rPr>
        <w:t>on</w:t>
      </w:r>
      <w:proofErr w:type="spellEnd"/>
      <w:r>
        <w:rPr>
          <w:color w:val="000000"/>
          <w:sz w:val="22"/>
          <w:szCs w:val="22"/>
          <w:lang w:val="es-ES"/>
        </w:rPr>
        <w:t xml:space="preserve"> top </w:t>
      </w:r>
      <w:proofErr w:type="spellStart"/>
      <w:r>
        <w:rPr>
          <w:color w:val="000000"/>
          <w:sz w:val="22"/>
          <w:szCs w:val="22"/>
          <w:lang w:val="es-ES"/>
        </w:rPr>
        <w:t>of</w:t>
      </w:r>
      <w:proofErr w:type="spellEnd"/>
      <w:r>
        <w:rPr>
          <w:color w:val="000000"/>
          <w:sz w:val="22"/>
          <w:szCs w:val="22"/>
          <w:lang w:val="es-ES"/>
        </w:rPr>
        <w:t xml:space="preserve"> </w:t>
      </w:r>
      <w:proofErr w:type="spellStart"/>
      <w:r>
        <w:rPr>
          <w:color w:val="000000"/>
          <w:sz w:val="22"/>
          <w:szCs w:val="22"/>
          <w:lang w:val="es-ES"/>
        </w:rPr>
        <w:t>each</w:t>
      </w:r>
      <w:proofErr w:type="spellEnd"/>
      <w:r>
        <w:rPr>
          <w:color w:val="000000"/>
          <w:sz w:val="22"/>
          <w:szCs w:val="22"/>
          <w:lang w:val="es-ES"/>
        </w:rPr>
        <w:t xml:space="preserve"> </w:t>
      </w:r>
      <w:proofErr w:type="spellStart"/>
      <w:r>
        <w:rPr>
          <w:color w:val="000000"/>
          <w:sz w:val="22"/>
          <w:szCs w:val="22"/>
          <w:lang w:val="es-ES"/>
        </w:rPr>
        <w:t>other</w:t>
      </w:r>
      <w:proofErr w:type="spellEnd"/>
      <w:r>
        <w:rPr>
          <w:color w:val="000000"/>
          <w:sz w:val="22"/>
          <w:szCs w:val="22"/>
          <w:lang w:val="es-ES"/>
        </w:rPr>
        <w:t xml:space="preserve"> </w:t>
      </w:r>
      <w:proofErr w:type="spellStart"/>
      <w:r>
        <w:rPr>
          <w:color w:val="000000"/>
          <w:sz w:val="22"/>
          <w:szCs w:val="22"/>
          <w:lang w:val="es-ES"/>
        </w:rPr>
        <w:t>without</w:t>
      </w:r>
      <w:proofErr w:type="spellEnd"/>
      <w:r>
        <w:rPr>
          <w:color w:val="000000"/>
          <w:sz w:val="22"/>
          <w:szCs w:val="22"/>
          <w:lang w:val="es-ES"/>
        </w:rPr>
        <w:t xml:space="preserve"> </w:t>
      </w:r>
      <w:proofErr w:type="spellStart"/>
      <w:r>
        <w:rPr>
          <w:color w:val="000000"/>
          <w:sz w:val="22"/>
          <w:szCs w:val="22"/>
          <w:lang w:val="es-ES"/>
        </w:rPr>
        <w:t>breakage</w:t>
      </w:r>
      <w:proofErr w:type="spellEnd"/>
      <w:r>
        <w:rPr>
          <w:color w:val="000000"/>
          <w:sz w:val="22"/>
          <w:szCs w:val="22"/>
          <w:lang w:val="es-ES"/>
        </w:rPr>
        <w:t>.</w:t>
      </w:r>
    </w:p>
    <w:p w14:paraId="20BFE85C" w14:textId="77777777" w:rsidR="00E255F4" w:rsidRDefault="00000000">
      <w:pPr>
        <w:numPr>
          <w:ilvl w:val="3"/>
          <w:numId w:val="56"/>
        </w:numPr>
        <w:tabs>
          <w:tab w:val="left" w:pos="-720"/>
          <w:tab w:val="left" w:pos="0"/>
          <w:tab w:val="left" w:pos="851"/>
        </w:tabs>
        <w:spacing w:before="120" w:after="120"/>
        <w:ind w:left="851" w:hanging="851"/>
        <w:jc w:val="both"/>
        <w:rPr>
          <w:color w:val="000000"/>
          <w:sz w:val="22"/>
          <w:szCs w:val="22"/>
          <w:lang w:val="es-ES"/>
        </w:rPr>
      </w:pPr>
      <w:r>
        <w:rPr>
          <w:color w:val="000000"/>
          <w:sz w:val="22"/>
          <w:szCs w:val="22"/>
          <w:lang w:val="es-ES"/>
        </w:rPr>
        <w:t xml:space="preserve">The </w:t>
      </w:r>
      <w:proofErr w:type="spellStart"/>
      <w:r>
        <w:rPr>
          <w:color w:val="000000"/>
          <w:sz w:val="22"/>
          <w:szCs w:val="22"/>
          <w:lang w:val="es-ES"/>
        </w:rPr>
        <w:t>meters</w:t>
      </w:r>
      <w:proofErr w:type="spellEnd"/>
      <w:r>
        <w:rPr>
          <w:color w:val="000000"/>
          <w:sz w:val="22"/>
          <w:szCs w:val="22"/>
          <w:lang w:val="es-ES"/>
        </w:rPr>
        <w:t xml:space="preserve"> </w:t>
      </w:r>
      <w:proofErr w:type="spellStart"/>
      <w:r>
        <w:rPr>
          <w:color w:val="000000"/>
          <w:sz w:val="22"/>
          <w:szCs w:val="22"/>
          <w:lang w:val="es-ES"/>
        </w:rPr>
        <w:t>will</w:t>
      </w:r>
      <w:proofErr w:type="spellEnd"/>
      <w:r>
        <w:rPr>
          <w:color w:val="000000"/>
          <w:sz w:val="22"/>
          <w:szCs w:val="22"/>
          <w:lang w:val="es-ES"/>
        </w:rPr>
        <w:t xml:space="preserve"> be </w:t>
      </w:r>
      <w:proofErr w:type="spellStart"/>
      <w:r>
        <w:rPr>
          <w:color w:val="000000"/>
          <w:sz w:val="22"/>
          <w:szCs w:val="22"/>
          <w:lang w:val="es-ES"/>
        </w:rPr>
        <w:t>conditioned</w:t>
      </w:r>
      <w:proofErr w:type="spellEnd"/>
      <w:r>
        <w:rPr>
          <w:color w:val="000000"/>
          <w:sz w:val="22"/>
          <w:szCs w:val="22"/>
          <w:lang w:val="es-ES"/>
        </w:rPr>
        <w:t xml:space="preserve"> in </w:t>
      </w:r>
      <w:proofErr w:type="spellStart"/>
      <w:r>
        <w:rPr>
          <w:color w:val="000000"/>
          <w:sz w:val="22"/>
          <w:szCs w:val="22"/>
          <w:lang w:val="es-ES"/>
        </w:rPr>
        <w:t>such</w:t>
      </w:r>
      <w:proofErr w:type="spellEnd"/>
      <w:r>
        <w:rPr>
          <w:color w:val="000000"/>
          <w:sz w:val="22"/>
          <w:szCs w:val="22"/>
          <w:lang w:val="es-ES"/>
        </w:rPr>
        <w:t xml:space="preserve"> a </w:t>
      </w:r>
      <w:proofErr w:type="spellStart"/>
      <w:r>
        <w:rPr>
          <w:color w:val="000000"/>
          <w:sz w:val="22"/>
          <w:szCs w:val="22"/>
          <w:lang w:val="es-ES"/>
        </w:rPr>
        <w:t>way</w:t>
      </w:r>
      <w:proofErr w:type="spellEnd"/>
      <w:r>
        <w:rPr>
          <w:color w:val="000000"/>
          <w:sz w:val="22"/>
          <w:szCs w:val="22"/>
          <w:lang w:val="es-ES"/>
        </w:rPr>
        <w:t xml:space="preserve"> as </w:t>
      </w:r>
      <w:proofErr w:type="spellStart"/>
      <w:r>
        <w:rPr>
          <w:color w:val="000000"/>
          <w:sz w:val="22"/>
          <w:szCs w:val="22"/>
          <w:lang w:val="es-ES"/>
        </w:rPr>
        <w:t>to</w:t>
      </w:r>
      <w:proofErr w:type="spellEnd"/>
      <w:r>
        <w:rPr>
          <w:color w:val="000000"/>
          <w:sz w:val="22"/>
          <w:szCs w:val="22"/>
          <w:lang w:val="es-ES"/>
        </w:rPr>
        <w:t xml:space="preserve"> </w:t>
      </w:r>
      <w:proofErr w:type="spellStart"/>
      <w:r>
        <w:rPr>
          <w:color w:val="000000"/>
          <w:sz w:val="22"/>
          <w:szCs w:val="22"/>
          <w:lang w:val="es-ES"/>
        </w:rPr>
        <w:t>prevent</w:t>
      </w:r>
      <w:proofErr w:type="spellEnd"/>
      <w:r>
        <w:rPr>
          <w:color w:val="000000"/>
          <w:sz w:val="22"/>
          <w:szCs w:val="22"/>
          <w:lang w:val="es-ES"/>
        </w:rPr>
        <w:t xml:space="preserve"> </w:t>
      </w:r>
      <w:proofErr w:type="spellStart"/>
      <w:r>
        <w:rPr>
          <w:color w:val="000000"/>
          <w:sz w:val="22"/>
          <w:szCs w:val="22"/>
          <w:lang w:val="es-ES"/>
        </w:rPr>
        <w:t>collisions</w:t>
      </w:r>
      <w:proofErr w:type="spellEnd"/>
      <w:r>
        <w:rPr>
          <w:color w:val="000000"/>
          <w:sz w:val="22"/>
          <w:szCs w:val="22"/>
          <w:lang w:val="es-ES"/>
        </w:rPr>
        <w:t xml:space="preserve"> </w:t>
      </w:r>
      <w:proofErr w:type="spellStart"/>
      <w:r>
        <w:rPr>
          <w:color w:val="000000"/>
          <w:sz w:val="22"/>
          <w:szCs w:val="22"/>
          <w:lang w:val="es-ES"/>
        </w:rPr>
        <w:t>between</w:t>
      </w:r>
      <w:proofErr w:type="spellEnd"/>
      <w:r>
        <w:rPr>
          <w:color w:val="000000"/>
          <w:sz w:val="22"/>
          <w:szCs w:val="22"/>
          <w:lang w:val="es-ES"/>
        </w:rPr>
        <w:t xml:space="preserve"> </w:t>
      </w:r>
      <w:proofErr w:type="spellStart"/>
      <w:r>
        <w:rPr>
          <w:color w:val="000000"/>
          <w:sz w:val="22"/>
          <w:szCs w:val="22"/>
          <w:lang w:val="es-ES"/>
        </w:rPr>
        <w:t>them</w:t>
      </w:r>
      <w:proofErr w:type="spellEnd"/>
      <w:r>
        <w:rPr>
          <w:color w:val="000000"/>
          <w:sz w:val="22"/>
          <w:szCs w:val="22"/>
          <w:lang w:val="es-ES"/>
        </w:rPr>
        <w:t xml:space="preserve"> </w:t>
      </w:r>
      <w:proofErr w:type="spellStart"/>
      <w:r>
        <w:rPr>
          <w:color w:val="000000"/>
          <w:sz w:val="22"/>
          <w:szCs w:val="22"/>
          <w:lang w:val="es-ES"/>
        </w:rPr>
        <w:t>during</w:t>
      </w:r>
      <w:proofErr w:type="spellEnd"/>
      <w:r>
        <w:rPr>
          <w:color w:val="000000"/>
          <w:sz w:val="22"/>
          <w:szCs w:val="22"/>
          <w:lang w:val="es-ES"/>
        </w:rPr>
        <w:t xml:space="preserve"> </w:t>
      </w:r>
      <w:proofErr w:type="spellStart"/>
      <w:r>
        <w:rPr>
          <w:color w:val="000000"/>
          <w:sz w:val="22"/>
          <w:szCs w:val="22"/>
          <w:lang w:val="es-ES"/>
        </w:rPr>
        <w:t>handling</w:t>
      </w:r>
      <w:proofErr w:type="spellEnd"/>
      <w:r>
        <w:rPr>
          <w:color w:val="000000"/>
          <w:sz w:val="22"/>
          <w:szCs w:val="22"/>
          <w:lang w:val="es-ES"/>
        </w:rPr>
        <w:t xml:space="preserve"> </w:t>
      </w:r>
      <w:proofErr w:type="spellStart"/>
      <w:r>
        <w:rPr>
          <w:color w:val="000000"/>
          <w:sz w:val="22"/>
          <w:szCs w:val="22"/>
          <w:lang w:val="es-ES"/>
        </w:rPr>
        <w:t>of</w:t>
      </w:r>
      <w:proofErr w:type="spellEnd"/>
      <w:r>
        <w:rPr>
          <w:color w:val="000000"/>
          <w:sz w:val="22"/>
          <w:szCs w:val="22"/>
          <w:lang w:val="es-ES"/>
        </w:rPr>
        <w:t xml:space="preserve"> </w:t>
      </w:r>
      <w:proofErr w:type="spellStart"/>
      <w:r>
        <w:rPr>
          <w:color w:val="000000"/>
          <w:sz w:val="22"/>
          <w:szCs w:val="22"/>
          <w:lang w:val="es-ES"/>
        </w:rPr>
        <w:t>the</w:t>
      </w:r>
      <w:proofErr w:type="spellEnd"/>
      <w:r>
        <w:rPr>
          <w:color w:val="000000"/>
          <w:sz w:val="22"/>
          <w:szCs w:val="22"/>
          <w:lang w:val="es-ES"/>
        </w:rPr>
        <w:t xml:space="preserve"> boxes, </w:t>
      </w:r>
      <w:proofErr w:type="spellStart"/>
      <w:r>
        <w:rPr>
          <w:color w:val="000000"/>
          <w:sz w:val="22"/>
          <w:szCs w:val="22"/>
          <w:lang w:val="es-ES"/>
        </w:rPr>
        <w:t>thus</w:t>
      </w:r>
      <w:proofErr w:type="spellEnd"/>
      <w:r>
        <w:rPr>
          <w:color w:val="000000"/>
          <w:sz w:val="22"/>
          <w:szCs w:val="22"/>
          <w:lang w:val="es-ES"/>
        </w:rPr>
        <w:t xml:space="preserve"> </w:t>
      </w:r>
      <w:proofErr w:type="spellStart"/>
      <w:r>
        <w:rPr>
          <w:color w:val="000000"/>
          <w:sz w:val="22"/>
          <w:szCs w:val="22"/>
          <w:lang w:val="es-ES"/>
        </w:rPr>
        <w:t>ensuring</w:t>
      </w:r>
      <w:proofErr w:type="spellEnd"/>
      <w:r>
        <w:rPr>
          <w:color w:val="000000"/>
          <w:sz w:val="22"/>
          <w:szCs w:val="22"/>
          <w:lang w:val="es-ES"/>
        </w:rPr>
        <w:t xml:space="preserve"> </w:t>
      </w:r>
      <w:proofErr w:type="spellStart"/>
      <w:r>
        <w:rPr>
          <w:color w:val="000000"/>
          <w:sz w:val="22"/>
          <w:szCs w:val="22"/>
          <w:lang w:val="es-ES"/>
        </w:rPr>
        <w:t>that</w:t>
      </w:r>
      <w:proofErr w:type="spellEnd"/>
      <w:r>
        <w:rPr>
          <w:color w:val="000000"/>
          <w:sz w:val="22"/>
          <w:szCs w:val="22"/>
          <w:lang w:val="es-ES"/>
        </w:rPr>
        <w:t xml:space="preserve"> no </w:t>
      </w:r>
      <w:proofErr w:type="spellStart"/>
      <w:r>
        <w:rPr>
          <w:color w:val="000000"/>
          <w:sz w:val="22"/>
          <w:szCs w:val="22"/>
          <w:lang w:val="es-ES"/>
        </w:rPr>
        <w:t>damage</w:t>
      </w:r>
      <w:proofErr w:type="spellEnd"/>
      <w:r>
        <w:rPr>
          <w:color w:val="000000"/>
          <w:sz w:val="22"/>
          <w:szCs w:val="22"/>
          <w:lang w:val="es-ES"/>
        </w:rPr>
        <w:t xml:space="preserve"> </w:t>
      </w:r>
      <w:proofErr w:type="spellStart"/>
      <w:r>
        <w:rPr>
          <w:color w:val="000000"/>
          <w:sz w:val="22"/>
          <w:szCs w:val="22"/>
          <w:lang w:val="es-ES"/>
        </w:rPr>
        <w:t>occurs</w:t>
      </w:r>
      <w:proofErr w:type="spellEnd"/>
      <w:r>
        <w:rPr>
          <w:color w:val="000000"/>
          <w:sz w:val="22"/>
          <w:szCs w:val="22"/>
          <w:lang w:val="es-ES"/>
        </w:rPr>
        <w:t xml:space="preserve"> </w:t>
      </w:r>
      <w:proofErr w:type="spellStart"/>
      <w:r>
        <w:rPr>
          <w:color w:val="000000"/>
          <w:sz w:val="22"/>
          <w:szCs w:val="22"/>
          <w:lang w:val="es-ES"/>
        </w:rPr>
        <w:t>to</w:t>
      </w:r>
      <w:proofErr w:type="spellEnd"/>
      <w:r>
        <w:rPr>
          <w:color w:val="000000"/>
          <w:sz w:val="22"/>
          <w:szCs w:val="22"/>
          <w:lang w:val="es-ES"/>
        </w:rPr>
        <w:t xml:space="preserve"> </w:t>
      </w:r>
      <w:proofErr w:type="spellStart"/>
      <w:r>
        <w:rPr>
          <w:color w:val="000000"/>
          <w:sz w:val="22"/>
          <w:szCs w:val="22"/>
          <w:lang w:val="es-ES"/>
        </w:rPr>
        <w:t>them</w:t>
      </w:r>
      <w:proofErr w:type="spellEnd"/>
      <w:r>
        <w:rPr>
          <w:color w:val="000000"/>
          <w:sz w:val="22"/>
          <w:szCs w:val="22"/>
          <w:lang w:val="es-ES"/>
        </w:rPr>
        <w:t>.</w:t>
      </w:r>
    </w:p>
    <w:p w14:paraId="7D41DFB8" w14:textId="77777777" w:rsidR="00E255F4" w:rsidRDefault="00000000">
      <w:pPr>
        <w:numPr>
          <w:ilvl w:val="3"/>
          <w:numId w:val="56"/>
        </w:numPr>
        <w:tabs>
          <w:tab w:val="left" w:pos="-720"/>
          <w:tab w:val="left" w:pos="0"/>
          <w:tab w:val="left" w:pos="851"/>
        </w:tabs>
        <w:spacing w:before="120" w:after="120"/>
        <w:ind w:left="851" w:hanging="851"/>
        <w:jc w:val="both"/>
        <w:rPr>
          <w:color w:val="000000"/>
          <w:sz w:val="22"/>
          <w:szCs w:val="22"/>
          <w:lang w:val="es-ES"/>
        </w:rPr>
      </w:pPr>
      <w:proofErr w:type="spellStart"/>
      <w:r>
        <w:rPr>
          <w:color w:val="000000"/>
          <w:sz w:val="22"/>
          <w:szCs w:val="22"/>
          <w:lang w:val="es-ES"/>
        </w:rPr>
        <w:t>These</w:t>
      </w:r>
      <w:proofErr w:type="spellEnd"/>
      <w:r>
        <w:rPr>
          <w:color w:val="000000"/>
          <w:sz w:val="22"/>
          <w:szCs w:val="22"/>
          <w:lang w:val="es-ES"/>
        </w:rPr>
        <w:t xml:space="preserve"> boxes </w:t>
      </w:r>
      <w:proofErr w:type="spellStart"/>
      <w:r>
        <w:rPr>
          <w:color w:val="000000"/>
          <w:sz w:val="22"/>
          <w:szCs w:val="22"/>
          <w:lang w:val="es-ES"/>
        </w:rPr>
        <w:t>will</w:t>
      </w:r>
      <w:proofErr w:type="spellEnd"/>
      <w:r>
        <w:rPr>
          <w:color w:val="000000"/>
          <w:sz w:val="22"/>
          <w:szCs w:val="22"/>
          <w:lang w:val="es-ES"/>
        </w:rPr>
        <w:t xml:space="preserve"> be </w:t>
      </w:r>
      <w:proofErr w:type="spellStart"/>
      <w:r>
        <w:rPr>
          <w:color w:val="000000"/>
          <w:sz w:val="22"/>
          <w:szCs w:val="22"/>
          <w:lang w:val="es-ES"/>
        </w:rPr>
        <w:t>packed</w:t>
      </w:r>
      <w:proofErr w:type="spellEnd"/>
      <w:r>
        <w:rPr>
          <w:color w:val="000000"/>
          <w:sz w:val="22"/>
          <w:szCs w:val="22"/>
          <w:lang w:val="es-ES"/>
        </w:rPr>
        <w:t xml:space="preserve"> </w:t>
      </w:r>
      <w:proofErr w:type="spellStart"/>
      <w:r>
        <w:rPr>
          <w:color w:val="000000"/>
          <w:sz w:val="22"/>
          <w:szCs w:val="22"/>
          <w:lang w:val="es-ES"/>
        </w:rPr>
        <w:t>on</w:t>
      </w:r>
      <w:proofErr w:type="spellEnd"/>
      <w:r>
        <w:rPr>
          <w:color w:val="000000"/>
          <w:sz w:val="22"/>
          <w:szCs w:val="22"/>
          <w:lang w:val="es-ES"/>
        </w:rPr>
        <w:t xml:space="preserve"> pallets </w:t>
      </w:r>
      <w:proofErr w:type="spellStart"/>
      <w:r>
        <w:rPr>
          <w:color w:val="000000"/>
          <w:sz w:val="22"/>
          <w:szCs w:val="22"/>
          <w:lang w:val="es-ES"/>
        </w:rPr>
        <w:t>that</w:t>
      </w:r>
      <w:proofErr w:type="spellEnd"/>
      <w:r>
        <w:rPr>
          <w:color w:val="000000"/>
          <w:sz w:val="22"/>
          <w:szCs w:val="22"/>
          <w:lang w:val="es-ES"/>
        </w:rPr>
        <w:t xml:space="preserve"> </w:t>
      </w:r>
      <w:proofErr w:type="spellStart"/>
      <w:r>
        <w:rPr>
          <w:color w:val="000000"/>
          <w:sz w:val="22"/>
          <w:szCs w:val="22"/>
          <w:lang w:val="es-ES"/>
        </w:rPr>
        <w:t>comply</w:t>
      </w:r>
      <w:proofErr w:type="spellEnd"/>
      <w:r>
        <w:rPr>
          <w:color w:val="000000"/>
          <w:sz w:val="22"/>
          <w:szCs w:val="22"/>
          <w:lang w:val="es-ES"/>
        </w:rPr>
        <w:t xml:space="preserve"> </w:t>
      </w:r>
      <w:proofErr w:type="spellStart"/>
      <w:r>
        <w:rPr>
          <w:color w:val="000000"/>
          <w:sz w:val="22"/>
          <w:szCs w:val="22"/>
          <w:lang w:val="es-ES"/>
        </w:rPr>
        <w:t>with</w:t>
      </w:r>
      <w:proofErr w:type="spellEnd"/>
      <w:r>
        <w:rPr>
          <w:color w:val="000000"/>
          <w:sz w:val="22"/>
          <w:szCs w:val="22"/>
          <w:lang w:val="es-ES"/>
        </w:rPr>
        <w:t xml:space="preserve"> </w:t>
      </w:r>
      <w:proofErr w:type="spellStart"/>
      <w:r>
        <w:rPr>
          <w:color w:val="000000"/>
          <w:sz w:val="22"/>
          <w:szCs w:val="22"/>
          <w:lang w:val="es-ES"/>
        </w:rPr>
        <w:t>international</w:t>
      </w:r>
      <w:proofErr w:type="spellEnd"/>
      <w:r>
        <w:rPr>
          <w:color w:val="000000"/>
          <w:sz w:val="22"/>
          <w:szCs w:val="22"/>
          <w:lang w:val="es-ES"/>
        </w:rPr>
        <w:t xml:space="preserve"> </w:t>
      </w:r>
      <w:proofErr w:type="spellStart"/>
      <w:r>
        <w:rPr>
          <w:color w:val="000000"/>
          <w:sz w:val="22"/>
          <w:szCs w:val="22"/>
          <w:lang w:val="es-ES"/>
        </w:rPr>
        <w:t>standards</w:t>
      </w:r>
      <w:proofErr w:type="spellEnd"/>
      <w:r>
        <w:rPr>
          <w:color w:val="000000"/>
          <w:sz w:val="22"/>
          <w:szCs w:val="22"/>
          <w:lang w:val="es-ES"/>
        </w:rPr>
        <w:t xml:space="preserve"> (1.20 m </w:t>
      </w:r>
      <w:proofErr w:type="spellStart"/>
      <w:r>
        <w:rPr>
          <w:color w:val="000000"/>
          <w:sz w:val="22"/>
          <w:szCs w:val="22"/>
          <w:lang w:val="es-ES"/>
        </w:rPr>
        <w:t>long</w:t>
      </w:r>
      <w:proofErr w:type="spellEnd"/>
      <w:r>
        <w:rPr>
          <w:color w:val="000000"/>
          <w:sz w:val="22"/>
          <w:szCs w:val="22"/>
          <w:lang w:val="es-ES"/>
        </w:rPr>
        <w:t xml:space="preserve"> x 1.00 m </w:t>
      </w:r>
      <w:proofErr w:type="spellStart"/>
      <w:r>
        <w:rPr>
          <w:color w:val="000000"/>
          <w:sz w:val="22"/>
          <w:szCs w:val="22"/>
          <w:lang w:val="es-ES"/>
        </w:rPr>
        <w:t>wide</w:t>
      </w:r>
      <w:proofErr w:type="spellEnd"/>
      <w:r>
        <w:rPr>
          <w:color w:val="000000"/>
          <w:sz w:val="22"/>
          <w:szCs w:val="22"/>
          <w:lang w:val="es-ES"/>
        </w:rPr>
        <w:t xml:space="preserve"> x 0.15 m </w:t>
      </w:r>
      <w:proofErr w:type="spellStart"/>
      <w:r>
        <w:rPr>
          <w:color w:val="000000"/>
          <w:sz w:val="22"/>
          <w:szCs w:val="22"/>
          <w:lang w:val="es-ES"/>
        </w:rPr>
        <w:t>high</w:t>
      </w:r>
      <w:proofErr w:type="spellEnd"/>
      <w:r>
        <w:rPr>
          <w:color w:val="000000"/>
          <w:sz w:val="22"/>
          <w:szCs w:val="22"/>
          <w:lang w:val="es-ES"/>
        </w:rPr>
        <w:t xml:space="preserve">). The pallet bases </w:t>
      </w:r>
      <w:proofErr w:type="spellStart"/>
      <w:r>
        <w:rPr>
          <w:color w:val="000000"/>
          <w:sz w:val="22"/>
          <w:szCs w:val="22"/>
          <w:lang w:val="es-ES"/>
        </w:rPr>
        <w:t>must</w:t>
      </w:r>
      <w:proofErr w:type="spellEnd"/>
      <w:r>
        <w:rPr>
          <w:color w:val="000000"/>
          <w:sz w:val="22"/>
          <w:szCs w:val="22"/>
          <w:lang w:val="es-ES"/>
        </w:rPr>
        <w:t xml:space="preserve"> </w:t>
      </w:r>
      <w:proofErr w:type="spellStart"/>
      <w:r>
        <w:rPr>
          <w:color w:val="000000"/>
          <w:sz w:val="22"/>
          <w:szCs w:val="22"/>
          <w:lang w:val="es-ES"/>
        </w:rPr>
        <w:t>have</w:t>
      </w:r>
      <w:proofErr w:type="spellEnd"/>
      <w:r>
        <w:rPr>
          <w:color w:val="000000"/>
          <w:sz w:val="22"/>
          <w:szCs w:val="22"/>
          <w:lang w:val="es-ES"/>
        </w:rPr>
        <w:t xml:space="preserve"> "free </w:t>
      </w:r>
      <w:proofErr w:type="spellStart"/>
      <w:r>
        <w:rPr>
          <w:color w:val="000000"/>
          <w:sz w:val="22"/>
          <w:szCs w:val="22"/>
          <w:lang w:val="es-ES"/>
        </w:rPr>
        <w:t>entry</w:t>
      </w:r>
      <w:proofErr w:type="spellEnd"/>
      <w:r>
        <w:rPr>
          <w:color w:val="000000"/>
          <w:sz w:val="22"/>
          <w:szCs w:val="22"/>
          <w:lang w:val="es-ES"/>
        </w:rPr>
        <w:t xml:space="preserve">" </w:t>
      </w:r>
      <w:proofErr w:type="spellStart"/>
      <w:r>
        <w:rPr>
          <w:color w:val="000000"/>
          <w:sz w:val="22"/>
          <w:szCs w:val="22"/>
          <w:lang w:val="es-ES"/>
        </w:rPr>
        <w:t>features</w:t>
      </w:r>
      <w:proofErr w:type="spellEnd"/>
      <w:r>
        <w:rPr>
          <w:color w:val="000000"/>
          <w:sz w:val="22"/>
          <w:szCs w:val="22"/>
          <w:lang w:val="es-ES"/>
        </w:rPr>
        <w:t xml:space="preserve"> </w:t>
      </w:r>
      <w:proofErr w:type="spellStart"/>
      <w:r>
        <w:rPr>
          <w:color w:val="000000"/>
          <w:sz w:val="22"/>
          <w:szCs w:val="22"/>
          <w:lang w:val="es-ES"/>
        </w:rPr>
        <w:t>to</w:t>
      </w:r>
      <w:proofErr w:type="spellEnd"/>
      <w:r>
        <w:rPr>
          <w:color w:val="000000"/>
          <w:sz w:val="22"/>
          <w:szCs w:val="22"/>
          <w:lang w:val="es-ES"/>
        </w:rPr>
        <w:t xml:space="preserve"> </w:t>
      </w:r>
      <w:proofErr w:type="spellStart"/>
      <w:r>
        <w:rPr>
          <w:color w:val="000000"/>
          <w:sz w:val="22"/>
          <w:szCs w:val="22"/>
          <w:lang w:val="es-ES"/>
        </w:rPr>
        <w:t>allow</w:t>
      </w:r>
      <w:proofErr w:type="spellEnd"/>
      <w:r>
        <w:rPr>
          <w:color w:val="000000"/>
          <w:sz w:val="22"/>
          <w:szCs w:val="22"/>
          <w:lang w:val="es-ES"/>
        </w:rPr>
        <w:t xml:space="preserve"> </w:t>
      </w:r>
      <w:proofErr w:type="spellStart"/>
      <w:r>
        <w:rPr>
          <w:color w:val="000000"/>
          <w:sz w:val="22"/>
          <w:szCs w:val="22"/>
          <w:lang w:val="es-ES"/>
        </w:rPr>
        <w:t>passage</w:t>
      </w:r>
      <w:proofErr w:type="spellEnd"/>
      <w:r>
        <w:rPr>
          <w:color w:val="000000"/>
          <w:sz w:val="22"/>
          <w:szCs w:val="22"/>
          <w:lang w:val="es-ES"/>
        </w:rPr>
        <w:t xml:space="preserve"> </w:t>
      </w:r>
      <w:proofErr w:type="spellStart"/>
      <w:r>
        <w:rPr>
          <w:color w:val="000000"/>
          <w:sz w:val="22"/>
          <w:szCs w:val="22"/>
          <w:lang w:val="es-ES"/>
        </w:rPr>
        <w:t>for</w:t>
      </w:r>
      <w:proofErr w:type="spellEnd"/>
      <w:r>
        <w:rPr>
          <w:color w:val="000000"/>
          <w:sz w:val="22"/>
          <w:szCs w:val="22"/>
          <w:lang w:val="es-ES"/>
        </w:rPr>
        <w:t xml:space="preserve"> </w:t>
      </w:r>
      <w:proofErr w:type="spellStart"/>
      <w:r>
        <w:rPr>
          <w:color w:val="000000"/>
          <w:sz w:val="22"/>
          <w:szCs w:val="22"/>
          <w:lang w:val="es-ES"/>
        </w:rPr>
        <w:t>the</w:t>
      </w:r>
      <w:proofErr w:type="spellEnd"/>
      <w:r>
        <w:rPr>
          <w:color w:val="000000"/>
          <w:sz w:val="22"/>
          <w:szCs w:val="22"/>
          <w:lang w:val="es-ES"/>
        </w:rPr>
        <w:t xml:space="preserve"> pallet </w:t>
      </w:r>
      <w:proofErr w:type="spellStart"/>
      <w:r>
        <w:rPr>
          <w:color w:val="000000"/>
          <w:sz w:val="22"/>
          <w:szCs w:val="22"/>
          <w:lang w:val="es-ES"/>
        </w:rPr>
        <w:t>forks</w:t>
      </w:r>
      <w:proofErr w:type="spellEnd"/>
      <w:r>
        <w:rPr>
          <w:color w:val="000000"/>
          <w:sz w:val="22"/>
          <w:szCs w:val="22"/>
          <w:lang w:val="es-ES"/>
        </w:rPr>
        <w:t xml:space="preserve">. The pallet and material </w:t>
      </w:r>
      <w:proofErr w:type="spellStart"/>
      <w:r>
        <w:rPr>
          <w:color w:val="000000"/>
          <w:sz w:val="22"/>
          <w:szCs w:val="22"/>
          <w:lang w:val="es-ES"/>
        </w:rPr>
        <w:t>assembly</w:t>
      </w:r>
      <w:proofErr w:type="spellEnd"/>
      <w:r>
        <w:rPr>
          <w:color w:val="000000"/>
          <w:sz w:val="22"/>
          <w:szCs w:val="22"/>
          <w:lang w:val="es-ES"/>
        </w:rPr>
        <w:t xml:space="preserve"> </w:t>
      </w:r>
      <w:proofErr w:type="spellStart"/>
      <w:r>
        <w:rPr>
          <w:color w:val="000000"/>
          <w:sz w:val="22"/>
          <w:szCs w:val="22"/>
          <w:lang w:val="es-ES"/>
        </w:rPr>
        <w:t>must</w:t>
      </w:r>
      <w:proofErr w:type="spellEnd"/>
      <w:r>
        <w:rPr>
          <w:color w:val="000000"/>
          <w:sz w:val="22"/>
          <w:szCs w:val="22"/>
          <w:lang w:val="es-ES"/>
        </w:rPr>
        <w:t xml:space="preserve"> be </w:t>
      </w:r>
      <w:proofErr w:type="spellStart"/>
      <w:r>
        <w:rPr>
          <w:color w:val="000000"/>
          <w:sz w:val="22"/>
          <w:szCs w:val="22"/>
          <w:lang w:val="es-ES"/>
        </w:rPr>
        <w:t>wrapped</w:t>
      </w:r>
      <w:proofErr w:type="spellEnd"/>
      <w:r>
        <w:rPr>
          <w:color w:val="000000"/>
          <w:sz w:val="22"/>
          <w:szCs w:val="22"/>
          <w:lang w:val="es-ES"/>
        </w:rPr>
        <w:t xml:space="preserve"> </w:t>
      </w:r>
      <w:proofErr w:type="spellStart"/>
      <w:r>
        <w:rPr>
          <w:color w:val="000000"/>
          <w:sz w:val="22"/>
          <w:szCs w:val="22"/>
          <w:lang w:val="es-ES"/>
        </w:rPr>
        <w:t>with</w:t>
      </w:r>
      <w:proofErr w:type="spellEnd"/>
      <w:r>
        <w:rPr>
          <w:color w:val="000000"/>
          <w:sz w:val="22"/>
          <w:szCs w:val="22"/>
          <w:lang w:val="es-ES"/>
        </w:rPr>
        <w:t xml:space="preserve"> </w:t>
      </w:r>
      <w:proofErr w:type="spellStart"/>
      <w:r>
        <w:rPr>
          <w:color w:val="000000"/>
          <w:sz w:val="22"/>
          <w:szCs w:val="22"/>
          <w:lang w:val="es-ES"/>
        </w:rPr>
        <w:t>heat-shrink</w:t>
      </w:r>
      <w:proofErr w:type="spellEnd"/>
      <w:r>
        <w:rPr>
          <w:color w:val="000000"/>
          <w:sz w:val="22"/>
          <w:szCs w:val="22"/>
          <w:lang w:val="es-ES"/>
        </w:rPr>
        <w:t xml:space="preserve"> </w:t>
      </w:r>
      <w:proofErr w:type="spellStart"/>
      <w:r>
        <w:rPr>
          <w:color w:val="000000"/>
          <w:sz w:val="22"/>
          <w:szCs w:val="22"/>
          <w:lang w:val="es-ES"/>
        </w:rPr>
        <w:t>or</w:t>
      </w:r>
      <w:proofErr w:type="spellEnd"/>
      <w:r>
        <w:rPr>
          <w:color w:val="000000"/>
          <w:sz w:val="22"/>
          <w:szCs w:val="22"/>
          <w:lang w:val="es-ES"/>
        </w:rPr>
        <w:t xml:space="preserve"> </w:t>
      </w:r>
      <w:proofErr w:type="spellStart"/>
      <w:r>
        <w:rPr>
          <w:color w:val="000000"/>
          <w:sz w:val="22"/>
          <w:szCs w:val="22"/>
          <w:lang w:val="es-ES"/>
        </w:rPr>
        <w:t>stretch</w:t>
      </w:r>
      <w:proofErr w:type="spellEnd"/>
      <w:r>
        <w:rPr>
          <w:color w:val="000000"/>
          <w:sz w:val="22"/>
          <w:szCs w:val="22"/>
          <w:lang w:val="es-ES"/>
        </w:rPr>
        <w:t xml:space="preserve"> </w:t>
      </w:r>
      <w:proofErr w:type="gramStart"/>
      <w:r>
        <w:rPr>
          <w:color w:val="000000"/>
          <w:sz w:val="22"/>
          <w:szCs w:val="22"/>
          <w:lang w:val="es-ES"/>
        </w:rPr>
        <w:t>film</w:t>
      </w:r>
      <w:proofErr w:type="gramEnd"/>
      <w:r>
        <w:rPr>
          <w:color w:val="000000"/>
          <w:sz w:val="22"/>
          <w:szCs w:val="22"/>
          <w:lang w:val="es-ES"/>
        </w:rPr>
        <w:t xml:space="preserve">. The </w:t>
      </w:r>
      <w:proofErr w:type="spellStart"/>
      <w:r>
        <w:rPr>
          <w:color w:val="000000"/>
          <w:sz w:val="22"/>
          <w:szCs w:val="22"/>
          <w:lang w:val="es-ES"/>
        </w:rPr>
        <w:t>maximum</w:t>
      </w:r>
      <w:proofErr w:type="spellEnd"/>
      <w:r>
        <w:rPr>
          <w:color w:val="000000"/>
          <w:sz w:val="22"/>
          <w:szCs w:val="22"/>
          <w:lang w:val="es-ES"/>
        </w:rPr>
        <w:t xml:space="preserve"> </w:t>
      </w:r>
      <w:proofErr w:type="spellStart"/>
      <w:r>
        <w:rPr>
          <w:color w:val="000000"/>
          <w:sz w:val="22"/>
          <w:szCs w:val="22"/>
          <w:lang w:val="es-ES"/>
        </w:rPr>
        <w:t>height</w:t>
      </w:r>
      <w:proofErr w:type="spellEnd"/>
      <w:r>
        <w:rPr>
          <w:color w:val="000000"/>
          <w:sz w:val="22"/>
          <w:szCs w:val="22"/>
          <w:lang w:val="es-ES"/>
        </w:rPr>
        <w:t xml:space="preserve"> </w:t>
      </w:r>
      <w:proofErr w:type="spellStart"/>
      <w:r>
        <w:rPr>
          <w:color w:val="000000"/>
          <w:sz w:val="22"/>
          <w:szCs w:val="22"/>
          <w:lang w:val="es-ES"/>
        </w:rPr>
        <w:t>of</w:t>
      </w:r>
      <w:proofErr w:type="spellEnd"/>
      <w:r>
        <w:rPr>
          <w:color w:val="000000"/>
          <w:sz w:val="22"/>
          <w:szCs w:val="22"/>
          <w:lang w:val="es-ES"/>
        </w:rPr>
        <w:t xml:space="preserve"> </w:t>
      </w:r>
      <w:proofErr w:type="spellStart"/>
      <w:r>
        <w:rPr>
          <w:color w:val="000000"/>
          <w:sz w:val="22"/>
          <w:szCs w:val="22"/>
          <w:lang w:val="es-ES"/>
        </w:rPr>
        <w:t>this</w:t>
      </w:r>
      <w:proofErr w:type="spellEnd"/>
      <w:r>
        <w:rPr>
          <w:color w:val="000000"/>
          <w:sz w:val="22"/>
          <w:szCs w:val="22"/>
          <w:lang w:val="es-ES"/>
        </w:rPr>
        <w:t xml:space="preserve"> </w:t>
      </w:r>
      <w:proofErr w:type="spellStart"/>
      <w:r>
        <w:rPr>
          <w:color w:val="000000"/>
          <w:sz w:val="22"/>
          <w:szCs w:val="22"/>
          <w:lang w:val="es-ES"/>
        </w:rPr>
        <w:t>assembly</w:t>
      </w:r>
      <w:proofErr w:type="spellEnd"/>
      <w:r>
        <w:rPr>
          <w:color w:val="000000"/>
          <w:sz w:val="22"/>
          <w:szCs w:val="22"/>
          <w:lang w:val="es-ES"/>
        </w:rPr>
        <w:t xml:space="preserve"> </w:t>
      </w:r>
      <w:proofErr w:type="spellStart"/>
      <w:r>
        <w:rPr>
          <w:color w:val="000000"/>
          <w:sz w:val="22"/>
          <w:szCs w:val="22"/>
          <w:lang w:val="es-ES"/>
        </w:rPr>
        <w:t>will</w:t>
      </w:r>
      <w:proofErr w:type="spellEnd"/>
      <w:r>
        <w:rPr>
          <w:color w:val="000000"/>
          <w:sz w:val="22"/>
          <w:szCs w:val="22"/>
          <w:lang w:val="es-ES"/>
        </w:rPr>
        <w:t xml:space="preserve"> be 1.20 m. The </w:t>
      </w:r>
      <w:proofErr w:type="spellStart"/>
      <w:r>
        <w:rPr>
          <w:color w:val="000000"/>
          <w:sz w:val="22"/>
          <w:szCs w:val="22"/>
          <w:lang w:val="es-ES"/>
        </w:rPr>
        <w:t>weight</w:t>
      </w:r>
      <w:proofErr w:type="spellEnd"/>
      <w:r>
        <w:rPr>
          <w:color w:val="000000"/>
          <w:sz w:val="22"/>
          <w:szCs w:val="22"/>
          <w:lang w:val="es-ES"/>
        </w:rPr>
        <w:t xml:space="preserve"> </w:t>
      </w:r>
      <w:proofErr w:type="spellStart"/>
      <w:r>
        <w:rPr>
          <w:color w:val="000000"/>
          <w:sz w:val="22"/>
          <w:szCs w:val="22"/>
          <w:lang w:val="es-ES"/>
        </w:rPr>
        <w:t>of</w:t>
      </w:r>
      <w:proofErr w:type="spellEnd"/>
      <w:r>
        <w:rPr>
          <w:color w:val="000000"/>
          <w:sz w:val="22"/>
          <w:szCs w:val="22"/>
          <w:lang w:val="es-ES"/>
        </w:rPr>
        <w:t xml:space="preserve"> </w:t>
      </w:r>
      <w:proofErr w:type="spellStart"/>
      <w:r>
        <w:rPr>
          <w:color w:val="000000"/>
          <w:sz w:val="22"/>
          <w:szCs w:val="22"/>
          <w:lang w:val="es-ES"/>
        </w:rPr>
        <w:t>the</w:t>
      </w:r>
      <w:proofErr w:type="spellEnd"/>
      <w:r>
        <w:rPr>
          <w:color w:val="000000"/>
          <w:sz w:val="22"/>
          <w:szCs w:val="22"/>
          <w:lang w:val="es-ES"/>
        </w:rPr>
        <w:t xml:space="preserve"> </w:t>
      </w:r>
      <w:proofErr w:type="spellStart"/>
      <w:r>
        <w:rPr>
          <w:color w:val="000000"/>
          <w:sz w:val="22"/>
          <w:szCs w:val="22"/>
          <w:lang w:val="es-ES"/>
        </w:rPr>
        <w:t>assembly</w:t>
      </w:r>
      <w:proofErr w:type="spellEnd"/>
      <w:r>
        <w:rPr>
          <w:color w:val="000000"/>
          <w:sz w:val="22"/>
          <w:szCs w:val="22"/>
          <w:lang w:val="es-ES"/>
        </w:rPr>
        <w:t xml:space="preserve"> </w:t>
      </w:r>
      <w:proofErr w:type="spellStart"/>
      <w:r>
        <w:rPr>
          <w:color w:val="000000"/>
          <w:sz w:val="22"/>
          <w:szCs w:val="22"/>
          <w:lang w:val="es-ES"/>
        </w:rPr>
        <w:t>may</w:t>
      </w:r>
      <w:proofErr w:type="spellEnd"/>
      <w:r>
        <w:rPr>
          <w:color w:val="000000"/>
          <w:sz w:val="22"/>
          <w:szCs w:val="22"/>
          <w:lang w:val="es-ES"/>
        </w:rPr>
        <w:t xml:space="preserve"> </w:t>
      </w:r>
      <w:proofErr w:type="spellStart"/>
      <w:r>
        <w:rPr>
          <w:color w:val="000000"/>
          <w:sz w:val="22"/>
          <w:szCs w:val="22"/>
          <w:lang w:val="es-ES"/>
        </w:rPr>
        <w:t>not</w:t>
      </w:r>
      <w:proofErr w:type="spellEnd"/>
      <w:r>
        <w:rPr>
          <w:color w:val="000000"/>
          <w:sz w:val="22"/>
          <w:szCs w:val="22"/>
          <w:lang w:val="es-ES"/>
        </w:rPr>
        <w:t xml:space="preserve"> </w:t>
      </w:r>
      <w:proofErr w:type="spellStart"/>
      <w:r>
        <w:rPr>
          <w:color w:val="000000"/>
          <w:sz w:val="22"/>
          <w:szCs w:val="22"/>
          <w:lang w:val="es-ES"/>
        </w:rPr>
        <w:t>exceed</w:t>
      </w:r>
      <w:proofErr w:type="spellEnd"/>
      <w:r>
        <w:rPr>
          <w:color w:val="000000"/>
          <w:sz w:val="22"/>
          <w:szCs w:val="22"/>
          <w:lang w:val="es-ES"/>
        </w:rPr>
        <w:t xml:space="preserve"> 1,000 kg. The </w:t>
      </w:r>
      <w:proofErr w:type="spellStart"/>
      <w:r>
        <w:rPr>
          <w:color w:val="000000"/>
          <w:sz w:val="22"/>
          <w:szCs w:val="22"/>
          <w:lang w:val="es-ES"/>
        </w:rPr>
        <w:t>labels</w:t>
      </w:r>
      <w:proofErr w:type="spellEnd"/>
      <w:r>
        <w:rPr>
          <w:color w:val="000000"/>
          <w:sz w:val="22"/>
          <w:szCs w:val="22"/>
          <w:lang w:val="es-ES"/>
        </w:rPr>
        <w:t xml:space="preserve"> placed </w:t>
      </w:r>
      <w:proofErr w:type="spellStart"/>
      <w:r>
        <w:rPr>
          <w:color w:val="000000"/>
          <w:sz w:val="22"/>
          <w:szCs w:val="22"/>
          <w:lang w:val="es-ES"/>
        </w:rPr>
        <w:t>inside</w:t>
      </w:r>
      <w:proofErr w:type="spellEnd"/>
      <w:r>
        <w:rPr>
          <w:color w:val="000000"/>
          <w:sz w:val="22"/>
          <w:szCs w:val="22"/>
          <w:lang w:val="es-ES"/>
        </w:rPr>
        <w:t xml:space="preserve"> and </w:t>
      </w:r>
      <w:proofErr w:type="spellStart"/>
      <w:r>
        <w:rPr>
          <w:color w:val="000000"/>
          <w:sz w:val="22"/>
          <w:szCs w:val="22"/>
          <w:lang w:val="es-ES"/>
        </w:rPr>
        <w:t>affixed</w:t>
      </w:r>
      <w:proofErr w:type="spellEnd"/>
      <w:r>
        <w:rPr>
          <w:color w:val="000000"/>
          <w:sz w:val="22"/>
          <w:szCs w:val="22"/>
          <w:lang w:val="es-ES"/>
        </w:rPr>
        <w:t xml:space="preserve"> </w:t>
      </w:r>
      <w:proofErr w:type="spellStart"/>
      <w:r>
        <w:rPr>
          <w:color w:val="000000"/>
          <w:sz w:val="22"/>
          <w:szCs w:val="22"/>
          <w:lang w:val="es-ES"/>
        </w:rPr>
        <w:t>to</w:t>
      </w:r>
      <w:proofErr w:type="spellEnd"/>
      <w:r>
        <w:rPr>
          <w:color w:val="000000"/>
          <w:sz w:val="22"/>
          <w:szCs w:val="22"/>
          <w:lang w:val="es-ES"/>
        </w:rPr>
        <w:t xml:space="preserve"> </w:t>
      </w:r>
      <w:proofErr w:type="spellStart"/>
      <w:r>
        <w:rPr>
          <w:color w:val="000000"/>
          <w:sz w:val="22"/>
          <w:szCs w:val="22"/>
          <w:lang w:val="es-ES"/>
        </w:rPr>
        <w:t>the</w:t>
      </w:r>
      <w:proofErr w:type="spellEnd"/>
      <w:r>
        <w:rPr>
          <w:color w:val="000000"/>
          <w:sz w:val="22"/>
          <w:szCs w:val="22"/>
          <w:lang w:val="es-ES"/>
        </w:rPr>
        <w:t xml:space="preserve"> </w:t>
      </w:r>
      <w:proofErr w:type="spellStart"/>
      <w:r>
        <w:rPr>
          <w:color w:val="000000"/>
          <w:sz w:val="22"/>
          <w:szCs w:val="22"/>
          <w:lang w:val="es-ES"/>
        </w:rPr>
        <w:t>outside</w:t>
      </w:r>
      <w:proofErr w:type="spellEnd"/>
      <w:r>
        <w:rPr>
          <w:color w:val="000000"/>
          <w:sz w:val="22"/>
          <w:szCs w:val="22"/>
          <w:lang w:val="es-ES"/>
        </w:rPr>
        <w:t xml:space="preserve"> </w:t>
      </w:r>
      <w:proofErr w:type="spellStart"/>
      <w:r>
        <w:rPr>
          <w:color w:val="000000"/>
          <w:sz w:val="22"/>
          <w:szCs w:val="22"/>
          <w:lang w:val="es-ES"/>
        </w:rPr>
        <w:t>of</w:t>
      </w:r>
      <w:proofErr w:type="spellEnd"/>
      <w:r>
        <w:rPr>
          <w:color w:val="000000"/>
          <w:sz w:val="22"/>
          <w:szCs w:val="22"/>
          <w:lang w:val="es-ES"/>
        </w:rPr>
        <w:t xml:space="preserve"> </w:t>
      </w:r>
      <w:proofErr w:type="spellStart"/>
      <w:r>
        <w:rPr>
          <w:color w:val="000000"/>
          <w:sz w:val="22"/>
          <w:szCs w:val="22"/>
          <w:lang w:val="es-ES"/>
        </w:rPr>
        <w:t>the</w:t>
      </w:r>
      <w:proofErr w:type="spellEnd"/>
      <w:r>
        <w:rPr>
          <w:color w:val="000000"/>
          <w:sz w:val="22"/>
          <w:szCs w:val="22"/>
          <w:lang w:val="es-ES"/>
        </w:rPr>
        <w:t xml:space="preserve"> pallets </w:t>
      </w:r>
      <w:proofErr w:type="spellStart"/>
      <w:r>
        <w:rPr>
          <w:color w:val="000000"/>
          <w:sz w:val="22"/>
          <w:szCs w:val="22"/>
          <w:lang w:val="es-ES"/>
        </w:rPr>
        <w:t>containing</w:t>
      </w:r>
      <w:proofErr w:type="spellEnd"/>
      <w:r>
        <w:rPr>
          <w:color w:val="000000"/>
          <w:sz w:val="22"/>
          <w:szCs w:val="22"/>
          <w:lang w:val="es-ES"/>
        </w:rPr>
        <w:t xml:space="preserve"> </w:t>
      </w:r>
      <w:proofErr w:type="spellStart"/>
      <w:r>
        <w:rPr>
          <w:color w:val="000000"/>
          <w:sz w:val="22"/>
          <w:szCs w:val="22"/>
          <w:lang w:val="es-ES"/>
        </w:rPr>
        <w:t>the</w:t>
      </w:r>
      <w:proofErr w:type="spellEnd"/>
      <w:r>
        <w:rPr>
          <w:color w:val="000000"/>
          <w:sz w:val="22"/>
          <w:szCs w:val="22"/>
          <w:lang w:val="es-ES"/>
        </w:rPr>
        <w:t xml:space="preserve"> boxes </w:t>
      </w:r>
      <w:proofErr w:type="spellStart"/>
      <w:r>
        <w:rPr>
          <w:color w:val="000000"/>
          <w:sz w:val="22"/>
          <w:szCs w:val="22"/>
          <w:lang w:val="es-ES"/>
        </w:rPr>
        <w:t>of</w:t>
      </w:r>
      <w:proofErr w:type="spellEnd"/>
      <w:r>
        <w:rPr>
          <w:color w:val="000000"/>
          <w:sz w:val="22"/>
          <w:szCs w:val="22"/>
          <w:lang w:val="es-ES"/>
        </w:rPr>
        <w:t xml:space="preserve"> </w:t>
      </w:r>
      <w:proofErr w:type="spellStart"/>
      <w:r>
        <w:rPr>
          <w:color w:val="000000"/>
          <w:sz w:val="22"/>
          <w:szCs w:val="22"/>
          <w:lang w:val="es-ES"/>
        </w:rPr>
        <w:t>meters</w:t>
      </w:r>
      <w:proofErr w:type="spellEnd"/>
      <w:r>
        <w:rPr>
          <w:color w:val="000000"/>
          <w:sz w:val="22"/>
          <w:szCs w:val="22"/>
          <w:lang w:val="es-ES"/>
        </w:rPr>
        <w:t xml:space="preserve"> </w:t>
      </w:r>
      <w:proofErr w:type="spellStart"/>
      <w:r>
        <w:rPr>
          <w:color w:val="000000"/>
          <w:sz w:val="22"/>
          <w:szCs w:val="22"/>
          <w:lang w:val="es-ES"/>
        </w:rPr>
        <w:t>must</w:t>
      </w:r>
      <w:proofErr w:type="spellEnd"/>
      <w:r>
        <w:rPr>
          <w:color w:val="000000"/>
          <w:sz w:val="22"/>
          <w:szCs w:val="22"/>
          <w:lang w:val="es-ES"/>
        </w:rPr>
        <w:t xml:space="preserve"> </w:t>
      </w:r>
      <w:proofErr w:type="spellStart"/>
      <w:r>
        <w:rPr>
          <w:color w:val="000000"/>
          <w:sz w:val="22"/>
          <w:szCs w:val="22"/>
          <w:lang w:val="es-ES"/>
        </w:rPr>
        <w:t>clearly</w:t>
      </w:r>
      <w:proofErr w:type="spellEnd"/>
      <w:r>
        <w:rPr>
          <w:color w:val="000000"/>
          <w:sz w:val="22"/>
          <w:szCs w:val="22"/>
          <w:lang w:val="es-ES"/>
        </w:rPr>
        <w:t xml:space="preserve"> </w:t>
      </w:r>
      <w:proofErr w:type="spellStart"/>
      <w:r>
        <w:rPr>
          <w:color w:val="000000"/>
          <w:sz w:val="22"/>
          <w:szCs w:val="22"/>
          <w:lang w:val="es-ES"/>
        </w:rPr>
        <w:t>state</w:t>
      </w:r>
      <w:proofErr w:type="spellEnd"/>
      <w:r>
        <w:rPr>
          <w:color w:val="000000"/>
          <w:sz w:val="22"/>
          <w:szCs w:val="22"/>
          <w:lang w:val="es-ES"/>
        </w:rPr>
        <w:t xml:space="preserve">, at a </w:t>
      </w:r>
      <w:proofErr w:type="spellStart"/>
      <w:r>
        <w:rPr>
          <w:color w:val="000000"/>
          <w:sz w:val="22"/>
          <w:szCs w:val="22"/>
          <w:lang w:val="es-ES"/>
        </w:rPr>
        <w:t>minimum</w:t>
      </w:r>
      <w:proofErr w:type="spellEnd"/>
      <w:r>
        <w:rPr>
          <w:color w:val="000000"/>
          <w:sz w:val="22"/>
          <w:szCs w:val="22"/>
          <w:lang w:val="es-ES"/>
        </w:rPr>
        <w:t xml:space="preserve">: </w:t>
      </w:r>
      <w:proofErr w:type="spellStart"/>
      <w:r>
        <w:rPr>
          <w:color w:val="000000"/>
          <w:sz w:val="22"/>
          <w:szCs w:val="22"/>
          <w:lang w:val="es-ES"/>
        </w:rPr>
        <w:t>brand</w:t>
      </w:r>
      <w:proofErr w:type="spellEnd"/>
      <w:r>
        <w:rPr>
          <w:color w:val="000000"/>
          <w:sz w:val="22"/>
          <w:szCs w:val="22"/>
          <w:lang w:val="es-ES"/>
        </w:rPr>
        <w:t xml:space="preserve">, </w:t>
      </w:r>
      <w:proofErr w:type="spellStart"/>
      <w:r>
        <w:rPr>
          <w:color w:val="000000"/>
          <w:sz w:val="22"/>
          <w:szCs w:val="22"/>
          <w:lang w:val="es-ES"/>
        </w:rPr>
        <w:t>model</w:t>
      </w:r>
      <w:proofErr w:type="spellEnd"/>
      <w:r>
        <w:rPr>
          <w:color w:val="000000"/>
          <w:sz w:val="22"/>
          <w:szCs w:val="22"/>
          <w:lang w:val="es-ES"/>
        </w:rPr>
        <w:t xml:space="preserve">, </w:t>
      </w:r>
      <w:proofErr w:type="spellStart"/>
      <w:r>
        <w:rPr>
          <w:color w:val="000000"/>
          <w:sz w:val="22"/>
          <w:szCs w:val="22"/>
          <w:lang w:val="es-ES"/>
        </w:rPr>
        <w:t>type</w:t>
      </w:r>
      <w:proofErr w:type="spellEnd"/>
      <w:r>
        <w:rPr>
          <w:color w:val="000000"/>
          <w:sz w:val="22"/>
          <w:szCs w:val="22"/>
          <w:lang w:val="es-ES"/>
        </w:rPr>
        <w:t xml:space="preserve"> (</w:t>
      </w:r>
      <w:proofErr w:type="spellStart"/>
      <w:r>
        <w:rPr>
          <w:color w:val="000000"/>
          <w:sz w:val="22"/>
          <w:szCs w:val="22"/>
          <w:lang w:val="es-ES"/>
        </w:rPr>
        <w:t>according</w:t>
      </w:r>
      <w:proofErr w:type="spellEnd"/>
      <w:r>
        <w:rPr>
          <w:color w:val="000000"/>
          <w:sz w:val="22"/>
          <w:szCs w:val="22"/>
          <w:lang w:val="es-ES"/>
        </w:rPr>
        <w:t xml:space="preserve"> </w:t>
      </w:r>
      <w:proofErr w:type="spellStart"/>
      <w:r>
        <w:rPr>
          <w:color w:val="000000"/>
          <w:sz w:val="22"/>
          <w:szCs w:val="22"/>
          <w:lang w:val="es-ES"/>
        </w:rPr>
        <w:t>to</w:t>
      </w:r>
      <w:proofErr w:type="spellEnd"/>
      <w:r>
        <w:rPr>
          <w:color w:val="000000"/>
          <w:sz w:val="22"/>
          <w:szCs w:val="22"/>
          <w:lang w:val="es-ES"/>
        </w:rPr>
        <w:t xml:space="preserve"> </w:t>
      </w:r>
      <w:proofErr w:type="spellStart"/>
      <w:r>
        <w:rPr>
          <w:color w:val="000000"/>
          <w:sz w:val="22"/>
          <w:szCs w:val="22"/>
          <w:lang w:val="es-ES"/>
        </w:rPr>
        <w:t>the</w:t>
      </w:r>
      <w:proofErr w:type="spellEnd"/>
      <w:r>
        <w:rPr>
          <w:color w:val="000000"/>
          <w:sz w:val="22"/>
          <w:szCs w:val="22"/>
          <w:lang w:val="es-ES"/>
        </w:rPr>
        <w:t xml:space="preserve"> </w:t>
      </w:r>
      <w:proofErr w:type="spellStart"/>
      <w:r>
        <w:rPr>
          <w:color w:val="000000"/>
          <w:sz w:val="22"/>
          <w:szCs w:val="22"/>
          <w:lang w:val="es-ES"/>
        </w:rPr>
        <w:t>description</w:t>
      </w:r>
      <w:proofErr w:type="spellEnd"/>
      <w:r>
        <w:rPr>
          <w:color w:val="000000"/>
          <w:sz w:val="22"/>
          <w:szCs w:val="22"/>
          <w:lang w:val="es-ES"/>
        </w:rPr>
        <w:t xml:space="preserve"> </w:t>
      </w:r>
      <w:proofErr w:type="spellStart"/>
      <w:r>
        <w:rPr>
          <w:color w:val="000000"/>
          <w:sz w:val="22"/>
          <w:szCs w:val="22"/>
          <w:lang w:val="es-ES"/>
        </w:rPr>
        <w:t>provided</w:t>
      </w:r>
      <w:proofErr w:type="spellEnd"/>
      <w:r>
        <w:rPr>
          <w:color w:val="000000"/>
          <w:sz w:val="22"/>
          <w:szCs w:val="22"/>
          <w:lang w:val="es-ES"/>
        </w:rPr>
        <w:t xml:space="preserve"> </w:t>
      </w:r>
      <w:proofErr w:type="spellStart"/>
      <w:r>
        <w:rPr>
          <w:color w:val="000000"/>
          <w:sz w:val="22"/>
          <w:szCs w:val="22"/>
          <w:lang w:val="es-ES"/>
        </w:rPr>
        <w:t>by</w:t>
      </w:r>
      <w:proofErr w:type="spellEnd"/>
      <w:r>
        <w:rPr>
          <w:color w:val="000000"/>
          <w:sz w:val="22"/>
          <w:szCs w:val="22"/>
          <w:lang w:val="es-ES"/>
        </w:rPr>
        <w:t xml:space="preserve"> OSE), serial </w:t>
      </w:r>
      <w:proofErr w:type="spellStart"/>
      <w:r>
        <w:rPr>
          <w:color w:val="000000"/>
          <w:sz w:val="22"/>
          <w:szCs w:val="22"/>
          <w:lang w:val="es-ES"/>
        </w:rPr>
        <w:t>number</w:t>
      </w:r>
      <w:proofErr w:type="spellEnd"/>
      <w:r>
        <w:rPr>
          <w:color w:val="000000"/>
          <w:sz w:val="22"/>
          <w:szCs w:val="22"/>
          <w:lang w:val="es-ES"/>
        </w:rPr>
        <w:t xml:space="preserve"> </w:t>
      </w:r>
      <w:proofErr w:type="spellStart"/>
      <w:r>
        <w:rPr>
          <w:color w:val="000000"/>
          <w:sz w:val="22"/>
          <w:szCs w:val="22"/>
          <w:lang w:val="es-ES"/>
        </w:rPr>
        <w:t>range</w:t>
      </w:r>
      <w:proofErr w:type="spellEnd"/>
      <w:r>
        <w:rPr>
          <w:color w:val="000000"/>
          <w:sz w:val="22"/>
          <w:szCs w:val="22"/>
          <w:lang w:val="es-ES"/>
        </w:rPr>
        <w:t xml:space="preserve"> </w:t>
      </w:r>
      <w:proofErr w:type="spellStart"/>
      <w:r>
        <w:rPr>
          <w:color w:val="000000"/>
          <w:sz w:val="22"/>
          <w:szCs w:val="22"/>
          <w:lang w:val="es-ES"/>
        </w:rPr>
        <w:t>of</w:t>
      </w:r>
      <w:proofErr w:type="spellEnd"/>
      <w:r>
        <w:rPr>
          <w:color w:val="000000"/>
          <w:sz w:val="22"/>
          <w:szCs w:val="22"/>
          <w:lang w:val="es-ES"/>
        </w:rPr>
        <w:t xml:space="preserve"> </w:t>
      </w:r>
      <w:proofErr w:type="spellStart"/>
      <w:r>
        <w:rPr>
          <w:color w:val="000000"/>
          <w:sz w:val="22"/>
          <w:szCs w:val="22"/>
          <w:lang w:val="es-ES"/>
        </w:rPr>
        <w:t>the</w:t>
      </w:r>
      <w:proofErr w:type="spellEnd"/>
      <w:r>
        <w:rPr>
          <w:color w:val="000000"/>
          <w:sz w:val="22"/>
          <w:szCs w:val="22"/>
          <w:lang w:val="es-ES"/>
        </w:rPr>
        <w:t xml:space="preserve"> </w:t>
      </w:r>
      <w:proofErr w:type="spellStart"/>
      <w:r>
        <w:rPr>
          <w:color w:val="000000"/>
          <w:sz w:val="22"/>
          <w:szCs w:val="22"/>
          <w:lang w:val="es-ES"/>
        </w:rPr>
        <w:t>meters</w:t>
      </w:r>
      <w:proofErr w:type="spellEnd"/>
      <w:r>
        <w:rPr>
          <w:color w:val="000000"/>
          <w:sz w:val="22"/>
          <w:szCs w:val="22"/>
          <w:lang w:val="es-ES"/>
        </w:rPr>
        <w:t xml:space="preserve">, and </w:t>
      </w:r>
      <w:proofErr w:type="spellStart"/>
      <w:r>
        <w:rPr>
          <w:color w:val="000000"/>
          <w:sz w:val="22"/>
          <w:szCs w:val="22"/>
          <w:lang w:val="es-ES"/>
        </w:rPr>
        <w:t>the</w:t>
      </w:r>
      <w:proofErr w:type="spellEnd"/>
      <w:r>
        <w:rPr>
          <w:color w:val="000000"/>
          <w:sz w:val="22"/>
          <w:szCs w:val="22"/>
          <w:lang w:val="es-ES"/>
        </w:rPr>
        <w:t xml:space="preserve"> </w:t>
      </w:r>
      <w:proofErr w:type="spellStart"/>
      <w:r>
        <w:rPr>
          <w:color w:val="000000"/>
          <w:sz w:val="22"/>
          <w:szCs w:val="22"/>
          <w:lang w:val="es-ES"/>
        </w:rPr>
        <w:t>quantity</w:t>
      </w:r>
      <w:proofErr w:type="spellEnd"/>
      <w:r>
        <w:rPr>
          <w:color w:val="000000"/>
          <w:sz w:val="22"/>
          <w:szCs w:val="22"/>
          <w:lang w:val="es-ES"/>
        </w:rPr>
        <w:t xml:space="preserve"> </w:t>
      </w:r>
      <w:proofErr w:type="spellStart"/>
      <w:r>
        <w:rPr>
          <w:color w:val="000000"/>
          <w:sz w:val="22"/>
          <w:szCs w:val="22"/>
          <w:lang w:val="es-ES"/>
        </w:rPr>
        <w:t>of</w:t>
      </w:r>
      <w:proofErr w:type="spellEnd"/>
      <w:r>
        <w:rPr>
          <w:color w:val="000000"/>
          <w:sz w:val="22"/>
          <w:szCs w:val="22"/>
          <w:lang w:val="es-ES"/>
        </w:rPr>
        <w:t xml:space="preserve"> </w:t>
      </w:r>
      <w:proofErr w:type="spellStart"/>
      <w:r>
        <w:rPr>
          <w:color w:val="000000"/>
          <w:sz w:val="22"/>
          <w:szCs w:val="22"/>
          <w:lang w:val="es-ES"/>
        </w:rPr>
        <w:t>meters</w:t>
      </w:r>
      <w:proofErr w:type="spellEnd"/>
      <w:r>
        <w:rPr>
          <w:color w:val="000000"/>
          <w:sz w:val="22"/>
          <w:szCs w:val="22"/>
          <w:lang w:val="es-ES"/>
        </w:rPr>
        <w:t xml:space="preserve"> </w:t>
      </w:r>
      <w:proofErr w:type="spellStart"/>
      <w:r>
        <w:rPr>
          <w:color w:val="000000"/>
          <w:sz w:val="22"/>
          <w:szCs w:val="22"/>
          <w:lang w:val="es-ES"/>
        </w:rPr>
        <w:t>on</w:t>
      </w:r>
      <w:proofErr w:type="spellEnd"/>
      <w:r>
        <w:rPr>
          <w:color w:val="000000"/>
          <w:sz w:val="22"/>
          <w:szCs w:val="22"/>
          <w:lang w:val="es-ES"/>
        </w:rPr>
        <w:t xml:space="preserve"> </w:t>
      </w:r>
      <w:proofErr w:type="spellStart"/>
      <w:r>
        <w:rPr>
          <w:color w:val="000000"/>
          <w:sz w:val="22"/>
          <w:szCs w:val="22"/>
          <w:lang w:val="es-ES"/>
        </w:rPr>
        <w:t>the</w:t>
      </w:r>
      <w:proofErr w:type="spellEnd"/>
      <w:r>
        <w:rPr>
          <w:color w:val="000000"/>
          <w:sz w:val="22"/>
          <w:szCs w:val="22"/>
          <w:lang w:val="es-ES"/>
        </w:rPr>
        <w:t xml:space="preserve"> pallet, </w:t>
      </w:r>
      <w:proofErr w:type="spellStart"/>
      <w:r>
        <w:rPr>
          <w:color w:val="000000"/>
          <w:sz w:val="22"/>
          <w:szCs w:val="22"/>
          <w:lang w:val="es-ES"/>
        </w:rPr>
        <w:t>all</w:t>
      </w:r>
      <w:proofErr w:type="spellEnd"/>
      <w:r>
        <w:rPr>
          <w:color w:val="000000"/>
          <w:sz w:val="22"/>
          <w:szCs w:val="22"/>
          <w:lang w:val="es-ES"/>
        </w:rPr>
        <w:t xml:space="preserve"> </w:t>
      </w:r>
      <w:proofErr w:type="spellStart"/>
      <w:r>
        <w:rPr>
          <w:color w:val="000000"/>
          <w:sz w:val="22"/>
          <w:szCs w:val="22"/>
          <w:lang w:val="es-ES"/>
        </w:rPr>
        <w:t>with</w:t>
      </w:r>
      <w:proofErr w:type="spellEnd"/>
      <w:r>
        <w:rPr>
          <w:color w:val="000000"/>
          <w:sz w:val="22"/>
          <w:szCs w:val="22"/>
          <w:lang w:val="es-ES"/>
        </w:rPr>
        <w:t xml:space="preserve"> </w:t>
      </w:r>
      <w:proofErr w:type="spellStart"/>
      <w:r>
        <w:rPr>
          <w:color w:val="000000"/>
          <w:sz w:val="22"/>
          <w:szCs w:val="22"/>
          <w:lang w:val="es-ES"/>
        </w:rPr>
        <w:t>their</w:t>
      </w:r>
      <w:proofErr w:type="spellEnd"/>
      <w:r>
        <w:rPr>
          <w:color w:val="000000"/>
          <w:sz w:val="22"/>
          <w:szCs w:val="22"/>
          <w:lang w:val="es-ES"/>
        </w:rPr>
        <w:t xml:space="preserve"> </w:t>
      </w:r>
      <w:proofErr w:type="spellStart"/>
      <w:r>
        <w:rPr>
          <w:color w:val="000000"/>
          <w:sz w:val="22"/>
          <w:szCs w:val="22"/>
          <w:lang w:val="es-ES"/>
        </w:rPr>
        <w:t>corresponding</w:t>
      </w:r>
      <w:proofErr w:type="spellEnd"/>
      <w:r>
        <w:rPr>
          <w:color w:val="000000"/>
          <w:sz w:val="22"/>
          <w:szCs w:val="22"/>
          <w:lang w:val="es-ES"/>
        </w:rPr>
        <w:t xml:space="preserve"> </w:t>
      </w:r>
      <w:proofErr w:type="spellStart"/>
      <w:r>
        <w:rPr>
          <w:color w:val="000000"/>
          <w:sz w:val="22"/>
          <w:szCs w:val="22"/>
          <w:lang w:val="es-ES"/>
        </w:rPr>
        <w:t>barcodes</w:t>
      </w:r>
      <w:proofErr w:type="spellEnd"/>
      <w:r>
        <w:rPr>
          <w:color w:val="000000"/>
          <w:sz w:val="22"/>
          <w:szCs w:val="22"/>
          <w:lang w:val="es-ES"/>
        </w:rPr>
        <w:t xml:space="preserve">. </w:t>
      </w:r>
      <w:proofErr w:type="spellStart"/>
      <w:r>
        <w:rPr>
          <w:color w:val="000000"/>
          <w:sz w:val="22"/>
          <w:szCs w:val="22"/>
          <w:lang w:val="es-ES"/>
        </w:rPr>
        <w:t>It</w:t>
      </w:r>
      <w:proofErr w:type="spellEnd"/>
      <w:r>
        <w:rPr>
          <w:color w:val="000000"/>
          <w:sz w:val="22"/>
          <w:szCs w:val="22"/>
          <w:lang w:val="es-ES"/>
        </w:rPr>
        <w:t xml:space="preserve"> </w:t>
      </w:r>
      <w:proofErr w:type="spellStart"/>
      <w:r>
        <w:rPr>
          <w:color w:val="000000"/>
          <w:sz w:val="22"/>
          <w:szCs w:val="22"/>
          <w:lang w:val="es-ES"/>
        </w:rPr>
        <w:t>must</w:t>
      </w:r>
      <w:proofErr w:type="spellEnd"/>
      <w:r>
        <w:rPr>
          <w:color w:val="000000"/>
          <w:sz w:val="22"/>
          <w:szCs w:val="22"/>
          <w:lang w:val="es-ES"/>
        </w:rPr>
        <w:t xml:space="preserve"> be </w:t>
      </w:r>
      <w:proofErr w:type="spellStart"/>
      <w:r>
        <w:rPr>
          <w:color w:val="000000"/>
          <w:sz w:val="22"/>
          <w:szCs w:val="22"/>
          <w:lang w:val="es-ES"/>
        </w:rPr>
        <w:t>ensured</w:t>
      </w:r>
      <w:proofErr w:type="spellEnd"/>
      <w:r>
        <w:rPr>
          <w:color w:val="000000"/>
          <w:sz w:val="22"/>
          <w:szCs w:val="22"/>
          <w:lang w:val="es-ES"/>
        </w:rPr>
        <w:t xml:space="preserve"> </w:t>
      </w:r>
      <w:proofErr w:type="spellStart"/>
      <w:r>
        <w:rPr>
          <w:color w:val="000000"/>
          <w:sz w:val="22"/>
          <w:szCs w:val="22"/>
          <w:lang w:val="es-ES"/>
        </w:rPr>
        <w:t>that</w:t>
      </w:r>
      <w:proofErr w:type="spellEnd"/>
      <w:r>
        <w:rPr>
          <w:color w:val="000000"/>
          <w:sz w:val="22"/>
          <w:szCs w:val="22"/>
          <w:lang w:val="es-ES"/>
        </w:rPr>
        <w:t xml:space="preserve"> </w:t>
      </w:r>
      <w:proofErr w:type="spellStart"/>
      <w:r>
        <w:rPr>
          <w:color w:val="000000"/>
          <w:sz w:val="22"/>
          <w:szCs w:val="22"/>
          <w:lang w:val="es-ES"/>
        </w:rPr>
        <w:t>within</w:t>
      </w:r>
      <w:proofErr w:type="spellEnd"/>
      <w:r>
        <w:rPr>
          <w:color w:val="000000"/>
          <w:sz w:val="22"/>
          <w:szCs w:val="22"/>
          <w:lang w:val="es-ES"/>
        </w:rPr>
        <w:t xml:space="preserve"> </w:t>
      </w:r>
      <w:proofErr w:type="spellStart"/>
      <w:r>
        <w:rPr>
          <w:color w:val="000000"/>
          <w:sz w:val="22"/>
          <w:szCs w:val="22"/>
          <w:lang w:val="es-ES"/>
        </w:rPr>
        <w:t>each</w:t>
      </w:r>
      <w:proofErr w:type="spellEnd"/>
      <w:r>
        <w:rPr>
          <w:color w:val="000000"/>
          <w:sz w:val="22"/>
          <w:szCs w:val="22"/>
          <w:lang w:val="es-ES"/>
        </w:rPr>
        <w:t xml:space="preserve"> pallet </w:t>
      </w:r>
      <w:proofErr w:type="spellStart"/>
      <w:r>
        <w:rPr>
          <w:color w:val="000000"/>
          <w:sz w:val="22"/>
          <w:szCs w:val="22"/>
          <w:lang w:val="es-ES"/>
        </w:rPr>
        <w:t>the</w:t>
      </w:r>
      <w:proofErr w:type="spellEnd"/>
      <w:r>
        <w:rPr>
          <w:color w:val="000000"/>
          <w:sz w:val="22"/>
          <w:szCs w:val="22"/>
          <w:lang w:val="es-ES"/>
        </w:rPr>
        <w:t xml:space="preserve"> </w:t>
      </w:r>
      <w:proofErr w:type="spellStart"/>
      <w:r>
        <w:rPr>
          <w:color w:val="000000"/>
          <w:sz w:val="22"/>
          <w:szCs w:val="22"/>
          <w:lang w:val="es-ES"/>
        </w:rPr>
        <w:t>numbering</w:t>
      </w:r>
      <w:proofErr w:type="spellEnd"/>
      <w:r>
        <w:rPr>
          <w:color w:val="000000"/>
          <w:sz w:val="22"/>
          <w:szCs w:val="22"/>
          <w:lang w:val="es-ES"/>
        </w:rPr>
        <w:t xml:space="preserve"> </w:t>
      </w:r>
      <w:proofErr w:type="spellStart"/>
      <w:r>
        <w:rPr>
          <w:color w:val="000000"/>
          <w:sz w:val="22"/>
          <w:szCs w:val="22"/>
          <w:lang w:val="es-ES"/>
        </w:rPr>
        <w:t>of</w:t>
      </w:r>
      <w:proofErr w:type="spellEnd"/>
      <w:r>
        <w:rPr>
          <w:color w:val="000000"/>
          <w:sz w:val="22"/>
          <w:szCs w:val="22"/>
          <w:lang w:val="es-ES"/>
        </w:rPr>
        <w:t xml:space="preserve"> </w:t>
      </w:r>
      <w:proofErr w:type="spellStart"/>
      <w:r>
        <w:rPr>
          <w:color w:val="000000"/>
          <w:sz w:val="22"/>
          <w:szCs w:val="22"/>
          <w:lang w:val="es-ES"/>
        </w:rPr>
        <w:t>the</w:t>
      </w:r>
      <w:proofErr w:type="spellEnd"/>
      <w:r>
        <w:rPr>
          <w:color w:val="000000"/>
          <w:sz w:val="22"/>
          <w:szCs w:val="22"/>
          <w:lang w:val="es-ES"/>
        </w:rPr>
        <w:t xml:space="preserve"> </w:t>
      </w:r>
      <w:proofErr w:type="spellStart"/>
      <w:r>
        <w:rPr>
          <w:color w:val="000000"/>
          <w:sz w:val="22"/>
          <w:szCs w:val="22"/>
          <w:lang w:val="es-ES"/>
        </w:rPr>
        <w:t>meters</w:t>
      </w:r>
      <w:proofErr w:type="spellEnd"/>
      <w:r>
        <w:rPr>
          <w:color w:val="000000"/>
          <w:sz w:val="22"/>
          <w:szCs w:val="22"/>
          <w:lang w:val="es-ES"/>
        </w:rPr>
        <w:t xml:space="preserve"> </w:t>
      </w:r>
      <w:proofErr w:type="spellStart"/>
      <w:r>
        <w:rPr>
          <w:color w:val="000000"/>
          <w:sz w:val="22"/>
          <w:szCs w:val="22"/>
          <w:lang w:val="es-ES"/>
        </w:rPr>
        <w:t>is</w:t>
      </w:r>
      <w:proofErr w:type="spellEnd"/>
      <w:r>
        <w:rPr>
          <w:color w:val="000000"/>
          <w:sz w:val="22"/>
          <w:szCs w:val="22"/>
          <w:lang w:val="es-ES"/>
        </w:rPr>
        <w:t xml:space="preserve"> consecutive, and </w:t>
      </w:r>
      <w:proofErr w:type="spellStart"/>
      <w:r>
        <w:rPr>
          <w:color w:val="000000"/>
          <w:sz w:val="22"/>
          <w:szCs w:val="22"/>
          <w:lang w:val="es-ES"/>
        </w:rPr>
        <w:t>all</w:t>
      </w:r>
      <w:proofErr w:type="spellEnd"/>
      <w:r>
        <w:rPr>
          <w:color w:val="000000"/>
          <w:sz w:val="22"/>
          <w:szCs w:val="22"/>
          <w:lang w:val="es-ES"/>
        </w:rPr>
        <w:t xml:space="preserve"> pallets </w:t>
      </w:r>
      <w:proofErr w:type="spellStart"/>
      <w:r>
        <w:rPr>
          <w:color w:val="000000"/>
          <w:sz w:val="22"/>
          <w:szCs w:val="22"/>
          <w:lang w:val="es-ES"/>
        </w:rPr>
        <w:t>must</w:t>
      </w:r>
      <w:proofErr w:type="spellEnd"/>
      <w:r>
        <w:rPr>
          <w:color w:val="000000"/>
          <w:sz w:val="22"/>
          <w:szCs w:val="22"/>
          <w:lang w:val="es-ES"/>
        </w:rPr>
        <w:t xml:space="preserve"> be </w:t>
      </w:r>
      <w:proofErr w:type="spellStart"/>
      <w:r>
        <w:rPr>
          <w:color w:val="000000"/>
          <w:sz w:val="22"/>
          <w:szCs w:val="22"/>
          <w:lang w:val="es-ES"/>
        </w:rPr>
        <w:t>numbered</w:t>
      </w:r>
      <w:proofErr w:type="spellEnd"/>
      <w:r>
        <w:rPr>
          <w:color w:val="000000"/>
          <w:sz w:val="22"/>
          <w:szCs w:val="22"/>
          <w:lang w:val="es-ES"/>
        </w:rPr>
        <w:t xml:space="preserve"> </w:t>
      </w:r>
      <w:proofErr w:type="spellStart"/>
      <w:r>
        <w:rPr>
          <w:color w:val="000000"/>
          <w:sz w:val="22"/>
          <w:szCs w:val="22"/>
          <w:lang w:val="es-ES"/>
        </w:rPr>
        <w:t>sequentially</w:t>
      </w:r>
      <w:proofErr w:type="spellEnd"/>
      <w:r>
        <w:rPr>
          <w:color w:val="000000"/>
          <w:sz w:val="22"/>
          <w:szCs w:val="22"/>
          <w:lang w:val="es-ES"/>
        </w:rPr>
        <w:t xml:space="preserve"> </w:t>
      </w:r>
      <w:proofErr w:type="spellStart"/>
      <w:r>
        <w:rPr>
          <w:color w:val="000000"/>
          <w:sz w:val="22"/>
          <w:szCs w:val="22"/>
          <w:lang w:val="es-ES"/>
        </w:rPr>
        <w:t>following</w:t>
      </w:r>
      <w:proofErr w:type="spellEnd"/>
      <w:r>
        <w:rPr>
          <w:color w:val="000000"/>
          <w:sz w:val="22"/>
          <w:szCs w:val="22"/>
          <w:lang w:val="es-ES"/>
        </w:rPr>
        <w:t xml:space="preserve"> </w:t>
      </w:r>
      <w:proofErr w:type="spellStart"/>
      <w:r>
        <w:rPr>
          <w:color w:val="000000"/>
          <w:sz w:val="22"/>
          <w:szCs w:val="22"/>
          <w:lang w:val="es-ES"/>
        </w:rPr>
        <w:t>the</w:t>
      </w:r>
      <w:proofErr w:type="spellEnd"/>
      <w:r>
        <w:rPr>
          <w:color w:val="000000"/>
          <w:sz w:val="22"/>
          <w:szCs w:val="22"/>
          <w:lang w:val="es-ES"/>
        </w:rPr>
        <w:t xml:space="preserve"> </w:t>
      </w:r>
      <w:proofErr w:type="spellStart"/>
      <w:r>
        <w:rPr>
          <w:color w:val="000000"/>
          <w:sz w:val="22"/>
          <w:szCs w:val="22"/>
          <w:lang w:val="es-ES"/>
        </w:rPr>
        <w:t>order</w:t>
      </w:r>
      <w:proofErr w:type="spellEnd"/>
      <w:r>
        <w:rPr>
          <w:color w:val="000000"/>
          <w:sz w:val="22"/>
          <w:szCs w:val="22"/>
          <w:lang w:val="es-ES"/>
        </w:rPr>
        <w:t xml:space="preserve"> </w:t>
      </w:r>
      <w:proofErr w:type="spellStart"/>
      <w:r>
        <w:rPr>
          <w:color w:val="000000"/>
          <w:sz w:val="22"/>
          <w:szCs w:val="22"/>
          <w:lang w:val="es-ES"/>
        </w:rPr>
        <w:t>of</w:t>
      </w:r>
      <w:proofErr w:type="spellEnd"/>
      <w:r>
        <w:rPr>
          <w:color w:val="000000"/>
          <w:sz w:val="22"/>
          <w:szCs w:val="22"/>
          <w:lang w:val="es-ES"/>
        </w:rPr>
        <w:t xml:space="preserve"> </w:t>
      </w:r>
      <w:proofErr w:type="spellStart"/>
      <w:r>
        <w:rPr>
          <w:color w:val="000000"/>
          <w:sz w:val="22"/>
          <w:szCs w:val="22"/>
          <w:lang w:val="es-ES"/>
        </w:rPr>
        <w:t>the</w:t>
      </w:r>
      <w:proofErr w:type="spellEnd"/>
      <w:r>
        <w:rPr>
          <w:color w:val="000000"/>
          <w:sz w:val="22"/>
          <w:szCs w:val="22"/>
          <w:lang w:val="es-ES"/>
        </w:rPr>
        <w:t xml:space="preserve"> serial </w:t>
      </w:r>
      <w:proofErr w:type="spellStart"/>
      <w:r>
        <w:rPr>
          <w:color w:val="000000"/>
          <w:sz w:val="22"/>
          <w:szCs w:val="22"/>
          <w:lang w:val="es-ES"/>
        </w:rPr>
        <w:t>numbers</w:t>
      </w:r>
      <w:proofErr w:type="spellEnd"/>
      <w:r>
        <w:rPr>
          <w:color w:val="000000"/>
          <w:sz w:val="22"/>
          <w:szCs w:val="22"/>
          <w:lang w:val="es-ES"/>
        </w:rPr>
        <w:t xml:space="preserve"> </w:t>
      </w:r>
      <w:proofErr w:type="spellStart"/>
      <w:r>
        <w:rPr>
          <w:color w:val="000000"/>
          <w:sz w:val="22"/>
          <w:szCs w:val="22"/>
          <w:lang w:val="es-ES"/>
        </w:rPr>
        <w:t>of</w:t>
      </w:r>
      <w:proofErr w:type="spellEnd"/>
      <w:r>
        <w:rPr>
          <w:color w:val="000000"/>
          <w:sz w:val="22"/>
          <w:szCs w:val="22"/>
          <w:lang w:val="es-ES"/>
        </w:rPr>
        <w:t xml:space="preserve"> </w:t>
      </w:r>
      <w:proofErr w:type="spellStart"/>
      <w:r>
        <w:rPr>
          <w:color w:val="000000"/>
          <w:sz w:val="22"/>
          <w:szCs w:val="22"/>
          <w:lang w:val="es-ES"/>
        </w:rPr>
        <w:t>the</w:t>
      </w:r>
      <w:proofErr w:type="spellEnd"/>
      <w:r>
        <w:rPr>
          <w:color w:val="000000"/>
          <w:sz w:val="22"/>
          <w:szCs w:val="22"/>
          <w:lang w:val="es-ES"/>
        </w:rPr>
        <w:t xml:space="preserve"> </w:t>
      </w:r>
      <w:proofErr w:type="spellStart"/>
      <w:r>
        <w:rPr>
          <w:color w:val="000000"/>
          <w:sz w:val="22"/>
          <w:szCs w:val="22"/>
          <w:lang w:val="es-ES"/>
        </w:rPr>
        <w:t>meters</w:t>
      </w:r>
      <w:proofErr w:type="spellEnd"/>
      <w:r>
        <w:rPr>
          <w:color w:val="000000"/>
          <w:sz w:val="22"/>
          <w:szCs w:val="22"/>
          <w:lang w:val="es-ES"/>
        </w:rPr>
        <w:t>.</w:t>
      </w:r>
    </w:p>
    <w:p w14:paraId="63308EED" w14:textId="77777777" w:rsidR="00E255F4" w:rsidRDefault="00000000">
      <w:pPr>
        <w:pStyle w:val="Prrafodelista"/>
        <w:numPr>
          <w:ilvl w:val="2"/>
          <w:numId w:val="56"/>
        </w:numPr>
        <w:spacing w:before="240" w:after="120"/>
        <w:ind w:left="709" w:hanging="709"/>
        <w:rPr>
          <w:b/>
          <w:sz w:val="22"/>
          <w:szCs w:val="22"/>
          <w:lang w:val="es-ES"/>
        </w:rPr>
      </w:pPr>
      <w:proofErr w:type="spellStart"/>
      <w:r>
        <w:rPr>
          <w:b/>
          <w:sz w:val="22"/>
          <w:szCs w:val="22"/>
          <w:lang w:val="es-ES"/>
        </w:rPr>
        <w:t>Certificates</w:t>
      </w:r>
      <w:proofErr w:type="spellEnd"/>
    </w:p>
    <w:p w14:paraId="58E80851" w14:textId="77777777" w:rsidR="00E255F4" w:rsidRDefault="00000000">
      <w:pPr>
        <w:numPr>
          <w:ilvl w:val="3"/>
          <w:numId w:val="56"/>
        </w:numPr>
        <w:tabs>
          <w:tab w:val="left" w:pos="-720"/>
          <w:tab w:val="left" w:pos="0"/>
          <w:tab w:val="left" w:pos="851"/>
        </w:tabs>
        <w:spacing w:before="120" w:after="120"/>
        <w:jc w:val="both"/>
        <w:rPr>
          <w:color w:val="000000"/>
          <w:sz w:val="22"/>
          <w:szCs w:val="22"/>
          <w:lang w:val="es-ES"/>
        </w:rPr>
      </w:pPr>
      <w:r>
        <w:rPr>
          <w:color w:val="000000"/>
          <w:sz w:val="22"/>
          <w:szCs w:val="22"/>
          <w:lang w:val="es-ES"/>
        </w:rPr>
        <w:t xml:space="preserve">The </w:t>
      </w:r>
      <w:proofErr w:type="spellStart"/>
      <w:r>
        <w:rPr>
          <w:color w:val="000000"/>
          <w:sz w:val="22"/>
          <w:szCs w:val="22"/>
          <w:lang w:val="es-ES"/>
        </w:rPr>
        <w:t>model</w:t>
      </w:r>
      <w:proofErr w:type="spellEnd"/>
      <w:r>
        <w:rPr>
          <w:color w:val="000000"/>
          <w:sz w:val="22"/>
          <w:szCs w:val="22"/>
          <w:lang w:val="es-ES"/>
        </w:rPr>
        <w:t xml:space="preserve"> </w:t>
      </w:r>
      <w:proofErr w:type="spellStart"/>
      <w:r>
        <w:rPr>
          <w:color w:val="000000"/>
          <w:sz w:val="22"/>
          <w:szCs w:val="22"/>
          <w:lang w:val="es-ES"/>
        </w:rPr>
        <w:t>approval</w:t>
      </w:r>
      <w:proofErr w:type="spellEnd"/>
      <w:r>
        <w:rPr>
          <w:color w:val="000000"/>
          <w:sz w:val="22"/>
          <w:szCs w:val="22"/>
          <w:lang w:val="es-ES"/>
        </w:rPr>
        <w:t xml:space="preserve"> </w:t>
      </w:r>
      <w:proofErr w:type="spellStart"/>
      <w:r>
        <w:rPr>
          <w:color w:val="000000"/>
          <w:sz w:val="22"/>
          <w:szCs w:val="22"/>
          <w:lang w:val="es-ES"/>
        </w:rPr>
        <w:t>certificate</w:t>
      </w:r>
      <w:proofErr w:type="spellEnd"/>
      <w:r>
        <w:rPr>
          <w:color w:val="000000"/>
          <w:sz w:val="22"/>
          <w:szCs w:val="22"/>
          <w:lang w:val="es-ES"/>
        </w:rPr>
        <w:t xml:space="preserve"> </w:t>
      </w:r>
      <w:proofErr w:type="spellStart"/>
      <w:r>
        <w:rPr>
          <w:color w:val="000000"/>
          <w:sz w:val="22"/>
          <w:szCs w:val="22"/>
          <w:lang w:val="es-ES"/>
        </w:rPr>
        <w:t>must</w:t>
      </w:r>
      <w:proofErr w:type="spellEnd"/>
      <w:r>
        <w:rPr>
          <w:color w:val="000000"/>
          <w:sz w:val="22"/>
          <w:szCs w:val="22"/>
          <w:lang w:val="es-ES"/>
        </w:rPr>
        <w:t xml:space="preserve"> be </w:t>
      </w:r>
      <w:proofErr w:type="spellStart"/>
      <w:r>
        <w:rPr>
          <w:color w:val="000000"/>
          <w:sz w:val="22"/>
          <w:szCs w:val="22"/>
          <w:lang w:val="es-ES"/>
        </w:rPr>
        <w:t>submitted</w:t>
      </w:r>
      <w:proofErr w:type="spellEnd"/>
      <w:r>
        <w:rPr>
          <w:color w:val="000000"/>
          <w:sz w:val="22"/>
          <w:szCs w:val="22"/>
          <w:lang w:val="es-ES"/>
        </w:rPr>
        <w:t xml:space="preserve">, </w:t>
      </w:r>
      <w:proofErr w:type="spellStart"/>
      <w:r>
        <w:rPr>
          <w:color w:val="000000"/>
          <w:sz w:val="22"/>
          <w:szCs w:val="22"/>
          <w:lang w:val="es-ES"/>
        </w:rPr>
        <w:t>which</w:t>
      </w:r>
      <w:proofErr w:type="spellEnd"/>
      <w:r>
        <w:rPr>
          <w:color w:val="000000"/>
          <w:sz w:val="22"/>
          <w:szCs w:val="22"/>
          <w:lang w:val="es-ES"/>
        </w:rPr>
        <w:t xml:space="preserve"> </w:t>
      </w:r>
      <w:proofErr w:type="spellStart"/>
      <w:r>
        <w:rPr>
          <w:color w:val="000000"/>
          <w:sz w:val="22"/>
          <w:szCs w:val="22"/>
          <w:lang w:val="es-ES"/>
        </w:rPr>
        <w:t>must</w:t>
      </w:r>
      <w:proofErr w:type="spellEnd"/>
      <w:r>
        <w:rPr>
          <w:color w:val="000000"/>
          <w:sz w:val="22"/>
          <w:szCs w:val="22"/>
          <w:lang w:val="es-ES"/>
        </w:rPr>
        <w:t xml:space="preserve"> </w:t>
      </w:r>
      <w:proofErr w:type="spellStart"/>
      <w:r>
        <w:rPr>
          <w:color w:val="000000"/>
          <w:sz w:val="22"/>
          <w:szCs w:val="22"/>
          <w:lang w:val="es-ES"/>
        </w:rPr>
        <w:t>comply</w:t>
      </w:r>
      <w:proofErr w:type="spellEnd"/>
      <w:r>
        <w:rPr>
          <w:color w:val="000000"/>
          <w:sz w:val="22"/>
          <w:szCs w:val="22"/>
          <w:lang w:val="es-ES"/>
        </w:rPr>
        <w:t xml:space="preserve"> </w:t>
      </w:r>
      <w:proofErr w:type="spellStart"/>
      <w:r>
        <w:rPr>
          <w:color w:val="000000"/>
          <w:sz w:val="22"/>
          <w:szCs w:val="22"/>
          <w:lang w:val="es-ES"/>
        </w:rPr>
        <w:t>with</w:t>
      </w:r>
      <w:proofErr w:type="spellEnd"/>
      <w:r>
        <w:rPr>
          <w:color w:val="000000"/>
          <w:sz w:val="22"/>
          <w:szCs w:val="22"/>
          <w:lang w:val="es-ES"/>
        </w:rPr>
        <w:t xml:space="preserve"> </w:t>
      </w:r>
      <w:proofErr w:type="spellStart"/>
      <w:r>
        <w:rPr>
          <w:color w:val="000000"/>
          <w:sz w:val="22"/>
          <w:szCs w:val="22"/>
          <w:lang w:val="es-ES"/>
        </w:rPr>
        <w:t>the</w:t>
      </w:r>
      <w:proofErr w:type="spellEnd"/>
      <w:r>
        <w:rPr>
          <w:color w:val="000000"/>
          <w:sz w:val="22"/>
          <w:szCs w:val="22"/>
          <w:lang w:val="es-ES"/>
        </w:rPr>
        <w:t xml:space="preserve"> </w:t>
      </w:r>
      <w:proofErr w:type="spellStart"/>
      <w:r>
        <w:rPr>
          <w:color w:val="000000"/>
          <w:sz w:val="22"/>
          <w:szCs w:val="22"/>
          <w:lang w:val="es-ES"/>
        </w:rPr>
        <w:t>international</w:t>
      </w:r>
      <w:proofErr w:type="spellEnd"/>
      <w:r>
        <w:rPr>
          <w:color w:val="000000"/>
          <w:sz w:val="22"/>
          <w:szCs w:val="22"/>
          <w:lang w:val="es-ES"/>
        </w:rPr>
        <w:t xml:space="preserve"> </w:t>
      </w:r>
      <w:proofErr w:type="spellStart"/>
      <w:r>
        <w:rPr>
          <w:color w:val="000000"/>
          <w:sz w:val="22"/>
          <w:szCs w:val="22"/>
          <w:lang w:val="es-ES"/>
        </w:rPr>
        <w:t>standards</w:t>
      </w:r>
      <w:proofErr w:type="spellEnd"/>
      <w:r>
        <w:rPr>
          <w:color w:val="000000"/>
          <w:sz w:val="22"/>
          <w:szCs w:val="22"/>
          <w:lang w:val="es-ES"/>
        </w:rPr>
        <w:t xml:space="preserve"> </w:t>
      </w:r>
      <w:proofErr w:type="spellStart"/>
      <w:r>
        <w:rPr>
          <w:color w:val="000000"/>
          <w:sz w:val="22"/>
          <w:szCs w:val="22"/>
          <w:lang w:val="es-ES"/>
        </w:rPr>
        <w:t>specified</w:t>
      </w:r>
      <w:proofErr w:type="spellEnd"/>
      <w:r>
        <w:rPr>
          <w:color w:val="000000"/>
          <w:sz w:val="22"/>
          <w:szCs w:val="22"/>
          <w:lang w:val="es-ES"/>
        </w:rPr>
        <w:t xml:space="preserve"> in </w:t>
      </w:r>
      <w:proofErr w:type="spellStart"/>
      <w:r>
        <w:rPr>
          <w:color w:val="000000"/>
          <w:sz w:val="22"/>
          <w:szCs w:val="22"/>
          <w:lang w:val="es-ES"/>
        </w:rPr>
        <w:t>this</w:t>
      </w:r>
      <w:proofErr w:type="spellEnd"/>
      <w:r>
        <w:rPr>
          <w:color w:val="000000"/>
          <w:sz w:val="22"/>
          <w:szCs w:val="22"/>
          <w:lang w:val="es-ES"/>
        </w:rPr>
        <w:t xml:space="preserve"> </w:t>
      </w:r>
      <w:proofErr w:type="spellStart"/>
      <w:r>
        <w:rPr>
          <w:color w:val="000000"/>
          <w:sz w:val="22"/>
          <w:szCs w:val="22"/>
          <w:lang w:val="es-ES"/>
        </w:rPr>
        <w:t>document</w:t>
      </w:r>
      <w:proofErr w:type="spellEnd"/>
      <w:r>
        <w:rPr>
          <w:color w:val="000000"/>
          <w:sz w:val="22"/>
          <w:szCs w:val="22"/>
          <w:lang w:val="es-ES"/>
        </w:rPr>
        <w:t>.</w:t>
      </w:r>
    </w:p>
    <w:p w14:paraId="5893ECAE" w14:textId="77777777" w:rsidR="00E255F4" w:rsidRDefault="00000000">
      <w:pPr>
        <w:numPr>
          <w:ilvl w:val="3"/>
          <w:numId w:val="56"/>
        </w:numPr>
        <w:tabs>
          <w:tab w:val="left" w:pos="-720"/>
          <w:tab w:val="left" w:pos="0"/>
          <w:tab w:val="left" w:pos="851"/>
        </w:tabs>
        <w:spacing w:before="120" w:after="120"/>
        <w:jc w:val="both"/>
        <w:rPr>
          <w:color w:val="000000"/>
          <w:sz w:val="22"/>
          <w:szCs w:val="22"/>
          <w:lang w:val="es-ES"/>
        </w:rPr>
      </w:pPr>
      <w:r>
        <w:rPr>
          <w:color w:val="000000"/>
          <w:sz w:val="22"/>
          <w:szCs w:val="22"/>
          <w:lang w:val="es-ES"/>
        </w:rPr>
        <w:t xml:space="preserve">A </w:t>
      </w:r>
      <w:proofErr w:type="spellStart"/>
      <w:r>
        <w:rPr>
          <w:color w:val="000000"/>
          <w:sz w:val="22"/>
          <w:szCs w:val="22"/>
          <w:lang w:val="es-ES"/>
        </w:rPr>
        <w:t>current</w:t>
      </w:r>
      <w:proofErr w:type="spellEnd"/>
      <w:r>
        <w:rPr>
          <w:color w:val="000000"/>
          <w:sz w:val="22"/>
          <w:szCs w:val="22"/>
          <w:lang w:val="es-ES"/>
        </w:rPr>
        <w:t xml:space="preserve"> </w:t>
      </w:r>
      <w:proofErr w:type="spellStart"/>
      <w:r>
        <w:rPr>
          <w:color w:val="000000"/>
          <w:sz w:val="22"/>
          <w:szCs w:val="22"/>
          <w:lang w:val="es-ES"/>
        </w:rPr>
        <w:t>certificate</w:t>
      </w:r>
      <w:proofErr w:type="spellEnd"/>
      <w:r>
        <w:rPr>
          <w:color w:val="000000"/>
          <w:sz w:val="22"/>
          <w:szCs w:val="22"/>
          <w:lang w:val="es-ES"/>
        </w:rPr>
        <w:t xml:space="preserve"> </w:t>
      </w:r>
      <w:proofErr w:type="spellStart"/>
      <w:r>
        <w:rPr>
          <w:color w:val="000000"/>
          <w:sz w:val="22"/>
          <w:szCs w:val="22"/>
          <w:lang w:val="es-ES"/>
        </w:rPr>
        <w:t>from</w:t>
      </w:r>
      <w:proofErr w:type="spellEnd"/>
      <w:r>
        <w:rPr>
          <w:color w:val="000000"/>
          <w:sz w:val="22"/>
          <w:szCs w:val="22"/>
          <w:lang w:val="es-ES"/>
        </w:rPr>
        <w:t xml:space="preserve"> </w:t>
      </w:r>
      <w:proofErr w:type="spellStart"/>
      <w:r>
        <w:rPr>
          <w:color w:val="000000"/>
          <w:sz w:val="22"/>
          <w:szCs w:val="22"/>
          <w:lang w:val="es-ES"/>
        </w:rPr>
        <w:t>the</w:t>
      </w:r>
      <w:proofErr w:type="spellEnd"/>
      <w:r>
        <w:rPr>
          <w:color w:val="000000"/>
          <w:sz w:val="22"/>
          <w:szCs w:val="22"/>
          <w:lang w:val="es-ES"/>
        </w:rPr>
        <w:t xml:space="preserve"> </w:t>
      </w:r>
      <w:proofErr w:type="spellStart"/>
      <w:r>
        <w:rPr>
          <w:color w:val="000000"/>
          <w:sz w:val="22"/>
          <w:szCs w:val="22"/>
          <w:lang w:val="es-ES"/>
        </w:rPr>
        <w:t>manufacturer</w:t>
      </w:r>
      <w:proofErr w:type="spellEnd"/>
      <w:r>
        <w:rPr>
          <w:color w:val="000000"/>
          <w:sz w:val="22"/>
          <w:szCs w:val="22"/>
          <w:lang w:val="es-ES"/>
        </w:rPr>
        <w:t xml:space="preserve"> </w:t>
      </w:r>
      <w:proofErr w:type="spellStart"/>
      <w:r>
        <w:rPr>
          <w:color w:val="000000"/>
          <w:sz w:val="22"/>
          <w:szCs w:val="22"/>
          <w:lang w:val="es-ES"/>
        </w:rPr>
        <w:t>of</w:t>
      </w:r>
      <w:proofErr w:type="spellEnd"/>
      <w:r>
        <w:rPr>
          <w:color w:val="000000"/>
          <w:sz w:val="22"/>
          <w:szCs w:val="22"/>
          <w:lang w:val="es-ES"/>
        </w:rPr>
        <w:t xml:space="preserve"> </w:t>
      </w:r>
      <w:proofErr w:type="spellStart"/>
      <w:r>
        <w:rPr>
          <w:color w:val="000000"/>
          <w:sz w:val="22"/>
          <w:szCs w:val="22"/>
          <w:lang w:val="es-ES"/>
        </w:rPr>
        <w:t>the</w:t>
      </w:r>
      <w:proofErr w:type="spellEnd"/>
      <w:r>
        <w:rPr>
          <w:color w:val="000000"/>
          <w:sz w:val="22"/>
          <w:szCs w:val="22"/>
          <w:lang w:val="es-ES"/>
        </w:rPr>
        <w:t xml:space="preserve"> </w:t>
      </w:r>
      <w:proofErr w:type="spellStart"/>
      <w:r>
        <w:rPr>
          <w:color w:val="000000"/>
          <w:sz w:val="22"/>
          <w:szCs w:val="22"/>
          <w:lang w:val="es-ES"/>
        </w:rPr>
        <w:t>water</w:t>
      </w:r>
      <w:proofErr w:type="spellEnd"/>
      <w:r>
        <w:rPr>
          <w:color w:val="000000"/>
          <w:sz w:val="22"/>
          <w:szCs w:val="22"/>
          <w:lang w:val="es-ES"/>
        </w:rPr>
        <w:t xml:space="preserve"> </w:t>
      </w:r>
      <w:proofErr w:type="spellStart"/>
      <w:r>
        <w:rPr>
          <w:color w:val="000000"/>
          <w:sz w:val="22"/>
          <w:szCs w:val="22"/>
          <w:lang w:val="es-ES"/>
        </w:rPr>
        <w:t>meters</w:t>
      </w:r>
      <w:proofErr w:type="spellEnd"/>
      <w:r>
        <w:rPr>
          <w:color w:val="000000"/>
          <w:sz w:val="22"/>
          <w:szCs w:val="22"/>
          <w:lang w:val="es-ES"/>
        </w:rPr>
        <w:t xml:space="preserve"> </w:t>
      </w:r>
      <w:proofErr w:type="spellStart"/>
      <w:r>
        <w:rPr>
          <w:color w:val="000000"/>
          <w:sz w:val="22"/>
          <w:szCs w:val="22"/>
          <w:lang w:val="es-ES"/>
        </w:rPr>
        <w:t>must</w:t>
      </w:r>
      <w:proofErr w:type="spellEnd"/>
      <w:r>
        <w:rPr>
          <w:color w:val="000000"/>
          <w:sz w:val="22"/>
          <w:szCs w:val="22"/>
          <w:lang w:val="es-ES"/>
        </w:rPr>
        <w:t xml:space="preserve"> be </w:t>
      </w:r>
      <w:proofErr w:type="spellStart"/>
      <w:r>
        <w:rPr>
          <w:color w:val="000000"/>
          <w:sz w:val="22"/>
          <w:szCs w:val="22"/>
          <w:lang w:val="es-ES"/>
        </w:rPr>
        <w:t>submitted</w:t>
      </w:r>
      <w:proofErr w:type="spellEnd"/>
      <w:r>
        <w:rPr>
          <w:color w:val="000000"/>
          <w:sz w:val="22"/>
          <w:szCs w:val="22"/>
          <w:lang w:val="es-ES"/>
        </w:rPr>
        <w:t xml:space="preserve">, </w:t>
      </w:r>
      <w:proofErr w:type="spellStart"/>
      <w:r>
        <w:rPr>
          <w:color w:val="000000"/>
          <w:sz w:val="22"/>
          <w:szCs w:val="22"/>
          <w:lang w:val="es-ES"/>
        </w:rPr>
        <w:t>verifying</w:t>
      </w:r>
      <w:proofErr w:type="spellEnd"/>
      <w:r>
        <w:rPr>
          <w:color w:val="000000"/>
          <w:sz w:val="22"/>
          <w:szCs w:val="22"/>
          <w:lang w:val="es-ES"/>
        </w:rPr>
        <w:t xml:space="preserve"> </w:t>
      </w:r>
      <w:proofErr w:type="spellStart"/>
      <w:r>
        <w:rPr>
          <w:color w:val="000000"/>
          <w:sz w:val="22"/>
          <w:szCs w:val="22"/>
          <w:lang w:val="es-ES"/>
        </w:rPr>
        <w:t>compliance</w:t>
      </w:r>
      <w:proofErr w:type="spellEnd"/>
      <w:r>
        <w:rPr>
          <w:color w:val="000000"/>
          <w:sz w:val="22"/>
          <w:szCs w:val="22"/>
          <w:lang w:val="es-ES"/>
        </w:rPr>
        <w:t xml:space="preserve"> </w:t>
      </w:r>
      <w:proofErr w:type="spellStart"/>
      <w:r>
        <w:rPr>
          <w:color w:val="000000"/>
          <w:sz w:val="22"/>
          <w:szCs w:val="22"/>
          <w:lang w:val="es-ES"/>
        </w:rPr>
        <w:t>with</w:t>
      </w:r>
      <w:proofErr w:type="spellEnd"/>
      <w:r>
        <w:rPr>
          <w:color w:val="000000"/>
          <w:sz w:val="22"/>
          <w:szCs w:val="22"/>
          <w:lang w:val="es-ES"/>
        </w:rPr>
        <w:t xml:space="preserve"> ISO 9001:2008 </w:t>
      </w:r>
      <w:proofErr w:type="spellStart"/>
      <w:r>
        <w:rPr>
          <w:color w:val="000000"/>
          <w:sz w:val="22"/>
          <w:szCs w:val="22"/>
          <w:lang w:val="es-ES"/>
        </w:rPr>
        <w:t>or</w:t>
      </w:r>
      <w:proofErr w:type="spellEnd"/>
      <w:r>
        <w:rPr>
          <w:color w:val="000000"/>
          <w:sz w:val="22"/>
          <w:szCs w:val="22"/>
          <w:lang w:val="es-ES"/>
        </w:rPr>
        <w:t xml:space="preserve"> 2015 </w:t>
      </w:r>
      <w:proofErr w:type="spellStart"/>
      <w:r>
        <w:rPr>
          <w:color w:val="000000"/>
          <w:sz w:val="22"/>
          <w:szCs w:val="22"/>
          <w:lang w:val="es-ES"/>
        </w:rPr>
        <w:t>for</w:t>
      </w:r>
      <w:proofErr w:type="spellEnd"/>
      <w:r>
        <w:rPr>
          <w:color w:val="000000"/>
          <w:sz w:val="22"/>
          <w:szCs w:val="22"/>
          <w:lang w:val="es-ES"/>
        </w:rPr>
        <w:t xml:space="preserve"> </w:t>
      </w:r>
      <w:proofErr w:type="spellStart"/>
      <w:r>
        <w:rPr>
          <w:color w:val="000000"/>
          <w:sz w:val="22"/>
          <w:szCs w:val="22"/>
          <w:lang w:val="es-ES"/>
        </w:rPr>
        <w:t>the</w:t>
      </w:r>
      <w:proofErr w:type="spellEnd"/>
      <w:r>
        <w:rPr>
          <w:color w:val="000000"/>
          <w:sz w:val="22"/>
          <w:szCs w:val="22"/>
          <w:lang w:val="es-ES"/>
        </w:rPr>
        <w:t xml:space="preserve"> </w:t>
      </w:r>
      <w:proofErr w:type="spellStart"/>
      <w:r>
        <w:rPr>
          <w:color w:val="000000"/>
          <w:sz w:val="22"/>
          <w:szCs w:val="22"/>
          <w:lang w:val="es-ES"/>
        </w:rPr>
        <w:t>scope</w:t>
      </w:r>
      <w:proofErr w:type="spellEnd"/>
      <w:r>
        <w:rPr>
          <w:color w:val="000000"/>
          <w:sz w:val="22"/>
          <w:szCs w:val="22"/>
          <w:lang w:val="es-ES"/>
        </w:rPr>
        <w:t xml:space="preserve"> </w:t>
      </w:r>
      <w:proofErr w:type="spellStart"/>
      <w:r>
        <w:rPr>
          <w:color w:val="000000"/>
          <w:sz w:val="22"/>
          <w:szCs w:val="22"/>
          <w:lang w:val="es-ES"/>
        </w:rPr>
        <w:t>of</w:t>
      </w:r>
      <w:proofErr w:type="spellEnd"/>
      <w:r>
        <w:rPr>
          <w:color w:val="000000"/>
          <w:sz w:val="22"/>
          <w:szCs w:val="22"/>
          <w:lang w:val="es-ES"/>
        </w:rPr>
        <w:t xml:space="preserve"> </w:t>
      </w:r>
      <w:proofErr w:type="spellStart"/>
      <w:r>
        <w:rPr>
          <w:color w:val="000000"/>
          <w:sz w:val="22"/>
          <w:szCs w:val="22"/>
          <w:lang w:val="es-ES"/>
        </w:rPr>
        <w:t>design</w:t>
      </w:r>
      <w:proofErr w:type="spellEnd"/>
      <w:r>
        <w:rPr>
          <w:color w:val="000000"/>
          <w:sz w:val="22"/>
          <w:szCs w:val="22"/>
          <w:lang w:val="es-ES"/>
        </w:rPr>
        <w:t xml:space="preserve"> and </w:t>
      </w:r>
      <w:proofErr w:type="spellStart"/>
      <w:r>
        <w:rPr>
          <w:color w:val="000000"/>
          <w:sz w:val="22"/>
          <w:szCs w:val="22"/>
          <w:lang w:val="es-ES"/>
        </w:rPr>
        <w:t>manufacturing</w:t>
      </w:r>
      <w:proofErr w:type="spellEnd"/>
      <w:r>
        <w:rPr>
          <w:color w:val="000000"/>
          <w:sz w:val="22"/>
          <w:szCs w:val="22"/>
          <w:lang w:val="es-ES"/>
        </w:rPr>
        <w:t xml:space="preserve"> </w:t>
      </w:r>
      <w:proofErr w:type="spellStart"/>
      <w:r>
        <w:rPr>
          <w:color w:val="000000"/>
          <w:sz w:val="22"/>
          <w:szCs w:val="22"/>
          <w:lang w:val="es-ES"/>
        </w:rPr>
        <w:t>of</w:t>
      </w:r>
      <w:proofErr w:type="spellEnd"/>
      <w:r>
        <w:rPr>
          <w:color w:val="000000"/>
          <w:sz w:val="22"/>
          <w:szCs w:val="22"/>
          <w:lang w:val="es-ES"/>
        </w:rPr>
        <w:t xml:space="preserve"> </w:t>
      </w:r>
      <w:proofErr w:type="spellStart"/>
      <w:r>
        <w:rPr>
          <w:color w:val="000000"/>
          <w:sz w:val="22"/>
          <w:szCs w:val="22"/>
          <w:lang w:val="es-ES"/>
        </w:rPr>
        <w:t>water</w:t>
      </w:r>
      <w:proofErr w:type="spellEnd"/>
      <w:r>
        <w:rPr>
          <w:color w:val="000000"/>
          <w:sz w:val="22"/>
          <w:szCs w:val="22"/>
          <w:lang w:val="es-ES"/>
        </w:rPr>
        <w:t xml:space="preserve"> </w:t>
      </w:r>
      <w:proofErr w:type="spellStart"/>
      <w:r>
        <w:rPr>
          <w:color w:val="000000"/>
          <w:sz w:val="22"/>
          <w:szCs w:val="22"/>
          <w:lang w:val="es-ES"/>
        </w:rPr>
        <w:t>meters</w:t>
      </w:r>
      <w:proofErr w:type="spellEnd"/>
      <w:r>
        <w:rPr>
          <w:color w:val="000000"/>
          <w:sz w:val="22"/>
          <w:szCs w:val="22"/>
          <w:lang w:val="es-ES"/>
        </w:rPr>
        <w:t xml:space="preserve">. </w:t>
      </w:r>
      <w:proofErr w:type="spellStart"/>
      <w:r>
        <w:rPr>
          <w:color w:val="000000"/>
          <w:sz w:val="22"/>
          <w:szCs w:val="22"/>
          <w:lang w:val="es-ES"/>
        </w:rPr>
        <w:t>This</w:t>
      </w:r>
      <w:proofErr w:type="spellEnd"/>
      <w:r>
        <w:rPr>
          <w:color w:val="000000"/>
          <w:sz w:val="22"/>
          <w:szCs w:val="22"/>
          <w:lang w:val="es-ES"/>
        </w:rPr>
        <w:t xml:space="preserve"> </w:t>
      </w:r>
      <w:proofErr w:type="spellStart"/>
      <w:r>
        <w:rPr>
          <w:color w:val="000000"/>
          <w:sz w:val="22"/>
          <w:szCs w:val="22"/>
          <w:lang w:val="es-ES"/>
        </w:rPr>
        <w:t>certificate</w:t>
      </w:r>
      <w:proofErr w:type="spellEnd"/>
      <w:r>
        <w:rPr>
          <w:color w:val="000000"/>
          <w:sz w:val="22"/>
          <w:szCs w:val="22"/>
          <w:lang w:val="es-ES"/>
        </w:rPr>
        <w:t xml:space="preserve"> </w:t>
      </w:r>
      <w:proofErr w:type="spellStart"/>
      <w:r>
        <w:rPr>
          <w:color w:val="000000"/>
          <w:sz w:val="22"/>
          <w:szCs w:val="22"/>
          <w:lang w:val="es-ES"/>
        </w:rPr>
        <w:t>must</w:t>
      </w:r>
      <w:proofErr w:type="spellEnd"/>
      <w:r>
        <w:rPr>
          <w:color w:val="000000"/>
          <w:sz w:val="22"/>
          <w:szCs w:val="22"/>
          <w:lang w:val="es-ES"/>
        </w:rPr>
        <w:t xml:space="preserve"> </w:t>
      </w:r>
      <w:proofErr w:type="spellStart"/>
      <w:r>
        <w:rPr>
          <w:color w:val="000000"/>
          <w:sz w:val="22"/>
          <w:szCs w:val="22"/>
          <w:lang w:val="es-ES"/>
        </w:rPr>
        <w:t>specify</w:t>
      </w:r>
      <w:proofErr w:type="spellEnd"/>
      <w:r>
        <w:rPr>
          <w:color w:val="000000"/>
          <w:sz w:val="22"/>
          <w:szCs w:val="22"/>
          <w:lang w:val="es-ES"/>
        </w:rPr>
        <w:t xml:space="preserve"> </w:t>
      </w:r>
      <w:proofErr w:type="spellStart"/>
      <w:r>
        <w:rPr>
          <w:color w:val="000000"/>
          <w:sz w:val="22"/>
          <w:szCs w:val="22"/>
          <w:lang w:val="es-ES"/>
        </w:rPr>
        <w:t>the</w:t>
      </w:r>
      <w:proofErr w:type="spellEnd"/>
      <w:r>
        <w:rPr>
          <w:color w:val="000000"/>
          <w:sz w:val="22"/>
          <w:szCs w:val="22"/>
          <w:lang w:val="es-ES"/>
        </w:rPr>
        <w:t xml:space="preserve"> </w:t>
      </w:r>
      <w:proofErr w:type="spellStart"/>
      <w:r>
        <w:rPr>
          <w:color w:val="000000"/>
          <w:sz w:val="22"/>
          <w:szCs w:val="22"/>
          <w:lang w:val="es-ES"/>
        </w:rPr>
        <w:t>validity</w:t>
      </w:r>
      <w:proofErr w:type="spellEnd"/>
      <w:r>
        <w:rPr>
          <w:color w:val="000000"/>
          <w:sz w:val="22"/>
          <w:szCs w:val="22"/>
          <w:lang w:val="es-ES"/>
        </w:rPr>
        <w:t xml:space="preserve"> </w:t>
      </w:r>
      <w:proofErr w:type="spellStart"/>
      <w:r>
        <w:rPr>
          <w:color w:val="000000"/>
          <w:sz w:val="22"/>
          <w:szCs w:val="22"/>
          <w:lang w:val="es-ES"/>
        </w:rPr>
        <w:t>period</w:t>
      </w:r>
      <w:proofErr w:type="spellEnd"/>
      <w:r>
        <w:rPr>
          <w:color w:val="000000"/>
          <w:sz w:val="22"/>
          <w:szCs w:val="22"/>
          <w:lang w:val="es-ES"/>
        </w:rPr>
        <w:t xml:space="preserve"> and </w:t>
      </w:r>
      <w:proofErr w:type="spellStart"/>
      <w:r>
        <w:rPr>
          <w:color w:val="000000"/>
          <w:sz w:val="22"/>
          <w:szCs w:val="22"/>
          <w:lang w:val="es-ES"/>
        </w:rPr>
        <w:t>the</w:t>
      </w:r>
      <w:proofErr w:type="spellEnd"/>
      <w:r>
        <w:rPr>
          <w:color w:val="000000"/>
          <w:sz w:val="22"/>
          <w:szCs w:val="22"/>
          <w:lang w:val="es-ES"/>
        </w:rPr>
        <w:t xml:space="preserve"> </w:t>
      </w:r>
      <w:proofErr w:type="spellStart"/>
      <w:r>
        <w:rPr>
          <w:color w:val="000000"/>
          <w:sz w:val="22"/>
          <w:szCs w:val="22"/>
          <w:lang w:val="es-ES"/>
        </w:rPr>
        <w:t>name</w:t>
      </w:r>
      <w:proofErr w:type="spellEnd"/>
      <w:r>
        <w:rPr>
          <w:color w:val="000000"/>
          <w:sz w:val="22"/>
          <w:szCs w:val="22"/>
          <w:lang w:val="es-ES"/>
        </w:rPr>
        <w:t xml:space="preserve"> </w:t>
      </w:r>
      <w:proofErr w:type="spellStart"/>
      <w:r>
        <w:rPr>
          <w:color w:val="000000"/>
          <w:sz w:val="22"/>
          <w:szCs w:val="22"/>
          <w:lang w:val="es-ES"/>
        </w:rPr>
        <w:t>of</w:t>
      </w:r>
      <w:proofErr w:type="spellEnd"/>
      <w:r>
        <w:rPr>
          <w:color w:val="000000"/>
          <w:sz w:val="22"/>
          <w:szCs w:val="22"/>
          <w:lang w:val="es-ES"/>
        </w:rPr>
        <w:t xml:space="preserve"> </w:t>
      </w:r>
      <w:proofErr w:type="spellStart"/>
      <w:r>
        <w:rPr>
          <w:color w:val="000000"/>
          <w:sz w:val="22"/>
          <w:szCs w:val="22"/>
          <w:lang w:val="es-ES"/>
        </w:rPr>
        <w:t>the</w:t>
      </w:r>
      <w:proofErr w:type="spellEnd"/>
      <w:r>
        <w:rPr>
          <w:color w:val="000000"/>
          <w:sz w:val="22"/>
          <w:szCs w:val="22"/>
          <w:lang w:val="es-ES"/>
        </w:rPr>
        <w:t xml:space="preserve"> </w:t>
      </w:r>
      <w:proofErr w:type="spellStart"/>
      <w:r>
        <w:rPr>
          <w:color w:val="000000"/>
          <w:sz w:val="22"/>
          <w:szCs w:val="22"/>
          <w:lang w:val="es-ES"/>
        </w:rPr>
        <w:t>verifying</w:t>
      </w:r>
      <w:proofErr w:type="spellEnd"/>
      <w:r>
        <w:rPr>
          <w:color w:val="000000"/>
          <w:sz w:val="22"/>
          <w:szCs w:val="22"/>
          <w:lang w:val="es-ES"/>
        </w:rPr>
        <w:t xml:space="preserve"> </w:t>
      </w:r>
      <w:proofErr w:type="spellStart"/>
      <w:r>
        <w:rPr>
          <w:color w:val="000000"/>
          <w:sz w:val="22"/>
          <w:szCs w:val="22"/>
          <w:lang w:val="es-ES"/>
        </w:rPr>
        <w:t>company</w:t>
      </w:r>
      <w:proofErr w:type="spellEnd"/>
      <w:r>
        <w:rPr>
          <w:color w:val="000000"/>
          <w:sz w:val="22"/>
          <w:szCs w:val="22"/>
          <w:lang w:val="es-ES"/>
        </w:rPr>
        <w:t xml:space="preserve">, </w:t>
      </w:r>
      <w:proofErr w:type="spellStart"/>
      <w:r>
        <w:rPr>
          <w:color w:val="000000"/>
          <w:sz w:val="22"/>
          <w:szCs w:val="22"/>
          <w:lang w:val="es-ES"/>
        </w:rPr>
        <w:t>which</w:t>
      </w:r>
      <w:proofErr w:type="spellEnd"/>
      <w:r>
        <w:rPr>
          <w:color w:val="000000"/>
          <w:sz w:val="22"/>
          <w:szCs w:val="22"/>
          <w:lang w:val="es-ES"/>
        </w:rPr>
        <w:t xml:space="preserve"> </w:t>
      </w:r>
      <w:proofErr w:type="spellStart"/>
      <w:r>
        <w:rPr>
          <w:color w:val="000000"/>
          <w:sz w:val="22"/>
          <w:szCs w:val="22"/>
          <w:lang w:val="es-ES"/>
        </w:rPr>
        <w:t>must</w:t>
      </w:r>
      <w:proofErr w:type="spellEnd"/>
      <w:r>
        <w:rPr>
          <w:color w:val="000000"/>
          <w:sz w:val="22"/>
          <w:szCs w:val="22"/>
          <w:lang w:val="es-ES"/>
        </w:rPr>
        <w:t xml:space="preserve"> be </w:t>
      </w:r>
      <w:proofErr w:type="spellStart"/>
      <w:r>
        <w:rPr>
          <w:color w:val="000000"/>
          <w:sz w:val="22"/>
          <w:szCs w:val="22"/>
          <w:lang w:val="es-ES"/>
        </w:rPr>
        <w:t>internationally</w:t>
      </w:r>
      <w:proofErr w:type="spellEnd"/>
      <w:r>
        <w:rPr>
          <w:color w:val="000000"/>
          <w:sz w:val="22"/>
          <w:szCs w:val="22"/>
          <w:lang w:val="es-ES"/>
        </w:rPr>
        <w:t xml:space="preserve"> </w:t>
      </w:r>
      <w:proofErr w:type="spellStart"/>
      <w:r>
        <w:rPr>
          <w:color w:val="000000"/>
          <w:sz w:val="22"/>
          <w:szCs w:val="22"/>
          <w:lang w:val="es-ES"/>
        </w:rPr>
        <w:t>recognized</w:t>
      </w:r>
      <w:proofErr w:type="spellEnd"/>
      <w:r>
        <w:rPr>
          <w:color w:val="000000"/>
          <w:sz w:val="22"/>
          <w:szCs w:val="22"/>
          <w:lang w:val="es-ES"/>
        </w:rPr>
        <w:t>.</w:t>
      </w:r>
    </w:p>
    <w:p w14:paraId="3DEBC692" w14:textId="77777777" w:rsidR="00E255F4" w:rsidRDefault="00000000">
      <w:pPr>
        <w:pStyle w:val="Prrafodelista"/>
        <w:numPr>
          <w:ilvl w:val="1"/>
          <w:numId w:val="56"/>
        </w:numPr>
        <w:spacing w:before="240" w:after="120"/>
        <w:ind w:left="567" w:hanging="567"/>
        <w:rPr>
          <w:sz w:val="22"/>
          <w:szCs w:val="22"/>
          <w:lang w:val="es-ES"/>
        </w:rPr>
      </w:pPr>
      <w:proofErr w:type="spellStart"/>
      <w:r>
        <w:rPr>
          <w:b/>
          <w:sz w:val="22"/>
          <w:szCs w:val="22"/>
          <w:lang w:val="es-ES"/>
        </w:rPr>
        <w:t>Related</w:t>
      </w:r>
      <w:proofErr w:type="spellEnd"/>
      <w:r>
        <w:rPr>
          <w:b/>
          <w:sz w:val="22"/>
          <w:szCs w:val="22"/>
          <w:lang w:val="es-ES"/>
        </w:rPr>
        <w:t xml:space="preserve"> </w:t>
      </w:r>
      <w:proofErr w:type="spellStart"/>
      <w:r>
        <w:rPr>
          <w:b/>
          <w:sz w:val="22"/>
          <w:szCs w:val="22"/>
          <w:lang w:val="es-ES"/>
        </w:rPr>
        <w:t>services</w:t>
      </w:r>
      <w:proofErr w:type="spellEnd"/>
    </w:p>
    <w:p w14:paraId="192DB671" w14:textId="77777777" w:rsidR="00E255F4" w:rsidRDefault="00000000">
      <w:pPr>
        <w:pStyle w:val="Prrafodelista"/>
        <w:spacing w:before="240" w:after="120"/>
        <w:ind w:left="567"/>
        <w:rPr>
          <w:sz w:val="22"/>
          <w:szCs w:val="22"/>
          <w:lang w:val="es-ES"/>
        </w:rPr>
      </w:pPr>
      <w:r>
        <w:rPr>
          <w:sz w:val="22"/>
          <w:szCs w:val="22"/>
          <w:lang w:val="es-ES"/>
        </w:rPr>
        <w:t xml:space="preserve">The </w:t>
      </w:r>
      <w:proofErr w:type="spellStart"/>
      <w:r>
        <w:rPr>
          <w:sz w:val="22"/>
          <w:szCs w:val="22"/>
          <w:lang w:val="es-ES"/>
        </w:rPr>
        <w:t>related</w:t>
      </w:r>
      <w:proofErr w:type="spellEnd"/>
      <w:r>
        <w:rPr>
          <w:sz w:val="22"/>
          <w:szCs w:val="22"/>
          <w:lang w:val="es-ES"/>
        </w:rPr>
        <w:t xml:space="preserve"> </w:t>
      </w:r>
      <w:proofErr w:type="spellStart"/>
      <w:r>
        <w:rPr>
          <w:sz w:val="22"/>
          <w:szCs w:val="22"/>
          <w:lang w:val="es-ES"/>
        </w:rPr>
        <w:t>services</w:t>
      </w:r>
      <w:proofErr w:type="spellEnd"/>
      <w:r>
        <w:rPr>
          <w:sz w:val="22"/>
          <w:szCs w:val="22"/>
          <w:lang w:val="es-ES"/>
        </w:rPr>
        <w:t xml:space="preserve"> </w:t>
      </w:r>
      <w:proofErr w:type="spellStart"/>
      <w:r>
        <w:rPr>
          <w:sz w:val="22"/>
          <w:szCs w:val="22"/>
          <w:lang w:val="es-ES"/>
        </w:rPr>
        <w:t>consist</w:t>
      </w:r>
      <w:proofErr w:type="spellEnd"/>
      <w:r>
        <w:rPr>
          <w:sz w:val="22"/>
          <w:szCs w:val="22"/>
          <w:lang w:val="es-ES"/>
        </w:rPr>
        <w:t xml:space="preserve"> </w:t>
      </w:r>
      <w:proofErr w:type="spellStart"/>
      <w:r>
        <w:rPr>
          <w:sz w:val="22"/>
          <w:szCs w:val="22"/>
          <w:lang w:val="es-ES"/>
        </w:rPr>
        <w:t>of</w:t>
      </w:r>
      <w:proofErr w:type="spellEnd"/>
      <w:r>
        <w:rPr>
          <w:sz w:val="22"/>
          <w:szCs w:val="22"/>
          <w:lang w:val="es-ES"/>
        </w:rPr>
        <w:t xml:space="preserve"> </w:t>
      </w:r>
      <w:proofErr w:type="spellStart"/>
      <w:r>
        <w:rPr>
          <w:sz w:val="22"/>
          <w:szCs w:val="22"/>
          <w:lang w:val="es-ES"/>
        </w:rPr>
        <w:t>activities</w:t>
      </w:r>
      <w:proofErr w:type="spellEnd"/>
      <w:r>
        <w:rPr>
          <w:sz w:val="22"/>
          <w:szCs w:val="22"/>
          <w:lang w:val="es-ES"/>
        </w:rPr>
        <w:t xml:space="preserve"> </w:t>
      </w:r>
      <w:proofErr w:type="spellStart"/>
      <w:r>
        <w:rPr>
          <w:sz w:val="22"/>
          <w:szCs w:val="22"/>
          <w:lang w:val="es-ES"/>
        </w:rPr>
        <w:t>for</w:t>
      </w:r>
      <w:proofErr w:type="spellEnd"/>
      <w:r>
        <w:rPr>
          <w:sz w:val="22"/>
          <w:szCs w:val="22"/>
          <w:lang w:val="es-ES"/>
        </w:rPr>
        <w:t xml:space="preserve"> </w:t>
      </w:r>
      <w:proofErr w:type="spellStart"/>
      <w:r>
        <w:rPr>
          <w:sz w:val="22"/>
          <w:szCs w:val="22"/>
          <w:lang w:val="es-ES"/>
        </w:rPr>
        <w:t>receiving</w:t>
      </w:r>
      <w:proofErr w:type="spellEnd"/>
      <w:r>
        <w:rPr>
          <w:sz w:val="22"/>
          <w:szCs w:val="22"/>
          <w:lang w:val="es-ES"/>
        </w:rPr>
        <w:t xml:space="preserve"> </w:t>
      </w:r>
      <w:proofErr w:type="spellStart"/>
      <w:r>
        <w:rPr>
          <w:sz w:val="22"/>
          <w:szCs w:val="22"/>
          <w:lang w:val="es-ES"/>
        </w:rPr>
        <w:t>the</w:t>
      </w:r>
      <w:proofErr w:type="spellEnd"/>
      <w:r>
        <w:rPr>
          <w:sz w:val="22"/>
          <w:szCs w:val="22"/>
          <w:lang w:val="es-ES"/>
        </w:rPr>
        <w:t xml:space="preserve"> </w:t>
      </w:r>
      <w:proofErr w:type="spellStart"/>
      <w:r>
        <w:rPr>
          <w:sz w:val="22"/>
          <w:szCs w:val="22"/>
          <w:lang w:val="es-ES"/>
        </w:rPr>
        <w:t>goods</w:t>
      </w:r>
      <w:proofErr w:type="spellEnd"/>
      <w:r>
        <w:rPr>
          <w:sz w:val="22"/>
          <w:szCs w:val="22"/>
          <w:lang w:val="es-ES"/>
        </w:rPr>
        <w:t xml:space="preserve"> at </w:t>
      </w:r>
      <w:proofErr w:type="spellStart"/>
      <w:r>
        <w:rPr>
          <w:sz w:val="22"/>
          <w:szCs w:val="22"/>
          <w:lang w:val="es-ES"/>
        </w:rPr>
        <w:t>origin</w:t>
      </w:r>
      <w:proofErr w:type="spellEnd"/>
      <w:r>
        <w:rPr>
          <w:sz w:val="22"/>
          <w:szCs w:val="22"/>
          <w:lang w:val="es-ES"/>
        </w:rPr>
        <w:t xml:space="preserve"> and </w:t>
      </w:r>
      <w:proofErr w:type="spellStart"/>
      <w:r>
        <w:rPr>
          <w:sz w:val="22"/>
          <w:szCs w:val="22"/>
          <w:lang w:val="es-ES"/>
        </w:rPr>
        <w:t>include</w:t>
      </w:r>
      <w:proofErr w:type="spellEnd"/>
      <w:r>
        <w:rPr>
          <w:sz w:val="22"/>
          <w:szCs w:val="22"/>
          <w:lang w:val="es-ES"/>
        </w:rPr>
        <w:t>:</w:t>
      </w:r>
    </w:p>
    <w:p w14:paraId="09BCDA01" w14:textId="77777777" w:rsidR="00E255F4" w:rsidRDefault="00000000">
      <w:pPr>
        <w:pStyle w:val="Prrafodelista"/>
        <w:spacing w:before="240" w:after="120"/>
        <w:ind w:left="567" w:hanging="567"/>
        <w:rPr>
          <w:sz w:val="22"/>
          <w:szCs w:val="22"/>
          <w:lang w:val="es-ES"/>
        </w:rPr>
      </w:pPr>
      <w:r>
        <w:rPr>
          <w:sz w:val="22"/>
          <w:szCs w:val="22"/>
          <w:lang w:val="es-MX"/>
        </w:rPr>
        <w:t>7.6.1</w:t>
      </w:r>
      <w:r>
        <w:rPr>
          <w:b/>
          <w:sz w:val="22"/>
          <w:szCs w:val="22"/>
          <w:lang w:val="es-MX"/>
        </w:rPr>
        <w:tab/>
      </w:r>
      <w:proofErr w:type="spellStart"/>
      <w:r>
        <w:rPr>
          <w:b/>
          <w:sz w:val="22"/>
          <w:szCs w:val="22"/>
          <w:lang w:val="es-MX"/>
        </w:rPr>
        <w:t>Inspection</w:t>
      </w:r>
      <w:proofErr w:type="spellEnd"/>
      <w:r>
        <w:rPr>
          <w:b/>
          <w:sz w:val="22"/>
          <w:szCs w:val="22"/>
          <w:lang w:val="es-MX"/>
        </w:rPr>
        <w:t xml:space="preserve"> </w:t>
      </w:r>
      <w:proofErr w:type="spellStart"/>
      <w:r>
        <w:rPr>
          <w:b/>
          <w:sz w:val="22"/>
          <w:szCs w:val="22"/>
          <w:lang w:val="es-MX"/>
        </w:rPr>
        <w:t>by</w:t>
      </w:r>
      <w:proofErr w:type="spellEnd"/>
      <w:r>
        <w:rPr>
          <w:b/>
          <w:sz w:val="22"/>
          <w:szCs w:val="22"/>
          <w:lang w:val="es-MX"/>
        </w:rPr>
        <w:t xml:space="preserve"> </w:t>
      </w:r>
      <w:proofErr w:type="spellStart"/>
      <w:r>
        <w:rPr>
          <w:b/>
          <w:sz w:val="22"/>
          <w:szCs w:val="22"/>
          <w:lang w:val="es-MX"/>
        </w:rPr>
        <w:t>the</w:t>
      </w:r>
      <w:proofErr w:type="spellEnd"/>
      <w:r>
        <w:rPr>
          <w:b/>
          <w:sz w:val="22"/>
          <w:szCs w:val="22"/>
          <w:lang w:val="es-MX"/>
        </w:rPr>
        <w:t xml:space="preserve"> </w:t>
      </w:r>
      <w:proofErr w:type="spellStart"/>
      <w:r>
        <w:rPr>
          <w:b/>
          <w:sz w:val="22"/>
          <w:szCs w:val="22"/>
          <w:lang w:val="es-MX"/>
        </w:rPr>
        <w:t>Verifying</w:t>
      </w:r>
      <w:proofErr w:type="spellEnd"/>
      <w:r>
        <w:rPr>
          <w:b/>
          <w:sz w:val="22"/>
          <w:szCs w:val="22"/>
          <w:lang w:val="es-MX"/>
        </w:rPr>
        <w:t xml:space="preserve"> Agent</w:t>
      </w:r>
      <w:r>
        <w:rPr>
          <w:sz w:val="22"/>
          <w:szCs w:val="22"/>
          <w:lang w:val="es-MX"/>
        </w:rPr>
        <w:t>.</w:t>
      </w:r>
    </w:p>
    <w:p w14:paraId="2D0420BF" w14:textId="77777777" w:rsidR="00E255F4" w:rsidRDefault="00000000">
      <w:pPr>
        <w:pStyle w:val="Textoindependienteprimerasangra2"/>
        <w:tabs>
          <w:tab w:val="left" w:pos="142"/>
          <w:tab w:val="left" w:pos="426"/>
        </w:tabs>
        <w:ind w:left="993" w:hanging="851"/>
        <w:jc w:val="both"/>
      </w:pPr>
      <w:r>
        <w:rPr>
          <w:sz w:val="22"/>
          <w:szCs w:val="22"/>
          <w:lang w:val="es-UY"/>
        </w:rPr>
        <w:t xml:space="preserve">              The </w:t>
      </w:r>
      <w:proofErr w:type="spellStart"/>
      <w:r>
        <w:rPr>
          <w:sz w:val="22"/>
          <w:szCs w:val="22"/>
          <w:lang w:val="es-UY"/>
        </w:rPr>
        <w:t>manufacturing</w:t>
      </w:r>
      <w:proofErr w:type="spellEnd"/>
      <w:r>
        <w:rPr>
          <w:sz w:val="22"/>
          <w:szCs w:val="22"/>
          <w:lang w:val="es-UY"/>
        </w:rPr>
        <w:t xml:space="preserve"> control </w:t>
      </w:r>
      <w:proofErr w:type="spellStart"/>
      <w:r>
        <w:rPr>
          <w:sz w:val="22"/>
          <w:szCs w:val="22"/>
          <w:lang w:val="es-UY"/>
        </w:rPr>
        <w:t>of</w:t>
      </w:r>
      <w:proofErr w:type="spellEnd"/>
      <w:r>
        <w:rPr>
          <w:sz w:val="22"/>
          <w:szCs w:val="22"/>
          <w:lang w:val="es-UY"/>
        </w:rPr>
        <w:t xml:space="preserve"> </w:t>
      </w:r>
      <w:proofErr w:type="spellStart"/>
      <w:r>
        <w:rPr>
          <w:sz w:val="22"/>
          <w:szCs w:val="22"/>
          <w:lang w:val="es-UY"/>
        </w:rPr>
        <w:t>the</w:t>
      </w:r>
      <w:proofErr w:type="spellEnd"/>
      <w:r>
        <w:rPr>
          <w:sz w:val="22"/>
          <w:szCs w:val="22"/>
          <w:lang w:val="es-UY"/>
        </w:rPr>
        <w:t xml:space="preserve"> </w:t>
      </w:r>
      <w:proofErr w:type="spellStart"/>
      <w:r>
        <w:rPr>
          <w:sz w:val="22"/>
          <w:szCs w:val="22"/>
          <w:lang w:val="es-UY"/>
        </w:rPr>
        <w:t>meters</w:t>
      </w:r>
      <w:proofErr w:type="spellEnd"/>
      <w:r>
        <w:rPr>
          <w:sz w:val="22"/>
          <w:szCs w:val="22"/>
          <w:lang w:val="es-UY"/>
        </w:rPr>
        <w:t xml:space="preserve"> and </w:t>
      </w:r>
      <w:proofErr w:type="spellStart"/>
      <w:r>
        <w:rPr>
          <w:sz w:val="22"/>
          <w:szCs w:val="22"/>
          <w:lang w:val="es-UY"/>
        </w:rPr>
        <w:t>the</w:t>
      </w:r>
      <w:proofErr w:type="spellEnd"/>
      <w:r>
        <w:rPr>
          <w:sz w:val="22"/>
          <w:szCs w:val="22"/>
          <w:lang w:val="es-UY"/>
        </w:rPr>
        <w:t xml:space="preserve"> </w:t>
      </w:r>
      <w:proofErr w:type="spellStart"/>
      <w:r>
        <w:rPr>
          <w:sz w:val="22"/>
          <w:szCs w:val="22"/>
          <w:lang w:val="es-UY"/>
        </w:rPr>
        <w:t>verification</w:t>
      </w:r>
      <w:proofErr w:type="spellEnd"/>
      <w:r>
        <w:rPr>
          <w:sz w:val="22"/>
          <w:szCs w:val="22"/>
          <w:lang w:val="es-UY"/>
        </w:rPr>
        <w:t xml:space="preserve"> </w:t>
      </w:r>
      <w:proofErr w:type="spellStart"/>
      <w:r>
        <w:rPr>
          <w:sz w:val="22"/>
          <w:szCs w:val="22"/>
          <w:lang w:val="es-UY"/>
        </w:rPr>
        <w:t>of</w:t>
      </w:r>
      <w:proofErr w:type="spellEnd"/>
      <w:r>
        <w:rPr>
          <w:sz w:val="22"/>
          <w:szCs w:val="22"/>
          <w:lang w:val="es-UY"/>
        </w:rPr>
        <w:t xml:space="preserve"> </w:t>
      </w:r>
      <w:proofErr w:type="spellStart"/>
      <w:r>
        <w:rPr>
          <w:sz w:val="22"/>
          <w:szCs w:val="22"/>
          <w:lang w:val="es-UY"/>
        </w:rPr>
        <w:t>their</w:t>
      </w:r>
      <w:proofErr w:type="spellEnd"/>
      <w:r>
        <w:rPr>
          <w:sz w:val="22"/>
          <w:szCs w:val="22"/>
          <w:lang w:val="es-UY"/>
        </w:rPr>
        <w:t xml:space="preserve"> </w:t>
      </w:r>
      <w:proofErr w:type="spellStart"/>
      <w:r>
        <w:rPr>
          <w:sz w:val="22"/>
          <w:szCs w:val="22"/>
          <w:lang w:val="es-UY"/>
        </w:rPr>
        <w:t>factory</w:t>
      </w:r>
      <w:proofErr w:type="spellEnd"/>
      <w:r>
        <w:rPr>
          <w:sz w:val="22"/>
          <w:szCs w:val="22"/>
          <w:lang w:val="es-UY"/>
        </w:rPr>
        <w:t xml:space="preserve"> </w:t>
      </w:r>
      <w:proofErr w:type="spellStart"/>
      <w:r>
        <w:rPr>
          <w:sz w:val="22"/>
          <w:szCs w:val="22"/>
          <w:lang w:val="es-UY"/>
        </w:rPr>
        <w:t>acceptance</w:t>
      </w:r>
      <w:proofErr w:type="spellEnd"/>
      <w:r>
        <w:rPr>
          <w:sz w:val="22"/>
          <w:szCs w:val="22"/>
          <w:lang w:val="es-UY"/>
        </w:rPr>
        <w:t xml:space="preserve"> </w:t>
      </w:r>
      <w:proofErr w:type="spellStart"/>
      <w:r>
        <w:rPr>
          <w:sz w:val="22"/>
          <w:szCs w:val="22"/>
          <w:lang w:val="es-UY"/>
        </w:rPr>
        <w:t>tests</w:t>
      </w:r>
      <w:proofErr w:type="spellEnd"/>
      <w:r>
        <w:rPr>
          <w:sz w:val="22"/>
          <w:szCs w:val="22"/>
          <w:lang w:val="es-UY"/>
        </w:rPr>
        <w:t xml:space="preserve"> </w:t>
      </w:r>
      <w:proofErr w:type="spellStart"/>
      <w:r>
        <w:rPr>
          <w:sz w:val="22"/>
          <w:szCs w:val="22"/>
          <w:lang w:val="es-UY"/>
        </w:rPr>
        <w:t>will</w:t>
      </w:r>
      <w:proofErr w:type="spellEnd"/>
      <w:r>
        <w:rPr>
          <w:sz w:val="22"/>
          <w:szCs w:val="22"/>
          <w:lang w:val="es-UY"/>
        </w:rPr>
        <w:t xml:space="preserve"> be </w:t>
      </w:r>
      <w:proofErr w:type="spellStart"/>
      <w:r>
        <w:rPr>
          <w:sz w:val="22"/>
          <w:szCs w:val="22"/>
          <w:lang w:val="es-UY"/>
        </w:rPr>
        <w:t>certified</w:t>
      </w:r>
      <w:proofErr w:type="spellEnd"/>
      <w:r>
        <w:rPr>
          <w:sz w:val="22"/>
          <w:szCs w:val="22"/>
          <w:lang w:val="es-UY"/>
        </w:rPr>
        <w:t xml:space="preserve"> </w:t>
      </w:r>
      <w:proofErr w:type="spellStart"/>
      <w:r>
        <w:rPr>
          <w:sz w:val="22"/>
          <w:szCs w:val="22"/>
          <w:lang w:val="es-UY"/>
        </w:rPr>
        <w:t>by</w:t>
      </w:r>
      <w:proofErr w:type="spellEnd"/>
      <w:r>
        <w:rPr>
          <w:sz w:val="22"/>
          <w:szCs w:val="22"/>
          <w:lang w:val="es-UY"/>
        </w:rPr>
        <w:t xml:space="preserve"> a </w:t>
      </w:r>
      <w:proofErr w:type="spellStart"/>
      <w:r>
        <w:rPr>
          <w:sz w:val="22"/>
          <w:szCs w:val="22"/>
          <w:lang w:val="es-UY"/>
        </w:rPr>
        <w:t>verification</w:t>
      </w:r>
      <w:proofErr w:type="spellEnd"/>
      <w:r>
        <w:rPr>
          <w:sz w:val="22"/>
          <w:szCs w:val="22"/>
          <w:lang w:val="es-UY"/>
        </w:rPr>
        <w:t xml:space="preserve"> </w:t>
      </w:r>
      <w:proofErr w:type="spellStart"/>
      <w:r>
        <w:rPr>
          <w:sz w:val="22"/>
          <w:szCs w:val="22"/>
          <w:lang w:val="es-UY"/>
        </w:rPr>
        <w:t>agent</w:t>
      </w:r>
      <w:proofErr w:type="spellEnd"/>
      <w:r>
        <w:rPr>
          <w:sz w:val="22"/>
          <w:szCs w:val="22"/>
          <w:lang w:val="es-UY"/>
        </w:rPr>
        <w:t xml:space="preserve"> </w:t>
      </w:r>
      <w:proofErr w:type="spellStart"/>
      <w:r>
        <w:rPr>
          <w:sz w:val="22"/>
          <w:szCs w:val="22"/>
          <w:lang w:val="es-UY"/>
        </w:rPr>
        <w:t>with</w:t>
      </w:r>
      <w:proofErr w:type="spellEnd"/>
      <w:r>
        <w:rPr>
          <w:sz w:val="22"/>
          <w:szCs w:val="22"/>
          <w:lang w:val="es-UY"/>
        </w:rPr>
        <w:t xml:space="preserve"> a </w:t>
      </w:r>
      <w:proofErr w:type="spellStart"/>
      <w:r>
        <w:rPr>
          <w:sz w:val="22"/>
          <w:szCs w:val="22"/>
          <w:lang w:val="es-UY"/>
        </w:rPr>
        <w:t>recognized</w:t>
      </w:r>
      <w:proofErr w:type="spellEnd"/>
      <w:r>
        <w:rPr>
          <w:sz w:val="22"/>
          <w:szCs w:val="22"/>
          <w:lang w:val="es-UY"/>
        </w:rPr>
        <w:t xml:space="preserve"> </w:t>
      </w:r>
      <w:proofErr w:type="spellStart"/>
      <w:r>
        <w:rPr>
          <w:sz w:val="22"/>
          <w:szCs w:val="22"/>
          <w:lang w:val="es-UY"/>
        </w:rPr>
        <w:t>international</w:t>
      </w:r>
      <w:proofErr w:type="spellEnd"/>
      <w:r>
        <w:rPr>
          <w:sz w:val="22"/>
          <w:szCs w:val="22"/>
          <w:lang w:val="es-UY"/>
        </w:rPr>
        <w:t xml:space="preserve"> </w:t>
      </w:r>
      <w:proofErr w:type="spellStart"/>
      <w:r>
        <w:rPr>
          <w:sz w:val="22"/>
          <w:szCs w:val="22"/>
          <w:lang w:val="es-UY"/>
        </w:rPr>
        <w:t>track</w:t>
      </w:r>
      <w:proofErr w:type="spellEnd"/>
      <w:r>
        <w:rPr>
          <w:sz w:val="22"/>
          <w:szCs w:val="22"/>
          <w:lang w:val="es-UY"/>
        </w:rPr>
        <w:t xml:space="preserve"> </w:t>
      </w:r>
      <w:proofErr w:type="spellStart"/>
      <w:r>
        <w:rPr>
          <w:sz w:val="22"/>
          <w:szCs w:val="22"/>
          <w:lang w:val="es-UY"/>
        </w:rPr>
        <w:t>record</w:t>
      </w:r>
      <w:proofErr w:type="spellEnd"/>
      <w:r>
        <w:rPr>
          <w:sz w:val="22"/>
          <w:szCs w:val="22"/>
          <w:lang w:val="es-UY"/>
        </w:rPr>
        <w:t xml:space="preserve">. </w:t>
      </w:r>
      <w:proofErr w:type="spellStart"/>
      <w:r>
        <w:rPr>
          <w:sz w:val="22"/>
          <w:szCs w:val="22"/>
          <w:lang w:val="es-UY"/>
        </w:rPr>
        <w:t>To</w:t>
      </w:r>
      <w:proofErr w:type="spellEnd"/>
      <w:r>
        <w:rPr>
          <w:sz w:val="22"/>
          <w:szCs w:val="22"/>
          <w:lang w:val="es-UY"/>
        </w:rPr>
        <w:t xml:space="preserve"> </w:t>
      </w:r>
      <w:proofErr w:type="spellStart"/>
      <w:r>
        <w:rPr>
          <w:sz w:val="22"/>
          <w:szCs w:val="22"/>
          <w:lang w:val="es-UY"/>
        </w:rPr>
        <w:t>this</w:t>
      </w:r>
      <w:proofErr w:type="spellEnd"/>
      <w:r>
        <w:rPr>
          <w:sz w:val="22"/>
          <w:szCs w:val="22"/>
          <w:lang w:val="es-UY"/>
        </w:rPr>
        <w:t xml:space="preserve"> </w:t>
      </w:r>
      <w:proofErr w:type="spellStart"/>
      <w:r>
        <w:rPr>
          <w:sz w:val="22"/>
          <w:szCs w:val="22"/>
          <w:lang w:val="es-UY"/>
        </w:rPr>
        <w:t>end</w:t>
      </w:r>
      <w:proofErr w:type="spellEnd"/>
      <w:r>
        <w:rPr>
          <w:sz w:val="22"/>
          <w:szCs w:val="22"/>
          <w:lang w:val="es-UY"/>
        </w:rPr>
        <w:t xml:space="preserve">, </w:t>
      </w:r>
      <w:proofErr w:type="spellStart"/>
      <w:r>
        <w:rPr>
          <w:sz w:val="22"/>
          <w:szCs w:val="22"/>
          <w:lang w:val="es-UY"/>
        </w:rPr>
        <w:t>the</w:t>
      </w:r>
      <w:proofErr w:type="spellEnd"/>
      <w:r>
        <w:rPr>
          <w:sz w:val="22"/>
          <w:szCs w:val="22"/>
          <w:lang w:val="es-UY"/>
        </w:rPr>
        <w:t xml:space="preserve"> </w:t>
      </w:r>
      <w:proofErr w:type="spellStart"/>
      <w:r>
        <w:rPr>
          <w:sz w:val="22"/>
          <w:szCs w:val="22"/>
          <w:lang w:val="es-UY"/>
        </w:rPr>
        <w:t>bidder</w:t>
      </w:r>
      <w:proofErr w:type="spellEnd"/>
      <w:r>
        <w:rPr>
          <w:sz w:val="22"/>
          <w:szCs w:val="22"/>
          <w:lang w:val="es-UY"/>
        </w:rPr>
        <w:t xml:space="preserve"> </w:t>
      </w:r>
      <w:proofErr w:type="spellStart"/>
      <w:r>
        <w:rPr>
          <w:sz w:val="22"/>
          <w:szCs w:val="22"/>
          <w:lang w:val="es-UY"/>
        </w:rPr>
        <w:t>must</w:t>
      </w:r>
      <w:proofErr w:type="spellEnd"/>
      <w:r>
        <w:rPr>
          <w:sz w:val="22"/>
          <w:szCs w:val="22"/>
          <w:lang w:val="es-UY"/>
        </w:rPr>
        <w:t xml:space="preserve"> </w:t>
      </w:r>
      <w:proofErr w:type="spellStart"/>
      <w:r>
        <w:rPr>
          <w:sz w:val="22"/>
          <w:szCs w:val="22"/>
          <w:lang w:val="es-UY"/>
        </w:rPr>
        <w:t>submit</w:t>
      </w:r>
      <w:proofErr w:type="spellEnd"/>
      <w:r>
        <w:rPr>
          <w:sz w:val="22"/>
          <w:szCs w:val="22"/>
          <w:lang w:val="es-UY"/>
        </w:rPr>
        <w:t xml:space="preserve"> a </w:t>
      </w:r>
      <w:proofErr w:type="spellStart"/>
      <w:r>
        <w:rPr>
          <w:sz w:val="22"/>
          <w:szCs w:val="22"/>
          <w:lang w:val="es-UY"/>
        </w:rPr>
        <w:t>list</w:t>
      </w:r>
      <w:proofErr w:type="spellEnd"/>
      <w:r>
        <w:rPr>
          <w:sz w:val="22"/>
          <w:szCs w:val="22"/>
          <w:lang w:val="es-UY"/>
        </w:rPr>
        <w:t xml:space="preserve"> </w:t>
      </w:r>
      <w:proofErr w:type="spellStart"/>
      <w:r>
        <w:rPr>
          <w:sz w:val="22"/>
          <w:szCs w:val="22"/>
          <w:lang w:val="es-UY"/>
        </w:rPr>
        <w:t>of</w:t>
      </w:r>
      <w:proofErr w:type="spellEnd"/>
      <w:r>
        <w:rPr>
          <w:sz w:val="22"/>
          <w:szCs w:val="22"/>
          <w:lang w:val="es-UY"/>
        </w:rPr>
        <w:t xml:space="preserve"> at </w:t>
      </w:r>
      <w:proofErr w:type="spellStart"/>
      <w:r>
        <w:rPr>
          <w:sz w:val="22"/>
          <w:szCs w:val="22"/>
          <w:lang w:val="es-UY"/>
        </w:rPr>
        <w:t>least</w:t>
      </w:r>
      <w:proofErr w:type="spellEnd"/>
      <w:r>
        <w:rPr>
          <w:sz w:val="22"/>
          <w:szCs w:val="22"/>
          <w:lang w:val="es-UY"/>
        </w:rPr>
        <w:t xml:space="preserve"> </w:t>
      </w:r>
      <w:proofErr w:type="spellStart"/>
      <w:r>
        <w:rPr>
          <w:sz w:val="22"/>
          <w:szCs w:val="22"/>
          <w:lang w:val="es-UY"/>
        </w:rPr>
        <w:t>three</w:t>
      </w:r>
      <w:proofErr w:type="spellEnd"/>
      <w:r>
        <w:rPr>
          <w:sz w:val="22"/>
          <w:szCs w:val="22"/>
          <w:lang w:val="es-UY"/>
        </w:rPr>
        <w:t xml:space="preserve"> (3) </w:t>
      </w:r>
      <w:proofErr w:type="spellStart"/>
      <w:r>
        <w:rPr>
          <w:sz w:val="22"/>
          <w:szCs w:val="22"/>
          <w:lang w:val="es-UY"/>
        </w:rPr>
        <w:t>quality</w:t>
      </w:r>
      <w:proofErr w:type="spellEnd"/>
      <w:r>
        <w:rPr>
          <w:sz w:val="22"/>
          <w:szCs w:val="22"/>
          <w:lang w:val="es-UY"/>
        </w:rPr>
        <w:t xml:space="preserve"> </w:t>
      </w:r>
      <w:proofErr w:type="spellStart"/>
      <w:r>
        <w:rPr>
          <w:sz w:val="22"/>
          <w:szCs w:val="22"/>
          <w:lang w:val="es-UY"/>
        </w:rPr>
        <w:t>certification</w:t>
      </w:r>
      <w:proofErr w:type="spellEnd"/>
      <w:r>
        <w:rPr>
          <w:sz w:val="22"/>
          <w:szCs w:val="22"/>
          <w:lang w:val="es-UY"/>
        </w:rPr>
        <w:t xml:space="preserve"> </w:t>
      </w:r>
      <w:proofErr w:type="spellStart"/>
      <w:r>
        <w:rPr>
          <w:sz w:val="22"/>
          <w:szCs w:val="22"/>
          <w:lang w:val="es-UY"/>
        </w:rPr>
        <w:t>companies</w:t>
      </w:r>
      <w:proofErr w:type="spellEnd"/>
      <w:r>
        <w:rPr>
          <w:sz w:val="22"/>
          <w:szCs w:val="22"/>
          <w:lang w:val="es-UY"/>
        </w:rPr>
        <w:t xml:space="preserve"> </w:t>
      </w:r>
      <w:proofErr w:type="spellStart"/>
      <w:r>
        <w:rPr>
          <w:sz w:val="22"/>
          <w:szCs w:val="22"/>
          <w:lang w:val="es-UY"/>
        </w:rPr>
        <w:t>qualified</w:t>
      </w:r>
      <w:proofErr w:type="spellEnd"/>
      <w:r>
        <w:rPr>
          <w:sz w:val="22"/>
          <w:szCs w:val="22"/>
          <w:lang w:val="es-UY"/>
        </w:rPr>
        <w:t xml:space="preserve"> </w:t>
      </w:r>
      <w:proofErr w:type="spellStart"/>
      <w:r>
        <w:rPr>
          <w:sz w:val="22"/>
          <w:szCs w:val="22"/>
          <w:lang w:val="es-UY"/>
        </w:rPr>
        <w:t>to</w:t>
      </w:r>
      <w:proofErr w:type="spellEnd"/>
      <w:r>
        <w:rPr>
          <w:sz w:val="22"/>
          <w:szCs w:val="22"/>
          <w:lang w:val="es-UY"/>
        </w:rPr>
        <w:t xml:space="preserve"> </w:t>
      </w:r>
      <w:proofErr w:type="spellStart"/>
      <w:r>
        <w:rPr>
          <w:sz w:val="22"/>
          <w:szCs w:val="22"/>
          <w:lang w:val="es-UY"/>
        </w:rPr>
        <w:t>perform</w:t>
      </w:r>
      <w:proofErr w:type="spellEnd"/>
      <w:r>
        <w:rPr>
          <w:sz w:val="22"/>
          <w:szCs w:val="22"/>
          <w:lang w:val="es-UY"/>
        </w:rPr>
        <w:t xml:space="preserve"> </w:t>
      </w:r>
      <w:proofErr w:type="spellStart"/>
      <w:r>
        <w:rPr>
          <w:sz w:val="22"/>
          <w:szCs w:val="22"/>
          <w:lang w:val="es-UY"/>
        </w:rPr>
        <w:t>these</w:t>
      </w:r>
      <w:proofErr w:type="spellEnd"/>
      <w:r>
        <w:rPr>
          <w:sz w:val="22"/>
          <w:szCs w:val="22"/>
          <w:lang w:val="es-UY"/>
        </w:rPr>
        <w:t xml:space="preserve"> </w:t>
      </w:r>
      <w:proofErr w:type="spellStart"/>
      <w:r>
        <w:rPr>
          <w:sz w:val="22"/>
          <w:szCs w:val="22"/>
          <w:lang w:val="es-UY"/>
        </w:rPr>
        <w:t>services</w:t>
      </w:r>
      <w:proofErr w:type="spellEnd"/>
      <w:r>
        <w:rPr>
          <w:sz w:val="22"/>
          <w:szCs w:val="22"/>
          <w:lang w:val="es-UY"/>
        </w:rPr>
        <w:t xml:space="preserve">. A </w:t>
      </w:r>
      <w:proofErr w:type="spellStart"/>
      <w:r>
        <w:rPr>
          <w:sz w:val="22"/>
          <w:szCs w:val="22"/>
          <w:lang w:val="es-UY"/>
        </w:rPr>
        <w:t>brief</w:t>
      </w:r>
      <w:proofErr w:type="spellEnd"/>
      <w:r>
        <w:rPr>
          <w:sz w:val="22"/>
          <w:szCs w:val="22"/>
          <w:lang w:val="es-UY"/>
        </w:rPr>
        <w:t xml:space="preserve"> </w:t>
      </w:r>
      <w:proofErr w:type="spellStart"/>
      <w:r>
        <w:rPr>
          <w:sz w:val="22"/>
          <w:szCs w:val="22"/>
          <w:lang w:val="es-UY"/>
        </w:rPr>
        <w:t>curriculum</w:t>
      </w:r>
      <w:proofErr w:type="spellEnd"/>
      <w:r>
        <w:rPr>
          <w:sz w:val="22"/>
          <w:szCs w:val="22"/>
          <w:lang w:val="es-UY"/>
        </w:rPr>
        <w:t xml:space="preserve"> vitae </w:t>
      </w:r>
      <w:proofErr w:type="spellStart"/>
      <w:r>
        <w:rPr>
          <w:sz w:val="22"/>
          <w:szCs w:val="22"/>
          <w:lang w:val="es-UY"/>
        </w:rPr>
        <w:t>of</w:t>
      </w:r>
      <w:proofErr w:type="spellEnd"/>
      <w:r>
        <w:rPr>
          <w:sz w:val="22"/>
          <w:szCs w:val="22"/>
          <w:lang w:val="es-UY"/>
        </w:rPr>
        <w:t xml:space="preserve"> </w:t>
      </w:r>
      <w:proofErr w:type="spellStart"/>
      <w:r>
        <w:rPr>
          <w:sz w:val="22"/>
          <w:szCs w:val="22"/>
          <w:lang w:val="es-UY"/>
        </w:rPr>
        <w:t>each</w:t>
      </w:r>
      <w:proofErr w:type="spellEnd"/>
      <w:r>
        <w:rPr>
          <w:sz w:val="22"/>
          <w:szCs w:val="22"/>
          <w:lang w:val="es-UY"/>
        </w:rPr>
        <w:t xml:space="preserve"> </w:t>
      </w:r>
      <w:proofErr w:type="spellStart"/>
      <w:r>
        <w:rPr>
          <w:sz w:val="22"/>
          <w:szCs w:val="22"/>
          <w:lang w:val="es-UY"/>
        </w:rPr>
        <w:t>company</w:t>
      </w:r>
      <w:proofErr w:type="spellEnd"/>
      <w:r>
        <w:rPr>
          <w:sz w:val="22"/>
          <w:szCs w:val="22"/>
          <w:lang w:val="es-UY"/>
        </w:rPr>
        <w:t xml:space="preserve"> </w:t>
      </w:r>
      <w:proofErr w:type="spellStart"/>
      <w:r>
        <w:rPr>
          <w:sz w:val="22"/>
          <w:szCs w:val="22"/>
          <w:lang w:val="es-UY"/>
        </w:rPr>
        <w:t>must</w:t>
      </w:r>
      <w:proofErr w:type="spellEnd"/>
      <w:r>
        <w:rPr>
          <w:sz w:val="22"/>
          <w:szCs w:val="22"/>
          <w:lang w:val="es-UY"/>
        </w:rPr>
        <w:t xml:space="preserve"> be </w:t>
      </w:r>
      <w:proofErr w:type="spellStart"/>
      <w:r>
        <w:rPr>
          <w:sz w:val="22"/>
          <w:szCs w:val="22"/>
          <w:lang w:val="es-UY"/>
        </w:rPr>
        <w:t>attached</w:t>
      </w:r>
      <w:proofErr w:type="spellEnd"/>
      <w:r>
        <w:rPr>
          <w:sz w:val="22"/>
          <w:szCs w:val="22"/>
          <w:lang w:val="es-UY"/>
        </w:rPr>
        <w:t xml:space="preserve">. The </w:t>
      </w:r>
      <w:proofErr w:type="spellStart"/>
      <w:r>
        <w:rPr>
          <w:sz w:val="22"/>
          <w:szCs w:val="22"/>
          <w:lang w:val="es-UY"/>
        </w:rPr>
        <w:t>Administration</w:t>
      </w:r>
      <w:proofErr w:type="spellEnd"/>
      <w:r>
        <w:rPr>
          <w:sz w:val="22"/>
          <w:szCs w:val="22"/>
          <w:lang w:val="es-UY"/>
        </w:rPr>
        <w:t xml:space="preserve"> </w:t>
      </w:r>
      <w:proofErr w:type="spellStart"/>
      <w:r>
        <w:rPr>
          <w:sz w:val="22"/>
          <w:szCs w:val="22"/>
          <w:lang w:val="es-UY"/>
        </w:rPr>
        <w:t>will</w:t>
      </w:r>
      <w:proofErr w:type="spellEnd"/>
      <w:r>
        <w:rPr>
          <w:sz w:val="22"/>
          <w:szCs w:val="22"/>
          <w:lang w:val="es-UY"/>
        </w:rPr>
        <w:t xml:space="preserve"> </w:t>
      </w:r>
      <w:proofErr w:type="spellStart"/>
      <w:r>
        <w:rPr>
          <w:sz w:val="22"/>
          <w:szCs w:val="22"/>
          <w:lang w:val="es-UY"/>
        </w:rPr>
        <w:t>select</w:t>
      </w:r>
      <w:proofErr w:type="spellEnd"/>
      <w:r>
        <w:rPr>
          <w:sz w:val="22"/>
          <w:szCs w:val="22"/>
          <w:lang w:val="es-UY"/>
        </w:rPr>
        <w:t xml:space="preserve">, at </w:t>
      </w:r>
      <w:proofErr w:type="spellStart"/>
      <w:r>
        <w:rPr>
          <w:sz w:val="22"/>
          <w:szCs w:val="22"/>
          <w:lang w:val="es-UY"/>
        </w:rPr>
        <w:t>its</w:t>
      </w:r>
      <w:proofErr w:type="spellEnd"/>
      <w:r>
        <w:rPr>
          <w:sz w:val="22"/>
          <w:szCs w:val="22"/>
          <w:lang w:val="es-UY"/>
        </w:rPr>
        <w:t xml:space="preserve"> sole </w:t>
      </w:r>
      <w:proofErr w:type="spellStart"/>
      <w:r>
        <w:rPr>
          <w:sz w:val="22"/>
          <w:szCs w:val="22"/>
          <w:lang w:val="es-UY"/>
        </w:rPr>
        <w:t>discretion</w:t>
      </w:r>
      <w:proofErr w:type="spellEnd"/>
      <w:r>
        <w:rPr>
          <w:sz w:val="22"/>
          <w:szCs w:val="22"/>
          <w:lang w:val="es-UY"/>
        </w:rPr>
        <w:t xml:space="preserve">, </w:t>
      </w:r>
      <w:proofErr w:type="spellStart"/>
      <w:r>
        <w:rPr>
          <w:sz w:val="22"/>
          <w:szCs w:val="22"/>
          <w:lang w:val="es-UY"/>
        </w:rPr>
        <w:t>the</w:t>
      </w:r>
      <w:proofErr w:type="spellEnd"/>
      <w:r>
        <w:rPr>
          <w:sz w:val="22"/>
          <w:szCs w:val="22"/>
          <w:lang w:val="es-UY"/>
        </w:rPr>
        <w:t xml:space="preserve"> </w:t>
      </w:r>
      <w:proofErr w:type="spellStart"/>
      <w:r>
        <w:rPr>
          <w:sz w:val="22"/>
          <w:szCs w:val="22"/>
          <w:lang w:val="es-UY"/>
        </w:rPr>
        <w:t>company</w:t>
      </w:r>
      <w:proofErr w:type="spellEnd"/>
      <w:r>
        <w:rPr>
          <w:sz w:val="22"/>
          <w:szCs w:val="22"/>
          <w:lang w:val="es-UY"/>
        </w:rPr>
        <w:t xml:space="preserve"> </w:t>
      </w:r>
      <w:proofErr w:type="spellStart"/>
      <w:r>
        <w:rPr>
          <w:sz w:val="22"/>
          <w:szCs w:val="22"/>
          <w:lang w:val="es-UY"/>
        </w:rPr>
        <w:t>that</w:t>
      </w:r>
      <w:proofErr w:type="spellEnd"/>
      <w:r>
        <w:rPr>
          <w:sz w:val="22"/>
          <w:szCs w:val="22"/>
          <w:lang w:val="es-UY"/>
        </w:rPr>
        <w:t xml:space="preserve"> </w:t>
      </w:r>
      <w:proofErr w:type="spellStart"/>
      <w:r>
        <w:rPr>
          <w:sz w:val="22"/>
          <w:szCs w:val="22"/>
          <w:lang w:val="es-UY"/>
        </w:rPr>
        <w:t>will</w:t>
      </w:r>
      <w:proofErr w:type="spellEnd"/>
      <w:r>
        <w:rPr>
          <w:sz w:val="22"/>
          <w:szCs w:val="22"/>
          <w:lang w:val="es-UY"/>
        </w:rPr>
        <w:t xml:space="preserve"> </w:t>
      </w:r>
      <w:proofErr w:type="spellStart"/>
      <w:r>
        <w:rPr>
          <w:sz w:val="22"/>
          <w:szCs w:val="22"/>
          <w:lang w:val="es-UY"/>
        </w:rPr>
        <w:t>carry</w:t>
      </w:r>
      <w:proofErr w:type="spellEnd"/>
      <w:r>
        <w:rPr>
          <w:sz w:val="22"/>
          <w:szCs w:val="22"/>
          <w:lang w:val="es-UY"/>
        </w:rPr>
        <w:t xml:space="preserve"> </w:t>
      </w:r>
      <w:proofErr w:type="spellStart"/>
      <w:r>
        <w:rPr>
          <w:sz w:val="22"/>
          <w:szCs w:val="22"/>
          <w:lang w:val="es-UY"/>
        </w:rPr>
        <w:t>out</w:t>
      </w:r>
      <w:proofErr w:type="spellEnd"/>
      <w:r>
        <w:rPr>
          <w:sz w:val="22"/>
          <w:szCs w:val="22"/>
          <w:lang w:val="es-UY"/>
        </w:rPr>
        <w:t xml:space="preserve"> </w:t>
      </w:r>
      <w:proofErr w:type="spellStart"/>
      <w:r>
        <w:rPr>
          <w:sz w:val="22"/>
          <w:szCs w:val="22"/>
          <w:lang w:val="es-UY"/>
        </w:rPr>
        <w:t>these</w:t>
      </w:r>
      <w:proofErr w:type="spellEnd"/>
      <w:r>
        <w:rPr>
          <w:sz w:val="22"/>
          <w:szCs w:val="22"/>
          <w:lang w:val="es-UY"/>
        </w:rPr>
        <w:t xml:space="preserve"> </w:t>
      </w:r>
      <w:proofErr w:type="spellStart"/>
      <w:r>
        <w:rPr>
          <w:sz w:val="22"/>
          <w:szCs w:val="22"/>
          <w:lang w:val="es-UY"/>
        </w:rPr>
        <w:t>controls</w:t>
      </w:r>
      <w:proofErr w:type="spellEnd"/>
      <w:r>
        <w:rPr>
          <w:sz w:val="22"/>
          <w:szCs w:val="22"/>
          <w:lang w:val="es-UY"/>
        </w:rPr>
        <w:t xml:space="preserve">, </w:t>
      </w:r>
      <w:proofErr w:type="spellStart"/>
      <w:r>
        <w:rPr>
          <w:sz w:val="22"/>
          <w:szCs w:val="22"/>
          <w:lang w:val="es-UY"/>
        </w:rPr>
        <w:t>considering</w:t>
      </w:r>
      <w:proofErr w:type="spellEnd"/>
      <w:r>
        <w:rPr>
          <w:sz w:val="22"/>
          <w:szCs w:val="22"/>
          <w:lang w:val="es-UY"/>
        </w:rPr>
        <w:t xml:space="preserve"> </w:t>
      </w:r>
      <w:proofErr w:type="spellStart"/>
      <w:r>
        <w:rPr>
          <w:sz w:val="22"/>
          <w:szCs w:val="22"/>
          <w:lang w:val="es-UY"/>
        </w:rPr>
        <w:t>the</w:t>
      </w:r>
      <w:proofErr w:type="spellEnd"/>
      <w:r>
        <w:rPr>
          <w:sz w:val="22"/>
          <w:szCs w:val="22"/>
          <w:lang w:val="es-UY"/>
        </w:rPr>
        <w:t xml:space="preserve"> </w:t>
      </w:r>
      <w:proofErr w:type="spellStart"/>
      <w:r>
        <w:rPr>
          <w:sz w:val="22"/>
          <w:szCs w:val="22"/>
          <w:lang w:val="es-UY"/>
        </w:rPr>
        <w:t>most</w:t>
      </w:r>
      <w:proofErr w:type="spellEnd"/>
      <w:r>
        <w:rPr>
          <w:sz w:val="22"/>
          <w:szCs w:val="22"/>
          <w:lang w:val="es-UY"/>
        </w:rPr>
        <w:t xml:space="preserve"> </w:t>
      </w:r>
      <w:proofErr w:type="spellStart"/>
      <w:r>
        <w:rPr>
          <w:sz w:val="22"/>
          <w:szCs w:val="22"/>
          <w:lang w:val="es-UY"/>
        </w:rPr>
        <w:t>expensive</w:t>
      </w:r>
      <w:proofErr w:type="spellEnd"/>
      <w:r>
        <w:rPr>
          <w:sz w:val="22"/>
          <w:szCs w:val="22"/>
          <w:lang w:val="es-UY"/>
        </w:rPr>
        <w:t xml:space="preserve"> </w:t>
      </w:r>
      <w:proofErr w:type="spellStart"/>
      <w:r>
        <w:rPr>
          <w:sz w:val="22"/>
          <w:szCs w:val="22"/>
          <w:lang w:val="es-UY"/>
        </w:rPr>
        <w:t>price</w:t>
      </w:r>
      <w:proofErr w:type="spellEnd"/>
      <w:r>
        <w:rPr>
          <w:sz w:val="22"/>
          <w:szCs w:val="22"/>
          <w:lang w:val="es-UY"/>
        </w:rPr>
        <w:t xml:space="preserve"> </w:t>
      </w:r>
      <w:proofErr w:type="spellStart"/>
      <w:r>
        <w:rPr>
          <w:sz w:val="22"/>
          <w:szCs w:val="22"/>
          <w:lang w:val="es-UY"/>
        </w:rPr>
        <w:t>from</w:t>
      </w:r>
      <w:proofErr w:type="spellEnd"/>
      <w:r>
        <w:rPr>
          <w:sz w:val="22"/>
          <w:szCs w:val="22"/>
          <w:lang w:val="es-UY"/>
        </w:rPr>
        <w:t xml:space="preserve"> </w:t>
      </w:r>
      <w:proofErr w:type="spellStart"/>
      <w:r>
        <w:rPr>
          <w:sz w:val="22"/>
          <w:szCs w:val="22"/>
          <w:lang w:val="es-UY"/>
        </w:rPr>
        <w:t>the</w:t>
      </w:r>
      <w:proofErr w:type="spellEnd"/>
      <w:r>
        <w:rPr>
          <w:sz w:val="22"/>
          <w:szCs w:val="22"/>
          <w:lang w:val="es-UY"/>
        </w:rPr>
        <w:t xml:space="preserve"> </w:t>
      </w:r>
      <w:proofErr w:type="spellStart"/>
      <w:r>
        <w:rPr>
          <w:sz w:val="22"/>
          <w:szCs w:val="22"/>
          <w:lang w:val="es-UY"/>
        </w:rPr>
        <w:t>three</w:t>
      </w:r>
      <w:proofErr w:type="spellEnd"/>
      <w:r>
        <w:rPr>
          <w:sz w:val="22"/>
          <w:szCs w:val="22"/>
          <w:lang w:val="es-UY"/>
        </w:rPr>
        <w:t xml:space="preserve"> </w:t>
      </w:r>
      <w:proofErr w:type="spellStart"/>
      <w:r>
        <w:rPr>
          <w:sz w:val="22"/>
          <w:szCs w:val="22"/>
          <w:lang w:val="es-UY"/>
        </w:rPr>
        <w:t>certification</w:t>
      </w:r>
      <w:proofErr w:type="spellEnd"/>
      <w:r>
        <w:rPr>
          <w:sz w:val="22"/>
          <w:szCs w:val="22"/>
          <w:lang w:val="es-UY"/>
        </w:rPr>
        <w:t xml:space="preserve"> </w:t>
      </w:r>
      <w:proofErr w:type="spellStart"/>
      <w:r>
        <w:rPr>
          <w:sz w:val="22"/>
          <w:szCs w:val="22"/>
          <w:lang w:val="es-UY"/>
        </w:rPr>
        <w:t>companies</w:t>
      </w:r>
      <w:proofErr w:type="spellEnd"/>
      <w:r>
        <w:rPr>
          <w:sz w:val="22"/>
          <w:szCs w:val="22"/>
          <w:lang w:val="es-UY"/>
        </w:rPr>
        <w:t xml:space="preserve"> </w:t>
      </w:r>
      <w:proofErr w:type="spellStart"/>
      <w:r>
        <w:rPr>
          <w:sz w:val="22"/>
          <w:szCs w:val="22"/>
          <w:lang w:val="es-UY"/>
        </w:rPr>
        <w:t>for</w:t>
      </w:r>
      <w:proofErr w:type="spellEnd"/>
      <w:r>
        <w:rPr>
          <w:sz w:val="22"/>
          <w:szCs w:val="22"/>
          <w:lang w:val="es-UY"/>
        </w:rPr>
        <w:t xml:space="preserve"> </w:t>
      </w:r>
      <w:proofErr w:type="spellStart"/>
      <w:r>
        <w:rPr>
          <w:sz w:val="22"/>
          <w:szCs w:val="22"/>
          <w:lang w:val="es-UY"/>
        </w:rPr>
        <w:t>comparison</w:t>
      </w:r>
      <w:proofErr w:type="spellEnd"/>
      <w:r>
        <w:rPr>
          <w:sz w:val="22"/>
          <w:szCs w:val="22"/>
          <w:lang w:val="es-UY"/>
        </w:rPr>
        <w:t xml:space="preserve">. Once </w:t>
      </w:r>
      <w:proofErr w:type="spellStart"/>
      <w:r>
        <w:rPr>
          <w:sz w:val="22"/>
          <w:szCs w:val="22"/>
          <w:lang w:val="es-UY"/>
        </w:rPr>
        <w:t>the</w:t>
      </w:r>
      <w:proofErr w:type="spellEnd"/>
      <w:r>
        <w:rPr>
          <w:sz w:val="22"/>
          <w:szCs w:val="22"/>
          <w:lang w:val="es-UY"/>
        </w:rPr>
        <w:t xml:space="preserve"> </w:t>
      </w:r>
      <w:proofErr w:type="spellStart"/>
      <w:r>
        <w:rPr>
          <w:sz w:val="22"/>
          <w:szCs w:val="22"/>
          <w:lang w:val="es-UY"/>
        </w:rPr>
        <w:t>supply</w:t>
      </w:r>
      <w:proofErr w:type="spellEnd"/>
      <w:r>
        <w:rPr>
          <w:sz w:val="22"/>
          <w:szCs w:val="22"/>
          <w:lang w:val="es-UY"/>
        </w:rPr>
        <w:t xml:space="preserve"> </w:t>
      </w:r>
      <w:proofErr w:type="spellStart"/>
      <w:r>
        <w:rPr>
          <w:sz w:val="22"/>
          <w:szCs w:val="22"/>
          <w:lang w:val="es-UY"/>
        </w:rPr>
        <w:t>contract</w:t>
      </w:r>
      <w:proofErr w:type="spellEnd"/>
      <w:r>
        <w:rPr>
          <w:sz w:val="22"/>
          <w:szCs w:val="22"/>
          <w:lang w:val="es-UY"/>
        </w:rPr>
        <w:t xml:space="preserve"> </w:t>
      </w:r>
      <w:proofErr w:type="spellStart"/>
      <w:r>
        <w:rPr>
          <w:sz w:val="22"/>
          <w:szCs w:val="22"/>
          <w:lang w:val="es-UY"/>
        </w:rPr>
        <w:t>is</w:t>
      </w:r>
      <w:proofErr w:type="spellEnd"/>
      <w:r>
        <w:rPr>
          <w:sz w:val="22"/>
          <w:szCs w:val="22"/>
          <w:lang w:val="es-UY"/>
        </w:rPr>
        <w:t xml:space="preserve"> </w:t>
      </w:r>
      <w:proofErr w:type="spellStart"/>
      <w:r>
        <w:rPr>
          <w:sz w:val="22"/>
          <w:szCs w:val="22"/>
          <w:lang w:val="es-UY"/>
        </w:rPr>
        <w:t>awarded</w:t>
      </w:r>
      <w:proofErr w:type="spellEnd"/>
      <w:r>
        <w:rPr>
          <w:sz w:val="22"/>
          <w:szCs w:val="22"/>
          <w:lang w:val="es-UY"/>
        </w:rPr>
        <w:t xml:space="preserve">, </w:t>
      </w:r>
      <w:proofErr w:type="spellStart"/>
      <w:r>
        <w:rPr>
          <w:sz w:val="22"/>
          <w:szCs w:val="22"/>
          <w:lang w:val="es-UY"/>
        </w:rPr>
        <w:t>the</w:t>
      </w:r>
      <w:proofErr w:type="spellEnd"/>
      <w:r>
        <w:rPr>
          <w:sz w:val="22"/>
          <w:szCs w:val="22"/>
          <w:lang w:val="es-UY"/>
        </w:rPr>
        <w:t xml:space="preserve"> </w:t>
      </w:r>
      <w:proofErr w:type="spellStart"/>
      <w:r>
        <w:rPr>
          <w:sz w:val="22"/>
          <w:szCs w:val="22"/>
          <w:lang w:val="es-UY"/>
        </w:rPr>
        <w:t>price</w:t>
      </w:r>
      <w:proofErr w:type="spellEnd"/>
      <w:r>
        <w:rPr>
          <w:sz w:val="22"/>
          <w:szCs w:val="22"/>
          <w:lang w:val="es-UY"/>
        </w:rPr>
        <w:t xml:space="preserve"> </w:t>
      </w:r>
      <w:proofErr w:type="spellStart"/>
      <w:r>
        <w:rPr>
          <w:sz w:val="22"/>
          <w:szCs w:val="22"/>
          <w:lang w:val="es-UY"/>
        </w:rPr>
        <w:t>quoted</w:t>
      </w:r>
      <w:proofErr w:type="spellEnd"/>
      <w:r>
        <w:rPr>
          <w:sz w:val="22"/>
          <w:szCs w:val="22"/>
          <w:lang w:val="es-UY"/>
        </w:rPr>
        <w:t xml:space="preserve"> </w:t>
      </w:r>
      <w:proofErr w:type="spellStart"/>
      <w:r>
        <w:rPr>
          <w:sz w:val="22"/>
          <w:szCs w:val="22"/>
          <w:lang w:val="es-UY"/>
        </w:rPr>
        <w:t>by</w:t>
      </w:r>
      <w:proofErr w:type="spellEnd"/>
      <w:r>
        <w:rPr>
          <w:sz w:val="22"/>
          <w:szCs w:val="22"/>
          <w:lang w:val="es-UY"/>
        </w:rPr>
        <w:t xml:space="preserve"> </w:t>
      </w:r>
      <w:proofErr w:type="spellStart"/>
      <w:r>
        <w:rPr>
          <w:sz w:val="22"/>
          <w:szCs w:val="22"/>
          <w:lang w:val="es-UY"/>
        </w:rPr>
        <w:t>the</w:t>
      </w:r>
      <w:proofErr w:type="spellEnd"/>
      <w:r>
        <w:rPr>
          <w:sz w:val="22"/>
          <w:szCs w:val="22"/>
          <w:lang w:val="es-UY"/>
        </w:rPr>
        <w:t xml:space="preserve"> </w:t>
      </w:r>
      <w:proofErr w:type="spellStart"/>
      <w:r>
        <w:rPr>
          <w:sz w:val="22"/>
          <w:szCs w:val="22"/>
          <w:lang w:val="es-UY"/>
        </w:rPr>
        <w:t>selected</w:t>
      </w:r>
      <w:proofErr w:type="spellEnd"/>
      <w:r>
        <w:rPr>
          <w:sz w:val="22"/>
          <w:szCs w:val="22"/>
          <w:lang w:val="es-UY"/>
        </w:rPr>
        <w:t xml:space="preserve"> </w:t>
      </w:r>
      <w:proofErr w:type="spellStart"/>
      <w:r>
        <w:rPr>
          <w:sz w:val="22"/>
          <w:szCs w:val="22"/>
          <w:lang w:val="es-UY"/>
        </w:rPr>
        <w:t>certification</w:t>
      </w:r>
      <w:proofErr w:type="spellEnd"/>
      <w:r>
        <w:rPr>
          <w:sz w:val="22"/>
          <w:szCs w:val="22"/>
          <w:lang w:val="es-UY"/>
        </w:rPr>
        <w:t xml:space="preserve"> </w:t>
      </w:r>
      <w:proofErr w:type="spellStart"/>
      <w:r>
        <w:rPr>
          <w:sz w:val="22"/>
          <w:szCs w:val="22"/>
          <w:lang w:val="es-UY"/>
        </w:rPr>
        <w:t>company</w:t>
      </w:r>
      <w:proofErr w:type="spellEnd"/>
      <w:r>
        <w:rPr>
          <w:sz w:val="22"/>
          <w:szCs w:val="22"/>
          <w:lang w:val="es-UY"/>
        </w:rPr>
        <w:t xml:space="preserve"> </w:t>
      </w:r>
      <w:proofErr w:type="spellStart"/>
      <w:r>
        <w:rPr>
          <w:sz w:val="22"/>
          <w:szCs w:val="22"/>
          <w:lang w:val="es-UY"/>
        </w:rPr>
        <w:t>will</w:t>
      </w:r>
      <w:proofErr w:type="spellEnd"/>
      <w:r>
        <w:rPr>
          <w:sz w:val="22"/>
          <w:szCs w:val="22"/>
          <w:lang w:val="es-UY"/>
        </w:rPr>
        <w:t xml:space="preserve"> be </w:t>
      </w:r>
      <w:proofErr w:type="spellStart"/>
      <w:r>
        <w:rPr>
          <w:sz w:val="22"/>
          <w:szCs w:val="22"/>
          <w:lang w:val="es-UY"/>
        </w:rPr>
        <w:t>paid</w:t>
      </w:r>
      <w:proofErr w:type="spellEnd"/>
      <w:r>
        <w:rPr>
          <w:sz w:val="22"/>
          <w:szCs w:val="22"/>
          <w:lang w:val="es-UY"/>
        </w:rPr>
        <w:t xml:space="preserve">. The </w:t>
      </w:r>
      <w:proofErr w:type="spellStart"/>
      <w:r>
        <w:rPr>
          <w:sz w:val="22"/>
          <w:szCs w:val="22"/>
          <w:lang w:val="es-UY"/>
        </w:rPr>
        <w:t>costs</w:t>
      </w:r>
      <w:proofErr w:type="spellEnd"/>
      <w:r>
        <w:rPr>
          <w:sz w:val="22"/>
          <w:szCs w:val="22"/>
          <w:lang w:val="es-UY"/>
        </w:rPr>
        <w:t xml:space="preserve"> </w:t>
      </w:r>
      <w:proofErr w:type="spellStart"/>
      <w:r>
        <w:rPr>
          <w:sz w:val="22"/>
          <w:szCs w:val="22"/>
          <w:lang w:val="es-UY"/>
        </w:rPr>
        <w:t>corresponding</w:t>
      </w:r>
      <w:proofErr w:type="spellEnd"/>
      <w:r>
        <w:rPr>
          <w:sz w:val="22"/>
          <w:szCs w:val="22"/>
          <w:lang w:val="es-UY"/>
        </w:rPr>
        <w:t xml:space="preserve"> </w:t>
      </w:r>
      <w:proofErr w:type="spellStart"/>
      <w:r>
        <w:rPr>
          <w:sz w:val="22"/>
          <w:szCs w:val="22"/>
          <w:lang w:val="es-UY"/>
        </w:rPr>
        <w:t>to</w:t>
      </w:r>
      <w:proofErr w:type="spellEnd"/>
      <w:r>
        <w:rPr>
          <w:sz w:val="22"/>
          <w:szCs w:val="22"/>
          <w:lang w:val="es-UY"/>
        </w:rPr>
        <w:t xml:space="preserve"> </w:t>
      </w:r>
      <w:proofErr w:type="spellStart"/>
      <w:r>
        <w:rPr>
          <w:sz w:val="22"/>
          <w:szCs w:val="22"/>
          <w:lang w:val="es-UY"/>
        </w:rPr>
        <w:t>the</w:t>
      </w:r>
      <w:proofErr w:type="spellEnd"/>
      <w:r>
        <w:rPr>
          <w:sz w:val="22"/>
          <w:szCs w:val="22"/>
          <w:lang w:val="es-UY"/>
        </w:rPr>
        <w:t xml:space="preserve"> </w:t>
      </w:r>
      <w:proofErr w:type="spellStart"/>
      <w:r>
        <w:rPr>
          <w:sz w:val="22"/>
          <w:szCs w:val="22"/>
          <w:lang w:val="es-UY"/>
        </w:rPr>
        <w:t>manufacturing</w:t>
      </w:r>
      <w:proofErr w:type="spellEnd"/>
      <w:r>
        <w:rPr>
          <w:sz w:val="22"/>
          <w:szCs w:val="22"/>
          <w:lang w:val="es-UY"/>
        </w:rPr>
        <w:t xml:space="preserve"> and </w:t>
      </w:r>
      <w:proofErr w:type="spellStart"/>
      <w:r>
        <w:rPr>
          <w:sz w:val="22"/>
          <w:szCs w:val="22"/>
          <w:lang w:val="es-UY"/>
        </w:rPr>
        <w:t>acceptance</w:t>
      </w:r>
      <w:proofErr w:type="spellEnd"/>
      <w:r>
        <w:rPr>
          <w:sz w:val="22"/>
          <w:szCs w:val="22"/>
          <w:lang w:val="es-UY"/>
        </w:rPr>
        <w:t xml:space="preserve"> control </w:t>
      </w:r>
      <w:proofErr w:type="spellStart"/>
      <w:r>
        <w:rPr>
          <w:sz w:val="22"/>
          <w:szCs w:val="22"/>
          <w:lang w:val="es-UY"/>
        </w:rPr>
        <w:t>of</w:t>
      </w:r>
      <w:proofErr w:type="spellEnd"/>
      <w:r>
        <w:rPr>
          <w:sz w:val="22"/>
          <w:szCs w:val="22"/>
          <w:lang w:val="es-UY"/>
        </w:rPr>
        <w:t xml:space="preserve"> </w:t>
      </w:r>
      <w:proofErr w:type="spellStart"/>
      <w:r>
        <w:rPr>
          <w:sz w:val="22"/>
          <w:szCs w:val="22"/>
          <w:lang w:val="es-UY"/>
        </w:rPr>
        <w:t>the</w:t>
      </w:r>
      <w:proofErr w:type="spellEnd"/>
      <w:r>
        <w:rPr>
          <w:sz w:val="22"/>
          <w:szCs w:val="22"/>
          <w:lang w:val="es-UY"/>
        </w:rPr>
        <w:t xml:space="preserve"> </w:t>
      </w:r>
      <w:proofErr w:type="spellStart"/>
      <w:r>
        <w:rPr>
          <w:sz w:val="22"/>
          <w:szCs w:val="22"/>
          <w:lang w:val="es-UY"/>
        </w:rPr>
        <w:t>different</w:t>
      </w:r>
      <w:proofErr w:type="spellEnd"/>
      <w:r>
        <w:rPr>
          <w:sz w:val="22"/>
          <w:szCs w:val="22"/>
          <w:lang w:val="es-UY"/>
        </w:rPr>
        <w:t xml:space="preserve"> </w:t>
      </w:r>
      <w:proofErr w:type="spellStart"/>
      <w:r>
        <w:rPr>
          <w:sz w:val="22"/>
          <w:szCs w:val="22"/>
          <w:lang w:val="es-UY"/>
        </w:rPr>
        <w:t>batches</w:t>
      </w:r>
      <w:proofErr w:type="spellEnd"/>
      <w:r>
        <w:rPr>
          <w:sz w:val="22"/>
          <w:szCs w:val="22"/>
          <w:lang w:val="es-UY"/>
        </w:rPr>
        <w:t xml:space="preserve"> </w:t>
      </w:r>
      <w:proofErr w:type="spellStart"/>
      <w:r>
        <w:rPr>
          <w:sz w:val="22"/>
          <w:szCs w:val="22"/>
          <w:lang w:val="es-UY"/>
        </w:rPr>
        <w:t>of</w:t>
      </w:r>
      <w:proofErr w:type="spellEnd"/>
      <w:r>
        <w:rPr>
          <w:sz w:val="22"/>
          <w:szCs w:val="22"/>
          <w:lang w:val="es-UY"/>
        </w:rPr>
        <w:t xml:space="preserve"> </w:t>
      </w:r>
      <w:proofErr w:type="spellStart"/>
      <w:r>
        <w:rPr>
          <w:sz w:val="22"/>
          <w:szCs w:val="22"/>
          <w:lang w:val="es-UY"/>
        </w:rPr>
        <w:t>meters</w:t>
      </w:r>
      <w:proofErr w:type="spellEnd"/>
      <w:r>
        <w:rPr>
          <w:sz w:val="22"/>
          <w:szCs w:val="22"/>
          <w:lang w:val="es-UY"/>
        </w:rPr>
        <w:t xml:space="preserve">, as </w:t>
      </w:r>
      <w:proofErr w:type="spellStart"/>
      <w:r>
        <w:rPr>
          <w:sz w:val="22"/>
          <w:szCs w:val="22"/>
          <w:lang w:val="es-UY"/>
        </w:rPr>
        <w:t>performed</w:t>
      </w:r>
      <w:proofErr w:type="spellEnd"/>
      <w:r>
        <w:rPr>
          <w:sz w:val="22"/>
          <w:szCs w:val="22"/>
          <w:lang w:val="es-UY"/>
        </w:rPr>
        <w:t xml:space="preserve"> </w:t>
      </w:r>
      <w:proofErr w:type="spellStart"/>
      <w:r>
        <w:rPr>
          <w:sz w:val="22"/>
          <w:szCs w:val="22"/>
          <w:lang w:val="es-UY"/>
        </w:rPr>
        <w:t>by</w:t>
      </w:r>
      <w:proofErr w:type="spellEnd"/>
      <w:r>
        <w:rPr>
          <w:sz w:val="22"/>
          <w:szCs w:val="22"/>
          <w:lang w:val="es-UY"/>
        </w:rPr>
        <w:t xml:space="preserve"> </w:t>
      </w:r>
      <w:proofErr w:type="spellStart"/>
      <w:r>
        <w:rPr>
          <w:sz w:val="22"/>
          <w:szCs w:val="22"/>
          <w:lang w:val="es-UY"/>
        </w:rPr>
        <w:t>the</w:t>
      </w:r>
      <w:proofErr w:type="spellEnd"/>
      <w:r>
        <w:rPr>
          <w:sz w:val="22"/>
          <w:szCs w:val="22"/>
          <w:lang w:val="es-UY"/>
        </w:rPr>
        <w:t xml:space="preserve"> </w:t>
      </w:r>
      <w:proofErr w:type="spellStart"/>
      <w:r>
        <w:rPr>
          <w:sz w:val="22"/>
          <w:szCs w:val="22"/>
          <w:lang w:val="es-UY"/>
        </w:rPr>
        <w:t>verification</w:t>
      </w:r>
      <w:proofErr w:type="spellEnd"/>
      <w:r>
        <w:rPr>
          <w:sz w:val="22"/>
          <w:szCs w:val="22"/>
          <w:lang w:val="es-UY"/>
        </w:rPr>
        <w:t xml:space="preserve"> </w:t>
      </w:r>
      <w:proofErr w:type="spellStart"/>
      <w:r>
        <w:rPr>
          <w:sz w:val="22"/>
          <w:szCs w:val="22"/>
          <w:lang w:val="es-UY"/>
        </w:rPr>
        <w:t>agent</w:t>
      </w:r>
      <w:proofErr w:type="spellEnd"/>
      <w:r>
        <w:rPr>
          <w:sz w:val="22"/>
          <w:szCs w:val="22"/>
          <w:lang w:val="es-UY"/>
        </w:rPr>
        <w:t xml:space="preserve">, </w:t>
      </w:r>
      <w:proofErr w:type="spellStart"/>
      <w:r>
        <w:rPr>
          <w:sz w:val="22"/>
          <w:szCs w:val="22"/>
          <w:lang w:val="es-UY"/>
        </w:rPr>
        <w:t>will</w:t>
      </w:r>
      <w:proofErr w:type="spellEnd"/>
      <w:r>
        <w:rPr>
          <w:sz w:val="22"/>
          <w:szCs w:val="22"/>
          <w:lang w:val="es-UY"/>
        </w:rPr>
        <w:t xml:space="preserve"> be </w:t>
      </w:r>
      <w:proofErr w:type="spellStart"/>
      <w:r>
        <w:rPr>
          <w:sz w:val="22"/>
          <w:szCs w:val="22"/>
          <w:lang w:val="es-UY"/>
        </w:rPr>
        <w:t>quoted</w:t>
      </w:r>
      <w:proofErr w:type="spellEnd"/>
      <w:r>
        <w:rPr>
          <w:sz w:val="22"/>
          <w:szCs w:val="22"/>
          <w:lang w:val="es-UY"/>
        </w:rPr>
        <w:t xml:space="preserve"> in </w:t>
      </w:r>
      <w:proofErr w:type="spellStart"/>
      <w:r>
        <w:rPr>
          <w:sz w:val="22"/>
          <w:szCs w:val="22"/>
          <w:lang w:val="es-UY"/>
        </w:rPr>
        <w:t>the</w:t>
      </w:r>
      <w:proofErr w:type="spellEnd"/>
      <w:r>
        <w:rPr>
          <w:sz w:val="22"/>
          <w:szCs w:val="22"/>
          <w:lang w:val="es-UY"/>
        </w:rPr>
        <w:t xml:space="preserve"> "</w:t>
      </w:r>
      <w:proofErr w:type="spellStart"/>
      <w:r>
        <w:rPr>
          <w:sz w:val="22"/>
          <w:szCs w:val="22"/>
          <w:lang w:val="es-UY"/>
        </w:rPr>
        <w:t>Prices</w:t>
      </w:r>
      <w:proofErr w:type="spellEnd"/>
      <w:r>
        <w:rPr>
          <w:sz w:val="22"/>
          <w:szCs w:val="22"/>
          <w:lang w:val="es-UY"/>
        </w:rPr>
        <w:t xml:space="preserve"> </w:t>
      </w:r>
      <w:proofErr w:type="spellStart"/>
      <w:r>
        <w:rPr>
          <w:sz w:val="22"/>
          <w:szCs w:val="22"/>
          <w:lang w:val="es-UY"/>
        </w:rPr>
        <w:t>for</w:t>
      </w:r>
      <w:proofErr w:type="spellEnd"/>
      <w:r>
        <w:rPr>
          <w:sz w:val="22"/>
          <w:szCs w:val="22"/>
          <w:lang w:val="es-UY"/>
        </w:rPr>
        <w:t xml:space="preserve"> </w:t>
      </w:r>
      <w:proofErr w:type="spellStart"/>
      <w:r>
        <w:rPr>
          <w:sz w:val="22"/>
          <w:szCs w:val="22"/>
          <w:lang w:val="es-UY"/>
        </w:rPr>
        <w:t>Related</w:t>
      </w:r>
      <w:proofErr w:type="spellEnd"/>
      <w:r>
        <w:rPr>
          <w:sz w:val="22"/>
          <w:szCs w:val="22"/>
          <w:lang w:val="es-UY"/>
        </w:rPr>
        <w:t xml:space="preserve"> </w:t>
      </w:r>
      <w:proofErr w:type="spellStart"/>
      <w:r>
        <w:rPr>
          <w:sz w:val="22"/>
          <w:szCs w:val="22"/>
          <w:lang w:val="es-UY"/>
        </w:rPr>
        <w:t>Services</w:t>
      </w:r>
      <w:proofErr w:type="spellEnd"/>
      <w:r>
        <w:rPr>
          <w:sz w:val="22"/>
          <w:szCs w:val="22"/>
          <w:lang w:val="es-UY"/>
        </w:rPr>
        <w:t xml:space="preserve">" table in </w:t>
      </w:r>
      <w:proofErr w:type="spellStart"/>
      <w:r>
        <w:rPr>
          <w:sz w:val="22"/>
          <w:szCs w:val="22"/>
          <w:lang w:val="es-UY"/>
        </w:rPr>
        <w:t>Annex</w:t>
      </w:r>
      <w:proofErr w:type="spellEnd"/>
      <w:r>
        <w:rPr>
          <w:sz w:val="22"/>
          <w:szCs w:val="22"/>
          <w:lang w:val="es-UY"/>
        </w:rPr>
        <w:t xml:space="preserve"> V.</w:t>
      </w:r>
    </w:p>
    <w:p w14:paraId="126904B3" w14:textId="77777777" w:rsidR="00E255F4" w:rsidRDefault="00000000">
      <w:pPr>
        <w:pStyle w:val="Textoindependienteprimerasangra2"/>
        <w:tabs>
          <w:tab w:val="left" w:pos="142"/>
          <w:tab w:val="left" w:pos="426"/>
        </w:tabs>
        <w:ind w:left="993" w:hanging="851"/>
        <w:jc w:val="both"/>
        <w:rPr>
          <w:sz w:val="22"/>
          <w:szCs w:val="22"/>
          <w:lang w:val="es-ES"/>
        </w:rPr>
      </w:pPr>
      <w:r>
        <w:rPr>
          <w:sz w:val="22"/>
          <w:szCs w:val="22"/>
          <w:lang w:val="es-ES"/>
        </w:rPr>
        <w:t>7.6.2</w:t>
      </w:r>
      <w:r>
        <w:rPr>
          <w:sz w:val="22"/>
          <w:szCs w:val="22"/>
          <w:lang w:val="es-ES"/>
        </w:rPr>
        <w:tab/>
      </w:r>
      <w:proofErr w:type="spellStart"/>
      <w:r>
        <w:rPr>
          <w:b/>
          <w:sz w:val="22"/>
          <w:szCs w:val="22"/>
          <w:lang w:val="es-MX"/>
        </w:rPr>
        <w:t>Services</w:t>
      </w:r>
      <w:proofErr w:type="spellEnd"/>
      <w:r>
        <w:rPr>
          <w:b/>
          <w:sz w:val="22"/>
          <w:szCs w:val="22"/>
          <w:lang w:val="es-MX"/>
        </w:rPr>
        <w:t xml:space="preserve"> </w:t>
      </w:r>
      <w:proofErr w:type="spellStart"/>
      <w:r>
        <w:rPr>
          <w:b/>
          <w:sz w:val="22"/>
          <w:szCs w:val="22"/>
          <w:lang w:val="es-MX"/>
        </w:rPr>
        <w:t>to</w:t>
      </w:r>
      <w:proofErr w:type="spellEnd"/>
      <w:r>
        <w:rPr>
          <w:b/>
          <w:sz w:val="22"/>
          <w:szCs w:val="22"/>
          <w:lang w:val="es-MX"/>
        </w:rPr>
        <w:t xml:space="preserve"> </w:t>
      </w:r>
      <w:proofErr w:type="spellStart"/>
      <w:r>
        <w:rPr>
          <w:b/>
          <w:sz w:val="22"/>
          <w:szCs w:val="22"/>
          <w:lang w:val="es-MX"/>
        </w:rPr>
        <w:t>facilitate</w:t>
      </w:r>
      <w:proofErr w:type="spellEnd"/>
      <w:r>
        <w:rPr>
          <w:b/>
          <w:sz w:val="22"/>
          <w:szCs w:val="22"/>
          <w:lang w:val="es-MX"/>
        </w:rPr>
        <w:t xml:space="preserve"> </w:t>
      </w:r>
      <w:proofErr w:type="spellStart"/>
      <w:r>
        <w:rPr>
          <w:b/>
          <w:sz w:val="22"/>
          <w:szCs w:val="22"/>
          <w:lang w:val="es-MX"/>
        </w:rPr>
        <w:t>inspection</w:t>
      </w:r>
      <w:proofErr w:type="spellEnd"/>
      <w:r>
        <w:rPr>
          <w:b/>
          <w:sz w:val="22"/>
          <w:szCs w:val="22"/>
          <w:lang w:val="es-MX"/>
        </w:rPr>
        <w:t xml:space="preserve"> </w:t>
      </w:r>
      <w:proofErr w:type="spellStart"/>
      <w:r>
        <w:rPr>
          <w:b/>
          <w:sz w:val="22"/>
          <w:szCs w:val="22"/>
          <w:lang w:val="es-MX"/>
        </w:rPr>
        <w:t>by</w:t>
      </w:r>
      <w:proofErr w:type="spellEnd"/>
      <w:r>
        <w:rPr>
          <w:b/>
          <w:sz w:val="22"/>
          <w:szCs w:val="22"/>
          <w:lang w:val="es-MX"/>
        </w:rPr>
        <w:t xml:space="preserve"> OSE</w:t>
      </w:r>
    </w:p>
    <w:p w14:paraId="61E5FB2D" w14:textId="77777777" w:rsidR="00E255F4" w:rsidRDefault="00000000">
      <w:pPr>
        <w:pStyle w:val="Textoindependienteprimerasangra2"/>
        <w:tabs>
          <w:tab w:val="left" w:pos="0"/>
        </w:tabs>
        <w:ind w:left="993" w:hanging="993"/>
        <w:jc w:val="both"/>
        <w:rPr>
          <w:sz w:val="22"/>
          <w:szCs w:val="22"/>
          <w:lang w:val="es-ES"/>
        </w:rPr>
      </w:pPr>
      <w:r>
        <w:rPr>
          <w:sz w:val="22"/>
          <w:szCs w:val="22"/>
          <w:lang w:val="es-UY"/>
        </w:rPr>
        <w:t xml:space="preserve">                   The </w:t>
      </w:r>
      <w:proofErr w:type="spellStart"/>
      <w:r>
        <w:rPr>
          <w:sz w:val="22"/>
          <w:szCs w:val="22"/>
          <w:lang w:val="es-UY"/>
        </w:rPr>
        <w:t>Administration</w:t>
      </w:r>
      <w:proofErr w:type="spellEnd"/>
      <w:r>
        <w:rPr>
          <w:sz w:val="22"/>
          <w:szCs w:val="22"/>
          <w:lang w:val="es-UY"/>
        </w:rPr>
        <w:t xml:space="preserve"> </w:t>
      </w:r>
      <w:proofErr w:type="spellStart"/>
      <w:r>
        <w:rPr>
          <w:sz w:val="22"/>
          <w:szCs w:val="22"/>
          <w:lang w:val="es-UY"/>
        </w:rPr>
        <w:t>will</w:t>
      </w:r>
      <w:proofErr w:type="spellEnd"/>
      <w:r>
        <w:rPr>
          <w:sz w:val="22"/>
          <w:szCs w:val="22"/>
          <w:lang w:val="es-UY"/>
        </w:rPr>
        <w:t xml:space="preserve"> determine in </w:t>
      </w:r>
      <w:proofErr w:type="spellStart"/>
      <w:r>
        <w:rPr>
          <w:sz w:val="22"/>
          <w:szCs w:val="22"/>
          <w:lang w:val="es-UY"/>
        </w:rPr>
        <w:t>due</w:t>
      </w:r>
      <w:proofErr w:type="spellEnd"/>
      <w:r>
        <w:rPr>
          <w:sz w:val="22"/>
          <w:szCs w:val="22"/>
          <w:lang w:val="es-UY"/>
        </w:rPr>
        <w:t xml:space="preserve"> </w:t>
      </w:r>
      <w:proofErr w:type="spellStart"/>
      <w:r>
        <w:rPr>
          <w:sz w:val="22"/>
          <w:szCs w:val="22"/>
          <w:lang w:val="es-UY"/>
        </w:rPr>
        <w:t>course</w:t>
      </w:r>
      <w:proofErr w:type="spellEnd"/>
      <w:r>
        <w:rPr>
          <w:sz w:val="22"/>
          <w:szCs w:val="22"/>
          <w:lang w:val="es-UY"/>
        </w:rPr>
        <w:t xml:space="preserve"> </w:t>
      </w:r>
      <w:proofErr w:type="spellStart"/>
      <w:r>
        <w:rPr>
          <w:sz w:val="22"/>
          <w:szCs w:val="22"/>
          <w:lang w:val="es-UY"/>
        </w:rPr>
        <w:t>whether</w:t>
      </w:r>
      <w:proofErr w:type="spellEnd"/>
      <w:r>
        <w:rPr>
          <w:sz w:val="22"/>
          <w:szCs w:val="22"/>
          <w:lang w:val="es-UY"/>
        </w:rPr>
        <w:t xml:space="preserve"> </w:t>
      </w:r>
      <w:proofErr w:type="spellStart"/>
      <w:r>
        <w:rPr>
          <w:sz w:val="22"/>
          <w:szCs w:val="22"/>
          <w:lang w:val="es-UY"/>
        </w:rPr>
        <w:t>it</w:t>
      </w:r>
      <w:proofErr w:type="spellEnd"/>
      <w:r>
        <w:rPr>
          <w:sz w:val="22"/>
          <w:szCs w:val="22"/>
          <w:lang w:val="es-UY"/>
        </w:rPr>
        <w:t xml:space="preserve"> </w:t>
      </w:r>
      <w:proofErr w:type="spellStart"/>
      <w:r>
        <w:rPr>
          <w:sz w:val="22"/>
          <w:szCs w:val="22"/>
          <w:lang w:val="es-UY"/>
        </w:rPr>
        <w:t>is</w:t>
      </w:r>
      <w:proofErr w:type="spellEnd"/>
      <w:r>
        <w:rPr>
          <w:sz w:val="22"/>
          <w:szCs w:val="22"/>
          <w:lang w:val="es-UY"/>
        </w:rPr>
        <w:t xml:space="preserve"> </w:t>
      </w:r>
      <w:proofErr w:type="spellStart"/>
      <w:r>
        <w:rPr>
          <w:sz w:val="22"/>
          <w:szCs w:val="22"/>
          <w:lang w:val="es-UY"/>
        </w:rPr>
        <w:t>feasible</w:t>
      </w:r>
      <w:proofErr w:type="spellEnd"/>
      <w:r>
        <w:rPr>
          <w:sz w:val="22"/>
          <w:szCs w:val="22"/>
          <w:lang w:val="es-UY"/>
        </w:rPr>
        <w:t xml:space="preserve"> </w:t>
      </w:r>
      <w:proofErr w:type="spellStart"/>
      <w:r>
        <w:rPr>
          <w:sz w:val="22"/>
          <w:szCs w:val="22"/>
          <w:lang w:val="es-UY"/>
        </w:rPr>
        <w:t>for</w:t>
      </w:r>
      <w:proofErr w:type="spellEnd"/>
      <w:r>
        <w:rPr>
          <w:sz w:val="22"/>
          <w:szCs w:val="22"/>
          <w:lang w:val="es-UY"/>
        </w:rPr>
        <w:t xml:space="preserve"> </w:t>
      </w:r>
      <w:proofErr w:type="spellStart"/>
      <w:r>
        <w:rPr>
          <w:sz w:val="22"/>
          <w:szCs w:val="22"/>
          <w:lang w:val="es-UY"/>
        </w:rPr>
        <w:t>an</w:t>
      </w:r>
      <w:proofErr w:type="spellEnd"/>
      <w:r>
        <w:rPr>
          <w:sz w:val="22"/>
          <w:szCs w:val="22"/>
          <w:lang w:val="es-UY"/>
        </w:rPr>
        <w:t xml:space="preserve"> </w:t>
      </w:r>
      <w:proofErr w:type="spellStart"/>
      <w:r>
        <w:rPr>
          <w:sz w:val="22"/>
          <w:szCs w:val="22"/>
          <w:lang w:val="es-UY"/>
        </w:rPr>
        <w:t>Administration</w:t>
      </w:r>
      <w:proofErr w:type="spellEnd"/>
      <w:r>
        <w:rPr>
          <w:sz w:val="22"/>
          <w:szCs w:val="22"/>
          <w:lang w:val="es-UY"/>
        </w:rPr>
        <w:t xml:space="preserve"> </w:t>
      </w:r>
      <w:proofErr w:type="spellStart"/>
      <w:r>
        <w:rPr>
          <w:sz w:val="22"/>
          <w:szCs w:val="22"/>
          <w:lang w:val="es-UY"/>
        </w:rPr>
        <w:t>technician</w:t>
      </w:r>
      <w:proofErr w:type="spellEnd"/>
      <w:r>
        <w:rPr>
          <w:sz w:val="22"/>
          <w:szCs w:val="22"/>
          <w:lang w:val="es-UY"/>
        </w:rPr>
        <w:t xml:space="preserve"> </w:t>
      </w:r>
      <w:proofErr w:type="spellStart"/>
      <w:r>
        <w:rPr>
          <w:sz w:val="22"/>
          <w:szCs w:val="22"/>
          <w:lang w:val="es-UY"/>
        </w:rPr>
        <w:t>to</w:t>
      </w:r>
      <w:proofErr w:type="spellEnd"/>
      <w:r>
        <w:rPr>
          <w:sz w:val="22"/>
          <w:szCs w:val="22"/>
          <w:lang w:val="es-UY"/>
        </w:rPr>
        <w:t xml:space="preserve"> </w:t>
      </w:r>
      <w:proofErr w:type="spellStart"/>
      <w:r>
        <w:rPr>
          <w:sz w:val="22"/>
          <w:szCs w:val="22"/>
          <w:lang w:val="es-UY"/>
        </w:rPr>
        <w:t>oversee</w:t>
      </w:r>
      <w:proofErr w:type="spellEnd"/>
      <w:r>
        <w:rPr>
          <w:sz w:val="22"/>
          <w:szCs w:val="22"/>
          <w:lang w:val="es-UY"/>
        </w:rPr>
        <w:t xml:space="preserve"> </w:t>
      </w:r>
      <w:proofErr w:type="spellStart"/>
      <w:r>
        <w:rPr>
          <w:sz w:val="22"/>
          <w:szCs w:val="22"/>
          <w:lang w:val="es-UY"/>
        </w:rPr>
        <w:t>the</w:t>
      </w:r>
      <w:proofErr w:type="spellEnd"/>
      <w:r>
        <w:rPr>
          <w:sz w:val="22"/>
          <w:szCs w:val="22"/>
          <w:lang w:val="es-UY"/>
        </w:rPr>
        <w:t xml:space="preserve"> </w:t>
      </w:r>
      <w:proofErr w:type="spellStart"/>
      <w:r>
        <w:rPr>
          <w:sz w:val="22"/>
          <w:szCs w:val="22"/>
          <w:lang w:val="es-UY"/>
        </w:rPr>
        <w:t>receiving</w:t>
      </w:r>
      <w:proofErr w:type="spellEnd"/>
      <w:r>
        <w:rPr>
          <w:sz w:val="22"/>
          <w:szCs w:val="22"/>
          <w:lang w:val="es-UY"/>
        </w:rPr>
        <w:t xml:space="preserve"> </w:t>
      </w:r>
      <w:proofErr w:type="spellStart"/>
      <w:r>
        <w:rPr>
          <w:sz w:val="22"/>
          <w:szCs w:val="22"/>
          <w:lang w:val="es-UY"/>
        </w:rPr>
        <w:t>process</w:t>
      </w:r>
      <w:proofErr w:type="spellEnd"/>
      <w:r>
        <w:rPr>
          <w:sz w:val="22"/>
          <w:szCs w:val="22"/>
          <w:lang w:val="es-UY"/>
        </w:rPr>
        <w:t xml:space="preserve"> </w:t>
      </w:r>
      <w:proofErr w:type="spellStart"/>
      <w:r>
        <w:rPr>
          <w:sz w:val="22"/>
          <w:szCs w:val="22"/>
          <w:lang w:val="es-UY"/>
        </w:rPr>
        <w:t>for</w:t>
      </w:r>
      <w:proofErr w:type="spellEnd"/>
      <w:r>
        <w:rPr>
          <w:sz w:val="22"/>
          <w:szCs w:val="22"/>
          <w:lang w:val="es-UY"/>
        </w:rPr>
        <w:t xml:space="preserve"> </w:t>
      </w:r>
      <w:proofErr w:type="spellStart"/>
      <w:r>
        <w:rPr>
          <w:sz w:val="22"/>
          <w:szCs w:val="22"/>
          <w:lang w:val="es-UY"/>
        </w:rPr>
        <w:t>the</w:t>
      </w:r>
      <w:proofErr w:type="spellEnd"/>
      <w:r>
        <w:rPr>
          <w:sz w:val="22"/>
          <w:szCs w:val="22"/>
          <w:lang w:val="es-UY"/>
        </w:rPr>
        <w:t xml:space="preserve"> </w:t>
      </w:r>
      <w:proofErr w:type="spellStart"/>
      <w:r>
        <w:rPr>
          <w:sz w:val="22"/>
          <w:szCs w:val="22"/>
          <w:lang w:val="es-UY"/>
        </w:rPr>
        <w:t>various</w:t>
      </w:r>
      <w:proofErr w:type="spellEnd"/>
      <w:r>
        <w:rPr>
          <w:sz w:val="22"/>
          <w:szCs w:val="22"/>
          <w:lang w:val="es-UY"/>
        </w:rPr>
        <w:t xml:space="preserve"> </w:t>
      </w:r>
      <w:proofErr w:type="spellStart"/>
      <w:r>
        <w:rPr>
          <w:sz w:val="22"/>
          <w:szCs w:val="22"/>
          <w:lang w:val="es-UY"/>
        </w:rPr>
        <w:t>batches</w:t>
      </w:r>
      <w:proofErr w:type="spellEnd"/>
      <w:r>
        <w:rPr>
          <w:sz w:val="22"/>
          <w:szCs w:val="22"/>
          <w:lang w:val="es-UY"/>
        </w:rPr>
        <w:t xml:space="preserve"> </w:t>
      </w:r>
      <w:proofErr w:type="spellStart"/>
      <w:r>
        <w:rPr>
          <w:sz w:val="22"/>
          <w:szCs w:val="22"/>
          <w:lang w:val="es-UY"/>
        </w:rPr>
        <w:t>of</w:t>
      </w:r>
      <w:proofErr w:type="spellEnd"/>
      <w:r>
        <w:rPr>
          <w:sz w:val="22"/>
          <w:szCs w:val="22"/>
          <w:lang w:val="es-UY"/>
        </w:rPr>
        <w:t xml:space="preserve"> </w:t>
      </w:r>
      <w:proofErr w:type="spellStart"/>
      <w:r>
        <w:rPr>
          <w:sz w:val="22"/>
          <w:szCs w:val="22"/>
          <w:lang w:val="es-UY"/>
        </w:rPr>
        <w:t>meters</w:t>
      </w:r>
      <w:proofErr w:type="spellEnd"/>
      <w:r>
        <w:rPr>
          <w:sz w:val="22"/>
          <w:szCs w:val="22"/>
          <w:lang w:val="es-UY"/>
        </w:rPr>
        <w:t xml:space="preserve"> at </w:t>
      </w:r>
      <w:proofErr w:type="spellStart"/>
      <w:r>
        <w:rPr>
          <w:sz w:val="22"/>
          <w:szCs w:val="22"/>
          <w:lang w:val="es-UY"/>
        </w:rPr>
        <w:t>the</w:t>
      </w:r>
      <w:proofErr w:type="spellEnd"/>
      <w:r>
        <w:rPr>
          <w:sz w:val="22"/>
          <w:szCs w:val="22"/>
          <w:lang w:val="es-UY"/>
        </w:rPr>
        <w:t xml:space="preserve"> </w:t>
      </w:r>
      <w:proofErr w:type="spellStart"/>
      <w:r>
        <w:rPr>
          <w:sz w:val="22"/>
          <w:szCs w:val="22"/>
          <w:lang w:val="es-UY"/>
        </w:rPr>
        <w:t>factory</w:t>
      </w:r>
      <w:proofErr w:type="spellEnd"/>
      <w:r>
        <w:rPr>
          <w:sz w:val="22"/>
          <w:szCs w:val="22"/>
          <w:lang w:val="es-UY"/>
        </w:rPr>
        <w:t xml:space="preserve">. </w:t>
      </w:r>
      <w:proofErr w:type="spellStart"/>
      <w:r>
        <w:rPr>
          <w:sz w:val="22"/>
          <w:szCs w:val="22"/>
          <w:lang w:val="es-UY"/>
        </w:rPr>
        <w:t>If</w:t>
      </w:r>
      <w:proofErr w:type="spellEnd"/>
      <w:r>
        <w:rPr>
          <w:sz w:val="22"/>
          <w:szCs w:val="22"/>
          <w:lang w:val="es-UY"/>
        </w:rPr>
        <w:t xml:space="preserve"> </w:t>
      </w:r>
      <w:proofErr w:type="spellStart"/>
      <w:r>
        <w:rPr>
          <w:sz w:val="22"/>
          <w:szCs w:val="22"/>
          <w:lang w:val="es-UY"/>
        </w:rPr>
        <w:t>this</w:t>
      </w:r>
      <w:proofErr w:type="spellEnd"/>
      <w:r>
        <w:rPr>
          <w:sz w:val="22"/>
          <w:szCs w:val="22"/>
          <w:lang w:val="es-UY"/>
        </w:rPr>
        <w:t xml:space="preserve"> </w:t>
      </w:r>
      <w:proofErr w:type="spellStart"/>
      <w:r>
        <w:rPr>
          <w:sz w:val="22"/>
          <w:szCs w:val="22"/>
          <w:lang w:val="es-UY"/>
        </w:rPr>
        <w:t>is</w:t>
      </w:r>
      <w:proofErr w:type="spellEnd"/>
      <w:r>
        <w:rPr>
          <w:sz w:val="22"/>
          <w:szCs w:val="22"/>
          <w:lang w:val="es-UY"/>
        </w:rPr>
        <w:t xml:space="preserve"> </w:t>
      </w:r>
      <w:proofErr w:type="spellStart"/>
      <w:r>
        <w:rPr>
          <w:sz w:val="22"/>
          <w:szCs w:val="22"/>
          <w:lang w:val="es-UY"/>
        </w:rPr>
        <w:t>possible</w:t>
      </w:r>
      <w:proofErr w:type="spellEnd"/>
      <w:r>
        <w:rPr>
          <w:sz w:val="22"/>
          <w:szCs w:val="22"/>
          <w:lang w:val="es-UY"/>
        </w:rPr>
        <w:t xml:space="preserve">, </w:t>
      </w:r>
      <w:proofErr w:type="spellStart"/>
      <w:r>
        <w:rPr>
          <w:sz w:val="22"/>
          <w:szCs w:val="22"/>
          <w:lang w:val="es-UY"/>
        </w:rPr>
        <w:t>basic</w:t>
      </w:r>
      <w:proofErr w:type="spellEnd"/>
      <w:r>
        <w:rPr>
          <w:sz w:val="22"/>
          <w:szCs w:val="22"/>
          <w:lang w:val="es-UY"/>
        </w:rPr>
        <w:t xml:space="preserve"> </w:t>
      </w:r>
      <w:proofErr w:type="spellStart"/>
      <w:r>
        <w:rPr>
          <w:sz w:val="22"/>
          <w:szCs w:val="22"/>
          <w:lang w:val="es-UY"/>
        </w:rPr>
        <w:t>support</w:t>
      </w:r>
      <w:proofErr w:type="spellEnd"/>
      <w:r>
        <w:rPr>
          <w:sz w:val="22"/>
          <w:szCs w:val="22"/>
          <w:lang w:val="es-UY"/>
        </w:rPr>
        <w:t xml:space="preserve"> </w:t>
      </w:r>
      <w:proofErr w:type="spellStart"/>
      <w:r>
        <w:rPr>
          <w:sz w:val="22"/>
          <w:szCs w:val="22"/>
          <w:lang w:val="es-UY"/>
        </w:rPr>
        <w:t>will</w:t>
      </w:r>
      <w:proofErr w:type="spellEnd"/>
      <w:r>
        <w:rPr>
          <w:sz w:val="22"/>
          <w:szCs w:val="22"/>
          <w:lang w:val="es-UY"/>
        </w:rPr>
        <w:t xml:space="preserve"> be </w:t>
      </w:r>
      <w:proofErr w:type="spellStart"/>
      <w:r>
        <w:rPr>
          <w:sz w:val="22"/>
          <w:szCs w:val="22"/>
          <w:lang w:val="es-UY"/>
        </w:rPr>
        <w:t>requested</w:t>
      </w:r>
      <w:proofErr w:type="spellEnd"/>
      <w:r>
        <w:rPr>
          <w:sz w:val="22"/>
          <w:szCs w:val="22"/>
          <w:lang w:val="es-UY"/>
        </w:rPr>
        <w:t xml:space="preserve"> </w:t>
      </w:r>
      <w:proofErr w:type="spellStart"/>
      <w:r>
        <w:rPr>
          <w:sz w:val="22"/>
          <w:szCs w:val="22"/>
          <w:lang w:val="es-UY"/>
        </w:rPr>
        <w:t>to</w:t>
      </w:r>
      <w:proofErr w:type="spellEnd"/>
      <w:r>
        <w:rPr>
          <w:sz w:val="22"/>
          <w:szCs w:val="22"/>
          <w:lang w:val="es-UY"/>
        </w:rPr>
        <w:t xml:space="preserve"> </w:t>
      </w:r>
      <w:proofErr w:type="spellStart"/>
      <w:r>
        <w:rPr>
          <w:sz w:val="22"/>
          <w:szCs w:val="22"/>
          <w:lang w:val="es-UY"/>
        </w:rPr>
        <w:t>facilitate</w:t>
      </w:r>
      <w:proofErr w:type="spellEnd"/>
      <w:r>
        <w:rPr>
          <w:sz w:val="22"/>
          <w:szCs w:val="22"/>
          <w:lang w:val="es-UY"/>
        </w:rPr>
        <w:t xml:space="preserve"> </w:t>
      </w:r>
      <w:proofErr w:type="spellStart"/>
      <w:r>
        <w:rPr>
          <w:sz w:val="22"/>
          <w:szCs w:val="22"/>
          <w:lang w:val="es-UY"/>
        </w:rPr>
        <w:t>the</w:t>
      </w:r>
      <w:proofErr w:type="spellEnd"/>
      <w:r>
        <w:rPr>
          <w:sz w:val="22"/>
          <w:szCs w:val="22"/>
          <w:lang w:val="es-UY"/>
        </w:rPr>
        <w:t xml:space="preserve"> </w:t>
      </w:r>
      <w:proofErr w:type="spellStart"/>
      <w:r>
        <w:rPr>
          <w:sz w:val="22"/>
          <w:szCs w:val="22"/>
          <w:lang w:val="es-UY"/>
        </w:rPr>
        <w:t>technician's</w:t>
      </w:r>
      <w:proofErr w:type="spellEnd"/>
      <w:r>
        <w:rPr>
          <w:sz w:val="22"/>
          <w:szCs w:val="22"/>
          <w:lang w:val="es-UY"/>
        </w:rPr>
        <w:t xml:space="preserve"> </w:t>
      </w:r>
      <w:proofErr w:type="spellStart"/>
      <w:r>
        <w:rPr>
          <w:sz w:val="22"/>
          <w:szCs w:val="22"/>
          <w:lang w:val="es-UY"/>
        </w:rPr>
        <w:t>work</w:t>
      </w:r>
      <w:proofErr w:type="spellEnd"/>
      <w:r>
        <w:rPr>
          <w:sz w:val="22"/>
          <w:szCs w:val="22"/>
          <w:lang w:val="es-UY"/>
        </w:rPr>
        <w:t xml:space="preserve">, </w:t>
      </w:r>
      <w:proofErr w:type="spellStart"/>
      <w:r>
        <w:rPr>
          <w:sz w:val="22"/>
          <w:szCs w:val="22"/>
          <w:lang w:val="es-UY"/>
        </w:rPr>
        <w:t>including</w:t>
      </w:r>
      <w:proofErr w:type="spellEnd"/>
      <w:r>
        <w:rPr>
          <w:sz w:val="22"/>
          <w:szCs w:val="22"/>
          <w:lang w:val="es-UY"/>
        </w:rPr>
        <w:t xml:space="preserve">: </w:t>
      </w:r>
      <w:proofErr w:type="spellStart"/>
      <w:r>
        <w:rPr>
          <w:sz w:val="22"/>
          <w:szCs w:val="22"/>
          <w:lang w:val="es-UY"/>
        </w:rPr>
        <w:t>transportation</w:t>
      </w:r>
      <w:proofErr w:type="spellEnd"/>
      <w:r>
        <w:rPr>
          <w:sz w:val="22"/>
          <w:szCs w:val="22"/>
          <w:lang w:val="es-UY"/>
        </w:rPr>
        <w:t xml:space="preserve"> </w:t>
      </w:r>
      <w:proofErr w:type="spellStart"/>
      <w:r>
        <w:rPr>
          <w:sz w:val="22"/>
          <w:szCs w:val="22"/>
          <w:lang w:val="es-UY"/>
        </w:rPr>
        <w:t>between</w:t>
      </w:r>
      <w:proofErr w:type="spellEnd"/>
      <w:r>
        <w:rPr>
          <w:sz w:val="22"/>
          <w:szCs w:val="22"/>
          <w:lang w:val="es-UY"/>
        </w:rPr>
        <w:t xml:space="preserve"> </w:t>
      </w:r>
      <w:proofErr w:type="spellStart"/>
      <w:r>
        <w:rPr>
          <w:sz w:val="22"/>
          <w:szCs w:val="22"/>
          <w:lang w:val="es-UY"/>
        </w:rPr>
        <w:t>the</w:t>
      </w:r>
      <w:proofErr w:type="spellEnd"/>
      <w:r>
        <w:rPr>
          <w:sz w:val="22"/>
          <w:szCs w:val="22"/>
          <w:lang w:val="es-UY"/>
        </w:rPr>
        <w:t xml:space="preserve"> hotel and </w:t>
      </w:r>
      <w:proofErr w:type="spellStart"/>
      <w:r>
        <w:rPr>
          <w:sz w:val="22"/>
          <w:szCs w:val="22"/>
          <w:lang w:val="es-UY"/>
        </w:rPr>
        <w:t>the</w:t>
      </w:r>
      <w:proofErr w:type="spellEnd"/>
      <w:r>
        <w:rPr>
          <w:sz w:val="22"/>
          <w:szCs w:val="22"/>
          <w:lang w:val="es-UY"/>
        </w:rPr>
        <w:t xml:space="preserve"> </w:t>
      </w:r>
      <w:proofErr w:type="spellStart"/>
      <w:r>
        <w:rPr>
          <w:sz w:val="22"/>
          <w:szCs w:val="22"/>
          <w:lang w:val="es-UY"/>
        </w:rPr>
        <w:t>factory</w:t>
      </w:r>
      <w:proofErr w:type="spellEnd"/>
      <w:r>
        <w:rPr>
          <w:sz w:val="22"/>
          <w:szCs w:val="22"/>
          <w:lang w:val="es-UY"/>
        </w:rPr>
        <w:t>, a Spanish-</w:t>
      </w:r>
      <w:proofErr w:type="spellStart"/>
      <w:r>
        <w:rPr>
          <w:sz w:val="22"/>
          <w:szCs w:val="22"/>
          <w:lang w:val="es-UY"/>
        </w:rPr>
        <w:t>language</w:t>
      </w:r>
      <w:proofErr w:type="spellEnd"/>
      <w:r>
        <w:rPr>
          <w:sz w:val="22"/>
          <w:szCs w:val="22"/>
          <w:lang w:val="es-UY"/>
        </w:rPr>
        <w:t xml:space="preserve"> </w:t>
      </w:r>
      <w:proofErr w:type="spellStart"/>
      <w:r>
        <w:rPr>
          <w:sz w:val="22"/>
          <w:szCs w:val="22"/>
          <w:lang w:val="es-UY"/>
        </w:rPr>
        <w:t>translator</w:t>
      </w:r>
      <w:proofErr w:type="spellEnd"/>
      <w:r>
        <w:rPr>
          <w:sz w:val="22"/>
          <w:szCs w:val="22"/>
          <w:lang w:val="es-UY"/>
        </w:rPr>
        <w:t xml:space="preserve"> (</w:t>
      </w:r>
      <w:proofErr w:type="spellStart"/>
      <w:r>
        <w:rPr>
          <w:sz w:val="22"/>
          <w:szCs w:val="22"/>
          <w:lang w:val="es-UY"/>
        </w:rPr>
        <w:t>for</w:t>
      </w:r>
      <w:proofErr w:type="spellEnd"/>
      <w:r>
        <w:rPr>
          <w:sz w:val="22"/>
          <w:szCs w:val="22"/>
          <w:lang w:val="es-UY"/>
        </w:rPr>
        <w:t xml:space="preserve"> </w:t>
      </w:r>
      <w:proofErr w:type="spellStart"/>
      <w:r>
        <w:rPr>
          <w:sz w:val="22"/>
          <w:szCs w:val="22"/>
          <w:lang w:val="es-UY"/>
        </w:rPr>
        <w:t>the</w:t>
      </w:r>
      <w:proofErr w:type="spellEnd"/>
      <w:r>
        <w:rPr>
          <w:sz w:val="22"/>
          <w:szCs w:val="22"/>
          <w:lang w:val="es-UY"/>
        </w:rPr>
        <w:t xml:space="preserve"> </w:t>
      </w:r>
      <w:proofErr w:type="spellStart"/>
      <w:r>
        <w:rPr>
          <w:sz w:val="22"/>
          <w:szCs w:val="22"/>
          <w:lang w:val="es-UY"/>
        </w:rPr>
        <w:t>language</w:t>
      </w:r>
      <w:proofErr w:type="spellEnd"/>
      <w:r>
        <w:rPr>
          <w:sz w:val="22"/>
          <w:szCs w:val="22"/>
          <w:lang w:val="es-UY"/>
        </w:rPr>
        <w:t xml:space="preserve"> </w:t>
      </w:r>
      <w:proofErr w:type="spellStart"/>
      <w:r>
        <w:rPr>
          <w:sz w:val="22"/>
          <w:szCs w:val="22"/>
          <w:lang w:val="es-UY"/>
        </w:rPr>
        <w:t>of</w:t>
      </w:r>
      <w:proofErr w:type="spellEnd"/>
      <w:r>
        <w:rPr>
          <w:sz w:val="22"/>
          <w:szCs w:val="22"/>
          <w:lang w:val="es-UY"/>
        </w:rPr>
        <w:t xml:space="preserve"> </w:t>
      </w:r>
      <w:proofErr w:type="spellStart"/>
      <w:r>
        <w:rPr>
          <w:sz w:val="22"/>
          <w:szCs w:val="22"/>
          <w:lang w:val="es-UY"/>
        </w:rPr>
        <w:t>the</w:t>
      </w:r>
      <w:proofErr w:type="spellEnd"/>
      <w:r>
        <w:rPr>
          <w:sz w:val="22"/>
          <w:szCs w:val="22"/>
          <w:lang w:val="es-UY"/>
        </w:rPr>
        <w:t xml:space="preserve"> country </w:t>
      </w:r>
      <w:proofErr w:type="spellStart"/>
      <w:r>
        <w:rPr>
          <w:sz w:val="22"/>
          <w:szCs w:val="22"/>
          <w:lang w:val="es-UY"/>
        </w:rPr>
        <w:t>of</w:t>
      </w:r>
      <w:proofErr w:type="spellEnd"/>
      <w:r>
        <w:rPr>
          <w:sz w:val="22"/>
          <w:szCs w:val="22"/>
          <w:lang w:val="es-UY"/>
        </w:rPr>
        <w:t xml:space="preserve"> manufacture), and </w:t>
      </w:r>
      <w:proofErr w:type="spellStart"/>
      <w:r>
        <w:rPr>
          <w:sz w:val="22"/>
          <w:szCs w:val="22"/>
          <w:lang w:val="es-UY"/>
        </w:rPr>
        <w:t>any</w:t>
      </w:r>
      <w:proofErr w:type="spellEnd"/>
      <w:r>
        <w:rPr>
          <w:sz w:val="22"/>
          <w:szCs w:val="22"/>
          <w:lang w:val="es-UY"/>
        </w:rPr>
        <w:t xml:space="preserve"> </w:t>
      </w:r>
      <w:proofErr w:type="spellStart"/>
      <w:r>
        <w:rPr>
          <w:sz w:val="22"/>
          <w:szCs w:val="22"/>
          <w:lang w:val="es-UY"/>
        </w:rPr>
        <w:t>other</w:t>
      </w:r>
      <w:proofErr w:type="spellEnd"/>
      <w:r>
        <w:rPr>
          <w:sz w:val="22"/>
          <w:szCs w:val="22"/>
          <w:lang w:val="es-UY"/>
        </w:rPr>
        <w:t xml:space="preserve"> </w:t>
      </w:r>
      <w:proofErr w:type="spellStart"/>
      <w:r>
        <w:rPr>
          <w:sz w:val="22"/>
          <w:szCs w:val="22"/>
          <w:lang w:val="es-UY"/>
        </w:rPr>
        <w:t>assistance</w:t>
      </w:r>
      <w:proofErr w:type="spellEnd"/>
      <w:r>
        <w:rPr>
          <w:sz w:val="22"/>
          <w:szCs w:val="22"/>
          <w:lang w:val="es-UY"/>
        </w:rPr>
        <w:t xml:space="preserve"> </w:t>
      </w:r>
      <w:proofErr w:type="spellStart"/>
      <w:r>
        <w:rPr>
          <w:sz w:val="22"/>
          <w:szCs w:val="22"/>
          <w:lang w:val="es-UY"/>
        </w:rPr>
        <w:t>deemed</w:t>
      </w:r>
      <w:proofErr w:type="spellEnd"/>
      <w:r>
        <w:rPr>
          <w:sz w:val="22"/>
          <w:szCs w:val="22"/>
          <w:lang w:val="es-UY"/>
        </w:rPr>
        <w:t xml:space="preserve"> </w:t>
      </w:r>
      <w:proofErr w:type="spellStart"/>
      <w:r>
        <w:rPr>
          <w:sz w:val="22"/>
          <w:szCs w:val="22"/>
          <w:lang w:val="es-UY"/>
        </w:rPr>
        <w:t>necessary</w:t>
      </w:r>
      <w:proofErr w:type="spellEnd"/>
      <w:r>
        <w:rPr>
          <w:sz w:val="22"/>
          <w:szCs w:val="22"/>
          <w:lang w:val="es-UY"/>
        </w:rPr>
        <w:t xml:space="preserve"> </w:t>
      </w:r>
      <w:proofErr w:type="spellStart"/>
      <w:r>
        <w:rPr>
          <w:sz w:val="22"/>
          <w:szCs w:val="22"/>
          <w:lang w:val="es-UY"/>
        </w:rPr>
        <w:t>for</w:t>
      </w:r>
      <w:proofErr w:type="spellEnd"/>
      <w:r>
        <w:rPr>
          <w:sz w:val="22"/>
          <w:szCs w:val="22"/>
          <w:lang w:val="es-UY"/>
        </w:rPr>
        <w:t xml:space="preserve"> </w:t>
      </w:r>
      <w:proofErr w:type="spellStart"/>
      <w:r>
        <w:rPr>
          <w:sz w:val="22"/>
          <w:szCs w:val="22"/>
          <w:lang w:val="es-UY"/>
        </w:rPr>
        <w:t>the</w:t>
      </w:r>
      <w:proofErr w:type="spellEnd"/>
      <w:r>
        <w:rPr>
          <w:sz w:val="22"/>
          <w:szCs w:val="22"/>
          <w:lang w:val="es-UY"/>
        </w:rPr>
        <w:t xml:space="preserve"> </w:t>
      </w:r>
      <w:proofErr w:type="spellStart"/>
      <w:r>
        <w:rPr>
          <w:sz w:val="22"/>
          <w:szCs w:val="22"/>
          <w:lang w:val="es-UY"/>
        </w:rPr>
        <w:t>technician</w:t>
      </w:r>
      <w:proofErr w:type="spellEnd"/>
      <w:r>
        <w:rPr>
          <w:sz w:val="22"/>
          <w:szCs w:val="22"/>
          <w:lang w:val="es-UY"/>
        </w:rPr>
        <w:t xml:space="preserve"> </w:t>
      </w:r>
      <w:proofErr w:type="spellStart"/>
      <w:r>
        <w:rPr>
          <w:sz w:val="22"/>
          <w:szCs w:val="22"/>
          <w:lang w:val="es-UY"/>
        </w:rPr>
        <w:t>to</w:t>
      </w:r>
      <w:proofErr w:type="spellEnd"/>
      <w:r>
        <w:rPr>
          <w:sz w:val="22"/>
          <w:szCs w:val="22"/>
          <w:lang w:val="es-UY"/>
        </w:rPr>
        <w:t xml:space="preserve"> </w:t>
      </w:r>
      <w:proofErr w:type="spellStart"/>
      <w:r>
        <w:rPr>
          <w:sz w:val="22"/>
          <w:szCs w:val="22"/>
          <w:lang w:val="es-UY"/>
        </w:rPr>
        <w:t>perform</w:t>
      </w:r>
      <w:proofErr w:type="spellEnd"/>
      <w:r>
        <w:rPr>
          <w:sz w:val="22"/>
          <w:szCs w:val="22"/>
          <w:lang w:val="es-UY"/>
        </w:rPr>
        <w:t xml:space="preserve"> </w:t>
      </w:r>
      <w:proofErr w:type="spellStart"/>
      <w:r>
        <w:rPr>
          <w:sz w:val="22"/>
          <w:szCs w:val="22"/>
          <w:lang w:val="es-UY"/>
        </w:rPr>
        <w:t>their</w:t>
      </w:r>
      <w:proofErr w:type="spellEnd"/>
      <w:r>
        <w:rPr>
          <w:sz w:val="22"/>
          <w:szCs w:val="22"/>
          <w:lang w:val="es-UY"/>
        </w:rPr>
        <w:t xml:space="preserve"> </w:t>
      </w:r>
      <w:proofErr w:type="spellStart"/>
      <w:r>
        <w:rPr>
          <w:sz w:val="22"/>
          <w:szCs w:val="22"/>
          <w:lang w:val="es-UY"/>
        </w:rPr>
        <w:t>duties</w:t>
      </w:r>
      <w:proofErr w:type="spellEnd"/>
      <w:r>
        <w:rPr>
          <w:sz w:val="22"/>
          <w:szCs w:val="22"/>
          <w:lang w:val="es-UY"/>
        </w:rPr>
        <w:t xml:space="preserve"> </w:t>
      </w:r>
      <w:proofErr w:type="spellStart"/>
      <w:r>
        <w:rPr>
          <w:sz w:val="22"/>
          <w:szCs w:val="22"/>
          <w:lang w:val="es-UY"/>
        </w:rPr>
        <w:t>during</w:t>
      </w:r>
      <w:proofErr w:type="spellEnd"/>
      <w:r>
        <w:rPr>
          <w:sz w:val="22"/>
          <w:szCs w:val="22"/>
          <w:lang w:val="es-UY"/>
        </w:rPr>
        <w:t xml:space="preserve"> </w:t>
      </w:r>
      <w:proofErr w:type="spellStart"/>
      <w:r>
        <w:rPr>
          <w:sz w:val="22"/>
          <w:szCs w:val="22"/>
          <w:lang w:val="es-UY"/>
        </w:rPr>
        <w:t>their</w:t>
      </w:r>
      <w:proofErr w:type="spellEnd"/>
      <w:r>
        <w:rPr>
          <w:sz w:val="22"/>
          <w:szCs w:val="22"/>
          <w:lang w:val="es-UY"/>
        </w:rPr>
        <w:t xml:space="preserve"> </w:t>
      </w:r>
      <w:proofErr w:type="spellStart"/>
      <w:r>
        <w:rPr>
          <w:sz w:val="22"/>
          <w:szCs w:val="22"/>
          <w:lang w:val="es-UY"/>
        </w:rPr>
        <w:t>stay.</w:t>
      </w:r>
      <w:r>
        <w:rPr>
          <w:color w:val="000000"/>
          <w:sz w:val="22"/>
          <w:szCs w:val="22"/>
          <w:lang w:val="es-UY"/>
        </w:rPr>
        <w:t>The</w:t>
      </w:r>
      <w:proofErr w:type="spellEnd"/>
      <w:r>
        <w:rPr>
          <w:color w:val="000000"/>
          <w:sz w:val="22"/>
          <w:szCs w:val="22"/>
          <w:lang w:val="es-UY"/>
        </w:rPr>
        <w:t xml:space="preserve"> </w:t>
      </w:r>
      <w:proofErr w:type="spellStart"/>
      <w:r>
        <w:rPr>
          <w:color w:val="000000"/>
          <w:sz w:val="22"/>
          <w:szCs w:val="22"/>
          <w:lang w:val="es-UY"/>
        </w:rPr>
        <w:t>costs</w:t>
      </w:r>
      <w:proofErr w:type="spellEnd"/>
      <w:r>
        <w:rPr>
          <w:color w:val="000000"/>
          <w:sz w:val="22"/>
          <w:szCs w:val="22"/>
          <w:lang w:val="es-UY"/>
        </w:rPr>
        <w:t xml:space="preserve"> </w:t>
      </w:r>
      <w:proofErr w:type="spellStart"/>
      <w:r>
        <w:rPr>
          <w:color w:val="000000"/>
          <w:sz w:val="22"/>
          <w:szCs w:val="22"/>
          <w:lang w:val="es-UY"/>
        </w:rPr>
        <w:t>related</w:t>
      </w:r>
      <w:proofErr w:type="spellEnd"/>
      <w:r>
        <w:rPr>
          <w:color w:val="000000"/>
          <w:sz w:val="22"/>
          <w:szCs w:val="22"/>
          <w:lang w:val="es-UY"/>
        </w:rPr>
        <w:t xml:space="preserve"> </w:t>
      </w:r>
      <w:proofErr w:type="spellStart"/>
      <w:r>
        <w:rPr>
          <w:color w:val="000000"/>
          <w:sz w:val="22"/>
          <w:szCs w:val="22"/>
          <w:lang w:val="es-UY"/>
        </w:rPr>
        <w:t>to</w:t>
      </w:r>
      <w:proofErr w:type="spellEnd"/>
      <w:r>
        <w:rPr>
          <w:color w:val="000000"/>
          <w:sz w:val="22"/>
          <w:szCs w:val="22"/>
          <w:lang w:val="es-UY"/>
        </w:rPr>
        <w:t xml:space="preserve"> </w:t>
      </w:r>
      <w:proofErr w:type="spellStart"/>
      <w:r>
        <w:rPr>
          <w:color w:val="000000"/>
          <w:sz w:val="22"/>
          <w:szCs w:val="22"/>
          <w:lang w:val="es-UY"/>
        </w:rPr>
        <w:t>travel</w:t>
      </w:r>
      <w:proofErr w:type="spellEnd"/>
      <w:r>
        <w:rPr>
          <w:color w:val="000000"/>
          <w:sz w:val="22"/>
          <w:szCs w:val="22"/>
          <w:lang w:val="es-UY"/>
        </w:rPr>
        <w:t xml:space="preserve">, </w:t>
      </w:r>
      <w:proofErr w:type="spellStart"/>
      <w:r>
        <w:rPr>
          <w:color w:val="000000"/>
          <w:sz w:val="22"/>
          <w:szCs w:val="22"/>
          <w:lang w:val="es-UY"/>
        </w:rPr>
        <w:t>the</w:t>
      </w:r>
      <w:proofErr w:type="spellEnd"/>
      <w:r>
        <w:rPr>
          <w:color w:val="000000"/>
          <w:sz w:val="22"/>
          <w:szCs w:val="22"/>
          <w:lang w:val="es-UY"/>
        </w:rPr>
        <w:t xml:space="preserve"> </w:t>
      </w:r>
      <w:proofErr w:type="spellStart"/>
      <w:r>
        <w:rPr>
          <w:color w:val="000000"/>
          <w:sz w:val="22"/>
          <w:szCs w:val="22"/>
          <w:lang w:val="es-UY"/>
        </w:rPr>
        <w:t>technician's</w:t>
      </w:r>
      <w:proofErr w:type="spellEnd"/>
      <w:r>
        <w:rPr>
          <w:color w:val="000000"/>
          <w:sz w:val="22"/>
          <w:szCs w:val="22"/>
          <w:lang w:val="es-UY"/>
        </w:rPr>
        <w:t xml:space="preserve"> </w:t>
      </w:r>
      <w:proofErr w:type="spellStart"/>
      <w:r>
        <w:rPr>
          <w:color w:val="000000"/>
          <w:sz w:val="22"/>
          <w:szCs w:val="22"/>
          <w:lang w:val="es-UY"/>
        </w:rPr>
        <w:t>accommodation</w:t>
      </w:r>
      <w:proofErr w:type="spellEnd"/>
      <w:r>
        <w:rPr>
          <w:color w:val="000000"/>
          <w:sz w:val="22"/>
          <w:szCs w:val="22"/>
          <w:lang w:val="es-UY"/>
        </w:rPr>
        <w:t xml:space="preserve">, and </w:t>
      </w:r>
      <w:proofErr w:type="spellStart"/>
      <w:r>
        <w:rPr>
          <w:color w:val="000000"/>
          <w:sz w:val="22"/>
          <w:szCs w:val="22"/>
          <w:lang w:val="es-UY"/>
        </w:rPr>
        <w:t>any</w:t>
      </w:r>
      <w:proofErr w:type="spellEnd"/>
      <w:r>
        <w:rPr>
          <w:color w:val="000000"/>
          <w:sz w:val="22"/>
          <w:szCs w:val="22"/>
          <w:lang w:val="es-UY"/>
        </w:rPr>
        <w:t xml:space="preserve"> </w:t>
      </w:r>
      <w:proofErr w:type="spellStart"/>
      <w:r>
        <w:rPr>
          <w:color w:val="000000"/>
          <w:sz w:val="22"/>
          <w:szCs w:val="22"/>
          <w:lang w:val="es-UY"/>
        </w:rPr>
        <w:t>other</w:t>
      </w:r>
      <w:proofErr w:type="spellEnd"/>
      <w:r>
        <w:rPr>
          <w:color w:val="000000"/>
          <w:sz w:val="22"/>
          <w:szCs w:val="22"/>
          <w:lang w:val="es-UY"/>
        </w:rPr>
        <w:t xml:space="preserve"> expenses </w:t>
      </w:r>
      <w:proofErr w:type="spellStart"/>
      <w:r>
        <w:rPr>
          <w:color w:val="000000"/>
          <w:sz w:val="22"/>
          <w:szCs w:val="22"/>
          <w:lang w:val="es-UY"/>
        </w:rPr>
        <w:t>deemed</w:t>
      </w:r>
      <w:proofErr w:type="spellEnd"/>
      <w:r>
        <w:rPr>
          <w:color w:val="000000"/>
          <w:sz w:val="22"/>
          <w:szCs w:val="22"/>
          <w:lang w:val="es-UY"/>
        </w:rPr>
        <w:t xml:space="preserve"> </w:t>
      </w:r>
      <w:proofErr w:type="spellStart"/>
      <w:r>
        <w:rPr>
          <w:color w:val="000000"/>
          <w:sz w:val="22"/>
          <w:szCs w:val="22"/>
          <w:lang w:val="es-UY"/>
        </w:rPr>
        <w:t>applicable</w:t>
      </w:r>
      <w:proofErr w:type="spellEnd"/>
      <w:r>
        <w:rPr>
          <w:color w:val="000000"/>
          <w:sz w:val="22"/>
          <w:szCs w:val="22"/>
          <w:lang w:val="es-UY"/>
        </w:rPr>
        <w:t xml:space="preserve"> </w:t>
      </w:r>
      <w:proofErr w:type="spellStart"/>
      <w:r>
        <w:rPr>
          <w:color w:val="000000"/>
          <w:sz w:val="22"/>
          <w:szCs w:val="22"/>
          <w:lang w:val="es-UY"/>
        </w:rPr>
        <w:t>will</w:t>
      </w:r>
      <w:proofErr w:type="spellEnd"/>
      <w:r>
        <w:rPr>
          <w:color w:val="000000"/>
          <w:sz w:val="22"/>
          <w:szCs w:val="22"/>
          <w:lang w:val="es-UY"/>
        </w:rPr>
        <w:t xml:space="preserve"> be </w:t>
      </w:r>
      <w:proofErr w:type="spellStart"/>
      <w:r>
        <w:rPr>
          <w:color w:val="000000"/>
          <w:sz w:val="22"/>
          <w:szCs w:val="22"/>
          <w:lang w:val="es-UY"/>
        </w:rPr>
        <w:t>quoted</w:t>
      </w:r>
      <w:proofErr w:type="spellEnd"/>
      <w:r>
        <w:rPr>
          <w:color w:val="000000"/>
          <w:sz w:val="22"/>
          <w:szCs w:val="22"/>
          <w:lang w:val="es-UY"/>
        </w:rPr>
        <w:t xml:space="preserve"> in </w:t>
      </w:r>
      <w:proofErr w:type="spellStart"/>
      <w:r>
        <w:rPr>
          <w:color w:val="000000"/>
          <w:sz w:val="22"/>
          <w:szCs w:val="22"/>
          <w:lang w:val="es-UY"/>
        </w:rPr>
        <w:t>the</w:t>
      </w:r>
      <w:r>
        <w:rPr>
          <w:sz w:val="22"/>
          <w:szCs w:val="22"/>
          <w:lang w:val="es-UY"/>
        </w:rPr>
        <w:t>in</w:t>
      </w:r>
      <w:proofErr w:type="spellEnd"/>
      <w:r>
        <w:rPr>
          <w:sz w:val="22"/>
          <w:szCs w:val="22"/>
          <w:lang w:val="es-UY"/>
        </w:rPr>
        <w:t xml:space="preserve"> </w:t>
      </w:r>
      <w:proofErr w:type="spellStart"/>
      <w:r>
        <w:rPr>
          <w:sz w:val="22"/>
          <w:szCs w:val="22"/>
          <w:lang w:val="es-UY"/>
        </w:rPr>
        <w:t>the</w:t>
      </w:r>
      <w:proofErr w:type="spellEnd"/>
      <w:r>
        <w:rPr>
          <w:sz w:val="22"/>
          <w:szCs w:val="22"/>
          <w:lang w:val="es-UY"/>
        </w:rPr>
        <w:t xml:space="preserve"> "</w:t>
      </w:r>
      <w:proofErr w:type="spellStart"/>
      <w:r>
        <w:rPr>
          <w:sz w:val="22"/>
          <w:szCs w:val="22"/>
          <w:lang w:val="es-UY"/>
        </w:rPr>
        <w:t>Prices</w:t>
      </w:r>
      <w:proofErr w:type="spellEnd"/>
      <w:r>
        <w:rPr>
          <w:sz w:val="22"/>
          <w:szCs w:val="22"/>
          <w:lang w:val="es-UY"/>
        </w:rPr>
        <w:t xml:space="preserve"> </w:t>
      </w:r>
      <w:proofErr w:type="spellStart"/>
      <w:r>
        <w:rPr>
          <w:sz w:val="22"/>
          <w:szCs w:val="22"/>
          <w:lang w:val="es-UY"/>
        </w:rPr>
        <w:lastRenderedPageBreak/>
        <w:t>for</w:t>
      </w:r>
      <w:proofErr w:type="spellEnd"/>
      <w:r>
        <w:rPr>
          <w:sz w:val="22"/>
          <w:szCs w:val="22"/>
          <w:lang w:val="es-UY"/>
        </w:rPr>
        <w:t xml:space="preserve"> </w:t>
      </w:r>
      <w:proofErr w:type="spellStart"/>
      <w:r>
        <w:rPr>
          <w:sz w:val="22"/>
          <w:szCs w:val="22"/>
          <w:lang w:val="es-UY"/>
        </w:rPr>
        <w:t>Related</w:t>
      </w:r>
      <w:proofErr w:type="spellEnd"/>
      <w:r>
        <w:rPr>
          <w:sz w:val="22"/>
          <w:szCs w:val="22"/>
          <w:lang w:val="es-UY"/>
        </w:rPr>
        <w:t xml:space="preserve"> </w:t>
      </w:r>
      <w:proofErr w:type="spellStart"/>
      <w:r>
        <w:rPr>
          <w:sz w:val="22"/>
          <w:szCs w:val="22"/>
          <w:lang w:val="es-UY"/>
        </w:rPr>
        <w:t>Services</w:t>
      </w:r>
      <w:proofErr w:type="spellEnd"/>
      <w:r>
        <w:rPr>
          <w:sz w:val="22"/>
          <w:szCs w:val="22"/>
          <w:lang w:val="es-UY"/>
        </w:rPr>
        <w:t xml:space="preserve">" </w:t>
      </w:r>
      <w:proofErr w:type="spellStart"/>
      <w:r>
        <w:rPr>
          <w:sz w:val="22"/>
          <w:szCs w:val="22"/>
          <w:lang w:val="es-UY"/>
        </w:rPr>
        <w:t>section</w:t>
      </w:r>
      <w:proofErr w:type="spellEnd"/>
      <w:r>
        <w:rPr>
          <w:sz w:val="22"/>
          <w:szCs w:val="22"/>
          <w:lang w:val="es-UY"/>
        </w:rPr>
        <w:t xml:space="preserve"> </w:t>
      </w:r>
      <w:proofErr w:type="spellStart"/>
      <w:r>
        <w:rPr>
          <w:sz w:val="22"/>
          <w:szCs w:val="22"/>
          <w:lang w:val="es-UY"/>
        </w:rPr>
        <w:t>of</w:t>
      </w:r>
      <w:proofErr w:type="spellEnd"/>
      <w:r>
        <w:rPr>
          <w:sz w:val="22"/>
          <w:szCs w:val="22"/>
          <w:lang w:val="es-UY"/>
        </w:rPr>
        <w:t xml:space="preserve"> </w:t>
      </w:r>
      <w:proofErr w:type="spellStart"/>
      <w:r>
        <w:rPr>
          <w:sz w:val="22"/>
          <w:szCs w:val="22"/>
          <w:lang w:val="es-UY"/>
        </w:rPr>
        <w:t>Annex</w:t>
      </w:r>
      <w:proofErr w:type="spellEnd"/>
      <w:r>
        <w:rPr>
          <w:sz w:val="22"/>
          <w:szCs w:val="22"/>
          <w:lang w:val="es-UY"/>
        </w:rPr>
        <w:t xml:space="preserve"> V. </w:t>
      </w:r>
      <w:proofErr w:type="spellStart"/>
      <w:r>
        <w:rPr>
          <w:sz w:val="22"/>
          <w:szCs w:val="22"/>
          <w:lang w:val="es-UY"/>
        </w:rPr>
        <w:t>If</w:t>
      </w:r>
      <w:proofErr w:type="spellEnd"/>
      <w:r>
        <w:rPr>
          <w:sz w:val="22"/>
          <w:szCs w:val="22"/>
          <w:lang w:val="es-UY"/>
        </w:rPr>
        <w:t xml:space="preserve"> </w:t>
      </w:r>
      <w:proofErr w:type="spellStart"/>
      <w:r>
        <w:rPr>
          <w:sz w:val="22"/>
          <w:szCs w:val="22"/>
          <w:lang w:val="es-UY"/>
        </w:rPr>
        <w:t>it</w:t>
      </w:r>
      <w:proofErr w:type="spellEnd"/>
      <w:r>
        <w:rPr>
          <w:sz w:val="22"/>
          <w:szCs w:val="22"/>
          <w:lang w:val="es-UY"/>
        </w:rPr>
        <w:t xml:space="preserve"> </w:t>
      </w:r>
      <w:proofErr w:type="spellStart"/>
      <w:r>
        <w:rPr>
          <w:sz w:val="22"/>
          <w:szCs w:val="22"/>
          <w:lang w:val="es-UY"/>
        </w:rPr>
        <w:t>is</w:t>
      </w:r>
      <w:proofErr w:type="spellEnd"/>
      <w:r>
        <w:rPr>
          <w:sz w:val="22"/>
          <w:szCs w:val="22"/>
          <w:lang w:val="es-UY"/>
        </w:rPr>
        <w:t xml:space="preserve"> </w:t>
      </w:r>
      <w:proofErr w:type="spellStart"/>
      <w:r>
        <w:rPr>
          <w:sz w:val="22"/>
          <w:szCs w:val="22"/>
          <w:lang w:val="es-UY"/>
        </w:rPr>
        <w:t>not</w:t>
      </w:r>
      <w:proofErr w:type="spellEnd"/>
      <w:r>
        <w:rPr>
          <w:sz w:val="22"/>
          <w:szCs w:val="22"/>
          <w:lang w:val="es-UY"/>
        </w:rPr>
        <w:t xml:space="preserve"> </w:t>
      </w:r>
      <w:proofErr w:type="spellStart"/>
      <w:r>
        <w:rPr>
          <w:sz w:val="22"/>
          <w:szCs w:val="22"/>
          <w:lang w:val="es-UY"/>
        </w:rPr>
        <w:t>possible</w:t>
      </w:r>
      <w:proofErr w:type="spellEnd"/>
      <w:r>
        <w:rPr>
          <w:sz w:val="22"/>
          <w:szCs w:val="22"/>
          <w:lang w:val="es-UY"/>
        </w:rPr>
        <w:t xml:space="preserve"> </w:t>
      </w:r>
      <w:proofErr w:type="spellStart"/>
      <w:r>
        <w:rPr>
          <w:sz w:val="22"/>
          <w:szCs w:val="22"/>
          <w:lang w:val="es-UY"/>
        </w:rPr>
        <w:t>to</w:t>
      </w:r>
      <w:proofErr w:type="spellEnd"/>
      <w:r>
        <w:rPr>
          <w:sz w:val="22"/>
          <w:szCs w:val="22"/>
          <w:lang w:val="es-UY"/>
        </w:rPr>
        <w:t xml:space="preserve"> </w:t>
      </w:r>
      <w:proofErr w:type="spellStart"/>
      <w:r>
        <w:rPr>
          <w:sz w:val="22"/>
          <w:szCs w:val="22"/>
          <w:lang w:val="es-UY"/>
        </w:rPr>
        <w:t>send</w:t>
      </w:r>
      <w:proofErr w:type="spellEnd"/>
      <w:r>
        <w:rPr>
          <w:sz w:val="22"/>
          <w:szCs w:val="22"/>
          <w:lang w:val="es-UY"/>
        </w:rPr>
        <w:t xml:space="preserve"> a </w:t>
      </w:r>
      <w:proofErr w:type="spellStart"/>
      <w:r>
        <w:rPr>
          <w:sz w:val="22"/>
          <w:szCs w:val="22"/>
          <w:lang w:val="es-UY"/>
        </w:rPr>
        <w:t>technician</w:t>
      </w:r>
      <w:proofErr w:type="spellEnd"/>
      <w:r>
        <w:rPr>
          <w:sz w:val="22"/>
          <w:szCs w:val="22"/>
          <w:lang w:val="es-UY"/>
        </w:rPr>
        <w:t xml:space="preserve">, </w:t>
      </w:r>
      <w:proofErr w:type="spellStart"/>
      <w:r>
        <w:rPr>
          <w:sz w:val="22"/>
          <w:szCs w:val="22"/>
          <w:lang w:val="es-UY"/>
        </w:rPr>
        <w:t>the</w:t>
      </w:r>
      <w:proofErr w:type="spellEnd"/>
      <w:r>
        <w:rPr>
          <w:sz w:val="22"/>
          <w:szCs w:val="22"/>
          <w:lang w:val="es-UY"/>
        </w:rPr>
        <w:t xml:space="preserve"> </w:t>
      </w:r>
      <w:proofErr w:type="spellStart"/>
      <w:r>
        <w:rPr>
          <w:sz w:val="22"/>
          <w:szCs w:val="22"/>
          <w:lang w:val="es-UY"/>
        </w:rPr>
        <w:t>work</w:t>
      </w:r>
      <w:proofErr w:type="spellEnd"/>
      <w:r>
        <w:rPr>
          <w:sz w:val="22"/>
          <w:szCs w:val="22"/>
          <w:lang w:val="es-UY"/>
        </w:rPr>
        <w:t xml:space="preserve"> </w:t>
      </w:r>
      <w:proofErr w:type="spellStart"/>
      <w:r>
        <w:rPr>
          <w:sz w:val="22"/>
          <w:szCs w:val="22"/>
          <w:lang w:val="es-UY"/>
        </w:rPr>
        <w:t>will</w:t>
      </w:r>
      <w:proofErr w:type="spellEnd"/>
      <w:r>
        <w:rPr>
          <w:sz w:val="22"/>
          <w:szCs w:val="22"/>
          <w:lang w:val="es-UY"/>
        </w:rPr>
        <w:t xml:space="preserve"> be </w:t>
      </w:r>
      <w:proofErr w:type="spellStart"/>
      <w:r>
        <w:rPr>
          <w:sz w:val="22"/>
          <w:szCs w:val="22"/>
          <w:lang w:val="es-UY"/>
        </w:rPr>
        <w:t>monitored</w:t>
      </w:r>
      <w:proofErr w:type="spellEnd"/>
      <w:r>
        <w:rPr>
          <w:sz w:val="22"/>
          <w:szCs w:val="22"/>
          <w:lang w:val="es-UY"/>
        </w:rPr>
        <w:t xml:space="preserve"> </w:t>
      </w:r>
      <w:proofErr w:type="spellStart"/>
      <w:r>
        <w:rPr>
          <w:sz w:val="22"/>
          <w:szCs w:val="22"/>
          <w:lang w:val="es-UY"/>
        </w:rPr>
        <w:t>remotely</w:t>
      </w:r>
      <w:proofErr w:type="spellEnd"/>
      <w:r>
        <w:rPr>
          <w:sz w:val="22"/>
          <w:szCs w:val="22"/>
          <w:lang w:val="es-UY"/>
        </w:rPr>
        <w:t xml:space="preserve">, in </w:t>
      </w:r>
      <w:proofErr w:type="spellStart"/>
      <w:r>
        <w:rPr>
          <w:sz w:val="22"/>
          <w:szCs w:val="22"/>
          <w:lang w:val="es-UY"/>
        </w:rPr>
        <w:t>this</w:t>
      </w:r>
      <w:proofErr w:type="spellEnd"/>
      <w:r>
        <w:rPr>
          <w:sz w:val="22"/>
          <w:szCs w:val="22"/>
          <w:lang w:val="es-UY"/>
        </w:rPr>
        <w:t xml:space="preserve"> case at no </w:t>
      </w:r>
      <w:proofErr w:type="spellStart"/>
      <w:r>
        <w:rPr>
          <w:sz w:val="22"/>
          <w:szCs w:val="22"/>
          <w:lang w:val="es-UY"/>
        </w:rPr>
        <w:t>cost</w:t>
      </w:r>
      <w:proofErr w:type="spellEnd"/>
      <w:r>
        <w:rPr>
          <w:sz w:val="22"/>
          <w:szCs w:val="22"/>
          <w:lang w:val="es-UY"/>
        </w:rPr>
        <w:t xml:space="preserve"> </w:t>
      </w:r>
      <w:proofErr w:type="spellStart"/>
      <w:r>
        <w:rPr>
          <w:sz w:val="22"/>
          <w:szCs w:val="22"/>
          <w:lang w:val="es-UY"/>
        </w:rPr>
        <w:t>to</w:t>
      </w:r>
      <w:proofErr w:type="spellEnd"/>
      <w:r>
        <w:rPr>
          <w:sz w:val="22"/>
          <w:szCs w:val="22"/>
          <w:lang w:val="es-UY"/>
        </w:rPr>
        <w:t xml:space="preserve"> </w:t>
      </w:r>
      <w:proofErr w:type="spellStart"/>
      <w:r>
        <w:rPr>
          <w:sz w:val="22"/>
          <w:szCs w:val="22"/>
          <w:lang w:val="es-UY"/>
        </w:rPr>
        <w:t>the</w:t>
      </w:r>
      <w:proofErr w:type="spellEnd"/>
      <w:r>
        <w:rPr>
          <w:sz w:val="22"/>
          <w:szCs w:val="22"/>
          <w:lang w:val="es-UY"/>
        </w:rPr>
        <w:t xml:space="preserve"> </w:t>
      </w:r>
      <w:proofErr w:type="spellStart"/>
      <w:r>
        <w:rPr>
          <w:sz w:val="22"/>
          <w:szCs w:val="22"/>
          <w:lang w:val="es-UY"/>
        </w:rPr>
        <w:t>Administration</w:t>
      </w:r>
      <w:proofErr w:type="spellEnd"/>
      <w:r>
        <w:rPr>
          <w:sz w:val="22"/>
          <w:szCs w:val="22"/>
          <w:lang w:val="es-UY"/>
        </w:rPr>
        <w:t>.</w:t>
      </w:r>
    </w:p>
    <w:p w14:paraId="4EE1D75F" w14:textId="77777777" w:rsidR="00E255F4" w:rsidRDefault="00E255F4">
      <w:pPr>
        <w:pStyle w:val="Prrafodelista"/>
        <w:spacing w:before="240" w:after="120"/>
        <w:ind w:left="567"/>
        <w:rPr>
          <w:sz w:val="22"/>
          <w:szCs w:val="22"/>
          <w:lang w:val="es-ES"/>
        </w:rPr>
      </w:pPr>
    </w:p>
    <w:p w14:paraId="4910322D" w14:textId="77777777" w:rsidR="00E255F4" w:rsidRDefault="00000000">
      <w:pPr>
        <w:pStyle w:val="Ttulo2"/>
        <w:spacing w:after="240"/>
        <w:ind w:left="851" w:hanging="851"/>
      </w:pPr>
      <w:bookmarkStart w:id="109" w:name="__RefHeading___Toc145_3847131730"/>
      <w:bookmarkStart w:id="110" w:name="__RefHeading___Toc225377271"/>
      <w:bookmarkEnd w:id="109"/>
      <w:r>
        <w:rPr>
          <w:rFonts w:ascii="Times New Roman" w:hAnsi="Times New Roman" w:cs="Times New Roman"/>
          <w:i w:val="0"/>
          <w:sz w:val="24"/>
          <w:szCs w:val="24"/>
        </w:rPr>
        <w:t>SAMPLES</w:t>
      </w:r>
      <w:bookmarkEnd w:id="110"/>
      <w:r>
        <w:rPr>
          <w:rFonts w:ascii="Times New Roman" w:hAnsi="Times New Roman" w:cs="Times New Roman"/>
          <w:b w:val="0"/>
          <w:sz w:val="22"/>
          <w:szCs w:val="22"/>
          <w:lang w:val="es-ES"/>
        </w:rPr>
        <w:t xml:space="preserve">   </w:t>
      </w:r>
    </w:p>
    <w:p w14:paraId="0D61B9F3" w14:textId="77777777" w:rsidR="00E255F4" w:rsidRDefault="00000000">
      <w:pPr>
        <w:shd w:val="clear" w:color="auto" w:fill="FFFFFF"/>
        <w:tabs>
          <w:tab w:val="left" w:pos="0"/>
        </w:tabs>
        <w:spacing w:after="120"/>
        <w:jc w:val="both"/>
        <w:rPr>
          <w:sz w:val="22"/>
        </w:rPr>
      </w:pPr>
      <w:r>
        <w:rPr>
          <w:rFonts w:eastAsia="Palatino Linotype"/>
          <w:spacing w:val="-1"/>
          <w:position w:val="1"/>
          <w:sz w:val="22"/>
          <w:szCs w:val="22"/>
        </w:rPr>
        <w:t xml:space="preserve">The </w:t>
      </w:r>
      <w:proofErr w:type="spellStart"/>
      <w:r>
        <w:rPr>
          <w:rFonts w:eastAsia="Palatino Linotype"/>
          <w:spacing w:val="-1"/>
          <w:position w:val="1"/>
          <w:sz w:val="22"/>
          <w:szCs w:val="22"/>
        </w:rPr>
        <w:t>bidder</w:t>
      </w:r>
      <w:proofErr w:type="spellEnd"/>
      <w:r>
        <w:rPr>
          <w:rFonts w:eastAsia="Palatino Linotype"/>
          <w:spacing w:val="-1"/>
          <w:position w:val="1"/>
          <w:sz w:val="22"/>
          <w:szCs w:val="22"/>
        </w:rPr>
        <w:t xml:space="preserve"> </w:t>
      </w:r>
      <w:proofErr w:type="spellStart"/>
      <w:r>
        <w:rPr>
          <w:rFonts w:eastAsia="Palatino Linotype"/>
          <w:spacing w:val="-1"/>
          <w:position w:val="1"/>
          <w:sz w:val="22"/>
          <w:szCs w:val="22"/>
        </w:rPr>
        <w:t>must</w:t>
      </w:r>
      <w:proofErr w:type="spellEnd"/>
      <w:r>
        <w:rPr>
          <w:rFonts w:eastAsia="Palatino Linotype"/>
          <w:spacing w:val="-1"/>
          <w:position w:val="1"/>
          <w:sz w:val="22"/>
          <w:szCs w:val="22"/>
        </w:rPr>
        <w:t xml:space="preserve"> </w:t>
      </w:r>
      <w:proofErr w:type="spellStart"/>
      <w:r>
        <w:rPr>
          <w:rFonts w:eastAsia="Palatino Linotype"/>
          <w:spacing w:val="-1"/>
          <w:position w:val="1"/>
          <w:sz w:val="22"/>
          <w:szCs w:val="22"/>
        </w:rPr>
        <w:t>submit</w:t>
      </w:r>
      <w:proofErr w:type="spellEnd"/>
      <w:r>
        <w:rPr>
          <w:rFonts w:eastAsia="Palatino Linotype"/>
          <w:spacing w:val="-1"/>
          <w:position w:val="1"/>
          <w:sz w:val="22"/>
          <w:szCs w:val="22"/>
        </w:rPr>
        <w:t xml:space="preserve"> a </w:t>
      </w:r>
      <w:proofErr w:type="spellStart"/>
      <w:r>
        <w:rPr>
          <w:rFonts w:eastAsia="Palatino Linotype"/>
          <w:spacing w:val="-1"/>
          <w:position w:val="1"/>
          <w:sz w:val="22"/>
          <w:szCs w:val="22"/>
        </w:rPr>
        <w:t>sample</w:t>
      </w:r>
      <w:proofErr w:type="spellEnd"/>
      <w:r>
        <w:rPr>
          <w:rFonts w:eastAsia="Palatino Linotype"/>
          <w:spacing w:val="-1"/>
          <w:position w:val="1"/>
          <w:sz w:val="22"/>
          <w:szCs w:val="22"/>
        </w:rPr>
        <w:t xml:space="preserve">, </w:t>
      </w:r>
      <w:proofErr w:type="spellStart"/>
      <w:r>
        <w:rPr>
          <w:rFonts w:eastAsia="Palatino Linotype"/>
          <w:spacing w:val="-1"/>
          <w:position w:val="1"/>
          <w:sz w:val="22"/>
          <w:szCs w:val="22"/>
        </w:rPr>
        <w:t>which</w:t>
      </w:r>
      <w:proofErr w:type="spellEnd"/>
      <w:r>
        <w:rPr>
          <w:rFonts w:eastAsia="Palatino Linotype"/>
          <w:spacing w:val="-1"/>
          <w:position w:val="1"/>
          <w:sz w:val="22"/>
          <w:szCs w:val="22"/>
        </w:rPr>
        <w:t xml:space="preserve"> </w:t>
      </w:r>
      <w:proofErr w:type="spellStart"/>
      <w:r>
        <w:rPr>
          <w:rFonts w:eastAsia="Palatino Linotype"/>
          <w:spacing w:val="-1"/>
          <w:position w:val="1"/>
          <w:sz w:val="22"/>
          <w:szCs w:val="22"/>
        </w:rPr>
        <w:t>may</w:t>
      </w:r>
      <w:proofErr w:type="spellEnd"/>
      <w:r>
        <w:rPr>
          <w:rFonts w:eastAsia="Palatino Linotype"/>
          <w:spacing w:val="-1"/>
          <w:position w:val="1"/>
          <w:sz w:val="22"/>
          <w:szCs w:val="22"/>
        </w:rPr>
        <w:t xml:space="preserve"> be </w:t>
      </w:r>
      <w:proofErr w:type="spellStart"/>
      <w:r>
        <w:rPr>
          <w:rFonts w:eastAsia="Palatino Linotype"/>
          <w:spacing w:val="-1"/>
          <w:position w:val="1"/>
          <w:sz w:val="22"/>
          <w:szCs w:val="22"/>
        </w:rPr>
        <w:t>delivered</w:t>
      </w:r>
      <w:proofErr w:type="spellEnd"/>
      <w:r>
        <w:rPr>
          <w:rFonts w:eastAsia="Palatino Linotype"/>
          <w:spacing w:val="-1"/>
          <w:position w:val="1"/>
          <w:sz w:val="22"/>
          <w:szCs w:val="22"/>
        </w:rPr>
        <w:t xml:space="preserve"> up </w:t>
      </w:r>
      <w:proofErr w:type="spellStart"/>
      <w:r>
        <w:rPr>
          <w:rFonts w:eastAsia="Palatino Linotype"/>
          <w:spacing w:val="-1"/>
          <w:position w:val="1"/>
          <w:sz w:val="22"/>
          <w:szCs w:val="22"/>
        </w:rPr>
        <w:t>to</w:t>
      </w:r>
      <w:proofErr w:type="spellEnd"/>
      <w:r>
        <w:rPr>
          <w:rFonts w:eastAsia="Palatino Linotype"/>
          <w:spacing w:val="-1"/>
          <w:position w:val="1"/>
          <w:sz w:val="22"/>
          <w:szCs w:val="22"/>
        </w:rPr>
        <w:t xml:space="preserve"> 5 </w:t>
      </w:r>
      <w:proofErr w:type="spellStart"/>
      <w:r>
        <w:rPr>
          <w:rFonts w:eastAsia="Palatino Linotype"/>
          <w:spacing w:val="-1"/>
          <w:position w:val="1"/>
          <w:sz w:val="22"/>
          <w:szCs w:val="22"/>
        </w:rPr>
        <w:t>business</w:t>
      </w:r>
      <w:proofErr w:type="spellEnd"/>
      <w:r>
        <w:rPr>
          <w:rFonts w:eastAsia="Palatino Linotype"/>
          <w:spacing w:val="-1"/>
          <w:position w:val="1"/>
          <w:sz w:val="22"/>
          <w:szCs w:val="22"/>
        </w:rPr>
        <w:t xml:space="preserve"> </w:t>
      </w:r>
      <w:proofErr w:type="spellStart"/>
      <w:r>
        <w:rPr>
          <w:rFonts w:eastAsia="Palatino Linotype"/>
          <w:spacing w:val="-1"/>
          <w:position w:val="1"/>
          <w:sz w:val="22"/>
          <w:szCs w:val="22"/>
        </w:rPr>
        <w:t>days</w:t>
      </w:r>
      <w:proofErr w:type="spellEnd"/>
      <w:r>
        <w:rPr>
          <w:rFonts w:eastAsia="Palatino Linotype"/>
          <w:spacing w:val="-1"/>
          <w:position w:val="1"/>
          <w:sz w:val="22"/>
          <w:szCs w:val="22"/>
        </w:rPr>
        <w:t xml:space="preserve"> after </w:t>
      </w:r>
      <w:proofErr w:type="spellStart"/>
      <w:r>
        <w:rPr>
          <w:rFonts w:eastAsia="Palatino Linotype"/>
          <w:spacing w:val="-1"/>
          <w:position w:val="1"/>
          <w:sz w:val="22"/>
          <w:szCs w:val="22"/>
        </w:rPr>
        <w:t>the</w:t>
      </w:r>
      <w:proofErr w:type="spellEnd"/>
      <w:r>
        <w:rPr>
          <w:rFonts w:eastAsia="Palatino Linotype"/>
          <w:spacing w:val="-1"/>
          <w:position w:val="1"/>
          <w:sz w:val="22"/>
          <w:szCs w:val="22"/>
        </w:rPr>
        <w:t xml:space="preserve"> date set </w:t>
      </w:r>
      <w:proofErr w:type="spellStart"/>
      <w:r>
        <w:rPr>
          <w:rFonts w:eastAsia="Palatino Linotype"/>
          <w:spacing w:val="-1"/>
          <w:position w:val="1"/>
          <w:sz w:val="22"/>
          <w:szCs w:val="22"/>
        </w:rPr>
        <w:t>for</w:t>
      </w:r>
      <w:proofErr w:type="spellEnd"/>
      <w:r>
        <w:rPr>
          <w:rFonts w:eastAsia="Palatino Linotype"/>
          <w:spacing w:val="-1"/>
          <w:position w:val="1"/>
          <w:sz w:val="22"/>
          <w:szCs w:val="22"/>
        </w:rPr>
        <w:t xml:space="preserve"> </w:t>
      </w:r>
      <w:proofErr w:type="spellStart"/>
      <w:r>
        <w:rPr>
          <w:rFonts w:eastAsia="Palatino Linotype"/>
          <w:spacing w:val="-1"/>
          <w:position w:val="1"/>
          <w:sz w:val="22"/>
          <w:szCs w:val="22"/>
        </w:rPr>
        <w:t>the</w:t>
      </w:r>
      <w:proofErr w:type="spellEnd"/>
      <w:r>
        <w:rPr>
          <w:rFonts w:eastAsia="Palatino Linotype"/>
          <w:spacing w:val="-1"/>
          <w:position w:val="1"/>
          <w:sz w:val="22"/>
          <w:szCs w:val="22"/>
        </w:rPr>
        <w:t xml:space="preserve"> </w:t>
      </w:r>
      <w:proofErr w:type="spellStart"/>
      <w:r>
        <w:rPr>
          <w:rFonts w:eastAsia="Palatino Linotype"/>
          <w:spacing w:val="-1"/>
          <w:position w:val="1"/>
          <w:sz w:val="22"/>
          <w:szCs w:val="22"/>
        </w:rPr>
        <w:t>opening</w:t>
      </w:r>
      <w:proofErr w:type="spellEnd"/>
      <w:r>
        <w:rPr>
          <w:rFonts w:eastAsia="Palatino Linotype"/>
          <w:spacing w:val="-1"/>
          <w:position w:val="1"/>
          <w:sz w:val="22"/>
          <w:szCs w:val="22"/>
        </w:rPr>
        <w:t xml:space="preserve"> </w:t>
      </w:r>
      <w:proofErr w:type="spellStart"/>
      <w:r>
        <w:rPr>
          <w:rFonts w:eastAsia="Palatino Linotype"/>
          <w:spacing w:val="-1"/>
          <w:position w:val="1"/>
          <w:sz w:val="22"/>
          <w:szCs w:val="22"/>
        </w:rPr>
        <w:t>of</w:t>
      </w:r>
      <w:proofErr w:type="spellEnd"/>
      <w:r>
        <w:rPr>
          <w:rFonts w:eastAsia="Palatino Linotype"/>
          <w:spacing w:val="-1"/>
          <w:position w:val="1"/>
          <w:sz w:val="22"/>
          <w:szCs w:val="22"/>
        </w:rPr>
        <w:t xml:space="preserve"> </w:t>
      </w:r>
      <w:proofErr w:type="spellStart"/>
      <w:r>
        <w:rPr>
          <w:rFonts w:eastAsia="Palatino Linotype"/>
          <w:spacing w:val="-1"/>
          <w:position w:val="1"/>
          <w:sz w:val="22"/>
          <w:szCs w:val="22"/>
        </w:rPr>
        <w:t>the</w:t>
      </w:r>
      <w:proofErr w:type="spellEnd"/>
      <w:r>
        <w:rPr>
          <w:rFonts w:eastAsia="Palatino Linotype"/>
          <w:spacing w:val="-1"/>
          <w:position w:val="1"/>
          <w:sz w:val="22"/>
          <w:szCs w:val="22"/>
        </w:rPr>
        <w:t xml:space="preserve"> </w:t>
      </w:r>
      <w:proofErr w:type="spellStart"/>
      <w:r>
        <w:rPr>
          <w:rFonts w:eastAsia="Palatino Linotype"/>
          <w:spacing w:val="-1"/>
          <w:position w:val="1"/>
          <w:sz w:val="22"/>
          <w:szCs w:val="22"/>
        </w:rPr>
        <w:t>next</w:t>
      </w:r>
      <w:proofErr w:type="spellEnd"/>
      <w:r>
        <w:rPr>
          <w:rFonts w:eastAsia="Palatino Linotype"/>
          <w:spacing w:val="-1"/>
          <w:position w:val="1"/>
          <w:sz w:val="22"/>
          <w:szCs w:val="22"/>
        </w:rPr>
        <w:t xml:space="preserve"> tender, in</w:t>
      </w:r>
      <w:r>
        <w:rPr>
          <w:spacing w:val="-3"/>
          <w:sz w:val="22"/>
          <w:szCs w:val="22"/>
          <w:lang w:val="es-ES"/>
        </w:rPr>
        <w:t xml:space="preserve">The </w:t>
      </w:r>
      <w:proofErr w:type="spellStart"/>
      <w:r>
        <w:rPr>
          <w:spacing w:val="-3"/>
          <w:sz w:val="22"/>
          <w:szCs w:val="22"/>
          <w:lang w:val="es-ES"/>
        </w:rPr>
        <w:t>Quality</w:t>
      </w:r>
      <w:proofErr w:type="spellEnd"/>
      <w:r>
        <w:rPr>
          <w:spacing w:val="-3"/>
          <w:sz w:val="22"/>
          <w:szCs w:val="22"/>
          <w:lang w:val="es-ES"/>
        </w:rPr>
        <w:t xml:space="preserve"> Control Office </w:t>
      </w:r>
      <w:proofErr w:type="spellStart"/>
      <w:r>
        <w:rPr>
          <w:spacing w:val="-3"/>
          <w:sz w:val="22"/>
          <w:szCs w:val="22"/>
          <w:lang w:val="es-ES"/>
        </w:rPr>
        <w:t>of</w:t>
      </w:r>
      <w:proofErr w:type="spellEnd"/>
      <w:r>
        <w:rPr>
          <w:spacing w:val="-3"/>
          <w:sz w:val="22"/>
          <w:szCs w:val="22"/>
          <w:lang w:val="es-ES"/>
        </w:rPr>
        <w:t xml:space="preserve"> OSE - San Martín 3235 (Montevideo), </w:t>
      </w:r>
      <w:proofErr w:type="spellStart"/>
      <w:r>
        <w:rPr>
          <w:spacing w:val="-3"/>
          <w:sz w:val="22"/>
          <w:szCs w:val="22"/>
          <w:lang w:val="es-ES"/>
        </w:rPr>
        <w:t>from</w:t>
      </w:r>
      <w:proofErr w:type="spellEnd"/>
      <w:r>
        <w:rPr>
          <w:spacing w:val="-3"/>
          <w:sz w:val="22"/>
          <w:szCs w:val="22"/>
          <w:lang w:val="es-ES"/>
        </w:rPr>
        <w:t xml:space="preserve"> 8:00 a.m. </w:t>
      </w:r>
      <w:proofErr w:type="spellStart"/>
      <w:r>
        <w:rPr>
          <w:spacing w:val="-3"/>
          <w:sz w:val="22"/>
          <w:szCs w:val="22"/>
          <w:lang w:val="es-ES"/>
        </w:rPr>
        <w:t>to</w:t>
      </w:r>
      <w:proofErr w:type="spellEnd"/>
      <w:r>
        <w:rPr>
          <w:spacing w:val="-3"/>
          <w:sz w:val="22"/>
          <w:szCs w:val="22"/>
          <w:lang w:val="es-ES"/>
        </w:rPr>
        <w:t xml:space="preserve"> 3:00 p.m., </w:t>
      </w:r>
      <w:proofErr w:type="spellStart"/>
      <w:r>
        <w:rPr>
          <w:spacing w:val="-3"/>
          <w:sz w:val="22"/>
          <w:szCs w:val="22"/>
          <w:lang w:val="es-ES"/>
        </w:rPr>
        <w:t>the</w:t>
      </w:r>
      <w:proofErr w:type="spellEnd"/>
      <w:r>
        <w:rPr>
          <w:spacing w:val="-3"/>
          <w:sz w:val="22"/>
          <w:szCs w:val="22"/>
          <w:lang w:val="es-ES"/>
        </w:rPr>
        <w:t xml:space="preserve"> </w:t>
      </w:r>
      <w:proofErr w:type="spellStart"/>
      <w:r>
        <w:rPr>
          <w:spacing w:val="-3"/>
          <w:sz w:val="22"/>
          <w:szCs w:val="22"/>
          <w:lang w:val="es-ES"/>
        </w:rPr>
        <w:t>following</w:t>
      </w:r>
      <w:proofErr w:type="spellEnd"/>
      <w:r>
        <w:rPr>
          <w:spacing w:val="-3"/>
          <w:sz w:val="22"/>
          <w:szCs w:val="22"/>
          <w:lang w:val="es-ES"/>
        </w:rPr>
        <w:t xml:space="preserve"> </w:t>
      </w:r>
      <w:proofErr w:type="spellStart"/>
      <w:r>
        <w:rPr>
          <w:spacing w:val="-3"/>
          <w:sz w:val="22"/>
          <w:szCs w:val="22"/>
          <w:lang w:val="es-ES"/>
        </w:rPr>
        <w:t>quantity</w:t>
      </w:r>
      <w:proofErr w:type="spellEnd"/>
      <w:r>
        <w:rPr>
          <w:spacing w:val="-3"/>
          <w:sz w:val="22"/>
          <w:szCs w:val="22"/>
          <w:lang w:val="es-ES"/>
        </w:rPr>
        <w:t xml:space="preserve"> </w:t>
      </w:r>
      <w:proofErr w:type="spellStart"/>
      <w:r>
        <w:rPr>
          <w:spacing w:val="-3"/>
          <w:sz w:val="22"/>
          <w:szCs w:val="22"/>
          <w:lang w:val="es-ES"/>
        </w:rPr>
        <w:t>of</w:t>
      </w:r>
      <w:proofErr w:type="spellEnd"/>
      <w:r>
        <w:rPr>
          <w:spacing w:val="-3"/>
          <w:sz w:val="22"/>
          <w:szCs w:val="22"/>
          <w:lang w:val="es-ES"/>
        </w:rPr>
        <w:t xml:space="preserve"> </w:t>
      </w:r>
      <w:proofErr w:type="spellStart"/>
      <w:r>
        <w:rPr>
          <w:spacing w:val="-3"/>
          <w:sz w:val="22"/>
          <w:szCs w:val="22"/>
          <w:lang w:val="es-ES"/>
        </w:rPr>
        <w:t>items</w:t>
      </w:r>
      <w:proofErr w:type="spellEnd"/>
      <w:r>
        <w:rPr>
          <w:spacing w:val="-3"/>
          <w:sz w:val="22"/>
          <w:szCs w:val="22"/>
          <w:lang w:val="es-ES"/>
        </w:rPr>
        <w:t xml:space="preserve">, </w:t>
      </w:r>
      <w:proofErr w:type="spellStart"/>
      <w:r>
        <w:rPr>
          <w:spacing w:val="-3"/>
          <w:sz w:val="22"/>
          <w:szCs w:val="22"/>
          <w:lang w:val="es-ES"/>
        </w:rPr>
        <w:t>which</w:t>
      </w:r>
      <w:proofErr w:type="spellEnd"/>
      <w:r>
        <w:rPr>
          <w:spacing w:val="-3"/>
          <w:sz w:val="22"/>
          <w:szCs w:val="22"/>
          <w:lang w:val="es-ES"/>
        </w:rPr>
        <w:t xml:space="preserve"> </w:t>
      </w:r>
      <w:proofErr w:type="spellStart"/>
      <w:r>
        <w:rPr>
          <w:spacing w:val="-3"/>
          <w:sz w:val="22"/>
          <w:szCs w:val="22"/>
          <w:lang w:val="es-ES"/>
        </w:rPr>
        <w:t>will</w:t>
      </w:r>
      <w:proofErr w:type="spellEnd"/>
      <w:r>
        <w:rPr>
          <w:spacing w:val="-3"/>
          <w:sz w:val="22"/>
          <w:szCs w:val="22"/>
          <w:lang w:val="es-ES"/>
        </w:rPr>
        <w:t xml:space="preserve"> be </w:t>
      </w:r>
      <w:proofErr w:type="spellStart"/>
      <w:r>
        <w:rPr>
          <w:spacing w:val="-3"/>
          <w:sz w:val="22"/>
          <w:szCs w:val="22"/>
          <w:lang w:val="es-ES"/>
        </w:rPr>
        <w:t>the</w:t>
      </w:r>
      <w:proofErr w:type="spellEnd"/>
      <w:r>
        <w:rPr>
          <w:spacing w:val="-3"/>
          <w:sz w:val="22"/>
          <w:szCs w:val="22"/>
          <w:lang w:val="es-ES"/>
        </w:rPr>
        <w:t xml:space="preserve"> </w:t>
      </w:r>
      <w:proofErr w:type="spellStart"/>
      <w:r>
        <w:rPr>
          <w:spacing w:val="-3"/>
          <w:sz w:val="22"/>
          <w:szCs w:val="22"/>
          <w:lang w:val="es-ES"/>
        </w:rPr>
        <w:t>same</w:t>
      </w:r>
      <w:proofErr w:type="spellEnd"/>
      <w:r>
        <w:rPr>
          <w:spacing w:val="-3"/>
          <w:sz w:val="22"/>
          <w:szCs w:val="22"/>
          <w:lang w:val="es-ES"/>
        </w:rPr>
        <w:t xml:space="preserve"> as </w:t>
      </w:r>
      <w:proofErr w:type="spellStart"/>
      <w:r>
        <w:rPr>
          <w:spacing w:val="-3"/>
          <w:sz w:val="22"/>
          <w:szCs w:val="22"/>
          <w:lang w:val="es-ES"/>
        </w:rPr>
        <w:t>those</w:t>
      </w:r>
      <w:proofErr w:type="spellEnd"/>
      <w:r>
        <w:rPr>
          <w:spacing w:val="-3"/>
          <w:sz w:val="22"/>
          <w:szCs w:val="22"/>
          <w:lang w:val="es-ES"/>
        </w:rPr>
        <w:t xml:space="preserve"> </w:t>
      </w:r>
      <w:proofErr w:type="spellStart"/>
      <w:r>
        <w:rPr>
          <w:spacing w:val="-3"/>
          <w:sz w:val="22"/>
          <w:szCs w:val="22"/>
          <w:lang w:val="es-ES"/>
        </w:rPr>
        <w:t>that</w:t>
      </w:r>
      <w:proofErr w:type="spellEnd"/>
      <w:r>
        <w:rPr>
          <w:spacing w:val="-3"/>
          <w:sz w:val="22"/>
          <w:szCs w:val="22"/>
          <w:lang w:val="es-ES"/>
        </w:rPr>
        <w:t xml:space="preserve"> </w:t>
      </w:r>
      <w:proofErr w:type="spellStart"/>
      <w:r>
        <w:rPr>
          <w:spacing w:val="-3"/>
          <w:sz w:val="22"/>
          <w:szCs w:val="22"/>
          <w:lang w:val="es-ES"/>
        </w:rPr>
        <w:t>will</w:t>
      </w:r>
      <w:proofErr w:type="spellEnd"/>
      <w:r>
        <w:rPr>
          <w:spacing w:val="-3"/>
          <w:sz w:val="22"/>
          <w:szCs w:val="22"/>
          <w:lang w:val="es-ES"/>
        </w:rPr>
        <w:t xml:space="preserve"> be </w:t>
      </w:r>
      <w:proofErr w:type="spellStart"/>
      <w:r>
        <w:rPr>
          <w:spacing w:val="-3"/>
          <w:sz w:val="22"/>
          <w:szCs w:val="22"/>
          <w:lang w:val="es-ES"/>
        </w:rPr>
        <w:t>installed</w:t>
      </w:r>
      <w:proofErr w:type="spellEnd"/>
      <w:r>
        <w:rPr>
          <w:spacing w:val="-3"/>
          <w:sz w:val="22"/>
          <w:szCs w:val="22"/>
          <w:lang w:val="es-ES"/>
        </w:rPr>
        <w:t xml:space="preserve"> </w:t>
      </w:r>
      <w:proofErr w:type="spellStart"/>
      <w:r>
        <w:rPr>
          <w:spacing w:val="-3"/>
          <w:sz w:val="22"/>
          <w:szCs w:val="22"/>
          <w:lang w:val="es-ES"/>
        </w:rPr>
        <w:t>later</w:t>
      </w:r>
      <w:proofErr w:type="spellEnd"/>
      <w:r>
        <w:rPr>
          <w:sz w:val="22"/>
        </w:rPr>
        <w:t>:</w:t>
      </w:r>
    </w:p>
    <w:p w14:paraId="79274B55" w14:textId="77777777" w:rsidR="00E255F4" w:rsidRDefault="00000000">
      <w:pPr>
        <w:numPr>
          <w:ilvl w:val="0"/>
          <w:numId w:val="37"/>
        </w:numPr>
        <w:shd w:val="clear" w:color="auto" w:fill="FFFFFF"/>
        <w:tabs>
          <w:tab w:val="left" w:pos="0"/>
        </w:tabs>
        <w:spacing w:after="80"/>
        <w:ind w:left="714" w:right="-284" w:hanging="357"/>
        <w:jc w:val="both"/>
        <w:rPr>
          <w:rFonts w:eastAsia="Palatino Linotype"/>
          <w:spacing w:val="-1"/>
          <w:position w:val="1"/>
          <w:sz w:val="22"/>
          <w:szCs w:val="22"/>
        </w:rPr>
      </w:pPr>
      <w:r>
        <w:rPr>
          <w:rFonts w:eastAsia="Palatino Linotype"/>
          <w:spacing w:val="-1"/>
          <w:position w:val="1"/>
          <w:sz w:val="22"/>
          <w:szCs w:val="22"/>
        </w:rPr>
        <w:t>8 (</w:t>
      </w:r>
      <w:proofErr w:type="spellStart"/>
      <w:r>
        <w:rPr>
          <w:rFonts w:eastAsia="Palatino Linotype"/>
          <w:spacing w:val="-1"/>
          <w:position w:val="1"/>
          <w:sz w:val="22"/>
          <w:szCs w:val="22"/>
        </w:rPr>
        <w:t>eight</w:t>
      </w:r>
      <w:proofErr w:type="spellEnd"/>
      <w:r>
        <w:rPr>
          <w:rFonts w:eastAsia="Palatino Linotype"/>
          <w:spacing w:val="-1"/>
          <w:position w:val="1"/>
          <w:sz w:val="22"/>
          <w:szCs w:val="22"/>
        </w:rPr>
        <w:t xml:space="preserve">) 13mm (1/2 </w:t>
      </w:r>
      <w:proofErr w:type="spellStart"/>
      <w:r>
        <w:rPr>
          <w:rFonts w:eastAsia="Palatino Linotype"/>
          <w:spacing w:val="-1"/>
          <w:position w:val="1"/>
          <w:sz w:val="22"/>
          <w:szCs w:val="22"/>
        </w:rPr>
        <w:t>inch</w:t>
      </w:r>
      <w:proofErr w:type="spellEnd"/>
      <w:r>
        <w:rPr>
          <w:rFonts w:eastAsia="Palatino Linotype"/>
          <w:spacing w:val="-1"/>
          <w:position w:val="1"/>
          <w:sz w:val="22"/>
          <w:szCs w:val="22"/>
        </w:rPr>
        <w:t xml:space="preserve">) integral </w:t>
      </w:r>
      <w:proofErr w:type="spellStart"/>
      <w:r>
        <w:rPr>
          <w:rFonts w:eastAsia="Palatino Linotype"/>
          <w:spacing w:val="-1"/>
          <w:position w:val="1"/>
          <w:sz w:val="22"/>
          <w:szCs w:val="22"/>
        </w:rPr>
        <w:t>smart</w:t>
      </w:r>
      <w:proofErr w:type="spellEnd"/>
      <w:r>
        <w:rPr>
          <w:rFonts w:eastAsia="Palatino Linotype"/>
          <w:spacing w:val="-1"/>
          <w:position w:val="1"/>
          <w:sz w:val="22"/>
          <w:szCs w:val="22"/>
        </w:rPr>
        <w:t xml:space="preserve"> </w:t>
      </w:r>
      <w:proofErr w:type="spellStart"/>
      <w:r>
        <w:rPr>
          <w:rFonts w:eastAsia="Palatino Linotype"/>
          <w:spacing w:val="-1"/>
          <w:position w:val="1"/>
          <w:sz w:val="22"/>
          <w:szCs w:val="22"/>
        </w:rPr>
        <w:t>meters</w:t>
      </w:r>
      <w:proofErr w:type="spellEnd"/>
      <w:r>
        <w:rPr>
          <w:rFonts w:eastAsia="Palatino Linotype"/>
          <w:spacing w:val="-1"/>
          <w:position w:val="1"/>
          <w:sz w:val="22"/>
          <w:szCs w:val="22"/>
        </w:rPr>
        <w:t xml:space="preserve">: </w:t>
      </w:r>
      <w:proofErr w:type="spellStart"/>
      <w:r>
        <w:rPr>
          <w:rFonts w:eastAsia="Palatino Linotype"/>
          <w:spacing w:val="-1"/>
          <w:position w:val="1"/>
          <w:sz w:val="22"/>
          <w:szCs w:val="22"/>
        </w:rPr>
        <w:t>minimum</w:t>
      </w:r>
      <w:proofErr w:type="spellEnd"/>
      <w:r>
        <w:rPr>
          <w:rFonts w:eastAsia="Palatino Linotype"/>
          <w:spacing w:val="-1"/>
          <w:position w:val="1"/>
          <w:sz w:val="22"/>
          <w:szCs w:val="22"/>
        </w:rPr>
        <w:t xml:space="preserve"> 9 (</w:t>
      </w:r>
      <w:proofErr w:type="spellStart"/>
      <w:r>
        <w:rPr>
          <w:rFonts w:eastAsia="Palatino Linotype"/>
          <w:spacing w:val="-1"/>
          <w:position w:val="1"/>
          <w:sz w:val="22"/>
          <w:szCs w:val="22"/>
        </w:rPr>
        <w:t>nine</w:t>
      </w:r>
      <w:proofErr w:type="spellEnd"/>
      <w:r>
        <w:rPr>
          <w:rFonts w:eastAsia="Palatino Linotype"/>
          <w:spacing w:val="-1"/>
          <w:position w:val="1"/>
          <w:sz w:val="22"/>
          <w:szCs w:val="22"/>
        </w:rPr>
        <w:t xml:space="preserve">) </w:t>
      </w:r>
      <w:proofErr w:type="spellStart"/>
      <w:r>
        <w:rPr>
          <w:rFonts w:eastAsia="Palatino Linotype"/>
          <w:spacing w:val="-1"/>
          <w:position w:val="1"/>
          <w:sz w:val="22"/>
          <w:szCs w:val="22"/>
        </w:rPr>
        <w:t>samples</w:t>
      </w:r>
      <w:proofErr w:type="spellEnd"/>
    </w:p>
    <w:p w14:paraId="7381F496" w14:textId="77777777" w:rsidR="00E255F4" w:rsidRDefault="00000000">
      <w:pPr>
        <w:numPr>
          <w:ilvl w:val="0"/>
          <w:numId w:val="37"/>
        </w:numPr>
        <w:shd w:val="clear" w:color="auto" w:fill="FFFFFF"/>
        <w:tabs>
          <w:tab w:val="left" w:pos="0"/>
        </w:tabs>
        <w:spacing w:after="80"/>
        <w:ind w:right="-1"/>
        <w:jc w:val="both"/>
        <w:rPr>
          <w:rFonts w:eastAsia="Palatino Linotype"/>
          <w:strike/>
          <w:spacing w:val="-1"/>
          <w:position w:val="1"/>
          <w:sz w:val="22"/>
          <w:szCs w:val="22"/>
        </w:rPr>
      </w:pPr>
      <w:r>
        <w:rPr>
          <w:rFonts w:eastAsia="Palatino Linotype"/>
          <w:spacing w:val="-1"/>
          <w:position w:val="1"/>
          <w:sz w:val="22"/>
          <w:szCs w:val="22"/>
        </w:rPr>
        <w:t xml:space="preserve">At </w:t>
      </w:r>
      <w:proofErr w:type="spellStart"/>
      <w:r>
        <w:rPr>
          <w:rFonts w:eastAsia="Palatino Linotype"/>
          <w:spacing w:val="-1"/>
          <w:position w:val="1"/>
          <w:sz w:val="22"/>
          <w:szCs w:val="22"/>
        </w:rPr>
        <w:t>least</w:t>
      </w:r>
      <w:proofErr w:type="spellEnd"/>
      <w:r>
        <w:rPr>
          <w:rFonts w:eastAsia="Palatino Linotype"/>
          <w:spacing w:val="-1"/>
          <w:position w:val="1"/>
          <w:sz w:val="22"/>
          <w:szCs w:val="22"/>
        </w:rPr>
        <w:t xml:space="preserve"> </w:t>
      </w:r>
      <w:proofErr w:type="spellStart"/>
      <w:r>
        <w:rPr>
          <w:rFonts w:eastAsia="Palatino Linotype"/>
          <w:spacing w:val="-1"/>
          <w:position w:val="1"/>
          <w:sz w:val="22"/>
          <w:szCs w:val="22"/>
        </w:rPr>
        <w:t>two</w:t>
      </w:r>
      <w:proofErr w:type="spellEnd"/>
      <w:r>
        <w:rPr>
          <w:rFonts w:eastAsia="Palatino Linotype"/>
          <w:spacing w:val="-1"/>
          <w:position w:val="1"/>
          <w:sz w:val="22"/>
          <w:szCs w:val="22"/>
        </w:rPr>
        <w:t xml:space="preserve"> (2) </w:t>
      </w:r>
      <w:proofErr w:type="spellStart"/>
      <w:r>
        <w:rPr>
          <w:rFonts w:eastAsia="Palatino Linotype"/>
          <w:spacing w:val="-1"/>
          <w:position w:val="1"/>
          <w:sz w:val="22"/>
          <w:szCs w:val="22"/>
        </w:rPr>
        <w:t>of</w:t>
      </w:r>
      <w:proofErr w:type="spellEnd"/>
      <w:r>
        <w:rPr>
          <w:rFonts w:eastAsia="Palatino Linotype"/>
          <w:spacing w:val="-1"/>
          <w:position w:val="1"/>
          <w:sz w:val="22"/>
          <w:szCs w:val="22"/>
        </w:rPr>
        <w:t xml:space="preserve"> </w:t>
      </w:r>
      <w:proofErr w:type="spellStart"/>
      <w:r>
        <w:rPr>
          <w:rFonts w:eastAsia="Palatino Linotype"/>
          <w:spacing w:val="-1"/>
          <w:position w:val="1"/>
          <w:sz w:val="22"/>
          <w:szCs w:val="22"/>
        </w:rPr>
        <w:t>the</w:t>
      </w:r>
      <w:proofErr w:type="spellEnd"/>
      <w:r>
        <w:rPr>
          <w:rFonts w:eastAsia="Palatino Linotype"/>
          <w:spacing w:val="-1"/>
          <w:position w:val="1"/>
          <w:sz w:val="22"/>
          <w:szCs w:val="22"/>
        </w:rPr>
        <w:t xml:space="preserve"> </w:t>
      </w:r>
      <w:proofErr w:type="spellStart"/>
      <w:r>
        <w:rPr>
          <w:rFonts w:eastAsia="Palatino Linotype"/>
          <w:spacing w:val="-1"/>
          <w:position w:val="1"/>
          <w:sz w:val="22"/>
          <w:szCs w:val="22"/>
        </w:rPr>
        <w:t>smart</w:t>
      </w:r>
      <w:proofErr w:type="spellEnd"/>
      <w:r>
        <w:rPr>
          <w:rFonts w:eastAsia="Palatino Linotype"/>
          <w:spacing w:val="-1"/>
          <w:position w:val="1"/>
          <w:sz w:val="22"/>
          <w:szCs w:val="22"/>
        </w:rPr>
        <w:t xml:space="preserve"> </w:t>
      </w:r>
      <w:proofErr w:type="spellStart"/>
      <w:r>
        <w:rPr>
          <w:rFonts w:eastAsia="Palatino Linotype"/>
          <w:spacing w:val="-1"/>
          <w:position w:val="1"/>
          <w:sz w:val="22"/>
          <w:szCs w:val="22"/>
        </w:rPr>
        <w:t>meters</w:t>
      </w:r>
      <w:proofErr w:type="spellEnd"/>
      <w:r>
        <w:rPr>
          <w:rFonts w:eastAsia="Palatino Linotype"/>
          <w:spacing w:val="-1"/>
          <w:position w:val="1"/>
          <w:sz w:val="22"/>
          <w:szCs w:val="22"/>
        </w:rPr>
        <w:t xml:space="preserve"> </w:t>
      </w:r>
      <w:proofErr w:type="spellStart"/>
      <w:r>
        <w:rPr>
          <w:rFonts w:eastAsia="Palatino Linotype"/>
          <w:spacing w:val="-1"/>
          <w:position w:val="1"/>
          <w:sz w:val="22"/>
          <w:szCs w:val="22"/>
        </w:rPr>
        <w:t>delivered</w:t>
      </w:r>
      <w:proofErr w:type="spellEnd"/>
      <w:r>
        <w:rPr>
          <w:rFonts w:eastAsia="Palatino Linotype"/>
          <w:spacing w:val="-1"/>
          <w:position w:val="1"/>
          <w:sz w:val="22"/>
          <w:szCs w:val="22"/>
        </w:rPr>
        <w:t xml:space="preserve"> as </w:t>
      </w:r>
      <w:proofErr w:type="spellStart"/>
      <w:r>
        <w:rPr>
          <w:rFonts w:eastAsia="Palatino Linotype"/>
          <w:spacing w:val="-1"/>
          <w:position w:val="1"/>
          <w:sz w:val="22"/>
          <w:szCs w:val="22"/>
        </w:rPr>
        <w:t>samples</w:t>
      </w:r>
      <w:proofErr w:type="spellEnd"/>
      <w:r>
        <w:rPr>
          <w:rFonts w:eastAsia="Palatino Linotype"/>
          <w:spacing w:val="-1"/>
          <w:position w:val="1"/>
          <w:sz w:val="22"/>
          <w:szCs w:val="22"/>
        </w:rPr>
        <w:t xml:space="preserve"> </w:t>
      </w:r>
      <w:proofErr w:type="spellStart"/>
      <w:r>
        <w:rPr>
          <w:rFonts w:eastAsia="Palatino Linotype"/>
          <w:spacing w:val="-1"/>
          <w:position w:val="1"/>
          <w:sz w:val="22"/>
          <w:szCs w:val="22"/>
        </w:rPr>
        <w:t>must</w:t>
      </w:r>
      <w:proofErr w:type="spellEnd"/>
      <w:r>
        <w:rPr>
          <w:rFonts w:eastAsia="Palatino Linotype"/>
          <w:spacing w:val="-1"/>
          <w:position w:val="1"/>
          <w:sz w:val="22"/>
          <w:szCs w:val="22"/>
        </w:rPr>
        <w:t xml:space="preserve"> be </w:t>
      </w:r>
      <w:proofErr w:type="spellStart"/>
      <w:r>
        <w:rPr>
          <w:rFonts w:eastAsia="Palatino Linotype"/>
          <w:spacing w:val="-1"/>
          <w:position w:val="1"/>
          <w:sz w:val="22"/>
          <w:szCs w:val="22"/>
        </w:rPr>
        <w:t>delivered</w:t>
      </w:r>
      <w:proofErr w:type="spellEnd"/>
      <w:r>
        <w:rPr>
          <w:rFonts w:eastAsia="Palatino Linotype"/>
          <w:spacing w:val="-1"/>
          <w:position w:val="1"/>
          <w:sz w:val="22"/>
          <w:szCs w:val="22"/>
        </w:rPr>
        <w:t xml:space="preserve"> </w:t>
      </w:r>
      <w:proofErr w:type="spellStart"/>
      <w:r>
        <w:rPr>
          <w:rFonts w:eastAsia="Palatino Linotype"/>
          <w:spacing w:val="-1"/>
          <w:position w:val="1"/>
          <w:sz w:val="22"/>
          <w:szCs w:val="22"/>
        </w:rPr>
        <w:t>equipped</w:t>
      </w:r>
      <w:proofErr w:type="spellEnd"/>
      <w:r>
        <w:rPr>
          <w:rFonts w:eastAsia="Palatino Linotype"/>
          <w:spacing w:val="-1"/>
          <w:position w:val="1"/>
          <w:sz w:val="22"/>
          <w:szCs w:val="22"/>
        </w:rPr>
        <w:t xml:space="preserve"> and </w:t>
      </w:r>
      <w:proofErr w:type="spellStart"/>
      <w:r>
        <w:rPr>
          <w:rFonts w:eastAsia="Palatino Linotype"/>
          <w:spacing w:val="-1"/>
          <w:position w:val="1"/>
          <w:sz w:val="22"/>
          <w:szCs w:val="22"/>
        </w:rPr>
        <w:t>configured</w:t>
      </w:r>
      <w:proofErr w:type="spellEnd"/>
      <w:r>
        <w:rPr>
          <w:rFonts w:eastAsia="Palatino Linotype"/>
          <w:spacing w:val="-1"/>
          <w:position w:val="1"/>
          <w:sz w:val="22"/>
          <w:szCs w:val="22"/>
        </w:rPr>
        <w:t xml:space="preserve">, </w:t>
      </w:r>
      <w:proofErr w:type="spellStart"/>
      <w:r>
        <w:rPr>
          <w:rFonts w:eastAsia="Palatino Linotype"/>
          <w:spacing w:val="-1"/>
          <w:position w:val="1"/>
          <w:sz w:val="22"/>
          <w:szCs w:val="22"/>
        </w:rPr>
        <w:t>ready</w:t>
      </w:r>
      <w:proofErr w:type="spellEnd"/>
      <w:r>
        <w:rPr>
          <w:rFonts w:eastAsia="Palatino Linotype"/>
          <w:spacing w:val="-1"/>
          <w:position w:val="1"/>
          <w:sz w:val="22"/>
          <w:szCs w:val="22"/>
        </w:rPr>
        <w:t xml:space="preserve"> </w:t>
      </w:r>
      <w:proofErr w:type="spellStart"/>
      <w:r>
        <w:rPr>
          <w:rFonts w:eastAsia="Palatino Linotype"/>
          <w:spacing w:val="-1"/>
          <w:position w:val="1"/>
          <w:sz w:val="22"/>
          <w:szCs w:val="22"/>
        </w:rPr>
        <w:t>to</w:t>
      </w:r>
      <w:proofErr w:type="spellEnd"/>
      <w:r>
        <w:rPr>
          <w:rFonts w:eastAsia="Palatino Linotype"/>
          <w:spacing w:val="-1"/>
          <w:position w:val="1"/>
          <w:sz w:val="22"/>
          <w:szCs w:val="22"/>
        </w:rPr>
        <w:t xml:space="preserve"> </w:t>
      </w:r>
      <w:proofErr w:type="spellStart"/>
      <w:r>
        <w:rPr>
          <w:rFonts w:eastAsia="Palatino Linotype"/>
          <w:spacing w:val="-1"/>
          <w:position w:val="1"/>
          <w:sz w:val="22"/>
          <w:szCs w:val="22"/>
        </w:rPr>
        <w:t>perform</w:t>
      </w:r>
      <w:proofErr w:type="spellEnd"/>
      <w:r>
        <w:rPr>
          <w:rFonts w:eastAsia="Palatino Linotype"/>
          <w:spacing w:val="-1"/>
          <w:position w:val="1"/>
          <w:sz w:val="22"/>
          <w:szCs w:val="22"/>
        </w:rPr>
        <w:t xml:space="preserve"> </w:t>
      </w:r>
      <w:proofErr w:type="spellStart"/>
      <w:r>
        <w:rPr>
          <w:rFonts w:eastAsia="Palatino Linotype"/>
          <w:spacing w:val="-1"/>
          <w:position w:val="1"/>
          <w:sz w:val="22"/>
          <w:szCs w:val="22"/>
        </w:rPr>
        <w:t>the</w:t>
      </w:r>
      <w:proofErr w:type="spellEnd"/>
      <w:r>
        <w:rPr>
          <w:rFonts w:eastAsia="Palatino Linotype"/>
          <w:spacing w:val="-1"/>
          <w:position w:val="1"/>
          <w:sz w:val="22"/>
          <w:szCs w:val="22"/>
        </w:rPr>
        <w:t xml:space="preserve"> </w:t>
      </w:r>
      <w:proofErr w:type="spellStart"/>
      <w:r>
        <w:rPr>
          <w:rFonts w:eastAsia="Palatino Linotype"/>
          <w:spacing w:val="-1"/>
          <w:position w:val="1"/>
          <w:sz w:val="22"/>
          <w:szCs w:val="22"/>
        </w:rPr>
        <w:t>qualification</w:t>
      </w:r>
      <w:proofErr w:type="spellEnd"/>
      <w:r>
        <w:rPr>
          <w:rFonts w:eastAsia="Palatino Linotype"/>
          <w:spacing w:val="-1"/>
          <w:position w:val="1"/>
          <w:sz w:val="22"/>
          <w:szCs w:val="22"/>
        </w:rPr>
        <w:t xml:space="preserve"> </w:t>
      </w:r>
      <w:proofErr w:type="spellStart"/>
      <w:r>
        <w:rPr>
          <w:rFonts w:eastAsia="Palatino Linotype"/>
          <w:spacing w:val="-1"/>
          <w:position w:val="1"/>
          <w:sz w:val="22"/>
          <w:szCs w:val="22"/>
        </w:rPr>
        <w:t>tests</w:t>
      </w:r>
      <w:proofErr w:type="spellEnd"/>
      <w:r>
        <w:rPr>
          <w:rFonts w:eastAsia="Palatino Linotype"/>
          <w:spacing w:val="-1"/>
          <w:position w:val="1"/>
          <w:sz w:val="22"/>
          <w:szCs w:val="22"/>
        </w:rPr>
        <w:t xml:space="preserve"> </w:t>
      </w:r>
      <w:proofErr w:type="spellStart"/>
      <w:r>
        <w:rPr>
          <w:rFonts w:eastAsia="Palatino Linotype"/>
          <w:spacing w:val="-1"/>
          <w:position w:val="1"/>
          <w:sz w:val="22"/>
          <w:szCs w:val="22"/>
        </w:rPr>
        <w:t>of</w:t>
      </w:r>
      <w:proofErr w:type="spellEnd"/>
      <w:r>
        <w:rPr>
          <w:rFonts w:eastAsia="Palatino Linotype"/>
          <w:spacing w:val="-1"/>
          <w:position w:val="1"/>
          <w:sz w:val="22"/>
          <w:szCs w:val="22"/>
        </w:rPr>
        <w:t xml:space="preserve"> </w:t>
      </w:r>
      <w:proofErr w:type="spellStart"/>
      <w:r>
        <w:rPr>
          <w:rFonts w:eastAsia="Palatino Linotype"/>
          <w:spacing w:val="-1"/>
          <w:position w:val="1"/>
          <w:sz w:val="22"/>
          <w:szCs w:val="22"/>
        </w:rPr>
        <w:t>the</w:t>
      </w:r>
      <w:proofErr w:type="spellEnd"/>
      <w:r>
        <w:rPr>
          <w:rFonts w:eastAsia="Palatino Linotype"/>
          <w:spacing w:val="-1"/>
          <w:position w:val="1"/>
          <w:sz w:val="22"/>
          <w:szCs w:val="22"/>
        </w:rPr>
        <w:t xml:space="preserve"> </w:t>
      </w:r>
      <w:proofErr w:type="spellStart"/>
      <w:r>
        <w:rPr>
          <w:rFonts w:eastAsia="Palatino Linotype"/>
          <w:spacing w:val="-1"/>
          <w:position w:val="1"/>
          <w:sz w:val="22"/>
          <w:szCs w:val="22"/>
        </w:rPr>
        <w:t>telemetry</w:t>
      </w:r>
      <w:proofErr w:type="spellEnd"/>
      <w:r>
        <w:rPr>
          <w:rFonts w:eastAsia="Palatino Linotype"/>
          <w:spacing w:val="-1"/>
          <w:position w:val="1"/>
          <w:sz w:val="22"/>
          <w:szCs w:val="22"/>
        </w:rPr>
        <w:t xml:space="preserve"> </w:t>
      </w:r>
      <w:proofErr w:type="spellStart"/>
      <w:r>
        <w:rPr>
          <w:rFonts w:eastAsia="Palatino Linotype"/>
          <w:spacing w:val="-1"/>
          <w:position w:val="1"/>
          <w:sz w:val="22"/>
          <w:szCs w:val="22"/>
        </w:rPr>
        <w:t>devices</w:t>
      </w:r>
      <w:proofErr w:type="spellEnd"/>
      <w:r>
        <w:rPr>
          <w:rFonts w:eastAsia="Palatino Linotype"/>
          <w:spacing w:val="-1"/>
          <w:position w:val="1"/>
          <w:sz w:val="22"/>
          <w:szCs w:val="22"/>
        </w:rPr>
        <w:t xml:space="preserve"> </w:t>
      </w:r>
      <w:proofErr w:type="spellStart"/>
      <w:r>
        <w:rPr>
          <w:rFonts w:eastAsia="Palatino Linotype"/>
          <w:spacing w:val="-1"/>
          <w:position w:val="1"/>
          <w:sz w:val="22"/>
          <w:szCs w:val="22"/>
        </w:rPr>
        <w:t>described</w:t>
      </w:r>
      <w:proofErr w:type="spellEnd"/>
      <w:r>
        <w:rPr>
          <w:rFonts w:eastAsia="Palatino Linotype"/>
          <w:spacing w:val="-1"/>
          <w:position w:val="1"/>
          <w:sz w:val="22"/>
          <w:szCs w:val="22"/>
        </w:rPr>
        <w:t xml:space="preserve"> in </w:t>
      </w:r>
      <w:proofErr w:type="spellStart"/>
      <w:r>
        <w:rPr>
          <w:rFonts w:eastAsia="Palatino Linotype"/>
          <w:spacing w:val="-1"/>
          <w:position w:val="1"/>
          <w:sz w:val="22"/>
          <w:szCs w:val="22"/>
        </w:rPr>
        <w:t>Chapter</w:t>
      </w:r>
      <w:proofErr w:type="spellEnd"/>
      <w:r>
        <w:rPr>
          <w:rFonts w:eastAsia="Palatino Linotype"/>
          <w:spacing w:val="-1"/>
          <w:position w:val="1"/>
          <w:sz w:val="22"/>
          <w:szCs w:val="22"/>
        </w:rPr>
        <w:t xml:space="preserve"> 11 </w:t>
      </w:r>
      <w:proofErr w:type="spellStart"/>
      <w:r>
        <w:rPr>
          <w:rFonts w:eastAsia="Palatino Linotype"/>
          <w:spacing w:val="-1"/>
          <w:position w:val="1"/>
          <w:sz w:val="22"/>
          <w:szCs w:val="22"/>
        </w:rPr>
        <w:t>of</w:t>
      </w:r>
      <w:proofErr w:type="spellEnd"/>
      <w:r>
        <w:rPr>
          <w:rFonts w:eastAsia="Palatino Linotype"/>
          <w:spacing w:val="-1"/>
          <w:position w:val="1"/>
          <w:sz w:val="22"/>
          <w:szCs w:val="22"/>
        </w:rPr>
        <w:t xml:space="preserve"> </w:t>
      </w:r>
      <w:proofErr w:type="spellStart"/>
      <w:r>
        <w:rPr>
          <w:rFonts w:eastAsia="Palatino Linotype"/>
          <w:spacing w:val="-1"/>
          <w:position w:val="1"/>
          <w:sz w:val="22"/>
          <w:szCs w:val="22"/>
        </w:rPr>
        <w:t>this</w:t>
      </w:r>
      <w:proofErr w:type="spellEnd"/>
      <w:r>
        <w:rPr>
          <w:rFonts w:eastAsia="Palatino Linotype"/>
          <w:spacing w:val="-1"/>
          <w:position w:val="1"/>
          <w:sz w:val="22"/>
          <w:szCs w:val="22"/>
        </w:rPr>
        <w:t xml:space="preserve"> </w:t>
      </w:r>
      <w:proofErr w:type="spellStart"/>
      <w:r>
        <w:rPr>
          <w:rFonts w:eastAsia="Palatino Linotype"/>
          <w:spacing w:val="-1"/>
          <w:position w:val="1"/>
          <w:sz w:val="22"/>
          <w:szCs w:val="22"/>
        </w:rPr>
        <w:t>Annex</w:t>
      </w:r>
      <w:proofErr w:type="spellEnd"/>
      <w:r>
        <w:rPr>
          <w:rFonts w:eastAsia="Palatino Linotype"/>
          <w:spacing w:val="-1"/>
          <w:position w:val="1"/>
          <w:sz w:val="22"/>
          <w:szCs w:val="22"/>
        </w:rPr>
        <w:t xml:space="preserve"> VII – </w:t>
      </w:r>
      <w:proofErr w:type="spellStart"/>
      <w:r>
        <w:rPr>
          <w:rFonts w:eastAsia="Palatino Linotype"/>
          <w:spacing w:val="-1"/>
          <w:position w:val="1"/>
          <w:sz w:val="22"/>
          <w:szCs w:val="22"/>
        </w:rPr>
        <w:t>Technical</w:t>
      </w:r>
      <w:proofErr w:type="spellEnd"/>
      <w:r>
        <w:rPr>
          <w:rFonts w:eastAsia="Palatino Linotype"/>
          <w:spacing w:val="-1"/>
          <w:position w:val="1"/>
          <w:sz w:val="22"/>
          <w:szCs w:val="22"/>
        </w:rPr>
        <w:t xml:space="preserve"> </w:t>
      </w:r>
      <w:proofErr w:type="spellStart"/>
      <w:r>
        <w:rPr>
          <w:rFonts w:eastAsia="Palatino Linotype"/>
          <w:spacing w:val="-1"/>
          <w:position w:val="1"/>
          <w:sz w:val="22"/>
          <w:szCs w:val="22"/>
        </w:rPr>
        <w:t>Specifications</w:t>
      </w:r>
      <w:proofErr w:type="spellEnd"/>
    </w:p>
    <w:p w14:paraId="5B91104F" w14:textId="77777777" w:rsidR="00E255F4" w:rsidRDefault="00000000">
      <w:pPr>
        <w:pStyle w:val="Prrafodelista"/>
        <w:numPr>
          <w:ilvl w:val="1"/>
          <w:numId w:val="28"/>
        </w:numPr>
        <w:spacing w:before="120" w:after="120"/>
        <w:ind w:left="567" w:hanging="567"/>
        <w:jc w:val="both"/>
        <w:rPr>
          <w:rFonts w:eastAsia="Palatino Linotype"/>
          <w:spacing w:val="-1"/>
          <w:position w:val="1"/>
          <w:sz w:val="22"/>
          <w:szCs w:val="22"/>
          <w:lang w:val="es-ES"/>
        </w:rPr>
      </w:pPr>
      <w:r>
        <w:rPr>
          <w:spacing w:val="-3"/>
          <w:sz w:val="22"/>
          <w:szCs w:val="22"/>
          <w:lang w:val="es-ES"/>
        </w:rPr>
        <w:t xml:space="preserve">OSE </w:t>
      </w:r>
      <w:proofErr w:type="spellStart"/>
      <w:r>
        <w:rPr>
          <w:spacing w:val="-3"/>
          <w:sz w:val="22"/>
          <w:szCs w:val="22"/>
          <w:lang w:val="es-ES"/>
        </w:rPr>
        <w:t>will</w:t>
      </w:r>
      <w:proofErr w:type="spellEnd"/>
      <w:r>
        <w:rPr>
          <w:spacing w:val="-3"/>
          <w:sz w:val="22"/>
          <w:szCs w:val="22"/>
          <w:lang w:val="es-ES"/>
        </w:rPr>
        <w:t xml:space="preserve"> </w:t>
      </w:r>
      <w:proofErr w:type="spellStart"/>
      <w:r>
        <w:rPr>
          <w:spacing w:val="-3"/>
          <w:sz w:val="22"/>
          <w:szCs w:val="22"/>
          <w:lang w:val="es-ES"/>
        </w:rPr>
        <w:t>issue</w:t>
      </w:r>
      <w:proofErr w:type="spellEnd"/>
      <w:r>
        <w:rPr>
          <w:spacing w:val="-3"/>
          <w:sz w:val="22"/>
          <w:szCs w:val="22"/>
          <w:lang w:val="es-ES"/>
        </w:rPr>
        <w:t xml:space="preserve"> </w:t>
      </w:r>
      <w:proofErr w:type="spellStart"/>
      <w:r>
        <w:rPr>
          <w:spacing w:val="-3"/>
          <w:sz w:val="22"/>
          <w:szCs w:val="22"/>
          <w:lang w:val="es-ES"/>
        </w:rPr>
        <w:t>the</w:t>
      </w:r>
      <w:proofErr w:type="spellEnd"/>
      <w:r>
        <w:rPr>
          <w:spacing w:val="-3"/>
          <w:sz w:val="22"/>
          <w:szCs w:val="22"/>
          <w:lang w:val="es-ES"/>
        </w:rPr>
        <w:t xml:space="preserve"> </w:t>
      </w:r>
      <w:proofErr w:type="spellStart"/>
      <w:r>
        <w:rPr>
          <w:spacing w:val="-3"/>
          <w:sz w:val="22"/>
          <w:szCs w:val="22"/>
          <w:lang w:val="es-ES"/>
        </w:rPr>
        <w:t>corresponding</w:t>
      </w:r>
      <w:proofErr w:type="spellEnd"/>
      <w:r>
        <w:rPr>
          <w:spacing w:val="-3"/>
          <w:sz w:val="22"/>
          <w:szCs w:val="22"/>
          <w:lang w:val="es-ES"/>
        </w:rPr>
        <w:t xml:space="preserve"> </w:t>
      </w:r>
      <w:proofErr w:type="spellStart"/>
      <w:r>
        <w:rPr>
          <w:spacing w:val="-3"/>
          <w:sz w:val="22"/>
          <w:szCs w:val="22"/>
          <w:lang w:val="es-ES"/>
        </w:rPr>
        <w:t>receipt</w:t>
      </w:r>
      <w:proofErr w:type="spellEnd"/>
      <w:r>
        <w:rPr>
          <w:spacing w:val="-3"/>
          <w:sz w:val="22"/>
          <w:szCs w:val="22"/>
          <w:lang w:val="es-ES"/>
        </w:rPr>
        <w:t xml:space="preserve"> “Sample </w:t>
      </w:r>
      <w:proofErr w:type="spellStart"/>
      <w:r>
        <w:rPr>
          <w:spacing w:val="-3"/>
          <w:sz w:val="22"/>
          <w:szCs w:val="22"/>
          <w:lang w:val="es-ES"/>
        </w:rPr>
        <w:t>Receipt</w:t>
      </w:r>
      <w:proofErr w:type="spellEnd"/>
      <w:r>
        <w:rPr>
          <w:spacing w:val="-3"/>
          <w:sz w:val="22"/>
          <w:szCs w:val="22"/>
          <w:lang w:val="es-ES"/>
        </w:rPr>
        <w:t xml:space="preserve">”, </w:t>
      </w:r>
      <w:proofErr w:type="spellStart"/>
      <w:r>
        <w:rPr>
          <w:spacing w:val="-3"/>
          <w:sz w:val="22"/>
          <w:szCs w:val="22"/>
          <w:lang w:val="es-ES"/>
        </w:rPr>
        <w:t>numbered</w:t>
      </w:r>
      <w:proofErr w:type="spellEnd"/>
      <w:r>
        <w:rPr>
          <w:spacing w:val="-3"/>
          <w:sz w:val="22"/>
          <w:szCs w:val="22"/>
          <w:lang w:val="es-ES"/>
        </w:rPr>
        <w:t xml:space="preserve">, </w:t>
      </w:r>
      <w:proofErr w:type="spellStart"/>
      <w:r>
        <w:rPr>
          <w:spacing w:val="-3"/>
          <w:sz w:val="22"/>
          <w:szCs w:val="22"/>
          <w:lang w:val="es-ES"/>
        </w:rPr>
        <w:t>dated</w:t>
      </w:r>
      <w:proofErr w:type="spellEnd"/>
      <w:r>
        <w:rPr>
          <w:spacing w:val="-3"/>
          <w:sz w:val="22"/>
          <w:szCs w:val="22"/>
          <w:lang w:val="es-ES"/>
        </w:rPr>
        <w:t xml:space="preserve"> and </w:t>
      </w:r>
      <w:proofErr w:type="spellStart"/>
      <w:r>
        <w:rPr>
          <w:spacing w:val="-3"/>
          <w:sz w:val="22"/>
          <w:szCs w:val="22"/>
          <w:lang w:val="es-ES"/>
        </w:rPr>
        <w:t>with</w:t>
      </w:r>
      <w:proofErr w:type="spellEnd"/>
      <w:r>
        <w:rPr>
          <w:spacing w:val="-3"/>
          <w:sz w:val="22"/>
          <w:szCs w:val="22"/>
          <w:lang w:val="es-ES"/>
        </w:rPr>
        <w:t xml:space="preserve"> time </w:t>
      </w:r>
      <w:proofErr w:type="spellStart"/>
      <w:r>
        <w:rPr>
          <w:spacing w:val="-3"/>
          <w:sz w:val="22"/>
          <w:szCs w:val="22"/>
          <w:lang w:val="es-ES"/>
        </w:rPr>
        <w:t>of</w:t>
      </w:r>
      <w:proofErr w:type="spellEnd"/>
      <w:r>
        <w:rPr>
          <w:spacing w:val="-3"/>
          <w:sz w:val="22"/>
          <w:szCs w:val="22"/>
          <w:lang w:val="es-ES"/>
        </w:rPr>
        <w:t xml:space="preserve"> </w:t>
      </w:r>
      <w:proofErr w:type="spellStart"/>
      <w:r>
        <w:rPr>
          <w:spacing w:val="-3"/>
          <w:sz w:val="22"/>
          <w:szCs w:val="22"/>
          <w:lang w:val="es-ES"/>
        </w:rPr>
        <w:t>receipt</w:t>
      </w:r>
      <w:proofErr w:type="spellEnd"/>
      <w:r>
        <w:rPr>
          <w:spacing w:val="-3"/>
          <w:sz w:val="22"/>
          <w:szCs w:val="22"/>
          <w:lang w:val="es-ES"/>
        </w:rPr>
        <w:t xml:space="preserve">, </w:t>
      </w:r>
      <w:proofErr w:type="spellStart"/>
      <w:r>
        <w:rPr>
          <w:spacing w:val="-3"/>
          <w:sz w:val="22"/>
          <w:szCs w:val="22"/>
          <w:lang w:val="es-ES"/>
        </w:rPr>
        <w:t>duly</w:t>
      </w:r>
      <w:proofErr w:type="spellEnd"/>
      <w:r>
        <w:rPr>
          <w:spacing w:val="-3"/>
          <w:sz w:val="22"/>
          <w:szCs w:val="22"/>
          <w:lang w:val="es-ES"/>
        </w:rPr>
        <w:t xml:space="preserve"> </w:t>
      </w:r>
      <w:proofErr w:type="spellStart"/>
      <w:r>
        <w:rPr>
          <w:spacing w:val="-3"/>
          <w:sz w:val="22"/>
          <w:szCs w:val="22"/>
          <w:lang w:val="es-ES"/>
        </w:rPr>
        <w:t>signed</w:t>
      </w:r>
      <w:proofErr w:type="spellEnd"/>
      <w:r>
        <w:rPr>
          <w:spacing w:val="-3"/>
          <w:sz w:val="22"/>
          <w:szCs w:val="22"/>
          <w:lang w:val="es-ES"/>
        </w:rPr>
        <w:t xml:space="preserve"> and </w:t>
      </w:r>
      <w:proofErr w:type="spellStart"/>
      <w:r>
        <w:rPr>
          <w:spacing w:val="-3"/>
          <w:sz w:val="22"/>
          <w:szCs w:val="22"/>
          <w:lang w:val="es-ES"/>
        </w:rPr>
        <w:t>with</w:t>
      </w:r>
      <w:proofErr w:type="spellEnd"/>
      <w:r>
        <w:rPr>
          <w:spacing w:val="-3"/>
          <w:sz w:val="22"/>
          <w:szCs w:val="22"/>
          <w:lang w:val="es-ES"/>
        </w:rPr>
        <w:t xml:space="preserve"> </w:t>
      </w:r>
      <w:proofErr w:type="spellStart"/>
      <w:r>
        <w:rPr>
          <w:spacing w:val="-3"/>
          <w:sz w:val="22"/>
          <w:szCs w:val="22"/>
          <w:lang w:val="es-ES"/>
        </w:rPr>
        <w:t>signature</w:t>
      </w:r>
      <w:proofErr w:type="spellEnd"/>
      <w:r>
        <w:rPr>
          <w:spacing w:val="-3"/>
          <w:sz w:val="22"/>
          <w:szCs w:val="22"/>
          <w:lang w:val="es-ES"/>
        </w:rPr>
        <w:t xml:space="preserve"> </w:t>
      </w:r>
      <w:proofErr w:type="spellStart"/>
      <w:r>
        <w:rPr>
          <w:spacing w:val="-3"/>
          <w:sz w:val="22"/>
          <w:szCs w:val="22"/>
          <w:lang w:val="es-ES"/>
        </w:rPr>
        <w:t>clarification</w:t>
      </w:r>
      <w:proofErr w:type="spellEnd"/>
      <w:r>
        <w:rPr>
          <w:spacing w:val="-3"/>
          <w:sz w:val="22"/>
          <w:szCs w:val="22"/>
          <w:lang w:val="es-ES"/>
        </w:rPr>
        <w:t xml:space="preserve"> </w:t>
      </w:r>
      <w:proofErr w:type="spellStart"/>
      <w:r>
        <w:rPr>
          <w:spacing w:val="-3"/>
          <w:sz w:val="22"/>
          <w:szCs w:val="22"/>
          <w:lang w:val="es-ES"/>
        </w:rPr>
        <w:t>by</w:t>
      </w:r>
      <w:proofErr w:type="spellEnd"/>
      <w:r>
        <w:rPr>
          <w:spacing w:val="-3"/>
          <w:sz w:val="22"/>
          <w:szCs w:val="22"/>
          <w:lang w:val="es-ES"/>
        </w:rPr>
        <w:t xml:space="preserve"> </w:t>
      </w:r>
      <w:proofErr w:type="spellStart"/>
      <w:r>
        <w:rPr>
          <w:spacing w:val="-3"/>
          <w:sz w:val="22"/>
          <w:szCs w:val="22"/>
          <w:lang w:val="es-ES"/>
        </w:rPr>
        <w:t>the</w:t>
      </w:r>
      <w:proofErr w:type="spellEnd"/>
      <w:r>
        <w:rPr>
          <w:spacing w:val="-3"/>
          <w:sz w:val="22"/>
          <w:szCs w:val="22"/>
          <w:lang w:val="es-ES"/>
        </w:rPr>
        <w:t xml:space="preserve"> </w:t>
      </w:r>
      <w:proofErr w:type="spellStart"/>
      <w:r>
        <w:rPr>
          <w:spacing w:val="-3"/>
          <w:sz w:val="22"/>
          <w:szCs w:val="22"/>
          <w:lang w:val="es-ES"/>
        </w:rPr>
        <w:t>official</w:t>
      </w:r>
      <w:proofErr w:type="spellEnd"/>
      <w:r>
        <w:rPr>
          <w:spacing w:val="-3"/>
          <w:sz w:val="22"/>
          <w:szCs w:val="22"/>
          <w:lang w:val="es-ES"/>
        </w:rPr>
        <w:t xml:space="preserve"> </w:t>
      </w:r>
      <w:proofErr w:type="spellStart"/>
      <w:r>
        <w:rPr>
          <w:spacing w:val="-3"/>
          <w:sz w:val="22"/>
          <w:szCs w:val="22"/>
          <w:lang w:val="es-ES"/>
        </w:rPr>
        <w:t>who</w:t>
      </w:r>
      <w:proofErr w:type="spellEnd"/>
      <w:r>
        <w:rPr>
          <w:spacing w:val="-3"/>
          <w:sz w:val="22"/>
          <w:szCs w:val="22"/>
          <w:lang w:val="es-ES"/>
        </w:rPr>
        <w:t xml:space="preserve"> </w:t>
      </w:r>
      <w:proofErr w:type="spellStart"/>
      <w:r>
        <w:rPr>
          <w:spacing w:val="-3"/>
          <w:sz w:val="22"/>
          <w:szCs w:val="22"/>
          <w:lang w:val="es-ES"/>
        </w:rPr>
        <w:t>received</w:t>
      </w:r>
      <w:proofErr w:type="spellEnd"/>
      <w:r>
        <w:rPr>
          <w:spacing w:val="-3"/>
          <w:sz w:val="22"/>
          <w:szCs w:val="22"/>
          <w:lang w:val="es-ES"/>
        </w:rPr>
        <w:t xml:space="preserve"> </w:t>
      </w:r>
      <w:proofErr w:type="spellStart"/>
      <w:r>
        <w:rPr>
          <w:spacing w:val="-3"/>
          <w:sz w:val="22"/>
          <w:szCs w:val="22"/>
          <w:lang w:val="es-ES"/>
        </w:rPr>
        <w:t>the</w:t>
      </w:r>
      <w:proofErr w:type="spellEnd"/>
      <w:r>
        <w:rPr>
          <w:spacing w:val="-3"/>
          <w:sz w:val="22"/>
          <w:szCs w:val="22"/>
          <w:lang w:val="es-ES"/>
        </w:rPr>
        <w:t xml:space="preserve"> </w:t>
      </w:r>
      <w:proofErr w:type="spellStart"/>
      <w:r>
        <w:rPr>
          <w:spacing w:val="-3"/>
          <w:sz w:val="22"/>
          <w:szCs w:val="22"/>
          <w:lang w:val="es-ES"/>
        </w:rPr>
        <w:t>samples</w:t>
      </w:r>
      <w:proofErr w:type="spellEnd"/>
      <w:r>
        <w:rPr>
          <w:spacing w:val="-3"/>
          <w:sz w:val="22"/>
          <w:szCs w:val="22"/>
          <w:lang w:val="es-ES"/>
        </w:rPr>
        <w:t xml:space="preserve"> and </w:t>
      </w:r>
      <w:proofErr w:type="spellStart"/>
      <w:r>
        <w:rPr>
          <w:spacing w:val="-3"/>
          <w:sz w:val="22"/>
          <w:szCs w:val="22"/>
          <w:lang w:val="es-ES"/>
        </w:rPr>
        <w:t>the</w:t>
      </w:r>
      <w:proofErr w:type="spellEnd"/>
      <w:r>
        <w:rPr>
          <w:spacing w:val="-3"/>
          <w:sz w:val="22"/>
          <w:szCs w:val="22"/>
          <w:lang w:val="es-ES"/>
        </w:rPr>
        <w:t xml:space="preserve"> representative </w:t>
      </w:r>
      <w:proofErr w:type="spellStart"/>
      <w:r>
        <w:rPr>
          <w:spacing w:val="-3"/>
          <w:sz w:val="22"/>
          <w:szCs w:val="22"/>
          <w:lang w:val="es-ES"/>
        </w:rPr>
        <w:t>of</w:t>
      </w:r>
      <w:proofErr w:type="spellEnd"/>
      <w:r>
        <w:rPr>
          <w:spacing w:val="-3"/>
          <w:sz w:val="22"/>
          <w:szCs w:val="22"/>
          <w:lang w:val="es-ES"/>
        </w:rPr>
        <w:t xml:space="preserve"> </w:t>
      </w:r>
      <w:proofErr w:type="spellStart"/>
      <w:r>
        <w:rPr>
          <w:spacing w:val="-3"/>
          <w:sz w:val="22"/>
          <w:szCs w:val="22"/>
          <w:lang w:val="es-ES"/>
        </w:rPr>
        <w:t>the</w:t>
      </w:r>
      <w:proofErr w:type="spellEnd"/>
      <w:r>
        <w:rPr>
          <w:spacing w:val="-3"/>
          <w:sz w:val="22"/>
          <w:szCs w:val="22"/>
          <w:lang w:val="es-ES"/>
        </w:rPr>
        <w:t xml:space="preserve"> </w:t>
      </w:r>
      <w:proofErr w:type="spellStart"/>
      <w:r>
        <w:rPr>
          <w:spacing w:val="-3"/>
          <w:sz w:val="22"/>
          <w:szCs w:val="22"/>
          <w:lang w:val="es-ES"/>
        </w:rPr>
        <w:t>company</w:t>
      </w:r>
      <w:proofErr w:type="spellEnd"/>
      <w:r>
        <w:rPr>
          <w:spacing w:val="-3"/>
          <w:sz w:val="22"/>
          <w:szCs w:val="22"/>
          <w:lang w:val="es-ES"/>
        </w:rPr>
        <w:t xml:space="preserve"> </w:t>
      </w:r>
      <w:proofErr w:type="spellStart"/>
      <w:r>
        <w:rPr>
          <w:spacing w:val="-3"/>
          <w:sz w:val="22"/>
          <w:szCs w:val="22"/>
          <w:lang w:val="es-ES"/>
        </w:rPr>
        <w:t>that</w:t>
      </w:r>
      <w:proofErr w:type="spellEnd"/>
      <w:r>
        <w:rPr>
          <w:spacing w:val="-3"/>
          <w:sz w:val="22"/>
          <w:szCs w:val="22"/>
          <w:lang w:val="es-ES"/>
        </w:rPr>
        <w:t xml:space="preserve"> </w:t>
      </w:r>
      <w:proofErr w:type="spellStart"/>
      <w:r>
        <w:rPr>
          <w:spacing w:val="-3"/>
          <w:sz w:val="22"/>
          <w:szCs w:val="22"/>
          <w:lang w:val="es-ES"/>
        </w:rPr>
        <w:t>delivered</w:t>
      </w:r>
      <w:proofErr w:type="spellEnd"/>
      <w:r>
        <w:rPr>
          <w:spacing w:val="-3"/>
          <w:sz w:val="22"/>
          <w:szCs w:val="22"/>
          <w:lang w:val="es-ES"/>
        </w:rPr>
        <w:t xml:space="preserve"> </w:t>
      </w:r>
      <w:proofErr w:type="spellStart"/>
      <w:r>
        <w:rPr>
          <w:spacing w:val="-3"/>
          <w:sz w:val="22"/>
          <w:szCs w:val="22"/>
          <w:lang w:val="es-ES"/>
        </w:rPr>
        <w:t>them</w:t>
      </w:r>
      <w:proofErr w:type="spellEnd"/>
      <w:r>
        <w:rPr>
          <w:spacing w:val="-3"/>
          <w:sz w:val="22"/>
          <w:szCs w:val="22"/>
          <w:lang w:val="es-ES"/>
        </w:rPr>
        <w:t>.</w:t>
      </w:r>
    </w:p>
    <w:p w14:paraId="672B7D3D" w14:textId="77777777" w:rsidR="00E255F4" w:rsidRDefault="00000000">
      <w:pPr>
        <w:pStyle w:val="Prrafodelista"/>
        <w:numPr>
          <w:ilvl w:val="1"/>
          <w:numId w:val="28"/>
        </w:numPr>
        <w:spacing w:before="120" w:after="120"/>
        <w:ind w:left="567" w:hanging="567"/>
        <w:jc w:val="both"/>
      </w:pPr>
      <w:proofErr w:type="spellStart"/>
      <w:r>
        <w:rPr>
          <w:spacing w:val="-3"/>
          <w:sz w:val="22"/>
          <w:szCs w:val="22"/>
          <w:lang w:val="es-ES"/>
        </w:rPr>
        <w:t>Bidders</w:t>
      </w:r>
      <w:proofErr w:type="spellEnd"/>
      <w:r>
        <w:rPr>
          <w:spacing w:val="-3"/>
          <w:sz w:val="22"/>
          <w:szCs w:val="22"/>
          <w:lang w:val="es-ES"/>
        </w:rPr>
        <w:t xml:space="preserve"> </w:t>
      </w:r>
      <w:proofErr w:type="spellStart"/>
      <w:r>
        <w:rPr>
          <w:spacing w:val="-3"/>
          <w:sz w:val="22"/>
          <w:szCs w:val="22"/>
          <w:lang w:val="es-ES"/>
        </w:rPr>
        <w:t>will</w:t>
      </w:r>
      <w:proofErr w:type="spellEnd"/>
      <w:r>
        <w:rPr>
          <w:spacing w:val="-3"/>
          <w:sz w:val="22"/>
          <w:szCs w:val="22"/>
          <w:lang w:val="es-ES"/>
        </w:rPr>
        <w:t xml:space="preserve"> </w:t>
      </w:r>
      <w:proofErr w:type="spellStart"/>
      <w:r>
        <w:rPr>
          <w:spacing w:val="-3"/>
          <w:sz w:val="22"/>
          <w:szCs w:val="22"/>
          <w:lang w:val="es-ES"/>
        </w:rPr>
        <w:t>have</w:t>
      </w:r>
      <w:proofErr w:type="spellEnd"/>
      <w:r>
        <w:rPr>
          <w:spacing w:val="-3"/>
          <w:sz w:val="22"/>
          <w:szCs w:val="22"/>
          <w:lang w:val="es-ES"/>
        </w:rPr>
        <w:t xml:space="preserve"> a </w:t>
      </w:r>
      <w:proofErr w:type="spellStart"/>
      <w:r>
        <w:rPr>
          <w:spacing w:val="-3"/>
          <w:sz w:val="22"/>
          <w:szCs w:val="22"/>
          <w:lang w:val="es-ES"/>
        </w:rPr>
        <w:t>maximum</w:t>
      </w:r>
      <w:proofErr w:type="spellEnd"/>
      <w:r>
        <w:rPr>
          <w:spacing w:val="-3"/>
          <w:sz w:val="22"/>
          <w:szCs w:val="22"/>
          <w:lang w:val="es-ES"/>
        </w:rPr>
        <w:t xml:space="preserve"> </w:t>
      </w:r>
      <w:proofErr w:type="spellStart"/>
      <w:r>
        <w:rPr>
          <w:spacing w:val="-3"/>
          <w:sz w:val="22"/>
          <w:szCs w:val="22"/>
          <w:lang w:val="es-ES"/>
        </w:rPr>
        <w:t>period</w:t>
      </w:r>
      <w:proofErr w:type="spellEnd"/>
      <w:r>
        <w:rPr>
          <w:spacing w:val="-3"/>
          <w:sz w:val="22"/>
          <w:szCs w:val="22"/>
          <w:lang w:val="es-ES"/>
        </w:rPr>
        <w:t xml:space="preserve"> </w:t>
      </w:r>
      <w:proofErr w:type="spellStart"/>
      <w:r>
        <w:rPr>
          <w:spacing w:val="-3"/>
          <w:sz w:val="22"/>
          <w:szCs w:val="22"/>
          <w:lang w:val="es-ES"/>
        </w:rPr>
        <w:t>of</w:t>
      </w:r>
      <w:proofErr w:type="spellEnd"/>
      <w:r>
        <w:rPr>
          <w:spacing w:val="-3"/>
          <w:sz w:val="22"/>
          <w:szCs w:val="22"/>
          <w:lang w:val="es-ES"/>
        </w:rPr>
        <w:t xml:space="preserve"> 30 calendar </w:t>
      </w:r>
      <w:proofErr w:type="spellStart"/>
      <w:r>
        <w:rPr>
          <w:spacing w:val="-3"/>
          <w:sz w:val="22"/>
          <w:szCs w:val="22"/>
          <w:lang w:val="es-ES"/>
        </w:rPr>
        <w:t>days</w:t>
      </w:r>
      <w:proofErr w:type="spellEnd"/>
      <w:r>
        <w:rPr>
          <w:spacing w:val="-3"/>
          <w:sz w:val="22"/>
          <w:szCs w:val="22"/>
          <w:lang w:val="es-ES"/>
        </w:rPr>
        <w:t xml:space="preserve"> </w:t>
      </w:r>
      <w:proofErr w:type="spellStart"/>
      <w:r>
        <w:rPr>
          <w:spacing w:val="-3"/>
          <w:sz w:val="22"/>
          <w:szCs w:val="22"/>
          <w:lang w:val="es-ES"/>
        </w:rPr>
        <w:t>from</w:t>
      </w:r>
      <w:proofErr w:type="spellEnd"/>
      <w:r>
        <w:rPr>
          <w:spacing w:val="-3"/>
          <w:sz w:val="22"/>
          <w:szCs w:val="22"/>
          <w:lang w:val="es-ES"/>
        </w:rPr>
        <w:t xml:space="preserve"> </w:t>
      </w:r>
      <w:proofErr w:type="spellStart"/>
      <w:r>
        <w:rPr>
          <w:spacing w:val="-3"/>
          <w:sz w:val="22"/>
          <w:szCs w:val="22"/>
          <w:lang w:val="es-ES"/>
        </w:rPr>
        <w:t>the</w:t>
      </w:r>
      <w:proofErr w:type="spellEnd"/>
      <w:r>
        <w:rPr>
          <w:spacing w:val="-3"/>
          <w:sz w:val="22"/>
          <w:szCs w:val="22"/>
          <w:lang w:val="es-ES"/>
        </w:rPr>
        <w:t xml:space="preserve"> </w:t>
      </w:r>
      <w:proofErr w:type="spellStart"/>
      <w:r>
        <w:rPr>
          <w:spacing w:val="-3"/>
          <w:sz w:val="22"/>
          <w:szCs w:val="22"/>
          <w:lang w:val="es-ES"/>
        </w:rPr>
        <w:t>notification</w:t>
      </w:r>
      <w:proofErr w:type="spellEnd"/>
      <w:r>
        <w:rPr>
          <w:spacing w:val="-3"/>
          <w:sz w:val="22"/>
          <w:szCs w:val="22"/>
          <w:lang w:val="es-ES"/>
        </w:rPr>
        <w:t xml:space="preserve"> </w:t>
      </w:r>
      <w:proofErr w:type="spellStart"/>
      <w:r>
        <w:rPr>
          <w:spacing w:val="-3"/>
          <w:sz w:val="22"/>
          <w:szCs w:val="22"/>
          <w:lang w:val="es-ES"/>
        </w:rPr>
        <w:t>of</w:t>
      </w:r>
      <w:proofErr w:type="spellEnd"/>
      <w:r>
        <w:rPr>
          <w:spacing w:val="-3"/>
          <w:sz w:val="22"/>
          <w:szCs w:val="22"/>
          <w:lang w:val="es-ES"/>
        </w:rPr>
        <w:t xml:space="preserve"> </w:t>
      </w:r>
      <w:proofErr w:type="spellStart"/>
      <w:r>
        <w:rPr>
          <w:spacing w:val="-3"/>
          <w:sz w:val="22"/>
          <w:szCs w:val="22"/>
          <w:lang w:val="es-ES"/>
        </w:rPr>
        <w:t>award</w:t>
      </w:r>
      <w:proofErr w:type="spellEnd"/>
      <w:r>
        <w:rPr>
          <w:spacing w:val="-3"/>
          <w:sz w:val="22"/>
          <w:szCs w:val="22"/>
          <w:lang w:val="es-ES"/>
        </w:rPr>
        <w:t xml:space="preserve"> </w:t>
      </w:r>
      <w:proofErr w:type="spellStart"/>
      <w:r>
        <w:rPr>
          <w:spacing w:val="-3"/>
          <w:sz w:val="22"/>
          <w:szCs w:val="22"/>
          <w:lang w:val="es-ES"/>
        </w:rPr>
        <w:t>to</w:t>
      </w:r>
      <w:proofErr w:type="spellEnd"/>
      <w:r>
        <w:rPr>
          <w:spacing w:val="-3"/>
          <w:sz w:val="22"/>
          <w:szCs w:val="22"/>
          <w:lang w:val="es-ES"/>
        </w:rPr>
        <w:t xml:space="preserve"> </w:t>
      </w:r>
      <w:proofErr w:type="spellStart"/>
      <w:r>
        <w:rPr>
          <w:spacing w:val="-3"/>
          <w:sz w:val="22"/>
          <w:szCs w:val="22"/>
          <w:lang w:val="es-ES"/>
        </w:rPr>
        <w:t>collect</w:t>
      </w:r>
      <w:proofErr w:type="spellEnd"/>
      <w:r>
        <w:rPr>
          <w:spacing w:val="-3"/>
          <w:sz w:val="22"/>
          <w:szCs w:val="22"/>
          <w:lang w:val="es-ES"/>
        </w:rPr>
        <w:t xml:space="preserve"> </w:t>
      </w:r>
      <w:proofErr w:type="spellStart"/>
      <w:r>
        <w:rPr>
          <w:spacing w:val="-3"/>
          <w:sz w:val="22"/>
          <w:szCs w:val="22"/>
          <w:lang w:val="es-ES"/>
        </w:rPr>
        <w:t>the</w:t>
      </w:r>
      <w:proofErr w:type="spellEnd"/>
      <w:r>
        <w:rPr>
          <w:spacing w:val="-3"/>
          <w:sz w:val="22"/>
          <w:szCs w:val="22"/>
          <w:lang w:val="es-ES"/>
        </w:rPr>
        <w:t xml:space="preserve"> </w:t>
      </w:r>
      <w:proofErr w:type="spellStart"/>
      <w:r>
        <w:rPr>
          <w:spacing w:val="-3"/>
          <w:sz w:val="22"/>
          <w:szCs w:val="22"/>
          <w:lang w:val="es-ES"/>
        </w:rPr>
        <w:t>samples</w:t>
      </w:r>
      <w:proofErr w:type="spellEnd"/>
      <w:r>
        <w:rPr>
          <w:spacing w:val="-3"/>
          <w:sz w:val="22"/>
          <w:szCs w:val="22"/>
          <w:lang w:val="es-ES"/>
        </w:rPr>
        <w:t xml:space="preserve"> </w:t>
      </w:r>
      <w:proofErr w:type="spellStart"/>
      <w:r>
        <w:rPr>
          <w:spacing w:val="-3"/>
          <w:sz w:val="22"/>
          <w:szCs w:val="22"/>
          <w:lang w:val="es-ES"/>
        </w:rPr>
        <w:t>of</w:t>
      </w:r>
      <w:proofErr w:type="spellEnd"/>
      <w:r>
        <w:rPr>
          <w:spacing w:val="-3"/>
          <w:sz w:val="22"/>
          <w:szCs w:val="22"/>
          <w:lang w:val="es-ES"/>
        </w:rPr>
        <w:t xml:space="preserve"> </w:t>
      </w:r>
      <w:proofErr w:type="spellStart"/>
      <w:r>
        <w:rPr>
          <w:spacing w:val="-3"/>
          <w:sz w:val="22"/>
          <w:szCs w:val="22"/>
          <w:lang w:val="es-ES"/>
        </w:rPr>
        <w:t>the</w:t>
      </w:r>
      <w:proofErr w:type="spellEnd"/>
      <w:r>
        <w:rPr>
          <w:spacing w:val="-3"/>
          <w:sz w:val="22"/>
          <w:szCs w:val="22"/>
          <w:lang w:val="es-ES"/>
        </w:rPr>
        <w:t xml:space="preserve"> </w:t>
      </w:r>
      <w:proofErr w:type="spellStart"/>
      <w:r>
        <w:rPr>
          <w:spacing w:val="-3"/>
          <w:sz w:val="22"/>
          <w:szCs w:val="22"/>
          <w:lang w:val="es-ES"/>
        </w:rPr>
        <w:t>bids</w:t>
      </w:r>
      <w:proofErr w:type="spellEnd"/>
      <w:r>
        <w:rPr>
          <w:spacing w:val="-3"/>
          <w:sz w:val="22"/>
          <w:szCs w:val="22"/>
          <w:lang w:val="es-ES"/>
        </w:rPr>
        <w:t xml:space="preserve"> </w:t>
      </w:r>
      <w:proofErr w:type="spellStart"/>
      <w:r>
        <w:rPr>
          <w:spacing w:val="-3"/>
          <w:sz w:val="22"/>
          <w:szCs w:val="22"/>
          <w:lang w:val="es-ES"/>
        </w:rPr>
        <w:t>that</w:t>
      </w:r>
      <w:proofErr w:type="spellEnd"/>
      <w:r>
        <w:rPr>
          <w:spacing w:val="-3"/>
          <w:sz w:val="22"/>
          <w:szCs w:val="22"/>
          <w:lang w:val="es-ES"/>
        </w:rPr>
        <w:t xml:space="preserve"> </w:t>
      </w:r>
      <w:proofErr w:type="spellStart"/>
      <w:r>
        <w:rPr>
          <w:spacing w:val="-3"/>
          <w:sz w:val="22"/>
          <w:szCs w:val="22"/>
          <w:lang w:val="es-ES"/>
        </w:rPr>
        <w:t>were</w:t>
      </w:r>
      <w:proofErr w:type="spellEnd"/>
      <w:r>
        <w:rPr>
          <w:spacing w:val="-3"/>
          <w:sz w:val="22"/>
          <w:szCs w:val="22"/>
          <w:lang w:val="es-ES"/>
        </w:rPr>
        <w:t xml:space="preserve"> </w:t>
      </w:r>
      <w:proofErr w:type="spellStart"/>
      <w:r>
        <w:rPr>
          <w:spacing w:val="-3"/>
          <w:sz w:val="22"/>
          <w:szCs w:val="22"/>
          <w:lang w:val="es-ES"/>
        </w:rPr>
        <w:t>not</w:t>
      </w:r>
      <w:proofErr w:type="spellEnd"/>
      <w:r>
        <w:rPr>
          <w:spacing w:val="-3"/>
          <w:sz w:val="22"/>
          <w:szCs w:val="22"/>
          <w:lang w:val="es-ES"/>
        </w:rPr>
        <w:t xml:space="preserve"> </w:t>
      </w:r>
      <w:proofErr w:type="spellStart"/>
      <w:r>
        <w:rPr>
          <w:spacing w:val="-3"/>
          <w:sz w:val="22"/>
          <w:szCs w:val="22"/>
          <w:lang w:val="es-ES"/>
        </w:rPr>
        <w:t>awarded</w:t>
      </w:r>
      <w:proofErr w:type="spellEnd"/>
      <w:r>
        <w:rPr>
          <w:spacing w:val="-3"/>
          <w:sz w:val="22"/>
          <w:szCs w:val="22"/>
          <w:lang w:val="es-ES"/>
        </w:rPr>
        <w:t>.</w:t>
      </w:r>
      <w:r>
        <w:rPr>
          <w:sz w:val="22"/>
          <w:szCs w:val="22"/>
          <w:lang w:val="es-ES"/>
        </w:rPr>
        <w:t xml:space="preserve"> </w:t>
      </w:r>
    </w:p>
    <w:p w14:paraId="0A708580" w14:textId="77777777" w:rsidR="00E255F4" w:rsidRDefault="00000000">
      <w:pPr>
        <w:pStyle w:val="Prrafodelista"/>
        <w:numPr>
          <w:ilvl w:val="1"/>
          <w:numId w:val="28"/>
        </w:numPr>
        <w:spacing w:before="120" w:after="120"/>
        <w:ind w:left="567" w:hanging="567"/>
        <w:jc w:val="both"/>
        <w:rPr>
          <w:rFonts w:eastAsia="Palatino Linotype"/>
          <w:spacing w:val="-1"/>
          <w:position w:val="1"/>
          <w:sz w:val="22"/>
          <w:szCs w:val="22"/>
          <w:lang w:val="es-UY"/>
        </w:rPr>
      </w:pPr>
      <w:r>
        <w:rPr>
          <w:sz w:val="22"/>
          <w:szCs w:val="22"/>
          <w:lang w:val="es-UY"/>
        </w:rPr>
        <w:t xml:space="preserve">Once </w:t>
      </w:r>
      <w:proofErr w:type="spellStart"/>
      <w:r>
        <w:rPr>
          <w:sz w:val="22"/>
          <w:szCs w:val="22"/>
          <w:lang w:val="es-UY"/>
        </w:rPr>
        <w:t>the</w:t>
      </w:r>
      <w:proofErr w:type="spellEnd"/>
      <w:r>
        <w:rPr>
          <w:sz w:val="22"/>
          <w:szCs w:val="22"/>
          <w:lang w:val="es-UY"/>
        </w:rPr>
        <w:t xml:space="preserve"> </w:t>
      </w:r>
      <w:proofErr w:type="spellStart"/>
      <w:r>
        <w:rPr>
          <w:sz w:val="22"/>
          <w:szCs w:val="22"/>
          <w:lang w:val="es-UY"/>
        </w:rPr>
        <w:t>aforementioned</w:t>
      </w:r>
      <w:proofErr w:type="spellEnd"/>
      <w:r>
        <w:rPr>
          <w:sz w:val="22"/>
          <w:szCs w:val="22"/>
          <w:lang w:val="es-UY"/>
        </w:rPr>
        <w:t xml:space="preserve"> </w:t>
      </w:r>
      <w:proofErr w:type="spellStart"/>
      <w:r>
        <w:rPr>
          <w:sz w:val="22"/>
          <w:szCs w:val="22"/>
          <w:lang w:val="es-UY"/>
        </w:rPr>
        <w:t>deadlines</w:t>
      </w:r>
      <w:proofErr w:type="spellEnd"/>
      <w:r>
        <w:rPr>
          <w:sz w:val="22"/>
          <w:szCs w:val="22"/>
          <w:lang w:val="es-UY"/>
        </w:rPr>
        <w:t xml:space="preserve"> </w:t>
      </w:r>
      <w:proofErr w:type="spellStart"/>
      <w:r>
        <w:rPr>
          <w:sz w:val="22"/>
          <w:szCs w:val="22"/>
          <w:lang w:val="es-UY"/>
        </w:rPr>
        <w:t>have</w:t>
      </w:r>
      <w:proofErr w:type="spellEnd"/>
      <w:r>
        <w:rPr>
          <w:sz w:val="22"/>
          <w:szCs w:val="22"/>
          <w:lang w:val="es-UY"/>
        </w:rPr>
        <w:t xml:space="preserve"> </w:t>
      </w:r>
      <w:proofErr w:type="spellStart"/>
      <w:r>
        <w:rPr>
          <w:sz w:val="22"/>
          <w:szCs w:val="22"/>
          <w:lang w:val="es-UY"/>
        </w:rPr>
        <w:t>expired</w:t>
      </w:r>
      <w:proofErr w:type="spellEnd"/>
      <w:r>
        <w:rPr>
          <w:sz w:val="22"/>
          <w:szCs w:val="22"/>
          <w:lang w:val="es-UY"/>
        </w:rPr>
        <w:t xml:space="preserve">, </w:t>
      </w:r>
      <w:proofErr w:type="spellStart"/>
      <w:r>
        <w:rPr>
          <w:sz w:val="22"/>
          <w:szCs w:val="22"/>
          <w:lang w:val="es-UY"/>
        </w:rPr>
        <w:t>the</w:t>
      </w:r>
      <w:proofErr w:type="spellEnd"/>
      <w:r>
        <w:rPr>
          <w:sz w:val="22"/>
          <w:szCs w:val="22"/>
          <w:lang w:val="es-UY"/>
        </w:rPr>
        <w:t xml:space="preserve"> </w:t>
      </w:r>
      <w:proofErr w:type="spellStart"/>
      <w:r>
        <w:rPr>
          <w:sz w:val="22"/>
          <w:szCs w:val="22"/>
          <w:lang w:val="es-UY"/>
        </w:rPr>
        <w:t>abandonment</w:t>
      </w:r>
      <w:proofErr w:type="spellEnd"/>
      <w:r>
        <w:rPr>
          <w:sz w:val="22"/>
          <w:szCs w:val="22"/>
          <w:lang w:val="es-UY"/>
        </w:rPr>
        <w:t xml:space="preserve"> </w:t>
      </w:r>
      <w:proofErr w:type="spellStart"/>
      <w:r>
        <w:rPr>
          <w:sz w:val="22"/>
          <w:szCs w:val="22"/>
          <w:lang w:val="es-UY"/>
        </w:rPr>
        <w:t>of</w:t>
      </w:r>
      <w:proofErr w:type="spellEnd"/>
      <w:r>
        <w:rPr>
          <w:sz w:val="22"/>
          <w:szCs w:val="22"/>
          <w:lang w:val="es-UY"/>
        </w:rPr>
        <w:t xml:space="preserve"> </w:t>
      </w:r>
      <w:proofErr w:type="spellStart"/>
      <w:r>
        <w:rPr>
          <w:sz w:val="22"/>
          <w:szCs w:val="22"/>
          <w:lang w:val="es-UY"/>
        </w:rPr>
        <w:t>the</w:t>
      </w:r>
      <w:proofErr w:type="spellEnd"/>
      <w:r>
        <w:rPr>
          <w:sz w:val="22"/>
          <w:szCs w:val="22"/>
          <w:lang w:val="es-UY"/>
        </w:rPr>
        <w:t xml:space="preserve"> </w:t>
      </w:r>
      <w:proofErr w:type="spellStart"/>
      <w:r>
        <w:rPr>
          <w:sz w:val="22"/>
          <w:szCs w:val="22"/>
          <w:lang w:val="es-UY"/>
        </w:rPr>
        <w:t>same</w:t>
      </w:r>
      <w:proofErr w:type="spellEnd"/>
      <w:r>
        <w:rPr>
          <w:sz w:val="22"/>
          <w:szCs w:val="22"/>
          <w:lang w:val="es-UY"/>
        </w:rPr>
        <w:t xml:space="preserve"> </w:t>
      </w:r>
      <w:proofErr w:type="spellStart"/>
      <w:r>
        <w:rPr>
          <w:sz w:val="22"/>
          <w:szCs w:val="22"/>
          <w:lang w:val="es-UY"/>
        </w:rPr>
        <w:t>will</w:t>
      </w:r>
      <w:proofErr w:type="spellEnd"/>
      <w:r>
        <w:rPr>
          <w:sz w:val="22"/>
          <w:szCs w:val="22"/>
          <w:lang w:val="es-UY"/>
        </w:rPr>
        <w:t xml:space="preserve"> be </w:t>
      </w:r>
      <w:proofErr w:type="spellStart"/>
      <w:r>
        <w:rPr>
          <w:sz w:val="22"/>
          <w:szCs w:val="22"/>
          <w:lang w:val="es-UY"/>
        </w:rPr>
        <w:t>considered</w:t>
      </w:r>
      <w:proofErr w:type="spellEnd"/>
      <w:r>
        <w:rPr>
          <w:sz w:val="22"/>
          <w:szCs w:val="22"/>
          <w:lang w:val="es-UY"/>
        </w:rPr>
        <w:t xml:space="preserve"> </w:t>
      </w:r>
      <w:proofErr w:type="spellStart"/>
      <w:r>
        <w:rPr>
          <w:sz w:val="22"/>
          <w:szCs w:val="22"/>
          <w:lang w:val="es-UY"/>
        </w:rPr>
        <w:t>configured</w:t>
      </w:r>
      <w:proofErr w:type="spellEnd"/>
      <w:r>
        <w:rPr>
          <w:sz w:val="22"/>
          <w:szCs w:val="22"/>
          <w:lang w:val="es-UY"/>
        </w:rPr>
        <w:t xml:space="preserve">, </w:t>
      </w:r>
      <w:proofErr w:type="spellStart"/>
      <w:r>
        <w:rPr>
          <w:sz w:val="22"/>
          <w:szCs w:val="22"/>
          <w:lang w:val="es-UY"/>
        </w:rPr>
        <w:t>without</w:t>
      </w:r>
      <w:proofErr w:type="spellEnd"/>
      <w:r>
        <w:rPr>
          <w:sz w:val="22"/>
          <w:szCs w:val="22"/>
          <w:lang w:val="es-UY"/>
        </w:rPr>
        <w:t xml:space="preserve"> </w:t>
      </w:r>
      <w:proofErr w:type="spellStart"/>
      <w:r>
        <w:rPr>
          <w:sz w:val="22"/>
          <w:szCs w:val="22"/>
          <w:lang w:val="es-UY"/>
        </w:rPr>
        <w:t>any</w:t>
      </w:r>
      <w:proofErr w:type="spellEnd"/>
      <w:r>
        <w:rPr>
          <w:sz w:val="22"/>
          <w:szCs w:val="22"/>
          <w:lang w:val="es-UY"/>
        </w:rPr>
        <w:t xml:space="preserve"> </w:t>
      </w:r>
      <w:proofErr w:type="spellStart"/>
      <w:r>
        <w:rPr>
          <w:sz w:val="22"/>
          <w:szCs w:val="22"/>
          <w:lang w:val="es-UY"/>
        </w:rPr>
        <w:t>right</w:t>
      </w:r>
      <w:proofErr w:type="spellEnd"/>
      <w:r>
        <w:rPr>
          <w:sz w:val="22"/>
          <w:szCs w:val="22"/>
          <w:lang w:val="es-UY"/>
        </w:rPr>
        <w:t xml:space="preserve"> </w:t>
      </w:r>
      <w:proofErr w:type="spellStart"/>
      <w:r>
        <w:rPr>
          <w:sz w:val="22"/>
          <w:szCs w:val="22"/>
          <w:lang w:val="es-UY"/>
        </w:rPr>
        <w:t>to</w:t>
      </w:r>
      <w:proofErr w:type="spellEnd"/>
      <w:r>
        <w:rPr>
          <w:sz w:val="22"/>
          <w:szCs w:val="22"/>
          <w:lang w:val="es-UY"/>
        </w:rPr>
        <w:t xml:space="preserve"> </w:t>
      </w:r>
      <w:proofErr w:type="spellStart"/>
      <w:r>
        <w:rPr>
          <w:sz w:val="22"/>
          <w:szCs w:val="22"/>
          <w:lang w:val="es-UY"/>
        </w:rPr>
        <w:t>claim</w:t>
      </w:r>
      <w:proofErr w:type="spellEnd"/>
      <w:r>
        <w:rPr>
          <w:sz w:val="22"/>
          <w:szCs w:val="22"/>
          <w:lang w:val="es-UY"/>
        </w:rPr>
        <w:t xml:space="preserve">, </w:t>
      </w:r>
      <w:proofErr w:type="spellStart"/>
      <w:r>
        <w:rPr>
          <w:sz w:val="22"/>
          <w:szCs w:val="22"/>
          <w:lang w:val="es-UY"/>
        </w:rPr>
        <w:t>the</w:t>
      </w:r>
      <w:proofErr w:type="spellEnd"/>
      <w:r>
        <w:rPr>
          <w:sz w:val="22"/>
          <w:szCs w:val="22"/>
          <w:lang w:val="es-UY"/>
        </w:rPr>
        <w:t xml:space="preserve"> </w:t>
      </w:r>
      <w:proofErr w:type="spellStart"/>
      <w:r>
        <w:rPr>
          <w:sz w:val="22"/>
          <w:szCs w:val="22"/>
          <w:lang w:val="es-UY"/>
        </w:rPr>
        <w:t>Administration</w:t>
      </w:r>
      <w:proofErr w:type="spellEnd"/>
      <w:r>
        <w:rPr>
          <w:sz w:val="22"/>
          <w:szCs w:val="22"/>
          <w:lang w:val="es-UY"/>
        </w:rPr>
        <w:t xml:space="preserve"> </w:t>
      </w:r>
      <w:proofErr w:type="spellStart"/>
      <w:r>
        <w:rPr>
          <w:sz w:val="22"/>
          <w:szCs w:val="22"/>
          <w:lang w:val="es-UY"/>
        </w:rPr>
        <w:t>declaring</w:t>
      </w:r>
      <w:proofErr w:type="spellEnd"/>
      <w:r>
        <w:rPr>
          <w:sz w:val="22"/>
          <w:szCs w:val="22"/>
          <w:lang w:val="es-UY"/>
        </w:rPr>
        <w:t xml:space="preserve"> </w:t>
      </w:r>
      <w:proofErr w:type="spellStart"/>
      <w:r>
        <w:rPr>
          <w:sz w:val="22"/>
          <w:szCs w:val="22"/>
          <w:lang w:val="es-UY"/>
        </w:rPr>
        <w:t>that</w:t>
      </w:r>
      <w:proofErr w:type="spellEnd"/>
      <w:r>
        <w:rPr>
          <w:sz w:val="22"/>
          <w:szCs w:val="22"/>
          <w:lang w:val="es-UY"/>
        </w:rPr>
        <w:t xml:space="preserve"> </w:t>
      </w:r>
      <w:proofErr w:type="spellStart"/>
      <w:r>
        <w:rPr>
          <w:sz w:val="22"/>
          <w:szCs w:val="22"/>
          <w:lang w:val="es-UY"/>
        </w:rPr>
        <w:t>they</w:t>
      </w:r>
      <w:proofErr w:type="spellEnd"/>
      <w:r>
        <w:rPr>
          <w:sz w:val="22"/>
          <w:szCs w:val="22"/>
          <w:lang w:val="es-UY"/>
        </w:rPr>
        <w:t xml:space="preserve"> </w:t>
      </w:r>
      <w:proofErr w:type="spellStart"/>
      <w:r>
        <w:rPr>
          <w:sz w:val="22"/>
          <w:szCs w:val="22"/>
          <w:lang w:val="es-UY"/>
        </w:rPr>
        <w:t>will</w:t>
      </w:r>
      <w:proofErr w:type="spellEnd"/>
      <w:r>
        <w:rPr>
          <w:sz w:val="22"/>
          <w:szCs w:val="22"/>
          <w:lang w:val="es-UY"/>
        </w:rPr>
        <w:t xml:space="preserve"> </w:t>
      </w:r>
      <w:proofErr w:type="spellStart"/>
      <w:r>
        <w:rPr>
          <w:sz w:val="22"/>
          <w:szCs w:val="22"/>
          <w:lang w:val="es-UY"/>
        </w:rPr>
        <w:t>not</w:t>
      </w:r>
      <w:proofErr w:type="spellEnd"/>
      <w:r>
        <w:rPr>
          <w:sz w:val="22"/>
          <w:szCs w:val="22"/>
          <w:lang w:val="es-UY"/>
        </w:rPr>
        <w:t xml:space="preserve"> be </w:t>
      </w:r>
      <w:proofErr w:type="spellStart"/>
      <w:r>
        <w:rPr>
          <w:sz w:val="22"/>
          <w:szCs w:val="22"/>
          <w:lang w:val="es-UY"/>
        </w:rPr>
        <w:t>used</w:t>
      </w:r>
      <w:proofErr w:type="spellEnd"/>
      <w:r>
        <w:rPr>
          <w:sz w:val="22"/>
          <w:szCs w:val="22"/>
          <w:lang w:val="es-UY"/>
        </w:rPr>
        <w:t xml:space="preserve"> </w:t>
      </w:r>
      <w:proofErr w:type="spellStart"/>
      <w:r>
        <w:rPr>
          <w:sz w:val="22"/>
          <w:szCs w:val="22"/>
          <w:lang w:val="es-UY"/>
        </w:rPr>
        <w:t>under</w:t>
      </w:r>
      <w:proofErr w:type="spellEnd"/>
      <w:r>
        <w:rPr>
          <w:sz w:val="22"/>
          <w:szCs w:val="22"/>
          <w:lang w:val="es-UY"/>
        </w:rPr>
        <w:t xml:space="preserve"> </w:t>
      </w:r>
      <w:proofErr w:type="spellStart"/>
      <w:r>
        <w:rPr>
          <w:sz w:val="22"/>
          <w:szCs w:val="22"/>
          <w:lang w:val="es-UY"/>
        </w:rPr>
        <w:t>any</w:t>
      </w:r>
      <w:proofErr w:type="spellEnd"/>
      <w:r>
        <w:rPr>
          <w:sz w:val="22"/>
          <w:szCs w:val="22"/>
          <w:lang w:val="es-UY"/>
        </w:rPr>
        <w:t xml:space="preserve"> </w:t>
      </w:r>
      <w:proofErr w:type="spellStart"/>
      <w:r>
        <w:rPr>
          <w:sz w:val="22"/>
          <w:szCs w:val="22"/>
          <w:lang w:val="es-UY"/>
        </w:rPr>
        <w:t>circumstances</w:t>
      </w:r>
      <w:proofErr w:type="spellEnd"/>
      <w:r>
        <w:rPr>
          <w:sz w:val="22"/>
          <w:szCs w:val="22"/>
          <w:lang w:val="es-UY"/>
        </w:rPr>
        <w:t xml:space="preserve"> in </w:t>
      </w:r>
      <w:proofErr w:type="spellStart"/>
      <w:r>
        <w:rPr>
          <w:sz w:val="22"/>
          <w:szCs w:val="22"/>
          <w:lang w:val="es-UY"/>
        </w:rPr>
        <w:t>the</w:t>
      </w:r>
      <w:proofErr w:type="spellEnd"/>
      <w:r>
        <w:rPr>
          <w:sz w:val="22"/>
          <w:szCs w:val="22"/>
          <w:lang w:val="es-UY"/>
        </w:rPr>
        <w:t xml:space="preserve"> </w:t>
      </w:r>
      <w:proofErr w:type="spellStart"/>
      <w:r>
        <w:rPr>
          <w:sz w:val="22"/>
          <w:szCs w:val="22"/>
          <w:lang w:val="es-UY"/>
        </w:rPr>
        <w:t>facilities</w:t>
      </w:r>
      <w:proofErr w:type="spellEnd"/>
      <w:r>
        <w:rPr>
          <w:sz w:val="22"/>
          <w:szCs w:val="22"/>
          <w:lang w:val="es-UY"/>
        </w:rPr>
        <w:t xml:space="preserve"> </w:t>
      </w:r>
      <w:proofErr w:type="spellStart"/>
      <w:r>
        <w:rPr>
          <w:sz w:val="22"/>
          <w:szCs w:val="22"/>
          <w:lang w:val="es-UY"/>
        </w:rPr>
        <w:t>of</w:t>
      </w:r>
      <w:proofErr w:type="spellEnd"/>
      <w:r>
        <w:rPr>
          <w:sz w:val="22"/>
          <w:szCs w:val="22"/>
          <w:lang w:val="es-UY"/>
        </w:rPr>
        <w:t xml:space="preserve"> </w:t>
      </w:r>
      <w:proofErr w:type="spellStart"/>
      <w:r>
        <w:rPr>
          <w:sz w:val="22"/>
          <w:szCs w:val="22"/>
          <w:lang w:val="es-UY"/>
        </w:rPr>
        <w:t>the</w:t>
      </w:r>
      <w:proofErr w:type="spellEnd"/>
      <w:r>
        <w:rPr>
          <w:sz w:val="22"/>
          <w:szCs w:val="22"/>
          <w:lang w:val="es-UY"/>
        </w:rPr>
        <w:t xml:space="preserve"> Agency.</w:t>
      </w:r>
    </w:p>
    <w:p w14:paraId="19BE280A" w14:textId="77777777" w:rsidR="00E255F4" w:rsidRDefault="00000000">
      <w:pPr>
        <w:pStyle w:val="Prrafodelista"/>
        <w:numPr>
          <w:ilvl w:val="1"/>
          <w:numId w:val="28"/>
        </w:numPr>
        <w:spacing w:before="120" w:after="120"/>
        <w:ind w:left="567" w:hanging="567"/>
        <w:jc w:val="both"/>
        <w:rPr>
          <w:rFonts w:eastAsia="Palatino Linotype"/>
          <w:spacing w:val="-1"/>
          <w:position w:val="1"/>
          <w:sz w:val="22"/>
          <w:szCs w:val="22"/>
          <w:lang w:val="es-UY"/>
        </w:rPr>
      </w:pPr>
      <w:r>
        <w:rPr>
          <w:sz w:val="22"/>
          <w:szCs w:val="22"/>
          <w:lang w:val="es-UY"/>
        </w:rPr>
        <w:t xml:space="preserve">The </w:t>
      </w:r>
      <w:proofErr w:type="spellStart"/>
      <w:r>
        <w:rPr>
          <w:sz w:val="22"/>
          <w:szCs w:val="22"/>
          <w:lang w:val="es-UY"/>
        </w:rPr>
        <w:t>samples</w:t>
      </w:r>
      <w:proofErr w:type="spellEnd"/>
      <w:r>
        <w:rPr>
          <w:sz w:val="22"/>
          <w:szCs w:val="22"/>
          <w:lang w:val="es-UY"/>
        </w:rPr>
        <w:t xml:space="preserve"> </w:t>
      </w:r>
      <w:proofErr w:type="spellStart"/>
      <w:r>
        <w:rPr>
          <w:sz w:val="22"/>
          <w:szCs w:val="22"/>
          <w:lang w:val="es-UY"/>
        </w:rPr>
        <w:t>submitted</w:t>
      </w:r>
      <w:proofErr w:type="spellEnd"/>
      <w:r>
        <w:rPr>
          <w:sz w:val="22"/>
          <w:szCs w:val="22"/>
          <w:lang w:val="es-UY"/>
        </w:rPr>
        <w:t xml:space="preserve"> </w:t>
      </w:r>
      <w:proofErr w:type="spellStart"/>
      <w:r>
        <w:rPr>
          <w:sz w:val="22"/>
          <w:szCs w:val="22"/>
          <w:lang w:val="es-UY"/>
        </w:rPr>
        <w:t>by</w:t>
      </w:r>
      <w:proofErr w:type="spellEnd"/>
      <w:r>
        <w:rPr>
          <w:sz w:val="22"/>
          <w:szCs w:val="22"/>
          <w:lang w:val="es-UY"/>
        </w:rPr>
        <w:t xml:space="preserve"> </w:t>
      </w:r>
      <w:proofErr w:type="spellStart"/>
      <w:r>
        <w:rPr>
          <w:sz w:val="22"/>
          <w:szCs w:val="22"/>
          <w:lang w:val="es-UY"/>
        </w:rPr>
        <w:t>the</w:t>
      </w:r>
      <w:proofErr w:type="spellEnd"/>
      <w:r>
        <w:rPr>
          <w:sz w:val="22"/>
          <w:szCs w:val="22"/>
          <w:lang w:val="es-UY"/>
        </w:rPr>
        <w:t xml:space="preserve"> </w:t>
      </w:r>
      <w:proofErr w:type="spellStart"/>
      <w:r>
        <w:rPr>
          <w:sz w:val="22"/>
          <w:szCs w:val="22"/>
          <w:lang w:val="es-UY"/>
        </w:rPr>
        <w:t>winning</w:t>
      </w:r>
      <w:proofErr w:type="spellEnd"/>
      <w:r>
        <w:rPr>
          <w:sz w:val="22"/>
          <w:szCs w:val="22"/>
          <w:lang w:val="es-UY"/>
        </w:rPr>
        <w:t xml:space="preserve"> </w:t>
      </w:r>
      <w:proofErr w:type="spellStart"/>
      <w:r>
        <w:rPr>
          <w:sz w:val="22"/>
          <w:szCs w:val="22"/>
          <w:lang w:val="es-UY"/>
        </w:rPr>
        <w:t>bidder</w:t>
      </w:r>
      <w:proofErr w:type="spellEnd"/>
      <w:r>
        <w:rPr>
          <w:sz w:val="22"/>
          <w:szCs w:val="22"/>
          <w:lang w:val="es-UY"/>
        </w:rPr>
        <w:t xml:space="preserve"> in </w:t>
      </w:r>
      <w:proofErr w:type="spellStart"/>
      <w:r>
        <w:rPr>
          <w:sz w:val="22"/>
          <w:szCs w:val="22"/>
          <w:lang w:val="es-UY"/>
        </w:rPr>
        <w:t>this</w:t>
      </w:r>
      <w:proofErr w:type="spellEnd"/>
      <w:r>
        <w:rPr>
          <w:sz w:val="22"/>
          <w:szCs w:val="22"/>
          <w:lang w:val="es-UY"/>
        </w:rPr>
        <w:t xml:space="preserve"> tender </w:t>
      </w:r>
      <w:proofErr w:type="spellStart"/>
      <w:r>
        <w:rPr>
          <w:sz w:val="22"/>
          <w:szCs w:val="22"/>
          <w:lang w:val="es-UY"/>
        </w:rPr>
        <w:t>will</w:t>
      </w:r>
      <w:proofErr w:type="spellEnd"/>
      <w:r>
        <w:rPr>
          <w:sz w:val="22"/>
          <w:szCs w:val="22"/>
          <w:lang w:val="es-UY"/>
        </w:rPr>
        <w:t xml:space="preserve"> </w:t>
      </w:r>
      <w:proofErr w:type="spellStart"/>
      <w:r>
        <w:rPr>
          <w:sz w:val="22"/>
          <w:szCs w:val="22"/>
          <w:lang w:val="es-UY"/>
        </w:rPr>
        <w:t>not</w:t>
      </w:r>
      <w:proofErr w:type="spellEnd"/>
      <w:r>
        <w:rPr>
          <w:sz w:val="22"/>
          <w:szCs w:val="22"/>
          <w:lang w:val="es-UY"/>
        </w:rPr>
        <w:t xml:space="preserve"> be </w:t>
      </w:r>
      <w:proofErr w:type="spellStart"/>
      <w:r>
        <w:rPr>
          <w:sz w:val="22"/>
          <w:szCs w:val="22"/>
          <w:lang w:val="es-UY"/>
        </w:rPr>
        <w:t>returned</w:t>
      </w:r>
      <w:proofErr w:type="spellEnd"/>
      <w:r>
        <w:rPr>
          <w:sz w:val="22"/>
          <w:szCs w:val="22"/>
          <w:lang w:val="es-UY"/>
        </w:rPr>
        <w:t xml:space="preserve">. </w:t>
      </w:r>
      <w:proofErr w:type="spellStart"/>
      <w:r>
        <w:rPr>
          <w:sz w:val="22"/>
          <w:szCs w:val="22"/>
          <w:lang w:val="es-UY"/>
        </w:rPr>
        <w:t>These</w:t>
      </w:r>
      <w:proofErr w:type="spellEnd"/>
      <w:r>
        <w:rPr>
          <w:sz w:val="22"/>
          <w:szCs w:val="22"/>
          <w:lang w:val="es-UY"/>
        </w:rPr>
        <w:t xml:space="preserve"> </w:t>
      </w:r>
      <w:proofErr w:type="spellStart"/>
      <w:r>
        <w:rPr>
          <w:sz w:val="22"/>
          <w:szCs w:val="22"/>
          <w:lang w:val="es-UY"/>
        </w:rPr>
        <w:t>samples</w:t>
      </w:r>
      <w:proofErr w:type="spellEnd"/>
      <w:r>
        <w:rPr>
          <w:sz w:val="22"/>
          <w:szCs w:val="22"/>
          <w:lang w:val="es-UY"/>
        </w:rPr>
        <w:t xml:space="preserve"> </w:t>
      </w:r>
      <w:proofErr w:type="spellStart"/>
      <w:r>
        <w:rPr>
          <w:sz w:val="22"/>
          <w:szCs w:val="22"/>
          <w:lang w:val="es-UY"/>
        </w:rPr>
        <w:t>will</w:t>
      </w:r>
      <w:proofErr w:type="spellEnd"/>
      <w:r>
        <w:rPr>
          <w:sz w:val="22"/>
          <w:szCs w:val="22"/>
          <w:lang w:val="es-UY"/>
        </w:rPr>
        <w:t xml:space="preserve"> serve as </w:t>
      </w:r>
      <w:proofErr w:type="spellStart"/>
      <w:r>
        <w:rPr>
          <w:sz w:val="22"/>
          <w:szCs w:val="22"/>
          <w:lang w:val="es-UY"/>
        </w:rPr>
        <w:t>proof</w:t>
      </w:r>
      <w:proofErr w:type="spellEnd"/>
      <w:r>
        <w:rPr>
          <w:sz w:val="22"/>
          <w:szCs w:val="22"/>
          <w:lang w:val="es-UY"/>
        </w:rPr>
        <w:t xml:space="preserve"> </w:t>
      </w:r>
      <w:proofErr w:type="spellStart"/>
      <w:r>
        <w:rPr>
          <w:sz w:val="22"/>
          <w:szCs w:val="22"/>
          <w:lang w:val="es-UY"/>
        </w:rPr>
        <w:t>that</w:t>
      </w:r>
      <w:proofErr w:type="spellEnd"/>
      <w:r>
        <w:rPr>
          <w:sz w:val="22"/>
          <w:szCs w:val="22"/>
          <w:lang w:val="es-UY"/>
        </w:rPr>
        <w:t xml:space="preserve"> </w:t>
      </w:r>
      <w:proofErr w:type="spellStart"/>
      <w:r>
        <w:rPr>
          <w:sz w:val="22"/>
          <w:szCs w:val="22"/>
          <w:lang w:val="es-UY"/>
        </w:rPr>
        <w:t>the</w:t>
      </w:r>
      <w:proofErr w:type="spellEnd"/>
      <w:r>
        <w:rPr>
          <w:sz w:val="22"/>
          <w:szCs w:val="22"/>
          <w:lang w:val="es-UY"/>
        </w:rPr>
        <w:t xml:space="preserve"> </w:t>
      </w:r>
      <w:proofErr w:type="spellStart"/>
      <w:r>
        <w:rPr>
          <w:sz w:val="22"/>
          <w:szCs w:val="22"/>
          <w:lang w:val="es-UY"/>
        </w:rPr>
        <w:t>materials</w:t>
      </w:r>
      <w:proofErr w:type="spellEnd"/>
      <w:r>
        <w:rPr>
          <w:sz w:val="22"/>
          <w:szCs w:val="22"/>
          <w:lang w:val="es-UY"/>
        </w:rPr>
        <w:t xml:space="preserve"> </w:t>
      </w:r>
      <w:proofErr w:type="spellStart"/>
      <w:r>
        <w:rPr>
          <w:sz w:val="22"/>
          <w:szCs w:val="22"/>
          <w:lang w:val="es-UY"/>
        </w:rPr>
        <w:t>used</w:t>
      </w:r>
      <w:proofErr w:type="spellEnd"/>
      <w:r>
        <w:rPr>
          <w:sz w:val="22"/>
          <w:szCs w:val="22"/>
          <w:lang w:val="es-UY"/>
        </w:rPr>
        <w:t xml:space="preserve"> in </w:t>
      </w:r>
      <w:proofErr w:type="spellStart"/>
      <w:r>
        <w:rPr>
          <w:sz w:val="22"/>
          <w:szCs w:val="22"/>
          <w:lang w:val="es-UY"/>
        </w:rPr>
        <w:t>the</w:t>
      </w:r>
      <w:proofErr w:type="spellEnd"/>
      <w:r>
        <w:rPr>
          <w:sz w:val="22"/>
          <w:szCs w:val="22"/>
          <w:lang w:val="es-UY"/>
        </w:rPr>
        <w:t xml:space="preserve"> </w:t>
      </w:r>
      <w:proofErr w:type="spellStart"/>
      <w:r>
        <w:rPr>
          <w:sz w:val="22"/>
          <w:szCs w:val="22"/>
          <w:lang w:val="es-UY"/>
        </w:rPr>
        <w:t>installations</w:t>
      </w:r>
      <w:proofErr w:type="spellEnd"/>
      <w:r>
        <w:rPr>
          <w:sz w:val="22"/>
          <w:szCs w:val="22"/>
          <w:lang w:val="es-UY"/>
        </w:rPr>
        <w:t xml:space="preserve"> are </w:t>
      </w:r>
      <w:proofErr w:type="spellStart"/>
      <w:r>
        <w:rPr>
          <w:sz w:val="22"/>
          <w:szCs w:val="22"/>
          <w:lang w:val="es-UY"/>
        </w:rPr>
        <w:t>the</w:t>
      </w:r>
      <w:proofErr w:type="spellEnd"/>
      <w:r>
        <w:rPr>
          <w:sz w:val="22"/>
          <w:szCs w:val="22"/>
          <w:lang w:val="es-UY"/>
        </w:rPr>
        <w:t xml:space="preserve"> </w:t>
      </w:r>
      <w:proofErr w:type="spellStart"/>
      <w:r>
        <w:rPr>
          <w:sz w:val="22"/>
          <w:szCs w:val="22"/>
          <w:lang w:val="es-UY"/>
        </w:rPr>
        <w:t>same</w:t>
      </w:r>
      <w:proofErr w:type="spellEnd"/>
      <w:r>
        <w:rPr>
          <w:sz w:val="22"/>
          <w:szCs w:val="22"/>
          <w:lang w:val="es-UY"/>
        </w:rPr>
        <w:t xml:space="preserve"> as </w:t>
      </w:r>
      <w:proofErr w:type="spellStart"/>
      <w:r>
        <w:rPr>
          <w:sz w:val="22"/>
          <w:szCs w:val="22"/>
          <w:lang w:val="es-UY"/>
        </w:rPr>
        <w:t>those</w:t>
      </w:r>
      <w:proofErr w:type="spellEnd"/>
      <w:r>
        <w:rPr>
          <w:sz w:val="22"/>
          <w:szCs w:val="22"/>
          <w:lang w:val="es-UY"/>
        </w:rPr>
        <w:t xml:space="preserve"> </w:t>
      </w:r>
      <w:proofErr w:type="spellStart"/>
      <w:r>
        <w:rPr>
          <w:sz w:val="22"/>
          <w:szCs w:val="22"/>
          <w:lang w:val="es-UY"/>
        </w:rPr>
        <w:t>declared</w:t>
      </w:r>
      <w:proofErr w:type="spellEnd"/>
      <w:r>
        <w:rPr>
          <w:sz w:val="22"/>
          <w:szCs w:val="22"/>
          <w:lang w:val="es-UY"/>
        </w:rPr>
        <w:t xml:space="preserve"> in </w:t>
      </w:r>
      <w:proofErr w:type="spellStart"/>
      <w:r>
        <w:rPr>
          <w:sz w:val="22"/>
          <w:szCs w:val="22"/>
          <w:lang w:val="es-UY"/>
        </w:rPr>
        <w:t>the</w:t>
      </w:r>
      <w:proofErr w:type="spellEnd"/>
      <w:r>
        <w:rPr>
          <w:sz w:val="22"/>
          <w:szCs w:val="22"/>
          <w:lang w:val="es-UY"/>
        </w:rPr>
        <w:t xml:space="preserve"> </w:t>
      </w:r>
      <w:proofErr w:type="spellStart"/>
      <w:r>
        <w:rPr>
          <w:sz w:val="22"/>
          <w:szCs w:val="22"/>
          <w:lang w:val="es-UY"/>
        </w:rPr>
        <w:t>bid</w:t>
      </w:r>
      <w:proofErr w:type="spellEnd"/>
      <w:r>
        <w:rPr>
          <w:sz w:val="22"/>
          <w:szCs w:val="22"/>
          <w:lang w:val="es-UY"/>
        </w:rPr>
        <w:t>.</w:t>
      </w:r>
    </w:p>
    <w:p w14:paraId="2F12C560" w14:textId="77777777" w:rsidR="00E255F4" w:rsidRDefault="00000000">
      <w:pPr>
        <w:pStyle w:val="Prrafodelista"/>
        <w:numPr>
          <w:ilvl w:val="1"/>
          <w:numId w:val="28"/>
        </w:numPr>
        <w:spacing w:before="120" w:after="120"/>
        <w:ind w:left="567" w:hanging="567"/>
        <w:jc w:val="both"/>
      </w:pPr>
      <w:r>
        <w:rPr>
          <w:spacing w:val="-3"/>
          <w:sz w:val="22"/>
          <w:szCs w:val="22"/>
          <w:lang w:val="es-ES"/>
        </w:rPr>
        <w:t xml:space="preserve">The </w:t>
      </w:r>
      <w:proofErr w:type="spellStart"/>
      <w:r>
        <w:rPr>
          <w:spacing w:val="-3"/>
          <w:sz w:val="22"/>
          <w:szCs w:val="22"/>
          <w:lang w:val="es-ES"/>
        </w:rPr>
        <w:t>samples</w:t>
      </w:r>
      <w:proofErr w:type="spellEnd"/>
      <w:r>
        <w:rPr>
          <w:spacing w:val="-3"/>
          <w:sz w:val="22"/>
          <w:szCs w:val="22"/>
          <w:lang w:val="es-ES"/>
        </w:rPr>
        <w:t xml:space="preserve"> </w:t>
      </w:r>
      <w:proofErr w:type="spellStart"/>
      <w:r>
        <w:rPr>
          <w:spacing w:val="-3"/>
          <w:sz w:val="22"/>
          <w:szCs w:val="22"/>
          <w:lang w:val="es-ES"/>
        </w:rPr>
        <w:t>submitted</w:t>
      </w:r>
      <w:proofErr w:type="spellEnd"/>
      <w:r>
        <w:rPr>
          <w:spacing w:val="-3"/>
          <w:sz w:val="22"/>
          <w:szCs w:val="22"/>
          <w:lang w:val="es-ES"/>
        </w:rPr>
        <w:t xml:space="preserve"> </w:t>
      </w:r>
      <w:proofErr w:type="spellStart"/>
      <w:r>
        <w:rPr>
          <w:spacing w:val="-3"/>
          <w:sz w:val="22"/>
          <w:szCs w:val="22"/>
          <w:lang w:val="es-ES"/>
        </w:rPr>
        <w:t>will</w:t>
      </w:r>
      <w:proofErr w:type="spellEnd"/>
      <w:r>
        <w:rPr>
          <w:spacing w:val="-3"/>
          <w:sz w:val="22"/>
          <w:szCs w:val="22"/>
          <w:lang w:val="es-ES"/>
        </w:rPr>
        <w:t xml:space="preserve"> be </w:t>
      </w:r>
      <w:proofErr w:type="spellStart"/>
      <w:r>
        <w:rPr>
          <w:spacing w:val="-3"/>
          <w:sz w:val="22"/>
          <w:szCs w:val="22"/>
          <w:lang w:val="es-ES"/>
        </w:rPr>
        <w:t>subjected</w:t>
      </w:r>
      <w:proofErr w:type="spellEnd"/>
      <w:r>
        <w:rPr>
          <w:spacing w:val="-3"/>
          <w:sz w:val="22"/>
          <w:szCs w:val="22"/>
          <w:lang w:val="es-ES"/>
        </w:rPr>
        <w:t xml:space="preserve"> </w:t>
      </w:r>
      <w:proofErr w:type="spellStart"/>
      <w:r>
        <w:rPr>
          <w:spacing w:val="-3"/>
          <w:sz w:val="22"/>
          <w:szCs w:val="22"/>
          <w:lang w:val="es-ES"/>
        </w:rPr>
        <w:t>to</w:t>
      </w:r>
      <w:proofErr w:type="spellEnd"/>
      <w:r>
        <w:rPr>
          <w:spacing w:val="-3"/>
          <w:sz w:val="22"/>
          <w:szCs w:val="22"/>
          <w:lang w:val="es-ES"/>
        </w:rPr>
        <w:t xml:space="preserve"> </w:t>
      </w:r>
      <w:proofErr w:type="spellStart"/>
      <w:r>
        <w:rPr>
          <w:spacing w:val="-3"/>
          <w:sz w:val="22"/>
          <w:szCs w:val="22"/>
          <w:lang w:val="es-ES"/>
        </w:rPr>
        <w:t>the</w:t>
      </w:r>
      <w:proofErr w:type="spellEnd"/>
      <w:r>
        <w:rPr>
          <w:spacing w:val="-3"/>
          <w:sz w:val="22"/>
          <w:szCs w:val="22"/>
          <w:lang w:val="es-ES"/>
        </w:rPr>
        <w:t xml:space="preserve"> </w:t>
      </w:r>
      <w:proofErr w:type="spellStart"/>
      <w:r>
        <w:rPr>
          <w:spacing w:val="-3"/>
          <w:sz w:val="22"/>
          <w:szCs w:val="22"/>
          <w:lang w:val="es-ES"/>
        </w:rPr>
        <w:t>qualification</w:t>
      </w:r>
      <w:proofErr w:type="spellEnd"/>
      <w:r>
        <w:rPr>
          <w:spacing w:val="-3"/>
          <w:sz w:val="22"/>
          <w:szCs w:val="22"/>
          <w:lang w:val="es-ES"/>
        </w:rPr>
        <w:t xml:space="preserve"> </w:t>
      </w:r>
      <w:proofErr w:type="spellStart"/>
      <w:r>
        <w:rPr>
          <w:spacing w:val="-3"/>
          <w:sz w:val="22"/>
          <w:szCs w:val="22"/>
          <w:lang w:val="es-ES"/>
        </w:rPr>
        <w:t>tests</w:t>
      </w:r>
      <w:proofErr w:type="spellEnd"/>
      <w:r>
        <w:rPr>
          <w:spacing w:val="-3"/>
          <w:sz w:val="22"/>
          <w:szCs w:val="22"/>
          <w:lang w:val="es-ES"/>
        </w:rPr>
        <w:t xml:space="preserve"> </w:t>
      </w:r>
      <w:proofErr w:type="spellStart"/>
      <w:r>
        <w:rPr>
          <w:spacing w:val="-3"/>
          <w:sz w:val="22"/>
          <w:szCs w:val="22"/>
          <w:lang w:val="es-ES"/>
        </w:rPr>
        <w:t>indicated</w:t>
      </w:r>
      <w:proofErr w:type="spellEnd"/>
      <w:r>
        <w:rPr>
          <w:spacing w:val="-3"/>
          <w:sz w:val="22"/>
          <w:szCs w:val="22"/>
          <w:lang w:val="es-ES"/>
        </w:rPr>
        <w:t xml:space="preserve"> in Art. 10 </w:t>
      </w:r>
      <w:proofErr w:type="spellStart"/>
      <w:r>
        <w:rPr>
          <w:spacing w:val="-3"/>
          <w:sz w:val="22"/>
          <w:szCs w:val="22"/>
          <w:lang w:val="es-ES"/>
        </w:rPr>
        <w:t>of</w:t>
      </w:r>
      <w:proofErr w:type="spellEnd"/>
      <w:r>
        <w:rPr>
          <w:spacing w:val="-3"/>
          <w:sz w:val="22"/>
          <w:szCs w:val="22"/>
          <w:lang w:val="es-ES"/>
        </w:rPr>
        <w:t xml:space="preserve"> </w:t>
      </w:r>
      <w:proofErr w:type="spellStart"/>
      <w:r>
        <w:rPr>
          <w:spacing w:val="-3"/>
          <w:sz w:val="22"/>
          <w:szCs w:val="22"/>
          <w:lang w:val="es-ES"/>
        </w:rPr>
        <w:t>this</w:t>
      </w:r>
      <w:proofErr w:type="spellEnd"/>
      <w:r>
        <w:rPr>
          <w:spacing w:val="-3"/>
          <w:sz w:val="22"/>
          <w:szCs w:val="22"/>
          <w:lang w:val="es-ES"/>
        </w:rPr>
        <w:t xml:space="preserve"> </w:t>
      </w:r>
      <w:proofErr w:type="spellStart"/>
      <w:r>
        <w:rPr>
          <w:spacing w:val="-3"/>
          <w:sz w:val="22"/>
          <w:szCs w:val="22"/>
          <w:lang w:val="es-ES"/>
        </w:rPr>
        <w:t>Annex</w:t>
      </w:r>
      <w:proofErr w:type="spellEnd"/>
      <w:r>
        <w:rPr>
          <w:spacing w:val="-3"/>
          <w:sz w:val="22"/>
          <w:szCs w:val="22"/>
          <w:lang w:val="es-ES"/>
        </w:rPr>
        <w:t xml:space="preserve"> VII – </w:t>
      </w:r>
      <w:proofErr w:type="spellStart"/>
      <w:r>
        <w:rPr>
          <w:spacing w:val="-3"/>
          <w:sz w:val="22"/>
          <w:szCs w:val="22"/>
          <w:lang w:val="es-ES"/>
        </w:rPr>
        <w:t>Technical</w:t>
      </w:r>
      <w:proofErr w:type="spellEnd"/>
      <w:r>
        <w:rPr>
          <w:spacing w:val="-3"/>
          <w:sz w:val="22"/>
          <w:szCs w:val="22"/>
          <w:lang w:val="es-ES"/>
        </w:rPr>
        <w:t xml:space="preserve"> </w:t>
      </w:r>
      <w:proofErr w:type="spellStart"/>
      <w:r>
        <w:rPr>
          <w:spacing w:val="-3"/>
          <w:sz w:val="22"/>
          <w:szCs w:val="22"/>
          <w:lang w:val="es-ES"/>
        </w:rPr>
        <w:t>Specifications</w:t>
      </w:r>
      <w:proofErr w:type="spellEnd"/>
      <w:r>
        <w:rPr>
          <w:spacing w:val="-3"/>
          <w:sz w:val="22"/>
          <w:szCs w:val="22"/>
          <w:lang w:val="es-ES"/>
        </w:rPr>
        <w:t xml:space="preserve">, </w:t>
      </w:r>
      <w:proofErr w:type="spellStart"/>
      <w:r>
        <w:rPr>
          <w:spacing w:val="-3"/>
          <w:sz w:val="22"/>
          <w:szCs w:val="22"/>
          <w:lang w:val="es-ES"/>
        </w:rPr>
        <w:t>which</w:t>
      </w:r>
      <w:proofErr w:type="spellEnd"/>
      <w:r>
        <w:rPr>
          <w:spacing w:val="-3"/>
          <w:sz w:val="22"/>
          <w:szCs w:val="22"/>
          <w:lang w:val="es-ES"/>
        </w:rPr>
        <w:t xml:space="preserve"> </w:t>
      </w:r>
      <w:proofErr w:type="spellStart"/>
      <w:r>
        <w:rPr>
          <w:spacing w:val="-3"/>
          <w:sz w:val="22"/>
          <w:szCs w:val="22"/>
          <w:lang w:val="es-ES"/>
        </w:rPr>
        <w:t>must</w:t>
      </w:r>
      <w:proofErr w:type="spellEnd"/>
      <w:r>
        <w:rPr>
          <w:spacing w:val="-3"/>
          <w:sz w:val="22"/>
          <w:szCs w:val="22"/>
          <w:lang w:val="es-ES"/>
        </w:rPr>
        <w:t xml:space="preserve"> be </w:t>
      </w:r>
      <w:proofErr w:type="spellStart"/>
      <w:r>
        <w:rPr>
          <w:spacing w:val="-3"/>
          <w:sz w:val="22"/>
          <w:szCs w:val="22"/>
          <w:lang w:val="es-ES"/>
        </w:rPr>
        <w:t>passed</w:t>
      </w:r>
      <w:proofErr w:type="spellEnd"/>
      <w:r>
        <w:rPr>
          <w:spacing w:val="-3"/>
          <w:sz w:val="22"/>
          <w:szCs w:val="22"/>
          <w:lang w:val="es-ES"/>
        </w:rPr>
        <w:t xml:space="preserve"> in </w:t>
      </w:r>
      <w:proofErr w:type="spellStart"/>
      <w:r>
        <w:rPr>
          <w:spacing w:val="-3"/>
          <w:sz w:val="22"/>
          <w:szCs w:val="22"/>
          <w:lang w:val="es-ES"/>
        </w:rPr>
        <w:t>order</w:t>
      </w:r>
      <w:proofErr w:type="spellEnd"/>
      <w:r>
        <w:rPr>
          <w:spacing w:val="-3"/>
          <w:sz w:val="22"/>
          <w:szCs w:val="22"/>
          <w:lang w:val="es-ES"/>
        </w:rPr>
        <w:t xml:space="preserve"> </w:t>
      </w:r>
      <w:proofErr w:type="spellStart"/>
      <w:r>
        <w:rPr>
          <w:spacing w:val="-3"/>
          <w:sz w:val="22"/>
          <w:szCs w:val="22"/>
          <w:lang w:val="es-ES"/>
        </w:rPr>
        <w:t>for</w:t>
      </w:r>
      <w:proofErr w:type="spellEnd"/>
      <w:r>
        <w:rPr>
          <w:spacing w:val="-3"/>
          <w:sz w:val="22"/>
          <w:szCs w:val="22"/>
          <w:lang w:val="es-ES"/>
        </w:rPr>
        <w:t xml:space="preserve"> </w:t>
      </w:r>
      <w:proofErr w:type="spellStart"/>
      <w:r>
        <w:rPr>
          <w:spacing w:val="-3"/>
          <w:sz w:val="22"/>
          <w:szCs w:val="22"/>
          <w:lang w:val="es-ES"/>
        </w:rPr>
        <w:t>the</w:t>
      </w:r>
      <w:proofErr w:type="spellEnd"/>
      <w:r>
        <w:rPr>
          <w:spacing w:val="-3"/>
          <w:sz w:val="22"/>
          <w:szCs w:val="22"/>
          <w:lang w:val="es-ES"/>
        </w:rPr>
        <w:t xml:space="preserve"> </w:t>
      </w:r>
      <w:proofErr w:type="spellStart"/>
      <w:r>
        <w:rPr>
          <w:spacing w:val="-3"/>
          <w:sz w:val="22"/>
          <w:szCs w:val="22"/>
          <w:lang w:val="es-ES"/>
        </w:rPr>
        <w:t>meters</w:t>
      </w:r>
      <w:proofErr w:type="spellEnd"/>
      <w:r>
        <w:rPr>
          <w:spacing w:val="-3"/>
          <w:sz w:val="22"/>
          <w:szCs w:val="22"/>
          <w:lang w:val="es-ES"/>
        </w:rPr>
        <w:t xml:space="preserve"> </w:t>
      </w:r>
      <w:proofErr w:type="spellStart"/>
      <w:r>
        <w:rPr>
          <w:spacing w:val="-3"/>
          <w:sz w:val="22"/>
          <w:szCs w:val="22"/>
          <w:lang w:val="es-ES"/>
        </w:rPr>
        <w:t>to</w:t>
      </w:r>
      <w:proofErr w:type="spellEnd"/>
      <w:r>
        <w:rPr>
          <w:spacing w:val="-3"/>
          <w:sz w:val="22"/>
          <w:szCs w:val="22"/>
          <w:lang w:val="es-ES"/>
        </w:rPr>
        <w:t xml:space="preserve"> be </w:t>
      </w:r>
      <w:proofErr w:type="spellStart"/>
      <w:r>
        <w:rPr>
          <w:spacing w:val="-3"/>
          <w:sz w:val="22"/>
          <w:szCs w:val="22"/>
          <w:lang w:val="es-ES"/>
        </w:rPr>
        <w:t>considered</w:t>
      </w:r>
      <w:proofErr w:type="spellEnd"/>
      <w:r>
        <w:rPr>
          <w:spacing w:val="-3"/>
          <w:sz w:val="22"/>
          <w:szCs w:val="22"/>
          <w:lang w:val="es-ES"/>
        </w:rPr>
        <w:t xml:space="preserve"> </w:t>
      </w:r>
      <w:proofErr w:type="spellStart"/>
      <w:r>
        <w:rPr>
          <w:spacing w:val="-3"/>
          <w:sz w:val="22"/>
          <w:szCs w:val="22"/>
          <w:lang w:val="es-ES"/>
        </w:rPr>
        <w:t>suitable</w:t>
      </w:r>
      <w:proofErr w:type="spellEnd"/>
      <w:r>
        <w:rPr>
          <w:spacing w:val="-3"/>
          <w:sz w:val="22"/>
          <w:szCs w:val="22"/>
          <w:lang w:val="es-ES"/>
        </w:rPr>
        <w:t>.</w:t>
      </w:r>
    </w:p>
    <w:p w14:paraId="7E2AC11F" w14:textId="77777777" w:rsidR="00E255F4" w:rsidRDefault="00000000">
      <w:pPr>
        <w:pStyle w:val="Prrafodelista"/>
        <w:numPr>
          <w:ilvl w:val="1"/>
          <w:numId w:val="28"/>
        </w:numPr>
        <w:spacing w:before="120" w:after="120"/>
        <w:ind w:left="567" w:hanging="567"/>
        <w:jc w:val="both"/>
      </w:pPr>
      <w:proofErr w:type="spellStart"/>
      <w:r>
        <w:rPr>
          <w:sz w:val="22"/>
          <w:szCs w:val="22"/>
          <w:lang w:val="es-ES"/>
        </w:rPr>
        <w:t>If</w:t>
      </w:r>
      <w:proofErr w:type="spellEnd"/>
      <w:r>
        <w:rPr>
          <w:sz w:val="22"/>
          <w:szCs w:val="22"/>
          <w:lang w:val="es-ES"/>
        </w:rPr>
        <w:t xml:space="preserve"> </w:t>
      </w:r>
      <w:proofErr w:type="spellStart"/>
      <w:r>
        <w:rPr>
          <w:sz w:val="22"/>
          <w:szCs w:val="22"/>
          <w:lang w:val="es-ES"/>
        </w:rPr>
        <w:t>feasible</w:t>
      </w:r>
      <w:r>
        <w:rPr>
          <w:color w:val="000000"/>
          <w:sz w:val="22"/>
          <w:szCs w:val="22"/>
          <w:lang w:val="es-ES"/>
        </w:rPr>
        <w:t>all</w:t>
      </w:r>
      <w:proofErr w:type="spellEnd"/>
      <w:r>
        <w:rPr>
          <w:color w:val="000000"/>
          <w:sz w:val="22"/>
          <w:szCs w:val="22"/>
          <w:lang w:val="es-ES"/>
        </w:rPr>
        <w:t xml:space="preserve"> </w:t>
      </w:r>
      <w:proofErr w:type="spellStart"/>
      <w:r>
        <w:rPr>
          <w:color w:val="000000"/>
          <w:sz w:val="22"/>
          <w:szCs w:val="22"/>
          <w:lang w:val="es-ES"/>
        </w:rPr>
        <w:t>samples</w:t>
      </w:r>
      <w:proofErr w:type="spellEnd"/>
      <w:r>
        <w:rPr>
          <w:color w:val="000000"/>
          <w:sz w:val="22"/>
          <w:szCs w:val="22"/>
          <w:lang w:val="es-ES"/>
        </w:rPr>
        <w:t xml:space="preserve"> </w:t>
      </w:r>
      <w:proofErr w:type="spellStart"/>
      <w:r>
        <w:rPr>
          <w:color w:val="000000"/>
          <w:sz w:val="22"/>
          <w:szCs w:val="22"/>
          <w:lang w:val="es-ES"/>
        </w:rPr>
        <w:t>supplied</w:t>
      </w:r>
      <w:proofErr w:type="spellEnd"/>
      <w:r>
        <w:rPr>
          <w:color w:val="000000"/>
          <w:sz w:val="22"/>
          <w:szCs w:val="22"/>
          <w:lang w:val="es-ES"/>
        </w:rPr>
        <w:t xml:space="preserve"> per </w:t>
      </w:r>
      <w:proofErr w:type="spellStart"/>
      <w:proofErr w:type="gramStart"/>
      <w:r>
        <w:rPr>
          <w:color w:val="000000"/>
          <w:sz w:val="22"/>
          <w:szCs w:val="22"/>
          <w:lang w:val="es-ES"/>
        </w:rPr>
        <w:t>batch,</w:t>
      </w:r>
      <w:r>
        <w:rPr>
          <w:sz w:val="22"/>
          <w:szCs w:val="22"/>
          <w:lang w:val="es-ES"/>
        </w:rPr>
        <w:t>They</w:t>
      </w:r>
      <w:proofErr w:type="spellEnd"/>
      <w:proofErr w:type="gramEnd"/>
      <w:r>
        <w:rPr>
          <w:sz w:val="22"/>
          <w:szCs w:val="22"/>
          <w:lang w:val="es-ES"/>
        </w:rPr>
        <w:t xml:space="preserve"> </w:t>
      </w:r>
      <w:proofErr w:type="spellStart"/>
      <w:r>
        <w:rPr>
          <w:sz w:val="22"/>
          <w:szCs w:val="22"/>
          <w:lang w:val="es-ES"/>
        </w:rPr>
        <w:t>must</w:t>
      </w:r>
      <w:proofErr w:type="spellEnd"/>
      <w:r>
        <w:rPr>
          <w:sz w:val="22"/>
          <w:szCs w:val="22"/>
          <w:lang w:val="es-ES"/>
        </w:rPr>
        <w:t xml:space="preserve"> be </w:t>
      </w:r>
      <w:proofErr w:type="spellStart"/>
      <w:r>
        <w:rPr>
          <w:sz w:val="22"/>
          <w:szCs w:val="22"/>
          <w:lang w:val="es-ES"/>
        </w:rPr>
        <w:t>accompanied</w:t>
      </w:r>
      <w:proofErr w:type="spellEnd"/>
      <w:r>
        <w:rPr>
          <w:sz w:val="22"/>
          <w:szCs w:val="22"/>
          <w:lang w:val="es-ES"/>
        </w:rPr>
        <w:t xml:space="preserve"> </w:t>
      </w:r>
      <w:proofErr w:type="spellStart"/>
      <w:r>
        <w:rPr>
          <w:sz w:val="22"/>
          <w:szCs w:val="22"/>
          <w:lang w:val="es-ES"/>
        </w:rPr>
        <w:t>by</w:t>
      </w:r>
      <w:proofErr w:type="spellEnd"/>
      <w:r>
        <w:rPr>
          <w:sz w:val="22"/>
          <w:szCs w:val="22"/>
          <w:lang w:val="es-ES"/>
        </w:rPr>
        <w:t xml:space="preserve"> </w:t>
      </w:r>
      <w:proofErr w:type="spellStart"/>
      <w:r>
        <w:rPr>
          <w:sz w:val="22"/>
          <w:szCs w:val="22"/>
          <w:lang w:val="es-ES"/>
        </w:rPr>
        <w:t>an</w:t>
      </w:r>
      <w:proofErr w:type="spellEnd"/>
      <w:r>
        <w:rPr>
          <w:sz w:val="22"/>
          <w:szCs w:val="22"/>
          <w:lang w:val="es-ES"/>
        </w:rPr>
        <w:t xml:space="preserve"> </w:t>
      </w:r>
      <w:proofErr w:type="spellStart"/>
      <w:r>
        <w:rPr>
          <w:sz w:val="22"/>
          <w:szCs w:val="22"/>
          <w:lang w:val="es-ES"/>
        </w:rPr>
        <w:t>accuracy</w:t>
      </w:r>
      <w:proofErr w:type="spellEnd"/>
      <w:r>
        <w:rPr>
          <w:sz w:val="22"/>
          <w:szCs w:val="22"/>
          <w:lang w:val="es-ES"/>
        </w:rPr>
        <w:t xml:space="preserve"> curve. </w:t>
      </w:r>
      <w:proofErr w:type="spellStart"/>
      <w:r>
        <w:rPr>
          <w:sz w:val="22"/>
          <w:szCs w:val="22"/>
          <w:lang w:val="es-ES"/>
        </w:rPr>
        <w:t>If</w:t>
      </w:r>
      <w:proofErr w:type="spellEnd"/>
      <w:r>
        <w:rPr>
          <w:sz w:val="22"/>
          <w:szCs w:val="22"/>
          <w:lang w:val="es-ES"/>
        </w:rPr>
        <w:t xml:space="preserve"> </w:t>
      </w:r>
      <w:proofErr w:type="spellStart"/>
      <w:r>
        <w:rPr>
          <w:sz w:val="22"/>
          <w:szCs w:val="22"/>
          <w:lang w:val="es-ES"/>
        </w:rPr>
        <w:t>awarded</w:t>
      </w:r>
      <w:proofErr w:type="spellEnd"/>
      <w:r>
        <w:rPr>
          <w:sz w:val="22"/>
          <w:szCs w:val="22"/>
          <w:lang w:val="es-ES"/>
        </w:rPr>
        <w:t xml:space="preserve"> </w:t>
      </w:r>
      <w:proofErr w:type="spellStart"/>
      <w:r>
        <w:rPr>
          <w:sz w:val="22"/>
          <w:szCs w:val="22"/>
          <w:lang w:val="es-ES"/>
        </w:rPr>
        <w:t>the</w:t>
      </w:r>
      <w:proofErr w:type="spellEnd"/>
      <w:r>
        <w:rPr>
          <w:sz w:val="22"/>
          <w:szCs w:val="22"/>
          <w:lang w:val="es-ES"/>
        </w:rPr>
        <w:t xml:space="preserve"> </w:t>
      </w:r>
      <w:proofErr w:type="spellStart"/>
      <w:r>
        <w:rPr>
          <w:sz w:val="22"/>
          <w:szCs w:val="22"/>
          <w:lang w:val="es-ES"/>
        </w:rPr>
        <w:t>contract</w:t>
      </w:r>
      <w:proofErr w:type="spellEnd"/>
      <w:r>
        <w:rPr>
          <w:sz w:val="22"/>
          <w:szCs w:val="22"/>
          <w:lang w:val="es-ES"/>
        </w:rPr>
        <w:t xml:space="preserve">, at </w:t>
      </w:r>
      <w:proofErr w:type="spellStart"/>
      <w:r>
        <w:rPr>
          <w:sz w:val="22"/>
          <w:szCs w:val="22"/>
          <w:lang w:val="es-ES"/>
        </w:rPr>
        <w:t>least</w:t>
      </w:r>
      <w:proofErr w:type="spellEnd"/>
      <w:r>
        <w:rPr>
          <w:sz w:val="22"/>
          <w:szCs w:val="22"/>
          <w:lang w:val="es-ES"/>
        </w:rPr>
        <w:t xml:space="preserve"> </w:t>
      </w:r>
      <w:proofErr w:type="spellStart"/>
      <w:r>
        <w:rPr>
          <w:sz w:val="22"/>
          <w:szCs w:val="22"/>
          <w:lang w:val="es-ES"/>
        </w:rPr>
        <w:t>two</w:t>
      </w:r>
      <w:proofErr w:type="spellEnd"/>
      <w:r>
        <w:rPr>
          <w:sz w:val="22"/>
          <w:szCs w:val="22"/>
          <w:lang w:val="es-ES"/>
        </w:rPr>
        <w:t xml:space="preserve"> </w:t>
      </w:r>
      <w:proofErr w:type="spellStart"/>
      <w:r>
        <w:rPr>
          <w:sz w:val="22"/>
          <w:szCs w:val="22"/>
          <w:lang w:val="es-ES"/>
        </w:rPr>
        <w:t>of</w:t>
      </w:r>
      <w:proofErr w:type="spellEnd"/>
      <w:r>
        <w:rPr>
          <w:sz w:val="22"/>
          <w:szCs w:val="22"/>
          <w:lang w:val="es-ES"/>
        </w:rPr>
        <w:t xml:space="preserve"> </w:t>
      </w:r>
      <w:proofErr w:type="spellStart"/>
      <w:r>
        <w:rPr>
          <w:sz w:val="22"/>
          <w:szCs w:val="22"/>
          <w:lang w:val="es-ES"/>
        </w:rPr>
        <w:t>these</w:t>
      </w:r>
      <w:proofErr w:type="spellEnd"/>
      <w:r>
        <w:rPr>
          <w:sz w:val="22"/>
          <w:szCs w:val="22"/>
          <w:lang w:val="es-ES"/>
        </w:rPr>
        <w:t xml:space="preserve"> </w:t>
      </w:r>
      <w:proofErr w:type="spellStart"/>
      <w:r>
        <w:rPr>
          <w:sz w:val="22"/>
          <w:szCs w:val="22"/>
          <w:lang w:val="es-ES"/>
        </w:rPr>
        <w:t>samples</w:t>
      </w:r>
      <w:proofErr w:type="spellEnd"/>
      <w:r>
        <w:rPr>
          <w:sz w:val="22"/>
          <w:szCs w:val="22"/>
          <w:lang w:val="es-ES"/>
        </w:rPr>
        <w:t xml:space="preserve"> </w:t>
      </w:r>
      <w:proofErr w:type="spellStart"/>
      <w:r>
        <w:rPr>
          <w:sz w:val="22"/>
          <w:szCs w:val="22"/>
          <w:lang w:val="es-ES"/>
        </w:rPr>
        <w:t>may</w:t>
      </w:r>
      <w:proofErr w:type="spellEnd"/>
      <w:r>
        <w:rPr>
          <w:sz w:val="22"/>
          <w:szCs w:val="22"/>
          <w:lang w:val="es-ES"/>
        </w:rPr>
        <w:t xml:space="preserve"> be </w:t>
      </w:r>
      <w:proofErr w:type="spellStart"/>
      <w:r>
        <w:rPr>
          <w:sz w:val="22"/>
          <w:szCs w:val="22"/>
          <w:lang w:val="es-ES"/>
        </w:rPr>
        <w:t>used</w:t>
      </w:r>
      <w:proofErr w:type="spellEnd"/>
      <w:r>
        <w:rPr>
          <w:sz w:val="22"/>
          <w:szCs w:val="22"/>
          <w:lang w:val="es-ES"/>
        </w:rPr>
        <w:t xml:space="preserve"> as </w:t>
      </w:r>
      <w:proofErr w:type="spellStart"/>
      <w:r>
        <w:rPr>
          <w:sz w:val="22"/>
          <w:szCs w:val="22"/>
          <w:lang w:val="es-ES"/>
        </w:rPr>
        <w:t>verification</w:t>
      </w:r>
      <w:proofErr w:type="spellEnd"/>
      <w:r>
        <w:rPr>
          <w:sz w:val="22"/>
          <w:szCs w:val="22"/>
          <w:lang w:val="es-ES"/>
        </w:rPr>
        <w:t xml:space="preserve"> gauges </w:t>
      </w:r>
      <w:proofErr w:type="spellStart"/>
      <w:r>
        <w:rPr>
          <w:sz w:val="22"/>
          <w:szCs w:val="22"/>
          <w:lang w:val="es-ES"/>
        </w:rPr>
        <w:t>for</w:t>
      </w:r>
      <w:proofErr w:type="spellEnd"/>
      <w:r>
        <w:rPr>
          <w:sz w:val="22"/>
          <w:szCs w:val="22"/>
          <w:lang w:val="es-ES"/>
        </w:rPr>
        <w:t xml:space="preserve"> </w:t>
      </w:r>
      <w:proofErr w:type="spellStart"/>
      <w:r>
        <w:rPr>
          <w:sz w:val="22"/>
          <w:szCs w:val="22"/>
          <w:lang w:val="es-ES"/>
        </w:rPr>
        <w:t>the</w:t>
      </w:r>
      <w:proofErr w:type="spellEnd"/>
      <w:r>
        <w:rPr>
          <w:sz w:val="22"/>
          <w:szCs w:val="22"/>
          <w:lang w:val="es-ES"/>
        </w:rPr>
        <w:t xml:space="preserve"> test </w:t>
      </w:r>
      <w:proofErr w:type="spellStart"/>
      <w:r>
        <w:rPr>
          <w:sz w:val="22"/>
          <w:szCs w:val="22"/>
          <w:lang w:val="es-ES"/>
        </w:rPr>
        <w:t>benches</w:t>
      </w:r>
      <w:proofErr w:type="spellEnd"/>
      <w:r>
        <w:rPr>
          <w:sz w:val="22"/>
          <w:szCs w:val="22"/>
          <w:lang w:val="es-ES"/>
        </w:rPr>
        <w:t xml:space="preserve"> </w:t>
      </w:r>
      <w:proofErr w:type="spellStart"/>
      <w:r>
        <w:rPr>
          <w:sz w:val="22"/>
          <w:szCs w:val="22"/>
          <w:lang w:val="es-ES"/>
        </w:rPr>
        <w:t>where</w:t>
      </w:r>
      <w:proofErr w:type="spellEnd"/>
      <w:r>
        <w:rPr>
          <w:sz w:val="22"/>
          <w:szCs w:val="22"/>
          <w:lang w:val="es-ES"/>
        </w:rPr>
        <w:t xml:space="preserve"> </w:t>
      </w:r>
      <w:proofErr w:type="spellStart"/>
      <w:r>
        <w:rPr>
          <w:sz w:val="22"/>
          <w:szCs w:val="22"/>
          <w:lang w:val="es-ES"/>
        </w:rPr>
        <w:t>the</w:t>
      </w:r>
      <w:proofErr w:type="spellEnd"/>
      <w:r>
        <w:rPr>
          <w:sz w:val="22"/>
          <w:szCs w:val="22"/>
          <w:lang w:val="es-ES"/>
        </w:rPr>
        <w:t xml:space="preserve"> </w:t>
      </w:r>
      <w:proofErr w:type="spellStart"/>
      <w:r>
        <w:rPr>
          <w:sz w:val="22"/>
          <w:szCs w:val="22"/>
          <w:lang w:val="es-ES"/>
        </w:rPr>
        <w:t>factory</w:t>
      </w:r>
      <w:proofErr w:type="spellEnd"/>
      <w:r>
        <w:rPr>
          <w:sz w:val="22"/>
          <w:szCs w:val="22"/>
          <w:lang w:val="es-ES"/>
        </w:rPr>
        <w:t xml:space="preserve"> </w:t>
      </w:r>
      <w:proofErr w:type="spellStart"/>
      <w:r>
        <w:rPr>
          <w:sz w:val="22"/>
          <w:szCs w:val="22"/>
          <w:lang w:val="es-ES"/>
        </w:rPr>
        <w:t>acceptance</w:t>
      </w:r>
      <w:proofErr w:type="spellEnd"/>
      <w:r>
        <w:rPr>
          <w:sz w:val="22"/>
          <w:szCs w:val="22"/>
          <w:lang w:val="es-ES"/>
        </w:rPr>
        <w:t xml:space="preserve"> </w:t>
      </w:r>
      <w:proofErr w:type="spellStart"/>
      <w:r>
        <w:rPr>
          <w:sz w:val="22"/>
          <w:szCs w:val="22"/>
          <w:lang w:val="es-ES"/>
        </w:rPr>
        <w:t>tests</w:t>
      </w:r>
      <w:proofErr w:type="spellEnd"/>
      <w:r>
        <w:rPr>
          <w:sz w:val="22"/>
          <w:szCs w:val="22"/>
          <w:lang w:val="es-ES"/>
        </w:rPr>
        <w:t xml:space="preserve"> </w:t>
      </w:r>
      <w:proofErr w:type="spellStart"/>
      <w:r>
        <w:rPr>
          <w:sz w:val="22"/>
          <w:szCs w:val="22"/>
          <w:lang w:val="es-ES"/>
        </w:rPr>
        <w:t>will</w:t>
      </w:r>
      <w:proofErr w:type="spellEnd"/>
      <w:r>
        <w:rPr>
          <w:sz w:val="22"/>
          <w:szCs w:val="22"/>
          <w:lang w:val="es-ES"/>
        </w:rPr>
        <w:t xml:space="preserve"> be </w:t>
      </w:r>
      <w:proofErr w:type="spellStart"/>
      <w:r>
        <w:rPr>
          <w:sz w:val="22"/>
          <w:szCs w:val="22"/>
          <w:lang w:val="es-ES"/>
        </w:rPr>
        <w:t>carried</w:t>
      </w:r>
      <w:proofErr w:type="spellEnd"/>
      <w:r>
        <w:rPr>
          <w:sz w:val="22"/>
          <w:szCs w:val="22"/>
          <w:lang w:val="es-ES"/>
        </w:rPr>
        <w:t xml:space="preserve"> </w:t>
      </w:r>
      <w:proofErr w:type="spellStart"/>
      <w:r>
        <w:rPr>
          <w:sz w:val="22"/>
          <w:szCs w:val="22"/>
          <w:lang w:val="es-ES"/>
        </w:rPr>
        <w:t>out</w:t>
      </w:r>
      <w:proofErr w:type="spellEnd"/>
      <w:r>
        <w:rPr>
          <w:sz w:val="22"/>
          <w:szCs w:val="22"/>
          <w:lang w:val="es-ES"/>
        </w:rPr>
        <w:t>.</w:t>
      </w:r>
    </w:p>
    <w:p w14:paraId="493FCCE1" w14:textId="77777777" w:rsidR="00E255F4" w:rsidRDefault="00000000">
      <w:pPr>
        <w:pStyle w:val="Prrafodelista"/>
        <w:numPr>
          <w:ilvl w:val="1"/>
          <w:numId w:val="28"/>
        </w:numPr>
        <w:spacing w:before="120" w:after="120"/>
        <w:ind w:left="567" w:hanging="567"/>
        <w:jc w:val="both"/>
        <w:rPr>
          <w:color w:val="000000"/>
          <w:sz w:val="22"/>
          <w:szCs w:val="22"/>
          <w:lang w:val="es-ES"/>
        </w:rPr>
      </w:pPr>
      <w:r>
        <w:rPr>
          <w:color w:val="000000"/>
          <w:sz w:val="22"/>
          <w:szCs w:val="22"/>
          <w:lang w:val="es-ES"/>
        </w:rPr>
        <w:t xml:space="preserve">The </w:t>
      </w:r>
      <w:proofErr w:type="spellStart"/>
      <w:r>
        <w:rPr>
          <w:color w:val="000000"/>
          <w:sz w:val="22"/>
          <w:szCs w:val="22"/>
          <w:lang w:val="es-ES"/>
        </w:rPr>
        <w:t>samples</w:t>
      </w:r>
      <w:proofErr w:type="spellEnd"/>
      <w:r>
        <w:rPr>
          <w:color w:val="000000"/>
          <w:sz w:val="22"/>
          <w:szCs w:val="22"/>
          <w:lang w:val="es-ES"/>
        </w:rPr>
        <w:t xml:space="preserve"> </w:t>
      </w:r>
      <w:proofErr w:type="spellStart"/>
      <w:r>
        <w:rPr>
          <w:color w:val="000000"/>
          <w:sz w:val="22"/>
          <w:szCs w:val="22"/>
          <w:lang w:val="es-ES"/>
        </w:rPr>
        <w:t>to</w:t>
      </w:r>
      <w:proofErr w:type="spellEnd"/>
      <w:r>
        <w:rPr>
          <w:color w:val="000000"/>
          <w:sz w:val="22"/>
          <w:szCs w:val="22"/>
          <w:lang w:val="es-ES"/>
        </w:rPr>
        <w:t xml:space="preserve"> be </w:t>
      </w:r>
      <w:proofErr w:type="spellStart"/>
      <w:r>
        <w:rPr>
          <w:color w:val="000000"/>
          <w:sz w:val="22"/>
          <w:szCs w:val="22"/>
          <w:lang w:val="es-ES"/>
        </w:rPr>
        <w:t>submitted</w:t>
      </w:r>
      <w:proofErr w:type="spellEnd"/>
      <w:r>
        <w:rPr>
          <w:color w:val="000000"/>
          <w:sz w:val="22"/>
          <w:szCs w:val="22"/>
          <w:lang w:val="es-ES"/>
        </w:rPr>
        <w:t xml:space="preserve"> </w:t>
      </w:r>
      <w:proofErr w:type="spellStart"/>
      <w:r>
        <w:rPr>
          <w:color w:val="000000"/>
          <w:sz w:val="22"/>
          <w:szCs w:val="22"/>
          <w:lang w:val="es-ES"/>
        </w:rPr>
        <w:t>for</w:t>
      </w:r>
      <w:proofErr w:type="spellEnd"/>
      <w:r>
        <w:rPr>
          <w:color w:val="000000"/>
          <w:sz w:val="22"/>
          <w:szCs w:val="22"/>
          <w:lang w:val="es-ES"/>
        </w:rPr>
        <w:t xml:space="preserve"> </w:t>
      </w:r>
      <w:proofErr w:type="spellStart"/>
      <w:r>
        <w:rPr>
          <w:color w:val="000000"/>
          <w:sz w:val="22"/>
          <w:szCs w:val="22"/>
          <w:lang w:val="es-ES"/>
        </w:rPr>
        <w:t>qualification</w:t>
      </w:r>
      <w:proofErr w:type="spellEnd"/>
      <w:r>
        <w:rPr>
          <w:color w:val="000000"/>
          <w:sz w:val="22"/>
          <w:szCs w:val="22"/>
          <w:lang w:val="es-ES"/>
        </w:rPr>
        <w:t xml:space="preserve"> </w:t>
      </w:r>
      <w:proofErr w:type="spellStart"/>
      <w:r>
        <w:rPr>
          <w:color w:val="000000"/>
          <w:sz w:val="22"/>
          <w:szCs w:val="22"/>
          <w:lang w:val="es-ES"/>
        </w:rPr>
        <w:t>tests</w:t>
      </w:r>
      <w:proofErr w:type="spellEnd"/>
      <w:r>
        <w:rPr>
          <w:color w:val="000000"/>
          <w:sz w:val="22"/>
          <w:szCs w:val="22"/>
          <w:lang w:val="es-ES"/>
        </w:rPr>
        <w:t xml:space="preserve"> </w:t>
      </w:r>
      <w:proofErr w:type="spellStart"/>
      <w:r>
        <w:rPr>
          <w:color w:val="000000"/>
          <w:sz w:val="22"/>
          <w:szCs w:val="22"/>
          <w:lang w:val="es-ES"/>
        </w:rPr>
        <w:t>may</w:t>
      </w:r>
      <w:proofErr w:type="spellEnd"/>
      <w:r>
        <w:rPr>
          <w:color w:val="000000"/>
          <w:sz w:val="22"/>
          <w:szCs w:val="22"/>
          <w:lang w:val="es-ES"/>
        </w:rPr>
        <w:t xml:space="preserve"> </w:t>
      </w:r>
      <w:proofErr w:type="spellStart"/>
      <w:r>
        <w:rPr>
          <w:color w:val="000000"/>
          <w:sz w:val="22"/>
          <w:szCs w:val="22"/>
          <w:lang w:val="es-ES"/>
        </w:rPr>
        <w:t>not</w:t>
      </w:r>
      <w:proofErr w:type="spellEnd"/>
      <w:r>
        <w:rPr>
          <w:color w:val="000000"/>
          <w:sz w:val="22"/>
          <w:szCs w:val="22"/>
          <w:lang w:val="es-ES"/>
        </w:rPr>
        <w:t xml:space="preserve"> </w:t>
      </w:r>
      <w:proofErr w:type="spellStart"/>
      <w:r>
        <w:rPr>
          <w:color w:val="000000"/>
          <w:sz w:val="22"/>
          <w:szCs w:val="22"/>
          <w:lang w:val="es-ES"/>
        </w:rPr>
        <w:t>have</w:t>
      </w:r>
      <w:proofErr w:type="spellEnd"/>
      <w:r>
        <w:rPr>
          <w:color w:val="000000"/>
          <w:sz w:val="22"/>
          <w:szCs w:val="22"/>
          <w:lang w:val="es-ES"/>
        </w:rPr>
        <w:t xml:space="preserve"> </w:t>
      </w:r>
      <w:proofErr w:type="spellStart"/>
      <w:r>
        <w:rPr>
          <w:color w:val="000000"/>
          <w:sz w:val="22"/>
          <w:szCs w:val="22"/>
          <w:lang w:val="es-ES"/>
        </w:rPr>
        <w:t>the</w:t>
      </w:r>
      <w:proofErr w:type="spellEnd"/>
      <w:r>
        <w:rPr>
          <w:color w:val="000000"/>
          <w:sz w:val="22"/>
          <w:szCs w:val="22"/>
          <w:lang w:val="es-ES"/>
        </w:rPr>
        <w:t xml:space="preserve"> </w:t>
      </w:r>
      <w:proofErr w:type="spellStart"/>
      <w:r>
        <w:rPr>
          <w:color w:val="000000"/>
          <w:sz w:val="22"/>
          <w:szCs w:val="22"/>
          <w:lang w:val="es-ES"/>
        </w:rPr>
        <w:t>acronym</w:t>
      </w:r>
      <w:proofErr w:type="spellEnd"/>
      <w:r>
        <w:rPr>
          <w:color w:val="000000"/>
          <w:sz w:val="22"/>
          <w:szCs w:val="22"/>
          <w:lang w:val="es-ES"/>
        </w:rPr>
        <w:t xml:space="preserve"> OSE, </w:t>
      </w:r>
      <w:proofErr w:type="spellStart"/>
      <w:r>
        <w:rPr>
          <w:color w:val="000000"/>
          <w:sz w:val="22"/>
          <w:szCs w:val="22"/>
          <w:lang w:val="es-ES"/>
        </w:rPr>
        <w:t>but</w:t>
      </w:r>
      <w:proofErr w:type="spellEnd"/>
      <w:r>
        <w:rPr>
          <w:color w:val="000000"/>
          <w:sz w:val="22"/>
          <w:szCs w:val="22"/>
          <w:lang w:val="es-ES"/>
        </w:rPr>
        <w:t xml:space="preserve"> </w:t>
      </w:r>
      <w:proofErr w:type="spellStart"/>
      <w:r>
        <w:rPr>
          <w:color w:val="000000"/>
          <w:sz w:val="22"/>
          <w:szCs w:val="22"/>
          <w:lang w:val="es-ES"/>
        </w:rPr>
        <w:t>it</w:t>
      </w:r>
      <w:proofErr w:type="spellEnd"/>
      <w:r>
        <w:rPr>
          <w:color w:val="000000"/>
          <w:sz w:val="22"/>
          <w:szCs w:val="22"/>
          <w:lang w:val="es-ES"/>
        </w:rPr>
        <w:t xml:space="preserve"> </w:t>
      </w:r>
      <w:proofErr w:type="spellStart"/>
      <w:r>
        <w:rPr>
          <w:color w:val="000000"/>
          <w:sz w:val="22"/>
          <w:szCs w:val="22"/>
          <w:lang w:val="es-ES"/>
        </w:rPr>
        <w:t>must</w:t>
      </w:r>
      <w:proofErr w:type="spellEnd"/>
      <w:r>
        <w:rPr>
          <w:color w:val="000000"/>
          <w:sz w:val="22"/>
          <w:szCs w:val="22"/>
          <w:lang w:val="es-ES"/>
        </w:rPr>
        <w:t xml:space="preserve"> be </w:t>
      </w:r>
      <w:proofErr w:type="spellStart"/>
      <w:r>
        <w:rPr>
          <w:color w:val="000000"/>
          <w:sz w:val="22"/>
          <w:szCs w:val="22"/>
          <w:lang w:val="es-ES"/>
        </w:rPr>
        <w:t>indicated</w:t>
      </w:r>
      <w:proofErr w:type="spellEnd"/>
      <w:r>
        <w:rPr>
          <w:color w:val="000000"/>
          <w:sz w:val="22"/>
          <w:szCs w:val="22"/>
          <w:lang w:val="es-ES"/>
        </w:rPr>
        <w:t xml:space="preserve"> in </w:t>
      </w:r>
      <w:proofErr w:type="spellStart"/>
      <w:r>
        <w:rPr>
          <w:color w:val="000000"/>
          <w:sz w:val="22"/>
          <w:szCs w:val="22"/>
          <w:lang w:val="es-ES"/>
        </w:rPr>
        <w:t>the</w:t>
      </w:r>
      <w:proofErr w:type="spellEnd"/>
      <w:r>
        <w:rPr>
          <w:color w:val="000000"/>
          <w:sz w:val="22"/>
          <w:szCs w:val="22"/>
          <w:lang w:val="es-ES"/>
        </w:rPr>
        <w:t xml:space="preserve"> </w:t>
      </w:r>
      <w:proofErr w:type="spellStart"/>
      <w:r>
        <w:rPr>
          <w:color w:val="000000"/>
          <w:sz w:val="22"/>
          <w:szCs w:val="22"/>
          <w:lang w:val="es-ES"/>
        </w:rPr>
        <w:t>offer</w:t>
      </w:r>
      <w:proofErr w:type="spellEnd"/>
      <w:r>
        <w:rPr>
          <w:color w:val="000000"/>
          <w:sz w:val="22"/>
          <w:szCs w:val="22"/>
          <w:lang w:val="es-ES"/>
        </w:rPr>
        <w:t xml:space="preserve"> </w:t>
      </w:r>
      <w:proofErr w:type="spellStart"/>
      <w:r>
        <w:rPr>
          <w:color w:val="000000"/>
          <w:sz w:val="22"/>
          <w:szCs w:val="22"/>
          <w:lang w:val="es-ES"/>
        </w:rPr>
        <w:t>that</w:t>
      </w:r>
      <w:proofErr w:type="spellEnd"/>
      <w:r>
        <w:rPr>
          <w:color w:val="000000"/>
          <w:sz w:val="22"/>
          <w:szCs w:val="22"/>
          <w:lang w:val="es-ES"/>
        </w:rPr>
        <w:t xml:space="preserve"> </w:t>
      </w:r>
      <w:proofErr w:type="spellStart"/>
      <w:r>
        <w:rPr>
          <w:color w:val="000000"/>
          <w:sz w:val="22"/>
          <w:szCs w:val="22"/>
          <w:lang w:val="es-ES"/>
        </w:rPr>
        <w:t>they</w:t>
      </w:r>
      <w:proofErr w:type="spellEnd"/>
      <w:r>
        <w:rPr>
          <w:color w:val="000000"/>
          <w:sz w:val="22"/>
          <w:szCs w:val="22"/>
          <w:lang w:val="es-ES"/>
        </w:rPr>
        <w:t xml:space="preserve"> </w:t>
      </w:r>
      <w:proofErr w:type="spellStart"/>
      <w:r>
        <w:rPr>
          <w:color w:val="000000"/>
          <w:sz w:val="22"/>
          <w:szCs w:val="22"/>
          <w:lang w:val="es-ES"/>
        </w:rPr>
        <w:t>will</w:t>
      </w:r>
      <w:proofErr w:type="spellEnd"/>
      <w:r>
        <w:rPr>
          <w:color w:val="000000"/>
          <w:sz w:val="22"/>
          <w:szCs w:val="22"/>
          <w:lang w:val="es-ES"/>
        </w:rPr>
        <w:t xml:space="preserve"> </w:t>
      </w:r>
      <w:proofErr w:type="spellStart"/>
      <w:r>
        <w:rPr>
          <w:color w:val="000000"/>
          <w:sz w:val="22"/>
          <w:szCs w:val="22"/>
          <w:lang w:val="es-ES"/>
        </w:rPr>
        <w:t>comply</w:t>
      </w:r>
      <w:proofErr w:type="spellEnd"/>
      <w:r>
        <w:rPr>
          <w:color w:val="000000"/>
          <w:sz w:val="22"/>
          <w:szCs w:val="22"/>
          <w:lang w:val="es-ES"/>
        </w:rPr>
        <w:t xml:space="preserve"> </w:t>
      </w:r>
      <w:proofErr w:type="spellStart"/>
      <w:r>
        <w:rPr>
          <w:color w:val="000000"/>
          <w:sz w:val="22"/>
          <w:szCs w:val="22"/>
          <w:lang w:val="es-ES"/>
        </w:rPr>
        <w:t>with</w:t>
      </w:r>
      <w:proofErr w:type="spellEnd"/>
      <w:r>
        <w:rPr>
          <w:color w:val="000000"/>
          <w:sz w:val="22"/>
          <w:szCs w:val="22"/>
          <w:lang w:val="es-ES"/>
        </w:rPr>
        <w:t xml:space="preserve"> </w:t>
      </w:r>
      <w:proofErr w:type="spellStart"/>
      <w:r>
        <w:rPr>
          <w:color w:val="000000"/>
          <w:sz w:val="22"/>
          <w:szCs w:val="22"/>
          <w:lang w:val="es-ES"/>
        </w:rPr>
        <w:t>these</w:t>
      </w:r>
      <w:proofErr w:type="spellEnd"/>
      <w:r>
        <w:rPr>
          <w:color w:val="000000"/>
          <w:sz w:val="22"/>
          <w:szCs w:val="22"/>
          <w:lang w:val="es-ES"/>
        </w:rPr>
        <w:t xml:space="preserve"> </w:t>
      </w:r>
      <w:proofErr w:type="spellStart"/>
      <w:r>
        <w:rPr>
          <w:color w:val="000000"/>
          <w:sz w:val="22"/>
          <w:szCs w:val="22"/>
          <w:lang w:val="es-ES"/>
        </w:rPr>
        <w:t>requirements</w:t>
      </w:r>
      <w:proofErr w:type="spellEnd"/>
      <w:r>
        <w:rPr>
          <w:color w:val="000000"/>
          <w:sz w:val="22"/>
          <w:szCs w:val="22"/>
          <w:lang w:val="es-ES"/>
        </w:rPr>
        <w:t xml:space="preserve"> and in </w:t>
      </w:r>
      <w:proofErr w:type="spellStart"/>
      <w:r>
        <w:rPr>
          <w:color w:val="000000"/>
          <w:sz w:val="22"/>
          <w:szCs w:val="22"/>
          <w:lang w:val="es-ES"/>
        </w:rPr>
        <w:t>what</w:t>
      </w:r>
      <w:proofErr w:type="spellEnd"/>
      <w:r>
        <w:rPr>
          <w:color w:val="000000"/>
          <w:sz w:val="22"/>
          <w:szCs w:val="22"/>
          <w:lang w:val="es-ES"/>
        </w:rPr>
        <w:t xml:space="preserve"> </w:t>
      </w:r>
      <w:proofErr w:type="spellStart"/>
      <w:r>
        <w:rPr>
          <w:color w:val="000000"/>
          <w:sz w:val="22"/>
          <w:szCs w:val="22"/>
          <w:lang w:val="es-ES"/>
        </w:rPr>
        <w:t>way</w:t>
      </w:r>
      <w:proofErr w:type="spellEnd"/>
      <w:r>
        <w:rPr>
          <w:color w:val="000000"/>
          <w:sz w:val="22"/>
          <w:szCs w:val="22"/>
          <w:lang w:val="es-ES"/>
        </w:rPr>
        <w:t>.</w:t>
      </w:r>
    </w:p>
    <w:p w14:paraId="2FA3AF14" w14:textId="77777777" w:rsidR="00E255F4" w:rsidRDefault="00000000">
      <w:pPr>
        <w:pStyle w:val="Prrafodelista"/>
        <w:numPr>
          <w:ilvl w:val="1"/>
          <w:numId w:val="28"/>
        </w:numPr>
        <w:spacing w:before="120" w:after="120"/>
        <w:ind w:left="567" w:hanging="567"/>
        <w:jc w:val="both"/>
        <w:rPr>
          <w:sz w:val="22"/>
          <w:szCs w:val="22"/>
          <w:lang w:val="es-ES"/>
        </w:rPr>
      </w:pPr>
      <w:proofErr w:type="spellStart"/>
      <w:r>
        <w:rPr>
          <w:sz w:val="22"/>
          <w:szCs w:val="22"/>
          <w:lang w:val="es-ES"/>
        </w:rPr>
        <w:t>Of</w:t>
      </w:r>
      <w:proofErr w:type="spellEnd"/>
      <w:r>
        <w:rPr>
          <w:sz w:val="22"/>
          <w:szCs w:val="22"/>
          <w:lang w:val="es-ES"/>
        </w:rPr>
        <w:t xml:space="preserve"> </w:t>
      </w:r>
      <w:proofErr w:type="spellStart"/>
      <w:r>
        <w:rPr>
          <w:sz w:val="22"/>
          <w:szCs w:val="22"/>
          <w:lang w:val="es-ES"/>
        </w:rPr>
        <w:t>the</w:t>
      </w:r>
      <w:proofErr w:type="spellEnd"/>
      <w:r>
        <w:rPr>
          <w:sz w:val="22"/>
          <w:szCs w:val="22"/>
          <w:lang w:val="es-ES"/>
        </w:rPr>
        <w:t xml:space="preserve"> </w:t>
      </w:r>
      <w:proofErr w:type="spellStart"/>
      <w:r>
        <w:rPr>
          <w:sz w:val="22"/>
          <w:szCs w:val="22"/>
          <w:lang w:val="es-ES"/>
        </w:rPr>
        <w:t>samples</w:t>
      </w:r>
      <w:proofErr w:type="spellEnd"/>
      <w:r>
        <w:rPr>
          <w:sz w:val="22"/>
          <w:szCs w:val="22"/>
          <w:lang w:val="es-ES"/>
        </w:rPr>
        <w:t xml:space="preserve"> </w:t>
      </w:r>
      <w:proofErr w:type="spellStart"/>
      <w:r>
        <w:rPr>
          <w:sz w:val="22"/>
          <w:szCs w:val="22"/>
          <w:lang w:val="es-ES"/>
        </w:rPr>
        <w:t>submitted</w:t>
      </w:r>
      <w:proofErr w:type="spellEnd"/>
      <w:r>
        <w:rPr>
          <w:sz w:val="22"/>
          <w:szCs w:val="22"/>
          <w:lang w:val="es-ES"/>
        </w:rPr>
        <w:t xml:space="preserve"> </w:t>
      </w:r>
      <w:proofErr w:type="spellStart"/>
      <w:r>
        <w:rPr>
          <w:sz w:val="22"/>
          <w:szCs w:val="22"/>
          <w:lang w:val="es-ES"/>
        </w:rPr>
        <w:t>for</w:t>
      </w:r>
      <w:proofErr w:type="spellEnd"/>
      <w:r>
        <w:rPr>
          <w:sz w:val="22"/>
          <w:szCs w:val="22"/>
          <w:lang w:val="es-ES"/>
        </w:rPr>
        <w:t xml:space="preserve"> </w:t>
      </w:r>
      <w:proofErr w:type="spellStart"/>
      <w:r>
        <w:rPr>
          <w:sz w:val="22"/>
          <w:szCs w:val="22"/>
          <w:lang w:val="es-ES"/>
        </w:rPr>
        <w:t>qualification</w:t>
      </w:r>
      <w:proofErr w:type="spellEnd"/>
      <w:r>
        <w:rPr>
          <w:sz w:val="22"/>
          <w:szCs w:val="22"/>
          <w:lang w:val="es-ES"/>
        </w:rPr>
        <w:t xml:space="preserve"> </w:t>
      </w:r>
      <w:proofErr w:type="spellStart"/>
      <w:r>
        <w:rPr>
          <w:sz w:val="22"/>
          <w:szCs w:val="22"/>
          <w:lang w:val="es-ES"/>
        </w:rPr>
        <w:t>testing</w:t>
      </w:r>
      <w:proofErr w:type="spellEnd"/>
      <w:r>
        <w:rPr>
          <w:sz w:val="22"/>
          <w:szCs w:val="22"/>
          <w:lang w:val="es-ES"/>
        </w:rPr>
        <w:t xml:space="preserve">, at </w:t>
      </w:r>
      <w:proofErr w:type="spellStart"/>
      <w:r>
        <w:rPr>
          <w:sz w:val="22"/>
          <w:szCs w:val="22"/>
          <w:lang w:val="es-ES"/>
        </w:rPr>
        <w:t>least</w:t>
      </w:r>
      <w:proofErr w:type="spellEnd"/>
      <w:r>
        <w:rPr>
          <w:sz w:val="22"/>
          <w:szCs w:val="22"/>
          <w:lang w:val="es-ES"/>
        </w:rPr>
        <w:t xml:space="preserve"> </w:t>
      </w:r>
      <w:proofErr w:type="spellStart"/>
      <w:r>
        <w:rPr>
          <w:sz w:val="22"/>
          <w:szCs w:val="22"/>
          <w:lang w:val="es-ES"/>
        </w:rPr>
        <w:t>one</w:t>
      </w:r>
      <w:proofErr w:type="spellEnd"/>
      <w:r>
        <w:rPr>
          <w:sz w:val="22"/>
          <w:szCs w:val="22"/>
          <w:lang w:val="es-ES"/>
        </w:rPr>
        <w:t xml:space="preserve"> </w:t>
      </w:r>
      <w:proofErr w:type="spellStart"/>
      <w:r>
        <w:rPr>
          <w:sz w:val="22"/>
          <w:szCs w:val="22"/>
          <w:lang w:val="es-ES"/>
        </w:rPr>
        <w:t>must</w:t>
      </w:r>
      <w:proofErr w:type="spellEnd"/>
      <w:r>
        <w:rPr>
          <w:sz w:val="22"/>
          <w:szCs w:val="22"/>
          <w:lang w:val="es-ES"/>
        </w:rPr>
        <w:t xml:space="preserve"> </w:t>
      </w:r>
      <w:proofErr w:type="spellStart"/>
      <w:r>
        <w:rPr>
          <w:sz w:val="22"/>
          <w:szCs w:val="22"/>
          <w:lang w:val="es-ES"/>
        </w:rPr>
        <w:t>bear</w:t>
      </w:r>
      <w:proofErr w:type="spellEnd"/>
      <w:r>
        <w:rPr>
          <w:sz w:val="22"/>
          <w:szCs w:val="22"/>
          <w:lang w:val="es-ES"/>
        </w:rPr>
        <w:t xml:space="preserve"> </w:t>
      </w:r>
      <w:proofErr w:type="spellStart"/>
      <w:r>
        <w:rPr>
          <w:sz w:val="22"/>
          <w:szCs w:val="22"/>
          <w:lang w:val="es-ES"/>
        </w:rPr>
        <w:t>the</w:t>
      </w:r>
      <w:proofErr w:type="spellEnd"/>
      <w:r>
        <w:rPr>
          <w:sz w:val="22"/>
          <w:szCs w:val="22"/>
          <w:lang w:val="es-ES"/>
        </w:rPr>
        <w:t xml:space="preserve"> serial </w:t>
      </w:r>
      <w:proofErr w:type="spellStart"/>
      <w:r>
        <w:rPr>
          <w:sz w:val="22"/>
          <w:szCs w:val="22"/>
          <w:lang w:val="es-ES"/>
        </w:rPr>
        <w:t>number</w:t>
      </w:r>
      <w:proofErr w:type="spellEnd"/>
      <w:r>
        <w:rPr>
          <w:sz w:val="22"/>
          <w:szCs w:val="22"/>
          <w:lang w:val="es-ES"/>
        </w:rPr>
        <w:t xml:space="preserve"> </w:t>
      </w:r>
      <w:proofErr w:type="spellStart"/>
      <w:r>
        <w:rPr>
          <w:sz w:val="22"/>
          <w:szCs w:val="22"/>
          <w:lang w:val="es-ES"/>
        </w:rPr>
        <w:t>required</w:t>
      </w:r>
      <w:proofErr w:type="spellEnd"/>
      <w:r>
        <w:rPr>
          <w:sz w:val="22"/>
          <w:szCs w:val="22"/>
          <w:lang w:val="es-ES"/>
        </w:rPr>
        <w:t xml:space="preserve"> in </w:t>
      </w:r>
      <w:proofErr w:type="spellStart"/>
      <w:r>
        <w:rPr>
          <w:sz w:val="22"/>
          <w:szCs w:val="22"/>
          <w:lang w:val="es-ES"/>
        </w:rPr>
        <w:t>the</w:t>
      </w:r>
      <w:proofErr w:type="spellEnd"/>
      <w:r>
        <w:rPr>
          <w:sz w:val="22"/>
          <w:szCs w:val="22"/>
          <w:lang w:val="es-ES"/>
        </w:rPr>
        <w:t xml:space="preserve"> </w:t>
      </w:r>
      <w:proofErr w:type="spellStart"/>
      <w:r>
        <w:rPr>
          <w:sz w:val="22"/>
          <w:szCs w:val="22"/>
          <w:lang w:val="es-ES"/>
        </w:rPr>
        <w:t>specifications</w:t>
      </w:r>
      <w:proofErr w:type="spellEnd"/>
      <w:r>
        <w:rPr>
          <w:sz w:val="22"/>
          <w:szCs w:val="22"/>
          <w:lang w:val="es-ES"/>
        </w:rPr>
        <w:t xml:space="preserve">. In </w:t>
      </w:r>
      <w:proofErr w:type="spellStart"/>
      <w:r>
        <w:rPr>
          <w:sz w:val="22"/>
          <w:szCs w:val="22"/>
          <w:lang w:val="es-ES"/>
        </w:rPr>
        <w:t>this</w:t>
      </w:r>
      <w:proofErr w:type="spellEnd"/>
      <w:r>
        <w:rPr>
          <w:sz w:val="22"/>
          <w:szCs w:val="22"/>
          <w:lang w:val="es-ES"/>
        </w:rPr>
        <w:t xml:space="preserve"> case, </w:t>
      </w:r>
      <w:proofErr w:type="spellStart"/>
      <w:r>
        <w:rPr>
          <w:sz w:val="22"/>
          <w:szCs w:val="22"/>
          <w:lang w:val="es-ES"/>
        </w:rPr>
        <w:t>the</w:t>
      </w:r>
      <w:proofErr w:type="spellEnd"/>
      <w:r>
        <w:rPr>
          <w:sz w:val="22"/>
          <w:szCs w:val="22"/>
          <w:lang w:val="es-ES"/>
        </w:rPr>
        <w:t xml:space="preserve"> meter </w:t>
      </w:r>
      <w:proofErr w:type="spellStart"/>
      <w:r>
        <w:rPr>
          <w:sz w:val="22"/>
          <w:szCs w:val="22"/>
          <w:lang w:val="es-ES"/>
        </w:rPr>
        <w:t>number</w:t>
      </w:r>
      <w:proofErr w:type="spellEnd"/>
      <w:r>
        <w:rPr>
          <w:sz w:val="22"/>
          <w:szCs w:val="22"/>
          <w:lang w:val="es-ES"/>
        </w:rPr>
        <w:t xml:space="preserve"> </w:t>
      </w:r>
      <w:proofErr w:type="spellStart"/>
      <w:r>
        <w:rPr>
          <w:sz w:val="22"/>
          <w:szCs w:val="22"/>
          <w:lang w:val="es-ES"/>
        </w:rPr>
        <w:t>will</w:t>
      </w:r>
      <w:proofErr w:type="spellEnd"/>
      <w:r>
        <w:rPr>
          <w:sz w:val="22"/>
          <w:szCs w:val="22"/>
          <w:lang w:val="es-ES"/>
        </w:rPr>
        <w:t xml:space="preserve"> be “AAA123456”. The </w:t>
      </w:r>
      <w:proofErr w:type="spellStart"/>
      <w:r>
        <w:rPr>
          <w:sz w:val="22"/>
          <w:szCs w:val="22"/>
          <w:lang w:val="es-ES"/>
        </w:rPr>
        <w:t>remaining</w:t>
      </w:r>
      <w:proofErr w:type="spellEnd"/>
      <w:r>
        <w:rPr>
          <w:sz w:val="22"/>
          <w:szCs w:val="22"/>
          <w:lang w:val="es-ES"/>
        </w:rPr>
        <w:t xml:space="preserve"> </w:t>
      </w:r>
      <w:proofErr w:type="spellStart"/>
      <w:r>
        <w:rPr>
          <w:sz w:val="22"/>
          <w:szCs w:val="22"/>
          <w:lang w:val="es-ES"/>
        </w:rPr>
        <w:t>samples</w:t>
      </w:r>
      <w:proofErr w:type="spellEnd"/>
      <w:r>
        <w:rPr>
          <w:sz w:val="22"/>
          <w:szCs w:val="22"/>
          <w:lang w:val="es-ES"/>
        </w:rPr>
        <w:t xml:space="preserve"> </w:t>
      </w:r>
      <w:proofErr w:type="spellStart"/>
      <w:r>
        <w:rPr>
          <w:sz w:val="22"/>
          <w:szCs w:val="22"/>
          <w:lang w:val="es-ES"/>
        </w:rPr>
        <w:t>may</w:t>
      </w:r>
      <w:proofErr w:type="spellEnd"/>
      <w:r>
        <w:rPr>
          <w:sz w:val="22"/>
          <w:szCs w:val="22"/>
          <w:lang w:val="es-ES"/>
        </w:rPr>
        <w:t xml:space="preserve"> </w:t>
      </w:r>
      <w:proofErr w:type="spellStart"/>
      <w:r>
        <w:rPr>
          <w:sz w:val="22"/>
          <w:szCs w:val="22"/>
          <w:lang w:val="es-ES"/>
        </w:rPr>
        <w:t>not</w:t>
      </w:r>
      <w:proofErr w:type="spellEnd"/>
      <w:r>
        <w:rPr>
          <w:sz w:val="22"/>
          <w:szCs w:val="22"/>
          <w:lang w:val="es-ES"/>
        </w:rPr>
        <w:t xml:space="preserve"> </w:t>
      </w:r>
      <w:proofErr w:type="spellStart"/>
      <w:r>
        <w:rPr>
          <w:sz w:val="22"/>
          <w:szCs w:val="22"/>
          <w:lang w:val="es-ES"/>
        </w:rPr>
        <w:t>bear</w:t>
      </w:r>
      <w:proofErr w:type="spellEnd"/>
      <w:r>
        <w:rPr>
          <w:sz w:val="22"/>
          <w:szCs w:val="22"/>
          <w:lang w:val="es-ES"/>
        </w:rPr>
        <w:t xml:space="preserve"> serial </w:t>
      </w:r>
      <w:proofErr w:type="spellStart"/>
      <w:r>
        <w:rPr>
          <w:sz w:val="22"/>
          <w:szCs w:val="22"/>
          <w:lang w:val="es-ES"/>
        </w:rPr>
        <w:t>numbers</w:t>
      </w:r>
      <w:proofErr w:type="spellEnd"/>
      <w:r>
        <w:rPr>
          <w:sz w:val="22"/>
          <w:szCs w:val="22"/>
          <w:lang w:val="es-ES"/>
        </w:rPr>
        <w:t xml:space="preserve">, </w:t>
      </w:r>
      <w:proofErr w:type="spellStart"/>
      <w:r>
        <w:rPr>
          <w:sz w:val="22"/>
          <w:szCs w:val="22"/>
          <w:lang w:val="es-ES"/>
        </w:rPr>
        <w:t>but</w:t>
      </w:r>
      <w:proofErr w:type="spellEnd"/>
      <w:r>
        <w:rPr>
          <w:sz w:val="22"/>
          <w:szCs w:val="22"/>
          <w:lang w:val="es-ES"/>
        </w:rPr>
        <w:t xml:space="preserve"> </w:t>
      </w:r>
      <w:proofErr w:type="spellStart"/>
      <w:r>
        <w:rPr>
          <w:sz w:val="22"/>
          <w:szCs w:val="22"/>
          <w:lang w:val="es-ES"/>
        </w:rPr>
        <w:t>the</w:t>
      </w:r>
      <w:proofErr w:type="spellEnd"/>
      <w:r>
        <w:rPr>
          <w:sz w:val="22"/>
          <w:szCs w:val="22"/>
          <w:lang w:val="es-ES"/>
        </w:rPr>
        <w:t xml:space="preserve"> </w:t>
      </w:r>
      <w:proofErr w:type="spellStart"/>
      <w:r>
        <w:rPr>
          <w:sz w:val="22"/>
          <w:szCs w:val="22"/>
          <w:lang w:val="es-ES"/>
        </w:rPr>
        <w:t>offer</w:t>
      </w:r>
      <w:proofErr w:type="spellEnd"/>
      <w:r>
        <w:rPr>
          <w:sz w:val="22"/>
          <w:szCs w:val="22"/>
          <w:lang w:val="es-ES"/>
        </w:rPr>
        <w:t xml:space="preserve"> </w:t>
      </w:r>
      <w:proofErr w:type="spellStart"/>
      <w:r>
        <w:rPr>
          <w:sz w:val="22"/>
          <w:szCs w:val="22"/>
          <w:lang w:val="es-ES"/>
        </w:rPr>
        <w:t>must</w:t>
      </w:r>
      <w:proofErr w:type="spellEnd"/>
      <w:r>
        <w:rPr>
          <w:sz w:val="22"/>
          <w:szCs w:val="22"/>
          <w:lang w:val="es-ES"/>
        </w:rPr>
        <w:t xml:space="preserve"> </w:t>
      </w:r>
      <w:proofErr w:type="spellStart"/>
      <w:r>
        <w:rPr>
          <w:sz w:val="22"/>
          <w:szCs w:val="22"/>
          <w:lang w:val="es-ES"/>
        </w:rPr>
        <w:t>indicate</w:t>
      </w:r>
      <w:proofErr w:type="spellEnd"/>
      <w:r>
        <w:rPr>
          <w:sz w:val="22"/>
          <w:szCs w:val="22"/>
          <w:lang w:val="es-ES"/>
        </w:rPr>
        <w:t xml:space="preserve"> </w:t>
      </w:r>
      <w:proofErr w:type="spellStart"/>
      <w:r>
        <w:rPr>
          <w:sz w:val="22"/>
          <w:szCs w:val="22"/>
          <w:lang w:val="es-ES"/>
        </w:rPr>
        <w:t>that</w:t>
      </w:r>
      <w:proofErr w:type="spellEnd"/>
      <w:r>
        <w:rPr>
          <w:sz w:val="22"/>
          <w:szCs w:val="22"/>
          <w:lang w:val="es-ES"/>
        </w:rPr>
        <w:t xml:space="preserve"> </w:t>
      </w:r>
      <w:proofErr w:type="spellStart"/>
      <w:r>
        <w:rPr>
          <w:sz w:val="22"/>
          <w:szCs w:val="22"/>
          <w:lang w:val="es-ES"/>
        </w:rPr>
        <w:t>they</w:t>
      </w:r>
      <w:proofErr w:type="spellEnd"/>
      <w:r>
        <w:rPr>
          <w:sz w:val="22"/>
          <w:szCs w:val="22"/>
          <w:lang w:val="es-ES"/>
        </w:rPr>
        <w:t xml:space="preserve"> </w:t>
      </w:r>
      <w:proofErr w:type="spellStart"/>
      <w:r>
        <w:rPr>
          <w:sz w:val="22"/>
          <w:szCs w:val="22"/>
          <w:lang w:val="es-ES"/>
        </w:rPr>
        <w:t>comply</w:t>
      </w:r>
      <w:proofErr w:type="spellEnd"/>
      <w:r>
        <w:rPr>
          <w:sz w:val="22"/>
          <w:szCs w:val="22"/>
          <w:lang w:val="es-ES"/>
        </w:rPr>
        <w:t xml:space="preserve"> </w:t>
      </w:r>
      <w:proofErr w:type="spellStart"/>
      <w:r>
        <w:rPr>
          <w:sz w:val="22"/>
          <w:szCs w:val="22"/>
          <w:lang w:val="es-ES"/>
        </w:rPr>
        <w:t>with</w:t>
      </w:r>
      <w:proofErr w:type="spellEnd"/>
      <w:r>
        <w:rPr>
          <w:sz w:val="22"/>
          <w:szCs w:val="22"/>
          <w:lang w:val="es-ES"/>
        </w:rPr>
        <w:t xml:space="preserve"> </w:t>
      </w:r>
      <w:proofErr w:type="spellStart"/>
      <w:r>
        <w:rPr>
          <w:sz w:val="22"/>
          <w:szCs w:val="22"/>
          <w:lang w:val="es-ES"/>
        </w:rPr>
        <w:t>these</w:t>
      </w:r>
      <w:proofErr w:type="spellEnd"/>
      <w:r>
        <w:rPr>
          <w:sz w:val="22"/>
          <w:szCs w:val="22"/>
          <w:lang w:val="es-ES"/>
        </w:rPr>
        <w:t xml:space="preserve"> </w:t>
      </w:r>
      <w:proofErr w:type="spellStart"/>
      <w:r>
        <w:rPr>
          <w:sz w:val="22"/>
          <w:szCs w:val="22"/>
          <w:lang w:val="es-ES"/>
        </w:rPr>
        <w:t>requirements</w:t>
      </w:r>
      <w:proofErr w:type="spellEnd"/>
      <w:r>
        <w:rPr>
          <w:sz w:val="22"/>
          <w:szCs w:val="22"/>
          <w:lang w:val="es-ES"/>
        </w:rPr>
        <w:t xml:space="preserve"> and </w:t>
      </w:r>
      <w:proofErr w:type="spellStart"/>
      <w:r>
        <w:rPr>
          <w:sz w:val="22"/>
          <w:szCs w:val="22"/>
          <w:lang w:val="es-ES"/>
        </w:rPr>
        <w:t>how</w:t>
      </w:r>
      <w:proofErr w:type="spellEnd"/>
      <w:r>
        <w:rPr>
          <w:sz w:val="22"/>
          <w:szCs w:val="22"/>
          <w:lang w:val="es-ES"/>
        </w:rPr>
        <w:t xml:space="preserve"> (</w:t>
      </w:r>
      <w:proofErr w:type="spellStart"/>
      <w:r>
        <w:rPr>
          <w:sz w:val="22"/>
          <w:szCs w:val="22"/>
          <w:lang w:val="es-ES"/>
        </w:rPr>
        <w:t>diagram</w:t>
      </w:r>
      <w:proofErr w:type="spellEnd"/>
      <w:r>
        <w:rPr>
          <w:sz w:val="22"/>
          <w:szCs w:val="22"/>
          <w:lang w:val="es-ES"/>
        </w:rPr>
        <w:t xml:space="preserve"> </w:t>
      </w:r>
      <w:proofErr w:type="spellStart"/>
      <w:r>
        <w:rPr>
          <w:sz w:val="22"/>
          <w:szCs w:val="22"/>
          <w:lang w:val="es-ES"/>
        </w:rPr>
        <w:t>or</w:t>
      </w:r>
      <w:proofErr w:type="spellEnd"/>
      <w:r>
        <w:rPr>
          <w:sz w:val="22"/>
          <w:szCs w:val="22"/>
          <w:lang w:val="es-ES"/>
        </w:rPr>
        <w:t xml:space="preserve"> similar).</w:t>
      </w:r>
    </w:p>
    <w:p w14:paraId="358055DA" w14:textId="77777777" w:rsidR="00E255F4" w:rsidRDefault="00000000">
      <w:pPr>
        <w:pStyle w:val="Ttulo2"/>
        <w:spacing w:after="240"/>
        <w:ind w:left="567" w:hanging="567"/>
        <w:rPr>
          <w:rFonts w:ascii="Times New Roman" w:hAnsi="Times New Roman" w:cs="Times New Roman"/>
          <w:i w:val="0"/>
          <w:sz w:val="22"/>
          <w:szCs w:val="22"/>
        </w:rPr>
      </w:pPr>
      <w:bookmarkStart w:id="111" w:name="__RefHeading___Toc225377272"/>
      <w:bookmarkEnd w:id="111"/>
      <w:r>
        <w:rPr>
          <w:rFonts w:ascii="Times New Roman" w:hAnsi="Times New Roman" w:cs="Times New Roman"/>
          <w:i w:val="0"/>
          <w:sz w:val="22"/>
          <w:szCs w:val="22"/>
        </w:rPr>
        <w:t>CONDITIONS FOR RECEIPT OF THE TENDER</w:t>
      </w:r>
    </w:p>
    <w:p w14:paraId="176A5FE5" w14:textId="77777777" w:rsidR="00E255F4" w:rsidRDefault="00E255F4">
      <w:pPr>
        <w:pStyle w:val="Prrafodelista"/>
        <w:spacing w:before="240" w:after="240"/>
        <w:ind w:left="360"/>
        <w:rPr>
          <w:b/>
          <w:i/>
          <w:vanish/>
          <w:sz w:val="22"/>
          <w:szCs w:val="22"/>
          <w:lang w:val="es-ES"/>
        </w:rPr>
      </w:pPr>
    </w:p>
    <w:p w14:paraId="66ED838B" w14:textId="77777777" w:rsidR="00E255F4" w:rsidRDefault="00000000">
      <w:pPr>
        <w:spacing w:after="120"/>
      </w:pPr>
      <w:r>
        <w:rPr>
          <w:b/>
          <w:sz w:val="22"/>
          <w:szCs w:val="22"/>
        </w:rPr>
        <w:t xml:space="preserve">9.1 </w:t>
      </w:r>
      <w:proofErr w:type="spellStart"/>
      <w:r>
        <w:rPr>
          <w:b/>
          <w:sz w:val="22"/>
          <w:szCs w:val="22"/>
        </w:rPr>
        <w:t>Validation</w:t>
      </w:r>
      <w:proofErr w:type="spellEnd"/>
      <w:r>
        <w:rPr>
          <w:b/>
          <w:sz w:val="22"/>
          <w:szCs w:val="22"/>
        </w:rPr>
        <w:t xml:space="preserve"> </w:t>
      </w:r>
      <w:proofErr w:type="spellStart"/>
      <w:r>
        <w:rPr>
          <w:b/>
          <w:sz w:val="22"/>
          <w:szCs w:val="22"/>
        </w:rPr>
        <w:t>of</w:t>
      </w:r>
      <w:proofErr w:type="spellEnd"/>
      <w:r>
        <w:rPr>
          <w:b/>
          <w:sz w:val="22"/>
          <w:szCs w:val="22"/>
        </w:rPr>
        <w:t xml:space="preserve"> </w:t>
      </w:r>
      <w:proofErr w:type="spellStart"/>
      <w:r>
        <w:rPr>
          <w:b/>
          <w:sz w:val="22"/>
          <w:szCs w:val="22"/>
        </w:rPr>
        <w:t>the</w:t>
      </w:r>
      <w:proofErr w:type="spellEnd"/>
      <w:r>
        <w:rPr>
          <w:b/>
          <w:sz w:val="22"/>
          <w:szCs w:val="22"/>
        </w:rPr>
        <w:t xml:space="preserve"> </w:t>
      </w:r>
      <w:proofErr w:type="spellStart"/>
      <w:r>
        <w:rPr>
          <w:b/>
          <w:sz w:val="22"/>
          <w:szCs w:val="22"/>
        </w:rPr>
        <w:t>operation</w:t>
      </w:r>
      <w:proofErr w:type="spellEnd"/>
      <w:r>
        <w:rPr>
          <w:b/>
          <w:sz w:val="22"/>
          <w:szCs w:val="22"/>
        </w:rPr>
        <w:t xml:space="preserve"> </w:t>
      </w:r>
      <w:proofErr w:type="spellStart"/>
      <w:r>
        <w:rPr>
          <w:b/>
          <w:sz w:val="22"/>
          <w:szCs w:val="22"/>
        </w:rPr>
        <w:t>of</w:t>
      </w:r>
      <w:proofErr w:type="spellEnd"/>
      <w:r>
        <w:rPr>
          <w:b/>
          <w:sz w:val="22"/>
          <w:szCs w:val="22"/>
        </w:rPr>
        <w:t xml:space="preserve"> </w:t>
      </w:r>
      <w:proofErr w:type="spellStart"/>
      <w:r>
        <w:rPr>
          <w:b/>
          <w:sz w:val="22"/>
          <w:szCs w:val="22"/>
        </w:rPr>
        <w:t>the</w:t>
      </w:r>
      <w:proofErr w:type="spellEnd"/>
      <w:r>
        <w:rPr>
          <w:b/>
          <w:sz w:val="22"/>
          <w:szCs w:val="22"/>
        </w:rPr>
        <w:t xml:space="preserve"> </w:t>
      </w:r>
      <w:proofErr w:type="spellStart"/>
      <w:r>
        <w:rPr>
          <w:b/>
          <w:sz w:val="22"/>
          <w:szCs w:val="22"/>
        </w:rPr>
        <w:t>System</w:t>
      </w:r>
      <w:proofErr w:type="spellEnd"/>
      <w:r>
        <w:rPr>
          <w:b/>
          <w:sz w:val="22"/>
          <w:szCs w:val="22"/>
        </w:rPr>
        <w:t xml:space="preserve"> and </w:t>
      </w:r>
      <w:proofErr w:type="spellStart"/>
      <w:r>
        <w:rPr>
          <w:b/>
          <w:sz w:val="22"/>
          <w:szCs w:val="22"/>
        </w:rPr>
        <w:t>the</w:t>
      </w:r>
      <w:proofErr w:type="spellEnd"/>
      <w:r>
        <w:rPr>
          <w:b/>
          <w:sz w:val="22"/>
          <w:szCs w:val="22"/>
        </w:rPr>
        <w:t xml:space="preserve"> </w:t>
      </w:r>
      <w:proofErr w:type="spellStart"/>
      <w:r>
        <w:rPr>
          <w:b/>
          <w:sz w:val="22"/>
          <w:szCs w:val="22"/>
        </w:rPr>
        <w:t>Telemetry</w:t>
      </w:r>
      <w:proofErr w:type="spellEnd"/>
      <w:r>
        <w:rPr>
          <w:b/>
          <w:sz w:val="22"/>
          <w:szCs w:val="22"/>
        </w:rPr>
        <w:t xml:space="preserve"> Service</w:t>
      </w:r>
      <w:r>
        <w:rPr>
          <w:b/>
          <w:sz w:val="22"/>
          <w:szCs w:val="22"/>
        </w:rPr>
        <w:tab/>
      </w:r>
    </w:p>
    <w:p w14:paraId="40DC63E8" w14:textId="77777777" w:rsidR="00E255F4" w:rsidRDefault="00000000">
      <w:pPr>
        <w:spacing w:after="120"/>
        <w:ind w:left="567"/>
        <w:jc w:val="both"/>
      </w:pPr>
      <w:proofErr w:type="spellStart"/>
      <w:r>
        <w:rPr>
          <w:sz w:val="22"/>
          <w:szCs w:val="22"/>
          <w:lang w:val="es-ES"/>
        </w:rPr>
        <w:t>To</w:t>
      </w:r>
      <w:proofErr w:type="spellEnd"/>
      <w:r>
        <w:rPr>
          <w:sz w:val="22"/>
          <w:szCs w:val="22"/>
          <w:lang w:val="es-ES"/>
        </w:rPr>
        <w:t xml:space="preserve"> </w:t>
      </w:r>
      <w:proofErr w:type="spellStart"/>
      <w:r>
        <w:rPr>
          <w:sz w:val="22"/>
          <w:szCs w:val="22"/>
          <w:lang w:val="es-ES"/>
        </w:rPr>
        <w:t>validate</w:t>
      </w:r>
      <w:proofErr w:type="spellEnd"/>
      <w:r>
        <w:rPr>
          <w:sz w:val="22"/>
          <w:szCs w:val="22"/>
          <w:lang w:val="es-ES"/>
        </w:rPr>
        <w:t xml:space="preserve"> </w:t>
      </w:r>
      <w:proofErr w:type="spellStart"/>
      <w:r>
        <w:rPr>
          <w:sz w:val="22"/>
          <w:szCs w:val="22"/>
          <w:lang w:val="es-ES"/>
        </w:rPr>
        <w:t>the</w:t>
      </w:r>
      <w:proofErr w:type="spellEnd"/>
      <w:r>
        <w:rPr>
          <w:sz w:val="22"/>
          <w:szCs w:val="22"/>
          <w:lang w:val="es-ES"/>
        </w:rPr>
        <w:t xml:space="preserve"> </w:t>
      </w:r>
      <w:proofErr w:type="spellStart"/>
      <w:r>
        <w:rPr>
          <w:sz w:val="22"/>
          <w:szCs w:val="22"/>
          <w:lang w:val="es-ES"/>
        </w:rPr>
        <w:t>operation</w:t>
      </w:r>
      <w:proofErr w:type="spellEnd"/>
      <w:r>
        <w:rPr>
          <w:sz w:val="22"/>
          <w:szCs w:val="22"/>
          <w:lang w:val="es-ES"/>
        </w:rPr>
        <w:t xml:space="preserve"> </w:t>
      </w:r>
      <w:proofErr w:type="spellStart"/>
      <w:r>
        <w:rPr>
          <w:sz w:val="22"/>
          <w:szCs w:val="22"/>
          <w:lang w:val="es-ES"/>
        </w:rPr>
        <w:t>of</w:t>
      </w:r>
      <w:proofErr w:type="spellEnd"/>
      <w:r>
        <w:rPr>
          <w:sz w:val="22"/>
          <w:szCs w:val="22"/>
          <w:lang w:val="es-ES"/>
        </w:rPr>
        <w:t xml:space="preserve"> </w:t>
      </w:r>
      <w:proofErr w:type="spellStart"/>
      <w:r>
        <w:rPr>
          <w:sz w:val="22"/>
          <w:szCs w:val="22"/>
          <w:lang w:val="es-ES"/>
        </w:rPr>
        <w:t>the</w:t>
      </w:r>
      <w:proofErr w:type="spellEnd"/>
      <w:r>
        <w:rPr>
          <w:sz w:val="22"/>
          <w:szCs w:val="22"/>
          <w:lang w:val="es-ES"/>
        </w:rPr>
        <w:t xml:space="preserve"> </w:t>
      </w:r>
      <w:proofErr w:type="spellStart"/>
      <w:r>
        <w:rPr>
          <w:sz w:val="22"/>
          <w:szCs w:val="22"/>
          <w:lang w:val="es-ES"/>
        </w:rPr>
        <w:t>System</w:t>
      </w:r>
      <w:proofErr w:type="spellEnd"/>
      <w:r>
        <w:rPr>
          <w:sz w:val="22"/>
          <w:szCs w:val="22"/>
          <w:lang w:val="es-ES"/>
        </w:rPr>
        <w:t xml:space="preserve"> and </w:t>
      </w:r>
      <w:proofErr w:type="spellStart"/>
      <w:r>
        <w:rPr>
          <w:sz w:val="22"/>
          <w:szCs w:val="22"/>
          <w:lang w:val="es-ES"/>
        </w:rPr>
        <w:t>the</w:t>
      </w:r>
      <w:proofErr w:type="spellEnd"/>
      <w:r>
        <w:rPr>
          <w:sz w:val="22"/>
          <w:szCs w:val="22"/>
          <w:lang w:val="es-ES"/>
        </w:rPr>
        <w:t xml:space="preserve"> </w:t>
      </w:r>
      <w:proofErr w:type="spellStart"/>
      <w:r>
        <w:rPr>
          <w:sz w:val="22"/>
          <w:szCs w:val="22"/>
          <w:lang w:val="es-ES"/>
        </w:rPr>
        <w:t>Telemetry</w:t>
      </w:r>
      <w:proofErr w:type="spellEnd"/>
      <w:r>
        <w:rPr>
          <w:sz w:val="22"/>
          <w:szCs w:val="22"/>
          <w:lang w:val="es-ES"/>
        </w:rPr>
        <w:t xml:space="preserve"> Service </w:t>
      </w:r>
      <w:proofErr w:type="spellStart"/>
      <w:r>
        <w:rPr>
          <w:sz w:val="22"/>
          <w:szCs w:val="22"/>
          <w:lang w:val="es-ES"/>
        </w:rPr>
        <w:t>subject</w:t>
      </w:r>
      <w:proofErr w:type="spellEnd"/>
      <w:r>
        <w:rPr>
          <w:sz w:val="22"/>
          <w:szCs w:val="22"/>
          <w:lang w:val="es-ES"/>
        </w:rPr>
        <w:t xml:space="preserve"> </w:t>
      </w:r>
      <w:proofErr w:type="spellStart"/>
      <w:r>
        <w:rPr>
          <w:sz w:val="22"/>
          <w:szCs w:val="22"/>
          <w:lang w:val="es-ES"/>
        </w:rPr>
        <w:t>to</w:t>
      </w:r>
      <w:proofErr w:type="spellEnd"/>
      <w:r>
        <w:rPr>
          <w:sz w:val="22"/>
          <w:szCs w:val="22"/>
          <w:lang w:val="es-ES"/>
        </w:rPr>
        <w:t xml:space="preserve"> </w:t>
      </w:r>
      <w:proofErr w:type="spellStart"/>
      <w:r>
        <w:rPr>
          <w:sz w:val="22"/>
          <w:szCs w:val="22"/>
          <w:lang w:val="es-ES"/>
        </w:rPr>
        <w:t>this</w:t>
      </w:r>
      <w:proofErr w:type="spellEnd"/>
      <w:r>
        <w:rPr>
          <w:sz w:val="22"/>
          <w:szCs w:val="22"/>
          <w:lang w:val="es-ES"/>
        </w:rPr>
        <w:t xml:space="preserve"> Tender and </w:t>
      </w:r>
      <w:proofErr w:type="spellStart"/>
      <w:r>
        <w:rPr>
          <w:sz w:val="22"/>
          <w:szCs w:val="22"/>
          <w:lang w:val="es-ES"/>
        </w:rPr>
        <w:t>the</w:t>
      </w:r>
      <w:proofErr w:type="spellEnd"/>
      <w:r>
        <w:rPr>
          <w:sz w:val="22"/>
          <w:szCs w:val="22"/>
          <w:lang w:val="es-ES"/>
        </w:rPr>
        <w:t xml:space="preserve"> provisional </w:t>
      </w:r>
      <w:proofErr w:type="spellStart"/>
      <w:r>
        <w:rPr>
          <w:sz w:val="22"/>
          <w:szCs w:val="22"/>
          <w:lang w:val="es-ES"/>
        </w:rPr>
        <w:t>acceptance</w:t>
      </w:r>
      <w:proofErr w:type="spellEnd"/>
      <w:r>
        <w:rPr>
          <w:sz w:val="22"/>
          <w:szCs w:val="22"/>
          <w:lang w:val="es-ES"/>
        </w:rPr>
        <w:t xml:space="preserve"> </w:t>
      </w:r>
      <w:proofErr w:type="spellStart"/>
      <w:r>
        <w:rPr>
          <w:sz w:val="22"/>
          <w:szCs w:val="22"/>
          <w:lang w:val="es-ES"/>
        </w:rPr>
        <w:t>of</w:t>
      </w:r>
      <w:proofErr w:type="spellEnd"/>
      <w:r>
        <w:rPr>
          <w:sz w:val="22"/>
          <w:szCs w:val="22"/>
          <w:lang w:val="es-ES"/>
        </w:rPr>
        <w:t xml:space="preserve"> </w:t>
      </w:r>
      <w:proofErr w:type="spellStart"/>
      <w:r>
        <w:rPr>
          <w:sz w:val="22"/>
          <w:szCs w:val="22"/>
          <w:lang w:val="es-ES"/>
        </w:rPr>
        <w:t>the</w:t>
      </w:r>
      <w:proofErr w:type="spellEnd"/>
      <w:r>
        <w:rPr>
          <w:sz w:val="22"/>
          <w:szCs w:val="22"/>
          <w:lang w:val="es-ES"/>
        </w:rPr>
        <w:t xml:space="preserve"> </w:t>
      </w:r>
      <w:proofErr w:type="spellStart"/>
      <w:r>
        <w:rPr>
          <w:sz w:val="22"/>
          <w:szCs w:val="22"/>
          <w:lang w:val="es-ES"/>
        </w:rPr>
        <w:t>equipment</w:t>
      </w:r>
      <w:proofErr w:type="spellEnd"/>
      <w:r>
        <w:rPr>
          <w:sz w:val="22"/>
          <w:szCs w:val="22"/>
          <w:lang w:val="es-ES"/>
        </w:rPr>
        <w:t xml:space="preserve"> and software, </w:t>
      </w:r>
      <w:proofErr w:type="spellStart"/>
      <w:r>
        <w:rPr>
          <w:sz w:val="22"/>
          <w:szCs w:val="22"/>
          <w:lang w:val="es-ES"/>
        </w:rPr>
        <w:t>the</w:t>
      </w:r>
      <w:proofErr w:type="spellEnd"/>
      <w:r>
        <w:rPr>
          <w:sz w:val="22"/>
          <w:szCs w:val="22"/>
          <w:lang w:val="es-ES"/>
        </w:rPr>
        <w:t xml:space="preserve"> </w:t>
      </w:r>
      <w:proofErr w:type="spellStart"/>
      <w:r>
        <w:rPr>
          <w:sz w:val="22"/>
          <w:szCs w:val="22"/>
          <w:lang w:val="es-ES"/>
        </w:rPr>
        <w:t>proper</w:t>
      </w:r>
      <w:proofErr w:type="spellEnd"/>
      <w:r>
        <w:rPr>
          <w:sz w:val="22"/>
          <w:szCs w:val="22"/>
          <w:lang w:val="es-ES"/>
        </w:rPr>
        <w:t xml:space="preserve"> </w:t>
      </w:r>
      <w:proofErr w:type="spellStart"/>
      <w:r>
        <w:rPr>
          <w:sz w:val="22"/>
          <w:szCs w:val="22"/>
          <w:lang w:val="es-ES"/>
        </w:rPr>
        <w:t>functioning</w:t>
      </w:r>
      <w:proofErr w:type="spellEnd"/>
      <w:r>
        <w:rPr>
          <w:sz w:val="22"/>
          <w:szCs w:val="22"/>
          <w:lang w:val="es-ES"/>
        </w:rPr>
        <w:t xml:space="preserve"> </w:t>
      </w:r>
      <w:proofErr w:type="spellStart"/>
      <w:r>
        <w:rPr>
          <w:sz w:val="22"/>
          <w:szCs w:val="22"/>
          <w:lang w:val="es-ES"/>
        </w:rPr>
        <w:t>of</w:t>
      </w:r>
      <w:proofErr w:type="spellEnd"/>
      <w:r>
        <w:rPr>
          <w:sz w:val="22"/>
          <w:szCs w:val="22"/>
          <w:lang w:val="es-ES"/>
        </w:rPr>
        <w:t xml:space="preserve"> </w:t>
      </w:r>
      <w:proofErr w:type="spellStart"/>
      <w:r>
        <w:rPr>
          <w:sz w:val="22"/>
          <w:szCs w:val="22"/>
          <w:lang w:val="es-ES"/>
        </w:rPr>
        <w:t>the</w:t>
      </w:r>
      <w:proofErr w:type="spellEnd"/>
      <w:r>
        <w:rPr>
          <w:sz w:val="22"/>
          <w:szCs w:val="22"/>
          <w:lang w:val="es-ES"/>
        </w:rPr>
        <w:t xml:space="preserve"> </w:t>
      </w:r>
      <w:proofErr w:type="spellStart"/>
      <w:r>
        <w:rPr>
          <w:sz w:val="22"/>
          <w:szCs w:val="22"/>
          <w:lang w:val="es-ES"/>
        </w:rPr>
        <w:t>System</w:t>
      </w:r>
      <w:proofErr w:type="spellEnd"/>
      <w:r>
        <w:rPr>
          <w:sz w:val="22"/>
          <w:szCs w:val="22"/>
          <w:lang w:val="es-ES"/>
        </w:rPr>
        <w:t xml:space="preserve"> as a </w:t>
      </w:r>
      <w:proofErr w:type="spellStart"/>
      <w:r>
        <w:rPr>
          <w:sz w:val="22"/>
          <w:szCs w:val="22"/>
          <w:lang w:val="es-ES"/>
        </w:rPr>
        <w:t>whole</w:t>
      </w:r>
      <w:proofErr w:type="spellEnd"/>
      <w:r>
        <w:rPr>
          <w:sz w:val="22"/>
          <w:szCs w:val="22"/>
          <w:lang w:val="es-ES"/>
        </w:rPr>
        <w:t xml:space="preserve">, as </w:t>
      </w:r>
      <w:proofErr w:type="spellStart"/>
      <w:r>
        <w:rPr>
          <w:sz w:val="22"/>
          <w:szCs w:val="22"/>
          <w:lang w:val="es-ES"/>
        </w:rPr>
        <w:t>defined</w:t>
      </w:r>
      <w:proofErr w:type="spellEnd"/>
      <w:r>
        <w:rPr>
          <w:sz w:val="22"/>
          <w:szCs w:val="22"/>
          <w:lang w:val="es-ES"/>
        </w:rPr>
        <w:t xml:space="preserve">, </w:t>
      </w:r>
      <w:proofErr w:type="spellStart"/>
      <w:r>
        <w:rPr>
          <w:sz w:val="22"/>
          <w:szCs w:val="22"/>
          <w:lang w:val="es-ES"/>
        </w:rPr>
        <w:t>will</w:t>
      </w:r>
      <w:proofErr w:type="spellEnd"/>
      <w:r>
        <w:rPr>
          <w:sz w:val="22"/>
          <w:szCs w:val="22"/>
          <w:lang w:val="es-ES"/>
        </w:rPr>
        <w:t xml:space="preserve"> be </w:t>
      </w:r>
      <w:proofErr w:type="spellStart"/>
      <w:r>
        <w:rPr>
          <w:sz w:val="22"/>
          <w:szCs w:val="22"/>
          <w:lang w:val="es-ES"/>
        </w:rPr>
        <w:t>considered</w:t>
      </w:r>
      <w:proofErr w:type="spellEnd"/>
      <w:r>
        <w:rPr>
          <w:sz w:val="22"/>
          <w:szCs w:val="22"/>
          <w:lang w:val="es-ES"/>
        </w:rPr>
        <w:t xml:space="preserve">, as </w:t>
      </w:r>
      <w:proofErr w:type="spellStart"/>
      <w:r>
        <w:rPr>
          <w:sz w:val="22"/>
          <w:szCs w:val="22"/>
          <w:lang w:val="es-ES"/>
        </w:rPr>
        <w:t>well</w:t>
      </w:r>
      <w:proofErr w:type="spellEnd"/>
      <w:r>
        <w:rPr>
          <w:sz w:val="22"/>
          <w:szCs w:val="22"/>
          <w:lang w:val="es-ES"/>
        </w:rPr>
        <w:t xml:space="preserve"> as </w:t>
      </w:r>
      <w:proofErr w:type="spellStart"/>
      <w:r>
        <w:rPr>
          <w:sz w:val="22"/>
          <w:szCs w:val="22"/>
          <w:lang w:val="es-ES"/>
        </w:rPr>
        <w:t>that</w:t>
      </w:r>
      <w:proofErr w:type="spellEnd"/>
      <w:r>
        <w:rPr>
          <w:sz w:val="22"/>
          <w:szCs w:val="22"/>
          <w:lang w:val="es-ES"/>
        </w:rPr>
        <w:t xml:space="preserve"> </w:t>
      </w:r>
      <w:proofErr w:type="spellStart"/>
      <w:r>
        <w:rPr>
          <w:sz w:val="22"/>
          <w:szCs w:val="22"/>
          <w:lang w:val="es-ES"/>
        </w:rPr>
        <w:t>of</w:t>
      </w:r>
      <w:proofErr w:type="spellEnd"/>
      <w:r>
        <w:rPr>
          <w:sz w:val="22"/>
          <w:szCs w:val="22"/>
          <w:lang w:val="es-ES"/>
        </w:rPr>
        <w:t xml:space="preserve"> </w:t>
      </w:r>
      <w:proofErr w:type="spellStart"/>
      <w:r>
        <w:rPr>
          <w:sz w:val="22"/>
          <w:szCs w:val="22"/>
          <w:lang w:val="es-ES"/>
        </w:rPr>
        <w:t>each</w:t>
      </w:r>
      <w:proofErr w:type="spellEnd"/>
      <w:r>
        <w:rPr>
          <w:sz w:val="22"/>
          <w:szCs w:val="22"/>
          <w:lang w:val="es-ES"/>
        </w:rPr>
        <w:t xml:space="preserve"> </w:t>
      </w:r>
      <w:proofErr w:type="spellStart"/>
      <w:r>
        <w:rPr>
          <w:sz w:val="22"/>
          <w:szCs w:val="22"/>
          <w:lang w:val="es-ES"/>
        </w:rPr>
        <w:t>component</w:t>
      </w:r>
      <w:proofErr w:type="spellEnd"/>
      <w:r>
        <w:rPr>
          <w:sz w:val="22"/>
          <w:szCs w:val="22"/>
          <w:lang w:val="es-ES"/>
        </w:rPr>
        <w:t xml:space="preserve"> </w:t>
      </w:r>
      <w:proofErr w:type="spellStart"/>
      <w:r>
        <w:rPr>
          <w:sz w:val="22"/>
          <w:szCs w:val="22"/>
          <w:lang w:val="es-ES"/>
        </w:rPr>
        <w:t>element</w:t>
      </w:r>
      <w:proofErr w:type="spellEnd"/>
      <w:r>
        <w:rPr>
          <w:sz w:val="22"/>
          <w:szCs w:val="22"/>
          <w:lang w:val="es-ES"/>
        </w:rPr>
        <w:t xml:space="preserve"> </w:t>
      </w:r>
      <w:proofErr w:type="spellStart"/>
      <w:r>
        <w:rPr>
          <w:sz w:val="22"/>
          <w:szCs w:val="22"/>
          <w:lang w:val="es-ES"/>
        </w:rPr>
        <w:t>of</w:t>
      </w:r>
      <w:proofErr w:type="spellEnd"/>
      <w:r>
        <w:rPr>
          <w:sz w:val="22"/>
          <w:szCs w:val="22"/>
          <w:lang w:val="es-ES"/>
        </w:rPr>
        <w:t xml:space="preserve"> </w:t>
      </w:r>
      <w:proofErr w:type="spellStart"/>
      <w:r>
        <w:rPr>
          <w:sz w:val="22"/>
          <w:szCs w:val="22"/>
          <w:lang w:val="es-ES"/>
        </w:rPr>
        <w:t>the</w:t>
      </w:r>
      <w:proofErr w:type="spellEnd"/>
      <w:r>
        <w:rPr>
          <w:sz w:val="22"/>
          <w:szCs w:val="22"/>
          <w:lang w:val="es-ES"/>
        </w:rPr>
        <w:t xml:space="preserve"> </w:t>
      </w:r>
      <w:proofErr w:type="spellStart"/>
      <w:r>
        <w:rPr>
          <w:sz w:val="22"/>
          <w:szCs w:val="22"/>
          <w:lang w:val="es-ES"/>
        </w:rPr>
        <w:t>System</w:t>
      </w:r>
      <w:proofErr w:type="spellEnd"/>
      <w:r>
        <w:rPr>
          <w:sz w:val="22"/>
          <w:szCs w:val="22"/>
          <w:lang w:val="es-ES"/>
        </w:rPr>
        <w:t>.</w:t>
      </w:r>
    </w:p>
    <w:p w14:paraId="61F19126" w14:textId="77777777" w:rsidR="00E255F4" w:rsidRDefault="00000000">
      <w:pPr>
        <w:spacing w:after="120"/>
        <w:ind w:left="567"/>
        <w:jc w:val="both"/>
      </w:pPr>
      <w:proofErr w:type="spellStart"/>
      <w:r>
        <w:rPr>
          <w:sz w:val="22"/>
          <w:szCs w:val="22"/>
        </w:rPr>
        <w:lastRenderedPageBreak/>
        <w:t>Validation</w:t>
      </w:r>
      <w:proofErr w:type="spellEnd"/>
      <w:r>
        <w:rPr>
          <w:sz w:val="22"/>
          <w:szCs w:val="22"/>
        </w:rPr>
        <w:t xml:space="preserve"> </w:t>
      </w:r>
      <w:proofErr w:type="spellStart"/>
      <w:r>
        <w:rPr>
          <w:sz w:val="22"/>
          <w:szCs w:val="22"/>
        </w:rPr>
        <w:t>will</w:t>
      </w:r>
      <w:proofErr w:type="spellEnd"/>
      <w:r>
        <w:rPr>
          <w:sz w:val="22"/>
          <w:szCs w:val="22"/>
        </w:rPr>
        <w:t xml:space="preserve"> be </w:t>
      </w:r>
      <w:proofErr w:type="spellStart"/>
      <w:r>
        <w:rPr>
          <w:sz w:val="22"/>
          <w:szCs w:val="22"/>
        </w:rPr>
        <w:t>performed</w:t>
      </w:r>
      <w:proofErr w:type="spellEnd"/>
      <w:r>
        <w:rPr>
          <w:sz w:val="22"/>
          <w:szCs w:val="22"/>
        </w:rPr>
        <w:t xml:space="preserve"> </w:t>
      </w:r>
      <w:proofErr w:type="spellStart"/>
      <w:r>
        <w:rPr>
          <w:sz w:val="22"/>
          <w:szCs w:val="22"/>
        </w:rPr>
        <w:t>individually</w:t>
      </w:r>
      <w:proofErr w:type="spellEnd"/>
      <w:r>
        <w:rPr>
          <w:sz w:val="22"/>
          <w:szCs w:val="22"/>
        </w:rPr>
        <w:t xml:space="preserve"> per </w:t>
      </w:r>
      <w:proofErr w:type="spellStart"/>
      <w:r>
        <w:rPr>
          <w:sz w:val="22"/>
          <w:szCs w:val="22"/>
        </w:rPr>
        <w:t>telemetered</w:t>
      </w:r>
      <w:proofErr w:type="spellEnd"/>
      <w:r>
        <w:rPr>
          <w:sz w:val="22"/>
          <w:szCs w:val="22"/>
        </w:rPr>
        <w:t xml:space="preserve"> </w:t>
      </w:r>
      <w:proofErr w:type="spellStart"/>
      <w:r>
        <w:rPr>
          <w:sz w:val="22"/>
          <w:szCs w:val="22"/>
        </w:rPr>
        <w:t>connection</w:t>
      </w:r>
      <w:proofErr w:type="spellEnd"/>
      <w:r>
        <w:rPr>
          <w:sz w:val="22"/>
          <w:szCs w:val="22"/>
        </w:rPr>
        <w:t xml:space="preserve">; </w:t>
      </w:r>
      <w:proofErr w:type="spellStart"/>
      <w:r>
        <w:rPr>
          <w:sz w:val="22"/>
          <w:szCs w:val="22"/>
        </w:rPr>
        <w:t>however</w:t>
      </w:r>
      <w:proofErr w:type="spellEnd"/>
      <w:r>
        <w:rPr>
          <w:sz w:val="22"/>
          <w:szCs w:val="22"/>
        </w:rPr>
        <w:t xml:space="preserve">, </w:t>
      </w:r>
      <w:proofErr w:type="spellStart"/>
      <w:r>
        <w:rPr>
          <w:sz w:val="22"/>
          <w:szCs w:val="22"/>
        </w:rPr>
        <w:t>it</w:t>
      </w:r>
      <w:proofErr w:type="spellEnd"/>
      <w:r>
        <w:rPr>
          <w:sz w:val="22"/>
          <w:szCs w:val="22"/>
        </w:rPr>
        <w:t xml:space="preserve"> </w:t>
      </w:r>
      <w:proofErr w:type="spellStart"/>
      <w:r>
        <w:rPr>
          <w:sz w:val="22"/>
          <w:szCs w:val="22"/>
        </w:rPr>
        <w:t>will</w:t>
      </w:r>
      <w:proofErr w:type="spellEnd"/>
      <w:r>
        <w:rPr>
          <w:sz w:val="22"/>
          <w:szCs w:val="22"/>
        </w:rPr>
        <w:t xml:space="preserve"> be </w:t>
      </w:r>
      <w:proofErr w:type="spellStart"/>
      <w:r>
        <w:rPr>
          <w:sz w:val="22"/>
          <w:szCs w:val="22"/>
        </w:rPr>
        <w:t>evaluated</w:t>
      </w:r>
      <w:proofErr w:type="spellEnd"/>
      <w:r>
        <w:rPr>
          <w:sz w:val="22"/>
          <w:szCs w:val="22"/>
        </w:rPr>
        <w:t xml:space="preserve"> </w:t>
      </w:r>
      <w:proofErr w:type="spellStart"/>
      <w:r>
        <w:rPr>
          <w:sz w:val="22"/>
          <w:szCs w:val="22"/>
        </w:rPr>
        <w:t>by</w:t>
      </w:r>
      <w:proofErr w:type="spellEnd"/>
      <w:r>
        <w:rPr>
          <w:sz w:val="22"/>
          <w:szCs w:val="22"/>
        </w:rPr>
        <w:t xml:space="preserve"> </w:t>
      </w:r>
      <w:proofErr w:type="spellStart"/>
      <w:r>
        <w:rPr>
          <w:sz w:val="22"/>
          <w:szCs w:val="22"/>
        </w:rPr>
        <w:t>group</w:t>
      </w:r>
      <w:proofErr w:type="spellEnd"/>
      <w:r>
        <w:rPr>
          <w:sz w:val="22"/>
          <w:szCs w:val="22"/>
        </w:rPr>
        <w:t xml:space="preserve"> </w:t>
      </w:r>
      <w:proofErr w:type="spellStart"/>
      <w:r>
        <w:rPr>
          <w:sz w:val="22"/>
          <w:szCs w:val="22"/>
        </w:rPr>
        <w:t>of</w:t>
      </w:r>
      <w:proofErr w:type="spellEnd"/>
      <w:r>
        <w:rPr>
          <w:sz w:val="22"/>
          <w:szCs w:val="22"/>
        </w:rPr>
        <w:t xml:space="preserve"> </w:t>
      </w:r>
      <w:proofErr w:type="spellStart"/>
      <w:r>
        <w:rPr>
          <w:sz w:val="22"/>
          <w:szCs w:val="22"/>
        </w:rPr>
        <w:t>telemetered</w:t>
      </w:r>
      <w:proofErr w:type="spellEnd"/>
      <w:r>
        <w:rPr>
          <w:sz w:val="22"/>
          <w:szCs w:val="22"/>
        </w:rPr>
        <w:t xml:space="preserve"> </w:t>
      </w:r>
      <w:proofErr w:type="spellStart"/>
      <w:r>
        <w:rPr>
          <w:sz w:val="22"/>
          <w:szCs w:val="22"/>
        </w:rPr>
        <w:t>connections</w:t>
      </w:r>
      <w:proofErr w:type="spellEnd"/>
      <w:r>
        <w:rPr>
          <w:sz w:val="22"/>
          <w:szCs w:val="22"/>
        </w:rPr>
        <w:t xml:space="preserve"> </w:t>
      </w:r>
      <w:proofErr w:type="spellStart"/>
      <w:r>
        <w:rPr>
          <w:sz w:val="22"/>
          <w:szCs w:val="22"/>
        </w:rPr>
        <w:t>each</w:t>
      </w:r>
      <w:proofErr w:type="spellEnd"/>
      <w:r>
        <w:rPr>
          <w:sz w:val="22"/>
          <w:szCs w:val="22"/>
        </w:rPr>
        <w:t xml:space="preserve"> </w:t>
      </w:r>
      <w:proofErr w:type="spellStart"/>
      <w:r>
        <w:rPr>
          <w:sz w:val="22"/>
          <w:szCs w:val="22"/>
        </w:rPr>
        <w:t>month</w:t>
      </w:r>
      <w:proofErr w:type="spellEnd"/>
      <w:r>
        <w:rPr>
          <w:sz w:val="22"/>
          <w:szCs w:val="22"/>
        </w:rPr>
        <w:t>.</w:t>
      </w:r>
    </w:p>
    <w:p w14:paraId="0B5A3ECB" w14:textId="77777777" w:rsidR="00E255F4" w:rsidRDefault="00000000">
      <w:pPr>
        <w:spacing w:after="120"/>
        <w:ind w:left="567"/>
        <w:jc w:val="both"/>
        <w:rPr>
          <w:sz w:val="22"/>
          <w:szCs w:val="22"/>
          <w:lang w:val="es-ES"/>
        </w:rPr>
      </w:pPr>
      <w:r>
        <w:rPr>
          <w:sz w:val="22"/>
          <w:szCs w:val="22"/>
          <w:lang w:val="es-ES"/>
        </w:rPr>
        <w:t xml:space="preserve">The </w:t>
      </w:r>
      <w:proofErr w:type="spellStart"/>
      <w:r>
        <w:rPr>
          <w:sz w:val="22"/>
          <w:szCs w:val="22"/>
          <w:lang w:val="es-ES"/>
        </w:rPr>
        <w:t>following</w:t>
      </w:r>
      <w:proofErr w:type="spellEnd"/>
      <w:r>
        <w:rPr>
          <w:sz w:val="22"/>
          <w:szCs w:val="22"/>
          <w:lang w:val="es-ES"/>
        </w:rPr>
        <w:t xml:space="preserve"> </w:t>
      </w:r>
      <w:proofErr w:type="spellStart"/>
      <w:r>
        <w:rPr>
          <w:sz w:val="22"/>
          <w:szCs w:val="22"/>
          <w:lang w:val="es-ES"/>
        </w:rPr>
        <w:t>evaluation</w:t>
      </w:r>
      <w:proofErr w:type="spellEnd"/>
      <w:r>
        <w:rPr>
          <w:sz w:val="22"/>
          <w:szCs w:val="22"/>
          <w:lang w:val="es-ES"/>
        </w:rPr>
        <w:t xml:space="preserve"> </w:t>
      </w:r>
      <w:proofErr w:type="spellStart"/>
      <w:r>
        <w:rPr>
          <w:sz w:val="22"/>
          <w:szCs w:val="22"/>
          <w:lang w:val="es-ES"/>
        </w:rPr>
        <w:t>parameters</w:t>
      </w:r>
      <w:proofErr w:type="spellEnd"/>
      <w:r>
        <w:rPr>
          <w:sz w:val="22"/>
          <w:szCs w:val="22"/>
          <w:lang w:val="es-ES"/>
        </w:rPr>
        <w:t xml:space="preserve"> </w:t>
      </w:r>
      <w:proofErr w:type="spellStart"/>
      <w:r>
        <w:rPr>
          <w:sz w:val="22"/>
          <w:szCs w:val="22"/>
          <w:lang w:val="es-ES"/>
        </w:rPr>
        <w:t>will</w:t>
      </w:r>
      <w:proofErr w:type="spellEnd"/>
      <w:r>
        <w:rPr>
          <w:sz w:val="22"/>
          <w:szCs w:val="22"/>
          <w:lang w:val="es-ES"/>
        </w:rPr>
        <w:t xml:space="preserve"> be </w:t>
      </w:r>
      <w:proofErr w:type="spellStart"/>
      <w:r>
        <w:rPr>
          <w:sz w:val="22"/>
          <w:szCs w:val="22"/>
          <w:lang w:val="es-ES"/>
        </w:rPr>
        <w:t>considered</w:t>
      </w:r>
      <w:proofErr w:type="spellEnd"/>
      <w:r>
        <w:rPr>
          <w:sz w:val="22"/>
          <w:szCs w:val="22"/>
          <w:lang w:val="es-ES"/>
        </w:rPr>
        <w:t>:</w:t>
      </w:r>
    </w:p>
    <w:p w14:paraId="20279903" w14:textId="77777777" w:rsidR="00E255F4" w:rsidRDefault="00000000">
      <w:pPr>
        <w:numPr>
          <w:ilvl w:val="0"/>
          <w:numId w:val="41"/>
        </w:numPr>
        <w:spacing w:after="120"/>
        <w:ind w:left="641" w:hanging="357"/>
        <w:jc w:val="both"/>
        <w:rPr>
          <w:sz w:val="22"/>
          <w:szCs w:val="22"/>
          <w:lang w:val="es-ES"/>
        </w:rPr>
      </w:pPr>
      <w:proofErr w:type="spellStart"/>
      <w:r>
        <w:rPr>
          <w:sz w:val="22"/>
          <w:szCs w:val="22"/>
          <w:u w:val="single"/>
          <w:lang w:val="es-ES"/>
        </w:rPr>
        <w:t>Continuity</w:t>
      </w:r>
      <w:proofErr w:type="spellEnd"/>
      <w:r>
        <w:rPr>
          <w:sz w:val="22"/>
          <w:szCs w:val="22"/>
          <w:u w:val="single"/>
          <w:lang w:val="es-ES"/>
        </w:rPr>
        <w:t xml:space="preserve"> in </w:t>
      </w:r>
      <w:proofErr w:type="spellStart"/>
      <w:r>
        <w:rPr>
          <w:sz w:val="22"/>
          <w:szCs w:val="22"/>
          <w:u w:val="single"/>
          <w:lang w:val="es-ES"/>
        </w:rPr>
        <w:t>the</w:t>
      </w:r>
      <w:proofErr w:type="spellEnd"/>
      <w:r>
        <w:rPr>
          <w:sz w:val="22"/>
          <w:szCs w:val="22"/>
          <w:u w:val="single"/>
          <w:lang w:val="es-ES"/>
        </w:rPr>
        <w:t xml:space="preserve"> </w:t>
      </w:r>
      <w:proofErr w:type="spellStart"/>
      <w:r>
        <w:rPr>
          <w:sz w:val="22"/>
          <w:szCs w:val="22"/>
          <w:u w:val="single"/>
          <w:lang w:val="es-ES"/>
        </w:rPr>
        <w:t>operation</w:t>
      </w:r>
      <w:proofErr w:type="spellEnd"/>
      <w:r>
        <w:rPr>
          <w:sz w:val="22"/>
          <w:szCs w:val="22"/>
          <w:u w:val="single"/>
          <w:lang w:val="es-ES"/>
        </w:rPr>
        <w:t xml:space="preserve"> and </w:t>
      </w:r>
      <w:proofErr w:type="spellStart"/>
      <w:r>
        <w:rPr>
          <w:sz w:val="22"/>
          <w:szCs w:val="22"/>
          <w:u w:val="single"/>
          <w:lang w:val="es-ES"/>
        </w:rPr>
        <w:t>stability</w:t>
      </w:r>
      <w:proofErr w:type="spellEnd"/>
      <w:r>
        <w:rPr>
          <w:sz w:val="22"/>
          <w:szCs w:val="22"/>
          <w:u w:val="single"/>
          <w:lang w:val="es-ES"/>
        </w:rPr>
        <w:t xml:space="preserve"> </w:t>
      </w:r>
      <w:proofErr w:type="spellStart"/>
      <w:r>
        <w:rPr>
          <w:sz w:val="22"/>
          <w:szCs w:val="22"/>
          <w:u w:val="single"/>
          <w:lang w:val="es-ES"/>
        </w:rPr>
        <w:t>of</w:t>
      </w:r>
      <w:proofErr w:type="spellEnd"/>
      <w:r>
        <w:rPr>
          <w:sz w:val="22"/>
          <w:szCs w:val="22"/>
          <w:u w:val="single"/>
          <w:lang w:val="es-ES"/>
        </w:rPr>
        <w:t xml:space="preserve"> </w:t>
      </w:r>
      <w:proofErr w:type="spellStart"/>
      <w:r>
        <w:rPr>
          <w:sz w:val="22"/>
          <w:szCs w:val="22"/>
          <w:u w:val="single"/>
          <w:lang w:val="es-ES"/>
        </w:rPr>
        <w:t>the</w:t>
      </w:r>
      <w:proofErr w:type="spellEnd"/>
      <w:r>
        <w:rPr>
          <w:sz w:val="22"/>
          <w:szCs w:val="22"/>
          <w:u w:val="single"/>
          <w:lang w:val="es-ES"/>
        </w:rPr>
        <w:t xml:space="preserve"> </w:t>
      </w:r>
      <w:proofErr w:type="spellStart"/>
      <w:r>
        <w:rPr>
          <w:sz w:val="22"/>
          <w:szCs w:val="22"/>
          <w:u w:val="single"/>
          <w:lang w:val="es-ES"/>
        </w:rPr>
        <w:t>System</w:t>
      </w:r>
      <w:proofErr w:type="spellEnd"/>
      <w:r>
        <w:rPr>
          <w:sz w:val="22"/>
          <w:szCs w:val="22"/>
          <w:u w:val="single"/>
          <w:lang w:val="es-ES"/>
        </w:rPr>
        <w:t xml:space="preserve"> and </w:t>
      </w:r>
      <w:proofErr w:type="spellStart"/>
      <w:r>
        <w:rPr>
          <w:sz w:val="22"/>
          <w:szCs w:val="22"/>
          <w:u w:val="single"/>
          <w:lang w:val="es-ES"/>
        </w:rPr>
        <w:t>the</w:t>
      </w:r>
      <w:proofErr w:type="spellEnd"/>
      <w:r>
        <w:rPr>
          <w:sz w:val="22"/>
          <w:szCs w:val="22"/>
          <w:u w:val="single"/>
          <w:lang w:val="es-ES"/>
        </w:rPr>
        <w:t xml:space="preserve"> </w:t>
      </w:r>
      <w:proofErr w:type="spellStart"/>
      <w:r>
        <w:rPr>
          <w:sz w:val="22"/>
          <w:szCs w:val="22"/>
          <w:u w:val="single"/>
          <w:lang w:val="es-ES"/>
        </w:rPr>
        <w:t>Telemetry</w:t>
      </w:r>
      <w:proofErr w:type="spellEnd"/>
      <w:r>
        <w:rPr>
          <w:sz w:val="22"/>
          <w:szCs w:val="22"/>
          <w:u w:val="single"/>
          <w:lang w:val="es-ES"/>
        </w:rPr>
        <w:t xml:space="preserve"> Service</w:t>
      </w:r>
    </w:p>
    <w:p w14:paraId="2A25C276" w14:textId="77777777" w:rsidR="00E255F4" w:rsidRDefault="00000000">
      <w:pPr>
        <w:spacing w:after="120"/>
        <w:ind w:left="641"/>
        <w:jc w:val="both"/>
        <w:rPr>
          <w:sz w:val="22"/>
          <w:szCs w:val="22"/>
          <w:lang w:val="es-ES"/>
        </w:rPr>
      </w:pPr>
      <w:r>
        <w:rPr>
          <w:sz w:val="22"/>
          <w:szCs w:val="22"/>
          <w:lang w:val="es-ES"/>
        </w:rPr>
        <w:t xml:space="preserve">The </w:t>
      </w:r>
      <w:proofErr w:type="spellStart"/>
      <w:r>
        <w:rPr>
          <w:sz w:val="22"/>
          <w:szCs w:val="22"/>
          <w:lang w:val="es-ES"/>
        </w:rPr>
        <w:t>continuity</w:t>
      </w:r>
      <w:proofErr w:type="spellEnd"/>
      <w:r>
        <w:rPr>
          <w:sz w:val="22"/>
          <w:szCs w:val="22"/>
          <w:lang w:val="es-ES"/>
        </w:rPr>
        <w:t xml:space="preserve"> </w:t>
      </w:r>
      <w:proofErr w:type="spellStart"/>
      <w:r>
        <w:rPr>
          <w:sz w:val="22"/>
          <w:szCs w:val="22"/>
          <w:lang w:val="es-ES"/>
        </w:rPr>
        <w:t>of</w:t>
      </w:r>
      <w:proofErr w:type="spellEnd"/>
      <w:r>
        <w:rPr>
          <w:sz w:val="22"/>
          <w:szCs w:val="22"/>
          <w:lang w:val="es-ES"/>
        </w:rPr>
        <w:t xml:space="preserve"> </w:t>
      </w:r>
      <w:proofErr w:type="spellStart"/>
      <w:r>
        <w:rPr>
          <w:sz w:val="22"/>
          <w:szCs w:val="22"/>
          <w:lang w:val="es-ES"/>
        </w:rPr>
        <w:t>the</w:t>
      </w:r>
      <w:proofErr w:type="spellEnd"/>
      <w:r>
        <w:rPr>
          <w:sz w:val="22"/>
          <w:szCs w:val="22"/>
          <w:lang w:val="es-ES"/>
        </w:rPr>
        <w:t xml:space="preserve"> </w:t>
      </w:r>
      <w:proofErr w:type="spellStart"/>
      <w:r>
        <w:rPr>
          <w:sz w:val="22"/>
          <w:szCs w:val="22"/>
          <w:lang w:val="es-ES"/>
        </w:rPr>
        <w:t>daily</w:t>
      </w:r>
      <w:proofErr w:type="spellEnd"/>
      <w:r>
        <w:rPr>
          <w:sz w:val="22"/>
          <w:szCs w:val="22"/>
          <w:lang w:val="es-ES"/>
        </w:rPr>
        <w:t xml:space="preserve"> </w:t>
      </w:r>
      <w:proofErr w:type="spellStart"/>
      <w:r>
        <w:rPr>
          <w:sz w:val="22"/>
          <w:szCs w:val="22"/>
          <w:lang w:val="es-ES"/>
        </w:rPr>
        <w:t>transmission</w:t>
      </w:r>
      <w:proofErr w:type="spellEnd"/>
      <w:r>
        <w:rPr>
          <w:sz w:val="22"/>
          <w:szCs w:val="22"/>
          <w:lang w:val="es-ES"/>
        </w:rPr>
        <w:t xml:space="preserve"> </w:t>
      </w:r>
      <w:proofErr w:type="spellStart"/>
      <w:r>
        <w:rPr>
          <w:sz w:val="22"/>
          <w:szCs w:val="22"/>
          <w:lang w:val="es-ES"/>
        </w:rPr>
        <w:t>of</w:t>
      </w:r>
      <w:proofErr w:type="spellEnd"/>
      <w:r>
        <w:rPr>
          <w:sz w:val="22"/>
          <w:szCs w:val="22"/>
          <w:lang w:val="es-ES"/>
        </w:rPr>
        <w:t xml:space="preserve"> </w:t>
      </w:r>
      <w:proofErr w:type="spellStart"/>
      <w:r>
        <w:rPr>
          <w:sz w:val="22"/>
          <w:szCs w:val="22"/>
          <w:lang w:val="es-ES"/>
        </w:rPr>
        <w:t>all</w:t>
      </w:r>
      <w:proofErr w:type="spellEnd"/>
      <w:r>
        <w:rPr>
          <w:sz w:val="22"/>
          <w:szCs w:val="22"/>
          <w:lang w:val="es-ES"/>
        </w:rPr>
        <w:t xml:space="preserve"> </w:t>
      </w:r>
      <w:proofErr w:type="spellStart"/>
      <w:r>
        <w:rPr>
          <w:sz w:val="22"/>
          <w:szCs w:val="22"/>
          <w:lang w:val="es-ES"/>
        </w:rPr>
        <w:t>telemetry</w:t>
      </w:r>
      <w:proofErr w:type="spellEnd"/>
      <w:r>
        <w:rPr>
          <w:sz w:val="22"/>
          <w:szCs w:val="22"/>
          <w:lang w:val="es-ES"/>
        </w:rPr>
        <w:t xml:space="preserve"> data </w:t>
      </w:r>
      <w:proofErr w:type="spellStart"/>
      <w:r>
        <w:rPr>
          <w:sz w:val="22"/>
          <w:szCs w:val="22"/>
          <w:lang w:val="es-ES"/>
        </w:rPr>
        <w:t>from</w:t>
      </w:r>
      <w:proofErr w:type="spellEnd"/>
      <w:r>
        <w:rPr>
          <w:sz w:val="22"/>
          <w:szCs w:val="22"/>
          <w:lang w:val="es-ES"/>
        </w:rPr>
        <w:t xml:space="preserve"> </w:t>
      </w:r>
      <w:proofErr w:type="spellStart"/>
      <w:r>
        <w:rPr>
          <w:sz w:val="22"/>
          <w:szCs w:val="22"/>
          <w:lang w:val="es-ES"/>
        </w:rPr>
        <w:t>all</w:t>
      </w:r>
      <w:proofErr w:type="spellEnd"/>
      <w:r>
        <w:rPr>
          <w:sz w:val="22"/>
          <w:szCs w:val="22"/>
          <w:lang w:val="es-ES"/>
        </w:rPr>
        <w:t xml:space="preserve"> </w:t>
      </w:r>
      <w:proofErr w:type="spellStart"/>
      <w:r>
        <w:rPr>
          <w:sz w:val="22"/>
          <w:szCs w:val="22"/>
          <w:lang w:val="es-ES"/>
        </w:rPr>
        <w:t>smart</w:t>
      </w:r>
      <w:proofErr w:type="spellEnd"/>
      <w:r>
        <w:rPr>
          <w:sz w:val="22"/>
          <w:szCs w:val="22"/>
          <w:lang w:val="es-ES"/>
        </w:rPr>
        <w:t xml:space="preserve"> </w:t>
      </w:r>
      <w:proofErr w:type="spellStart"/>
      <w:r>
        <w:rPr>
          <w:sz w:val="22"/>
          <w:szCs w:val="22"/>
          <w:lang w:val="es-ES"/>
        </w:rPr>
        <w:t>meters</w:t>
      </w:r>
      <w:proofErr w:type="spellEnd"/>
      <w:r>
        <w:rPr>
          <w:sz w:val="22"/>
          <w:szCs w:val="22"/>
          <w:lang w:val="es-ES"/>
        </w:rPr>
        <w:t xml:space="preserve"> </w:t>
      </w:r>
      <w:proofErr w:type="spellStart"/>
      <w:r>
        <w:rPr>
          <w:sz w:val="22"/>
          <w:szCs w:val="22"/>
          <w:lang w:val="es-ES"/>
        </w:rPr>
        <w:t>must</w:t>
      </w:r>
      <w:proofErr w:type="spellEnd"/>
      <w:r>
        <w:rPr>
          <w:sz w:val="22"/>
          <w:szCs w:val="22"/>
          <w:lang w:val="es-ES"/>
        </w:rPr>
        <w:t xml:space="preserve"> be </w:t>
      </w:r>
      <w:proofErr w:type="spellStart"/>
      <w:r>
        <w:rPr>
          <w:sz w:val="22"/>
          <w:szCs w:val="22"/>
          <w:lang w:val="es-ES"/>
        </w:rPr>
        <w:t>confirmed</w:t>
      </w:r>
      <w:proofErr w:type="spellEnd"/>
      <w:r>
        <w:rPr>
          <w:sz w:val="22"/>
          <w:szCs w:val="22"/>
          <w:lang w:val="es-ES"/>
        </w:rPr>
        <w:t xml:space="preserve"> </w:t>
      </w:r>
      <w:proofErr w:type="spellStart"/>
      <w:r>
        <w:rPr>
          <w:sz w:val="22"/>
          <w:szCs w:val="22"/>
          <w:lang w:val="es-ES"/>
        </w:rPr>
        <w:t>for</w:t>
      </w:r>
      <w:proofErr w:type="spellEnd"/>
      <w:r>
        <w:rPr>
          <w:sz w:val="22"/>
          <w:szCs w:val="22"/>
          <w:lang w:val="es-ES"/>
        </w:rPr>
        <w:t xml:space="preserve"> at </w:t>
      </w:r>
      <w:proofErr w:type="spellStart"/>
      <w:r>
        <w:rPr>
          <w:sz w:val="22"/>
          <w:szCs w:val="22"/>
          <w:lang w:val="es-ES"/>
        </w:rPr>
        <w:t>least</w:t>
      </w:r>
      <w:proofErr w:type="spellEnd"/>
      <w:r>
        <w:rPr>
          <w:sz w:val="22"/>
          <w:szCs w:val="22"/>
          <w:lang w:val="es-ES"/>
        </w:rPr>
        <w:t xml:space="preserve"> 15 (</w:t>
      </w:r>
      <w:proofErr w:type="spellStart"/>
      <w:r>
        <w:rPr>
          <w:sz w:val="22"/>
          <w:szCs w:val="22"/>
          <w:lang w:val="es-ES"/>
        </w:rPr>
        <w:t>fifteen</w:t>
      </w:r>
      <w:proofErr w:type="spellEnd"/>
      <w:r>
        <w:rPr>
          <w:sz w:val="22"/>
          <w:szCs w:val="22"/>
          <w:lang w:val="es-ES"/>
        </w:rPr>
        <w:t xml:space="preserve">) consecutive </w:t>
      </w:r>
      <w:proofErr w:type="spellStart"/>
      <w:r>
        <w:rPr>
          <w:sz w:val="22"/>
          <w:szCs w:val="22"/>
          <w:lang w:val="es-ES"/>
        </w:rPr>
        <w:t>days</w:t>
      </w:r>
      <w:proofErr w:type="spellEnd"/>
      <w:r>
        <w:rPr>
          <w:sz w:val="22"/>
          <w:szCs w:val="22"/>
          <w:lang w:val="es-ES"/>
        </w:rPr>
        <w:t xml:space="preserve"> </w:t>
      </w:r>
      <w:proofErr w:type="spellStart"/>
      <w:r>
        <w:rPr>
          <w:sz w:val="22"/>
          <w:szCs w:val="22"/>
          <w:lang w:val="es-ES"/>
        </w:rPr>
        <w:t>without</w:t>
      </w:r>
      <w:proofErr w:type="spellEnd"/>
      <w:r>
        <w:rPr>
          <w:sz w:val="22"/>
          <w:szCs w:val="22"/>
          <w:lang w:val="es-ES"/>
        </w:rPr>
        <w:t xml:space="preserve"> </w:t>
      </w:r>
      <w:proofErr w:type="spellStart"/>
      <w:r>
        <w:rPr>
          <w:sz w:val="22"/>
          <w:szCs w:val="22"/>
          <w:lang w:val="es-ES"/>
        </w:rPr>
        <w:t>interruption</w:t>
      </w:r>
      <w:proofErr w:type="spellEnd"/>
      <w:r>
        <w:rPr>
          <w:sz w:val="22"/>
          <w:szCs w:val="22"/>
          <w:lang w:val="es-ES"/>
        </w:rPr>
        <w:t xml:space="preserve">, </w:t>
      </w:r>
      <w:proofErr w:type="spellStart"/>
      <w:r>
        <w:rPr>
          <w:sz w:val="22"/>
          <w:szCs w:val="22"/>
          <w:lang w:val="es-ES"/>
        </w:rPr>
        <w:t>observed</w:t>
      </w:r>
      <w:proofErr w:type="spellEnd"/>
      <w:r>
        <w:rPr>
          <w:sz w:val="22"/>
          <w:szCs w:val="22"/>
          <w:lang w:val="es-ES"/>
        </w:rPr>
        <w:t xml:space="preserve"> </w:t>
      </w:r>
      <w:proofErr w:type="spellStart"/>
      <w:r>
        <w:rPr>
          <w:sz w:val="22"/>
          <w:szCs w:val="22"/>
          <w:lang w:val="es-ES"/>
        </w:rPr>
        <w:t>from</w:t>
      </w:r>
      <w:proofErr w:type="spellEnd"/>
      <w:r>
        <w:rPr>
          <w:sz w:val="22"/>
          <w:szCs w:val="22"/>
          <w:lang w:val="es-ES"/>
        </w:rPr>
        <w:t xml:space="preserve"> </w:t>
      </w:r>
      <w:proofErr w:type="spellStart"/>
      <w:r>
        <w:rPr>
          <w:sz w:val="22"/>
          <w:szCs w:val="22"/>
          <w:lang w:val="es-ES"/>
        </w:rPr>
        <w:t>the</w:t>
      </w:r>
      <w:proofErr w:type="spellEnd"/>
      <w:r>
        <w:rPr>
          <w:sz w:val="22"/>
          <w:szCs w:val="22"/>
          <w:lang w:val="es-ES"/>
        </w:rPr>
        <w:t xml:space="preserve"> Data </w:t>
      </w:r>
      <w:proofErr w:type="spellStart"/>
      <w:r>
        <w:rPr>
          <w:sz w:val="22"/>
          <w:szCs w:val="22"/>
          <w:lang w:val="es-ES"/>
        </w:rPr>
        <w:t>Collection</w:t>
      </w:r>
      <w:proofErr w:type="spellEnd"/>
      <w:r>
        <w:rPr>
          <w:sz w:val="22"/>
          <w:szCs w:val="22"/>
          <w:lang w:val="es-ES"/>
        </w:rPr>
        <w:t xml:space="preserve"> </w:t>
      </w:r>
      <w:proofErr w:type="spellStart"/>
      <w:r>
        <w:rPr>
          <w:sz w:val="22"/>
          <w:szCs w:val="22"/>
          <w:lang w:val="es-ES"/>
        </w:rPr>
        <w:t>System</w:t>
      </w:r>
      <w:proofErr w:type="spellEnd"/>
      <w:r>
        <w:rPr>
          <w:sz w:val="22"/>
          <w:szCs w:val="22"/>
          <w:lang w:val="es-ES"/>
        </w:rPr>
        <w:t xml:space="preserve"> and </w:t>
      </w:r>
      <w:proofErr w:type="spellStart"/>
      <w:r>
        <w:rPr>
          <w:sz w:val="22"/>
          <w:szCs w:val="22"/>
          <w:lang w:val="es-ES"/>
        </w:rPr>
        <w:t>that</w:t>
      </w:r>
      <w:proofErr w:type="spellEnd"/>
      <w:r>
        <w:rPr>
          <w:sz w:val="22"/>
          <w:szCs w:val="22"/>
          <w:lang w:val="es-ES"/>
        </w:rPr>
        <w:t xml:space="preserve"> </w:t>
      </w:r>
      <w:proofErr w:type="spellStart"/>
      <w:r>
        <w:rPr>
          <w:sz w:val="22"/>
          <w:szCs w:val="22"/>
          <w:lang w:val="es-ES"/>
        </w:rPr>
        <w:t>complies</w:t>
      </w:r>
      <w:proofErr w:type="spellEnd"/>
      <w:r>
        <w:rPr>
          <w:sz w:val="22"/>
          <w:szCs w:val="22"/>
          <w:lang w:val="es-ES"/>
        </w:rPr>
        <w:t xml:space="preserve"> </w:t>
      </w:r>
      <w:proofErr w:type="spellStart"/>
      <w:r>
        <w:rPr>
          <w:sz w:val="22"/>
          <w:szCs w:val="22"/>
          <w:lang w:val="es-ES"/>
        </w:rPr>
        <w:t>with</w:t>
      </w:r>
      <w:proofErr w:type="spellEnd"/>
      <w:r>
        <w:rPr>
          <w:sz w:val="22"/>
          <w:szCs w:val="22"/>
          <w:lang w:val="es-ES"/>
        </w:rPr>
        <w:t xml:space="preserve"> </w:t>
      </w:r>
      <w:proofErr w:type="spellStart"/>
      <w:r>
        <w:rPr>
          <w:sz w:val="22"/>
          <w:szCs w:val="22"/>
          <w:lang w:val="es-ES"/>
        </w:rPr>
        <w:t>the</w:t>
      </w:r>
      <w:proofErr w:type="spellEnd"/>
      <w:r>
        <w:rPr>
          <w:sz w:val="22"/>
          <w:szCs w:val="22"/>
          <w:lang w:val="es-ES"/>
        </w:rPr>
        <w:t xml:space="preserve"> </w:t>
      </w:r>
      <w:proofErr w:type="spellStart"/>
      <w:r>
        <w:rPr>
          <w:sz w:val="22"/>
          <w:szCs w:val="22"/>
          <w:lang w:val="es-ES"/>
        </w:rPr>
        <w:t>technical</w:t>
      </w:r>
      <w:proofErr w:type="spellEnd"/>
      <w:r>
        <w:rPr>
          <w:sz w:val="22"/>
          <w:szCs w:val="22"/>
          <w:lang w:val="es-ES"/>
        </w:rPr>
        <w:t xml:space="preserve"> </w:t>
      </w:r>
      <w:proofErr w:type="spellStart"/>
      <w:r>
        <w:rPr>
          <w:sz w:val="22"/>
          <w:szCs w:val="22"/>
          <w:lang w:val="es-ES"/>
        </w:rPr>
        <w:t>conditions</w:t>
      </w:r>
      <w:proofErr w:type="spellEnd"/>
      <w:r>
        <w:rPr>
          <w:sz w:val="22"/>
          <w:szCs w:val="22"/>
          <w:lang w:val="es-ES"/>
        </w:rPr>
        <w:t xml:space="preserve"> and </w:t>
      </w:r>
      <w:proofErr w:type="spellStart"/>
      <w:r>
        <w:rPr>
          <w:sz w:val="22"/>
          <w:szCs w:val="22"/>
          <w:lang w:val="es-ES"/>
        </w:rPr>
        <w:t>parameters</w:t>
      </w:r>
      <w:proofErr w:type="spellEnd"/>
      <w:r>
        <w:rPr>
          <w:sz w:val="22"/>
          <w:szCs w:val="22"/>
          <w:lang w:val="es-ES"/>
        </w:rPr>
        <w:t xml:space="preserve"> </w:t>
      </w:r>
      <w:proofErr w:type="spellStart"/>
      <w:r>
        <w:rPr>
          <w:sz w:val="22"/>
          <w:szCs w:val="22"/>
          <w:lang w:val="es-ES"/>
        </w:rPr>
        <w:t>established</w:t>
      </w:r>
      <w:proofErr w:type="spellEnd"/>
      <w:r>
        <w:rPr>
          <w:sz w:val="22"/>
          <w:szCs w:val="22"/>
          <w:lang w:val="es-ES"/>
        </w:rPr>
        <w:t xml:space="preserve"> in </w:t>
      </w:r>
      <w:proofErr w:type="spellStart"/>
      <w:r>
        <w:rPr>
          <w:sz w:val="22"/>
          <w:szCs w:val="22"/>
          <w:lang w:val="es-ES"/>
        </w:rPr>
        <w:t>the</w:t>
      </w:r>
      <w:proofErr w:type="spellEnd"/>
      <w:r>
        <w:rPr>
          <w:sz w:val="22"/>
          <w:szCs w:val="22"/>
          <w:lang w:val="es-ES"/>
        </w:rPr>
        <w:t xml:space="preserve"> CAT-M </w:t>
      </w:r>
      <w:proofErr w:type="spellStart"/>
      <w:r>
        <w:rPr>
          <w:sz w:val="22"/>
          <w:szCs w:val="22"/>
          <w:lang w:val="es-ES"/>
        </w:rPr>
        <w:t>or</w:t>
      </w:r>
      <w:proofErr w:type="spellEnd"/>
      <w:r>
        <w:rPr>
          <w:sz w:val="22"/>
          <w:szCs w:val="22"/>
          <w:lang w:val="es-ES"/>
        </w:rPr>
        <w:t xml:space="preserve"> </w:t>
      </w:r>
      <w:proofErr w:type="spellStart"/>
      <w:r>
        <w:rPr>
          <w:sz w:val="22"/>
          <w:szCs w:val="22"/>
          <w:lang w:val="es-ES"/>
        </w:rPr>
        <w:t>nb-iot</w:t>
      </w:r>
      <w:proofErr w:type="spellEnd"/>
      <w:r>
        <w:rPr>
          <w:sz w:val="22"/>
          <w:szCs w:val="22"/>
          <w:lang w:val="es-ES"/>
        </w:rPr>
        <w:t xml:space="preserve"> </w:t>
      </w:r>
      <w:proofErr w:type="spellStart"/>
      <w:r>
        <w:rPr>
          <w:sz w:val="22"/>
          <w:szCs w:val="22"/>
          <w:lang w:val="es-ES"/>
        </w:rPr>
        <w:t>network</w:t>
      </w:r>
      <w:proofErr w:type="spellEnd"/>
      <w:r>
        <w:rPr>
          <w:sz w:val="22"/>
          <w:szCs w:val="22"/>
          <w:lang w:val="es-ES"/>
        </w:rPr>
        <w:t xml:space="preserve"> </w:t>
      </w:r>
      <w:proofErr w:type="spellStart"/>
      <w:r>
        <w:rPr>
          <w:sz w:val="22"/>
          <w:szCs w:val="22"/>
          <w:lang w:val="es-ES"/>
        </w:rPr>
        <w:t>of</w:t>
      </w:r>
      <w:proofErr w:type="spellEnd"/>
      <w:r>
        <w:rPr>
          <w:sz w:val="22"/>
          <w:szCs w:val="22"/>
          <w:lang w:val="es-ES"/>
        </w:rPr>
        <w:t xml:space="preserve"> Antel.</w:t>
      </w:r>
    </w:p>
    <w:p w14:paraId="05A1EF74" w14:textId="77777777" w:rsidR="00E255F4" w:rsidRDefault="00000000">
      <w:pPr>
        <w:numPr>
          <w:ilvl w:val="0"/>
          <w:numId w:val="41"/>
        </w:numPr>
        <w:spacing w:after="120"/>
        <w:ind w:left="646" w:hanging="357"/>
        <w:jc w:val="both"/>
        <w:rPr>
          <w:sz w:val="22"/>
          <w:szCs w:val="22"/>
          <w:lang w:val="es-ES"/>
        </w:rPr>
      </w:pPr>
      <w:proofErr w:type="spellStart"/>
      <w:r>
        <w:rPr>
          <w:sz w:val="22"/>
          <w:szCs w:val="22"/>
          <w:u w:val="single"/>
          <w:lang w:val="es-ES"/>
        </w:rPr>
        <w:t>Quality</w:t>
      </w:r>
      <w:proofErr w:type="spellEnd"/>
      <w:r>
        <w:rPr>
          <w:sz w:val="22"/>
          <w:szCs w:val="22"/>
          <w:u w:val="single"/>
          <w:lang w:val="es-ES"/>
        </w:rPr>
        <w:t xml:space="preserve"> </w:t>
      </w:r>
      <w:proofErr w:type="spellStart"/>
      <w:r>
        <w:rPr>
          <w:sz w:val="22"/>
          <w:szCs w:val="22"/>
          <w:u w:val="single"/>
          <w:lang w:val="es-ES"/>
        </w:rPr>
        <w:t>of</w:t>
      </w:r>
      <w:proofErr w:type="spellEnd"/>
      <w:r>
        <w:rPr>
          <w:sz w:val="22"/>
          <w:szCs w:val="22"/>
          <w:u w:val="single"/>
          <w:lang w:val="es-ES"/>
        </w:rPr>
        <w:t xml:space="preserve"> </w:t>
      </w:r>
      <w:proofErr w:type="spellStart"/>
      <w:r>
        <w:rPr>
          <w:sz w:val="22"/>
          <w:szCs w:val="22"/>
          <w:u w:val="single"/>
          <w:lang w:val="es-ES"/>
        </w:rPr>
        <w:t>information</w:t>
      </w:r>
      <w:proofErr w:type="spellEnd"/>
      <w:r>
        <w:rPr>
          <w:sz w:val="22"/>
          <w:szCs w:val="22"/>
          <w:u w:val="single"/>
          <w:lang w:val="es-ES"/>
        </w:rPr>
        <w:t xml:space="preserve"> </w:t>
      </w:r>
      <w:proofErr w:type="spellStart"/>
      <w:r>
        <w:rPr>
          <w:sz w:val="22"/>
          <w:szCs w:val="22"/>
          <w:u w:val="single"/>
          <w:lang w:val="es-ES"/>
        </w:rPr>
        <w:t>received</w:t>
      </w:r>
      <w:proofErr w:type="spellEnd"/>
    </w:p>
    <w:p w14:paraId="306BECAA" w14:textId="77777777" w:rsidR="00E255F4" w:rsidRDefault="00000000">
      <w:pPr>
        <w:spacing w:after="120"/>
        <w:ind w:left="646"/>
        <w:jc w:val="both"/>
      </w:pPr>
      <w:proofErr w:type="spellStart"/>
      <w:r>
        <w:rPr>
          <w:sz w:val="22"/>
          <w:szCs w:val="22"/>
          <w:lang w:val="es-ES"/>
        </w:rPr>
        <w:t>All</w:t>
      </w:r>
      <w:proofErr w:type="spellEnd"/>
      <w:r>
        <w:rPr>
          <w:sz w:val="22"/>
          <w:szCs w:val="22"/>
          <w:lang w:val="es-ES"/>
        </w:rPr>
        <w:t xml:space="preserve"> </w:t>
      </w:r>
      <w:proofErr w:type="spellStart"/>
      <w:r>
        <w:rPr>
          <w:sz w:val="22"/>
          <w:szCs w:val="22"/>
          <w:lang w:val="es-ES"/>
        </w:rPr>
        <w:t>information</w:t>
      </w:r>
      <w:proofErr w:type="spellEnd"/>
      <w:r>
        <w:rPr>
          <w:sz w:val="22"/>
          <w:szCs w:val="22"/>
          <w:lang w:val="es-ES"/>
        </w:rPr>
        <w:t xml:space="preserve"> </w:t>
      </w:r>
      <w:proofErr w:type="spellStart"/>
      <w:r>
        <w:rPr>
          <w:sz w:val="22"/>
          <w:szCs w:val="22"/>
          <w:lang w:val="es-ES"/>
        </w:rPr>
        <w:t>received</w:t>
      </w:r>
      <w:proofErr w:type="spellEnd"/>
      <w:r>
        <w:rPr>
          <w:sz w:val="22"/>
          <w:szCs w:val="22"/>
          <w:lang w:val="es-ES"/>
        </w:rPr>
        <w:t xml:space="preserve"> </w:t>
      </w:r>
      <w:proofErr w:type="spellStart"/>
      <w:r>
        <w:rPr>
          <w:sz w:val="22"/>
          <w:szCs w:val="22"/>
          <w:lang w:val="es-ES"/>
        </w:rPr>
        <w:t>from</w:t>
      </w:r>
      <w:proofErr w:type="spellEnd"/>
      <w:r>
        <w:rPr>
          <w:sz w:val="22"/>
          <w:szCs w:val="22"/>
          <w:lang w:val="es-ES"/>
        </w:rPr>
        <w:t xml:space="preserve"> </w:t>
      </w:r>
      <w:proofErr w:type="spellStart"/>
      <w:r>
        <w:rPr>
          <w:sz w:val="22"/>
          <w:szCs w:val="22"/>
          <w:lang w:val="es-ES"/>
        </w:rPr>
        <w:t>telemetry</w:t>
      </w:r>
      <w:proofErr w:type="spellEnd"/>
      <w:r>
        <w:rPr>
          <w:sz w:val="22"/>
          <w:szCs w:val="22"/>
          <w:lang w:val="es-ES"/>
        </w:rPr>
        <w:t xml:space="preserve"> </w:t>
      </w:r>
      <w:proofErr w:type="spellStart"/>
      <w:r>
        <w:rPr>
          <w:sz w:val="22"/>
          <w:szCs w:val="22"/>
          <w:lang w:val="es-ES"/>
        </w:rPr>
        <w:t>devices</w:t>
      </w:r>
      <w:proofErr w:type="spellEnd"/>
      <w:r>
        <w:rPr>
          <w:sz w:val="22"/>
          <w:szCs w:val="22"/>
          <w:lang w:val="es-ES"/>
        </w:rPr>
        <w:t xml:space="preserve"> </w:t>
      </w:r>
      <w:proofErr w:type="spellStart"/>
      <w:r>
        <w:rPr>
          <w:sz w:val="22"/>
          <w:szCs w:val="22"/>
          <w:lang w:val="es-ES"/>
        </w:rPr>
        <w:t>must</w:t>
      </w:r>
      <w:proofErr w:type="spellEnd"/>
      <w:r>
        <w:rPr>
          <w:sz w:val="22"/>
          <w:szCs w:val="22"/>
          <w:lang w:val="es-ES"/>
        </w:rPr>
        <w:t xml:space="preserve"> be </w:t>
      </w:r>
      <w:proofErr w:type="spellStart"/>
      <w:r>
        <w:rPr>
          <w:sz w:val="22"/>
          <w:szCs w:val="22"/>
          <w:lang w:val="es-ES"/>
        </w:rPr>
        <w:t>truthful</w:t>
      </w:r>
      <w:proofErr w:type="spellEnd"/>
      <w:r>
        <w:rPr>
          <w:sz w:val="22"/>
          <w:szCs w:val="22"/>
          <w:lang w:val="es-ES"/>
        </w:rPr>
        <w:t xml:space="preserve">, 100% </w:t>
      </w:r>
      <w:proofErr w:type="spellStart"/>
      <w:r>
        <w:rPr>
          <w:sz w:val="22"/>
          <w:szCs w:val="22"/>
          <w:lang w:val="es-ES"/>
        </w:rPr>
        <w:t>reliable</w:t>
      </w:r>
      <w:proofErr w:type="spellEnd"/>
      <w:r>
        <w:rPr>
          <w:sz w:val="22"/>
          <w:szCs w:val="22"/>
          <w:lang w:val="es-ES"/>
        </w:rPr>
        <w:t xml:space="preserve">, and </w:t>
      </w:r>
      <w:proofErr w:type="spellStart"/>
      <w:r>
        <w:rPr>
          <w:sz w:val="22"/>
          <w:szCs w:val="22"/>
          <w:lang w:val="es-ES"/>
        </w:rPr>
        <w:t>correctly</w:t>
      </w:r>
      <w:proofErr w:type="spellEnd"/>
      <w:r>
        <w:rPr>
          <w:sz w:val="22"/>
          <w:szCs w:val="22"/>
          <w:lang w:val="es-ES"/>
        </w:rPr>
        <w:t xml:space="preserve"> </w:t>
      </w:r>
      <w:proofErr w:type="spellStart"/>
      <w:r>
        <w:rPr>
          <w:sz w:val="22"/>
          <w:szCs w:val="22"/>
          <w:lang w:val="es-ES"/>
        </w:rPr>
        <w:t>received</w:t>
      </w:r>
      <w:proofErr w:type="spellEnd"/>
      <w:r>
        <w:rPr>
          <w:sz w:val="22"/>
          <w:szCs w:val="22"/>
          <w:lang w:val="es-ES"/>
        </w:rPr>
        <w:t xml:space="preserve"> and </w:t>
      </w:r>
      <w:proofErr w:type="spellStart"/>
      <w:r>
        <w:rPr>
          <w:sz w:val="22"/>
          <w:szCs w:val="22"/>
          <w:lang w:val="es-ES"/>
        </w:rPr>
        <w:t>managed</w:t>
      </w:r>
      <w:proofErr w:type="spellEnd"/>
      <w:r>
        <w:rPr>
          <w:sz w:val="22"/>
          <w:szCs w:val="22"/>
          <w:lang w:val="es-ES"/>
        </w:rPr>
        <w:t xml:space="preserve"> </w:t>
      </w:r>
      <w:proofErr w:type="spellStart"/>
      <w:r>
        <w:rPr>
          <w:sz w:val="22"/>
          <w:szCs w:val="22"/>
          <w:lang w:val="es-ES"/>
        </w:rPr>
        <w:t>by</w:t>
      </w:r>
      <w:proofErr w:type="spellEnd"/>
      <w:r>
        <w:rPr>
          <w:sz w:val="22"/>
          <w:szCs w:val="22"/>
          <w:lang w:val="es-ES"/>
        </w:rPr>
        <w:t xml:space="preserve"> </w:t>
      </w:r>
      <w:proofErr w:type="spellStart"/>
      <w:r>
        <w:rPr>
          <w:sz w:val="22"/>
          <w:szCs w:val="22"/>
          <w:lang w:val="es-ES"/>
        </w:rPr>
        <w:t>the</w:t>
      </w:r>
      <w:proofErr w:type="spellEnd"/>
      <w:r>
        <w:rPr>
          <w:sz w:val="22"/>
          <w:szCs w:val="22"/>
          <w:lang w:val="es-ES"/>
        </w:rPr>
        <w:t xml:space="preserve"> Data </w:t>
      </w:r>
      <w:proofErr w:type="spellStart"/>
      <w:r>
        <w:rPr>
          <w:sz w:val="22"/>
          <w:szCs w:val="22"/>
          <w:lang w:val="es-ES"/>
        </w:rPr>
        <w:t>Collection</w:t>
      </w:r>
      <w:proofErr w:type="spellEnd"/>
      <w:r>
        <w:rPr>
          <w:sz w:val="22"/>
          <w:szCs w:val="22"/>
          <w:lang w:val="es-ES"/>
        </w:rPr>
        <w:t xml:space="preserve"> </w:t>
      </w:r>
      <w:proofErr w:type="spellStart"/>
      <w:r>
        <w:rPr>
          <w:sz w:val="22"/>
          <w:szCs w:val="22"/>
          <w:lang w:val="es-ES"/>
        </w:rPr>
        <w:t>System</w:t>
      </w:r>
      <w:proofErr w:type="spellEnd"/>
      <w:r>
        <w:rPr>
          <w:sz w:val="22"/>
          <w:szCs w:val="22"/>
          <w:lang w:val="es-ES"/>
        </w:rPr>
        <w:t>.</w:t>
      </w:r>
    </w:p>
    <w:p w14:paraId="37630016" w14:textId="77777777" w:rsidR="00E255F4" w:rsidRDefault="00000000">
      <w:pPr>
        <w:numPr>
          <w:ilvl w:val="0"/>
          <w:numId w:val="41"/>
        </w:numPr>
        <w:spacing w:after="120"/>
        <w:rPr>
          <w:sz w:val="22"/>
          <w:szCs w:val="22"/>
          <w:lang w:val="es-ES"/>
        </w:rPr>
      </w:pPr>
      <w:proofErr w:type="spellStart"/>
      <w:r>
        <w:rPr>
          <w:sz w:val="22"/>
          <w:szCs w:val="22"/>
          <w:u w:val="single"/>
        </w:rPr>
        <w:t>Concordance</w:t>
      </w:r>
      <w:proofErr w:type="spellEnd"/>
      <w:r>
        <w:rPr>
          <w:sz w:val="22"/>
          <w:szCs w:val="22"/>
          <w:u w:val="single"/>
        </w:rPr>
        <w:t xml:space="preserve"> </w:t>
      </w:r>
      <w:proofErr w:type="spellStart"/>
      <w:r>
        <w:rPr>
          <w:sz w:val="22"/>
          <w:szCs w:val="22"/>
          <w:u w:val="single"/>
        </w:rPr>
        <w:t>of</w:t>
      </w:r>
      <w:proofErr w:type="spellEnd"/>
      <w:r>
        <w:rPr>
          <w:sz w:val="22"/>
          <w:szCs w:val="22"/>
          <w:u w:val="single"/>
        </w:rPr>
        <w:t xml:space="preserve"> </w:t>
      </w:r>
      <w:proofErr w:type="spellStart"/>
      <w:r>
        <w:rPr>
          <w:sz w:val="22"/>
          <w:szCs w:val="22"/>
          <w:u w:val="single"/>
        </w:rPr>
        <w:t>readings</w:t>
      </w:r>
      <w:proofErr w:type="spellEnd"/>
    </w:p>
    <w:p w14:paraId="6C072D06" w14:textId="77777777" w:rsidR="00E255F4" w:rsidRDefault="00000000">
      <w:pPr>
        <w:spacing w:after="120"/>
        <w:ind w:left="644"/>
        <w:jc w:val="both"/>
        <w:rPr>
          <w:color w:val="FF0000"/>
          <w:sz w:val="22"/>
          <w:szCs w:val="22"/>
          <w:lang w:val="es-ES"/>
        </w:rPr>
      </w:pPr>
      <w:r>
        <w:rPr>
          <w:sz w:val="22"/>
          <w:szCs w:val="22"/>
          <w:lang w:val="es-ES"/>
        </w:rPr>
        <w:t xml:space="preserve">The </w:t>
      </w:r>
      <w:proofErr w:type="spellStart"/>
      <w:r>
        <w:rPr>
          <w:sz w:val="22"/>
          <w:szCs w:val="22"/>
          <w:lang w:val="es-ES"/>
        </w:rPr>
        <w:t>telemetry</w:t>
      </w:r>
      <w:proofErr w:type="spellEnd"/>
      <w:r>
        <w:rPr>
          <w:sz w:val="22"/>
          <w:szCs w:val="22"/>
          <w:lang w:val="es-ES"/>
        </w:rPr>
        <w:t xml:space="preserve"> </w:t>
      </w:r>
      <w:proofErr w:type="spellStart"/>
      <w:r>
        <w:rPr>
          <w:sz w:val="22"/>
          <w:szCs w:val="22"/>
          <w:lang w:val="es-ES"/>
        </w:rPr>
        <w:t>transmission</w:t>
      </w:r>
      <w:proofErr w:type="spellEnd"/>
      <w:r>
        <w:rPr>
          <w:sz w:val="22"/>
          <w:szCs w:val="22"/>
          <w:lang w:val="es-ES"/>
        </w:rPr>
        <w:t xml:space="preserve"> </w:t>
      </w:r>
      <w:proofErr w:type="spellStart"/>
      <w:r>
        <w:rPr>
          <w:sz w:val="22"/>
          <w:szCs w:val="22"/>
          <w:lang w:val="es-ES"/>
        </w:rPr>
        <w:t>device</w:t>
      </w:r>
      <w:proofErr w:type="spellEnd"/>
      <w:r>
        <w:rPr>
          <w:sz w:val="22"/>
          <w:szCs w:val="22"/>
          <w:lang w:val="es-ES"/>
        </w:rPr>
        <w:t xml:space="preserve"> </w:t>
      </w:r>
      <w:proofErr w:type="spellStart"/>
      <w:r>
        <w:rPr>
          <w:sz w:val="22"/>
          <w:szCs w:val="22"/>
          <w:lang w:val="es-ES"/>
        </w:rPr>
        <w:t>will</w:t>
      </w:r>
      <w:proofErr w:type="spellEnd"/>
      <w:r>
        <w:rPr>
          <w:sz w:val="22"/>
          <w:szCs w:val="22"/>
          <w:lang w:val="es-ES"/>
        </w:rPr>
        <w:t xml:space="preserve"> be </w:t>
      </w:r>
      <w:proofErr w:type="spellStart"/>
      <w:r>
        <w:rPr>
          <w:sz w:val="22"/>
          <w:szCs w:val="22"/>
          <w:lang w:val="es-ES"/>
        </w:rPr>
        <w:t>considered</w:t>
      </w:r>
      <w:proofErr w:type="spellEnd"/>
      <w:r>
        <w:rPr>
          <w:sz w:val="22"/>
          <w:szCs w:val="22"/>
          <w:lang w:val="es-ES"/>
        </w:rPr>
        <w:t xml:space="preserve"> </w:t>
      </w:r>
      <w:proofErr w:type="spellStart"/>
      <w:r>
        <w:rPr>
          <w:sz w:val="22"/>
          <w:szCs w:val="22"/>
          <w:lang w:val="es-ES"/>
        </w:rPr>
        <w:t>to</w:t>
      </w:r>
      <w:proofErr w:type="spellEnd"/>
      <w:r>
        <w:rPr>
          <w:sz w:val="22"/>
          <w:szCs w:val="22"/>
          <w:lang w:val="es-ES"/>
        </w:rPr>
        <w:t xml:space="preserve"> be </w:t>
      </w:r>
      <w:proofErr w:type="spellStart"/>
      <w:r>
        <w:rPr>
          <w:sz w:val="22"/>
          <w:szCs w:val="22"/>
          <w:lang w:val="es-ES"/>
        </w:rPr>
        <w:t>correctly</w:t>
      </w:r>
      <w:proofErr w:type="spellEnd"/>
      <w:r>
        <w:rPr>
          <w:sz w:val="22"/>
          <w:szCs w:val="22"/>
          <w:lang w:val="es-ES"/>
        </w:rPr>
        <w:t xml:space="preserve"> </w:t>
      </w:r>
      <w:proofErr w:type="spellStart"/>
      <w:r>
        <w:rPr>
          <w:sz w:val="22"/>
          <w:szCs w:val="22"/>
          <w:lang w:val="es-ES"/>
        </w:rPr>
        <w:t>installed</w:t>
      </w:r>
      <w:proofErr w:type="spellEnd"/>
      <w:r>
        <w:rPr>
          <w:sz w:val="22"/>
          <w:szCs w:val="22"/>
          <w:lang w:val="es-ES"/>
        </w:rPr>
        <w:t xml:space="preserve"> and in </w:t>
      </w:r>
      <w:proofErr w:type="spellStart"/>
      <w:r>
        <w:rPr>
          <w:sz w:val="22"/>
          <w:szCs w:val="22"/>
          <w:lang w:val="es-ES"/>
        </w:rPr>
        <w:t>good</w:t>
      </w:r>
      <w:proofErr w:type="spellEnd"/>
      <w:r>
        <w:rPr>
          <w:sz w:val="22"/>
          <w:szCs w:val="22"/>
          <w:lang w:val="es-ES"/>
        </w:rPr>
        <w:t xml:space="preserve"> </w:t>
      </w:r>
      <w:proofErr w:type="spellStart"/>
      <w:r>
        <w:rPr>
          <w:sz w:val="22"/>
          <w:szCs w:val="22"/>
          <w:lang w:val="es-ES"/>
        </w:rPr>
        <w:t>working</w:t>
      </w:r>
      <w:proofErr w:type="spellEnd"/>
      <w:r>
        <w:rPr>
          <w:sz w:val="22"/>
          <w:szCs w:val="22"/>
          <w:lang w:val="es-ES"/>
        </w:rPr>
        <w:t xml:space="preserve"> </w:t>
      </w:r>
      <w:proofErr w:type="spellStart"/>
      <w:r>
        <w:rPr>
          <w:sz w:val="22"/>
          <w:szCs w:val="22"/>
          <w:lang w:val="es-ES"/>
        </w:rPr>
        <w:t>order</w:t>
      </w:r>
      <w:proofErr w:type="spellEnd"/>
      <w:r>
        <w:rPr>
          <w:sz w:val="22"/>
          <w:szCs w:val="22"/>
          <w:lang w:val="es-ES"/>
        </w:rPr>
        <w:t xml:space="preserve"> </w:t>
      </w:r>
      <w:proofErr w:type="spellStart"/>
      <w:r>
        <w:rPr>
          <w:sz w:val="22"/>
          <w:szCs w:val="22"/>
          <w:lang w:val="es-ES"/>
        </w:rPr>
        <w:t>when</w:t>
      </w:r>
      <w:proofErr w:type="spellEnd"/>
      <w:r>
        <w:rPr>
          <w:sz w:val="22"/>
          <w:szCs w:val="22"/>
          <w:lang w:val="es-ES"/>
        </w:rPr>
        <w:t xml:space="preserve"> 2 (</w:t>
      </w:r>
      <w:proofErr w:type="spellStart"/>
      <w:r>
        <w:rPr>
          <w:sz w:val="22"/>
          <w:szCs w:val="22"/>
          <w:lang w:val="es-ES"/>
        </w:rPr>
        <w:t>two</w:t>
      </w:r>
      <w:proofErr w:type="spellEnd"/>
      <w:r>
        <w:rPr>
          <w:sz w:val="22"/>
          <w:szCs w:val="22"/>
          <w:lang w:val="es-ES"/>
        </w:rPr>
        <w:t xml:space="preserve">) </w:t>
      </w:r>
      <w:proofErr w:type="spellStart"/>
      <w:r>
        <w:rPr>
          <w:sz w:val="22"/>
          <w:szCs w:val="22"/>
          <w:lang w:val="es-ES"/>
        </w:rPr>
        <w:t>matching</w:t>
      </w:r>
      <w:proofErr w:type="spellEnd"/>
      <w:r>
        <w:rPr>
          <w:sz w:val="22"/>
          <w:szCs w:val="22"/>
          <w:lang w:val="es-ES"/>
        </w:rPr>
        <w:t xml:space="preserve"> </w:t>
      </w:r>
      <w:proofErr w:type="spellStart"/>
      <w:r>
        <w:rPr>
          <w:sz w:val="22"/>
          <w:szCs w:val="22"/>
          <w:lang w:val="es-ES"/>
        </w:rPr>
        <w:t>readings</w:t>
      </w:r>
      <w:proofErr w:type="spellEnd"/>
      <w:r>
        <w:rPr>
          <w:sz w:val="22"/>
          <w:szCs w:val="22"/>
          <w:lang w:val="es-ES"/>
        </w:rPr>
        <w:t xml:space="preserve"> are </w:t>
      </w:r>
      <w:proofErr w:type="spellStart"/>
      <w:r>
        <w:rPr>
          <w:sz w:val="22"/>
          <w:szCs w:val="22"/>
          <w:lang w:val="es-ES"/>
        </w:rPr>
        <w:t>verified</w:t>
      </w:r>
      <w:proofErr w:type="spellEnd"/>
      <w:r>
        <w:rPr>
          <w:sz w:val="22"/>
          <w:szCs w:val="22"/>
          <w:lang w:val="es-ES"/>
        </w:rPr>
        <w:t xml:space="preserve"> </w:t>
      </w:r>
      <w:proofErr w:type="spellStart"/>
      <w:r>
        <w:rPr>
          <w:sz w:val="22"/>
          <w:szCs w:val="22"/>
          <w:lang w:val="es-ES"/>
        </w:rPr>
        <w:t>between</w:t>
      </w:r>
      <w:proofErr w:type="spellEnd"/>
      <w:r>
        <w:rPr>
          <w:sz w:val="22"/>
          <w:szCs w:val="22"/>
          <w:lang w:val="es-ES"/>
        </w:rPr>
        <w:t xml:space="preserve"> </w:t>
      </w:r>
      <w:proofErr w:type="spellStart"/>
      <w:r>
        <w:rPr>
          <w:sz w:val="22"/>
          <w:szCs w:val="22"/>
          <w:lang w:val="es-ES"/>
        </w:rPr>
        <w:t>the</w:t>
      </w:r>
      <w:proofErr w:type="spellEnd"/>
      <w:r>
        <w:rPr>
          <w:sz w:val="22"/>
          <w:szCs w:val="22"/>
          <w:lang w:val="es-ES"/>
        </w:rPr>
        <w:t xml:space="preserve"> visual </w:t>
      </w:r>
      <w:proofErr w:type="spellStart"/>
      <w:r>
        <w:rPr>
          <w:sz w:val="22"/>
          <w:szCs w:val="22"/>
          <w:lang w:val="es-ES"/>
        </w:rPr>
        <w:t>measurement</w:t>
      </w:r>
      <w:proofErr w:type="spellEnd"/>
      <w:r>
        <w:rPr>
          <w:sz w:val="22"/>
          <w:szCs w:val="22"/>
          <w:lang w:val="es-ES"/>
        </w:rPr>
        <w:t xml:space="preserve"> </w:t>
      </w:r>
      <w:proofErr w:type="spellStart"/>
      <w:r>
        <w:rPr>
          <w:sz w:val="22"/>
          <w:szCs w:val="22"/>
          <w:lang w:val="es-ES"/>
        </w:rPr>
        <w:t>value</w:t>
      </w:r>
      <w:proofErr w:type="spellEnd"/>
      <w:r>
        <w:rPr>
          <w:sz w:val="22"/>
          <w:szCs w:val="22"/>
          <w:lang w:val="es-ES"/>
        </w:rPr>
        <w:t xml:space="preserve"> and </w:t>
      </w:r>
      <w:proofErr w:type="spellStart"/>
      <w:r>
        <w:rPr>
          <w:sz w:val="22"/>
          <w:szCs w:val="22"/>
          <w:lang w:val="es-ES"/>
        </w:rPr>
        <w:t>the</w:t>
      </w:r>
      <w:proofErr w:type="spellEnd"/>
      <w:r>
        <w:rPr>
          <w:sz w:val="22"/>
          <w:szCs w:val="22"/>
          <w:lang w:val="es-ES"/>
        </w:rPr>
        <w:t xml:space="preserve"> </w:t>
      </w:r>
      <w:proofErr w:type="spellStart"/>
      <w:r>
        <w:rPr>
          <w:sz w:val="22"/>
          <w:szCs w:val="22"/>
          <w:lang w:val="es-ES"/>
        </w:rPr>
        <w:t>telemetry</w:t>
      </w:r>
      <w:proofErr w:type="spellEnd"/>
      <w:r>
        <w:rPr>
          <w:sz w:val="22"/>
          <w:szCs w:val="22"/>
          <w:lang w:val="es-ES"/>
        </w:rPr>
        <w:t xml:space="preserve"> </w:t>
      </w:r>
      <w:proofErr w:type="spellStart"/>
      <w:r>
        <w:rPr>
          <w:sz w:val="22"/>
          <w:szCs w:val="22"/>
          <w:lang w:val="es-ES"/>
        </w:rPr>
        <w:t>reading</w:t>
      </w:r>
      <w:proofErr w:type="spellEnd"/>
      <w:r>
        <w:rPr>
          <w:sz w:val="22"/>
          <w:szCs w:val="22"/>
          <w:lang w:val="es-ES"/>
        </w:rPr>
        <w:t xml:space="preserve"> </w:t>
      </w:r>
      <w:proofErr w:type="spellStart"/>
      <w:r>
        <w:rPr>
          <w:sz w:val="22"/>
          <w:szCs w:val="22"/>
          <w:lang w:val="es-ES"/>
        </w:rPr>
        <w:t>value</w:t>
      </w:r>
      <w:proofErr w:type="spellEnd"/>
      <w:r>
        <w:rPr>
          <w:sz w:val="22"/>
          <w:szCs w:val="22"/>
          <w:lang w:val="es-ES"/>
        </w:rPr>
        <w:t>.</w:t>
      </w:r>
    </w:p>
    <w:p w14:paraId="6A5721A2" w14:textId="77777777" w:rsidR="00E255F4" w:rsidRDefault="00000000">
      <w:pPr>
        <w:spacing w:before="240" w:after="120"/>
      </w:pPr>
      <w:r>
        <w:rPr>
          <w:b/>
          <w:sz w:val="22"/>
          <w:szCs w:val="22"/>
        </w:rPr>
        <w:t xml:space="preserve">9.2 </w:t>
      </w:r>
      <w:proofErr w:type="spellStart"/>
      <w:r>
        <w:rPr>
          <w:b/>
          <w:sz w:val="22"/>
          <w:szCs w:val="22"/>
        </w:rPr>
        <w:t>Inspections</w:t>
      </w:r>
      <w:proofErr w:type="spellEnd"/>
      <w:r>
        <w:rPr>
          <w:b/>
          <w:sz w:val="22"/>
          <w:szCs w:val="22"/>
        </w:rPr>
        <w:t xml:space="preserve"> and </w:t>
      </w:r>
      <w:proofErr w:type="spellStart"/>
      <w:r>
        <w:rPr>
          <w:b/>
          <w:sz w:val="22"/>
          <w:szCs w:val="22"/>
        </w:rPr>
        <w:t>tests</w:t>
      </w:r>
      <w:proofErr w:type="spellEnd"/>
      <w:r>
        <w:rPr>
          <w:b/>
          <w:sz w:val="22"/>
          <w:szCs w:val="22"/>
        </w:rPr>
        <w:t xml:space="preserve"> </w:t>
      </w:r>
      <w:proofErr w:type="spellStart"/>
      <w:r>
        <w:rPr>
          <w:b/>
          <w:sz w:val="22"/>
          <w:szCs w:val="22"/>
        </w:rPr>
        <w:t>of</w:t>
      </w:r>
      <w:proofErr w:type="spellEnd"/>
      <w:r>
        <w:rPr>
          <w:b/>
          <w:sz w:val="22"/>
          <w:szCs w:val="22"/>
        </w:rPr>
        <w:t xml:space="preserve"> </w:t>
      </w:r>
      <w:proofErr w:type="spellStart"/>
      <w:r>
        <w:rPr>
          <w:b/>
          <w:sz w:val="22"/>
          <w:szCs w:val="22"/>
        </w:rPr>
        <w:t>meters</w:t>
      </w:r>
      <w:proofErr w:type="spellEnd"/>
      <w:r>
        <w:rPr>
          <w:b/>
          <w:sz w:val="22"/>
          <w:szCs w:val="22"/>
        </w:rPr>
        <w:tab/>
      </w:r>
    </w:p>
    <w:p w14:paraId="2BB237C4" w14:textId="77777777" w:rsidR="00E255F4" w:rsidRDefault="00000000">
      <w:pPr>
        <w:numPr>
          <w:ilvl w:val="2"/>
          <w:numId w:val="23"/>
        </w:numPr>
        <w:spacing w:before="240"/>
        <w:rPr>
          <w:b/>
          <w:sz w:val="22"/>
          <w:szCs w:val="22"/>
        </w:rPr>
      </w:pPr>
      <w:r>
        <w:rPr>
          <w:b/>
          <w:sz w:val="22"/>
          <w:szCs w:val="22"/>
        </w:rPr>
        <w:t xml:space="preserve">Factory </w:t>
      </w:r>
      <w:proofErr w:type="spellStart"/>
      <w:r>
        <w:rPr>
          <w:b/>
          <w:sz w:val="22"/>
          <w:szCs w:val="22"/>
        </w:rPr>
        <w:t>receipt</w:t>
      </w:r>
      <w:proofErr w:type="spellEnd"/>
      <w:r>
        <w:rPr>
          <w:b/>
          <w:sz w:val="22"/>
          <w:szCs w:val="22"/>
        </w:rPr>
        <w:t xml:space="preserve"> </w:t>
      </w:r>
      <w:proofErr w:type="spellStart"/>
      <w:r>
        <w:rPr>
          <w:b/>
          <w:sz w:val="22"/>
          <w:szCs w:val="22"/>
        </w:rPr>
        <w:t>of</w:t>
      </w:r>
      <w:proofErr w:type="spellEnd"/>
      <w:r>
        <w:rPr>
          <w:b/>
          <w:sz w:val="22"/>
          <w:szCs w:val="22"/>
        </w:rPr>
        <w:t xml:space="preserve"> </w:t>
      </w:r>
      <w:proofErr w:type="spellStart"/>
      <w:r>
        <w:rPr>
          <w:b/>
          <w:sz w:val="22"/>
          <w:szCs w:val="22"/>
        </w:rPr>
        <w:t>the</w:t>
      </w:r>
      <w:proofErr w:type="spellEnd"/>
      <w:r>
        <w:rPr>
          <w:b/>
          <w:sz w:val="22"/>
          <w:szCs w:val="22"/>
        </w:rPr>
        <w:t xml:space="preserve"> </w:t>
      </w:r>
      <w:proofErr w:type="spellStart"/>
      <w:r>
        <w:rPr>
          <w:b/>
          <w:sz w:val="22"/>
          <w:szCs w:val="22"/>
        </w:rPr>
        <w:t>batch</w:t>
      </w:r>
      <w:proofErr w:type="spellEnd"/>
      <w:r>
        <w:rPr>
          <w:b/>
          <w:sz w:val="22"/>
          <w:szCs w:val="22"/>
        </w:rPr>
        <w:t xml:space="preserve"> </w:t>
      </w:r>
      <w:proofErr w:type="spellStart"/>
      <w:r>
        <w:rPr>
          <w:b/>
          <w:sz w:val="22"/>
          <w:szCs w:val="22"/>
        </w:rPr>
        <w:t>of</w:t>
      </w:r>
      <w:proofErr w:type="spellEnd"/>
      <w:r>
        <w:rPr>
          <w:b/>
          <w:sz w:val="22"/>
          <w:szCs w:val="22"/>
        </w:rPr>
        <w:t xml:space="preserve"> 50,000 </w:t>
      </w:r>
      <w:proofErr w:type="spellStart"/>
      <w:r>
        <w:rPr>
          <w:b/>
          <w:sz w:val="22"/>
          <w:szCs w:val="22"/>
        </w:rPr>
        <w:t>meters</w:t>
      </w:r>
      <w:proofErr w:type="spellEnd"/>
    </w:p>
    <w:p w14:paraId="6F1233F7" w14:textId="77777777" w:rsidR="00E255F4" w:rsidRDefault="00000000">
      <w:pPr>
        <w:tabs>
          <w:tab w:val="left" w:pos="-720"/>
          <w:tab w:val="left" w:pos="0"/>
          <w:tab w:val="left" w:pos="851"/>
          <w:tab w:val="left" w:pos="1276"/>
        </w:tabs>
        <w:spacing w:before="120" w:after="120"/>
        <w:ind w:left="851" w:hanging="851"/>
        <w:jc w:val="both"/>
      </w:pPr>
      <w:r>
        <w:rPr>
          <w:color w:val="000000"/>
          <w:sz w:val="22"/>
          <w:szCs w:val="22"/>
          <w:lang w:val="es-ES"/>
        </w:rPr>
        <w:t xml:space="preserve">9.2.1.1 The </w:t>
      </w:r>
      <w:proofErr w:type="spellStart"/>
      <w:r>
        <w:rPr>
          <w:color w:val="000000"/>
          <w:sz w:val="22"/>
          <w:szCs w:val="22"/>
          <w:lang w:val="es-ES"/>
        </w:rPr>
        <w:t>receipt</w:t>
      </w:r>
      <w:proofErr w:type="spellEnd"/>
      <w:r>
        <w:rPr>
          <w:color w:val="000000"/>
          <w:sz w:val="22"/>
          <w:szCs w:val="22"/>
          <w:lang w:val="es-ES"/>
        </w:rPr>
        <w:t xml:space="preserve"> </w:t>
      </w:r>
      <w:proofErr w:type="spellStart"/>
      <w:r>
        <w:rPr>
          <w:color w:val="000000"/>
          <w:sz w:val="22"/>
          <w:szCs w:val="22"/>
          <w:lang w:val="es-ES"/>
        </w:rPr>
        <w:t>of</w:t>
      </w:r>
      <w:proofErr w:type="spellEnd"/>
      <w:r>
        <w:rPr>
          <w:color w:val="000000"/>
          <w:sz w:val="22"/>
          <w:szCs w:val="22"/>
          <w:lang w:val="es-ES"/>
        </w:rPr>
        <w:t xml:space="preserve"> </w:t>
      </w:r>
      <w:proofErr w:type="spellStart"/>
      <w:r>
        <w:rPr>
          <w:color w:val="000000"/>
          <w:sz w:val="22"/>
          <w:szCs w:val="22"/>
          <w:lang w:val="es-ES"/>
        </w:rPr>
        <w:t>the</w:t>
      </w:r>
      <w:proofErr w:type="spellEnd"/>
      <w:r>
        <w:rPr>
          <w:color w:val="000000"/>
          <w:sz w:val="22"/>
          <w:szCs w:val="22"/>
          <w:lang w:val="es-ES"/>
        </w:rPr>
        <w:t xml:space="preserve"> </w:t>
      </w:r>
      <w:proofErr w:type="spellStart"/>
      <w:r>
        <w:rPr>
          <w:color w:val="000000"/>
          <w:sz w:val="22"/>
          <w:szCs w:val="22"/>
          <w:lang w:val="es-ES"/>
        </w:rPr>
        <w:t>meters</w:t>
      </w:r>
      <w:proofErr w:type="spellEnd"/>
      <w:r>
        <w:rPr>
          <w:color w:val="000000"/>
          <w:sz w:val="22"/>
          <w:szCs w:val="22"/>
          <w:lang w:val="es-ES"/>
        </w:rPr>
        <w:t xml:space="preserve"> at </w:t>
      </w:r>
      <w:proofErr w:type="spellStart"/>
      <w:r>
        <w:rPr>
          <w:color w:val="000000"/>
          <w:sz w:val="22"/>
          <w:szCs w:val="22"/>
          <w:lang w:val="es-ES"/>
        </w:rPr>
        <w:t>the</w:t>
      </w:r>
      <w:proofErr w:type="spellEnd"/>
      <w:r>
        <w:rPr>
          <w:color w:val="000000"/>
          <w:sz w:val="22"/>
          <w:szCs w:val="22"/>
          <w:lang w:val="es-ES"/>
        </w:rPr>
        <w:t xml:space="preserve"> </w:t>
      </w:r>
      <w:proofErr w:type="spellStart"/>
      <w:r>
        <w:rPr>
          <w:color w:val="000000"/>
          <w:sz w:val="22"/>
          <w:szCs w:val="22"/>
          <w:lang w:val="es-ES"/>
        </w:rPr>
        <w:t>factory</w:t>
      </w:r>
      <w:proofErr w:type="spellEnd"/>
      <w:r>
        <w:rPr>
          <w:color w:val="000000"/>
          <w:sz w:val="22"/>
          <w:szCs w:val="22"/>
          <w:lang w:val="es-ES"/>
        </w:rPr>
        <w:t xml:space="preserve"> </w:t>
      </w:r>
      <w:proofErr w:type="spellStart"/>
      <w:r>
        <w:rPr>
          <w:color w:val="000000"/>
          <w:sz w:val="22"/>
          <w:szCs w:val="22"/>
          <w:lang w:val="es-ES"/>
        </w:rPr>
        <w:t>will</w:t>
      </w:r>
      <w:proofErr w:type="spellEnd"/>
      <w:r>
        <w:rPr>
          <w:color w:val="000000"/>
          <w:sz w:val="22"/>
          <w:szCs w:val="22"/>
          <w:lang w:val="es-ES"/>
        </w:rPr>
        <w:t xml:space="preserve"> </w:t>
      </w:r>
      <w:proofErr w:type="spellStart"/>
      <w:r>
        <w:rPr>
          <w:color w:val="000000"/>
          <w:sz w:val="22"/>
          <w:szCs w:val="22"/>
          <w:lang w:val="es-ES"/>
        </w:rPr>
        <w:t>include</w:t>
      </w:r>
      <w:proofErr w:type="spellEnd"/>
      <w:r>
        <w:rPr>
          <w:color w:val="000000"/>
          <w:sz w:val="22"/>
          <w:szCs w:val="22"/>
          <w:lang w:val="es-ES"/>
        </w:rPr>
        <w:t xml:space="preserve"> </w:t>
      </w:r>
      <w:proofErr w:type="spellStart"/>
      <w:r>
        <w:rPr>
          <w:color w:val="000000"/>
          <w:sz w:val="22"/>
          <w:szCs w:val="22"/>
          <w:lang w:val="es-ES"/>
        </w:rPr>
        <w:t>the</w:t>
      </w:r>
      <w:proofErr w:type="spellEnd"/>
      <w:r>
        <w:rPr>
          <w:color w:val="000000"/>
          <w:sz w:val="22"/>
          <w:szCs w:val="22"/>
          <w:lang w:val="es-ES"/>
        </w:rPr>
        <w:t xml:space="preserve"> actual </w:t>
      </w:r>
      <w:proofErr w:type="spellStart"/>
      <w:r>
        <w:rPr>
          <w:color w:val="000000"/>
          <w:sz w:val="22"/>
          <w:szCs w:val="22"/>
          <w:lang w:val="es-ES"/>
        </w:rPr>
        <w:t>manufacturing</w:t>
      </w:r>
      <w:proofErr w:type="spellEnd"/>
      <w:r>
        <w:rPr>
          <w:color w:val="000000"/>
          <w:sz w:val="22"/>
          <w:szCs w:val="22"/>
          <w:lang w:val="es-ES"/>
        </w:rPr>
        <w:t xml:space="preserve"> </w:t>
      </w:r>
      <w:proofErr w:type="spellStart"/>
      <w:r>
        <w:rPr>
          <w:color w:val="000000"/>
          <w:sz w:val="22"/>
          <w:szCs w:val="22"/>
          <w:lang w:val="es-ES"/>
        </w:rPr>
        <w:t>process</w:t>
      </w:r>
      <w:proofErr w:type="spellEnd"/>
      <w:r>
        <w:rPr>
          <w:color w:val="000000"/>
          <w:sz w:val="22"/>
          <w:szCs w:val="22"/>
          <w:lang w:val="es-ES"/>
        </w:rPr>
        <w:t xml:space="preserve"> and </w:t>
      </w:r>
      <w:proofErr w:type="spellStart"/>
      <w:r>
        <w:rPr>
          <w:color w:val="000000"/>
          <w:sz w:val="22"/>
          <w:szCs w:val="22"/>
          <w:lang w:val="es-ES"/>
        </w:rPr>
        <w:t>the</w:t>
      </w:r>
      <w:proofErr w:type="spellEnd"/>
      <w:r>
        <w:rPr>
          <w:color w:val="000000"/>
          <w:sz w:val="22"/>
          <w:szCs w:val="22"/>
          <w:lang w:val="es-ES"/>
        </w:rPr>
        <w:t xml:space="preserve"> </w:t>
      </w:r>
      <w:proofErr w:type="spellStart"/>
      <w:r>
        <w:rPr>
          <w:color w:val="000000"/>
          <w:sz w:val="22"/>
          <w:szCs w:val="22"/>
          <w:lang w:val="es-ES"/>
        </w:rPr>
        <w:t>acceptance</w:t>
      </w:r>
      <w:proofErr w:type="spellEnd"/>
      <w:r>
        <w:rPr>
          <w:color w:val="000000"/>
          <w:sz w:val="22"/>
          <w:szCs w:val="22"/>
          <w:lang w:val="es-ES"/>
        </w:rPr>
        <w:t xml:space="preserve"> </w:t>
      </w:r>
      <w:proofErr w:type="spellStart"/>
      <w:r>
        <w:rPr>
          <w:color w:val="000000"/>
          <w:sz w:val="22"/>
          <w:szCs w:val="22"/>
          <w:lang w:val="es-ES"/>
        </w:rPr>
        <w:t>tests</w:t>
      </w:r>
      <w:proofErr w:type="spellEnd"/>
      <w:r>
        <w:rPr>
          <w:color w:val="000000"/>
          <w:sz w:val="22"/>
          <w:szCs w:val="22"/>
          <w:lang w:val="es-ES"/>
        </w:rPr>
        <w:t xml:space="preserve">. </w:t>
      </w:r>
      <w:proofErr w:type="spellStart"/>
      <w:r>
        <w:rPr>
          <w:color w:val="000000"/>
          <w:sz w:val="22"/>
          <w:szCs w:val="22"/>
          <w:lang w:val="es-ES"/>
        </w:rPr>
        <w:t>This</w:t>
      </w:r>
      <w:proofErr w:type="spellEnd"/>
      <w:r>
        <w:rPr>
          <w:color w:val="000000"/>
          <w:sz w:val="22"/>
          <w:szCs w:val="22"/>
          <w:lang w:val="es-ES"/>
        </w:rPr>
        <w:t xml:space="preserve"> </w:t>
      </w:r>
      <w:proofErr w:type="spellStart"/>
      <w:r>
        <w:rPr>
          <w:color w:val="000000"/>
          <w:sz w:val="22"/>
          <w:szCs w:val="22"/>
          <w:lang w:val="es-ES"/>
        </w:rPr>
        <w:t>will</w:t>
      </w:r>
      <w:proofErr w:type="spellEnd"/>
      <w:r>
        <w:rPr>
          <w:color w:val="000000"/>
          <w:sz w:val="22"/>
          <w:szCs w:val="22"/>
          <w:lang w:val="es-ES"/>
        </w:rPr>
        <w:t xml:space="preserve"> be </w:t>
      </w:r>
      <w:proofErr w:type="spellStart"/>
      <w:r>
        <w:rPr>
          <w:color w:val="000000"/>
          <w:sz w:val="22"/>
          <w:szCs w:val="22"/>
          <w:lang w:val="es-ES"/>
        </w:rPr>
        <w:t>carried</w:t>
      </w:r>
      <w:proofErr w:type="spellEnd"/>
      <w:r>
        <w:rPr>
          <w:color w:val="000000"/>
          <w:sz w:val="22"/>
          <w:szCs w:val="22"/>
          <w:lang w:val="es-ES"/>
        </w:rPr>
        <w:t xml:space="preserve"> </w:t>
      </w:r>
      <w:proofErr w:type="spellStart"/>
      <w:r>
        <w:rPr>
          <w:color w:val="000000"/>
          <w:sz w:val="22"/>
          <w:szCs w:val="22"/>
          <w:lang w:val="es-ES"/>
        </w:rPr>
        <w:t>out</w:t>
      </w:r>
      <w:proofErr w:type="spellEnd"/>
      <w:r>
        <w:rPr>
          <w:color w:val="000000"/>
          <w:sz w:val="22"/>
          <w:szCs w:val="22"/>
          <w:lang w:val="es-ES"/>
        </w:rPr>
        <w:t xml:space="preserve"> </w:t>
      </w:r>
      <w:proofErr w:type="spellStart"/>
      <w:r>
        <w:rPr>
          <w:color w:val="000000"/>
          <w:sz w:val="22"/>
          <w:szCs w:val="22"/>
          <w:lang w:val="es-ES"/>
        </w:rPr>
        <w:t>by</w:t>
      </w:r>
      <w:proofErr w:type="spellEnd"/>
      <w:r>
        <w:rPr>
          <w:color w:val="000000"/>
          <w:sz w:val="22"/>
          <w:szCs w:val="22"/>
          <w:lang w:val="es-ES"/>
        </w:rPr>
        <w:t xml:space="preserve"> a </w:t>
      </w:r>
      <w:proofErr w:type="spellStart"/>
      <w:r>
        <w:rPr>
          <w:color w:val="000000"/>
          <w:sz w:val="22"/>
          <w:szCs w:val="22"/>
          <w:lang w:val="es-ES"/>
        </w:rPr>
        <w:t>verification</w:t>
      </w:r>
      <w:proofErr w:type="spellEnd"/>
      <w:r>
        <w:rPr>
          <w:color w:val="000000"/>
          <w:sz w:val="22"/>
          <w:szCs w:val="22"/>
          <w:lang w:val="es-ES"/>
        </w:rPr>
        <w:t xml:space="preserve"> </w:t>
      </w:r>
      <w:proofErr w:type="spellStart"/>
      <w:r>
        <w:rPr>
          <w:color w:val="000000"/>
          <w:sz w:val="22"/>
          <w:szCs w:val="22"/>
          <w:lang w:val="es-ES"/>
        </w:rPr>
        <w:t>agent</w:t>
      </w:r>
      <w:proofErr w:type="spellEnd"/>
      <w:r>
        <w:rPr>
          <w:color w:val="000000"/>
          <w:sz w:val="22"/>
          <w:szCs w:val="22"/>
          <w:lang w:val="es-ES"/>
        </w:rPr>
        <w:t xml:space="preserve"> </w:t>
      </w:r>
      <w:proofErr w:type="spellStart"/>
      <w:r>
        <w:rPr>
          <w:color w:val="000000"/>
          <w:sz w:val="22"/>
          <w:szCs w:val="22"/>
          <w:lang w:val="es-ES"/>
        </w:rPr>
        <w:t>with</w:t>
      </w:r>
      <w:proofErr w:type="spellEnd"/>
      <w:r>
        <w:rPr>
          <w:color w:val="000000"/>
          <w:sz w:val="22"/>
          <w:szCs w:val="22"/>
          <w:lang w:val="es-ES"/>
        </w:rPr>
        <w:t xml:space="preserve"> a </w:t>
      </w:r>
      <w:proofErr w:type="spellStart"/>
      <w:r>
        <w:rPr>
          <w:color w:val="000000"/>
          <w:sz w:val="22"/>
          <w:szCs w:val="22"/>
          <w:lang w:val="es-ES"/>
        </w:rPr>
        <w:t>recognized</w:t>
      </w:r>
      <w:proofErr w:type="spellEnd"/>
      <w:r>
        <w:rPr>
          <w:color w:val="000000"/>
          <w:sz w:val="22"/>
          <w:szCs w:val="22"/>
          <w:lang w:val="es-ES"/>
        </w:rPr>
        <w:t xml:space="preserve"> </w:t>
      </w:r>
      <w:proofErr w:type="spellStart"/>
      <w:r>
        <w:rPr>
          <w:color w:val="000000"/>
          <w:sz w:val="22"/>
          <w:szCs w:val="22"/>
          <w:lang w:val="es-ES"/>
        </w:rPr>
        <w:t>international</w:t>
      </w:r>
      <w:proofErr w:type="spellEnd"/>
      <w:r>
        <w:rPr>
          <w:color w:val="000000"/>
          <w:sz w:val="22"/>
          <w:szCs w:val="22"/>
          <w:lang w:val="es-ES"/>
        </w:rPr>
        <w:t xml:space="preserve"> </w:t>
      </w:r>
      <w:proofErr w:type="spellStart"/>
      <w:r>
        <w:rPr>
          <w:color w:val="000000"/>
          <w:sz w:val="22"/>
          <w:szCs w:val="22"/>
          <w:lang w:val="es-ES"/>
        </w:rPr>
        <w:t>track</w:t>
      </w:r>
      <w:proofErr w:type="spellEnd"/>
      <w:r>
        <w:rPr>
          <w:color w:val="000000"/>
          <w:sz w:val="22"/>
          <w:szCs w:val="22"/>
          <w:lang w:val="es-ES"/>
        </w:rPr>
        <w:t xml:space="preserve"> </w:t>
      </w:r>
      <w:proofErr w:type="spellStart"/>
      <w:r>
        <w:rPr>
          <w:color w:val="000000"/>
          <w:sz w:val="22"/>
          <w:szCs w:val="22"/>
          <w:lang w:val="es-ES"/>
        </w:rPr>
        <w:t>record</w:t>
      </w:r>
      <w:proofErr w:type="spellEnd"/>
      <w:r>
        <w:rPr>
          <w:color w:val="000000"/>
          <w:sz w:val="22"/>
          <w:szCs w:val="22"/>
          <w:lang w:val="es-ES"/>
        </w:rPr>
        <w:t xml:space="preserve">, </w:t>
      </w:r>
      <w:proofErr w:type="spellStart"/>
      <w:r>
        <w:rPr>
          <w:color w:val="000000"/>
          <w:sz w:val="22"/>
          <w:szCs w:val="22"/>
          <w:lang w:val="es-ES"/>
        </w:rPr>
        <w:t>whose</w:t>
      </w:r>
      <w:proofErr w:type="spellEnd"/>
      <w:r>
        <w:rPr>
          <w:color w:val="000000"/>
          <w:sz w:val="22"/>
          <w:szCs w:val="22"/>
          <w:lang w:val="es-ES"/>
        </w:rPr>
        <w:t xml:space="preserve"> </w:t>
      </w:r>
      <w:proofErr w:type="spellStart"/>
      <w:r>
        <w:rPr>
          <w:color w:val="000000"/>
          <w:sz w:val="22"/>
          <w:szCs w:val="22"/>
          <w:lang w:val="es-ES"/>
        </w:rPr>
        <w:t>responsibility</w:t>
      </w:r>
      <w:proofErr w:type="spellEnd"/>
      <w:r>
        <w:rPr>
          <w:color w:val="000000"/>
          <w:sz w:val="22"/>
          <w:szCs w:val="22"/>
          <w:lang w:val="es-ES"/>
        </w:rPr>
        <w:t xml:space="preserve"> </w:t>
      </w:r>
      <w:proofErr w:type="spellStart"/>
      <w:r>
        <w:rPr>
          <w:color w:val="000000"/>
          <w:sz w:val="22"/>
          <w:szCs w:val="22"/>
          <w:lang w:val="es-ES"/>
        </w:rPr>
        <w:t>will</w:t>
      </w:r>
      <w:proofErr w:type="spellEnd"/>
      <w:r>
        <w:rPr>
          <w:color w:val="000000"/>
          <w:sz w:val="22"/>
          <w:szCs w:val="22"/>
          <w:lang w:val="es-ES"/>
        </w:rPr>
        <w:t xml:space="preserve"> be </w:t>
      </w:r>
      <w:proofErr w:type="spellStart"/>
      <w:r>
        <w:rPr>
          <w:color w:val="000000"/>
          <w:sz w:val="22"/>
          <w:szCs w:val="22"/>
          <w:lang w:val="es-ES"/>
        </w:rPr>
        <w:t>to</w:t>
      </w:r>
      <w:proofErr w:type="spellEnd"/>
      <w:r>
        <w:rPr>
          <w:color w:val="000000"/>
          <w:sz w:val="22"/>
          <w:szCs w:val="22"/>
          <w:lang w:val="es-ES"/>
        </w:rPr>
        <w:t xml:space="preserve"> </w:t>
      </w:r>
      <w:proofErr w:type="spellStart"/>
      <w:r>
        <w:rPr>
          <w:color w:val="000000"/>
          <w:sz w:val="22"/>
          <w:szCs w:val="22"/>
          <w:lang w:val="es-ES"/>
        </w:rPr>
        <w:t>organize</w:t>
      </w:r>
      <w:proofErr w:type="spellEnd"/>
      <w:r>
        <w:rPr>
          <w:color w:val="000000"/>
          <w:sz w:val="22"/>
          <w:szCs w:val="22"/>
          <w:lang w:val="es-ES"/>
        </w:rPr>
        <w:t xml:space="preserve">, control, and </w:t>
      </w:r>
      <w:proofErr w:type="spellStart"/>
      <w:r>
        <w:rPr>
          <w:color w:val="000000"/>
          <w:sz w:val="22"/>
          <w:szCs w:val="22"/>
          <w:lang w:val="es-ES"/>
        </w:rPr>
        <w:t>approve</w:t>
      </w:r>
      <w:proofErr w:type="spellEnd"/>
      <w:r>
        <w:rPr>
          <w:color w:val="000000"/>
          <w:sz w:val="22"/>
          <w:szCs w:val="22"/>
          <w:lang w:val="es-ES"/>
        </w:rPr>
        <w:t xml:space="preserve"> </w:t>
      </w:r>
      <w:proofErr w:type="spellStart"/>
      <w:r>
        <w:rPr>
          <w:color w:val="000000"/>
          <w:sz w:val="22"/>
          <w:szCs w:val="22"/>
          <w:lang w:val="es-ES"/>
        </w:rPr>
        <w:t>the</w:t>
      </w:r>
      <w:proofErr w:type="spellEnd"/>
      <w:r>
        <w:rPr>
          <w:color w:val="000000"/>
          <w:sz w:val="22"/>
          <w:szCs w:val="22"/>
          <w:lang w:val="es-ES"/>
        </w:rPr>
        <w:t xml:space="preserve"> </w:t>
      </w:r>
      <w:proofErr w:type="spellStart"/>
      <w:r>
        <w:rPr>
          <w:color w:val="000000"/>
          <w:sz w:val="22"/>
          <w:szCs w:val="22"/>
          <w:lang w:val="es-ES"/>
        </w:rPr>
        <w:t>tests</w:t>
      </w:r>
      <w:proofErr w:type="spellEnd"/>
      <w:r>
        <w:rPr>
          <w:color w:val="000000"/>
          <w:sz w:val="22"/>
          <w:szCs w:val="22"/>
          <w:lang w:val="es-ES"/>
        </w:rPr>
        <w:t xml:space="preserve"> </w:t>
      </w:r>
      <w:proofErr w:type="spellStart"/>
      <w:r>
        <w:rPr>
          <w:color w:val="000000"/>
          <w:sz w:val="22"/>
          <w:szCs w:val="22"/>
          <w:lang w:val="es-ES"/>
        </w:rPr>
        <w:t>established</w:t>
      </w:r>
      <w:proofErr w:type="spellEnd"/>
      <w:r>
        <w:rPr>
          <w:color w:val="000000"/>
          <w:sz w:val="22"/>
          <w:szCs w:val="22"/>
          <w:lang w:val="es-ES"/>
        </w:rPr>
        <w:t xml:space="preserve"> in </w:t>
      </w:r>
      <w:proofErr w:type="spellStart"/>
      <w:r>
        <w:rPr>
          <w:color w:val="000000"/>
          <w:sz w:val="22"/>
          <w:szCs w:val="22"/>
          <w:lang w:val="es-ES"/>
        </w:rPr>
        <w:t>this</w:t>
      </w:r>
      <w:proofErr w:type="spellEnd"/>
      <w:r>
        <w:rPr>
          <w:color w:val="000000"/>
          <w:sz w:val="22"/>
          <w:szCs w:val="22"/>
          <w:lang w:val="es-ES"/>
        </w:rPr>
        <w:t xml:space="preserve"> </w:t>
      </w:r>
      <w:proofErr w:type="spellStart"/>
      <w:r>
        <w:rPr>
          <w:color w:val="000000"/>
          <w:sz w:val="22"/>
          <w:szCs w:val="22"/>
          <w:lang w:val="es-ES"/>
        </w:rPr>
        <w:t>specification</w:t>
      </w:r>
      <w:proofErr w:type="spellEnd"/>
      <w:r>
        <w:rPr>
          <w:color w:val="000000"/>
          <w:sz w:val="22"/>
          <w:szCs w:val="22"/>
          <w:lang w:val="es-ES"/>
        </w:rPr>
        <w:t xml:space="preserve"> and in </w:t>
      </w:r>
      <w:proofErr w:type="spellStart"/>
      <w:r>
        <w:rPr>
          <w:color w:val="000000"/>
          <w:sz w:val="22"/>
          <w:szCs w:val="22"/>
          <w:lang w:val="es-ES"/>
        </w:rPr>
        <w:t>the</w:t>
      </w:r>
      <w:proofErr w:type="spellEnd"/>
      <w:r>
        <w:rPr>
          <w:color w:val="000000"/>
          <w:sz w:val="22"/>
          <w:szCs w:val="22"/>
          <w:lang w:val="es-ES"/>
        </w:rPr>
        <w:t xml:space="preserve"> </w:t>
      </w:r>
      <w:proofErr w:type="spellStart"/>
      <w:r>
        <w:rPr>
          <w:color w:val="000000"/>
          <w:sz w:val="22"/>
          <w:szCs w:val="22"/>
          <w:lang w:val="es-ES"/>
        </w:rPr>
        <w:t>indicated</w:t>
      </w:r>
      <w:proofErr w:type="spellEnd"/>
      <w:r>
        <w:rPr>
          <w:color w:val="000000"/>
          <w:sz w:val="22"/>
          <w:szCs w:val="22"/>
          <w:lang w:val="es-ES"/>
        </w:rPr>
        <w:t xml:space="preserve"> standard, </w:t>
      </w:r>
      <w:proofErr w:type="spellStart"/>
      <w:r>
        <w:rPr>
          <w:color w:val="000000"/>
          <w:sz w:val="22"/>
          <w:szCs w:val="22"/>
          <w:lang w:val="es-ES"/>
        </w:rPr>
        <w:t>for</w:t>
      </w:r>
      <w:proofErr w:type="spellEnd"/>
      <w:r>
        <w:rPr>
          <w:color w:val="000000"/>
          <w:sz w:val="22"/>
          <w:szCs w:val="22"/>
          <w:lang w:val="es-ES"/>
        </w:rPr>
        <w:t xml:space="preserve"> </w:t>
      </w:r>
      <w:proofErr w:type="spellStart"/>
      <w:r>
        <w:rPr>
          <w:color w:val="000000"/>
          <w:sz w:val="22"/>
          <w:szCs w:val="22"/>
          <w:lang w:val="es-ES"/>
        </w:rPr>
        <w:t>the</w:t>
      </w:r>
      <w:proofErr w:type="spellEnd"/>
      <w:r>
        <w:rPr>
          <w:color w:val="000000"/>
          <w:sz w:val="22"/>
          <w:szCs w:val="22"/>
          <w:lang w:val="es-ES"/>
        </w:rPr>
        <w:t xml:space="preserve"> </w:t>
      </w:r>
      <w:proofErr w:type="spellStart"/>
      <w:r>
        <w:rPr>
          <w:color w:val="000000"/>
          <w:sz w:val="22"/>
          <w:szCs w:val="22"/>
          <w:lang w:val="es-ES"/>
        </w:rPr>
        <w:t>approval</w:t>
      </w:r>
      <w:proofErr w:type="spellEnd"/>
      <w:r>
        <w:rPr>
          <w:color w:val="000000"/>
          <w:sz w:val="22"/>
          <w:szCs w:val="22"/>
          <w:lang w:val="es-ES"/>
        </w:rPr>
        <w:t xml:space="preserve"> </w:t>
      </w:r>
      <w:proofErr w:type="spellStart"/>
      <w:r>
        <w:rPr>
          <w:color w:val="000000"/>
          <w:sz w:val="22"/>
          <w:szCs w:val="22"/>
          <w:lang w:val="es-ES"/>
        </w:rPr>
        <w:t>of</w:t>
      </w:r>
      <w:proofErr w:type="spellEnd"/>
      <w:r>
        <w:rPr>
          <w:color w:val="000000"/>
          <w:sz w:val="22"/>
          <w:szCs w:val="22"/>
          <w:lang w:val="es-ES"/>
        </w:rPr>
        <w:t xml:space="preserve"> </w:t>
      </w:r>
      <w:proofErr w:type="spellStart"/>
      <w:r>
        <w:rPr>
          <w:color w:val="000000"/>
          <w:sz w:val="22"/>
          <w:szCs w:val="22"/>
          <w:lang w:val="es-ES"/>
        </w:rPr>
        <w:t>the</w:t>
      </w:r>
      <w:proofErr w:type="spellEnd"/>
      <w:r>
        <w:rPr>
          <w:color w:val="000000"/>
          <w:sz w:val="22"/>
          <w:szCs w:val="22"/>
          <w:lang w:val="es-ES"/>
        </w:rPr>
        <w:t xml:space="preserve"> </w:t>
      </w:r>
      <w:proofErr w:type="spellStart"/>
      <w:r>
        <w:rPr>
          <w:color w:val="000000"/>
          <w:sz w:val="22"/>
          <w:szCs w:val="22"/>
          <w:lang w:val="es-ES"/>
        </w:rPr>
        <w:t>batch</w:t>
      </w:r>
      <w:proofErr w:type="spellEnd"/>
      <w:r>
        <w:rPr>
          <w:color w:val="000000"/>
          <w:sz w:val="22"/>
          <w:szCs w:val="22"/>
          <w:lang w:val="es-ES"/>
        </w:rPr>
        <w:t xml:space="preserve"> </w:t>
      </w:r>
      <w:proofErr w:type="spellStart"/>
      <w:r>
        <w:rPr>
          <w:color w:val="000000"/>
          <w:sz w:val="22"/>
          <w:szCs w:val="22"/>
          <w:lang w:val="es-ES"/>
        </w:rPr>
        <w:t>of</w:t>
      </w:r>
      <w:proofErr w:type="spellEnd"/>
      <w:r>
        <w:rPr>
          <w:color w:val="000000"/>
          <w:sz w:val="22"/>
          <w:szCs w:val="22"/>
          <w:lang w:val="es-ES"/>
        </w:rPr>
        <w:t xml:space="preserve"> </w:t>
      </w:r>
      <w:proofErr w:type="spellStart"/>
      <w:r>
        <w:rPr>
          <w:color w:val="000000"/>
          <w:sz w:val="22"/>
          <w:szCs w:val="22"/>
          <w:lang w:val="es-ES"/>
        </w:rPr>
        <w:t>meters</w:t>
      </w:r>
      <w:proofErr w:type="spellEnd"/>
      <w:r>
        <w:rPr>
          <w:color w:val="000000"/>
          <w:sz w:val="22"/>
          <w:szCs w:val="22"/>
          <w:lang w:val="es-ES"/>
        </w:rPr>
        <w:t xml:space="preserve">. The </w:t>
      </w:r>
      <w:proofErr w:type="spellStart"/>
      <w:r>
        <w:rPr>
          <w:color w:val="000000"/>
          <w:sz w:val="22"/>
          <w:szCs w:val="22"/>
          <w:lang w:val="es-ES"/>
        </w:rPr>
        <w:t>costs</w:t>
      </w:r>
      <w:proofErr w:type="spellEnd"/>
      <w:r>
        <w:rPr>
          <w:color w:val="000000"/>
          <w:sz w:val="22"/>
          <w:szCs w:val="22"/>
          <w:lang w:val="es-ES"/>
        </w:rPr>
        <w:t xml:space="preserve"> </w:t>
      </w:r>
      <w:proofErr w:type="spellStart"/>
      <w:r>
        <w:rPr>
          <w:color w:val="000000"/>
          <w:sz w:val="22"/>
          <w:szCs w:val="22"/>
          <w:lang w:val="es-ES"/>
        </w:rPr>
        <w:t>corresponding</w:t>
      </w:r>
      <w:proofErr w:type="spellEnd"/>
      <w:r>
        <w:rPr>
          <w:color w:val="000000"/>
          <w:sz w:val="22"/>
          <w:szCs w:val="22"/>
          <w:lang w:val="es-ES"/>
        </w:rPr>
        <w:t xml:space="preserve"> </w:t>
      </w:r>
      <w:proofErr w:type="spellStart"/>
      <w:r>
        <w:rPr>
          <w:color w:val="000000"/>
          <w:sz w:val="22"/>
          <w:szCs w:val="22"/>
          <w:lang w:val="es-ES"/>
        </w:rPr>
        <w:t>to</w:t>
      </w:r>
      <w:proofErr w:type="spellEnd"/>
      <w:r>
        <w:rPr>
          <w:color w:val="000000"/>
          <w:sz w:val="22"/>
          <w:szCs w:val="22"/>
          <w:lang w:val="es-ES"/>
        </w:rPr>
        <w:t xml:space="preserve"> </w:t>
      </w:r>
      <w:proofErr w:type="spellStart"/>
      <w:r>
        <w:rPr>
          <w:color w:val="000000"/>
          <w:sz w:val="22"/>
          <w:szCs w:val="22"/>
          <w:lang w:val="es-ES"/>
        </w:rPr>
        <w:t>the</w:t>
      </w:r>
      <w:proofErr w:type="spellEnd"/>
      <w:r>
        <w:rPr>
          <w:color w:val="000000"/>
          <w:sz w:val="22"/>
          <w:szCs w:val="22"/>
          <w:lang w:val="es-ES"/>
        </w:rPr>
        <w:t xml:space="preserve"> </w:t>
      </w:r>
      <w:proofErr w:type="spellStart"/>
      <w:r>
        <w:rPr>
          <w:color w:val="000000"/>
          <w:sz w:val="22"/>
          <w:szCs w:val="22"/>
          <w:lang w:val="es-ES"/>
        </w:rPr>
        <w:t>factory</w:t>
      </w:r>
      <w:proofErr w:type="spellEnd"/>
      <w:r>
        <w:rPr>
          <w:color w:val="000000"/>
          <w:sz w:val="22"/>
          <w:szCs w:val="22"/>
          <w:lang w:val="es-ES"/>
        </w:rPr>
        <w:t xml:space="preserve"> </w:t>
      </w:r>
      <w:proofErr w:type="spellStart"/>
      <w:r>
        <w:rPr>
          <w:color w:val="000000"/>
          <w:sz w:val="22"/>
          <w:szCs w:val="22"/>
          <w:lang w:val="es-ES"/>
        </w:rPr>
        <w:t>receipt</w:t>
      </w:r>
      <w:proofErr w:type="spellEnd"/>
      <w:r>
        <w:rPr>
          <w:color w:val="000000"/>
          <w:sz w:val="22"/>
          <w:szCs w:val="22"/>
          <w:lang w:val="es-ES"/>
        </w:rPr>
        <w:t xml:space="preserve"> </w:t>
      </w:r>
      <w:proofErr w:type="spellStart"/>
      <w:r>
        <w:rPr>
          <w:color w:val="000000"/>
          <w:sz w:val="22"/>
          <w:szCs w:val="22"/>
          <w:lang w:val="es-ES"/>
        </w:rPr>
        <w:t>will</w:t>
      </w:r>
      <w:proofErr w:type="spellEnd"/>
      <w:r>
        <w:rPr>
          <w:color w:val="000000"/>
          <w:sz w:val="22"/>
          <w:szCs w:val="22"/>
          <w:lang w:val="es-ES"/>
        </w:rPr>
        <w:t xml:space="preserve"> be borne </w:t>
      </w:r>
      <w:proofErr w:type="spellStart"/>
      <w:r>
        <w:rPr>
          <w:color w:val="000000"/>
          <w:sz w:val="22"/>
          <w:szCs w:val="22"/>
          <w:lang w:val="es-ES"/>
        </w:rPr>
        <w:t>by</w:t>
      </w:r>
      <w:proofErr w:type="spellEnd"/>
      <w:r>
        <w:rPr>
          <w:color w:val="000000"/>
          <w:sz w:val="22"/>
          <w:szCs w:val="22"/>
          <w:lang w:val="es-ES"/>
        </w:rPr>
        <w:t xml:space="preserve"> </w:t>
      </w:r>
      <w:proofErr w:type="spellStart"/>
      <w:r>
        <w:rPr>
          <w:color w:val="000000"/>
          <w:sz w:val="22"/>
          <w:szCs w:val="22"/>
          <w:lang w:val="es-ES"/>
        </w:rPr>
        <w:t>the</w:t>
      </w:r>
      <w:proofErr w:type="spellEnd"/>
      <w:r>
        <w:rPr>
          <w:color w:val="000000"/>
          <w:sz w:val="22"/>
          <w:szCs w:val="22"/>
          <w:lang w:val="es-ES"/>
        </w:rPr>
        <w:t xml:space="preserve"> </w:t>
      </w:r>
      <w:proofErr w:type="spellStart"/>
      <w:r>
        <w:rPr>
          <w:color w:val="000000"/>
          <w:sz w:val="22"/>
          <w:szCs w:val="22"/>
          <w:lang w:val="es-ES"/>
        </w:rPr>
        <w:t>verification</w:t>
      </w:r>
      <w:proofErr w:type="spellEnd"/>
      <w:r>
        <w:rPr>
          <w:color w:val="000000"/>
          <w:sz w:val="22"/>
          <w:szCs w:val="22"/>
          <w:lang w:val="es-ES"/>
        </w:rPr>
        <w:t xml:space="preserve"> </w:t>
      </w:r>
      <w:proofErr w:type="spellStart"/>
      <w:r>
        <w:rPr>
          <w:color w:val="000000"/>
          <w:sz w:val="22"/>
          <w:szCs w:val="22"/>
          <w:lang w:val="es-ES"/>
        </w:rPr>
        <w:t>agent</w:t>
      </w:r>
      <w:proofErr w:type="spellEnd"/>
      <w:r>
        <w:rPr>
          <w:color w:val="000000"/>
          <w:sz w:val="22"/>
          <w:szCs w:val="22"/>
          <w:lang w:val="es-ES"/>
        </w:rPr>
        <w:t>.</w:t>
      </w:r>
      <w:r>
        <w:rPr>
          <w:color w:val="000000"/>
          <w:sz w:val="22"/>
          <w:szCs w:val="22"/>
          <w:lang w:val="es-ES"/>
        </w:rPr>
        <w:tab/>
      </w:r>
      <w:r>
        <w:rPr>
          <w:sz w:val="22"/>
          <w:szCs w:val="22"/>
          <w:lang w:val="es-MX"/>
        </w:rPr>
        <w:t xml:space="preserve">They </w:t>
      </w:r>
      <w:proofErr w:type="spellStart"/>
      <w:r>
        <w:rPr>
          <w:sz w:val="22"/>
          <w:szCs w:val="22"/>
          <w:lang w:val="es-MX"/>
        </w:rPr>
        <w:t>will</w:t>
      </w:r>
      <w:proofErr w:type="spellEnd"/>
      <w:r>
        <w:rPr>
          <w:sz w:val="22"/>
          <w:szCs w:val="22"/>
          <w:lang w:val="es-MX"/>
        </w:rPr>
        <w:t xml:space="preserve"> be </w:t>
      </w:r>
      <w:proofErr w:type="spellStart"/>
      <w:r>
        <w:rPr>
          <w:sz w:val="22"/>
          <w:szCs w:val="22"/>
          <w:lang w:val="es-MX"/>
        </w:rPr>
        <w:t>quoted</w:t>
      </w:r>
      <w:proofErr w:type="spellEnd"/>
      <w:r>
        <w:rPr>
          <w:sz w:val="22"/>
          <w:szCs w:val="22"/>
          <w:lang w:val="es-MX"/>
        </w:rPr>
        <w:t xml:space="preserve"> in </w:t>
      </w:r>
      <w:proofErr w:type="spellStart"/>
      <w:r>
        <w:rPr>
          <w:sz w:val="22"/>
          <w:szCs w:val="22"/>
          <w:lang w:val="es-MX"/>
        </w:rPr>
        <w:t>the</w:t>
      </w:r>
      <w:proofErr w:type="spellEnd"/>
      <w:r>
        <w:rPr>
          <w:sz w:val="22"/>
          <w:szCs w:val="22"/>
          <w:lang w:val="es-MX"/>
        </w:rPr>
        <w:t xml:space="preserve"> </w:t>
      </w:r>
      <w:proofErr w:type="spellStart"/>
      <w:r>
        <w:rPr>
          <w:sz w:val="22"/>
          <w:szCs w:val="22"/>
          <w:lang w:val="es-MX"/>
        </w:rPr>
        <w:t>corresponding</w:t>
      </w:r>
      <w:proofErr w:type="spellEnd"/>
      <w:r>
        <w:rPr>
          <w:sz w:val="22"/>
          <w:szCs w:val="22"/>
          <w:lang w:val="es-MX"/>
        </w:rPr>
        <w:t xml:space="preserve"> </w:t>
      </w:r>
      <w:proofErr w:type="spellStart"/>
      <w:r>
        <w:rPr>
          <w:sz w:val="22"/>
          <w:szCs w:val="22"/>
          <w:lang w:val="es-MX"/>
        </w:rPr>
        <w:t>sub-item</w:t>
      </w:r>
      <w:proofErr w:type="spellEnd"/>
      <w:r>
        <w:rPr>
          <w:sz w:val="22"/>
          <w:szCs w:val="22"/>
          <w:lang w:val="es-MX"/>
        </w:rPr>
        <w:t xml:space="preserve"> in </w:t>
      </w:r>
      <w:proofErr w:type="spellStart"/>
      <w:r>
        <w:rPr>
          <w:sz w:val="22"/>
          <w:szCs w:val="22"/>
          <w:lang w:val="es-MX"/>
        </w:rPr>
        <w:t>the</w:t>
      </w:r>
      <w:proofErr w:type="spellEnd"/>
      <w:r>
        <w:rPr>
          <w:sz w:val="22"/>
          <w:szCs w:val="22"/>
          <w:lang w:val="es-MX"/>
        </w:rPr>
        <w:t xml:space="preserve"> "</w:t>
      </w:r>
      <w:proofErr w:type="spellStart"/>
      <w:r>
        <w:rPr>
          <w:sz w:val="22"/>
          <w:szCs w:val="22"/>
          <w:lang w:val="es-MX"/>
        </w:rPr>
        <w:t>Related</w:t>
      </w:r>
      <w:proofErr w:type="spellEnd"/>
      <w:r>
        <w:rPr>
          <w:sz w:val="22"/>
          <w:szCs w:val="22"/>
          <w:lang w:val="es-MX"/>
        </w:rPr>
        <w:t xml:space="preserve"> </w:t>
      </w:r>
      <w:proofErr w:type="spellStart"/>
      <w:r>
        <w:rPr>
          <w:sz w:val="22"/>
          <w:szCs w:val="22"/>
          <w:lang w:val="es-MX"/>
        </w:rPr>
        <w:t>Services</w:t>
      </w:r>
      <w:proofErr w:type="spellEnd"/>
      <w:r>
        <w:rPr>
          <w:sz w:val="22"/>
          <w:szCs w:val="22"/>
          <w:lang w:val="es-MX"/>
        </w:rPr>
        <w:t xml:space="preserve">" </w:t>
      </w:r>
      <w:proofErr w:type="spellStart"/>
      <w:r>
        <w:rPr>
          <w:sz w:val="22"/>
          <w:szCs w:val="22"/>
          <w:lang w:val="es-MX"/>
        </w:rPr>
        <w:t>form</w:t>
      </w:r>
      <w:proofErr w:type="spellEnd"/>
      <w:r>
        <w:rPr>
          <w:sz w:val="22"/>
          <w:szCs w:val="22"/>
          <w:lang w:val="es-MX"/>
        </w:rPr>
        <w:t xml:space="preserve"> </w:t>
      </w:r>
      <w:proofErr w:type="spellStart"/>
      <w:r>
        <w:rPr>
          <w:sz w:val="22"/>
          <w:szCs w:val="22"/>
          <w:lang w:val="es-MX"/>
        </w:rPr>
        <w:t>of</w:t>
      </w:r>
      <w:proofErr w:type="spellEnd"/>
      <w:r>
        <w:rPr>
          <w:sz w:val="22"/>
          <w:szCs w:val="22"/>
          <w:lang w:val="es-MX"/>
        </w:rPr>
        <w:t xml:space="preserve"> </w:t>
      </w:r>
      <w:proofErr w:type="spellStart"/>
      <w:r>
        <w:rPr>
          <w:sz w:val="22"/>
          <w:szCs w:val="22"/>
          <w:lang w:val="es-MX"/>
        </w:rPr>
        <w:t>Annex</w:t>
      </w:r>
      <w:proofErr w:type="spellEnd"/>
      <w:r>
        <w:rPr>
          <w:sz w:val="22"/>
          <w:szCs w:val="22"/>
          <w:lang w:val="es-MX"/>
        </w:rPr>
        <w:t xml:space="preserve"> V e).</w:t>
      </w:r>
    </w:p>
    <w:p w14:paraId="28607BCD" w14:textId="77777777" w:rsidR="00E255F4" w:rsidRDefault="00000000">
      <w:pPr>
        <w:tabs>
          <w:tab w:val="left" w:pos="-720"/>
          <w:tab w:val="left" w:pos="0"/>
          <w:tab w:val="left" w:pos="851"/>
          <w:tab w:val="left" w:pos="1276"/>
        </w:tabs>
        <w:spacing w:before="120" w:after="120"/>
        <w:ind w:left="851" w:hanging="851"/>
        <w:jc w:val="both"/>
      </w:pPr>
      <w:r>
        <w:rPr>
          <w:color w:val="000000"/>
          <w:sz w:val="22"/>
          <w:szCs w:val="22"/>
          <w:lang w:val="es-ES"/>
        </w:rPr>
        <w:t xml:space="preserve">9.2.1.2 The </w:t>
      </w:r>
      <w:proofErr w:type="spellStart"/>
      <w:r>
        <w:rPr>
          <w:color w:val="000000"/>
          <w:sz w:val="22"/>
          <w:szCs w:val="22"/>
          <w:lang w:val="es-ES"/>
        </w:rPr>
        <w:t>bidder</w:t>
      </w:r>
      <w:proofErr w:type="spellEnd"/>
      <w:r>
        <w:rPr>
          <w:color w:val="000000"/>
          <w:sz w:val="22"/>
          <w:szCs w:val="22"/>
          <w:lang w:val="es-ES"/>
        </w:rPr>
        <w:t xml:space="preserve"> </w:t>
      </w:r>
      <w:proofErr w:type="spellStart"/>
      <w:r>
        <w:rPr>
          <w:color w:val="000000"/>
          <w:sz w:val="22"/>
          <w:szCs w:val="22"/>
          <w:lang w:val="es-ES"/>
        </w:rPr>
        <w:t>must</w:t>
      </w:r>
      <w:proofErr w:type="spellEnd"/>
      <w:r>
        <w:rPr>
          <w:color w:val="000000"/>
          <w:sz w:val="22"/>
          <w:szCs w:val="22"/>
          <w:lang w:val="es-ES"/>
        </w:rPr>
        <w:t xml:space="preserve"> </w:t>
      </w:r>
      <w:proofErr w:type="spellStart"/>
      <w:r>
        <w:rPr>
          <w:color w:val="000000"/>
          <w:sz w:val="22"/>
          <w:szCs w:val="22"/>
          <w:lang w:val="es-ES"/>
        </w:rPr>
        <w:t>submit</w:t>
      </w:r>
      <w:proofErr w:type="spellEnd"/>
      <w:r>
        <w:rPr>
          <w:color w:val="000000"/>
          <w:sz w:val="22"/>
          <w:szCs w:val="22"/>
          <w:lang w:val="es-ES"/>
        </w:rPr>
        <w:t xml:space="preserve"> a </w:t>
      </w:r>
      <w:proofErr w:type="spellStart"/>
      <w:r>
        <w:rPr>
          <w:color w:val="000000"/>
          <w:sz w:val="22"/>
          <w:szCs w:val="22"/>
          <w:lang w:val="es-ES"/>
        </w:rPr>
        <w:t>list</w:t>
      </w:r>
      <w:proofErr w:type="spellEnd"/>
      <w:r>
        <w:rPr>
          <w:color w:val="000000"/>
          <w:sz w:val="22"/>
          <w:szCs w:val="22"/>
          <w:lang w:val="es-ES"/>
        </w:rPr>
        <w:t xml:space="preserve"> </w:t>
      </w:r>
      <w:proofErr w:type="spellStart"/>
      <w:r>
        <w:rPr>
          <w:color w:val="000000"/>
          <w:sz w:val="22"/>
          <w:szCs w:val="22"/>
          <w:lang w:val="es-ES"/>
        </w:rPr>
        <w:t>of</w:t>
      </w:r>
      <w:proofErr w:type="spellEnd"/>
      <w:r>
        <w:rPr>
          <w:color w:val="000000"/>
          <w:sz w:val="22"/>
          <w:szCs w:val="22"/>
          <w:lang w:val="es-ES"/>
        </w:rPr>
        <w:t xml:space="preserve"> at </w:t>
      </w:r>
      <w:proofErr w:type="spellStart"/>
      <w:r>
        <w:rPr>
          <w:color w:val="000000"/>
          <w:sz w:val="22"/>
          <w:szCs w:val="22"/>
          <w:lang w:val="es-ES"/>
        </w:rPr>
        <w:t>least</w:t>
      </w:r>
      <w:proofErr w:type="spellEnd"/>
      <w:r>
        <w:rPr>
          <w:color w:val="000000"/>
          <w:sz w:val="22"/>
          <w:szCs w:val="22"/>
          <w:lang w:val="es-ES"/>
        </w:rPr>
        <w:t xml:space="preserve"> </w:t>
      </w:r>
      <w:proofErr w:type="spellStart"/>
      <w:r>
        <w:rPr>
          <w:color w:val="000000"/>
          <w:sz w:val="22"/>
          <w:szCs w:val="22"/>
          <w:lang w:val="es-ES"/>
        </w:rPr>
        <w:t>three</w:t>
      </w:r>
      <w:proofErr w:type="spellEnd"/>
      <w:r>
        <w:rPr>
          <w:color w:val="000000"/>
          <w:sz w:val="22"/>
          <w:szCs w:val="22"/>
          <w:lang w:val="es-ES"/>
        </w:rPr>
        <w:t xml:space="preserve"> (3) </w:t>
      </w:r>
      <w:proofErr w:type="spellStart"/>
      <w:r>
        <w:rPr>
          <w:color w:val="000000"/>
          <w:sz w:val="22"/>
          <w:szCs w:val="22"/>
          <w:lang w:val="es-ES"/>
        </w:rPr>
        <w:t>quality</w:t>
      </w:r>
      <w:proofErr w:type="spellEnd"/>
      <w:r>
        <w:rPr>
          <w:color w:val="000000"/>
          <w:sz w:val="22"/>
          <w:szCs w:val="22"/>
          <w:lang w:val="es-ES"/>
        </w:rPr>
        <w:t xml:space="preserve"> </w:t>
      </w:r>
      <w:proofErr w:type="spellStart"/>
      <w:r>
        <w:rPr>
          <w:color w:val="000000"/>
          <w:sz w:val="22"/>
          <w:szCs w:val="22"/>
          <w:lang w:val="es-ES"/>
        </w:rPr>
        <w:t>certification</w:t>
      </w:r>
      <w:proofErr w:type="spellEnd"/>
      <w:r>
        <w:rPr>
          <w:color w:val="000000"/>
          <w:sz w:val="22"/>
          <w:szCs w:val="22"/>
          <w:lang w:val="es-ES"/>
        </w:rPr>
        <w:t xml:space="preserve"> </w:t>
      </w:r>
      <w:proofErr w:type="spellStart"/>
      <w:r>
        <w:rPr>
          <w:color w:val="000000"/>
          <w:sz w:val="22"/>
          <w:szCs w:val="22"/>
          <w:lang w:val="es-ES"/>
        </w:rPr>
        <w:t>companies</w:t>
      </w:r>
      <w:proofErr w:type="spellEnd"/>
      <w:r>
        <w:rPr>
          <w:color w:val="000000"/>
          <w:sz w:val="22"/>
          <w:szCs w:val="22"/>
          <w:lang w:val="es-ES"/>
        </w:rPr>
        <w:t xml:space="preserve"> </w:t>
      </w:r>
      <w:proofErr w:type="spellStart"/>
      <w:r>
        <w:rPr>
          <w:color w:val="000000"/>
          <w:sz w:val="22"/>
          <w:szCs w:val="22"/>
          <w:lang w:val="es-ES"/>
        </w:rPr>
        <w:t>that</w:t>
      </w:r>
      <w:proofErr w:type="spellEnd"/>
      <w:r>
        <w:rPr>
          <w:color w:val="000000"/>
          <w:sz w:val="22"/>
          <w:szCs w:val="22"/>
          <w:lang w:val="es-ES"/>
        </w:rPr>
        <w:t xml:space="preserve"> can </w:t>
      </w:r>
      <w:proofErr w:type="spellStart"/>
      <w:r>
        <w:rPr>
          <w:color w:val="000000"/>
          <w:sz w:val="22"/>
          <w:szCs w:val="22"/>
          <w:lang w:val="es-ES"/>
        </w:rPr>
        <w:t>carry</w:t>
      </w:r>
      <w:proofErr w:type="spellEnd"/>
      <w:r>
        <w:rPr>
          <w:color w:val="000000"/>
          <w:sz w:val="22"/>
          <w:szCs w:val="22"/>
          <w:lang w:val="es-ES"/>
        </w:rPr>
        <w:t xml:space="preserve"> </w:t>
      </w:r>
      <w:proofErr w:type="spellStart"/>
      <w:r>
        <w:rPr>
          <w:color w:val="000000"/>
          <w:sz w:val="22"/>
          <w:szCs w:val="22"/>
          <w:lang w:val="es-ES"/>
        </w:rPr>
        <w:t>out</w:t>
      </w:r>
      <w:proofErr w:type="spellEnd"/>
      <w:r>
        <w:rPr>
          <w:color w:val="000000"/>
          <w:sz w:val="22"/>
          <w:szCs w:val="22"/>
          <w:lang w:val="es-ES"/>
        </w:rPr>
        <w:t xml:space="preserve"> </w:t>
      </w:r>
      <w:proofErr w:type="spellStart"/>
      <w:r>
        <w:rPr>
          <w:color w:val="000000"/>
          <w:sz w:val="22"/>
          <w:szCs w:val="22"/>
          <w:lang w:val="es-ES"/>
        </w:rPr>
        <w:t>the</w:t>
      </w:r>
      <w:proofErr w:type="spellEnd"/>
      <w:r>
        <w:rPr>
          <w:color w:val="000000"/>
          <w:sz w:val="22"/>
          <w:szCs w:val="22"/>
          <w:lang w:val="es-ES"/>
        </w:rPr>
        <w:t xml:space="preserve"> </w:t>
      </w:r>
      <w:proofErr w:type="spellStart"/>
      <w:r>
        <w:rPr>
          <w:color w:val="000000"/>
          <w:sz w:val="22"/>
          <w:szCs w:val="22"/>
          <w:lang w:val="es-ES"/>
        </w:rPr>
        <w:t>factory</w:t>
      </w:r>
      <w:proofErr w:type="spellEnd"/>
      <w:r>
        <w:rPr>
          <w:color w:val="000000"/>
          <w:sz w:val="22"/>
          <w:szCs w:val="22"/>
          <w:lang w:val="es-ES"/>
        </w:rPr>
        <w:t xml:space="preserve"> </w:t>
      </w:r>
      <w:proofErr w:type="spellStart"/>
      <w:r>
        <w:rPr>
          <w:color w:val="000000"/>
          <w:sz w:val="22"/>
          <w:szCs w:val="22"/>
          <w:lang w:val="es-ES"/>
        </w:rPr>
        <w:t>acceptance</w:t>
      </w:r>
      <w:proofErr w:type="spellEnd"/>
      <w:r>
        <w:rPr>
          <w:color w:val="000000"/>
          <w:sz w:val="22"/>
          <w:szCs w:val="22"/>
          <w:lang w:val="es-ES"/>
        </w:rPr>
        <w:t xml:space="preserve"> </w:t>
      </w:r>
      <w:proofErr w:type="spellStart"/>
      <w:r>
        <w:rPr>
          <w:color w:val="000000"/>
          <w:sz w:val="22"/>
          <w:szCs w:val="22"/>
          <w:lang w:val="es-ES"/>
        </w:rPr>
        <w:t>of</w:t>
      </w:r>
      <w:proofErr w:type="spellEnd"/>
      <w:r>
        <w:rPr>
          <w:color w:val="000000"/>
          <w:sz w:val="22"/>
          <w:szCs w:val="22"/>
          <w:lang w:val="es-ES"/>
        </w:rPr>
        <w:t xml:space="preserve"> </w:t>
      </w:r>
      <w:proofErr w:type="spellStart"/>
      <w:r>
        <w:rPr>
          <w:color w:val="000000"/>
          <w:sz w:val="22"/>
          <w:szCs w:val="22"/>
          <w:lang w:val="es-ES"/>
        </w:rPr>
        <w:t>the</w:t>
      </w:r>
      <w:proofErr w:type="spellEnd"/>
      <w:r>
        <w:rPr>
          <w:color w:val="000000"/>
          <w:sz w:val="22"/>
          <w:szCs w:val="22"/>
          <w:lang w:val="es-ES"/>
        </w:rPr>
        <w:t xml:space="preserve"> </w:t>
      </w:r>
      <w:proofErr w:type="spellStart"/>
      <w:r>
        <w:rPr>
          <w:color w:val="000000"/>
          <w:sz w:val="22"/>
          <w:szCs w:val="22"/>
          <w:lang w:val="es-ES"/>
        </w:rPr>
        <w:t>offered</w:t>
      </w:r>
      <w:proofErr w:type="spellEnd"/>
      <w:r>
        <w:rPr>
          <w:color w:val="000000"/>
          <w:sz w:val="22"/>
          <w:szCs w:val="22"/>
          <w:lang w:val="es-ES"/>
        </w:rPr>
        <w:t xml:space="preserve"> </w:t>
      </w:r>
      <w:proofErr w:type="spellStart"/>
      <w:r>
        <w:rPr>
          <w:color w:val="000000"/>
          <w:sz w:val="22"/>
          <w:szCs w:val="22"/>
          <w:lang w:val="es-ES"/>
        </w:rPr>
        <w:t>batch</w:t>
      </w:r>
      <w:proofErr w:type="spellEnd"/>
      <w:r>
        <w:rPr>
          <w:color w:val="000000"/>
          <w:sz w:val="22"/>
          <w:szCs w:val="22"/>
          <w:lang w:val="es-ES"/>
        </w:rPr>
        <w:t xml:space="preserve"> </w:t>
      </w:r>
      <w:proofErr w:type="spellStart"/>
      <w:r>
        <w:rPr>
          <w:color w:val="000000"/>
          <w:sz w:val="22"/>
          <w:szCs w:val="22"/>
          <w:lang w:val="es-ES"/>
        </w:rPr>
        <w:t>of</w:t>
      </w:r>
      <w:proofErr w:type="spellEnd"/>
      <w:r>
        <w:rPr>
          <w:color w:val="000000"/>
          <w:sz w:val="22"/>
          <w:szCs w:val="22"/>
          <w:lang w:val="es-ES"/>
        </w:rPr>
        <w:t xml:space="preserve"> 13mm </w:t>
      </w:r>
      <w:proofErr w:type="spellStart"/>
      <w:r>
        <w:rPr>
          <w:color w:val="000000"/>
          <w:sz w:val="22"/>
          <w:szCs w:val="22"/>
          <w:lang w:val="es-ES"/>
        </w:rPr>
        <w:t>meters</w:t>
      </w:r>
      <w:proofErr w:type="spellEnd"/>
      <w:r>
        <w:rPr>
          <w:color w:val="000000"/>
          <w:sz w:val="22"/>
          <w:szCs w:val="22"/>
          <w:lang w:val="es-ES"/>
        </w:rPr>
        <w:t xml:space="preserve">. A </w:t>
      </w:r>
      <w:proofErr w:type="spellStart"/>
      <w:r>
        <w:rPr>
          <w:color w:val="000000"/>
          <w:sz w:val="22"/>
          <w:szCs w:val="22"/>
          <w:lang w:val="es-ES"/>
        </w:rPr>
        <w:t>brief</w:t>
      </w:r>
      <w:proofErr w:type="spellEnd"/>
      <w:r>
        <w:rPr>
          <w:color w:val="000000"/>
          <w:sz w:val="22"/>
          <w:szCs w:val="22"/>
          <w:lang w:val="es-ES"/>
        </w:rPr>
        <w:t xml:space="preserve"> resume </w:t>
      </w:r>
      <w:proofErr w:type="spellStart"/>
      <w:r>
        <w:rPr>
          <w:color w:val="000000"/>
          <w:sz w:val="22"/>
          <w:szCs w:val="22"/>
          <w:lang w:val="es-ES"/>
        </w:rPr>
        <w:t>of</w:t>
      </w:r>
      <w:proofErr w:type="spellEnd"/>
      <w:r>
        <w:rPr>
          <w:color w:val="000000"/>
          <w:sz w:val="22"/>
          <w:szCs w:val="22"/>
          <w:lang w:val="es-ES"/>
        </w:rPr>
        <w:t xml:space="preserve"> </w:t>
      </w:r>
      <w:proofErr w:type="spellStart"/>
      <w:r>
        <w:rPr>
          <w:color w:val="000000"/>
          <w:sz w:val="22"/>
          <w:szCs w:val="22"/>
          <w:lang w:val="es-ES"/>
        </w:rPr>
        <w:t>these</w:t>
      </w:r>
      <w:proofErr w:type="spellEnd"/>
      <w:r>
        <w:rPr>
          <w:color w:val="000000"/>
          <w:sz w:val="22"/>
          <w:szCs w:val="22"/>
          <w:lang w:val="es-ES"/>
        </w:rPr>
        <w:t xml:space="preserve"> </w:t>
      </w:r>
      <w:proofErr w:type="spellStart"/>
      <w:r>
        <w:rPr>
          <w:color w:val="000000"/>
          <w:sz w:val="22"/>
          <w:szCs w:val="22"/>
          <w:lang w:val="es-ES"/>
        </w:rPr>
        <w:t>companies</w:t>
      </w:r>
      <w:proofErr w:type="spellEnd"/>
      <w:r>
        <w:rPr>
          <w:color w:val="000000"/>
          <w:sz w:val="22"/>
          <w:szCs w:val="22"/>
          <w:lang w:val="es-ES"/>
        </w:rPr>
        <w:t xml:space="preserve">, </w:t>
      </w:r>
      <w:proofErr w:type="spellStart"/>
      <w:r>
        <w:rPr>
          <w:color w:val="000000"/>
          <w:sz w:val="22"/>
          <w:szCs w:val="22"/>
          <w:lang w:val="es-ES"/>
        </w:rPr>
        <w:t>verifying</w:t>
      </w:r>
      <w:proofErr w:type="spellEnd"/>
      <w:r>
        <w:rPr>
          <w:color w:val="000000"/>
          <w:sz w:val="22"/>
          <w:szCs w:val="22"/>
          <w:lang w:val="es-ES"/>
        </w:rPr>
        <w:t xml:space="preserve"> </w:t>
      </w:r>
      <w:proofErr w:type="spellStart"/>
      <w:r>
        <w:rPr>
          <w:color w:val="000000"/>
          <w:sz w:val="22"/>
          <w:szCs w:val="22"/>
          <w:lang w:val="es-ES"/>
        </w:rPr>
        <w:t>this</w:t>
      </w:r>
      <w:proofErr w:type="spellEnd"/>
      <w:r>
        <w:rPr>
          <w:color w:val="000000"/>
          <w:sz w:val="22"/>
          <w:szCs w:val="22"/>
          <w:lang w:val="es-ES"/>
        </w:rPr>
        <w:t xml:space="preserve">, </w:t>
      </w:r>
      <w:proofErr w:type="spellStart"/>
      <w:r>
        <w:rPr>
          <w:color w:val="000000"/>
          <w:sz w:val="22"/>
          <w:szCs w:val="22"/>
          <w:lang w:val="es-ES"/>
        </w:rPr>
        <w:t>must</w:t>
      </w:r>
      <w:proofErr w:type="spellEnd"/>
      <w:r>
        <w:rPr>
          <w:color w:val="000000"/>
          <w:sz w:val="22"/>
          <w:szCs w:val="22"/>
          <w:lang w:val="es-ES"/>
        </w:rPr>
        <w:t xml:space="preserve"> be </w:t>
      </w:r>
      <w:proofErr w:type="spellStart"/>
      <w:r>
        <w:rPr>
          <w:color w:val="000000"/>
          <w:sz w:val="22"/>
          <w:szCs w:val="22"/>
          <w:lang w:val="es-ES"/>
        </w:rPr>
        <w:t>attached</w:t>
      </w:r>
      <w:proofErr w:type="spellEnd"/>
      <w:r>
        <w:rPr>
          <w:color w:val="000000"/>
          <w:sz w:val="22"/>
          <w:szCs w:val="22"/>
          <w:lang w:val="es-ES"/>
        </w:rPr>
        <w:t>.</w:t>
      </w:r>
      <w:r>
        <w:rPr>
          <w:color w:val="000000"/>
          <w:sz w:val="22"/>
          <w:szCs w:val="22"/>
          <w:lang w:val="es-ES"/>
        </w:rPr>
        <w:tab/>
      </w:r>
    </w:p>
    <w:p w14:paraId="187A1EB3" w14:textId="77777777" w:rsidR="00E255F4" w:rsidRDefault="00000000">
      <w:pPr>
        <w:numPr>
          <w:ilvl w:val="3"/>
          <w:numId w:val="10"/>
        </w:numPr>
        <w:tabs>
          <w:tab w:val="left" w:pos="-720"/>
          <w:tab w:val="left" w:pos="0"/>
          <w:tab w:val="left" w:pos="851"/>
          <w:tab w:val="left" w:pos="1276"/>
        </w:tabs>
        <w:spacing w:before="120" w:after="120"/>
        <w:ind w:left="851" w:hanging="851"/>
        <w:jc w:val="both"/>
      </w:pPr>
      <w:r>
        <w:rPr>
          <w:color w:val="000000"/>
          <w:sz w:val="22"/>
          <w:szCs w:val="22"/>
          <w:lang w:val="es-ES"/>
        </w:rPr>
        <w:t xml:space="preserve">OSE </w:t>
      </w:r>
      <w:proofErr w:type="spellStart"/>
      <w:r>
        <w:rPr>
          <w:color w:val="000000"/>
          <w:sz w:val="22"/>
          <w:szCs w:val="22"/>
          <w:lang w:val="es-ES"/>
        </w:rPr>
        <w:t>will</w:t>
      </w:r>
      <w:proofErr w:type="spellEnd"/>
      <w:r>
        <w:rPr>
          <w:color w:val="000000"/>
          <w:sz w:val="22"/>
          <w:szCs w:val="22"/>
          <w:lang w:val="es-ES"/>
        </w:rPr>
        <w:t xml:space="preserve"> </w:t>
      </w:r>
      <w:proofErr w:type="spellStart"/>
      <w:r>
        <w:rPr>
          <w:color w:val="000000"/>
          <w:sz w:val="22"/>
          <w:szCs w:val="22"/>
          <w:lang w:val="es-ES"/>
        </w:rPr>
        <w:t>have</w:t>
      </w:r>
      <w:proofErr w:type="spellEnd"/>
      <w:r>
        <w:rPr>
          <w:color w:val="000000"/>
          <w:sz w:val="22"/>
          <w:szCs w:val="22"/>
          <w:lang w:val="es-ES"/>
        </w:rPr>
        <w:t xml:space="preserve"> </w:t>
      </w:r>
      <w:proofErr w:type="spellStart"/>
      <w:r>
        <w:rPr>
          <w:color w:val="000000"/>
          <w:sz w:val="22"/>
          <w:szCs w:val="22"/>
          <w:lang w:val="es-ES"/>
        </w:rPr>
        <w:t>the</w:t>
      </w:r>
      <w:proofErr w:type="spellEnd"/>
      <w:r>
        <w:rPr>
          <w:color w:val="000000"/>
          <w:sz w:val="22"/>
          <w:szCs w:val="22"/>
          <w:lang w:val="es-ES"/>
        </w:rPr>
        <w:t xml:space="preserve"> </w:t>
      </w:r>
      <w:proofErr w:type="spellStart"/>
      <w:r>
        <w:rPr>
          <w:color w:val="000000"/>
          <w:sz w:val="22"/>
          <w:szCs w:val="22"/>
          <w:lang w:val="es-ES"/>
        </w:rPr>
        <w:t>power</w:t>
      </w:r>
      <w:proofErr w:type="spellEnd"/>
      <w:r>
        <w:rPr>
          <w:color w:val="000000"/>
          <w:sz w:val="22"/>
          <w:szCs w:val="22"/>
          <w:lang w:val="es-ES"/>
        </w:rPr>
        <w:t xml:space="preserve">, at </w:t>
      </w:r>
      <w:proofErr w:type="spellStart"/>
      <w:r>
        <w:rPr>
          <w:color w:val="000000"/>
          <w:sz w:val="22"/>
          <w:szCs w:val="22"/>
          <w:lang w:val="es-ES"/>
        </w:rPr>
        <w:t>its</w:t>
      </w:r>
      <w:proofErr w:type="spellEnd"/>
      <w:r>
        <w:rPr>
          <w:color w:val="000000"/>
          <w:sz w:val="22"/>
          <w:szCs w:val="22"/>
          <w:lang w:val="es-ES"/>
        </w:rPr>
        <w:t xml:space="preserve"> sole </w:t>
      </w:r>
      <w:proofErr w:type="spellStart"/>
      <w:r>
        <w:rPr>
          <w:color w:val="000000"/>
          <w:sz w:val="22"/>
          <w:szCs w:val="22"/>
          <w:lang w:val="es-ES"/>
        </w:rPr>
        <w:t>discretion</w:t>
      </w:r>
      <w:proofErr w:type="spellEnd"/>
      <w:r>
        <w:rPr>
          <w:color w:val="000000"/>
          <w:sz w:val="22"/>
          <w:szCs w:val="22"/>
          <w:lang w:val="es-ES"/>
        </w:rPr>
        <w:t xml:space="preserve">, </w:t>
      </w:r>
      <w:proofErr w:type="spellStart"/>
      <w:r>
        <w:rPr>
          <w:color w:val="000000"/>
          <w:sz w:val="22"/>
          <w:szCs w:val="22"/>
          <w:lang w:val="es-ES"/>
        </w:rPr>
        <w:t>to</w:t>
      </w:r>
      <w:proofErr w:type="spellEnd"/>
      <w:r>
        <w:rPr>
          <w:color w:val="000000"/>
          <w:sz w:val="22"/>
          <w:szCs w:val="22"/>
          <w:lang w:val="es-ES"/>
        </w:rPr>
        <w:t xml:space="preserve"> </w:t>
      </w:r>
      <w:proofErr w:type="spellStart"/>
      <w:r>
        <w:rPr>
          <w:color w:val="000000"/>
          <w:sz w:val="22"/>
          <w:szCs w:val="22"/>
          <w:lang w:val="es-ES"/>
        </w:rPr>
        <w:t>choose</w:t>
      </w:r>
      <w:proofErr w:type="spellEnd"/>
      <w:r>
        <w:rPr>
          <w:color w:val="000000"/>
          <w:sz w:val="22"/>
          <w:szCs w:val="22"/>
          <w:lang w:val="es-ES"/>
        </w:rPr>
        <w:t xml:space="preserve"> </w:t>
      </w:r>
      <w:proofErr w:type="spellStart"/>
      <w:r>
        <w:rPr>
          <w:color w:val="000000"/>
          <w:sz w:val="22"/>
          <w:szCs w:val="22"/>
          <w:lang w:val="es-ES"/>
        </w:rPr>
        <w:t>the</w:t>
      </w:r>
      <w:proofErr w:type="spellEnd"/>
      <w:r>
        <w:rPr>
          <w:color w:val="000000"/>
          <w:sz w:val="22"/>
          <w:szCs w:val="22"/>
          <w:lang w:val="es-ES"/>
        </w:rPr>
        <w:t xml:space="preserve"> </w:t>
      </w:r>
      <w:proofErr w:type="spellStart"/>
      <w:r>
        <w:rPr>
          <w:color w:val="000000"/>
          <w:sz w:val="22"/>
          <w:szCs w:val="22"/>
          <w:lang w:val="es-ES"/>
        </w:rPr>
        <w:t>company</w:t>
      </w:r>
      <w:proofErr w:type="spellEnd"/>
      <w:r>
        <w:rPr>
          <w:color w:val="000000"/>
          <w:sz w:val="22"/>
          <w:szCs w:val="22"/>
          <w:lang w:val="es-ES"/>
        </w:rPr>
        <w:t xml:space="preserve"> </w:t>
      </w:r>
      <w:proofErr w:type="spellStart"/>
      <w:r>
        <w:rPr>
          <w:color w:val="000000"/>
          <w:sz w:val="22"/>
          <w:szCs w:val="22"/>
          <w:lang w:val="es-ES"/>
        </w:rPr>
        <w:t>that</w:t>
      </w:r>
      <w:proofErr w:type="spellEnd"/>
      <w:r>
        <w:rPr>
          <w:color w:val="000000"/>
          <w:sz w:val="22"/>
          <w:szCs w:val="22"/>
          <w:lang w:val="es-ES"/>
        </w:rPr>
        <w:t xml:space="preserve"> </w:t>
      </w:r>
      <w:proofErr w:type="spellStart"/>
      <w:r>
        <w:rPr>
          <w:color w:val="000000"/>
          <w:sz w:val="22"/>
          <w:szCs w:val="22"/>
          <w:lang w:val="es-ES"/>
        </w:rPr>
        <w:t>will</w:t>
      </w:r>
      <w:proofErr w:type="spellEnd"/>
      <w:r>
        <w:rPr>
          <w:color w:val="000000"/>
          <w:sz w:val="22"/>
          <w:szCs w:val="22"/>
          <w:lang w:val="es-ES"/>
        </w:rPr>
        <w:t xml:space="preserve"> </w:t>
      </w:r>
      <w:proofErr w:type="spellStart"/>
      <w:r>
        <w:rPr>
          <w:color w:val="000000"/>
          <w:sz w:val="22"/>
          <w:szCs w:val="22"/>
          <w:lang w:val="es-ES"/>
        </w:rPr>
        <w:t>carry</w:t>
      </w:r>
      <w:proofErr w:type="spellEnd"/>
      <w:r>
        <w:rPr>
          <w:color w:val="000000"/>
          <w:sz w:val="22"/>
          <w:szCs w:val="22"/>
          <w:lang w:val="es-ES"/>
        </w:rPr>
        <w:t xml:space="preserve"> </w:t>
      </w:r>
      <w:proofErr w:type="spellStart"/>
      <w:r>
        <w:rPr>
          <w:color w:val="000000"/>
          <w:sz w:val="22"/>
          <w:szCs w:val="22"/>
          <w:lang w:val="es-ES"/>
        </w:rPr>
        <w:t>out</w:t>
      </w:r>
      <w:proofErr w:type="spellEnd"/>
      <w:r>
        <w:rPr>
          <w:color w:val="000000"/>
          <w:sz w:val="22"/>
          <w:szCs w:val="22"/>
          <w:lang w:val="es-ES"/>
        </w:rPr>
        <w:t xml:space="preserve"> </w:t>
      </w:r>
      <w:proofErr w:type="spellStart"/>
      <w:r>
        <w:rPr>
          <w:color w:val="000000"/>
          <w:sz w:val="22"/>
          <w:szCs w:val="22"/>
          <w:lang w:val="es-ES"/>
        </w:rPr>
        <w:t>said</w:t>
      </w:r>
      <w:proofErr w:type="spellEnd"/>
      <w:r>
        <w:rPr>
          <w:color w:val="000000"/>
          <w:sz w:val="22"/>
          <w:szCs w:val="22"/>
          <w:lang w:val="es-ES"/>
        </w:rPr>
        <w:t xml:space="preserve"> </w:t>
      </w:r>
      <w:proofErr w:type="spellStart"/>
      <w:r>
        <w:rPr>
          <w:color w:val="000000"/>
          <w:sz w:val="22"/>
          <w:szCs w:val="22"/>
          <w:lang w:val="es-ES"/>
        </w:rPr>
        <w:t>work</w:t>
      </w:r>
      <w:proofErr w:type="spellEnd"/>
      <w:r>
        <w:rPr>
          <w:color w:val="000000"/>
          <w:sz w:val="22"/>
          <w:szCs w:val="22"/>
          <w:lang w:val="es-ES"/>
        </w:rPr>
        <w:t xml:space="preserve"> and </w:t>
      </w:r>
      <w:proofErr w:type="spellStart"/>
      <w:r>
        <w:rPr>
          <w:color w:val="000000"/>
          <w:sz w:val="22"/>
          <w:szCs w:val="22"/>
          <w:lang w:val="es-ES"/>
        </w:rPr>
        <w:t>will</w:t>
      </w:r>
      <w:proofErr w:type="spellEnd"/>
      <w:r>
        <w:rPr>
          <w:color w:val="000000"/>
          <w:sz w:val="22"/>
          <w:szCs w:val="22"/>
          <w:lang w:val="es-ES"/>
        </w:rPr>
        <w:t xml:space="preserve"> </w:t>
      </w:r>
      <w:proofErr w:type="spellStart"/>
      <w:r>
        <w:rPr>
          <w:color w:val="000000"/>
          <w:sz w:val="22"/>
          <w:szCs w:val="22"/>
          <w:lang w:val="es-ES"/>
        </w:rPr>
        <w:t>notify</w:t>
      </w:r>
      <w:proofErr w:type="spellEnd"/>
      <w:r>
        <w:rPr>
          <w:color w:val="000000"/>
          <w:sz w:val="22"/>
          <w:szCs w:val="22"/>
          <w:lang w:val="es-ES"/>
        </w:rPr>
        <w:t xml:space="preserve"> </w:t>
      </w:r>
      <w:proofErr w:type="spellStart"/>
      <w:r>
        <w:rPr>
          <w:color w:val="000000"/>
          <w:sz w:val="22"/>
          <w:szCs w:val="22"/>
          <w:lang w:val="es-ES"/>
        </w:rPr>
        <w:t>the</w:t>
      </w:r>
      <w:proofErr w:type="spellEnd"/>
      <w:r>
        <w:rPr>
          <w:color w:val="000000"/>
          <w:sz w:val="22"/>
          <w:szCs w:val="22"/>
          <w:lang w:val="es-ES"/>
        </w:rPr>
        <w:t xml:space="preserve"> </w:t>
      </w:r>
      <w:proofErr w:type="spellStart"/>
      <w:r>
        <w:rPr>
          <w:color w:val="000000"/>
          <w:sz w:val="22"/>
          <w:szCs w:val="22"/>
          <w:lang w:val="es-ES"/>
        </w:rPr>
        <w:t>supplier</w:t>
      </w:r>
      <w:proofErr w:type="spellEnd"/>
      <w:r>
        <w:rPr>
          <w:color w:val="000000"/>
          <w:sz w:val="22"/>
          <w:szCs w:val="22"/>
          <w:lang w:val="es-ES"/>
        </w:rPr>
        <w:t xml:space="preserve"> </w:t>
      </w:r>
      <w:proofErr w:type="spellStart"/>
      <w:r>
        <w:rPr>
          <w:color w:val="000000"/>
          <w:sz w:val="22"/>
          <w:szCs w:val="22"/>
          <w:lang w:val="es-ES"/>
        </w:rPr>
        <w:t>of</w:t>
      </w:r>
      <w:proofErr w:type="spellEnd"/>
      <w:r>
        <w:rPr>
          <w:color w:val="000000"/>
          <w:sz w:val="22"/>
          <w:szCs w:val="22"/>
          <w:lang w:val="es-ES"/>
        </w:rPr>
        <w:t xml:space="preserve"> </w:t>
      </w:r>
      <w:proofErr w:type="spellStart"/>
      <w:r>
        <w:rPr>
          <w:color w:val="000000"/>
          <w:sz w:val="22"/>
          <w:szCs w:val="22"/>
          <w:lang w:val="es-ES"/>
        </w:rPr>
        <w:t>the</w:t>
      </w:r>
      <w:proofErr w:type="spellEnd"/>
      <w:r>
        <w:rPr>
          <w:color w:val="000000"/>
          <w:sz w:val="22"/>
          <w:szCs w:val="22"/>
          <w:lang w:val="es-ES"/>
        </w:rPr>
        <w:t xml:space="preserve"> </w:t>
      </w:r>
      <w:proofErr w:type="spellStart"/>
      <w:r>
        <w:rPr>
          <w:color w:val="000000"/>
          <w:sz w:val="22"/>
          <w:szCs w:val="22"/>
          <w:lang w:val="es-ES"/>
        </w:rPr>
        <w:t>lot</w:t>
      </w:r>
      <w:proofErr w:type="spellEnd"/>
      <w:r>
        <w:rPr>
          <w:color w:val="000000"/>
          <w:sz w:val="22"/>
          <w:szCs w:val="22"/>
          <w:lang w:val="es-ES"/>
        </w:rPr>
        <w:t xml:space="preserve"> </w:t>
      </w:r>
      <w:proofErr w:type="spellStart"/>
      <w:r>
        <w:rPr>
          <w:color w:val="000000"/>
          <w:sz w:val="22"/>
          <w:szCs w:val="22"/>
          <w:lang w:val="es-ES"/>
        </w:rPr>
        <w:t>accordingly</w:t>
      </w:r>
      <w:proofErr w:type="spellEnd"/>
      <w:r>
        <w:rPr>
          <w:color w:val="000000"/>
          <w:sz w:val="22"/>
          <w:szCs w:val="22"/>
          <w:lang w:val="es-ES"/>
        </w:rPr>
        <w:t>.</w:t>
      </w:r>
    </w:p>
    <w:p w14:paraId="1FF8677C" w14:textId="77777777" w:rsidR="00E255F4" w:rsidRDefault="00000000">
      <w:pPr>
        <w:numPr>
          <w:ilvl w:val="3"/>
          <w:numId w:val="10"/>
        </w:numPr>
        <w:tabs>
          <w:tab w:val="left" w:pos="-720"/>
          <w:tab w:val="left" w:pos="0"/>
          <w:tab w:val="left" w:pos="851"/>
          <w:tab w:val="left" w:pos="1276"/>
        </w:tabs>
        <w:spacing w:before="120" w:after="120"/>
        <w:ind w:left="851" w:hanging="851"/>
        <w:jc w:val="both"/>
        <w:rPr>
          <w:color w:val="000000"/>
          <w:sz w:val="22"/>
          <w:szCs w:val="22"/>
          <w:lang w:val="es-ES"/>
        </w:rPr>
      </w:pPr>
      <w:r>
        <w:rPr>
          <w:color w:val="000000"/>
          <w:sz w:val="22"/>
          <w:szCs w:val="22"/>
          <w:lang w:val="es-ES"/>
        </w:rPr>
        <w:t xml:space="preserve">For </w:t>
      </w:r>
      <w:proofErr w:type="spellStart"/>
      <w:r>
        <w:rPr>
          <w:color w:val="000000"/>
          <w:sz w:val="22"/>
          <w:szCs w:val="22"/>
          <w:lang w:val="es-ES"/>
        </w:rPr>
        <w:t>the</w:t>
      </w:r>
      <w:proofErr w:type="spellEnd"/>
      <w:r>
        <w:rPr>
          <w:color w:val="000000"/>
          <w:sz w:val="22"/>
          <w:szCs w:val="22"/>
          <w:lang w:val="es-ES"/>
        </w:rPr>
        <w:t xml:space="preserve"> </w:t>
      </w:r>
      <w:proofErr w:type="spellStart"/>
      <w:r>
        <w:rPr>
          <w:color w:val="000000"/>
          <w:sz w:val="22"/>
          <w:szCs w:val="22"/>
          <w:lang w:val="es-ES"/>
        </w:rPr>
        <w:t>aforementioned</w:t>
      </w:r>
      <w:proofErr w:type="spellEnd"/>
      <w:r>
        <w:rPr>
          <w:color w:val="000000"/>
          <w:sz w:val="22"/>
          <w:szCs w:val="22"/>
          <w:lang w:val="es-ES"/>
        </w:rPr>
        <w:t xml:space="preserve"> </w:t>
      </w:r>
      <w:proofErr w:type="spellStart"/>
      <w:r>
        <w:rPr>
          <w:color w:val="000000"/>
          <w:sz w:val="22"/>
          <w:szCs w:val="22"/>
          <w:lang w:val="es-ES"/>
        </w:rPr>
        <w:t>reception</w:t>
      </w:r>
      <w:proofErr w:type="spellEnd"/>
      <w:r>
        <w:rPr>
          <w:color w:val="000000"/>
          <w:sz w:val="22"/>
          <w:szCs w:val="22"/>
          <w:lang w:val="es-ES"/>
        </w:rPr>
        <w:t xml:space="preserve">, </w:t>
      </w:r>
      <w:proofErr w:type="spellStart"/>
      <w:r>
        <w:rPr>
          <w:color w:val="000000"/>
          <w:sz w:val="22"/>
          <w:szCs w:val="22"/>
          <w:lang w:val="es-ES"/>
        </w:rPr>
        <w:t>the</w:t>
      </w:r>
      <w:proofErr w:type="spellEnd"/>
      <w:r>
        <w:rPr>
          <w:color w:val="000000"/>
          <w:sz w:val="22"/>
          <w:szCs w:val="22"/>
          <w:lang w:val="es-ES"/>
        </w:rPr>
        <w:t xml:space="preserve"> </w:t>
      </w:r>
      <w:proofErr w:type="spellStart"/>
      <w:r>
        <w:rPr>
          <w:color w:val="000000"/>
          <w:sz w:val="22"/>
          <w:szCs w:val="22"/>
          <w:lang w:val="es-ES"/>
        </w:rPr>
        <w:t>factory</w:t>
      </w:r>
      <w:proofErr w:type="spellEnd"/>
      <w:r>
        <w:rPr>
          <w:color w:val="000000"/>
          <w:sz w:val="22"/>
          <w:szCs w:val="22"/>
          <w:lang w:val="es-ES"/>
        </w:rPr>
        <w:t xml:space="preserve"> </w:t>
      </w:r>
      <w:proofErr w:type="spellStart"/>
      <w:r>
        <w:rPr>
          <w:color w:val="000000"/>
          <w:sz w:val="22"/>
          <w:szCs w:val="22"/>
          <w:lang w:val="es-ES"/>
        </w:rPr>
        <w:t>will</w:t>
      </w:r>
      <w:proofErr w:type="spellEnd"/>
      <w:r>
        <w:rPr>
          <w:color w:val="000000"/>
          <w:sz w:val="22"/>
          <w:szCs w:val="22"/>
          <w:lang w:val="es-ES"/>
        </w:rPr>
        <w:t xml:space="preserve"> </w:t>
      </w:r>
      <w:proofErr w:type="spellStart"/>
      <w:r>
        <w:rPr>
          <w:color w:val="000000"/>
          <w:sz w:val="22"/>
          <w:szCs w:val="22"/>
          <w:lang w:val="es-ES"/>
        </w:rPr>
        <w:t>provide</w:t>
      </w:r>
      <w:proofErr w:type="spellEnd"/>
      <w:r>
        <w:rPr>
          <w:color w:val="000000"/>
          <w:sz w:val="22"/>
          <w:szCs w:val="22"/>
          <w:lang w:val="es-ES"/>
        </w:rPr>
        <w:t xml:space="preserve"> free </w:t>
      </w:r>
      <w:proofErr w:type="spellStart"/>
      <w:r>
        <w:rPr>
          <w:color w:val="000000"/>
          <w:sz w:val="22"/>
          <w:szCs w:val="22"/>
          <w:lang w:val="es-ES"/>
        </w:rPr>
        <w:t>of</w:t>
      </w:r>
      <w:proofErr w:type="spellEnd"/>
      <w:r>
        <w:rPr>
          <w:color w:val="000000"/>
          <w:sz w:val="22"/>
          <w:szCs w:val="22"/>
          <w:lang w:val="es-ES"/>
        </w:rPr>
        <w:t xml:space="preserve"> </w:t>
      </w:r>
      <w:proofErr w:type="spellStart"/>
      <w:r>
        <w:rPr>
          <w:color w:val="000000"/>
          <w:sz w:val="22"/>
          <w:szCs w:val="22"/>
          <w:lang w:val="es-ES"/>
        </w:rPr>
        <w:t>charge</w:t>
      </w:r>
      <w:proofErr w:type="spellEnd"/>
      <w:r>
        <w:rPr>
          <w:color w:val="000000"/>
          <w:sz w:val="22"/>
          <w:szCs w:val="22"/>
          <w:lang w:val="es-ES"/>
        </w:rPr>
        <w:t xml:space="preserve"> </w:t>
      </w:r>
      <w:proofErr w:type="spellStart"/>
      <w:r>
        <w:rPr>
          <w:color w:val="000000"/>
          <w:sz w:val="22"/>
          <w:szCs w:val="22"/>
          <w:lang w:val="es-ES"/>
        </w:rPr>
        <w:t>all</w:t>
      </w:r>
      <w:proofErr w:type="spellEnd"/>
      <w:r>
        <w:rPr>
          <w:color w:val="000000"/>
          <w:sz w:val="22"/>
          <w:szCs w:val="22"/>
          <w:lang w:val="es-ES"/>
        </w:rPr>
        <w:t xml:space="preserve"> </w:t>
      </w:r>
      <w:proofErr w:type="spellStart"/>
      <w:r>
        <w:rPr>
          <w:color w:val="000000"/>
          <w:sz w:val="22"/>
          <w:szCs w:val="22"/>
          <w:lang w:val="es-ES"/>
        </w:rPr>
        <w:t>the</w:t>
      </w:r>
      <w:proofErr w:type="spellEnd"/>
      <w:r>
        <w:rPr>
          <w:color w:val="000000"/>
          <w:sz w:val="22"/>
          <w:szCs w:val="22"/>
          <w:lang w:val="es-ES"/>
        </w:rPr>
        <w:t xml:space="preserve"> </w:t>
      </w:r>
      <w:proofErr w:type="spellStart"/>
      <w:r>
        <w:rPr>
          <w:color w:val="000000"/>
          <w:sz w:val="22"/>
          <w:szCs w:val="22"/>
          <w:lang w:val="es-ES"/>
        </w:rPr>
        <w:t>necessary</w:t>
      </w:r>
      <w:proofErr w:type="spellEnd"/>
      <w:r>
        <w:rPr>
          <w:color w:val="000000"/>
          <w:sz w:val="22"/>
          <w:szCs w:val="22"/>
          <w:lang w:val="es-ES"/>
        </w:rPr>
        <w:t xml:space="preserve"> material, </w:t>
      </w:r>
      <w:proofErr w:type="spellStart"/>
      <w:r>
        <w:rPr>
          <w:color w:val="000000"/>
          <w:sz w:val="22"/>
          <w:szCs w:val="22"/>
          <w:lang w:val="es-ES"/>
        </w:rPr>
        <w:t>locational</w:t>
      </w:r>
      <w:proofErr w:type="spellEnd"/>
      <w:r>
        <w:rPr>
          <w:color w:val="000000"/>
          <w:sz w:val="22"/>
          <w:szCs w:val="22"/>
          <w:lang w:val="es-ES"/>
        </w:rPr>
        <w:t xml:space="preserve"> and human </w:t>
      </w:r>
      <w:proofErr w:type="spellStart"/>
      <w:r>
        <w:rPr>
          <w:color w:val="000000"/>
          <w:sz w:val="22"/>
          <w:szCs w:val="22"/>
          <w:lang w:val="es-ES"/>
        </w:rPr>
        <w:t>resources</w:t>
      </w:r>
      <w:proofErr w:type="spellEnd"/>
      <w:r>
        <w:rPr>
          <w:color w:val="000000"/>
          <w:sz w:val="22"/>
          <w:szCs w:val="22"/>
          <w:lang w:val="es-ES"/>
        </w:rPr>
        <w:t xml:space="preserve"> </w:t>
      </w:r>
      <w:proofErr w:type="spellStart"/>
      <w:r>
        <w:rPr>
          <w:color w:val="000000"/>
          <w:sz w:val="22"/>
          <w:szCs w:val="22"/>
          <w:lang w:val="es-ES"/>
        </w:rPr>
        <w:t>for</w:t>
      </w:r>
      <w:proofErr w:type="spellEnd"/>
      <w:r>
        <w:rPr>
          <w:color w:val="000000"/>
          <w:sz w:val="22"/>
          <w:szCs w:val="22"/>
          <w:lang w:val="es-ES"/>
        </w:rPr>
        <w:t xml:space="preserve"> </w:t>
      </w:r>
      <w:proofErr w:type="spellStart"/>
      <w:r>
        <w:rPr>
          <w:color w:val="000000"/>
          <w:sz w:val="22"/>
          <w:szCs w:val="22"/>
          <w:lang w:val="es-ES"/>
        </w:rPr>
        <w:t>carrying</w:t>
      </w:r>
      <w:proofErr w:type="spellEnd"/>
      <w:r>
        <w:rPr>
          <w:color w:val="000000"/>
          <w:sz w:val="22"/>
          <w:szCs w:val="22"/>
          <w:lang w:val="es-ES"/>
        </w:rPr>
        <w:t xml:space="preserve"> </w:t>
      </w:r>
      <w:proofErr w:type="spellStart"/>
      <w:r>
        <w:rPr>
          <w:color w:val="000000"/>
          <w:sz w:val="22"/>
          <w:szCs w:val="22"/>
          <w:lang w:val="es-ES"/>
        </w:rPr>
        <w:t>out</w:t>
      </w:r>
      <w:proofErr w:type="spellEnd"/>
      <w:r>
        <w:rPr>
          <w:color w:val="000000"/>
          <w:sz w:val="22"/>
          <w:szCs w:val="22"/>
          <w:lang w:val="es-ES"/>
        </w:rPr>
        <w:t xml:space="preserve"> </w:t>
      </w:r>
      <w:proofErr w:type="spellStart"/>
      <w:r>
        <w:rPr>
          <w:color w:val="000000"/>
          <w:sz w:val="22"/>
          <w:szCs w:val="22"/>
          <w:lang w:val="es-ES"/>
        </w:rPr>
        <w:t>the</w:t>
      </w:r>
      <w:proofErr w:type="spellEnd"/>
      <w:r>
        <w:rPr>
          <w:color w:val="000000"/>
          <w:sz w:val="22"/>
          <w:szCs w:val="22"/>
          <w:lang w:val="es-ES"/>
        </w:rPr>
        <w:t xml:space="preserve"> </w:t>
      </w:r>
      <w:proofErr w:type="spellStart"/>
      <w:r>
        <w:rPr>
          <w:color w:val="000000"/>
          <w:sz w:val="22"/>
          <w:szCs w:val="22"/>
          <w:lang w:val="es-ES"/>
        </w:rPr>
        <w:t>tests</w:t>
      </w:r>
      <w:proofErr w:type="spellEnd"/>
      <w:r>
        <w:rPr>
          <w:color w:val="000000"/>
          <w:sz w:val="22"/>
          <w:szCs w:val="22"/>
          <w:lang w:val="es-ES"/>
        </w:rPr>
        <w:t>.</w:t>
      </w:r>
    </w:p>
    <w:p w14:paraId="17A6CB34" w14:textId="77777777" w:rsidR="00E255F4" w:rsidRDefault="00000000">
      <w:pPr>
        <w:numPr>
          <w:ilvl w:val="3"/>
          <w:numId w:val="10"/>
        </w:numPr>
        <w:tabs>
          <w:tab w:val="left" w:pos="-720"/>
          <w:tab w:val="left" w:pos="0"/>
          <w:tab w:val="left" w:pos="851"/>
          <w:tab w:val="left" w:pos="1276"/>
        </w:tabs>
        <w:spacing w:before="120" w:after="120"/>
        <w:ind w:left="851" w:hanging="851"/>
        <w:jc w:val="both"/>
      </w:pPr>
      <w:proofErr w:type="spellStart"/>
      <w:r>
        <w:rPr>
          <w:color w:val="000000"/>
          <w:sz w:val="22"/>
          <w:szCs w:val="22"/>
          <w:lang w:val="es-ES"/>
        </w:rPr>
        <w:t>It</w:t>
      </w:r>
      <w:proofErr w:type="spellEnd"/>
      <w:r>
        <w:rPr>
          <w:color w:val="000000"/>
          <w:sz w:val="22"/>
          <w:szCs w:val="22"/>
          <w:lang w:val="es-ES"/>
        </w:rPr>
        <w:t xml:space="preserve"> </w:t>
      </w:r>
      <w:proofErr w:type="spellStart"/>
      <w:r>
        <w:rPr>
          <w:color w:val="000000"/>
          <w:sz w:val="22"/>
          <w:szCs w:val="22"/>
          <w:lang w:val="es-ES"/>
        </w:rPr>
        <w:t>should</w:t>
      </w:r>
      <w:proofErr w:type="spellEnd"/>
      <w:r>
        <w:rPr>
          <w:color w:val="000000"/>
          <w:sz w:val="22"/>
          <w:szCs w:val="22"/>
          <w:lang w:val="es-ES"/>
        </w:rPr>
        <w:t xml:space="preserve"> be </w:t>
      </w:r>
      <w:proofErr w:type="spellStart"/>
      <w:r>
        <w:rPr>
          <w:color w:val="000000"/>
          <w:sz w:val="22"/>
          <w:szCs w:val="22"/>
          <w:lang w:val="es-ES"/>
        </w:rPr>
        <w:t>noted</w:t>
      </w:r>
      <w:proofErr w:type="spellEnd"/>
      <w:r>
        <w:rPr>
          <w:color w:val="000000"/>
          <w:sz w:val="22"/>
          <w:szCs w:val="22"/>
          <w:lang w:val="es-ES"/>
        </w:rPr>
        <w:t xml:space="preserve"> </w:t>
      </w:r>
      <w:proofErr w:type="spellStart"/>
      <w:r>
        <w:rPr>
          <w:color w:val="000000"/>
          <w:sz w:val="22"/>
          <w:szCs w:val="22"/>
          <w:lang w:val="es-ES"/>
        </w:rPr>
        <w:t>that</w:t>
      </w:r>
      <w:proofErr w:type="spellEnd"/>
      <w:r>
        <w:rPr>
          <w:color w:val="000000"/>
          <w:sz w:val="22"/>
          <w:szCs w:val="22"/>
          <w:lang w:val="es-ES"/>
        </w:rPr>
        <w:t xml:space="preserve"> </w:t>
      </w:r>
      <w:proofErr w:type="spellStart"/>
      <w:r>
        <w:rPr>
          <w:color w:val="000000"/>
          <w:sz w:val="22"/>
          <w:szCs w:val="22"/>
          <w:lang w:val="es-ES"/>
        </w:rPr>
        <w:t>the</w:t>
      </w:r>
      <w:proofErr w:type="spellEnd"/>
      <w:r>
        <w:rPr>
          <w:color w:val="000000"/>
          <w:sz w:val="22"/>
          <w:szCs w:val="22"/>
          <w:lang w:val="es-ES"/>
        </w:rPr>
        <w:t xml:space="preserve"> </w:t>
      </w:r>
      <w:proofErr w:type="spellStart"/>
      <w:r>
        <w:rPr>
          <w:color w:val="000000"/>
          <w:sz w:val="22"/>
          <w:szCs w:val="22"/>
          <w:lang w:val="es-ES"/>
        </w:rPr>
        <w:t>factory</w:t>
      </w:r>
      <w:proofErr w:type="spellEnd"/>
      <w:r>
        <w:rPr>
          <w:color w:val="000000"/>
          <w:sz w:val="22"/>
          <w:szCs w:val="22"/>
          <w:lang w:val="es-ES"/>
        </w:rPr>
        <w:t xml:space="preserve"> </w:t>
      </w:r>
      <w:proofErr w:type="spellStart"/>
      <w:r>
        <w:rPr>
          <w:color w:val="000000"/>
          <w:sz w:val="22"/>
          <w:szCs w:val="22"/>
          <w:lang w:val="es-ES"/>
        </w:rPr>
        <w:t>must</w:t>
      </w:r>
      <w:proofErr w:type="spellEnd"/>
      <w:r>
        <w:rPr>
          <w:color w:val="000000"/>
          <w:sz w:val="22"/>
          <w:szCs w:val="22"/>
          <w:lang w:val="es-ES"/>
        </w:rPr>
        <w:t xml:space="preserve"> </w:t>
      </w:r>
      <w:proofErr w:type="spellStart"/>
      <w:r>
        <w:rPr>
          <w:color w:val="000000"/>
          <w:sz w:val="22"/>
          <w:szCs w:val="22"/>
          <w:lang w:val="es-ES"/>
        </w:rPr>
        <w:t>have</w:t>
      </w:r>
      <w:proofErr w:type="spellEnd"/>
      <w:r>
        <w:rPr>
          <w:color w:val="000000"/>
          <w:sz w:val="22"/>
          <w:szCs w:val="22"/>
          <w:lang w:val="es-ES"/>
        </w:rPr>
        <w:t xml:space="preserve"> </w:t>
      </w:r>
      <w:proofErr w:type="spellStart"/>
      <w:r>
        <w:rPr>
          <w:color w:val="000000"/>
          <w:sz w:val="22"/>
          <w:szCs w:val="22"/>
          <w:lang w:val="es-ES"/>
        </w:rPr>
        <w:t>available</w:t>
      </w:r>
      <w:proofErr w:type="spellEnd"/>
      <w:r>
        <w:rPr>
          <w:color w:val="000000"/>
          <w:sz w:val="22"/>
          <w:szCs w:val="22"/>
          <w:lang w:val="es-ES"/>
        </w:rPr>
        <w:t xml:space="preserve"> </w:t>
      </w:r>
      <w:proofErr w:type="spellStart"/>
      <w:r>
        <w:rPr>
          <w:color w:val="000000"/>
          <w:sz w:val="22"/>
          <w:szCs w:val="22"/>
          <w:lang w:val="es-ES"/>
        </w:rPr>
        <w:t>the</w:t>
      </w:r>
      <w:proofErr w:type="spellEnd"/>
      <w:r>
        <w:rPr>
          <w:color w:val="000000"/>
          <w:sz w:val="22"/>
          <w:szCs w:val="22"/>
          <w:lang w:val="es-ES"/>
        </w:rPr>
        <w:t xml:space="preserve"> test </w:t>
      </w:r>
      <w:proofErr w:type="spellStart"/>
      <w:r>
        <w:rPr>
          <w:color w:val="000000"/>
          <w:sz w:val="22"/>
          <w:szCs w:val="22"/>
          <w:lang w:val="es-ES"/>
        </w:rPr>
        <w:t>benches</w:t>
      </w:r>
      <w:proofErr w:type="spellEnd"/>
      <w:r>
        <w:rPr>
          <w:color w:val="000000"/>
          <w:sz w:val="22"/>
          <w:szCs w:val="22"/>
          <w:lang w:val="es-ES"/>
        </w:rPr>
        <w:t xml:space="preserve"> and </w:t>
      </w:r>
      <w:proofErr w:type="spellStart"/>
      <w:r>
        <w:rPr>
          <w:color w:val="000000"/>
          <w:sz w:val="22"/>
          <w:szCs w:val="22"/>
          <w:lang w:val="es-ES"/>
        </w:rPr>
        <w:t>annex</w:t>
      </w:r>
      <w:proofErr w:type="spellEnd"/>
      <w:r>
        <w:rPr>
          <w:color w:val="000000"/>
          <w:sz w:val="22"/>
          <w:szCs w:val="22"/>
          <w:lang w:val="es-ES"/>
        </w:rPr>
        <w:t xml:space="preserve"> </w:t>
      </w:r>
      <w:proofErr w:type="spellStart"/>
      <w:r>
        <w:rPr>
          <w:color w:val="000000"/>
          <w:sz w:val="22"/>
          <w:szCs w:val="22"/>
          <w:lang w:val="es-ES"/>
        </w:rPr>
        <w:t>facilities</w:t>
      </w:r>
      <w:proofErr w:type="spellEnd"/>
      <w:r>
        <w:rPr>
          <w:color w:val="000000"/>
          <w:sz w:val="22"/>
          <w:szCs w:val="22"/>
          <w:lang w:val="es-ES"/>
        </w:rPr>
        <w:t xml:space="preserve">, as </w:t>
      </w:r>
      <w:proofErr w:type="spellStart"/>
      <w:r>
        <w:rPr>
          <w:color w:val="000000"/>
          <w:sz w:val="22"/>
          <w:szCs w:val="22"/>
          <w:lang w:val="es-ES"/>
        </w:rPr>
        <w:t>well</w:t>
      </w:r>
      <w:proofErr w:type="spellEnd"/>
      <w:r>
        <w:rPr>
          <w:color w:val="000000"/>
          <w:sz w:val="22"/>
          <w:szCs w:val="22"/>
          <w:lang w:val="es-ES"/>
        </w:rPr>
        <w:t xml:space="preserve"> as </w:t>
      </w:r>
      <w:proofErr w:type="spellStart"/>
      <w:r>
        <w:rPr>
          <w:color w:val="000000"/>
          <w:sz w:val="22"/>
          <w:szCs w:val="22"/>
          <w:lang w:val="es-ES"/>
        </w:rPr>
        <w:t>the</w:t>
      </w:r>
      <w:proofErr w:type="spellEnd"/>
      <w:r>
        <w:rPr>
          <w:color w:val="000000"/>
          <w:sz w:val="22"/>
          <w:szCs w:val="22"/>
          <w:lang w:val="es-ES"/>
        </w:rPr>
        <w:t xml:space="preserve"> </w:t>
      </w:r>
      <w:proofErr w:type="spellStart"/>
      <w:r>
        <w:rPr>
          <w:color w:val="000000"/>
          <w:sz w:val="22"/>
          <w:szCs w:val="22"/>
          <w:lang w:val="es-ES"/>
        </w:rPr>
        <w:t>personnel</w:t>
      </w:r>
      <w:proofErr w:type="spellEnd"/>
      <w:r>
        <w:rPr>
          <w:color w:val="000000"/>
          <w:sz w:val="22"/>
          <w:szCs w:val="22"/>
          <w:lang w:val="es-ES"/>
        </w:rPr>
        <w:t xml:space="preserve"> </w:t>
      </w:r>
      <w:proofErr w:type="spellStart"/>
      <w:r>
        <w:rPr>
          <w:color w:val="000000"/>
          <w:sz w:val="22"/>
          <w:szCs w:val="22"/>
          <w:lang w:val="es-ES"/>
        </w:rPr>
        <w:t>involved</w:t>
      </w:r>
      <w:proofErr w:type="spellEnd"/>
      <w:r>
        <w:rPr>
          <w:color w:val="000000"/>
          <w:sz w:val="22"/>
          <w:szCs w:val="22"/>
          <w:lang w:val="es-ES"/>
        </w:rPr>
        <w:t xml:space="preserve"> in </w:t>
      </w:r>
      <w:proofErr w:type="spellStart"/>
      <w:r>
        <w:rPr>
          <w:color w:val="000000"/>
          <w:sz w:val="22"/>
          <w:szCs w:val="22"/>
          <w:lang w:val="es-ES"/>
        </w:rPr>
        <w:t>order</w:t>
      </w:r>
      <w:proofErr w:type="spellEnd"/>
      <w:r>
        <w:rPr>
          <w:color w:val="000000"/>
          <w:sz w:val="22"/>
          <w:szCs w:val="22"/>
          <w:lang w:val="es-ES"/>
        </w:rPr>
        <w:t xml:space="preserve"> </w:t>
      </w:r>
      <w:proofErr w:type="spellStart"/>
      <w:r>
        <w:rPr>
          <w:color w:val="000000"/>
          <w:sz w:val="22"/>
          <w:szCs w:val="22"/>
          <w:lang w:val="es-ES"/>
        </w:rPr>
        <w:t>to</w:t>
      </w:r>
      <w:proofErr w:type="spellEnd"/>
      <w:r>
        <w:rPr>
          <w:color w:val="000000"/>
          <w:sz w:val="22"/>
          <w:szCs w:val="22"/>
          <w:lang w:val="es-ES"/>
        </w:rPr>
        <w:t xml:space="preserve"> </w:t>
      </w:r>
      <w:proofErr w:type="spellStart"/>
      <w:r>
        <w:rPr>
          <w:color w:val="000000"/>
          <w:sz w:val="22"/>
          <w:szCs w:val="22"/>
          <w:lang w:val="es-ES"/>
        </w:rPr>
        <w:t>carry</w:t>
      </w:r>
      <w:proofErr w:type="spellEnd"/>
      <w:r>
        <w:rPr>
          <w:color w:val="000000"/>
          <w:sz w:val="22"/>
          <w:szCs w:val="22"/>
          <w:lang w:val="es-ES"/>
        </w:rPr>
        <w:t xml:space="preserve"> </w:t>
      </w:r>
      <w:proofErr w:type="spellStart"/>
      <w:r>
        <w:rPr>
          <w:color w:val="000000"/>
          <w:sz w:val="22"/>
          <w:szCs w:val="22"/>
          <w:lang w:val="es-ES"/>
        </w:rPr>
        <w:t>out</w:t>
      </w:r>
      <w:proofErr w:type="spellEnd"/>
      <w:r>
        <w:rPr>
          <w:color w:val="000000"/>
          <w:sz w:val="22"/>
          <w:szCs w:val="22"/>
          <w:lang w:val="es-ES"/>
        </w:rPr>
        <w:t xml:space="preserve"> </w:t>
      </w:r>
      <w:proofErr w:type="spellStart"/>
      <w:r>
        <w:rPr>
          <w:color w:val="000000"/>
          <w:sz w:val="22"/>
          <w:szCs w:val="22"/>
          <w:lang w:val="es-ES"/>
        </w:rPr>
        <w:t>the</w:t>
      </w:r>
      <w:proofErr w:type="spellEnd"/>
      <w:r>
        <w:rPr>
          <w:color w:val="000000"/>
          <w:sz w:val="22"/>
          <w:szCs w:val="22"/>
          <w:lang w:val="es-ES"/>
        </w:rPr>
        <w:t xml:space="preserve"> </w:t>
      </w:r>
      <w:proofErr w:type="spellStart"/>
      <w:r>
        <w:rPr>
          <w:color w:val="000000"/>
          <w:sz w:val="22"/>
          <w:szCs w:val="22"/>
          <w:lang w:val="es-ES"/>
        </w:rPr>
        <w:t>tests</w:t>
      </w:r>
      <w:proofErr w:type="spellEnd"/>
      <w:r>
        <w:rPr>
          <w:color w:val="000000"/>
          <w:sz w:val="22"/>
          <w:szCs w:val="22"/>
          <w:lang w:val="es-ES"/>
        </w:rPr>
        <w:t xml:space="preserve"> </w:t>
      </w:r>
      <w:proofErr w:type="spellStart"/>
      <w:r>
        <w:rPr>
          <w:color w:val="000000"/>
          <w:sz w:val="22"/>
          <w:szCs w:val="22"/>
          <w:lang w:val="es-ES"/>
        </w:rPr>
        <w:t>within</w:t>
      </w:r>
      <w:proofErr w:type="spellEnd"/>
      <w:r>
        <w:rPr>
          <w:color w:val="000000"/>
          <w:sz w:val="22"/>
          <w:szCs w:val="22"/>
          <w:lang w:val="es-ES"/>
        </w:rPr>
        <w:t xml:space="preserve"> a </w:t>
      </w:r>
      <w:proofErr w:type="spellStart"/>
      <w:r>
        <w:rPr>
          <w:color w:val="000000"/>
          <w:sz w:val="22"/>
          <w:szCs w:val="22"/>
          <w:lang w:val="es-ES"/>
        </w:rPr>
        <w:t>maximum</w:t>
      </w:r>
      <w:proofErr w:type="spellEnd"/>
      <w:r>
        <w:rPr>
          <w:color w:val="000000"/>
          <w:sz w:val="22"/>
          <w:szCs w:val="22"/>
          <w:lang w:val="es-ES"/>
        </w:rPr>
        <w:t xml:space="preserve"> time </w:t>
      </w:r>
      <w:proofErr w:type="spellStart"/>
      <w:r>
        <w:rPr>
          <w:color w:val="000000"/>
          <w:sz w:val="22"/>
          <w:szCs w:val="22"/>
          <w:lang w:val="es-ES"/>
        </w:rPr>
        <w:t>of</w:t>
      </w:r>
      <w:proofErr w:type="spellEnd"/>
      <w:r>
        <w:rPr>
          <w:color w:val="000000"/>
          <w:sz w:val="22"/>
          <w:szCs w:val="22"/>
          <w:lang w:val="es-ES"/>
        </w:rPr>
        <w:t xml:space="preserve"> 10 (ten) </w:t>
      </w:r>
      <w:proofErr w:type="spellStart"/>
      <w:r>
        <w:rPr>
          <w:color w:val="000000"/>
          <w:sz w:val="22"/>
          <w:szCs w:val="22"/>
          <w:lang w:val="es-ES"/>
        </w:rPr>
        <w:t>days</w:t>
      </w:r>
      <w:proofErr w:type="spellEnd"/>
      <w:r>
        <w:rPr>
          <w:color w:val="000000"/>
          <w:sz w:val="22"/>
          <w:szCs w:val="22"/>
          <w:lang w:val="es-ES"/>
        </w:rPr>
        <w:t xml:space="preserve"> </w:t>
      </w:r>
      <w:proofErr w:type="spellStart"/>
      <w:r>
        <w:rPr>
          <w:color w:val="000000"/>
          <w:sz w:val="22"/>
          <w:szCs w:val="22"/>
          <w:lang w:val="es-ES"/>
        </w:rPr>
        <w:t>for</w:t>
      </w:r>
      <w:proofErr w:type="spellEnd"/>
      <w:r>
        <w:rPr>
          <w:color w:val="000000"/>
          <w:sz w:val="22"/>
          <w:szCs w:val="22"/>
          <w:lang w:val="es-ES"/>
        </w:rPr>
        <w:t xml:space="preserve"> </w:t>
      </w:r>
      <w:proofErr w:type="spellStart"/>
      <w:r>
        <w:rPr>
          <w:color w:val="000000"/>
          <w:sz w:val="22"/>
          <w:szCs w:val="22"/>
          <w:lang w:val="es-ES"/>
        </w:rPr>
        <w:t>the</w:t>
      </w:r>
      <w:proofErr w:type="spellEnd"/>
      <w:r>
        <w:rPr>
          <w:color w:val="000000"/>
          <w:sz w:val="22"/>
          <w:szCs w:val="22"/>
          <w:lang w:val="es-ES"/>
        </w:rPr>
        <w:t xml:space="preserve"> </w:t>
      </w:r>
      <w:proofErr w:type="spellStart"/>
      <w:r>
        <w:rPr>
          <w:color w:val="000000"/>
          <w:sz w:val="22"/>
          <w:szCs w:val="22"/>
          <w:lang w:val="es-ES"/>
        </w:rPr>
        <w:t>awarded</w:t>
      </w:r>
      <w:proofErr w:type="spellEnd"/>
      <w:r>
        <w:rPr>
          <w:color w:val="000000"/>
          <w:sz w:val="22"/>
          <w:szCs w:val="22"/>
          <w:lang w:val="es-ES"/>
        </w:rPr>
        <w:t xml:space="preserve"> </w:t>
      </w:r>
      <w:proofErr w:type="spellStart"/>
      <w:r>
        <w:rPr>
          <w:color w:val="000000"/>
          <w:sz w:val="22"/>
          <w:szCs w:val="22"/>
          <w:lang w:val="es-ES"/>
        </w:rPr>
        <w:t>batch</w:t>
      </w:r>
      <w:proofErr w:type="spellEnd"/>
      <w:r>
        <w:rPr>
          <w:color w:val="000000"/>
          <w:sz w:val="22"/>
          <w:szCs w:val="22"/>
          <w:lang w:val="es-ES"/>
        </w:rPr>
        <w:t xml:space="preserve"> </w:t>
      </w:r>
      <w:proofErr w:type="spellStart"/>
      <w:r>
        <w:rPr>
          <w:color w:val="000000"/>
          <w:sz w:val="22"/>
          <w:szCs w:val="22"/>
          <w:lang w:val="es-ES"/>
        </w:rPr>
        <w:t>of</w:t>
      </w:r>
      <w:proofErr w:type="spellEnd"/>
      <w:r>
        <w:rPr>
          <w:color w:val="000000"/>
          <w:sz w:val="22"/>
          <w:szCs w:val="22"/>
          <w:lang w:val="es-ES"/>
        </w:rPr>
        <w:t xml:space="preserve"> </w:t>
      </w:r>
      <w:proofErr w:type="spellStart"/>
      <w:r>
        <w:rPr>
          <w:color w:val="000000"/>
          <w:sz w:val="22"/>
          <w:szCs w:val="22"/>
          <w:lang w:val="es-ES"/>
        </w:rPr>
        <w:t>meters</w:t>
      </w:r>
      <w:proofErr w:type="spellEnd"/>
      <w:r>
        <w:rPr>
          <w:color w:val="000000"/>
          <w:sz w:val="22"/>
          <w:szCs w:val="22"/>
          <w:lang w:val="es-ES"/>
        </w:rPr>
        <w:t xml:space="preserve">, </w:t>
      </w:r>
      <w:proofErr w:type="spellStart"/>
      <w:r>
        <w:rPr>
          <w:color w:val="000000"/>
          <w:sz w:val="22"/>
          <w:szCs w:val="22"/>
          <w:lang w:val="es-ES"/>
        </w:rPr>
        <w:t>with</w:t>
      </w:r>
      <w:proofErr w:type="spellEnd"/>
      <w:r>
        <w:rPr>
          <w:color w:val="000000"/>
          <w:sz w:val="22"/>
          <w:szCs w:val="22"/>
          <w:lang w:val="es-ES"/>
        </w:rPr>
        <w:t xml:space="preserve"> </w:t>
      </w:r>
      <w:proofErr w:type="spellStart"/>
      <w:r>
        <w:rPr>
          <w:color w:val="000000"/>
          <w:sz w:val="22"/>
          <w:szCs w:val="22"/>
          <w:lang w:val="es-ES"/>
        </w:rPr>
        <w:t>the</w:t>
      </w:r>
      <w:proofErr w:type="spellEnd"/>
      <w:r>
        <w:rPr>
          <w:color w:val="000000"/>
          <w:sz w:val="22"/>
          <w:szCs w:val="22"/>
          <w:lang w:val="es-ES"/>
        </w:rPr>
        <w:t xml:space="preserve"> </w:t>
      </w:r>
      <w:proofErr w:type="spellStart"/>
      <w:r>
        <w:rPr>
          <w:color w:val="000000"/>
          <w:sz w:val="22"/>
          <w:szCs w:val="22"/>
          <w:lang w:val="es-ES"/>
        </w:rPr>
        <w:t>daily</w:t>
      </w:r>
      <w:proofErr w:type="spellEnd"/>
      <w:r>
        <w:rPr>
          <w:color w:val="000000"/>
          <w:sz w:val="22"/>
          <w:szCs w:val="22"/>
          <w:lang w:val="es-ES"/>
        </w:rPr>
        <w:t xml:space="preserve"> </w:t>
      </w:r>
      <w:proofErr w:type="spellStart"/>
      <w:r>
        <w:rPr>
          <w:color w:val="000000"/>
          <w:sz w:val="22"/>
          <w:szCs w:val="22"/>
          <w:lang w:val="es-ES"/>
        </w:rPr>
        <w:t>workload</w:t>
      </w:r>
      <w:proofErr w:type="spellEnd"/>
      <w:r>
        <w:rPr>
          <w:color w:val="000000"/>
          <w:sz w:val="22"/>
          <w:szCs w:val="22"/>
          <w:lang w:val="es-ES"/>
        </w:rPr>
        <w:t xml:space="preserve"> </w:t>
      </w:r>
      <w:proofErr w:type="spellStart"/>
      <w:r>
        <w:rPr>
          <w:color w:val="000000"/>
          <w:sz w:val="22"/>
          <w:szCs w:val="22"/>
          <w:lang w:val="es-ES"/>
        </w:rPr>
        <w:t>being</w:t>
      </w:r>
      <w:proofErr w:type="spellEnd"/>
      <w:r>
        <w:rPr>
          <w:color w:val="000000"/>
          <w:sz w:val="22"/>
          <w:szCs w:val="22"/>
          <w:lang w:val="es-ES"/>
        </w:rPr>
        <w:t xml:space="preserve"> a </w:t>
      </w:r>
      <w:proofErr w:type="spellStart"/>
      <w:r>
        <w:rPr>
          <w:color w:val="000000"/>
          <w:sz w:val="22"/>
          <w:szCs w:val="22"/>
          <w:lang w:val="es-ES"/>
        </w:rPr>
        <w:t>maximum</w:t>
      </w:r>
      <w:proofErr w:type="spellEnd"/>
      <w:r>
        <w:rPr>
          <w:color w:val="000000"/>
          <w:sz w:val="22"/>
          <w:szCs w:val="22"/>
          <w:lang w:val="es-ES"/>
        </w:rPr>
        <w:t xml:space="preserve"> </w:t>
      </w:r>
      <w:proofErr w:type="spellStart"/>
      <w:r>
        <w:rPr>
          <w:color w:val="000000"/>
          <w:sz w:val="22"/>
          <w:szCs w:val="22"/>
          <w:lang w:val="es-ES"/>
        </w:rPr>
        <w:t>of</w:t>
      </w:r>
      <w:proofErr w:type="spellEnd"/>
      <w:r>
        <w:rPr>
          <w:color w:val="000000"/>
          <w:sz w:val="22"/>
          <w:szCs w:val="22"/>
          <w:lang w:val="es-ES"/>
        </w:rPr>
        <w:t xml:space="preserve"> 10 (ten) </w:t>
      </w:r>
      <w:proofErr w:type="spellStart"/>
      <w:r>
        <w:rPr>
          <w:color w:val="000000"/>
          <w:sz w:val="22"/>
          <w:szCs w:val="22"/>
          <w:lang w:val="es-ES"/>
        </w:rPr>
        <w:t>hours</w:t>
      </w:r>
      <w:proofErr w:type="spellEnd"/>
      <w:r>
        <w:rPr>
          <w:color w:val="000000"/>
          <w:sz w:val="22"/>
          <w:szCs w:val="22"/>
          <w:lang w:val="es-ES"/>
        </w:rPr>
        <w:t>.</w:t>
      </w:r>
    </w:p>
    <w:p w14:paraId="74CE447B" w14:textId="77777777" w:rsidR="00E255F4" w:rsidRDefault="00000000">
      <w:pPr>
        <w:numPr>
          <w:ilvl w:val="3"/>
          <w:numId w:val="10"/>
        </w:numPr>
        <w:tabs>
          <w:tab w:val="left" w:pos="-720"/>
          <w:tab w:val="left" w:pos="0"/>
          <w:tab w:val="left" w:pos="851"/>
          <w:tab w:val="left" w:pos="1276"/>
        </w:tabs>
        <w:spacing w:before="120" w:after="120"/>
        <w:ind w:left="851" w:hanging="851"/>
        <w:jc w:val="both"/>
        <w:rPr>
          <w:color w:val="000000"/>
          <w:sz w:val="22"/>
          <w:szCs w:val="22"/>
          <w:lang w:val="es-ES"/>
        </w:rPr>
      </w:pPr>
      <w:r>
        <w:rPr>
          <w:color w:val="000000"/>
          <w:sz w:val="22"/>
          <w:szCs w:val="22"/>
          <w:lang w:val="es-ES"/>
        </w:rPr>
        <w:t xml:space="preserve">The test </w:t>
      </w:r>
      <w:proofErr w:type="spellStart"/>
      <w:r>
        <w:rPr>
          <w:color w:val="000000"/>
          <w:sz w:val="22"/>
          <w:szCs w:val="22"/>
          <w:lang w:val="es-ES"/>
        </w:rPr>
        <w:t>results</w:t>
      </w:r>
      <w:proofErr w:type="spellEnd"/>
      <w:r>
        <w:rPr>
          <w:color w:val="000000"/>
          <w:sz w:val="22"/>
          <w:szCs w:val="22"/>
          <w:lang w:val="es-ES"/>
        </w:rPr>
        <w:t xml:space="preserve"> </w:t>
      </w:r>
      <w:proofErr w:type="spellStart"/>
      <w:r>
        <w:rPr>
          <w:color w:val="000000"/>
          <w:sz w:val="22"/>
          <w:szCs w:val="22"/>
          <w:lang w:val="es-ES"/>
        </w:rPr>
        <w:t>will</w:t>
      </w:r>
      <w:proofErr w:type="spellEnd"/>
      <w:r>
        <w:rPr>
          <w:color w:val="000000"/>
          <w:sz w:val="22"/>
          <w:szCs w:val="22"/>
          <w:lang w:val="es-ES"/>
        </w:rPr>
        <w:t xml:space="preserve"> be </w:t>
      </w:r>
      <w:proofErr w:type="spellStart"/>
      <w:r>
        <w:rPr>
          <w:color w:val="000000"/>
          <w:sz w:val="22"/>
          <w:szCs w:val="22"/>
          <w:lang w:val="es-ES"/>
        </w:rPr>
        <w:t>recorded</w:t>
      </w:r>
      <w:proofErr w:type="spellEnd"/>
      <w:r>
        <w:rPr>
          <w:color w:val="000000"/>
          <w:sz w:val="22"/>
          <w:szCs w:val="22"/>
          <w:lang w:val="es-ES"/>
        </w:rPr>
        <w:t xml:space="preserve"> in </w:t>
      </w:r>
      <w:proofErr w:type="spellStart"/>
      <w:r>
        <w:rPr>
          <w:color w:val="000000"/>
          <w:sz w:val="22"/>
          <w:szCs w:val="22"/>
          <w:lang w:val="es-ES"/>
        </w:rPr>
        <w:t>the</w:t>
      </w:r>
      <w:proofErr w:type="spellEnd"/>
      <w:r>
        <w:rPr>
          <w:color w:val="000000"/>
          <w:sz w:val="22"/>
          <w:szCs w:val="22"/>
          <w:lang w:val="es-ES"/>
        </w:rPr>
        <w:t xml:space="preserve"> </w:t>
      </w:r>
      <w:proofErr w:type="spellStart"/>
      <w:r>
        <w:rPr>
          <w:color w:val="000000"/>
          <w:sz w:val="22"/>
          <w:szCs w:val="22"/>
          <w:lang w:val="es-ES"/>
        </w:rPr>
        <w:t>reports</w:t>
      </w:r>
      <w:proofErr w:type="spellEnd"/>
      <w:r>
        <w:rPr>
          <w:color w:val="000000"/>
          <w:sz w:val="22"/>
          <w:szCs w:val="22"/>
          <w:lang w:val="es-ES"/>
        </w:rPr>
        <w:t xml:space="preserve"> </w:t>
      </w:r>
      <w:proofErr w:type="spellStart"/>
      <w:r>
        <w:rPr>
          <w:color w:val="000000"/>
          <w:sz w:val="22"/>
          <w:szCs w:val="22"/>
          <w:lang w:val="es-ES"/>
        </w:rPr>
        <w:t>of</w:t>
      </w:r>
      <w:proofErr w:type="spellEnd"/>
      <w:r>
        <w:rPr>
          <w:color w:val="000000"/>
          <w:sz w:val="22"/>
          <w:szCs w:val="22"/>
          <w:lang w:val="es-ES"/>
        </w:rPr>
        <w:t xml:space="preserve"> </w:t>
      </w:r>
      <w:proofErr w:type="spellStart"/>
      <w:r>
        <w:rPr>
          <w:color w:val="000000"/>
          <w:sz w:val="22"/>
          <w:szCs w:val="22"/>
          <w:lang w:val="es-ES"/>
        </w:rPr>
        <w:t>the</w:t>
      </w:r>
      <w:proofErr w:type="spellEnd"/>
      <w:r>
        <w:rPr>
          <w:color w:val="000000"/>
          <w:sz w:val="22"/>
          <w:szCs w:val="22"/>
          <w:lang w:val="es-ES"/>
        </w:rPr>
        <w:t xml:space="preserve"> </w:t>
      </w:r>
      <w:proofErr w:type="spellStart"/>
      <w:r>
        <w:rPr>
          <w:color w:val="000000"/>
          <w:sz w:val="22"/>
          <w:szCs w:val="22"/>
          <w:lang w:val="es-ES"/>
        </w:rPr>
        <w:t>selected</w:t>
      </w:r>
      <w:proofErr w:type="spellEnd"/>
      <w:r>
        <w:rPr>
          <w:color w:val="000000"/>
          <w:sz w:val="22"/>
          <w:szCs w:val="22"/>
          <w:lang w:val="es-ES"/>
        </w:rPr>
        <w:t xml:space="preserve"> </w:t>
      </w:r>
      <w:proofErr w:type="spellStart"/>
      <w:r>
        <w:rPr>
          <w:color w:val="000000"/>
          <w:sz w:val="22"/>
          <w:szCs w:val="22"/>
          <w:lang w:val="es-ES"/>
        </w:rPr>
        <w:t>Verifying</w:t>
      </w:r>
      <w:proofErr w:type="spellEnd"/>
      <w:r>
        <w:rPr>
          <w:color w:val="000000"/>
          <w:sz w:val="22"/>
          <w:szCs w:val="22"/>
          <w:lang w:val="es-ES"/>
        </w:rPr>
        <w:t xml:space="preserve"> Agent, </w:t>
      </w:r>
      <w:proofErr w:type="spellStart"/>
      <w:r>
        <w:rPr>
          <w:color w:val="000000"/>
          <w:sz w:val="22"/>
          <w:szCs w:val="22"/>
          <w:lang w:val="es-ES"/>
        </w:rPr>
        <w:t>which</w:t>
      </w:r>
      <w:proofErr w:type="spellEnd"/>
      <w:r>
        <w:rPr>
          <w:color w:val="000000"/>
          <w:sz w:val="22"/>
          <w:szCs w:val="22"/>
          <w:lang w:val="es-ES"/>
        </w:rPr>
        <w:t xml:space="preserve"> </w:t>
      </w:r>
      <w:proofErr w:type="spellStart"/>
      <w:r>
        <w:rPr>
          <w:color w:val="000000"/>
          <w:sz w:val="22"/>
          <w:szCs w:val="22"/>
          <w:lang w:val="es-ES"/>
        </w:rPr>
        <w:t>will</w:t>
      </w:r>
      <w:proofErr w:type="spellEnd"/>
      <w:r>
        <w:rPr>
          <w:color w:val="000000"/>
          <w:sz w:val="22"/>
          <w:szCs w:val="22"/>
          <w:lang w:val="es-ES"/>
        </w:rPr>
        <w:t xml:space="preserve"> </w:t>
      </w:r>
      <w:proofErr w:type="spellStart"/>
      <w:r>
        <w:rPr>
          <w:color w:val="000000"/>
          <w:sz w:val="22"/>
          <w:szCs w:val="22"/>
          <w:lang w:val="es-ES"/>
        </w:rPr>
        <w:t>include</w:t>
      </w:r>
      <w:proofErr w:type="spellEnd"/>
      <w:r>
        <w:rPr>
          <w:color w:val="000000"/>
          <w:sz w:val="22"/>
          <w:szCs w:val="22"/>
          <w:lang w:val="es-ES"/>
        </w:rPr>
        <w:t xml:space="preserve"> </w:t>
      </w:r>
      <w:proofErr w:type="spellStart"/>
      <w:r>
        <w:rPr>
          <w:color w:val="000000"/>
          <w:sz w:val="22"/>
          <w:szCs w:val="22"/>
          <w:lang w:val="es-ES"/>
        </w:rPr>
        <w:t>the</w:t>
      </w:r>
      <w:proofErr w:type="spellEnd"/>
      <w:r>
        <w:rPr>
          <w:color w:val="000000"/>
          <w:sz w:val="22"/>
          <w:szCs w:val="22"/>
          <w:lang w:val="es-ES"/>
        </w:rPr>
        <w:t xml:space="preserve"> </w:t>
      </w:r>
      <w:proofErr w:type="spellStart"/>
      <w:r>
        <w:rPr>
          <w:color w:val="000000"/>
          <w:sz w:val="22"/>
          <w:szCs w:val="22"/>
          <w:lang w:val="es-ES"/>
        </w:rPr>
        <w:t>corresponding</w:t>
      </w:r>
      <w:proofErr w:type="spellEnd"/>
      <w:r>
        <w:rPr>
          <w:color w:val="000000"/>
          <w:sz w:val="22"/>
          <w:szCs w:val="22"/>
          <w:lang w:val="es-ES"/>
        </w:rPr>
        <w:t xml:space="preserve"> control </w:t>
      </w:r>
      <w:proofErr w:type="spellStart"/>
      <w:r>
        <w:rPr>
          <w:color w:val="000000"/>
          <w:sz w:val="22"/>
          <w:szCs w:val="22"/>
          <w:lang w:val="es-ES"/>
        </w:rPr>
        <w:t>sheets</w:t>
      </w:r>
      <w:proofErr w:type="spellEnd"/>
      <w:r>
        <w:rPr>
          <w:color w:val="000000"/>
          <w:sz w:val="22"/>
          <w:szCs w:val="22"/>
          <w:lang w:val="es-ES"/>
        </w:rPr>
        <w:t xml:space="preserve"> and </w:t>
      </w:r>
      <w:proofErr w:type="spellStart"/>
      <w:r>
        <w:rPr>
          <w:color w:val="000000"/>
          <w:sz w:val="22"/>
          <w:szCs w:val="22"/>
          <w:lang w:val="es-ES"/>
        </w:rPr>
        <w:t>any</w:t>
      </w:r>
      <w:proofErr w:type="spellEnd"/>
      <w:r>
        <w:rPr>
          <w:color w:val="000000"/>
          <w:sz w:val="22"/>
          <w:szCs w:val="22"/>
          <w:lang w:val="es-ES"/>
        </w:rPr>
        <w:t xml:space="preserve"> </w:t>
      </w:r>
      <w:proofErr w:type="spellStart"/>
      <w:r>
        <w:rPr>
          <w:color w:val="000000"/>
          <w:sz w:val="22"/>
          <w:szCs w:val="22"/>
          <w:lang w:val="es-ES"/>
        </w:rPr>
        <w:t>relevant</w:t>
      </w:r>
      <w:proofErr w:type="spellEnd"/>
      <w:r>
        <w:rPr>
          <w:color w:val="000000"/>
          <w:sz w:val="22"/>
          <w:szCs w:val="22"/>
          <w:lang w:val="es-ES"/>
        </w:rPr>
        <w:t xml:space="preserve"> </w:t>
      </w:r>
      <w:proofErr w:type="spellStart"/>
      <w:r>
        <w:rPr>
          <w:color w:val="000000"/>
          <w:sz w:val="22"/>
          <w:szCs w:val="22"/>
          <w:lang w:val="es-ES"/>
        </w:rPr>
        <w:t>observations</w:t>
      </w:r>
      <w:proofErr w:type="spellEnd"/>
      <w:r>
        <w:rPr>
          <w:color w:val="000000"/>
          <w:sz w:val="22"/>
          <w:szCs w:val="22"/>
          <w:lang w:val="es-ES"/>
        </w:rPr>
        <w:t xml:space="preserve">, as </w:t>
      </w:r>
      <w:proofErr w:type="spellStart"/>
      <w:r>
        <w:rPr>
          <w:color w:val="000000"/>
          <w:sz w:val="22"/>
          <w:szCs w:val="22"/>
          <w:lang w:val="es-ES"/>
        </w:rPr>
        <w:t>well</w:t>
      </w:r>
      <w:proofErr w:type="spellEnd"/>
      <w:r>
        <w:rPr>
          <w:color w:val="000000"/>
          <w:sz w:val="22"/>
          <w:szCs w:val="22"/>
          <w:lang w:val="es-ES"/>
        </w:rPr>
        <w:t xml:space="preserve"> as </w:t>
      </w:r>
      <w:proofErr w:type="spellStart"/>
      <w:r>
        <w:rPr>
          <w:color w:val="000000"/>
          <w:sz w:val="22"/>
          <w:szCs w:val="22"/>
          <w:lang w:val="es-ES"/>
        </w:rPr>
        <w:t>proof</w:t>
      </w:r>
      <w:proofErr w:type="spellEnd"/>
      <w:r>
        <w:rPr>
          <w:color w:val="000000"/>
          <w:sz w:val="22"/>
          <w:szCs w:val="22"/>
          <w:lang w:val="es-ES"/>
        </w:rPr>
        <w:t xml:space="preserve"> </w:t>
      </w:r>
      <w:proofErr w:type="spellStart"/>
      <w:r>
        <w:rPr>
          <w:color w:val="000000"/>
          <w:sz w:val="22"/>
          <w:szCs w:val="22"/>
          <w:lang w:val="es-ES"/>
        </w:rPr>
        <w:t>of</w:t>
      </w:r>
      <w:proofErr w:type="spellEnd"/>
      <w:r>
        <w:rPr>
          <w:color w:val="000000"/>
          <w:sz w:val="22"/>
          <w:szCs w:val="22"/>
          <w:lang w:val="es-ES"/>
        </w:rPr>
        <w:t xml:space="preserve"> </w:t>
      </w:r>
      <w:proofErr w:type="spellStart"/>
      <w:r>
        <w:rPr>
          <w:color w:val="000000"/>
          <w:sz w:val="22"/>
          <w:szCs w:val="22"/>
          <w:lang w:val="es-ES"/>
        </w:rPr>
        <w:t>batch</w:t>
      </w:r>
      <w:proofErr w:type="spellEnd"/>
      <w:r>
        <w:rPr>
          <w:color w:val="000000"/>
          <w:sz w:val="22"/>
          <w:szCs w:val="22"/>
          <w:lang w:val="es-ES"/>
        </w:rPr>
        <w:t xml:space="preserve"> </w:t>
      </w:r>
      <w:proofErr w:type="spellStart"/>
      <w:r>
        <w:rPr>
          <w:color w:val="000000"/>
          <w:sz w:val="22"/>
          <w:szCs w:val="22"/>
          <w:lang w:val="es-ES"/>
        </w:rPr>
        <w:t>approval</w:t>
      </w:r>
      <w:proofErr w:type="spellEnd"/>
      <w:r>
        <w:rPr>
          <w:color w:val="000000"/>
          <w:sz w:val="22"/>
          <w:szCs w:val="22"/>
          <w:lang w:val="es-ES"/>
        </w:rPr>
        <w:t xml:space="preserve">. </w:t>
      </w:r>
      <w:proofErr w:type="spellStart"/>
      <w:r>
        <w:rPr>
          <w:color w:val="000000"/>
          <w:sz w:val="22"/>
          <w:szCs w:val="22"/>
          <w:lang w:val="es-ES"/>
        </w:rPr>
        <w:t>Three</w:t>
      </w:r>
      <w:proofErr w:type="spellEnd"/>
      <w:r>
        <w:rPr>
          <w:color w:val="000000"/>
          <w:sz w:val="22"/>
          <w:szCs w:val="22"/>
          <w:lang w:val="es-ES"/>
        </w:rPr>
        <w:t xml:space="preserve"> (3) copies </w:t>
      </w:r>
      <w:proofErr w:type="spellStart"/>
      <w:r>
        <w:rPr>
          <w:color w:val="000000"/>
          <w:sz w:val="22"/>
          <w:szCs w:val="22"/>
          <w:lang w:val="es-ES"/>
        </w:rPr>
        <w:t>will</w:t>
      </w:r>
      <w:proofErr w:type="spellEnd"/>
      <w:r>
        <w:rPr>
          <w:color w:val="000000"/>
          <w:sz w:val="22"/>
          <w:szCs w:val="22"/>
          <w:lang w:val="es-ES"/>
        </w:rPr>
        <w:t xml:space="preserve"> be </w:t>
      </w:r>
      <w:proofErr w:type="spellStart"/>
      <w:r>
        <w:rPr>
          <w:color w:val="000000"/>
          <w:sz w:val="22"/>
          <w:szCs w:val="22"/>
          <w:lang w:val="es-ES"/>
        </w:rPr>
        <w:t>provided</w:t>
      </w:r>
      <w:proofErr w:type="spellEnd"/>
      <w:r>
        <w:rPr>
          <w:color w:val="000000"/>
          <w:sz w:val="22"/>
          <w:szCs w:val="22"/>
          <w:lang w:val="es-ES"/>
        </w:rPr>
        <w:t xml:space="preserve">: </w:t>
      </w:r>
      <w:proofErr w:type="spellStart"/>
      <w:r>
        <w:rPr>
          <w:color w:val="000000"/>
          <w:sz w:val="22"/>
          <w:szCs w:val="22"/>
          <w:lang w:val="es-ES"/>
        </w:rPr>
        <w:t>one</w:t>
      </w:r>
      <w:proofErr w:type="spellEnd"/>
      <w:r>
        <w:rPr>
          <w:color w:val="000000"/>
          <w:sz w:val="22"/>
          <w:szCs w:val="22"/>
          <w:lang w:val="es-ES"/>
        </w:rPr>
        <w:t xml:space="preserve"> (1) </w:t>
      </w:r>
      <w:proofErr w:type="spellStart"/>
      <w:r>
        <w:rPr>
          <w:color w:val="000000"/>
          <w:sz w:val="22"/>
          <w:szCs w:val="22"/>
          <w:lang w:val="es-ES"/>
        </w:rPr>
        <w:t>for</w:t>
      </w:r>
      <w:proofErr w:type="spellEnd"/>
      <w:r>
        <w:rPr>
          <w:color w:val="000000"/>
          <w:sz w:val="22"/>
          <w:szCs w:val="22"/>
          <w:lang w:val="es-ES"/>
        </w:rPr>
        <w:t xml:space="preserve"> </w:t>
      </w:r>
      <w:proofErr w:type="spellStart"/>
      <w:r>
        <w:rPr>
          <w:color w:val="000000"/>
          <w:sz w:val="22"/>
          <w:szCs w:val="22"/>
          <w:lang w:val="es-ES"/>
        </w:rPr>
        <w:t>the</w:t>
      </w:r>
      <w:proofErr w:type="spellEnd"/>
      <w:r>
        <w:rPr>
          <w:color w:val="000000"/>
          <w:sz w:val="22"/>
          <w:szCs w:val="22"/>
          <w:lang w:val="es-ES"/>
        </w:rPr>
        <w:t xml:space="preserve"> </w:t>
      </w:r>
      <w:proofErr w:type="spellStart"/>
      <w:r>
        <w:rPr>
          <w:color w:val="000000"/>
          <w:sz w:val="22"/>
          <w:szCs w:val="22"/>
          <w:lang w:val="es-ES"/>
        </w:rPr>
        <w:t>buyer</w:t>
      </w:r>
      <w:proofErr w:type="spellEnd"/>
      <w:r>
        <w:rPr>
          <w:color w:val="000000"/>
          <w:sz w:val="22"/>
          <w:szCs w:val="22"/>
          <w:lang w:val="es-ES"/>
        </w:rPr>
        <w:t xml:space="preserve"> (OSE), </w:t>
      </w:r>
      <w:proofErr w:type="spellStart"/>
      <w:r>
        <w:rPr>
          <w:color w:val="000000"/>
          <w:sz w:val="22"/>
          <w:szCs w:val="22"/>
          <w:lang w:val="es-ES"/>
        </w:rPr>
        <w:t>one</w:t>
      </w:r>
      <w:proofErr w:type="spellEnd"/>
      <w:r>
        <w:rPr>
          <w:color w:val="000000"/>
          <w:sz w:val="22"/>
          <w:szCs w:val="22"/>
          <w:lang w:val="es-ES"/>
        </w:rPr>
        <w:t xml:space="preserve"> (1) </w:t>
      </w:r>
      <w:proofErr w:type="spellStart"/>
      <w:r>
        <w:rPr>
          <w:color w:val="000000"/>
          <w:sz w:val="22"/>
          <w:szCs w:val="22"/>
          <w:lang w:val="es-ES"/>
        </w:rPr>
        <w:t>for</w:t>
      </w:r>
      <w:proofErr w:type="spellEnd"/>
      <w:r>
        <w:rPr>
          <w:color w:val="000000"/>
          <w:sz w:val="22"/>
          <w:szCs w:val="22"/>
          <w:lang w:val="es-ES"/>
        </w:rPr>
        <w:t xml:space="preserve"> </w:t>
      </w:r>
      <w:proofErr w:type="spellStart"/>
      <w:r>
        <w:rPr>
          <w:color w:val="000000"/>
          <w:sz w:val="22"/>
          <w:szCs w:val="22"/>
          <w:lang w:val="es-ES"/>
        </w:rPr>
        <w:t>the</w:t>
      </w:r>
      <w:proofErr w:type="spellEnd"/>
      <w:r>
        <w:rPr>
          <w:color w:val="000000"/>
          <w:sz w:val="22"/>
          <w:szCs w:val="22"/>
          <w:lang w:val="es-ES"/>
        </w:rPr>
        <w:t xml:space="preserve"> </w:t>
      </w:r>
      <w:proofErr w:type="spellStart"/>
      <w:r>
        <w:rPr>
          <w:color w:val="000000"/>
          <w:sz w:val="22"/>
          <w:szCs w:val="22"/>
          <w:lang w:val="es-ES"/>
        </w:rPr>
        <w:t>supplier</w:t>
      </w:r>
      <w:proofErr w:type="spellEnd"/>
      <w:r>
        <w:rPr>
          <w:color w:val="000000"/>
          <w:sz w:val="22"/>
          <w:szCs w:val="22"/>
          <w:lang w:val="es-ES"/>
        </w:rPr>
        <w:t xml:space="preserve">, and </w:t>
      </w:r>
      <w:proofErr w:type="spellStart"/>
      <w:r>
        <w:rPr>
          <w:color w:val="000000"/>
          <w:sz w:val="22"/>
          <w:szCs w:val="22"/>
          <w:lang w:val="es-ES"/>
        </w:rPr>
        <w:t>one</w:t>
      </w:r>
      <w:proofErr w:type="spellEnd"/>
      <w:r>
        <w:rPr>
          <w:color w:val="000000"/>
          <w:sz w:val="22"/>
          <w:szCs w:val="22"/>
          <w:lang w:val="es-ES"/>
        </w:rPr>
        <w:t xml:space="preserve"> (1) </w:t>
      </w:r>
      <w:proofErr w:type="spellStart"/>
      <w:r>
        <w:rPr>
          <w:color w:val="000000"/>
          <w:sz w:val="22"/>
          <w:szCs w:val="22"/>
          <w:lang w:val="es-ES"/>
        </w:rPr>
        <w:t>for</w:t>
      </w:r>
      <w:proofErr w:type="spellEnd"/>
      <w:r>
        <w:rPr>
          <w:color w:val="000000"/>
          <w:sz w:val="22"/>
          <w:szCs w:val="22"/>
          <w:lang w:val="es-ES"/>
        </w:rPr>
        <w:t xml:space="preserve"> </w:t>
      </w:r>
      <w:proofErr w:type="spellStart"/>
      <w:r>
        <w:rPr>
          <w:color w:val="000000"/>
          <w:sz w:val="22"/>
          <w:szCs w:val="22"/>
          <w:lang w:val="es-ES"/>
        </w:rPr>
        <w:t>the</w:t>
      </w:r>
      <w:proofErr w:type="spellEnd"/>
      <w:r>
        <w:rPr>
          <w:color w:val="000000"/>
          <w:sz w:val="22"/>
          <w:szCs w:val="22"/>
          <w:lang w:val="es-ES"/>
        </w:rPr>
        <w:t xml:space="preserve"> </w:t>
      </w:r>
      <w:proofErr w:type="spellStart"/>
      <w:r>
        <w:rPr>
          <w:color w:val="000000"/>
          <w:sz w:val="22"/>
          <w:szCs w:val="22"/>
          <w:lang w:val="es-ES"/>
        </w:rPr>
        <w:t>certifying</w:t>
      </w:r>
      <w:proofErr w:type="spellEnd"/>
      <w:r>
        <w:rPr>
          <w:color w:val="000000"/>
          <w:sz w:val="22"/>
          <w:szCs w:val="22"/>
          <w:lang w:val="es-ES"/>
        </w:rPr>
        <w:t xml:space="preserve"> </w:t>
      </w:r>
      <w:proofErr w:type="spellStart"/>
      <w:r>
        <w:rPr>
          <w:color w:val="000000"/>
          <w:sz w:val="22"/>
          <w:szCs w:val="22"/>
          <w:lang w:val="es-ES"/>
        </w:rPr>
        <w:t>entity</w:t>
      </w:r>
      <w:proofErr w:type="spellEnd"/>
      <w:r>
        <w:rPr>
          <w:color w:val="000000"/>
          <w:sz w:val="22"/>
          <w:szCs w:val="22"/>
          <w:lang w:val="es-ES"/>
        </w:rPr>
        <w:t xml:space="preserve">. </w:t>
      </w:r>
      <w:proofErr w:type="spellStart"/>
      <w:r>
        <w:rPr>
          <w:color w:val="000000"/>
          <w:sz w:val="22"/>
          <w:szCs w:val="22"/>
          <w:lang w:val="es-ES"/>
        </w:rPr>
        <w:t>All</w:t>
      </w:r>
      <w:proofErr w:type="spellEnd"/>
      <w:r>
        <w:rPr>
          <w:color w:val="000000"/>
          <w:sz w:val="22"/>
          <w:szCs w:val="22"/>
          <w:lang w:val="es-ES"/>
        </w:rPr>
        <w:t xml:space="preserve"> copies </w:t>
      </w:r>
      <w:proofErr w:type="spellStart"/>
      <w:r>
        <w:rPr>
          <w:color w:val="000000"/>
          <w:sz w:val="22"/>
          <w:szCs w:val="22"/>
          <w:lang w:val="es-ES"/>
        </w:rPr>
        <w:t>must</w:t>
      </w:r>
      <w:proofErr w:type="spellEnd"/>
      <w:r>
        <w:rPr>
          <w:color w:val="000000"/>
          <w:sz w:val="22"/>
          <w:szCs w:val="22"/>
          <w:lang w:val="es-ES"/>
        </w:rPr>
        <w:t xml:space="preserve"> be </w:t>
      </w:r>
      <w:proofErr w:type="spellStart"/>
      <w:r>
        <w:rPr>
          <w:color w:val="000000"/>
          <w:sz w:val="22"/>
          <w:szCs w:val="22"/>
          <w:lang w:val="es-ES"/>
        </w:rPr>
        <w:t>signed</w:t>
      </w:r>
      <w:proofErr w:type="spellEnd"/>
      <w:r>
        <w:rPr>
          <w:color w:val="000000"/>
          <w:sz w:val="22"/>
          <w:szCs w:val="22"/>
          <w:lang w:val="es-ES"/>
        </w:rPr>
        <w:t xml:space="preserve"> </w:t>
      </w:r>
      <w:proofErr w:type="spellStart"/>
      <w:r>
        <w:rPr>
          <w:color w:val="000000"/>
          <w:sz w:val="22"/>
          <w:szCs w:val="22"/>
          <w:lang w:val="es-ES"/>
        </w:rPr>
        <w:t>by</w:t>
      </w:r>
      <w:proofErr w:type="spellEnd"/>
      <w:r>
        <w:rPr>
          <w:color w:val="000000"/>
          <w:sz w:val="22"/>
          <w:szCs w:val="22"/>
          <w:lang w:val="es-ES"/>
        </w:rPr>
        <w:t xml:space="preserve"> </w:t>
      </w:r>
      <w:proofErr w:type="spellStart"/>
      <w:r>
        <w:rPr>
          <w:color w:val="000000"/>
          <w:sz w:val="22"/>
          <w:szCs w:val="22"/>
          <w:lang w:val="es-ES"/>
        </w:rPr>
        <w:t>the</w:t>
      </w:r>
      <w:proofErr w:type="spellEnd"/>
      <w:r>
        <w:rPr>
          <w:color w:val="000000"/>
          <w:sz w:val="22"/>
          <w:szCs w:val="22"/>
          <w:lang w:val="es-ES"/>
        </w:rPr>
        <w:t xml:space="preserve"> </w:t>
      </w:r>
      <w:proofErr w:type="spellStart"/>
      <w:r>
        <w:rPr>
          <w:color w:val="000000"/>
          <w:sz w:val="22"/>
          <w:szCs w:val="22"/>
          <w:lang w:val="es-ES"/>
        </w:rPr>
        <w:t>responsible</w:t>
      </w:r>
      <w:proofErr w:type="spellEnd"/>
      <w:r>
        <w:rPr>
          <w:color w:val="000000"/>
          <w:sz w:val="22"/>
          <w:szCs w:val="22"/>
          <w:lang w:val="es-ES"/>
        </w:rPr>
        <w:t xml:space="preserve"> </w:t>
      </w:r>
      <w:proofErr w:type="spellStart"/>
      <w:r>
        <w:rPr>
          <w:color w:val="000000"/>
          <w:sz w:val="22"/>
          <w:szCs w:val="22"/>
          <w:lang w:val="es-ES"/>
        </w:rPr>
        <w:t>parties</w:t>
      </w:r>
      <w:proofErr w:type="spellEnd"/>
      <w:r>
        <w:rPr>
          <w:color w:val="000000"/>
          <w:sz w:val="22"/>
          <w:szCs w:val="22"/>
          <w:lang w:val="es-ES"/>
        </w:rPr>
        <w:t>.</w:t>
      </w:r>
    </w:p>
    <w:p w14:paraId="28262489" w14:textId="77777777" w:rsidR="00E255F4" w:rsidRDefault="00000000">
      <w:pPr>
        <w:numPr>
          <w:ilvl w:val="3"/>
          <w:numId w:val="10"/>
        </w:numPr>
        <w:tabs>
          <w:tab w:val="left" w:pos="-720"/>
          <w:tab w:val="left" w:pos="0"/>
          <w:tab w:val="left" w:pos="851"/>
          <w:tab w:val="left" w:pos="1276"/>
        </w:tabs>
        <w:spacing w:before="120" w:after="120"/>
        <w:ind w:left="851" w:hanging="851"/>
        <w:jc w:val="both"/>
        <w:rPr>
          <w:lang w:val="es-ES"/>
        </w:rPr>
      </w:pPr>
      <w:r>
        <w:rPr>
          <w:sz w:val="22"/>
          <w:szCs w:val="22"/>
          <w:lang w:val="es-ES"/>
        </w:rPr>
        <w:lastRenderedPageBreak/>
        <w:t xml:space="preserve">The </w:t>
      </w:r>
      <w:proofErr w:type="spellStart"/>
      <w:r>
        <w:rPr>
          <w:sz w:val="22"/>
          <w:szCs w:val="22"/>
          <w:lang w:val="es-ES"/>
        </w:rPr>
        <w:t>bidder</w:t>
      </w:r>
      <w:proofErr w:type="spellEnd"/>
      <w:r>
        <w:rPr>
          <w:sz w:val="22"/>
          <w:szCs w:val="22"/>
          <w:lang w:val="es-ES"/>
        </w:rPr>
        <w:t xml:space="preserve"> </w:t>
      </w:r>
      <w:proofErr w:type="spellStart"/>
      <w:r>
        <w:rPr>
          <w:sz w:val="22"/>
          <w:szCs w:val="22"/>
          <w:lang w:val="es-ES"/>
        </w:rPr>
        <w:t>must</w:t>
      </w:r>
      <w:proofErr w:type="spellEnd"/>
      <w:r>
        <w:rPr>
          <w:sz w:val="22"/>
          <w:szCs w:val="22"/>
          <w:lang w:val="es-ES"/>
        </w:rPr>
        <w:t xml:space="preserve"> </w:t>
      </w:r>
      <w:proofErr w:type="spellStart"/>
      <w:r>
        <w:rPr>
          <w:sz w:val="22"/>
          <w:szCs w:val="22"/>
          <w:lang w:val="es-ES"/>
        </w:rPr>
        <w:t>include</w:t>
      </w:r>
      <w:proofErr w:type="spellEnd"/>
      <w:r>
        <w:rPr>
          <w:sz w:val="22"/>
          <w:szCs w:val="22"/>
          <w:lang w:val="es-ES"/>
        </w:rPr>
        <w:t xml:space="preserve"> in </w:t>
      </w:r>
      <w:proofErr w:type="spellStart"/>
      <w:r>
        <w:rPr>
          <w:sz w:val="22"/>
          <w:szCs w:val="22"/>
          <w:lang w:val="es-ES"/>
        </w:rPr>
        <w:t>their</w:t>
      </w:r>
      <w:proofErr w:type="spellEnd"/>
      <w:r>
        <w:rPr>
          <w:sz w:val="22"/>
          <w:szCs w:val="22"/>
          <w:lang w:val="es-ES"/>
        </w:rPr>
        <w:t xml:space="preserve"> </w:t>
      </w:r>
      <w:proofErr w:type="spellStart"/>
      <w:r>
        <w:rPr>
          <w:sz w:val="22"/>
          <w:szCs w:val="22"/>
          <w:lang w:val="es-ES"/>
        </w:rPr>
        <w:t>offer</w:t>
      </w:r>
      <w:proofErr w:type="spellEnd"/>
      <w:r>
        <w:rPr>
          <w:sz w:val="22"/>
          <w:szCs w:val="22"/>
          <w:lang w:val="es-ES"/>
        </w:rPr>
        <w:t xml:space="preserve"> a </w:t>
      </w:r>
      <w:proofErr w:type="spellStart"/>
      <w:r>
        <w:rPr>
          <w:sz w:val="22"/>
          <w:szCs w:val="22"/>
          <w:lang w:val="es-ES"/>
        </w:rPr>
        <w:t>visit</w:t>
      </w:r>
      <w:proofErr w:type="spellEnd"/>
      <w:r>
        <w:rPr>
          <w:sz w:val="22"/>
          <w:szCs w:val="22"/>
          <w:lang w:val="es-ES"/>
        </w:rPr>
        <w:t xml:space="preserve"> </w:t>
      </w:r>
      <w:proofErr w:type="spellStart"/>
      <w:r>
        <w:rPr>
          <w:sz w:val="22"/>
          <w:szCs w:val="22"/>
          <w:lang w:val="es-ES"/>
        </w:rPr>
        <w:t>from</w:t>
      </w:r>
      <w:proofErr w:type="spellEnd"/>
      <w:r>
        <w:rPr>
          <w:sz w:val="22"/>
          <w:szCs w:val="22"/>
          <w:lang w:val="es-ES"/>
        </w:rPr>
        <w:t xml:space="preserve"> </w:t>
      </w:r>
      <w:proofErr w:type="spellStart"/>
      <w:r>
        <w:rPr>
          <w:sz w:val="22"/>
          <w:szCs w:val="22"/>
          <w:lang w:val="es-ES"/>
        </w:rPr>
        <w:t>an</w:t>
      </w:r>
      <w:proofErr w:type="spellEnd"/>
      <w:r>
        <w:rPr>
          <w:sz w:val="22"/>
          <w:szCs w:val="22"/>
          <w:lang w:val="es-ES"/>
        </w:rPr>
        <w:t xml:space="preserve"> OSE </w:t>
      </w:r>
      <w:proofErr w:type="spellStart"/>
      <w:r>
        <w:rPr>
          <w:sz w:val="22"/>
          <w:szCs w:val="22"/>
          <w:lang w:val="es-ES"/>
        </w:rPr>
        <w:t>technician</w:t>
      </w:r>
      <w:proofErr w:type="spellEnd"/>
      <w:r>
        <w:rPr>
          <w:sz w:val="22"/>
          <w:szCs w:val="22"/>
          <w:lang w:val="es-ES"/>
        </w:rPr>
        <w:t xml:space="preserve"> </w:t>
      </w:r>
      <w:proofErr w:type="spellStart"/>
      <w:r>
        <w:rPr>
          <w:sz w:val="22"/>
          <w:szCs w:val="22"/>
          <w:lang w:val="es-ES"/>
        </w:rPr>
        <w:t>to</w:t>
      </w:r>
      <w:proofErr w:type="spellEnd"/>
      <w:r>
        <w:rPr>
          <w:sz w:val="22"/>
          <w:szCs w:val="22"/>
          <w:lang w:val="es-ES"/>
        </w:rPr>
        <w:t xml:space="preserve"> </w:t>
      </w:r>
      <w:proofErr w:type="spellStart"/>
      <w:r>
        <w:rPr>
          <w:sz w:val="22"/>
          <w:szCs w:val="22"/>
          <w:lang w:val="es-ES"/>
        </w:rPr>
        <w:t>inspect</w:t>
      </w:r>
      <w:proofErr w:type="spellEnd"/>
      <w:r>
        <w:rPr>
          <w:sz w:val="22"/>
          <w:szCs w:val="22"/>
          <w:lang w:val="es-ES"/>
        </w:rPr>
        <w:t xml:space="preserve"> </w:t>
      </w:r>
      <w:proofErr w:type="spellStart"/>
      <w:r>
        <w:rPr>
          <w:sz w:val="22"/>
          <w:szCs w:val="22"/>
          <w:lang w:val="es-ES"/>
        </w:rPr>
        <w:t>the</w:t>
      </w:r>
      <w:proofErr w:type="spellEnd"/>
      <w:r>
        <w:rPr>
          <w:sz w:val="22"/>
          <w:szCs w:val="22"/>
          <w:lang w:val="es-ES"/>
        </w:rPr>
        <w:t xml:space="preserve"> </w:t>
      </w:r>
      <w:proofErr w:type="spellStart"/>
      <w:r>
        <w:rPr>
          <w:sz w:val="22"/>
          <w:szCs w:val="22"/>
          <w:lang w:val="es-ES"/>
        </w:rPr>
        <w:t>reception</w:t>
      </w:r>
      <w:proofErr w:type="spellEnd"/>
      <w:r>
        <w:rPr>
          <w:sz w:val="22"/>
          <w:szCs w:val="22"/>
          <w:lang w:val="es-ES"/>
        </w:rPr>
        <w:t xml:space="preserve"> </w:t>
      </w:r>
      <w:proofErr w:type="spellStart"/>
      <w:r>
        <w:rPr>
          <w:sz w:val="22"/>
          <w:szCs w:val="22"/>
          <w:lang w:val="es-ES"/>
        </w:rPr>
        <w:t>work</w:t>
      </w:r>
      <w:proofErr w:type="spellEnd"/>
      <w:r>
        <w:rPr>
          <w:sz w:val="22"/>
          <w:szCs w:val="22"/>
          <w:lang w:val="es-ES"/>
        </w:rPr>
        <w:t xml:space="preserve"> </w:t>
      </w:r>
      <w:proofErr w:type="spellStart"/>
      <w:r>
        <w:rPr>
          <w:sz w:val="22"/>
          <w:szCs w:val="22"/>
          <w:lang w:val="es-ES"/>
        </w:rPr>
        <w:t>for</w:t>
      </w:r>
      <w:proofErr w:type="spellEnd"/>
      <w:r>
        <w:rPr>
          <w:sz w:val="22"/>
          <w:szCs w:val="22"/>
          <w:lang w:val="es-ES"/>
        </w:rPr>
        <w:t xml:space="preserve"> </w:t>
      </w:r>
      <w:proofErr w:type="spellStart"/>
      <w:r>
        <w:rPr>
          <w:sz w:val="22"/>
          <w:szCs w:val="22"/>
          <w:lang w:val="es-ES"/>
        </w:rPr>
        <w:t>the</w:t>
      </w:r>
      <w:proofErr w:type="spellEnd"/>
      <w:r>
        <w:rPr>
          <w:sz w:val="22"/>
          <w:szCs w:val="22"/>
          <w:lang w:val="es-ES"/>
        </w:rPr>
        <w:t xml:space="preserve"> </w:t>
      </w:r>
      <w:proofErr w:type="spellStart"/>
      <w:r>
        <w:rPr>
          <w:sz w:val="22"/>
          <w:szCs w:val="22"/>
          <w:lang w:val="es-ES"/>
        </w:rPr>
        <w:t>batch</w:t>
      </w:r>
      <w:proofErr w:type="spellEnd"/>
      <w:r>
        <w:rPr>
          <w:sz w:val="22"/>
          <w:szCs w:val="22"/>
          <w:lang w:val="es-ES"/>
        </w:rPr>
        <w:t xml:space="preserve"> </w:t>
      </w:r>
      <w:proofErr w:type="spellStart"/>
      <w:r>
        <w:rPr>
          <w:sz w:val="22"/>
          <w:szCs w:val="22"/>
          <w:lang w:val="es-ES"/>
        </w:rPr>
        <w:t>of</w:t>
      </w:r>
      <w:proofErr w:type="spellEnd"/>
      <w:r>
        <w:rPr>
          <w:sz w:val="22"/>
          <w:szCs w:val="22"/>
          <w:lang w:val="es-ES"/>
        </w:rPr>
        <w:t xml:space="preserve"> </w:t>
      </w:r>
      <w:proofErr w:type="spellStart"/>
      <w:r>
        <w:rPr>
          <w:sz w:val="22"/>
          <w:szCs w:val="22"/>
          <w:lang w:val="es-ES"/>
        </w:rPr>
        <w:t>meters</w:t>
      </w:r>
      <w:proofErr w:type="spellEnd"/>
      <w:r>
        <w:rPr>
          <w:sz w:val="22"/>
          <w:szCs w:val="22"/>
          <w:lang w:val="es-ES"/>
        </w:rPr>
        <w:t xml:space="preserve">. Basic </w:t>
      </w:r>
      <w:proofErr w:type="spellStart"/>
      <w:r>
        <w:rPr>
          <w:sz w:val="22"/>
          <w:szCs w:val="22"/>
          <w:lang w:val="es-ES"/>
        </w:rPr>
        <w:t>support</w:t>
      </w:r>
      <w:proofErr w:type="spellEnd"/>
      <w:r>
        <w:rPr>
          <w:sz w:val="22"/>
          <w:szCs w:val="22"/>
          <w:lang w:val="es-ES"/>
        </w:rPr>
        <w:t xml:space="preserve"> </w:t>
      </w:r>
      <w:proofErr w:type="spellStart"/>
      <w:r>
        <w:rPr>
          <w:sz w:val="22"/>
          <w:szCs w:val="22"/>
          <w:lang w:val="es-ES"/>
        </w:rPr>
        <w:t>will</w:t>
      </w:r>
      <w:proofErr w:type="spellEnd"/>
      <w:r>
        <w:rPr>
          <w:sz w:val="22"/>
          <w:szCs w:val="22"/>
          <w:lang w:val="es-ES"/>
        </w:rPr>
        <w:t xml:space="preserve"> be </w:t>
      </w:r>
      <w:proofErr w:type="spellStart"/>
      <w:r>
        <w:rPr>
          <w:sz w:val="22"/>
          <w:szCs w:val="22"/>
          <w:lang w:val="es-ES"/>
        </w:rPr>
        <w:t>requested</w:t>
      </w:r>
      <w:proofErr w:type="spellEnd"/>
      <w:r>
        <w:rPr>
          <w:sz w:val="22"/>
          <w:szCs w:val="22"/>
          <w:lang w:val="es-ES"/>
        </w:rPr>
        <w:t xml:space="preserve"> </w:t>
      </w:r>
      <w:proofErr w:type="spellStart"/>
      <w:r>
        <w:rPr>
          <w:sz w:val="22"/>
          <w:szCs w:val="22"/>
          <w:lang w:val="es-ES"/>
        </w:rPr>
        <w:t>for</w:t>
      </w:r>
      <w:proofErr w:type="spellEnd"/>
      <w:r>
        <w:rPr>
          <w:sz w:val="22"/>
          <w:szCs w:val="22"/>
          <w:lang w:val="es-ES"/>
        </w:rPr>
        <w:t xml:space="preserve"> </w:t>
      </w:r>
      <w:proofErr w:type="spellStart"/>
      <w:r>
        <w:rPr>
          <w:sz w:val="22"/>
          <w:szCs w:val="22"/>
          <w:lang w:val="es-ES"/>
        </w:rPr>
        <w:t>the</w:t>
      </w:r>
      <w:proofErr w:type="spellEnd"/>
      <w:r>
        <w:rPr>
          <w:sz w:val="22"/>
          <w:szCs w:val="22"/>
          <w:lang w:val="es-ES"/>
        </w:rPr>
        <w:t xml:space="preserve"> </w:t>
      </w:r>
      <w:proofErr w:type="spellStart"/>
      <w:r>
        <w:rPr>
          <w:sz w:val="22"/>
          <w:szCs w:val="22"/>
          <w:lang w:val="es-ES"/>
        </w:rPr>
        <w:t>technician</w:t>
      </w:r>
      <w:proofErr w:type="spellEnd"/>
      <w:r>
        <w:rPr>
          <w:sz w:val="22"/>
          <w:szCs w:val="22"/>
          <w:lang w:val="es-ES"/>
        </w:rPr>
        <w:t xml:space="preserve"> </w:t>
      </w:r>
      <w:proofErr w:type="spellStart"/>
      <w:r>
        <w:rPr>
          <w:sz w:val="22"/>
          <w:szCs w:val="22"/>
          <w:lang w:val="es-ES"/>
        </w:rPr>
        <w:t>to</w:t>
      </w:r>
      <w:proofErr w:type="spellEnd"/>
      <w:r>
        <w:rPr>
          <w:sz w:val="22"/>
          <w:szCs w:val="22"/>
          <w:lang w:val="es-ES"/>
        </w:rPr>
        <w:t xml:space="preserve"> </w:t>
      </w:r>
      <w:proofErr w:type="spellStart"/>
      <w:r>
        <w:rPr>
          <w:sz w:val="22"/>
          <w:szCs w:val="22"/>
          <w:lang w:val="es-ES"/>
        </w:rPr>
        <w:t>carry</w:t>
      </w:r>
      <w:proofErr w:type="spellEnd"/>
      <w:r>
        <w:rPr>
          <w:sz w:val="22"/>
          <w:szCs w:val="22"/>
          <w:lang w:val="es-ES"/>
        </w:rPr>
        <w:t xml:space="preserve"> </w:t>
      </w:r>
      <w:proofErr w:type="spellStart"/>
      <w:r>
        <w:rPr>
          <w:sz w:val="22"/>
          <w:szCs w:val="22"/>
          <w:lang w:val="es-ES"/>
        </w:rPr>
        <w:t>out</w:t>
      </w:r>
      <w:proofErr w:type="spellEnd"/>
      <w:r>
        <w:rPr>
          <w:sz w:val="22"/>
          <w:szCs w:val="22"/>
          <w:lang w:val="es-ES"/>
        </w:rPr>
        <w:t xml:space="preserve"> </w:t>
      </w:r>
      <w:proofErr w:type="spellStart"/>
      <w:r>
        <w:rPr>
          <w:sz w:val="22"/>
          <w:szCs w:val="22"/>
          <w:lang w:val="es-ES"/>
        </w:rPr>
        <w:t>their</w:t>
      </w:r>
      <w:proofErr w:type="spellEnd"/>
      <w:r>
        <w:rPr>
          <w:sz w:val="22"/>
          <w:szCs w:val="22"/>
          <w:lang w:val="es-ES"/>
        </w:rPr>
        <w:t xml:space="preserve"> </w:t>
      </w:r>
      <w:proofErr w:type="spellStart"/>
      <w:r>
        <w:rPr>
          <w:sz w:val="22"/>
          <w:szCs w:val="22"/>
          <w:lang w:val="es-ES"/>
        </w:rPr>
        <w:t>task</w:t>
      </w:r>
      <w:proofErr w:type="spellEnd"/>
      <w:r>
        <w:rPr>
          <w:sz w:val="22"/>
          <w:szCs w:val="22"/>
          <w:lang w:val="es-ES"/>
        </w:rPr>
        <w:t xml:space="preserve">, </w:t>
      </w:r>
      <w:proofErr w:type="spellStart"/>
      <w:r>
        <w:rPr>
          <w:sz w:val="22"/>
          <w:szCs w:val="22"/>
          <w:lang w:val="es-ES"/>
        </w:rPr>
        <w:t>namely</w:t>
      </w:r>
      <w:proofErr w:type="spellEnd"/>
      <w:r>
        <w:rPr>
          <w:sz w:val="22"/>
          <w:szCs w:val="22"/>
          <w:lang w:val="es-ES"/>
        </w:rPr>
        <w:t xml:space="preserve">: </w:t>
      </w:r>
      <w:proofErr w:type="spellStart"/>
      <w:r>
        <w:rPr>
          <w:sz w:val="22"/>
          <w:szCs w:val="22"/>
          <w:lang w:val="es-ES"/>
        </w:rPr>
        <w:t>all</w:t>
      </w:r>
      <w:proofErr w:type="spellEnd"/>
      <w:r>
        <w:rPr>
          <w:sz w:val="22"/>
          <w:szCs w:val="22"/>
          <w:lang w:val="es-ES"/>
        </w:rPr>
        <w:t xml:space="preserve"> </w:t>
      </w:r>
      <w:proofErr w:type="spellStart"/>
      <w:r>
        <w:rPr>
          <w:sz w:val="22"/>
          <w:szCs w:val="22"/>
          <w:lang w:val="es-ES"/>
        </w:rPr>
        <w:t>necessary</w:t>
      </w:r>
      <w:proofErr w:type="spellEnd"/>
      <w:r>
        <w:rPr>
          <w:sz w:val="22"/>
          <w:szCs w:val="22"/>
          <w:lang w:val="es-ES"/>
        </w:rPr>
        <w:t xml:space="preserve"> </w:t>
      </w:r>
      <w:proofErr w:type="spellStart"/>
      <w:r>
        <w:rPr>
          <w:sz w:val="22"/>
          <w:szCs w:val="22"/>
          <w:lang w:val="es-ES"/>
        </w:rPr>
        <w:t>transportation</w:t>
      </w:r>
      <w:proofErr w:type="spellEnd"/>
      <w:r>
        <w:rPr>
          <w:sz w:val="22"/>
          <w:szCs w:val="22"/>
          <w:lang w:val="es-ES"/>
        </w:rPr>
        <w:t xml:space="preserve">, </w:t>
      </w:r>
      <w:proofErr w:type="spellStart"/>
      <w:r>
        <w:rPr>
          <w:sz w:val="22"/>
          <w:szCs w:val="22"/>
          <w:lang w:val="es-ES"/>
        </w:rPr>
        <w:t>including</w:t>
      </w:r>
      <w:proofErr w:type="spellEnd"/>
      <w:r>
        <w:rPr>
          <w:sz w:val="22"/>
          <w:szCs w:val="22"/>
          <w:lang w:val="es-ES"/>
        </w:rPr>
        <w:t xml:space="preserve"> </w:t>
      </w:r>
      <w:proofErr w:type="gramStart"/>
      <w:r>
        <w:rPr>
          <w:sz w:val="22"/>
          <w:szCs w:val="22"/>
          <w:lang w:val="es-ES"/>
        </w:rPr>
        <w:t>round</w:t>
      </w:r>
      <w:proofErr w:type="gramEnd"/>
      <w:r>
        <w:rPr>
          <w:sz w:val="22"/>
          <w:szCs w:val="22"/>
          <w:lang w:val="es-ES"/>
        </w:rPr>
        <w:t>-</w:t>
      </w:r>
      <w:proofErr w:type="spellStart"/>
      <w:r>
        <w:rPr>
          <w:sz w:val="22"/>
          <w:szCs w:val="22"/>
          <w:lang w:val="es-ES"/>
        </w:rPr>
        <w:t>trip</w:t>
      </w:r>
      <w:proofErr w:type="spellEnd"/>
      <w:r>
        <w:rPr>
          <w:sz w:val="22"/>
          <w:szCs w:val="22"/>
          <w:lang w:val="es-ES"/>
        </w:rPr>
        <w:t xml:space="preserve"> </w:t>
      </w:r>
      <w:proofErr w:type="spellStart"/>
      <w:r>
        <w:rPr>
          <w:sz w:val="22"/>
          <w:szCs w:val="22"/>
          <w:lang w:val="es-ES"/>
        </w:rPr>
        <w:t>travel</w:t>
      </w:r>
      <w:proofErr w:type="spellEnd"/>
      <w:r>
        <w:rPr>
          <w:sz w:val="22"/>
          <w:szCs w:val="22"/>
          <w:lang w:val="es-ES"/>
        </w:rPr>
        <w:t xml:space="preserve"> </w:t>
      </w:r>
      <w:proofErr w:type="spellStart"/>
      <w:r>
        <w:rPr>
          <w:sz w:val="22"/>
          <w:szCs w:val="22"/>
          <w:lang w:val="es-ES"/>
        </w:rPr>
        <w:t>to</w:t>
      </w:r>
      <w:proofErr w:type="spellEnd"/>
      <w:r>
        <w:rPr>
          <w:sz w:val="22"/>
          <w:szCs w:val="22"/>
          <w:lang w:val="es-ES"/>
        </w:rPr>
        <w:t xml:space="preserve"> </w:t>
      </w:r>
      <w:proofErr w:type="spellStart"/>
      <w:r>
        <w:rPr>
          <w:sz w:val="22"/>
          <w:szCs w:val="22"/>
          <w:lang w:val="es-ES"/>
        </w:rPr>
        <w:t>the</w:t>
      </w:r>
      <w:proofErr w:type="spellEnd"/>
      <w:r>
        <w:rPr>
          <w:sz w:val="22"/>
          <w:szCs w:val="22"/>
          <w:lang w:val="es-ES"/>
        </w:rPr>
        <w:t xml:space="preserve"> country </w:t>
      </w:r>
      <w:proofErr w:type="spellStart"/>
      <w:r>
        <w:rPr>
          <w:sz w:val="22"/>
          <w:szCs w:val="22"/>
          <w:lang w:val="es-ES"/>
        </w:rPr>
        <w:t>of</w:t>
      </w:r>
      <w:proofErr w:type="spellEnd"/>
      <w:r>
        <w:rPr>
          <w:sz w:val="22"/>
          <w:szCs w:val="22"/>
          <w:lang w:val="es-ES"/>
        </w:rPr>
        <w:t xml:space="preserve"> </w:t>
      </w:r>
      <w:proofErr w:type="spellStart"/>
      <w:r>
        <w:rPr>
          <w:sz w:val="22"/>
          <w:szCs w:val="22"/>
          <w:lang w:val="es-ES"/>
        </w:rPr>
        <w:t>origin</w:t>
      </w:r>
      <w:proofErr w:type="spellEnd"/>
      <w:r>
        <w:rPr>
          <w:sz w:val="22"/>
          <w:szCs w:val="22"/>
          <w:lang w:val="es-ES"/>
        </w:rPr>
        <w:t xml:space="preserve">, </w:t>
      </w:r>
      <w:proofErr w:type="spellStart"/>
      <w:r>
        <w:rPr>
          <w:sz w:val="22"/>
          <w:szCs w:val="22"/>
          <w:lang w:val="es-ES"/>
        </w:rPr>
        <w:t>accommodation</w:t>
      </w:r>
      <w:proofErr w:type="spellEnd"/>
      <w:r>
        <w:rPr>
          <w:sz w:val="22"/>
          <w:szCs w:val="22"/>
          <w:lang w:val="es-ES"/>
        </w:rPr>
        <w:t xml:space="preserve">, </w:t>
      </w:r>
      <w:proofErr w:type="spellStart"/>
      <w:r>
        <w:rPr>
          <w:sz w:val="22"/>
          <w:szCs w:val="22"/>
          <w:lang w:val="es-ES"/>
        </w:rPr>
        <w:t>meals</w:t>
      </w:r>
      <w:proofErr w:type="spellEnd"/>
      <w:r>
        <w:rPr>
          <w:sz w:val="22"/>
          <w:szCs w:val="22"/>
          <w:lang w:val="es-ES"/>
        </w:rPr>
        <w:t xml:space="preserve">, </w:t>
      </w:r>
      <w:proofErr w:type="spellStart"/>
      <w:r>
        <w:rPr>
          <w:sz w:val="22"/>
          <w:szCs w:val="22"/>
          <w:lang w:val="es-ES"/>
        </w:rPr>
        <w:t>the</w:t>
      </w:r>
      <w:proofErr w:type="spellEnd"/>
      <w:r>
        <w:rPr>
          <w:sz w:val="22"/>
          <w:szCs w:val="22"/>
          <w:lang w:val="es-ES"/>
        </w:rPr>
        <w:t xml:space="preserve"> </w:t>
      </w:r>
      <w:proofErr w:type="spellStart"/>
      <w:r>
        <w:rPr>
          <w:sz w:val="22"/>
          <w:szCs w:val="22"/>
          <w:lang w:val="es-ES"/>
        </w:rPr>
        <w:t>participation</w:t>
      </w:r>
      <w:proofErr w:type="spellEnd"/>
      <w:r>
        <w:rPr>
          <w:sz w:val="22"/>
          <w:szCs w:val="22"/>
          <w:lang w:val="es-ES"/>
        </w:rPr>
        <w:t xml:space="preserve"> </w:t>
      </w:r>
      <w:proofErr w:type="spellStart"/>
      <w:r>
        <w:rPr>
          <w:sz w:val="22"/>
          <w:szCs w:val="22"/>
          <w:lang w:val="es-ES"/>
        </w:rPr>
        <w:t>of</w:t>
      </w:r>
      <w:proofErr w:type="spellEnd"/>
      <w:r>
        <w:rPr>
          <w:sz w:val="22"/>
          <w:szCs w:val="22"/>
          <w:lang w:val="es-ES"/>
        </w:rPr>
        <w:t xml:space="preserve"> a </w:t>
      </w:r>
      <w:proofErr w:type="spellStart"/>
      <w:r>
        <w:rPr>
          <w:sz w:val="22"/>
          <w:szCs w:val="22"/>
          <w:lang w:val="es-ES"/>
        </w:rPr>
        <w:t>translator</w:t>
      </w:r>
      <w:proofErr w:type="spellEnd"/>
      <w:r>
        <w:rPr>
          <w:sz w:val="22"/>
          <w:szCs w:val="22"/>
          <w:lang w:val="es-ES"/>
        </w:rPr>
        <w:t xml:space="preserve"> (Spanish-</w:t>
      </w:r>
      <w:proofErr w:type="spellStart"/>
      <w:r>
        <w:rPr>
          <w:sz w:val="22"/>
          <w:szCs w:val="22"/>
          <w:lang w:val="es-ES"/>
        </w:rPr>
        <w:t>language</w:t>
      </w:r>
      <w:proofErr w:type="spellEnd"/>
      <w:r>
        <w:rPr>
          <w:sz w:val="22"/>
          <w:szCs w:val="22"/>
          <w:lang w:val="es-ES"/>
        </w:rPr>
        <w:t xml:space="preserve"> </w:t>
      </w:r>
      <w:proofErr w:type="spellStart"/>
      <w:r>
        <w:rPr>
          <w:sz w:val="22"/>
          <w:szCs w:val="22"/>
          <w:lang w:val="es-ES"/>
        </w:rPr>
        <w:t>of</w:t>
      </w:r>
      <w:proofErr w:type="spellEnd"/>
      <w:r>
        <w:rPr>
          <w:sz w:val="22"/>
          <w:szCs w:val="22"/>
          <w:lang w:val="es-ES"/>
        </w:rPr>
        <w:t xml:space="preserve"> </w:t>
      </w:r>
      <w:proofErr w:type="spellStart"/>
      <w:r>
        <w:rPr>
          <w:sz w:val="22"/>
          <w:szCs w:val="22"/>
          <w:lang w:val="es-ES"/>
        </w:rPr>
        <w:t>the</w:t>
      </w:r>
      <w:proofErr w:type="spellEnd"/>
      <w:r>
        <w:rPr>
          <w:sz w:val="22"/>
          <w:szCs w:val="22"/>
          <w:lang w:val="es-ES"/>
        </w:rPr>
        <w:t xml:space="preserve"> country </w:t>
      </w:r>
      <w:proofErr w:type="spellStart"/>
      <w:r>
        <w:rPr>
          <w:sz w:val="22"/>
          <w:szCs w:val="22"/>
          <w:lang w:val="es-ES"/>
        </w:rPr>
        <w:t>of</w:t>
      </w:r>
      <w:proofErr w:type="spellEnd"/>
      <w:r>
        <w:rPr>
          <w:sz w:val="22"/>
          <w:szCs w:val="22"/>
          <w:lang w:val="es-ES"/>
        </w:rPr>
        <w:t xml:space="preserve"> manufacture), and </w:t>
      </w:r>
      <w:proofErr w:type="spellStart"/>
      <w:r>
        <w:rPr>
          <w:sz w:val="22"/>
          <w:szCs w:val="22"/>
          <w:lang w:val="es-ES"/>
        </w:rPr>
        <w:t>any</w:t>
      </w:r>
      <w:proofErr w:type="spellEnd"/>
      <w:r>
        <w:rPr>
          <w:sz w:val="22"/>
          <w:szCs w:val="22"/>
          <w:lang w:val="es-ES"/>
        </w:rPr>
        <w:t xml:space="preserve"> </w:t>
      </w:r>
      <w:proofErr w:type="spellStart"/>
      <w:r>
        <w:rPr>
          <w:sz w:val="22"/>
          <w:szCs w:val="22"/>
          <w:lang w:val="es-ES"/>
        </w:rPr>
        <w:t>other</w:t>
      </w:r>
      <w:proofErr w:type="spellEnd"/>
      <w:r>
        <w:rPr>
          <w:sz w:val="22"/>
          <w:szCs w:val="22"/>
          <w:lang w:val="es-ES"/>
        </w:rPr>
        <w:t xml:space="preserve"> </w:t>
      </w:r>
      <w:proofErr w:type="spellStart"/>
      <w:r>
        <w:rPr>
          <w:sz w:val="22"/>
          <w:szCs w:val="22"/>
          <w:lang w:val="es-ES"/>
        </w:rPr>
        <w:t>assistance</w:t>
      </w:r>
      <w:proofErr w:type="spellEnd"/>
      <w:r>
        <w:rPr>
          <w:sz w:val="22"/>
          <w:szCs w:val="22"/>
          <w:lang w:val="es-ES"/>
        </w:rPr>
        <w:t xml:space="preserve"> </w:t>
      </w:r>
      <w:proofErr w:type="spellStart"/>
      <w:r>
        <w:rPr>
          <w:sz w:val="22"/>
          <w:szCs w:val="22"/>
          <w:lang w:val="es-ES"/>
        </w:rPr>
        <w:t>deemed</w:t>
      </w:r>
      <w:proofErr w:type="spellEnd"/>
      <w:r>
        <w:rPr>
          <w:sz w:val="22"/>
          <w:szCs w:val="22"/>
          <w:lang w:val="es-ES"/>
        </w:rPr>
        <w:t xml:space="preserve"> </w:t>
      </w:r>
      <w:proofErr w:type="spellStart"/>
      <w:r>
        <w:rPr>
          <w:sz w:val="22"/>
          <w:szCs w:val="22"/>
          <w:lang w:val="es-ES"/>
        </w:rPr>
        <w:t>necessary</w:t>
      </w:r>
      <w:proofErr w:type="spellEnd"/>
      <w:r>
        <w:rPr>
          <w:sz w:val="22"/>
          <w:szCs w:val="22"/>
          <w:lang w:val="es-ES"/>
        </w:rPr>
        <w:t xml:space="preserve"> </w:t>
      </w:r>
      <w:proofErr w:type="spellStart"/>
      <w:r>
        <w:rPr>
          <w:sz w:val="22"/>
          <w:szCs w:val="22"/>
          <w:lang w:val="es-ES"/>
        </w:rPr>
        <w:t>for</w:t>
      </w:r>
      <w:proofErr w:type="spellEnd"/>
      <w:r>
        <w:rPr>
          <w:sz w:val="22"/>
          <w:szCs w:val="22"/>
          <w:lang w:val="es-ES"/>
        </w:rPr>
        <w:t xml:space="preserve"> </w:t>
      </w:r>
      <w:proofErr w:type="spellStart"/>
      <w:r>
        <w:rPr>
          <w:sz w:val="22"/>
          <w:szCs w:val="22"/>
          <w:lang w:val="es-ES"/>
        </w:rPr>
        <w:t>the</w:t>
      </w:r>
      <w:proofErr w:type="spellEnd"/>
      <w:r>
        <w:rPr>
          <w:sz w:val="22"/>
          <w:szCs w:val="22"/>
          <w:lang w:val="es-ES"/>
        </w:rPr>
        <w:t xml:space="preserve"> </w:t>
      </w:r>
      <w:proofErr w:type="spellStart"/>
      <w:r>
        <w:rPr>
          <w:sz w:val="22"/>
          <w:szCs w:val="22"/>
          <w:lang w:val="es-ES"/>
        </w:rPr>
        <w:t>technician</w:t>
      </w:r>
      <w:proofErr w:type="spellEnd"/>
      <w:r>
        <w:rPr>
          <w:sz w:val="22"/>
          <w:szCs w:val="22"/>
          <w:lang w:val="es-ES"/>
        </w:rPr>
        <w:t xml:space="preserve"> </w:t>
      </w:r>
      <w:proofErr w:type="spellStart"/>
      <w:r>
        <w:rPr>
          <w:sz w:val="22"/>
          <w:szCs w:val="22"/>
          <w:lang w:val="es-ES"/>
        </w:rPr>
        <w:t>to</w:t>
      </w:r>
      <w:proofErr w:type="spellEnd"/>
      <w:r>
        <w:rPr>
          <w:sz w:val="22"/>
          <w:szCs w:val="22"/>
          <w:lang w:val="es-ES"/>
        </w:rPr>
        <w:t xml:space="preserve"> </w:t>
      </w:r>
      <w:proofErr w:type="spellStart"/>
      <w:r>
        <w:rPr>
          <w:sz w:val="22"/>
          <w:szCs w:val="22"/>
          <w:lang w:val="es-ES"/>
        </w:rPr>
        <w:t>perform</w:t>
      </w:r>
      <w:proofErr w:type="spellEnd"/>
      <w:r>
        <w:rPr>
          <w:sz w:val="22"/>
          <w:szCs w:val="22"/>
          <w:lang w:val="es-ES"/>
        </w:rPr>
        <w:t xml:space="preserve"> </w:t>
      </w:r>
      <w:proofErr w:type="spellStart"/>
      <w:r>
        <w:rPr>
          <w:sz w:val="22"/>
          <w:szCs w:val="22"/>
          <w:lang w:val="es-ES"/>
        </w:rPr>
        <w:t>their</w:t>
      </w:r>
      <w:proofErr w:type="spellEnd"/>
      <w:r>
        <w:rPr>
          <w:sz w:val="22"/>
          <w:szCs w:val="22"/>
          <w:lang w:val="es-ES"/>
        </w:rPr>
        <w:t xml:space="preserve"> </w:t>
      </w:r>
      <w:proofErr w:type="spellStart"/>
      <w:r>
        <w:rPr>
          <w:sz w:val="22"/>
          <w:szCs w:val="22"/>
          <w:lang w:val="es-ES"/>
        </w:rPr>
        <w:t>work</w:t>
      </w:r>
      <w:proofErr w:type="spellEnd"/>
      <w:r>
        <w:rPr>
          <w:sz w:val="22"/>
          <w:szCs w:val="22"/>
          <w:lang w:val="es-ES"/>
        </w:rPr>
        <w:t xml:space="preserve"> </w:t>
      </w:r>
      <w:proofErr w:type="spellStart"/>
      <w:r>
        <w:rPr>
          <w:sz w:val="22"/>
          <w:szCs w:val="22"/>
          <w:lang w:val="es-ES"/>
        </w:rPr>
        <w:t>during</w:t>
      </w:r>
      <w:proofErr w:type="spellEnd"/>
      <w:r>
        <w:rPr>
          <w:sz w:val="22"/>
          <w:szCs w:val="22"/>
          <w:lang w:val="es-ES"/>
        </w:rPr>
        <w:t xml:space="preserve"> </w:t>
      </w:r>
      <w:proofErr w:type="spellStart"/>
      <w:r>
        <w:rPr>
          <w:sz w:val="22"/>
          <w:szCs w:val="22"/>
          <w:lang w:val="es-ES"/>
        </w:rPr>
        <w:t>their</w:t>
      </w:r>
      <w:proofErr w:type="spellEnd"/>
      <w:r>
        <w:rPr>
          <w:sz w:val="22"/>
          <w:szCs w:val="22"/>
          <w:lang w:val="es-ES"/>
        </w:rPr>
        <w:t xml:space="preserve"> </w:t>
      </w:r>
      <w:proofErr w:type="spellStart"/>
      <w:r>
        <w:rPr>
          <w:sz w:val="22"/>
          <w:szCs w:val="22"/>
          <w:lang w:val="es-ES"/>
        </w:rPr>
        <w:t>stay</w:t>
      </w:r>
      <w:proofErr w:type="spellEnd"/>
      <w:r>
        <w:rPr>
          <w:sz w:val="22"/>
          <w:szCs w:val="22"/>
          <w:lang w:val="es-ES"/>
        </w:rPr>
        <w:t xml:space="preserve">. </w:t>
      </w:r>
      <w:proofErr w:type="spellStart"/>
      <w:r>
        <w:rPr>
          <w:sz w:val="22"/>
          <w:szCs w:val="22"/>
          <w:lang w:val="es-ES"/>
        </w:rPr>
        <w:t>All</w:t>
      </w:r>
      <w:proofErr w:type="spellEnd"/>
      <w:r>
        <w:rPr>
          <w:sz w:val="22"/>
          <w:szCs w:val="22"/>
          <w:lang w:val="es-ES"/>
        </w:rPr>
        <w:t xml:space="preserve"> </w:t>
      </w:r>
      <w:proofErr w:type="spellStart"/>
      <w:r>
        <w:rPr>
          <w:sz w:val="22"/>
          <w:szCs w:val="22"/>
          <w:lang w:val="es-ES"/>
        </w:rPr>
        <w:t>costs</w:t>
      </w:r>
      <w:proofErr w:type="spellEnd"/>
      <w:r>
        <w:rPr>
          <w:sz w:val="22"/>
          <w:szCs w:val="22"/>
          <w:lang w:val="es-ES"/>
        </w:rPr>
        <w:t xml:space="preserve"> </w:t>
      </w:r>
      <w:proofErr w:type="spellStart"/>
      <w:r>
        <w:rPr>
          <w:sz w:val="22"/>
          <w:szCs w:val="22"/>
          <w:lang w:val="es-ES"/>
        </w:rPr>
        <w:t>associated</w:t>
      </w:r>
      <w:proofErr w:type="spellEnd"/>
      <w:r>
        <w:rPr>
          <w:sz w:val="22"/>
          <w:szCs w:val="22"/>
          <w:lang w:val="es-ES"/>
        </w:rPr>
        <w:t xml:space="preserve"> </w:t>
      </w:r>
      <w:proofErr w:type="spellStart"/>
      <w:r>
        <w:rPr>
          <w:sz w:val="22"/>
          <w:szCs w:val="22"/>
          <w:lang w:val="es-ES"/>
        </w:rPr>
        <w:t>with</w:t>
      </w:r>
      <w:proofErr w:type="spellEnd"/>
      <w:r>
        <w:rPr>
          <w:sz w:val="22"/>
          <w:szCs w:val="22"/>
          <w:lang w:val="es-ES"/>
        </w:rPr>
        <w:t xml:space="preserve"> </w:t>
      </w:r>
      <w:proofErr w:type="spellStart"/>
      <w:r>
        <w:rPr>
          <w:sz w:val="22"/>
          <w:szCs w:val="22"/>
          <w:lang w:val="es-ES"/>
        </w:rPr>
        <w:t>the</w:t>
      </w:r>
      <w:proofErr w:type="spellEnd"/>
      <w:r>
        <w:rPr>
          <w:sz w:val="22"/>
          <w:szCs w:val="22"/>
          <w:lang w:val="es-ES"/>
        </w:rPr>
        <w:t xml:space="preserve"> OSE </w:t>
      </w:r>
      <w:proofErr w:type="spellStart"/>
      <w:r>
        <w:rPr>
          <w:sz w:val="22"/>
          <w:szCs w:val="22"/>
          <w:lang w:val="es-ES"/>
        </w:rPr>
        <w:t>technician's</w:t>
      </w:r>
      <w:proofErr w:type="spellEnd"/>
      <w:r>
        <w:rPr>
          <w:sz w:val="22"/>
          <w:szCs w:val="22"/>
          <w:lang w:val="es-ES"/>
        </w:rPr>
        <w:t xml:space="preserve"> </w:t>
      </w:r>
      <w:proofErr w:type="spellStart"/>
      <w:r>
        <w:rPr>
          <w:sz w:val="22"/>
          <w:szCs w:val="22"/>
          <w:lang w:val="es-ES"/>
        </w:rPr>
        <w:t>visit</w:t>
      </w:r>
      <w:proofErr w:type="spellEnd"/>
      <w:r>
        <w:rPr>
          <w:sz w:val="22"/>
          <w:szCs w:val="22"/>
          <w:lang w:val="es-ES"/>
        </w:rPr>
        <w:t>, (</w:t>
      </w:r>
      <w:proofErr w:type="spellStart"/>
      <w:r>
        <w:rPr>
          <w:color w:val="000000"/>
          <w:sz w:val="22"/>
          <w:szCs w:val="22"/>
          <w:lang w:val="es-ES"/>
        </w:rPr>
        <w:t>travel</w:t>
      </w:r>
      <w:proofErr w:type="spellEnd"/>
      <w:r>
        <w:rPr>
          <w:color w:val="000000"/>
          <w:sz w:val="22"/>
          <w:szCs w:val="22"/>
          <w:lang w:val="es-ES"/>
        </w:rPr>
        <w:t xml:space="preserve"> and </w:t>
      </w:r>
      <w:proofErr w:type="spellStart"/>
      <w:r>
        <w:rPr>
          <w:color w:val="000000"/>
          <w:sz w:val="22"/>
          <w:szCs w:val="22"/>
          <w:lang w:val="es-ES"/>
        </w:rPr>
        <w:t>accommodation</w:t>
      </w:r>
      <w:proofErr w:type="spellEnd"/>
      <w:r>
        <w:rPr>
          <w:color w:val="000000"/>
          <w:sz w:val="22"/>
          <w:szCs w:val="22"/>
          <w:lang w:val="es-ES"/>
        </w:rPr>
        <w:t xml:space="preserve"> </w:t>
      </w:r>
      <w:proofErr w:type="spellStart"/>
      <w:r>
        <w:rPr>
          <w:color w:val="000000"/>
          <w:sz w:val="22"/>
          <w:szCs w:val="22"/>
          <w:lang w:val="es-ES"/>
        </w:rPr>
        <w:t>costs</w:t>
      </w:r>
      <w:proofErr w:type="spellEnd"/>
      <w:r>
        <w:rPr>
          <w:color w:val="000000"/>
          <w:sz w:val="22"/>
          <w:szCs w:val="22"/>
          <w:lang w:val="es-ES"/>
        </w:rPr>
        <w:t xml:space="preserve"> </w:t>
      </w:r>
      <w:proofErr w:type="spellStart"/>
      <w:r>
        <w:rPr>
          <w:color w:val="000000"/>
          <w:sz w:val="22"/>
          <w:szCs w:val="22"/>
          <w:lang w:val="es-ES"/>
        </w:rPr>
        <w:t>for</w:t>
      </w:r>
      <w:proofErr w:type="spellEnd"/>
      <w:r>
        <w:rPr>
          <w:color w:val="000000"/>
          <w:sz w:val="22"/>
          <w:szCs w:val="22"/>
          <w:lang w:val="es-ES"/>
        </w:rPr>
        <w:t xml:space="preserve"> </w:t>
      </w:r>
      <w:proofErr w:type="spellStart"/>
      <w:r>
        <w:rPr>
          <w:color w:val="000000"/>
          <w:sz w:val="22"/>
          <w:szCs w:val="22"/>
          <w:lang w:val="es-ES"/>
        </w:rPr>
        <w:t>this</w:t>
      </w:r>
      <w:proofErr w:type="spellEnd"/>
      <w:r>
        <w:rPr>
          <w:color w:val="000000"/>
          <w:sz w:val="22"/>
          <w:szCs w:val="22"/>
          <w:lang w:val="es-ES"/>
        </w:rPr>
        <w:t xml:space="preserve"> </w:t>
      </w:r>
      <w:proofErr w:type="spellStart"/>
      <w:r>
        <w:rPr>
          <w:color w:val="000000"/>
          <w:sz w:val="22"/>
          <w:szCs w:val="22"/>
          <w:lang w:val="es-ES"/>
        </w:rPr>
        <w:t>technician</w:t>
      </w:r>
      <w:r>
        <w:rPr>
          <w:sz w:val="22"/>
          <w:szCs w:val="22"/>
          <w:lang w:val="es-ES"/>
        </w:rPr>
        <w:t>and</w:t>
      </w:r>
      <w:proofErr w:type="spellEnd"/>
      <w:r>
        <w:rPr>
          <w:sz w:val="22"/>
          <w:szCs w:val="22"/>
          <w:lang w:val="es-ES"/>
        </w:rPr>
        <w:t xml:space="preserve"> </w:t>
      </w:r>
      <w:proofErr w:type="spellStart"/>
      <w:r>
        <w:rPr>
          <w:sz w:val="22"/>
          <w:szCs w:val="22"/>
          <w:lang w:val="es-ES"/>
        </w:rPr>
        <w:t>all</w:t>
      </w:r>
      <w:proofErr w:type="spellEnd"/>
      <w:r>
        <w:rPr>
          <w:sz w:val="22"/>
          <w:szCs w:val="22"/>
          <w:lang w:val="es-ES"/>
        </w:rPr>
        <w:t xml:space="preserve"> </w:t>
      </w:r>
      <w:proofErr w:type="spellStart"/>
      <w:r>
        <w:rPr>
          <w:sz w:val="22"/>
          <w:szCs w:val="22"/>
          <w:lang w:val="es-ES"/>
        </w:rPr>
        <w:t>other</w:t>
      </w:r>
      <w:proofErr w:type="spellEnd"/>
      <w:r>
        <w:rPr>
          <w:sz w:val="22"/>
          <w:szCs w:val="22"/>
          <w:lang w:val="es-ES"/>
        </w:rPr>
        <w:t xml:space="preserve"> expenses </w:t>
      </w:r>
      <w:proofErr w:type="spellStart"/>
      <w:r>
        <w:rPr>
          <w:sz w:val="22"/>
          <w:szCs w:val="22"/>
          <w:lang w:val="es-ES"/>
        </w:rPr>
        <w:t>related</w:t>
      </w:r>
      <w:proofErr w:type="spellEnd"/>
      <w:r>
        <w:rPr>
          <w:sz w:val="22"/>
          <w:szCs w:val="22"/>
          <w:lang w:val="es-ES"/>
        </w:rPr>
        <w:t xml:space="preserve"> </w:t>
      </w:r>
      <w:proofErr w:type="spellStart"/>
      <w:r>
        <w:rPr>
          <w:sz w:val="22"/>
          <w:szCs w:val="22"/>
          <w:lang w:val="es-ES"/>
        </w:rPr>
        <w:t>to</w:t>
      </w:r>
      <w:proofErr w:type="spellEnd"/>
      <w:r>
        <w:rPr>
          <w:sz w:val="22"/>
          <w:szCs w:val="22"/>
          <w:lang w:val="es-ES"/>
        </w:rPr>
        <w:t xml:space="preserve"> </w:t>
      </w:r>
      <w:proofErr w:type="spellStart"/>
      <w:r>
        <w:rPr>
          <w:sz w:val="22"/>
          <w:szCs w:val="22"/>
          <w:lang w:val="es-ES"/>
        </w:rPr>
        <w:t>your</w:t>
      </w:r>
      <w:proofErr w:type="spellEnd"/>
      <w:r>
        <w:rPr>
          <w:sz w:val="22"/>
          <w:szCs w:val="22"/>
          <w:lang w:val="es-ES"/>
        </w:rPr>
        <w:t xml:space="preserve"> </w:t>
      </w:r>
      <w:proofErr w:type="spellStart"/>
      <w:r>
        <w:rPr>
          <w:sz w:val="22"/>
          <w:szCs w:val="22"/>
          <w:lang w:val="es-ES"/>
        </w:rPr>
        <w:t>visit</w:t>
      </w:r>
      <w:proofErr w:type="spellEnd"/>
      <w:r>
        <w:rPr>
          <w:sz w:val="22"/>
          <w:szCs w:val="22"/>
          <w:lang w:val="es-ES"/>
        </w:rPr>
        <w:t xml:space="preserve">), </w:t>
      </w:r>
      <w:proofErr w:type="spellStart"/>
      <w:r>
        <w:rPr>
          <w:sz w:val="22"/>
          <w:szCs w:val="22"/>
          <w:lang w:val="es-ES"/>
        </w:rPr>
        <w:t>will</w:t>
      </w:r>
      <w:proofErr w:type="spellEnd"/>
      <w:r>
        <w:rPr>
          <w:sz w:val="22"/>
          <w:szCs w:val="22"/>
          <w:lang w:val="es-ES"/>
        </w:rPr>
        <w:t xml:space="preserve"> be </w:t>
      </w:r>
      <w:proofErr w:type="spellStart"/>
      <w:r>
        <w:rPr>
          <w:sz w:val="22"/>
          <w:szCs w:val="22"/>
          <w:lang w:val="es-ES"/>
        </w:rPr>
        <w:t>quoted</w:t>
      </w:r>
      <w:proofErr w:type="spellEnd"/>
      <w:r>
        <w:rPr>
          <w:sz w:val="22"/>
          <w:szCs w:val="22"/>
          <w:lang w:val="es-ES"/>
        </w:rPr>
        <w:t xml:space="preserve"> in </w:t>
      </w:r>
      <w:proofErr w:type="spellStart"/>
      <w:r>
        <w:rPr>
          <w:sz w:val="22"/>
          <w:szCs w:val="22"/>
          <w:lang w:val="es-ES"/>
        </w:rPr>
        <w:t>the</w:t>
      </w:r>
      <w:proofErr w:type="spellEnd"/>
      <w:r>
        <w:rPr>
          <w:sz w:val="22"/>
          <w:szCs w:val="22"/>
          <w:lang w:val="es-ES"/>
        </w:rPr>
        <w:t xml:space="preserve"> </w:t>
      </w:r>
      <w:proofErr w:type="spellStart"/>
      <w:r>
        <w:rPr>
          <w:sz w:val="22"/>
          <w:szCs w:val="22"/>
          <w:lang w:val="es-ES"/>
        </w:rPr>
        <w:t>corresponding</w:t>
      </w:r>
      <w:proofErr w:type="spellEnd"/>
      <w:r>
        <w:rPr>
          <w:sz w:val="22"/>
          <w:szCs w:val="22"/>
          <w:lang w:val="es-ES"/>
        </w:rPr>
        <w:t xml:space="preserve"> </w:t>
      </w:r>
      <w:proofErr w:type="spellStart"/>
      <w:r>
        <w:rPr>
          <w:sz w:val="22"/>
          <w:szCs w:val="22"/>
          <w:lang w:val="es-ES"/>
        </w:rPr>
        <w:t>sub-item</w:t>
      </w:r>
      <w:proofErr w:type="spellEnd"/>
      <w:r>
        <w:rPr>
          <w:sz w:val="22"/>
          <w:szCs w:val="22"/>
          <w:lang w:val="es-ES"/>
        </w:rPr>
        <w:t xml:space="preserve"> </w:t>
      </w:r>
      <w:proofErr w:type="spellStart"/>
      <w:r>
        <w:rPr>
          <w:sz w:val="22"/>
          <w:szCs w:val="22"/>
          <w:lang w:val="es-ES"/>
        </w:rPr>
        <w:t>of</w:t>
      </w:r>
      <w:proofErr w:type="spellEnd"/>
      <w:r>
        <w:rPr>
          <w:sz w:val="22"/>
          <w:szCs w:val="22"/>
          <w:lang w:val="es-ES"/>
        </w:rPr>
        <w:t xml:space="preserve"> </w:t>
      </w:r>
      <w:proofErr w:type="spellStart"/>
      <w:r>
        <w:rPr>
          <w:sz w:val="22"/>
          <w:szCs w:val="22"/>
          <w:lang w:val="es-ES"/>
        </w:rPr>
        <w:t>Annex</w:t>
      </w:r>
      <w:proofErr w:type="spellEnd"/>
      <w:r>
        <w:rPr>
          <w:sz w:val="22"/>
          <w:szCs w:val="22"/>
          <w:lang w:val="es-ES"/>
        </w:rPr>
        <w:t xml:space="preserve"> V e) – </w:t>
      </w:r>
      <w:proofErr w:type="spellStart"/>
      <w:r>
        <w:rPr>
          <w:sz w:val="22"/>
          <w:szCs w:val="22"/>
          <w:lang w:val="es-ES"/>
        </w:rPr>
        <w:t>Related</w:t>
      </w:r>
      <w:proofErr w:type="spellEnd"/>
      <w:r>
        <w:rPr>
          <w:sz w:val="22"/>
          <w:szCs w:val="22"/>
          <w:lang w:val="es-ES"/>
        </w:rPr>
        <w:t xml:space="preserve"> </w:t>
      </w:r>
      <w:proofErr w:type="spellStart"/>
      <w:r>
        <w:rPr>
          <w:sz w:val="22"/>
          <w:szCs w:val="22"/>
          <w:lang w:val="es-ES"/>
        </w:rPr>
        <w:t>Services</w:t>
      </w:r>
      <w:proofErr w:type="spellEnd"/>
      <w:r>
        <w:rPr>
          <w:sz w:val="22"/>
          <w:szCs w:val="22"/>
          <w:lang w:val="es-ES"/>
        </w:rPr>
        <w:t>.</w:t>
      </w:r>
    </w:p>
    <w:p w14:paraId="5A546D5D" w14:textId="77777777" w:rsidR="00E255F4" w:rsidRDefault="00000000">
      <w:pPr>
        <w:numPr>
          <w:ilvl w:val="3"/>
          <w:numId w:val="10"/>
        </w:numPr>
        <w:tabs>
          <w:tab w:val="left" w:pos="-720"/>
          <w:tab w:val="left" w:pos="0"/>
          <w:tab w:val="left" w:pos="851"/>
          <w:tab w:val="left" w:pos="1276"/>
        </w:tabs>
        <w:spacing w:before="120"/>
        <w:ind w:left="851" w:hanging="851"/>
        <w:jc w:val="both"/>
      </w:pPr>
      <w:r>
        <w:rPr>
          <w:sz w:val="22"/>
          <w:szCs w:val="22"/>
          <w:lang w:val="es-ES"/>
        </w:rPr>
        <w:t xml:space="preserve">For </w:t>
      </w:r>
      <w:proofErr w:type="spellStart"/>
      <w:r>
        <w:rPr>
          <w:sz w:val="22"/>
          <w:szCs w:val="22"/>
          <w:lang w:val="es-ES"/>
        </w:rPr>
        <w:t>the</w:t>
      </w:r>
      <w:proofErr w:type="spellEnd"/>
      <w:r>
        <w:rPr>
          <w:sz w:val="22"/>
          <w:szCs w:val="22"/>
          <w:lang w:val="es-ES"/>
        </w:rPr>
        <w:t xml:space="preserve"> </w:t>
      </w:r>
      <w:proofErr w:type="spellStart"/>
      <w:r>
        <w:rPr>
          <w:sz w:val="22"/>
          <w:szCs w:val="22"/>
          <w:lang w:val="es-ES"/>
        </w:rPr>
        <w:t>purpose</w:t>
      </w:r>
      <w:proofErr w:type="spellEnd"/>
      <w:r>
        <w:rPr>
          <w:sz w:val="22"/>
          <w:szCs w:val="22"/>
          <w:lang w:val="es-ES"/>
        </w:rPr>
        <w:t xml:space="preserve"> </w:t>
      </w:r>
      <w:proofErr w:type="spellStart"/>
      <w:r>
        <w:rPr>
          <w:sz w:val="22"/>
          <w:szCs w:val="22"/>
          <w:lang w:val="es-ES"/>
        </w:rPr>
        <w:t>of</w:t>
      </w:r>
      <w:proofErr w:type="spellEnd"/>
      <w:r>
        <w:rPr>
          <w:sz w:val="22"/>
          <w:szCs w:val="22"/>
          <w:lang w:val="es-ES"/>
        </w:rPr>
        <w:t xml:space="preserve"> </w:t>
      </w:r>
      <w:proofErr w:type="spellStart"/>
      <w:r>
        <w:rPr>
          <w:sz w:val="22"/>
          <w:szCs w:val="22"/>
          <w:lang w:val="es-ES"/>
        </w:rPr>
        <w:t>coordinating</w:t>
      </w:r>
      <w:proofErr w:type="spellEnd"/>
      <w:r>
        <w:rPr>
          <w:sz w:val="22"/>
          <w:szCs w:val="22"/>
          <w:lang w:val="es-ES"/>
        </w:rPr>
        <w:t xml:space="preserve"> </w:t>
      </w:r>
      <w:proofErr w:type="spellStart"/>
      <w:r>
        <w:rPr>
          <w:sz w:val="22"/>
          <w:szCs w:val="22"/>
          <w:lang w:val="es-ES"/>
        </w:rPr>
        <w:t>the</w:t>
      </w:r>
      <w:proofErr w:type="spellEnd"/>
      <w:r>
        <w:rPr>
          <w:sz w:val="22"/>
          <w:szCs w:val="22"/>
          <w:lang w:val="es-ES"/>
        </w:rPr>
        <w:t xml:space="preserve"> OSE </w:t>
      </w:r>
      <w:proofErr w:type="spellStart"/>
      <w:r>
        <w:rPr>
          <w:sz w:val="22"/>
          <w:szCs w:val="22"/>
          <w:lang w:val="es-ES"/>
        </w:rPr>
        <w:t>technician's</w:t>
      </w:r>
      <w:proofErr w:type="spellEnd"/>
      <w:r>
        <w:rPr>
          <w:sz w:val="22"/>
          <w:szCs w:val="22"/>
          <w:lang w:val="es-ES"/>
        </w:rPr>
        <w:t xml:space="preserve"> </w:t>
      </w:r>
      <w:proofErr w:type="spellStart"/>
      <w:r>
        <w:rPr>
          <w:sz w:val="22"/>
          <w:szCs w:val="22"/>
          <w:lang w:val="es-ES"/>
        </w:rPr>
        <w:t>visit</w:t>
      </w:r>
      <w:proofErr w:type="spellEnd"/>
      <w:r>
        <w:rPr>
          <w:sz w:val="22"/>
          <w:szCs w:val="22"/>
          <w:lang w:val="es-ES"/>
        </w:rPr>
        <w:t xml:space="preserve">, </w:t>
      </w:r>
      <w:proofErr w:type="spellStart"/>
      <w:r>
        <w:rPr>
          <w:sz w:val="22"/>
          <w:szCs w:val="22"/>
          <w:lang w:val="es-ES"/>
        </w:rPr>
        <w:t>the</w:t>
      </w:r>
      <w:proofErr w:type="spellEnd"/>
      <w:r>
        <w:rPr>
          <w:sz w:val="22"/>
          <w:szCs w:val="22"/>
          <w:lang w:val="es-ES"/>
        </w:rPr>
        <w:t xml:space="preserve"> </w:t>
      </w:r>
      <w:proofErr w:type="spellStart"/>
      <w:r>
        <w:rPr>
          <w:sz w:val="22"/>
          <w:szCs w:val="22"/>
          <w:lang w:val="es-ES"/>
        </w:rPr>
        <w:t>supplier</w:t>
      </w:r>
      <w:proofErr w:type="spellEnd"/>
      <w:r>
        <w:rPr>
          <w:sz w:val="22"/>
          <w:szCs w:val="22"/>
          <w:lang w:val="es-ES"/>
        </w:rPr>
        <w:t xml:space="preserve"> </w:t>
      </w:r>
      <w:proofErr w:type="spellStart"/>
      <w:r>
        <w:rPr>
          <w:sz w:val="22"/>
          <w:szCs w:val="22"/>
          <w:lang w:val="es-ES"/>
        </w:rPr>
        <w:t>must</w:t>
      </w:r>
      <w:proofErr w:type="spellEnd"/>
      <w:r>
        <w:rPr>
          <w:sz w:val="22"/>
          <w:szCs w:val="22"/>
          <w:lang w:val="es-ES"/>
        </w:rPr>
        <w:t xml:space="preserve"> </w:t>
      </w:r>
      <w:proofErr w:type="spellStart"/>
      <w:r>
        <w:rPr>
          <w:sz w:val="22"/>
          <w:szCs w:val="22"/>
          <w:lang w:val="es-ES"/>
        </w:rPr>
        <w:t>notify</w:t>
      </w:r>
      <w:proofErr w:type="spellEnd"/>
      <w:r>
        <w:rPr>
          <w:sz w:val="22"/>
          <w:szCs w:val="22"/>
          <w:lang w:val="es-ES"/>
        </w:rPr>
        <w:t xml:space="preserve"> OSE at </w:t>
      </w:r>
      <w:proofErr w:type="spellStart"/>
      <w:r>
        <w:rPr>
          <w:sz w:val="22"/>
          <w:szCs w:val="22"/>
          <w:lang w:val="es-ES"/>
        </w:rPr>
        <w:t>least</w:t>
      </w:r>
      <w:proofErr w:type="spellEnd"/>
      <w:r>
        <w:rPr>
          <w:sz w:val="22"/>
          <w:szCs w:val="22"/>
          <w:lang w:val="es-ES"/>
        </w:rPr>
        <w:t xml:space="preserve"> 45 (</w:t>
      </w:r>
      <w:proofErr w:type="spellStart"/>
      <w:r>
        <w:rPr>
          <w:sz w:val="22"/>
          <w:szCs w:val="22"/>
          <w:lang w:val="es-ES"/>
        </w:rPr>
        <w:t>forty-five</w:t>
      </w:r>
      <w:proofErr w:type="spellEnd"/>
      <w:r>
        <w:rPr>
          <w:sz w:val="22"/>
          <w:szCs w:val="22"/>
          <w:lang w:val="es-ES"/>
        </w:rPr>
        <w:t xml:space="preserve">) </w:t>
      </w:r>
      <w:proofErr w:type="spellStart"/>
      <w:r>
        <w:rPr>
          <w:sz w:val="22"/>
          <w:szCs w:val="22"/>
          <w:lang w:val="es-ES"/>
        </w:rPr>
        <w:t>days</w:t>
      </w:r>
      <w:proofErr w:type="spellEnd"/>
      <w:r>
        <w:rPr>
          <w:sz w:val="22"/>
          <w:szCs w:val="22"/>
          <w:lang w:val="es-ES"/>
        </w:rPr>
        <w:t xml:space="preserve"> in </w:t>
      </w:r>
      <w:proofErr w:type="spellStart"/>
      <w:r>
        <w:rPr>
          <w:sz w:val="22"/>
          <w:szCs w:val="22"/>
          <w:lang w:val="es-ES"/>
        </w:rPr>
        <w:t>advance</w:t>
      </w:r>
      <w:proofErr w:type="spellEnd"/>
      <w:r>
        <w:rPr>
          <w:sz w:val="22"/>
          <w:szCs w:val="22"/>
          <w:lang w:val="es-ES"/>
        </w:rPr>
        <w:t xml:space="preserve"> </w:t>
      </w:r>
      <w:proofErr w:type="spellStart"/>
      <w:r>
        <w:rPr>
          <w:sz w:val="22"/>
          <w:szCs w:val="22"/>
          <w:lang w:val="es-ES"/>
        </w:rPr>
        <w:t>of</w:t>
      </w:r>
      <w:proofErr w:type="spellEnd"/>
      <w:r>
        <w:rPr>
          <w:sz w:val="22"/>
          <w:szCs w:val="22"/>
          <w:lang w:val="es-ES"/>
        </w:rPr>
        <w:t xml:space="preserve"> </w:t>
      </w:r>
      <w:proofErr w:type="spellStart"/>
      <w:r>
        <w:rPr>
          <w:sz w:val="22"/>
          <w:szCs w:val="22"/>
          <w:lang w:val="es-ES"/>
        </w:rPr>
        <w:t>the</w:t>
      </w:r>
      <w:proofErr w:type="spellEnd"/>
      <w:r>
        <w:rPr>
          <w:sz w:val="22"/>
          <w:szCs w:val="22"/>
          <w:lang w:val="es-ES"/>
        </w:rPr>
        <w:t xml:space="preserve"> date </w:t>
      </w:r>
      <w:proofErr w:type="spellStart"/>
      <w:r>
        <w:rPr>
          <w:sz w:val="22"/>
          <w:szCs w:val="22"/>
          <w:lang w:val="es-ES"/>
        </w:rPr>
        <w:t>on</w:t>
      </w:r>
      <w:proofErr w:type="spellEnd"/>
      <w:r>
        <w:rPr>
          <w:sz w:val="22"/>
          <w:szCs w:val="22"/>
          <w:lang w:val="es-ES"/>
        </w:rPr>
        <w:t xml:space="preserve"> </w:t>
      </w:r>
      <w:proofErr w:type="spellStart"/>
      <w:r>
        <w:rPr>
          <w:sz w:val="22"/>
          <w:szCs w:val="22"/>
          <w:lang w:val="es-ES"/>
        </w:rPr>
        <w:t>which</w:t>
      </w:r>
      <w:proofErr w:type="spellEnd"/>
      <w:r>
        <w:rPr>
          <w:sz w:val="22"/>
          <w:szCs w:val="22"/>
          <w:lang w:val="es-ES"/>
        </w:rPr>
        <w:t xml:space="preserve"> </w:t>
      </w:r>
      <w:proofErr w:type="spellStart"/>
      <w:r>
        <w:rPr>
          <w:sz w:val="22"/>
          <w:szCs w:val="22"/>
          <w:lang w:val="es-ES"/>
        </w:rPr>
        <w:t>the</w:t>
      </w:r>
      <w:proofErr w:type="spellEnd"/>
      <w:r>
        <w:rPr>
          <w:sz w:val="22"/>
          <w:szCs w:val="22"/>
          <w:lang w:val="es-ES"/>
        </w:rPr>
        <w:t xml:space="preserve"> </w:t>
      </w:r>
      <w:proofErr w:type="spellStart"/>
      <w:r>
        <w:rPr>
          <w:sz w:val="22"/>
          <w:szCs w:val="22"/>
          <w:lang w:val="es-ES"/>
        </w:rPr>
        <w:t>acceptance</w:t>
      </w:r>
      <w:proofErr w:type="spellEnd"/>
      <w:r>
        <w:rPr>
          <w:sz w:val="22"/>
          <w:szCs w:val="22"/>
          <w:lang w:val="es-ES"/>
        </w:rPr>
        <w:t xml:space="preserve"> </w:t>
      </w:r>
      <w:proofErr w:type="spellStart"/>
      <w:r>
        <w:rPr>
          <w:sz w:val="22"/>
          <w:szCs w:val="22"/>
          <w:lang w:val="es-ES"/>
        </w:rPr>
        <w:t>tests</w:t>
      </w:r>
      <w:proofErr w:type="spellEnd"/>
      <w:r>
        <w:rPr>
          <w:sz w:val="22"/>
          <w:szCs w:val="22"/>
          <w:lang w:val="es-ES"/>
        </w:rPr>
        <w:t xml:space="preserve"> are </w:t>
      </w:r>
      <w:proofErr w:type="spellStart"/>
      <w:r>
        <w:rPr>
          <w:sz w:val="22"/>
          <w:szCs w:val="22"/>
          <w:lang w:val="es-ES"/>
        </w:rPr>
        <w:t>expected</w:t>
      </w:r>
      <w:proofErr w:type="spellEnd"/>
      <w:r>
        <w:rPr>
          <w:sz w:val="22"/>
          <w:szCs w:val="22"/>
          <w:lang w:val="es-ES"/>
        </w:rPr>
        <w:t xml:space="preserve"> </w:t>
      </w:r>
      <w:proofErr w:type="spellStart"/>
      <w:r>
        <w:rPr>
          <w:sz w:val="22"/>
          <w:szCs w:val="22"/>
          <w:lang w:val="es-ES"/>
        </w:rPr>
        <w:t>to</w:t>
      </w:r>
      <w:proofErr w:type="spellEnd"/>
      <w:r>
        <w:rPr>
          <w:sz w:val="22"/>
          <w:szCs w:val="22"/>
          <w:lang w:val="es-ES"/>
        </w:rPr>
        <w:t xml:space="preserve"> </w:t>
      </w:r>
      <w:proofErr w:type="spellStart"/>
      <w:r>
        <w:rPr>
          <w:sz w:val="22"/>
          <w:szCs w:val="22"/>
          <w:lang w:val="es-ES"/>
        </w:rPr>
        <w:t>begin</w:t>
      </w:r>
      <w:proofErr w:type="spellEnd"/>
      <w:r>
        <w:rPr>
          <w:sz w:val="22"/>
          <w:szCs w:val="22"/>
          <w:lang w:val="es-ES"/>
        </w:rPr>
        <w:t xml:space="preserve">. Once </w:t>
      </w:r>
      <w:proofErr w:type="spellStart"/>
      <w:r>
        <w:rPr>
          <w:sz w:val="22"/>
          <w:szCs w:val="22"/>
          <w:lang w:val="es-ES"/>
        </w:rPr>
        <w:t>the</w:t>
      </w:r>
      <w:proofErr w:type="spellEnd"/>
      <w:r>
        <w:rPr>
          <w:sz w:val="22"/>
          <w:szCs w:val="22"/>
          <w:lang w:val="es-ES"/>
        </w:rPr>
        <w:t xml:space="preserve"> date has </w:t>
      </w:r>
      <w:proofErr w:type="spellStart"/>
      <w:r>
        <w:rPr>
          <w:sz w:val="22"/>
          <w:szCs w:val="22"/>
          <w:lang w:val="es-ES"/>
        </w:rPr>
        <w:t>been</w:t>
      </w:r>
      <w:proofErr w:type="spellEnd"/>
      <w:r>
        <w:rPr>
          <w:sz w:val="22"/>
          <w:szCs w:val="22"/>
          <w:lang w:val="es-ES"/>
        </w:rPr>
        <w:t xml:space="preserve"> </w:t>
      </w:r>
      <w:proofErr w:type="spellStart"/>
      <w:r>
        <w:rPr>
          <w:sz w:val="22"/>
          <w:szCs w:val="22"/>
          <w:lang w:val="es-ES"/>
        </w:rPr>
        <w:t>notified</w:t>
      </w:r>
      <w:proofErr w:type="spellEnd"/>
      <w:r>
        <w:rPr>
          <w:sz w:val="22"/>
          <w:szCs w:val="22"/>
          <w:lang w:val="es-ES"/>
        </w:rPr>
        <w:t xml:space="preserve">, </w:t>
      </w:r>
      <w:proofErr w:type="spellStart"/>
      <w:r>
        <w:rPr>
          <w:sz w:val="22"/>
          <w:szCs w:val="22"/>
          <w:lang w:val="es-ES"/>
        </w:rPr>
        <w:t>any</w:t>
      </w:r>
      <w:proofErr w:type="spellEnd"/>
      <w:r>
        <w:rPr>
          <w:sz w:val="22"/>
          <w:szCs w:val="22"/>
          <w:lang w:val="es-ES"/>
        </w:rPr>
        <w:t xml:space="preserve"> </w:t>
      </w:r>
      <w:proofErr w:type="spellStart"/>
      <w:r>
        <w:rPr>
          <w:sz w:val="22"/>
          <w:szCs w:val="22"/>
          <w:lang w:val="es-ES"/>
        </w:rPr>
        <w:t>changes</w:t>
      </w:r>
      <w:proofErr w:type="spellEnd"/>
      <w:r>
        <w:rPr>
          <w:sz w:val="22"/>
          <w:szCs w:val="22"/>
          <w:lang w:val="es-ES"/>
        </w:rPr>
        <w:t xml:space="preserve"> </w:t>
      </w:r>
      <w:proofErr w:type="spellStart"/>
      <w:r>
        <w:rPr>
          <w:sz w:val="22"/>
          <w:szCs w:val="22"/>
          <w:lang w:val="es-ES"/>
        </w:rPr>
        <w:t>to</w:t>
      </w:r>
      <w:proofErr w:type="spellEnd"/>
      <w:r>
        <w:rPr>
          <w:sz w:val="22"/>
          <w:szCs w:val="22"/>
          <w:lang w:val="es-ES"/>
        </w:rPr>
        <w:t xml:space="preserve"> </w:t>
      </w:r>
      <w:proofErr w:type="spellStart"/>
      <w:r>
        <w:rPr>
          <w:sz w:val="22"/>
          <w:szCs w:val="22"/>
          <w:lang w:val="es-ES"/>
        </w:rPr>
        <w:t>it</w:t>
      </w:r>
      <w:proofErr w:type="spellEnd"/>
      <w:r>
        <w:rPr>
          <w:sz w:val="22"/>
          <w:szCs w:val="22"/>
          <w:lang w:val="es-ES"/>
        </w:rPr>
        <w:t xml:space="preserve"> </w:t>
      </w:r>
      <w:proofErr w:type="spellStart"/>
      <w:r>
        <w:rPr>
          <w:sz w:val="22"/>
          <w:szCs w:val="22"/>
          <w:lang w:val="es-ES"/>
        </w:rPr>
        <w:t>must</w:t>
      </w:r>
      <w:proofErr w:type="spellEnd"/>
      <w:r>
        <w:rPr>
          <w:sz w:val="22"/>
          <w:szCs w:val="22"/>
          <w:lang w:val="es-ES"/>
        </w:rPr>
        <w:t xml:space="preserve"> be </w:t>
      </w:r>
      <w:proofErr w:type="spellStart"/>
      <w:r>
        <w:rPr>
          <w:sz w:val="22"/>
          <w:szCs w:val="22"/>
          <w:lang w:val="es-ES"/>
        </w:rPr>
        <w:t>approved</w:t>
      </w:r>
      <w:proofErr w:type="spellEnd"/>
      <w:r>
        <w:rPr>
          <w:sz w:val="22"/>
          <w:szCs w:val="22"/>
          <w:lang w:val="es-ES"/>
        </w:rPr>
        <w:t xml:space="preserve"> </w:t>
      </w:r>
      <w:proofErr w:type="spellStart"/>
      <w:r>
        <w:rPr>
          <w:sz w:val="22"/>
          <w:szCs w:val="22"/>
          <w:lang w:val="es-ES"/>
        </w:rPr>
        <w:t>by</w:t>
      </w:r>
      <w:proofErr w:type="spellEnd"/>
      <w:r>
        <w:rPr>
          <w:sz w:val="22"/>
          <w:szCs w:val="22"/>
          <w:lang w:val="es-ES"/>
        </w:rPr>
        <w:t xml:space="preserve"> OSE.</w:t>
      </w:r>
    </w:p>
    <w:p w14:paraId="73F48191" w14:textId="77777777" w:rsidR="00E255F4" w:rsidRDefault="00000000">
      <w:pPr>
        <w:tabs>
          <w:tab w:val="left" w:pos="-720"/>
          <w:tab w:val="left" w:pos="0"/>
          <w:tab w:val="left" w:pos="851"/>
          <w:tab w:val="left" w:pos="1276"/>
        </w:tabs>
        <w:spacing w:after="120"/>
        <w:ind w:left="851"/>
        <w:jc w:val="both"/>
        <w:rPr>
          <w:color w:val="000000"/>
          <w:sz w:val="22"/>
          <w:szCs w:val="22"/>
          <w:lang w:val="es-ES"/>
        </w:rPr>
      </w:pPr>
      <w:proofErr w:type="spellStart"/>
      <w:r>
        <w:rPr>
          <w:sz w:val="22"/>
          <w:szCs w:val="22"/>
          <w:lang w:val="es-ES"/>
        </w:rPr>
        <w:t>Failure</w:t>
      </w:r>
      <w:proofErr w:type="spellEnd"/>
      <w:r>
        <w:rPr>
          <w:sz w:val="22"/>
          <w:szCs w:val="22"/>
          <w:lang w:val="es-ES"/>
        </w:rPr>
        <w:t xml:space="preserve"> </w:t>
      </w:r>
      <w:proofErr w:type="spellStart"/>
      <w:r>
        <w:rPr>
          <w:sz w:val="22"/>
          <w:szCs w:val="22"/>
          <w:lang w:val="es-ES"/>
        </w:rPr>
        <w:t>to</w:t>
      </w:r>
      <w:proofErr w:type="spellEnd"/>
      <w:r>
        <w:rPr>
          <w:sz w:val="22"/>
          <w:szCs w:val="22"/>
          <w:lang w:val="es-ES"/>
        </w:rPr>
        <w:t xml:space="preserve"> </w:t>
      </w:r>
      <w:proofErr w:type="spellStart"/>
      <w:r>
        <w:rPr>
          <w:sz w:val="22"/>
          <w:szCs w:val="22"/>
          <w:lang w:val="es-ES"/>
        </w:rPr>
        <w:t>communicate</w:t>
      </w:r>
      <w:proofErr w:type="spellEnd"/>
      <w:r>
        <w:rPr>
          <w:sz w:val="22"/>
          <w:szCs w:val="22"/>
          <w:lang w:val="es-ES"/>
        </w:rPr>
        <w:t xml:space="preserve"> </w:t>
      </w:r>
      <w:proofErr w:type="spellStart"/>
      <w:r>
        <w:rPr>
          <w:sz w:val="22"/>
          <w:szCs w:val="22"/>
          <w:lang w:val="es-ES"/>
        </w:rPr>
        <w:t>within</w:t>
      </w:r>
      <w:proofErr w:type="spellEnd"/>
      <w:r>
        <w:rPr>
          <w:sz w:val="22"/>
          <w:szCs w:val="22"/>
          <w:lang w:val="es-ES"/>
        </w:rPr>
        <w:t xml:space="preserve"> </w:t>
      </w:r>
      <w:proofErr w:type="spellStart"/>
      <w:r>
        <w:rPr>
          <w:sz w:val="22"/>
          <w:szCs w:val="22"/>
          <w:lang w:val="es-ES"/>
        </w:rPr>
        <w:t>the</w:t>
      </w:r>
      <w:proofErr w:type="spellEnd"/>
      <w:r>
        <w:rPr>
          <w:sz w:val="22"/>
          <w:szCs w:val="22"/>
          <w:lang w:val="es-ES"/>
        </w:rPr>
        <w:t xml:space="preserve"> </w:t>
      </w:r>
      <w:proofErr w:type="spellStart"/>
      <w:r>
        <w:rPr>
          <w:sz w:val="22"/>
          <w:szCs w:val="22"/>
          <w:lang w:val="es-ES"/>
        </w:rPr>
        <w:t>indicated</w:t>
      </w:r>
      <w:proofErr w:type="spellEnd"/>
      <w:r>
        <w:rPr>
          <w:sz w:val="22"/>
          <w:szCs w:val="22"/>
          <w:lang w:val="es-ES"/>
        </w:rPr>
        <w:t xml:space="preserve"> </w:t>
      </w:r>
      <w:proofErr w:type="spellStart"/>
      <w:r>
        <w:rPr>
          <w:sz w:val="22"/>
          <w:szCs w:val="22"/>
          <w:lang w:val="es-ES"/>
        </w:rPr>
        <w:t>timeframe</w:t>
      </w:r>
      <w:proofErr w:type="spellEnd"/>
      <w:r>
        <w:rPr>
          <w:sz w:val="22"/>
          <w:szCs w:val="22"/>
          <w:lang w:val="es-ES"/>
        </w:rPr>
        <w:t xml:space="preserve"> </w:t>
      </w:r>
      <w:proofErr w:type="spellStart"/>
      <w:r>
        <w:rPr>
          <w:sz w:val="22"/>
          <w:szCs w:val="22"/>
          <w:lang w:val="es-ES"/>
        </w:rPr>
        <w:t>may</w:t>
      </w:r>
      <w:proofErr w:type="spellEnd"/>
      <w:r>
        <w:rPr>
          <w:sz w:val="22"/>
          <w:szCs w:val="22"/>
          <w:lang w:val="es-ES"/>
        </w:rPr>
        <w:t xml:space="preserve"> </w:t>
      </w:r>
      <w:proofErr w:type="spellStart"/>
      <w:r>
        <w:rPr>
          <w:sz w:val="22"/>
          <w:szCs w:val="22"/>
          <w:lang w:val="es-ES"/>
        </w:rPr>
        <w:t>result</w:t>
      </w:r>
      <w:proofErr w:type="spellEnd"/>
      <w:r>
        <w:rPr>
          <w:sz w:val="22"/>
          <w:szCs w:val="22"/>
          <w:lang w:val="es-ES"/>
        </w:rPr>
        <w:t xml:space="preserve"> in OSE </w:t>
      </w:r>
      <w:proofErr w:type="spellStart"/>
      <w:r>
        <w:rPr>
          <w:sz w:val="22"/>
          <w:szCs w:val="22"/>
          <w:lang w:val="es-ES"/>
        </w:rPr>
        <w:t>not</w:t>
      </w:r>
      <w:proofErr w:type="spellEnd"/>
      <w:r>
        <w:rPr>
          <w:sz w:val="22"/>
          <w:szCs w:val="22"/>
          <w:lang w:val="es-ES"/>
        </w:rPr>
        <w:t xml:space="preserve"> </w:t>
      </w:r>
      <w:proofErr w:type="spellStart"/>
      <w:r>
        <w:rPr>
          <w:sz w:val="22"/>
          <w:szCs w:val="22"/>
          <w:lang w:val="es-ES"/>
        </w:rPr>
        <w:t>accepting</w:t>
      </w:r>
      <w:proofErr w:type="spellEnd"/>
      <w:r>
        <w:rPr>
          <w:sz w:val="22"/>
          <w:szCs w:val="22"/>
          <w:lang w:val="es-ES"/>
        </w:rPr>
        <w:t xml:space="preserve"> </w:t>
      </w:r>
      <w:proofErr w:type="spellStart"/>
      <w:r>
        <w:rPr>
          <w:sz w:val="22"/>
          <w:szCs w:val="22"/>
          <w:lang w:val="es-ES"/>
        </w:rPr>
        <w:t>the</w:t>
      </w:r>
      <w:proofErr w:type="spellEnd"/>
      <w:r>
        <w:rPr>
          <w:sz w:val="22"/>
          <w:szCs w:val="22"/>
          <w:lang w:val="es-ES"/>
        </w:rPr>
        <w:t xml:space="preserve"> </w:t>
      </w:r>
      <w:proofErr w:type="spellStart"/>
      <w:r>
        <w:rPr>
          <w:sz w:val="22"/>
          <w:szCs w:val="22"/>
          <w:lang w:val="es-ES"/>
        </w:rPr>
        <w:t>proposed</w:t>
      </w:r>
      <w:proofErr w:type="spellEnd"/>
      <w:r>
        <w:rPr>
          <w:sz w:val="22"/>
          <w:szCs w:val="22"/>
          <w:lang w:val="es-ES"/>
        </w:rPr>
        <w:t xml:space="preserve"> date; </w:t>
      </w:r>
      <w:proofErr w:type="spellStart"/>
      <w:r>
        <w:rPr>
          <w:sz w:val="22"/>
          <w:szCs w:val="22"/>
          <w:lang w:val="es-ES"/>
        </w:rPr>
        <w:t>the</w:t>
      </w:r>
      <w:proofErr w:type="spellEnd"/>
      <w:r>
        <w:rPr>
          <w:sz w:val="22"/>
          <w:szCs w:val="22"/>
          <w:lang w:val="es-ES"/>
        </w:rPr>
        <w:t xml:space="preserve"> </w:t>
      </w:r>
      <w:proofErr w:type="spellStart"/>
      <w:r>
        <w:rPr>
          <w:sz w:val="22"/>
          <w:szCs w:val="22"/>
          <w:lang w:val="es-ES"/>
        </w:rPr>
        <w:t>results</w:t>
      </w:r>
      <w:proofErr w:type="spellEnd"/>
      <w:r>
        <w:rPr>
          <w:sz w:val="22"/>
          <w:szCs w:val="22"/>
          <w:lang w:val="es-ES"/>
        </w:rPr>
        <w:t xml:space="preserve"> </w:t>
      </w:r>
      <w:proofErr w:type="spellStart"/>
      <w:r>
        <w:rPr>
          <w:sz w:val="22"/>
          <w:szCs w:val="22"/>
          <w:lang w:val="es-ES"/>
        </w:rPr>
        <w:t>obtained</w:t>
      </w:r>
      <w:proofErr w:type="spellEnd"/>
      <w:r>
        <w:rPr>
          <w:sz w:val="22"/>
          <w:szCs w:val="22"/>
          <w:lang w:val="es-ES"/>
        </w:rPr>
        <w:t xml:space="preserve"> in </w:t>
      </w:r>
      <w:proofErr w:type="spellStart"/>
      <w:r>
        <w:rPr>
          <w:sz w:val="22"/>
          <w:szCs w:val="22"/>
          <w:lang w:val="es-ES"/>
        </w:rPr>
        <w:t>that</w:t>
      </w:r>
      <w:proofErr w:type="spellEnd"/>
      <w:r>
        <w:rPr>
          <w:sz w:val="22"/>
          <w:szCs w:val="22"/>
          <w:lang w:val="es-ES"/>
        </w:rPr>
        <w:t xml:space="preserve"> </w:t>
      </w:r>
      <w:proofErr w:type="spellStart"/>
      <w:r>
        <w:rPr>
          <w:sz w:val="22"/>
          <w:szCs w:val="22"/>
          <w:lang w:val="es-ES"/>
        </w:rPr>
        <w:t>instance</w:t>
      </w:r>
      <w:proofErr w:type="spellEnd"/>
      <w:r>
        <w:rPr>
          <w:sz w:val="22"/>
          <w:szCs w:val="22"/>
          <w:lang w:val="es-ES"/>
        </w:rPr>
        <w:t xml:space="preserve"> </w:t>
      </w:r>
      <w:proofErr w:type="spellStart"/>
      <w:r>
        <w:rPr>
          <w:sz w:val="22"/>
          <w:szCs w:val="22"/>
          <w:lang w:val="es-ES"/>
        </w:rPr>
        <w:t>will</w:t>
      </w:r>
      <w:proofErr w:type="spellEnd"/>
      <w:r>
        <w:rPr>
          <w:sz w:val="22"/>
          <w:szCs w:val="22"/>
          <w:lang w:val="es-ES"/>
        </w:rPr>
        <w:t xml:space="preserve"> </w:t>
      </w:r>
      <w:proofErr w:type="spellStart"/>
      <w:r>
        <w:rPr>
          <w:sz w:val="22"/>
          <w:szCs w:val="22"/>
          <w:lang w:val="es-ES"/>
        </w:rPr>
        <w:t>not</w:t>
      </w:r>
      <w:proofErr w:type="spellEnd"/>
      <w:r>
        <w:rPr>
          <w:sz w:val="22"/>
          <w:szCs w:val="22"/>
          <w:lang w:val="es-ES"/>
        </w:rPr>
        <w:t xml:space="preserve"> be </w:t>
      </w:r>
      <w:proofErr w:type="spellStart"/>
      <w:r>
        <w:rPr>
          <w:sz w:val="22"/>
          <w:szCs w:val="22"/>
          <w:lang w:val="es-ES"/>
        </w:rPr>
        <w:t>considered</w:t>
      </w:r>
      <w:proofErr w:type="spellEnd"/>
      <w:r>
        <w:rPr>
          <w:sz w:val="22"/>
          <w:szCs w:val="22"/>
          <w:lang w:val="es-ES"/>
        </w:rPr>
        <w:t xml:space="preserve"> </w:t>
      </w:r>
      <w:proofErr w:type="spellStart"/>
      <w:r>
        <w:rPr>
          <w:sz w:val="22"/>
          <w:szCs w:val="22"/>
          <w:lang w:val="es-ES"/>
        </w:rPr>
        <w:t>valid</w:t>
      </w:r>
      <w:proofErr w:type="spellEnd"/>
      <w:r>
        <w:rPr>
          <w:sz w:val="22"/>
          <w:szCs w:val="22"/>
          <w:lang w:val="es-ES"/>
        </w:rPr>
        <w:t>.</w:t>
      </w:r>
    </w:p>
    <w:p w14:paraId="061B9064" w14:textId="77777777" w:rsidR="00E255F4" w:rsidRDefault="00000000">
      <w:pPr>
        <w:numPr>
          <w:ilvl w:val="3"/>
          <w:numId w:val="10"/>
        </w:numPr>
        <w:tabs>
          <w:tab w:val="left" w:pos="-720"/>
          <w:tab w:val="left" w:pos="0"/>
          <w:tab w:val="left" w:pos="851"/>
          <w:tab w:val="left" w:pos="1276"/>
        </w:tabs>
        <w:spacing w:before="120" w:after="120"/>
        <w:ind w:left="851" w:hanging="851"/>
        <w:jc w:val="both"/>
        <w:rPr>
          <w:color w:val="000000"/>
          <w:sz w:val="22"/>
          <w:szCs w:val="22"/>
          <w:lang w:val="es-ES"/>
        </w:rPr>
      </w:pPr>
      <w:r>
        <w:rPr>
          <w:color w:val="000000"/>
          <w:sz w:val="22"/>
          <w:szCs w:val="22"/>
          <w:lang w:val="es-ES"/>
        </w:rPr>
        <w:t xml:space="preserve">The OSE </w:t>
      </w:r>
      <w:proofErr w:type="spellStart"/>
      <w:r>
        <w:rPr>
          <w:color w:val="000000"/>
          <w:sz w:val="22"/>
          <w:szCs w:val="22"/>
          <w:lang w:val="es-ES"/>
        </w:rPr>
        <w:t>technician's</w:t>
      </w:r>
      <w:proofErr w:type="spellEnd"/>
      <w:r>
        <w:rPr>
          <w:color w:val="000000"/>
          <w:sz w:val="22"/>
          <w:szCs w:val="22"/>
          <w:lang w:val="es-ES"/>
        </w:rPr>
        <w:t xml:space="preserve"> role </w:t>
      </w:r>
      <w:proofErr w:type="spellStart"/>
      <w:r>
        <w:rPr>
          <w:color w:val="000000"/>
          <w:sz w:val="22"/>
          <w:szCs w:val="22"/>
          <w:lang w:val="es-ES"/>
        </w:rPr>
        <w:t>will</w:t>
      </w:r>
      <w:proofErr w:type="spellEnd"/>
      <w:r>
        <w:rPr>
          <w:color w:val="000000"/>
          <w:sz w:val="22"/>
          <w:szCs w:val="22"/>
          <w:lang w:val="es-ES"/>
        </w:rPr>
        <w:t xml:space="preserve"> </w:t>
      </w:r>
      <w:proofErr w:type="spellStart"/>
      <w:r>
        <w:rPr>
          <w:color w:val="000000"/>
          <w:sz w:val="22"/>
          <w:szCs w:val="22"/>
          <w:lang w:val="es-ES"/>
        </w:rPr>
        <w:t>be:</w:t>
      </w:r>
      <w:r>
        <w:rPr>
          <w:sz w:val="22"/>
          <w:szCs w:val="22"/>
          <w:lang w:val="es-ES"/>
        </w:rPr>
        <w:t>Provide</w:t>
      </w:r>
      <w:proofErr w:type="spellEnd"/>
      <w:r>
        <w:rPr>
          <w:sz w:val="22"/>
          <w:szCs w:val="22"/>
          <w:lang w:val="es-ES"/>
        </w:rPr>
        <w:t xml:space="preserve"> </w:t>
      </w:r>
      <w:proofErr w:type="spellStart"/>
      <w:r>
        <w:rPr>
          <w:sz w:val="22"/>
          <w:szCs w:val="22"/>
          <w:lang w:val="es-ES"/>
        </w:rPr>
        <w:t>the</w:t>
      </w:r>
      <w:proofErr w:type="spellEnd"/>
      <w:r>
        <w:rPr>
          <w:sz w:val="22"/>
          <w:szCs w:val="22"/>
          <w:lang w:val="es-ES"/>
        </w:rPr>
        <w:t xml:space="preserve"> </w:t>
      </w:r>
      <w:proofErr w:type="spellStart"/>
      <w:r>
        <w:rPr>
          <w:sz w:val="22"/>
          <w:szCs w:val="22"/>
          <w:lang w:val="es-ES"/>
        </w:rPr>
        <w:t>selection</w:t>
      </w:r>
      <w:proofErr w:type="spellEnd"/>
      <w:r>
        <w:rPr>
          <w:sz w:val="22"/>
          <w:szCs w:val="22"/>
          <w:lang w:val="es-ES"/>
        </w:rPr>
        <w:t xml:space="preserve"> </w:t>
      </w:r>
      <w:proofErr w:type="spellStart"/>
      <w:r>
        <w:rPr>
          <w:sz w:val="22"/>
          <w:szCs w:val="22"/>
          <w:lang w:val="es-ES"/>
        </w:rPr>
        <w:t>criteria</w:t>
      </w:r>
      <w:proofErr w:type="spellEnd"/>
      <w:r>
        <w:rPr>
          <w:sz w:val="22"/>
          <w:szCs w:val="22"/>
          <w:lang w:val="es-ES"/>
        </w:rPr>
        <w:t xml:space="preserve"> </w:t>
      </w:r>
      <w:proofErr w:type="spellStart"/>
      <w:r>
        <w:rPr>
          <w:sz w:val="22"/>
          <w:szCs w:val="22"/>
          <w:lang w:val="es-ES"/>
        </w:rPr>
        <w:t>for</w:t>
      </w:r>
      <w:proofErr w:type="spellEnd"/>
      <w:r>
        <w:rPr>
          <w:sz w:val="22"/>
          <w:szCs w:val="22"/>
          <w:lang w:val="es-ES"/>
        </w:rPr>
        <w:t xml:space="preserve"> </w:t>
      </w:r>
      <w:proofErr w:type="spellStart"/>
      <w:r>
        <w:rPr>
          <w:sz w:val="22"/>
          <w:szCs w:val="22"/>
          <w:lang w:val="es-ES"/>
        </w:rPr>
        <w:t>the</w:t>
      </w:r>
      <w:proofErr w:type="spellEnd"/>
      <w:r>
        <w:rPr>
          <w:sz w:val="22"/>
          <w:szCs w:val="22"/>
          <w:lang w:val="es-ES"/>
        </w:rPr>
        <w:t xml:space="preserve"> </w:t>
      </w:r>
      <w:proofErr w:type="spellStart"/>
      <w:r>
        <w:rPr>
          <w:sz w:val="22"/>
          <w:szCs w:val="22"/>
          <w:lang w:val="es-ES"/>
        </w:rPr>
        <w:t>samples</w:t>
      </w:r>
      <w:proofErr w:type="spellEnd"/>
      <w:r>
        <w:rPr>
          <w:sz w:val="22"/>
          <w:szCs w:val="22"/>
          <w:lang w:val="es-ES"/>
        </w:rPr>
        <w:t xml:space="preserve"> </w:t>
      </w:r>
      <w:proofErr w:type="spellStart"/>
      <w:r>
        <w:rPr>
          <w:sz w:val="22"/>
          <w:szCs w:val="22"/>
          <w:lang w:val="es-ES"/>
        </w:rPr>
        <w:t>to</w:t>
      </w:r>
      <w:proofErr w:type="spellEnd"/>
      <w:r>
        <w:rPr>
          <w:sz w:val="22"/>
          <w:szCs w:val="22"/>
          <w:lang w:val="es-ES"/>
        </w:rPr>
        <w:t xml:space="preserve"> </w:t>
      </w:r>
      <w:proofErr w:type="spellStart"/>
      <w:r>
        <w:rPr>
          <w:sz w:val="22"/>
          <w:szCs w:val="22"/>
          <w:lang w:val="es-ES"/>
        </w:rPr>
        <w:t>carry</w:t>
      </w:r>
      <w:proofErr w:type="spellEnd"/>
      <w:r>
        <w:rPr>
          <w:sz w:val="22"/>
          <w:szCs w:val="22"/>
          <w:lang w:val="es-ES"/>
        </w:rPr>
        <w:t xml:space="preserve"> </w:t>
      </w:r>
      <w:proofErr w:type="spellStart"/>
      <w:r>
        <w:rPr>
          <w:sz w:val="22"/>
          <w:szCs w:val="22"/>
          <w:lang w:val="es-ES"/>
        </w:rPr>
        <w:t>out</w:t>
      </w:r>
      <w:proofErr w:type="spellEnd"/>
      <w:r>
        <w:rPr>
          <w:sz w:val="22"/>
          <w:szCs w:val="22"/>
          <w:lang w:val="es-ES"/>
        </w:rPr>
        <w:t xml:space="preserve"> </w:t>
      </w:r>
      <w:proofErr w:type="spellStart"/>
      <w:r>
        <w:rPr>
          <w:sz w:val="22"/>
          <w:szCs w:val="22"/>
          <w:lang w:val="es-ES"/>
        </w:rPr>
        <w:t>the</w:t>
      </w:r>
      <w:proofErr w:type="spellEnd"/>
      <w:r>
        <w:rPr>
          <w:sz w:val="22"/>
          <w:szCs w:val="22"/>
          <w:lang w:val="es-ES"/>
        </w:rPr>
        <w:t xml:space="preserve"> </w:t>
      </w:r>
      <w:proofErr w:type="spellStart"/>
      <w:r>
        <w:rPr>
          <w:sz w:val="22"/>
          <w:szCs w:val="22"/>
          <w:lang w:val="es-ES"/>
        </w:rPr>
        <w:t>reception</w:t>
      </w:r>
      <w:proofErr w:type="spellEnd"/>
      <w:r>
        <w:rPr>
          <w:sz w:val="22"/>
          <w:szCs w:val="22"/>
          <w:lang w:val="es-ES"/>
        </w:rPr>
        <w:t xml:space="preserve">, </w:t>
      </w:r>
      <w:proofErr w:type="spellStart"/>
      <w:r>
        <w:rPr>
          <w:sz w:val="22"/>
          <w:szCs w:val="22"/>
          <w:lang w:val="es-ES"/>
        </w:rPr>
        <w:t>verify</w:t>
      </w:r>
      <w:proofErr w:type="spellEnd"/>
      <w:r>
        <w:rPr>
          <w:sz w:val="22"/>
          <w:szCs w:val="22"/>
          <w:lang w:val="es-ES"/>
        </w:rPr>
        <w:t xml:space="preserve"> </w:t>
      </w:r>
      <w:proofErr w:type="spellStart"/>
      <w:r>
        <w:rPr>
          <w:sz w:val="22"/>
          <w:szCs w:val="22"/>
          <w:lang w:val="es-ES"/>
        </w:rPr>
        <w:t>the</w:t>
      </w:r>
      <w:proofErr w:type="spellEnd"/>
      <w:r>
        <w:rPr>
          <w:sz w:val="22"/>
          <w:szCs w:val="22"/>
          <w:lang w:val="es-ES"/>
        </w:rPr>
        <w:t xml:space="preserve"> </w:t>
      </w:r>
      <w:proofErr w:type="spellStart"/>
      <w:r>
        <w:rPr>
          <w:sz w:val="22"/>
          <w:szCs w:val="22"/>
          <w:lang w:val="es-ES"/>
        </w:rPr>
        <w:t>reception</w:t>
      </w:r>
      <w:proofErr w:type="spellEnd"/>
      <w:r>
        <w:rPr>
          <w:sz w:val="22"/>
          <w:szCs w:val="22"/>
          <w:lang w:val="es-ES"/>
        </w:rPr>
        <w:t xml:space="preserve"> </w:t>
      </w:r>
      <w:proofErr w:type="spellStart"/>
      <w:r>
        <w:rPr>
          <w:sz w:val="22"/>
          <w:szCs w:val="22"/>
          <w:lang w:val="es-ES"/>
        </w:rPr>
        <w:t>work</w:t>
      </w:r>
      <w:proofErr w:type="spellEnd"/>
      <w:r>
        <w:rPr>
          <w:sz w:val="22"/>
          <w:szCs w:val="22"/>
          <w:lang w:val="es-ES"/>
        </w:rPr>
        <w:t xml:space="preserve"> </w:t>
      </w:r>
      <w:proofErr w:type="spellStart"/>
      <w:r>
        <w:rPr>
          <w:sz w:val="22"/>
          <w:szCs w:val="22"/>
          <w:lang w:val="es-ES"/>
        </w:rPr>
        <w:t>having</w:t>
      </w:r>
      <w:proofErr w:type="spellEnd"/>
      <w:r>
        <w:rPr>
          <w:sz w:val="22"/>
          <w:szCs w:val="22"/>
          <w:lang w:val="es-ES"/>
        </w:rPr>
        <w:t xml:space="preserve"> </w:t>
      </w:r>
      <w:proofErr w:type="spellStart"/>
      <w:r>
        <w:rPr>
          <w:sz w:val="22"/>
          <w:szCs w:val="22"/>
          <w:lang w:val="es-ES"/>
        </w:rPr>
        <w:t>the</w:t>
      </w:r>
      <w:proofErr w:type="spellEnd"/>
      <w:r>
        <w:rPr>
          <w:sz w:val="22"/>
          <w:szCs w:val="22"/>
          <w:lang w:val="es-ES"/>
        </w:rPr>
        <w:t xml:space="preserve"> </w:t>
      </w:r>
      <w:proofErr w:type="spellStart"/>
      <w:r>
        <w:rPr>
          <w:sz w:val="22"/>
          <w:szCs w:val="22"/>
          <w:lang w:val="es-ES"/>
        </w:rPr>
        <w:t>authority</w:t>
      </w:r>
      <w:proofErr w:type="spellEnd"/>
      <w:r>
        <w:rPr>
          <w:sz w:val="22"/>
          <w:szCs w:val="22"/>
          <w:lang w:val="es-ES"/>
        </w:rPr>
        <w:t xml:space="preserve"> </w:t>
      </w:r>
      <w:proofErr w:type="spellStart"/>
      <w:r>
        <w:rPr>
          <w:sz w:val="22"/>
          <w:szCs w:val="22"/>
          <w:lang w:val="es-ES"/>
        </w:rPr>
        <w:t>to</w:t>
      </w:r>
      <w:proofErr w:type="spellEnd"/>
      <w:r>
        <w:rPr>
          <w:sz w:val="22"/>
          <w:szCs w:val="22"/>
          <w:lang w:val="es-ES"/>
        </w:rPr>
        <w:t xml:space="preserve"> </w:t>
      </w:r>
      <w:proofErr w:type="spellStart"/>
      <w:r>
        <w:rPr>
          <w:sz w:val="22"/>
          <w:szCs w:val="22"/>
          <w:lang w:val="es-ES"/>
        </w:rPr>
        <w:t>give</w:t>
      </w:r>
      <w:proofErr w:type="spellEnd"/>
      <w:r>
        <w:rPr>
          <w:sz w:val="22"/>
          <w:szCs w:val="22"/>
          <w:lang w:val="es-ES"/>
        </w:rPr>
        <w:t xml:space="preserve"> </w:t>
      </w:r>
      <w:proofErr w:type="spellStart"/>
      <w:r>
        <w:rPr>
          <w:sz w:val="22"/>
          <w:szCs w:val="22"/>
          <w:lang w:val="es-ES"/>
        </w:rPr>
        <w:t>indications</w:t>
      </w:r>
      <w:proofErr w:type="spellEnd"/>
      <w:r>
        <w:rPr>
          <w:sz w:val="22"/>
          <w:szCs w:val="22"/>
          <w:lang w:val="es-ES"/>
        </w:rPr>
        <w:t xml:space="preserve"> </w:t>
      </w:r>
      <w:proofErr w:type="spellStart"/>
      <w:r>
        <w:rPr>
          <w:sz w:val="22"/>
          <w:szCs w:val="22"/>
          <w:lang w:val="es-ES"/>
        </w:rPr>
        <w:t>on</w:t>
      </w:r>
      <w:proofErr w:type="spellEnd"/>
      <w:r>
        <w:rPr>
          <w:sz w:val="22"/>
          <w:szCs w:val="22"/>
          <w:lang w:val="es-ES"/>
        </w:rPr>
        <w:t xml:space="preserve"> </w:t>
      </w:r>
      <w:proofErr w:type="spellStart"/>
      <w:r>
        <w:rPr>
          <w:sz w:val="22"/>
          <w:szCs w:val="22"/>
          <w:lang w:val="es-ES"/>
        </w:rPr>
        <w:t>the</w:t>
      </w:r>
      <w:proofErr w:type="spellEnd"/>
      <w:r>
        <w:rPr>
          <w:sz w:val="22"/>
          <w:szCs w:val="22"/>
          <w:lang w:val="es-ES"/>
        </w:rPr>
        <w:t xml:space="preserve"> </w:t>
      </w:r>
      <w:proofErr w:type="spellStart"/>
      <w:r>
        <w:rPr>
          <w:sz w:val="22"/>
          <w:szCs w:val="22"/>
          <w:lang w:val="es-ES"/>
        </w:rPr>
        <w:t>procedures</w:t>
      </w:r>
      <w:proofErr w:type="spellEnd"/>
      <w:r>
        <w:rPr>
          <w:sz w:val="22"/>
          <w:szCs w:val="22"/>
          <w:lang w:val="es-ES"/>
        </w:rPr>
        <w:t xml:space="preserve"> </w:t>
      </w:r>
      <w:proofErr w:type="spellStart"/>
      <w:r>
        <w:rPr>
          <w:sz w:val="22"/>
          <w:szCs w:val="22"/>
          <w:lang w:val="es-ES"/>
        </w:rPr>
        <w:t>carried</w:t>
      </w:r>
      <w:proofErr w:type="spellEnd"/>
      <w:r>
        <w:rPr>
          <w:sz w:val="22"/>
          <w:szCs w:val="22"/>
          <w:lang w:val="es-ES"/>
        </w:rPr>
        <w:t xml:space="preserve"> </w:t>
      </w:r>
      <w:proofErr w:type="spellStart"/>
      <w:r>
        <w:rPr>
          <w:sz w:val="22"/>
          <w:szCs w:val="22"/>
          <w:lang w:val="es-ES"/>
        </w:rPr>
        <w:t>out</w:t>
      </w:r>
      <w:proofErr w:type="spellEnd"/>
      <w:r>
        <w:rPr>
          <w:sz w:val="22"/>
          <w:szCs w:val="22"/>
          <w:lang w:val="es-ES"/>
        </w:rPr>
        <w:t xml:space="preserve"> in </w:t>
      </w:r>
      <w:proofErr w:type="spellStart"/>
      <w:r>
        <w:rPr>
          <w:sz w:val="22"/>
          <w:szCs w:val="22"/>
          <w:lang w:val="es-ES"/>
        </w:rPr>
        <w:t>the</w:t>
      </w:r>
      <w:proofErr w:type="spellEnd"/>
      <w:r>
        <w:rPr>
          <w:sz w:val="22"/>
          <w:szCs w:val="22"/>
          <w:lang w:val="es-ES"/>
        </w:rPr>
        <w:t xml:space="preserve"> </w:t>
      </w:r>
      <w:proofErr w:type="spellStart"/>
      <w:r>
        <w:rPr>
          <w:sz w:val="22"/>
          <w:szCs w:val="22"/>
          <w:lang w:val="es-ES"/>
        </w:rPr>
        <w:t>reception</w:t>
      </w:r>
      <w:proofErr w:type="spellEnd"/>
      <w:r>
        <w:rPr>
          <w:sz w:val="22"/>
          <w:szCs w:val="22"/>
          <w:lang w:val="es-ES"/>
        </w:rPr>
        <w:t xml:space="preserve"> </w:t>
      </w:r>
      <w:proofErr w:type="spellStart"/>
      <w:r>
        <w:rPr>
          <w:sz w:val="22"/>
          <w:szCs w:val="22"/>
          <w:lang w:val="es-ES"/>
        </w:rPr>
        <w:t>tests</w:t>
      </w:r>
      <w:proofErr w:type="spellEnd"/>
      <w:r>
        <w:rPr>
          <w:sz w:val="22"/>
          <w:szCs w:val="22"/>
          <w:lang w:val="es-ES"/>
        </w:rPr>
        <w:t xml:space="preserve">; </w:t>
      </w:r>
      <w:proofErr w:type="spellStart"/>
      <w:r>
        <w:rPr>
          <w:sz w:val="22"/>
          <w:szCs w:val="22"/>
          <w:lang w:val="es-ES"/>
        </w:rPr>
        <w:t>verify</w:t>
      </w:r>
      <w:proofErr w:type="spellEnd"/>
      <w:r>
        <w:rPr>
          <w:sz w:val="22"/>
          <w:szCs w:val="22"/>
          <w:lang w:val="es-ES"/>
        </w:rPr>
        <w:t xml:space="preserve"> </w:t>
      </w:r>
      <w:proofErr w:type="spellStart"/>
      <w:r>
        <w:rPr>
          <w:sz w:val="22"/>
          <w:szCs w:val="22"/>
          <w:lang w:val="es-ES"/>
        </w:rPr>
        <w:t>the</w:t>
      </w:r>
      <w:proofErr w:type="spellEnd"/>
      <w:r>
        <w:rPr>
          <w:sz w:val="22"/>
          <w:szCs w:val="22"/>
          <w:lang w:val="es-ES"/>
        </w:rPr>
        <w:t xml:space="preserve"> </w:t>
      </w:r>
      <w:proofErr w:type="spellStart"/>
      <w:r>
        <w:rPr>
          <w:sz w:val="22"/>
          <w:szCs w:val="22"/>
          <w:lang w:val="es-ES"/>
        </w:rPr>
        <w:t>manufacturer's</w:t>
      </w:r>
      <w:proofErr w:type="spellEnd"/>
      <w:r>
        <w:rPr>
          <w:sz w:val="22"/>
          <w:szCs w:val="22"/>
          <w:lang w:val="es-ES"/>
        </w:rPr>
        <w:t xml:space="preserve"> </w:t>
      </w:r>
      <w:proofErr w:type="spellStart"/>
      <w:r>
        <w:rPr>
          <w:sz w:val="22"/>
          <w:szCs w:val="22"/>
          <w:lang w:val="es-ES"/>
        </w:rPr>
        <w:t>facilities</w:t>
      </w:r>
      <w:proofErr w:type="spellEnd"/>
      <w:r>
        <w:rPr>
          <w:sz w:val="22"/>
          <w:szCs w:val="22"/>
          <w:lang w:val="es-ES"/>
        </w:rPr>
        <w:t xml:space="preserve"> as </w:t>
      </w:r>
      <w:proofErr w:type="spellStart"/>
      <w:r>
        <w:rPr>
          <w:sz w:val="22"/>
          <w:szCs w:val="22"/>
          <w:lang w:val="es-ES"/>
        </w:rPr>
        <w:t>well</w:t>
      </w:r>
      <w:proofErr w:type="spellEnd"/>
      <w:r>
        <w:rPr>
          <w:sz w:val="22"/>
          <w:szCs w:val="22"/>
          <w:lang w:val="es-ES"/>
        </w:rPr>
        <w:t xml:space="preserve"> as </w:t>
      </w:r>
      <w:proofErr w:type="spellStart"/>
      <w:r>
        <w:rPr>
          <w:sz w:val="22"/>
          <w:szCs w:val="22"/>
          <w:lang w:val="es-ES"/>
        </w:rPr>
        <w:t>the</w:t>
      </w:r>
      <w:proofErr w:type="spellEnd"/>
      <w:r>
        <w:rPr>
          <w:sz w:val="22"/>
          <w:szCs w:val="22"/>
          <w:lang w:val="es-ES"/>
        </w:rPr>
        <w:t xml:space="preserve"> general </w:t>
      </w:r>
      <w:proofErr w:type="spellStart"/>
      <w:r>
        <w:rPr>
          <w:sz w:val="22"/>
          <w:szCs w:val="22"/>
          <w:lang w:val="es-ES"/>
        </w:rPr>
        <w:t>manufacturing</w:t>
      </w:r>
      <w:proofErr w:type="spellEnd"/>
      <w:r>
        <w:rPr>
          <w:sz w:val="22"/>
          <w:szCs w:val="22"/>
          <w:lang w:val="es-ES"/>
        </w:rPr>
        <w:t xml:space="preserve"> </w:t>
      </w:r>
      <w:proofErr w:type="spellStart"/>
      <w:r>
        <w:rPr>
          <w:sz w:val="22"/>
          <w:szCs w:val="22"/>
          <w:lang w:val="es-ES"/>
        </w:rPr>
        <w:t>procedures</w:t>
      </w:r>
      <w:proofErr w:type="spellEnd"/>
      <w:r>
        <w:rPr>
          <w:sz w:val="22"/>
          <w:szCs w:val="22"/>
          <w:lang w:val="es-ES"/>
        </w:rPr>
        <w:t xml:space="preserve">, </w:t>
      </w:r>
      <w:proofErr w:type="spellStart"/>
      <w:r>
        <w:rPr>
          <w:sz w:val="22"/>
          <w:szCs w:val="22"/>
          <w:lang w:val="es-ES"/>
        </w:rPr>
        <w:t>familiarize</w:t>
      </w:r>
      <w:proofErr w:type="spellEnd"/>
      <w:r>
        <w:rPr>
          <w:sz w:val="22"/>
          <w:szCs w:val="22"/>
          <w:lang w:val="es-ES"/>
        </w:rPr>
        <w:t xml:space="preserve"> </w:t>
      </w:r>
      <w:proofErr w:type="spellStart"/>
      <w:r>
        <w:rPr>
          <w:sz w:val="22"/>
          <w:szCs w:val="22"/>
          <w:lang w:val="es-ES"/>
        </w:rPr>
        <w:t>yourself</w:t>
      </w:r>
      <w:proofErr w:type="spellEnd"/>
      <w:r>
        <w:rPr>
          <w:sz w:val="22"/>
          <w:szCs w:val="22"/>
          <w:lang w:val="es-ES"/>
        </w:rPr>
        <w:t xml:space="preserve"> </w:t>
      </w:r>
      <w:proofErr w:type="spellStart"/>
      <w:r>
        <w:rPr>
          <w:sz w:val="22"/>
          <w:szCs w:val="22"/>
          <w:lang w:val="es-ES"/>
        </w:rPr>
        <w:t>with</w:t>
      </w:r>
      <w:proofErr w:type="spellEnd"/>
      <w:r>
        <w:rPr>
          <w:sz w:val="22"/>
          <w:szCs w:val="22"/>
          <w:lang w:val="es-ES"/>
        </w:rPr>
        <w:t xml:space="preserve"> </w:t>
      </w:r>
      <w:proofErr w:type="spellStart"/>
      <w:r>
        <w:rPr>
          <w:sz w:val="22"/>
          <w:szCs w:val="22"/>
          <w:lang w:val="es-ES"/>
        </w:rPr>
        <w:t>the</w:t>
      </w:r>
      <w:proofErr w:type="spellEnd"/>
      <w:r>
        <w:rPr>
          <w:sz w:val="22"/>
          <w:szCs w:val="22"/>
          <w:lang w:val="es-ES"/>
        </w:rPr>
        <w:t xml:space="preserve"> </w:t>
      </w:r>
      <w:proofErr w:type="spellStart"/>
      <w:r>
        <w:rPr>
          <w:sz w:val="22"/>
          <w:szCs w:val="22"/>
          <w:lang w:val="es-ES"/>
        </w:rPr>
        <w:t>products</w:t>
      </w:r>
      <w:proofErr w:type="spellEnd"/>
      <w:r>
        <w:rPr>
          <w:sz w:val="22"/>
          <w:szCs w:val="22"/>
          <w:lang w:val="es-ES"/>
        </w:rPr>
        <w:t xml:space="preserve"> </w:t>
      </w:r>
      <w:proofErr w:type="spellStart"/>
      <w:r>
        <w:rPr>
          <w:sz w:val="22"/>
          <w:szCs w:val="22"/>
          <w:lang w:val="es-ES"/>
        </w:rPr>
        <w:t>being</w:t>
      </w:r>
      <w:proofErr w:type="spellEnd"/>
      <w:r>
        <w:rPr>
          <w:sz w:val="22"/>
          <w:szCs w:val="22"/>
          <w:lang w:val="es-ES"/>
        </w:rPr>
        <w:t xml:space="preserve"> </w:t>
      </w:r>
      <w:proofErr w:type="spellStart"/>
      <w:r>
        <w:rPr>
          <w:sz w:val="22"/>
          <w:szCs w:val="22"/>
          <w:lang w:val="es-ES"/>
        </w:rPr>
        <w:t>manufactured</w:t>
      </w:r>
      <w:proofErr w:type="spellEnd"/>
      <w:r>
        <w:rPr>
          <w:sz w:val="22"/>
          <w:szCs w:val="22"/>
          <w:lang w:val="es-ES"/>
        </w:rPr>
        <w:t xml:space="preserve"> and </w:t>
      </w:r>
      <w:proofErr w:type="spellStart"/>
      <w:r>
        <w:rPr>
          <w:sz w:val="22"/>
          <w:szCs w:val="22"/>
          <w:lang w:val="es-ES"/>
        </w:rPr>
        <w:t>the</w:t>
      </w:r>
      <w:proofErr w:type="spellEnd"/>
      <w:r>
        <w:rPr>
          <w:sz w:val="22"/>
          <w:szCs w:val="22"/>
          <w:lang w:val="es-ES"/>
        </w:rPr>
        <w:t xml:space="preserve"> </w:t>
      </w:r>
      <w:proofErr w:type="spellStart"/>
      <w:r>
        <w:rPr>
          <w:sz w:val="22"/>
          <w:szCs w:val="22"/>
          <w:lang w:val="es-ES"/>
        </w:rPr>
        <w:t>quality</w:t>
      </w:r>
      <w:proofErr w:type="spellEnd"/>
      <w:r>
        <w:rPr>
          <w:sz w:val="22"/>
          <w:szCs w:val="22"/>
          <w:lang w:val="es-ES"/>
        </w:rPr>
        <w:t xml:space="preserve"> </w:t>
      </w:r>
      <w:proofErr w:type="spellStart"/>
      <w:r>
        <w:rPr>
          <w:sz w:val="22"/>
          <w:szCs w:val="22"/>
          <w:lang w:val="es-ES"/>
        </w:rPr>
        <w:t>management</w:t>
      </w:r>
      <w:proofErr w:type="spellEnd"/>
      <w:r>
        <w:rPr>
          <w:sz w:val="22"/>
          <w:szCs w:val="22"/>
          <w:lang w:val="es-ES"/>
        </w:rPr>
        <w:t xml:space="preserve"> </w:t>
      </w:r>
      <w:proofErr w:type="spellStart"/>
      <w:r>
        <w:rPr>
          <w:sz w:val="22"/>
          <w:szCs w:val="22"/>
          <w:lang w:val="es-ES"/>
        </w:rPr>
        <w:t>system</w:t>
      </w:r>
      <w:proofErr w:type="spellEnd"/>
      <w:r>
        <w:rPr>
          <w:sz w:val="22"/>
          <w:szCs w:val="22"/>
          <w:lang w:val="es-ES"/>
        </w:rPr>
        <w:t xml:space="preserve">, </w:t>
      </w:r>
      <w:proofErr w:type="spellStart"/>
      <w:r>
        <w:rPr>
          <w:sz w:val="22"/>
          <w:szCs w:val="22"/>
          <w:lang w:val="es-ES"/>
        </w:rPr>
        <w:t>collect</w:t>
      </w:r>
      <w:proofErr w:type="spellEnd"/>
      <w:r>
        <w:rPr>
          <w:sz w:val="22"/>
          <w:szCs w:val="22"/>
          <w:lang w:val="es-ES"/>
        </w:rPr>
        <w:t xml:space="preserve"> </w:t>
      </w:r>
      <w:proofErr w:type="spellStart"/>
      <w:r>
        <w:rPr>
          <w:sz w:val="22"/>
          <w:szCs w:val="22"/>
          <w:lang w:val="es-ES"/>
        </w:rPr>
        <w:t>manufacturer</w:t>
      </w:r>
      <w:proofErr w:type="spellEnd"/>
      <w:r>
        <w:rPr>
          <w:sz w:val="22"/>
          <w:szCs w:val="22"/>
          <w:lang w:val="es-ES"/>
        </w:rPr>
        <w:t xml:space="preserve"> </w:t>
      </w:r>
      <w:proofErr w:type="spellStart"/>
      <w:r>
        <w:rPr>
          <w:sz w:val="22"/>
          <w:szCs w:val="22"/>
          <w:lang w:val="es-ES"/>
        </w:rPr>
        <w:t>catalogs</w:t>
      </w:r>
      <w:proofErr w:type="spellEnd"/>
      <w:r>
        <w:rPr>
          <w:sz w:val="22"/>
          <w:szCs w:val="22"/>
          <w:lang w:val="es-ES"/>
        </w:rPr>
        <w:t xml:space="preserve">, etc.; in </w:t>
      </w:r>
      <w:proofErr w:type="spellStart"/>
      <w:r>
        <w:rPr>
          <w:sz w:val="22"/>
          <w:szCs w:val="22"/>
          <w:lang w:val="es-ES"/>
        </w:rPr>
        <w:t>order</w:t>
      </w:r>
      <w:proofErr w:type="spellEnd"/>
      <w:r>
        <w:rPr>
          <w:sz w:val="22"/>
          <w:szCs w:val="22"/>
          <w:lang w:val="es-ES"/>
        </w:rPr>
        <w:t xml:space="preserve"> </w:t>
      </w:r>
      <w:proofErr w:type="spellStart"/>
      <w:r>
        <w:rPr>
          <w:sz w:val="22"/>
          <w:szCs w:val="22"/>
          <w:lang w:val="es-ES"/>
        </w:rPr>
        <w:t>to</w:t>
      </w:r>
      <w:proofErr w:type="spellEnd"/>
      <w:r>
        <w:rPr>
          <w:sz w:val="22"/>
          <w:szCs w:val="22"/>
          <w:lang w:val="es-ES"/>
        </w:rPr>
        <w:t xml:space="preserve"> be </w:t>
      </w:r>
      <w:proofErr w:type="spellStart"/>
      <w:r>
        <w:rPr>
          <w:sz w:val="22"/>
          <w:szCs w:val="22"/>
          <w:lang w:val="es-ES"/>
        </w:rPr>
        <w:t>able</w:t>
      </w:r>
      <w:proofErr w:type="spellEnd"/>
      <w:r>
        <w:rPr>
          <w:sz w:val="22"/>
          <w:szCs w:val="22"/>
          <w:lang w:val="es-ES"/>
        </w:rPr>
        <w:t xml:space="preserve"> </w:t>
      </w:r>
      <w:proofErr w:type="spellStart"/>
      <w:r>
        <w:rPr>
          <w:sz w:val="22"/>
          <w:szCs w:val="22"/>
          <w:lang w:val="es-ES"/>
        </w:rPr>
        <w:t>to</w:t>
      </w:r>
      <w:proofErr w:type="spellEnd"/>
      <w:r>
        <w:rPr>
          <w:sz w:val="22"/>
          <w:szCs w:val="22"/>
          <w:lang w:val="es-ES"/>
        </w:rPr>
        <w:t xml:space="preserve"> prepare a </w:t>
      </w:r>
      <w:proofErr w:type="spellStart"/>
      <w:r>
        <w:rPr>
          <w:sz w:val="22"/>
          <w:szCs w:val="22"/>
          <w:lang w:val="es-ES"/>
        </w:rPr>
        <w:t>finished</w:t>
      </w:r>
      <w:proofErr w:type="spellEnd"/>
      <w:r>
        <w:rPr>
          <w:sz w:val="22"/>
          <w:szCs w:val="22"/>
          <w:lang w:val="es-ES"/>
        </w:rPr>
        <w:t xml:space="preserve"> </w:t>
      </w:r>
      <w:proofErr w:type="spellStart"/>
      <w:r>
        <w:rPr>
          <w:sz w:val="22"/>
          <w:szCs w:val="22"/>
          <w:lang w:val="es-ES"/>
        </w:rPr>
        <w:t>report</w:t>
      </w:r>
      <w:proofErr w:type="spellEnd"/>
      <w:r>
        <w:rPr>
          <w:sz w:val="22"/>
          <w:szCs w:val="22"/>
          <w:lang w:val="es-ES"/>
        </w:rPr>
        <w:t xml:space="preserve"> </w:t>
      </w:r>
      <w:proofErr w:type="spellStart"/>
      <w:r>
        <w:rPr>
          <w:sz w:val="22"/>
          <w:szCs w:val="22"/>
          <w:lang w:val="es-ES"/>
        </w:rPr>
        <w:t>of</w:t>
      </w:r>
      <w:proofErr w:type="spellEnd"/>
      <w:r>
        <w:rPr>
          <w:sz w:val="22"/>
          <w:szCs w:val="22"/>
          <w:lang w:val="es-ES"/>
        </w:rPr>
        <w:t xml:space="preserve"> </w:t>
      </w:r>
      <w:proofErr w:type="spellStart"/>
      <w:r>
        <w:rPr>
          <w:sz w:val="22"/>
          <w:szCs w:val="22"/>
          <w:lang w:val="es-ES"/>
        </w:rPr>
        <w:t>the</w:t>
      </w:r>
      <w:proofErr w:type="spellEnd"/>
      <w:r>
        <w:rPr>
          <w:sz w:val="22"/>
          <w:szCs w:val="22"/>
          <w:lang w:val="es-ES"/>
        </w:rPr>
        <w:t xml:space="preserve"> </w:t>
      </w:r>
      <w:proofErr w:type="spellStart"/>
      <w:r>
        <w:rPr>
          <w:sz w:val="22"/>
          <w:szCs w:val="22"/>
          <w:lang w:val="es-ES"/>
        </w:rPr>
        <w:t>manufacturing</w:t>
      </w:r>
      <w:proofErr w:type="spellEnd"/>
      <w:r>
        <w:rPr>
          <w:sz w:val="22"/>
          <w:szCs w:val="22"/>
          <w:lang w:val="es-ES"/>
        </w:rPr>
        <w:t xml:space="preserve"> </w:t>
      </w:r>
      <w:proofErr w:type="spellStart"/>
      <w:r>
        <w:rPr>
          <w:sz w:val="22"/>
          <w:szCs w:val="22"/>
          <w:lang w:val="es-ES"/>
        </w:rPr>
        <w:t>processes</w:t>
      </w:r>
      <w:proofErr w:type="spellEnd"/>
      <w:r>
        <w:rPr>
          <w:sz w:val="22"/>
          <w:szCs w:val="22"/>
          <w:lang w:val="es-ES"/>
        </w:rPr>
        <w:t xml:space="preserve">, </w:t>
      </w:r>
      <w:proofErr w:type="spellStart"/>
      <w:r>
        <w:rPr>
          <w:sz w:val="22"/>
          <w:szCs w:val="22"/>
          <w:lang w:val="es-ES"/>
        </w:rPr>
        <w:t>quality</w:t>
      </w:r>
      <w:proofErr w:type="spellEnd"/>
      <w:r>
        <w:rPr>
          <w:sz w:val="22"/>
          <w:szCs w:val="22"/>
          <w:lang w:val="es-ES"/>
        </w:rPr>
        <w:t xml:space="preserve"> control, etc.</w:t>
      </w:r>
    </w:p>
    <w:p w14:paraId="6A7EF16A" w14:textId="77777777" w:rsidR="00E255F4" w:rsidRDefault="00000000">
      <w:pPr>
        <w:numPr>
          <w:ilvl w:val="3"/>
          <w:numId w:val="10"/>
        </w:numPr>
        <w:tabs>
          <w:tab w:val="left" w:pos="-720"/>
          <w:tab w:val="left" w:pos="0"/>
          <w:tab w:val="left" w:pos="851"/>
          <w:tab w:val="left" w:pos="1276"/>
        </w:tabs>
        <w:spacing w:before="120" w:after="120"/>
        <w:ind w:left="851" w:hanging="851"/>
        <w:jc w:val="both"/>
        <w:rPr>
          <w:b/>
          <w:sz w:val="22"/>
          <w:szCs w:val="22"/>
        </w:rPr>
      </w:pPr>
      <w:r>
        <w:rPr>
          <w:sz w:val="22"/>
          <w:szCs w:val="22"/>
          <w:lang w:val="es-ES"/>
        </w:rPr>
        <w:t xml:space="preserve">Along </w:t>
      </w:r>
      <w:proofErr w:type="spellStart"/>
      <w:r>
        <w:rPr>
          <w:sz w:val="22"/>
          <w:szCs w:val="22"/>
          <w:lang w:val="es-ES"/>
        </w:rPr>
        <w:t>with</w:t>
      </w:r>
      <w:proofErr w:type="spellEnd"/>
      <w:r>
        <w:rPr>
          <w:sz w:val="22"/>
          <w:szCs w:val="22"/>
          <w:lang w:val="es-ES"/>
        </w:rPr>
        <w:t xml:space="preserve"> </w:t>
      </w:r>
      <w:proofErr w:type="spellStart"/>
      <w:r>
        <w:rPr>
          <w:sz w:val="22"/>
          <w:szCs w:val="22"/>
          <w:lang w:val="es-ES"/>
        </w:rPr>
        <w:t>the</w:t>
      </w:r>
      <w:proofErr w:type="spellEnd"/>
      <w:r>
        <w:rPr>
          <w:sz w:val="22"/>
          <w:szCs w:val="22"/>
          <w:lang w:val="es-ES"/>
        </w:rPr>
        <w:t xml:space="preserve"> </w:t>
      </w:r>
      <w:proofErr w:type="spellStart"/>
      <w:r>
        <w:rPr>
          <w:sz w:val="22"/>
          <w:szCs w:val="22"/>
          <w:lang w:val="es-ES"/>
        </w:rPr>
        <w:t>notification</w:t>
      </w:r>
      <w:proofErr w:type="spellEnd"/>
      <w:r>
        <w:rPr>
          <w:sz w:val="22"/>
          <w:szCs w:val="22"/>
          <w:lang w:val="es-ES"/>
        </w:rPr>
        <w:t xml:space="preserve"> </w:t>
      </w:r>
      <w:proofErr w:type="spellStart"/>
      <w:r>
        <w:rPr>
          <w:sz w:val="22"/>
          <w:szCs w:val="22"/>
          <w:lang w:val="es-ES"/>
        </w:rPr>
        <w:t>of</w:t>
      </w:r>
      <w:proofErr w:type="spellEnd"/>
      <w:r>
        <w:rPr>
          <w:sz w:val="22"/>
          <w:szCs w:val="22"/>
          <w:lang w:val="es-ES"/>
        </w:rPr>
        <w:t xml:space="preserve"> </w:t>
      </w:r>
      <w:proofErr w:type="spellStart"/>
      <w:r>
        <w:rPr>
          <w:sz w:val="22"/>
          <w:szCs w:val="22"/>
          <w:lang w:val="es-ES"/>
        </w:rPr>
        <w:t>the</w:t>
      </w:r>
      <w:proofErr w:type="spellEnd"/>
      <w:r>
        <w:rPr>
          <w:sz w:val="22"/>
          <w:szCs w:val="22"/>
          <w:lang w:val="es-ES"/>
        </w:rPr>
        <w:t xml:space="preserve"> </w:t>
      </w:r>
      <w:proofErr w:type="spellStart"/>
      <w:r>
        <w:rPr>
          <w:sz w:val="22"/>
          <w:szCs w:val="22"/>
          <w:lang w:val="es-ES"/>
        </w:rPr>
        <w:t>start</w:t>
      </w:r>
      <w:proofErr w:type="spellEnd"/>
      <w:r>
        <w:rPr>
          <w:sz w:val="22"/>
          <w:szCs w:val="22"/>
          <w:lang w:val="es-ES"/>
        </w:rPr>
        <w:t xml:space="preserve"> date </w:t>
      </w:r>
      <w:proofErr w:type="spellStart"/>
      <w:r>
        <w:rPr>
          <w:sz w:val="22"/>
          <w:szCs w:val="22"/>
          <w:lang w:val="es-ES"/>
        </w:rPr>
        <w:t>for</w:t>
      </w:r>
      <w:proofErr w:type="spellEnd"/>
      <w:r>
        <w:rPr>
          <w:sz w:val="22"/>
          <w:szCs w:val="22"/>
          <w:lang w:val="es-ES"/>
        </w:rPr>
        <w:t xml:space="preserve"> </w:t>
      </w:r>
      <w:proofErr w:type="spellStart"/>
      <w:r>
        <w:rPr>
          <w:sz w:val="22"/>
          <w:szCs w:val="22"/>
          <w:lang w:val="es-ES"/>
        </w:rPr>
        <w:t>testing</w:t>
      </w:r>
      <w:proofErr w:type="spellEnd"/>
      <w:r>
        <w:rPr>
          <w:sz w:val="22"/>
          <w:szCs w:val="22"/>
          <w:lang w:val="es-ES"/>
        </w:rPr>
        <w:t xml:space="preserve">, a </w:t>
      </w:r>
      <w:proofErr w:type="spellStart"/>
      <w:r>
        <w:rPr>
          <w:sz w:val="22"/>
          <w:szCs w:val="22"/>
          <w:lang w:val="es-ES"/>
        </w:rPr>
        <w:t>detailed</w:t>
      </w:r>
      <w:proofErr w:type="spellEnd"/>
      <w:r>
        <w:rPr>
          <w:sz w:val="22"/>
          <w:szCs w:val="22"/>
          <w:lang w:val="es-ES"/>
        </w:rPr>
        <w:t xml:space="preserve"> </w:t>
      </w:r>
      <w:proofErr w:type="spellStart"/>
      <w:r>
        <w:rPr>
          <w:sz w:val="22"/>
          <w:szCs w:val="22"/>
          <w:lang w:val="es-ES"/>
        </w:rPr>
        <w:t>schedule</w:t>
      </w:r>
      <w:proofErr w:type="spellEnd"/>
      <w:r>
        <w:rPr>
          <w:sz w:val="22"/>
          <w:szCs w:val="22"/>
          <w:lang w:val="es-ES"/>
        </w:rPr>
        <w:t xml:space="preserve"> </w:t>
      </w:r>
      <w:proofErr w:type="spellStart"/>
      <w:r>
        <w:rPr>
          <w:sz w:val="22"/>
          <w:szCs w:val="22"/>
          <w:lang w:val="es-ES"/>
        </w:rPr>
        <w:t>of</w:t>
      </w:r>
      <w:proofErr w:type="spellEnd"/>
      <w:r>
        <w:rPr>
          <w:sz w:val="22"/>
          <w:szCs w:val="22"/>
          <w:lang w:val="es-ES"/>
        </w:rPr>
        <w:t xml:space="preserve"> </w:t>
      </w:r>
      <w:proofErr w:type="spellStart"/>
      <w:r>
        <w:rPr>
          <w:sz w:val="22"/>
          <w:szCs w:val="22"/>
          <w:lang w:val="es-ES"/>
        </w:rPr>
        <w:t>the</w:t>
      </w:r>
      <w:proofErr w:type="spellEnd"/>
      <w:r>
        <w:rPr>
          <w:sz w:val="22"/>
          <w:szCs w:val="22"/>
          <w:lang w:val="es-ES"/>
        </w:rPr>
        <w:t xml:space="preserve"> </w:t>
      </w:r>
      <w:proofErr w:type="spellStart"/>
      <w:r>
        <w:rPr>
          <w:sz w:val="22"/>
          <w:szCs w:val="22"/>
          <w:lang w:val="es-ES"/>
        </w:rPr>
        <w:t>tests</w:t>
      </w:r>
      <w:proofErr w:type="spellEnd"/>
      <w:r>
        <w:rPr>
          <w:sz w:val="22"/>
          <w:szCs w:val="22"/>
          <w:lang w:val="es-ES"/>
        </w:rPr>
        <w:t xml:space="preserve"> </w:t>
      </w:r>
      <w:proofErr w:type="spellStart"/>
      <w:r>
        <w:rPr>
          <w:sz w:val="22"/>
          <w:szCs w:val="22"/>
          <w:lang w:val="es-ES"/>
        </w:rPr>
        <w:t>must</w:t>
      </w:r>
      <w:proofErr w:type="spellEnd"/>
      <w:r>
        <w:rPr>
          <w:sz w:val="22"/>
          <w:szCs w:val="22"/>
          <w:lang w:val="es-ES"/>
        </w:rPr>
        <w:t xml:space="preserve"> be </w:t>
      </w:r>
      <w:proofErr w:type="spellStart"/>
      <w:r>
        <w:rPr>
          <w:sz w:val="22"/>
          <w:szCs w:val="22"/>
          <w:lang w:val="es-ES"/>
        </w:rPr>
        <w:t>submitted</w:t>
      </w:r>
      <w:proofErr w:type="spellEnd"/>
      <w:r>
        <w:rPr>
          <w:sz w:val="22"/>
          <w:szCs w:val="22"/>
          <w:lang w:val="es-ES"/>
        </w:rPr>
        <w:t xml:space="preserve">, </w:t>
      </w:r>
      <w:proofErr w:type="spellStart"/>
      <w:r>
        <w:rPr>
          <w:sz w:val="22"/>
          <w:szCs w:val="22"/>
          <w:lang w:val="es-ES"/>
        </w:rPr>
        <w:t>including</w:t>
      </w:r>
      <w:proofErr w:type="spellEnd"/>
      <w:r>
        <w:rPr>
          <w:sz w:val="22"/>
          <w:szCs w:val="22"/>
          <w:lang w:val="es-ES"/>
        </w:rPr>
        <w:t xml:space="preserve"> </w:t>
      </w:r>
      <w:proofErr w:type="spellStart"/>
      <w:r>
        <w:rPr>
          <w:sz w:val="22"/>
          <w:szCs w:val="22"/>
          <w:lang w:val="es-ES"/>
        </w:rPr>
        <w:t>the</w:t>
      </w:r>
      <w:proofErr w:type="spellEnd"/>
      <w:r>
        <w:rPr>
          <w:sz w:val="22"/>
          <w:szCs w:val="22"/>
          <w:lang w:val="es-ES"/>
        </w:rPr>
        <w:t xml:space="preserve"> time </w:t>
      </w:r>
      <w:proofErr w:type="spellStart"/>
      <w:r>
        <w:rPr>
          <w:sz w:val="22"/>
          <w:szCs w:val="22"/>
          <w:lang w:val="es-ES"/>
        </w:rPr>
        <w:t>limit</w:t>
      </w:r>
      <w:proofErr w:type="spellEnd"/>
      <w:r>
        <w:rPr>
          <w:sz w:val="22"/>
          <w:szCs w:val="22"/>
          <w:lang w:val="es-ES"/>
        </w:rPr>
        <w:t xml:space="preserve"> </w:t>
      </w:r>
      <w:proofErr w:type="spellStart"/>
      <w:r>
        <w:rPr>
          <w:sz w:val="22"/>
          <w:szCs w:val="22"/>
          <w:lang w:val="es-ES"/>
        </w:rPr>
        <w:t>indicated</w:t>
      </w:r>
      <w:proofErr w:type="spellEnd"/>
      <w:r>
        <w:rPr>
          <w:sz w:val="22"/>
          <w:szCs w:val="22"/>
          <w:lang w:val="es-ES"/>
        </w:rPr>
        <w:t xml:space="preserve"> in </w:t>
      </w:r>
      <w:proofErr w:type="spellStart"/>
      <w:r>
        <w:rPr>
          <w:sz w:val="22"/>
          <w:szCs w:val="22"/>
          <w:lang w:val="es-ES"/>
        </w:rPr>
        <w:t>Annex</w:t>
      </w:r>
      <w:proofErr w:type="spellEnd"/>
      <w:r>
        <w:rPr>
          <w:sz w:val="22"/>
          <w:szCs w:val="22"/>
          <w:lang w:val="es-ES"/>
        </w:rPr>
        <w:t xml:space="preserve"> VII - </w:t>
      </w:r>
      <w:proofErr w:type="spellStart"/>
      <w:r>
        <w:rPr>
          <w:sz w:val="22"/>
          <w:szCs w:val="22"/>
          <w:lang w:val="es-ES"/>
        </w:rPr>
        <w:t>Technical</w:t>
      </w:r>
      <w:proofErr w:type="spellEnd"/>
      <w:r>
        <w:rPr>
          <w:sz w:val="22"/>
          <w:szCs w:val="22"/>
          <w:lang w:val="es-ES"/>
        </w:rPr>
        <w:t xml:space="preserve"> </w:t>
      </w:r>
      <w:proofErr w:type="spellStart"/>
      <w:r>
        <w:rPr>
          <w:sz w:val="22"/>
          <w:szCs w:val="22"/>
          <w:lang w:val="es-ES"/>
        </w:rPr>
        <w:t>Specifications</w:t>
      </w:r>
      <w:proofErr w:type="spellEnd"/>
      <w:r>
        <w:rPr>
          <w:sz w:val="22"/>
          <w:szCs w:val="22"/>
          <w:lang w:val="es-ES"/>
        </w:rPr>
        <w:t xml:space="preserve"> and </w:t>
      </w:r>
      <w:proofErr w:type="spellStart"/>
      <w:r>
        <w:rPr>
          <w:sz w:val="22"/>
          <w:szCs w:val="22"/>
          <w:lang w:val="es-ES"/>
        </w:rPr>
        <w:t>Controls</w:t>
      </w:r>
      <w:proofErr w:type="spellEnd"/>
      <w:r>
        <w:rPr>
          <w:sz w:val="22"/>
          <w:szCs w:val="22"/>
          <w:lang w:val="es-ES"/>
        </w:rPr>
        <w:t xml:space="preserve">, and a </w:t>
      </w:r>
      <w:proofErr w:type="spellStart"/>
      <w:r>
        <w:rPr>
          <w:sz w:val="22"/>
          <w:szCs w:val="22"/>
          <w:lang w:val="es-ES"/>
        </w:rPr>
        <w:t>description</w:t>
      </w:r>
      <w:proofErr w:type="spellEnd"/>
      <w:r>
        <w:rPr>
          <w:sz w:val="22"/>
          <w:szCs w:val="22"/>
          <w:lang w:val="es-ES"/>
        </w:rPr>
        <w:t xml:space="preserve"> </w:t>
      </w:r>
      <w:proofErr w:type="spellStart"/>
      <w:r>
        <w:rPr>
          <w:sz w:val="22"/>
          <w:szCs w:val="22"/>
          <w:lang w:val="es-ES"/>
        </w:rPr>
        <w:t>of</w:t>
      </w:r>
      <w:proofErr w:type="spellEnd"/>
      <w:r>
        <w:rPr>
          <w:sz w:val="22"/>
          <w:szCs w:val="22"/>
          <w:lang w:val="es-ES"/>
        </w:rPr>
        <w:t xml:space="preserve"> </w:t>
      </w:r>
      <w:proofErr w:type="spellStart"/>
      <w:r>
        <w:rPr>
          <w:sz w:val="22"/>
          <w:szCs w:val="22"/>
          <w:lang w:val="es-ES"/>
        </w:rPr>
        <w:t>the</w:t>
      </w:r>
      <w:proofErr w:type="spellEnd"/>
      <w:r>
        <w:rPr>
          <w:sz w:val="22"/>
          <w:szCs w:val="22"/>
          <w:lang w:val="es-ES"/>
        </w:rPr>
        <w:t xml:space="preserve"> </w:t>
      </w:r>
      <w:proofErr w:type="spellStart"/>
      <w:r>
        <w:rPr>
          <w:sz w:val="22"/>
          <w:szCs w:val="22"/>
          <w:lang w:val="es-ES"/>
        </w:rPr>
        <w:t>facilities</w:t>
      </w:r>
      <w:proofErr w:type="spellEnd"/>
      <w:r>
        <w:rPr>
          <w:sz w:val="22"/>
          <w:szCs w:val="22"/>
          <w:lang w:val="es-ES"/>
        </w:rPr>
        <w:t xml:space="preserve"> </w:t>
      </w:r>
      <w:proofErr w:type="spellStart"/>
      <w:r>
        <w:rPr>
          <w:sz w:val="22"/>
          <w:szCs w:val="22"/>
          <w:lang w:val="es-ES"/>
        </w:rPr>
        <w:t>to</w:t>
      </w:r>
      <w:proofErr w:type="spellEnd"/>
      <w:r>
        <w:rPr>
          <w:sz w:val="22"/>
          <w:szCs w:val="22"/>
          <w:lang w:val="es-ES"/>
        </w:rPr>
        <w:t xml:space="preserve"> be </w:t>
      </w:r>
      <w:proofErr w:type="spellStart"/>
      <w:r>
        <w:rPr>
          <w:sz w:val="22"/>
          <w:szCs w:val="22"/>
          <w:lang w:val="es-ES"/>
        </w:rPr>
        <w:t>used</w:t>
      </w:r>
      <w:proofErr w:type="spellEnd"/>
      <w:r>
        <w:rPr>
          <w:sz w:val="22"/>
          <w:szCs w:val="22"/>
          <w:lang w:val="es-ES"/>
        </w:rPr>
        <w:t xml:space="preserve">. </w:t>
      </w:r>
      <w:proofErr w:type="spellStart"/>
      <w:r>
        <w:rPr>
          <w:sz w:val="22"/>
          <w:szCs w:val="22"/>
          <w:lang w:val="es-ES"/>
        </w:rPr>
        <w:t>It</w:t>
      </w:r>
      <w:proofErr w:type="spellEnd"/>
      <w:r>
        <w:rPr>
          <w:sz w:val="22"/>
          <w:szCs w:val="22"/>
          <w:lang w:val="es-ES"/>
        </w:rPr>
        <w:t xml:space="preserve"> </w:t>
      </w:r>
      <w:proofErr w:type="spellStart"/>
      <w:r>
        <w:rPr>
          <w:sz w:val="22"/>
          <w:szCs w:val="22"/>
          <w:lang w:val="es-ES"/>
        </w:rPr>
        <w:t>must</w:t>
      </w:r>
      <w:proofErr w:type="spellEnd"/>
      <w:r>
        <w:rPr>
          <w:sz w:val="22"/>
          <w:szCs w:val="22"/>
          <w:lang w:val="es-ES"/>
        </w:rPr>
        <w:t xml:space="preserve"> be </w:t>
      </w:r>
      <w:proofErr w:type="spellStart"/>
      <w:r>
        <w:rPr>
          <w:sz w:val="22"/>
          <w:szCs w:val="22"/>
          <w:lang w:val="es-ES"/>
        </w:rPr>
        <w:t>demonstrated</w:t>
      </w:r>
      <w:proofErr w:type="spellEnd"/>
      <w:r>
        <w:rPr>
          <w:sz w:val="22"/>
          <w:szCs w:val="22"/>
          <w:lang w:val="es-ES"/>
        </w:rPr>
        <w:t xml:space="preserve"> </w:t>
      </w:r>
      <w:proofErr w:type="spellStart"/>
      <w:r>
        <w:rPr>
          <w:sz w:val="22"/>
          <w:szCs w:val="22"/>
          <w:lang w:val="es-ES"/>
        </w:rPr>
        <w:t>that</w:t>
      </w:r>
      <w:proofErr w:type="spellEnd"/>
      <w:r>
        <w:rPr>
          <w:sz w:val="22"/>
          <w:szCs w:val="22"/>
          <w:lang w:val="es-ES"/>
        </w:rPr>
        <w:t xml:space="preserve"> </w:t>
      </w:r>
      <w:proofErr w:type="spellStart"/>
      <w:r>
        <w:rPr>
          <w:sz w:val="22"/>
          <w:szCs w:val="22"/>
          <w:lang w:val="es-ES"/>
        </w:rPr>
        <w:t>the</w:t>
      </w:r>
      <w:proofErr w:type="spellEnd"/>
      <w:r>
        <w:rPr>
          <w:sz w:val="22"/>
          <w:szCs w:val="22"/>
          <w:lang w:val="es-ES"/>
        </w:rPr>
        <w:t xml:space="preserve"> </w:t>
      </w:r>
      <w:proofErr w:type="spellStart"/>
      <w:r>
        <w:rPr>
          <w:sz w:val="22"/>
          <w:szCs w:val="22"/>
          <w:lang w:val="es-ES"/>
        </w:rPr>
        <w:t>proposed</w:t>
      </w:r>
      <w:proofErr w:type="spellEnd"/>
      <w:r>
        <w:rPr>
          <w:sz w:val="22"/>
          <w:szCs w:val="22"/>
          <w:lang w:val="es-ES"/>
        </w:rPr>
        <w:t xml:space="preserve"> </w:t>
      </w:r>
      <w:proofErr w:type="spellStart"/>
      <w:r>
        <w:rPr>
          <w:sz w:val="22"/>
          <w:szCs w:val="22"/>
          <w:lang w:val="es-ES"/>
        </w:rPr>
        <w:t>infrastructure</w:t>
      </w:r>
      <w:proofErr w:type="spellEnd"/>
      <w:r>
        <w:rPr>
          <w:sz w:val="22"/>
          <w:szCs w:val="22"/>
          <w:lang w:val="es-ES"/>
        </w:rPr>
        <w:t xml:space="preserve"> </w:t>
      </w:r>
      <w:proofErr w:type="spellStart"/>
      <w:r>
        <w:rPr>
          <w:sz w:val="22"/>
          <w:szCs w:val="22"/>
          <w:lang w:val="es-ES"/>
        </w:rPr>
        <w:t>capacity</w:t>
      </w:r>
      <w:proofErr w:type="spellEnd"/>
      <w:r>
        <w:rPr>
          <w:sz w:val="22"/>
          <w:szCs w:val="22"/>
          <w:lang w:val="es-ES"/>
        </w:rPr>
        <w:t xml:space="preserve"> </w:t>
      </w:r>
      <w:proofErr w:type="spellStart"/>
      <w:r>
        <w:rPr>
          <w:sz w:val="22"/>
          <w:szCs w:val="22"/>
          <w:lang w:val="es-ES"/>
        </w:rPr>
        <w:t>is</w:t>
      </w:r>
      <w:proofErr w:type="spellEnd"/>
      <w:r>
        <w:rPr>
          <w:sz w:val="22"/>
          <w:szCs w:val="22"/>
          <w:lang w:val="es-ES"/>
        </w:rPr>
        <w:t xml:space="preserve"> </w:t>
      </w:r>
      <w:proofErr w:type="spellStart"/>
      <w:r>
        <w:rPr>
          <w:sz w:val="22"/>
          <w:szCs w:val="22"/>
          <w:lang w:val="es-ES"/>
        </w:rPr>
        <w:t>sufficient</w:t>
      </w:r>
      <w:proofErr w:type="spellEnd"/>
      <w:r>
        <w:rPr>
          <w:sz w:val="22"/>
          <w:szCs w:val="22"/>
          <w:lang w:val="es-ES"/>
        </w:rPr>
        <w:t xml:space="preserve"> </w:t>
      </w:r>
      <w:proofErr w:type="spellStart"/>
      <w:r>
        <w:rPr>
          <w:sz w:val="22"/>
          <w:szCs w:val="22"/>
          <w:lang w:val="es-ES"/>
        </w:rPr>
        <w:t>to</w:t>
      </w:r>
      <w:proofErr w:type="spellEnd"/>
      <w:r>
        <w:rPr>
          <w:sz w:val="22"/>
          <w:szCs w:val="22"/>
          <w:lang w:val="es-ES"/>
        </w:rPr>
        <w:t xml:space="preserve"> </w:t>
      </w:r>
      <w:proofErr w:type="spellStart"/>
      <w:r>
        <w:rPr>
          <w:sz w:val="22"/>
          <w:szCs w:val="22"/>
          <w:lang w:val="es-ES"/>
        </w:rPr>
        <w:t>meet</w:t>
      </w:r>
      <w:proofErr w:type="spellEnd"/>
      <w:r>
        <w:rPr>
          <w:sz w:val="22"/>
          <w:szCs w:val="22"/>
          <w:lang w:val="es-ES"/>
        </w:rPr>
        <w:t xml:space="preserve"> </w:t>
      </w:r>
      <w:proofErr w:type="spellStart"/>
      <w:r>
        <w:rPr>
          <w:sz w:val="22"/>
          <w:szCs w:val="22"/>
          <w:lang w:val="es-ES"/>
        </w:rPr>
        <w:t>the</w:t>
      </w:r>
      <w:proofErr w:type="spellEnd"/>
      <w:r>
        <w:rPr>
          <w:sz w:val="22"/>
          <w:szCs w:val="22"/>
          <w:lang w:val="es-ES"/>
        </w:rPr>
        <w:t xml:space="preserve"> </w:t>
      </w:r>
      <w:proofErr w:type="spellStart"/>
      <w:r>
        <w:rPr>
          <w:sz w:val="22"/>
          <w:szCs w:val="22"/>
          <w:lang w:val="es-ES"/>
        </w:rPr>
        <w:t>maximum</w:t>
      </w:r>
      <w:proofErr w:type="spellEnd"/>
      <w:r>
        <w:rPr>
          <w:sz w:val="22"/>
          <w:szCs w:val="22"/>
          <w:lang w:val="es-ES"/>
        </w:rPr>
        <w:t xml:space="preserve"> </w:t>
      </w:r>
      <w:proofErr w:type="spellStart"/>
      <w:r>
        <w:rPr>
          <w:sz w:val="22"/>
          <w:szCs w:val="22"/>
          <w:lang w:val="es-ES"/>
        </w:rPr>
        <w:t>duration</w:t>
      </w:r>
      <w:proofErr w:type="spellEnd"/>
      <w:r>
        <w:rPr>
          <w:sz w:val="22"/>
          <w:szCs w:val="22"/>
          <w:lang w:val="es-ES"/>
        </w:rPr>
        <w:t xml:space="preserve"> </w:t>
      </w:r>
      <w:proofErr w:type="spellStart"/>
      <w:r>
        <w:rPr>
          <w:sz w:val="22"/>
          <w:szCs w:val="22"/>
          <w:lang w:val="es-ES"/>
        </w:rPr>
        <w:t>of</w:t>
      </w:r>
      <w:proofErr w:type="spellEnd"/>
      <w:r>
        <w:rPr>
          <w:sz w:val="22"/>
          <w:szCs w:val="22"/>
          <w:lang w:val="es-ES"/>
        </w:rPr>
        <w:t xml:space="preserve"> </w:t>
      </w:r>
      <w:proofErr w:type="spellStart"/>
      <w:r>
        <w:rPr>
          <w:sz w:val="22"/>
          <w:szCs w:val="22"/>
          <w:lang w:val="es-ES"/>
        </w:rPr>
        <w:t>all</w:t>
      </w:r>
      <w:proofErr w:type="spellEnd"/>
      <w:r>
        <w:rPr>
          <w:sz w:val="22"/>
          <w:szCs w:val="22"/>
          <w:lang w:val="es-ES"/>
        </w:rPr>
        <w:t xml:space="preserve"> </w:t>
      </w:r>
      <w:proofErr w:type="spellStart"/>
      <w:r>
        <w:rPr>
          <w:sz w:val="22"/>
          <w:szCs w:val="22"/>
          <w:lang w:val="es-ES"/>
        </w:rPr>
        <w:t>tests</w:t>
      </w:r>
      <w:proofErr w:type="spellEnd"/>
      <w:r>
        <w:rPr>
          <w:sz w:val="22"/>
          <w:szCs w:val="22"/>
          <w:lang w:val="es-ES"/>
        </w:rPr>
        <w:t xml:space="preserve"> </w:t>
      </w:r>
      <w:proofErr w:type="spellStart"/>
      <w:r>
        <w:rPr>
          <w:sz w:val="22"/>
          <w:szCs w:val="22"/>
          <w:lang w:val="es-ES"/>
        </w:rPr>
        <w:t>for</w:t>
      </w:r>
      <w:proofErr w:type="spellEnd"/>
      <w:r>
        <w:rPr>
          <w:sz w:val="22"/>
          <w:szCs w:val="22"/>
          <w:lang w:val="es-ES"/>
        </w:rPr>
        <w:t xml:space="preserve"> </w:t>
      </w:r>
      <w:proofErr w:type="spellStart"/>
      <w:r>
        <w:rPr>
          <w:sz w:val="22"/>
          <w:szCs w:val="22"/>
          <w:lang w:val="es-ES"/>
        </w:rPr>
        <w:t>the</w:t>
      </w:r>
      <w:proofErr w:type="spellEnd"/>
      <w:r>
        <w:rPr>
          <w:sz w:val="22"/>
          <w:szCs w:val="22"/>
          <w:lang w:val="es-ES"/>
        </w:rPr>
        <w:t xml:space="preserve"> </w:t>
      </w:r>
      <w:proofErr w:type="spellStart"/>
      <w:r>
        <w:rPr>
          <w:sz w:val="22"/>
          <w:szCs w:val="22"/>
          <w:lang w:val="es-ES"/>
        </w:rPr>
        <w:t>acceptance</w:t>
      </w:r>
      <w:proofErr w:type="spellEnd"/>
      <w:r>
        <w:rPr>
          <w:sz w:val="22"/>
          <w:szCs w:val="22"/>
          <w:lang w:val="es-ES"/>
        </w:rPr>
        <w:t xml:space="preserve"> </w:t>
      </w:r>
      <w:proofErr w:type="spellStart"/>
      <w:r>
        <w:rPr>
          <w:sz w:val="22"/>
          <w:szCs w:val="22"/>
          <w:lang w:val="es-ES"/>
        </w:rPr>
        <w:t>of</w:t>
      </w:r>
      <w:proofErr w:type="spellEnd"/>
      <w:r>
        <w:rPr>
          <w:sz w:val="22"/>
          <w:szCs w:val="22"/>
          <w:lang w:val="es-ES"/>
        </w:rPr>
        <w:t xml:space="preserve"> </w:t>
      </w:r>
      <w:proofErr w:type="spellStart"/>
      <w:r>
        <w:rPr>
          <w:sz w:val="22"/>
          <w:szCs w:val="22"/>
          <w:lang w:val="es-ES"/>
        </w:rPr>
        <w:t>each</w:t>
      </w:r>
      <w:proofErr w:type="spellEnd"/>
      <w:r>
        <w:rPr>
          <w:sz w:val="22"/>
          <w:szCs w:val="22"/>
          <w:lang w:val="es-ES"/>
        </w:rPr>
        <w:t xml:space="preserve"> </w:t>
      </w:r>
      <w:proofErr w:type="spellStart"/>
      <w:r>
        <w:rPr>
          <w:sz w:val="22"/>
          <w:szCs w:val="22"/>
          <w:lang w:val="es-ES"/>
        </w:rPr>
        <w:t>tendered</w:t>
      </w:r>
      <w:proofErr w:type="spellEnd"/>
      <w:r>
        <w:rPr>
          <w:sz w:val="22"/>
          <w:szCs w:val="22"/>
          <w:lang w:val="es-ES"/>
        </w:rPr>
        <w:t xml:space="preserve"> </w:t>
      </w:r>
      <w:proofErr w:type="spellStart"/>
      <w:r>
        <w:rPr>
          <w:sz w:val="22"/>
          <w:szCs w:val="22"/>
          <w:lang w:val="es-ES"/>
        </w:rPr>
        <w:t>batch</w:t>
      </w:r>
      <w:proofErr w:type="spellEnd"/>
      <w:r>
        <w:rPr>
          <w:sz w:val="22"/>
          <w:szCs w:val="22"/>
          <w:lang w:val="es-ES"/>
        </w:rPr>
        <w:t>.</w:t>
      </w:r>
    </w:p>
    <w:p w14:paraId="23006C57" w14:textId="77777777" w:rsidR="00E255F4" w:rsidRDefault="00000000">
      <w:pPr>
        <w:numPr>
          <w:ilvl w:val="2"/>
          <w:numId w:val="10"/>
        </w:numPr>
        <w:spacing w:before="240" w:after="120"/>
        <w:rPr>
          <w:b/>
          <w:sz w:val="22"/>
          <w:szCs w:val="22"/>
        </w:rPr>
      </w:pPr>
      <w:proofErr w:type="spellStart"/>
      <w:r>
        <w:rPr>
          <w:b/>
          <w:sz w:val="22"/>
          <w:szCs w:val="22"/>
        </w:rPr>
        <w:t>Tests</w:t>
      </w:r>
      <w:proofErr w:type="spellEnd"/>
      <w:r>
        <w:rPr>
          <w:b/>
          <w:sz w:val="22"/>
          <w:szCs w:val="22"/>
        </w:rPr>
        <w:t xml:space="preserve"> </w:t>
      </w:r>
      <w:proofErr w:type="spellStart"/>
      <w:r>
        <w:rPr>
          <w:b/>
          <w:sz w:val="22"/>
          <w:szCs w:val="22"/>
        </w:rPr>
        <w:t>for</w:t>
      </w:r>
      <w:proofErr w:type="spellEnd"/>
      <w:r>
        <w:rPr>
          <w:b/>
          <w:sz w:val="22"/>
          <w:szCs w:val="22"/>
        </w:rPr>
        <w:t xml:space="preserve"> </w:t>
      </w:r>
      <w:proofErr w:type="spellStart"/>
      <w:r>
        <w:rPr>
          <w:b/>
          <w:sz w:val="22"/>
          <w:szCs w:val="22"/>
        </w:rPr>
        <w:t>the</w:t>
      </w:r>
      <w:proofErr w:type="spellEnd"/>
      <w:r>
        <w:rPr>
          <w:b/>
          <w:sz w:val="22"/>
          <w:szCs w:val="22"/>
        </w:rPr>
        <w:t xml:space="preserve"> </w:t>
      </w:r>
      <w:proofErr w:type="spellStart"/>
      <w:r>
        <w:rPr>
          <w:b/>
          <w:sz w:val="22"/>
          <w:szCs w:val="22"/>
        </w:rPr>
        <w:t>acceptance</w:t>
      </w:r>
      <w:proofErr w:type="spellEnd"/>
      <w:r>
        <w:rPr>
          <w:b/>
          <w:sz w:val="22"/>
          <w:szCs w:val="22"/>
        </w:rPr>
        <w:t xml:space="preserve"> </w:t>
      </w:r>
      <w:proofErr w:type="spellStart"/>
      <w:r>
        <w:rPr>
          <w:b/>
          <w:sz w:val="22"/>
          <w:szCs w:val="22"/>
        </w:rPr>
        <w:t>of</w:t>
      </w:r>
      <w:proofErr w:type="spellEnd"/>
      <w:r>
        <w:rPr>
          <w:b/>
          <w:sz w:val="22"/>
          <w:szCs w:val="22"/>
        </w:rPr>
        <w:t xml:space="preserve"> </w:t>
      </w:r>
      <w:proofErr w:type="spellStart"/>
      <w:r>
        <w:rPr>
          <w:b/>
          <w:sz w:val="22"/>
          <w:szCs w:val="22"/>
        </w:rPr>
        <w:t>meters</w:t>
      </w:r>
      <w:proofErr w:type="spellEnd"/>
      <w:r>
        <w:rPr>
          <w:b/>
          <w:sz w:val="22"/>
          <w:szCs w:val="22"/>
        </w:rPr>
        <w:t xml:space="preserve"> at </w:t>
      </w:r>
      <w:proofErr w:type="spellStart"/>
      <w:r>
        <w:rPr>
          <w:b/>
          <w:sz w:val="22"/>
          <w:szCs w:val="22"/>
        </w:rPr>
        <w:t>the</w:t>
      </w:r>
      <w:proofErr w:type="spellEnd"/>
      <w:r>
        <w:rPr>
          <w:b/>
          <w:sz w:val="22"/>
          <w:szCs w:val="22"/>
        </w:rPr>
        <w:t xml:space="preserve"> </w:t>
      </w:r>
      <w:proofErr w:type="spellStart"/>
      <w:r>
        <w:rPr>
          <w:b/>
          <w:sz w:val="22"/>
          <w:szCs w:val="22"/>
        </w:rPr>
        <w:t>factory</w:t>
      </w:r>
      <w:proofErr w:type="spellEnd"/>
    </w:p>
    <w:p w14:paraId="6249109B" w14:textId="77777777" w:rsidR="00E255F4" w:rsidRDefault="00000000">
      <w:pPr>
        <w:pStyle w:val="Prrafodelista"/>
        <w:tabs>
          <w:tab w:val="left" w:pos="-720"/>
          <w:tab w:val="left" w:pos="851"/>
        </w:tabs>
        <w:spacing w:after="120"/>
        <w:ind w:left="709" w:hanging="709"/>
        <w:jc w:val="both"/>
        <w:rPr>
          <w:b/>
          <w:sz w:val="22"/>
          <w:szCs w:val="22"/>
          <w:lang w:val="es-ES"/>
        </w:rPr>
      </w:pPr>
      <w:r>
        <w:rPr>
          <w:spacing w:val="-3"/>
          <w:sz w:val="22"/>
          <w:szCs w:val="22"/>
          <w:lang w:val="es-ES"/>
        </w:rPr>
        <w:t xml:space="preserve">9.2.2.1The </w:t>
      </w:r>
      <w:proofErr w:type="spellStart"/>
      <w:r>
        <w:rPr>
          <w:spacing w:val="-3"/>
          <w:sz w:val="22"/>
          <w:szCs w:val="22"/>
          <w:lang w:val="es-ES"/>
        </w:rPr>
        <w:t>inspections</w:t>
      </w:r>
      <w:proofErr w:type="spellEnd"/>
      <w:r>
        <w:rPr>
          <w:spacing w:val="-3"/>
          <w:sz w:val="22"/>
          <w:szCs w:val="22"/>
          <w:lang w:val="es-ES"/>
        </w:rPr>
        <w:t xml:space="preserve"> and </w:t>
      </w:r>
      <w:proofErr w:type="spellStart"/>
      <w:r>
        <w:rPr>
          <w:spacing w:val="-3"/>
          <w:sz w:val="22"/>
          <w:szCs w:val="22"/>
          <w:lang w:val="es-ES"/>
        </w:rPr>
        <w:t>acceptance</w:t>
      </w:r>
      <w:proofErr w:type="spellEnd"/>
      <w:r>
        <w:rPr>
          <w:spacing w:val="-3"/>
          <w:sz w:val="22"/>
          <w:szCs w:val="22"/>
          <w:lang w:val="es-ES"/>
        </w:rPr>
        <w:t xml:space="preserve"> </w:t>
      </w:r>
      <w:proofErr w:type="spellStart"/>
      <w:r>
        <w:rPr>
          <w:spacing w:val="-3"/>
          <w:sz w:val="22"/>
          <w:szCs w:val="22"/>
          <w:lang w:val="es-ES"/>
        </w:rPr>
        <w:t>tests</w:t>
      </w:r>
      <w:proofErr w:type="spellEnd"/>
      <w:r>
        <w:rPr>
          <w:spacing w:val="-3"/>
          <w:sz w:val="22"/>
          <w:szCs w:val="22"/>
          <w:lang w:val="es-ES"/>
        </w:rPr>
        <w:t xml:space="preserve"> </w:t>
      </w:r>
      <w:proofErr w:type="spellStart"/>
      <w:r>
        <w:rPr>
          <w:spacing w:val="-3"/>
          <w:sz w:val="22"/>
          <w:szCs w:val="22"/>
          <w:lang w:val="es-ES"/>
        </w:rPr>
        <w:t>of</w:t>
      </w:r>
      <w:proofErr w:type="spellEnd"/>
      <w:r>
        <w:rPr>
          <w:spacing w:val="-3"/>
          <w:sz w:val="22"/>
          <w:szCs w:val="22"/>
          <w:lang w:val="es-ES"/>
        </w:rPr>
        <w:t xml:space="preserve"> </w:t>
      </w:r>
      <w:proofErr w:type="spellStart"/>
      <w:r>
        <w:rPr>
          <w:spacing w:val="-3"/>
          <w:sz w:val="22"/>
          <w:szCs w:val="22"/>
          <w:lang w:val="es-ES"/>
        </w:rPr>
        <w:t>the</w:t>
      </w:r>
      <w:proofErr w:type="spellEnd"/>
      <w:r>
        <w:rPr>
          <w:spacing w:val="-3"/>
          <w:sz w:val="22"/>
          <w:szCs w:val="22"/>
          <w:lang w:val="es-ES"/>
        </w:rPr>
        <w:t xml:space="preserve"> </w:t>
      </w:r>
      <w:proofErr w:type="spellStart"/>
      <w:r>
        <w:rPr>
          <w:spacing w:val="-3"/>
          <w:sz w:val="22"/>
          <w:szCs w:val="22"/>
          <w:lang w:val="es-ES"/>
        </w:rPr>
        <w:t>awarded</w:t>
      </w:r>
      <w:proofErr w:type="spellEnd"/>
      <w:r>
        <w:rPr>
          <w:spacing w:val="-3"/>
          <w:sz w:val="22"/>
          <w:szCs w:val="22"/>
          <w:lang w:val="es-ES"/>
        </w:rPr>
        <w:t xml:space="preserve"> </w:t>
      </w:r>
      <w:proofErr w:type="spellStart"/>
      <w:r>
        <w:rPr>
          <w:spacing w:val="-3"/>
          <w:sz w:val="22"/>
          <w:szCs w:val="22"/>
          <w:lang w:val="es-ES"/>
        </w:rPr>
        <w:t>meters</w:t>
      </w:r>
      <w:proofErr w:type="spellEnd"/>
      <w:r>
        <w:rPr>
          <w:spacing w:val="-3"/>
          <w:sz w:val="22"/>
          <w:szCs w:val="22"/>
          <w:lang w:val="es-ES"/>
        </w:rPr>
        <w:t xml:space="preserve"> </w:t>
      </w:r>
      <w:proofErr w:type="spellStart"/>
      <w:r>
        <w:rPr>
          <w:spacing w:val="-3"/>
          <w:sz w:val="22"/>
          <w:szCs w:val="22"/>
          <w:lang w:val="es-ES"/>
        </w:rPr>
        <w:t>will</w:t>
      </w:r>
      <w:proofErr w:type="spellEnd"/>
      <w:r>
        <w:rPr>
          <w:spacing w:val="-3"/>
          <w:sz w:val="22"/>
          <w:szCs w:val="22"/>
          <w:lang w:val="es-ES"/>
        </w:rPr>
        <w:t xml:space="preserve"> be </w:t>
      </w:r>
      <w:proofErr w:type="spellStart"/>
      <w:r>
        <w:rPr>
          <w:spacing w:val="-3"/>
          <w:sz w:val="22"/>
          <w:szCs w:val="22"/>
          <w:lang w:val="es-ES"/>
        </w:rPr>
        <w:t>carried</w:t>
      </w:r>
      <w:proofErr w:type="spellEnd"/>
      <w:r>
        <w:rPr>
          <w:spacing w:val="-3"/>
          <w:sz w:val="22"/>
          <w:szCs w:val="22"/>
          <w:lang w:val="es-ES"/>
        </w:rPr>
        <w:t xml:space="preserve"> </w:t>
      </w:r>
      <w:proofErr w:type="spellStart"/>
      <w:r>
        <w:rPr>
          <w:spacing w:val="-3"/>
          <w:sz w:val="22"/>
          <w:szCs w:val="22"/>
          <w:lang w:val="es-ES"/>
        </w:rPr>
        <w:t>out</w:t>
      </w:r>
      <w:proofErr w:type="spellEnd"/>
      <w:r>
        <w:rPr>
          <w:spacing w:val="-3"/>
          <w:sz w:val="22"/>
          <w:szCs w:val="22"/>
          <w:lang w:val="es-ES"/>
        </w:rPr>
        <w:t xml:space="preserve"> </w:t>
      </w:r>
      <w:proofErr w:type="spellStart"/>
      <w:r>
        <w:rPr>
          <w:spacing w:val="-3"/>
          <w:sz w:val="22"/>
          <w:szCs w:val="22"/>
          <w:lang w:val="es-ES"/>
        </w:rPr>
        <w:t>on</w:t>
      </w:r>
      <w:proofErr w:type="spellEnd"/>
      <w:r>
        <w:rPr>
          <w:spacing w:val="-3"/>
          <w:sz w:val="22"/>
          <w:szCs w:val="22"/>
          <w:lang w:val="es-ES"/>
        </w:rPr>
        <w:t xml:space="preserve"> site at </w:t>
      </w:r>
      <w:proofErr w:type="spellStart"/>
      <w:r>
        <w:rPr>
          <w:spacing w:val="-3"/>
          <w:sz w:val="22"/>
          <w:szCs w:val="22"/>
          <w:lang w:val="es-ES"/>
        </w:rPr>
        <w:t>the</w:t>
      </w:r>
      <w:proofErr w:type="spellEnd"/>
      <w:r>
        <w:rPr>
          <w:spacing w:val="-3"/>
          <w:sz w:val="22"/>
          <w:szCs w:val="22"/>
          <w:lang w:val="es-ES"/>
        </w:rPr>
        <w:t xml:space="preserve"> </w:t>
      </w:r>
      <w:proofErr w:type="spellStart"/>
      <w:r>
        <w:rPr>
          <w:spacing w:val="-3"/>
          <w:sz w:val="22"/>
          <w:szCs w:val="22"/>
          <w:lang w:val="es-ES"/>
        </w:rPr>
        <w:t>corresponding</w:t>
      </w:r>
      <w:proofErr w:type="spellEnd"/>
      <w:r>
        <w:rPr>
          <w:spacing w:val="-3"/>
          <w:sz w:val="22"/>
          <w:szCs w:val="22"/>
          <w:lang w:val="es-ES"/>
        </w:rPr>
        <w:t xml:space="preserve"> place </w:t>
      </w:r>
      <w:proofErr w:type="spellStart"/>
      <w:r>
        <w:rPr>
          <w:spacing w:val="-3"/>
          <w:sz w:val="22"/>
          <w:szCs w:val="22"/>
          <w:lang w:val="es-ES"/>
        </w:rPr>
        <w:t>of</w:t>
      </w:r>
      <w:proofErr w:type="spellEnd"/>
      <w:r>
        <w:rPr>
          <w:spacing w:val="-3"/>
          <w:sz w:val="22"/>
          <w:szCs w:val="22"/>
          <w:lang w:val="es-ES"/>
        </w:rPr>
        <w:t xml:space="preserve"> manufacture.</w:t>
      </w:r>
      <w:r>
        <w:rPr>
          <w:spacing w:val="-3"/>
          <w:sz w:val="22"/>
          <w:szCs w:val="22"/>
          <w:lang w:val="es-ES"/>
        </w:rPr>
        <w:tab/>
      </w:r>
    </w:p>
    <w:p w14:paraId="280F03B2" w14:textId="77777777" w:rsidR="00E255F4" w:rsidRDefault="00000000">
      <w:pPr>
        <w:pStyle w:val="Prrafodelista"/>
        <w:tabs>
          <w:tab w:val="left" w:pos="-720"/>
          <w:tab w:val="left" w:pos="851"/>
        </w:tabs>
        <w:spacing w:after="120"/>
        <w:ind w:left="709" w:hanging="709"/>
        <w:jc w:val="both"/>
        <w:rPr>
          <w:spacing w:val="-3"/>
          <w:sz w:val="22"/>
          <w:szCs w:val="22"/>
          <w:lang w:val="es-ES"/>
        </w:rPr>
      </w:pPr>
      <w:r>
        <w:rPr>
          <w:spacing w:val="-3"/>
          <w:sz w:val="22"/>
          <w:szCs w:val="22"/>
          <w:lang w:val="es-ES"/>
        </w:rPr>
        <w:t xml:space="preserve">9.2.2.2For </w:t>
      </w:r>
      <w:proofErr w:type="spellStart"/>
      <w:r>
        <w:rPr>
          <w:spacing w:val="-3"/>
          <w:sz w:val="22"/>
          <w:szCs w:val="22"/>
          <w:lang w:val="es-ES"/>
        </w:rPr>
        <w:t>the</w:t>
      </w:r>
      <w:proofErr w:type="spellEnd"/>
      <w:r>
        <w:rPr>
          <w:spacing w:val="-3"/>
          <w:sz w:val="22"/>
          <w:szCs w:val="22"/>
          <w:lang w:val="es-ES"/>
        </w:rPr>
        <w:t xml:space="preserve"> </w:t>
      </w:r>
      <w:proofErr w:type="spellStart"/>
      <w:r>
        <w:rPr>
          <w:spacing w:val="-3"/>
          <w:sz w:val="22"/>
          <w:szCs w:val="22"/>
          <w:lang w:val="es-ES"/>
        </w:rPr>
        <w:t>reception</w:t>
      </w:r>
      <w:proofErr w:type="spellEnd"/>
      <w:r>
        <w:rPr>
          <w:spacing w:val="-3"/>
          <w:sz w:val="22"/>
          <w:szCs w:val="22"/>
          <w:lang w:val="es-ES"/>
        </w:rPr>
        <w:t xml:space="preserve">, </w:t>
      </w:r>
      <w:proofErr w:type="spellStart"/>
      <w:r>
        <w:rPr>
          <w:spacing w:val="-3"/>
          <w:sz w:val="22"/>
          <w:szCs w:val="22"/>
          <w:lang w:val="es-ES"/>
        </w:rPr>
        <w:t>all</w:t>
      </w:r>
      <w:proofErr w:type="spellEnd"/>
      <w:r>
        <w:rPr>
          <w:spacing w:val="-3"/>
          <w:sz w:val="22"/>
          <w:szCs w:val="22"/>
          <w:lang w:val="es-ES"/>
        </w:rPr>
        <w:t xml:space="preserve"> </w:t>
      </w:r>
      <w:proofErr w:type="spellStart"/>
      <w:r>
        <w:rPr>
          <w:spacing w:val="-3"/>
          <w:sz w:val="22"/>
          <w:szCs w:val="22"/>
          <w:lang w:val="es-ES"/>
        </w:rPr>
        <w:t>of</w:t>
      </w:r>
      <w:proofErr w:type="spellEnd"/>
      <w:r>
        <w:rPr>
          <w:spacing w:val="-3"/>
          <w:sz w:val="22"/>
          <w:szCs w:val="22"/>
          <w:lang w:val="es-ES"/>
        </w:rPr>
        <w:t xml:space="preserve"> </w:t>
      </w:r>
      <w:proofErr w:type="spellStart"/>
      <w:r>
        <w:rPr>
          <w:spacing w:val="-3"/>
          <w:sz w:val="22"/>
          <w:szCs w:val="22"/>
          <w:lang w:val="es-ES"/>
        </w:rPr>
        <w:t>the</w:t>
      </w:r>
      <w:proofErr w:type="spellEnd"/>
      <w:r>
        <w:rPr>
          <w:spacing w:val="-3"/>
          <w:sz w:val="22"/>
          <w:szCs w:val="22"/>
          <w:lang w:val="es-ES"/>
        </w:rPr>
        <w:t xml:space="preserve"> </w:t>
      </w:r>
      <w:proofErr w:type="spellStart"/>
      <w:r>
        <w:rPr>
          <w:spacing w:val="-3"/>
          <w:sz w:val="22"/>
          <w:szCs w:val="22"/>
          <w:lang w:val="es-ES"/>
        </w:rPr>
        <w:t>requested</w:t>
      </w:r>
      <w:proofErr w:type="spellEnd"/>
      <w:r>
        <w:rPr>
          <w:spacing w:val="-3"/>
          <w:sz w:val="22"/>
          <w:szCs w:val="22"/>
          <w:lang w:val="es-ES"/>
        </w:rPr>
        <w:t xml:space="preserve"> 13mm </w:t>
      </w:r>
      <w:proofErr w:type="spellStart"/>
      <w:r>
        <w:rPr>
          <w:spacing w:val="-3"/>
          <w:sz w:val="22"/>
          <w:szCs w:val="22"/>
          <w:lang w:val="es-ES"/>
        </w:rPr>
        <w:t>meters</w:t>
      </w:r>
      <w:proofErr w:type="spellEnd"/>
      <w:r>
        <w:rPr>
          <w:spacing w:val="-3"/>
          <w:sz w:val="22"/>
          <w:szCs w:val="22"/>
          <w:lang w:val="es-ES"/>
        </w:rPr>
        <w:t xml:space="preserve"> </w:t>
      </w:r>
      <w:proofErr w:type="spellStart"/>
      <w:r>
        <w:rPr>
          <w:spacing w:val="-3"/>
          <w:sz w:val="22"/>
          <w:szCs w:val="22"/>
          <w:lang w:val="es-ES"/>
        </w:rPr>
        <w:t>will</w:t>
      </w:r>
      <w:proofErr w:type="spellEnd"/>
      <w:r>
        <w:rPr>
          <w:spacing w:val="-3"/>
          <w:sz w:val="22"/>
          <w:szCs w:val="22"/>
          <w:lang w:val="es-ES"/>
        </w:rPr>
        <w:t xml:space="preserve"> be </w:t>
      </w:r>
      <w:proofErr w:type="spellStart"/>
      <w:r>
        <w:rPr>
          <w:spacing w:val="-3"/>
          <w:sz w:val="22"/>
          <w:szCs w:val="22"/>
          <w:lang w:val="es-ES"/>
        </w:rPr>
        <w:t>taken</w:t>
      </w:r>
      <w:proofErr w:type="spellEnd"/>
      <w:r>
        <w:rPr>
          <w:spacing w:val="-3"/>
          <w:sz w:val="22"/>
          <w:szCs w:val="22"/>
          <w:lang w:val="es-ES"/>
        </w:rPr>
        <w:t xml:space="preserve">, </w:t>
      </w:r>
      <w:proofErr w:type="spellStart"/>
      <w:r>
        <w:rPr>
          <w:spacing w:val="-3"/>
          <w:sz w:val="22"/>
          <w:szCs w:val="22"/>
          <w:lang w:val="es-ES"/>
        </w:rPr>
        <w:t>that</w:t>
      </w:r>
      <w:proofErr w:type="spellEnd"/>
      <w:r>
        <w:rPr>
          <w:spacing w:val="-3"/>
          <w:sz w:val="22"/>
          <w:szCs w:val="22"/>
          <w:lang w:val="es-ES"/>
        </w:rPr>
        <w:t xml:space="preserve"> </w:t>
      </w:r>
      <w:proofErr w:type="spellStart"/>
      <w:r>
        <w:rPr>
          <w:spacing w:val="-3"/>
          <w:sz w:val="22"/>
          <w:szCs w:val="22"/>
          <w:lang w:val="es-ES"/>
        </w:rPr>
        <w:t>is</w:t>
      </w:r>
      <w:proofErr w:type="spellEnd"/>
      <w:r>
        <w:rPr>
          <w:spacing w:val="-3"/>
          <w:sz w:val="22"/>
          <w:szCs w:val="22"/>
          <w:lang w:val="es-ES"/>
        </w:rPr>
        <w:t xml:space="preserve">, </w:t>
      </w:r>
      <w:proofErr w:type="spellStart"/>
      <w:r>
        <w:rPr>
          <w:spacing w:val="-3"/>
          <w:sz w:val="22"/>
          <w:szCs w:val="22"/>
          <w:lang w:val="es-ES"/>
        </w:rPr>
        <w:t>the</w:t>
      </w:r>
      <w:proofErr w:type="spellEnd"/>
      <w:r>
        <w:rPr>
          <w:spacing w:val="-3"/>
          <w:sz w:val="22"/>
          <w:szCs w:val="22"/>
          <w:lang w:val="es-ES"/>
        </w:rPr>
        <w:t xml:space="preserve"> </w:t>
      </w:r>
      <w:proofErr w:type="spellStart"/>
      <w:r>
        <w:rPr>
          <w:spacing w:val="-3"/>
          <w:sz w:val="22"/>
          <w:szCs w:val="22"/>
          <w:lang w:val="es-ES"/>
        </w:rPr>
        <w:t>quantity</w:t>
      </w:r>
      <w:proofErr w:type="spellEnd"/>
      <w:r>
        <w:rPr>
          <w:spacing w:val="-3"/>
          <w:sz w:val="22"/>
          <w:szCs w:val="22"/>
          <w:lang w:val="es-ES"/>
        </w:rPr>
        <w:t xml:space="preserve"> </w:t>
      </w:r>
      <w:proofErr w:type="spellStart"/>
      <w:r>
        <w:rPr>
          <w:spacing w:val="-3"/>
          <w:sz w:val="22"/>
          <w:szCs w:val="22"/>
          <w:lang w:val="es-ES"/>
        </w:rPr>
        <w:t>of</w:t>
      </w:r>
      <w:proofErr w:type="spellEnd"/>
      <w:r>
        <w:rPr>
          <w:spacing w:val="-3"/>
          <w:sz w:val="22"/>
          <w:szCs w:val="22"/>
          <w:lang w:val="es-ES"/>
        </w:rPr>
        <w:t xml:space="preserve"> 50,000 </w:t>
      </w:r>
      <w:proofErr w:type="spellStart"/>
      <w:r>
        <w:rPr>
          <w:spacing w:val="-3"/>
          <w:sz w:val="22"/>
          <w:szCs w:val="22"/>
          <w:lang w:val="es-ES"/>
        </w:rPr>
        <w:t>meters</w:t>
      </w:r>
      <w:proofErr w:type="spellEnd"/>
      <w:r>
        <w:rPr>
          <w:spacing w:val="-3"/>
          <w:sz w:val="22"/>
          <w:szCs w:val="22"/>
          <w:lang w:val="es-ES"/>
        </w:rPr>
        <w:t xml:space="preserve"> </w:t>
      </w:r>
      <w:proofErr w:type="spellStart"/>
      <w:r>
        <w:rPr>
          <w:spacing w:val="-3"/>
          <w:sz w:val="22"/>
          <w:szCs w:val="22"/>
          <w:lang w:val="es-ES"/>
        </w:rPr>
        <w:t>will</w:t>
      </w:r>
      <w:proofErr w:type="spellEnd"/>
      <w:r>
        <w:rPr>
          <w:spacing w:val="-3"/>
          <w:sz w:val="22"/>
          <w:szCs w:val="22"/>
          <w:lang w:val="es-ES"/>
        </w:rPr>
        <w:t xml:space="preserve"> be </w:t>
      </w:r>
      <w:proofErr w:type="spellStart"/>
      <w:r>
        <w:rPr>
          <w:spacing w:val="-3"/>
          <w:sz w:val="22"/>
          <w:szCs w:val="22"/>
          <w:lang w:val="es-ES"/>
        </w:rPr>
        <w:t>considered</w:t>
      </w:r>
      <w:proofErr w:type="spellEnd"/>
      <w:r>
        <w:rPr>
          <w:spacing w:val="-3"/>
          <w:sz w:val="22"/>
          <w:szCs w:val="22"/>
          <w:lang w:val="es-ES"/>
        </w:rPr>
        <w:t>.</w:t>
      </w:r>
      <w:r>
        <w:rPr>
          <w:spacing w:val="-3"/>
          <w:sz w:val="22"/>
          <w:szCs w:val="22"/>
          <w:lang w:val="es-ES"/>
        </w:rPr>
        <w:tab/>
      </w:r>
    </w:p>
    <w:p w14:paraId="630D8107" w14:textId="77777777" w:rsidR="00E255F4" w:rsidRDefault="00000000">
      <w:pPr>
        <w:pStyle w:val="Prrafodelista"/>
        <w:tabs>
          <w:tab w:val="left" w:pos="-720"/>
          <w:tab w:val="left" w:pos="851"/>
        </w:tabs>
        <w:spacing w:after="240"/>
        <w:ind w:left="709" w:hanging="709"/>
        <w:jc w:val="both"/>
        <w:rPr>
          <w:spacing w:val="-3"/>
          <w:sz w:val="22"/>
          <w:szCs w:val="22"/>
          <w:lang w:val="es-ES"/>
        </w:rPr>
      </w:pPr>
      <w:r>
        <w:rPr>
          <w:spacing w:val="-3"/>
          <w:sz w:val="22"/>
          <w:szCs w:val="22"/>
          <w:lang w:val="es-ES"/>
        </w:rPr>
        <w:t xml:space="preserve">9.2.2.3This </w:t>
      </w:r>
      <w:proofErr w:type="spellStart"/>
      <w:r>
        <w:rPr>
          <w:spacing w:val="-3"/>
          <w:sz w:val="22"/>
          <w:szCs w:val="22"/>
          <w:lang w:val="es-ES"/>
        </w:rPr>
        <w:t>lot</w:t>
      </w:r>
      <w:proofErr w:type="spellEnd"/>
      <w:r>
        <w:rPr>
          <w:spacing w:val="-3"/>
          <w:sz w:val="22"/>
          <w:szCs w:val="22"/>
          <w:lang w:val="es-ES"/>
        </w:rPr>
        <w:t xml:space="preserve"> </w:t>
      </w:r>
      <w:proofErr w:type="spellStart"/>
      <w:r>
        <w:rPr>
          <w:spacing w:val="-3"/>
          <w:sz w:val="22"/>
          <w:szCs w:val="22"/>
          <w:lang w:val="es-ES"/>
        </w:rPr>
        <w:t>will</w:t>
      </w:r>
      <w:proofErr w:type="spellEnd"/>
      <w:r>
        <w:rPr>
          <w:spacing w:val="-3"/>
          <w:sz w:val="22"/>
          <w:szCs w:val="22"/>
          <w:lang w:val="es-ES"/>
        </w:rPr>
        <w:t xml:space="preserve"> </w:t>
      </w:r>
      <w:proofErr w:type="spellStart"/>
      <w:r>
        <w:rPr>
          <w:spacing w:val="-3"/>
          <w:sz w:val="22"/>
          <w:szCs w:val="22"/>
          <w:lang w:val="es-ES"/>
        </w:rPr>
        <w:t>undergo</w:t>
      </w:r>
      <w:proofErr w:type="spellEnd"/>
      <w:r>
        <w:rPr>
          <w:spacing w:val="-3"/>
          <w:sz w:val="22"/>
          <w:szCs w:val="22"/>
          <w:lang w:val="es-ES"/>
        </w:rPr>
        <w:t xml:space="preserve"> </w:t>
      </w:r>
      <w:proofErr w:type="spellStart"/>
      <w:r>
        <w:rPr>
          <w:spacing w:val="-3"/>
          <w:sz w:val="22"/>
          <w:szCs w:val="22"/>
          <w:lang w:val="es-ES"/>
        </w:rPr>
        <w:t>the</w:t>
      </w:r>
      <w:proofErr w:type="spellEnd"/>
      <w:r>
        <w:rPr>
          <w:spacing w:val="-3"/>
          <w:sz w:val="22"/>
          <w:szCs w:val="22"/>
          <w:lang w:val="es-ES"/>
        </w:rPr>
        <w:t xml:space="preserve"> </w:t>
      </w:r>
      <w:proofErr w:type="spellStart"/>
      <w:r>
        <w:rPr>
          <w:spacing w:val="-3"/>
          <w:sz w:val="22"/>
          <w:szCs w:val="22"/>
          <w:lang w:val="es-ES"/>
        </w:rPr>
        <w:t>following</w:t>
      </w:r>
      <w:proofErr w:type="spellEnd"/>
      <w:r>
        <w:rPr>
          <w:spacing w:val="-3"/>
          <w:sz w:val="22"/>
          <w:szCs w:val="22"/>
          <w:lang w:val="es-ES"/>
        </w:rPr>
        <w:t xml:space="preserve"> </w:t>
      </w:r>
      <w:proofErr w:type="spellStart"/>
      <w:r>
        <w:rPr>
          <w:spacing w:val="-3"/>
          <w:sz w:val="22"/>
          <w:szCs w:val="22"/>
          <w:lang w:val="es-ES"/>
        </w:rPr>
        <w:t>tests</w:t>
      </w:r>
      <w:proofErr w:type="spellEnd"/>
      <w:r>
        <w:rPr>
          <w:spacing w:val="-3"/>
          <w:sz w:val="22"/>
          <w:szCs w:val="22"/>
          <w:lang w:val="es-ES"/>
        </w:rPr>
        <w:t xml:space="preserve">, </w:t>
      </w:r>
      <w:proofErr w:type="spellStart"/>
      <w:r>
        <w:rPr>
          <w:spacing w:val="-3"/>
          <w:sz w:val="22"/>
          <w:szCs w:val="22"/>
          <w:lang w:val="es-ES"/>
        </w:rPr>
        <w:t>with</w:t>
      </w:r>
      <w:proofErr w:type="spellEnd"/>
      <w:r>
        <w:rPr>
          <w:spacing w:val="-3"/>
          <w:sz w:val="22"/>
          <w:szCs w:val="22"/>
          <w:lang w:val="es-ES"/>
        </w:rPr>
        <w:t xml:space="preserve"> </w:t>
      </w:r>
      <w:proofErr w:type="spellStart"/>
      <w:r>
        <w:rPr>
          <w:spacing w:val="-3"/>
          <w:sz w:val="22"/>
          <w:szCs w:val="22"/>
          <w:lang w:val="es-ES"/>
        </w:rPr>
        <w:t>the</w:t>
      </w:r>
      <w:proofErr w:type="spellEnd"/>
      <w:r>
        <w:rPr>
          <w:spacing w:val="-3"/>
          <w:sz w:val="22"/>
          <w:szCs w:val="22"/>
          <w:lang w:val="es-ES"/>
        </w:rPr>
        <w:t xml:space="preserve"> </w:t>
      </w:r>
      <w:proofErr w:type="spellStart"/>
      <w:r>
        <w:rPr>
          <w:spacing w:val="-3"/>
          <w:sz w:val="22"/>
          <w:szCs w:val="22"/>
          <w:lang w:val="es-ES"/>
        </w:rPr>
        <w:t>number</w:t>
      </w:r>
      <w:proofErr w:type="spellEnd"/>
      <w:r>
        <w:rPr>
          <w:spacing w:val="-3"/>
          <w:sz w:val="22"/>
          <w:szCs w:val="22"/>
          <w:lang w:val="es-ES"/>
        </w:rPr>
        <w:t xml:space="preserve"> </w:t>
      </w:r>
      <w:proofErr w:type="spellStart"/>
      <w:r>
        <w:rPr>
          <w:spacing w:val="-3"/>
          <w:sz w:val="22"/>
          <w:szCs w:val="22"/>
          <w:lang w:val="es-ES"/>
        </w:rPr>
        <w:t>of</w:t>
      </w:r>
      <w:proofErr w:type="spellEnd"/>
      <w:r>
        <w:rPr>
          <w:spacing w:val="-3"/>
          <w:sz w:val="22"/>
          <w:szCs w:val="22"/>
          <w:lang w:val="es-ES"/>
        </w:rPr>
        <w:t xml:space="preserve"> </w:t>
      </w:r>
      <w:proofErr w:type="spellStart"/>
      <w:r>
        <w:rPr>
          <w:spacing w:val="-3"/>
          <w:sz w:val="22"/>
          <w:szCs w:val="22"/>
          <w:lang w:val="es-ES"/>
        </w:rPr>
        <w:t>units</w:t>
      </w:r>
      <w:proofErr w:type="spellEnd"/>
      <w:r>
        <w:rPr>
          <w:spacing w:val="-3"/>
          <w:sz w:val="22"/>
          <w:szCs w:val="22"/>
          <w:lang w:val="es-ES"/>
        </w:rPr>
        <w:t xml:space="preserve"> </w:t>
      </w:r>
      <w:proofErr w:type="spellStart"/>
      <w:r>
        <w:rPr>
          <w:spacing w:val="-3"/>
          <w:sz w:val="22"/>
          <w:szCs w:val="22"/>
          <w:lang w:val="es-ES"/>
        </w:rPr>
        <w:t>for</w:t>
      </w:r>
      <w:proofErr w:type="spellEnd"/>
      <w:r>
        <w:rPr>
          <w:spacing w:val="-3"/>
          <w:sz w:val="22"/>
          <w:szCs w:val="22"/>
          <w:lang w:val="es-ES"/>
        </w:rPr>
        <w:t xml:space="preserve"> </w:t>
      </w:r>
      <w:proofErr w:type="spellStart"/>
      <w:r>
        <w:rPr>
          <w:spacing w:val="-3"/>
          <w:sz w:val="22"/>
          <w:szCs w:val="22"/>
          <w:lang w:val="es-ES"/>
        </w:rPr>
        <w:t>the</w:t>
      </w:r>
      <w:proofErr w:type="spellEnd"/>
      <w:r>
        <w:rPr>
          <w:spacing w:val="-3"/>
          <w:sz w:val="22"/>
          <w:szCs w:val="22"/>
          <w:lang w:val="es-ES"/>
        </w:rPr>
        <w:t xml:space="preserve"> </w:t>
      </w:r>
      <w:proofErr w:type="spellStart"/>
      <w:r>
        <w:rPr>
          <w:spacing w:val="-3"/>
          <w:sz w:val="22"/>
          <w:szCs w:val="22"/>
          <w:lang w:val="es-ES"/>
        </w:rPr>
        <w:t>chosen</w:t>
      </w:r>
      <w:proofErr w:type="spellEnd"/>
      <w:r>
        <w:rPr>
          <w:spacing w:val="-3"/>
          <w:sz w:val="22"/>
          <w:szCs w:val="22"/>
          <w:lang w:val="es-ES"/>
        </w:rPr>
        <w:t xml:space="preserve"> </w:t>
      </w:r>
      <w:proofErr w:type="spellStart"/>
      <w:r>
        <w:rPr>
          <w:spacing w:val="-3"/>
          <w:sz w:val="22"/>
          <w:szCs w:val="22"/>
          <w:lang w:val="es-ES"/>
        </w:rPr>
        <w:t>sample</w:t>
      </w:r>
      <w:proofErr w:type="spellEnd"/>
      <w:r>
        <w:rPr>
          <w:spacing w:val="-3"/>
          <w:sz w:val="22"/>
          <w:szCs w:val="22"/>
          <w:lang w:val="es-ES"/>
        </w:rPr>
        <w:t xml:space="preserve"> and </w:t>
      </w:r>
      <w:proofErr w:type="spellStart"/>
      <w:r>
        <w:rPr>
          <w:spacing w:val="-3"/>
          <w:sz w:val="22"/>
          <w:szCs w:val="22"/>
          <w:lang w:val="es-ES"/>
        </w:rPr>
        <w:t>must</w:t>
      </w:r>
      <w:proofErr w:type="spellEnd"/>
      <w:r>
        <w:rPr>
          <w:spacing w:val="-3"/>
          <w:sz w:val="22"/>
          <w:szCs w:val="22"/>
          <w:lang w:val="es-ES"/>
        </w:rPr>
        <w:t xml:space="preserve"> </w:t>
      </w:r>
      <w:proofErr w:type="spellStart"/>
      <w:r>
        <w:rPr>
          <w:spacing w:val="-3"/>
          <w:sz w:val="22"/>
          <w:szCs w:val="22"/>
          <w:lang w:val="es-ES"/>
        </w:rPr>
        <w:t>comply</w:t>
      </w:r>
      <w:proofErr w:type="spellEnd"/>
      <w:r>
        <w:rPr>
          <w:spacing w:val="-3"/>
          <w:sz w:val="22"/>
          <w:szCs w:val="22"/>
          <w:lang w:val="es-ES"/>
        </w:rPr>
        <w:t xml:space="preserve"> </w:t>
      </w:r>
      <w:proofErr w:type="spellStart"/>
      <w:r>
        <w:rPr>
          <w:spacing w:val="-3"/>
          <w:sz w:val="22"/>
          <w:szCs w:val="22"/>
          <w:lang w:val="es-ES"/>
        </w:rPr>
        <w:t>with</w:t>
      </w:r>
      <w:proofErr w:type="spellEnd"/>
      <w:r>
        <w:rPr>
          <w:spacing w:val="-3"/>
          <w:sz w:val="22"/>
          <w:szCs w:val="22"/>
          <w:lang w:val="es-ES"/>
        </w:rPr>
        <w:t xml:space="preserve"> </w:t>
      </w:r>
      <w:proofErr w:type="spellStart"/>
      <w:r>
        <w:rPr>
          <w:spacing w:val="-3"/>
          <w:sz w:val="22"/>
          <w:szCs w:val="22"/>
          <w:lang w:val="es-ES"/>
        </w:rPr>
        <w:t>the</w:t>
      </w:r>
      <w:proofErr w:type="spellEnd"/>
      <w:r>
        <w:rPr>
          <w:spacing w:val="-3"/>
          <w:sz w:val="22"/>
          <w:szCs w:val="22"/>
          <w:lang w:val="es-ES"/>
        </w:rPr>
        <w:t xml:space="preserve"> </w:t>
      </w:r>
      <w:proofErr w:type="spellStart"/>
      <w:r>
        <w:rPr>
          <w:spacing w:val="-3"/>
          <w:sz w:val="22"/>
          <w:szCs w:val="22"/>
          <w:lang w:val="es-ES"/>
        </w:rPr>
        <w:t>acceptance</w:t>
      </w:r>
      <w:proofErr w:type="spellEnd"/>
      <w:r>
        <w:rPr>
          <w:spacing w:val="-3"/>
          <w:sz w:val="22"/>
          <w:szCs w:val="22"/>
          <w:lang w:val="es-ES"/>
        </w:rPr>
        <w:t xml:space="preserve"> </w:t>
      </w:r>
      <w:proofErr w:type="spellStart"/>
      <w:r>
        <w:rPr>
          <w:spacing w:val="-3"/>
          <w:sz w:val="22"/>
          <w:szCs w:val="22"/>
          <w:lang w:val="es-ES"/>
        </w:rPr>
        <w:t>numbers</w:t>
      </w:r>
      <w:proofErr w:type="spellEnd"/>
      <w:r>
        <w:rPr>
          <w:spacing w:val="-3"/>
          <w:sz w:val="22"/>
          <w:szCs w:val="22"/>
          <w:lang w:val="es-ES"/>
        </w:rPr>
        <w:t xml:space="preserve"> </w:t>
      </w:r>
      <w:proofErr w:type="spellStart"/>
      <w:r>
        <w:rPr>
          <w:spacing w:val="-3"/>
          <w:sz w:val="22"/>
          <w:szCs w:val="22"/>
          <w:lang w:val="es-ES"/>
        </w:rPr>
        <w:t>shown</w:t>
      </w:r>
      <w:proofErr w:type="spellEnd"/>
      <w:r>
        <w:rPr>
          <w:spacing w:val="-3"/>
          <w:sz w:val="22"/>
          <w:szCs w:val="22"/>
          <w:lang w:val="es-ES"/>
        </w:rPr>
        <w:t xml:space="preserve"> </w:t>
      </w:r>
      <w:proofErr w:type="spellStart"/>
      <w:r>
        <w:rPr>
          <w:spacing w:val="-3"/>
          <w:sz w:val="22"/>
          <w:szCs w:val="22"/>
          <w:lang w:val="es-ES"/>
        </w:rPr>
        <w:t>below</w:t>
      </w:r>
      <w:proofErr w:type="spellEnd"/>
      <w:r>
        <w:rPr>
          <w:spacing w:val="-3"/>
          <w:sz w:val="22"/>
          <w:szCs w:val="22"/>
          <w:lang w:val="es-ES"/>
        </w:rPr>
        <w:t>.</w:t>
      </w:r>
      <w:r>
        <w:rPr>
          <w:spacing w:val="-3"/>
          <w:sz w:val="22"/>
          <w:szCs w:val="22"/>
          <w:lang w:val="es-ES"/>
        </w:rPr>
        <w:tab/>
      </w:r>
      <w:r>
        <w:rPr>
          <w:sz w:val="22"/>
          <w:szCs w:val="22"/>
          <w:lang w:val="es-ES"/>
        </w:rPr>
        <w:t xml:space="preserve">The </w:t>
      </w:r>
      <w:proofErr w:type="spellStart"/>
      <w:r>
        <w:rPr>
          <w:sz w:val="22"/>
          <w:szCs w:val="22"/>
          <w:lang w:val="es-ES"/>
        </w:rPr>
        <w:t>metrological</w:t>
      </w:r>
      <w:proofErr w:type="spellEnd"/>
      <w:r>
        <w:rPr>
          <w:sz w:val="22"/>
          <w:szCs w:val="22"/>
          <w:lang w:val="es-ES"/>
        </w:rPr>
        <w:t xml:space="preserve"> </w:t>
      </w:r>
      <w:proofErr w:type="spellStart"/>
      <w:r>
        <w:rPr>
          <w:sz w:val="22"/>
          <w:szCs w:val="22"/>
          <w:lang w:val="es-ES"/>
        </w:rPr>
        <w:t>tests</w:t>
      </w:r>
      <w:proofErr w:type="spellEnd"/>
      <w:r>
        <w:rPr>
          <w:sz w:val="22"/>
          <w:szCs w:val="22"/>
          <w:lang w:val="es-ES"/>
        </w:rPr>
        <w:t xml:space="preserve"> </w:t>
      </w:r>
      <w:proofErr w:type="spellStart"/>
      <w:r>
        <w:rPr>
          <w:sz w:val="22"/>
          <w:szCs w:val="22"/>
          <w:lang w:val="es-ES"/>
        </w:rPr>
        <w:t>will</w:t>
      </w:r>
      <w:proofErr w:type="spellEnd"/>
      <w:r>
        <w:rPr>
          <w:sz w:val="22"/>
          <w:szCs w:val="22"/>
          <w:lang w:val="es-ES"/>
        </w:rPr>
        <w:t xml:space="preserve"> be </w:t>
      </w:r>
      <w:proofErr w:type="spellStart"/>
      <w:r>
        <w:rPr>
          <w:sz w:val="22"/>
          <w:szCs w:val="22"/>
          <w:lang w:val="es-ES"/>
        </w:rPr>
        <w:t>carried</w:t>
      </w:r>
      <w:proofErr w:type="spellEnd"/>
      <w:r>
        <w:rPr>
          <w:sz w:val="22"/>
          <w:szCs w:val="22"/>
          <w:lang w:val="es-ES"/>
        </w:rPr>
        <w:t xml:space="preserve"> </w:t>
      </w:r>
      <w:proofErr w:type="spellStart"/>
      <w:r>
        <w:rPr>
          <w:sz w:val="22"/>
          <w:szCs w:val="22"/>
          <w:lang w:val="es-ES"/>
        </w:rPr>
        <w:t>out</w:t>
      </w:r>
      <w:proofErr w:type="spellEnd"/>
      <w:r>
        <w:rPr>
          <w:sz w:val="22"/>
          <w:szCs w:val="22"/>
          <w:lang w:val="es-ES"/>
        </w:rPr>
        <w:t xml:space="preserve"> at </w:t>
      </w:r>
      <w:proofErr w:type="spellStart"/>
      <w:r>
        <w:rPr>
          <w:sz w:val="22"/>
          <w:szCs w:val="22"/>
          <w:lang w:val="es-ES"/>
        </w:rPr>
        <w:t>the</w:t>
      </w:r>
      <w:proofErr w:type="spellEnd"/>
      <w:r>
        <w:rPr>
          <w:sz w:val="22"/>
          <w:szCs w:val="22"/>
          <w:lang w:val="es-ES"/>
        </w:rPr>
        <w:t xml:space="preserve"> </w:t>
      </w:r>
      <w:proofErr w:type="spellStart"/>
      <w:r>
        <w:rPr>
          <w:sz w:val="22"/>
          <w:szCs w:val="22"/>
          <w:lang w:val="es-ES"/>
        </w:rPr>
        <w:t>flow</w:t>
      </w:r>
      <w:proofErr w:type="spellEnd"/>
      <w:r>
        <w:rPr>
          <w:sz w:val="22"/>
          <w:szCs w:val="22"/>
          <w:lang w:val="es-ES"/>
        </w:rPr>
        <w:t xml:space="preserve"> </w:t>
      </w:r>
      <w:proofErr w:type="spellStart"/>
      <w:r>
        <w:rPr>
          <w:sz w:val="22"/>
          <w:szCs w:val="22"/>
          <w:lang w:val="es-ES"/>
        </w:rPr>
        <w:t>rates</w:t>
      </w:r>
      <w:proofErr w:type="spellEnd"/>
      <w:r>
        <w:rPr>
          <w:sz w:val="22"/>
          <w:szCs w:val="22"/>
          <w:lang w:val="es-ES"/>
        </w:rPr>
        <w:t xml:space="preserve"> </w:t>
      </w:r>
      <w:proofErr w:type="spellStart"/>
      <w:r>
        <w:rPr>
          <w:sz w:val="22"/>
          <w:szCs w:val="22"/>
          <w:lang w:val="es-ES"/>
        </w:rPr>
        <w:t>specified</w:t>
      </w:r>
      <w:proofErr w:type="spellEnd"/>
      <w:r>
        <w:rPr>
          <w:sz w:val="22"/>
          <w:szCs w:val="22"/>
          <w:lang w:val="es-ES"/>
        </w:rPr>
        <w:t xml:space="preserve"> in Art. 7.3.2 </w:t>
      </w:r>
      <w:proofErr w:type="spellStart"/>
      <w:r>
        <w:rPr>
          <w:sz w:val="22"/>
          <w:szCs w:val="22"/>
          <w:lang w:val="es-ES"/>
        </w:rPr>
        <w:t>regardless</w:t>
      </w:r>
      <w:proofErr w:type="spellEnd"/>
      <w:r>
        <w:rPr>
          <w:sz w:val="22"/>
          <w:szCs w:val="22"/>
          <w:lang w:val="es-ES"/>
        </w:rPr>
        <w:t xml:space="preserve"> </w:t>
      </w:r>
      <w:proofErr w:type="spellStart"/>
      <w:r>
        <w:rPr>
          <w:sz w:val="22"/>
          <w:szCs w:val="22"/>
          <w:lang w:val="es-ES"/>
        </w:rPr>
        <w:t>of</w:t>
      </w:r>
      <w:proofErr w:type="spellEnd"/>
      <w:r>
        <w:rPr>
          <w:sz w:val="22"/>
          <w:szCs w:val="22"/>
          <w:lang w:val="es-ES"/>
        </w:rPr>
        <w:t xml:space="preserve"> </w:t>
      </w:r>
      <w:proofErr w:type="spellStart"/>
      <w:r>
        <w:rPr>
          <w:sz w:val="22"/>
          <w:szCs w:val="22"/>
          <w:lang w:val="es-ES"/>
        </w:rPr>
        <w:t>the</w:t>
      </w:r>
      <w:proofErr w:type="spellEnd"/>
      <w:r>
        <w:rPr>
          <w:sz w:val="22"/>
          <w:szCs w:val="22"/>
          <w:lang w:val="es-ES"/>
        </w:rPr>
        <w:t xml:space="preserve"> </w:t>
      </w:r>
      <w:proofErr w:type="spellStart"/>
      <w:r>
        <w:rPr>
          <w:sz w:val="22"/>
          <w:szCs w:val="22"/>
          <w:lang w:val="es-ES"/>
        </w:rPr>
        <w:t>offered</w:t>
      </w:r>
      <w:proofErr w:type="spellEnd"/>
      <w:r>
        <w:rPr>
          <w:sz w:val="22"/>
          <w:szCs w:val="22"/>
          <w:lang w:val="es-ES"/>
        </w:rPr>
        <w:t xml:space="preserve"> R </w:t>
      </w:r>
      <w:proofErr w:type="spellStart"/>
      <w:r>
        <w:rPr>
          <w:sz w:val="22"/>
          <w:szCs w:val="22"/>
          <w:lang w:val="es-ES"/>
        </w:rPr>
        <w:t>value</w:t>
      </w:r>
      <w:proofErr w:type="spellEnd"/>
      <w:r>
        <w:rPr>
          <w:sz w:val="22"/>
          <w:szCs w:val="22"/>
          <w:lang w:val="es-ES"/>
        </w:rPr>
        <w:t>.</w:t>
      </w:r>
    </w:p>
    <w:p w14:paraId="181BE0AF" w14:textId="77777777" w:rsidR="00E255F4" w:rsidRDefault="00000000">
      <w:pPr>
        <w:numPr>
          <w:ilvl w:val="0"/>
          <w:numId w:val="65"/>
        </w:numPr>
      </w:pPr>
      <w:r>
        <w:rPr>
          <w:sz w:val="22"/>
          <w:szCs w:val="22"/>
          <w:lang w:val="es-ES"/>
        </w:rPr>
        <w:t>Leak Test</w:t>
      </w:r>
    </w:p>
    <w:p w14:paraId="008745B6" w14:textId="77777777" w:rsidR="00E255F4" w:rsidRDefault="00000000">
      <w:pPr>
        <w:tabs>
          <w:tab w:val="left" w:leader="dot" w:pos="0"/>
          <w:tab w:val="left" w:pos="7088"/>
        </w:tabs>
        <w:ind w:left="1418" w:hanging="848"/>
        <w:jc w:val="both"/>
        <w:rPr>
          <w:sz w:val="22"/>
          <w:szCs w:val="22"/>
        </w:rPr>
      </w:pPr>
      <w:r>
        <w:rPr>
          <w:sz w:val="22"/>
          <w:szCs w:val="22"/>
        </w:rPr>
        <w:t xml:space="preserve">    </w:t>
      </w:r>
      <w:r>
        <w:rPr>
          <w:color w:val="000000"/>
          <w:sz w:val="22"/>
          <w:szCs w:val="22"/>
        </w:rPr>
        <w:tab/>
      </w:r>
      <w:r>
        <w:rPr>
          <w:sz w:val="22"/>
          <w:szCs w:val="22"/>
        </w:rPr>
        <w:t xml:space="preserve">Sample </w:t>
      </w:r>
      <w:proofErr w:type="spellStart"/>
      <w:r>
        <w:rPr>
          <w:sz w:val="22"/>
          <w:szCs w:val="22"/>
        </w:rPr>
        <w:t>to</w:t>
      </w:r>
      <w:proofErr w:type="spellEnd"/>
      <w:r>
        <w:rPr>
          <w:sz w:val="22"/>
          <w:szCs w:val="22"/>
        </w:rPr>
        <w:t xml:space="preserve"> be </w:t>
      </w:r>
      <w:proofErr w:type="spellStart"/>
      <w:r>
        <w:rPr>
          <w:sz w:val="22"/>
          <w:szCs w:val="22"/>
        </w:rPr>
        <w:t>tested</w:t>
      </w:r>
      <w:proofErr w:type="spellEnd"/>
      <w:r>
        <w:rPr>
          <w:sz w:val="22"/>
          <w:szCs w:val="22"/>
        </w:rPr>
        <w:t>:</w:t>
      </w:r>
      <w:r>
        <w:rPr>
          <w:sz w:val="22"/>
          <w:szCs w:val="22"/>
          <w:u w:val="dotted"/>
        </w:rPr>
        <w:tab/>
        <w:t xml:space="preserve"> </w:t>
      </w:r>
      <w:r>
        <w:rPr>
          <w:sz w:val="22"/>
          <w:szCs w:val="22"/>
        </w:rPr>
        <w:t xml:space="preserve">200 </w:t>
      </w:r>
      <w:proofErr w:type="spellStart"/>
      <w:r>
        <w:rPr>
          <w:sz w:val="22"/>
          <w:szCs w:val="22"/>
        </w:rPr>
        <w:t>units</w:t>
      </w:r>
      <w:proofErr w:type="spellEnd"/>
    </w:p>
    <w:p w14:paraId="608A0A11" w14:textId="77777777" w:rsidR="00E255F4" w:rsidRDefault="00000000">
      <w:pPr>
        <w:tabs>
          <w:tab w:val="left" w:pos="0"/>
          <w:tab w:val="left" w:pos="1418"/>
          <w:tab w:val="left" w:pos="7088"/>
        </w:tabs>
        <w:spacing w:after="240"/>
        <w:ind w:left="1418"/>
        <w:jc w:val="both"/>
        <w:rPr>
          <w:sz w:val="22"/>
          <w:szCs w:val="22"/>
        </w:rPr>
      </w:pPr>
      <w:r>
        <w:rPr>
          <w:sz w:val="22"/>
          <w:szCs w:val="22"/>
        </w:rPr>
        <w:t xml:space="preserve">Maximum </w:t>
      </w:r>
      <w:proofErr w:type="spellStart"/>
      <w:r>
        <w:rPr>
          <w:sz w:val="22"/>
          <w:szCs w:val="22"/>
        </w:rPr>
        <w:t>number</w:t>
      </w:r>
      <w:proofErr w:type="spellEnd"/>
      <w:r>
        <w:rPr>
          <w:sz w:val="22"/>
          <w:szCs w:val="22"/>
        </w:rPr>
        <w:t xml:space="preserve"> </w:t>
      </w:r>
      <w:proofErr w:type="spellStart"/>
      <w:r>
        <w:rPr>
          <w:sz w:val="22"/>
          <w:szCs w:val="22"/>
        </w:rPr>
        <w:t>of</w:t>
      </w:r>
      <w:proofErr w:type="spellEnd"/>
      <w:r>
        <w:rPr>
          <w:sz w:val="22"/>
          <w:szCs w:val="22"/>
        </w:rPr>
        <w:t xml:space="preserve"> </w:t>
      </w:r>
      <w:proofErr w:type="spellStart"/>
      <w:r>
        <w:rPr>
          <w:sz w:val="22"/>
          <w:szCs w:val="22"/>
        </w:rPr>
        <w:t>rejections</w:t>
      </w:r>
      <w:proofErr w:type="spellEnd"/>
      <w:r>
        <w:rPr>
          <w:sz w:val="22"/>
          <w:szCs w:val="22"/>
        </w:rPr>
        <w:t>:</w:t>
      </w:r>
      <w:r>
        <w:rPr>
          <w:sz w:val="22"/>
          <w:szCs w:val="22"/>
          <w:u w:val="dotted"/>
        </w:rPr>
        <w:tab/>
        <w:t xml:space="preserve"> </w:t>
      </w:r>
      <w:r>
        <w:rPr>
          <w:sz w:val="22"/>
          <w:szCs w:val="22"/>
        </w:rPr>
        <w:t xml:space="preserve">07 </w:t>
      </w:r>
      <w:proofErr w:type="spellStart"/>
      <w:r>
        <w:rPr>
          <w:sz w:val="22"/>
          <w:szCs w:val="22"/>
        </w:rPr>
        <w:t>units</w:t>
      </w:r>
      <w:proofErr w:type="spellEnd"/>
    </w:p>
    <w:p w14:paraId="2AB11BCC" w14:textId="77777777" w:rsidR="00E255F4" w:rsidRDefault="00000000">
      <w:pPr>
        <w:numPr>
          <w:ilvl w:val="0"/>
          <w:numId w:val="65"/>
        </w:numPr>
        <w:rPr>
          <w:b/>
          <w:sz w:val="22"/>
          <w:szCs w:val="22"/>
        </w:rPr>
      </w:pPr>
      <w:proofErr w:type="spellStart"/>
      <w:r>
        <w:rPr>
          <w:b/>
          <w:sz w:val="22"/>
          <w:szCs w:val="22"/>
        </w:rPr>
        <w:t>Pressure</w:t>
      </w:r>
      <w:proofErr w:type="spellEnd"/>
      <w:r>
        <w:rPr>
          <w:b/>
          <w:sz w:val="22"/>
          <w:szCs w:val="22"/>
        </w:rPr>
        <w:t xml:space="preserve"> </w:t>
      </w:r>
      <w:proofErr w:type="spellStart"/>
      <w:r>
        <w:rPr>
          <w:b/>
          <w:sz w:val="22"/>
          <w:szCs w:val="22"/>
        </w:rPr>
        <w:t>loss</w:t>
      </w:r>
      <w:proofErr w:type="spellEnd"/>
      <w:r>
        <w:rPr>
          <w:b/>
          <w:sz w:val="22"/>
          <w:szCs w:val="22"/>
        </w:rPr>
        <w:t xml:space="preserve"> test</w:t>
      </w:r>
    </w:p>
    <w:p w14:paraId="67843C72" w14:textId="77777777" w:rsidR="00E255F4" w:rsidRDefault="00000000">
      <w:pPr>
        <w:tabs>
          <w:tab w:val="left" w:pos="0"/>
          <w:tab w:val="left" w:pos="7088"/>
        </w:tabs>
        <w:ind w:left="1418" w:hanging="1418"/>
        <w:jc w:val="both"/>
      </w:pPr>
      <w:r>
        <w:rPr>
          <w:color w:val="000000"/>
          <w:sz w:val="22"/>
          <w:szCs w:val="22"/>
        </w:rPr>
        <w:t xml:space="preserve">    </w:t>
      </w:r>
      <w:r>
        <w:rPr>
          <w:color w:val="000000"/>
          <w:sz w:val="22"/>
          <w:szCs w:val="22"/>
        </w:rPr>
        <w:tab/>
      </w:r>
      <w:r>
        <w:rPr>
          <w:sz w:val="22"/>
          <w:szCs w:val="22"/>
        </w:rPr>
        <w:t xml:space="preserve">Sample </w:t>
      </w:r>
      <w:proofErr w:type="spellStart"/>
      <w:r>
        <w:rPr>
          <w:sz w:val="22"/>
          <w:szCs w:val="22"/>
        </w:rPr>
        <w:t>to</w:t>
      </w:r>
      <w:proofErr w:type="spellEnd"/>
      <w:r>
        <w:rPr>
          <w:sz w:val="22"/>
          <w:szCs w:val="22"/>
        </w:rPr>
        <w:t xml:space="preserve"> be </w:t>
      </w:r>
      <w:proofErr w:type="spellStart"/>
      <w:r>
        <w:rPr>
          <w:sz w:val="22"/>
          <w:szCs w:val="22"/>
        </w:rPr>
        <w:t>tested</w:t>
      </w:r>
      <w:proofErr w:type="spellEnd"/>
      <w:r>
        <w:rPr>
          <w:sz w:val="22"/>
          <w:szCs w:val="22"/>
        </w:rPr>
        <w:t>:</w:t>
      </w:r>
      <w:r>
        <w:rPr>
          <w:sz w:val="22"/>
          <w:szCs w:val="22"/>
          <w:u w:val="dotted"/>
        </w:rPr>
        <w:tab/>
        <w:t xml:space="preserve"> </w:t>
      </w:r>
      <w:r>
        <w:rPr>
          <w:sz w:val="22"/>
          <w:szCs w:val="22"/>
        </w:rPr>
        <w:t xml:space="preserve">08 </w:t>
      </w:r>
      <w:proofErr w:type="spellStart"/>
      <w:r>
        <w:rPr>
          <w:sz w:val="22"/>
          <w:szCs w:val="22"/>
        </w:rPr>
        <w:t>units</w:t>
      </w:r>
      <w:proofErr w:type="spellEnd"/>
    </w:p>
    <w:p w14:paraId="570FCB5D" w14:textId="77777777" w:rsidR="00E255F4" w:rsidRDefault="00000000">
      <w:pPr>
        <w:tabs>
          <w:tab w:val="left" w:pos="0"/>
          <w:tab w:val="left" w:pos="7088"/>
        </w:tabs>
        <w:ind w:left="1418" w:hanging="1418"/>
        <w:jc w:val="both"/>
      </w:pPr>
      <w:r>
        <w:rPr>
          <w:sz w:val="22"/>
          <w:szCs w:val="22"/>
        </w:rPr>
        <w:tab/>
        <w:t xml:space="preserve">Maximum </w:t>
      </w:r>
      <w:proofErr w:type="spellStart"/>
      <w:r>
        <w:rPr>
          <w:sz w:val="22"/>
          <w:szCs w:val="22"/>
        </w:rPr>
        <w:t>number</w:t>
      </w:r>
      <w:proofErr w:type="spellEnd"/>
      <w:r>
        <w:rPr>
          <w:sz w:val="22"/>
          <w:szCs w:val="22"/>
        </w:rPr>
        <w:t xml:space="preserve"> </w:t>
      </w:r>
      <w:proofErr w:type="spellStart"/>
      <w:r>
        <w:rPr>
          <w:sz w:val="22"/>
          <w:szCs w:val="22"/>
        </w:rPr>
        <w:t>of</w:t>
      </w:r>
      <w:proofErr w:type="spellEnd"/>
      <w:r>
        <w:rPr>
          <w:sz w:val="22"/>
          <w:szCs w:val="22"/>
        </w:rPr>
        <w:t xml:space="preserve"> </w:t>
      </w:r>
      <w:proofErr w:type="spellStart"/>
      <w:r>
        <w:rPr>
          <w:sz w:val="22"/>
          <w:szCs w:val="22"/>
        </w:rPr>
        <w:t>rejections</w:t>
      </w:r>
      <w:proofErr w:type="spellEnd"/>
      <w:r>
        <w:rPr>
          <w:sz w:val="22"/>
          <w:szCs w:val="22"/>
        </w:rPr>
        <w:t>:</w:t>
      </w:r>
      <w:r>
        <w:rPr>
          <w:sz w:val="22"/>
          <w:szCs w:val="22"/>
          <w:u w:val="dotted"/>
        </w:rPr>
        <w:tab/>
        <w:t xml:space="preserve"> </w:t>
      </w:r>
      <w:r>
        <w:rPr>
          <w:sz w:val="22"/>
          <w:szCs w:val="22"/>
        </w:rPr>
        <w:t xml:space="preserve">00 </w:t>
      </w:r>
      <w:proofErr w:type="spellStart"/>
      <w:r>
        <w:rPr>
          <w:sz w:val="22"/>
          <w:szCs w:val="22"/>
        </w:rPr>
        <w:t>unit</w:t>
      </w:r>
      <w:proofErr w:type="spellEnd"/>
    </w:p>
    <w:p w14:paraId="13F9827C" w14:textId="77777777" w:rsidR="00E255F4" w:rsidRDefault="00000000">
      <w:pPr>
        <w:numPr>
          <w:ilvl w:val="0"/>
          <w:numId w:val="65"/>
        </w:numPr>
        <w:spacing w:before="120"/>
        <w:ind w:left="714" w:hanging="357"/>
      </w:pPr>
      <w:proofErr w:type="spellStart"/>
      <w:r>
        <w:rPr>
          <w:b/>
          <w:sz w:val="22"/>
          <w:szCs w:val="22"/>
          <w:lang w:val="es-ES"/>
        </w:rPr>
        <w:t>Accuracy</w:t>
      </w:r>
      <w:proofErr w:type="spellEnd"/>
      <w:r>
        <w:rPr>
          <w:b/>
          <w:sz w:val="22"/>
          <w:szCs w:val="22"/>
          <w:lang w:val="es-ES"/>
        </w:rPr>
        <w:t xml:space="preserve"> curve </w:t>
      </w:r>
      <w:proofErr w:type="spellStart"/>
      <w:r>
        <w:rPr>
          <w:b/>
          <w:sz w:val="22"/>
          <w:szCs w:val="22"/>
          <w:lang w:val="es-ES"/>
        </w:rPr>
        <w:t>verification</w:t>
      </w:r>
      <w:proofErr w:type="spellEnd"/>
      <w:r>
        <w:rPr>
          <w:b/>
          <w:sz w:val="22"/>
          <w:szCs w:val="22"/>
          <w:lang w:val="es-ES"/>
        </w:rPr>
        <w:t xml:space="preserve"> test </w:t>
      </w:r>
      <w:proofErr w:type="spellStart"/>
      <w:r>
        <w:rPr>
          <w:b/>
          <w:sz w:val="22"/>
          <w:szCs w:val="22"/>
          <w:lang w:val="es-ES"/>
        </w:rPr>
        <w:t>with</w:t>
      </w:r>
      <w:proofErr w:type="spellEnd"/>
      <w:r>
        <w:rPr>
          <w:b/>
          <w:sz w:val="22"/>
          <w:szCs w:val="22"/>
          <w:lang w:val="es-ES"/>
        </w:rPr>
        <w:t xml:space="preserve"> </w:t>
      </w:r>
      <w:proofErr w:type="spellStart"/>
      <w:r>
        <w:rPr>
          <w:b/>
          <w:sz w:val="22"/>
          <w:szCs w:val="22"/>
          <w:lang w:val="es-ES"/>
        </w:rPr>
        <w:t>the</w:t>
      </w:r>
      <w:proofErr w:type="spellEnd"/>
      <w:r>
        <w:rPr>
          <w:b/>
          <w:sz w:val="22"/>
          <w:szCs w:val="22"/>
          <w:lang w:val="es-ES"/>
        </w:rPr>
        <w:t xml:space="preserve"> </w:t>
      </w:r>
      <w:proofErr w:type="spellStart"/>
      <w:r>
        <w:rPr>
          <w:b/>
          <w:sz w:val="22"/>
          <w:szCs w:val="22"/>
          <w:lang w:val="es-ES"/>
        </w:rPr>
        <w:t>meters</w:t>
      </w:r>
      <w:proofErr w:type="spellEnd"/>
      <w:r>
        <w:rPr>
          <w:b/>
          <w:sz w:val="22"/>
          <w:szCs w:val="22"/>
          <w:lang w:val="es-ES"/>
        </w:rPr>
        <w:t xml:space="preserve"> in horizontal position (</w:t>
      </w:r>
      <w:proofErr w:type="spellStart"/>
      <w:r>
        <w:rPr>
          <w:b/>
          <w:sz w:val="22"/>
          <w:szCs w:val="22"/>
          <w:lang w:val="es-ES"/>
        </w:rPr>
        <w:t>only</w:t>
      </w:r>
      <w:proofErr w:type="spellEnd"/>
      <w:r>
        <w:rPr>
          <w:b/>
          <w:sz w:val="22"/>
          <w:szCs w:val="22"/>
          <w:lang w:val="es-ES"/>
        </w:rPr>
        <w:t xml:space="preserve"> notable </w:t>
      </w:r>
      <w:proofErr w:type="spellStart"/>
      <w:r>
        <w:rPr>
          <w:b/>
          <w:sz w:val="22"/>
          <w:szCs w:val="22"/>
          <w:lang w:val="es-ES"/>
        </w:rPr>
        <w:t>flow</w:t>
      </w:r>
      <w:proofErr w:type="spellEnd"/>
      <w:r>
        <w:rPr>
          <w:b/>
          <w:sz w:val="22"/>
          <w:szCs w:val="22"/>
          <w:lang w:val="es-ES"/>
        </w:rPr>
        <w:t xml:space="preserve"> </w:t>
      </w:r>
      <w:proofErr w:type="spellStart"/>
      <w:r>
        <w:rPr>
          <w:b/>
          <w:sz w:val="22"/>
          <w:szCs w:val="22"/>
          <w:lang w:val="es-ES"/>
        </w:rPr>
        <w:t>rates</w:t>
      </w:r>
      <w:proofErr w:type="spellEnd"/>
      <w:r>
        <w:rPr>
          <w:b/>
          <w:sz w:val="22"/>
          <w:szCs w:val="22"/>
          <w:lang w:val="es-ES"/>
        </w:rPr>
        <w:t>: Q1, Q2 and Q3)</w:t>
      </w:r>
    </w:p>
    <w:p w14:paraId="660F7E66" w14:textId="77777777" w:rsidR="00E255F4" w:rsidRDefault="00000000">
      <w:pPr>
        <w:tabs>
          <w:tab w:val="left" w:pos="0"/>
          <w:tab w:val="left" w:pos="7088"/>
        </w:tabs>
        <w:ind w:left="1418" w:hanging="1418"/>
        <w:jc w:val="both"/>
        <w:rPr>
          <w:color w:val="000000"/>
          <w:sz w:val="22"/>
          <w:szCs w:val="22"/>
          <w:lang w:val="es-ES"/>
        </w:rPr>
      </w:pPr>
      <w:r>
        <w:rPr>
          <w:color w:val="000000"/>
          <w:sz w:val="22"/>
          <w:szCs w:val="22"/>
          <w:lang w:val="es-ES"/>
        </w:rPr>
        <w:t xml:space="preserve">    </w:t>
      </w:r>
      <w:r>
        <w:rPr>
          <w:color w:val="000000"/>
          <w:sz w:val="22"/>
          <w:szCs w:val="22"/>
          <w:lang w:val="es-ES"/>
        </w:rPr>
        <w:tab/>
        <w:t xml:space="preserve">Sample </w:t>
      </w:r>
      <w:proofErr w:type="spellStart"/>
      <w:r>
        <w:rPr>
          <w:color w:val="000000"/>
          <w:sz w:val="22"/>
          <w:szCs w:val="22"/>
          <w:lang w:val="es-ES"/>
        </w:rPr>
        <w:t>to</w:t>
      </w:r>
      <w:proofErr w:type="spellEnd"/>
      <w:r>
        <w:rPr>
          <w:color w:val="000000"/>
          <w:sz w:val="22"/>
          <w:szCs w:val="22"/>
          <w:lang w:val="es-ES"/>
        </w:rPr>
        <w:t xml:space="preserve"> be </w:t>
      </w:r>
      <w:proofErr w:type="spellStart"/>
      <w:r>
        <w:rPr>
          <w:color w:val="000000"/>
          <w:sz w:val="22"/>
          <w:szCs w:val="22"/>
          <w:lang w:val="es-ES"/>
        </w:rPr>
        <w:t>tested</w:t>
      </w:r>
      <w:proofErr w:type="spellEnd"/>
      <w:r>
        <w:rPr>
          <w:color w:val="000000"/>
          <w:sz w:val="22"/>
          <w:szCs w:val="22"/>
          <w:lang w:val="es-ES"/>
        </w:rPr>
        <w:t>:</w:t>
      </w:r>
      <w:proofErr w:type="gramStart"/>
      <w:r>
        <w:rPr>
          <w:color w:val="000000"/>
          <w:sz w:val="22"/>
          <w:szCs w:val="22"/>
          <w:u w:val="dotted"/>
          <w:lang w:val="es-ES"/>
        </w:rPr>
        <w:tab/>
        <w:t xml:space="preserve">  </w:t>
      </w:r>
      <w:r>
        <w:rPr>
          <w:color w:val="000000"/>
          <w:sz w:val="22"/>
          <w:szCs w:val="22"/>
          <w:lang w:val="es-ES"/>
        </w:rPr>
        <w:t>200</w:t>
      </w:r>
      <w:proofErr w:type="gramEnd"/>
      <w:r>
        <w:rPr>
          <w:color w:val="000000"/>
          <w:sz w:val="22"/>
          <w:szCs w:val="22"/>
          <w:lang w:val="es-ES"/>
        </w:rPr>
        <w:t xml:space="preserve"> </w:t>
      </w:r>
      <w:proofErr w:type="spellStart"/>
      <w:r>
        <w:rPr>
          <w:color w:val="000000"/>
          <w:sz w:val="22"/>
          <w:szCs w:val="22"/>
          <w:lang w:val="es-ES"/>
        </w:rPr>
        <w:t>units</w:t>
      </w:r>
      <w:proofErr w:type="spellEnd"/>
    </w:p>
    <w:p w14:paraId="7B710776" w14:textId="77777777" w:rsidR="00E255F4" w:rsidRDefault="00000000">
      <w:pPr>
        <w:tabs>
          <w:tab w:val="left" w:pos="0"/>
          <w:tab w:val="left" w:pos="7088"/>
        </w:tabs>
        <w:ind w:left="1418" w:hanging="1418"/>
        <w:jc w:val="both"/>
        <w:rPr>
          <w:color w:val="000000"/>
          <w:sz w:val="22"/>
          <w:szCs w:val="22"/>
          <w:lang w:val="es-ES"/>
        </w:rPr>
      </w:pPr>
      <w:r>
        <w:rPr>
          <w:color w:val="000000"/>
          <w:sz w:val="22"/>
          <w:szCs w:val="22"/>
          <w:lang w:val="es-ES"/>
        </w:rPr>
        <w:t xml:space="preserve">    </w:t>
      </w:r>
      <w:r>
        <w:rPr>
          <w:color w:val="000000"/>
          <w:sz w:val="22"/>
          <w:szCs w:val="22"/>
          <w:lang w:val="es-ES"/>
        </w:rPr>
        <w:tab/>
        <w:t xml:space="preserve">Maximum </w:t>
      </w:r>
      <w:proofErr w:type="spellStart"/>
      <w:r>
        <w:rPr>
          <w:color w:val="000000"/>
          <w:sz w:val="22"/>
          <w:szCs w:val="22"/>
          <w:lang w:val="es-ES"/>
        </w:rPr>
        <w:t>number</w:t>
      </w:r>
      <w:proofErr w:type="spellEnd"/>
      <w:r>
        <w:rPr>
          <w:color w:val="000000"/>
          <w:sz w:val="22"/>
          <w:szCs w:val="22"/>
          <w:lang w:val="es-ES"/>
        </w:rPr>
        <w:t xml:space="preserve"> </w:t>
      </w:r>
      <w:proofErr w:type="spellStart"/>
      <w:r>
        <w:rPr>
          <w:color w:val="000000"/>
          <w:sz w:val="22"/>
          <w:szCs w:val="22"/>
          <w:lang w:val="es-ES"/>
        </w:rPr>
        <w:t>of</w:t>
      </w:r>
      <w:proofErr w:type="spellEnd"/>
      <w:r>
        <w:rPr>
          <w:color w:val="000000"/>
          <w:sz w:val="22"/>
          <w:szCs w:val="22"/>
          <w:lang w:val="es-ES"/>
        </w:rPr>
        <w:t xml:space="preserve"> </w:t>
      </w:r>
      <w:proofErr w:type="spellStart"/>
      <w:r>
        <w:rPr>
          <w:color w:val="000000"/>
          <w:sz w:val="22"/>
          <w:szCs w:val="22"/>
          <w:lang w:val="es-ES"/>
        </w:rPr>
        <w:t>rejections</w:t>
      </w:r>
      <w:proofErr w:type="spellEnd"/>
      <w:r>
        <w:rPr>
          <w:color w:val="000000"/>
          <w:sz w:val="22"/>
          <w:szCs w:val="22"/>
          <w:lang w:val="es-ES"/>
        </w:rPr>
        <w:t>:</w:t>
      </w:r>
      <w:r>
        <w:rPr>
          <w:color w:val="000000"/>
          <w:sz w:val="22"/>
          <w:szCs w:val="22"/>
          <w:u w:val="dotted"/>
          <w:lang w:val="es-ES"/>
        </w:rPr>
        <w:tab/>
        <w:t xml:space="preserve">   </w:t>
      </w:r>
      <w:r>
        <w:rPr>
          <w:color w:val="000000"/>
          <w:sz w:val="22"/>
          <w:szCs w:val="22"/>
          <w:lang w:val="es-ES"/>
        </w:rPr>
        <w:t xml:space="preserve">07 </w:t>
      </w:r>
      <w:proofErr w:type="spellStart"/>
      <w:r>
        <w:rPr>
          <w:color w:val="000000"/>
          <w:sz w:val="22"/>
          <w:szCs w:val="22"/>
          <w:lang w:val="es-ES"/>
        </w:rPr>
        <w:t>units</w:t>
      </w:r>
      <w:proofErr w:type="spellEnd"/>
    </w:p>
    <w:p w14:paraId="3A383619" w14:textId="77777777" w:rsidR="00E255F4" w:rsidRDefault="00E255F4">
      <w:pPr>
        <w:tabs>
          <w:tab w:val="left" w:pos="0"/>
          <w:tab w:val="left" w:pos="1418"/>
          <w:tab w:val="left" w:pos="7088"/>
        </w:tabs>
        <w:ind w:left="848" w:hanging="848"/>
        <w:jc w:val="both"/>
        <w:rPr>
          <w:color w:val="000000"/>
          <w:sz w:val="22"/>
          <w:szCs w:val="22"/>
          <w:lang w:val="es-ES"/>
        </w:rPr>
      </w:pPr>
    </w:p>
    <w:p w14:paraId="19803D38" w14:textId="77777777" w:rsidR="00E255F4" w:rsidRDefault="00E255F4">
      <w:pPr>
        <w:tabs>
          <w:tab w:val="left" w:pos="0"/>
          <w:tab w:val="left" w:pos="7088"/>
        </w:tabs>
        <w:ind w:left="1418" w:hanging="1418"/>
        <w:jc w:val="both"/>
        <w:rPr>
          <w:color w:val="000000"/>
          <w:sz w:val="22"/>
          <w:szCs w:val="22"/>
          <w:lang w:val="es-ES"/>
        </w:rPr>
      </w:pPr>
    </w:p>
    <w:p w14:paraId="67B9428A" w14:textId="77777777" w:rsidR="00E255F4" w:rsidRDefault="00000000">
      <w:pPr>
        <w:numPr>
          <w:ilvl w:val="0"/>
          <w:numId w:val="65"/>
        </w:numPr>
        <w:spacing w:before="120"/>
        <w:ind w:left="714" w:hanging="357"/>
        <w:rPr>
          <w:b/>
          <w:sz w:val="22"/>
          <w:szCs w:val="22"/>
          <w:lang w:val="es-ES"/>
        </w:rPr>
      </w:pPr>
      <w:r>
        <w:rPr>
          <w:b/>
          <w:sz w:val="22"/>
          <w:szCs w:val="22"/>
          <w:lang w:val="es-ES"/>
        </w:rPr>
        <w:t xml:space="preserve">Start-up </w:t>
      </w:r>
      <w:proofErr w:type="spellStart"/>
      <w:r>
        <w:rPr>
          <w:b/>
          <w:sz w:val="22"/>
          <w:szCs w:val="22"/>
          <w:lang w:val="es-ES"/>
        </w:rPr>
        <w:t>verification</w:t>
      </w:r>
      <w:proofErr w:type="spellEnd"/>
      <w:r>
        <w:rPr>
          <w:b/>
          <w:sz w:val="22"/>
          <w:szCs w:val="22"/>
          <w:lang w:val="es-ES"/>
        </w:rPr>
        <w:t xml:space="preserve"> test (</w:t>
      </w:r>
      <w:proofErr w:type="spellStart"/>
      <w:r>
        <w:rPr>
          <w:b/>
          <w:sz w:val="22"/>
          <w:szCs w:val="22"/>
          <w:lang w:val="es-ES"/>
        </w:rPr>
        <w:t>Qo</w:t>
      </w:r>
      <w:proofErr w:type="spellEnd"/>
      <w:r>
        <w:rPr>
          <w:b/>
          <w:sz w:val="22"/>
          <w:szCs w:val="22"/>
          <w:lang w:val="es-ES"/>
        </w:rPr>
        <w:t>)</w:t>
      </w:r>
    </w:p>
    <w:p w14:paraId="493AA6FC" w14:textId="77777777" w:rsidR="00E255F4" w:rsidRDefault="00000000">
      <w:pPr>
        <w:tabs>
          <w:tab w:val="left" w:pos="0"/>
          <w:tab w:val="left" w:pos="993"/>
          <w:tab w:val="left" w:pos="1418"/>
          <w:tab w:val="left" w:pos="7088"/>
        </w:tabs>
        <w:ind w:left="848" w:hanging="848"/>
        <w:jc w:val="both"/>
        <w:rPr>
          <w:color w:val="000000"/>
          <w:sz w:val="22"/>
          <w:szCs w:val="22"/>
          <w:lang w:val="es-ES"/>
        </w:rPr>
      </w:pPr>
      <w:r>
        <w:rPr>
          <w:color w:val="000000"/>
          <w:sz w:val="22"/>
          <w:szCs w:val="22"/>
          <w:lang w:val="es-ES"/>
        </w:rPr>
        <w:t xml:space="preserve">    </w:t>
      </w:r>
      <w:r>
        <w:rPr>
          <w:color w:val="000000"/>
          <w:sz w:val="22"/>
          <w:szCs w:val="22"/>
          <w:lang w:val="es-ES"/>
        </w:rPr>
        <w:tab/>
      </w:r>
      <w:r>
        <w:rPr>
          <w:color w:val="000000"/>
          <w:sz w:val="22"/>
          <w:szCs w:val="22"/>
          <w:lang w:val="es-ES"/>
        </w:rPr>
        <w:tab/>
      </w:r>
      <w:r>
        <w:rPr>
          <w:color w:val="000000"/>
          <w:sz w:val="22"/>
          <w:szCs w:val="22"/>
          <w:lang w:val="es-ES"/>
        </w:rPr>
        <w:tab/>
        <w:t xml:space="preserve">Sample </w:t>
      </w:r>
      <w:proofErr w:type="spellStart"/>
      <w:r>
        <w:rPr>
          <w:color w:val="000000"/>
          <w:sz w:val="22"/>
          <w:szCs w:val="22"/>
          <w:lang w:val="es-ES"/>
        </w:rPr>
        <w:t>to</w:t>
      </w:r>
      <w:proofErr w:type="spellEnd"/>
      <w:r>
        <w:rPr>
          <w:color w:val="000000"/>
          <w:sz w:val="22"/>
          <w:szCs w:val="22"/>
          <w:lang w:val="es-ES"/>
        </w:rPr>
        <w:t xml:space="preserve"> be </w:t>
      </w:r>
      <w:proofErr w:type="spellStart"/>
      <w:r>
        <w:rPr>
          <w:color w:val="000000"/>
          <w:sz w:val="22"/>
          <w:szCs w:val="22"/>
          <w:lang w:val="es-ES"/>
        </w:rPr>
        <w:t>tested</w:t>
      </w:r>
      <w:proofErr w:type="spellEnd"/>
      <w:r>
        <w:rPr>
          <w:color w:val="000000"/>
          <w:sz w:val="22"/>
          <w:szCs w:val="22"/>
          <w:lang w:val="es-ES"/>
        </w:rPr>
        <w:t>:</w:t>
      </w:r>
      <w:proofErr w:type="gramStart"/>
      <w:r>
        <w:rPr>
          <w:color w:val="000000"/>
          <w:sz w:val="22"/>
          <w:szCs w:val="22"/>
          <w:u w:val="dotted"/>
          <w:lang w:val="es-ES"/>
        </w:rPr>
        <w:tab/>
        <w:t xml:space="preserve">  </w:t>
      </w:r>
      <w:r>
        <w:rPr>
          <w:color w:val="000000"/>
          <w:sz w:val="22"/>
          <w:szCs w:val="22"/>
          <w:lang w:val="es-ES"/>
        </w:rPr>
        <w:t>200</w:t>
      </w:r>
      <w:proofErr w:type="gramEnd"/>
      <w:r>
        <w:rPr>
          <w:color w:val="000000"/>
          <w:sz w:val="22"/>
          <w:szCs w:val="22"/>
          <w:lang w:val="es-ES"/>
        </w:rPr>
        <w:t xml:space="preserve"> </w:t>
      </w:r>
      <w:proofErr w:type="spellStart"/>
      <w:r>
        <w:rPr>
          <w:color w:val="000000"/>
          <w:sz w:val="22"/>
          <w:szCs w:val="22"/>
          <w:lang w:val="es-ES"/>
        </w:rPr>
        <w:t>units</w:t>
      </w:r>
      <w:proofErr w:type="spellEnd"/>
    </w:p>
    <w:p w14:paraId="6A24FF3D" w14:textId="77777777" w:rsidR="00E255F4" w:rsidRDefault="00000000">
      <w:pPr>
        <w:tabs>
          <w:tab w:val="left" w:pos="0"/>
          <w:tab w:val="left" w:pos="1418"/>
          <w:tab w:val="left" w:pos="7088"/>
        </w:tabs>
        <w:ind w:left="848" w:hanging="848"/>
        <w:jc w:val="both"/>
        <w:rPr>
          <w:color w:val="000000"/>
          <w:sz w:val="22"/>
          <w:szCs w:val="22"/>
          <w:lang w:val="es-ES"/>
        </w:rPr>
      </w:pPr>
      <w:r>
        <w:rPr>
          <w:color w:val="000000"/>
          <w:sz w:val="22"/>
          <w:szCs w:val="22"/>
          <w:lang w:val="es-ES"/>
        </w:rPr>
        <w:t xml:space="preserve">    </w:t>
      </w:r>
      <w:r>
        <w:rPr>
          <w:color w:val="000000"/>
          <w:sz w:val="22"/>
          <w:szCs w:val="22"/>
          <w:lang w:val="es-ES"/>
        </w:rPr>
        <w:tab/>
        <w:t xml:space="preserve">  Maximum </w:t>
      </w:r>
      <w:proofErr w:type="spellStart"/>
      <w:r>
        <w:rPr>
          <w:color w:val="000000"/>
          <w:sz w:val="22"/>
          <w:szCs w:val="22"/>
          <w:lang w:val="es-ES"/>
        </w:rPr>
        <w:t>number</w:t>
      </w:r>
      <w:proofErr w:type="spellEnd"/>
      <w:r>
        <w:rPr>
          <w:color w:val="000000"/>
          <w:sz w:val="22"/>
          <w:szCs w:val="22"/>
          <w:lang w:val="es-ES"/>
        </w:rPr>
        <w:t xml:space="preserve"> </w:t>
      </w:r>
      <w:proofErr w:type="spellStart"/>
      <w:r>
        <w:rPr>
          <w:color w:val="000000"/>
          <w:sz w:val="22"/>
          <w:szCs w:val="22"/>
          <w:lang w:val="es-ES"/>
        </w:rPr>
        <w:t>of</w:t>
      </w:r>
      <w:proofErr w:type="spellEnd"/>
      <w:r>
        <w:rPr>
          <w:color w:val="000000"/>
          <w:sz w:val="22"/>
          <w:szCs w:val="22"/>
          <w:lang w:val="es-ES"/>
        </w:rPr>
        <w:t xml:space="preserve"> </w:t>
      </w:r>
      <w:proofErr w:type="spellStart"/>
      <w:r>
        <w:rPr>
          <w:color w:val="000000"/>
          <w:sz w:val="22"/>
          <w:szCs w:val="22"/>
          <w:lang w:val="es-ES"/>
        </w:rPr>
        <w:t>rejections</w:t>
      </w:r>
      <w:proofErr w:type="spellEnd"/>
      <w:r>
        <w:rPr>
          <w:color w:val="000000"/>
          <w:sz w:val="22"/>
          <w:szCs w:val="22"/>
          <w:lang w:val="es-ES"/>
        </w:rPr>
        <w:t>:</w:t>
      </w:r>
      <w:r>
        <w:rPr>
          <w:color w:val="000000"/>
          <w:sz w:val="22"/>
          <w:szCs w:val="22"/>
          <w:lang w:val="es-ES"/>
        </w:rPr>
        <w:tab/>
      </w:r>
      <w:r>
        <w:rPr>
          <w:color w:val="000000"/>
          <w:sz w:val="22"/>
          <w:szCs w:val="22"/>
          <w:u w:val="dotted"/>
          <w:lang w:val="es-ES"/>
        </w:rPr>
        <w:tab/>
        <w:t xml:space="preserve">   </w:t>
      </w:r>
      <w:r>
        <w:rPr>
          <w:color w:val="000000"/>
          <w:sz w:val="22"/>
          <w:szCs w:val="22"/>
          <w:lang w:val="es-ES"/>
        </w:rPr>
        <w:t xml:space="preserve">07 </w:t>
      </w:r>
      <w:proofErr w:type="spellStart"/>
      <w:r>
        <w:rPr>
          <w:color w:val="000000"/>
          <w:sz w:val="22"/>
          <w:szCs w:val="22"/>
          <w:lang w:val="es-ES"/>
        </w:rPr>
        <w:t>units</w:t>
      </w:r>
      <w:proofErr w:type="spellEnd"/>
    </w:p>
    <w:p w14:paraId="2860C45E" w14:textId="77777777" w:rsidR="00E255F4" w:rsidRDefault="00000000">
      <w:pPr>
        <w:pStyle w:val="Prrafodelista"/>
        <w:numPr>
          <w:ilvl w:val="3"/>
          <w:numId w:val="58"/>
        </w:numPr>
        <w:tabs>
          <w:tab w:val="left" w:pos="-720"/>
          <w:tab w:val="left" w:pos="709"/>
        </w:tabs>
        <w:spacing w:before="120" w:after="120"/>
        <w:jc w:val="both"/>
        <w:rPr>
          <w:color w:val="000000"/>
          <w:sz w:val="22"/>
          <w:szCs w:val="22"/>
          <w:lang w:val="es-ES"/>
        </w:rPr>
      </w:pPr>
      <w:r>
        <w:rPr>
          <w:color w:val="000000"/>
          <w:sz w:val="22"/>
          <w:szCs w:val="22"/>
          <w:lang w:val="es-ES"/>
        </w:rPr>
        <w:t xml:space="preserve">In </w:t>
      </w:r>
      <w:proofErr w:type="spellStart"/>
      <w:r>
        <w:rPr>
          <w:color w:val="000000"/>
          <w:sz w:val="22"/>
          <w:szCs w:val="22"/>
          <w:lang w:val="es-ES"/>
        </w:rPr>
        <w:t>conjunction</w:t>
      </w:r>
      <w:proofErr w:type="spellEnd"/>
      <w:r>
        <w:rPr>
          <w:color w:val="000000"/>
          <w:sz w:val="22"/>
          <w:szCs w:val="22"/>
          <w:lang w:val="es-ES"/>
        </w:rPr>
        <w:t xml:space="preserve"> </w:t>
      </w:r>
      <w:proofErr w:type="spellStart"/>
      <w:r>
        <w:rPr>
          <w:color w:val="000000"/>
          <w:sz w:val="22"/>
          <w:szCs w:val="22"/>
          <w:lang w:val="es-ES"/>
        </w:rPr>
        <w:t>with</w:t>
      </w:r>
      <w:proofErr w:type="spellEnd"/>
      <w:r>
        <w:rPr>
          <w:color w:val="000000"/>
          <w:sz w:val="22"/>
          <w:szCs w:val="22"/>
          <w:lang w:val="es-ES"/>
        </w:rPr>
        <w:t xml:space="preserve"> </w:t>
      </w:r>
      <w:proofErr w:type="spellStart"/>
      <w:r>
        <w:rPr>
          <w:color w:val="000000"/>
          <w:sz w:val="22"/>
          <w:szCs w:val="22"/>
          <w:lang w:val="es-ES"/>
        </w:rPr>
        <w:t>the</w:t>
      </w:r>
      <w:proofErr w:type="spellEnd"/>
      <w:r>
        <w:rPr>
          <w:color w:val="000000"/>
          <w:sz w:val="22"/>
          <w:szCs w:val="22"/>
          <w:lang w:val="es-ES"/>
        </w:rPr>
        <w:t xml:space="preserve"> </w:t>
      </w:r>
      <w:proofErr w:type="spellStart"/>
      <w:r>
        <w:rPr>
          <w:color w:val="000000"/>
          <w:sz w:val="22"/>
          <w:szCs w:val="22"/>
          <w:lang w:val="es-ES"/>
        </w:rPr>
        <w:t>previous</w:t>
      </w:r>
      <w:proofErr w:type="spellEnd"/>
      <w:r>
        <w:rPr>
          <w:color w:val="000000"/>
          <w:sz w:val="22"/>
          <w:szCs w:val="22"/>
          <w:lang w:val="es-ES"/>
        </w:rPr>
        <w:t xml:space="preserve"> </w:t>
      </w:r>
      <w:proofErr w:type="spellStart"/>
      <w:r>
        <w:rPr>
          <w:color w:val="000000"/>
          <w:sz w:val="22"/>
          <w:szCs w:val="22"/>
          <w:lang w:val="es-ES"/>
        </w:rPr>
        <w:t>tests</w:t>
      </w:r>
      <w:proofErr w:type="spellEnd"/>
      <w:r>
        <w:rPr>
          <w:color w:val="000000"/>
          <w:sz w:val="22"/>
          <w:szCs w:val="22"/>
          <w:lang w:val="es-ES"/>
        </w:rPr>
        <w:t xml:space="preserve">, a visual </w:t>
      </w:r>
      <w:proofErr w:type="spellStart"/>
      <w:r>
        <w:rPr>
          <w:color w:val="000000"/>
          <w:sz w:val="22"/>
          <w:szCs w:val="22"/>
          <w:lang w:val="es-ES"/>
        </w:rPr>
        <w:t>inspection</w:t>
      </w:r>
      <w:proofErr w:type="spellEnd"/>
      <w:r>
        <w:rPr>
          <w:color w:val="000000"/>
          <w:sz w:val="22"/>
          <w:szCs w:val="22"/>
          <w:lang w:val="es-ES"/>
        </w:rPr>
        <w:t xml:space="preserve"> </w:t>
      </w:r>
      <w:proofErr w:type="spellStart"/>
      <w:r>
        <w:rPr>
          <w:color w:val="000000"/>
          <w:sz w:val="22"/>
          <w:szCs w:val="22"/>
          <w:lang w:val="es-ES"/>
        </w:rPr>
        <w:t>or</w:t>
      </w:r>
      <w:proofErr w:type="spellEnd"/>
      <w:r>
        <w:rPr>
          <w:color w:val="000000"/>
          <w:sz w:val="22"/>
          <w:szCs w:val="22"/>
          <w:lang w:val="es-ES"/>
        </w:rPr>
        <w:t xml:space="preserve"> </w:t>
      </w:r>
      <w:proofErr w:type="gramStart"/>
      <w:r>
        <w:rPr>
          <w:color w:val="000000"/>
          <w:sz w:val="22"/>
          <w:szCs w:val="22"/>
          <w:lang w:val="es-ES"/>
        </w:rPr>
        <w:t>simple test</w:t>
      </w:r>
      <w:proofErr w:type="gramEnd"/>
      <w:r>
        <w:rPr>
          <w:color w:val="000000"/>
          <w:sz w:val="22"/>
          <w:szCs w:val="22"/>
          <w:lang w:val="es-ES"/>
        </w:rPr>
        <w:t xml:space="preserve"> </w:t>
      </w:r>
      <w:proofErr w:type="spellStart"/>
      <w:r>
        <w:rPr>
          <w:color w:val="000000"/>
          <w:sz w:val="22"/>
          <w:szCs w:val="22"/>
          <w:lang w:val="es-ES"/>
        </w:rPr>
        <w:t>will</w:t>
      </w:r>
      <w:proofErr w:type="spellEnd"/>
      <w:r>
        <w:rPr>
          <w:color w:val="000000"/>
          <w:sz w:val="22"/>
          <w:szCs w:val="22"/>
          <w:lang w:val="es-ES"/>
        </w:rPr>
        <w:t xml:space="preserve"> be </w:t>
      </w:r>
      <w:proofErr w:type="spellStart"/>
      <w:r>
        <w:rPr>
          <w:color w:val="000000"/>
          <w:sz w:val="22"/>
          <w:szCs w:val="22"/>
          <w:lang w:val="es-ES"/>
        </w:rPr>
        <w:t>performed</w:t>
      </w:r>
      <w:proofErr w:type="spellEnd"/>
      <w:r>
        <w:rPr>
          <w:color w:val="000000"/>
          <w:sz w:val="22"/>
          <w:szCs w:val="22"/>
          <w:lang w:val="es-ES"/>
        </w:rPr>
        <w:t xml:space="preserve"> </w:t>
      </w:r>
      <w:proofErr w:type="spellStart"/>
      <w:r>
        <w:rPr>
          <w:color w:val="000000"/>
          <w:sz w:val="22"/>
          <w:szCs w:val="22"/>
          <w:lang w:val="es-ES"/>
        </w:rPr>
        <w:t>to</w:t>
      </w:r>
      <w:proofErr w:type="spellEnd"/>
      <w:r>
        <w:rPr>
          <w:color w:val="000000"/>
          <w:sz w:val="22"/>
          <w:szCs w:val="22"/>
          <w:lang w:val="es-ES"/>
        </w:rPr>
        <w:t xml:space="preserve"> </w:t>
      </w:r>
      <w:proofErr w:type="spellStart"/>
      <w:r>
        <w:rPr>
          <w:color w:val="000000"/>
          <w:sz w:val="22"/>
          <w:szCs w:val="22"/>
          <w:lang w:val="es-ES"/>
        </w:rPr>
        <w:t>verify</w:t>
      </w:r>
      <w:proofErr w:type="spellEnd"/>
      <w:r>
        <w:rPr>
          <w:color w:val="000000"/>
          <w:sz w:val="22"/>
          <w:szCs w:val="22"/>
          <w:lang w:val="es-ES"/>
        </w:rPr>
        <w:t xml:space="preserve"> </w:t>
      </w:r>
      <w:proofErr w:type="spellStart"/>
      <w:r>
        <w:rPr>
          <w:color w:val="000000"/>
          <w:sz w:val="22"/>
          <w:szCs w:val="22"/>
          <w:lang w:val="es-ES"/>
        </w:rPr>
        <w:t>compliance</w:t>
      </w:r>
      <w:proofErr w:type="spellEnd"/>
      <w:r>
        <w:rPr>
          <w:color w:val="000000"/>
          <w:sz w:val="22"/>
          <w:szCs w:val="22"/>
          <w:lang w:val="es-ES"/>
        </w:rPr>
        <w:t xml:space="preserve"> </w:t>
      </w:r>
      <w:proofErr w:type="spellStart"/>
      <w:r>
        <w:rPr>
          <w:color w:val="000000"/>
          <w:sz w:val="22"/>
          <w:szCs w:val="22"/>
          <w:lang w:val="es-ES"/>
        </w:rPr>
        <w:t>with</w:t>
      </w:r>
      <w:proofErr w:type="spellEnd"/>
      <w:r>
        <w:rPr>
          <w:color w:val="000000"/>
          <w:sz w:val="22"/>
          <w:szCs w:val="22"/>
          <w:lang w:val="es-ES"/>
        </w:rPr>
        <w:t xml:space="preserve"> </w:t>
      </w:r>
      <w:proofErr w:type="spellStart"/>
      <w:r>
        <w:rPr>
          <w:color w:val="000000"/>
          <w:sz w:val="22"/>
          <w:szCs w:val="22"/>
          <w:lang w:val="es-ES"/>
        </w:rPr>
        <w:t>the</w:t>
      </w:r>
      <w:proofErr w:type="spellEnd"/>
      <w:r>
        <w:rPr>
          <w:color w:val="000000"/>
          <w:sz w:val="22"/>
          <w:szCs w:val="22"/>
          <w:lang w:val="es-ES"/>
        </w:rPr>
        <w:t xml:space="preserve"> </w:t>
      </w:r>
      <w:proofErr w:type="spellStart"/>
      <w:r>
        <w:rPr>
          <w:color w:val="000000"/>
          <w:sz w:val="22"/>
          <w:szCs w:val="22"/>
          <w:lang w:val="es-ES"/>
        </w:rPr>
        <w:t>various</w:t>
      </w:r>
      <w:proofErr w:type="spellEnd"/>
      <w:r>
        <w:rPr>
          <w:color w:val="000000"/>
          <w:sz w:val="22"/>
          <w:szCs w:val="22"/>
          <w:lang w:val="es-ES"/>
        </w:rPr>
        <w:t xml:space="preserve"> </w:t>
      </w:r>
      <w:proofErr w:type="spellStart"/>
      <w:r>
        <w:rPr>
          <w:color w:val="000000"/>
          <w:sz w:val="22"/>
          <w:szCs w:val="22"/>
          <w:lang w:val="es-ES"/>
        </w:rPr>
        <w:t>specifications</w:t>
      </w:r>
      <w:proofErr w:type="spellEnd"/>
      <w:r>
        <w:rPr>
          <w:color w:val="000000"/>
          <w:sz w:val="22"/>
          <w:szCs w:val="22"/>
          <w:lang w:val="es-ES"/>
        </w:rPr>
        <w:t xml:space="preserve"> </w:t>
      </w:r>
      <w:proofErr w:type="spellStart"/>
      <w:r>
        <w:rPr>
          <w:color w:val="000000"/>
          <w:sz w:val="22"/>
          <w:szCs w:val="22"/>
          <w:lang w:val="es-ES"/>
        </w:rPr>
        <w:t>outlined</w:t>
      </w:r>
      <w:proofErr w:type="spellEnd"/>
      <w:r>
        <w:rPr>
          <w:color w:val="000000"/>
          <w:sz w:val="22"/>
          <w:szCs w:val="22"/>
          <w:lang w:val="es-ES"/>
        </w:rPr>
        <w:t xml:space="preserve"> in </w:t>
      </w:r>
      <w:proofErr w:type="spellStart"/>
      <w:r>
        <w:rPr>
          <w:color w:val="000000"/>
          <w:sz w:val="22"/>
          <w:szCs w:val="22"/>
          <w:lang w:val="es-ES"/>
        </w:rPr>
        <w:t>this</w:t>
      </w:r>
      <w:proofErr w:type="spellEnd"/>
      <w:r>
        <w:rPr>
          <w:color w:val="000000"/>
          <w:sz w:val="22"/>
          <w:szCs w:val="22"/>
          <w:lang w:val="es-ES"/>
        </w:rPr>
        <w:t xml:space="preserve"> </w:t>
      </w:r>
      <w:proofErr w:type="spellStart"/>
      <w:r>
        <w:rPr>
          <w:color w:val="000000"/>
          <w:sz w:val="22"/>
          <w:szCs w:val="22"/>
          <w:lang w:val="es-ES"/>
        </w:rPr>
        <w:t>document</w:t>
      </w:r>
      <w:proofErr w:type="spellEnd"/>
      <w:r>
        <w:rPr>
          <w:color w:val="000000"/>
          <w:sz w:val="22"/>
          <w:szCs w:val="22"/>
          <w:lang w:val="es-ES"/>
        </w:rPr>
        <w:t xml:space="preserve">, </w:t>
      </w:r>
      <w:proofErr w:type="spellStart"/>
      <w:r>
        <w:rPr>
          <w:color w:val="000000"/>
          <w:sz w:val="22"/>
          <w:szCs w:val="22"/>
          <w:lang w:val="es-ES"/>
        </w:rPr>
        <w:t>particularly</w:t>
      </w:r>
      <w:proofErr w:type="spellEnd"/>
      <w:r>
        <w:rPr>
          <w:color w:val="000000"/>
          <w:sz w:val="22"/>
          <w:szCs w:val="22"/>
          <w:lang w:val="es-ES"/>
        </w:rPr>
        <w:t xml:space="preserve"> </w:t>
      </w:r>
      <w:proofErr w:type="spellStart"/>
      <w:r>
        <w:rPr>
          <w:color w:val="000000"/>
          <w:sz w:val="22"/>
          <w:szCs w:val="22"/>
          <w:lang w:val="es-ES"/>
        </w:rPr>
        <w:t>those</w:t>
      </w:r>
      <w:proofErr w:type="spellEnd"/>
      <w:r>
        <w:rPr>
          <w:color w:val="000000"/>
          <w:sz w:val="22"/>
          <w:szCs w:val="22"/>
          <w:lang w:val="es-ES"/>
        </w:rPr>
        <w:t xml:space="preserve"> </w:t>
      </w:r>
      <w:proofErr w:type="spellStart"/>
      <w:r>
        <w:rPr>
          <w:color w:val="000000"/>
          <w:sz w:val="22"/>
          <w:szCs w:val="22"/>
          <w:lang w:val="es-ES"/>
        </w:rPr>
        <w:t>related</w:t>
      </w:r>
      <w:proofErr w:type="spellEnd"/>
      <w:r>
        <w:rPr>
          <w:color w:val="000000"/>
          <w:sz w:val="22"/>
          <w:szCs w:val="22"/>
          <w:lang w:val="es-ES"/>
        </w:rPr>
        <w:t xml:space="preserve"> </w:t>
      </w:r>
      <w:proofErr w:type="spellStart"/>
      <w:r>
        <w:rPr>
          <w:color w:val="000000"/>
          <w:sz w:val="22"/>
          <w:szCs w:val="22"/>
          <w:lang w:val="es-ES"/>
        </w:rPr>
        <w:t>to</w:t>
      </w:r>
      <w:proofErr w:type="spellEnd"/>
      <w:r>
        <w:rPr>
          <w:color w:val="000000"/>
          <w:sz w:val="22"/>
          <w:szCs w:val="22"/>
          <w:lang w:val="es-ES"/>
        </w:rPr>
        <w:t xml:space="preserve">: </w:t>
      </w:r>
      <w:proofErr w:type="spellStart"/>
      <w:r>
        <w:rPr>
          <w:color w:val="000000"/>
          <w:sz w:val="22"/>
          <w:szCs w:val="22"/>
          <w:lang w:val="es-ES"/>
        </w:rPr>
        <w:t>the</w:t>
      </w:r>
      <w:proofErr w:type="spellEnd"/>
      <w:r>
        <w:rPr>
          <w:color w:val="000000"/>
          <w:sz w:val="22"/>
          <w:szCs w:val="22"/>
          <w:lang w:val="es-ES"/>
        </w:rPr>
        <w:t xml:space="preserve"> </w:t>
      </w:r>
      <w:proofErr w:type="spellStart"/>
      <w:r>
        <w:rPr>
          <w:color w:val="000000"/>
          <w:sz w:val="22"/>
          <w:szCs w:val="22"/>
          <w:lang w:val="es-ES"/>
        </w:rPr>
        <w:t>indicating</w:t>
      </w:r>
      <w:proofErr w:type="spellEnd"/>
      <w:r>
        <w:rPr>
          <w:color w:val="000000"/>
          <w:sz w:val="22"/>
          <w:szCs w:val="22"/>
          <w:lang w:val="es-ES"/>
        </w:rPr>
        <w:t xml:space="preserve"> </w:t>
      </w:r>
      <w:proofErr w:type="spellStart"/>
      <w:r>
        <w:rPr>
          <w:color w:val="000000"/>
          <w:sz w:val="22"/>
          <w:szCs w:val="22"/>
          <w:lang w:val="es-ES"/>
        </w:rPr>
        <w:t>device</w:t>
      </w:r>
      <w:proofErr w:type="spellEnd"/>
      <w:r>
        <w:rPr>
          <w:color w:val="000000"/>
          <w:sz w:val="22"/>
          <w:szCs w:val="22"/>
          <w:lang w:val="es-ES"/>
        </w:rPr>
        <w:t xml:space="preserve">, </w:t>
      </w:r>
      <w:proofErr w:type="spellStart"/>
      <w:r>
        <w:rPr>
          <w:color w:val="000000"/>
          <w:sz w:val="22"/>
          <w:szCs w:val="22"/>
          <w:lang w:val="es-ES"/>
        </w:rPr>
        <w:t>the</w:t>
      </w:r>
      <w:proofErr w:type="spellEnd"/>
      <w:r>
        <w:rPr>
          <w:color w:val="000000"/>
          <w:sz w:val="22"/>
          <w:szCs w:val="22"/>
          <w:lang w:val="es-ES"/>
        </w:rPr>
        <w:t xml:space="preserve"> </w:t>
      </w:r>
      <w:proofErr w:type="spellStart"/>
      <w:r>
        <w:rPr>
          <w:color w:val="000000"/>
          <w:sz w:val="22"/>
          <w:szCs w:val="22"/>
          <w:lang w:val="es-ES"/>
        </w:rPr>
        <w:t>regulating</w:t>
      </w:r>
      <w:proofErr w:type="spellEnd"/>
      <w:r>
        <w:rPr>
          <w:color w:val="000000"/>
          <w:sz w:val="22"/>
          <w:szCs w:val="22"/>
          <w:lang w:val="es-ES"/>
        </w:rPr>
        <w:t xml:space="preserve"> </w:t>
      </w:r>
      <w:proofErr w:type="spellStart"/>
      <w:r>
        <w:rPr>
          <w:color w:val="000000"/>
          <w:sz w:val="22"/>
          <w:szCs w:val="22"/>
          <w:lang w:val="es-ES"/>
        </w:rPr>
        <w:t>device</w:t>
      </w:r>
      <w:proofErr w:type="spellEnd"/>
      <w:r>
        <w:rPr>
          <w:color w:val="000000"/>
          <w:sz w:val="22"/>
          <w:szCs w:val="22"/>
          <w:lang w:val="es-ES"/>
        </w:rPr>
        <w:t xml:space="preserve">, </w:t>
      </w:r>
      <w:proofErr w:type="spellStart"/>
      <w:r>
        <w:rPr>
          <w:color w:val="000000"/>
          <w:sz w:val="22"/>
          <w:szCs w:val="22"/>
          <w:lang w:val="es-ES"/>
        </w:rPr>
        <w:t>the</w:t>
      </w:r>
      <w:proofErr w:type="spellEnd"/>
      <w:r>
        <w:rPr>
          <w:color w:val="000000"/>
          <w:sz w:val="22"/>
          <w:szCs w:val="22"/>
          <w:lang w:val="es-ES"/>
        </w:rPr>
        <w:t xml:space="preserve"> </w:t>
      </w:r>
      <w:proofErr w:type="spellStart"/>
      <w:r>
        <w:rPr>
          <w:color w:val="000000"/>
          <w:sz w:val="22"/>
          <w:szCs w:val="22"/>
          <w:lang w:val="es-ES"/>
        </w:rPr>
        <w:t>sealing</w:t>
      </w:r>
      <w:proofErr w:type="spellEnd"/>
      <w:r>
        <w:rPr>
          <w:color w:val="000000"/>
          <w:sz w:val="22"/>
          <w:szCs w:val="22"/>
          <w:lang w:val="es-ES"/>
        </w:rPr>
        <w:t xml:space="preserve">, </w:t>
      </w:r>
      <w:proofErr w:type="spellStart"/>
      <w:r>
        <w:rPr>
          <w:color w:val="000000"/>
          <w:sz w:val="22"/>
          <w:szCs w:val="22"/>
          <w:lang w:val="es-ES"/>
        </w:rPr>
        <w:t>construction</w:t>
      </w:r>
      <w:proofErr w:type="spellEnd"/>
      <w:r>
        <w:rPr>
          <w:color w:val="000000"/>
          <w:sz w:val="22"/>
          <w:szCs w:val="22"/>
          <w:lang w:val="es-ES"/>
        </w:rPr>
        <w:t xml:space="preserve"> </w:t>
      </w:r>
      <w:proofErr w:type="spellStart"/>
      <w:r>
        <w:rPr>
          <w:color w:val="000000"/>
          <w:sz w:val="22"/>
          <w:szCs w:val="22"/>
          <w:lang w:val="es-ES"/>
        </w:rPr>
        <w:t>aspects</w:t>
      </w:r>
      <w:proofErr w:type="spellEnd"/>
      <w:r>
        <w:rPr>
          <w:color w:val="000000"/>
          <w:sz w:val="22"/>
          <w:szCs w:val="22"/>
          <w:lang w:val="es-ES"/>
        </w:rPr>
        <w:t xml:space="preserve">, </w:t>
      </w:r>
      <w:proofErr w:type="spellStart"/>
      <w:r>
        <w:rPr>
          <w:color w:val="000000"/>
          <w:sz w:val="22"/>
          <w:szCs w:val="22"/>
          <w:lang w:val="es-ES"/>
        </w:rPr>
        <w:t>maximum</w:t>
      </w:r>
      <w:proofErr w:type="spellEnd"/>
      <w:r>
        <w:rPr>
          <w:color w:val="000000"/>
          <w:sz w:val="22"/>
          <w:szCs w:val="22"/>
          <w:lang w:val="es-ES"/>
        </w:rPr>
        <w:t xml:space="preserve"> </w:t>
      </w:r>
      <w:proofErr w:type="spellStart"/>
      <w:r>
        <w:rPr>
          <w:color w:val="000000"/>
          <w:sz w:val="22"/>
          <w:szCs w:val="22"/>
          <w:lang w:val="es-ES"/>
        </w:rPr>
        <w:t>dimensions</w:t>
      </w:r>
      <w:proofErr w:type="spellEnd"/>
      <w:r>
        <w:rPr>
          <w:color w:val="000000"/>
          <w:sz w:val="22"/>
          <w:szCs w:val="22"/>
          <w:lang w:val="es-ES"/>
        </w:rPr>
        <w:t xml:space="preserve">, </w:t>
      </w:r>
      <w:proofErr w:type="spellStart"/>
      <w:r>
        <w:rPr>
          <w:color w:val="000000"/>
          <w:sz w:val="22"/>
          <w:szCs w:val="22"/>
          <w:lang w:val="es-ES"/>
        </w:rPr>
        <w:t>threads</w:t>
      </w:r>
      <w:proofErr w:type="spellEnd"/>
      <w:r>
        <w:rPr>
          <w:color w:val="000000"/>
          <w:sz w:val="22"/>
          <w:szCs w:val="22"/>
          <w:lang w:val="es-ES"/>
        </w:rPr>
        <w:t xml:space="preserve">, </w:t>
      </w:r>
      <w:proofErr w:type="spellStart"/>
      <w:r>
        <w:rPr>
          <w:color w:val="000000"/>
          <w:sz w:val="22"/>
          <w:szCs w:val="22"/>
          <w:lang w:val="es-ES"/>
        </w:rPr>
        <w:t>the</w:t>
      </w:r>
      <w:proofErr w:type="spellEnd"/>
      <w:r>
        <w:rPr>
          <w:color w:val="000000"/>
          <w:sz w:val="22"/>
          <w:szCs w:val="22"/>
          <w:lang w:val="es-ES"/>
        </w:rPr>
        <w:t xml:space="preserve"> </w:t>
      </w:r>
      <w:proofErr w:type="spellStart"/>
      <w:r>
        <w:rPr>
          <w:color w:val="000000"/>
          <w:sz w:val="22"/>
          <w:szCs w:val="22"/>
          <w:lang w:val="es-ES"/>
        </w:rPr>
        <w:t>filter</w:t>
      </w:r>
      <w:proofErr w:type="spellEnd"/>
      <w:r>
        <w:rPr>
          <w:color w:val="000000"/>
          <w:sz w:val="22"/>
          <w:szCs w:val="22"/>
          <w:lang w:val="es-ES"/>
        </w:rPr>
        <w:t xml:space="preserve">, </w:t>
      </w:r>
      <w:proofErr w:type="spellStart"/>
      <w:r>
        <w:rPr>
          <w:color w:val="000000"/>
          <w:sz w:val="22"/>
          <w:szCs w:val="22"/>
          <w:lang w:val="es-ES"/>
        </w:rPr>
        <w:t>markings</w:t>
      </w:r>
      <w:proofErr w:type="spellEnd"/>
      <w:r>
        <w:rPr>
          <w:color w:val="000000"/>
          <w:sz w:val="22"/>
          <w:szCs w:val="22"/>
          <w:lang w:val="es-ES"/>
        </w:rPr>
        <w:t xml:space="preserve">, </w:t>
      </w:r>
      <w:proofErr w:type="spellStart"/>
      <w:r>
        <w:rPr>
          <w:color w:val="000000"/>
          <w:sz w:val="22"/>
          <w:szCs w:val="22"/>
          <w:lang w:val="es-ES"/>
        </w:rPr>
        <w:t>corrosion</w:t>
      </w:r>
      <w:proofErr w:type="spellEnd"/>
      <w:r>
        <w:rPr>
          <w:color w:val="000000"/>
          <w:sz w:val="22"/>
          <w:szCs w:val="22"/>
          <w:lang w:val="es-ES"/>
        </w:rPr>
        <w:t xml:space="preserve">, and reverse </w:t>
      </w:r>
      <w:proofErr w:type="spellStart"/>
      <w:r>
        <w:rPr>
          <w:color w:val="000000"/>
          <w:sz w:val="22"/>
          <w:szCs w:val="22"/>
          <w:lang w:val="es-ES"/>
        </w:rPr>
        <w:t>operation</w:t>
      </w:r>
      <w:proofErr w:type="spellEnd"/>
      <w:r>
        <w:rPr>
          <w:color w:val="000000"/>
          <w:sz w:val="22"/>
          <w:szCs w:val="22"/>
          <w:lang w:val="es-ES"/>
        </w:rPr>
        <w:t xml:space="preserve">. </w:t>
      </w:r>
      <w:proofErr w:type="spellStart"/>
      <w:r>
        <w:rPr>
          <w:color w:val="000000"/>
          <w:sz w:val="22"/>
          <w:szCs w:val="22"/>
          <w:lang w:val="es-ES"/>
        </w:rPr>
        <w:t>All</w:t>
      </w:r>
      <w:proofErr w:type="spellEnd"/>
      <w:r>
        <w:rPr>
          <w:color w:val="000000"/>
          <w:sz w:val="22"/>
          <w:szCs w:val="22"/>
          <w:lang w:val="es-ES"/>
        </w:rPr>
        <w:t xml:space="preserve"> </w:t>
      </w:r>
      <w:proofErr w:type="spellStart"/>
      <w:r>
        <w:rPr>
          <w:color w:val="000000"/>
          <w:sz w:val="22"/>
          <w:szCs w:val="22"/>
          <w:lang w:val="es-ES"/>
        </w:rPr>
        <w:t>results</w:t>
      </w:r>
      <w:proofErr w:type="spellEnd"/>
      <w:r>
        <w:rPr>
          <w:color w:val="000000"/>
          <w:sz w:val="22"/>
          <w:szCs w:val="22"/>
          <w:lang w:val="es-ES"/>
        </w:rPr>
        <w:t xml:space="preserve"> </w:t>
      </w:r>
      <w:proofErr w:type="spellStart"/>
      <w:r>
        <w:rPr>
          <w:color w:val="000000"/>
          <w:sz w:val="22"/>
          <w:szCs w:val="22"/>
          <w:lang w:val="es-ES"/>
        </w:rPr>
        <w:t>from</w:t>
      </w:r>
      <w:proofErr w:type="spellEnd"/>
      <w:r>
        <w:rPr>
          <w:color w:val="000000"/>
          <w:sz w:val="22"/>
          <w:szCs w:val="22"/>
          <w:lang w:val="es-ES"/>
        </w:rPr>
        <w:t xml:space="preserve"> </w:t>
      </w:r>
      <w:proofErr w:type="spellStart"/>
      <w:r>
        <w:rPr>
          <w:color w:val="000000"/>
          <w:sz w:val="22"/>
          <w:szCs w:val="22"/>
          <w:lang w:val="es-ES"/>
        </w:rPr>
        <w:t>the</w:t>
      </w:r>
      <w:proofErr w:type="spellEnd"/>
      <w:r>
        <w:rPr>
          <w:color w:val="000000"/>
          <w:sz w:val="22"/>
          <w:szCs w:val="22"/>
          <w:lang w:val="es-ES"/>
        </w:rPr>
        <w:t xml:space="preserve"> </w:t>
      </w:r>
      <w:proofErr w:type="spellStart"/>
      <w:r>
        <w:rPr>
          <w:color w:val="000000"/>
          <w:sz w:val="22"/>
          <w:szCs w:val="22"/>
          <w:lang w:val="es-ES"/>
        </w:rPr>
        <w:t>inspected</w:t>
      </w:r>
      <w:proofErr w:type="spellEnd"/>
      <w:r>
        <w:rPr>
          <w:color w:val="000000"/>
          <w:sz w:val="22"/>
          <w:szCs w:val="22"/>
          <w:lang w:val="es-ES"/>
        </w:rPr>
        <w:t xml:space="preserve"> </w:t>
      </w:r>
      <w:proofErr w:type="spellStart"/>
      <w:r>
        <w:rPr>
          <w:color w:val="000000"/>
          <w:sz w:val="22"/>
          <w:szCs w:val="22"/>
          <w:lang w:val="es-ES"/>
        </w:rPr>
        <w:t>or</w:t>
      </w:r>
      <w:proofErr w:type="spellEnd"/>
      <w:r>
        <w:rPr>
          <w:color w:val="000000"/>
          <w:sz w:val="22"/>
          <w:szCs w:val="22"/>
          <w:lang w:val="es-ES"/>
        </w:rPr>
        <w:t xml:space="preserve"> </w:t>
      </w:r>
      <w:proofErr w:type="spellStart"/>
      <w:r>
        <w:rPr>
          <w:color w:val="000000"/>
          <w:sz w:val="22"/>
          <w:szCs w:val="22"/>
          <w:lang w:val="es-ES"/>
        </w:rPr>
        <w:t>tested</w:t>
      </w:r>
      <w:proofErr w:type="spellEnd"/>
      <w:r>
        <w:rPr>
          <w:color w:val="000000"/>
          <w:sz w:val="22"/>
          <w:szCs w:val="22"/>
          <w:lang w:val="es-ES"/>
        </w:rPr>
        <w:t xml:space="preserve"> </w:t>
      </w:r>
      <w:proofErr w:type="spellStart"/>
      <w:r>
        <w:rPr>
          <w:color w:val="000000"/>
          <w:sz w:val="22"/>
          <w:szCs w:val="22"/>
          <w:lang w:val="es-ES"/>
        </w:rPr>
        <w:t>meters</w:t>
      </w:r>
      <w:proofErr w:type="spellEnd"/>
      <w:r>
        <w:rPr>
          <w:color w:val="000000"/>
          <w:sz w:val="22"/>
          <w:szCs w:val="22"/>
          <w:lang w:val="es-ES"/>
        </w:rPr>
        <w:t xml:space="preserve"> </w:t>
      </w:r>
      <w:proofErr w:type="spellStart"/>
      <w:r>
        <w:rPr>
          <w:color w:val="000000"/>
          <w:sz w:val="22"/>
          <w:szCs w:val="22"/>
          <w:lang w:val="es-ES"/>
        </w:rPr>
        <w:t>must</w:t>
      </w:r>
      <w:proofErr w:type="spellEnd"/>
      <w:r>
        <w:rPr>
          <w:color w:val="000000"/>
          <w:sz w:val="22"/>
          <w:szCs w:val="22"/>
          <w:lang w:val="es-ES"/>
        </w:rPr>
        <w:t xml:space="preserve"> be </w:t>
      </w:r>
      <w:proofErr w:type="spellStart"/>
      <w:r>
        <w:rPr>
          <w:color w:val="000000"/>
          <w:sz w:val="22"/>
          <w:szCs w:val="22"/>
          <w:lang w:val="es-ES"/>
        </w:rPr>
        <w:t>satisfactory</w:t>
      </w:r>
      <w:proofErr w:type="spellEnd"/>
      <w:r>
        <w:rPr>
          <w:color w:val="000000"/>
          <w:sz w:val="22"/>
          <w:szCs w:val="22"/>
          <w:lang w:val="es-ES"/>
        </w:rPr>
        <w:t xml:space="preserve">. The </w:t>
      </w:r>
      <w:proofErr w:type="spellStart"/>
      <w:r>
        <w:rPr>
          <w:color w:val="000000"/>
          <w:sz w:val="22"/>
          <w:szCs w:val="22"/>
          <w:lang w:val="es-ES"/>
        </w:rPr>
        <w:t>quantity</w:t>
      </w:r>
      <w:proofErr w:type="spellEnd"/>
      <w:r>
        <w:rPr>
          <w:color w:val="000000"/>
          <w:sz w:val="22"/>
          <w:szCs w:val="22"/>
          <w:lang w:val="es-ES"/>
        </w:rPr>
        <w:t xml:space="preserve"> </w:t>
      </w:r>
      <w:proofErr w:type="spellStart"/>
      <w:r>
        <w:rPr>
          <w:color w:val="000000"/>
          <w:sz w:val="22"/>
          <w:szCs w:val="22"/>
          <w:lang w:val="es-ES"/>
        </w:rPr>
        <w:t>will</w:t>
      </w:r>
      <w:proofErr w:type="spellEnd"/>
      <w:r>
        <w:rPr>
          <w:color w:val="000000"/>
          <w:sz w:val="22"/>
          <w:szCs w:val="22"/>
          <w:lang w:val="es-ES"/>
        </w:rPr>
        <w:t xml:space="preserve"> be </w:t>
      </w:r>
      <w:proofErr w:type="spellStart"/>
      <w:r>
        <w:rPr>
          <w:color w:val="000000"/>
          <w:sz w:val="22"/>
          <w:szCs w:val="22"/>
          <w:lang w:val="es-ES"/>
        </w:rPr>
        <w:t>determined</w:t>
      </w:r>
      <w:proofErr w:type="spellEnd"/>
      <w:r>
        <w:rPr>
          <w:color w:val="000000"/>
          <w:sz w:val="22"/>
          <w:szCs w:val="22"/>
          <w:lang w:val="es-ES"/>
        </w:rPr>
        <w:t xml:space="preserve"> </w:t>
      </w:r>
      <w:proofErr w:type="spellStart"/>
      <w:r>
        <w:rPr>
          <w:color w:val="000000"/>
          <w:sz w:val="22"/>
          <w:szCs w:val="22"/>
          <w:lang w:val="es-ES"/>
        </w:rPr>
        <w:t>by</w:t>
      </w:r>
      <w:proofErr w:type="spellEnd"/>
      <w:r>
        <w:rPr>
          <w:color w:val="000000"/>
          <w:sz w:val="22"/>
          <w:szCs w:val="22"/>
          <w:lang w:val="es-ES"/>
        </w:rPr>
        <w:t xml:space="preserve"> </w:t>
      </w:r>
      <w:proofErr w:type="spellStart"/>
      <w:r>
        <w:rPr>
          <w:color w:val="000000"/>
          <w:sz w:val="22"/>
          <w:szCs w:val="22"/>
          <w:lang w:val="es-ES"/>
        </w:rPr>
        <w:t>the</w:t>
      </w:r>
      <w:proofErr w:type="spellEnd"/>
      <w:r>
        <w:rPr>
          <w:color w:val="000000"/>
          <w:sz w:val="22"/>
          <w:szCs w:val="22"/>
          <w:lang w:val="es-ES"/>
        </w:rPr>
        <w:t xml:space="preserve"> OSE </w:t>
      </w:r>
      <w:proofErr w:type="spellStart"/>
      <w:r>
        <w:rPr>
          <w:color w:val="000000"/>
          <w:sz w:val="22"/>
          <w:szCs w:val="22"/>
          <w:lang w:val="es-ES"/>
        </w:rPr>
        <w:t>technician</w:t>
      </w:r>
      <w:proofErr w:type="spellEnd"/>
      <w:r>
        <w:rPr>
          <w:color w:val="000000"/>
          <w:sz w:val="22"/>
          <w:szCs w:val="22"/>
          <w:lang w:val="es-ES"/>
        </w:rPr>
        <w:t xml:space="preserve"> in </w:t>
      </w:r>
      <w:proofErr w:type="spellStart"/>
      <w:r>
        <w:rPr>
          <w:color w:val="000000"/>
          <w:sz w:val="22"/>
          <w:szCs w:val="22"/>
          <w:lang w:val="es-ES"/>
        </w:rPr>
        <w:t>charge</w:t>
      </w:r>
      <w:proofErr w:type="spellEnd"/>
      <w:r>
        <w:rPr>
          <w:color w:val="000000"/>
          <w:sz w:val="22"/>
          <w:szCs w:val="22"/>
          <w:lang w:val="es-ES"/>
        </w:rPr>
        <w:t>.</w:t>
      </w:r>
    </w:p>
    <w:p w14:paraId="235A11A2" w14:textId="77777777" w:rsidR="00E255F4" w:rsidRDefault="00000000">
      <w:pPr>
        <w:pStyle w:val="Prrafodelista"/>
        <w:numPr>
          <w:ilvl w:val="3"/>
          <w:numId w:val="58"/>
        </w:numPr>
        <w:tabs>
          <w:tab w:val="left" w:pos="-720"/>
          <w:tab w:val="left" w:pos="709"/>
        </w:tabs>
        <w:spacing w:before="120" w:after="120"/>
        <w:jc w:val="both"/>
        <w:rPr>
          <w:color w:val="000000"/>
          <w:sz w:val="22"/>
          <w:szCs w:val="22"/>
          <w:lang w:val="es-ES"/>
        </w:rPr>
      </w:pPr>
      <w:proofErr w:type="spellStart"/>
      <w:r>
        <w:rPr>
          <w:color w:val="000000"/>
          <w:sz w:val="22"/>
          <w:szCs w:val="22"/>
          <w:lang w:val="es-ES"/>
        </w:rPr>
        <w:t>Those</w:t>
      </w:r>
      <w:proofErr w:type="spellEnd"/>
      <w:r>
        <w:rPr>
          <w:color w:val="000000"/>
          <w:sz w:val="22"/>
          <w:szCs w:val="22"/>
          <w:lang w:val="es-ES"/>
        </w:rPr>
        <w:t xml:space="preserve"> gauges </w:t>
      </w:r>
      <w:proofErr w:type="spellStart"/>
      <w:r>
        <w:rPr>
          <w:color w:val="000000"/>
          <w:sz w:val="22"/>
          <w:szCs w:val="22"/>
          <w:lang w:val="es-ES"/>
        </w:rPr>
        <w:t>that</w:t>
      </w:r>
      <w:proofErr w:type="spellEnd"/>
      <w:r>
        <w:rPr>
          <w:color w:val="000000"/>
          <w:sz w:val="22"/>
          <w:szCs w:val="22"/>
          <w:lang w:val="es-ES"/>
        </w:rPr>
        <w:t xml:space="preserve"> are </w:t>
      </w:r>
      <w:proofErr w:type="spellStart"/>
      <w:r>
        <w:rPr>
          <w:color w:val="000000"/>
          <w:sz w:val="22"/>
          <w:szCs w:val="22"/>
          <w:lang w:val="es-ES"/>
        </w:rPr>
        <w:t>used</w:t>
      </w:r>
      <w:proofErr w:type="spellEnd"/>
      <w:r>
        <w:rPr>
          <w:color w:val="000000"/>
          <w:sz w:val="22"/>
          <w:szCs w:val="22"/>
          <w:lang w:val="es-ES"/>
        </w:rPr>
        <w:t xml:space="preserve"> </w:t>
      </w:r>
      <w:proofErr w:type="spellStart"/>
      <w:r>
        <w:rPr>
          <w:color w:val="000000"/>
          <w:sz w:val="22"/>
          <w:szCs w:val="22"/>
          <w:lang w:val="es-ES"/>
        </w:rPr>
        <w:t>for</w:t>
      </w:r>
      <w:proofErr w:type="spellEnd"/>
      <w:r>
        <w:rPr>
          <w:color w:val="000000"/>
          <w:sz w:val="22"/>
          <w:szCs w:val="22"/>
          <w:lang w:val="es-ES"/>
        </w:rPr>
        <w:t xml:space="preserve"> </w:t>
      </w:r>
      <w:proofErr w:type="spellStart"/>
      <w:r>
        <w:rPr>
          <w:color w:val="000000"/>
          <w:sz w:val="22"/>
          <w:szCs w:val="22"/>
          <w:lang w:val="es-ES"/>
        </w:rPr>
        <w:t>the</w:t>
      </w:r>
      <w:proofErr w:type="spellEnd"/>
      <w:r>
        <w:rPr>
          <w:color w:val="000000"/>
          <w:sz w:val="22"/>
          <w:szCs w:val="22"/>
          <w:lang w:val="es-ES"/>
        </w:rPr>
        <w:t xml:space="preserve"> </w:t>
      </w:r>
      <w:proofErr w:type="spellStart"/>
      <w:r>
        <w:rPr>
          <w:color w:val="000000"/>
          <w:sz w:val="22"/>
          <w:szCs w:val="22"/>
          <w:lang w:val="es-ES"/>
        </w:rPr>
        <w:t>accelerated</w:t>
      </w:r>
      <w:proofErr w:type="spellEnd"/>
      <w:r>
        <w:rPr>
          <w:color w:val="000000"/>
          <w:sz w:val="22"/>
          <w:szCs w:val="22"/>
          <w:lang w:val="es-ES"/>
        </w:rPr>
        <w:t xml:space="preserve"> </w:t>
      </w:r>
      <w:proofErr w:type="spellStart"/>
      <w:r>
        <w:rPr>
          <w:color w:val="000000"/>
          <w:sz w:val="22"/>
          <w:szCs w:val="22"/>
          <w:lang w:val="es-ES"/>
        </w:rPr>
        <w:t>wear</w:t>
      </w:r>
      <w:proofErr w:type="spellEnd"/>
      <w:r>
        <w:rPr>
          <w:color w:val="000000"/>
          <w:sz w:val="22"/>
          <w:szCs w:val="22"/>
          <w:lang w:val="es-ES"/>
        </w:rPr>
        <w:t xml:space="preserve"> test </w:t>
      </w:r>
      <w:proofErr w:type="spellStart"/>
      <w:r>
        <w:rPr>
          <w:color w:val="000000"/>
          <w:sz w:val="22"/>
          <w:szCs w:val="22"/>
          <w:lang w:val="es-ES"/>
        </w:rPr>
        <w:t>cannot</w:t>
      </w:r>
      <w:proofErr w:type="spellEnd"/>
      <w:r>
        <w:rPr>
          <w:color w:val="000000"/>
          <w:sz w:val="22"/>
          <w:szCs w:val="22"/>
          <w:lang w:val="es-ES"/>
        </w:rPr>
        <w:t xml:space="preserve"> be </w:t>
      </w:r>
      <w:proofErr w:type="spellStart"/>
      <w:r>
        <w:rPr>
          <w:color w:val="000000"/>
          <w:sz w:val="22"/>
          <w:szCs w:val="22"/>
          <w:lang w:val="es-ES"/>
        </w:rPr>
        <w:t>included</w:t>
      </w:r>
      <w:proofErr w:type="spellEnd"/>
      <w:r>
        <w:rPr>
          <w:color w:val="000000"/>
          <w:sz w:val="22"/>
          <w:szCs w:val="22"/>
          <w:lang w:val="es-ES"/>
        </w:rPr>
        <w:t xml:space="preserve"> as </w:t>
      </w:r>
      <w:proofErr w:type="spellStart"/>
      <w:r>
        <w:rPr>
          <w:color w:val="000000"/>
          <w:sz w:val="22"/>
          <w:szCs w:val="22"/>
          <w:lang w:val="es-ES"/>
        </w:rPr>
        <w:t>part</w:t>
      </w:r>
      <w:proofErr w:type="spellEnd"/>
      <w:r>
        <w:rPr>
          <w:color w:val="000000"/>
          <w:sz w:val="22"/>
          <w:szCs w:val="22"/>
          <w:lang w:val="es-ES"/>
        </w:rPr>
        <w:t xml:space="preserve"> </w:t>
      </w:r>
      <w:proofErr w:type="spellStart"/>
      <w:r>
        <w:rPr>
          <w:color w:val="000000"/>
          <w:sz w:val="22"/>
          <w:szCs w:val="22"/>
          <w:lang w:val="es-ES"/>
        </w:rPr>
        <w:t>of</w:t>
      </w:r>
      <w:proofErr w:type="spellEnd"/>
      <w:r>
        <w:rPr>
          <w:color w:val="000000"/>
          <w:sz w:val="22"/>
          <w:szCs w:val="22"/>
          <w:lang w:val="es-ES"/>
        </w:rPr>
        <w:t xml:space="preserve"> </w:t>
      </w:r>
      <w:proofErr w:type="spellStart"/>
      <w:r>
        <w:rPr>
          <w:color w:val="000000"/>
          <w:sz w:val="22"/>
          <w:szCs w:val="22"/>
          <w:lang w:val="es-ES"/>
        </w:rPr>
        <w:t>the</w:t>
      </w:r>
      <w:proofErr w:type="spellEnd"/>
      <w:r>
        <w:rPr>
          <w:color w:val="000000"/>
          <w:sz w:val="22"/>
          <w:szCs w:val="22"/>
          <w:lang w:val="es-ES"/>
        </w:rPr>
        <w:t xml:space="preserve"> total </w:t>
      </w:r>
      <w:proofErr w:type="spellStart"/>
      <w:r>
        <w:rPr>
          <w:color w:val="000000"/>
          <w:sz w:val="22"/>
          <w:szCs w:val="22"/>
          <w:lang w:val="es-ES"/>
        </w:rPr>
        <w:t>quantity</w:t>
      </w:r>
      <w:proofErr w:type="spellEnd"/>
      <w:r>
        <w:rPr>
          <w:color w:val="000000"/>
          <w:sz w:val="22"/>
          <w:szCs w:val="22"/>
          <w:lang w:val="es-ES"/>
        </w:rPr>
        <w:t xml:space="preserve"> </w:t>
      </w:r>
      <w:proofErr w:type="spellStart"/>
      <w:r>
        <w:rPr>
          <w:color w:val="000000"/>
          <w:sz w:val="22"/>
          <w:szCs w:val="22"/>
          <w:lang w:val="es-ES"/>
        </w:rPr>
        <w:t>of</w:t>
      </w:r>
      <w:proofErr w:type="spellEnd"/>
      <w:r>
        <w:rPr>
          <w:color w:val="000000"/>
          <w:sz w:val="22"/>
          <w:szCs w:val="22"/>
          <w:lang w:val="es-ES"/>
        </w:rPr>
        <w:t xml:space="preserve"> </w:t>
      </w:r>
      <w:proofErr w:type="spellStart"/>
      <w:r>
        <w:rPr>
          <w:color w:val="000000"/>
          <w:sz w:val="22"/>
          <w:szCs w:val="22"/>
          <w:lang w:val="es-ES"/>
        </w:rPr>
        <w:t>the</w:t>
      </w:r>
      <w:proofErr w:type="spellEnd"/>
      <w:r>
        <w:rPr>
          <w:color w:val="000000"/>
          <w:sz w:val="22"/>
          <w:szCs w:val="22"/>
          <w:lang w:val="es-ES"/>
        </w:rPr>
        <w:t xml:space="preserve"> </w:t>
      </w:r>
      <w:proofErr w:type="spellStart"/>
      <w:r>
        <w:rPr>
          <w:color w:val="000000"/>
          <w:sz w:val="22"/>
          <w:szCs w:val="22"/>
          <w:lang w:val="es-ES"/>
        </w:rPr>
        <w:t>lot</w:t>
      </w:r>
      <w:proofErr w:type="spellEnd"/>
      <w:r>
        <w:rPr>
          <w:color w:val="000000"/>
          <w:sz w:val="22"/>
          <w:szCs w:val="22"/>
          <w:lang w:val="es-ES"/>
        </w:rPr>
        <w:t xml:space="preserve"> </w:t>
      </w:r>
      <w:proofErr w:type="spellStart"/>
      <w:r>
        <w:rPr>
          <w:color w:val="000000"/>
          <w:sz w:val="22"/>
          <w:szCs w:val="22"/>
          <w:lang w:val="es-ES"/>
        </w:rPr>
        <w:t>to</w:t>
      </w:r>
      <w:proofErr w:type="spellEnd"/>
      <w:r>
        <w:rPr>
          <w:color w:val="000000"/>
          <w:sz w:val="22"/>
          <w:szCs w:val="22"/>
          <w:lang w:val="es-ES"/>
        </w:rPr>
        <w:t xml:space="preserve"> be </w:t>
      </w:r>
      <w:proofErr w:type="spellStart"/>
      <w:r>
        <w:rPr>
          <w:color w:val="000000"/>
          <w:sz w:val="22"/>
          <w:szCs w:val="22"/>
          <w:lang w:val="es-ES"/>
        </w:rPr>
        <w:t>supplied</w:t>
      </w:r>
      <w:proofErr w:type="spellEnd"/>
      <w:r>
        <w:rPr>
          <w:color w:val="000000"/>
          <w:sz w:val="22"/>
          <w:szCs w:val="22"/>
          <w:lang w:val="es-ES"/>
        </w:rPr>
        <w:t xml:space="preserve">, and </w:t>
      </w:r>
      <w:proofErr w:type="spellStart"/>
      <w:r>
        <w:rPr>
          <w:color w:val="000000"/>
          <w:sz w:val="22"/>
          <w:szCs w:val="22"/>
          <w:lang w:val="es-ES"/>
        </w:rPr>
        <w:t>must</w:t>
      </w:r>
      <w:proofErr w:type="spellEnd"/>
      <w:r>
        <w:rPr>
          <w:color w:val="000000"/>
          <w:sz w:val="22"/>
          <w:szCs w:val="22"/>
          <w:lang w:val="es-ES"/>
        </w:rPr>
        <w:t xml:space="preserve"> be </w:t>
      </w:r>
      <w:proofErr w:type="spellStart"/>
      <w:r>
        <w:rPr>
          <w:color w:val="000000"/>
          <w:sz w:val="22"/>
          <w:szCs w:val="22"/>
          <w:lang w:val="es-ES"/>
        </w:rPr>
        <w:t>replaced</w:t>
      </w:r>
      <w:proofErr w:type="spellEnd"/>
      <w:r>
        <w:rPr>
          <w:color w:val="000000"/>
          <w:sz w:val="22"/>
          <w:szCs w:val="22"/>
          <w:lang w:val="es-ES"/>
        </w:rPr>
        <w:t xml:space="preserve"> </w:t>
      </w:r>
      <w:proofErr w:type="spellStart"/>
      <w:r>
        <w:rPr>
          <w:color w:val="000000"/>
          <w:sz w:val="22"/>
          <w:szCs w:val="22"/>
          <w:lang w:val="es-ES"/>
        </w:rPr>
        <w:t>with</w:t>
      </w:r>
      <w:proofErr w:type="spellEnd"/>
      <w:r>
        <w:rPr>
          <w:color w:val="000000"/>
          <w:sz w:val="22"/>
          <w:szCs w:val="22"/>
          <w:lang w:val="es-ES"/>
        </w:rPr>
        <w:t xml:space="preserve"> new </w:t>
      </w:r>
      <w:proofErr w:type="spellStart"/>
      <w:r>
        <w:rPr>
          <w:color w:val="000000"/>
          <w:sz w:val="22"/>
          <w:szCs w:val="22"/>
          <w:lang w:val="es-ES"/>
        </w:rPr>
        <w:t>ones</w:t>
      </w:r>
      <w:proofErr w:type="spellEnd"/>
      <w:r>
        <w:rPr>
          <w:color w:val="000000"/>
          <w:sz w:val="22"/>
          <w:szCs w:val="22"/>
          <w:lang w:val="es-ES"/>
        </w:rPr>
        <w:t>.</w:t>
      </w:r>
    </w:p>
    <w:p w14:paraId="51633244" w14:textId="77777777" w:rsidR="00E255F4" w:rsidRDefault="00000000">
      <w:pPr>
        <w:pStyle w:val="Prrafodelista"/>
        <w:numPr>
          <w:ilvl w:val="3"/>
          <w:numId w:val="58"/>
        </w:numPr>
        <w:tabs>
          <w:tab w:val="left" w:pos="-720"/>
          <w:tab w:val="left" w:pos="709"/>
        </w:tabs>
        <w:spacing w:after="120"/>
        <w:jc w:val="both"/>
        <w:rPr>
          <w:color w:val="000000"/>
          <w:sz w:val="22"/>
          <w:szCs w:val="22"/>
          <w:lang w:val="es-ES"/>
        </w:rPr>
      </w:pPr>
      <w:proofErr w:type="spellStart"/>
      <w:r>
        <w:rPr>
          <w:color w:val="000000"/>
          <w:sz w:val="22"/>
          <w:szCs w:val="22"/>
          <w:lang w:val="es-ES"/>
        </w:rPr>
        <w:t>If</w:t>
      </w:r>
      <w:proofErr w:type="spellEnd"/>
      <w:r>
        <w:rPr>
          <w:color w:val="000000"/>
          <w:sz w:val="22"/>
          <w:szCs w:val="22"/>
          <w:lang w:val="es-ES"/>
        </w:rPr>
        <w:t xml:space="preserve"> </w:t>
      </w:r>
      <w:proofErr w:type="spellStart"/>
      <w:r>
        <w:rPr>
          <w:color w:val="000000"/>
          <w:sz w:val="22"/>
          <w:szCs w:val="22"/>
          <w:lang w:val="es-ES"/>
        </w:rPr>
        <w:t>the</w:t>
      </w:r>
      <w:proofErr w:type="spellEnd"/>
      <w:r>
        <w:rPr>
          <w:color w:val="000000"/>
          <w:sz w:val="22"/>
          <w:szCs w:val="22"/>
          <w:lang w:val="es-ES"/>
        </w:rPr>
        <w:t xml:space="preserve"> </w:t>
      </w:r>
      <w:proofErr w:type="spellStart"/>
      <w:r>
        <w:rPr>
          <w:color w:val="000000"/>
          <w:sz w:val="22"/>
          <w:szCs w:val="22"/>
          <w:lang w:val="es-ES"/>
        </w:rPr>
        <w:t>tested</w:t>
      </w:r>
      <w:proofErr w:type="spellEnd"/>
      <w:r>
        <w:rPr>
          <w:color w:val="000000"/>
          <w:sz w:val="22"/>
          <w:szCs w:val="22"/>
          <w:lang w:val="es-ES"/>
        </w:rPr>
        <w:t xml:space="preserve"> set </w:t>
      </w:r>
      <w:proofErr w:type="spellStart"/>
      <w:r>
        <w:rPr>
          <w:color w:val="000000"/>
          <w:sz w:val="22"/>
          <w:szCs w:val="22"/>
          <w:lang w:val="es-ES"/>
        </w:rPr>
        <w:t>of</w:t>
      </w:r>
      <w:proofErr w:type="spellEnd"/>
      <w:r>
        <w:rPr>
          <w:color w:val="000000"/>
          <w:sz w:val="22"/>
          <w:szCs w:val="22"/>
          <w:lang w:val="es-ES"/>
        </w:rPr>
        <w:t xml:space="preserve"> </w:t>
      </w:r>
      <w:proofErr w:type="spellStart"/>
      <w:r>
        <w:rPr>
          <w:color w:val="000000"/>
          <w:sz w:val="22"/>
          <w:szCs w:val="22"/>
          <w:lang w:val="es-ES"/>
        </w:rPr>
        <w:t>meters</w:t>
      </w:r>
      <w:proofErr w:type="spellEnd"/>
      <w:r>
        <w:rPr>
          <w:color w:val="000000"/>
          <w:sz w:val="22"/>
          <w:szCs w:val="22"/>
          <w:lang w:val="es-ES"/>
        </w:rPr>
        <w:t xml:space="preserve"> </w:t>
      </w:r>
      <w:proofErr w:type="spellStart"/>
      <w:r>
        <w:rPr>
          <w:color w:val="000000"/>
          <w:sz w:val="22"/>
          <w:szCs w:val="22"/>
          <w:lang w:val="es-ES"/>
        </w:rPr>
        <w:t>meets</w:t>
      </w:r>
      <w:proofErr w:type="spellEnd"/>
      <w:r>
        <w:rPr>
          <w:color w:val="000000"/>
          <w:sz w:val="22"/>
          <w:szCs w:val="22"/>
          <w:lang w:val="es-ES"/>
        </w:rPr>
        <w:t xml:space="preserve"> </w:t>
      </w:r>
      <w:proofErr w:type="spellStart"/>
      <w:r>
        <w:rPr>
          <w:color w:val="000000"/>
          <w:sz w:val="22"/>
          <w:szCs w:val="22"/>
          <w:lang w:val="es-ES"/>
        </w:rPr>
        <w:t>the</w:t>
      </w:r>
      <w:proofErr w:type="spellEnd"/>
      <w:r>
        <w:rPr>
          <w:color w:val="000000"/>
          <w:sz w:val="22"/>
          <w:szCs w:val="22"/>
          <w:lang w:val="es-ES"/>
        </w:rPr>
        <w:t xml:space="preserve"> </w:t>
      </w:r>
      <w:proofErr w:type="spellStart"/>
      <w:r>
        <w:rPr>
          <w:color w:val="000000"/>
          <w:sz w:val="22"/>
          <w:szCs w:val="22"/>
          <w:lang w:val="es-ES"/>
        </w:rPr>
        <w:t>above</w:t>
      </w:r>
      <w:proofErr w:type="spellEnd"/>
      <w:r>
        <w:rPr>
          <w:color w:val="000000"/>
          <w:sz w:val="22"/>
          <w:szCs w:val="22"/>
          <w:lang w:val="es-ES"/>
        </w:rPr>
        <w:t xml:space="preserve"> </w:t>
      </w:r>
      <w:proofErr w:type="spellStart"/>
      <w:r>
        <w:rPr>
          <w:color w:val="000000"/>
          <w:sz w:val="22"/>
          <w:szCs w:val="22"/>
          <w:lang w:val="es-ES"/>
        </w:rPr>
        <w:t>requirements</w:t>
      </w:r>
      <w:proofErr w:type="spellEnd"/>
      <w:r>
        <w:rPr>
          <w:color w:val="000000"/>
          <w:sz w:val="22"/>
          <w:szCs w:val="22"/>
          <w:lang w:val="es-ES"/>
        </w:rPr>
        <w:t xml:space="preserve">, </w:t>
      </w:r>
      <w:proofErr w:type="spellStart"/>
      <w:r>
        <w:rPr>
          <w:color w:val="000000"/>
          <w:sz w:val="22"/>
          <w:szCs w:val="22"/>
          <w:lang w:val="es-ES"/>
        </w:rPr>
        <w:t>the</w:t>
      </w:r>
      <w:proofErr w:type="spellEnd"/>
      <w:r>
        <w:rPr>
          <w:color w:val="000000"/>
          <w:sz w:val="22"/>
          <w:szCs w:val="22"/>
          <w:lang w:val="es-ES"/>
        </w:rPr>
        <w:t xml:space="preserve"> respective </w:t>
      </w:r>
      <w:proofErr w:type="spellStart"/>
      <w:r>
        <w:rPr>
          <w:color w:val="000000"/>
          <w:sz w:val="22"/>
          <w:szCs w:val="22"/>
          <w:lang w:val="es-ES"/>
        </w:rPr>
        <w:t>batch</w:t>
      </w:r>
      <w:proofErr w:type="spellEnd"/>
      <w:r>
        <w:rPr>
          <w:color w:val="000000"/>
          <w:sz w:val="22"/>
          <w:szCs w:val="22"/>
          <w:lang w:val="es-ES"/>
        </w:rPr>
        <w:t xml:space="preserve"> </w:t>
      </w:r>
      <w:proofErr w:type="spellStart"/>
      <w:r>
        <w:rPr>
          <w:color w:val="000000"/>
          <w:sz w:val="22"/>
          <w:szCs w:val="22"/>
          <w:lang w:val="es-ES"/>
        </w:rPr>
        <w:t>will</w:t>
      </w:r>
      <w:proofErr w:type="spellEnd"/>
      <w:r>
        <w:rPr>
          <w:color w:val="000000"/>
          <w:sz w:val="22"/>
          <w:szCs w:val="22"/>
          <w:lang w:val="es-ES"/>
        </w:rPr>
        <w:t xml:space="preserve"> be </w:t>
      </w:r>
      <w:proofErr w:type="spellStart"/>
      <w:r>
        <w:rPr>
          <w:color w:val="000000"/>
          <w:sz w:val="22"/>
          <w:szCs w:val="22"/>
          <w:lang w:val="es-ES"/>
        </w:rPr>
        <w:t>declared</w:t>
      </w:r>
      <w:proofErr w:type="spellEnd"/>
      <w:r>
        <w:rPr>
          <w:color w:val="000000"/>
          <w:sz w:val="22"/>
          <w:szCs w:val="22"/>
          <w:lang w:val="es-ES"/>
        </w:rPr>
        <w:t xml:space="preserve"> </w:t>
      </w:r>
      <w:proofErr w:type="spellStart"/>
      <w:r>
        <w:rPr>
          <w:color w:val="000000"/>
          <w:sz w:val="22"/>
          <w:szCs w:val="22"/>
          <w:lang w:val="es-ES"/>
        </w:rPr>
        <w:t>suitable</w:t>
      </w:r>
      <w:proofErr w:type="spellEnd"/>
      <w:r>
        <w:rPr>
          <w:color w:val="000000"/>
          <w:sz w:val="22"/>
          <w:szCs w:val="22"/>
          <w:lang w:val="es-ES"/>
        </w:rPr>
        <w:t xml:space="preserve">, and </w:t>
      </w:r>
      <w:proofErr w:type="spellStart"/>
      <w:r>
        <w:rPr>
          <w:color w:val="000000"/>
          <w:sz w:val="22"/>
          <w:szCs w:val="22"/>
          <w:lang w:val="es-ES"/>
        </w:rPr>
        <w:t>the</w:t>
      </w:r>
      <w:proofErr w:type="spellEnd"/>
      <w:r>
        <w:rPr>
          <w:color w:val="000000"/>
          <w:sz w:val="22"/>
          <w:szCs w:val="22"/>
          <w:lang w:val="es-ES"/>
        </w:rPr>
        <w:t xml:space="preserve"> </w:t>
      </w:r>
      <w:proofErr w:type="spellStart"/>
      <w:r>
        <w:rPr>
          <w:color w:val="000000"/>
          <w:sz w:val="22"/>
          <w:szCs w:val="22"/>
          <w:lang w:val="es-ES"/>
        </w:rPr>
        <w:t>corresponding</w:t>
      </w:r>
      <w:proofErr w:type="spellEnd"/>
      <w:r>
        <w:rPr>
          <w:color w:val="000000"/>
          <w:sz w:val="22"/>
          <w:szCs w:val="22"/>
          <w:lang w:val="es-ES"/>
        </w:rPr>
        <w:t xml:space="preserve"> </w:t>
      </w:r>
      <w:proofErr w:type="spellStart"/>
      <w:r>
        <w:rPr>
          <w:color w:val="000000"/>
          <w:sz w:val="22"/>
          <w:szCs w:val="22"/>
          <w:lang w:val="es-ES"/>
        </w:rPr>
        <w:t>report</w:t>
      </w:r>
      <w:proofErr w:type="spellEnd"/>
      <w:r>
        <w:rPr>
          <w:color w:val="000000"/>
          <w:sz w:val="22"/>
          <w:szCs w:val="22"/>
          <w:lang w:val="es-ES"/>
        </w:rPr>
        <w:t xml:space="preserve"> </w:t>
      </w:r>
      <w:proofErr w:type="spellStart"/>
      <w:r>
        <w:rPr>
          <w:color w:val="000000"/>
          <w:sz w:val="22"/>
          <w:szCs w:val="22"/>
          <w:lang w:val="es-ES"/>
        </w:rPr>
        <w:t>will</w:t>
      </w:r>
      <w:proofErr w:type="spellEnd"/>
      <w:r>
        <w:rPr>
          <w:color w:val="000000"/>
          <w:sz w:val="22"/>
          <w:szCs w:val="22"/>
          <w:lang w:val="es-ES"/>
        </w:rPr>
        <w:t xml:space="preserve"> be </w:t>
      </w:r>
      <w:proofErr w:type="spellStart"/>
      <w:r>
        <w:rPr>
          <w:color w:val="000000"/>
          <w:sz w:val="22"/>
          <w:szCs w:val="22"/>
          <w:lang w:val="es-ES"/>
        </w:rPr>
        <w:t>drawn</w:t>
      </w:r>
      <w:proofErr w:type="spellEnd"/>
      <w:r>
        <w:rPr>
          <w:color w:val="000000"/>
          <w:sz w:val="22"/>
          <w:szCs w:val="22"/>
          <w:lang w:val="es-ES"/>
        </w:rPr>
        <w:t xml:space="preserve"> up, </w:t>
      </w:r>
      <w:proofErr w:type="spellStart"/>
      <w:r>
        <w:rPr>
          <w:color w:val="000000"/>
          <w:sz w:val="22"/>
          <w:szCs w:val="22"/>
          <w:lang w:val="es-ES"/>
        </w:rPr>
        <w:t>attaching</w:t>
      </w:r>
      <w:proofErr w:type="spellEnd"/>
      <w:r>
        <w:rPr>
          <w:color w:val="000000"/>
          <w:sz w:val="22"/>
          <w:szCs w:val="22"/>
          <w:lang w:val="es-ES"/>
        </w:rPr>
        <w:t xml:space="preserve"> </w:t>
      </w:r>
      <w:proofErr w:type="spellStart"/>
      <w:r>
        <w:rPr>
          <w:color w:val="000000"/>
          <w:sz w:val="22"/>
          <w:szCs w:val="22"/>
          <w:lang w:val="es-ES"/>
        </w:rPr>
        <w:t>the</w:t>
      </w:r>
      <w:proofErr w:type="spellEnd"/>
      <w:r>
        <w:rPr>
          <w:color w:val="000000"/>
          <w:sz w:val="22"/>
          <w:szCs w:val="22"/>
          <w:lang w:val="es-ES"/>
        </w:rPr>
        <w:t xml:space="preserve"> </w:t>
      </w:r>
      <w:proofErr w:type="spellStart"/>
      <w:r>
        <w:rPr>
          <w:color w:val="000000"/>
          <w:sz w:val="22"/>
          <w:szCs w:val="22"/>
          <w:lang w:val="es-ES"/>
        </w:rPr>
        <w:t>results</w:t>
      </w:r>
      <w:proofErr w:type="spellEnd"/>
      <w:r>
        <w:rPr>
          <w:color w:val="000000"/>
          <w:sz w:val="22"/>
          <w:szCs w:val="22"/>
          <w:lang w:val="es-ES"/>
        </w:rPr>
        <w:t xml:space="preserve"> </w:t>
      </w:r>
      <w:proofErr w:type="spellStart"/>
      <w:r>
        <w:rPr>
          <w:color w:val="000000"/>
          <w:sz w:val="22"/>
          <w:szCs w:val="22"/>
          <w:lang w:val="es-ES"/>
        </w:rPr>
        <w:t>sheets</w:t>
      </w:r>
      <w:proofErr w:type="spellEnd"/>
      <w:r>
        <w:rPr>
          <w:color w:val="000000"/>
          <w:sz w:val="22"/>
          <w:szCs w:val="22"/>
          <w:lang w:val="es-ES"/>
        </w:rPr>
        <w:t xml:space="preserve"> </w:t>
      </w:r>
      <w:proofErr w:type="spellStart"/>
      <w:r>
        <w:rPr>
          <w:color w:val="000000"/>
          <w:sz w:val="22"/>
          <w:szCs w:val="22"/>
          <w:lang w:val="es-ES"/>
        </w:rPr>
        <w:t>for</w:t>
      </w:r>
      <w:proofErr w:type="spellEnd"/>
      <w:r>
        <w:rPr>
          <w:color w:val="000000"/>
          <w:sz w:val="22"/>
          <w:szCs w:val="22"/>
          <w:lang w:val="es-ES"/>
        </w:rPr>
        <w:t xml:space="preserve"> </w:t>
      </w:r>
      <w:proofErr w:type="spellStart"/>
      <w:r>
        <w:rPr>
          <w:color w:val="000000"/>
          <w:sz w:val="22"/>
          <w:szCs w:val="22"/>
          <w:lang w:val="es-ES"/>
        </w:rPr>
        <w:t>all</w:t>
      </w:r>
      <w:proofErr w:type="spellEnd"/>
      <w:r>
        <w:rPr>
          <w:color w:val="000000"/>
          <w:sz w:val="22"/>
          <w:szCs w:val="22"/>
          <w:lang w:val="es-ES"/>
        </w:rPr>
        <w:t xml:space="preserve"> </w:t>
      </w:r>
      <w:proofErr w:type="spellStart"/>
      <w:r>
        <w:rPr>
          <w:color w:val="000000"/>
          <w:sz w:val="22"/>
          <w:szCs w:val="22"/>
          <w:lang w:val="es-ES"/>
        </w:rPr>
        <w:t>tests</w:t>
      </w:r>
      <w:proofErr w:type="spellEnd"/>
      <w:r>
        <w:rPr>
          <w:color w:val="000000"/>
          <w:sz w:val="22"/>
          <w:szCs w:val="22"/>
          <w:lang w:val="es-ES"/>
        </w:rPr>
        <w:t xml:space="preserve"> </w:t>
      </w:r>
      <w:proofErr w:type="spellStart"/>
      <w:r>
        <w:rPr>
          <w:color w:val="000000"/>
          <w:sz w:val="22"/>
          <w:szCs w:val="22"/>
          <w:lang w:val="es-ES"/>
        </w:rPr>
        <w:t>performed</w:t>
      </w:r>
      <w:proofErr w:type="spellEnd"/>
      <w:r>
        <w:rPr>
          <w:color w:val="000000"/>
          <w:sz w:val="22"/>
          <w:szCs w:val="22"/>
          <w:lang w:val="es-ES"/>
        </w:rPr>
        <w:t xml:space="preserve"> </w:t>
      </w:r>
      <w:proofErr w:type="spellStart"/>
      <w:r>
        <w:rPr>
          <w:color w:val="000000"/>
          <w:sz w:val="22"/>
          <w:szCs w:val="22"/>
          <w:lang w:val="es-ES"/>
        </w:rPr>
        <w:t>along</w:t>
      </w:r>
      <w:proofErr w:type="spellEnd"/>
      <w:r>
        <w:rPr>
          <w:color w:val="000000"/>
          <w:sz w:val="22"/>
          <w:szCs w:val="22"/>
          <w:lang w:val="es-ES"/>
        </w:rPr>
        <w:t xml:space="preserve"> </w:t>
      </w:r>
      <w:proofErr w:type="spellStart"/>
      <w:r>
        <w:rPr>
          <w:color w:val="000000"/>
          <w:sz w:val="22"/>
          <w:szCs w:val="22"/>
          <w:lang w:val="es-ES"/>
        </w:rPr>
        <w:t>with</w:t>
      </w:r>
      <w:proofErr w:type="spellEnd"/>
      <w:r>
        <w:rPr>
          <w:color w:val="000000"/>
          <w:sz w:val="22"/>
          <w:szCs w:val="22"/>
          <w:lang w:val="es-ES"/>
        </w:rPr>
        <w:t xml:space="preserve"> </w:t>
      </w:r>
      <w:proofErr w:type="spellStart"/>
      <w:r>
        <w:rPr>
          <w:color w:val="000000"/>
          <w:sz w:val="22"/>
          <w:szCs w:val="22"/>
          <w:lang w:val="es-ES"/>
        </w:rPr>
        <w:t>any</w:t>
      </w:r>
      <w:proofErr w:type="spellEnd"/>
      <w:r>
        <w:rPr>
          <w:color w:val="000000"/>
          <w:sz w:val="22"/>
          <w:szCs w:val="22"/>
          <w:lang w:val="es-ES"/>
        </w:rPr>
        <w:t xml:space="preserve"> </w:t>
      </w:r>
      <w:proofErr w:type="spellStart"/>
      <w:r>
        <w:rPr>
          <w:color w:val="000000"/>
          <w:sz w:val="22"/>
          <w:szCs w:val="22"/>
          <w:lang w:val="es-ES"/>
        </w:rPr>
        <w:t>relevant</w:t>
      </w:r>
      <w:proofErr w:type="spellEnd"/>
      <w:r>
        <w:rPr>
          <w:color w:val="000000"/>
          <w:sz w:val="22"/>
          <w:szCs w:val="22"/>
          <w:lang w:val="es-ES"/>
        </w:rPr>
        <w:t xml:space="preserve"> </w:t>
      </w:r>
      <w:proofErr w:type="spellStart"/>
      <w:r>
        <w:rPr>
          <w:color w:val="000000"/>
          <w:sz w:val="22"/>
          <w:szCs w:val="22"/>
          <w:lang w:val="es-ES"/>
        </w:rPr>
        <w:t>observations</w:t>
      </w:r>
      <w:proofErr w:type="spellEnd"/>
      <w:r>
        <w:rPr>
          <w:color w:val="000000"/>
          <w:sz w:val="22"/>
          <w:szCs w:val="22"/>
          <w:lang w:val="es-ES"/>
        </w:rPr>
        <w:t xml:space="preserve">. </w:t>
      </w:r>
      <w:proofErr w:type="spellStart"/>
      <w:r>
        <w:rPr>
          <w:color w:val="000000"/>
          <w:sz w:val="22"/>
          <w:szCs w:val="22"/>
          <w:lang w:val="es-ES"/>
        </w:rPr>
        <w:t>Three</w:t>
      </w:r>
      <w:proofErr w:type="spellEnd"/>
      <w:r>
        <w:rPr>
          <w:color w:val="000000"/>
          <w:sz w:val="22"/>
          <w:szCs w:val="22"/>
          <w:lang w:val="es-ES"/>
        </w:rPr>
        <w:t xml:space="preserve"> copies </w:t>
      </w:r>
      <w:proofErr w:type="spellStart"/>
      <w:r>
        <w:rPr>
          <w:color w:val="000000"/>
          <w:sz w:val="22"/>
          <w:szCs w:val="22"/>
          <w:lang w:val="es-ES"/>
        </w:rPr>
        <w:t>will</w:t>
      </w:r>
      <w:proofErr w:type="spellEnd"/>
      <w:r>
        <w:rPr>
          <w:color w:val="000000"/>
          <w:sz w:val="22"/>
          <w:szCs w:val="22"/>
          <w:lang w:val="es-ES"/>
        </w:rPr>
        <w:t xml:space="preserve"> be </w:t>
      </w:r>
      <w:proofErr w:type="spellStart"/>
      <w:r>
        <w:rPr>
          <w:color w:val="000000"/>
          <w:sz w:val="22"/>
          <w:szCs w:val="22"/>
          <w:lang w:val="es-ES"/>
        </w:rPr>
        <w:t>made</w:t>
      </w:r>
      <w:proofErr w:type="spellEnd"/>
      <w:r>
        <w:rPr>
          <w:color w:val="000000"/>
          <w:sz w:val="22"/>
          <w:szCs w:val="22"/>
          <w:lang w:val="es-ES"/>
        </w:rPr>
        <w:t xml:space="preserve">: </w:t>
      </w:r>
      <w:proofErr w:type="spellStart"/>
      <w:r>
        <w:rPr>
          <w:color w:val="000000"/>
          <w:sz w:val="22"/>
          <w:szCs w:val="22"/>
          <w:lang w:val="es-ES"/>
        </w:rPr>
        <w:t>one</w:t>
      </w:r>
      <w:proofErr w:type="spellEnd"/>
      <w:r>
        <w:rPr>
          <w:color w:val="000000"/>
          <w:sz w:val="22"/>
          <w:szCs w:val="22"/>
          <w:lang w:val="es-ES"/>
        </w:rPr>
        <w:t xml:space="preserve"> </w:t>
      </w:r>
      <w:proofErr w:type="spellStart"/>
      <w:r>
        <w:rPr>
          <w:color w:val="000000"/>
          <w:sz w:val="22"/>
          <w:szCs w:val="22"/>
          <w:lang w:val="es-ES"/>
        </w:rPr>
        <w:t>for</w:t>
      </w:r>
      <w:proofErr w:type="spellEnd"/>
      <w:r>
        <w:rPr>
          <w:color w:val="000000"/>
          <w:sz w:val="22"/>
          <w:szCs w:val="22"/>
          <w:lang w:val="es-ES"/>
        </w:rPr>
        <w:t xml:space="preserve"> </w:t>
      </w:r>
      <w:proofErr w:type="spellStart"/>
      <w:r>
        <w:rPr>
          <w:color w:val="000000"/>
          <w:sz w:val="22"/>
          <w:szCs w:val="22"/>
          <w:lang w:val="es-ES"/>
        </w:rPr>
        <w:t>the</w:t>
      </w:r>
      <w:proofErr w:type="spellEnd"/>
      <w:r>
        <w:rPr>
          <w:color w:val="000000"/>
          <w:sz w:val="22"/>
          <w:szCs w:val="22"/>
          <w:lang w:val="es-ES"/>
        </w:rPr>
        <w:t xml:space="preserve"> </w:t>
      </w:r>
      <w:proofErr w:type="spellStart"/>
      <w:r>
        <w:rPr>
          <w:color w:val="000000"/>
          <w:sz w:val="22"/>
          <w:szCs w:val="22"/>
          <w:lang w:val="es-ES"/>
        </w:rPr>
        <w:t>buyer</w:t>
      </w:r>
      <w:proofErr w:type="spellEnd"/>
      <w:r>
        <w:rPr>
          <w:color w:val="000000"/>
          <w:sz w:val="22"/>
          <w:szCs w:val="22"/>
          <w:lang w:val="es-ES"/>
        </w:rPr>
        <w:t xml:space="preserve"> (OSE), </w:t>
      </w:r>
      <w:proofErr w:type="spellStart"/>
      <w:r>
        <w:rPr>
          <w:color w:val="000000"/>
          <w:sz w:val="22"/>
          <w:szCs w:val="22"/>
          <w:lang w:val="es-ES"/>
        </w:rPr>
        <w:t>one</w:t>
      </w:r>
      <w:proofErr w:type="spellEnd"/>
      <w:r>
        <w:rPr>
          <w:color w:val="000000"/>
          <w:sz w:val="22"/>
          <w:szCs w:val="22"/>
          <w:lang w:val="es-ES"/>
        </w:rPr>
        <w:t xml:space="preserve"> </w:t>
      </w:r>
      <w:proofErr w:type="spellStart"/>
      <w:r>
        <w:rPr>
          <w:color w:val="000000"/>
          <w:sz w:val="22"/>
          <w:szCs w:val="22"/>
          <w:lang w:val="es-ES"/>
        </w:rPr>
        <w:t>for</w:t>
      </w:r>
      <w:proofErr w:type="spellEnd"/>
      <w:r>
        <w:rPr>
          <w:color w:val="000000"/>
          <w:sz w:val="22"/>
          <w:szCs w:val="22"/>
          <w:lang w:val="es-ES"/>
        </w:rPr>
        <w:t xml:space="preserve"> </w:t>
      </w:r>
      <w:proofErr w:type="spellStart"/>
      <w:r>
        <w:rPr>
          <w:color w:val="000000"/>
          <w:sz w:val="22"/>
          <w:szCs w:val="22"/>
          <w:lang w:val="es-ES"/>
        </w:rPr>
        <w:t>the</w:t>
      </w:r>
      <w:proofErr w:type="spellEnd"/>
      <w:r>
        <w:rPr>
          <w:color w:val="000000"/>
          <w:sz w:val="22"/>
          <w:szCs w:val="22"/>
          <w:lang w:val="es-ES"/>
        </w:rPr>
        <w:t xml:space="preserve"> </w:t>
      </w:r>
      <w:proofErr w:type="spellStart"/>
      <w:r>
        <w:rPr>
          <w:color w:val="000000"/>
          <w:sz w:val="22"/>
          <w:szCs w:val="22"/>
          <w:lang w:val="es-ES"/>
        </w:rPr>
        <w:t>supplier</w:t>
      </w:r>
      <w:proofErr w:type="spellEnd"/>
      <w:r>
        <w:rPr>
          <w:color w:val="000000"/>
          <w:sz w:val="22"/>
          <w:szCs w:val="22"/>
          <w:lang w:val="es-ES"/>
        </w:rPr>
        <w:t xml:space="preserve">, and </w:t>
      </w:r>
      <w:proofErr w:type="spellStart"/>
      <w:r>
        <w:rPr>
          <w:color w:val="000000"/>
          <w:sz w:val="22"/>
          <w:szCs w:val="22"/>
          <w:lang w:val="es-ES"/>
        </w:rPr>
        <w:t>one</w:t>
      </w:r>
      <w:proofErr w:type="spellEnd"/>
      <w:r>
        <w:rPr>
          <w:color w:val="000000"/>
          <w:sz w:val="22"/>
          <w:szCs w:val="22"/>
          <w:lang w:val="es-ES"/>
        </w:rPr>
        <w:t xml:space="preserve"> </w:t>
      </w:r>
      <w:proofErr w:type="spellStart"/>
      <w:r>
        <w:rPr>
          <w:color w:val="000000"/>
          <w:sz w:val="22"/>
          <w:szCs w:val="22"/>
          <w:lang w:val="es-ES"/>
        </w:rPr>
        <w:t>for</w:t>
      </w:r>
      <w:proofErr w:type="spellEnd"/>
      <w:r>
        <w:rPr>
          <w:color w:val="000000"/>
          <w:sz w:val="22"/>
          <w:szCs w:val="22"/>
          <w:lang w:val="es-ES"/>
        </w:rPr>
        <w:t xml:space="preserve"> </w:t>
      </w:r>
      <w:proofErr w:type="spellStart"/>
      <w:r>
        <w:rPr>
          <w:color w:val="000000"/>
          <w:sz w:val="22"/>
          <w:szCs w:val="22"/>
          <w:lang w:val="es-ES"/>
        </w:rPr>
        <w:t>the</w:t>
      </w:r>
      <w:proofErr w:type="spellEnd"/>
      <w:r>
        <w:rPr>
          <w:color w:val="000000"/>
          <w:sz w:val="22"/>
          <w:szCs w:val="22"/>
          <w:lang w:val="es-ES"/>
        </w:rPr>
        <w:t xml:space="preserve"> </w:t>
      </w:r>
      <w:proofErr w:type="spellStart"/>
      <w:r>
        <w:rPr>
          <w:color w:val="000000"/>
          <w:sz w:val="22"/>
          <w:szCs w:val="22"/>
          <w:lang w:val="es-ES"/>
        </w:rPr>
        <w:t>certifying</w:t>
      </w:r>
      <w:proofErr w:type="spellEnd"/>
      <w:r>
        <w:rPr>
          <w:color w:val="000000"/>
          <w:sz w:val="22"/>
          <w:szCs w:val="22"/>
          <w:lang w:val="es-ES"/>
        </w:rPr>
        <w:t xml:space="preserve"> </w:t>
      </w:r>
      <w:proofErr w:type="spellStart"/>
      <w:r>
        <w:rPr>
          <w:color w:val="000000"/>
          <w:sz w:val="22"/>
          <w:szCs w:val="22"/>
          <w:lang w:val="es-ES"/>
        </w:rPr>
        <w:t>entity</w:t>
      </w:r>
      <w:proofErr w:type="spellEnd"/>
      <w:r>
        <w:rPr>
          <w:color w:val="000000"/>
          <w:sz w:val="22"/>
          <w:szCs w:val="22"/>
          <w:lang w:val="es-ES"/>
        </w:rPr>
        <w:t xml:space="preserve">. </w:t>
      </w:r>
      <w:proofErr w:type="spellStart"/>
      <w:r>
        <w:rPr>
          <w:color w:val="000000"/>
          <w:sz w:val="22"/>
          <w:szCs w:val="22"/>
          <w:lang w:val="es-ES"/>
        </w:rPr>
        <w:t>All</w:t>
      </w:r>
      <w:proofErr w:type="spellEnd"/>
      <w:r>
        <w:rPr>
          <w:color w:val="000000"/>
          <w:sz w:val="22"/>
          <w:szCs w:val="22"/>
          <w:lang w:val="es-ES"/>
        </w:rPr>
        <w:t xml:space="preserve"> copies </w:t>
      </w:r>
      <w:proofErr w:type="spellStart"/>
      <w:r>
        <w:rPr>
          <w:color w:val="000000"/>
          <w:sz w:val="22"/>
          <w:szCs w:val="22"/>
          <w:lang w:val="es-ES"/>
        </w:rPr>
        <w:t>must</w:t>
      </w:r>
      <w:proofErr w:type="spellEnd"/>
      <w:r>
        <w:rPr>
          <w:color w:val="000000"/>
          <w:sz w:val="22"/>
          <w:szCs w:val="22"/>
          <w:lang w:val="es-ES"/>
        </w:rPr>
        <w:t xml:space="preserve"> be </w:t>
      </w:r>
      <w:proofErr w:type="spellStart"/>
      <w:r>
        <w:rPr>
          <w:color w:val="000000"/>
          <w:sz w:val="22"/>
          <w:szCs w:val="22"/>
          <w:lang w:val="es-ES"/>
        </w:rPr>
        <w:t>signed</w:t>
      </w:r>
      <w:proofErr w:type="spellEnd"/>
      <w:r>
        <w:rPr>
          <w:color w:val="000000"/>
          <w:sz w:val="22"/>
          <w:szCs w:val="22"/>
          <w:lang w:val="es-ES"/>
        </w:rPr>
        <w:t xml:space="preserve"> </w:t>
      </w:r>
      <w:proofErr w:type="spellStart"/>
      <w:r>
        <w:rPr>
          <w:color w:val="000000"/>
          <w:sz w:val="22"/>
          <w:szCs w:val="22"/>
          <w:lang w:val="es-ES"/>
        </w:rPr>
        <w:t>by</w:t>
      </w:r>
      <w:proofErr w:type="spellEnd"/>
      <w:r>
        <w:rPr>
          <w:color w:val="000000"/>
          <w:sz w:val="22"/>
          <w:szCs w:val="22"/>
          <w:lang w:val="es-ES"/>
        </w:rPr>
        <w:t xml:space="preserve"> </w:t>
      </w:r>
      <w:proofErr w:type="spellStart"/>
      <w:r>
        <w:rPr>
          <w:color w:val="000000"/>
          <w:sz w:val="22"/>
          <w:szCs w:val="22"/>
          <w:lang w:val="es-ES"/>
        </w:rPr>
        <w:t>the</w:t>
      </w:r>
      <w:proofErr w:type="spellEnd"/>
      <w:r>
        <w:rPr>
          <w:color w:val="000000"/>
          <w:sz w:val="22"/>
          <w:szCs w:val="22"/>
          <w:lang w:val="es-ES"/>
        </w:rPr>
        <w:t xml:space="preserve"> </w:t>
      </w:r>
      <w:proofErr w:type="spellStart"/>
      <w:r>
        <w:rPr>
          <w:color w:val="000000"/>
          <w:sz w:val="22"/>
          <w:szCs w:val="22"/>
          <w:lang w:val="es-ES"/>
        </w:rPr>
        <w:t>responsible</w:t>
      </w:r>
      <w:proofErr w:type="spellEnd"/>
      <w:r>
        <w:rPr>
          <w:color w:val="000000"/>
          <w:sz w:val="22"/>
          <w:szCs w:val="22"/>
          <w:lang w:val="es-ES"/>
        </w:rPr>
        <w:t xml:space="preserve"> </w:t>
      </w:r>
      <w:proofErr w:type="spellStart"/>
      <w:r>
        <w:rPr>
          <w:color w:val="000000"/>
          <w:sz w:val="22"/>
          <w:szCs w:val="22"/>
          <w:lang w:val="es-ES"/>
        </w:rPr>
        <w:t>parties</w:t>
      </w:r>
      <w:proofErr w:type="spellEnd"/>
      <w:r>
        <w:rPr>
          <w:color w:val="000000"/>
          <w:sz w:val="22"/>
          <w:szCs w:val="22"/>
          <w:lang w:val="es-ES"/>
        </w:rPr>
        <w:t>.</w:t>
      </w:r>
    </w:p>
    <w:p w14:paraId="658C404E" w14:textId="77777777" w:rsidR="00E255F4" w:rsidRDefault="00000000">
      <w:pPr>
        <w:pStyle w:val="Prrafodelista"/>
        <w:numPr>
          <w:ilvl w:val="3"/>
          <w:numId w:val="58"/>
        </w:numPr>
        <w:tabs>
          <w:tab w:val="left" w:pos="-720"/>
          <w:tab w:val="left" w:pos="709"/>
        </w:tabs>
        <w:spacing w:after="120"/>
        <w:jc w:val="both"/>
        <w:rPr>
          <w:color w:val="000000"/>
          <w:sz w:val="22"/>
          <w:szCs w:val="22"/>
          <w:lang w:val="es-ES"/>
        </w:rPr>
      </w:pPr>
      <w:proofErr w:type="spellStart"/>
      <w:r>
        <w:rPr>
          <w:color w:val="000000"/>
          <w:sz w:val="22"/>
          <w:szCs w:val="22"/>
          <w:lang w:val="es-ES"/>
        </w:rPr>
        <w:t>One</w:t>
      </w:r>
      <w:proofErr w:type="spellEnd"/>
      <w:r>
        <w:rPr>
          <w:color w:val="000000"/>
          <w:sz w:val="22"/>
          <w:szCs w:val="22"/>
          <w:lang w:val="es-ES"/>
        </w:rPr>
        <w:t xml:space="preserve"> </w:t>
      </w:r>
      <w:proofErr w:type="spellStart"/>
      <w:r>
        <w:rPr>
          <w:color w:val="000000"/>
          <w:sz w:val="22"/>
          <w:szCs w:val="22"/>
          <w:lang w:val="es-ES"/>
        </w:rPr>
        <w:t>of</w:t>
      </w:r>
      <w:proofErr w:type="spellEnd"/>
      <w:r>
        <w:rPr>
          <w:color w:val="000000"/>
          <w:sz w:val="22"/>
          <w:szCs w:val="22"/>
          <w:lang w:val="es-ES"/>
        </w:rPr>
        <w:t xml:space="preserve"> </w:t>
      </w:r>
      <w:proofErr w:type="spellStart"/>
      <w:r>
        <w:rPr>
          <w:color w:val="000000"/>
          <w:sz w:val="22"/>
          <w:szCs w:val="22"/>
          <w:lang w:val="es-ES"/>
        </w:rPr>
        <w:t>these</w:t>
      </w:r>
      <w:proofErr w:type="spellEnd"/>
      <w:r>
        <w:rPr>
          <w:color w:val="000000"/>
          <w:sz w:val="22"/>
          <w:szCs w:val="22"/>
          <w:lang w:val="es-ES"/>
        </w:rPr>
        <w:t xml:space="preserve"> </w:t>
      </w:r>
      <w:proofErr w:type="spellStart"/>
      <w:r>
        <w:rPr>
          <w:color w:val="000000"/>
          <w:sz w:val="22"/>
          <w:szCs w:val="22"/>
          <w:lang w:val="es-ES"/>
        </w:rPr>
        <w:t>documents</w:t>
      </w:r>
      <w:proofErr w:type="spellEnd"/>
      <w:r>
        <w:rPr>
          <w:color w:val="000000"/>
          <w:sz w:val="22"/>
          <w:szCs w:val="22"/>
          <w:lang w:val="es-ES"/>
        </w:rPr>
        <w:t xml:space="preserve"> </w:t>
      </w:r>
      <w:proofErr w:type="spellStart"/>
      <w:r>
        <w:rPr>
          <w:color w:val="000000"/>
          <w:sz w:val="22"/>
          <w:szCs w:val="22"/>
          <w:lang w:val="es-ES"/>
        </w:rPr>
        <w:t>must</w:t>
      </w:r>
      <w:proofErr w:type="spellEnd"/>
      <w:r>
        <w:rPr>
          <w:color w:val="000000"/>
          <w:sz w:val="22"/>
          <w:szCs w:val="22"/>
          <w:lang w:val="es-ES"/>
        </w:rPr>
        <w:t xml:space="preserve"> be </w:t>
      </w:r>
      <w:proofErr w:type="spellStart"/>
      <w:r>
        <w:rPr>
          <w:color w:val="000000"/>
          <w:sz w:val="22"/>
          <w:szCs w:val="22"/>
          <w:lang w:val="es-ES"/>
        </w:rPr>
        <w:t>submitted</w:t>
      </w:r>
      <w:proofErr w:type="spellEnd"/>
      <w:r>
        <w:rPr>
          <w:color w:val="000000"/>
          <w:sz w:val="22"/>
          <w:szCs w:val="22"/>
          <w:lang w:val="es-ES"/>
        </w:rPr>
        <w:t xml:space="preserve"> </w:t>
      </w:r>
      <w:proofErr w:type="spellStart"/>
      <w:r>
        <w:rPr>
          <w:color w:val="000000"/>
          <w:sz w:val="22"/>
          <w:szCs w:val="22"/>
          <w:lang w:val="es-ES"/>
        </w:rPr>
        <w:t>to</w:t>
      </w:r>
      <w:proofErr w:type="spellEnd"/>
      <w:r>
        <w:rPr>
          <w:color w:val="000000"/>
          <w:sz w:val="22"/>
          <w:szCs w:val="22"/>
          <w:lang w:val="es-ES"/>
        </w:rPr>
        <w:t xml:space="preserve"> </w:t>
      </w:r>
      <w:proofErr w:type="spellStart"/>
      <w:r>
        <w:rPr>
          <w:color w:val="000000"/>
          <w:sz w:val="22"/>
          <w:szCs w:val="22"/>
          <w:lang w:val="es-ES"/>
        </w:rPr>
        <w:t>the</w:t>
      </w:r>
      <w:proofErr w:type="spellEnd"/>
      <w:r>
        <w:rPr>
          <w:color w:val="000000"/>
          <w:sz w:val="22"/>
          <w:szCs w:val="22"/>
          <w:lang w:val="es-ES"/>
        </w:rPr>
        <w:t xml:space="preserve"> </w:t>
      </w:r>
      <w:proofErr w:type="spellStart"/>
      <w:r>
        <w:rPr>
          <w:color w:val="000000"/>
          <w:sz w:val="22"/>
          <w:szCs w:val="22"/>
          <w:lang w:val="es-ES"/>
        </w:rPr>
        <w:t>Administration</w:t>
      </w:r>
      <w:proofErr w:type="spellEnd"/>
      <w:r>
        <w:rPr>
          <w:color w:val="000000"/>
          <w:sz w:val="22"/>
          <w:szCs w:val="22"/>
          <w:lang w:val="es-ES"/>
        </w:rPr>
        <w:t xml:space="preserve"> </w:t>
      </w:r>
      <w:proofErr w:type="spellStart"/>
      <w:r>
        <w:rPr>
          <w:color w:val="000000"/>
          <w:sz w:val="22"/>
          <w:szCs w:val="22"/>
          <w:lang w:val="es-ES"/>
        </w:rPr>
        <w:t>technician</w:t>
      </w:r>
      <w:proofErr w:type="spellEnd"/>
      <w:r>
        <w:rPr>
          <w:color w:val="000000"/>
          <w:sz w:val="22"/>
          <w:szCs w:val="22"/>
          <w:lang w:val="es-ES"/>
        </w:rPr>
        <w:t xml:space="preserve"> </w:t>
      </w:r>
      <w:proofErr w:type="spellStart"/>
      <w:r>
        <w:rPr>
          <w:color w:val="000000"/>
          <w:sz w:val="22"/>
          <w:szCs w:val="22"/>
          <w:lang w:val="es-ES"/>
        </w:rPr>
        <w:t>present</w:t>
      </w:r>
      <w:proofErr w:type="spellEnd"/>
      <w:r>
        <w:rPr>
          <w:color w:val="000000"/>
          <w:sz w:val="22"/>
          <w:szCs w:val="22"/>
          <w:lang w:val="es-ES"/>
        </w:rPr>
        <w:t xml:space="preserve">, </w:t>
      </w:r>
      <w:proofErr w:type="spellStart"/>
      <w:r>
        <w:rPr>
          <w:color w:val="000000"/>
          <w:sz w:val="22"/>
          <w:szCs w:val="22"/>
          <w:lang w:val="es-ES"/>
        </w:rPr>
        <w:t>or</w:t>
      </w:r>
      <w:proofErr w:type="spellEnd"/>
      <w:r>
        <w:rPr>
          <w:color w:val="000000"/>
          <w:sz w:val="22"/>
          <w:szCs w:val="22"/>
          <w:lang w:val="es-ES"/>
        </w:rPr>
        <w:t xml:space="preserve"> </w:t>
      </w:r>
      <w:proofErr w:type="spellStart"/>
      <w:r>
        <w:rPr>
          <w:color w:val="000000"/>
          <w:sz w:val="22"/>
          <w:szCs w:val="22"/>
          <w:lang w:val="es-ES"/>
        </w:rPr>
        <w:t>alternatively</w:t>
      </w:r>
      <w:proofErr w:type="spellEnd"/>
      <w:r>
        <w:rPr>
          <w:color w:val="000000"/>
          <w:sz w:val="22"/>
          <w:szCs w:val="22"/>
          <w:lang w:val="es-ES"/>
        </w:rPr>
        <w:t xml:space="preserve">, </w:t>
      </w:r>
      <w:proofErr w:type="spellStart"/>
      <w:r>
        <w:rPr>
          <w:color w:val="000000"/>
          <w:sz w:val="22"/>
          <w:szCs w:val="22"/>
          <w:lang w:val="es-ES"/>
        </w:rPr>
        <w:t>to</w:t>
      </w:r>
      <w:proofErr w:type="spellEnd"/>
      <w:r>
        <w:rPr>
          <w:color w:val="000000"/>
          <w:sz w:val="22"/>
          <w:szCs w:val="22"/>
          <w:lang w:val="es-ES"/>
        </w:rPr>
        <w:t xml:space="preserve"> OSE </w:t>
      </w:r>
      <w:proofErr w:type="spellStart"/>
      <w:r>
        <w:rPr>
          <w:color w:val="000000"/>
          <w:sz w:val="22"/>
          <w:szCs w:val="22"/>
          <w:lang w:val="es-ES"/>
        </w:rPr>
        <w:t>for</w:t>
      </w:r>
      <w:proofErr w:type="spellEnd"/>
      <w:r>
        <w:rPr>
          <w:color w:val="000000"/>
          <w:sz w:val="22"/>
          <w:szCs w:val="22"/>
          <w:lang w:val="es-ES"/>
        </w:rPr>
        <w:t xml:space="preserve"> </w:t>
      </w:r>
      <w:proofErr w:type="spellStart"/>
      <w:r>
        <w:rPr>
          <w:color w:val="000000"/>
          <w:sz w:val="22"/>
          <w:szCs w:val="22"/>
          <w:lang w:val="es-ES"/>
        </w:rPr>
        <w:t>approval</w:t>
      </w:r>
      <w:proofErr w:type="spellEnd"/>
      <w:r>
        <w:rPr>
          <w:color w:val="000000"/>
          <w:sz w:val="22"/>
          <w:szCs w:val="22"/>
          <w:lang w:val="es-ES"/>
        </w:rPr>
        <w:t xml:space="preserve"> </w:t>
      </w:r>
      <w:proofErr w:type="spellStart"/>
      <w:r>
        <w:rPr>
          <w:color w:val="000000"/>
          <w:sz w:val="22"/>
          <w:szCs w:val="22"/>
          <w:lang w:val="es-ES"/>
        </w:rPr>
        <w:t>before</w:t>
      </w:r>
      <w:proofErr w:type="spellEnd"/>
      <w:r>
        <w:rPr>
          <w:color w:val="000000"/>
          <w:sz w:val="22"/>
          <w:szCs w:val="22"/>
          <w:lang w:val="es-ES"/>
        </w:rPr>
        <w:t xml:space="preserve"> </w:t>
      </w:r>
      <w:proofErr w:type="spellStart"/>
      <w:r>
        <w:rPr>
          <w:color w:val="000000"/>
          <w:sz w:val="22"/>
          <w:szCs w:val="22"/>
          <w:lang w:val="es-ES"/>
        </w:rPr>
        <w:t>the</w:t>
      </w:r>
      <w:proofErr w:type="spellEnd"/>
      <w:r>
        <w:rPr>
          <w:color w:val="000000"/>
          <w:sz w:val="22"/>
          <w:szCs w:val="22"/>
          <w:lang w:val="es-ES"/>
        </w:rPr>
        <w:t xml:space="preserve"> </w:t>
      </w:r>
      <w:proofErr w:type="spellStart"/>
      <w:r>
        <w:rPr>
          <w:color w:val="000000"/>
          <w:sz w:val="22"/>
          <w:szCs w:val="22"/>
          <w:lang w:val="es-ES"/>
        </w:rPr>
        <w:t>meters</w:t>
      </w:r>
      <w:proofErr w:type="spellEnd"/>
      <w:r>
        <w:rPr>
          <w:color w:val="000000"/>
          <w:sz w:val="22"/>
          <w:szCs w:val="22"/>
          <w:lang w:val="es-ES"/>
        </w:rPr>
        <w:t xml:space="preserve"> are </w:t>
      </w:r>
      <w:proofErr w:type="spellStart"/>
      <w:r>
        <w:rPr>
          <w:color w:val="000000"/>
          <w:sz w:val="22"/>
          <w:szCs w:val="22"/>
          <w:lang w:val="es-ES"/>
        </w:rPr>
        <w:t>dispatched</w:t>
      </w:r>
      <w:proofErr w:type="spellEnd"/>
      <w:r>
        <w:rPr>
          <w:color w:val="000000"/>
          <w:sz w:val="22"/>
          <w:szCs w:val="22"/>
          <w:lang w:val="es-ES"/>
        </w:rPr>
        <w:t xml:space="preserve">. </w:t>
      </w:r>
      <w:proofErr w:type="spellStart"/>
      <w:r>
        <w:rPr>
          <w:color w:val="000000"/>
          <w:sz w:val="22"/>
          <w:szCs w:val="22"/>
          <w:lang w:val="es-ES"/>
        </w:rPr>
        <w:t>Failure</w:t>
      </w:r>
      <w:proofErr w:type="spellEnd"/>
      <w:r>
        <w:rPr>
          <w:color w:val="000000"/>
          <w:sz w:val="22"/>
          <w:szCs w:val="22"/>
          <w:lang w:val="es-ES"/>
        </w:rPr>
        <w:t xml:space="preserve"> </w:t>
      </w:r>
      <w:proofErr w:type="spellStart"/>
      <w:r>
        <w:rPr>
          <w:color w:val="000000"/>
          <w:sz w:val="22"/>
          <w:szCs w:val="22"/>
          <w:lang w:val="es-ES"/>
        </w:rPr>
        <w:t>to</w:t>
      </w:r>
      <w:proofErr w:type="spellEnd"/>
      <w:r>
        <w:rPr>
          <w:color w:val="000000"/>
          <w:sz w:val="22"/>
          <w:szCs w:val="22"/>
          <w:lang w:val="es-ES"/>
        </w:rPr>
        <w:t xml:space="preserve"> </w:t>
      </w:r>
      <w:proofErr w:type="spellStart"/>
      <w:r>
        <w:rPr>
          <w:color w:val="000000"/>
          <w:sz w:val="22"/>
          <w:szCs w:val="22"/>
          <w:lang w:val="es-ES"/>
        </w:rPr>
        <w:t>comply</w:t>
      </w:r>
      <w:proofErr w:type="spellEnd"/>
      <w:r>
        <w:rPr>
          <w:color w:val="000000"/>
          <w:sz w:val="22"/>
          <w:szCs w:val="22"/>
          <w:lang w:val="es-ES"/>
        </w:rPr>
        <w:t xml:space="preserve"> </w:t>
      </w:r>
      <w:proofErr w:type="spellStart"/>
      <w:r>
        <w:rPr>
          <w:color w:val="000000"/>
          <w:sz w:val="22"/>
          <w:szCs w:val="22"/>
          <w:lang w:val="es-ES"/>
        </w:rPr>
        <w:t>will</w:t>
      </w:r>
      <w:proofErr w:type="spellEnd"/>
      <w:r>
        <w:rPr>
          <w:color w:val="000000"/>
          <w:sz w:val="22"/>
          <w:szCs w:val="22"/>
          <w:lang w:val="es-ES"/>
        </w:rPr>
        <w:t xml:space="preserve"> </w:t>
      </w:r>
      <w:proofErr w:type="spellStart"/>
      <w:r>
        <w:rPr>
          <w:color w:val="000000"/>
          <w:sz w:val="22"/>
          <w:szCs w:val="22"/>
          <w:lang w:val="es-ES"/>
        </w:rPr>
        <w:t>result</w:t>
      </w:r>
      <w:proofErr w:type="spellEnd"/>
      <w:r>
        <w:rPr>
          <w:color w:val="000000"/>
          <w:sz w:val="22"/>
          <w:szCs w:val="22"/>
          <w:lang w:val="es-ES"/>
        </w:rPr>
        <w:t xml:space="preserve"> in </w:t>
      </w:r>
      <w:proofErr w:type="spellStart"/>
      <w:r>
        <w:rPr>
          <w:color w:val="000000"/>
          <w:sz w:val="22"/>
          <w:szCs w:val="22"/>
          <w:lang w:val="es-ES"/>
        </w:rPr>
        <w:t>the</w:t>
      </w:r>
      <w:proofErr w:type="spellEnd"/>
      <w:r>
        <w:rPr>
          <w:color w:val="000000"/>
          <w:sz w:val="22"/>
          <w:szCs w:val="22"/>
          <w:lang w:val="es-ES"/>
        </w:rPr>
        <w:t xml:space="preserve"> </w:t>
      </w:r>
      <w:proofErr w:type="spellStart"/>
      <w:r>
        <w:rPr>
          <w:color w:val="000000"/>
          <w:sz w:val="22"/>
          <w:szCs w:val="22"/>
          <w:lang w:val="es-ES"/>
        </w:rPr>
        <w:t>bidder</w:t>
      </w:r>
      <w:proofErr w:type="spellEnd"/>
      <w:r>
        <w:rPr>
          <w:color w:val="000000"/>
          <w:sz w:val="22"/>
          <w:szCs w:val="22"/>
          <w:lang w:val="es-ES"/>
        </w:rPr>
        <w:t xml:space="preserve"> </w:t>
      </w:r>
      <w:proofErr w:type="spellStart"/>
      <w:r>
        <w:rPr>
          <w:color w:val="000000"/>
          <w:sz w:val="22"/>
          <w:szCs w:val="22"/>
          <w:lang w:val="es-ES"/>
        </w:rPr>
        <w:t>being</w:t>
      </w:r>
      <w:proofErr w:type="spellEnd"/>
      <w:r>
        <w:rPr>
          <w:color w:val="000000"/>
          <w:sz w:val="22"/>
          <w:szCs w:val="22"/>
          <w:lang w:val="es-ES"/>
        </w:rPr>
        <w:t xml:space="preserve"> </w:t>
      </w:r>
      <w:proofErr w:type="spellStart"/>
      <w:r>
        <w:rPr>
          <w:color w:val="000000"/>
          <w:sz w:val="22"/>
          <w:szCs w:val="22"/>
          <w:lang w:val="es-ES"/>
        </w:rPr>
        <w:t>responsible</w:t>
      </w:r>
      <w:proofErr w:type="spellEnd"/>
      <w:r>
        <w:rPr>
          <w:color w:val="000000"/>
          <w:sz w:val="22"/>
          <w:szCs w:val="22"/>
          <w:lang w:val="es-ES"/>
        </w:rPr>
        <w:t xml:space="preserve"> </w:t>
      </w:r>
      <w:proofErr w:type="spellStart"/>
      <w:r>
        <w:rPr>
          <w:color w:val="000000"/>
          <w:sz w:val="22"/>
          <w:szCs w:val="22"/>
          <w:lang w:val="es-ES"/>
        </w:rPr>
        <w:t>for</w:t>
      </w:r>
      <w:proofErr w:type="spellEnd"/>
      <w:r>
        <w:rPr>
          <w:color w:val="000000"/>
          <w:sz w:val="22"/>
          <w:szCs w:val="22"/>
          <w:lang w:val="es-ES"/>
        </w:rPr>
        <w:t xml:space="preserve"> </w:t>
      </w:r>
      <w:proofErr w:type="spellStart"/>
      <w:r>
        <w:rPr>
          <w:color w:val="000000"/>
          <w:sz w:val="22"/>
          <w:szCs w:val="22"/>
          <w:lang w:val="es-ES"/>
        </w:rPr>
        <w:t>all</w:t>
      </w:r>
      <w:proofErr w:type="spellEnd"/>
      <w:r>
        <w:rPr>
          <w:color w:val="000000"/>
          <w:sz w:val="22"/>
          <w:szCs w:val="22"/>
          <w:lang w:val="es-ES"/>
        </w:rPr>
        <w:t xml:space="preserve"> expenses </w:t>
      </w:r>
      <w:proofErr w:type="spellStart"/>
      <w:r>
        <w:rPr>
          <w:color w:val="000000"/>
          <w:sz w:val="22"/>
          <w:szCs w:val="22"/>
          <w:lang w:val="es-ES"/>
        </w:rPr>
        <w:t>incurred</w:t>
      </w:r>
      <w:proofErr w:type="spellEnd"/>
      <w:r>
        <w:rPr>
          <w:color w:val="000000"/>
          <w:sz w:val="22"/>
          <w:szCs w:val="22"/>
          <w:lang w:val="es-ES"/>
        </w:rPr>
        <w:t xml:space="preserve"> as a </w:t>
      </w:r>
      <w:proofErr w:type="spellStart"/>
      <w:r>
        <w:rPr>
          <w:color w:val="000000"/>
          <w:sz w:val="22"/>
          <w:szCs w:val="22"/>
          <w:lang w:val="es-ES"/>
        </w:rPr>
        <w:t>result</w:t>
      </w:r>
      <w:proofErr w:type="spellEnd"/>
      <w:r>
        <w:rPr>
          <w:color w:val="000000"/>
          <w:sz w:val="22"/>
          <w:szCs w:val="22"/>
          <w:lang w:val="es-ES"/>
        </w:rPr>
        <w:t>.</w:t>
      </w:r>
    </w:p>
    <w:p w14:paraId="508BD5DD" w14:textId="77777777" w:rsidR="00E255F4" w:rsidRDefault="00000000">
      <w:pPr>
        <w:pStyle w:val="Prrafodelista"/>
        <w:numPr>
          <w:ilvl w:val="3"/>
          <w:numId w:val="58"/>
        </w:numPr>
        <w:tabs>
          <w:tab w:val="left" w:pos="-720"/>
          <w:tab w:val="left" w:pos="709"/>
        </w:tabs>
        <w:spacing w:after="120"/>
        <w:jc w:val="both"/>
        <w:rPr>
          <w:sz w:val="22"/>
          <w:szCs w:val="22"/>
          <w:lang w:val="es-ES"/>
        </w:rPr>
      </w:pPr>
      <w:proofErr w:type="spellStart"/>
      <w:r>
        <w:rPr>
          <w:sz w:val="22"/>
          <w:szCs w:val="22"/>
          <w:lang w:val="es-ES"/>
        </w:rPr>
        <w:t>If</w:t>
      </w:r>
      <w:proofErr w:type="spellEnd"/>
      <w:r>
        <w:rPr>
          <w:sz w:val="22"/>
          <w:szCs w:val="22"/>
          <w:lang w:val="es-ES"/>
        </w:rPr>
        <w:t xml:space="preserve"> </w:t>
      </w:r>
      <w:proofErr w:type="spellStart"/>
      <w:r>
        <w:rPr>
          <w:sz w:val="22"/>
          <w:szCs w:val="22"/>
          <w:lang w:val="es-ES"/>
        </w:rPr>
        <w:t>any</w:t>
      </w:r>
      <w:proofErr w:type="spellEnd"/>
      <w:r>
        <w:rPr>
          <w:sz w:val="22"/>
          <w:szCs w:val="22"/>
          <w:lang w:val="es-ES"/>
        </w:rPr>
        <w:t xml:space="preserve"> </w:t>
      </w:r>
      <w:proofErr w:type="spellStart"/>
      <w:r>
        <w:rPr>
          <w:sz w:val="22"/>
          <w:szCs w:val="22"/>
          <w:lang w:val="es-ES"/>
        </w:rPr>
        <w:t>of</w:t>
      </w:r>
      <w:proofErr w:type="spellEnd"/>
      <w:r>
        <w:rPr>
          <w:sz w:val="22"/>
          <w:szCs w:val="22"/>
          <w:lang w:val="es-ES"/>
        </w:rPr>
        <w:t xml:space="preserve"> </w:t>
      </w:r>
      <w:proofErr w:type="spellStart"/>
      <w:r>
        <w:rPr>
          <w:sz w:val="22"/>
          <w:szCs w:val="22"/>
          <w:lang w:val="es-ES"/>
        </w:rPr>
        <w:t>the</w:t>
      </w:r>
      <w:proofErr w:type="spellEnd"/>
      <w:r>
        <w:rPr>
          <w:sz w:val="22"/>
          <w:szCs w:val="22"/>
          <w:lang w:val="es-ES"/>
        </w:rPr>
        <w:t xml:space="preserve"> </w:t>
      </w:r>
      <w:proofErr w:type="spellStart"/>
      <w:r>
        <w:rPr>
          <w:sz w:val="22"/>
          <w:szCs w:val="22"/>
          <w:lang w:val="es-ES"/>
        </w:rPr>
        <w:t>tests</w:t>
      </w:r>
      <w:proofErr w:type="spellEnd"/>
      <w:r>
        <w:rPr>
          <w:sz w:val="22"/>
          <w:szCs w:val="22"/>
          <w:lang w:val="es-ES"/>
        </w:rPr>
        <w:t xml:space="preserve"> do </w:t>
      </w:r>
      <w:proofErr w:type="spellStart"/>
      <w:r>
        <w:rPr>
          <w:sz w:val="22"/>
          <w:szCs w:val="22"/>
          <w:lang w:val="es-ES"/>
        </w:rPr>
        <w:t>not</w:t>
      </w:r>
      <w:proofErr w:type="spellEnd"/>
      <w:r>
        <w:rPr>
          <w:sz w:val="22"/>
          <w:szCs w:val="22"/>
          <w:lang w:val="es-ES"/>
        </w:rPr>
        <w:t xml:space="preserve"> </w:t>
      </w:r>
      <w:proofErr w:type="spellStart"/>
      <w:r>
        <w:rPr>
          <w:sz w:val="22"/>
          <w:szCs w:val="22"/>
          <w:lang w:val="es-ES"/>
        </w:rPr>
        <w:t>meet</w:t>
      </w:r>
      <w:proofErr w:type="spellEnd"/>
      <w:r>
        <w:rPr>
          <w:sz w:val="22"/>
          <w:szCs w:val="22"/>
          <w:lang w:val="es-ES"/>
        </w:rPr>
        <w:t xml:space="preserve"> </w:t>
      </w:r>
      <w:proofErr w:type="spellStart"/>
      <w:r>
        <w:rPr>
          <w:sz w:val="22"/>
          <w:szCs w:val="22"/>
          <w:lang w:val="es-ES"/>
        </w:rPr>
        <w:t>these</w:t>
      </w:r>
      <w:proofErr w:type="spellEnd"/>
      <w:r>
        <w:rPr>
          <w:sz w:val="22"/>
          <w:szCs w:val="22"/>
          <w:lang w:val="es-ES"/>
        </w:rPr>
        <w:t xml:space="preserve"> </w:t>
      </w:r>
      <w:proofErr w:type="spellStart"/>
      <w:r>
        <w:rPr>
          <w:sz w:val="22"/>
          <w:szCs w:val="22"/>
          <w:lang w:val="es-ES"/>
        </w:rPr>
        <w:t>specifications</w:t>
      </w:r>
      <w:proofErr w:type="spellEnd"/>
      <w:r>
        <w:rPr>
          <w:sz w:val="22"/>
          <w:szCs w:val="22"/>
          <w:lang w:val="es-ES"/>
        </w:rPr>
        <w:t xml:space="preserve">, </w:t>
      </w:r>
      <w:proofErr w:type="spellStart"/>
      <w:r>
        <w:rPr>
          <w:sz w:val="22"/>
          <w:szCs w:val="22"/>
          <w:lang w:val="es-ES"/>
        </w:rPr>
        <w:t>the</w:t>
      </w:r>
      <w:proofErr w:type="spellEnd"/>
      <w:r>
        <w:rPr>
          <w:sz w:val="22"/>
          <w:szCs w:val="22"/>
          <w:lang w:val="es-ES"/>
        </w:rPr>
        <w:t xml:space="preserve"> </w:t>
      </w:r>
      <w:proofErr w:type="spellStart"/>
      <w:r>
        <w:rPr>
          <w:sz w:val="22"/>
          <w:szCs w:val="22"/>
          <w:lang w:val="es-ES"/>
        </w:rPr>
        <w:t>batch</w:t>
      </w:r>
      <w:proofErr w:type="spellEnd"/>
      <w:r>
        <w:rPr>
          <w:sz w:val="22"/>
          <w:szCs w:val="22"/>
          <w:lang w:val="es-ES"/>
        </w:rPr>
        <w:t xml:space="preserve"> </w:t>
      </w:r>
      <w:proofErr w:type="spellStart"/>
      <w:r>
        <w:rPr>
          <w:sz w:val="22"/>
          <w:szCs w:val="22"/>
          <w:lang w:val="es-ES"/>
        </w:rPr>
        <w:t>will</w:t>
      </w:r>
      <w:proofErr w:type="spellEnd"/>
      <w:r>
        <w:rPr>
          <w:sz w:val="22"/>
          <w:szCs w:val="22"/>
          <w:lang w:val="es-ES"/>
        </w:rPr>
        <w:t xml:space="preserve"> be </w:t>
      </w:r>
      <w:proofErr w:type="spellStart"/>
      <w:r>
        <w:rPr>
          <w:sz w:val="22"/>
          <w:szCs w:val="22"/>
          <w:lang w:val="es-ES"/>
        </w:rPr>
        <w:t>rejected</w:t>
      </w:r>
      <w:proofErr w:type="spellEnd"/>
      <w:r>
        <w:rPr>
          <w:sz w:val="22"/>
          <w:szCs w:val="22"/>
          <w:lang w:val="es-ES"/>
        </w:rPr>
        <w:t xml:space="preserve">, and </w:t>
      </w:r>
      <w:proofErr w:type="spellStart"/>
      <w:r>
        <w:rPr>
          <w:sz w:val="22"/>
          <w:szCs w:val="22"/>
          <w:lang w:val="es-ES"/>
        </w:rPr>
        <w:t>the</w:t>
      </w:r>
      <w:proofErr w:type="spellEnd"/>
      <w:r>
        <w:rPr>
          <w:sz w:val="22"/>
          <w:szCs w:val="22"/>
          <w:lang w:val="es-ES"/>
        </w:rPr>
        <w:t xml:space="preserve"> </w:t>
      </w:r>
      <w:proofErr w:type="spellStart"/>
      <w:r>
        <w:rPr>
          <w:sz w:val="22"/>
          <w:szCs w:val="22"/>
          <w:lang w:val="es-ES"/>
        </w:rPr>
        <w:t>supplier</w:t>
      </w:r>
      <w:proofErr w:type="spellEnd"/>
      <w:r>
        <w:rPr>
          <w:sz w:val="22"/>
          <w:szCs w:val="22"/>
          <w:lang w:val="es-ES"/>
        </w:rPr>
        <w:t xml:space="preserve"> </w:t>
      </w:r>
      <w:proofErr w:type="spellStart"/>
      <w:r>
        <w:rPr>
          <w:sz w:val="22"/>
          <w:szCs w:val="22"/>
          <w:lang w:val="es-ES"/>
        </w:rPr>
        <w:t>must</w:t>
      </w:r>
      <w:proofErr w:type="spellEnd"/>
      <w:r>
        <w:rPr>
          <w:sz w:val="22"/>
          <w:szCs w:val="22"/>
          <w:lang w:val="es-ES"/>
        </w:rPr>
        <w:t xml:space="preserve"> </w:t>
      </w:r>
      <w:proofErr w:type="spellStart"/>
      <w:r>
        <w:rPr>
          <w:sz w:val="22"/>
          <w:szCs w:val="22"/>
          <w:lang w:val="es-ES"/>
        </w:rPr>
        <w:t>submit</w:t>
      </w:r>
      <w:proofErr w:type="spellEnd"/>
      <w:r>
        <w:rPr>
          <w:sz w:val="22"/>
          <w:szCs w:val="22"/>
          <w:lang w:val="es-ES"/>
        </w:rPr>
        <w:t xml:space="preserve"> a new </w:t>
      </w:r>
      <w:proofErr w:type="spellStart"/>
      <w:r>
        <w:rPr>
          <w:sz w:val="22"/>
          <w:szCs w:val="22"/>
          <w:lang w:val="es-ES"/>
        </w:rPr>
        <w:t>batch</w:t>
      </w:r>
      <w:proofErr w:type="spellEnd"/>
      <w:r>
        <w:rPr>
          <w:sz w:val="22"/>
          <w:szCs w:val="22"/>
          <w:lang w:val="es-ES"/>
        </w:rPr>
        <w:t xml:space="preserve"> </w:t>
      </w:r>
      <w:proofErr w:type="spellStart"/>
      <w:r>
        <w:rPr>
          <w:sz w:val="22"/>
          <w:szCs w:val="22"/>
          <w:lang w:val="es-ES"/>
        </w:rPr>
        <w:t>for</w:t>
      </w:r>
      <w:proofErr w:type="spellEnd"/>
      <w:r>
        <w:rPr>
          <w:sz w:val="22"/>
          <w:szCs w:val="22"/>
          <w:lang w:val="es-ES"/>
        </w:rPr>
        <w:t xml:space="preserve"> </w:t>
      </w:r>
      <w:proofErr w:type="spellStart"/>
      <w:r>
        <w:rPr>
          <w:sz w:val="22"/>
          <w:szCs w:val="22"/>
          <w:lang w:val="es-ES"/>
        </w:rPr>
        <w:t>retesting</w:t>
      </w:r>
      <w:proofErr w:type="spellEnd"/>
      <w:r>
        <w:rPr>
          <w:sz w:val="22"/>
          <w:szCs w:val="22"/>
          <w:lang w:val="es-ES"/>
        </w:rPr>
        <w:t xml:space="preserve">. </w:t>
      </w:r>
      <w:proofErr w:type="spellStart"/>
      <w:r>
        <w:rPr>
          <w:sz w:val="22"/>
          <w:szCs w:val="22"/>
          <w:lang w:val="es-ES"/>
        </w:rPr>
        <w:t>All</w:t>
      </w:r>
      <w:proofErr w:type="spellEnd"/>
      <w:r>
        <w:rPr>
          <w:sz w:val="22"/>
          <w:szCs w:val="22"/>
          <w:lang w:val="es-ES"/>
        </w:rPr>
        <w:t xml:space="preserve"> expenses </w:t>
      </w:r>
      <w:proofErr w:type="spellStart"/>
      <w:r>
        <w:rPr>
          <w:sz w:val="22"/>
          <w:szCs w:val="22"/>
          <w:lang w:val="es-ES"/>
        </w:rPr>
        <w:t>incurred</w:t>
      </w:r>
      <w:proofErr w:type="spellEnd"/>
      <w:r>
        <w:rPr>
          <w:sz w:val="22"/>
          <w:szCs w:val="22"/>
          <w:lang w:val="es-ES"/>
        </w:rPr>
        <w:t xml:space="preserve"> </w:t>
      </w:r>
      <w:proofErr w:type="spellStart"/>
      <w:r>
        <w:rPr>
          <w:sz w:val="22"/>
          <w:szCs w:val="22"/>
          <w:lang w:val="es-ES"/>
        </w:rPr>
        <w:t>due</w:t>
      </w:r>
      <w:proofErr w:type="spellEnd"/>
      <w:r>
        <w:rPr>
          <w:sz w:val="22"/>
          <w:szCs w:val="22"/>
          <w:lang w:val="es-ES"/>
        </w:rPr>
        <w:t xml:space="preserve"> </w:t>
      </w:r>
      <w:proofErr w:type="spellStart"/>
      <w:r>
        <w:rPr>
          <w:sz w:val="22"/>
          <w:szCs w:val="22"/>
          <w:lang w:val="es-ES"/>
        </w:rPr>
        <w:t>to</w:t>
      </w:r>
      <w:proofErr w:type="spellEnd"/>
      <w:r>
        <w:rPr>
          <w:sz w:val="22"/>
          <w:szCs w:val="22"/>
          <w:lang w:val="es-ES"/>
        </w:rPr>
        <w:t xml:space="preserve"> </w:t>
      </w:r>
      <w:proofErr w:type="spellStart"/>
      <w:r>
        <w:rPr>
          <w:sz w:val="22"/>
          <w:szCs w:val="22"/>
          <w:lang w:val="es-ES"/>
        </w:rPr>
        <w:t>delays</w:t>
      </w:r>
      <w:proofErr w:type="spellEnd"/>
      <w:r>
        <w:rPr>
          <w:sz w:val="22"/>
          <w:szCs w:val="22"/>
          <w:lang w:val="es-ES"/>
        </w:rPr>
        <w:t xml:space="preserve"> in </w:t>
      </w:r>
      <w:proofErr w:type="spellStart"/>
      <w:r>
        <w:rPr>
          <w:sz w:val="22"/>
          <w:szCs w:val="22"/>
          <w:lang w:val="es-ES"/>
        </w:rPr>
        <w:t>the</w:t>
      </w:r>
      <w:proofErr w:type="spellEnd"/>
      <w:r>
        <w:rPr>
          <w:sz w:val="22"/>
          <w:szCs w:val="22"/>
          <w:lang w:val="es-ES"/>
        </w:rPr>
        <w:t xml:space="preserve"> </w:t>
      </w:r>
      <w:proofErr w:type="spellStart"/>
      <w:r>
        <w:rPr>
          <w:sz w:val="22"/>
          <w:szCs w:val="22"/>
          <w:lang w:val="es-ES"/>
        </w:rPr>
        <w:t>schedule</w:t>
      </w:r>
      <w:proofErr w:type="spellEnd"/>
      <w:r>
        <w:rPr>
          <w:sz w:val="22"/>
          <w:szCs w:val="22"/>
          <w:lang w:val="es-ES"/>
        </w:rPr>
        <w:t xml:space="preserve"> </w:t>
      </w:r>
      <w:proofErr w:type="spellStart"/>
      <w:r>
        <w:rPr>
          <w:sz w:val="22"/>
          <w:szCs w:val="22"/>
          <w:lang w:val="es-ES"/>
        </w:rPr>
        <w:t>presented</w:t>
      </w:r>
      <w:proofErr w:type="spellEnd"/>
      <w:r>
        <w:rPr>
          <w:sz w:val="22"/>
          <w:szCs w:val="22"/>
          <w:lang w:val="es-ES"/>
        </w:rPr>
        <w:t xml:space="preserve"> in </w:t>
      </w:r>
      <w:proofErr w:type="spellStart"/>
      <w:r>
        <w:rPr>
          <w:sz w:val="22"/>
          <w:szCs w:val="22"/>
          <w:lang w:val="es-ES"/>
        </w:rPr>
        <w:t>the</w:t>
      </w:r>
      <w:proofErr w:type="spellEnd"/>
      <w:r>
        <w:rPr>
          <w:sz w:val="22"/>
          <w:szCs w:val="22"/>
          <w:lang w:val="es-ES"/>
        </w:rPr>
        <w:t xml:space="preserve"> </w:t>
      </w:r>
      <w:proofErr w:type="spellStart"/>
      <w:r>
        <w:rPr>
          <w:sz w:val="22"/>
          <w:szCs w:val="22"/>
          <w:lang w:val="es-ES"/>
        </w:rPr>
        <w:t>proposal</w:t>
      </w:r>
      <w:proofErr w:type="spellEnd"/>
      <w:r>
        <w:rPr>
          <w:sz w:val="22"/>
          <w:szCs w:val="22"/>
          <w:lang w:val="es-ES"/>
        </w:rPr>
        <w:t xml:space="preserve"> </w:t>
      </w:r>
      <w:proofErr w:type="spellStart"/>
      <w:r>
        <w:rPr>
          <w:sz w:val="22"/>
          <w:szCs w:val="22"/>
          <w:lang w:val="es-ES"/>
        </w:rPr>
        <w:t>or</w:t>
      </w:r>
      <w:proofErr w:type="spellEnd"/>
      <w:r>
        <w:rPr>
          <w:sz w:val="22"/>
          <w:szCs w:val="22"/>
          <w:lang w:val="es-ES"/>
        </w:rPr>
        <w:t xml:space="preserve"> </w:t>
      </w:r>
      <w:proofErr w:type="spellStart"/>
      <w:r>
        <w:rPr>
          <w:sz w:val="22"/>
          <w:szCs w:val="22"/>
          <w:lang w:val="es-ES"/>
        </w:rPr>
        <w:t>the</w:t>
      </w:r>
      <w:proofErr w:type="spellEnd"/>
      <w:r>
        <w:rPr>
          <w:sz w:val="22"/>
          <w:szCs w:val="22"/>
          <w:lang w:val="es-ES"/>
        </w:rPr>
        <w:t xml:space="preserve"> </w:t>
      </w:r>
      <w:proofErr w:type="spellStart"/>
      <w:r>
        <w:rPr>
          <w:sz w:val="22"/>
          <w:szCs w:val="22"/>
          <w:lang w:val="es-ES"/>
        </w:rPr>
        <w:t>need</w:t>
      </w:r>
      <w:proofErr w:type="spellEnd"/>
      <w:r>
        <w:rPr>
          <w:sz w:val="22"/>
          <w:szCs w:val="22"/>
          <w:lang w:val="es-ES"/>
        </w:rPr>
        <w:t xml:space="preserve"> </w:t>
      </w:r>
      <w:proofErr w:type="spellStart"/>
      <w:r>
        <w:rPr>
          <w:sz w:val="22"/>
          <w:szCs w:val="22"/>
          <w:lang w:val="es-ES"/>
        </w:rPr>
        <w:t>to</w:t>
      </w:r>
      <w:proofErr w:type="spellEnd"/>
      <w:r>
        <w:rPr>
          <w:sz w:val="22"/>
          <w:szCs w:val="22"/>
          <w:lang w:val="es-ES"/>
        </w:rPr>
        <w:t xml:space="preserve"> test a new </w:t>
      </w:r>
      <w:proofErr w:type="spellStart"/>
      <w:r>
        <w:rPr>
          <w:sz w:val="22"/>
          <w:szCs w:val="22"/>
          <w:lang w:val="es-ES"/>
        </w:rPr>
        <w:t>batch</w:t>
      </w:r>
      <w:proofErr w:type="spellEnd"/>
      <w:r>
        <w:rPr>
          <w:sz w:val="22"/>
          <w:szCs w:val="22"/>
          <w:lang w:val="es-ES"/>
        </w:rPr>
        <w:t xml:space="preserve"> </w:t>
      </w:r>
      <w:proofErr w:type="spellStart"/>
      <w:r>
        <w:rPr>
          <w:sz w:val="22"/>
          <w:szCs w:val="22"/>
          <w:lang w:val="es-ES"/>
        </w:rPr>
        <w:t>will</w:t>
      </w:r>
      <w:proofErr w:type="spellEnd"/>
      <w:r>
        <w:rPr>
          <w:sz w:val="22"/>
          <w:szCs w:val="22"/>
          <w:lang w:val="es-ES"/>
        </w:rPr>
        <w:t xml:space="preserve"> be </w:t>
      </w:r>
      <w:proofErr w:type="spellStart"/>
      <w:r>
        <w:rPr>
          <w:sz w:val="22"/>
          <w:szCs w:val="22"/>
          <w:lang w:val="es-ES"/>
        </w:rPr>
        <w:t>the</w:t>
      </w:r>
      <w:proofErr w:type="spellEnd"/>
      <w:r>
        <w:rPr>
          <w:sz w:val="22"/>
          <w:szCs w:val="22"/>
          <w:lang w:val="es-ES"/>
        </w:rPr>
        <w:t xml:space="preserve"> </w:t>
      </w:r>
      <w:proofErr w:type="spellStart"/>
      <w:r>
        <w:rPr>
          <w:sz w:val="22"/>
          <w:szCs w:val="22"/>
          <w:lang w:val="es-ES"/>
        </w:rPr>
        <w:t>responsibility</w:t>
      </w:r>
      <w:proofErr w:type="spellEnd"/>
      <w:r>
        <w:rPr>
          <w:sz w:val="22"/>
          <w:szCs w:val="22"/>
          <w:lang w:val="es-ES"/>
        </w:rPr>
        <w:t xml:space="preserve"> </w:t>
      </w:r>
      <w:proofErr w:type="spellStart"/>
      <w:r>
        <w:rPr>
          <w:sz w:val="22"/>
          <w:szCs w:val="22"/>
          <w:lang w:val="es-ES"/>
        </w:rPr>
        <w:t>of</w:t>
      </w:r>
      <w:proofErr w:type="spellEnd"/>
      <w:r>
        <w:rPr>
          <w:sz w:val="22"/>
          <w:szCs w:val="22"/>
          <w:lang w:val="es-ES"/>
        </w:rPr>
        <w:t xml:space="preserve"> </w:t>
      </w:r>
      <w:proofErr w:type="spellStart"/>
      <w:r>
        <w:rPr>
          <w:sz w:val="22"/>
          <w:szCs w:val="22"/>
          <w:lang w:val="es-ES"/>
        </w:rPr>
        <w:t>the</w:t>
      </w:r>
      <w:proofErr w:type="spellEnd"/>
      <w:r>
        <w:rPr>
          <w:sz w:val="22"/>
          <w:szCs w:val="22"/>
          <w:lang w:val="es-ES"/>
        </w:rPr>
        <w:t xml:space="preserve"> </w:t>
      </w:r>
      <w:proofErr w:type="spellStart"/>
      <w:r>
        <w:rPr>
          <w:sz w:val="22"/>
          <w:szCs w:val="22"/>
          <w:lang w:val="es-ES"/>
        </w:rPr>
        <w:t>supplier</w:t>
      </w:r>
      <w:proofErr w:type="spellEnd"/>
      <w:r>
        <w:rPr>
          <w:sz w:val="22"/>
          <w:szCs w:val="22"/>
          <w:lang w:val="es-ES"/>
        </w:rPr>
        <w:t xml:space="preserve">. </w:t>
      </w:r>
      <w:proofErr w:type="spellStart"/>
      <w:r>
        <w:rPr>
          <w:sz w:val="22"/>
          <w:szCs w:val="22"/>
          <w:lang w:val="es-ES"/>
        </w:rPr>
        <w:t>These</w:t>
      </w:r>
      <w:proofErr w:type="spellEnd"/>
      <w:r>
        <w:rPr>
          <w:sz w:val="22"/>
          <w:szCs w:val="22"/>
          <w:lang w:val="es-ES"/>
        </w:rPr>
        <w:t xml:space="preserve"> expenses </w:t>
      </w:r>
      <w:proofErr w:type="spellStart"/>
      <w:r>
        <w:rPr>
          <w:sz w:val="22"/>
          <w:szCs w:val="22"/>
          <w:lang w:val="es-ES"/>
        </w:rPr>
        <w:t>include</w:t>
      </w:r>
      <w:proofErr w:type="spellEnd"/>
      <w:r>
        <w:rPr>
          <w:sz w:val="22"/>
          <w:szCs w:val="22"/>
          <w:lang w:val="es-ES"/>
        </w:rPr>
        <w:t xml:space="preserve"> </w:t>
      </w:r>
      <w:proofErr w:type="spellStart"/>
      <w:r>
        <w:rPr>
          <w:sz w:val="22"/>
          <w:szCs w:val="22"/>
          <w:lang w:val="es-ES"/>
        </w:rPr>
        <w:t>all</w:t>
      </w:r>
      <w:proofErr w:type="spellEnd"/>
      <w:r>
        <w:rPr>
          <w:sz w:val="22"/>
          <w:szCs w:val="22"/>
          <w:lang w:val="es-ES"/>
        </w:rPr>
        <w:t xml:space="preserve"> </w:t>
      </w:r>
      <w:proofErr w:type="spellStart"/>
      <w:r>
        <w:rPr>
          <w:sz w:val="22"/>
          <w:szCs w:val="22"/>
          <w:lang w:val="es-ES"/>
        </w:rPr>
        <w:t>costs</w:t>
      </w:r>
      <w:proofErr w:type="spellEnd"/>
      <w:r>
        <w:rPr>
          <w:sz w:val="22"/>
          <w:szCs w:val="22"/>
          <w:lang w:val="es-ES"/>
        </w:rPr>
        <w:t xml:space="preserve"> </w:t>
      </w:r>
      <w:proofErr w:type="spellStart"/>
      <w:r>
        <w:rPr>
          <w:sz w:val="22"/>
          <w:szCs w:val="22"/>
          <w:lang w:val="es-ES"/>
        </w:rPr>
        <w:t>related</w:t>
      </w:r>
      <w:proofErr w:type="spellEnd"/>
      <w:r>
        <w:rPr>
          <w:sz w:val="22"/>
          <w:szCs w:val="22"/>
          <w:lang w:val="es-ES"/>
        </w:rPr>
        <w:t xml:space="preserve"> </w:t>
      </w:r>
      <w:proofErr w:type="spellStart"/>
      <w:r>
        <w:rPr>
          <w:sz w:val="22"/>
          <w:szCs w:val="22"/>
          <w:lang w:val="es-ES"/>
        </w:rPr>
        <w:t>to</w:t>
      </w:r>
      <w:proofErr w:type="spellEnd"/>
      <w:r>
        <w:rPr>
          <w:sz w:val="22"/>
          <w:szCs w:val="22"/>
          <w:lang w:val="es-ES"/>
        </w:rPr>
        <w:t xml:space="preserve"> </w:t>
      </w:r>
      <w:proofErr w:type="spellStart"/>
      <w:r>
        <w:rPr>
          <w:sz w:val="22"/>
          <w:szCs w:val="22"/>
          <w:lang w:val="es-ES"/>
        </w:rPr>
        <w:t>lodging</w:t>
      </w:r>
      <w:proofErr w:type="spellEnd"/>
      <w:r>
        <w:rPr>
          <w:sz w:val="22"/>
          <w:szCs w:val="22"/>
          <w:lang w:val="es-ES"/>
        </w:rPr>
        <w:t xml:space="preserve">, </w:t>
      </w:r>
      <w:proofErr w:type="spellStart"/>
      <w:r>
        <w:rPr>
          <w:sz w:val="22"/>
          <w:szCs w:val="22"/>
          <w:lang w:val="es-ES"/>
        </w:rPr>
        <w:t>travel</w:t>
      </w:r>
      <w:proofErr w:type="spellEnd"/>
      <w:r>
        <w:rPr>
          <w:sz w:val="22"/>
          <w:szCs w:val="22"/>
          <w:lang w:val="es-ES"/>
        </w:rPr>
        <w:t xml:space="preserve">, </w:t>
      </w:r>
      <w:proofErr w:type="spellStart"/>
      <w:r>
        <w:rPr>
          <w:sz w:val="22"/>
          <w:szCs w:val="22"/>
          <w:lang w:val="es-ES"/>
        </w:rPr>
        <w:t>airfare</w:t>
      </w:r>
      <w:proofErr w:type="spellEnd"/>
      <w:r>
        <w:rPr>
          <w:sz w:val="22"/>
          <w:szCs w:val="22"/>
          <w:lang w:val="es-ES"/>
        </w:rPr>
        <w:t xml:space="preserve">, and </w:t>
      </w:r>
      <w:proofErr w:type="spellStart"/>
      <w:r>
        <w:rPr>
          <w:sz w:val="22"/>
          <w:szCs w:val="22"/>
          <w:lang w:val="es-ES"/>
        </w:rPr>
        <w:t>any</w:t>
      </w:r>
      <w:proofErr w:type="spellEnd"/>
      <w:r>
        <w:rPr>
          <w:sz w:val="22"/>
          <w:szCs w:val="22"/>
          <w:lang w:val="es-ES"/>
        </w:rPr>
        <w:t xml:space="preserve"> </w:t>
      </w:r>
      <w:proofErr w:type="spellStart"/>
      <w:r>
        <w:rPr>
          <w:sz w:val="22"/>
          <w:szCs w:val="22"/>
          <w:lang w:val="es-ES"/>
        </w:rPr>
        <w:t>other</w:t>
      </w:r>
      <w:proofErr w:type="spellEnd"/>
      <w:r>
        <w:rPr>
          <w:sz w:val="22"/>
          <w:szCs w:val="22"/>
          <w:lang w:val="es-ES"/>
        </w:rPr>
        <w:t xml:space="preserve"> </w:t>
      </w:r>
      <w:proofErr w:type="spellStart"/>
      <w:r>
        <w:rPr>
          <w:sz w:val="22"/>
          <w:szCs w:val="22"/>
          <w:lang w:val="es-ES"/>
        </w:rPr>
        <w:t>expenditure</w:t>
      </w:r>
      <w:proofErr w:type="spellEnd"/>
      <w:r>
        <w:rPr>
          <w:sz w:val="22"/>
          <w:szCs w:val="22"/>
          <w:lang w:val="es-ES"/>
        </w:rPr>
        <w:t xml:space="preserve"> </w:t>
      </w:r>
      <w:proofErr w:type="spellStart"/>
      <w:r>
        <w:rPr>
          <w:sz w:val="22"/>
          <w:szCs w:val="22"/>
          <w:lang w:val="es-ES"/>
        </w:rPr>
        <w:t>necessary</w:t>
      </w:r>
      <w:proofErr w:type="spellEnd"/>
      <w:r>
        <w:rPr>
          <w:sz w:val="22"/>
          <w:szCs w:val="22"/>
          <w:lang w:val="es-ES"/>
        </w:rPr>
        <w:t xml:space="preserve"> </w:t>
      </w:r>
      <w:proofErr w:type="spellStart"/>
      <w:r>
        <w:rPr>
          <w:sz w:val="22"/>
          <w:szCs w:val="22"/>
          <w:lang w:val="es-ES"/>
        </w:rPr>
        <w:t>for</w:t>
      </w:r>
      <w:proofErr w:type="spellEnd"/>
      <w:r>
        <w:rPr>
          <w:sz w:val="22"/>
          <w:szCs w:val="22"/>
          <w:lang w:val="es-ES"/>
        </w:rPr>
        <w:t xml:space="preserve"> </w:t>
      </w:r>
      <w:proofErr w:type="spellStart"/>
      <w:r>
        <w:rPr>
          <w:sz w:val="22"/>
          <w:szCs w:val="22"/>
          <w:lang w:val="es-ES"/>
        </w:rPr>
        <w:t>the</w:t>
      </w:r>
      <w:proofErr w:type="spellEnd"/>
      <w:r>
        <w:rPr>
          <w:sz w:val="22"/>
          <w:szCs w:val="22"/>
          <w:lang w:val="es-ES"/>
        </w:rPr>
        <w:t xml:space="preserve"> </w:t>
      </w:r>
      <w:proofErr w:type="spellStart"/>
      <w:r>
        <w:rPr>
          <w:sz w:val="22"/>
          <w:szCs w:val="22"/>
          <w:lang w:val="es-ES"/>
        </w:rPr>
        <w:t>stay</w:t>
      </w:r>
      <w:proofErr w:type="spellEnd"/>
      <w:r>
        <w:rPr>
          <w:sz w:val="22"/>
          <w:szCs w:val="22"/>
          <w:lang w:val="es-ES"/>
        </w:rPr>
        <w:t xml:space="preserve"> and/</w:t>
      </w:r>
      <w:proofErr w:type="spellStart"/>
      <w:r>
        <w:rPr>
          <w:sz w:val="22"/>
          <w:szCs w:val="22"/>
          <w:lang w:val="es-ES"/>
        </w:rPr>
        <w:t>or</w:t>
      </w:r>
      <w:proofErr w:type="spellEnd"/>
      <w:r>
        <w:rPr>
          <w:sz w:val="22"/>
          <w:szCs w:val="22"/>
          <w:lang w:val="es-ES"/>
        </w:rPr>
        <w:t xml:space="preserve"> </w:t>
      </w:r>
      <w:proofErr w:type="spellStart"/>
      <w:r>
        <w:rPr>
          <w:sz w:val="22"/>
          <w:szCs w:val="22"/>
          <w:lang w:val="es-ES"/>
        </w:rPr>
        <w:t>replacement</w:t>
      </w:r>
      <w:proofErr w:type="spellEnd"/>
      <w:r>
        <w:rPr>
          <w:sz w:val="22"/>
          <w:szCs w:val="22"/>
          <w:lang w:val="es-ES"/>
        </w:rPr>
        <w:t xml:space="preserve"> </w:t>
      </w:r>
      <w:proofErr w:type="spellStart"/>
      <w:r>
        <w:rPr>
          <w:sz w:val="22"/>
          <w:szCs w:val="22"/>
          <w:lang w:val="es-ES"/>
        </w:rPr>
        <w:t>of</w:t>
      </w:r>
      <w:proofErr w:type="spellEnd"/>
      <w:r>
        <w:rPr>
          <w:sz w:val="22"/>
          <w:szCs w:val="22"/>
          <w:lang w:val="es-ES"/>
        </w:rPr>
        <w:t xml:space="preserve"> </w:t>
      </w:r>
      <w:proofErr w:type="spellStart"/>
      <w:r>
        <w:rPr>
          <w:sz w:val="22"/>
          <w:szCs w:val="22"/>
          <w:lang w:val="es-ES"/>
        </w:rPr>
        <w:t>assigned</w:t>
      </w:r>
      <w:proofErr w:type="spellEnd"/>
      <w:r>
        <w:rPr>
          <w:sz w:val="22"/>
          <w:szCs w:val="22"/>
          <w:lang w:val="es-ES"/>
        </w:rPr>
        <w:t xml:space="preserve"> </w:t>
      </w:r>
      <w:proofErr w:type="spellStart"/>
      <w:r>
        <w:rPr>
          <w:sz w:val="22"/>
          <w:szCs w:val="22"/>
          <w:lang w:val="es-ES"/>
        </w:rPr>
        <w:t>inspectors</w:t>
      </w:r>
      <w:proofErr w:type="spellEnd"/>
      <w:r>
        <w:rPr>
          <w:sz w:val="22"/>
          <w:szCs w:val="22"/>
          <w:lang w:val="es-ES"/>
        </w:rPr>
        <w:t>.</w:t>
      </w:r>
    </w:p>
    <w:p w14:paraId="1F985DD9" w14:textId="77777777" w:rsidR="00E255F4" w:rsidRDefault="00000000">
      <w:pPr>
        <w:pStyle w:val="Ttulo2"/>
        <w:spacing w:before="480" w:after="240"/>
        <w:ind w:left="567" w:hanging="567"/>
        <w:rPr>
          <w:rFonts w:ascii="Times New Roman" w:hAnsi="Times New Roman" w:cs="Times New Roman"/>
          <w:i w:val="0"/>
          <w:sz w:val="22"/>
          <w:szCs w:val="22"/>
        </w:rPr>
      </w:pPr>
      <w:bookmarkStart w:id="112" w:name="__RefHeading___Toc147_3847131730"/>
      <w:bookmarkStart w:id="113" w:name="__RefHeading___Toc225377273"/>
      <w:bookmarkEnd w:id="112"/>
      <w:r>
        <w:rPr>
          <w:rFonts w:ascii="Times New Roman" w:hAnsi="Times New Roman" w:cs="Times New Roman"/>
          <w:i w:val="0"/>
          <w:sz w:val="22"/>
          <w:szCs w:val="22"/>
        </w:rPr>
        <w:t>METER QUALIFICATION TESTS</w:t>
      </w:r>
      <w:bookmarkEnd w:id="113"/>
    </w:p>
    <w:p w14:paraId="33550A27" w14:textId="77777777" w:rsidR="00E255F4" w:rsidRDefault="00000000">
      <w:pPr>
        <w:pStyle w:val="Prrafodelista"/>
        <w:numPr>
          <w:ilvl w:val="1"/>
          <w:numId w:val="30"/>
        </w:numPr>
        <w:tabs>
          <w:tab w:val="left" w:pos="142"/>
        </w:tabs>
        <w:spacing w:after="120"/>
        <w:ind w:left="567" w:hanging="567"/>
        <w:jc w:val="both"/>
        <w:rPr>
          <w:sz w:val="22"/>
          <w:szCs w:val="22"/>
          <w:lang w:val="es-ES"/>
        </w:rPr>
      </w:pPr>
      <w:proofErr w:type="spellStart"/>
      <w:r>
        <w:rPr>
          <w:sz w:val="22"/>
          <w:szCs w:val="22"/>
          <w:lang w:val="es-ES"/>
        </w:rPr>
        <w:t>All</w:t>
      </w:r>
      <w:proofErr w:type="spellEnd"/>
      <w:r>
        <w:rPr>
          <w:sz w:val="22"/>
          <w:szCs w:val="22"/>
          <w:lang w:val="es-ES"/>
        </w:rPr>
        <w:t xml:space="preserve"> </w:t>
      </w:r>
      <w:proofErr w:type="spellStart"/>
      <w:r>
        <w:rPr>
          <w:sz w:val="22"/>
          <w:szCs w:val="22"/>
          <w:lang w:val="es-ES"/>
        </w:rPr>
        <w:t>meters</w:t>
      </w:r>
      <w:proofErr w:type="spellEnd"/>
      <w:r>
        <w:rPr>
          <w:sz w:val="22"/>
          <w:szCs w:val="22"/>
          <w:lang w:val="es-ES"/>
        </w:rPr>
        <w:t xml:space="preserve"> </w:t>
      </w:r>
      <w:proofErr w:type="spellStart"/>
      <w:r>
        <w:rPr>
          <w:sz w:val="22"/>
          <w:szCs w:val="22"/>
          <w:lang w:val="es-ES"/>
        </w:rPr>
        <w:t>received</w:t>
      </w:r>
      <w:proofErr w:type="spellEnd"/>
      <w:r>
        <w:rPr>
          <w:sz w:val="22"/>
          <w:szCs w:val="22"/>
          <w:lang w:val="es-ES"/>
        </w:rPr>
        <w:t xml:space="preserve"> as </w:t>
      </w:r>
      <w:proofErr w:type="spellStart"/>
      <w:r>
        <w:rPr>
          <w:sz w:val="22"/>
          <w:szCs w:val="22"/>
          <w:lang w:val="es-ES"/>
        </w:rPr>
        <w:t>samples</w:t>
      </w:r>
      <w:proofErr w:type="spellEnd"/>
      <w:r>
        <w:rPr>
          <w:sz w:val="22"/>
          <w:szCs w:val="22"/>
          <w:lang w:val="es-ES"/>
        </w:rPr>
        <w:t xml:space="preserve"> </w:t>
      </w:r>
      <w:proofErr w:type="spellStart"/>
      <w:r>
        <w:rPr>
          <w:sz w:val="22"/>
          <w:szCs w:val="22"/>
          <w:lang w:val="es-ES"/>
        </w:rPr>
        <w:t>will</w:t>
      </w:r>
      <w:proofErr w:type="spellEnd"/>
      <w:r>
        <w:rPr>
          <w:sz w:val="22"/>
          <w:szCs w:val="22"/>
          <w:lang w:val="es-ES"/>
        </w:rPr>
        <w:t xml:space="preserve"> </w:t>
      </w:r>
      <w:proofErr w:type="spellStart"/>
      <w:r>
        <w:rPr>
          <w:sz w:val="22"/>
          <w:szCs w:val="22"/>
          <w:lang w:val="es-ES"/>
        </w:rPr>
        <w:t>undergo</w:t>
      </w:r>
      <w:proofErr w:type="spellEnd"/>
      <w:r>
        <w:rPr>
          <w:sz w:val="22"/>
          <w:szCs w:val="22"/>
          <w:lang w:val="es-ES"/>
        </w:rPr>
        <w:t xml:space="preserve"> meter </w:t>
      </w:r>
      <w:proofErr w:type="spellStart"/>
      <w:r>
        <w:rPr>
          <w:sz w:val="22"/>
          <w:szCs w:val="22"/>
          <w:lang w:val="es-ES"/>
        </w:rPr>
        <w:t>qualification</w:t>
      </w:r>
      <w:proofErr w:type="spellEnd"/>
      <w:r>
        <w:rPr>
          <w:sz w:val="22"/>
          <w:szCs w:val="22"/>
          <w:lang w:val="es-ES"/>
        </w:rPr>
        <w:t xml:space="preserve"> </w:t>
      </w:r>
      <w:proofErr w:type="spellStart"/>
      <w:r>
        <w:rPr>
          <w:sz w:val="22"/>
          <w:szCs w:val="22"/>
          <w:lang w:val="es-ES"/>
        </w:rPr>
        <w:t>tests</w:t>
      </w:r>
      <w:proofErr w:type="spellEnd"/>
      <w:r>
        <w:rPr>
          <w:sz w:val="22"/>
          <w:szCs w:val="22"/>
          <w:lang w:val="es-ES"/>
        </w:rPr>
        <w:t xml:space="preserve"> and </w:t>
      </w:r>
      <w:proofErr w:type="spellStart"/>
      <w:r>
        <w:rPr>
          <w:sz w:val="22"/>
          <w:szCs w:val="22"/>
          <w:lang w:val="es-ES"/>
        </w:rPr>
        <w:t>examinations</w:t>
      </w:r>
      <w:proofErr w:type="spellEnd"/>
      <w:r>
        <w:rPr>
          <w:sz w:val="22"/>
          <w:szCs w:val="22"/>
          <w:lang w:val="es-ES"/>
        </w:rPr>
        <w:t xml:space="preserve">. The </w:t>
      </w:r>
      <w:proofErr w:type="spellStart"/>
      <w:r>
        <w:rPr>
          <w:sz w:val="22"/>
          <w:szCs w:val="22"/>
          <w:lang w:val="es-ES"/>
        </w:rPr>
        <w:t>metrological</w:t>
      </w:r>
      <w:proofErr w:type="spellEnd"/>
      <w:r>
        <w:rPr>
          <w:sz w:val="22"/>
          <w:szCs w:val="22"/>
          <w:lang w:val="es-ES"/>
        </w:rPr>
        <w:t xml:space="preserve"> </w:t>
      </w:r>
      <w:proofErr w:type="spellStart"/>
      <w:r>
        <w:rPr>
          <w:sz w:val="22"/>
          <w:szCs w:val="22"/>
          <w:lang w:val="es-ES"/>
        </w:rPr>
        <w:t>tests</w:t>
      </w:r>
      <w:proofErr w:type="spellEnd"/>
      <w:r>
        <w:rPr>
          <w:sz w:val="22"/>
          <w:szCs w:val="22"/>
          <w:lang w:val="es-ES"/>
        </w:rPr>
        <w:t xml:space="preserve"> </w:t>
      </w:r>
      <w:proofErr w:type="spellStart"/>
      <w:r>
        <w:rPr>
          <w:sz w:val="22"/>
          <w:szCs w:val="22"/>
          <w:lang w:val="es-ES"/>
        </w:rPr>
        <w:t>will</w:t>
      </w:r>
      <w:proofErr w:type="spellEnd"/>
      <w:r>
        <w:rPr>
          <w:sz w:val="22"/>
          <w:szCs w:val="22"/>
          <w:lang w:val="es-ES"/>
        </w:rPr>
        <w:t xml:space="preserve"> be </w:t>
      </w:r>
      <w:proofErr w:type="spellStart"/>
      <w:r>
        <w:rPr>
          <w:sz w:val="22"/>
          <w:szCs w:val="22"/>
          <w:lang w:val="es-ES"/>
        </w:rPr>
        <w:t>performed</w:t>
      </w:r>
      <w:proofErr w:type="spellEnd"/>
      <w:r>
        <w:rPr>
          <w:sz w:val="22"/>
          <w:szCs w:val="22"/>
          <w:lang w:val="es-ES"/>
        </w:rPr>
        <w:t xml:space="preserve"> at </w:t>
      </w:r>
      <w:proofErr w:type="spellStart"/>
      <w:r>
        <w:rPr>
          <w:sz w:val="22"/>
          <w:szCs w:val="22"/>
          <w:lang w:val="es-ES"/>
        </w:rPr>
        <w:t>the</w:t>
      </w:r>
      <w:proofErr w:type="spellEnd"/>
      <w:r>
        <w:rPr>
          <w:sz w:val="22"/>
          <w:szCs w:val="22"/>
          <w:lang w:val="es-ES"/>
        </w:rPr>
        <w:t xml:space="preserve"> </w:t>
      </w:r>
      <w:proofErr w:type="spellStart"/>
      <w:r>
        <w:rPr>
          <w:sz w:val="22"/>
          <w:szCs w:val="22"/>
          <w:lang w:val="es-ES"/>
        </w:rPr>
        <w:t>flow</w:t>
      </w:r>
      <w:proofErr w:type="spellEnd"/>
      <w:r>
        <w:rPr>
          <w:sz w:val="22"/>
          <w:szCs w:val="22"/>
          <w:lang w:val="es-ES"/>
        </w:rPr>
        <w:t xml:space="preserve"> </w:t>
      </w:r>
      <w:proofErr w:type="spellStart"/>
      <w:r>
        <w:rPr>
          <w:sz w:val="22"/>
          <w:szCs w:val="22"/>
          <w:lang w:val="es-ES"/>
        </w:rPr>
        <w:t>rates</w:t>
      </w:r>
      <w:proofErr w:type="spellEnd"/>
      <w:r>
        <w:rPr>
          <w:sz w:val="22"/>
          <w:szCs w:val="22"/>
          <w:lang w:val="es-ES"/>
        </w:rPr>
        <w:t xml:space="preserve"> </w:t>
      </w:r>
      <w:proofErr w:type="spellStart"/>
      <w:r>
        <w:rPr>
          <w:sz w:val="22"/>
          <w:szCs w:val="22"/>
          <w:lang w:val="es-ES"/>
        </w:rPr>
        <w:t>specified</w:t>
      </w:r>
      <w:proofErr w:type="spellEnd"/>
      <w:r>
        <w:rPr>
          <w:sz w:val="22"/>
          <w:szCs w:val="22"/>
          <w:lang w:val="es-ES"/>
        </w:rPr>
        <w:t xml:space="preserve"> in </w:t>
      </w:r>
      <w:proofErr w:type="spellStart"/>
      <w:r>
        <w:rPr>
          <w:sz w:val="22"/>
          <w:szCs w:val="22"/>
          <w:lang w:val="es-ES"/>
        </w:rPr>
        <w:t>Article</w:t>
      </w:r>
      <w:proofErr w:type="spellEnd"/>
      <w:r>
        <w:rPr>
          <w:sz w:val="22"/>
          <w:szCs w:val="22"/>
          <w:lang w:val="es-ES"/>
        </w:rPr>
        <w:t xml:space="preserve"> 7.3.2, </w:t>
      </w:r>
      <w:proofErr w:type="spellStart"/>
      <w:r>
        <w:rPr>
          <w:sz w:val="22"/>
          <w:szCs w:val="22"/>
          <w:lang w:val="es-ES"/>
        </w:rPr>
        <w:t>regardless</w:t>
      </w:r>
      <w:proofErr w:type="spellEnd"/>
      <w:r>
        <w:rPr>
          <w:sz w:val="22"/>
          <w:szCs w:val="22"/>
          <w:lang w:val="es-ES"/>
        </w:rPr>
        <w:t xml:space="preserve"> </w:t>
      </w:r>
      <w:proofErr w:type="spellStart"/>
      <w:r>
        <w:rPr>
          <w:sz w:val="22"/>
          <w:szCs w:val="22"/>
          <w:lang w:val="es-ES"/>
        </w:rPr>
        <w:t>of</w:t>
      </w:r>
      <w:proofErr w:type="spellEnd"/>
      <w:r>
        <w:rPr>
          <w:sz w:val="22"/>
          <w:szCs w:val="22"/>
          <w:lang w:val="es-ES"/>
        </w:rPr>
        <w:t xml:space="preserve"> </w:t>
      </w:r>
      <w:proofErr w:type="spellStart"/>
      <w:r>
        <w:rPr>
          <w:sz w:val="22"/>
          <w:szCs w:val="22"/>
          <w:lang w:val="es-ES"/>
        </w:rPr>
        <w:t>the</w:t>
      </w:r>
      <w:proofErr w:type="spellEnd"/>
      <w:r>
        <w:rPr>
          <w:sz w:val="22"/>
          <w:szCs w:val="22"/>
          <w:lang w:val="es-ES"/>
        </w:rPr>
        <w:t xml:space="preserve"> </w:t>
      </w:r>
      <w:proofErr w:type="spellStart"/>
      <w:r>
        <w:rPr>
          <w:sz w:val="22"/>
          <w:szCs w:val="22"/>
          <w:lang w:val="es-ES"/>
        </w:rPr>
        <w:t>offered</w:t>
      </w:r>
      <w:proofErr w:type="spellEnd"/>
      <w:r>
        <w:rPr>
          <w:sz w:val="22"/>
          <w:szCs w:val="22"/>
          <w:lang w:val="es-ES"/>
        </w:rPr>
        <w:t xml:space="preserve"> R-</w:t>
      </w:r>
      <w:proofErr w:type="spellStart"/>
      <w:r>
        <w:rPr>
          <w:sz w:val="22"/>
          <w:szCs w:val="22"/>
          <w:lang w:val="es-ES"/>
        </w:rPr>
        <w:t>value</w:t>
      </w:r>
      <w:proofErr w:type="spellEnd"/>
      <w:r>
        <w:rPr>
          <w:sz w:val="22"/>
          <w:szCs w:val="22"/>
          <w:lang w:val="es-ES"/>
        </w:rPr>
        <w:t>.</w:t>
      </w:r>
    </w:p>
    <w:p w14:paraId="6073361C" w14:textId="77777777" w:rsidR="00E255F4" w:rsidRDefault="00000000">
      <w:pPr>
        <w:pStyle w:val="Prrafodelista"/>
        <w:numPr>
          <w:ilvl w:val="1"/>
          <w:numId w:val="30"/>
        </w:numPr>
        <w:tabs>
          <w:tab w:val="left" w:pos="142"/>
        </w:tabs>
        <w:spacing w:after="120"/>
        <w:ind w:left="567" w:hanging="567"/>
        <w:jc w:val="both"/>
      </w:pPr>
      <w:proofErr w:type="spellStart"/>
      <w:r>
        <w:rPr>
          <w:sz w:val="22"/>
          <w:szCs w:val="22"/>
          <w:lang w:val="es-ES"/>
        </w:rPr>
        <w:t>These</w:t>
      </w:r>
      <w:proofErr w:type="spellEnd"/>
      <w:r>
        <w:rPr>
          <w:sz w:val="22"/>
          <w:szCs w:val="22"/>
          <w:lang w:val="es-ES"/>
        </w:rPr>
        <w:t xml:space="preserve"> </w:t>
      </w:r>
      <w:proofErr w:type="spellStart"/>
      <w:r>
        <w:rPr>
          <w:sz w:val="22"/>
          <w:szCs w:val="22"/>
          <w:lang w:val="es-ES"/>
        </w:rPr>
        <w:t>tests</w:t>
      </w:r>
      <w:proofErr w:type="spellEnd"/>
      <w:r>
        <w:rPr>
          <w:sz w:val="22"/>
          <w:szCs w:val="22"/>
          <w:lang w:val="es-ES"/>
        </w:rPr>
        <w:t xml:space="preserve"> and </w:t>
      </w:r>
      <w:proofErr w:type="spellStart"/>
      <w:r>
        <w:rPr>
          <w:sz w:val="22"/>
          <w:szCs w:val="22"/>
          <w:lang w:val="es-ES"/>
        </w:rPr>
        <w:t>examinations</w:t>
      </w:r>
      <w:proofErr w:type="spellEnd"/>
      <w:r>
        <w:rPr>
          <w:sz w:val="22"/>
          <w:szCs w:val="22"/>
          <w:lang w:val="es-ES"/>
        </w:rPr>
        <w:t xml:space="preserve"> are </w:t>
      </w:r>
      <w:proofErr w:type="spellStart"/>
      <w:r>
        <w:rPr>
          <w:sz w:val="22"/>
          <w:szCs w:val="22"/>
          <w:lang w:val="es-ES"/>
        </w:rPr>
        <w:t>intended</w:t>
      </w:r>
      <w:proofErr w:type="spellEnd"/>
      <w:r>
        <w:rPr>
          <w:sz w:val="22"/>
          <w:szCs w:val="22"/>
          <w:lang w:val="es-ES"/>
        </w:rPr>
        <w:t xml:space="preserve"> </w:t>
      </w:r>
      <w:proofErr w:type="spellStart"/>
      <w:r>
        <w:rPr>
          <w:sz w:val="22"/>
          <w:szCs w:val="22"/>
          <w:lang w:val="es-ES"/>
        </w:rPr>
        <w:t>to</w:t>
      </w:r>
      <w:proofErr w:type="spellEnd"/>
      <w:r>
        <w:rPr>
          <w:sz w:val="22"/>
          <w:szCs w:val="22"/>
          <w:lang w:val="es-ES"/>
        </w:rPr>
        <w:t xml:space="preserve"> </w:t>
      </w:r>
      <w:proofErr w:type="spellStart"/>
      <w:r>
        <w:rPr>
          <w:sz w:val="22"/>
          <w:szCs w:val="22"/>
          <w:lang w:val="es-ES"/>
        </w:rPr>
        <w:t>verify</w:t>
      </w:r>
      <w:proofErr w:type="spellEnd"/>
      <w:r>
        <w:rPr>
          <w:sz w:val="22"/>
          <w:szCs w:val="22"/>
          <w:lang w:val="es-ES"/>
        </w:rPr>
        <w:t xml:space="preserve"> </w:t>
      </w:r>
      <w:proofErr w:type="spellStart"/>
      <w:r>
        <w:rPr>
          <w:sz w:val="22"/>
          <w:szCs w:val="22"/>
          <w:lang w:val="es-ES"/>
        </w:rPr>
        <w:t>compliance</w:t>
      </w:r>
      <w:proofErr w:type="spellEnd"/>
      <w:r>
        <w:rPr>
          <w:sz w:val="22"/>
          <w:szCs w:val="22"/>
          <w:lang w:val="es-ES"/>
        </w:rPr>
        <w:t xml:space="preserve"> </w:t>
      </w:r>
      <w:proofErr w:type="spellStart"/>
      <w:r>
        <w:rPr>
          <w:sz w:val="22"/>
          <w:szCs w:val="22"/>
          <w:lang w:val="es-ES"/>
        </w:rPr>
        <w:t>with</w:t>
      </w:r>
      <w:proofErr w:type="spellEnd"/>
      <w:r>
        <w:rPr>
          <w:sz w:val="22"/>
          <w:szCs w:val="22"/>
          <w:lang w:val="es-ES"/>
        </w:rPr>
        <w:t xml:space="preserve"> </w:t>
      </w:r>
      <w:proofErr w:type="spellStart"/>
      <w:r>
        <w:rPr>
          <w:sz w:val="22"/>
          <w:szCs w:val="22"/>
          <w:lang w:val="es-ES"/>
        </w:rPr>
        <w:t>the</w:t>
      </w:r>
      <w:proofErr w:type="spellEnd"/>
      <w:r>
        <w:rPr>
          <w:sz w:val="22"/>
          <w:szCs w:val="22"/>
          <w:lang w:val="es-ES"/>
        </w:rPr>
        <w:t xml:space="preserve"> </w:t>
      </w:r>
      <w:proofErr w:type="spellStart"/>
      <w:r>
        <w:rPr>
          <w:sz w:val="22"/>
          <w:szCs w:val="22"/>
          <w:lang w:val="es-ES"/>
        </w:rPr>
        <w:t>requirements</w:t>
      </w:r>
      <w:proofErr w:type="spellEnd"/>
      <w:r>
        <w:rPr>
          <w:sz w:val="22"/>
          <w:szCs w:val="22"/>
          <w:lang w:val="es-ES"/>
        </w:rPr>
        <w:t xml:space="preserve"> </w:t>
      </w:r>
      <w:proofErr w:type="spellStart"/>
      <w:r>
        <w:rPr>
          <w:sz w:val="22"/>
          <w:szCs w:val="22"/>
          <w:lang w:val="es-ES"/>
        </w:rPr>
        <w:t>established</w:t>
      </w:r>
      <w:proofErr w:type="spellEnd"/>
      <w:r>
        <w:rPr>
          <w:sz w:val="22"/>
          <w:szCs w:val="22"/>
          <w:lang w:val="es-ES"/>
        </w:rPr>
        <w:t xml:space="preserve"> </w:t>
      </w:r>
      <w:proofErr w:type="spellStart"/>
      <w:r>
        <w:rPr>
          <w:sz w:val="22"/>
          <w:szCs w:val="22"/>
          <w:lang w:val="es-ES"/>
        </w:rPr>
        <w:t>for</w:t>
      </w:r>
      <w:proofErr w:type="spellEnd"/>
      <w:r>
        <w:rPr>
          <w:sz w:val="22"/>
          <w:szCs w:val="22"/>
          <w:lang w:val="es-ES"/>
        </w:rPr>
        <w:t xml:space="preserve"> </w:t>
      </w:r>
      <w:proofErr w:type="spellStart"/>
      <w:r>
        <w:rPr>
          <w:sz w:val="22"/>
          <w:szCs w:val="22"/>
          <w:lang w:val="es-ES"/>
        </w:rPr>
        <w:t>the</w:t>
      </w:r>
      <w:proofErr w:type="spellEnd"/>
      <w:r>
        <w:rPr>
          <w:sz w:val="22"/>
          <w:szCs w:val="22"/>
          <w:lang w:val="es-ES"/>
        </w:rPr>
        <w:t xml:space="preserve"> </w:t>
      </w:r>
      <w:proofErr w:type="spellStart"/>
      <w:r>
        <w:rPr>
          <w:sz w:val="22"/>
          <w:szCs w:val="22"/>
          <w:lang w:val="es-ES"/>
        </w:rPr>
        <w:t>meters</w:t>
      </w:r>
      <w:proofErr w:type="spellEnd"/>
      <w:r>
        <w:rPr>
          <w:sz w:val="22"/>
          <w:szCs w:val="22"/>
          <w:lang w:val="es-ES"/>
        </w:rPr>
        <w:t xml:space="preserve"> in </w:t>
      </w:r>
      <w:proofErr w:type="spellStart"/>
      <w:r>
        <w:rPr>
          <w:sz w:val="22"/>
          <w:szCs w:val="22"/>
          <w:lang w:val="es-ES"/>
        </w:rPr>
        <w:t>this</w:t>
      </w:r>
      <w:proofErr w:type="spellEnd"/>
      <w:r>
        <w:rPr>
          <w:sz w:val="22"/>
          <w:szCs w:val="22"/>
          <w:lang w:val="es-ES"/>
        </w:rPr>
        <w:t xml:space="preserve"> </w:t>
      </w:r>
      <w:proofErr w:type="spellStart"/>
      <w:r>
        <w:rPr>
          <w:sz w:val="22"/>
          <w:szCs w:val="22"/>
          <w:lang w:val="es-ES"/>
        </w:rPr>
        <w:t>document</w:t>
      </w:r>
      <w:proofErr w:type="spellEnd"/>
      <w:r>
        <w:rPr>
          <w:sz w:val="22"/>
          <w:szCs w:val="22"/>
          <w:lang w:val="es-ES"/>
        </w:rPr>
        <w:t>.</w:t>
      </w:r>
    </w:p>
    <w:p w14:paraId="3EEFB600" w14:textId="77777777" w:rsidR="00E255F4" w:rsidRDefault="00000000">
      <w:pPr>
        <w:pStyle w:val="Prrafodelista"/>
        <w:numPr>
          <w:ilvl w:val="1"/>
          <w:numId w:val="30"/>
        </w:numPr>
        <w:tabs>
          <w:tab w:val="left" w:pos="142"/>
        </w:tabs>
        <w:spacing w:after="120"/>
        <w:ind w:left="567" w:hanging="567"/>
        <w:jc w:val="both"/>
        <w:rPr>
          <w:sz w:val="22"/>
          <w:szCs w:val="22"/>
          <w:lang w:val="es-ES"/>
        </w:rPr>
      </w:pPr>
      <w:r>
        <w:rPr>
          <w:sz w:val="22"/>
          <w:szCs w:val="22"/>
          <w:lang w:val="es-ES"/>
        </w:rPr>
        <w:t xml:space="preserve">The </w:t>
      </w:r>
      <w:proofErr w:type="spellStart"/>
      <w:r>
        <w:rPr>
          <w:sz w:val="22"/>
          <w:szCs w:val="22"/>
          <w:lang w:val="es-ES"/>
        </w:rPr>
        <w:t>tests</w:t>
      </w:r>
      <w:proofErr w:type="spellEnd"/>
      <w:r>
        <w:rPr>
          <w:sz w:val="22"/>
          <w:szCs w:val="22"/>
          <w:lang w:val="es-ES"/>
        </w:rPr>
        <w:t xml:space="preserve"> and </w:t>
      </w:r>
      <w:proofErr w:type="spellStart"/>
      <w:r>
        <w:rPr>
          <w:sz w:val="22"/>
          <w:szCs w:val="22"/>
          <w:lang w:val="es-ES"/>
        </w:rPr>
        <w:t>examinations</w:t>
      </w:r>
      <w:proofErr w:type="spellEnd"/>
      <w:r>
        <w:rPr>
          <w:sz w:val="22"/>
          <w:szCs w:val="22"/>
          <w:lang w:val="es-ES"/>
        </w:rPr>
        <w:t xml:space="preserve"> </w:t>
      </w:r>
      <w:proofErr w:type="spellStart"/>
      <w:r>
        <w:rPr>
          <w:sz w:val="22"/>
          <w:szCs w:val="22"/>
          <w:lang w:val="es-ES"/>
        </w:rPr>
        <w:t>will</w:t>
      </w:r>
      <w:proofErr w:type="spellEnd"/>
      <w:r>
        <w:rPr>
          <w:sz w:val="22"/>
          <w:szCs w:val="22"/>
          <w:lang w:val="es-ES"/>
        </w:rPr>
        <w:t xml:space="preserve"> be </w:t>
      </w:r>
      <w:proofErr w:type="spellStart"/>
      <w:r>
        <w:rPr>
          <w:sz w:val="22"/>
          <w:szCs w:val="22"/>
          <w:lang w:val="es-ES"/>
        </w:rPr>
        <w:t>carried</w:t>
      </w:r>
      <w:proofErr w:type="spellEnd"/>
      <w:r>
        <w:rPr>
          <w:sz w:val="22"/>
          <w:szCs w:val="22"/>
          <w:lang w:val="es-ES"/>
        </w:rPr>
        <w:t xml:space="preserve"> </w:t>
      </w:r>
      <w:proofErr w:type="spellStart"/>
      <w:r>
        <w:rPr>
          <w:sz w:val="22"/>
          <w:szCs w:val="22"/>
          <w:lang w:val="es-ES"/>
        </w:rPr>
        <w:t>out</w:t>
      </w:r>
      <w:proofErr w:type="spellEnd"/>
      <w:r>
        <w:rPr>
          <w:sz w:val="22"/>
          <w:szCs w:val="22"/>
          <w:lang w:val="es-ES"/>
        </w:rPr>
        <w:t xml:space="preserve"> in </w:t>
      </w:r>
      <w:proofErr w:type="spellStart"/>
      <w:r>
        <w:rPr>
          <w:sz w:val="22"/>
          <w:szCs w:val="22"/>
          <w:lang w:val="es-ES"/>
        </w:rPr>
        <w:t>the</w:t>
      </w:r>
      <w:proofErr w:type="spellEnd"/>
      <w:r>
        <w:rPr>
          <w:sz w:val="22"/>
          <w:szCs w:val="22"/>
          <w:lang w:val="es-ES"/>
        </w:rPr>
        <w:t xml:space="preserve"> </w:t>
      </w:r>
      <w:proofErr w:type="spellStart"/>
      <w:r>
        <w:rPr>
          <w:sz w:val="22"/>
          <w:szCs w:val="22"/>
          <w:lang w:val="es-ES"/>
        </w:rPr>
        <w:t>Laboratory</w:t>
      </w:r>
      <w:proofErr w:type="spellEnd"/>
      <w:r>
        <w:rPr>
          <w:sz w:val="22"/>
          <w:szCs w:val="22"/>
          <w:lang w:val="es-ES"/>
        </w:rPr>
        <w:t xml:space="preserve"> </w:t>
      </w:r>
      <w:proofErr w:type="spellStart"/>
      <w:r>
        <w:rPr>
          <w:sz w:val="22"/>
          <w:szCs w:val="22"/>
          <w:lang w:val="es-ES"/>
        </w:rPr>
        <w:t>of</w:t>
      </w:r>
      <w:proofErr w:type="spellEnd"/>
      <w:r>
        <w:rPr>
          <w:sz w:val="22"/>
          <w:szCs w:val="22"/>
          <w:lang w:val="es-ES"/>
        </w:rPr>
        <w:t xml:space="preserve"> </w:t>
      </w:r>
      <w:proofErr w:type="spellStart"/>
      <w:r>
        <w:rPr>
          <w:sz w:val="22"/>
          <w:szCs w:val="22"/>
          <w:lang w:val="es-ES"/>
        </w:rPr>
        <w:t>the</w:t>
      </w:r>
      <w:proofErr w:type="spellEnd"/>
      <w:r>
        <w:rPr>
          <w:sz w:val="22"/>
          <w:szCs w:val="22"/>
          <w:lang w:val="es-ES"/>
        </w:rPr>
        <w:t xml:space="preserve"> </w:t>
      </w:r>
      <w:proofErr w:type="spellStart"/>
      <w:r>
        <w:rPr>
          <w:sz w:val="22"/>
          <w:szCs w:val="22"/>
          <w:lang w:val="es-ES"/>
        </w:rPr>
        <w:t>Measurement</w:t>
      </w:r>
      <w:proofErr w:type="spellEnd"/>
      <w:r>
        <w:rPr>
          <w:sz w:val="22"/>
          <w:szCs w:val="22"/>
          <w:lang w:val="es-ES"/>
        </w:rPr>
        <w:t xml:space="preserve"> Management </w:t>
      </w:r>
      <w:proofErr w:type="spellStart"/>
      <w:r>
        <w:rPr>
          <w:sz w:val="22"/>
          <w:szCs w:val="22"/>
          <w:lang w:val="es-ES"/>
        </w:rPr>
        <w:t>Unit</w:t>
      </w:r>
      <w:proofErr w:type="spellEnd"/>
      <w:r>
        <w:rPr>
          <w:sz w:val="22"/>
          <w:szCs w:val="22"/>
          <w:lang w:val="es-ES"/>
        </w:rPr>
        <w:t xml:space="preserve"> </w:t>
      </w:r>
      <w:proofErr w:type="spellStart"/>
      <w:r>
        <w:rPr>
          <w:sz w:val="22"/>
          <w:szCs w:val="22"/>
          <w:lang w:val="es-ES"/>
        </w:rPr>
        <w:t>of</w:t>
      </w:r>
      <w:proofErr w:type="spellEnd"/>
      <w:r>
        <w:rPr>
          <w:sz w:val="22"/>
          <w:szCs w:val="22"/>
          <w:lang w:val="es-ES"/>
        </w:rPr>
        <w:t xml:space="preserve"> OSE, </w:t>
      </w:r>
      <w:proofErr w:type="spellStart"/>
      <w:r>
        <w:rPr>
          <w:sz w:val="22"/>
          <w:szCs w:val="22"/>
          <w:lang w:val="es-ES"/>
        </w:rPr>
        <w:t>with</w:t>
      </w:r>
      <w:proofErr w:type="spellEnd"/>
      <w:r>
        <w:rPr>
          <w:sz w:val="22"/>
          <w:szCs w:val="22"/>
          <w:lang w:val="es-ES"/>
        </w:rPr>
        <w:t xml:space="preserve"> </w:t>
      </w:r>
      <w:proofErr w:type="spellStart"/>
      <w:r>
        <w:rPr>
          <w:sz w:val="22"/>
          <w:szCs w:val="22"/>
          <w:lang w:val="es-ES"/>
        </w:rPr>
        <w:t>officials</w:t>
      </w:r>
      <w:proofErr w:type="spellEnd"/>
      <w:r>
        <w:rPr>
          <w:sz w:val="22"/>
          <w:szCs w:val="22"/>
          <w:lang w:val="es-ES"/>
        </w:rPr>
        <w:t xml:space="preserve"> </w:t>
      </w:r>
      <w:proofErr w:type="spellStart"/>
      <w:r>
        <w:rPr>
          <w:sz w:val="22"/>
          <w:szCs w:val="22"/>
          <w:lang w:val="es-ES"/>
        </w:rPr>
        <w:t>from</w:t>
      </w:r>
      <w:proofErr w:type="spellEnd"/>
      <w:r>
        <w:rPr>
          <w:sz w:val="22"/>
          <w:szCs w:val="22"/>
          <w:lang w:val="es-ES"/>
        </w:rPr>
        <w:t xml:space="preserve"> </w:t>
      </w:r>
      <w:proofErr w:type="spellStart"/>
      <w:r>
        <w:rPr>
          <w:sz w:val="22"/>
          <w:szCs w:val="22"/>
          <w:lang w:val="es-ES"/>
        </w:rPr>
        <w:t>the</w:t>
      </w:r>
      <w:proofErr w:type="spellEnd"/>
      <w:r>
        <w:rPr>
          <w:sz w:val="22"/>
          <w:szCs w:val="22"/>
          <w:lang w:val="es-ES"/>
        </w:rPr>
        <w:t xml:space="preserve"> </w:t>
      </w:r>
      <w:proofErr w:type="spellStart"/>
      <w:r>
        <w:rPr>
          <w:sz w:val="22"/>
          <w:szCs w:val="22"/>
          <w:lang w:val="es-ES"/>
        </w:rPr>
        <w:t>Administration</w:t>
      </w:r>
      <w:proofErr w:type="spellEnd"/>
      <w:r>
        <w:rPr>
          <w:sz w:val="22"/>
          <w:szCs w:val="22"/>
          <w:lang w:val="es-ES"/>
        </w:rPr>
        <w:t>.</w:t>
      </w:r>
    </w:p>
    <w:p w14:paraId="0D25F213" w14:textId="77777777" w:rsidR="00E255F4" w:rsidRDefault="00000000">
      <w:pPr>
        <w:pStyle w:val="Prrafodelista"/>
        <w:numPr>
          <w:ilvl w:val="1"/>
          <w:numId w:val="30"/>
        </w:numPr>
        <w:tabs>
          <w:tab w:val="left" w:pos="142"/>
        </w:tabs>
        <w:spacing w:after="120"/>
        <w:ind w:left="567" w:hanging="567"/>
        <w:jc w:val="both"/>
        <w:rPr>
          <w:sz w:val="22"/>
          <w:szCs w:val="22"/>
          <w:lang w:val="es-ES"/>
        </w:rPr>
      </w:pPr>
      <w:r>
        <w:rPr>
          <w:sz w:val="22"/>
          <w:szCs w:val="22"/>
          <w:lang w:val="es-ES"/>
        </w:rPr>
        <w:t xml:space="preserve">The </w:t>
      </w:r>
      <w:proofErr w:type="spellStart"/>
      <w:r>
        <w:rPr>
          <w:sz w:val="22"/>
          <w:szCs w:val="22"/>
          <w:lang w:val="es-ES"/>
        </w:rPr>
        <w:t>Administration</w:t>
      </w:r>
      <w:proofErr w:type="spellEnd"/>
      <w:r>
        <w:rPr>
          <w:sz w:val="22"/>
          <w:szCs w:val="22"/>
          <w:lang w:val="es-ES"/>
        </w:rPr>
        <w:t xml:space="preserve"> </w:t>
      </w:r>
      <w:proofErr w:type="spellStart"/>
      <w:r>
        <w:rPr>
          <w:sz w:val="22"/>
          <w:szCs w:val="22"/>
          <w:lang w:val="es-ES"/>
        </w:rPr>
        <w:t>will</w:t>
      </w:r>
      <w:proofErr w:type="spellEnd"/>
      <w:r>
        <w:rPr>
          <w:sz w:val="22"/>
          <w:szCs w:val="22"/>
          <w:lang w:val="es-ES"/>
        </w:rPr>
        <w:t xml:space="preserve"> </w:t>
      </w:r>
      <w:proofErr w:type="spellStart"/>
      <w:r>
        <w:rPr>
          <w:sz w:val="22"/>
          <w:szCs w:val="22"/>
          <w:lang w:val="es-ES"/>
        </w:rPr>
        <w:t>notify</w:t>
      </w:r>
      <w:proofErr w:type="spellEnd"/>
      <w:r>
        <w:rPr>
          <w:sz w:val="22"/>
          <w:szCs w:val="22"/>
          <w:lang w:val="es-ES"/>
        </w:rPr>
        <w:t xml:space="preserve"> </w:t>
      </w:r>
      <w:proofErr w:type="spellStart"/>
      <w:r>
        <w:rPr>
          <w:sz w:val="22"/>
          <w:szCs w:val="22"/>
          <w:lang w:val="es-ES"/>
        </w:rPr>
        <w:t>the</w:t>
      </w:r>
      <w:proofErr w:type="spellEnd"/>
      <w:r>
        <w:rPr>
          <w:sz w:val="22"/>
          <w:szCs w:val="22"/>
          <w:lang w:val="es-ES"/>
        </w:rPr>
        <w:t xml:space="preserve"> </w:t>
      </w:r>
      <w:proofErr w:type="spellStart"/>
      <w:r>
        <w:rPr>
          <w:sz w:val="22"/>
          <w:szCs w:val="22"/>
          <w:lang w:val="es-ES"/>
        </w:rPr>
        <w:t>bidders</w:t>
      </w:r>
      <w:proofErr w:type="spellEnd"/>
      <w:r>
        <w:rPr>
          <w:sz w:val="22"/>
          <w:szCs w:val="22"/>
          <w:lang w:val="es-ES"/>
        </w:rPr>
        <w:t xml:space="preserve"> </w:t>
      </w:r>
      <w:proofErr w:type="spellStart"/>
      <w:r>
        <w:rPr>
          <w:sz w:val="22"/>
          <w:szCs w:val="22"/>
          <w:lang w:val="es-ES"/>
        </w:rPr>
        <w:t>of</w:t>
      </w:r>
      <w:proofErr w:type="spellEnd"/>
      <w:r>
        <w:rPr>
          <w:sz w:val="22"/>
          <w:szCs w:val="22"/>
          <w:lang w:val="es-ES"/>
        </w:rPr>
        <w:t xml:space="preserve"> </w:t>
      </w:r>
      <w:proofErr w:type="spellStart"/>
      <w:r>
        <w:rPr>
          <w:sz w:val="22"/>
          <w:szCs w:val="22"/>
          <w:lang w:val="es-ES"/>
        </w:rPr>
        <w:t>the</w:t>
      </w:r>
      <w:proofErr w:type="spellEnd"/>
      <w:r>
        <w:rPr>
          <w:sz w:val="22"/>
          <w:szCs w:val="22"/>
          <w:lang w:val="es-ES"/>
        </w:rPr>
        <w:t xml:space="preserve"> date </w:t>
      </w:r>
      <w:proofErr w:type="spellStart"/>
      <w:r>
        <w:rPr>
          <w:sz w:val="22"/>
          <w:szCs w:val="22"/>
          <w:lang w:val="es-ES"/>
        </w:rPr>
        <w:t>on</w:t>
      </w:r>
      <w:proofErr w:type="spellEnd"/>
      <w:r>
        <w:rPr>
          <w:sz w:val="22"/>
          <w:szCs w:val="22"/>
          <w:lang w:val="es-ES"/>
        </w:rPr>
        <w:t xml:space="preserve"> </w:t>
      </w:r>
      <w:proofErr w:type="spellStart"/>
      <w:r>
        <w:rPr>
          <w:sz w:val="22"/>
          <w:szCs w:val="22"/>
          <w:lang w:val="es-ES"/>
        </w:rPr>
        <w:t>which</w:t>
      </w:r>
      <w:proofErr w:type="spellEnd"/>
      <w:r>
        <w:rPr>
          <w:sz w:val="22"/>
          <w:szCs w:val="22"/>
          <w:lang w:val="es-ES"/>
        </w:rPr>
        <w:t xml:space="preserve"> </w:t>
      </w:r>
      <w:proofErr w:type="spellStart"/>
      <w:r>
        <w:rPr>
          <w:sz w:val="22"/>
          <w:szCs w:val="22"/>
          <w:lang w:val="es-ES"/>
        </w:rPr>
        <w:t>these</w:t>
      </w:r>
      <w:proofErr w:type="spellEnd"/>
      <w:r>
        <w:rPr>
          <w:sz w:val="22"/>
          <w:szCs w:val="22"/>
          <w:lang w:val="es-ES"/>
        </w:rPr>
        <w:t xml:space="preserve"> </w:t>
      </w:r>
      <w:proofErr w:type="spellStart"/>
      <w:r>
        <w:rPr>
          <w:sz w:val="22"/>
          <w:szCs w:val="22"/>
          <w:lang w:val="es-ES"/>
        </w:rPr>
        <w:t>tests</w:t>
      </w:r>
      <w:proofErr w:type="spellEnd"/>
      <w:r>
        <w:rPr>
          <w:sz w:val="22"/>
          <w:szCs w:val="22"/>
          <w:lang w:val="es-ES"/>
        </w:rPr>
        <w:t xml:space="preserve"> </w:t>
      </w:r>
      <w:proofErr w:type="spellStart"/>
      <w:r>
        <w:rPr>
          <w:sz w:val="22"/>
          <w:szCs w:val="22"/>
          <w:lang w:val="es-ES"/>
        </w:rPr>
        <w:t>will</w:t>
      </w:r>
      <w:proofErr w:type="spellEnd"/>
      <w:r>
        <w:rPr>
          <w:sz w:val="22"/>
          <w:szCs w:val="22"/>
          <w:lang w:val="es-ES"/>
        </w:rPr>
        <w:t xml:space="preserve"> be </w:t>
      </w:r>
      <w:proofErr w:type="spellStart"/>
      <w:r>
        <w:rPr>
          <w:sz w:val="22"/>
          <w:szCs w:val="22"/>
          <w:lang w:val="es-ES"/>
        </w:rPr>
        <w:t>carried</w:t>
      </w:r>
      <w:proofErr w:type="spellEnd"/>
      <w:r>
        <w:rPr>
          <w:sz w:val="22"/>
          <w:szCs w:val="22"/>
          <w:lang w:val="es-ES"/>
        </w:rPr>
        <w:t xml:space="preserve"> </w:t>
      </w:r>
      <w:proofErr w:type="spellStart"/>
      <w:r>
        <w:rPr>
          <w:sz w:val="22"/>
          <w:szCs w:val="22"/>
          <w:lang w:val="es-ES"/>
        </w:rPr>
        <w:t>out</w:t>
      </w:r>
      <w:proofErr w:type="spellEnd"/>
      <w:r>
        <w:rPr>
          <w:sz w:val="22"/>
          <w:szCs w:val="22"/>
          <w:lang w:val="es-ES"/>
        </w:rPr>
        <w:t xml:space="preserve">, and </w:t>
      </w:r>
      <w:proofErr w:type="spellStart"/>
      <w:r>
        <w:rPr>
          <w:sz w:val="22"/>
          <w:szCs w:val="22"/>
          <w:lang w:val="es-ES"/>
        </w:rPr>
        <w:t>may</w:t>
      </w:r>
      <w:proofErr w:type="spellEnd"/>
      <w:r>
        <w:rPr>
          <w:sz w:val="22"/>
          <w:szCs w:val="22"/>
          <w:lang w:val="es-ES"/>
        </w:rPr>
        <w:t xml:space="preserve"> be </w:t>
      </w:r>
      <w:proofErr w:type="spellStart"/>
      <w:r>
        <w:rPr>
          <w:sz w:val="22"/>
          <w:szCs w:val="22"/>
          <w:lang w:val="es-ES"/>
        </w:rPr>
        <w:t>present</w:t>
      </w:r>
      <w:proofErr w:type="spellEnd"/>
      <w:r>
        <w:rPr>
          <w:sz w:val="22"/>
          <w:szCs w:val="22"/>
          <w:lang w:val="es-ES"/>
        </w:rPr>
        <w:t xml:space="preserve"> at </w:t>
      </w:r>
      <w:proofErr w:type="spellStart"/>
      <w:r>
        <w:rPr>
          <w:sz w:val="22"/>
          <w:szCs w:val="22"/>
          <w:lang w:val="es-ES"/>
        </w:rPr>
        <w:t>them</w:t>
      </w:r>
      <w:proofErr w:type="spellEnd"/>
      <w:r>
        <w:rPr>
          <w:sz w:val="22"/>
          <w:szCs w:val="22"/>
          <w:lang w:val="es-ES"/>
        </w:rPr>
        <w:t xml:space="preserve"> </w:t>
      </w:r>
      <w:proofErr w:type="spellStart"/>
      <w:r>
        <w:rPr>
          <w:sz w:val="22"/>
          <w:szCs w:val="22"/>
          <w:lang w:val="es-ES"/>
        </w:rPr>
        <w:t>through</w:t>
      </w:r>
      <w:proofErr w:type="spellEnd"/>
      <w:r>
        <w:rPr>
          <w:sz w:val="22"/>
          <w:szCs w:val="22"/>
          <w:lang w:val="es-ES"/>
        </w:rPr>
        <w:t xml:space="preserve"> a </w:t>
      </w:r>
      <w:proofErr w:type="spellStart"/>
      <w:r>
        <w:rPr>
          <w:sz w:val="22"/>
          <w:szCs w:val="22"/>
          <w:lang w:val="es-ES"/>
        </w:rPr>
        <w:t>duly</w:t>
      </w:r>
      <w:proofErr w:type="spellEnd"/>
      <w:r>
        <w:rPr>
          <w:sz w:val="22"/>
          <w:szCs w:val="22"/>
          <w:lang w:val="es-ES"/>
        </w:rPr>
        <w:t xml:space="preserve"> </w:t>
      </w:r>
      <w:proofErr w:type="spellStart"/>
      <w:r>
        <w:rPr>
          <w:sz w:val="22"/>
          <w:szCs w:val="22"/>
          <w:lang w:val="es-ES"/>
        </w:rPr>
        <w:t>authorized</w:t>
      </w:r>
      <w:proofErr w:type="spellEnd"/>
      <w:r>
        <w:rPr>
          <w:sz w:val="22"/>
          <w:szCs w:val="22"/>
          <w:lang w:val="es-ES"/>
        </w:rPr>
        <w:t xml:space="preserve"> representative.</w:t>
      </w:r>
    </w:p>
    <w:p w14:paraId="03C46EBD" w14:textId="77777777" w:rsidR="00E255F4" w:rsidRDefault="00000000">
      <w:pPr>
        <w:pStyle w:val="Prrafodelista"/>
        <w:numPr>
          <w:ilvl w:val="1"/>
          <w:numId w:val="30"/>
        </w:numPr>
        <w:tabs>
          <w:tab w:val="left" w:pos="142"/>
        </w:tabs>
        <w:spacing w:after="120"/>
        <w:ind w:left="567" w:hanging="567"/>
        <w:jc w:val="both"/>
        <w:rPr>
          <w:color w:val="000000"/>
          <w:sz w:val="22"/>
          <w:szCs w:val="22"/>
          <w:lang w:val="es-ES"/>
        </w:rPr>
      </w:pPr>
      <w:r>
        <w:rPr>
          <w:sz w:val="22"/>
          <w:szCs w:val="22"/>
          <w:lang w:val="es-ES"/>
        </w:rPr>
        <w:t xml:space="preserve">The </w:t>
      </w:r>
      <w:proofErr w:type="spellStart"/>
      <w:r>
        <w:rPr>
          <w:sz w:val="22"/>
          <w:szCs w:val="22"/>
          <w:lang w:val="es-ES"/>
        </w:rPr>
        <w:t>samples</w:t>
      </w:r>
      <w:proofErr w:type="spellEnd"/>
      <w:r>
        <w:rPr>
          <w:sz w:val="22"/>
          <w:szCs w:val="22"/>
          <w:lang w:val="es-ES"/>
        </w:rPr>
        <w:t xml:space="preserve"> </w:t>
      </w:r>
      <w:proofErr w:type="spellStart"/>
      <w:r>
        <w:rPr>
          <w:sz w:val="22"/>
          <w:szCs w:val="22"/>
          <w:lang w:val="es-ES"/>
        </w:rPr>
        <w:t>to</w:t>
      </w:r>
      <w:proofErr w:type="spellEnd"/>
      <w:r>
        <w:rPr>
          <w:sz w:val="22"/>
          <w:szCs w:val="22"/>
          <w:lang w:val="es-ES"/>
        </w:rPr>
        <w:t xml:space="preserve"> be </w:t>
      </w:r>
      <w:proofErr w:type="spellStart"/>
      <w:r>
        <w:rPr>
          <w:sz w:val="22"/>
          <w:szCs w:val="22"/>
          <w:lang w:val="es-ES"/>
        </w:rPr>
        <w:t>submitted</w:t>
      </w:r>
      <w:proofErr w:type="spellEnd"/>
      <w:r>
        <w:rPr>
          <w:sz w:val="22"/>
          <w:szCs w:val="22"/>
          <w:lang w:val="es-ES"/>
        </w:rPr>
        <w:t xml:space="preserve"> </w:t>
      </w:r>
      <w:proofErr w:type="spellStart"/>
      <w:r>
        <w:rPr>
          <w:sz w:val="22"/>
          <w:szCs w:val="22"/>
          <w:lang w:val="es-ES"/>
        </w:rPr>
        <w:t>for</w:t>
      </w:r>
      <w:proofErr w:type="spellEnd"/>
      <w:r>
        <w:rPr>
          <w:sz w:val="22"/>
          <w:szCs w:val="22"/>
          <w:lang w:val="es-ES"/>
        </w:rPr>
        <w:t xml:space="preserve"> </w:t>
      </w:r>
      <w:proofErr w:type="spellStart"/>
      <w:r>
        <w:rPr>
          <w:sz w:val="22"/>
          <w:szCs w:val="22"/>
          <w:lang w:val="es-ES"/>
        </w:rPr>
        <w:t>testing</w:t>
      </w:r>
      <w:proofErr w:type="spellEnd"/>
      <w:r>
        <w:rPr>
          <w:sz w:val="22"/>
          <w:szCs w:val="22"/>
          <w:lang w:val="es-ES"/>
        </w:rPr>
        <w:t xml:space="preserve"> </w:t>
      </w:r>
      <w:proofErr w:type="spellStart"/>
      <w:r>
        <w:rPr>
          <w:sz w:val="22"/>
          <w:szCs w:val="22"/>
          <w:lang w:val="es-ES"/>
        </w:rPr>
        <w:t>may</w:t>
      </w:r>
      <w:proofErr w:type="spellEnd"/>
      <w:r>
        <w:rPr>
          <w:sz w:val="22"/>
          <w:szCs w:val="22"/>
          <w:lang w:val="es-ES"/>
        </w:rPr>
        <w:t xml:space="preserve"> </w:t>
      </w:r>
      <w:proofErr w:type="spellStart"/>
      <w:r>
        <w:rPr>
          <w:sz w:val="22"/>
          <w:szCs w:val="22"/>
          <w:lang w:val="es-ES"/>
        </w:rPr>
        <w:t>not</w:t>
      </w:r>
      <w:proofErr w:type="spellEnd"/>
      <w:r>
        <w:rPr>
          <w:sz w:val="22"/>
          <w:szCs w:val="22"/>
          <w:lang w:val="es-ES"/>
        </w:rPr>
        <w:t xml:space="preserve"> </w:t>
      </w:r>
      <w:proofErr w:type="spellStart"/>
      <w:r>
        <w:rPr>
          <w:sz w:val="22"/>
          <w:szCs w:val="22"/>
          <w:lang w:val="es-ES"/>
        </w:rPr>
        <w:t>have</w:t>
      </w:r>
      <w:r>
        <w:rPr>
          <w:color w:val="000000"/>
          <w:sz w:val="22"/>
          <w:szCs w:val="22"/>
          <w:lang w:val="es-ES"/>
        </w:rPr>
        <w:t>the</w:t>
      </w:r>
      <w:proofErr w:type="spellEnd"/>
      <w:r>
        <w:rPr>
          <w:color w:val="000000"/>
          <w:sz w:val="22"/>
          <w:szCs w:val="22"/>
          <w:lang w:val="es-ES"/>
        </w:rPr>
        <w:t xml:space="preserve"> </w:t>
      </w:r>
      <w:proofErr w:type="spellStart"/>
      <w:r>
        <w:rPr>
          <w:color w:val="000000"/>
          <w:sz w:val="22"/>
          <w:szCs w:val="22"/>
          <w:lang w:val="es-ES"/>
        </w:rPr>
        <w:t>acronym</w:t>
      </w:r>
      <w:proofErr w:type="spellEnd"/>
      <w:r>
        <w:rPr>
          <w:color w:val="000000"/>
          <w:sz w:val="22"/>
          <w:szCs w:val="22"/>
          <w:lang w:val="es-ES"/>
        </w:rPr>
        <w:t xml:space="preserve"> OSE, </w:t>
      </w:r>
      <w:proofErr w:type="spellStart"/>
      <w:r>
        <w:rPr>
          <w:color w:val="000000"/>
          <w:sz w:val="22"/>
          <w:szCs w:val="22"/>
          <w:lang w:val="es-ES"/>
        </w:rPr>
        <w:t>but</w:t>
      </w:r>
      <w:proofErr w:type="spellEnd"/>
      <w:r>
        <w:rPr>
          <w:color w:val="000000"/>
          <w:sz w:val="22"/>
          <w:szCs w:val="22"/>
          <w:lang w:val="es-ES"/>
        </w:rPr>
        <w:t xml:space="preserve"> </w:t>
      </w:r>
      <w:proofErr w:type="spellStart"/>
      <w:r>
        <w:rPr>
          <w:color w:val="000000"/>
          <w:sz w:val="22"/>
          <w:szCs w:val="22"/>
          <w:lang w:val="es-ES"/>
        </w:rPr>
        <w:t>it</w:t>
      </w:r>
      <w:proofErr w:type="spellEnd"/>
      <w:r>
        <w:rPr>
          <w:color w:val="000000"/>
          <w:sz w:val="22"/>
          <w:szCs w:val="22"/>
          <w:lang w:val="es-ES"/>
        </w:rPr>
        <w:t xml:space="preserve"> </w:t>
      </w:r>
      <w:proofErr w:type="spellStart"/>
      <w:r>
        <w:rPr>
          <w:color w:val="000000"/>
          <w:sz w:val="22"/>
          <w:szCs w:val="22"/>
          <w:lang w:val="es-ES"/>
        </w:rPr>
        <w:t>must</w:t>
      </w:r>
      <w:proofErr w:type="spellEnd"/>
      <w:r>
        <w:rPr>
          <w:color w:val="000000"/>
          <w:sz w:val="22"/>
          <w:szCs w:val="22"/>
          <w:lang w:val="es-ES"/>
        </w:rPr>
        <w:t xml:space="preserve"> be </w:t>
      </w:r>
      <w:proofErr w:type="spellStart"/>
      <w:r>
        <w:rPr>
          <w:color w:val="000000"/>
          <w:sz w:val="22"/>
          <w:szCs w:val="22"/>
          <w:lang w:val="es-ES"/>
        </w:rPr>
        <w:t>indicated</w:t>
      </w:r>
      <w:proofErr w:type="spellEnd"/>
      <w:r>
        <w:rPr>
          <w:color w:val="000000"/>
          <w:sz w:val="22"/>
          <w:szCs w:val="22"/>
          <w:lang w:val="es-ES"/>
        </w:rPr>
        <w:t xml:space="preserve"> in </w:t>
      </w:r>
      <w:proofErr w:type="spellStart"/>
      <w:r>
        <w:rPr>
          <w:color w:val="000000"/>
          <w:sz w:val="22"/>
          <w:szCs w:val="22"/>
          <w:lang w:val="es-ES"/>
        </w:rPr>
        <w:t>the</w:t>
      </w:r>
      <w:proofErr w:type="spellEnd"/>
      <w:r>
        <w:rPr>
          <w:color w:val="000000"/>
          <w:sz w:val="22"/>
          <w:szCs w:val="22"/>
          <w:lang w:val="es-ES"/>
        </w:rPr>
        <w:t xml:space="preserve"> </w:t>
      </w:r>
      <w:proofErr w:type="spellStart"/>
      <w:r>
        <w:rPr>
          <w:color w:val="000000"/>
          <w:sz w:val="22"/>
          <w:szCs w:val="22"/>
          <w:lang w:val="es-ES"/>
        </w:rPr>
        <w:t>offer</w:t>
      </w:r>
      <w:proofErr w:type="spellEnd"/>
      <w:r>
        <w:rPr>
          <w:color w:val="000000"/>
          <w:sz w:val="22"/>
          <w:szCs w:val="22"/>
          <w:lang w:val="es-ES"/>
        </w:rPr>
        <w:t xml:space="preserve"> </w:t>
      </w:r>
      <w:proofErr w:type="spellStart"/>
      <w:r>
        <w:rPr>
          <w:color w:val="000000"/>
          <w:sz w:val="22"/>
          <w:szCs w:val="22"/>
          <w:lang w:val="es-ES"/>
        </w:rPr>
        <w:t>that</w:t>
      </w:r>
      <w:proofErr w:type="spellEnd"/>
      <w:r>
        <w:rPr>
          <w:color w:val="000000"/>
          <w:sz w:val="22"/>
          <w:szCs w:val="22"/>
          <w:lang w:val="es-ES"/>
        </w:rPr>
        <w:t xml:space="preserve"> </w:t>
      </w:r>
      <w:proofErr w:type="spellStart"/>
      <w:r>
        <w:rPr>
          <w:color w:val="000000"/>
          <w:sz w:val="22"/>
          <w:szCs w:val="22"/>
          <w:lang w:val="es-ES"/>
        </w:rPr>
        <w:t>they</w:t>
      </w:r>
      <w:proofErr w:type="spellEnd"/>
      <w:r>
        <w:rPr>
          <w:color w:val="000000"/>
          <w:sz w:val="22"/>
          <w:szCs w:val="22"/>
          <w:lang w:val="es-ES"/>
        </w:rPr>
        <w:t xml:space="preserve"> </w:t>
      </w:r>
      <w:proofErr w:type="spellStart"/>
      <w:r>
        <w:rPr>
          <w:color w:val="000000"/>
          <w:sz w:val="22"/>
          <w:szCs w:val="22"/>
          <w:lang w:val="es-ES"/>
        </w:rPr>
        <w:t>will</w:t>
      </w:r>
      <w:proofErr w:type="spellEnd"/>
      <w:r>
        <w:rPr>
          <w:color w:val="000000"/>
          <w:sz w:val="22"/>
          <w:szCs w:val="22"/>
          <w:lang w:val="es-ES"/>
        </w:rPr>
        <w:t xml:space="preserve"> </w:t>
      </w:r>
      <w:proofErr w:type="spellStart"/>
      <w:r>
        <w:rPr>
          <w:color w:val="000000"/>
          <w:sz w:val="22"/>
          <w:szCs w:val="22"/>
          <w:lang w:val="es-ES"/>
        </w:rPr>
        <w:t>comply</w:t>
      </w:r>
      <w:proofErr w:type="spellEnd"/>
      <w:r>
        <w:rPr>
          <w:color w:val="000000"/>
          <w:sz w:val="22"/>
          <w:szCs w:val="22"/>
          <w:lang w:val="es-ES"/>
        </w:rPr>
        <w:t xml:space="preserve"> </w:t>
      </w:r>
      <w:proofErr w:type="spellStart"/>
      <w:r>
        <w:rPr>
          <w:color w:val="000000"/>
          <w:sz w:val="22"/>
          <w:szCs w:val="22"/>
          <w:lang w:val="es-ES"/>
        </w:rPr>
        <w:t>with</w:t>
      </w:r>
      <w:proofErr w:type="spellEnd"/>
      <w:r>
        <w:rPr>
          <w:color w:val="000000"/>
          <w:sz w:val="22"/>
          <w:szCs w:val="22"/>
          <w:lang w:val="es-ES"/>
        </w:rPr>
        <w:t xml:space="preserve"> </w:t>
      </w:r>
      <w:proofErr w:type="spellStart"/>
      <w:r>
        <w:rPr>
          <w:color w:val="000000"/>
          <w:sz w:val="22"/>
          <w:szCs w:val="22"/>
          <w:lang w:val="es-ES"/>
        </w:rPr>
        <w:t>this</w:t>
      </w:r>
      <w:proofErr w:type="spellEnd"/>
      <w:r>
        <w:rPr>
          <w:color w:val="000000"/>
          <w:sz w:val="22"/>
          <w:szCs w:val="22"/>
          <w:lang w:val="es-ES"/>
        </w:rPr>
        <w:t xml:space="preserve"> </w:t>
      </w:r>
      <w:proofErr w:type="spellStart"/>
      <w:r>
        <w:rPr>
          <w:color w:val="000000"/>
          <w:sz w:val="22"/>
          <w:szCs w:val="22"/>
          <w:lang w:val="es-ES"/>
        </w:rPr>
        <w:t>requirement</w:t>
      </w:r>
      <w:proofErr w:type="spellEnd"/>
      <w:r>
        <w:rPr>
          <w:color w:val="000000"/>
          <w:sz w:val="22"/>
          <w:szCs w:val="22"/>
          <w:lang w:val="es-ES"/>
        </w:rPr>
        <w:t xml:space="preserve"> and </w:t>
      </w:r>
      <w:proofErr w:type="spellStart"/>
      <w:r>
        <w:rPr>
          <w:color w:val="000000"/>
          <w:sz w:val="22"/>
          <w:szCs w:val="22"/>
          <w:lang w:val="es-ES"/>
        </w:rPr>
        <w:t>how</w:t>
      </w:r>
      <w:proofErr w:type="spellEnd"/>
      <w:r>
        <w:rPr>
          <w:color w:val="000000"/>
          <w:sz w:val="22"/>
          <w:szCs w:val="22"/>
          <w:lang w:val="es-ES"/>
        </w:rPr>
        <w:t>.</w:t>
      </w:r>
    </w:p>
    <w:p w14:paraId="21D9061B" w14:textId="77777777" w:rsidR="00E255F4" w:rsidRDefault="00000000">
      <w:pPr>
        <w:pStyle w:val="Prrafodelista"/>
        <w:numPr>
          <w:ilvl w:val="1"/>
          <w:numId w:val="30"/>
        </w:numPr>
        <w:tabs>
          <w:tab w:val="left" w:pos="142"/>
        </w:tabs>
        <w:spacing w:after="120"/>
        <w:ind w:left="567" w:hanging="567"/>
        <w:jc w:val="both"/>
        <w:rPr>
          <w:sz w:val="22"/>
          <w:szCs w:val="22"/>
          <w:lang w:val="es-ES"/>
        </w:rPr>
      </w:pPr>
      <w:r>
        <w:rPr>
          <w:sz w:val="22"/>
          <w:szCs w:val="22"/>
          <w:lang w:val="es-ES"/>
        </w:rPr>
        <w:t xml:space="preserve">The </w:t>
      </w:r>
      <w:proofErr w:type="spellStart"/>
      <w:r>
        <w:rPr>
          <w:sz w:val="22"/>
          <w:szCs w:val="22"/>
          <w:lang w:val="es-ES"/>
        </w:rPr>
        <w:t>results</w:t>
      </w:r>
      <w:proofErr w:type="spellEnd"/>
      <w:r>
        <w:rPr>
          <w:sz w:val="22"/>
          <w:szCs w:val="22"/>
          <w:lang w:val="es-ES"/>
        </w:rPr>
        <w:t xml:space="preserve"> </w:t>
      </w:r>
      <w:proofErr w:type="spellStart"/>
      <w:r>
        <w:rPr>
          <w:sz w:val="22"/>
          <w:szCs w:val="22"/>
          <w:lang w:val="es-ES"/>
        </w:rPr>
        <w:t>of</w:t>
      </w:r>
      <w:proofErr w:type="spellEnd"/>
      <w:r>
        <w:rPr>
          <w:sz w:val="22"/>
          <w:szCs w:val="22"/>
          <w:lang w:val="es-ES"/>
        </w:rPr>
        <w:t xml:space="preserve"> </w:t>
      </w:r>
      <w:proofErr w:type="spellStart"/>
      <w:r>
        <w:rPr>
          <w:sz w:val="22"/>
          <w:szCs w:val="22"/>
          <w:lang w:val="es-ES"/>
        </w:rPr>
        <w:t>the</w:t>
      </w:r>
      <w:proofErr w:type="spellEnd"/>
      <w:r>
        <w:rPr>
          <w:sz w:val="22"/>
          <w:szCs w:val="22"/>
          <w:lang w:val="es-ES"/>
        </w:rPr>
        <w:t xml:space="preserve"> </w:t>
      </w:r>
      <w:proofErr w:type="spellStart"/>
      <w:r>
        <w:rPr>
          <w:sz w:val="22"/>
          <w:szCs w:val="22"/>
          <w:lang w:val="es-ES"/>
        </w:rPr>
        <w:t>tests</w:t>
      </w:r>
      <w:proofErr w:type="spellEnd"/>
      <w:r>
        <w:rPr>
          <w:sz w:val="22"/>
          <w:szCs w:val="22"/>
          <w:lang w:val="es-ES"/>
        </w:rPr>
        <w:t xml:space="preserve"> </w:t>
      </w:r>
      <w:proofErr w:type="spellStart"/>
      <w:r>
        <w:rPr>
          <w:sz w:val="22"/>
          <w:szCs w:val="22"/>
          <w:lang w:val="es-ES"/>
        </w:rPr>
        <w:t>will</w:t>
      </w:r>
      <w:proofErr w:type="spellEnd"/>
      <w:r>
        <w:rPr>
          <w:sz w:val="22"/>
          <w:szCs w:val="22"/>
          <w:lang w:val="es-ES"/>
        </w:rPr>
        <w:t xml:space="preserve"> be </w:t>
      </w:r>
      <w:proofErr w:type="spellStart"/>
      <w:r>
        <w:rPr>
          <w:sz w:val="22"/>
          <w:szCs w:val="22"/>
          <w:lang w:val="es-ES"/>
        </w:rPr>
        <w:t>recorded</w:t>
      </w:r>
      <w:proofErr w:type="spellEnd"/>
      <w:r>
        <w:rPr>
          <w:sz w:val="22"/>
          <w:szCs w:val="22"/>
          <w:lang w:val="es-ES"/>
        </w:rPr>
        <w:t xml:space="preserve"> in minutes </w:t>
      </w:r>
      <w:proofErr w:type="spellStart"/>
      <w:r>
        <w:rPr>
          <w:sz w:val="22"/>
          <w:szCs w:val="22"/>
          <w:lang w:val="es-ES"/>
        </w:rPr>
        <w:t>to</w:t>
      </w:r>
      <w:proofErr w:type="spellEnd"/>
      <w:r>
        <w:rPr>
          <w:sz w:val="22"/>
          <w:szCs w:val="22"/>
          <w:lang w:val="es-ES"/>
        </w:rPr>
        <w:t xml:space="preserve"> </w:t>
      </w:r>
      <w:proofErr w:type="spellStart"/>
      <w:r>
        <w:rPr>
          <w:sz w:val="22"/>
          <w:szCs w:val="22"/>
          <w:lang w:val="es-ES"/>
        </w:rPr>
        <w:t>which</w:t>
      </w:r>
      <w:proofErr w:type="spellEnd"/>
      <w:r>
        <w:rPr>
          <w:sz w:val="22"/>
          <w:szCs w:val="22"/>
          <w:lang w:val="es-ES"/>
        </w:rPr>
        <w:t xml:space="preserve"> </w:t>
      </w:r>
      <w:proofErr w:type="spellStart"/>
      <w:r>
        <w:rPr>
          <w:sz w:val="22"/>
          <w:szCs w:val="22"/>
          <w:lang w:val="es-ES"/>
        </w:rPr>
        <w:t>the</w:t>
      </w:r>
      <w:proofErr w:type="spellEnd"/>
      <w:r>
        <w:rPr>
          <w:sz w:val="22"/>
          <w:szCs w:val="22"/>
          <w:lang w:val="es-ES"/>
        </w:rPr>
        <w:t xml:space="preserve"> </w:t>
      </w:r>
      <w:proofErr w:type="spellStart"/>
      <w:r>
        <w:rPr>
          <w:sz w:val="22"/>
          <w:szCs w:val="22"/>
          <w:lang w:val="es-ES"/>
        </w:rPr>
        <w:t>corresponding</w:t>
      </w:r>
      <w:proofErr w:type="spellEnd"/>
      <w:r>
        <w:rPr>
          <w:sz w:val="22"/>
          <w:szCs w:val="22"/>
          <w:lang w:val="es-ES"/>
        </w:rPr>
        <w:t xml:space="preserve"> control </w:t>
      </w:r>
      <w:proofErr w:type="spellStart"/>
      <w:r>
        <w:rPr>
          <w:sz w:val="22"/>
          <w:szCs w:val="22"/>
          <w:lang w:val="es-ES"/>
        </w:rPr>
        <w:t>sheets</w:t>
      </w:r>
      <w:proofErr w:type="spellEnd"/>
      <w:r>
        <w:rPr>
          <w:sz w:val="22"/>
          <w:szCs w:val="22"/>
          <w:lang w:val="es-ES"/>
        </w:rPr>
        <w:t xml:space="preserve"> and </w:t>
      </w:r>
      <w:proofErr w:type="spellStart"/>
      <w:r>
        <w:rPr>
          <w:sz w:val="22"/>
          <w:szCs w:val="22"/>
          <w:lang w:val="es-ES"/>
        </w:rPr>
        <w:t>any</w:t>
      </w:r>
      <w:proofErr w:type="spellEnd"/>
      <w:r>
        <w:rPr>
          <w:sz w:val="22"/>
          <w:szCs w:val="22"/>
          <w:lang w:val="es-ES"/>
        </w:rPr>
        <w:t xml:space="preserve"> </w:t>
      </w:r>
      <w:proofErr w:type="spellStart"/>
      <w:r>
        <w:rPr>
          <w:sz w:val="22"/>
          <w:szCs w:val="22"/>
          <w:lang w:val="es-ES"/>
        </w:rPr>
        <w:t>relevant</w:t>
      </w:r>
      <w:proofErr w:type="spellEnd"/>
      <w:r>
        <w:rPr>
          <w:sz w:val="22"/>
          <w:szCs w:val="22"/>
          <w:lang w:val="es-ES"/>
        </w:rPr>
        <w:t xml:space="preserve"> </w:t>
      </w:r>
      <w:proofErr w:type="spellStart"/>
      <w:r>
        <w:rPr>
          <w:sz w:val="22"/>
          <w:szCs w:val="22"/>
          <w:lang w:val="es-ES"/>
        </w:rPr>
        <w:t>observations</w:t>
      </w:r>
      <w:proofErr w:type="spellEnd"/>
      <w:r>
        <w:rPr>
          <w:sz w:val="22"/>
          <w:szCs w:val="22"/>
          <w:lang w:val="es-ES"/>
        </w:rPr>
        <w:t xml:space="preserve"> </w:t>
      </w:r>
      <w:proofErr w:type="spellStart"/>
      <w:r>
        <w:rPr>
          <w:sz w:val="22"/>
          <w:szCs w:val="22"/>
          <w:lang w:val="es-ES"/>
        </w:rPr>
        <w:t>will</w:t>
      </w:r>
      <w:proofErr w:type="spellEnd"/>
      <w:r>
        <w:rPr>
          <w:sz w:val="22"/>
          <w:szCs w:val="22"/>
          <w:lang w:val="es-ES"/>
        </w:rPr>
        <w:t xml:space="preserve"> be </w:t>
      </w:r>
      <w:proofErr w:type="spellStart"/>
      <w:r>
        <w:rPr>
          <w:sz w:val="22"/>
          <w:szCs w:val="22"/>
          <w:lang w:val="es-ES"/>
        </w:rPr>
        <w:t>attached</w:t>
      </w:r>
      <w:proofErr w:type="spellEnd"/>
      <w:r>
        <w:rPr>
          <w:sz w:val="22"/>
          <w:szCs w:val="22"/>
          <w:lang w:val="es-ES"/>
        </w:rPr>
        <w:t>.</w:t>
      </w:r>
    </w:p>
    <w:p w14:paraId="1DCBEB30" w14:textId="77777777" w:rsidR="00E255F4" w:rsidRDefault="00000000">
      <w:pPr>
        <w:pStyle w:val="Prrafodelista"/>
        <w:numPr>
          <w:ilvl w:val="1"/>
          <w:numId w:val="30"/>
        </w:numPr>
        <w:tabs>
          <w:tab w:val="left" w:pos="142"/>
        </w:tabs>
        <w:spacing w:after="120"/>
        <w:ind w:left="567" w:hanging="567"/>
        <w:jc w:val="both"/>
        <w:rPr>
          <w:sz w:val="22"/>
          <w:szCs w:val="22"/>
          <w:lang w:val="es-ES"/>
        </w:rPr>
      </w:pPr>
      <w:proofErr w:type="spellStart"/>
      <w:r>
        <w:rPr>
          <w:sz w:val="22"/>
          <w:szCs w:val="22"/>
          <w:lang w:val="es-ES"/>
        </w:rPr>
        <w:t>Three</w:t>
      </w:r>
      <w:proofErr w:type="spellEnd"/>
      <w:r>
        <w:rPr>
          <w:sz w:val="22"/>
          <w:szCs w:val="22"/>
          <w:lang w:val="es-ES"/>
        </w:rPr>
        <w:t xml:space="preserve"> copies </w:t>
      </w:r>
      <w:proofErr w:type="spellStart"/>
      <w:r>
        <w:rPr>
          <w:sz w:val="22"/>
          <w:szCs w:val="22"/>
          <w:lang w:val="es-ES"/>
        </w:rPr>
        <w:t>of</w:t>
      </w:r>
      <w:proofErr w:type="spellEnd"/>
      <w:r>
        <w:rPr>
          <w:sz w:val="22"/>
          <w:szCs w:val="22"/>
          <w:lang w:val="es-ES"/>
        </w:rPr>
        <w:t xml:space="preserve"> </w:t>
      </w:r>
      <w:proofErr w:type="spellStart"/>
      <w:r>
        <w:rPr>
          <w:sz w:val="22"/>
          <w:szCs w:val="22"/>
          <w:lang w:val="es-ES"/>
        </w:rPr>
        <w:t>each</w:t>
      </w:r>
      <w:proofErr w:type="spellEnd"/>
      <w:r>
        <w:rPr>
          <w:sz w:val="22"/>
          <w:szCs w:val="22"/>
          <w:lang w:val="es-ES"/>
        </w:rPr>
        <w:t xml:space="preserve"> </w:t>
      </w:r>
      <w:proofErr w:type="spellStart"/>
      <w:r>
        <w:rPr>
          <w:sz w:val="22"/>
          <w:szCs w:val="22"/>
          <w:lang w:val="es-ES"/>
        </w:rPr>
        <w:t>of</w:t>
      </w:r>
      <w:proofErr w:type="spellEnd"/>
      <w:r>
        <w:rPr>
          <w:sz w:val="22"/>
          <w:szCs w:val="22"/>
          <w:lang w:val="es-ES"/>
        </w:rPr>
        <w:t xml:space="preserve"> </w:t>
      </w:r>
      <w:proofErr w:type="spellStart"/>
      <w:r>
        <w:rPr>
          <w:sz w:val="22"/>
          <w:szCs w:val="22"/>
          <w:lang w:val="es-ES"/>
        </w:rPr>
        <w:t>these</w:t>
      </w:r>
      <w:proofErr w:type="spellEnd"/>
      <w:r>
        <w:rPr>
          <w:sz w:val="22"/>
          <w:szCs w:val="22"/>
          <w:lang w:val="es-ES"/>
        </w:rPr>
        <w:t xml:space="preserve"> </w:t>
      </w:r>
      <w:proofErr w:type="spellStart"/>
      <w:r>
        <w:rPr>
          <w:sz w:val="22"/>
          <w:szCs w:val="22"/>
          <w:lang w:val="es-ES"/>
        </w:rPr>
        <w:t>documents</w:t>
      </w:r>
      <w:proofErr w:type="spellEnd"/>
      <w:r>
        <w:rPr>
          <w:sz w:val="22"/>
          <w:szCs w:val="22"/>
          <w:lang w:val="es-ES"/>
        </w:rPr>
        <w:t xml:space="preserve"> </w:t>
      </w:r>
      <w:proofErr w:type="spellStart"/>
      <w:r>
        <w:rPr>
          <w:sz w:val="22"/>
          <w:szCs w:val="22"/>
          <w:lang w:val="es-ES"/>
        </w:rPr>
        <w:t>will</w:t>
      </w:r>
      <w:proofErr w:type="spellEnd"/>
      <w:r>
        <w:rPr>
          <w:sz w:val="22"/>
          <w:szCs w:val="22"/>
          <w:lang w:val="es-ES"/>
        </w:rPr>
        <w:t xml:space="preserve"> be </w:t>
      </w:r>
      <w:proofErr w:type="spellStart"/>
      <w:r>
        <w:rPr>
          <w:sz w:val="22"/>
          <w:szCs w:val="22"/>
          <w:lang w:val="es-ES"/>
        </w:rPr>
        <w:t>made</w:t>
      </w:r>
      <w:proofErr w:type="spellEnd"/>
      <w:r>
        <w:rPr>
          <w:sz w:val="22"/>
          <w:szCs w:val="22"/>
          <w:lang w:val="es-ES"/>
        </w:rPr>
        <w:t xml:space="preserve">, </w:t>
      </w:r>
      <w:proofErr w:type="spellStart"/>
      <w:r>
        <w:rPr>
          <w:sz w:val="22"/>
          <w:szCs w:val="22"/>
          <w:lang w:val="es-ES"/>
        </w:rPr>
        <w:t>two</w:t>
      </w:r>
      <w:proofErr w:type="spellEnd"/>
      <w:r>
        <w:rPr>
          <w:sz w:val="22"/>
          <w:szCs w:val="22"/>
          <w:lang w:val="es-ES"/>
        </w:rPr>
        <w:t xml:space="preserve"> </w:t>
      </w:r>
      <w:proofErr w:type="spellStart"/>
      <w:r>
        <w:rPr>
          <w:sz w:val="22"/>
          <w:szCs w:val="22"/>
          <w:lang w:val="es-ES"/>
        </w:rPr>
        <w:t>for</w:t>
      </w:r>
      <w:proofErr w:type="spellEnd"/>
      <w:r>
        <w:rPr>
          <w:sz w:val="22"/>
          <w:szCs w:val="22"/>
          <w:lang w:val="es-ES"/>
        </w:rPr>
        <w:t xml:space="preserve"> </w:t>
      </w:r>
      <w:proofErr w:type="spellStart"/>
      <w:r>
        <w:rPr>
          <w:sz w:val="22"/>
          <w:szCs w:val="22"/>
          <w:lang w:val="es-ES"/>
        </w:rPr>
        <w:t>the</w:t>
      </w:r>
      <w:proofErr w:type="spellEnd"/>
      <w:r>
        <w:rPr>
          <w:sz w:val="22"/>
          <w:szCs w:val="22"/>
          <w:lang w:val="es-ES"/>
        </w:rPr>
        <w:t xml:space="preserve"> </w:t>
      </w:r>
      <w:proofErr w:type="spellStart"/>
      <w:r>
        <w:rPr>
          <w:sz w:val="22"/>
          <w:szCs w:val="22"/>
          <w:lang w:val="es-ES"/>
        </w:rPr>
        <w:t>Administration</w:t>
      </w:r>
      <w:proofErr w:type="spellEnd"/>
      <w:r>
        <w:rPr>
          <w:sz w:val="22"/>
          <w:szCs w:val="22"/>
          <w:lang w:val="es-ES"/>
        </w:rPr>
        <w:t xml:space="preserve"> and </w:t>
      </w:r>
      <w:proofErr w:type="spellStart"/>
      <w:r>
        <w:rPr>
          <w:sz w:val="22"/>
          <w:szCs w:val="22"/>
          <w:lang w:val="es-ES"/>
        </w:rPr>
        <w:t>one</w:t>
      </w:r>
      <w:proofErr w:type="spellEnd"/>
      <w:r>
        <w:rPr>
          <w:sz w:val="22"/>
          <w:szCs w:val="22"/>
          <w:lang w:val="es-ES"/>
        </w:rPr>
        <w:t xml:space="preserve"> </w:t>
      </w:r>
      <w:proofErr w:type="spellStart"/>
      <w:r>
        <w:rPr>
          <w:sz w:val="22"/>
          <w:szCs w:val="22"/>
          <w:lang w:val="es-ES"/>
        </w:rPr>
        <w:t>for</w:t>
      </w:r>
      <w:proofErr w:type="spellEnd"/>
      <w:r>
        <w:rPr>
          <w:sz w:val="22"/>
          <w:szCs w:val="22"/>
          <w:lang w:val="es-ES"/>
        </w:rPr>
        <w:t xml:space="preserve"> </w:t>
      </w:r>
      <w:proofErr w:type="spellStart"/>
      <w:r>
        <w:rPr>
          <w:sz w:val="22"/>
          <w:szCs w:val="22"/>
          <w:lang w:val="es-ES"/>
        </w:rPr>
        <w:t>the</w:t>
      </w:r>
      <w:proofErr w:type="spellEnd"/>
      <w:r>
        <w:rPr>
          <w:sz w:val="22"/>
          <w:szCs w:val="22"/>
          <w:lang w:val="es-ES"/>
        </w:rPr>
        <w:t xml:space="preserve"> </w:t>
      </w:r>
      <w:proofErr w:type="spellStart"/>
      <w:r>
        <w:rPr>
          <w:sz w:val="22"/>
          <w:szCs w:val="22"/>
          <w:lang w:val="es-ES"/>
        </w:rPr>
        <w:t>bidder</w:t>
      </w:r>
      <w:proofErr w:type="spellEnd"/>
      <w:r>
        <w:rPr>
          <w:sz w:val="22"/>
          <w:szCs w:val="22"/>
          <w:lang w:val="es-ES"/>
        </w:rPr>
        <w:t xml:space="preserve">, </w:t>
      </w:r>
      <w:proofErr w:type="spellStart"/>
      <w:r>
        <w:rPr>
          <w:sz w:val="22"/>
          <w:szCs w:val="22"/>
          <w:lang w:val="es-ES"/>
        </w:rPr>
        <w:t>all</w:t>
      </w:r>
      <w:proofErr w:type="spellEnd"/>
      <w:r>
        <w:rPr>
          <w:sz w:val="22"/>
          <w:szCs w:val="22"/>
          <w:lang w:val="es-ES"/>
        </w:rPr>
        <w:t xml:space="preserve"> </w:t>
      </w:r>
      <w:proofErr w:type="spellStart"/>
      <w:r>
        <w:rPr>
          <w:sz w:val="22"/>
          <w:szCs w:val="22"/>
          <w:lang w:val="es-ES"/>
        </w:rPr>
        <w:t>of</w:t>
      </w:r>
      <w:proofErr w:type="spellEnd"/>
      <w:r>
        <w:rPr>
          <w:sz w:val="22"/>
          <w:szCs w:val="22"/>
          <w:lang w:val="es-ES"/>
        </w:rPr>
        <w:t xml:space="preserve"> </w:t>
      </w:r>
      <w:proofErr w:type="spellStart"/>
      <w:r>
        <w:rPr>
          <w:sz w:val="22"/>
          <w:szCs w:val="22"/>
          <w:lang w:val="es-ES"/>
        </w:rPr>
        <w:t>which</w:t>
      </w:r>
      <w:proofErr w:type="spellEnd"/>
      <w:r>
        <w:rPr>
          <w:sz w:val="22"/>
          <w:szCs w:val="22"/>
          <w:lang w:val="es-ES"/>
        </w:rPr>
        <w:t xml:space="preserve"> </w:t>
      </w:r>
      <w:proofErr w:type="spellStart"/>
      <w:r>
        <w:rPr>
          <w:sz w:val="22"/>
          <w:szCs w:val="22"/>
          <w:lang w:val="es-ES"/>
        </w:rPr>
        <w:t>must</w:t>
      </w:r>
      <w:proofErr w:type="spellEnd"/>
      <w:r>
        <w:rPr>
          <w:sz w:val="22"/>
          <w:szCs w:val="22"/>
          <w:lang w:val="es-ES"/>
        </w:rPr>
        <w:t xml:space="preserve"> be </w:t>
      </w:r>
      <w:proofErr w:type="spellStart"/>
      <w:r>
        <w:rPr>
          <w:sz w:val="22"/>
          <w:szCs w:val="22"/>
          <w:lang w:val="es-ES"/>
        </w:rPr>
        <w:t>signed</w:t>
      </w:r>
      <w:proofErr w:type="spellEnd"/>
      <w:r>
        <w:rPr>
          <w:sz w:val="22"/>
          <w:szCs w:val="22"/>
          <w:lang w:val="es-ES"/>
        </w:rPr>
        <w:t xml:space="preserve"> </w:t>
      </w:r>
      <w:proofErr w:type="spellStart"/>
      <w:r>
        <w:rPr>
          <w:sz w:val="22"/>
          <w:szCs w:val="22"/>
          <w:lang w:val="es-ES"/>
        </w:rPr>
        <w:t>by</w:t>
      </w:r>
      <w:proofErr w:type="spellEnd"/>
      <w:r>
        <w:rPr>
          <w:sz w:val="22"/>
          <w:szCs w:val="22"/>
          <w:lang w:val="es-ES"/>
        </w:rPr>
        <w:t xml:space="preserve"> </w:t>
      </w:r>
      <w:proofErr w:type="spellStart"/>
      <w:r>
        <w:rPr>
          <w:sz w:val="22"/>
          <w:szCs w:val="22"/>
          <w:lang w:val="es-ES"/>
        </w:rPr>
        <w:t>the</w:t>
      </w:r>
      <w:proofErr w:type="spellEnd"/>
      <w:r>
        <w:rPr>
          <w:sz w:val="22"/>
          <w:szCs w:val="22"/>
          <w:lang w:val="es-ES"/>
        </w:rPr>
        <w:t xml:space="preserve"> </w:t>
      </w:r>
      <w:proofErr w:type="spellStart"/>
      <w:r>
        <w:rPr>
          <w:sz w:val="22"/>
          <w:szCs w:val="22"/>
          <w:lang w:val="es-ES"/>
        </w:rPr>
        <w:t>acting</w:t>
      </w:r>
      <w:proofErr w:type="spellEnd"/>
      <w:r>
        <w:rPr>
          <w:sz w:val="22"/>
          <w:szCs w:val="22"/>
          <w:lang w:val="es-ES"/>
        </w:rPr>
        <w:t xml:space="preserve"> </w:t>
      </w:r>
      <w:proofErr w:type="spellStart"/>
      <w:r>
        <w:rPr>
          <w:sz w:val="22"/>
          <w:szCs w:val="22"/>
          <w:lang w:val="es-ES"/>
        </w:rPr>
        <w:t>officials</w:t>
      </w:r>
      <w:proofErr w:type="spellEnd"/>
      <w:r>
        <w:rPr>
          <w:sz w:val="22"/>
          <w:szCs w:val="22"/>
          <w:lang w:val="es-ES"/>
        </w:rPr>
        <w:t>.</w:t>
      </w:r>
    </w:p>
    <w:p w14:paraId="330A5ED0" w14:textId="77777777" w:rsidR="00E255F4" w:rsidRDefault="00000000">
      <w:pPr>
        <w:pStyle w:val="Prrafodelista"/>
        <w:numPr>
          <w:ilvl w:val="1"/>
          <w:numId w:val="30"/>
        </w:numPr>
        <w:tabs>
          <w:tab w:val="left" w:pos="142"/>
        </w:tabs>
        <w:spacing w:after="240"/>
        <w:ind w:left="567" w:hanging="567"/>
        <w:jc w:val="both"/>
        <w:rPr>
          <w:sz w:val="22"/>
          <w:szCs w:val="22"/>
          <w:lang w:val="es-ES"/>
        </w:rPr>
      </w:pPr>
      <w:r>
        <w:rPr>
          <w:sz w:val="22"/>
          <w:szCs w:val="22"/>
          <w:lang w:val="es-ES"/>
        </w:rPr>
        <w:lastRenderedPageBreak/>
        <w:t xml:space="preserve">The </w:t>
      </w:r>
      <w:proofErr w:type="spellStart"/>
      <w:r>
        <w:rPr>
          <w:sz w:val="22"/>
          <w:szCs w:val="22"/>
          <w:lang w:val="es-ES"/>
        </w:rPr>
        <w:t>tests</w:t>
      </w:r>
      <w:proofErr w:type="spellEnd"/>
      <w:r>
        <w:rPr>
          <w:sz w:val="22"/>
          <w:szCs w:val="22"/>
          <w:lang w:val="es-ES"/>
        </w:rPr>
        <w:t xml:space="preserve"> </w:t>
      </w:r>
      <w:proofErr w:type="spellStart"/>
      <w:r>
        <w:rPr>
          <w:sz w:val="22"/>
          <w:szCs w:val="22"/>
          <w:lang w:val="es-ES"/>
        </w:rPr>
        <w:t>will</w:t>
      </w:r>
      <w:proofErr w:type="spellEnd"/>
      <w:r>
        <w:rPr>
          <w:sz w:val="22"/>
          <w:szCs w:val="22"/>
          <w:lang w:val="es-ES"/>
        </w:rPr>
        <w:t xml:space="preserve"> be in </w:t>
      </w:r>
      <w:proofErr w:type="spellStart"/>
      <w:r>
        <w:rPr>
          <w:sz w:val="22"/>
          <w:szCs w:val="22"/>
          <w:lang w:val="es-ES"/>
        </w:rPr>
        <w:t>accordance</w:t>
      </w:r>
      <w:proofErr w:type="spellEnd"/>
      <w:r>
        <w:rPr>
          <w:sz w:val="22"/>
          <w:szCs w:val="22"/>
          <w:lang w:val="es-ES"/>
        </w:rPr>
        <w:t xml:space="preserve"> </w:t>
      </w:r>
      <w:proofErr w:type="spellStart"/>
      <w:r>
        <w:rPr>
          <w:sz w:val="22"/>
          <w:szCs w:val="22"/>
          <w:lang w:val="es-ES"/>
        </w:rPr>
        <w:t>with</w:t>
      </w:r>
      <w:proofErr w:type="spellEnd"/>
      <w:r>
        <w:rPr>
          <w:sz w:val="22"/>
          <w:szCs w:val="22"/>
          <w:lang w:val="es-ES"/>
        </w:rPr>
        <w:t xml:space="preserve"> ISO 4064 I / II and III, UNIT Standard – NM 212:2002, </w:t>
      </w:r>
      <w:proofErr w:type="spellStart"/>
      <w:r>
        <w:rPr>
          <w:sz w:val="22"/>
          <w:szCs w:val="22"/>
          <w:lang w:val="es-ES"/>
        </w:rPr>
        <w:t>indicating</w:t>
      </w:r>
      <w:proofErr w:type="spellEnd"/>
      <w:r>
        <w:rPr>
          <w:sz w:val="22"/>
          <w:szCs w:val="22"/>
          <w:lang w:val="es-ES"/>
        </w:rPr>
        <w:t xml:space="preserve"> </w:t>
      </w:r>
      <w:proofErr w:type="spellStart"/>
      <w:r>
        <w:rPr>
          <w:sz w:val="22"/>
          <w:szCs w:val="22"/>
          <w:lang w:val="es-ES"/>
        </w:rPr>
        <w:t>below</w:t>
      </w:r>
      <w:proofErr w:type="spellEnd"/>
      <w:r>
        <w:rPr>
          <w:sz w:val="22"/>
          <w:szCs w:val="22"/>
          <w:lang w:val="es-ES"/>
        </w:rPr>
        <w:t xml:space="preserve"> </w:t>
      </w:r>
      <w:proofErr w:type="spellStart"/>
      <w:r>
        <w:rPr>
          <w:sz w:val="22"/>
          <w:szCs w:val="22"/>
          <w:lang w:val="es-ES"/>
        </w:rPr>
        <w:t>the</w:t>
      </w:r>
      <w:proofErr w:type="spellEnd"/>
      <w:r>
        <w:rPr>
          <w:sz w:val="22"/>
          <w:szCs w:val="22"/>
          <w:lang w:val="es-ES"/>
        </w:rPr>
        <w:t xml:space="preserve"> </w:t>
      </w:r>
      <w:proofErr w:type="spellStart"/>
      <w:r>
        <w:rPr>
          <w:sz w:val="22"/>
          <w:szCs w:val="22"/>
          <w:lang w:val="es-ES"/>
        </w:rPr>
        <w:t>class</w:t>
      </w:r>
      <w:proofErr w:type="spellEnd"/>
      <w:r>
        <w:rPr>
          <w:sz w:val="22"/>
          <w:szCs w:val="22"/>
          <w:lang w:val="es-ES"/>
        </w:rPr>
        <w:t xml:space="preserve"> </w:t>
      </w:r>
      <w:proofErr w:type="spellStart"/>
      <w:r>
        <w:rPr>
          <w:sz w:val="22"/>
          <w:szCs w:val="22"/>
          <w:lang w:val="es-ES"/>
        </w:rPr>
        <w:t>of</w:t>
      </w:r>
      <w:proofErr w:type="spellEnd"/>
      <w:r>
        <w:rPr>
          <w:sz w:val="22"/>
          <w:szCs w:val="22"/>
          <w:lang w:val="es-ES"/>
        </w:rPr>
        <w:t xml:space="preserve"> </w:t>
      </w:r>
      <w:proofErr w:type="spellStart"/>
      <w:r>
        <w:rPr>
          <w:sz w:val="22"/>
          <w:szCs w:val="22"/>
          <w:lang w:val="es-ES"/>
        </w:rPr>
        <w:t>tests</w:t>
      </w:r>
      <w:proofErr w:type="spellEnd"/>
      <w:r>
        <w:rPr>
          <w:sz w:val="22"/>
          <w:szCs w:val="22"/>
          <w:lang w:val="es-ES"/>
        </w:rPr>
        <w:t xml:space="preserve">, </w:t>
      </w:r>
      <w:proofErr w:type="spellStart"/>
      <w:r>
        <w:rPr>
          <w:sz w:val="22"/>
          <w:szCs w:val="22"/>
          <w:lang w:val="es-ES"/>
        </w:rPr>
        <w:t>the</w:t>
      </w:r>
      <w:proofErr w:type="spellEnd"/>
      <w:r>
        <w:rPr>
          <w:sz w:val="22"/>
          <w:szCs w:val="22"/>
          <w:lang w:val="es-ES"/>
        </w:rPr>
        <w:t xml:space="preserve"> </w:t>
      </w:r>
      <w:proofErr w:type="spellStart"/>
      <w:r>
        <w:rPr>
          <w:sz w:val="22"/>
          <w:szCs w:val="22"/>
          <w:lang w:val="es-ES"/>
        </w:rPr>
        <w:t>number</w:t>
      </w:r>
      <w:proofErr w:type="spellEnd"/>
      <w:r>
        <w:rPr>
          <w:sz w:val="22"/>
          <w:szCs w:val="22"/>
          <w:lang w:val="es-ES"/>
        </w:rPr>
        <w:t xml:space="preserve"> </w:t>
      </w:r>
      <w:proofErr w:type="spellStart"/>
      <w:r>
        <w:rPr>
          <w:sz w:val="22"/>
          <w:szCs w:val="22"/>
          <w:lang w:val="es-ES"/>
        </w:rPr>
        <w:t>of</w:t>
      </w:r>
      <w:proofErr w:type="spellEnd"/>
      <w:r>
        <w:rPr>
          <w:sz w:val="22"/>
          <w:szCs w:val="22"/>
          <w:lang w:val="es-ES"/>
        </w:rPr>
        <w:t xml:space="preserve"> </w:t>
      </w:r>
      <w:proofErr w:type="spellStart"/>
      <w:r>
        <w:rPr>
          <w:sz w:val="22"/>
          <w:szCs w:val="22"/>
          <w:lang w:val="es-ES"/>
        </w:rPr>
        <w:t>samples</w:t>
      </w:r>
      <w:proofErr w:type="spellEnd"/>
      <w:r>
        <w:rPr>
          <w:sz w:val="22"/>
          <w:szCs w:val="22"/>
          <w:lang w:val="es-ES"/>
        </w:rPr>
        <w:t xml:space="preserve"> and </w:t>
      </w:r>
      <w:proofErr w:type="spellStart"/>
      <w:r>
        <w:rPr>
          <w:sz w:val="22"/>
          <w:szCs w:val="22"/>
          <w:lang w:val="es-ES"/>
        </w:rPr>
        <w:t>the</w:t>
      </w:r>
      <w:proofErr w:type="spellEnd"/>
      <w:r>
        <w:rPr>
          <w:sz w:val="22"/>
          <w:szCs w:val="22"/>
          <w:lang w:val="es-ES"/>
        </w:rPr>
        <w:t xml:space="preserve"> </w:t>
      </w:r>
      <w:proofErr w:type="spellStart"/>
      <w:r>
        <w:rPr>
          <w:sz w:val="22"/>
          <w:szCs w:val="22"/>
          <w:lang w:val="es-ES"/>
        </w:rPr>
        <w:t>approval</w:t>
      </w:r>
      <w:proofErr w:type="spellEnd"/>
      <w:r>
        <w:rPr>
          <w:sz w:val="22"/>
          <w:szCs w:val="22"/>
          <w:lang w:val="es-ES"/>
        </w:rPr>
        <w:t xml:space="preserve"> </w:t>
      </w:r>
      <w:proofErr w:type="spellStart"/>
      <w:r>
        <w:rPr>
          <w:sz w:val="22"/>
          <w:szCs w:val="22"/>
          <w:lang w:val="es-ES"/>
        </w:rPr>
        <w:t>index</w:t>
      </w:r>
      <w:proofErr w:type="spellEnd"/>
      <w:r>
        <w:rPr>
          <w:sz w:val="22"/>
          <w:szCs w:val="22"/>
          <w:lang w:val="es-ES"/>
        </w:rPr>
        <w:t xml:space="preserve"> </w:t>
      </w:r>
      <w:proofErr w:type="spellStart"/>
      <w:r>
        <w:rPr>
          <w:sz w:val="22"/>
          <w:szCs w:val="22"/>
          <w:lang w:val="es-ES"/>
        </w:rPr>
        <w:t>for</w:t>
      </w:r>
      <w:proofErr w:type="spellEnd"/>
      <w:r>
        <w:rPr>
          <w:sz w:val="22"/>
          <w:szCs w:val="22"/>
          <w:lang w:val="es-ES"/>
        </w:rPr>
        <w:t xml:space="preserve"> </w:t>
      </w:r>
      <w:proofErr w:type="spellStart"/>
      <w:r>
        <w:rPr>
          <w:sz w:val="22"/>
          <w:szCs w:val="22"/>
          <w:lang w:val="es-ES"/>
        </w:rPr>
        <w:t>each</w:t>
      </w:r>
      <w:proofErr w:type="spellEnd"/>
      <w:r>
        <w:rPr>
          <w:sz w:val="22"/>
          <w:szCs w:val="22"/>
          <w:lang w:val="es-ES"/>
        </w:rPr>
        <w:t xml:space="preserve"> </w:t>
      </w:r>
      <w:proofErr w:type="spellStart"/>
      <w:r>
        <w:rPr>
          <w:sz w:val="22"/>
          <w:szCs w:val="22"/>
          <w:lang w:val="es-ES"/>
        </w:rPr>
        <w:t>of</w:t>
      </w:r>
      <w:proofErr w:type="spellEnd"/>
      <w:r>
        <w:rPr>
          <w:sz w:val="22"/>
          <w:szCs w:val="22"/>
          <w:lang w:val="es-ES"/>
        </w:rPr>
        <w:t xml:space="preserve"> </w:t>
      </w:r>
      <w:proofErr w:type="spellStart"/>
      <w:r>
        <w:rPr>
          <w:sz w:val="22"/>
          <w:szCs w:val="22"/>
          <w:lang w:val="es-ES"/>
        </w:rPr>
        <w:t>the</w:t>
      </w:r>
      <w:proofErr w:type="spellEnd"/>
      <w:r>
        <w:rPr>
          <w:sz w:val="22"/>
          <w:szCs w:val="22"/>
          <w:lang w:val="es-ES"/>
        </w:rPr>
        <w:t xml:space="preserve"> </w:t>
      </w:r>
      <w:proofErr w:type="spellStart"/>
      <w:r>
        <w:rPr>
          <w:sz w:val="22"/>
          <w:szCs w:val="22"/>
          <w:lang w:val="es-ES"/>
        </w:rPr>
        <w:t>lots</w:t>
      </w:r>
      <w:proofErr w:type="spellEnd"/>
      <w:r>
        <w:rPr>
          <w:sz w:val="22"/>
          <w:szCs w:val="22"/>
          <w:lang w:val="es-ES"/>
        </w:rPr>
        <w:t xml:space="preserve"> and meter </w:t>
      </w:r>
      <w:proofErr w:type="spellStart"/>
      <w:r>
        <w:rPr>
          <w:sz w:val="22"/>
          <w:szCs w:val="22"/>
          <w:lang w:val="es-ES"/>
        </w:rPr>
        <w:t>diameters</w:t>
      </w:r>
      <w:proofErr w:type="spellEnd"/>
      <w:r>
        <w:rPr>
          <w:sz w:val="22"/>
          <w:szCs w:val="22"/>
          <w:lang w:val="es-ES"/>
        </w:rPr>
        <w:t xml:space="preserve"> </w:t>
      </w:r>
      <w:proofErr w:type="spellStart"/>
      <w:r>
        <w:rPr>
          <w:sz w:val="22"/>
          <w:szCs w:val="22"/>
          <w:lang w:val="es-ES"/>
        </w:rPr>
        <w:t>to</w:t>
      </w:r>
      <w:proofErr w:type="spellEnd"/>
      <w:r>
        <w:rPr>
          <w:sz w:val="22"/>
          <w:szCs w:val="22"/>
          <w:lang w:val="es-ES"/>
        </w:rPr>
        <w:t xml:space="preserve"> be </w:t>
      </w:r>
      <w:proofErr w:type="spellStart"/>
      <w:r>
        <w:rPr>
          <w:sz w:val="22"/>
          <w:szCs w:val="22"/>
          <w:lang w:val="es-ES"/>
        </w:rPr>
        <w:t>tested</w:t>
      </w:r>
      <w:proofErr w:type="spellEnd"/>
      <w:r>
        <w:rPr>
          <w:sz w:val="22"/>
          <w:szCs w:val="22"/>
          <w:lang w:val="es-ES"/>
        </w:rPr>
        <w:t>:</w:t>
      </w:r>
      <w:r>
        <w:rPr>
          <w:sz w:val="22"/>
          <w:szCs w:val="22"/>
          <w:lang w:val="es-ES"/>
        </w:rPr>
        <w:softHyphen/>
      </w:r>
    </w:p>
    <w:p w14:paraId="2FE42B41" w14:textId="77777777" w:rsidR="00E255F4" w:rsidRDefault="00000000">
      <w:pPr>
        <w:numPr>
          <w:ilvl w:val="0"/>
          <w:numId w:val="6"/>
        </w:numPr>
        <w:ind w:left="998" w:hanging="573"/>
        <w:jc w:val="both"/>
        <w:rPr>
          <w:b/>
          <w:sz w:val="22"/>
          <w:szCs w:val="22"/>
        </w:rPr>
      </w:pPr>
      <w:r>
        <w:rPr>
          <w:b/>
          <w:sz w:val="22"/>
          <w:szCs w:val="22"/>
        </w:rPr>
        <w:t xml:space="preserve">Visual </w:t>
      </w:r>
      <w:proofErr w:type="spellStart"/>
      <w:r>
        <w:rPr>
          <w:b/>
          <w:sz w:val="22"/>
          <w:szCs w:val="22"/>
        </w:rPr>
        <w:t>Inspection</w:t>
      </w:r>
      <w:proofErr w:type="spellEnd"/>
      <w:r>
        <w:rPr>
          <w:b/>
          <w:sz w:val="22"/>
          <w:szCs w:val="22"/>
        </w:rPr>
        <w:t xml:space="preserve"> Test</w:t>
      </w:r>
    </w:p>
    <w:p w14:paraId="5F5C2059" w14:textId="77777777" w:rsidR="00E255F4" w:rsidRDefault="00000000">
      <w:pPr>
        <w:tabs>
          <w:tab w:val="left" w:pos="0"/>
          <w:tab w:val="left" w:pos="993"/>
          <w:tab w:val="left" w:pos="1418"/>
          <w:tab w:val="left" w:pos="7088"/>
        </w:tabs>
        <w:ind w:left="848" w:hanging="848"/>
        <w:jc w:val="both"/>
      </w:pPr>
      <w:r>
        <w:rPr>
          <w:sz w:val="22"/>
          <w:szCs w:val="22"/>
        </w:rPr>
        <w:tab/>
      </w:r>
      <w:r>
        <w:rPr>
          <w:sz w:val="22"/>
          <w:szCs w:val="22"/>
        </w:rPr>
        <w:tab/>
      </w:r>
      <w:r>
        <w:rPr>
          <w:sz w:val="22"/>
          <w:szCs w:val="22"/>
          <w:lang w:val="es-ES"/>
        </w:rPr>
        <w:t xml:space="preserve">Sample </w:t>
      </w:r>
      <w:proofErr w:type="spellStart"/>
      <w:r>
        <w:rPr>
          <w:sz w:val="22"/>
          <w:szCs w:val="22"/>
          <w:lang w:val="es-ES"/>
        </w:rPr>
        <w:t>to</w:t>
      </w:r>
      <w:proofErr w:type="spellEnd"/>
      <w:r>
        <w:rPr>
          <w:sz w:val="22"/>
          <w:szCs w:val="22"/>
          <w:lang w:val="es-ES"/>
        </w:rPr>
        <w:t xml:space="preserve"> be </w:t>
      </w:r>
      <w:proofErr w:type="spellStart"/>
      <w:r>
        <w:rPr>
          <w:sz w:val="22"/>
          <w:szCs w:val="22"/>
          <w:lang w:val="es-ES"/>
        </w:rPr>
        <w:t>tested</w:t>
      </w:r>
      <w:proofErr w:type="spellEnd"/>
      <w:r>
        <w:rPr>
          <w:sz w:val="22"/>
          <w:szCs w:val="22"/>
          <w:lang w:val="es-ES"/>
        </w:rPr>
        <w:t>:</w:t>
      </w:r>
      <w:r>
        <w:rPr>
          <w:sz w:val="22"/>
          <w:szCs w:val="22"/>
          <w:u w:val="dotted"/>
          <w:lang w:val="es-ES"/>
        </w:rPr>
        <w:tab/>
      </w:r>
      <w:r>
        <w:rPr>
          <w:sz w:val="22"/>
          <w:szCs w:val="22"/>
          <w:lang w:val="es-ES"/>
        </w:rPr>
        <w:t xml:space="preserve">01 </w:t>
      </w:r>
      <w:proofErr w:type="spellStart"/>
      <w:r>
        <w:rPr>
          <w:sz w:val="22"/>
          <w:szCs w:val="22"/>
          <w:lang w:val="es-ES"/>
        </w:rPr>
        <w:t>unit</w:t>
      </w:r>
      <w:proofErr w:type="spellEnd"/>
    </w:p>
    <w:p w14:paraId="6C51D7F6" w14:textId="77777777" w:rsidR="00E255F4" w:rsidRDefault="00000000">
      <w:pPr>
        <w:tabs>
          <w:tab w:val="left" w:pos="0"/>
          <w:tab w:val="left" w:pos="993"/>
          <w:tab w:val="left" w:pos="1418"/>
          <w:tab w:val="left" w:pos="7088"/>
        </w:tabs>
        <w:spacing w:after="120"/>
        <w:ind w:left="1418" w:hanging="1418"/>
        <w:jc w:val="both"/>
      </w:pPr>
      <w:r>
        <w:rPr>
          <w:sz w:val="22"/>
          <w:szCs w:val="22"/>
          <w:lang w:val="es-ES"/>
        </w:rPr>
        <w:t xml:space="preserve">    </w:t>
      </w:r>
      <w:r>
        <w:rPr>
          <w:sz w:val="22"/>
          <w:szCs w:val="22"/>
          <w:lang w:val="es-ES"/>
        </w:rPr>
        <w:tab/>
        <w:t xml:space="preserve">Maximum </w:t>
      </w:r>
      <w:proofErr w:type="spellStart"/>
      <w:r>
        <w:rPr>
          <w:sz w:val="22"/>
          <w:szCs w:val="22"/>
          <w:lang w:val="es-ES"/>
        </w:rPr>
        <w:t>number</w:t>
      </w:r>
      <w:proofErr w:type="spellEnd"/>
      <w:r>
        <w:rPr>
          <w:sz w:val="22"/>
          <w:szCs w:val="22"/>
          <w:lang w:val="es-ES"/>
        </w:rPr>
        <w:t xml:space="preserve"> </w:t>
      </w:r>
      <w:proofErr w:type="spellStart"/>
      <w:r>
        <w:rPr>
          <w:sz w:val="22"/>
          <w:szCs w:val="22"/>
          <w:lang w:val="es-ES"/>
        </w:rPr>
        <w:t>of</w:t>
      </w:r>
      <w:proofErr w:type="spellEnd"/>
      <w:r>
        <w:rPr>
          <w:sz w:val="22"/>
          <w:szCs w:val="22"/>
          <w:lang w:val="es-ES"/>
        </w:rPr>
        <w:t xml:space="preserve"> </w:t>
      </w:r>
      <w:proofErr w:type="spellStart"/>
      <w:r>
        <w:rPr>
          <w:sz w:val="22"/>
          <w:szCs w:val="22"/>
          <w:lang w:val="es-ES"/>
        </w:rPr>
        <w:t>rejections</w:t>
      </w:r>
      <w:proofErr w:type="spellEnd"/>
      <w:r>
        <w:rPr>
          <w:sz w:val="22"/>
          <w:szCs w:val="22"/>
          <w:lang w:val="es-ES"/>
        </w:rPr>
        <w:t>:</w:t>
      </w:r>
      <w:r>
        <w:rPr>
          <w:sz w:val="22"/>
          <w:szCs w:val="22"/>
          <w:u w:val="dotted"/>
          <w:lang w:val="es-ES"/>
        </w:rPr>
        <w:tab/>
      </w:r>
      <w:r>
        <w:rPr>
          <w:sz w:val="22"/>
          <w:szCs w:val="22"/>
          <w:lang w:val="es-ES"/>
        </w:rPr>
        <w:t xml:space="preserve">00 </w:t>
      </w:r>
      <w:proofErr w:type="spellStart"/>
      <w:r>
        <w:rPr>
          <w:sz w:val="22"/>
          <w:szCs w:val="22"/>
          <w:lang w:val="es-ES"/>
        </w:rPr>
        <w:t>unit</w:t>
      </w:r>
      <w:proofErr w:type="spellEnd"/>
    </w:p>
    <w:p w14:paraId="1AD6EC35" w14:textId="77777777" w:rsidR="00E255F4" w:rsidRDefault="00000000">
      <w:pPr>
        <w:numPr>
          <w:ilvl w:val="0"/>
          <w:numId w:val="6"/>
        </w:numPr>
        <w:ind w:left="998" w:hanging="573"/>
        <w:jc w:val="both"/>
        <w:rPr>
          <w:b/>
          <w:sz w:val="22"/>
          <w:szCs w:val="22"/>
        </w:rPr>
      </w:pPr>
      <w:r>
        <w:rPr>
          <w:b/>
          <w:sz w:val="22"/>
          <w:szCs w:val="22"/>
        </w:rPr>
        <w:t>Leak Test</w:t>
      </w:r>
    </w:p>
    <w:p w14:paraId="42308033" w14:textId="77777777" w:rsidR="00E255F4" w:rsidRDefault="00000000">
      <w:pPr>
        <w:tabs>
          <w:tab w:val="left" w:pos="0"/>
          <w:tab w:val="left" w:pos="993"/>
          <w:tab w:val="left" w:pos="1418"/>
          <w:tab w:val="left" w:pos="7088"/>
        </w:tabs>
        <w:ind w:left="1418" w:hanging="1418"/>
        <w:jc w:val="both"/>
      </w:pPr>
      <w:r>
        <w:rPr>
          <w:sz w:val="22"/>
          <w:szCs w:val="22"/>
          <w:lang w:val="es-ES"/>
        </w:rPr>
        <w:t xml:space="preserve">    </w:t>
      </w:r>
      <w:r>
        <w:rPr>
          <w:sz w:val="22"/>
          <w:szCs w:val="22"/>
          <w:lang w:val="es-ES"/>
        </w:rPr>
        <w:tab/>
        <w:t xml:space="preserve">Sample </w:t>
      </w:r>
      <w:proofErr w:type="spellStart"/>
      <w:r>
        <w:rPr>
          <w:sz w:val="22"/>
          <w:szCs w:val="22"/>
          <w:lang w:val="es-ES"/>
        </w:rPr>
        <w:t>to</w:t>
      </w:r>
      <w:proofErr w:type="spellEnd"/>
      <w:r>
        <w:rPr>
          <w:sz w:val="22"/>
          <w:szCs w:val="22"/>
          <w:lang w:val="es-ES"/>
        </w:rPr>
        <w:t xml:space="preserve"> be </w:t>
      </w:r>
      <w:proofErr w:type="spellStart"/>
      <w:r>
        <w:rPr>
          <w:sz w:val="22"/>
          <w:szCs w:val="22"/>
          <w:lang w:val="es-ES"/>
        </w:rPr>
        <w:t>tested</w:t>
      </w:r>
      <w:proofErr w:type="spellEnd"/>
      <w:r>
        <w:rPr>
          <w:sz w:val="22"/>
          <w:szCs w:val="22"/>
          <w:lang w:val="es-ES"/>
        </w:rPr>
        <w:t>:</w:t>
      </w:r>
      <w:r>
        <w:rPr>
          <w:sz w:val="22"/>
          <w:szCs w:val="22"/>
          <w:u w:val="dotted"/>
          <w:lang w:val="es-ES"/>
        </w:rPr>
        <w:tab/>
      </w:r>
      <w:r>
        <w:rPr>
          <w:sz w:val="22"/>
          <w:szCs w:val="22"/>
          <w:lang w:val="es-ES"/>
        </w:rPr>
        <w:t xml:space="preserve">06 </w:t>
      </w:r>
      <w:proofErr w:type="spellStart"/>
      <w:r>
        <w:rPr>
          <w:sz w:val="22"/>
          <w:szCs w:val="22"/>
          <w:lang w:val="es-ES"/>
        </w:rPr>
        <w:t>units</w:t>
      </w:r>
      <w:proofErr w:type="spellEnd"/>
    </w:p>
    <w:p w14:paraId="59B3014A" w14:textId="77777777" w:rsidR="00E255F4" w:rsidRDefault="00000000">
      <w:pPr>
        <w:tabs>
          <w:tab w:val="left" w:pos="0"/>
          <w:tab w:val="left" w:pos="993"/>
          <w:tab w:val="left" w:pos="1418"/>
          <w:tab w:val="left" w:pos="7088"/>
        </w:tabs>
        <w:ind w:left="1418" w:hanging="1418"/>
        <w:jc w:val="both"/>
      </w:pPr>
      <w:r>
        <w:rPr>
          <w:sz w:val="22"/>
          <w:szCs w:val="22"/>
          <w:lang w:val="es-ES"/>
        </w:rPr>
        <w:tab/>
        <w:t xml:space="preserve">Maximum </w:t>
      </w:r>
      <w:proofErr w:type="spellStart"/>
      <w:r>
        <w:rPr>
          <w:sz w:val="22"/>
          <w:szCs w:val="22"/>
          <w:lang w:val="es-ES"/>
        </w:rPr>
        <w:t>number</w:t>
      </w:r>
      <w:proofErr w:type="spellEnd"/>
      <w:r>
        <w:rPr>
          <w:sz w:val="22"/>
          <w:szCs w:val="22"/>
          <w:lang w:val="es-ES"/>
        </w:rPr>
        <w:t xml:space="preserve"> </w:t>
      </w:r>
      <w:proofErr w:type="spellStart"/>
      <w:r>
        <w:rPr>
          <w:sz w:val="22"/>
          <w:szCs w:val="22"/>
          <w:lang w:val="es-ES"/>
        </w:rPr>
        <w:t>of</w:t>
      </w:r>
      <w:proofErr w:type="spellEnd"/>
      <w:r>
        <w:rPr>
          <w:sz w:val="22"/>
          <w:szCs w:val="22"/>
          <w:lang w:val="es-ES"/>
        </w:rPr>
        <w:t xml:space="preserve"> </w:t>
      </w:r>
      <w:proofErr w:type="spellStart"/>
      <w:r>
        <w:rPr>
          <w:sz w:val="22"/>
          <w:szCs w:val="22"/>
          <w:lang w:val="es-ES"/>
        </w:rPr>
        <w:t>rejections</w:t>
      </w:r>
      <w:proofErr w:type="spellEnd"/>
      <w:r>
        <w:rPr>
          <w:sz w:val="22"/>
          <w:szCs w:val="22"/>
          <w:lang w:val="es-ES"/>
        </w:rPr>
        <w:t>:</w:t>
      </w:r>
      <w:r>
        <w:rPr>
          <w:sz w:val="22"/>
          <w:szCs w:val="22"/>
          <w:u w:val="dotted"/>
          <w:lang w:val="es-ES"/>
        </w:rPr>
        <w:tab/>
      </w:r>
      <w:r>
        <w:rPr>
          <w:sz w:val="22"/>
          <w:szCs w:val="22"/>
          <w:lang w:val="es-ES"/>
        </w:rPr>
        <w:t xml:space="preserve">00 </w:t>
      </w:r>
      <w:proofErr w:type="spellStart"/>
      <w:r>
        <w:rPr>
          <w:sz w:val="22"/>
          <w:szCs w:val="22"/>
          <w:lang w:val="es-ES"/>
        </w:rPr>
        <w:t>unit</w:t>
      </w:r>
      <w:proofErr w:type="spellEnd"/>
    </w:p>
    <w:p w14:paraId="434548C7" w14:textId="77777777" w:rsidR="00E255F4" w:rsidRDefault="00000000">
      <w:pPr>
        <w:numPr>
          <w:ilvl w:val="0"/>
          <w:numId w:val="6"/>
        </w:numPr>
        <w:spacing w:before="120"/>
        <w:ind w:left="998" w:hanging="573"/>
        <w:jc w:val="both"/>
        <w:rPr>
          <w:b/>
          <w:sz w:val="22"/>
          <w:szCs w:val="22"/>
          <w:lang w:val="es-ES"/>
        </w:rPr>
      </w:pPr>
      <w:proofErr w:type="spellStart"/>
      <w:r>
        <w:rPr>
          <w:b/>
          <w:sz w:val="22"/>
          <w:szCs w:val="22"/>
          <w:lang w:val="es-ES"/>
        </w:rPr>
        <w:t>Pressure</w:t>
      </w:r>
      <w:proofErr w:type="spellEnd"/>
      <w:r>
        <w:rPr>
          <w:b/>
          <w:sz w:val="22"/>
          <w:szCs w:val="22"/>
          <w:lang w:val="es-ES"/>
        </w:rPr>
        <w:t xml:space="preserve"> </w:t>
      </w:r>
      <w:proofErr w:type="spellStart"/>
      <w:r>
        <w:rPr>
          <w:b/>
          <w:sz w:val="22"/>
          <w:szCs w:val="22"/>
          <w:lang w:val="es-ES"/>
        </w:rPr>
        <w:t>loss</w:t>
      </w:r>
      <w:proofErr w:type="spellEnd"/>
      <w:r>
        <w:rPr>
          <w:b/>
          <w:sz w:val="22"/>
          <w:szCs w:val="22"/>
          <w:lang w:val="es-ES"/>
        </w:rPr>
        <w:t xml:space="preserve"> test.</w:t>
      </w:r>
    </w:p>
    <w:p w14:paraId="5405CC6A" w14:textId="77777777" w:rsidR="00E255F4" w:rsidRDefault="00000000">
      <w:pPr>
        <w:tabs>
          <w:tab w:val="left" w:pos="0"/>
          <w:tab w:val="left" w:pos="993"/>
          <w:tab w:val="left" w:pos="1418"/>
          <w:tab w:val="left" w:pos="7088"/>
        </w:tabs>
        <w:ind w:left="1418" w:hanging="1418"/>
        <w:jc w:val="both"/>
      </w:pPr>
      <w:r>
        <w:rPr>
          <w:sz w:val="22"/>
          <w:szCs w:val="22"/>
          <w:lang w:val="es-ES"/>
        </w:rPr>
        <w:t xml:space="preserve">    </w:t>
      </w:r>
      <w:r>
        <w:rPr>
          <w:sz w:val="22"/>
          <w:szCs w:val="22"/>
          <w:lang w:val="es-ES"/>
        </w:rPr>
        <w:tab/>
        <w:t xml:space="preserve">Sample </w:t>
      </w:r>
      <w:proofErr w:type="spellStart"/>
      <w:r>
        <w:rPr>
          <w:sz w:val="22"/>
          <w:szCs w:val="22"/>
          <w:lang w:val="es-ES"/>
        </w:rPr>
        <w:t>to</w:t>
      </w:r>
      <w:proofErr w:type="spellEnd"/>
      <w:r>
        <w:rPr>
          <w:sz w:val="22"/>
          <w:szCs w:val="22"/>
          <w:lang w:val="es-ES"/>
        </w:rPr>
        <w:t xml:space="preserve"> be </w:t>
      </w:r>
      <w:proofErr w:type="spellStart"/>
      <w:r>
        <w:rPr>
          <w:sz w:val="22"/>
          <w:szCs w:val="22"/>
          <w:lang w:val="es-ES"/>
        </w:rPr>
        <w:t>tested</w:t>
      </w:r>
      <w:proofErr w:type="spellEnd"/>
      <w:r>
        <w:rPr>
          <w:sz w:val="22"/>
          <w:szCs w:val="22"/>
          <w:lang w:val="es-ES"/>
        </w:rPr>
        <w:t>:</w:t>
      </w:r>
      <w:r>
        <w:rPr>
          <w:sz w:val="22"/>
          <w:szCs w:val="22"/>
          <w:u w:val="dotted"/>
          <w:lang w:val="es-ES"/>
        </w:rPr>
        <w:tab/>
      </w:r>
      <w:r>
        <w:rPr>
          <w:sz w:val="22"/>
          <w:szCs w:val="22"/>
          <w:lang w:val="es-ES"/>
        </w:rPr>
        <w:t xml:space="preserve">01 </w:t>
      </w:r>
      <w:proofErr w:type="spellStart"/>
      <w:r>
        <w:rPr>
          <w:sz w:val="22"/>
          <w:szCs w:val="22"/>
          <w:lang w:val="es-ES"/>
        </w:rPr>
        <w:t>unit</w:t>
      </w:r>
      <w:proofErr w:type="spellEnd"/>
    </w:p>
    <w:p w14:paraId="7D7FDB57" w14:textId="77777777" w:rsidR="00E255F4" w:rsidRDefault="00000000">
      <w:pPr>
        <w:tabs>
          <w:tab w:val="left" w:pos="0"/>
          <w:tab w:val="left" w:pos="993"/>
          <w:tab w:val="left" w:pos="1418"/>
          <w:tab w:val="left" w:pos="7088"/>
        </w:tabs>
        <w:spacing w:after="120"/>
        <w:ind w:left="1418" w:hanging="1418"/>
        <w:jc w:val="both"/>
      </w:pPr>
      <w:r>
        <w:rPr>
          <w:sz w:val="22"/>
          <w:szCs w:val="22"/>
          <w:lang w:val="es-ES"/>
        </w:rPr>
        <w:tab/>
        <w:t xml:space="preserve">Maximum </w:t>
      </w:r>
      <w:proofErr w:type="spellStart"/>
      <w:r>
        <w:rPr>
          <w:sz w:val="22"/>
          <w:szCs w:val="22"/>
          <w:lang w:val="es-ES"/>
        </w:rPr>
        <w:t>number</w:t>
      </w:r>
      <w:proofErr w:type="spellEnd"/>
      <w:r>
        <w:rPr>
          <w:sz w:val="22"/>
          <w:szCs w:val="22"/>
          <w:lang w:val="es-ES"/>
        </w:rPr>
        <w:t xml:space="preserve"> </w:t>
      </w:r>
      <w:proofErr w:type="spellStart"/>
      <w:r>
        <w:rPr>
          <w:sz w:val="22"/>
          <w:szCs w:val="22"/>
          <w:lang w:val="es-ES"/>
        </w:rPr>
        <w:t>of</w:t>
      </w:r>
      <w:proofErr w:type="spellEnd"/>
      <w:r>
        <w:rPr>
          <w:sz w:val="22"/>
          <w:szCs w:val="22"/>
          <w:lang w:val="es-ES"/>
        </w:rPr>
        <w:t xml:space="preserve"> </w:t>
      </w:r>
      <w:proofErr w:type="spellStart"/>
      <w:r>
        <w:rPr>
          <w:sz w:val="22"/>
          <w:szCs w:val="22"/>
          <w:lang w:val="es-ES"/>
        </w:rPr>
        <w:t>rejections</w:t>
      </w:r>
      <w:proofErr w:type="spellEnd"/>
      <w:r>
        <w:rPr>
          <w:sz w:val="22"/>
          <w:szCs w:val="22"/>
          <w:lang w:val="es-ES"/>
        </w:rPr>
        <w:t>:</w:t>
      </w:r>
      <w:r>
        <w:rPr>
          <w:sz w:val="22"/>
          <w:szCs w:val="22"/>
          <w:u w:val="dotted"/>
          <w:lang w:val="es-ES"/>
        </w:rPr>
        <w:tab/>
      </w:r>
      <w:r>
        <w:rPr>
          <w:sz w:val="22"/>
          <w:szCs w:val="22"/>
          <w:lang w:val="es-ES"/>
        </w:rPr>
        <w:t xml:space="preserve">00 </w:t>
      </w:r>
      <w:proofErr w:type="spellStart"/>
      <w:r>
        <w:rPr>
          <w:sz w:val="22"/>
          <w:szCs w:val="22"/>
          <w:lang w:val="es-ES"/>
        </w:rPr>
        <w:t>unit</w:t>
      </w:r>
      <w:proofErr w:type="spellEnd"/>
    </w:p>
    <w:p w14:paraId="2D0E9AD5" w14:textId="77777777" w:rsidR="00E255F4" w:rsidRDefault="00000000">
      <w:pPr>
        <w:numPr>
          <w:ilvl w:val="0"/>
          <w:numId w:val="6"/>
        </w:numPr>
        <w:ind w:left="998" w:hanging="573"/>
        <w:jc w:val="both"/>
      </w:pPr>
      <w:proofErr w:type="spellStart"/>
      <w:r>
        <w:rPr>
          <w:b/>
          <w:sz w:val="22"/>
          <w:szCs w:val="22"/>
          <w:lang w:val="es-ES"/>
        </w:rPr>
        <w:t>Accuracy</w:t>
      </w:r>
      <w:proofErr w:type="spellEnd"/>
      <w:r>
        <w:rPr>
          <w:b/>
          <w:sz w:val="22"/>
          <w:szCs w:val="22"/>
          <w:lang w:val="es-ES"/>
        </w:rPr>
        <w:t xml:space="preserve"> curve </w:t>
      </w:r>
      <w:proofErr w:type="spellStart"/>
      <w:r>
        <w:rPr>
          <w:b/>
          <w:sz w:val="22"/>
          <w:szCs w:val="22"/>
          <w:lang w:val="es-ES"/>
        </w:rPr>
        <w:t>verification</w:t>
      </w:r>
      <w:proofErr w:type="spellEnd"/>
      <w:r>
        <w:rPr>
          <w:b/>
          <w:sz w:val="22"/>
          <w:szCs w:val="22"/>
          <w:lang w:val="es-ES"/>
        </w:rPr>
        <w:t xml:space="preserve"> test (Q3, Q2 and Q1 </w:t>
      </w:r>
      <w:proofErr w:type="spellStart"/>
      <w:r>
        <w:rPr>
          <w:b/>
          <w:sz w:val="22"/>
          <w:szCs w:val="22"/>
          <w:lang w:val="es-ES"/>
        </w:rPr>
        <w:t>according</w:t>
      </w:r>
      <w:proofErr w:type="spellEnd"/>
      <w:r>
        <w:rPr>
          <w:b/>
          <w:sz w:val="22"/>
          <w:szCs w:val="22"/>
          <w:lang w:val="es-ES"/>
        </w:rPr>
        <w:t xml:space="preserve"> </w:t>
      </w:r>
      <w:proofErr w:type="spellStart"/>
      <w:r>
        <w:rPr>
          <w:b/>
          <w:sz w:val="22"/>
          <w:szCs w:val="22"/>
          <w:lang w:val="es-ES"/>
        </w:rPr>
        <w:t>to</w:t>
      </w:r>
      <w:proofErr w:type="spellEnd"/>
      <w:r>
        <w:rPr>
          <w:b/>
          <w:sz w:val="22"/>
          <w:szCs w:val="22"/>
          <w:lang w:val="es-ES"/>
        </w:rPr>
        <w:t xml:space="preserve"> </w:t>
      </w:r>
      <w:proofErr w:type="spellStart"/>
      <w:r>
        <w:rPr>
          <w:b/>
          <w:sz w:val="22"/>
          <w:szCs w:val="22"/>
          <w:lang w:val="es-ES"/>
        </w:rPr>
        <w:t>the</w:t>
      </w:r>
      <w:proofErr w:type="spellEnd"/>
      <w:r>
        <w:rPr>
          <w:b/>
          <w:sz w:val="22"/>
          <w:szCs w:val="22"/>
          <w:lang w:val="es-ES"/>
        </w:rPr>
        <w:t xml:space="preserve"> </w:t>
      </w:r>
      <w:proofErr w:type="spellStart"/>
      <w:r>
        <w:rPr>
          <w:b/>
          <w:sz w:val="22"/>
          <w:szCs w:val="22"/>
          <w:lang w:val="es-ES"/>
        </w:rPr>
        <w:t>values</w:t>
      </w:r>
      <w:proofErr w:type="spellEnd"/>
      <w:r>
        <w:rPr>
          <w:b/>
          <w:sz w:val="22"/>
          <w:szCs w:val="22"/>
          <w:lang w:val="es-ES"/>
        </w:rPr>
        <w:t xml:space="preserve"> ​​</w:t>
      </w:r>
      <w:proofErr w:type="spellStart"/>
      <w:r>
        <w:rPr>
          <w:b/>
          <w:sz w:val="22"/>
          <w:szCs w:val="22"/>
          <w:lang w:val="es-ES"/>
        </w:rPr>
        <w:t>defined</w:t>
      </w:r>
      <w:proofErr w:type="spellEnd"/>
      <w:r>
        <w:rPr>
          <w:b/>
          <w:sz w:val="22"/>
          <w:szCs w:val="22"/>
          <w:lang w:val="es-ES"/>
        </w:rPr>
        <w:t xml:space="preserve"> in Art. 7.3.2)</w:t>
      </w:r>
    </w:p>
    <w:p w14:paraId="2456AB88" w14:textId="77777777" w:rsidR="00E255F4" w:rsidRDefault="00000000">
      <w:pPr>
        <w:tabs>
          <w:tab w:val="left" w:pos="0"/>
          <w:tab w:val="left" w:pos="993"/>
          <w:tab w:val="left" w:pos="1418"/>
          <w:tab w:val="left" w:pos="7088"/>
        </w:tabs>
        <w:ind w:left="1418" w:hanging="1418"/>
        <w:jc w:val="both"/>
        <w:rPr>
          <w:sz w:val="22"/>
          <w:szCs w:val="22"/>
          <w:lang w:val="es-ES"/>
        </w:rPr>
      </w:pPr>
      <w:r>
        <w:rPr>
          <w:sz w:val="22"/>
          <w:szCs w:val="22"/>
          <w:lang w:val="es-ES"/>
        </w:rPr>
        <w:t xml:space="preserve">    </w:t>
      </w:r>
      <w:r>
        <w:rPr>
          <w:sz w:val="22"/>
          <w:szCs w:val="22"/>
          <w:lang w:val="es-ES"/>
        </w:rPr>
        <w:tab/>
        <w:t xml:space="preserve">Sample </w:t>
      </w:r>
      <w:proofErr w:type="spellStart"/>
      <w:r>
        <w:rPr>
          <w:sz w:val="22"/>
          <w:szCs w:val="22"/>
          <w:lang w:val="es-ES"/>
        </w:rPr>
        <w:t>to</w:t>
      </w:r>
      <w:proofErr w:type="spellEnd"/>
      <w:r>
        <w:rPr>
          <w:sz w:val="22"/>
          <w:szCs w:val="22"/>
          <w:lang w:val="es-ES"/>
        </w:rPr>
        <w:t xml:space="preserve"> be </w:t>
      </w:r>
      <w:proofErr w:type="spellStart"/>
      <w:r>
        <w:rPr>
          <w:sz w:val="22"/>
          <w:szCs w:val="22"/>
          <w:lang w:val="es-ES"/>
        </w:rPr>
        <w:t>tested</w:t>
      </w:r>
      <w:proofErr w:type="spellEnd"/>
      <w:r>
        <w:rPr>
          <w:sz w:val="22"/>
          <w:szCs w:val="22"/>
          <w:lang w:val="es-ES"/>
        </w:rPr>
        <w:t>:</w:t>
      </w:r>
      <w:r>
        <w:rPr>
          <w:sz w:val="22"/>
          <w:szCs w:val="22"/>
          <w:u w:val="dotted"/>
          <w:lang w:val="es-ES"/>
        </w:rPr>
        <w:tab/>
      </w:r>
      <w:r>
        <w:rPr>
          <w:sz w:val="22"/>
          <w:szCs w:val="22"/>
          <w:lang w:val="es-ES"/>
        </w:rPr>
        <w:t xml:space="preserve">06 </w:t>
      </w:r>
      <w:proofErr w:type="spellStart"/>
      <w:r>
        <w:rPr>
          <w:sz w:val="22"/>
          <w:szCs w:val="22"/>
          <w:lang w:val="es-ES"/>
        </w:rPr>
        <w:t>units</w:t>
      </w:r>
      <w:proofErr w:type="spellEnd"/>
    </w:p>
    <w:p w14:paraId="2BFF4531" w14:textId="77777777" w:rsidR="00E255F4" w:rsidRDefault="00000000">
      <w:pPr>
        <w:tabs>
          <w:tab w:val="left" w:pos="0"/>
          <w:tab w:val="left" w:pos="993"/>
          <w:tab w:val="left" w:pos="1418"/>
          <w:tab w:val="left" w:pos="7088"/>
        </w:tabs>
        <w:spacing w:after="120"/>
        <w:ind w:left="1418" w:hanging="1418"/>
        <w:jc w:val="both"/>
        <w:rPr>
          <w:sz w:val="22"/>
          <w:szCs w:val="22"/>
          <w:lang w:val="es-ES"/>
        </w:rPr>
      </w:pPr>
      <w:r>
        <w:rPr>
          <w:sz w:val="22"/>
          <w:szCs w:val="22"/>
          <w:lang w:val="es-ES"/>
        </w:rPr>
        <w:t xml:space="preserve">    </w:t>
      </w:r>
      <w:r>
        <w:rPr>
          <w:sz w:val="22"/>
          <w:szCs w:val="22"/>
          <w:lang w:val="es-ES"/>
        </w:rPr>
        <w:tab/>
        <w:t xml:space="preserve">Maximum </w:t>
      </w:r>
      <w:proofErr w:type="spellStart"/>
      <w:r>
        <w:rPr>
          <w:sz w:val="22"/>
          <w:szCs w:val="22"/>
          <w:lang w:val="es-ES"/>
        </w:rPr>
        <w:t>number</w:t>
      </w:r>
      <w:proofErr w:type="spellEnd"/>
      <w:r>
        <w:rPr>
          <w:sz w:val="22"/>
          <w:szCs w:val="22"/>
          <w:lang w:val="es-ES"/>
        </w:rPr>
        <w:t xml:space="preserve"> </w:t>
      </w:r>
      <w:proofErr w:type="spellStart"/>
      <w:r>
        <w:rPr>
          <w:sz w:val="22"/>
          <w:szCs w:val="22"/>
          <w:lang w:val="es-ES"/>
        </w:rPr>
        <w:t>of</w:t>
      </w:r>
      <w:proofErr w:type="spellEnd"/>
      <w:r>
        <w:rPr>
          <w:sz w:val="22"/>
          <w:szCs w:val="22"/>
          <w:lang w:val="es-ES"/>
        </w:rPr>
        <w:t xml:space="preserve"> </w:t>
      </w:r>
      <w:proofErr w:type="spellStart"/>
      <w:r>
        <w:rPr>
          <w:sz w:val="22"/>
          <w:szCs w:val="22"/>
          <w:lang w:val="es-ES"/>
        </w:rPr>
        <w:t>rejections</w:t>
      </w:r>
      <w:proofErr w:type="spellEnd"/>
      <w:r>
        <w:rPr>
          <w:sz w:val="22"/>
          <w:szCs w:val="22"/>
          <w:lang w:val="es-ES"/>
        </w:rPr>
        <w:t>:</w:t>
      </w:r>
      <w:r>
        <w:rPr>
          <w:sz w:val="22"/>
          <w:szCs w:val="22"/>
          <w:u w:val="dotted"/>
          <w:lang w:val="es-ES"/>
        </w:rPr>
        <w:tab/>
      </w:r>
      <w:r>
        <w:rPr>
          <w:sz w:val="22"/>
          <w:szCs w:val="22"/>
          <w:lang w:val="es-ES"/>
        </w:rPr>
        <w:t xml:space="preserve">00 </w:t>
      </w:r>
      <w:proofErr w:type="spellStart"/>
      <w:r>
        <w:rPr>
          <w:sz w:val="22"/>
          <w:szCs w:val="22"/>
          <w:lang w:val="es-ES"/>
        </w:rPr>
        <w:t>unit</w:t>
      </w:r>
      <w:proofErr w:type="spellEnd"/>
    </w:p>
    <w:p w14:paraId="7B0E38E5" w14:textId="77777777" w:rsidR="00E255F4" w:rsidRDefault="00000000">
      <w:pPr>
        <w:numPr>
          <w:ilvl w:val="0"/>
          <w:numId w:val="6"/>
        </w:numPr>
        <w:spacing w:before="120"/>
        <w:ind w:left="998" w:hanging="573"/>
        <w:jc w:val="both"/>
        <w:rPr>
          <w:b/>
          <w:sz w:val="22"/>
          <w:szCs w:val="22"/>
          <w:lang w:val="es-ES"/>
        </w:rPr>
      </w:pPr>
      <w:r>
        <w:rPr>
          <w:b/>
          <w:sz w:val="22"/>
          <w:szCs w:val="22"/>
          <w:lang w:val="es-ES"/>
        </w:rPr>
        <w:t xml:space="preserve">Start-up </w:t>
      </w:r>
      <w:proofErr w:type="spellStart"/>
      <w:r>
        <w:rPr>
          <w:b/>
          <w:sz w:val="22"/>
          <w:szCs w:val="22"/>
          <w:lang w:val="es-ES"/>
        </w:rPr>
        <w:t>verification</w:t>
      </w:r>
      <w:proofErr w:type="spellEnd"/>
      <w:r>
        <w:rPr>
          <w:b/>
          <w:sz w:val="22"/>
          <w:szCs w:val="22"/>
          <w:lang w:val="es-ES"/>
        </w:rPr>
        <w:t xml:space="preserve"> test (Q0, </w:t>
      </w:r>
      <w:proofErr w:type="spellStart"/>
      <w:r>
        <w:rPr>
          <w:b/>
          <w:sz w:val="22"/>
          <w:szCs w:val="22"/>
          <w:lang w:val="es-ES"/>
        </w:rPr>
        <w:t>according</w:t>
      </w:r>
      <w:proofErr w:type="spellEnd"/>
      <w:r>
        <w:rPr>
          <w:b/>
          <w:sz w:val="22"/>
          <w:szCs w:val="22"/>
          <w:lang w:val="es-ES"/>
        </w:rPr>
        <w:t xml:space="preserve"> </w:t>
      </w:r>
      <w:proofErr w:type="spellStart"/>
      <w:r>
        <w:rPr>
          <w:b/>
          <w:sz w:val="22"/>
          <w:szCs w:val="22"/>
          <w:lang w:val="es-ES"/>
        </w:rPr>
        <w:t>to</w:t>
      </w:r>
      <w:proofErr w:type="spellEnd"/>
      <w:r>
        <w:rPr>
          <w:b/>
          <w:sz w:val="22"/>
          <w:szCs w:val="22"/>
          <w:lang w:val="es-ES"/>
        </w:rPr>
        <w:t xml:space="preserve"> </w:t>
      </w:r>
      <w:proofErr w:type="spellStart"/>
      <w:r>
        <w:rPr>
          <w:b/>
          <w:sz w:val="22"/>
          <w:szCs w:val="22"/>
          <w:lang w:val="es-ES"/>
        </w:rPr>
        <w:t>the</w:t>
      </w:r>
      <w:proofErr w:type="spellEnd"/>
      <w:r>
        <w:rPr>
          <w:b/>
          <w:sz w:val="22"/>
          <w:szCs w:val="22"/>
          <w:lang w:val="es-ES"/>
        </w:rPr>
        <w:t xml:space="preserve"> </w:t>
      </w:r>
      <w:proofErr w:type="spellStart"/>
      <w:r>
        <w:rPr>
          <w:b/>
          <w:sz w:val="22"/>
          <w:szCs w:val="22"/>
          <w:lang w:val="es-ES"/>
        </w:rPr>
        <w:t>value</w:t>
      </w:r>
      <w:proofErr w:type="spellEnd"/>
      <w:r>
        <w:rPr>
          <w:b/>
          <w:sz w:val="22"/>
          <w:szCs w:val="22"/>
          <w:lang w:val="es-ES"/>
        </w:rPr>
        <w:t xml:space="preserve"> </w:t>
      </w:r>
      <w:proofErr w:type="spellStart"/>
      <w:r>
        <w:rPr>
          <w:b/>
          <w:sz w:val="22"/>
          <w:szCs w:val="22"/>
          <w:lang w:val="es-ES"/>
        </w:rPr>
        <w:t>defined</w:t>
      </w:r>
      <w:proofErr w:type="spellEnd"/>
      <w:r>
        <w:rPr>
          <w:b/>
          <w:sz w:val="22"/>
          <w:szCs w:val="22"/>
          <w:lang w:val="es-ES"/>
        </w:rPr>
        <w:t xml:space="preserve"> in Art. 7.3.2)</w:t>
      </w:r>
    </w:p>
    <w:p w14:paraId="6BA9B00F" w14:textId="77777777" w:rsidR="00E255F4" w:rsidRDefault="00000000">
      <w:pPr>
        <w:tabs>
          <w:tab w:val="left" w:pos="0"/>
          <w:tab w:val="left" w:pos="993"/>
          <w:tab w:val="left" w:pos="1418"/>
          <w:tab w:val="left" w:pos="7088"/>
        </w:tabs>
        <w:ind w:left="1418" w:hanging="1418"/>
        <w:jc w:val="both"/>
        <w:rPr>
          <w:sz w:val="22"/>
          <w:szCs w:val="22"/>
          <w:lang w:val="es-ES"/>
        </w:rPr>
      </w:pPr>
      <w:r>
        <w:rPr>
          <w:sz w:val="22"/>
          <w:szCs w:val="22"/>
          <w:lang w:val="es-ES"/>
        </w:rPr>
        <w:t xml:space="preserve">    </w:t>
      </w:r>
      <w:r>
        <w:rPr>
          <w:sz w:val="22"/>
          <w:szCs w:val="22"/>
          <w:lang w:val="es-ES"/>
        </w:rPr>
        <w:tab/>
        <w:t xml:space="preserve">Sample </w:t>
      </w:r>
      <w:proofErr w:type="spellStart"/>
      <w:r>
        <w:rPr>
          <w:sz w:val="22"/>
          <w:szCs w:val="22"/>
          <w:lang w:val="es-ES"/>
        </w:rPr>
        <w:t>to</w:t>
      </w:r>
      <w:proofErr w:type="spellEnd"/>
      <w:r>
        <w:rPr>
          <w:sz w:val="22"/>
          <w:szCs w:val="22"/>
          <w:lang w:val="es-ES"/>
        </w:rPr>
        <w:t xml:space="preserve"> be </w:t>
      </w:r>
      <w:proofErr w:type="spellStart"/>
      <w:r>
        <w:rPr>
          <w:sz w:val="22"/>
          <w:szCs w:val="22"/>
          <w:lang w:val="es-ES"/>
        </w:rPr>
        <w:t>tested</w:t>
      </w:r>
      <w:proofErr w:type="spellEnd"/>
      <w:r>
        <w:rPr>
          <w:sz w:val="22"/>
          <w:szCs w:val="22"/>
          <w:lang w:val="es-ES"/>
        </w:rPr>
        <w:t>:</w:t>
      </w:r>
      <w:r>
        <w:rPr>
          <w:sz w:val="22"/>
          <w:szCs w:val="22"/>
          <w:u w:val="dotted"/>
          <w:lang w:val="es-ES"/>
        </w:rPr>
        <w:tab/>
      </w:r>
      <w:r>
        <w:rPr>
          <w:sz w:val="22"/>
          <w:szCs w:val="22"/>
          <w:lang w:val="es-ES"/>
        </w:rPr>
        <w:t xml:space="preserve">06 </w:t>
      </w:r>
      <w:proofErr w:type="spellStart"/>
      <w:r>
        <w:rPr>
          <w:sz w:val="22"/>
          <w:szCs w:val="22"/>
          <w:lang w:val="es-ES"/>
        </w:rPr>
        <w:t>units</w:t>
      </w:r>
      <w:proofErr w:type="spellEnd"/>
    </w:p>
    <w:p w14:paraId="67D42DDA" w14:textId="77777777" w:rsidR="00E255F4" w:rsidRDefault="00000000">
      <w:pPr>
        <w:tabs>
          <w:tab w:val="left" w:pos="0"/>
          <w:tab w:val="left" w:pos="848"/>
          <w:tab w:val="left" w:pos="1440"/>
        </w:tabs>
        <w:ind w:left="1440" w:hanging="848"/>
        <w:jc w:val="both"/>
        <w:rPr>
          <w:sz w:val="22"/>
          <w:szCs w:val="22"/>
          <w:lang w:val="es-ES"/>
        </w:rPr>
      </w:pPr>
      <w:r>
        <w:rPr>
          <w:sz w:val="22"/>
          <w:szCs w:val="22"/>
          <w:lang w:val="es-ES"/>
        </w:rPr>
        <w:t xml:space="preserve">       Maximum </w:t>
      </w:r>
      <w:proofErr w:type="spellStart"/>
      <w:r>
        <w:rPr>
          <w:sz w:val="22"/>
          <w:szCs w:val="22"/>
          <w:lang w:val="es-ES"/>
        </w:rPr>
        <w:t>number</w:t>
      </w:r>
      <w:proofErr w:type="spellEnd"/>
      <w:r>
        <w:rPr>
          <w:sz w:val="22"/>
          <w:szCs w:val="22"/>
          <w:lang w:val="es-ES"/>
        </w:rPr>
        <w:t xml:space="preserve"> </w:t>
      </w:r>
      <w:proofErr w:type="spellStart"/>
      <w:r>
        <w:rPr>
          <w:sz w:val="22"/>
          <w:szCs w:val="22"/>
          <w:lang w:val="es-ES"/>
        </w:rPr>
        <w:t>of</w:t>
      </w:r>
      <w:proofErr w:type="spellEnd"/>
      <w:r>
        <w:rPr>
          <w:sz w:val="22"/>
          <w:szCs w:val="22"/>
          <w:lang w:val="es-ES"/>
        </w:rPr>
        <w:t xml:space="preserve"> </w:t>
      </w:r>
      <w:proofErr w:type="spellStart"/>
      <w:r>
        <w:rPr>
          <w:sz w:val="22"/>
          <w:szCs w:val="22"/>
          <w:lang w:val="es-ES"/>
        </w:rPr>
        <w:t>rejections</w:t>
      </w:r>
      <w:proofErr w:type="spellEnd"/>
      <w:r>
        <w:rPr>
          <w:sz w:val="22"/>
          <w:szCs w:val="22"/>
          <w:lang w:val="es-ES"/>
        </w:rPr>
        <w:t>:</w:t>
      </w:r>
      <w:r>
        <w:rPr>
          <w:sz w:val="22"/>
          <w:szCs w:val="22"/>
          <w:u w:val="dotted"/>
          <w:lang w:val="es-ES"/>
        </w:rPr>
        <w:tab/>
      </w:r>
      <w:r>
        <w:rPr>
          <w:sz w:val="22"/>
          <w:szCs w:val="22"/>
          <w:u w:val="dotted"/>
          <w:lang w:val="es-ES"/>
        </w:rPr>
        <w:tab/>
      </w:r>
      <w:r>
        <w:rPr>
          <w:sz w:val="22"/>
          <w:szCs w:val="22"/>
          <w:u w:val="dotted"/>
          <w:lang w:val="es-ES"/>
        </w:rPr>
        <w:tab/>
      </w:r>
      <w:r>
        <w:rPr>
          <w:sz w:val="22"/>
          <w:szCs w:val="22"/>
          <w:u w:val="dotted"/>
          <w:lang w:val="es-ES"/>
        </w:rPr>
        <w:tab/>
      </w:r>
      <w:r>
        <w:rPr>
          <w:sz w:val="22"/>
          <w:szCs w:val="22"/>
          <w:u w:val="dotted"/>
          <w:lang w:val="es-ES"/>
        </w:rPr>
        <w:tab/>
      </w:r>
      <w:r>
        <w:rPr>
          <w:sz w:val="22"/>
          <w:szCs w:val="22"/>
          <w:lang w:val="es-ES"/>
        </w:rPr>
        <w:t xml:space="preserve">00 </w:t>
      </w:r>
      <w:proofErr w:type="spellStart"/>
      <w:r>
        <w:rPr>
          <w:sz w:val="22"/>
          <w:szCs w:val="22"/>
          <w:lang w:val="es-ES"/>
        </w:rPr>
        <w:t>unit</w:t>
      </w:r>
      <w:proofErr w:type="spellEnd"/>
    </w:p>
    <w:p w14:paraId="51EFEE85" w14:textId="77777777" w:rsidR="00E255F4" w:rsidRDefault="00E255F4">
      <w:pPr>
        <w:tabs>
          <w:tab w:val="left" w:pos="0"/>
          <w:tab w:val="left" w:pos="848"/>
          <w:tab w:val="left" w:pos="1440"/>
        </w:tabs>
        <w:ind w:left="1440" w:hanging="848"/>
        <w:jc w:val="both"/>
        <w:rPr>
          <w:sz w:val="22"/>
          <w:szCs w:val="22"/>
          <w:lang w:val="es-ES"/>
        </w:rPr>
      </w:pPr>
    </w:p>
    <w:p w14:paraId="7C9E347C" w14:textId="77777777" w:rsidR="00E255F4" w:rsidRDefault="00000000">
      <w:pPr>
        <w:pStyle w:val="Prrafodelista"/>
        <w:numPr>
          <w:ilvl w:val="1"/>
          <w:numId w:val="30"/>
        </w:numPr>
        <w:tabs>
          <w:tab w:val="left" w:pos="142"/>
        </w:tabs>
        <w:spacing w:after="120"/>
        <w:ind w:left="709" w:hanging="709"/>
        <w:jc w:val="both"/>
        <w:rPr>
          <w:b/>
          <w:sz w:val="22"/>
          <w:szCs w:val="22"/>
          <w:lang w:val="es-ES"/>
        </w:rPr>
      </w:pPr>
      <w:proofErr w:type="spellStart"/>
      <w:r>
        <w:rPr>
          <w:b/>
          <w:color w:val="000000"/>
          <w:sz w:val="22"/>
          <w:szCs w:val="22"/>
          <w:lang w:val="es-ES"/>
        </w:rPr>
        <w:t>It</w:t>
      </w:r>
      <w:proofErr w:type="spellEnd"/>
      <w:r>
        <w:rPr>
          <w:b/>
          <w:color w:val="000000"/>
          <w:sz w:val="22"/>
          <w:szCs w:val="22"/>
          <w:lang w:val="es-ES"/>
        </w:rPr>
        <w:t xml:space="preserve"> </w:t>
      </w:r>
      <w:proofErr w:type="spellStart"/>
      <w:r>
        <w:rPr>
          <w:b/>
          <w:color w:val="000000"/>
          <w:sz w:val="22"/>
          <w:szCs w:val="22"/>
          <w:lang w:val="es-ES"/>
        </w:rPr>
        <w:t>is</w:t>
      </w:r>
      <w:proofErr w:type="spellEnd"/>
      <w:r>
        <w:rPr>
          <w:b/>
          <w:color w:val="000000"/>
          <w:sz w:val="22"/>
          <w:szCs w:val="22"/>
          <w:lang w:val="es-ES"/>
        </w:rPr>
        <w:t xml:space="preserve"> </w:t>
      </w:r>
      <w:proofErr w:type="spellStart"/>
      <w:r>
        <w:rPr>
          <w:b/>
          <w:color w:val="000000"/>
          <w:sz w:val="22"/>
          <w:szCs w:val="22"/>
          <w:lang w:val="es-ES"/>
        </w:rPr>
        <w:t>specifically</w:t>
      </w:r>
      <w:proofErr w:type="spellEnd"/>
      <w:r>
        <w:rPr>
          <w:b/>
          <w:color w:val="000000"/>
          <w:sz w:val="22"/>
          <w:szCs w:val="22"/>
          <w:lang w:val="es-ES"/>
        </w:rPr>
        <w:t xml:space="preserve"> </w:t>
      </w:r>
      <w:proofErr w:type="spellStart"/>
      <w:r>
        <w:rPr>
          <w:b/>
          <w:color w:val="000000"/>
          <w:sz w:val="22"/>
          <w:szCs w:val="22"/>
          <w:lang w:val="es-ES"/>
        </w:rPr>
        <w:t>noted</w:t>
      </w:r>
      <w:proofErr w:type="spellEnd"/>
      <w:r>
        <w:rPr>
          <w:b/>
          <w:color w:val="000000"/>
          <w:sz w:val="22"/>
          <w:szCs w:val="22"/>
          <w:lang w:val="es-ES"/>
        </w:rPr>
        <w:t xml:space="preserve"> </w:t>
      </w:r>
      <w:proofErr w:type="spellStart"/>
      <w:r>
        <w:rPr>
          <w:b/>
          <w:color w:val="000000"/>
          <w:sz w:val="22"/>
          <w:szCs w:val="22"/>
          <w:lang w:val="es-ES"/>
        </w:rPr>
        <w:t>that</w:t>
      </w:r>
      <w:proofErr w:type="spellEnd"/>
      <w:r>
        <w:rPr>
          <w:b/>
          <w:color w:val="000000"/>
          <w:sz w:val="22"/>
          <w:szCs w:val="22"/>
          <w:lang w:val="es-ES"/>
        </w:rPr>
        <w:t xml:space="preserve"> </w:t>
      </w:r>
      <w:proofErr w:type="spellStart"/>
      <w:r>
        <w:rPr>
          <w:b/>
          <w:color w:val="000000"/>
          <w:sz w:val="22"/>
          <w:szCs w:val="22"/>
          <w:lang w:val="es-ES"/>
        </w:rPr>
        <w:t>the</w:t>
      </w:r>
      <w:proofErr w:type="spellEnd"/>
      <w:r>
        <w:rPr>
          <w:b/>
          <w:color w:val="000000"/>
          <w:sz w:val="22"/>
          <w:szCs w:val="22"/>
          <w:lang w:val="es-ES"/>
        </w:rPr>
        <w:t xml:space="preserve"> </w:t>
      </w:r>
      <w:proofErr w:type="spellStart"/>
      <w:r>
        <w:rPr>
          <w:b/>
          <w:color w:val="000000"/>
          <w:sz w:val="22"/>
          <w:szCs w:val="22"/>
          <w:lang w:val="es-ES"/>
        </w:rPr>
        <w:t>indicated</w:t>
      </w:r>
      <w:proofErr w:type="spellEnd"/>
      <w:r>
        <w:rPr>
          <w:b/>
          <w:color w:val="000000"/>
          <w:sz w:val="22"/>
          <w:szCs w:val="22"/>
          <w:lang w:val="es-ES"/>
        </w:rPr>
        <w:t xml:space="preserve"> </w:t>
      </w:r>
      <w:proofErr w:type="spellStart"/>
      <w:r>
        <w:rPr>
          <w:b/>
          <w:color w:val="000000"/>
          <w:sz w:val="22"/>
          <w:szCs w:val="22"/>
          <w:lang w:val="es-ES"/>
        </w:rPr>
        <w:t>flow</w:t>
      </w:r>
      <w:proofErr w:type="spellEnd"/>
      <w:r>
        <w:rPr>
          <w:b/>
          <w:color w:val="000000"/>
          <w:sz w:val="22"/>
          <w:szCs w:val="22"/>
          <w:lang w:val="es-ES"/>
        </w:rPr>
        <w:t xml:space="preserve"> </w:t>
      </w:r>
      <w:proofErr w:type="spellStart"/>
      <w:r>
        <w:rPr>
          <w:b/>
          <w:color w:val="000000"/>
          <w:sz w:val="22"/>
          <w:szCs w:val="22"/>
          <w:lang w:val="es-ES"/>
        </w:rPr>
        <w:t>rates</w:t>
      </w:r>
      <w:proofErr w:type="spellEnd"/>
      <w:r>
        <w:rPr>
          <w:b/>
          <w:color w:val="000000"/>
          <w:sz w:val="22"/>
          <w:szCs w:val="22"/>
          <w:lang w:val="es-ES"/>
        </w:rPr>
        <w:t xml:space="preserve"> are </w:t>
      </w:r>
      <w:proofErr w:type="spellStart"/>
      <w:r>
        <w:rPr>
          <w:b/>
          <w:color w:val="000000"/>
          <w:sz w:val="22"/>
          <w:szCs w:val="22"/>
          <w:lang w:val="es-ES"/>
        </w:rPr>
        <w:t>the</w:t>
      </w:r>
      <w:proofErr w:type="spellEnd"/>
      <w:r>
        <w:rPr>
          <w:b/>
          <w:color w:val="000000"/>
          <w:sz w:val="22"/>
          <w:szCs w:val="22"/>
          <w:lang w:val="es-ES"/>
        </w:rPr>
        <w:t xml:space="preserve"> </w:t>
      </w:r>
      <w:proofErr w:type="spellStart"/>
      <w:r>
        <w:rPr>
          <w:b/>
          <w:color w:val="000000"/>
          <w:sz w:val="22"/>
          <w:szCs w:val="22"/>
          <w:lang w:val="es-ES"/>
        </w:rPr>
        <w:t>minimum</w:t>
      </w:r>
      <w:proofErr w:type="spellEnd"/>
      <w:r>
        <w:rPr>
          <w:b/>
          <w:color w:val="000000"/>
          <w:sz w:val="22"/>
          <w:szCs w:val="22"/>
          <w:lang w:val="es-ES"/>
        </w:rPr>
        <w:t xml:space="preserve"> </w:t>
      </w:r>
      <w:proofErr w:type="spellStart"/>
      <w:r>
        <w:rPr>
          <w:b/>
          <w:color w:val="000000"/>
          <w:sz w:val="22"/>
          <w:szCs w:val="22"/>
          <w:lang w:val="es-ES"/>
        </w:rPr>
        <w:t>to</w:t>
      </w:r>
      <w:proofErr w:type="spellEnd"/>
      <w:r>
        <w:rPr>
          <w:b/>
          <w:color w:val="000000"/>
          <w:sz w:val="22"/>
          <w:szCs w:val="22"/>
          <w:lang w:val="es-ES"/>
        </w:rPr>
        <w:t xml:space="preserve"> be </w:t>
      </w:r>
      <w:proofErr w:type="spellStart"/>
      <w:r>
        <w:rPr>
          <w:b/>
          <w:color w:val="000000"/>
          <w:sz w:val="22"/>
          <w:szCs w:val="22"/>
          <w:lang w:val="es-ES"/>
        </w:rPr>
        <w:t>tested</w:t>
      </w:r>
      <w:proofErr w:type="spellEnd"/>
      <w:r>
        <w:rPr>
          <w:b/>
          <w:color w:val="000000"/>
          <w:sz w:val="22"/>
          <w:szCs w:val="22"/>
          <w:lang w:val="es-ES"/>
        </w:rPr>
        <w:t xml:space="preserve">, </w:t>
      </w:r>
      <w:proofErr w:type="spellStart"/>
      <w:r>
        <w:rPr>
          <w:b/>
          <w:color w:val="000000"/>
          <w:sz w:val="22"/>
          <w:szCs w:val="22"/>
          <w:lang w:val="es-ES"/>
        </w:rPr>
        <w:t>leaving</w:t>
      </w:r>
      <w:proofErr w:type="spellEnd"/>
      <w:r>
        <w:rPr>
          <w:b/>
          <w:color w:val="000000"/>
          <w:sz w:val="22"/>
          <w:szCs w:val="22"/>
          <w:lang w:val="es-ES"/>
        </w:rPr>
        <w:t xml:space="preserve"> </w:t>
      </w:r>
      <w:proofErr w:type="spellStart"/>
      <w:r>
        <w:rPr>
          <w:b/>
          <w:color w:val="000000"/>
          <w:sz w:val="22"/>
          <w:szCs w:val="22"/>
          <w:lang w:val="es-ES"/>
        </w:rPr>
        <w:t>it</w:t>
      </w:r>
      <w:proofErr w:type="spellEnd"/>
      <w:r>
        <w:rPr>
          <w:b/>
          <w:color w:val="000000"/>
          <w:sz w:val="22"/>
          <w:szCs w:val="22"/>
          <w:lang w:val="es-ES"/>
        </w:rPr>
        <w:t xml:space="preserve"> </w:t>
      </w:r>
      <w:proofErr w:type="spellStart"/>
      <w:r>
        <w:rPr>
          <w:b/>
          <w:color w:val="000000"/>
          <w:sz w:val="22"/>
          <w:szCs w:val="22"/>
          <w:lang w:val="es-ES"/>
        </w:rPr>
        <w:t>to</w:t>
      </w:r>
      <w:proofErr w:type="spellEnd"/>
      <w:r>
        <w:rPr>
          <w:b/>
          <w:color w:val="000000"/>
          <w:sz w:val="22"/>
          <w:szCs w:val="22"/>
          <w:lang w:val="es-ES"/>
        </w:rPr>
        <w:t xml:space="preserve"> </w:t>
      </w:r>
      <w:proofErr w:type="spellStart"/>
      <w:r>
        <w:rPr>
          <w:b/>
          <w:color w:val="000000"/>
          <w:sz w:val="22"/>
          <w:szCs w:val="22"/>
          <w:lang w:val="es-ES"/>
        </w:rPr>
        <w:t>the</w:t>
      </w:r>
      <w:proofErr w:type="spellEnd"/>
      <w:r>
        <w:rPr>
          <w:b/>
          <w:color w:val="000000"/>
          <w:sz w:val="22"/>
          <w:szCs w:val="22"/>
          <w:lang w:val="es-ES"/>
        </w:rPr>
        <w:t xml:space="preserve"> </w:t>
      </w:r>
      <w:proofErr w:type="spellStart"/>
      <w:r>
        <w:rPr>
          <w:b/>
          <w:color w:val="000000"/>
          <w:sz w:val="22"/>
          <w:szCs w:val="22"/>
          <w:lang w:val="es-ES"/>
        </w:rPr>
        <w:t>Administration</w:t>
      </w:r>
      <w:proofErr w:type="spellEnd"/>
      <w:r>
        <w:rPr>
          <w:b/>
          <w:color w:val="000000"/>
          <w:sz w:val="22"/>
          <w:szCs w:val="22"/>
          <w:lang w:val="es-ES"/>
        </w:rPr>
        <w:t xml:space="preserve"> </w:t>
      </w:r>
      <w:proofErr w:type="spellStart"/>
      <w:r>
        <w:rPr>
          <w:b/>
          <w:color w:val="000000"/>
          <w:sz w:val="22"/>
          <w:szCs w:val="22"/>
          <w:lang w:val="es-ES"/>
        </w:rPr>
        <w:t>to</w:t>
      </w:r>
      <w:proofErr w:type="spellEnd"/>
      <w:r>
        <w:rPr>
          <w:b/>
          <w:color w:val="000000"/>
          <w:sz w:val="22"/>
          <w:szCs w:val="22"/>
          <w:lang w:val="es-ES"/>
        </w:rPr>
        <w:t xml:space="preserve"> </w:t>
      </w:r>
      <w:proofErr w:type="spellStart"/>
      <w:r>
        <w:rPr>
          <w:b/>
          <w:color w:val="000000"/>
          <w:sz w:val="22"/>
          <w:szCs w:val="22"/>
          <w:lang w:val="es-ES"/>
        </w:rPr>
        <w:t>carry</w:t>
      </w:r>
      <w:proofErr w:type="spellEnd"/>
      <w:r>
        <w:rPr>
          <w:b/>
          <w:color w:val="000000"/>
          <w:sz w:val="22"/>
          <w:szCs w:val="22"/>
          <w:lang w:val="es-ES"/>
        </w:rPr>
        <w:t xml:space="preserve"> </w:t>
      </w:r>
      <w:proofErr w:type="spellStart"/>
      <w:r>
        <w:rPr>
          <w:b/>
          <w:color w:val="000000"/>
          <w:sz w:val="22"/>
          <w:szCs w:val="22"/>
          <w:lang w:val="es-ES"/>
        </w:rPr>
        <w:t>out</w:t>
      </w:r>
      <w:proofErr w:type="spellEnd"/>
      <w:r>
        <w:rPr>
          <w:b/>
          <w:color w:val="000000"/>
          <w:sz w:val="22"/>
          <w:szCs w:val="22"/>
          <w:lang w:val="es-ES"/>
        </w:rPr>
        <w:t xml:space="preserve"> </w:t>
      </w:r>
      <w:proofErr w:type="spellStart"/>
      <w:r>
        <w:rPr>
          <w:b/>
          <w:color w:val="000000"/>
          <w:sz w:val="22"/>
          <w:szCs w:val="22"/>
          <w:lang w:val="es-ES"/>
        </w:rPr>
        <w:t>tests</w:t>
      </w:r>
      <w:proofErr w:type="spellEnd"/>
      <w:r>
        <w:rPr>
          <w:b/>
          <w:color w:val="000000"/>
          <w:sz w:val="22"/>
          <w:szCs w:val="22"/>
          <w:lang w:val="es-ES"/>
        </w:rPr>
        <w:t xml:space="preserve"> at </w:t>
      </w:r>
      <w:proofErr w:type="spellStart"/>
      <w:r>
        <w:rPr>
          <w:b/>
          <w:color w:val="000000"/>
          <w:sz w:val="22"/>
          <w:szCs w:val="22"/>
          <w:lang w:val="es-ES"/>
        </w:rPr>
        <w:t>intermediate</w:t>
      </w:r>
      <w:proofErr w:type="spellEnd"/>
      <w:r>
        <w:rPr>
          <w:b/>
          <w:color w:val="000000"/>
          <w:sz w:val="22"/>
          <w:szCs w:val="22"/>
          <w:lang w:val="es-ES"/>
        </w:rPr>
        <w:t xml:space="preserve"> </w:t>
      </w:r>
      <w:proofErr w:type="spellStart"/>
      <w:r>
        <w:rPr>
          <w:b/>
          <w:color w:val="000000"/>
          <w:sz w:val="22"/>
          <w:szCs w:val="22"/>
          <w:lang w:val="es-ES"/>
        </w:rPr>
        <w:t>flow</w:t>
      </w:r>
      <w:proofErr w:type="spellEnd"/>
      <w:r>
        <w:rPr>
          <w:b/>
          <w:color w:val="000000"/>
          <w:sz w:val="22"/>
          <w:szCs w:val="22"/>
          <w:lang w:val="es-ES"/>
        </w:rPr>
        <w:t xml:space="preserve"> </w:t>
      </w:r>
      <w:proofErr w:type="spellStart"/>
      <w:r>
        <w:rPr>
          <w:b/>
          <w:color w:val="000000"/>
          <w:sz w:val="22"/>
          <w:szCs w:val="22"/>
          <w:lang w:val="es-ES"/>
        </w:rPr>
        <w:t>rates</w:t>
      </w:r>
      <w:proofErr w:type="spellEnd"/>
      <w:r>
        <w:rPr>
          <w:b/>
          <w:color w:val="000000"/>
          <w:sz w:val="22"/>
          <w:szCs w:val="22"/>
          <w:lang w:val="es-ES"/>
        </w:rPr>
        <w:t xml:space="preserve"> in </w:t>
      </w:r>
      <w:proofErr w:type="spellStart"/>
      <w:r>
        <w:rPr>
          <w:b/>
          <w:color w:val="000000"/>
          <w:sz w:val="22"/>
          <w:szCs w:val="22"/>
          <w:lang w:val="es-ES"/>
        </w:rPr>
        <w:t>order</w:t>
      </w:r>
      <w:proofErr w:type="spellEnd"/>
      <w:r>
        <w:rPr>
          <w:b/>
          <w:color w:val="000000"/>
          <w:sz w:val="22"/>
          <w:szCs w:val="22"/>
          <w:lang w:val="es-ES"/>
        </w:rPr>
        <w:t xml:space="preserve"> </w:t>
      </w:r>
      <w:proofErr w:type="spellStart"/>
      <w:r>
        <w:rPr>
          <w:b/>
          <w:color w:val="000000"/>
          <w:sz w:val="22"/>
          <w:szCs w:val="22"/>
          <w:lang w:val="es-ES"/>
        </w:rPr>
        <w:t>to</w:t>
      </w:r>
      <w:proofErr w:type="spellEnd"/>
      <w:r>
        <w:rPr>
          <w:b/>
          <w:color w:val="000000"/>
          <w:sz w:val="22"/>
          <w:szCs w:val="22"/>
          <w:lang w:val="es-ES"/>
        </w:rPr>
        <w:t xml:space="preserve"> </w:t>
      </w:r>
      <w:proofErr w:type="spellStart"/>
      <w:r>
        <w:rPr>
          <w:b/>
          <w:color w:val="000000"/>
          <w:sz w:val="22"/>
          <w:szCs w:val="22"/>
          <w:lang w:val="es-ES"/>
        </w:rPr>
        <w:t>verify</w:t>
      </w:r>
      <w:proofErr w:type="spellEnd"/>
      <w:r>
        <w:rPr>
          <w:b/>
          <w:color w:val="000000"/>
          <w:sz w:val="22"/>
          <w:szCs w:val="22"/>
          <w:lang w:val="es-ES"/>
        </w:rPr>
        <w:t xml:space="preserve"> </w:t>
      </w:r>
      <w:proofErr w:type="spellStart"/>
      <w:r>
        <w:rPr>
          <w:b/>
          <w:color w:val="000000"/>
          <w:sz w:val="22"/>
          <w:szCs w:val="22"/>
          <w:lang w:val="es-ES"/>
        </w:rPr>
        <w:t>compliance</w:t>
      </w:r>
      <w:proofErr w:type="spellEnd"/>
      <w:r>
        <w:rPr>
          <w:b/>
          <w:color w:val="000000"/>
          <w:sz w:val="22"/>
          <w:szCs w:val="22"/>
          <w:lang w:val="es-ES"/>
        </w:rPr>
        <w:t xml:space="preserve"> </w:t>
      </w:r>
      <w:proofErr w:type="spellStart"/>
      <w:r>
        <w:rPr>
          <w:b/>
          <w:color w:val="000000"/>
          <w:sz w:val="22"/>
          <w:szCs w:val="22"/>
          <w:lang w:val="es-ES"/>
        </w:rPr>
        <w:t>with</w:t>
      </w:r>
      <w:proofErr w:type="spellEnd"/>
      <w:r>
        <w:rPr>
          <w:b/>
          <w:color w:val="000000"/>
          <w:sz w:val="22"/>
          <w:szCs w:val="22"/>
          <w:lang w:val="es-ES"/>
        </w:rPr>
        <w:t xml:space="preserve"> ISO Standard 4064 in </w:t>
      </w:r>
      <w:proofErr w:type="spellStart"/>
      <w:r>
        <w:rPr>
          <w:b/>
          <w:color w:val="000000"/>
          <w:sz w:val="22"/>
          <w:szCs w:val="22"/>
          <w:lang w:val="es-ES"/>
        </w:rPr>
        <w:t>its</w:t>
      </w:r>
      <w:proofErr w:type="spellEnd"/>
      <w:r>
        <w:rPr>
          <w:b/>
          <w:color w:val="000000"/>
          <w:sz w:val="22"/>
          <w:szCs w:val="22"/>
          <w:lang w:val="es-ES"/>
        </w:rPr>
        <w:t xml:space="preserve"> </w:t>
      </w:r>
      <w:proofErr w:type="spellStart"/>
      <w:r>
        <w:rPr>
          <w:b/>
          <w:color w:val="000000"/>
          <w:sz w:val="22"/>
          <w:szCs w:val="22"/>
          <w:lang w:val="es-ES"/>
        </w:rPr>
        <w:t>latest</w:t>
      </w:r>
      <w:proofErr w:type="spellEnd"/>
      <w:r>
        <w:rPr>
          <w:b/>
          <w:color w:val="000000"/>
          <w:sz w:val="22"/>
          <w:szCs w:val="22"/>
          <w:lang w:val="es-ES"/>
        </w:rPr>
        <w:t xml:space="preserve"> </w:t>
      </w:r>
      <w:proofErr w:type="spellStart"/>
      <w:r>
        <w:rPr>
          <w:b/>
          <w:color w:val="000000"/>
          <w:sz w:val="22"/>
          <w:szCs w:val="22"/>
          <w:lang w:val="es-ES"/>
        </w:rPr>
        <w:t>version</w:t>
      </w:r>
      <w:proofErr w:type="spellEnd"/>
      <w:r>
        <w:rPr>
          <w:b/>
          <w:color w:val="000000"/>
          <w:sz w:val="22"/>
          <w:szCs w:val="22"/>
          <w:lang w:val="es-ES"/>
        </w:rPr>
        <w:t xml:space="preserve"> in </w:t>
      </w:r>
      <w:proofErr w:type="spellStart"/>
      <w:r>
        <w:rPr>
          <w:b/>
          <w:color w:val="000000"/>
          <w:sz w:val="22"/>
          <w:szCs w:val="22"/>
          <w:lang w:val="es-ES"/>
        </w:rPr>
        <w:t>force</w:t>
      </w:r>
      <w:proofErr w:type="spellEnd"/>
      <w:r>
        <w:rPr>
          <w:b/>
          <w:color w:val="000000"/>
          <w:sz w:val="22"/>
          <w:szCs w:val="22"/>
          <w:lang w:val="es-ES"/>
        </w:rPr>
        <w:t>.</w:t>
      </w:r>
    </w:p>
    <w:p w14:paraId="5C5086E2" w14:textId="77777777" w:rsidR="00E255F4" w:rsidRDefault="00000000">
      <w:pPr>
        <w:pStyle w:val="Prrafodelista"/>
        <w:numPr>
          <w:ilvl w:val="1"/>
          <w:numId w:val="30"/>
        </w:numPr>
        <w:tabs>
          <w:tab w:val="left" w:pos="142"/>
        </w:tabs>
        <w:spacing w:after="120"/>
        <w:ind w:left="709" w:hanging="709"/>
        <w:jc w:val="both"/>
        <w:rPr>
          <w:sz w:val="22"/>
          <w:szCs w:val="22"/>
          <w:lang w:val="es-ES"/>
        </w:rPr>
      </w:pPr>
      <w:r>
        <w:rPr>
          <w:sz w:val="22"/>
          <w:szCs w:val="22"/>
          <w:lang w:val="es-ES"/>
        </w:rPr>
        <w:t xml:space="preserve">In </w:t>
      </w:r>
      <w:proofErr w:type="spellStart"/>
      <w:r>
        <w:rPr>
          <w:sz w:val="22"/>
          <w:szCs w:val="22"/>
          <w:lang w:val="es-ES"/>
        </w:rPr>
        <w:t>conjunction</w:t>
      </w:r>
      <w:proofErr w:type="spellEnd"/>
      <w:r>
        <w:rPr>
          <w:sz w:val="22"/>
          <w:szCs w:val="22"/>
          <w:lang w:val="es-ES"/>
        </w:rPr>
        <w:t xml:space="preserve"> </w:t>
      </w:r>
      <w:proofErr w:type="spellStart"/>
      <w:r>
        <w:rPr>
          <w:sz w:val="22"/>
          <w:szCs w:val="22"/>
          <w:lang w:val="es-ES"/>
        </w:rPr>
        <w:t>with</w:t>
      </w:r>
      <w:proofErr w:type="spellEnd"/>
      <w:r>
        <w:rPr>
          <w:sz w:val="22"/>
          <w:szCs w:val="22"/>
          <w:lang w:val="es-ES"/>
        </w:rPr>
        <w:t xml:space="preserve"> </w:t>
      </w:r>
      <w:proofErr w:type="spellStart"/>
      <w:r>
        <w:rPr>
          <w:sz w:val="22"/>
          <w:szCs w:val="22"/>
          <w:lang w:val="es-ES"/>
        </w:rPr>
        <w:t>the</w:t>
      </w:r>
      <w:proofErr w:type="spellEnd"/>
      <w:r>
        <w:rPr>
          <w:sz w:val="22"/>
          <w:szCs w:val="22"/>
          <w:lang w:val="es-ES"/>
        </w:rPr>
        <w:t xml:space="preserve"> </w:t>
      </w:r>
      <w:proofErr w:type="spellStart"/>
      <w:r>
        <w:rPr>
          <w:sz w:val="22"/>
          <w:szCs w:val="22"/>
          <w:lang w:val="es-ES"/>
        </w:rPr>
        <w:t>aforementioned</w:t>
      </w:r>
      <w:proofErr w:type="spellEnd"/>
      <w:r>
        <w:rPr>
          <w:sz w:val="22"/>
          <w:szCs w:val="22"/>
          <w:lang w:val="es-ES"/>
        </w:rPr>
        <w:t xml:space="preserve"> </w:t>
      </w:r>
      <w:proofErr w:type="spellStart"/>
      <w:r>
        <w:rPr>
          <w:sz w:val="22"/>
          <w:szCs w:val="22"/>
          <w:lang w:val="es-ES"/>
        </w:rPr>
        <w:t>tests</w:t>
      </w:r>
      <w:proofErr w:type="spellEnd"/>
      <w:r>
        <w:rPr>
          <w:sz w:val="22"/>
          <w:szCs w:val="22"/>
          <w:lang w:val="es-ES"/>
        </w:rPr>
        <w:t xml:space="preserve">, a visual </w:t>
      </w:r>
      <w:proofErr w:type="spellStart"/>
      <w:r>
        <w:rPr>
          <w:sz w:val="22"/>
          <w:szCs w:val="22"/>
          <w:lang w:val="es-ES"/>
        </w:rPr>
        <w:t>inspection</w:t>
      </w:r>
      <w:proofErr w:type="spellEnd"/>
      <w:r>
        <w:rPr>
          <w:sz w:val="22"/>
          <w:szCs w:val="22"/>
          <w:lang w:val="es-ES"/>
        </w:rPr>
        <w:t xml:space="preserve"> </w:t>
      </w:r>
      <w:proofErr w:type="spellStart"/>
      <w:r>
        <w:rPr>
          <w:sz w:val="22"/>
          <w:szCs w:val="22"/>
          <w:lang w:val="es-ES"/>
        </w:rPr>
        <w:t>or</w:t>
      </w:r>
      <w:proofErr w:type="spellEnd"/>
      <w:r>
        <w:rPr>
          <w:sz w:val="22"/>
          <w:szCs w:val="22"/>
          <w:lang w:val="es-ES"/>
        </w:rPr>
        <w:t xml:space="preserve"> </w:t>
      </w:r>
      <w:proofErr w:type="gramStart"/>
      <w:r>
        <w:rPr>
          <w:sz w:val="22"/>
          <w:szCs w:val="22"/>
          <w:lang w:val="es-ES"/>
        </w:rPr>
        <w:t>simple test</w:t>
      </w:r>
      <w:proofErr w:type="gramEnd"/>
      <w:r>
        <w:rPr>
          <w:sz w:val="22"/>
          <w:szCs w:val="22"/>
          <w:lang w:val="es-ES"/>
        </w:rPr>
        <w:t xml:space="preserve"> </w:t>
      </w:r>
      <w:proofErr w:type="spellStart"/>
      <w:r>
        <w:rPr>
          <w:sz w:val="22"/>
          <w:szCs w:val="22"/>
          <w:lang w:val="es-ES"/>
        </w:rPr>
        <w:t>will</w:t>
      </w:r>
      <w:proofErr w:type="spellEnd"/>
      <w:r>
        <w:rPr>
          <w:sz w:val="22"/>
          <w:szCs w:val="22"/>
          <w:lang w:val="es-ES"/>
        </w:rPr>
        <w:t xml:space="preserve"> be </w:t>
      </w:r>
      <w:proofErr w:type="spellStart"/>
      <w:r>
        <w:rPr>
          <w:sz w:val="22"/>
          <w:szCs w:val="22"/>
          <w:lang w:val="es-ES"/>
        </w:rPr>
        <w:t>performed</w:t>
      </w:r>
      <w:proofErr w:type="spellEnd"/>
      <w:r>
        <w:rPr>
          <w:sz w:val="22"/>
          <w:szCs w:val="22"/>
          <w:lang w:val="es-ES"/>
        </w:rPr>
        <w:t xml:space="preserve">, as </w:t>
      </w:r>
      <w:proofErr w:type="spellStart"/>
      <w:r>
        <w:rPr>
          <w:sz w:val="22"/>
          <w:szCs w:val="22"/>
          <w:lang w:val="es-ES"/>
        </w:rPr>
        <w:t>appropriate</w:t>
      </w:r>
      <w:proofErr w:type="spellEnd"/>
      <w:r>
        <w:rPr>
          <w:sz w:val="22"/>
          <w:szCs w:val="22"/>
          <w:lang w:val="es-ES"/>
        </w:rPr>
        <w:t xml:space="preserve">, </w:t>
      </w:r>
      <w:proofErr w:type="spellStart"/>
      <w:r>
        <w:rPr>
          <w:sz w:val="22"/>
          <w:szCs w:val="22"/>
          <w:lang w:val="es-ES"/>
        </w:rPr>
        <w:t>to</w:t>
      </w:r>
      <w:proofErr w:type="spellEnd"/>
      <w:r>
        <w:rPr>
          <w:sz w:val="22"/>
          <w:szCs w:val="22"/>
          <w:lang w:val="es-ES"/>
        </w:rPr>
        <w:t xml:space="preserve"> </w:t>
      </w:r>
      <w:proofErr w:type="spellStart"/>
      <w:r>
        <w:rPr>
          <w:sz w:val="22"/>
          <w:szCs w:val="22"/>
          <w:lang w:val="es-ES"/>
        </w:rPr>
        <w:t>verify</w:t>
      </w:r>
      <w:proofErr w:type="spellEnd"/>
      <w:r>
        <w:rPr>
          <w:sz w:val="22"/>
          <w:szCs w:val="22"/>
          <w:lang w:val="es-ES"/>
        </w:rPr>
        <w:t xml:space="preserve"> </w:t>
      </w:r>
      <w:proofErr w:type="spellStart"/>
      <w:r>
        <w:rPr>
          <w:sz w:val="22"/>
          <w:szCs w:val="22"/>
          <w:lang w:val="es-ES"/>
        </w:rPr>
        <w:t>whether</w:t>
      </w:r>
      <w:proofErr w:type="spellEnd"/>
      <w:r>
        <w:rPr>
          <w:sz w:val="22"/>
          <w:szCs w:val="22"/>
          <w:lang w:val="es-ES"/>
        </w:rPr>
        <w:t xml:space="preserve"> </w:t>
      </w:r>
      <w:proofErr w:type="spellStart"/>
      <w:r>
        <w:rPr>
          <w:sz w:val="22"/>
          <w:szCs w:val="22"/>
          <w:lang w:val="es-ES"/>
        </w:rPr>
        <w:t>the</w:t>
      </w:r>
      <w:proofErr w:type="spellEnd"/>
      <w:r>
        <w:rPr>
          <w:sz w:val="22"/>
          <w:szCs w:val="22"/>
          <w:lang w:val="es-ES"/>
        </w:rPr>
        <w:t xml:space="preserve"> </w:t>
      </w:r>
      <w:proofErr w:type="spellStart"/>
      <w:r>
        <w:rPr>
          <w:sz w:val="22"/>
          <w:szCs w:val="22"/>
          <w:lang w:val="es-ES"/>
        </w:rPr>
        <w:t>sample</w:t>
      </w:r>
      <w:proofErr w:type="spellEnd"/>
      <w:r>
        <w:rPr>
          <w:sz w:val="22"/>
          <w:szCs w:val="22"/>
          <w:lang w:val="es-ES"/>
        </w:rPr>
        <w:t xml:space="preserve"> </w:t>
      </w:r>
      <w:proofErr w:type="spellStart"/>
      <w:r>
        <w:rPr>
          <w:sz w:val="22"/>
          <w:szCs w:val="22"/>
          <w:lang w:val="es-ES"/>
        </w:rPr>
        <w:t>complies</w:t>
      </w:r>
      <w:proofErr w:type="spellEnd"/>
      <w:r>
        <w:rPr>
          <w:sz w:val="22"/>
          <w:szCs w:val="22"/>
          <w:lang w:val="es-ES"/>
        </w:rPr>
        <w:t xml:space="preserve"> </w:t>
      </w:r>
      <w:proofErr w:type="spellStart"/>
      <w:r>
        <w:rPr>
          <w:sz w:val="22"/>
          <w:szCs w:val="22"/>
          <w:lang w:val="es-ES"/>
        </w:rPr>
        <w:t>with</w:t>
      </w:r>
      <w:proofErr w:type="spellEnd"/>
      <w:r>
        <w:rPr>
          <w:sz w:val="22"/>
          <w:szCs w:val="22"/>
          <w:lang w:val="es-ES"/>
        </w:rPr>
        <w:t xml:space="preserve"> </w:t>
      </w:r>
      <w:proofErr w:type="spellStart"/>
      <w:r>
        <w:rPr>
          <w:sz w:val="22"/>
          <w:szCs w:val="22"/>
          <w:lang w:val="es-ES"/>
        </w:rPr>
        <w:t>the</w:t>
      </w:r>
      <w:proofErr w:type="spellEnd"/>
      <w:r>
        <w:rPr>
          <w:sz w:val="22"/>
          <w:szCs w:val="22"/>
          <w:lang w:val="es-ES"/>
        </w:rPr>
        <w:t xml:space="preserve"> </w:t>
      </w:r>
      <w:proofErr w:type="spellStart"/>
      <w:r>
        <w:rPr>
          <w:sz w:val="22"/>
          <w:szCs w:val="22"/>
          <w:lang w:val="es-ES"/>
        </w:rPr>
        <w:t>various</w:t>
      </w:r>
      <w:proofErr w:type="spellEnd"/>
      <w:r>
        <w:rPr>
          <w:sz w:val="22"/>
          <w:szCs w:val="22"/>
          <w:lang w:val="es-ES"/>
        </w:rPr>
        <w:t xml:space="preserve"> </w:t>
      </w:r>
      <w:proofErr w:type="spellStart"/>
      <w:r>
        <w:rPr>
          <w:sz w:val="22"/>
          <w:szCs w:val="22"/>
          <w:lang w:val="es-ES"/>
        </w:rPr>
        <w:t>specifications</w:t>
      </w:r>
      <w:proofErr w:type="spellEnd"/>
      <w:r>
        <w:rPr>
          <w:sz w:val="22"/>
          <w:szCs w:val="22"/>
          <w:lang w:val="es-ES"/>
        </w:rPr>
        <w:t xml:space="preserve"> </w:t>
      </w:r>
      <w:proofErr w:type="spellStart"/>
      <w:r>
        <w:rPr>
          <w:sz w:val="22"/>
          <w:szCs w:val="22"/>
          <w:lang w:val="es-ES"/>
        </w:rPr>
        <w:t>outlined</w:t>
      </w:r>
      <w:proofErr w:type="spellEnd"/>
      <w:r>
        <w:rPr>
          <w:sz w:val="22"/>
          <w:szCs w:val="22"/>
          <w:lang w:val="es-ES"/>
        </w:rPr>
        <w:t xml:space="preserve"> in </w:t>
      </w:r>
      <w:proofErr w:type="spellStart"/>
      <w:r>
        <w:rPr>
          <w:sz w:val="22"/>
          <w:szCs w:val="22"/>
          <w:lang w:val="es-ES"/>
        </w:rPr>
        <w:t>this</w:t>
      </w:r>
      <w:proofErr w:type="spellEnd"/>
      <w:r>
        <w:rPr>
          <w:sz w:val="22"/>
          <w:szCs w:val="22"/>
          <w:lang w:val="es-ES"/>
        </w:rPr>
        <w:t xml:space="preserve"> </w:t>
      </w:r>
      <w:proofErr w:type="spellStart"/>
      <w:r>
        <w:rPr>
          <w:sz w:val="22"/>
          <w:szCs w:val="22"/>
          <w:lang w:val="es-ES"/>
        </w:rPr>
        <w:t>document</w:t>
      </w:r>
      <w:proofErr w:type="spellEnd"/>
      <w:r>
        <w:rPr>
          <w:sz w:val="22"/>
          <w:szCs w:val="22"/>
          <w:lang w:val="es-ES"/>
        </w:rPr>
        <w:t xml:space="preserve">, </w:t>
      </w:r>
      <w:proofErr w:type="spellStart"/>
      <w:r>
        <w:rPr>
          <w:sz w:val="22"/>
          <w:szCs w:val="22"/>
          <w:lang w:val="es-ES"/>
        </w:rPr>
        <w:t>particularly</w:t>
      </w:r>
      <w:proofErr w:type="spellEnd"/>
      <w:r>
        <w:rPr>
          <w:sz w:val="22"/>
          <w:szCs w:val="22"/>
          <w:lang w:val="es-ES"/>
        </w:rPr>
        <w:t xml:space="preserve"> </w:t>
      </w:r>
      <w:proofErr w:type="spellStart"/>
      <w:r>
        <w:rPr>
          <w:sz w:val="22"/>
          <w:szCs w:val="22"/>
          <w:lang w:val="es-ES"/>
        </w:rPr>
        <w:t>those</w:t>
      </w:r>
      <w:proofErr w:type="spellEnd"/>
      <w:r>
        <w:rPr>
          <w:sz w:val="22"/>
          <w:szCs w:val="22"/>
          <w:lang w:val="es-ES"/>
        </w:rPr>
        <w:t xml:space="preserve"> </w:t>
      </w:r>
      <w:proofErr w:type="spellStart"/>
      <w:r>
        <w:rPr>
          <w:sz w:val="22"/>
          <w:szCs w:val="22"/>
          <w:lang w:val="es-ES"/>
        </w:rPr>
        <w:t>related</w:t>
      </w:r>
      <w:proofErr w:type="spellEnd"/>
      <w:r>
        <w:rPr>
          <w:sz w:val="22"/>
          <w:szCs w:val="22"/>
          <w:lang w:val="es-ES"/>
        </w:rPr>
        <w:t xml:space="preserve"> </w:t>
      </w:r>
      <w:proofErr w:type="spellStart"/>
      <w:r>
        <w:rPr>
          <w:sz w:val="22"/>
          <w:szCs w:val="22"/>
          <w:lang w:val="es-ES"/>
        </w:rPr>
        <w:t>to</w:t>
      </w:r>
      <w:proofErr w:type="spellEnd"/>
      <w:r>
        <w:rPr>
          <w:sz w:val="22"/>
          <w:szCs w:val="22"/>
          <w:lang w:val="es-ES"/>
        </w:rPr>
        <w:t xml:space="preserve">: </w:t>
      </w:r>
      <w:proofErr w:type="spellStart"/>
      <w:r>
        <w:rPr>
          <w:sz w:val="22"/>
          <w:szCs w:val="22"/>
          <w:lang w:val="es-ES"/>
        </w:rPr>
        <w:t>the</w:t>
      </w:r>
      <w:proofErr w:type="spellEnd"/>
      <w:r>
        <w:rPr>
          <w:sz w:val="22"/>
          <w:szCs w:val="22"/>
          <w:lang w:val="es-ES"/>
        </w:rPr>
        <w:t xml:space="preserve"> </w:t>
      </w:r>
      <w:proofErr w:type="spellStart"/>
      <w:r>
        <w:rPr>
          <w:sz w:val="22"/>
          <w:szCs w:val="22"/>
          <w:lang w:val="es-ES"/>
        </w:rPr>
        <w:t>indicator</w:t>
      </w:r>
      <w:proofErr w:type="spellEnd"/>
      <w:r>
        <w:rPr>
          <w:sz w:val="22"/>
          <w:szCs w:val="22"/>
          <w:lang w:val="es-ES"/>
        </w:rPr>
        <w:t xml:space="preserve"> </w:t>
      </w:r>
      <w:proofErr w:type="spellStart"/>
      <w:r>
        <w:rPr>
          <w:sz w:val="22"/>
          <w:szCs w:val="22"/>
          <w:lang w:val="es-ES"/>
        </w:rPr>
        <w:t>device</w:t>
      </w:r>
      <w:proofErr w:type="spellEnd"/>
      <w:r>
        <w:rPr>
          <w:sz w:val="22"/>
          <w:szCs w:val="22"/>
          <w:lang w:val="es-ES"/>
        </w:rPr>
        <w:t xml:space="preserve">, </w:t>
      </w:r>
      <w:proofErr w:type="spellStart"/>
      <w:r>
        <w:rPr>
          <w:sz w:val="22"/>
          <w:szCs w:val="22"/>
          <w:lang w:val="es-ES"/>
        </w:rPr>
        <w:t>the</w:t>
      </w:r>
      <w:proofErr w:type="spellEnd"/>
      <w:r>
        <w:rPr>
          <w:sz w:val="22"/>
          <w:szCs w:val="22"/>
          <w:lang w:val="es-ES"/>
        </w:rPr>
        <w:t xml:space="preserve"> </w:t>
      </w:r>
      <w:proofErr w:type="spellStart"/>
      <w:r>
        <w:rPr>
          <w:sz w:val="22"/>
          <w:szCs w:val="22"/>
          <w:lang w:val="es-ES"/>
        </w:rPr>
        <w:t>sealing</w:t>
      </w:r>
      <w:proofErr w:type="spellEnd"/>
      <w:r>
        <w:rPr>
          <w:sz w:val="22"/>
          <w:szCs w:val="22"/>
          <w:lang w:val="es-ES"/>
        </w:rPr>
        <w:t xml:space="preserve">, </w:t>
      </w:r>
      <w:proofErr w:type="spellStart"/>
      <w:r>
        <w:rPr>
          <w:sz w:val="22"/>
          <w:szCs w:val="22"/>
          <w:lang w:val="es-ES"/>
        </w:rPr>
        <w:t>the</w:t>
      </w:r>
      <w:proofErr w:type="spellEnd"/>
      <w:r>
        <w:rPr>
          <w:sz w:val="22"/>
          <w:szCs w:val="22"/>
          <w:lang w:val="es-ES"/>
        </w:rPr>
        <w:t xml:space="preserve"> </w:t>
      </w:r>
      <w:proofErr w:type="spellStart"/>
      <w:r>
        <w:rPr>
          <w:sz w:val="22"/>
          <w:szCs w:val="22"/>
          <w:lang w:val="es-ES"/>
        </w:rPr>
        <w:t>construction</w:t>
      </w:r>
      <w:proofErr w:type="spellEnd"/>
      <w:r>
        <w:rPr>
          <w:sz w:val="22"/>
          <w:szCs w:val="22"/>
          <w:lang w:val="es-ES"/>
        </w:rPr>
        <w:t xml:space="preserve"> </w:t>
      </w:r>
      <w:proofErr w:type="spellStart"/>
      <w:r>
        <w:rPr>
          <w:sz w:val="22"/>
          <w:szCs w:val="22"/>
          <w:lang w:val="es-ES"/>
        </w:rPr>
        <w:t>aspects</w:t>
      </w:r>
      <w:proofErr w:type="spellEnd"/>
      <w:r>
        <w:rPr>
          <w:sz w:val="22"/>
          <w:szCs w:val="22"/>
          <w:lang w:val="es-ES"/>
        </w:rPr>
        <w:t xml:space="preserve">, </w:t>
      </w:r>
      <w:proofErr w:type="spellStart"/>
      <w:r>
        <w:rPr>
          <w:sz w:val="22"/>
          <w:szCs w:val="22"/>
          <w:lang w:val="es-ES"/>
        </w:rPr>
        <w:t>the</w:t>
      </w:r>
      <w:proofErr w:type="spellEnd"/>
      <w:r>
        <w:rPr>
          <w:sz w:val="22"/>
          <w:szCs w:val="22"/>
          <w:lang w:val="es-ES"/>
        </w:rPr>
        <w:t xml:space="preserve"> </w:t>
      </w:r>
      <w:proofErr w:type="spellStart"/>
      <w:r>
        <w:rPr>
          <w:sz w:val="22"/>
          <w:szCs w:val="22"/>
          <w:lang w:val="es-ES"/>
        </w:rPr>
        <w:t>maximum</w:t>
      </w:r>
      <w:proofErr w:type="spellEnd"/>
      <w:r>
        <w:rPr>
          <w:sz w:val="22"/>
          <w:szCs w:val="22"/>
          <w:lang w:val="es-ES"/>
        </w:rPr>
        <w:t xml:space="preserve"> </w:t>
      </w:r>
      <w:proofErr w:type="spellStart"/>
      <w:r>
        <w:rPr>
          <w:sz w:val="22"/>
          <w:szCs w:val="22"/>
          <w:lang w:val="es-ES"/>
        </w:rPr>
        <w:t>dimensions</w:t>
      </w:r>
      <w:proofErr w:type="spellEnd"/>
      <w:r>
        <w:rPr>
          <w:sz w:val="22"/>
          <w:szCs w:val="22"/>
          <w:lang w:val="es-ES"/>
        </w:rPr>
        <w:t xml:space="preserve">, </w:t>
      </w:r>
      <w:proofErr w:type="spellStart"/>
      <w:r>
        <w:rPr>
          <w:sz w:val="22"/>
          <w:szCs w:val="22"/>
          <w:lang w:val="es-ES"/>
        </w:rPr>
        <w:t>the</w:t>
      </w:r>
      <w:proofErr w:type="spellEnd"/>
      <w:r>
        <w:rPr>
          <w:sz w:val="22"/>
          <w:szCs w:val="22"/>
          <w:lang w:val="es-ES"/>
        </w:rPr>
        <w:t xml:space="preserve"> </w:t>
      </w:r>
      <w:proofErr w:type="spellStart"/>
      <w:r>
        <w:rPr>
          <w:sz w:val="22"/>
          <w:szCs w:val="22"/>
          <w:lang w:val="es-ES"/>
        </w:rPr>
        <w:t>filter</w:t>
      </w:r>
      <w:proofErr w:type="spellEnd"/>
      <w:r>
        <w:rPr>
          <w:sz w:val="22"/>
          <w:szCs w:val="22"/>
          <w:lang w:val="es-ES"/>
        </w:rPr>
        <w:t xml:space="preserve">, </w:t>
      </w:r>
      <w:proofErr w:type="spellStart"/>
      <w:r>
        <w:rPr>
          <w:sz w:val="22"/>
          <w:szCs w:val="22"/>
          <w:lang w:val="es-ES"/>
        </w:rPr>
        <w:t>the</w:t>
      </w:r>
      <w:proofErr w:type="spellEnd"/>
      <w:r>
        <w:rPr>
          <w:sz w:val="22"/>
          <w:szCs w:val="22"/>
          <w:lang w:val="es-ES"/>
        </w:rPr>
        <w:t xml:space="preserve"> </w:t>
      </w:r>
      <w:proofErr w:type="spellStart"/>
      <w:r>
        <w:rPr>
          <w:sz w:val="22"/>
          <w:szCs w:val="22"/>
          <w:lang w:val="es-ES"/>
        </w:rPr>
        <w:t>marking</w:t>
      </w:r>
      <w:proofErr w:type="spellEnd"/>
      <w:r>
        <w:rPr>
          <w:sz w:val="22"/>
          <w:szCs w:val="22"/>
          <w:lang w:val="es-ES"/>
        </w:rPr>
        <w:t xml:space="preserve">, </w:t>
      </w:r>
      <w:proofErr w:type="spellStart"/>
      <w:r>
        <w:rPr>
          <w:sz w:val="22"/>
          <w:szCs w:val="22"/>
          <w:lang w:val="es-ES"/>
        </w:rPr>
        <w:t>the</w:t>
      </w:r>
      <w:proofErr w:type="spellEnd"/>
      <w:r>
        <w:rPr>
          <w:sz w:val="22"/>
          <w:szCs w:val="22"/>
          <w:lang w:val="es-ES"/>
        </w:rPr>
        <w:t xml:space="preserve"> reverse </w:t>
      </w:r>
      <w:proofErr w:type="spellStart"/>
      <w:r>
        <w:rPr>
          <w:sz w:val="22"/>
          <w:szCs w:val="22"/>
          <w:lang w:val="es-ES"/>
        </w:rPr>
        <w:t>operation</w:t>
      </w:r>
      <w:proofErr w:type="spellEnd"/>
      <w:r>
        <w:rPr>
          <w:sz w:val="22"/>
          <w:szCs w:val="22"/>
          <w:lang w:val="es-ES"/>
        </w:rPr>
        <w:t xml:space="preserve">, and </w:t>
      </w:r>
      <w:proofErr w:type="spellStart"/>
      <w:r>
        <w:rPr>
          <w:sz w:val="22"/>
          <w:szCs w:val="22"/>
          <w:lang w:val="es-ES"/>
        </w:rPr>
        <w:t>the</w:t>
      </w:r>
      <w:proofErr w:type="spellEnd"/>
      <w:r>
        <w:rPr>
          <w:sz w:val="22"/>
          <w:szCs w:val="22"/>
          <w:lang w:val="es-ES"/>
        </w:rPr>
        <w:t xml:space="preserve"> </w:t>
      </w:r>
      <w:proofErr w:type="spellStart"/>
      <w:r>
        <w:rPr>
          <w:sz w:val="22"/>
          <w:szCs w:val="22"/>
          <w:lang w:val="es-ES"/>
        </w:rPr>
        <w:t>threads</w:t>
      </w:r>
      <w:proofErr w:type="spellEnd"/>
      <w:r>
        <w:rPr>
          <w:sz w:val="22"/>
          <w:szCs w:val="22"/>
          <w:lang w:val="es-ES"/>
        </w:rPr>
        <w:t xml:space="preserve">. Once </w:t>
      </w:r>
      <w:proofErr w:type="spellStart"/>
      <w:r>
        <w:rPr>
          <w:sz w:val="22"/>
          <w:szCs w:val="22"/>
          <w:lang w:val="es-ES"/>
        </w:rPr>
        <w:t>the</w:t>
      </w:r>
      <w:proofErr w:type="spellEnd"/>
      <w:r>
        <w:rPr>
          <w:sz w:val="22"/>
          <w:szCs w:val="22"/>
          <w:lang w:val="es-ES"/>
        </w:rPr>
        <w:t xml:space="preserve"> </w:t>
      </w:r>
      <w:proofErr w:type="spellStart"/>
      <w:r>
        <w:rPr>
          <w:sz w:val="22"/>
          <w:szCs w:val="22"/>
          <w:lang w:val="es-ES"/>
        </w:rPr>
        <w:t>tests</w:t>
      </w:r>
      <w:proofErr w:type="spellEnd"/>
      <w:r>
        <w:rPr>
          <w:sz w:val="22"/>
          <w:szCs w:val="22"/>
          <w:lang w:val="es-ES"/>
        </w:rPr>
        <w:t xml:space="preserve"> are </w:t>
      </w:r>
      <w:proofErr w:type="spellStart"/>
      <w:r>
        <w:rPr>
          <w:sz w:val="22"/>
          <w:szCs w:val="22"/>
          <w:lang w:val="es-ES"/>
        </w:rPr>
        <w:t>completed</w:t>
      </w:r>
      <w:proofErr w:type="spellEnd"/>
      <w:r>
        <w:rPr>
          <w:sz w:val="22"/>
          <w:szCs w:val="22"/>
          <w:lang w:val="es-ES"/>
        </w:rPr>
        <w:t xml:space="preserve">, </w:t>
      </w:r>
      <w:proofErr w:type="spellStart"/>
      <w:r>
        <w:rPr>
          <w:sz w:val="22"/>
          <w:szCs w:val="22"/>
          <w:lang w:val="es-ES"/>
        </w:rPr>
        <w:t>the</w:t>
      </w:r>
      <w:proofErr w:type="spellEnd"/>
      <w:r>
        <w:rPr>
          <w:sz w:val="22"/>
          <w:szCs w:val="22"/>
          <w:lang w:val="es-ES"/>
        </w:rPr>
        <w:t xml:space="preserve"> </w:t>
      </w:r>
      <w:proofErr w:type="spellStart"/>
      <w:r>
        <w:rPr>
          <w:sz w:val="22"/>
          <w:szCs w:val="22"/>
          <w:lang w:val="es-ES"/>
        </w:rPr>
        <w:t>officials</w:t>
      </w:r>
      <w:proofErr w:type="spellEnd"/>
      <w:r>
        <w:rPr>
          <w:sz w:val="22"/>
          <w:szCs w:val="22"/>
          <w:lang w:val="es-ES"/>
        </w:rPr>
        <w:t xml:space="preserve"> </w:t>
      </w:r>
      <w:proofErr w:type="spellStart"/>
      <w:r>
        <w:rPr>
          <w:sz w:val="22"/>
          <w:szCs w:val="22"/>
          <w:lang w:val="es-ES"/>
        </w:rPr>
        <w:t>involved</w:t>
      </w:r>
      <w:proofErr w:type="spellEnd"/>
      <w:r>
        <w:rPr>
          <w:sz w:val="22"/>
          <w:szCs w:val="22"/>
          <w:lang w:val="es-ES"/>
        </w:rPr>
        <w:t xml:space="preserve"> </w:t>
      </w:r>
      <w:proofErr w:type="spellStart"/>
      <w:r>
        <w:rPr>
          <w:sz w:val="22"/>
          <w:szCs w:val="22"/>
          <w:lang w:val="es-ES"/>
        </w:rPr>
        <w:t>will</w:t>
      </w:r>
      <w:proofErr w:type="spellEnd"/>
      <w:r>
        <w:rPr>
          <w:sz w:val="22"/>
          <w:szCs w:val="22"/>
          <w:lang w:val="es-ES"/>
        </w:rPr>
        <w:t xml:space="preserve"> prepare </w:t>
      </w:r>
      <w:proofErr w:type="spellStart"/>
      <w:r>
        <w:rPr>
          <w:sz w:val="22"/>
          <w:szCs w:val="22"/>
          <w:lang w:val="es-ES"/>
        </w:rPr>
        <w:t>the</w:t>
      </w:r>
      <w:proofErr w:type="spellEnd"/>
      <w:r>
        <w:rPr>
          <w:sz w:val="22"/>
          <w:szCs w:val="22"/>
          <w:lang w:val="es-ES"/>
        </w:rPr>
        <w:t xml:space="preserve"> </w:t>
      </w:r>
      <w:proofErr w:type="spellStart"/>
      <w:r>
        <w:rPr>
          <w:sz w:val="22"/>
          <w:szCs w:val="22"/>
          <w:lang w:val="es-ES"/>
        </w:rPr>
        <w:t>corresponding</w:t>
      </w:r>
      <w:proofErr w:type="spellEnd"/>
      <w:r>
        <w:rPr>
          <w:sz w:val="22"/>
          <w:szCs w:val="22"/>
          <w:lang w:val="es-ES"/>
        </w:rPr>
        <w:t xml:space="preserve"> test </w:t>
      </w:r>
      <w:proofErr w:type="spellStart"/>
      <w:r>
        <w:rPr>
          <w:sz w:val="22"/>
          <w:szCs w:val="22"/>
          <w:lang w:val="es-ES"/>
        </w:rPr>
        <w:t>results</w:t>
      </w:r>
      <w:proofErr w:type="spellEnd"/>
      <w:r>
        <w:rPr>
          <w:sz w:val="22"/>
          <w:szCs w:val="22"/>
          <w:lang w:val="es-ES"/>
        </w:rPr>
        <w:t xml:space="preserve"> </w:t>
      </w:r>
      <w:proofErr w:type="spellStart"/>
      <w:r>
        <w:rPr>
          <w:sz w:val="22"/>
          <w:szCs w:val="22"/>
          <w:lang w:val="es-ES"/>
        </w:rPr>
        <w:t>forms</w:t>
      </w:r>
      <w:proofErr w:type="spellEnd"/>
      <w:r>
        <w:rPr>
          <w:sz w:val="22"/>
          <w:szCs w:val="22"/>
          <w:lang w:val="es-ES"/>
        </w:rPr>
        <w:t xml:space="preserve"> and </w:t>
      </w:r>
      <w:proofErr w:type="spellStart"/>
      <w:r>
        <w:rPr>
          <w:sz w:val="22"/>
          <w:szCs w:val="22"/>
          <w:lang w:val="es-ES"/>
        </w:rPr>
        <w:t>draw</w:t>
      </w:r>
      <w:proofErr w:type="spellEnd"/>
      <w:r>
        <w:rPr>
          <w:sz w:val="22"/>
          <w:szCs w:val="22"/>
          <w:lang w:val="es-ES"/>
        </w:rPr>
        <w:t xml:space="preserve"> up </w:t>
      </w:r>
      <w:proofErr w:type="spellStart"/>
      <w:r>
        <w:rPr>
          <w:sz w:val="22"/>
          <w:szCs w:val="22"/>
          <w:lang w:val="es-ES"/>
        </w:rPr>
        <w:t>the</w:t>
      </w:r>
      <w:proofErr w:type="spellEnd"/>
      <w:r>
        <w:rPr>
          <w:sz w:val="22"/>
          <w:szCs w:val="22"/>
          <w:lang w:val="es-ES"/>
        </w:rPr>
        <w:t xml:space="preserve"> </w:t>
      </w:r>
      <w:proofErr w:type="spellStart"/>
      <w:r>
        <w:rPr>
          <w:sz w:val="22"/>
          <w:szCs w:val="22"/>
          <w:lang w:val="es-ES"/>
        </w:rPr>
        <w:t>relevant</w:t>
      </w:r>
      <w:proofErr w:type="spellEnd"/>
      <w:r>
        <w:rPr>
          <w:sz w:val="22"/>
          <w:szCs w:val="22"/>
          <w:lang w:val="es-ES"/>
        </w:rPr>
        <w:t xml:space="preserve"> </w:t>
      </w:r>
      <w:proofErr w:type="spellStart"/>
      <w:r>
        <w:rPr>
          <w:sz w:val="22"/>
          <w:szCs w:val="22"/>
          <w:lang w:val="es-ES"/>
        </w:rPr>
        <w:t>reports</w:t>
      </w:r>
      <w:proofErr w:type="spellEnd"/>
      <w:r>
        <w:rPr>
          <w:sz w:val="22"/>
          <w:szCs w:val="22"/>
          <w:lang w:val="es-ES"/>
        </w:rPr>
        <w:t>.</w:t>
      </w:r>
    </w:p>
    <w:p w14:paraId="18538676" w14:textId="77777777" w:rsidR="00E255F4" w:rsidRDefault="00000000">
      <w:pPr>
        <w:pStyle w:val="Ttulo2"/>
        <w:spacing w:after="240"/>
        <w:ind w:left="709" w:hanging="709"/>
        <w:rPr>
          <w:rFonts w:ascii="Times New Roman" w:hAnsi="Times New Roman" w:cs="Times New Roman"/>
          <w:i w:val="0"/>
          <w:sz w:val="22"/>
          <w:szCs w:val="22"/>
        </w:rPr>
      </w:pPr>
      <w:bookmarkStart w:id="114" w:name="__RefHeading___Toc225377274"/>
      <w:bookmarkEnd w:id="114"/>
      <w:r>
        <w:rPr>
          <w:rFonts w:ascii="Times New Roman" w:hAnsi="Times New Roman" w:cs="Times New Roman"/>
          <w:i w:val="0"/>
          <w:sz w:val="22"/>
          <w:szCs w:val="22"/>
        </w:rPr>
        <w:t>QUALIFICATION TESTS OF SMART METER TELEMETRY DEVICES</w:t>
      </w:r>
    </w:p>
    <w:p w14:paraId="575A2818" w14:textId="77777777" w:rsidR="00E255F4" w:rsidRDefault="00000000">
      <w:pPr>
        <w:spacing w:after="120"/>
        <w:ind w:left="567"/>
        <w:jc w:val="both"/>
        <w:rPr>
          <w:sz w:val="22"/>
          <w:szCs w:val="22"/>
          <w:lang w:val="es-ES"/>
        </w:rPr>
      </w:pPr>
      <w:r>
        <w:rPr>
          <w:sz w:val="22"/>
          <w:szCs w:val="22"/>
          <w:lang w:val="es-ES"/>
        </w:rPr>
        <w:t xml:space="preserve">The </w:t>
      </w:r>
      <w:proofErr w:type="spellStart"/>
      <w:r>
        <w:rPr>
          <w:sz w:val="22"/>
          <w:szCs w:val="22"/>
          <w:lang w:val="es-ES"/>
        </w:rPr>
        <w:t>qualification</w:t>
      </w:r>
      <w:proofErr w:type="spellEnd"/>
      <w:r>
        <w:rPr>
          <w:sz w:val="22"/>
          <w:szCs w:val="22"/>
          <w:lang w:val="es-ES"/>
        </w:rPr>
        <w:t xml:space="preserve"> test </w:t>
      </w:r>
      <w:proofErr w:type="spellStart"/>
      <w:r>
        <w:rPr>
          <w:sz w:val="22"/>
          <w:szCs w:val="22"/>
          <w:lang w:val="es-ES"/>
        </w:rPr>
        <w:t>of</w:t>
      </w:r>
      <w:proofErr w:type="spellEnd"/>
      <w:r>
        <w:rPr>
          <w:sz w:val="22"/>
          <w:szCs w:val="22"/>
          <w:lang w:val="es-ES"/>
        </w:rPr>
        <w:t xml:space="preserve"> </w:t>
      </w:r>
      <w:proofErr w:type="spellStart"/>
      <w:r>
        <w:rPr>
          <w:sz w:val="22"/>
          <w:szCs w:val="22"/>
          <w:lang w:val="es-ES"/>
        </w:rPr>
        <w:t>smart</w:t>
      </w:r>
      <w:proofErr w:type="spellEnd"/>
      <w:r>
        <w:rPr>
          <w:sz w:val="22"/>
          <w:szCs w:val="22"/>
          <w:lang w:val="es-ES"/>
        </w:rPr>
        <w:t xml:space="preserve"> meter </w:t>
      </w:r>
      <w:proofErr w:type="spellStart"/>
      <w:r>
        <w:rPr>
          <w:sz w:val="22"/>
          <w:szCs w:val="22"/>
          <w:lang w:val="es-ES"/>
        </w:rPr>
        <w:t>telemetry</w:t>
      </w:r>
      <w:proofErr w:type="spellEnd"/>
      <w:r>
        <w:rPr>
          <w:sz w:val="22"/>
          <w:szCs w:val="22"/>
          <w:lang w:val="es-ES"/>
        </w:rPr>
        <w:t xml:space="preserve"> </w:t>
      </w:r>
      <w:proofErr w:type="spellStart"/>
      <w:r>
        <w:rPr>
          <w:sz w:val="22"/>
          <w:szCs w:val="22"/>
          <w:lang w:val="es-ES"/>
        </w:rPr>
        <w:t>devices</w:t>
      </w:r>
      <w:proofErr w:type="spellEnd"/>
      <w:r>
        <w:rPr>
          <w:sz w:val="22"/>
          <w:szCs w:val="22"/>
          <w:lang w:val="es-ES"/>
        </w:rPr>
        <w:t xml:space="preserve"> </w:t>
      </w:r>
      <w:proofErr w:type="spellStart"/>
      <w:r>
        <w:rPr>
          <w:sz w:val="22"/>
          <w:szCs w:val="22"/>
          <w:lang w:val="es-ES"/>
        </w:rPr>
        <w:t>will</w:t>
      </w:r>
      <w:proofErr w:type="spellEnd"/>
      <w:r>
        <w:rPr>
          <w:sz w:val="22"/>
          <w:szCs w:val="22"/>
          <w:lang w:val="es-ES"/>
        </w:rPr>
        <w:t xml:space="preserve"> </w:t>
      </w:r>
      <w:proofErr w:type="spellStart"/>
      <w:r>
        <w:rPr>
          <w:sz w:val="22"/>
          <w:szCs w:val="22"/>
          <w:lang w:val="es-ES"/>
        </w:rPr>
        <w:t>consist</w:t>
      </w:r>
      <w:proofErr w:type="spellEnd"/>
      <w:r>
        <w:rPr>
          <w:sz w:val="22"/>
          <w:szCs w:val="22"/>
          <w:lang w:val="es-ES"/>
        </w:rPr>
        <w:t xml:space="preserve"> </w:t>
      </w:r>
      <w:proofErr w:type="spellStart"/>
      <w:r>
        <w:rPr>
          <w:sz w:val="22"/>
          <w:szCs w:val="22"/>
          <w:lang w:val="es-ES"/>
        </w:rPr>
        <w:t>of</w:t>
      </w:r>
      <w:proofErr w:type="spellEnd"/>
      <w:r>
        <w:rPr>
          <w:sz w:val="22"/>
          <w:szCs w:val="22"/>
          <w:lang w:val="es-ES"/>
        </w:rPr>
        <w:t xml:space="preserve"> </w:t>
      </w:r>
      <w:proofErr w:type="spellStart"/>
      <w:r>
        <w:rPr>
          <w:sz w:val="22"/>
          <w:szCs w:val="22"/>
          <w:lang w:val="es-ES"/>
        </w:rPr>
        <w:t>verifying</w:t>
      </w:r>
      <w:proofErr w:type="spellEnd"/>
      <w:r>
        <w:rPr>
          <w:sz w:val="22"/>
          <w:szCs w:val="22"/>
          <w:lang w:val="es-ES"/>
        </w:rPr>
        <w:t xml:space="preserve"> </w:t>
      </w:r>
      <w:proofErr w:type="spellStart"/>
      <w:r>
        <w:rPr>
          <w:sz w:val="22"/>
          <w:szCs w:val="22"/>
          <w:lang w:val="es-ES"/>
        </w:rPr>
        <w:t>the</w:t>
      </w:r>
      <w:proofErr w:type="spellEnd"/>
      <w:r>
        <w:rPr>
          <w:sz w:val="22"/>
          <w:szCs w:val="22"/>
          <w:lang w:val="es-ES"/>
        </w:rPr>
        <w:t xml:space="preserve"> </w:t>
      </w:r>
      <w:proofErr w:type="spellStart"/>
      <w:r>
        <w:rPr>
          <w:sz w:val="22"/>
          <w:szCs w:val="22"/>
          <w:lang w:val="es-ES"/>
        </w:rPr>
        <w:t>proper</w:t>
      </w:r>
      <w:proofErr w:type="spellEnd"/>
      <w:r>
        <w:rPr>
          <w:sz w:val="22"/>
          <w:szCs w:val="22"/>
          <w:lang w:val="es-ES"/>
        </w:rPr>
        <w:t xml:space="preserve"> </w:t>
      </w:r>
      <w:proofErr w:type="spellStart"/>
      <w:r>
        <w:rPr>
          <w:sz w:val="22"/>
          <w:szCs w:val="22"/>
          <w:lang w:val="es-ES"/>
        </w:rPr>
        <w:t>functioning</w:t>
      </w:r>
      <w:proofErr w:type="spellEnd"/>
      <w:r>
        <w:rPr>
          <w:sz w:val="22"/>
          <w:szCs w:val="22"/>
          <w:lang w:val="es-ES"/>
        </w:rPr>
        <w:t xml:space="preserve"> </w:t>
      </w:r>
      <w:proofErr w:type="spellStart"/>
      <w:r>
        <w:rPr>
          <w:sz w:val="22"/>
          <w:szCs w:val="22"/>
          <w:lang w:val="es-ES"/>
        </w:rPr>
        <w:t>of</w:t>
      </w:r>
      <w:proofErr w:type="spellEnd"/>
      <w:r>
        <w:rPr>
          <w:sz w:val="22"/>
          <w:szCs w:val="22"/>
          <w:lang w:val="es-ES"/>
        </w:rPr>
        <w:t xml:space="preserve"> </w:t>
      </w:r>
      <w:proofErr w:type="spellStart"/>
      <w:r>
        <w:rPr>
          <w:sz w:val="22"/>
          <w:szCs w:val="22"/>
          <w:lang w:val="es-ES"/>
        </w:rPr>
        <w:t>their</w:t>
      </w:r>
      <w:proofErr w:type="spellEnd"/>
      <w:r>
        <w:rPr>
          <w:sz w:val="22"/>
          <w:szCs w:val="22"/>
          <w:lang w:val="es-ES"/>
        </w:rPr>
        <w:t xml:space="preserve"> </w:t>
      </w:r>
      <w:proofErr w:type="spellStart"/>
      <w:r>
        <w:rPr>
          <w:sz w:val="22"/>
          <w:szCs w:val="22"/>
          <w:lang w:val="es-ES"/>
        </w:rPr>
        <w:t>basic</w:t>
      </w:r>
      <w:proofErr w:type="spellEnd"/>
      <w:r>
        <w:rPr>
          <w:sz w:val="22"/>
          <w:szCs w:val="22"/>
          <w:lang w:val="es-ES"/>
        </w:rPr>
        <w:t xml:space="preserve"> </w:t>
      </w:r>
      <w:proofErr w:type="spellStart"/>
      <w:r>
        <w:rPr>
          <w:sz w:val="22"/>
          <w:szCs w:val="22"/>
          <w:lang w:val="es-ES"/>
        </w:rPr>
        <w:t>functions</w:t>
      </w:r>
      <w:proofErr w:type="spellEnd"/>
      <w:r>
        <w:rPr>
          <w:sz w:val="22"/>
          <w:szCs w:val="22"/>
          <w:lang w:val="es-ES"/>
        </w:rPr>
        <w:t xml:space="preserve">, </w:t>
      </w:r>
      <w:proofErr w:type="spellStart"/>
      <w:r>
        <w:rPr>
          <w:sz w:val="22"/>
          <w:szCs w:val="22"/>
          <w:lang w:val="es-ES"/>
        </w:rPr>
        <w:t>that</w:t>
      </w:r>
      <w:proofErr w:type="spellEnd"/>
      <w:r>
        <w:rPr>
          <w:sz w:val="22"/>
          <w:szCs w:val="22"/>
          <w:lang w:val="es-ES"/>
        </w:rPr>
        <w:t xml:space="preserve"> </w:t>
      </w:r>
      <w:proofErr w:type="spellStart"/>
      <w:r>
        <w:rPr>
          <w:sz w:val="22"/>
          <w:szCs w:val="22"/>
          <w:lang w:val="es-ES"/>
        </w:rPr>
        <w:t>is</w:t>
      </w:r>
      <w:proofErr w:type="spellEnd"/>
      <w:r>
        <w:rPr>
          <w:sz w:val="22"/>
          <w:szCs w:val="22"/>
          <w:lang w:val="es-ES"/>
        </w:rPr>
        <w:t>:</w:t>
      </w:r>
    </w:p>
    <w:p w14:paraId="38C108A5" w14:textId="77777777" w:rsidR="00E255F4" w:rsidRDefault="00000000">
      <w:pPr>
        <w:pStyle w:val="Prrafodelista"/>
        <w:numPr>
          <w:ilvl w:val="0"/>
          <w:numId w:val="14"/>
        </w:numPr>
        <w:ind w:firstLine="426"/>
        <w:rPr>
          <w:sz w:val="22"/>
          <w:szCs w:val="22"/>
          <w:lang w:val="es-ES"/>
        </w:rPr>
      </w:pPr>
      <w:proofErr w:type="gramStart"/>
      <w:r>
        <w:rPr>
          <w:sz w:val="22"/>
          <w:szCs w:val="22"/>
          <w:lang w:val="es-ES"/>
        </w:rPr>
        <w:t>Establishment</w:t>
      </w:r>
      <w:proofErr w:type="gramEnd"/>
      <w:r>
        <w:rPr>
          <w:sz w:val="22"/>
          <w:szCs w:val="22"/>
          <w:lang w:val="es-ES"/>
        </w:rPr>
        <w:t xml:space="preserve"> </w:t>
      </w:r>
      <w:proofErr w:type="spellStart"/>
      <w:r>
        <w:rPr>
          <w:sz w:val="22"/>
          <w:szCs w:val="22"/>
          <w:lang w:val="es-ES"/>
        </w:rPr>
        <w:t>of</w:t>
      </w:r>
      <w:proofErr w:type="spellEnd"/>
      <w:r>
        <w:rPr>
          <w:sz w:val="22"/>
          <w:szCs w:val="22"/>
          <w:lang w:val="es-ES"/>
        </w:rPr>
        <w:t xml:space="preserve"> </w:t>
      </w:r>
      <w:proofErr w:type="spellStart"/>
      <w:r>
        <w:rPr>
          <w:sz w:val="22"/>
          <w:szCs w:val="22"/>
          <w:lang w:val="es-ES"/>
        </w:rPr>
        <w:t>cellular</w:t>
      </w:r>
      <w:proofErr w:type="spellEnd"/>
      <w:r>
        <w:rPr>
          <w:sz w:val="22"/>
          <w:szCs w:val="22"/>
          <w:lang w:val="es-ES"/>
        </w:rPr>
        <w:t xml:space="preserve"> </w:t>
      </w:r>
      <w:proofErr w:type="spellStart"/>
      <w:r>
        <w:rPr>
          <w:sz w:val="22"/>
          <w:szCs w:val="22"/>
          <w:lang w:val="es-ES"/>
        </w:rPr>
        <w:t>communication</w:t>
      </w:r>
      <w:proofErr w:type="spellEnd"/>
      <w:r>
        <w:rPr>
          <w:sz w:val="22"/>
          <w:szCs w:val="22"/>
          <w:lang w:val="es-ES"/>
        </w:rPr>
        <w:t xml:space="preserve"> </w:t>
      </w:r>
      <w:proofErr w:type="spellStart"/>
      <w:r>
        <w:rPr>
          <w:sz w:val="22"/>
          <w:szCs w:val="22"/>
          <w:lang w:val="es-ES"/>
        </w:rPr>
        <w:t>using</w:t>
      </w:r>
      <w:proofErr w:type="spellEnd"/>
      <w:r>
        <w:rPr>
          <w:sz w:val="22"/>
          <w:szCs w:val="22"/>
          <w:lang w:val="es-ES"/>
        </w:rPr>
        <w:t xml:space="preserve"> </w:t>
      </w:r>
      <w:proofErr w:type="spellStart"/>
      <w:r>
        <w:rPr>
          <w:sz w:val="22"/>
          <w:szCs w:val="22"/>
          <w:lang w:val="es-ES"/>
        </w:rPr>
        <w:t>the</w:t>
      </w:r>
      <w:proofErr w:type="spellEnd"/>
      <w:r>
        <w:rPr>
          <w:sz w:val="22"/>
          <w:szCs w:val="22"/>
          <w:lang w:val="es-ES"/>
        </w:rPr>
        <w:t xml:space="preserve"> </w:t>
      </w:r>
      <w:proofErr w:type="spellStart"/>
      <w:r>
        <w:rPr>
          <w:sz w:val="22"/>
          <w:szCs w:val="22"/>
          <w:lang w:val="es-ES"/>
        </w:rPr>
        <w:t>offered</w:t>
      </w:r>
      <w:proofErr w:type="spellEnd"/>
      <w:r>
        <w:rPr>
          <w:sz w:val="22"/>
          <w:szCs w:val="22"/>
          <w:lang w:val="es-ES"/>
        </w:rPr>
        <w:t xml:space="preserve"> </w:t>
      </w:r>
      <w:proofErr w:type="spellStart"/>
      <w:r>
        <w:rPr>
          <w:sz w:val="22"/>
          <w:szCs w:val="22"/>
          <w:lang w:val="es-ES"/>
        </w:rPr>
        <w:t>technology</w:t>
      </w:r>
      <w:proofErr w:type="spellEnd"/>
      <w:r>
        <w:rPr>
          <w:sz w:val="22"/>
          <w:szCs w:val="22"/>
          <w:lang w:val="es-ES"/>
        </w:rPr>
        <w:t xml:space="preserve">. Test </w:t>
      </w:r>
      <w:proofErr w:type="spellStart"/>
      <w:r>
        <w:rPr>
          <w:sz w:val="22"/>
          <w:szCs w:val="22"/>
          <w:lang w:val="es-ES"/>
        </w:rPr>
        <w:t>conducted</w:t>
      </w:r>
      <w:proofErr w:type="spellEnd"/>
      <w:r>
        <w:rPr>
          <w:sz w:val="22"/>
          <w:szCs w:val="22"/>
          <w:lang w:val="es-ES"/>
        </w:rPr>
        <w:t xml:space="preserve"> </w:t>
      </w:r>
      <w:proofErr w:type="spellStart"/>
      <w:r>
        <w:rPr>
          <w:sz w:val="22"/>
          <w:szCs w:val="22"/>
          <w:lang w:val="es-ES"/>
        </w:rPr>
        <w:t>by</w:t>
      </w:r>
      <w:proofErr w:type="spellEnd"/>
      <w:r>
        <w:rPr>
          <w:sz w:val="22"/>
          <w:szCs w:val="22"/>
          <w:lang w:val="es-ES"/>
        </w:rPr>
        <w:t xml:space="preserve"> Antel</w:t>
      </w:r>
    </w:p>
    <w:p w14:paraId="6075794E" w14:textId="77777777" w:rsidR="00E255F4" w:rsidRDefault="00000000">
      <w:pPr>
        <w:pStyle w:val="Prrafodelista"/>
        <w:numPr>
          <w:ilvl w:val="0"/>
          <w:numId w:val="14"/>
        </w:numPr>
        <w:ind w:firstLine="426"/>
        <w:rPr>
          <w:sz w:val="22"/>
          <w:szCs w:val="22"/>
          <w:lang w:val="es-ES"/>
        </w:rPr>
      </w:pPr>
      <w:proofErr w:type="spellStart"/>
      <w:r>
        <w:rPr>
          <w:sz w:val="22"/>
          <w:szCs w:val="22"/>
          <w:lang w:val="es-ES"/>
        </w:rPr>
        <w:t>Sending</w:t>
      </w:r>
      <w:proofErr w:type="spellEnd"/>
      <w:r>
        <w:rPr>
          <w:sz w:val="22"/>
          <w:szCs w:val="22"/>
          <w:lang w:val="es-ES"/>
        </w:rPr>
        <w:t xml:space="preserve"> </w:t>
      </w:r>
      <w:proofErr w:type="spellStart"/>
      <w:r>
        <w:rPr>
          <w:sz w:val="22"/>
          <w:szCs w:val="22"/>
          <w:lang w:val="es-ES"/>
        </w:rPr>
        <w:t>reading</w:t>
      </w:r>
      <w:proofErr w:type="spellEnd"/>
      <w:r>
        <w:rPr>
          <w:sz w:val="22"/>
          <w:szCs w:val="22"/>
          <w:lang w:val="es-ES"/>
        </w:rPr>
        <w:t xml:space="preserve"> data</w:t>
      </w:r>
    </w:p>
    <w:p w14:paraId="15BB9D99" w14:textId="77777777" w:rsidR="00E255F4" w:rsidRDefault="00000000">
      <w:pPr>
        <w:pStyle w:val="Prrafodelista"/>
        <w:numPr>
          <w:ilvl w:val="0"/>
          <w:numId w:val="14"/>
        </w:numPr>
        <w:ind w:firstLine="426"/>
      </w:pPr>
      <w:proofErr w:type="spellStart"/>
      <w:r>
        <w:rPr>
          <w:sz w:val="22"/>
          <w:szCs w:val="22"/>
          <w:lang w:val="es-ES"/>
        </w:rPr>
        <w:t>Concordance</w:t>
      </w:r>
      <w:proofErr w:type="spellEnd"/>
      <w:r>
        <w:rPr>
          <w:sz w:val="22"/>
          <w:szCs w:val="22"/>
          <w:lang w:val="es-ES"/>
        </w:rPr>
        <w:t xml:space="preserve"> </w:t>
      </w:r>
      <w:proofErr w:type="spellStart"/>
      <w:r>
        <w:rPr>
          <w:sz w:val="22"/>
          <w:szCs w:val="22"/>
          <w:lang w:val="es-ES"/>
        </w:rPr>
        <w:t>of</w:t>
      </w:r>
      <w:proofErr w:type="spellEnd"/>
      <w:r>
        <w:rPr>
          <w:sz w:val="22"/>
          <w:szCs w:val="22"/>
          <w:lang w:val="es-ES"/>
        </w:rPr>
        <w:t xml:space="preserve"> </w:t>
      </w:r>
      <w:proofErr w:type="spellStart"/>
      <w:r>
        <w:rPr>
          <w:sz w:val="22"/>
          <w:szCs w:val="22"/>
          <w:lang w:val="es-ES"/>
        </w:rPr>
        <w:t>physical</w:t>
      </w:r>
      <w:proofErr w:type="spellEnd"/>
      <w:r>
        <w:rPr>
          <w:sz w:val="22"/>
          <w:szCs w:val="22"/>
          <w:lang w:val="es-ES"/>
        </w:rPr>
        <w:t xml:space="preserve"> and remote </w:t>
      </w:r>
      <w:proofErr w:type="spellStart"/>
      <w:r>
        <w:rPr>
          <w:sz w:val="22"/>
          <w:szCs w:val="22"/>
          <w:lang w:val="es-ES"/>
        </w:rPr>
        <w:t>readings</w:t>
      </w:r>
      <w:proofErr w:type="spellEnd"/>
    </w:p>
    <w:p w14:paraId="5999BE83" w14:textId="77777777" w:rsidR="00E255F4" w:rsidRDefault="00000000">
      <w:pPr>
        <w:spacing w:before="120"/>
        <w:ind w:left="567"/>
        <w:jc w:val="both"/>
        <w:rPr>
          <w:sz w:val="22"/>
          <w:szCs w:val="22"/>
          <w:lang w:val="es-ES"/>
        </w:rPr>
      </w:pPr>
      <w:proofErr w:type="spellStart"/>
      <w:r>
        <w:rPr>
          <w:sz w:val="22"/>
          <w:szCs w:val="22"/>
          <w:lang w:val="es-ES"/>
        </w:rPr>
        <w:t>These</w:t>
      </w:r>
      <w:proofErr w:type="spellEnd"/>
      <w:r>
        <w:rPr>
          <w:sz w:val="22"/>
          <w:szCs w:val="22"/>
          <w:lang w:val="es-ES"/>
        </w:rPr>
        <w:t xml:space="preserve"> </w:t>
      </w:r>
      <w:proofErr w:type="spellStart"/>
      <w:r>
        <w:rPr>
          <w:sz w:val="22"/>
          <w:szCs w:val="22"/>
          <w:lang w:val="es-ES"/>
        </w:rPr>
        <w:t>tests</w:t>
      </w:r>
      <w:proofErr w:type="spellEnd"/>
      <w:r>
        <w:rPr>
          <w:sz w:val="22"/>
          <w:szCs w:val="22"/>
          <w:lang w:val="es-ES"/>
        </w:rPr>
        <w:t xml:space="preserve"> </w:t>
      </w:r>
      <w:proofErr w:type="spellStart"/>
      <w:r>
        <w:rPr>
          <w:sz w:val="22"/>
          <w:szCs w:val="22"/>
          <w:lang w:val="es-ES"/>
        </w:rPr>
        <w:t>will</w:t>
      </w:r>
      <w:proofErr w:type="spellEnd"/>
      <w:r>
        <w:rPr>
          <w:sz w:val="22"/>
          <w:szCs w:val="22"/>
          <w:lang w:val="es-ES"/>
        </w:rPr>
        <w:t xml:space="preserve"> be </w:t>
      </w:r>
      <w:proofErr w:type="spellStart"/>
      <w:r>
        <w:rPr>
          <w:sz w:val="22"/>
          <w:szCs w:val="22"/>
          <w:lang w:val="es-ES"/>
        </w:rPr>
        <w:t>carried</w:t>
      </w:r>
      <w:proofErr w:type="spellEnd"/>
      <w:r>
        <w:rPr>
          <w:sz w:val="22"/>
          <w:szCs w:val="22"/>
          <w:lang w:val="es-ES"/>
        </w:rPr>
        <w:t xml:space="preserve"> </w:t>
      </w:r>
      <w:proofErr w:type="spellStart"/>
      <w:r>
        <w:rPr>
          <w:sz w:val="22"/>
          <w:szCs w:val="22"/>
          <w:lang w:val="es-ES"/>
        </w:rPr>
        <w:t>out</w:t>
      </w:r>
      <w:proofErr w:type="spellEnd"/>
      <w:r>
        <w:rPr>
          <w:sz w:val="22"/>
          <w:szCs w:val="22"/>
          <w:lang w:val="es-ES"/>
        </w:rPr>
        <w:t xml:space="preserve"> at </w:t>
      </w:r>
      <w:proofErr w:type="spellStart"/>
      <w:r>
        <w:rPr>
          <w:sz w:val="22"/>
          <w:szCs w:val="22"/>
          <w:lang w:val="es-ES"/>
        </w:rPr>
        <w:t>the</w:t>
      </w:r>
      <w:proofErr w:type="spellEnd"/>
      <w:r>
        <w:rPr>
          <w:sz w:val="22"/>
          <w:szCs w:val="22"/>
          <w:lang w:val="es-ES"/>
        </w:rPr>
        <w:t xml:space="preserve"> </w:t>
      </w:r>
      <w:proofErr w:type="spellStart"/>
      <w:r>
        <w:rPr>
          <w:sz w:val="22"/>
          <w:szCs w:val="22"/>
          <w:lang w:val="es-ES"/>
        </w:rPr>
        <w:t>same</w:t>
      </w:r>
      <w:proofErr w:type="spellEnd"/>
      <w:r>
        <w:rPr>
          <w:sz w:val="22"/>
          <w:szCs w:val="22"/>
          <w:lang w:val="es-ES"/>
        </w:rPr>
        <w:t xml:space="preserve"> time as </w:t>
      </w:r>
      <w:proofErr w:type="spellStart"/>
      <w:r>
        <w:rPr>
          <w:sz w:val="22"/>
          <w:szCs w:val="22"/>
          <w:lang w:val="es-ES"/>
        </w:rPr>
        <w:t>the</w:t>
      </w:r>
      <w:proofErr w:type="spellEnd"/>
      <w:r>
        <w:rPr>
          <w:sz w:val="22"/>
          <w:szCs w:val="22"/>
          <w:lang w:val="es-ES"/>
        </w:rPr>
        <w:t xml:space="preserve"> meter </w:t>
      </w:r>
      <w:proofErr w:type="spellStart"/>
      <w:r>
        <w:rPr>
          <w:sz w:val="22"/>
          <w:szCs w:val="22"/>
          <w:lang w:val="es-ES"/>
        </w:rPr>
        <w:t>qualification</w:t>
      </w:r>
      <w:proofErr w:type="spellEnd"/>
      <w:r>
        <w:rPr>
          <w:sz w:val="22"/>
          <w:szCs w:val="22"/>
          <w:lang w:val="es-ES"/>
        </w:rPr>
        <w:t xml:space="preserve"> </w:t>
      </w:r>
      <w:proofErr w:type="spellStart"/>
      <w:r>
        <w:rPr>
          <w:sz w:val="22"/>
          <w:szCs w:val="22"/>
          <w:lang w:val="es-ES"/>
        </w:rPr>
        <w:t>tests</w:t>
      </w:r>
      <w:proofErr w:type="spellEnd"/>
      <w:r>
        <w:rPr>
          <w:sz w:val="22"/>
          <w:szCs w:val="22"/>
          <w:lang w:val="es-ES"/>
        </w:rPr>
        <w:t xml:space="preserve"> set </w:t>
      </w:r>
      <w:proofErr w:type="spellStart"/>
      <w:r>
        <w:rPr>
          <w:sz w:val="22"/>
          <w:szCs w:val="22"/>
          <w:lang w:val="es-ES"/>
        </w:rPr>
        <w:t>out</w:t>
      </w:r>
      <w:proofErr w:type="spellEnd"/>
      <w:r>
        <w:rPr>
          <w:sz w:val="22"/>
          <w:szCs w:val="22"/>
          <w:lang w:val="es-ES"/>
        </w:rPr>
        <w:t xml:space="preserve"> in </w:t>
      </w:r>
      <w:proofErr w:type="spellStart"/>
      <w:r>
        <w:rPr>
          <w:sz w:val="22"/>
          <w:szCs w:val="22"/>
          <w:lang w:val="es-ES"/>
        </w:rPr>
        <w:t>Chapter</w:t>
      </w:r>
      <w:proofErr w:type="spellEnd"/>
      <w:r>
        <w:rPr>
          <w:sz w:val="22"/>
          <w:szCs w:val="22"/>
          <w:lang w:val="es-ES"/>
        </w:rPr>
        <w:t xml:space="preserve"> 10 </w:t>
      </w:r>
      <w:proofErr w:type="spellStart"/>
      <w:r>
        <w:rPr>
          <w:sz w:val="22"/>
          <w:szCs w:val="22"/>
          <w:lang w:val="es-ES"/>
        </w:rPr>
        <w:t>of</w:t>
      </w:r>
      <w:proofErr w:type="spellEnd"/>
      <w:r>
        <w:rPr>
          <w:sz w:val="22"/>
          <w:szCs w:val="22"/>
          <w:lang w:val="es-ES"/>
        </w:rPr>
        <w:t xml:space="preserve"> </w:t>
      </w:r>
      <w:proofErr w:type="spellStart"/>
      <w:r>
        <w:rPr>
          <w:sz w:val="22"/>
          <w:szCs w:val="22"/>
          <w:lang w:val="es-ES"/>
        </w:rPr>
        <w:t>this</w:t>
      </w:r>
      <w:proofErr w:type="spellEnd"/>
      <w:r>
        <w:rPr>
          <w:sz w:val="22"/>
          <w:szCs w:val="22"/>
          <w:lang w:val="es-ES"/>
        </w:rPr>
        <w:t xml:space="preserve"> </w:t>
      </w:r>
      <w:proofErr w:type="spellStart"/>
      <w:r>
        <w:rPr>
          <w:sz w:val="22"/>
          <w:szCs w:val="22"/>
          <w:lang w:val="es-ES"/>
        </w:rPr>
        <w:t>annex</w:t>
      </w:r>
      <w:proofErr w:type="spellEnd"/>
      <w:r>
        <w:rPr>
          <w:sz w:val="22"/>
          <w:szCs w:val="22"/>
          <w:lang w:val="es-ES"/>
        </w:rPr>
        <w:t xml:space="preserve">, in </w:t>
      </w:r>
      <w:proofErr w:type="spellStart"/>
      <w:r>
        <w:rPr>
          <w:sz w:val="22"/>
          <w:szCs w:val="22"/>
          <w:lang w:val="es-ES"/>
        </w:rPr>
        <w:t>the</w:t>
      </w:r>
      <w:proofErr w:type="spellEnd"/>
      <w:r>
        <w:rPr>
          <w:sz w:val="22"/>
          <w:szCs w:val="22"/>
          <w:lang w:val="es-ES"/>
        </w:rPr>
        <w:t xml:space="preserve"> </w:t>
      </w:r>
      <w:proofErr w:type="spellStart"/>
      <w:r>
        <w:rPr>
          <w:sz w:val="22"/>
          <w:szCs w:val="22"/>
          <w:lang w:val="es-ES"/>
        </w:rPr>
        <w:t>laboratory</w:t>
      </w:r>
      <w:proofErr w:type="spellEnd"/>
      <w:r>
        <w:rPr>
          <w:sz w:val="22"/>
          <w:szCs w:val="22"/>
          <w:lang w:val="es-ES"/>
        </w:rPr>
        <w:t xml:space="preserve"> </w:t>
      </w:r>
      <w:proofErr w:type="spellStart"/>
      <w:r>
        <w:rPr>
          <w:sz w:val="22"/>
          <w:szCs w:val="22"/>
          <w:lang w:val="es-ES"/>
        </w:rPr>
        <w:t>of</w:t>
      </w:r>
      <w:proofErr w:type="spellEnd"/>
      <w:r>
        <w:rPr>
          <w:sz w:val="22"/>
          <w:szCs w:val="22"/>
          <w:lang w:val="es-ES"/>
        </w:rPr>
        <w:t xml:space="preserve"> </w:t>
      </w:r>
      <w:proofErr w:type="spellStart"/>
      <w:r>
        <w:rPr>
          <w:sz w:val="22"/>
          <w:szCs w:val="22"/>
          <w:lang w:val="es-ES"/>
        </w:rPr>
        <w:t>the</w:t>
      </w:r>
      <w:proofErr w:type="spellEnd"/>
      <w:r>
        <w:rPr>
          <w:sz w:val="22"/>
          <w:szCs w:val="22"/>
          <w:lang w:val="es-ES"/>
        </w:rPr>
        <w:t xml:space="preserve"> OSE </w:t>
      </w:r>
      <w:proofErr w:type="spellStart"/>
      <w:r>
        <w:rPr>
          <w:sz w:val="22"/>
          <w:szCs w:val="22"/>
          <w:lang w:val="es-ES"/>
        </w:rPr>
        <w:t>Measurement</w:t>
      </w:r>
      <w:proofErr w:type="spellEnd"/>
      <w:r>
        <w:rPr>
          <w:sz w:val="22"/>
          <w:szCs w:val="22"/>
          <w:lang w:val="es-ES"/>
        </w:rPr>
        <w:t xml:space="preserve"> Management </w:t>
      </w:r>
      <w:proofErr w:type="spellStart"/>
      <w:r>
        <w:rPr>
          <w:sz w:val="22"/>
          <w:szCs w:val="22"/>
          <w:lang w:val="es-ES"/>
        </w:rPr>
        <w:t>Unit</w:t>
      </w:r>
      <w:proofErr w:type="spellEnd"/>
      <w:r>
        <w:rPr>
          <w:sz w:val="22"/>
          <w:szCs w:val="22"/>
          <w:lang w:val="es-ES"/>
        </w:rPr>
        <w:t>.</w:t>
      </w:r>
    </w:p>
    <w:p w14:paraId="7A2E8FD0" w14:textId="77777777" w:rsidR="00E255F4" w:rsidRDefault="00000000">
      <w:pPr>
        <w:spacing w:before="120"/>
        <w:ind w:left="567"/>
        <w:jc w:val="both"/>
        <w:rPr>
          <w:sz w:val="22"/>
          <w:szCs w:val="22"/>
          <w:lang w:val="es-ES"/>
        </w:rPr>
      </w:pPr>
      <w:r>
        <w:rPr>
          <w:sz w:val="22"/>
          <w:szCs w:val="22"/>
          <w:lang w:val="es-ES"/>
        </w:rPr>
        <w:t xml:space="preserve">The </w:t>
      </w:r>
      <w:proofErr w:type="spellStart"/>
      <w:r>
        <w:rPr>
          <w:sz w:val="22"/>
          <w:szCs w:val="22"/>
          <w:lang w:val="es-ES"/>
        </w:rPr>
        <w:t>tests</w:t>
      </w:r>
      <w:proofErr w:type="spellEnd"/>
      <w:r>
        <w:rPr>
          <w:sz w:val="22"/>
          <w:szCs w:val="22"/>
          <w:lang w:val="es-ES"/>
        </w:rPr>
        <w:t xml:space="preserve"> </w:t>
      </w:r>
      <w:proofErr w:type="spellStart"/>
      <w:r>
        <w:rPr>
          <w:sz w:val="22"/>
          <w:szCs w:val="22"/>
          <w:lang w:val="es-ES"/>
        </w:rPr>
        <w:t>will</w:t>
      </w:r>
      <w:proofErr w:type="spellEnd"/>
      <w:r>
        <w:rPr>
          <w:sz w:val="22"/>
          <w:szCs w:val="22"/>
          <w:lang w:val="es-ES"/>
        </w:rPr>
        <w:t xml:space="preserve"> be </w:t>
      </w:r>
      <w:proofErr w:type="spellStart"/>
      <w:r>
        <w:rPr>
          <w:sz w:val="22"/>
          <w:szCs w:val="22"/>
          <w:lang w:val="es-ES"/>
        </w:rPr>
        <w:t>applied</w:t>
      </w:r>
      <w:proofErr w:type="spellEnd"/>
      <w:r>
        <w:rPr>
          <w:sz w:val="22"/>
          <w:szCs w:val="22"/>
          <w:lang w:val="es-ES"/>
        </w:rPr>
        <w:t xml:space="preserve"> </w:t>
      </w:r>
      <w:proofErr w:type="spellStart"/>
      <w:r>
        <w:rPr>
          <w:sz w:val="22"/>
          <w:szCs w:val="22"/>
          <w:lang w:val="es-ES"/>
        </w:rPr>
        <w:t>to</w:t>
      </w:r>
      <w:proofErr w:type="spellEnd"/>
      <w:r>
        <w:rPr>
          <w:sz w:val="22"/>
          <w:szCs w:val="22"/>
          <w:lang w:val="es-ES"/>
        </w:rPr>
        <w:t xml:space="preserve"> </w:t>
      </w:r>
      <w:proofErr w:type="spellStart"/>
      <w:r>
        <w:rPr>
          <w:sz w:val="22"/>
          <w:szCs w:val="22"/>
          <w:lang w:val="es-ES"/>
        </w:rPr>
        <w:t>the</w:t>
      </w:r>
      <w:proofErr w:type="spellEnd"/>
      <w:r>
        <w:rPr>
          <w:sz w:val="22"/>
          <w:szCs w:val="22"/>
          <w:lang w:val="es-ES"/>
        </w:rPr>
        <w:t xml:space="preserve"> 2 </w:t>
      </w:r>
      <w:proofErr w:type="spellStart"/>
      <w:r>
        <w:rPr>
          <w:sz w:val="22"/>
          <w:szCs w:val="22"/>
          <w:lang w:val="es-ES"/>
        </w:rPr>
        <w:t>meters</w:t>
      </w:r>
      <w:proofErr w:type="spellEnd"/>
      <w:r>
        <w:rPr>
          <w:sz w:val="22"/>
          <w:szCs w:val="22"/>
          <w:lang w:val="es-ES"/>
        </w:rPr>
        <w:t xml:space="preserve"> </w:t>
      </w:r>
      <w:proofErr w:type="spellStart"/>
      <w:r>
        <w:rPr>
          <w:sz w:val="22"/>
          <w:szCs w:val="22"/>
          <w:lang w:val="es-ES"/>
        </w:rPr>
        <w:t>that</w:t>
      </w:r>
      <w:proofErr w:type="spellEnd"/>
      <w:r>
        <w:rPr>
          <w:sz w:val="22"/>
          <w:szCs w:val="22"/>
          <w:lang w:val="es-ES"/>
        </w:rPr>
        <w:t xml:space="preserve"> </w:t>
      </w:r>
      <w:proofErr w:type="spellStart"/>
      <w:r>
        <w:rPr>
          <w:sz w:val="22"/>
          <w:szCs w:val="22"/>
          <w:lang w:val="es-ES"/>
        </w:rPr>
        <w:t>were</w:t>
      </w:r>
      <w:proofErr w:type="spellEnd"/>
      <w:r>
        <w:rPr>
          <w:sz w:val="22"/>
          <w:szCs w:val="22"/>
          <w:lang w:val="es-ES"/>
        </w:rPr>
        <w:t xml:space="preserve"> </w:t>
      </w:r>
      <w:proofErr w:type="spellStart"/>
      <w:r>
        <w:rPr>
          <w:sz w:val="22"/>
          <w:szCs w:val="22"/>
          <w:lang w:val="es-ES"/>
        </w:rPr>
        <w:t>requested</w:t>
      </w:r>
      <w:proofErr w:type="spellEnd"/>
      <w:r>
        <w:rPr>
          <w:sz w:val="22"/>
          <w:szCs w:val="22"/>
          <w:lang w:val="es-ES"/>
        </w:rPr>
        <w:t xml:space="preserve"> as </w:t>
      </w:r>
      <w:proofErr w:type="spellStart"/>
      <w:r>
        <w:rPr>
          <w:sz w:val="22"/>
          <w:szCs w:val="22"/>
          <w:lang w:val="es-ES"/>
        </w:rPr>
        <w:t>samples</w:t>
      </w:r>
      <w:proofErr w:type="spellEnd"/>
      <w:r>
        <w:rPr>
          <w:sz w:val="22"/>
          <w:szCs w:val="22"/>
          <w:lang w:val="es-ES"/>
        </w:rPr>
        <w:t xml:space="preserve"> </w:t>
      </w:r>
      <w:proofErr w:type="spellStart"/>
      <w:r>
        <w:rPr>
          <w:sz w:val="22"/>
          <w:szCs w:val="22"/>
          <w:lang w:val="es-ES"/>
        </w:rPr>
        <w:t>already</w:t>
      </w:r>
      <w:proofErr w:type="spellEnd"/>
      <w:r>
        <w:rPr>
          <w:sz w:val="22"/>
          <w:szCs w:val="22"/>
          <w:lang w:val="es-ES"/>
        </w:rPr>
        <w:t xml:space="preserve"> </w:t>
      </w:r>
      <w:proofErr w:type="spellStart"/>
      <w:r>
        <w:rPr>
          <w:sz w:val="22"/>
          <w:szCs w:val="22"/>
          <w:lang w:val="es-ES"/>
        </w:rPr>
        <w:t>equipped</w:t>
      </w:r>
      <w:proofErr w:type="spellEnd"/>
      <w:r>
        <w:rPr>
          <w:sz w:val="22"/>
          <w:szCs w:val="22"/>
          <w:lang w:val="es-ES"/>
        </w:rPr>
        <w:t xml:space="preserve"> </w:t>
      </w:r>
      <w:proofErr w:type="spellStart"/>
      <w:r>
        <w:rPr>
          <w:sz w:val="22"/>
          <w:szCs w:val="22"/>
          <w:lang w:val="es-ES"/>
        </w:rPr>
        <w:t>to</w:t>
      </w:r>
      <w:proofErr w:type="spellEnd"/>
      <w:r>
        <w:rPr>
          <w:sz w:val="22"/>
          <w:szCs w:val="22"/>
          <w:lang w:val="es-ES"/>
        </w:rPr>
        <w:t xml:space="preserve"> </w:t>
      </w:r>
      <w:proofErr w:type="spellStart"/>
      <w:r>
        <w:rPr>
          <w:sz w:val="22"/>
          <w:szCs w:val="22"/>
          <w:lang w:val="es-ES"/>
        </w:rPr>
        <w:t>address</w:t>
      </w:r>
      <w:proofErr w:type="spellEnd"/>
      <w:r>
        <w:rPr>
          <w:sz w:val="22"/>
          <w:szCs w:val="22"/>
          <w:lang w:val="es-ES"/>
        </w:rPr>
        <w:t xml:space="preserve"> </w:t>
      </w:r>
      <w:proofErr w:type="spellStart"/>
      <w:r>
        <w:rPr>
          <w:sz w:val="22"/>
          <w:szCs w:val="22"/>
          <w:lang w:val="es-ES"/>
        </w:rPr>
        <w:t>these</w:t>
      </w:r>
      <w:proofErr w:type="spellEnd"/>
      <w:r>
        <w:rPr>
          <w:sz w:val="22"/>
          <w:szCs w:val="22"/>
          <w:lang w:val="es-ES"/>
        </w:rPr>
        <w:t xml:space="preserve"> </w:t>
      </w:r>
      <w:proofErr w:type="spellStart"/>
      <w:r>
        <w:rPr>
          <w:sz w:val="22"/>
          <w:szCs w:val="22"/>
          <w:lang w:val="es-ES"/>
        </w:rPr>
        <w:t>tests</w:t>
      </w:r>
      <w:proofErr w:type="spellEnd"/>
      <w:r>
        <w:rPr>
          <w:sz w:val="22"/>
          <w:szCs w:val="22"/>
          <w:lang w:val="es-ES"/>
        </w:rPr>
        <w:t>.</w:t>
      </w:r>
    </w:p>
    <w:p w14:paraId="675011CD" w14:textId="77777777" w:rsidR="00E255F4" w:rsidRDefault="00000000">
      <w:pPr>
        <w:spacing w:before="120"/>
        <w:ind w:left="567"/>
        <w:jc w:val="both"/>
      </w:pPr>
      <w:proofErr w:type="spellStart"/>
      <w:r>
        <w:rPr>
          <w:sz w:val="22"/>
          <w:szCs w:val="22"/>
          <w:lang w:val="es-ES"/>
        </w:rPr>
        <w:t>Each</w:t>
      </w:r>
      <w:proofErr w:type="spellEnd"/>
      <w:r>
        <w:rPr>
          <w:sz w:val="22"/>
          <w:szCs w:val="22"/>
          <w:lang w:val="es-ES"/>
        </w:rPr>
        <w:t xml:space="preserve"> </w:t>
      </w:r>
      <w:proofErr w:type="spellStart"/>
      <w:r>
        <w:rPr>
          <w:sz w:val="22"/>
          <w:szCs w:val="22"/>
          <w:lang w:val="es-ES"/>
        </w:rPr>
        <w:t>bidder</w:t>
      </w:r>
      <w:proofErr w:type="spellEnd"/>
      <w:r>
        <w:rPr>
          <w:sz w:val="22"/>
          <w:szCs w:val="22"/>
          <w:lang w:val="es-ES"/>
        </w:rPr>
        <w:t xml:space="preserve"> </w:t>
      </w:r>
      <w:proofErr w:type="spellStart"/>
      <w:r>
        <w:rPr>
          <w:sz w:val="22"/>
          <w:szCs w:val="22"/>
          <w:lang w:val="es-ES"/>
        </w:rPr>
        <w:t>must</w:t>
      </w:r>
      <w:proofErr w:type="spellEnd"/>
      <w:r>
        <w:rPr>
          <w:sz w:val="22"/>
          <w:szCs w:val="22"/>
          <w:lang w:val="es-ES"/>
        </w:rPr>
        <w:t xml:space="preserve"> </w:t>
      </w:r>
      <w:proofErr w:type="spellStart"/>
      <w:r>
        <w:rPr>
          <w:sz w:val="22"/>
          <w:szCs w:val="22"/>
          <w:lang w:val="es-ES"/>
        </w:rPr>
        <w:t>have</w:t>
      </w:r>
      <w:proofErr w:type="spellEnd"/>
      <w:r>
        <w:rPr>
          <w:sz w:val="22"/>
          <w:szCs w:val="22"/>
          <w:lang w:val="es-ES"/>
        </w:rPr>
        <w:t xml:space="preserve">, </w:t>
      </w:r>
      <w:proofErr w:type="spellStart"/>
      <w:r>
        <w:rPr>
          <w:sz w:val="22"/>
          <w:szCs w:val="22"/>
          <w:lang w:val="es-ES"/>
        </w:rPr>
        <w:t>on</w:t>
      </w:r>
      <w:proofErr w:type="spellEnd"/>
      <w:r>
        <w:rPr>
          <w:sz w:val="22"/>
          <w:szCs w:val="22"/>
          <w:lang w:val="es-ES"/>
        </w:rPr>
        <w:t xml:space="preserve"> </w:t>
      </w:r>
      <w:proofErr w:type="spellStart"/>
      <w:r>
        <w:rPr>
          <w:sz w:val="22"/>
          <w:szCs w:val="22"/>
          <w:lang w:val="es-ES"/>
        </w:rPr>
        <w:t>the</w:t>
      </w:r>
      <w:proofErr w:type="spellEnd"/>
      <w:r>
        <w:rPr>
          <w:sz w:val="22"/>
          <w:szCs w:val="22"/>
          <w:lang w:val="es-ES"/>
        </w:rPr>
        <w:t xml:space="preserve"> date </w:t>
      </w:r>
      <w:proofErr w:type="spellStart"/>
      <w:r>
        <w:rPr>
          <w:sz w:val="22"/>
          <w:szCs w:val="22"/>
          <w:lang w:val="es-ES"/>
        </w:rPr>
        <w:t>of</w:t>
      </w:r>
      <w:proofErr w:type="spellEnd"/>
      <w:r>
        <w:rPr>
          <w:sz w:val="22"/>
          <w:szCs w:val="22"/>
          <w:lang w:val="es-ES"/>
        </w:rPr>
        <w:t xml:space="preserve"> </w:t>
      </w:r>
      <w:proofErr w:type="spellStart"/>
      <w:r>
        <w:rPr>
          <w:sz w:val="22"/>
          <w:szCs w:val="22"/>
          <w:lang w:val="es-ES"/>
        </w:rPr>
        <w:t>the</w:t>
      </w:r>
      <w:proofErr w:type="spellEnd"/>
      <w:r>
        <w:rPr>
          <w:sz w:val="22"/>
          <w:szCs w:val="22"/>
          <w:lang w:val="es-ES"/>
        </w:rPr>
        <w:t xml:space="preserve"> </w:t>
      </w:r>
      <w:proofErr w:type="spellStart"/>
      <w:r>
        <w:rPr>
          <w:sz w:val="22"/>
          <w:szCs w:val="22"/>
          <w:lang w:val="es-ES"/>
        </w:rPr>
        <w:t>tests</w:t>
      </w:r>
      <w:proofErr w:type="spellEnd"/>
      <w:r>
        <w:rPr>
          <w:sz w:val="22"/>
          <w:szCs w:val="22"/>
          <w:lang w:val="es-ES"/>
        </w:rPr>
        <w:t xml:space="preserve">, </w:t>
      </w:r>
      <w:proofErr w:type="spellStart"/>
      <w:r>
        <w:rPr>
          <w:sz w:val="22"/>
          <w:szCs w:val="22"/>
          <w:lang w:val="es-ES"/>
        </w:rPr>
        <w:t>all</w:t>
      </w:r>
      <w:proofErr w:type="spellEnd"/>
      <w:r>
        <w:rPr>
          <w:sz w:val="22"/>
          <w:szCs w:val="22"/>
          <w:lang w:val="es-ES"/>
        </w:rPr>
        <w:t xml:space="preserve"> </w:t>
      </w:r>
      <w:proofErr w:type="spellStart"/>
      <w:r>
        <w:rPr>
          <w:sz w:val="22"/>
          <w:szCs w:val="22"/>
          <w:lang w:val="es-ES"/>
        </w:rPr>
        <w:t>the</w:t>
      </w:r>
      <w:proofErr w:type="spellEnd"/>
      <w:r>
        <w:rPr>
          <w:sz w:val="22"/>
          <w:szCs w:val="22"/>
          <w:lang w:val="es-ES"/>
        </w:rPr>
        <w:t xml:space="preserve"> </w:t>
      </w:r>
      <w:proofErr w:type="spellStart"/>
      <w:r>
        <w:rPr>
          <w:sz w:val="22"/>
          <w:szCs w:val="22"/>
          <w:lang w:val="es-ES"/>
        </w:rPr>
        <w:t>necessary</w:t>
      </w:r>
      <w:proofErr w:type="spellEnd"/>
      <w:r>
        <w:rPr>
          <w:sz w:val="22"/>
          <w:szCs w:val="22"/>
          <w:lang w:val="es-ES"/>
        </w:rPr>
        <w:t xml:space="preserve"> </w:t>
      </w:r>
      <w:proofErr w:type="spellStart"/>
      <w:r>
        <w:rPr>
          <w:sz w:val="22"/>
          <w:szCs w:val="22"/>
          <w:lang w:val="es-ES"/>
        </w:rPr>
        <w:t>elements</w:t>
      </w:r>
      <w:proofErr w:type="spellEnd"/>
      <w:r>
        <w:rPr>
          <w:sz w:val="22"/>
          <w:szCs w:val="22"/>
          <w:lang w:val="es-ES"/>
        </w:rPr>
        <w:t xml:space="preserve"> </w:t>
      </w:r>
      <w:proofErr w:type="spellStart"/>
      <w:r>
        <w:rPr>
          <w:sz w:val="22"/>
          <w:szCs w:val="22"/>
          <w:lang w:val="es-ES"/>
        </w:rPr>
        <w:t>to</w:t>
      </w:r>
      <w:proofErr w:type="spellEnd"/>
      <w:r>
        <w:rPr>
          <w:sz w:val="22"/>
          <w:szCs w:val="22"/>
          <w:lang w:val="es-ES"/>
        </w:rPr>
        <w:t xml:space="preserve"> </w:t>
      </w:r>
      <w:proofErr w:type="spellStart"/>
      <w:r>
        <w:rPr>
          <w:sz w:val="22"/>
          <w:szCs w:val="22"/>
          <w:lang w:val="es-ES"/>
        </w:rPr>
        <w:t>demonstrate</w:t>
      </w:r>
      <w:proofErr w:type="spellEnd"/>
      <w:r>
        <w:rPr>
          <w:sz w:val="22"/>
          <w:szCs w:val="22"/>
          <w:lang w:val="es-ES"/>
        </w:rPr>
        <w:t xml:space="preserve"> </w:t>
      </w:r>
      <w:proofErr w:type="spellStart"/>
      <w:r>
        <w:rPr>
          <w:sz w:val="22"/>
          <w:szCs w:val="22"/>
          <w:lang w:val="es-ES"/>
        </w:rPr>
        <w:t>the</w:t>
      </w:r>
      <w:proofErr w:type="spellEnd"/>
      <w:r>
        <w:rPr>
          <w:sz w:val="22"/>
          <w:szCs w:val="22"/>
          <w:lang w:val="es-ES"/>
        </w:rPr>
        <w:t xml:space="preserve"> </w:t>
      </w:r>
      <w:proofErr w:type="spellStart"/>
      <w:r>
        <w:rPr>
          <w:sz w:val="22"/>
          <w:szCs w:val="22"/>
          <w:lang w:val="es-ES"/>
        </w:rPr>
        <w:t>telemetry</w:t>
      </w:r>
      <w:proofErr w:type="spellEnd"/>
      <w:r>
        <w:rPr>
          <w:sz w:val="22"/>
          <w:szCs w:val="22"/>
          <w:lang w:val="es-ES"/>
        </w:rPr>
        <w:t xml:space="preserve"> </w:t>
      </w:r>
      <w:proofErr w:type="spellStart"/>
      <w:r>
        <w:rPr>
          <w:sz w:val="22"/>
          <w:szCs w:val="22"/>
          <w:lang w:val="es-ES"/>
        </w:rPr>
        <w:t>capability</w:t>
      </w:r>
      <w:proofErr w:type="spellEnd"/>
      <w:r>
        <w:rPr>
          <w:sz w:val="22"/>
          <w:szCs w:val="22"/>
          <w:lang w:val="es-ES"/>
        </w:rPr>
        <w:t xml:space="preserve"> </w:t>
      </w:r>
      <w:proofErr w:type="spellStart"/>
      <w:r>
        <w:rPr>
          <w:sz w:val="22"/>
          <w:szCs w:val="22"/>
          <w:lang w:val="es-ES"/>
        </w:rPr>
        <w:t>of</w:t>
      </w:r>
      <w:proofErr w:type="spellEnd"/>
      <w:r>
        <w:rPr>
          <w:sz w:val="22"/>
          <w:szCs w:val="22"/>
          <w:lang w:val="es-ES"/>
        </w:rPr>
        <w:t xml:space="preserve"> </w:t>
      </w:r>
      <w:proofErr w:type="spellStart"/>
      <w:r>
        <w:rPr>
          <w:sz w:val="22"/>
          <w:szCs w:val="22"/>
          <w:lang w:val="es-ES"/>
        </w:rPr>
        <w:t>the</w:t>
      </w:r>
      <w:proofErr w:type="spellEnd"/>
      <w:r>
        <w:rPr>
          <w:sz w:val="22"/>
          <w:szCs w:val="22"/>
          <w:lang w:val="es-ES"/>
        </w:rPr>
        <w:t xml:space="preserve"> </w:t>
      </w:r>
      <w:proofErr w:type="spellStart"/>
      <w:r>
        <w:rPr>
          <w:sz w:val="22"/>
          <w:szCs w:val="22"/>
          <w:lang w:val="es-ES"/>
        </w:rPr>
        <w:t>smart</w:t>
      </w:r>
      <w:proofErr w:type="spellEnd"/>
      <w:r>
        <w:rPr>
          <w:sz w:val="22"/>
          <w:szCs w:val="22"/>
          <w:lang w:val="es-ES"/>
        </w:rPr>
        <w:t xml:space="preserve"> meter in </w:t>
      </w:r>
      <w:proofErr w:type="spellStart"/>
      <w:r>
        <w:rPr>
          <w:sz w:val="22"/>
          <w:szCs w:val="22"/>
          <w:lang w:val="es-ES"/>
        </w:rPr>
        <w:t>the</w:t>
      </w:r>
      <w:proofErr w:type="spellEnd"/>
      <w:r>
        <w:rPr>
          <w:sz w:val="22"/>
          <w:szCs w:val="22"/>
          <w:lang w:val="es-ES"/>
        </w:rPr>
        <w:t xml:space="preserve"> </w:t>
      </w:r>
      <w:proofErr w:type="spellStart"/>
      <w:r>
        <w:rPr>
          <w:sz w:val="22"/>
          <w:szCs w:val="22"/>
          <w:lang w:val="es-ES"/>
        </w:rPr>
        <w:t>basic</w:t>
      </w:r>
      <w:proofErr w:type="spellEnd"/>
      <w:r>
        <w:rPr>
          <w:sz w:val="22"/>
          <w:szCs w:val="22"/>
          <w:lang w:val="es-ES"/>
        </w:rPr>
        <w:t xml:space="preserve"> </w:t>
      </w:r>
      <w:proofErr w:type="spellStart"/>
      <w:r>
        <w:rPr>
          <w:sz w:val="22"/>
          <w:szCs w:val="22"/>
          <w:lang w:val="es-ES"/>
        </w:rPr>
        <w:t>functions</w:t>
      </w:r>
      <w:proofErr w:type="spellEnd"/>
      <w:r>
        <w:rPr>
          <w:sz w:val="22"/>
          <w:szCs w:val="22"/>
          <w:lang w:val="es-ES"/>
        </w:rPr>
        <w:t xml:space="preserve"> </w:t>
      </w:r>
      <w:proofErr w:type="spellStart"/>
      <w:r>
        <w:rPr>
          <w:sz w:val="22"/>
          <w:szCs w:val="22"/>
          <w:lang w:val="es-ES"/>
        </w:rPr>
        <w:t>mentioned</w:t>
      </w:r>
      <w:proofErr w:type="spellEnd"/>
      <w:r>
        <w:rPr>
          <w:sz w:val="22"/>
          <w:szCs w:val="22"/>
          <w:lang w:val="es-ES"/>
        </w:rPr>
        <w:t>.</w:t>
      </w:r>
    </w:p>
    <w:p w14:paraId="05C7CD67" w14:textId="77777777" w:rsidR="00E255F4" w:rsidRDefault="00000000">
      <w:pPr>
        <w:spacing w:before="120"/>
        <w:ind w:left="567"/>
        <w:jc w:val="both"/>
        <w:rPr>
          <w:sz w:val="22"/>
          <w:szCs w:val="22"/>
          <w:lang w:val="es-ES"/>
        </w:rPr>
      </w:pPr>
      <w:r>
        <w:rPr>
          <w:sz w:val="22"/>
          <w:szCs w:val="22"/>
          <w:lang w:val="es-ES"/>
        </w:rPr>
        <w:lastRenderedPageBreak/>
        <w:t xml:space="preserve">The </w:t>
      </w:r>
      <w:proofErr w:type="spellStart"/>
      <w:r>
        <w:rPr>
          <w:sz w:val="22"/>
          <w:szCs w:val="22"/>
          <w:lang w:val="es-ES"/>
        </w:rPr>
        <w:t>testing</w:t>
      </w:r>
      <w:proofErr w:type="spellEnd"/>
      <w:r>
        <w:rPr>
          <w:sz w:val="22"/>
          <w:szCs w:val="22"/>
          <w:lang w:val="es-ES"/>
        </w:rPr>
        <w:t xml:space="preserve"> </w:t>
      </w:r>
      <w:proofErr w:type="spellStart"/>
      <w:r>
        <w:rPr>
          <w:sz w:val="22"/>
          <w:szCs w:val="22"/>
          <w:lang w:val="es-ES"/>
        </w:rPr>
        <w:t>procedure</w:t>
      </w:r>
      <w:proofErr w:type="spellEnd"/>
      <w:r>
        <w:rPr>
          <w:sz w:val="22"/>
          <w:szCs w:val="22"/>
          <w:lang w:val="es-ES"/>
        </w:rPr>
        <w:t xml:space="preserve"> </w:t>
      </w:r>
      <w:proofErr w:type="spellStart"/>
      <w:r>
        <w:rPr>
          <w:sz w:val="22"/>
          <w:szCs w:val="22"/>
          <w:lang w:val="es-ES"/>
        </w:rPr>
        <w:t>will</w:t>
      </w:r>
      <w:proofErr w:type="spellEnd"/>
      <w:r>
        <w:rPr>
          <w:sz w:val="22"/>
          <w:szCs w:val="22"/>
          <w:lang w:val="es-ES"/>
        </w:rPr>
        <w:t xml:space="preserve"> be as </w:t>
      </w:r>
      <w:proofErr w:type="spellStart"/>
      <w:r>
        <w:rPr>
          <w:sz w:val="22"/>
          <w:szCs w:val="22"/>
          <w:lang w:val="es-ES"/>
        </w:rPr>
        <w:t>follows</w:t>
      </w:r>
      <w:proofErr w:type="spellEnd"/>
      <w:r>
        <w:rPr>
          <w:sz w:val="22"/>
          <w:szCs w:val="22"/>
          <w:lang w:val="es-ES"/>
        </w:rPr>
        <w:t>:</w:t>
      </w:r>
    </w:p>
    <w:p w14:paraId="5D1F996B" w14:textId="77777777" w:rsidR="00E255F4" w:rsidRDefault="00000000">
      <w:pPr>
        <w:numPr>
          <w:ilvl w:val="3"/>
          <w:numId w:val="59"/>
        </w:numPr>
        <w:spacing w:before="120"/>
        <w:ind w:left="1134" w:hanging="425"/>
        <w:jc w:val="both"/>
        <w:rPr>
          <w:sz w:val="22"/>
          <w:szCs w:val="22"/>
          <w:lang w:val="es-ES"/>
        </w:rPr>
      </w:pPr>
      <w:r>
        <w:rPr>
          <w:sz w:val="22"/>
          <w:szCs w:val="22"/>
          <w:lang w:val="es-ES"/>
        </w:rPr>
        <w:t xml:space="preserve">OSE </w:t>
      </w:r>
      <w:proofErr w:type="spellStart"/>
      <w:r>
        <w:rPr>
          <w:sz w:val="22"/>
          <w:szCs w:val="22"/>
          <w:lang w:val="es-ES"/>
        </w:rPr>
        <w:t>will</w:t>
      </w:r>
      <w:proofErr w:type="spellEnd"/>
      <w:r>
        <w:rPr>
          <w:sz w:val="22"/>
          <w:szCs w:val="22"/>
          <w:lang w:val="es-ES"/>
        </w:rPr>
        <w:t xml:space="preserve"> </w:t>
      </w:r>
      <w:proofErr w:type="spellStart"/>
      <w:r>
        <w:rPr>
          <w:sz w:val="22"/>
          <w:szCs w:val="22"/>
          <w:lang w:val="es-ES"/>
        </w:rPr>
        <w:t>have</w:t>
      </w:r>
      <w:proofErr w:type="spellEnd"/>
      <w:r>
        <w:rPr>
          <w:sz w:val="22"/>
          <w:szCs w:val="22"/>
          <w:lang w:val="es-ES"/>
        </w:rPr>
        <w:t xml:space="preserve"> in </w:t>
      </w:r>
      <w:proofErr w:type="spellStart"/>
      <w:r>
        <w:rPr>
          <w:sz w:val="22"/>
          <w:szCs w:val="22"/>
          <w:lang w:val="es-ES"/>
        </w:rPr>
        <w:t>the</w:t>
      </w:r>
      <w:proofErr w:type="spellEnd"/>
      <w:r>
        <w:rPr>
          <w:sz w:val="22"/>
          <w:szCs w:val="22"/>
          <w:lang w:val="es-ES"/>
        </w:rPr>
        <w:t xml:space="preserve"> test </w:t>
      </w:r>
      <w:proofErr w:type="spellStart"/>
      <w:r>
        <w:rPr>
          <w:sz w:val="22"/>
          <w:szCs w:val="22"/>
          <w:lang w:val="es-ES"/>
        </w:rPr>
        <w:t>bench</w:t>
      </w:r>
      <w:proofErr w:type="spellEnd"/>
      <w:r>
        <w:rPr>
          <w:sz w:val="22"/>
          <w:szCs w:val="22"/>
          <w:lang w:val="es-ES"/>
        </w:rPr>
        <w:t xml:space="preserve"> </w:t>
      </w:r>
      <w:proofErr w:type="spellStart"/>
      <w:r>
        <w:rPr>
          <w:sz w:val="22"/>
          <w:szCs w:val="22"/>
          <w:lang w:val="es-ES"/>
        </w:rPr>
        <w:t>of</w:t>
      </w:r>
      <w:proofErr w:type="spellEnd"/>
      <w:r>
        <w:rPr>
          <w:sz w:val="22"/>
          <w:szCs w:val="22"/>
          <w:lang w:val="es-ES"/>
        </w:rPr>
        <w:t xml:space="preserve"> </w:t>
      </w:r>
      <w:proofErr w:type="spellStart"/>
      <w:r>
        <w:rPr>
          <w:sz w:val="22"/>
          <w:szCs w:val="22"/>
          <w:lang w:val="es-ES"/>
        </w:rPr>
        <w:t>meters</w:t>
      </w:r>
      <w:proofErr w:type="spellEnd"/>
      <w:r>
        <w:rPr>
          <w:sz w:val="22"/>
          <w:szCs w:val="22"/>
          <w:lang w:val="es-ES"/>
        </w:rPr>
        <w:t xml:space="preserve">, </w:t>
      </w:r>
      <w:proofErr w:type="spellStart"/>
      <w:r>
        <w:rPr>
          <w:sz w:val="22"/>
          <w:szCs w:val="22"/>
          <w:lang w:val="es-ES"/>
        </w:rPr>
        <w:t>the</w:t>
      </w:r>
      <w:proofErr w:type="spellEnd"/>
      <w:r>
        <w:rPr>
          <w:sz w:val="22"/>
          <w:szCs w:val="22"/>
          <w:lang w:val="es-ES"/>
        </w:rPr>
        <w:t xml:space="preserve"> 2 </w:t>
      </w:r>
      <w:proofErr w:type="spellStart"/>
      <w:r>
        <w:rPr>
          <w:sz w:val="22"/>
          <w:szCs w:val="22"/>
          <w:lang w:val="es-ES"/>
        </w:rPr>
        <w:t>sample</w:t>
      </w:r>
      <w:proofErr w:type="spellEnd"/>
      <w:r>
        <w:rPr>
          <w:sz w:val="22"/>
          <w:szCs w:val="22"/>
          <w:lang w:val="es-ES"/>
        </w:rPr>
        <w:t xml:space="preserve"> </w:t>
      </w:r>
      <w:proofErr w:type="spellStart"/>
      <w:r>
        <w:rPr>
          <w:sz w:val="22"/>
          <w:szCs w:val="22"/>
          <w:lang w:val="es-ES"/>
        </w:rPr>
        <w:t>meters</w:t>
      </w:r>
      <w:proofErr w:type="spellEnd"/>
      <w:r>
        <w:rPr>
          <w:sz w:val="22"/>
          <w:szCs w:val="22"/>
          <w:lang w:val="es-ES"/>
        </w:rPr>
        <w:t xml:space="preserve"> </w:t>
      </w:r>
      <w:proofErr w:type="spellStart"/>
      <w:r>
        <w:rPr>
          <w:sz w:val="22"/>
          <w:szCs w:val="22"/>
          <w:lang w:val="es-ES"/>
        </w:rPr>
        <w:t>that</w:t>
      </w:r>
      <w:proofErr w:type="spellEnd"/>
      <w:r>
        <w:rPr>
          <w:sz w:val="22"/>
          <w:szCs w:val="22"/>
          <w:lang w:val="es-ES"/>
        </w:rPr>
        <w:t xml:space="preserve"> are </w:t>
      </w:r>
      <w:proofErr w:type="spellStart"/>
      <w:r>
        <w:rPr>
          <w:sz w:val="22"/>
          <w:szCs w:val="22"/>
          <w:lang w:val="es-ES"/>
        </w:rPr>
        <w:t>equipped</w:t>
      </w:r>
      <w:proofErr w:type="spellEnd"/>
      <w:r>
        <w:rPr>
          <w:sz w:val="22"/>
          <w:szCs w:val="22"/>
          <w:lang w:val="es-ES"/>
        </w:rPr>
        <w:t xml:space="preserve"> </w:t>
      </w:r>
      <w:proofErr w:type="spellStart"/>
      <w:r>
        <w:rPr>
          <w:sz w:val="22"/>
          <w:szCs w:val="22"/>
          <w:lang w:val="es-ES"/>
        </w:rPr>
        <w:t>to</w:t>
      </w:r>
      <w:proofErr w:type="spellEnd"/>
      <w:r>
        <w:rPr>
          <w:sz w:val="22"/>
          <w:szCs w:val="22"/>
          <w:lang w:val="es-ES"/>
        </w:rPr>
        <w:t xml:space="preserve"> </w:t>
      </w:r>
      <w:proofErr w:type="spellStart"/>
      <w:r>
        <w:rPr>
          <w:sz w:val="22"/>
          <w:szCs w:val="22"/>
          <w:lang w:val="es-ES"/>
        </w:rPr>
        <w:t>establish</w:t>
      </w:r>
      <w:proofErr w:type="spellEnd"/>
      <w:r>
        <w:rPr>
          <w:sz w:val="22"/>
          <w:szCs w:val="22"/>
          <w:lang w:val="es-ES"/>
        </w:rPr>
        <w:t xml:space="preserve"> </w:t>
      </w:r>
      <w:proofErr w:type="spellStart"/>
      <w:r>
        <w:rPr>
          <w:sz w:val="22"/>
          <w:szCs w:val="22"/>
          <w:lang w:val="es-ES"/>
        </w:rPr>
        <w:t>cellular</w:t>
      </w:r>
      <w:proofErr w:type="spellEnd"/>
      <w:r>
        <w:rPr>
          <w:sz w:val="22"/>
          <w:szCs w:val="22"/>
          <w:lang w:val="es-ES"/>
        </w:rPr>
        <w:t xml:space="preserve"> </w:t>
      </w:r>
      <w:proofErr w:type="spellStart"/>
      <w:r>
        <w:rPr>
          <w:sz w:val="22"/>
          <w:szCs w:val="22"/>
          <w:lang w:val="es-ES"/>
        </w:rPr>
        <w:t>communication</w:t>
      </w:r>
      <w:proofErr w:type="spellEnd"/>
      <w:r>
        <w:rPr>
          <w:sz w:val="22"/>
          <w:szCs w:val="22"/>
          <w:lang w:val="es-ES"/>
        </w:rPr>
        <w:t>.</w:t>
      </w:r>
    </w:p>
    <w:p w14:paraId="204D9622" w14:textId="77777777" w:rsidR="00E255F4" w:rsidRDefault="00000000">
      <w:pPr>
        <w:numPr>
          <w:ilvl w:val="3"/>
          <w:numId w:val="59"/>
        </w:numPr>
        <w:spacing w:before="120"/>
        <w:ind w:left="1134" w:hanging="425"/>
        <w:jc w:val="both"/>
      </w:pPr>
      <w:proofErr w:type="spellStart"/>
      <w:r>
        <w:rPr>
          <w:sz w:val="22"/>
          <w:szCs w:val="22"/>
          <w:lang w:val="es-ES"/>
        </w:rPr>
        <w:t>Bidders</w:t>
      </w:r>
      <w:proofErr w:type="spellEnd"/>
      <w:r>
        <w:rPr>
          <w:sz w:val="22"/>
          <w:szCs w:val="22"/>
          <w:lang w:val="es-ES"/>
        </w:rPr>
        <w:t xml:space="preserve"> </w:t>
      </w:r>
      <w:proofErr w:type="spellStart"/>
      <w:r>
        <w:rPr>
          <w:sz w:val="22"/>
          <w:szCs w:val="22"/>
          <w:lang w:val="es-ES"/>
        </w:rPr>
        <w:t>may</w:t>
      </w:r>
      <w:proofErr w:type="spellEnd"/>
      <w:r>
        <w:rPr>
          <w:sz w:val="22"/>
          <w:szCs w:val="22"/>
          <w:lang w:val="es-ES"/>
        </w:rPr>
        <w:t xml:space="preserve"> </w:t>
      </w:r>
      <w:proofErr w:type="spellStart"/>
      <w:r>
        <w:rPr>
          <w:sz w:val="22"/>
          <w:szCs w:val="22"/>
          <w:lang w:val="es-ES"/>
        </w:rPr>
        <w:t>review</w:t>
      </w:r>
      <w:proofErr w:type="spellEnd"/>
      <w:r>
        <w:rPr>
          <w:sz w:val="22"/>
          <w:szCs w:val="22"/>
          <w:lang w:val="es-ES"/>
        </w:rPr>
        <w:t xml:space="preserve"> and/</w:t>
      </w:r>
      <w:proofErr w:type="spellStart"/>
      <w:r>
        <w:rPr>
          <w:sz w:val="22"/>
          <w:szCs w:val="22"/>
          <w:lang w:val="es-ES"/>
        </w:rPr>
        <w:t>or</w:t>
      </w:r>
      <w:proofErr w:type="spellEnd"/>
      <w:r>
        <w:rPr>
          <w:sz w:val="22"/>
          <w:szCs w:val="22"/>
          <w:lang w:val="es-ES"/>
        </w:rPr>
        <w:t xml:space="preserve"> </w:t>
      </w:r>
      <w:proofErr w:type="spellStart"/>
      <w:r>
        <w:rPr>
          <w:sz w:val="22"/>
          <w:szCs w:val="22"/>
          <w:lang w:val="es-ES"/>
        </w:rPr>
        <w:t>adjust</w:t>
      </w:r>
      <w:proofErr w:type="spellEnd"/>
      <w:r>
        <w:rPr>
          <w:sz w:val="22"/>
          <w:szCs w:val="22"/>
          <w:lang w:val="es-ES"/>
        </w:rPr>
        <w:t xml:space="preserve"> </w:t>
      </w:r>
      <w:proofErr w:type="spellStart"/>
      <w:r>
        <w:rPr>
          <w:sz w:val="22"/>
          <w:szCs w:val="22"/>
          <w:lang w:val="es-ES"/>
        </w:rPr>
        <w:t>the</w:t>
      </w:r>
      <w:proofErr w:type="spellEnd"/>
      <w:r>
        <w:rPr>
          <w:sz w:val="22"/>
          <w:szCs w:val="22"/>
          <w:lang w:val="es-ES"/>
        </w:rPr>
        <w:t xml:space="preserve"> </w:t>
      </w:r>
      <w:proofErr w:type="spellStart"/>
      <w:r>
        <w:rPr>
          <w:sz w:val="22"/>
          <w:szCs w:val="22"/>
          <w:lang w:val="es-ES"/>
        </w:rPr>
        <w:t>configurations</w:t>
      </w:r>
      <w:proofErr w:type="spellEnd"/>
      <w:r>
        <w:rPr>
          <w:sz w:val="22"/>
          <w:szCs w:val="22"/>
          <w:lang w:val="es-ES"/>
        </w:rPr>
        <w:t xml:space="preserve"> </w:t>
      </w:r>
      <w:proofErr w:type="spellStart"/>
      <w:r>
        <w:rPr>
          <w:sz w:val="22"/>
          <w:szCs w:val="22"/>
          <w:lang w:val="es-ES"/>
        </w:rPr>
        <w:t>of</w:t>
      </w:r>
      <w:proofErr w:type="spellEnd"/>
      <w:r>
        <w:rPr>
          <w:sz w:val="22"/>
          <w:szCs w:val="22"/>
          <w:lang w:val="es-ES"/>
        </w:rPr>
        <w:t xml:space="preserve"> </w:t>
      </w:r>
      <w:proofErr w:type="spellStart"/>
      <w:r>
        <w:rPr>
          <w:sz w:val="22"/>
          <w:szCs w:val="22"/>
          <w:lang w:val="es-ES"/>
        </w:rPr>
        <w:t>the</w:t>
      </w:r>
      <w:proofErr w:type="spellEnd"/>
      <w:r>
        <w:rPr>
          <w:sz w:val="22"/>
          <w:szCs w:val="22"/>
          <w:lang w:val="es-ES"/>
        </w:rPr>
        <w:t xml:space="preserve"> </w:t>
      </w:r>
      <w:proofErr w:type="spellStart"/>
      <w:r>
        <w:rPr>
          <w:sz w:val="22"/>
          <w:szCs w:val="22"/>
          <w:lang w:val="es-ES"/>
        </w:rPr>
        <w:t>smart</w:t>
      </w:r>
      <w:proofErr w:type="spellEnd"/>
      <w:r>
        <w:rPr>
          <w:sz w:val="22"/>
          <w:szCs w:val="22"/>
          <w:lang w:val="es-ES"/>
        </w:rPr>
        <w:t xml:space="preserve"> </w:t>
      </w:r>
      <w:proofErr w:type="spellStart"/>
      <w:r>
        <w:rPr>
          <w:sz w:val="22"/>
          <w:szCs w:val="22"/>
          <w:lang w:val="es-ES"/>
        </w:rPr>
        <w:t>meters</w:t>
      </w:r>
      <w:proofErr w:type="spellEnd"/>
      <w:r>
        <w:rPr>
          <w:sz w:val="22"/>
          <w:szCs w:val="22"/>
          <w:lang w:val="es-ES"/>
        </w:rPr>
        <w:t xml:space="preserve"> </w:t>
      </w:r>
      <w:proofErr w:type="spellStart"/>
      <w:r>
        <w:rPr>
          <w:sz w:val="22"/>
          <w:szCs w:val="22"/>
          <w:lang w:val="es-ES"/>
        </w:rPr>
        <w:t>if</w:t>
      </w:r>
      <w:proofErr w:type="spellEnd"/>
      <w:r>
        <w:rPr>
          <w:sz w:val="22"/>
          <w:szCs w:val="22"/>
          <w:lang w:val="es-ES"/>
        </w:rPr>
        <w:t xml:space="preserve"> </w:t>
      </w:r>
      <w:proofErr w:type="spellStart"/>
      <w:r>
        <w:rPr>
          <w:sz w:val="22"/>
          <w:szCs w:val="22"/>
          <w:lang w:val="es-ES"/>
        </w:rPr>
        <w:t>they</w:t>
      </w:r>
      <w:proofErr w:type="spellEnd"/>
      <w:r>
        <w:rPr>
          <w:sz w:val="22"/>
          <w:szCs w:val="22"/>
          <w:lang w:val="es-ES"/>
        </w:rPr>
        <w:t xml:space="preserve"> </w:t>
      </w:r>
      <w:proofErr w:type="spellStart"/>
      <w:r>
        <w:rPr>
          <w:sz w:val="22"/>
          <w:szCs w:val="22"/>
          <w:lang w:val="es-ES"/>
        </w:rPr>
        <w:t>deem</w:t>
      </w:r>
      <w:proofErr w:type="spellEnd"/>
      <w:r>
        <w:rPr>
          <w:sz w:val="22"/>
          <w:szCs w:val="22"/>
          <w:lang w:val="es-ES"/>
        </w:rPr>
        <w:t xml:space="preserve"> </w:t>
      </w:r>
      <w:proofErr w:type="spellStart"/>
      <w:r>
        <w:rPr>
          <w:sz w:val="22"/>
          <w:szCs w:val="22"/>
          <w:lang w:val="es-ES"/>
        </w:rPr>
        <w:t>it</w:t>
      </w:r>
      <w:proofErr w:type="spellEnd"/>
      <w:r>
        <w:rPr>
          <w:sz w:val="22"/>
          <w:szCs w:val="22"/>
          <w:lang w:val="es-ES"/>
        </w:rPr>
        <w:t xml:space="preserve"> </w:t>
      </w:r>
      <w:proofErr w:type="spellStart"/>
      <w:r>
        <w:rPr>
          <w:sz w:val="22"/>
          <w:szCs w:val="22"/>
          <w:lang w:val="es-ES"/>
        </w:rPr>
        <w:t>necessary</w:t>
      </w:r>
      <w:proofErr w:type="spellEnd"/>
      <w:r>
        <w:rPr>
          <w:sz w:val="22"/>
          <w:szCs w:val="22"/>
          <w:lang w:val="es-ES"/>
        </w:rPr>
        <w:t>.</w:t>
      </w:r>
    </w:p>
    <w:p w14:paraId="5B855E48" w14:textId="77777777" w:rsidR="00E255F4" w:rsidRDefault="00000000">
      <w:pPr>
        <w:numPr>
          <w:ilvl w:val="3"/>
          <w:numId w:val="59"/>
        </w:numPr>
        <w:spacing w:before="120" w:after="120"/>
        <w:ind w:left="1134" w:hanging="425"/>
        <w:jc w:val="both"/>
      </w:pPr>
      <w:proofErr w:type="spellStart"/>
      <w:r>
        <w:rPr>
          <w:sz w:val="22"/>
          <w:szCs w:val="22"/>
        </w:rPr>
        <w:t>An</w:t>
      </w:r>
      <w:proofErr w:type="spellEnd"/>
      <w:r>
        <w:rPr>
          <w:sz w:val="22"/>
          <w:szCs w:val="22"/>
        </w:rPr>
        <w:t xml:space="preserve"> OSE </w:t>
      </w:r>
      <w:proofErr w:type="spellStart"/>
      <w:r>
        <w:rPr>
          <w:sz w:val="22"/>
          <w:szCs w:val="22"/>
        </w:rPr>
        <w:t>technician</w:t>
      </w:r>
      <w:proofErr w:type="spellEnd"/>
      <w:r>
        <w:rPr>
          <w:sz w:val="22"/>
          <w:szCs w:val="22"/>
        </w:rPr>
        <w:t xml:space="preserve"> </w:t>
      </w:r>
      <w:proofErr w:type="spellStart"/>
      <w:r>
        <w:rPr>
          <w:sz w:val="22"/>
          <w:szCs w:val="22"/>
        </w:rPr>
        <w:t>will</w:t>
      </w:r>
      <w:proofErr w:type="spellEnd"/>
      <w:r>
        <w:rPr>
          <w:sz w:val="22"/>
          <w:szCs w:val="22"/>
        </w:rPr>
        <w:t xml:space="preserve"> </w:t>
      </w:r>
      <w:proofErr w:type="spellStart"/>
      <w:r>
        <w:rPr>
          <w:sz w:val="22"/>
          <w:szCs w:val="22"/>
        </w:rPr>
        <w:t>pass</w:t>
      </w:r>
      <w:proofErr w:type="spellEnd"/>
      <w:r>
        <w:rPr>
          <w:sz w:val="22"/>
          <w:szCs w:val="22"/>
        </w:rPr>
        <w:t xml:space="preserve"> </w:t>
      </w:r>
      <w:proofErr w:type="spellStart"/>
      <w:r>
        <w:rPr>
          <w:sz w:val="22"/>
          <w:szCs w:val="22"/>
        </w:rPr>
        <w:t>water</w:t>
      </w:r>
      <w:proofErr w:type="spellEnd"/>
      <w:r>
        <w:rPr>
          <w:sz w:val="22"/>
          <w:szCs w:val="22"/>
        </w:rPr>
        <w:t xml:space="preserve"> </w:t>
      </w:r>
      <w:proofErr w:type="spellStart"/>
      <w:r>
        <w:rPr>
          <w:sz w:val="22"/>
          <w:szCs w:val="22"/>
        </w:rPr>
        <w:t>through</w:t>
      </w:r>
      <w:proofErr w:type="spellEnd"/>
      <w:r>
        <w:rPr>
          <w:sz w:val="22"/>
          <w:szCs w:val="22"/>
        </w:rPr>
        <w:t xml:space="preserve"> </w:t>
      </w:r>
      <w:proofErr w:type="spellStart"/>
      <w:r>
        <w:rPr>
          <w:sz w:val="22"/>
          <w:szCs w:val="22"/>
        </w:rPr>
        <w:t>the</w:t>
      </w:r>
      <w:proofErr w:type="spellEnd"/>
      <w:r>
        <w:rPr>
          <w:sz w:val="22"/>
          <w:szCs w:val="22"/>
        </w:rPr>
        <w:t xml:space="preserve"> </w:t>
      </w:r>
      <w:proofErr w:type="spellStart"/>
      <w:r>
        <w:rPr>
          <w:sz w:val="22"/>
          <w:szCs w:val="22"/>
        </w:rPr>
        <w:t>meters</w:t>
      </w:r>
      <w:proofErr w:type="spellEnd"/>
      <w:r>
        <w:rPr>
          <w:sz w:val="22"/>
          <w:szCs w:val="22"/>
        </w:rPr>
        <w:t xml:space="preserve"> </w:t>
      </w:r>
      <w:proofErr w:type="spellStart"/>
      <w:r>
        <w:rPr>
          <w:sz w:val="22"/>
          <w:szCs w:val="22"/>
        </w:rPr>
        <w:t>for</w:t>
      </w:r>
      <w:proofErr w:type="spellEnd"/>
      <w:r>
        <w:rPr>
          <w:sz w:val="22"/>
          <w:szCs w:val="22"/>
        </w:rPr>
        <w:t xml:space="preserve"> at </w:t>
      </w:r>
      <w:proofErr w:type="spellStart"/>
      <w:r>
        <w:rPr>
          <w:sz w:val="22"/>
          <w:szCs w:val="22"/>
        </w:rPr>
        <w:t>least</w:t>
      </w:r>
      <w:proofErr w:type="spellEnd"/>
      <w:r>
        <w:rPr>
          <w:sz w:val="22"/>
          <w:szCs w:val="22"/>
        </w:rPr>
        <w:t xml:space="preserve"> 45 minutes and </w:t>
      </w:r>
      <w:proofErr w:type="spellStart"/>
      <w:r>
        <w:rPr>
          <w:sz w:val="22"/>
          <w:szCs w:val="22"/>
        </w:rPr>
        <w:t>for</w:t>
      </w:r>
      <w:proofErr w:type="spellEnd"/>
      <w:r>
        <w:rPr>
          <w:sz w:val="22"/>
          <w:szCs w:val="22"/>
        </w:rPr>
        <w:t xml:space="preserve"> no more </w:t>
      </w:r>
      <w:proofErr w:type="spellStart"/>
      <w:r>
        <w:rPr>
          <w:sz w:val="22"/>
          <w:szCs w:val="22"/>
        </w:rPr>
        <w:t>than</w:t>
      </w:r>
      <w:proofErr w:type="spellEnd"/>
      <w:r>
        <w:rPr>
          <w:sz w:val="22"/>
          <w:szCs w:val="22"/>
        </w:rPr>
        <w:t xml:space="preserve"> 1 </w:t>
      </w:r>
      <w:proofErr w:type="spellStart"/>
      <w:r>
        <w:rPr>
          <w:sz w:val="22"/>
          <w:szCs w:val="22"/>
        </w:rPr>
        <w:t>hour</w:t>
      </w:r>
      <w:proofErr w:type="spellEnd"/>
      <w:r>
        <w:rPr>
          <w:sz w:val="22"/>
          <w:szCs w:val="22"/>
        </w:rPr>
        <w:t xml:space="preserve">, at </w:t>
      </w:r>
      <w:proofErr w:type="spellStart"/>
      <w:r>
        <w:rPr>
          <w:sz w:val="22"/>
          <w:szCs w:val="22"/>
        </w:rPr>
        <w:t>different</w:t>
      </w:r>
      <w:proofErr w:type="spellEnd"/>
      <w:r>
        <w:rPr>
          <w:sz w:val="22"/>
          <w:szCs w:val="22"/>
        </w:rPr>
        <w:t xml:space="preserve"> </w:t>
      </w:r>
      <w:proofErr w:type="spellStart"/>
      <w:r>
        <w:rPr>
          <w:sz w:val="22"/>
          <w:szCs w:val="22"/>
        </w:rPr>
        <w:t>flow</w:t>
      </w:r>
      <w:proofErr w:type="spellEnd"/>
      <w:r>
        <w:rPr>
          <w:sz w:val="22"/>
          <w:szCs w:val="22"/>
        </w:rPr>
        <w:t xml:space="preserve"> </w:t>
      </w:r>
      <w:proofErr w:type="spellStart"/>
      <w:r>
        <w:rPr>
          <w:sz w:val="22"/>
          <w:szCs w:val="22"/>
        </w:rPr>
        <w:t>rates</w:t>
      </w:r>
      <w:proofErr w:type="spellEnd"/>
      <w:r>
        <w:rPr>
          <w:sz w:val="22"/>
          <w:szCs w:val="22"/>
        </w:rPr>
        <w:t xml:space="preserve">, </w:t>
      </w:r>
      <w:proofErr w:type="spellStart"/>
      <w:r>
        <w:rPr>
          <w:sz w:val="22"/>
          <w:szCs w:val="22"/>
        </w:rPr>
        <w:t>during</w:t>
      </w:r>
      <w:proofErr w:type="spellEnd"/>
      <w:r>
        <w:rPr>
          <w:sz w:val="22"/>
          <w:szCs w:val="22"/>
        </w:rPr>
        <w:t xml:space="preserve"> </w:t>
      </w:r>
      <w:proofErr w:type="spellStart"/>
      <w:r>
        <w:rPr>
          <w:sz w:val="22"/>
          <w:szCs w:val="22"/>
        </w:rPr>
        <w:t>which</w:t>
      </w:r>
      <w:proofErr w:type="spellEnd"/>
      <w:r>
        <w:rPr>
          <w:sz w:val="22"/>
          <w:szCs w:val="22"/>
        </w:rPr>
        <w:t xml:space="preserve"> </w:t>
      </w:r>
      <w:proofErr w:type="spellStart"/>
      <w:r>
        <w:rPr>
          <w:sz w:val="22"/>
          <w:szCs w:val="22"/>
        </w:rPr>
        <w:t>the</w:t>
      </w:r>
      <w:proofErr w:type="spellEnd"/>
      <w:r>
        <w:rPr>
          <w:sz w:val="22"/>
          <w:szCs w:val="22"/>
        </w:rPr>
        <w:t xml:space="preserve"> </w:t>
      </w:r>
      <w:proofErr w:type="spellStart"/>
      <w:r>
        <w:rPr>
          <w:sz w:val="22"/>
          <w:szCs w:val="22"/>
        </w:rPr>
        <w:t>following</w:t>
      </w:r>
      <w:proofErr w:type="spellEnd"/>
      <w:r>
        <w:rPr>
          <w:sz w:val="22"/>
          <w:szCs w:val="22"/>
        </w:rPr>
        <w:t xml:space="preserve"> </w:t>
      </w:r>
      <w:proofErr w:type="spellStart"/>
      <w:r>
        <w:rPr>
          <w:sz w:val="22"/>
          <w:szCs w:val="22"/>
        </w:rPr>
        <w:t>tests</w:t>
      </w:r>
      <w:proofErr w:type="spellEnd"/>
      <w:r>
        <w:rPr>
          <w:sz w:val="22"/>
          <w:szCs w:val="22"/>
        </w:rPr>
        <w:t xml:space="preserve"> </w:t>
      </w:r>
      <w:proofErr w:type="spellStart"/>
      <w:r>
        <w:rPr>
          <w:sz w:val="22"/>
          <w:szCs w:val="22"/>
        </w:rPr>
        <w:t>will</w:t>
      </w:r>
      <w:proofErr w:type="spellEnd"/>
      <w:r>
        <w:rPr>
          <w:sz w:val="22"/>
          <w:szCs w:val="22"/>
        </w:rPr>
        <w:t xml:space="preserve"> be </w:t>
      </w:r>
      <w:proofErr w:type="spellStart"/>
      <w:r>
        <w:rPr>
          <w:sz w:val="22"/>
          <w:szCs w:val="22"/>
        </w:rPr>
        <w:t>carried</w:t>
      </w:r>
      <w:proofErr w:type="spellEnd"/>
      <w:r>
        <w:rPr>
          <w:sz w:val="22"/>
          <w:szCs w:val="22"/>
        </w:rPr>
        <w:t xml:space="preserve"> </w:t>
      </w:r>
      <w:proofErr w:type="spellStart"/>
      <w:r>
        <w:rPr>
          <w:sz w:val="22"/>
          <w:szCs w:val="22"/>
        </w:rPr>
        <w:t>out</w:t>
      </w:r>
      <w:proofErr w:type="spellEnd"/>
      <w:r>
        <w:rPr>
          <w:sz w:val="22"/>
          <w:szCs w:val="22"/>
        </w:rPr>
        <w:t xml:space="preserve">, </w:t>
      </w:r>
      <w:proofErr w:type="spellStart"/>
      <w:r>
        <w:rPr>
          <w:sz w:val="22"/>
          <w:szCs w:val="22"/>
        </w:rPr>
        <w:t>taking</w:t>
      </w:r>
      <w:proofErr w:type="spellEnd"/>
      <w:r>
        <w:rPr>
          <w:sz w:val="22"/>
          <w:szCs w:val="22"/>
        </w:rPr>
        <w:t xml:space="preserve"> note </w:t>
      </w:r>
      <w:proofErr w:type="spellStart"/>
      <w:r>
        <w:rPr>
          <w:sz w:val="22"/>
          <w:szCs w:val="22"/>
        </w:rPr>
        <w:t>of</w:t>
      </w:r>
      <w:proofErr w:type="spellEnd"/>
      <w:r>
        <w:rPr>
          <w:sz w:val="22"/>
          <w:szCs w:val="22"/>
        </w:rPr>
        <w:t xml:space="preserve"> </w:t>
      </w:r>
      <w:proofErr w:type="spellStart"/>
      <w:r>
        <w:rPr>
          <w:sz w:val="22"/>
          <w:szCs w:val="22"/>
        </w:rPr>
        <w:t>the</w:t>
      </w:r>
      <w:proofErr w:type="spellEnd"/>
      <w:r>
        <w:rPr>
          <w:sz w:val="22"/>
          <w:szCs w:val="22"/>
        </w:rPr>
        <w:t xml:space="preserve"> </w:t>
      </w:r>
      <w:proofErr w:type="spellStart"/>
      <w:r>
        <w:rPr>
          <w:sz w:val="22"/>
          <w:szCs w:val="22"/>
        </w:rPr>
        <w:t>initial</w:t>
      </w:r>
      <w:proofErr w:type="spellEnd"/>
      <w:r>
        <w:rPr>
          <w:sz w:val="22"/>
          <w:szCs w:val="22"/>
        </w:rPr>
        <w:t xml:space="preserve"> and final </w:t>
      </w:r>
      <w:proofErr w:type="spellStart"/>
      <w:r>
        <w:rPr>
          <w:sz w:val="22"/>
          <w:szCs w:val="22"/>
        </w:rPr>
        <w:t>readings</w:t>
      </w:r>
      <w:proofErr w:type="spellEnd"/>
      <w:r>
        <w:rPr>
          <w:sz w:val="22"/>
          <w:szCs w:val="22"/>
        </w:rPr>
        <w:t xml:space="preserve">, as </w:t>
      </w:r>
      <w:proofErr w:type="spellStart"/>
      <w:r>
        <w:rPr>
          <w:sz w:val="22"/>
          <w:szCs w:val="22"/>
        </w:rPr>
        <w:t>well</w:t>
      </w:r>
      <w:proofErr w:type="spellEnd"/>
      <w:r>
        <w:rPr>
          <w:sz w:val="22"/>
          <w:szCs w:val="22"/>
        </w:rPr>
        <w:t xml:space="preserve"> as </w:t>
      </w:r>
      <w:proofErr w:type="spellStart"/>
      <w:r>
        <w:rPr>
          <w:sz w:val="22"/>
          <w:szCs w:val="22"/>
        </w:rPr>
        <w:t>any</w:t>
      </w:r>
      <w:proofErr w:type="spellEnd"/>
      <w:r>
        <w:rPr>
          <w:sz w:val="22"/>
          <w:szCs w:val="22"/>
        </w:rPr>
        <w:t xml:space="preserve"> </w:t>
      </w:r>
      <w:proofErr w:type="spellStart"/>
      <w:r>
        <w:rPr>
          <w:sz w:val="22"/>
          <w:szCs w:val="22"/>
        </w:rPr>
        <w:t>corresponding</w:t>
      </w:r>
      <w:proofErr w:type="spellEnd"/>
      <w:r>
        <w:rPr>
          <w:sz w:val="22"/>
          <w:szCs w:val="22"/>
        </w:rPr>
        <w:t xml:space="preserve"> </w:t>
      </w:r>
      <w:proofErr w:type="spellStart"/>
      <w:r>
        <w:rPr>
          <w:sz w:val="22"/>
          <w:szCs w:val="22"/>
        </w:rPr>
        <w:t>intermediate</w:t>
      </w:r>
      <w:proofErr w:type="spellEnd"/>
      <w:r>
        <w:rPr>
          <w:sz w:val="22"/>
          <w:szCs w:val="22"/>
        </w:rPr>
        <w:t xml:space="preserve"> </w:t>
      </w:r>
      <w:proofErr w:type="spellStart"/>
      <w:r>
        <w:rPr>
          <w:sz w:val="22"/>
          <w:szCs w:val="22"/>
        </w:rPr>
        <w:t>readings</w:t>
      </w:r>
      <w:proofErr w:type="spellEnd"/>
      <w:r>
        <w:rPr>
          <w:sz w:val="22"/>
          <w:szCs w:val="22"/>
        </w:rPr>
        <w:t xml:space="preserve"> and </w:t>
      </w:r>
      <w:proofErr w:type="spellStart"/>
      <w:r>
        <w:rPr>
          <w:sz w:val="22"/>
          <w:szCs w:val="22"/>
        </w:rPr>
        <w:t>the</w:t>
      </w:r>
      <w:proofErr w:type="spellEnd"/>
      <w:r>
        <w:rPr>
          <w:sz w:val="22"/>
          <w:szCs w:val="22"/>
        </w:rPr>
        <w:t xml:space="preserve"> time at </w:t>
      </w:r>
      <w:proofErr w:type="spellStart"/>
      <w:r>
        <w:rPr>
          <w:sz w:val="22"/>
          <w:szCs w:val="22"/>
        </w:rPr>
        <w:t>which</w:t>
      </w:r>
      <w:proofErr w:type="spellEnd"/>
      <w:r>
        <w:rPr>
          <w:sz w:val="22"/>
          <w:szCs w:val="22"/>
        </w:rPr>
        <w:t xml:space="preserve"> </w:t>
      </w:r>
      <w:proofErr w:type="spellStart"/>
      <w:r>
        <w:rPr>
          <w:sz w:val="22"/>
          <w:szCs w:val="22"/>
        </w:rPr>
        <w:t>they</w:t>
      </w:r>
      <w:proofErr w:type="spellEnd"/>
      <w:r>
        <w:rPr>
          <w:sz w:val="22"/>
          <w:szCs w:val="22"/>
        </w:rPr>
        <w:t xml:space="preserve"> are </w:t>
      </w:r>
      <w:proofErr w:type="spellStart"/>
      <w:r>
        <w:rPr>
          <w:sz w:val="22"/>
          <w:szCs w:val="22"/>
        </w:rPr>
        <w:t>performed</w:t>
      </w:r>
      <w:proofErr w:type="spellEnd"/>
      <w:r>
        <w:rPr>
          <w:sz w:val="22"/>
          <w:szCs w:val="22"/>
        </w:rPr>
        <w:t>.</w:t>
      </w:r>
    </w:p>
    <w:p w14:paraId="267ED862" w14:textId="77777777" w:rsidR="00E255F4" w:rsidRDefault="00000000">
      <w:pPr>
        <w:pStyle w:val="Prrafodelista"/>
        <w:numPr>
          <w:ilvl w:val="1"/>
          <w:numId w:val="42"/>
        </w:numPr>
        <w:ind w:left="1702" w:hanging="142"/>
        <w:jc w:val="both"/>
        <w:rPr>
          <w:sz w:val="22"/>
          <w:szCs w:val="22"/>
          <w:lang w:val="es-UY"/>
        </w:rPr>
      </w:pPr>
      <w:r>
        <w:rPr>
          <w:sz w:val="22"/>
          <w:szCs w:val="22"/>
          <w:lang w:val="es-UY"/>
        </w:rPr>
        <w:t xml:space="preserve">Data </w:t>
      </w:r>
      <w:proofErr w:type="spellStart"/>
      <w:r>
        <w:rPr>
          <w:sz w:val="22"/>
          <w:szCs w:val="22"/>
          <w:lang w:val="es-UY"/>
        </w:rPr>
        <w:t>generation</w:t>
      </w:r>
      <w:proofErr w:type="spellEnd"/>
    </w:p>
    <w:p w14:paraId="6B3FF47A" w14:textId="77777777" w:rsidR="00E255F4" w:rsidRDefault="00000000">
      <w:pPr>
        <w:pStyle w:val="Prrafodelista"/>
        <w:spacing w:after="120"/>
        <w:ind w:left="1702"/>
        <w:jc w:val="both"/>
        <w:rPr>
          <w:sz w:val="22"/>
          <w:szCs w:val="22"/>
          <w:lang w:val="es-UY"/>
        </w:rPr>
      </w:pPr>
      <w:r>
        <w:rPr>
          <w:sz w:val="22"/>
          <w:szCs w:val="22"/>
          <w:lang w:val="es-UY"/>
        </w:rPr>
        <w:t xml:space="preserve">During </w:t>
      </w:r>
      <w:proofErr w:type="spellStart"/>
      <w:r>
        <w:rPr>
          <w:sz w:val="22"/>
          <w:szCs w:val="22"/>
          <w:lang w:val="es-UY"/>
        </w:rPr>
        <w:t>the</w:t>
      </w:r>
      <w:proofErr w:type="spellEnd"/>
      <w:r>
        <w:rPr>
          <w:sz w:val="22"/>
          <w:szCs w:val="22"/>
          <w:lang w:val="es-UY"/>
        </w:rPr>
        <w:t xml:space="preserve"> time </w:t>
      </w:r>
      <w:proofErr w:type="spellStart"/>
      <w:r>
        <w:rPr>
          <w:sz w:val="22"/>
          <w:szCs w:val="22"/>
          <w:lang w:val="es-UY"/>
        </w:rPr>
        <w:t>that</w:t>
      </w:r>
      <w:proofErr w:type="spellEnd"/>
      <w:r>
        <w:rPr>
          <w:sz w:val="22"/>
          <w:szCs w:val="22"/>
          <w:lang w:val="es-UY"/>
        </w:rPr>
        <w:t xml:space="preserve"> </w:t>
      </w:r>
      <w:proofErr w:type="spellStart"/>
      <w:r>
        <w:rPr>
          <w:sz w:val="22"/>
          <w:szCs w:val="22"/>
          <w:lang w:val="es-UY"/>
        </w:rPr>
        <w:t>the</w:t>
      </w:r>
      <w:proofErr w:type="spellEnd"/>
      <w:r>
        <w:rPr>
          <w:sz w:val="22"/>
          <w:szCs w:val="22"/>
          <w:lang w:val="es-UY"/>
        </w:rPr>
        <w:t xml:space="preserve"> </w:t>
      </w:r>
      <w:proofErr w:type="spellStart"/>
      <w:r>
        <w:rPr>
          <w:sz w:val="22"/>
          <w:szCs w:val="22"/>
          <w:lang w:val="es-UY"/>
        </w:rPr>
        <w:t>water</w:t>
      </w:r>
      <w:proofErr w:type="spellEnd"/>
      <w:r>
        <w:rPr>
          <w:sz w:val="22"/>
          <w:szCs w:val="22"/>
          <w:lang w:val="es-UY"/>
        </w:rPr>
        <w:t xml:space="preserve"> </w:t>
      </w:r>
      <w:proofErr w:type="spellStart"/>
      <w:r>
        <w:rPr>
          <w:sz w:val="22"/>
          <w:szCs w:val="22"/>
          <w:lang w:val="es-UY"/>
        </w:rPr>
        <w:t>passes</w:t>
      </w:r>
      <w:proofErr w:type="spellEnd"/>
      <w:r>
        <w:rPr>
          <w:sz w:val="22"/>
          <w:szCs w:val="22"/>
          <w:lang w:val="es-UY"/>
        </w:rPr>
        <w:t xml:space="preserve"> </w:t>
      </w:r>
      <w:proofErr w:type="spellStart"/>
      <w:r>
        <w:rPr>
          <w:sz w:val="22"/>
          <w:szCs w:val="22"/>
          <w:lang w:val="es-UY"/>
        </w:rPr>
        <w:t>through</w:t>
      </w:r>
      <w:proofErr w:type="spellEnd"/>
      <w:r>
        <w:rPr>
          <w:sz w:val="22"/>
          <w:szCs w:val="22"/>
          <w:lang w:val="es-UY"/>
        </w:rPr>
        <w:t xml:space="preserve"> </w:t>
      </w:r>
      <w:proofErr w:type="spellStart"/>
      <w:r>
        <w:rPr>
          <w:sz w:val="22"/>
          <w:szCs w:val="22"/>
          <w:lang w:val="es-UY"/>
        </w:rPr>
        <w:t>the</w:t>
      </w:r>
      <w:proofErr w:type="spellEnd"/>
      <w:r>
        <w:rPr>
          <w:sz w:val="22"/>
          <w:szCs w:val="22"/>
          <w:lang w:val="es-UY"/>
        </w:rPr>
        <w:t xml:space="preserve"> </w:t>
      </w:r>
      <w:proofErr w:type="spellStart"/>
      <w:r>
        <w:rPr>
          <w:sz w:val="22"/>
          <w:szCs w:val="22"/>
          <w:lang w:val="es-UY"/>
        </w:rPr>
        <w:t>meters</w:t>
      </w:r>
      <w:proofErr w:type="spellEnd"/>
      <w:r>
        <w:rPr>
          <w:sz w:val="22"/>
          <w:szCs w:val="22"/>
          <w:lang w:val="es-UY"/>
        </w:rPr>
        <w:t xml:space="preserve">, </w:t>
      </w:r>
      <w:proofErr w:type="spellStart"/>
      <w:r>
        <w:rPr>
          <w:sz w:val="22"/>
          <w:szCs w:val="22"/>
          <w:lang w:val="es-UY"/>
        </w:rPr>
        <w:t>the</w:t>
      </w:r>
      <w:proofErr w:type="spellEnd"/>
      <w:r>
        <w:rPr>
          <w:sz w:val="22"/>
          <w:szCs w:val="22"/>
          <w:lang w:val="es-UY"/>
        </w:rPr>
        <w:t xml:space="preserve"> </w:t>
      </w:r>
      <w:proofErr w:type="spellStart"/>
      <w:r>
        <w:rPr>
          <w:sz w:val="22"/>
          <w:szCs w:val="22"/>
          <w:lang w:val="es-UY"/>
        </w:rPr>
        <w:t>smart</w:t>
      </w:r>
      <w:proofErr w:type="spellEnd"/>
      <w:r>
        <w:rPr>
          <w:sz w:val="22"/>
          <w:szCs w:val="22"/>
          <w:lang w:val="es-UY"/>
        </w:rPr>
        <w:t xml:space="preserve"> meter </w:t>
      </w:r>
      <w:proofErr w:type="spellStart"/>
      <w:r>
        <w:rPr>
          <w:sz w:val="22"/>
          <w:szCs w:val="22"/>
          <w:lang w:val="es-UY"/>
        </w:rPr>
        <w:t>will</w:t>
      </w:r>
      <w:proofErr w:type="spellEnd"/>
      <w:r>
        <w:rPr>
          <w:sz w:val="22"/>
          <w:szCs w:val="22"/>
          <w:lang w:val="es-UY"/>
        </w:rPr>
        <w:t xml:space="preserve"> </w:t>
      </w:r>
      <w:proofErr w:type="spellStart"/>
      <w:r>
        <w:rPr>
          <w:sz w:val="22"/>
          <w:szCs w:val="22"/>
          <w:lang w:val="es-UY"/>
        </w:rPr>
        <w:t>process</w:t>
      </w:r>
      <w:proofErr w:type="spellEnd"/>
      <w:r>
        <w:rPr>
          <w:sz w:val="22"/>
          <w:szCs w:val="22"/>
          <w:lang w:val="es-UY"/>
        </w:rPr>
        <w:t xml:space="preserve"> </w:t>
      </w:r>
      <w:proofErr w:type="spellStart"/>
      <w:r>
        <w:rPr>
          <w:sz w:val="22"/>
          <w:szCs w:val="22"/>
          <w:lang w:val="es-UY"/>
        </w:rPr>
        <w:t>the</w:t>
      </w:r>
      <w:proofErr w:type="spellEnd"/>
      <w:r>
        <w:rPr>
          <w:sz w:val="22"/>
          <w:szCs w:val="22"/>
          <w:lang w:val="es-UY"/>
        </w:rPr>
        <w:t xml:space="preserve"> </w:t>
      </w:r>
      <w:proofErr w:type="spellStart"/>
      <w:r>
        <w:rPr>
          <w:sz w:val="22"/>
          <w:szCs w:val="22"/>
          <w:lang w:val="es-UY"/>
        </w:rPr>
        <w:t>information</w:t>
      </w:r>
      <w:proofErr w:type="spellEnd"/>
      <w:r>
        <w:rPr>
          <w:sz w:val="22"/>
          <w:szCs w:val="22"/>
          <w:lang w:val="es-UY"/>
        </w:rPr>
        <w:t xml:space="preserve"> and store </w:t>
      </w:r>
      <w:proofErr w:type="spellStart"/>
      <w:r>
        <w:rPr>
          <w:sz w:val="22"/>
          <w:szCs w:val="22"/>
          <w:lang w:val="es-UY"/>
        </w:rPr>
        <w:t>the</w:t>
      </w:r>
      <w:proofErr w:type="spellEnd"/>
      <w:r>
        <w:rPr>
          <w:sz w:val="22"/>
          <w:szCs w:val="22"/>
          <w:lang w:val="es-UY"/>
        </w:rPr>
        <w:t xml:space="preserve"> meter </w:t>
      </w:r>
      <w:proofErr w:type="spellStart"/>
      <w:r>
        <w:rPr>
          <w:sz w:val="22"/>
          <w:szCs w:val="22"/>
          <w:lang w:val="es-UY"/>
        </w:rPr>
        <w:t>reading</w:t>
      </w:r>
      <w:proofErr w:type="spellEnd"/>
      <w:r>
        <w:rPr>
          <w:sz w:val="22"/>
          <w:szCs w:val="22"/>
          <w:lang w:val="es-UY"/>
        </w:rPr>
        <w:t xml:space="preserve"> data at </w:t>
      </w:r>
      <w:proofErr w:type="spellStart"/>
      <w:r>
        <w:rPr>
          <w:sz w:val="22"/>
          <w:szCs w:val="22"/>
          <w:lang w:val="es-UY"/>
        </w:rPr>
        <w:t>intervals</w:t>
      </w:r>
      <w:proofErr w:type="spellEnd"/>
      <w:r>
        <w:rPr>
          <w:sz w:val="22"/>
          <w:szCs w:val="22"/>
          <w:lang w:val="es-UY"/>
        </w:rPr>
        <w:t xml:space="preserve"> </w:t>
      </w:r>
      <w:proofErr w:type="spellStart"/>
      <w:r>
        <w:rPr>
          <w:sz w:val="22"/>
          <w:szCs w:val="22"/>
          <w:lang w:val="es-UY"/>
        </w:rPr>
        <w:t>of</w:t>
      </w:r>
      <w:proofErr w:type="spellEnd"/>
      <w:r>
        <w:rPr>
          <w:sz w:val="22"/>
          <w:szCs w:val="22"/>
          <w:lang w:val="es-UY"/>
        </w:rPr>
        <w:t xml:space="preserve"> 10 </w:t>
      </w:r>
      <w:proofErr w:type="spellStart"/>
      <w:r>
        <w:rPr>
          <w:sz w:val="22"/>
          <w:szCs w:val="22"/>
          <w:lang w:val="es-UY"/>
        </w:rPr>
        <w:t>or</w:t>
      </w:r>
      <w:proofErr w:type="spellEnd"/>
      <w:r>
        <w:rPr>
          <w:sz w:val="22"/>
          <w:szCs w:val="22"/>
          <w:lang w:val="es-UY"/>
        </w:rPr>
        <w:t xml:space="preserve"> 15 minutes, </w:t>
      </w:r>
      <w:proofErr w:type="spellStart"/>
      <w:r>
        <w:rPr>
          <w:sz w:val="22"/>
          <w:szCs w:val="22"/>
          <w:lang w:val="es-UY"/>
        </w:rPr>
        <w:t>depending</w:t>
      </w:r>
      <w:proofErr w:type="spellEnd"/>
      <w:r>
        <w:rPr>
          <w:sz w:val="22"/>
          <w:szCs w:val="22"/>
          <w:lang w:val="es-UY"/>
        </w:rPr>
        <w:t xml:space="preserve"> </w:t>
      </w:r>
      <w:proofErr w:type="spellStart"/>
      <w:r>
        <w:rPr>
          <w:sz w:val="22"/>
          <w:szCs w:val="22"/>
          <w:lang w:val="es-UY"/>
        </w:rPr>
        <w:t>on</w:t>
      </w:r>
      <w:proofErr w:type="spellEnd"/>
      <w:r>
        <w:rPr>
          <w:sz w:val="22"/>
          <w:szCs w:val="22"/>
          <w:lang w:val="es-UY"/>
        </w:rPr>
        <w:t xml:space="preserve"> </w:t>
      </w:r>
      <w:proofErr w:type="spellStart"/>
      <w:r>
        <w:rPr>
          <w:sz w:val="22"/>
          <w:szCs w:val="22"/>
          <w:lang w:val="es-UY"/>
        </w:rPr>
        <w:t>the</w:t>
      </w:r>
      <w:proofErr w:type="spellEnd"/>
      <w:r>
        <w:rPr>
          <w:sz w:val="22"/>
          <w:szCs w:val="22"/>
          <w:lang w:val="es-UY"/>
        </w:rPr>
        <w:t xml:space="preserve"> </w:t>
      </w:r>
      <w:proofErr w:type="spellStart"/>
      <w:r>
        <w:rPr>
          <w:sz w:val="22"/>
          <w:szCs w:val="22"/>
          <w:lang w:val="es-UY"/>
        </w:rPr>
        <w:t>characteristics</w:t>
      </w:r>
      <w:proofErr w:type="spellEnd"/>
      <w:r>
        <w:rPr>
          <w:sz w:val="22"/>
          <w:szCs w:val="22"/>
          <w:lang w:val="es-UY"/>
        </w:rPr>
        <w:t xml:space="preserve"> </w:t>
      </w:r>
      <w:proofErr w:type="spellStart"/>
      <w:r>
        <w:rPr>
          <w:sz w:val="22"/>
          <w:szCs w:val="22"/>
          <w:lang w:val="es-UY"/>
        </w:rPr>
        <w:t>of</w:t>
      </w:r>
      <w:proofErr w:type="spellEnd"/>
      <w:r>
        <w:rPr>
          <w:sz w:val="22"/>
          <w:szCs w:val="22"/>
          <w:lang w:val="es-UY"/>
        </w:rPr>
        <w:t xml:space="preserve"> </w:t>
      </w:r>
      <w:proofErr w:type="spellStart"/>
      <w:r>
        <w:rPr>
          <w:sz w:val="22"/>
          <w:szCs w:val="22"/>
          <w:lang w:val="es-UY"/>
        </w:rPr>
        <w:t>the</w:t>
      </w:r>
      <w:proofErr w:type="spellEnd"/>
      <w:r>
        <w:rPr>
          <w:sz w:val="22"/>
          <w:szCs w:val="22"/>
          <w:lang w:val="es-UY"/>
        </w:rPr>
        <w:t xml:space="preserve"> </w:t>
      </w:r>
      <w:proofErr w:type="spellStart"/>
      <w:r>
        <w:rPr>
          <w:sz w:val="22"/>
          <w:szCs w:val="22"/>
          <w:lang w:val="es-UY"/>
        </w:rPr>
        <w:t>telemetry</w:t>
      </w:r>
      <w:proofErr w:type="spellEnd"/>
      <w:r>
        <w:rPr>
          <w:sz w:val="22"/>
          <w:szCs w:val="22"/>
          <w:lang w:val="es-UY"/>
        </w:rPr>
        <w:t xml:space="preserve"> </w:t>
      </w:r>
      <w:proofErr w:type="spellStart"/>
      <w:r>
        <w:rPr>
          <w:sz w:val="22"/>
          <w:szCs w:val="22"/>
          <w:lang w:val="es-UY"/>
        </w:rPr>
        <w:t>device</w:t>
      </w:r>
      <w:proofErr w:type="spellEnd"/>
      <w:r>
        <w:rPr>
          <w:sz w:val="22"/>
          <w:szCs w:val="22"/>
          <w:lang w:val="es-UY"/>
        </w:rPr>
        <w:t>.</w:t>
      </w:r>
    </w:p>
    <w:p w14:paraId="0F92D419" w14:textId="77777777" w:rsidR="00E255F4" w:rsidRDefault="00000000">
      <w:pPr>
        <w:pStyle w:val="Prrafodelista"/>
        <w:numPr>
          <w:ilvl w:val="1"/>
          <w:numId w:val="42"/>
        </w:numPr>
        <w:ind w:left="1702" w:hanging="142"/>
        <w:jc w:val="both"/>
        <w:rPr>
          <w:sz w:val="22"/>
          <w:szCs w:val="22"/>
          <w:lang w:val="es-UY"/>
        </w:rPr>
      </w:pPr>
      <w:proofErr w:type="spellStart"/>
      <w:r>
        <w:rPr>
          <w:sz w:val="22"/>
          <w:szCs w:val="22"/>
          <w:lang w:val="es-UY"/>
        </w:rPr>
        <w:t>Connectivity</w:t>
      </w:r>
      <w:proofErr w:type="spellEnd"/>
      <w:r>
        <w:rPr>
          <w:sz w:val="22"/>
          <w:szCs w:val="22"/>
          <w:lang w:val="es-UY"/>
        </w:rPr>
        <w:t xml:space="preserve"> test</w:t>
      </w:r>
    </w:p>
    <w:p w14:paraId="0EDF8C97" w14:textId="77777777" w:rsidR="00E255F4" w:rsidRDefault="00000000">
      <w:pPr>
        <w:pStyle w:val="Prrafodelista"/>
        <w:spacing w:after="120"/>
        <w:ind w:left="1702"/>
        <w:jc w:val="both"/>
      </w:pPr>
      <w:r>
        <w:rPr>
          <w:sz w:val="22"/>
          <w:szCs w:val="22"/>
          <w:lang w:val="es-UY"/>
        </w:rPr>
        <w:t xml:space="preserve">Once </w:t>
      </w:r>
      <w:proofErr w:type="spellStart"/>
      <w:r>
        <w:rPr>
          <w:sz w:val="22"/>
          <w:szCs w:val="22"/>
          <w:lang w:val="es-UY"/>
        </w:rPr>
        <w:t>the</w:t>
      </w:r>
      <w:proofErr w:type="spellEnd"/>
      <w:r>
        <w:rPr>
          <w:sz w:val="22"/>
          <w:szCs w:val="22"/>
          <w:lang w:val="es-UY"/>
        </w:rPr>
        <w:t xml:space="preserve"> </w:t>
      </w:r>
      <w:proofErr w:type="spellStart"/>
      <w:r>
        <w:rPr>
          <w:sz w:val="22"/>
          <w:szCs w:val="22"/>
          <w:lang w:val="es-UY"/>
        </w:rPr>
        <w:t>previous</w:t>
      </w:r>
      <w:proofErr w:type="spellEnd"/>
      <w:r>
        <w:rPr>
          <w:sz w:val="22"/>
          <w:szCs w:val="22"/>
          <w:lang w:val="es-UY"/>
        </w:rPr>
        <w:t xml:space="preserve"> </w:t>
      </w:r>
      <w:proofErr w:type="spellStart"/>
      <w:r>
        <w:rPr>
          <w:sz w:val="22"/>
          <w:szCs w:val="22"/>
          <w:lang w:val="es-UY"/>
        </w:rPr>
        <w:t>stage</w:t>
      </w:r>
      <w:proofErr w:type="spellEnd"/>
      <w:r>
        <w:rPr>
          <w:sz w:val="22"/>
          <w:szCs w:val="22"/>
          <w:lang w:val="es-UY"/>
        </w:rPr>
        <w:t xml:space="preserve"> </w:t>
      </w:r>
      <w:proofErr w:type="spellStart"/>
      <w:r>
        <w:rPr>
          <w:sz w:val="22"/>
          <w:szCs w:val="22"/>
          <w:lang w:val="es-UY"/>
        </w:rPr>
        <w:t>is</w:t>
      </w:r>
      <w:proofErr w:type="spellEnd"/>
      <w:r>
        <w:rPr>
          <w:sz w:val="22"/>
          <w:szCs w:val="22"/>
          <w:lang w:val="es-UY"/>
        </w:rPr>
        <w:t xml:space="preserve"> </w:t>
      </w:r>
      <w:proofErr w:type="spellStart"/>
      <w:r>
        <w:rPr>
          <w:sz w:val="22"/>
          <w:szCs w:val="22"/>
          <w:lang w:val="es-UY"/>
        </w:rPr>
        <w:t>completed</w:t>
      </w:r>
      <w:proofErr w:type="spellEnd"/>
      <w:r>
        <w:rPr>
          <w:sz w:val="22"/>
          <w:szCs w:val="22"/>
          <w:lang w:val="es-UY"/>
        </w:rPr>
        <w:t xml:space="preserve">, </w:t>
      </w:r>
      <w:proofErr w:type="spellStart"/>
      <w:r>
        <w:rPr>
          <w:sz w:val="22"/>
          <w:szCs w:val="22"/>
          <w:lang w:val="es-UY"/>
        </w:rPr>
        <w:t>the</w:t>
      </w:r>
      <w:proofErr w:type="spellEnd"/>
      <w:r>
        <w:rPr>
          <w:sz w:val="22"/>
          <w:szCs w:val="22"/>
          <w:lang w:val="es-UY"/>
        </w:rPr>
        <w:t xml:space="preserve"> </w:t>
      </w:r>
      <w:proofErr w:type="spellStart"/>
      <w:r>
        <w:rPr>
          <w:sz w:val="22"/>
          <w:szCs w:val="22"/>
          <w:lang w:val="es-UY"/>
        </w:rPr>
        <w:t>bidder</w:t>
      </w:r>
      <w:proofErr w:type="spellEnd"/>
      <w:r>
        <w:rPr>
          <w:sz w:val="22"/>
          <w:szCs w:val="22"/>
          <w:lang w:val="es-UY"/>
        </w:rPr>
        <w:t xml:space="preserve"> </w:t>
      </w:r>
      <w:proofErr w:type="spellStart"/>
      <w:r>
        <w:rPr>
          <w:sz w:val="22"/>
          <w:szCs w:val="22"/>
          <w:lang w:val="es-UY"/>
        </w:rPr>
        <w:t>will</w:t>
      </w:r>
      <w:proofErr w:type="spellEnd"/>
      <w:r>
        <w:rPr>
          <w:sz w:val="22"/>
          <w:szCs w:val="22"/>
          <w:lang w:val="es-UY"/>
        </w:rPr>
        <w:t xml:space="preserve"> </w:t>
      </w:r>
      <w:proofErr w:type="spellStart"/>
      <w:r>
        <w:rPr>
          <w:sz w:val="22"/>
          <w:szCs w:val="22"/>
          <w:lang w:val="es-UY"/>
        </w:rPr>
        <w:t>establish</w:t>
      </w:r>
      <w:proofErr w:type="spellEnd"/>
      <w:r>
        <w:rPr>
          <w:sz w:val="22"/>
          <w:szCs w:val="22"/>
          <w:lang w:val="es-UY"/>
        </w:rPr>
        <w:t xml:space="preserve"> a </w:t>
      </w:r>
      <w:proofErr w:type="spellStart"/>
      <w:r>
        <w:rPr>
          <w:sz w:val="22"/>
          <w:szCs w:val="22"/>
          <w:lang w:val="es-UY"/>
        </w:rPr>
        <w:t>connection</w:t>
      </w:r>
      <w:proofErr w:type="spellEnd"/>
      <w:r>
        <w:rPr>
          <w:sz w:val="22"/>
          <w:szCs w:val="22"/>
          <w:lang w:val="es-UY"/>
        </w:rPr>
        <w:t xml:space="preserve"> </w:t>
      </w:r>
      <w:proofErr w:type="spellStart"/>
      <w:r>
        <w:rPr>
          <w:sz w:val="22"/>
          <w:szCs w:val="22"/>
          <w:lang w:val="es-UY"/>
        </w:rPr>
        <w:t>with</w:t>
      </w:r>
      <w:proofErr w:type="spellEnd"/>
      <w:r>
        <w:rPr>
          <w:sz w:val="22"/>
          <w:szCs w:val="22"/>
          <w:lang w:val="es-UY"/>
        </w:rPr>
        <w:t xml:space="preserve"> </w:t>
      </w:r>
      <w:proofErr w:type="spellStart"/>
      <w:r>
        <w:rPr>
          <w:sz w:val="22"/>
          <w:szCs w:val="22"/>
          <w:lang w:val="es-UY"/>
        </w:rPr>
        <w:t>the</w:t>
      </w:r>
      <w:proofErr w:type="spellEnd"/>
      <w:r>
        <w:rPr>
          <w:sz w:val="22"/>
          <w:szCs w:val="22"/>
          <w:lang w:val="es-UY"/>
        </w:rPr>
        <w:t xml:space="preserve"> </w:t>
      </w:r>
      <w:proofErr w:type="spellStart"/>
      <w:r>
        <w:rPr>
          <w:sz w:val="22"/>
          <w:szCs w:val="22"/>
          <w:lang w:val="es-UY"/>
        </w:rPr>
        <w:t>cellular</w:t>
      </w:r>
      <w:proofErr w:type="spellEnd"/>
      <w:r>
        <w:rPr>
          <w:sz w:val="22"/>
          <w:szCs w:val="22"/>
          <w:lang w:val="es-UY"/>
        </w:rPr>
        <w:t xml:space="preserve"> </w:t>
      </w:r>
      <w:proofErr w:type="spellStart"/>
      <w:r>
        <w:rPr>
          <w:sz w:val="22"/>
          <w:szCs w:val="22"/>
          <w:lang w:val="es-UY"/>
        </w:rPr>
        <w:t>network</w:t>
      </w:r>
      <w:proofErr w:type="spellEnd"/>
      <w:r>
        <w:rPr>
          <w:sz w:val="22"/>
          <w:szCs w:val="22"/>
          <w:lang w:val="es-UY"/>
        </w:rPr>
        <w:t xml:space="preserve">. Up </w:t>
      </w:r>
      <w:proofErr w:type="spellStart"/>
      <w:r>
        <w:rPr>
          <w:sz w:val="22"/>
          <w:szCs w:val="22"/>
          <w:lang w:val="es-UY"/>
        </w:rPr>
        <w:t>to</w:t>
      </w:r>
      <w:proofErr w:type="spellEnd"/>
      <w:r>
        <w:rPr>
          <w:sz w:val="22"/>
          <w:szCs w:val="22"/>
          <w:lang w:val="es-UY"/>
        </w:rPr>
        <w:t xml:space="preserve"> 3 </w:t>
      </w:r>
      <w:proofErr w:type="spellStart"/>
      <w:r>
        <w:rPr>
          <w:sz w:val="22"/>
          <w:szCs w:val="22"/>
          <w:lang w:val="es-UY"/>
        </w:rPr>
        <w:t>failed</w:t>
      </w:r>
      <w:proofErr w:type="spellEnd"/>
      <w:r>
        <w:rPr>
          <w:sz w:val="22"/>
          <w:szCs w:val="22"/>
          <w:lang w:val="es-UY"/>
        </w:rPr>
        <w:t xml:space="preserve"> </w:t>
      </w:r>
      <w:proofErr w:type="spellStart"/>
      <w:r>
        <w:rPr>
          <w:sz w:val="22"/>
          <w:szCs w:val="22"/>
          <w:lang w:val="es-UY"/>
        </w:rPr>
        <w:t>connection</w:t>
      </w:r>
      <w:proofErr w:type="spellEnd"/>
      <w:r>
        <w:rPr>
          <w:sz w:val="22"/>
          <w:szCs w:val="22"/>
          <w:lang w:val="es-UY"/>
        </w:rPr>
        <w:t xml:space="preserve"> </w:t>
      </w:r>
      <w:proofErr w:type="spellStart"/>
      <w:r>
        <w:rPr>
          <w:sz w:val="22"/>
          <w:szCs w:val="22"/>
          <w:lang w:val="es-UY"/>
        </w:rPr>
        <w:t>attempts</w:t>
      </w:r>
      <w:proofErr w:type="spellEnd"/>
      <w:r>
        <w:rPr>
          <w:sz w:val="22"/>
          <w:szCs w:val="22"/>
          <w:lang w:val="es-UY"/>
        </w:rPr>
        <w:t xml:space="preserve"> </w:t>
      </w:r>
      <w:proofErr w:type="spellStart"/>
      <w:r>
        <w:rPr>
          <w:sz w:val="22"/>
          <w:szCs w:val="22"/>
          <w:lang w:val="es-UY"/>
        </w:rPr>
        <w:t>will</w:t>
      </w:r>
      <w:proofErr w:type="spellEnd"/>
      <w:r>
        <w:rPr>
          <w:sz w:val="22"/>
          <w:szCs w:val="22"/>
          <w:lang w:val="es-UY"/>
        </w:rPr>
        <w:t xml:space="preserve"> be </w:t>
      </w:r>
      <w:proofErr w:type="spellStart"/>
      <w:r>
        <w:rPr>
          <w:sz w:val="22"/>
          <w:szCs w:val="22"/>
          <w:lang w:val="es-UY"/>
        </w:rPr>
        <w:t>allowed</w:t>
      </w:r>
      <w:proofErr w:type="spellEnd"/>
      <w:r>
        <w:rPr>
          <w:sz w:val="22"/>
          <w:szCs w:val="22"/>
          <w:lang w:val="es-UY"/>
        </w:rPr>
        <w:t>.</w:t>
      </w:r>
    </w:p>
    <w:p w14:paraId="3121379A" w14:textId="77777777" w:rsidR="00E255F4" w:rsidRDefault="00000000">
      <w:pPr>
        <w:pStyle w:val="Prrafodelista"/>
        <w:numPr>
          <w:ilvl w:val="1"/>
          <w:numId w:val="42"/>
        </w:numPr>
        <w:ind w:left="1702" w:hanging="142"/>
        <w:jc w:val="both"/>
        <w:rPr>
          <w:sz w:val="22"/>
          <w:szCs w:val="22"/>
          <w:lang w:val="es-UY"/>
        </w:rPr>
      </w:pPr>
      <w:proofErr w:type="spellStart"/>
      <w:r>
        <w:rPr>
          <w:sz w:val="22"/>
          <w:szCs w:val="22"/>
          <w:lang w:val="es-UY"/>
        </w:rPr>
        <w:t>Sending</w:t>
      </w:r>
      <w:proofErr w:type="spellEnd"/>
      <w:r>
        <w:rPr>
          <w:sz w:val="22"/>
          <w:szCs w:val="22"/>
          <w:lang w:val="es-UY"/>
        </w:rPr>
        <w:t xml:space="preserve"> </w:t>
      </w:r>
      <w:proofErr w:type="spellStart"/>
      <w:r>
        <w:rPr>
          <w:sz w:val="22"/>
          <w:szCs w:val="22"/>
          <w:lang w:val="es-UY"/>
        </w:rPr>
        <w:t>reading</w:t>
      </w:r>
      <w:proofErr w:type="spellEnd"/>
      <w:r>
        <w:rPr>
          <w:sz w:val="22"/>
          <w:szCs w:val="22"/>
          <w:lang w:val="es-UY"/>
        </w:rPr>
        <w:t xml:space="preserve"> data and </w:t>
      </w:r>
      <w:proofErr w:type="spellStart"/>
      <w:r>
        <w:rPr>
          <w:sz w:val="22"/>
          <w:szCs w:val="22"/>
          <w:lang w:val="es-UY"/>
        </w:rPr>
        <w:t>concordance</w:t>
      </w:r>
      <w:proofErr w:type="spellEnd"/>
      <w:r>
        <w:rPr>
          <w:sz w:val="22"/>
          <w:szCs w:val="22"/>
          <w:lang w:val="es-UY"/>
        </w:rPr>
        <w:t xml:space="preserve"> control</w:t>
      </w:r>
    </w:p>
    <w:p w14:paraId="625ED201" w14:textId="77777777" w:rsidR="00E255F4" w:rsidRDefault="00000000">
      <w:pPr>
        <w:pStyle w:val="Prrafodelista"/>
        <w:spacing w:after="80"/>
        <w:ind w:left="1702"/>
        <w:jc w:val="both"/>
        <w:rPr>
          <w:sz w:val="22"/>
          <w:szCs w:val="22"/>
          <w:lang w:val="es-UY"/>
        </w:rPr>
      </w:pPr>
      <w:r>
        <w:rPr>
          <w:sz w:val="22"/>
          <w:szCs w:val="22"/>
          <w:lang w:val="es-UY"/>
        </w:rPr>
        <w:t xml:space="preserve">Once </w:t>
      </w:r>
      <w:proofErr w:type="spellStart"/>
      <w:r>
        <w:rPr>
          <w:sz w:val="22"/>
          <w:szCs w:val="22"/>
          <w:lang w:val="es-UY"/>
        </w:rPr>
        <w:t>the</w:t>
      </w:r>
      <w:proofErr w:type="spellEnd"/>
      <w:r>
        <w:rPr>
          <w:sz w:val="22"/>
          <w:szCs w:val="22"/>
          <w:lang w:val="es-UY"/>
        </w:rPr>
        <w:t xml:space="preserve"> </w:t>
      </w:r>
      <w:proofErr w:type="spellStart"/>
      <w:r>
        <w:rPr>
          <w:sz w:val="22"/>
          <w:szCs w:val="22"/>
          <w:lang w:val="es-UY"/>
        </w:rPr>
        <w:t>connection</w:t>
      </w:r>
      <w:proofErr w:type="spellEnd"/>
      <w:r>
        <w:rPr>
          <w:sz w:val="22"/>
          <w:szCs w:val="22"/>
          <w:lang w:val="es-UY"/>
        </w:rPr>
        <w:t xml:space="preserve"> </w:t>
      </w:r>
      <w:proofErr w:type="spellStart"/>
      <w:r>
        <w:rPr>
          <w:sz w:val="22"/>
          <w:szCs w:val="22"/>
          <w:lang w:val="es-UY"/>
        </w:rPr>
        <w:t>is</w:t>
      </w:r>
      <w:proofErr w:type="spellEnd"/>
      <w:r>
        <w:rPr>
          <w:sz w:val="22"/>
          <w:szCs w:val="22"/>
          <w:lang w:val="es-UY"/>
        </w:rPr>
        <w:t xml:space="preserve"> </w:t>
      </w:r>
      <w:proofErr w:type="spellStart"/>
      <w:r>
        <w:rPr>
          <w:sz w:val="22"/>
          <w:szCs w:val="22"/>
          <w:lang w:val="es-UY"/>
        </w:rPr>
        <w:t>established</w:t>
      </w:r>
      <w:proofErr w:type="spellEnd"/>
      <w:r>
        <w:rPr>
          <w:sz w:val="22"/>
          <w:szCs w:val="22"/>
          <w:lang w:val="es-UY"/>
        </w:rPr>
        <w:t xml:space="preserve">, </w:t>
      </w:r>
      <w:proofErr w:type="spellStart"/>
      <w:r>
        <w:rPr>
          <w:sz w:val="22"/>
          <w:szCs w:val="22"/>
          <w:lang w:val="es-UY"/>
        </w:rPr>
        <w:t>the</w:t>
      </w:r>
      <w:proofErr w:type="spellEnd"/>
      <w:r>
        <w:rPr>
          <w:sz w:val="22"/>
          <w:szCs w:val="22"/>
          <w:lang w:val="es-UY"/>
        </w:rPr>
        <w:t xml:space="preserve"> </w:t>
      </w:r>
      <w:proofErr w:type="spellStart"/>
      <w:r>
        <w:rPr>
          <w:sz w:val="22"/>
          <w:szCs w:val="22"/>
          <w:lang w:val="es-UY"/>
        </w:rPr>
        <w:t>information</w:t>
      </w:r>
      <w:proofErr w:type="spellEnd"/>
      <w:r>
        <w:rPr>
          <w:sz w:val="22"/>
          <w:szCs w:val="22"/>
          <w:lang w:val="es-UY"/>
        </w:rPr>
        <w:t xml:space="preserve"> </w:t>
      </w:r>
      <w:proofErr w:type="spellStart"/>
      <w:r>
        <w:rPr>
          <w:sz w:val="22"/>
          <w:szCs w:val="22"/>
          <w:lang w:val="es-UY"/>
        </w:rPr>
        <w:t>stored</w:t>
      </w:r>
      <w:proofErr w:type="spellEnd"/>
      <w:r>
        <w:rPr>
          <w:sz w:val="22"/>
          <w:szCs w:val="22"/>
          <w:lang w:val="es-UY"/>
        </w:rPr>
        <w:t xml:space="preserve"> in </w:t>
      </w:r>
      <w:proofErr w:type="spellStart"/>
      <w:r>
        <w:rPr>
          <w:sz w:val="22"/>
          <w:szCs w:val="22"/>
          <w:lang w:val="es-UY"/>
        </w:rPr>
        <w:t>the</w:t>
      </w:r>
      <w:proofErr w:type="spellEnd"/>
      <w:r>
        <w:rPr>
          <w:sz w:val="22"/>
          <w:szCs w:val="22"/>
          <w:lang w:val="es-UY"/>
        </w:rPr>
        <w:t xml:space="preserve"> </w:t>
      </w:r>
      <w:proofErr w:type="spellStart"/>
      <w:r>
        <w:rPr>
          <w:sz w:val="22"/>
          <w:szCs w:val="22"/>
          <w:lang w:val="es-UY"/>
        </w:rPr>
        <w:t>smart</w:t>
      </w:r>
      <w:proofErr w:type="spellEnd"/>
      <w:r>
        <w:rPr>
          <w:sz w:val="22"/>
          <w:szCs w:val="22"/>
          <w:lang w:val="es-UY"/>
        </w:rPr>
        <w:t xml:space="preserve"> </w:t>
      </w:r>
      <w:proofErr w:type="spellStart"/>
      <w:r>
        <w:rPr>
          <w:sz w:val="22"/>
          <w:szCs w:val="22"/>
          <w:lang w:val="es-UY"/>
        </w:rPr>
        <w:t>meters</w:t>
      </w:r>
      <w:proofErr w:type="spellEnd"/>
      <w:r>
        <w:rPr>
          <w:sz w:val="22"/>
          <w:szCs w:val="22"/>
          <w:lang w:val="es-UY"/>
        </w:rPr>
        <w:t xml:space="preserve"> </w:t>
      </w:r>
      <w:proofErr w:type="spellStart"/>
      <w:r>
        <w:rPr>
          <w:sz w:val="22"/>
          <w:szCs w:val="22"/>
          <w:lang w:val="es-UY"/>
        </w:rPr>
        <w:t>must</w:t>
      </w:r>
      <w:proofErr w:type="spellEnd"/>
      <w:r>
        <w:rPr>
          <w:sz w:val="22"/>
          <w:szCs w:val="22"/>
          <w:lang w:val="es-UY"/>
        </w:rPr>
        <w:t xml:space="preserve"> be </w:t>
      </w:r>
      <w:proofErr w:type="spellStart"/>
      <w:r>
        <w:rPr>
          <w:sz w:val="22"/>
          <w:szCs w:val="22"/>
          <w:lang w:val="es-UY"/>
        </w:rPr>
        <w:t>sent</w:t>
      </w:r>
      <w:proofErr w:type="spellEnd"/>
      <w:r>
        <w:rPr>
          <w:sz w:val="22"/>
          <w:szCs w:val="22"/>
          <w:lang w:val="es-UY"/>
        </w:rPr>
        <w:t xml:space="preserve"> </w:t>
      </w:r>
      <w:proofErr w:type="spellStart"/>
      <w:r>
        <w:rPr>
          <w:sz w:val="22"/>
          <w:szCs w:val="22"/>
          <w:lang w:val="es-UY"/>
        </w:rPr>
        <w:t>to</w:t>
      </w:r>
      <w:proofErr w:type="spellEnd"/>
      <w:r>
        <w:rPr>
          <w:sz w:val="22"/>
          <w:szCs w:val="22"/>
          <w:lang w:val="es-UY"/>
        </w:rPr>
        <w:t xml:space="preserve"> </w:t>
      </w:r>
      <w:proofErr w:type="spellStart"/>
      <w:r>
        <w:rPr>
          <w:sz w:val="22"/>
          <w:szCs w:val="22"/>
          <w:lang w:val="es-UY"/>
        </w:rPr>
        <w:t>the</w:t>
      </w:r>
      <w:proofErr w:type="spellEnd"/>
      <w:r>
        <w:rPr>
          <w:sz w:val="22"/>
          <w:szCs w:val="22"/>
          <w:lang w:val="es-UY"/>
        </w:rPr>
        <w:t xml:space="preserve"> site </w:t>
      </w:r>
      <w:proofErr w:type="spellStart"/>
      <w:r>
        <w:rPr>
          <w:sz w:val="22"/>
          <w:szCs w:val="22"/>
          <w:lang w:val="es-UY"/>
        </w:rPr>
        <w:t>designated</w:t>
      </w:r>
      <w:proofErr w:type="spellEnd"/>
      <w:r>
        <w:rPr>
          <w:sz w:val="22"/>
          <w:szCs w:val="22"/>
          <w:lang w:val="es-UY"/>
        </w:rPr>
        <w:t xml:space="preserve"> </w:t>
      </w:r>
      <w:proofErr w:type="spellStart"/>
      <w:r>
        <w:rPr>
          <w:sz w:val="22"/>
          <w:szCs w:val="22"/>
          <w:lang w:val="es-UY"/>
        </w:rPr>
        <w:t>by</w:t>
      </w:r>
      <w:proofErr w:type="spellEnd"/>
      <w:r>
        <w:rPr>
          <w:sz w:val="22"/>
          <w:szCs w:val="22"/>
          <w:lang w:val="es-UY"/>
        </w:rPr>
        <w:t xml:space="preserve"> </w:t>
      </w:r>
      <w:proofErr w:type="spellStart"/>
      <w:r>
        <w:rPr>
          <w:sz w:val="22"/>
          <w:szCs w:val="22"/>
          <w:lang w:val="es-UY"/>
        </w:rPr>
        <w:t>the</w:t>
      </w:r>
      <w:proofErr w:type="spellEnd"/>
      <w:r>
        <w:rPr>
          <w:sz w:val="22"/>
          <w:szCs w:val="22"/>
          <w:lang w:val="es-UY"/>
        </w:rPr>
        <w:t xml:space="preserve"> </w:t>
      </w:r>
      <w:proofErr w:type="spellStart"/>
      <w:r>
        <w:rPr>
          <w:sz w:val="22"/>
          <w:szCs w:val="22"/>
          <w:lang w:val="es-UY"/>
        </w:rPr>
        <w:t>provider</w:t>
      </w:r>
      <w:proofErr w:type="spellEnd"/>
      <w:r>
        <w:rPr>
          <w:sz w:val="22"/>
          <w:szCs w:val="22"/>
          <w:lang w:val="es-UY"/>
        </w:rPr>
        <w:t xml:space="preserve"> </w:t>
      </w:r>
      <w:proofErr w:type="spellStart"/>
      <w:r>
        <w:rPr>
          <w:sz w:val="22"/>
          <w:szCs w:val="22"/>
          <w:lang w:val="es-UY"/>
        </w:rPr>
        <w:t>for</w:t>
      </w:r>
      <w:proofErr w:type="spellEnd"/>
      <w:r>
        <w:rPr>
          <w:sz w:val="22"/>
          <w:szCs w:val="22"/>
          <w:lang w:val="es-UY"/>
        </w:rPr>
        <w:t xml:space="preserve"> </w:t>
      </w:r>
      <w:proofErr w:type="spellStart"/>
      <w:r>
        <w:rPr>
          <w:sz w:val="22"/>
          <w:szCs w:val="22"/>
          <w:lang w:val="es-UY"/>
        </w:rPr>
        <w:t>collection</w:t>
      </w:r>
      <w:proofErr w:type="spellEnd"/>
      <w:r>
        <w:rPr>
          <w:sz w:val="22"/>
          <w:szCs w:val="22"/>
          <w:lang w:val="es-UY"/>
        </w:rPr>
        <w:t xml:space="preserve">. </w:t>
      </w:r>
      <w:proofErr w:type="spellStart"/>
      <w:r>
        <w:rPr>
          <w:sz w:val="22"/>
          <w:szCs w:val="22"/>
          <w:lang w:val="es-UY"/>
        </w:rPr>
        <w:t>This</w:t>
      </w:r>
      <w:proofErr w:type="spellEnd"/>
      <w:r>
        <w:rPr>
          <w:sz w:val="22"/>
          <w:szCs w:val="22"/>
          <w:lang w:val="es-UY"/>
        </w:rPr>
        <w:t xml:space="preserve"> </w:t>
      </w:r>
      <w:proofErr w:type="spellStart"/>
      <w:r>
        <w:rPr>
          <w:sz w:val="22"/>
          <w:szCs w:val="22"/>
          <w:lang w:val="es-UY"/>
        </w:rPr>
        <w:t>information</w:t>
      </w:r>
      <w:proofErr w:type="spellEnd"/>
      <w:r>
        <w:rPr>
          <w:sz w:val="22"/>
          <w:szCs w:val="22"/>
          <w:lang w:val="es-UY"/>
        </w:rPr>
        <w:t xml:space="preserve"> </w:t>
      </w:r>
      <w:proofErr w:type="spellStart"/>
      <w:r>
        <w:rPr>
          <w:sz w:val="22"/>
          <w:szCs w:val="22"/>
          <w:lang w:val="es-UY"/>
        </w:rPr>
        <w:t>will</w:t>
      </w:r>
      <w:proofErr w:type="spellEnd"/>
      <w:r>
        <w:rPr>
          <w:sz w:val="22"/>
          <w:szCs w:val="22"/>
          <w:lang w:val="es-UY"/>
        </w:rPr>
        <w:t xml:space="preserve"> </w:t>
      </w:r>
      <w:proofErr w:type="spellStart"/>
      <w:r>
        <w:rPr>
          <w:sz w:val="22"/>
          <w:szCs w:val="22"/>
          <w:lang w:val="es-UY"/>
        </w:rPr>
        <w:t>then</w:t>
      </w:r>
      <w:proofErr w:type="spellEnd"/>
      <w:r>
        <w:rPr>
          <w:sz w:val="22"/>
          <w:szCs w:val="22"/>
          <w:lang w:val="es-UY"/>
        </w:rPr>
        <w:t xml:space="preserve"> be </w:t>
      </w:r>
      <w:proofErr w:type="spellStart"/>
      <w:r>
        <w:rPr>
          <w:sz w:val="22"/>
          <w:szCs w:val="22"/>
          <w:lang w:val="es-UY"/>
        </w:rPr>
        <w:t>read</w:t>
      </w:r>
      <w:proofErr w:type="spellEnd"/>
      <w:r>
        <w:rPr>
          <w:sz w:val="22"/>
          <w:szCs w:val="22"/>
          <w:lang w:val="es-UY"/>
        </w:rPr>
        <w:t xml:space="preserve">, and at </w:t>
      </w:r>
      <w:proofErr w:type="spellStart"/>
      <w:r>
        <w:rPr>
          <w:sz w:val="22"/>
          <w:szCs w:val="22"/>
          <w:lang w:val="es-UY"/>
        </w:rPr>
        <w:t>least</w:t>
      </w:r>
      <w:proofErr w:type="spellEnd"/>
      <w:r>
        <w:rPr>
          <w:sz w:val="22"/>
          <w:szCs w:val="22"/>
          <w:lang w:val="es-UY"/>
        </w:rPr>
        <w:t xml:space="preserve"> </w:t>
      </w:r>
      <w:proofErr w:type="spellStart"/>
      <w:r>
        <w:rPr>
          <w:sz w:val="22"/>
          <w:szCs w:val="22"/>
          <w:lang w:val="es-UY"/>
        </w:rPr>
        <w:t>three</w:t>
      </w:r>
      <w:proofErr w:type="spellEnd"/>
      <w:r>
        <w:rPr>
          <w:sz w:val="22"/>
          <w:szCs w:val="22"/>
          <w:lang w:val="es-UY"/>
        </w:rPr>
        <w:t xml:space="preserve"> </w:t>
      </w:r>
      <w:proofErr w:type="spellStart"/>
      <w:r>
        <w:rPr>
          <w:sz w:val="22"/>
          <w:szCs w:val="22"/>
          <w:lang w:val="es-UY"/>
        </w:rPr>
        <w:t>readings</w:t>
      </w:r>
      <w:proofErr w:type="spellEnd"/>
      <w:r>
        <w:rPr>
          <w:sz w:val="22"/>
          <w:szCs w:val="22"/>
          <w:lang w:val="es-UY"/>
        </w:rPr>
        <w:t xml:space="preserve"> </w:t>
      </w:r>
      <w:proofErr w:type="spellStart"/>
      <w:r>
        <w:rPr>
          <w:sz w:val="22"/>
          <w:szCs w:val="22"/>
          <w:lang w:val="es-UY"/>
        </w:rPr>
        <w:t>must</w:t>
      </w:r>
      <w:proofErr w:type="spellEnd"/>
      <w:r>
        <w:rPr>
          <w:sz w:val="22"/>
          <w:szCs w:val="22"/>
          <w:lang w:val="es-UY"/>
        </w:rPr>
        <w:t xml:space="preserve"> be </w:t>
      </w:r>
      <w:proofErr w:type="spellStart"/>
      <w:r>
        <w:rPr>
          <w:sz w:val="22"/>
          <w:szCs w:val="22"/>
          <w:lang w:val="es-UY"/>
        </w:rPr>
        <w:t>taken</w:t>
      </w:r>
      <w:proofErr w:type="spellEnd"/>
      <w:r>
        <w:rPr>
          <w:sz w:val="22"/>
          <w:szCs w:val="22"/>
          <w:lang w:val="es-UY"/>
        </w:rPr>
        <w:t xml:space="preserve"> at </w:t>
      </w:r>
      <w:proofErr w:type="spellStart"/>
      <w:r>
        <w:rPr>
          <w:sz w:val="22"/>
          <w:szCs w:val="22"/>
          <w:lang w:val="es-UY"/>
        </w:rPr>
        <w:t>continuous</w:t>
      </w:r>
      <w:proofErr w:type="spellEnd"/>
      <w:r>
        <w:rPr>
          <w:sz w:val="22"/>
          <w:szCs w:val="22"/>
          <w:lang w:val="es-UY"/>
        </w:rPr>
        <w:t xml:space="preserve"> </w:t>
      </w:r>
      <w:proofErr w:type="spellStart"/>
      <w:r>
        <w:rPr>
          <w:sz w:val="22"/>
          <w:szCs w:val="22"/>
          <w:lang w:val="es-UY"/>
        </w:rPr>
        <w:t>intervals</w:t>
      </w:r>
      <w:proofErr w:type="spellEnd"/>
      <w:r>
        <w:rPr>
          <w:sz w:val="22"/>
          <w:szCs w:val="22"/>
          <w:lang w:val="es-UY"/>
        </w:rPr>
        <w:t xml:space="preserve"> </w:t>
      </w:r>
      <w:proofErr w:type="spellStart"/>
      <w:r>
        <w:rPr>
          <w:sz w:val="22"/>
          <w:szCs w:val="22"/>
          <w:lang w:val="es-UY"/>
        </w:rPr>
        <w:t>of</w:t>
      </w:r>
      <w:proofErr w:type="spellEnd"/>
      <w:r>
        <w:rPr>
          <w:sz w:val="22"/>
          <w:szCs w:val="22"/>
          <w:lang w:val="es-UY"/>
        </w:rPr>
        <w:t xml:space="preserve"> 10 </w:t>
      </w:r>
      <w:proofErr w:type="spellStart"/>
      <w:r>
        <w:rPr>
          <w:sz w:val="22"/>
          <w:szCs w:val="22"/>
          <w:lang w:val="es-UY"/>
        </w:rPr>
        <w:t>or</w:t>
      </w:r>
      <w:proofErr w:type="spellEnd"/>
      <w:r>
        <w:rPr>
          <w:sz w:val="22"/>
          <w:szCs w:val="22"/>
          <w:lang w:val="es-UY"/>
        </w:rPr>
        <w:t xml:space="preserve"> 15 minutes. </w:t>
      </w:r>
      <w:proofErr w:type="spellStart"/>
      <w:r>
        <w:rPr>
          <w:sz w:val="22"/>
          <w:szCs w:val="22"/>
          <w:lang w:val="es-UY"/>
        </w:rPr>
        <w:t>Re-attempts</w:t>
      </w:r>
      <w:proofErr w:type="spellEnd"/>
      <w:r>
        <w:rPr>
          <w:sz w:val="22"/>
          <w:szCs w:val="22"/>
          <w:lang w:val="es-UY"/>
        </w:rPr>
        <w:t xml:space="preserve"> </w:t>
      </w:r>
      <w:proofErr w:type="spellStart"/>
      <w:r>
        <w:rPr>
          <w:sz w:val="22"/>
          <w:szCs w:val="22"/>
          <w:lang w:val="es-UY"/>
        </w:rPr>
        <w:t>will</w:t>
      </w:r>
      <w:proofErr w:type="spellEnd"/>
      <w:r>
        <w:rPr>
          <w:sz w:val="22"/>
          <w:szCs w:val="22"/>
          <w:lang w:val="es-UY"/>
        </w:rPr>
        <w:t xml:space="preserve"> </w:t>
      </w:r>
      <w:proofErr w:type="spellStart"/>
      <w:r>
        <w:rPr>
          <w:sz w:val="22"/>
          <w:szCs w:val="22"/>
          <w:lang w:val="es-UY"/>
        </w:rPr>
        <w:t>not</w:t>
      </w:r>
      <w:proofErr w:type="spellEnd"/>
      <w:r>
        <w:rPr>
          <w:sz w:val="22"/>
          <w:szCs w:val="22"/>
          <w:lang w:val="es-UY"/>
        </w:rPr>
        <w:t xml:space="preserve"> be </w:t>
      </w:r>
      <w:proofErr w:type="spellStart"/>
      <w:r>
        <w:rPr>
          <w:sz w:val="22"/>
          <w:szCs w:val="22"/>
          <w:lang w:val="es-UY"/>
        </w:rPr>
        <w:t>permitted</w:t>
      </w:r>
      <w:proofErr w:type="spellEnd"/>
      <w:r>
        <w:rPr>
          <w:sz w:val="22"/>
          <w:szCs w:val="22"/>
          <w:lang w:val="es-UY"/>
        </w:rPr>
        <w:t>.</w:t>
      </w:r>
    </w:p>
    <w:p w14:paraId="6AAB6001" w14:textId="77777777" w:rsidR="00E255F4" w:rsidRDefault="00000000">
      <w:pPr>
        <w:pStyle w:val="Prrafodelista"/>
        <w:numPr>
          <w:ilvl w:val="1"/>
          <w:numId w:val="42"/>
        </w:numPr>
        <w:ind w:left="1702" w:hanging="142"/>
        <w:jc w:val="both"/>
        <w:rPr>
          <w:sz w:val="22"/>
          <w:szCs w:val="22"/>
          <w:lang w:val="es-ES"/>
        </w:rPr>
      </w:pPr>
      <w:proofErr w:type="spellStart"/>
      <w:r>
        <w:rPr>
          <w:sz w:val="22"/>
          <w:szCs w:val="22"/>
          <w:lang w:val="es-ES"/>
        </w:rPr>
        <w:t>Concordance</w:t>
      </w:r>
      <w:proofErr w:type="spellEnd"/>
      <w:r>
        <w:rPr>
          <w:sz w:val="22"/>
          <w:szCs w:val="22"/>
          <w:lang w:val="es-ES"/>
        </w:rPr>
        <w:t xml:space="preserve"> </w:t>
      </w:r>
      <w:proofErr w:type="spellStart"/>
      <w:r>
        <w:rPr>
          <w:sz w:val="22"/>
          <w:szCs w:val="22"/>
          <w:lang w:val="es-ES"/>
        </w:rPr>
        <w:t>of</w:t>
      </w:r>
      <w:proofErr w:type="spellEnd"/>
      <w:r>
        <w:rPr>
          <w:sz w:val="22"/>
          <w:szCs w:val="22"/>
          <w:lang w:val="es-ES"/>
        </w:rPr>
        <w:t xml:space="preserve"> </w:t>
      </w:r>
      <w:proofErr w:type="spellStart"/>
      <w:r>
        <w:rPr>
          <w:sz w:val="22"/>
          <w:szCs w:val="22"/>
          <w:lang w:val="es-ES"/>
        </w:rPr>
        <w:t>physical</w:t>
      </w:r>
      <w:proofErr w:type="spellEnd"/>
      <w:r>
        <w:rPr>
          <w:sz w:val="22"/>
          <w:szCs w:val="22"/>
          <w:lang w:val="es-ES"/>
        </w:rPr>
        <w:t xml:space="preserve"> and remote </w:t>
      </w:r>
      <w:proofErr w:type="spellStart"/>
      <w:r>
        <w:rPr>
          <w:sz w:val="22"/>
          <w:szCs w:val="22"/>
          <w:lang w:val="es-ES"/>
        </w:rPr>
        <w:t>readings</w:t>
      </w:r>
      <w:proofErr w:type="spellEnd"/>
    </w:p>
    <w:p w14:paraId="4B8EF8EE" w14:textId="77777777" w:rsidR="00E255F4" w:rsidRDefault="00000000">
      <w:pPr>
        <w:pStyle w:val="Prrafodelista"/>
        <w:spacing w:after="80"/>
        <w:ind w:left="1701"/>
        <w:jc w:val="both"/>
      </w:pPr>
      <w:r>
        <w:rPr>
          <w:sz w:val="22"/>
          <w:szCs w:val="22"/>
          <w:lang w:val="es-UY"/>
        </w:rPr>
        <w:t xml:space="preserve">The </w:t>
      </w:r>
      <w:proofErr w:type="spellStart"/>
      <w:r>
        <w:rPr>
          <w:sz w:val="22"/>
          <w:szCs w:val="22"/>
          <w:lang w:val="es-UY"/>
        </w:rPr>
        <w:t>readings</w:t>
      </w:r>
      <w:proofErr w:type="spellEnd"/>
      <w:r>
        <w:rPr>
          <w:sz w:val="22"/>
          <w:szCs w:val="22"/>
          <w:lang w:val="es-UY"/>
        </w:rPr>
        <w:t xml:space="preserve"> </w:t>
      </w:r>
      <w:proofErr w:type="spellStart"/>
      <w:r>
        <w:rPr>
          <w:sz w:val="22"/>
          <w:szCs w:val="22"/>
          <w:lang w:val="es-UY"/>
        </w:rPr>
        <w:t>received</w:t>
      </w:r>
      <w:proofErr w:type="spellEnd"/>
      <w:r>
        <w:rPr>
          <w:sz w:val="22"/>
          <w:szCs w:val="22"/>
          <w:lang w:val="es-UY"/>
        </w:rPr>
        <w:t xml:space="preserve"> </w:t>
      </w:r>
      <w:proofErr w:type="spellStart"/>
      <w:r>
        <w:rPr>
          <w:sz w:val="22"/>
          <w:szCs w:val="22"/>
          <w:lang w:val="es-UY"/>
        </w:rPr>
        <w:t>will</w:t>
      </w:r>
      <w:proofErr w:type="spellEnd"/>
      <w:r>
        <w:rPr>
          <w:sz w:val="22"/>
          <w:szCs w:val="22"/>
          <w:lang w:val="es-UY"/>
        </w:rPr>
        <w:t xml:space="preserve"> be </w:t>
      </w:r>
      <w:proofErr w:type="spellStart"/>
      <w:r>
        <w:rPr>
          <w:sz w:val="22"/>
          <w:szCs w:val="22"/>
          <w:lang w:val="es-UY"/>
        </w:rPr>
        <w:t>compared</w:t>
      </w:r>
      <w:proofErr w:type="spellEnd"/>
      <w:r>
        <w:rPr>
          <w:sz w:val="22"/>
          <w:szCs w:val="22"/>
          <w:lang w:val="es-UY"/>
        </w:rPr>
        <w:t xml:space="preserve"> </w:t>
      </w:r>
      <w:proofErr w:type="spellStart"/>
      <w:r>
        <w:rPr>
          <w:sz w:val="22"/>
          <w:szCs w:val="22"/>
          <w:lang w:val="es-UY"/>
        </w:rPr>
        <w:t>against</w:t>
      </w:r>
      <w:proofErr w:type="spellEnd"/>
      <w:r>
        <w:rPr>
          <w:sz w:val="22"/>
          <w:szCs w:val="22"/>
          <w:lang w:val="es-UY"/>
        </w:rPr>
        <w:t xml:space="preserve"> </w:t>
      </w:r>
      <w:proofErr w:type="spellStart"/>
      <w:r>
        <w:rPr>
          <w:sz w:val="22"/>
          <w:szCs w:val="22"/>
          <w:lang w:val="es-UY"/>
        </w:rPr>
        <w:t>the</w:t>
      </w:r>
      <w:proofErr w:type="spellEnd"/>
      <w:r>
        <w:rPr>
          <w:sz w:val="22"/>
          <w:szCs w:val="22"/>
          <w:lang w:val="es-UY"/>
        </w:rPr>
        <w:t xml:space="preserve"> </w:t>
      </w:r>
      <w:proofErr w:type="spellStart"/>
      <w:r>
        <w:rPr>
          <w:sz w:val="22"/>
          <w:szCs w:val="22"/>
          <w:lang w:val="es-UY"/>
        </w:rPr>
        <w:t>physical</w:t>
      </w:r>
      <w:proofErr w:type="spellEnd"/>
      <w:r>
        <w:rPr>
          <w:sz w:val="22"/>
          <w:szCs w:val="22"/>
          <w:lang w:val="es-UY"/>
        </w:rPr>
        <w:t xml:space="preserve"> </w:t>
      </w:r>
      <w:proofErr w:type="spellStart"/>
      <w:r>
        <w:rPr>
          <w:sz w:val="22"/>
          <w:szCs w:val="22"/>
          <w:lang w:val="es-UY"/>
        </w:rPr>
        <w:t>reading</w:t>
      </w:r>
      <w:proofErr w:type="spellEnd"/>
      <w:r>
        <w:rPr>
          <w:sz w:val="22"/>
          <w:szCs w:val="22"/>
          <w:lang w:val="es-UY"/>
        </w:rPr>
        <w:t xml:space="preserve"> </w:t>
      </w:r>
      <w:proofErr w:type="spellStart"/>
      <w:r>
        <w:rPr>
          <w:sz w:val="22"/>
          <w:szCs w:val="22"/>
          <w:lang w:val="es-UY"/>
        </w:rPr>
        <w:t>of</w:t>
      </w:r>
      <w:proofErr w:type="spellEnd"/>
      <w:r>
        <w:rPr>
          <w:sz w:val="22"/>
          <w:szCs w:val="22"/>
          <w:lang w:val="es-UY"/>
        </w:rPr>
        <w:t xml:space="preserve"> </w:t>
      </w:r>
      <w:proofErr w:type="spellStart"/>
      <w:r>
        <w:rPr>
          <w:sz w:val="22"/>
          <w:szCs w:val="22"/>
          <w:lang w:val="es-UY"/>
        </w:rPr>
        <w:t>the</w:t>
      </w:r>
      <w:proofErr w:type="spellEnd"/>
      <w:r>
        <w:rPr>
          <w:sz w:val="22"/>
          <w:szCs w:val="22"/>
          <w:lang w:val="es-UY"/>
        </w:rPr>
        <w:t xml:space="preserve"> meter and </w:t>
      </w:r>
      <w:proofErr w:type="spellStart"/>
      <w:r>
        <w:rPr>
          <w:sz w:val="22"/>
          <w:szCs w:val="22"/>
          <w:lang w:val="es-UY"/>
        </w:rPr>
        <w:t>the</w:t>
      </w:r>
      <w:proofErr w:type="spellEnd"/>
      <w:r>
        <w:rPr>
          <w:sz w:val="22"/>
          <w:szCs w:val="22"/>
          <w:lang w:val="es-UY"/>
        </w:rPr>
        <w:t xml:space="preserve"> </w:t>
      </w:r>
      <w:proofErr w:type="spellStart"/>
      <w:r>
        <w:rPr>
          <w:sz w:val="22"/>
          <w:szCs w:val="22"/>
          <w:lang w:val="es-UY"/>
        </w:rPr>
        <w:t>corresponding</w:t>
      </w:r>
      <w:proofErr w:type="spellEnd"/>
      <w:r>
        <w:rPr>
          <w:sz w:val="22"/>
          <w:szCs w:val="22"/>
          <w:lang w:val="es-UY"/>
        </w:rPr>
        <w:t xml:space="preserve"> times, </w:t>
      </w:r>
      <w:proofErr w:type="spellStart"/>
      <w:r>
        <w:rPr>
          <w:sz w:val="22"/>
          <w:szCs w:val="22"/>
          <w:lang w:val="es-UY"/>
        </w:rPr>
        <w:t>which</w:t>
      </w:r>
      <w:proofErr w:type="spellEnd"/>
      <w:r>
        <w:rPr>
          <w:sz w:val="22"/>
          <w:szCs w:val="22"/>
          <w:lang w:val="es-UY"/>
        </w:rPr>
        <w:t xml:space="preserve"> </w:t>
      </w:r>
      <w:proofErr w:type="spellStart"/>
      <w:r>
        <w:rPr>
          <w:sz w:val="22"/>
          <w:szCs w:val="22"/>
          <w:lang w:val="es-UY"/>
        </w:rPr>
        <w:t>must</w:t>
      </w:r>
      <w:proofErr w:type="spellEnd"/>
      <w:r>
        <w:rPr>
          <w:sz w:val="22"/>
          <w:szCs w:val="22"/>
          <w:lang w:val="es-UY"/>
        </w:rPr>
        <w:t xml:space="preserve"> coincide, </w:t>
      </w:r>
      <w:proofErr w:type="spellStart"/>
      <w:r>
        <w:rPr>
          <w:sz w:val="22"/>
          <w:szCs w:val="22"/>
          <w:lang w:val="es-UY"/>
        </w:rPr>
        <w:t>considering</w:t>
      </w:r>
      <w:proofErr w:type="spellEnd"/>
      <w:r>
        <w:rPr>
          <w:sz w:val="22"/>
          <w:szCs w:val="22"/>
          <w:lang w:val="es-UY"/>
        </w:rPr>
        <w:t xml:space="preserve"> </w:t>
      </w:r>
      <w:proofErr w:type="spellStart"/>
      <w:proofErr w:type="gramStart"/>
      <w:r>
        <w:rPr>
          <w:sz w:val="22"/>
          <w:szCs w:val="22"/>
          <w:lang w:val="es-UY"/>
        </w:rPr>
        <w:t>an</w:t>
      </w:r>
      <w:proofErr w:type="spellEnd"/>
      <w:r>
        <w:rPr>
          <w:sz w:val="22"/>
          <w:szCs w:val="22"/>
          <w:lang w:val="es-UY"/>
        </w:rPr>
        <w:t xml:space="preserve"> error</w:t>
      </w:r>
      <w:proofErr w:type="gramEnd"/>
      <w:r>
        <w:rPr>
          <w:sz w:val="22"/>
          <w:szCs w:val="22"/>
          <w:lang w:val="es-UY"/>
        </w:rPr>
        <w:t xml:space="preserve"> </w:t>
      </w:r>
      <w:proofErr w:type="spellStart"/>
      <w:r>
        <w:rPr>
          <w:sz w:val="22"/>
          <w:szCs w:val="22"/>
          <w:lang w:val="es-UY"/>
        </w:rPr>
        <w:t>of</w:t>
      </w:r>
      <w:proofErr w:type="spellEnd"/>
      <w:r>
        <w:rPr>
          <w:sz w:val="22"/>
          <w:szCs w:val="22"/>
          <w:lang w:val="es-UY"/>
        </w:rPr>
        <w:t xml:space="preserve"> no more </w:t>
      </w:r>
      <w:proofErr w:type="spellStart"/>
      <w:r>
        <w:rPr>
          <w:sz w:val="22"/>
          <w:szCs w:val="22"/>
          <w:lang w:val="es-UY"/>
        </w:rPr>
        <w:t>than</w:t>
      </w:r>
      <w:proofErr w:type="spellEnd"/>
      <w:r>
        <w:rPr>
          <w:sz w:val="22"/>
          <w:szCs w:val="22"/>
          <w:lang w:val="es-UY"/>
        </w:rPr>
        <w:t xml:space="preserve"> 1 m³.</w:t>
      </w:r>
    </w:p>
    <w:p w14:paraId="46F091E3" w14:textId="77777777" w:rsidR="00E255F4" w:rsidRDefault="00000000">
      <w:pPr>
        <w:numPr>
          <w:ilvl w:val="3"/>
          <w:numId w:val="59"/>
        </w:numPr>
        <w:spacing w:before="120" w:after="120"/>
        <w:ind w:left="1134" w:hanging="425"/>
        <w:jc w:val="both"/>
      </w:pPr>
      <w:proofErr w:type="spellStart"/>
      <w:r>
        <w:rPr>
          <w:sz w:val="22"/>
          <w:szCs w:val="22"/>
        </w:rPr>
        <w:t>This</w:t>
      </w:r>
      <w:proofErr w:type="spellEnd"/>
      <w:r>
        <w:rPr>
          <w:sz w:val="22"/>
          <w:szCs w:val="22"/>
        </w:rPr>
        <w:t xml:space="preserve"> </w:t>
      </w:r>
      <w:proofErr w:type="spellStart"/>
      <w:r>
        <w:rPr>
          <w:sz w:val="22"/>
          <w:szCs w:val="22"/>
        </w:rPr>
        <w:t>qualification</w:t>
      </w:r>
      <w:proofErr w:type="spellEnd"/>
      <w:r>
        <w:rPr>
          <w:sz w:val="22"/>
          <w:szCs w:val="22"/>
        </w:rPr>
        <w:t xml:space="preserve"> test </w:t>
      </w:r>
      <w:proofErr w:type="spellStart"/>
      <w:r>
        <w:rPr>
          <w:sz w:val="22"/>
          <w:szCs w:val="22"/>
        </w:rPr>
        <w:t>will</w:t>
      </w:r>
      <w:proofErr w:type="spellEnd"/>
      <w:r>
        <w:rPr>
          <w:sz w:val="22"/>
          <w:szCs w:val="22"/>
        </w:rPr>
        <w:t xml:space="preserve"> be </w:t>
      </w:r>
      <w:proofErr w:type="spellStart"/>
      <w:r>
        <w:rPr>
          <w:sz w:val="22"/>
          <w:szCs w:val="22"/>
        </w:rPr>
        <w:t>considered</w:t>
      </w:r>
      <w:proofErr w:type="spellEnd"/>
      <w:r>
        <w:rPr>
          <w:sz w:val="22"/>
          <w:szCs w:val="22"/>
        </w:rPr>
        <w:t xml:space="preserve"> </w:t>
      </w:r>
      <w:proofErr w:type="spellStart"/>
      <w:r>
        <w:rPr>
          <w:sz w:val="22"/>
          <w:szCs w:val="22"/>
        </w:rPr>
        <w:t>passed</w:t>
      </w:r>
      <w:proofErr w:type="spellEnd"/>
      <w:r>
        <w:rPr>
          <w:sz w:val="22"/>
          <w:szCs w:val="22"/>
        </w:rPr>
        <w:t xml:space="preserve"> </w:t>
      </w:r>
      <w:proofErr w:type="spellStart"/>
      <w:r>
        <w:rPr>
          <w:sz w:val="22"/>
          <w:szCs w:val="22"/>
        </w:rPr>
        <w:t>if</w:t>
      </w:r>
      <w:proofErr w:type="spellEnd"/>
      <w:r>
        <w:rPr>
          <w:sz w:val="22"/>
          <w:szCs w:val="22"/>
        </w:rPr>
        <w:t xml:space="preserve"> </w:t>
      </w:r>
      <w:proofErr w:type="spellStart"/>
      <w:r>
        <w:rPr>
          <w:sz w:val="22"/>
          <w:szCs w:val="22"/>
        </w:rPr>
        <w:t>all</w:t>
      </w:r>
      <w:proofErr w:type="spellEnd"/>
      <w:r>
        <w:rPr>
          <w:sz w:val="22"/>
          <w:szCs w:val="22"/>
        </w:rPr>
        <w:t xml:space="preserve"> </w:t>
      </w:r>
      <w:proofErr w:type="spellStart"/>
      <w:r>
        <w:rPr>
          <w:sz w:val="22"/>
          <w:szCs w:val="22"/>
        </w:rPr>
        <w:t>the</w:t>
      </w:r>
      <w:proofErr w:type="spellEnd"/>
      <w:r>
        <w:rPr>
          <w:sz w:val="22"/>
          <w:szCs w:val="22"/>
        </w:rPr>
        <w:t xml:space="preserve"> </w:t>
      </w:r>
      <w:proofErr w:type="spellStart"/>
      <w:r>
        <w:rPr>
          <w:sz w:val="22"/>
          <w:szCs w:val="22"/>
        </w:rPr>
        <w:t>aforementioned</w:t>
      </w:r>
      <w:proofErr w:type="spellEnd"/>
      <w:r>
        <w:rPr>
          <w:sz w:val="22"/>
          <w:szCs w:val="22"/>
        </w:rPr>
        <w:t xml:space="preserve"> </w:t>
      </w:r>
      <w:proofErr w:type="spellStart"/>
      <w:r>
        <w:rPr>
          <w:sz w:val="22"/>
          <w:szCs w:val="22"/>
        </w:rPr>
        <w:t>tests</w:t>
      </w:r>
      <w:proofErr w:type="spellEnd"/>
      <w:r>
        <w:rPr>
          <w:sz w:val="22"/>
          <w:szCs w:val="22"/>
        </w:rPr>
        <w:t xml:space="preserve"> are </w:t>
      </w:r>
      <w:proofErr w:type="spellStart"/>
      <w:r>
        <w:rPr>
          <w:sz w:val="22"/>
          <w:szCs w:val="22"/>
        </w:rPr>
        <w:t>successfully</w:t>
      </w:r>
      <w:proofErr w:type="spellEnd"/>
      <w:r>
        <w:rPr>
          <w:sz w:val="22"/>
          <w:szCs w:val="22"/>
        </w:rPr>
        <w:t xml:space="preserve"> </w:t>
      </w:r>
      <w:proofErr w:type="spellStart"/>
      <w:r>
        <w:rPr>
          <w:sz w:val="22"/>
          <w:szCs w:val="22"/>
        </w:rPr>
        <w:t>completed</w:t>
      </w:r>
      <w:proofErr w:type="spellEnd"/>
      <w:r>
        <w:rPr>
          <w:sz w:val="22"/>
          <w:szCs w:val="22"/>
        </w:rPr>
        <w:t>.</w:t>
      </w:r>
    </w:p>
    <w:p w14:paraId="161979A0" w14:textId="77777777" w:rsidR="00E255F4" w:rsidRDefault="00000000">
      <w:pPr>
        <w:pStyle w:val="Ttulo2"/>
        <w:spacing w:after="240"/>
        <w:ind w:left="567" w:hanging="567"/>
        <w:rPr>
          <w:rFonts w:ascii="Times New Roman" w:hAnsi="Times New Roman" w:cs="Times New Roman"/>
          <w:i w:val="0"/>
          <w:sz w:val="22"/>
          <w:szCs w:val="22"/>
        </w:rPr>
      </w:pPr>
      <w:bookmarkStart w:id="115" w:name="__RefHeading___Toc225377275"/>
      <w:bookmarkEnd w:id="115"/>
      <w:r>
        <w:rPr>
          <w:rFonts w:ascii="Times New Roman" w:hAnsi="Times New Roman" w:cs="Times New Roman"/>
          <w:i w:val="0"/>
          <w:sz w:val="22"/>
          <w:szCs w:val="22"/>
        </w:rPr>
        <w:t>FROM THE LIST OF CONNECTIONS TO TELEMEDIR</w:t>
      </w:r>
    </w:p>
    <w:p w14:paraId="6A5B9F87" w14:textId="77777777" w:rsidR="00E255F4" w:rsidRDefault="00000000">
      <w:pPr>
        <w:pStyle w:val="Prrafodelista"/>
        <w:numPr>
          <w:ilvl w:val="1"/>
          <w:numId w:val="17"/>
        </w:numPr>
        <w:spacing w:after="120"/>
        <w:ind w:left="567" w:hanging="567"/>
        <w:jc w:val="both"/>
      </w:pPr>
      <w:r>
        <w:rPr>
          <w:sz w:val="22"/>
          <w:szCs w:val="22"/>
          <w:lang w:val="es-ES"/>
        </w:rPr>
        <w:t xml:space="preserve">The </w:t>
      </w:r>
      <w:proofErr w:type="spellStart"/>
      <w:r>
        <w:rPr>
          <w:sz w:val="22"/>
          <w:szCs w:val="22"/>
          <w:lang w:val="es-ES"/>
        </w:rPr>
        <w:t>Administration</w:t>
      </w:r>
      <w:proofErr w:type="spellEnd"/>
      <w:r>
        <w:rPr>
          <w:sz w:val="22"/>
          <w:szCs w:val="22"/>
          <w:lang w:val="es-ES"/>
        </w:rPr>
        <w:t xml:space="preserve"> </w:t>
      </w:r>
      <w:proofErr w:type="spellStart"/>
      <w:r>
        <w:rPr>
          <w:sz w:val="22"/>
          <w:szCs w:val="22"/>
          <w:lang w:val="es-ES"/>
        </w:rPr>
        <w:t>will</w:t>
      </w:r>
      <w:proofErr w:type="spellEnd"/>
      <w:r>
        <w:rPr>
          <w:sz w:val="22"/>
          <w:szCs w:val="22"/>
          <w:lang w:val="es-ES"/>
        </w:rPr>
        <w:t xml:space="preserve"> </w:t>
      </w:r>
      <w:proofErr w:type="spellStart"/>
      <w:r>
        <w:rPr>
          <w:sz w:val="22"/>
          <w:szCs w:val="22"/>
          <w:lang w:val="es-ES"/>
        </w:rPr>
        <w:t>provide</w:t>
      </w:r>
      <w:proofErr w:type="spellEnd"/>
      <w:r>
        <w:rPr>
          <w:sz w:val="22"/>
          <w:szCs w:val="22"/>
          <w:lang w:val="es-ES"/>
        </w:rPr>
        <w:t xml:space="preserve"> </w:t>
      </w:r>
      <w:proofErr w:type="spellStart"/>
      <w:r>
        <w:rPr>
          <w:sz w:val="22"/>
          <w:szCs w:val="22"/>
          <w:lang w:val="es-ES"/>
        </w:rPr>
        <w:t>the</w:t>
      </w:r>
      <w:proofErr w:type="spellEnd"/>
      <w:r>
        <w:rPr>
          <w:sz w:val="22"/>
          <w:szCs w:val="22"/>
          <w:lang w:val="es-ES"/>
        </w:rPr>
        <w:t xml:space="preserve"> </w:t>
      </w:r>
      <w:proofErr w:type="spellStart"/>
      <w:r>
        <w:rPr>
          <w:sz w:val="22"/>
          <w:szCs w:val="22"/>
          <w:lang w:val="es-ES"/>
        </w:rPr>
        <w:t>supplier</w:t>
      </w:r>
      <w:proofErr w:type="spellEnd"/>
      <w:r>
        <w:rPr>
          <w:sz w:val="22"/>
          <w:szCs w:val="22"/>
          <w:lang w:val="es-ES"/>
        </w:rPr>
        <w:t xml:space="preserve">, </w:t>
      </w:r>
      <w:proofErr w:type="spellStart"/>
      <w:r>
        <w:rPr>
          <w:sz w:val="22"/>
          <w:szCs w:val="22"/>
          <w:lang w:val="es-ES"/>
        </w:rPr>
        <w:t>upon</w:t>
      </w:r>
      <w:proofErr w:type="spellEnd"/>
      <w:r>
        <w:rPr>
          <w:sz w:val="22"/>
          <w:szCs w:val="22"/>
          <w:lang w:val="es-ES"/>
        </w:rPr>
        <w:t xml:space="preserve"> </w:t>
      </w:r>
      <w:proofErr w:type="spellStart"/>
      <w:r>
        <w:rPr>
          <w:sz w:val="22"/>
          <w:szCs w:val="22"/>
          <w:lang w:val="es-ES"/>
        </w:rPr>
        <w:t>awarding</w:t>
      </w:r>
      <w:proofErr w:type="spellEnd"/>
      <w:r>
        <w:rPr>
          <w:sz w:val="22"/>
          <w:szCs w:val="22"/>
          <w:lang w:val="es-ES"/>
        </w:rPr>
        <w:t xml:space="preserve"> </w:t>
      </w:r>
      <w:proofErr w:type="spellStart"/>
      <w:r>
        <w:rPr>
          <w:sz w:val="22"/>
          <w:szCs w:val="22"/>
          <w:lang w:val="es-ES"/>
        </w:rPr>
        <w:t>the</w:t>
      </w:r>
      <w:proofErr w:type="spellEnd"/>
      <w:r>
        <w:rPr>
          <w:sz w:val="22"/>
          <w:szCs w:val="22"/>
          <w:lang w:val="es-ES"/>
        </w:rPr>
        <w:t xml:space="preserve"> tender, </w:t>
      </w:r>
      <w:proofErr w:type="spellStart"/>
      <w:r>
        <w:rPr>
          <w:sz w:val="22"/>
          <w:szCs w:val="22"/>
          <w:lang w:val="es-ES"/>
        </w:rPr>
        <w:t>with</w:t>
      </w:r>
      <w:proofErr w:type="spellEnd"/>
      <w:r>
        <w:rPr>
          <w:sz w:val="22"/>
          <w:szCs w:val="22"/>
          <w:lang w:val="es-ES"/>
        </w:rPr>
        <w:t xml:space="preserve"> </w:t>
      </w:r>
      <w:proofErr w:type="spellStart"/>
      <w:r>
        <w:rPr>
          <w:sz w:val="22"/>
          <w:szCs w:val="22"/>
          <w:lang w:val="es-ES"/>
        </w:rPr>
        <w:t>an</w:t>
      </w:r>
      <w:proofErr w:type="spellEnd"/>
      <w:r>
        <w:rPr>
          <w:sz w:val="22"/>
          <w:szCs w:val="22"/>
          <w:lang w:val="es-ES"/>
        </w:rPr>
        <w:t xml:space="preserve"> </w:t>
      </w:r>
      <w:proofErr w:type="spellStart"/>
      <w:r>
        <w:rPr>
          <w:sz w:val="22"/>
          <w:szCs w:val="22"/>
          <w:lang w:val="es-ES"/>
        </w:rPr>
        <w:t>updated</w:t>
      </w:r>
      <w:proofErr w:type="spellEnd"/>
      <w:r>
        <w:rPr>
          <w:sz w:val="22"/>
          <w:szCs w:val="22"/>
          <w:lang w:val="es-ES"/>
        </w:rPr>
        <w:t xml:space="preserve"> </w:t>
      </w:r>
      <w:proofErr w:type="spellStart"/>
      <w:r>
        <w:rPr>
          <w:sz w:val="22"/>
          <w:szCs w:val="22"/>
          <w:lang w:val="es-ES"/>
        </w:rPr>
        <w:t>list</w:t>
      </w:r>
      <w:proofErr w:type="spellEnd"/>
      <w:r>
        <w:rPr>
          <w:sz w:val="22"/>
          <w:szCs w:val="22"/>
          <w:lang w:val="es-ES"/>
        </w:rPr>
        <w:t xml:space="preserve"> </w:t>
      </w:r>
      <w:proofErr w:type="spellStart"/>
      <w:r>
        <w:rPr>
          <w:sz w:val="22"/>
          <w:szCs w:val="22"/>
          <w:lang w:val="es-ES"/>
        </w:rPr>
        <w:t>of</w:t>
      </w:r>
      <w:proofErr w:type="spellEnd"/>
      <w:r>
        <w:rPr>
          <w:sz w:val="22"/>
          <w:szCs w:val="22"/>
          <w:lang w:val="es-ES"/>
        </w:rPr>
        <w:t xml:space="preserve"> </w:t>
      </w:r>
      <w:proofErr w:type="spellStart"/>
      <w:r>
        <w:rPr>
          <w:sz w:val="22"/>
          <w:szCs w:val="22"/>
          <w:lang w:val="es-ES"/>
        </w:rPr>
        <w:t>the</w:t>
      </w:r>
      <w:proofErr w:type="spellEnd"/>
      <w:r>
        <w:rPr>
          <w:sz w:val="22"/>
          <w:szCs w:val="22"/>
          <w:lang w:val="es-ES"/>
        </w:rPr>
        <w:t xml:space="preserve"> </w:t>
      </w:r>
      <w:proofErr w:type="spellStart"/>
      <w:r>
        <w:rPr>
          <w:sz w:val="22"/>
          <w:szCs w:val="22"/>
          <w:lang w:val="es-ES"/>
        </w:rPr>
        <w:t>number</w:t>
      </w:r>
      <w:proofErr w:type="spellEnd"/>
      <w:r>
        <w:rPr>
          <w:sz w:val="22"/>
          <w:szCs w:val="22"/>
          <w:lang w:val="es-ES"/>
        </w:rPr>
        <w:t xml:space="preserve"> </w:t>
      </w:r>
      <w:proofErr w:type="spellStart"/>
      <w:r>
        <w:rPr>
          <w:sz w:val="22"/>
          <w:szCs w:val="22"/>
          <w:lang w:val="es-ES"/>
        </w:rPr>
        <w:t>of</w:t>
      </w:r>
      <w:proofErr w:type="spellEnd"/>
      <w:r>
        <w:rPr>
          <w:sz w:val="22"/>
          <w:szCs w:val="22"/>
          <w:lang w:val="es-ES"/>
        </w:rPr>
        <w:t xml:space="preserve"> </w:t>
      </w:r>
      <w:proofErr w:type="spellStart"/>
      <w:r>
        <w:rPr>
          <w:sz w:val="22"/>
          <w:szCs w:val="22"/>
          <w:lang w:val="es-ES"/>
        </w:rPr>
        <w:t>connections</w:t>
      </w:r>
      <w:proofErr w:type="spellEnd"/>
      <w:r>
        <w:rPr>
          <w:sz w:val="22"/>
          <w:szCs w:val="22"/>
          <w:lang w:val="es-ES"/>
        </w:rPr>
        <w:t xml:space="preserve"> </w:t>
      </w:r>
      <w:proofErr w:type="spellStart"/>
      <w:r>
        <w:rPr>
          <w:sz w:val="22"/>
          <w:szCs w:val="22"/>
          <w:lang w:val="es-ES"/>
        </w:rPr>
        <w:t>to</w:t>
      </w:r>
      <w:proofErr w:type="spellEnd"/>
      <w:r>
        <w:rPr>
          <w:sz w:val="22"/>
          <w:szCs w:val="22"/>
          <w:lang w:val="es-ES"/>
        </w:rPr>
        <w:t xml:space="preserve"> be </w:t>
      </w:r>
      <w:proofErr w:type="spellStart"/>
      <w:r>
        <w:rPr>
          <w:sz w:val="22"/>
          <w:szCs w:val="22"/>
          <w:lang w:val="es-ES"/>
        </w:rPr>
        <w:t>remotely</w:t>
      </w:r>
      <w:proofErr w:type="spellEnd"/>
      <w:r>
        <w:rPr>
          <w:sz w:val="22"/>
          <w:szCs w:val="22"/>
          <w:lang w:val="es-ES"/>
        </w:rPr>
        <w:t xml:space="preserve"> </w:t>
      </w:r>
      <w:proofErr w:type="spellStart"/>
      <w:r>
        <w:rPr>
          <w:sz w:val="22"/>
          <w:szCs w:val="22"/>
          <w:lang w:val="es-ES"/>
        </w:rPr>
        <w:t>measured</w:t>
      </w:r>
      <w:proofErr w:type="spellEnd"/>
      <w:r>
        <w:rPr>
          <w:sz w:val="22"/>
          <w:szCs w:val="22"/>
          <w:lang w:val="es-ES"/>
        </w:rPr>
        <w:t xml:space="preserve"> and </w:t>
      </w:r>
      <w:proofErr w:type="spellStart"/>
      <w:r>
        <w:rPr>
          <w:sz w:val="22"/>
          <w:szCs w:val="22"/>
          <w:lang w:val="es-ES"/>
        </w:rPr>
        <w:t>containing</w:t>
      </w:r>
      <w:proofErr w:type="spellEnd"/>
      <w:r>
        <w:rPr>
          <w:sz w:val="22"/>
          <w:szCs w:val="22"/>
          <w:lang w:val="es-ES"/>
        </w:rPr>
        <w:t xml:space="preserve"> </w:t>
      </w:r>
      <w:proofErr w:type="spellStart"/>
      <w:r>
        <w:rPr>
          <w:sz w:val="22"/>
          <w:szCs w:val="22"/>
          <w:lang w:val="es-ES"/>
        </w:rPr>
        <w:t>all</w:t>
      </w:r>
      <w:proofErr w:type="spellEnd"/>
      <w:r>
        <w:rPr>
          <w:sz w:val="22"/>
          <w:szCs w:val="22"/>
          <w:lang w:val="es-ES"/>
        </w:rPr>
        <w:t xml:space="preserve"> </w:t>
      </w:r>
      <w:proofErr w:type="spellStart"/>
      <w:r>
        <w:rPr>
          <w:sz w:val="22"/>
          <w:szCs w:val="22"/>
          <w:lang w:val="es-ES"/>
        </w:rPr>
        <w:t>the</w:t>
      </w:r>
      <w:proofErr w:type="spellEnd"/>
      <w:r>
        <w:rPr>
          <w:sz w:val="22"/>
          <w:szCs w:val="22"/>
          <w:lang w:val="es-ES"/>
        </w:rPr>
        <w:t xml:space="preserve"> data </w:t>
      </w:r>
      <w:proofErr w:type="spellStart"/>
      <w:r>
        <w:rPr>
          <w:sz w:val="22"/>
          <w:szCs w:val="22"/>
          <w:lang w:val="es-ES"/>
        </w:rPr>
        <w:t>of</w:t>
      </w:r>
      <w:proofErr w:type="spellEnd"/>
      <w:r>
        <w:rPr>
          <w:sz w:val="22"/>
          <w:szCs w:val="22"/>
          <w:lang w:val="es-ES"/>
        </w:rPr>
        <w:t xml:space="preserve"> </w:t>
      </w:r>
      <w:proofErr w:type="spellStart"/>
      <w:r>
        <w:rPr>
          <w:sz w:val="22"/>
          <w:szCs w:val="22"/>
          <w:lang w:val="es-ES"/>
        </w:rPr>
        <w:t>the</w:t>
      </w:r>
      <w:proofErr w:type="spellEnd"/>
      <w:r>
        <w:rPr>
          <w:sz w:val="22"/>
          <w:szCs w:val="22"/>
          <w:lang w:val="es-ES"/>
        </w:rPr>
        <w:t xml:space="preserve"> </w:t>
      </w:r>
      <w:proofErr w:type="spellStart"/>
      <w:r>
        <w:rPr>
          <w:sz w:val="22"/>
          <w:szCs w:val="22"/>
          <w:lang w:val="es-ES"/>
        </w:rPr>
        <w:t>corresponding</w:t>
      </w:r>
      <w:proofErr w:type="spellEnd"/>
      <w:r>
        <w:rPr>
          <w:sz w:val="22"/>
          <w:szCs w:val="22"/>
          <w:lang w:val="es-ES"/>
        </w:rPr>
        <w:t xml:space="preserve"> </w:t>
      </w:r>
      <w:proofErr w:type="spellStart"/>
      <w:r>
        <w:rPr>
          <w:sz w:val="22"/>
          <w:szCs w:val="22"/>
          <w:lang w:val="es-ES"/>
        </w:rPr>
        <w:t>Supplies</w:t>
      </w:r>
      <w:proofErr w:type="spellEnd"/>
      <w:r>
        <w:rPr>
          <w:sz w:val="22"/>
          <w:szCs w:val="22"/>
          <w:lang w:val="es-ES"/>
        </w:rPr>
        <w:t>.</w:t>
      </w:r>
    </w:p>
    <w:p w14:paraId="5803E4EB" w14:textId="77777777" w:rsidR="00E255F4" w:rsidRDefault="00000000">
      <w:pPr>
        <w:pStyle w:val="Prrafodelista"/>
        <w:numPr>
          <w:ilvl w:val="1"/>
          <w:numId w:val="17"/>
        </w:numPr>
        <w:spacing w:after="120"/>
        <w:ind w:left="567" w:hanging="567"/>
        <w:jc w:val="both"/>
        <w:rPr>
          <w:sz w:val="22"/>
          <w:szCs w:val="22"/>
          <w:lang w:val="es-ES"/>
        </w:rPr>
      </w:pPr>
      <w:r>
        <w:rPr>
          <w:sz w:val="22"/>
          <w:szCs w:val="22"/>
          <w:lang w:val="es-ES"/>
        </w:rPr>
        <w:t xml:space="preserve">The </w:t>
      </w:r>
      <w:proofErr w:type="spellStart"/>
      <w:r>
        <w:rPr>
          <w:sz w:val="22"/>
          <w:szCs w:val="22"/>
          <w:lang w:val="es-ES"/>
        </w:rPr>
        <w:t>information</w:t>
      </w:r>
      <w:proofErr w:type="spellEnd"/>
      <w:r>
        <w:rPr>
          <w:sz w:val="22"/>
          <w:szCs w:val="22"/>
          <w:lang w:val="es-ES"/>
        </w:rPr>
        <w:t xml:space="preserve"> </w:t>
      </w:r>
      <w:proofErr w:type="spellStart"/>
      <w:r>
        <w:rPr>
          <w:sz w:val="22"/>
          <w:szCs w:val="22"/>
          <w:lang w:val="es-ES"/>
        </w:rPr>
        <w:t>provided</w:t>
      </w:r>
      <w:proofErr w:type="spellEnd"/>
      <w:r>
        <w:rPr>
          <w:sz w:val="22"/>
          <w:szCs w:val="22"/>
          <w:lang w:val="es-ES"/>
        </w:rPr>
        <w:t xml:space="preserve"> at </w:t>
      </w:r>
      <w:proofErr w:type="spellStart"/>
      <w:r>
        <w:rPr>
          <w:sz w:val="22"/>
          <w:szCs w:val="22"/>
          <w:lang w:val="es-ES"/>
        </w:rPr>
        <w:t>this</w:t>
      </w:r>
      <w:proofErr w:type="spellEnd"/>
      <w:r>
        <w:rPr>
          <w:sz w:val="22"/>
          <w:szCs w:val="22"/>
          <w:lang w:val="es-ES"/>
        </w:rPr>
        <w:t xml:space="preserve"> </w:t>
      </w:r>
      <w:proofErr w:type="spellStart"/>
      <w:r>
        <w:rPr>
          <w:sz w:val="22"/>
          <w:szCs w:val="22"/>
          <w:lang w:val="es-ES"/>
        </w:rPr>
        <w:t>stage</w:t>
      </w:r>
      <w:proofErr w:type="spellEnd"/>
      <w:r>
        <w:rPr>
          <w:sz w:val="22"/>
          <w:szCs w:val="22"/>
          <w:lang w:val="es-ES"/>
        </w:rPr>
        <w:t xml:space="preserve"> </w:t>
      </w:r>
      <w:proofErr w:type="spellStart"/>
      <w:r>
        <w:rPr>
          <w:sz w:val="22"/>
          <w:szCs w:val="22"/>
          <w:lang w:val="es-ES"/>
        </w:rPr>
        <w:t>must</w:t>
      </w:r>
      <w:proofErr w:type="spellEnd"/>
      <w:r>
        <w:rPr>
          <w:sz w:val="22"/>
          <w:szCs w:val="22"/>
          <w:lang w:val="es-ES"/>
        </w:rPr>
        <w:t xml:space="preserve"> be </w:t>
      </w:r>
      <w:proofErr w:type="spellStart"/>
      <w:r>
        <w:rPr>
          <w:sz w:val="22"/>
          <w:szCs w:val="22"/>
          <w:lang w:val="es-ES"/>
        </w:rPr>
        <w:t>considered</w:t>
      </w:r>
      <w:proofErr w:type="spellEnd"/>
      <w:r>
        <w:rPr>
          <w:sz w:val="22"/>
          <w:szCs w:val="22"/>
          <w:lang w:val="es-ES"/>
        </w:rPr>
        <w:t xml:space="preserve"> </w:t>
      </w:r>
      <w:proofErr w:type="spellStart"/>
      <w:r>
        <w:rPr>
          <w:sz w:val="22"/>
          <w:szCs w:val="22"/>
          <w:lang w:val="es-ES"/>
        </w:rPr>
        <w:t>confidential</w:t>
      </w:r>
      <w:proofErr w:type="spellEnd"/>
      <w:r>
        <w:rPr>
          <w:sz w:val="22"/>
          <w:szCs w:val="22"/>
          <w:lang w:val="es-ES"/>
        </w:rPr>
        <w:t xml:space="preserve"> </w:t>
      </w:r>
      <w:proofErr w:type="spellStart"/>
      <w:r>
        <w:rPr>
          <w:sz w:val="22"/>
          <w:szCs w:val="22"/>
          <w:lang w:val="es-ES"/>
        </w:rPr>
        <w:t>by</w:t>
      </w:r>
      <w:proofErr w:type="spellEnd"/>
      <w:r>
        <w:rPr>
          <w:sz w:val="22"/>
          <w:szCs w:val="22"/>
          <w:lang w:val="es-ES"/>
        </w:rPr>
        <w:t xml:space="preserve"> </w:t>
      </w:r>
      <w:proofErr w:type="spellStart"/>
      <w:r>
        <w:rPr>
          <w:sz w:val="22"/>
          <w:szCs w:val="22"/>
          <w:lang w:val="es-ES"/>
        </w:rPr>
        <w:t>the</w:t>
      </w:r>
      <w:proofErr w:type="spellEnd"/>
      <w:r>
        <w:rPr>
          <w:sz w:val="22"/>
          <w:szCs w:val="22"/>
          <w:lang w:val="es-ES"/>
        </w:rPr>
        <w:t xml:space="preserve"> </w:t>
      </w:r>
      <w:proofErr w:type="spellStart"/>
      <w:r>
        <w:rPr>
          <w:sz w:val="22"/>
          <w:szCs w:val="22"/>
          <w:lang w:val="es-ES"/>
        </w:rPr>
        <w:t>provider</w:t>
      </w:r>
      <w:proofErr w:type="spellEnd"/>
      <w:r>
        <w:rPr>
          <w:sz w:val="22"/>
          <w:szCs w:val="22"/>
          <w:lang w:val="es-ES"/>
        </w:rPr>
        <w:t xml:space="preserve"> and </w:t>
      </w:r>
      <w:proofErr w:type="spellStart"/>
      <w:r>
        <w:rPr>
          <w:sz w:val="22"/>
          <w:szCs w:val="22"/>
          <w:lang w:val="es-ES"/>
        </w:rPr>
        <w:t>will</w:t>
      </w:r>
      <w:proofErr w:type="spellEnd"/>
      <w:r>
        <w:rPr>
          <w:sz w:val="22"/>
          <w:szCs w:val="22"/>
          <w:lang w:val="es-ES"/>
        </w:rPr>
        <w:t xml:space="preserve"> be </w:t>
      </w:r>
      <w:proofErr w:type="spellStart"/>
      <w:r>
        <w:rPr>
          <w:sz w:val="22"/>
          <w:szCs w:val="22"/>
          <w:lang w:val="es-ES"/>
        </w:rPr>
        <w:t>treated</w:t>
      </w:r>
      <w:proofErr w:type="spellEnd"/>
      <w:r>
        <w:rPr>
          <w:sz w:val="22"/>
          <w:szCs w:val="22"/>
          <w:lang w:val="es-ES"/>
        </w:rPr>
        <w:t xml:space="preserve"> in </w:t>
      </w:r>
      <w:proofErr w:type="spellStart"/>
      <w:r>
        <w:rPr>
          <w:sz w:val="22"/>
          <w:szCs w:val="22"/>
          <w:lang w:val="es-ES"/>
        </w:rPr>
        <w:t>accordance</w:t>
      </w:r>
      <w:proofErr w:type="spellEnd"/>
      <w:r>
        <w:rPr>
          <w:sz w:val="22"/>
          <w:szCs w:val="22"/>
          <w:lang w:val="es-ES"/>
        </w:rPr>
        <w:t xml:space="preserve"> </w:t>
      </w:r>
      <w:proofErr w:type="spellStart"/>
      <w:r>
        <w:rPr>
          <w:sz w:val="22"/>
          <w:szCs w:val="22"/>
          <w:lang w:val="es-ES"/>
        </w:rPr>
        <w:t>with</w:t>
      </w:r>
      <w:proofErr w:type="spellEnd"/>
      <w:r>
        <w:rPr>
          <w:sz w:val="22"/>
          <w:szCs w:val="22"/>
          <w:lang w:val="es-ES"/>
        </w:rPr>
        <w:t xml:space="preserve"> </w:t>
      </w:r>
      <w:proofErr w:type="spellStart"/>
      <w:r>
        <w:rPr>
          <w:sz w:val="22"/>
          <w:szCs w:val="22"/>
          <w:lang w:val="es-ES"/>
        </w:rPr>
        <w:t>current</w:t>
      </w:r>
      <w:proofErr w:type="spellEnd"/>
      <w:r>
        <w:rPr>
          <w:sz w:val="22"/>
          <w:szCs w:val="22"/>
          <w:lang w:val="es-ES"/>
        </w:rPr>
        <w:t xml:space="preserve"> </w:t>
      </w:r>
      <w:proofErr w:type="spellStart"/>
      <w:r>
        <w:rPr>
          <w:sz w:val="22"/>
          <w:szCs w:val="22"/>
          <w:lang w:val="es-ES"/>
        </w:rPr>
        <w:t>information</w:t>
      </w:r>
      <w:proofErr w:type="spellEnd"/>
      <w:r>
        <w:rPr>
          <w:sz w:val="22"/>
          <w:szCs w:val="22"/>
          <w:lang w:val="es-ES"/>
        </w:rPr>
        <w:t xml:space="preserve"> </w:t>
      </w:r>
      <w:proofErr w:type="spellStart"/>
      <w:r>
        <w:rPr>
          <w:sz w:val="22"/>
          <w:szCs w:val="22"/>
          <w:lang w:val="es-ES"/>
        </w:rPr>
        <w:t>confidentiality</w:t>
      </w:r>
      <w:proofErr w:type="spellEnd"/>
      <w:r>
        <w:rPr>
          <w:sz w:val="22"/>
          <w:szCs w:val="22"/>
          <w:lang w:val="es-ES"/>
        </w:rPr>
        <w:t xml:space="preserve"> </w:t>
      </w:r>
      <w:proofErr w:type="spellStart"/>
      <w:r>
        <w:rPr>
          <w:sz w:val="22"/>
          <w:szCs w:val="22"/>
          <w:lang w:val="es-ES"/>
        </w:rPr>
        <w:t>regulations</w:t>
      </w:r>
      <w:proofErr w:type="spellEnd"/>
      <w:r>
        <w:rPr>
          <w:sz w:val="22"/>
          <w:szCs w:val="22"/>
          <w:lang w:val="es-ES"/>
        </w:rPr>
        <w:t xml:space="preserve"> in Uruguay.</w:t>
      </w:r>
    </w:p>
    <w:p w14:paraId="2871F446" w14:textId="77777777" w:rsidR="00E255F4" w:rsidRDefault="00000000">
      <w:pPr>
        <w:pStyle w:val="Prrafodelista"/>
        <w:numPr>
          <w:ilvl w:val="1"/>
          <w:numId w:val="17"/>
        </w:numPr>
        <w:spacing w:after="120"/>
        <w:ind w:left="567" w:hanging="567"/>
        <w:jc w:val="both"/>
        <w:rPr>
          <w:sz w:val="22"/>
          <w:szCs w:val="22"/>
          <w:lang w:val="es-ES"/>
        </w:rPr>
      </w:pPr>
      <w:r>
        <w:rPr>
          <w:sz w:val="22"/>
          <w:szCs w:val="22"/>
          <w:lang w:val="es-ES"/>
        </w:rPr>
        <w:t xml:space="preserve">OSE </w:t>
      </w:r>
      <w:proofErr w:type="spellStart"/>
      <w:r>
        <w:rPr>
          <w:sz w:val="22"/>
          <w:szCs w:val="22"/>
          <w:lang w:val="es-ES"/>
        </w:rPr>
        <w:t>will</w:t>
      </w:r>
      <w:proofErr w:type="spellEnd"/>
      <w:r>
        <w:rPr>
          <w:sz w:val="22"/>
          <w:szCs w:val="22"/>
          <w:lang w:val="es-ES"/>
        </w:rPr>
        <w:t xml:space="preserve"> </w:t>
      </w:r>
      <w:proofErr w:type="spellStart"/>
      <w:r>
        <w:rPr>
          <w:sz w:val="22"/>
          <w:szCs w:val="22"/>
          <w:lang w:val="es-ES"/>
        </w:rPr>
        <w:t>have</w:t>
      </w:r>
      <w:proofErr w:type="spellEnd"/>
      <w:r>
        <w:rPr>
          <w:sz w:val="22"/>
          <w:szCs w:val="22"/>
          <w:lang w:val="es-ES"/>
        </w:rPr>
        <w:t xml:space="preserve"> a </w:t>
      </w:r>
      <w:proofErr w:type="spellStart"/>
      <w:r>
        <w:rPr>
          <w:sz w:val="22"/>
          <w:szCs w:val="22"/>
          <w:lang w:val="es-ES"/>
        </w:rPr>
        <w:t>limited</w:t>
      </w:r>
      <w:proofErr w:type="spellEnd"/>
      <w:r>
        <w:rPr>
          <w:sz w:val="22"/>
          <w:szCs w:val="22"/>
          <w:lang w:val="es-ES"/>
        </w:rPr>
        <w:t xml:space="preserve"> </w:t>
      </w:r>
      <w:proofErr w:type="spellStart"/>
      <w:r>
        <w:rPr>
          <w:sz w:val="22"/>
          <w:szCs w:val="22"/>
          <w:lang w:val="es-ES"/>
        </w:rPr>
        <w:t>number</w:t>
      </w:r>
      <w:proofErr w:type="spellEnd"/>
      <w:r>
        <w:rPr>
          <w:sz w:val="22"/>
          <w:szCs w:val="22"/>
          <w:lang w:val="es-ES"/>
        </w:rPr>
        <w:t xml:space="preserve"> </w:t>
      </w:r>
      <w:proofErr w:type="spellStart"/>
      <w:r>
        <w:rPr>
          <w:sz w:val="22"/>
          <w:szCs w:val="22"/>
          <w:lang w:val="es-ES"/>
        </w:rPr>
        <w:t>of</w:t>
      </w:r>
      <w:proofErr w:type="spellEnd"/>
      <w:r>
        <w:rPr>
          <w:sz w:val="22"/>
          <w:szCs w:val="22"/>
          <w:lang w:val="es-ES"/>
        </w:rPr>
        <w:t xml:space="preserve"> alternative </w:t>
      </w:r>
      <w:proofErr w:type="spellStart"/>
      <w:r>
        <w:rPr>
          <w:sz w:val="22"/>
          <w:szCs w:val="22"/>
          <w:lang w:val="es-ES"/>
        </w:rPr>
        <w:t>supplies</w:t>
      </w:r>
      <w:proofErr w:type="spellEnd"/>
      <w:r>
        <w:rPr>
          <w:sz w:val="22"/>
          <w:szCs w:val="22"/>
          <w:lang w:val="es-ES"/>
        </w:rPr>
        <w:t xml:space="preserve"> </w:t>
      </w:r>
      <w:proofErr w:type="spellStart"/>
      <w:r>
        <w:rPr>
          <w:sz w:val="22"/>
          <w:szCs w:val="22"/>
          <w:lang w:val="es-ES"/>
        </w:rPr>
        <w:t>available</w:t>
      </w:r>
      <w:proofErr w:type="spellEnd"/>
      <w:r>
        <w:rPr>
          <w:sz w:val="22"/>
          <w:szCs w:val="22"/>
          <w:lang w:val="es-ES"/>
        </w:rPr>
        <w:t xml:space="preserve"> </w:t>
      </w:r>
      <w:proofErr w:type="spellStart"/>
      <w:r>
        <w:rPr>
          <w:sz w:val="22"/>
          <w:szCs w:val="22"/>
          <w:lang w:val="es-ES"/>
        </w:rPr>
        <w:t>for</w:t>
      </w:r>
      <w:proofErr w:type="spellEnd"/>
      <w:r>
        <w:rPr>
          <w:sz w:val="22"/>
          <w:szCs w:val="22"/>
          <w:lang w:val="es-ES"/>
        </w:rPr>
        <w:t xml:space="preserve"> </w:t>
      </w:r>
      <w:proofErr w:type="spellStart"/>
      <w:r>
        <w:rPr>
          <w:sz w:val="22"/>
          <w:szCs w:val="22"/>
          <w:lang w:val="es-ES"/>
        </w:rPr>
        <w:t>those</w:t>
      </w:r>
      <w:proofErr w:type="spellEnd"/>
      <w:r>
        <w:rPr>
          <w:sz w:val="22"/>
          <w:szCs w:val="22"/>
          <w:lang w:val="es-ES"/>
        </w:rPr>
        <w:t xml:space="preserve"> cases in </w:t>
      </w:r>
      <w:proofErr w:type="spellStart"/>
      <w:r>
        <w:rPr>
          <w:sz w:val="22"/>
          <w:szCs w:val="22"/>
          <w:lang w:val="es-ES"/>
        </w:rPr>
        <w:t>which</w:t>
      </w:r>
      <w:proofErr w:type="spellEnd"/>
      <w:r>
        <w:rPr>
          <w:sz w:val="22"/>
          <w:szCs w:val="22"/>
          <w:lang w:val="es-ES"/>
        </w:rPr>
        <w:t xml:space="preserve">, </w:t>
      </w:r>
      <w:proofErr w:type="spellStart"/>
      <w:r>
        <w:rPr>
          <w:sz w:val="22"/>
          <w:szCs w:val="22"/>
          <w:lang w:val="es-ES"/>
        </w:rPr>
        <w:t>for</w:t>
      </w:r>
      <w:proofErr w:type="spellEnd"/>
      <w:r>
        <w:rPr>
          <w:sz w:val="22"/>
          <w:szCs w:val="22"/>
          <w:lang w:val="es-ES"/>
        </w:rPr>
        <w:t xml:space="preserve"> </w:t>
      </w:r>
      <w:proofErr w:type="spellStart"/>
      <w:r>
        <w:rPr>
          <w:sz w:val="22"/>
          <w:szCs w:val="22"/>
          <w:lang w:val="es-ES"/>
        </w:rPr>
        <w:t>justified</w:t>
      </w:r>
      <w:proofErr w:type="spellEnd"/>
      <w:r>
        <w:rPr>
          <w:sz w:val="22"/>
          <w:szCs w:val="22"/>
          <w:lang w:val="es-ES"/>
        </w:rPr>
        <w:t xml:space="preserve"> </w:t>
      </w:r>
      <w:proofErr w:type="spellStart"/>
      <w:r>
        <w:rPr>
          <w:sz w:val="22"/>
          <w:szCs w:val="22"/>
          <w:lang w:val="es-ES"/>
        </w:rPr>
        <w:t>reasons</w:t>
      </w:r>
      <w:proofErr w:type="spellEnd"/>
      <w:r>
        <w:rPr>
          <w:sz w:val="22"/>
          <w:szCs w:val="22"/>
          <w:lang w:val="es-ES"/>
        </w:rPr>
        <w:t xml:space="preserve"> and at </w:t>
      </w:r>
      <w:proofErr w:type="spellStart"/>
      <w:r>
        <w:rPr>
          <w:sz w:val="22"/>
          <w:szCs w:val="22"/>
          <w:lang w:val="es-ES"/>
        </w:rPr>
        <w:t>the</w:t>
      </w:r>
      <w:proofErr w:type="spellEnd"/>
      <w:r>
        <w:rPr>
          <w:sz w:val="22"/>
          <w:szCs w:val="22"/>
          <w:lang w:val="es-ES"/>
        </w:rPr>
        <w:t xml:space="preserve"> </w:t>
      </w:r>
      <w:proofErr w:type="spellStart"/>
      <w:r>
        <w:rPr>
          <w:sz w:val="22"/>
          <w:szCs w:val="22"/>
          <w:lang w:val="es-ES"/>
        </w:rPr>
        <w:t>discretion</w:t>
      </w:r>
      <w:proofErr w:type="spellEnd"/>
      <w:r>
        <w:rPr>
          <w:sz w:val="22"/>
          <w:szCs w:val="22"/>
          <w:lang w:val="es-ES"/>
        </w:rPr>
        <w:t xml:space="preserve"> </w:t>
      </w:r>
      <w:proofErr w:type="spellStart"/>
      <w:r>
        <w:rPr>
          <w:sz w:val="22"/>
          <w:szCs w:val="22"/>
          <w:lang w:val="es-ES"/>
        </w:rPr>
        <w:t>of</w:t>
      </w:r>
      <w:proofErr w:type="spellEnd"/>
      <w:r>
        <w:rPr>
          <w:sz w:val="22"/>
          <w:szCs w:val="22"/>
          <w:lang w:val="es-ES"/>
        </w:rPr>
        <w:t xml:space="preserve"> </w:t>
      </w:r>
      <w:proofErr w:type="spellStart"/>
      <w:r>
        <w:rPr>
          <w:sz w:val="22"/>
          <w:szCs w:val="22"/>
          <w:lang w:val="es-ES"/>
        </w:rPr>
        <w:t>the</w:t>
      </w:r>
      <w:proofErr w:type="spellEnd"/>
      <w:r>
        <w:rPr>
          <w:sz w:val="22"/>
          <w:szCs w:val="22"/>
          <w:lang w:val="es-ES"/>
        </w:rPr>
        <w:t xml:space="preserve"> </w:t>
      </w:r>
      <w:proofErr w:type="spellStart"/>
      <w:r>
        <w:rPr>
          <w:sz w:val="22"/>
          <w:szCs w:val="22"/>
          <w:lang w:val="es-ES"/>
        </w:rPr>
        <w:t>Administration</w:t>
      </w:r>
      <w:proofErr w:type="spellEnd"/>
      <w:r>
        <w:rPr>
          <w:sz w:val="22"/>
          <w:szCs w:val="22"/>
          <w:lang w:val="es-ES"/>
        </w:rPr>
        <w:t xml:space="preserve">, </w:t>
      </w:r>
      <w:proofErr w:type="spellStart"/>
      <w:r>
        <w:rPr>
          <w:sz w:val="22"/>
          <w:szCs w:val="22"/>
          <w:lang w:val="es-ES"/>
        </w:rPr>
        <w:t>it</w:t>
      </w:r>
      <w:proofErr w:type="spellEnd"/>
      <w:r>
        <w:rPr>
          <w:sz w:val="22"/>
          <w:szCs w:val="22"/>
          <w:lang w:val="es-ES"/>
        </w:rPr>
        <w:t xml:space="preserve"> </w:t>
      </w:r>
      <w:proofErr w:type="spellStart"/>
      <w:r>
        <w:rPr>
          <w:sz w:val="22"/>
          <w:szCs w:val="22"/>
          <w:lang w:val="es-ES"/>
        </w:rPr>
        <w:t>is</w:t>
      </w:r>
      <w:proofErr w:type="spellEnd"/>
      <w:r>
        <w:rPr>
          <w:sz w:val="22"/>
          <w:szCs w:val="22"/>
          <w:lang w:val="es-ES"/>
        </w:rPr>
        <w:t xml:space="preserve"> </w:t>
      </w:r>
      <w:proofErr w:type="spellStart"/>
      <w:r>
        <w:rPr>
          <w:sz w:val="22"/>
          <w:szCs w:val="22"/>
          <w:lang w:val="es-ES"/>
        </w:rPr>
        <w:t>not</w:t>
      </w:r>
      <w:proofErr w:type="spellEnd"/>
      <w:r>
        <w:rPr>
          <w:sz w:val="22"/>
          <w:szCs w:val="22"/>
          <w:lang w:val="es-ES"/>
        </w:rPr>
        <w:t xml:space="preserve"> </w:t>
      </w:r>
      <w:proofErr w:type="spellStart"/>
      <w:r>
        <w:rPr>
          <w:sz w:val="22"/>
          <w:szCs w:val="22"/>
          <w:lang w:val="es-ES"/>
        </w:rPr>
        <w:t>possible</w:t>
      </w:r>
      <w:proofErr w:type="spellEnd"/>
      <w:r>
        <w:rPr>
          <w:sz w:val="22"/>
          <w:szCs w:val="22"/>
          <w:lang w:val="es-ES"/>
        </w:rPr>
        <w:t xml:space="preserve"> </w:t>
      </w:r>
      <w:proofErr w:type="spellStart"/>
      <w:r>
        <w:rPr>
          <w:sz w:val="22"/>
          <w:szCs w:val="22"/>
          <w:lang w:val="es-ES"/>
        </w:rPr>
        <w:t>to</w:t>
      </w:r>
      <w:proofErr w:type="spellEnd"/>
      <w:r>
        <w:rPr>
          <w:sz w:val="22"/>
          <w:szCs w:val="22"/>
          <w:lang w:val="es-ES"/>
        </w:rPr>
        <w:t xml:space="preserve"> </w:t>
      </w:r>
      <w:proofErr w:type="spellStart"/>
      <w:r>
        <w:rPr>
          <w:sz w:val="22"/>
          <w:szCs w:val="22"/>
          <w:lang w:val="es-ES"/>
        </w:rPr>
        <w:t>establish</w:t>
      </w:r>
      <w:proofErr w:type="spellEnd"/>
      <w:r>
        <w:rPr>
          <w:sz w:val="22"/>
          <w:szCs w:val="22"/>
          <w:lang w:val="es-ES"/>
        </w:rPr>
        <w:t xml:space="preserve"> </w:t>
      </w:r>
      <w:proofErr w:type="spellStart"/>
      <w:r>
        <w:rPr>
          <w:sz w:val="22"/>
          <w:szCs w:val="22"/>
          <w:lang w:val="es-ES"/>
        </w:rPr>
        <w:t>or</w:t>
      </w:r>
      <w:proofErr w:type="spellEnd"/>
      <w:r>
        <w:rPr>
          <w:sz w:val="22"/>
          <w:szCs w:val="22"/>
          <w:lang w:val="es-ES"/>
        </w:rPr>
        <w:t xml:space="preserve"> </w:t>
      </w:r>
      <w:proofErr w:type="spellStart"/>
      <w:r>
        <w:rPr>
          <w:sz w:val="22"/>
          <w:szCs w:val="22"/>
          <w:lang w:val="es-ES"/>
        </w:rPr>
        <w:t>stabilize</w:t>
      </w:r>
      <w:proofErr w:type="spellEnd"/>
      <w:r>
        <w:rPr>
          <w:sz w:val="22"/>
          <w:szCs w:val="22"/>
          <w:lang w:val="es-ES"/>
        </w:rPr>
        <w:t xml:space="preserve"> </w:t>
      </w:r>
      <w:proofErr w:type="spellStart"/>
      <w:r>
        <w:rPr>
          <w:sz w:val="22"/>
          <w:szCs w:val="22"/>
          <w:lang w:val="es-ES"/>
        </w:rPr>
        <w:t>the</w:t>
      </w:r>
      <w:proofErr w:type="spellEnd"/>
      <w:r>
        <w:rPr>
          <w:sz w:val="22"/>
          <w:szCs w:val="22"/>
          <w:lang w:val="es-ES"/>
        </w:rPr>
        <w:t xml:space="preserve"> </w:t>
      </w:r>
      <w:proofErr w:type="spellStart"/>
      <w:r>
        <w:rPr>
          <w:sz w:val="22"/>
          <w:szCs w:val="22"/>
          <w:lang w:val="es-ES"/>
        </w:rPr>
        <w:t>telemetry</w:t>
      </w:r>
      <w:proofErr w:type="spellEnd"/>
      <w:r>
        <w:rPr>
          <w:sz w:val="22"/>
          <w:szCs w:val="22"/>
          <w:lang w:val="es-ES"/>
        </w:rPr>
        <w:t xml:space="preserve"> in </w:t>
      </w:r>
      <w:proofErr w:type="spellStart"/>
      <w:r>
        <w:rPr>
          <w:sz w:val="22"/>
          <w:szCs w:val="22"/>
          <w:lang w:val="es-ES"/>
        </w:rPr>
        <w:t>accordance</w:t>
      </w:r>
      <w:proofErr w:type="spellEnd"/>
      <w:r>
        <w:rPr>
          <w:sz w:val="22"/>
          <w:szCs w:val="22"/>
          <w:lang w:val="es-ES"/>
        </w:rPr>
        <w:t xml:space="preserve"> </w:t>
      </w:r>
      <w:proofErr w:type="spellStart"/>
      <w:r>
        <w:rPr>
          <w:sz w:val="22"/>
          <w:szCs w:val="22"/>
          <w:lang w:val="es-ES"/>
        </w:rPr>
        <w:t>with</w:t>
      </w:r>
      <w:proofErr w:type="spellEnd"/>
      <w:r>
        <w:rPr>
          <w:sz w:val="22"/>
          <w:szCs w:val="22"/>
          <w:lang w:val="es-ES"/>
        </w:rPr>
        <w:t xml:space="preserve"> </w:t>
      </w:r>
      <w:proofErr w:type="spellStart"/>
      <w:r>
        <w:rPr>
          <w:sz w:val="22"/>
          <w:szCs w:val="22"/>
          <w:lang w:val="es-ES"/>
        </w:rPr>
        <w:t>the</w:t>
      </w:r>
      <w:proofErr w:type="spellEnd"/>
      <w:r>
        <w:rPr>
          <w:sz w:val="22"/>
          <w:szCs w:val="22"/>
          <w:lang w:val="es-ES"/>
        </w:rPr>
        <w:t xml:space="preserve"> </w:t>
      </w:r>
      <w:proofErr w:type="spellStart"/>
      <w:r>
        <w:rPr>
          <w:sz w:val="22"/>
          <w:szCs w:val="22"/>
          <w:lang w:val="es-ES"/>
        </w:rPr>
        <w:t>requirements</w:t>
      </w:r>
      <w:proofErr w:type="spellEnd"/>
      <w:r>
        <w:rPr>
          <w:sz w:val="22"/>
          <w:szCs w:val="22"/>
          <w:lang w:val="es-ES"/>
        </w:rPr>
        <w:t xml:space="preserve"> </w:t>
      </w:r>
      <w:proofErr w:type="spellStart"/>
      <w:r>
        <w:rPr>
          <w:sz w:val="22"/>
          <w:szCs w:val="22"/>
          <w:lang w:val="es-ES"/>
        </w:rPr>
        <w:t>of</w:t>
      </w:r>
      <w:proofErr w:type="spellEnd"/>
      <w:r>
        <w:rPr>
          <w:sz w:val="22"/>
          <w:szCs w:val="22"/>
          <w:lang w:val="es-ES"/>
        </w:rPr>
        <w:t xml:space="preserve"> </w:t>
      </w:r>
      <w:proofErr w:type="spellStart"/>
      <w:r>
        <w:rPr>
          <w:sz w:val="22"/>
          <w:szCs w:val="22"/>
          <w:lang w:val="es-ES"/>
        </w:rPr>
        <w:t>the</w:t>
      </w:r>
      <w:proofErr w:type="spellEnd"/>
      <w:r>
        <w:rPr>
          <w:sz w:val="22"/>
          <w:szCs w:val="22"/>
          <w:lang w:val="es-ES"/>
        </w:rPr>
        <w:t xml:space="preserve"> tender.</w:t>
      </w:r>
    </w:p>
    <w:p w14:paraId="36B4E04C" w14:textId="77777777" w:rsidR="00E255F4" w:rsidRDefault="00000000">
      <w:pPr>
        <w:pStyle w:val="Ttulo2"/>
        <w:spacing w:after="240"/>
        <w:ind w:left="567" w:hanging="567"/>
        <w:rPr>
          <w:rFonts w:ascii="Times New Roman" w:hAnsi="Times New Roman" w:cs="Times New Roman"/>
          <w:i w:val="0"/>
          <w:sz w:val="24"/>
          <w:szCs w:val="24"/>
        </w:rPr>
      </w:pPr>
      <w:bookmarkStart w:id="116" w:name="__RefHeading___Toc225377276"/>
      <w:bookmarkEnd w:id="116"/>
      <w:r>
        <w:rPr>
          <w:rFonts w:ascii="Times New Roman" w:hAnsi="Times New Roman" w:cs="Times New Roman"/>
          <w:i w:val="0"/>
          <w:sz w:val="24"/>
          <w:szCs w:val="24"/>
        </w:rPr>
        <w:t>ON THE TRANSFER OF INFORMATION</w:t>
      </w:r>
    </w:p>
    <w:p w14:paraId="540D864B" w14:textId="77777777" w:rsidR="00E255F4" w:rsidRDefault="00E255F4">
      <w:pPr>
        <w:pStyle w:val="Prrafodelista"/>
        <w:ind w:left="0"/>
        <w:rPr>
          <w:i/>
          <w:vanish/>
          <w:sz w:val="22"/>
          <w:szCs w:val="22"/>
          <w:lang w:val="es-ES"/>
        </w:rPr>
      </w:pPr>
    </w:p>
    <w:p w14:paraId="25E5DE6A" w14:textId="77777777" w:rsidR="00E255F4" w:rsidRDefault="00000000">
      <w:pPr>
        <w:pStyle w:val="Prrafodelista"/>
        <w:numPr>
          <w:ilvl w:val="1"/>
          <w:numId w:val="66"/>
        </w:numPr>
        <w:spacing w:after="120"/>
        <w:ind w:left="567" w:hanging="567"/>
        <w:jc w:val="both"/>
      </w:pPr>
      <w:r>
        <w:rPr>
          <w:sz w:val="22"/>
          <w:szCs w:val="22"/>
          <w:lang w:val="es-ES"/>
        </w:rPr>
        <w:t xml:space="preserve">Once </w:t>
      </w:r>
      <w:proofErr w:type="spellStart"/>
      <w:r>
        <w:rPr>
          <w:sz w:val="22"/>
          <w:szCs w:val="22"/>
          <w:lang w:val="es-ES"/>
        </w:rPr>
        <w:t>the</w:t>
      </w:r>
      <w:proofErr w:type="spellEnd"/>
      <w:r>
        <w:rPr>
          <w:sz w:val="22"/>
          <w:szCs w:val="22"/>
          <w:lang w:val="es-ES"/>
        </w:rPr>
        <w:t xml:space="preserve"> </w:t>
      </w:r>
      <w:proofErr w:type="spellStart"/>
      <w:r>
        <w:rPr>
          <w:sz w:val="22"/>
          <w:szCs w:val="22"/>
          <w:lang w:val="es-ES"/>
        </w:rPr>
        <w:t>validation</w:t>
      </w:r>
      <w:proofErr w:type="spellEnd"/>
      <w:r>
        <w:rPr>
          <w:sz w:val="22"/>
          <w:szCs w:val="22"/>
          <w:lang w:val="es-ES"/>
        </w:rPr>
        <w:t xml:space="preserve"> </w:t>
      </w:r>
      <w:proofErr w:type="spellStart"/>
      <w:r>
        <w:rPr>
          <w:sz w:val="22"/>
          <w:szCs w:val="22"/>
          <w:lang w:val="es-ES"/>
        </w:rPr>
        <w:t>stage</w:t>
      </w:r>
      <w:proofErr w:type="spellEnd"/>
      <w:r>
        <w:rPr>
          <w:sz w:val="22"/>
          <w:szCs w:val="22"/>
          <w:lang w:val="es-ES"/>
        </w:rPr>
        <w:t xml:space="preserve"> </w:t>
      </w:r>
      <w:proofErr w:type="spellStart"/>
      <w:r>
        <w:rPr>
          <w:sz w:val="22"/>
          <w:szCs w:val="22"/>
          <w:lang w:val="es-ES"/>
        </w:rPr>
        <w:t>of</w:t>
      </w:r>
      <w:proofErr w:type="spellEnd"/>
      <w:r>
        <w:rPr>
          <w:sz w:val="22"/>
          <w:szCs w:val="22"/>
          <w:lang w:val="es-ES"/>
        </w:rPr>
        <w:t xml:space="preserve"> </w:t>
      </w:r>
      <w:proofErr w:type="spellStart"/>
      <w:r>
        <w:rPr>
          <w:sz w:val="22"/>
          <w:szCs w:val="22"/>
          <w:lang w:val="es-ES"/>
        </w:rPr>
        <w:t>the</w:t>
      </w:r>
      <w:proofErr w:type="spellEnd"/>
      <w:r>
        <w:rPr>
          <w:sz w:val="22"/>
          <w:szCs w:val="22"/>
          <w:lang w:val="es-ES"/>
        </w:rPr>
        <w:t xml:space="preserve"> </w:t>
      </w:r>
      <w:proofErr w:type="spellStart"/>
      <w:r>
        <w:rPr>
          <w:sz w:val="22"/>
          <w:szCs w:val="22"/>
          <w:lang w:val="es-ES"/>
        </w:rPr>
        <w:t>System</w:t>
      </w:r>
      <w:proofErr w:type="spellEnd"/>
      <w:r>
        <w:rPr>
          <w:sz w:val="22"/>
          <w:szCs w:val="22"/>
          <w:lang w:val="es-ES"/>
        </w:rPr>
        <w:t xml:space="preserve"> and </w:t>
      </w:r>
      <w:proofErr w:type="spellStart"/>
      <w:r>
        <w:rPr>
          <w:sz w:val="22"/>
          <w:szCs w:val="22"/>
          <w:lang w:val="es-ES"/>
        </w:rPr>
        <w:t>the</w:t>
      </w:r>
      <w:proofErr w:type="spellEnd"/>
      <w:r>
        <w:rPr>
          <w:sz w:val="22"/>
          <w:szCs w:val="22"/>
          <w:lang w:val="es-ES"/>
        </w:rPr>
        <w:t xml:space="preserve"> </w:t>
      </w:r>
      <w:proofErr w:type="spellStart"/>
      <w:r>
        <w:rPr>
          <w:sz w:val="22"/>
          <w:szCs w:val="22"/>
          <w:lang w:val="es-ES"/>
        </w:rPr>
        <w:t>Telemetry</w:t>
      </w:r>
      <w:proofErr w:type="spellEnd"/>
      <w:r>
        <w:rPr>
          <w:sz w:val="22"/>
          <w:szCs w:val="22"/>
          <w:lang w:val="es-ES"/>
        </w:rPr>
        <w:t xml:space="preserve"> Service </w:t>
      </w:r>
      <w:proofErr w:type="spellStart"/>
      <w:r>
        <w:rPr>
          <w:sz w:val="22"/>
          <w:szCs w:val="22"/>
          <w:lang w:val="es-ES"/>
        </w:rPr>
        <w:t>is</w:t>
      </w:r>
      <w:proofErr w:type="spellEnd"/>
      <w:r>
        <w:rPr>
          <w:sz w:val="22"/>
          <w:szCs w:val="22"/>
          <w:lang w:val="es-ES"/>
        </w:rPr>
        <w:t xml:space="preserve"> </w:t>
      </w:r>
      <w:proofErr w:type="spellStart"/>
      <w:r>
        <w:rPr>
          <w:sz w:val="22"/>
          <w:szCs w:val="22"/>
          <w:lang w:val="es-ES"/>
        </w:rPr>
        <w:t>completed</w:t>
      </w:r>
      <w:proofErr w:type="spellEnd"/>
      <w:r>
        <w:rPr>
          <w:sz w:val="22"/>
          <w:szCs w:val="22"/>
          <w:lang w:val="es-ES"/>
        </w:rPr>
        <w:t xml:space="preserve">, </w:t>
      </w:r>
      <w:proofErr w:type="spellStart"/>
      <w:r>
        <w:rPr>
          <w:sz w:val="22"/>
          <w:szCs w:val="22"/>
          <w:lang w:val="es-ES"/>
        </w:rPr>
        <w:t>the</w:t>
      </w:r>
      <w:proofErr w:type="spellEnd"/>
      <w:r>
        <w:rPr>
          <w:sz w:val="22"/>
          <w:szCs w:val="22"/>
          <w:lang w:val="es-ES"/>
        </w:rPr>
        <w:t xml:space="preserve"> </w:t>
      </w:r>
      <w:proofErr w:type="spellStart"/>
      <w:r>
        <w:rPr>
          <w:sz w:val="22"/>
          <w:szCs w:val="22"/>
          <w:lang w:val="es-ES"/>
        </w:rPr>
        <w:t>successful</w:t>
      </w:r>
      <w:proofErr w:type="spellEnd"/>
      <w:r>
        <w:rPr>
          <w:sz w:val="22"/>
          <w:szCs w:val="22"/>
          <w:lang w:val="es-ES"/>
        </w:rPr>
        <w:t xml:space="preserve"> </w:t>
      </w:r>
      <w:proofErr w:type="spellStart"/>
      <w:r>
        <w:rPr>
          <w:sz w:val="22"/>
          <w:szCs w:val="22"/>
          <w:lang w:val="es-ES"/>
        </w:rPr>
        <w:t>bidder</w:t>
      </w:r>
      <w:proofErr w:type="spellEnd"/>
      <w:r>
        <w:rPr>
          <w:sz w:val="22"/>
          <w:szCs w:val="22"/>
          <w:lang w:val="es-ES"/>
        </w:rPr>
        <w:t xml:space="preserve"> </w:t>
      </w:r>
      <w:proofErr w:type="spellStart"/>
      <w:r>
        <w:rPr>
          <w:sz w:val="22"/>
          <w:szCs w:val="22"/>
          <w:lang w:val="es-ES"/>
        </w:rPr>
        <w:t>must</w:t>
      </w:r>
      <w:proofErr w:type="spellEnd"/>
      <w:r>
        <w:rPr>
          <w:sz w:val="22"/>
          <w:szCs w:val="22"/>
          <w:lang w:val="es-ES"/>
        </w:rPr>
        <w:t xml:space="preserve"> </w:t>
      </w:r>
      <w:proofErr w:type="spellStart"/>
      <w:r>
        <w:rPr>
          <w:sz w:val="22"/>
          <w:szCs w:val="22"/>
          <w:lang w:val="es-ES"/>
        </w:rPr>
        <w:t>expand</w:t>
      </w:r>
      <w:proofErr w:type="spellEnd"/>
      <w:r>
        <w:rPr>
          <w:sz w:val="22"/>
          <w:szCs w:val="22"/>
          <w:lang w:val="es-ES"/>
        </w:rPr>
        <w:t xml:space="preserve"> </w:t>
      </w:r>
      <w:proofErr w:type="spellStart"/>
      <w:r>
        <w:rPr>
          <w:sz w:val="22"/>
          <w:szCs w:val="22"/>
          <w:lang w:val="es-ES"/>
        </w:rPr>
        <w:t>the</w:t>
      </w:r>
      <w:proofErr w:type="spellEnd"/>
      <w:r>
        <w:rPr>
          <w:sz w:val="22"/>
          <w:szCs w:val="22"/>
          <w:lang w:val="es-ES"/>
        </w:rPr>
        <w:t xml:space="preserve"> </w:t>
      </w:r>
      <w:proofErr w:type="spellStart"/>
      <w:r>
        <w:rPr>
          <w:sz w:val="22"/>
          <w:szCs w:val="22"/>
          <w:lang w:val="es-ES"/>
        </w:rPr>
        <w:t>technical</w:t>
      </w:r>
      <w:proofErr w:type="spellEnd"/>
      <w:r>
        <w:rPr>
          <w:sz w:val="22"/>
          <w:szCs w:val="22"/>
          <w:lang w:val="es-ES"/>
        </w:rPr>
        <w:t xml:space="preserve"> </w:t>
      </w:r>
      <w:proofErr w:type="spellStart"/>
      <w:r>
        <w:rPr>
          <w:sz w:val="22"/>
          <w:szCs w:val="22"/>
          <w:lang w:val="es-ES"/>
        </w:rPr>
        <w:t>information</w:t>
      </w:r>
      <w:proofErr w:type="spellEnd"/>
      <w:r>
        <w:rPr>
          <w:sz w:val="22"/>
          <w:szCs w:val="22"/>
          <w:lang w:val="es-ES"/>
        </w:rPr>
        <w:t xml:space="preserve"> </w:t>
      </w:r>
      <w:proofErr w:type="spellStart"/>
      <w:r>
        <w:rPr>
          <w:sz w:val="22"/>
          <w:szCs w:val="22"/>
          <w:lang w:val="es-ES"/>
        </w:rPr>
        <w:t>provided</w:t>
      </w:r>
      <w:proofErr w:type="spellEnd"/>
      <w:r>
        <w:rPr>
          <w:sz w:val="22"/>
          <w:szCs w:val="22"/>
          <w:lang w:val="es-ES"/>
        </w:rPr>
        <w:t xml:space="preserve"> in </w:t>
      </w:r>
      <w:proofErr w:type="spellStart"/>
      <w:r>
        <w:rPr>
          <w:sz w:val="22"/>
          <w:szCs w:val="22"/>
          <w:lang w:val="es-ES"/>
        </w:rPr>
        <w:t>the</w:t>
      </w:r>
      <w:proofErr w:type="spellEnd"/>
      <w:r>
        <w:rPr>
          <w:sz w:val="22"/>
          <w:szCs w:val="22"/>
          <w:lang w:val="es-ES"/>
        </w:rPr>
        <w:t xml:space="preserve"> </w:t>
      </w:r>
      <w:proofErr w:type="spellStart"/>
      <w:r>
        <w:rPr>
          <w:sz w:val="22"/>
          <w:szCs w:val="22"/>
          <w:lang w:val="es-ES"/>
        </w:rPr>
        <w:t>offer</w:t>
      </w:r>
      <w:proofErr w:type="spellEnd"/>
      <w:r>
        <w:rPr>
          <w:sz w:val="22"/>
          <w:szCs w:val="22"/>
          <w:lang w:val="es-ES"/>
        </w:rPr>
        <w:t>.</w:t>
      </w:r>
    </w:p>
    <w:p w14:paraId="7E9242F3" w14:textId="77777777" w:rsidR="00E255F4" w:rsidRDefault="00000000">
      <w:pPr>
        <w:pStyle w:val="Prrafodelista"/>
        <w:spacing w:after="120"/>
        <w:ind w:left="567"/>
        <w:jc w:val="both"/>
        <w:rPr>
          <w:sz w:val="22"/>
          <w:szCs w:val="22"/>
          <w:lang w:val="es-ES"/>
        </w:rPr>
      </w:pPr>
      <w:r>
        <w:rPr>
          <w:sz w:val="22"/>
          <w:szCs w:val="22"/>
          <w:lang w:val="es-ES"/>
        </w:rPr>
        <w:t xml:space="preserve">The </w:t>
      </w:r>
      <w:proofErr w:type="spellStart"/>
      <w:r>
        <w:rPr>
          <w:sz w:val="22"/>
          <w:szCs w:val="22"/>
          <w:lang w:val="es-ES"/>
        </w:rPr>
        <w:t>information</w:t>
      </w:r>
      <w:proofErr w:type="spellEnd"/>
      <w:r>
        <w:rPr>
          <w:sz w:val="22"/>
          <w:szCs w:val="22"/>
          <w:lang w:val="es-ES"/>
        </w:rPr>
        <w:t xml:space="preserve"> </w:t>
      </w:r>
      <w:proofErr w:type="spellStart"/>
      <w:r>
        <w:rPr>
          <w:sz w:val="22"/>
          <w:szCs w:val="22"/>
          <w:lang w:val="es-ES"/>
        </w:rPr>
        <w:t>will</w:t>
      </w:r>
      <w:proofErr w:type="spellEnd"/>
      <w:r>
        <w:rPr>
          <w:sz w:val="22"/>
          <w:szCs w:val="22"/>
          <w:lang w:val="es-ES"/>
        </w:rPr>
        <w:t xml:space="preserve"> be </w:t>
      </w:r>
      <w:proofErr w:type="spellStart"/>
      <w:r>
        <w:rPr>
          <w:sz w:val="22"/>
          <w:szCs w:val="22"/>
          <w:lang w:val="es-ES"/>
        </w:rPr>
        <w:t>provided</w:t>
      </w:r>
      <w:proofErr w:type="spellEnd"/>
      <w:r>
        <w:rPr>
          <w:sz w:val="22"/>
          <w:szCs w:val="22"/>
          <w:lang w:val="es-ES"/>
        </w:rPr>
        <w:t xml:space="preserve"> </w:t>
      </w:r>
      <w:proofErr w:type="spellStart"/>
      <w:r>
        <w:rPr>
          <w:sz w:val="22"/>
          <w:szCs w:val="22"/>
          <w:lang w:val="es-ES"/>
        </w:rPr>
        <w:t>to</w:t>
      </w:r>
      <w:proofErr w:type="spellEnd"/>
      <w:r>
        <w:rPr>
          <w:sz w:val="22"/>
          <w:szCs w:val="22"/>
          <w:lang w:val="es-ES"/>
        </w:rPr>
        <w:t xml:space="preserve"> </w:t>
      </w:r>
      <w:proofErr w:type="spellStart"/>
      <w:r>
        <w:rPr>
          <w:sz w:val="22"/>
          <w:szCs w:val="22"/>
          <w:lang w:val="es-ES"/>
        </w:rPr>
        <w:t>technicians</w:t>
      </w:r>
      <w:proofErr w:type="spellEnd"/>
      <w:r>
        <w:rPr>
          <w:sz w:val="22"/>
          <w:szCs w:val="22"/>
          <w:lang w:val="es-ES"/>
        </w:rPr>
        <w:t xml:space="preserve"> </w:t>
      </w:r>
      <w:proofErr w:type="spellStart"/>
      <w:r>
        <w:rPr>
          <w:sz w:val="22"/>
          <w:szCs w:val="22"/>
          <w:lang w:val="es-ES"/>
        </w:rPr>
        <w:t>designated</w:t>
      </w:r>
      <w:proofErr w:type="spellEnd"/>
      <w:r>
        <w:rPr>
          <w:sz w:val="22"/>
          <w:szCs w:val="22"/>
          <w:lang w:val="es-ES"/>
        </w:rPr>
        <w:t xml:space="preserve"> </w:t>
      </w:r>
      <w:proofErr w:type="spellStart"/>
      <w:r>
        <w:rPr>
          <w:sz w:val="22"/>
          <w:szCs w:val="22"/>
          <w:lang w:val="es-ES"/>
        </w:rPr>
        <w:t>by</w:t>
      </w:r>
      <w:proofErr w:type="spellEnd"/>
      <w:r>
        <w:rPr>
          <w:sz w:val="22"/>
          <w:szCs w:val="22"/>
          <w:lang w:val="es-ES"/>
        </w:rPr>
        <w:t xml:space="preserve"> OSE and </w:t>
      </w:r>
      <w:proofErr w:type="spellStart"/>
      <w:r>
        <w:rPr>
          <w:sz w:val="22"/>
          <w:szCs w:val="22"/>
          <w:lang w:val="es-ES"/>
        </w:rPr>
        <w:t>will</w:t>
      </w:r>
      <w:proofErr w:type="spellEnd"/>
      <w:r>
        <w:rPr>
          <w:sz w:val="22"/>
          <w:szCs w:val="22"/>
          <w:lang w:val="es-ES"/>
        </w:rPr>
        <w:t xml:space="preserve"> </w:t>
      </w:r>
      <w:proofErr w:type="spellStart"/>
      <w:r>
        <w:rPr>
          <w:sz w:val="22"/>
          <w:szCs w:val="22"/>
          <w:lang w:val="es-ES"/>
        </w:rPr>
        <w:t>cover</w:t>
      </w:r>
      <w:proofErr w:type="spellEnd"/>
      <w:r>
        <w:rPr>
          <w:sz w:val="22"/>
          <w:szCs w:val="22"/>
          <w:lang w:val="es-ES"/>
        </w:rPr>
        <w:t xml:space="preserve"> at </w:t>
      </w:r>
      <w:proofErr w:type="spellStart"/>
      <w:r>
        <w:rPr>
          <w:sz w:val="22"/>
          <w:szCs w:val="22"/>
          <w:lang w:val="es-ES"/>
        </w:rPr>
        <w:t>least</w:t>
      </w:r>
      <w:proofErr w:type="spellEnd"/>
      <w:r>
        <w:rPr>
          <w:sz w:val="22"/>
          <w:szCs w:val="22"/>
          <w:lang w:val="es-ES"/>
        </w:rPr>
        <w:t xml:space="preserve"> </w:t>
      </w:r>
      <w:proofErr w:type="spellStart"/>
      <w:r>
        <w:rPr>
          <w:sz w:val="22"/>
          <w:szCs w:val="22"/>
          <w:lang w:val="es-ES"/>
        </w:rPr>
        <w:t>the</w:t>
      </w:r>
      <w:proofErr w:type="spellEnd"/>
      <w:r>
        <w:rPr>
          <w:sz w:val="22"/>
          <w:szCs w:val="22"/>
          <w:lang w:val="es-ES"/>
        </w:rPr>
        <w:t xml:space="preserve"> </w:t>
      </w:r>
      <w:proofErr w:type="spellStart"/>
      <w:r>
        <w:rPr>
          <w:sz w:val="22"/>
          <w:szCs w:val="22"/>
          <w:lang w:val="es-ES"/>
        </w:rPr>
        <w:t>following</w:t>
      </w:r>
      <w:proofErr w:type="spellEnd"/>
      <w:r>
        <w:rPr>
          <w:sz w:val="22"/>
          <w:szCs w:val="22"/>
          <w:lang w:val="es-ES"/>
        </w:rPr>
        <w:t xml:space="preserve"> </w:t>
      </w:r>
      <w:proofErr w:type="spellStart"/>
      <w:r>
        <w:rPr>
          <w:sz w:val="22"/>
          <w:szCs w:val="22"/>
          <w:lang w:val="es-ES"/>
        </w:rPr>
        <w:t>aspects</w:t>
      </w:r>
      <w:proofErr w:type="spellEnd"/>
      <w:r>
        <w:rPr>
          <w:sz w:val="22"/>
          <w:szCs w:val="22"/>
          <w:lang w:val="es-ES"/>
        </w:rPr>
        <w:t>:</w:t>
      </w:r>
    </w:p>
    <w:p w14:paraId="4C1F5831" w14:textId="77777777" w:rsidR="00E255F4" w:rsidRDefault="00000000">
      <w:pPr>
        <w:numPr>
          <w:ilvl w:val="0"/>
          <w:numId w:val="46"/>
        </w:numPr>
        <w:spacing w:after="80" w:line="240" w:lineRule="auto"/>
        <w:ind w:left="1134" w:hanging="425"/>
        <w:rPr>
          <w:sz w:val="22"/>
          <w:szCs w:val="22"/>
          <w:lang w:val="es-ES"/>
        </w:rPr>
      </w:pPr>
      <w:proofErr w:type="spellStart"/>
      <w:r>
        <w:rPr>
          <w:sz w:val="22"/>
          <w:szCs w:val="22"/>
          <w:lang w:val="es-ES"/>
        </w:rPr>
        <w:t>Functionalities</w:t>
      </w:r>
      <w:proofErr w:type="spellEnd"/>
      <w:r>
        <w:rPr>
          <w:sz w:val="22"/>
          <w:szCs w:val="22"/>
          <w:lang w:val="es-ES"/>
        </w:rPr>
        <w:t xml:space="preserve"> </w:t>
      </w:r>
      <w:proofErr w:type="spellStart"/>
      <w:r>
        <w:rPr>
          <w:sz w:val="22"/>
          <w:szCs w:val="22"/>
          <w:lang w:val="es-ES"/>
        </w:rPr>
        <w:t>of</w:t>
      </w:r>
      <w:proofErr w:type="spellEnd"/>
      <w:r>
        <w:rPr>
          <w:sz w:val="22"/>
          <w:szCs w:val="22"/>
          <w:lang w:val="es-ES"/>
        </w:rPr>
        <w:t xml:space="preserve"> </w:t>
      </w:r>
      <w:proofErr w:type="spellStart"/>
      <w:r>
        <w:rPr>
          <w:sz w:val="22"/>
          <w:szCs w:val="22"/>
          <w:lang w:val="es-ES"/>
        </w:rPr>
        <w:t>the</w:t>
      </w:r>
      <w:proofErr w:type="spellEnd"/>
      <w:r>
        <w:rPr>
          <w:sz w:val="22"/>
          <w:szCs w:val="22"/>
          <w:lang w:val="es-ES"/>
        </w:rPr>
        <w:t xml:space="preserve"> </w:t>
      </w:r>
      <w:proofErr w:type="spellStart"/>
      <w:r>
        <w:rPr>
          <w:sz w:val="22"/>
          <w:szCs w:val="22"/>
          <w:lang w:val="es-ES"/>
        </w:rPr>
        <w:t>implemented</w:t>
      </w:r>
      <w:proofErr w:type="spellEnd"/>
      <w:r>
        <w:rPr>
          <w:sz w:val="22"/>
          <w:szCs w:val="22"/>
          <w:lang w:val="es-ES"/>
        </w:rPr>
        <w:t xml:space="preserve"> </w:t>
      </w:r>
      <w:proofErr w:type="spellStart"/>
      <w:r>
        <w:rPr>
          <w:sz w:val="22"/>
          <w:szCs w:val="22"/>
          <w:lang w:val="es-ES"/>
        </w:rPr>
        <w:t>Telemetry</w:t>
      </w:r>
      <w:proofErr w:type="spellEnd"/>
      <w:r>
        <w:rPr>
          <w:sz w:val="22"/>
          <w:szCs w:val="22"/>
          <w:lang w:val="es-ES"/>
        </w:rPr>
        <w:t xml:space="preserve"> </w:t>
      </w:r>
      <w:proofErr w:type="spellStart"/>
      <w:r>
        <w:rPr>
          <w:sz w:val="22"/>
          <w:szCs w:val="22"/>
          <w:lang w:val="es-ES"/>
        </w:rPr>
        <w:t>System</w:t>
      </w:r>
      <w:proofErr w:type="spellEnd"/>
      <w:r>
        <w:rPr>
          <w:sz w:val="22"/>
          <w:szCs w:val="22"/>
          <w:lang w:val="es-ES"/>
        </w:rPr>
        <w:t>.</w:t>
      </w:r>
    </w:p>
    <w:p w14:paraId="698729A3" w14:textId="77777777" w:rsidR="00E255F4" w:rsidRDefault="00000000">
      <w:pPr>
        <w:numPr>
          <w:ilvl w:val="0"/>
          <w:numId w:val="45"/>
        </w:numPr>
        <w:spacing w:after="80" w:line="240" w:lineRule="auto"/>
        <w:ind w:left="1134" w:hanging="425"/>
        <w:jc w:val="both"/>
      </w:pPr>
      <w:proofErr w:type="spellStart"/>
      <w:r>
        <w:rPr>
          <w:sz w:val="22"/>
          <w:szCs w:val="22"/>
          <w:lang w:val="es-ES"/>
        </w:rPr>
        <w:lastRenderedPageBreak/>
        <w:t>Configuration</w:t>
      </w:r>
      <w:proofErr w:type="spellEnd"/>
      <w:r>
        <w:rPr>
          <w:sz w:val="22"/>
          <w:szCs w:val="22"/>
          <w:lang w:val="es-ES"/>
        </w:rPr>
        <w:t xml:space="preserve"> </w:t>
      </w:r>
      <w:proofErr w:type="spellStart"/>
      <w:r>
        <w:rPr>
          <w:sz w:val="22"/>
          <w:szCs w:val="22"/>
          <w:lang w:val="es-ES"/>
        </w:rPr>
        <w:t>of</w:t>
      </w:r>
      <w:proofErr w:type="spellEnd"/>
      <w:r>
        <w:rPr>
          <w:sz w:val="22"/>
          <w:szCs w:val="22"/>
          <w:lang w:val="es-ES"/>
        </w:rPr>
        <w:t xml:space="preserve"> </w:t>
      </w:r>
      <w:proofErr w:type="spellStart"/>
      <w:r>
        <w:rPr>
          <w:sz w:val="22"/>
          <w:szCs w:val="22"/>
          <w:lang w:val="es-ES"/>
        </w:rPr>
        <w:t>parameters</w:t>
      </w:r>
      <w:proofErr w:type="spellEnd"/>
      <w:r>
        <w:rPr>
          <w:sz w:val="22"/>
          <w:szCs w:val="22"/>
          <w:lang w:val="es-ES"/>
        </w:rPr>
        <w:t xml:space="preserve"> </w:t>
      </w:r>
      <w:proofErr w:type="spellStart"/>
      <w:r>
        <w:rPr>
          <w:sz w:val="22"/>
          <w:szCs w:val="22"/>
          <w:lang w:val="es-ES"/>
        </w:rPr>
        <w:t>on</w:t>
      </w:r>
      <w:proofErr w:type="spellEnd"/>
      <w:r>
        <w:rPr>
          <w:sz w:val="22"/>
          <w:szCs w:val="22"/>
          <w:lang w:val="es-ES"/>
        </w:rPr>
        <w:t xml:space="preserve"> </w:t>
      </w:r>
      <w:proofErr w:type="spellStart"/>
      <w:r>
        <w:rPr>
          <w:sz w:val="22"/>
          <w:szCs w:val="22"/>
          <w:lang w:val="es-ES"/>
        </w:rPr>
        <w:t>the</w:t>
      </w:r>
      <w:proofErr w:type="spellEnd"/>
      <w:r>
        <w:rPr>
          <w:sz w:val="22"/>
          <w:szCs w:val="22"/>
          <w:lang w:val="es-ES"/>
        </w:rPr>
        <w:t xml:space="preserve"> </w:t>
      </w:r>
      <w:proofErr w:type="spellStart"/>
      <w:r>
        <w:rPr>
          <w:sz w:val="22"/>
          <w:szCs w:val="22"/>
          <w:lang w:val="es-ES"/>
        </w:rPr>
        <w:t>telemetry</w:t>
      </w:r>
      <w:proofErr w:type="spellEnd"/>
      <w:r>
        <w:rPr>
          <w:sz w:val="22"/>
          <w:szCs w:val="22"/>
          <w:lang w:val="es-ES"/>
        </w:rPr>
        <w:t xml:space="preserve"> </w:t>
      </w:r>
      <w:proofErr w:type="spellStart"/>
      <w:r>
        <w:rPr>
          <w:sz w:val="22"/>
          <w:szCs w:val="22"/>
          <w:lang w:val="es-ES"/>
        </w:rPr>
        <w:t>devices</w:t>
      </w:r>
      <w:proofErr w:type="spellEnd"/>
      <w:r>
        <w:rPr>
          <w:sz w:val="22"/>
          <w:szCs w:val="22"/>
          <w:lang w:val="es-ES"/>
        </w:rPr>
        <w:t xml:space="preserve">, </w:t>
      </w:r>
      <w:proofErr w:type="spellStart"/>
      <w:r>
        <w:rPr>
          <w:sz w:val="22"/>
          <w:szCs w:val="22"/>
          <w:lang w:val="es-ES"/>
        </w:rPr>
        <w:t>initialization</w:t>
      </w:r>
      <w:proofErr w:type="spellEnd"/>
      <w:r>
        <w:rPr>
          <w:sz w:val="22"/>
          <w:szCs w:val="22"/>
          <w:lang w:val="es-ES"/>
        </w:rPr>
        <w:t xml:space="preserve"> </w:t>
      </w:r>
      <w:proofErr w:type="spellStart"/>
      <w:r>
        <w:rPr>
          <w:sz w:val="22"/>
          <w:szCs w:val="22"/>
          <w:lang w:val="es-ES"/>
        </w:rPr>
        <w:t>of</w:t>
      </w:r>
      <w:proofErr w:type="spellEnd"/>
      <w:r>
        <w:rPr>
          <w:sz w:val="22"/>
          <w:szCs w:val="22"/>
          <w:lang w:val="es-ES"/>
        </w:rPr>
        <w:t xml:space="preserve"> </w:t>
      </w:r>
      <w:proofErr w:type="spellStart"/>
      <w:r>
        <w:rPr>
          <w:sz w:val="22"/>
          <w:szCs w:val="22"/>
          <w:lang w:val="es-ES"/>
        </w:rPr>
        <w:t>equipment</w:t>
      </w:r>
      <w:proofErr w:type="spellEnd"/>
      <w:r>
        <w:rPr>
          <w:sz w:val="22"/>
          <w:szCs w:val="22"/>
          <w:lang w:val="es-ES"/>
        </w:rPr>
        <w:t xml:space="preserve"> and </w:t>
      </w:r>
      <w:proofErr w:type="spellStart"/>
      <w:r>
        <w:rPr>
          <w:sz w:val="22"/>
          <w:szCs w:val="22"/>
          <w:lang w:val="es-ES"/>
        </w:rPr>
        <w:t>entry</w:t>
      </w:r>
      <w:proofErr w:type="spellEnd"/>
      <w:r>
        <w:rPr>
          <w:sz w:val="22"/>
          <w:szCs w:val="22"/>
          <w:lang w:val="es-ES"/>
        </w:rPr>
        <w:t xml:space="preserve"> </w:t>
      </w:r>
      <w:proofErr w:type="spellStart"/>
      <w:r>
        <w:rPr>
          <w:sz w:val="22"/>
          <w:szCs w:val="22"/>
          <w:lang w:val="es-ES"/>
        </w:rPr>
        <w:t>of</w:t>
      </w:r>
      <w:proofErr w:type="spellEnd"/>
      <w:r>
        <w:rPr>
          <w:sz w:val="22"/>
          <w:szCs w:val="22"/>
          <w:lang w:val="es-ES"/>
        </w:rPr>
        <w:t xml:space="preserve"> </w:t>
      </w:r>
      <w:proofErr w:type="spellStart"/>
      <w:r>
        <w:rPr>
          <w:sz w:val="22"/>
          <w:szCs w:val="22"/>
          <w:lang w:val="es-ES"/>
        </w:rPr>
        <w:t>all</w:t>
      </w:r>
      <w:proofErr w:type="spellEnd"/>
      <w:r>
        <w:rPr>
          <w:sz w:val="22"/>
          <w:szCs w:val="22"/>
          <w:lang w:val="es-ES"/>
        </w:rPr>
        <w:t xml:space="preserve"> </w:t>
      </w:r>
      <w:proofErr w:type="spellStart"/>
      <w:r>
        <w:rPr>
          <w:sz w:val="22"/>
          <w:szCs w:val="22"/>
          <w:lang w:val="es-ES"/>
        </w:rPr>
        <w:t>the</w:t>
      </w:r>
      <w:proofErr w:type="spellEnd"/>
      <w:r>
        <w:rPr>
          <w:sz w:val="22"/>
          <w:szCs w:val="22"/>
          <w:lang w:val="es-ES"/>
        </w:rPr>
        <w:t xml:space="preserve"> data </w:t>
      </w:r>
      <w:proofErr w:type="spellStart"/>
      <w:r>
        <w:rPr>
          <w:sz w:val="22"/>
          <w:szCs w:val="22"/>
          <w:lang w:val="es-ES"/>
        </w:rPr>
        <w:t>necessary</w:t>
      </w:r>
      <w:proofErr w:type="spellEnd"/>
      <w:r>
        <w:rPr>
          <w:sz w:val="22"/>
          <w:szCs w:val="22"/>
          <w:lang w:val="es-ES"/>
        </w:rPr>
        <w:t xml:space="preserve"> </w:t>
      </w:r>
      <w:proofErr w:type="spellStart"/>
      <w:r>
        <w:rPr>
          <w:sz w:val="22"/>
          <w:szCs w:val="22"/>
          <w:lang w:val="es-ES"/>
        </w:rPr>
        <w:t>to</w:t>
      </w:r>
      <w:proofErr w:type="spellEnd"/>
      <w:r>
        <w:rPr>
          <w:sz w:val="22"/>
          <w:szCs w:val="22"/>
          <w:lang w:val="es-ES"/>
        </w:rPr>
        <w:t xml:space="preserve"> </w:t>
      </w:r>
      <w:proofErr w:type="spellStart"/>
      <w:r>
        <w:rPr>
          <w:sz w:val="22"/>
          <w:szCs w:val="22"/>
          <w:lang w:val="es-ES"/>
        </w:rPr>
        <w:t>start</w:t>
      </w:r>
      <w:proofErr w:type="spellEnd"/>
      <w:r>
        <w:rPr>
          <w:sz w:val="22"/>
          <w:szCs w:val="22"/>
          <w:lang w:val="es-ES"/>
        </w:rPr>
        <w:t xml:space="preserve"> a </w:t>
      </w:r>
      <w:proofErr w:type="spellStart"/>
      <w:r>
        <w:rPr>
          <w:sz w:val="22"/>
          <w:szCs w:val="22"/>
          <w:lang w:val="es-ES"/>
        </w:rPr>
        <w:t>transmission</w:t>
      </w:r>
      <w:proofErr w:type="spellEnd"/>
      <w:r>
        <w:rPr>
          <w:sz w:val="22"/>
          <w:szCs w:val="22"/>
          <w:lang w:val="es-ES"/>
        </w:rPr>
        <w:t>.</w:t>
      </w:r>
    </w:p>
    <w:p w14:paraId="01554A41" w14:textId="77777777" w:rsidR="00E255F4" w:rsidRDefault="00000000">
      <w:pPr>
        <w:numPr>
          <w:ilvl w:val="0"/>
          <w:numId w:val="45"/>
        </w:numPr>
        <w:spacing w:after="80" w:line="240" w:lineRule="auto"/>
        <w:ind w:left="1134" w:hanging="425"/>
        <w:jc w:val="both"/>
      </w:pPr>
      <w:proofErr w:type="spellStart"/>
      <w:r>
        <w:rPr>
          <w:sz w:val="22"/>
          <w:szCs w:val="22"/>
          <w:lang w:val="es-ES"/>
        </w:rPr>
        <w:t>Functionalities</w:t>
      </w:r>
      <w:proofErr w:type="spellEnd"/>
      <w:r>
        <w:rPr>
          <w:sz w:val="22"/>
          <w:szCs w:val="22"/>
          <w:lang w:val="es-ES"/>
        </w:rPr>
        <w:t xml:space="preserve">, </w:t>
      </w:r>
      <w:proofErr w:type="spellStart"/>
      <w:r>
        <w:rPr>
          <w:sz w:val="22"/>
          <w:szCs w:val="22"/>
          <w:lang w:val="es-ES"/>
        </w:rPr>
        <w:t>configuration</w:t>
      </w:r>
      <w:proofErr w:type="spellEnd"/>
      <w:r>
        <w:rPr>
          <w:sz w:val="22"/>
          <w:szCs w:val="22"/>
          <w:lang w:val="es-ES"/>
        </w:rPr>
        <w:t xml:space="preserve"> and </w:t>
      </w:r>
      <w:proofErr w:type="spellStart"/>
      <w:r>
        <w:rPr>
          <w:sz w:val="22"/>
          <w:szCs w:val="22"/>
          <w:lang w:val="es-ES"/>
        </w:rPr>
        <w:t>operation</w:t>
      </w:r>
      <w:proofErr w:type="spellEnd"/>
      <w:r>
        <w:rPr>
          <w:sz w:val="22"/>
          <w:szCs w:val="22"/>
          <w:lang w:val="es-ES"/>
        </w:rPr>
        <w:t xml:space="preserve"> </w:t>
      </w:r>
      <w:proofErr w:type="spellStart"/>
      <w:r>
        <w:rPr>
          <w:sz w:val="22"/>
          <w:szCs w:val="22"/>
          <w:lang w:val="es-ES"/>
        </w:rPr>
        <w:t>of</w:t>
      </w:r>
      <w:proofErr w:type="spellEnd"/>
      <w:r>
        <w:rPr>
          <w:sz w:val="22"/>
          <w:szCs w:val="22"/>
          <w:lang w:val="es-ES"/>
        </w:rPr>
        <w:t xml:space="preserve"> </w:t>
      </w:r>
      <w:proofErr w:type="spellStart"/>
      <w:r>
        <w:rPr>
          <w:sz w:val="22"/>
          <w:szCs w:val="22"/>
          <w:lang w:val="es-ES"/>
        </w:rPr>
        <w:t>the</w:t>
      </w:r>
      <w:proofErr w:type="spellEnd"/>
      <w:r>
        <w:rPr>
          <w:sz w:val="22"/>
          <w:szCs w:val="22"/>
          <w:lang w:val="es-ES"/>
        </w:rPr>
        <w:t xml:space="preserve"> </w:t>
      </w:r>
      <w:proofErr w:type="spellStart"/>
      <w:r>
        <w:rPr>
          <w:sz w:val="22"/>
          <w:szCs w:val="22"/>
          <w:lang w:val="es-ES"/>
        </w:rPr>
        <w:t>application</w:t>
      </w:r>
      <w:proofErr w:type="spellEnd"/>
      <w:r>
        <w:rPr>
          <w:sz w:val="22"/>
          <w:szCs w:val="22"/>
          <w:lang w:val="es-ES"/>
        </w:rPr>
        <w:t xml:space="preserve">(s) </w:t>
      </w:r>
      <w:proofErr w:type="spellStart"/>
      <w:r>
        <w:rPr>
          <w:sz w:val="22"/>
          <w:szCs w:val="22"/>
          <w:lang w:val="es-ES"/>
        </w:rPr>
        <w:t>installed</w:t>
      </w:r>
      <w:proofErr w:type="spellEnd"/>
      <w:r>
        <w:rPr>
          <w:sz w:val="22"/>
          <w:szCs w:val="22"/>
          <w:lang w:val="es-ES"/>
        </w:rPr>
        <w:t xml:space="preserve"> </w:t>
      </w:r>
      <w:proofErr w:type="spellStart"/>
      <w:r>
        <w:rPr>
          <w:sz w:val="22"/>
          <w:szCs w:val="22"/>
          <w:lang w:val="es-ES"/>
        </w:rPr>
        <w:t>for</w:t>
      </w:r>
      <w:proofErr w:type="spellEnd"/>
      <w:r>
        <w:rPr>
          <w:sz w:val="22"/>
          <w:szCs w:val="22"/>
          <w:lang w:val="es-ES"/>
        </w:rPr>
        <w:t xml:space="preserve"> </w:t>
      </w:r>
      <w:proofErr w:type="spellStart"/>
      <w:r>
        <w:rPr>
          <w:sz w:val="22"/>
          <w:szCs w:val="22"/>
          <w:lang w:val="es-ES"/>
        </w:rPr>
        <w:t>the</w:t>
      </w:r>
      <w:proofErr w:type="spellEnd"/>
      <w:r>
        <w:rPr>
          <w:sz w:val="22"/>
          <w:szCs w:val="22"/>
          <w:lang w:val="es-ES"/>
        </w:rPr>
        <w:t xml:space="preserve"> </w:t>
      </w:r>
      <w:proofErr w:type="spellStart"/>
      <w:r>
        <w:rPr>
          <w:sz w:val="22"/>
          <w:szCs w:val="22"/>
          <w:lang w:val="es-ES"/>
        </w:rPr>
        <w:t>management</w:t>
      </w:r>
      <w:proofErr w:type="spellEnd"/>
      <w:r>
        <w:rPr>
          <w:sz w:val="22"/>
          <w:szCs w:val="22"/>
          <w:lang w:val="es-ES"/>
        </w:rPr>
        <w:t xml:space="preserve"> </w:t>
      </w:r>
      <w:proofErr w:type="spellStart"/>
      <w:r>
        <w:rPr>
          <w:sz w:val="22"/>
          <w:szCs w:val="22"/>
          <w:lang w:val="es-ES"/>
        </w:rPr>
        <w:t>of</w:t>
      </w:r>
      <w:proofErr w:type="spellEnd"/>
      <w:r>
        <w:rPr>
          <w:sz w:val="22"/>
          <w:szCs w:val="22"/>
          <w:lang w:val="es-ES"/>
        </w:rPr>
        <w:t xml:space="preserve"> </w:t>
      </w:r>
      <w:proofErr w:type="spellStart"/>
      <w:r>
        <w:rPr>
          <w:sz w:val="22"/>
          <w:szCs w:val="22"/>
          <w:lang w:val="es-ES"/>
        </w:rPr>
        <w:t>fixed</w:t>
      </w:r>
      <w:proofErr w:type="spellEnd"/>
      <w:r>
        <w:rPr>
          <w:sz w:val="22"/>
          <w:szCs w:val="22"/>
          <w:lang w:val="es-ES"/>
        </w:rPr>
        <w:t xml:space="preserve"> </w:t>
      </w:r>
      <w:proofErr w:type="spellStart"/>
      <w:r>
        <w:rPr>
          <w:sz w:val="22"/>
          <w:szCs w:val="22"/>
          <w:lang w:val="es-ES"/>
        </w:rPr>
        <w:t>telemetry</w:t>
      </w:r>
      <w:proofErr w:type="spellEnd"/>
      <w:r>
        <w:rPr>
          <w:sz w:val="22"/>
          <w:szCs w:val="22"/>
          <w:lang w:val="es-ES"/>
        </w:rPr>
        <w:t xml:space="preserve"> </w:t>
      </w:r>
      <w:proofErr w:type="spellStart"/>
      <w:r>
        <w:rPr>
          <w:sz w:val="22"/>
          <w:szCs w:val="22"/>
          <w:lang w:val="es-ES"/>
        </w:rPr>
        <w:t>networks</w:t>
      </w:r>
      <w:proofErr w:type="spellEnd"/>
      <w:r>
        <w:rPr>
          <w:sz w:val="22"/>
          <w:szCs w:val="22"/>
          <w:lang w:val="es-ES"/>
        </w:rPr>
        <w:t xml:space="preserve"> and data </w:t>
      </w:r>
      <w:proofErr w:type="spellStart"/>
      <w:r>
        <w:rPr>
          <w:sz w:val="22"/>
          <w:szCs w:val="22"/>
          <w:lang w:val="es-ES"/>
        </w:rPr>
        <w:t>management</w:t>
      </w:r>
      <w:proofErr w:type="spellEnd"/>
      <w:r>
        <w:rPr>
          <w:sz w:val="22"/>
          <w:szCs w:val="22"/>
          <w:lang w:val="es-ES"/>
        </w:rPr>
        <w:t>.</w:t>
      </w:r>
    </w:p>
    <w:p w14:paraId="400E52A4" w14:textId="77777777" w:rsidR="00E255F4" w:rsidRDefault="00000000">
      <w:pPr>
        <w:numPr>
          <w:ilvl w:val="0"/>
          <w:numId w:val="45"/>
        </w:numPr>
        <w:spacing w:after="120" w:line="240" w:lineRule="auto"/>
        <w:ind w:left="1134" w:hanging="425"/>
        <w:jc w:val="both"/>
        <w:rPr>
          <w:sz w:val="22"/>
          <w:szCs w:val="22"/>
          <w:lang w:val="es-ES"/>
        </w:rPr>
      </w:pPr>
      <w:proofErr w:type="spellStart"/>
      <w:r>
        <w:rPr>
          <w:sz w:val="22"/>
          <w:szCs w:val="22"/>
          <w:lang w:val="es-ES"/>
        </w:rPr>
        <w:t>Presentation</w:t>
      </w:r>
      <w:proofErr w:type="spellEnd"/>
      <w:r>
        <w:rPr>
          <w:sz w:val="22"/>
          <w:szCs w:val="22"/>
          <w:lang w:val="es-ES"/>
        </w:rPr>
        <w:t xml:space="preserve"> </w:t>
      </w:r>
      <w:proofErr w:type="spellStart"/>
      <w:r>
        <w:rPr>
          <w:sz w:val="22"/>
          <w:szCs w:val="22"/>
          <w:lang w:val="es-ES"/>
        </w:rPr>
        <w:t>of</w:t>
      </w:r>
      <w:proofErr w:type="spellEnd"/>
      <w:r>
        <w:rPr>
          <w:sz w:val="22"/>
          <w:szCs w:val="22"/>
          <w:lang w:val="es-ES"/>
        </w:rPr>
        <w:t xml:space="preserve"> </w:t>
      </w:r>
      <w:proofErr w:type="spellStart"/>
      <w:r>
        <w:rPr>
          <w:sz w:val="22"/>
          <w:szCs w:val="22"/>
          <w:lang w:val="es-ES"/>
        </w:rPr>
        <w:t>common</w:t>
      </w:r>
      <w:proofErr w:type="spellEnd"/>
      <w:r>
        <w:rPr>
          <w:sz w:val="22"/>
          <w:szCs w:val="22"/>
          <w:lang w:val="es-ES"/>
        </w:rPr>
        <w:t xml:space="preserve"> </w:t>
      </w:r>
      <w:proofErr w:type="spellStart"/>
      <w:r>
        <w:rPr>
          <w:sz w:val="22"/>
          <w:szCs w:val="22"/>
          <w:lang w:val="es-ES"/>
        </w:rPr>
        <w:t>failures</w:t>
      </w:r>
      <w:proofErr w:type="spellEnd"/>
      <w:r>
        <w:rPr>
          <w:sz w:val="22"/>
          <w:szCs w:val="22"/>
          <w:lang w:val="es-ES"/>
        </w:rPr>
        <w:t xml:space="preserve"> and </w:t>
      </w:r>
      <w:proofErr w:type="spellStart"/>
      <w:r>
        <w:rPr>
          <w:sz w:val="22"/>
          <w:szCs w:val="22"/>
          <w:lang w:val="es-ES"/>
        </w:rPr>
        <w:t>ways</w:t>
      </w:r>
      <w:proofErr w:type="spellEnd"/>
      <w:r>
        <w:rPr>
          <w:sz w:val="22"/>
          <w:szCs w:val="22"/>
          <w:lang w:val="es-ES"/>
        </w:rPr>
        <w:t xml:space="preserve"> </w:t>
      </w:r>
      <w:proofErr w:type="spellStart"/>
      <w:r>
        <w:rPr>
          <w:sz w:val="22"/>
          <w:szCs w:val="22"/>
          <w:lang w:val="es-ES"/>
        </w:rPr>
        <w:t>to</w:t>
      </w:r>
      <w:proofErr w:type="spellEnd"/>
      <w:r>
        <w:rPr>
          <w:sz w:val="22"/>
          <w:szCs w:val="22"/>
          <w:lang w:val="es-ES"/>
        </w:rPr>
        <w:t xml:space="preserve"> </w:t>
      </w:r>
      <w:proofErr w:type="spellStart"/>
      <w:r>
        <w:rPr>
          <w:sz w:val="22"/>
          <w:szCs w:val="22"/>
          <w:lang w:val="es-ES"/>
        </w:rPr>
        <w:t>address</w:t>
      </w:r>
      <w:proofErr w:type="spellEnd"/>
      <w:r>
        <w:rPr>
          <w:sz w:val="22"/>
          <w:szCs w:val="22"/>
          <w:lang w:val="es-ES"/>
        </w:rPr>
        <w:t xml:space="preserve"> </w:t>
      </w:r>
      <w:proofErr w:type="spellStart"/>
      <w:r>
        <w:rPr>
          <w:sz w:val="22"/>
          <w:szCs w:val="22"/>
          <w:lang w:val="es-ES"/>
        </w:rPr>
        <w:t>the</w:t>
      </w:r>
      <w:proofErr w:type="spellEnd"/>
      <w:r>
        <w:rPr>
          <w:sz w:val="22"/>
          <w:szCs w:val="22"/>
          <w:lang w:val="es-ES"/>
        </w:rPr>
        <w:t xml:space="preserve"> </w:t>
      </w:r>
      <w:proofErr w:type="spellStart"/>
      <w:r>
        <w:rPr>
          <w:sz w:val="22"/>
          <w:szCs w:val="22"/>
          <w:lang w:val="es-ES"/>
        </w:rPr>
        <w:t>solution</w:t>
      </w:r>
      <w:proofErr w:type="spellEnd"/>
      <w:r>
        <w:rPr>
          <w:sz w:val="22"/>
          <w:szCs w:val="22"/>
          <w:lang w:val="es-ES"/>
        </w:rPr>
        <w:t xml:space="preserve">, as </w:t>
      </w:r>
      <w:proofErr w:type="spellStart"/>
      <w:r>
        <w:rPr>
          <w:sz w:val="22"/>
          <w:szCs w:val="22"/>
          <w:lang w:val="es-ES"/>
        </w:rPr>
        <w:t>well</w:t>
      </w:r>
      <w:proofErr w:type="spellEnd"/>
      <w:r>
        <w:rPr>
          <w:sz w:val="22"/>
          <w:szCs w:val="22"/>
          <w:lang w:val="es-ES"/>
        </w:rPr>
        <w:t xml:space="preserve"> as </w:t>
      </w:r>
      <w:proofErr w:type="spellStart"/>
      <w:r>
        <w:rPr>
          <w:sz w:val="22"/>
          <w:szCs w:val="22"/>
          <w:lang w:val="es-ES"/>
        </w:rPr>
        <w:t>the</w:t>
      </w:r>
      <w:proofErr w:type="spellEnd"/>
      <w:r>
        <w:rPr>
          <w:sz w:val="22"/>
          <w:szCs w:val="22"/>
          <w:lang w:val="es-ES"/>
        </w:rPr>
        <w:t xml:space="preserve"> general </w:t>
      </w:r>
      <w:proofErr w:type="spellStart"/>
      <w:r>
        <w:rPr>
          <w:sz w:val="22"/>
          <w:szCs w:val="22"/>
          <w:lang w:val="es-ES"/>
        </w:rPr>
        <w:t>maintenance</w:t>
      </w:r>
      <w:proofErr w:type="spellEnd"/>
      <w:r>
        <w:rPr>
          <w:sz w:val="22"/>
          <w:szCs w:val="22"/>
          <w:lang w:val="es-ES"/>
        </w:rPr>
        <w:t xml:space="preserve"> </w:t>
      </w:r>
      <w:proofErr w:type="spellStart"/>
      <w:r>
        <w:rPr>
          <w:sz w:val="22"/>
          <w:szCs w:val="22"/>
          <w:lang w:val="es-ES"/>
        </w:rPr>
        <w:t>required</w:t>
      </w:r>
      <w:proofErr w:type="spellEnd"/>
      <w:r>
        <w:rPr>
          <w:sz w:val="22"/>
          <w:szCs w:val="22"/>
          <w:lang w:val="es-ES"/>
        </w:rPr>
        <w:t xml:space="preserve"> </w:t>
      </w:r>
      <w:proofErr w:type="spellStart"/>
      <w:r>
        <w:rPr>
          <w:sz w:val="22"/>
          <w:szCs w:val="22"/>
          <w:lang w:val="es-ES"/>
        </w:rPr>
        <w:t>by</w:t>
      </w:r>
      <w:proofErr w:type="spellEnd"/>
      <w:r>
        <w:rPr>
          <w:sz w:val="22"/>
          <w:szCs w:val="22"/>
          <w:lang w:val="es-ES"/>
        </w:rPr>
        <w:t xml:space="preserve"> </w:t>
      </w:r>
      <w:proofErr w:type="spellStart"/>
      <w:r>
        <w:rPr>
          <w:sz w:val="22"/>
          <w:szCs w:val="22"/>
          <w:lang w:val="es-ES"/>
        </w:rPr>
        <w:t>the</w:t>
      </w:r>
      <w:proofErr w:type="spellEnd"/>
      <w:r>
        <w:rPr>
          <w:sz w:val="22"/>
          <w:szCs w:val="22"/>
          <w:lang w:val="es-ES"/>
        </w:rPr>
        <w:t xml:space="preserve"> </w:t>
      </w:r>
      <w:proofErr w:type="spellStart"/>
      <w:r>
        <w:rPr>
          <w:sz w:val="22"/>
          <w:szCs w:val="22"/>
          <w:lang w:val="es-ES"/>
        </w:rPr>
        <w:t>equipment</w:t>
      </w:r>
      <w:proofErr w:type="spellEnd"/>
      <w:r>
        <w:rPr>
          <w:sz w:val="22"/>
          <w:szCs w:val="22"/>
          <w:lang w:val="es-ES"/>
        </w:rPr>
        <w:t>.</w:t>
      </w:r>
    </w:p>
    <w:p w14:paraId="00852BCF" w14:textId="77777777" w:rsidR="00E255F4" w:rsidRDefault="00000000">
      <w:pPr>
        <w:numPr>
          <w:ilvl w:val="0"/>
          <w:numId w:val="45"/>
        </w:numPr>
        <w:spacing w:after="240" w:line="240" w:lineRule="auto"/>
        <w:ind w:left="1134" w:hanging="425"/>
        <w:jc w:val="both"/>
        <w:rPr>
          <w:sz w:val="22"/>
          <w:szCs w:val="22"/>
          <w:lang w:val="es-ES"/>
        </w:rPr>
      </w:pPr>
      <w:r>
        <w:rPr>
          <w:sz w:val="22"/>
          <w:szCs w:val="22"/>
          <w:lang w:val="es-ES"/>
        </w:rPr>
        <w:t xml:space="preserve">Management and </w:t>
      </w:r>
      <w:proofErr w:type="spellStart"/>
      <w:r>
        <w:rPr>
          <w:sz w:val="22"/>
          <w:szCs w:val="22"/>
          <w:lang w:val="es-ES"/>
        </w:rPr>
        <w:t>configuration</w:t>
      </w:r>
      <w:proofErr w:type="spellEnd"/>
      <w:r>
        <w:rPr>
          <w:sz w:val="22"/>
          <w:szCs w:val="22"/>
          <w:lang w:val="es-ES"/>
        </w:rPr>
        <w:t xml:space="preserve"> </w:t>
      </w:r>
      <w:proofErr w:type="spellStart"/>
      <w:r>
        <w:rPr>
          <w:sz w:val="22"/>
          <w:szCs w:val="22"/>
          <w:lang w:val="es-ES"/>
        </w:rPr>
        <w:t>of</w:t>
      </w:r>
      <w:proofErr w:type="spellEnd"/>
      <w:r>
        <w:rPr>
          <w:sz w:val="22"/>
          <w:szCs w:val="22"/>
          <w:lang w:val="es-ES"/>
        </w:rPr>
        <w:t xml:space="preserve"> </w:t>
      </w:r>
      <w:proofErr w:type="spellStart"/>
      <w:r>
        <w:rPr>
          <w:sz w:val="22"/>
          <w:szCs w:val="22"/>
          <w:lang w:val="es-ES"/>
        </w:rPr>
        <w:t>additions</w:t>
      </w:r>
      <w:proofErr w:type="spellEnd"/>
      <w:r>
        <w:rPr>
          <w:sz w:val="22"/>
          <w:szCs w:val="22"/>
          <w:lang w:val="es-ES"/>
        </w:rPr>
        <w:t xml:space="preserve"> and </w:t>
      </w:r>
      <w:proofErr w:type="spellStart"/>
      <w:r>
        <w:rPr>
          <w:sz w:val="22"/>
          <w:szCs w:val="22"/>
          <w:lang w:val="es-ES"/>
        </w:rPr>
        <w:t>removals</w:t>
      </w:r>
      <w:proofErr w:type="spellEnd"/>
      <w:r>
        <w:rPr>
          <w:sz w:val="22"/>
          <w:szCs w:val="22"/>
          <w:lang w:val="es-ES"/>
        </w:rPr>
        <w:t>.</w:t>
      </w:r>
    </w:p>
    <w:p w14:paraId="0FEE550E" w14:textId="77777777" w:rsidR="00E255F4" w:rsidRDefault="00000000">
      <w:pPr>
        <w:pStyle w:val="Ttulo2"/>
        <w:spacing w:before="480" w:after="240"/>
        <w:ind w:left="709" w:hanging="709"/>
        <w:rPr>
          <w:rFonts w:ascii="Times New Roman" w:hAnsi="Times New Roman" w:cs="Times New Roman"/>
          <w:i w:val="0"/>
          <w:sz w:val="22"/>
          <w:szCs w:val="22"/>
        </w:rPr>
      </w:pPr>
      <w:bookmarkStart w:id="117" w:name="__RefHeading___Toc225377277"/>
      <w:bookmarkEnd w:id="117"/>
      <w:r>
        <w:rPr>
          <w:rFonts w:ascii="Times New Roman" w:hAnsi="Times New Roman" w:cs="Times New Roman"/>
          <w:i w:val="0"/>
          <w:sz w:val="22"/>
          <w:szCs w:val="22"/>
        </w:rPr>
        <w:t>REQUIREMENTS FOR PERFORMING THE QUALIFICATION TESTS OF THE METERS</w:t>
      </w:r>
    </w:p>
    <w:p w14:paraId="4541BE0C" w14:textId="77777777" w:rsidR="00E255F4" w:rsidRDefault="00000000">
      <w:pPr>
        <w:numPr>
          <w:ilvl w:val="1"/>
          <w:numId w:val="55"/>
        </w:numPr>
        <w:spacing w:after="120"/>
        <w:ind w:left="709" w:hanging="709"/>
        <w:rPr>
          <w:b/>
          <w:sz w:val="22"/>
          <w:szCs w:val="22"/>
        </w:rPr>
      </w:pPr>
      <w:r>
        <w:rPr>
          <w:b/>
          <w:sz w:val="22"/>
          <w:szCs w:val="22"/>
        </w:rPr>
        <w:t xml:space="preserve">General </w:t>
      </w:r>
      <w:proofErr w:type="spellStart"/>
      <w:r>
        <w:rPr>
          <w:b/>
          <w:sz w:val="22"/>
          <w:szCs w:val="22"/>
        </w:rPr>
        <w:t>conditions</w:t>
      </w:r>
      <w:proofErr w:type="spellEnd"/>
    </w:p>
    <w:p w14:paraId="0624AE0A" w14:textId="77777777" w:rsidR="00E255F4" w:rsidRDefault="00000000">
      <w:pPr>
        <w:pStyle w:val="Prrafodelista"/>
        <w:tabs>
          <w:tab w:val="left" w:pos="-720"/>
        </w:tabs>
        <w:spacing w:after="120"/>
        <w:ind w:left="0"/>
        <w:jc w:val="both"/>
      </w:pPr>
      <w:r>
        <w:rPr>
          <w:sz w:val="22"/>
          <w:szCs w:val="22"/>
          <w:lang w:val="es-ES"/>
        </w:rPr>
        <w:t xml:space="preserve">14.1.1 The </w:t>
      </w:r>
      <w:proofErr w:type="spellStart"/>
      <w:r>
        <w:rPr>
          <w:sz w:val="22"/>
          <w:szCs w:val="22"/>
          <w:lang w:val="es-ES"/>
        </w:rPr>
        <w:t>tests</w:t>
      </w:r>
      <w:proofErr w:type="spellEnd"/>
      <w:r>
        <w:rPr>
          <w:sz w:val="22"/>
          <w:szCs w:val="22"/>
          <w:lang w:val="es-ES"/>
        </w:rPr>
        <w:t xml:space="preserve"> </w:t>
      </w:r>
      <w:proofErr w:type="spellStart"/>
      <w:r>
        <w:rPr>
          <w:sz w:val="22"/>
          <w:szCs w:val="22"/>
          <w:lang w:val="es-ES"/>
        </w:rPr>
        <w:t>must</w:t>
      </w:r>
      <w:proofErr w:type="spellEnd"/>
      <w:r>
        <w:rPr>
          <w:sz w:val="22"/>
          <w:szCs w:val="22"/>
          <w:lang w:val="es-ES"/>
        </w:rPr>
        <w:t xml:space="preserve"> be </w:t>
      </w:r>
      <w:proofErr w:type="spellStart"/>
      <w:r>
        <w:rPr>
          <w:sz w:val="22"/>
          <w:szCs w:val="22"/>
          <w:lang w:val="es-ES"/>
        </w:rPr>
        <w:t>carried</w:t>
      </w:r>
      <w:proofErr w:type="spellEnd"/>
      <w:r>
        <w:rPr>
          <w:sz w:val="22"/>
          <w:szCs w:val="22"/>
          <w:lang w:val="es-ES"/>
        </w:rPr>
        <w:t xml:space="preserve"> </w:t>
      </w:r>
      <w:proofErr w:type="spellStart"/>
      <w:r>
        <w:rPr>
          <w:sz w:val="22"/>
          <w:szCs w:val="22"/>
          <w:lang w:val="es-ES"/>
        </w:rPr>
        <w:t>out</w:t>
      </w:r>
      <w:proofErr w:type="spellEnd"/>
      <w:r>
        <w:rPr>
          <w:sz w:val="22"/>
          <w:szCs w:val="22"/>
          <w:lang w:val="es-ES"/>
        </w:rPr>
        <w:t xml:space="preserve"> in a </w:t>
      </w:r>
      <w:proofErr w:type="spellStart"/>
      <w:r>
        <w:rPr>
          <w:sz w:val="22"/>
          <w:szCs w:val="22"/>
          <w:lang w:val="es-ES"/>
        </w:rPr>
        <w:t>room</w:t>
      </w:r>
      <w:proofErr w:type="spellEnd"/>
      <w:r>
        <w:rPr>
          <w:sz w:val="22"/>
          <w:szCs w:val="22"/>
          <w:lang w:val="es-ES"/>
        </w:rPr>
        <w:t xml:space="preserve"> at </w:t>
      </w:r>
      <w:proofErr w:type="spellStart"/>
      <w:r>
        <w:rPr>
          <w:sz w:val="22"/>
          <w:szCs w:val="22"/>
          <w:lang w:val="es-ES"/>
        </w:rPr>
        <w:t>ambient</w:t>
      </w:r>
      <w:proofErr w:type="spellEnd"/>
      <w:r>
        <w:rPr>
          <w:sz w:val="22"/>
          <w:szCs w:val="22"/>
          <w:lang w:val="es-ES"/>
        </w:rPr>
        <w:t xml:space="preserve"> </w:t>
      </w:r>
      <w:proofErr w:type="spellStart"/>
      <w:r>
        <w:rPr>
          <w:sz w:val="22"/>
          <w:szCs w:val="22"/>
          <w:lang w:val="es-ES"/>
        </w:rPr>
        <w:t>temperature</w:t>
      </w:r>
      <w:proofErr w:type="spellEnd"/>
      <w:r>
        <w:rPr>
          <w:sz w:val="22"/>
          <w:szCs w:val="22"/>
          <w:lang w:val="es-ES"/>
        </w:rPr>
        <w:t>.</w:t>
      </w:r>
      <w:r>
        <w:rPr>
          <w:sz w:val="22"/>
          <w:szCs w:val="22"/>
          <w:lang w:val="es-ES"/>
        </w:rPr>
        <w:tab/>
      </w:r>
    </w:p>
    <w:p w14:paraId="48355EFE" w14:textId="77777777" w:rsidR="00E255F4" w:rsidRDefault="00000000">
      <w:pPr>
        <w:pStyle w:val="Prrafodelista"/>
        <w:tabs>
          <w:tab w:val="left" w:pos="-720"/>
        </w:tabs>
        <w:spacing w:after="120"/>
        <w:ind w:left="705" w:hanging="705"/>
        <w:jc w:val="both"/>
      </w:pPr>
      <w:r>
        <w:rPr>
          <w:sz w:val="22"/>
          <w:szCs w:val="22"/>
          <w:lang w:val="es-ES"/>
        </w:rPr>
        <w:t xml:space="preserve">14.1.2 </w:t>
      </w:r>
      <w:proofErr w:type="spellStart"/>
      <w:r>
        <w:rPr>
          <w:sz w:val="22"/>
          <w:szCs w:val="22"/>
          <w:lang w:val="es-ES"/>
        </w:rPr>
        <w:t>Before</w:t>
      </w:r>
      <w:proofErr w:type="spellEnd"/>
      <w:r>
        <w:rPr>
          <w:sz w:val="22"/>
          <w:szCs w:val="22"/>
          <w:lang w:val="es-ES"/>
        </w:rPr>
        <w:t xml:space="preserve"> </w:t>
      </w:r>
      <w:proofErr w:type="spellStart"/>
      <w:r>
        <w:rPr>
          <w:sz w:val="22"/>
          <w:szCs w:val="22"/>
          <w:lang w:val="es-ES"/>
        </w:rPr>
        <w:t>carrying</w:t>
      </w:r>
      <w:proofErr w:type="spellEnd"/>
      <w:r>
        <w:rPr>
          <w:sz w:val="22"/>
          <w:szCs w:val="22"/>
          <w:lang w:val="es-ES"/>
        </w:rPr>
        <w:t xml:space="preserve"> </w:t>
      </w:r>
      <w:proofErr w:type="spellStart"/>
      <w:r>
        <w:rPr>
          <w:sz w:val="22"/>
          <w:szCs w:val="22"/>
          <w:lang w:val="es-ES"/>
        </w:rPr>
        <w:t>out</w:t>
      </w:r>
      <w:proofErr w:type="spellEnd"/>
      <w:r>
        <w:rPr>
          <w:sz w:val="22"/>
          <w:szCs w:val="22"/>
          <w:lang w:val="es-ES"/>
        </w:rPr>
        <w:t xml:space="preserve"> </w:t>
      </w:r>
      <w:proofErr w:type="spellStart"/>
      <w:r>
        <w:rPr>
          <w:sz w:val="22"/>
          <w:szCs w:val="22"/>
          <w:lang w:val="es-ES"/>
        </w:rPr>
        <w:t>each</w:t>
      </w:r>
      <w:proofErr w:type="spellEnd"/>
      <w:r>
        <w:rPr>
          <w:sz w:val="22"/>
          <w:szCs w:val="22"/>
          <w:lang w:val="es-ES"/>
        </w:rPr>
        <w:t xml:space="preserve"> test, </w:t>
      </w:r>
      <w:proofErr w:type="spellStart"/>
      <w:r>
        <w:rPr>
          <w:sz w:val="22"/>
          <w:szCs w:val="22"/>
          <w:lang w:val="es-ES"/>
        </w:rPr>
        <w:t>the</w:t>
      </w:r>
      <w:proofErr w:type="spellEnd"/>
      <w:r>
        <w:rPr>
          <w:sz w:val="22"/>
          <w:szCs w:val="22"/>
          <w:lang w:val="es-ES"/>
        </w:rPr>
        <w:t xml:space="preserve"> </w:t>
      </w:r>
      <w:proofErr w:type="spellStart"/>
      <w:r>
        <w:rPr>
          <w:sz w:val="22"/>
          <w:szCs w:val="22"/>
          <w:lang w:val="es-ES"/>
        </w:rPr>
        <w:t>meters</w:t>
      </w:r>
      <w:proofErr w:type="spellEnd"/>
      <w:r>
        <w:rPr>
          <w:sz w:val="22"/>
          <w:szCs w:val="22"/>
          <w:lang w:val="es-ES"/>
        </w:rPr>
        <w:t xml:space="preserve"> </w:t>
      </w:r>
      <w:proofErr w:type="spellStart"/>
      <w:r>
        <w:rPr>
          <w:sz w:val="22"/>
          <w:szCs w:val="22"/>
          <w:lang w:val="es-ES"/>
        </w:rPr>
        <w:t>must</w:t>
      </w:r>
      <w:proofErr w:type="spellEnd"/>
      <w:r>
        <w:rPr>
          <w:sz w:val="22"/>
          <w:szCs w:val="22"/>
          <w:lang w:val="es-ES"/>
        </w:rPr>
        <w:t xml:space="preserve"> </w:t>
      </w:r>
      <w:proofErr w:type="spellStart"/>
      <w:r>
        <w:rPr>
          <w:sz w:val="22"/>
          <w:szCs w:val="22"/>
          <w:lang w:val="es-ES"/>
        </w:rPr>
        <w:t>operate</w:t>
      </w:r>
      <w:proofErr w:type="spellEnd"/>
      <w:r>
        <w:rPr>
          <w:sz w:val="22"/>
          <w:szCs w:val="22"/>
          <w:lang w:val="es-ES"/>
        </w:rPr>
        <w:t xml:space="preserve"> at </w:t>
      </w:r>
      <w:proofErr w:type="spellStart"/>
      <w:r>
        <w:rPr>
          <w:sz w:val="22"/>
          <w:szCs w:val="22"/>
          <w:lang w:val="es-ES"/>
        </w:rPr>
        <w:t>their</w:t>
      </w:r>
      <w:proofErr w:type="spellEnd"/>
      <w:r>
        <w:rPr>
          <w:sz w:val="22"/>
          <w:szCs w:val="22"/>
          <w:lang w:val="es-ES"/>
        </w:rPr>
        <w:t xml:space="preserve"> </w:t>
      </w:r>
      <w:proofErr w:type="spellStart"/>
      <w:r>
        <w:rPr>
          <w:sz w:val="22"/>
          <w:szCs w:val="22"/>
          <w:lang w:val="es-ES"/>
        </w:rPr>
        <w:t>maximum</w:t>
      </w:r>
      <w:proofErr w:type="spellEnd"/>
      <w:r>
        <w:rPr>
          <w:sz w:val="22"/>
          <w:szCs w:val="22"/>
          <w:lang w:val="es-ES"/>
        </w:rPr>
        <w:t xml:space="preserve"> </w:t>
      </w:r>
      <w:proofErr w:type="spellStart"/>
      <w:r>
        <w:rPr>
          <w:sz w:val="22"/>
          <w:szCs w:val="22"/>
          <w:lang w:val="es-ES"/>
        </w:rPr>
        <w:t>flow</w:t>
      </w:r>
      <w:proofErr w:type="spellEnd"/>
      <w:r>
        <w:rPr>
          <w:sz w:val="22"/>
          <w:szCs w:val="22"/>
          <w:lang w:val="es-ES"/>
        </w:rPr>
        <w:t xml:space="preserve"> </w:t>
      </w:r>
      <w:proofErr w:type="spellStart"/>
      <w:r>
        <w:rPr>
          <w:sz w:val="22"/>
          <w:szCs w:val="22"/>
          <w:lang w:val="es-ES"/>
        </w:rPr>
        <w:t>rate</w:t>
      </w:r>
      <w:proofErr w:type="spellEnd"/>
      <w:r>
        <w:rPr>
          <w:sz w:val="22"/>
          <w:szCs w:val="22"/>
          <w:lang w:val="es-ES"/>
        </w:rPr>
        <w:t xml:space="preserve"> </w:t>
      </w:r>
      <w:proofErr w:type="spellStart"/>
      <w:r>
        <w:rPr>
          <w:sz w:val="22"/>
          <w:szCs w:val="22"/>
          <w:lang w:val="es-ES"/>
        </w:rPr>
        <w:t>for</w:t>
      </w:r>
      <w:proofErr w:type="spellEnd"/>
      <w:r>
        <w:rPr>
          <w:sz w:val="22"/>
          <w:szCs w:val="22"/>
          <w:lang w:val="es-ES"/>
        </w:rPr>
        <w:t xml:space="preserve"> at </w:t>
      </w:r>
      <w:proofErr w:type="spellStart"/>
      <w:r>
        <w:rPr>
          <w:sz w:val="22"/>
          <w:szCs w:val="22"/>
          <w:lang w:val="es-ES"/>
        </w:rPr>
        <w:t>least</w:t>
      </w:r>
      <w:proofErr w:type="spellEnd"/>
      <w:r>
        <w:rPr>
          <w:sz w:val="22"/>
          <w:szCs w:val="22"/>
          <w:lang w:val="es-ES"/>
        </w:rPr>
        <w:t xml:space="preserve"> 10 (ten) minutes.</w:t>
      </w:r>
      <w:r>
        <w:rPr>
          <w:sz w:val="22"/>
          <w:szCs w:val="22"/>
          <w:lang w:val="es-ES"/>
        </w:rPr>
        <w:tab/>
      </w:r>
    </w:p>
    <w:p w14:paraId="428A1A4E" w14:textId="77777777" w:rsidR="00E255F4" w:rsidRDefault="00000000">
      <w:pPr>
        <w:pStyle w:val="Prrafodelista"/>
        <w:tabs>
          <w:tab w:val="left" w:pos="-720"/>
        </w:tabs>
        <w:spacing w:after="120"/>
        <w:ind w:left="705" w:hanging="705"/>
        <w:jc w:val="both"/>
      </w:pPr>
      <w:r>
        <w:rPr>
          <w:sz w:val="22"/>
          <w:szCs w:val="22"/>
          <w:lang w:val="es-ES"/>
        </w:rPr>
        <w:t xml:space="preserve">14.1.3The </w:t>
      </w:r>
      <w:proofErr w:type="spellStart"/>
      <w:r>
        <w:rPr>
          <w:sz w:val="22"/>
          <w:szCs w:val="22"/>
          <w:lang w:val="es-ES"/>
        </w:rPr>
        <w:t>facilities</w:t>
      </w:r>
      <w:proofErr w:type="spellEnd"/>
      <w:r>
        <w:rPr>
          <w:sz w:val="22"/>
          <w:szCs w:val="22"/>
          <w:lang w:val="es-ES"/>
        </w:rPr>
        <w:t xml:space="preserve"> </w:t>
      </w:r>
      <w:proofErr w:type="spellStart"/>
      <w:r>
        <w:rPr>
          <w:sz w:val="22"/>
          <w:szCs w:val="22"/>
          <w:lang w:val="es-ES"/>
        </w:rPr>
        <w:t>to</w:t>
      </w:r>
      <w:proofErr w:type="spellEnd"/>
      <w:r>
        <w:rPr>
          <w:sz w:val="22"/>
          <w:szCs w:val="22"/>
          <w:lang w:val="es-ES"/>
        </w:rPr>
        <w:t xml:space="preserve"> be </w:t>
      </w:r>
      <w:proofErr w:type="spellStart"/>
      <w:r>
        <w:rPr>
          <w:sz w:val="22"/>
          <w:szCs w:val="22"/>
          <w:lang w:val="es-ES"/>
        </w:rPr>
        <w:t>used</w:t>
      </w:r>
      <w:proofErr w:type="spellEnd"/>
      <w:r>
        <w:rPr>
          <w:sz w:val="22"/>
          <w:szCs w:val="22"/>
          <w:lang w:val="es-ES"/>
        </w:rPr>
        <w:t xml:space="preserve"> in </w:t>
      </w:r>
      <w:proofErr w:type="spellStart"/>
      <w:r>
        <w:rPr>
          <w:sz w:val="22"/>
          <w:szCs w:val="22"/>
          <w:lang w:val="es-ES"/>
        </w:rPr>
        <w:t>the</w:t>
      </w:r>
      <w:proofErr w:type="spellEnd"/>
      <w:r>
        <w:rPr>
          <w:sz w:val="22"/>
          <w:szCs w:val="22"/>
          <w:lang w:val="es-ES"/>
        </w:rPr>
        <w:t xml:space="preserve"> </w:t>
      </w:r>
      <w:proofErr w:type="spellStart"/>
      <w:r>
        <w:rPr>
          <w:sz w:val="22"/>
          <w:szCs w:val="22"/>
          <w:lang w:val="es-ES"/>
        </w:rPr>
        <w:t>different</w:t>
      </w:r>
      <w:proofErr w:type="spellEnd"/>
      <w:r>
        <w:rPr>
          <w:sz w:val="22"/>
          <w:szCs w:val="22"/>
          <w:lang w:val="es-ES"/>
        </w:rPr>
        <w:t xml:space="preserve"> </w:t>
      </w:r>
      <w:proofErr w:type="spellStart"/>
      <w:r>
        <w:rPr>
          <w:sz w:val="22"/>
          <w:szCs w:val="22"/>
          <w:lang w:val="es-ES"/>
        </w:rPr>
        <w:t>tests</w:t>
      </w:r>
      <w:proofErr w:type="spellEnd"/>
      <w:r>
        <w:rPr>
          <w:sz w:val="22"/>
          <w:szCs w:val="22"/>
          <w:lang w:val="es-ES"/>
        </w:rPr>
        <w:t xml:space="preserve"> </w:t>
      </w:r>
      <w:proofErr w:type="spellStart"/>
      <w:r>
        <w:rPr>
          <w:sz w:val="22"/>
          <w:szCs w:val="22"/>
          <w:lang w:val="es-ES"/>
        </w:rPr>
        <w:t>must</w:t>
      </w:r>
      <w:proofErr w:type="spellEnd"/>
      <w:r>
        <w:rPr>
          <w:sz w:val="22"/>
          <w:szCs w:val="22"/>
          <w:lang w:val="es-ES"/>
        </w:rPr>
        <w:t xml:space="preserve"> be </w:t>
      </w:r>
      <w:proofErr w:type="spellStart"/>
      <w:r>
        <w:rPr>
          <w:sz w:val="22"/>
          <w:szCs w:val="22"/>
          <w:lang w:val="es-ES"/>
        </w:rPr>
        <w:t>provided</w:t>
      </w:r>
      <w:proofErr w:type="spellEnd"/>
      <w:r>
        <w:rPr>
          <w:sz w:val="22"/>
          <w:szCs w:val="22"/>
          <w:lang w:val="es-ES"/>
        </w:rPr>
        <w:t xml:space="preserve"> </w:t>
      </w:r>
      <w:proofErr w:type="spellStart"/>
      <w:r>
        <w:rPr>
          <w:sz w:val="22"/>
          <w:szCs w:val="22"/>
          <w:lang w:val="es-ES"/>
        </w:rPr>
        <w:t>with</w:t>
      </w:r>
      <w:proofErr w:type="spellEnd"/>
      <w:r>
        <w:rPr>
          <w:sz w:val="22"/>
          <w:szCs w:val="22"/>
          <w:lang w:val="es-ES"/>
        </w:rPr>
        <w:t xml:space="preserve"> </w:t>
      </w:r>
      <w:proofErr w:type="spellStart"/>
      <w:r>
        <w:rPr>
          <w:sz w:val="22"/>
          <w:szCs w:val="22"/>
          <w:lang w:val="es-ES"/>
        </w:rPr>
        <w:t>suitable</w:t>
      </w:r>
      <w:proofErr w:type="spellEnd"/>
      <w:r>
        <w:rPr>
          <w:sz w:val="22"/>
          <w:szCs w:val="22"/>
          <w:lang w:val="es-ES"/>
        </w:rPr>
        <w:t xml:space="preserve"> </w:t>
      </w:r>
      <w:proofErr w:type="spellStart"/>
      <w:r>
        <w:rPr>
          <w:sz w:val="22"/>
          <w:szCs w:val="22"/>
          <w:lang w:val="es-ES"/>
        </w:rPr>
        <w:t>reference</w:t>
      </w:r>
      <w:proofErr w:type="spellEnd"/>
      <w:r>
        <w:rPr>
          <w:sz w:val="22"/>
          <w:szCs w:val="22"/>
          <w:lang w:val="es-ES"/>
        </w:rPr>
        <w:t xml:space="preserve"> </w:t>
      </w:r>
      <w:proofErr w:type="spellStart"/>
      <w:r>
        <w:rPr>
          <w:sz w:val="22"/>
          <w:szCs w:val="22"/>
          <w:lang w:val="es-ES"/>
        </w:rPr>
        <w:t>standards</w:t>
      </w:r>
      <w:proofErr w:type="spellEnd"/>
      <w:r>
        <w:rPr>
          <w:sz w:val="22"/>
          <w:szCs w:val="22"/>
          <w:lang w:val="es-ES"/>
        </w:rPr>
        <w:t xml:space="preserve">, </w:t>
      </w:r>
      <w:proofErr w:type="spellStart"/>
      <w:r>
        <w:rPr>
          <w:sz w:val="22"/>
          <w:szCs w:val="22"/>
          <w:lang w:val="es-ES"/>
        </w:rPr>
        <w:t>with</w:t>
      </w:r>
      <w:proofErr w:type="spellEnd"/>
      <w:r>
        <w:rPr>
          <w:sz w:val="22"/>
          <w:szCs w:val="22"/>
          <w:lang w:val="es-ES"/>
        </w:rPr>
        <w:t xml:space="preserve"> </w:t>
      </w:r>
      <w:proofErr w:type="spellStart"/>
      <w:r>
        <w:rPr>
          <w:sz w:val="22"/>
          <w:szCs w:val="22"/>
          <w:lang w:val="es-ES"/>
        </w:rPr>
        <w:t>their</w:t>
      </w:r>
      <w:proofErr w:type="spellEnd"/>
      <w:r>
        <w:rPr>
          <w:sz w:val="22"/>
          <w:szCs w:val="22"/>
          <w:lang w:val="es-ES"/>
        </w:rPr>
        <w:t xml:space="preserve"> respective </w:t>
      </w:r>
      <w:proofErr w:type="spellStart"/>
      <w:r>
        <w:rPr>
          <w:sz w:val="22"/>
          <w:szCs w:val="22"/>
          <w:lang w:val="es-ES"/>
        </w:rPr>
        <w:t>calibration</w:t>
      </w:r>
      <w:proofErr w:type="spellEnd"/>
      <w:r>
        <w:rPr>
          <w:sz w:val="22"/>
          <w:szCs w:val="22"/>
          <w:lang w:val="es-ES"/>
        </w:rPr>
        <w:t xml:space="preserve"> </w:t>
      </w:r>
      <w:proofErr w:type="spellStart"/>
      <w:r>
        <w:rPr>
          <w:sz w:val="22"/>
          <w:szCs w:val="22"/>
          <w:lang w:val="es-ES"/>
        </w:rPr>
        <w:t>certificates</w:t>
      </w:r>
      <w:proofErr w:type="spellEnd"/>
      <w:r>
        <w:rPr>
          <w:sz w:val="22"/>
          <w:szCs w:val="22"/>
          <w:lang w:val="es-ES"/>
        </w:rPr>
        <w:t xml:space="preserve"> </w:t>
      </w:r>
      <w:proofErr w:type="spellStart"/>
      <w:r>
        <w:rPr>
          <w:sz w:val="22"/>
          <w:szCs w:val="22"/>
          <w:lang w:val="es-ES"/>
        </w:rPr>
        <w:t>issued</w:t>
      </w:r>
      <w:proofErr w:type="spellEnd"/>
      <w:r>
        <w:rPr>
          <w:sz w:val="22"/>
          <w:szCs w:val="22"/>
          <w:lang w:val="es-ES"/>
        </w:rPr>
        <w:t xml:space="preserve"> </w:t>
      </w:r>
      <w:proofErr w:type="spellStart"/>
      <w:r>
        <w:rPr>
          <w:sz w:val="22"/>
          <w:szCs w:val="22"/>
          <w:lang w:val="es-ES"/>
        </w:rPr>
        <w:t>by</w:t>
      </w:r>
      <w:proofErr w:type="spellEnd"/>
      <w:r>
        <w:rPr>
          <w:sz w:val="22"/>
          <w:szCs w:val="22"/>
          <w:lang w:val="es-ES"/>
        </w:rPr>
        <w:t xml:space="preserve"> a </w:t>
      </w:r>
      <w:proofErr w:type="spellStart"/>
      <w:r>
        <w:rPr>
          <w:sz w:val="22"/>
          <w:szCs w:val="22"/>
          <w:lang w:val="es-ES"/>
        </w:rPr>
        <w:t>national</w:t>
      </w:r>
      <w:proofErr w:type="spellEnd"/>
      <w:r>
        <w:rPr>
          <w:sz w:val="22"/>
          <w:szCs w:val="22"/>
          <w:lang w:val="es-ES"/>
        </w:rPr>
        <w:t xml:space="preserve"> </w:t>
      </w:r>
      <w:proofErr w:type="spellStart"/>
      <w:r>
        <w:rPr>
          <w:sz w:val="22"/>
          <w:szCs w:val="22"/>
          <w:lang w:val="es-ES"/>
        </w:rPr>
        <w:t>or</w:t>
      </w:r>
      <w:proofErr w:type="spellEnd"/>
      <w:r>
        <w:rPr>
          <w:sz w:val="22"/>
          <w:szCs w:val="22"/>
          <w:lang w:val="es-ES"/>
        </w:rPr>
        <w:t xml:space="preserve"> </w:t>
      </w:r>
      <w:proofErr w:type="spellStart"/>
      <w:r>
        <w:rPr>
          <w:sz w:val="22"/>
          <w:szCs w:val="22"/>
          <w:lang w:val="es-ES"/>
        </w:rPr>
        <w:t>international</w:t>
      </w:r>
      <w:proofErr w:type="spellEnd"/>
      <w:r>
        <w:rPr>
          <w:sz w:val="22"/>
          <w:szCs w:val="22"/>
          <w:lang w:val="es-ES"/>
        </w:rPr>
        <w:t xml:space="preserve"> </w:t>
      </w:r>
      <w:proofErr w:type="spellStart"/>
      <w:r>
        <w:rPr>
          <w:sz w:val="22"/>
          <w:szCs w:val="22"/>
          <w:lang w:val="es-ES"/>
        </w:rPr>
        <w:t>body</w:t>
      </w:r>
      <w:proofErr w:type="spellEnd"/>
      <w:r>
        <w:rPr>
          <w:sz w:val="22"/>
          <w:szCs w:val="22"/>
          <w:lang w:val="es-ES"/>
        </w:rPr>
        <w:t xml:space="preserve">, and </w:t>
      </w:r>
      <w:proofErr w:type="spellStart"/>
      <w:r>
        <w:rPr>
          <w:sz w:val="22"/>
          <w:szCs w:val="22"/>
          <w:lang w:val="es-ES"/>
        </w:rPr>
        <w:t>must</w:t>
      </w:r>
      <w:proofErr w:type="spellEnd"/>
      <w:r>
        <w:rPr>
          <w:sz w:val="22"/>
          <w:szCs w:val="22"/>
          <w:lang w:val="es-ES"/>
        </w:rPr>
        <w:t xml:space="preserve"> </w:t>
      </w:r>
      <w:proofErr w:type="spellStart"/>
      <w:r>
        <w:rPr>
          <w:sz w:val="22"/>
          <w:szCs w:val="22"/>
          <w:lang w:val="es-ES"/>
        </w:rPr>
        <w:t>cover</w:t>
      </w:r>
      <w:proofErr w:type="spellEnd"/>
      <w:r>
        <w:rPr>
          <w:sz w:val="22"/>
          <w:szCs w:val="22"/>
          <w:lang w:val="es-ES"/>
        </w:rPr>
        <w:t xml:space="preserve"> </w:t>
      </w:r>
      <w:proofErr w:type="spellStart"/>
      <w:r>
        <w:rPr>
          <w:sz w:val="22"/>
          <w:szCs w:val="22"/>
          <w:lang w:val="es-ES"/>
        </w:rPr>
        <w:t>the</w:t>
      </w:r>
      <w:proofErr w:type="spellEnd"/>
      <w:r>
        <w:rPr>
          <w:sz w:val="22"/>
          <w:szCs w:val="22"/>
          <w:lang w:val="es-ES"/>
        </w:rPr>
        <w:t xml:space="preserve"> </w:t>
      </w:r>
      <w:proofErr w:type="spellStart"/>
      <w:r>
        <w:rPr>
          <w:sz w:val="22"/>
          <w:szCs w:val="22"/>
          <w:lang w:val="es-ES"/>
        </w:rPr>
        <w:t>entire</w:t>
      </w:r>
      <w:proofErr w:type="spellEnd"/>
      <w:r>
        <w:rPr>
          <w:sz w:val="22"/>
          <w:szCs w:val="22"/>
          <w:lang w:val="es-ES"/>
        </w:rPr>
        <w:t xml:space="preserve"> </w:t>
      </w:r>
      <w:proofErr w:type="spellStart"/>
      <w:r>
        <w:rPr>
          <w:sz w:val="22"/>
          <w:szCs w:val="22"/>
          <w:lang w:val="es-ES"/>
        </w:rPr>
        <w:t>range</w:t>
      </w:r>
      <w:proofErr w:type="spellEnd"/>
      <w:r>
        <w:rPr>
          <w:sz w:val="22"/>
          <w:szCs w:val="22"/>
          <w:lang w:val="es-ES"/>
        </w:rPr>
        <w:t xml:space="preserve"> </w:t>
      </w:r>
      <w:proofErr w:type="spellStart"/>
      <w:r>
        <w:rPr>
          <w:sz w:val="22"/>
          <w:szCs w:val="22"/>
          <w:lang w:val="es-ES"/>
        </w:rPr>
        <w:t>of</w:t>
      </w:r>
      <w:proofErr w:type="spellEnd"/>
      <w:r>
        <w:rPr>
          <w:sz w:val="22"/>
          <w:szCs w:val="22"/>
          <w:lang w:val="es-ES"/>
        </w:rPr>
        <w:t xml:space="preserve"> </w:t>
      </w:r>
      <w:proofErr w:type="spellStart"/>
      <w:r>
        <w:rPr>
          <w:sz w:val="22"/>
          <w:szCs w:val="22"/>
          <w:lang w:val="es-ES"/>
        </w:rPr>
        <w:t>the</w:t>
      </w:r>
      <w:proofErr w:type="spellEnd"/>
      <w:r>
        <w:rPr>
          <w:sz w:val="22"/>
          <w:szCs w:val="22"/>
          <w:lang w:val="es-ES"/>
        </w:rPr>
        <w:t xml:space="preserve"> </w:t>
      </w:r>
      <w:proofErr w:type="spellStart"/>
      <w:r>
        <w:rPr>
          <w:sz w:val="22"/>
          <w:szCs w:val="22"/>
          <w:lang w:val="es-ES"/>
        </w:rPr>
        <w:t>instruments</w:t>
      </w:r>
      <w:proofErr w:type="spellEnd"/>
      <w:r>
        <w:rPr>
          <w:sz w:val="22"/>
          <w:szCs w:val="22"/>
          <w:lang w:val="es-ES"/>
        </w:rPr>
        <w:t xml:space="preserve">, </w:t>
      </w:r>
      <w:proofErr w:type="spellStart"/>
      <w:r>
        <w:rPr>
          <w:sz w:val="22"/>
          <w:szCs w:val="22"/>
          <w:lang w:val="es-ES"/>
        </w:rPr>
        <w:t>indicating</w:t>
      </w:r>
      <w:proofErr w:type="spellEnd"/>
      <w:r>
        <w:rPr>
          <w:sz w:val="22"/>
          <w:szCs w:val="22"/>
          <w:lang w:val="es-ES"/>
        </w:rPr>
        <w:t xml:space="preserve"> </w:t>
      </w:r>
      <w:proofErr w:type="spellStart"/>
      <w:r>
        <w:rPr>
          <w:sz w:val="22"/>
          <w:szCs w:val="22"/>
          <w:lang w:val="es-ES"/>
        </w:rPr>
        <w:t>the</w:t>
      </w:r>
      <w:proofErr w:type="spellEnd"/>
      <w:r>
        <w:rPr>
          <w:sz w:val="22"/>
          <w:szCs w:val="22"/>
          <w:lang w:val="es-ES"/>
        </w:rPr>
        <w:t xml:space="preserve"> </w:t>
      </w:r>
      <w:proofErr w:type="spellStart"/>
      <w:r>
        <w:rPr>
          <w:sz w:val="22"/>
          <w:szCs w:val="22"/>
          <w:lang w:val="es-ES"/>
        </w:rPr>
        <w:t>calibration</w:t>
      </w:r>
      <w:proofErr w:type="spellEnd"/>
      <w:r>
        <w:rPr>
          <w:sz w:val="22"/>
          <w:szCs w:val="22"/>
          <w:lang w:val="es-ES"/>
        </w:rPr>
        <w:t xml:space="preserve"> </w:t>
      </w:r>
      <w:proofErr w:type="spellStart"/>
      <w:r>
        <w:rPr>
          <w:sz w:val="22"/>
          <w:szCs w:val="22"/>
          <w:lang w:val="es-ES"/>
        </w:rPr>
        <w:t>uncertainties</w:t>
      </w:r>
      <w:proofErr w:type="spellEnd"/>
      <w:r>
        <w:rPr>
          <w:sz w:val="22"/>
          <w:szCs w:val="22"/>
          <w:lang w:val="es-ES"/>
        </w:rPr>
        <w:t>.</w:t>
      </w:r>
      <w:r>
        <w:rPr>
          <w:sz w:val="22"/>
          <w:szCs w:val="22"/>
          <w:lang w:val="es-ES"/>
        </w:rPr>
        <w:tab/>
      </w:r>
    </w:p>
    <w:p w14:paraId="471FE89E" w14:textId="77777777" w:rsidR="00E255F4" w:rsidRDefault="00000000">
      <w:pPr>
        <w:numPr>
          <w:ilvl w:val="1"/>
          <w:numId w:val="55"/>
        </w:numPr>
        <w:spacing w:before="240" w:after="120"/>
        <w:ind w:left="709" w:hanging="709"/>
        <w:rPr>
          <w:b/>
          <w:sz w:val="22"/>
          <w:szCs w:val="22"/>
        </w:rPr>
      </w:pPr>
      <w:proofErr w:type="spellStart"/>
      <w:r>
        <w:rPr>
          <w:b/>
          <w:sz w:val="22"/>
          <w:szCs w:val="22"/>
        </w:rPr>
        <w:t>Measuring</w:t>
      </w:r>
      <w:proofErr w:type="spellEnd"/>
      <w:r>
        <w:rPr>
          <w:b/>
          <w:sz w:val="22"/>
          <w:szCs w:val="22"/>
        </w:rPr>
        <w:t xml:space="preserve"> </w:t>
      </w:r>
      <w:proofErr w:type="spellStart"/>
      <w:r>
        <w:rPr>
          <w:b/>
          <w:sz w:val="22"/>
          <w:szCs w:val="22"/>
        </w:rPr>
        <w:t>instruments</w:t>
      </w:r>
      <w:proofErr w:type="spellEnd"/>
    </w:p>
    <w:p w14:paraId="2E2BDDC6" w14:textId="77777777" w:rsidR="00E255F4" w:rsidRDefault="00000000">
      <w:pPr>
        <w:pStyle w:val="Prrafodelista"/>
        <w:tabs>
          <w:tab w:val="left" w:pos="-720"/>
        </w:tabs>
        <w:ind w:left="0"/>
        <w:jc w:val="both"/>
        <w:rPr>
          <w:sz w:val="22"/>
          <w:szCs w:val="22"/>
          <w:lang w:val="es-ES"/>
        </w:rPr>
      </w:pPr>
      <w:r>
        <w:rPr>
          <w:sz w:val="22"/>
          <w:szCs w:val="22"/>
          <w:lang w:val="es-ES"/>
        </w:rPr>
        <w:t>14.2.1</w:t>
      </w:r>
      <w:r>
        <w:rPr>
          <w:b/>
          <w:sz w:val="22"/>
          <w:szCs w:val="22"/>
          <w:lang w:val="es-ES"/>
        </w:rPr>
        <w:tab/>
        <w:t xml:space="preserve">Test </w:t>
      </w:r>
      <w:proofErr w:type="spellStart"/>
      <w:r>
        <w:rPr>
          <w:b/>
          <w:sz w:val="22"/>
          <w:szCs w:val="22"/>
          <w:lang w:val="es-ES"/>
        </w:rPr>
        <w:t>benches</w:t>
      </w:r>
      <w:proofErr w:type="spellEnd"/>
      <w:r>
        <w:rPr>
          <w:b/>
          <w:sz w:val="22"/>
          <w:szCs w:val="22"/>
          <w:lang w:val="es-ES"/>
        </w:rPr>
        <w:t xml:space="preserve"> </w:t>
      </w:r>
      <w:proofErr w:type="spellStart"/>
      <w:r>
        <w:rPr>
          <w:b/>
          <w:sz w:val="22"/>
          <w:szCs w:val="22"/>
          <w:lang w:val="es-ES"/>
        </w:rPr>
        <w:t>for</w:t>
      </w:r>
      <w:proofErr w:type="spellEnd"/>
      <w:r>
        <w:rPr>
          <w:b/>
          <w:sz w:val="22"/>
          <w:szCs w:val="22"/>
          <w:lang w:val="es-ES"/>
        </w:rPr>
        <w:t xml:space="preserve"> notable </w:t>
      </w:r>
      <w:proofErr w:type="spellStart"/>
      <w:r>
        <w:rPr>
          <w:b/>
          <w:sz w:val="22"/>
          <w:szCs w:val="22"/>
          <w:lang w:val="es-ES"/>
        </w:rPr>
        <w:t>flow</w:t>
      </w:r>
      <w:proofErr w:type="spellEnd"/>
      <w:r>
        <w:rPr>
          <w:b/>
          <w:sz w:val="22"/>
          <w:szCs w:val="22"/>
          <w:lang w:val="es-ES"/>
        </w:rPr>
        <w:t xml:space="preserve"> </w:t>
      </w:r>
      <w:proofErr w:type="spellStart"/>
      <w:r>
        <w:rPr>
          <w:b/>
          <w:sz w:val="22"/>
          <w:szCs w:val="22"/>
          <w:lang w:val="es-ES"/>
        </w:rPr>
        <w:t>rates</w:t>
      </w:r>
      <w:proofErr w:type="spellEnd"/>
    </w:p>
    <w:p w14:paraId="63E7CFBE" w14:textId="77777777" w:rsidR="00E255F4" w:rsidRDefault="00000000">
      <w:pPr>
        <w:pStyle w:val="Prrafodelista"/>
        <w:tabs>
          <w:tab w:val="left" w:pos="-720"/>
        </w:tabs>
        <w:spacing w:after="120"/>
        <w:ind w:left="709"/>
        <w:jc w:val="both"/>
      </w:pPr>
      <w:r>
        <w:rPr>
          <w:sz w:val="22"/>
          <w:szCs w:val="22"/>
          <w:lang w:val="es-ES"/>
        </w:rPr>
        <w:t xml:space="preserve">For </w:t>
      </w:r>
      <w:proofErr w:type="spellStart"/>
      <w:r>
        <w:rPr>
          <w:sz w:val="22"/>
          <w:szCs w:val="22"/>
          <w:lang w:val="es-ES"/>
        </w:rPr>
        <w:t>the</w:t>
      </w:r>
      <w:proofErr w:type="spellEnd"/>
      <w:r>
        <w:rPr>
          <w:sz w:val="22"/>
          <w:szCs w:val="22"/>
          <w:lang w:val="es-ES"/>
        </w:rPr>
        <w:t xml:space="preserve"> performance </w:t>
      </w:r>
      <w:proofErr w:type="spellStart"/>
      <w:r>
        <w:rPr>
          <w:sz w:val="22"/>
          <w:szCs w:val="22"/>
          <w:lang w:val="es-ES"/>
        </w:rPr>
        <w:t>of</w:t>
      </w:r>
      <w:proofErr w:type="spellEnd"/>
      <w:r>
        <w:rPr>
          <w:sz w:val="22"/>
          <w:szCs w:val="22"/>
          <w:lang w:val="es-ES"/>
        </w:rPr>
        <w:t xml:space="preserve"> </w:t>
      </w:r>
      <w:proofErr w:type="spellStart"/>
      <w:r>
        <w:rPr>
          <w:sz w:val="22"/>
          <w:szCs w:val="22"/>
          <w:lang w:val="es-ES"/>
        </w:rPr>
        <w:t>the</w:t>
      </w:r>
      <w:proofErr w:type="spellEnd"/>
      <w:r>
        <w:rPr>
          <w:sz w:val="22"/>
          <w:szCs w:val="22"/>
          <w:lang w:val="es-ES"/>
        </w:rPr>
        <w:t xml:space="preserve"> </w:t>
      </w:r>
      <w:proofErr w:type="spellStart"/>
      <w:r>
        <w:rPr>
          <w:sz w:val="22"/>
          <w:szCs w:val="22"/>
          <w:lang w:val="es-ES"/>
        </w:rPr>
        <w:t>tests</w:t>
      </w:r>
      <w:proofErr w:type="spellEnd"/>
      <w:r>
        <w:rPr>
          <w:sz w:val="22"/>
          <w:szCs w:val="22"/>
          <w:lang w:val="es-ES"/>
        </w:rPr>
        <w:t xml:space="preserve"> </w:t>
      </w:r>
      <w:proofErr w:type="spellStart"/>
      <w:r>
        <w:rPr>
          <w:sz w:val="22"/>
          <w:szCs w:val="22"/>
          <w:lang w:val="es-ES"/>
        </w:rPr>
        <w:t>required</w:t>
      </w:r>
      <w:proofErr w:type="spellEnd"/>
      <w:r>
        <w:rPr>
          <w:sz w:val="22"/>
          <w:szCs w:val="22"/>
          <w:lang w:val="es-ES"/>
        </w:rPr>
        <w:t xml:space="preserve"> </w:t>
      </w:r>
      <w:proofErr w:type="spellStart"/>
      <w:r>
        <w:rPr>
          <w:sz w:val="22"/>
          <w:szCs w:val="22"/>
          <w:lang w:val="es-ES"/>
        </w:rPr>
        <w:t>for</w:t>
      </w:r>
      <w:proofErr w:type="spellEnd"/>
      <w:r>
        <w:rPr>
          <w:sz w:val="22"/>
          <w:szCs w:val="22"/>
          <w:lang w:val="es-ES"/>
        </w:rPr>
        <w:t xml:space="preserve"> </w:t>
      </w:r>
      <w:proofErr w:type="spellStart"/>
      <w:r>
        <w:rPr>
          <w:sz w:val="22"/>
          <w:szCs w:val="22"/>
          <w:lang w:val="es-ES"/>
        </w:rPr>
        <w:t>the</w:t>
      </w:r>
      <w:proofErr w:type="spellEnd"/>
      <w:r>
        <w:rPr>
          <w:sz w:val="22"/>
          <w:szCs w:val="22"/>
          <w:lang w:val="es-ES"/>
        </w:rPr>
        <w:t xml:space="preserve"> </w:t>
      </w:r>
      <w:proofErr w:type="spellStart"/>
      <w:r>
        <w:rPr>
          <w:sz w:val="22"/>
          <w:szCs w:val="22"/>
          <w:lang w:val="es-ES"/>
        </w:rPr>
        <w:t>acceptance</w:t>
      </w:r>
      <w:proofErr w:type="spellEnd"/>
      <w:r>
        <w:rPr>
          <w:sz w:val="22"/>
          <w:szCs w:val="22"/>
          <w:lang w:val="es-ES"/>
        </w:rPr>
        <w:t xml:space="preserve"> </w:t>
      </w:r>
      <w:proofErr w:type="spellStart"/>
      <w:r>
        <w:rPr>
          <w:sz w:val="22"/>
          <w:szCs w:val="22"/>
          <w:lang w:val="es-ES"/>
        </w:rPr>
        <w:t>of</w:t>
      </w:r>
      <w:proofErr w:type="spellEnd"/>
      <w:r>
        <w:rPr>
          <w:sz w:val="22"/>
          <w:szCs w:val="22"/>
          <w:lang w:val="es-ES"/>
        </w:rPr>
        <w:t xml:space="preserve"> </w:t>
      </w:r>
      <w:proofErr w:type="spellStart"/>
      <w:r>
        <w:rPr>
          <w:sz w:val="22"/>
          <w:szCs w:val="22"/>
          <w:lang w:val="es-ES"/>
        </w:rPr>
        <w:t>the</w:t>
      </w:r>
      <w:proofErr w:type="spellEnd"/>
      <w:r>
        <w:rPr>
          <w:sz w:val="22"/>
          <w:szCs w:val="22"/>
          <w:lang w:val="es-ES"/>
        </w:rPr>
        <w:t xml:space="preserve"> </w:t>
      </w:r>
      <w:proofErr w:type="spellStart"/>
      <w:r>
        <w:rPr>
          <w:sz w:val="22"/>
          <w:szCs w:val="22"/>
          <w:lang w:val="es-ES"/>
        </w:rPr>
        <w:t>meters</w:t>
      </w:r>
      <w:proofErr w:type="spellEnd"/>
      <w:r>
        <w:rPr>
          <w:sz w:val="22"/>
          <w:szCs w:val="22"/>
          <w:lang w:val="es-ES"/>
        </w:rPr>
        <w:t xml:space="preserve">, </w:t>
      </w:r>
      <w:proofErr w:type="spellStart"/>
      <w:r>
        <w:rPr>
          <w:sz w:val="22"/>
          <w:szCs w:val="22"/>
          <w:lang w:val="es-ES"/>
        </w:rPr>
        <w:t>the</w:t>
      </w:r>
      <w:proofErr w:type="spellEnd"/>
      <w:r>
        <w:rPr>
          <w:sz w:val="22"/>
          <w:szCs w:val="22"/>
          <w:lang w:val="es-ES"/>
        </w:rPr>
        <w:t xml:space="preserve"> test </w:t>
      </w:r>
      <w:proofErr w:type="spellStart"/>
      <w:r>
        <w:rPr>
          <w:sz w:val="22"/>
          <w:szCs w:val="22"/>
          <w:lang w:val="es-ES"/>
        </w:rPr>
        <w:t>benches</w:t>
      </w:r>
      <w:proofErr w:type="spellEnd"/>
      <w:r>
        <w:rPr>
          <w:sz w:val="22"/>
          <w:szCs w:val="22"/>
          <w:lang w:val="es-ES"/>
        </w:rPr>
        <w:t xml:space="preserve"> </w:t>
      </w:r>
      <w:proofErr w:type="spellStart"/>
      <w:r>
        <w:rPr>
          <w:sz w:val="22"/>
          <w:szCs w:val="22"/>
          <w:lang w:val="es-ES"/>
        </w:rPr>
        <w:t>must</w:t>
      </w:r>
      <w:proofErr w:type="spellEnd"/>
      <w:r>
        <w:rPr>
          <w:sz w:val="22"/>
          <w:szCs w:val="22"/>
          <w:lang w:val="es-ES"/>
        </w:rPr>
        <w:t xml:space="preserve"> </w:t>
      </w:r>
      <w:proofErr w:type="spellStart"/>
      <w:r>
        <w:rPr>
          <w:sz w:val="22"/>
          <w:szCs w:val="22"/>
          <w:lang w:val="es-ES"/>
        </w:rPr>
        <w:t>have</w:t>
      </w:r>
      <w:proofErr w:type="spellEnd"/>
      <w:r>
        <w:rPr>
          <w:sz w:val="22"/>
          <w:szCs w:val="22"/>
          <w:lang w:val="es-ES"/>
        </w:rPr>
        <w:t xml:space="preserve"> </w:t>
      </w:r>
      <w:proofErr w:type="spellStart"/>
      <w:r>
        <w:rPr>
          <w:sz w:val="22"/>
          <w:szCs w:val="22"/>
          <w:lang w:val="es-ES"/>
        </w:rPr>
        <w:t>satisfactory</w:t>
      </w:r>
      <w:proofErr w:type="spellEnd"/>
      <w:r>
        <w:rPr>
          <w:sz w:val="22"/>
          <w:szCs w:val="22"/>
          <w:lang w:val="es-ES"/>
        </w:rPr>
        <w:t xml:space="preserve"> performance and </w:t>
      </w:r>
      <w:proofErr w:type="spellStart"/>
      <w:r>
        <w:rPr>
          <w:sz w:val="22"/>
          <w:szCs w:val="22"/>
          <w:lang w:val="es-ES"/>
        </w:rPr>
        <w:t>comply</w:t>
      </w:r>
      <w:proofErr w:type="spellEnd"/>
      <w:r>
        <w:rPr>
          <w:sz w:val="22"/>
          <w:szCs w:val="22"/>
          <w:lang w:val="es-ES"/>
        </w:rPr>
        <w:t xml:space="preserve"> </w:t>
      </w:r>
      <w:proofErr w:type="spellStart"/>
      <w:r>
        <w:rPr>
          <w:sz w:val="22"/>
          <w:szCs w:val="22"/>
          <w:lang w:val="es-ES"/>
        </w:rPr>
        <w:t>with</w:t>
      </w:r>
      <w:proofErr w:type="spellEnd"/>
      <w:r>
        <w:rPr>
          <w:sz w:val="22"/>
          <w:szCs w:val="22"/>
          <w:lang w:val="es-ES"/>
        </w:rPr>
        <w:t xml:space="preserve"> </w:t>
      </w:r>
      <w:proofErr w:type="spellStart"/>
      <w:r>
        <w:rPr>
          <w:sz w:val="22"/>
          <w:szCs w:val="22"/>
          <w:lang w:val="es-ES"/>
        </w:rPr>
        <w:t>all</w:t>
      </w:r>
      <w:proofErr w:type="spellEnd"/>
      <w:r>
        <w:rPr>
          <w:sz w:val="22"/>
          <w:szCs w:val="22"/>
          <w:lang w:val="es-ES"/>
        </w:rPr>
        <w:t xml:space="preserve"> </w:t>
      </w:r>
      <w:proofErr w:type="spellStart"/>
      <w:r>
        <w:rPr>
          <w:sz w:val="22"/>
          <w:szCs w:val="22"/>
          <w:lang w:val="es-ES"/>
        </w:rPr>
        <w:t>applicable</w:t>
      </w:r>
      <w:proofErr w:type="spellEnd"/>
      <w:r>
        <w:rPr>
          <w:sz w:val="22"/>
          <w:szCs w:val="22"/>
          <w:lang w:val="es-ES"/>
        </w:rPr>
        <w:t xml:space="preserve"> </w:t>
      </w:r>
      <w:proofErr w:type="spellStart"/>
      <w:r>
        <w:rPr>
          <w:sz w:val="22"/>
          <w:szCs w:val="22"/>
          <w:lang w:val="es-ES"/>
        </w:rPr>
        <w:t>regulations</w:t>
      </w:r>
      <w:proofErr w:type="spellEnd"/>
      <w:r>
        <w:rPr>
          <w:sz w:val="22"/>
          <w:szCs w:val="22"/>
          <w:lang w:val="es-ES"/>
        </w:rPr>
        <w:t xml:space="preserve">. The </w:t>
      </w:r>
      <w:proofErr w:type="spellStart"/>
      <w:r>
        <w:rPr>
          <w:sz w:val="22"/>
          <w:szCs w:val="22"/>
          <w:lang w:val="es-ES"/>
        </w:rPr>
        <w:t>benches</w:t>
      </w:r>
      <w:proofErr w:type="spellEnd"/>
      <w:r>
        <w:rPr>
          <w:sz w:val="22"/>
          <w:szCs w:val="22"/>
          <w:lang w:val="es-ES"/>
        </w:rPr>
        <w:t xml:space="preserve"> </w:t>
      </w:r>
      <w:proofErr w:type="spellStart"/>
      <w:r>
        <w:rPr>
          <w:sz w:val="22"/>
          <w:szCs w:val="22"/>
          <w:lang w:val="es-ES"/>
        </w:rPr>
        <w:t>may</w:t>
      </w:r>
      <w:proofErr w:type="spellEnd"/>
      <w:r>
        <w:rPr>
          <w:sz w:val="22"/>
          <w:szCs w:val="22"/>
          <w:lang w:val="es-ES"/>
        </w:rPr>
        <w:t xml:space="preserve"> be </w:t>
      </w:r>
      <w:proofErr w:type="spellStart"/>
      <w:r>
        <w:rPr>
          <w:sz w:val="22"/>
          <w:szCs w:val="22"/>
          <w:lang w:val="es-ES"/>
        </w:rPr>
        <w:t>volumetric</w:t>
      </w:r>
      <w:proofErr w:type="spellEnd"/>
      <w:r>
        <w:rPr>
          <w:sz w:val="22"/>
          <w:szCs w:val="22"/>
          <w:lang w:val="es-ES"/>
        </w:rPr>
        <w:t xml:space="preserve"> </w:t>
      </w:r>
      <w:proofErr w:type="spellStart"/>
      <w:r>
        <w:rPr>
          <w:sz w:val="22"/>
          <w:szCs w:val="22"/>
          <w:lang w:val="es-ES"/>
        </w:rPr>
        <w:t>or</w:t>
      </w:r>
      <w:proofErr w:type="spellEnd"/>
      <w:r>
        <w:rPr>
          <w:sz w:val="22"/>
          <w:szCs w:val="22"/>
          <w:lang w:val="es-ES"/>
        </w:rPr>
        <w:t xml:space="preserve"> </w:t>
      </w:r>
      <w:proofErr w:type="spellStart"/>
      <w:r>
        <w:rPr>
          <w:sz w:val="22"/>
          <w:szCs w:val="22"/>
          <w:lang w:val="es-ES"/>
        </w:rPr>
        <w:t>gravimetric</w:t>
      </w:r>
      <w:proofErr w:type="spellEnd"/>
      <w:r>
        <w:rPr>
          <w:sz w:val="22"/>
          <w:szCs w:val="22"/>
          <w:lang w:val="es-ES"/>
        </w:rPr>
        <w:t xml:space="preserve">, and </w:t>
      </w:r>
      <w:proofErr w:type="spellStart"/>
      <w:r>
        <w:rPr>
          <w:sz w:val="22"/>
          <w:szCs w:val="22"/>
          <w:lang w:val="es-ES"/>
        </w:rPr>
        <w:t>their</w:t>
      </w:r>
      <w:proofErr w:type="spellEnd"/>
      <w:r>
        <w:rPr>
          <w:sz w:val="22"/>
          <w:szCs w:val="22"/>
          <w:lang w:val="es-ES"/>
        </w:rPr>
        <w:t xml:space="preserve"> </w:t>
      </w:r>
      <w:proofErr w:type="spellStart"/>
      <w:r>
        <w:rPr>
          <w:sz w:val="22"/>
          <w:szCs w:val="22"/>
          <w:lang w:val="es-ES"/>
        </w:rPr>
        <w:t>procedures</w:t>
      </w:r>
      <w:proofErr w:type="spellEnd"/>
      <w:r>
        <w:rPr>
          <w:sz w:val="22"/>
          <w:szCs w:val="22"/>
          <w:lang w:val="es-ES"/>
        </w:rPr>
        <w:t xml:space="preserve"> </w:t>
      </w:r>
      <w:proofErr w:type="spellStart"/>
      <w:r>
        <w:rPr>
          <w:sz w:val="22"/>
          <w:szCs w:val="22"/>
          <w:lang w:val="es-ES"/>
        </w:rPr>
        <w:t>may</w:t>
      </w:r>
      <w:proofErr w:type="spellEnd"/>
      <w:r>
        <w:rPr>
          <w:sz w:val="22"/>
          <w:szCs w:val="22"/>
          <w:lang w:val="es-ES"/>
        </w:rPr>
        <w:t xml:space="preserve"> be </w:t>
      </w:r>
      <w:proofErr w:type="spellStart"/>
      <w:r>
        <w:rPr>
          <w:sz w:val="22"/>
          <w:szCs w:val="22"/>
          <w:lang w:val="es-ES"/>
        </w:rPr>
        <w:t>automatic</w:t>
      </w:r>
      <w:proofErr w:type="spellEnd"/>
      <w:r>
        <w:rPr>
          <w:sz w:val="22"/>
          <w:szCs w:val="22"/>
          <w:lang w:val="es-ES"/>
        </w:rPr>
        <w:t xml:space="preserve"> </w:t>
      </w:r>
      <w:proofErr w:type="spellStart"/>
      <w:r>
        <w:rPr>
          <w:sz w:val="22"/>
          <w:szCs w:val="22"/>
          <w:lang w:val="es-ES"/>
        </w:rPr>
        <w:t>or</w:t>
      </w:r>
      <w:proofErr w:type="spellEnd"/>
      <w:r>
        <w:rPr>
          <w:sz w:val="22"/>
          <w:szCs w:val="22"/>
          <w:lang w:val="es-ES"/>
        </w:rPr>
        <w:t xml:space="preserve"> </w:t>
      </w:r>
      <w:proofErr w:type="spellStart"/>
      <w:r>
        <w:rPr>
          <w:sz w:val="22"/>
          <w:szCs w:val="22"/>
          <w:lang w:val="es-ES"/>
        </w:rPr>
        <w:t>assisted</w:t>
      </w:r>
      <w:proofErr w:type="spellEnd"/>
      <w:r>
        <w:rPr>
          <w:sz w:val="22"/>
          <w:szCs w:val="22"/>
          <w:lang w:val="es-ES"/>
        </w:rPr>
        <w:t xml:space="preserve"> </w:t>
      </w:r>
      <w:proofErr w:type="spellStart"/>
      <w:r>
        <w:rPr>
          <w:sz w:val="22"/>
          <w:szCs w:val="22"/>
          <w:lang w:val="es-ES"/>
        </w:rPr>
        <w:t>by</w:t>
      </w:r>
      <w:proofErr w:type="spellEnd"/>
      <w:r>
        <w:rPr>
          <w:sz w:val="22"/>
          <w:szCs w:val="22"/>
          <w:lang w:val="es-ES"/>
        </w:rPr>
        <w:t xml:space="preserve"> </w:t>
      </w:r>
      <w:proofErr w:type="spellStart"/>
      <w:r>
        <w:rPr>
          <w:sz w:val="22"/>
          <w:szCs w:val="22"/>
          <w:lang w:val="es-ES"/>
        </w:rPr>
        <w:t>electronic</w:t>
      </w:r>
      <w:proofErr w:type="spellEnd"/>
      <w:r>
        <w:rPr>
          <w:sz w:val="22"/>
          <w:szCs w:val="22"/>
          <w:lang w:val="es-ES"/>
        </w:rPr>
        <w:t xml:space="preserve"> </w:t>
      </w:r>
      <w:proofErr w:type="spellStart"/>
      <w:r>
        <w:rPr>
          <w:sz w:val="22"/>
          <w:szCs w:val="22"/>
          <w:lang w:val="es-ES"/>
        </w:rPr>
        <w:t>processors</w:t>
      </w:r>
      <w:proofErr w:type="spellEnd"/>
      <w:r>
        <w:rPr>
          <w:sz w:val="22"/>
          <w:szCs w:val="22"/>
          <w:lang w:val="es-ES"/>
        </w:rPr>
        <w:t>.</w:t>
      </w:r>
    </w:p>
    <w:p w14:paraId="4F198B8E" w14:textId="77777777" w:rsidR="00E255F4" w:rsidRDefault="00000000">
      <w:pPr>
        <w:pStyle w:val="Prrafodelista"/>
        <w:tabs>
          <w:tab w:val="left" w:pos="-720"/>
        </w:tabs>
        <w:ind w:left="705" w:hanging="705"/>
        <w:jc w:val="both"/>
      </w:pPr>
      <w:r>
        <w:rPr>
          <w:sz w:val="22"/>
          <w:szCs w:val="22"/>
          <w:lang w:val="es-ES"/>
        </w:rPr>
        <w:t xml:space="preserve">14.2.2 The use </w:t>
      </w:r>
      <w:proofErr w:type="spellStart"/>
      <w:r>
        <w:rPr>
          <w:sz w:val="22"/>
          <w:szCs w:val="22"/>
          <w:lang w:val="es-ES"/>
        </w:rPr>
        <w:t>of</w:t>
      </w:r>
      <w:proofErr w:type="spellEnd"/>
      <w:r>
        <w:rPr>
          <w:sz w:val="22"/>
          <w:szCs w:val="22"/>
          <w:lang w:val="es-ES"/>
        </w:rPr>
        <w:t xml:space="preserve"> </w:t>
      </w:r>
      <w:proofErr w:type="spellStart"/>
      <w:r>
        <w:rPr>
          <w:sz w:val="22"/>
          <w:szCs w:val="22"/>
          <w:lang w:val="es-ES"/>
        </w:rPr>
        <w:t>an</w:t>
      </w:r>
      <w:proofErr w:type="spellEnd"/>
      <w:r>
        <w:rPr>
          <w:sz w:val="22"/>
          <w:szCs w:val="22"/>
          <w:lang w:val="es-ES"/>
        </w:rPr>
        <w:t xml:space="preserve"> </w:t>
      </w:r>
      <w:proofErr w:type="spellStart"/>
      <w:r>
        <w:rPr>
          <w:sz w:val="22"/>
          <w:szCs w:val="22"/>
          <w:lang w:val="es-ES"/>
        </w:rPr>
        <w:t>elevated</w:t>
      </w:r>
      <w:proofErr w:type="spellEnd"/>
      <w:r>
        <w:rPr>
          <w:sz w:val="22"/>
          <w:szCs w:val="22"/>
          <w:lang w:val="es-ES"/>
        </w:rPr>
        <w:t xml:space="preserve"> </w:t>
      </w:r>
      <w:proofErr w:type="spellStart"/>
      <w:r>
        <w:rPr>
          <w:sz w:val="22"/>
          <w:szCs w:val="22"/>
          <w:lang w:val="es-ES"/>
        </w:rPr>
        <w:t>tank</w:t>
      </w:r>
      <w:proofErr w:type="spellEnd"/>
      <w:r>
        <w:rPr>
          <w:sz w:val="22"/>
          <w:szCs w:val="22"/>
          <w:lang w:val="es-ES"/>
        </w:rPr>
        <w:t xml:space="preserve"> </w:t>
      </w:r>
      <w:proofErr w:type="spellStart"/>
      <w:r>
        <w:rPr>
          <w:sz w:val="22"/>
          <w:szCs w:val="22"/>
          <w:lang w:val="es-ES"/>
        </w:rPr>
        <w:t>with</w:t>
      </w:r>
      <w:proofErr w:type="spellEnd"/>
      <w:r>
        <w:rPr>
          <w:sz w:val="22"/>
          <w:szCs w:val="22"/>
          <w:lang w:val="es-ES"/>
        </w:rPr>
        <w:t xml:space="preserve"> a </w:t>
      </w:r>
      <w:proofErr w:type="spellStart"/>
      <w:r>
        <w:rPr>
          <w:sz w:val="22"/>
          <w:szCs w:val="22"/>
          <w:lang w:val="es-ES"/>
        </w:rPr>
        <w:t>constant</w:t>
      </w:r>
      <w:proofErr w:type="spellEnd"/>
      <w:r>
        <w:rPr>
          <w:sz w:val="22"/>
          <w:szCs w:val="22"/>
          <w:lang w:val="es-ES"/>
        </w:rPr>
        <w:t xml:space="preserve"> </w:t>
      </w:r>
      <w:proofErr w:type="spellStart"/>
      <w:r>
        <w:rPr>
          <w:sz w:val="22"/>
          <w:szCs w:val="22"/>
          <w:lang w:val="es-ES"/>
        </w:rPr>
        <w:t>level</w:t>
      </w:r>
      <w:proofErr w:type="spellEnd"/>
      <w:r>
        <w:rPr>
          <w:sz w:val="22"/>
          <w:szCs w:val="22"/>
          <w:lang w:val="es-ES"/>
        </w:rPr>
        <w:t xml:space="preserve"> </w:t>
      </w:r>
      <w:proofErr w:type="spellStart"/>
      <w:r>
        <w:rPr>
          <w:sz w:val="22"/>
          <w:szCs w:val="22"/>
          <w:lang w:val="es-ES"/>
        </w:rPr>
        <w:t>is</w:t>
      </w:r>
      <w:proofErr w:type="spellEnd"/>
      <w:r>
        <w:rPr>
          <w:sz w:val="22"/>
          <w:szCs w:val="22"/>
          <w:lang w:val="es-ES"/>
        </w:rPr>
        <w:t xml:space="preserve"> </w:t>
      </w:r>
      <w:proofErr w:type="spellStart"/>
      <w:r>
        <w:rPr>
          <w:sz w:val="22"/>
          <w:szCs w:val="22"/>
          <w:lang w:val="es-ES"/>
        </w:rPr>
        <w:t>preferred</w:t>
      </w:r>
      <w:proofErr w:type="spellEnd"/>
      <w:r>
        <w:rPr>
          <w:sz w:val="22"/>
          <w:szCs w:val="22"/>
          <w:lang w:val="es-ES"/>
        </w:rPr>
        <w:t xml:space="preserve"> </w:t>
      </w:r>
      <w:proofErr w:type="spellStart"/>
      <w:r>
        <w:rPr>
          <w:sz w:val="22"/>
          <w:szCs w:val="22"/>
          <w:lang w:val="es-ES"/>
        </w:rPr>
        <w:t>for</w:t>
      </w:r>
      <w:proofErr w:type="spellEnd"/>
      <w:r>
        <w:rPr>
          <w:sz w:val="22"/>
          <w:szCs w:val="22"/>
          <w:lang w:val="es-ES"/>
        </w:rPr>
        <w:t xml:space="preserve"> </w:t>
      </w:r>
      <w:proofErr w:type="spellStart"/>
      <w:r>
        <w:rPr>
          <w:sz w:val="22"/>
          <w:szCs w:val="22"/>
          <w:lang w:val="es-ES"/>
        </w:rPr>
        <w:t>flow</w:t>
      </w:r>
      <w:proofErr w:type="spellEnd"/>
      <w:r>
        <w:rPr>
          <w:sz w:val="22"/>
          <w:szCs w:val="22"/>
          <w:lang w:val="es-ES"/>
        </w:rPr>
        <w:t xml:space="preserve"> </w:t>
      </w:r>
      <w:proofErr w:type="spellStart"/>
      <w:r>
        <w:rPr>
          <w:sz w:val="22"/>
          <w:szCs w:val="22"/>
          <w:lang w:val="es-ES"/>
        </w:rPr>
        <w:t>rates</w:t>
      </w:r>
      <w:proofErr w:type="spellEnd"/>
      <w:r>
        <w:rPr>
          <w:sz w:val="22"/>
          <w:szCs w:val="22"/>
          <w:lang w:val="es-ES"/>
        </w:rPr>
        <w:t xml:space="preserve"> </w:t>
      </w:r>
      <w:proofErr w:type="spellStart"/>
      <w:r>
        <w:rPr>
          <w:sz w:val="22"/>
          <w:szCs w:val="22"/>
          <w:lang w:val="es-ES"/>
        </w:rPr>
        <w:t>between</w:t>
      </w:r>
      <w:proofErr w:type="spellEnd"/>
      <w:r>
        <w:rPr>
          <w:sz w:val="22"/>
          <w:szCs w:val="22"/>
          <w:lang w:val="es-ES"/>
        </w:rPr>
        <w:t xml:space="preserve"> Q1 and Q2 inclusive. In </w:t>
      </w:r>
      <w:proofErr w:type="spellStart"/>
      <w:r>
        <w:rPr>
          <w:sz w:val="22"/>
          <w:szCs w:val="22"/>
          <w:lang w:val="es-ES"/>
        </w:rPr>
        <w:t>all</w:t>
      </w:r>
      <w:proofErr w:type="spellEnd"/>
      <w:r>
        <w:rPr>
          <w:sz w:val="22"/>
          <w:szCs w:val="22"/>
          <w:lang w:val="es-ES"/>
        </w:rPr>
        <w:t xml:space="preserve"> cases, </w:t>
      </w:r>
      <w:proofErr w:type="spellStart"/>
      <w:r>
        <w:rPr>
          <w:sz w:val="22"/>
          <w:szCs w:val="22"/>
          <w:lang w:val="es-ES"/>
        </w:rPr>
        <w:t>it</w:t>
      </w:r>
      <w:proofErr w:type="spellEnd"/>
      <w:r>
        <w:rPr>
          <w:sz w:val="22"/>
          <w:szCs w:val="22"/>
          <w:lang w:val="es-ES"/>
        </w:rPr>
        <w:t xml:space="preserve"> </w:t>
      </w:r>
      <w:proofErr w:type="spellStart"/>
      <w:r>
        <w:rPr>
          <w:sz w:val="22"/>
          <w:szCs w:val="22"/>
          <w:lang w:val="es-ES"/>
        </w:rPr>
        <w:t>must</w:t>
      </w:r>
      <w:proofErr w:type="spellEnd"/>
      <w:r>
        <w:rPr>
          <w:sz w:val="22"/>
          <w:szCs w:val="22"/>
          <w:lang w:val="es-ES"/>
        </w:rPr>
        <w:t xml:space="preserve"> be </w:t>
      </w:r>
      <w:proofErr w:type="spellStart"/>
      <w:r>
        <w:rPr>
          <w:sz w:val="22"/>
          <w:szCs w:val="22"/>
          <w:lang w:val="es-ES"/>
        </w:rPr>
        <w:t>ensured</w:t>
      </w:r>
      <w:proofErr w:type="spellEnd"/>
      <w:r>
        <w:rPr>
          <w:sz w:val="22"/>
          <w:szCs w:val="22"/>
          <w:lang w:val="es-ES"/>
        </w:rPr>
        <w:t xml:space="preserve"> </w:t>
      </w:r>
      <w:proofErr w:type="spellStart"/>
      <w:r>
        <w:rPr>
          <w:sz w:val="22"/>
          <w:szCs w:val="22"/>
          <w:lang w:val="es-ES"/>
        </w:rPr>
        <w:t>that</w:t>
      </w:r>
      <w:proofErr w:type="spellEnd"/>
      <w:r>
        <w:rPr>
          <w:sz w:val="22"/>
          <w:szCs w:val="22"/>
          <w:lang w:val="es-ES"/>
        </w:rPr>
        <w:t xml:space="preserve"> </w:t>
      </w:r>
      <w:proofErr w:type="spellStart"/>
      <w:r>
        <w:rPr>
          <w:sz w:val="22"/>
          <w:szCs w:val="22"/>
          <w:lang w:val="es-ES"/>
        </w:rPr>
        <w:t>the</w:t>
      </w:r>
      <w:proofErr w:type="spellEnd"/>
      <w:r>
        <w:rPr>
          <w:sz w:val="22"/>
          <w:szCs w:val="22"/>
          <w:lang w:val="es-ES"/>
        </w:rPr>
        <w:t xml:space="preserve"> </w:t>
      </w:r>
      <w:proofErr w:type="spellStart"/>
      <w:r>
        <w:rPr>
          <w:sz w:val="22"/>
          <w:szCs w:val="22"/>
          <w:lang w:val="es-ES"/>
        </w:rPr>
        <w:t>feed</w:t>
      </w:r>
      <w:proofErr w:type="spellEnd"/>
      <w:r>
        <w:rPr>
          <w:sz w:val="22"/>
          <w:szCs w:val="22"/>
          <w:lang w:val="es-ES"/>
        </w:rPr>
        <w:t xml:space="preserve"> </w:t>
      </w:r>
      <w:proofErr w:type="spellStart"/>
      <w:r>
        <w:rPr>
          <w:sz w:val="22"/>
          <w:szCs w:val="22"/>
          <w:lang w:val="es-ES"/>
        </w:rPr>
        <w:t>is</w:t>
      </w:r>
      <w:proofErr w:type="spellEnd"/>
      <w:r>
        <w:rPr>
          <w:sz w:val="22"/>
          <w:szCs w:val="22"/>
          <w:lang w:val="es-ES"/>
        </w:rPr>
        <w:t xml:space="preserve"> </w:t>
      </w:r>
      <w:proofErr w:type="spellStart"/>
      <w:r>
        <w:rPr>
          <w:sz w:val="22"/>
          <w:szCs w:val="22"/>
          <w:lang w:val="es-ES"/>
        </w:rPr>
        <w:t>sufficiently</w:t>
      </w:r>
      <w:proofErr w:type="spellEnd"/>
      <w:r>
        <w:rPr>
          <w:sz w:val="22"/>
          <w:szCs w:val="22"/>
          <w:lang w:val="es-ES"/>
        </w:rPr>
        <w:t xml:space="preserve"> </w:t>
      </w:r>
      <w:proofErr w:type="spellStart"/>
      <w:r>
        <w:rPr>
          <w:sz w:val="22"/>
          <w:szCs w:val="22"/>
          <w:lang w:val="es-ES"/>
        </w:rPr>
        <w:t>stable</w:t>
      </w:r>
      <w:proofErr w:type="spellEnd"/>
      <w:r>
        <w:rPr>
          <w:sz w:val="22"/>
          <w:szCs w:val="22"/>
          <w:lang w:val="es-ES"/>
        </w:rPr>
        <w:t xml:space="preserve"> </w:t>
      </w:r>
      <w:proofErr w:type="spellStart"/>
      <w:r>
        <w:rPr>
          <w:sz w:val="22"/>
          <w:szCs w:val="22"/>
          <w:lang w:val="es-ES"/>
        </w:rPr>
        <w:t>during</w:t>
      </w:r>
      <w:proofErr w:type="spellEnd"/>
      <w:r>
        <w:rPr>
          <w:sz w:val="22"/>
          <w:szCs w:val="22"/>
          <w:lang w:val="es-ES"/>
        </w:rPr>
        <w:t xml:space="preserve"> </w:t>
      </w:r>
      <w:proofErr w:type="spellStart"/>
      <w:r>
        <w:rPr>
          <w:sz w:val="22"/>
          <w:szCs w:val="22"/>
          <w:lang w:val="es-ES"/>
        </w:rPr>
        <w:t>the</w:t>
      </w:r>
      <w:proofErr w:type="spellEnd"/>
      <w:r>
        <w:rPr>
          <w:sz w:val="22"/>
          <w:szCs w:val="22"/>
          <w:lang w:val="es-ES"/>
        </w:rPr>
        <w:t xml:space="preserve"> </w:t>
      </w:r>
      <w:proofErr w:type="spellStart"/>
      <w:r>
        <w:rPr>
          <w:sz w:val="22"/>
          <w:szCs w:val="22"/>
          <w:lang w:val="es-ES"/>
        </w:rPr>
        <w:t>tests</w:t>
      </w:r>
      <w:proofErr w:type="spellEnd"/>
      <w:r>
        <w:rPr>
          <w:sz w:val="22"/>
          <w:szCs w:val="22"/>
          <w:lang w:val="es-ES"/>
        </w:rPr>
        <w:t xml:space="preserve">, </w:t>
      </w:r>
      <w:proofErr w:type="spellStart"/>
      <w:r>
        <w:rPr>
          <w:sz w:val="22"/>
          <w:szCs w:val="22"/>
          <w:lang w:val="es-ES"/>
        </w:rPr>
        <w:t>such</w:t>
      </w:r>
      <w:proofErr w:type="spellEnd"/>
      <w:r>
        <w:rPr>
          <w:sz w:val="22"/>
          <w:szCs w:val="22"/>
          <w:lang w:val="es-ES"/>
        </w:rPr>
        <w:t xml:space="preserve"> </w:t>
      </w:r>
      <w:proofErr w:type="spellStart"/>
      <w:r>
        <w:rPr>
          <w:sz w:val="22"/>
          <w:szCs w:val="22"/>
          <w:lang w:val="es-ES"/>
        </w:rPr>
        <w:t>that</w:t>
      </w:r>
      <w:proofErr w:type="spellEnd"/>
      <w:r>
        <w:rPr>
          <w:sz w:val="22"/>
          <w:szCs w:val="22"/>
          <w:lang w:val="es-ES"/>
        </w:rPr>
        <w:t xml:space="preserve"> </w:t>
      </w:r>
      <w:proofErr w:type="spellStart"/>
      <w:r>
        <w:rPr>
          <w:sz w:val="22"/>
          <w:szCs w:val="22"/>
          <w:lang w:val="es-ES"/>
        </w:rPr>
        <w:t>the</w:t>
      </w:r>
      <w:proofErr w:type="spellEnd"/>
      <w:r>
        <w:rPr>
          <w:sz w:val="22"/>
          <w:szCs w:val="22"/>
          <w:lang w:val="es-ES"/>
        </w:rPr>
        <w:t xml:space="preserve"> </w:t>
      </w:r>
      <w:proofErr w:type="spellStart"/>
      <w:r>
        <w:rPr>
          <w:sz w:val="22"/>
          <w:szCs w:val="22"/>
          <w:lang w:val="es-ES"/>
        </w:rPr>
        <w:t>flow</w:t>
      </w:r>
      <w:proofErr w:type="spellEnd"/>
      <w:r>
        <w:rPr>
          <w:sz w:val="22"/>
          <w:szCs w:val="22"/>
          <w:lang w:val="es-ES"/>
        </w:rPr>
        <w:t xml:space="preserve"> </w:t>
      </w:r>
      <w:proofErr w:type="spellStart"/>
      <w:r>
        <w:rPr>
          <w:sz w:val="22"/>
          <w:szCs w:val="22"/>
          <w:lang w:val="es-ES"/>
        </w:rPr>
        <w:t>rate</w:t>
      </w:r>
      <w:proofErr w:type="spellEnd"/>
      <w:r>
        <w:rPr>
          <w:sz w:val="22"/>
          <w:szCs w:val="22"/>
          <w:lang w:val="es-ES"/>
        </w:rPr>
        <w:t xml:space="preserve"> </w:t>
      </w:r>
      <w:proofErr w:type="spellStart"/>
      <w:r>
        <w:rPr>
          <w:sz w:val="22"/>
          <w:szCs w:val="22"/>
          <w:lang w:val="es-ES"/>
        </w:rPr>
        <w:t>variation</w:t>
      </w:r>
      <w:proofErr w:type="spellEnd"/>
      <w:r>
        <w:rPr>
          <w:sz w:val="22"/>
          <w:szCs w:val="22"/>
          <w:lang w:val="es-ES"/>
        </w:rPr>
        <w:t xml:space="preserve"> </w:t>
      </w:r>
      <w:proofErr w:type="spellStart"/>
      <w:r>
        <w:rPr>
          <w:sz w:val="22"/>
          <w:szCs w:val="22"/>
          <w:lang w:val="es-ES"/>
        </w:rPr>
        <w:t>is</w:t>
      </w:r>
      <w:proofErr w:type="spellEnd"/>
      <w:r>
        <w:rPr>
          <w:sz w:val="22"/>
          <w:szCs w:val="22"/>
          <w:lang w:val="es-ES"/>
        </w:rPr>
        <w:t xml:space="preserve"> </w:t>
      </w:r>
      <w:proofErr w:type="spellStart"/>
      <w:r>
        <w:rPr>
          <w:sz w:val="22"/>
          <w:szCs w:val="22"/>
          <w:lang w:val="es-ES"/>
        </w:rPr>
        <w:t>between</w:t>
      </w:r>
      <w:proofErr w:type="spellEnd"/>
      <w:r>
        <w:rPr>
          <w:sz w:val="22"/>
          <w:szCs w:val="22"/>
          <w:lang w:val="es-ES"/>
        </w:rPr>
        <w:t xml:space="preserve"> ±5% </w:t>
      </w:r>
      <w:proofErr w:type="spellStart"/>
      <w:r>
        <w:rPr>
          <w:sz w:val="22"/>
          <w:szCs w:val="22"/>
          <w:lang w:val="es-ES"/>
        </w:rPr>
        <w:t>for</w:t>
      </w:r>
      <w:proofErr w:type="spellEnd"/>
      <w:r>
        <w:rPr>
          <w:sz w:val="22"/>
          <w:szCs w:val="22"/>
          <w:lang w:val="es-ES"/>
        </w:rPr>
        <w:t xml:space="preserve"> </w:t>
      </w:r>
      <w:proofErr w:type="spellStart"/>
      <w:r>
        <w:rPr>
          <w:sz w:val="22"/>
          <w:szCs w:val="22"/>
          <w:lang w:val="es-ES"/>
        </w:rPr>
        <w:t>flow</w:t>
      </w:r>
      <w:proofErr w:type="spellEnd"/>
      <w:r>
        <w:rPr>
          <w:sz w:val="22"/>
          <w:szCs w:val="22"/>
          <w:lang w:val="es-ES"/>
        </w:rPr>
        <w:t xml:space="preserve"> </w:t>
      </w:r>
      <w:proofErr w:type="spellStart"/>
      <w:r>
        <w:rPr>
          <w:sz w:val="22"/>
          <w:szCs w:val="22"/>
          <w:lang w:val="es-ES"/>
        </w:rPr>
        <w:t>rates</w:t>
      </w:r>
      <w:proofErr w:type="spellEnd"/>
      <w:r>
        <w:rPr>
          <w:sz w:val="22"/>
          <w:szCs w:val="22"/>
          <w:lang w:val="es-ES"/>
        </w:rPr>
        <w:t xml:space="preserve"> </w:t>
      </w:r>
      <w:proofErr w:type="spellStart"/>
      <w:r>
        <w:rPr>
          <w:sz w:val="22"/>
          <w:szCs w:val="22"/>
          <w:lang w:val="es-ES"/>
        </w:rPr>
        <w:t>between</w:t>
      </w:r>
      <w:proofErr w:type="spellEnd"/>
      <w:r>
        <w:rPr>
          <w:sz w:val="22"/>
          <w:szCs w:val="22"/>
          <w:lang w:val="es-ES"/>
        </w:rPr>
        <w:t xml:space="preserve"> Q2 and Q4 inclusive and ±2.5% </w:t>
      </w:r>
      <w:proofErr w:type="spellStart"/>
      <w:r>
        <w:rPr>
          <w:sz w:val="22"/>
          <w:szCs w:val="22"/>
          <w:lang w:val="es-ES"/>
        </w:rPr>
        <w:t>between</w:t>
      </w:r>
      <w:proofErr w:type="spellEnd"/>
      <w:r>
        <w:rPr>
          <w:sz w:val="22"/>
          <w:szCs w:val="22"/>
          <w:lang w:val="es-ES"/>
        </w:rPr>
        <w:t xml:space="preserve"> Q1 and Q2 exclusive.</w:t>
      </w:r>
      <w:r>
        <w:rPr>
          <w:sz w:val="22"/>
          <w:szCs w:val="22"/>
          <w:lang w:val="es-ES"/>
        </w:rPr>
        <w:tab/>
      </w:r>
    </w:p>
    <w:p w14:paraId="220BB721" w14:textId="77777777" w:rsidR="00E255F4" w:rsidRDefault="00000000">
      <w:pPr>
        <w:pStyle w:val="Prrafodelista"/>
        <w:tabs>
          <w:tab w:val="left" w:pos="-720"/>
        </w:tabs>
        <w:spacing w:before="120"/>
        <w:ind w:left="703" w:hanging="703"/>
        <w:jc w:val="both"/>
      </w:pPr>
      <w:r>
        <w:rPr>
          <w:sz w:val="22"/>
          <w:szCs w:val="22"/>
          <w:lang w:val="es-ES"/>
        </w:rPr>
        <w:t xml:space="preserve">14.2.3The test </w:t>
      </w:r>
      <w:proofErr w:type="spellStart"/>
      <w:r>
        <w:rPr>
          <w:sz w:val="22"/>
          <w:szCs w:val="22"/>
          <w:lang w:val="es-ES"/>
        </w:rPr>
        <w:t>bench</w:t>
      </w:r>
      <w:proofErr w:type="spellEnd"/>
      <w:r>
        <w:rPr>
          <w:sz w:val="22"/>
          <w:szCs w:val="22"/>
          <w:lang w:val="es-ES"/>
        </w:rPr>
        <w:t xml:space="preserve"> </w:t>
      </w:r>
      <w:proofErr w:type="spellStart"/>
      <w:r>
        <w:rPr>
          <w:sz w:val="22"/>
          <w:szCs w:val="22"/>
          <w:lang w:val="es-ES"/>
        </w:rPr>
        <w:t>shall</w:t>
      </w:r>
      <w:proofErr w:type="spellEnd"/>
      <w:r>
        <w:rPr>
          <w:sz w:val="22"/>
          <w:szCs w:val="22"/>
          <w:lang w:val="es-ES"/>
        </w:rPr>
        <w:t xml:space="preserve"> be </w:t>
      </w:r>
      <w:proofErr w:type="spellStart"/>
      <w:r>
        <w:rPr>
          <w:sz w:val="22"/>
          <w:szCs w:val="22"/>
          <w:lang w:val="es-ES"/>
        </w:rPr>
        <w:t>installed</w:t>
      </w:r>
      <w:proofErr w:type="spellEnd"/>
      <w:r>
        <w:rPr>
          <w:sz w:val="22"/>
          <w:szCs w:val="22"/>
          <w:lang w:val="es-ES"/>
        </w:rPr>
        <w:t xml:space="preserve"> so </w:t>
      </w:r>
      <w:proofErr w:type="spellStart"/>
      <w:r>
        <w:rPr>
          <w:sz w:val="22"/>
          <w:szCs w:val="22"/>
          <w:lang w:val="es-ES"/>
        </w:rPr>
        <w:t>that</w:t>
      </w:r>
      <w:proofErr w:type="spellEnd"/>
      <w:r>
        <w:rPr>
          <w:sz w:val="22"/>
          <w:szCs w:val="22"/>
          <w:lang w:val="es-ES"/>
        </w:rPr>
        <w:t xml:space="preserve"> </w:t>
      </w:r>
      <w:proofErr w:type="spellStart"/>
      <w:r>
        <w:rPr>
          <w:sz w:val="22"/>
          <w:szCs w:val="22"/>
          <w:lang w:val="es-ES"/>
        </w:rPr>
        <w:t>the</w:t>
      </w:r>
      <w:proofErr w:type="spellEnd"/>
      <w:r>
        <w:rPr>
          <w:sz w:val="22"/>
          <w:szCs w:val="22"/>
          <w:lang w:val="es-ES"/>
        </w:rPr>
        <w:t xml:space="preserve"> </w:t>
      </w:r>
      <w:proofErr w:type="spellStart"/>
      <w:r>
        <w:rPr>
          <w:sz w:val="22"/>
          <w:szCs w:val="22"/>
          <w:lang w:val="es-ES"/>
        </w:rPr>
        <w:t>tested</w:t>
      </w:r>
      <w:proofErr w:type="spellEnd"/>
      <w:r>
        <w:rPr>
          <w:sz w:val="22"/>
          <w:szCs w:val="22"/>
          <w:lang w:val="es-ES"/>
        </w:rPr>
        <w:t xml:space="preserve"> gauges are in </w:t>
      </w:r>
      <w:proofErr w:type="spellStart"/>
      <w:r>
        <w:rPr>
          <w:sz w:val="22"/>
          <w:szCs w:val="22"/>
          <w:lang w:val="es-ES"/>
        </w:rPr>
        <w:t>their</w:t>
      </w:r>
      <w:proofErr w:type="spellEnd"/>
      <w:r>
        <w:rPr>
          <w:sz w:val="22"/>
          <w:szCs w:val="22"/>
          <w:lang w:val="es-ES"/>
        </w:rPr>
        <w:t xml:space="preserve"> </w:t>
      </w:r>
      <w:proofErr w:type="spellStart"/>
      <w:r>
        <w:rPr>
          <w:sz w:val="22"/>
          <w:szCs w:val="22"/>
          <w:lang w:val="es-ES"/>
        </w:rPr>
        <w:t>recommended</w:t>
      </w:r>
      <w:proofErr w:type="spellEnd"/>
      <w:r>
        <w:rPr>
          <w:sz w:val="22"/>
          <w:szCs w:val="22"/>
          <w:lang w:val="es-ES"/>
        </w:rPr>
        <w:t xml:space="preserve"> </w:t>
      </w:r>
      <w:proofErr w:type="spellStart"/>
      <w:r>
        <w:rPr>
          <w:sz w:val="22"/>
          <w:szCs w:val="22"/>
          <w:lang w:val="es-ES"/>
        </w:rPr>
        <w:t>working</w:t>
      </w:r>
      <w:proofErr w:type="spellEnd"/>
      <w:r>
        <w:rPr>
          <w:sz w:val="22"/>
          <w:szCs w:val="22"/>
          <w:lang w:val="es-ES"/>
        </w:rPr>
        <w:t xml:space="preserve"> plane, and </w:t>
      </w:r>
      <w:proofErr w:type="spellStart"/>
      <w:r>
        <w:rPr>
          <w:sz w:val="22"/>
          <w:szCs w:val="22"/>
          <w:lang w:val="es-ES"/>
        </w:rPr>
        <w:t>the</w:t>
      </w:r>
      <w:proofErr w:type="spellEnd"/>
      <w:r>
        <w:rPr>
          <w:sz w:val="22"/>
          <w:szCs w:val="22"/>
          <w:lang w:val="es-ES"/>
        </w:rPr>
        <w:t xml:space="preserve"> </w:t>
      </w:r>
      <w:proofErr w:type="spellStart"/>
      <w:r>
        <w:rPr>
          <w:sz w:val="22"/>
          <w:szCs w:val="22"/>
          <w:lang w:val="es-ES"/>
        </w:rPr>
        <w:t>calibrated</w:t>
      </w:r>
      <w:proofErr w:type="spellEnd"/>
      <w:r>
        <w:rPr>
          <w:sz w:val="22"/>
          <w:szCs w:val="22"/>
          <w:lang w:val="es-ES"/>
        </w:rPr>
        <w:t xml:space="preserve"> </w:t>
      </w:r>
      <w:proofErr w:type="spellStart"/>
      <w:r>
        <w:rPr>
          <w:sz w:val="22"/>
          <w:szCs w:val="22"/>
          <w:lang w:val="es-ES"/>
        </w:rPr>
        <w:t>tanks</w:t>
      </w:r>
      <w:proofErr w:type="spellEnd"/>
      <w:r>
        <w:rPr>
          <w:sz w:val="22"/>
          <w:szCs w:val="22"/>
          <w:lang w:val="es-ES"/>
        </w:rPr>
        <w:t xml:space="preserve"> in </w:t>
      </w:r>
      <w:proofErr w:type="spellStart"/>
      <w:r>
        <w:rPr>
          <w:sz w:val="22"/>
          <w:szCs w:val="22"/>
          <w:lang w:val="es-ES"/>
        </w:rPr>
        <w:t>the</w:t>
      </w:r>
      <w:proofErr w:type="spellEnd"/>
      <w:r>
        <w:rPr>
          <w:sz w:val="22"/>
          <w:szCs w:val="22"/>
          <w:lang w:val="es-ES"/>
        </w:rPr>
        <w:t xml:space="preserve"> </w:t>
      </w:r>
      <w:proofErr w:type="spellStart"/>
      <w:r>
        <w:rPr>
          <w:sz w:val="22"/>
          <w:szCs w:val="22"/>
          <w:lang w:val="es-ES"/>
        </w:rPr>
        <w:t>same</w:t>
      </w:r>
      <w:proofErr w:type="spellEnd"/>
      <w:r>
        <w:rPr>
          <w:sz w:val="22"/>
          <w:szCs w:val="22"/>
          <w:lang w:val="es-ES"/>
        </w:rPr>
        <w:t xml:space="preserve"> position in </w:t>
      </w:r>
      <w:proofErr w:type="spellStart"/>
      <w:r>
        <w:rPr>
          <w:sz w:val="22"/>
          <w:szCs w:val="22"/>
          <w:lang w:val="es-ES"/>
        </w:rPr>
        <w:t>which</w:t>
      </w:r>
      <w:proofErr w:type="spellEnd"/>
      <w:r>
        <w:rPr>
          <w:sz w:val="22"/>
          <w:szCs w:val="22"/>
          <w:lang w:val="es-ES"/>
        </w:rPr>
        <w:t xml:space="preserve"> </w:t>
      </w:r>
      <w:proofErr w:type="spellStart"/>
      <w:r>
        <w:rPr>
          <w:sz w:val="22"/>
          <w:szCs w:val="22"/>
          <w:lang w:val="es-ES"/>
        </w:rPr>
        <w:t>they</w:t>
      </w:r>
      <w:proofErr w:type="spellEnd"/>
      <w:r>
        <w:rPr>
          <w:sz w:val="22"/>
          <w:szCs w:val="22"/>
          <w:lang w:val="es-ES"/>
        </w:rPr>
        <w:t xml:space="preserve"> </w:t>
      </w:r>
      <w:proofErr w:type="spellStart"/>
      <w:r>
        <w:rPr>
          <w:sz w:val="22"/>
          <w:szCs w:val="22"/>
          <w:lang w:val="es-ES"/>
        </w:rPr>
        <w:t>were</w:t>
      </w:r>
      <w:proofErr w:type="spellEnd"/>
      <w:r>
        <w:rPr>
          <w:sz w:val="22"/>
          <w:szCs w:val="22"/>
          <w:lang w:val="es-ES"/>
        </w:rPr>
        <w:t xml:space="preserve"> </w:t>
      </w:r>
      <w:proofErr w:type="spellStart"/>
      <w:r>
        <w:rPr>
          <w:sz w:val="22"/>
          <w:szCs w:val="22"/>
          <w:lang w:val="es-ES"/>
        </w:rPr>
        <w:t>tested</w:t>
      </w:r>
      <w:proofErr w:type="spellEnd"/>
      <w:r>
        <w:rPr>
          <w:sz w:val="22"/>
          <w:szCs w:val="22"/>
          <w:lang w:val="es-ES"/>
        </w:rPr>
        <w:t>.</w:t>
      </w:r>
      <w:r>
        <w:rPr>
          <w:sz w:val="22"/>
          <w:szCs w:val="22"/>
          <w:lang w:val="es-ES"/>
        </w:rPr>
        <w:tab/>
      </w:r>
    </w:p>
    <w:p w14:paraId="367D4016" w14:textId="77777777" w:rsidR="00E255F4" w:rsidRDefault="00000000">
      <w:pPr>
        <w:pStyle w:val="Prrafodelista"/>
        <w:numPr>
          <w:ilvl w:val="2"/>
          <w:numId w:val="61"/>
        </w:numPr>
        <w:tabs>
          <w:tab w:val="left" w:pos="-720"/>
        </w:tabs>
        <w:spacing w:after="120"/>
        <w:jc w:val="both"/>
      </w:pPr>
      <w:proofErr w:type="spellStart"/>
      <w:r>
        <w:rPr>
          <w:sz w:val="22"/>
          <w:szCs w:val="22"/>
          <w:lang w:val="es-ES"/>
        </w:rPr>
        <w:t>If</w:t>
      </w:r>
      <w:proofErr w:type="spellEnd"/>
      <w:r>
        <w:rPr>
          <w:sz w:val="22"/>
          <w:szCs w:val="22"/>
          <w:lang w:val="es-ES"/>
        </w:rPr>
        <w:t xml:space="preserve"> </w:t>
      </w:r>
      <w:proofErr w:type="spellStart"/>
      <w:r>
        <w:rPr>
          <w:sz w:val="22"/>
          <w:szCs w:val="22"/>
          <w:lang w:val="es-ES"/>
        </w:rPr>
        <w:t>the</w:t>
      </w:r>
      <w:proofErr w:type="spellEnd"/>
      <w:r>
        <w:rPr>
          <w:sz w:val="22"/>
          <w:szCs w:val="22"/>
          <w:lang w:val="es-ES"/>
        </w:rPr>
        <w:t xml:space="preserve"> test </w:t>
      </w:r>
      <w:proofErr w:type="spellStart"/>
      <w:r>
        <w:rPr>
          <w:sz w:val="22"/>
          <w:szCs w:val="22"/>
          <w:lang w:val="es-ES"/>
        </w:rPr>
        <w:t>bench</w:t>
      </w:r>
      <w:proofErr w:type="spellEnd"/>
      <w:r>
        <w:rPr>
          <w:sz w:val="22"/>
          <w:szCs w:val="22"/>
          <w:lang w:val="es-ES"/>
        </w:rPr>
        <w:t xml:space="preserve"> </w:t>
      </w:r>
      <w:proofErr w:type="spellStart"/>
      <w:r>
        <w:rPr>
          <w:sz w:val="22"/>
          <w:szCs w:val="22"/>
          <w:lang w:val="es-ES"/>
        </w:rPr>
        <w:t>is</w:t>
      </w:r>
      <w:proofErr w:type="spellEnd"/>
      <w:r>
        <w:rPr>
          <w:sz w:val="22"/>
          <w:szCs w:val="22"/>
          <w:lang w:val="es-ES"/>
        </w:rPr>
        <w:t xml:space="preserve"> </w:t>
      </w:r>
      <w:proofErr w:type="spellStart"/>
      <w:r>
        <w:rPr>
          <w:sz w:val="22"/>
          <w:szCs w:val="22"/>
          <w:lang w:val="es-ES"/>
        </w:rPr>
        <w:t>of</w:t>
      </w:r>
      <w:proofErr w:type="spellEnd"/>
      <w:r>
        <w:rPr>
          <w:sz w:val="22"/>
          <w:szCs w:val="22"/>
          <w:lang w:val="es-ES"/>
        </w:rPr>
        <w:t xml:space="preserve"> </w:t>
      </w:r>
      <w:proofErr w:type="spellStart"/>
      <w:r>
        <w:rPr>
          <w:sz w:val="22"/>
          <w:szCs w:val="22"/>
          <w:lang w:val="es-ES"/>
        </w:rPr>
        <w:t>the</w:t>
      </w:r>
      <w:proofErr w:type="spellEnd"/>
      <w:r>
        <w:rPr>
          <w:sz w:val="22"/>
          <w:szCs w:val="22"/>
          <w:lang w:val="es-ES"/>
        </w:rPr>
        <w:t xml:space="preserve"> </w:t>
      </w:r>
      <w:proofErr w:type="spellStart"/>
      <w:r>
        <w:rPr>
          <w:sz w:val="22"/>
          <w:szCs w:val="22"/>
          <w:lang w:val="es-ES"/>
        </w:rPr>
        <w:t>volumetric</w:t>
      </w:r>
      <w:proofErr w:type="spellEnd"/>
      <w:r>
        <w:rPr>
          <w:sz w:val="22"/>
          <w:szCs w:val="22"/>
          <w:lang w:val="es-ES"/>
        </w:rPr>
        <w:t xml:space="preserve"> </w:t>
      </w:r>
      <w:proofErr w:type="spellStart"/>
      <w:r>
        <w:rPr>
          <w:sz w:val="22"/>
          <w:szCs w:val="22"/>
          <w:lang w:val="es-ES"/>
        </w:rPr>
        <w:t>type</w:t>
      </w:r>
      <w:proofErr w:type="spellEnd"/>
      <w:r>
        <w:rPr>
          <w:sz w:val="22"/>
          <w:szCs w:val="22"/>
          <w:lang w:val="es-ES"/>
        </w:rPr>
        <w:t xml:space="preserve">, </w:t>
      </w:r>
      <w:proofErr w:type="spellStart"/>
      <w:r>
        <w:rPr>
          <w:sz w:val="22"/>
          <w:szCs w:val="22"/>
          <w:lang w:val="es-ES"/>
        </w:rPr>
        <w:t>it</w:t>
      </w:r>
      <w:proofErr w:type="spellEnd"/>
      <w:r>
        <w:rPr>
          <w:sz w:val="22"/>
          <w:szCs w:val="22"/>
          <w:lang w:val="es-ES"/>
        </w:rPr>
        <w:t xml:space="preserve"> </w:t>
      </w:r>
      <w:proofErr w:type="spellStart"/>
      <w:r>
        <w:rPr>
          <w:sz w:val="22"/>
          <w:szCs w:val="22"/>
          <w:lang w:val="es-ES"/>
        </w:rPr>
        <w:t>may</w:t>
      </w:r>
      <w:proofErr w:type="spellEnd"/>
      <w:r>
        <w:rPr>
          <w:sz w:val="22"/>
          <w:szCs w:val="22"/>
          <w:lang w:val="es-ES"/>
        </w:rPr>
        <w:t xml:space="preserve"> </w:t>
      </w:r>
      <w:proofErr w:type="spellStart"/>
      <w:r>
        <w:rPr>
          <w:sz w:val="22"/>
          <w:szCs w:val="22"/>
          <w:lang w:val="es-ES"/>
        </w:rPr>
        <w:t>consist</w:t>
      </w:r>
      <w:proofErr w:type="spellEnd"/>
      <w:r>
        <w:rPr>
          <w:sz w:val="22"/>
          <w:szCs w:val="22"/>
          <w:lang w:val="es-ES"/>
        </w:rPr>
        <w:t xml:space="preserve"> </w:t>
      </w:r>
      <w:proofErr w:type="spellStart"/>
      <w:r>
        <w:rPr>
          <w:sz w:val="22"/>
          <w:szCs w:val="22"/>
          <w:lang w:val="es-ES"/>
        </w:rPr>
        <w:t>of</w:t>
      </w:r>
      <w:proofErr w:type="spellEnd"/>
      <w:r>
        <w:rPr>
          <w:sz w:val="22"/>
          <w:szCs w:val="22"/>
          <w:lang w:val="es-ES"/>
        </w:rPr>
        <w:t xml:space="preserve"> </w:t>
      </w:r>
      <w:proofErr w:type="spellStart"/>
      <w:r>
        <w:rPr>
          <w:sz w:val="22"/>
          <w:szCs w:val="22"/>
          <w:lang w:val="es-ES"/>
        </w:rPr>
        <w:t>one</w:t>
      </w:r>
      <w:proofErr w:type="spellEnd"/>
      <w:r>
        <w:rPr>
          <w:sz w:val="22"/>
          <w:szCs w:val="22"/>
          <w:lang w:val="es-ES"/>
        </w:rPr>
        <w:t xml:space="preserve"> </w:t>
      </w:r>
      <w:proofErr w:type="spellStart"/>
      <w:r>
        <w:rPr>
          <w:sz w:val="22"/>
          <w:szCs w:val="22"/>
          <w:lang w:val="es-ES"/>
        </w:rPr>
        <w:t>or</w:t>
      </w:r>
      <w:proofErr w:type="spellEnd"/>
      <w:r>
        <w:rPr>
          <w:sz w:val="22"/>
          <w:szCs w:val="22"/>
          <w:lang w:val="es-ES"/>
        </w:rPr>
        <w:t xml:space="preserve"> more </w:t>
      </w:r>
      <w:proofErr w:type="spellStart"/>
      <w:r>
        <w:rPr>
          <w:sz w:val="22"/>
          <w:szCs w:val="22"/>
          <w:lang w:val="es-ES"/>
        </w:rPr>
        <w:t>calibrated</w:t>
      </w:r>
      <w:proofErr w:type="spellEnd"/>
      <w:r>
        <w:rPr>
          <w:sz w:val="22"/>
          <w:szCs w:val="22"/>
          <w:lang w:val="es-ES"/>
        </w:rPr>
        <w:t xml:space="preserve"> </w:t>
      </w:r>
      <w:proofErr w:type="spellStart"/>
      <w:r>
        <w:rPr>
          <w:sz w:val="22"/>
          <w:szCs w:val="22"/>
          <w:lang w:val="es-ES"/>
        </w:rPr>
        <w:t>tanks</w:t>
      </w:r>
      <w:proofErr w:type="spellEnd"/>
      <w:r>
        <w:rPr>
          <w:sz w:val="22"/>
          <w:szCs w:val="22"/>
          <w:lang w:val="es-ES"/>
        </w:rPr>
        <w:t xml:space="preserve">, </w:t>
      </w:r>
      <w:proofErr w:type="spellStart"/>
      <w:r>
        <w:rPr>
          <w:sz w:val="22"/>
          <w:szCs w:val="22"/>
          <w:lang w:val="es-ES"/>
        </w:rPr>
        <w:t>each</w:t>
      </w:r>
      <w:proofErr w:type="spellEnd"/>
      <w:r>
        <w:rPr>
          <w:sz w:val="22"/>
          <w:szCs w:val="22"/>
          <w:lang w:val="es-ES"/>
        </w:rPr>
        <w:t xml:space="preserve"> </w:t>
      </w:r>
      <w:proofErr w:type="spellStart"/>
      <w:r>
        <w:rPr>
          <w:sz w:val="22"/>
          <w:szCs w:val="22"/>
          <w:lang w:val="es-ES"/>
        </w:rPr>
        <w:t>with</w:t>
      </w:r>
      <w:proofErr w:type="spellEnd"/>
      <w:r>
        <w:rPr>
          <w:sz w:val="22"/>
          <w:szCs w:val="22"/>
          <w:lang w:val="es-ES"/>
        </w:rPr>
        <w:t xml:space="preserve"> a </w:t>
      </w:r>
      <w:proofErr w:type="spellStart"/>
      <w:r>
        <w:rPr>
          <w:sz w:val="22"/>
          <w:szCs w:val="22"/>
          <w:lang w:val="es-ES"/>
        </w:rPr>
        <w:t>graduated</w:t>
      </w:r>
      <w:proofErr w:type="spellEnd"/>
      <w:r>
        <w:rPr>
          <w:sz w:val="22"/>
          <w:szCs w:val="22"/>
          <w:lang w:val="es-ES"/>
        </w:rPr>
        <w:t xml:space="preserve"> </w:t>
      </w:r>
      <w:proofErr w:type="spellStart"/>
      <w:r>
        <w:rPr>
          <w:sz w:val="22"/>
          <w:szCs w:val="22"/>
          <w:lang w:val="es-ES"/>
        </w:rPr>
        <w:t>scale</w:t>
      </w:r>
      <w:proofErr w:type="spellEnd"/>
      <w:r>
        <w:rPr>
          <w:sz w:val="22"/>
          <w:szCs w:val="22"/>
          <w:lang w:val="es-ES"/>
        </w:rPr>
        <w:t xml:space="preserve"> </w:t>
      </w:r>
      <w:proofErr w:type="spellStart"/>
      <w:r>
        <w:rPr>
          <w:sz w:val="22"/>
          <w:szCs w:val="22"/>
          <w:lang w:val="es-ES"/>
        </w:rPr>
        <w:t>indicating</w:t>
      </w:r>
      <w:proofErr w:type="spellEnd"/>
      <w:r>
        <w:rPr>
          <w:sz w:val="22"/>
          <w:szCs w:val="22"/>
          <w:lang w:val="es-ES"/>
        </w:rPr>
        <w:t xml:space="preserve"> </w:t>
      </w:r>
      <w:proofErr w:type="spellStart"/>
      <w:r>
        <w:rPr>
          <w:sz w:val="22"/>
          <w:szCs w:val="22"/>
          <w:lang w:val="es-ES"/>
        </w:rPr>
        <w:t>volume</w:t>
      </w:r>
      <w:proofErr w:type="spellEnd"/>
      <w:r>
        <w:rPr>
          <w:sz w:val="22"/>
          <w:szCs w:val="22"/>
          <w:lang w:val="es-ES"/>
        </w:rPr>
        <w:t xml:space="preserve"> and a </w:t>
      </w:r>
      <w:proofErr w:type="spellStart"/>
      <w:r>
        <w:rPr>
          <w:sz w:val="22"/>
          <w:szCs w:val="22"/>
          <w:lang w:val="es-ES"/>
        </w:rPr>
        <w:t>discharge</w:t>
      </w:r>
      <w:proofErr w:type="spellEnd"/>
      <w:r>
        <w:rPr>
          <w:sz w:val="22"/>
          <w:szCs w:val="22"/>
          <w:lang w:val="es-ES"/>
        </w:rPr>
        <w:t xml:space="preserve"> </w:t>
      </w:r>
      <w:proofErr w:type="spellStart"/>
      <w:r>
        <w:rPr>
          <w:sz w:val="22"/>
          <w:szCs w:val="22"/>
          <w:lang w:val="es-ES"/>
        </w:rPr>
        <w:t>valve</w:t>
      </w:r>
      <w:proofErr w:type="spellEnd"/>
      <w:r>
        <w:rPr>
          <w:sz w:val="22"/>
          <w:szCs w:val="22"/>
          <w:lang w:val="es-ES"/>
        </w:rPr>
        <w:t xml:space="preserve">. </w:t>
      </w:r>
      <w:proofErr w:type="spellStart"/>
      <w:r>
        <w:rPr>
          <w:sz w:val="22"/>
          <w:szCs w:val="22"/>
          <w:lang w:val="es-ES"/>
        </w:rPr>
        <w:t>It</w:t>
      </w:r>
      <w:proofErr w:type="spellEnd"/>
      <w:r>
        <w:rPr>
          <w:sz w:val="22"/>
          <w:szCs w:val="22"/>
          <w:lang w:val="es-ES"/>
        </w:rPr>
        <w:t xml:space="preserve"> </w:t>
      </w:r>
      <w:proofErr w:type="spellStart"/>
      <w:r>
        <w:rPr>
          <w:sz w:val="22"/>
          <w:szCs w:val="22"/>
          <w:lang w:val="es-ES"/>
        </w:rPr>
        <w:t>must</w:t>
      </w:r>
      <w:proofErr w:type="spellEnd"/>
      <w:r>
        <w:rPr>
          <w:sz w:val="22"/>
          <w:szCs w:val="22"/>
          <w:lang w:val="es-ES"/>
        </w:rPr>
        <w:t xml:space="preserve"> be </w:t>
      </w:r>
      <w:proofErr w:type="spellStart"/>
      <w:r>
        <w:rPr>
          <w:sz w:val="22"/>
          <w:szCs w:val="22"/>
          <w:lang w:val="es-ES"/>
        </w:rPr>
        <w:t>ensured</w:t>
      </w:r>
      <w:proofErr w:type="spellEnd"/>
      <w:r>
        <w:rPr>
          <w:sz w:val="22"/>
          <w:szCs w:val="22"/>
          <w:lang w:val="es-ES"/>
        </w:rPr>
        <w:t xml:space="preserve"> </w:t>
      </w:r>
      <w:proofErr w:type="spellStart"/>
      <w:r>
        <w:rPr>
          <w:sz w:val="22"/>
          <w:szCs w:val="22"/>
          <w:lang w:val="es-ES"/>
        </w:rPr>
        <w:t>that</w:t>
      </w:r>
      <w:proofErr w:type="spellEnd"/>
      <w:r>
        <w:rPr>
          <w:sz w:val="22"/>
          <w:szCs w:val="22"/>
          <w:lang w:val="es-ES"/>
        </w:rPr>
        <w:t xml:space="preserve"> no air </w:t>
      </w:r>
      <w:proofErr w:type="spellStart"/>
      <w:r>
        <w:rPr>
          <w:sz w:val="22"/>
          <w:szCs w:val="22"/>
          <w:lang w:val="es-ES"/>
        </w:rPr>
        <w:t>is</w:t>
      </w:r>
      <w:proofErr w:type="spellEnd"/>
      <w:r>
        <w:rPr>
          <w:sz w:val="22"/>
          <w:szCs w:val="22"/>
          <w:lang w:val="es-ES"/>
        </w:rPr>
        <w:t xml:space="preserve"> </w:t>
      </w:r>
      <w:proofErr w:type="spellStart"/>
      <w:r>
        <w:rPr>
          <w:sz w:val="22"/>
          <w:szCs w:val="22"/>
          <w:lang w:val="es-ES"/>
        </w:rPr>
        <w:t>trapped</w:t>
      </w:r>
      <w:proofErr w:type="spellEnd"/>
      <w:r>
        <w:rPr>
          <w:sz w:val="22"/>
          <w:szCs w:val="22"/>
          <w:lang w:val="es-ES"/>
        </w:rPr>
        <w:t xml:space="preserve"> </w:t>
      </w:r>
      <w:proofErr w:type="spellStart"/>
      <w:r>
        <w:rPr>
          <w:sz w:val="22"/>
          <w:szCs w:val="22"/>
          <w:lang w:val="es-ES"/>
        </w:rPr>
        <w:t>during</w:t>
      </w:r>
      <w:proofErr w:type="spellEnd"/>
      <w:r>
        <w:rPr>
          <w:sz w:val="22"/>
          <w:szCs w:val="22"/>
          <w:lang w:val="es-ES"/>
        </w:rPr>
        <w:t xml:space="preserve"> </w:t>
      </w:r>
      <w:proofErr w:type="spellStart"/>
      <w:r>
        <w:rPr>
          <w:sz w:val="22"/>
          <w:szCs w:val="22"/>
          <w:lang w:val="es-ES"/>
        </w:rPr>
        <w:t>filling</w:t>
      </w:r>
      <w:proofErr w:type="spellEnd"/>
      <w:r>
        <w:rPr>
          <w:sz w:val="22"/>
          <w:szCs w:val="22"/>
          <w:lang w:val="es-ES"/>
        </w:rPr>
        <w:t xml:space="preserve"> and </w:t>
      </w:r>
      <w:proofErr w:type="spellStart"/>
      <w:r>
        <w:rPr>
          <w:sz w:val="22"/>
          <w:szCs w:val="22"/>
          <w:lang w:val="es-ES"/>
        </w:rPr>
        <w:t>that</w:t>
      </w:r>
      <w:proofErr w:type="spellEnd"/>
      <w:r>
        <w:rPr>
          <w:sz w:val="22"/>
          <w:szCs w:val="22"/>
          <w:lang w:val="es-ES"/>
        </w:rPr>
        <w:t xml:space="preserve"> </w:t>
      </w:r>
      <w:proofErr w:type="spellStart"/>
      <w:r>
        <w:rPr>
          <w:sz w:val="22"/>
          <w:szCs w:val="22"/>
          <w:lang w:val="es-ES"/>
        </w:rPr>
        <w:t>the</w:t>
      </w:r>
      <w:proofErr w:type="spellEnd"/>
      <w:r>
        <w:rPr>
          <w:sz w:val="22"/>
          <w:szCs w:val="22"/>
          <w:lang w:val="es-ES"/>
        </w:rPr>
        <w:t xml:space="preserve"> </w:t>
      </w:r>
      <w:proofErr w:type="spellStart"/>
      <w:r>
        <w:rPr>
          <w:sz w:val="22"/>
          <w:szCs w:val="22"/>
          <w:lang w:val="es-ES"/>
        </w:rPr>
        <w:t>liquid</w:t>
      </w:r>
      <w:proofErr w:type="spellEnd"/>
      <w:r>
        <w:rPr>
          <w:sz w:val="22"/>
          <w:szCs w:val="22"/>
          <w:lang w:val="es-ES"/>
        </w:rPr>
        <w:t xml:space="preserve"> </w:t>
      </w:r>
      <w:proofErr w:type="spellStart"/>
      <w:r>
        <w:rPr>
          <w:sz w:val="22"/>
          <w:szCs w:val="22"/>
          <w:lang w:val="es-ES"/>
        </w:rPr>
        <w:t>drains</w:t>
      </w:r>
      <w:proofErr w:type="spellEnd"/>
      <w:r>
        <w:rPr>
          <w:sz w:val="22"/>
          <w:szCs w:val="22"/>
          <w:lang w:val="es-ES"/>
        </w:rPr>
        <w:t xml:space="preserve"> </w:t>
      </w:r>
      <w:proofErr w:type="spellStart"/>
      <w:r>
        <w:rPr>
          <w:sz w:val="22"/>
          <w:szCs w:val="22"/>
          <w:lang w:val="es-ES"/>
        </w:rPr>
        <w:t>completely</w:t>
      </w:r>
      <w:proofErr w:type="spellEnd"/>
      <w:r>
        <w:rPr>
          <w:sz w:val="22"/>
          <w:szCs w:val="22"/>
          <w:lang w:val="es-ES"/>
        </w:rPr>
        <w:t xml:space="preserve"> </w:t>
      </w:r>
      <w:proofErr w:type="spellStart"/>
      <w:r>
        <w:rPr>
          <w:sz w:val="22"/>
          <w:szCs w:val="22"/>
          <w:lang w:val="es-ES"/>
        </w:rPr>
        <w:t>during</w:t>
      </w:r>
      <w:proofErr w:type="spellEnd"/>
      <w:r>
        <w:rPr>
          <w:sz w:val="22"/>
          <w:szCs w:val="22"/>
          <w:lang w:val="es-ES"/>
        </w:rPr>
        <w:t xml:space="preserve"> </w:t>
      </w:r>
      <w:proofErr w:type="spellStart"/>
      <w:r>
        <w:rPr>
          <w:sz w:val="22"/>
          <w:szCs w:val="22"/>
          <w:lang w:val="es-ES"/>
        </w:rPr>
        <w:t>emptying</w:t>
      </w:r>
      <w:proofErr w:type="spellEnd"/>
      <w:r>
        <w:rPr>
          <w:sz w:val="22"/>
          <w:szCs w:val="22"/>
          <w:lang w:val="es-ES"/>
        </w:rPr>
        <w:t xml:space="preserve">. The </w:t>
      </w:r>
      <w:proofErr w:type="spellStart"/>
      <w:r>
        <w:rPr>
          <w:sz w:val="22"/>
          <w:szCs w:val="22"/>
          <w:lang w:val="es-ES"/>
        </w:rPr>
        <w:t>scale</w:t>
      </w:r>
      <w:proofErr w:type="spellEnd"/>
      <w:r>
        <w:rPr>
          <w:sz w:val="22"/>
          <w:szCs w:val="22"/>
          <w:lang w:val="es-ES"/>
        </w:rPr>
        <w:t xml:space="preserve"> </w:t>
      </w:r>
      <w:proofErr w:type="spellStart"/>
      <w:r>
        <w:rPr>
          <w:sz w:val="22"/>
          <w:szCs w:val="22"/>
          <w:lang w:val="es-ES"/>
        </w:rPr>
        <w:t>used</w:t>
      </w:r>
      <w:proofErr w:type="spellEnd"/>
      <w:r>
        <w:rPr>
          <w:sz w:val="22"/>
          <w:szCs w:val="22"/>
          <w:lang w:val="es-ES"/>
        </w:rPr>
        <w:t xml:space="preserve"> </w:t>
      </w:r>
      <w:proofErr w:type="spellStart"/>
      <w:r>
        <w:rPr>
          <w:sz w:val="22"/>
          <w:szCs w:val="22"/>
          <w:lang w:val="es-ES"/>
        </w:rPr>
        <w:t>must</w:t>
      </w:r>
      <w:proofErr w:type="spellEnd"/>
      <w:r>
        <w:rPr>
          <w:sz w:val="22"/>
          <w:szCs w:val="22"/>
          <w:lang w:val="es-ES"/>
        </w:rPr>
        <w:t xml:space="preserve"> </w:t>
      </w:r>
      <w:proofErr w:type="spellStart"/>
      <w:r>
        <w:rPr>
          <w:sz w:val="22"/>
          <w:szCs w:val="22"/>
          <w:lang w:val="es-ES"/>
        </w:rPr>
        <w:t>guarantee</w:t>
      </w:r>
      <w:proofErr w:type="spellEnd"/>
      <w:r>
        <w:rPr>
          <w:sz w:val="22"/>
          <w:szCs w:val="22"/>
          <w:lang w:val="es-ES"/>
        </w:rPr>
        <w:t xml:space="preserve"> a </w:t>
      </w:r>
      <w:proofErr w:type="spellStart"/>
      <w:r>
        <w:rPr>
          <w:sz w:val="22"/>
          <w:szCs w:val="22"/>
          <w:lang w:val="es-ES"/>
        </w:rPr>
        <w:t>resolution</w:t>
      </w:r>
      <w:proofErr w:type="spellEnd"/>
      <w:r>
        <w:rPr>
          <w:sz w:val="22"/>
          <w:szCs w:val="22"/>
          <w:lang w:val="es-ES"/>
        </w:rPr>
        <w:t xml:space="preserve"> </w:t>
      </w:r>
      <w:proofErr w:type="spellStart"/>
      <w:r>
        <w:rPr>
          <w:sz w:val="22"/>
          <w:szCs w:val="22"/>
          <w:lang w:val="es-ES"/>
        </w:rPr>
        <w:t>of</w:t>
      </w:r>
      <w:proofErr w:type="spellEnd"/>
      <w:r>
        <w:rPr>
          <w:sz w:val="22"/>
          <w:szCs w:val="22"/>
          <w:lang w:val="es-ES"/>
        </w:rPr>
        <w:t xml:space="preserve"> at </w:t>
      </w:r>
      <w:proofErr w:type="spellStart"/>
      <w:r>
        <w:rPr>
          <w:sz w:val="22"/>
          <w:szCs w:val="22"/>
          <w:lang w:val="es-ES"/>
        </w:rPr>
        <w:t>least</w:t>
      </w:r>
      <w:proofErr w:type="spellEnd"/>
      <w:r>
        <w:rPr>
          <w:sz w:val="22"/>
          <w:szCs w:val="22"/>
          <w:lang w:val="es-ES"/>
        </w:rPr>
        <w:t xml:space="preserve"> 0.5% </w:t>
      </w:r>
      <w:proofErr w:type="spellStart"/>
      <w:r>
        <w:rPr>
          <w:sz w:val="22"/>
          <w:szCs w:val="22"/>
          <w:lang w:val="es-ES"/>
        </w:rPr>
        <w:t>of</w:t>
      </w:r>
      <w:proofErr w:type="spellEnd"/>
      <w:r>
        <w:rPr>
          <w:sz w:val="22"/>
          <w:szCs w:val="22"/>
          <w:lang w:val="es-ES"/>
        </w:rPr>
        <w:t xml:space="preserve"> </w:t>
      </w:r>
      <w:proofErr w:type="spellStart"/>
      <w:r>
        <w:rPr>
          <w:sz w:val="22"/>
          <w:szCs w:val="22"/>
          <w:lang w:val="es-ES"/>
        </w:rPr>
        <w:t>the</w:t>
      </w:r>
      <w:proofErr w:type="spellEnd"/>
      <w:r>
        <w:rPr>
          <w:sz w:val="22"/>
          <w:szCs w:val="22"/>
          <w:lang w:val="es-ES"/>
        </w:rPr>
        <w:t xml:space="preserve"> </w:t>
      </w:r>
      <w:proofErr w:type="spellStart"/>
      <w:r>
        <w:rPr>
          <w:sz w:val="22"/>
          <w:szCs w:val="22"/>
          <w:lang w:val="es-ES"/>
        </w:rPr>
        <w:t>collected</w:t>
      </w:r>
      <w:proofErr w:type="spellEnd"/>
      <w:r>
        <w:rPr>
          <w:sz w:val="22"/>
          <w:szCs w:val="22"/>
          <w:lang w:val="es-ES"/>
        </w:rPr>
        <w:t xml:space="preserve"> </w:t>
      </w:r>
      <w:proofErr w:type="spellStart"/>
      <w:r>
        <w:rPr>
          <w:sz w:val="22"/>
          <w:szCs w:val="22"/>
          <w:lang w:val="es-ES"/>
        </w:rPr>
        <w:t>volume</w:t>
      </w:r>
      <w:proofErr w:type="spellEnd"/>
      <w:r>
        <w:rPr>
          <w:sz w:val="22"/>
          <w:szCs w:val="22"/>
          <w:lang w:val="es-ES"/>
        </w:rPr>
        <w:t xml:space="preserve">, and </w:t>
      </w:r>
      <w:proofErr w:type="spellStart"/>
      <w:r>
        <w:rPr>
          <w:sz w:val="22"/>
          <w:szCs w:val="22"/>
          <w:lang w:val="es-ES"/>
        </w:rPr>
        <w:t>the</w:t>
      </w:r>
      <w:proofErr w:type="spellEnd"/>
      <w:r>
        <w:rPr>
          <w:sz w:val="22"/>
          <w:szCs w:val="22"/>
          <w:lang w:val="es-ES"/>
        </w:rPr>
        <w:t xml:space="preserve"> </w:t>
      </w:r>
      <w:proofErr w:type="spellStart"/>
      <w:r>
        <w:rPr>
          <w:sz w:val="22"/>
          <w:szCs w:val="22"/>
          <w:lang w:val="es-ES"/>
        </w:rPr>
        <w:t>maximum</w:t>
      </w:r>
      <w:proofErr w:type="spellEnd"/>
      <w:r>
        <w:rPr>
          <w:sz w:val="22"/>
          <w:szCs w:val="22"/>
          <w:lang w:val="es-ES"/>
        </w:rPr>
        <w:t xml:space="preserve"> </w:t>
      </w:r>
      <w:proofErr w:type="spellStart"/>
      <w:r>
        <w:rPr>
          <w:sz w:val="22"/>
          <w:szCs w:val="22"/>
          <w:lang w:val="es-ES"/>
        </w:rPr>
        <w:t>permissible</w:t>
      </w:r>
      <w:proofErr w:type="spellEnd"/>
      <w:r>
        <w:rPr>
          <w:sz w:val="22"/>
          <w:szCs w:val="22"/>
          <w:lang w:val="es-ES"/>
        </w:rPr>
        <w:t xml:space="preserve"> error </w:t>
      </w:r>
      <w:proofErr w:type="spellStart"/>
      <w:r>
        <w:rPr>
          <w:sz w:val="22"/>
          <w:szCs w:val="22"/>
          <w:lang w:val="es-ES"/>
        </w:rPr>
        <w:t>for</w:t>
      </w:r>
      <w:proofErr w:type="spellEnd"/>
      <w:r>
        <w:rPr>
          <w:sz w:val="22"/>
          <w:szCs w:val="22"/>
          <w:lang w:val="es-ES"/>
        </w:rPr>
        <w:t xml:space="preserve"> </w:t>
      </w:r>
      <w:proofErr w:type="spellStart"/>
      <w:r>
        <w:rPr>
          <w:sz w:val="22"/>
          <w:szCs w:val="22"/>
          <w:lang w:val="es-ES"/>
        </w:rPr>
        <w:t>the</w:t>
      </w:r>
      <w:proofErr w:type="spellEnd"/>
      <w:r>
        <w:rPr>
          <w:sz w:val="22"/>
          <w:szCs w:val="22"/>
          <w:lang w:val="es-ES"/>
        </w:rPr>
        <w:t xml:space="preserve"> </w:t>
      </w:r>
      <w:proofErr w:type="spellStart"/>
      <w:r>
        <w:rPr>
          <w:sz w:val="22"/>
          <w:szCs w:val="22"/>
          <w:lang w:val="es-ES"/>
        </w:rPr>
        <w:t>calibrated</w:t>
      </w:r>
      <w:proofErr w:type="spellEnd"/>
      <w:r>
        <w:rPr>
          <w:sz w:val="22"/>
          <w:szCs w:val="22"/>
          <w:lang w:val="es-ES"/>
        </w:rPr>
        <w:t xml:space="preserve"> </w:t>
      </w:r>
      <w:proofErr w:type="spellStart"/>
      <w:r>
        <w:rPr>
          <w:sz w:val="22"/>
          <w:szCs w:val="22"/>
          <w:lang w:val="es-ES"/>
        </w:rPr>
        <w:t>tank</w:t>
      </w:r>
      <w:proofErr w:type="spellEnd"/>
      <w:r>
        <w:rPr>
          <w:sz w:val="22"/>
          <w:szCs w:val="22"/>
          <w:lang w:val="es-ES"/>
        </w:rPr>
        <w:t xml:space="preserve"> </w:t>
      </w:r>
      <w:proofErr w:type="spellStart"/>
      <w:r>
        <w:rPr>
          <w:sz w:val="22"/>
          <w:szCs w:val="22"/>
          <w:lang w:val="es-ES"/>
        </w:rPr>
        <w:t>will</w:t>
      </w:r>
      <w:proofErr w:type="spellEnd"/>
      <w:r>
        <w:rPr>
          <w:sz w:val="22"/>
          <w:szCs w:val="22"/>
          <w:lang w:val="es-ES"/>
        </w:rPr>
        <w:t xml:space="preserve"> be 0.2% </w:t>
      </w:r>
      <w:proofErr w:type="spellStart"/>
      <w:r>
        <w:rPr>
          <w:sz w:val="22"/>
          <w:szCs w:val="22"/>
          <w:lang w:val="es-ES"/>
        </w:rPr>
        <w:t>of</w:t>
      </w:r>
      <w:proofErr w:type="spellEnd"/>
      <w:r>
        <w:rPr>
          <w:sz w:val="22"/>
          <w:szCs w:val="22"/>
          <w:lang w:val="es-ES"/>
        </w:rPr>
        <w:t xml:space="preserve"> </w:t>
      </w:r>
      <w:proofErr w:type="spellStart"/>
      <w:r>
        <w:rPr>
          <w:sz w:val="22"/>
          <w:szCs w:val="22"/>
          <w:lang w:val="es-ES"/>
        </w:rPr>
        <w:t>its</w:t>
      </w:r>
      <w:proofErr w:type="spellEnd"/>
      <w:r>
        <w:rPr>
          <w:sz w:val="22"/>
          <w:szCs w:val="22"/>
          <w:lang w:val="es-ES"/>
        </w:rPr>
        <w:t xml:space="preserve"> total </w:t>
      </w:r>
      <w:proofErr w:type="spellStart"/>
      <w:r>
        <w:rPr>
          <w:sz w:val="22"/>
          <w:szCs w:val="22"/>
          <w:lang w:val="es-ES"/>
        </w:rPr>
        <w:t>volume</w:t>
      </w:r>
      <w:proofErr w:type="spellEnd"/>
      <w:r>
        <w:rPr>
          <w:sz w:val="22"/>
          <w:szCs w:val="22"/>
          <w:lang w:val="es-ES"/>
        </w:rPr>
        <w:t>.</w:t>
      </w:r>
    </w:p>
    <w:p w14:paraId="7E105053" w14:textId="77777777" w:rsidR="00E255F4" w:rsidRDefault="00000000">
      <w:pPr>
        <w:pStyle w:val="Prrafodelista"/>
        <w:numPr>
          <w:ilvl w:val="2"/>
          <w:numId w:val="61"/>
        </w:numPr>
        <w:tabs>
          <w:tab w:val="left" w:pos="-720"/>
        </w:tabs>
        <w:spacing w:after="120"/>
        <w:ind w:left="709" w:hanging="709"/>
        <w:jc w:val="both"/>
      </w:pPr>
      <w:proofErr w:type="spellStart"/>
      <w:r>
        <w:rPr>
          <w:sz w:val="22"/>
          <w:szCs w:val="22"/>
          <w:lang w:val="es-ES"/>
        </w:rPr>
        <w:t>If</w:t>
      </w:r>
      <w:proofErr w:type="spellEnd"/>
      <w:r>
        <w:rPr>
          <w:sz w:val="22"/>
          <w:szCs w:val="22"/>
          <w:lang w:val="es-ES"/>
        </w:rPr>
        <w:t xml:space="preserve"> </w:t>
      </w:r>
      <w:proofErr w:type="spellStart"/>
      <w:r>
        <w:rPr>
          <w:sz w:val="22"/>
          <w:szCs w:val="22"/>
          <w:lang w:val="es-ES"/>
        </w:rPr>
        <w:t>the</w:t>
      </w:r>
      <w:proofErr w:type="spellEnd"/>
      <w:r>
        <w:rPr>
          <w:sz w:val="22"/>
          <w:szCs w:val="22"/>
          <w:lang w:val="es-ES"/>
        </w:rPr>
        <w:t xml:space="preserve"> test </w:t>
      </w:r>
      <w:proofErr w:type="spellStart"/>
      <w:r>
        <w:rPr>
          <w:sz w:val="22"/>
          <w:szCs w:val="22"/>
          <w:lang w:val="es-ES"/>
        </w:rPr>
        <w:t>bench</w:t>
      </w:r>
      <w:proofErr w:type="spellEnd"/>
      <w:r>
        <w:rPr>
          <w:sz w:val="22"/>
          <w:szCs w:val="22"/>
          <w:lang w:val="es-ES"/>
        </w:rPr>
        <w:t xml:space="preserve"> </w:t>
      </w:r>
      <w:proofErr w:type="spellStart"/>
      <w:r>
        <w:rPr>
          <w:sz w:val="22"/>
          <w:szCs w:val="22"/>
          <w:lang w:val="es-ES"/>
        </w:rPr>
        <w:t>is</w:t>
      </w:r>
      <w:proofErr w:type="spellEnd"/>
      <w:r>
        <w:rPr>
          <w:sz w:val="22"/>
          <w:szCs w:val="22"/>
          <w:lang w:val="es-ES"/>
        </w:rPr>
        <w:t xml:space="preserve"> </w:t>
      </w:r>
      <w:proofErr w:type="spellStart"/>
      <w:r>
        <w:rPr>
          <w:sz w:val="22"/>
          <w:szCs w:val="22"/>
          <w:lang w:val="es-ES"/>
        </w:rPr>
        <w:t>of</w:t>
      </w:r>
      <w:proofErr w:type="spellEnd"/>
      <w:r>
        <w:rPr>
          <w:sz w:val="22"/>
          <w:szCs w:val="22"/>
          <w:lang w:val="es-ES"/>
        </w:rPr>
        <w:t xml:space="preserve"> </w:t>
      </w:r>
      <w:proofErr w:type="spellStart"/>
      <w:r>
        <w:rPr>
          <w:sz w:val="22"/>
          <w:szCs w:val="22"/>
          <w:lang w:val="es-ES"/>
        </w:rPr>
        <w:t>the</w:t>
      </w:r>
      <w:proofErr w:type="spellEnd"/>
      <w:r>
        <w:rPr>
          <w:sz w:val="22"/>
          <w:szCs w:val="22"/>
          <w:lang w:val="es-ES"/>
        </w:rPr>
        <w:t xml:space="preserve"> </w:t>
      </w:r>
      <w:proofErr w:type="spellStart"/>
      <w:r>
        <w:rPr>
          <w:sz w:val="22"/>
          <w:szCs w:val="22"/>
          <w:lang w:val="es-ES"/>
        </w:rPr>
        <w:t>gravimetric</w:t>
      </w:r>
      <w:proofErr w:type="spellEnd"/>
      <w:r>
        <w:rPr>
          <w:sz w:val="22"/>
          <w:szCs w:val="22"/>
          <w:lang w:val="es-ES"/>
        </w:rPr>
        <w:t xml:space="preserve"> </w:t>
      </w:r>
      <w:proofErr w:type="spellStart"/>
      <w:r>
        <w:rPr>
          <w:sz w:val="22"/>
          <w:szCs w:val="22"/>
          <w:lang w:val="es-ES"/>
        </w:rPr>
        <w:t>type</w:t>
      </w:r>
      <w:proofErr w:type="spellEnd"/>
      <w:r>
        <w:rPr>
          <w:sz w:val="22"/>
          <w:szCs w:val="22"/>
          <w:lang w:val="es-ES"/>
        </w:rPr>
        <w:t xml:space="preserve">, </w:t>
      </w:r>
      <w:proofErr w:type="spellStart"/>
      <w:r>
        <w:rPr>
          <w:sz w:val="22"/>
          <w:szCs w:val="22"/>
          <w:lang w:val="es-ES"/>
        </w:rPr>
        <w:t>the</w:t>
      </w:r>
      <w:proofErr w:type="spellEnd"/>
      <w:r>
        <w:rPr>
          <w:sz w:val="22"/>
          <w:szCs w:val="22"/>
          <w:lang w:val="es-ES"/>
        </w:rPr>
        <w:t xml:space="preserve"> </w:t>
      </w:r>
      <w:proofErr w:type="spellStart"/>
      <w:r>
        <w:rPr>
          <w:sz w:val="22"/>
          <w:szCs w:val="22"/>
          <w:lang w:val="es-ES"/>
        </w:rPr>
        <w:t>measured</w:t>
      </w:r>
      <w:proofErr w:type="spellEnd"/>
      <w:r>
        <w:rPr>
          <w:sz w:val="22"/>
          <w:szCs w:val="22"/>
          <w:lang w:val="es-ES"/>
        </w:rPr>
        <w:t xml:space="preserve"> </w:t>
      </w:r>
      <w:proofErr w:type="spellStart"/>
      <w:r>
        <w:rPr>
          <w:sz w:val="22"/>
          <w:szCs w:val="22"/>
          <w:lang w:val="es-ES"/>
        </w:rPr>
        <w:t>mass</w:t>
      </w:r>
      <w:proofErr w:type="spellEnd"/>
      <w:r>
        <w:rPr>
          <w:sz w:val="22"/>
          <w:szCs w:val="22"/>
          <w:lang w:val="es-ES"/>
        </w:rPr>
        <w:t xml:space="preserve"> </w:t>
      </w:r>
      <w:proofErr w:type="spellStart"/>
      <w:r>
        <w:rPr>
          <w:sz w:val="22"/>
          <w:szCs w:val="22"/>
          <w:lang w:val="es-ES"/>
        </w:rPr>
        <w:t>must</w:t>
      </w:r>
      <w:proofErr w:type="spellEnd"/>
      <w:r>
        <w:rPr>
          <w:sz w:val="22"/>
          <w:szCs w:val="22"/>
          <w:lang w:val="es-ES"/>
        </w:rPr>
        <w:t xml:space="preserve"> be </w:t>
      </w:r>
      <w:proofErr w:type="spellStart"/>
      <w:r>
        <w:rPr>
          <w:sz w:val="22"/>
          <w:szCs w:val="22"/>
          <w:lang w:val="es-ES"/>
        </w:rPr>
        <w:t>converted</w:t>
      </w:r>
      <w:proofErr w:type="spellEnd"/>
      <w:r>
        <w:rPr>
          <w:sz w:val="22"/>
          <w:szCs w:val="22"/>
          <w:lang w:val="es-ES"/>
        </w:rPr>
        <w:t xml:space="preserve"> </w:t>
      </w:r>
      <w:proofErr w:type="spellStart"/>
      <w:r>
        <w:rPr>
          <w:sz w:val="22"/>
          <w:szCs w:val="22"/>
          <w:lang w:val="es-ES"/>
        </w:rPr>
        <w:t>to</w:t>
      </w:r>
      <w:proofErr w:type="spellEnd"/>
      <w:r>
        <w:rPr>
          <w:sz w:val="22"/>
          <w:szCs w:val="22"/>
          <w:lang w:val="es-ES"/>
        </w:rPr>
        <w:t xml:space="preserve"> </w:t>
      </w:r>
      <w:proofErr w:type="spellStart"/>
      <w:r>
        <w:rPr>
          <w:sz w:val="22"/>
          <w:szCs w:val="22"/>
          <w:lang w:val="es-ES"/>
        </w:rPr>
        <w:t>volume</w:t>
      </w:r>
      <w:proofErr w:type="spellEnd"/>
      <w:r>
        <w:rPr>
          <w:sz w:val="22"/>
          <w:szCs w:val="22"/>
          <w:lang w:val="es-ES"/>
        </w:rPr>
        <w:t xml:space="preserve"> </w:t>
      </w:r>
      <w:proofErr w:type="spellStart"/>
      <w:r>
        <w:rPr>
          <w:sz w:val="22"/>
          <w:szCs w:val="22"/>
          <w:lang w:val="es-ES"/>
        </w:rPr>
        <w:t>according</w:t>
      </w:r>
      <w:proofErr w:type="spellEnd"/>
      <w:r>
        <w:rPr>
          <w:sz w:val="22"/>
          <w:szCs w:val="22"/>
          <w:lang w:val="es-ES"/>
        </w:rPr>
        <w:t xml:space="preserve"> </w:t>
      </w:r>
      <w:proofErr w:type="spellStart"/>
      <w:r>
        <w:rPr>
          <w:sz w:val="22"/>
          <w:szCs w:val="22"/>
          <w:lang w:val="es-ES"/>
        </w:rPr>
        <w:t>to</w:t>
      </w:r>
      <w:proofErr w:type="spellEnd"/>
      <w:r>
        <w:rPr>
          <w:sz w:val="22"/>
          <w:szCs w:val="22"/>
          <w:lang w:val="es-ES"/>
        </w:rPr>
        <w:t xml:space="preserve"> a </w:t>
      </w:r>
      <w:proofErr w:type="spellStart"/>
      <w:r>
        <w:rPr>
          <w:sz w:val="22"/>
          <w:szCs w:val="22"/>
          <w:lang w:val="es-ES"/>
        </w:rPr>
        <w:t>specific</w:t>
      </w:r>
      <w:proofErr w:type="spellEnd"/>
      <w:r>
        <w:rPr>
          <w:sz w:val="22"/>
          <w:szCs w:val="22"/>
          <w:lang w:val="es-ES"/>
        </w:rPr>
        <w:t xml:space="preserve"> </w:t>
      </w:r>
      <w:proofErr w:type="spellStart"/>
      <w:r>
        <w:rPr>
          <w:sz w:val="22"/>
          <w:szCs w:val="22"/>
          <w:lang w:val="es-ES"/>
        </w:rPr>
        <w:t>mass</w:t>
      </w:r>
      <w:proofErr w:type="spellEnd"/>
      <w:r>
        <w:rPr>
          <w:sz w:val="22"/>
          <w:szCs w:val="22"/>
          <w:lang w:val="es-ES"/>
        </w:rPr>
        <w:t xml:space="preserve"> </w:t>
      </w:r>
      <w:proofErr w:type="spellStart"/>
      <w:r>
        <w:rPr>
          <w:sz w:val="22"/>
          <w:szCs w:val="22"/>
          <w:lang w:val="es-ES"/>
        </w:rPr>
        <w:t>of</w:t>
      </w:r>
      <w:proofErr w:type="spellEnd"/>
      <w:r>
        <w:rPr>
          <w:sz w:val="22"/>
          <w:szCs w:val="22"/>
          <w:lang w:val="es-ES"/>
        </w:rPr>
        <w:t xml:space="preserve"> </w:t>
      </w:r>
      <w:proofErr w:type="spellStart"/>
      <w:r>
        <w:rPr>
          <w:sz w:val="22"/>
          <w:szCs w:val="22"/>
          <w:lang w:val="es-ES"/>
        </w:rPr>
        <w:t>water</w:t>
      </w:r>
      <w:proofErr w:type="spellEnd"/>
      <w:r>
        <w:rPr>
          <w:sz w:val="22"/>
          <w:szCs w:val="22"/>
          <w:lang w:val="es-ES"/>
        </w:rPr>
        <w:t xml:space="preserve"> </w:t>
      </w:r>
      <w:proofErr w:type="spellStart"/>
      <w:r>
        <w:rPr>
          <w:sz w:val="22"/>
          <w:szCs w:val="22"/>
          <w:lang w:val="es-ES"/>
        </w:rPr>
        <w:t>based</w:t>
      </w:r>
      <w:proofErr w:type="spellEnd"/>
      <w:r>
        <w:rPr>
          <w:sz w:val="22"/>
          <w:szCs w:val="22"/>
          <w:lang w:val="es-ES"/>
        </w:rPr>
        <w:t xml:space="preserve"> </w:t>
      </w:r>
      <w:proofErr w:type="spellStart"/>
      <w:r>
        <w:rPr>
          <w:sz w:val="22"/>
          <w:szCs w:val="22"/>
          <w:lang w:val="es-ES"/>
        </w:rPr>
        <w:t>on</w:t>
      </w:r>
      <w:proofErr w:type="spellEnd"/>
      <w:r>
        <w:rPr>
          <w:sz w:val="22"/>
          <w:szCs w:val="22"/>
          <w:lang w:val="es-ES"/>
        </w:rPr>
        <w:t xml:space="preserve"> </w:t>
      </w:r>
      <w:proofErr w:type="spellStart"/>
      <w:r>
        <w:rPr>
          <w:sz w:val="22"/>
          <w:szCs w:val="22"/>
          <w:lang w:val="es-ES"/>
        </w:rPr>
        <w:t>the</w:t>
      </w:r>
      <w:proofErr w:type="spellEnd"/>
      <w:r>
        <w:rPr>
          <w:sz w:val="22"/>
          <w:szCs w:val="22"/>
          <w:lang w:val="es-ES"/>
        </w:rPr>
        <w:t xml:space="preserve"> </w:t>
      </w:r>
      <w:proofErr w:type="spellStart"/>
      <w:r>
        <w:rPr>
          <w:sz w:val="22"/>
          <w:szCs w:val="22"/>
          <w:lang w:val="es-ES"/>
        </w:rPr>
        <w:t>temperature</w:t>
      </w:r>
      <w:proofErr w:type="spellEnd"/>
      <w:r>
        <w:rPr>
          <w:sz w:val="22"/>
          <w:szCs w:val="22"/>
          <w:lang w:val="es-ES"/>
        </w:rPr>
        <w:t xml:space="preserve"> </w:t>
      </w:r>
      <w:proofErr w:type="spellStart"/>
      <w:r>
        <w:rPr>
          <w:sz w:val="22"/>
          <w:szCs w:val="22"/>
          <w:lang w:val="es-ES"/>
        </w:rPr>
        <w:t>of</w:t>
      </w:r>
      <w:proofErr w:type="spellEnd"/>
      <w:r>
        <w:rPr>
          <w:sz w:val="22"/>
          <w:szCs w:val="22"/>
          <w:lang w:val="es-ES"/>
        </w:rPr>
        <w:t xml:space="preserve"> </w:t>
      </w:r>
      <w:proofErr w:type="spellStart"/>
      <w:r>
        <w:rPr>
          <w:sz w:val="22"/>
          <w:szCs w:val="22"/>
          <w:lang w:val="es-ES"/>
        </w:rPr>
        <w:t>the</w:t>
      </w:r>
      <w:proofErr w:type="spellEnd"/>
      <w:r>
        <w:rPr>
          <w:sz w:val="22"/>
          <w:szCs w:val="22"/>
          <w:lang w:val="es-ES"/>
        </w:rPr>
        <w:t xml:space="preserve"> </w:t>
      </w:r>
      <w:proofErr w:type="spellStart"/>
      <w:r>
        <w:rPr>
          <w:sz w:val="22"/>
          <w:szCs w:val="22"/>
          <w:lang w:val="es-ES"/>
        </w:rPr>
        <w:t>water</w:t>
      </w:r>
      <w:proofErr w:type="spellEnd"/>
      <w:r>
        <w:rPr>
          <w:sz w:val="22"/>
          <w:szCs w:val="22"/>
          <w:lang w:val="es-ES"/>
        </w:rPr>
        <w:t xml:space="preserve"> </w:t>
      </w:r>
      <w:proofErr w:type="spellStart"/>
      <w:r>
        <w:rPr>
          <w:sz w:val="22"/>
          <w:szCs w:val="22"/>
          <w:lang w:val="es-ES"/>
        </w:rPr>
        <w:t>used</w:t>
      </w:r>
      <w:proofErr w:type="spellEnd"/>
      <w:r>
        <w:rPr>
          <w:sz w:val="22"/>
          <w:szCs w:val="22"/>
          <w:lang w:val="es-ES"/>
        </w:rPr>
        <w:t xml:space="preserve"> in </w:t>
      </w:r>
      <w:proofErr w:type="spellStart"/>
      <w:r>
        <w:rPr>
          <w:sz w:val="22"/>
          <w:szCs w:val="22"/>
          <w:lang w:val="es-ES"/>
        </w:rPr>
        <w:t>the</w:t>
      </w:r>
      <w:proofErr w:type="spellEnd"/>
      <w:r>
        <w:rPr>
          <w:sz w:val="22"/>
          <w:szCs w:val="22"/>
          <w:lang w:val="es-ES"/>
        </w:rPr>
        <w:t xml:space="preserve"> test. The </w:t>
      </w:r>
      <w:proofErr w:type="spellStart"/>
      <w:r>
        <w:rPr>
          <w:sz w:val="22"/>
          <w:szCs w:val="22"/>
          <w:lang w:val="es-ES"/>
        </w:rPr>
        <w:t>resolution</w:t>
      </w:r>
      <w:proofErr w:type="spellEnd"/>
      <w:r>
        <w:rPr>
          <w:sz w:val="22"/>
          <w:szCs w:val="22"/>
          <w:lang w:val="es-ES"/>
        </w:rPr>
        <w:t xml:space="preserve"> </w:t>
      </w:r>
      <w:proofErr w:type="spellStart"/>
      <w:r>
        <w:rPr>
          <w:sz w:val="22"/>
          <w:szCs w:val="22"/>
          <w:lang w:val="es-ES"/>
        </w:rPr>
        <w:t>of</w:t>
      </w:r>
      <w:proofErr w:type="spellEnd"/>
      <w:r>
        <w:rPr>
          <w:sz w:val="22"/>
          <w:szCs w:val="22"/>
          <w:lang w:val="es-ES"/>
        </w:rPr>
        <w:t xml:space="preserve"> </w:t>
      </w:r>
      <w:proofErr w:type="spellStart"/>
      <w:r>
        <w:rPr>
          <w:sz w:val="22"/>
          <w:szCs w:val="22"/>
          <w:lang w:val="es-ES"/>
        </w:rPr>
        <w:t>the</w:t>
      </w:r>
      <w:proofErr w:type="spellEnd"/>
      <w:r>
        <w:rPr>
          <w:sz w:val="22"/>
          <w:szCs w:val="22"/>
          <w:lang w:val="es-ES"/>
        </w:rPr>
        <w:t xml:space="preserve"> balance </w:t>
      </w:r>
      <w:proofErr w:type="spellStart"/>
      <w:r>
        <w:rPr>
          <w:sz w:val="22"/>
          <w:szCs w:val="22"/>
          <w:lang w:val="es-ES"/>
        </w:rPr>
        <w:t>must</w:t>
      </w:r>
      <w:proofErr w:type="spellEnd"/>
      <w:r>
        <w:rPr>
          <w:sz w:val="22"/>
          <w:szCs w:val="22"/>
          <w:lang w:val="es-ES"/>
        </w:rPr>
        <w:t xml:space="preserve"> be </w:t>
      </w:r>
      <w:proofErr w:type="spellStart"/>
      <w:r>
        <w:rPr>
          <w:sz w:val="22"/>
          <w:szCs w:val="22"/>
          <w:lang w:val="es-ES"/>
        </w:rPr>
        <w:t>less</w:t>
      </w:r>
      <w:proofErr w:type="spellEnd"/>
      <w:r>
        <w:rPr>
          <w:sz w:val="22"/>
          <w:szCs w:val="22"/>
          <w:lang w:val="es-ES"/>
        </w:rPr>
        <w:t xml:space="preserve"> </w:t>
      </w:r>
      <w:proofErr w:type="spellStart"/>
      <w:r>
        <w:rPr>
          <w:sz w:val="22"/>
          <w:szCs w:val="22"/>
          <w:lang w:val="es-ES"/>
        </w:rPr>
        <w:t>than</w:t>
      </w:r>
      <w:proofErr w:type="spellEnd"/>
      <w:r>
        <w:rPr>
          <w:sz w:val="22"/>
          <w:szCs w:val="22"/>
          <w:lang w:val="es-ES"/>
        </w:rPr>
        <w:t xml:space="preserve"> </w:t>
      </w:r>
      <w:proofErr w:type="spellStart"/>
      <w:r>
        <w:rPr>
          <w:sz w:val="22"/>
          <w:szCs w:val="22"/>
          <w:lang w:val="es-ES"/>
        </w:rPr>
        <w:t>or</w:t>
      </w:r>
      <w:proofErr w:type="spellEnd"/>
      <w:r>
        <w:rPr>
          <w:sz w:val="22"/>
          <w:szCs w:val="22"/>
          <w:lang w:val="es-ES"/>
        </w:rPr>
        <w:t xml:space="preserve"> </w:t>
      </w:r>
      <w:proofErr w:type="spellStart"/>
      <w:r>
        <w:rPr>
          <w:sz w:val="22"/>
          <w:szCs w:val="22"/>
          <w:lang w:val="es-ES"/>
        </w:rPr>
        <w:t>equal</w:t>
      </w:r>
      <w:proofErr w:type="spellEnd"/>
      <w:r>
        <w:rPr>
          <w:sz w:val="22"/>
          <w:szCs w:val="22"/>
          <w:lang w:val="es-ES"/>
        </w:rPr>
        <w:t xml:space="preserve"> </w:t>
      </w:r>
      <w:proofErr w:type="spellStart"/>
      <w:r>
        <w:rPr>
          <w:sz w:val="22"/>
          <w:szCs w:val="22"/>
          <w:lang w:val="es-ES"/>
        </w:rPr>
        <w:t>to</w:t>
      </w:r>
      <w:proofErr w:type="spellEnd"/>
      <w:r>
        <w:rPr>
          <w:sz w:val="22"/>
          <w:szCs w:val="22"/>
          <w:lang w:val="es-ES"/>
        </w:rPr>
        <w:t xml:space="preserve"> 0.5% </w:t>
      </w:r>
      <w:proofErr w:type="spellStart"/>
      <w:r>
        <w:rPr>
          <w:sz w:val="22"/>
          <w:szCs w:val="22"/>
          <w:lang w:val="es-ES"/>
        </w:rPr>
        <w:t>of</w:t>
      </w:r>
      <w:proofErr w:type="spellEnd"/>
      <w:r>
        <w:rPr>
          <w:sz w:val="22"/>
          <w:szCs w:val="22"/>
          <w:lang w:val="es-ES"/>
        </w:rPr>
        <w:t xml:space="preserve"> </w:t>
      </w:r>
      <w:proofErr w:type="spellStart"/>
      <w:r>
        <w:rPr>
          <w:sz w:val="22"/>
          <w:szCs w:val="22"/>
          <w:lang w:val="es-ES"/>
        </w:rPr>
        <w:t>the</w:t>
      </w:r>
      <w:proofErr w:type="spellEnd"/>
      <w:r>
        <w:rPr>
          <w:sz w:val="22"/>
          <w:szCs w:val="22"/>
          <w:lang w:val="es-ES"/>
        </w:rPr>
        <w:t xml:space="preserve"> </w:t>
      </w:r>
      <w:proofErr w:type="spellStart"/>
      <w:r>
        <w:rPr>
          <w:sz w:val="22"/>
          <w:szCs w:val="22"/>
          <w:lang w:val="es-ES"/>
        </w:rPr>
        <w:t>measured</w:t>
      </w:r>
      <w:proofErr w:type="spellEnd"/>
      <w:r>
        <w:rPr>
          <w:sz w:val="22"/>
          <w:szCs w:val="22"/>
          <w:lang w:val="es-ES"/>
        </w:rPr>
        <w:t xml:space="preserve"> </w:t>
      </w:r>
      <w:proofErr w:type="spellStart"/>
      <w:r>
        <w:rPr>
          <w:sz w:val="22"/>
          <w:szCs w:val="22"/>
          <w:lang w:val="es-ES"/>
        </w:rPr>
        <w:t>mass</w:t>
      </w:r>
      <w:proofErr w:type="spellEnd"/>
      <w:r>
        <w:rPr>
          <w:sz w:val="22"/>
          <w:szCs w:val="22"/>
          <w:lang w:val="es-ES"/>
        </w:rPr>
        <w:t xml:space="preserve">, and </w:t>
      </w:r>
      <w:proofErr w:type="spellStart"/>
      <w:r>
        <w:rPr>
          <w:sz w:val="22"/>
          <w:szCs w:val="22"/>
          <w:lang w:val="es-ES"/>
        </w:rPr>
        <w:t>the</w:t>
      </w:r>
      <w:proofErr w:type="spellEnd"/>
      <w:r>
        <w:rPr>
          <w:sz w:val="22"/>
          <w:szCs w:val="22"/>
          <w:lang w:val="es-ES"/>
        </w:rPr>
        <w:t xml:space="preserve"> </w:t>
      </w:r>
      <w:proofErr w:type="spellStart"/>
      <w:r>
        <w:rPr>
          <w:sz w:val="22"/>
          <w:szCs w:val="22"/>
          <w:lang w:val="es-ES"/>
        </w:rPr>
        <w:t>maximum</w:t>
      </w:r>
      <w:proofErr w:type="spellEnd"/>
      <w:r>
        <w:rPr>
          <w:sz w:val="22"/>
          <w:szCs w:val="22"/>
          <w:lang w:val="es-ES"/>
        </w:rPr>
        <w:t xml:space="preserve"> </w:t>
      </w:r>
      <w:proofErr w:type="spellStart"/>
      <w:r>
        <w:rPr>
          <w:sz w:val="22"/>
          <w:szCs w:val="22"/>
          <w:lang w:val="es-ES"/>
        </w:rPr>
        <w:t>permissible</w:t>
      </w:r>
      <w:proofErr w:type="spellEnd"/>
      <w:r>
        <w:rPr>
          <w:sz w:val="22"/>
          <w:szCs w:val="22"/>
          <w:lang w:val="es-ES"/>
        </w:rPr>
        <w:t xml:space="preserve"> error </w:t>
      </w:r>
      <w:proofErr w:type="spellStart"/>
      <w:r>
        <w:rPr>
          <w:sz w:val="22"/>
          <w:szCs w:val="22"/>
          <w:lang w:val="es-ES"/>
        </w:rPr>
        <w:t>of</w:t>
      </w:r>
      <w:proofErr w:type="spellEnd"/>
      <w:r>
        <w:rPr>
          <w:sz w:val="22"/>
          <w:szCs w:val="22"/>
          <w:lang w:val="es-ES"/>
        </w:rPr>
        <w:t xml:space="preserve"> </w:t>
      </w:r>
      <w:proofErr w:type="spellStart"/>
      <w:r>
        <w:rPr>
          <w:sz w:val="22"/>
          <w:szCs w:val="22"/>
          <w:lang w:val="es-ES"/>
        </w:rPr>
        <w:t>the</w:t>
      </w:r>
      <w:proofErr w:type="spellEnd"/>
      <w:r>
        <w:rPr>
          <w:sz w:val="22"/>
          <w:szCs w:val="22"/>
          <w:lang w:val="es-ES"/>
        </w:rPr>
        <w:t xml:space="preserve"> test </w:t>
      </w:r>
      <w:proofErr w:type="spellStart"/>
      <w:r>
        <w:rPr>
          <w:sz w:val="22"/>
          <w:szCs w:val="22"/>
          <w:lang w:val="es-ES"/>
        </w:rPr>
        <w:t>bench</w:t>
      </w:r>
      <w:proofErr w:type="spellEnd"/>
      <w:r>
        <w:rPr>
          <w:sz w:val="22"/>
          <w:szCs w:val="22"/>
          <w:lang w:val="es-ES"/>
        </w:rPr>
        <w:t xml:space="preserve"> </w:t>
      </w:r>
      <w:proofErr w:type="spellStart"/>
      <w:r>
        <w:rPr>
          <w:sz w:val="22"/>
          <w:szCs w:val="22"/>
          <w:lang w:val="es-ES"/>
        </w:rPr>
        <w:t>will</w:t>
      </w:r>
      <w:proofErr w:type="spellEnd"/>
      <w:r>
        <w:rPr>
          <w:sz w:val="22"/>
          <w:szCs w:val="22"/>
          <w:lang w:val="es-ES"/>
        </w:rPr>
        <w:t xml:space="preserve"> be 0.2%.</w:t>
      </w:r>
    </w:p>
    <w:p w14:paraId="52E6732B" w14:textId="77777777" w:rsidR="00E255F4" w:rsidRDefault="00000000">
      <w:pPr>
        <w:pStyle w:val="Prrafodelista"/>
        <w:numPr>
          <w:ilvl w:val="2"/>
          <w:numId w:val="61"/>
        </w:numPr>
        <w:tabs>
          <w:tab w:val="left" w:pos="-720"/>
        </w:tabs>
        <w:spacing w:after="120"/>
        <w:ind w:left="709" w:hanging="709"/>
        <w:jc w:val="both"/>
        <w:rPr>
          <w:sz w:val="22"/>
          <w:szCs w:val="22"/>
          <w:lang w:val="es-ES"/>
        </w:rPr>
      </w:pPr>
      <w:proofErr w:type="spellStart"/>
      <w:r>
        <w:rPr>
          <w:sz w:val="22"/>
          <w:szCs w:val="22"/>
          <w:lang w:val="es-ES"/>
        </w:rPr>
        <w:t>To</w:t>
      </w:r>
      <w:proofErr w:type="spellEnd"/>
      <w:r>
        <w:rPr>
          <w:sz w:val="22"/>
          <w:szCs w:val="22"/>
          <w:lang w:val="es-ES"/>
        </w:rPr>
        <w:t xml:space="preserve"> </w:t>
      </w:r>
      <w:proofErr w:type="spellStart"/>
      <w:r>
        <w:rPr>
          <w:sz w:val="22"/>
          <w:szCs w:val="22"/>
          <w:lang w:val="es-ES"/>
        </w:rPr>
        <w:t>verify</w:t>
      </w:r>
      <w:proofErr w:type="spellEnd"/>
      <w:r>
        <w:rPr>
          <w:sz w:val="22"/>
          <w:szCs w:val="22"/>
          <w:lang w:val="es-ES"/>
        </w:rPr>
        <w:t xml:space="preserve"> </w:t>
      </w:r>
      <w:proofErr w:type="spellStart"/>
      <w:r>
        <w:rPr>
          <w:sz w:val="22"/>
          <w:szCs w:val="22"/>
          <w:lang w:val="es-ES"/>
        </w:rPr>
        <w:t>the</w:t>
      </w:r>
      <w:proofErr w:type="spellEnd"/>
      <w:r>
        <w:rPr>
          <w:sz w:val="22"/>
          <w:szCs w:val="22"/>
          <w:lang w:val="es-ES"/>
        </w:rPr>
        <w:t xml:space="preserve"> </w:t>
      </w:r>
      <w:proofErr w:type="spellStart"/>
      <w:r>
        <w:rPr>
          <w:sz w:val="22"/>
          <w:szCs w:val="22"/>
          <w:lang w:val="es-ES"/>
        </w:rPr>
        <w:t>proper</w:t>
      </w:r>
      <w:proofErr w:type="spellEnd"/>
      <w:r>
        <w:rPr>
          <w:sz w:val="22"/>
          <w:szCs w:val="22"/>
          <w:lang w:val="es-ES"/>
        </w:rPr>
        <w:t xml:space="preserve"> </w:t>
      </w:r>
      <w:proofErr w:type="spellStart"/>
      <w:r>
        <w:rPr>
          <w:sz w:val="22"/>
          <w:szCs w:val="22"/>
          <w:lang w:val="es-ES"/>
        </w:rPr>
        <w:t>functioning</w:t>
      </w:r>
      <w:proofErr w:type="spellEnd"/>
      <w:r>
        <w:rPr>
          <w:sz w:val="22"/>
          <w:szCs w:val="22"/>
          <w:lang w:val="es-ES"/>
        </w:rPr>
        <w:t xml:space="preserve"> </w:t>
      </w:r>
      <w:proofErr w:type="spellStart"/>
      <w:r>
        <w:rPr>
          <w:sz w:val="22"/>
          <w:szCs w:val="22"/>
          <w:lang w:val="es-ES"/>
        </w:rPr>
        <w:t>of</w:t>
      </w:r>
      <w:proofErr w:type="spellEnd"/>
      <w:r>
        <w:rPr>
          <w:sz w:val="22"/>
          <w:szCs w:val="22"/>
          <w:lang w:val="es-ES"/>
        </w:rPr>
        <w:t xml:space="preserve"> </w:t>
      </w:r>
      <w:proofErr w:type="spellStart"/>
      <w:r>
        <w:rPr>
          <w:sz w:val="22"/>
          <w:szCs w:val="22"/>
          <w:lang w:val="es-ES"/>
        </w:rPr>
        <w:t>the</w:t>
      </w:r>
      <w:proofErr w:type="spellEnd"/>
      <w:r>
        <w:rPr>
          <w:sz w:val="22"/>
          <w:szCs w:val="22"/>
          <w:lang w:val="es-ES"/>
        </w:rPr>
        <w:t xml:space="preserve"> test </w:t>
      </w:r>
      <w:proofErr w:type="spellStart"/>
      <w:r>
        <w:rPr>
          <w:sz w:val="22"/>
          <w:szCs w:val="22"/>
          <w:lang w:val="es-ES"/>
        </w:rPr>
        <w:t>bench</w:t>
      </w:r>
      <w:proofErr w:type="spellEnd"/>
      <w:r>
        <w:rPr>
          <w:sz w:val="22"/>
          <w:szCs w:val="22"/>
          <w:lang w:val="es-ES"/>
        </w:rPr>
        <w:t xml:space="preserve"> and </w:t>
      </w:r>
      <w:proofErr w:type="spellStart"/>
      <w:r>
        <w:rPr>
          <w:sz w:val="22"/>
          <w:szCs w:val="22"/>
          <w:lang w:val="es-ES"/>
        </w:rPr>
        <w:t>the</w:t>
      </w:r>
      <w:proofErr w:type="spellEnd"/>
      <w:r>
        <w:rPr>
          <w:sz w:val="22"/>
          <w:szCs w:val="22"/>
          <w:lang w:val="es-ES"/>
        </w:rPr>
        <w:t xml:space="preserve"> </w:t>
      </w:r>
      <w:proofErr w:type="spellStart"/>
      <w:r>
        <w:rPr>
          <w:sz w:val="22"/>
          <w:szCs w:val="22"/>
          <w:lang w:val="es-ES"/>
        </w:rPr>
        <w:t>conditions</w:t>
      </w:r>
      <w:proofErr w:type="spellEnd"/>
      <w:r>
        <w:rPr>
          <w:sz w:val="22"/>
          <w:szCs w:val="22"/>
          <w:lang w:val="es-ES"/>
        </w:rPr>
        <w:t xml:space="preserve"> </w:t>
      </w:r>
      <w:proofErr w:type="spellStart"/>
      <w:r>
        <w:rPr>
          <w:sz w:val="22"/>
          <w:szCs w:val="22"/>
          <w:lang w:val="es-ES"/>
        </w:rPr>
        <w:t>established</w:t>
      </w:r>
      <w:proofErr w:type="spellEnd"/>
      <w:r>
        <w:rPr>
          <w:sz w:val="22"/>
          <w:szCs w:val="22"/>
          <w:lang w:val="es-ES"/>
        </w:rPr>
        <w:t xml:space="preserve"> </w:t>
      </w:r>
      <w:proofErr w:type="spellStart"/>
      <w:r>
        <w:rPr>
          <w:sz w:val="22"/>
          <w:szCs w:val="22"/>
          <w:lang w:val="es-ES"/>
        </w:rPr>
        <w:t>above</w:t>
      </w:r>
      <w:proofErr w:type="spellEnd"/>
      <w:r>
        <w:rPr>
          <w:sz w:val="22"/>
          <w:szCs w:val="22"/>
          <w:lang w:val="es-ES"/>
        </w:rPr>
        <w:t xml:space="preserve">, </w:t>
      </w:r>
      <w:proofErr w:type="spellStart"/>
      <w:r>
        <w:rPr>
          <w:sz w:val="22"/>
          <w:szCs w:val="22"/>
          <w:lang w:val="es-ES"/>
        </w:rPr>
        <w:t>the</w:t>
      </w:r>
      <w:proofErr w:type="spellEnd"/>
      <w:r>
        <w:rPr>
          <w:sz w:val="22"/>
          <w:szCs w:val="22"/>
          <w:lang w:val="es-ES"/>
        </w:rPr>
        <w:t xml:space="preserve"> </w:t>
      </w:r>
      <w:proofErr w:type="spellStart"/>
      <w:r>
        <w:rPr>
          <w:sz w:val="22"/>
          <w:szCs w:val="22"/>
          <w:lang w:val="es-ES"/>
        </w:rPr>
        <w:t>Administration</w:t>
      </w:r>
      <w:proofErr w:type="spellEnd"/>
      <w:r>
        <w:rPr>
          <w:sz w:val="22"/>
          <w:szCs w:val="22"/>
          <w:lang w:val="es-ES"/>
        </w:rPr>
        <w:t xml:space="preserve"> representative </w:t>
      </w:r>
      <w:proofErr w:type="spellStart"/>
      <w:r>
        <w:rPr>
          <w:sz w:val="22"/>
          <w:szCs w:val="22"/>
          <w:lang w:val="es-ES"/>
        </w:rPr>
        <w:t>may</w:t>
      </w:r>
      <w:proofErr w:type="spellEnd"/>
      <w:r>
        <w:rPr>
          <w:sz w:val="22"/>
          <w:szCs w:val="22"/>
          <w:lang w:val="es-ES"/>
        </w:rPr>
        <w:t xml:space="preserve"> use a standard meter </w:t>
      </w:r>
      <w:proofErr w:type="spellStart"/>
      <w:r>
        <w:rPr>
          <w:sz w:val="22"/>
          <w:szCs w:val="22"/>
          <w:lang w:val="es-ES"/>
        </w:rPr>
        <w:t>previously</w:t>
      </w:r>
      <w:proofErr w:type="spellEnd"/>
      <w:r>
        <w:rPr>
          <w:sz w:val="22"/>
          <w:szCs w:val="22"/>
          <w:lang w:val="es-ES"/>
        </w:rPr>
        <w:t xml:space="preserve"> </w:t>
      </w:r>
      <w:proofErr w:type="spellStart"/>
      <w:r>
        <w:rPr>
          <w:sz w:val="22"/>
          <w:szCs w:val="22"/>
          <w:lang w:val="es-ES"/>
        </w:rPr>
        <w:t>tested</w:t>
      </w:r>
      <w:proofErr w:type="spellEnd"/>
      <w:r>
        <w:rPr>
          <w:sz w:val="22"/>
          <w:szCs w:val="22"/>
          <w:lang w:val="es-ES"/>
        </w:rPr>
        <w:t xml:space="preserve"> and </w:t>
      </w:r>
      <w:proofErr w:type="spellStart"/>
      <w:r>
        <w:rPr>
          <w:sz w:val="22"/>
          <w:szCs w:val="22"/>
          <w:lang w:val="es-ES"/>
        </w:rPr>
        <w:t>whose</w:t>
      </w:r>
      <w:proofErr w:type="spellEnd"/>
      <w:r>
        <w:rPr>
          <w:sz w:val="22"/>
          <w:szCs w:val="22"/>
          <w:lang w:val="es-ES"/>
        </w:rPr>
        <w:t xml:space="preserve"> </w:t>
      </w:r>
      <w:proofErr w:type="spellStart"/>
      <w:r>
        <w:rPr>
          <w:sz w:val="22"/>
          <w:szCs w:val="22"/>
          <w:lang w:val="es-ES"/>
        </w:rPr>
        <w:t>operating</w:t>
      </w:r>
      <w:proofErr w:type="spellEnd"/>
      <w:r>
        <w:rPr>
          <w:sz w:val="22"/>
          <w:szCs w:val="22"/>
          <w:lang w:val="es-ES"/>
        </w:rPr>
        <w:t xml:space="preserve"> curve has </w:t>
      </w:r>
      <w:proofErr w:type="spellStart"/>
      <w:r>
        <w:rPr>
          <w:sz w:val="22"/>
          <w:szCs w:val="22"/>
          <w:lang w:val="es-ES"/>
        </w:rPr>
        <w:t>been</w:t>
      </w:r>
      <w:proofErr w:type="spellEnd"/>
      <w:r>
        <w:rPr>
          <w:sz w:val="22"/>
          <w:szCs w:val="22"/>
          <w:lang w:val="es-ES"/>
        </w:rPr>
        <w:t xml:space="preserve"> </w:t>
      </w:r>
      <w:proofErr w:type="spellStart"/>
      <w:r>
        <w:rPr>
          <w:sz w:val="22"/>
          <w:szCs w:val="22"/>
          <w:lang w:val="es-ES"/>
        </w:rPr>
        <w:t>determined</w:t>
      </w:r>
      <w:proofErr w:type="spellEnd"/>
      <w:r>
        <w:rPr>
          <w:sz w:val="22"/>
          <w:szCs w:val="22"/>
          <w:lang w:val="es-ES"/>
        </w:rPr>
        <w:t xml:space="preserve">, </w:t>
      </w:r>
      <w:proofErr w:type="spellStart"/>
      <w:r>
        <w:rPr>
          <w:sz w:val="22"/>
          <w:szCs w:val="22"/>
          <w:lang w:val="es-ES"/>
        </w:rPr>
        <w:t>to</w:t>
      </w:r>
      <w:proofErr w:type="spellEnd"/>
      <w:r>
        <w:rPr>
          <w:sz w:val="22"/>
          <w:szCs w:val="22"/>
          <w:lang w:val="es-ES"/>
        </w:rPr>
        <w:t xml:space="preserve"> be placed in series </w:t>
      </w:r>
      <w:proofErr w:type="spellStart"/>
      <w:r>
        <w:rPr>
          <w:sz w:val="22"/>
          <w:szCs w:val="22"/>
          <w:lang w:val="es-ES"/>
        </w:rPr>
        <w:t>with</w:t>
      </w:r>
      <w:proofErr w:type="spellEnd"/>
      <w:r>
        <w:rPr>
          <w:sz w:val="22"/>
          <w:szCs w:val="22"/>
          <w:lang w:val="es-ES"/>
        </w:rPr>
        <w:t xml:space="preserve"> </w:t>
      </w:r>
      <w:proofErr w:type="spellStart"/>
      <w:r>
        <w:rPr>
          <w:sz w:val="22"/>
          <w:szCs w:val="22"/>
          <w:lang w:val="es-ES"/>
        </w:rPr>
        <w:t>the</w:t>
      </w:r>
      <w:proofErr w:type="spellEnd"/>
      <w:r>
        <w:rPr>
          <w:sz w:val="22"/>
          <w:szCs w:val="22"/>
          <w:lang w:val="es-ES"/>
        </w:rPr>
        <w:t xml:space="preserve"> </w:t>
      </w:r>
      <w:proofErr w:type="spellStart"/>
      <w:r>
        <w:rPr>
          <w:sz w:val="22"/>
          <w:szCs w:val="22"/>
          <w:lang w:val="es-ES"/>
        </w:rPr>
        <w:t>meters</w:t>
      </w:r>
      <w:proofErr w:type="spellEnd"/>
      <w:r>
        <w:rPr>
          <w:sz w:val="22"/>
          <w:szCs w:val="22"/>
          <w:lang w:val="es-ES"/>
        </w:rPr>
        <w:t xml:space="preserve"> </w:t>
      </w:r>
      <w:proofErr w:type="spellStart"/>
      <w:r>
        <w:rPr>
          <w:sz w:val="22"/>
          <w:szCs w:val="22"/>
          <w:lang w:val="es-ES"/>
        </w:rPr>
        <w:t>to</w:t>
      </w:r>
      <w:proofErr w:type="spellEnd"/>
      <w:r>
        <w:rPr>
          <w:sz w:val="22"/>
          <w:szCs w:val="22"/>
          <w:lang w:val="es-ES"/>
        </w:rPr>
        <w:t xml:space="preserve"> be </w:t>
      </w:r>
      <w:proofErr w:type="spellStart"/>
      <w:r>
        <w:rPr>
          <w:sz w:val="22"/>
          <w:szCs w:val="22"/>
          <w:lang w:val="es-ES"/>
        </w:rPr>
        <w:t>tested</w:t>
      </w:r>
      <w:proofErr w:type="spellEnd"/>
      <w:r>
        <w:rPr>
          <w:sz w:val="22"/>
          <w:szCs w:val="22"/>
          <w:lang w:val="es-ES"/>
        </w:rPr>
        <w:t>.</w:t>
      </w:r>
    </w:p>
    <w:p w14:paraId="6DDD0B90" w14:textId="77777777" w:rsidR="00E255F4" w:rsidRDefault="00000000">
      <w:pPr>
        <w:pStyle w:val="Prrafodelista"/>
        <w:numPr>
          <w:ilvl w:val="2"/>
          <w:numId w:val="61"/>
        </w:numPr>
        <w:tabs>
          <w:tab w:val="left" w:pos="-720"/>
        </w:tabs>
        <w:ind w:left="709" w:hanging="709"/>
        <w:jc w:val="both"/>
        <w:rPr>
          <w:sz w:val="22"/>
          <w:szCs w:val="22"/>
          <w:lang w:val="es-ES"/>
        </w:rPr>
      </w:pPr>
      <w:proofErr w:type="spellStart"/>
      <w:r>
        <w:rPr>
          <w:b/>
          <w:sz w:val="22"/>
          <w:szCs w:val="22"/>
          <w:lang w:val="es-ES"/>
        </w:rPr>
        <w:t>Continuous</w:t>
      </w:r>
      <w:proofErr w:type="spellEnd"/>
      <w:r>
        <w:rPr>
          <w:b/>
          <w:sz w:val="22"/>
          <w:szCs w:val="22"/>
          <w:lang w:val="es-ES"/>
        </w:rPr>
        <w:t xml:space="preserve"> </w:t>
      </w:r>
      <w:proofErr w:type="spellStart"/>
      <w:r>
        <w:rPr>
          <w:b/>
          <w:sz w:val="22"/>
          <w:szCs w:val="22"/>
          <w:lang w:val="es-ES"/>
        </w:rPr>
        <w:t>flow</w:t>
      </w:r>
      <w:proofErr w:type="spellEnd"/>
      <w:r>
        <w:rPr>
          <w:b/>
          <w:sz w:val="22"/>
          <w:szCs w:val="22"/>
          <w:lang w:val="es-ES"/>
        </w:rPr>
        <w:t xml:space="preserve"> test </w:t>
      </w:r>
      <w:proofErr w:type="spellStart"/>
      <w:r>
        <w:rPr>
          <w:b/>
          <w:sz w:val="22"/>
          <w:szCs w:val="22"/>
          <w:lang w:val="es-ES"/>
        </w:rPr>
        <w:t>bench</w:t>
      </w:r>
      <w:proofErr w:type="spellEnd"/>
      <w:r>
        <w:rPr>
          <w:sz w:val="22"/>
          <w:szCs w:val="22"/>
          <w:lang w:val="es-ES"/>
        </w:rPr>
        <w:t>.</w:t>
      </w:r>
    </w:p>
    <w:p w14:paraId="54119670" w14:textId="77777777" w:rsidR="00E255F4" w:rsidRDefault="00000000">
      <w:pPr>
        <w:pStyle w:val="Prrafodelista"/>
        <w:tabs>
          <w:tab w:val="left" w:pos="-720"/>
        </w:tabs>
        <w:spacing w:after="120"/>
        <w:ind w:left="709"/>
        <w:jc w:val="both"/>
        <w:rPr>
          <w:sz w:val="22"/>
          <w:szCs w:val="22"/>
          <w:lang w:val="es-ES"/>
        </w:rPr>
      </w:pPr>
      <w:proofErr w:type="spellStart"/>
      <w:r>
        <w:rPr>
          <w:sz w:val="22"/>
          <w:szCs w:val="22"/>
          <w:lang w:val="es-ES"/>
        </w:rPr>
        <w:lastRenderedPageBreak/>
        <w:t>It</w:t>
      </w:r>
      <w:proofErr w:type="spellEnd"/>
      <w:r>
        <w:rPr>
          <w:sz w:val="22"/>
          <w:szCs w:val="22"/>
          <w:lang w:val="es-ES"/>
        </w:rPr>
        <w:t xml:space="preserve"> </w:t>
      </w:r>
      <w:proofErr w:type="spellStart"/>
      <w:r>
        <w:rPr>
          <w:sz w:val="22"/>
          <w:szCs w:val="22"/>
          <w:lang w:val="es-ES"/>
        </w:rPr>
        <w:t>must</w:t>
      </w:r>
      <w:proofErr w:type="spellEnd"/>
      <w:r>
        <w:rPr>
          <w:sz w:val="22"/>
          <w:szCs w:val="22"/>
          <w:lang w:val="es-ES"/>
        </w:rPr>
        <w:t xml:space="preserve"> </w:t>
      </w:r>
      <w:proofErr w:type="spellStart"/>
      <w:r>
        <w:rPr>
          <w:sz w:val="22"/>
          <w:szCs w:val="22"/>
          <w:lang w:val="es-ES"/>
        </w:rPr>
        <w:t>have</w:t>
      </w:r>
      <w:proofErr w:type="spellEnd"/>
      <w:r>
        <w:rPr>
          <w:sz w:val="22"/>
          <w:szCs w:val="22"/>
          <w:lang w:val="es-ES"/>
        </w:rPr>
        <w:t xml:space="preserve"> a </w:t>
      </w:r>
      <w:proofErr w:type="spellStart"/>
      <w:r>
        <w:rPr>
          <w:sz w:val="22"/>
          <w:szCs w:val="22"/>
          <w:lang w:val="es-ES"/>
        </w:rPr>
        <w:t>mechanical</w:t>
      </w:r>
      <w:proofErr w:type="spellEnd"/>
      <w:r>
        <w:rPr>
          <w:sz w:val="22"/>
          <w:szCs w:val="22"/>
          <w:lang w:val="es-ES"/>
        </w:rPr>
        <w:t xml:space="preserve"> </w:t>
      </w:r>
      <w:proofErr w:type="spellStart"/>
      <w:r>
        <w:rPr>
          <w:sz w:val="22"/>
          <w:szCs w:val="22"/>
          <w:lang w:val="es-ES"/>
        </w:rPr>
        <w:t>structure</w:t>
      </w:r>
      <w:proofErr w:type="spellEnd"/>
      <w:r>
        <w:rPr>
          <w:sz w:val="22"/>
          <w:szCs w:val="22"/>
          <w:lang w:val="es-ES"/>
        </w:rPr>
        <w:t xml:space="preserve">, </w:t>
      </w:r>
      <w:proofErr w:type="spellStart"/>
      <w:r>
        <w:rPr>
          <w:sz w:val="22"/>
          <w:szCs w:val="22"/>
          <w:lang w:val="es-ES"/>
        </w:rPr>
        <w:t>registers</w:t>
      </w:r>
      <w:proofErr w:type="spellEnd"/>
      <w:r>
        <w:rPr>
          <w:sz w:val="22"/>
          <w:szCs w:val="22"/>
          <w:lang w:val="es-ES"/>
        </w:rPr>
        <w:t xml:space="preserve">, </w:t>
      </w:r>
      <w:proofErr w:type="spellStart"/>
      <w:r>
        <w:rPr>
          <w:sz w:val="22"/>
          <w:szCs w:val="22"/>
          <w:lang w:val="es-ES"/>
        </w:rPr>
        <w:t>pressure</w:t>
      </w:r>
      <w:proofErr w:type="spellEnd"/>
      <w:r>
        <w:rPr>
          <w:sz w:val="22"/>
          <w:szCs w:val="22"/>
          <w:lang w:val="es-ES"/>
        </w:rPr>
        <w:t xml:space="preserve"> gauges, and </w:t>
      </w:r>
      <w:proofErr w:type="spellStart"/>
      <w:r>
        <w:rPr>
          <w:sz w:val="22"/>
          <w:szCs w:val="22"/>
          <w:lang w:val="es-ES"/>
        </w:rPr>
        <w:t>hydraulic</w:t>
      </w:r>
      <w:proofErr w:type="spellEnd"/>
      <w:r>
        <w:rPr>
          <w:sz w:val="22"/>
          <w:szCs w:val="22"/>
          <w:lang w:val="es-ES"/>
        </w:rPr>
        <w:t xml:space="preserve"> </w:t>
      </w:r>
      <w:proofErr w:type="spellStart"/>
      <w:r>
        <w:rPr>
          <w:sz w:val="22"/>
          <w:szCs w:val="22"/>
          <w:lang w:val="es-ES"/>
        </w:rPr>
        <w:t>pumps</w:t>
      </w:r>
      <w:proofErr w:type="spellEnd"/>
      <w:r>
        <w:rPr>
          <w:sz w:val="22"/>
          <w:szCs w:val="22"/>
          <w:lang w:val="es-ES"/>
        </w:rPr>
        <w:t xml:space="preserve"> </w:t>
      </w:r>
      <w:proofErr w:type="spellStart"/>
      <w:r>
        <w:rPr>
          <w:sz w:val="22"/>
          <w:szCs w:val="22"/>
          <w:lang w:val="es-ES"/>
        </w:rPr>
        <w:t>sufficient</w:t>
      </w:r>
      <w:proofErr w:type="spellEnd"/>
      <w:r>
        <w:rPr>
          <w:sz w:val="22"/>
          <w:szCs w:val="22"/>
          <w:lang w:val="es-ES"/>
        </w:rPr>
        <w:t xml:space="preserve"> </w:t>
      </w:r>
      <w:proofErr w:type="spellStart"/>
      <w:r>
        <w:rPr>
          <w:sz w:val="22"/>
          <w:szCs w:val="22"/>
          <w:lang w:val="es-ES"/>
        </w:rPr>
        <w:t>for</w:t>
      </w:r>
      <w:proofErr w:type="spellEnd"/>
      <w:r>
        <w:rPr>
          <w:sz w:val="22"/>
          <w:szCs w:val="22"/>
          <w:lang w:val="es-ES"/>
        </w:rPr>
        <w:t xml:space="preserve"> </w:t>
      </w:r>
      <w:proofErr w:type="spellStart"/>
      <w:r>
        <w:rPr>
          <w:sz w:val="22"/>
          <w:szCs w:val="22"/>
          <w:lang w:val="es-ES"/>
        </w:rPr>
        <w:t>the</w:t>
      </w:r>
      <w:proofErr w:type="spellEnd"/>
      <w:r>
        <w:rPr>
          <w:sz w:val="22"/>
          <w:szCs w:val="22"/>
          <w:lang w:val="es-ES"/>
        </w:rPr>
        <w:t xml:space="preserve"> </w:t>
      </w:r>
      <w:proofErr w:type="spellStart"/>
      <w:r>
        <w:rPr>
          <w:sz w:val="22"/>
          <w:szCs w:val="22"/>
          <w:lang w:val="es-ES"/>
        </w:rPr>
        <w:t>maximum</w:t>
      </w:r>
      <w:proofErr w:type="spellEnd"/>
      <w:r>
        <w:rPr>
          <w:sz w:val="22"/>
          <w:szCs w:val="22"/>
          <w:lang w:val="es-ES"/>
        </w:rPr>
        <w:t xml:space="preserve"> </w:t>
      </w:r>
      <w:proofErr w:type="spellStart"/>
      <w:r>
        <w:rPr>
          <w:sz w:val="22"/>
          <w:szCs w:val="22"/>
          <w:lang w:val="es-ES"/>
        </w:rPr>
        <w:t>flow</w:t>
      </w:r>
      <w:proofErr w:type="spellEnd"/>
      <w:r>
        <w:rPr>
          <w:sz w:val="22"/>
          <w:szCs w:val="22"/>
          <w:lang w:val="es-ES"/>
        </w:rPr>
        <w:t xml:space="preserve"> </w:t>
      </w:r>
      <w:proofErr w:type="spellStart"/>
      <w:r>
        <w:rPr>
          <w:sz w:val="22"/>
          <w:szCs w:val="22"/>
          <w:lang w:val="es-ES"/>
        </w:rPr>
        <w:t>rate</w:t>
      </w:r>
      <w:proofErr w:type="spellEnd"/>
      <w:r>
        <w:rPr>
          <w:sz w:val="22"/>
          <w:szCs w:val="22"/>
          <w:lang w:val="es-ES"/>
        </w:rPr>
        <w:t xml:space="preserve"> </w:t>
      </w:r>
      <w:proofErr w:type="spellStart"/>
      <w:r>
        <w:rPr>
          <w:sz w:val="22"/>
          <w:szCs w:val="22"/>
          <w:lang w:val="es-ES"/>
        </w:rPr>
        <w:t>used</w:t>
      </w:r>
      <w:proofErr w:type="spellEnd"/>
      <w:r>
        <w:rPr>
          <w:sz w:val="22"/>
          <w:szCs w:val="22"/>
          <w:lang w:val="es-ES"/>
        </w:rPr>
        <w:t xml:space="preserve"> in </w:t>
      </w:r>
      <w:proofErr w:type="spellStart"/>
      <w:r>
        <w:rPr>
          <w:sz w:val="22"/>
          <w:szCs w:val="22"/>
          <w:lang w:val="es-ES"/>
        </w:rPr>
        <w:t>the</w:t>
      </w:r>
      <w:proofErr w:type="spellEnd"/>
      <w:r>
        <w:rPr>
          <w:sz w:val="22"/>
          <w:szCs w:val="22"/>
          <w:lang w:val="es-ES"/>
        </w:rPr>
        <w:t xml:space="preserve"> test. </w:t>
      </w:r>
      <w:proofErr w:type="spellStart"/>
      <w:r>
        <w:rPr>
          <w:sz w:val="22"/>
          <w:szCs w:val="22"/>
          <w:lang w:val="es-ES"/>
        </w:rPr>
        <w:t>It</w:t>
      </w:r>
      <w:proofErr w:type="spellEnd"/>
      <w:r>
        <w:rPr>
          <w:sz w:val="22"/>
          <w:szCs w:val="22"/>
          <w:lang w:val="es-ES"/>
        </w:rPr>
        <w:t xml:space="preserve"> </w:t>
      </w:r>
      <w:proofErr w:type="spellStart"/>
      <w:r>
        <w:rPr>
          <w:sz w:val="22"/>
          <w:szCs w:val="22"/>
          <w:lang w:val="es-ES"/>
        </w:rPr>
        <w:t>must</w:t>
      </w:r>
      <w:proofErr w:type="spellEnd"/>
      <w:r>
        <w:rPr>
          <w:sz w:val="22"/>
          <w:szCs w:val="22"/>
          <w:lang w:val="es-ES"/>
        </w:rPr>
        <w:t xml:space="preserve"> </w:t>
      </w:r>
      <w:proofErr w:type="spellStart"/>
      <w:r>
        <w:rPr>
          <w:sz w:val="22"/>
          <w:szCs w:val="22"/>
          <w:lang w:val="es-ES"/>
        </w:rPr>
        <w:t>have</w:t>
      </w:r>
      <w:proofErr w:type="spellEnd"/>
      <w:r>
        <w:rPr>
          <w:sz w:val="22"/>
          <w:szCs w:val="22"/>
          <w:lang w:val="es-ES"/>
        </w:rPr>
        <w:t xml:space="preserve"> </w:t>
      </w:r>
      <w:proofErr w:type="spellStart"/>
      <w:r>
        <w:rPr>
          <w:sz w:val="22"/>
          <w:szCs w:val="22"/>
          <w:lang w:val="es-ES"/>
        </w:rPr>
        <w:t>the</w:t>
      </w:r>
      <w:proofErr w:type="spellEnd"/>
      <w:r>
        <w:rPr>
          <w:sz w:val="22"/>
          <w:szCs w:val="22"/>
          <w:lang w:val="es-ES"/>
        </w:rPr>
        <w:t xml:space="preserve"> </w:t>
      </w:r>
      <w:proofErr w:type="spellStart"/>
      <w:r>
        <w:rPr>
          <w:sz w:val="22"/>
          <w:szCs w:val="22"/>
          <w:lang w:val="es-ES"/>
        </w:rPr>
        <w:t>necessary</w:t>
      </w:r>
      <w:proofErr w:type="spellEnd"/>
      <w:r>
        <w:rPr>
          <w:sz w:val="22"/>
          <w:szCs w:val="22"/>
          <w:lang w:val="es-ES"/>
        </w:rPr>
        <w:t xml:space="preserve"> </w:t>
      </w:r>
      <w:proofErr w:type="spellStart"/>
      <w:r>
        <w:rPr>
          <w:sz w:val="22"/>
          <w:szCs w:val="22"/>
          <w:lang w:val="es-ES"/>
        </w:rPr>
        <w:t>capacity</w:t>
      </w:r>
      <w:proofErr w:type="spellEnd"/>
      <w:r>
        <w:rPr>
          <w:sz w:val="22"/>
          <w:szCs w:val="22"/>
          <w:lang w:val="es-ES"/>
        </w:rPr>
        <w:t xml:space="preserve"> </w:t>
      </w:r>
      <w:proofErr w:type="spellStart"/>
      <w:r>
        <w:rPr>
          <w:sz w:val="22"/>
          <w:szCs w:val="22"/>
          <w:lang w:val="es-ES"/>
        </w:rPr>
        <w:t>to</w:t>
      </w:r>
      <w:proofErr w:type="spellEnd"/>
      <w:r>
        <w:rPr>
          <w:sz w:val="22"/>
          <w:szCs w:val="22"/>
          <w:lang w:val="es-ES"/>
        </w:rPr>
        <w:t xml:space="preserve"> </w:t>
      </w:r>
      <w:proofErr w:type="spellStart"/>
      <w:r>
        <w:rPr>
          <w:sz w:val="22"/>
          <w:szCs w:val="22"/>
          <w:lang w:val="es-ES"/>
        </w:rPr>
        <w:t>meet</w:t>
      </w:r>
      <w:proofErr w:type="spellEnd"/>
      <w:r>
        <w:rPr>
          <w:sz w:val="22"/>
          <w:szCs w:val="22"/>
          <w:lang w:val="es-ES"/>
        </w:rPr>
        <w:t xml:space="preserve"> </w:t>
      </w:r>
      <w:proofErr w:type="spellStart"/>
      <w:r>
        <w:rPr>
          <w:sz w:val="22"/>
          <w:szCs w:val="22"/>
          <w:lang w:val="es-ES"/>
        </w:rPr>
        <w:t>the</w:t>
      </w:r>
      <w:proofErr w:type="spellEnd"/>
      <w:r>
        <w:rPr>
          <w:sz w:val="22"/>
          <w:szCs w:val="22"/>
          <w:lang w:val="es-ES"/>
        </w:rPr>
        <w:t xml:space="preserve"> </w:t>
      </w:r>
      <w:proofErr w:type="spellStart"/>
      <w:r>
        <w:rPr>
          <w:sz w:val="22"/>
          <w:szCs w:val="22"/>
          <w:lang w:val="es-ES"/>
        </w:rPr>
        <w:t>deadlines</w:t>
      </w:r>
      <w:proofErr w:type="spellEnd"/>
      <w:r>
        <w:rPr>
          <w:sz w:val="22"/>
          <w:szCs w:val="22"/>
          <w:lang w:val="es-ES"/>
        </w:rPr>
        <w:t xml:space="preserve"> set </w:t>
      </w:r>
      <w:proofErr w:type="spellStart"/>
      <w:r>
        <w:rPr>
          <w:sz w:val="22"/>
          <w:szCs w:val="22"/>
          <w:lang w:val="es-ES"/>
        </w:rPr>
        <w:t>for</w:t>
      </w:r>
      <w:proofErr w:type="spellEnd"/>
      <w:r>
        <w:rPr>
          <w:sz w:val="22"/>
          <w:szCs w:val="22"/>
          <w:lang w:val="es-ES"/>
        </w:rPr>
        <w:t xml:space="preserve"> </w:t>
      </w:r>
      <w:proofErr w:type="spellStart"/>
      <w:r>
        <w:rPr>
          <w:sz w:val="22"/>
          <w:szCs w:val="22"/>
          <w:lang w:val="es-ES"/>
        </w:rPr>
        <w:t>post-qualification</w:t>
      </w:r>
      <w:proofErr w:type="spellEnd"/>
      <w:r>
        <w:rPr>
          <w:sz w:val="22"/>
          <w:szCs w:val="22"/>
          <w:lang w:val="es-ES"/>
        </w:rPr>
        <w:t xml:space="preserve"> and meter </w:t>
      </w:r>
      <w:proofErr w:type="spellStart"/>
      <w:r>
        <w:rPr>
          <w:sz w:val="22"/>
          <w:szCs w:val="22"/>
          <w:lang w:val="es-ES"/>
        </w:rPr>
        <w:t>acceptance</w:t>
      </w:r>
      <w:proofErr w:type="spellEnd"/>
      <w:r>
        <w:rPr>
          <w:sz w:val="22"/>
          <w:szCs w:val="22"/>
          <w:lang w:val="es-ES"/>
        </w:rPr>
        <w:t xml:space="preserve"> </w:t>
      </w:r>
      <w:proofErr w:type="spellStart"/>
      <w:r>
        <w:rPr>
          <w:sz w:val="22"/>
          <w:szCs w:val="22"/>
          <w:lang w:val="es-ES"/>
        </w:rPr>
        <w:t>tests</w:t>
      </w:r>
      <w:proofErr w:type="spellEnd"/>
      <w:r>
        <w:rPr>
          <w:sz w:val="22"/>
          <w:szCs w:val="22"/>
          <w:lang w:val="es-ES"/>
        </w:rPr>
        <w:t>.</w:t>
      </w:r>
    </w:p>
    <w:p w14:paraId="41C51BBB" w14:textId="77777777" w:rsidR="00E255F4" w:rsidRDefault="00000000">
      <w:pPr>
        <w:pStyle w:val="Ttulo5"/>
        <w:ind w:left="567" w:hanging="567"/>
        <w:rPr>
          <w:rFonts w:ascii="Times New Roman" w:hAnsi="Times New Roman" w:cs="Times New Roman"/>
          <w:i w:val="0"/>
          <w:sz w:val="22"/>
          <w:szCs w:val="22"/>
          <w:lang w:val="es-ES"/>
        </w:rPr>
      </w:pPr>
      <w:proofErr w:type="spellStart"/>
      <w:r>
        <w:rPr>
          <w:rFonts w:ascii="Times New Roman" w:hAnsi="Times New Roman" w:cs="Times New Roman"/>
          <w:i w:val="0"/>
          <w:sz w:val="22"/>
          <w:szCs w:val="22"/>
          <w:lang w:val="es-ES"/>
        </w:rPr>
        <w:t>Procedures</w:t>
      </w:r>
      <w:proofErr w:type="spellEnd"/>
      <w:r>
        <w:rPr>
          <w:rFonts w:ascii="Times New Roman" w:hAnsi="Times New Roman" w:cs="Times New Roman"/>
          <w:i w:val="0"/>
          <w:sz w:val="22"/>
          <w:szCs w:val="22"/>
          <w:lang w:val="es-ES"/>
        </w:rPr>
        <w:t xml:space="preserve"> </w:t>
      </w:r>
      <w:proofErr w:type="spellStart"/>
      <w:r>
        <w:rPr>
          <w:rFonts w:ascii="Times New Roman" w:hAnsi="Times New Roman" w:cs="Times New Roman"/>
          <w:i w:val="0"/>
          <w:sz w:val="22"/>
          <w:szCs w:val="22"/>
          <w:lang w:val="es-ES"/>
        </w:rPr>
        <w:t>for</w:t>
      </w:r>
      <w:proofErr w:type="spellEnd"/>
      <w:r>
        <w:rPr>
          <w:rFonts w:ascii="Times New Roman" w:hAnsi="Times New Roman" w:cs="Times New Roman"/>
          <w:i w:val="0"/>
          <w:sz w:val="22"/>
          <w:szCs w:val="22"/>
          <w:lang w:val="es-ES"/>
        </w:rPr>
        <w:t xml:space="preserve"> </w:t>
      </w:r>
      <w:proofErr w:type="spellStart"/>
      <w:r>
        <w:rPr>
          <w:rFonts w:ascii="Times New Roman" w:hAnsi="Times New Roman" w:cs="Times New Roman"/>
          <w:i w:val="0"/>
          <w:sz w:val="22"/>
          <w:szCs w:val="22"/>
          <w:lang w:val="es-ES"/>
        </w:rPr>
        <w:t>the</w:t>
      </w:r>
      <w:proofErr w:type="spellEnd"/>
      <w:r>
        <w:rPr>
          <w:rFonts w:ascii="Times New Roman" w:hAnsi="Times New Roman" w:cs="Times New Roman"/>
          <w:i w:val="0"/>
          <w:sz w:val="22"/>
          <w:szCs w:val="22"/>
          <w:lang w:val="es-ES"/>
        </w:rPr>
        <w:t xml:space="preserve"> </w:t>
      </w:r>
      <w:proofErr w:type="spellStart"/>
      <w:r>
        <w:rPr>
          <w:rFonts w:ascii="Times New Roman" w:hAnsi="Times New Roman" w:cs="Times New Roman"/>
          <w:i w:val="0"/>
          <w:sz w:val="22"/>
          <w:szCs w:val="22"/>
          <w:lang w:val="es-ES"/>
        </w:rPr>
        <w:t>tests</w:t>
      </w:r>
      <w:proofErr w:type="spellEnd"/>
      <w:r>
        <w:rPr>
          <w:rFonts w:ascii="Times New Roman" w:hAnsi="Times New Roman" w:cs="Times New Roman"/>
          <w:i w:val="0"/>
          <w:sz w:val="22"/>
          <w:szCs w:val="22"/>
          <w:lang w:val="es-ES"/>
        </w:rPr>
        <w:t xml:space="preserve"> </w:t>
      </w:r>
      <w:proofErr w:type="spellStart"/>
      <w:r>
        <w:rPr>
          <w:rFonts w:ascii="Times New Roman" w:hAnsi="Times New Roman" w:cs="Times New Roman"/>
          <w:i w:val="0"/>
          <w:sz w:val="22"/>
          <w:szCs w:val="22"/>
          <w:lang w:val="es-ES"/>
        </w:rPr>
        <w:t>to</w:t>
      </w:r>
      <w:proofErr w:type="spellEnd"/>
      <w:r>
        <w:rPr>
          <w:rFonts w:ascii="Times New Roman" w:hAnsi="Times New Roman" w:cs="Times New Roman"/>
          <w:i w:val="0"/>
          <w:sz w:val="22"/>
          <w:szCs w:val="22"/>
          <w:lang w:val="es-ES"/>
        </w:rPr>
        <w:t xml:space="preserve"> be </w:t>
      </w:r>
      <w:proofErr w:type="spellStart"/>
      <w:r>
        <w:rPr>
          <w:rFonts w:ascii="Times New Roman" w:hAnsi="Times New Roman" w:cs="Times New Roman"/>
          <w:i w:val="0"/>
          <w:sz w:val="22"/>
          <w:szCs w:val="22"/>
          <w:lang w:val="es-ES"/>
        </w:rPr>
        <w:t>performed</w:t>
      </w:r>
      <w:proofErr w:type="spellEnd"/>
    </w:p>
    <w:p w14:paraId="41C5B4FE" w14:textId="77777777" w:rsidR="00E255F4" w:rsidRDefault="00000000">
      <w:pPr>
        <w:numPr>
          <w:ilvl w:val="2"/>
          <w:numId w:val="16"/>
        </w:numPr>
        <w:spacing w:before="240" w:after="120"/>
        <w:rPr>
          <w:b/>
          <w:sz w:val="22"/>
          <w:szCs w:val="22"/>
        </w:rPr>
      </w:pPr>
      <w:r>
        <w:rPr>
          <w:b/>
          <w:sz w:val="22"/>
          <w:szCs w:val="22"/>
        </w:rPr>
        <w:t>Leak test</w:t>
      </w:r>
    </w:p>
    <w:p w14:paraId="58BD48DE" w14:textId="77777777" w:rsidR="00E255F4" w:rsidRDefault="00000000">
      <w:pPr>
        <w:pStyle w:val="Prrafodelista"/>
        <w:tabs>
          <w:tab w:val="left" w:pos="993"/>
        </w:tabs>
        <w:spacing w:after="120"/>
        <w:ind w:left="851" w:hanging="851"/>
        <w:jc w:val="both"/>
        <w:rPr>
          <w:sz w:val="22"/>
          <w:szCs w:val="22"/>
          <w:lang w:val="es-ES"/>
        </w:rPr>
      </w:pPr>
      <w:r>
        <w:rPr>
          <w:spacing w:val="-3"/>
          <w:sz w:val="22"/>
          <w:szCs w:val="22"/>
          <w:lang w:val="es-ES"/>
        </w:rPr>
        <w:t xml:space="preserve">14.3.1.1 The </w:t>
      </w:r>
      <w:proofErr w:type="spellStart"/>
      <w:r>
        <w:rPr>
          <w:spacing w:val="-3"/>
          <w:sz w:val="22"/>
          <w:szCs w:val="22"/>
          <w:lang w:val="es-ES"/>
        </w:rPr>
        <w:t>tightness</w:t>
      </w:r>
      <w:proofErr w:type="spellEnd"/>
      <w:r>
        <w:rPr>
          <w:spacing w:val="-3"/>
          <w:sz w:val="22"/>
          <w:szCs w:val="22"/>
          <w:lang w:val="es-ES"/>
        </w:rPr>
        <w:t xml:space="preserve"> </w:t>
      </w:r>
      <w:proofErr w:type="spellStart"/>
      <w:r>
        <w:rPr>
          <w:spacing w:val="-3"/>
          <w:sz w:val="22"/>
          <w:szCs w:val="22"/>
          <w:lang w:val="es-ES"/>
        </w:rPr>
        <w:t>is</w:t>
      </w:r>
      <w:proofErr w:type="spellEnd"/>
      <w:r>
        <w:rPr>
          <w:spacing w:val="-3"/>
          <w:sz w:val="22"/>
          <w:szCs w:val="22"/>
          <w:lang w:val="es-ES"/>
        </w:rPr>
        <w:t xml:space="preserve"> </w:t>
      </w:r>
      <w:proofErr w:type="spellStart"/>
      <w:r>
        <w:rPr>
          <w:spacing w:val="-3"/>
          <w:sz w:val="22"/>
          <w:szCs w:val="22"/>
          <w:lang w:val="es-ES"/>
        </w:rPr>
        <w:t>checked</w:t>
      </w:r>
      <w:proofErr w:type="spellEnd"/>
      <w:r>
        <w:rPr>
          <w:spacing w:val="-3"/>
          <w:sz w:val="22"/>
          <w:szCs w:val="22"/>
          <w:lang w:val="es-ES"/>
        </w:rPr>
        <w:t xml:space="preserve"> </w:t>
      </w:r>
      <w:proofErr w:type="spellStart"/>
      <w:r>
        <w:rPr>
          <w:spacing w:val="-3"/>
          <w:sz w:val="22"/>
          <w:szCs w:val="22"/>
          <w:lang w:val="es-ES"/>
        </w:rPr>
        <w:t>by</w:t>
      </w:r>
      <w:proofErr w:type="spellEnd"/>
      <w:r>
        <w:rPr>
          <w:spacing w:val="-3"/>
          <w:sz w:val="22"/>
          <w:szCs w:val="22"/>
          <w:lang w:val="es-ES"/>
        </w:rPr>
        <w:t xml:space="preserve"> </w:t>
      </w:r>
      <w:proofErr w:type="spellStart"/>
      <w:r>
        <w:rPr>
          <w:spacing w:val="-3"/>
          <w:sz w:val="22"/>
          <w:szCs w:val="22"/>
          <w:lang w:val="es-ES"/>
        </w:rPr>
        <w:t>applying</w:t>
      </w:r>
      <w:proofErr w:type="spellEnd"/>
      <w:r>
        <w:rPr>
          <w:spacing w:val="-3"/>
          <w:sz w:val="22"/>
          <w:szCs w:val="22"/>
          <w:lang w:val="es-ES"/>
        </w:rPr>
        <w:t xml:space="preserve"> </w:t>
      </w:r>
      <w:proofErr w:type="spellStart"/>
      <w:r>
        <w:rPr>
          <w:spacing w:val="-3"/>
          <w:sz w:val="22"/>
          <w:szCs w:val="22"/>
          <w:lang w:val="es-ES"/>
        </w:rPr>
        <w:t>hydrostatic</w:t>
      </w:r>
      <w:proofErr w:type="spellEnd"/>
      <w:r>
        <w:rPr>
          <w:spacing w:val="-3"/>
          <w:sz w:val="22"/>
          <w:szCs w:val="22"/>
          <w:lang w:val="es-ES"/>
        </w:rPr>
        <w:t xml:space="preserve"> </w:t>
      </w:r>
      <w:proofErr w:type="spellStart"/>
      <w:r>
        <w:rPr>
          <w:spacing w:val="-3"/>
          <w:sz w:val="22"/>
          <w:szCs w:val="22"/>
          <w:lang w:val="es-ES"/>
        </w:rPr>
        <w:t>pressure</w:t>
      </w:r>
      <w:proofErr w:type="spellEnd"/>
      <w:r>
        <w:rPr>
          <w:spacing w:val="-3"/>
          <w:sz w:val="22"/>
          <w:szCs w:val="22"/>
          <w:lang w:val="es-ES"/>
        </w:rPr>
        <w:t xml:space="preserve"> </w:t>
      </w:r>
      <w:proofErr w:type="spellStart"/>
      <w:r>
        <w:rPr>
          <w:spacing w:val="-3"/>
          <w:sz w:val="22"/>
          <w:szCs w:val="22"/>
          <w:lang w:val="es-ES"/>
        </w:rPr>
        <w:t>to</w:t>
      </w:r>
      <w:proofErr w:type="spellEnd"/>
      <w:r>
        <w:rPr>
          <w:spacing w:val="-3"/>
          <w:sz w:val="22"/>
          <w:szCs w:val="22"/>
          <w:lang w:val="es-ES"/>
        </w:rPr>
        <w:t xml:space="preserve"> </w:t>
      </w:r>
      <w:proofErr w:type="spellStart"/>
      <w:r>
        <w:rPr>
          <w:spacing w:val="-3"/>
          <w:sz w:val="22"/>
          <w:szCs w:val="22"/>
          <w:lang w:val="es-ES"/>
        </w:rPr>
        <w:t>the</w:t>
      </w:r>
      <w:proofErr w:type="spellEnd"/>
      <w:r>
        <w:rPr>
          <w:spacing w:val="-3"/>
          <w:sz w:val="22"/>
          <w:szCs w:val="22"/>
          <w:lang w:val="es-ES"/>
        </w:rPr>
        <w:t xml:space="preserve"> </w:t>
      </w:r>
      <w:proofErr w:type="spellStart"/>
      <w:r>
        <w:rPr>
          <w:spacing w:val="-3"/>
          <w:sz w:val="22"/>
          <w:szCs w:val="22"/>
          <w:lang w:val="es-ES"/>
        </w:rPr>
        <w:t>meters</w:t>
      </w:r>
      <w:proofErr w:type="spellEnd"/>
      <w:r>
        <w:rPr>
          <w:spacing w:val="-3"/>
          <w:sz w:val="22"/>
          <w:szCs w:val="22"/>
          <w:lang w:val="es-ES"/>
        </w:rPr>
        <w:tab/>
      </w:r>
      <w:proofErr w:type="spellStart"/>
      <w:r>
        <w:rPr>
          <w:sz w:val="22"/>
          <w:szCs w:val="22"/>
          <w:lang w:val="es-ES"/>
        </w:rPr>
        <w:t>of</w:t>
      </w:r>
      <w:proofErr w:type="spellEnd"/>
      <w:r>
        <w:rPr>
          <w:sz w:val="22"/>
          <w:szCs w:val="22"/>
          <w:lang w:val="es-ES"/>
        </w:rPr>
        <w:t xml:space="preserve"> 16 (</w:t>
      </w:r>
      <w:proofErr w:type="spellStart"/>
      <w:r>
        <w:rPr>
          <w:sz w:val="22"/>
          <w:szCs w:val="22"/>
          <w:lang w:val="es-ES"/>
        </w:rPr>
        <w:t>sixteen</w:t>
      </w:r>
      <w:proofErr w:type="spellEnd"/>
      <w:r>
        <w:rPr>
          <w:sz w:val="22"/>
          <w:szCs w:val="22"/>
          <w:lang w:val="es-ES"/>
        </w:rPr>
        <w:t xml:space="preserve">) bar, </w:t>
      </w:r>
      <w:proofErr w:type="spellStart"/>
      <w:r>
        <w:rPr>
          <w:sz w:val="22"/>
          <w:szCs w:val="22"/>
          <w:lang w:val="es-ES"/>
        </w:rPr>
        <w:t>applied</w:t>
      </w:r>
      <w:proofErr w:type="spellEnd"/>
      <w:r>
        <w:rPr>
          <w:sz w:val="22"/>
          <w:szCs w:val="22"/>
          <w:lang w:val="es-ES"/>
        </w:rPr>
        <w:t xml:space="preserve"> </w:t>
      </w:r>
      <w:proofErr w:type="spellStart"/>
      <w:r>
        <w:rPr>
          <w:sz w:val="22"/>
          <w:szCs w:val="22"/>
          <w:lang w:val="es-ES"/>
        </w:rPr>
        <w:t>for</w:t>
      </w:r>
      <w:proofErr w:type="spellEnd"/>
      <w:r>
        <w:rPr>
          <w:sz w:val="22"/>
          <w:szCs w:val="22"/>
          <w:lang w:val="es-ES"/>
        </w:rPr>
        <w:t xml:space="preserve"> a time </w:t>
      </w:r>
      <w:proofErr w:type="spellStart"/>
      <w:r>
        <w:rPr>
          <w:sz w:val="22"/>
          <w:szCs w:val="22"/>
          <w:lang w:val="es-ES"/>
        </w:rPr>
        <w:t>of</w:t>
      </w:r>
      <w:proofErr w:type="spellEnd"/>
      <w:r>
        <w:rPr>
          <w:sz w:val="22"/>
          <w:szCs w:val="22"/>
          <w:lang w:val="es-ES"/>
        </w:rPr>
        <w:t xml:space="preserve"> </w:t>
      </w:r>
      <w:proofErr w:type="spellStart"/>
      <w:r>
        <w:rPr>
          <w:sz w:val="22"/>
          <w:szCs w:val="22"/>
          <w:lang w:val="es-ES"/>
        </w:rPr>
        <w:t>not</w:t>
      </w:r>
      <w:proofErr w:type="spellEnd"/>
      <w:r>
        <w:rPr>
          <w:sz w:val="22"/>
          <w:szCs w:val="22"/>
          <w:lang w:val="es-ES"/>
        </w:rPr>
        <w:t xml:space="preserve"> </w:t>
      </w:r>
      <w:proofErr w:type="spellStart"/>
      <w:r>
        <w:rPr>
          <w:sz w:val="22"/>
          <w:szCs w:val="22"/>
          <w:lang w:val="es-ES"/>
        </w:rPr>
        <w:t>less</w:t>
      </w:r>
      <w:proofErr w:type="spellEnd"/>
      <w:r>
        <w:rPr>
          <w:sz w:val="22"/>
          <w:szCs w:val="22"/>
          <w:lang w:val="es-ES"/>
        </w:rPr>
        <w:t xml:space="preserve"> </w:t>
      </w:r>
      <w:proofErr w:type="spellStart"/>
      <w:r>
        <w:rPr>
          <w:sz w:val="22"/>
          <w:szCs w:val="22"/>
          <w:lang w:val="es-ES"/>
        </w:rPr>
        <w:t>than</w:t>
      </w:r>
      <w:proofErr w:type="spellEnd"/>
      <w:r>
        <w:rPr>
          <w:sz w:val="22"/>
          <w:szCs w:val="22"/>
          <w:lang w:val="es-ES"/>
        </w:rPr>
        <w:t xml:space="preserve"> 15 (</w:t>
      </w:r>
      <w:proofErr w:type="spellStart"/>
      <w:r>
        <w:rPr>
          <w:sz w:val="22"/>
          <w:szCs w:val="22"/>
          <w:lang w:val="es-ES"/>
        </w:rPr>
        <w:t>fifteen</w:t>
      </w:r>
      <w:proofErr w:type="spellEnd"/>
      <w:r>
        <w:rPr>
          <w:sz w:val="22"/>
          <w:szCs w:val="22"/>
          <w:lang w:val="es-ES"/>
        </w:rPr>
        <w:t xml:space="preserve">) minutes and a </w:t>
      </w:r>
      <w:proofErr w:type="spellStart"/>
      <w:r>
        <w:rPr>
          <w:sz w:val="22"/>
          <w:szCs w:val="22"/>
          <w:lang w:val="es-ES"/>
        </w:rPr>
        <w:t>pressure</w:t>
      </w:r>
      <w:proofErr w:type="spellEnd"/>
      <w:r>
        <w:rPr>
          <w:sz w:val="22"/>
          <w:szCs w:val="22"/>
          <w:lang w:val="es-ES"/>
        </w:rPr>
        <w:t xml:space="preserve"> </w:t>
      </w:r>
      <w:proofErr w:type="spellStart"/>
      <w:r>
        <w:rPr>
          <w:sz w:val="22"/>
          <w:szCs w:val="22"/>
          <w:lang w:val="es-ES"/>
        </w:rPr>
        <w:t>of</w:t>
      </w:r>
      <w:proofErr w:type="spellEnd"/>
      <w:r>
        <w:rPr>
          <w:sz w:val="22"/>
          <w:szCs w:val="22"/>
          <w:lang w:val="es-ES"/>
        </w:rPr>
        <w:t xml:space="preserve"> 20 (</w:t>
      </w:r>
      <w:proofErr w:type="spellStart"/>
      <w:r>
        <w:rPr>
          <w:sz w:val="22"/>
          <w:szCs w:val="22"/>
          <w:lang w:val="es-ES"/>
        </w:rPr>
        <w:t>twenty</w:t>
      </w:r>
      <w:proofErr w:type="spellEnd"/>
      <w:r>
        <w:rPr>
          <w:sz w:val="22"/>
          <w:szCs w:val="22"/>
          <w:lang w:val="es-ES"/>
        </w:rPr>
        <w:t xml:space="preserve">) bar </w:t>
      </w:r>
      <w:proofErr w:type="spellStart"/>
      <w:r>
        <w:rPr>
          <w:sz w:val="22"/>
          <w:szCs w:val="22"/>
          <w:lang w:val="es-ES"/>
        </w:rPr>
        <w:t>applied</w:t>
      </w:r>
      <w:proofErr w:type="spellEnd"/>
      <w:r>
        <w:rPr>
          <w:sz w:val="22"/>
          <w:szCs w:val="22"/>
          <w:lang w:val="es-ES"/>
        </w:rPr>
        <w:t xml:space="preserve"> </w:t>
      </w:r>
      <w:proofErr w:type="spellStart"/>
      <w:r>
        <w:rPr>
          <w:sz w:val="22"/>
          <w:szCs w:val="22"/>
          <w:lang w:val="es-ES"/>
        </w:rPr>
        <w:t>for</w:t>
      </w:r>
      <w:proofErr w:type="spellEnd"/>
      <w:r>
        <w:rPr>
          <w:sz w:val="22"/>
          <w:szCs w:val="22"/>
          <w:lang w:val="es-ES"/>
        </w:rPr>
        <w:t xml:space="preserve"> at </w:t>
      </w:r>
      <w:proofErr w:type="spellStart"/>
      <w:r>
        <w:rPr>
          <w:sz w:val="22"/>
          <w:szCs w:val="22"/>
          <w:lang w:val="es-ES"/>
        </w:rPr>
        <w:t>least</w:t>
      </w:r>
      <w:proofErr w:type="spellEnd"/>
      <w:r>
        <w:rPr>
          <w:sz w:val="22"/>
          <w:szCs w:val="22"/>
          <w:lang w:val="es-ES"/>
        </w:rPr>
        <w:t xml:space="preserve"> 1 minute, </w:t>
      </w:r>
      <w:proofErr w:type="spellStart"/>
      <w:r>
        <w:rPr>
          <w:sz w:val="22"/>
          <w:szCs w:val="22"/>
          <w:lang w:val="es-ES"/>
        </w:rPr>
        <w:t>visually</w:t>
      </w:r>
      <w:proofErr w:type="spellEnd"/>
      <w:r>
        <w:rPr>
          <w:sz w:val="22"/>
          <w:szCs w:val="22"/>
          <w:lang w:val="es-ES"/>
        </w:rPr>
        <w:t xml:space="preserve"> </w:t>
      </w:r>
      <w:proofErr w:type="spellStart"/>
      <w:r>
        <w:rPr>
          <w:sz w:val="22"/>
          <w:szCs w:val="22"/>
          <w:lang w:val="es-ES"/>
        </w:rPr>
        <w:t>verifying</w:t>
      </w:r>
      <w:proofErr w:type="spellEnd"/>
      <w:r>
        <w:rPr>
          <w:sz w:val="22"/>
          <w:szCs w:val="22"/>
          <w:lang w:val="es-ES"/>
        </w:rPr>
        <w:t xml:space="preserve"> </w:t>
      </w:r>
      <w:proofErr w:type="spellStart"/>
      <w:r>
        <w:rPr>
          <w:sz w:val="22"/>
          <w:szCs w:val="22"/>
          <w:lang w:val="es-ES"/>
        </w:rPr>
        <w:t>that</w:t>
      </w:r>
      <w:proofErr w:type="spellEnd"/>
      <w:r>
        <w:rPr>
          <w:sz w:val="22"/>
          <w:szCs w:val="22"/>
          <w:lang w:val="es-ES"/>
        </w:rPr>
        <w:t xml:space="preserve"> </w:t>
      </w:r>
      <w:proofErr w:type="spellStart"/>
      <w:r>
        <w:rPr>
          <w:sz w:val="22"/>
          <w:szCs w:val="22"/>
          <w:lang w:val="es-ES"/>
        </w:rPr>
        <w:t>there</w:t>
      </w:r>
      <w:proofErr w:type="spellEnd"/>
      <w:r>
        <w:rPr>
          <w:sz w:val="22"/>
          <w:szCs w:val="22"/>
          <w:lang w:val="es-ES"/>
        </w:rPr>
        <w:t xml:space="preserve"> are no </w:t>
      </w:r>
      <w:proofErr w:type="spellStart"/>
      <w:r>
        <w:rPr>
          <w:sz w:val="22"/>
          <w:szCs w:val="22"/>
          <w:lang w:val="es-ES"/>
        </w:rPr>
        <w:t>leaks</w:t>
      </w:r>
      <w:proofErr w:type="spellEnd"/>
      <w:r>
        <w:rPr>
          <w:sz w:val="22"/>
          <w:szCs w:val="22"/>
          <w:lang w:val="es-ES"/>
        </w:rPr>
        <w:t xml:space="preserve"> </w:t>
      </w:r>
      <w:proofErr w:type="spellStart"/>
      <w:r>
        <w:rPr>
          <w:sz w:val="22"/>
          <w:szCs w:val="22"/>
          <w:lang w:val="es-ES"/>
        </w:rPr>
        <w:t>or</w:t>
      </w:r>
      <w:proofErr w:type="spellEnd"/>
      <w:r>
        <w:rPr>
          <w:sz w:val="22"/>
          <w:szCs w:val="22"/>
          <w:lang w:val="es-ES"/>
        </w:rPr>
        <w:t xml:space="preserve"> </w:t>
      </w:r>
      <w:proofErr w:type="spellStart"/>
      <w:r>
        <w:rPr>
          <w:sz w:val="22"/>
          <w:szCs w:val="22"/>
          <w:lang w:val="es-ES"/>
        </w:rPr>
        <w:t>exudation</w:t>
      </w:r>
      <w:proofErr w:type="spellEnd"/>
      <w:r>
        <w:rPr>
          <w:sz w:val="22"/>
          <w:szCs w:val="22"/>
          <w:lang w:val="es-ES"/>
        </w:rPr>
        <w:t xml:space="preserve"> in </w:t>
      </w:r>
      <w:proofErr w:type="spellStart"/>
      <w:r>
        <w:rPr>
          <w:sz w:val="22"/>
          <w:szCs w:val="22"/>
          <w:lang w:val="es-ES"/>
        </w:rPr>
        <w:t>any</w:t>
      </w:r>
      <w:proofErr w:type="spellEnd"/>
      <w:r>
        <w:rPr>
          <w:sz w:val="22"/>
          <w:szCs w:val="22"/>
          <w:lang w:val="es-ES"/>
        </w:rPr>
        <w:t xml:space="preserve"> </w:t>
      </w:r>
      <w:proofErr w:type="spellStart"/>
      <w:r>
        <w:rPr>
          <w:sz w:val="22"/>
          <w:szCs w:val="22"/>
          <w:lang w:val="es-ES"/>
        </w:rPr>
        <w:t>of</w:t>
      </w:r>
      <w:proofErr w:type="spellEnd"/>
      <w:r>
        <w:rPr>
          <w:sz w:val="22"/>
          <w:szCs w:val="22"/>
          <w:lang w:val="es-ES"/>
        </w:rPr>
        <w:t xml:space="preserve"> </w:t>
      </w:r>
      <w:proofErr w:type="spellStart"/>
      <w:r>
        <w:rPr>
          <w:sz w:val="22"/>
          <w:szCs w:val="22"/>
          <w:lang w:val="es-ES"/>
        </w:rPr>
        <w:t>its</w:t>
      </w:r>
      <w:proofErr w:type="spellEnd"/>
      <w:r>
        <w:rPr>
          <w:sz w:val="22"/>
          <w:szCs w:val="22"/>
          <w:lang w:val="es-ES"/>
        </w:rPr>
        <w:t xml:space="preserve"> </w:t>
      </w:r>
      <w:proofErr w:type="spellStart"/>
      <w:r>
        <w:rPr>
          <w:sz w:val="22"/>
          <w:szCs w:val="22"/>
          <w:lang w:val="es-ES"/>
        </w:rPr>
        <w:t>parts</w:t>
      </w:r>
      <w:proofErr w:type="spellEnd"/>
      <w:r>
        <w:rPr>
          <w:sz w:val="22"/>
          <w:szCs w:val="22"/>
          <w:lang w:val="es-ES"/>
        </w:rPr>
        <w:t xml:space="preserve"> and </w:t>
      </w:r>
      <w:proofErr w:type="spellStart"/>
      <w:r>
        <w:rPr>
          <w:sz w:val="22"/>
          <w:szCs w:val="22"/>
          <w:lang w:val="es-ES"/>
        </w:rPr>
        <w:t>without</w:t>
      </w:r>
      <w:proofErr w:type="spellEnd"/>
      <w:r>
        <w:rPr>
          <w:sz w:val="22"/>
          <w:szCs w:val="22"/>
          <w:lang w:val="es-ES"/>
        </w:rPr>
        <w:t xml:space="preserve"> </w:t>
      </w:r>
      <w:proofErr w:type="spellStart"/>
      <w:r>
        <w:rPr>
          <w:sz w:val="22"/>
          <w:szCs w:val="22"/>
          <w:lang w:val="es-ES"/>
        </w:rPr>
        <w:t>diminishing</w:t>
      </w:r>
      <w:proofErr w:type="spellEnd"/>
      <w:r>
        <w:rPr>
          <w:sz w:val="22"/>
          <w:szCs w:val="22"/>
          <w:lang w:val="es-ES"/>
        </w:rPr>
        <w:t xml:space="preserve"> </w:t>
      </w:r>
      <w:proofErr w:type="spellStart"/>
      <w:r>
        <w:rPr>
          <w:sz w:val="22"/>
          <w:szCs w:val="22"/>
          <w:lang w:val="es-ES"/>
        </w:rPr>
        <w:t>its</w:t>
      </w:r>
      <w:proofErr w:type="spellEnd"/>
      <w:r>
        <w:rPr>
          <w:sz w:val="22"/>
          <w:szCs w:val="22"/>
          <w:lang w:val="es-ES"/>
        </w:rPr>
        <w:t xml:space="preserve"> </w:t>
      </w:r>
      <w:proofErr w:type="spellStart"/>
      <w:r>
        <w:rPr>
          <w:sz w:val="22"/>
          <w:szCs w:val="22"/>
          <w:lang w:val="es-ES"/>
        </w:rPr>
        <w:t>operating</w:t>
      </w:r>
      <w:proofErr w:type="spellEnd"/>
      <w:r>
        <w:rPr>
          <w:sz w:val="22"/>
          <w:szCs w:val="22"/>
          <w:lang w:val="es-ES"/>
        </w:rPr>
        <w:t xml:space="preserve"> </w:t>
      </w:r>
      <w:proofErr w:type="spellStart"/>
      <w:r>
        <w:rPr>
          <w:sz w:val="22"/>
          <w:szCs w:val="22"/>
          <w:lang w:val="es-ES"/>
        </w:rPr>
        <w:t>characteristics</w:t>
      </w:r>
      <w:proofErr w:type="spellEnd"/>
      <w:r>
        <w:rPr>
          <w:sz w:val="22"/>
          <w:szCs w:val="22"/>
          <w:lang w:val="es-ES"/>
        </w:rPr>
        <w:t xml:space="preserve"> (Art. 7.3.5 </w:t>
      </w:r>
      <w:proofErr w:type="spellStart"/>
      <w:r>
        <w:rPr>
          <w:sz w:val="22"/>
          <w:szCs w:val="22"/>
          <w:lang w:val="es-ES"/>
        </w:rPr>
        <w:t>of</w:t>
      </w:r>
      <w:proofErr w:type="spellEnd"/>
      <w:r>
        <w:rPr>
          <w:sz w:val="22"/>
          <w:szCs w:val="22"/>
          <w:lang w:val="es-ES"/>
        </w:rPr>
        <w:t xml:space="preserve"> </w:t>
      </w:r>
      <w:proofErr w:type="spellStart"/>
      <w:r>
        <w:rPr>
          <w:sz w:val="22"/>
          <w:szCs w:val="22"/>
          <w:lang w:val="es-ES"/>
        </w:rPr>
        <w:t>Annex</w:t>
      </w:r>
      <w:proofErr w:type="spellEnd"/>
      <w:r>
        <w:rPr>
          <w:sz w:val="22"/>
          <w:szCs w:val="22"/>
          <w:lang w:val="es-ES"/>
        </w:rPr>
        <w:t xml:space="preserve"> VII).</w:t>
      </w:r>
    </w:p>
    <w:p w14:paraId="70A14942" w14:textId="77777777" w:rsidR="00E255F4" w:rsidRDefault="00000000">
      <w:pPr>
        <w:pStyle w:val="Prrafodelista"/>
        <w:tabs>
          <w:tab w:val="left" w:pos="993"/>
        </w:tabs>
        <w:spacing w:after="120"/>
        <w:ind w:left="851" w:hanging="851"/>
        <w:jc w:val="both"/>
      </w:pPr>
      <w:r>
        <w:rPr>
          <w:spacing w:val="-3"/>
          <w:sz w:val="22"/>
          <w:szCs w:val="22"/>
          <w:lang w:val="es-ES"/>
        </w:rPr>
        <w:t xml:space="preserve"> 14.3.1.2The </w:t>
      </w:r>
      <w:proofErr w:type="spellStart"/>
      <w:r>
        <w:rPr>
          <w:spacing w:val="-3"/>
          <w:sz w:val="22"/>
          <w:szCs w:val="22"/>
          <w:lang w:val="es-ES"/>
        </w:rPr>
        <w:t>equipment</w:t>
      </w:r>
      <w:proofErr w:type="spellEnd"/>
      <w:r>
        <w:rPr>
          <w:spacing w:val="-3"/>
          <w:sz w:val="22"/>
          <w:szCs w:val="22"/>
          <w:lang w:val="es-ES"/>
        </w:rPr>
        <w:t xml:space="preserve"> </w:t>
      </w:r>
      <w:proofErr w:type="spellStart"/>
      <w:r>
        <w:rPr>
          <w:spacing w:val="-3"/>
          <w:sz w:val="22"/>
          <w:szCs w:val="22"/>
          <w:lang w:val="es-ES"/>
        </w:rPr>
        <w:t>to</w:t>
      </w:r>
      <w:proofErr w:type="spellEnd"/>
      <w:r>
        <w:rPr>
          <w:spacing w:val="-3"/>
          <w:sz w:val="22"/>
          <w:szCs w:val="22"/>
          <w:lang w:val="es-ES"/>
        </w:rPr>
        <w:t xml:space="preserve"> be </w:t>
      </w:r>
      <w:proofErr w:type="spellStart"/>
      <w:r>
        <w:rPr>
          <w:spacing w:val="-3"/>
          <w:sz w:val="22"/>
          <w:szCs w:val="22"/>
          <w:lang w:val="es-ES"/>
        </w:rPr>
        <w:t>used</w:t>
      </w:r>
      <w:proofErr w:type="spellEnd"/>
      <w:r>
        <w:rPr>
          <w:spacing w:val="-3"/>
          <w:sz w:val="22"/>
          <w:szCs w:val="22"/>
          <w:lang w:val="es-ES"/>
        </w:rPr>
        <w:t xml:space="preserve"> in </w:t>
      </w:r>
      <w:proofErr w:type="spellStart"/>
      <w:r>
        <w:rPr>
          <w:spacing w:val="-3"/>
          <w:sz w:val="22"/>
          <w:szCs w:val="22"/>
          <w:lang w:val="es-ES"/>
        </w:rPr>
        <w:t>this</w:t>
      </w:r>
      <w:proofErr w:type="spellEnd"/>
      <w:r>
        <w:rPr>
          <w:spacing w:val="-3"/>
          <w:sz w:val="22"/>
          <w:szCs w:val="22"/>
          <w:lang w:val="es-ES"/>
        </w:rPr>
        <w:t xml:space="preserve"> test </w:t>
      </w:r>
      <w:proofErr w:type="spellStart"/>
      <w:r>
        <w:rPr>
          <w:spacing w:val="-3"/>
          <w:sz w:val="22"/>
          <w:szCs w:val="22"/>
          <w:lang w:val="es-ES"/>
        </w:rPr>
        <w:t>must</w:t>
      </w:r>
      <w:proofErr w:type="spellEnd"/>
      <w:r>
        <w:rPr>
          <w:spacing w:val="-3"/>
          <w:sz w:val="22"/>
          <w:szCs w:val="22"/>
          <w:lang w:val="es-ES"/>
        </w:rPr>
        <w:t xml:space="preserve"> be </w:t>
      </w:r>
      <w:proofErr w:type="spellStart"/>
      <w:r>
        <w:rPr>
          <w:spacing w:val="-3"/>
          <w:sz w:val="22"/>
          <w:szCs w:val="22"/>
          <w:lang w:val="es-ES"/>
        </w:rPr>
        <w:t>capable</w:t>
      </w:r>
      <w:proofErr w:type="spellEnd"/>
      <w:r>
        <w:rPr>
          <w:spacing w:val="-3"/>
          <w:sz w:val="22"/>
          <w:szCs w:val="22"/>
          <w:lang w:val="es-ES"/>
        </w:rPr>
        <w:t xml:space="preserve"> </w:t>
      </w:r>
      <w:proofErr w:type="spellStart"/>
      <w:r>
        <w:rPr>
          <w:spacing w:val="-3"/>
          <w:sz w:val="22"/>
          <w:szCs w:val="22"/>
          <w:lang w:val="es-ES"/>
        </w:rPr>
        <w:t>of</w:t>
      </w:r>
      <w:proofErr w:type="spellEnd"/>
      <w:r>
        <w:rPr>
          <w:spacing w:val="-3"/>
          <w:sz w:val="22"/>
          <w:szCs w:val="22"/>
          <w:lang w:val="es-ES"/>
        </w:rPr>
        <w:t xml:space="preserve"> </w:t>
      </w:r>
      <w:proofErr w:type="spellStart"/>
      <w:r>
        <w:rPr>
          <w:spacing w:val="-3"/>
          <w:sz w:val="22"/>
          <w:szCs w:val="22"/>
          <w:lang w:val="es-ES"/>
        </w:rPr>
        <w:t>reaching</w:t>
      </w:r>
      <w:proofErr w:type="spellEnd"/>
      <w:r>
        <w:rPr>
          <w:spacing w:val="-3"/>
          <w:sz w:val="22"/>
          <w:szCs w:val="22"/>
          <w:lang w:val="es-ES"/>
        </w:rPr>
        <w:t xml:space="preserve"> </w:t>
      </w:r>
      <w:proofErr w:type="spellStart"/>
      <w:r>
        <w:rPr>
          <w:spacing w:val="-3"/>
          <w:sz w:val="22"/>
          <w:szCs w:val="22"/>
          <w:lang w:val="es-ES"/>
        </w:rPr>
        <w:t>the</w:t>
      </w:r>
      <w:proofErr w:type="spellEnd"/>
      <w:r>
        <w:rPr>
          <w:spacing w:val="-3"/>
          <w:sz w:val="22"/>
          <w:szCs w:val="22"/>
          <w:lang w:val="es-ES"/>
        </w:rPr>
        <w:t xml:space="preserve"> test </w:t>
      </w:r>
      <w:proofErr w:type="spellStart"/>
      <w:r>
        <w:rPr>
          <w:spacing w:val="-3"/>
          <w:sz w:val="22"/>
          <w:szCs w:val="22"/>
          <w:lang w:val="es-ES"/>
        </w:rPr>
        <w:t>pressure</w:t>
      </w:r>
      <w:proofErr w:type="spellEnd"/>
      <w:r>
        <w:rPr>
          <w:spacing w:val="-3"/>
          <w:sz w:val="22"/>
          <w:szCs w:val="22"/>
          <w:lang w:val="es-ES"/>
        </w:rPr>
        <w:t xml:space="preserve"> plus 10% and </w:t>
      </w:r>
      <w:proofErr w:type="spellStart"/>
      <w:r>
        <w:rPr>
          <w:spacing w:val="-3"/>
          <w:sz w:val="22"/>
          <w:szCs w:val="22"/>
          <w:lang w:val="es-ES"/>
        </w:rPr>
        <w:t>the</w:t>
      </w:r>
      <w:proofErr w:type="spellEnd"/>
      <w:r>
        <w:rPr>
          <w:spacing w:val="-3"/>
          <w:sz w:val="22"/>
          <w:szCs w:val="22"/>
          <w:lang w:val="es-ES"/>
        </w:rPr>
        <w:t xml:space="preserve"> </w:t>
      </w:r>
      <w:proofErr w:type="spellStart"/>
      <w:r>
        <w:rPr>
          <w:spacing w:val="-3"/>
          <w:sz w:val="22"/>
          <w:szCs w:val="22"/>
          <w:lang w:val="es-ES"/>
        </w:rPr>
        <w:t>pressure</w:t>
      </w:r>
      <w:proofErr w:type="spellEnd"/>
      <w:r>
        <w:rPr>
          <w:spacing w:val="-3"/>
          <w:sz w:val="22"/>
          <w:szCs w:val="22"/>
          <w:lang w:val="es-ES"/>
        </w:rPr>
        <w:t xml:space="preserve"> gauge </w:t>
      </w:r>
      <w:proofErr w:type="spellStart"/>
      <w:r>
        <w:rPr>
          <w:spacing w:val="-3"/>
          <w:sz w:val="22"/>
          <w:szCs w:val="22"/>
          <w:lang w:val="es-ES"/>
        </w:rPr>
        <w:t>will</w:t>
      </w:r>
      <w:proofErr w:type="spellEnd"/>
      <w:r>
        <w:rPr>
          <w:spacing w:val="-3"/>
          <w:sz w:val="22"/>
          <w:szCs w:val="22"/>
          <w:lang w:val="es-ES"/>
        </w:rPr>
        <w:t xml:space="preserve"> </w:t>
      </w:r>
      <w:proofErr w:type="spellStart"/>
      <w:r>
        <w:rPr>
          <w:spacing w:val="-3"/>
          <w:sz w:val="22"/>
          <w:szCs w:val="22"/>
          <w:lang w:val="es-ES"/>
        </w:rPr>
        <w:t>have</w:t>
      </w:r>
      <w:proofErr w:type="spellEnd"/>
      <w:r>
        <w:rPr>
          <w:spacing w:val="-3"/>
          <w:sz w:val="22"/>
          <w:szCs w:val="22"/>
          <w:lang w:val="es-ES"/>
        </w:rPr>
        <w:t xml:space="preserve"> </w:t>
      </w:r>
      <w:proofErr w:type="gramStart"/>
      <w:r>
        <w:rPr>
          <w:spacing w:val="-3"/>
          <w:sz w:val="22"/>
          <w:szCs w:val="22"/>
          <w:lang w:val="es-ES"/>
        </w:rPr>
        <w:t>a full</w:t>
      </w:r>
      <w:proofErr w:type="gramEnd"/>
      <w:r>
        <w:rPr>
          <w:spacing w:val="-3"/>
          <w:sz w:val="22"/>
          <w:szCs w:val="22"/>
          <w:lang w:val="es-ES"/>
        </w:rPr>
        <w:t xml:space="preserve"> </w:t>
      </w:r>
      <w:proofErr w:type="spellStart"/>
      <w:r>
        <w:rPr>
          <w:spacing w:val="-3"/>
          <w:sz w:val="22"/>
          <w:szCs w:val="22"/>
          <w:lang w:val="es-ES"/>
        </w:rPr>
        <w:t>scale</w:t>
      </w:r>
      <w:proofErr w:type="spellEnd"/>
      <w:r>
        <w:rPr>
          <w:spacing w:val="-3"/>
          <w:sz w:val="22"/>
          <w:szCs w:val="22"/>
          <w:lang w:val="es-ES"/>
        </w:rPr>
        <w:t xml:space="preserve"> </w:t>
      </w:r>
      <w:proofErr w:type="spellStart"/>
      <w:r>
        <w:rPr>
          <w:spacing w:val="-3"/>
          <w:sz w:val="22"/>
          <w:szCs w:val="22"/>
          <w:lang w:val="es-ES"/>
        </w:rPr>
        <w:t>of</w:t>
      </w:r>
      <w:proofErr w:type="spellEnd"/>
      <w:r>
        <w:rPr>
          <w:spacing w:val="-3"/>
          <w:sz w:val="22"/>
          <w:szCs w:val="22"/>
          <w:lang w:val="es-ES"/>
        </w:rPr>
        <w:t xml:space="preserve"> </w:t>
      </w:r>
      <w:proofErr w:type="spellStart"/>
      <w:r>
        <w:rPr>
          <w:spacing w:val="-3"/>
          <w:sz w:val="22"/>
          <w:szCs w:val="22"/>
          <w:lang w:val="es-ES"/>
        </w:rPr>
        <w:t>approximately</w:t>
      </w:r>
      <w:proofErr w:type="spellEnd"/>
      <w:r>
        <w:rPr>
          <w:spacing w:val="-3"/>
          <w:sz w:val="22"/>
          <w:szCs w:val="22"/>
          <w:lang w:val="es-ES"/>
        </w:rPr>
        <w:t xml:space="preserve"> 30 (</w:t>
      </w:r>
      <w:proofErr w:type="spellStart"/>
      <w:r>
        <w:rPr>
          <w:spacing w:val="-3"/>
          <w:sz w:val="22"/>
          <w:szCs w:val="22"/>
          <w:lang w:val="es-ES"/>
        </w:rPr>
        <w:t>thirty</w:t>
      </w:r>
      <w:proofErr w:type="spellEnd"/>
      <w:r>
        <w:rPr>
          <w:spacing w:val="-3"/>
          <w:sz w:val="22"/>
          <w:szCs w:val="22"/>
          <w:lang w:val="es-ES"/>
        </w:rPr>
        <w:t xml:space="preserve">) bar, </w:t>
      </w:r>
      <w:proofErr w:type="spellStart"/>
      <w:r>
        <w:rPr>
          <w:spacing w:val="-3"/>
          <w:sz w:val="22"/>
          <w:szCs w:val="22"/>
          <w:lang w:val="es-ES"/>
        </w:rPr>
        <w:t>with</w:t>
      </w:r>
      <w:proofErr w:type="spellEnd"/>
      <w:r>
        <w:rPr>
          <w:spacing w:val="-3"/>
          <w:sz w:val="22"/>
          <w:szCs w:val="22"/>
          <w:lang w:val="es-ES"/>
        </w:rPr>
        <w:t xml:space="preserve"> a </w:t>
      </w:r>
      <w:proofErr w:type="spellStart"/>
      <w:r>
        <w:rPr>
          <w:spacing w:val="-3"/>
          <w:sz w:val="22"/>
          <w:szCs w:val="22"/>
          <w:lang w:val="es-ES"/>
        </w:rPr>
        <w:t>maximum</w:t>
      </w:r>
      <w:proofErr w:type="spellEnd"/>
      <w:r>
        <w:rPr>
          <w:spacing w:val="-3"/>
          <w:sz w:val="22"/>
          <w:szCs w:val="22"/>
          <w:lang w:val="es-ES"/>
        </w:rPr>
        <w:t xml:space="preserve"> </w:t>
      </w:r>
      <w:proofErr w:type="spellStart"/>
      <w:r>
        <w:rPr>
          <w:spacing w:val="-3"/>
          <w:sz w:val="22"/>
          <w:szCs w:val="22"/>
          <w:lang w:val="es-ES"/>
        </w:rPr>
        <w:t>permissible</w:t>
      </w:r>
      <w:proofErr w:type="spellEnd"/>
      <w:r>
        <w:rPr>
          <w:spacing w:val="-3"/>
          <w:sz w:val="22"/>
          <w:szCs w:val="22"/>
          <w:lang w:val="es-ES"/>
        </w:rPr>
        <w:t xml:space="preserve"> error </w:t>
      </w:r>
      <w:proofErr w:type="spellStart"/>
      <w:r>
        <w:rPr>
          <w:spacing w:val="-3"/>
          <w:sz w:val="22"/>
          <w:szCs w:val="22"/>
          <w:lang w:val="es-ES"/>
        </w:rPr>
        <w:t>of</w:t>
      </w:r>
      <w:proofErr w:type="spellEnd"/>
      <w:r>
        <w:rPr>
          <w:spacing w:val="-3"/>
          <w:sz w:val="22"/>
          <w:szCs w:val="22"/>
          <w:lang w:val="es-ES"/>
        </w:rPr>
        <w:t xml:space="preserve"> 2% </w:t>
      </w:r>
      <w:proofErr w:type="spellStart"/>
      <w:r>
        <w:rPr>
          <w:spacing w:val="-3"/>
          <w:sz w:val="22"/>
          <w:szCs w:val="22"/>
          <w:lang w:val="es-ES"/>
        </w:rPr>
        <w:t>of</w:t>
      </w:r>
      <w:proofErr w:type="spellEnd"/>
      <w:r>
        <w:rPr>
          <w:spacing w:val="-3"/>
          <w:sz w:val="22"/>
          <w:szCs w:val="22"/>
          <w:lang w:val="es-ES"/>
        </w:rPr>
        <w:t xml:space="preserve"> </w:t>
      </w:r>
      <w:proofErr w:type="spellStart"/>
      <w:r>
        <w:rPr>
          <w:spacing w:val="-3"/>
          <w:sz w:val="22"/>
          <w:szCs w:val="22"/>
          <w:lang w:val="es-ES"/>
        </w:rPr>
        <w:t>the</w:t>
      </w:r>
      <w:proofErr w:type="spellEnd"/>
      <w:r>
        <w:rPr>
          <w:spacing w:val="-3"/>
          <w:sz w:val="22"/>
          <w:szCs w:val="22"/>
          <w:lang w:val="es-ES"/>
        </w:rPr>
        <w:t xml:space="preserve"> </w:t>
      </w:r>
      <w:proofErr w:type="spellStart"/>
      <w:r>
        <w:rPr>
          <w:spacing w:val="-3"/>
          <w:sz w:val="22"/>
          <w:szCs w:val="22"/>
          <w:lang w:val="es-ES"/>
        </w:rPr>
        <w:t>indicated</w:t>
      </w:r>
      <w:proofErr w:type="spellEnd"/>
      <w:r>
        <w:rPr>
          <w:spacing w:val="-3"/>
          <w:sz w:val="22"/>
          <w:szCs w:val="22"/>
          <w:lang w:val="es-ES"/>
        </w:rPr>
        <w:t xml:space="preserve"> </w:t>
      </w:r>
      <w:proofErr w:type="spellStart"/>
      <w:r>
        <w:rPr>
          <w:spacing w:val="-3"/>
          <w:sz w:val="22"/>
          <w:szCs w:val="22"/>
          <w:lang w:val="es-ES"/>
        </w:rPr>
        <w:t>pressure</w:t>
      </w:r>
      <w:proofErr w:type="spellEnd"/>
      <w:r>
        <w:rPr>
          <w:spacing w:val="-3"/>
          <w:sz w:val="22"/>
          <w:szCs w:val="22"/>
          <w:lang w:val="es-ES"/>
        </w:rPr>
        <w:t>.</w:t>
      </w:r>
      <w:r>
        <w:rPr>
          <w:spacing w:val="-3"/>
          <w:sz w:val="22"/>
          <w:szCs w:val="22"/>
          <w:lang w:val="es-ES"/>
        </w:rPr>
        <w:tab/>
      </w:r>
    </w:p>
    <w:p w14:paraId="7684564B" w14:textId="77777777" w:rsidR="00E255F4" w:rsidRDefault="00000000">
      <w:pPr>
        <w:numPr>
          <w:ilvl w:val="2"/>
          <w:numId w:val="16"/>
        </w:numPr>
        <w:spacing w:before="240" w:after="120"/>
      </w:pPr>
      <w:proofErr w:type="spellStart"/>
      <w:r>
        <w:rPr>
          <w:b/>
          <w:sz w:val="22"/>
          <w:szCs w:val="22"/>
        </w:rPr>
        <w:t>Pressure</w:t>
      </w:r>
      <w:proofErr w:type="spellEnd"/>
      <w:r>
        <w:rPr>
          <w:b/>
          <w:sz w:val="22"/>
          <w:szCs w:val="22"/>
        </w:rPr>
        <w:t xml:space="preserve"> </w:t>
      </w:r>
      <w:proofErr w:type="spellStart"/>
      <w:r>
        <w:rPr>
          <w:b/>
          <w:sz w:val="22"/>
          <w:szCs w:val="22"/>
        </w:rPr>
        <w:t>loss</w:t>
      </w:r>
      <w:proofErr w:type="spellEnd"/>
      <w:r>
        <w:rPr>
          <w:b/>
          <w:sz w:val="22"/>
          <w:szCs w:val="22"/>
        </w:rPr>
        <w:t xml:space="preserve"> test</w:t>
      </w:r>
    </w:p>
    <w:p w14:paraId="4DEF7C0C" w14:textId="77777777" w:rsidR="00E255F4" w:rsidRDefault="00000000">
      <w:pPr>
        <w:pStyle w:val="Prrafodelista"/>
        <w:numPr>
          <w:ilvl w:val="3"/>
          <w:numId w:val="16"/>
        </w:numPr>
        <w:spacing w:after="120"/>
        <w:ind w:left="851" w:hanging="851"/>
        <w:jc w:val="both"/>
        <w:rPr>
          <w:color w:val="FF0000"/>
          <w:sz w:val="22"/>
          <w:szCs w:val="22"/>
          <w:lang w:val="es-ES"/>
        </w:rPr>
      </w:pPr>
      <w:proofErr w:type="spellStart"/>
      <w:r>
        <w:rPr>
          <w:spacing w:val="-3"/>
          <w:sz w:val="22"/>
          <w:szCs w:val="22"/>
          <w:lang w:val="es-ES"/>
        </w:rPr>
        <w:t>It</w:t>
      </w:r>
      <w:proofErr w:type="spellEnd"/>
      <w:r>
        <w:rPr>
          <w:spacing w:val="-3"/>
          <w:sz w:val="22"/>
          <w:szCs w:val="22"/>
          <w:lang w:val="es-ES"/>
        </w:rPr>
        <w:t xml:space="preserve"> </w:t>
      </w:r>
      <w:proofErr w:type="spellStart"/>
      <w:r>
        <w:rPr>
          <w:spacing w:val="-3"/>
          <w:sz w:val="22"/>
          <w:szCs w:val="22"/>
          <w:lang w:val="es-ES"/>
        </w:rPr>
        <w:t>will</w:t>
      </w:r>
      <w:proofErr w:type="spellEnd"/>
      <w:r>
        <w:rPr>
          <w:spacing w:val="-3"/>
          <w:sz w:val="22"/>
          <w:szCs w:val="22"/>
          <w:lang w:val="es-ES"/>
        </w:rPr>
        <w:t xml:space="preserve"> be </w:t>
      </w:r>
      <w:proofErr w:type="spellStart"/>
      <w:r>
        <w:rPr>
          <w:spacing w:val="-3"/>
          <w:sz w:val="22"/>
          <w:szCs w:val="22"/>
          <w:lang w:val="es-ES"/>
        </w:rPr>
        <w:t>verified</w:t>
      </w:r>
      <w:proofErr w:type="spellEnd"/>
      <w:r>
        <w:rPr>
          <w:spacing w:val="-3"/>
          <w:sz w:val="22"/>
          <w:szCs w:val="22"/>
          <w:lang w:val="es-ES"/>
        </w:rPr>
        <w:t xml:space="preserve"> </w:t>
      </w:r>
      <w:proofErr w:type="spellStart"/>
      <w:r>
        <w:rPr>
          <w:spacing w:val="-3"/>
          <w:sz w:val="22"/>
          <w:szCs w:val="22"/>
          <w:lang w:val="es-ES"/>
        </w:rPr>
        <w:t>that</w:t>
      </w:r>
      <w:proofErr w:type="spellEnd"/>
      <w:r>
        <w:rPr>
          <w:spacing w:val="-3"/>
          <w:sz w:val="22"/>
          <w:szCs w:val="22"/>
          <w:lang w:val="es-ES"/>
        </w:rPr>
        <w:t xml:space="preserve"> </w:t>
      </w:r>
      <w:proofErr w:type="spellStart"/>
      <w:r>
        <w:rPr>
          <w:spacing w:val="-3"/>
          <w:sz w:val="22"/>
          <w:szCs w:val="22"/>
          <w:lang w:val="es-ES"/>
        </w:rPr>
        <w:t>the</w:t>
      </w:r>
      <w:proofErr w:type="spellEnd"/>
      <w:r>
        <w:rPr>
          <w:spacing w:val="-3"/>
          <w:sz w:val="22"/>
          <w:szCs w:val="22"/>
          <w:lang w:val="es-ES"/>
        </w:rPr>
        <w:t xml:space="preserve"> </w:t>
      </w:r>
      <w:proofErr w:type="spellStart"/>
      <w:r>
        <w:rPr>
          <w:spacing w:val="-3"/>
          <w:sz w:val="22"/>
          <w:szCs w:val="22"/>
          <w:lang w:val="es-ES"/>
        </w:rPr>
        <w:t>pressure</w:t>
      </w:r>
      <w:proofErr w:type="spellEnd"/>
      <w:r>
        <w:rPr>
          <w:spacing w:val="-3"/>
          <w:sz w:val="22"/>
          <w:szCs w:val="22"/>
          <w:lang w:val="es-ES"/>
        </w:rPr>
        <w:t xml:space="preserve"> </w:t>
      </w:r>
      <w:proofErr w:type="spellStart"/>
      <w:r>
        <w:rPr>
          <w:spacing w:val="-3"/>
          <w:sz w:val="22"/>
          <w:szCs w:val="22"/>
          <w:lang w:val="es-ES"/>
        </w:rPr>
        <w:t>drop</w:t>
      </w:r>
      <w:proofErr w:type="spellEnd"/>
      <w:r>
        <w:rPr>
          <w:spacing w:val="-3"/>
          <w:sz w:val="22"/>
          <w:szCs w:val="22"/>
          <w:lang w:val="es-ES"/>
        </w:rPr>
        <w:t xml:space="preserve"> </w:t>
      </w:r>
      <w:proofErr w:type="spellStart"/>
      <w:r>
        <w:rPr>
          <w:spacing w:val="-3"/>
          <w:sz w:val="22"/>
          <w:szCs w:val="22"/>
          <w:lang w:val="es-ES"/>
        </w:rPr>
        <w:t>to</w:t>
      </w:r>
      <w:proofErr w:type="spellEnd"/>
      <w:r>
        <w:rPr>
          <w:spacing w:val="-3"/>
          <w:sz w:val="22"/>
          <w:szCs w:val="22"/>
          <w:lang w:val="es-ES"/>
        </w:rPr>
        <w:t xml:space="preserve"> Q3 </w:t>
      </w:r>
      <w:proofErr w:type="spellStart"/>
      <w:r>
        <w:rPr>
          <w:spacing w:val="-3"/>
          <w:sz w:val="22"/>
          <w:szCs w:val="22"/>
          <w:lang w:val="es-ES"/>
        </w:rPr>
        <w:t>does</w:t>
      </w:r>
      <w:proofErr w:type="spellEnd"/>
      <w:r>
        <w:rPr>
          <w:spacing w:val="-3"/>
          <w:sz w:val="22"/>
          <w:szCs w:val="22"/>
          <w:lang w:val="es-ES"/>
        </w:rPr>
        <w:t xml:space="preserve"> </w:t>
      </w:r>
      <w:proofErr w:type="spellStart"/>
      <w:r>
        <w:rPr>
          <w:spacing w:val="-3"/>
          <w:sz w:val="22"/>
          <w:szCs w:val="22"/>
          <w:lang w:val="es-ES"/>
        </w:rPr>
        <w:t>not</w:t>
      </w:r>
      <w:proofErr w:type="spellEnd"/>
      <w:r>
        <w:rPr>
          <w:spacing w:val="-3"/>
          <w:sz w:val="22"/>
          <w:szCs w:val="22"/>
          <w:lang w:val="es-ES"/>
        </w:rPr>
        <w:t xml:space="preserve"> </w:t>
      </w:r>
      <w:proofErr w:type="spellStart"/>
      <w:r>
        <w:rPr>
          <w:spacing w:val="-3"/>
          <w:sz w:val="22"/>
          <w:szCs w:val="22"/>
          <w:lang w:val="es-ES"/>
        </w:rPr>
        <w:t>exceed</w:t>
      </w:r>
      <w:proofErr w:type="spellEnd"/>
      <w:r>
        <w:rPr>
          <w:sz w:val="22"/>
          <w:szCs w:val="22"/>
          <w:lang w:val="es-UY"/>
        </w:rPr>
        <w:t xml:space="preserve">0.40 bar (4.0 </w:t>
      </w:r>
      <w:proofErr w:type="spellStart"/>
      <w:r>
        <w:rPr>
          <w:sz w:val="22"/>
          <w:szCs w:val="22"/>
          <w:lang w:val="es-UY"/>
        </w:rPr>
        <w:t>mca</w:t>
      </w:r>
      <w:proofErr w:type="spellEnd"/>
      <w:r>
        <w:rPr>
          <w:sz w:val="22"/>
          <w:szCs w:val="22"/>
          <w:lang w:val="es-UY"/>
        </w:rPr>
        <w:t xml:space="preserve">) (Art. 7.3.6 </w:t>
      </w:r>
      <w:proofErr w:type="spellStart"/>
      <w:r>
        <w:rPr>
          <w:sz w:val="22"/>
          <w:szCs w:val="22"/>
          <w:lang w:val="es-UY"/>
        </w:rPr>
        <w:t>of</w:t>
      </w:r>
      <w:proofErr w:type="spellEnd"/>
      <w:r>
        <w:rPr>
          <w:sz w:val="22"/>
          <w:szCs w:val="22"/>
          <w:lang w:val="es-UY"/>
        </w:rPr>
        <w:t xml:space="preserve"> </w:t>
      </w:r>
      <w:proofErr w:type="spellStart"/>
      <w:r>
        <w:rPr>
          <w:sz w:val="22"/>
          <w:szCs w:val="22"/>
          <w:lang w:val="es-UY"/>
        </w:rPr>
        <w:t>Annex</w:t>
      </w:r>
      <w:proofErr w:type="spellEnd"/>
      <w:r>
        <w:rPr>
          <w:sz w:val="22"/>
          <w:szCs w:val="22"/>
          <w:lang w:val="es-UY"/>
        </w:rPr>
        <w:t xml:space="preserve"> VIII).</w:t>
      </w:r>
    </w:p>
    <w:p w14:paraId="7776BB7D" w14:textId="77777777" w:rsidR="00E255F4" w:rsidRDefault="00000000">
      <w:pPr>
        <w:pStyle w:val="Prrafodelista"/>
        <w:numPr>
          <w:ilvl w:val="3"/>
          <w:numId w:val="16"/>
        </w:numPr>
        <w:spacing w:after="120"/>
        <w:ind w:left="851" w:hanging="851"/>
        <w:jc w:val="both"/>
        <w:rPr>
          <w:spacing w:val="-3"/>
          <w:sz w:val="22"/>
          <w:szCs w:val="22"/>
          <w:lang w:val="es-ES"/>
        </w:rPr>
      </w:pPr>
      <w:r>
        <w:rPr>
          <w:spacing w:val="-3"/>
          <w:sz w:val="22"/>
          <w:szCs w:val="22"/>
          <w:lang w:val="es-ES"/>
        </w:rPr>
        <w:t xml:space="preserve">   The </w:t>
      </w:r>
      <w:proofErr w:type="spellStart"/>
      <w:r>
        <w:rPr>
          <w:spacing w:val="-3"/>
          <w:sz w:val="22"/>
          <w:szCs w:val="22"/>
          <w:lang w:val="es-ES"/>
        </w:rPr>
        <w:t>equipment</w:t>
      </w:r>
      <w:proofErr w:type="spellEnd"/>
      <w:r>
        <w:rPr>
          <w:spacing w:val="-3"/>
          <w:sz w:val="22"/>
          <w:szCs w:val="22"/>
          <w:lang w:val="es-ES"/>
        </w:rPr>
        <w:t xml:space="preserve"> </w:t>
      </w:r>
      <w:proofErr w:type="spellStart"/>
      <w:r>
        <w:rPr>
          <w:spacing w:val="-3"/>
          <w:sz w:val="22"/>
          <w:szCs w:val="22"/>
          <w:lang w:val="es-ES"/>
        </w:rPr>
        <w:t>required</w:t>
      </w:r>
      <w:proofErr w:type="spellEnd"/>
      <w:r>
        <w:rPr>
          <w:spacing w:val="-3"/>
          <w:sz w:val="22"/>
          <w:szCs w:val="22"/>
          <w:lang w:val="es-ES"/>
        </w:rPr>
        <w:t xml:space="preserve"> </w:t>
      </w:r>
      <w:proofErr w:type="spellStart"/>
      <w:r>
        <w:rPr>
          <w:spacing w:val="-3"/>
          <w:sz w:val="22"/>
          <w:szCs w:val="22"/>
          <w:lang w:val="es-ES"/>
        </w:rPr>
        <w:t>for</w:t>
      </w:r>
      <w:proofErr w:type="spellEnd"/>
      <w:r>
        <w:rPr>
          <w:spacing w:val="-3"/>
          <w:sz w:val="22"/>
          <w:szCs w:val="22"/>
          <w:lang w:val="es-ES"/>
        </w:rPr>
        <w:t xml:space="preserve"> </w:t>
      </w:r>
      <w:proofErr w:type="spellStart"/>
      <w:r>
        <w:rPr>
          <w:spacing w:val="-3"/>
          <w:sz w:val="22"/>
          <w:szCs w:val="22"/>
          <w:lang w:val="es-ES"/>
        </w:rPr>
        <w:t>this</w:t>
      </w:r>
      <w:proofErr w:type="spellEnd"/>
      <w:r>
        <w:rPr>
          <w:spacing w:val="-3"/>
          <w:sz w:val="22"/>
          <w:szCs w:val="22"/>
          <w:lang w:val="es-ES"/>
        </w:rPr>
        <w:t xml:space="preserve"> test </w:t>
      </w:r>
      <w:proofErr w:type="spellStart"/>
      <w:r>
        <w:rPr>
          <w:spacing w:val="-3"/>
          <w:sz w:val="22"/>
          <w:szCs w:val="22"/>
          <w:lang w:val="es-ES"/>
        </w:rPr>
        <w:t>shall</w:t>
      </w:r>
      <w:proofErr w:type="spellEnd"/>
      <w:r>
        <w:rPr>
          <w:spacing w:val="-3"/>
          <w:sz w:val="22"/>
          <w:szCs w:val="22"/>
          <w:lang w:val="es-ES"/>
        </w:rPr>
        <w:t xml:space="preserve"> be a </w:t>
      </w:r>
      <w:proofErr w:type="spellStart"/>
      <w:r>
        <w:rPr>
          <w:spacing w:val="-3"/>
          <w:sz w:val="22"/>
          <w:szCs w:val="22"/>
          <w:lang w:val="es-ES"/>
        </w:rPr>
        <w:t>differential</w:t>
      </w:r>
      <w:proofErr w:type="spellEnd"/>
      <w:r>
        <w:rPr>
          <w:spacing w:val="-3"/>
          <w:sz w:val="22"/>
          <w:szCs w:val="22"/>
          <w:lang w:val="es-ES"/>
        </w:rPr>
        <w:t xml:space="preserve"> </w:t>
      </w:r>
      <w:proofErr w:type="spellStart"/>
      <w:r>
        <w:rPr>
          <w:spacing w:val="-3"/>
          <w:sz w:val="22"/>
          <w:szCs w:val="22"/>
          <w:lang w:val="es-ES"/>
        </w:rPr>
        <w:t>pressure</w:t>
      </w:r>
      <w:proofErr w:type="spellEnd"/>
      <w:r>
        <w:rPr>
          <w:spacing w:val="-3"/>
          <w:sz w:val="22"/>
          <w:szCs w:val="22"/>
          <w:lang w:val="es-ES"/>
        </w:rPr>
        <w:t xml:space="preserve"> gauge, </w:t>
      </w:r>
      <w:proofErr w:type="spellStart"/>
      <w:r>
        <w:rPr>
          <w:spacing w:val="-3"/>
          <w:sz w:val="22"/>
          <w:szCs w:val="22"/>
          <w:lang w:val="es-ES"/>
        </w:rPr>
        <w:t>connected</w:t>
      </w:r>
      <w:proofErr w:type="spellEnd"/>
      <w:r>
        <w:rPr>
          <w:spacing w:val="-3"/>
          <w:sz w:val="22"/>
          <w:szCs w:val="22"/>
          <w:lang w:val="es-ES"/>
        </w:rPr>
        <w:t xml:space="preserve"> </w:t>
      </w:r>
      <w:proofErr w:type="spellStart"/>
      <w:r>
        <w:rPr>
          <w:spacing w:val="-3"/>
          <w:sz w:val="22"/>
          <w:szCs w:val="22"/>
          <w:lang w:val="es-ES"/>
        </w:rPr>
        <w:t>to</w:t>
      </w:r>
      <w:proofErr w:type="spellEnd"/>
      <w:r>
        <w:rPr>
          <w:spacing w:val="-3"/>
          <w:sz w:val="22"/>
          <w:szCs w:val="22"/>
          <w:lang w:val="es-ES"/>
        </w:rPr>
        <w:t xml:space="preserve"> </w:t>
      </w:r>
      <w:proofErr w:type="spellStart"/>
      <w:r>
        <w:rPr>
          <w:spacing w:val="-3"/>
          <w:sz w:val="22"/>
          <w:szCs w:val="22"/>
          <w:lang w:val="es-ES"/>
        </w:rPr>
        <w:t>the</w:t>
      </w:r>
      <w:proofErr w:type="spellEnd"/>
      <w:r>
        <w:rPr>
          <w:spacing w:val="-3"/>
          <w:sz w:val="22"/>
          <w:szCs w:val="22"/>
          <w:lang w:val="es-ES"/>
        </w:rPr>
        <w:t xml:space="preserve"> meter </w:t>
      </w:r>
      <w:proofErr w:type="spellStart"/>
      <w:r>
        <w:rPr>
          <w:spacing w:val="-3"/>
          <w:sz w:val="22"/>
          <w:szCs w:val="22"/>
          <w:lang w:val="es-ES"/>
        </w:rPr>
        <w:t>by</w:t>
      </w:r>
      <w:proofErr w:type="spellEnd"/>
      <w:r>
        <w:rPr>
          <w:spacing w:val="-3"/>
          <w:sz w:val="22"/>
          <w:szCs w:val="22"/>
          <w:lang w:val="es-ES"/>
        </w:rPr>
        <w:t xml:space="preserve"> </w:t>
      </w:r>
      <w:proofErr w:type="spellStart"/>
      <w:r>
        <w:rPr>
          <w:spacing w:val="-3"/>
          <w:sz w:val="22"/>
          <w:szCs w:val="22"/>
          <w:lang w:val="es-ES"/>
        </w:rPr>
        <w:t>two</w:t>
      </w:r>
      <w:proofErr w:type="spellEnd"/>
      <w:r>
        <w:rPr>
          <w:spacing w:val="-3"/>
          <w:sz w:val="22"/>
          <w:szCs w:val="22"/>
          <w:lang w:val="es-ES"/>
        </w:rPr>
        <w:t xml:space="preserve"> </w:t>
      </w:r>
      <w:proofErr w:type="spellStart"/>
      <w:r>
        <w:rPr>
          <w:spacing w:val="-3"/>
          <w:sz w:val="22"/>
          <w:szCs w:val="22"/>
          <w:lang w:val="es-ES"/>
        </w:rPr>
        <w:t>straight</w:t>
      </w:r>
      <w:proofErr w:type="spellEnd"/>
      <w:r>
        <w:rPr>
          <w:spacing w:val="-3"/>
          <w:sz w:val="22"/>
          <w:szCs w:val="22"/>
          <w:lang w:val="es-ES"/>
        </w:rPr>
        <w:t xml:space="preserve"> </w:t>
      </w:r>
      <w:proofErr w:type="spellStart"/>
      <w:r>
        <w:rPr>
          <w:spacing w:val="-3"/>
          <w:sz w:val="22"/>
          <w:szCs w:val="22"/>
          <w:lang w:val="es-ES"/>
        </w:rPr>
        <w:t>sections</w:t>
      </w:r>
      <w:proofErr w:type="spellEnd"/>
      <w:r>
        <w:rPr>
          <w:spacing w:val="-3"/>
          <w:sz w:val="22"/>
          <w:szCs w:val="22"/>
          <w:lang w:val="es-ES"/>
        </w:rPr>
        <w:t xml:space="preserve"> </w:t>
      </w:r>
      <w:proofErr w:type="spellStart"/>
      <w:r>
        <w:rPr>
          <w:spacing w:val="-3"/>
          <w:sz w:val="22"/>
          <w:szCs w:val="22"/>
          <w:lang w:val="es-ES"/>
        </w:rPr>
        <w:t>of</w:t>
      </w:r>
      <w:proofErr w:type="spellEnd"/>
      <w:r>
        <w:rPr>
          <w:spacing w:val="-3"/>
          <w:sz w:val="22"/>
          <w:szCs w:val="22"/>
          <w:lang w:val="es-ES"/>
        </w:rPr>
        <w:t xml:space="preserve"> pipe, </w:t>
      </w:r>
      <w:proofErr w:type="spellStart"/>
      <w:r>
        <w:rPr>
          <w:spacing w:val="-3"/>
          <w:sz w:val="22"/>
          <w:szCs w:val="22"/>
          <w:lang w:val="es-ES"/>
        </w:rPr>
        <w:t>each</w:t>
      </w:r>
      <w:proofErr w:type="spellEnd"/>
      <w:r>
        <w:rPr>
          <w:spacing w:val="-3"/>
          <w:sz w:val="22"/>
          <w:szCs w:val="22"/>
          <w:lang w:val="es-ES"/>
        </w:rPr>
        <w:t xml:space="preserve"> </w:t>
      </w:r>
      <w:proofErr w:type="spellStart"/>
      <w:r>
        <w:rPr>
          <w:spacing w:val="-3"/>
          <w:sz w:val="22"/>
          <w:szCs w:val="22"/>
          <w:lang w:val="es-ES"/>
        </w:rPr>
        <w:t>with</w:t>
      </w:r>
      <w:proofErr w:type="spellEnd"/>
      <w:r>
        <w:rPr>
          <w:spacing w:val="-3"/>
          <w:sz w:val="22"/>
          <w:szCs w:val="22"/>
          <w:lang w:val="es-ES"/>
        </w:rPr>
        <w:t xml:space="preserve"> </w:t>
      </w:r>
      <w:proofErr w:type="spellStart"/>
      <w:r>
        <w:rPr>
          <w:spacing w:val="-3"/>
          <w:sz w:val="22"/>
          <w:szCs w:val="22"/>
          <w:lang w:val="es-ES"/>
        </w:rPr>
        <w:t>the</w:t>
      </w:r>
      <w:proofErr w:type="spellEnd"/>
      <w:r>
        <w:rPr>
          <w:spacing w:val="-3"/>
          <w:sz w:val="22"/>
          <w:szCs w:val="22"/>
          <w:lang w:val="es-ES"/>
        </w:rPr>
        <w:t xml:space="preserve"> </w:t>
      </w:r>
      <w:proofErr w:type="spellStart"/>
      <w:r>
        <w:rPr>
          <w:spacing w:val="-3"/>
          <w:sz w:val="22"/>
          <w:szCs w:val="22"/>
          <w:lang w:val="es-ES"/>
        </w:rPr>
        <w:t>same</w:t>
      </w:r>
      <w:proofErr w:type="spellEnd"/>
      <w:r>
        <w:rPr>
          <w:spacing w:val="-3"/>
          <w:sz w:val="22"/>
          <w:szCs w:val="22"/>
          <w:lang w:val="es-ES"/>
        </w:rPr>
        <w:t xml:space="preserve"> </w:t>
      </w:r>
      <w:proofErr w:type="spellStart"/>
      <w:r>
        <w:rPr>
          <w:spacing w:val="-3"/>
          <w:sz w:val="22"/>
          <w:szCs w:val="22"/>
          <w:lang w:val="es-ES"/>
        </w:rPr>
        <w:t>diameter</w:t>
      </w:r>
      <w:proofErr w:type="spellEnd"/>
      <w:r>
        <w:rPr>
          <w:spacing w:val="-3"/>
          <w:sz w:val="22"/>
          <w:szCs w:val="22"/>
          <w:lang w:val="es-ES"/>
        </w:rPr>
        <w:t xml:space="preserve"> as </w:t>
      </w:r>
      <w:proofErr w:type="spellStart"/>
      <w:r>
        <w:rPr>
          <w:spacing w:val="-3"/>
          <w:sz w:val="22"/>
          <w:szCs w:val="22"/>
          <w:lang w:val="es-ES"/>
        </w:rPr>
        <w:t>the</w:t>
      </w:r>
      <w:proofErr w:type="spellEnd"/>
      <w:r>
        <w:rPr>
          <w:spacing w:val="-3"/>
          <w:sz w:val="22"/>
          <w:szCs w:val="22"/>
          <w:lang w:val="es-ES"/>
        </w:rPr>
        <w:t xml:space="preserve"> meter and ten times </w:t>
      </w:r>
      <w:proofErr w:type="spellStart"/>
      <w:r>
        <w:rPr>
          <w:spacing w:val="-3"/>
          <w:sz w:val="22"/>
          <w:szCs w:val="22"/>
          <w:lang w:val="es-ES"/>
        </w:rPr>
        <w:t>the</w:t>
      </w:r>
      <w:proofErr w:type="spellEnd"/>
      <w:r>
        <w:rPr>
          <w:spacing w:val="-3"/>
          <w:sz w:val="22"/>
          <w:szCs w:val="22"/>
          <w:lang w:val="es-ES"/>
        </w:rPr>
        <w:t xml:space="preserve"> </w:t>
      </w:r>
      <w:proofErr w:type="spellStart"/>
      <w:r>
        <w:rPr>
          <w:spacing w:val="-3"/>
          <w:sz w:val="22"/>
          <w:szCs w:val="22"/>
          <w:lang w:val="es-ES"/>
        </w:rPr>
        <w:t>diameter</w:t>
      </w:r>
      <w:proofErr w:type="spellEnd"/>
      <w:r>
        <w:rPr>
          <w:spacing w:val="-3"/>
          <w:sz w:val="22"/>
          <w:szCs w:val="22"/>
          <w:lang w:val="es-ES"/>
        </w:rPr>
        <w:t xml:space="preserve"> in </w:t>
      </w:r>
      <w:proofErr w:type="spellStart"/>
      <w:r>
        <w:rPr>
          <w:spacing w:val="-3"/>
          <w:sz w:val="22"/>
          <w:szCs w:val="22"/>
          <w:lang w:val="es-ES"/>
        </w:rPr>
        <w:t>length</w:t>
      </w:r>
      <w:proofErr w:type="spellEnd"/>
      <w:r>
        <w:rPr>
          <w:spacing w:val="-3"/>
          <w:sz w:val="22"/>
          <w:szCs w:val="22"/>
          <w:lang w:val="es-ES"/>
        </w:rPr>
        <w:t xml:space="preserve">, </w:t>
      </w:r>
      <w:proofErr w:type="spellStart"/>
      <w:r>
        <w:rPr>
          <w:spacing w:val="-3"/>
          <w:sz w:val="22"/>
          <w:szCs w:val="22"/>
          <w:lang w:val="es-ES"/>
        </w:rPr>
        <w:t>one</w:t>
      </w:r>
      <w:proofErr w:type="spellEnd"/>
      <w:r>
        <w:rPr>
          <w:spacing w:val="-3"/>
          <w:sz w:val="22"/>
          <w:szCs w:val="22"/>
          <w:lang w:val="es-ES"/>
        </w:rPr>
        <w:t xml:space="preserve"> </w:t>
      </w:r>
      <w:proofErr w:type="spellStart"/>
      <w:r>
        <w:rPr>
          <w:spacing w:val="-3"/>
          <w:sz w:val="22"/>
          <w:szCs w:val="22"/>
          <w:lang w:val="es-ES"/>
        </w:rPr>
        <w:t>on</w:t>
      </w:r>
      <w:proofErr w:type="spellEnd"/>
      <w:r>
        <w:rPr>
          <w:spacing w:val="-3"/>
          <w:sz w:val="22"/>
          <w:szCs w:val="22"/>
          <w:lang w:val="es-ES"/>
        </w:rPr>
        <w:t xml:space="preserve"> </w:t>
      </w:r>
      <w:proofErr w:type="spellStart"/>
      <w:r>
        <w:rPr>
          <w:spacing w:val="-3"/>
          <w:sz w:val="22"/>
          <w:szCs w:val="22"/>
          <w:lang w:val="es-ES"/>
        </w:rPr>
        <w:t>each</w:t>
      </w:r>
      <w:proofErr w:type="spellEnd"/>
      <w:r>
        <w:rPr>
          <w:spacing w:val="-3"/>
          <w:sz w:val="22"/>
          <w:szCs w:val="22"/>
          <w:lang w:val="es-ES"/>
        </w:rPr>
        <w:t xml:space="preserve"> </w:t>
      </w:r>
      <w:proofErr w:type="spellStart"/>
      <w:r>
        <w:rPr>
          <w:spacing w:val="-3"/>
          <w:sz w:val="22"/>
          <w:szCs w:val="22"/>
          <w:lang w:val="es-ES"/>
        </w:rPr>
        <w:t>side</w:t>
      </w:r>
      <w:proofErr w:type="spellEnd"/>
      <w:r>
        <w:rPr>
          <w:spacing w:val="-3"/>
          <w:sz w:val="22"/>
          <w:szCs w:val="22"/>
          <w:lang w:val="es-ES"/>
        </w:rPr>
        <w:t xml:space="preserve"> </w:t>
      </w:r>
      <w:proofErr w:type="spellStart"/>
      <w:r>
        <w:rPr>
          <w:spacing w:val="-3"/>
          <w:sz w:val="22"/>
          <w:szCs w:val="22"/>
          <w:lang w:val="es-ES"/>
        </w:rPr>
        <w:t>of</w:t>
      </w:r>
      <w:proofErr w:type="spellEnd"/>
      <w:r>
        <w:rPr>
          <w:spacing w:val="-3"/>
          <w:sz w:val="22"/>
          <w:szCs w:val="22"/>
          <w:lang w:val="es-ES"/>
        </w:rPr>
        <w:t xml:space="preserve"> </w:t>
      </w:r>
      <w:proofErr w:type="spellStart"/>
      <w:r>
        <w:rPr>
          <w:spacing w:val="-3"/>
          <w:sz w:val="22"/>
          <w:szCs w:val="22"/>
          <w:lang w:val="es-ES"/>
        </w:rPr>
        <w:t>the</w:t>
      </w:r>
      <w:proofErr w:type="spellEnd"/>
      <w:r>
        <w:rPr>
          <w:spacing w:val="-3"/>
          <w:sz w:val="22"/>
          <w:szCs w:val="22"/>
          <w:lang w:val="es-ES"/>
        </w:rPr>
        <w:t xml:space="preserve"> meter. The </w:t>
      </w:r>
      <w:proofErr w:type="spellStart"/>
      <w:r>
        <w:rPr>
          <w:spacing w:val="-3"/>
          <w:sz w:val="22"/>
          <w:szCs w:val="22"/>
          <w:lang w:val="es-ES"/>
        </w:rPr>
        <w:t>indicated</w:t>
      </w:r>
      <w:proofErr w:type="spellEnd"/>
      <w:r>
        <w:rPr>
          <w:spacing w:val="-3"/>
          <w:sz w:val="22"/>
          <w:szCs w:val="22"/>
          <w:lang w:val="es-ES"/>
        </w:rPr>
        <w:t xml:space="preserve"> </w:t>
      </w:r>
      <w:proofErr w:type="spellStart"/>
      <w:r>
        <w:rPr>
          <w:spacing w:val="-3"/>
          <w:sz w:val="22"/>
          <w:szCs w:val="22"/>
          <w:lang w:val="es-ES"/>
        </w:rPr>
        <w:t>flow</w:t>
      </w:r>
      <w:proofErr w:type="spellEnd"/>
      <w:r>
        <w:rPr>
          <w:spacing w:val="-3"/>
          <w:sz w:val="22"/>
          <w:szCs w:val="22"/>
          <w:lang w:val="es-ES"/>
        </w:rPr>
        <w:t xml:space="preserve"> </w:t>
      </w:r>
      <w:proofErr w:type="spellStart"/>
      <w:r>
        <w:rPr>
          <w:spacing w:val="-3"/>
          <w:sz w:val="22"/>
          <w:szCs w:val="22"/>
          <w:lang w:val="es-ES"/>
        </w:rPr>
        <w:t>rates</w:t>
      </w:r>
      <w:proofErr w:type="spellEnd"/>
      <w:r>
        <w:rPr>
          <w:spacing w:val="-3"/>
          <w:sz w:val="22"/>
          <w:szCs w:val="22"/>
          <w:lang w:val="es-ES"/>
        </w:rPr>
        <w:t xml:space="preserve"> </w:t>
      </w:r>
      <w:proofErr w:type="spellStart"/>
      <w:r>
        <w:rPr>
          <w:spacing w:val="-3"/>
          <w:sz w:val="22"/>
          <w:szCs w:val="22"/>
          <w:lang w:val="es-ES"/>
        </w:rPr>
        <w:t>will</w:t>
      </w:r>
      <w:proofErr w:type="spellEnd"/>
      <w:r>
        <w:rPr>
          <w:spacing w:val="-3"/>
          <w:sz w:val="22"/>
          <w:szCs w:val="22"/>
          <w:lang w:val="es-ES"/>
        </w:rPr>
        <w:t xml:space="preserve"> be </w:t>
      </w:r>
      <w:proofErr w:type="spellStart"/>
      <w:r>
        <w:rPr>
          <w:spacing w:val="-3"/>
          <w:sz w:val="22"/>
          <w:szCs w:val="22"/>
          <w:lang w:val="es-ES"/>
        </w:rPr>
        <w:t>circulated</w:t>
      </w:r>
      <w:proofErr w:type="spellEnd"/>
      <w:r>
        <w:rPr>
          <w:spacing w:val="-3"/>
          <w:sz w:val="22"/>
          <w:szCs w:val="22"/>
          <w:lang w:val="es-ES"/>
        </w:rPr>
        <w:t xml:space="preserve"> </w:t>
      </w:r>
      <w:proofErr w:type="spellStart"/>
      <w:r>
        <w:rPr>
          <w:spacing w:val="-3"/>
          <w:sz w:val="22"/>
          <w:szCs w:val="22"/>
          <w:lang w:val="es-ES"/>
        </w:rPr>
        <w:t>through</w:t>
      </w:r>
      <w:proofErr w:type="spellEnd"/>
      <w:r>
        <w:rPr>
          <w:spacing w:val="-3"/>
          <w:sz w:val="22"/>
          <w:szCs w:val="22"/>
          <w:lang w:val="es-ES"/>
        </w:rPr>
        <w:t xml:space="preserve"> </w:t>
      </w:r>
      <w:proofErr w:type="spellStart"/>
      <w:r>
        <w:rPr>
          <w:spacing w:val="-3"/>
          <w:sz w:val="22"/>
          <w:szCs w:val="22"/>
          <w:lang w:val="es-ES"/>
        </w:rPr>
        <w:t>this</w:t>
      </w:r>
      <w:proofErr w:type="spellEnd"/>
      <w:r>
        <w:rPr>
          <w:spacing w:val="-3"/>
          <w:sz w:val="22"/>
          <w:szCs w:val="22"/>
          <w:lang w:val="es-ES"/>
        </w:rPr>
        <w:t xml:space="preserve"> </w:t>
      </w:r>
      <w:proofErr w:type="spellStart"/>
      <w:r>
        <w:rPr>
          <w:spacing w:val="-3"/>
          <w:sz w:val="22"/>
          <w:szCs w:val="22"/>
          <w:lang w:val="es-ES"/>
        </w:rPr>
        <w:t>equipment</w:t>
      </w:r>
      <w:proofErr w:type="spellEnd"/>
      <w:r>
        <w:rPr>
          <w:spacing w:val="-3"/>
          <w:sz w:val="22"/>
          <w:szCs w:val="22"/>
          <w:lang w:val="es-ES"/>
        </w:rPr>
        <w:t xml:space="preserve">, and </w:t>
      </w:r>
      <w:proofErr w:type="spellStart"/>
      <w:r>
        <w:rPr>
          <w:spacing w:val="-3"/>
          <w:sz w:val="22"/>
          <w:szCs w:val="22"/>
          <w:lang w:val="es-ES"/>
        </w:rPr>
        <w:t>the</w:t>
      </w:r>
      <w:proofErr w:type="spellEnd"/>
      <w:r>
        <w:rPr>
          <w:spacing w:val="-3"/>
          <w:sz w:val="22"/>
          <w:szCs w:val="22"/>
          <w:lang w:val="es-ES"/>
        </w:rPr>
        <w:t xml:space="preserve"> </w:t>
      </w:r>
      <w:proofErr w:type="spellStart"/>
      <w:r>
        <w:rPr>
          <w:spacing w:val="-3"/>
          <w:sz w:val="22"/>
          <w:szCs w:val="22"/>
          <w:lang w:val="es-ES"/>
        </w:rPr>
        <w:t>pressure</w:t>
      </w:r>
      <w:proofErr w:type="spellEnd"/>
      <w:r>
        <w:rPr>
          <w:spacing w:val="-3"/>
          <w:sz w:val="22"/>
          <w:szCs w:val="22"/>
          <w:lang w:val="es-ES"/>
        </w:rPr>
        <w:t xml:space="preserve"> </w:t>
      </w:r>
      <w:proofErr w:type="spellStart"/>
      <w:r>
        <w:rPr>
          <w:spacing w:val="-3"/>
          <w:sz w:val="22"/>
          <w:szCs w:val="22"/>
          <w:lang w:val="es-ES"/>
        </w:rPr>
        <w:t>loss</w:t>
      </w:r>
      <w:proofErr w:type="spellEnd"/>
      <w:r>
        <w:rPr>
          <w:spacing w:val="-3"/>
          <w:sz w:val="22"/>
          <w:szCs w:val="22"/>
          <w:lang w:val="es-ES"/>
        </w:rPr>
        <w:t xml:space="preserve"> </w:t>
      </w:r>
      <w:proofErr w:type="spellStart"/>
      <w:r>
        <w:rPr>
          <w:spacing w:val="-3"/>
          <w:sz w:val="22"/>
          <w:szCs w:val="22"/>
          <w:lang w:val="es-ES"/>
        </w:rPr>
        <w:t>will</w:t>
      </w:r>
      <w:proofErr w:type="spellEnd"/>
      <w:r>
        <w:rPr>
          <w:spacing w:val="-3"/>
          <w:sz w:val="22"/>
          <w:szCs w:val="22"/>
          <w:lang w:val="es-ES"/>
        </w:rPr>
        <w:t xml:space="preserve"> be </w:t>
      </w:r>
      <w:proofErr w:type="spellStart"/>
      <w:r>
        <w:rPr>
          <w:spacing w:val="-3"/>
          <w:sz w:val="22"/>
          <w:szCs w:val="22"/>
          <w:lang w:val="es-ES"/>
        </w:rPr>
        <w:t>measured</w:t>
      </w:r>
      <w:proofErr w:type="spellEnd"/>
      <w:r>
        <w:rPr>
          <w:spacing w:val="-3"/>
          <w:sz w:val="22"/>
          <w:szCs w:val="22"/>
          <w:lang w:val="es-ES"/>
        </w:rPr>
        <w:t xml:space="preserve"> in </w:t>
      </w:r>
      <w:proofErr w:type="spellStart"/>
      <w:r>
        <w:rPr>
          <w:spacing w:val="-3"/>
          <w:sz w:val="22"/>
          <w:szCs w:val="22"/>
          <w:lang w:val="es-ES"/>
        </w:rPr>
        <w:t>the</w:t>
      </w:r>
      <w:proofErr w:type="spellEnd"/>
      <w:r>
        <w:rPr>
          <w:spacing w:val="-3"/>
          <w:sz w:val="22"/>
          <w:szCs w:val="22"/>
          <w:lang w:val="es-ES"/>
        </w:rPr>
        <w:t xml:space="preserve"> </w:t>
      </w:r>
      <w:proofErr w:type="spellStart"/>
      <w:r>
        <w:rPr>
          <w:spacing w:val="-3"/>
          <w:sz w:val="22"/>
          <w:szCs w:val="22"/>
          <w:lang w:val="es-ES"/>
        </w:rPr>
        <w:t>corresponding</w:t>
      </w:r>
      <w:proofErr w:type="spellEnd"/>
      <w:r>
        <w:rPr>
          <w:spacing w:val="-3"/>
          <w:sz w:val="22"/>
          <w:szCs w:val="22"/>
          <w:lang w:val="es-ES"/>
        </w:rPr>
        <w:t xml:space="preserve"> </w:t>
      </w:r>
      <w:proofErr w:type="spellStart"/>
      <w:r>
        <w:rPr>
          <w:spacing w:val="-3"/>
          <w:sz w:val="22"/>
          <w:szCs w:val="22"/>
          <w:lang w:val="es-ES"/>
        </w:rPr>
        <w:t>devices</w:t>
      </w:r>
      <w:proofErr w:type="spellEnd"/>
      <w:r>
        <w:rPr>
          <w:spacing w:val="-3"/>
          <w:sz w:val="22"/>
          <w:szCs w:val="22"/>
          <w:lang w:val="es-ES"/>
        </w:rPr>
        <w:t xml:space="preserve">, </w:t>
      </w:r>
      <w:proofErr w:type="spellStart"/>
      <w:r>
        <w:rPr>
          <w:spacing w:val="-3"/>
          <w:sz w:val="22"/>
          <w:szCs w:val="22"/>
          <w:lang w:val="es-ES"/>
        </w:rPr>
        <w:t>which</w:t>
      </w:r>
      <w:proofErr w:type="spellEnd"/>
      <w:r>
        <w:rPr>
          <w:spacing w:val="-3"/>
          <w:sz w:val="22"/>
          <w:szCs w:val="22"/>
          <w:lang w:val="es-ES"/>
        </w:rPr>
        <w:t xml:space="preserve"> </w:t>
      </w:r>
      <w:proofErr w:type="spellStart"/>
      <w:r>
        <w:rPr>
          <w:spacing w:val="-3"/>
          <w:sz w:val="22"/>
          <w:szCs w:val="22"/>
          <w:lang w:val="es-ES"/>
        </w:rPr>
        <w:t>will</w:t>
      </w:r>
      <w:proofErr w:type="spellEnd"/>
      <w:r>
        <w:rPr>
          <w:spacing w:val="-3"/>
          <w:sz w:val="22"/>
          <w:szCs w:val="22"/>
          <w:lang w:val="es-ES"/>
        </w:rPr>
        <w:t xml:space="preserve"> </w:t>
      </w:r>
      <w:proofErr w:type="spellStart"/>
      <w:r>
        <w:rPr>
          <w:spacing w:val="-3"/>
          <w:sz w:val="22"/>
          <w:szCs w:val="22"/>
          <w:lang w:val="es-ES"/>
        </w:rPr>
        <w:t>have</w:t>
      </w:r>
      <w:proofErr w:type="spellEnd"/>
      <w:r>
        <w:rPr>
          <w:spacing w:val="-3"/>
          <w:sz w:val="22"/>
          <w:szCs w:val="22"/>
          <w:lang w:val="es-ES"/>
        </w:rPr>
        <w:t xml:space="preserve"> a </w:t>
      </w:r>
      <w:proofErr w:type="spellStart"/>
      <w:r>
        <w:rPr>
          <w:spacing w:val="-3"/>
          <w:sz w:val="22"/>
          <w:szCs w:val="22"/>
          <w:lang w:val="es-ES"/>
        </w:rPr>
        <w:t>maximum</w:t>
      </w:r>
      <w:proofErr w:type="spellEnd"/>
      <w:r>
        <w:rPr>
          <w:spacing w:val="-3"/>
          <w:sz w:val="22"/>
          <w:szCs w:val="22"/>
          <w:lang w:val="es-ES"/>
        </w:rPr>
        <w:t xml:space="preserve"> </w:t>
      </w:r>
      <w:proofErr w:type="spellStart"/>
      <w:r>
        <w:rPr>
          <w:spacing w:val="-3"/>
          <w:sz w:val="22"/>
          <w:szCs w:val="22"/>
          <w:lang w:val="es-ES"/>
        </w:rPr>
        <w:t>permissible</w:t>
      </w:r>
      <w:proofErr w:type="spellEnd"/>
      <w:r>
        <w:rPr>
          <w:spacing w:val="-3"/>
          <w:sz w:val="22"/>
          <w:szCs w:val="22"/>
          <w:lang w:val="es-ES"/>
        </w:rPr>
        <w:t xml:space="preserve"> error </w:t>
      </w:r>
      <w:proofErr w:type="spellStart"/>
      <w:r>
        <w:rPr>
          <w:spacing w:val="-3"/>
          <w:sz w:val="22"/>
          <w:szCs w:val="22"/>
          <w:lang w:val="es-ES"/>
        </w:rPr>
        <w:t>of</w:t>
      </w:r>
      <w:proofErr w:type="spellEnd"/>
      <w:r>
        <w:rPr>
          <w:spacing w:val="-3"/>
          <w:sz w:val="22"/>
          <w:szCs w:val="22"/>
          <w:lang w:val="es-ES"/>
        </w:rPr>
        <w:t xml:space="preserve"> 2% </w:t>
      </w:r>
      <w:proofErr w:type="spellStart"/>
      <w:r>
        <w:rPr>
          <w:spacing w:val="-3"/>
          <w:sz w:val="22"/>
          <w:szCs w:val="22"/>
          <w:lang w:val="es-ES"/>
        </w:rPr>
        <w:t>of</w:t>
      </w:r>
      <w:proofErr w:type="spellEnd"/>
      <w:r>
        <w:rPr>
          <w:spacing w:val="-3"/>
          <w:sz w:val="22"/>
          <w:szCs w:val="22"/>
          <w:lang w:val="es-ES"/>
        </w:rPr>
        <w:t xml:space="preserve"> </w:t>
      </w:r>
      <w:proofErr w:type="spellStart"/>
      <w:r>
        <w:rPr>
          <w:spacing w:val="-3"/>
          <w:sz w:val="22"/>
          <w:szCs w:val="22"/>
          <w:lang w:val="es-ES"/>
        </w:rPr>
        <w:t>the</w:t>
      </w:r>
      <w:proofErr w:type="spellEnd"/>
      <w:r>
        <w:rPr>
          <w:spacing w:val="-3"/>
          <w:sz w:val="22"/>
          <w:szCs w:val="22"/>
          <w:lang w:val="es-ES"/>
        </w:rPr>
        <w:t xml:space="preserve"> </w:t>
      </w:r>
      <w:proofErr w:type="spellStart"/>
      <w:r>
        <w:rPr>
          <w:spacing w:val="-3"/>
          <w:sz w:val="22"/>
          <w:szCs w:val="22"/>
          <w:lang w:val="es-ES"/>
        </w:rPr>
        <w:t>indicated</w:t>
      </w:r>
      <w:proofErr w:type="spellEnd"/>
      <w:r>
        <w:rPr>
          <w:spacing w:val="-3"/>
          <w:sz w:val="22"/>
          <w:szCs w:val="22"/>
          <w:lang w:val="es-ES"/>
        </w:rPr>
        <w:t xml:space="preserve"> </w:t>
      </w:r>
      <w:proofErr w:type="spellStart"/>
      <w:r>
        <w:rPr>
          <w:spacing w:val="-3"/>
          <w:sz w:val="22"/>
          <w:szCs w:val="22"/>
          <w:lang w:val="es-ES"/>
        </w:rPr>
        <w:t>pressure</w:t>
      </w:r>
      <w:proofErr w:type="spellEnd"/>
      <w:r>
        <w:rPr>
          <w:spacing w:val="-3"/>
          <w:sz w:val="22"/>
          <w:szCs w:val="22"/>
          <w:lang w:val="es-ES"/>
        </w:rPr>
        <w:t>.</w:t>
      </w:r>
    </w:p>
    <w:p w14:paraId="2103902A" w14:textId="77777777" w:rsidR="00E255F4" w:rsidRDefault="00000000">
      <w:pPr>
        <w:numPr>
          <w:ilvl w:val="2"/>
          <w:numId w:val="16"/>
        </w:numPr>
        <w:spacing w:before="240" w:after="120"/>
        <w:rPr>
          <w:b/>
          <w:sz w:val="22"/>
          <w:szCs w:val="22"/>
        </w:rPr>
      </w:pPr>
      <w:proofErr w:type="spellStart"/>
      <w:r>
        <w:rPr>
          <w:b/>
          <w:sz w:val="22"/>
          <w:szCs w:val="22"/>
        </w:rPr>
        <w:t>Accuracy</w:t>
      </w:r>
      <w:proofErr w:type="spellEnd"/>
      <w:r>
        <w:rPr>
          <w:b/>
          <w:sz w:val="22"/>
          <w:szCs w:val="22"/>
        </w:rPr>
        <w:t xml:space="preserve"> curve </w:t>
      </w:r>
      <w:proofErr w:type="spellStart"/>
      <w:r>
        <w:rPr>
          <w:b/>
          <w:sz w:val="22"/>
          <w:szCs w:val="22"/>
        </w:rPr>
        <w:t>verification</w:t>
      </w:r>
      <w:proofErr w:type="spellEnd"/>
      <w:r>
        <w:rPr>
          <w:b/>
          <w:sz w:val="22"/>
          <w:szCs w:val="22"/>
        </w:rPr>
        <w:t xml:space="preserve"> test</w:t>
      </w:r>
    </w:p>
    <w:p w14:paraId="20BE6883" w14:textId="77777777" w:rsidR="00E255F4" w:rsidRDefault="00000000">
      <w:pPr>
        <w:pStyle w:val="Prrafodelista"/>
        <w:numPr>
          <w:ilvl w:val="3"/>
          <w:numId w:val="16"/>
        </w:numPr>
        <w:spacing w:before="240" w:after="120"/>
        <w:ind w:left="851" w:hanging="851"/>
        <w:jc w:val="both"/>
      </w:pPr>
      <w:r>
        <w:rPr>
          <w:spacing w:val="-3"/>
          <w:sz w:val="22"/>
          <w:szCs w:val="22"/>
          <w:lang w:val="es-ES"/>
        </w:rPr>
        <w:t xml:space="preserve">   </w:t>
      </w:r>
      <w:proofErr w:type="spellStart"/>
      <w:r>
        <w:rPr>
          <w:spacing w:val="-3"/>
          <w:sz w:val="22"/>
          <w:szCs w:val="22"/>
          <w:lang w:val="es-ES"/>
        </w:rPr>
        <w:t>It</w:t>
      </w:r>
      <w:proofErr w:type="spellEnd"/>
      <w:r>
        <w:rPr>
          <w:spacing w:val="-3"/>
          <w:sz w:val="22"/>
          <w:szCs w:val="22"/>
          <w:lang w:val="es-ES"/>
        </w:rPr>
        <w:t xml:space="preserve"> </w:t>
      </w:r>
      <w:proofErr w:type="spellStart"/>
      <w:r>
        <w:rPr>
          <w:spacing w:val="-3"/>
          <w:sz w:val="22"/>
          <w:szCs w:val="22"/>
          <w:lang w:val="es-ES"/>
        </w:rPr>
        <w:t>will</w:t>
      </w:r>
      <w:proofErr w:type="spellEnd"/>
      <w:r>
        <w:rPr>
          <w:spacing w:val="-3"/>
          <w:sz w:val="22"/>
          <w:szCs w:val="22"/>
          <w:lang w:val="es-ES"/>
        </w:rPr>
        <w:t xml:space="preserve"> be </w:t>
      </w:r>
      <w:proofErr w:type="spellStart"/>
      <w:r>
        <w:rPr>
          <w:spacing w:val="-3"/>
          <w:sz w:val="22"/>
          <w:szCs w:val="22"/>
          <w:lang w:val="es-ES"/>
        </w:rPr>
        <w:t>verified</w:t>
      </w:r>
      <w:proofErr w:type="spellEnd"/>
      <w:r>
        <w:rPr>
          <w:spacing w:val="-3"/>
          <w:sz w:val="22"/>
          <w:szCs w:val="22"/>
          <w:lang w:val="es-ES"/>
        </w:rPr>
        <w:t xml:space="preserve"> </w:t>
      </w:r>
      <w:proofErr w:type="spellStart"/>
      <w:r>
        <w:rPr>
          <w:spacing w:val="-3"/>
          <w:sz w:val="22"/>
          <w:szCs w:val="22"/>
          <w:lang w:val="es-ES"/>
        </w:rPr>
        <w:t>that</w:t>
      </w:r>
      <w:proofErr w:type="spellEnd"/>
      <w:r>
        <w:rPr>
          <w:spacing w:val="-3"/>
          <w:sz w:val="22"/>
          <w:szCs w:val="22"/>
          <w:lang w:val="es-ES"/>
        </w:rPr>
        <w:t xml:space="preserve"> </w:t>
      </w:r>
      <w:proofErr w:type="spellStart"/>
      <w:r>
        <w:rPr>
          <w:spacing w:val="-3"/>
          <w:sz w:val="22"/>
          <w:szCs w:val="22"/>
          <w:lang w:val="es-ES"/>
        </w:rPr>
        <w:t>the</w:t>
      </w:r>
      <w:proofErr w:type="spellEnd"/>
      <w:r>
        <w:rPr>
          <w:spacing w:val="-3"/>
          <w:sz w:val="22"/>
          <w:szCs w:val="22"/>
          <w:lang w:val="es-ES"/>
        </w:rPr>
        <w:t xml:space="preserve"> </w:t>
      </w:r>
      <w:proofErr w:type="spellStart"/>
      <w:r>
        <w:rPr>
          <w:spacing w:val="-3"/>
          <w:sz w:val="22"/>
          <w:szCs w:val="22"/>
          <w:lang w:val="es-ES"/>
        </w:rPr>
        <w:t>meters</w:t>
      </w:r>
      <w:proofErr w:type="spellEnd"/>
      <w:r>
        <w:rPr>
          <w:spacing w:val="-3"/>
          <w:sz w:val="22"/>
          <w:szCs w:val="22"/>
          <w:lang w:val="es-ES"/>
        </w:rPr>
        <w:t xml:space="preserve"> at </w:t>
      </w:r>
      <w:proofErr w:type="spellStart"/>
      <w:r>
        <w:rPr>
          <w:spacing w:val="-3"/>
          <w:sz w:val="22"/>
          <w:szCs w:val="22"/>
          <w:lang w:val="es-ES"/>
        </w:rPr>
        <w:t>significant</w:t>
      </w:r>
      <w:proofErr w:type="spellEnd"/>
      <w:r>
        <w:rPr>
          <w:spacing w:val="-3"/>
          <w:sz w:val="22"/>
          <w:szCs w:val="22"/>
          <w:lang w:val="es-ES"/>
        </w:rPr>
        <w:t xml:space="preserve"> </w:t>
      </w:r>
      <w:proofErr w:type="spellStart"/>
      <w:r>
        <w:rPr>
          <w:spacing w:val="-3"/>
          <w:sz w:val="22"/>
          <w:szCs w:val="22"/>
          <w:lang w:val="es-ES"/>
        </w:rPr>
        <w:t>flow</w:t>
      </w:r>
      <w:proofErr w:type="spellEnd"/>
      <w:r>
        <w:rPr>
          <w:spacing w:val="-3"/>
          <w:sz w:val="22"/>
          <w:szCs w:val="22"/>
          <w:lang w:val="es-ES"/>
        </w:rPr>
        <w:t xml:space="preserve"> </w:t>
      </w:r>
      <w:proofErr w:type="spellStart"/>
      <w:r>
        <w:rPr>
          <w:spacing w:val="-3"/>
          <w:sz w:val="22"/>
          <w:szCs w:val="22"/>
          <w:lang w:val="es-ES"/>
        </w:rPr>
        <w:t>rates</w:t>
      </w:r>
      <w:proofErr w:type="spellEnd"/>
      <w:r>
        <w:rPr>
          <w:spacing w:val="-3"/>
          <w:sz w:val="22"/>
          <w:szCs w:val="22"/>
          <w:lang w:val="es-ES"/>
        </w:rPr>
        <w:t xml:space="preserve"> (Q3, Q2 and Q1) </w:t>
      </w:r>
      <w:proofErr w:type="spellStart"/>
      <w:r>
        <w:rPr>
          <w:spacing w:val="-3"/>
          <w:sz w:val="22"/>
          <w:szCs w:val="22"/>
          <w:lang w:val="es-ES"/>
        </w:rPr>
        <w:t>comply</w:t>
      </w:r>
      <w:proofErr w:type="spellEnd"/>
      <w:r>
        <w:rPr>
          <w:spacing w:val="-3"/>
          <w:sz w:val="22"/>
          <w:szCs w:val="22"/>
          <w:lang w:val="es-ES"/>
        </w:rPr>
        <w:t xml:space="preserve"> </w:t>
      </w:r>
      <w:proofErr w:type="spellStart"/>
      <w:r>
        <w:rPr>
          <w:spacing w:val="-3"/>
          <w:sz w:val="22"/>
          <w:szCs w:val="22"/>
          <w:lang w:val="es-ES"/>
        </w:rPr>
        <w:t>with</w:t>
      </w:r>
      <w:proofErr w:type="spellEnd"/>
      <w:r>
        <w:rPr>
          <w:spacing w:val="-3"/>
          <w:sz w:val="22"/>
          <w:szCs w:val="22"/>
          <w:lang w:val="es-ES"/>
        </w:rPr>
        <w:t xml:space="preserve"> </w:t>
      </w:r>
      <w:proofErr w:type="spellStart"/>
      <w:r>
        <w:rPr>
          <w:spacing w:val="-3"/>
          <w:sz w:val="22"/>
          <w:szCs w:val="22"/>
          <w:lang w:val="es-ES"/>
        </w:rPr>
        <w:t>the</w:t>
      </w:r>
      <w:proofErr w:type="spellEnd"/>
      <w:r>
        <w:rPr>
          <w:spacing w:val="-3"/>
          <w:sz w:val="22"/>
          <w:szCs w:val="22"/>
          <w:lang w:val="es-ES"/>
        </w:rPr>
        <w:t xml:space="preserve"> </w:t>
      </w:r>
      <w:proofErr w:type="spellStart"/>
      <w:r>
        <w:rPr>
          <w:spacing w:val="-3"/>
          <w:sz w:val="22"/>
          <w:szCs w:val="22"/>
          <w:lang w:val="es-ES"/>
        </w:rPr>
        <w:t>maximum</w:t>
      </w:r>
      <w:proofErr w:type="spellEnd"/>
      <w:r>
        <w:rPr>
          <w:spacing w:val="-3"/>
          <w:sz w:val="22"/>
          <w:szCs w:val="22"/>
          <w:lang w:val="es-ES"/>
        </w:rPr>
        <w:t xml:space="preserve"> </w:t>
      </w:r>
      <w:proofErr w:type="spellStart"/>
      <w:r>
        <w:rPr>
          <w:spacing w:val="-3"/>
          <w:sz w:val="22"/>
          <w:szCs w:val="22"/>
          <w:lang w:val="es-ES"/>
        </w:rPr>
        <w:t>permissible</w:t>
      </w:r>
      <w:proofErr w:type="spellEnd"/>
      <w:r>
        <w:rPr>
          <w:spacing w:val="-3"/>
          <w:sz w:val="22"/>
          <w:szCs w:val="22"/>
          <w:lang w:val="es-ES"/>
        </w:rPr>
        <w:t xml:space="preserve"> </w:t>
      </w:r>
      <w:proofErr w:type="spellStart"/>
      <w:proofErr w:type="gramStart"/>
      <w:r>
        <w:rPr>
          <w:spacing w:val="-3"/>
          <w:sz w:val="22"/>
          <w:szCs w:val="22"/>
          <w:lang w:val="es-ES"/>
        </w:rPr>
        <w:t>errors</w:t>
      </w:r>
      <w:proofErr w:type="spellEnd"/>
      <w:r>
        <w:rPr>
          <w:sz w:val="22"/>
          <w:szCs w:val="22"/>
          <w:lang w:val="es-ES"/>
        </w:rPr>
        <w:t>(</w:t>
      </w:r>
      <w:proofErr w:type="gramEnd"/>
      <w:r>
        <w:rPr>
          <w:sz w:val="22"/>
          <w:szCs w:val="22"/>
          <w:lang w:val="es-ES"/>
        </w:rPr>
        <w:t xml:space="preserve">Art. 7.3.1 </w:t>
      </w:r>
      <w:proofErr w:type="spellStart"/>
      <w:r>
        <w:rPr>
          <w:sz w:val="22"/>
          <w:szCs w:val="22"/>
          <w:lang w:val="es-ES"/>
        </w:rPr>
        <w:t>of</w:t>
      </w:r>
      <w:proofErr w:type="spellEnd"/>
      <w:r>
        <w:rPr>
          <w:sz w:val="22"/>
          <w:szCs w:val="22"/>
          <w:lang w:val="es-ES"/>
        </w:rPr>
        <w:t xml:space="preserve"> </w:t>
      </w:r>
      <w:proofErr w:type="spellStart"/>
      <w:r>
        <w:rPr>
          <w:sz w:val="22"/>
          <w:szCs w:val="22"/>
          <w:lang w:val="es-ES"/>
        </w:rPr>
        <w:t>Annex</w:t>
      </w:r>
      <w:proofErr w:type="spellEnd"/>
      <w:r>
        <w:rPr>
          <w:sz w:val="22"/>
          <w:szCs w:val="22"/>
          <w:lang w:val="es-ES"/>
        </w:rPr>
        <w:t xml:space="preserve"> VII) </w:t>
      </w:r>
      <w:proofErr w:type="spellStart"/>
      <w:r>
        <w:rPr>
          <w:sz w:val="22"/>
          <w:szCs w:val="22"/>
          <w:lang w:val="es-ES"/>
        </w:rPr>
        <w:t>allowing</w:t>
      </w:r>
      <w:proofErr w:type="spellEnd"/>
      <w:r>
        <w:rPr>
          <w:sz w:val="22"/>
          <w:szCs w:val="22"/>
          <w:lang w:val="es-ES"/>
        </w:rPr>
        <w:t xml:space="preserve"> </w:t>
      </w:r>
      <w:proofErr w:type="spellStart"/>
      <w:r>
        <w:rPr>
          <w:sz w:val="22"/>
          <w:szCs w:val="22"/>
          <w:lang w:val="es-ES"/>
        </w:rPr>
        <w:t>the</w:t>
      </w:r>
      <w:proofErr w:type="spellEnd"/>
      <w:r>
        <w:rPr>
          <w:sz w:val="22"/>
          <w:szCs w:val="22"/>
          <w:lang w:val="es-ES"/>
        </w:rPr>
        <w:t xml:space="preserve"> </w:t>
      </w:r>
      <w:proofErr w:type="spellStart"/>
      <w:r>
        <w:rPr>
          <w:sz w:val="22"/>
          <w:szCs w:val="22"/>
          <w:lang w:val="es-ES"/>
        </w:rPr>
        <w:t>flow</w:t>
      </w:r>
      <w:proofErr w:type="spellEnd"/>
      <w:r>
        <w:rPr>
          <w:sz w:val="22"/>
          <w:szCs w:val="22"/>
          <w:lang w:val="es-ES"/>
        </w:rPr>
        <w:t xml:space="preserve"> </w:t>
      </w:r>
      <w:proofErr w:type="spellStart"/>
      <w:r>
        <w:rPr>
          <w:sz w:val="22"/>
          <w:szCs w:val="22"/>
          <w:lang w:val="es-ES"/>
        </w:rPr>
        <w:t>rate</w:t>
      </w:r>
      <w:proofErr w:type="spellEnd"/>
      <w:r>
        <w:rPr>
          <w:sz w:val="22"/>
          <w:szCs w:val="22"/>
          <w:lang w:val="es-ES"/>
        </w:rPr>
        <w:t xml:space="preserve"> </w:t>
      </w:r>
      <w:proofErr w:type="spellStart"/>
      <w:r>
        <w:rPr>
          <w:sz w:val="22"/>
          <w:szCs w:val="22"/>
          <w:lang w:val="es-ES"/>
        </w:rPr>
        <w:t>variations</w:t>
      </w:r>
      <w:proofErr w:type="spellEnd"/>
      <w:r>
        <w:rPr>
          <w:sz w:val="22"/>
          <w:szCs w:val="22"/>
          <w:lang w:val="es-ES"/>
        </w:rPr>
        <w:t xml:space="preserve"> </w:t>
      </w:r>
      <w:proofErr w:type="spellStart"/>
      <w:r>
        <w:rPr>
          <w:sz w:val="22"/>
          <w:szCs w:val="22"/>
          <w:lang w:val="es-ES"/>
        </w:rPr>
        <w:t>indicated</w:t>
      </w:r>
      <w:proofErr w:type="spellEnd"/>
      <w:r>
        <w:rPr>
          <w:sz w:val="22"/>
          <w:szCs w:val="22"/>
          <w:lang w:val="es-ES"/>
        </w:rPr>
        <w:t xml:space="preserve"> in ISO 4064 in </w:t>
      </w:r>
      <w:proofErr w:type="spellStart"/>
      <w:r>
        <w:rPr>
          <w:sz w:val="22"/>
          <w:szCs w:val="22"/>
          <w:lang w:val="es-ES"/>
        </w:rPr>
        <w:t>its</w:t>
      </w:r>
      <w:proofErr w:type="spellEnd"/>
      <w:r>
        <w:rPr>
          <w:sz w:val="22"/>
          <w:szCs w:val="22"/>
          <w:lang w:val="es-ES"/>
        </w:rPr>
        <w:t xml:space="preserve"> </w:t>
      </w:r>
      <w:proofErr w:type="spellStart"/>
      <w:r>
        <w:rPr>
          <w:sz w:val="22"/>
          <w:szCs w:val="22"/>
          <w:lang w:val="es-ES"/>
        </w:rPr>
        <w:t>latest</w:t>
      </w:r>
      <w:proofErr w:type="spellEnd"/>
      <w:r>
        <w:rPr>
          <w:sz w:val="22"/>
          <w:szCs w:val="22"/>
          <w:lang w:val="es-ES"/>
        </w:rPr>
        <w:t xml:space="preserve"> </w:t>
      </w:r>
      <w:proofErr w:type="spellStart"/>
      <w:r>
        <w:rPr>
          <w:sz w:val="22"/>
          <w:szCs w:val="22"/>
          <w:lang w:val="es-ES"/>
        </w:rPr>
        <w:t>version</w:t>
      </w:r>
      <w:proofErr w:type="spellEnd"/>
      <w:r>
        <w:rPr>
          <w:sz w:val="22"/>
          <w:szCs w:val="22"/>
          <w:lang w:val="es-ES"/>
        </w:rPr>
        <w:t xml:space="preserve"> </w:t>
      </w:r>
      <w:proofErr w:type="spellStart"/>
      <w:r>
        <w:rPr>
          <w:sz w:val="22"/>
          <w:szCs w:val="22"/>
          <w:lang w:val="es-ES"/>
        </w:rPr>
        <w:t>or</w:t>
      </w:r>
      <w:proofErr w:type="spellEnd"/>
      <w:r>
        <w:rPr>
          <w:sz w:val="22"/>
          <w:szCs w:val="22"/>
          <w:lang w:val="es-ES"/>
        </w:rPr>
        <w:t xml:space="preserve"> </w:t>
      </w:r>
      <w:proofErr w:type="spellStart"/>
      <w:r>
        <w:rPr>
          <w:sz w:val="22"/>
          <w:szCs w:val="22"/>
          <w:lang w:val="es-ES"/>
        </w:rPr>
        <w:t>its</w:t>
      </w:r>
      <w:proofErr w:type="spellEnd"/>
      <w:r>
        <w:rPr>
          <w:sz w:val="22"/>
          <w:szCs w:val="22"/>
          <w:lang w:val="es-ES"/>
        </w:rPr>
        <w:t xml:space="preserve"> </w:t>
      </w:r>
      <w:proofErr w:type="spellStart"/>
      <w:r>
        <w:rPr>
          <w:sz w:val="22"/>
          <w:szCs w:val="22"/>
          <w:lang w:val="es-ES"/>
        </w:rPr>
        <w:t>equivalent</w:t>
      </w:r>
      <w:proofErr w:type="spellEnd"/>
      <w:r>
        <w:rPr>
          <w:sz w:val="22"/>
          <w:szCs w:val="22"/>
          <w:lang w:val="es-ES"/>
        </w:rPr>
        <w:t xml:space="preserve">. </w:t>
      </w:r>
      <w:proofErr w:type="spellStart"/>
      <w:r>
        <w:rPr>
          <w:sz w:val="22"/>
          <w:szCs w:val="22"/>
          <w:lang w:val="es-ES"/>
        </w:rPr>
        <w:t>To</w:t>
      </w:r>
      <w:proofErr w:type="spellEnd"/>
      <w:r>
        <w:rPr>
          <w:sz w:val="22"/>
          <w:szCs w:val="22"/>
          <w:lang w:val="es-ES"/>
        </w:rPr>
        <w:t xml:space="preserve"> </w:t>
      </w:r>
      <w:proofErr w:type="spellStart"/>
      <w:r>
        <w:rPr>
          <w:sz w:val="22"/>
          <w:szCs w:val="22"/>
          <w:lang w:val="es-ES"/>
        </w:rPr>
        <w:t>this</w:t>
      </w:r>
      <w:proofErr w:type="spellEnd"/>
      <w:r>
        <w:rPr>
          <w:sz w:val="22"/>
          <w:szCs w:val="22"/>
          <w:lang w:val="es-ES"/>
        </w:rPr>
        <w:t xml:space="preserve"> </w:t>
      </w:r>
      <w:proofErr w:type="spellStart"/>
      <w:r>
        <w:rPr>
          <w:sz w:val="22"/>
          <w:szCs w:val="22"/>
          <w:lang w:val="es-ES"/>
        </w:rPr>
        <w:t>end</w:t>
      </w:r>
      <w:proofErr w:type="spellEnd"/>
      <w:r>
        <w:rPr>
          <w:sz w:val="22"/>
          <w:szCs w:val="22"/>
          <w:lang w:val="es-ES"/>
        </w:rPr>
        <w:t xml:space="preserve">, </w:t>
      </w:r>
      <w:proofErr w:type="spellStart"/>
      <w:r>
        <w:rPr>
          <w:sz w:val="22"/>
          <w:szCs w:val="22"/>
          <w:lang w:val="es-ES"/>
        </w:rPr>
        <w:t>the</w:t>
      </w:r>
      <w:proofErr w:type="spellEnd"/>
      <w:r>
        <w:rPr>
          <w:sz w:val="22"/>
          <w:szCs w:val="22"/>
          <w:lang w:val="es-ES"/>
        </w:rPr>
        <w:t xml:space="preserve"> </w:t>
      </w:r>
      <w:proofErr w:type="spellStart"/>
      <w:r>
        <w:rPr>
          <w:sz w:val="22"/>
          <w:szCs w:val="22"/>
          <w:lang w:val="es-ES"/>
        </w:rPr>
        <w:t>reference</w:t>
      </w:r>
      <w:proofErr w:type="spellEnd"/>
      <w:r>
        <w:rPr>
          <w:sz w:val="22"/>
          <w:szCs w:val="22"/>
          <w:lang w:val="es-ES"/>
        </w:rPr>
        <w:t xml:space="preserve"> </w:t>
      </w:r>
      <w:proofErr w:type="spellStart"/>
      <w:r>
        <w:rPr>
          <w:sz w:val="22"/>
          <w:szCs w:val="22"/>
          <w:lang w:val="es-ES"/>
        </w:rPr>
        <w:t>volumes</w:t>
      </w:r>
      <w:proofErr w:type="spellEnd"/>
      <w:r>
        <w:rPr>
          <w:sz w:val="22"/>
          <w:szCs w:val="22"/>
          <w:lang w:val="es-ES"/>
        </w:rPr>
        <w:t xml:space="preserve"> </w:t>
      </w:r>
      <w:proofErr w:type="spellStart"/>
      <w:r>
        <w:rPr>
          <w:sz w:val="22"/>
          <w:szCs w:val="22"/>
          <w:lang w:val="es-ES"/>
        </w:rPr>
        <w:t>indicated</w:t>
      </w:r>
      <w:proofErr w:type="spellEnd"/>
      <w:r>
        <w:rPr>
          <w:sz w:val="22"/>
          <w:szCs w:val="22"/>
          <w:lang w:val="es-ES"/>
        </w:rPr>
        <w:t xml:space="preserve"> </w:t>
      </w:r>
      <w:proofErr w:type="spellStart"/>
      <w:r>
        <w:rPr>
          <w:sz w:val="22"/>
          <w:szCs w:val="22"/>
          <w:lang w:val="es-ES"/>
        </w:rPr>
        <w:t>on</w:t>
      </w:r>
      <w:proofErr w:type="spellEnd"/>
      <w:r>
        <w:rPr>
          <w:sz w:val="22"/>
          <w:szCs w:val="22"/>
          <w:lang w:val="es-ES"/>
        </w:rPr>
        <w:t xml:space="preserve"> </w:t>
      </w:r>
      <w:proofErr w:type="spellStart"/>
      <w:r>
        <w:rPr>
          <w:sz w:val="22"/>
          <w:szCs w:val="22"/>
          <w:lang w:val="es-ES"/>
        </w:rPr>
        <w:t>the</w:t>
      </w:r>
      <w:proofErr w:type="spellEnd"/>
      <w:r>
        <w:rPr>
          <w:sz w:val="22"/>
          <w:szCs w:val="22"/>
          <w:lang w:val="es-ES"/>
        </w:rPr>
        <w:t xml:space="preserve"> test </w:t>
      </w:r>
      <w:proofErr w:type="spellStart"/>
      <w:r>
        <w:rPr>
          <w:sz w:val="22"/>
          <w:szCs w:val="22"/>
          <w:lang w:val="es-ES"/>
        </w:rPr>
        <w:t>bench</w:t>
      </w:r>
      <w:proofErr w:type="spellEnd"/>
      <w:r>
        <w:rPr>
          <w:sz w:val="22"/>
          <w:szCs w:val="22"/>
          <w:lang w:val="es-ES"/>
        </w:rPr>
        <w:t xml:space="preserve"> </w:t>
      </w:r>
      <w:proofErr w:type="spellStart"/>
      <w:r>
        <w:rPr>
          <w:sz w:val="22"/>
          <w:szCs w:val="22"/>
          <w:lang w:val="es-ES"/>
        </w:rPr>
        <w:t>will</w:t>
      </w:r>
      <w:proofErr w:type="spellEnd"/>
      <w:r>
        <w:rPr>
          <w:sz w:val="22"/>
          <w:szCs w:val="22"/>
          <w:lang w:val="es-ES"/>
        </w:rPr>
        <w:t xml:space="preserve"> be </w:t>
      </w:r>
      <w:proofErr w:type="spellStart"/>
      <w:r>
        <w:rPr>
          <w:sz w:val="22"/>
          <w:szCs w:val="22"/>
          <w:lang w:val="es-ES"/>
        </w:rPr>
        <w:t>compared</w:t>
      </w:r>
      <w:proofErr w:type="spellEnd"/>
      <w:r>
        <w:rPr>
          <w:sz w:val="22"/>
          <w:szCs w:val="22"/>
          <w:lang w:val="es-ES"/>
        </w:rPr>
        <w:t xml:space="preserve"> </w:t>
      </w:r>
      <w:proofErr w:type="spellStart"/>
      <w:r>
        <w:rPr>
          <w:sz w:val="22"/>
          <w:szCs w:val="22"/>
          <w:lang w:val="es-ES"/>
        </w:rPr>
        <w:t>with</w:t>
      </w:r>
      <w:proofErr w:type="spellEnd"/>
      <w:r>
        <w:rPr>
          <w:sz w:val="22"/>
          <w:szCs w:val="22"/>
          <w:lang w:val="es-ES"/>
        </w:rPr>
        <w:t xml:space="preserve"> </w:t>
      </w:r>
      <w:proofErr w:type="spellStart"/>
      <w:r>
        <w:rPr>
          <w:sz w:val="22"/>
          <w:szCs w:val="22"/>
          <w:lang w:val="es-ES"/>
        </w:rPr>
        <w:t>those</w:t>
      </w:r>
      <w:proofErr w:type="spellEnd"/>
      <w:r>
        <w:rPr>
          <w:sz w:val="22"/>
          <w:szCs w:val="22"/>
          <w:lang w:val="es-ES"/>
        </w:rPr>
        <w:t xml:space="preserve"> </w:t>
      </w:r>
      <w:proofErr w:type="spellStart"/>
      <w:r>
        <w:rPr>
          <w:sz w:val="22"/>
          <w:szCs w:val="22"/>
          <w:lang w:val="es-ES"/>
        </w:rPr>
        <w:t>recorded</w:t>
      </w:r>
      <w:proofErr w:type="spellEnd"/>
      <w:r>
        <w:rPr>
          <w:sz w:val="22"/>
          <w:szCs w:val="22"/>
          <w:lang w:val="es-ES"/>
        </w:rPr>
        <w:t xml:space="preserve"> </w:t>
      </w:r>
      <w:proofErr w:type="spellStart"/>
      <w:r>
        <w:rPr>
          <w:sz w:val="22"/>
          <w:szCs w:val="22"/>
          <w:lang w:val="es-ES"/>
        </w:rPr>
        <w:t>by</w:t>
      </w:r>
      <w:proofErr w:type="spellEnd"/>
      <w:r>
        <w:rPr>
          <w:sz w:val="22"/>
          <w:szCs w:val="22"/>
          <w:lang w:val="es-ES"/>
        </w:rPr>
        <w:t xml:space="preserve"> </w:t>
      </w:r>
      <w:proofErr w:type="spellStart"/>
      <w:r>
        <w:rPr>
          <w:sz w:val="22"/>
          <w:szCs w:val="22"/>
          <w:lang w:val="es-ES"/>
        </w:rPr>
        <w:t>each</w:t>
      </w:r>
      <w:proofErr w:type="spellEnd"/>
      <w:r>
        <w:rPr>
          <w:sz w:val="22"/>
          <w:szCs w:val="22"/>
          <w:lang w:val="es-ES"/>
        </w:rPr>
        <w:t xml:space="preserve"> meter, </w:t>
      </w:r>
      <w:proofErr w:type="spellStart"/>
      <w:r>
        <w:rPr>
          <w:sz w:val="22"/>
          <w:szCs w:val="22"/>
          <w:lang w:val="es-ES"/>
        </w:rPr>
        <w:t>calculating</w:t>
      </w:r>
      <w:proofErr w:type="spellEnd"/>
      <w:r>
        <w:rPr>
          <w:sz w:val="22"/>
          <w:szCs w:val="22"/>
          <w:lang w:val="es-ES"/>
        </w:rPr>
        <w:t xml:space="preserve"> </w:t>
      </w:r>
      <w:proofErr w:type="spellStart"/>
      <w:r>
        <w:rPr>
          <w:sz w:val="22"/>
          <w:szCs w:val="22"/>
          <w:lang w:val="es-ES"/>
        </w:rPr>
        <w:t>the</w:t>
      </w:r>
      <w:proofErr w:type="spellEnd"/>
      <w:r>
        <w:rPr>
          <w:sz w:val="22"/>
          <w:szCs w:val="22"/>
          <w:lang w:val="es-ES"/>
        </w:rPr>
        <w:t xml:space="preserve"> </w:t>
      </w:r>
      <w:proofErr w:type="spellStart"/>
      <w:r>
        <w:rPr>
          <w:sz w:val="22"/>
          <w:szCs w:val="22"/>
          <w:lang w:val="es-ES"/>
        </w:rPr>
        <w:t>corresponding</w:t>
      </w:r>
      <w:proofErr w:type="spellEnd"/>
      <w:r>
        <w:rPr>
          <w:sz w:val="22"/>
          <w:szCs w:val="22"/>
          <w:lang w:val="es-ES"/>
        </w:rPr>
        <w:t xml:space="preserve"> error </w:t>
      </w:r>
      <w:proofErr w:type="spellStart"/>
      <w:r>
        <w:rPr>
          <w:sz w:val="22"/>
          <w:szCs w:val="22"/>
          <w:lang w:val="es-ES"/>
        </w:rPr>
        <w:t>for</w:t>
      </w:r>
      <w:proofErr w:type="spellEnd"/>
      <w:r>
        <w:rPr>
          <w:sz w:val="22"/>
          <w:szCs w:val="22"/>
          <w:lang w:val="es-ES"/>
        </w:rPr>
        <w:t xml:space="preserve"> </w:t>
      </w:r>
      <w:proofErr w:type="spellStart"/>
      <w:r>
        <w:rPr>
          <w:sz w:val="22"/>
          <w:szCs w:val="22"/>
          <w:lang w:val="es-ES"/>
        </w:rPr>
        <w:t>each</w:t>
      </w:r>
      <w:proofErr w:type="spellEnd"/>
      <w:r>
        <w:rPr>
          <w:sz w:val="22"/>
          <w:szCs w:val="22"/>
          <w:lang w:val="es-ES"/>
        </w:rPr>
        <w:t xml:space="preserve"> </w:t>
      </w:r>
      <w:proofErr w:type="spellStart"/>
      <w:r>
        <w:rPr>
          <w:sz w:val="22"/>
          <w:szCs w:val="22"/>
          <w:lang w:val="es-ES"/>
        </w:rPr>
        <w:t>flow</w:t>
      </w:r>
      <w:proofErr w:type="spellEnd"/>
      <w:r>
        <w:rPr>
          <w:sz w:val="22"/>
          <w:szCs w:val="22"/>
          <w:lang w:val="es-ES"/>
        </w:rPr>
        <w:t xml:space="preserve"> </w:t>
      </w:r>
      <w:proofErr w:type="spellStart"/>
      <w:r>
        <w:rPr>
          <w:sz w:val="22"/>
          <w:szCs w:val="22"/>
          <w:lang w:val="es-ES"/>
        </w:rPr>
        <w:t>rate</w:t>
      </w:r>
      <w:proofErr w:type="spellEnd"/>
      <w:r>
        <w:rPr>
          <w:sz w:val="22"/>
          <w:szCs w:val="22"/>
          <w:lang w:val="es-ES"/>
        </w:rPr>
        <w:t>.</w:t>
      </w:r>
    </w:p>
    <w:p w14:paraId="43BC277B" w14:textId="77777777" w:rsidR="00E255F4" w:rsidRDefault="00000000">
      <w:pPr>
        <w:pStyle w:val="Prrafodelista"/>
        <w:numPr>
          <w:ilvl w:val="3"/>
          <w:numId w:val="16"/>
        </w:numPr>
        <w:spacing w:after="120"/>
        <w:ind w:left="851" w:hanging="851"/>
        <w:jc w:val="both"/>
        <w:rPr>
          <w:spacing w:val="-3"/>
          <w:sz w:val="22"/>
          <w:szCs w:val="22"/>
          <w:lang w:val="es-ES"/>
        </w:rPr>
      </w:pPr>
      <w:r>
        <w:rPr>
          <w:spacing w:val="-3"/>
          <w:sz w:val="22"/>
          <w:szCs w:val="22"/>
          <w:lang w:val="es-ES"/>
        </w:rPr>
        <w:t xml:space="preserve">  For </w:t>
      </w:r>
      <w:proofErr w:type="spellStart"/>
      <w:r>
        <w:rPr>
          <w:spacing w:val="-3"/>
          <w:sz w:val="22"/>
          <w:szCs w:val="22"/>
          <w:lang w:val="es-ES"/>
        </w:rPr>
        <w:t>carrying</w:t>
      </w:r>
      <w:proofErr w:type="spellEnd"/>
      <w:r>
        <w:rPr>
          <w:spacing w:val="-3"/>
          <w:sz w:val="22"/>
          <w:szCs w:val="22"/>
          <w:lang w:val="es-ES"/>
        </w:rPr>
        <w:t xml:space="preserve"> </w:t>
      </w:r>
      <w:proofErr w:type="spellStart"/>
      <w:r>
        <w:rPr>
          <w:spacing w:val="-3"/>
          <w:sz w:val="22"/>
          <w:szCs w:val="22"/>
          <w:lang w:val="es-ES"/>
        </w:rPr>
        <w:t>out</w:t>
      </w:r>
      <w:proofErr w:type="spellEnd"/>
      <w:r>
        <w:rPr>
          <w:spacing w:val="-3"/>
          <w:sz w:val="22"/>
          <w:szCs w:val="22"/>
          <w:lang w:val="es-ES"/>
        </w:rPr>
        <w:t xml:space="preserve"> </w:t>
      </w:r>
      <w:proofErr w:type="spellStart"/>
      <w:r>
        <w:rPr>
          <w:spacing w:val="-3"/>
          <w:sz w:val="22"/>
          <w:szCs w:val="22"/>
          <w:lang w:val="es-ES"/>
        </w:rPr>
        <w:t>these</w:t>
      </w:r>
      <w:proofErr w:type="spellEnd"/>
      <w:r>
        <w:rPr>
          <w:spacing w:val="-3"/>
          <w:sz w:val="22"/>
          <w:szCs w:val="22"/>
          <w:lang w:val="es-ES"/>
        </w:rPr>
        <w:t xml:space="preserve"> </w:t>
      </w:r>
      <w:proofErr w:type="spellStart"/>
      <w:r>
        <w:rPr>
          <w:spacing w:val="-3"/>
          <w:sz w:val="22"/>
          <w:szCs w:val="22"/>
          <w:lang w:val="es-ES"/>
        </w:rPr>
        <w:t>tests</w:t>
      </w:r>
      <w:proofErr w:type="spellEnd"/>
      <w:r>
        <w:rPr>
          <w:spacing w:val="-3"/>
          <w:sz w:val="22"/>
          <w:szCs w:val="22"/>
          <w:lang w:val="es-ES"/>
        </w:rPr>
        <w:t xml:space="preserve">, </w:t>
      </w:r>
      <w:proofErr w:type="spellStart"/>
      <w:r>
        <w:rPr>
          <w:spacing w:val="-3"/>
          <w:sz w:val="22"/>
          <w:szCs w:val="22"/>
          <w:lang w:val="es-ES"/>
        </w:rPr>
        <w:t>equipment</w:t>
      </w:r>
      <w:proofErr w:type="spellEnd"/>
      <w:r>
        <w:rPr>
          <w:spacing w:val="-3"/>
          <w:sz w:val="22"/>
          <w:szCs w:val="22"/>
          <w:lang w:val="es-ES"/>
        </w:rPr>
        <w:t xml:space="preserve"> </w:t>
      </w:r>
      <w:proofErr w:type="spellStart"/>
      <w:r>
        <w:rPr>
          <w:spacing w:val="-3"/>
          <w:sz w:val="22"/>
          <w:szCs w:val="22"/>
          <w:lang w:val="es-ES"/>
        </w:rPr>
        <w:t>with</w:t>
      </w:r>
      <w:proofErr w:type="spellEnd"/>
      <w:r>
        <w:rPr>
          <w:spacing w:val="-3"/>
          <w:sz w:val="22"/>
          <w:szCs w:val="22"/>
          <w:lang w:val="es-ES"/>
        </w:rPr>
        <w:t xml:space="preserve"> </w:t>
      </w:r>
      <w:proofErr w:type="spellStart"/>
      <w:r>
        <w:rPr>
          <w:spacing w:val="-3"/>
          <w:sz w:val="22"/>
          <w:szCs w:val="22"/>
          <w:lang w:val="es-ES"/>
        </w:rPr>
        <w:t>the</w:t>
      </w:r>
      <w:proofErr w:type="spellEnd"/>
      <w:r>
        <w:rPr>
          <w:spacing w:val="-3"/>
          <w:sz w:val="22"/>
          <w:szCs w:val="22"/>
          <w:lang w:val="es-ES"/>
        </w:rPr>
        <w:t xml:space="preserve"> </w:t>
      </w:r>
      <w:proofErr w:type="spellStart"/>
      <w:r>
        <w:rPr>
          <w:spacing w:val="-3"/>
          <w:sz w:val="22"/>
          <w:szCs w:val="22"/>
          <w:lang w:val="es-ES"/>
        </w:rPr>
        <w:t>characteristics</w:t>
      </w:r>
      <w:proofErr w:type="spellEnd"/>
      <w:r>
        <w:rPr>
          <w:spacing w:val="-3"/>
          <w:sz w:val="22"/>
          <w:szCs w:val="22"/>
          <w:lang w:val="es-ES"/>
        </w:rPr>
        <w:t xml:space="preserve"> </w:t>
      </w:r>
      <w:proofErr w:type="spellStart"/>
      <w:r>
        <w:rPr>
          <w:spacing w:val="-3"/>
          <w:sz w:val="22"/>
          <w:szCs w:val="22"/>
          <w:lang w:val="es-ES"/>
        </w:rPr>
        <w:t>indicated</w:t>
      </w:r>
      <w:proofErr w:type="spellEnd"/>
      <w:r>
        <w:rPr>
          <w:spacing w:val="-3"/>
          <w:sz w:val="22"/>
          <w:szCs w:val="22"/>
          <w:lang w:val="es-ES"/>
        </w:rPr>
        <w:t xml:space="preserve"> in </w:t>
      </w:r>
      <w:proofErr w:type="spellStart"/>
      <w:r>
        <w:rPr>
          <w:spacing w:val="-3"/>
          <w:sz w:val="22"/>
          <w:szCs w:val="22"/>
          <w:lang w:val="es-ES"/>
        </w:rPr>
        <w:t>the</w:t>
      </w:r>
      <w:r>
        <w:rPr>
          <w:sz w:val="22"/>
          <w:szCs w:val="22"/>
          <w:lang w:val="es-ES"/>
        </w:rPr>
        <w:t>Item</w:t>
      </w:r>
      <w:proofErr w:type="spellEnd"/>
      <w:r>
        <w:rPr>
          <w:sz w:val="22"/>
          <w:szCs w:val="22"/>
          <w:lang w:val="es-ES"/>
        </w:rPr>
        <w:t xml:space="preserve"> 14.2 </w:t>
      </w:r>
      <w:proofErr w:type="spellStart"/>
      <w:r>
        <w:rPr>
          <w:sz w:val="22"/>
          <w:szCs w:val="22"/>
          <w:lang w:val="es-ES"/>
        </w:rPr>
        <w:t>of</w:t>
      </w:r>
      <w:proofErr w:type="spellEnd"/>
      <w:r>
        <w:rPr>
          <w:sz w:val="22"/>
          <w:szCs w:val="22"/>
          <w:lang w:val="es-ES"/>
        </w:rPr>
        <w:t xml:space="preserve"> </w:t>
      </w:r>
      <w:proofErr w:type="spellStart"/>
      <w:r>
        <w:rPr>
          <w:sz w:val="22"/>
          <w:szCs w:val="22"/>
          <w:lang w:val="es-ES"/>
        </w:rPr>
        <w:t>this</w:t>
      </w:r>
      <w:proofErr w:type="spellEnd"/>
      <w:r>
        <w:rPr>
          <w:sz w:val="22"/>
          <w:szCs w:val="22"/>
          <w:lang w:val="es-ES"/>
        </w:rPr>
        <w:t xml:space="preserve"> </w:t>
      </w:r>
      <w:proofErr w:type="spellStart"/>
      <w:r>
        <w:rPr>
          <w:sz w:val="22"/>
          <w:szCs w:val="22"/>
          <w:lang w:val="es-ES"/>
        </w:rPr>
        <w:t>Annex</w:t>
      </w:r>
      <w:proofErr w:type="spellEnd"/>
      <w:r>
        <w:rPr>
          <w:sz w:val="22"/>
          <w:szCs w:val="22"/>
          <w:lang w:val="es-ES"/>
        </w:rPr>
        <w:t xml:space="preserve"> VII.</w:t>
      </w:r>
    </w:p>
    <w:p w14:paraId="244374E0" w14:textId="77777777" w:rsidR="00E255F4" w:rsidRDefault="00000000">
      <w:pPr>
        <w:numPr>
          <w:ilvl w:val="2"/>
          <w:numId w:val="16"/>
        </w:numPr>
        <w:spacing w:before="240" w:after="120"/>
        <w:rPr>
          <w:b/>
          <w:sz w:val="22"/>
          <w:szCs w:val="22"/>
        </w:rPr>
      </w:pPr>
      <w:r>
        <w:rPr>
          <w:b/>
          <w:sz w:val="22"/>
          <w:szCs w:val="22"/>
        </w:rPr>
        <w:t>Start-up test</w:t>
      </w:r>
    </w:p>
    <w:p w14:paraId="4AE76B06" w14:textId="77777777" w:rsidR="00E255F4" w:rsidRDefault="00000000">
      <w:pPr>
        <w:pStyle w:val="Prrafodelista"/>
        <w:numPr>
          <w:ilvl w:val="3"/>
          <w:numId w:val="16"/>
        </w:numPr>
        <w:tabs>
          <w:tab w:val="left" w:pos="851"/>
        </w:tabs>
        <w:spacing w:after="120"/>
        <w:ind w:left="851" w:hanging="851"/>
        <w:jc w:val="both"/>
      </w:pPr>
      <w:proofErr w:type="spellStart"/>
      <w:r>
        <w:rPr>
          <w:spacing w:val="-3"/>
          <w:sz w:val="22"/>
          <w:szCs w:val="22"/>
          <w:lang w:val="es-ES"/>
        </w:rPr>
        <w:t>This</w:t>
      </w:r>
      <w:proofErr w:type="spellEnd"/>
      <w:r>
        <w:rPr>
          <w:spacing w:val="-3"/>
          <w:sz w:val="22"/>
          <w:szCs w:val="22"/>
          <w:lang w:val="es-ES"/>
        </w:rPr>
        <w:t xml:space="preserve"> test </w:t>
      </w:r>
      <w:proofErr w:type="spellStart"/>
      <w:r>
        <w:rPr>
          <w:spacing w:val="-3"/>
          <w:sz w:val="22"/>
          <w:szCs w:val="22"/>
          <w:lang w:val="es-ES"/>
        </w:rPr>
        <w:t>will</w:t>
      </w:r>
      <w:proofErr w:type="spellEnd"/>
      <w:r>
        <w:rPr>
          <w:spacing w:val="-3"/>
          <w:sz w:val="22"/>
          <w:szCs w:val="22"/>
          <w:lang w:val="es-ES"/>
        </w:rPr>
        <w:t xml:space="preserve"> </w:t>
      </w:r>
      <w:proofErr w:type="spellStart"/>
      <w:r>
        <w:rPr>
          <w:spacing w:val="-3"/>
          <w:sz w:val="22"/>
          <w:szCs w:val="22"/>
          <w:lang w:val="es-ES"/>
        </w:rPr>
        <w:t>verify</w:t>
      </w:r>
      <w:proofErr w:type="spellEnd"/>
      <w:r>
        <w:rPr>
          <w:spacing w:val="-3"/>
          <w:sz w:val="22"/>
          <w:szCs w:val="22"/>
          <w:lang w:val="es-ES"/>
        </w:rPr>
        <w:t xml:space="preserve"> </w:t>
      </w:r>
      <w:proofErr w:type="spellStart"/>
      <w:r>
        <w:rPr>
          <w:spacing w:val="-3"/>
          <w:sz w:val="22"/>
          <w:szCs w:val="22"/>
          <w:lang w:val="es-ES"/>
        </w:rPr>
        <w:t>whether</w:t>
      </w:r>
      <w:proofErr w:type="spellEnd"/>
      <w:r>
        <w:rPr>
          <w:spacing w:val="-3"/>
          <w:sz w:val="22"/>
          <w:szCs w:val="22"/>
          <w:lang w:val="es-ES"/>
        </w:rPr>
        <w:t xml:space="preserve"> </w:t>
      </w:r>
      <w:proofErr w:type="spellStart"/>
      <w:r>
        <w:rPr>
          <w:spacing w:val="-3"/>
          <w:sz w:val="22"/>
          <w:szCs w:val="22"/>
          <w:lang w:val="es-ES"/>
        </w:rPr>
        <w:t>the</w:t>
      </w:r>
      <w:proofErr w:type="spellEnd"/>
      <w:r>
        <w:rPr>
          <w:spacing w:val="-3"/>
          <w:sz w:val="22"/>
          <w:szCs w:val="22"/>
          <w:lang w:val="es-ES"/>
        </w:rPr>
        <w:t xml:space="preserve"> </w:t>
      </w:r>
      <w:proofErr w:type="spellStart"/>
      <w:r>
        <w:rPr>
          <w:spacing w:val="-3"/>
          <w:sz w:val="22"/>
          <w:szCs w:val="22"/>
          <w:lang w:val="es-ES"/>
        </w:rPr>
        <w:t>meters</w:t>
      </w:r>
      <w:proofErr w:type="spellEnd"/>
      <w:r>
        <w:rPr>
          <w:spacing w:val="-3"/>
          <w:sz w:val="22"/>
          <w:szCs w:val="22"/>
          <w:lang w:val="es-ES"/>
        </w:rPr>
        <w:t xml:space="preserve"> </w:t>
      </w:r>
      <w:proofErr w:type="spellStart"/>
      <w:r>
        <w:rPr>
          <w:spacing w:val="-3"/>
          <w:sz w:val="22"/>
          <w:szCs w:val="22"/>
          <w:lang w:val="es-ES"/>
        </w:rPr>
        <w:t>register</w:t>
      </w:r>
      <w:proofErr w:type="spellEnd"/>
      <w:r>
        <w:rPr>
          <w:spacing w:val="-3"/>
          <w:sz w:val="22"/>
          <w:szCs w:val="22"/>
          <w:lang w:val="es-ES"/>
        </w:rPr>
        <w:t xml:space="preserve"> </w:t>
      </w:r>
      <w:proofErr w:type="spellStart"/>
      <w:r>
        <w:rPr>
          <w:spacing w:val="-3"/>
          <w:sz w:val="22"/>
          <w:szCs w:val="22"/>
          <w:lang w:val="es-ES"/>
        </w:rPr>
        <w:t>the</w:t>
      </w:r>
      <w:proofErr w:type="spellEnd"/>
      <w:r>
        <w:rPr>
          <w:spacing w:val="-3"/>
          <w:sz w:val="22"/>
          <w:szCs w:val="22"/>
          <w:lang w:val="es-ES"/>
        </w:rPr>
        <w:t xml:space="preserve"> </w:t>
      </w:r>
      <w:proofErr w:type="spellStart"/>
      <w:r>
        <w:rPr>
          <w:spacing w:val="-3"/>
          <w:sz w:val="22"/>
          <w:szCs w:val="22"/>
          <w:lang w:val="es-ES"/>
        </w:rPr>
        <w:t>passage</w:t>
      </w:r>
      <w:proofErr w:type="spellEnd"/>
      <w:r>
        <w:rPr>
          <w:spacing w:val="-3"/>
          <w:sz w:val="22"/>
          <w:szCs w:val="22"/>
          <w:lang w:val="es-ES"/>
        </w:rPr>
        <w:t xml:space="preserve"> </w:t>
      </w:r>
      <w:proofErr w:type="spellStart"/>
      <w:r>
        <w:rPr>
          <w:spacing w:val="-3"/>
          <w:sz w:val="22"/>
          <w:szCs w:val="22"/>
          <w:lang w:val="es-ES"/>
        </w:rPr>
        <w:t>of</w:t>
      </w:r>
      <w:proofErr w:type="spellEnd"/>
      <w:r>
        <w:rPr>
          <w:spacing w:val="-3"/>
          <w:sz w:val="22"/>
          <w:szCs w:val="22"/>
          <w:lang w:val="es-ES"/>
        </w:rPr>
        <w:t xml:space="preserve"> </w:t>
      </w:r>
      <w:proofErr w:type="spellStart"/>
      <w:r>
        <w:rPr>
          <w:spacing w:val="-3"/>
          <w:sz w:val="22"/>
          <w:szCs w:val="22"/>
          <w:lang w:val="es-ES"/>
        </w:rPr>
        <w:t>water</w:t>
      </w:r>
      <w:proofErr w:type="spellEnd"/>
      <w:r>
        <w:rPr>
          <w:spacing w:val="-3"/>
          <w:sz w:val="22"/>
          <w:szCs w:val="22"/>
          <w:lang w:val="es-ES"/>
        </w:rPr>
        <w:t xml:space="preserve"> at </w:t>
      </w:r>
      <w:proofErr w:type="spellStart"/>
      <w:r>
        <w:rPr>
          <w:spacing w:val="-3"/>
          <w:sz w:val="22"/>
          <w:szCs w:val="22"/>
          <w:lang w:val="es-ES"/>
        </w:rPr>
        <w:t>the</w:t>
      </w:r>
      <w:proofErr w:type="spellEnd"/>
      <w:r>
        <w:rPr>
          <w:spacing w:val="-3"/>
          <w:sz w:val="22"/>
          <w:szCs w:val="22"/>
          <w:lang w:val="es-ES"/>
        </w:rPr>
        <w:t xml:space="preserve"> </w:t>
      </w:r>
      <w:proofErr w:type="spellStart"/>
      <w:r>
        <w:rPr>
          <w:spacing w:val="-3"/>
          <w:sz w:val="22"/>
          <w:szCs w:val="22"/>
          <w:lang w:val="es-ES"/>
        </w:rPr>
        <w:t>flow</w:t>
      </w:r>
      <w:proofErr w:type="spellEnd"/>
      <w:r>
        <w:rPr>
          <w:spacing w:val="-3"/>
          <w:sz w:val="22"/>
          <w:szCs w:val="22"/>
          <w:lang w:val="es-ES"/>
        </w:rPr>
        <w:t xml:space="preserve"> </w:t>
      </w:r>
      <w:proofErr w:type="spellStart"/>
      <w:r>
        <w:rPr>
          <w:spacing w:val="-3"/>
          <w:sz w:val="22"/>
          <w:szCs w:val="22"/>
          <w:lang w:val="es-ES"/>
        </w:rPr>
        <w:t>rate</w:t>
      </w:r>
      <w:proofErr w:type="spellEnd"/>
      <w:r>
        <w:rPr>
          <w:spacing w:val="-3"/>
          <w:sz w:val="22"/>
          <w:szCs w:val="22"/>
          <w:lang w:val="es-ES"/>
        </w:rPr>
        <w:t xml:space="preserve"> </w:t>
      </w:r>
      <w:proofErr w:type="spellStart"/>
      <w:r>
        <w:rPr>
          <w:spacing w:val="-3"/>
          <w:sz w:val="22"/>
          <w:szCs w:val="22"/>
          <w:lang w:val="es-ES"/>
        </w:rPr>
        <w:t>indicated</w:t>
      </w:r>
      <w:proofErr w:type="spellEnd"/>
      <w:r>
        <w:rPr>
          <w:spacing w:val="-3"/>
          <w:sz w:val="22"/>
          <w:szCs w:val="22"/>
          <w:lang w:val="es-ES"/>
        </w:rPr>
        <w:t xml:space="preserve"> </w:t>
      </w:r>
      <w:proofErr w:type="spellStart"/>
      <w:r>
        <w:rPr>
          <w:spacing w:val="-3"/>
          <w:sz w:val="22"/>
          <w:szCs w:val="22"/>
          <w:lang w:val="es-ES"/>
        </w:rPr>
        <w:t>by</w:t>
      </w:r>
      <w:proofErr w:type="spellEnd"/>
      <w:r>
        <w:rPr>
          <w:spacing w:val="-3"/>
          <w:sz w:val="22"/>
          <w:szCs w:val="22"/>
          <w:lang w:val="es-ES"/>
        </w:rPr>
        <w:t xml:space="preserve"> </w:t>
      </w:r>
      <w:proofErr w:type="spellStart"/>
      <w:r>
        <w:rPr>
          <w:spacing w:val="-3"/>
          <w:sz w:val="22"/>
          <w:szCs w:val="22"/>
          <w:lang w:val="es-ES"/>
        </w:rPr>
        <w:t>the</w:t>
      </w:r>
      <w:proofErr w:type="spellEnd"/>
      <w:r>
        <w:rPr>
          <w:spacing w:val="-3"/>
          <w:sz w:val="22"/>
          <w:szCs w:val="22"/>
          <w:lang w:val="es-ES"/>
        </w:rPr>
        <w:t xml:space="preserve"> </w:t>
      </w:r>
      <w:proofErr w:type="spellStart"/>
      <w:r>
        <w:rPr>
          <w:spacing w:val="-3"/>
          <w:sz w:val="22"/>
          <w:szCs w:val="22"/>
          <w:lang w:val="es-ES"/>
        </w:rPr>
        <w:t>manufacturer</w:t>
      </w:r>
      <w:proofErr w:type="spellEnd"/>
      <w:r>
        <w:rPr>
          <w:spacing w:val="-3"/>
          <w:sz w:val="22"/>
          <w:szCs w:val="22"/>
          <w:lang w:val="es-ES"/>
        </w:rPr>
        <w:t xml:space="preserve">, </w:t>
      </w:r>
      <w:proofErr w:type="spellStart"/>
      <w:r>
        <w:rPr>
          <w:spacing w:val="-3"/>
          <w:sz w:val="22"/>
          <w:szCs w:val="22"/>
          <w:lang w:val="es-ES"/>
        </w:rPr>
        <w:t>which</w:t>
      </w:r>
      <w:proofErr w:type="spellEnd"/>
      <w:r>
        <w:rPr>
          <w:spacing w:val="-3"/>
          <w:sz w:val="22"/>
          <w:szCs w:val="22"/>
          <w:lang w:val="es-ES"/>
        </w:rPr>
        <w:t xml:space="preserve"> </w:t>
      </w:r>
      <w:proofErr w:type="spellStart"/>
      <w:r>
        <w:rPr>
          <w:spacing w:val="-3"/>
          <w:sz w:val="22"/>
          <w:szCs w:val="22"/>
          <w:lang w:val="es-ES"/>
        </w:rPr>
        <w:t>should</w:t>
      </w:r>
      <w:proofErr w:type="spellEnd"/>
      <w:r>
        <w:rPr>
          <w:spacing w:val="-3"/>
          <w:sz w:val="22"/>
          <w:szCs w:val="22"/>
          <w:lang w:val="es-ES"/>
        </w:rPr>
        <w:t xml:space="preserve"> </w:t>
      </w:r>
      <w:proofErr w:type="spellStart"/>
      <w:r>
        <w:rPr>
          <w:spacing w:val="-3"/>
          <w:sz w:val="22"/>
          <w:szCs w:val="22"/>
          <w:lang w:val="es-ES"/>
        </w:rPr>
        <w:t>not</w:t>
      </w:r>
      <w:proofErr w:type="spellEnd"/>
      <w:r>
        <w:rPr>
          <w:spacing w:val="-3"/>
          <w:sz w:val="22"/>
          <w:szCs w:val="22"/>
          <w:lang w:val="es-ES"/>
        </w:rPr>
        <w:t xml:space="preserve"> </w:t>
      </w:r>
      <w:proofErr w:type="spellStart"/>
      <w:r>
        <w:rPr>
          <w:spacing w:val="-3"/>
          <w:sz w:val="22"/>
          <w:szCs w:val="22"/>
          <w:lang w:val="es-ES"/>
        </w:rPr>
        <w:t>exceed</w:t>
      </w:r>
      <w:proofErr w:type="spellEnd"/>
      <w:r>
        <w:rPr>
          <w:spacing w:val="-3"/>
          <w:sz w:val="22"/>
          <w:szCs w:val="22"/>
          <w:lang w:val="es-ES"/>
        </w:rPr>
        <w:t xml:space="preserve"> </w:t>
      </w:r>
      <w:proofErr w:type="spellStart"/>
      <w:r>
        <w:rPr>
          <w:spacing w:val="-3"/>
          <w:sz w:val="22"/>
          <w:szCs w:val="22"/>
          <w:lang w:val="es-ES"/>
        </w:rPr>
        <w:t>half</w:t>
      </w:r>
      <w:proofErr w:type="spellEnd"/>
      <w:r>
        <w:rPr>
          <w:spacing w:val="-3"/>
          <w:sz w:val="22"/>
          <w:szCs w:val="22"/>
          <w:lang w:val="es-ES"/>
        </w:rPr>
        <w:t xml:space="preserve"> </w:t>
      </w:r>
      <w:proofErr w:type="spellStart"/>
      <w:r>
        <w:rPr>
          <w:spacing w:val="-3"/>
          <w:sz w:val="22"/>
          <w:szCs w:val="22"/>
          <w:lang w:val="es-ES"/>
        </w:rPr>
        <w:t>the</w:t>
      </w:r>
      <w:proofErr w:type="spellEnd"/>
      <w:r>
        <w:rPr>
          <w:spacing w:val="-3"/>
          <w:sz w:val="22"/>
          <w:szCs w:val="22"/>
          <w:lang w:val="es-ES"/>
        </w:rPr>
        <w:t xml:space="preserve"> </w:t>
      </w:r>
      <w:proofErr w:type="spellStart"/>
      <w:r>
        <w:rPr>
          <w:spacing w:val="-3"/>
          <w:sz w:val="22"/>
          <w:szCs w:val="22"/>
          <w:lang w:val="es-ES"/>
        </w:rPr>
        <w:t>minimum</w:t>
      </w:r>
      <w:proofErr w:type="spellEnd"/>
      <w:r>
        <w:rPr>
          <w:spacing w:val="-3"/>
          <w:sz w:val="22"/>
          <w:szCs w:val="22"/>
          <w:lang w:val="es-ES"/>
        </w:rPr>
        <w:t xml:space="preserve"> </w:t>
      </w:r>
      <w:proofErr w:type="spellStart"/>
      <w:r>
        <w:rPr>
          <w:spacing w:val="-3"/>
          <w:sz w:val="22"/>
          <w:szCs w:val="22"/>
          <w:lang w:val="es-ES"/>
        </w:rPr>
        <w:t>flow</w:t>
      </w:r>
      <w:proofErr w:type="spellEnd"/>
      <w:r>
        <w:rPr>
          <w:spacing w:val="-3"/>
          <w:sz w:val="22"/>
          <w:szCs w:val="22"/>
          <w:lang w:val="es-ES"/>
        </w:rPr>
        <w:t xml:space="preserve"> </w:t>
      </w:r>
      <w:proofErr w:type="spellStart"/>
      <w:r>
        <w:rPr>
          <w:spacing w:val="-3"/>
          <w:sz w:val="22"/>
          <w:szCs w:val="22"/>
          <w:lang w:val="es-ES"/>
        </w:rPr>
        <w:t>rate</w:t>
      </w:r>
      <w:proofErr w:type="spellEnd"/>
      <w:r>
        <w:rPr>
          <w:spacing w:val="-3"/>
          <w:sz w:val="22"/>
          <w:szCs w:val="22"/>
          <w:lang w:val="es-ES"/>
        </w:rPr>
        <w:t xml:space="preserve">, and </w:t>
      </w:r>
      <w:proofErr w:type="spellStart"/>
      <w:r>
        <w:rPr>
          <w:spacing w:val="-3"/>
          <w:sz w:val="22"/>
          <w:szCs w:val="22"/>
          <w:lang w:val="es-ES"/>
        </w:rPr>
        <w:t>verifying</w:t>
      </w:r>
      <w:proofErr w:type="spellEnd"/>
      <w:r>
        <w:rPr>
          <w:spacing w:val="-3"/>
          <w:sz w:val="22"/>
          <w:szCs w:val="22"/>
          <w:lang w:val="es-ES"/>
        </w:rPr>
        <w:t xml:space="preserve"> </w:t>
      </w:r>
      <w:proofErr w:type="spellStart"/>
      <w:r>
        <w:rPr>
          <w:spacing w:val="-3"/>
          <w:sz w:val="22"/>
          <w:szCs w:val="22"/>
          <w:lang w:val="es-ES"/>
        </w:rPr>
        <w:t>that</w:t>
      </w:r>
      <w:proofErr w:type="spellEnd"/>
      <w:r>
        <w:rPr>
          <w:spacing w:val="-3"/>
          <w:sz w:val="22"/>
          <w:szCs w:val="22"/>
          <w:lang w:val="es-ES"/>
        </w:rPr>
        <w:t xml:space="preserve"> </w:t>
      </w:r>
      <w:proofErr w:type="spellStart"/>
      <w:r>
        <w:rPr>
          <w:spacing w:val="-3"/>
          <w:sz w:val="22"/>
          <w:szCs w:val="22"/>
          <w:lang w:val="es-ES"/>
        </w:rPr>
        <w:t>the</w:t>
      </w:r>
      <w:proofErr w:type="spellEnd"/>
      <w:r>
        <w:rPr>
          <w:spacing w:val="-3"/>
          <w:sz w:val="22"/>
          <w:szCs w:val="22"/>
          <w:lang w:val="es-ES"/>
        </w:rPr>
        <w:t xml:space="preserve"> </w:t>
      </w:r>
      <w:proofErr w:type="spellStart"/>
      <w:r>
        <w:rPr>
          <w:spacing w:val="-3"/>
          <w:sz w:val="22"/>
          <w:szCs w:val="22"/>
          <w:lang w:val="es-ES"/>
        </w:rPr>
        <w:t>measurement</w:t>
      </w:r>
      <w:proofErr w:type="spellEnd"/>
      <w:r>
        <w:rPr>
          <w:spacing w:val="-3"/>
          <w:sz w:val="22"/>
          <w:szCs w:val="22"/>
          <w:lang w:val="es-ES"/>
        </w:rPr>
        <w:t xml:space="preserve"> error </w:t>
      </w:r>
      <w:proofErr w:type="spellStart"/>
      <w:r>
        <w:rPr>
          <w:spacing w:val="-3"/>
          <w:sz w:val="22"/>
          <w:szCs w:val="22"/>
          <w:lang w:val="es-ES"/>
        </w:rPr>
        <w:t>is</w:t>
      </w:r>
      <w:proofErr w:type="spellEnd"/>
      <w:r>
        <w:rPr>
          <w:spacing w:val="-3"/>
          <w:sz w:val="22"/>
          <w:szCs w:val="22"/>
          <w:lang w:val="es-ES"/>
        </w:rPr>
        <w:t xml:space="preserve"> at </w:t>
      </w:r>
      <w:proofErr w:type="spellStart"/>
      <w:r>
        <w:rPr>
          <w:spacing w:val="-3"/>
          <w:sz w:val="22"/>
          <w:szCs w:val="22"/>
          <w:lang w:val="es-ES"/>
        </w:rPr>
        <w:t>least</w:t>
      </w:r>
      <w:proofErr w:type="spellEnd"/>
      <w:r>
        <w:rPr>
          <w:spacing w:val="-3"/>
          <w:sz w:val="22"/>
          <w:szCs w:val="22"/>
          <w:lang w:val="es-ES"/>
        </w:rPr>
        <w:t xml:space="preserve"> -50%. (Art. 7.3.3</w:t>
      </w:r>
      <w:r>
        <w:rPr>
          <w:sz w:val="22"/>
          <w:szCs w:val="22"/>
          <w:lang w:val="es-ES"/>
        </w:rPr>
        <w:t xml:space="preserve">of </w:t>
      </w:r>
      <w:proofErr w:type="spellStart"/>
      <w:r>
        <w:rPr>
          <w:sz w:val="22"/>
          <w:szCs w:val="22"/>
          <w:lang w:val="es-ES"/>
        </w:rPr>
        <w:t>Annex</w:t>
      </w:r>
      <w:proofErr w:type="spellEnd"/>
      <w:r>
        <w:rPr>
          <w:sz w:val="22"/>
          <w:szCs w:val="22"/>
          <w:lang w:val="es-ES"/>
        </w:rPr>
        <w:t xml:space="preserve"> VII).</w:t>
      </w:r>
    </w:p>
    <w:p w14:paraId="2B01A11E" w14:textId="77777777" w:rsidR="00E255F4" w:rsidRDefault="00000000">
      <w:pPr>
        <w:pStyle w:val="Prrafodelista"/>
        <w:numPr>
          <w:ilvl w:val="3"/>
          <w:numId w:val="16"/>
        </w:numPr>
        <w:tabs>
          <w:tab w:val="left" w:pos="851"/>
        </w:tabs>
        <w:spacing w:after="120"/>
        <w:ind w:left="851" w:hanging="851"/>
        <w:jc w:val="both"/>
      </w:pPr>
      <w:r>
        <w:rPr>
          <w:spacing w:val="-3"/>
          <w:sz w:val="22"/>
          <w:szCs w:val="22"/>
          <w:lang w:val="es-ES"/>
        </w:rPr>
        <w:t xml:space="preserve">For </w:t>
      </w:r>
      <w:proofErr w:type="spellStart"/>
      <w:r>
        <w:rPr>
          <w:spacing w:val="-3"/>
          <w:sz w:val="22"/>
          <w:szCs w:val="22"/>
          <w:lang w:val="es-ES"/>
        </w:rPr>
        <w:t>this</w:t>
      </w:r>
      <w:proofErr w:type="spellEnd"/>
      <w:r>
        <w:rPr>
          <w:spacing w:val="-3"/>
          <w:sz w:val="22"/>
          <w:szCs w:val="22"/>
          <w:lang w:val="es-ES"/>
        </w:rPr>
        <w:t xml:space="preserve"> </w:t>
      </w:r>
      <w:proofErr w:type="spellStart"/>
      <w:r>
        <w:rPr>
          <w:spacing w:val="-3"/>
          <w:sz w:val="22"/>
          <w:szCs w:val="22"/>
          <w:lang w:val="es-ES"/>
        </w:rPr>
        <w:t>purpose</w:t>
      </w:r>
      <w:proofErr w:type="spellEnd"/>
      <w:r>
        <w:rPr>
          <w:spacing w:val="-3"/>
          <w:sz w:val="22"/>
          <w:szCs w:val="22"/>
          <w:lang w:val="es-ES"/>
        </w:rPr>
        <w:t xml:space="preserve">, </w:t>
      </w:r>
      <w:proofErr w:type="spellStart"/>
      <w:r>
        <w:rPr>
          <w:spacing w:val="-3"/>
          <w:sz w:val="22"/>
          <w:szCs w:val="22"/>
          <w:lang w:val="es-ES"/>
        </w:rPr>
        <w:t>the</w:t>
      </w:r>
      <w:proofErr w:type="spellEnd"/>
      <w:r>
        <w:rPr>
          <w:spacing w:val="-3"/>
          <w:sz w:val="22"/>
          <w:szCs w:val="22"/>
          <w:lang w:val="es-ES"/>
        </w:rPr>
        <w:t xml:space="preserve"> </w:t>
      </w:r>
      <w:proofErr w:type="spellStart"/>
      <w:r>
        <w:rPr>
          <w:spacing w:val="-3"/>
          <w:sz w:val="22"/>
          <w:szCs w:val="22"/>
          <w:lang w:val="es-ES"/>
        </w:rPr>
        <w:t>meters</w:t>
      </w:r>
      <w:proofErr w:type="spellEnd"/>
      <w:r>
        <w:rPr>
          <w:spacing w:val="-3"/>
          <w:sz w:val="22"/>
          <w:szCs w:val="22"/>
          <w:lang w:val="es-ES"/>
        </w:rPr>
        <w:t xml:space="preserve"> </w:t>
      </w:r>
      <w:proofErr w:type="spellStart"/>
      <w:r>
        <w:rPr>
          <w:spacing w:val="-3"/>
          <w:sz w:val="22"/>
          <w:szCs w:val="22"/>
          <w:lang w:val="es-ES"/>
        </w:rPr>
        <w:t>will</w:t>
      </w:r>
      <w:proofErr w:type="spellEnd"/>
      <w:r>
        <w:rPr>
          <w:spacing w:val="-3"/>
          <w:sz w:val="22"/>
          <w:szCs w:val="22"/>
          <w:lang w:val="es-ES"/>
        </w:rPr>
        <w:t xml:space="preserve"> be placed </w:t>
      </w:r>
      <w:proofErr w:type="spellStart"/>
      <w:r>
        <w:rPr>
          <w:spacing w:val="-3"/>
          <w:sz w:val="22"/>
          <w:szCs w:val="22"/>
          <w:lang w:val="es-ES"/>
        </w:rPr>
        <w:t>on</w:t>
      </w:r>
      <w:proofErr w:type="spellEnd"/>
      <w:r>
        <w:rPr>
          <w:spacing w:val="-3"/>
          <w:sz w:val="22"/>
          <w:szCs w:val="22"/>
          <w:lang w:val="es-ES"/>
        </w:rPr>
        <w:t xml:space="preserve"> </w:t>
      </w:r>
      <w:proofErr w:type="spellStart"/>
      <w:r>
        <w:rPr>
          <w:spacing w:val="-3"/>
          <w:sz w:val="22"/>
          <w:szCs w:val="22"/>
          <w:lang w:val="es-ES"/>
        </w:rPr>
        <w:t>the</w:t>
      </w:r>
      <w:proofErr w:type="spellEnd"/>
      <w:r>
        <w:rPr>
          <w:spacing w:val="-3"/>
          <w:sz w:val="22"/>
          <w:szCs w:val="22"/>
          <w:lang w:val="es-ES"/>
        </w:rPr>
        <w:t xml:space="preserve"> test </w:t>
      </w:r>
      <w:proofErr w:type="spellStart"/>
      <w:r>
        <w:rPr>
          <w:spacing w:val="-3"/>
          <w:sz w:val="22"/>
          <w:szCs w:val="22"/>
          <w:lang w:val="es-ES"/>
        </w:rPr>
        <w:t>bench</w:t>
      </w:r>
      <w:proofErr w:type="spellEnd"/>
      <w:r>
        <w:rPr>
          <w:spacing w:val="-3"/>
          <w:sz w:val="22"/>
          <w:szCs w:val="22"/>
          <w:lang w:val="es-ES"/>
        </w:rPr>
        <w:t xml:space="preserve">, </w:t>
      </w:r>
      <w:proofErr w:type="spellStart"/>
      <w:r>
        <w:rPr>
          <w:spacing w:val="-3"/>
          <w:sz w:val="22"/>
          <w:szCs w:val="22"/>
          <w:lang w:val="es-ES"/>
        </w:rPr>
        <w:t>complying</w:t>
      </w:r>
      <w:proofErr w:type="spellEnd"/>
      <w:r>
        <w:rPr>
          <w:spacing w:val="-3"/>
          <w:sz w:val="22"/>
          <w:szCs w:val="22"/>
          <w:lang w:val="es-ES"/>
        </w:rPr>
        <w:t xml:space="preserve"> </w:t>
      </w:r>
      <w:proofErr w:type="spellStart"/>
      <w:r>
        <w:rPr>
          <w:spacing w:val="-3"/>
          <w:sz w:val="22"/>
          <w:szCs w:val="22"/>
          <w:lang w:val="es-ES"/>
        </w:rPr>
        <w:t>with</w:t>
      </w:r>
      <w:proofErr w:type="spellEnd"/>
      <w:r>
        <w:rPr>
          <w:spacing w:val="-3"/>
          <w:sz w:val="22"/>
          <w:szCs w:val="22"/>
          <w:lang w:val="es-ES"/>
        </w:rPr>
        <w:t xml:space="preserve"> </w:t>
      </w:r>
      <w:proofErr w:type="spellStart"/>
      <w:r>
        <w:rPr>
          <w:spacing w:val="-3"/>
          <w:sz w:val="22"/>
          <w:szCs w:val="22"/>
          <w:lang w:val="es-ES"/>
        </w:rPr>
        <w:t>the</w:t>
      </w:r>
      <w:proofErr w:type="spellEnd"/>
      <w:r>
        <w:rPr>
          <w:spacing w:val="-3"/>
          <w:sz w:val="22"/>
          <w:szCs w:val="22"/>
          <w:lang w:val="es-ES"/>
        </w:rPr>
        <w:t xml:space="preserve"> </w:t>
      </w:r>
      <w:proofErr w:type="spellStart"/>
      <w:r>
        <w:rPr>
          <w:spacing w:val="-3"/>
          <w:sz w:val="22"/>
          <w:szCs w:val="22"/>
          <w:lang w:val="es-ES"/>
        </w:rPr>
        <w:t>provisions</w:t>
      </w:r>
      <w:proofErr w:type="spellEnd"/>
      <w:r>
        <w:rPr>
          <w:spacing w:val="-3"/>
          <w:sz w:val="22"/>
          <w:szCs w:val="22"/>
          <w:lang w:val="es-ES"/>
        </w:rPr>
        <w:t xml:space="preserve"> </w:t>
      </w:r>
      <w:proofErr w:type="spellStart"/>
      <w:r>
        <w:rPr>
          <w:spacing w:val="-3"/>
          <w:sz w:val="22"/>
          <w:szCs w:val="22"/>
          <w:lang w:val="es-ES"/>
        </w:rPr>
        <w:t>of</w:t>
      </w:r>
      <w:proofErr w:type="spellEnd"/>
      <w:r>
        <w:rPr>
          <w:spacing w:val="-3"/>
          <w:sz w:val="22"/>
          <w:szCs w:val="22"/>
          <w:lang w:val="es-ES"/>
        </w:rPr>
        <w:t xml:space="preserve"> Art.14.2 </w:t>
      </w:r>
      <w:proofErr w:type="spellStart"/>
      <w:r>
        <w:rPr>
          <w:spacing w:val="-3"/>
          <w:sz w:val="22"/>
          <w:szCs w:val="22"/>
          <w:lang w:val="es-ES"/>
        </w:rPr>
        <w:t>of</w:t>
      </w:r>
      <w:proofErr w:type="spellEnd"/>
      <w:r>
        <w:rPr>
          <w:spacing w:val="-3"/>
          <w:sz w:val="22"/>
          <w:szCs w:val="22"/>
          <w:lang w:val="es-ES"/>
        </w:rPr>
        <w:t xml:space="preserve"> </w:t>
      </w:r>
      <w:proofErr w:type="spellStart"/>
      <w:r>
        <w:rPr>
          <w:spacing w:val="-3"/>
          <w:sz w:val="22"/>
          <w:szCs w:val="22"/>
          <w:lang w:val="es-ES"/>
        </w:rPr>
        <w:t>this</w:t>
      </w:r>
      <w:proofErr w:type="spellEnd"/>
      <w:r>
        <w:rPr>
          <w:spacing w:val="-3"/>
          <w:sz w:val="22"/>
          <w:szCs w:val="22"/>
          <w:lang w:val="es-ES"/>
        </w:rPr>
        <w:t xml:space="preserve"> </w:t>
      </w:r>
      <w:proofErr w:type="spellStart"/>
      <w:r>
        <w:rPr>
          <w:spacing w:val="-3"/>
          <w:sz w:val="22"/>
          <w:szCs w:val="22"/>
          <w:lang w:val="es-ES"/>
        </w:rPr>
        <w:t>Annex</w:t>
      </w:r>
      <w:proofErr w:type="spellEnd"/>
      <w:r>
        <w:rPr>
          <w:spacing w:val="-3"/>
          <w:sz w:val="22"/>
          <w:szCs w:val="22"/>
          <w:lang w:val="es-ES"/>
        </w:rPr>
        <w:t xml:space="preserve"> VII – </w:t>
      </w:r>
      <w:proofErr w:type="spellStart"/>
      <w:r>
        <w:rPr>
          <w:spacing w:val="-3"/>
          <w:sz w:val="22"/>
          <w:szCs w:val="22"/>
          <w:lang w:val="es-ES"/>
        </w:rPr>
        <w:t>Technical</w:t>
      </w:r>
      <w:proofErr w:type="spellEnd"/>
      <w:r>
        <w:rPr>
          <w:spacing w:val="-3"/>
          <w:sz w:val="22"/>
          <w:szCs w:val="22"/>
          <w:lang w:val="es-ES"/>
        </w:rPr>
        <w:t xml:space="preserve"> </w:t>
      </w:r>
      <w:proofErr w:type="spellStart"/>
      <w:r>
        <w:rPr>
          <w:spacing w:val="-3"/>
          <w:sz w:val="22"/>
          <w:szCs w:val="22"/>
          <w:lang w:val="es-ES"/>
        </w:rPr>
        <w:t>Specifications</w:t>
      </w:r>
      <w:proofErr w:type="spellEnd"/>
      <w:r>
        <w:rPr>
          <w:spacing w:val="-3"/>
          <w:sz w:val="22"/>
          <w:szCs w:val="22"/>
          <w:lang w:val="es-ES"/>
        </w:rPr>
        <w:t xml:space="preserve">, and </w:t>
      </w:r>
      <w:proofErr w:type="spellStart"/>
      <w:r>
        <w:rPr>
          <w:spacing w:val="-3"/>
          <w:sz w:val="22"/>
          <w:szCs w:val="22"/>
          <w:lang w:val="es-ES"/>
        </w:rPr>
        <w:t>the</w:t>
      </w:r>
      <w:proofErr w:type="spellEnd"/>
      <w:r>
        <w:rPr>
          <w:spacing w:val="-3"/>
          <w:sz w:val="22"/>
          <w:szCs w:val="22"/>
          <w:lang w:val="es-ES"/>
        </w:rPr>
        <w:t xml:space="preserve"> </w:t>
      </w:r>
      <w:proofErr w:type="spellStart"/>
      <w:r>
        <w:rPr>
          <w:spacing w:val="-3"/>
          <w:sz w:val="22"/>
          <w:szCs w:val="22"/>
          <w:lang w:val="es-ES"/>
        </w:rPr>
        <w:t>reference</w:t>
      </w:r>
      <w:proofErr w:type="spellEnd"/>
      <w:r>
        <w:rPr>
          <w:spacing w:val="-3"/>
          <w:sz w:val="22"/>
          <w:szCs w:val="22"/>
          <w:lang w:val="es-ES"/>
        </w:rPr>
        <w:t xml:space="preserve"> </w:t>
      </w:r>
      <w:proofErr w:type="spellStart"/>
      <w:r>
        <w:rPr>
          <w:spacing w:val="-3"/>
          <w:sz w:val="22"/>
          <w:szCs w:val="22"/>
          <w:lang w:val="es-ES"/>
        </w:rPr>
        <w:t>flow</w:t>
      </w:r>
      <w:proofErr w:type="spellEnd"/>
      <w:r>
        <w:rPr>
          <w:spacing w:val="-3"/>
          <w:sz w:val="22"/>
          <w:szCs w:val="22"/>
          <w:lang w:val="es-ES"/>
        </w:rPr>
        <w:t xml:space="preserve"> </w:t>
      </w:r>
      <w:proofErr w:type="spellStart"/>
      <w:r>
        <w:rPr>
          <w:spacing w:val="-3"/>
          <w:sz w:val="22"/>
          <w:szCs w:val="22"/>
          <w:lang w:val="es-ES"/>
        </w:rPr>
        <w:t>will</w:t>
      </w:r>
      <w:proofErr w:type="spellEnd"/>
      <w:r>
        <w:rPr>
          <w:spacing w:val="-3"/>
          <w:sz w:val="22"/>
          <w:szCs w:val="22"/>
          <w:lang w:val="es-ES"/>
        </w:rPr>
        <w:t xml:space="preserve"> be </w:t>
      </w:r>
      <w:proofErr w:type="spellStart"/>
      <w:r>
        <w:rPr>
          <w:spacing w:val="-3"/>
          <w:sz w:val="22"/>
          <w:szCs w:val="22"/>
          <w:lang w:val="es-ES"/>
        </w:rPr>
        <w:t>circulated</w:t>
      </w:r>
      <w:proofErr w:type="spellEnd"/>
      <w:r>
        <w:rPr>
          <w:spacing w:val="-3"/>
          <w:sz w:val="22"/>
          <w:szCs w:val="22"/>
          <w:lang w:val="es-ES"/>
        </w:rPr>
        <w:t xml:space="preserve">, and </w:t>
      </w:r>
      <w:proofErr w:type="spellStart"/>
      <w:r>
        <w:rPr>
          <w:spacing w:val="-3"/>
          <w:sz w:val="22"/>
          <w:szCs w:val="22"/>
          <w:lang w:val="es-ES"/>
        </w:rPr>
        <w:t>it</w:t>
      </w:r>
      <w:proofErr w:type="spellEnd"/>
      <w:r>
        <w:rPr>
          <w:spacing w:val="-3"/>
          <w:sz w:val="22"/>
          <w:szCs w:val="22"/>
          <w:lang w:val="es-ES"/>
        </w:rPr>
        <w:t xml:space="preserve"> </w:t>
      </w:r>
      <w:proofErr w:type="spellStart"/>
      <w:r>
        <w:rPr>
          <w:spacing w:val="-3"/>
          <w:sz w:val="22"/>
          <w:szCs w:val="22"/>
          <w:lang w:val="es-ES"/>
        </w:rPr>
        <w:t>must</w:t>
      </w:r>
      <w:proofErr w:type="spellEnd"/>
      <w:r>
        <w:rPr>
          <w:spacing w:val="-3"/>
          <w:sz w:val="22"/>
          <w:szCs w:val="22"/>
          <w:lang w:val="es-ES"/>
        </w:rPr>
        <w:t xml:space="preserve"> be </w:t>
      </w:r>
      <w:proofErr w:type="spellStart"/>
      <w:r>
        <w:rPr>
          <w:spacing w:val="-3"/>
          <w:sz w:val="22"/>
          <w:szCs w:val="22"/>
          <w:lang w:val="es-ES"/>
        </w:rPr>
        <w:t>verified</w:t>
      </w:r>
      <w:proofErr w:type="spellEnd"/>
      <w:r>
        <w:rPr>
          <w:spacing w:val="-3"/>
          <w:sz w:val="22"/>
          <w:szCs w:val="22"/>
          <w:lang w:val="es-ES"/>
        </w:rPr>
        <w:t xml:space="preserve"> </w:t>
      </w:r>
      <w:proofErr w:type="spellStart"/>
      <w:r>
        <w:rPr>
          <w:spacing w:val="-3"/>
          <w:sz w:val="22"/>
          <w:szCs w:val="22"/>
          <w:lang w:val="es-ES"/>
        </w:rPr>
        <w:t>that</w:t>
      </w:r>
      <w:proofErr w:type="spellEnd"/>
      <w:r>
        <w:rPr>
          <w:spacing w:val="-3"/>
          <w:sz w:val="22"/>
          <w:szCs w:val="22"/>
          <w:lang w:val="es-ES"/>
        </w:rPr>
        <w:t xml:space="preserve"> </w:t>
      </w:r>
      <w:proofErr w:type="spellStart"/>
      <w:r>
        <w:rPr>
          <w:spacing w:val="-3"/>
          <w:sz w:val="22"/>
          <w:szCs w:val="22"/>
          <w:lang w:val="es-ES"/>
        </w:rPr>
        <w:t>the</w:t>
      </w:r>
      <w:proofErr w:type="spellEnd"/>
      <w:r>
        <w:rPr>
          <w:spacing w:val="-3"/>
          <w:sz w:val="22"/>
          <w:szCs w:val="22"/>
          <w:lang w:val="es-ES"/>
        </w:rPr>
        <w:t xml:space="preserve"> </w:t>
      </w:r>
      <w:proofErr w:type="spellStart"/>
      <w:r>
        <w:rPr>
          <w:spacing w:val="-3"/>
          <w:sz w:val="22"/>
          <w:szCs w:val="22"/>
          <w:lang w:val="es-ES"/>
        </w:rPr>
        <w:t>meters</w:t>
      </w:r>
      <w:proofErr w:type="spellEnd"/>
      <w:r>
        <w:rPr>
          <w:spacing w:val="-3"/>
          <w:sz w:val="22"/>
          <w:szCs w:val="22"/>
          <w:lang w:val="es-ES"/>
        </w:rPr>
        <w:t xml:space="preserve"> </w:t>
      </w:r>
      <w:proofErr w:type="spellStart"/>
      <w:r>
        <w:rPr>
          <w:spacing w:val="-3"/>
          <w:sz w:val="22"/>
          <w:szCs w:val="22"/>
          <w:lang w:val="es-ES"/>
        </w:rPr>
        <w:t>comply</w:t>
      </w:r>
      <w:proofErr w:type="spellEnd"/>
      <w:r>
        <w:rPr>
          <w:spacing w:val="-3"/>
          <w:sz w:val="22"/>
          <w:szCs w:val="22"/>
          <w:lang w:val="es-ES"/>
        </w:rPr>
        <w:t xml:space="preserve"> </w:t>
      </w:r>
      <w:proofErr w:type="spellStart"/>
      <w:r>
        <w:rPr>
          <w:spacing w:val="-3"/>
          <w:sz w:val="22"/>
          <w:szCs w:val="22"/>
          <w:lang w:val="es-ES"/>
        </w:rPr>
        <w:t>with</w:t>
      </w:r>
      <w:proofErr w:type="spellEnd"/>
      <w:r>
        <w:rPr>
          <w:spacing w:val="-3"/>
          <w:sz w:val="22"/>
          <w:szCs w:val="22"/>
          <w:lang w:val="es-ES"/>
        </w:rPr>
        <w:t xml:space="preserve"> </w:t>
      </w:r>
      <w:proofErr w:type="spellStart"/>
      <w:r>
        <w:rPr>
          <w:spacing w:val="-3"/>
          <w:sz w:val="22"/>
          <w:szCs w:val="22"/>
          <w:lang w:val="es-ES"/>
        </w:rPr>
        <w:t>the</w:t>
      </w:r>
      <w:proofErr w:type="spellEnd"/>
      <w:r>
        <w:rPr>
          <w:spacing w:val="-3"/>
          <w:sz w:val="22"/>
          <w:szCs w:val="22"/>
          <w:lang w:val="es-ES"/>
        </w:rPr>
        <w:t xml:space="preserve"> </w:t>
      </w:r>
      <w:proofErr w:type="spellStart"/>
      <w:r>
        <w:rPr>
          <w:spacing w:val="-3"/>
          <w:sz w:val="22"/>
          <w:szCs w:val="22"/>
          <w:lang w:val="es-ES"/>
        </w:rPr>
        <w:t>provisions</w:t>
      </w:r>
      <w:proofErr w:type="spellEnd"/>
      <w:r>
        <w:rPr>
          <w:spacing w:val="-3"/>
          <w:sz w:val="22"/>
          <w:szCs w:val="22"/>
          <w:lang w:val="es-ES"/>
        </w:rPr>
        <w:t xml:space="preserve"> </w:t>
      </w:r>
      <w:proofErr w:type="spellStart"/>
      <w:r>
        <w:rPr>
          <w:spacing w:val="-3"/>
          <w:sz w:val="22"/>
          <w:szCs w:val="22"/>
          <w:lang w:val="es-ES"/>
        </w:rPr>
        <w:t>of</w:t>
      </w:r>
      <w:proofErr w:type="spellEnd"/>
      <w:r>
        <w:rPr>
          <w:spacing w:val="-3"/>
          <w:sz w:val="22"/>
          <w:szCs w:val="22"/>
          <w:lang w:val="es-ES"/>
        </w:rPr>
        <w:t xml:space="preserve"> </w:t>
      </w:r>
      <w:proofErr w:type="spellStart"/>
      <w:r>
        <w:rPr>
          <w:spacing w:val="-3"/>
          <w:sz w:val="22"/>
          <w:szCs w:val="22"/>
          <w:lang w:val="es-ES"/>
        </w:rPr>
        <w:t>the</w:t>
      </w:r>
      <w:proofErr w:type="spellEnd"/>
      <w:r>
        <w:rPr>
          <w:spacing w:val="-3"/>
          <w:sz w:val="22"/>
          <w:szCs w:val="22"/>
          <w:lang w:val="es-ES"/>
        </w:rPr>
        <w:t xml:space="preserve"> </w:t>
      </w:r>
      <w:proofErr w:type="spellStart"/>
      <w:r>
        <w:rPr>
          <w:spacing w:val="-3"/>
          <w:sz w:val="22"/>
          <w:szCs w:val="22"/>
          <w:lang w:val="es-ES"/>
        </w:rPr>
        <w:t>previous</w:t>
      </w:r>
      <w:proofErr w:type="spellEnd"/>
      <w:r>
        <w:rPr>
          <w:spacing w:val="-3"/>
          <w:sz w:val="22"/>
          <w:szCs w:val="22"/>
          <w:lang w:val="es-ES"/>
        </w:rPr>
        <w:t xml:space="preserve"> </w:t>
      </w:r>
      <w:proofErr w:type="spellStart"/>
      <w:r>
        <w:rPr>
          <w:spacing w:val="-3"/>
          <w:sz w:val="22"/>
          <w:szCs w:val="22"/>
          <w:lang w:val="es-ES"/>
        </w:rPr>
        <w:t>point</w:t>
      </w:r>
      <w:proofErr w:type="spellEnd"/>
      <w:r>
        <w:rPr>
          <w:spacing w:val="-3"/>
          <w:sz w:val="22"/>
          <w:szCs w:val="22"/>
          <w:lang w:val="es-ES"/>
        </w:rPr>
        <w:t>.</w:t>
      </w:r>
    </w:p>
    <w:p w14:paraId="788ED0DD" w14:textId="77777777" w:rsidR="00E255F4" w:rsidRDefault="00000000">
      <w:pPr>
        <w:numPr>
          <w:ilvl w:val="2"/>
          <w:numId w:val="16"/>
        </w:numPr>
        <w:spacing w:before="240" w:after="120"/>
        <w:rPr>
          <w:b/>
          <w:sz w:val="22"/>
          <w:szCs w:val="22"/>
        </w:rPr>
      </w:pPr>
      <w:r>
        <w:rPr>
          <w:b/>
          <w:sz w:val="22"/>
          <w:szCs w:val="22"/>
        </w:rPr>
        <w:t xml:space="preserve">Visual </w:t>
      </w:r>
      <w:proofErr w:type="spellStart"/>
      <w:r>
        <w:rPr>
          <w:b/>
          <w:sz w:val="22"/>
          <w:szCs w:val="22"/>
        </w:rPr>
        <w:t>Inspection</w:t>
      </w:r>
      <w:proofErr w:type="spellEnd"/>
      <w:r>
        <w:rPr>
          <w:b/>
          <w:sz w:val="22"/>
          <w:szCs w:val="22"/>
        </w:rPr>
        <w:t xml:space="preserve"> Test </w:t>
      </w:r>
      <w:proofErr w:type="spellStart"/>
      <w:r>
        <w:rPr>
          <w:b/>
          <w:sz w:val="22"/>
          <w:szCs w:val="22"/>
        </w:rPr>
        <w:t>or</w:t>
      </w:r>
      <w:proofErr w:type="spellEnd"/>
      <w:r>
        <w:rPr>
          <w:b/>
          <w:sz w:val="22"/>
          <w:szCs w:val="22"/>
        </w:rPr>
        <w:t xml:space="preserve"> </w:t>
      </w:r>
      <w:proofErr w:type="gramStart"/>
      <w:r>
        <w:rPr>
          <w:b/>
          <w:sz w:val="22"/>
          <w:szCs w:val="22"/>
        </w:rPr>
        <w:t>Simple Test</w:t>
      </w:r>
      <w:proofErr w:type="gramEnd"/>
    </w:p>
    <w:p w14:paraId="19EFADBE" w14:textId="77777777" w:rsidR="00E255F4" w:rsidRDefault="00000000">
      <w:pPr>
        <w:pStyle w:val="Prrafodelista"/>
        <w:numPr>
          <w:ilvl w:val="3"/>
          <w:numId w:val="16"/>
        </w:numPr>
        <w:spacing w:after="120"/>
        <w:ind w:left="851" w:hanging="851"/>
        <w:jc w:val="both"/>
        <w:rPr>
          <w:sz w:val="22"/>
          <w:szCs w:val="22"/>
          <w:lang w:val="es-ES"/>
        </w:rPr>
      </w:pPr>
      <w:proofErr w:type="spellStart"/>
      <w:r>
        <w:rPr>
          <w:sz w:val="22"/>
          <w:szCs w:val="22"/>
          <w:lang w:val="es-ES"/>
        </w:rPr>
        <w:t>This</w:t>
      </w:r>
      <w:proofErr w:type="spellEnd"/>
      <w:r>
        <w:rPr>
          <w:sz w:val="22"/>
          <w:szCs w:val="22"/>
          <w:lang w:val="es-ES"/>
        </w:rPr>
        <w:t xml:space="preserve"> test </w:t>
      </w:r>
      <w:proofErr w:type="spellStart"/>
      <w:r>
        <w:rPr>
          <w:sz w:val="22"/>
          <w:szCs w:val="22"/>
          <w:lang w:val="es-ES"/>
        </w:rPr>
        <w:t>will</w:t>
      </w:r>
      <w:proofErr w:type="spellEnd"/>
      <w:r>
        <w:rPr>
          <w:sz w:val="22"/>
          <w:szCs w:val="22"/>
          <w:lang w:val="es-ES"/>
        </w:rPr>
        <w:t xml:space="preserve"> </w:t>
      </w:r>
      <w:proofErr w:type="spellStart"/>
      <w:r>
        <w:rPr>
          <w:sz w:val="22"/>
          <w:szCs w:val="22"/>
          <w:lang w:val="es-ES"/>
        </w:rPr>
        <w:t>verify</w:t>
      </w:r>
      <w:proofErr w:type="spellEnd"/>
      <w:r>
        <w:rPr>
          <w:sz w:val="22"/>
          <w:szCs w:val="22"/>
          <w:lang w:val="es-ES"/>
        </w:rPr>
        <w:t xml:space="preserve"> </w:t>
      </w:r>
      <w:proofErr w:type="spellStart"/>
      <w:r>
        <w:rPr>
          <w:sz w:val="22"/>
          <w:szCs w:val="22"/>
          <w:lang w:val="es-ES"/>
        </w:rPr>
        <w:t>the</w:t>
      </w:r>
      <w:proofErr w:type="spellEnd"/>
      <w:r>
        <w:rPr>
          <w:sz w:val="22"/>
          <w:szCs w:val="22"/>
          <w:lang w:val="es-ES"/>
        </w:rPr>
        <w:t xml:space="preserve"> </w:t>
      </w:r>
      <w:proofErr w:type="spellStart"/>
      <w:r>
        <w:rPr>
          <w:sz w:val="22"/>
          <w:szCs w:val="22"/>
          <w:lang w:val="es-ES"/>
        </w:rPr>
        <w:t>technical</w:t>
      </w:r>
      <w:proofErr w:type="spellEnd"/>
      <w:r>
        <w:rPr>
          <w:sz w:val="22"/>
          <w:szCs w:val="22"/>
          <w:lang w:val="es-ES"/>
        </w:rPr>
        <w:t xml:space="preserve"> and </w:t>
      </w:r>
      <w:proofErr w:type="spellStart"/>
      <w:r>
        <w:rPr>
          <w:sz w:val="22"/>
          <w:szCs w:val="22"/>
          <w:lang w:val="es-ES"/>
        </w:rPr>
        <w:t>construction</w:t>
      </w:r>
      <w:proofErr w:type="spellEnd"/>
      <w:r>
        <w:rPr>
          <w:sz w:val="22"/>
          <w:szCs w:val="22"/>
          <w:lang w:val="es-ES"/>
        </w:rPr>
        <w:t xml:space="preserve"> </w:t>
      </w:r>
      <w:proofErr w:type="spellStart"/>
      <w:r>
        <w:rPr>
          <w:sz w:val="22"/>
          <w:szCs w:val="22"/>
          <w:lang w:val="es-ES"/>
        </w:rPr>
        <w:t>characteristics</w:t>
      </w:r>
      <w:proofErr w:type="spellEnd"/>
      <w:r>
        <w:rPr>
          <w:sz w:val="22"/>
          <w:szCs w:val="22"/>
          <w:lang w:val="es-ES"/>
        </w:rPr>
        <w:t xml:space="preserve">, </w:t>
      </w:r>
      <w:proofErr w:type="spellStart"/>
      <w:r>
        <w:rPr>
          <w:sz w:val="22"/>
          <w:szCs w:val="22"/>
          <w:lang w:val="es-ES"/>
        </w:rPr>
        <w:t>following</w:t>
      </w:r>
      <w:proofErr w:type="spellEnd"/>
      <w:r>
        <w:rPr>
          <w:sz w:val="22"/>
          <w:szCs w:val="22"/>
          <w:lang w:val="es-ES"/>
        </w:rPr>
        <w:t xml:space="preserve"> </w:t>
      </w:r>
      <w:proofErr w:type="spellStart"/>
      <w:r>
        <w:rPr>
          <w:sz w:val="22"/>
          <w:szCs w:val="22"/>
          <w:lang w:val="es-ES"/>
        </w:rPr>
        <w:t>what</w:t>
      </w:r>
      <w:proofErr w:type="spellEnd"/>
      <w:r>
        <w:rPr>
          <w:sz w:val="22"/>
          <w:szCs w:val="22"/>
          <w:lang w:val="es-ES"/>
        </w:rPr>
        <w:t xml:space="preserve"> </w:t>
      </w:r>
      <w:proofErr w:type="spellStart"/>
      <w:r>
        <w:rPr>
          <w:sz w:val="22"/>
          <w:szCs w:val="22"/>
          <w:lang w:val="es-ES"/>
        </w:rPr>
        <w:t>is</w:t>
      </w:r>
      <w:proofErr w:type="spellEnd"/>
      <w:r>
        <w:rPr>
          <w:sz w:val="22"/>
          <w:szCs w:val="22"/>
          <w:lang w:val="es-ES"/>
        </w:rPr>
        <w:t xml:space="preserve"> </w:t>
      </w:r>
      <w:proofErr w:type="spellStart"/>
      <w:r>
        <w:rPr>
          <w:sz w:val="22"/>
          <w:szCs w:val="22"/>
          <w:lang w:val="es-ES"/>
        </w:rPr>
        <w:t>determined</w:t>
      </w:r>
      <w:proofErr w:type="spellEnd"/>
      <w:r>
        <w:rPr>
          <w:sz w:val="22"/>
          <w:szCs w:val="22"/>
          <w:lang w:val="es-ES"/>
        </w:rPr>
        <w:t xml:space="preserve"> </w:t>
      </w:r>
      <w:proofErr w:type="spellStart"/>
      <w:r>
        <w:rPr>
          <w:sz w:val="22"/>
          <w:szCs w:val="22"/>
          <w:lang w:val="es-ES"/>
        </w:rPr>
        <w:t>by</w:t>
      </w:r>
      <w:proofErr w:type="spellEnd"/>
      <w:r>
        <w:rPr>
          <w:sz w:val="22"/>
          <w:szCs w:val="22"/>
          <w:lang w:val="es-ES"/>
        </w:rPr>
        <w:t xml:space="preserve"> </w:t>
      </w:r>
      <w:proofErr w:type="spellStart"/>
      <w:r>
        <w:rPr>
          <w:sz w:val="22"/>
          <w:szCs w:val="22"/>
          <w:lang w:val="es-ES"/>
        </w:rPr>
        <w:t>the</w:t>
      </w:r>
      <w:proofErr w:type="spellEnd"/>
      <w:r>
        <w:rPr>
          <w:sz w:val="22"/>
          <w:szCs w:val="22"/>
          <w:lang w:val="es-ES"/>
        </w:rPr>
        <w:t xml:space="preserve"> Standard and </w:t>
      </w:r>
      <w:proofErr w:type="spellStart"/>
      <w:r>
        <w:rPr>
          <w:sz w:val="22"/>
          <w:szCs w:val="22"/>
          <w:lang w:val="es-ES"/>
        </w:rPr>
        <w:t>this</w:t>
      </w:r>
      <w:proofErr w:type="spellEnd"/>
      <w:r>
        <w:rPr>
          <w:sz w:val="22"/>
          <w:szCs w:val="22"/>
          <w:lang w:val="es-ES"/>
        </w:rPr>
        <w:t xml:space="preserve"> </w:t>
      </w:r>
      <w:proofErr w:type="spellStart"/>
      <w:r>
        <w:rPr>
          <w:sz w:val="22"/>
          <w:szCs w:val="22"/>
          <w:lang w:val="es-ES"/>
        </w:rPr>
        <w:t>document</w:t>
      </w:r>
      <w:proofErr w:type="spellEnd"/>
      <w:r>
        <w:rPr>
          <w:sz w:val="22"/>
          <w:szCs w:val="22"/>
          <w:lang w:val="es-ES"/>
        </w:rPr>
        <w:t>.</w:t>
      </w:r>
    </w:p>
    <w:p w14:paraId="1AE90474" w14:textId="77777777" w:rsidR="00E255F4" w:rsidRDefault="00000000">
      <w:pPr>
        <w:pStyle w:val="Prrafodelista"/>
        <w:numPr>
          <w:ilvl w:val="3"/>
          <w:numId w:val="16"/>
        </w:numPr>
        <w:spacing w:after="120"/>
        <w:ind w:left="851" w:hanging="851"/>
        <w:jc w:val="both"/>
      </w:pPr>
      <w:proofErr w:type="spellStart"/>
      <w:r>
        <w:rPr>
          <w:color w:val="000000"/>
          <w:sz w:val="22"/>
          <w:szCs w:val="22"/>
          <w:lang w:val="es-ES"/>
        </w:rPr>
        <w:t>It</w:t>
      </w:r>
      <w:proofErr w:type="spellEnd"/>
      <w:r>
        <w:rPr>
          <w:color w:val="000000"/>
          <w:sz w:val="22"/>
          <w:szCs w:val="22"/>
          <w:lang w:val="es-ES"/>
        </w:rPr>
        <w:t xml:space="preserve"> </w:t>
      </w:r>
      <w:proofErr w:type="spellStart"/>
      <w:r>
        <w:rPr>
          <w:color w:val="000000"/>
          <w:sz w:val="22"/>
          <w:szCs w:val="22"/>
          <w:lang w:val="es-ES"/>
        </w:rPr>
        <w:t>will</w:t>
      </w:r>
      <w:proofErr w:type="spellEnd"/>
      <w:r>
        <w:rPr>
          <w:color w:val="000000"/>
          <w:sz w:val="22"/>
          <w:szCs w:val="22"/>
          <w:lang w:val="es-ES"/>
        </w:rPr>
        <w:t xml:space="preserve"> be </w:t>
      </w:r>
      <w:proofErr w:type="spellStart"/>
      <w:r>
        <w:rPr>
          <w:color w:val="000000"/>
          <w:sz w:val="22"/>
          <w:szCs w:val="22"/>
          <w:lang w:val="es-ES"/>
        </w:rPr>
        <w:t>carried</w:t>
      </w:r>
      <w:proofErr w:type="spellEnd"/>
      <w:r>
        <w:rPr>
          <w:color w:val="000000"/>
          <w:sz w:val="22"/>
          <w:szCs w:val="22"/>
          <w:lang w:val="es-ES"/>
        </w:rPr>
        <w:t xml:space="preserve"> </w:t>
      </w:r>
      <w:proofErr w:type="spellStart"/>
      <w:r>
        <w:rPr>
          <w:color w:val="000000"/>
          <w:sz w:val="22"/>
          <w:szCs w:val="22"/>
          <w:lang w:val="es-ES"/>
        </w:rPr>
        <w:t>out</w:t>
      </w:r>
      <w:proofErr w:type="spellEnd"/>
      <w:r>
        <w:rPr>
          <w:color w:val="000000"/>
          <w:sz w:val="22"/>
          <w:szCs w:val="22"/>
          <w:lang w:val="es-ES"/>
        </w:rPr>
        <w:t xml:space="preserve"> </w:t>
      </w:r>
      <w:proofErr w:type="spellStart"/>
      <w:r>
        <w:rPr>
          <w:color w:val="000000"/>
          <w:sz w:val="22"/>
          <w:szCs w:val="22"/>
          <w:lang w:val="es-ES"/>
        </w:rPr>
        <w:t>by</w:t>
      </w:r>
      <w:proofErr w:type="spellEnd"/>
      <w:r>
        <w:rPr>
          <w:color w:val="000000"/>
          <w:sz w:val="22"/>
          <w:szCs w:val="22"/>
          <w:lang w:val="es-ES"/>
        </w:rPr>
        <w:t xml:space="preserve"> </w:t>
      </w:r>
      <w:proofErr w:type="spellStart"/>
      <w:r>
        <w:rPr>
          <w:color w:val="000000"/>
          <w:sz w:val="22"/>
          <w:szCs w:val="22"/>
          <w:lang w:val="es-ES"/>
        </w:rPr>
        <w:t>performing</w:t>
      </w:r>
      <w:proofErr w:type="spellEnd"/>
      <w:r>
        <w:rPr>
          <w:color w:val="000000"/>
          <w:sz w:val="22"/>
          <w:szCs w:val="22"/>
          <w:lang w:val="es-ES"/>
        </w:rPr>
        <w:t xml:space="preserve"> a visual </w:t>
      </w:r>
      <w:proofErr w:type="spellStart"/>
      <w:r>
        <w:rPr>
          <w:color w:val="000000"/>
          <w:sz w:val="22"/>
          <w:szCs w:val="22"/>
          <w:lang w:val="es-ES"/>
        </w:rPr>
        <w:t>inspection</w:t>
      </w:r>
      <w:proofErr w:type="spellEnd"/>
      <w:r>
        <w:rPr>
          <w:color w:val="000000"/>
          <w:sz w:val="22"/>
          <w:szCs w:val="22"/>
          <w:lang w:val="es-ES"/>
        </w:rPr>
        <w:t xml:space="preserve"> </w:t>
      </w:r>
      <w:proofErr w:type="spellStart"/>
      <w:r>
        <w:rPr>
          <w:color w:val="000000"/>
          <w:sz w:val="22"/>
          <w:szCs w:val="22"/>
          <w:lang w:val="es-ES"/>
        </w:rPr>
        <w:t>or</w:t>
      </w:r>
      <w:proofErr w:type="spellEnd"/>
      <w:r>
        <w:rPr>
          <w:color w:val="000000"/>
          <w:sz w:val="22"/>
          <w:szCs w:val="22"/>
          <w:lang w:val="es-ES"/>
        </w:rPr>
        <w:t xml:space="preserve"> a </w:t>
      </w:r>
      <w:proofErr w:type="gramStart"/>
      <w:r>
        <w:rPr>
          <w:color w:val="000000"/>
          <w:sz w:val="22"/>
          <w:szCs w:val="22"/>
          <w:lang w:val="es-ES"/>
        </w:rPr>
        <w:t>simple test</w:t>
      </w:r>
      <w:proofErr w:type="gramEnd"/>
      <w:r>
        <w:rPr>
          <w:color w:val="000000"/>
          <w:sz w:val="22"/>
          <w:szCs w:val="22"/>
          <w:lang w:val="es-ES"/>
        </w:rPr>
        <w:t xml:space="preserve">, </w:t>
      </w:r>
      <w:proofErr w:type="spellStart"/>
      <w:r>
        <w:rPr>
          <w:color w:val="000000"/>
          <w:sz w:val="22"/>
          <w:szCs w:val="22"/>
          <w:lang w:val="es-ES"/>
        </w:rPr>
        <w:t>for</w:t>
      </w:r>
      <w:proofErr w:type="spellEnd"/>
      <w:r>
        <w:rPr>
          <w:color w:val="000000"/>
          <w:sz w:val="22"/>
          <w:szCs w:val="22"/>
          <w:lang w:val="es-ES"/>
        </w:rPr>
        <w:t xml:space="preserve"> </w:t>
      </w:r>
      <w:proofErr w:type="spellStart"/>
      <w:r>
        <w:rPr>
          <w:color w:val="000000"/>
          <w:sz w:val="22"/>
          <w:szCs w:val="22"/>
          <w:lang w:val="es-ES"/>
        </w:rPr>
        <w:t>the</w:t>
      </w:r>
      <w:proofErr w:type="spellEnd"/>
      <w:r>
        <w:rPr>
          <w:color w:val="000000"/>
          <w:sz w:val="22"/>
          <w:szCs w:val="22"/>
          <w:lang w:val="es-ES"/>
        </w:rPr>
        <w:t xml:space="preserve"> cases </w:t>
      </w:r>
      <w:proofErr w:type="spellStart"/>
      <w:r>
        <w:rPr>
          <w:color w:val="000000"/>
          <w:sz w:val="22"/>
          <w:szCs w:val="22"/>
          <w:lang w:val="es-ES"/>
        </w:rPr>
        <w:t>that</w:t>
      </w:r>
      <w:proofErr w:type="spellEnd"/>
      <w:r>
        <w:rPr>
          <w:color w:val="000000"/>
          <w:sz w:val="22"/>
          <w:szCs w:val="22"/>
          <w:lang w:val="es-ES"/>
        </w:rPr>
        <w:t xml:space="preserve"> are </w:t>
      </w:r>
      <w:proofErr w:type="spellStart"/>
      <w:r>
        <w:rPr>
          <w:color w:val="000000"/>
          <w:sz w:val="22"/>
          <w:szCs w:val="22"/>
          <w:lang w:val="es-ES"/>
        </w:rPr>
        <w:t>understood</w:t>
      </w:r>
      <w:proofErr w:type="spellEnd"/>
      <w:r>
        <w:rPr>
          <w:color w:val="000000"/>
          <w:sz w:val="22"/>
          <w:szCs w:val="22"/>
          <w:lang w:val="es-ES"/>
        </w:rPr>
        <w:t xml:space="preserve"> </w:t>
      </w:r>
      <w:proofErr w:type="spellStart"/>
      <w:r>
        <w:rPr>
          <w:color w:val="000000"/>
          <w:sz w:val="22"/>
          <w:szCs w:val="22"/>
          <w:lang w:val="es-ES"/>
        </w:rPr>
        <w:t>to</w:t>
      </w:r>
      <w:proofErr w:type="spellEnd"/>
      <w:r>
        <w:rPr>
          <w:color w:val="000000"/>
          <w:sz w:val="22"/>
          <w:szCs w:val="22"/>
          <w:lang w:val="es-ES"/>
        </w:rPr>
        <w:t xml:space="preserve"> </w:t>
      </w:r>
      <w:proofErr w:type="spellStart"/>
      <w:r>
        <w:rPr>
          <w:color w:val="000000"/>
          <w:sz w:val="22"/>
          <w:szCs w:val="22"/>
          <w:lang w:val="es-ES"/>
        </w:rPr>
        <w:t>correspond</w:t>
      </w:r>
      <w:proofErr w:type="spellEnd"/>
      <w:r>
        <w:rPr>
          <w:color w:val="000000"/>
          <w:sz w:val="22"/>
          <w:szCs w:val="22"/>
          <w:lang w:val="es-ES"/>
        </w:rPr>
        <w:t xml:space="preserve">, in </w:t>
      </w:r>
      <w:proofErr w:type="spellStart"/>
      <w:r>
        <w:rPr>
          <w:color w:val="000000"/>
          <w:sz w:val="22"/>
          <w:szCs w:val="22"/>
          <w:lang w:val="es-ES"/>
        </w:rPr>
        <w:t>order</w:t>
      </w:r>
      <w:proofErr w:type="spellEnd"/>
      <w:r>
        <w:rPr>
          <w:color w:val="000000"/>
          <w:sz w:val="22"/>
          <w:szCs w:val="22"/>
          <w:lang w:val="es-ES"/>
        </w:rPr>
        <w:t xml:space="preserve"> </w:t>
      </w:r>
      <w:proofErr w:type="spellStart"/>
      <w:r>
        <w:rPr>
          <w:color w:val="000000"/>
          <w:sz w:val="22"/>
          <w:szCs w:val="22"/>
          <w:lang w:val="es-ES"/>
        </w:rPr>
        <w:t>to</w:t>
      </w:r>
      <w:proofErr w:type="spellEnd"/>
      <w:r>
        <w:rPr>
          <w:color w:val="000000"/>
          <w:sz w:val="22"/>
          <w:szCs w:val="22"/>
          <w:lang w:val="es-ES"/>
        </w:rPr>
        <w:t xml:space="preserve"> determine </w:t>
      </w:r>
      <w:proofErr w:type="spellStart"/>
      <w:r>
        <w:rPr>
          <w:color w:val="000000"/>
          <w:sz w:val="22"/>
          <w:szCs w:val="22"/>
          <w:lang w:val="es-ES"/>
        </w:rPr>
        <w:t>if</w:t>
      </w:r>
      <w:proofErr w:type="spellEnd"/>
      <w:r>
        <w:rPr>
          <w:color w:val="000000"/>
          <w:sz w:val="22"/>
          <w:szCs w:val="22"/>
          <w:lang w:val="es-ES"/>
        </w:rPr>
        <w:t xml:space="preserve"> </w:t>
      </w:r>
      <w:proofErr w:type="spellStart"/>
      <w:r>
        <w:rPr>
          <w:color w:val="000000"/>
          <w:sz w:val="22"/>
          <w:szCs w:val="22"/>
          <w:lang w:val="es-ES"/>
        </w:rPr>
        <w:t>it</w:t>
      </w:r>
      <w:proofErr w:type="spellEnd"/>
      <w:r>
        <w:rPr>
          <w:color w:val="000000"/>
          <w:sz w:val="22"/>
          <w:szCs w:val="22"/>
          <w:lang w:val="es-ES"/>
        </w:rPr>
        <w:t xml:space="preserve"> </w:t>
      </w:r>
      <w:proofErr w:type="spellStart"/>
      <w:r>
        <w:rPr>
          <w:color w:val="000000"/>
          <w:sz w:val="22"/>
          <w:szCs w:val="22"/>
          <w:lang w:val="es-ES"/>
        </w:rPr>
        <w:t>complies</w:t>
      </w:r>
      <w:proofErr w:type="spellEnd"/>
      <w:r>
        <w:rPr>
          <w:color w:val="000000"/>
          <w:sz w:val="22"/>
          <w:szCs w:val="22"/>
          <w:lang w:val="es-ES"/>
        </w:rPr>
        <w:t xml:space="preserve"> </w:t>
      </w:r>
      <w:proofErr w:type="spellStart"/>
      <w:r>
        <w:rPr>
          <w:color w:val="000000"/>
          <w:sz w:val="22"/>
          <w:szCs w:val="22"/>
          <w:lang w:val="es-ES"/>
        </w:rPr>
        <w:t>with</w:t>
      </w:r>
      <w:proofErr w:type="spellEnd"/>
      <w:r>
        <w:rPr>
          <w:color w:val="000000"/>
          <w:sz w:val="22"/>
          <w:szCs w:val="22"/>
          <w:lang w:val="es-ES"/>
        </w:rPr>
        <w:t xml:space="preserve"> </w:t>
      </w:r>
      <w:proofErr w:type="spellStart"/>
      <w:r>
        <w:rPr>
          <w:color w:val="000000"/>
          <w:sz w:val="22"/>
          <w:szCs w:val="22"/>
          <w:lang w:val="es-ES"/>
        </w:rPr>
        <w:t>the</w:t>
      </w:r>
      <w:proofErr w:type="spellEnd"/>
      <w:r>
        <w:rPr>
          <w:color w:val="000000"/>
          <w:sz w:val="22"/>
          <w:szCs w:val="22"/>
          <w:lang w:val="es-ES"/>
        </w:rPr>
        <w:t xml:space="preserve"> </w:t>
      </w:r>
      <w:proofErr w:type="spellStart"/>
      <w:r>
        <w:rPr>
          <w:color w:val="000000"/>
          <w:sz w:val="22"/>
          <w:szCs w:val="22"/>
          <w:lang w:val="es-ES"/>
        </w:rPr>
        <w:t>different</w:t>
      </w:r>
      <w:proofErr w:type="spellEnd"/>
      <w:r>
        <w:rPr>
          <w:color w:val="000000"/>
          <w:sz w:val="22"/>
          <w:szCs w:val="22"/>
          <w:lang w:val="es-ES"/>
        </w:rPr>
        <w:t xml:space="preserve"> </w:t>
      </w:r>
      <w:proofErr w:type="spellStart"/>
      <w:r>
        <w:rPr>
          <w:color w:val="000000"/>
          <w:sz w:val="22"/>
          <w:szCs w:val="22"/>
          <w:lang w:val="es-ES"/>
        </w:rPr>
        <w:t>indications</w:t>
      </w:r>
      <w:proofErr w:type="spellEnd"/>
      <w:r>
        <w:rPr>
          <w:color w:val="000000"/>
          <w:sz w:val="22"/>
          <w:szCs w:val="22"/>
          <w:lang w:val="es-ES"/>
        </w:rPr>
        <w:t xml:space="preserve"> </w:t>
      </w:r>
      <w:proofErr w:type="spellStart"/>
      <w:r>
        <w:rPr>
          <w:color w:val="000000"/>
          <w:sz w:val="22"/>
          <w:szCs w:val="22"/>
          <w:lang w:val="es-ES"/>
        </w:rPr>
        <w:lastRenderedPageBreak/>
        <w:t>that</w:t>
      </w:r>
      <w:proofErr w:type="spellEnd"/>
      <w:r>
        <w:rPr>
          <w:color w:val="000000"/>
          <w:sz w:val="22"/>
          <w:szCs w:val="22"/>
          <w:lang w:val="es-ES"/>
        </w:rPr>
        <w:t xml:space="preserve"> </w:t>
      </w:r>
      <w:proofErr w:type="spellStart"/>
      <w:r>
        <w:rPr>
          <w:color w:val="000000"/>
          <w:sz w:val="22"/>
          <w:szCs w:val="22"/>
          <w:lang w:val="es-ES"/>
        </w:rPr>
        <w:t>appear</w:t>
      </w:r>
      <w:proofErr w:type="spellEnd"/>
      <w:r>
        <w:rPr>
          <w:color w:val="000000"/>
          <w:sz w:val="22"/>
          <w:szCs w:val="22"/>
          <w:lang w:val="es-ES"/>
        </w:rPr>
        <w:t xml:space="preserve"> in </w:t>
      </w:r>
      <w:proofErr w:type="spellStart"/>
      <w:r>
        <w:rPr>
          <w:color w:val="000000"/>
          <w:sz w:val="22"/>
          <w:szCs w:val="22"/>
          <w:lang w:val="es-ES"/>
        </w:rPr>
        <w:t>this</w:t>
      </w:r>
      <w:proofErr w:type="spellEnd"/>
      <w:r>
        <w:rPr>
          <w:color w:val="000000"/>
          <w:sz w:val="22"/>
          <w:szCs w:val="22"/>
          <w:lang w:val="es-ES"/>
        </w:rPr>
        <w:t xml:space="preserve"> </w:t>
      </w:r>
      <w:proofErr w:type="spellStart"/>
      <w:r>
        <w:rPr>
          <w:color w:val="000000"/>
          <w:sz w:val="22"/>
          <w:szCs w:val="22"/>
          <w:lang w:val="es-ES"/>
        </w:rPr>
        <w:t>document</w:t>
      </w:r>
      <w:proofErr w:type="spellEnd"/>
      <w:r>
        <w:rPr>
          <w:color w:val="000000"/>
          <w:sz w:val="22"/>
          <w:szCs w:val="22"/>
          <w:lang w:val="es-ES"/>
        </w:rPr>
        <w:t xml:space="preserve">, in particular </w:t>
      </w:r>
      <w:proofErr w:type="spellStart"/>
      <w:r>
        <w:rPr>
          <w:color w:val="000000"/>
          <w:sz w:val="22"/>
          <w:szCs w:val="22"/>
          <w:lang w:val="es-ES"/>
        </w:rPr>
        <w:t>those</w:t>
      </w:r>
      <w:proofErr w:type="spellEnd"/>
      <w:r>
        <w:rPr>
          <w:color w:val="000000"/>
          <w:sz w:val="22"/>
          <w:szCs w:val="22"/>
          <w:lang w:val="es-ES"/>
        </w:rPr>
        <w:t xml:space="preserve"> </w:t>
      </w:r>
      <w:proofErr w:type="spellStart"/>
      <w:r>
        <w:rPr>
          <w:color w:val="000000"/>
          <w:sz w:val="22"/>
          <w:szCs w:val="22"/>
          <w:lang w:val="es-ES"/>
        </w:rPr>
        <w:t>related</w:t>
      </w:r>
      <w:proofErr w:type="spellEnd"/>
      <w:r>
        <w:rPr>
          <w:color w:val="000000"/>
          <w:sz w:val="22"/>
          <w:szCs w:val="22"/>
          <w:lang w:val="es-ES"/>
        </w:rPr>
        <w:t xml:space="preserve"> </w:t>
      </w:r>
      <w:proofErr w:type="spellStart"/>
      <w:r>
        <w:rPr>
          <w:color w:val="000000"/>
          <w:sz w:val="22"/>
          <w:szCs w:val="22"/>
          <w:lang w:val="es-ES"/>
        </w:rPr>
        <w:t>to</w:t>
      </w:r>
      <w:proofErr w:type="spellEnd"/>
      <w:r>
        <w:rPr>
          <w:color w:val="000000"/>
          <w:sz w:val="22"/>
          <w:szCs w:val="22"/>
          <w:lang w:val="es-ES"/>
        </w:rPr>
        <w:t xml:space="preserve">: </w:t>
      </w:r>
      <w:proofErr w:type="spellStart"/>
      <w:r>
        <w:rPr>
          <w:color w:val="000000"/>
          <w:sz w:val="22"/>
          <w:szCs w:val="22"/>
          <w:lang w:val="es-ES"/>
        </w:rPr>
        <w:t>the</w:t>
      </w:r>
      <w:proofErr w:type="spellEnd"/>
      <w:r>
        <w:rPr>
          <w:color w:val="000000"/>
          <w:sz w:val="22"/>
          <w:szCs w:val="22"/>
          <w:lang w:val="es-ES"/>
        </w:rPr>
        <w:t xml:space="preserve"> </w:t>
      </w:r>
      <w:proofErr w:type="spellStart"/>
      <w:r>
        <w:rPr>
          <w:color w:val="000000"/>
          <w:sz w:val="22"/>
          <w:szCs w:val="22"/>
          <w:lang w:val="es-ES"/>
        </w:rPr>
        <w:t>indicating</w:t>
      </w:r>
      <w:proofErr w:type="spellEnd"/>
      <w:r>
        <w:rPr>
          <w:color w:val="000000"/>
          <w:sz w:val="22"/>
          <w:szCs w:val="22"/>
          <w:lang w:val="es-ES"/>
        </w:rPr>
        <w:t xml:space="preserve"> </w:t>
      </w:r>
      <w:proofErr w:type="spellStart"/>
      <w:r>
        <w:rPr>
          <w:color w:val="000000"/>
          <w:sz w:val="22"/>
          <w:szCs w:val="22"/>
          <w:lang w:val="es-ES"/>
        </w:rPr>
        <w:t>device</w:t>
      </w:r>
      <w:proofErr w:type="spellEnd"/>
      <w:r>
        <w:rPr>
          <w:color w:val="000000"/>
          <w:sz w:val="22"/>
          <w:szCs w:val="22"/>
          <w:lang w:val="es-ES"/>
        </w:rPr>
        <w:t xml:space="preserve">, </w:t>
      </w:r>
      <w:proofErr w:type="spellStart"/>
      <w:r>
        <w:rPr>
          <w:color w:val="000000"/>
          <w:sz w:val="22"/>
          <w:szCs w:val="22"/>
          <w:lang w:val="es-ES"/>
        </w:rPr>
        <w:t>the</w:t>
      </w:r>
      <w:proofErr w:type="spellEnd"/>
      <w:r>
        <w:rPr>
          <w:color w:val="000000"/>
          <w:sz w:val="22"/>
          <w:szCs w:val="22"/>
          <w:lang w:val="es-ES"/>
        </w:rPr>
        <w:t xml:space="preserve"> </w:t>
      </w:r>
      <w:proofErr w:type="spellStart"/>
      <w:r>
        <w:rPr>
          <w:color w:val="000000"/>
          <w:sz w:val="22"/>
          <w:szCs w:val="22"/>
          <w:lang w:val="es-ES"/>
        </w:rPr>
        <w:t>regulating</w:t>
      </w:r>
      <w:proofErr w:type="spellEnd"/>
      <w:r>
        <w:rPr>
          <w:color w:val="000000"/>
          <w:sz w:val="22"/>
          <w:szCs w:val="22"/>
          <w:lang w:val="es-ES"/>
        </w:rPr>
        <w:t xml:space="preserve"> </w:t>
      </w:r>
      <w:proofErr w:type="spellStart"/>
      <w:r>
        <w:rPr>
          <w:color w:val="000000"/>
          <w:sz w:val="22"/>
          <w:szCs w:val="22"/>
          <w:lang w:val="es-ES"/>
        </w:rPr>
        <w:t>device</w:t>
      </w:r>
      <w:proofErr w:type="spellEnd"/>
      <w:r>
        <w:rPr>
          <w:color w:val="000000"/>
          <w:sz w:val="22"/>
          <w:szCs w:val="22"/>
          <w:lang w:val="es-ES"/>
        </w:rPr>
        <w:t xml:space="preserve">, </w:t>
      </w:r>
      <w:proofErr w:type="spellStart"/>
      <w:r>
        <w:rPr>
          <w:color w:val="000000"/>
          <w:sz w:val="22"/>
          <w:szCs w:val="22"/>
          <w:lang w:val="es-ES"/>
        </w:rPr>
        <w:t>the</w:t>
      </w:r>
      <w:proofErr w:type="spellEnd"/>
      <w:r>
        <w:rPr>
          <w:color w:val="000000"/>
          <w:sz w:val="22"/>
          <w:szCs w:val="22"/>
          <w:lang w:val="es-ES"/>
        </w:rPr>
        <w:t xml:space="preserve"> </w:t>
      </w:r>
      <w:proofErr w:type="spellStart"/>
      <w:r>
        <w:rPr>
          <w:color w:val="000000"/>
          <w:sz w:val="22"/>
          <w:szCs w:val="22"/>
          <w:lang w:val="es-ES"/>
        </w:rPr>
        <w:t>sealing</w:t>
      </w:r>
      <w:proofErr w:type="spellEnd"/>
      <w:r>
        <w:rPr>
          <w:color w:val="000000"/>
          <w:sz w:val="22"/>
          <w:szCs w:val="22"/>
          <w:lang w:val="es-ES"/>
        </w:rPr>
        <w:t xml:space="preserve">, </w:t>
      </w:r>
      <w:proofErr w:type="spellStart"/>
      <w:r>
        <w:rPr>
          <w:color w:val="000000"/>
          <w:sz w:val="22"/>
          <w:szCs w:val="22"/>
          <w:lang w:val="es-ES"/>
        </w:rPr>
        <w:t>the</w:t>
      </w:r>
      <w:proofErr w:type="spellEnd"/>
      <w:r>
        <w:rPr>
          <w:color w:val="000000"/>
          <w:sz w:val="22"/>
          <w:szCs w:val="22"/>
          <w:lang w:val="es-ES"/>
        </w:rPr>
        <w:t xml:space="preserve"> </w:t>
      </w:r>
      <w:proofErr w:type="spellStart"/>
      <w:r>
        <w:rPr>
          <w:color w:val="000000"/>
          <w:sz w:val="22"/>
          <w:szCs w:val="22"/>
          <w:lang w:val="es-ES"/>
        </w:rPr>
        <w:t>construction</w:t>
      </w:r>
      <w:proofErr w:type="spellEnd"/>
      <w:r>
        <w:rPr>
          <w:color w:val="000000"/>
          <w:sz w:val="22"/>
          <w:szCs w:val="22"/>
          <w:lang w:val="es-ES"/>
        </w:rPr>
        <w:t xml:space="preserve"> </w:t>
      </w:r>
      <w:proofErr w:type="spellStart"/>
      <w:r>
        <w:rPr>
          <w:color w:val="000000"/>
          <w:sz w:val="22"/>
          <w:szCs w:val="22"/>
          <w:lang w:val="es-ES"/>
        </w:rPr>
        <w:t>aspects</w:t>
      </w:r>
      <w:proofErr w:type="spellEnd"/>
      <w:r>
        <w:rPr>
          <w:color w:val="000000"/>
          <w:sz w:val="22"/>
          <w:szCs w:val="22"/>
          <w:lang w:val="es-ES"/>
        </w:rPr>
        <w:t xml:space="preserve">, </w:t>
      </w:r>
      <w:proofErr w:type="spellStart"/>
      <w:r>
        <w:rPr>
          <w:color w:val="000000"/>
          <w:sz w:val="22"/>
          <w:szCs w:val="22"/>
          <w:lang w:val="es-ES"/>
        </w:rPr>
        <w:t>the</w:t>
      </w:r>
      <w:proofErr w:type="spellEnd"/>
      <w:r>
        <w:rPr>
          <w:color w:val="000000"/>
          <w:sz w:val="22"/>
          <w:szCs w:val="22"/>
          <w:lang w:val="es-ES"/>
        </w:rPr>
        <w:t xml:space="preserve"> </w:t>
      </w:r>
      <w:proofErr w:type="spellStart"/>
      <w:r>
        <w:rPr>
          <w:color w:val="000000"/>
          <w:sz w:val="22"/>
          <w:szCs w:val="22"/>
          <w:lang w:val="es-ES"/>
        </w:rPr>
        <w:t>maximum</w:t>
      </w:r>
      <w:proofErr w:type="spellEnd"/>
      <w:r>
        <w:rPr>
          <w:color w:val="000000"/>
          <w:sz w:val="22"/>
          <w:szCs w:val="22"/>
          <w:lang w:val="es-ES"/>
        </w:rPr>
        <w:t xml:space="preserve"> </w:t>
      </w:r>
      <w:proofErr w:type="spellStart"/>
      <w:r>
        <w:rPr>
          <w:color w:val="000000"/>
          <w:sz w:val="22"/>
          <w:szCs w:val="22"/>
          <w:lang w:val="es-ES"/>
        </w:rPr>
        <w:t>measurements</w:t>
      </w:r>
      <w:proofErr w:type="spellEnd"/>
      <w:r>
        <w:rPr>
          <w:color w:val="000000"/>
          <w:sz w:val="22"/>
          <w:szCs w:val="22"/>
          <w:lang w:val="es-ES"/>
        </w:rPr>
        <w:t xml:space="preserve">, </w:t>
      </w:r>
      <w:proofErr w:type="spellStart"/>
      <w:r>
        <w:rPr>
          <w:color w:val="000000"/>
          <w:sz w:val="22"/>
          <w:szCs w:val="22"/>
          <w:lang w:val="es-ES"/>
        </w:rPr>
        <w:t>the</w:t>
      </w:r>
      <w:proofErr w:type="spellEnd"/>
      <w:r>
        <w:rPr>
          <w:color w:val="000000"/>
          <w:sz w:val="22"/>
          <w:szCs w:val="22"/>
          <w:lang w:val="es-ES"/>
        </w:rPr>
        <w:t xml:space="preserve"> </w:t>
      </w:r>
      <w:proofErr w:type="spellStart"/>
      <w:r>
        <w:rPr>
          <w:color w:val="000000"/>
          <w:sz w:val="22"/>
          <w:szCs w:val="22"/>
          <w:lang w:val="es-ES"/>
        </w:rPr>
        <w:t>threads</w:t>
      </w:r>
      <w:proofErr w:type="spellEnd"/>
      <w:r>
        <w:rPr>
          <w:color w:val="000000"/>
          <w:sz w:val="22"/>
          <w:szCs w:val="22"/>
          <w:lang w:val="es-ES"/>
        </w:rPr>
        <w:t xml:space="preserve">, </w:t>
      </w:r>
      <w:proofErr w:type="spellStart"/>
      <w:r>
        <w:rPr>
          <w:color w:val="000000"/>
          <w:sz w:val="22"/>
          <w:szCs w:val="22"/>
          <w:lang w:val="es-ES"/>
        </w:rPr>
        <w:t>the</w:t>
      </w:r>
      <w:proofErr w:type="spellEnd"/>
      <w:r>
        <w:rPr>
          <w:color w:val="000000"/>
          <w:sz w:val="22"/>
          <w:szCs w:val="22"/>
          <w:lang w:val="es-ES"/>
        </w:rPr>
        <w:t xml:space="preserve"> </w:t>
      </w:r>
      <w:proofErr w:type="spellStart"/>
      <w:r>
        <w:rPr>
          <w:color w:val="000000"/>
          <w:sz w:val="22"/>
          <w:szCs w:val="22"/>
          <w:lang w:val="es-ES"/>
        </w:rPr>
        <w:t>filter</w:t>
      </w:r>
      <w:proofErr w:type="spellEnd"/>
      <w:r>
        <w:rPr>
          <w:color w:val="000000"/>
          <w:sz w:val="22"/>
          <w:szCs w:val="22"/>
          <w:lang w:val="es-ES"/>
        </w:rPr>
        <w:t xml:space="preserve">, </w:t>
      </w:r>
      <w:proofErr w:type="spellStart"/>
      <w:r>
        <w:rPr>
          <w:color w:val="000000"/>
          <w:sz w:val="22"/>
          <w:szCs w:val="22"/>
          <w:lang w:val="es-ES"/>
        </w:rPr>
        <w:t>the</w:t>
      </w:r>
      <w:proofErr w:type="spellEnd"/>
      <w:r>
        <w:rPr>
          <w:color w:val="000000"/>
          <w:sz w:val="22"/>
          <w:szCs w:val="22"/>
          <w:lang w:val="es-ES"/>
        </w:rPr>
        <w:t xml:space="preserve"> </w:t>
      </w:r>
      <w:proofErr w:type="spellStart"/>
      <w:r>
        <w:rPr>
          <w:color w:val="000000"/>
          <w:sz w:val="22"/>
          <w:szCs w:val="22"/>
          <w:lang w:val="es-ES"/>
        </w:rPr>
        <w:t>marking</w:t>
      </w:r>
      <w:proofErr w:type="spellEnd"/>
      <w:r>
        <w:rPr>
          <w:color w:val="000000"/>
          <w:sz w:val="22"/>
          <w:szCs w:val="22"/>
          <w:lang w:val="es-ES"/>
        </w:rPr>
        <w:t xml:space="preserve">, </w:t>
      </w:r>
      <w:proofErr w:type="spellStart"/>
      <w:r>
        <w:rPr>
          <w:color w:val="000000"/>
          <w:sz w:val="22"/>
          <w:szCs w:val="22"/>
          <w:lang w:val="es-ES"/>
        </w:rPr>
        <w:t>the</w:t>
      </w:r>
      <w:proofErr w:type="spellEnd"/>
      <w:r>
        <w:rPr>
          <w:color w:val="000000"/>
          <w:sz w:val="22"/>
          <w:szCs w:val="22"/>
          <w:lang w:val="es-ES"/>
        </w:rPr>
        <w:t xml:space="preserve"> </w:t>
      </w:r>
      <w:proofErr w:type="spellStart"/>
      <w:r>
        <w:rPr>
          <w:color w:val="000000"/>
          <w:sz w:val="22"/>
          <w:szCs w:val="22"/>
          <w:lang w:val="es-ES"/>
        </w:rPr>
        <w:t>resistance</w:t>
      </w:r>
      <w:proofErr w:type="spellEnd"/>
      <w:r>
        <w:rPr>
          <w:color w:val="000000"/>
          <w:sz w:val="22"/>
          <w:szCs w:val="22"/>
          <w:lang w:val="es-ES"/>
        </w:rPr>
        <w:t xml:space="preserve"> </w:t>
      </w:r>
      <w:proofErr w:type="spellStart"/>
      <w:r>
        <w:rPr>
          <w:color w:val="000000"/>
          <w:sz w:val="22"/>
          <w:szCs w:val="22"/>
          <w:lang w:val="es-ES"/>
        </w:rPr>
        <w:t>of</w:t>
      </w:r>
      <w:proofErr w:type="spellEnd"/>
      <w:r>
        <w:rPr>
          <w:color w:val="000000"/>
          <w:sz w:val="22"/>
          <w:szCs w:val="22"/>
          <w:lang w:val="es-ES"/>
        </w:rPr>
        <w:t xml:space="preserve"> </w:t>
      </w:r>
      <w:proofErr w:type="spellStart"/>
      <w:r>
        <w:rPr>
          <w:color w:val="000000"/>
          <w:sz w:val="22"/>
          <w:szCs w:val="22"/>
          <w:lang w:val="es-ES"/>
        </w:rPr>
        <w:t>the</w:t>
      </w:r>
      <w:proofErr w:type="spellEnd"/>
      <w:r>
        <w:rPr>
          <w:color w:val="000000"/>
          <w:sz w:val="22"/>
          <w:szCs w:val="22"/>
          <w:lang w:val="es-ES"/>
        </w:rPr>
        <w:t xml:space="preserve"> </w:t>
      </w:r>
      <w:proofErr w:type="spellStart"/>
      <w:r>
        <w:rPr>
          <w:color w:val="000000"/>
          <w:sz w:val="22"/>
          <w:szCs w:val="22"/>
          <w:lang w:val="es-ES"/>
        </w:rPr>
        <w:t>viewer</w:t>
      </w:r>
      <w:proofErr w:type="spellEnd"/>
      <w:r>
        <w:rPr>
          <w:color w:val="000000"/>
          <w:sz w:val="22"/>
          <w:szCs w:val="22"/>
          <w:lang w:val="es-ES"/>
        </w:rPr>
        <w:t>, etc.</w:t>
      </w:r>
      <w:r>
        <w:br w:type="page"/>
      </w:r>
    </w:p>
    <w:p w14:paraId="785C92FB" w14:textId="77777777" w:rsidR="00E255F4" w:rsidRDefault="00E255F4">
      <w:pPr>
        <w:spacing w:line="240" w:lineRule="auto"/>
        <w:rPr>
          <w:rFonts w:ascii="Arial" w:hAnsi="Arial" w:cs="Arial"/>
          <w:color w:val="000000"/>
          <w:sz w:val="22"/>
          <w:szCs w:val="22"/>
          <w:lang w:val="es-ES"/>
        </w:rPr>
      </w:pPr>
    </w:p>
    <w:p w14:paraId="127F93E8" w14:textId="77777777" w:rsidR="00E255F4" w:rsidRDefault="00000000">
      <w:pPr>
        <w:pStyle w:val="Ttulo1"/>
        <w:numPr>
          <w:ilvl w:val="0"/>
          <w:numId w:val="0"/>
        </w:numPr>
        <w:tabs>
          <w:tab w:val="left" w:pos="0"/>
        </w:tabs>
        <w:spacing w:before="0" w:after="0"/>
        <w:jc w:val="center"/>
        <w:rPr>
          <w:rFonts w:ascii="Times New Roman" w:hAnsi="Times New Roman" w:cs="Times New Roman"/>
          <w:b w:val="0"/>
          <w:color w:val="0070C0"/>
          <w:sz w:val="28"/>
          <w:szCs w:val="28"/>
          <w:lang w:val="es-ES"/>
        </w:rPr>
      </w:pPr>
      <w:bookmarkStart w:id="118" w:name="__RefHeading___Toc225377278"/>
      <w:bookmarkEnd w:id="118"/>
      <w:r>
        <w:rPr>
          <w:rFonts w:ascii="Times New Roman" w:hAnsi="Times New Roman" w:cs="Times New Roman"/>
          <w:b w:val="0"/>
          <w:color w:val="0070C0"/>
          <w:sz w:val="28"/>
          <w:szCs w:val="28"/>
          <w:lang w:val="es-ES"/>
        </w:rPr>
        <w:t>ANNEX VIII</w:t>
      </w:r>
    </w:p>
    <w:p w14:paraId="4359F456" w14:textId="77777777" w:rsidR="00E255F4" w:rsidRDefault="00000000">
      <w:pPr>
        <w:pStyle w:val="Ttulo1"/>
        <w:numPr>
          <w:ilvl w:val="0"/>
          <w:numId w:val="0"/>
        </w:numPr>
        <w:tabs>
          <w:tab w:val="left" w:pos="0"/>
        </w:tabs>
        <w:spacing w:before="0" w:after="0"/>
        <w:jc w:val="center"/>
        <w:rPr>
          <w:rFonts w:ascii="Times New Roman" w:hAnsi="Times New Roman" w:cs="Times New Roman"/>
          <w:b w:val="0"/>
          <w:color w:val="0070C0"/>
          <w:sz w:val="28"/>
          <w:szCs w:val="28"/>
          <w:lang w:val="es-ES"/>
        </w:rPr>
      </w:pPr>
      <w:bookmarkStart w:id="119" w:name="__RefHeading___Toc225377279"/>
      <w:bookmarkEnd w:id="119"/>
      <w:proofErr w:type="spellStart"/>
      <w:r>
        <w:rPr>
          <w:rFonts w:ascii="Times New Roman" w:hAnsi="Times New Roman" w:cs="Times New Roman"/>
          <w:b w:val="0"/>
          <w:color w:val="0070C0"/>
          <w:sz w:val="28"/>
          <w:szCs w:val="28"/>
          <w:lang w:val="es-ES"/>
        </w:rPr>
        <w:t>Declaration</w:t>
      </w:r>
      <w:proofErr w:type="spellEnd"/>
      <w:r>
        <w:rPr>
          <w:rFonts w:ascii="Times New Roman" w:hAnsi="Times New Roman" w:cs="Times New Roman"/>
          <w:b w:val="0"/>
          <w:color w:val="0070C0"/>
          <w:sz w:val="28"/>
          <w:szCs w:val="28"/>
          <w:lang w:val="es-ES"/>
        </w:rPr>
        <w:t xml:space="preserve"> </w:t>
      </w:r>
      <w:proofErr w:type="spellStart"/>
      <w:r>
        <w:rPr>
          <w:rFonts w:ascii="Times New Roman" w:hAnsi="Times New Roman" w:cs="Times New Roman"/>
          <w:b w:val="0"/>
          <w:color w:val="0070C0"/>
          <w:sz w:val="28"/>
          <w:szCs w:val="28"/>
          <w:lang w:val="es-ES"/>
        </w:rPr>
        <w:t>of</w:t>
      </w:r>
      <w:proofErr w:type="spellEnd"/>
      <w:r>
        <w:rPr>
          <w:rFonts w:ascii="Times New Roman" w:hAnsi="Times New Roman" w:cs="Times New Roman"/>
          <w:b w:val="0"/>
          <w:color w:val="0070C0"/>
          <w:sz w:val="28"/>
          <w:szCs w:val="28"/>
          <w:lang w:val="es-ES"/>
        </w:rPr>
        <w:t xml:space="preserve"> </w:t>
      </w:r>
      <w:proofErr w:type="spellStart"/>
      <w:r>
        <w:rPr>
          <w:rFonts w:ascii="Times New Roman" w:hAnsi="Times New Roman" w:cs="Times New Roman"/>
          <w:b w:val="0"/>
          <w:color w:val="0070C0"/>
          <w:sz w:val="28"/>
          <w:szCs w:val="28"/>
          <w:lang w:val="es-ES"/>
        </w:rPr>
        <w:t>gender</w:t>
      </w:r>
      <w:proofErr w:type="spellEnd"/>
      <w:r>
        <w:rPr>
          <w:rFonts w:ascii="Times New Roman" w:hAnsi="Times New Roman" w:cs="Times New Roman"/>
          <w:b w:val="0"/>
          <w:color w:val="0070C0"/>
          <w:sz w:val="28"/>
          <w:szCs w:val="28"/>
          <w:lang w:val="es-ES"/>
        </w:rPr>
        <w:t xml:space="preserve"> </w:t>
      </w:r>
      <w:proofErr w:type="spellStart"/>
      <w:r>
        <w:rPr>
          <w:rFonts w:ascii="Times New Roman" w:hAnsi="Times New Roman" w:cs="Times New Roman"/>
          <w:b w:val="0"/>
          <w:color w:val="0070C0"/>
          <w:sz w:val="28"/>
          <w:szCs w:val="28"/>
          <w:lang w:val="es-ES"/>
        </w:rPr>
        <w:t>equality</w:t>
      </w:r>
      <w:proofErr w:type="spellEnd"/>
    </w:p>
    <w:p w14:paraId="6CFF64E6" w14:textId="77777777" w:rsidR="00E255F4" w:rsidRDefault="00E255F4">
      <w:pPr>
        <w:tabs>
          <w:tab w:val="left" w:pos="0"/>
        </w:tabs>
        <w:jc w:val="both"/>
        <w:rPr>
          <w:b/>
          <w:color w:val="0070C0"/>
          <w:sz w:val="22"/>
          <w:szCs w:val="22"/>
          <w:lang w:val="es-ES" w:eastAsia="es-ES"/>
        </w:rPr>
      </w:pPr>
    </w:p>
    <w:p w14:paraId="1CCECDB5" w14:textId="77777777" w:rsidR="00E255F4" w:rsidRDefault="00E255F4">
      <w:pPr>
        <w:tabs>
          <w:tab w:val="left" w:pos="0"/>
        </w:tabs>
        <w:jc w:val="both"/>
        <w:rPr>
          <w:sz w:val="22"/>
          <w:szCs w:val="22"/>
          <w:lang w:val="es-ES" w:eastAsia="es-ES"/>
        </w:rPr>
      </w:pPr>
    </w:p>
    <w:p w14:paraId="44B65FDC" w14:textId="77777777" w:rsidR="00E255F4" w:rsidRDefault="00000000">
      <w:pPr>
        <w:tabs>
          <w:tab w:val="left" w:pos="0"/>
        </w:tabs>
        <w:jc w:val="both"/>
      </w:pPr>
      <w:proofErr w:type="spellStart"/>
      <w:r>
        <w:rPr>
          <w:sz w:val="22"/>
          <w:szCs w:val="22"/>
          <w:lang w:val="es-ES" w:eastAsia="es-ES"/>
        </w:rPr>
        <w:t>Sworn</w:t>
      </w:r>
      <w:proofErr w:type="spellEnd"/>
      <w:r>
        <w:rPr>
          <w:sz w:val="22"/>
          <w:szCs w:val="22"/>
          <w:lang w:val="es-ES" w:eastAsia="es-ES"/>
        </w:rPr>
        <w:t xml:space="preserve"> </w:t>
      </w:r>
      <w:proofErr w:type="spellStart"/>
      <w:r>
        <w:rPr>
          <w:sz w:val="22"/>
          <w:szCs w:val="22"/>
          <w:lang w:val="es-ES" w:eastAsia="es-ES"/>
        </w:rPr>
        <w:t>declaration</w:t>
      </w:r>
      <w:proofErr w:type="spellEnd"/>
      <w:r>
        <w:rPr>
          <w:rStyle w:val="FootnoteAnchor"/>
          <w:sz w:val="22"/>
          <w:szCs w:val="22"/>
          <w:lang w:eastAsia="es-ES"/>
        </w:rPr>
        <w:footnoteReference w:id="8"/>
      </w:r>
      <w:r>
        <w:rPr>
          <w:sz w:val="22"/>
          <w:szCs w:val="22"/>
          <w:lang w:val="es-ES" w:eastAsia="es-ES"/>
        </w:rPr>
        <w:t xml:space="preserve">In </w:t>
      </w:r>
      <w:proofErr w:type="spellStart"/>
      <w:r>
        <w:rPr>
          <w:sz w:val="22"/>
          <w:szCs w:val="22"/>
          <w:lang w:val="es-ES" w:eastAsia="es-ES"/>
        </w:rPr>
        <w:t>the</w:t>
      </w:r>
      <w:proofErr w:type="spellEnd"/>
      <w:r>
        <w:rPr>
          <w:sz w:val="22"/>
          <w:szCs w:val="22"/>
          <w:lang w:val="es-ES" w:eastAsia="es-ES"/>
        </w:rPr>
        <w:t xml:space="preserve"> </w:t>
      </w:r>
      <w:proofErr w:type="spellStart"/>
      <w:r>
        <w:rPr>
          <w:sz w:val="22"/>
          <w:szCs w:val="22"/>
          <w:lang w:val="es-ES" w:eastAsia="es-ES"/>
        </w:rPr>
        <w:t>city</w:t>
      </w:r>
      <w:proofErr w:type="spellEnd"/>
      <w:r>
        <w:rPr>
          <w:sz w:val="22"/>
          <w:szCs w:val="22"/>
          <w:lang w:val="es-ES" w:eastAsia="es-ES"/>
        </w:rPr>
        <w:t xml:space="preserve"> </w:t>
      </w:r>
      <w:proofErr w:type="spellStart"/>
      <w:r>
        <w:rPr>
          <w:sz w:val="22"/>
          <w:szCs w:val="22"/>
          <w:lang w:val="es-ES" w:eastAsia="es-ES"/>
        </w:rPr>
        <w:t>of</w:t>
      </w:r>
      <w:proofErr w:type="spellEnd"/>
      <w:r>
        <w:rPr>
          <w:sz w:val="22"/>
          <w:szCs w:val="22"/>
          <w:lang w:val="es-ES" w:eastAsia="es-ES"/>
        </w:rPr>
        <w:t xml:space="preserve">………… </w:t>
      </w:r>
      <w:proofErr w:type="spellStart"/>
      <w:r>
        <w:rPr>
          <w:sz w:val="22"/>
          <w:szCs w:val="22"/>
          <w:lang w:val="es-ES" w:eastAsia="es-ES"/>
        </w:rPr>
        <w:t>on</w:t>
      </w:r>
      <w:proofErr w:type="spellEnd"/>
      <w:r>
        <w:rPr>
          <w:sz w:val="22"/>
          <w:szCs w:val="22"/>
          <w:lang w:val="es-ES" w:eastAsia="es-ES"/>
        </w:rPr>
        <w:t xml:space="preserve"> </w:t>
      </w:r>
      <w:proofErr w:type="spellStart"/>
      <w:r>
        <w:rPr>
          <w:sz w:val="22"/>
          <w:szCs w:val="22"/>
          <w:lang w:val="es-ES" w:eastAsia="es-ES"/>
        </w:rPr>
        <w:t>the</w:t>
      </w:r>
      <w:proofErr w:type="spellEnd"/>
      <w:proofErr w:type="gramStart"/>
      <w:r>
        <w:rPr>
          <w:sz w:val="22"/>
          <w:szCs w:val="22"/>
          <w:lang w:val="es-ES" w:eastAsia="es-ES"/>
        </w:rPr>
        <w:t>…….</w:t>
      </w:r>
      <w:proofErr w:type="gramEnd"/>
      <w:r>
        <w:rPr>
          <w:sz w:val="22"/>
          <w:szCs w:val="22"/>
          <w:lang w:val="es-ES" w:eastAsia="es-ES"/>
        </w:rPr>
        <w:t xml:space="preserve">. </w:t>
      </w:r>
      <w:proofErr w:type="spellStart"/>
      <w:r>
        <w:rPr>
          <w:sz w:val="22"/>
          <w:szCs w:val="22"/>
          <w:lang w:val="es-ES" w:eastAsia="es-ES"/>
        </w:rPr>
        <w:t>day</w:t>
      </w:r>
      <w:proofErr w:type="spellEnd"/>
      <w:r>
        <w:rPr>
          <w:sz w:val="22"/>
          <w:szCs w:val="22"/>
          <w:lang w:val="es-ES" w:eastAsia="es-ES"/>
        </w:rPr>
        <w:t xml:space="preserve"> </w:t>
      </w:r>
      <w:proofErr w:type="spellStart"/>
      <w:r>
        <w:rPr>
          <w:sz w:val="22"/>
          <w:szCs w:val="22"/>
          <w:lang w:val="es-ES" w:eastAsia="es-ES"/>
        </w:rPr>
        <w:t>of</w:t>
      </w:r>
      <w:proofErr w:type="spellEnd"/>
      <w:r>
        <w:rPr>
          <w:sz w:val="22"/>
          <w:szCs w:val="22"/>
          <w:lang w:val="es-ES" w:eastAsia="es-ES"/>
        </w:rPr>
        <w:t xml:space="preserve"> </w:t>
      </w:r>
      <w:proofErr w:type="spellStart"/>
      <w:r>
        <w:rPr>
          <w:sz w:val="22"/>
          <w:szCs w:val="22"/>
          <w:lang w:val="es-ES" w:eastAsia="es-ES"/>
        </w:rPr>
        <w:t>the</w:t>
      </w:r>
      <w:proofErr w:type="spellEnd"/>
      <w:r>
        <w:rPr>
          <w:sz w:val="22"/>
          <w:szCs w:val="22"/>
          <w:lang w:val="es-ES" w:eastAsia="es-ES"/>
        </w:rPr>
        <w:t xml:space="preserve"> </w:t>
      </w:r>
      <w:proofErr w:type="spellStart"/>
      <w:r>
        <w:rPr>
          <w:sz w:val="22"/>
          <w:szCs w:val="22"/>
          <w:lang w:val="es-ES" w:eastAsia="es-ES"/>
        </w:rPr>
        <w:t>month</w:t>
      </w:r>
      <w:proofErr w:type="spellEnd"/>
      <w:r>
        <w:rPr>
          <w:sz w:val="22"/>
          <w:szCs w:val="22"/>
          <w:lang w:val="es-ES" w:eastAsia="es-ES"/>
        </w:rPr>
        <w:t xml:space="preserve"> </w:t>
      </w:r>
      <w:proofErr w:type="spellStart"/>
      <w:r>
        <w:rPr>
          <w:sz w:val="22"/>
          <w:szCs w:val="22"/>
          <w:lang w:val="es-ES" w:eastAsia="es-ES"/>
        </w:rPr>
        <w:t>of</w:t>
      </w:r>
      <w:proofErr w:type="spellEnd"/>
      <w:r>
        <w:rPr>
          <w:sz w:val="22"/>
          <w:szCs w:val="22"/>
          <w:lang w:val="es-ES" w:eastAsia="es-ES"/>
        </w:rPr>
        <w:t xml:space="preserve">…. </w:t>
      </w:r>
      <w:proofErr w:type="spellStart"/>
      <w:r>
        <w:rPr>
          <w:sz w:val="22"/>
          <w:szCs w:val="22"/>
          <w:lang w:val="es-ES" w:eastAsia="es-ES"/>
        </w:rPr>
        <w:t>of</w:t>
      </w:r>
      <w:proofErr w:type="spellEnd"/>
      <w:r>
        <w:rPr>
          <w:sz w:val="22"/>
          <w:szCs w:val="22"/>
          <w:lang w:val="es-ES" w:eastAsia="es-ES"/>
        </w:rPr>
        <w:t xml:space="preserve"> </w:t>
      </w:r>
      <w:proofErr w:type="spellStart"/>
      <w:r>
        <w:rPr>
          <w:sz w:val="22"/>
          <w:szCs w:val="22"/>
          <w:lang w:val="es-ES" w:eastAsia="es-ES"/>
        </w:rPr>
        <w:t>the</w:t>
      </w:r>
      <w:proofErr w:type="spellEnd"/>
      <w:r>
        <w:rPr>
          <w:sz w:val="22"/>
          <w:szCs w:val="22"/>
          <w:lang w:val="es-ES" w:eastAsia="es-ES"/>
        </w:rPr>
        <w:t xml:space="preserve"> </w:t>
      </w:r>
      <w:proofErr w:type="spellStart"/>
      <w:r>
        <w:rPr>
          <w:sz w:val="22"/>
          <w:szCs w:val="22"/>
          <w:lang w:val="es-ES" w:eastAsia="es-ES"/>
        </w:rPr>
        <w:t>year</w:t>
      </w:r>
      <w:proofErr w:type="spellEnd"/>
      <w:r>
        <w:rPr>
          <w:sz w:val="22"/>
          <w:szCs w:val="22"/>
          <w:lang w:val="es-ES" w:eastAsia="es-ES"/>
        </w:rPr>
        <w:t xml:space="preserve"> </w:t>
      </w:r>
      <w:proofErr w:type="gramStart"/>
      <w:r>
        <w:rPr>
          <w:sz w:val="22"/>
          <w:szCs w:val="22"/>
          <w:lang w:val="es-ES" w:eastAsia="es-ES"/>
        </w:rPr>
        <w:t>…….</w:t>
      </w:r>
      <w:proofErr w:type="gramEnd"/>
      <w:r>
        <w:rPr>
          <w:sz w:val="22"/>
          <w:szCs w:val="22"/>
          <w:lang w:val="es-ES" w:eastAsia="es-ES"/>
        </w:rPr>
        <w:t xml:space="preserve">., …………, in </w:t>
      </w:r>
      <w:proofErr w:type="spellStart"/>
      <w:r>
        <w:rPr>
          <w:sz w:val="22"/>
          <w:szCs w:val="22"/>
          <w:lang w:val="es-ES" w:eastAsia="es-ES"/>
        </w:rPr>
        <w:t>his</w:t>
      </w:r>
      <w:proofErr w:type="spellEnd"/>
      <w:r>
        <w:rPr>
          <w:sz w:val="22"/>
          <w:szCs w:val="22"/>
          <w:lang w:val="es-ES" w:eastAsia="es-ES"/>
        </w:rPr>
        <w:t xml:space="preserve"> </w:t>
      </w:r>
      <w:proofErr w:type="spellStart"/>
      <w:r>
        <w:rPr>
          <w:sz w:val="22"/>
          <w:szCs w:val="22"/>
          <w:lang w:val="es-ES" w:eastAsia="es-ES"/>
        </w:rPr>
        <w:t>capacity</w:t>
      </w:r>
      <w:proofErr w:type="spellEnd"/>
      <w:r>
        <w:rPr>
          <w:sz w:val="22"/>
          <w:szCs w:val="22"/>
          <w:lang w:val="es-ES" w:eastAsia="es-ES"/>
        </w:rPr>
        <w:t xml:space="preserve"> as …… </w:t>
      </w:r>
      <w:proofErr w:type="spellStart"/>
      <w:r>
        <w:rPr>
          <w:sz w:val="22"/>
          <w:szCs w:val="22"/>
          <w:lang w:val="es-ES" w:eastAsia="es-ES"/>
        </w:rPr>
        <w:t>of</w:t>
      </w:r>
      <w:proofErr w:type="spellEnd"/>
      <w:r>
        <w:rPr>
          <w:sz w:val="22"/>
          <w:szCs w:val="22"/>
          <w:lang w:val="es-ES" w:eastAsia="es-ES"/>
        </w:rPr>
        <w:t xml:space="preserve"> </w:t>
      </w:r>
      <w:proofErr w:type="spellStart"/>
      <w:r>
        <w:rPr>
          <w:sz w:val="22"/>
          <w:szCs w:val="22"/>
          <w:lang w:val="es-ES" w:eastAsia="es-ES"/>
        </w:rPr>
        <w:t>the</w:t>
      </w:r>
      <w:proofErr w:type="spellEnd"/>
      <w:r>
        <w:rPr>
          <w:sz w:val="22"/>
          <w:szCs w:val="22"/>
          <w:lang w:val="es-ES" w:eastAsia="es-ES"/>
        </w:rPr>
        <w:t xml:space="preserve"> </w:t>
      </w:r>
      <w:proofErr w:type="spellStart"/>
      <w:r>
        <w:rPr>
          <w:sz w:val="22"/>
          <w:szCs w:val="22"/>
          <w:lang w:val="es-ES" w:eastAsia="es-ES"/>
        </w:rPr>
        <w:t>company</w:t>
      </w:r>
      <w:proofErr w:type="spellEnd"/>
      <w:r>
        <w:rPr>
          <w:sz w:val="22"/>
          <w:szCs w:val="22"/>
          <w:lang w:val="es-ES" w:eastAsia="es-ES"/>
        </w:rPr>
        <w:t xml:space="preserve"> </w:t>
      </w:r>
      <w:proofErr w:type="gramStart"/>
      <w:r>
        <w:rPr>
          <w:sz w:val="22"/>
          <w:szCs w:val="22"/>
          <w:lang w:val="es-ES" w:eastAsia="es-ES"/>
        </w:rPr>
        <w:t>…….</w:t>
      </w:r>
      <w:proofErr w:type="gramEnd"/>
      <w:r>
        <w:rPr>
          <w:sz w:val="22"/>
          <w:szCs w:val="22"/>
          <w:lang w:val="es-ES" w:eastAsia="es-ES"/>
        </w:rPr>
        <w:t xml:space="preserve">., declares </w:t>
      </w:r>
      <w:proofErr w:type="spellStart"/>
      <w:r>
        <w:rPr>
          <w:sz w:val="22"/>
          <w:szCs w:val="22"/>
          <w:lang w:val="es-ES" w:eastAsia="es-ES"/>
        </w:rPr>
        <w:t>under</w:t>
      </w:r>
      <w:proofErr w:type="spellEnd"/>
      <w:r>
        <w:rPr>
          <w:sz w:val="22"/>
          <w:szCs w:val="22"/>
          <w:lang w:val="es-ES" w:eastAsia="es-ES"/>
        </w:rPr>
        <w:t xml:space="preserve"> </w:t>
      </w:r>
      <w:proofErr w:type="spellStart"/>
      <w:r>
        <w:rPr>
          <w:sz w:val="22"/>
          <w:szCs w:val="22"/>
          <w:lang w:val="es-ES" w:eastAsia="es-ES"/>
        </w:rPr>
        <w:t>oath</w:t>
      </w:r>
      <w:proofErr w:type="spellEnd"/>
      <w:r>
        <w:rPr>
          <w:sz w:val="22"/>
          <w:szCs w:val="22"/>
          <w:lang w:val="es-ES" w:eastAsia="es-ES"/>
        </w:rPr>
        <w:t xml:space="preserve"> </w:t>
      </w:r>
      <w:proofErr w:type="spellStart"/>
      <w:r>
        <w:rPr>
          <w:sz w:val="22"/>
          <w:szCs w:val="22"/>
          <w:lang w:val="es-ES" w:eastAsia="es-ES"/>
        </w:rPr>
        <w:t>that</w:t>
      </w:r>
      <w:proofErr w:type="spellEnd"/>
      <w:r>
        <w:rPr>
          <w:sz w:val="22"/>
          <w:szCs w:val="22"/>
          <w:lang w:val="es-ES" w:eastAsia="es-ES"/>
        </w:rPr>
        <w:t xml:space="preserve"> in </w:t>
      </w:r>
      <w:proofErr w:type="spellStart"/>
      <w:r>
        <w:rPr>
          <w:sz w:val="22"/>
          <w:szCs w:val="22"/>
          <w:lang w:val="es-ES" w:eastAsia="es-ES"/>
        </w:rPr>
        <w:t>this</w:t>
      </w:r>
      <w:proofErr w:type="spellEnd"/>
      <w:r>
        <w:rPr>
          <w:sz w:val="22"/>
          <w:szCs w:val="22"/>
          <w:lang w:val="es-ES" w:eastAsia="es-ES"/>
        </w:rPr>
        <w:t xml:space="preserve"> </w:t>
      </w:r>
      <w:proofErr w:type="spellStart"/>
      <w:r>
        <w:rPr>
          <w:sz w:val="22"/>
          <w:szCs w:val="22"/>
          <w:lang w:val="es-ES" w:eastAsia="es-ES"/>
        </w:rPr>
        <w:t>company</w:t>
      </w:r>
      <w:proofErr w:type="spellEnd"/>
      <w:r>
        <w:rPr>
          <w:sz w:val="22"/>
          <w:szCs w:val="22"/>
          <w:lang w:val="es-ES" w:eastAsia="es-ES"/>
        </w:rPr>
        <w:t xml:space="preserve"> a </w:t>
      </w:r>
      <w:proofErr w:type="spellStart"/>
      <w:r>
        <w:rPr>
          <w:sz w:val="22"/>
          <w:szCs w:val="22"/>
          <w:lang w:val="es-ES" w:eastAsia="es-ES"/>
        </w:rPr>
        <w:t>policy</w:t>
      </w:r>
      <w:proofErr w:type="spellEnd"/>
      <w:r>
        <w:rPr>
          <w:sz w:val="22"/>
          <w:szCs w:val="22"/>
          <w:lang w:val="es-ES" w:eastAsia="es-ES"/>
        </w:rPr>
        <w:t xml:space="preserve"> has </w:t>
      </w:r>
      <w:proofErr w:type="spellStart"/>
      <w:r>
        <w:rPr>
          <w:sz w:val="22"/>
          <w:szCs w:val="22"/>
          <w:lang w:val="es-ES" w:eastAsia="es-ES"/>
        </w:rPr>
        <w:t>begun</w:t>
      </w:r>
      <w:proofErr w:type="spellEnd"/>
      <w:r>
        <w:rPr>
          <w:sz w:val="22"/>
          <w:szCs w:val="22"/>
          <w:lang w:val="es-ES" w:eastAsia="es-ES"/>
        </w:rPr>
        <w:t xml:space="preserve"> </w:t>
      </w:r>
      <w:proofErr w:type="spellStart"/>
      <w:r>
        <w:rPr>
          <w:sz w:val="22"/>
          <w:szCs w:val="22"/>
          <w:lang w:val="es-ES" w:eastAsia="es-ES"/>
        </w:rPr>
        <w:t>to</w:t>
      </w:r>
      <w:proofErr w:type="spellEnd"/>
      <w:r>
        <w:rPr>
          <w:sz w:val="22"/>
          <w:szCs w:val="22"/>
          <w:lang w:val="es-ES" w:eastAsia="es-ES"/>
        </w:rPr>
        <w:t xml:space="preserve"> be </w:t>
      </w:r>
      <w:proofErr w:type="spellStart"/>
      <w:r>
        <w:rPr>
          <w:sz w:val="22"/>
          <w:szCs w:val="22"/>
          <w:lang w:val="es-ES" w:eastAsia="es-ES"/>
        </w:rPr>
        <w:t>implemented</w:t>
      </w:r>
      <w:proofErr w:type="spellEnd"/>
      <w:r>
        <w:rPr>
          <w:sz w:val="22"/>
          <w:szCs w:val="22"/>
          <w:lang w:val="es-ES" w:eastAsia="es-ES"/>
        </w:rPr>
        <w:t xml:space="preserve"> </w:t>
      </w:r>
      <w:proofErr w:type="spellStart"/>
      <w:r>
        <w:rPr>
          <w:sz w:val="22"/>
          <w:szCs w:val="22"/>
          <w:lang w:val="es-ES" w:eastAsia="es-ES"/>
        </w:rPr>
        <w:t>aimed</w:t>
      </w:r>
      <w:proofErr w:type="spellEnd"/>
      <w:r>
        <w:rPr>
          <w:sz w:val="22"/>
          <w:szCs w:val="22"/>
          <w:lang w:val="es-ES" w:eastAsia="es-ES"/>
        </w:rPr>
        <w:t xml:space="preserve"> at </w:t>
      </w:r>
      <w:proofErr w:type="spellStart"/>
      <w:r>
        <w:rPr>
          <w:sz w:val="22"/>
          <w:szCs w:val="22"/>
          <w:lang w:val="es-ES" w:eastAsia="es-ES"/>
        </w:rPr>
        <w:t>compliance</w:t>
      </w:r>
      <w:proofErr w:type="spellEnd"/>
      <w:r>
        <w:rPr>
          <w:sz w:val="22"/>
          <w:szCs w:val="22"/>
          <w:lang w:val="es-ES" w:eastAsia="es-ES"/>
        </w:rPr>
        <w:t xml:space="preserve"> </w:t>
      </w:r>
      <w:proofErr w:type="spellStart"/>
      <w:r>
        <w:rPr>
          <w:sz w:val="22"/>
          <w:szCs w:val="22"/>
          <w:lang w:val="es-ES" w:eastAsia="es-ES"/>
        </w:rPr>
        <w:t>with</w:t>
      </w:r>
      <w:proofErr w:type="spellEnd"/>
      <w:r>
        <w:rPr>
          <w:sz w:val="22"/>
          <w:szCs w:val="22"/>
          <w:lang w:val="es-ES" w:eastAsia="es-ES"/>
        </w:rPr>
        <w:t xml:space="preserve"> </w:t>
      </w:r>
      <w:proofErr w:type="spellStart"/>
      <w:r>
        <w:rPr>
          <w:sz w:val="22"/>
          <w:szCs w:val="22"/>
          <w:lang w:val="es-ES" w:eastAsia="es-ES"/>
        </w:rPr>
        <w:t>the</w:t>
      </w:r>
      <w:proofErr w:type="spellEnd"/>
      <w:r>
        <w:rPr>
          <w:sz w:val="22"/>
          <w:szCs w:val="22"/>
          <w:lang w:val="es-ES" w:eastAsia="es-ES"/>
        </w:rPr>
        <w:t xml:space="preserve"> </w:t>
      </w:r>
      <w:proofErr w:type="spellStart"/>
      <w:r>
        <w:rPr>
          <w:sz w:val="22"/>
          <w:szCs w:val="22"/>
          <w:lang w:val="es-ES" w:eastAsia="es-ES"/>
        </w:rPr>
        <w:t>following</w:t>
      </w:r>
      <w:proofErr w:type="spellEnd"/>
      <w:r>
        <w:rPr>
          <w:sz w:val="22"/>
          <w:szCs w:val="22"/>
          <w:lang w:val="es-ES" w:eastAsia="es-ES"/>
        </w:rPr>
        <w:t xml:space="preserve"> </w:t>
      </w:r>
      <w:proofErr w:type="spellStart"/>
      <w:r>
        <w:rPr>
          <w:sz w:val="22"/>
          <w:szCs w:val="22"/>
          <w:lang w:val="es-ES" w:eastAsia="es-ES"/>
        </w:rPr>
        <w:t>laws</w:t>
      </w:r>
      <w:proofErr w:type="spellEnd"/>
      <w:r>
        <w:rPr>
          <w:sz w:val="22"/>
          <w:szCs w:val="22"/>
          <w:lang w:val="es-ES" w:eastAsia="es-ES"/>
        </w:rPr>
        <w:t xml:space="preserve"> and ministerial </w:t>
      </w:r>
      <w:proofErr w:type="spellStart"/>
      <w:r>
        <w:rPr>
          <w:sz w:val="22"/>
          <w:szCs w:val="22"/>
          <w:lang w:val="es-ES" w:eastAsia="es-ES"/>
        </w:rPr>
        <w:t>ordinance</w:t>
      </w:r>
      <w:proofErr w:type="spellEnd"/>
      <w:r>
        <w:rPr>
          <w:sz w:val="22"/>
          <w:szCs w:val="22"/>
          <w:lang w:val="es-ES" w:eastAsia="es-ES"/>
        </w:rPr>
        <w:t>:</w:t>
      </w:r>
    </w:p>
    <w:p w14:paraId="23886339" w14:textId="77777777" w:rsidR="00E255F4" w:rsidRDefault="00E255F4">
      <w:pPr>
        <w:tabs>
          <w:tab w:val="left" w:pos="0"/>
        </w:tabs>
        <w:jc w:val="both"/>
        <w:rPr>
          <w:sz w:val="22"/>
          <w:szCs w:val="22"/>
          <w:lang w:val="es-ES" w:eastAsia="es-ES"/>
        </w:rPr>
      </w:pPr>
    </w:p>
    <w:p w14:paraId="4253558D" w14:textId="77777777" w:rsidR="00E255F4" w:rsidRDefault="00000000">
      <w:pPr>
        <w:numPr>
          <w:ilvl w:val="0"/>
          <w:numId w:val="76"/>
        </w:numPr>
        <w:shd w:val="clear" w:color="auto" w:fill="FFFFFF"/>
        <w:tabs>
          <w:tab w:val="left" w:pos="0"/>
        </w:tabs>
        <w:ind w:left="0" w:firstLine="0"/>
        <w:jc w:val="both"/>
        <w:rPr>
          <w:color w:val="333333"/>
          <w:sz w:val="22"/>
          <w:szCs w:val="22"/>
          <w:lang w:val="es-ES"/>
        </w:rPr>
      </w:pPr>
      <w:r>
        <w:rPr>
          <w:sz w:val="22"/>
          <w:szCs w:val="22"/>
          <w:lang w:val="es-ES" w:eastAsia="es-ES"/>
        </w:rPr>
        <w:t xml:space="preserve">Law 18.104 </w:t>
      </w:r>
      <w:proofErr w:type="spellStart"/>
      <w:r>
        <w:rPr>
          <w:sz w:val="22"/>
          <w:szCs w:val="22"/>
          <w:lang w:val="es-ES" w:eastAsia="es-ES"/>
        </w:rPr>
        <w:t>of</w:t>
      </w:r>
      <w:proofErr w:type="spellEnd"/>
      <w:r>
        <w:rPr>
          <w:sz w:val="22"/>
          <w:szCs w:val="22"/>
          <w:lang w:val="es-ES" w:eastAsia="es-ES"/>
        </w:rPr>
        <w:t xml:space="preserve"> 15/3/2007, </w:t>
      </w:r>
      <w:proofErr w:type="spellStart"/>
      <w:r>
        <w:rPr>
          <w:sz w:val="22"/>
          <w:szCs w:val="22"/>
          <w:lang w:val="es-ES" w:eastAsia="es-ES"/>
        </w:rPr>
        <w:t>on</w:t>
      </w:r>
      <w:proofErr w:type="spellEnd"/>
      <w:r>
        <w:rPr>
          <w:sz w:val="22"/>
          <w:szCs w:val="22"/>
          <w:lang w:val="es-ES" w:eastAsia="es-ES"/>
        </w:rPr>
        <w:t xml:space="preserve"> </w:t>
      </w:r>
      <w:proofErr w:type="spellStart"/>
      <w:r>
        <w:rPr>
          <w:sz w:val="22"/>
          <w:szCs w:val="22"/>
          <w:lang w:val="es-ES" w:eastAsia="es-ES"/>
        </w:rPr>
        <w:t>equality</w:t>
      </w:r>
      <w:proofErr w:type="spellEnd"/>
      <w:r>
        <w:rPr>
          <w:sz w:val="22"/>
          <w:szCs w:val="22"/>
          <w:lang w:val="es-ES" w:eastAsia="es-ES"/>
        </w:rPr>
        <w:t xml:space="preserve"> </w:t>
      </w:r>
      <w:proofErr w:type="spellStart"/>
      <w:r>
        <w:rPr>
          <w:sz w:val="22"/>
          <w:szCs w:val="22"/>
          <w:lang w:val="es-ES" w:eastAsia="es-ES"/>
        </w:rPr>
        <w:t>of</w:t>
      </w:r>
      <w:proofErr w:type="spellEnd"/>
      <w:r>
        <w:rPr>
          <w:sz w:val="22"/>
          <w:szCs w:val="22"/>
          <w:lang w:val="es-ES" w:eastAsia="es-ES"/>
        </w:rPr>
        <w:t xml:space="preserve"> </w:t>
      </w:r>
      <w:proofErr w:type="spellStart"/>
      <w:r>
        <w:rPr>
          <w:sz w:val="22"/>
          <w:szCs w:val="22"/>
          <w:lang w:val="es-ES" w:eastAsia="es-ES"/>
        </w:rPr>
        <w:t>rights</w:t>
      </w:r>
      <w:proofErr w:type="spellEnd"/>
      <w:r>
        <w:rPr>
          <w:sz w:val="22"/>
          <w:szCs w:val="22"/>
          <w:lang w:val="es-ES" w:eastAsia="es-ES"/>
        </w:rPr>
        <w:t xml:space="preserve"> and </w:t>
      </w:r>
      <w:proofErr w:type="spellStart"/>
      <w:r>
        <w:rPr>
          <w:sz w:val="22"/>
          <w:szCs w:val="22"/>
          <w:lang w:val="es-ES" w:eastAsia="es-ES"/>
        </w:rPr>
        <w:t>opportunities</w:t>
      </w:r>
      <w:proofErr w:type="spellEnd"/>
      <w:r>
        <w:rPr>
          <w:sz w:val="22"/>
          <w:szCs w:val="22"/>
          <w:lang w:val="es-ES" w:eastAsia="es-ES"/>
        </w:rPr>
        <w:t xml:space="preserve"> </w:t>
      </w:r>
      <w:proofErr w:type="spellStart"/>
      <w:r>
        <w:rPr>
          <w:sz w:val="22"/>
          <w:szCs w:val="22"/>
          <w:lang w:val="es-ES" w:eastAsia="es-ES"/>
        </w:rPr>
        <w:t>between</w:t>
      </w:r>
      <w:proofErr w:type="spellEnd"/>
      <w:r>
        <w:rPr>
          <w:sz w:val="22"/>
          <w:szCs w:val="22"/>
          <w:lang w:val="es-ES" w:eastAsia="es-ES"/>
        </w:rPr>
        <w:t xml:space="preserve"> </w:t>
      </w:r>
      <w:proofErr w:type="spellStart"/>
      <w:r>
        <w:rPr>
          <w:sz w:val="22"/>
          <w:szCs w:val="22"/>
          <w:lang w:val="es-ES" w:eastAsia="es-ES"/>
        </w:rPr>
        <w:t>men</w:t>
      </w:r>
      <w:proofErr w:type="spellEnd"/>
      <w:r>
        <w:rPr>
          <w:sz w:val="22"/>
          <w:szCs w:val="22"/>
          <w:lang w:val="es-ES" w:eastAsia="es-ES"/>
        </w:rPr>
        <w:t xml:space="preserve"> and </w:t>
      </w:r>
      <w:proofErr w:type="spellStart"/>
      <w:r>
        <w:rPr>
          <w:sz w:val="22"/>
          <w:szCs w:val="22"/>
          <w:lang w:val="es-ES" w:eastAsia="es-ES"/>
        </w:rPr>
        <w:t>women</w:t>
      </w:r>
      <w:proofErr w:type="spellEnd"/>
      <w:r>
        <w:rPr>
          <w:sz w:val="22"/>
          <w:szCs w:val="22"/>
          <w:lang w:val="es-ES" w:eastAsia="es-ES"/>
        </w:rPr>
        <w:t xml:space="preserve"> in </w:t>
      </w:r>
      <w:proofErr w:type="spellStart"/>
      <w:r>
        <w:rPr>
          <w:sz w:val="22"/>
          <w:szCs w:val="22"/>
          <w:lang w:val="es-ES" w:eastAsia="es-ES"/>
        </w:rPr>
        <w:t>the</w:t>
      </w:r>
      <w:proofErr w:type="spellEnd"/>
      <w:r>
        <w:rPr>
          <w:sz w:val="22"/>
          <w:szCs w:val="22"/>
          <w:lang w:val="es-ES" w:eastAsia="es-ES"/>
        </w:rPr>
        <w:t xml:space="preserve"> Eastern </w:t>
      </w:r>
      <w:proofErr w:type="spellStart"/>
      <w:r>
        <w:rPr>
          <w:sz w:val="22"/>
          <w:szCs w:val="22"/>
          <w:lang w:val="es-ES" w:eastAsia="es-ES"/>
        </w:rPr>
        <w:t>Republic</w:t>
      </w:r>
      <w:proofErr w:type="spellEnd"/>
      <w:r>
        <w:rPr>
          <w:sz w:val="22"/>
          <w:szCs w:val="22"/>
          <w:lang w:val="es-ES" w:eastAsia="es-ES"/>
        </w:rPr>
        <w:t xml:space="preserve"> </w:t>
      </w:r>
      <w:proofErr w:type="spellStart"/>
      <w:r>
        <w:rPr>
          <w:sz w:val="22"/>
          <w:szCs w:val="22"/>
          <w:lang w:val="es-ES" w:eastAsia="es-ES"/>
        </w:rPr>
        <w:t>of</w:t>
      </w:r>
      <w:proofErr w:type="spellEnd"/>
      <w:r>
        <w:rPr>
          <w:sz w:val="22"/>
          <w:szCs w:val="22"/>
          <w:lang w:val="es-ES" w:eastAsia="es-ES"/>
        </w:rPr>
        <w:t xml:space="preserve"> Uruguay.</w:t>
      </w:r>
    </w:p>
    <w:p w14:paraId="1205E5E1" w14:textId="77777777" w:rsidR="00E255F4" w:rsidRDefault="00000000">
      <w:pPr>
        <w:numPr>
          <w:ilvl w:val="0"/>
          <w:numId w:val="44"/>
        </w:numPr>
        <w:shd w:val="clear" w:color="auto" w:fill="FFFFFF"/>
        <w:tabs>
          <w:tab w:val="left" w:pos="0"/>
        </w:tabs>
        <w:ind w:left="0" w:firstLine="0"/>
        <w:jc w:val="both"/>
        <w:rPr>
          <w:sz w:val="22"/>
          <w:szCs w:val="22"/>
          <w:lang w:val="es-ES"/>
        </w:rPr>
      </w:pPr>
      <w:r>
        <w:rPr>
          <w:sz w:val="22"/>
          <w:szCs w:val="22"/>
          <w:lang w:val="es-ES" w:eastAsia="es-ES"/>
        </w:rPr>
        <w:t xml:space="preserve">Law 18.561 </w:t>
      </w:r>
      <w:proofErr w:type="spellStart"/>
      <w:r>
        <w:rPr>
          <w:sz w:val="22"/>
          <w:szCs w:val="22"/>
          <w:lang w:val="es-ES" w:eastAsia="es-ES"/>
        </w:rPr>
        <w:t>of</w:t>
      </w:r>
      <w:proofErr w:type="spellEnd"/>
      <w:r>
        <w:rPr>
          <w:sz w:val="22"/>
          <w:szCs w:val="22"/>
          <w:lang w:val="es-ES" w:eastAsia="es-ES"/>
        </w:rPr>
        <w:t xml:space="preserve"> 11/9/</w:t>
      </w:r>
      <w:proofErr w:type="gramStart"/>
      <w:r>
        <w:rPr>
          <w:sz w:val="22"/>
          <w:szCs w:val="22"/>
          <w:lang w:val="es-ES" w:eastAsia="es-ES"/>
        </w:rPr>
        <w:t>2009,</w:t>
      </w:r>
      <w:r>
        <w:rPr>
          <w:bCs/>
          <w:color w:val="333333"/>
          <w:sz w:val="22"/>
          <w:szCs w:val="22"/>
          <w:lang w:val="es-ES" w:eastAsia="es-ES"/>
        </w:rPr>
        <w:t>of</w:t>
      </w:r>
      <w:proofErr w:type="gramEnd"/>
      <w:r>
        <w:rPr>
          <w:bCs/>
          <w:color w:val="333333"/>
          <w:sz w:val="22"/>
          <w:szCs w:val="22"/>
          <w:lang w:val="es-ES" w:eastAsia="es-ES"/>
        </w:rPr>
        <w:t xml:space="preserve"> sexual </w:t>
      </w:r>
      <w:proofErr w:type="spellStart"/>
      <w:r>
        <w:rPr>
          <w:bCs/>
          <w:color w:val="333333"/>
          <w:sz w:val="22"/>
          <w:szCs w:val="22"/>
          <w:lang w:val="es-ES" w:eastAsia="es-ES"/>
        </w:rPr>
        <w:t>harassment</w:t>
      </w:r>
      <w:proofErr w:type="spellEnd"/>
      <w:r>
        <w:rPr>
          <w:bCs/>
          <w:color w:val="333333"/>
          <w:sz w:val="22"/>
          <w:szCs w:val="22"/>
          <w:lang w:val="es-ES" w:eastAsia="es-ES"/>
        </w:rPr>
        <w:t xml:space="preserve">, </w:t>
      </w:r>
      <w:proofErr w:type="spellStart"/>
      <w:r>
        <w:rPr>
          <w:bCs/>
          <w:color w:val="333333"/>
          <w:sz w:val="22"/>
          <w:szCs w:val="22"/>
          <w:lang w:val="es-ES" w:eastAsia="es-ES"/>
        </w:rPr>
        <w:t>prevention</w:t>
      </w:r>
      <w:proofErr w:type="spellEnd"/>
      <w:r>
        <w:rPr>
          <w:bCs/>
          <w:color w:val="333333"/>
          <w:sz w:val="22"/>
          <w:szCs w:val="22"/>
          <w:lang w:val="es-ES" w:eastAsia="es-ES"/>
        </w:rPr>
        <w:t xml:space="preserve"> and </w:t>
      </w:r>
      <w:proofErr w:type="spellStart"/>
      <w:r>
        <w:rPr>
          <w:bCs/>
          <w:color w:val="333333"/>
          <w:sz w:val="22"/>
          <w:szCs w:val="22"/>
          <w:lang w:val="es-ES" w:eastAsia="es-ES"/>
        </w:rPr>
        <w:t>punishment</w:t>
      </w:r>
      <w:proofErr w:type="spellEnd"/>
      <w:r>
        <w:rPr>
          <w:bCs/>
          <w:color w:val="333333"/>
          <w:sz w:val="22"/>
          <w:szCs w:val="22"/>
          <w:lang w:val="es-ES" w:eastAsia="es-ES"/>
        </w:rPr>
        <w:t xml:space="preserve"> in </w:t>
      </w:r>
      <w:proofErr w:type="spellStart"/>
      <w:r>
        <w:rPr>
          <w:bCs/>
          <w:color w:val="333333"/>
          <w:sz w:val="22"/>
          <w:szCs w:val="22"/>
          <w:lang w:val="es-ES" w:eastAsia="es-ES"/>
        </w:rPr>
        <w:t>the</w:t>
      </w:r>
      <w:proofErr w:type="spellEnd"/>
      <w:r>
        <w:rPr>
          <w:bCs/>
          <w:color w:val="333333"/>
          <w:sz w:val="22"/>
          <w:szCs w:val="22"/>
          <w:lang w:val="es-ES" w:eastAsia="es-ES"/>
        </w:rPr>
        <w:t xml:space="preserve"> </w:t>
      </w:r>
      <w:proofErr w:type="spellStart"/>
      <w:r>
        <w:rPr>
          <w:bCs/>
          <w:color w:val="333333"/>
          <w:sz w:val="22"/>
          <w:szCs w:val="22"/>
          <w:lang w:val="es-ES" w:eastAsia="es-ES"/>
        </w:rPr>
        <w:t>workplace</w:t>
      </w:r>
      <w:proofErr w:type="spellEnd"/>
      <w:r>
        <w:rPr>
          <w:bCs/>
          <w:color w:val="333333"/>
          <w:sz w:val="22"/>
          <w:szCs w:val="22"/>
          <w:lang w:val="es-ES" w:eastAsia="es-ES"/>
        </w:rPr>
        <w:t>.</w:t>
      </w:r>
    </w:p>
    <w:p w14:paraId="0750B28C" w14:textId="77777777" w:rsidR="00E255F4" w:rsidRDefault="00000000">
      <w:pPr>
        <w:numPr>
          <w:ilvl w:val="0"/>
          <w:numId w:val="44"/>
        </w:numPr>
        <w:shd w:val="clear" w:color="auto" w:fill="FFFFFF"/>
        <w:tabs>
          <w:tab w:val="left" w:pos="709"/>
        </w:tabs>
        <w:ind w:left="0" w:firstLine="0"/>
        <w:jc w:val="both"/>
      </w:pPr>
      <w:r>
        <w:rPr>
          <w:sz w:val="22"/>
          <w:szCs w:val="22"/>
          <w:lang w:val="es-ES"/>
        </w:rPr>
        <w:t xml:space="preserve">Law 17.215, </w:t>
      </w:r>
      <w:proofErr w:type="spellStart"/>
      <w:r>
        <w:rPr>
          <w:sz w:val="22"/>
          <w:szCs w:val="22"/>
          <w:lang w:val="es-ES"/>
        </w:rPr>
        <w:t>dated</w:t>
      </w:r>
      <w:proofErr w:type="spellEnd"/>
      <w:r>
        <w:rPr>
          <w:sz w:val="22"/>
          <w:szCs w:val="22"/>
          <w:lang w:val="es-ES"/>
        </w:rPr>
        <w:t xml:space="preserve"> 24/9/1999 </w:t>
      </w:r>
      <w:proofErr w:type="spellStart"/>
      <w:r>
        <w:rPr>
          <w:sz w:val="22"/>
          <w:szCs w:val="22"/>
          <w:lang w:val="es-ES"/>
        </w:rPr>
        <w:t>concerning</w:t>
      </w:r>
      <w:proofErr w:type="spellEnd"/>
      <w:r>
        <w:rPr>
          <w:sz w:val="22"/>
          <w:szCs w:val="22"/>
          <w:lang w:val="es-ES"/>
        </w:rPr>
        <w:t xml:space="preserve"> </w:t>
      </w:r>
      <w:proofErr w:type="spellStart"/>
      <w:r>
        <w:rPr>
          <w:sz w:val="22"/>
          <w:szCs w:val="22"/>
          <w:lang w:val="es-ES"/>
        </w:rPr>
        <w:t>public</w:t>
      </w:r>
      <w:proofErr w:type="spellEnd"/>
      <w:r>
        <w:rPr>
          <w:sz w:val="22"/>
          <w:szCs w:val="22"/>
          <w:lang w:val="es-ES"/>
        </w:rPr>
        <w:t xml:space="preserve"> </w:t>
      </w:r>
      <w:proofErr w:type="spellStart"/>
      <w:r>
        <w:rPr>
          <w:sz w:val="22"/>
          <w:szCs w:val="22"/>
          <w:lang w:val="es-ES"/>
        </w:rPr>
        <w:t>or</w:t>
      </w:r>
      <w:proofErr w:type="spellEnd"/>
      <w:r>
        <w:rPr>
          <w:sz w:val="22"/>
          <w:szCs w:val="22"/>
          <w:lang w:val="es-ES"/>
        </w:rPr>
        <w:t xml:space="preserve"> </w:t>
      </w:r>
      <w:proofErr w:type="spellStart"/>
      <w:r>
        <w:rPr>
          <w:sz w:val="22"/>
          <w:szCs w:val="22"/>
          <w:lang w:val="es-ES"/>
        </w:rPr>
        <w:t>private</w:t>
      </w:r>
      <w:proofErr w:type="spellEnd"/>
      <w:r>
        <w:rPr>
          <w:sz w:val="22"/>
          <w:szCs w:val="22"/>
          <w:lang w:val="es-ES"/>
        </w:rPr>
        <w:t xml:space="preserve"> </w:t>
      </w:r>
      <w:proofErr w:type="spellStart"/>
      <w:r>
        <w:rPr>
          <w:sz w:val="22"/>
          <w:szCs w:val="22"/>
          <w:lang w:val="es-ES"/>
        </w:rPr>
        <w:t>female</w:t>
      </w:r>
      <w:proofErr w:type="spellEnd"/>
      <w:r>
        <w:rPr>
          <w:sz w:val="22"/>
          <w:szCs w:val="22"/>
          <w:lang w:val="es-ES"/>
        </w:rPr>
        <w:t xml:space="preserve"> </w:t>
      </w:r>
      <w:proofErr w:type="spellStart"/>
      <w:r>
        <w:rPr>
          <w:sz w:val="22"/>
          <w:szCs w:val="22"/>
          <w:lang w:val="es-ES"/>
        </w:rPr>
        <w:t>workers</w:t>
      </w:r>
      <w:proofErr w:type="spellEnd"/>
      <w:r>
        <w:rPr>
          <w:sz w:val="22"/>
          <w:szCs w:val="22"/>
          <w:lang w:val="es-ES"/>
        </w:rPr>
        <w:t xml:space="preserve"> </w:t>
      </w:r>
      <w:proofErr w:type="spellStart"/>
      <w:r>
        <w:rPr>
          <w:sz w:val="22"/>
          <w:szCs w:val="22"/>
          <w:lang w:val="es-ES"/>
        </w:rPr>
        <w:t>who</w:t>
      </w:r>
      <w:proofErr w:type="spellEnd"/>
      <w:r>
        <w:rPr>
          <w:sz w:val="22"/>
          <w:szCs w:val="22"/>
          <w:lang w:val="es-ES"/>
        </w:rPr>
        <w:t xml:space="preserve"> are </w:t>
      </w:r>
      <w:proofErr w:type="spellStart"/>
      <w:r>
        <w:rPr>
          <w:sz w:val="22"/>
          <w:szCs w:val="22"/>
          <w:lang w:val="es-ES"/>
        </w:rPr>
        <w:t>pregnant</w:t>
      </w:r>
      <w:proofErr w:type="spellEnd"/>
      <w:r>
        <w:rPr>
          <w:sz w:val="22"/>
          <w:szCs w:val="22"/>
          <w:lang w:val="es-ES"/>
        </w:rPr>
        <w:t xml:space="preserve"> </w:t>
      </w:r>
      <w:proofErr w:type="spellStart"/>
      <w:r>
        <w:rPr>
          <w:sz w:val="22"/>
          <w:szCs w:val="22"/>
          <w:lang w:val="es-ES"/>
        </w:rPr>
        <w:t>or</w:t>
      </w:r>
      <w:proofErr w:type="spellEnd"/>
      <w:r>
        <w:rPr>
          <w:sz w:val="22"/>
          <w:szCs w:val="22"/>
          <w:lang w:val="es-ES"/>
        </w:rPr>
        <w:t xml:space="preserve"> </w:t>
      </w:r>
      <w:proofErr w:type="spellStart"/>
      <w:r>
        <w:rPr>
          <w:sz w:val="22"/>
          <w:szCs w:val="22"/>
          <w:lang w:val="es-ES"/>
        </w:rPr>
        <w:t>breastfeeding</w:t>
      </w:r>
      <w:proofErr w:type="spellEnd"/>
      <w:r>
        <w:rPr>
          <w:sz w:val="22"/>
          <w:szCs w:val="22"/>
          <w:lang w:val="es-ES"/>
        </w:rPr>
        <w:t>.</w:t>
      </w:r>
    </w:p>
    <w:p w14:paraId="3DDE551D" w14:textId="77777777" w:rsidR="00E255F4" w:rsidRDefault="00000000">
      <w:pPr>
        <w:numPr>
          <w:ilvl w:val="0"/>
          <w:numId w:val="44"/>
        </w:numPr>
        <w:shd w:val="clear" w:color="auto" w:fill="FFFFFF"/>
        <w:tabs>
          <w:tab w:val="left" w:pos="0"/>
        </w:tabs>
        <w:ind w:left="0" w:firstLine="0"/>
        <w:jc w:val="both"/>
        <w:rPr>
          <w:sz w:val="22"/>
          <w:szCs w:val="22"/>
          <w:lang w:val="es-ES"/>
        </w:rPr>
      </w:pPr>
      <w:r>
        <w:rPr>
          <w:sz w:val="22"/>
          <w:szCs w:val="22"/>
          <w:lang w:val="es-ES"/>
        </w:rPr>
        <w:t xml:space="preserve">Law 19.161 </w:t>
      </w:r>
      <w:proofErr w:type="spellStart"/>
      <w:r>
        <w:rPr>
          <w:sz w:val="22"/>
          <w:szCs w:val="22"/>
          <w:lang w:val="es-ES"/>
        </w:rPr>
        <w:t>of</w:t>
      </w:r>
      <w:proofErr w:type="spellEnd"/>
      <w:r>
        <w:rPr>
          <w:sz w:val="22"/>
          <w:szCs w:val="22"/>
          <w:lang w:val="es-ES"/>
        </w:rPr>
        <w:t xml:space="preserve"> 1/11/2013 </w:t>
      </w:r>
      <w:proofErr w:type="spellStart"/>
      <w:r>
        <w:rPr>
          <w:sz w:val="22"/>
          <w:szCs w:val="22"/>
          <w:lang w:val="es-ES"/>
        </w:rPr>
        <w:t>relating</w:t>
      </w:r>
      <w:proofErr w:type="spellEnd"/>
      <w:r>
        <w:rPr>
          <w:sz w:val="22"/>
          <w:szCs w:val="22"/>
          <w:lang w:val="es-ES"/>
        </w:rPr>
        <w:t xml:space="preserve"> </w:t>
      </w:r>
      <w:proofErr w:type="spellStart"/>
      <w:r>
        <w:rPr>
          <w:sz w:val="22"/>
          <w:szCs w:val="22"/>
          <w:lang w:val="es-ES"/>
        </w:rPr>
        <w:t>to</w:t>
      </w:r>
      <w:proofErr w:type="spellEnd"/>
      <w:r>
        <w:rPr>
          <w:sz w:val="22"/>
          <w:szCs w:val="22"/>
          <w:lang w:val="es-ES"/>
        </w:rPr>
        <w:t xml:space="preserve"> </w:t>
      </w:r>
      <w:proofErr w:type="spellStart"/>
      <w:r>
        <w:rPr>
          <w:sz w:val="22"/>
          <w:szCs w:val="22"/>
          <w:lang w:val="es-ES"/>
        </w:rPr>
        <w:t>maternity</w:t>
      </w:r>
      <w:proofErr w:type="spellEnd"/>
      <w:r>
        <w:rPr>
          <w:sz w:val="22"/>
          <w:szCs w:val="22"/>
          <w:lang w:val="es-ES"/>
        </w:rPr>
        <w:t xml:space="preserve"> and </w:t>
      </w:r>
      <w:proofErr w:type="spellStart"/>
      <w:r>
        <w:rPr>
          <w:sz w:val="22"/>
          <w:szCs w:val="22"/>
          <w:lang w:val="es-ES"/>
        </w:rPr>
        <w:t>paternity</w:t>
      </w:r>
      <w:proofErr w:type="spellEnd"/>
      <w:r>
        <w:rPr>
          <w:sz w:val="22"/>
          <w:szCs w:val="22"/>
          <w:lang w:val="es-ES"/>
        </w:rPr>
        <w:t xml:space="preserve"> </w:t>
      </w:r>
      <w:proofErr w:type="spellStart"/>
      <w:r>
        <w:rPr>
          <w:sz w:val="22"/>
          <w:szCs w:val="22"/>
          <w:lang w:val="es-ES"/>
        </w:rPr>
        <w:t>benefits</w:t>
      </w:r>
      <w:proofErr w:type="spellEnd"/>
      <w:r>
        <w:rPr>
          <w:sz w:val="22"/>
          <w:szCs w:val="22"/>
          <w:lang w:val="es-ES"/>
        </w:rPr>
        <w:t xml:space="preserve"> </w:t>
      </w:r>
      <w:proofErr w:type="spellStart"/>
      <w:r>
        <w:rPr>
          <w:sz w:val="22"/>
          <w:szCs w:val="22"/>
          <w:lang w:val="es-ES"/>
        </w:rPr>
        <w:t>for</w:t>
      </w:r>
      <w:proofErr w:type="spellEnd"/>
      <w:r>
        <w:rPr>
          <w:sz w:val="22"/>
          <w:szCs w:val="22"/>
          <w:lang w:val="es-ES"/>
        </w:rPr>
        <w:t xml:space="preserve"> </w:t>
      </w:r>
      <w:proofErr w:type="spellStart"/>
      <w:r>
        <w:rPr>
          <w:sz w:val="22"/>
          <w:szCs w:val="22"/>
          <w:lang w:val="es-ES"/>
        </w:rPr>
        <w:t>workers</w:t>
      </w:r>
      <w:proofErr w:type="spellEnd"/>
      <w:r>
        <w:rPr>
          <w:sz w:val="22"/>
          <w:szCs w:val="22"/>
          <w:lang w:val="es-ES"/>
        </w:rPr>
        <w:t xml:space="preserve"> in </w:t>
      </w:r>
      <w:proofErr w:type="spellStart"/>
      <w:r>
        <w:rPr>
          <w:sz w:val="22"/>
          <w:szCs w:val="22"/>
          <w:lang w:val="es-ES"/>
        </w:rPr>
        <w:t>the</w:t>
      </w:r>
      <w:proofErr w:type="spellEnd"/>
      <w:r>
        <w:rPr>
          <w:sz w:val="22"/>
          <w:szCs w:val="22"/>
          <w:lang w:val="es-ES"/>
        </w:rPr>
        <w:t xml:space="preserve"> </w:t>
      </w:r>
      <w:proofErr w:type="spellStart"/>
      <w:r>
        <w:rPr>
          <w:sz w:val="22"/>
          <w:szCs w:val="22"/>
          <w:lang w:val="es-ES"/>
        </w:rPr>
        <w:t>private</w:t>
      </w:r>
      <w:proofErr w:type="spellEnd"/>
      <w:r>
        <w:rPr>
          <w:sz w:val="22"/>
          <w:szCs w:val="22"/>
          <w:lang w:val="es-ES"/>
        </w:rPr>
        <w:t xml:space="preserve"> sector, and</w:t>
      </w:r>
    </w:p>
    <w:p w14:paraId="1574127A" w14:textId="77777777" w:rsidR="00E255F4" w:rsidRDefault="00000000">
      <w:pPr>
        <w:numPr>
          <w:ilvl w:val="0"/>
          <w:numId w:val="44"/>
        </w:numPr>
        <w:shd w:val="clear" w:color="auto" w:fill="FFFFFF"/>
        <w:tabs>
          <w:tab w:val="left" w:pos="0"/>
        </w:tabs>
        <w:ind w:left="0" w:firstLine="0"/>
        <w:jc w:val="both"/>
        <w:rPr>
          <w:sz w:val="22"/>
          <w:szCs w:val="22"/>
          <w:lang w:val="es-ES"/>
        </w:rPr>
      </w:pPr>
      <w:r>
        <w:rPr>
          <w:sz w:val="22"/>
          <w:szCs w:val="22"/>
          <w:lang w:val="es-ES"/>
        </w:rPr>
        <w:t xml:space="preserve">Ministerial </w:t>
      </w:r>
      <w:proofErr w:type="spellStart"/>
      <w:r>
        <w:rPr>
          <w:sz w:val="22"/>
          <w:szCs w:val="22"/>
          <w:lang w:val="es-ES"/>
        </w:rPr>
        <w:t>Ordinance</w:t>
      </w:r>
      <w:proofErr w:type="spellEnd"/>
      <w:r>
        <w:rPr>
          <w:sz w:val="22"/>
          <w:szCs w:val="22"/>
          <w:lang w:val="es-ES"/>
        </w:rPr>
        <w:t xml:space="preserve"> </w:t>
      </w:r>
      <w:proofErr w:type="spellStart"/>
      <w:r>
        <w:rPr>
          <w:sz w:val="22"/>
          <w:szCs w:val="22"/>
          <w:lang w:val="es-ES"/>
        </w:rPr>
        <w:t>of</w:t>
      </w:r>
      <w:proofErr w:type="spellEnd"/>
      <w:r>
        <w:rPr>
          <w:sz w:val="22"/>
          <w:szCs w:val="22"/>
          <w:lang w:val="es-ES"/>
        </w:rPr>
        <w:t xml:space="preserve"> </w:t>
      </w:r>
      <w:proofErr w:type="spellStart"/>
      <w:r>
        <w:rPr>
          <w:sz w:val="22"/>
          <w:szCs w:val="22"/>
          <w:lang w:val="es-ES"/>
        </w:rPr>
        <w:t>the</w:t>
      </w:r>
      <w:proofErr w:type="spellEnd"/>
      <w:r>
        <w:rPr>
          <w:sz w:val="22"/>
          <w:szCs w:val="22"/>
          <w:lang w:val="es-ES"/>
        </w:rPr>
        <w:t xml:space="preserve"> MSP No. 217/2009 </w:t>
      </w:r>
      <w:proofErr w:type="spellStart"/>
      <w:r>
        <w:rPr>
          <w:sz w:val="22"/>
          <w:szCs w:val="22"/>
          <w:lang w:val="es-ES"/>
        </w:rPr>
        <w:t>on</w:t>
      </w:r>
      <w:proofErr w:type="spellEnd"/>
      <w:r>
        <w:rPr>
          <w:sz w:val="22"/>
          <w:szCs w:val="22"/>
          <w:lang w:val="es-ES"/>
        </w:rPr>
        <w:t xml:space="preserve"> </w:t>
      </w:r>
      <w:proofErr w:type="spellStart"/>
      <w:r>
        <w:rPr>
          <w:sz w:val="22"/>
          <w:szCs w:val="22"/>
          <w:lang w:val="es-ES"/>
        </w:rPr>
        <w:t>Breastfeeding</w:t>
      </w:r>
      <w:proofErr w:type="spellEnd"/>
    </w:p>
    <w:p w14:paraId="20F59D1A" w14:textId="77777777" w:rsidR="00E255F4" w:rsidRDefault="00E255F4">
      <w:pPr>
        <w:tabs>
          <w:tab w:val="left" w:pos="0"/>
        </w:tabs>
        <w:jc w:val="both"/>
        <w:rPr>
          <w:sz w:val="22"/>
          <w:szCs w:val="22"/>
          <w:lang w:val="es-ES" w:eastAsia="es-ES"/>
        </w:rPr>
      </w:pPr>
    </w:p>
    <w:p w14:paraId="0998AC91" w14:textId="77777777" w:rsidR="00E255F4" w:rsidRDefault="00000000">
      <w:pPr>
        <w:tabs>
          <w:tab w:val="left" w:pos="0"/>
        </w:tabs>
        <w:jc w:val="both"/>
        <w:rPr>
          <w:sz w:val="22"/>
          <w:szCs w:val="22"/>
          <w:lang w:val="es-ES" w:eastAsia="es-ES"/>
        </w:rPr>
      </w:pPr>
      <w:r>
        <w:rPr>
          <w:sz w:val="22"/>
          <w:szCs w:val="22"/>
          <w:lang w:val="es-ES" w:eastAsia="es-ES"/>
        </w:rPr>
        <w:t xml:space="preserve">In </w:t>
      </w:r>
      <w:proofErr w:type="spellStart"/>
      <w:r>
        <w:rPr>
          <w:sz w:val="22"/>
          <w:szCs w:val="22"/>
          <w:lang w:val="es-ES" w:eastAsia="es-ES"/>
        </w:rPr>
        <w:t>accordance</w:t>
      </w:r>
      <w:proofErr w:type="spellEnd"/>
      <w:r>
        <w:rPr>
          <w:sz w:val="22"/>
          <w:szCs w:val="22"/>
          <w:lang w:val="es-ES" w:eastAsia="es-ES"/>
        </w:rPr>
        <w:t xml:space="preserve"> </w:t>
      </w:r>
      <w:proofErr w:type="spellStart"/>
      <w:r>
        <w:rPr>
          <w:sz w:val="22"/>
          <w:szCs w:val="22"/>
          <w:lang w:val="es-ES" w:eastAsia="es-ES"/>
        </w:rPr>
        <w:t>with</w:t>
      </w:r>
      <w:proofErr w:type="spellEnd"/>
      <w:r>
        <w:rPr>
          <w:sz w:val="22"/>
          <w:szCs w:val="22"/>
          <w:lang w:val="es-ES" w:eastAsia="es-ES"/>
        </w:rPr>
        <w:t xml:space="preserve"> </w:t>
      </w:r>
      <w:proofErr w:type="spellStart"/>
      <w:r>
        <w:rPr>
          <w:sz w:val="22"/>
          <w:szCs w:val="22"/>
          <w:lang w:val="es-ES" w:eastAsia="es-ES"/>
        </w:rPr>
        <w:t>the</w:t>
      </w:r>
      <w:proofErr w:type="spellEnd"/>
      <w:r>
        <w:rPr>
          <w:sz w:val="22"/>
          <w:szCs w:val="22"/>
          <w:lang w:val="es-ES" w:eastAsia="es-ES"/>
        </w:rPr>
        <w:t xml:space="preserve"> </w:t>
      </w:r>
      <w:proofErr w:type="spellStart"/>
      <w:r>
        <w:rPr>
          <w:sz w:val="22"/>
          <w:szCs w:val="22"/>
          <w:lang w:val="es-ES" w:eastAsia="es-ES"/>
        </w:rPr>
        <w:t>above</w:t>
      </w:r>
      <w:proofErr w:type="spellEnd"/>
      <w:r>
        <w:rPr>
          <w:sz w:val="22"/>
          <w:szCs w:val="22"/>
          <w:lang w:val="es-ES" w:eastAsia="es-ES"/>
        </w:rPr>
        <w:t xml:space="preserve">, </w:t>
      </w:r>
      <w:proofErr w:type="spellStart"/>
      <w:r>
        <w:rPr>
          <w:sz w:val="22"/>
          <w:szCs w:val="22"/>
          <w:lang w:val="es-ES" w:eastAsia="es-ES"/>
        </w:rPr>
        <w:t>the</w:t>
      </w:r>
      <w:proofErr w:type="spellEnd"/>
      <w:r>
        <w:rPr>
          <w:sz w:val="22"/>
          <w:szCs w:val="22"/>
          <w:lang w:val="es-ES" w:eastAsia="es-ES"/>
        </w:rPr>
        <w:t xml:space="preserve"> </w:t>
      </w:r>
      <w:proofErr w:type="spellStart"/>
      <w:r>
        <w:rPr>
          <w:sz w:val="22"/>
          <w:szCs w:val="22"/>
          <w:lang w:val="es-ES" w:eastAsia="es-ES"/>
        </w:rPr>
        <w:t>company</w:t>
      </w:r>
      <w:proofErr w:type="spellEnd"/>
      <w:r>
        <w:rPr>
          <w:sz w:val="22"/>
          <w:szCs w:val="22"/>
          <w:lang w:val="es-ES" w:eastAsia="es-ES"/>
        </w:rPr>
        <w:t xml:space="preserve"> </w:t>
      </w:r>
      <w:proofErr w:type="spellStart"/>
      <w:r>
        <w:rPr>
          <w:sz w:val="22"/>
          <w:szCs w:val="22"/>
          <w:lang w:val="es-ES" w:eastAsia="es-ES"/>
        </w:rPr>
        <w:t>assumes</w:t>
      </w:r>
      <w:proofErr w:type="spellEnd"/>
      <w:r>
        <w:rPr>
          <w:sz w:val="22"/>
          <w:szCs w:val="22"/>
          <w:lang w:val="es-ES" w:eastAsia="es-ES"/>
        </w:rPr>
        <w:t xml:space="preserve"> </w:t>
      </w:r>
      <w:proofErr w:type="spellStart"/>
      <w:r>
        <w:rPr>
          <w:sz w:val="22"/>
          <w:szCs w:val="22"/>
          <w:lang w:val="es-ES" w:eastAsia="es-ES"/>
        </w:rPr>
        <w:t>the</w:t>
      </w:r>
      <w:proofErr w:type="spellEnd"/>
      <w:r>
        <w:rPr>
          <w:sz w:val="22"/>
          <w:szCs w:val="22"/>
          <w:lang w:val="es-ES" w:eastAsia="es-ES"/>
        </w:rPr>
        <w:t xml:space="preserve"> </w:t>
      </w:r>
      <w:proofErr w:type="spellStart"/>
      <w:r>
        <w:rPr>
          <w:sz w:val="22"/>
          <w:szCs w:val="22"/>
          <w:lang w:val="es-ES" w:eastAsia="es-ES"/>
        </w:rPr>
        <w:t>obligation</w:t>
      </w:r>
      <w:proofErr w:type="spellEnd"/>
      <w:r>
        <w:rPr>
          <w:sz w:val="22"/>
          <w:szCs w:val="22"/>
          <w:lang w:val="es-ES" w:eastAsia="es-ES"/>
        </w:rPr>
        <w:t xml:space="preserve"> </w:t>
      </w:r>
      <w:proofErr w:type="spellStart"/>
      <w:r>
        <w:rPr>
          <w:sz w:val="22"/>
          <w:szCs w:val="22"/>
          <w:lang w:val="es-ES" w:eastAsia="es-ES"/>
        </w:rPr>
        <w:t>to</w:t>
      </w:r>
      <w:proofErr w:type="spellEnd"/>
      <w:r>
        <w:rPr>
          <w:sz w:val="22"/>
          <w:szCs w:val="22"/>
          <w:lang w:val="es-ES" w:eastAsia="es-ES"/>
        </w:rPr>
        <w:t xml:space="preserve"> </w:t>
      </w:r>
      <w:proofErr w:type="spellStart"/>
      <w:r>
        <w:rPr>
          <w:sz w:val="22"/>
          <w:szCs w:val="22"/>
          <w:lang w:val="es-ES" w:eastAsia="es-ES"/>
        </w:rPr>
        <w:t>prove</w:t>
      </w:r>
      <w:proofErr w:type="spellEnd"/>
      <w:r>
        <w:rPr>
          <w:sz w:val="22"/>
          <w:szCs w:val="22"/>
          <w:lang w:val="es-ES" w:eastAsia="es-ES"/>
        </w:rPr>
        <w:t xml:space="preserve">, </w:t>
      </w:r>
      <w:proofErr w:type="spellStart"/>
      <w:r>
        <w:rPr>
          <w:sz w:val="22"/>
          <w:szCs w:val="22"/>
          <w:lang w:val="es-ES" w:eastAsia="es-ES"/>
        </w:rPr>
        <w:t>through</w:t>
      </w:r>
      <w:proofErr w:type="spellEnd"/>
      <w:r>
        <w:rPr>
          <w:sz w:val="22"/>
          <w:szCs w:val="22"/>
          <w:lang w:val="es-ES" w:eastAsia="es-ES"/>
        </w:rPr>
        <w:t xml:space="preserve"> </w:t>
      </w:r>
      <w:proofErr w:type="spellStart"/>
      <w:r>
        <w:rPr>
          <w:sz w:val="22"/>
          <w:szCs w:val="22"/>
          <w:lang w:val="es-ES" w:eastAsia="es-ES"/>
        </w:rPr>
        <w:t>the</w:t>
      </w:r>
      <w:proofErr w:type="spellEnd"/>
      <w:r>
        <w:rPr>
          <w:sz w:val="22"/>
          <w:szCs w:val="22"/>
          <w:lang w:val="es-ES" w:eastAsia="es-ES"/>
        </w:rPr>
        <w:t xml:space="preserve"> </w:t>
      </w:r>
      <w:proofErr w:type="spellStart"/>
      <w:r>
        <w:rPr>
          <w:sz w:val="22"/>
          <w:szCs w:val="22"/>
          <w:lang w:val="es-ES" w:eastAsia="es-ES"/>
        </w:rPr>
        <w:t>corresponding</w:t>
      </w:r>
      <w:proofErr w:type="spellEnd"/>
      <w:r>
        <w:rPr>
          <w:sz w:val="22"/>
          <w:szCs w:val="22"/>
          <w:lang w:val="es-ES" w:eastAsia="es-ES"/>
        </w:rPr>
        <w:t xml:space="preserve"> </w:t>
      </w:r>
      <w:proofErr w:type="spellStart"/>
      <w:r>
        <w:rPr>
          <w:sz w:val="22"/>
          <w:szCs w:val="22"/>
          <w:lang w:val="es-ES" w:eastAsia="es-ES"/>
        </w:rPr>
        <w:t>documentation</w:t>
      </w:r>
      <w:proofErr w:type="spellEnd"/>
      <w:r>
        <w:rPr>
          <w:sz w:val="22"/>
          <w:szCs w:val="22"/>
          <w:lang w:val="es-ES" w:eastAsia="es-ES"/>
        </w:rPr>
        <w:t xml:space="preserve">, </w:t>
      </w:r>
      <w:proofErr w:type="spellStart"/>
      <w:r>
        <w:rPr>
          <w:sz w:val="22"/>
          <w:szCs w:val="22"/>
          <w:lang w:val="es-ES" w:eastAsia="es-ES"/>
        </w:rPr>
        <w:t>the</w:t>
      </w:r>
      <w:proofErr w:type="spellEnd"/>
      <w:r>
        <w:rPr>
          <w:sz w:val="22"/>
          <w:szCs w:val="22"/>
          <w:lang w:val="es-ES" w:eastAsia="es-ES"/>
        </w:rPr>
        <w:t xml:space="preserve"> </w:t>
      </w:r>
      <w:proofErr w:type="spellStart"/>
      <w:r>
        <w:rPr>
          <w:sz w:val="22"/>
          <w:szCs w:val="22"/>
          <w:lang w:val="es-ES" w:eastAsia="es-ES"/>
        </w:rPr>
        <w:t>actions</w:t>
      </w:r>
      <w:proofErr w:type="spellEnd"/>
      <w:r>
        <w:rPr>
          <w:sz w:val="22"/>
          <w:szCs w:val="22"/>
          <w:lang w:val="es-ES" w:eastAsia="es-ES"/>
        </w:rPr>
        <w:t xml:space="preserve"> </w:t>
      </w:r>
      <w:proofErr w:type="spellStart"/>
      <w:r>
        <w:rPr>
          <w:sz w:val="22"/>
          <w:szCs w:val="22"/>
          <w:lang w:val="es-ES" w:eastAsia="es-ES"/>
        </w:rPr>
        <w:t>carried</w:t>
      </w:r>
      <w:proofErr w:type="spellEnd"/>
      <w:r>
        <w:rPr>
          <w:sz w:val="22"/>
          <w:szCs w:val="22"/>
          <w:lang w:val="es-ES" w:eastAsia="es-ES"/>
        </w:rPr>
        <w:t xml:space="preserve"> </w:t>
      </w:r>
      <w:proofErr w:type="spellStart"/>
      <w:r>
        <w:rPr>
          <w:sz w:val="22"/>
          <w:szCs w:val="22"/>
          <w:lang w:val="es-ES" w:eastAsia="es-ES"/>
        </w:rPr>
        <w:t>out</w:t>
      </w:r>
      <w:proofErr w:type="spellEnd"/>
      <w:r>
        <w:rPr>
          <w:sz w:val="22"/>
          <w:szCs w:val="22"/>
          <w:lang w:val="es-ES" w:eastAsia="es-ES"/>
        </w:rPr>
        <w:t xml:space="preserve"> </w:t>
      </w:r>
      <w:proofErr w:type="spellStart"/>
      <w:r>
        <w:rPr>
          <w:sz w:val="22"/>
          <w:szCs w:val="22"/>
          <w:lang w:val="es-ES" w:eastAsia="es-ES"/>
        </w:rPr>
        <w:t>for</w:t>
      </w:r>
      <w:proofErr w:type="spellEnd"/>
      <w:r>
        <w:rPr>
          <w:sz w:val="22"/>
          <w:szCs w:val="22"/>
          <w:lang w:val="es-ES" w:eastAsia="es-ES"/>
        </w:rPr>
        <w:t xml:space="preserve"> </w:t>
      </w:r>
      <w:proofErr w:type="spellStart"/>
      <w:r>
        <w:rPr>
          <w:sz w:val="22"/>
          <w:szCs w:val="22"/>
          <w:lang w:val="es-ES" w:eastAsia="es-ES"/>
        </w:rPr>
        <w:t>its</w:t>
      </w:r>
      <w:proofErr w:type="spellEnd"/>
      <w:r>
        <w:rPr>
          <w:sz w:val="22"/>
          <w:szCs w:val="22"/>
          <w:lang w:val="es-ES" w:eastAsia="es-ES"/>
        </w:rPr>
        <w:t xml:space="preserve"> </w:t>
      </w:r>
      <w:proofErr w:type="spellStart"/>
      <w:r>
        <w:rPr>
          <w:sz w:val="22"/>
          <w:szCs w:val="22"/>
          <w:lang w:val="es-ES" w:eastAsia="es-ES"/>
        </w:rPr>
        <w:t>compliance</w:t>
      </w:r>
      <w:proofErr w:type="spellEnd"/>
      <w:r>
        <w:rPr>
          <w:sz w:val="22"/>
          <w:szCs w:val="22"/>
          <w:lang w:val="es-ES" w:eastAsia="es-ES"/>
        </w:rPr>
        <w:t xml:space="preserve">, as </w:t>
      </w:r>
      <w:proofErr w:type="spellStart"/>
      <w:r>
        <w:rPr>
          <w:sz w:val="22"/>
          <w:szCs w:val="22"/>
          <w:lang w:val="es-ES" w:eastAsia="es-ES"/>
        </w:rPr>
        <w:t>well</w:t>
      </w:r>
      <w:proofErr w:type="spellEnd"/>
      <w:r>
        <w:rPr>
          <w:sz w:val="22"/>
          <w:szCs w:val="22"/>
          <w:lang w:val="es-ES" w:eastAsia="es-ES"/>
        </w:rPr>
        <w:t xml:space="preserve"> as </w:t>
      </w:r>
      <w:proofErr w:type="spellStart"/>
      <w:r>
        <w:rPr>
          <w:sz w:val="22"/>
          <w:szCs w:val="22"/>
          <w:lang w:val="es-ES" w:eastAsia="es-ES"/>
        </w:rPr>
        <w:t>the</w:t>
      </w:r>
      <w:proofErr w:type="spellEnd"/>
      <w:r>
        <w:rPr>
          <w:sz w:val="22"/>
          <w:szCs w:val="22"/>
          <w:lang w:val="es-ES" w:eastAsia="es-ES"/>
        </w:rPr>
        <w:t xml:space="preserve"> </w:t>
      </w:r>
      <w:proofErr w:type="spellStart"/>
      <w:r>
        <w:rPr>
          <w:sz w:val="22"/>
          <w:szCs w:val="22"/>
          <w:lang w:val="es-ES" w:eastAsia="es-ES"/>
        </w:rPr>
        <w:t>commitment</w:t>
      </w:r>
      <w:proofErr w:type="spellEnd"/>
      <w:r>
        <w:rPr>
          <w:sz w:val="22"/>
          <w:szCs w:val="22"/>
          <w:lang w:val="es-ES" w:eastAsia="es-ES"/>
        </w:rPr>
        <w:t xml:space="preserve"> </w:t>
      </w:r>
      <w:proofErr w:type="spellStart"/>
      <w:r>
        <w:rPr>
          <w:sz w:val="22"/>
          <w:szCs w:val="22"/>
          <w:lang w:val="es-ES" w:eastAsia="es-ES"/>
        </w:rPr>
        <w:t>to</w:t>
      </w:r>
      <w:proofErr w:type="spellEnd"/>
      <w:r>
        <w:rPr>
          <w:sz w:val="22"/>
          <w:szCs w:val="22"/>
          <w:lang w:val="es-ES" w:eastAsia="es-ES"/>
        </w:rPr>
        <w:t xml:space="preserve"> </w:t>
      </w:r>
      <w:proofErr w:type="spellStart"/>
      <w:r>
        <w:rPr>
          <w:sz w:val="22"/>
          <w:szCs w:val="22"/>
          <w:lang w:val="es-ES" w:eastAsia="es-ES"/>
        </w:rPr>
        <w:t>adapt</w:t>
      </w:r>
      <w:proofErr w:type="spellEnd"/>
      <w:r>
        <w:rPr>
          <w:sz w:val="22"/>
          <w:szCs w:val="22"/>
          <w:lang w:val="es-ES" w:eastAsia="es-ES"/>
        </w:rPr>
        <w:t xml:space="preserve"> </w:t>
      </w:r>
      <w:proofErr w:type="spellStart"/>
      <w:r>
        <w:rPr>
          <w:sz w:val="22"/>
          <w:szCs w:val="22"/>
          <w:lang w:val="es-ES" w:eastAsia="es-ES"/>
        </w:rPr>
        <w:t>its</w:t>
      </w:r>
      <w:proofErr w:type="spellEnd"/>
      <w:r>
        <w:rPr>
          <w:sz w:val="22"/>
          <w:szCs w:val="22"/>
          <w:lang w:val="es-ES" w:eastAsia="es-ES"/>
        </w:rPr>
        <w:t xml:space="preserve"> </w:t>
      </w:r>
      <w:proofErr w:type="spellStart"/>
      <w:r>
        <w:rPr>
          <w:sz w:val="22"/>
          <w:szCs w:val="22"/>
          <w:lang w:val="es-ES" w:eastAsia="es-ES"/>
        </w:rPr>
        <w:t>actions</w:t>
      </w:r>
      <w:proofErr w:type="spellEnd"/>
      <w:r>
        <w:rPr>
          <w:sz w:val="22"/>
          <w:szCs w:val="22"/>
          <w:lang w:val="es-ES" w:eastAsia="es-ES"/>
        </w:rPr>
        <w:t xml:space="preserve"> </w:t>
      </w:r>
      <w:proofErr w:type="spellStart"/>
      <w:r>
        <w:rPr>
          <w:sz w:val="22"/>
          <w:szCs w:val="22"/>
          <w:lang w:val="es-ES" w:eastAsia="es-ES"/>
        </w:rPr>
        <w:t>to</w:t>
      </w:r>
      <w:proofErr w:type="spellEnd"/>
      <w:r>
        <w:rPr>
          <w:sz w:val="22"/>
          <w:szCs w:val="22"/>
          <w:lang w:val="es-ES" w:eastAsia="es-ES"/>
        </w:rPr>
        <w:t xml:space="preserve"> </w:t>
      </w:r>
      <w:proofErr w:type="spellStart"/>
      <w:r>
        <w:rPr>
          <w:sz w:val="22"/>
          <w:szCs w:val="22"/>
          <w:lang w:val="es-ES" w:eastAsia="es-ES"/>
        </w:rPr>
        <w:t>them</w:t>
      </w:r>
      <w:proofErr w:type="spellEnd"/>
      <w:r>
        <w:rPr>
          <w:sz w:val="22"/>
          <w:szCs w:val="22"/>
          <w:lang w:val="es-ES" w:eastAsia="es-ES"/>
        </w:rPr>
        <w:t xml:space="preserve"> </w:t>
      </w:r>
      <w:proofErr w:type="spellStart"/>
      <w:r>
        <w:rPr>
          <w:sz w:val="22"/>
          <w:szCs w:val="22"/>
          <w:lang w:val="es-ES" w:eastAsia="es-ES"/>
        </w:rPr>
        <w:t>when</w:t>
      </w:r>
      <w:proofErr w:type="spellEnd"/>
      <w:r>
        <w:rPr>
          <w:sz w:val="22"/>
          <w:szCs w:val="22"/>
          <w:lang w:val="es-ES" w:eastAsia="es-ES"/>
        </w:rPr>
        <w:t xml:space="preserve"> </w:t>
      </w:r>
      <w:proofErr w:type="spellStart"/>
      <w:r>
        <w:rPr>
          <w:sz w:val="22"/>
          <w:szCs w:val="22"/>
          <w:lang w:val="es-ES" w:eastAsia="es-ES"/>
        </w:rPr>
        <w:t>circumstances</w:t>
      </w:r>
      <w:proofErr w:type="spellEnd"/>
      <w:r>
        <w:rPr>
          <w:sz w:val="22"/>
          <w:szCs w:val="22"/>
          <w:lang w:val="es-ES" w:eastAsia="es-ES"/>
        </w:rPr>
        <w:t xml:space="preserve"> </w:t>
      </w:r>
      <w:proofErr w:type="spellStart"/>
      <w:r>
        <w:rPr>
          <w:sz w:val="22"/>
          <w:szCs w:val="22"/>
          <w:lang w:val="es-ES" w:eastAsia="es-ES"/>
        </w:rPr>
        <w:t>require</w:t>
      </w:r>
      <w:proofErr w:type="spellEnd"/>
      <w:r>
        <w:rPr>
          <w:sz w:val="22"/>
          <w:szCs w:val="22"/>
          <w:lang w:val="es-ES" w:eastAsia="es-ES"/>
        </w:rPr>
        <w:t xml:space="preserve"> </w:t>
      </w:r>
      <w:proofErr w:type="spellStart"/>
      <w:r>
        <w:rPr>
          <w:sz w:val="22"/>
          <w:szCs w:val="22"/>
          <w:lang w:val="es-ES" w:eastAsia="es-ES"/>
        </w:rPr>
        <w:t>it</w:t>
      </w:r>
      <w:proofErr w:type="spellEnd"/>
      <w:r>
        <w:rPr>
          <w:sz w:val="22"/>
          <w:szCs w:val="22"/>
          <w:lang w:val="es-ES" w:eastAsia="es-ES"/>
        </w:rPr>
        <w:t>.</w:t>
      </w:r>
    </w:p>
    <w:p w14:paraId="4120DA0B" w14:textId="77777777" w:rsidR="00E255F4" w:rsidRDefault="00E255F4">
      <w:pPr>
        <w:tabs>
          <w:tab w:val="left" w:pos="0"/>
        </w:tabs>
        <w:jc w:val="both"/>
        <w:rPr>
          <w:sz w:val="22"/>
          <w:szCs w:val="22"/>
          <w:lang w:val="es-ES" w:eastAsia="es-ES"/>
        </w:rPr>
      </w:pPr>
    </w:p>
    <w:p w14:paraId="2459A7A6" w14:textId="77777777" w:rsidR="00E255F4" w:rsidRDefault="00E255F4">
      <w:pPr>
        <w:tabs>
          <w:tab w:val="left" w:pos="0"/>
        </w:tabs>
        <w:jc w:val="both"/>
        <w:rPr>
          <w:sz w:val="22"/>
          <w:szCs w:val="22"/>
          <w:lang w:val="es-ES" w:eastAsia="es-ES"/>
        </w:rPr>
      </w:pPr>
    </w:p>
    <w:p w14:paraId="1E814201" w14:textId="77777777" w:rsidR="00E255F4" w:rsidRDefault="00E255F4">
      <w:pPr>
        <w:tabs>
          <w:tab w:val="left" w:pos="0"/>
        </w:tabs>
        <w:jc w:val="both"/>
        <w:rPr>
          <w:sz w:val="22"/>
          <w:szCs w:val="22"/>
          <w:lang w:val="es-ES" w:eastAsia="es-ES"/>
        </w:rPr>
      </w:pPr>
    </w:p>
    <w:p w14:paraId="5FCDEAC4" w14:textId="77777777" w:rsidR="00E255F4" w:rsidRDefault="00000000">
      <w:pPr>
        <w:tabs>
          <w:tab w:val="left" w:pos="0"/>
        </w:tabs>
        <w:jc w:val="center"/>
      </w:pPr>
      <w:r>
        <w:rPr>
          <w:sz w:val="22"/>
          <w:szCs w:val="22"/>
          <w:lang w:val="es-ES" w:eastAsia="es-ES"/>
        </w:rPr>
        <w:t>_______________________</w:t>
      </w:r>
    </w:p>
    <w:p w14:paraId="79B44933" w14:textId="77777777" w:rsidR="00E255F4" w:rsidRDefault="00000000">
      <w:pPr>
        <w:tabs>
          <w:tab w:val="left" w:pos="0"/>
        </w:tabs>
        <w:jc w:val="center"/>
        <w:rPr>
          <w:sz w:val="22"/>
          <w:szCs w:val="22"/>
          <w:lang w:val="es-ES" w:eastAsia="es-ES"/>
        </w:rPr>
      </w:pPr>
      <w:proofErr w:type="spellStart"/>
      <w:r>
        <w:rPr>
          <w:sz w:val="22"/>
          <w:szCs w:val="22"/>
          <w:lang w:val="es-ES" w:eastAsia="es-ES"/>
        </w:rPr>
        <w:t>Signature</w:t>
      </w:r>
      <w:proofErr w:type="spellEnd"/>
    </w:p>
    <w:p w14:paraId="14692E3A" w14:textId="77777777" w:rsidR="00E255F4" w:rsidRDefault="00E255F4">
      <w:pPr>
        <w:jc w:val="both"/>
        <w:rPr>
          <w:sz w:val="22"/>
          <w:szCs w:val="22"/>
          <w:lang w:val="es-ES" w:eastAsia="es-ES"/>
        </w:rPr>
      </w:pPr>
    </w:p>
    <w:p w14:paraId="221F34EC" w14:textId="77777777" w:rsidR="00E255F4" w:rsidRDefault="00E255F4">
      <w:pPr>
        <w:jc w:val="both"/>
        <w:rPr>
          <w:sz w:val="22"/>
          <w:szCs w:val="22"/>
          <w:lang w:val="es-ES" w:eastAsia="es-ES"/>
        </w:rPr>
      </w:pPr>
    </w:p>
    <w:p w14:paraId="223E1103" w14:textId="77777777" w:rsidR="00E255F4" w:rsidRDefault="00E255F4">
      <w:pPr>
        <w:rPr>
          <w:sz w:val="22"/>
          <w:szCs w:val="22"/>
          <w:lang w:val="es-ES" w:eastAsia="es-ES"/>
        </w:rPr>
      </w:pPr>
      <w:bookmarkStart w:id="120" w:name="_Hlk54267742"/>
      <w:bookmarkEnd w:id="120"/>
    </w:p>
    <w:p w14:paraId="421F5A4F" w14:textId="77777777" w:rsidR="00E255F4" w:rsidRDefault="00E255F4">
      <w:pPr>
        <w:rPr>
          <w:sz w:val="22"/>
          <w:szCs w:val="22"/>
          <w:lang w:val="es-ES" w:eastAsia="es-ES"/>
        </w:rPr>
      </w:pPr>
    </w:p>
    <w:p w14:paraId="47D867B5" w14:textId="77777777" w:rsidR="00E255F4" w:rsidRDefault="00E255F4">
      <w:pPr>
        <w:rPr>
          <w:sz w:val="22"/>
          <w:szCs w:val="22"/>
          <w:lang w:val="es-ES" w:eastAsia="es-ES"/>
        </w:rPr>
      </w:pPr>
    </w:p>
    <w:p w14:paraId="540F70E1" w14:textId="77777777" w:rsidR="00E255F4" w:rsidRDefault="00E255F4">
      <w:pPr>
        <w:rPr>
          <w:sz w:val="22"/>
          <w:szCs w:val="22"/>
          <w:lang w:val="es-ES" w:eastAsia="es-ES"/>
        </w:rPr>
      </w:pPr>
    </w:p>
    <w:p w14:paraId="6F6A57AE" w14:textId="77777777" w:rsidR="00E255F4" w:rsidRDefault="00E255F4">
      <w:pPr>
        <w:rPr>
          <w:sz w:val="22"/>
          <w:szCs w:val="22"/>
          <w:lang w:val="es-ES" w:eastAsia="es-ES"/>
        </w:rPr>
      </w:pPr>
    </w:p>
    <w:p w14:paraId="5DB29649" w14:textId="77777777" w:rsidR="00E255F4" w:rsidRDefault="00E255F4">
      <w:pPr>
        <w:rPr>
          <w:sz w:val="22"/>
          <w:szCs w:val="22"/>
          <w:lang w:val="es-ES" w:eastAsia="es-ES"/>
        </w:rPr>
      </w:pPr>
    </w:p>
    <w:p w14:paraId="273C53E6" w14:textId="77777777" w:rsidR="00E255F4" w:rsidRDefault="00E255F4">
      <w:pPr>
        <w:rPr>
          <w:sz w:val="22"/>
          <w:szCs w:val="22"/>
          <w:lang w:val="es-ES" w:eastAsia="es-ES"/>
        </w:rPr>
      </w:pPr>
    </w:p>
    <w:p w14:paraId="506B6F2D" w14:textId="77777777" w:rsidR="00E255F4" w:rsidRDefault="00E255F4">
      <w:pPr>
        <w:rPr>
          <w:sz w:val="22"/>
          <w:szCs w:val="22"/>
          <w:lang w:val="es-ES" w:eastAsia="es-ES"/>
        </w:rPr>
      </w:pPr>
    </w:p>
    <w:p w14:paraId="4494FC45" w14:textId="77777777" w:rsidR="00E255F4" w:rsidRDefault="00E255F4">
      <w:pPr>
        <w:rPr>
          <w:sz w:val="22"/>
          <w:szCs w:val="22"/>
          <w:lang w:val="es-ES" w:eastAsia="es-ES"/>
        </w:rPr>
      </w:pPr>
    </w:p>
    <w:p w14:paraId="229EC4A0" w14:textId="77777777" w:rsidR="00E255F4" w:rsidRDefault="00E255F4">
      <w:pPr>
        <w:rPr>
          <w:sz w:val="22"/>
          <w:szCs w:val="22"/>
          <w:lang w:val="es-ES" w:eastAsia="es-ES"/>
        </w:rPr>
      </w:pPr>
    </w:p>
    <w:p w14:paraId="3FE9F4A2" w14:textId="77777777" w:rsidR="00E255F4" w:rsidRDefault="00E255F4">
      <w:pPr>
        <w:rPr>
          <w:sz w:val="22"/>
          <w:szCs w:val="22"/>
          <w:lang w:val="es-ES" w:eastAsia="es-ES"/>
        </w:rPr>
      </w:pPr>
    </w:p>
    <w:p w14:paraId="0D5AC1C6" w14:textId="77777777" w:rsidR="00E255F4" w:rsidRDefault="00E255F4">
      <w:pPr>
        <w:rPr>
          <w:sz w:val="22"/>
          <w:szCs w:val="22"/>
          <w:lang w:val="es-ES" w:eastAsia="es-ES"/>
        </w:rPr>
      </w:pPr>
    </w:p>
    <w:p w14:paraId="6DC87104" w14:textId="77777777" w:rsidR="00E255F4" w:rsidRDefault="00E255F4">
      <w:pPr>
        <w:rPr>
          <w:sz w:val="22"/>
          <w:szCs w:val="22"/>
          <w:lang w:val="es-ES" w:eastAsia="es-ES"/>
        </w:rPr>
      </w:pPr>
    </w:p>
    <w:p w14:paraId="3DA4871C" w14:textId="77777777" w:rsidR="00E255F4" w:rsidRDefault="00000000">
      <w:pPr>
        <w:pStyle w:val="Piedepgina"/>
        <w:jc w:val="center"/>
        <w:outlineLvl w:val="0"/>
        <w:rPr>
          <w:color w:val="0070C0"/>
          <w:sz w:val="28"/>
          <w:szCs w:val="28"/>
          <w:lang w:val="es-ES" w:eastAsia="es-ES"/>
        </w:rPr>
      </w:pPr>
      <w:bookmarkStart w:id="121" w:name="__RefHeading___Toc225377280"/>
      <w:bookmarkEnd w:id="121"/>
      <w:r>
        <w:rPr>
          <w:color w:val="0070C0"/>
          <w:sz w:val="28"/>
          <w:szCs w:val="28"/>
          <w:lang w:val="es-ES" w:eastAsia="es-ES"/>
        </w:rPr>
        <w:lastRenderedPageBreak/>
        <w:t>ANNEX IX</w:t>
      </w:r>
    </w:p>
    <w:p w14:paraId="6BE0234C" w14:textId="77777777" w:rsidR="00E255F4" w:rsidRDefault="00000000">
      <w:pPr>
        <w:pStyle w:val="Piedepgina"/>
        <w:jc w:val="center"/>
        <w:outlineLvl w:val="0"/>
      </w:pPr>
      <w:bookmarkStart w:id="122" w:name="__RefHeading___Toc225377281"/>
      <w:bookmarkStart w:id="123" w:name="_Ref478216654"/>
      <w:bookmarkEnd w:id="122"/>
      <w:r>
        <w:t>COMMITMENT TO CONFIDENTIALITY</w:t>
      </w:r>
      <w:bookmarkEnd w:id="123"/>
    </w:p>
    <w:tbl>
      <w:tblPr>
        <w:tblW w:w="9157" w:type="dxa"/>
        <w:jc w:val="center"/>
        <w:tblLayout w:type="fixed"/>
        <w:tblLook w:val="04A0" w:firstRow="1" w:lastRow="0" w:firstColumn="1" w:lastColumn="0" w:noHBand="0" w:noVBand="1"/>
      </w:tblPr>
      <w:tblGrid>
        <w:gridCol w:w="9157"/>
      </w:tblGrid>
      <w:tr w:rsidR="00E255F4" w14:paraId="0DACF9FB" w14:textId="77777777">
        <w:trPr>
          <w:jc w:val="center"/>
        </w:trPr>
        <w:tc>
          <w:tcPr>
            <w:tcW w:w="9157" w:type="dxa"/>
            <w:tcBorders>
              <w:top w:val="single" w:sz="4" w:space="0" w:color="000000"/>
              <w:left w:val="single" w:sz="4" w:space="0" w:color="000000"/>
              <w:bottom w:val="single" w:sz="4" w:space="0" w:color="000000"/>
              <w:right w:val="single" w:sz="4" w:space="0" w:color="000000"/>
            </w:tcBorders>
          </w:tcPr>
          <w:p w14:paraId="10B70A8E" w14:textId="77777777" w:rsidR="00E255F4" w:rsidRDefault="00000000">
            <w:pPr>
              <w:pStyle w:val="Default"/>
              <w:widowControl w:val="0"/>
              <w:spacing w:line="480" w:lineRule="auto"/>
              <w:contextualSpacing/>
              <w:jc w:val="center"/>
              <w:rPr>
                <w:rFonts w:ascii="Times New Roman" w:hAnsi="Times New Roman" w:cs="Times New Roman"/>
                <w:b/>
                <w:sz w:val="22"/>
                <w:lang w:val="es-UY"/>
              </w:rPr>
            </w:pPr>
            <w:proofErr w:type="spellStart"/>
            <w:r>
              <w:rPr>
                <w:rFonts w:ascii="Times New Roman" w:hAnsi="Times New Roman" w:cs="Times New Roman"/>
                <w:b/>
                <w:sz w:val="22"/>
                <w:lang w:val="es-UY"/>
              </w:rPr>
              <w:t>Confidentiality</w:t>
            </w:r>
            <w:proofErr w:type="spellEnd"/>
            <w:r>
              <w:rPr>
                <w:rFonts w:ascii="Times New Roman" w:hAnsi="Times New Roman" w:cs="Times New Roman"/>
                <w:b/>
                <w:sz w:val="22"/>
                <w:lang w:val="es-UY"/>
              </w:rPr>
              <w:t xml:space="preserve"> </w:t>
            </w:r>
            <w:proofErr w:type="spellStart"/>
            <w:r>
              <w:rPr>
                <w:rFonts w:ascii="Times New Roman" w:hAnsi="Times New Roman" w:cs="Times New Roman"/>
                <w:b/>
                <w:sz w:val="22"/>
                <w:lang w:val="es-UY"/>
              </w:rPr>
              <w:t>Agreement</w:t>
            </w:r>
            <w:proofErr w:type="spellEnd"/>
            <w:r>
              <w:rPr>
                <w:rFonts w:ascii="Times New Roman" w:hAnsi="Times New Roman" w:cs="Times New Roman"/>
                <w:b/>
                <w:sz w:val="22"/>
                <w:lang w:val="es-UY"/>
              </w:rPr>
              <w:t xml:space="preserve"> </w:t>
            </w:r>
            <w:proofErr w:type="spellStart"/>
            <w:r>
              <w:rPr>
                <w:rFonts w:ascii="Times New Roman" w:hAnsi="Times New Roman" w:cs="Times New Roman"/>
                <w:b/>
                <w:sz w:val="22"/>
                <w:lang w:val="es-UY"/>
              </w:rPr>
              <w:t>for</w:t>
            </w:r>
            <w:proofErr w:type="spellEnd"/>
            <w:r>
              <w:rPr>
                <w:rFonts w:ascii="Times New Roman" w:hAnsi="Times New Roman" w:cs="Times New Roman"/>
                <w:b/>
                <w:sz w:val="22"/>
                <w:lang w:val="es-UY"/>
              </w:rPr>
              <w:t xml:space="preserve"> </w:t>
            </w:r>
            <w:proofErr w:type="spellStart"/>
            <w:r>
              <w:rPr>
                <w:rFonts w:ascii="Times New Roman" w:hAnsi="Times New Roman" w:cs="Times New Roman"/>
                <w:b/>
                <w:sz w:val="22"/>
                <w:lang w:val="es-UY"/>
              </w:rPr>
              <w:t>Supplier</w:t>
            </w:r>
            <w:proofErr w:type="spellEnd"/>
            <w:r>
              <w:rPr>
                <w:rFonts w:ascii="Times New Roman" w:hAnsi="Times New Roman" w:cs="Times New Roman"/>
                <w:b/>
                <w:sz w:val="22"/>
                <w:lang w:val="es-UY"/>
              </w:rPr>
              <w:t xml:space="preserve"> </w:t>
            </w:r>
            <w:proofErr w:type="spellStart"/>
            <w:r>
              <w:rPr>
                <w:rFonts w:ascii="Times New Roman" w:hAnsi="Times New Roman" w:cs="Times New Roman"/>
                <w:b/>
                <w:sz w:val="22"/>
                <w:lang w:val="es-UY"/>
              </w:rPr>
              <w:t>Companies</w:t>
            </w:r>
            <w:proofErr w:type="spellEnd"/>
          </w:p>
          <w:p w14:paraId="591CAB72" w14:textId="77777777" w:rsidR="00E255F4" w:rsidRDefault="00E255F4">
            <w:pPr>
              <w:pStyle w:val="Default"/>
              <w:widowControl w:val="0"/>
              <w:spacing w:line="480" w:lineRule="auto"/>
              <w:contextualSpacing/>
              <w:jc w:val="center"/>
              <w:rPr>
                <w:rFonts w:ascii="Times New Roman" w:hAnsi="Times New Roman" w:cs="Times New Roman"/>
                <w:b/>
                <w:sz w:val="22"/>
                <w:lang w:val="es-UY"/>
              </w:rPr>
            </w:pPr>
          </w:p>
          <w:p w14:paraId="3BEA27A8" w14:textId="77777777" w:rsidR="00E255F4" w:rsidRDefault="00000000">
            <w:pPr>
              <w:pStyle w:val="Default"/>
              <w:widowControl w:val="0"/>
              <w:spacing w:line="480" w:lineRule="auto"/>
              <w:contextualSpacing/>
              <w:jc w:val="center"/>
              <w:rPr>
                <w:rFonts w:ascii="Times New Roman" w:hAnsi="Times New Roman" w:cs="Times New Roman"/>
                <w:b/>
                <w:sz w:val="22"/>
                <w:lang w:val="es-UY"/>
              </w:rPr>
            </w:pPr>
            <w:proofErr w:type="spellStart"/>
            <w:r>
              <w:rPr>
                <w:rFonts w:ascii="Times New Roman" w:hAnsi="Times New Roman" w:cs="Times New Roman"/>
                <w:b/>
                <w:sz w:val="22"/>
                <w:lang w:val="es-UY"/>
              </w:rPr>
              <w:t>Abbreviated</w:t>
            </w:r>
            <w:proofErr w:type="spellEnd"/>
            <w:r>
              <w:rPr>
                <w:rFonts w:ascii="Times New Roman" w:hAnsi="Times New Roman" w:cs="Times New Roman"/>
                <w:b/>
                <w:sz w:val="22"/>
                <w:lang w:val="es-UY"/>
              </w:rPr>
              <w:t xml:space="preserve"> Tender No. XXXX</w:t>
            </w:r>
          </w:p>
          <w:p w14:paraId="21001972" w14:textId="77777777" w:rsidR="00E255F4" w:rsidRDefault="00000000">
            <w:pPr>
              <w:pStyle w:val="Default"/>
              <w:widowControl w:val="0"/>
              <w:spacing w:line="360" w:lineRule="auto"/>
              <w:contextualSpacing/>
            </w:pPr>
            <w:r>
              <w:rPr>
                <w:rFonts w:ascii="Times New Roman" w:hAnsi="Times New Roman" w:cs="Times New Roman"/>
                <w:sz w:val="22"/>
                <w:lang w:val="es-UY"/>
              </w:rPr>
              <w:t xml:space="preserve">In </w:t>
            </w:r>
            <w:proofErr w:type="spellStart"/>
            <w:r>
              <w:rPr>
                <w:rFonts w:ascii="Times New Roman" w:hAnsi="Times New Roman" w:cs="Times New Roman"/>
                <w:sz w:val="22"/>
                <w:lang w:val="es-UY"/>
              </w:rPr>
              <w:t>the</w:t>
            </w:r>
            <w:proofErr w:type="spellEnd"/>
            <w:r>
              <w:rPr>
                <w:rFonts w:ascii="Times New Roman" w:hAnsi="Times New Roman" w:cs="Times New Roman"/>
                <w:sz w:val="22"/>
                <w:lang w:val="es-UY"/>
              </w:rPr>
              <w:t xml:space="preserve"> </w:t>
            </w:r>
            <w:proofErr w:type="spellStart"/>
            <w:r>
              <w:rPr>
                <w:rFonts w:ascii="Times New Roman" w:hAnsi="Times New Roman" w:cs="Times New Roman"/>
                <w:sz w:val="22"/>
                <w:lang w:val="es-UY"/>
              </w:rPr>
              <w:t>city</w:t>
            </w:r>
            <w:proofErr w:type="spellEnd"/>
            <w:r>
              <w:rPr>
                <w:rFonts w:ascii="Times New Roman" w:hAnsi="Times New Roman" w:cs="Times New Roman"/>
                <w:sz w:val="22"/>
                <w:lang w:val="es-UY"/>
              </w:rPr>
              <w:t xml:space="preserve"> </w:t>
            </w:r>
            <w:proofErr w:type="spellStart"/>
            <w:r>
              <w:rPr>
                <w:rFonts w:ascii="Times New Roman" w:hAnsi="Times New Roman" w:cs="Times New Roman"/>
                <w:sz w:val="22"/>
                <w:lang w:val="es-UY"/>
              </w:rPr>
              <w:t>of</w:t>
            </w:r>
            <w:proofErr w:type="spellEnd"/>
            <w:r>
              <w:rPr>
                <w:rFonts w:ascii="Times New Roman" w:hAnsi="Times New Roman" w:cs="Times New Roman"/>
                <w:sz w:val="22"/>
                <w:lang w:val="es-UY"/>
              </w:rPr>
              <w:t xml:space="preserve"> Montevideo, </w:t>
            </w:r>
            <w:proofErr w:type="spellStart"/>
            <w:r>
              <w:rPr>
                <w:rFonts w:ascii="Times New Roman" w:hAnsi="Times New Roman" w:cs="Times New Roman"/>
                <w:sz w:val="22"/>
                <w:lang w:val="es-UY"/>
              </w:rPr>
              <w:t>on</w:t>
            </w:r>
            <w:proofErr w:type="spellEnd"/>
            <w:r>
              <w:rPr>
                <w:rFonts w:ascii="Times New Roman" w:hAnsi="Times New Roman" w:cs="Times New Roman"/>
                <w:sz w:val="22"/>
                <w:lang w:val="es-UY"/>
              </w:rPr>
              <w:t xml:space="preserve"> </w:t>
            </w:r>
            <w:proofErr w:type="spellStart"/>
            <w:r>
              <w:rPr>
                <w:rFonts w:ascii="Times New Roman" w:hAnsi="Times New Roman" w:cs="Times New Roman"/>
                <w:sz w:val="22"/>
                <w:lang w:val="es-UY"/>
              </w:rPr>
              <w:t>the</w:t>
            </w:r>
            <w:proofErr w:type="spellEnd"/>
            <w:r>
              <w:rPr>
                <w:rFonts w:ascii="Times New Roman" w:hAnsi="Times New Roman" w:cs="Times New Roman"/>
                <w:sz w:val="22"/>
                <w:lang w:val="es-UY"/>
              </w:rPr>
              <w:t xml:space="preserve"> …… </w:t>
            </w:r>
            <w:proofErr w:type="spellStart"/>
            <w:r>
              <w:rPr>
                <w:rFonts w:ascii="Times New Roman" w:hAnsi="Times New Roman" w:cs="Times New Roman"/>
                <w:sz w:val="22"/>
                <w:lang w:val="es-UY"/>
              </w:rPr>
              <w:t>day</w:t>
            </w:r>
            <w:proofErr w:type="spellEnd"/>
            <w:r>
              <w:rPr>
                <w:rFonts w:ascii="Times New Roman" w:hAnsi="Times New Roman" w:cs="Times New Roman"/>
                <w:sz w:val="22"/>
                <w:lang w:val="es-UY"/>
              </w:rPr>
              <w:t xml:space="preserve"> </w:t>
            </w:r>
            <w:proofErr w:type="spellStart"/>
            <w:r>
              <w:rPr>
                <w:rFonts w:ascii="Times New Roman" w:hAnsi="Times New Roman" w:cs="Times New Roman"/>
                <w:sz w:val="22"/>
                <w:lang w:val="es-UY"/>
              </w:rPr>
              <w:t>of</w:t>
            </w:r>
            <w:proofErr w:type="spellEnd"/>
            <w:r>
              <w:rPr>
                <w:rFonts w:ascii="Times New Roman" w:hAnsi="Times New Roman" w:cs="Times New Roman"/>
                <w:sz w:val="22"/>
                <w:lang w:val="es-UY"/>
              </w:rPr>
              <w:t xml:space="preserve"> …………… </w:t>
            </w:r>
            <w:proofErr w:type="spellStart"/>
            <w:r>
              <w:rPr>
                <w:rFonts w:ascii="Times New Roman" w:hAnsi="Times New Roman" w:cs="Times New Roman"/>
                <w:sz w:val="22"/>
                <w:lang w:val="es-UY"/>
              </w:rPr>
              <w:t>of</w:t>
            </w:r>
            <w:proofErr w:type="spellEnd"/>
            <w:r>
              <w:rPr>
                <w:rFonts w:ascii="Times New Roman" w:hAnsi="Times New Roman" w:cs="Times New Roman"/>
                <w:sz w:val="22"/>
                <w:lang w:val="es-UY"/>
              </w:rPr>
              <w:t xml:space="preserve"> </w:t>
            </w:r>
            <w:proofErr w:type="spellStart"/>
            <w:r>
              <w:rPr>
                <w:rFonts w:ascii="Times New Roman" w:hAnsi="Times New Roman" w:cs="Times New Roman"/>
                <w:sz w:val="22"/>
                <w:lang w:val="es-UY"/>
              </w:rPr>
              <w:t>the</w:t>
            </w:r>
            <w:proofErr w:type="spellEnd"/>
            <w:r>
              <w:rPr>
                <w:rFonts w:ascii="Times New Roman" w:hAnsi="Times New Roman" w:cs="Times New Roman"/>
                <w:sz w:val="22"/>
                <w:lang w:val="es-UY"/>
              </w:rPr>
              <w:t xml:space="preserve"> </w:t>
            </w:r>
            <w:proofErr w:type="spellStart"/>
            <w:r>
              <w:rPr>
                <w:rFonts w:ascii="Times New Roman" w:hAnsi="Times New Roman" w:cs="Times New Roman"/>
                <w:sz w:val="22"/>
                <w:lang w:val="es-UY"/>
              </w:rPr>
              <w:t>year</w:t>
            </w:r>
            <w:proofErr w:type="spellEnd"/>
            <w:r>
              <w:rPr>
                <w:rFonts w:ascii="Times New Roman" w:hAnsi="Times New Roman" w:cs="Times New Roman"/>
                <w:sz w:val="22"/>
                <w:lang w:val="es-UY"/>
              </w:rPr>
              <w:t xml:space="preserve"> </w:t>
            </w:r>
            <w:proofErr w:type="spellStart"/>
            <w:r>
              <w:rPr>
                <w:rFonts w:ascii="Times New Roman" w:hAnsi="Times New Roman" w:cs="Times New Roman"/>
                <w:sz w:val="22"/>
                <w:lang w:val="es-UY"/>
              </w:rPr>
              <w:t>two</w:t>
            </w:r>
            <w:proofErr w:type="spellEnd"/>
            <w:r>
              <w:rPr>
                <w:rFonts w:ascii="Times New Roman" w:hAnsi="Times New Roman" w:cs="Times New Roman"/>
                <w:sz w:val="22"/>
                <w:lang w:val="es-UY"/>
              </w:rPr>
              <w:t xml:space="preserve"> </w:t>
            </w:r>
            <w:proofErr w:type="spellStart"/>
            <w:r>
              <w:rPr>
                <w:rFonts w:ascii="Times New Roman" w:hAnsi="Times New Roman" w:cs="Times New Roman"/>
                <w:sz w:val="22"/>
                <w:lang w:val="es-UY"/>
              </w:rPr>
              <w:t>thousand</w:t>
            </w:r>
            <w:proofErr w:type="spellEnd"/>
            <w:r>
              <w:rPr>
                <w:rFonts w:ascii="Times New Roman" w:hAnsi="Times New Roman" w:cs="Times New Roman"/>
                <w:sz w:val="22"/>
                <w:lang w:val="es-UY"/>
              </w:rPr>
              <w:t xml:space="preserve"> </w:t>
            </w:r>
            <w:proofErr w:type="gramStart"/>
            <w:r>
              <w:rPr>
                <w:rFonts w:ascii="Times New Roman" w:hAnsi="Times New Roman" w:cs="Times New Roman"/>
                <w:sz w:val="22"/>
                <w:lang w:val="es-UY"/>
              </w:rPr>
              <w:t>…….</w:t>
            </w:r>
            <w:proofErr w:type="gramEnd"/>
            <w:r>
              <w:rPr>
                <w:rFonts w:ascii="Times New Roman" w:hAnsi="Times New Roman" w:cs="Times New Roman"/>
                <w:sz w:val="22"/>
                <w:lang w:val="es-UY"/>
              </w:rPr>
              <w:t>, Mr./Mrs. ………………………</w:t>
            </w:r>
            <w:proofErr w:type="gramStart"/>
            <w:r>
              <w:rPr>
                <w:rFonts w:ascii="Times New Roman" w:hAnsi="Times New Roman" w:cs="Times New Roman"/>
                <w:sz w:val="22"/>
                <w:lang w:val="es-UY"/>
              </w:rPr>
              <w:t>…….</w:t>
            </w:r>
            <w:proofErr w:type="gramEnd"/>
            <w:r>
              <w:rPr>
                <w:rFonts w:ascii="Times New Roman" w:hAnsi="Times New Roman" w:cs="Times New Roman"/>
                <w:sz w:val="22"/>
                <w:lang w:val="es-UY"/>
              </w:rPr>
              <w:t xml:space="preserve">., </w:t>
            </w:r>
            <w:proofErr w:type="spellStart"/>
            <w:r>
              <w:rPr>
                <w:rFonts w:ascii="Times New Roman" w:hAnsi="Times New Roman" w:cs="Times New Roman"/>
                <w:sz w:val="22"/>
                <w:lang w:val="es-UY"/>
              </w:rPr>
              <w:t>holder</w:t>
            </w:r>
            <w:proofErr w:type="spellEnd"/>
            <w:r>
              <w:rPr>
                <w:rFonts w:ascii="Times New Roman" w:hAnsi="Times New Roman" w:cs="Times New Roman"/>
                <w:sz w:val="22"/>
                <w:lang w:val="es-UY"/>
              </w:rPr>
              <w:t xml:space="preserve"> </w:t>
            </w:r>
            <w:proofErr w:type="spellStart"/>
            <w:r>
              <w:rPr>
                <w:rFonts w:ascii="Times New Roman" w:hAnsi="Times New Roman" w:cs="Times New Roman"/>
                <w:sz w:val="22"/>
                <w:lang w:val="es-UY"/>
              </w:rPr>
              <w:t>of</w:t>
            </w:r>
            <w:proofErr w:type="spellEnd"/>
            <w:r>
              <w:rPr>
                <w:rFonts w:ascii="Times New Roman" w:hAnsi="Times New Roman" w:cs="Times New Roman"/>
                <w:sz w:val="22"/>
                <w:lang w:val="es-UY"/>
              </w:rPr>
              <w:t xml:space="preserve"> </w:t>
            </w:r>
            <w:proofErr w:type="spellStart"/>
            <w:r>
              <w:rPr>
                <w:rFonts w:ascii="Times New Roman" w:hAnsi="Times New Roman" w:cs="Times New Roman"/>
                <w:sz w:val="22"/>
                <w:lang w:val="es-UY"/>
              </w:rPr>
              <w:t>identity</w:t>
            </w:r>
            <w:proofErr w:type="spellEnd"/>
            <w:r>
              <w:rPr>
                <w:rFonts w:ascii="Times New Roman" w:hAnsi="Times New Roman" w:cs="Times New Roman"/>
                <w:sz w:val="22"/>
                <w:lang w:val="es-UY"/>
              </w:rPr>
              <w:t xml:space="preserve"> </w:t>
            </w:r>
            <w:proofErr w:type="spellStart"/>
            <w:r>
              <w:rPr>
                <w:rFonts w:ascii="Times New Roman" w:hAnsi="Times New Roman" w:cs="Times New Roman"/>
                <w:sz w:val="22"/>
                <w:lang w:val="es-UY"/>
              </w:rPr>
              <w:t>card</w:t>
            </w:r>
            <w:proofErr w:type="spellEnd"/>
            <w:r>
              <w:rPr>
                <w:rFonts w:ascii="Times New Roman" w:hAnsi="Times New Roman" w:cs="Times New Roman"/>
                <w:sz w:val="22"/>
                <w:lang w:val="es-UY"/>
              </w:rPr>
              <w:t xml:space="preserve"> No. ……………………</w:t>
            </w:r>
            <w:proofErr w:type="gramStart"/>
            <w:r>
              <w:rPr>
                <w:rFonts w:ascii="Times New Roman" w:hAnsi="Times New Roman" w:cs="Times New Roman"/>
                <w:sz w:val="22"/>
                <w:lang w:val="es-UY"/>
              </w:rPr>
              <w:t>…….</w:t>
            </w:r>
            <w:proofErr w:type="gramEnd"/>
            <w:r>
              <w:rPr>
                <w:rFonts w:ascii="Times New Roman" w:hAnsi="Times New Roman" w:cs="Times New Roman"/>
                <w:sz w:val="22"/>
                <w:lang w:val="es-UY"/>
              </w:rPr>
              <w:t xml:space="preserve">, </w:t>
            </w:r>
            <w:proofErr w:type="spellStart"/>
            <w:r>
              <w:rPr>
                <w:rFonts w:ascii="Times New Roman" w:hAnsi="Times New Roman" w:cs="Times New Roman"/>
                <w:sz w:val="22"/>
                <w:lang w:val="es-UY"/>
              </w:rPr>
              <w:t>representing</w:t>
            </w:r>
            <w:proofErr w:type="spellEnd"/>
            <w:r>
              <w:rPr>
                <w:rFonts w:ascii="Times New Roman" w:hAnsi="Times New Roman" w:cs="Times New Roman"/>
                <w:sz w:val="22"/>
                <w:lang w:val="es-UY"/>
              </w:rPr>
              <w:t xml:space="preserve"> </w:t>
            </w:r>
            <w:proofErr w:type="spellStart"/>
            <w:r>
              <w:rPr>
                <w:rFonts w:ascii="Times New Roman" w:hAnsi="Times New Roman" w:cs="Times New Roman"/>
                <w:sz w:val="22"/>
                <w:lang w:val="es-UY"/>
              </w:rPr>
              <w:t>the</w:t>
            </w:r>
            <w:proofErr w:type="spellEnd"/>
            <w:r>
              <w:rPr>
                <w:rFonts w:ascii="Times New Roman" w:hAnsi="Times New Roman" w:cs="Times New Roman"/>
                <w:sz w:val="22"/>
                <w:lang w:val="es-UY"/>
              </w:rPr>
              <w:t xml:space="preserve"> </w:t>
            </w:r>
            <w:proofErr w:type="spellStart"/>
            <w:r>
              <w:rPr>
                <w:rFonts w:ascii="Times New Roman" w:hAnsi="Times New Roman" w:cs="Times New Roman"/>
                <w:sz w:val="22"/>
                <w:lang w:val="es-UY"/>
              </w:rPr>
              <w:t>company</w:t>
            </w:r>
            <w:proofErr w:type="spellEnd"/>
            <w:r>
              <w:rPr>
                <w:rFonts w:ascii="Times New Roman" w:hAnsi="Times New Roman" w:cs="Times New Roman"/>
                <w:sz w:val="22"/>
                <w:lang w:val="es-UY"/>
              </w:rPr>
              <w:t xml:space="preserve"> ……………, RUT No. ………………… (</w:t>
            </w:r>
            <w:proofErr w:type="spellStart"/>
            <w:r>
              <w:rPr>
                <w:rFonts w:ascii="Times New Roman" w:hAnsi="Times New Roman" w:cs="Times New Roman"/>
                <w:sz w:val="22"/>
                <w:lang w:val="es-UY"/>
              </w:rPr>
              <w:t>according</w:t>
            </w:r>
            <w:proofErr w:type="spellEnd"/>
            <w:r>
              <w:rPr>
                <w:rFonts w:ascii="Times New Roman" w:hAnsi="Times New Roman" w:cs="Times New Roman"/>
                <w:sz w:val="22"/>
                <w:lang w:val="es-UY"/>
              </w:rPr>
              <w:t xml:space="preserve"> </w:t>
            </w:r>
            <w:proofErr w:type="spellStart"/>
            <w:r>
              <w:rPr>
                <w:rFonts w:ascii="Times New Roman" w:hAnsi="Times New Roman" w:cs="Times New Roman"/>
                <w:sz w:val="22"/>
                <w:lang w:val="es-UY"/>
              </w:rPr>
              <w:t>to</w:t>
            </w:r>
            <w:proofErr w:type="spellEnd"/>
            <w:r>
              <w:rPr>
                <w:rFonts w:ascii="Times New Roman" w:hAnsi="Times New Roman" w:cs="Times New Roman"/>
                <w:sz w:val="22"/>
                <w:lang w:val="es-UY"/>
              </w:rPr>
              <w:t xml:space="preserve"> </w:t>
            </w:r>
            <w:proofErr w:type="spellStart"/>
            <w:r>
              <w:rPr>
                <w:rFonts w:ascii="Times New Roman" w:hAnsi="Times New Roman" w:cs="Times New Roman"/>
                <w:sz w:val="22"/>
                <w:lang w:val="es-UY"/>
              </w:rPr>
              <w:t>the</w:t>
            </w:r>
            <w:proofErr w:type="spellEnd"/>
            <w:r>
              <w:rPr>
                <w:rFonts w:ascii="Times New Roman" w:hAnsi="Times New Roman" w:cs="Times New Roman"/>
                <w:sz w:val="22"/>
                <w:lang w:val="es-UY"/>
              </w:rPr>
              <w:t xml:space="preserve"> </w:t>
            </w:r>
            <w:proofErr w:type="spellStart"/>
            <w:r>
              <w:rPr>
                <w:rFonts w:ascii="Times New Roman" w:hAnsi="Times New Roman" w:cs="Times New Roman"/>
                <w:sz w:val="22"/>
                <w:lang w:val="es-UY"/>
              </w:rPr>
              <w:t>attached</w:t>
            </w:r>
            <w:proofErr w:type="spellEnd"/>
            <w:r>
              <w:rPr>
                <w:rFonts w:ascii="Times New Roman" w:hAnsi="Times New Roman" w:cs="Times New Roman"/>
                <w:sz w:val="22"/>
                <w:lang w:val="es-UY"/>
              </w:rPr>
              <w:t xml:space="preserve"> </w:t>
            </w:r>
            <w:proofErr w:type="spellStart"/>
            <w:r>
              <w:rPr>
                <w:rFonts w:ascii="Times New Roman" w:hAnsi="Times New Roman" w:cs="Times New Roman"/>
                <w:sz w:val="22"/>
                <w:lang w:val="es-UY"/>
              </w:rPr>
              <w:t>certificate</w:t>
            </w:r>
            <w:proofErr w:type="spellEnd"/>
            <w:r>
              <w:rPr>
                <w:rFonts w:ascii="Times New Roman" w:hAnsi="Times New Roman" w:cs="Times New Roman"/>
                <w:sz w:val="22"/>
                <w:lang w:val="es-UY"/>
              </w:rPr>
              <w:t xml:space="preserve">), declares </w:t>
            </w:r>
            <w:proofErr w:type="spellStart"/>
            <w:r>
              <w:rPr>
                <w:rFonts w:ascii="Times New Roman" w:hAnsi="Times New Roman" w:cs="Times New Roman"/>
                <w:sz w:val="22"/>
                <w:lang w:val="es-UY"/>
              </w:rPr>
              <w:t>that</w:t>
            </w:r>
            <w:proofErr w:type="spellEnd"/>
            <w:r>
              <w:rPr>
                <w:rFonts w:ascii="Times New Roman" w:hAnsi="Times New Roman" w:cs="Times New Roman"/>
                <w:sz w:val="22"/>
                <w:lang w:val="es-UY"/>
              </w:rPr>
              <w:t xml:space="preserve"> he/</w:t>
            </w:r>
            <w:proofErr w:type="spellStart"/>
            <w:r>
              <w:rPr>
                <w:rFonts w:ascii="Times New Roman" w:hAnsi="Times New Roman" w:cs="Times New Roman"/>
                <w:sz w:val="22"/>
                <w:lang w:val="es-UY"/>
              </w:rPr>
              <w:t>she</w:t>
            </w:r>
            <w:proofErr w:type="spellEnd"/>
            <w:r>
              <w:rPr>
                <w:rFonts w:ascii="Times New Roman" w:hAnsi="Times New Roman" w:cs="Times New Roman"/>
                <w:sz w:val="22"/>
                <w:lang w:val="es-UY"/>
              </w:rPr>
              <w:t xml:space="preserve"> </w:t>
            </w:r>
            <w:proofErr w:type="spellStart"/>
            <w:r>
              <w:rPr>
                <w:rFonts w:ascii="Times New Roman" w:hAnsi="Times New Roman" w:cs="Times New Roman"/>
                <w:sz w:val="22"/>
                <w:lang w:val="es-UY"/>
              </w:rPr>
              <w:t>assumes</w:t>
            </w:r>
            <w:proofErr w:type="spellEnd"/>
            <w:r>
              <w:rPr>
                <w:rFonts w:ascii="Times New Roman" w:hAnsi="Times New Roman" w:cs="Times New Roman"/>
                <w:sz w:val="22"/>
                <w:lang w:val="es-UY"/>
              </w:rPr>
              <w:t xml:space="preserve"> </w:t>
            </w:r>
            <w:proofErr w:type="spellStart"/>
            <w:r>
              <w:rPr>
                <w:rFonts w:ascii="Times New Roman" w:hAnsi="Times New Roman" w:cs="Times New Roman"/>
                <w:sz w:val="22"/>
                <w:lang w:val="es-UY"/>
              </w:rPr>
              <w:t>this</w:t>
            </w:r>
            <w:proofErr w:type="spellEnd"/>
            <w:r>
              <w:rPr>
                <w:rFonts w:ascii="Times New Roman" w:hAnsi="Times New Roman" w:cs="Times New Roman"/>
                <w:sz w:val="22"/>
                <w:lang w:val="es-UY"/>
              </w:rPr>
              <w:t xml:space="preserve"> </w:t>
            </w:r>
            <w:proofErr w:type="spellStart"/>
            <w:r>
              <w:rPr>
                <w:rFonts w:ascii="Times New Roman" w:hAnsi="Times New Roman" w:cs="Times New Roman"/>
                <w:sz w:val="22"/>
                <w:lang w:val="es-UY"/>
              </w:rPr>
              <w:t>Confidentiality</w:t>
            </w:r>
            <w:proofErr w:type="spellEnd"/>
            <w:r>
              <w:rPr>
                <w:rFonts w:ascii="Times New Roman" w:hAnsi="Times New Roman" w:cs="Times New Roman"/>
                <w:sz w:val="22"/>
                <w:lang w:val="es-UY"/>
              </w:rPr>
              <w:t xml:space="preserve"> </w:t>
            </w:r>
            <w:proofErr w:type="spellStart"/>
            <w:r>
              <w:rPr>
                <w:rFonts w:ascii="Times New Roman" w:hAnsi="Times New Roman" w:cs="Times New Roman"/>
                <w:sz w:val="22"/>
                <w:lang w:val="es-UY"/>
              </w:rPr>
              <w:t>Agreement</w:t>
            </w:r>
            <w:proofErr w:type="spellEnd"/>
            <w:r>
              <w:rPr>
                <w:rFonts w:ascii="Times New Roman" w:hAnsi="Times New Roman" w:cs="Times New Roman"/>
                <w:sz w:val="22"/>
                <w:lang w:val="es-UY"/>
              </w:rPr>
              <w:t xml:space="preserve">, </w:t>
            </w:r>
            <w:proofErr w:type="spellStart"/>
            <w:r>
              <w:rPr>
                <w:rFonts w:ascii="Times New Roman" w:hAnsi="Times New Roman" w:cs="Times New Roman"/>
                <w:sz w:val="22"/>
                <w:lang w:val="es-UY"/>
              </w:rPr>
              <w:t>which</w:t>
            </w:r>
            <w:proofErr w:type="spellEnd"/>
            <w:r>
              <w:rPr>
                <w:rFonts w:ascii="Times New Roman" w:hAnsi="Times New Roman" w:cs="Times New Roman"/>
                <w:sz w:val="22"/>
                <w:lang w:val="es-UY"/>
              </w:rPr>
              <w:t xml:space="preserve"> </w:t>
            </w:r>
            <w:proofErr w:type="spellStart"/>
            <w:r>
              <w:rPr>
                <w:rFonts w:ascii="Times New Roman" w:hAnsi="Times New Roman" w:cs="Times New Roman"/>
                <w:sz w:val="22"/>
                <w:lang w:val="es-UY"/>
              </w:rPr>
              <w:t>will</w:t>
            </w:r>
            <w:proofErr w:type="spellEnd"/>
            <w:r>
              <w:rPr>
                <w:rFonts w:ascii="Times New Roman" w:hAnsi="Times New Roman" w:cs="Times New Roman"/>
                <w:sz w:val="22"/>
                <w:lang w:val="es-UY"/>
              </w:rPr>
              <w:t xml:space="preserve"> be </w:t>
            </w:r>
            <w:proofErr w:type="spellStart"/>
            <w:r>
              <w:rPr>
                <w:rFonts w:ascii="Times New Roman" w:hAnsi="Times New Roman" w:cs="Times New Roman"/>
                <w:sz w:val="22"/>
                <w:lang w:val="es-UY"/>
              </w:rPr>
              <w:t>governed</w:t>
            </w:r>
            <w:proofErr w:type="spellEnd"/>
            <w:r>
              <w:rPr>
                <w:rFonts w:ascii="Times New Roman" w:hAnsi="Times New Roman" w:cs="Times New Roman"/>
                <w:sz w:val="22"/>
                <w:lang w:val="es-UY"/>
              </w:rPr>
              <w:t xml:space="preserve">, in general, </w:t>
            </w:r>
            <w:proofErr w:type="spellStart"/>
            <w:r>
              <w:rPr>
                <w:rFonts w:ascii="Times New Roman" w:hAnsi="Times New Roman" w:cs="Times New Roman"/>
                <w:sz w:val="22"/>
                <w:lang w:val="es-UY"/>
              </w:rPr>
              <w:t>by</w:t>
            </w:r>
            <w:proofErr w:type="spellEnd"/>
            <w:r>
              <w:rPr>
                <w:rFonts w:ascii="Times New Roman" w:hAnsi="Times New Roman" w:cs="Times New Roman"/>
                <w:sz w:val="22"/>
                <w:lang w:val="es-UY"/>
              </w:rPr>
              <w:t xml:space="preserve"> </w:t>
            </w:r>
            <w:proofErr w:type="spellStart"/>
            <w:r>
              <w:rPr>
                <w:rFonts w:ascii="Times New Roman" w:hAnsi="Times New Roman" w:cs="Times New Roman"/>
                <w:sz w:val="22"/>
                <w:lang w:val="es-UY"/>
              </w:rPr>
              <w:t>current</w:t>
            </w:r>
            <w:proofErr w:type="spellEnd"/>
            <w:r>
              <w:rPr>
                <w:rFonts w:ascii="Times New Roman" w:hAnsi="Times New Roman" w:cs="Times New Roman"/>
                <w:sz w:val="22"/>
                <w:lang w:val="es-UY"/>
              </w:rPr>
              <w:t xml:space="preserve"> </w:t>
            </w:r>
            <w:proofErr w:type="spellStart"/>
            <w:r>
              <w:rPr>
                <w:rFonts w:ascii="Times New Roman" w:hAnsi="Times New Roman" w:cs="Times New Roman"/>
                <w:sz w:val="22"/>
                <w:lang w:val="es-UY"/>
              </w:rPr>
              <w:t>regulations</w:t>
            </w:r>
            <w:proofErr w:type="spellEnd"/>
            <w:r>
              <w:rPr>
                <w:rFonts w:ascii="Times New Roman" w:hAnsi="Times New Roman" w:cs="Times New Roman"/>
                <w:sz w:val="22"/>
                <w:lang w:val="es-UY"/>
              </w:rPr>
              <w:t xml:space="preserve"> and </w:t>
            </w:r>
            <w:proofErr w:type="spellStart"/>
            <w:r>
              <w:rPr>
                <w:rFonts w:ascii="Times New Roman" w:hAnsi="Times New Roman" w:cs="Times New Roman"/>
                <w:sz w:val="22"/>
                <w:lang w:val="es-UY"/>
              </w:rPr>
              <w:t>the</w:t>
            </w:r>
            <w:proofErr w:type="spellEnd"/>
            <w:r>
              <w:rPr>
                <w:rFonts w:ascii="Times New Roman" w:hAnsi="Times New Roman" w:cs="Times New Roman"/>
                <w:sz w:val="22"/>
                <w:lang w:val="es-UY"/>
              </w:rPr>
              <w:t xml:space="preserve"> Information Security Policy </w:t>
            </w:r>
            <w:proofErr w:type="spellStart"/>
            <w:r>
              <w:rPr>
                <w:rFonts w:ascii="Times New Roman" w:hAnsi="Times New Roman" w:cs="Times New Roman"/>
                <w:sz w:val="22"/>
                <w:lang w:val="es-UY"/>
              </w:rPr>
              <w:t>of</w:t>
            </w:r>
            <w:proofErr w:type="spellEnd"/>
            <w:r>
              <w:rPr>
                <w:rFonts w:ascii="Times New Roman" w:hAnsi="Times New Roman" w:cs="Times New Roman"/>
                <w:sz w:val="22"/>
                <w:lang w:val="es-UY"/>
              </w:rPr>
              <w:t xml:space="preserve"> </w:t>
            </w:r>
            <w:proofErr w:type="spellStart"/>
            <w:r>
              <w:rPr>
                <w:rFonts w:ascii="Times New Roman" w:hAnsi="Times New Roman" w:cs="Times New Roman"/>
                <w:sz w:val="22"/>
                <w:lang w:val="es-UY"/>
              </w:rPr>
              <w:t>the</w:t>
            </w:r>
            <w:proofErr w:type="spellEnd"/>
            <w:r>
              <w:rPr>
                <w:rFonts w:ascii="Times New Roman" w:hAnsi="Times New Roman" w:cs="Times New Roman"/>
                <w:sz w:val="22"/>
                <w:lang w:val="es-UY"/>
              </w:rPr>
              <w:t xml:space="preserve"> State </w:t>
            </w:r>
            <w:proofErr w:type="spellStart"/>
            <w:r>
              <w:rPr>
                <w:rFonts w:ascii="Times New Roman" w:hAnsi="Times New Roman" w:cs="Times New Roman"/>
                <w:sz w:val="22"/>
                <w:lang w:val="es-UY"/>
              </w:rPr>
              <w:t>Waterworks</w:t>
            </w:r>
            <w:proofErr w:type="spellEnd"/>
            <w:r>
              <w:rPr>
                <w:rFonts w:ascii="Times New Roman" w:hAnsi="Times New Roman" w:cs="Times New Roman"/>
                <w:sz w:val="22"/>
                <w:lang w:val="es-UY"/>
              </w:rPr>
              <w:t xml:space="preserve"> </w:t>
            </w:r>
            <w:proofErr w:type="spellStart"/>
            <w:r>
              <w:rPr>
                <w:rFonts w:ascii="Times New Roman" w:hAnsi="Times New Roman" w:cs="Times New Roman"/>
                <w:sz w:val="22"/>
                <w:lang w:val="es-UY"/>
              </w:rPr>
              <w:t>Administration</w:t>
            </w:r>
            <w:proofErr w:type="spellEnd"/>
            <w:r>
              <w:rPr>
                <w:rFonts w:ascii="Times New Roman" w:hAnsi="Times New Roman" w:cs="Times New Roman"/>
                <w:sz w:val="22"/>
                <w:lang w:val="es-UY"/>
              </w:rPr>
              <w:t xml:space="preserve"> (OSE) and in particular, </w:t>
            </w:r>
            <w:proofErr w:type="spellStart"/>
            <w:r>
              <w:rPr>
                <w:rFonts w:ascii="Times New Roman" w:hAnsi="Times New Roman" w:cs="Times New Roman"/>
                <w:sz w:val="22"/>
                <w:lang w:val="es-UY"/>
              </w:rPr>
              <w:t>by</w:t>
            </w:r>
            <w:proofErr w:type="spellEnd"/>
            <w:r>
              <w:rPr>
                <w:rFonts w:ascii="Times New Roman" w:hAnsi="Times New Roman" w:cs="Times New Roman"/>
                <w:sz w:val="22"/>
                <w:lang w:val="es-UY"/>
              </w:rPr>
              <w:t xml:space="preserve"> </w:t>
            </w:r>
            <w:proofErr w:type="spellStart"/>
            <w:r>
              <w:rPr>
                <w:rFonts w:ascii="Times New Roman" w:hAnsi="Times New Roman" w:cs="Times New Roman"/>
                <w:sz w:val="22"/>
                <w:lang w:val="es-UY"/>
              </w:rPr>
              <w:t>the</w:t>
            </w:r>
            <w:proofErr w:type="spellEnd"/>
            <w:r>
              <w:rPr>
                <w:rFonts w:ascii="Times New Roman" w:hAnsi="Times New Roman" w:cs="Times New Roman"/>
                <w:sz w:val="22"/>
                <w:lang w:val="es-UY"/>
              </w:rPr>
              <w:t xml:space="preserve"> </w:t>
            </w:r>
            <w:proofErr w:type="spellStart"/>
            <w:r>
              <w:rPr>
                <w:rFonts w:ascii="Times New Roman" w:hAnsi="Times New Roman" w:cs="Times New Roman"/>
                <w:sz w:val="22"/>
                <w:lang w:val="es-UY"/>
              </w:rPr>
              <w:t>following</w:t>
            </w:r>
            <w:proofErr w:type="spellEnd"/>
            <w:r>
              <w:rPr>
                <w:rFonts w:ascii="Times New Roman" w:hAnsi="Times New Roman" w:cs="Times New Roman"/>
                <w:sz w:val="22"/>
                <w:lang w:val="es-UY"/>
              </w:rPr>
              <w:t xml:space="preserve"> </w:t>
            </w:r>
            <w:proofErr w:type="spellStart"/>
            <w:r>
              <w:rPr>
                <w:rFonts w:ascii="Times New Roman" w:hAnsi="Times New Roman" w:cs="Times New Roman"/>
                <w:sz w:val="22"/>
                <w:lang w:val="es-UY"/>
              </w:rPr>
              <w:t>stipulations</w:t>
            </w:r>
            <w:proofErr w:type="spellEnd"/>
            <w:r>
              <w:rPr>
                <w:rFonts w:ascii="Times New Roman" w:hAnsi="Times New Roman" w:cs="Times New Roman"/>
                <w:sz w:val="22"/>
                <w:lang w:val="es-UY"/>
              </w:rPr>
              <w:t>:</w:t>
            </w:r>
          </w:p>
          <w:p w14:paraId="1BDCF3D9" w14:textId="77777777" w:rsidR="00E255F4" w:rsidRDefault="00000000">
            <w:pPr>
              <w:pStyle w:val="Default"/>
              <w:widowControl w:val="0"/>
              <w:spacing w:line="360" w:lineRule="auto"/>
              <w:contextualSpacing/>
              <w:rPr>
                <w:rFonts w:ascii="Times New Roman" w:hAnsi="Times New Roman" w:cs="Times New Roman"/>
                <w:b/>
                <w:sz w:val="22"/>
                <w:lang w:val="es-UY"/>
              </w:rPr>
            </w:pPr>
            <w:r>
              <w:rPr>
                <w:rFonts w:ascii="Times New Roman" w:hAnsi="Times New Roman" w:cs="Times New Roman"/>
                <w:b/>
                <w:sz w:val="22"/>
                <w:lang w:val="es-UY"/>
              </w:rPr>
              <w:t>FIRST: SCOPE OF THE COMMITMENT.</w:t>
            </w:r>
          </w:p>
          <w:p w14:paraId="06837F9C" w14:textId="77777777" w:rsidR="00E255F4" w:rsidRDefault="00000000">
            <w:pPr>
              <w:widowControl w:val="0"/>
              <w:autoSpaceDE w:val="0"/>
              <w:spacing w:line="360" w:lineRule="auto"/>
              <w:contextualSpacing/>
              <w:rPr>
                <w:sz w:val="22"/>
                <w:szCs w:val="22"/>
                <w:lang w:eastAsia="es-UY"/>
              </w:rPr>
            </w:pPr>
            <w:proofErr w:type="spellStart"/>
            <w:r>
              <w:rPr>
                <w:sz w:val="22"/>
                <w:szCs w:val="22"/>
                <w:lang w:eastAsia="es-UY"/>
              </w:rPr>
              <w:t>Unless</w:t>
            </w:r>
            <w:proofErr w:type="spellEnd"/>
            <w:r>
              <w:rPr>
                <w:sz w:val="22"/>
                <w:szCs w:val="22"/>
                <w:lang w:eastAsia="es-UY"/>
              </w:rPr>
              <w:t xml:space="preserve"> </w:t>
            </w:r>
            <w:proofErr w:type="spellStart"/>
            <w:r>
              <w:rPr>
                <w:sz w:val="22"/>
                <w:szCs w:val="22"/>
                <w:lang w:eastAsia="es-UY"/>
              </w:rPr>
              <w:t>otherwise</w:t>
            </w:r>
            <w:proofErr w:type="spellEnd"/>
            <w:r>
              <w:rPr>
                <w:sz w:val="22"/>
                <w:szCs w:val="22"/>
                <w:lang w:eastAsia="es-UY"/>
              </w:rPr>
              <w:t xml:space="preserve"> </w:t>
            </w:r>
            <w:proofErr w:type="spellStart"/>
            <w:r>
              <w:rPr>
                <w:sz w:val="22"/>
                <w:szCs w:val="22"/>
                <w:lang w:eastAsia="es-UY"/>
              </w:rPr>
              <w:t>indicated</w:t>
            </w:r>
            <w:proofErr w:type="spellEnd"/>
            <w:r>
              <w:rPr>
                <w:sz w:val="22"/>
                <w:szCs w:val="22"/>
                <w:lang w:eastAsia="es-UY"/>
              </w:rPr>
              <w:t xml:space="preserve">, </w:t>
            </w:r>
            <w:proofErr w:type="spellStart"/>
            <w:r>
              <w:rPr>
                <w:sz w:val="22"/>
                <w:szCs w:val="22"/>
                <w:lang w:eastAsia="es-UY"/>
              </w:rPr>
              <w:t>any</w:t>
            </w:r>
            <w:proofErr w:type="spellEnd"/>
            <w:r>
              <w:rPr>
                <w:sz w:val="22"/>
                <w:szCs w:val="22"/>
                <w:lang w:eastAsia="es-UY"/>
              </w:rPr>
              <w:t xml:space="preserve"> </w:t>
            </w:r>
            <w:proofErr w:type="spellStart"/>
            <w:r>
              <w:rPr>
                <w:sz w:val="22"/>
                <w:szCs w:val="22"/>
                <w:lang w:eastAsia="es-UY"/>
              </w:rPr>
              <w:t>information</w:t>
            </w:r>
            <w:proofErr w:type="spellEnd"/>
            <w:r>
              <w:rPr>
                <w:sz w:val="22"/>
                <w:szCs w:val="22"/>
                <w:lang w:eastAsia="es-UY"/>
              </w:rPr>
              <w:t xml:space="preserve">, </w:t>
            </w:r>
            <w:proofErr w:type="spellStart"/>
            <w:r>
              <w:rPr>
                <w:sz w:val="22"/>
                <w:szCs w:val="22"/>
                <w:lang w:eastAsia="es-UY"/>
              </w:rPr>
              <w:t>whatever</w:t>
            </w:r>
            <w:proofErr w:type="spellEnd"/>
            <w:r>
              <w:rPr>
                <w:sz w:val="22"/>
                <w:szCs w:val="22"/>
                <w:lang w:eastAsia="es-UY"/>
              </w:rPr>
              <w:t xml:space="preserve"> </w:t>
            </w:r>
            <w:proofErr w:type="spellStart"/>
            <w:r>
              <w:rPr>
                <w:sz w:val="22"/>
                <w:szCs w:val="22"/>
                <w:lang w:eastAsia="es-UY"/>
              </w:rPr>
              <w:t>its</w:t>
            </w:r>
            <w:proofErr w:type="spellEnd"/>
            <w:r>
              <w:rPr>
                <w:sz w:val="22"/>
                <w:szCs w:val="22"/>
                <w:lang w:eastAsia="es-UY"/>
              </w:rPr>
              <w:t xml:space="preserve"> </w:t>
            </w:r>
            <w:proofErr w:type="spellStart"/>
            <w:r>
              <w:rPr>
                <w:sz w:val="22"/>
                <w:szCs w:val="22"/>
                <w:lang w:eastAsia="es-UY"/>
              </w:rPr>
              <w:t>nature</w:t>
            </w:r>
            <w:proofErr w:type="spellEnd"/>
            <w:r>
              <w:rPr>
                <w:sz w:val="22"/>
                <w:szCs w:val="22"/>
                <w:lang w:eastAsia="es-UY"/>
              </w:rPr>
              <w:t xml:space="preserve">, </w:t>
            </w:r>
            <w:proofErr w:type="spellStart"/>
            <w:r>
              <w:rPr>
                <w:sz w:val="22"/>
                <w:szCs w:val="22"/>
                <w:lang w:eastAsia="es-UY"/>
              </w:rPr>
              <w:t>contained</w:t>
            </w:r>
            <w:proofErr w:type="spellEnd"/>
            <w:r>
              <w:rPr>
                <w:sz w:val="22"/>
                <w:szCs w:val="22"/>
                <w:lang w:eastAsia="es-UY"/>
              </w:rPr>
              <w:t xml:space="preserve"> in </w:t>
            </w:r>
            <w:proofErr w:type="spellStart"/>
            <w:r>
              <w:rPr>
                <w:sz w:val="22"/>
                <w:szCs w:val="22"/>
                <w:lang w:eastAsia="es-UY"/>
              </w:rPr>
              <w:t>any</w:t>
            </w:r>
            <w:proofErr w:type="spellEnd"/>
            <w:r>
              <w:rPr>
                <w:sz w:val="22"/>
                <w:szCs w:val="22"/>
                <w:lang w:eastAsia="es-UY"/>
              </w:rPr>
              <w:t xml:space="preserve"> </w:t>
            </w:r>
            <w:proofErr w:type="spellStart"/>
            <w:r>
              <w:rPr>
                <w:sz w:val="22"/>
                <w:szCs w:val="22"/>
                <w:lang w:eastAsia="es-UY"/>
              </w:rPr>
              <w:t>form</w:t>
            </w:r>
            <w:proofErr w:type="spellEnd"/>
            <w:r>
              <w:rPr>
                <w:sz w:val="22"/>
                <w:szCs w:val="22"/>
                <w:lang w:eastAsia="es-UY"/>
              </w:rPr>
              <w:t xml:space="preserve"> </w:t>
            </w:r>
            <w:proofErr w:type="spellStart"/>
            <w:r>
              <w:rPr>
                <w:sz w:val="22"/>
                <w:szCs w:val="22"/>
                <w:lang w:eastAsia="es-UY"/>
              </w:rPr>
              <w:t>or</w:t>
            </w:r>
            <w:proofErr w:type="spellEnd"/>
            <w:r>
              <w:rPr>
                <w:sz w:val="22"/>
                <w:szCs w:val="22"/>
                <w:lang w:eastAsia="es-UY"/>
              </w:rPr>
              <w:t xml:space="preserve"> </w:t>
            </w:r>
            <w:proofErr w:type="spellStart"/>
            <w:r>
              <w:rPr>
                <w:sz w:val="22"/>
                <w:szCs w:val="22"/>
                <w:lang w:eastAsia="es-UY"/>
              </w:rPr>
              <w:t>medium</w:t>
            </w:r>
            <w:proofErr w:type="spellEnd"/>
            <w:r>
              <w:rPr>
                <w:sz w:val="22"/>
                <w:szCs w:val="22"/>
                <w:lang w:eastAsia="es-UY"/>
              </w:rPr>
              <w:t xml:space="preserve">, </w:t>
            </w:r>
            <w:proofErr w:type="spellStart"/>
            <w:r>
              <w:rPr>
                <w:sz w:val="22"/>
                <w:szCs w:val="22"/>
                <w:lang w:eastAsia="es-UY"/>
              </w:rPr>
              <w:t>that</w:t>
            </w:r>
            <w:proofErr w:type="spellEnd"/>
            <w:r>
              <w:rPr>
                <w:sz w:val="22"/>
                <w:szCs w:val="22"/>
                <w:lang w:eastAsia="es-UY"/>
              </w:rPr>
              <w:t xml:space="preserve"> </w:t>
            </w:r>
            <w:proofErr w:type="spellStart"/>
            <w:r>
              <w:rPr>
                <w:sz w:val="22"/>
                <w:szCs w:val="22"/>
                <w:lang w:eastAsia="es-UY"/>
              </w:rPr>
              <w:t>may</w:t>
            </w:r>
            <w:proofErr w:type="spellEnd"/>
            <w:r>
              <w:rPr>
                <w:sz w:val="22"/>
                <w:szCs w:val="22"/>
                <w:lang w:eastAsia="es-UY"/>
              </w:rPr>
              <w:t xml:space="preserve"> be </w:t>
            </w:r>
            <w:proofErr w:type="spellStart"/>
            <w:r>
              <w:rPr>
                <w:sz w:val="22"/>
                <w:szCs w:val="22"/>
                <w:lang w:eastAsia="es-UY"/>
              </w:rPr>
              <w:t>provided</w:t>
            </w:r>
            <w:proofErr w:type="spellEnd"/>
            <w:r>
              <w:rPr>
                <w:sz w:val="22"/>
                <w:szCs w:val="22"/>
                <w:lang w:eastAsia="es-UY"/>
              </w:rPr>
              <w:t xml:space="preserve"> </w:t>
            </w:r>
            <w:proofErr w:type="spellStart"/>
            <w:r>
              <w:rPr>
                <w:sz w:val="22"/>
                <w:szCs w:val="22"/>
                <w:lang w:eastAsia="es-UY"/>
              </w:rPr>
              <w:t>by</w:t>
            </w:r>
            <w:proofErr w:type="spellEnd"/>
            <w:r>
              <w:rPr>
                <w:sz w:val="22"/>
                <w:szCs w:val="22"/>
                <w:lang w:eastAsia="es-UY"/>
              </w:rPr>
              <w:t xml:space="preserve"> OSE, </w:t>
            </w:r>
            <w:proofErr w:type="spellStart"/>
            <w:r>
              <w:rPr>
                <w:sz w:val="22"/>
                <w:szCs w:val="22"/>
                <w:lang w:eastAsia="es-UY"/>
              </w:rPr>
              <w:t>including</w:t>
            </w:r>
            <w:proofErr w:type="spellEnd"/>
            <w:r>
              <w:rPr>
                <w:sz w:val="22"/>
                <w:szCs w:val="22"/>
                <w:lang w:eastAsia="es-UY"/>
              </w:rPr>
              <w:t xml:space="preserve"> </w:t>
            </w:r>
            <w:proofErr w:type="spellStart"/>
            <w:r>
              <w:rPr>
                <w:sz w:val="22"/>
                <w:szCs w:val="22"/>
                <w:lang w:eastAsia="es-UY"/>
              </w:rPr>
              <w:t>information</w:t>
            </w:r>
            <w:proofErr w:type="spellEnd"/>
            <w:r>
              <w:rPr>
                <w:sz w:val="22"/>
                <w:szCs w:val="22"/>
                <w:lang w:eastAsia="es-UY"/>
              </w:rPr>
              <w:t xml:space="preserve"> </w:t>
            </w:r>
            <w:proofErr w:type="spellStart"/>
            <w:r>
              <w:rPr>
                <w:sz w:val="22"/>
                <w:szCs w:val="22"/>
                <w:lang w:eastAsia="es-UY"/>
              </w:rPr>
              <w:t>generated</w:t>
            </w:r>
            <w:proofErr w:type="spellEnd"/>
            <w:r>
              <w:rPr>
                <w:sz w:val="22"/>
                <w:szCs w:val="22"/>
                <w:lang w:eastAsia="es-UY"/>
              </w:rPr>
              <w:t xml:space="preserve"> </w:t>
            </w:r>
            <w:proofErr w:type="spellStart"/>
            <w:r>
              <w:rPr>
                <w:sz w:val="22"/>
                <w:szCs w:val="22"/>
                <w:lang w:eastAsia="es-UY"/>
              </w:rPr>
              <w:t>from</w:t>
            </w:r>
            <w:proofErr w:type="spellEnd"/>
            <w:r>
              <w:rPr>
                <w:sz w:val="22"/>
                <w:szCs w:val="22"/>
                <w:lang w:eastAsia="es-UY"/>
              </w:rPr>
              <w:t xml:space="preserve"> </w:t>
            </w:r>
            <w:proofErr w:type="spellStart"/>
            <w:r>
              <w:rPr>
                <w:sz w:val="22"/>
                <w:szCs w:val="22"/>
                <w:lang w:eastAsia="es-UY"/>
              </w:rPr>
              <w:t>the</w:t>
            </w:r>
            <w:proofErr w:type="spellEnd"/>
            <w:r>
              <w:rPr>
                <w:sz w:val="22"/>
                <w:szCs w:val="22"/>
                <w:lang w:eastAsia="es-UY"/>
              </w:rPr>
              <w:t xml:space="preserve"> Confidential Information </w:t>
            </w:r>
            <w:proofErr w:type="spellStart"/>
            <w:r>
              <w:rPr>
                <w:sz w:val="22"/>
                <w:szCs w:val="22"/>
                <w:lang w:eastAsia="es-UY"/>
              </w:rPr>
              <w:t>itself</w:t>
            </w:r>
            <w:proofErr w:type="spellEnd"/>
            <w:r>
              <w:rPr>
                <w:sz w:val="22"/>
                <w:szCs w:val="22"/>
                <w:lang w:eastAsia="es-UY"/>
              </w:rPr>
              <w:t xml:space="preserve">, </w:t>
            </w:r>
            <w:proofErr w:type="spellStart"/>
            <w:r>
              <w:rPr>
                <w:sz w:val="22"/>
                <w:szCs w:val="22"/>
                <w:lang w:eastAsia="es-UY"/>
              </w:rPr>
              <w:t>will</w:t>
            </w:r>
            <w:proofErr w:type="spellEnd"/>
            <w:r>
              <w:rPr>
                <w:sz w:val="22"/>
                <w:szCs w:val="22"/>
                <w:lang w:eastAsia="es-UY"/>
              </w:rPr>
              <w:t xml:space="preserve"> be </w:t>
            </w:r>
            <w:proofErr w:type="spellStart"/>
            <w:r>
              <w:rPr>
                <w:sz w:val="22"/>
                <w:szCs w:val="22"/>
                <w:lang w:eastAsia="es-UY"/>
              </w:rPr>
              <w:t>considered</w:t>
            </w:r>
            <w:proofErr w:type="spellEnd"/>
            <w:r>
              <w:rPr>
                <w:sz w:val="22"/>
                <w:szCs w:val="22"/>
                <w:lang w:eastAsia="es-UY"/>
              </w:rPr>
              <w:t xml:space="preserve"> “Confidential Information in a </w:t>
            </w:r>
            <w:proofErr w:type="spellStart"/>
            <w:r>
              <w:rPr>
                <w:sz w:val="22"/>
                <w:szCs w:val="22"/>
                <w:lang w:eastAsia="es-UY"/>
              </w:rPr>
              <w:t>broad</w:t>
            </w:r>
            <w:proofErr w:type="spellEnd"/>
            <w:r>
              <w:rPr>
                <w:sz w:val="22"/>
                <w:szCs w:val="22"/>
                <w:lang w:eastAsia="es-UY"/>
              </w:rPr>
              <w:t xml:space="preserve"> </w:t>
            </w:r>
            <w:proofErr w:type="spellStart"/>
            <w:r>
              <w:rPr>
                <w:sz w:val="22"/>
                <w:szCs w:val="22"/>
                <w:lang w:eastAsia="es-UY"/>
              </w:rPr>
              <w:t>sense</w:t>
            </w:r>
            <w:proofErr w:type="spellEnd"/>
            <w:r>
              <w:rPr>
                <w:sz w:val="22"/>
                <w:szCs w:val="22"/>
                <w:lang w:eastAsia="es-UY"/>
              </w:rPr>
              <w:t>.</w:t>
            </w:r>
          </w:p>
          <w:p w14:paraId="7DC34ADA" w14:textId="77777777" w:rsidR="00E255F4" w:rsidRDefault="00000000">
            <w:pPr>
              <w:pStyle w:val="Default"/>
              <w:widowControl w:val="0"/>
              <w:spacing w:line="360" w:lineRule="auto"/>
              <w:contextualSpacing/>
            </w:pPr>
            <w:r>
              <w:rPr>
                <w:rFonts w:ascii="Times New Roman" w:hAnsi="Times New Roman" w:cs="Times New Roman"/>
                <w:sz w:val="22"/>
                <w:lang w:val="es-UY"/>
              </w:rPr>
              <w:t xml:space="preserve">2.-This </w:t>
            </w:r>
            <w:proofErr w:type="spellStart"/>
            <w:r>
              <w:rPr>
                <w:rFonts w:ascii="Times New Roman" w:hAnsi="Times New Roman" w:cs="Times New Roman"/>
                <w:sz w:val="22"/>
                <w:lang w:val="es-UY"/>
              </w:rPr>
              <w:t>Commitment</w:t>
            </w:r>
            <w:proofErr w:type="spellEnd"/>
            <w:r>
              <w:rPr>
                <w:rFonts w:ascii="Times New Roman" w:hAnsi="Times New Roman" w:cs="Times New Roman"/>
                <w:sz w:val="22"/>
                <w:lang w:val="es-UY"/>
              </w:rPr>
              <w:t xml:space="preserve"> </w:t>
            </w:r>
            <w:proofErr w:type="spellStart"/>
            <w:r>
              <w:rPr>
                <w:rFonts w:ascii="Times New Roman" w:hAnsi="Times New Roman" w:cs="Times New Roman"/>
                <w:sz w:val="22"/>
                <w:lang w:val="es-UY"/>
              </w:rPr>
              <w:t>will</w:t>
            </w:r>
            <w:proofErr w:type="spellEnd"/>
            <w:r>
              <w:rPr>
                <w:rFonts w:ascii="Times New Roman" w:hAnsi="Times New Roman" w:cs="Times New Roman"/>
                <w:sz w:val="22"/>
                <w:lang w:val="es-UY"/>
              </w:rPr>
              <w:t xml:space="preserve"> </w:t>
            </w:r>
            <w:proofErr w:type="spellStart"/>
            <w:r>
              <w:rPr>
                <w:rFonts w:ascii="Times New Roman" w:hAnsi="Times New Roman" w:cs="Times New Roman"/>
                <w:sz w:val="22"/>
                <w:lang w:val="es-UY"/>
              </w:rPr>
              <w:t>not</w:t>
            </w:r>
            <w:proofErr w:type="spellEnd"/>
            <w:r>
              <w:rPr>
                <w:rFonts w:ascii="Times New Roman" w:hAnsi="Times New Roman" w:cs="Times New Roman"/>
                <w:sz w:val="22"/>
                <w:lang w:val="es-UY"/>
              </w:rPr>
              <w:t xml:space="preserve"> </w:t>
            </w:r>
            <w:proofErr w:type="spellStart"/>
            <w:r>
              <w:rPr>
                <w:rFonts w:ascii="Times New Roman" w:hAnsi="Times New Roman" w:cs="Times New Roman"/>
                <w:sz w:val="22"/>
                <w:lang w:val="es-UY"/>
              </w:rPr>
              <w:t>cover</w:t>
            </w:r>
            <w:proofErr w:type="spellEnd"/>
            <w:r>
              <w:rPr>
                <w:rFonts w:ascii="Times New Roman" w:hAnsi="Times New Roman" w:cs="Times New Roman"/>
                <w:sz w:val="22"/>
                <w:lang w:val="es-UY"/>
              </w:rPr>
              <w:t xml:space="preserve"> </w:t>
            </w:r>
            <w:proofErr w:type="spellStart"/>
            <w:r>
              <w:rPr>
                <w:rFonts w:ascii="Times New Roman" w:hAnsi="Times New Roman" w:cs="Times New Roman"/>
                <w:sz w:val="22"/>
                <w:lang w:val="es-UY"/>
              </w:rPr>
              <w:t>confidential</w:t>
            </w:r>
            <w:proofErr w:type="spellEnd"/>
            <w:r>
              <w:rPr>
                <w:rFonts w:ascii="Times New Roman" w:hAnsi="Times New Roman" w:cs="Times New Roman"/>
                <w:sz w:val="22"/>
                <w:lang w:val="es-UY"/>
              </w:rPr>
              <w:t xml:space="preserve"> </w:t>
            </w:r>
            <w:proofErr w:type="spellStart"/>
            <w:r>
              <w:rPr>
                <w:rFonts w:ascii="Times New Roman" w:hAnsi="Times New Roman" w:cs="Times New Roman"/>
                <w:sz w:val="22"/>
                <w:lang w:val="es-UY"/>
              </w:rPr>
              <w:t>information</w:t>
            </w:r>
            <w:proofErr w:type="spellEnd"/>
            <w:r>
              <w:rPr>
                <w:rFonts w:ascii="Times New Roman" w:hAnsi="Times New Roman" w:cs="Times New Roman"/>
                <w:sz w:val="22"/>
                <w:lang w:val="es-UY"/>
              </w:rPr>
              <w:t xml:space="preserve"> </w:t>
            </w:r>
            <w:proofErr w:type="spellStart"/>
            <w:r>
              <w:rPr>
                <w:rFonts w:ascii="Times New Roman" w:hAnsi="Times New Roman" w:cs="Times New Roman"/>
                <w:sz w:val="22"/>
                <w:lang w:val="es-UY"/>
              </w:rPr>
              <w:t>that</w:t>
            </w:r>
            <w:proofErr w:type="spellEnd"/>
            <w:r>
              <w:rPr>
                <w:rFonts w:ascii="Times New Roman" w:hAnsi="Times New Roman" w:cs="Times New Roman"/>
                <w:sz w:val="22"/>
                <w:lang w:val="es-UY"/>
              </w:rPr>
              <w:t>:</w:t>
            </w:r>
          </w:p>
          <w:p w14:paraId="481B7C77" w14:textId="77777777" w:rsidR="00E255F4" w:rsidRDefault="00000000">
            <w:pPr>
              <w:pStyle w:val="Default"/>
              <w:widowControl w:val="0"/>
              <w:numPr>
                <w:ilvl w:val="0"/>
                <w:numId w:val="20"/>
              </w:numPr>
              <w:spacing w:line="360" w:lineRule="auto"/>
              <w:ind w:left="720" w:hanging="720"/>
              <w:contextualSpacing/>
              <w:jc w:val="both"/>
              <w:rPr>
                <w:rFonts w:ascii="Times New Roman" w:hAnsi="Times New Roman" w:cs="Times New Roman"/>
                <w:sz w:val="22"/>
                <w:lang w:val="es-UY"/>
              </w:rPr>
            </w:pPr>
            <w:r>
              <w:rPr>
                <w:rFonts w:ascii="Times New Roman" w:hAnsi="Times New Roman" w:cs="Times New Roman"/>
                <w:sz w:val="22"/>
                <w:lang w:val="es-UY"/>
              </w:rPr>
              <w:t xml:space="preserve">a) </w:t>
            </w:r>
            <w:proofErr w:type="spellStart"/>
            <w:r>
              <w:rPr>
                <w:rFonts w:ascii="Times New Roman" w:hAnsi="Times New Roman" w:cs="Times New Roman"/>
                <w:sz w:val="22"/>
                <w:lang w:val="es-UY"/>
              </w:rPr>
              <w:t>outside</w:t>
            </w:r>
            <w:proofErr w:type="spellEnd"/>
            <w:r>
              <w:rPr>
                <w:rFonts w:ascii="Times New Roman" w:hAnsi="Times New Roman" w:cs="Times New Roman"/>
                <w:sz w:val="22"/>
                <w:lang w:val="es-UY"/>
              </w:rPr>
              <w:t xml:space="preserve"> </w:t>
            </w:r>
            <w:proofErr w:type="spellStart"/>
            <w:r>
              <w:rPr>
                <w:rFonts w:ascii="Times New Roman" w:hAnsi="Times New Roman" w:cs="Times New Roman"/>
                <w:sz w:val="22"/>
                <w:lang w:val="es-UY"/>
              </w:rPr>
              <w:t>the</w:t>
            </w:r>
            <w:proofErr w:type="spellEnd"/>
            <w:r>
              <w:rPr>
                <w:rFonts w:ascii="Times New Roman" w:hAnsi="Times New Roman" w:cs="Times New Roman"/>
                <w:sz w:val="22"/>
                <w:lang w:val="es-UY"/>
              </w:rPr>
              <w:t xml:space="preserve"> </w:t>
            </w:r>
            <w:proofErr w:type="spellStart"/>
            <w:r>
              <w:rPr>
                <w:rFonts w:ascii="Times New Roman" w:hAnsi="Times New Roman" w:cs="Times New Roman"/>
                <w:sz w:val="22"/>
                <w:lang w:val="es-UY"/>
              </w:rPr>
              <w:t>public</w:t>
            </w:r>
            <w:proofErr w:type="spellEnd"/>
            <w:r>
              <w:rPr>
                <w:rFonts w:ascii="Times New Roman" w:hAnsi="Times New Roman" w:cs="Times New Roman"/>
                <w:sz w:val="22"/>
                <w:lang w:val="es-UY"/>
              </w:rPr>
              <w:t xml:space="preserve"> </w:t>
            </w:r>
            <w:proofErr w:type="spellStart"/>
            <w:r>
              <w:rPr>
                <w:rFonts w:ascii="Times New Roman" w:hAnsi="Times New Roman" w:cs="Times New Roman"/>
                <w:sz w:val="22"/>
                <w:lang w:val="es-UY"/>
              </w:rPr>
              <w:t>domain</w:t>
            </w:r>
            <w:proofErr w:type="spellEnd"/>
            <w:r>
              <w:rPr>
                <w:rFonts w:ascii="Times New Roman" w:hAnsi="Times New Roman" w:cs="Times New Roman"/>
                <w:sz w:val="22"/>
                <w:lang w:val="es-UY"/>
              </w:rPr>
              <w:t xml:space="preserve"> </w:t>
            </w:r>
            <w:proofErr w:type="spellStart"/>
            <w:r>
              <w:rPr>
                <w:rFonts w:ascii="Times New Roman" w:hAnsi="Times New Roman" w:cs="Times New Roman"/>
                <w:sz w:val="22"/>
                <w:lang w:val="es-UY"/>
              </w:rPr>
              <w:t>or</w:t>
            </w:r>
            <w:proofErr w:type="spellEnd"/>
            <w:r>
              <w:rPr>
                <w:rFonts w:ascii="Times New Roman" w:hAnsi="Times New Roman" w:cs="Times New Roman"/>
                <w:sz w:val="22"/>
                <w:lang w:val="es-UY"/>
              </w:rPr>
              <w:t xml:space="preserve"> </w:t>
            </w:r>
            <w:proofErr w:type="spellStart"/>
            <w:r>
              <w:rPr>
                <w:rFonts w:ascii="Times New Roman" w:hAnsi="Times New Roman" w:cs="Times New Roman"/>
                <w:sz w:val="22"/>
                <w:lang w:val="es-UY"/>
              </w:rPr>
              <w:t>enter</w:t>
            </w:r>
            <w:proofErr w:type="spellEnd"/>
            <w:r>
              <w:rPr>
                <w:rFonts w:ascii="Times New Roman" w:hAnsi="Times New Roman" w:cs="Times New Roman"/>
                <w:sz w:val="22"/>
                <w:lang w:val="es-UY"/>
              </w:rPr>
              <w:t xml:space="preserve"> </w:t>
            </w:r>
            <w:proofErr w:type="spellStart"/>
            <w:r>
              <w:rPr>
                <w:rFonts w:ascii="Times New Roman" w:hAnsi="Times New Roman" w:cs="Times New Roman"/>
                <w:sz w:val="22"/>
                <w:lang w:val="es-UY"/>
              </w:rPr>
              <w:t>the</w:t>
            </w:r>
            <w:proofErr w:type="spellEnd"/>
            <w:r>
              <w:rPr>
                <w:rFonts w:ascii="Times New Roman" w:hAnsi="Times New Roman" w:cs="Times New Roman"/>
                <w:sz w:val="22"/>
                <w:lang w:val="es-UY"/>
              </w:rPr>
              <w:t xml:space="preserve"> </w:t>
            </w:r>
            <w:proofErr w:type="spellStart"/>
            <w:r>
              <w:rPr>
                <w:rFonts w:ascii="Times New Roman" w:hAnsi="Times New Roman" w:cs="Times New Roman"/>
                <w:sz w:val="22"/>
                <w:lang w:val="es-UY"/>
              </w:rPr>
              <w:t>public</w:t>
            </w:r>
            <w:proofErr w:type="spellEnd"/>
            <w:r>
              <w:rPr>
                <w:rFonts w:ascii="Times New Roman" w:hAnsi="Times New Roman" w:cs="Times New Roman"/>
                <w:sz w:val="22"/>
                <w:lang w:val="es-UY"/>
              </w:rPr>
              <w:t xml:space="preserve"> </w:t>
            </w:r>
            <w:proofErr w:type="spellStart"/>
            <w:r>
              <w:rPr>
                <w:rFonts w:ascii="Times New Roman" w:hAnsi="Times New Roman" w:cs="Times New Roman"/>
                <w:sz w:val="22"/>
                <w:lang w:val="es-UY"/>
              </w:rPr>
              <w:t>domain</w:t>
            </w:r>
            <w:proofErr w:type="spellEnd"/>
            <w:r>
              <w:rPr>
                <w:rFonts w:ascii="Times New Roman" w:hAnsi="Times New Roman" w:cs="Times New Roman"/>
                <w:sz w:val="22"/>
                <w:lang w:val="es-UY"/>
              </w:rPr>
              <w:t xml:space="preserve"> </w:t>
            </w:r>
            <w:proofErr w:type="spellStart"/>
            <w:r>
              <w:rPr>
                <w:rFonts w:ascii="Times New Roman" w:hAnsi="Times New Roman" w:cs="Times New Roman"/>
                <w:sz w:val="22"/>
                <w:lang w:val="es-UY"/>
              </w:rPr>
              <w:t>for</w:t>
            </w:r>
            <w:proofErr w:type="spellEnd"/>
            <w:r>
              <w:rPr>
                <w:rFonts w:ascii="Times New Roman" w:hAnsi="Times New Roman" w:cs="Times New Roman"/>
                <w:sz w:val="22"/>
                <w:lang w:val="es-UY"/>
              </w:rPr>
              <w:t xml:space="preserve"> </w:t>
            </w:r>
            <w:proofErr w:type="spellStart"/>
            <w:r>
              <w:rPr>
                <w:rFonts w:ascii="Times New Roman" w:hAnsi="Times New Roman" w:cs="Times New Roman"/>
                <w:sz w:val="22"/>
                <w:lang w:val="es-UY"/>
              </w:rPr>
              <w:t>reasons</w:t>
            </w:r>
            <w:proofErr w:type="spellEnd"/>
            <w:r>
              <w:rPr>
                <w:rFonts w:ascii="Times New Roman" w:hAnsi="Times New Roman" w:cs="Times New Roman"/>
                <w:sz w:val="22"/>
                <w:lang w:val="es-UY"/>
              </w:rPr>
              <w:t xml:space="preserve"> </w:t>
            </w:r>
            <w:proofErr w:type="spellStart"/>
            <w:r>
              <w:rPr>
                <w:rFonts w:ascii="Times New Roman" w:hAnsi="Times New Roman" w:cs="Times New Roman"/>
                <w:sz w:val="22"/>
                <w:lang w:val="es-UY"/>
              </w:rPr>
              <w:t>beyond</w:t>
            </w:r>
            <w:proofErr w:type="spellEnd"/>
            <w:r>
              <w:rPr>
                <w:rFonts w:ascii="Times New Roman" w:hAnsi="Times New Roman" w:cs="Times New Roman"/>
                <w:sz w:val="22"/>
                <w:lang w:val="es-UY"/>
              </w:rPr>
              <w:t xml:space="preserve"> </w:t>
            </w:r>
            <w:proofErr w:type="spellStart"/>
            <w:r>
              <w:rPr>
                <w:rFonts w:ascii="Times New Roman" w:hAnsi="Times New Roman" w:cs="Times New Roman"/>
                <w:sz w:val="22"/>
                <w:lang w:val="es-UY"/>
              </w:rPr>
              <w:t>the</w:t>
            </w:r>
            <w:proofErr w:type="spellEnd"/>
            <w:r>
              <w:rPr>
                <w:rFonts w:ascii="Times New Roman" w:hAnsi="Times New Roman" w:cs="Times New Roman"/>
                <w:sz w:val="22"/>
                <w:lang w:val="es-UY"/>
              </w:rPr>
              <w:t xml:space="preserve"> control </w:t>
            </w:r>
            <w:proofErr w:type="spellStart"/>
            <w:r>
              <w:rPr>
                <w:rFonts w:ascii="Times New Roman" w:hAnsi="Times New Roman" w:cs="Times New Roman"/>
                <w:sz w:val="22"/>
                <w:lang w:val="es-UY"/>
              </w:rPr>
              <w:t>of</w:t>
            </w:r>
            <w:proofErr w:type="spellEnd"/>
            <w:r>
              <w:rPr>
                <w:rFonts w:ascii="Times New Roman" w:hAnsi="Times New Roman" w:cs="Times New Roman"/>
                <w:sz w:val="22"/>
                <w:lang w:val="es-UY"/>
              </w:rPr>
              <w:t xml:space="preserve"> </w:t>
            </w:r>
            <w:proofErr w:type="spellStart"/>
            <w:r>
              <w:rPr>
                <w:rFonts w:ascii="Times New Roman" w:hAnsi="Times New Roman" w:cs="Times New Roman"/>
                <w:sz w:val="22"/>
                <w:lang w:val="es-UY"/>
              </w:rPr>
              <w:t>the</w:t>
            </w:r>
            <w:proofErr w:type="spellEnd"/>
            <w:r>
              <w:rPr>
                <w:rFonts w:ascii="Times New Roman" w:hAnsi="Times New Roman" w:cs="Times New Roman"/>
                <w:sz w:val="22"/>
                <w:lang w:val="es-UY"/>
              </w:rPr>
              <w:t xml:space="preserve"> </w:t>
            </w:r>
            <w:proofErr w:type="spellStart"/>
            <w:r>
              <w:rPr>
                <w:rFonts w:ascii="Times New Roman" w:hAnsi="Times New Roman" w:cs="Times New Roman"/>
                <w:sz w:val="22"/>
                <w:lang w:val="es-UY"/>
              </w:rPr>
              <w:t>signatory</w:t>
            </w:r>
            <w:proofErr w:type="spellEnd"/>
            <w:r>
              <w:rPr>
                <w:rFonts w:ascii="Times New Roman" w:hAnsi="Times New Roman" w:cs="Times New Roman"/>
                <w:sz w:val="22"/>
                <w:lang w:val="es-UY"/>
              </w:rPr>
              <w:t xml:space="preserve"> </w:t>
            </w:r>
            <w:proofErr w:type="spellStart"/>
            <w:r>
              <w:rPr>
                <w:rFonts w:ascii="Times New Roman" w:hAnsi="Times New Roman" w:cs="Times New Roman"/>
                <w:sz w:val="22"/>
                <w:lang w:val="es-UY"/>
              </w:rPr>
              <w:t>company</w:t>
            </w:r>
            <w:proofErr w:type="spellEnd"/>
            <w:r>
              <w:rPr>
                <w:rFonts w:ascii="Times New Roman" w:hAnsi="Times New Roman" w:cs="Times New Roman"/>
                <w:sz w:val="22"/>
                <w:lang w:val="es-UY"/>
              </w:rPr>
              <w:t>;</w:t>
            </w:r>
          </w:p>
          <w:p w14:paraId="6182B107" w14:textId="77777777" w:rsidR="00E255F4" w:rsidRDefault="00000000">
            <w:pPr>
              <w:pStyle w:val="Default"/>
              <w:widowControl w:val="0"/>
              <w:numPr>
                <w:ilvl w:val="0"/>
                <w:numId w:val="20"/>
              </w:numPr>
              <w:spacing w:line="360" w:lineRule="auto"/>
              <w:ind w:left="720" w:hanging="720"/>
              <w:contextualSpacing/>
              <w:jc w:val="both"/>
            </w:pPr>
            <w:r>
              <w:rPr>
                <w:rFonts w:ascii="Times New Roman" w:hAnsi="Times New Roman" w:cs="Times New Roman"/>
                <w:sz w:val="22"/>
                <w:lang w:val="es-UY"/>
              </w:rPr>
              <w:t xml:space="preserve">b) </w:t>
            </w:r>
            <w:proofErr w:type="spellStart"/>
            <w:r>
              <w:rPr>
                <w:rFonts w:ascii="Times New Roman" w:hAnsi="Times New Roman" w:cs="Times New Roman"/>
                <w:sz w:val="22"/>
                <w:lang w:val="es-UY"/>
              </w:rPr>
              <w:t>must</w:t>
            </w:r>
            <w:proofErr w:type="spellEnd"/>
            <w:r>
              <w:rPr>
                <w:rFonts w:ascii="Times New Roman" w:hAnsi="Times New Roman" w:cs="Times New Roman"/>
                <w:sz w:val="22"/>
                <w:lang w:val="es-UY"/>
              </w:rPr>
              <w:t xml:space="preserve"> be </w:t>
            </w:r>
            <w:proofErr w:type="spellStart"/>
            <w:r>
              <w:rPr>
                <w:rFonts w:ascii="Times New Roman" w:hAnsi="Times New Roman" w:cs="Times New Roman"/>
                <w:sz w:val="22"/>
                <w:lang w:val="es-UY"/>
              </w:rPr>
              <w:t>disclosed</w:t>
            </w:r>
            <w:proofErr w:type="spellEnd"/>
            <w:r>
              <w:rPr>
                <w:rFonts w:ascii="Times New Roman" w:hAnsi="Times New Roman" w:cs="Times New Roman"/>
                <w:sz w:val="22"/>
                <w:lang w:val="es-UY"/>
              </w:rPr>
              <w:t xml:space="preserve"> </w:t>
            </w:r>
            <w:proofErr w:type="spellStart"/>
            <w:r>
              <w:rPr>
                <w:rFonts w:ascii="Times New Roman" w:hAnsi="Times New Roman" w:cs="Times New Roman"/>
                <w:sz w:val="22"/>
                <w:lang w:val="es-UY"/>
              </w:rPr>
              <w:t>by</w:t>
            </w:r>
            <w:proofErr w:type="spellEnd"/>
            <w:r>
              <w:rPr>
                <w:rFonts w:ascii="Times New Roman" w:hAnsi="Times New Roman" w:cs="Times New Roman"/>
                <w:sz w:val="22"/>
                <w:lang w:val="es-UY"/>
              </w:rPr>
              <w:t xml:space="preserve"> </w:t>
            </w:r>
            <w:proofErr w:type="spellStart"/>
            <w:r>
              <w:rPr>
                <w:rFonts w:ascii="Times New Roman" w:hAnsi="Times New Roman" w:cs="Times New Roman"/>
                <w:sz w:val="22"/>
                <w:lang w:val="es-UY"/>
              </w:rPr>
              <w:t>operation</w:t>
            </w:r>
            <w:proofErr w:type="spellEnd"/>
            <w:r>
              <w:rPr>
                <w:rFonts w:ascii="Times New Roman" w:hAnsi="Times New Roman" w:cs="Times New Roman"/>
                <w:sz w:val="22"/>
                <w:lang w:val="es-UY"/>
              </w:rPr>
              <w:t xml:space="preserve"> </w:t>
            </w:r>
            <w:proofErr w:type="spellStart"/>
            <w:r>
              <w:rPr>
                <w:rFonts w:ascii="Times New Roman" w:hAnsi="Times New Roman" w:cs="Times New Roman"/>
                <w:sz w:val="22"/>
                <w:lang w:val="es-UY"/>
              </w:rPr>
              <w:t>of</w:t>
            </w:r>
            <w:proofErr w:type="spellEnd"/>
            <w:r>
              <w:rPr>
                <w:rFonts w:ascii="Times New Roman" w:hAnsi="Times New Roman" w:cs="Times New Roman"/>
                <w:sz w:val="22"/>
                <w:lang w:val="es-UY"/>
              </w:rPr>
              <w:t xml:space="preserve"> </w:t>
            </w:r>
            <w:proofErr w:type="spellStart"/>
            <w:r>
              <w:rPr>
                <w:rFonts w:ascii="Times New Roman" w:hAnsi="Times New Roman" w:cs="Times New Roman"/>
                <w:sz w:val="22"/>
                <w:lang w:val="es-UY"/>
              </w:rPr>
              <w:t>law</w:t>
            </w:r>
            <w:proofErr w:type="spellEnd"/>
            <w:r>
              <w:rPr>
                <w:rFonts w:ascii="Times New Roman" w:hAnsi="Times New Roman" w:cs="Times New Roman"/>
                <w:sz w:val="22"/>
                <w:lang w:val="es-UY"/>
              </w:rPr>
              <w:t xml:space="preserve"> </w:t>
            </w:r>
            <w:proofErr w:type="spellStart"/>
            <w:r>
              <w:rPr>
                <w:rFonts w:ascii="Times New Roman" w:hAnsi="Times New Roman" w:cs="Times New Roman"/>
                <w:sz w:val="22"/>
                <w:lang w:val="es-UY"/>
              </w:rPr>
              <w:t>or</w:t>
            </w:r>
            <w:proofErr w:type="spellEnd"/>
            <w:r>
              <w:rPr>
                <w:rFonts w:ascii="Times New Roman" w:hAnsi="Times New Roman" w:cs="Times New Roman"/>
                <w:sz w:val="22"/>
                <w:lang w:val="es-UY"/>
              </w:rPr>
              <w:t xml:space="preserve"> a judicial </w:t>
            </w:r>
            <w:proofErr w:type="spellStart"/>
            <w:r>
              <w:rPr>
                <w:rFonts w:ascii="Times New Roman" w:hAnsi="Times New Roman" w:cs="Times New Roman"/>
                <w:sz w:val="22"/>
                <w:lang w:val="es-UY"/>
              </w:rPr>
              <w:t>process</w:t>
            </w:r>
            <w:proofErr w:type="spellEnd"/>
            <w:r>
              <w:rPr>
                <w:rFonts w:ascii="Times New Roman" w:hAnsi="Times New Roman" w:cs="Times New Roman"/>
                <w:sz w:val="22"/>
                <w:lang w:val="es-UY"/>
              </w:rPr>
              <w:t xml:space="preserve">, in </w:t>
            </w:r>
            <w:proofErr w:type="spellStart"/>
            <w:r>
              <w:rPr>
                <w:rFonts w:ascii="Times New Roman" w:hAnsi="Times New Roman" w:cs="Times New Roman"/>
                <w:sz w:val="22"/>
                <w:lang w:val="es-UY"/>
              </w:rPr>
              <w:t>which</w:t>
            </w:r>
            <w:proofErr w:type="spellEnd"/>
            <w:r>
              <w:rPr>
                <w:rFonts w:ascii="Times New Roman" w:hAnsi="Times New Roman" w:cs="Times New Roman"/>
                <w:sz w:val="22"/>
                <w:lang w:val="es-UY"/>
              </w:rPr>
              <w:t xml:space="preserve"> case </w:t>
            </w:r>
            <w:proofErr w:type="spellStart"/>
            <w:r>
              <w:rPr>
                <w:rFonts w:ascii="Times New Roman" w:hAnsi="Times New Roman" w:cs="Times New Roman"/>
                <w:sz w:val="22"/>
                <w:lang w:val="es-UY"/>
              </w:rPr>
              <w:t>the</w:t>
            </w:r>
            <w:proofErr w:type="spellEnd"/>
            <w:r>
              <w:rPr>
                <w:rFonts w:ascii="Times New Roman" w:hAnsi="Times New Roman" w:cs="Times New Roman"/>
                <w:sz w:val="22"/>
                <w:lang w:val="es-UY"/>
              </w:rPr>
              <w:t xml:space="preserve"> </w:t>
            </w:r>
            <w:proofErr w:type="spellStart"/>
            <w:r>
              <w:rPr>
                <w:rFonts w:ascii="Times New Roman" w:hAnsi="Times New Roman" w:cs="Times New Roman"/>
                <w:sz w:val="22"/>
                <w:lang w:val="es-UY"/>
              </w:rPr>
              <w:t>signatory</w:t>
            </w:r>
            <w:proofErr w:type="spellEnd"/>
            <w:r>
              <w:rPr>
                <w:rFonts w:ascii="Times New Roman" w:hAnsi="Times New Roman" w:cs="Times New Roman"/>
                <w:sz w:val="22"/>
                <w:lang w:val="es-UY"/>
              </w:rPr>
              <w:t xml:space="preserve"> </w:t>
            </w:r>
            <w:proofErr w:type="spellStart"/>
            <w:r>
              <w:rPr>
                <w:rFonts w:ascii="Times New Roman" w:hAnsi="Times New Roman" w:cs="Times New Roman"/>
                <w:sz w:val="22"/>
                <w:lang w:val="es-UY"/>
              </w:rPr>
              <w:t>company</w:t>
            </w:r>
            <w:proofErr w:type="spellEnd"/>
            <w:r>
              <w:rPr>
                <w:rFonts w:ascii="Times New Roman" w:hAnsi="Times New Roman" w:cs="Times New Roman"/>
                <w:sz w:val="22"/>
                <w:lang w:val="es-UY"/>
              </w:rPr>
              <w:t xml:space="preserve"> </w:t>
            </w:r>
            <w:proofErr w:type="spellStart"/>
            <w:r>
              <w:rPr>
                <w:rFonts w:ascii="Times New Roman" w:hAnsi="Times New Roman" w:cs="Times New Roman"/>
                <w:sz w:val="22"/>
                <w:lang w:val="es-UY"/>
              </w:rPr>
              <w:t>must</w:t>
            </w:r>
            <w:proofErr w:type="spellEnd"/>
            <w:r>
              <w:rPr>
                <w:rFonts w:ascii="Times New Roman" w:hAnsi="Times New Roman" w:cs="Times New Roman"/>
                <w:sz w:val="22"/>
                <w:lang w:val="es-UY"/>
              </w:rPr>
              <w:t xml:space="preserve"> </w:t>
            </w:r>
            <w:proofErr w:type="spellStart"/>
            <w:r>
              <w:rPr>
                <w:rFonts w:ascii="Times New Roman" w:hAnsi="Times New Roman" w:cs="Times New Roman"/>
                <w:sz w:val="22"/>
                <w:lang w:val="es-UY"/>
              </w:rPr>
              <w:t>communicate</w:t>
            </w:r>
            <w:proofErr w:type="spellEnd"/>
            <w:r>
              <w:rPr>
                <w:rFonts w:ascii="Times New Roman" w:hAnsi="Times New Roman" w:cs="Times New Roman"/>
                <w:sz w:val="22"/>
                <w:lang w:val="es-UY"/>
              </w:rPr>
              <w:t xml:space="preserve"> </w:t>
            </w:r>
            <w:proofErr w:type="spellStart"/>
            <w:r>
              <w:rPr>
                <w:rFonts w:ascii="Times New Roman" w:hAnsi="Times New Roman" w:cs="Times New Roman"/>
                <w:sz w:val="22"/>
                <w:lang w:val="es-UY"/>
              </w:rPr>
              <w:t>this</w:t>
            </w:r>
            <w:proofErr w:type="spellEnd"/>
            <w:r>
              <w:rPr>
                <w:rFonts w:ascii="Times New Roman" w:hAnsi="Times New Roman" w:cs="Times New Roman"/>
                <w:sz w:val="22"/>
                <w:lang w:val="es-UY"/>
              </w:rPr>
              <w:t xml:space="preserve"> </w:t>
            </w:r>
            <w:proofErr w:type="spellStart"/>
            <w:r>
              <w:rPr>
                <w:rFonts w:ascii="Times New Roman" w:hAnsi="Times New Roman" w:cs="Times New Roman"/>
                <w:sz w:val="22"/>
                <w:lang w:val="es-UY"/>
              </w:rPr>
              <w:t>situation</w:t>
            </w:r>
            <w:proofErr w:type="spellEnd"/>
            <w:r>
              <w:rPr>
                <w:rFonts w:ascii="Times New Roman" w:hAnsi="Times New Roman" w:cs="Times New Roman"/>
                <w:sz w:val="22"/>
                <w:lang w:val="es-UY"/>
              </w:rPr>
              <w:t xml:space="preserve"> </w:t>
            </w:r>
            <w:proofErr w:type="spellStart"/>
            <w:r>
              <w:rPr>
                <w:rFonts w:ascii="Times New Roman" w:hAnsi="Times New Roman" w:cs="Times New Roman"/>
                <w:sz w:val="22"/>
                <w:lang w:val="es-UY"/>
              </w:rPr>
              <w:t>to</w:t>
            </w:r>
            <w:proofErr w:type="spellEnd"/>
            <w:r>
              <w:rPr>
                <w:rFonts w:ascii="Times New Roman" w:hAnsi="Times New Roman" w:cs="Times New Roman"/>
                <w:sz w:val="22"/>
                <w:lang w:val="es-UY"/>
              </w:rPr>
              <w:t xml:space="preserve"> OSE in </w:t>
            </w:r>
            <w:proofErr w:type="spellStart"/>
            <w:r>
              <w:rPr>
                <w:rFonts w:ascii="Times New Roman" w:hAnsi="Times New Roman" w:cs="Times New Roman"/>
                <w:sz w:val="22"/>
                <w:lang w:val="es-UY"/>
              </w:rPr>
              <w:t>advance</w:t>
            </w:r>
            <w:proofErr w:type="spellEnd"/>
            <w:r>
              <w:rPr>
                <w:rFonts w:ascii="Times New Roman" w:hAnsi="Times New Roman" w:cs="Times New Roman"/>
                <w:sz w:val="22"/>
                <w:lang w:val="es-UY"/>
              </w:rPr>
              <w:t xml:space="preserve"> so </w:t>
            </w:r>
            <w:proofErr w:type="spellStart"/>
            <w:r>
              <w:rPr>
                <w:rFonts w:ascii="Times New Roman" w:hAnsi="Times New Roman" w:cs="Times New Roman"/>
                <w:sz w:val="22"/>
                <w:lang w:val="es-UY"/>
              </w:rPr>
              <w:t>that</w:t>
            </w:r>
            <w:proofErr w:type="spellEnd"/>
            <w:r>
              <w:rPr>
                <w:rFonts w:ascii="Times New Roman" w:hAnsi="Times New Roman" w:cs="Times New Roman"/>
                <w:sz w:val="22"/>
                <w:lang w:val="es-UY"/>
              </w:rPr>
              <w:t xml:space="preserve"> </w:t>
            </w:r>
            <w:proofErr w:type="spellStart"/>
            <w:r>
              <w:rPr>
                <w:rFonts w:ascii="Times New Roman" w:hAnsi="Times New Roman" w:cs="Times New Roman"/>
                <w:sz w:val="22"/>
                <w:lang w:val="es-UY"/>
              </w:rPr>
              <w:t>it</w:t>
            </w:r>
            <w:proofErr w:type="spellEnd"/>
            <w:r>
              <w:rPr>
                <w:rFonts w:ascii="Times New Roman" w:hAnsi="Times New Roman" w:cs="Times New Roman"/>
                <w:sz w:val="22"/>
                <w:lang w:val="es-UY"/>
              </w:rPr>
              <w:t xml:space="preserve"> can </w:t>
            </w:r>
            <w:proofErr w:type="spellStart"/>
            <w:r>
              <w:rPr>
                <w:rFonts w:ascii="Times New Roman" w:hAnsi="Times New Roman" w:cs="Times New Roman"/>
                <w:sz w:val="22"/>
                <w:lang w:val="es-UY"/>
              </w:rPr>
              <w:t>take</w:t>
            </w:r>
            <w:proofErr w:type="spellEnd"/>
            <w:r>
              <w:rPr>
                <w:rFonts w:ascii="Times New Roman" w:hAnsi="Times New Roman" w:cs="Times New Roman"/>
                <w:sz w:val="22"/>
                <w:lang w:val="es-UY"/>
              </w:rPr>
              <w:t xml:space="preserve"> </w:t>
            </w:r>
            <w:proofErr w:type="spellStart"/>
            <w:r>
              <w:rPr>
                <w:rFonts w:ascii="Times New Roman" w:hAnsi="Times New Roman" w:cs="Times New Roman"/>
                <w:sz w:val="22"/>
                <w:lang w:val="es-UY"/>
              </w:rPr>
              <w:t>all</w:t>
            </w:r>
            <w:proofErr w:type="spellEnd"/>
            <w:r>
              <w:rPr>
                <w:rFonts w:ascii="Times New Roman" w:hAnsi="Times New Roman" w:cs="Times New Roman"/>
                <w:sz w:val="22"/>
                <w:lang w:val="es-UY"/>
              </w:rPr>
              <w:t xml:space="preserve"> </w:t>
            </w:r>
            <w:proofErr w:type="spellStart"/>
            <w:r>
              <w:rPr>
                <w:rFonts w:ascii="Times New Roman" w:hAnsi="Times New Roman" w:cs="Times New Roman"/>
                <w:sz w:val="22"/>
                <w:lang w:val="es-UY"/>
              </w:rPr>
              <w:t>appropriate</w:t>
            </w:r>
            <w:proofErr w:type="spellEnd"/>
            <w:r>
              <w:rPr>
                <w:rFonts w:ascii="Times New Roman" w:hAnsi="Times New Roman" w:cs="Times New Roman"/>
                <w:sz w:val="22"/>
                <w:lang w:val="es-UY"/>
              </w:rPr>
              <w:t xml:space="preserve"> </w:t>
            </w:r>
            <w:proofErr w:type="spellStart"/>
            <w:r>
              <w:rPr>
                <w:rFonts w:ascii="Times New Roman" w:hAnsi="Times New Roman" w:cs="Times New Roman"/>
                <w:sz w:val="22"/>
                <w:lang w:val="es-UY"/>
              </w:rPr>
              <w:t>measures</w:t>
            </w:r>
            <w:proofErr w:type="spellEnd"/>
            <w:r>
              <w:rPr>
                <w:rFonts w:ascii="Times New Roman" w:hAnsi="Times New Roman" w:cs="Times New Roman"/>
                <w:sz w:val="22"/>
                <w:lang w:val="es-UY"/>
              </w:rPr>
              <w:t xml:space="preserve"> </w:t>
            </w:r>
            <w:proofErr w:type="spellStart"/>
            <w:r>
              <w:rPr>
                <w:rFonts w:ascii="Times New Roman" w:hAnsi="Times New Roman" w:cs="Times New Roman"/>
                <w:sz w:val="22"/>
                <w:lang w:val="es-UY"/>
              </w:rPr>
              <w:t>to</w:t>
            </w:r>
            <w:proofErr w:type="spellEnd"/>
            <w:r>
              <w:rPr>
                <w:rFonts w:ascii="Times New Roman" w:hAnsi="Times New Roman" w:cs="Times New Roman"/>
                <w:sz w:val="22"/>
                <w:lang w:val="es-UY"/>
              </w:rPr>
              <w:t xml:space="preserve"> </w:t>
            </w:r>
            <w:proofErr w:type="spellStart"/>
            <w:r>
              <w:rPr>
                <w:rFonts w:ascii="Times New Roman" w:hAnsi="Times New Roman" w:cs="Times New Roman"/>
                <w:sz w:val="22"/>
                <w:lang w:val="es-UY"/>
              </w:rPr>
              <w:t>ensure</w:t>
            </w:r>
            <w:proofErr w:type="spellEnd"/>
            <w:r>
              <w:rPr>
                <w:rFonts w:ascii="Times New Roman" w:hAnsi="Times New Roman" w:cs="Times New Roman"/>
                <w:sz w:val="22"/>
                <w:lang w:val="es-UY"/>
              </w:rPr>
              <w:t xml:space="preserve"> </w:t>
            </w:r>
            <w:proofErr w:type="spellStart"/>
            <w:r>
              <w:rPr>
                <w:rFonts w:ascii="Times New Roman" w:hAnsi="Times New Roman" w:cs="Times New Roman"/>
                <w:sz w:val="22"/>
                <w:lang w:val="es-UY"/>
              </w:rPr>
              <w:t>confidentiality</w:t>
            </w:r>
            <w:proofErr w:type="spellEnd"/>
            <w:r>
              <w:rPr>
                <w:rFonts w:ascii="Times New Roman" w:hAnsi="Times New Roman" w:cs="Times New Roman"/>
                <w:sz w:val="22"/>
                <w:lang w:val="es-UY"/>
              </w:rPr>
              <w:t xml:space="preserve"> and </w:t>
            </w:r>
            <w:proofErr w:type="spellStart"/>
            <w:r>
              <w:rPr>
                <w:rFonts w:ascii="Times New Roman" w:hAnsi="Times New Roman" w:cs="Times New Roman"/>
                <w:sz w:val="22"/>
                <w:lang w:val="es-UY"/>
              </w:rPr>
              <w:t>that</w:t>
            </w:r>
            <w:proofErr w:type="spellEnd"/>
            <w:r>
              <w:rPr>
                <w:rFonts w:ascii="Times New Roman" w:hAnsi="Times New Roman" w:cs="Times New Roman"/>
                <w:sz w:val="22"/>
                <w:lang w:val="es-UY"/>
              </w:rPr>
              <w:t xml:space="preserve"> </w:t>
            </w:r>
            <w:proofErr w:type="spellStart"/>
            <w:r>
              <w:rPr>
                <w:rFonts w:ascii="Times New Roman" w:hAnsi="Times New Roman" w:cs="Times New Roman"/>
                <w:sz w:val="22"/>
                <w:lang w:val="es-UY"/>
              </w:rPr>
              <w:t>the</w:t>
            </w:r>
            <w:proofErr w:type="spellEnd"/>
            <w:r>
              <w:rPr>
                <w:rFonts w:ascii="Times New Roman" w:hAnsi="Times New Roman" w:cs="Times New Roman"/>
                <w:sz w:val="22"/>
                <w:lang w:val="es-UY"/>
              </w:rPr>
              <w:t xml:space="preserve"> use </w:t>
            </w:r>
            <w:proofErr w:type="spellStart"/>
            <w:r>
              <w:rPr>
                <w:rFonts w:ascii="Times New Roman" w:hAnsi="Times New Roman" w:cs="Times New Roman"/>
                <w:sz w:val="22"/>
                <w:lang w:val="es-UY"/>
              </w:rPr>
              <w:t>of</w:t>
            </w:r>
            <w:proofErr w:type="spellEnd"/>
            <w:r>
              <w:rPr>
                <w:rFonts w:ascii="Times New Roman" w:hAnsi="Times New Roman" w:cs="Times New Roman"/>
                <w:sz w:val="22"/>
                <w:lang w:val="es-UY"/>
              </w:rPr>
              <w:t xml:space="preserve"> </w:t>
            </w:r>
            <w:proofErr w:type="spellStart"/>
            <w:r>
              <w:rPr>
                <w:rFonts w:ascii="Times New Roman" w:hAnsi="Times New Roman" w:cs="Times New Roman"/>
                <w:sz w:val="22"/>
                <w:lang w:val="es-UY"/>
              </w:rPr>
              <w:t>the</w:t>
            </w:r>
            <w:proofErr w:type="spellEnd"/>
            <w:r>
              <w:rPr>
                <w:rFonts w:ascii="Times New Roman" w:hAnsi="Times New Roman" w:cs="Times New Roman"/>
                <w:sz w:val="22"/>
                <w:lang w:val="es-UY"/>
              </w:rPr>
              <w:t xml:space="preserve"> </w:t>
            </w:r>
            <w:proofErr w:type="spellStart"/>
            <w:r>
              <w:rPr>
                <w:rFonts w:ascii="Times New Roman" w:hAnsi="Times New Roman" w:cs="Times New Roman"/>
                <w:sz w:val="22"/>
                <w:lang w:val="es-UY"/>
              </w:rPr>
              <w:t>disclosed</w:t>
            </w:r>
            <w:proofErr w:type="spellEnd"/>
            <w:r>
              <w:rPr>
                <w:rFonts w:ascii="Times New Roman" w:hAnsi="Times New Roman" w:cs="Times New Roman"/>
                <w:sz w:val="22"/>
                <w:lang w:val="es-UY"/>
              </w:rPr>
              <w:t xml:space="preserve"> </w:t>
            </w:r>
            <w:proofErr w:type="spellStart"/>
            <w:r>
              <w:rPr>
                <w:rFonts w:ascii="Times New Roman" w:hAnsi="Times New Roman" w:cs="Times New Roman"/>
                <w:sz w:val="22"/>
                <w:lang w:val="es-UY"/>
              </w:rPr>
              <w:t>information</w:t>
            </w:r>
            <w:proofErr w:type="spellEnd"/>
            <w:r>
              <w:rPr>
                <w:rFonts w:ascii="Times New Roman" w:hAnsi="Times New Roman" w:cs="Times New Roman"/>
                <w:sz w:val="22"/>
                <w:lang w:val="es-UY"/>
              </w:rPr>
              <w:t xml:space="preserve"> </w:t>
            </w:r>
            <w:proofErr w:type="spellStart"/>
            <w:r>
              <w:rPr>
                <w:rFonts w:ascii="Times New Roman" w:hAnsi="Times New Roman" w:cs="Times New Roman"/>
                <w:sz w:val="22"/>
                <w:lang w:val="es-UY"/>
              </w:rPr>
              <w:t>is</w:t>
            </w:r>
            <w:proofErr w:type="spellEnd"/>
            <w:r>
              <w:rPr>
                <w:rFonts w:ascii="Times New Roman" w:hAnsi="Times New Roman" w:cs="Times New Roman"/>
                <w:sz w:val="22"/>
                <w:lang w:val="es-UY"/>
              </w:rPr>
              <w:t xml:space="preserve"> </w:t>
            </w:r>
            <w:proofErr w:type="spellStart"/>
            <w:r>
              <w:rPr>
                <w:rFonts w:ascii="Times New Roman" w:hAnsi="Times New Roman" w:cs="Times New Roman"/>
                <w:sz w:val="22"/>
                <w:lang w:val="es-UY"/>
              </w:rPr>
              <w:t>limited</w:t>
            </w:r>
            <w:proofErr w:type="spellEnd"/>
            <w:r>
              <w:rPr>
                <w:rFonts w:ascii="Times New Roman" w:hAnsi="Times New Roman" w:cs="Times New Roman"/>
                <w:sz w:val="22"/>
                <w:lang w:val="es-UY"/>
              </w:rPr>
              <w:t xml:space="preserve"> </w:t>
            </w:r>
            <w:proofErr w:type="spellStart"/>
            <w:r>
              <w:rPr>
                <w:rFonts w:ascii="Times New Roman" w:hAnsi="Times New Roman" w:cs="Times New Roman"/>
                <w:sz w:val="22"/>
                <w:lang w:val="es-UY"/>
              </w:rPr>
              <w:t>strictly</w:t>
            </w:r>
            <w:proofErr w:type="spellEnd"/>
            <w:r>
              <w:rPr>
                <w:rFonts w:ascii="Times New Roman" w:hAnsi="Times New Roman" w:cs="Times New Roman"/>
                <w:sz w:val="22"/>
                <w:lang w:val="es-UY"/>
              </w:rPr>
              <w:t xml:space="preserve"> </w:t>
            </w:r>
            <w:proofErr w:type="spellStart"/>
            <w:r>
              <w:rPr>
                <w:rFonts w:ascii="Times New Roman" w:hAnsi="Times New Roman" w:cs="Times New Roman"/>
                <w:sz w:val="22"/>
                <w:lang w:val="es-UY"/>
              </w:rPr>
              <w:t>to</w:t>
            </w:r>
            <w:proofErr w:type="spellEnd"/>
            <w:r>
              <w:rPr>
                <w:rFonts w:ascii="Times New Roman" w:hAnsi="Times New Roman" w:cs="Times New Roman"/>
                <w:sz w:val="22"/>
                <w:lang w:val="es-UY"/>
              </w:rPr>
              <w:t xml:space="preserve"> </w:t>
            </w:r>
            <w:proofErr w:type="spellStart"/>
            <w:r>
              <w:rPr>
                <w:rFonts w:ascii="Times New Roman" w:hAnsi="Times New Roman" w:cs="Times New Roman"/>
                <w:sz w:val="22"/>
                <w:lang w:val="es-UY"/>
              </w:rPr>
              <w:t>the</w:t>
            </w:r>
            <w:proofErr w:type="spellEnd"/>
            <w:r>
              <w:rPr>
                <w:rFonts w:ascii="Times New Roman" w:hAnsi="Times New Roman" w:cs="Times New Roman"/>
                <w:sz w:val="22"/>
                <w:lang w:val="es-UY"/>
              </w:rPr>
              <w:t xml:space="preserve"> </w:t>
            </w:r>
            <w:proofErr w:type="spellStart"/>
            <w:r>
              <w:rPr>
                <w:rFonts w:ascii="Times New Roman" w:hAnsi="Times New Roman" w:cs="Times New Roman"/>
                <w:sz w:val="22"/>
                <w:lang w:val="es-UY"/>
              </w:rPr>
              <w:t>purpose</w:t>
            </w:r>
            <w:proofErr w:type="spellEnd"/>
            <w:r>
              <w:rPr>
                <w:rFonts w:ascii="Times New Roman" w:hAnsi="Times New Roman" w:cs="Times New Roman"/>
                <w:sz w:val="22"/>
                <w:lang w:val="es-UY"/>
              </w:rPr>
              <w:t xml:space="preserve"> </w:t>
            </w:r>
            <w:proofErr w:type="spellStart"/>
            <w:r>
              <w:rPr>
                <w:rFonts w:ascii="Times New Roman" w:hAnsi="Times New Roman" w:cs="Times New Roman"/>
                <w:sz w:val="22"/>
                <w:lang w:val="es-UY"/>
              </w:rPr>
              <w:t>required</w:t>
            </w:r>
            <w:proofErr w:type="spellEnd"/>
            <w:r>
              <w:rPr>
                <w:rFonts w:ascii="Times New Roman" w:hAnsi="Times New Roman" w:cs="Times New Roman"/>
                <w:sz w:val="22"/>
                <w:lang w:val="es-UY"/>
              </w:rPr>
              <w:t xml:space="preserve"> </w:t>
            </w:r>
            <w:proofErr w:type="spellStart"/>
            <w:r>
              <w:rPr>
                <w:rFonts w:ascii="Times New Roman" w:hAnsi="Times New Roman" w:cs="Times New Roman"/>
                <w:sz w:val="22"/>
                <w:lang w:val="es-UY"/>
              </w:rPr>
              <w:t>by</w:t>
            </w:r>
            <w:proofErr w:type="spellEnd"/>
            <w:r>
              <w:rPr>
                <w:rFonts w:ascii="Times New Roman" w:hAnsi="Times New Roman" w:cs="Times New Roman"/>
                <w:sz w:val="22"/>
                <w:lang w:val="es-UY"/>
              </w:rPr>
              <w:t xml:space="preserve"> </w:t>
            </w:r>
            <w:proofErr w:type="spellStart"/>
            <w:r>
              <w:rPr>
                <w:rFonts w:ascii="Times New Roman" w:hAnsi="Times New Roman" w:cs="Times New Roman"/>
                <w:sz w:val="22"/>
                <w:lang w:val="es-UY"/>
              </w:rPr>
              <w:t>law</w:t>
            </w:r>
            <w:proofErr w:type="spellEnd"/>
            <w:r>
              <w:rPr>
                <w:rFonts w:ascii="Times New Roman" w:hAnsi="Times New Roman" w:cs="Times New Roman"/>
                <w:sz w:val="22"/>
                <w:lang w:val="es-UY"/>
              </w:rPr>
              <w:t xml:space="preserve"> </w:t>
            </w:r>
            <w:proofErr w:type="spellStart"/>
            <w:r>
              <w:rPr>
                <w:rFonts w:ascii="Times New Roman" w:hAnsi="Times New Roman" w:cs="Times New Roman"/>
                <w:sz w:val="22"/>
                <w:lang w:val="es-UY"/>
              </w:rPr>
              <w:t>or</w:t>
            </w:r>
            <w:proofErr w:type="spellEnd"/>
            <w:r>
              <w:rPr>
                <w:rFonts w:ascii="Times New Roman" w:hAnsi="Times New Roman" w:cs="Times New Roman"/>
                <w:sz w:val="22"/>
                <w:lang w:val="es-UY"/>
              </w:rPr>
              <w:t xml:space="preserve"> </w:t>
            </w:r>
            <w:proofErr w:type="spellStart"/>
            <w:r>
              <w:rPr>
                <w:rFonts w:ascii="Times New Roman" w:hAnsi="Times New Roman" w:cs="Times New Roman"/>
                <w:sz w:val="22"/>
                <w:lang w:val="es-UY"/>
              </w:rPr>
              <w:t>court</w:t>
            </w:r>
            <w:proofErr w:type="spellEnd"/>
            <w:r>
              <w:rPr>
                <w:rFonts w:ascii="Times New Roman" w:hAnsi="Times New Roman" w:cs="Times New Roman"/>
                <w:sz w:val="22"/>
                <w:lang w:val="es-UY"/>
              </w:rPr>
              <w:t xml:space="preserve"> </w:t>
            </w:r>
            <w:proofErr w:type="spellStart"/>
            <w:r>
              <w:rPr>
                <w:rFonts w:ascii="Times New Roman" w:hAnsi="Times New Roman" w:cs="Times New Roman"/>
                <w:sz w:val="22"/>
                <w:lang w:val="es-UY"/>
              </w:rPr>
              <w:t>order</w:t>
            </w:r>
            <w:proofErr w:type="spellEnd"/>
            <w:r>
              <w:rPr>
                <w:rFonts w:ascii="Times New Roman" w:hAnsi="Times New Roman" w:cs="Times New Roman"/>
                <w:sz w:val="22"/>
                <w:lang w:val="es-UY"/>
              </w:rPr>
              <w:t>.</w:t>
            </w:r>
          </w:p>
          <w:p w14:paraId="6DCE448A" w14:textId="77777777" w:rsidR="00E255F4" w:rsidRDefault="00000000">
            <w:pPr>
              <w:widowControl w:val="0"/>
              <w:autoSpaceDE w:val="0"/>
              <w:spacing w:line="360" w:lineRule="auto"/>
              <w:contextualSpacing/>
              <w:rPr>
                <w:color w:val="000000"/>
                <w:sz w:val="22"/>
              </w:rPr>
            </w:pPr>
            <w:r>
              <w:rPr>
                <w:b/>
                <w:color w:val="000000"/>
                <w:sz w:val="22"/>
              </w:rPr>
              <w:t xml:space="preserve">SECOND: MAIN </w:t>
            </w:r>
            <w:proofErr w:type="gramStart"/>
            <w:r>
              <w:rPr>
                <w:b/>
                <w:color w:val="000000"/>
                <w:sz w:val="22"/>
              </w:rPr>
              <w:t>OBLIGATIONS.-</w:t>
            </w:r>
            <w:proofErr w:type="gramEnd"/>
          </w:p>
          <w:p w14:paraId="1D284AA9" w14:textId="77777777" w:rsidR="00E255F4" w:rsidRDefault="00000000">
            <w:pPr>
              <w:widowControl w:val="0"/>
              <w:autoSpaceDE w:val="0"/>
              <w:spacing w:line="360" w:lineRule="auto"/>
              <w:contextualSpacing/>
              <w:rPr>
                <w:color w:val="000000"/>
                <w:sz w:val="22"/>
              </w:rPr>
            </w:pPr>
            <w:proofErr w:type="spellStart"/>
            <w:r>
              <w:rPr>
                <w:color w:val="000000"/>
                <w:sz w:val="22"/>
              </w:rPr>
              <w:t>Without</w:t>
            </w:r>
            <w:proofErr w:type="spellEnd"/>
            <w:r>
              <w:rPr>
                <w:color w:val="000000"/>
                <w:sz w:val="22"/>
              </w:rPr>
              <w:t xml:space="preserve"> </w:t>
            </w:r>
            <w:proofErr w:type="spellStart"/>
            <w:r>
              <w:rPr>
                <w:color w:val="000000"/>
                <w:sz w:val="22"/>
              </w:rPr>
              <w:t>implying</w:t>
            </w:r>
            <w:proofErr w:type="spellEnd"/>
            <w:r>
              <w:rPr>
                <w:color w:val="000000"/>
                <w:sz w:val="22"/>
              </w:rPr>
              <w:t xml:space="preserve"> </w:t>
            </w:r>
            <w:proofErr w:type="spellStart"/>
            <w:r>
              <w:rPr>
                <w:color w:val="000000"/>
                <w:sz w:val="22"/>
              </w:rPr>
              <w:t>an</w:t>
            </w:r>
            <w:proofErr w:type="spellEnd"/>
            <w:r>
              <w:rPr>
                <w:color w:val="000000"/>
                <w:sz w:val="22"/>
              </w:rPr>
              <w:t xml:space="preserve"> exhaustive </w:t>
            </w:r>
            <w:proofErr w:type="spellStart"/>
            <w:r>
              <w:rPr>
                <w:color w:val="000000"/>
                <w:sz w:val="22"/>
              </w:rPr>
              <w:t>list</w:t>
            </w:r>
            <w:proofErr w:type="spellEnd"/>
            <w:r>
              <w:rPr>
                <w:color w:val="000000"/>
                <w:sz w:val="22"/>
              </w:rPr>
              <w:t xml:space="preserve"> and </w:t>
            </w:r>
            <w:proofErr w:type="spellStart"/>
            <w:r>
              <w:rPr>
                <w:color w:val="000000"/>
                <w:sz w:val="22"/>
              </w:rPr>
              <w:t>without</w:t>
            </w:r>
            <w:proofErr w:type="spellEnd"/>
            <w:r>
              <w:rPr>
                <w:color w:val="000000"/>
                <w:sz w:val="22"/>
              </w:rPr>
              <w:t xml:space="preserve"> </w:t>
            </w:r>
            <w:proofErr w:type="spellStart"/>
            <w:r>
              <w:rPr>
                <w:color w:val="000000"/>
                <w:sz w:val="22"/>
              </w:rPr>
              <w:t>prejudice</w:t>
            </w:r>
            <w:proofErr w:type="spellEnd"/>
            <w:r>
              <w:rPr>
                <w:color w:val="000000"/>
                <w:sz w:val="22"/>
              </w:rPr>
              <w:t xml:space="preserve"> </w:t>
            </w:r>
            <w:proofErr w:type="spellStart"/>
            <w:r>
              <w:rPr>
                <w:color w:val="000000"/>
                <w:sz w:val="22"/>
              </w:rPr>
              <w:t>to</w:t>
            </w:r>
            <w:proofErr w:type="spellEnd"/>
            <w:r>
              <w:rPr>
                <w:color w:val="000000"/>
                <w:sz w:val="22"/>
              </w:rPr>
              <w:t xml:space="preserve"> </w:t>
            </w:r>
            <w:proofErr w:type="spellStart"/>
            <w:r>
              <w:rPr>
                <w:color w:val="000000"/>
                <w:sz w:val="22"/>
              </w:rPr>
              <w:t>the</w:t>
            </w:r>
            <w:proofErr w:type="spellEnd"/>
            <w:r>
              <w:rPr>
                <w:color w:val="000000"/>
                <w:sz w:val="22"/>
              </w:rPr>
              <w:t xml:space="preserve"> </w:t>
            </w:r>
            <w:proofErr w:type="spellStart"/>
            <w:r>
              <w:rPr>
                <w:color w:val="000000"/>
                <w:sz w:val="22"/>
              </w:rPr>
              <w:t>provisions</w:t>
            </w:r>
            <w:proofErr w:type="spellEnd"/>
            <w:r>
              <w:rPr>
                <w:color w:val="000000"/>
                <w:sz w:val="22"/>
              </w:rPr>
              <w:t xml:space="preserve"> </w:t>
            </w:r>
            <w:proofErr w:type="spellStart"/>
            <w:r>
              <w:rPr>
                <w:color w:val="000000"/>
                <w:sz w:val="22"/>
              </w:rPr>
              <w:t>of</w:t>
            </w:r>
            <w:proofErr w:type="spellEnd"/>
            <w:r>
              <w:rPr>
                <w:color w:val="000000"/>
                <w:sz w:val="22"/>
              </w:rPr>
              <w:t xml:space="preserve"> </w:t>
            </w:r>
            <w:proofErr w:type="spellStart"/>
            <w:r>
              <w:rPr>
                <w:color w:val="000000"/>
                <w:sz w:val="22"/>
              </w:rPr>
              <w:t>Article</w:t>
            </w:r>
            <w:proofErr w:type="spellEnd"/>
            <w:r>
              <w:rPr>
                <w:color w:val="000000"/>
                <w:sz w:val="22"/>
              </w:rPr>
              <w:t xml:space="preserve"> 302 </w:t>
            </w:r>
            <w:proofErr w:type="spellStart"/>
            <w:r>
              <w:rPr>
                <w:color w:val="000000"/>
                <w:sz w:val="22"/>
              </w:rPr>
              <w:t>of</w:t>
            </w:r>
            <w:proofErr w:type="spellEnd"/>
            <w:r>
              <w:rPr>
                <w:color w:val="000000"/>
                <w:sz w:val="22"/>
              </w:rPr>
              <w:t xml:space="preserve"> </w:t>
            </w:r>
            <w:proofErr w:type="spellStart"/>
            <w:r>
              <w:rPr>
                <w:color w:val="000000"/>
                <w:sz w:val="22"/>
              </w:rPr>
              <w:t>the</w:t>
            </w:r>
            <w:proofErr w:type="spellEnd"/>
            <w:r>
              <w:rPr>
                <w:color w:val="000000"/>
                <w:sz w:val="22"/>
              </w:rPr>
              <w:t xml:space="preserve"> Penal Code, </w:t>
            </w:r>
            <w:proofErr w:type="spellStart"/>
            <w:r>
              <w:rPr>
                <w:color w:val="000000"/>
                <w:sz w:val="22"/>
              </w:rPr>
              <w:t>the</w:t>
            </w:r>
            <w:proofErr w:type="spellEnd"/>
            <w:r>
              <w:rPr>
                <w:color w:val="000000"/>
                <w:sz w:val="22"/>
              </w:rPr>
              <w:t xml:space="preserve"> </w:t>
            </w:r>
            <w:proofErr w:type="spellStart"/>
            <w:r>
              <w:rPr>
                <w:color w:val="000000"/>
                <w:sz w:val="22"/>
              </w:rPr>
              <w:t>following</w:t>
            </w:r>
            <w:proofErr w:type="spellEnd"/>
            <w:r>
              <w:rPr>
                <w:color w:val="000000"/>
                <w:sz w:val="22"/>
              </w:rPr>
              <w:t xml:space="preserve"> </w:t>
            </w:r>
            <w:proofErr w:type="spellStart"/>
            <w:r>
              <w:rPr>
                <w:color w:val="000000"/>
                <w:sz w:val="22"/>
              </w:rPr>
              <w:t>main</w:t>
            </w:r>
            <w:proofErr w:type="spellEnd"/>
            <w:r>
              <w:rPr>
                <w:color w:val="000000"/>
                <w:sz w:val="22"/>
              </w:rPr>
              <w:t xml:space="preserve"> </w:t>
            </w:r>
            <w:proofErr w:type="spellStart"/>
            <w:r>
              <w:rPr>
                <w:color w:val="000000"/>
                <w:sz w:val="22"/>
              </w:rPr>
              <w:t>obligations</w:t>
            </w:r>
            <w:proofErr w:type="spellEnd"/>
            <w:r>
              <w:rPr>
                <w:color w:val="000000"/>
                <w:sz w:val="22"/>
              </w:rPr>
              <w:t xml:space="preserve"> are </w:t>
            </w:r>
            <w:proofErr w:type="spellStart"/>
            <w:r>
              <w:rPr>
                <w:color w:val="000000"/>
                <w:sz w:val="22"/>
              </w:rPr>
              <w:t>established</w:t>
            </w:r>
            <w:proofErr w:type="spellEnd"/>
            <w:r>
              <w:rPr>
                <w:color w:val="000000"/>
                <w:sz w:val="22"/>
              </w:rPr>
              <w:t xml:space="preserve"> </w:t>
            </w:r>
            <w:proofErr w:type="spellStart"/>
            <w:r>
              <w:rPr>
                <w:color w:val="000000"/>
                <w:sz w:val="22"/>
              </w:rPr>
              <w:t>that</w:t>
            </w:r>
            <w:proofErr w:type="spellEnd"/>
            <w:r>
              <w:rPr>
                <w:color w:val="000000"/>
                <w:sz w:val="22"/>
              </w:rPr>
              <w:t xml:space="preserve"> </w:t>
            </w:r>
            <w:proofErr w:type="spellStart"/>
            <w:r>
              <w:rPr>
                <w:color w:val="000000"/>
                <w:sz w:val="22"/>
              </w:rPr>
              <w:t>the</w:t>
            </w:r>
            <w:proofErr w:type="spellEnd"/>
            <w:r>
              <w:rPr>
                <w:color w:val="000000"/>
                <w:sz w:val="22"/>
              </w:rPr>
              <w:t xml:space="preserve"> </w:t>
            </w:r>
            <w:proofErr w:type="spellStart"/>
            <w:r>
              <w:rPr>
                <w:color w:val="000000"/>
                <w:sz w:val="22"/>
              </w:rPr>
              <w:t>signatory</w:t>
            </w:r>
            <w:proofErr w:type="spellEnd"/>
            <w:r>
              <w:rPr>
                <w:color w:val="000000"/>
                <w:sz w:val="22"/>
              </w:rPr>
              <w:t xml:space="preserve"> </w:t>
            </w:r>
            <w:proofErr w:type="spellStart"/>
            <w:r>
              <w:rPr>
                <w:color w:val="000000"/>
                <w:sz w:val="22"/>
              </w:rPr>
              <w:t>company</w:t>
            </w:r>
            <w:proofErr w:type="spellEnd"/>
            <w:r>
              <w:rPr>
                <w:color w:val="000000"/>
                <w:sz w:val="22"/>
              </w:rPr>
              <w:t xml:space="preserve"> </w:t>
            </w:r>
            <w:proofErr w:type="spellStart"/>
            <w:r>
              <w:rPr>
                <w:color w:val="000000"/>
                <w:sz w:val="22"/>
              </w:rPr>
              <w:t>must</w:t>
            </w:r>
            <w:proofErr w:type="spellEnd"/>
            <w:r>
              <w:rPr>
                <w:color w:val="000000"/>
                <w:sz w:val="22"/>
              </w:rPr>
              <w:t xml:space="preserve"> </w:t>
            </w:r>
            <w:proofErr w:type="spellStart"/>
            <w:r>
              <w:rPr>
                <w:color w:val="000000"/>
                <w:sz w:val="22"/>
              </w:rPr>
              <w:t>fulfill</w:t>
            </w:r>
            <w:proofErr w:type="spellEnd"/>
            <w:r>
              <w:rPr>
                <w:color w:val="000000"/>
                <w:sz w:val="22"/>
              </w:rPr>
              <w:t>:</w:t>
            </w:r>
          </w:p>
          <w:p w14:paraId="2DC4F7DB" w14:textId="77777777" w:rsidR="00E255F4" w:rsidRDefault="00000000">
            <w:pPr>
              <w:widowControl w:val="0"/>
              <w:numPr>
                <w:ilvl w:val="0"/>
                <w:numId w:val="2"/>
              </w:numPr>
              <w:autoSpaceDE w:val="0"/>
              <w:spacing w:line="360" w:lineRule="auto"/>
              <w:ind w:left="720" w:hanging="720"/>
              <w:contextualSpacing/>
              <w:jc w:val="both"/>
              <w:rPr>
                <w:color w:val="000000"/>
                <w:sz w:val="22"/>
              </w:rPr>
            </w:pPr>
            <w:r>
              <w:rPr>
                <w:color w:val="000000"/>
                <w:sz w:val="22"/>
              </w:rPr>
              <w:t xml:space="preserve">a) </w:t>
            </w:r>
            <w:proofErr w:type="spellStart"/>
            <w:r>
              <w:rPr>
                <w:color w:val="000000"/>
                <w:sz w:val="22"/>
              </w:rPr>
              <w:t>maintain</w:t>
            </w:r>
            <w:proofErr w:type="spellEnd"/>
            <w:r>
              <w:rPr>
                <w:color w:val="000000"/>
                <w:sz w:val="22"/>
              </w:rPr>
              <w:t xml:space="preserve"> </w:t>
            </w:r>
            <w:proofErr w:type="spellStart"/>
            <w:r>
              <w:rPr>
                <w:color w:val="000000"/>
                <w:sz w:val="22"/>
              </w:rPr>
              <w:t>strict</w:t>
            </w:r>
            <w:proofErr w:type="spellEnd"/>
            <w:r>
              <w:rPr>
                <w:color w:val="000000"/>
                <w:sz w:val="22"/>
              </w:rPr>
              <w:t xml:space="preserve"> and absolute </w:t>
            </w:r>
            <w:proofErr w:type="spellStart"/>
            <w:r>
              <w:rPr>
                <w:color w:val="000000"/>
                <w:sz w:val="22"/>
              </w:rPr>
              <w:t>confidentiality</w:t>
            </w:r>
            <w:proofErr w:type="spellEnd"/>
            <w:r>
              <w:rPr>
                <w:color w:val="000000"/>
                <w:sz w:val="22"/>
              </w:rPr>
              <w:t xml:space="preserve"> and </w:t>
            </w:r>
            <w:proofErr w:type="spellStart"/>
            <w:r>
              <w:rPr>
                <w:color w:val="000000"/>
                <w:sz w:val="22"/>
              </w:rPr>
              <w:t>secrecy</w:t>
            </w:r>
            <w:proofErr w:type="spellEnd"/>
            <w:r>
              <w:rPr>
                <w:color w:val="000000"/>
                <w:sz w:val="22"/>
              </w:rPr>
              <w:t xml:space="preserve"> </w:t>
            </w:r>
            <w:proofErr w:type="spellStart"/>
            <w:r>
              <w:rPr>
                <w:color w:val="000000"/>
                <w:sz w:val="22"/>
              </w:rPr>
              <w:t>regarding</w:t>
            </w:r>
            <w:proofErr w:type="spellEnd"/>
            <w:r>
              <w:rPr>
                <w:color w:val="000000"/>
                <w:sz w:val="22"/>
              </w:rPr>
              <w:t xml:space="preserve"> </w:t>
            </w:r>
            <w:proofErr w:type="spellStart"/>
            <w:r>
              <w:rPr>
                <w:color w:val="000000"/>
                <w:sz w:val="22"/>
              </w:rPr>
              <w:t>all</w:t>
            </w:r>
            <w:proofErr w:type="spellEnd"/>
            <w:r>
              <w:rPr>
                <w:color w:val="000000"/>
                <w:sz w:val="22"/>
              </w:rPr>
              <w:t xml:space="preserve"> </w:t>
            </w:r>
            <w:proofErr w:type="spellStart"/>
            <w:r>
              <w:rPr>
                <w:color w:val="000000"/>
                <w:sz w:val="22"/>
              </w:rPr>
              <w:t>information</w:t>
            </w:r>
            <w:proofErr w:type="spellEnd"/>
            <w:r>
              <w:rPr>
                <w:color w:val="000000"/>
                <w:sz w:val="22"/>
              </w:rPr>
              <w:t xml:space="preserve"> </w:t>
            </w:r>
            <w:proofErr w:type="spellStart"/>
            <w:r>
              <w:rPr>
                <w:color w:val="000000"/>
                <w:sz w:val="22"/>
              </w:rPr>
              <w:t>or</w:t>
            </w:r>
            <w:proofErr w:type="spellEnd"/>
            <w:r>
              <w:rPr>
                <w:color w:val="000000"/>
                <w:sz w:val="22"/>
              </w:rPr>
              <w:t xml:space="preserve"> </w:t>
            </w:r>
            <w:proofErr w:type="spellStart"/>
            <w:r>
              <w:rPr>
                <w:color w:val="000000"/>
                <w:sz w:val="22"/>
              </w:rPr>
              <w:t>knowledge</w:t>
            </w:r>
            <w:proofErr w:type="spellEnd"/>
            <w:r>
              <w:rPr>
                <w:color w:val="000000"/>
                <w:sz w:val="22"/>
              </w:rPr>
              <w:t xml:space="preserve"> </w:t>
            </w:r>
            <w:proofErr w:type="spellStart"/>
            <w:r>
              <w:rPr>
                <w:color w:val="000000"/>
                <w:sz w:val="22"/>
              </w:rPr>
              <w:t>included</w:t>
            </w:r>
            <w:proofErr w:type="spellEnd"/>
            <w:r>
              <w:rPr>
                <w:color w:val="000000"/>
                <w:sz w:val="22"/>
              </w:rPr>
              <w:t xml:space="preserve"> in </w:t>
            </w:r>
            <w:proofErr w:type="spellStart"/>
            <w:r>
              <w:rPr>
                <w:color w:val="000000"/>
                <w:sz w:val="22"/>
              </w:rPr>
              <w:t>the</w:t>
            </w:r>
            <w:proofErr w:type="spellEnd"/>
            <w:r>
              <w:rPr>
                <w:color w:val="000000"/>
                <w:sz w:val="22"/>
              </w:rPr>
              <w:t xml:space="preserve"> </w:t>
            </w:r>
            <w:proofErr w:type="spellStart"/>
            <w:r>
              <w:rPr>
                <w:color w:val="000000"/>
                <w:sz w:val="22"/>
              </w:rPr>
              <w:t>previous</w:t>
            </w:r>
            <w:proofErr w:type="spellEnd"/>
            <w:r>
              <w:rPr>
                <w:color w:val="000000"/>
                <w:sz w:val="22"/>
              </w:rPr>
              <w:t xml:space="preserve"> </w:t>
            </w:r>
            <w:proofErr w:type="spellStart"/>
            <w:r>
              <w:rPr>
                <w:color w:val="000000"/>
                <w:sz w:val="22"/>
              </w:rPr>
              <w:t>clause</w:t>
            </w:r>
            <w:proofErr w:type="spellEnd"/>
            <w:r>
              <w:rPr>
                <w:color w:val="000000"/>
                <w:sz w:val="22"/>
              </w:rPr>
              <w:t>;</w:t>
            </w:r>
          </w:p>
          <w:p w14:paraId="78656AD1" w14:textId="77777777" w:rsidR="00E255F4" w:rsidRDefault="00000000">
            <w:pPr>
              <w:widowControl w:val="0"/>
              <w:numPr>
                <w:ilvl w:val="0"/>
                <w:numId w:val="2"/>
              </w:numPr>
              <w:autoSpaceDE w:val="0"/>
              <w:spacing w:line="360" w:lineRule="auto"/>
              <w:ind w:left="720" w:hanging="720"/>
              <w:contextualSpacing/>
              <w:jc w:val="both"/>
            </w:pPr>
            <w:r>
              <w:rPr>
                <w:color w:val="000000"/>
                <w:sz w:val="22"/>
              </w:rPr>
              <w:t xml:space="preserve">b) </w:t>
            </w:r>
            <w:proofErr w:type="spellStart"/>
            <w:r>
              <w:rPr>
                <w:color w:val="000000"/>
                <w:sz w:val="22"/>
              </w:rPr>
              <w:t>apply</w:t>
            </w:r>
            <w:proofErr w:type="spellEnd"/>
            <w:r>
              <w:rPr>
                <w:color w:val="000000"/>
                <w:sz w:val="22"/>
              </w:rPr>
              <w:t xml:space="preserve"> </w:t>
            </w:r>
            <w:proofErr w:type="spellStart"/>
            <w:r>
              <w:rPr>
                <w:color w:val="000000"/>
                <w:sz w:val="22"/>
              </w:rPr>
              <w:t>the</w:t>
            </w:r>
            <w:proofErr w:type="spellEnd"/>
            <w:r>
              <w:rPr>
                <w:color w:val="000000"/>
                <w:sz w:val="22"/>
              </w:rPr>
              <w:t xml:space="preserve"> </w:t>
            </w:r>
            <w:proofErr w:type="spellStart"/>
            <w:r>
              <w:rPr>
                <w:color w:val="000000"/>
                <w:sz w:val="22"/>
              </w:rPr>
              <w:t>corresponding</w:t>
            </w:r>
            <w:proofErr w:type="spellEnd"/>
            <w:r>
              <w:rPr>
                <w:color w:val="000000"/>
                <w:sz w:val="22"/>
              </w:rPr>
              <w:t xml:space="preserve"> </w:t>
            </w:r>
            <w:proofErr w:type="spellStart"/>
            <w:r>
              <w:rPr>
                <w:color w:val="000000"/>
                <w:sz w:val="22"/>
              </w:rPr>
              <w:t>security</w:t>
            </w:r>
            <w:proofErr w:type="spellEnd"/>
            <w:r>
              <w:rPr>
                <w:color w:val="000000"/>
                <w:sz w:val="22"/>
              </w:rPr>
              <w:t xml:space="preserve"> </w:t>
            </w:r>
            <w:proofErr w:type="spellStart"/>
            <w:r>
              <w:rPr>
                <w:color w:val="000000"/>
                <w:sz w:val="22"/>
              </w:rPr>
              <w:t>measures</w:t>
            </w:r>
            <w:proofErr w:type="spellEnd"/>
            <w:r>
              <w:rPr>
                <w:color w:val="000000"/>
                <w:sz w:val="22"/>
              </w:rPr>
              <w:t xml:space="preserve"> </w:t>
            </w:r>
            <w:proofErr w:type="spellStart"/>
            <w:r>
              <w:rPr>
                <w:color w:val="000000"/>
                <w:sz w:val="22"/>
              </w:rPr>
              <w:t>that</w:t>
            </w:r>
            <w:proofErr w:type="spellEnd"/>
            <w:r>
              <w:rPr>
                <w:color w:val="000000"/>
                <w:sz w:val="22"/>
              </w:rPr>
              <w:t xml:space="preserve"> are </w:t>
            </w:r>
            <w:proofErr w:type="spellStart"/>
            <w:r>
              <w:rPr>
                <w:color w:val="000000"/>
                <w:sz w:val="22"/>
              </w:rPr>
              <w:t>reasonable</w:t>
            </w:r>
            <w:proofErr w:type="spellEnd"/>
            <w:r>
              <w:rPr>
                <w:color w:val="000000"/>
                <w:sz w:val="22"/>
              </w:rPr>
              <w:t xml:space="preserve"> and </w:t>
            </w:r>
            <w:proofErr w:type="spellStart"/>
            <w:r>
              <w:rPr>
                <w:color w:val="000000"/>
                <w:sz w:val="22"/>
              </w:rPr>
              <w:t>prudent</w:t>
            </w:r>
            <w:proofErr w:type="spellEnd"/>
            <w:r>
              <w:rPr>
                <w:color w:val="000000"/>
                <w:sz w:val="22"/>
              </w:rPr>
              <w:t xml:space="preserve"> </w:t>
            </w:r>
            <w:proofErr w:type="spellStart"/>
            <w:r>
              <w:rPr>
                <w:color w:val="000000"/>
                <w:sz w:val="22"/>
              </w:rPr>
              <w:t>to</w:t>
            </w:r>
            <w:proofErr w:type="spellEnd"/>
            <w:r>
              <w:rPr>
                <w:color w:val="000000"/>
                <w:sz w:val="22"/>
              </w:rPr>
              <w:t xml:space="preserve"> </w:t>
            </w:r>
            <w:proofErr w:type="spellStart"/>
            <w:r>
              <w:rPr>
                <w:color w:val="000000"/>
                <w:sz w:val="22"/>
              </w:rPr>
              <w:t>protect</w:t>
            </w:r>
            <w:proofErr w:type="spellEnd"/>
            <w:r>
              <w:rPr>
                <w:color w:val="000000"/>
                <w:sz w:val="22"/>
              </w:rPr>
              <w:t xml:space="preserve"> </w:t>
            </w:r>
            <w:proofErr w:type="spellStart"/>
            <w:r>
              <w:rPr>
                <w:color w:val="000000"/>
                <w:sz w:val="22"/>
              </w:rPr>
              <w:t>the</w:t>
            </w:r>
            <w:proofErr w:type="spellEnd"/>
            <w:r>
              <w:rPr>
                <w:color w:val="000000"/>
                <w:sz w:val="22"/>
              </w:rPr>
              <w:t xml:space="preserve"> </w:t>
            </w:r>
            <w:proofErr w:type="spellStart"/>
            <w:r>
              <w:rPr>
                <w:color w:val="000000"/>
                <w:sz w:val="22"/>
              </w:rPr>
              <w:t>information</w:t>
            </w:r>
            <w:proofErr w:type="spellEnd"/>
            <w:r>
              <w:rPr>
                <w:color w:val="000000"/>
                <w:sz w:val="22"/>
              </w:rPr>
              <w:t xml:space="preserve"> </w:t>
            </w:r>
            <w:proofErr w:type="spellStart"/>
            <w:r>
              <w:rPr>
                <w:color w:val="000000"/>
                <w:sz w:val="22"/>
              </w:rPr>
              <w:t>referred</w:t>
            </w:r>
            <w:proofErr w:type="spellEnd"/>
            <w:r>
              <w:rPr>
                <w:color w:val="000000"/>
                <w:sz w:val="22"/>
              </w:rPr>
              <w:t xml:space="preserve"> </w:t>
            </w:r>
            <w:proofErr w:type="spellStart"/>
            <w:r>
              <w:rPr>
                <w:color w:val="000000"/>
                <w:sz w:val="22"/>
              </w:rPr>
              <w:t>to</w:t>
            </w:r>
            <w:proofErr w:type="spellEnd"/>
            <w:r>
              <w:rPr>
                <w:color w:val="000000"/>
                <w:sz w:val="22"/>
              </w:rPr>
              <w:t xml:space="preserve">, </w:t>
            </w:r>
            <w:proofErr w:type="spellStart"/>
            <w:r>
              <w:rPr>
                <w:color w:val="000000"/>
                <w:sz w:val="22"/>
              </w:rPr>
              <w:t>taking</w:t>
            </w:r>
            <w:proofErr w:type="spellEnd"/>
            <w:r>
              <w:rPr>
                <w:color w:val="000000"/>
                <w:sz w:val="22"/>
              </w:rPr>
              <w:t xml:space="preserve"> </w:t>
            </w:r>
            <w:proofErr w:type="spellStart"/>
            <w:r>
              <w:rPr>
                <w:color w:val="000000"/>
                <w:sz w:val="22"/>
              </w:rPr>
              <w:t>into</w:t>
            </w:r>
            <w:proofErr w:type="spellEnd"/>
            <w:r>
              <w:rPr>
                <w:color w:val="000000"/>
                <w:sz w:val="22"/>
              </w:rPr>
              <w:t xml:space="preserve"> </w:t>
            </w:r>
            <w:proofErr w:type="spellStart"/>
            <w:r>
              <w:rPr>
                <w:color w:val="000000"/>
                <w:sz w:val="22"/>
              </w:rPr>
              <w:t>account</w:t>
            </w:r>
            <w:proofErr w:type="spellEnd"/>
            <w:r>
              <w:rPr>
                <w:color w:val="000000"/>
                <w:sz w:val="22"/>
              </w:rPr>
              <w:t xml:space="preserve">, </w:t>
            </w:r>
            <w:proofErr w:type="spellStart"/>
            <w:r>
              <w:rPr>
                <w:color w:val="000000"/>
                <w:sz w:val="22"/>
              </w:rPr>
              <w:t>but</w:t>
            </w:r>
            <w:proofErr w:type="spellEnd"/>
            <w:r>
              <w:rPr>
                <w:color w:val="000000"/>
                <w:sz w:val="22"/>
              </w:rPr>
              <w:t xml:space="preserve"> </w:t>
            </w:r>
            <w:proofErr w:type="spellStart"/>
            <w:r>
              <w:rPr>
                <w:color w:val="000000"/>
                <w:sz w:val="22"/>
              </w:rPr>
              <w:t>not</w:t>
            </w:r>
            <w:proofErr w:type="spellEnd"/>
            <w:r>
              <w:rPr>
                <w:color w:val="000000"/>
                <w:sz w:val="22"/>
              </w:rPr>
              <w:t xml:space="preserve"> </w:t>
            </w:r>
            <w:proofErr w:type="spellStart"/>
            <w:r>
              <w:rPr>
                <w:color w:val="000000"/>
                <w:sz w:val="22"/>
              </w:rPr>
              <w:t>limited</w:t>
            </w:r>
            <w:proofErr w:type="spellEnd"/>
            <w:r>
              <w:rPr>
                <w:color w:val="000000"/>
                <w:sz w:val="22"/>
              </w:rPr>
              <w:t xml:space="preserve"> </w:t>
            </w:r>
            <w:proofErr w:type="spellStart"/>
            <w:r>
              <w:rPr>
                <w:color w:val="000000"/>
                <w:sz w:val="22"/>
              </w:rPr>
              <w:t>to</w:t>
            </w:r>
            <w:proofErr w:type="spellEnd"/>
            <w:r>
              <w:rPr>
                <w:color w:val="000000"/>
                <w:sz w:val="22"/>
              </w:rPr>
              <w:t xml:space="preserve">, </w:t>
            </w:r>
            <w:proofErr w:type="spellStart"/>
            <w:r>
              <w:rPr>
                <w:color w:val="000000"/>
                <w:sz w:val="22"/>
              </w:rPr>
              <w:t>the</w:t>
            </w:r>
            <w:proofErr w:type="spellEnd"/>
            <w:r>
              <w:rPr>
                <w:color w:val="000000"/>
                <w:sz w:val="22"/>
              </w:rPr>
              <w:t xml:space="preserve"> OSE </w:t>
            </w:r>
            <w:proofErr w:type="spellStart"/>
            <w:r>
              <w:rPr>
                <w:color w:val="000000"/>
                <w:sz w:val="22"/>
              </w:rPr>
              <w:t>security</w:t>
            </w:r>
            <w:proofErr w:type="spellEnd"/>
            <w:r>
              <w:rPr>
                <w:color w:val="000000"/>
                <w:sz w:val="22"/>
              </w:rPr>
              <w:t xml:space="preserve"> </w:t>
            </w:r>
            <w:proofErr w:type="spellStart"/>
            <w:r>
              <w:rPr>
                <w:color w:val="000000"/>
                <w:sz w:val="22"/>
              </w:rPr>
              <w:t>provisions</w:t>
            </w:r>
            <w:proofErr w:type="spellEnd"/>
            <w:r>
              <w:rPr>
                <w:color w:val="000000"/>
                <w:sz w:val="22"/>
              </w:rPr>
              <w:t xml:space="preserve"> </w:t>
            </w:r>
            <w:proofErr w:type="spellStart"/>
            <w:r>
              <w:rPr>
                <w:color w:val="000000"/>
                <w:sz w:val="22"/>
              </w:rPr>
              <w:t>that</w:t>
            </w:r>
            <w:proofErr w:type="spellEnd"/>
            <w:r>
              <w:rPr>
                <w:color w:val="000000"/>
                <w:sz w:val="22"/>
              </w:rPr>
              <w:t xml:space="preserve"> are </w:t>
            </w:r>
            <w:proofErr w:type="spellStart"/>
            <w:r>
              <w:rPr>
                <w:color w:val="000000"/>
                <w:sz w:val="22"/>
              </w:rPr>
              <w:t>instructed</w:t>
            </w:r>
            <w:proofErr w:type="spellEnd"/>
            <w:r>
              <w:rPr>
                <w:color w:val="000000"/>
                <w:sz w:val="22"/>
              </w:rPr>
              <w:t xml:space="preserve"> </w:t>
            </w:r>
            <w:proofErr w:type="spellStart"/>
            <w:r>
              <w:rPr>
                <w:color w:val="000000"/>
                <w:sz w:val="22"/>
              </w:rPr>
              <w:t>to</w:t>
            </w:r>
            <w:proofErr w:type="spellEnd"/>
            <w:r>
              <w:rPr>
                <w:color w:val="000000"/>
                <w:sz w:val="22"/>
              </w:rPr>
              <w:t xml:space="preserve"> </w:t>
            </w:r>
            <w:proofErr w:type="spellStart"/>
            <w:r>
              <w:rPr>
                <w:color w:val="000000"/>
                <w:sz w:val="22"/>
              </w:rPr>
              <w:t>the</w:t>
            </w:r>
            <w:proofErr w:type="spellEnd"/>
            <w:r>
              <w:rPr>
                <w:color w:val="000000"/>
                <w:sz w:val="22"/>
              </w:rPr>
              <w:t xml:space="preserve"> </w:t>
            </w:r>
            <w:proofErr w:type="spellStart"/>
            <w:r>
              <w:rPr>
                <w:color w:val="000000"/>
                <w:sz w:val="22"/>
              </w:rPr>
              <w:t>signatory</w:t>
            </w:r>
            <w:proofErr w:type="spellEnd"/>
            <w:r>
              <w:rPr>
                <w:color w:val="000000"/>
                <w:sz w:val="22"/>
              </w:rPr>
              <w:t xml:space="preserve"> </w:t>
            </w:r>
            <w:proofErr w:type="spellStart"/>
            <w:r>
              <w:rPr>
                <w:color w:val="000000"/>
                <w:sz w:val="22"/>
              </w:rPr>
              <w:t>company</w:t>
            </w:r>
            <w:proofErr w:type="spellEnd"/>
            <w:r>
              <w:rPr>
                <w:color w:val="000000"/>
                <w:sz w:val="22"/>
              </w:rPr>
              <w:t>;</w:t>
            </w:r>
          </w:p>
          <w:p w14:paraId="65BFC118" w14:textId="77777777" w:rsidR="00E255F4" w:rsidRDefault="00000000">
            <w:pPr>
              <w:widowControl w:val="0"/>
              <w:numPr>
                <w:ilvl w:val="0"/>
                <w:numId w:val="2"/>
              </w:numPr>
              <w:autoSpaceDE w:val="0"/>
              <w:spacing w:line="360" w:lineRule="auto"/>
              <w:ind w:left="720" w:hanging="720"/>
              <w:contextualSpacing/>
              <w:jc w:val="both"/>
            </w:pPr>
            <w:r>
              <w:rPr>
                <w:color w:val="000000"/>
                <w:sz w:val="22"/>
              </w:rPr>
              <w:t xml:space="preserve">c) use </w:t>
            </w:r>
            <w:proofErr w:type="spellStart"/>
            <w:r>
              <w:rPr>
                <w:color w:val="000000"/>
                <w:sz w:val="22"/>
              </w:rPr>
              <w:t>the</w:t>
            </w:r>
            <w:proofErr w:type="spellEnd"/>
            <w:r>
              <w:rPr>
                <w:color w:val="000000"/>
                <w:sz w:val="22"/>
              </w:rPr>
              <w:t xml:space="preserve"> </w:t>
            </w:r>
            <w:proofErr w:type="spellStart"/>
            <w:r>
              <w:rPr>
                <w:color w:val="000000"/>
                <w:sz w:val="22"/>
              </w:rPr>
              <w:t>confidential</w:t>
            </w:r>
            <w:proofErr w:type="spellEnd"/>
            <w:r>
              <w:rPr>
                <w:color w:val="000000"/>
                <w:sz w:val="22"/>
              </w:rPr>
              <w:t xml:space="preserve"> </w:t>
            </w:r>
            <w:proofErr w:type="spellStart"/>
            <w:r>
              <w:rPr>
                <w:color w:val="000000"/>
                <w:sz w:val="22"/>
              </w:rPr>
              <w:t>information</w:t>
            </w:r>
            <w:proofErr w:type="spellEnd"/>
            <w:r>
              <w:rPr>
                <w:color w:val="000000"/>
                <w:sz w:val="22"/>
              </w:rPr>
              <w:t xml:space="preserve"> </w:t>
            </w:r>
            <w:proofErr w:type="spellStart"/>
            <w:r>
              <w:rPr>
                <w:color w:val="000000"/>
                <w:sz w:val="22"/>
              </w:rPr>
              <w:t>only</w:t>
            </w:r>
            <w:proofErr w:type="spellEnd"/>
            <w:r>
              <w:rPr>
                <w:color w:val="000000"/>
                <w:sz w:val="22"/>
              </w:rPr>
              <w:t xml:space="preserve"> </w:t>
            </w:r>
            <w:proofErr w:type="spellStart"/>
            <w:r>
              <w:rPr>
                <w:color w:val="000000"/>
                <w:sz w:val="22"/>
              </w:rPr>
              <w:t>for</w:t>
            </w:r>
            <w:proofErr w:type="spellEnd"/>
            <w:r>
              <w:rPr>
                <w:color w:val="000000"/>
                <w:sz w:val="22"/>
              </w:rPr>
              <w:t xml:space="preserve"> </w:t>
            </w:r>
            <w:proofErr w:type="spellStart"/>
            <w:r>
              <w:rPr>
                <w:color w:val="000000"/>
                <w:sz w:val="22"/>
              </w:rPr>
              <w:t>the</w:t>
            </w:r>
            <w:proofErr w:type="spellEnd"/>
            <w:r>
              <w:rPr>
                <w:color w:val="000000"/>
                <w:sz w:val="22"/>
              </w:rPr>
              <w:t xml:space="preserve"> </w:t>
            </w:r>
            <w:proofErr w:type="spellStart"/>
            <w:r>
              <w:rPr>
                <w:color w:val="000000"/>
                <w:sz w:val="22"/>
              </w:rPr>
              <w:t>established</w:t>
            </w:r>
            <w:proofErr w:type="spellEnd"/>
            <w:r>
              <w:rPr>
                <w:color w:val="000000"/>
                <w:sz w:val="22"/>
              </w:rPr>
              <w:t xml:space="preserve"> </w:t>
            </w:r>
            <w:proofErr w:type="spellStart"/>
            <w:r>
              <w:rPr>
                <w:color w:val="000000"/>
                <w:sz w:val="22"/>
              </w:rPr>
              <w:t>purpose</w:t>
            </w:r>
            <w:proofErr w:type="spellEnd"/>
            <w:r>
              <w:rPr>
                <w:color w:val="000000"/>
                <w:sz w:val="22"/>
              </w:rPr>
              <w:t xml:space="preserve">, </w:t>
            </w:r>
            <w:proofErr w:type="spellStart"/>
            <w:r>
              <w:rPr>
                <w:color w:val="000000"/>
                <w:sz w:val="22"/>
              </w:rPr>
              <w:t>the</w:t>
            </w:r>
            <w:proofErr w:type="spellEnd"/>
            <w:r>
              <w:rPr>
                <w:color w:val="000000"/>
                <w:sz w:val="22"/>
              </w:rPr>
              <w:t xml:space="preserve"> </w:t>
            </w:r>
            <w:proofErr w:type="spellStart"/>
            <w:r>
              <w:rPr>
                <w:color w:val="000000"/>
                <w:sz w:val="22"/>
              </w:rPr>
              <w:t>signatory</w:t>
            </w:r>
            <w:proofErr w:type="spellEnd"/>
            <w:r>
              <w:rPr>
                <w:color w:val="000000"/>
                <w:sz w:val="22"/>
              </w:rPr>
              <w:t xml:space="preserve"> </w:t>
            </w:r>
            <w:proofErr w:type="spellStart"/>
            <w:r>
              <w:rPr>
                <w:color w:val="000000"/>
                <w:sz w:val="22"/>
              </w:rPr>
              <w:t>company</w:t>
            </w:r>
            <w:proofErr w:type="spellEnd"/>
            <w:r>
              <w:rPr>
                <w:color w:val="000000"/>
                <w:sz w:val="22"/>
              </w:rPr>
              <w:t xml:space="preserve"> </w:t>
            </w:r>
            <w:proofErr w:type="spellStart"/>
            <w:r>
              <w:rPr>
                <w:color w:val="000000"/>
                <w:sz w:val="22"/>
              </w:rPr>
              <w:t>is</w:t>
            </w:r>
            <w:proofErr w:type="spellEnd"/>
            <w:r>
              <w:rPr>
                <w:color w:val="000000"/>
                <w:sz w:val="22"/>
              </w:rPr>
              <w:t xml:space="preserve"> </w:t>
            </w:r>
            <w:proofErr w:type="spellStart"/>
            <w:r>
              <w:rPr>
                <w:color w:val="000000"/>
                <w:sz w:val="22"/>
              </w:rPr>
              <w:t>prohibited</w:t>
            </w:r>
            <w:proofErr w:type="spellEnd"/>
            <w:r>
              <w:rPr>
                <w:color w:val="000000"/>
                <w:sz w:val="22"/>
              </w:rPr>
              <w:t xml:space="preserve"> </w:t>
            </w:r>
            <w:proofErr w:type="spellStart"/>
            <w:r>
              <w:rPr>
                <w:color w:val="000000"/>
                <w:sz w:val="22"/>
              </w:rPr>
              <w:t>from</w:t>
            </w:r>
            <w:proofErr w:type="spellEnd"/>
            <w:r>
              <w:rPr>
                <w:color w:val="000000"/>
                <w:sz w:val="22"/>
              </w:rPr>
              <w:t xml:space="preserve"> </w:t>
            </w:r>
            <w:proofErr w:type="spellStart"/>
            <w:r>
              <w:rPr>
                <w:color w:val="000000"/>
                <w:sz w:val="22"/>
              </w:rPr>
              <w:t>any</w:t>
            </w:r>
            <w:proofErr w:type="spellEnd"/>
            <w:r>
              <w:rPr>
                <w:color w:val="000000"/>
                <w:sz w:val="22"/>
              </w:rPr>
              <w:t xml:space="preserve"> use </w:t>
            </w:r>
            <w:proofErr w:type="spellStart"/>
            <w:r>
              <w:rPr>
                <w:color w:val="000000"/>
                <w:sz w:val="22"/>
              </w:rPr>
              <w:t>or</w:t>
            </w:r>
            <w:proofErr w:type="spellEnd"/>
            <w:r>
              <w:rPr>
                <w:color w:val="000000"/>
                <w:sz w:val="22"/>
              </w:rPr>
              <w:t xml:space="preserve"> </w:t>
            </w:r>
            <w:proofErr w:type="spellStart"/>
            <w:r>
              <w:rPr>
                <w:color w:val="000000"/>
                <w:sz w:val="22"/>
              </w:rPr>
              <w:t>reproduction</w:t>
            </w:r>
            <w:proofErr w:type="spellEnd"/>
            <w:r>
              <w:rPr>
                <w:color w:val="000000"/>
                <w:sz w:val="22"/>
              </w:rPr>
              <w:t xml:space="preserve"> </w:t>
            </w:r>
            <w:proofErr w:type="spellStart"/>
            <w:r>
              <w:rPr>
                <w:color w:val="000000"/>
                <w:sz w:val="22"/>
              </w:rPr>
              <w:t>for</w:t>
            </w:r>
            <w:proofErr w:type="spellEnd"/>
            <w:r>
              <w:rPr>
                <w:color w:val="000000"/>
                <w:sz w:val="22"/>
              </w:rPr>
              <w:t xml:space="preserve"> </w:t>
            </w:r>
            <w:proofErr w:type="spellStart"/>
            <w:r>
              <w:rPr>
                <w:color w:val="000000"/>
                <w:sz w:val="22"/>
              </w:rPr>
              <w:t>its</w:t>
            </w:r>
            <w:proofErr w:type="spellEnd"/>
            <w:r>
              <w:rPr>
                <w:color w:val="000000"/>
                <w:sz w:val="22"/>
              </w:rPr>
              <w:t xml:space="preserve"> </w:t>
            </w:r>
            <w:proofErr w:type="spellStart"/>
            <w:r>
              <w:rPr>
                <w:color w:val="000000"/>
                <w:sz w:val="22"/>
              </w:rPr>
              <w:t>own</w:t>
            </w:r>
            <w:proofErr w:type="spellEnd"/>
            <w:r>
              <w:rPr>
                <w:color w:val="000000"/>
                <w:sz w:val="22"/>
              </w:rPr>
              <w:t xml:space="preserve"> </w:t>
            </w:r>
            <w:proofErr w:type="spellStart"/>
            <w:r>
              <w:rPr>
                <w:color w:val="000000"/>
                <w:sz w:val="22"/>
              </w:rPr>
              <w:t>benefit</w:t>
            </w:r>
            <w:proofErr w:type="spellEnd"/>
            <w:r>
              <w:rPr>
                <w:color w:val="000000"/>
                <w:sz w:val="22"/>
              </w:rPr>
              <w:t xml:space="preserve"> </w:t>
            </w:r>
            <w:proofErr w:type="spellStart"/>
            <w:r>
              <w:rPr>
                <w:color w:val="000000"/>
                <w:sz w:val="22"/>
              </w:rPr>
              <w:t>or</w:t>
            </w:r>
            <w:proofErr w:type="spellEnd"/>
            <w:r>
              <w:rPr>
                <w:color w:val="000000"/>
                <w:sz w:val="22"/>
              </w:rPr>
              <w:t xml:space="preserve"> </w:t>
            </w:r>
            <w:proofErr w:type="spellStart"/>
            <w:r>
              <w:rPr>
                <w:color w:val="000000"/>
                <w:sz w:val="22"/>
              </w:rPr>
              <w:t>that</w:t>
            </w:r>
            <w:proofErr w:type="spellEnd"/>
            <w:r>
              <w:rPr>
                <w:color w:val="000000"/>
                <w:sz w:val="22"/>
              </w:rPr>
              <w:t xml:space="preserve"> </w:t>
            </w:r>
            <w:proofErr w:type="spellStart"/>
            <w:r>
              <w:rPr>
                <w:color w:val="000000"/>
                <w:sz w:val="22"/>
              </w:rPr>
              <w:t>of</w:t>
            </w:r>
            <w:proofErr w:type="spellEnd"/>
            <w:r>
              <w:rPr>
                <w:color w:val="000000"/>
                <w:sz w:val="22"/>
              </w:rPr>
              <w:t xml:space="preserve"> </w:t>
            </w:r>
            <w:proofErr w:type="spellStart"/>
            <w:r>
              <w:rPr>
                <w:color w:val="000000"/>
                <w:sz w:val="22"/>
              </w:rPr>
              <w:t>third</w:t>
            </w:r>
            <w:proofErr w:type="spellEnd"/>
            <w:r>
              <w:rPr>
                <w:color w:val="000000"/>
                <w:sz w:val="22"/>
              </w:rPr>
              <w:t xml:space="preserve"> </w:t>
            </w:r>
            <w:proofErr w:type="spellStart"/>
            <w:r>
              <w:rPr>
                <w:color w:val="000000"/>
                <w:sz w:val="22"/>
              </w:rPr>
              <w:t>parties</w:t>
            </w:r>
            <w:proofErr w:type="spellEnd"/>
            <w:r>
              <w:rPr>
                <w:color w:val="000000"/>
                <w:sz w:val="22"/>
              </w:rPr>
              <w:t xml:space="preserve">, as </w:t>
            </w:r>
            <w:proofErr w:type="spellStart"/>
            <w:r>
              <w:rPr>
                <w:color w:val="000000"/>
                <w:sz w:val="22"/>
              </w:rPr>
              <w:t>well</w:t>
            </w:r>
            <w:proofErr w:type="spellEnd"/>
            <w:r>
              <w:rPr>
                <w:color w:val="000000"/>
                <w:sz w:val="22"/>
              </w:rPr>
              <w:t xml:space="preserve"> as </w:t>
            </w:r>
            <w:proofErr w:type="spellStart"/>
            <w:r>
              <w:rPr>
                <w:color w:val="000000"/>
                <w:sz w:val="22"/>
              </w:rPr>
              <w:t>any</w:t>
            </w:r>
            <w:proofErr w:type="spellEnd"/>
            <w:r>
              <w:rPr>
                <w:color w:val="000000"/>
                <w:sz w:val="22"/>
              </w:rPr>
              <w:t xml:space="preserve"> </w:t>
            </w:r>
            <w:proofErr w:type="spellStart"/>
            <w:r>
              <w:rPr>
                <w:color w:val="000000"/>
                <w:sz w:val="22"/>
              </w:rPr>
              <w:t>removal</w:t>
            </w:r>
            <w:proofErr w:type="spellEnd"/>
            <w:r>
              <w:rPr>
                <w:color w:val="000000"/>
                <w:sz w:val="22"/>
              </w:rPr>
              <w:t xml:space="preserve"> </w:t>
            </w:r>
            <w:proofErr w:type="spellStart"/>
            <w:r>
              <w:rPr>
                <w:color w:val="000000"/>
                <w:sz w:val="22"/>
              </w:rPr>
              <w:t>of</w:t>
            </w:r>
            <w:proofErr w:type="spellEnd"/>
            <w:r>
              <w:rPr>
                <w:color w:val="000000"/>
                <w:sz w:val="22"/>
              </w:rPr>
              <w:t xml:space="preserve"> </w:t>
            </w:r>
            <w:proofErr w:type="spellStart"/>
            <w:r>
              <w:rPr>
                <w:color w:val="000000"/>
                <w:sz w:val="22"/>
              </w:rPr>
              <w:t>the</w:t>
            </w:r>
            <w:proofErr w:type="spellEnd"/>
            <w:r>
              <w:rPr>
                <w:color w:val="000000"/>
                <w:sz w:val="22"/>
              </w:rPr>
              <w:t xml:space="preserve"> </w:t>
            </w:r>
            <w:proofErr w:type="spellStart"/>
            <w:r>
              <w:rPr>
                <w:color w:val="000000"/>
                <w:sz w:val="22"/>
              </w:rPr>
              <w:t>same</w:t>
            </w:r>
            <w:proofErr w:type="spellEnd"/>
            <w:r>
              <w:rPr>
                <w:color w:val="000000"/>
                <w:sz w:val="22"/>
              </w:rPr>
              <w:t xml:space="preserve"> </w:t>
            </w:r>
            <w:proofErr w:type="spellStart"/>
            <w:r>
              <w:rPr>
                <w:color w:val="000000"/>
                <w:sz w:val="22"/>
              </w:rPr>
              <w:t>from</w:t>
            </w:r>
            <w:proofErr w:type="spellEnd"/>
            <w:r>
              <w:rPr>
                <w:color w:val="000000"/>
                <w:sz w:val="22"/>
              </w:rPr>
              <w:t xml:space="preserve"> </w:t>
            </w:r>
            <w:proofErr w:type="spellStart"/>
            <w:r>
              <w:rPr>
                <w:color w:val="000000"/>
                <w:sz w:val="22"/>
              </w:rPr>
              <w:t>the</w:t>
            </w:r>
            <w:proofErr w:type="spellEnd"/>
            <w:r>
              <w:rPr>
                <w:color w:val="000000"/>
                <w:sz w:val="22"/>
              </w:rPr>
              <w:t xml:space="preserve"> premises </w:t>
            </w:r>
            <w:proofErr w:type="spellStart"/>
            <w:r>
              <w:rPr>
                <w:color w:val="000000"/>
                <w:sz w:val="22"/>
              </w:rPr>
              <w:t>of</w:t>
            </w:r>
            <w:proofErr w:type="spellEnd"/>
            <w:r>
              <w:rPr>
                <w:color w:val="000000"/>
                <w:sz w:val="22"/>
              </w:rPr>
              <w:t xml:space="preserve"> OSE </w:t>
            </w:r>
            <w:proofErr w:type="spellStart"/>
            <w:r>
              <w:rPr>
                <w:color w:val="000000"/>
                <w:sz w:val="22"/>
              </w:rPr>
              <w:t>whether</w:t>
            </w:r>
            <w:proofErr w:type="spellEnd"/>
            <w:r>
              <w:rPr>
                <w:color w:val="000000"/>
                <w:sz w:val="22"/>
              </w:rPr>
              <w:t xml:space="preserve"> in </w:t>
            </w:r>
            <w:proofErr w:type="spellStart"/>
            <w:r>
              <w:rPr>
                <w:color w:val="000000"/>
                <w:sz w:val="22"/>
              </w:rPr>
              <w:t>paper</w:t>
            </w:r>
            <w:proofErr w:type="spellEnd"/>
            <w:r>
              <w:rPr>
                <w:color w:val="000000"/>
                <w:sz w:val="22"/>
              </w:rPr>
              <w:t xml:space="preserve">, </w:t>
            </w:r>
            <w:proofErr w:type="spellStart"/>
            <w:r>
              <w:rPr>
                <w:color w:val="000000"/>
                <w:sz w:val="22"/>
              </w:rPr>
              <w:t>electronic</w:t>
            </w:r>
            <w:proofErr w:type="spellEnd"/>
            <w:r>
              <w:rPr>
                <w:color w:val="000000"/>
                <w:sz w:val="22"/>
              </w:rPr>
              <w:t xml:space="preserve">, </w:t>
            </w:r>
            <w:proofErr w:type="spellStart"/>
            <w:r>
              <w:rPr>
                <w:color w:val="000000"/>
                <w:sz w:val="22"/>
              </w:rPr>
              <w:t>via</w:t>
            </w:r>
            <w:proofErr w:type="spellEnd"/>
            <w:r>
              <w:rPr>
                <w:color w:val="000000"/>
                <w:sz w:val="22"/>
              </w:rPr>
              <w:t xml:space="preserve"> fax </w:t>
            </w:r>
            <w:proofErr w:type="spellStart"/>
            <w:r>
              <w:rPr>
                <w:color w:val="000000"/>
                <w:sz w:val="22"/>
              </w:rPr>
              <w:t>or</w:t>
            </w:r>
            <w:proofErr w:type="spellEnd"/>
            <w:r>
              <w:rPr>
                <w:color w:val="000000"/>
                <w:sz w:val="22"/>
              </w:rPr>
              <w:t xml:space="preserve"> email, </w:t>
            </w:r>
            <w:proofErr w:type="spellStart"/>
            <w:r>
              <w:rPr>
                <w:color w:val="000000"/>
                <w:sz w:val="22"/>
              </w:rPr>
              <w:t>or</w:t>
            </w:r>
            <w:proofErr w:type="spellEnd"/>
            <w:r>
              <w:rPr>
                <w:color w:val="000000"/>
                <w:sz w:val="22"/>
              </w:rPr>
              <w:t xml:space="preserve"> </w:t>
            </w:r>
            <w:proofErr w:type="spellStart"/>
            <w:r>
              <w:rPr>
                <w:color w:val="000000"/>
                <w:sz w:val="22"/>
              </w:rPr>
              <w:t>by</w:t>
            </w:r>
            <w:proofErr w:type="spellEnd"/>
            <w:r>
              <w:rPr>
                <w:color w:val="000000"/>
                <w:sz w:val="22"/>
              </w:rPr>
              <w:t xml:space="preserve"> </w:t>
            </w:r>
            <w:proofErr w:type="spellStart"/>
            <w:r>
              <w:rPr>
                <w:color w:val="000000"/>
                <w:sz w:val="22"/>
              </w:rPr>
              <w:t>any</w:t>
            </w:r>
            <w:proofErr w:type="spellEnd"/>
            <w:r>
              <w:rPr>
                <w:color w:val="000000"/>
                <w:sz w:val="22"/>
              </w:rPr>
              <w:t xml:space="preserve"> </w:t>
            </w:r>
            <w:proofErr w:type="spellStart"/>
            <w:r>
              <w:rPr>
                <w:color w:val="000000"/>
                <w:sz w:val="22"/>
              </w:rPr>
              <w:t>other</w:t>
            </w:r>
            <w:proofErr w:type="spellEnd"/>
            <w:r>
              <w:rPr>
                <w:color w:val="000000"/>
                <w:sz w:val="22"/>
              </w:rPr>
              <w:t xml:space="preserve"> </w:t>
            </w:r>
            <w:proofErr w:type="spellStart"/>
            <w:r>
              <w:rPr>
                <w:color w:val="000000"/>
                <w:sz w:val="22"/>
              </w:rPr>
              <w:t>means</w:t>
            </w:r>
            <w:proofErr w:type="spellEnd"/>
            <w:r>
              <w:rPr>
                <w:color w:val="000000"/>
                <w:sz w:val="22"/>
              </w:rPr>
              <w:t xml:space="preserve"> </w:t>
            </w:r>
            <w:proofErr w:type="spellStart"/>
            <w:r>
              <w:rPr>
                <w:color w:val="000000"/>
                <w:sz w:val="22"/>
              </w:rPr>
              <w:t>without</w:t>
            </w:r>
            <w:proofErr w:type="spellEnd"/>
            <w:r>
              <w:rPr>
                <w:color w:val="000000"/>
                <w:sz w:val="22"/>
              </w:rPr>
              <w:t xml:space="preserve"> </w:t>
            </w:r>
            <w:proofErr w:type="spellStart"/>
            <w:r>
              <w:rPr>
                <w:color w:val="000000"/>
                <w:sz w:val="22"/>
              </w:rPr>
              <w:t>the</w:t>
            </w:r>
            <w:proofErr w:type="spellEnd"/>
            <w:r>
              <w:rPr>
                <w:color w:val="000000"/>
                <w:sz w:val="22"/>
              </w:rPr>
              <w:t xml:space="preserve"> respective </w:t>
            </w:r>
            <w:proofErr w:type="spellStart"/>
            <w:r>
              <w:rPr>
                <w:color w:val="000000"/>
                <w:sz w:val="22"/>
              </w:rPr>
              <w:t>authorization</w:t>
            </w:r>
            <w:proofErr w:type="spellEnd"/>
            <w:r>
              <w:rPr>
                <w:color w:val="000000"/>
                <w:sz w:val="22"/>
              </w:rPr>
              <w:t>;</w:t>
            </w:r>
          </w:p>
          <w:p w14:paraId="085FA896" w14:textId="77777777" w:rsidR="00E255F4" w:rsidRDefault="00000000">
            <w:pPr>
              <w:widowControl w:val="0"/>
              <w:numPr>
                <w:ilvl w:val="0"/>
                <w:numId w:val="2"/>
              </w:numPr>
              <w:autoSpaceDE w:val="0"/>
              <w:spacing w:line="360" w:lineRule="auto"/>
              <w:ind w:left="720" w:hanging="720"/>
              <w:contextualSpacing/>
              <w:jc w:val="both"/>
              <w:rPr>
                <w:color w:val="000000"/>
                <w:sz w:val="22"/>
              </w:rPr>
            </w:pPr>
            <w:r>
              <w:rPr>
                <w:color w:val="000000"/>
                <w:sz w:val="22"/>
              </w:rPr>
              <w:t xml:space="preserve">d) </w:t>
            </w:r>
            <w:proofErr w:type="spellStart"/>
            <w:r>
              <w:rPr>
                <w:color w:val="000000"/>
                <w:sz w:val="22"/>
              </w:rPr>
              <w:t>to</w:t>
            </w:r>
            <w:proofErr w:type="spellEnd"/>
            <w:r>
              <w:rPr>
                <w:color w:val="000000"/>
                <w:sz w:val="22"/>
              </w:rPr>
              <w:t xml:space="preserve"> </w:t>
            </w:r>
            <w:proofErr w:type="spellStart"/>
            <w:r>
              <w:rPr>
                <w:color w:val="000000"/>
                <w:sz w:val="22"/>
              </w:rPr>
              <w:t>warn</w:t>
            </w:r>
            <w:proofErr w:type="spellEnd"/>
            <w:r>
              <w:rPr>
                <w:color w:val="000000"/>
                <w:sz w:val="22"/>
              </w:rPr>
              <w:t xml:space="preserve"> </w:t>
            </w:r>
            <w:proofErr w:type="spellStart"/>
            <w:r>
              <w:rPr>
                <w:color w:val="000000"/>
                <w:sz w:val="22"/>
              </w:rPr>
              <w:t>its</w:t>
            </w:r>
            <w:proofErr w:type="spellEnd"/>
            <w:r>
              <w:rPr>
                <w:color w:val="000000"/>
                <w:sz w:val="22"/>
              </w:rPr>
              <w:t xml:space="preserve"> staff – </w:t>
            </w:r>
            <w:proofErr w:type="spellStart"/>
            <w:r>
              <w:rPr>
                <w:color w:val="000000"/>
                <w:sz w:val="22"/>
              </w:rPr>
              <w:t>whether</w:t>
            </w:r>
            <w:proofErr w:type="spellEnd"/>
            <w:r>
              <w:rPr>
                <w:color w:val="000000"/>
                <w:sz w:val="22"/>
              </w:rPr>
              <w:t xml:space="preserve"> </w:t>
            </w:r>
            <w:proofErr w:type="spellStart"/>
            <w:r>
              <w:rPr>
                <w:color w:val="000000"/>
                <w:sz w:val="22"/>
              </w:rPr>
              <w:t>employees</w:t>
            </w:r>
            <w:proofErr w:type="spellEnd"/>
            <w:r>
              <w:rPr>
                <w:color w:val="000000"/>
                <w:sz w:val="22"/>
              </w:rPr>
              <w:t xml:space="preserve"> </w:t>
            </w:r>
            <w:proofErr w:type="spellStart"/>
            <w:r>
              <w:rPr>
                <w:color w:val="000000"/>
                <w:sz w:val="22"/>
              </w:rPr>
              <w:t>or</w:t>
            </w:r>
            <w:proofErr w:type="spellEnd"/>
            <w:r>
              <w:rPr>
                <w:color w:val="000000"/>
                <w:sz w:val="22"/>
              </w:rPr>
              <w:t xml:space="preserve"> </w:t>
            </w:r>
            <w:proofErr w:type="spellStart"/>
            <w:r>
              <w:rPr>
                <w:color w:val="000000"/>
                <w:sz w:val="22"/>
              </w:rPr>
              <w:t>contractors</w:t>
            </w:r>
            <w:proofErr w:type="spellEnd"/>
            <w:r>
              <w:rPr>
                <w:color w:val="000000"/>
                <w:sz w:val="22"/>
              </w:rPr>
              <w:t xml:space="preserve"> – and </w:t>
            </w:r>
            <w:proofErr w:type="spellStart"/>
            <w:r>
              <w:rPr>
                <w:color w:val="000000"/>
                <w:sz w:val="22"/>
              </w:rPr>
              <w:t>any</w:t>
            </w:r>
            <w:proofErr w:type="spellEnd"/>
            <w:r>
              <w:rPr>
                <w:color w:val="000000"/>
                <w:sz w:val="22"/>
              </w:rPr>
              <w:t xml:space="preserve"> </w:t>
            </w:r>
            <w:proofErr w:type="spellStart"/>
            <w:r>
              <w:rPr>
                <w:color w:val="000000"/>
                <w:sz w:val="22"/>
              </w:rPr>
              <w:t>person</w:t>
            </w:r>
            <w:proofErr w:type="spellEnd"/>
            <w:r>
              <w:rPr>
                <w:color w:val="000000"/>
                <w:sz w:val="22"/>
              </w:rPr>
              <w:t xml:space="preserve"> </w:t>
            </w:r>
            <w:proofErr w:type="spellStart"/>
            <w:r>
              <w:rPr>
                <w:color w:val="000000"/>
                <w:sz w:val="22"/>
              </w:rPr>
              <w:t>to</w:t>
            </w:r>
            <w:proofErr w:type="spellEnd"/>
            <w:r>
              <w:rPr>
                <w:color w:val="000000"/>
                <w:sz w:val="22"/>
              </w:rPr>
              <w:t xml:space="preserve"> </w:t>
            </w:r>
            <w:proofErr w:type="spellStart"/>
            <w:r>
              <w:rPr>
                <w:color w:val="000000"/>
                <w:sz w:val="22"/>
              </w:rPr>
              <w:t>whom</w:t>
            </w:r>
            <w:proofErr w:type="spellEnd"/>
            <w:r>
              <w:rPr>
                <w:color w:val="000000"/>
                <w:sz w:val="22"/>
              </w:rPr>
              <w:t xml:space="preserve"> </w:t>
            </w:r>
            <w:proofErr w:type="spellStart"/>
            <w:r>
              <w:rPr>
                <w:color w:val="000000"/>
                <w:sz w:val="22"/>
              </w:rPr>
              <w:t>confidential</w:t>
            </w:r>
            <w:proofErr w:type="spellEnd"/>
            <w:r>
              <w:rPr>
                <w:color w:val="000000"/>
                <w:sz w:val="22"/>
              </w:rPr>
              <w:t xml:space="preserve"> </w:t>
            </w:r>
            <w:proofErr w:type="spellStart"/>
            <w:r>
              <w:rPr>
                <w:color w:val="000000"/>
                <w:sz w:val="22"/>
              </w:rPr>
              <w:t>information</w:t>
            </w:r>
            <w:proofErr w:type="spellEnd"/>
            <w:r>
              <w:rPr>
                <w:color w:val="000000"/>
                <w:sz w:val="22"/>
              </w:rPr>
              <w:t xml:space="preserve"> </w:t>
            </w:r>
            <w:proofErr w:type="spellStart"/>
            <w:r>
              <w:rPr>
                <w:color w:val="000000"/>
                <w:sz w:val="22"/>
              </w:rPr>
              <w:t>is</w:t>
            </w:r>
            <w:proofErr w:type="spellEnd"/>
            <w:r>
              <w:rPr>
                <w:color w:val="000000"/>
                <w:sz w:val="22"/>
              </w:rPr>
              <w:t xml:space="preserve"> </w:t>
            </w:r>
            <w:proofErr w:type="spellStart"/>
            <w:r>
              <w:rPr>
                <w:color w:val="000000"/>
                <w:sz w:val="22"/>
              </w:rPr>
              <w:t>disclosed</w:t>
            </w:r>
            <w:proofErr w:type="spellEnd"/>
            <w:r>
              <w:rPr>
                <w:color w:val="000000"/>
                <w:sz w:val="22"/>
              </w:rPr>
              <w:t xml:space="preserve">, </w:t>
            </w:r>
            <w:proofErr w:type="spellStart"/>
            <w:r>
              <w:rPr>
                <w:color w:val="000000"/>
                <w:sz w:val="22"/>
              </w:rPr>
              <w:t>with</w:t>
            </w:r>
            <w:proofErr w:type="spellEnd"/>
            <w:r>
              <w:rPr>
                <w:color w:val="000000"/>
                <w:sz w:val="22"/>
              </w:rPr>
              <w:t xml:space="preserve"> </w:t>
            </w:r>
            <w:proofErr w:type="spellStart"/>
            <w:r>
              <w:rPr>
                <w:color w:val="000000"/>
                <w:sz w:val="22"/>
              </w:rPr>
              <w:t>due</w:t>
            </w:r>
            <w:proofErr w:type="spellEnd"/>
            <w:r>
              <w:rPr>
                <w:color w:val="000000"/>
                <w:sz w:val="22"/>
              </w:rPr>
              <w:t xml:space="preserve"> </w:t>
            </w:r>
            <w:proofErr w:type="spellStart"/>
            <w:r>
              <w:rPr>
                <w:color w:val="000000"/>
                <w:sz w:val="22"/>
              </w:rPr>
              <w:t>authorization</w:t>
            </w:r>
            <w:proofErr w:type="spellEnd"/>
            <w:r>
              <w:rPr>
                <w:color w:val="000000"/>
                <w:sz w:val="22"/>
              </w:rPr>
              <w:t xml:space="preserve">, </w:t>
            </w:r>
            <w:proofErr w:type="spellStart"/>
            <w:r>
              <w:rPr>
                <w:color w:val="000000"/>
                <w:sz w:val="22"/>
              </w:rPr>
              <w:t>of</w:t>
            </w:r>
            <w:proofErr w:type="spellEnd"/>
            <w:r>
              <w:rPr>
                <w:color w:val="000000"/>
                <w:sz w:val="22"/>
              </w:rPr>
              <w:t xml:space="preserve"> </w:t>
            </w:r>
            <w:proofErr w:type="spellStart"/>
            <w:r>
              <w:rPr>
                <w:color w:val="000000"/>
                <w:sz w:val="22"/>
              </w:rPr>
              <w:t>its</w:t>
            </w:r>
            <w:proofErr w:type="spellEnd"/>
            <w:r>
              <w:rPr>
                <w:color w:val="000000"/>
                <w:sz w:val="22"/>
              </w:rPr>
              <w:t xml:space="preserve"> </w:t>
            </w:r>
            <w:proofErr w:type="spellStart"/>
            <w:r>
              <w:rPr>
                <w:color w:val="000000"/>
                <w:sz w:val="22"/>
              </w:rPr>
              <w:t>confidential</w:t>
            </w:r>
            <w:proofErr w:type="spellEnd"/>
            <w:r>
              <w:rPr>
                <w:color w:val="000000"/>
                <w:sz w:val="22"/>
              </w:rPr>
              <w:t xml:space="preserve"> </w:t>
            </w:r>
            <w:proofErr w:type="spellStart"/>
            <w:r>
              <w:rPr>
                <w:color w:val="000000"/>
                <w:sz w:val="22"/>
              </w:rPr>
              <w:t>nature</w:t>
            </w:r>
            <w:proofErr w:type="spellEnd"/>
            <w:r>
              <w:rPr>
                <w:color w:val="000000"/>
                <w:sz w:val="22"/>
              </w:rPr>
              <w:t xml:space="preserve"> and </w:t>
            </w:r>
            <w:proofErr w:type="spellStart"/>
            <w:r>
              <w:rPr>
                <w:color w:val="000000"/>
                <w:sz w:val="22"/>
              </w:rPr>
              <w:t>the</w:t>
            </w:r>
            <w:proofErr w:type="spellEnd"/>
            <w:r>
              <w:rPr>
                <w:color w:val="000000"/>
                <w:sz w:val="22"/>
              </w:rPr>
              <w:t xml:space="preserve"> </w:t>
            </w:r>
            <w:proofErr w:type="spellStart"/>
            <w:r>
              <w:rPr>
                <w:color w:val="000000"/>
                <w:sz w:val="22"/>
              </w:rPr>
              <w:t>terms</w:t>
            </w:r>
            <w:proofErr w:type="spellEnd"/>
            <w:r>
              <w:rPr>
                <w:color w:val="000000"/>
                <w:sz w:val="22"/>
              </w:rPr>
              <w:t xml:space="preserve"> </w:t>
            </w:r>
            <w:proofErr w:type="spellStart"/>
            <w:r>
              <w:rPr>
                <w:color w:val="000000"/>
                <w:sz w:val="22"/>
              </w:rPr>
              <w:t>of</w:t>
            </w:r>
            <w:proofErr w:type="spellEnd"/>
            <w:r>
              <w:rPr>
                <w:color w:val="000000"/>
                <w:sz w:val="22"/>
              </w:rPr>
              <w:t xml:space="preserve"> </w:t>
            </w:r>
            <w:proofErr w:type="spellStart"/>
            <w:r>
              <w:rPr>
                <w:color w:val="000000"/>
                <w:sz w:val="22"/>
              </w:rPr>
              <w:t>this</w:t>
            </w:r>
            <w:proofErr w:type="spellEnd"/>
            <w:r>
              <w:rPr>
                <w:color w:val="000000"/>
                <w:sz w:val="22"/>
              </w:rPr>
              <w:t xml:space="preserve"> </w:t>
            </w:r>
            <w:proofErr w:type="spellStart"/>
            <w:r>
              <w:rPr>
                <w:color w:val="000000"/>
                <w:sz w:val="22"/>
              </w:rPr>
              <w:lastRenderedPageBreak/>
              <w:t>Commitment</w:t>
            </w:r>
            <w:proofErr w:type="spellEnd"/>
            <w:r>
              <w:rPr>
                <w:color w:val="000000"/>
                <w:sz w:val="22"/>
              </w:rPr>
              <w:t>; and</w:t>
            </w:r>
          </w:p>
          <w:p w14:paraId="58D3476D" w14:textId="77777777" w:rsidR="00E255F4" w:rsidRDefault="00000000">
            <w:pPr>
              <w:widowControl w:val="0"/>
              <w:numPr>
                <w:ilvl w:val="0"/>
                <w:numId w:val="2"/>
              </w:numPr>
              <w:autoSpaceDE w:val="0"/>
              <w:spacing w:line="360" w:lineRule="auto"/>
              <w:ind w:left="720" w:hanging="720"/>
              <w:contextualSpacing/>
              <w:jc w:val="both"/>
              <w:rPr>
                <w:color w:val="000000"/>
                <w:sz w:val="22"/>
              </w:rPr>
            </w:pPr>
            <w:r>
              <w:rPr>
                <w:color w:val="000000"/>
                <w:sz w:val="22"/>
              </w:rPr>
              <w:t xml:space="preserve">e) </w:t>
            </w:r>
            <w:proofErr w:type="spellStart"/>
            <w:r>
              <w:rPr>
                <w:color w:val="000000"/>
                <w:sz w:val="22"/>
              </w:rPr>
              <w:t>report</w:t>
            </w:r>
            <w:proofErr w:type="spellEnd"/>
            <w:r>
              <w:rPr>
                <w:color w:val="000000"/>
                <w:sz w:val="22"/>
              </w:rPr>
              <w:t xml:space="preserve"> </w:t>
            </w:r>
            <w:proofErr w:type="spellStart"/>
            <w:r>
              <w:rPr>
                <w:color w:val="000000"/>
                <w:sz w:val="22"/>
              </w:rPr>
              <w:t>to</w:t>
            </w:r>
            <w:proofErr w:type="spellEnd"/>
            <w:r>
              <w:rPr>
                <w:color w:val="000000"/>
                <w:sz w:val="22"/>
              </w:rPr>
              <w:t xml:space="preserve"> OSE </w:t>
            </w:r>
            <w:proofErr w:type="spellStart"/>
            <w:r>
              <w:rPr>
                <w:color w:val="000000"/>
                <w:sz w:val="22"/>
              </w:rPr>
              <w:t>any</w:t>
            </w:r>
            <w:proofErr w:type="spellEnd"/>
            <w:r>
              <w:rPr>
                <w:color w:val="000000"/>
                <w:sz w:val="22"/>
              </w:rPr>
              <w:t xml:space="preserve"> </w:t>
            </w:r>
            <w:proofErr w:type="spellStart"/>
            <w:r>
              <w:rPr>
                <w:color w:val="000000"/>
                <w:sz w:val="22"/>
              </w:rPr>
              <w:t>unauthorized</w:t>
            </w:r>
            <w:proofErr w:type="spellEnd"/>
            <w:r>
              <w:rPr>
                <w:color w:val="000000"/>
                <w:sz w:val="22"/>
              </w:rPr>
              <w:t xml:space="preserve"> </w:t>
            </w:r>
            <w:proofErr w:type="spellStart"/>
            <w:r>
              <w:rPr>
                <w:color w:val="000000"/>
                <w:sz w:val="22"/>
              </w:rPr>
              <w:t>disclosure</w:t>
            </w:r>
            <w:proofErr w:type="spellEnd"/>
            <w:r>
              <w:rPr>
                <w:color w:val="000000"/>
                <w:sz w:val="22"/>
              </w:rPr>
              <w:t xml:space="preserve"> </w:t>
            </w:r>
            <w:proofErr w:type="spellStart"/>
            <w:r>
              <w:rPr>
                <w:color w:val="000000"/>
                <w:sz w:val="22"/>
              </w:rPr>
              <w:t>of</w:t>
            </w:r>
            <w:proofErr w:type="spellEnd"/>
            <w:r>
              <w:rPr>
                <w:color w:val="000000"/>
                <w:sz w:val="22"/>
              </w:rPr>
              <w:t xml:space="preserve"> </w:t>
            </w:r>
            <w:proofErr w:type="spellStart"/>
            <w:r>
              <w:rPr>
                <w:color w:val="000000"/>
                <w:sz w:val="22"/>
              </w:rPr>
              <w:t>confidential</w:t>
            </w:r>
            <w:proofErr w:type="spellEnd"/>
            <w:r>
              <w:rPr>
                <w:color w:val="000000"/>
                <w:sz w:val="22"/>
              </w:rPr>
              <w:t xml:space="preserve"> </w:t>
            </w:r>
            <w:proofErr w:type="spellStart"/>
            <w:r>
              <w:rPr>
                <w:color w:val="000000"/>
                <w:sz w:val="22"/>
              </w:rPr>
              <w:t>information</w:t>
            </w:r>
            <w:proofErr w:type="spellEnd"/>
            <w:r>
              <w:rPr>
                <w:color w:val="000000"/>
                <w:sz w:val="22"/>
              </w:rPr>
              <w:t xml:space="preserve"> </w:t>
            </w:r>
            <w:proofErr w:type="spellStart"/>
            <w:r>
              <w:rPr>
                <w:color w:val="000000"/>
                <w:sz w:val="22"/>
              </w:rPr>
              <w:t>of</w:t>
            </w:r>
            <w:proofErr w:type="spellEnd"/>
            <w:r>
              <w:rPr>
                <w:color w:val="000000"/>
                <w:sz w:val="22"/>
              </w:rPr>
              <w:t xml:space="preserve"> </w:t>
            </w:r>
            <w:proofErr w:type="spellStart"/>
            <w:r>
              <w:rPr>
                <w:color w:val="000000"/>
                <w:sz w:val="22"/>
              </w:rPr>
              <w:t>which</w:t>
            </w:r>
            <w:proofErr w:type="spellEnd"/>
            <w:r>
              <w:rPr>
                <w:color w:val="000000"/>
                <w:sz w:val="22"/>
              </w:rPr>
              <w:t xml:space="preserve"> he </w:t>
            </w:r>
            <w:proofErr w:type="spellStart"/>
            <w:r>
              <w:rPr>
                <w:color w:val="000000"/>
                <w:sz w:val="22"/>
              </w:rPr>
              <w:t>becomes</w:t>
            </w:r>
            <w:proofErr w:type="spellEnd"/>
            <w:r>
              <w:rPr>
                <w:color w:val="000000"/>
                <w:sz w:val="22"/>
              </w:rPr>
              <w:t xml:space="preserve"> </w:t>
            </w:r>
            <w:proofErr w:type="spellStart"/>
            <w:r>
              <w:rPr>
                <w:color w:val="000000"/>
                <w:sz w:val="22"/>
              </w:rPr>
              <w:t>aware</w:t>
            </w:r>
            <w:proofErr w:type="spellEnd"/>
            <w:r>
              <w:rPr>
                <w:color w:val="000000"/>
                <w:sz w:val="22"/>
              </w:rPr>
              <w:t xml:space="preserve"> </w:t>
            </w:r>
            <w:proofErr w:type="spellStart"/>
            <w:r>
              <w:rPr>
                <w:color w:val="000000"/>
                <w:sz w:val="22"/>
              </w:rPr>
              <w:t>by</w:t>
            </w:r>
            <w:proofErr w:type="spellEnd"/>
            <w:r>
              <w:rPr>
                <w:color w:val="000000"/>
                <w:sz w:val="22"/>
              </w:rPr>
              <w:t xml:space="preserve"> </w:t>
            </w:r>
            <w:proofErr w:type="spellStart"/>
            <w:r>
              <w:rPr>
                <w:color w:val="000000"/>
                <w:sz w:val="22"/>
              </w:rPr>
              <w:t>virtue</w:t>
            </w:r>
            <w:proofErr w:type="spellEnd"/>
            <w:r>
              <w:rPr>
                <w:color w:val="000000"/>
                <w:sz w:val="22"/>
              </w:rPr>
              <w:t xml:space="preserve"> </w:t>
            </w:r>
            <w:proofErr w:type="spellStart"/>
            <w:r>
              <w:rPr>
                <w:color w:val="000000"/>
                <w:sz w:val="22"/>
              </w:rPr>
              <w:t>of</w:t>
            </w:r>
            <w:proofErr w:type="spellEnd"/>
            <w:r>
              <w:rPr>
                <w:color w:val="000000"/>
                <w:sz w:val="22"/>
              </w:rPr>
              <w:t xml:space="preserve"> </w:t>
            </w:r>
            <w:proofErr w:type="spellStart"/>
            <w:r>
              <w:rPr>
                <w:color w:val="000000"/>
                <w:sz w:val="22"/>
              </w:rPr>
              <w:t>his</w:t>
            </w:r>
            <w:proofErr w:type="spellEnd"/>
            <w:r>
              <w:rPr>
                <w:color w:val="000000"/>
                <w:sz w:val="22"/>
              </w:rPr>
              <w:t xml:space="preserve"> </w:t>
            </w:r>
            <w:proofErr w:type="spellStart"/>
            <w:r>
              <w:rPr>
                <w:color w:val="000000"/>
                <w:sz w:val="22"/>
              </w:rPr>
              <w:t>connection</w:t>
            </w:r>
            <w:proofErr w:type="spellEnd"/>
            <w:r>
              <w:rPr>
                <w:color w:val="000000"/>
                <w:sz w:val="22"/>
              </w:rPr>
              <w:t xml:space="preserve"> </w:t>
            </w:r>
            <w:proofErr w:type="spellStart"/>
            <w:r>
              <w:rPr>
                <w:color w:val="000000"/>
                <w:sz w:val="22"/>
              </w:rPr>
              <w:t>with</w:t>
            </w:r>
            <w:proofErr w:type="spellEnd"/>
            <w:r>
              <w:rPr>
                <w:color w:val="000000"/>
                <w:sz w:val="22"/>
              </w:rPr>
              <w:t xml:space="preserve"> </w:t>
            </w:r>
            <w:proofErr w:type="spellStart"/>
            <w:r>
              <w:rPr>
                <w:color w:val="000000"/>
                <w:sz w:val="22"/>
              </w:rPr>
              <w:t>it</w:t>
            </w:r>
            <w:proofErr w:type="spellEnd"/>
            <w:r>
              <w:rPr>
                <w:color w:val="000000"/>
                <w:sz w:val="22"/>
              </w:rPr>
              <w:t>.</w:t>
            </w:r>
          </w:p>
          <w:p w14:paraId="3C67FEA2" w14:textId="77777777" w:rsidR="00E255F4" w:rsidRDefault="00000000">
            <w:pPr>
              <w:widowControl w:val="0"/>
              <w:autoSpaceDE w:val="0"/>
              <w:spacing w:line="360" w:lineRule="auto"/>
              <w:contextualSpacing/>
              <w:rPr>
                <w:color w:val="000000"/>
                <w:sz w:val="22"/>
              </w:rPr>
            </w:pPr>
            <w:r>
              <w:rPr>
                <w:b/>
                <w:color w:val="000000"/>
                <w:sz w:val="22"/>
              </w:rPr>
              <w:t xml:space="preserve">THIRD: </w:t>
            </w:r>
            <w:proofErr w:type="gramStart"/>
            <w:r>
              <w:rPr>
                <w:b/>
                <w:color w:val="000000"/>
                <w:sz w:val="22"/>
              </w:rPr>
              <w:t>VALIDITY.-</w:t>
            </w:r>
            <w:proofErr w:type="gramEnd"/>
          </w:p>
          <w:p w14:paraId="7CA0651D" w14:textId="77777777" w:rsidR="00E255F4" w:rsidRDefault="00000000">
            <w:pPr>
              <w:widowControl w:val="0"/>
              <w:autoSpaceDE w:val="0"/>
              <w:spacing w:line="360" w:lineRule="auto"/>
              <w:contextualSpacing/>
            </w:pPr>
            <w:r>
              <w:rPr>
                <w:color w:val="000000"/>
                <w:sz w:val="22"/>
              </w:rPr>
              <w:t xml:space="preserve">The </w:t>
            </w:r>
            <w:proofErr w:type="spellStart"/>
            <w:r>
              <w:rPr>
                <w:color w:val="000000"/>
                <w:sz w:val="22"/>
              </w:rPr>
              <w:t>confidentiality</w:t>
            </w:r>
            <w:proofErr w:type="spellEnd"/>
            <w:r>
              <w:rPr>
                <w:color w:val="000000"/>
                <w:sz w:val="22"/>
              </w:rPr>
              <w:t xml:space="preserve"> </w:t>
            </w:r>
            <w:proofErr w:type="spellStart"/>
            <w:r>
              <w:rPr>
                <w:color w:val="000000"/>
                <w:sz w:val="22"/>
              </w:rPr>
              <w:t>obligations</w:t>
            </w:r>
            <w:proofErr w:type="spellEnd"/>
            <w:r>
              <w:rPr>
                <w:color w:val="000000"/>
                <w:sz w:val="22"/>
              </w:rPr>
              <w:t xml:space="preserve"> </w:t>
            </w:r>
            <w:proofErr w:type="spellStart"/>
            <w:r>
              <w:rPr>
                <w:color w:val="000000"/>
                <w:sz w:val="22"/>
              </w:rPr>
              <w:t>assumed</w:t>
            </w:r>
            <w:proofErr w:type="spellEnd"/>
            <w:r>
              <w:rPr>
                <w:color w:val="000000"/>
                <w:sz w:val="22"/>
              </w:rPr>
              <w:t xml:space="preserve"> in </w:t>
            </w:r>
            <w:proofErr w:type="spellStart"/>
            <w:r>
              <w:rPr>
                <w:color w:val="000000"/>
                <w:sz w:val="22"/>
              </w:rPr>
              <w:t>this</w:t>
            </w:r>
            <w:proofErr w:type="spellEnd"/>
            <w:r>
              <w:rPr>
                <w:color w:val="000000"/>
                <w:sz w:val="22"/>
              </w:rPr>
              <w:t xml:space="preserve"> </w:t>
            </w:r>
            <w:proofErr w:type="spellStart"/>
            <w:r>
              <w:rPr>
                <w:color w:val="000000"/>
                <w:sz w:val="22"/>
              </w:rPr>
              <w:t>Commitment</w:t>
            </w:r>
            <w:proofErr w:type="spellEnd"/>
            <w:r>
              <w:rPr>
                <w:color w:val="000000"/>
                <w:sz w:val="22"/>
              </w:rPr>
              <w:t xml:space="preserve"> </w:t>
            </w:r>
            <w:proofErr w:type="spellStart"/>
            <w:r>
              <w:rPr>
                <w:color w:val="000000"/>
                <w:sz w:val="22"/>
              </w:rPr>
              <w:t>will</w:t>
            </w:r>
            <w:proofErr w:type="spellEnd"/>
            <w:r>
              <w:rPr>
                <w:color w:val="000000"/>
                <w:sz w:val="22"/>
              </w:rPr>
              <w:t xml:space="preserve"> </w:t>
            </w:r>
            <w:proofErr w:type="spellStart"/>
            <w:r>
              <w:rPr>
                <w:color w:val="000000"/>
                <w:sz w:val="22"/>
              </w:rPr>
              <w:t>remain</w:t>
            </w:r>
            <w:proofErr w:type="spellEnd"/>
            <w:r>
              <w:rPr>
                <w:color w:val="000000"/>
                <w:sz w:val="22"/>
              </w:rPr>
              <w:t xml:space="preserve"> in </w:t>
            </w:r>
            <w:proofErr w:type="spellStart"/>
            <w:r>
              <w:rPr>
                <w:color w:val="000000"/>
                <w:sz w:val="22"/>
              </w:rPr>
              <w:t>effect</w:t>
            </w:r>
            <w:proofErr w:type="spellEnd"/>
            <w:r>
              <w:rPr>
                <w:color w:val="000000"/>
                <w:sz w:val="22"/>
              </w:rPr>
              <w:t xml:space="preserve"> </w:t>
            </w:r>
            <w:proofErr w:type="spellStart"/>
            <w:r>
              <w:rPr>
                <w:color w:val="000000"/>
                <w:sz w:val="22"/>
              </w:rPr>
              <w:t>for</w:t>
            </w:r>
            <w:proofErr w:type="spellEnd"/>
            <w:r>
              <w:rPr>
                <w:color w:val="000000"/>
                <w:sz w:val="22"/>
              </w:rPr>
              <w:t xml:space="preserve"> </w:t>
            </w:r>
            <w:proofErr w:type="spellStart"/>
            <w:r>
              <w:rPr>
                <w:color w:val="000000"/>
                <w:sz w:val="22"/>
              </w:rPr>
              <w:t>the</w:t>
            </w:r>
            <w:proofErr w:type="spellEnd"/>
            <w:r>
              <w:rPr>
                <w:color w:val="000000"/>
                <w:sz w:val="22"/>
              </w:rPr>
              <w:t xml:space="preserve"> </w:t>
            </w:r>
            <w:proofErr w:type="spellStart"/>
            <w:r>
              <w:rPr>
                <w:color w:val="000000"/>
                <w:sz w:val="22"/>
              </w:rPr>
              <w:t>duration</w:t>
            </w:r>
            <w:proofErr w:type="spellEnd"/>
            <w:r>
              <w:rPr>
                <w:color w:val="000000"/>
                <w:sz w:val="22"/>
              </w:rPr>
              <w:t xml:space="preserve"> </w:t>
            </w:r>
            <w:proofErr w:type="spellStart"/>
            <w:r>
              <w:rPr>
                <w:color w:val="000000"/>
                <w:sz w:val="22"/>
              </w:rPr>
              <w:t>of</w:t>
            </w:r>
            <w:proofErr w:type="spellEnd"/>
            <w:r>
              <w:rPr>
                <w:color w:val="000000"/>
                <w:sz w:val="22"/>
              </w:rPr>
              <w:t xml:space="preserve"> </w:t>
            </w:r>
            <w:proofErr w:type="spellStart"/>
            <w:r>
              <w:rPr>
                <w:color w:val="000000"/>
                <w:sz w:val="22"/>
              </w:rPr>
              <w:t>the</w:t>
            </w:r>
            <w:proofErr w:type="spellEnd"/>
            <w:r>
              <w:rPr>
                <w:color w:val="000000"/>
                <w:sz w:val="22"/>
              </w:rPr>
              <w:t xml:space="preserve"> </w:t>
            </w:r>
            <w:proofErr w:type="spellStart"/>
            <w:r>
              <w:rPr>
                <w:color w:val="000000"/>
                <w:sz w:val="22"/>
              </w:rPr>
              <w:t>signatory</w:t>
            </w:r>
            <w:proofErr w:type="spellEnd"/>
            <w:r>
              <w:rPr>
                <w:color w:val="000000"/>
                <w:sz w:val="22"/>
              </w:rPr>
              <w:t xml:space="preserve"> </w:t>
            </w:r>
            <w:proofErr w:type="spellStart"/>
            <w:r>
              <w:rPr>
                <w:color w:val="000000"/>
                <w:sz w:val="22"/>
              </w:rPr>
              <w:t>company's</w:t>
            </w:r>
            <w:proofErr w:type="spellEnd"/>
            <w:r>
              <w:rPr>
                <w:color w:val="000000"/>
                <w:sz w:val="22"/>
              </w:rPr>
              <w:t xml:space="preserve"> </w:t>
            </w:r>
            <w:proofErr w:type="spellStart"/>
            <w:r>
              <w:rPr>
                <w:color w:val="000000"/>
                <w:sz w:val="22"/>
              </w:rPr>
              <w:t>relationship</w:t>
            </w:r>
            <w:proofErr w:type="spellEnd"/>
            <w:r>
              <w:rPr>
                <w:color w:val="000000"/>
                <w:sz w:val="22"/>
              </w:rPr>
              <w:t xml:space="preserve"> </w:t>
            </w:r>
            <w:proofErr w:type="spellStart"/>
            <w:r>
              <w:rPr>
                <w:color w:val="000000"/>
                <w:sz w:val="22"/>
              </w:rPr>
              <w:t>with</w:t>
            </w:r>
            <w:proofErr w:type="spellEnd"/>
            <w:r>
              <w:rPr>
                <w:color w:val="000000"/>
                <w:sz w:val="22"/>
              </w:rPr>
              <w:t xml:space="preserve"> OSE and </w:t>
            </w:r>
            <w:proofErr w:type="spellStart"/>
            <w:r>
              <w:rPr>
                <w:color w:val="000000"/>
                <w:sz w:val="22"/>
              </w:rPr>
              <w:t>will</w:t>
            </w:r>
            <w:proofErr w:type="spellEnd"/>
            <w:r>
              <w:rPr>
                <w:color w:val="000000"/>
                <w:sz w:val="22"/>
              </w:rPr>
              <w:t xml:space="preserve"> </w:t>
            </w:r>
            <w:proofErr w:type="spellStart"/>
            <w:r>
              <w:rPr>
                <w:color w:val="000000"/>
                <w:sz w:val="22"/>
              </w:rPr>
              <w:t>persist</w:t>
            </w:r>
            <w:proofErr w:type="spellEnd"/>
            <w:r>
              <w:rPr>
                <w:color w:val="000000"/>
                <w:sz w:val="22"/>
              </w:rPr>
              <w:t xml:space="preserve"> </w:t>
            </w:r>
            <w:proofErr w:type="spellStart"/>
            <w:r>
              <w:rPr>
                <w:color w:val="000000"/>
                <w:sz w:val="22"/>
              </w:rPr>
              <w:t>even</w:t>
            </w:r>
            <w:proofErr w:type="spellEnd"/>
            <w:r>
              <w:rPr>
                <w:color w:val="000000"/>
                <w:sz w:val="22"/>
              </w:rPr>
              <w:t xml:space="preserve"> after </w:t>
            </w:r>
            <w:proofErr w:type="spellStart"/>
            <w:r>
              <w:rPr>
                <w:color w:val="000000"/>
                <w:sz w:val="22"/>
              </w:rPr>
              <w:t>its</w:t>
            </w:r>
            <w:proofErr w:type="spellEnd"/>
            <w:r>
              <w:rPr>
                <w:color w:val="000000"/>
                <w:sz w:val="22"/>
              </w:rPr>
              <w:t xml:space="preserve"> </w:t>
            </w:r>
            <w:proofErr w:type="spellStart"/>
            <w:r>
              <w:rPr>
                <w:color w:val="000000"/>
                <w:sz w:val="22"/>
              </w:rPr>
              <w:t>termination</w:t>
            </w:r>
            <w:proofErr w:type="spellEnd"/>
            <w:r>
              <w:rPr>
                <w:color w:val="000000"/>
                <w:sz w:val="22"/>
              </w:rPr>
              <w:t xml:space="preserve">, </w:t>
            </w:r>
            <w:proofErr w:type="spellStart"/>
            <w:r>
              <w:rPr>
                <w:color w:val="000000"/>
                <w:sz w:val="22"/>
              </w:rPr>
              <w:t>for</w:t>
            </w:r>
            <w:proofErr w:type="spellEnd"/>
            <w:r>
              <w:rPr>
                <w:color w:val="000000"/>
                <w:sz w:val="22"/>
              </w:rPr>
              <w:t xml:space="preserve"> a </w:t>
            </w:r>
            <w:proofErr w:type="spellStart"/>
            <w:r>
              <w:rPr>
                <w:color w:val="000000"/>
                <w:sz w:val="22"/>
              </w:rPr>
              <w:t>period</w:t>
            </w:r>
            <w:proofErr w:type="spellEnd"/>
            <w:r>
              <w:rPr>
                <w:color w:val="000000"/>
                <w:sz w:val="22"/>
              </w:rPr>
              <w:t xml:space="preserve"> </w:t>
            </w:r>
            <w:proofErr w:type="spellStart"/>
            <w:r>
              <w:rPr>
                <w:color w:val="000000"/>
                <w:sz w:val="22"/>
              </w:rPr>
              <w:t>of</w:t>
            </w:r>
            <w:proofErr w:type="spellEnd"/>
            <w:r>
              <w:rPr>
                <w:color w:val="000000"/>
                <w:sz w:val="22"/>
              </w:rPr>
              <w:t xml:space="preserve"> ten </w:t>
            </w:r>
            <w:proofErr w:type="spellStart"/>
            <w:r>
              <w:rPr>
                <w:color w:val="000000"/>
                <w:sz w:val="22"/>
              </w:rPr>
              <w:t>years</w:t>
            </w:r>
            <w:proofErr w:type="spellEnd"/>
            <w:r>
              <w:rPr>
                <w:color w:val="000000"/>
                <w:sz w:val="22"/>
              </w:rPr>
              <w:t xml:space="preserve"> </w:t>
            </w:r>
            <w:proofErr w:type="spellStart"/>
            <w:r>
              <w:rPr>
                <w:color w:val="000000"/>
                <w:sz w:val="22"/>
              </w:rPr>
              <w:t>from</w:t>
            </w:r>
            <w:proofErr w:type="spellEnd"/>
            <w:r>
              <w:rPr>
                <w:color w:val="000000"/>
                <w:sz w:val="22"/>
              </w:rPr>
              <w:t xml:space="preserve"> </w:t>
            </w:r>
            <w:proofErr w:type="spellStart"/>
            <w:r>
              <w:rPr>
                <w:color w:val="000000"/>
                <w:sz w:val="22"/>
              </w:rPr>
              <w:t>the</w:t>
            </w:r>
            <w:proofErr w:type="spellEnd"/>
            <w:r>
              <w:rPr>
                <w:color w:val="000000"/>
                <w:sz w:val="22"/>
              </w:rPr>
              <w:t xml:space="preserve"> date </w:t>
            </w:r>
            <w:proofErr w:type="spellStart"/>
            <w:r>
              <w:rPr>
                <w:color w:val="000000"/>
                <w:sz w:val="22"/>
              </w:rPr>
              <w:t>of</w:t>
            </w:r>
            <w:proofErr w:type="spellEnd"/>
            <w:r>
              <w:rPr>
                <w:color w:val="000000"/>
                <w:sz w:val="22"/>
              </w:rPr>
              <w:t xml:space="preserve"> </w:t>
            </w:r>
            <w:proofErr w:type="spellStart"/>
            <w:r>
              <w:rPr>
                <w:color w:val="000000"/>
                <w:sz w:val="22"/>
              </w:rPr>
              <w:t>such</w:t>
            </w:r>
            <w:proofErr w:type="spellEnd"/>
            <w:r>
              <w:rPr>
                <w:color w:val="000000"/>
                <w:sz w:val="22"/>
              </w:rPr>
              <w:t xml:space="preserve"> </w:t>
            </w:r>
            <w:proofErr w:type="spellStart"/>
            <w:r>
              <w:rPr>
                <w:color w:val="000000"/>
                <w:sz w:val="22"/>
              </w:rPr>
              <w:t>termination</w:t>
            </w:r>
            <w:proofErr w:type="spellEnd"/>
            <w:r>
              <w:rPr>
                <w:color w:val="000000"/>
                <w:sz w:val="22"/>
              </w:rPr>
              <w:t>.</w:t>
            </w:r>
          </w:p>
          <w:p w14:paraId="305408B1" w14:textId="77777777" w:rsidR="00E255F4" w:rsidRDefault="00000000">
            <w:pPr>
              <w:widowControl w:val="0"/>
              <w:autoSpaceDE w:val="0"/>
              <w:spacing w:line="360" w:lineRule="auto"/>
              <w:contextualSpacing/>
              <w:rPr>
                <w:color w:val="000000"/>
                <w:sz w:val="22"/>
              </w:rPr>
            </w:pPr>
            <w:r>
              <w:rPr>
                <w:b/>
                <w:color w:val="000000"/>
                <w:sz w:val="22"/>
              </w:rPr>
              <w:t xml:space="preserve">FOURTH: </w:t>
            </w:r>
            <w:proofErr w:type="gramStart"/>
            <w:r>
              <w:rPr>
                <w:b/>
                <w:color w:val="000000"/>
                <w:sz w:val="22"/>
              </w:rPr>
              <w:t>RESPONSIBILITY.-</w:t>
            </w:r>
            <w:proofErr w:type="gramEnd"/>
          </w:p>
          <w:p w14:paraId="22DE2B38" w14:textId="77777777" w:rsidR="00E255F4" w:rsidRDefault="00000000">
            <w:pPr>
              <w:widowControl w:val="0"/>
              <w:autoSpaceDE w:val="0"/>
              <w:spacing w:line="360" w:lineRule="auto"/>
              <w:contextualSpacing/>
            </w:pPr>
            <w:r>
              <w:rPr>
                <w:color w:val="000000"/>
                <w:sz w:val="22"/>
              </w:rPr>
              <w:t xml:space="preserve">The </w:t>
            </w:r>
            <w:proofErr w:type="spellStart"/>
            <w:r>
              <w:rPr>
                <w:color w:val="000000"/>
                <w:sz w:val="22"/>
              </w:rPr>
              <w:t>signatory</w:t>
            </w:r>
            <w:proofErr w:type="spellEnd"/>
            <w:r>
              <w:rPr>
                <w:color w:val="000000"/>
                <w:sz w:val="22"/>
              </w:rPr>
              <w:t xml:space="preserve"> </w:t>
            </w:r>
            <w:proofErr w:type="spellStart"/>
            <w:r>
              <w:rPr>
                <w:color w:val="000000"/>
                <w:sz w:val="22"/>
              </w:rPr>
              <w:t>company</w:t>
            </w:r>
            <w:proofErr w:type="spellEnd"/>
            <w:r>
              <w:rPr>
                <w:color w:val="000000"/>
                <w:sz w:val="22"/>
              </w:rPr>
              <w:t xml:space="preserve"> </w:t>
            </w:r>
            <w:proofErr w:type="spellStart"/>
            <w:r>
              <w:rPr>
                <w:color w:val="000000"/>
                <w:sz w:val="22"/>
              </w:rPr>
              <w:t>will</w:t>
            </w:r>
            <w:proofErr w:type="spellEnd"/>
            <w:r>
              <w:rPr>
                <w:color w:val="000000"/>
                <w:sz w:val="22"/>
              </w:rPr>
              <w:t xml:space="preserve"> be </w:t>
            </w:r>
            <w:proofErr w:type="spellStart"/>
            <w:r>
              <w:rPr>
                <w:color w:val="000000"/>
                <w:sz w:val="22"/>
              </w:rPr>
              <w:t>responsible</w:t>
            </w:r>
            <w:proofErr w:type="spellEnd"/>
            <w:r>
              <w:rPr>
                <w:color w:val="000000"/>
                <w:sz w:val="22"/>
              </w:rPr>
              <w:t xml:space="preserve"> </w:t>
            </w:r>
            <w:proofErr w:type="spellStart"/>
            <w:r>
              <w:rPr>
                <w:color w:val="000000"/>
                <w:sz w:val="22"/>
              </w:rPr>
              <w:t>for</w:t>
            </w:r>
            <w:proofErr w:type="spellEnd"/>
            <w:r>
              <w:rPr>
                <w:color w:val="000000"/>
                <w:sz w:val="22"/>
              </w:rPr>
              <w:t xml:space="preserve"> </w:t>
            </w:r>
            <w:proofErr w:type="spellStart"/>
            <w:r>
              <w:rPr>
                <w:color w:val="000000"/>
                <w:sz w:val="22"/>
              </w:rPr>
              <w:t>any</w:t>
            </w:r>
            <w:proofErr w:type="spellEnd"/>
            <w:r>
              <w:rPr>
                <w:color w:val="000000"/>
                <w:sz w:val="22"/>
              </w:rPr>
              <w:t xml:space="preserve"> </w:t>
            </w:r>
            <w:proofErr w:type="spellStart"/>
            <w:r>
              <w:rPr>
                <w:color w:val="000000"/>
                <w:sz w:val="22"/>
              </w:rPr>
              <w:t>violation</w:t>
            </w:r>
            <w:proofErr w:type="spellEnd"/>
            <w:r>
              <w:rPr>
                <w:color w:val="000000"/>
                <w:sz w:val="22"/>
              </w:rPr>
              <w:t xml:space="preserve"> </w:t>
            </w:r>
            <w:proofErr w:type="spellStart"/>
            <w:r>
              <w:rPr>
                <w:color w:val="000000"/>
                <w:sz w:val="22"/>
              </w:rPr>
              <w:t>of</w:t>
            </w:r>
            <w:proofErr w:type="spellEnd"/>
            <w:r>
              <w:rPr>
                <w:color w:val="000000"/>
                <w:sz w:val="22"/>
              </w:rPr>
              <w:t xml:space="preserve"> </w:t>
            </w:r>
            <w:proofErr w:type="spellStart"/>
            <w:r>
              <w:rPr>
                <w:color w:val="000000"/>
                <w:sz w:val="22"/>
              </w:rPr>
              <w:t>this</w:t>
            </w:r>
            <w:proofErr w:type="spellEnd"/>
            <w:r>
              <w:rPr>
                <w:color w:val="000000"/>
                <w:sz w:val="22"/>
              </w:rPr>
              <w:t xml:space="preserve"> </w:t>
            </w:r>
            <w:proofErr w:type="spellStart"/>
            <w:r>
              <w:rPr>
                <w:color w:val="000000"/>
                <w:sz w:val="22"/>
              </w:rPr>
              <w:t>Confidentiality</w:t>
            </w:r>
            <w:proofErr w:type="spellEnd"/>
            <w:r>
              <w:rPr>
                <w:color w:val="000000"/>
                <w:sz w:val="22"/>
              </w:rPr>
              <w:t xml:space="preserve"> </w:t>
            </w:r>
            <w:proofErr w:type="spellStart"/>
            <w:r>
              <w:rPr>
                <w:color w:val="000000"/>
                <w:sz w:val="22"/>
              </w:rPr>
              <w:t>Agreement</w:t>
            </w:r>
            <w:proofErr w:type="spellEnd"/>
            <w:r>
              <w:rPr>
                <w:color w:val="000000"/>
                <w:sz w:val="22"/>
              </w:rPr>
              <w:t xml:space="preserve">, </w:t>
            </w:r>
            <w:proofErr w:type="spellStart"/>
            <w:r>
              <w:rPr>
                <w:color w:val="000000"/>
                <w:sz w:val="22"/>
              </w:rPr>
              <w:t>whether</w:t>
            </w:r>
            <w:proofErr w:type="spellEnd"/>
            <w:r>
              <w:rPr>
                <w:color w:val="000000"/>
                <w:sz w:val="22"/>
              </w:rPr>
              <w:t xml:space="preserve"> </w:t>
            </w:r>
            <w:proofErr w:type="spellStart"/>
            <w:r>
              <w:rPr>
                <w:color w:val="000000"/>
                <w:sz w:val="22"/>
              </w:rPr>
              <w:t>such</w:t>
            </w:r>
            <w:proofErr w:type="spellEnd"/>
            <w:r>
              <w:rPr>
                <w:color w:val="000000"/>
                <w:sz w:val="22"/>
              </w:rPr>
              <w:t xml:space="preserve"> </w:t>
            </w:r>
            <w:proofErr w:type="spellStart"/>
            <w:r>
              <w:rPr>
                <w:color w:val="000000"/>
                <w:sz w:val="22"/>
              </w:rPr>
              <w:t>violation</w:t>
            </w:r>
            <w:proofErr w:type="spellEnd"/>
            <w:r>
              <w:rPr>
                <w:color w:val="000000"/>
                <w:sz w:val="22"/>
              </w:rPr>
              <w:t xml:space="preserve"> </w:t>
            </w:r>
            <w:proofErr w:type="spellStart"/>
            <w:r>
              <w:rPr>
                <w:color w:val="000000"/>
                <w:sz w:val="22"/>
              </w:rPr>
              <w:t>occurs</w:t>
            </w:r>
            <w:proofErr w:type="spellEnd"/>
            <w:r>
              <w:rPr>
                <w:color w:val="000000"/>
                <w:sz w:val="22"/>
              </w:rPr>
              <w:t xml:space="preserve"> as a </w:t>
            </w:r>
            <w:proofErr w:type="spellStart"/>
            <w:r>
              <w:rPr>
                <w:color w:val="000000"/>
                <w:sz w:val="22"/>
              </w:rPr>
              <w:t>result</w:t>
            </w:r>
            <w:proofErr w:type="spellEnd"/>
            <w:r>
              <w:rPr>
                <w:color w:val="000000"/>
                <w:sz w:val="22"/>
              </w:rPr>
              <w:t xml:space="preserve"> </w:t>
            </w:r>
            <w:proofErr w:type="spellStart"/>
            <w:r>
              <w:rPr>
                <w:color w:val="000000"/>
                <w:sz w:val="22"/>
              </w:rPr>
              <w:t>of</w:t>
            </w:r>
            <w:proofErr w:type="spellEnd"/>
            <w:r>
              <w:rPr>
                <w:color w:val="000000"/>
                <w:sz w:val="22"/>
              </w:rPr>
              <w:t xml:space="preserve"> </w:t>
            </w:r>
            <w:proofErr w:type="spellStart"/>
            <w:r>
              <w:rPr>
                <w:color w:val="000000"/>
                <w:sz w:val="22"/>
              </w:rPr>
              <w:t>an</w:t>
            </w:r>
            <w:proofErr w:type="spellEnd"/>
            <w:r>
              <w:rPr>
                <w:color w:val="000000"/>
                <w:sz w:val="22"/>
              </w:rPr>
              <w:t xml:space="preserve"> </w:t>
            </w:r>
            <w:proofErr w:type="spellStart"/>
            <w:r>
              <w:rPr>
                <w:color w:val="000000"/>
                <w:sz w:val="22"/>
              </w:rPr>
              <w:t>action</w:t>
            </w:r>
            <w:proofErr w:type="spellEnd"/>
            <w:r>
              <w:rPr>
                <w:color w:val="000000"/>
                <w:sz w:val="22"/>
              </w:rPr>
              <w:t xml:space="preserve"> </w:t>
            </w:r>
            <w:proofErr w:type="spellStart"/>
            <w:r>
              <w:rPr>
                <w:color w:val="000000"/>
                <w:sz w:val="22"/>
              </w:rPr>
              <w:t>or</w:t>
            </w:r>
            <w:proofErr w:type="spellEnd"/>
            <w:r>
              <w:rPr>
                <w:color w:val="000000"/>
                <w:sz w:val="22"/>
              </w:rPr>
              <w:t xml:space="preserve"> </w:t>
            </w:r>
            <w:proofErr w:type="spellStart"/>
            <w:r>
              <w:rPr>
                <w:color w:val="000000"/>
                <w:sz w:val="22"/>
              </w:rPr>
              <w:t>omission</w:t>
            </w:r>
            <w:proofErr w:type="spellEnd"/>
            <w:r>
              <w:rPr>
                <w:color w:val="000000"/>
                <w:sz w:val="22"/>
              </w:rPr>
              <w:t xml:space="preserve">, </w:t>
            </w:r>
            <w:proofErr w:type="spellStart"/>
            <w:r>
              <w:rPr>
                <w:color w:val="000000"/>
                <w:sz w:val="22"/>
              </w:rPr>
              <w:t>whether</w:t>
            </w:r>
            <w:proofErr w:type="spellEnd"/>
            <w:r>
              <w:rPr>
                <w:color w:val="000000"/>
                <w:sz w:val="22"/>
              </w:rPr>
              <w:t xml:space="preserve"> </w:t>
            </w:r>
            <w:proofErr w:type="spellStart"/>
            <w:r>
              <w:rPr>
                <w:color w:val="000000"/>
                <w:sz w:val="22"/>
              </w:rPr>
              <w:t>by</w:t>
            </w:r>
            <w:proofErr w:type="spellEnd"/>
            <w:r>
              <w:rPr>
                <w:color w:val="000000"/>
                <w:sz w:val="22"/>
              </w:rPr>
              <w:t xml:space="preserve"> </w:t>
            </w:r>
            <w:proofErr w:type="spellStart"/>
            <w:r>
              <w:rPr>
                <w:color w:val="000000"/>
                <w:sz w:val="22"/>
              </w:rPr>
              <w:t>itself</w:t>
            </w:r>
            <w:proofErr w:type="spellEnd"/>
            <w:r>
              <w:rPr>
                <w:color w:val="000000"/>
                <w:sz w:val="22"/>
              </w:rPr>
              <w:t xml:space="preserve"> </w:t>
            </w:r>
            <w:proofErr w:type="spellStart"/>
            <w:r>
              <w:rPr>
                <w:color w:val="000000"/>
                <w:sz w:val="22"/>
              </w:rPr>
              <w:t>or</w:t>
            </w:r>
            <w:proofErr w:type="spellEnd"/>
            <w:r>
              <w:rPr>
                <w:color w:val="000000"/>
                <w:sz w:val="22"/>
              </w:rPr>
              <w:t xml:space="preserve"> </w:t>
            </w:r>
            <w:proofErr w:type="spellStart"/>
            <w:r>
              <w:rPr>
                <w:color w:val="000000"/>
                <w:sz w:val="22"/>
              </w:rPr>
              <w:t>by</w:t>
            </w:r>
            <w:proofErr w:type="spellEnd"/>
            <w:r>
              <w:rPr>
                <w:color w:val="000000"/>
                <w:sz w:val="22"/>
              </w:rPr>
              <w:t xml:space="preserve"> </w:t>
            </w:r>
            <w:proofErr w:type="spellStart"/>
            <w:r>
              <w:rPr>
                <w:color w:val="000000"/>
                <w:sz w:val="22"/>
              </w:rPr>
              <w:t>any</w:t>
            </w:r>
            <w:proofErr w:type="spellEnd"/>
            <w:r>
              <w:rPr>
                <w:color w:val="000000"/>
                <w:sz w:val="22"/>
              </w:rPr>
              <w:t xml:space="preserve"> </w:t>
            </w:r>
            <w:proofErr w:type="spellStart"/>
            <w:r>
              <w:rPr>
                <w:color w:val="000000"/>
                <w:sz w:val="22"/>
              </w:rPr>
              <w:t>person</w:t>
            </w:r>
            <w:proofErr w:type="spellEnd"/>
            <w:r>
              <w:rPr>
                <w:color w:val="000000"/>
                <w:sz w:val="22"/>
              </w:rPr>
              <w:t xml:space="preserve"> </w:t>
            </w:r>
            <w:proofErr w:type="spellStart"/>
            <w:r>
              <w:rPr>
                <w:color w:val="000000"/>
                <w:sz w:val="22"/>
              </w:rPr>
              <w:t>who</w:t>
            </w:r>
            <w:proofErr w:type="spellEnd"/>
            <w:r>
              <w:rPr>
                <w:color w:val="000000"/>
                <w:sz w:val="22"/>
              </w:rPr>
              <w:t xml:space="preserve"> has </w:t>
            </w:r>
            <w:proofErr w:type="spellStart"/>
            <w:r>
              <w:rPr>
                <w:color w:val="000000"/>
                <w:sz w:val="22"/>
              </w:rPr>
              <w:t>acquired</w:t>
            </w:r>
            <w:proofErr w:type="spellEnd"/>
            <w:r>
              <w:rPr>
                <w:color w:val="000000"/>
                <w:sz w:val="22"/>
              </w:rPr>
              <w:t xml:space="preserve"> </w:t>
            </w:r>
            <w:proofErr w:type="spellStart"/>
            <w:r>
              <w:rPr>
                <w:color w:val="000000"/>
                <w:sz w:val="22"/>
              </w:rPr>
              <w:t>confidential</w:t>
            </w:r>
            <w:proofErr w:type="spellEnd"/>
            <w:r>
              <w:rPr>
                <w:color w:val="000000"/>
                <w:sz w:val="22"/>
              </w:rPr>
              <w:t xml:space="preserve"> </w:t>
            </w:r>
            <w:proofErr w:type="spellStart"/>
            <w:r>
              <w:rPr>
                <w:color w:val="000000"/>
                <w:sz w:val="22"/>
              </w:rPr>
              <w:t>information</w:t>
            </w:r>
            <w:proofErr w:type="spellEnd"/>
            <w:r>
              <w:rPr>
                <w:color w:val="000000"/>
                <w:sz w:val="22"/>
              </w:rPr>
              <w:t xml:space="preserve"> </w:t>
            </w:r>
            <w:proofErr w:type="spellStart"/>
            <w:r>
              <w:rPr>
                <w:color w:val="000000"/>
                <w:sz w:val="22"/>
              </w:rPr>
              <w:t>from</w:t>
            </w:r>
            <w:proofErr w:type="spellEnd"/>
            <w:r>
              <w:rPr>
                <w:color w:val="000000"/>
                <w:sz w:val="22"/>
              </w:rPr>
              <w:t xml:space="preserve"> </w:t>
            </w:r>
            <w:proofErr w:type="spellStart"/>
            <w:r>
              <w:rPr>
                <w:color w:val="000000"/>
                <w:sz w:val="22"/>
              </w:rPr>
              <w:t>or</w:t>
            </w:r>
            <w:proofErr w:type="spellEnd"/>
            <w:r>
              <w:rPr>
                <w:color w:val="000000"/>
                <w:sz w:val="22"/>
              </w:rPr>
              <w:t xml:space="preserve"> </w:t>
            </w:r>
            <w:proofErr w:type="spellStart"/>
            <w:r>
              <w:rPr>
                <w:color w:val="000000"/>
                <w:sz w:val="22"/>
              </w:rPr>
              <w:t>through</w:t>
            </w:r>
            <w:proofErr w:type="spellEnd"/>
            <w:r>
              <w:rPr>
                <w:color w:val="000000"/>
                <w:sz w:val="22"/>
              </w:rPr>
              <w:t xml:space="preserve"> </w:t>
            </w:r>
            <w:proofErr w:type="spellStart"/>
            <w:r>
              <w:rPr>
                <w:color w:val="000000"/>
                <w:sz w:val="22"/>
              </w:rPr>
              <w:t>the</w:t>
            </w:r>
            <w:proofErr w:type="spellEnd"/>
            <w:r>
              <w:rPr>
                <w:color w:val="000000"/>
                <w:sz w:val="22"/>
              </w:rPr>
              <w:t xml:space="preserve"> </w:t>
            </w:r>
            <w:proofErr w:type="spellStart"/>
            <w:r>
              <w:rPr>
                <w:color w:val="000000"/>
                <w:sz w:val="22"/>
              </w:rPr>
              <w:t>signatory</w:t>
            </w:r>
            <w:proofErr w:type="spellEnd"/>
            <w:r>
              <w:rPr>
                <w:color w:val="000000"/>
                <w:sz w:val="22"/>
              </w:rPr>
              <w:t xml:space="preserve"> </w:t>
            </w:r>
            <w:proofErr w:type="spellStart"/>
            <w:r>
              <w:rPr>
                <w:color w:val="000000"/>
                <w:sz w:val="22"/>
              </w:rPr>
              <w:t>company</w:t>
            </w:r>
            <w:proofErr w:type="spellEnd"/>
            <w:r>
              <w:rPr>
                <w:color w:val="000000"/>
                <w:sz w:val="22"/>
              </w:rPr>
              <w:t xml:space="preserve"> </w:t>
            </w:r>
            <w:proofErr w:type="spellStart"/>
            <w:r>
              <w:rPr>
                <w:color w:val="000000"/>
                <w:sz w:val="22"/>
              </w:rPr>
              <w:t>without</w:t>
            </w:r>
            <w:proofErr w:type="spellEnd"/>
            <w:r>
              <w:rPr>
                <w:color w:val="000000"/>
                <w:sz w:val="22"/>
              </w:rPr>
              <w:t xml:space="preserve"> </w:t>
            </w:r>
            <w:proofErr w:type="spellStart"/>
            <w:r>
              <w:rPr>
                <w:color w:val="000000"/>
                <w:sz w:val="22"/>
              </w:rPr>
              <w:t>the</w:t>
            </w:r>
            <w:proofErr w:type="spellEnd"/>
            <w:r>
              <w:rPr>
                <w:color w:val="000000"/>
                <w:sz w:val="22"/>
              </w:rPr>
              <w:t xml:space="preserve"> prior </w:t>
            </w:r>
            <w:proofErr w:type="spellStart"/>
            <w:r>
              <w:rPr>
                <w:color w:val="000000"/>
                <w:sz w:val="22"/>
              </w:rPr>
              <w:t>express</w:t>
            </w:r>
            <w:proofErr w:type="spellEnd"/>
            <w:r>
              <w:rPr>
                <w:color w:val="000000"/>
                <w:sz w:val="22"/>
              </w:rPr>
              <w:t xml:space="preserve"> </w:t>
            </w:r>
            <w:proofErr w:type="spellStart"/>
            <w:r>
              <w:rPr>
                <w:color w:val="000000"/>
                <w:sz w:val="22"/>
              </w:rPr>
              <w:t>written</w:t>
            </w:r>
            <w:proofErr w:type="spellEnd"/>
            <w:r>
              <w:rPr>
                <w:color w:val="000000"/>
                <w:sz w:val="22"/>
              </w:rPr>
              <w:t xml:space="preserve"> </w:t>
            </w:r>
            <w:proofErr w:type="spellStart"/>
            <w:r>
              <w:rPr>
                <w:color w:val="000000"/>
                <w:sz w:val="22"/>
              </w:rPr>
              <w:t>consent</w:t>
            </w:r>
            <w:proofErr w:type="spellEnd"/>
            <w:r>
              <w:rPr>
                <w:color w:val="000000"/>
                <w:sz w:val="22"/>
              </w:rPr>
              <w:t xml:space="preserve"> </w:t>
            </w:r>
            <w:proofErr w:type="spellStart"/>
            <w:r>
              <w:rPr>
                <w:color w:val="000000"/>
                <w:sz w:val="22"/>
              </w:rPr>
              <w:t>of</w:t>
            </w:r>
            <w:proofErr w:type="spellEnd"/>
            <w:r>
              <w:rPr>
                <w:color w:val="000000"/>
                <w:sz w:val="22"/>
              </w:rPr>
              <w:t xml:space="preserve"> OSE.</w:t>
            </w:r>
          </w:p>
          <w:p w14:paraId="402CD0AC" w14:textId="77777777" w:rsidR="00E255F4" w:rsidRDefault="00000000">
            <w:pPr>
              <w:widowControl w:val="0"/>
              <w:autoSpaceDE w:val="0"/>
              <w:spacing w:line="360" w:lineRule="auto"/>
              <w:contextualSpacing/>
              <w:rPr>
                <w:color w:val="000000"/>
                <w:sz w:val="22"/>
              </w:rPr>
            </w:pPr>
            <w:r>
              <w:rPr>
                <w:color w:val="000000"/>
                <w:sz w:val="22"/>
              </w:rPr>
              <w:t xml:space="preserve">The Agency reserves </w:t>
            </w:r>
            <w:proofErr w:type="spellStart"/>
            <w:r>
              <w:rPr>
                <w:color w:val="000000"/>
                <w:sz w:val="22"/>
              </w:rPr>
              <w:t>the</w:t>
            </w:r>
            <w:proofErr w:type="spellEnd"/>
            <w:r>
              <w:rPr>
                <w:color w:val="000000"/>
                <w:sz w:val="22"/>
              </w:rPr>
              <w:t xml:space="preserve"> </w:t>
            </w:r>
            <w:proofErr w:type="spellStart"/>
            <w:r>
              <w:rPr>
                <w:color w:val="000000"/>
                <w:sz w:val="22"/>
              </w:rPr>
              <w:t>right</w:t>
            </w:r>
            <w:proofErr w:type="spellEnd"/>
            <w:r>
              <w:rPr>
                <w:color w:val="000000"/>
                <w:sz w:val="22"/>
              </w:rPr>
              <w:t xml:space="preserve"> </w:t>
            </w:r>
            <w:proofErr w:type="spellStart"/>
            <w:r>
              <w:rPr>
                <w:color w:val="000000"/>
                <w:sz w:val="22"/>
              </w:rPr>
              <w:t>to</w:t>
            </w:r>
            <w:proofErr w:type="spellEnd"/>
            <w:r>
              <w:rPr>
                <w:color w:val="000000"/>
                <w:sz w:val="22"/>
              </w:rPr>
              <w:t xml:space="preserve"> </w:t>
            </w:r>
            <w:proofErr w:type="spellStart"/>
            <w:r>
              <w:rPr>
                <w:color w:val="000000"/>
                <w:sz w:val="22"/>
              </w:rPr>
              <w:t>audit</w:t>
            </w:r>
            <w:proofErr w:type="spellEnd"/>
            <w:r>
              <w:rPr>
                <w:color w:val="000000"/>
                <w:sz w:val="22"/>
              </w:rPr>
              <w:t xml:space="preserve"> and monitor </w:t>
            </w:r>
            <w:proofErr w:type="spellStart"/>
            <w:r>
              <w:rPr>
                <w:color w:val="000000"/>
                <w:sz w:val="22"/>
              </w:rPr>
              <w:t>compliance</w:t>
            </w:r>
            <w:proofErr w:type="spellEnd"/>
            <w:r>
              <w:rPr>
                <w:color w:val="000000"/>
                <w:sz w:val="22"/>
              </w:rPr>
              <w:t xml:space="preserve"> </w:t>
            </w:r>
            <w:proofErr w:type="spellStart"/>
            <w:r>
              <w:rPr>
                <w:color w:val="000000"/>
                <w:sz w:val="22"/>
              </w:rPr>
              <w:t>with</w:t>
            </w:r>
            <w:proofErr w:type="spellEnd"/>
            <w:r>
              <w:rPr>
                <w:color w:val="000000"/>
                <w:sz w:val="22"/>
              </w:rPr>
              <w:t xml:space="preserve"> </w:t>
            </w:r>
            <w:proofErr w:type="spellStart"/>
            <w:r>
              <w:rPr>
                <w:color w:val="000000"/>
                <w:sz w:val="22"/>
              </w:rPr>
              <w:t>the</w:t>
            </w:r>
            <w:proofErr w:type="spellEnd"/>
            <w:r>
              <w:rPr>
                <w:color w:val="000000"/>
                <w:sz w:val="22"/>
              </w:rPr>
              <w:t xml:space="preserve"> </w:t>
            </w:r>
            <w:proofErr w:type="spellStart"/>
            <w:r>
              <w:rPr>
                <w:color w:val="000000"/>
                <w:sz w:val="22"/>
              </w:rPr>
              <w:t>obligations</w:t>
            </w:r>
            <w:proofErr w:type="spellEnd"/>
            <w:r>
              <w:rPr>
                <w:color w:val="000000"/>
                <w:sz w:val="22"/>
              </w:rPr>
              <w:t xml:space="preserve"> </w:t>
            </w:r>
            <w:proofErr w:type="spellStart"/>
            <w:r>
              <w:rPr>
                <w:color w:val="000000"/>
                <w:sz w:val="22"/>
              </w:rPr>
              <w:t>assumed</w:t>
            </w:r>
            <w:proofErr w:type="spellEnd"/>
            <w:r>
              <w:rPr>
                <w:color w:val="000000"/>
                <w:sz w:val="22"/>
              </w:rPr>
              <w:t xml:space="preserve"> </w:t>
            </w:r>
            <w:proofErr w:type="spellStart"/>
            <w:r>
              <w:rPr>
                <w:color w:val="000000"/>
                <w:sz w:val="22"/>
              </w:rPr>
              <w:t>under</w:t>
            </w:r>
            <w:proofErr w:type="spellEnd"/>
            <w:r>
              <w:rPr>
                <w:color w:val="000000"/>
                <w:sz w:val="22"/>
              </w:rPr>
              <w:t xml:space="preserve"> </w:t>
            </w:r>
            <w:proofErr w:type="spellStart"/>
            <w:r>
              <w:rPr>
                <w:color w:val="000000"/>
                <w:sz w:val="22"/>
              </w:rPr>
              <w:t>this</w:t>
            </w:r>
            <w:proofErr w:type="spellEnd"/>
            <w:r>
              <w:rPr>
                <w:color w:val="000000"/>
                <w:sz w:val="22"/>
              </w:rPr>
              <w:t xml:space="preserve"> </w:t>
            </w:r>
            <w:proofErr w:type="spellStart"/>
            <w:r>
              <w:rPr>
                <w:color w:val="000000"/>
                <w:sz w:val="22"/>
              </w:rPr>
              <w:t>Commitment</w:t>
            </w:r>
            <w:proofErr w:type="spellEnd"/>
            <w:r>
              <w:rPr>
                <w:color w:val="000000"/>
                <w:sz w:val="22"/>
              </w:rPr>
              <w:t xml:space="preserve">, as </w:t>
            </w:r>
            <w:proofErr w:type="spellStart"/>
            <w:r>
              <w:rPr>
                <w:color w:val="000000"/>
                <w:sz w:val="22"/>
              </w:rPr>
              <w:t>well</w:t>
            </w:r>
            <w:proofErr w:type="spellEnd"/>
            <w:r>
              <w:rPr>
                <w:color w:val="000000"/>
                <w:sz w:val="22"/>
              </w:rPr>
              <w:t xml:space="preserve"> as </w:t>
            </w:r>
            <w:proofErr w:type="spellStart"/>
            <w:r>
              <w:rPr>
                <w:color w:val="000000"/>
                <w:sz w:val="22"/>
              </w:rPr>
              <w:t>to</w:t>
            </w:r>
            <w:proofErr w:type="spellEnd"/>
            <w:r>
              <w:rPr>
                <w:color w:val="000000"/>
                <w:sz w:val="22"/>
              </w:rPr>
              <w:t xml:space="preserve"> supervise </w:t>
            </w:r>
            <w:proofErr w:type="spellStart"/>
            <w:r>
              <w:rPr>
                <w:color w:val="000000"/>
                <w:sz w:val="22"/>
              </w:rPr>
              <w:t>activities</w:t>
            </w:r>
            <w:proofErr w:type="spellEnd"/>
            <w:r>
              <w:rPr>
                <w:color w:val="000000"/>
                <w:sz w:val="22"/>
              </w:rPr>
              <w:t xml:space="preserve"> </w:t>
            </w:r>
            <w:proofErr w:type="spellStart"/>
            <w:r>
              <w:rPr>
                <w:color w:val="000000"/>
                <w:sz w:val="22"/>
              </w:rPr>
              <w:t>involving</w:t>
            </w:r>
            <w:proofErr w:type="spellEnd"/>
            <w:r>
              <w:rPr>
                <w:color w:val="000000"/>
                <w:sz w:val="22"/>
              </w:rPr>
              <w:t xml:space="preserve"> </w:t>
            </w:r>
            <w:proofErr w:type="spellStart"/>
            <w:r>
              <w:rPr>
                <w:color w:val="000000"/>
                <w:sz w:val="22"/>
              </w:rPr>
              <w:t>the</w:t>
            </w:r>
            <w:proofErr w:type="spellEnd"/>
            <w:r>
              <w:rPr>
                <w:color w:val="000000"/>
                <w:sz w:val="22"/>
              </w:rPr>
              <w:t xml:space="preserve"> </w:t>
            </w:r>
            <w:proofErr w:type="spellStart"/>
            <w:r>
              <w:rPr>
                <w:color w:val="000000"/>
                <w:sz w:val="22"/>
              </w:rPr>
              <w:t>handling</w:t>
            </w:r>
            <w:proofErr w:type="spellEnd"/>
            <w:r>
              <w:rPr>
                <w:color w:val="000000"/>
                <w:sz w:val="22"/>
              </w:rPr>
              <w:t xml:space="preserve"> </w:t>
            </w:r>
            <w:proofErr w:type="spellStart"/>
            <w:r>
              <w:rPr>
                <w:color w:val="000000"/>
                <w:sz w:val="22"/>
              </w:rPr>
              <w:t>of</w:t>
            </w:r>
            <w:proofErr w:type="spellEnd"/>
            <w:r>
              <w:rPr>
                <w:color w:val="000000"/>
                <w:sz w:val="22"/>
              </w:rPr>
              <w:t xml:space="preserve"> </w:t>
            </w:r>
            <w:proofErr w:type="spellStart"/>
            <w:r>
              <w:rPr>
                <w:color w:val="000000"/>
                <w:sz w:val="22"/>
              </w:rPr>
              <w:t>confidential</w:t>
            </w:r>
            <w:proofErr w:type="spellEnd"/>
            <w:r>
              <w:rPr>
                <w:color w:val="000000"/>
                <w:sz w:val="22"/>
              </w:rPr>
              <w:t xml:space="preserve"> </w:t>
            </w:r>
            <w:proofErr w:type="spellStart"/>
            <w:r>
              <w:rPr>
                <w:color w:val="000000"/>
                <w:sz w:val="22"/>
              </w:rPr>
              <w:t>information</w:t>
            </w:r>
            <w:proofErr w:type="spellEnd"/>
            <w:r>
              <w:rPr>
                <w:color w:val="000000"/>
                <w:sz w:val="22"/>
              </w:rPr>
              <w:t>.</w:t>
            </w:r>
          </w:p>
          <w:p w14:paraId="124E1B59" w14:textId="77777777" w:rsidR="00E255F4" w:rsidRDefault="00000000">
            <w:pPr>
              <w:widowControl w:val="0"/>
              <w:autoSpaceDE w:val="0"/>
              <w:spacing w:line="360" w:lineRule="auto"/>
              <w:contextualSpacing/>
              <w:rPr>
                <w:color w:val="000000"/>
                <w:sz w:val="22"/>
              </w:rPr>
            </w:pPr>
            <w:r>
              <w:rPr>
                <w:b/>
                <w:color w:val="000000"/>
                <w:sz w:val="22"/>
              </w:rPr>
              <w:t>FIFTH: PENALTY FOR NON-</w:t>
            </w:r>
            <w:proofErr w:type="gramStart"/>
            <w:r>
              <w:rPr>
                <w:b/>
                <w:color w:val="000000"/>
                <w:sz w:val="22"/>
              </w:rPr>
              <w:t>COMPLIANCE.-</w:t>
            </w:r>
            <w:proofErr w:type="gramEnd"/>
          </w:p>
          <w:p w14:paraId="597BD609" w14:textId="77777777" w:rsidR="00E255F4" w:rsidRDefault="00000000">
            <w:pPr>
              <w:widowControl w:val="0"/>
              <w:autoSpaceDE w:val="0"/>
              <w:spacing w:line="360" w:lineRule="auto"/>
              <w:contextualSpacing/>
            </w:pPr>
            <w:r>
              <w:rPr>
                <w:color w:val="000000"/>
                <w:sz w:val="22"/>
              </w:rPr>
              <w:t xml:space="preserve">In </w:t>
            </w:r>
            <w:proofErr w:type="spellStart"/>
            <w:r>
              <w:rPr>
                <w:color w:val="000000"/>
                <w:sz w:val="22"/>
              </w:rPr>
              <w:t>the</w:t>
            </w:r>
            <w:proofErr w:type="spellEnd"/>
            <w:r>
              <w:rPr>
                <w:color w:val="000000"/>
                <w:sz w:val="22"/>
              </w:rPr>
              <w:t xml:space="preserve"> </w:t>
            </w:r>
            <w:proofErr w:type="spellStart"/>
            <w:r>
              <w:rPr>
                <w:color w:val="000000"/>
                <w:sz w:val="22"/>
              </w:rPr>
              <w:t>event</w:t>
            </w:r>
            <w:proofErr w:type="spellEnd"/>
            <w:r>
              <w:rPr>
                <w:color w:val="000000"/>
                <w:sz w:val="22"/>
              </w:rPr>
              <w:t xml:space="preserve"> </w:t>
            </w:r>
            <w:proofErr w:type="spellStart"/>
            <w:r>
              <w:rPr>
                <w:color w:val="000000"/>
                <w:sz w:val="22"/>
              </w:rPr>
              <w:t>of</w:t>
            </w:r>
            <w:proofErr w:type="spellEnd"/>
            <w:r>
              <w:rPr>
                <w:color w:val="000000"/>
                <w:sz w:val="22"/>
              </w:rPr>
              <w:t xml:space="preserve"> non-</w:t>
            </w:r>
            <w:proofErr w:type="spellStart"/>
            <w:r>
              <w:rPr>
                <w:color w:val="000000"/>
                <w:sz w:val="22"/>
              </w:rPr>
              <w:t>compliance</w:t>
            </w:r>
            <w:proofErr w:type="spellEnd"/>
            <w:r>
              <w:rPr>
                <w:color w:val="000000"/>
                <w:sz w:val="22"/>
              </w:rPr>
              <w:t xml:space="preserve"> </w:t>
            </w:r>
            <w:proofErr w:type="spellStart"/>
            <w:r>
              <w:rPr>
                <w:color w:val="000000"/>
                <w:sz w:val="22"/>
              </w:rPr>
              <w:t>with</w:t>
            </w:r>
            <w:proofErr w:type="spellEnd"/>
            <w:r>
              <w:rPr>
                <w:color w:val="000000"/>
                <w:sz w:val="22"/>
              </w:rPr>
              <w:t xml:space="preserve"> </w:t>
            </w:r>
            <w:proofErr w:type="spellStart"/>
            <w:r>
              <w:rPr>
                <w:color w:val="000000"/>
                <w:sz w:val="22"/>
              </w:rPr>
              <w:t>this</w:t>
            </w:r>
            <w:proofErr w:type="spellEnd"/>
            <w:r>
              <w:rPr>
                <w:color w:val="000000"/>
                <w:sz w:val="22"/>
              </w:rPr>
              <w:t xml:space="preserve"> </w:t>
            </w:r>
            <w:proofErr w:type="spellStart"/>
            <w:r>
              <w:rPr>
                <w:color w:val="000000"/>
                <w:sz w:val="22"/>
              </w:rPr>
              <w:t>commitment</w:t>
            </w:r>
            <w:proofErr w:type="spellEnd"/>
            <w:r>
              <w:rPr>
                <w:color w:val="000000"/>
                <w:sz w:val="22"/>
              </w:rPr>
              <w:t xml:space="preserve">, OSE </w:t>
            </w:r>
            <w:proofErr w:type="spellStart"/>
            <w:r>
              <w:rPr>
                <w:color w:val="000000"/>
                <w:sz w:val="22"/>
              </w:rPr>
              <w:t>is</w:t>
            </w:r>
            <w:proofErr w:type="spellEnd"/>
            <w:r>
              <w:rPr>
                <w:color w:val="000000"/>
                <w:sz w:val="22"/>
              </w:rPr>
              <w:t xml:space="preserve"> </w:t>
            </w:r>
            <w:proofErr w:type="spellStart"/>
            <w:r>
              <w:rPr>
                <w:color w:val="000000"/>
                <w:sz w:val="22"/>
              </w:rPr>
              <w:t>fully</w:t>
            </w:r>
            <w:proofErr w:type="spellEnd"/>
            <w:r>
              <w:rPr>
                <w:color w:val="000000"/>
                <w:sz w:val="22"/>
              </w:rPr>
              <w:t xml:space="preserve"> </w:t>
            </w:r>
            <w:proofErr w:type="spellStart"/>
            <w:r>
              <w:rPr>
                <w:color w:val="000000"/>
                <w:sz w:val="22"/>
              </w:rPr>
              <w:t>authorized</w:t>
            </w:r>
            <w:proofErr w:type="spellEnd"/>
            <w:r>
              <w:rPr>
                <w:color w:val="000000"/>
                <w:sz w:val="22"/>
              </w:rPr>
              <w:t xml:space="preserve"> </w:t>
            </w:r>
            <w:proofErr w:type="spellStart"/>
            <w:r>
              <w:rPr>
                <w:color w:val="000000"/>
                <w:sz w:val="22"/>
              </w:rPr>
              <w:t>to</w:t>
            </w:r>
            <w:proofErr w:type="spellEnd"/>
            <w:r>
              <w:rPr>
                <w:color w:val="000000"/>
                <w:sz w:val="22"/>
              </w:rPr>
              <w:t xml:space="preserve"> </w:t>
            </w:r>
            <w:proofErr w:type="spellStart"/>
            <w:r>
              <w:rPr>
                <w:color w:val="000000"/>
                <w:sz w:val="22"/>
              </w:rPr>
              <w:t>take</w:t>
            </w:r>
            <w:proofErr w:type="spellEnd"/>
            <w:r>
              <w:rPr>
                <w:color w:val="000000"/>
                <w:sz w:val="22"/>
              </w:rPr>
              <w:t xml:space="preserve"> </w:t>
            </w:r>
            <w:proofErr w:type="spellStart"/>
            <w:r>
              <w:rPr>
                <w:color w:val="000000"/>
                <w:sz w:val="22"/>
              </w:rPr>
              <w:t>any</w:t>
            </w:r>
            <w:proofErr w:type="spellEnd"/>
            <w:r>
              <w:rPr>
                <w:color w:val="000000"/>
                <w:sz w:val="22"/>
              </w:rPr>
              <w:t xml:space="preserve"> legal and </w:t>
            </w:r>
            <w:proofErr w:type="spellStart"/>
            <w:r>
              <w:rPr>
                <w:color w:val="000000"/>
                <w:sz w:val="22"/>
              </w:rPr>
              <w:t>regulatory</w:t>
            </w:r>
            <w:proofErr w:type="spellEnd"/>
            <w:r>
              <w:rPr>
                <w:color w:val="000000"/>
                <w:sz w:val="22"/>
              </w:rPr>
              <w:t xml:space="preserve"> </w:t>
            </w:r>
            <w:proofErr w:type="spellStart"/>
            <w:r>
              <w:rPr>
                <w:color w:val="000000"/>
                <w:sz w:val="22"/>
              </w:rPr>
              <w:t>measures</w:t>
            </w:r>
            <w:proofErr w:type="spellEnd"/>
            <w:r>
              <w:rPr>
                <w:color w:val="000000"/>
                <w:sz w:val="22"/>
              </w:rPr>
              <w:t xml:space="preserve"> </w:t>
            </w:r>
            <w:proofErr w:type="spellStart"/>
            <w:r>
              <w:rPr>
                <w:color w:val="000000"/>
                <w:sz w:val="22"/>
              </w:rPr>
              <w:t>to</w:t>
            </w:r>
            <w:proofErr w:type="spellEnd"/>
            <w:r>
              <w:rPr>
                <w:color w:val="000000"/>
                <w:sz w:val="22"/>
              </w:rPr>
              <w:t xml:space="preserve"> </w:t>
            </w:r>
            <w:proofErr w:type="spellStart"/>
            <w:r>
              <w:rPr>
                <w:color w:val="000000"/>
                <w:sz w:val="22"/>
              </w:rPr>
              <w:t>which</w:t>
            </w:r>
            <w:proofErr w:type="spellEnd"/>
            <w:r>
              <w:rPr>
                <w:color w:val="000000"/>
                <w:sz w:val="22"/>
              </w:rPr>
              <w:t xml:space="preserve"> </w:t>
            </w:r>
            <w:proofErr w:type="spellStart"/>
            <w:r>
              <w:rPr>
                <w:color w:val="000000"/>
                <w:sz w:val="22"/>
              </w:rPr>
              <w:t>it</w:t>
            </w:r>
            <w:proofErr w:type="spellEnd"/>
            <w:r>
              <w:rPr>
                <w:color w:val="000000"/>
                <w:sz w:val="22"/>
              </w:rPr>
              <w:t xml:space="preserve"> </w:t>
            </w:r>
            <w:proofErr w:type="spellStart"/>
            <w:r>
              <w:rPr>
                <w:color w:val="000000"/>
                <w:sz w:val="22"/>
              </w:rPr>
              <w:t>is</w:t>
            </w:r>
            <w:proofErr w:type="spellEnd"/>
            <w:r>
              <w:rPr>
                <w:color w:val="000000"/>
                <w:sz w:val="22"/>
              </w:rPr>
              <w:t xml:space="preserve"> </w:t>
            </w:r>
            <w:proofErr w:type="spellStart"/>
            <w:r>
              <w:rPr>
                <w:color w:val="000000"/>
                <w:sz w:val="22"/>
              </w:rPr>
              <w:t>entitled</w:t>
            </w:r>
            <w:proofErr w:type="spellEnd"/>
            <w:r>
              <w:rPr>
                <w:color w:val="000000"/>
                <w:sz w:val="22"/>
              </w:rPr>
              <w:t xml:space="preserve">. </w:t>
            </w:r>
            <w:proofErr w:type="spellStart"/>
            <w:r>
              <w:rPr>
                <w:color w:val="000000"/>
                <w:sz w:val="22"/>
              </w:rPr>
              <w:t>Furthermore</w:t>
            </w:r>
            <w:proofErr w:type="spellEnd"/>
            <w:r>
              <w:rPr>
                <w:color w:val="000000"/>
                <w:sz w:val="22"/>
              </w:rPr>
              <w:t xml:space="preserve">, </w:t>
            </w:r>
            <w:proofErr w:type="spellStart"/>
            <w:r>
              <w:rPr>
                <w:color w:val="000000"/>
                <w:sz w:val="22"/>
              </w:rPr>
              <w:t>such</w:t>
            </w:r>
            <w:proofErr w:type="spellEnd"/>
            <w:r>
              <w:rPr>
                <w:color w:val="000000"/>
                <w:sz w:val="22"/>
              </w:rPr>
              <w:t xml:space="preserve"> non-</w:t>
            </w:r>
            <w:proofErr w:type="spellStart"/>
            <w:r>
              <w:rPr>
                <w:color w:val="000000"/>
                <w:sz w:val="22"/>
              </w:rPr>
              <w:t>compliance</w:t>
            </w:r>
            <w:proofErr w:type="spellEnd"/>
            <w:r>
              <w:rPr>
                <w:color w:val="000000"/>
                <w:sz w:val="22"/>
              </w:rPr>
              <w:t xml:space="preserve"> </w:t>
            </w:r>
            <w:proofErr w:type="spellStart"/>
            <w:r>
              <w:rPr>
                <w:color w:val="000000"/>
                <w:sz w:val="22"/>
              </w:rPr>
              <w:t>will</w:t>
            </w:r>
            <w:proofErr w:type="spellEnd"/>
            <w:r>
              <w:rPr>
                <w:color w:val="000000"/>
                <w:sz w:val="22"/>
              </w:rPr>
              <w:t xml:space="preserve"> be </w:t>
            </w:r>
            <w:proofErr w:type="spellStart"/>
            <w:r>
              <w:rPr>
                <w:color w:val="000000"/>
                <w:sz w:val="22"/>
              </w:rPr>
              <w:t>considered</w:t>
            </w:r>
            <w:proofErr w:type="spellEnd"/>
            <w:r>
              <w:rPr>
                <w:color w:val="000000"/>
                <w:sz w:val="22"/>
              </w:rPr>
              <w:t xml:space="preserve"> a </w:t>
            </w:r>
            <w:proofErr w:type="spellStart"/>
            <w:r>
              <w:rPr>
                <w:color w:val="000000"/>
                <w:sz w:val="22"/>
              </w:rPr>
              <w:t>serious</w:t>
            </w:r>
            <w:proofErr w:type="spellEnd"/>
            <w:r>
              <w:rPr>
                <w:color w:val="000000"/>
                <w:sz w:val="22"/>
              </w:rPr>
              <w:t xml:space="preserve"> </w:t>
            </w:r>
            <w:proofErr w:type="spellStart"/>
            <w:r>
              <w:rPr>
                <w:color w:val="000000"/>
                <w:sz w:val="22"/>
              </w:rPr>
              <w:t>offense</w:t>
            </w:r>
            <w:proofErr w:type="spellEnd"/>
            <w:r>
              <w:rPr>
                <w:color w:val="000000"/>
                <w:sz w:val="22"/>
              </w:rPr>
              <w:t xml:space="preserve"> in </w:t>
            </w:r>
            <w:proofErr w:type="spellStart"/>
            <w:r>
              <w:rPr>
                <w:color w:val="000000"/>
                <w:sz w:val="22"/>
              </w:rPr>
              <w:t>accordance</w:t>
            </w:r>
            <w:proofErr w:type="spellEnd"/>
            <w:r>
              <w:rPr>
                <w:color w:val="000000"/>
                <w:sz w:val="22"/>
              </w:rPr>
              <w:t xml:space="preserve"> </w:t>
            </w:r>
            <w:proofErr w:type="spellStart"/>
            <w:r>
              <w:rPr>
                <w:color w:val="000000"/>
                <w:sz w:val="22"/>
              </w:rPr>
              <w:t>with</w:t>
            </w:r>
            <w:proofErr w:type="spellEnd"/>
            <w:r>
              <w:rPr>
                <w:color w:val="000000"/>
                <w:sz w:val="22"/>
              </w:rPr>
              <w:t xml:space="preserve"> </w:t>
            </w:r>
            <w:proofErr w:type="spellStart"/>
            <w:r>
              <w:rPr>
                <w:color w:val="000000"/>
                <w:sz w:val="22"/>
              </w:rPr>
              <w:t>the</w:t>
            </w:r>
            <w:proofErr w:type="spellEnd"/>
            <w:r>
              <w:rPr>
                <w:color w:val="000000"/>
                <w:sz w:val="22"/>
              </w:rPr>
              <w:t xml:space="preserve"> Information Security Policy, </w:t>
            </w:r>
            <w:proofErr w:type="spellStart"/>
            <w:r>
              <w:rPr>
                <w:color w:val="000000"/>
                <w:sz w:val="22"/>
              </w:rPr>
              <w:t>entitling</w:t>
            </w:r>
            <w:proofErr w:type="spellEnd"/>
            <w:r>
              <w:rPr>
                <w:color w:val="000000"/>
                <w:sz w:val="22"/>
              </w:rPr>
              <w:t xml:space="preserve"> OSE </w:t>
            </w:r>
            <w:proofErr w:type="spellStart"/>
            <w:r>
              <w:rPr>
                <w:color w:val="000000"/>
                <w:sz w:val="22"/>
              </w:rPr>
              <w:t>to</w:t>
            </w:r>
            <w:proofErr w:type="spellEnd"/>
            <w:r>
              <w:rPr>
                <w:color w:val="000000"/>
                <w:sz w:val="22"/>
              </w:rPr>
              <w:t xml:space="preserve"> </w:t>
            </w:r>
            <w:proofErr w:type="spellStart"/>
            <w:r>
              <w:rPr>
                <w:color w:val="000000"/>
                <w:sz w:val="22"/>
              </w:rPr>
              <w:t>terminate</w:t>
            </w:r>
            <w:proofErr w:type="spellEnd"/>
            <w:r>
              <w:rPr>
                <w:color w:val="000000"/>
                <w:sz w:val="22"/>
              </w:rPr>
              <w:t xml:space="preserve"> </w:t>
            </w:r>
            <w:proofErr w:type="spellStart"/>
            <w:r>
              <w:rPr>
                <w:color w:val="000000"/>
                <w:sz w:val="22"/>
              </w:rPr>
              <w:t>its</w:t>
            </w:r>
            <w:proofErr w:type="spellEnd"/>
            <w:r>
              <w:rPr>
                <w:color w:val="000000"/>
                <w:sz w:val="22"/>
              </w:rPr>
              <w:t xml:space="preserve"> </w:t>
            </w:r>
            <w:proofErr w:type="spellStart"/>
            <w:r>
              <w:rPr>
                <w:color w:val="000000"/>
                <w:sz w:val="22"/>
              </w:rPr>
              <w:t>relationship</w:t>
            </w:r>
            <w:proofErr w:type="spellEnd"/>
            <w:r>
              <w:rPr>
                <w:color w:val="000000"/>
                <w:sz w:val="22"/>
              </w:rPr>
              <w:t xml:space="preserve"> </w:t>
            </w:r>
            <w:proofErr w:type="spellStart"/>
            <w:r>
              <w:rPr>
                <w:color w:val="000000"/>
                <w:sz w:val="22"/>
              </w:rPr>
              <w:t>with</w:t>
            </w:r>
            <w:proofErr w:type="spellEnd"/>
            <w:r>
              <w:rPr>
                <w:color w:val="000000"/>
                <w:sz w:val="22"/>
              </w:rPr>
              <w:t xml:space="preserve"> </w:t>
            </w:r>
            <w:proofErr w:type="spellStart"/>
            <w:r>
              <w:rPr>
                <w:color w:val="000000"/>
                <w:sz w:val="22"/>
              </w:rPr>
              <w:t>the</w:t>
            </w:r>
            <w:proofErr w:type="spellEnd"/>
            <w:r>
              <w:rPr>
                <w:color w:val="000000"/>
                <w:sz w:val="22"/>
              </w:rPr>
              <w:t xml:space="preserve"> </w:t>
            </w:r>
            <w:proofErr w:type="spellStart"/>
            <w:r>
              <w:rPr>
                <w:color w:val="000000"/>
                <w:sz w:val="22"/>
              </w:rPr>
              <w:t>signatory</w:t>
            </w:r>
            <w:proofErr w:type="spellEnd"/>
            <w:r>
              <w:rPr>
                <w:color w:val="000000"/>
                <w:sz w:val="22"/>
              </w:rPr>
              <w:t xml:space="preserve"> </w:t>
            </w:r>
            <w:proofErr w:type="spellStart"/>
            <w:r>
              <w:rPr>
                <w:color w:val="000000"/>
                <w:sz w:val="22"/>
              </w:rPr>
              <w:t>company</w:t>
            </w:r>
            <w:proofErr w:type="spellEnd"/>
            <w:r>
              <w:rPr>
                <w:color w:val="000000"/>
                <w:sz w:val="22"/>
              </w:rPr>
              <w:t xml:space="preserve">, </w:t>
            </w:r>
            <w:proofErr w:type="spellStart"/>
            <w:r>
              <w:rPr>
                <w:color w:val="000000"/>
                <w:sz w:val="22"/>
              </w:rPr>
              <w:t>without</w:t>
            </w:r>
            <w:proofErr w:type="spellEnd"/>
            <w:r>
              <w:rPr>
                <w:color w:val="000000"/>
                <w:sz w:val="22"/>
              </w:rPr>
              <w:t xml:space="preserve"> </w:t>
            </w:r>
            <w:proofErr w:type="spellStart"/>
            <w:r>
              <w:rPr>
                <w:color w:val="000000"/>
                <w:sz w:val="22"/>
              </w:rPr>
              <w:t>prejudice</w:t>
            </w:r>
            <w:proofErr w:type="spellEnd"/>
            <w:r>
              <w:rPr>
                <w:color w:val="000000"/>
                <w:sz w:val="22"/>
              </w:rPr>
              <w:t xml:space="preserve"> </w:t>
            </w:r>
            <w:proofErr w:type="spellStart"/>
            <w:r>
              <w:rPr>
                <w:color w:val="000000"/>
                <w:sz w:val="22"/>
              </w:rPr>
              <w:t>to</w:t>
            </w:r>
            <w:proofErr w:type="spellEnd"/>
            <w:r>
              <w:rPr>
                <w:color w:val="000000"/>
                <w:sz w:val="22"/>
              </w:rPr>
              <w:t xml:space="preserve"> </w:t>
            </w:r>
            <w:proofErr w:type="spellStart"/>
            <w:r>
              <w:rPr>
                <w:color w:val="000000"/>
                <w:sz w:val="22"/>
              </w:rPr>
              <w:t>any</w:t>
            </w:r>
            <w:proofErr w:type="spellEnd"/>
            <w:r>
              <w:rPr>
                <w:color w:val="000000"/>
                <w:sz w:val="22"/>
              </w:rPr>
              <w:t xml:space="preserve"> civil </w:t>
            </w:r>
            <w:proofErr w:type="spellStart"/>
            <w:r>
              <w:rPr>
                <w:color w:val="000000"/>
                <w:sz w:val="22"/>
              </w:rPr>
              <w:t>or</w:t>
            </w:r>
            <w:proofErr w:type="spellEnd"/>
            <w:r>
              <w:rPr>
                <w:color w:val="000000"/>
                <w:sz w:val="22"/>
              </w:rPr>
              <w:t xml:space="preserve"> criminal </w:t>
            </w:r>
            <w:proofErr w:type="spellStart"/>
            <w:r>
              <w:rPr>
                <w:color w:val="000000"/>
                <w:sz w:val="22"/>
              </w:rPr>
              <w:t>actions</w:t>
            </w:r>
            <w:proofErr w:type="spellEnd"/>
            <w:r>
              <w:rPr>
                <w:color w:val="000000"/>
                <w:sz w:val="22"/>
              </w:rPr>
              <w:t xml:space="preserve"> </w:t>
            </w:r>
            <w:proofErr w:type="spellStart"/>
            <w:r>
              <w:rPr>
                <w:color w:val="000000"/>
                <w:sz w:val="22"/>
              </w:rPr>
              <w:t>to</w:t>
            </w:r>
            <w:proofErr w:type="spellEnd"/>
            <w:r>
              <w:rPr>
                <w:color w:val="000000"/>
                <w:sz w:val="22"/>
              </w:rPr>
              <w:t xml:space="preserve"> </w:t>
            </w:r>
            <w:proofErr w:type="spellStart"/>
            <w:r>
              <w:rPr>
                <w:color w:val="000000"/>
                <w:sz w:val="22"/>
              </w:rPr>
              <w:t>which</w:t>
            </w:r>
            <w:proofErr w:type="spellEnd"/>
            <w:r>
              <w:rPr>
                <w:color w:val="000000"/>
                <w:sz w:val="22"/>
              </w:rPr>
              <w:t xml:space="preserve"> </w:t>
            </w:r>
            <w:proofErr w:type="spellStart"/>
            <w:r>
              <w:rPr>
                <w:color w:val="000000"/>
                <w:sz w:val="22"/>
              </w:rPr>
              <w:t>it</w:t>
            </w:r>
            <w:proofErr w:type="spellEnd"/>
            <w:r>
              <w:rPr>
                <w:color w:val="000000"/>
                <w:sz w:val="22"/>
              </w:rPr>
              <w:t xml:space="preserve"> </w:t>
            </w:r>
            <w:proofErr w:type="spellStart"/>
            <w:r>
              <w:rPr>
                <w:color w:val="000000"/>
                <w:sz w:val="22"/>
              </w:rPr>
              <w:t>may</w:t>
            </w:r>
            <w:proofErr w:type="spellEnd"/>
            <w:r>
              <w:rPr>
                <w:color w:val="000000"/>
                <w:sz w:val="22"/>
              </w:rPr>
              <w:t xml:space="preserve"> be </w:t>
            </w:r>
            <w:proofErr w:type="spellStart"/>
            <w:r>
              <w:rPr>
                <w:color w:val="000000"/>
                <w:sz w:val="22"/>
              </w:rPr>
              <w:t>entitled</w:t>
            </w:r>
            <w:proofErr w:type="spellEnd"/>
            <w:r>
              <w:rPr>
                <w:color w:val="000000"/>
                <w:sz w:val="22"/>
              </w:rPr>
              <w:t>.</w:t>
            </w:r>
          </w:p>
          <w:p w14:paraId="7ECEF3A7" w14:textId="77777777" w:rsidR="00E255F4" w:rsidRDefault="00000000">
            <w:pPr>
              <w:widowControl w:val="0"/>
              <w:autoSpaceDE w:val="0"/>
              <w:spacing w:line="360" w:lineRule="auto"/>
              <w:contextualSpacing/>
              <w:rPr>
                <w:color w:val="000000"/>
                <w:sz w:val="22"/>
              </w:rPr>
            </w:pPr>
            <w:r>
              <w:rPr>
                <w:b/>
                <w:color w:val="000000"/>
                <w:sz w:val="22"/>
              </w:rPr>
              <w:t xml:space="preserve">SIXTH: OWNERSHIP OF CONFIDENTIAL </w:t>
            </w:r>
            <w:proofErr w:type="gramStart"/>
            <w:r>
              <w:rPr>
                <w:b/>
                <w:color w:val="000000"/>
                <w:sz w:val="22"/>
              </w:rPr>
              <w:t>INFORMATION.-</w:t>
            </w:r>
            <w:proofErr w:type="gramEnd"/>
          </w:p>
          <w:p w14:paraId="64664C72" w14:textId="77777777" w:rsidR="00E255F4" w:rsidRDefault="00000000">
            <w:pPr>
              <w:widowControl w:val="0"/>
              <w:autoSpaceDE w:val="0"/>
              <w:spacing w:line="360" w:lineRule="auto"/>
              <w:contextualSpacing/>
            </w:pPr>
            <w:r>
              <w:rPr>
                <w:color w:val="000000"/>
                <w:sz w:val="22"/>
              </w:rPr>
              <w:t xml:space="preserve">The </w:t>
            </w:r>
            <w:proofErr w:type="spellStart"/>
            <w:r>
              <w:rPr>
                <w:color w:val="000000"/>
                <w:sz w:val="22"/>
              </w:rPr>
              <w:t>undersigned</w:t>
            </w:r>
            <w:proofErr w:type="spellEnd"/>
            <w:r>
              <w:rPr>
                <w:color w:val="000000"/>
                <w:sz w:val="22"/>
              </w:rPr>
              <w:t xml:space="preserve"> </w:t>
            </w:r>
            <w:proofErr w:type="spellStart"/>
            <w:r>
              <w:rPr>
                <w:color w:val="000000"/>
                <w:sz w:val="22"/>
              </w:rPr>
              <w:t>company</w:t>
            </w:r>
            <w:proofErr w:type="spellEnd"/>
            <w:r>
              <w:rPr>
                <w:color w:val="000000"/>
                <w:sz w:val="22"/>
              </w:rPr>
              <w:t xml:space="preserve"> declares, </w:t>
            </w:r>
            <w:proofErr w:type="spellStart"/>
            <w:r>
              <w:rPr>
                <w:color w:val="000000"/>
                <w:sz w:val="22"/>
              </w:rPr>
              <w:t>acknowledges</w:t>
            </w:r>
            <w:proofErr w:type="spellEnd"/>
            <w:r>
              <w:rPr>
                <w:color w:val="000000"/>
                <w:sz w:val="22"/>
              </w:rPr>
              <w:t xml:space="preserve"> and </w:t>
            </w:r>
            <w:proofErr w:type="spellStart"/>
            <w:r>
              <w:rPr>
                <w:color w:val="000000"/>
                <w:sz w:val="22"/>
              </w:rPr>
              <w:t>accepts</w:t>
            </w:r>
            <w:proofErr w:type="spellEnd"/>
            <w:r>
              <w:rPr>
                <w:color w:val="000000"/>
                <w:sz w:val="22"/>
              </w:rPr>
              <w:t xml:space="preserve"> </w:t>
            </w:r>
            <w:proofErr w:type="spellStart"/>
            <w:r>
              <w:rPr>
                <w:color w:val="000000"/>
                <w:sz w:val="22"/>
              </w:rPr>
              <w:t>that</w:t>
            </w:r>
            <w:proofErr w:type="spellEnd"/>
            <w:r>
              <w:rPr>
                <w:color w:val="000000"/>
                <w:sz w:val="22"/>
              </w:rPr>
              <w:t xml:space="preserve"> </w:t>
            </w:r>
            <w:proofErr w:type="spellStart"/>
            <w:r>
              <w:rPr>
                <w:color w:val="000000"/>
                <w:sz w:val="22"/>
              </w:rPr>
              <w:t>the</w:t>
            </w:r>
            <w:proofErr w:type="spellEnd"/>
            <w:r>
              <w:rPr>
                <w:color w:val="000000"/>
                <w:sz w:val="22"/>
              </w:rPr>
              <w:t xml:space="preserve"> </w:t>
            </w:r>
            <w:proofErr w:type="spellStart"/>
            <w:r>
              <w:rPr>
                <w:color w:val="000000"/>
                <w:sz w:val="22"/>
              </w:rPr>
              <w:t>confidential</w:t>
            </w:r>
            <w:proofErr w:type="spellEnd"/>
            <w:r>
              <w:rPr>
                <w:color w:val="000000"/>
                <w:sz w:val="22"/>
              </w:rPr>
              <w:t xml:space="preserve"> </w:t>
            </w:r>
            <w:proofErr w:type="spellStart"/>
            <w:r>
              <w:rPr>
                <w:color w:val="000000"/>
                <w:sz w:val="22"/>
              </w:rPr>
              <w:t>information</w:t>
            </w:r>
            <w:proofErr w:type="spellEnd"/>
            <w:r>
              <w:rPr>
                <w:color w:val="000000"/>
                <w:sz w:val="22"/>
              </w:rPr>
              <w:t xml:space="preserve"> </w:t>
            </w:r>
            <w:proofErr w:type="spellStart"/>
            <w:r>
              <w:rPr>
                <w:color w:val="000000"/>
                <w:sz w:val="22"/>
              </w:rPr>
              <w:t>to</w:t>
            </w:r>
            <w:proofErr w:type="spellEnd"/>
            <w:r>
              <w:rPr>
                <w:color w:val="000000"/>
                <w:sz w:val="22"/>
              </w:rPr>
              <w:t xml:space="preserve"> </w:t>
            </w:r>
            <w:proofErr w:type="spellStart"/>
            <w:r>
              <w:rPr>
                <w:color w:val="000000"/>
                <w:sz w:val="22"/>
              </w:rPr>
              <w:t>which</w:t>
            </w:r>
            <w:proofErr w:type="spellEnd"/>
            <w:r>
              <w:rPr>
                <w:color w:val="000000"/>
                <w:sz w:val="22"/>
              </w:rPr>
              <w:t xml:space="preserve"> </w:t>
            </w:r>
            <w:proofErr w:type="spellStart"/>
            <w:r>
              <w:rPr>
                <w:color w:val="000000"/>
                <w:sz w:val="22"/>
              </w:rPr>
              <w:t>it</w:t>
            </w:r>
            <w:proofErr w:type="spellEnd"/>
            <w:r>
              <w:rPr>
                <w:color w:val="000000"/>
                <w:sz w:val="22"/>
              </w:rPr>
              <w:t xml:space="preserve"> has </w:t>
            </w:r>
            <w:proofErr w:type="spellStart"/>
            <w:r>
              <w:rPr>
                <w:color w:val="000000"/>
                <w:sz w:val="22"/>
              </w:rPr>
              <w:t>access</w:t>
            </w:r>
            <w:proofErr w:type="spellEnd"/>
            <w:r>
              <w:rPr>
                <w:color w:val="000000"/>
                <w:sz w:val="22"/>
              </w:rPr>
              <w:t xml:space="preserve"> </w:t>
            </w:r>
            <w:proofErr w:type="spellStart"/>
            <w:r>
              <w:rPr>
                <w:color w:val="000000"/>
                <w:sz w:val="22"/>
              </w:rPr>
              <w:t>by</w:t>
            </w:r>
            <w:proofErr w:type="spellEnd"/>
            <w:r>
              <w:rPr>
                <w:color w:val="000000"/>
                <w:sz w:val="22"/>
              </w:rPr>
              <w:t xml:space="preserve"> </w:t>
            </w:r>
            <w:proofErr w:type="spellStart"/>
            <w:r>
              <w:rPr>
                <w:color w:val="000000"/>
                <w:sz w:val="22"/>
              </w:rPr>
              <w:t>virtue</w:t>
            </w:r>
            <w:proofErr w:type="spellEnd"/>
            <w:r>
              <w:rPr>
                <w:color w:val="000000"/>
                <w:sz w:val="22"/>
              </w:rPr>
              <w:t xml:space="preserve"> </w:t>
            </w:r>
            <w:proofErr w:type="spellStart"/>
            <w:r>
              <w:rPr>
                <w:color w:val="000000"/>
                <w:sz w:val="22"/>
              </w:rPr>
              <w:t>of</w:t>
            </w:r>
            <w:proofErr w:type="spellEnd"/>
            <w:r>
              <w:rPr>
                <w:color w:val="000000"/>
                <w:sz w:val="22"/>
              </w:rPr>
              <w:t xml:space="preserve"> </w:t>
            </w:r>
            <w:proofErr w:type="spellStart"/>
            <w:r>
              <w:rPr>
                <w:color w:val="000000"/>
                <w:sz w:val="22"/>
              </w:rPr>
              <w:t>its</w:t>
            </w:r>
            <w:proofErr w:type="spellEnd"/>
            <w:r>
              <w:rPr>
                <w:color w:val="000000"/>
                <w:sz w:val="22"/>
              </w:rPr>
              <w:t xml:space="preserve"> </w:t>
            </w:r>
            <w:proofErr w:type="spellStart"/>
            <w:r>
              <w:rPr>
                <w:color w:val="000000"/>
                <w:sz w:val="22"/>
              </w:rPr>
              <w:t>connection</w:t>
            </w:r>
            <w:proofErr w:type="spellEnd"/>
            <w:r>
              <w:rPr>
                <w:color w:val="000000"/>
                <w:sz w:val="22"/>
              </w:rPr>
              <w:t xml:space="preserve"> </w:t>
            </w:r>
            <w:proofErr w:type="spellStart"/>
            <w:r>
              <w:rPr>
                <w:color w:val="000000"/>
                <w:sz w:val="22"/>
              </w:rPr>
              <w:t>with</w:t>
            </w:r>
            <w:proofErr w:type="spellEnd"/>
            <w:r>
              <w:rPr>
                <w:color w:val="000000"/>
                <w:sz w:val="22"/>
              </w:rPr>
              <w:t xml:space="preserve"> OSE </w:t>
            </w:r>
            <w:proofErr w:type="spellStart"/>
            <w:r>
              <w:rPr>
                <w:color w:val="000000"/>
                <w:sz w:val="22"/>
              </w:rPr>
              <w:t>is</w:t>
            </w:r>
            <w:proofErr w:type="spellEnd"/>
            <w:r>
              <w:rPr>
                <w:color w:val="000000"/>
                <w:sz w:val="22"/>
              </w:rPr>
              <w:t xml:space="preserve"> </w:t>
            </w:r>
            <w:proofErr w:type="spellStart"/>
            <w:r>
              <w:rPr>
                <w:color w:val="000000"/>
                <w:sz w:val="22"/>
              </w:rPr>
              <w:t>not</w:t>
            </w:r>
            <w:proofErr w:type="spellEnd"/>
            <w:r>
              <w:rPr>
                <w:color w:val="000000"/>
                <w:sz w:val="22"/>
              </w:rPr>
              <w:t xml:space="preserve"> </w:t>
            </w:r>
            <w:proofErr w:type="spellStart"/>
            <w:r>
              <w:rPr>
                <w:color w:val="000000"/>
                <w:sz w:val="22"/>
              </w:rPr>
              <w:t>its</w:t>
            </w:r>
            <w:proofErr w:type="spellEnd"/>
            <w:r>
              <w:rPr>
                <w:color w:val="000000"/>
                <w:sz w:val="22"/>
              </w:rPr>
              <w:t xml:space="preserve"> </w:t>
            </w:r>
            <w:proofErr w:type="spellStart"/>
            <w:r>
              <w:rPr>
                <w:color w:val="000000"/>
                <w:sz w:val="22"/>
              </w:rPr>
              <w:t>property</w:t>
            </w:r>
            <w:proofErr w:type="spellEnd"/>
            <w:r>
              <w:rPr>
                <w:color w:val="000000"/>
                <w:sz w:val="22"/>
              </w:rPr>
              <w:t xml:space="preserve">, and </w:t>
            </w:r>
            <w:proofErr w:type="spellStart"/>
            <w:r>
              <w:rPr>
                <w:color w:val="000000"/>
                <w:sz w:val="22"/>
              </w:rPr>
              <w:t>it</w:t>
            </w:r>
            <w:proofErr w:type="spellEnd"/>
            <w:r>
              <w:rPr>
                <w:color w:val="000000"/>
                <w:sz w:val="22"/>
              </w:rPr>
              <w:t xml:space="preserve"> </w:t>
            </w:r>
            <w:proofErr w:type="spellStart"/>
            <w:r>
              <w:rPr>
                <w:color w:val="000000"/>
                <w:sz w:val="22"/>
              </w:rPr>
              <w:t>is</w:t>
            </w:r>
            <w:proofErr w:type="spellEnd"/>
            <w:r>
              <w:rPr>
                <w:color w:val="000000"/>
                <w:sz w:val="22"/>
              </w:rPr>
              <w:t xml:space="preserve"> </w:t>
            </w:r>
            <w:proofErr w:type="spellStart"/>
            <w:r>
              <w:rPr>
                <w:color w:val="000000"/>
                <w:sz w:val="22"/>
              </w:rPr>
              <w:t>prohibited</w:t>
            </w:r>
            <w:proofErr w:type="spellEnd"/>
            <w:r>
              <w:rPr>
                <w:color w:val="000000"/>
                <w:sz w:val="22"/>
              </w:rPr>
              <w:t xml:space="preserve"> </w:t>
            </w:r>
            <w:proofErr w:type="spellStart"/>
            <w:r>
              <w:rPr>
                <w:color w:val="000000"/>
                <w:sz w:val="22"/>
              </w:rPr>
              <w:t>from</w:t>
            </w:r>
            <w:proofErr w:type="spellEnd"/>
            <w:r>
              <w:rPr>
                <w:color w:val="000000"/>
                <w:sz w:val="22"/>
              </w:rPr>
              <w:t xml:space="preserve"> </w:t>
            </w:r>
            <w:proofErr w:type="spellStart"/>
            <w:r>
              <w:rPr>
                <w:color w:val="000000"/>
                <w:sz w:val="22"/>
              </w:rPr>
              <w:t>any</w:t>
            </w:r>
            <w:proofErr w:type="spellEnd"/>
            <w:r>
              <w:rPr>
                <w:color w:val="000000"/>
                <w:sz w:val="22"/>
              </w:rPr>
              <w:t xml:space="preserve"> </w:t>
            </w:r>
            <w:proofErr w:type="spellStart"/>
            <w:r>
              <w:rPr>
                <w:color w:val="000000"/>
                <w:sz w:val="22"/>
              </w:rPr>
              <w:t>form</w:t>
            </w:r>
            <w:proofErr w:type="spellEnd"/>
            <w:r>
              <w:rPr>
                <w:color w:val="000000"/>
                <w:sz w:val="22"/>
              </w:rPr>
              <w:t xml:space="preserve"> </w:t>
            </w:r>
            <w:proofErr w:type="spellStart"/>
            <w:r>
              <w:rPr>
                <w:color w:val="000000"/>
                <w:sz w:val="22"/>
              </w:rPr>
              <w:t>of</w:t>
            </w:r>
            <w:proofErr w:type="spellEnd"/>
            <w:r>
              <w:rPr>
                <w:color w:val="000000"/>
                <w:sz w:val="22"/>
              </w:rPr>
              <w:t xml:space="preserve"> </w:t>
            </w:r>
            <w:proofErr w:type="spellStart"/>
            <w:r>
              <w:rPr>
                <w:color w:val="000000"/>
                <w:sz w:val="22"/>
              </w:rPr>
              <w:t>disclosure</w:t>
            </w:r>
            <w:proofErr w:type="spellEnd"/>
            <w:r>
              <w:rPr>
                <w:color w:val="000000"/>
                <w:sz w:val="22"/>
              </w:rPr>
              <w:t xml:space="preserve"> </w:t>
            </w:r>
            <w:proofErr w:type="spellStart"/>
            <w:r>
              <w:rPr>
                <w:color w:val="000000"/>
                <w:sz w:val="22"/>
              </w:rPr>
              <w:t>other</w:t>
            </w:r>
            <w:proofErr w:type="spellEnd"/>
            <w:r>
              <w:rPr>
                <w:color w:val="000000"/>
                <w:sz w:val="22"/>
              </w:rPr>
              <w:t xml:space="preserve"> </w:t>
            </w:r>
            <w:proofErr w:type="spellStart"/>
            <w:r>
              <w:rPr>
                <w:color w:val="000000"/>
                <w:sz w:val="22"/>
              </w:rPr>
              <w:t>than</w:t>
            </w:r>
            <w:proofErr w:type="spellEnd"/>
            <w:r>
              <w:rPr>
                <w:color w:val="000000"/>
                <w:sz w:val="22"/>
              </w:rPr>
              <w:t xml:space="preserve"> </w:t>
            </w:r>
            <w:proofErr w:type="spellStart"/>
            <w:r>
              <w:rPr>
                <w:color w:val="000000"/>
                <w:sz w:val="22"/>
              </w:rPr>
              <w:t>the</w:t>
            </w:r>
            <w:proofErr w:type="spellEnd"/>
            <w:r>
              <w:rPr>
                <w:color w:val="000000"/>
                <w:sz w:val="22"/>
              </w:rPr>
              <w:t xml:space="preserve"> </w:t>
            </w:r>
            <w:proofErr w:type="spellStart"/>
            <w:r>
              <w:rPr>
                <w:color w:val="000000"/>
                <w:sz w:val="22"/>
              </w:rPr>
              <w:t>purpose</w:t>
            </w:r>
            <w:proofErr w:type="spellEnd"/>
            <w:r>
              <w:rPr>
                <w:color w:val="000000"/>
                <w:sz w:val="22"/>
              </w:rPr>
              <w:t xml:space="preserve"> </w:t>
            </w:r>
            <w:proofErr w:type="spellStart"/>
            <w:r>
              <w:rPr>
                <w:color w:val="000000"/>
                <w:sz w:val="22"/>
              </w:rPr>
              <w:t>for</w:t>
            </w:r>
            <w:proofErr w:type="spellEnd"/>
            <w:r>
              <w:rPr>
                <w:color w:val="000000"/>
                <w:sz w:val="22"/>
              </w:rPr>
              <w:t xml:space="preserve"> </w:t>
            </w:r>
            <w:proofErr w:type="spellStart"/>
            <w:r>
              <w:rPr>
                <w:color w:val="000000"/>
                <w:sz w:val="22"/>
              </w:rPr>
              <w:t>which</w:t>
            </w:r>
            <w:proofErr w:type="spellEnd"/>
            <w:r>
              <w:rPr>
                <w:color w:val="000000"/>
                <w:sz w:val="22"/>
              </w:rPr>
              <w:t xml:space="preserve"> </w:t>
            </w:r>
            <w:proofErr w:type="spellStart"/>
            <w:r>
              <w:rPr>
                <w:color w:val="000000"/>
                <w:sz w:val="22"/>
              </w:rPr>
              <w:t>it</w:t>
            </w:r>
            <w:proofErr w:type="spellEnd"/>
            <w:r>
              <w:rPr>
                <w:color w:val="000000"/>
                <w:sz w:val="22"/>
              </w:rPr>
              <w:t xml:space="preserve"> </w:t>
            </w:r>
            <w:proofErr w:type="spellStart"/>
            <w:r>
              <w:rPr>
                <w:color w:val="000000"/>
                <w:sz w:val="22"/>
              </w:rPr>
              <w:t>was</w:t>
            </w:r>
            <w:proofErr w:type="spellEnd"/>
            <w:r>
              <w:rPr>
                <w:color w:val="000000"/>
                <w:sz w:val="22"/>
              </w:rPr>
              <w:t xml:space="preserve"> </w:t>
            </w:r>
            <w:proofErr w:type="spellStart"/>
            <w:r>
              <w:rPr>
                <w:color w:val="000000"/>
                <w:sz w:val="22"/>
              </w:rPr>
              <w:t>obtained</w:t>
            </w:r>
            <w:proofErr w:type="spellEnd"/>
            <w:r>
              <w:rPr>
                <w:color w:val="000000"/>
                <w:sz w:val="22"/>
              </w:rPr>
              <w:t>.</w:t>
            </w:r>
          </w:p>
          <w:p w14:paraId="438F9824" w14:textId="77777777" w:rsidR="00E255F4" w:rsidRDefault="00000000">
            <w:pPr>
              <w:widowControl w:val="0"/>
              <w:autoSpaceDE w:val="0"/>
              <w:spacing w:line="360" w:lineRule="auto"/>
              <w:contextualSpacing/>
              <w:rPr>
                <w:color w:val="000000"/>
                <w:sz w:val="22"/>
              </w:rPr>
            </w:pPr>
            <w:proofErr w:type="spellStart"/>
            <w:r>
              <w:rPr>
                <w:color w:val="000000"/>
                <w:sz w:val="22"/>
              </w:rPr>
              <w:t>Likewise</w:t>
            </w:r>
            <w:proofErr w:type="spellEnd"/>
            <w:r>
              <w:rPr>
                <w:color w:val="000000"/>
                <w:sz w:val="22"/>
              </w:rPr>
              <w:t xml:space="preserve">, </w:t>
            </w:r>
            <w:proofErr w:type="spellStart"/>
            <w:r>
              <w:rPr>
                <w:color w:val="000000"/>
                <w:sz w:val="22"/>
              </w:rPr>
              <w:t>the</w:t>
            </w:r>
            <w:proofErr w:type="spellEnd"/>
            <w:r>
              <w:rPr>
                <w:color w:val="000000"/>
                <w:sz w:val="22"/>
              </w:rPr>
              <w:t xml:space="preserve"> </w:t>
            </w:r>
            <w:proofErr w:type="spellStart"/>
            <w:r>
              <w:rPr>
                <w:color w:val="000000"/>
                <w:sz w:val="22"/>
              </w:rPr>
              <w:t>signatory</w:t>
            </w:r>
            <w:proofErr w:type="spellEnd"/>
            <w:r>
              <w:rPr>
                <w:color w:val="000000"/>
                <w:sz w:val="22"/>
              </w:rPr>
              <w:t xml:space="preserve"> </w:t>
            </w:r>
            <w:proofErr w:type="spellStart"/>
            <w:r>
              <w:rPr>
                <w:color w:val="000000"/>
                <w:sz w:val="22"/>
              </w:rPr>
              <w:t>company</w:t>
            </w:r>
            <w:proofErr w:type="spellEnd"/>
            <w:r>
              <w:rPr>
                <w:color w:val="000000"/>
                <w:sz w:val="22"/>
              </w:rPr>
              <w:t xml:space="preserve"> </w:t>
            </w:r>
            <w:proofErr w:type="spellStart"/>
            <w:r>
              <w:rPr>
                <w:color w:val="000000"/>
                <w:sz w:val="22"/>
              </w:rPr>
              <w:t>assigns</w:t>
            </w:r>
            <w:proofErr w:type="spellEnd"/>
            <w:r>
              <w:rPr>
                <w:color w:val="000000"/>
                <w:sz w:val="22"/>
              </w:rPr>
              <w:t xml:space="preserve"> in </w:t>
            </w:r>
            <w:proofErr w:type="spellStart"/>
            <w:r>
              <w:rPr>
                <w:color w:val="000000"/>
                <w:sz w:val="22"/>
              </w:rPr>
              <w:t>an</w:t>
            </w:r>
            <w:proofErr w:type="spellEnd"/>
            <w:r>
              <w:rPr>
                <w:color w:val="000000"/>
                <w:sz w:val="22"/>
              </w:rPr>
              <w:t xml:space="preserve"> </w:t>
            </w:r>
            <w:proofErr w:type="spellStart"/>
            <w:r>
              <w:rPr>
                <w:color w:val="000000"/>
                <w:sz w:val="22"/>
              </w:rPr>
              <w:t>unlimited</w:t>
            </w:r>
            <w:proofErr w:type="spellEnd"/>
            <w:r>
              <w:rPr>
                <w:color w:val="000000"/>
                <w:sz w:val="22"/>
              </w:rPr>
              <w:t xml:space="preserve"> and exclusive </w:t>
            </w:r>
            <w:proofErr w:type="spellStart"/>
            <w:r>
              <w:rPr>
                <w:color w:val="000000"/>
                <w:sz w:val="22"/>
              </w:rPr>
              <w:t>manner</w:t>
            </w:r>
            <w:proofErr w:type="spellEnd"/>
            <w:r>
              <w:rPr>
                <w:color w:val="000000"/>
                <w:sz w:val="22"/>
              </w:rPr>
              <w:t xml:space="preserve">, in favor </w:t>
            </w:r>
            <w:proofErr w:type="spellStart"/>
            <w:r>
              <w:rPr>
                <w:color w:val="000000"/>
                <w:sz w:val="22"/>
              </w:rPr>
              <w:t>of</w:t>
            </w:r>
            <w:proofErr w:type="spellEnd"/>
            <w:r>
              <w:rPr>
                <w:color w:val="000000"/>
                <w:sz w:val="22"/>
              </w:rPr>
              <w:t xml:space="preserve"> OSE, </w:t>
            </w:r>
            <w:proofErr w:type="spellStart"/>
            <w:r>
              <w:rPr>
                <w:color w:val="000000"/>
                <w:sz w:val="22"/>
              </w:rPr>
              <w:t>the</w:t>
            </w:r>
            <w:proofErr w:type="spellEnd"/>
            <w:r>
              <w:rPr>
                <w:color w:val="000000"/>
                <w:sz w:val="22"/>
              </w:rPr>
              <w:t xml:space="preserve"> patrimonial </w:t>
            </w:r>
            <w:proofErr w:type="spellStart"/>
            <w:r>
              <w:rPr>
                <w:color w:val="000000"/>
                <w:sz w:val="22"/>
              </w:rPr>
              <w:t>rights</w:t>
            </w:r>
            <w:proofErr w:type="spellEnd"/>
            <w:r>
              <w:rPr>
                <w:color w:val="000000"/>
                <w:sz w:val="22"/>
              </w:rPr>
              <w:t xml:space="preserve"> </w:t>
            </w:r>
            <w:proofErr w:type="spellStart"/>
            <w:r>
              <w:rPr>
                <w:color w:val="000000"/>
                <w:sz w:val="22"/>
              </w:rPr>
              <w:t>over</w:t>
            </w:r>
            <w:proofErr w:type="spellEnd"/>
            <w:r>
              <w:rPr>
                <w:color w:val="000000"/>
                <w:sz w:val="22"/>
              </w:rPr>
              <w:t xml:space="preserve"> </w:t>
            </w:r>
            <w:proofErr w:type="spellStart"/>
            <w:r>
              <w:rPr>
                <w:color w:val="000000"/>
                <w:sz w:val="22"/>
              </w:rPr>
              <w:t>the</w:t>
            </w:r>
            <w:proofErr w:type="spellEnd"/>
            <w:r>
              <w:rPr>
                <w:color w:val="000000"/>
                <w:sz w:val="22"/>
              </w:rPr>
              <w:t xml:space="preserve"> </w:t>
            </w:r>
            <w:proofErr w:type="spellStart"/>
            <w:r>
              <w:rPr>
                <w:color w:val="000000"/>
                <w:sz w:val="22"/>
              </w:rPr>
              <w:t>confidential</w:t>
            </w:r>
            <w:proofErr w:type="spellEnd"/>
            <w:r>
              <w:rPr>
                <w:color w:val="000000"/>
                <w:sz w:val="22"/>
              </w:rPr>
              <w:t xml:space="preserve"> </w:t>
            </w:r>
            <w:proofErr w:type="spellStart"/>
            <w:r>
              <w:rPr>
                <w:color w:val="000000"/>
                <w:sz w:val="22"/>
              </w:rPr>
              <w:t>information</w:t>
            </w:r>
            <w:proofErr w:type="spellEnd"/>
            <w:r>
              <w:rPr>
                <w:color w:val="000000"/>
                <w:sz w:val="22"/>
              </w:rPr>
              <w:t xml:space="preserve"> in </w:t>
            </w:r>
            <w:proofErr w:type="spellStart"/>
            <w:r>
              <w:rPr>
                <w:color w:val="000000"/>
                <w:sz w:val="22"/>
              </w:rPr>
              <w:t>whose</w:t>
            </w:r>
            <w:proofErr w:type="spellEnd"/>
            <w:r>
              <w:rPr>
                <w:color w:val="000000"/>
                <w:sz w:val="22"/>
              </w:rPr>
              <w:t xml:space="preserve"> </w:t>
            </w:r>
            <w:proofErr w:type="spellStart"/>
            <w:r>
              <w:rPr>
                <w:color w:val="000000"/>
                <w:sz w:val="22"/>
              </w:rPr>
              <w:t>generation</w:t>
            </w:r>
            <w:proofErr w:type="spellEnd"/>
            <w:r>
              <w:rPr>
                <w:color w:val="000000"/>
                <w:sz w:val="22"/>
              </w:rPr>
              <w:t xml:space="preserve"> </w:t>
            </w:r>
            <w:proofErr w:type="spellStart"/>
            <w:r>
              <w:rPr>
                <w:color w:val="000000"/>
                <w:sz w:val="22"/>
              </w:rPr>
              <w:t>or</w:t>
            </w:r>
            <w:proofErr w:type="spellEnd"/>
            <w:r>
              <w:rPr>
                <w:color w:val="000000"/>
                <w:sz w:val="22"/>
              </w:rPr>
              <w:t xml:space="preserve"> </w:t>
            </w:r>
            <w:proofErr w:type="spellStart"/>
            <w:r>
              <w:rPr>
                <w:color w:val="000000"/>
                <w:sz w:val="22"/>
              </w:rPr>
              <w:t>development</w:t>
            </w:r>
            <w:proofErr w:type="spellEnd"/>
            <w:r>
              <w:rPr>
                <w:color w:val="000000"/>
                <w:sz w:val="22"/>
              </w:rPr>
              <w:t xml:space="preserve"> </w:t>
            </w:r>
            <w:proofErr w:type="spellStart"/>
            <w:r>
              <w:rPr>
                <w:color w:val="000000"/>
                <w:sz w:val="22"/>
              </w:rPr>
              <w:t>it</w:t>
            </w:r>
            <w:proofErr w:type="spellEnd"/>
            <w:r>
              <w:rPr>
                <w:color w:val="000000"/>
                <w:sz w:val="22"/>
              </w:rPr>
              <w:t xml:space="preserve"> </w:t>
            </w:r>
            <w:proofErr w:type="spellStart"/>
            <w:r>
              <w:rPr>
                <w:color w:val="000000"/>
                <w:sz w:val="22"/>
              </w:rPr>
              <w:t>may</w:t>
            </w:r>
            <w:proofErr w:type="spellEnd"/>
            <w:r>
              <w:rPr>
                <w:color w:val="000000"/>
                <w:sz w:val="22"/>
              </w:rPr>
              <w:t xml:space="preserve"> </w:t>
            </w:r>
            <w:proofErr w:type="spellStart"/>
            <w:r>
              <w:rPr>
                <w:color w:val="000000"/>
                <w:sz w:val="22"/>
              </w:rPr>
              <w:t>intervene</w:t>
            </w:r>
            <w:proofErr w:type="spellEnd"/>
            <w:r>
              <w:rPr>
                <w:color w:val="000000"/>
                <w:sz w:val="22"/>
              </w:rPr>
              <w:t xml:space="preserve"> </w:t>
            </w:r>
            <w:proofErr w:type="spellStart"/>
            <w:r>
              <w:rPr>
                <w:color w:val="000000"/>
                <w:sz w:val="22"/>
              </w:rPr>
              <w:t>by</w:t>
            </w:r>
            <w:proofErr w:type="spellEnd"/>
            <w:r>
              <w:rPr>
                <w:color w:val="000000"/>
                <w:sz w:val="22"/>
              </w:rPr>
              <w:t xml:space="preserve"> </w:t>
            </w:r>
            <w:proofErr w:type="spellStart"/>
            <w:r>
              <w:rPr>
                <w:color w:val="000000"/>
                <w:sz w:val="22"/>
              </w:rPr>
              <w:t>virtue</w:t>
            </w:r>
            <w:proofErr w:type="spellEnd"/>
            <w:r>
              <w:rPr>
                <w:color w:val="000000"/>
                <w:sz w:val="22"/>
              </w:rPr>
              <w:t xml:space="preserve"> </w:t>
            </w:r>
            <w:proofErr w:type="spellStart"/>
            <w:r>
              <w:rPr>
                <w:color w:val="000000"/>
                <w:sz w:val="22"/>
              </w:rPr>
              <w:t>of</w:t>
            </w:r>
            <w:proofErr w:type="spellEnd"/>
            <w:r>
              <w:rPr>
                <w:color w:val="000000"/>
                <w:sz w:val="22"/>
              </w:rPr>
              <w:t xml:space="preserve"> </w:t>
            </w:r>
            <w:proofErr w:type="spellStart"/>
            <w:r>
              <w:rPr>
                <w:color w:val="000000"/>
                <w:sz w:val="22"/>
              </w:rPr>
              <w:t>its</w:t>
            </w:r>
            <w:proofErr w:type="spellEnd"/>
            <w:r>
              <w:rPr>
                <w:color w:val="000000"/>
                <w:sz w:val="22"/>
              </w:rPr>
              <w:t xml:space="preserve"> </w:t>
            </w:r>
            <w:proofErr w:type="gramStart"/>
            <w:r>
              <w:rPr>
                <w:color w:val="000000"/>
                <w:sz w:val="22"/>
              </w:rPr>
              <w:t>link</w:t>
            </w:r>
            <w:proofErr w:type="gramEnd"/>
            <w:r>
              <w:rPr>
                <w:color w:val="000000"/>
                <w:sz w:val="22"/>
              </w:rPr>
              <w:t xml:space="preserve"> </w:t>
            </w:r>
            <w:proofErr w:type="spellStart"/>
            <w:r>
              <w:rPr>
                <w:color w:val="000000"/>
                <w:sz w:val="22"/>
              </w:rPr>
              <w:t>with</w:t>
            </w:r>
            <w:proofErr w:type="spellEnd"/>
            <w:r>
              <w:rPr>
                <w:color w:val="000000"/>
                <w:sz w:val="22"/>
              </w:rPr>
              <w:t xml:space="preserve"> OSE, </w:t>
            </w:r>
            <w:proofErr w:type="spellStart"/>
            <w:r>
              <w:rPr>
                <w:color w:val="000000"/>
                <w:sz w:val="22"/>
              </w:rPr>
              <w:t>the</w:t>
            </w:r>
            <w:proofErr w:type="spellEnd"/>
            <w:r>
              <w:rPr>
                <w:color w:val="000000"/>
                <w:sz w:val="22"/>
              </w:rPr>
              <w:t xml:space="preserve"> </w:t>
            </w:r>
            <w:proofErr w:type="spellStart"/>
            <w:r>
              <w:rPr>
                <w:color w:val="000000"/>
                <w:sz w:val="22"/>
              </w:rPr>
              <w:t>same</w:t>
            </w:r>
            <w:proofErr w:type="spellEnd"/>
            <w:r>
              <w:rPr>
                <w:color w:val="000000"/>
                <w:sz w:val="22"/>
              </w:rPr>
              <w:t xml:space="preserve"> </w:t>
            </w:r>
            <w:proofErr w:type="spellStart"/>
            <w:r>
              <w:rPr>
                <w:color w:val="000000"/>
                <w:sz w:val="22"/>
              </w:rPr>
              <w:t>being</w:t>
            </w:r>
            <w:proofErr w:type="spellEnd"/>
            <w:r>
              <w:rPr>
                <w:color w:val="000000"/>
                <w:sz w:val="22"/>
              </w:rPr>
              <w:t xml:space="preserve"> </w:t>
            </w:r>
            <w:proofErr w:type="spellStart"/>
            <w:r>
              <w:rPr>
                <w:color w:val="000000"/>
                <w:sz w:val="22"/>
              </w:rPr>
              <w:t>the</w:t>
            </w:r>
            <w:proofErr w:type="spellEnd"/>
            <w:r>
              <w:rPr>
                <w:color w:val="000000"/>
                <w:sz w:val="22"/>
              </w:rPr>
              <w:t xml:space="preserve"> </w:t>
            </w:r>
            <w:proofErr w:type="spellStart"/>
            <w:r>
              <w:rPr>
                <w:color w:val="000000"/>
                <w:sz w:val="22"/>
              </w:rPr>
              <w:t>only</w:t>
            </w:r>
            <w:proofErr w:type="spellEnd"/>
            <w:r>
              <w:rPr>
                <w:color w:val="000000"/>
                <w:sz w:val="22"/>
              </w:rPr>
              <w:t xml:space="preserve"> </w:t>
            </w:r>
            <w:proofErr w:type="spellStart"/>
            <w:r>
              <w:rPr>
                <w:color w:val="000000"/>
                <w:sz w:val="22"/>
              </w:rPr>
              <w:t>one</w:t>
            </w:r>
            <w:proofErr w:type="spellEnd"/>
            <w:r>
              <w:rPr>
                <w:color w:val="000000"/>
                <w:sz w:val="22"/>
              </w:rPr>
              <w:t xml:space="preserve"> </w:t>
            </w:r>
            <w:proofErr w:type="spellStart"/>
            <w:r>
              <w:rPr>
                <w:color w:val="000000"/>
                <w:sz w:val="22"/>
              </w:rPr>
              <w:t>authorized</w:t>
            </w:r>
            <w:proofErr w:type="spellEnd"/>
            <w:r>
              <w:rPr>
                <w:color w:val="000000"/>
                <w:sz w:val="22"/>
              </w:rPr>
              <w:t xml:space="preserve"> </w:t>
            </w:r>
            <w:proofErr w:type="spellStart"/>
            <w:r>
              <w:rPr>
                <w:color w:val="000000"/>
                <w:sz w:val="22"/>
              </w:rPr>
              <w:t>to</w:t>
            </w:r>
            <w:proofErr w:type="spellEnd"/>
            <w:r>
              <w:rPr>
                <w:color w:val="000000"/>
                <w:sz w:val="22"/>
              </w:rPr>
              <w:t xml:space="preserve"> decide </w:t>
            </w:r>
            <w:proofErr w:type="spellStart"/>
            <w:r>
              <w:rPr>
                <w:color w:val="000000"/>
                <w:sz w:val="22"/>
              </w:rPr>
              <w:t>on</w:t>
            </w:r>
            <w:proofErr w:type="spellEnd"/>
            <w:r>
              <w:rPr>
                <w:color w:val="000000"/>
                <w:sz w:val="22"/>
              </w:rPr>
              <w:t xml:space="preserve"> </w:t>
            </w:r>
            <w:proofErr w:type="spellStart"/>
            <w:r>
              <w:rPr>
                <w:color w:val="000000"/>
                <w:sz w:val="22"/>
              </w:rPr>
              <w:t>its</w:t>
            </w:r>
            <w:proofErr w:type="spellEnd"/>
            <w:r>
              <w:rPr>
                <w:color w:val="000000"/>
                <w:sz w:val="22"/>
              </w:rPr>
              <w:t xml:space="preserve"> </w:t>
            </w:r>
            <w:proofErr w:type="spellStart"/>
            <w:r>
              <w:rPr>
                <w:color w:val="000000"/>
                <w:sz w:val="22"/>
              </w:rPr>
              <w:t>disclosure</w:t>
            </w:r>
            <w:proofErr w:type="spellEnd"/>
            <w:r>
              <w:rPr>
                <w:color w:val="000000"/>
                <w:sz w:val="22"/>
              </w:rPr>
              <w:t xml:space="preserve">, as </w:t>
            </w:r>
            <w:proofErr w:type="spellStart"/>
            <w:r>
              <w:rPr>
                <w:color w:val="000000"/>
                <w:sz w:val="22"/>
              </w:rPr>
              <w:t>well</w:t>
            </w:r>
            <w:proofErr w:type="spellEnd"/>
            <w:r>
              <w:rPr>
                <w:color w:val="000000"/>
                <w:sz w:val="22"/>
              </w:rPr>
              <w:t xml:space="preserve"> as </w:t>
            </w:r>
            <w:proofErr w:type="spellStart"/>
            <w:r>
              <w:rPr>
                <w:color w:val="000000"/>
                <w:sz w:val="22"/>
              </w:rPr>
              <w:t>to</w:t>
            </w:r>
            <w:proofErr w:type="spellEnd"/>
            <w:r>
              <w:rPr>
                <w:color w:val="000000"/>
                <w:sz w:val="22"/>
              </w:rPr>
              <w:t xml:space="preserve"> </w:t>
            </w:r>
            <w:proofErr w:type="spellStart"/>
            <w:r>
              <w:rPr>
                <w:color w:val="000000"/>
                <w:sz w:val="22"/>
              </w:rPr>
              <w:t>exercise</w:t>
            </w:r>
            <w:proofErr w:type="spellEnd"/>
            <w:r>
              <w:rPr>
                <w:color w:val="000000"/>
                <w:sz w:val="22"/>
              </w:rPr>
              <w:t xml:space="preserve"> </w:t>
            </w:r>
            <w:proofErr w:type="spellStart"/>
            <w:r>
              <w:rPr>
                <w:color w:val="000000"/>
                <w:sz w:val="22"/>
              </w:rPr>
              <w:t>the</w:t>
            </w:r>
            <w:proofErr w:type="spellEnd"/>
            <w:r>
              <w:rPr>
                <w:color w:val="000000"/>
                <w:sz w:val="22"/>
              </w:rPr>
              <w:t xml:space="preserve"> moral </w:t>
            </w:r>
            <w:proofErr w:type="spellStart"/>
            <w:r>
              <w:rPr>
                <w:color w:val="000000"/>
                <w:sz w:val="22"/>
              </w:rPr>
              <w:t>rights</w:t>
            </w:r>
            <w:proofErr w:type="spellEnd"/>
            <w:r>
              <w:rPr>
                <w:color w:val="000000"/>
                <w:sz w:val="22"/>
              </w:rPr>
              <w:t xml:space="preserve"> </w:t>
            </w:r>
            <w:proofErr w:type="spellStart"/>
            <w:r>
              <w:rPr>
                <w:color w:val="000000"/>
                <w:sz w:val="22"/>
              </w:rPr>
              <w:t>over</w:t>
            </w:r>
            <w:proofErr w:type="spellEnd"/>
            <w:r>
              <w:rPr>
                <w:color w:val="000000"/>
                <w:sz w:val="22"/>
              </w:rPr>
              <w:t xml:space="preserve"> </w:t>
            </w:r>
            <w:proofErr w:type="spellStart"/>
            <w:r>
              <w:rPr>
                <w:color w:val="000000"/>
                <w:sz w:val="22"/>
              </w:rPr>
              <w:t>them</w:t>
            </w:r>
            <w:proofErr w:type="spellEnd"/>
            <w:r>
              <w:rPr>
                <w:color w:val="000000"/>
                <w:sz w:val="22"/>
              </w:rPr>
              <w:t>.</w:t>
            </w:r>
          </w:p>
          <w:p w14:paraId="76CC780A" w14:textId="77777777" w:rsidR="00E255F4" w:rsidRDefault="00000000">
            <w:pPr>
              <w:widowControl w:val="0"/>
              <w:autoSpaceDE w:val="0"/>
              <w:spacing w:line="360" w:lineRule="auto"/>
              <w:contextualSpacing/>
            </w:pPr>
            <w:r>
              <w:rPr>
                <w:color w:val="000000"/>
                <w:sz w:val="22"/>
              </w:rPr>
              <w:t xml:space="preserve">In </w:t>
            </w:r>
            <w:proofErr w:type="spellStart"/>
            <w:r>
              <w:rPr>
                <w:color w:val="000000"/>
                <w:sz w:val="22"/>
              </w:rPr>
              <w:t>witness</w:t>
            </w:r>
            <w:proofErr w:type="spellEnd"/>
            <w:r>
              <w:rPr>
                <w:color w:val="000000"/>
                <w:sz w:val="22"/>
              </w:rPr>
              <w:t xml:space="preserve"> </w:t>
            </w:r>
            <w:proofErr w:type="spellStart"/>
            <w:r>
              <w:rPr>
                <w:color w:val="000000"/>
                <w:sz w:val="22"/>
              </w:rPr>
              <w:t>whereof</w:t>
            </w:r>
            <w:proofErr w:type="spellEnd"/>
            <w:r>
              <w:rPr>
                <w:color w:val="000000"/>
                <w:sz w:val="22"/>
              </w:rPr>
              <w:t xml:space="preserve">, </w:t>
            </w:r>
            <w:proofErr w:type="spellStart"/>
            <w:r>
              <w:rPr>
                <w:color w:val="000000"/>
                <w:sz w:val="22"/>
              </w:rPr>
              <w:t>two</w:t>
            </w:r>
            <w:proofErr w:type="spellEnd"/>
            <w:r>
              <w:rPr>
                <w:color w:val="000000"/>
                <w:sz w:val="22"/>
              </w:rPr>
              <w:t xml:space="preserve"> copies </w:t>
            </w:r>
            <w:proofErr w:type="spellStart"/>
            <w:r>
              <w:rPr>
                <w:color w:val="000000"/>
                <w:sz w:val="22"/>
              </w:rPr>
              <w:t>of</w:t>
            </w:r>
            <w:proofErr w:type="spellEnd"/>
            <w:r>
              <w:rPr>
                <w:color w:val="000000"/>
                <w:sz w:val="22"/>
              </w:rPr>
              <w:t xml:space="preserve"> </w:t>
            </w:r>
            <w:proofErr w:type="spellStart"/>
            <w:r>
              <w:rPr>
                <w:color w:val="000000"/>
                <w:sz w:val="22"/>
              </w:rPr>
              <w:t>the</w:t>
            </w:r>
            <w:proofErr w:type="spellEnd"/>
            <w:r>
              <w:rPr>
                <w:color w:val="000000"/>
                <w:sz w:val="22"/>
              </w:rPr>
              <w:t xml:space="preserve"> </w:t>
            </w:r>
            <w:proofErr w:type="spellStart"/>
            <w:r>
              <w:rPr>
                <w:color w:val="000000"/>
                <w:sz w:val="22"/>
              </w:rPr>
              <w:t>same</w:t>
            </w:r>
            <w:proofErr w:type="spellEnd"/>
            <w:r>
              <w:rPr>
                <w:color w:val="000000"/>
                <w:sz w:val="22"/>
              </w:rPr>
              <w:t xml:space="preserve"> tenor are </w:t>
            </w:r>
            <w:proofErr w:type="spellStart"/>
            <w:r>
              <w:rPr>
                <w:color w:val="000000"/>
                <w:sz w:val="22"/>
              </w:rPr>
              <w:t>signed</w:t>
            </w:r>
            <w:proofErr w:type="spellEnd"/>
            <w:r>
              <w:rPr>
                <w:color w:val="000000"/>
                <w:sz w:val="22"/>
              </w:rPr>
              <w:t xml:space="preserve">, in </w:t>
            </w:r>
            <w:proofErr w:type="spellStart"/>
            <w:r>
              <w:rPr>
                <w:color w:val="000000"/>
                <w:sz w:val="22"/>
              </w:rPr>
              <w:t>the</w:t>
            </w:r>
            <w:proofErr w:type="spellEnd"/>
            <w:r>
              <w:rPr>
                <w:color w:val="000000"/>
                <w:sz w:val="22"/>
              </w:rPr>
              <w:t xml:space="preserve"> place and </w:t>
            </w:r>
            <w:proofErr w:type="spellStart"/>
            <w:r>
              <w:rPr>
                <w:color w:val="000000"/>
                <w:sz w:val="22"/>
              </w:rPr>
              <w:t>on</w:t>
            </w:r>
            <w:proofErr w:type="spellEnd"/>
            <w:r>
              <w:rPr>
                <w:color w:val="000000"/>
                <w:sz w:val="22"/>
              </w:rPr>
              <w:t xml:space="preserve"> </w:t>
            </w:r>
            <w:proofErr w:type="spellStart"/>
            <w:r>
              <w:rPr>
                <w:color w:val="000000"/>
                <w:sz w:val="22"/>
              </w:rPr>
              <w:t>the</w:t>
            </w:r>
            <w:proofErr w:type="spellEnd"/>
            <w:r>
              <w:rPr>
                <w:color w:val="000000"/>
                <w:sz w:val="22"/>
              </w:rPr>
              <w:t xml:space="preserve"> date </w:t>
            </w:r>
            <w:proofErr w:type="spellStart"/>
            <w:r>
              <w:rPr>
                <w:color w:val="000000"/>
                <w:sz w:val="22"/>
              </w:rPr>
              <w:t>indicated</w:t>
            </w:r>
            <w:proofErr w:type="spellEnd"/>
            <w:r>
              <w:rPr>
                <w:color w:val="000000"/>
                <w:sz w:val="22"/>
              </w:rPr>
              <w:t xml:space="preserve"> </w:t>
            </w:r>
            <w:proofErr w:type="spellStart"/>
            <w:r>
              <w:rPr>
                <w:color w:val="000000"/>
                <w:sz w:val="22"/>
              </w:rPr>
              <w:t>above</w:t>
            </w:r>
            <w:proofErr w:type="spellEnd"/>
            <w:r>
              <w:rPr>
                <w:color w:val="000000"/>
                <w:sz w:val="22"/>
              </w:rPr>
              <w:t>.</w:t>
            </w:r>
          </w:p>
          <w:p w14:paraId="1D26051B" w14:textId="77777777" w:rsidR="00E255F4" w:rsidRDefault="00000000">
            <w:pPr>
              <w:widowControl w:val="0"/>
              <w:autoSpaceDE w:val="0"/>
              <w:spacing w:line="360" w:lineRule="auto"/>
              <w:contextualSpacing/>
              <w:rPr>
                <w:color w:val="000000"/>
                <w:sz w:val="22"/>
              </w:rPr>
            </w:pPr>
            <w:proofErr w:type="spellStart"/>
            <w:r>
              <w:rPr>
                <w:color w:val="000000"/>
                <w:sz w:val="22"/>
              </w:rPr>
              <w:t>Signature</w:t>
            </w:r>
            <w:proofErr w:type="spellEnd"/>
            <w:r>
              <w:rPr>
                <w:color w:val="000000"/>
                <w:sz w:val="22"/>
              </w:rPr>
              <w:t>………………………………………………….</w:t>
            </w:r>
          </w:p>
          <w:p w14:paraId="569E9ED2" w14:textId="77777777" w:rsidR="00E255F4" w:rsidRDefault="00000000">
            <w:pPr>
              <w:widowControl w:val="0"/>
              <w:autoSpaceDE w:val="0"/>
              <w:spacing w:line="360" w:lineRule="auto"/>
              <w:contextualSpacing/>
              <w:rPr>
                <w:color w:val="000000"/>
                <w:sz w:val="22"/>
              </w:rPr>
            </w:pPr>
            <w:proofErr w:type="spellStart"/>
            <w:r>
              <w:rPr>
                <w:color w:val="000000"/>
                <w:sz w:val="22"/>
              </w:rPr>
              <w:t>Clarification</w:t>
            </w:r>
            <w:proofErr w:type="spellEnd"/>
            <w:r>
              <w:rPr>
                <w:color w:val="000000"/>
                <w:sz w:val="22"/>
              </w:rPr>
              <w:t>………………………………............</w:t>
            </w:r>
          </w:p>
          <w:p w14:paraId="1E3FB91B" w14:textId="77777777" w:rsidR="00E255F4" w:rsidRDefault="00000000">
            <w:pPr>
              <w:widowControl w:val="0"/>
              <w:autoSpaceDE w:val="0"/>
              <w:spacing w:line="360" w:lineRule="auto"/>
              <w:contextualSpacing/>
              <w:rPr>
                <w:color w:val="000000"/>
                <w:sz w:val="22"/>
              </w:rPr>
            </w:pPr>
            <w:r>
              <w:rPr>
                <w:color w:val="000000"/>
                <w:sz w:val="22"/>
              </w:rPr>
              <w:t xml:space="preserve">CI </w:t>
            </w:r>
            <w:proofErr w:type="spellStart"/>
            <w:r>
              <w:rPr>
                <w:color w:val="000000"/>
                <w:sz w:val="22"/>
              </w:rPr>
              <w:t>Nº</w:t>
            </w:r>
            <w:proofErr w:type="spellEnd"/>
            <w:r>
              <w:rPr>
                <w:color w:val="000000"/>
                <w:sz w:val="22"/>
              </w:rPr>
              <w:t>………………...…………………………</w:t>
            </w:r>
            <w:proofErr w:type="gramStart"/>
            <w:r>
              <w:rPr>
                <w:color w:val="000000"/>
                <w:sz w:val="22"/>
              </w:rPr>
              <w:t>…….</w:t>
            </w:r>
            <w:proofErr w:type="gramEnd"/>
          </w:p>
        </w:tc>
      </w:tr>
    </w:tbl>
    <w:p w14:paraId="3FFEDC5D" w14:textId="77777777" w:rsidR="00E255F4" w:rsidRDefault="00E255F4">
      <w:pPr>
        <w:rPr>
          <w:sz w:val="22"/>
          <w:szCs w:val="22"/>
          <w:lang w:val="es-ES" w:eastAsia="es-ES"/>
        </w:rPr>
      </w:pPr>
    </w:p>
    <w:p w14:paraId="2F58AEE2" w14:textId="77777777" w:rsidR="00E255F4" w:rsidRDefault="00E255F4">
      <w:pPr>
        <w:rPr>
          <w:sz w:val="22"/>
          <w:szCs w:val="22"/>
          <w:lang w:val="es-ES" w:eastAsia="es-ES"/>
        </w:rPr>
      </w:pPr>
    </w:p>
    <w:p w14:paraId="7839D86F" w14:textId="77777777" w:rsidR="00E255F4" w:rsidRDefault="00E255F4">
      <w:pPr>
        <w:rPr>
          <w:sz w:val="22"/>
          <w:szCs w:val="22"/>
          <w:lang w:val="es-ES" w:eastAsia="es-ES"/>
        </w:rPr>
      </w:pPr>
    </w:p>
    <w:p w14:paraId="5E310D56" w14:textId="77777777" w:rsidR="00E255F4" w:rsidRDefault="00E255F4">
      <w:pPr>
        <w:rPr>
          <w:sz w:val="22"/>
          <w:szCs w:val="22"/>
          <w:lang w:val="es-ES" w:eastAsia="es-ES"/>
        </w:rPr>
      </w:pPr>
    </w:p>
    <w:p w14:paraId="1AD9958E" w14:textId="77777777" w:rsidR="00E255F4" w:rsidRDefault="00E255F4">
      <w:pPr>
        <w:rPr>
          <w:sz w:val="22"/>
          <w:szCs w:val="22"/>
          <w:lang w:val="es-ES" w:eastAsia="es-ES"/>
        </w:rPr>
      </w:pPr>
    </w:p>
    <w:p w14:paraId="284B1EFC" w14:textId="77777777" w:rsidR="00E255F4" w:rsidRDefault="00E255F4">
      <w:pPr>
        <w:rPr>
          <w:sz w:val="22"/>
          <w:szCs w:val="22"/>
          <w:lang w:val="es-ES" w:eastAsia="es-ES"/>
        </w:rPr>
      </w:pPr>
    </w:p>
    <w:p w14:paraId="64F07E70" w14:textId="77777777" w:rsidR="00E255F4" w:rsidRDefault="00E255F4">
      <w:pPr>
        <w:rPr>
          <w:sz w:val="22"/>
          <w:szCs w:val="22"/>
          <w:lang w:val="es-ES" w:eastAsia="es-ES"/>
        </w:rPr>
      </w:pPr>
    </w:p>
    <w:p w14:paraId="792F872B" w14:textId="77777777" w:rsidR="00E255F4" w:rsidRDefault="00E255F4">
      <w:pPr>
        <w:rPr>
          <w:sz w:val="22"/>
          <w:szCs w:val="22"/>
          <w:lang w:val="es-ES" w:eastAsia="es-ES"/>
        </w:rPr>
      </w:pPr>
    </w:p>
    <w:p w14:paraId="2F617FD2" w14:textId="77777777" w:rsidR="00E255F4" w:rsidRDefault="00E255F4">
      <w:pPr>
        <w:rPr>
          <w:sz w:val="22"/>
          <w:szCs w:val="22"/>
          <w:lang w:val="es-ES" w:eastAsia="es-ES"/>
        </w:rPr>
      </w:pPr>
    </w:p>
    <w:p w14:paraId="4A71773A" w14:textId="77777777" w:rsidR="00E255F4" w:rsidRDefault="00E255F4">
      <w:pPr>
        <w:rPr>
          <w:sz w:val="22"/>
          <w:szCs w:val="22"/>
          <w:lang w:val="es-ES" w:eastAsia="es-ES"/>
        </w:rPr>
      </w:pPr>
    </w:p>
    <w:p w14:paraId="7DF7C109" w14:textId="77777777" w:rsidR="00E255F4" w:rsidRDefault="00E255F4">
      <w:pPr>
        <w:rPr>
          <w:sz w:val="22"/>
          <w:szCs w:val="22"/>
          <w:lang w:val="es-ES" w:eastAsia="es-ES"/>
        </w:rPr>
      </w:pPr>
    </w:p>
    <w:p w14:paraId="24B575B9" w14:textId="77777777" w:rsidR="00E255F4" w:rsidRDefault="00E255F4">
      <w:pPr>
        <w:rPr>
          <w:sz w:val="22"/>
          <w:szCs w:val="22"/>
          <w:lang w:val="es-ES" w:eastAsia="es-ES"/>
        </w:rPr>
      </w:pPr>
    </w:p>
    <w:p w14:paraId="607212FF" w14:textId="77777777" w:rsidR="00E255F4" w:rsidRDefault="00E255F4">
      <w:pPr>
        <w:rPr>
          <w:sz w:val="22"/>
          <w:szCs w:val="22"/>
          <w:lang w:val="es-ES" w:eastAsia="es-ES"/>
        </w:rPr>
      </w:pPr>
    </w:p>
    <w:p w14:paraId="134FA3D8" w14:textId="77777777" w:rsidR="00E255F4" w:rsidRDefault="00E255F4">
      <w:pPr>
        <w:rPr>
          <w:sz w:val="22"/>
          <w:szCs w:val="22"/>
          <w:lang w:val="es-ES" w:eastAsia="es-ES"/>
        </w:rPr>
      </w:pPr>
    </w:p>
    <w:p w14:paraId="714D5BD3" w14:textId="77777777" w:rsidR="00E255F4" w:rsidRDefault="00E255F4">
      <w:pPr>
        <w:rPr>
          <w:sz w:val="22"/>
          <w:szCs w:val="22"/>
          <w:lang w:val="es-ES" w:eastAsia="es-ES"/>
        </w:rPr>
      </w:pPr>
    </w:p>
    <w:p w14:paraId="3FC89CFF" w14:textId="77777777" w:rsidR="00E255F4" w:rsidRDefault="00E255F4">
      <w:pPr>
        <w:rPr>
          <w:sz w:val="22"/>
          <w:szCs w:val="22"/>
          <w:lang w:val="es-ES" w:eastAsia="es-ES"/>
        </w:rPr>
      </w:pPr>
    </w:p>
    <w:p w14:paraId="0E3BB97B" w14:textId="77777777" w:rsidR="00E255F4" w:rsidRDefault="00E255F4">
      <w:pPr>
        <w:rPr>
          <w:sz w:val="22"/>
          <w:szCs w:val="22"/>
          <w:lang w:val="es-ES" w:eastAsia="es-ES"/>
        </w:rPr>
      </w:pPr>
    </w:p>
    <w:p w14:paraId="24476B2B" w14:textId="77777777" w:rsidR="00E255F4" w:rsidRDefault="00E255F4">
      <w:pPr>
        <w:rPr>
          <w:sz w:val="22"/>
          <w:szCs w:val="22"/>
          <w:lang w:val="es-ES" w:eastAsia="es-ES"/>
        </w:rPr>
      </w:pPr>
    </w:p>
    <w:p w14:paraId="62E70F09" w14:textId="77777777" w:rsidR="00E255F4" w:rsidRDefault="00E255F4">
      <w:pPr>
        <w:rPr>
          <w:sz w:val="22"/>
          <w:szCs w:val="22"/>
          <w:lang w:val="es-ES" w:eastAsia="es-ES"/>
        </w:rPr>
      </w:pPr>
    </w:p>
    <w:p w14:paraId="5538B1DF" w14:textId="77777777" w:rsidR="00E255F4" w:rsidRDefault="00E255F4">
      <w:pPr>
        <w:rPr>
          <w:sz w:val="22"/>
          <w:szCs w:val="22"/>
          <w:lang w:val="es-ES" w:eastAsia="es-ES"/>
        </w:rPr>
      </w:pPr>
    </w:p>
    <w:p w14:paraId="7B0C9D89" w14:textId="77777777" w:rsidR="00E255F4" w:rsidRDefault="00E255F4">
      <w:pPr>
        <w:rPr>
          <w:sz w:val="22"/>
          <w:szCs w:val="22"/>
          <w:lang w:val="es-ES" w:eastAsia="es-ES"/>
        </w:rPr>
      </w:pPr>
    </w:p>
    <w:p w14:paraId="2E0495B2" w14:textId="77777777" w:rsidR="00E255F4" w:rsidRDefault="00E255F4">
      <w:pPr>
        <w:rPr>
          <w:sz w:val="22"/>
          <w:szCs w:val="22"/>
          <w:lang w:val="es-ES" w:eastAsia="es-ES"/>
        </w:rPr>
      </w:pPr>
    </w:p>
    <w:p w14:paraId="00EF8A23" w14:textId="77777777" w:rsidR="00E255F4" w:rsidRDefault="00E255F4">
      <w:pPr>
        <w:rPr>
          <w:sz w:val="22"/>
          <w:szCs w:val="22"/>
          <w:lang w:val="es-ES" w:eastAsia="es-ES"/>
        </w:rPr>
      </w:pPr>
    </w:p>
    <w:p w14:paraId="0093043C" w14:textId="77777777" w:rsidR="00E255F4" w:rsidRDefault="00E255F4">
      <w:pPr>
        <w:rPr>
          <w:sz w:val="22"/>
          <w:szCs w:val="22"/>
          <w:lang w:val="es-ES" w:eastAsia="es-ES"/>
        </w:rPr>
      </w:pPr>
    </w:p>
    <w:p w14:paraId="23162906" w14:textId="77777777" w:rsidR="00E255F4" w:rsidRDefault="00E255F4">
      <w:pPr>
        <w:rPr>
          <w:sz w:val="22"/>
          <w:szCs w:val="22"/>
          <w:lang w:val="es-ES" w:eastAsia="es-ES"/>
        </w:rPr>
      </w:pPr>
    </w:p>
    <w:p w14:paraId="24308523" w14:textId="77777777" w:rsidR="00E255F4" w:rsidRDefault="00E255F4">
      <w:pPr>
        <w:rPr>
          <w:sz w:val="22"/>
          <w:szCs w:val="22"/>
          <w:lang w:val="es-ES" w:eastAsia="es-ES"/>
        </w:rPr>
      </w:pPr>
    </w:p>
    <w:p w14:paraId="74705283" w14:textId="77777777" w:rsidR="00E255F4" w:rsidRDefault="00E255F4">
      <w:pPr>
        <w:rPr>
          <w:sz w:val="22"/>
          <w:szCs w:val="22"/>
          <w:lang w:val="es-ES" w:eastAsia="es-ES"/>
        </w:rPr>
      </w:pPr>
    </w:p>
    <w:p w14:paraId="141A5607" w14:textId="77777777" w:rsidR="00E255F4" w:rsidRDefault="00E255F4">
      <w:pPr>
        <w:rPr>
          <w:sz w:val="22"/>
          <w:szCs w:val="22"/>
          <w:lang w:val="es-ES" w:eastAsia="es-ES"/>
        </w:rPr>
      </w:pPr>
    </w:p>
    <w:p w14:paraId="51631219" w14:textId="77777777" w:rsidR="00E255F4" w:rsidRDefault="00E255F4">
      <w:pPr>
        <w:rPr>
          <w:sz w:val="22"/>
          <w:szCs w:val="22"/>
          <w:lang w:val="es-ES" w:eastAsia="es-ES"/>
        </w:rPr>
      </w:pPr>
    </w:p>
    <w:p w14:paraId="60BA34D4" w14:textId="77777777" w:rsidR="00E255F4" w:rsidRDefault="00E255F4">
      <w:pPr>
        <w:rPr>
          <w:sz w:val="22"/>
          <w:szCs w:val="22"/>
          <w:lang w:val="es-ES" w:eastAsia="es-ES"/>
        </w:rPr>
      </w:pPr>
    </w:p>
    <w:p w14:paraId="62898A7F" w14:textId="77777777" w:rsidR="00E255F4" w:rsidRDefault="00E255F4">
      <w:pPr>
        <w:rPr>
          <w:sz w:val="22"/>
          <w:szCs w:val="22"/>
          <w:lang w:val="es-ES" w:eastAsia="es-ES"/>
        </w:rPr>
      </w:pPr>
    </w:p>
    <w:p w14:paraId="5193100A" w14:textId="77777777" w:rsidR="00E255F4" w:rsidRDefault="00E255F4">
      <w:pPr>
        <w:rPr>
          <w:sz w:val="22"/>
          <w:szCs w:val="22"/>
          <w:lang w:val="es-ES" w:eastAsia="es-ES"/>
        </w:rPr>
      </w:pPr>
    </w:p>
    <w:p w14:paraId="11DB2AAD" w14:textId="77777777" w:rsidR="00E255F4" w:rsidRDefault="00E255F4">
      <w:pPr>
        <w:rPr>
          <w:sz w:val="22"/>
          <w:szCs w:val="22"/>
          <w:lang w:val="es-ES" w:eastAsia="es-ES"/>
        </w:rPr>
      </w:pPr>
    </w:p>
    <w:p w14:paraId="2000D690" w14:textId="77777777" w:rsidR="00E255F4" w:rsidRDefault="00E255F4">
      <w:pPr>
        <w:rPr>
          <w:sz w:val="22"/>
          <w:szCs w:val="22"/>
          <w:lang w:val="es-ES" w:eastAsia="es-ES"/>
        </w:rPr>
      </w:pPr>
    </w:p>
    <w:p w14:paraId="5B341021" w14:textId="77777777" w:rsidR="00E255F4" w:rsidRDefault="00E255F4">
      <w:pPr>
        <w:rPr>
          <w:sz w:val="22"/>
          <w:szCs w:val="22"/>
          <w:lang w:val="es-ES" w:eastAsia="es-ES"/>
        </w:rPr>
      </w:pPr>
    </w:p>
    <w:p w14:paraId="775B9634" w14:textId="77777777" w:rsidR="00E255F4" w:rsidRDefault="00E255F4">
      <w:pPr>
        <w:rPr>
          <w:sz w:val="22"/>
          <w:szCs w:val="22"/>
          <w:lang w:val="es-ES" w:eastAsia="es-ES"/>
        </w:rPr>
      </w:pPr>
    </w:p>
    <w:p w14:paraId="0F9E4F64" w14:textId="77777777" w:rsidR="00E255F4" w:rsidRDefault="00E255F4">
      <w:pPr>
        <w:rPr>
          <w:sz w:val="22"/>
          <w:szCs w:val="22"/>
          <w:lang w:val="es-ES" w:eastAsia="es-ES"/>
        </w:rPr>
      </w:pPr>
    </w:p>
    <w:p w14:paraId="4758649A" w14:textId="77777777" w:rsidR="00E255F4" w:rsidRDefault="00E255F4">
      <w:pPr>
        <w:rPr>
          <w:sz w:val="22"/>
          <w:szCs w:val="22"/>
          <w:lang w:val="es-ES" w:eastAsia="es-ES"/>
        </w:rPr>
      </w:pPr>
    </w:p>
    <w:p w14:paraId="25184768" w14:textId="77777777" w:rsidR="00E255F4" w:rsidRDefault="00E255F4">
      <w:pPr>
        <w:rPr>
          <w:sz w:val="22"/>
          <w:szCs w:val="22"/>
          <w:lang w:val="es-ES" w:eastAsia="es-ES"/>
        </w:rPr>
      </w:pPr>
    </w:p>
    <w:p w14:paraId="2F7823FE" w14:textId="77777777" w:rsidR="00E255F4" w:rsidRDefault="00E255F4">
      <w:pPr>
        <w:rPr>
          <w:sz w:val="22"/>
          <w:szCs w:val="22"/>
          <w:lang w:val="es-ES" w:eastAsia="es-ES"/>
        </w:rPr>
      </w:pPr>
    </w:p>
    <w:p w14:paraId="2F099E7E" w14:textId="77777777" w:rsidR="00E255F4" w:rsidRDefault="00E255F4">
      <w:pPr>
        <w:rPr>
          <w:sz w:val="22"/>
          <w:szCs w:val="22"/>
          <w:lang w:val="es-ES" w:eastAsia="es-ES"/>
        </w:rPr>
      </w:pPr>
    </w:p>
    <w:p w14:paraId="1F120BBC" w14:textId="77777777" w:rsidR="00E255F4" w:rsidRDefault="00E255F4">
      <w:pPr>
        <w:rPr>
          <w:sz w:val="22"/>
          <w:szCs w:val="22"/>
          <w:lang w:val="es-ES" w:eastAsia="es-ES"/>
        </w:rPr>
      </w:pPr>
    </w:p>
    <w:p w14:paraId="1258FB79" w14:textId="77777777" w:rsidR="00E255F4" w:rsidRDefault="00E255F4">
      <w:pPr>
        <w:rPr>
          <w:sz w:val="22"/>
          <w:szCs w:val="22"/>
          <w:lang w:val="es-ES" w:eastAsia="es-ES"/>
        </w:rPr>
      </w:pPr>
    </w:p>
    <w:p w14:paraId="7AB41211" w14:textId="77777777" w:rsidR="00E255F4" w:rsidRDefault="00E255F4">
      <w:pPr>
        <w:rPr>
          <w:sz w:val="22"/>
          <w:szCs w:val="22"/>
          <w:lang w:val="es-ES" w:eastAsia="es-ES"/>
        </w:rPr>
      </w:pPr>
    </w:p>
    <w:p w14:paraId="69261075" w14:textId="77777777" w:rsidR="00E255F4" w:rsidRDefault="00E255F4">
      <w:pPr>
        <w:rPr>
          <w:sz w:val="22"/>
          <w:szCs w:val="22"/>
          <w:lang w:val="es-ES" w:eastAsia="es-ES"/>
        </w:rPr>
      </w:pPr>
    </w:p>
    <w:p w14:paraId="74524320" w14:textId="77777777" w:rsidR="00E255F4" w:rsidRDefault="00000000">
      <w:pPr>
        <w:pStyle w:val="Ttulo1"/>
        <w:numPr>
          <w:ilvl w:val="0"/>
          <w:numId w:val="0"/>
        </w:numPr>
        <w:tabs>
          <w:tab w:val="left" w:pos="0"/>
        </w:tabs>
        <w:spacing w:before="0" w:after="0"/>
        <w:jc w:val="center"/>
        <w:rPr>
          <w:rFonts w:ascii="Times New Roman" w:hAnsi="Times New Roman" w:cs="Times New Roman"/>
          <w:b w:val="0"/>
          <w:color w:val="0070C0"/>
          <w:sz w:val="28"/>
          <w:lang w:val="es-ES"/>
        </w:rPr>
      </w:pPr>
      <w:bookmarkStart w:id="124" w:name="__RefHeading___Toc225377282"/>
      <w:bookmarkEnd w:id="124"/>
      <w:r>
        <w:rPr>
          <w:rFonts w:ascii="Times New Roman" w:hAnsi="Times New Roman" w:cs="Times New Roman"/>
          <w:b w:val="0"/>
          <w:color w:val="0070C0"/>
          <w:sz w:val="28"/>
          <w:lang w:val="es-ES"/>
        </w:rPr>
        <w:t>APPENDIX X</w:t>
      </w:r>
    </w:p>
    <w:p w14:paraId="12E60EAD" w14:textId="77777777" w:rsidR="00E255F4" w:rsidRDefault="00000000">
      <w:pPr>
        <w:pStyle w:val="Ttulo1"/>
        <w:numPr>
          <w:ilvl w:val="0"/>
          <w:numId w:val="0"/>
        </w:numPr>
        <w:tabs>
          <w:tab w:val="left" w:pos="0"/>
        </w:tabs>
        <w:spacing w:before="0" w:after="0"/>
        <w:jc w:val="center"/>
        <w:rPr>
          <w:rFonts w:ascii="Times New Roman" w:hAnsi="Times New Roman" w:cs="Times New Roman"/>
          <w:b w:val="0"/>
          <w:color w:val="0070C0"/>
          <w:sz w:val="28"/>
          <w:szCs w:val="28"/>
          <w:lang w:val="es-ES"/>
        </w:rPr>
      </w:pPr>
      <w:bookmarkStart w:id="125" w:name="__RefHeading___Toc225377283"/>
      <w:bookmarkEnd w:id="125"/>
      <w:proofErr w:type="spellStart"/>
      <w:r>
        <w:rPr>
          <w:rFonts w:ascii="Times New Roman" w:hAnsi="Times New Roman" w:cs="Times New Roman"/>
          <w:b w:val="0"/>
          <w:color w:val="0070C0"/>
          <w:sz w:val="28"/>
          <w:szCs w:val="28"/>
          <w:lang w:val="es-ES"/>
        </w:rPr>
        <w:t>Sworn</w:t>
      </w:r>
      <w:proofErr w:type="spellEnd"/>
      <w:r>
        <w:rPr>
          <w:rFonts w:ascii="Times New Roman" w:hAnsi="Times New Roman" w:cs="Times New Roman"/>
          <w:b w:val="0"/>
          <w:color w:val="0070C0"/>
          <w:sz w:val="28"/>
          <w:szCs w:val="28"/>
          <w:lang w:val="es-ES"/>
        </w:rPr>
        <w:t xml:space="preserve"> </w:t>
      </w:r>
      <w:proofErr w:type="spellStart"/>
      <w:r>
        <w:rPr>
          <w:rFonts w:ascii="Times New Roman" w:hAnsi="Times New Roman" w:cs="Times New Roman"/>
          <w:b w:val="0"/>
          <w:color w:val="0070C0"/>
          <w:sz w:val="28"/>
          <w:szCs w:val="28"/>
          <w:lang w:val="es-ES"/>
        </w:rPr>
        <w:t>Statement</w:t>
      </w:r>
      <w:proofErr w:type="spellEnd"/>
      <w:r>
        <w:rPr>
          <w:rFonts w:ascii="Times New Roman" w:hAnsi="Times New Roman" w:cs="Times New Roman"/>
          <w:b w:val="0"/>
          <w:color w:val="0070C0"/>
          <w:sz w:val="28"/>
          <w:szCs w:val="28"/>
          <w:lang w:val="es-ES"/>
        </w:rPr>
        <w:t xml:space="preserve"> Art. 46 </w:t>
      </w:r>
      <w:proofErr w:type="spellStart"/>
      <w:r>
        <w:rPr>
          <w:rFonts w:ascii="Times New Roman" w:hAnsi="Times New Roman" w:cs="Times New Roman"/>
          <w:b w:val="0"/>
          <w:color w:val="0070C0"/>
          <w:sz w:val="28"/>
          <w:szCs w:val="28"/>
          <w:lang w:val="es-ES"/>
        </w:rPr>
        <w:t>of</w:t>
      </w:r>
      <w:proofErr w:type="spellEnd"/>
      <w:r>
        <w:rPr>
          <w:rFonts w:ascii="Times New Roman" w:hAnsi="Times New Roman" w:cs="Times New Roman"/>
          <w:b w:val="0"/>
          <w:color w:val="0070C0"/>
          <w:sz w:val="28"/>
          <w:szCs w:val="28"/>
          <w:lang w:val="es-ES"/>
        </w:rPr>
        <w:t xml:space="preserve"> </w:t>
      </w:r>
      <w:proofErr w:type="spellStart"/>
      <w:r>
        <w:rPr>
          <w:rFonts w:ascii="Times New Roman" w:hAnsi="Times New Roman" w:cs="Times New Roman"/>
          <w:b w:val="0"/>
          <w:color w:val="0070C0"/>
          <w:sz w:val="28"/>
          <w:szCs w:val="28"/>
          <w:lang w:val="es-ES"/>
        </w:rPr>
        <w:t>the</w:t>
      </w:r>
      <w:proofErr w:type="spellEnd"/>
      <w:r>
        <w:rPr>
          <w:rFonts w:ascii="Times New Roman" w:hAnsi="Times New Roman" w:cs="Times New Roman"/>
          <w:b w:val="0"/>
          <w:color w:val="0070C0"/>
          <w:sz w:val="28"/>
          <w:szCs w:val="28"/>
          <w:lang w:val="es-ES"/>
        </w:rPr>
        <w:t xml:space="preserve"> TOCAF</w:t>
      </w:r>
    </w:p>
    <w:p w14:paraId="1ECDB3A1" w14:textId="77777777" w:rsidR="00E255F4" w:rsidRDefault="00E255F4">
      <w:pPr>
        <w:rPr>
          <w:b/>
          <w:color w:val="0070C0"/>
          <w:sz w:val="28"/>
          <w:szCs w:val="28"/>
          <w:lang w:val="es-ES"/>
        </w:rPr>
      </w:pPr>
    </w:p>
    <w:p w14:paraId="5470E47B" w14:textId="77777777" w:rsidR="00E255F4" w:rsidRDefault="00000000">
      <w:pPr>
        <w:pStyle w:val="Default"/>
        <w:jc w:val="both"/>
        <w:rPr>
          <w:rFonts w:ascii="Times New Roman" w:hAnsi="Times New Roman" w:cs="Times New Roman"/>
          <w:sz w:val="22"/>
          <w:szCs w:val="22"/>
          <w:lang w:val="es-UY"/>
        </w:rPr>
      </w:pPr>
      <w:proofErr w:type="spellStart"/>
      <w:r>
        <w:rPr>
          <w:rFonts w:ascii="Times New Roman" w:hAnsi="Times New Roman" w:cs="Times New Roman"/>
          <w:sz w:val="22"/>
          <w:szCs w:val="22"/>
          <w:lang w:val="es-UY"/>
        </w:rPr>
        <w:lastRenderedPageBreak/>
        <w:t>Article</w:t>
      </w:r>
      <w:proofErr w:type="spellEnd"/>
      <w:r>
        <w:rPr>
          <w:rFonts w:ascii="Times New Roman" w:hAnsi="Times New Roman" w:cs="Times New Roman"/>
          <w:sz w:val="22"/>
          <w:szCs w:val="22"/>
          <w:lang w:val="es-UY"/>
        </w:rPr>
        <w:t xml:space="preserve"> 46. Natural </w:t>
      </w:r>
      <w:proofErr w:type="spellStart"/>
      <w:r>
        <w:rPr>
          <w:rFonts w:ascii="Times New Roman" w:hAnsi="Times New Roman" w:cs="Times New Roman"/>
          <w:sz w:val="22"/>
          <w:szCs w:val="22"/>
          <w:lang w:val="es-UY"/>
        </w:rPr>
        <w:t>or</w:t>
      </w:r>
      <w:proofErr w:type="spellEnd"/>
      <w:r>
        <w:rPr>
          <w:rFonts w:ascii="Times New Roman" w:hAnsi="Times New Roman" w:cs="Times New Roman"/>
          <w:sz w:val="22"/>
          <w:szCs w:val="22"/>
          <w:lang w:val="es-UY"/>
        </w:rPr>
        <w:t xml:space="preserve"> legal </w:t>
      </w:r>
      <w:proofErr w:type="spellStart"/>
      <w:r>
        <w:rPr>
          <w:rFonts w:ascii="Times New Roman" w:hAnsi="Times New Roman" w:cs="Times New Roman"/>
          <w:sz w:val="22"/>
          <w:szCs w:val="22"/>
          <w:lang w:val="es-UY"/>
        </w:rPr>
        <w:t>persons</w:t>
      </w:r>
      <w:proofErr w:type="spellEnd"/>
      <w:r>
        <w:rPr>
          <w:rFonts w:ascii="Times New Roman" w:hAnsi="Times New Roman" w:cs="Times New Roman"/>
          <w:sz w:val="22"/>
          <w:szCs w:val="22"/>
          <w:lang w:val="es-UY"/>
        </w:rPr>
        <w:t xml:space="preserve">, </w:t>
      </w:r>
      <w:proofErr w:type="spellStart"/>
      <w:r>
        <w:rPr>
          <w:rFonts w:ascii="Times New Roman" w:hAnsi="Times New Roman" w:cs="Times New Roman"/>
          <w:sz w:val="22"/>
          <w:szCs w:val="22"/>
          <w:lang w:val="es-UY"/>
        </w:rPr>
        <w:t>national</w:t>
      </w:r>
      <w:proofErr w:type="spellEnd"/>
      <w:r>
        <w:rPr>
          <w:rFonts w:ascii="Times New Roman" w:hAnsi="Times New Roman" w:cs="Times New Roman"/>
          <w:sz w:val="22"/>
          <w:szCs w:val="22"/>
          <w:lang w:val="es-UY"/>
        </w:rPr>
        <w:t xml:space="preserve"> </w:t>
      </w:r>
      <w:proofErr w:type="spellStart"/>
      <w:r>
        <w:rPr>
          <w:rFonts w:ascii="Times New Roman" w:hAnsi="Times New Roman" w:cs="Times New Roman"/>
          <w:sz w:val="22"/>
          <w:szCs w:val="22"/>
          <w:lang w:val="es-UY"/>
        </w:rPr>
        <w:t>or</w:t>
      </w:r>
      <w:proofErr w:type="spellEnd"/>
      <w:r>
        <w:rPr>
          <w:rFonts w:ascii="Times New Roman" w:hAnsi="Times New Roman" w:cs="Times New Roman"/>
          <w:sz w:val="22"/>
          <w:szCs w:val="22"/>
          <w:lang w:val="es-UY"/>
        </w:rPr>
        <w:t xml:space="preserve"> </w:t>
      </w:r>
      <w:proofErr w:type="spellStart"/>
      <w:r>
        <w:rPr>
          <w:rFonts w:ascii="Times New Roman" w:hAnsi="Times New Roman" w:cs="Times New Roman"/>
          <w:sz w:val="22"/>
          <w:szCs w:val="22"/>
          <w:lang w:val="es-UY"/>
        </w:rPr>
        <w:t>foreign</w:t>
      </w:r>
      <w:proofErr w:type="spellEnd"/>
      <w:r>
        <w:rPr>
          <w:rFonts w:ascii="Times New Roman" w:hAnsi="Times New Roman" w:cs="Times New Roman"/>
          <w:sz w:val="22"/>
          <w:szCs w:val="22"/>
          <w:lang w:val="es-UY"/>
        </w:rPr>
        <w:t xml:space="preserve">, </w:t>
      </w:r>
      <w:proofErr w:type="spellStart"/>
      <w:r>
        <w:rPr>
          <w:rFonts w:ascii="Times New Roman" w:hAnsi="Times New Roman" w:cs="Times New Roman"/>
          <w:sz w:val="22"/>
          <w:szCs w:val="22"/>
          <w:lang w:val="es-UY"/>
        </w:rPr>
        <w:t>who</w:t>
      </w:r>
      <w:proofErr w:type="spellEnd"/>
      <w:r>
        <w:rPr>
          <w:rFonts w:ascii="Times New Roman" w:hAnsi="Times New Roman" w:cs="Times New Roman"/>
          <w:sz w:val="22"/>
          <w:szCs w:val="22"/>
          <w:lang w:val="es-UY"/>
        </w:rPr>
        <w:t xml:space="preserve">, </w:t>
      </w:r>
      <w:proofErr w:type="spellStart"/>
      <w:r>
        <w:rPr>
          <w:rFonts w:ascii="Times New Roman" w:hAnsi="Times New Roman" w:cs="Times New Roman"/>
          <w:sz w:val="22"/>
          <w:szCs w:val="22"/>
          <w:lang w:val="es-UY"/>
        </w:rPr>
        <w:t>having</w:t>
      </w:r>
      <w:proofErr w:type="spellEnd"/>
      <w:r>
        <w:rPr>
          <w:rFonts w:ascii="Times New Roman" w:hAnsi="Times New Roman" w:cs="Times New Roman"/>
          <w:sz w:val="22"/>
          <w:szCs w:val="22"/>
          <w:lang w:val="es-UY"/>
        </w:rPr>
        <w:t xml:space="preserve"> </w:t>
      </w:r>
      <w:proofErr w:type="spellStart"/>
      <w:r>
        <w:rPr>
          <w:rFonts w:ascii="Times New Roman" w:hAnsi="Times New Roman" w:cs="Times New Roman"/>
          <w:sz w:val="22"/>
          <w:szCs w:val="22"/>
          <w:lang w:val="es-UY"/>
        </w:rPr>
        <w:t>the</w:t>
      </w:r>
      <w:proofErr w:type="spellEnd"/>
      <w:r>
        <w:rPr>
          <w:rFonts w:ascii="Times New Roman" w:hAnsi="Times New Roman" w:cs="Times New Roman"/>
          <w:sz w:val="22"/>
          <w:szCs w:val="22"/>
          <w:lang w:val="es-UY"/>
        </w:rPr>
        <w:t xml:space="preserve"> </w:t>
      </w:r>
      <w:proofErr w:type="spellStart"/>
      <w:r>
        <w:rPr>
          <w:rFonts w:ascii="Times New Roman" w:hAnsi="Times New Roman" w:cs="Times New Roman"/>
          <w:sz w:val="22"/>
          <w:szCs w:val="22"/>
          <w:lang w:val="es-UY"/>
        </w:rPr>
        <w:t>exercise</w:t>
      </w:r>
      <w:proofErr w:type="spellEnd"/>
      <w:r>
        <w:rPr>
          <w:rFonts w:ascii="Times New Roman" w:hAnsi="Times New Roman" w:cs="Times New Roman"/>
          <w:sz w:val="22"/>
          <w:szCs w:val="22"/>
          <w:lang w:val="es-UY"/>
        </w:rPr>
        <w:t xml:space="preserve"> </w:t>
      </w:r>
      <w:proofErr w:type="spellStart"/>
      <w:r>
        <w:rPr>
          <w:rFonts w:ascii="Times New Roman" w:hAnsi="Times New Roman" w:cs="Times New Roman"/>
          <w:sz w:val="22"/>
          <w:szCs w:val="22"/>
          <w:lang w:val="es-UY"/>
        </w:rPr>
        <w:t>of</w:t>
      </w:r>
      <w:proofErr w:type="spellEnd"/>
      <w:r>
        <w:rPr>
          <w:rFonts w:ascii="Times New Roman" w:hAnsi="Times New Roman" w:cs="Times New Roman"/>
          <w:sz w:val="22"/>
          <w:szCs w:val="22"/>
          <w:lang w:val="es-UY"/>
        </w:rPr>
        <w:t xml:space="preserve"> </w:t>
      </w:r>
      <w:proofErr w:type="spellStart"/>
      <w:r>
        <w:rPr>
          <w:rFonts w:ascii="Times New Roman" w:hAnsi="Times New Roman" w:cs="Times New Roman"/>
          <w:sz w:val="22"/>
          <w:szCs w:val="22"/>
          <w:lang w:val="es-UY"/>
        </w:rPr>
        <w:t>the</w:t>
      </w:r>
      <w:proofErr w:type="spellEnd"/>
      <w:r>
        <w:rPr>
          <w:rFonts w:ascii="Times New Roman" w:hAnsi="Times New Roman" w:cs="Times New Roman"/>
          <w:sz w:val="22"/>
          <w:szCs w:val="22"/>
          <w:lang w:val="es-UY"/>
        </w:rPr>
        <w:t xml:space="preserve"> legal </w:t>
      </w:r>
      <w:proofErr w:type="spellStart"/>
      <w:r>
        <w:rPr>
          <w:rFonts w:ascii="Times New Roman" w:hAnsi="Times New Roman" w:cs="Times New Roman"/>
          <w:sz w:val="22"/>
          <w:szCs w:val="22"/>
          <w:lang w:val="es-UY"/>
        </w:rPr>
        <w:t>capacity</w:t>
      </w:r>
      <w:proofErr w:type="spellEnd"/>
      <w:r>
        <w:rPr>
          <w:rFonts w:ascii="Times New Roman" w:hAnsi="Times New Roman" w:cs="Times New Roman"/>
          <w:sz w:val="22"/>
          <w:szCs w:val="22"/>
          <w:lang w:val="es-UY"/>
        </w:rPr>
        <w:t xml:space="preserve"> </w:t>
      </w:r>
      <w:proofErr w:type="spellStart"/>
      <w:r>
        <w:rPr>
          <w:rFonts w:ascii="Times New Roman" w:hAnsi="Times New Roman" w:cs="Times New Roman"/>
          <w:sz w:val="22"/>
          <w:szCs w:val="22"/>
          <w:lang w:val="es-UY"/>
        </w:rPr>
        <w:t>indicated</w:t>
      </w:r>
      <w:proofErr w:type="spellEnd"/>
      <w:r>
        <w:rPr>
          <w:rFonts w:ascii="Times New Roman" w:hAnsi="Times New Roman" w:cs="Times New Roman"/>
          <w:sz w:val="22"/>
          <w:szCs w:val="22"/>
          <w:lang w:val="es-UY"/>
        </w:rPr>
        <w:t xml:space="preserve"> </w:t>
      </w:r>
      <w:proofErr w:type="spellStart"/>
      <w:r>
        <w:rPr>
          <w:rFonts w:ascii="Times New Roman" w:hAnsi="Times New Roman" w:cs="Times New Roman"/>
          <w:sz w:val="22"/>
          <w:szCs w:val="22"/>
          <w:lang w:val="es-UY"/>
        </w:rPr>
        <w:t>by</w:t>
      </w:r>
      <w:proofErr w:type="spellEnd"/>
      <w:r>
        <w:rPr>
          <w:rFonts w:ascii="Times New Roman" w:hAnsi="Times New Roman" w:cs="Times New Roman"/>
          <w:sz w:val="22"/>
          <w:szCs w:val="22"/>
          <w:lang w:val="es-UY"/>
        </w:rPr>
        <w:t xml:space="preserve"> </w:t>
      </w:r>
      <w:proofErr w:type="spellStart"/>
      <w:r>
        <w:rPr>
          <w:rFonts w:ascii="Times New Roman" w:hAnsi="Times New Roman" w:cs="Times New Roman"/>
          <w:sz w:val="22"/>
          <w:szCs w:val="22"/>
          <w:lang w:val="es-UY"/>
        </w:rPr>
        <w:t>common</w:t>
      </w:r>
      <w:proofErr w:type="spellEnd"/>
      <w:r>
        <w:rPr>
          <w:rFonts w:ascii="Times New Roman" w:hAnsi="Times New Roman" w:cs="Times New Roman"/>
          <w:sz w:val="22"/>
          <w:szCs w:val="22"/>
          <w:lang w:val="es-UY"/>
        </w:rPr>
        <w:t xml:space="preserve"> </w:t>
      </w:r>
      <w:proofErr w:type="spellStart"/>
      <w:r>
        <w:rPr>
          <w:rFonts w:ascii="Times New Roman" w:hAnsi="Times New Roman" w:cs="Times New Roman"/>
          <w:sz w:val="22"/>
          <w:szCs w:val="22"/>
          <w:lang w:val="es-UY"/>
        </w:rPr>
        <w:t>law</w:t>
      </w:r>
      <w:proofErr w:type="spellEnd"/>
      <w:r>
        <w:rPr>
          <w:rFonts w:ascii="Times New Roman" w:hAnsi="Times New Roman" w:cs="Times New Roman"/>
          <w:sz w:val="22"/>
          <w:szCs w:val="22"/>
          <w:lang w:val="es-UY"/>
        </w:rPr>
        <w:t xml:space="preserve">, are </w:t>
      </w:r>
      <w:proofErr w:type="spellStart"/>
      <w:r>
        <w:rPr>
          <w:rFonts w:ascii="Times New Roman" w:hAnsi="Times New Roman" w:cs="Times New Roman"/>
          <w:sz w:val="22"/>
          <w:szCs w:val="22"/>
          <w:lang w:val="es-UY"/>
        </w:rPr>
        <w:t>not</w:t>
      </w:r>
      <w:proofErr w:type="spellEnd"/>
      <w:r>
        <w:rPr>
          <w:rFonts w:ascii="Times New Roman" w:hAnsi="Times New Roman" w:cs="Times New Roman"/>
          <w:sz w:val="22"/>
          <w:szCs w:val="22"/>
          <w:lang w:val="es-UY"/>
        </w:rPr>
        <w:t xml:space="preserve"> </w:t>
      </w:r>
      <w:proofErr w:type="spellStart"/>
      <w:r>
        <w:rPr>
          <w:rFonts w:ascii="Times New Roman" w:hAnsi="Times New Roman" w:cs="Times New Roman"/>
          <w:sz w:val="22"/>
          <w:szCs w:val="22"/>
          <w:lang w:val="es-UY"/>
        </w:rPr>
        <w:t>included</w:t>
      </w:r>
      <w:proofErr w:type="spellEnd"/>
      <w:r>
        <w:rPr>
          <w:rFonts w:ascii="Times New Roman" w:hAnsi="Times New Roman" w:cs="Times New Roman"/>
          <w:sz w:val="22"/>
          <w:szCs w:val="22"/>
          <w:lang w:val="es-UY"/>
        </w:rPr>
        <w:t xml:space="preserve"> in </w:t>
      </w:r>
      <w:proofErr w:type="spellStart"/>
      <w:r>
        <w:rPr>
          <w:rFonts w:ascii="Times New Roman" w:hAnsi="Times New Roman" w:cs="Times New Roman"/>
          <w:sz w:val="22"/>
          <w:szCs w:val="22"/>
          <w:lang w:val="es-UY"/>
        </w:rPr>
        <w:t>any</w:t>
      </w:r>
      <w:proofErr w:type="spellEnd"/>
      <w:r>
        <w:rPr>
          <w:rFonts w:ascii="Times New Roman" w:hAnsi="Times New Roman" w:cs="Times New Roman"/>
          <w:sz w:val="22"/>
          <w:szCs w:val="22"/>
          <w:lang w:val="es-UY"/>
        </w:rPr>
        <w:t xml:space="preserve"> </w:t>
      </w:r>
      <w:proofErr w:type="spellStart"/>
      <w:r>
        <w:rPr>
          <w:rFonts w:ascii="Times New Roman" w:hAnsi="Times New Roman" w:cs="Times New Roman"/>
          <w:sz w:val="22"/>
          <w:szCs w:val="22"/>
          <w:lang w:val="es-UY"/>
        </w:rPr>
        <w:t>provision</w:t>
      </w:r>
      <w:proofErr w:type="spellEnd"/>
      <w:r>
        <w:rPr>
          <w:rFonts w:ascii="Times New Roman" w:hAnsi="Times New Roman" w:cs="Times New Roman"/>
          <w:sz w:val="22"/>
          <w:szCs w:val="22"/>
          <w:lang w:val="es-UY"/>
        </w:rPr>
        <w:t xml:space="preserve"> </w:t>
      </w:r>
      <w:proofErr w:type="spellStart"/>
      <w:r>
        <w:rPr>
          <w:rFonts w:ascii="Times New Roman" w:hAnsi="Times New Roman" w:cs="Times New Roman"/>
          <w:sz w:val="22"/>
          <w:szCs w:val="22"/>
          <w:lang w:val="es-UY"/>
        </w:rPr>
        <w:t>that</w:t>
      </w:r>
      <w:proofErr w:type="spellEnd"/>
      <w:r>
        <w:rPr>
          <w:rFonts w:ascii="Times New Roman" w:hAnsi="Times New Roman" w:cs="Times New Roman"/>
          <w:sz w:val="22"/>
          <w:szCs w:val="22"/>
          <w:lang w:val="es-UY"/>
        </w:rPr>
        <w:t xml:space="preserve"> </w:t>
      </w:r>
      <w:proofErr w:type="spellStart"/>
      <w:r>
        <w:rPr>
          <w:rFonts w:ascii="Times New Roman" w:hAnsi="Times New Roman" w:cs="Times New Roman"/>
          <w:sz w:val="22"/>
          <w:szCs w:val="22"/>
          <w:lang w:val="es-UY"/>
        </w:rPr>
        <w:t>expressly</w:t>
      </w:r>
      <w:proofErr w:type="spellEnd"/>
      <w:r>
        <w:rPr>
          <w:rFonts w:ascii="Times New Roman" w:hAnsi="Times New Roman" w:cs="Times New Roman"/>
          <w:sz w:val="22"/>
          <w:szCs w:val="22"/>
          <w:lang w:val="es-UY"/>
        </w:rPr>
        <w:t xml:space="preserve"> </w:t>
      </w:r>
      <w:proofErr w:type="spellStart"/>
      <w:r>
        <w:rPr>
          <w:rFonts w:ascii="Times New Roman" w:hAnsi="Times New Roman" w:cs="Times New Roman"/>
          <w:sz w:val="22"/>
          <w:szCs w:val="22"/>
          <w:lang w:val="es-UY"/>
        </w:rPr>
        <w:t>prevents</w:t>
      </w:r>
      <w:proofErr w:type="spellEnd"/>
      <w:r>
        <w:rPr>
          <w:rFonts w:ascii="Times New Roman" w:hAnsi="Times New Roman" w:cs="Times New Roman"/>
          <w:sz w:val="22"/>
          <w:szCs w:val="22"/>
          <w:lang w:val="es-UY"/>
        </w:rPr>
        <w:t xml:space="preserve"> </w:t>
      </w:r>
      <w:proofErr w:type="spellStart"/>
      <w:r>
        <w:rPr>
          <w:rFonts w:ascii="Times New Roman" w:hAnsi="Times New Roman" w:cs="Times New Roman"/>
          <w:sz w:val="22"/>
          <w:szCs w:val="22"/>
          <w:lang w:val="es-UY"/>
        </w:rPr>
        <w:t>them</w:t>
      </w:r>
      <w:proofErr w:type="spellEnd"/>
      <w:r>
        <w:rPr>
          <w:rFonts w:ascii="Times New Roman" w:hAnsi="Times New Roman" w:cs="Times New Roman"/>
          <w:sz w:val="22"/>
          <w:szCs w:val="22"/>
          <w:lang w:val="es-UY"/>
        </w:rPr>
        <w:t xml:space="preserve"> </w:t>
      </w:r>
      <w:proofErr w:type="spellStart"/>
      <w:r>
        <w:rPr>
          <w:rFonts w:ascii="Times New Roman" w:hAnsi="Times New Roman" w:cs="Times New Roman"/>
          <w:sz w:val="22"/>
          <w:szCs w:val="22"/>
          <w:lang w:val="es-UY"/>
        </w:rPr>
        <w:t>from</w:t>
      </w:r>
      <w:proofErr w:type="spellEnd"/>
      <w:r>
        <w:rPr>
          <w:rFonts w:ascii="Times New Roman" w:hAnsi="Times New Roman" w:cs="Times New Roman"/>
          <w:sz w:val="22"/>
          <w:szCs w:val="22"/>
          <w:lang w:val="es-UY"/>
        </w:rPr>
        <w:t xml:space="preserve"> </w:t>
      </w:r>
      <w:proofErr w:type="spellStart"/>
      <w:r>
        <w:rPr>
          <w:rFonts w:ascii="Times New Roman" w:hAnsi="Times New Roman" w:cs="Times New Roman"/>
          <w:sz w:val="22"/>
          <w:szCs w:val="22"/>
          <w:lang w:val="es-UY"/>
        </w:rPr>
        <w:t>doing</w:t>
      </w:r>
      <w:proofErr w:type="spellEnd"/>
      <w:r>
        <w:rPr>
          <w:rFonts w:ascii="Times New Roman" w:hAnsi="Times New Roman" w:cs="Times New Roman"/>
          <w:sz w:val="22"/>
          <w:szCs w:val="22"/>
          <w:lang w:val="es-UY"/>
        </w:rPr>
        <w:t xml:space="preserve"> so, </w:t>
      </w:r>
      <w:proofErr w:type="spellStart"/>
      <w:r>
        <w:rPr>
          <w:rFonts w:ascii="Times New Roman" w:hAnsi="Times New Roman" w:cs="Times New Roman"/>
          <w:sz w:val="22"/>
          <w:szCs w:val="22"/>
          <w:lang w:val="es-UY"/>
        </w:rPr>
        <w:t>or</w:t>
      </w:r>
      <w:proofErr w:type="spellEnd"/>
      <w:r>
        <w:rPr>
          <w:rFonts w:ascii="Times New Roman" w:hAnsi="Times New Roman" w:cs="Times New Roman"/>
          <w:sz w:val="22"/>
          <w:szCs w:val="22"/>
          <w:lang w:val="es-UY"/>
        </w:rPr>
        <w:t xml:space="preserve"> in </w:t>
      </w:r>
      <w:proofErr w:type="spellStart"/>
      <w:r>
        <w:rPr>
          <w:rFonts w:ascii="Times New Roman" w:hAnsi="Times New Roman" w:cs="Times New Roman"/>
          <w:sz w:val="22"/>
          <w:szCs w:val="22"/>
          <w:lang w:val="es-UY"/>
        </w:rPr>
        <w:t>the</w:t>
      </w:r>
      <w:proofErr w:type="spellEnd"/>
      <w:r>
        <w:rPr>
          <w:rFonts w:ascii="Times New Roman" w:hAnsi="Times New Roman" w:cs="Times New Roman"/>
          <w:sz w:val="22"/>
          <w:szCs w:val="22"/>
          <w:lang w:val="es-UY"/>
        </w:rPr>
        <w:t xml:space="preserve"> </w:t>
      </w:r>
      <w:proofErr w:type="spellStart"/>
      <w:r>
        <w:rPr>
          <w:rFonts w:ascii="Times New Roman" w:hAnsi="Times New Roman" w:cs="Times New Roman"/>
          <w:sz w:val="22"/>
          <w:szCs w:val="22"/>
          <w:lang w:val="es-UY"/>
        </w:rPr>
        <w:t>following</w:t>
      </w:r>
      <w:proofErr w:type="spellEnd"/>
      <w:r>
        <w:rPr>
          <w:rFonts w:ascii="Times New Roman" w:hAnsi="Times New Roman" w:cs="Times New Roman"/>
          <w:sz w:val="22"/>
          <w:szCs w:val="22"/>
          <w:lang w:val="es-UY"/>
        </w:rPr>
        <w:t xml:space="preserve"> cases, are </w:t>
      </w:r>
      <w:proofErr w:type="spellStart"/>
      <w:r>
        <w:rPr>
          <w:rFonts w:ascii="Times New Roman" w:hAnsi="Times New Roman" w:cs="Times New Roman"/>
          <w:sz w:val="22"/>
          <w:szCs w:val="22"/>
          <w:lang w:val="es-UY"/>
        </w:rPr>
        <w:t>qualified</w:t>
      </w:r>
      <w:proofErr w:type="spellEnd"/>
      <w:r>
        <w:rPr>
          <w:rFonts w:ascii="Times New Roman" w:hAnsi="Times New Roman" w:cs="Times New Roman"/>
          <w:sz w:val="22"/>
          <w:szCs w:val="22"/>
          <w:lang w:val="es-UY"/>
        </w:rPr>
        <w:t xml:space="preserve"> </w:t>
      </w:r>
      <w:proofErr w:type="spellStart"/>
      <w:r>
        <w:rPr>
          <w:rFonts w:ascii="Times New Roman" w:hAnsi="Times New Roman" w:cs="Times New Roman"/>
          <w:sz w:val="22"/>
          <w:szCs w:val="22"/>
          <w:lang w:val="es-UY"/>
        </w:rPr>
        <w:t>to</w:t>
      </w:r>
      <w:proofErr w:type="spellEnd"/>
      <w:r>
        <w:rPr>
          <w:rFonts w:ascii="Times New Roman" w:hAnsi="Times New Roman" w:cs="Times New Roman"/>
          <w:sz w:val="22"/>
          <w:szCs w:val="22"/>
          <w:lang w:val="es-UY"/>
        </w:rPr>
        <w:t xml:space="preserve"> </w:t>
      </w:r>
      <w:proofErr w:type="spellStart"/>
      <w:r>
        <w:rPr>
          <w:rFonts w:ascii="Times New Roman" w:hAnsi="Times New Roman" w:cs="Times New Roman"/>
          <w:sz w:val="22"/>
          <w:szCs w:val="22"/>
          <w:lang w:val="es-UY"/>
        </w:rPr>
        <w:t>contract</w:t>
      </w:r>
      <w:proofErr w:type="spellEnd"/>
      <w:r>
        <w:rPr>
          <w:rFonts w:ascii="Times New Roman" w:hAnsi="Times New Roman" w:cs="Times New Roman"/>
          <w:sz w:val="22"/>
          <w:szCs w:val="22"/>
          <w:lang w:val="es-UY"/>
        </w:rPr>
        <w:t xml:space="preserve"> </w:t>
      </w:r>
      <w:proofErr w:type="spellStart"/>
      <w:r>
        <w:rPr>
          <w:rFonts w:ascii="Times New Roman" w:hAnsi="Times New Roman" w:cs="Times New Roman"/>
          <w:sz w:val="22"/>
          <w:szCs w:val="22"/>
          <w:lang w:val="es-UY"/>
        </w:rPr>
        <w:t>with</w:t>
      </w:r>
      <w:proofErr w:type="spellEnd"/>
      <w:r>
        <w:rPr>
          <w:rFonts w:ascii="Times New Roman" w:hAnsi="Times New Roman" w:cs="Times New Roman"/>
          <w:sz w:val="22"/>
          <w:szCs w:val="22"/>
          <w:lang w:val="es-UY"/>
        </w:rPr>
        <w:t xml:space="preserve"> </w:t>
      </w:r>
      <w:proofErr w:type="spellStart"/>
      <w:r>
        <w:rPr>
          <w:rFonts w:ascii="Times New Roman" w:hAnsi="Times New Roman" w:cs="Times New Roman"/>
          <w:sz w:val="22"/>
          <w:szCs w:val="22"/>
          <w:lang w:val="es-UY"/>
        </w:rPr>
        <w:t>the</w:t>
      </w:r>
      <w:proofErr w:type="spellEnd"/>
      <w:r>
        <w:rPr>
          <w:rFonts w:ascii="Times New Roman" w:hAnsi="Times New Roman" w:cs="Times New Roman"/>
          <w:sz w:val="22"/>
          <w:szCs w:val="22"/>
          <w:lang w:val="es-UY"/>
        </w:rPr>
        <w:t xml:space="preserve"> State:</w:t>
      </w:r>
    </w:p>
    <w:p w14:paraId="09FA16FB" w14:textId="77777777" w:rsidR="00E255F4" w:rsidRDefault="00E255F4">
      <w:pPr>
        <w:pStyle w:val="Default"/>
        <w:jc w:val="both"/>
        <w:rPr>
          <w:rFonts w:ascii="Times New Roman" w:hAnsi="Times New Roman" w:cs="Times New Roman"/>
          <w:sz w:val="22"/>
          <w:szCs w:val="22"/>
          <w:lang w:val="es-UY"/>
        </w:rPr>
      </w:pPr>
    </w:p>
    <w:p w14:paraId="5A505BEC" w14:textId="77777777" w:rsidR="00E255F4" w:rsidRDefault="00000000">
      <w:pPr>
        <w:pStyle w:val="Default"/>
        <w:jc w:val="both"/>
      </w:pPr>
      <w:r>
        <w:rPr>
          <w:rFonts w:ascii="Times New Roman" w:hAnsi="Times New Roman" w:cs="Times New Roman"/>
          <w:sz w:val="22"/>
          <w:szCs w:val="22"/>
          <w:lang w:val="es-UY"/>
        </w:rPr>
        <w:t xml:space="preserve">1) Be </w:t>
      </w:r>
      <w:proofErr w:type="spellStart"/>
      <w:r>
        <w:rPr>
          <w:rFonts w:ascii="Times New Roman" w:hAnsi="Times New Roman" w:cs="Times New Roman"/>
          <w:sz w:val="22"/>
          <w:szCs w:val="22"/>
          <w:lang w:val="es-UY"/>
        </w:rPr>
        <w:t>an</w:t>
      </w:r>
      <w:proofErr w:type="spellEnd"/>
      <w:r>
        <w:rPr>
          <w:rFonts w:ascii="Times New Roman" w:hAnsi="Times New Roman" w:cs="Times New Roman"/>
          <w:sz w:val="22"/>
          <w:szCs w:val="22"/>
          <w:lang w:val="es-UY"/>
        </w:rPr>
        <w:t xml:space="preserve"> </w:t>
      </w:r>
      <w:proofErr w:type="spellStart"/>
      <w:r>
        <w:rPr>
          <w:rFonts w:ascii="Times New Roman" w:hAnsi="Times New Roman" w:cs="Times New Roman"/>
          <w:sz w:val="22"/>
          <w:szCs w:val="22"/>
          <w:lang w:val="es-UY"/>
        </w:rPr>
        <w:t>official</w:t>
      </w:r>
      <w:proofErr w:type="spellEnd"/>
      <w:r>
        <w:rPr>
          <w:rFonts w:ascii="Times New Roman" w:hAnsi="Times New Roman" w:cs="Times New Roman"/>
          <w:sz w:val="22"/>
          <w:szCs w:val="22"/>
          <w:lang w:val="es-UY"/>
        </w:rPr>
        <w:t xml:space="preserve"> </w:t>
      </w:r>
      <w:proofErr w:type="spellStart"/>
      <w:r>
        <w:rPr>
          <w:rFonts w:ascii="Times New Roman" w:hAnsi="Times New Roman" w:cs="Times New Roman"/>
          <w:sz w:val="22"/>
          <w:szCs w:val="22"/>
          <w:lang w:val="es-UY"/>
        </w:rPr>
        <w:t>of</w:t>
      </w:r>
      <w:proofErr w:type="spellEnd"/>
      <w:r>
        <w:rPr>
          <w:rFonts w:ascii="Times New Roman" w:hAnsi="Times New Roman" w:cs="Times New Roman"/>
          <w:sz w:val="22"/>
          <w:szCs w:val="22"/>
          <w:lang w:val="es-UY"/>
        </w:rPr>
        <w:t xml:space="preserve"> </w:t>
      </w:r>
      <w:proofErr w:type="spellStart"/>
      <w:r>
        <w:rPr>
          <w:rFonts w:ascii="Times New Roman" w:hAnsi="Times New Roman" w:cs="Times New Roman"/>
          <w:sz w:val="22"/>
          <w:szCs w:val="22"/>
          <w:lang w:val="es-UY"/>
        </w:rPr>
        <w:t>the</w:t>
      </w:r>
      <w:proofErr w:type="spellEnd"/>
      <w:r>
        <w:rPr>
          <w:rFonts w:ascii="Times New Roman" w:hAnsi="Times New Roman" w:cs="Times New Roman"/>
          <w:sz w:val="22"/>
          <w:szCs w:val="22"/>
          <w:lang w:val="es-UY"/>
        </w:rPr>
        <w:t xml:space="preserve"> </w:t>
      </w:r>
      <w:proofErr w:type="spellStart"/>
      <w:r>
        <w:rPr>
          <w:rFonts w:ascii="Times New Roman" w:hAnsi="Times New Roman" w:cs="Times New Roman"/>
          <w:sz w:val="22"/>
          <w:szCs w:val="22"/>
          <w:lang w:val="es-UY"/>
        </w:rPr>
        <w:t>contracting</w:t>
      </w:r>
      <w:proofErr w:type="spellEnd"/>
      <w:r>
        <w:rPr>
          <w:rFonts w:ascii="Times New Roman" w:hAnsi="Times New Roman" w:cs="Times New Roman"/>
          <w:sz w:val="22"/>
          <w:szCs w:val="22"/>
          <w:lang w:val="es-UY"/>
        </w:rPr>
        <w:t xml:space="preserve"> </w:t>
      </w:r>
      <w:proofErr w:type="spellStart"/>
      <w:r>
        <w:rPr>
          <w:rFonts w:ascii="Times New Roman" w:hAnsi="Times New Roman" w:cs="Times New Roman"/>
          <w:sz w:val="22"/>
          <w:szCs w:val="22"/>
          <w:lang w:val="es-UY"/>
        </w:rPr>
        <w:t>Administration</w:t>
      </w:r>
      <w:proofErr w:type="spellEnd"/>
      <w:r>
        <w:rPr>
          <w:rFonts w:ascii="Times New Roman" w:hAnsi="Times New Roman" w:cs="Times New Roman"/>
          <w:sz w:val="22"/>
          <w:szCs w:val="22"/>
          <w:lang w:val="es-UY"/>
        </w:rPr>
        <w:t xml:space="preserve"> </w:t>
      </w:r>
      <w:proofErr w:type="spellStart"/>
      <w:r>
        <w:rPr>
          <w:rFonts w:ascii="Times New Roman" w:hAnsi="Times New Roman" w:cs="Times New Roman"/>
          <w:sz w:val="22"/>
          <w:szCs w:val="22"/>
          <w:lang w:val="es-UY"/>
        </w:rPr>
        <w:t>or</w:t>
      </w:r>
      <w:proofErr w:type="spellEnd"/>
      <w:r>
        <w:rPr>
          <w:rFonts w:ascii="Times New Roman" w:hAnsi="Times New Roman" w:cs="Times New Roman"/>
          <w:sz w:val="22"/>
          <w:szCs w:val="22"/>
          <w:lang w:val="es-UY"/>
        </w:rPr>
        <w:t xml:space="preserve"> </w:t>
      </w:r>
      <w:proofErr w:type="spellStart"/>
      <w:r>
        <w:rPr>
          <w:rFonts w:ascii="Times New Roman" w:hAnsi="Times New Roman" w:cs="Times New Roman"/>
          <w:sz w:val="22"/>
          <w:szCs w:val="22"/>
          <w:lang w:val="es-UY"/>
        </w:rPr>
        <w:t>maintain</w:t>
      </w:r>
      <w:proofErr w:type="spellEnd"/>
      <w:r>
        <w:rPr>
          <w:rFonts w:ascii="Times New Roman" w:hAnsi="Times New Roman" w:cs="Times New Roman"/>
          <w:sz w:val="22"/>
          <w:szCs w:val="22"/>
          <w:lang w:val="es-UY"/>
        </w:rPr>
        <w:t xml:space="preserve"> </w:t>
      </w:r>
      <w:proofErr w:type="spellStart"/>
      <w:r>
        <w:rPr>
          <w:rFonts w:ascii="Times New Roman" w:hAnsi="Times New Roman" w:cs="Times New Roman"/>
          <w:sz w:val="22"/>
          <w:szCs w:val="22"/>
          <w:lang w:val="es-UY"/>
        </w:rPr>
        <w:t>an</w:t>
      </w:r>
      <w:proofErr w:type="spellEnd"/>
      <w:r>
        <w:rPr>
          <w:rFonts w:ascii="Times New Roman" w:hAnsi="Times New Roman" w:cs="Times New Roman"/>
          <w:sz w:val="22"/>
          <w:szCs w:val="22"/>
          <w:lang w:val="es-UY"/>
        </w:rPr>
        <w:t xml:space="preserve"> </w:t>
      </w:r>
      <w:proofErr w:type="spellStart"/>
      <w:r>
        <w:rPr>
          <w:rFonts w:ascii="Times New Roman" w:hAnsi="Times New Roman" w:cs="Times New Roman"/>
          <w:sz w:val="22"/>
          <w:szCs w:val="22"/>
          <w:lang w:val="es-UY"/>
        </w:rPr>
        <w:t>employment</w:t>
      </w:r>
      <w:proofErr w:type="spellEnd"/>
      <w:r>
        <w:rPr>
          <w:rFonts w:ascii="Times New Roman" w:hAnsi="Times New Roman" w:cs="Times New Roman"/>
          <w:sz w:val="22"/>
          <w:szCs w:val="22"/>
          <w:lang w:val="es-UY"/>
        </w:rPr>
        <w:t xml:space="preserve"> </w:t>
      </w:r>
      <w:proofErr w:type="spellStart"/>
      <w:r>
        <w:rPr>
          <w:rFonts w:ascii="Times New Roman" w:hAnsi="Times New Roman" w:cs="Times New Roman"/>
          <w:sz w:val="22"/>
          <w:szCs w:val="22"/>
          <w:lang w:val="es-UY"/>
        </w:rPr>
        <w:t>relationship</w:t>
      </w:r>
      <w:proofErr w:type="spellEnd"/>
      <w:r>
        <w:rPr>
          <w:rFonts w:ascii="Times New Roman" w:hAnsi="Times New Roman" w:cs="Times New Roman"/>
          <w:sz w:val="22"/>
          <w:szCs w:val="22"/>
          <w:lang w:val="es-UY"/>
        </w:rPr>
        <w:t xml:space="preserve"> </w:t>
      </w:r>
      <w:proofErr w:type="spellStart"/>
      <w:r>
        <w:rPr>
          <w:rFonts w:ascii="Times New Roman" w:hAnsi="Times New Roman" w:cs="Times New Roman"/>
          <w:sz w:val="22"/>
          <w:szCs w:val="22"/>
          <w:lang w:val="es-UY"/>
        </w:rPr>
        <w:t>of</w:t>
      </w:r>
      <w:proofErr w:type="spellEnd"/>
      <w:r>
        <w:rPr>
          <w:rFonts w:ascii="Times New Roman" w:hAnsi="Times New Roman" w:cs="Times New Roman"/>
          <w:sz w:val="22"/>
          <w:szCs w:val="22"/>
          <w:lang w:val="es-UY"/>
        </w:rPr>
        <w:t xml:space="preserve"> </w:t>
      </w:r>
      <w:proofErr w:type="spellStart"/>
      <w:r>
        <w:rPr>
          <w:rFonts w:ascii="Times New Roman" w:hAnsi="Times New Roman" w:cs="Times New Roman"/>
          <w:sz w:val="22"/>
          <w:szCs w:val="22"/>
          <w:lang w:val="es-UY"/>
        </w:rPr>
        <w:t>any</w:t>
      </w:r>
      <w:proofErr w:type="spellEnd"/>
      <w:r>
        <w:rPr>
          <w:rFonts w:ascii="Times New Roman" w:hAnsi="Times New Roman" w:cs="Times New Roman"/>
          <w:sz w:val="22"/>
          <w:szCs w:val="22"/>
          <w:lang w:val="es-UY"/>
        </w:rPr>
        <w:t xml:space="preserve"> </w:t>
      </w:r>
      <w:proofErr w:type="spellStart"/>
      <w:r>
        <w:rPr>
          <w:rFonts w:ascii="Times New Roman" w:hAnsi="Times New Roman" w:cs="Times New Roman"/>
          <w:sz w:val="22"/>
          <w:szCs w:val="22"/>
          <w:lang w:val="es-UY"/>
        </w:rPr>
        <w:t>kind</w:t>
      </w:r>
      <w:proofErr w:type="spellEnd"/>
      <w:r>
        <w:rPr>
          <w:rFonts w:ascii="Times New Roman" w:hAnsi="Times New Roman" w:cs="Times New Roman"/>
          <w:sz w:val="22"/>
          <w:szCs w:val="22"/>
          <w:lang w:val="es-UY"/>
        </w:rPr>
        <w:t xml:space="preserve"> </w:t>
      </w:r>
      <w:proofErr w:type="spellStart"/>
      <w:r>
        <w:rPr>
          <w:rFonts w:ascii="Times New Roman" w:hAnsi="Times New Roman" w:cs="Times New Roman"/>
          <w:sz w:val="22"/>
          <w:szCs w:val="22"/>
          <w:lang w:val="es-UY"/>
        </w:rPr>
        <w:t>with</w:t>
      </w:r>
      <w:proofErr w:type="spellEnd"/>
      <w:r>
        <w:rPr>
          <w:rFonts w:ascii="Times New Roman" w:hAnsi="Times New Roman" w:cs="Times New Roman"/>
          <w:sz w:val="22"/>
          <w:szCs w:val="22"/>
          <w:lang w:val="es-UY"/>
        </w:rPr>
        <w:t xml:space="preserve"> </w:t>
      </w:r>
      <w:proofErr w:type="spellStart"/>
      <w:r>
        <w:rPr>
          <w:rFonts w:ascii="Times New Roman" w:hAnsi="Times New Roman" w:cs="Times New Roman"/>
          <w:sz w:val="22"/>
          <w:szCs w:val="22"/>
          <w:lang w:val="es-UY"/>
        </w:rPr>
        <w:t>it</w:t>
      </w:r>
      <w:proofErr w:type="spellEnd"/>
      <w:r>
        <w:rPr>
          <w:rFonts w:ascii="Times New Roman" w:hAnsi="Times New Roman" w:cs="Times New Roman"/>
          <w:sz w:val="22"/>
          <w:szCs w:val="22"/>
          <w:lang w:val="es-UY"/>
        </w:rPr>
        <w:t xml:space="preserve">; </w:t>
      </w:r>
      <w:proofErr w:type="spellStart"/>
      <w:r>
        <w:rPr>
          <w:rFonts w:ascii="Times New Roman" w:hAnsi="Times New Roman" w:cs="Times New Roman"/>
          <w:sz w:val="22"/>
          <w:szCs w:val="22"/>
          <w:lang w:val="es-UY"/>
        </w:rPr>
        <w:t>offers</w:t>
      </w:r>
      <w:proofErr w:type="spellEnd"/>
      <w:r>
        <w:rPr>
          <w:rFonts w:ascii="Times New Roman" w:hAnsi="Times New Roman" w:cs="Times New Roman"/>
          <w:sz w:val="22"/>
          <w:szCs w:val="22"/>
          <w:lang w:val="es-UY"/>
        </w:rPr>
        <w:t xml:space="preserve"> </w:t>
      </w:r>
      <w:proofErr w:type="spellStart"/>
      <w:r>
        <w:rPr>
          <w:rFonts w:ascii="Times New Roman" w:hAnsi="Times New Roman" w:cs="Times New Roman"/>
          <w:sz w:val="22"/>
          <w:szCs w:val="22"/>
          <w:lang w:val="es-UY"/>
        </w:rPr>
        <w:t>submitted</w:t>
      </w:r>
      <w:proofErr w:type="spellEnd"/>
      <w:r>
        <w:rPr>
          <w:rFonts w:ascii="Times New Roman" w:hAnsi="Times New Roman" w:cs="Times New Roman"/>
          <w:sz w:val="22"/>
          <w:szCs w:val="22"/>
          <w:lang w:val="es-UY"/>
        </w:rPr>
        <w:t xml:space="preserve"> </w:t>
      </w:r>
      <w:proofErr w:type="spellStart"/>
      <w:r>
        <w:rPr>
          <w:rFonts w:ascii="Times New Roman" w:hAnsi="Times New Roman" w:cs="Times New Roman"/>
          <w:sz w:val="22"/>
          <w:szCs w:val="22"/>
          <w:lang w:val="es-UY"/>
        </w:rPr>
        <w:t>by</w:t>
      </w:r>
      <w:proofErr w:type="spellEnd"/>
      <w:r>
        <w:rPr>
          <w:rFonts w:ascii="Times New Roman" w:hAnsi="Times New Roman" w:cs="Times New Roman"/>
          <w:sz w:val="22"/>
          <w:szCs w:val="22"/>
          <w:lang w:val="es-UY"/>
        </w:rPr>
        <w:t xml:space="preserve"> </w:t>
      </w:r>
      <w:proofErr w:type="spellStart"/>
      <w:r>
        <w:rPr>
          <w:rFonts w:ascii="Times New Roman" w:hAnsi="Times New Roman" w:cs="Times New Roman"/>
          <w:sz w:val="22"/>
          <w:szCs w:val="22"/>
          <w:lang w:val="es-UY"/>
        </w:rPr>
        <w:t>the</w:t>
      </w:r>
      <w:proofErr w:type="spellEnd"/>
      <w:r>
        <w:rPr>
          <w:rFonts w:ascii="Times New Roman" w:hAnsi="Times New Roman" w:cs="Times New Roman"/>
          <w:sz w:val="22"/>
          <w:szCs w:val="22"/>
          <w:lang w:val="es-UY"/>
        </w:rPr>
        <w:t xml:space="preserve"> individual in </w:t>
      </w:r>
      <w:proofErr w:type="spellStart"/>
      <w:r>
        <w:rPr>
          <w:rFonts w:ascii="Times New Roman" w:hAnsi="Times New Roman" w:cs="Times New Roman"/>
          <w:sz w:val="22"/>
          <w:szCs w:val="22"/>
          <w:lang w:val="es-UY"/>
        </w:rPr>
        <w:t>their</w:t>
      </w:r>
      <w:proofErr w:type="spellEnd"/>
      <w:r>
        <w:rPr>
          <w:rFonts w:ascii="Times New Roman" w:hAnsi="Times New Roman" w:cs="Times New Roman"/>
          <w:sz w:val="22"/>
          <w:szCs w:val="22"/>
          <w:lang w:val="es-UY"/>
        </w:rPr>
        <w:t xml:space="preserve"> personal </w:t>
      </w:r>
      <w:proofErr w:type="spellStart"/>
      <w:r>
        <w:rPr>
          <w:rFonts w:ascii="Times New Roman" w:hAnsi="Times New Roman" w:cs="Times New Roman"/>
          <w:sz w:val="22"/>
          <w:szCs w:val="22"/>
          <w:lang w:val="es-UY"/>
        </w:rPr>
        <w:t>capacity</w:t>
      </w:r>
      <w:proofErr w:type="spellEnd"/>
      <w:r>
        <w:rPr>
          <w:rFonts w:ascii="Times New Roman" w:hAnsi="Times New Roman" w:cs="Times New Roman"/>
          <w:sz w:val="22"/>
          <w:szCs w:val="22"/>
          <w:lang w:val="es-UY"/>
        </w:rPr>
        <w:t xml:space="preserve">, </w:t>
      </w:r>
      <w:proofErr w:type="spellStart"/>
      <w:r>
        <w:rPr>
          <w:rFonts w:ascii="Times New Roman" w:hAnsi="Times New Roman" w:cs="Times New Roman"/>
          <w:sz w:val="22"/>
          <w:szCs w:val="22"/>
          <w:lang w:val="es-UY"/>
        </w:rPr>
        <w:t>or</w:t>
      </w:r>
      <w:proofErr w:type="spellEnd"/>
      <w:r>
        <w:rPr>
          <w:rFonts w:ascii="Times New Roman" w:hAnsi="Times New Roman" w:cs="Times New Roman"/>
          <w:sz w:val="22"/>
          <w:szCs w:val="22"/>
          <w:lang w:val="es-UY"/>
        </w:rPr>
        <w:t xml:space="preserve"> </w:t>
      </w:r>
      <w:proofErr w:type="spellStart"/>
      <w:r>
        <w:rPr>
          <w:rFonts w:ascii="Times New Roman" w:hAnsi="Times New Roman" w:cs="Times New Roman"/>
          <w:sz w:val="22"/>
          <w:szCs w:val="22"/>
          <w:lang w:val="es-UY"/>
        </w:rPr>
        <w:t>by</w:t>
      </w:r>
      <w:proofErr w:type="spellEnd"/>
      <w:r>
        <w:rPr>
          <w:rFonts w:ascii="Times New Roman" w:hAnsi="Times New Roman" w:cs="Times New Roman"/>
          <w:sz w:val="22"/>
          <w:szCs w:val="22"/>
          <w:lang w:val="es-UY"/>
        </w:rPr>
        <w:t xml:space="preserve"> natural </w:t>
      </w:r>
      <w:proofErr w:type="spellStart"/>
      <w:r>
        <w:rPr>
          <w:rFonts w:ascii="Times New Roman" w:hAnsi="Times New Roman" w:cs="Times New Roman"/>
          <w:sz w:val="22"/>
          <w:szCs w:val="22"/>
          <w:lang w:val="es-UY"/>
        </w:rPr>
        <w:t>or</w:t>
      </w:r>
      <w:proofErr w:type="spellEnd"/>
      <w:r>
        <w:rPr>
          <w:rFonts w:ascii="Times New Roman" w:hAnsi="Times New Roman" w:cs="Times New Roman"/>
          <w:sz w:val="22"/>
          <w:szCs w:val="22"/>
          <w:lang w:val="es-UY"/>
        </w:rPr>
        <w:t xml:space="preserve"> legal </w:t>
      </w:r>
      <w:proofErr w:type="spellStart"/>
      <w:r>
        <w:rPr>
          <w:rFonts w:ascii="Times New Roman" w:hAnsi="Times New Roman" w:cs="Times New Roman"/>
          <w:sz w:val="22"/>
          <w:szCs w:val="22"/>
          <w:lang w:val="es-UY"/>
        </w:rPr>
        <w:t>persons</w:t>
      </w:r>
      <w:proofErr w:type="spellEnd"/>
      <w:r>
        <w:rPr>
          <w:rFonts w:ascii="Times New Roman" w:hAnsi="Times New Roman" w:cs="Times New Roman"/>
          <w:sz w:val="22"/>
          <w:szCs w:val="22"/>
          <w:lang w:val="es-UY"/>
        </w:rPr>
        <w:t xml:space="preserve"> </w:t>
      </w:r>
      <w:proofErr w:type="spellStart"/>
      <w:r>
        <w:rPr>
          <w:rFonts w:ascii="Times New Roman" w:hAnsi="Times New Roman" w:cs="Times New Roman"/>
          <w:sz w:val="22"/>
          <w:szCs w:val="22"/>
          <w:lang w:val="es-UY"/>
        </w:rPr>
        <w:t>that</w:t>
      </w:r>
      <w:proofErr w:type="spellEnd"/>
      <w:r>
        <w:rPr>
          <w:rFonts w:ascii="Times New Roman" w:hAnsi="Times New Roman" w:cs="Times New Roman"/>
          <w:sz w:val="22"/>
          <w:szCs w:val="22"/>
          <w:lang w:val="es-UY"/>
        </w:rPr>
        <w:t xml:space="preserve"> </w:t>
      </w:r>
      <w:proofErr w:type="spellStart"/>
      <w:r>
        <w:rPr>
          <w:rFonts w:ascii="Times New Roman" w:hAnsi="Times New Roman" w:cs="Times New Roman"/>
          <w:sz w:val="22"/>
          <w:szCs w:val="22"/>
          <w:lang w:val="es-UY"/>
        </w:rPr>
        <w:t>the</w:t>
      </w:r>
      <w:proofErr w:type="spellEnd"/>
      <w:r>
        <w:rPr>
          <w:rFonts w:ascii="Times New Roman" w:hAnsi="Times New Roman" w:cs="Times New Roman"/>
          <w:sz w:val="22"/>
          <w:szCs w:val="22"/>
          <w:lang w:val="es-UY"/>
        </w:rPr>
        <w:t xml:space="preserve"> individual </w:t>
      </w:r>
      <w:proofErr w:type="spellStart"/>
      <w:r>
        <w:rPr>
          <w:rFonts w:ascii="Times New Roman" w:hAnsi="Times New Roman" w:cs="Times New Roman"/>
          <w:sz w:val="22"/>
          <w:szCs w:val="22"/>
          <w:lang w:val="es-UY"/>
        </w:rPr>
        <w:t>is</w:t>
      </w:r>
      <w:proofErr w:type="spellEnd"/>
      <w:r>
        <w:rPr>
          <w:rFonts w:ascii="Times New Roman" w:hAnsi="Times New Roman" w:cs="Times New Roman"/>
          <w:sz w:val="22"/>
          <w:szCs w:val="22"/>
          <w:lang w:val="es-UY"/>
        </w:rPr>
        <w:t xml:space="preserve"> </w:t>
      </w:r>
      <w:proofErr w:type="spellStart"/>
      <w:r>
        <w:rPr>
          <w:rFonts w:ascii="Times New Roman" w:hAnsi="Times New Roman" w:cs="Times New Roman"/>
          <w:sz w:val="22"/>
          <w:szCs w:val="22"/>
          <w:lang w:val="es-UY"/>
        </w:rPr>
        <w:t>part</w:t>
      </w:r>
      <w:proofErr w:type="spellEnd"/>
      <w:r>
        <w:rPr>
          <w:rFonts w:ascii="Times New Roman" w:hAnsi="Times New Roman" w:cs="Times New Roman"/>
          <w:sz w:val="22"/>
          <w:szCs w:val="22"/>
          <w:lang w:val="es-UY"/>
        </w:rPr>
        <w:t xml:space="preserve"> </w:t>
      </w:r>
      <w:proofErr w:type="spellStart"/>
      <w:r>
        <w:rPr>
          <w:rFonts w:ascii="Times New Roman" w:hAnsi="Times New Roman" w:cs="Times New Roman"/>
          <w:sz w:val="22"/>
          <w:szCs w:val="22"/>
          <w:lang w:val="es-UY"/>
        </w:rPr>
        <w:t>of</w:t>
      </w:r>
      <w:proofErr w:type="spellEnd"/>
      <w:r>
        <w:rPr>
          <w:rFonts w:ascii="Times New Roman" w:hAnsi="Times New Roman" w:cs="Times New Roman"/>
          <w:sz w:val="22"/>
          <w:szCs w:val="22"/>
          <w:lang w:val="es-UY"/>
        </w:rPr>
        <w:t xml:space="preserve"> </w:t>
      </w:r>
      <w:proofErr w:type="spellStart"/>
      <w:r>
        <w:rPr>
          <w:rFonts w:ascii="Times New Roman" w:hAnsi="Times New Roman" w:cs="Times New Roman"/>
          <w:sz w:val="22"/>
          <w:szCs w:val="22"/>
          <w:lang w:val="es-UY"/>
        </w:rPr>
        <w:t>or</w:t>
      </w:r>
      <w:proofErr w:type="spellEnd"/>
      <w:r>
        <w:rPr>
          <w:rFonts w:ascii="Times New Roman" w:hAnsi="Times New Roman" w:cs="Times New Roman"/>
          <w:sz w:val="22"/>
          <w:szCs w:val="22"/>
          <w:lang w:val="es-UY"/>
        </w:rPr>
        <w:t xml:space="preserve"> </w:t>
      </w:r>
      <w:proofErr w:type="spellStart"/>
      <w:r>
        <w:rPr>
          <w:rFonts w:ascii="Times New Roman" w:hAnsi="Times New Roman" w:cs="Times New Roman"/>
          <w:sz w:val="22"/>
          <w:szCs w:val="22"/>
          <w:lang w:val="es-UY"/>
        </w:rPr>
        <w:t>with</w:t>
      </w:r>
      <w:proofErr w:type="spellEnd"/>
      <w:r>
        <w:rPr>
          <w:rFonts w:ascii="Times New Roman" w:hAnsi="Times New Roman" w:cs="Times New Roman"/>
          <w:sz w:val="22"/>
          <w:szCs w:val="22"/>
          <w:lang w:val="es-UY"/>
        </w:rPr>
        <w:t xml:space="preserve"> </w:t>
      </w:r>
      <w:proofErr w:type="spellStart"/>
      <w:r>
        <w:rPr>
          <w:rFonts w:ascii="Times New Roman" w:hAnsi="Times New Roman" w:cs="Times New Roman"/>
          <w:sz w:val="22"/>
          <w:szCs w:val="22"/>
          <w:lang w:val="es-UY"/>
        </w:rPr>
        <w:t>whom</w:t>
      </w:r>
      <w:proofErr w:type="spellEnd"/>
      <w:r>
        <w:rPr>
          <w:rFonts w:ascii="Times New Roman" w:hAnsi="Times New Roman" w:cs="Times New Roman"/>
          <w:sz w:val="22"/>
          <w:szCs w:val="22"/>
          <w:lang w:val="es-UY"/>
        </w:rPr>
        <w:t xml:space="preserve"> </w:t>
      </w:r>
      <w:proofErr w:type="spellStart"/>
      <w:r>
        <w:rPr>
          <w:rFonts w:ascii="Times New Roman" w:hAnsi="Times New Roman" w:cs="Times New Roman"/>
          <w:sz w:val="22"/>
          <w:szCs w:val="22"/>
          <w:lang w:val="es-UY"/>
        </w:rPr>
        <w:t>they</w:t>
      </w:r>
      <w:proofErr w:type="spellEnd"/>
      <w:r>
        <w:rPr>
          <w:rFonts w:ascii="Times New Roman" w:hAnsi="Times New Roman" w:cs="Times New Roman"/>
          <w:sz w:val="22"/>
          <w:szCs w:val="22"/>
          <w:lang w:val="es-UY"/>
        </w:rPr>
        <w:t xml:space="preserve"> are </w:t>
      </w:r>
      <w:proofErr w:type="spellStart"/>
      <w:r>
        <w:rPr>
          <w:rFonts w:ascii="Times New Roman" w:hAnsi="Times New Roman" w:cs="Times New Roman"/>
          <w:sz w:val="22"/>
          <w:szCs w:val="22"/>
          <w:lang w:val="es-UY"/>
        </w:rPr>
        <w:t>linked</w:t>
      </w:r>
      <w:proofErr w:type="spellEnd"/>
      <w:r>
        <w:rPr>
          <w:rFonts w:ascii="Times New Roman" w:hAnsi="Times New Roman" w:cs="Times New Roman"/>
          <w:sz w:val="22"/>
          <w:szCs w:val="22"/>
          <w:lang w:val="es-UY"/>
        </w:rPr>
        <w:t xml:space="preserve"> </w:t>
      </w:r>
      <w:proofErr w:type="spellStart"/>
      <w:r>
        <w:rPr>
          <w:rFonts w:ascii="Times New Roman" w:hAnsi="Times New Roman" w:cs="Times New Roman"/>
          <w:sz w:val="22"/>
          <w:szCs w:val="22"/>
          <w:lang w:val="es-UY"/>
        </w:rPr>
        <w:t>for</w:t>
      </w:r>
      <w:proofErr w:type="spellEnd"/>
      <w:r>
        <w:rPr>
          <w:rFonts w:ascii="Times New Roman" w:hAnsi="Times New Roman" w:cs="Times New Roman"/>
          <w:sz w:val="22"/>
          <w:szCs w:val="22"/>
          <w:lang w:val="es-UY"/>
        </w:rPr>
        <w:t xml:space="preserve"> </w:t>
      </w:r>
      <w:proofErr w:type="spellStart"/>
      <w:r>
        <w:rPr>
          <w:rFonts w:ascii="Times New Roman" w:hAnsi="Times New Roman" w:cs="Times New Roman"/>
          <w:sz w:val="22"/>
          <w:szCs w:val="22"/>
          <w:lang w:val="es-UY"/>
        </w:rPr>
        <w:t>reasons</w:t>
      </w:r>
      <w:proofErr w:type="spellEnd"/>
      <w:r>
        <w:rPr>
          <w:rFonts w:ascii="Times New Roman" w:hAnsi="Times New Roman" w:cs="Times New Roman"/>
          <w:sz w:val="22"/>
          <w:szCs w:val="22"/>
          <w:lang w:val="es-UY"/>
        </w:rPr>
        <w:t xml:space="preserve"> </w:t>
      </w:r>
      <w:proofErr w:type="spellStart"/>
      <w:r>
        <w:rPr>
          <w:rFonts w:ascii="Times New Roman" w:hAnsi="Times New Roman" w:cs="Times New Roman"/>
          <w:sz w:val="22"/>
          <w:szCs w:val="22"/>
          <w:lang w:val="es-UY"/>
        </w:rPr>
        <w:t>of</w:t>
      </w:r>
      <w:proofErr w:type="spellEnd"/>
      <w:r>
        <w:rPr>
          <w:rFonts w:ascii="Times New Roman" w:hAnsi="Times New Roman" w:cs="Times New Roman"/>
          <w:sz w:val="22"/>
          <w:szCs w:val="22"/>
          <w:lang w:val="es-UY"/>
        </w:rPr>
        <w:t xml:space="preserve"> </w:t>
      </w:r>
      <w:proofErr w:type="spellStart"/>
      <w:r>
        <w:rPr>
          <w:rFonts w:ascii="Times New Roman" w:hAnsi="Times New Roman" w:cs="Times New Roman"/>
          <w:sz w:val="22"/>
          <w:szCs w:val="22"/>
          <w:lang w:val="es-UY"/>
        </w:rPr>
        <w:t>representation</w:t>
      </w:r>
      <w:proofErr w:type="spellEnd"/>
      <w:r>
        <w:rPr>
          <w:rFonts w:ascii="Times New Roman" w:hAnsi="Times New Roman" w:cs="Times New Roman"/>
          <w:sz w:val="22"/>
          <w:szCs w:val="22"/>
          <w:lang w:val="es-UY"/>
        </w:rPr>
        <w:t xml:space="preserve">, </w:t>
      </w:r>
      <w:proofErr w:type="spellStart"/>
      <w:r>
        <w:rPr>
          <w:rFonts w:ascii="Times New Roman" w:hAnsi="Times New Roman" w:cs="Times New Roman"/>
          <w:sz w:val="22"/>
          <w:szCs w:val="22"/>
          <w:lang w:val="es-UY"/>
        </w:rPr>
        <w:t>management</w:t>
      </w:r>
      <w:proofErr w:type="spellEnd"/>
      <w:r>
        <w:rPr>
          <w:rFonts w:ascii="Times New Roman" w:hAnsi="Times New Roman" w:cs="Times New Roman"/>
          <w:sz w:val="22"/>
          <w:szCs w:val="22"/>
          <w:lang w:val="es-UY"/>
        </w:rPr>
        <w:t xml:space="preserve">, </w:t>
      </w:r>
      <w:proofErr w:type="spellStart"/>
      <w:r>
        <w:rPr>
          <w:rFonts w:ascii="Times New Roman" w:hAnsi="Times New Roman" w:cs="Times New Roman"/>
          <w:sz w:val="22"/>
          <w:szCs w:val="22"/>
          <w:lang w:val="es-UY"/>
        </w:rPr>
        <w:t>advice</w:t>
      </w:r>
      <w:proofErr w:type="spellEnd"/>
      <w:r>
        <w:rPr>
          <w:rFonts w:ascii="Times New Roman" w:hAnsi="Times New Roman" w:cs="Times New Roman"/>
          <w:sz w:val="22"/>
          <w:szCs w:val="22"/>
          <w:lang w:val="es-UY"/>
        </w:rPr>
        <w:t xml:space="preserve">, </w:t>
      </w:r>
      <w:proofErr w:type="spellStart"/>
      <w:r>
        <w:rPr>
          <w:rFonts w:ascii="Times New Roman" w:hAnsi="Times New Roman" w:cs="Times New Roman"/>
          <w:sz w:val="22"/>
          <w:szCs w:val="22"/>
          <w:lang w:val="es-UY"/>
        </w:rPr>
        <w:t>or</w:t>
      </w:r>
      <w:proofErr w:type="spellEnd"/>
      <w:r>
        <w:rPr>
          <w:rFonts w:ascii="Times New Roman" w:hAnsi="Times New Roman" w:cs="Times New Roman"/>
          <w:sz w:val="22"/>
          <w:szCs w:val="22"/>
          <w:lang w:val="es-UY"/>
        </w:rPr>
        <w:t xml:space="preserve"> </w:t>
      </w:r>
      <w:proofErr w:type="spellStart"/>
      <w:r>
        <w:rPr>
          <w:rFonts w:ascii="Times New Roman" w:hAnsi="Times New Roman" w:cs="Times New Roman"/>
          <w:sz w:val="22"/>
          <w:szCs w:val="22"/>
          <w:lang w:val="es-UY"/>
        </w:rPr>
        <w:t>dependency</w:t>
      </w:r>
      <w:proofErr w:type="spellEnd"/>
      <w:r>
        <w:rPr>
          <w:rFonts w:ascii="Times New Roman" w:hAnsi="Times New Roman" w:cs="Times New Roman"/>
          <w:sz w:val="22"/>
          <w:szCs w:val="22"/>
          <w:lang w:val="es-UY"/>
        </w:rPr>
        <w:t xml:space="preserve">, are </w:t>
      </w:r>
      <w:proofErr w:type="spellStart"/>
      <w:r>
        <w:rPr>
          <w:rFonts w:ascii="Times New Roman" w:hAnsi="Times New Roman" w:cs="Times New Roman"/>
          <w:sz w:val="22"/>
          <w:szCs w:val="22"/>
          <w:lang w:val="es-UY"/>
        </w:rPr>
        <w:t>not</w:t>
      </w:r>
      <w:proofErr w:type="spellEnd"/>
      <w:r>
        <w:rPr>
          <w:rFonts w:ascii="Times New Roman" w:hAnsi="Times New Roman" w:cs="Times New Roman"/>
          <w:sz w:val="22"/>
          <w:szCs w:val="22"/>
          <w:lang w:val="es-UY"/>
        </w:rPr>
        <w:t xml:space="preserve"> </w:t>
      </w:r>
      <w:proofErr w:type="spellStart"/>
      <w:r>
        <w:rPr>
          <w:rFonts w:ascii="Times New Roman" w:hAnsi="Times New Roman" w:cs="Times New Roman"/>
          <w:sz w:val="22"/>
          <w:szCs w:val="22"/>
          <w:lang w:val="es-UY"/>
        </w:rPr>
        <w:t>admissible</w:t>
      </w:r>
      <w:proofErr w:type="spellEnd"/>
      <w:r>
        <w:rPr>
          <w:rFonts w:ascii="Times New Roman" w:hAnsi="Times New Roman" w:cs="Times New Roman"/>
          <w:sz w:val="22"/>
          <w:szCs w:val="22"/>
          <w:lang w:val="es-UY"/>
        </w:rPr>
        <w:t xml:space="preserve">. </w:t>
      </w:r>
      <w:proofErr w:type="spellStart"/>
      <w:r>
        <w:rPr>
          <w:rFonts w:ascii="Times New Roman" w:hAnsi="Times New Roman" w:cs="Times New Roman"/>
          <w:sz w:val="22"/>
          <w:szCs w:val="22"/>
          <w:lang w:val="es-UY"/>
        </w:rPr>
        <w:t>However</w:t>
      </w:r>
      <w:proofErr w:type="spellEnd"/>
      <w:r>
        <w:rPr>
          <w:rFonts w:ascii="Times New Roman" w:hAnsi="Times New Roman" w:cs="Times New Roman"/>
          <w:sz w:val="22"/>
          <w:szCs w:val="22"/>
          <w:lang w:val="es-UY"/>
        </w:rPr>
        <w:t xml:space="preserve">, in </w:t>
      </w:r>
      <w:proofErr w:type="spellStart"/>
      <w:r>
        <w:rPr>
          <w:rFonts w:ascii="Times New Roman" w:hAnsi="Times New Roman" w:cs="Times New Roman"/>
          <w:sz w:val="22"/>
          <w:szCs w:val="22"/>
          <w:lang w:val="es-UY"/>
        </w:rPr>
        <w:t>the</w:t>
      </w:r>
      <w:proofErr w:type="spellEnd"/>
      <w:r>
        <w:rPr>
          <w:rFonts w:ascii="Times New Roman" w:hAnsi="Times New Roman" w:cs="Times New Roman"/>
          <w:sz w:val="22"/>
          <w:szCs w:val="22"/>
          <w:lang w:val="es-UY"/>
        </w:rPr>
        <w:t xml:space="preserve"> </w:t>
      </w:r>
      <w:proofErr w:type="spellStart"/>
      <w:r>
        <w:rPr>
          <w:rFonts w:ascii="Times New Roman" w:hAnsi="Times New Roman" w:cs="Times New Roman"/>
          <w:sz w:val="22"/>
          <w:szCs w:val="22"/>
          <w:lang w:val="es-UY"/>
        </w:rPr>
        <w:t>latter</w:t>
      </w:r>
      <w:proofErr w:type="spellEnd"/>
      <w:r>
        <w:rPr>
          <w:rFonts w:ascii="Times New Roman" w:hAnsi="Times New Roman" w:cs="Times New Roman"/>
          <w:sz w:val="22"/>
          <w:szCs w:val="22"/>
          <w:lang w:val="es-UY"/>
        </w:rPr>
        <w:t xml:space="preserve"> case </w:t>
      </w:r>
      <w:proofErr w:type="spellStart"/>
      <w:r>
        <w:rPr>
          <w:rFonts w:ascii="Times New Roman" w:hAnsi="Times New Roman" w:cs="Times New Roman"/>
          <w:sz w:val="22"/>
          <w:szCs w:val="22"/>
          <w:lang w:val="es-UY"/>
        </w:rPr>
        <w:t>of</w:t>
      </w:r>
      <w:proofErr w:type="spellEnd"/>
      <w:r>
        <w:rPr>
          <w:rFonts w:ascii="Times New Roman" w:hAnsi="Times New Roman" w:cs="Times New Roman"/>
          <w:sz w:val="22"/>
          <w:szCs w:val="22"/>
          <w:lang w:val="es-UY"/>
        </w:rPr>
        <w:t xml:space="preserve"> </w:t>
      </w:r>
      <w:proofErr w:type="spellStart"/>
      <w:r>
        <w:rPr>
          <w:rFonts w:ascii="Times New Roman" w:hAnsi="Times New Roman" w:cs="Times New Roman"/>
          <w:sz w:val="22"/>
          <w:szCs w:val="22"/>
          <w:lang w:val="es-UY"/>
        </w:rPr>
        <w:t>dependency</w:t>
      </w:r>
      <w:proofErr w:type="spellEnd"/>
      <w:r>
        <w:rPr>
          <w:rFonts w:ascii="Times New Roman" w:hAnsi="Times New Roman" w:cs="Times New Roman"/>
          <w:sz w:val="22"/>
          <w:szCs w:val="22"/>
          <w:lang w:val="es-UY"/>
        </w:rPr>
        <w:t xml:space="preserve">, </w:t>
      </w:r>
      <w:proofErr w:type="spellStart"/>
      <w:r>
        <w:rPr>
          <w:rFonts w:ascii="Times New Roman" w:hAnsi="Times New Roman" w:cs="Times New Roman"/>
          <w:sz w:val="22"/>
          <w:szCs w:val="22"/>
          <w:lang w:val="es-UY"/>
        </w:rPr>
        <w:t>offers</w:t>
      </w:r>
      <w:proofErr w:type="spellEnd"/>
      <w:r>
        <w:rPr>
          <w:rFonts w:ascii="Times New Roman" w:hAnsi="Times New Roman" w:cs="Times New Roman"/>
          <w:sz w:val="22"/>
          <w:szCs w:val="22"/>
          <w:lang w:val="es-UY"/>
        </w:rPr>
        <w:t xml:space="preserve"> </w:t>
      </w:r>
      <w:proofErr w:type="spellStart"/>
      <w:r>
        <w:rPr>
          <w:rFonts w:ascii="Times New Roman" w:hAnsi="Times New Roman" w:cs="Times New Roman"/>
          <w:sz w:val="22"/>
          <w:szCs w:val="22"/>
          <w:lang w:val="es-UY"/>
        </w:rPr>
        <w:t>submitted</w:t>
      </w:r>
      <w:proofErr w:type="spellEnd"/>
      <w:r>
        <w:rPr>
          <w:rFonts w:ascii="Times New Roman" w:hAnsi="Times New Roman" w:cs="Times New Roman"/>
          <w:sz w:val="22"/>
          <w:szCs w:val="22"/>
          <w:lang w:val="es-UY"/>
        </w:rPr>
        <w:t xml:space="preserve"> </w:t>
      </w:r>
      <w:proofErr w:type="spellStart"/>
      <w:r>
        <w:rPr>
          <w:rFonts w:ascii="Times New Roman" w:hAnsi="Times New Roman" w:cs="Times New Roman"/>
          <w:sz w:val="22"/>
          <w:szCs w:val="22"/>
          <w:lang w:val="es-UY"/>
        </w:rPr>
        <w:t>may</w:t>
      </w:r>
      <w:proofErr w:type="spellEnd"/>
      <w:r>
        <w:rPr>
          <w:rFonts w:ascii="Times New Roman" w:hAnsi="Times New Roman" w:cs="Times New Roman"/>
          <w:sz w:val="22"/>
          <w:szCs w:val="22"/>
          <w:lang w:val="es-UY"/>
        </w:rPr>
        <w:t xml:space="preserve"> be </w:t>
      </w:r>
      <w:proofErr w:type="spellStart"/>
      <w:r>
        <w:rPr>
          <w:rFonts w:ascii="Times New Roman" w:hAnsi="Times New Roman" w:cs="Times New Roman"/>
          <w:sz w:val="22"/>
          <w:szCs w:val="22"/>
          <w:lang w:val="es-UY"/>
        </w:rPr>
        <w:t>accepted</w:t>
      </w:r>
      <w:proofErr w:type="spellEnd"/>
      <w:r>
        <w:rPr>
          <w:rFonts w:ascii="Times New Roman" w:hAnsi="Times New Roman" w:cs="Times New Roman"/>
          <w:sz w:val="22"/>
          <w:szCs w:val="22"/>
          <w:lang w:val="es-UY"/>
        </w:rPr>
        <w:t xml:space="preserve"> </w:t>
      </w:r>
      <w:proofErr w:type="spellStart"/>
      <w:r>
        <w:rPr>
          <w:rFonts w:ascii="Times New Roman" w:hAnsi="Times New Roman" w:cs="Times New Roman"/>
          <w:sz w:val="22"/>
          <w:szCs w:val="22"/>
          <w:lang w:val="es-UY"/>
        </w:rPr>
        <w:t>when</w:t>
      </w:r>
      <w:proofErr w:type="spellEnd"/>
      <w:r>
        <w:rPr>
          <w:rFonts w:ascii="Times New Roman" w:hAnsi="Times New Roman" w:cs="Times New Roman"/>
          <w:sz w:val="22"/>
          <w:szCs w:val="22"/>
          <w:lang w:val="es-UY"/>
        </w:rPr>
        <w:t xml:space="preserve"> </w:t>
      </w:r>
      <w:proofErr w:type="spellStart"/>
      <w:r>
        <w:rPr>
          <w:rFonts w:ascii="Times New Roman" w:hAnsi="Times New Roman" w:cs="Times New Roman"/>
          <w:sz w:val="22"/>
          <w:szCs w:val="22"/>
          <w:lang w:val="es-UY"/>
        </w:rPr>
        <w:t>there</w:t>
      </w:r>
      <w:proofErr w:type="spellEnd"/>
      <w:r>
        <w:rPr>
          <w:rFonts w:ascii="Times New Roman" w:hAnsi="Times New Roman" w:cs="Times New Roman"/>
          <w:sz w:val="22"/>
          <w:szCs w:val="22"/>
          <w:lang w:val="es-UY"/>
        </w:rPr>
        <w:t xml:space="preserve"> </w:t>
      </w:r>
      <w:proofErr w:type="spellStart"/>
      <w:r>
        <w:rPr>
          <w:rFonts w:ascii="Times New Roman" w:hAnsi="Times New Roman" w:cs="Times New Roman"/>
          <w:sz w:val="22"/>
          <w:szCs w:val="22"/>
          <w:lang w:val="es-UY"/>
        </w:rPr>
        <w:t>is</w:t>
      </w:r>
      <w:proofErr w:type="spellEnd"/>
      <w:r>
        <w:rPr>
          <w:rFonts w:ascii="Times New Roman" w:hAnsi="Times New Roman" w:cs="Times New Roman"/>
          <w:sz w:val="22"/>
          <w:szCs w:val="22"/>
          <w:lang w:val="es-UY"/>
        </w:rPr>
        <w:t xml:space="preserve"> no </w:t>
      </w:r>
      <w:proofErr w:type="spellStart"/>
      <w:r>
        <w:rPr>
          <w:rFonts w:ascii="Times New Roman" w:hAnsi="Times New Roman" w:cs="Times New Roman"/>
          <w:sz w:val="22"/>
          <w:szCs w:val="22"/>
          <w:lang w:val="es-UY"/>
        </w:rPr>
        <w:t>conflict</w:t>
      </w:r>
      <w:proofErr w:type="spellEnd"/>
      <w:r>
        <w:rPr>
          <w:rFonts w:ascii="Times New Roman" w:hAnsi="Times New Roman" w:cs="Times New Roman"/>
          <w:sz w:val="22"/>
          <w:szCs w:val="22"/>
          <w:lang w:val="es-UY"/>
        </w:rPr>
        <w:t xml:space="preserve"> </w:t>
      </w:r>
      <w:proofErr w:type="spellStart"/>
      <w:r>
        <w:rPr>
          <w:rFonts w:ascii="Times New Roman" w:hAnsi="Times New Roman" w:cs="Times New Roman"/>
          <w:sz w:val="22"/>
          <w:szCs w:val="22"/>
          <w:lang w:val="es-UY"/>
        </w:rPr>
        <w:t>of</w:t>
      </w:r>
      <w:proofErr w:type="spellEnd"/>
      <w:r>
        <w:rPr>
          <w:rFonts w:ascii="Times New Roman" w:hAnsi="Times New Roman" w:cs="Times New Roman"/>
          <w:sz w:val="22"/>
          <w:szCs w:val="22"/>
          <w:lang w:val="es-UY"/>
        </w:rPr>
        <w:t xml:space="preserve"> </w:t>
      </w:r>
      <w:proofErr w:type="spellStart"/>
      <w:r>
        <w:rPr>
          <w:rFonts w:ascii="Times New Roman" w:hAnsi="Times New Roman" w:cs="Times New Roman"/>
          <w:sz w:val="22"/>
          <w:szCs w:val="22"/>
          <w:lang w:val="es-UY"/>
        </w:rPr>
        <w:t>interest</w:t>
      </w:r>
      <w:proofErr w:type="spellEnd"/>
      <w:r>
        <w:rPr>
          <w:rFonts w:ascii="Times New Roman" w:hAnsi="Times New Roman" w:cs="Times New Roman"/>
          <w:sz w:val="22"/>
          <w:szCs w:val="22"/>
          <w:lang w:val="es-UY"/>
        </w:rPr>
        <w:t xml:space="preserve"> and </w:t>
      </w:r>
      <w:proofErr w:type="spellStart"/>
      <w:r>
        <w:rPr>
          <w:rFonts w:ascii="Times New Roman" w:hAnsi="Times New Roman" w:cs="Times New Roman"/>
          <w:sz w:val="22"/>
          <w:szCs w:val="22"/>
          <w:lang w:val="es-UY"/>
        </w:rPr>
        <w:t>the</w:t>
      </w:r>
      <w:proofErr w:type="spellEnd"/>
      <w:r>
        <w:rPr>
          <w:rFonts w:ascii="Times New Roman" w:hAnsi="Times New Roman" w:cs="Times New Roman"/>
          <w:sz w:val="22"/>
          <w:szCs w:val="22"/>
          <w:lang w:val="es-UY"/>
        </w:rPr>
        <w:t xml:space="preserve"> individual has no </w:t>
      </w:r>
      <w:proofErr w:type="spellStart"/>
      <w:r>
        <w:rPr>
          <w:rFonts w:ascii="Times New Roman" w:hAnsi="Times New Roman" w:cs="Times New Roman"/>
          <w:sz w:val="22"/>
          <w:szCs w:val="22"/>
          <w:lang w:val="es-UY"/>
        </w:rPr>
        <w:t>involvement</w:t>
      </w:r>
      <w:proofErr w:type="spellEnd"/>
      <w:r>
        <w:rPr>
          <w:rFonts w:ascii="Times New Roman" w:hAnsi="Times New Roman" w:cs="Times New Roman"/>
          <w:sz w:val="22"/>
          <w:szCs w:val="22"/>
          <w:lang w:val="es-UY"/>
        </w:rPr>
        <w:t xml:space="preserve"> in </w:t>
      </w:r>
      <w:proofErr w:type="spellStart"/>
      <w:r>
        <w:rPr>
          <w:rFonts w:ascii="Times New Roman" w:hAnsi="Times New Roman" w:cs="Times New Roman"/>
          <w:sz w:val="22"/>
          <w:szCs w:val="22"/>
          <w:lang w:val="es-UY"/>
        </w:rPr>
        <w:t>the</w:t>
      </w:r>
      <w:proofErr w:type="spellEnd"/>
      <w:r>
        <w:rPr>
          <w:rFonts w:ascii="Times New Roman" w:hAnsi="Times New Roman" w:cs="Times New Roman"/>
          <w:sz w:val="22"/>
          <w:szCs w:val="22"/>
          <w:lang w:val="es-UY"/>
        </w:rPr>
        <w:t xml:space="preserve"> </w:t>
      </w:r>
      <w:proofErr w:type="spellStart"/>
      <w:r>
        <w:rPr>
          <w:rFonts w:ascii="Times New Roman" w:hAnsi="Times New Roman" w:cs="Times New Roman"/>
          <w:sz w:val="22"/>
          <w:szCs w:val="22"/>
          <w:lang w:val="es-UY"/>
        </w:rPr>
        <w:t>procurement</w:t>
      </w:r>
      <w:proofErr w:type="spellEnd"/>
      <w:r>
        <w:rPr>
          <w:rFonts w:ascii="Times New Roman" w:hAnsi="Times New Roman" w:cs="Times New Roman"/>
          <w:sz w:val="22"/>
          <w:szCs w:val="22"/>
          <w:lang w:val="es-UY"/>
        </w:rPr>
        <w:t xml:space="preserve"> </w:t>
      </w:r>
      <w:proofErr w:type="spellStart"/>
      <w:r>
        <w:rPr>
          <w:rFonts w:ascii="Times New Roman" w:hAnsi="Times New Roman" w:cs="Times New Roman"/>
          <w:sz w:val="22"/>
          <w:szCs w:val="22"/>
          <w:lang w:val="es-UY"/>
        </w:rPr>
        <w:t>process</w:t>
      </w:r>
      <w:proofErr w:type="spellEnd"/>
      <w:r>
        <w:rPr>
          <w:rFonts w:ascii="Times New Roman" w:hAnsi="Times New Roman" w:cs="Times New Roman"/>
          <w:sz w:val="22"/>
          <w:szCs w:val="22"/>
          <w:lang w:val="es-UY"/>
        </w:rPr>
        <w:t>.</w:t>
      </w:r>
    </w:p>
    <w:p w14:paraId="57E3442D" w14:textId="77777777" w:rsidR="00E255F4" w:rsidRDefault="00000000">
      <w:pPr>
        <w:pStyle w:val="Default"/>
        <w:jc w:val="both"/>
        <w:rPr>
          <w:rFonts w:ascii="Times New Roman" w:hAnsi="Times New Roman" w:cs="Times New Roman"/>
          <w:sz w:val="22"/>
          <w:szCs w:val="22"/>
          <w:lang w:val="es-UY"/>
        </w:rPr>
      </w:pPr>
      <w:r>
        <w:rPr>
          <w:rFonts w:ascii="Times New Roman" w:hAnsi="Times New Roman" w:cs="Times New Roman"/>
          <w:sz w:val="22"/>
          <w:szCs w:val="22"/>
          <w:lang w:val="es-UY"/>
        </w:rPr>
        <w:t xml:space="preserve">The </w:t>
      </w:r>
      <w:proofErr w:type="spellStart"/>
      <w:r>
        <w:rPr>
          <w:rFonts w:ascii="Times New Roman" w:hAnsi="Times New Roman" w:cs="Times New Roman"/>
          <w:sz w:val="22"/>
          <w:szCs w:val="22"/>
          <w:lang w:val="es-UY"/>
        </w:rPr>
        <w:t>aforementioned</w:t>
      </w:r>
      <w:proofErr w:type="spellEnd"/>
      <w:r>
        <w:rPr>
          <w:rFonts w:ascii="Times New Roman" w:hAnsi="Times New Roman" w:cs="Times New Roman"/>
          <w:sz w:val="22"/>
          <w:szCs w:val="22"/>
          <w:lang w:val="es-UY"/>
        </w:rPr>
        <w:t xml:space="preserve"> </w:t>
      </w:r>
      <w:proofErr w:type="spellStart"/>
      <w:r>
        <w:rPr>
          <w:rFonts w:ascii="Times New Roman" w:hAnsi="Times New Roman" w:cs="Times New Roman"/>
          <w:sz w:val="22"/>
          <w:szCs w:val="22"/>
          <w:lang w:val="es-UY"/>
        </w:rPr>
        <w:t>circumstances</w:t>
      </w:r>
      <w:proofErr w:type="spellEnd"/>
      <w:r>
        <w:rPr>
          <w:rFonts w:ascii="Times New Roman" w:hAnsi="Times New Roman" w:cs="Times New Roman"/>
          <w:sz w:val="22"/>
          <w:szCs w:val="22"/>
          <w:lang w:val="es-UY"/>
        </w:rPr>
        <w:t xml:space="preserve"> </w:t>
      </w:r>
      <w:proofErr w:type="spellStart"/>
      <w:r>
        <w:rPr>
          <w:rFonts w:ascii="Times New Roman" w:hAnsi="Times New Roman" w:cs="Times New Roman"/>
          <w:sz w:val="22"/>
          <w:szCs w:val="22"/>
          <w:lang w:val="es-UY"/>
        </w:rPr>
        <w:t>must</w:t>
      </w:r>
      <w:proofErr w:type="spellEnd"/>
      <w:r>
        <w:rPr>
          <w:rFonts w:ascii="Times New Roman" w:hAnsi="Times New Roman" w:cs="Times New Roman"/>
          <w:sz w:val="22"/>
          <w:szCs w:val="22"/>
          <w:lang w:val="es-UY"/>
        </w:rPr>
        <w:t xml:space="preserve"> be </w:t>
      </w:r>
      <w:proofErr w:type="spellStart"/>
      <w:r>
        <w:rPr>
          <w:rFonts w:ascii="Times New Roman" w:hAnsi="Times New Roman" w:cs="Times New Roman"/>
          <w:sz w:val="22"/>
          <w:szCs w:val="22"/>
          <w:lang w:val="es-UY"/>
        </w:rPr>
        <w:t>expressly</w:t>
      </w:r>
      <w:proofErr w:type="spellEnd"/>
      <w:r>
        <w:rPr>
          <w:rFonts w:ascii="Times New Roman" w:hAnsi="Times New Roman" w:cs="Times New Roman"/>
          <w:sz w:val="22"/>
          <w:szCs w:val="22"/>
          <w:lang w:val="es-UY"/>
        </w:rPr>
        <w:t xml:space="preserve"> </w:t>
      </w:r>
      <w:proofErr w:type="spellStart"/>
      <w:r>
        <w:rPr>
          <w:rFonts w:ascii="Times New Roman" w:hAnsi="Times New Roman" w:cs="Times New Roman"/>
          <w:sz w:val="22"/>
          <w:szCs w:val="22"/>
          <w:lang w:val="es-UY"/>
        </w:rPr>
        <w:t>recorded</w:t>
      </w:r>
      <w:proofErr w:type="spellEnd"/>
      <w:r>
        <w:rPr>
          <w:rFonts w:ascii="Times New Roman" w:hAnsi="Times New Roman" w:cs="Times New Roman"/>
          <w:sz w:val="22"/>
          <w:szCs w:val="22"/>
          <w:lang w:val="es-UY"/>
        </w:rPr>
        <w:t xml:space="preserve"> in </w:t>
      </w:r>
      <w:proofErr w:type="spellStart"/>
      <w:r>
        <w:rPr>
          <w:rFonts w:ascii="Times New Roman" w:hAnsi="Times New Roman" w:cs="Times New Roman"/>
          <w:sz w:val="22"/>
          <w:szCs w:val="22"/>
          <w:lang w:val="es-UY"/>
        </w:rPr>
        <w:t>the</w:t>
      </w:r>
      <w:proofErr w:type="spellEnd"/>
      <w:r>
        <w:rPr>
          <w:rFonts w:ascii="Times New Roman" w:hAnsi="Times New Roman" w:cs="Times New Roman"/>
          <w:sz w:val="22"/>
          <w:szCs w:val="22"/>
          <w:lang w:val="es-UY"/>
        </w:rPr>
        <w:t xml:space="preserve"> file.</w:t>
      </w:r>
    </w:p>
    <w:p w14:paraId="44BB4B36" w14:textId="77777777" w:rsidR="00E255F4" w:rsidRDefault="00000000">
      <w:pPr>
        <w:pStyle w:val="Default"/>
        <w:jc w:val="both"/>
      </w:pPr>
      <w:proofErr w:type="spellStart"/>
      <w:r>
        <w:rPr>
          <w:rFonts w:ascii="Times New Roman" w:hAnsi="Times New Roman" w:cs="Times New Roman"/>
          <w:sz w:val="22"/>
          <w:szCs w:val="22"/>
          <w:lang w:val="es-UY"/>
        </w:rPr>
        <w:t>Notwithstanding</w:t>
      </w:r>
      <w:proofErr w:type="spellEnd"/>
      <w:r>
        <w:rPr>
          <w:rFonts w:ascii="Times New Roman" w:hAnsi="Times New Roman" w:cs="Times New Roman"/>
          <w:sz w:val="22"/>
          <w:szCs w:val="22"/>
          <w:lang w:val="es-UY"/>
        </w:rPr>
        <w:t xml:space="preserve"> </w:t>
      </w:r>
      <w:proofErr w:type="spellStart"/>
      <w:r>
        <w:rPr>
          <w:rFonts w:ascii="Times New Roman" w:hAnsi="Times New Roman" w:cs="Times New Roman"/>
          <w:sz w:val="22"/>
          <w:szCs w:val="22"/>
          <w:lang w:val="es-UY"/>
        </w:rPr>
        <w:t>the</w:t>
      </w:r>
      <w:proofErr w:type="spellEnd"/>
      <w:r>
        <w:rPr>
          <w:rFonts w:ascii="Times New Roman" w:hAnsi="Times New Roman" w:cs="Times New Roman"/>
          <w:sz w:val="22"/>
          <w:szCs w:val="22"/>
          <w:lang w:val="es-UY"/>
        </w:rPr>
        <w:t xml:space="preserve"> </w:t>
      </w:r>
      <w:proofErr w:type="spellStart"/>
      <w:r>
        <w:rPr>
          <w:rFonts w:ascii="Times New Roman" w:hAnsi="Times New Roman" w:cs="Times New Roman"/>
          <w:sz w:val="22"/>
          <w:szCs w:val="22"/>
          <w:lang w:val="es-UY"/>
        </w:rPr>
        <w:t>foregoing</w:t>
      </w:r>
      <w:proofErr w:type="spellEnd"/>
      <w:r>
        <w:rPr>
          <w:rFonts w:ascii="Times New Roman" w:hAnsi="Times New Roman" w:cs="Times New Roman"/>
          <w:sz w:val="22"/>
          <w:szCs w:val="22"/>
          <w:lang w:val="es-UY"/>
        </w:rPr>
        <w:t xml:space="preserve">, in </w:t>
      </w:r>
      <w:proofErr w:type="spellStart"/>
      <w:r>
        <w:rPr>
          <w:rFonts w:ascii="Times New Roman" w:hAnsi="Times New Roman" w:cs="Times New Roman"/>
          <w:sz w:val="22"/>
          <w:szCs w:val="22"/>
          <w:lang w:val="es-UY"/>
        </w:rPr>
        <w:t>the</w:t>
      </w:r>
      <w:proofErr w:type="spellEnd"/>
      <w:r>
        <w:rPr>
          <w:rFonts w:ascii="Times New Roman" w:hAnsi="Times New Roman" w:cs="Times New Roman"/>
          <w:sz w:val="22"/>
          <w:szCs w:val="22"/>
          <w:lang w:val="es-UY"/>
        </w:rPr>
        <w:t xml:space="preserve"> case </w:t>
      </w:r>
      <w:proofErr w:type="spellStart"/>
      <w:r>
        <w:rPr>
          <w:rFonts w:ascii="Times New Roman" w:hAnsi="Times New Roman" w:cs="Times New Roman"/>
          <w:sz w:val="22"/>
          <w:szCs w:val="22"/>
          <w:lang w:val="es-UY"/>
        </w:rPr>
        <w:t>of</w:t>
      </w:r>
      <w:proofErr w:type="spellEnd"/>
      <w:r>
        <w:rPr>
          <w:rFonts w:ascii="Times New Roman" w:hAnsi="Times New Roman" w:cs="Times New Roman"/>
          <w:sz w:val="22"/>
          <w:szCs w:val="22"/>
          <w:lang w:val="es-UY"/>
        </w:rPr>
        <w:t xml:space="preserve"> </w:t>
      </w:r>
      <w:proofErr w:type="spellStart"/>
      <w:r>
        <w:rPr>
          <w:rFonts w:ascii="Times New Roman" w:hAnsi="Times New Roman" w:cs="Times New Roman"/>
          <w:sz w:val="22"/>
          <w:szCs w:val="22"/>
          <w:lang w:val="es-UY"/>
        </w:rPr>
        <w:t>the</w:t>
      </w:r>
      <w:proofErr w:type="spellEnd"/>
      <w:r>
        <w:rPr>
          <w:rFonts w:ascii="Times New Roman" w:hAnsi="Times New Roman" w:cs="Times New Roman"/>
          <w:sz w:val="22"/>
          <w:szCs w:val="22"/>
          <w:lang w:val="es-UY"/>
        </w:rPr>
        <w:t xml:space="preserve"> State Health </w:t>
      </w:r>
      <w:proofErr w:type="spellStart"/>
      <w:r>
        <w:rPr>
          <w:rFonts w:ascii="Times New Roman" w:hAnsi="Times New Roman" w:cs="Times New Roman"/>
          <w:sz w:val="22"/>
          <w:szCs w:val="22"/>
          <w:lang w:val="es-UY"/>
        </w:rPr>
        <w:t>Services</w:t>
      </w:r>
      <w:proofErr w:type="spellEnd"/>
      <w:r>
        <w:rPr>
          <w:rFonts w:ascii="Times New Roman" w:hAnsi="Times New Roman" w:cs="Times New Roman"/>
          <w:sz w:val="22"/>
          <w:szCs w:val="22"/>
          <w:lang w:val="es-UY"/>
        </w:rPr>
        <w:t xml:space="preserve"> </w:t>
      </w:r>
      <w:proofErr w:type="spellStart"/>
      <w:r>
        <w:rPr>
          <w:rFonts w:ascii="Times New Roman" w:hAnsi="Times New Roman" w:cs="Times New Roman"/>
          <w:sz w:val="22"/>
          <w:szCs w:val="22"/>
          <w:lang w:val="es-UY"/>
        </w:rPr>
        <w:t>Administration</w:t>
      </w:r>
      <w:proofErr w:type="spellEnd"/>
      <w:r>
        <w:rPr>
          <w:rFonts w:ascii="Times New Roman" w:hAnsi="Times New Roman" w:cs="Times New Roman"/>
          <w:sz w:val="22"/>
          <w:szCs w:val="22"/>
          <w:lang w:val="es-UY"/>
        </w:rPr>
        <w:t xml:space="preserve">, </w:t>
      </w:r>
      <w:proofErr w:type="spellStart"/>
      <w:r>
        <w:rPr>
          <w:rFonts w:ascii="Times New Roman" w:hAnsi="Times New Roman" w:cs="Times New Roman"/>
          <w:sz w:val="22"/>
          <w:szCs w:val="22"/>
          <w:lang w:val="es-UY"/>
        </w:rPr>
        <w:t>when</w:t>
      </w:r>
      <w:proofErr w:type="spellEnd"/>
      <w:r>
        <w:rPr>
          <w:rFonts w:ascii="Times New Roman" w:hAnsi="Times New Roman" w:cs="Times New Roman"/>
          <w:sz w:val="22"/>
          <w:szCs w:val="22"/>
          <w:lang w:val="es-UY"/>
        </w:rPr>
        <w:t xml:space="preserve"> </w:t>
      </w:r>
      <w:proofErr w:type="spellStart"/>
      <w:r>
        <w:rPr>
          <w:rFonts w:ascii="Times New Roman" w:hAnsi="Times New Roman" w:cs="Times New Roman"/>
          <w:sz w:val="22"/>
          <w:szCs w:val="22"/>
          <w:lang w:val="es-UY"/>
        </w:rPr>
        <w:t>it</w:t>
      </w:r>
      <w:proofErr w:type="spellEnd"/>
      <w:r>
        <w:rPr>
          <w:rFonts w:ascii="Times New Roman" w:hAnsi="Times New Roman" w:cs="Times New Roman"/>
          <w:sz w:val="22"/>
          <w:szCs w:val="22"/>
          <w:lang w:val="es-UY"/>
        </w:rPr>
        <w:t xml:space="preserve"> </w:t>
      </w:r>
      <w:proofErr w:type="spellStart"/>
      <w:r>
        <w:rPr>
          <w:rFonts w:ascii="Times New Roman" w:hAnsi="Times New Roman" w:cs="Times New Roman"/>
          <w:sz w:val="22"/>
          <w:szCs w:val="22"/>
          <w:lang w:val="es-UY"/>
        </w:rPr>
        <w:t>involves</w:t>
      </w:r>
      <w:proofErr w:type="spellEnd"/>
      <w:r>
        <w:rPr>
          <w:rFonts w:ascii="Times New Roman" w:hAnsi="Times New Roman" w:cs="Times New Roman"/>
          <w:sz w:val="22"/>
          <w:szCs w:val="22"/>
          <w:lang w:val="es-UY"/>
        </w:rPr>
        <w:t xml:space="preserve"> a </w:t>
      </w:r>
      <w:proofErr w:type="spellStart"/>
      <w:r>
        <w:rPr>
          <w:rFonts w:ascii="Times New Roman" w:hAnsi="Times New Roman" w:cs="Times New Roman"/>
          <w:sz w:val="22"/>
          <w:szCs w:val="22"/>
          <w:lang w:val="es-UY"/>
        </w:rPr>
        <w:t>management</w:t>
      </w:r>
      <w:proofErr w:type="spellEnd"/>
      <w:r>
        <w:rPr>
          <w:rFonts w:ascii="Times New Roman" w:hAnsi="Times New Roman" w:cs="Times New Roman"/>
          <w:sz w:val="22"/>
          <w:szCs w:val="22"/>
          <w:lang w:val="es-UY"/>
        </w:rPr>
        <w:t xml:space="preserve"> </w:t>
      </w:r>
      <w:proofErr w:type="spellStart"/>
      <w:r>
        <w:rPr>
          <w:rFonts w:ascii="Times New Roman" w:hAnsi="Times New Roman" w:cs="Times New Roman"/>
          <w:sz w:val="22"/>
          <w:szCs w:val="22"/>
          <w:lang w:val="es-UY"/>
        </w:rPr>
        <w:t>or</w:t>
      </w:r>
      <w:proofErr w:type="spellEnd"/>
      <w:r>
        <w:rPr>
          <w:rFonts w:ascii="Times New Roman" w:hAnsi="Times New Roman" w:cs="Times New Roman"/>
          <w:sz w:val="22"/>
          <w:szCs w:val="22"/>
          <w:lang w:val="es-UY"/>
        </w:rPr>
        <w:t xml:space="preserve"> </w:t>
      </w:r>
      <w:proofErr w:type="spellStart"/>
      <w:r>
        <w:rPr>
          <w:rFonts w:ascii="Times New Roman" w:hAnsi="Times New Roman" w:cs="Times New Roman"/>
          <w:sz w:val="22"/>
          <w:szCs w:val="22"/>
          <w:lang w:val="es-UY"/>
        </w:rPr>
        <w:t>dependency</w:t>
      </w:r>
      <w:proofErr w:type="spellEnd"/>
      <w:r>
        <w:rPr>
          <w:rFonts w:ascii="Times New Roman" w:hAnsi="Times New Roman" w:cs="Times New Roman"/>
          <w:sz w:val="22"/>
          <w:szCs w:val="22"/>
          <w:lang w:val="es-UY"/>
        </w:rPr>
        <w:t xml:space="preserve"> </w:t>
      </w:r>
      <w:proofErr w:type="spellStart"/>
      <w:r>
        <w:rPr>
          <w:rFonts w:ascii="Times New Roman" w:hAnsi="Times New Roman" w:cs="Times New Roman"/>
          <w:sz w:val="22"/>
          <w:szCs w:val="22"/>
          <w:lang w:val="es-UY"/>
        </w:rPr>
        <w:t>relationship</w:t>
      </w:r>
      <w:proofErr w:type="spellEnd"/>
      <w:r>
        <w:rPr>
          <w:rFonts w:ascii="Times New Roman" w:hAnsi="Times New Roman" w:cs="Times New Roman"/>
          <w:sz w:val="22"/>
          <w:szCs w:val="22"/>
          <w:lang w:val="es-UY"/>
        </w:rPr>
        <w:t xml:space="preserve">, </w:t>
      </w:r>
      <w:proofErr w:type="spellStart"/>
      <w:r>
        <w:rPr>
          <w:rFonts w:ascii="Times New Roman" w:hAnsi="Times New Roman" w:cs="Times New Roman"/>
          <w:sz w:val="22"/>
          <w:szCs w:val="22"/>
          <w:lang w:val="es-UY"/>
        </w:rPr>
        <w:t>offers</w:t>
      </w:r>
      <w:proofErr w:type="spellEnd"/>
      <w:r>
        <w:rPr>
          <w:rFonts w:ascii="Times New Roman" w:hAnsi="Times New Roman" w:cs="Times New Roman"/>
          <w:sz w:val="22"/>
          <w:szCs w:val="22"/>
          <w:lang w:val="es-UY"/>
        </w:rPr>
        <w:t xml:space="preserve"> </w:t>
      </w:r>
      <w:proofErr w:type="spellStart"/>
      <w:r>
        <w:rPr>
          <w:rFonts w:ascii="Times New Roman" w:hAnsi="Times New Roman" w:cs="Times New Roman"/>
          <w:sz w:val="22"/>
          <w:szCs w:val="22"/>
          <w:lang w:val="es-UY"/>
        </w:rPr>
        <w:t>may</w:t>
      </w:r>
      <w:proofErr w:type="spellEnd"/>
      <w:r>
        <w:rPr>
          <w:rFonts w:ascii="Times New Roman" w:hAnsi="Times New Roman" w:cs="Times New Roman"/>
          <w:sz w:val="22"/>
          <w:szCs w:val="22"/>
          <w:lang w:val="es-UY"/>
        </w:rPr>
        <w:t xml:space="preserve"> be </w:t>
      </w:r>
      <w:proofErr w:type="spellStart"/>
      <w:r>
        <w:rPr>
          <w:rFonts w:ascii="Times New Roman" w:hAnsi="Times New Roman" w:cs="Times New Roman"/>
          <w:sz w:val="22"/>
          <w:szCs w:val="22"/>
          <w:lang w:val="es-UY"/>
        </w:rPr>
        <w:t>processed</w:t>
      </w:r>
      <w:proofErr w:type="spellEnd"/>
      <w:r>
        <w:rPr>
          <w:rFonts w:ascii="Times New Roman" w:hAnsi="Times New Roman" w:cs="Times New Roman"/>
          <w:sz w:val="22"/>
          <w:szCs w:val="22"/>
          <w:lang w:val="es-UY"/>
        </w:rPr>
        <w:t xml:space="preserve"> </w:t>
      </w:r>
      <w:proofErr w:type="spellStart"/>
      <w:r>
        <w:rPr>
          <w:rFonts w:ascii="Times New Roman" w:hAnsi="Times New Roman" w:cs="Times New Roman"/>
          <w:sz w:val="22"/>
          <w:szCs w:val="22"/>
          <w:lang w:val="es-UY"/>
        </w:rPr>
        <w:t>when</w:t>
      </w:r>
      <w:proofErr w:type="spellEnd"/>
      <w:r>
        <w:rPr>
          <w:rFonts w:ascii="Times New Roman" w:hAnsi="Times New Roman" w:cs="Times New Roman"/>
          <w:sz w:val="22"/>
          <w:szCs w:val="22"/>
          <w:lang w:val="es-UY"/>
        </w:rPr>
        <w:t xml:space="preserve"> </w:t>
      </w:r>
      <w:proofErr w:type="spellStart"/>
      <w:r>
        <w:rPr>
          <w:rFonts w:ascii="Times New Roman" w:hAnsi="Times New Roman" w:cs="Times New Roman"/>
          <w:sz w:val="22"/>
          <w:szCs w:val="22"/>
          <w:lang w:val="es-UY"/>
        </w:rPr>
        <w:t>the</w:t>
      </w:r>
      <w:proofErr w:type="spellEnd"/>
      <w:r>
        <w:rPr>
          <w:rFonts w:ascii="Times New Roman" w:hAnsi="Times New Roman" w:cs="Times New Roman"/>
          <w:sz w:val="22"/>
          <w:szCs w:val="22"/>
          <w:lang w:val="es-UY"/>
        </w:rPr>
        <w:t xml:space="preserve"> </w:t>
      </w:r>
      <w:proofErr w:type="spellStart"/>
      <w:r>
        <w:rPr>
          <w:rFonts w:ascii="Times New Roman" w:hAnsi="Times New Roman" w:cs="Times New Roman"/>
          <w:sz w:val="22"/>
          <w:szCs w:val="22"/>
          <w:lang w:val="es-UY"/>
        </w:rPr>
        <w:t>persons</w:t>
      </w:r>
      <w:proofErr w:type="spellEnd"/>
      <w:r>
        <w:rPr>
          <w:rFonts w:ascii="Times New Roman" w:hAnsi="Times New Roman" w:cs="Times New Roman"/>
          <w:sz w:val="22"/>
          <w:szCs w:val="22"/>
          <w:lang w:val="es-UY"/>
        </w:rPr>
        <w:t xml:space="preserve"> do </w:t>
      </w:r>
      <w:proofErr w:type="spellStart"/>
      <w:r>
        <w:rPr>
          <w:rFonts w:ascii="Times New Roman" w:hAnsi="Times New Roman" w:cs="Times New Roman"/>
          <w:sz w:val="22"/>
          <w:szCs w:val="22"/>
          <w:lang w:val="es-UY"/>
        </w:rPr>
        <w:t>not</w:t>
      </w:r>
      <w:proofErr w:type="spellEnd"/>
      <w:r>
        <w:rPr>
          <w:rFonts w:ascii="Times New Roman" w:hAnsi="Times New Roman" w:cs="Times New Roman"/>
          <w:sz w:val="22"/>
          <w:szCs w:val="22"/>
          <w:lang w:val="es-UY"/>
        </w:rPr>
        <w:t xml:space="preserve"> </w:t>
      </w:r>
      <w:proofErr w:type="spellStart"/>
      <w:r>
        <w:rPr>
          <w:rFonts w:ascii="Times New Roman" w:hAnsi="Times New Roman" w:cs="Times New Roman"/>
          <w:sz w:val="22"/>
          <w:szCs w:val="22"/>
          <w:lang w:val="es-UY"/>
        </w:rPr>
        <w:t>have</w:t>
      </w:r>
      <w:proofErr w:type="spellEnd"/>
      <w:r>
        <w:rPr>
          <w:rFonts w:ascii="Times New Roman" w:hAnsi="Times New Roman" w:cs="Times New Roman"/>
          <w:sz w:val="22"/>
          <w:szCs w:val="22"/>
          <w:lang w:val="es-UY"/>
        </w:rPr>
        <w:t xml:space="preserve"> </w:t>
      </w:r>
      <w:proofErr w:type="spellStart"/>
      <w:r>
        <w:rPr>
          <w:rFonts w:ascii="Times New Roman" w:hAnsi="Times New Roman" w:cs="Times New Roman"/>
          <w:sz w:val="22"/>
          <w:szCs w:val="22"/>
          <w:lang w:val="es-UY"/>
        </w:rPr>
        <w:t>decision-making</w:t>
      </w:r>
      <w:proofErr w:type="spellEnd"/>
      <w:r>
        <w:rPr>
          <w:rFonts w:ascii="Times New Roman" w:hAnsi="Times New Roman" w:cs="Times New Roman"/>
          <w:sz w:val="22"/>
          <w:szCs w:val="22"/>
          <w:lang w:val="es-UY"/>
        </w:rPr>
        <w:t xml:space="preserve"> </w:t>
      </w:r>
      <w:proofErr w:type="spellStart"/>
      <w:r>
        <w:rPr>
          <w:rFonts w:ascii="Times New Roman" w:hAnsi="Times New Roman" w:cs="Times New Roman"/>
          <w:sz w:val="22"/>
          <w:szCs w:val="22"/>
          <w:lang w:val="es-UY"/>
        </w:rPr>
        <w:t>power</w:t>
      </w:r>
      <w:proofErr w:type="spellEnd"/>
      <w:r>
        <w:rPr>
          <w:rFonts w:ascii="Times New Roman" w:hAnsi="Times New Roman" w:cs="Times New Roman"/>
          <w:sz w:val="22"/>
          <w:szCs w:val="22"/>
          <w:lang w:val="es-UY"/>
        </w:rPr>
        <w:t xml:space="preserve"> in </w:t>
      </w:r>
      <w:proofErr w:type="spellStart"/>
      <w:r>
        <w:rPr>
          <w:rFonts w:ascii="Times New Roman" w:hAnsi="Times New Roman" w:cs="Times New Roman"/>
          <w:sz w:val="22"/>
          <w:szCs w:val="22"/>
          <w:lang w:val="es-UY"/>
        </w:rPr>
        <w:t>the</w:t>
      </w:r>
      <w:proofErr w:type="spellEnd"/>
      <w:r>
        <w:rPr>
          <w:rFonts w:ascii="Times New Roman" w:hAnsi="Times New Roman" w:cs="Times New Roman"/>
          <w:sz w:val="22"/>
          <w:szCs w:val="22"/>
          <w:lang w:val="es-UY"/>
        </w:rPr>
        <w:t xml:space="preserve"> </w:t>
      </w:r>
      <w:proofErr w:type="spellStart"/>
      <w:r>
        <w:rPr>
          <w:rFonts w:ascii="Times New Roman" w:hAnsi="Times New Roman" w:cs="Times New Roman"/>
          <w:sz w:val="22"/>
          <w:szCs w:val="22"/>
          <w:lang w:val="es-UY"/>
        </w:rPr>
        <w:t>acquisition</w:t>
      </w:r>
      <w:proofErr w:type="spellEnd"/>
      <w:r>
        <w:rPr>
          <w:rFonts w:ascii="Times New Roman" w:hAnsi="Times New Roman" w:cs="Times New Roman"/>
          <w:sz w:val="22"/>
          <w:szCs w:val="22"/>
          <w:lang w:val="es-UY"/>
        </w:rPr>
        <w:t xml:space="preserve"> </w:t>
      </w:r>
      <w:proofErr w:type="spellStart"/>
      <w:r>
        <w:rPr>
          <w:rFonts w:ascii="Times New Roman" w:hAnsi="Times New Roman" w:cs="Times New Roman"/>
          <w:sz w:val="22"/>
          <w:szCs w:val="22"/>
          <w:lang w:val="es-UY"/>
        </w:rPr>
        <w:t>process</w:t>
      </w:r>
      <w:proofErr w:type="spellEnd"/>
      <w:r>
        <w:rPr>
          <w:rFonts w:ascii="Times New Roman" w:hAnsi="Times New Roman" w:cs="Times New Roman"/>
          <w:sz w:val="22"/>
          <w:szCs w:val="22"/>
          <w:lang w:val="es-UY"/>
        </w:rPr>
        <w:t xml:space="preserve">, </w:t>
      </w:r>
      <w:proofErr w:type="spellStart"/>
      <w:r>
        <w:rPr>
          <w:rFonts w:ascii="Times New Roman" w:hAnsi="Times New Roman" w:cs="Times New Roman"/>
          <w:sz w:val="22"/>
          <w:szCs w:val="22"/>
          <w:lang w:val="es-UY"/>
        </w:rPr>
        <w:t>which</w:t>
      </w:r>
      <w:proofErr w:type="spellEnd"/>
      <w:r>
        <w:rPr>
          <w:rFonts w:ascii="Times New Roman" w:hAnsi="Times New Roman" w:cs="Times New Roman"/>
          <w:sz w:val="22"/>
          <w:szCs w:val="22"/>
          <w:lang w:val="es-UY"/>
        </w:rPr>
        <w:t xml:space="preserve"> </w:t>
      </w:r>
      <w:proofErr w:type="spellStart"/>
      <w:r>
        <w:rPr>
          <w:rFonts w:ascii="Times New Roman" w:hAnsi="Times New Roman" w:cs="Times New Roman"/>
          <w:sz w:val="22"/>
          <w:szCs w:val="22"/>
          <w:lang w:val="es-UY"/>
        </w:rPr>
        <w:t>must</w:t>
      </w:r>
      <w:proofErr w:type="spellEnd"/>
      <w:r>
        <w:rPr>
          <w:rFonts w:ascii="Times New Roman" w:hAnsi="Times New Roman" w:cs="Times New Roman"/>
          <w:sz w:val="22"/>
          <w:szCs w:val="22"/>
          <w:lang w:val="es-UY"/>
        </w:rPr>
        <w:t xml:space="preserve"> be </w:t>
      </w:r>
      <w:proofErr w:type="spellStart"/>
      <w:r>
        <w:rPr>
          <w:rFonts w:ascii="Times New Roman" w:hAnsi="Times New Roman" w:cs="Times New Roman"/>
          <w:sz w:val="22"/>
          <w:szCs w:val="22"/>
          <w:lang w:val="es-UY"/>
        </w:rPr>
        <w:t>expressly</w:t>
      </w:r>
      <w:proofErr w:type="spellEnd"/>
      <w:r>
        <w:rPr>
          <w:rFonts w:ascii="Times New Roman" w:hAnsi="Times New Roman" w:cs="Times New Roman"/>
          <w:sz w:val="22"/>
          <w:szCs w:val="22"/>
          <w:lang w:val="es-UY"/>
        </w:rPr>
        <w:t xml:space="preserve"> </w:t>
      </w:r>
      <w:proofErr w:type="spellStart"/>
      <w:r>
        <w:rPr>
          <w:rFonts w:ascii="Times New Roman" w:hAnsi="Times New Roman" w:cs="Times New Roman"/>
          <w:sz w:val="22"/>
          <w:szCs w:val="22"/>
          <w:lang w:val="es-UY"/>
        </w:rPr>
        <w:t>stated</w:t>
      </w:r>
      <w:proofErr w:type="spellEnd"/>
      <w:r>
        <w:rPr>
          <w:rFonts w:ascii="Times New Roman" w:hAnsi="Times New Roman" w:cs="Times New Roman"/>
          <w:sz w:val="22"/>
          <w:szCs w:val="22"/>
          <w:lang w:val="es-UY"/>
        </w:rPr>
        <w:t xml:space="preserve"> in </w:t>
      </w:r>
      <w:proofErr w:type="spellStart"/>
      <w:r>
        <w:rPr>
          <w:rFonts w:ascii="Times New Roman" w:hAnsi="Times New Roman" w:cs="Times New Roman"/>
          <w:sz w:val="22"/>
          <w:szCs w:val="22"/>
          <w:lang w:val="es-UY"/>
        </w:rPr>
        <w:t>the</w:t>
      </w:r>
      <w:proofErr w:type="spellEnd"/>
      <w:r>
        <w:rPr>
          <w:rFonts w:ascii="Times New Roman" w:hAnsi="Times New Roman" w:cs="Times New Roman"/>
          <w:sz w:val="22"/>
          <w:szCs w:val="22"/>
          <w:lang w:val="es-UY"/>
        </w:rPr>
        <w:t xml:space="preserve"> file </w:t>
      </w:r>
      <w:proofErr w:type="spellStart"/>
      <w:r>
        <w:rPr>
          <w:rFonts w:ascii="Times New Roman" w:hAnsi="Times New Roman" w:cs="Times New Roman"/>
          <w:sz w:val="22"/>
          <w:szCs w:val="22"/>
          <w:lang w:val="es-UY"/>
        </w:rPr>
        <w:t>by</w:t>
      </w:r>
      <w:proofErr w:type="spellEnd"/>
      <w:r>
        <w:rPr>
          <w:rFonts w:ascii="Times New Roman" w:hAnsi="Times New Roman" w:cs="Times New Roman"/>
          <w:sz w:val="22"/>
          <w:szCs w:val="22"/>
          <w:lang w:val="es-UY"/>
        </w:rPr>
        <w:t xml:space="preserve"> </w:t>
      </w:r>
      <w:proofErr w:type="spellStart"/>
      <w:r>
        <w:rPr>
          <w:rFonts w:ascii="Times New Roman" w:hAnsi="Times New Roman" w:cs="Times New Roman"/>
          <w:sz w:val="22"/>
          <w:szCs w:val="22"/>
          <w:lang w:val="es-UY"/>
        </w:rPr>
        <w:t>means</w:t>
      </w:r>
      <w:proofErr w:type="spellEnd"/>
      <w:r>
        <w:rPr>
          <w:rFonts w:ascii="Times New Roman" w:hAnsi="Times New Roman" w:cs="Times New Roman"/>
          <w:sz w:val="22"/>
          <w:szCs w:val="22"/>
          <w:lang w:val="es-UY"/>
        </w:rPr>
        <w:t xml:space="preserve"> </w:t>
      </w:r>
      <w:proofErr w:type="spellStart"/>
      <w:r>
        <w:rPr>
          <w:rFonts w:ascii="Times New Roman" w:hAnsi="Times New Roman" w:cs="Times New Roman"/>
          <w:sz w:val="22"/>
          <w:szCs w:val="22"/>
          <w:lang w:val="es-UY"/>
        </w:rPr>
        <w:t>of</w:t>
      </w:r>
      <w:proofErr w:type="spellEnd"/>
      <w:r>
        <w:rPr>
          <w:rFonts w:ascii="Times New Roman" w:hAnsi="Times New Roman" w:cs="Times New Roman"/>
          <w:sz w:val="22"/>
          <w:szCs w:val="22"/>
          <w:lang w:val="es-UY"/>
        </w:rPr>
        <w:t xml:space="preserve"> a </w:t>
      </w:r>
      <w:proofErr w:type="spellStart"/>
      <w:r>
        <w:rPr>
          <w:rFonts w:ascii="Times New Roman" w:hAnsi="Times New Roman" w:cs="Times New Roman"/>
          <w:sz w:val="22"/>
          <w:szCs w:val="22"/>
          <w:lang w:val="es-UY"/>
        </w:rPr>
        <w:t>sworn</w:t>
      </w:r>
      <w:proofErr w:type="spellEnd"/>
      <w:r>
        <w:rPr>
          <w:rFonts w:ascii="Times New Roman" w:hAnsi="Times New Roman" w:cs="Times New Roman"/>
          <w:sz w:val="22"/>
          <w:szCs w:val="22"/>
          <w:lang w:val="es-UY"/>
        </w:rPr>
        <w:t xml:space="preserve"> </w:t>
      </w:r>
      <w:proofErr w:type="spellStart"/>
      <w:r>
        <w:rPr>
          <w:rFonts w:ascii="Times New Roman" w:hAnsi="Times New Roman" w:cs="Times New Roman"/>
          <w:sz w:val="22"/>
          <w:szCs w:val="22"/>
          <w:lang w:val="es-UY"/>
        </w:rPr>
        <w:t>declaration</w:t>
      </w:r>
      <w:proofErr w:type="spellEnd"/>
      <w:r>
        <w:rPr>
          <w:rFonts w:ascii="Times New Roman" w:hAnsi="Times New Roman" w:cs="Times New Roman"/>
          <w:sz w:val="22"/>
          <w:szCs w:val="22"/>
          <w:lang w:val="es-UY"/>
        </w:rPr>
        <w:t xml:space="preserve">, </w:t>
      </w:r>
      <w:proofErr w:type="spellStart"/>
      <w:r>
        <w:rPr>
          <w:rFonts w:ascii="Times New Roman" w:hAnsi="Times New Roman" w:cs="Times New Roman"/>
          <w:sz w:val="22"/>
          <w:szCs w:val="22"/>
          <w:lang w:val="es-UY"/>
        </w:rPr>
        <w:t>subject</w:t>
      </w:r>
      <w:proofErr w:type="spellEnd"/>
      <w:r>
        <w:rPr>
          <w:rFonts w:ascii="Times New Roman" w:hAnsi="Times New Roman" w:cs="Times New Roman"/>
          <w:sz w:val="22"/>
          <w:szCs w:val="22"/>
          <w:lang w:val="es-UY"/>
        </w:rPr>
        <w:t xml:space="preserve"> </w:t>
      </w:r>
      <w:proofErr w:type="spellStart"/>
      <w:r>
        <w:rPr>
          <w:rFonts w:ascii="Times New Roman" w:hAnsi="Times New Roman" w:cs="Times New Roman"/>
          <w:sz w:val="22"/>
          <w:szCs w:val="22"/>
          <w:lang w:val="es-UY"/>
        </w:rPr>
        <w:t>to</w:t>
      </w:r>
      <w:proofErr w:type="spellEnd"/>
      <w:r>
        <w:rPr>
          <w:rFonts w:ascii="Times New Roman" w:hAnsi="Times New Roman" w:cs="Times New Roman"/>
          <w:sz w:val="22"/>
          <w:szCs w:val="22"/>
          <w:lang w:val="es-UY"/>
        </w:rPr>
        <w:t xml:space="preserve"> </w:t>
      </w:r>
      <w:proofErr w:type="spellStart"/>
      <w:r>
        <w:rPr>
          <w:rFonts w:ascii="Times New Roman" w:hAnsi="Times New Roman" w:cs="Times New Roman"/>
          <w:sz w:val="22"/>
          <w:szCs w:val="22"/>
          <w:lang w:val="es-UY"/>
        </w:rPr>
        <w:t>the</w:t>
      </w:r>
      <w:proofErr w:type="spellEnd"/>
      <w:r>
        <w:rPr>
          <w:rFonts w:ascii="Times New Roman" w:hAnsi="Times New Roman" w:cs="Times New Roman"/>
          <w:sz w:val="22"/>
          <w:szCs w:val="22"/>
          <w:lang w:val="es-UY"/>
        </w:rPr>
        <w:t xml:space="preserve"> </w:t>
      </w:r>
      <w:proofErr w:type="spellStart"/>
      <w:r>
        <w:rPr>
          <w:rFonts w:ascii="Times New Roman" w:hAnsi="Times New Roman" w:cs="Times New Roman"/>
          <w:sz w:val="22"/>
          <w:szCs w:val="22"/>
          <w:lang w:val="es-UY"/>
        </w:rPr>
        <w:t>penalty</w:t>
      </w:r>
      <w:proofErr w:type="spellEnd"/>
      <w:r>
        <w:rPr>
          <w:rFonts w:ascii="Times New Roman" w:hAnsi="Times New Roman" w:cs="Times New Roman"/>
          <w:sz w:val="22"/>
          <w:szCs w:val="22"/>
          <w:lang w:val="es-UY"/>
        </w:rPr>
        <w:t xml:space="preserve"> </w:t>
      </w:r>
      <w:proofErr w:type="spellStart"/>
      <w:r>
        <w:rPr>
          <w:rFonts w:ascii="Times New Roman" w:hAnsi="Times New Roman" w:cs="Times New Roman"/>
          <w:sz w:val="22"/>
          <w:szCs w:val="22"/>
          <w:lang w:val="es-UY"/>
        </w:rPr>
        <w:t>provided</w:t>
      </w:r>
      <w:proofErr w:type="spellEnd"/>
      <w:r>
        <w:rPr>
          <w:rFonts w:ascii="Times New Roman" w:hAnsi="Times New Roman" w:cs="Times New Roman"/>
          <w:sz w:val="22"/>
          <w:szCs w:val="22"/>
          <w:lang w:val="es-UY"/>
        </w:rPr>
        <w:t xml:space="preserve"> </w:t>
      </w:r>
      <w:proofErr w:type="spellStart"/>
      <w:r>
        <w:rPr>
          <w:rFonts w:ascii="Times New Roman" w:hAnsi="Times New Roman" w:cs="Times New Roman"/>
          <w:sz w:val="22"/>
          <w:szCs w:val="22"/>
          <w:lang w:val="es-UY"/>
        </w:rPr>
        <w:t>for</w:t>
      </w:r>
      <w:proofErr w:type="spellEnd"/>
      <w:r>
        <w:rPr>
          <w:rFonts w:ascii="Times New Roman" w:hAnsi="Times New Roman" w:cs="Times New Roman"/>
          <w:sz w:val="22"/>
          <w:szCs w:val="22"/>
          <w:lang w:val="es-UY"/>
        </w:rPr>
        <w:t xml:space="preserve"> in </w:t>
      </w:r>
      <w:proofErr w:type="spellStart"/>
      <w:r>
        <w:rPr>
          <w:rFonts w:ascii="Times New Roman" w:hAnsi="Times New Roman" w:cs="Times New Roman"/>
          <w:sz w:val="22"/>
          <w:szCs w:val="22"/>
          <w:lang w:val="es-UY"/>
        </w:rPr>
        <w:t>article</w:t>
      </w:r>
      <w:proofErr w:type="spellEnd"/>
      <w:r>
        <w:rPr>
          <w:rFonts w:ascii="Times New Roman" w:hAnsi="Times New Roman" w:cs="Times New Roman"/>
          <w:sz w:val="22"/>
          <w:szCs w:val="22"/>
          <w:lang w:val="es-UY"/>
        </w:rPr>
        <w:t xml:space="preserve"> 239 </w:t>
      </w:r>
      <w:proofErr w:type="spellStart"/>
      <w:r>
        <w:rPr>
          <w:rFonts w:ascii="Times New Roman" w:hAnsi="Times New Roman" w:cs="Times New Roman"/>
          <w:sz w:val="22"/>
          <w:szCs w:val="22"/>
          <w:lang w:val="es-UY"/>
        </w:rPr>
        <w:t>of</w:t>
      </w:r>
      <w:proofErr w:type="spellEnd"/>
      <w:r>
        <w:rPr>
          <w:rFonts w:ascii="Times New Roman" w:hAnsi="Times New Roman" w:cs="Times New Roman"/>
          <w:sz w:val="22"/>
          <w:szCs w:val="22"/>
          <w:lang w:val="es-UY"/>
        </w:rPr>
        <w:t xml:space="preserve"> </w:t>
      </w:r>
      <w:proofErr w:type="spellStart"/>
      <w:r>
        <w:rPr>
          <w:rFonts w:ascii="Times New Roman" w:hAnsi="Times New Roman" w:cs="Times New Roman"/>
          <w:sz w:val="22"/>
          <w:szCs w:val="22"/>
          <w:lang w:val="es-UY"/>
        </w:rPr>
        <w:t>the</w:t>
      </w:r>
      <w:proofErr w:type="spellEnd"/>
      <w:r>
        <w:rPr>
          <w:rFonts w:ascii="Times New Roman" w:hAnsi="Times New Roman" w:cs="Times New Roman"/>
          <w:sz w:val="22"/>
          <w:szCs w:val="22"/>
          <w:lang w:val="es-UY"/>
        </w:rPr>
        <w:t xml:space="preserve"> Penal Code.</w:t>
      </w:r>
    </w:p>
    <w:p w14:paraId="604140CA" w14:textId="77777777" w:rsidR="00E255F4" w:rsidRDefault="00E255F4">
      <w:pPr>
        <w:pStyle w:val="Default"/>
        <w:jc w:val="both"/>
        <w:rPr>
          <w:rFonts w:ascii="Times New Roman" w:hAnsi="Times New Roman" w:cs="Times New Roman"/>
          <w:sz w:val="22"/>
          <w:szCs w:val="22"/>
          <w:lang w:val="es-UY"/>
        </w:rPr>
      </w:pPr>
    </w:p>
    <w:p w14:paraId="425F6DFC" w14:textId="77777777" w:rsidR="00E255F4" w:rsidRDefault="00000000">
      <w:pPr>
        <w:pStyle w:val="Default"/>
        <w:jc w:val="both"/>
        <w:rPr>
          <w:rFonts w:ascii="Times New Roman" w:hAnsi="Times New Roman" w:cs="Times New Roman"/>
          <w:sz w:val="22"/>
          <w:szCs w:val="22"/>
          <w:lang w:val="es-UY"/>
        </w:rPr>
      </w:pPr>
      <w:r>
        <w:rPr>
          <w:rFonts w:ascii="Times New Roman" w:hAnsi="Times New Roman" w:cs="Times New Roman"/>
          <w:sz w:val="22"/>
          <w:szCs w:val="22"/>
          <w:lang w:val="es-UY"/>
        </w:rPr>
        <w:t xml:space="preserve">2) </w:t>
      </w:r>
      <w:proofErr w:type="spellStart"/>
      <w:r>
        <w:rPr>
          <w:rFonts w:ascii="Times New Roman" w:hAnsi="Times New Roman" w:cs="Times New Roman"/>
          <w:sz w:val="22"/>
          <w:szCs w:val="22"/>
          <w:lang w:val="es-UY"/>
        </w:rPr>
        <w:t>Being</w:t>
      </w:r>
      <w:proofErr w:type="spellEnd"/>
      <w:r>
        <w:rPr>
          <w:rFonts w:ascii="Times New Roman" w:hAnsi="Times New Roman" w:cs="Times New Roman"/>
          <w:sz w:val="22"/>
          <w:szCs w:val="22"/>
          <w:lang w:val="es-UY"/>
        </w:rPr>
        <w:t xml:space="preserve"> suspended </w:t>
      </w:r>
      <w:proofErr w:type="spellStart"/>
      <w:r>
        <w:rPr>
          <w:rFonts w:ascii="Times New Roman" w:hAnsi="Times New Roman" w:cs="Times New Roman"/>
          <w:sz w:val="22"/>
          <w:szCs w:val="22"/>
          <w:lang w:val="es-UY"/>
        </w:rPr>
        <w:t>or</w:t>
      </w:r>
      <w:proofErr w:type="spellEnd"/>
      <w:r>
        <w:rPr>
          <w:rFonts w:ascii="Times New Roman" w:hAnsi="Times New Roman" w:cs="Times New Roman"/>
          <w:sz w:val="22"/>
          <w:szCs w:val="22"/>
          <w:lang w:val="es-UY"/>
        </w:rPr>
        <w:t xml:space="preserve"> removed </w:t>
      </w:r>
      <w:proofErr w:type="spellStart"/>
      <w:r>
        <w:rPr>
          <w:rFonts w:ascii="Times New Roman" w:hAnsi="Times New Roman" w:cs="Times New Roman"/>
          <w:sz w:val="22"/>
          <w:szCs w:val="22"/>
          <w:lang w:val="es-UY"/>
        </w:rPr>
        <w:t>from</w:t>
      </w:r>
      <w:proofErr w:type="spellEnd"/>
      <w:r>
        <w:rPr>
          <w:rFonts w:ascii="Times New Roman" w:hAnsi="Times New Roman" w:cs="Times New Roman"/>
          <w:sz w:val="22"/>
          <w:szCs w:val="22"/>
          <w:lang w:val="es-UY"/>
        </w:rPr>
        <w:t xml:space="preserve"> </w:t>
      </w:r>
      <w:proofErr w:type="spellStart"/>
      <w:r>
        <w:rPr>
          <w:rFonts w:ascii="Times New Roman" w:hAnsi="Times New Roman" w:cs="Times New Roman"/>
          <w:sz w:val="22"/>
          <w:szCs w:val="22"/>
          <w:lang w:val="es-UY"/>
        </w:rPr>
        <w:t>the</w:t>
      </w:r>
      <w:proofErr w:type="spellEnd"/>
      <w:r>
        <w:rPr>
          <w:rFonts w:ascii="Times New Roman" w:hAnsi="Times New Roman" w:cs="Times New Roman"/>
          <w:sz w:val="22"/>
          <w:szCs w:val="22"/>
          <w:lang w:val="es-UY"/>
        </w:rPr>
        <w:t xml:space="preserve"> </w:t>
      </w:r>
      <w:proofErr w:type="gramStart"/>
      <w:r>
        <w:rPr>
          <w:rFonts w:ascii="Times New Roman" w:hAnsi="Times New Roman" w:cs="Times New Roman"/>
          <w:sz w:val="22"/>
          <w:szCs w:val="22"/>
          <w:lang w:val="es-UY"/>
        </w:rPr>
        <w:t>Single</w:t>
      </w:r>
      <w:proofErr w:type="gramEnd"/>
      <w:r>
        <w:rPr>
          <w:rFonts w:ascii="Times New Roman" w:hAnsi="Times New Roman" w:cs="Times New Roman"/>
          <w:sz w:val="22"/>
          <w:szCs w:val="22"/>
          <w:lang w:val="es-UY"/>
        </w:rPr>
        <w:t xml:space="preserve"> </w:t>
      </w:r>
      <w:proofErr w:type="spellStart"/>
      <w:r>
        <w:rPr>
          <w:rFonts w:ascii="Times New Roman" w:hAnsi="Times New Roman" w:cs="Times New Roman"/>
          <w:sz w:val="22"/>
          <w:szCs w:val="22"/>
          <w:lang w:val="es-UY"/>
        </w:rPr>
        <w:t>Registry</w:t>
      </w:r>
      <w:proofErr w:type="spellEnd"/>
      <w:r>
        <w:rPr>
          <w:rFonts w:ascii="Times New Roman" w:hAnsi="Times New Roman" w:cs="Times New Roman"/>
          <w:sz w:val="22"/>
          <w:szCs w:val="22"/>
          <w:lang w:val="es-UY"/>
        </w:rPr>
        <w:t xml:space="preserve"> </w:t>
      </w:r>
      <w:proofErr w:type="spellStart"/>
      <w:r>
        <w:rPr>
          <w:rFonts w:ascii="Times New Roman" w:hAnsi="Times New Roman" w:cs="Times New Roman"/>
          <w:sz w:val="22"/>
          <w:szCs w:val="22"/>
          <w:lang w:val="es-UY"/>
        </w:rPr>
        <w:t>of</w:t>
      </w:r>
      <w:proofErr w:type="spellEnd"/>
      <w:r>
        <w:rPr>
          <w:rFonts w:ascii="Times New Roman" w:hAnsi="Times New Roman" w:cs="Times New Roman"/>
          <w:sz w:val="22"/>
          <w:szCs w:val="22"/>
          <w:lang w:val="es-UY"/>
        </w:rPr>
        <w:t xml:space="preserve"> State </w:t>
      </w:r>
      <w:proofErr w:type="spellStart"/>
      <w:r>
        <w:rPr>
          <w:rFonts w:ascii="Times New Roman" w:hAnsi="Times New Roman" w:cs="Times New Roman"/>
          <w:sz w:val="22"/>
          <w:szCs w:val="22"/>
          <w:lang w:val="es-UY"/>
        </w:rPr>
        <w:t>Suppliers</w:t>
      </w:r>
      <w:proofErr w:type="spellEnd"/>
      <w:r>
        <w:rPr>
          <w:rFonts w:ascii="Times New Roman" w:hAnsi="Times New Roman" w:cs="Times New Roman"/>
          <w:sz w:val="22"/>
          <w:szCs w:val="22"/>
          <w:lang w:val="es-UY"/>
        </w:rPr>
        <w:t>.</w:t>
      </w:r>
    </w:p>
    <w:p w14:paraId="620B25E6" w14:textId="77777777" w:rsidR="00E255F4" w:rsidRDefault="00E255F4">
      <w:pPr>
        <w:pStyle w:val="Default"/>
        <w:jc w:val="both"/>
        <w:rPr>
          <w:rFonts w:ascii="Times New Roman" w:hAnsi="Times New Roman" w:cs="Times New Roman"/>
          <w:sz w:val="22"/>
          <w:szCs w:val="22"/>
          <w:lang w:val="es-UY"/>
        </w:rPr>
      </w:pPr>
    </w:p>
    <w:p w14:paraId="60B9E216" w14:textId="77777777" w:rsidR="00E255F4" w:rsidRDefault="00000000">
      <w:pPr>
        <w:pStyle w:val="Default"/>
        <w:jc w:val="both"/>
        <w:rPr>
          <w:rFonts w:ascii="Times New Roman" w:hAnsi="Times New Roman" w:cs="Times New Roman"/>
          <w:sz w:val="22"/>
          <w:szCs w:val="22"/>
          <w:lang w:val="es-UY"/>
        </w:rPr>
      </w:pPr>
      <w:r>
        <w:rPr>
          <w:rFonts w:ascii="Times New Roman" w:hAnsi="Times New Roman" w:cs="Times New Roman"/>
          <w:sz w:val="22"/>
          <w:szCs w:val="22"/>
          <w:lang w:val="es-UY"/>
        </w:rPr>
        <w:t xml:space="preserve">3) Not </w:t>
      </w:r>
      <w:proofErr w:type="spellStart"/>
      <w:r>
        <w:rPr>
          <w:rFonts w:ascii="Times New Roman" w:hAnsi="Times New Roman" w:cs="Times New Roman"/>
          <w:sz w:val="22"/>
          <w:szCs w:val="22"/>
          <w:lang w:val="es-UY"/>
        </w:rPr>
        <w:t>being</w:t>
      </w:r>
      <w:proofErr w:type="spellEnd"/>
      <w:r>
        <w:rPr>
          <w:rFonts w:ascii="Times New Roman" w:hAnsi="Times New Roman" w:cs="Times New Roman"/>
          <w:sz w:val="22"/>
          <w:szCs w:val="22"/>
          <w:lang w:val="es-UY"/>
        </w:rPr>
        <w:t xml:space="preserve"> </w:t>
      </w:r>
      <w:proofErr w:type="spellStart"/>
      <w:r>
        <w:rPr>
          <w:rFonts w:ascii="Times New Roman" w:hAnsi="Times New Roman" w:cs="Times New Roman"/>
          <w:sz w:val="22"/>
          <w:szCs w:val="22"/>
          <w:lang w:val="es-UY"/>
        </w:rPr>
        <w:t>registered</w:t>
      </w:r>
      <w:proofErr w:type="spellEnd"/>
      <w:r>
        <w:rPr>
          <w:rFonts w:ascii="Times New Roman" w:hAnsi="Times New Roman" w:cs="Times New Roman"/>
          <w:sz w:val="22"/>
          <w:szCs w:val="22"/>
          <w:lang w:val="es-UY"/>
        </w:rPr>
        <w:t xml:space="preserve"> in </w:t>
      </w:r>
      <w:proofErr w:type="spellStart"/>
      <w:r>
        <w:rPr>
          <w:rFonts w:ascii="Times New Roman" w:hAnsi="Times New Roman" w:cs="Times New Roman"/>
          <w:sz w:val="22"/>
          <w:szCs w:val="22"/>
          <w:lang w:val="es-UY"/>
        </w:rPr>
        <w:t>the</w:t>
      </w:r>
      <w:proofErr w:type="spellEnd"/>
      <w:r>
        <w:rPr>
          <w:rFonts w:ascii="Times New Roman" w:hAnsi="Times New Roman" w:cs="Times New Roman"/>
          <w:sz w:val="22"/>
          <w:szCs w:val="22"/>
          <w:lang w:val="es-UY"/>
        </w:rPr>
        <w:t xml:space="preserve"> </w:t>
      </w:r>
      <w:proofErr w:type="gramStart"/>
      <w:r>
        <w:rPr>
          <w:rFonts w:ascii="Times New Roman" w:hAnsi="Times New Roman" w:cs="Times New Roman"/>
          <w:sz w:val="22"/>
          <w:szCs w:val="22"/>
          <w:lang w:val="es-UY"/>
        </w:rPr>
        <w:t>Single</w:t>
      </w:r>
      <w:proofErr w:type="gramEnd"/>
      <w:r>
        <w:rPr>
          <w:rFonts w:ascii="Times New Roman" w:hAnsi="Times New Roman" w:cs="Times New Roman"/>
          <w:sz w:val="22"/>
          <w:szCs w:val="22"/>
          <w:lang w:val="es-UY"/>
        </w:rPr>
        <w:t xml:space="preserve"> </w:t>
      </w:r>
      <w:proofErr w:type="spellStart"/>
      <w:r>
        <w:rPr>
          <w:rFonts w:ascii="Times New Roman" w:hAnsi="Times New Roman" w:cs="Times New Roman"/>
          <w:sz w:val="22"/>
          <w:szCs w:val="22"/>
          <w:lang w:val="es-UY"/>
        </w:rPr>
        <w:t>Registry</w:t>
      </w:r>
      <w:proofErr w:type="spellEnd"/>
      <w:r>
        <w:rPr>
          <w:rFonts w:ascii="Times New Roman" w:hAnsi="Times New Roman" w:cs="Times New Roman"/>
          <w:sz w:val="22"/>
          <w:szCs w:val="22"/>
          <w:lang w:val="es-UY"/>
        </w:rPr>
        <w:t xml:space="preserve"> </w:t>
      </w:r>
      <w:proofErr w:type="spellStart"/>
      <w:r>
        <w:rPr>
          <w:rFonts w:ascii="Times New Roman" w:hAnsi="Times New Roman" w:cs="Times New Roman"/>
          <w:sz w:val="22"/>
          <w:szCs w:val="22"/>
          <w:lang w:val="es-UY"/>
        </w:rPr>
        <w:t>of</w:t>
      </w:r>
      <w:proofErr w:type="spellEnd"/>
      <w:r>
        <w:rPr>
          <w:rFonts w:ascii="Times New Roman" w:hAnsi="Times New Roman" w:cs="Times New Roman"/>
          <w:sz w:val="22"/>
          <w:szCs w:val="22"/>
          <w:lang w:val="es-UY"/>
        </w:rPr>
        <w:t xml:space="preserve"> State </w:t>
      </w:r>
      <w:proofErr w:type="spellStart"/>
      <w:r>
        <w:rPr>
          <w:rFonts w:ascii="Times New Roman" w:hAnsi="Times New Roman" w:cs="Times New Roman"/>
          <w:sz w:val="22"/>
          <w:szCs w:val="22"/>
          <w:lang w:val="es-UY"/>
        </w:rPr>
        <w:t>Suppliers</w:t>
      </w:r>
      <w:proofErr w:type="spellEnd"/>
      <w:r>
        <w:rPr>
          <w:rFonts w:ascii="Times New Roman" w:hAnsi="Times New Roman" w:cs="Times New Roman"/>
          <w:sz w:val="22"/>
          <w:szCs w:val="22"/>
          <w:lang w:val="es-UY"/>
        </w:rPr>
        <w:t xml:space="preserve"> in </w:t>
      </w:r>
      <w:proofErr w:type="spellStart"/>
      <w:r>
        <w:rPr>
          <w:rFonts w:ascii="Times New Roman" w:hAnsi="Times New Roman" w:cs="Times New Roman"/>
          <w:sz w:val="22"/>
          <w:szCs w:val="22"/>
          <w:lang w:val="es-UY"/>
        </w:rPr>
        <w:t>accordance</w:t>
      </w:r>
      <w:proofErr w:type="spellEnd"/>
      <w:r>
        <w:rPr>
          <w:rFonts w:ascii="Times New Roman" w:hAnsi="Times New Roman" w:cs="Times New Roman"/>
          <w:sz w:val="22"/>
          <w:szCs w:val="22"/>
          <w:lang w:val="es-UY"/>
        </w:rPr>
        <w:t xml:space="preserve"> </w:t>
      </w:r>
      <w:proofErr w:type="spellStart"/>
      <w:r>
        <w:rPr>
          <w:rFonts w:ascii="Times New Roman" w:hAnsi="Times New Roman" w:cs="Times New Roman"/>
          <w:sz w:val="22"/>
          <w:szCs w:val="22"/>
          <w:lang w:val="es-UY"/>
        </w:rPr>
        <w:t>with</w:t>
      </w:r>
      <w:proofErr w:type="spellEnd"/>
      <w:r>
        <w:rPr>
          <w:rFonts w:ascii="Times New Roman" w:hAnsi="Times New Roman" w:cs="Times New Roman"/>
          <w:sz w:val="22"/>
          <w:szCs w:val="22"/>
          <w:lang w:val="es-UY"/>
        </w:rPr>
        <w:t xml:space="preserve"> </w:t>
      </w:r>
      <w:proofErr w:type="spellStart"/>
      <w:r>
        <w:rPr>
          <w:rFonts w:ascii="Times New Roman" w:hAnsi="Times New Roman" w:cs="Times New Roman"/>
          <w:sz w:val="22"/>
          <w:szCs w:val="22"/>
          <w:lang w:val="es-UY"/>
        </w:rPr>
        <w:t>the</w:t>
      </w:r>
      <w:proofErr w:type="spellEnd"/>
      <w:r>
        <w:rPr>
          <w:rFonts w:ascii="Times New Roman" w:hAnsi="Times New Roman" w:cs="Times New Roman"/>
          <w:sz w:val="22"/>
          <w:szCs w:val="22"/>
          <w:lang w:val="es-UY"/>
        </w:rPr>
        <w:t xml:space="preserve"> </w:t>
      </w:r>
      <w:proofErr w:type="spellStart"/>
      <w:r>
        <w:rPr>
          <w:rFonts w:ascii="Times New Roman" w:hAnsi="Times New Roman" w:cs="Times New Roman"/>
          <w:sz w:val="22"/>
          <w:szCs w:val="22"/>
          <w:lang w:val="es-UY"/>
        </w:rPr>
        <w:t>regulations</w:t>
      </w:r>
      <w:proofErr w:type="spellEnd"/>
      <w:r>
        <w:rPr>
          <w:rFonts w:ascii="Times New Roman" w:hAnsi="Times New Roman" w:cs="Times New Roman"/>
          <w:sz w:val="22"/>
          <w:szCs w:val="22"/>
          <w:lang w:val="es-UY"/>
        </w:rPr>
        <w:t>.</w:t>
      </w:r>
    </w:p>
    <w:p w14:paraId="562357A8" w14:textId="77777777" w:rsidR="00E255F4" w:rsidRDefault="00E255F4">
      <w:pPr>
        <w:pStyle w:val="Default"/>
        <w:jc w:val="both"/>
        <w:rPr>
          <w:rFonts w:ascii="Times New Roman" w:hAnsi="Times New Roman" w:cs="Times New Roman"/>
          <w:sz w:val="22"/>
          <w:szCs w:val="22"/>
          <w:lang w:val="es-UY"/>
        </w:rPr>
      </w:pPr>
    </w:p>
    <w:p w14:paraId="24E6B6ED" w14:textId="77777777" w:rsidR="00E255F4" w:rsidRDefault="00000000">
      <w:pPr>
        <w:jc w:val="both"/>
      </w:pPr>
      <w:r>
        <w:rPr>
          <w:sz w:val="22"/>
          <w:szCs w:val="22"/>
        </w:rPr>
        <w:t xml:space="preserve">4) </w:t>
      </w:r>
      <w:proofErr w:type="spellStart"/>
      <w:r>
        <w:rPr>
          <w:sz w:val="22"/>
          <w:szCs w:val="22"/>
        </w:rPr>
        <w:t>Having</w:t>
      </w:r>
      <w:proofErr w:type="spellEnd"/>
      <w:r>
        <w:rPr>
          <w:sz w:val="22"/>
          <w:szCs w:val="22"/>
        </w:rPr>
        <w:t xml:space="preserve"> </w:t>
      </w:r>
      <w:proofErr w:type="spellStart"/>
      <w:r>
        <w:rPr>
          <w:sz w:val="22"/>
          <w:szCs w:val="22"/>
        </w:rPr>
        <w:t>acted</w:t>
      </w:r>
      <w:proofErr w:type="spellEnd"/>
      <w:r>
        <w:rPr>
          <w:sz w:val="22"/>
          <w:szCs w:val="22"/>
        </w:rPr>
        <w:t xml:space="preserve"> as </w:t>
      </w:r>
      <w:proofErr w:type="spellStart"/>
      <w:r>
        <w:rPr>
          <w:sz w:val="22"/>
          <w:szCs w:val="22"/>
        </w:rPr>
        <w:t>an</w:t>
      </w:r>
      <w:proofErr w:type="spellEnd"/>
      <w:r>
        <w:rPr>
          <w:sz w:val="22"/>
          <w:szCs w:val="22"/>
        </w:rPr>
        <w:t xml:space="preserve"> </w:t>
      </w:r>
      <w:proofErr w:type="spellStart"/>
      <w:r>
        <w:rPr>
          <w:sz w:val="22"/>
          <w:szCs w:val="22"/>
        </w:rPr>
        <w:t>official</w:t>
      </w:r>
      <w:proofErr w:type="spellEnd"/>
      <w:r>
        <w:rPr>
          <w:sz w:val="22"/>
          <w:szCs w:val="22"/>
        </w:rPr>
        <w:t xml:space="preserve"> </w:t>
      </w:r>
      <w:proofErr w:type="spellStart"/>
      <w:r>
        <w:rPr>
          <w:sz w:val="22"/>
          <w:szCs w:val="22"/>
        </w:rPr>
        <w:t>or</w:t>
      </w:r>
      <w:proofErr w:type="spellEnd"/>
      <w:r>
        <w:rPr>
          <w:sz w:val="22"/>
          <w:szCs w:val="22"/>
        </w:rPr>
        <w:t xml:space="preserve"> </w:t>
      </w:r>
      <w:proofErr w:type="spellStart"/>
      <w:r>
        <w:rPr>
          <w:sz w:val="22"/>
          <w:szCs w:val="22"/>
        </w:rPr>
        <w:t>maintained</w:t>
      </w:r>
      <w:proofErr w:type="spellEnd"/>
      <w:r>
        <w:rPr>
          <w:sz w:val="22"/>
          <w:szCs w:val="22"/>
        </w:rPr>
        <w:t xml:space="preserve"> </w:t>
      </w:r>
      <w:proofErr w:type="spellStart"/>
      <w:r>
        <w:rPr>
          <w:sz w:val="22"/>
          <w:szCs w:val="22"/>
        </w:rPr>
        <w:t>any</w:t>
      </w:r>
      <w:proofErr w:type="spellEnd"/>
      <w:r>
        <w:rPr>
          <w:sz w:val="22"/>
          <w:szCs w:val="22"/>
        </w:rPr>
        <w:t xml:space="preserve"> </w:t>
      </w:r>
      <w:proofErr w:type="spellStart"/>
      <w:r>
        <w:rPr>
          <w:sz w:val="22"/>
          <w:szCs w:val="22"/>
        </w:rPr>
        <w:t>employment</w:t>
      </w:r>
      <w:proofErr w:type="spellEnd"/>
      <w:r>
        <w:rPr>
          <w:sz w:val="22"/>
          <w:szCs w:val="22"/>
        </w:rPr>
        <w:t xml:space="preserve"> </w:t>
      </w:r>
      <w:proofErr w:type="spellStart"/>
      <w:r>
        <w:rPr>
          <w:sz w:val="22"/>
          <w:szCs w:val="22"/>
        </w:rPr>
        <w:t>relationship</w:t>
      </w:r>
      <w:proofErr w:type="spellEnd"/>
      <w:r>
        <w:rPr>
          <w:sz w:val="22"/>
          <w:szCs w:val="22"/>
        </w:rPr>
        <w:t xml:space="preserve"> </w:t>
      </w:r>
      <w:proofErr w:type="spellStart"/>
      <w:r>
        <w:rPr>
          <w:sz w:val="22"/>
          <w:szCs w:val="22"/>
        </w:rPr>
        <w:t>of</w:t>
      </w:r>
      <w:proofErr w:type="spellEnd"/>
      <w:r>
        <w:rPr>
          <w:sz w:val="22"/>
          <w:szCs w:val="22"/>
        </w:rPr>
        <w:t xml:space="preserve"> </w:t>
      </w:r>
      <w:proofErr w:type="spellStart"/>
      <w:r>
        <w:rPr>
          <w:sz w:val="22"/>
          <w:szCs w:val="22"/>
        </w:rPr>
        <w:t>any</w:t>
      </w:r>
      <w:proofErr w:type="spellEnd"/>
      <w:r>
        <w:rPr>
          <w:sz w:val="22"/>
          <w:szCs w:val="22"/>
        </w:rPr>
        <w:t xml:space="preserve"> </w:t>
      </w:r>
      <w:proofErr w:type="spellStart"/>
      <w:r>
        <w:rPr>
          <w:sz w:val="22"/>
          <w:szCs w:val="22"/>
        </w:rPr>
        <w:t>nature</w:t>
      </w:r>
      <w:proofErr w:type="spellEnd"/>
      <w:r>
        <w:rPr>
          <w:sz w:val="22"/>
          <w:szCs w:val="22"/>
        </w:rPr>
        <w:t xml:space="preserve">, </w:t>
      </w:r>
      <w:proofErr w:type="spellStart"/>
      <w:r>
        <w:rPr>
          <w:sz w:val="22"/>
          <w:szCs w:val="22"/>
        </w:rPr>
        <w:t>advisor</w:t>
      </w:r>
      <w:proofErr w:type="spellEnd"/>
      <w:r>
        <w:rPr>
          <w:sz w:val="22"/>
          <w:szCs w:val="22"/>
        </w:rPr>
        <w:t xml:space="preserve"> </w:t>
      </w:r>
      <w:proofErr w:type="spellStart"/>
      <w:r>
        <w:rPr>
          <w:sz w:val="22"/>
          <w:szCs w:val="22"/>
        </w:rPr>
        <w:t>or</w:t>
      </w:r>
      <w:proofErr w:type="spellEnd"/>
      <w:r>
        <w:rPr>
          <w:sz w:val="22"/>
          <w:szCs w:val="22"/>
        </w:rPr>
        <w:t xml:space="preserve"> </w:t>
      </w:r>
      <w:proofErr w:type="spellStart"/>
      <w:r>
        <w:rPr>
          <w:sz w:val="22"/>
          <w:szCs w:val="22"/>
        </w:rPr>
        <w:t>consultant</w:t>
      </w:r>
      <w:proofErr w:type="spellEnd"/>
      <w:r>
        <w:rPr>
          <w:sz w:val="22"/>
          <w:szCs w:val="22"/>
        </w:rPr>
        <w:t xml:space="preserve">, in </w:t>
      </w:r>
      <w:proofErr w:type="spellStart"/>
      <w:r>
        <w:rPr>
          <w:sz w:val="22"/>
          <w:szCs w:val="22"/>
        </w:rPr>
        <w:t>the</w:t>
      </w:r>
      <w:proofErr w:type="spellEnd"/>
      <w:r>
        <w:rPr>
          <w:sz w:val="22"/>
          <w:szCs w:val="22"/>
        </w:rPr>
        <w:t xml:space="preserve"> </w:t>
      </w:r>
      <w:proofErr w:type="spellStart"/>
      <w:r>
        <w:rPr>
          <w:sz w:val="22"/>
          <w:szCs w:val="22"/>
        </w:rPr>
        <w:t>advice</w:t>
      </w:r>
      <w:proofErr w:type="spellEnd"/>
      <w:r>
        <w:rPr>
          <w:sz w:val="22"/>
          <w:szCs w:val="22"/>
        </w:rPr>
        <w:t xml:space="preserve"> </w:t>
      </w:r>
      <w:proofErr w:type="spellStart"/>
      <w:r>
        <w:rPr>
          <w:sz w:val="22"/>
          <w:szCs w:val="22"/>
        </w:rPr>
        <w:t>or</w:t>
      </w:r>
      <w:proofErr w:type="spellEnd"/>
      <w:r>
        <w:rPr>
          <w:sz w:val="22"/>
          <w:szCs w:val="22"/>
        </w:rPr>
        <w:t xml:space="preserve"> </w:t>
      </w:r>
      <w:proofErr w:type="spellStart"/>
      <w:r>
        <w:rPr>
          <w:sz w:val="22"/>
          <w:szCs w:val="22"/>
        </w:rPr>
        <w:t>preparation</w:t>
      </w:r>
      <w:proofErr w:type="spellEnd"/>
      <w:r>
        <w:rPr>
          <w:sz w:val="22"/>
          <w:szCs w:val="22"/>
        </w:rPr>
        <w:t xml:space="preserve"> </w:t>
      </w:r>
      <w:proofErr w:type="spellStart"/>
      <w:r>
        <w:rPr>
          <w:sz w:val="22"/>
          <w:szCs w:val="22"/>
        </w:rPr>
        <w:t>of</w:t>
      </w:r>
      <w:proofErr w:type="spellEnd"/>
      <w:r>
        <w:rPr>
          <w:sz w:val="22"/>
          <w:szCs w:val="22"/>
        </w:rPr>
        <w:t xml:space="preserve"> </w:t>
      </w:r>
      <w:proofErr w:type="spellStart"/>
      <w:r>
        <w:rPr>
          <w:sz w:val="22"/>
          <w:szCs w:val="22"/>
        </w:rPr>
        <w:t>specifications</w:t>
      </w:r>
      <w:proofErr w:type="spellEnd"/>
      <w:r>
        <w:rPr>
          <w:sz w:val="22"/>
          <w:szCs w:val="22"/>
        </w:rPr>
        <w:t xml:space="preserve"> and </w:t>
      </w:r>
      <w:proofErr w:type="spellStart"/>
      <w:r>
        <w:rPr>
          <w:sz w:val="22"/>
          <w:szCs w:val="22"/>
        </w:rPr>
        <w:t>conditions</w:t>
      </w:r>
      <w:proofErr w:type="spellEnd"/>
      <w:r>
        <w:rPr>
          <w:sz w:val="22"/>
          <w:szCs w:val="22"/>
        </w:rPr>
        <w:t xml:space="preserve"> </w:t>
      </w:r>
      <w:proofErr w:type="spellStart"/>
      <w:r>
        <w:rPr>
          <w:sz w:val="22"/>
          <w:szCs w:val="22"/>
        </w:rPr>
        <w:t>or</w:t>
      </w:r>
      <w:proofErr w:type="spellEnd"/>
      <w:r>
        <w:rPr>
          <w:sz w:val="22"/>
          <w:szCs w:val="22"/>
        </w:rPr>
        <w:t xml:space="preserve"> </w:t>
      </w:r>
      <w:proofErr w:type="spellStart"/>
      <w:r>
        <w:rPr>
          <w:sz w:val="22"/>
          <w:szCs w:val="22"/>
        </w:rPr>
        <w:t>other</w:t>
      </w:r>
      <w:proofErr w:type="spellEnd"/>
      <w:r>
        <w:rPr>
          <w:sz w:val="22"/>
          <w:szCs w:val="22"/>
        </w:rPr>
        <w:t xml:space="preserve"> </w:t>
      </w:r>
      <w:proofErr w:type="spellStart"/>
      <w:r>
        <w:rPr>
          <w:sz w:val="22"/>
          <w:szCs w:val="22"/>
        </w:rPr>
        <w:t>documents</w:t>
      </w:r>
      <w:proofErr w:type="spellEnd"/>
      <w:r>
        <w:rPr>
          <w:sz w:val="22"/>
          <w:szCs w:val="22"/>
        </w:rPr>
        <w:t xml:space="preserve"> </w:t>
      </w:r>
      <w:proofErr w:type="spellStart"/>
      <w:r>
        <w:rPr>
          <w:sz w:val="22"/>
          <w:szCs w:val="22"/>
        </w:rPr>
        <w:t>related</w:t>
      </w:r>
      <w:proofErr w:type="spellEnd"/>
      <w:r>
        <w:rPr>
          <w:sz w:val="22"/>
          <w:szCs w:val="22"/>
        </w:rPr>
        <w:t xml:space="preserve"> </w:t>
      </w:r>
      <w:proofErr w:type="spellStart"/>
      <w:r>
        <w:rPr>
          <w:sz w:val="22"/>
          <w:szCs w:val="22"/>
        </w:rPr>
        <w:t>to</w:t>
      </w:r>
      <w:proofErr w:type="spellEnd"/>
      <w:r>
        <w:rPr>
          <w:sz w:val="22"/>
          <w:szCs w:val="22"/>
        </w:rPr>
        <w:t xml:space="preserve"> </w:t>
      </w:r>
      <w:proofErr w:type="spellStart"/>
      <w:r>
        <w:rPr>
          <w:sz w:val="22"/>
          <w:szCs w:val="22"/>
        </w:rPr>
        <w:t>the</w:t>
      </w:r>
      <w:proofErr w:type="spellEnd"/>
      <w:r>
        <w:rPr>
          <w:sz w:val="22"/>
          <w:szCs w:val="22"/>
        </w:rPr>
        <w:t xml:space="preserve"> tender </w:t>
      </w:r>
      <w:proofErr w:type="spellStart"/>
      <w:r>
        <w:rPr>
          <w:sz w:val="22"/>
          <w:szCs w:val="22"/>
        </w:rPr>
        <w:t>or</w:t>
      </w:r>
      <w:proofErr w:type="spellEnd"/>
      <w:r>
        <w:rPr>
          <w:sz w:val="22"/>
          <w:szCs w:val="22"/>
        </w:rPr>
        <w:t xml:space="preserve"> administrative </w:t>
      </w:r>
      <w:proofErr w:type="spellStart"/>
      <w:r>
        <w:rPr>
          <w:sz w:val="22"/>
          <w:szCs w:val="22"/>
        </w:rPr>
        <w:t>contracting</w:t>
      </w:r>
      <w:proofErr w:type="spellEnd"/>
      <w:r>
        <w:rPr>
          <w:sz w:val="22"/>
          <w:szCs w:val="22"/>
        </w:rPr>
        <w:t xml:space="preserve"> </w:t>
      </w:r>
      <w:proofErr w:type="spellStart"/>
      <w:r>
        <w:rPr>
          <w:sz w:val="22"/>
          <w:szCs w:val="22"/>
        </w:rPr>
        <w:t>procedure</w:t>
      </w:r>
      <w:proofErr w:type="spellEnd"/>
      <w:r>
        <w:rPr>
          <w:sz w:val="22"/>
          <w:szCs w:val="22"/>
        </w:rPr>
        <w:t xml:space="preserve"> in </w:t>
      </w:r>
      <w:proofErr w:type="spellStart"/>
      <w:r>
        <w:rPr>
          <w:sz w:val="22"/>
          <w:szCs w:val="22"/>
        </w:rPr>
        <w:t>question</w:t>
      </w:r>
      <w:proofErr w:type="spellEnd"/>
      <w:r>
        <w:rPr>
          <w:sz w:val="22"/>
          <w:szCs w:val="22"/>
        </w:rPr>
        <w:t>.</w:t>
      </w:r>
    </w:p>
    <w:p w14:paraId="42047558" w14:textId="77777777" w:rsidR="00E255F4" w:rsidRDefault="00E255F4">
      <w:pPr>
        <w:jc w:val="both"/>
        <w:rPr>
          <w:sz w:val="22"/>
          <w:szCs w:val="22"/>
        </w:rPr>
      </w:pPr>
    </w:p>
    <w:p w14:paraId="4016833E" w14:textId="77777777" w:rsidR="00E255F4" w:rsidRDefault="00000000">
      <w:pPr>
        <w:jc w:val="both"/>
        <w:rPr>
          <w:sz w:val="22"/>
          <w:szCs w:val="22"/>
        </w:rPr>
      </w:pPr>
      <w:r>
        <w:rPr>
          <w:sz w:val="22"/>
          <w:szCs w:val="22"/>
        </w:rPr>
        <w:t xml:space="preserve">5) Lack </w:t>
      </w:r>
      <w:proofErr w:type="spellStart"/>
      <w:r>
        <w:rPr>
          <w:sz w:val="22"/>
          <w:szCs w:val="22"/>
        </w:rPr>
        <w:t>of</w:t>
      </w:r>
      <w:proofErr w:type="spellEnd"/>
      <w:r>
        <w:rPr>
          <w:sz w:val="22"/>
          <w:szCs w:val="22"/>
        </w:rPr>
        <w:t xml:space="preserve"> habitual </w:t>
      </w:r>
      <w:proofErr w:type="spellStart"/>
      <w:r>
        <w:rPr>
          <w:sz w:val="22"/>
          <w:szCs w:val="22"/>
        </w:rPr>
        <w:t>activity</w:t>
      </w:r>
      <w:proofErr w:type="spellEnd"/>
      <w:r>
        <w:rPr>
          <w:sz w:val="22"/>
          <w:szCs w:val="22"/>
        </w:rPr>
        <w:t xml:space="preserve"> in </w:t>
      </w:r>
      <w:proofErr w:type="spellStart"/>
      <w:r>
        <w:rPr>
          <w:sz w:val="22"/>
          <w:szCs w:val="22"/>
        </w:rPr>
        <w:t>the</w:t>
      </w:r>
      <w:proofErr w:type="spellEnd"/>
      <w:r>
        <w:rPr>
          <w:sz w:val="22"/>
          <w:szCs w:val="22"/>
        </w:rPr>
        <w:t xml:space="preserve"> </w:t>
      </w:r>
      <w:proofErr w:type="spellStart"/>
      <w:r>
        <w:rPr>
          <w:sz w:val="22"/>
          <w:szCs w:val="22"/>
        </w:rPr>
        <w:t>trade</w:t>
      </w:r>
      <w:proofErr w:type="spellEnd"/>
      <w:r>
        <w:rPr>
          <w:sz w:val="22"/>
          <w:szCs w:val="22"/>
        </w:rPr>
        <w:t xml:space="preserve"> </w:t>
      </w:r>
      <w:proofErr w:type="spellStart"/>
      <w:r>
        <w:rPr>
          <w:sz w:val="22"/>
          <w:szCs w:val="22"/>
        </w:rPr>
        <w:t>or</w:t>
      </w:r>
      <w:proofErr w:type="spellEnd"/>
      <w:r>
        <w:rPr>
          <w:sz w:val="22"/>
          <w:szCs w:val="22"/>
        </w:rPr>
        <w:t xml:space="preserve"> </w:t>
      </w:r>
      <w:proofErr w:type="spellStart"/>
      <w:r>
        <w:rPr>
          <w:sz w:val="22"/>
          <w:szCs w:val="22"/>
        </w:rPr>
        <w:t>industry</w:t>
      </w:r>
      <w:proofErr w:type="spellEnd"/>
      <w:r>
        <w:rPr>
          <w:sz w:val="22"/>
          <w:szCs w:val="22"/>
        </w:rPr>
        <w:t xml:space="preserve"> </w:t>
      </w:r>
      <w:proofErr w:type="spellStart"/>
      <w:r>
        <w:rPr>
          <w:sz w:val="22"/>
          <w:szCs w:val="22"/>
        </w:rPr>
        <w:t>of</w:t>
      </w:r>
      <w:proofErr w:type="spellEnd"/>
      <w:r>
        <w:rPr>
          <w:sz w:val="22"/>
          <w:szCs w:val="22"/>
        </w:rPr>
        <w:t xml:space="preserve"> </w:t>
      </w:r>
      <w:proofErr w:type="spellStart"/>
      <w:r>
        <w:rPr>
          <w:sz w:val="22"/>
          <w:szCs w:val="22"/>
        </w:rPr>
        <w:t>the</w:t>
      </w:r>
      <w:proofErr w:type="spellEnd"/>
      <w:r>
        <w:rPr>
          <w:sz w:val="22"/>
          <w:szCs w:val="22"/>
        </w:rPr>
        <w:t xml:space="preserve"> </w:t>
      </w:r>
      <w:proofErr w:type="spellStart"/>
      <w:r>
        <w:rPr>
          <w:sz w:val="22"/>
          <w:szCs w:val="22"/>
        </w:rPr>
        <w:t>branch</w:t>
      </w:r>
      <w:proofErr w:type="spellEnd"/>
      <w:r>
        <w:rPr>
          <w:sz w:val="22"/>
          <w:szCs w:val="22"/>
        </w:rPr>
        <w:t xml:space="preserve"> </w:t>
      </w:r>
      <w:proofErr w:type="spellStart"/>
      <w:r>
        <w:rPr>
          <w:sz w:val="22"/>
          <w:szCs w:val="22"/>
        </w:rPr>
        <w:t>to</w:t>
      </w:r>
      <w:proofErr w:type="spellEnd"/>
      <w:r>
        <w:rPr>
          <w:sz w:val="22"/>
          <w:szCs w:val="22"/>
        </w:rPr>
        <w:t xml:space="preserve"> </w:t>
      </w:r>
      <w:proofErr w:type="spellStart"/>
      <w:r>
        <w:rPr>
          <w:sz w:val="22"/>
          <w:szCs w:val="22"/>
        </w:rPr>
        <w:t>which</w:t>
      </w:r>
      <w:proofErr w:type="spellEnd"/>
      <w:r>
        <w:rPr>
          <w:sz w:val="22"/>
          <w:szCs w:val="22"/>
        </w:rPr>
        <w:t xml:space="preserve"> </w:t>
      </w:r>
      <w:proofErr w:type="spellStart"/>
      <w:r>
        <w:rPr>
          <w:sz w:val="22"/>
          <w:szCs w:val="22"/>
        </w:rPr>
        <w:t>the</w:t>
      </w:r>
      <w:proofErr w:type="spellEnd"/>
      <w:r>
        <w:rPr>
          <w:sz w:val="22"/>
          <w:szCs w:val="22"/>
        </w:rPr>
        <w:t xml:space="preserve"> </w:t>
      </w:r>
      <w:proofErr w:type="spellStart"/>
      <w:r>
        <w:rPr>
          <w:sz w:val="22"/>
          <w:szCs w:val="22"/>
        </w:rPr>
        <w:t>contract</w:t>
      </w:r>
      <w:proofErr w:type="spellEnd"/>
      <w:r>
        <w:rPr>
          <w:sz w:val="22"/>
          <w:szCs w:val="22"/>
        </w:rPr>
        <w:t xml:space="preserve"> </w:t>
      </w:r>
      <w:proofErr w:type="spellStart"/>
      <w:r>
        <w:rPr>
          <w:sz w:val="22"/>
          <w:szCs w:val="22"/>
        </w:rPr>
        <w:t>corresponds</w:t>
      </w:r>
      <w:proofErr w:type="spellEnd"/>
      <w:r>
        <w:rPr>
          <w:sz w:val="22"/>
          <w:szCs w:val="22"/>
        </w:rPr>
        <w:t xml:space="preserve">, </w:t>
      </w:r>
      <w:proofErr w:type="spellStart"/>
      <w:r>
        <w:rPr>
          <w:sz w:val="22"/>
          <w:szCs w:val="22"/>
        </w:rPr>
        <w:t>unless</w:t>
      </w:r>
      <w:proofErr w:type="spellEnd"/>
      <w:r>
        <w:rPr>
          <w:sz w:val="22"/>
          <w:szCs w:val="22"/>
        </w:rPr>
        <w:t xml:space="preserve">, in </w:t>
      </w:r>
      <w:proofErr w:type="spellStart"/>
      <w:r>
        <w:rPr>
          <w:sz w:val="22"/>
          <w:szCs w:val="22"/>
        </w:rPr>
        <w:t>the</w:t>
      </w:r>
      <w:proofErr w:type="spellEnd"/>
      <w:r>
        <w:rPr>
          <w:sz w:val="22"/>
          <w:szCs w:val="22"/>
        </w:rPr>
        <w:t xml:space="preserve"> case </w:t>
      </w:r>
      <w:proofErr w:type="spellStart"/>
      <w:r>
        <w:rPr>
          <w:sz w:val="22"/>
          <w:szCs w:val="22"/>
        </w:rPr>
        <w:t>of</w:t>
      </w:r>
      <w:proofErr w:type="spellEnd"/>
      <w:r>
        <w:rPr>
          <w:sz w:val="22"/>
          <w:szCs w:val="22"/>
        </w:rPr>
        <w:t xml:space="preserve"> new </w:t>
      </w:r>
      <w:proofErr w:type="spellStart"/>
      <w:r>
        <w:rPr>
          <w:sz w:val="22"/>
          <w:szCs w:val="22"/>
        </w:rPr>
        <w:t>companies</w:t>
      </w:r>
      <w:proofErr w:type="spellEnd"/>
      <w:r>
        <w:rPr>
          <w:sz w:val="22"/>
          <w:szCs w:val="22"/>
        </w:rPr>
        <w:t xml:space="preserve">, </w:t>
      </w:r>
      <w:proofErr w:type="spellStart"/>
      <w:r>
        <w:rPr>
          <w:sz w:val="22"/>
          <w:szCs w:val="22"/>
        </w:rPr>
        <w:t>they</w:t>
      </w:r>
      <w:proofErr w:type="spellEnd"/>
      <w:r>
        <w:rPr>
          <w:sz w:val="22"/>
          <w:szCs w:val="22"/>
        </w:rPr>
        <w:t xml:space="preserve"> </w:t>
      </w:r>
      <w:proofErr w:type="spellStart"/>
      <w:r>
        <w:rPr>
          <w:sz w:val="22"/>
          <w:szCs w:val="22"/>
        </w:rPr>
        <w:t>demonstrate</w:t>
      </w:r>
      <w:proofErr w:type="spellEnd"/>
      <w:r>
        <w:rPr>
          <w:sz w:val="22"/>
          <w:szCs w:val="22"/>
        </w:rPr>
        <w:t xml:space="preserve"> </w:t>
      </w:r>
      <w:proofErr w:type="spellStart"/>
      <w:r>
        <w:rPr>
          <w:sz w:val="22"/>
          <w:szCs w:val="22"/>
        </w:rPr>
        <w:t>solvency</w:t>
      </w:r>
      <w:proofErr w:type="spellEnd"/>
      <w:r>
        <w:rPr>
          <w:sz w:val="22"/>
          <w:szCs w:val="22"/>
        </w:rPr>
        <w:t xml:space="preserve"> and </w:t>
      </w:r>
      <w:proofErr w:type="spellStart"/>
      <w:r>
        <w:rPr>
          <w:sz w:val="22"/>
          <w:szCs w:val="22"/>
        </w:rPr>
        <w:t>responsibility</w:t>
      </w:r>
      <w:proofErr w:type="spellEnd"/>
    </w:p>
    <w:p w14:paraId="3AB5A5EF" w14:textId="77777777" w:rsidR="00E255F4" w:rsidRDefault="00000000">
      <w:pPr>
        <w:jc w:val="both"/>
        <w:rPr>
          <w:sz w:val="22"/>
          <w:szCs w:val="22"/>
          <w:lang w:val="en-US" w:eastAsia="en-US"/>
        </w:rPr>
      </w:pPr>
      <w:r>
        <w:rPr>
          <w:noProof/>
          <w:sz w:val="22"/>
          <w:szCs w:val="22"/>
          <w:lang w:val="en-US" w:eastAsia="en-US"/>
        </w:rPr>
        <mc:AlternateContent>
          <mc:Choice Requires="wps">
            <w:drawing>
              <wp:anchor distT="0" distB="0" distL="114935" distR="114935" simplePos="0" relativeHeight="9" behindDoc="1" locked="0" layoutInCell="0" allowOverlap="1" wp14:anchorId="4C4B2D4E" wp14:editId="7B15F3F5">
                <wp:simplePos x="0" y="0"/>
                <wp:positionH relativeFrom="column">
                  <wp:posOffset>-43180</wp:posOffset>
                </wp:positionH>
                <wp:positionV relativeFrom="paragraph">
                  <wp:posOffset>37465</wp:posOffset>
                </wp:positionV>
                <wp:extent cx="6115685" cy="896620"/>
                <wp:effectExtent l="0" t="0" r="0" b="0"/>
                <wp:wrapNone/>
                <wp:docPr id="3" name="Rectángulo 1"/>
                <wp:cNvGraphicFramePr/>
                <a:graphic xmlns:a="http://schemas.openxmlformats.org/drawingml/2006/main">
                  <a:graphicData uri="http://schemas.microsoft.com/office/word/2010/wordprocessingShape">
                    <wps:wsp>
                      <wps:cNvSpPr/>
                      <wps:spPr>
                        <a:xfrm>
                          <a:off x="0" y="0"/>
                          <a:ext cx="6114960" cy="896040"/>
                        </a:xfrm>
                        <a:prstGeom prst="rect">
                          <a:avLst/>
                        </a:prstGeom>
                        <a:noFill/>
                        <a:ln w="12600">
                          <a:solidFill>
                            <a:srgbClr val="41719C"/>
                          </a:solidFill>
                          <a:miter/>
                        </a:ln>
                      </wps:spPr>
                      <wps:style>
                        <a:lnRef idx="0">
                          <a:scrgbClr r="0" g="0" b="0"/>
                        </a:lnRef>
                        <a:fillRef idx="0">
                          <a:scrgbClr r="0" g="0" b="0"/>
                        </a:fillRef>
                        <a:effectRef idx="0">
                          <a:scrgbClr r="0" g="0" b="0"/>
                        </a:effectRef>
                        <a:fontRef idx="minor"/>
                      </wps:style>
                      <wps:bodyPr/>
                    </wps:wsp>
                  </a:graphicData>
                </a:graphic>
              </wp:anchor>
            </w:drawing>
          </mc:Choice>
          <mc:Fallback>
            <w:pict>
              <v:rect id="shape_0" ID="Rectángulo 1" stroked="t" style="position:absolute;margin-left:-3.4pt;margin-top:2.95pt;width:481.45pt;height:70.5pt;mso-wrap-style:none;v-text-anchor:middle">
                <v:fill o:detectmouseclick="t" on="false"/>
                <v:stroke color="#41719c" weight="12600" joinstyle="miter" endcap="flat"/>
                <w10:wrap type="none"/>
              </v:rect>
            </w:pict>
          </mc:Fallback>
        </mc:AlternateContent>
      </w:r>
    </w:p>
    <w:p w14:paraId="65AB9571" w14:textId="77777777" w:rsidR="00E255F4" w:rsidRDefault="00000000">
      <w:pPr>
        <w:jc w:val="both"/>
        <w:rPr>
          <w:sz w:val="22"/>
          <w:szCs w:val="22"/>
        </w:rPr>
      </w:pPr>
      <w:proofErr w:type="spellStart"/>
      <w:r>
        <w:rPr>
          <w:sz w:val="22"/>
          <w:szCs w:val="22"/>
        </w:rPr>
        <w:t>Article</w:t>
      </w:r>
      <w:proofErr w:type="spellEnd"/>
      <w:r>
        <w:rPr>
          <w:sz w:val="22"/>
          <w:szCs w:val="22"/>
        </w:rPr>
        <w:t xml:space="preserve"> 239 </w:t>
      </w:r>
      <w:proofErr w:type="spellStart"/>
      <w:r>
        <w:rPr>
          <w:sz w:val="22"/>
          <w:szCs w:val="22"/>
        </w:rPr>
        <w:t>of</w:t>
      </w:r>
      <w:proofErr w:type="spellEnd"/>
      <w:r>
        <w:rPr>
          <w:sz w:val="22"/>
          <w:szCs w:val="22"/>
        </w:rPr>
        <w:t xml:space="preserve"> </w:t>
      </w:r>
      <w:proofErr w:type="spellStart"/>
      <w:r>
        <w:rPr>
          <w:sz w:val="22"/>
          <w:szCs w:val="22"/>
        </w:rPr>
        <w:t>the</w:t>
      </w:r>
      <w:proofErr w:type="spellEnd"/>
      <w:r>
        <w:rPr>
          <w:sz w:val="22"/>
          <w:szCs w:val="22"/>
        </w:rPr>
        <w:t xml:space="preserve"> Penal Code: “</w:t>
      </w:r>
      <w:proofErr w:type="spellStart"/>
      <w:r>
        <w:rPr>
          <w:sz w:val="22"/>
          <w:szCs w:val="22"/>
        </w:rPr>
        <w:t>Anyone</w:t>
      </w:r>
      <w:proofErr w:type="spellEnd"/>
      <w:r>
        <w:rPr>
          <w:sz w:val="22"/>
          <w:szCs w:val="22"/>
        </w:rPr>
        <w:t xml:space="preserve"> </w:t>
      </w:r>
      <w:proofErr w:type="spellStart"/>
      <w:r>
        <w:rPr>
          <w:sz w:val="22"/>
          <w:szCs w:val="22"/>
        </w:rPr>
        <w:t>who</w:t>
      </w:r>
      <w:proofErr w:type="spellEnd"/>
      <w:r>
        <w:rPr>
          <w:sz w:val="22"/>
          <w:szCs w:val="22"/>
        </w:rPr>
        <w:t xml:space="preserve">, </w:t>
      </w:r>
      <w:proofErr w:type="spellStart"/>
      <w:r>
        <w:rPr>
          <w:sz w:val="22"/>
          <w:szCs w:val="22"/>
        </w:rPr>
        <w:t>on</w:t>
      </w:r>
      <w:proofErr w:type="spellEnd"/>
      <w:r>
        <w:rPr>
          <w:sz w:val="22"/>
          <w:szCs w:val="22"/>
        </w:rPr>
        <w:t xml:space="preserve"> </w:t>
      </w:r>
      <w:proofErr w:type="spellStart"/>
      <w:r>
        <w:rPr>
          <w:sz w:val="22"/>
          <w:szCs w:val="22"/>
        </w:rPr>
        <w:t>the</w:t>
      </w:r>
      <w:proofErr w:type="spellEnd"/>
      <w:r>
        <w:rPr>
          <w:sz w:val="22"/>
          <w:szCs w:val="22"/>
        </w:rPr>
        <w:t xml:space="preserve"> </w:t>
      </w:r>
      <w:proofErr w:type="spellStart"/>
      <w:r>
        <w:rPr>
          <w:sz w:val="22"/>
          <w:szCs w:val="22"/>
        </w:rPr>
        <w:t>occasion</w:t>
      </w:r>
      <w:proofErr w:type="spellEnd"/>
      <w:r>
        <w:rPr>
          <w:sz w:val="22"/>
          <w:szCs w:val="22"/>
        </w:rPr>
        <w:t xml:space="preserve"> </w:t>
      </w:r>
      <w:proofErr w:type="spellStart"/>
      <w:r>
        <w:rPr>
          <w:sz w:val="22"/>
          <w:szCs w:val="22"/>
        </w:rPr>
        <w:t>of</w:t>
      </w:r>
      <w:proofErr w:type="spellEnd"/>
      <w:r>
        <w:rPr>
          <w:sz w:val="22"/>
          <w:szCs w:val="22"/>
        </w:rPr>
        <w:t xml:space="preserve"> </w:t>
      </w:r>
      <w:proofErr w:type="spellStart"/>
      <w:r>
        <w:rPr>
          <w:sz w:val="22"/>
          <w:szCs w:val="22"/>
        </w:rPr>
        <w:t>granting</w:t>
      </w:r>
      <w:proofErr w:type="spellEnd"/>
      <w:r>
        <w:rPr>
          <w:sz w:val="22"/>
          <w:szCs w:val="22"/>
        </w:rPr>
        <w:t xml:space="preserve"> </w:t>
      </w:r>
      <w:proofErr w:type="spellStart"/>
      <w:r>
        <w:rPr>
          <w:sz w:val="22"/>
          <w:szCs w:val="22"/>
        </w:rPr>
        <w:t>or</w:t>
      </w:r>
      <w:proofErr w:type="spellEnd"/>
      <w:r>
        <w:rPr>
          <w:sz w:val="22"/>
          <w:szCs w:val="22"/>
        </w:rPr>
        <w:t xml:space="preserve"> </w:t>
      </w:r>
      <w:proofErr w:type="spellStart"/>
      <w:r>
        <w:rPr>
          <w:sz w:val="22"/>
          <w:szCs w:val="22"/>
        </w:rPr>
        <w:t>formalizing</w:t>
      </w:r>
      <w:proofErr w:type="spellEnd"/>
      <w:r>
        <w:rPr>
          <w:sz w:val="22"/>
          <w:szCs w:val="22"/>
        </w:rPr>
        <w:t xml:space="preserve"> a </w:t>
      </w:r>
      <w:proofErr w:type="spellStart"/>
      <w:r>
        <w:rPr>
          <w:sz w:val="22"/>
          <w:szCs w:val="22"/>
        </w:rPr>
        <w:t>public</w:t>
      </w:r>
      <w:proofErr w:type="spellEnd"/>
      <w:r>
        <w:rPr>
          <w:sz w:val="22"/>
          <w:szCs w:val="22"/>
        </w:rPr>
        <w:t xml:space="preserve"> </w:t>
      </w:r>
      <w:proofErr w:type="spellStart"/>
      <w:r>
        <w:rPr>
          <w:sz w:val="22"/>
          <w:szCs w:val="22"/>
        </w:rPr>
        <w:t>document</w:t>
      </w:r>
      <w:proofErr w:type="spellEnd"/>
      <w:r>
        <w:rPr>
          <w:sz w:val="22"/>
          <w:szCs w:val="22"/>
        </w:rPr>
        <w:t xml:space="preserve">, </w:t>
      </w:r>
      <w:proofErr w:type="spellStart"/>
      <w:r>
        <w:rPr>
          <w:sz w:val="22"/>
          <w:szCs w:val="22"/>
        </w:rPr>
        <w:t>before</w:t>
      </w:r>
      <w:proofErr w:type="spellEnd"/>
      <w:r>
        <w:rPr>
          <w:sz w:val="22"/>
          <w:szCs w:val="22"/>
        </w:rPr>
        <w:t xml:space="preserve"> a </w:t>
      </w:r>
      <w:proofErr w:type="spellStart"/>
      <w:r>
        <w:rPr>
          <w:sz w:val="22"/>
          <w:szCs w:val="22"/>
        </w:rPr>
        <w:t>public</w:t>
      </w:r>
      <w:proofErr w:type="spellEnd"/>
      <w:r>
        <w:rPr>
          <w:sz w:val="22"/>
          <w:szCs w:val="22"/>
        </w:rPr>
        <w:t xml:space="preserve"> </w:t>
      </w:r>
      <w:proofErr w:type="spellStart"/>
      <w:r>
        <w:rPr>
          <w:sz w:val="22"/>
          <w:szCs w:val="22"/>
        </w:rPr>
        <w:t>official</w:t>
      </w:r>
      <w:proofErr w:type="spellEnd"/>
      <w:r>
        <w:rPr>
          <w:sz w:val="22"/>
          <w:szCs w:val="22"/>
        </w:rPr>
        <w:t xml:space="preserve">, </w:t>
      </w:r>
      <w:proofErr w:type="spellStart"/>
      <w:r>
        <w:rPr>
          <w:sz w:val="22"/>
          <w:szCs w:val="22"/>
        </w:rPr>
        <w:t>makes</w:t>
      </w:r>
      <w:proofErr w:type="spellEnd"/>
      <w:r>
        <w:rPr>
          <w:sz w:val="22"/>
          <w:szCs w:val="22"/>
        </w:rPr>
        <w:t xml:space="preserve"> a false </w:t>
      </w:r>
      <w:proofErr w:type="spellStart"/>
      <w:r>
        <w:rPr>
          <w:sz w:val="22"/>
          <w:szCs w:val="22"/>
        </w:rPr>
        <w:t>statement</w:t>
      </w:r>
      <w:proofErr w:type="spellEnd"/>
      <w:r>
        <w:rPr>
          <w:sz w:val="22"/>
          <w:szCs w:val="22"/>
        </w:rPr>
        <w:t xml:space="preserve"> </w:t>
      </w:r>
      <w:proofErr w:type="spellStart"/>
      <w:r>
        <w:rPr>
          <w:sz w:val="22"/>
          <w:szCs w:val="22"/>
        </w:rPr>
        <w:t>about</w:t>
      </w:r>
      <w:proofErr w:type="spellEnd"/>
      <w:r>
        <w:rPr>
          <w:sz w:val="22"/>
          <w:szCs w:val="22"/>
        </w:rPr>
        <w:t xml:space="preserve"> </w:t>
      </w:r>
      <w:proofErr w:type="spellStart"/>
      <w:r>
        <w:rPr>
          <w:sz w:val="22"/>
          <w:szCs w:val="22"/>
        </w:rPr>
        <w:t>their</w:t>
      </w:r>
      <w:proofErr w:type="spellEnd"/>
      <w:r>
        <w:rPr>
          <w:sz w:val="22"/>
          <w:szCs w:val="22"/>
        </w:rPr>
        <w:t xml:space="preserve"> </w:t>
      </w:r>
      <w:proofErr w:type="spellStart"/>
      <w:r>
        <w:rPr>
          <w:sz w:val="22"/>
          <w:szCs w:val="22"/>
        </w:rPr>
        <w:t>identity</w:t>
      </w:r>
      <w:proofErr w:type="spellEnd"/>
      <w:r>
        <w:rPr>
          <w:sz w:val="22"/>
          <w:szCs w:val="22"/>
        </w:rPr>
        <w:t xml:space="preserve"> </w:t>
      </w:r>
      <w:proofErr w:type="spellStart"/>
      <w:r>
        <w:rPr>
          <w:sz w:val="22"/>
          <w:szCs w:val="22"/>
        </w:rPr>
        <w:t>or</w:t>
      </w:r>
      <w:proofErr w:type="spellEnd"/>
      <w:r>
        <w:rPr>
          <w:sz w:val="22"/>
          <w:szCs w:val="22"/>
        </w:rPr>
        <w:t xml:space="preserve"> </w:t>
      </w:r>
      <w:proofErr w:type="gramStart"/>
      <w:r>
        <w:rPr>
          <w:sz w:val="22"/>
          <w:szCs w:val="22"/>
        </w:rPr>
        <w:t>status</w:t>
      </w:r>
      <w:proofErr w:type="gramEnd"/>
      <w:r>
        <w:rPr>
          <w:sz w:val="22"/>
          <w:szCs w:val="22"/>
        </w:rPr>
        <w:t xml:space="preserve"> </w:t>
      </w:r>
      <w:proofErr w:type="spellStart"/>
      <w:r>
        <w:rPr>
          <w:sz w:val="22"/>
          <w:szCs w:val="22"/>
        </w:rPr>
        <w:t>or</w:t>
      </w:r>
      <w:proofErr w:type="spellEnd"/>
      <w:r>
        <w:rPr>
          <w:sz w:val="22"/>
          <w:szCs w:val="22"/>
        </w:rPr>
        <w:t xml:space="preserve"> </w:t>
      </w:r>
      <w:proofErr w:type="spellStart"/>
      <w:r>
        <w:rPr>
          <w:sz w:val="22"/>
          <w:szCs w:val="22"/>
        </w:rPr>
        <w:t>any</w:t>
      </w:r>
      <w:proofErr w:type="spellEnd"/>
      <w:r>
        <w:rPr>
          <w:sz w:val="22"/>
          <w:szCs w:val="22"/>
        </w:rPr>
        <w:t xml:space="preserve"> </w:t>
      </w:r>
      <w:proofErr w:type="spellStart"/>
      <w:r>
        <w:rPr>
          <w:sz w:val="22"/>
          <w:szCs w:val="22"/>
        </w:rPr>
        <w:t>other</w:t>
      </w:r>
      <w:proofErr w:type="spellEnd"/>
      <w:r>
        <w:rPr>
          <w:sz w:val="22"/>
          <w:szCs w:val="22"/>
        </w:rPr>
        <w:t xml:space="preserve"> factual </w:t>
      </w:r>
      <w:proofErr w:type="spellStart"/>
      <w:r>
        <w:rPr>
          <w:sz w:val="22"/>
          <w:szCs w:val="22"/>
        </w:rPr>
        <w:t>circumstance</w:t>
      </w:r>
      <w:proofErr w:type="spellEnd"/>
      <w:r>
        <w:rPr>
          <w:sz w:val="22"/>
          <w:szCs w:val="22"/>
        </w:rPr>
        <w:t xml:space="preserve">, </w:t>
      </w:r>
      <w:proofErr w:type="spellStart"/>
      <w:r>
        <w:rPr>
          <w:sz w:val="22"/>
          <w:szCs w:val="22"/>
        </w:rPr>
        <w:t>shall</w:t>
      </w:r>
      <w:proofErr w:type="spellEnd"/>
      <w:r>
        <w:rPr>
          <w:sz w:val="22"/>
          <w:szCs w:val="22"/>
        </w:rPr>
        <w:t xml:space="preserve"> be </w:t>
      </w:r>
      <w:proofErr w:type="spellStart"/>
      <w:r>
        <w:rPr>
          <w:sz w:val="22"/>
          <w:szCs w:val="22"/>
        </w:rPr>
        <w:t>punished</w:t>
      </w:r>
      <w:proofErr w:type="spellEnd"/>
      <w:r>
        <w:rPr>
          <w:sz w:val="22"/>
          <w:szCs w:val="22"/>
        </w:rPr>
        <w:t xml:space="preserve"> </w:t>
      </w:r>
      <w:proofErr w:type="spellStart"/>
      <w:r>
        <w:rPr>
          <w:sz w:val="22"/>
          <w:szCs w:val="22"/>
        </w:rPr>
        <w:t>with</w:t>
      </w:r>
      <w:proofErr w:type="spellEnd"/>
      <w:r>
        <w:rPr>
          <w:sz w:val="22"/>
          <w:szCs w:val="22"/>
        </w:rPr>
        <w:t xml:space="preserve"> 3 </w:t>
      </w:r>
      <w:proofErr w:type="spellStart"/>
      <w:r>
        <w:rPr>
          <w:sz w:val="22"/>
          <w:szCs w:val="22"/>
        </w:rPr>
        <w:t>to</w:t>
      </w:r>
      <w:proofErr w:type="spellEnd"/>
      <w:r>
        <w:rPr>
          <w:sz w:val="22"/>
          <w:szCs w:val="22"/>
        </w:rPr>
        <w:t xml:space="preserve"> 24 </w:t>
      </w:r>
      <w:proofErr w:type="spellStart"/>
      <w:r>
        <w:rPr>
          <w:sz w:val="22"/>
          <w:szCs w:val="22"/>
        </w:rPr>
        <w:t>months</w:t>
      </w:r>
      <w:proofErr w:type="spellEnd"/>
      <w:r>
        <w:rPr>
          <w:sz w:val="22"/>
          <w:szCs w:val="22"/>
        </w:rPr>
        <w:t xml:space="preserve"> </w:t>
      </w:r>
      <w:proofErr w:type="spellStart"/>
      <w:r>
        <w:rPr>
          <w:sz w:val="22"/>
          <w:szCs w:val="22"/>
        </w:rPr>
        <w:t>of</w:t>
      </w:r>
      <w:proofErr w:type="spellEnd"/>
      <w:r>
        <w:rPr>
          <w:sz w:val="22"/>
          <w:szCs w:val="22"/>
        </w:rPr>
        <w:t xml:space="preserve"> </w:t>
      </w:r>
      <w:proofErr w:type="spellStart"/>
      <w:r>
        <w:rPr>
          <w:sz w:val="22"/>
          <w:szCs w:val="22"/>
        </w:rPr>
        <w:t>imprisonment</w:t>
      </w:r>
      <w:proofErr w:type="spellEnd"/>
      <w:r>
        <w:rPr>
          <w:sz w:val="22"/>
          <w:szCs w:val="22"/>
        </w:rPr>
        <w:t>.</w:t>
      </w:r>
    </w:p>
    <w:p w14:paraId="0291052B" w14:textId="77777777" w:rsidR="00E255F4" w:rsidRDefault="00E255F4">
      <w:pPr>
        <w:jc w:val="both"/>
        <w:rPr>
          <w:sz w:val="22"/>
          <w:szCs w:val="22"/>
        </w:rPr>
      </w:pPr>
    </w:p>
    <w:p w14:paraId="107FF26E" w14:textId="77777777" w:rsidR="00E255F4" w:rsidRDefault="00E255F4">
      <w:pPr>
        <w:jc w:val="both"/>
        <w:rPr>
          <w:sz w:val="22"/>
          <w:szCs w:val="22"/>
        </w:rPr>
      </w:pPr>
    </w:p>
    <w:p w14:paraId="17841519" w14:textId="77777777" w:rsidR="00E255F4" w:rsidRDefault="00000000">
      <w:pPr>
        <w:jc w:val="both"/>
      </w:pPr>
      <w:r>
        <w:rPr>
          <w:b/>
          <w:sz w:val="22"/>
          <w:szCs w:val="22"/>
        </w:rPr>
        <w:t xml:space="preserve">I declare </w:t>
      </w:r>
      <w:proofErr w:type="spellStart"/>
      <w:r>
        <w:rPr>
          <w:b/>
          <w:sz w:val="22"/>
          <w:szCs w:val="22"/>
        </w:rPr>
        <w:t>under</w:t>
      </w:r>
      <w:proofErr w:type="spellEnd"/>
      <w:r>
        <w:rPr>
          <w:b/>
          <w:sz w:val="22"/>
          <w:szCs w:val="22"/>
        </w:rPr>
        <w:t xml:space="preserve"> </w:t>
      </w:r>
      <w:proofErr w:type="spellStart"/>
      <w:r>
        <w:rPr>
          <w:b/>
          <w:sz w:val="22"/>
          <w:szCs w:val="22"/>
        </w:rPr>
        <w:t>oath</w:t>
      </w:r>
      <w:proofErr w:type="spellEnd"/>
      <w:r>
        <w:rPr>
          <w:b/>
          <w:sz w:val="22"/>
          <w:szCs w:val="22"/>
        </w:rPr>
        <w:t xml:space="preserve">: I am </w:t>
      </w:r>
      <w:proofErr w:type="spellStart"/>
      <w:r>
        <w:rPr>
          <w:b/>
          <w:sz w:val="22"/>
          <w:szCs w:val="22"/>
        </w:rPr>
        <w:t>not</w:t>
      </w:r>
      <w:proofErr w:type="spellEnd"/>
      <w:r>
        <w:rPr>
          <w:b/>
          <w:sz w:val="22"/>
          <w:szCs w:val="22"/>
        </w:rPr>
        <w:t xml:space="preserve"> </w:t>
      </w:r>
      <w:proofErr w:type="spellStart"/>
      <w:r>
        <w:rPr>
          <w:b/>
          <w:sz w:val="22"/>
          <w:szCs w:val="22"/>
        </w:rPr>
        <w:t>included</w:t>
      </w:r>
      <w:proofErr w:type="spellEnd"/>
      <w:r>
        <w:rPr>
          <w:b/>
          <w:sz w:val="22"/>
          <w:szCs w:val="22"/>
        </w:rPr>
        <w:t xml:space="preserve"> in </w:t>
      </w:r>
      <w:proofErr w:type="spellStart"/>
      <w:r>
        <w:rPr>
          <w:b/>
          <w:sz w:val="22"/>
          <w:szCs w:val="22"/>
        </w:rPr>
        <w:t>the</w:t>
      </w:r>
      <w:proofErr w:type="spellEnd"/>
      <w:r>
        <w:rPr>
          <w:b/>
          <w:sz w:val="22"/>
          <w:szCs w:val="22"/>
        </w:rPr>
        <w:t xml:space="preserve"> </w:t>
      </w:r>
      <w:proofErr w:type="spellStart"/>
      <w:r>
        <w:rPr>
          <w:b/>
          <w:sz w:val="22"/>
          <w:szCs w:val="22"/>
        </w:rPr>
        <w:t>situations</w:t>
      </w:r>
      <w:proofErr w:type="spellEnd"/>
      <w:r>
        <w:rPr>
          <w:b/>
          <w:sz w:val="22"/>
          <w:szCs w:val="22"/>
        </w:rPr>
        <w:t xml:space="preserve"> </w:t>
      </w:r>
      <w:proofErr w:type="spellStart"/>
      <w:r>
        <w:rPr>
          <w:b/>
          <w:sz w:val="22"/>
          <w:szCs w:val="22"/>
        </w:rPr>
        <w:t>of</w:t>
      </w:r>
      <w:proofErr w:type="spellEnd"/>
      <w:r>
        <w:rPr>
          <w:b/>
          <w:sz w:val="22"/>
          <w:szCs w:val="22"/>
        </w:rPr>
        <w:t xml:space="preserve"> </w:t>
      </w:r>
      <w:proofErr w:type="spellStart"/>
      <w:r>
        <w:rPr>
          <w:b/>
          <w:sz w:val="22"/>
          <w:szCs w:val="22"/>
        </w:rPr>
        <w:t>incompatibility</w:t>
      </w:r>
      <w:proofErr w:type="spellEnd"/>
      <w:r>
        <w:rPr>
          <w:b/>
          <w:sz w:val="22"/>
          <w:szCs w:val="22"/>
        </w:rPr>
        <w:t xml:space="preserve"> </w:t>
      </w:r>
      <w:proofErr w:type="spellStart"/>
      <w:r>
        <w:rPr>
          <w:b/>
          <w:sz w:val="22"/>
          <w:szCs w:val="22"/>
        </w:rPr>
        <w:t>provided</w:t>
      </w:r>
      <w:proofErr w:type="spellEnd"/>
      <w:r>
        <w:rPr>
          <w:b/>
          <w:sz w:val="22"/>
          <w:szCs w:val="22"/>
        </w:rPr>
        <w:t xml:space="preserve"> </w:t>
      </w:r>
      <w:proofErr w:type="spellStart"/>
      <w:r>
        <w:rPr>
          <w:b/>
          <w:sz w:val="22"/>
          <w:szCs w:val="22"/>
        </w:rPr>
        <w:t>for</w:t>
      </w:r>
      <w:proofErr w:type="spellEnd"/>
      <w:r>
        <w:rPr>
          <w:b/>
          <w:sz w:val="22"/>
          <w:szCs w:val="22"/>
        </w:rPr>
        <w:t xml:space="preserve"> in Art. 46 </w:t>
      </w:r>
      <w:proofErr w:type="spellStart"/>
      <w:r>
        <w:rPr>
          <w:b/>
          <w:sz w:val="22"/>
          <w:szCs w:val="22"/>
        </w:rPr>
        <w:t>of</w:t>
      </w:r>
      <w:proofErr w:type="spellEnd"/>
      <w:r>
        <w:rPr>
          <w:b/>
          <w:sz w:val="22"/>
          <w:szCs w:val="22"/>
        </w:rPr>
        <w:t xml:space="preserve"> </w:t>
      </w:r>
      <w:proofErr w:type="spellStart"/>
      <w:r>
        <w:rPr>
          <w:b/>
          <w:sz w:val="22"/>
          <w:szCs w:val="22"/>
        </w:rPr>
        <w:t>the</w:t>
      </w:r>
      <w:proofErr w:type="spellEnd"/>
      <w:r>
        <w:rPr>
          <w:b/>
          <w:sz w:val="22"/>
          <w:szCs w:val="22"/>
        </w:rPr>
        <w:t xml:space="preserve"> </w:t>
      </w:r>
      <w:proofErr w:type="spellStart"/>
      <w:r>
        <w:rPr>
          <w:b/>
          <w:sz w:val="22"/>
          <w:szCs w:val="22"/>
        </w:rPr>
        <w:t>Consolidated</w:t>
      </w:r>
      <w:proofErr w:type="spellEnd"/>
      <w:r>
        <w:rPr>
          <w:b/>
          <w:sz w:val="22"/>
          <w:szCs w:val="22"/>
        </w:rPr>
        <w:t xml:space="preserve"> Text </w:t>
      </w:r>
      <w:proofErr w:type="spellStart"/>
      <w:r>
        <w:rPr>
          <w:b/>
          <w:sz w:val="22"/>
          <w:szCs w:val="22"/>
        </w:rPr>
        <w:t>of</w:t>
      </w:r>
      <w:proofErr w:type="spellEnd"/>
      <w:r>
        <w:rPr>
          <w:b/>
          <w:sz w:val="22"/>
          <w:szCs w:val="22"/>
        </w:rPr>
        <w:t xml:space="preserve"> </w:t>
      </w:r>
      <w:proofErr w:type="spellStart"/>
      <w:r>
        <w:rPr>
          <w:b/>
          <w:sz w:val="22"/>
          <w:szCs w:val="22"/>
        </w:rPr>
        <w:t>Accounting</w:t>
      </w:r>
      <w:proofErr w:type="spellEnd"/>
      <w:r>
        <w:rPr>
          <w:b/>
          <w:sz w:val="22"/>
          <w:szCs w:val="22"/>
        </w:rPr>
        <w:t xml:space="preserve"> and </w:t>
      </w:r>
      <w:proofErr w:type="spellStart"/>
      <w:r>
        <w:rPr>
          <w:b/>
          <w:sz w:val="22"/>
          <w:szCs w:val="22"/>
        </w:rPr>
        <w:t>Financial</w:t>
      </w:r>
      <w:proofErr w:type="spellEnd"/>
      <w:r>
        <w:rPr>
          <w:b/>
          <w:sz w:val="22"/>
          <w:szCs w:val="22"/>
        </w:rPr>
        <w:t xml:space="preserve"> </w:t>
      </w:r>
      <w:proofErr w:type="spellStart"/>
      <w:r>
        <w:rPr>
          <w:b/>
          <w:sz w:val="22"/>
          <w:szCs w:val="22"/>
        </w:rPr>
        <w:t>Administration</w:t>
      </w:r>
      <w:proofErr w:type="spellEnd"/>
      <w:r>
        <w:rPr>
          <w:b/>
          <w:sz w:val="22"/>
          <w:szCs w:val="22"/>
        </w:rPr>
        <w:t>:</w:t>
      </w:r>
    </w:p>
    <w:p w14:paraId="412A0DDD" w14:textId="77777777" w:rsidR="00E255F4" w:rsidRDefault="00E255F4">
      <w:pPr>
        <w:jc w:val="both"/>
        <w:rPr>
          <w:b/>
          <w:sz w:val="22"/>
          <w:szCs w:val="22"/>
        </w:rPr>
      </w:pPr>
    </w:p>
    <w:p w14:paraId="0562B074" w14:textId="77777777" w:rsidR="00E255F4" w:rsidRDefault="00E255F4">
      <w:pPr>
        <w:jc w:val="both"/>
        <w:rPr>
          <w:b/>
          <w:spacing w:val="-3"/>
          <w:sz w:val="22"/>
          <w:szCs w:val="22"/>
        </w:rPr>
      </w:pPr>
    </w:p>
    <w:p w14:paraId="36180B76" w14:textId="77777777" w:rsidR="00E255F4" w:rsidRDefault="00E255F4">
      <w:pPr>
        <w:jc w:val="both"/>
        <w:rPr>
          <w:b/>
          <w:spacing w:val="-3"/>
          <w:sz w:val="22"/>
          <w:szCs w:val="22"/>
        </w:rPr>
      </w:pPr>
    </w:p>
    <w:p w14:paraId="537C85FB" w14:textId="77777777" w:rsidR="00E255F4" w:rsidRDefault="00000000">
      <w:pPr>
        <w:jc w:val="both"/>
        <w:rPr>
          <w:sz w:val="22"/>
          <w:szCs w:val="22"/>
        </w:rPr>
      </w:pPr>
      <w:proofErr w:type="spellStart"/>
      <w:r>
        <w:rPr>
          <w:b/>
          <w:spacing w:val="-3"/>
          <w:sz w:val="22"/>
          <w:szCs w:val="22"/>
        </w:rPr>
        <w:t>Signature</w:t>
      </w:r>
      <w:proofErr w:type="spellEnd"/>
      <w:r>
        <w:rPr>
          <w:b/>
          <w:spacing w:val="-3"/>
          <w:sz w:val="22"/>
          <w:szCs w:val="22"/>
        </w:rPr>
        <w:t xml:space="preserve">(s) </w:t>
      </w:r>
      <w:proofErr w:type="spellStart"/>
      <w:r>
        <w:rPr>
          <w:b/>
          <w:spacing w:val="-3"/>
          <w:sz w:val="22"/>
          <w:szCs w:val="22"/>
        </w:rPr>
        <w:t>Clarification</w:t>
      </w:r>
      <w:proofErr w:type="spellEnd"/>
      <w:r>
        <w:rPr>
          <w:b/>
          <w:spacing w:val="-3"/>
          <w:sz w:val="22"/>
          <w:szCs w:val="22"/>
        </w:rPr>
        <w:t xml:space="preserve"> </w:t>
      </w:r>
      <w:proofErr w:type="spellStart"/>
      <w:r>
        <w:rPr>
          <w:b/>
          <w:spacing w:val="-3"/>
          <w:sz w:val="22"/>
          <w:szCs w:val="22"/>
        </w:rPr>
        <w:t>of</w:t>
      </w:r>
      <w:proofErr w:type="spellEnd"/>
      <w:r>
        <w:rPr>
          <w:b/>
          <w:spacing w:val="-3"/>
          <w:sz w:val="22"/>
          <w:szCs w:val="22"/>
        </w:rPr>
        <w:t xml:space="preserve"> </w:t>
      </w:r>
      <w:proofErr w:type="spellStart"/>
      <w:r>
        <w:rPr>
          <w:b/>
          <w:spacing w:val="-3"/>
          <w:sz w:val="22"/>
          <w:szCs w:val="22"/>
        </w:rPr>
        <w:t>Signature</w:t>
      </w:r>
      <w:proofErr w:type="spellEnd"/>
      <w:r>
        <w:rPr>
          <w:b/>
          <w:spacing w:val="-3"/>
          <w:sz w:val="22"/>
          <w:szCs w:val="22"/>
        </w:rPr>
        <w:t>(s)</w:t>
      </w:r>
    </w:p>
    <w:p w14:paraId="6B2CDF66" w14:textId="77777777" w:rsidR="00E255F4" w:rsidRDefault="00E255F4">
      <w:pPr>
        <w:jc w:val="both"/>
        <w:rPr>
          <w:sz w:val="22"/>
          <w:szCs w:val="22"/>
        </w:rPr>
      </w:pPr>
    </w:p>
    <w:p w14:paraId="33833781" w14:textId="77777777" w:rsidR="00E255F4" w:rsidRDefault="00E255F4">
      <w:pPr>
        <w:rPr>
          <w:sz w:val="22"/>
          <w:szCs w:val="22"/>
          <w:lang w:val="es-ES" w:eastAsia="es-ES"/>
        </w:rPr>
      </w:pPr>
    </w:p>
    <w:p w14:paraId="4BF5159F" w14:textId="77777777" w:rsidR="00E255F4" w:rsidRDefault="00000000">
      <w:pPr>
        <w:pStyle w:val="Ttulo1"/>
        <w:numPr>
          <w:ilvl w:val="0"/>
          <w:numId w:val="0"/>
        </w:numPr>
        <w:spacing w:before="0" w:after="0"/>
        <w:ind w:left="720" w:hanging="720"/>
        <w:jc w:val="center"/>
        <w:rPr>
          <w:rFonts w:ascii="Times New Roman" w:eastAsia="Palatino Linotype" w:hAnsi="Times New Roman" w:cs="Times New Roman"/>
          <w:b w:val="0"/>
          <w:color w:val="548DD4"/>
          <w:sz w:val="28"/>
          <w:szCs w:val="24"/>
          <w:lang w:val="es-AR"/>
        </w:rPr>
      </w:pPr>
      <w:bookmarkStart w:id="126" w:name="__RefHeading___Toc225377284"/>
      <w:bookmarkEnd w:id="126"/>
      <w:proofErr w:type="spellStart"/>
      <w:r>
        <w:rPr>
          <w:rFonts w:ascii="Times New Roman" w:eastAsia="Palatino Linotype" w:hAnsi="Times New Roman" w:cs="Times New Roman"/>
          <w:b w:val="0"/>
          <w:color w:val="548DD4"/>
          <w:sz w:val="28"/>
          <w:szCs w:val="24"/>
          <w:lang w:val="es-AR"/>
        </w:rPr>
        <w:t>Annex</w:t>
      </w:r>
      <w:proofErr w:type="spellEnd"/>
      <w:r>
        <w:rPr>
          <w:rFonts w:ascii="Times New Roman" w:eastAsia="Palatino Linotype" w:hAnsi="Times New Roman" w:cs="Times New Roman"/>
          <w:b w:val="0"/>
          <w:color w:val="548DD4"/>
          <w:sz w:val="28"/>
          <w:szCs w:val="24"/>
          <w:lang w:val="es-AR"/>
        </w:rPr>
        <w:t xml:space="preserve"> XI</w:t>
      </w:r>
    </w:p>
    <w:p w14:paraId="144B52BA" w14:textId="77777777" w:rsidR="00E255F4" w:rsidRDefault="00000000">
      <w:pPr>
        <w:pStyle w:val="Ttulo1"/>
        <w:numPr>
          <w:ilvl w:val="0"/>
          <w:numId w:val="0"/>
        </w:numPr>
        <w:spacing w:before="0" w:after="0"/>
        <w:ind w:left="720" w:hanging="720"/>
        <w:jc w:val="center"/>
        <w:rPr>
          <w:rFonts w:ascii="Times New Roman" w:eastAsia="Palatino Linotype" w:hAnsi="Times New Roman" w:cs="Times New Roman"/>
          <w:b w:val="0"/>
          <w:color w:val="548DD4"/>
          <w:sz w:val="28"/>
          <w:szCs w:val="24"/>
          <w:lang w:val="es-AR"/>
        </w:rPr>
      </w:pPr>
      <w:bookmarkStart w:id="127" w:name="__RefHeading___Toc225377285"/>
      <w:bookmarkEnd w:id="127"/>
      <w:proofErr w:type="spellStart"/>
      <w:r>
        <w:rPr>
          <w:rFonts w:ascii="Times New Roman" w:eastAsia="Palatino Linotype" w:hAnsi="Times New Roman" w:cs="Times New Roman"/>
          <w:b w:val="0"/>
          <w:color w:val="548DD4"/>
          <w:sz w:val="28"/>
          <w:szCs w:val="24"/>
          <w:lang w:val="es-AR"/>
        </w:rPr>
        <w:t>Sworn</w:t>
      </w:r>
      <w:proofErr w:type="spellEnd"/>
      <w:r>
        <w:rPr>
          <w:rFonts w:ascii="Times New Roman" w:eastAsia="Palatino Linotype" w:hAnsi="Times New Roman" w:cs="Times New Roman"/>
          <w:b w:val="0"/>
          <w:color w:val="548DD4"/>
          <w:sz w:val="28"/>
          <w:szCs w:val="24"/>
          <w:lang w:val="es-AR"/>
        </w:rPr>
        <w:t xml:space="preserve"> </w:t>
      </w:r>
      <w:proofErr w:type="spellStart"/>
      <w:r>
        <w:rPr>
          <w:rFonts w:ascii="Times New Roman" w:eastAsia="Palatino Linotype" w:hAnsi="Times New Roman" w:cs="Times New Roman"/>
          <w:b w:val="0"/>
          <w:color w:val="548DD4"/>
          <w:sz w:val="28"/>
          <w:szCs w:val="24"/>
          <w:lang w:val="es-AR"/>
        </w:rPr>
        <w:t>statement</w:t>
      </w:r>
      <w:proofErr w:type="spellEnd"/>
      <w:r>
        <w:rPr>
          <w:rFonts w:ascii="Times New Roman" w:eastAsia="Palatino Linotype" w:hAnsi="Times New Roman" w:cs="Times New Roman"/>
          <w:b w:val="0"/>
          <w:color w:val="548DD4"/>
          <w:sz w:val="28"/>
          <w:szCs w:val="24"/>
          <w:lang w:val="es-AR"/>
        </w:rPr>
        <w:t xml:space="preserve"> </w:t>
      </w:r>
      <w:proofErr w:type="spellStart"/>
      <w:r>
        <w:rPr>
          <w:rFonts w:ascii="Times New Roman" w:eastAsia="Palatino Linotype" w:hAnsi="Times New Roman" w:cs="Times New Roman"/>
          <w:b w:val="0"/>
          <w:color w:val="548DD4"/>
          <w:sz w:val="28"/>
          <w:szCs w:val="24"/>
          <w:lang w:val="es-AR"/>
        </w:rPr>
        <w:t>of</w:t>
      </w:r>
      <w:proofErr w:type="spellEnd"/>
      <w:r>
        <w:rPr>
          <w:rFonts w:ascii="Times New Roman" w:eastAsia="Palatino Linotype" w:hAnsi="Times New Roman" w:cs="Times New Roman"/>
          <w:b w:val="0"/>
          <w:color w:val="548DD4"/>
          <w:sz w:val="28"/>
          <w:szCs w:val="24"/>
          <w:lang w:val="es-AR"/>
        </w:rPr>
        <w:t xml:space="preserve"> </w:t>
      </w:r>
      <w:proofErr w:type="spellStart"/>
      <w:r>
        <w:rPr>
          <w:rFonts w:ascii="Times New Roman" w:eastAsia="Palatino Linotype" w:hAnsi="Times New Roman" w:cs="Times New Roman"/>
          <w:b w:val="0"/>
          <w:color w:val="548DD4"/>
          <w:sz w:val="28"/>
          <w:szCs w:val="24"/>
          <w:lang w:val="es-AR"/>
        </w:rPr>
        <w:t>Occupational</w:t>
      </w:r>
      <w:proofErr w:type="spellEnd"/>
      <w:r>
        <w:rPr>
          <w:rFonts w:ascii="Times New Roman" w:eastAsia="Palatino Linotype" w:hAnsi="Times New Roman" w:cs="Times New Roman"/>
          <w:b w:val="0"/>
          <w:color w:val="548DD4"/>
          <w:sz w:val="28"/>
          <w:szCs w:val="24"/>
          <w:lang w:val="es-AR"/>
        </w:rPr>
        <w:t xml:space="preserve"> Safety and Health</w:t>
      </w:r>
    </w:p>
    <w:p w14:paraId="28B15482" w14:textId="77777777" w:rsidR="00E255F4" w:rsidRDefault="00E255F4">
      <w:pPr>
        <w:rPr>
          <w:rFonts w:eastAsia="Palatino Linotype"/>
          <w:b/>
          <w:color w:val="548DD4"/>
          <w:sz w:val="28"/>
          <w:szCs w:val="24"/>
          <w:lang w:val="es-AR"/>
        </w:rPr>
      </w:pPr>
    </w:p>
    <w:p w14:paraId="3603B5C6" w14:textId="77777777" w:rsidR="00E255F4" w:rsidRDefault="00000000">
      <w:pPr>
        <w:autoSpaceDE w:val="0"/>
        <w:spacing w:line="360" w:lineRule="auto"/>
        <w:jc w:val="both"/>
      </w:pPr>
      <w:r>
        <w:rPr>
          <w:color w:val="000000"/>
          <w:sz w:val="22"/>
          <w:szCs w:val="22"/>
          <w:lang w:eastAsia="es-UY"/>
        </w:rPr>
        <w:t xml:space="preserve"> </w:t>
      </w:r>
      <w:r>
        <w:rPr>
          <w:rFonts w:eastAsia="Calibri"/>
          <w:color w:val="000000"/>
          <w:sz w:val="22"/>
          <w:szCs w:val="22"/>
          <w:lang w:eastAsia="es-UY"/>
        </w:rPr>
        <w:t xml:space="preserve">Mr./Ms. ________________________________________________ </w:t>
      </w:r>
      <w:proofErr w:type="spellStart"/>
      <w:r>
        <w:rPr>
          <w:rFonts w:eastAsia="Calibri"/>
          <w:color w:val="000000"/>
          <w:sz w:val="22"/>
          <w:szCs w:val="22"/>
          <w:lang w:eastAsia="es-UY"/>
        </w:rPr>
        <w:t>on</w:t>
      </w:r>
      <w:proofErr w:type="spellEnd"/>
      <w:r>
        <w:rPr>
          <w:rFonts w:eastAsia="Calibri"/>
          <w:color w:val="000000"/>
          <w:sz w:val="22"/>
          <w:szCs w:val="22"/>
          <w:lang w:eastAsia="es-UY"/>
        </w:rPr>
        <w:t xml:space="preserve"> </w:t>
      </w:r>
      <w:proofErr w:type="spellStart"/>
      <w:r>
        <w:rPr>
          <w:rFonts w:eastAsia="Calibri"/>
          <w:color w:val="000000"/>
          <w:sz w:val="22"/>
          <w:szCs w:val="22"/>
          <w:lang w:eastAsia="es-UY"/>
        </w:rPr>
        <w:t>behalf</w:t>
      </w:r>
      <w:proofErr w:type="spellEnd"/>
      <w:r>
        <w:rPr>
          <w:rFonts w:eastAsia="Calibri"/>
          <w:color w:val="000000"/>
          <w:sz w:val="22"/>
          <w:szCs w:val="22"/>
          <w:lang w:eastAsia="es-UY"/>
        </w:rPr>
        <w:t xml:space="preserve"> </w:t>
      </w:r>
      <w:proofErr w:type="spellStart"/>
      <w:r>
        <w:rPr>
          <w:rFonts w:eastAsia="Calibri"/>
          <w:color w:val="000000"/>
          <w:sz w:val="22"/>
          <w:szCs w:val="22"/>
          <w:lang w:eastAsia="es-UY"/>
        </w:rPr>
        <w:t>of</w:t>
      </w:r>
      <w:proofErr w:type="spellEnd"/>
      <w:r>
        <w:rPr>
          <w:rFonts w:eastAsia="Calibri"/>
          <w:color w:val="000000"/>
          <w:sz w:val="22"/>
          <w:szCs w:val="22"/>
          <w:lang w:eastAsia="es-UY"/>
        </w:rPr>
        <w:t xml:space="preserve"> and </w:t>
      </w:r>
      <w:proofErr w:type="spellStart"/>
      <w:r>
        <w:rPr>
          <w:rFonts w:eastAsia="Calibri"/>
          <w:color w:val="000000"/>
          <w:sz w:val="22"/>
          <w:szCs w:val="22"/>
          <w:lang w:eastAsia="es-UY"/>
        </w:rPr>
        <w:t>representing</w:t>
      </w:r>
      <w:proofErr w:type="spellEnd"/>
      <w:r>
        <w:rPr>
          <w:rFonts w:eastAsia="Calibri"/>
          <w:color w:val="000000"/>
          <w:sz w:val="22"/>
          <w:szCs w:val="22"/>
          <w:lang w:eastAsia="es-UY"/>
        </w:rPr>
        <w:t xml:space="preserve"> </w:t>
      </w:r>
      <w:proofErr w:type="spellStart"/>
      <w:r>
        <w:rPr>
          <w:rFonts w:eastAsia="Calibri"/>
          <w:color w:val="000000"/>
          <w:sz w:val="22"/>
          <w:szCs w:val="22"/>
          <w:lang w:eastAsia="es-UY"/>
        </w:rPr>
        <w:t>the</w:t>
      </w:r>
      <w:proofErr w:type="spellEnd"/>
      <w:r>
        <w:rPr>
          <w:rFonts w:eastAsia="Calibri"/>
          <w:color w:val="000000"/>
          <w:sz w:val="22"/>
          <w:szCs w:val="22"/>
          <w:lang w:eastAsia="es-UY"/>
        </w:rPr>
        <w:t xml:space="preserve"> Company: _______________________________________________ RUT: _________________________ in </w:t>
      </w:r>
      <w:proofErr w:type="spellStart"/>
      <w:r>
        <w:rPr>
          <w:rFonts w:eastAsia="Calibri"/>
          <w:color w:val="000000"/>
          <w:sz w:val="22"/>
          <w:szCs w:val="22"/>
          <w:lang w:eastAsia="es-UY"/>
        </w:rPr>
        <w:t>the</w:t>
      </w:r>
      <w:proofErr w:type="spellEnd"/>
      <w:r>
        <w:rPr>
          <w:rFonts w:eastAsia="Calibri"/>
          <w:color w:val="000000"/>
          <w:sz w:val="22"/>
          <w:szCs w:val="22"/>
          <w:lang w:eastAsia="es-UY"/>
        </w:rPr>
        <w:t xml:space="preserve"> </w:t>
      </w:r>
      <w:proofErr w:type="spellStart"/>
      <w:r>
        <w:rPr>
          <w:rFonts w:eastAsia="Calibri"/>
          <w:color w:val="000000"/>
          <w:sz w:val="22"/>
          <w:szCs w:val="22"/>
          <w:lang w:eastAsia="es-UY"/>
        </w:rPr>
        <w:t>capacity</w:t>
      </w:r>
      <w:proofErr w:type="spellEnd"/>
      <w:r>
        <w:rPr>
          <w:rFonts w:eastAsia="Calibri"/>
          <w:color w:val="000000"/>
          <w:sz w:val="22"/>
          <w:szCs w:val="22"/>
          <w:lang w:eastAsia="es-UY"/>
        </w:rPr>
        <w:t xml:space="preserve"> </w:t>
      </w:r>
      <w:proofErr w:type="spellStart"/>
      <w:r>
        <w:rPr>
          <w:rFonts w:eastAsia="Calibri"/>
          <w:color w:val="000000"/>
          <w:sz w:val="22"/>
          <w:szCs w:val="22"/>
          <w:lang w:eastAsia="es-UY"/>
        </w:rPr>
        <w:t>of</w:t>
      </w:r>
      <w:proofErr w:type="spellEnd"/>
      <w:r>
        <w:rPr>
          <w:rFonts w:eastAsia="Calibri"/>
          <w:color w:val="000000"/>
          <w:sz w:val="22"/>
          <w:szCs w:val="22"/>
          <w:lang w:eastAsia="es-UY"/>
        </w:rPr>
        <w:t xml:space="preserve">:______________________________ </w:t>
      </w:r>
      <w:proofErr w:type="spellStart"/>
      <w:r>
        <w:rPr>
          <w:rFonts w:eastAsia="Calibri"/>
          <w:color w:val="000000"/>
          <w:sz w:val="22"/>
          <w:szCs w:val="22"/>
          <w:lang w:eastAsia="es-UY"/>
        </w:rPr>
        <w:t>domiciled</w:t>
      </w:r>
      <w:proofErr w:type="spellEnd"/>
      <w:r>
        <w:rPr>
          <w:rFonts w:eastAsia="Calibri"/>
          <w:color w:val="000000"/>
          <w:sz w:val="22"/>
          <w:szCs w:val="22"/>
          <w:lang w:eastAsia="es-UY"/>
        </w:rPr>
        <w:t xml:space="preserve"> at: </w:t>
      </w:r>
      <w:r>
        <w:rPr>
          <w:rFonts w:eastAsia="Calibri"/>
          <w:color w:val="000000"/>
          <w:sz w:val="22"/>
          <w:szCs w:val="22"/>
          <w:lang w:eastAsia="es-UY"/>
        </w:rPr>
        <w:lastRenderedPageBreak/>
        <w:t xml:space="preserve">________________________________ No.: _________ </w:t>
      </w:r>
      <w:proofErr w:type="spellStart"/>
      <w:r>
        <w:rPr>
          <w:rFonts w:eastAsia="Calibri"/>
          <w:color w:val="000000"/>
          <w:sz w:val="22"/>
          <w:szCs w:val="22"/>
          <w:lang w:eastAsia="es-UY"/>
        </w:rPr>
        <w:t>Locality</w:t>
      </w:r>
      <w:proofErr w:type="spellEnd"/>
      <w:r>
        <w:rPr>
          <w:rFonts w:eastAsia="Calibri"/>
          <w:color w:val="000000"/>
          <w:sz w:val="22"/>
          <w:szCs w:val="22"/>
          <w:lang w:eastAsia="es-UY"/>
        </w:rPr>
        <w:t xml:space="preserve">: _________________________ </w:t>
      </w:r>
      <w:proofErr w:type="spellStart"/>
      <w:r>
        <w:rPr>
          <w:rFonts w:eastAsia="Calibri"/>
          <w:color w:val="000000"/>
          <w:sz w:val="22"/>
          <w:szCs w:val="22"/>
          <w:lang w:eastAsia="es-UY"/>
        </w:rPr>
        <w:t>Department</w:t>
      </w:r>
      <w:proofErr w:type="spellEnd"/>
      <w:r>
        <w:rPr>
          <w:rFonts w:eastAsia="Calibri"/>
          <w:color w:val="000000"/>
          <w:sz w:val="22"/>
          <w:szCs w:val="22"/>
          <w:lang w:eastAsia="es-UY"/>
        </w:rPr>
        <w:t xml:space="preserve">: ___________________________ </w:t>
      </w:r>
      <w:proofErr w:type="spellStart"/>
      <w:r>
        <w:rPr>
          <w:rFonts w:eastAsia="Calibri"/>
          <w:color w:val="000000"/>
          <w:sz w:val="22"/>
          <w:szCs w:val="22"/>
          <w:lang w:eastAsia="es-UY"/>
        </w:rPr>
        <w:t>makes</w:t>
      </w:r>
      <w:proofErr w:type="spellEnd"/>
      <w:r>
        <w:rPr>
          <w:rFonts w:eastAsia="Calibri"/>
          <w:color w:val="000000"/>
          <w:sz w:val="22"/>
          <w:szCs w:val="22"/>
          <w:lang w:eastAsia="es-UY"/>
        </w:rPr>
        <w:t xml:space="preserve"> </w:t>
      </w:r>
      <w:proofErr w:type="spellStart"/>
      <w:r>
        <w:rPr>
          <w:rFonts w:eastAsia="Calibri"/>
          <w:color w:val="000000"/>
          <w:sz w:val="22"/>
          <w:szCs w:val="22"/>
          <w:lang w:eastAsia="es-UY"/>
        </w:rPr>
        <w:t>this</w:t>
      </w:r>
      <w:proofErr w:type="spellEnd"/>
      <w:r>
        <w:rPr>
          <w:rFonts w:eastAsia="Calibri"/>
          <w:color w:val="000000"/>
          <w:sz w:val="22"/>
          <w:szCs w:val="22"/>
          <w:lang w:eastAsia="es-UY"/>
        </w:rPr>
        <w:t xml:space="preserve"> </w:t>
      </w:r>
      <w:proofErr w:type="spellStart"/>
      <w:r>
        <w:rPr>
          <w:rFonts w:eastAsia="Calibri"/>
          <w:color w:val="000000"/>
          <w:sz w:val="22"/>
          <w:szCs w:val="22"/>
          <w:lang w:eastAsia="es-UY"/>
        </w:rPr>
        <w:t>sworn</w:t>
      </w:r>
      <w:proofErr w:type="spellEnd"/>
      <w:r>
        <w:rPr>
          <w:rFonts w:eastAsia="Calibri"/>
          <w:color w:val="000000"/>
          <w:sz w:val="22"/>
          <w:szCs w:val="22"/>
          <w:lang w:eastAsia="es-UY"/>
        </w:rPr>
        <w:t xml:space="preserve"> </w:t>
      </w:r>
      <w:proofErr w:type="spellStart"/>
      <w:r>
        <w:rPr>
          <w:rFonts w:eastAsia="Calibri"/>
          <w:color w:val="000000"/>
          <w:sz w:val="22"/>
          <w:szCs w:val="22"/>
          <w:lang w:eastAsia="es-UY"/>
        </w:rPr>
        <w:t>statement</w:t>
      </w:r>
      <w:proofErr w:type="spellEnd"/>
      <w:r>
        <w:rPr>
          <w:rFonts w:eastAsia="Calibri"/>
          <w:color w:val="000000"/>
          <w:sz w:val="22"/>
          <w:szCs w:val="22"/>
          <w:lang w:eastAsia="es-UY"/>
        </w:rPr>
        <w:t xml:space="preserve"> </w:t>
      </w:r>
      <w:proofErr w:type="spellStart"/>
      <w:r>
        <w:rPr>
          <w:rFonts w:eastAsia="Calibri"/>
          <w:color w:val="000000"/>
          <w:sz w:val="22"/>
          <w:szCs w:val="22"/>
          <w:lang w:eastAsia="es-UY"/>
        </w:rPr>
        <w:t>to</w:t>
      </w:r>
      <w:proofErr w:type="spellEnd"/>
      <w:r>
        <w:rPr>
          <w:rFonts w:eastAsia="Calibri"/>
          <w:color w:val="000000"/>
          <w:sz w:val="22"/>
          <w:szCs w:val="22"/>
          <w:lang w:eastAsia="es-UY"/>
        </w:rPr>
        <w:t xml:space="preserve"> OSE in </w:t>
      </w:r>
      <w:proofErr w:type="spellStart"/>
      <w:r>
        <w:rPr>
          <w:rFonts w:eastAsia="Calibri"/>
          <w:color w:val="000000"/>
          <w:sz w:val="22"/>
          <w:szCs w:val="22"/>
          <w:lang w:eastAsia="es-UY"/>
        </w:rPr>
        <w:t>relation</w:t>
      </w:r>
      <w:proofErr w:type="spellEnd"/>
      <w:r>
        <w:rPr>
          <w:rFonts w:eastAsia="Calibri"/>
          <w:color w:val="000000"/>
          <w:sz w:val="22"/>
          <w:szCs w:val="22"/>
          <w:lang w:eastAsia="es-UY"/>
        </w:rPr>
        <w:t xml:space="preserve"> </w:t>
      </w:r>
      <w:proofErr w:type="spellStart"/>
      <w:r>
        <w:rPr>
          <w:rFonts w:eastAsia="Calibri"/>
          <w:color w:val="000000"/>
          <w:sz w:val="22"/>
          <w:szCs w:val="22"/>
          <w:lang w:eastAsia="es-UY"/>
        </w:rPr>
        <w:t>to</w:t>
      </w:r>
      <w:proofErr w:type="spellEnd"/>
      <w:r>
        <w:rPr>
          <w:rFonts w:eastAsia="Calibri"/>
          <w:color w:val="000000"/>
          <w:sz w:val="22"/>
          <w:szCs w:val="22"/>
          <w:lang w:eastAsia="es-UY"/>
        </w:rPr>
        <w:t xml:space="preserve"> </w:t>
      </w:r>
      <w:proofErr w:type="spellStart"/>
      <w:r>
        <w:rPr>
          <w:rFonts w:eastAsia="Calibri"/>
          <w:color w:val="000000"/>
          <w:sz w:val="22"/>
          <w:szCs w:val="22"/>
          <w:lang w:eastAsia="es-UY"/>
        </w:rPr>
        <w:t>Occupational</w:t>
      </w:r>
      <w:proofErr w:type="spellEnd"/>
      <w:r>
        <w:rPr>
          <w:rFonts w:eastAsia="Calibri"/>
          <w:color w:val="000000"/>
          <w:sz w:val="22"/>
          <w:szCs w:val="22"/>
          <w:lang w:eastAsia="es-UY"/>
        </w:rPr>
        <w:t xml:space="preserve"> Safety and Health, in </w:t>
      </w:r>
      <w:proofErr w:type="spellStart"/>
      <w:r>
        <w:rPr>
          <w:rFonts w:eastAsia="Calibri"/>
          <w:color w:val="000000"/>
          <w:sz w:val="22"/>
          <w:szCs w:val="22"/>
          <w:lang w:eastAsia="es-UY"/>
        </w:rPr>
        <w:t>the</w:t>
      </w:r>
      <w:proofErr w:type="spellEnd"/>
      <w:r>
        <w:rPr>
          <w:rFonts w:eastAsia="Calibri"/>
          <w:color w:val="000000"/>
          <w:sz w:val="22"/>
          <w:szCs w:val="22"/>
          <w:lang w:eastAsia="es-UY"/>
        </w:rPr>
        <w:t xml:space="preserve"> performance </w:t>
      </w:r>
      <w:proofErr w:type="spellStart"/>
      <w:r>
        <w:rPr>
          <w:rFonts w:eastAsia="Calibri"/>
          <w:color w:val="000000"/>
          <w:sz w:val="22"/>
          <w:szCs w:val="22"/>
          <w:lang w:eastAsia="es-UY"/>
        </w:rPr>
        <w:t>of</w:t>
      </w:r>
      <w:proofErr w:type="spellEnd"/>
      <w:r>
        <w:rPr>
          <w:rFonts w:eastAsia="Calibri"/>
          <w:color w:val="000000"/>
          <w:sz w:val="22"/>
          <w:szCs w:val="22"/>
          <w:lang w:eastAsia="es-UY"/>
        </w:rPr>
        <w:t xml:space="preserve"> </w:t>
      </w:r>
      <w:proofErr w:type="spellStart"/>
      <w:r>
        <w:rPr>
          <w:rFonts w:eastAsia="Calibri"/>
          <w:color w:val="000000"/>
          <w:sz w:val="22"/>
          <w:szCs w:val="22"/>
          <w:lang w:eastAsia="es-UY"/>
        </w:rPr>
        <w:t>the</w:t>
      </w:r>
      <w:proofErr w:type="spellEnd"/>
      <w:r>
        <w:rPr>
          <w:rFonts w:eastAsia="Calibri"/>
          <w:color w:val="000000"/>
          <w:sz w:val="22"/>
          <w:szCs w:val="22"/>
          <w:lang w:eastAsia="es-UY"/>
        </w:rPr>
        <w:t xml:space="preserve"> </w:t>
      </w:r>
      <w:proofErr w:type="spellStart"/>
      <w:r>
        <w:rPr>
          <w:rFonts w:eastAsia="Calibri"/>
          <w:color w:val="000000"/>
          <w:sz w:val="22"/>
          <w:szCs w:val="22"/>
          <w:lang w:eastAsia="es-UY"/>
        </w:rPr>
        <w:t>tasks</w:t>
      </w:r>
      <w:proofErr w:type="spellEnd"/>
      <w:r>
        <w:rPr>
          <w:rFonts w:eastAsia="Calibri"/>
          <w:color w:val="000000"/>
          <w:sz w:val="22"/>
          <w:szCs w:val="22"/>
          <w:lang w:eastAsia="es-UY"/>
        </w:rPr>
        <w:t xml:space="preserve"> </w:t>
      </w:r>
      <w:proofErr w:type="spellStart"/>
      <w:r>
        <w:rPr>
          <w:rFonts w:eastAsia="Calibri"/>
          <w:color w:val="000000"/>
          <w:sz w:val="22"/>
          <w:szCs w:val="22"/>
          <w:lang w:eastAsia="es-UY"/>
        </w:rPr>
        <w:t>identified</w:t>
      </w:r>
      <w:proofErr w:type="spellEnd"/>
      <w:r>
        <w:rPr>
          <w:rFonts w:eastAsia="Calibri"/>
          <w:color w:val="000000"/>
          <w:sz w:val="22"/>
          <w:szCs w:val="22"/>
          <w:lang w:eastAsia="es-UY"/>
        </w:rPr>
        <w:t xml:space="preserve"> </w:t>
      </w:r>
      <w:proofErr w:type="spellStart"/>
      <w:r>
        <w:rPr>
          <w:rFonts w:eastAsia="Calibri"/>
          <w:color w:val="000000"/>
          <w:sz w:val="22"/>
          <w:szCs w:val="22"/>
          <w:lang w:eastAsia="es-UY"/>
        </w:rPr>
        <w:t>by</w:t>
      </w:r>
      <w:proofErr w:type="spellEnd"/>
      <w:r>
        <w:rPr>
          <w:rFonts w:eastAsia="Calibri"/>
          <w:color w:val="000000"/>
          <w:sz w:val="22"/>
          <w:szCs w:val="22"/>
          <w:lang w:eastAsia="es-UY"/>
        </w:rPr>
        <w:t xml:space="preserve"> </w:t>
      </w:r>
      <w:proofErr w:type="spellStart"/>
      <w:r>
        <w:rPr>
          <w:rFonts w:eastAsia="Calibri"/>
          <w:color w:val="000000"/>
          <w:sz w:val="22"/>
          <w:szCs w:val="22"/>
          <w:lang w:eastAsia="es-UY"/>
        </w:rPr>
        <w:t>the</w:t>
      </w:r>
      <w:proofErr w:type="spellEnd"/>
      <w:r>
        <w:rPr>
          <w:rFonts w:eastAsia="Calibri"/>
          <w:color w:val="000000"/>
          <w:sz w:val="22"/>
          <w:szCs w:val="22"/>
          <w:lang w:eastAsia="es-UY"/>
        </w:rPr>
        <w:t xml:space="preserve"> OC, CD, LP, LA, </w:t>
      </w:r>
      <w:proofErr w:type="spellStart"/>
      <w:r>
        <w:rPr>
          <w:rFonts w:eastAsia="Calibri"/>
          <w:color w:val="000000"/>
          <w:sz w:val="22"/>
          <w:szCs w:val="22"/>
          <w:lang w:eastAsia="es-UY"/>
        </w:rPr>
        <w:t>or</w:t>
      </w:r>
      <w:proofErr w:type="spellEnd"/>
      <w:r>
        <w:rPr>
          <w:rFonts w:eastAsia="Calibri"/>
          <w:color w:val="000000"/>
          <w:sz w:val="22"/>
          <w:szCs w:val="22"/>
          <w:lang w:eastAsia="es-UY"/>
        </w:rPr>
        <w:t xml:space="preserve"> </w:t>
      </w:r>
      <w:proofErr w:type="spellStart"/>
      <w:r>
        <w:rPr>
          <w:rFonts w:eastAsia="Calibri"/>
          <w:color w:val="000000"/>
          <w:sz w:val="22"/>
          <w:szCs w:val="22"/>
          <w:lang w:eastAsia="es-UY"/>
        </w:rPr>
        <w:t>others</w:t>
      </w:r>
      <w:proofErr w:type="spellEnd"/>
      <w:r>
        <w:rPr>
          <w:rFonts w:eastAsia="Calibri"/>
          <w:color w:val="000000"/>
          <w:sz w:val="22"/>
          <w:szCs w:val="22"/>
          <w:lang w:eastAsia="es-UY"/>
        </w:rPr>
        <w:t xml:space="preserve">: ________________________ , and </w:t>
      </w:r>
      <w:proofErr w:type="spellStart"/>
      <w:r>
        <w:rPr>
          <w:rFonts w:eastAsia="Calibri"/>
          <w:color w:val="000000"/>
          <w:sz w:val="22"/>
          <w:szCs w:val="22"/>
          <w:lang w:eastAsia="es-UY"/>
        </w:rPr>
        <w:t>that</w:t>
      </w:r>
      <w:proofErr w:type="spellEnd"/>
      <w:r>
        <w:rPr>
          <w:rFonts w:eastAsia="Calibri"/>
          <w:color w:val="000000"/>
          <w:sz w:val="22"/>
          <w:szCs w:val="22"/>
          <w:lang w:eastAsia="es-UY"/>
        </w:rPr>
        <w:t xml:space="preserve"> </w:t>
      </w:r>
      <w:proofErr w:type="spellStart"/>
      <w:r>
        <w:rPr>
          <w:rFonts w:eastAsia="Calibri"/>
          <w:color w:val="000000"/>
          <w:sz w:val="22"/>
          <w:szCs w:val="22"/>
          <w:lang w:eastAsia="es-UY"/>
        </w:rPr>
        <w:t>under</w:t>
      </w:r>
      <w:proofErr w:type="spellEnd"/>
      <w:r>
        <w:rPr>
          <w:rFonts w:eastAsia="Calibri"/>
          <w:color w:val="000000"/>
          <w:sz w:val="22"/>
          <w:szCs w:val="22"/>
          <w:lang w:eastAsia="es-UY"/>
        </w:rPr>
        <w:t xml:space="preserve"> </w:t>
      </w:r>
      <w:proofErr w:type="spellStart"/>
      <w:r>
        <w:rPr>
          <w:rFonts w:eastAsia="Calibri"/>
          <w:color w:val="000000"/>
          <w:sz w:val="22"/>
          <w:szCs w:val="22"/>
          <w:lang w:eastAsia="es-UY"/>
        </w:rPr>
        <w:t>the</w:t>
      </w:r>
      <w:proofErr w:type="spellEnd"/>
      <w:r>
        <w:rPr>
          <w:rFonts w:eastAsia="Calibri"/>
          <w:color w:val="000000"/>
          <w:sz w:val="22"/>
          <w:szCs w:val="22"/>
          <w:lang w:eastAsia="es-UY"/>
        </w:rPr>
        <w:t xml:space="preserve"> administrative, civil </w:t>
      </w:r>
      <w:proofErr w:type="spellStart"/>
      <w:r>
        <w:rPr>
          <w:rFonts w:eastAsia="Calibri"/>
          <w:color w:val="000000"/>
          <w:sz w:val="22"/>
          <w:szCs w:val="22"/>
          <w:lang w:eastAsia="es-UY"/>
        </w:rPr>
        <w:t>or</w:t>
      </w:r>
      <w:proofErr w:type="spellEnd"/>
      <w:r>
        <w:rPr>
          <w:rFonts w:eastAsia="Calibri"/>
          <w:color w:val="000000"/>
          <w:sz w:val="22"/>
          <w:szCs w:val="22"/>
          <w:lang w:eastAsia="es-UY"/>
        </w:rPr>
        <w:t xml:space="preserve"> criminal </w:t>
      </w:r>
      <w:proofErr w:type="spellStart"/>
      <w:r>
        <w:rPr>
          <w:rFonts w:eastAsia="Calibri"/>
          <w:color w:val="000000"/>
          <w:sz w:val="22"/>
          <w:szCs w:val="22"/>
          <w:lang w:eastAsia="es-UY"/>
        </w:rPr>
        <w:t>responsibilities</w:t>
      </w:r>
      <w:proofErr w:type="spellEnd"/>
      <w:r>
        <w:rPr>
          <w:rFonts w:eastAsia="Calibri"/>
          <w:color w:val="000000"/>
          <w:sz w:val="22"/>
          <w:szCs w:val="22"/>
          <w:lang w:eastAsia="es-UY"/>
        </w:rPr>
        <w:t xml:space="preserve"> </w:t>
      </w:r>
      <w:proofErr w:type="spellStart"/>
      <w:r>
        <w:rPr>
          <w:rFonts w:eastAsia="Calibri"/>
          <w:color w:val="000000"/>
          <w:sz w:val="22"/>
          <w:szCs w:val="22"/>
          <w:lang w:eastAsia="es-UY"/>
        </w:rPr>
        <w:t>that</w:t>
      </w:r>
      <w:proofErr w:type="spellEnd"/>
      <w:r>
        <w:rPr>
          <w:rFonts w:eastAsia="Calibri"/>
          <w:color w:val="000000"/>
          <w:sz w:val="22"/>
          <w:szCs w:val="22"/>
          <w:lang w:eastAsia="es-UY"/>
        </w:rPr>
        <w:t xml:space="preserve"> </w:t>
      </w:r>
      <w:proofErr w:type="spellStart"/>
      <w:r>
        <w:rPr>
          <w:rFonts w:eastAsia="Calibri"/>
          <w:color w:val="000000"/>
          <w:sz w:val="22"/>
          <w:szCs w:val="22"/>
          <w:lang w:eastAsia="es-UY"/>
        </w:rPr>
        <w:t>may</w:t>
      </w:r>
      <w:proofErr w:type="spellEnd"/>
      <w:r>
        <w:rPr>
          <w:rFonts w:eastAsia="Calibri"/>
          <w:color w:val="000000"/>
          <w:sz w:val="22"/>
          <w:szCs w:val="22"/>
          <w:lang w:eastAsia="es-UY"/>
        </w:rPr>
        <w:t xml:space="preserve"> </w:t>
      </w:r>
      <w:proofErr w:type="spellStart"/>
      <w:r>
        <w:rPr>
          <w:rFonts w:eastAsia="Calibri"/>
          <w:color w:val="000000"/>
          <w:sz w:val="22"/>
          <w:szCs w:val="22"/>
          <w:lang w:eastAsia="es-UY"/>
        </w:rPr>
        <w:t>correspond</w:t>
      </w:r>
      <w:proofErr w:type="spellEnd"/>
      <w:r>
        <w:rPr>
          <w:rFonts w:eastAsia="Calibri"/>
          <w:color w:val="000000"/>
          <w:sz w:val="22"/>
          <w:szCs w:val="22"/>
          <w:lang w:eastAsia="es-UY"/>
        </w:rPr>
        <w:t xml:space="preserve"> </w:t>
      </w:r>
      <w:proofErr w:type="spellStart"/>
      <w:r>
        <w:rPr>
          <w:rFonts w:eastAsia="Calibri"/>
          <w:color w:val="000000"/>
          <w:sz w:val="22"/>
          <w:szCs w:val="22"/>
          <w:lang w:eastAsia="es-UY"/>
        </w:rPr>
        <w:t>result</w:t>
      </w:r>
      <w:proofErr w:type="spellEnd"/>
      <w:r>
        <w:rPr>
          <w:rFonts w:eastAsia="Calibri"/>
          <w:color w:val="000000"/>
          <w:sz w:val="22"/>
          <w:szCs w:val="22"/>
          <w:lang w:eastAsia="es-UY"/>
        </w:rPr>
        <w:t xml:space="preserve"> </w:t>
      </w:r>
      <w:proofErr w:type="spellStart"/>
      <w:r>
        <w:rPr>
          <w:rFonts w:eastAsia="Calibri"/>
          <w:color w:val="000000"/>
          <w:sz w:val="22"/>
          <w:szCs w:val="22"/>
          <w:lang w:eastAsia="es-UY"/>
        </w:rPr>
        <w:t>from</w:t>
      </w:r>
      <w:proofErr w:type="spellEnd"/>
      <w:r>
        <w:rPr>
          <w:rFonts w:eastAsia="Calibri"/>
          <w:color w:val="000000"/>
          <w:sz w:val="22"/>
          <w:szCs w:val="22"/>
          <w:lang w:eastAsia="es-UY"/>
        </w:rPr>
        <w:t xml:space="preserve"> </w:t>
      </w:r>
      <w:proofErr w:type="spellStart"/>
      <w:r>
        <w:rPr>
          <w:rFonts w:eastAsia="Calibri"/>
          <w:color w:val="000000"/>
          <w:sz w:val="22"/>
          <w:szCs w:val="22"/>
          <w:lang w:eastAsia="es-UY"/>
        </w:rPr>
        <w:t>their</w:t>
      </w:r>
      <w:proofErr w:type="spellEnd"/>
      <w:r>
        <w:rPr>
          <w:rFonts w:eastAsia="Calibri"/>
          <w:color w:val="000000"/>
          <w:sz w:val="22"/>
          <w:szCs w:val="22"/>
          <w:lang w:eastAsia="es-UY"/>
        </w:rPr>
        <w:t xml:space="preserve"> status as a </w:t>
      </w:r>
      <w:proofErr w:type="spellStart"/>
      <w:r>
        <w:rPr>
          <w:rFonts w:eastAsia="Calibri"/>
          <w:color w:val="000000"/>
          <w:sz w:val="22"/>
          <w:szCs w:val="22"/>
          <w:lang w:eastAsia="es-UY"/>
        </w:rPr>
        <w:t>contractor</w:t>
      </w:r>
      <w:proofErr w:type="spellEnd"/>
      <w:r>
        <w:rPr>
          <w:rFonts w:eastAsia="Calibri"/>
          <w:color w:val="000000"/>
          <w:sz w:val="22"/>
          <w:szCs w:val="22"/>
          <w:lang w:eastAsia="es-UY"/>
        </w:rPr>
        <w:t>.</w:t>
      </w:r>
    </w:p>
    <w:p w14:paraId="47614FC3" w14:textId="77777777" w:rsidR="00E255F4" w:rsidRDefault="00000000">
      <w:pPr>
        <w:autoSpaceDE w:val="0"/>
        <w:spacing w:line="360" w:lineRule="auto"/>
        <w:jc w:val="both"/>
      </w:pPr>
      <w:proofErr w:type="spellStart"/>
      <w:r>
        <w:rPr>
          <w:rFonts w:eastAsia="Calibri"/>
          <w:color w:val="000000"/>
          <w:sz w:val="22"/>
          <w:szCs w:val="22"/>
          <w:lang w:eastAsia="es-UY"/>
        </w:rPr>
        <w:t>Therefore</w:t>
      </w:r>
      <w:proofErr w:type="spellEnd"/>
      <w:r>
        <w:rPr>
          <w:rFonts w:eastAsia="Calibri"/>
          <w:color w:val="000000"/>
          <w:sz w:val="22"/>
          <w:szCs w:val="22"/>
          <w:lang w:eastAsia="es-UY"/>
        </w:rPr>
        <w:t xml:space="preserve">, </w:t>
      </w:r>
      <w:proofErr w:type="spellStart"/>
      <w:r>
        <w:rPr>
          <w:rFonts w:eastAsia="Calibri"/>
          <w:color w:val="000000"/>
          <w:sz w:val="22"/>
          <w:szCs w:val="22"/>
          <w:lang w:eastAsia="es-UY"/>
        </w:rPr>
        <w:t>we</w:t>
      </w:r>
      <w:proofErr w:type="spellEnd"/>
      <w:r>
        <w:rPr>
          <w:rFonts w:eastAsia="Calibri"/>
          <w:color w:val="000000"/>
          <w:sz w:val="22"/>
          <w:szCs w:val="22"/>
          <w:lang w:eastAsia="es-UY"/>
        </w:rPr>
        <w:t xml:space="preserve"> declare </w:t>
      </w:r>
      <w:proofErr w:type="spellStart"/>
      <w:r>
        <w:rPr>
          <w:rFonts w:eastAsia="Calibri"/>
          <w:color w:val="000000"/>
          <w:sz w:val="22"/>
          <w:szCs w:val="22"/>
          <w:lang w:eastAsia="es-UY"/>
        </w:rPr>
        <w:t>that</w:t>
      </w:r>
      <w:proofErr w:type="spellEnd"/>
      <w:r>
        <w:rPr>
          <w:rFonts w:eastAsia="Calibri"/>
          <w:color w:val="000000"/>
          <w:sz w:val="22"/>
          <w:szCs w:val="22"/>
          <w:lang w:eastAsia="es-UY"/>
        </w:rPr>
        <w:t xml:space="preserve">, </w:t>
      </w:r>
      <w:proofErr w:type="spellStart"/>
      <w:r>
        <w:rPr>
          <w:rFonts w:eastAsia="Calibri"/>
          <w:color w:val="000000"/>
          <w:sz w:val="22"/>
          <w:szCs w:val="22"/>
          <w:lang w:eastAsia="es-UY"/>
        </w:rPr>
        <w:t>before</w:t>
      </w:r>
      <w:proofErr w:type="spellEnd"/>
      <w:r>
        <w:rPr>
          <w:rFonts w:eastAsia="Calibri"/>
          <w:color w:val="000000"/>
          <w:sz w:val="22"/>
          <w:szCs w:val="22"/>
          <w:lang w:eastAsia="es-UY"/>
        </w:rPr>
        <w:t xml:space="preserve"> </w:t>
      </w:r>
      <w:proofErr w:type="spellStart"/>
      <w:r>
        <w:rPr>
          <w:rFonts w:eastAsia="Calibri"/>
          <w:color w:val="000000"/>
          <w:sz w:val="22"/>
          <w:szCs w:val="22"/>
          <w:lang w:eastAsia="es-UY"/>
        </w:rPr>
        <w:t>starting</w:t>
      </w:r>
      <w:proofErr w:type="spellEnd"/>
      <w:r>
        <w:rPr>
          <w:rFonts w:eastAsia="Calibri"/>
          <w:color w:val="000000"/>
          <w:sz w:val="22"/>
          <w:szCs w:val="22"/>
          <w:lang w:eastAsia="es-UY"/>
        </w:rPr>
        <w:t xml:space="preserve"> </w:t>
      </w:r>
      <w:proofErr w:type="spellStart"/>
      <w:r>
        <w:rPr>
          <w:rFonts w:eastAsia="Calibri"/>
          <w:color w:val="000000"/>
          <w:sz w:val="22"/>
          <w:szCs w:val="22"/>
          <w:lang w:eastAsia="es-UY"/>
        </w:rPr>
        <w:t>the</w:t>
      </w:r>
      <w:proofErr w:type="spellEnd"/>
      <w:r>
        <w:rPr>
          <w:rFonts w:eastAsia="Calibri"/>
          <w:color w:val="000000"/>
          <w:sz w:val="22"/>
          <w:szCs w:val="22"/>
          <w:lang w:eastAsia="es-UY"/>
        </w:rPr>
        <w:t xml:space="preserve"> </w:t>
      </w:r>
      <w:proofErr w:type="spellStart"/>
      <w:r>
        <w:rPr>
          <w:rFonts w:eastAsia="Calibri"/>
          <w:color w:val="000000"/>
          <w:sz w:val="22"/>
          <w:szCs w:val="22"/>
          <w:lang w:eastAsia="es-UY"/>
        </w:rPr>
        <w:t>tasks</w:t>
      </w:r>
      <w:proofErr w:type="spellEnd"/>
      <w:r>
        <w:rPr>
          <w:rFonts w:eastAsia="Calibri"/>
          <w:color w:val="000000"/>
          <w:sz w:val="22"/>
          <w:szCs w:val="22"/>
          <w:lang w:eastAsia="es-UY"/>
        </w:rPr>
        <w:t xml:space="preserve"> and </w:t>
      </w:r>
      <w:proofErr w:type="spellStart"/>
      <w:r>
        <w:rPr>
          <w:rFonts w:eastAsia="Calibri"/>
          <w:color w:val="000000"/>
          <w:sz w:val="22"/>
          <w:szCs w:val="22"/>
          <w:lang w:eastAsia="es-UY"/>
        </w:rPr>
        <w:t>on</w:t>
      </w:r>
      <w:proofErr w:type="spellEnd"/>
      <w:r>
        <w:rPr>
          <w:rFonts w:eastAsia="Calibri"/>
          <w:color w:val="000000"/>
          <w:sz w:val="22"/>
          <w:szCs w:val="22"/>
          <w:lang w:eastAsia="es-UY"/>
        </w:rPr>
        <w:t xml:space="preserve"> </w:t>
      </w:r>
      <w:proofErr w:type="spellStart"/>
      <w:r>
        <w:rPr>
          <w:rFonts w:eastAsia="Calibri"/>
          <w:color w:val="000000"/>
          <w:sz w:val="22"/>
          <w:szCs w:val="22"/>
          <w:lang w:eastAsia="es-UY"/>
        </w:rPr>
        <w:t>the</w:t>
      </w:r>
      <w:proofErr w:type="spellEnd"/>
      <w:r>
        <w:rPr>
          <w:rFonts w:eastAsia="Calibri"/>
          <w:color w:val="000000"/>
          <w:sz w:val="22"/>
          <w:szCs w:val="22"/>
          <w:lang w:eastAsia="es-UY"/>
        </w:rPr>
        <w:t xml:space="preserve"> </w:t>
      </w:r>
      <w:proofErr w:type="spellStart"/>
      <w:r>
        <w:rPr>
          <w:rFonts w:eastAsia="Calibri"/>
          <w:color w:val="000000"/>
          <w:sz w:val="22"/>
          <w:szCs w:val="22"/>
          <w:lang w:eastAsia="es-UY"/>
        </w:rPr>
        <w:t>occasion</w:t>
      </w:r>
      <w:proofErr w:type="spellEnd"/>
      <w:r>
        <w:rPr>
          <w:rFonts w:eastAsia="Calibri"/>
          <w:color w:val="000000"/>
          <w:sz w:val="22"/>
          <w:szCs w:val="22"/>
          <w:lang w:eastAsia="es-UY"/>
        </w:rPr>
        <w:t xml:space="preserve"> </w:t>
      </w:r>
      <w:proofErr w:type="spellStart"/>
      <w:r>
        <w:rPr>
          <w:rFonts w:eastAsia="Calibri"/>
          <w:color w:val="000000"/>
          <w:sz w:val="22"/>
          <w:szCs w:val="22"/>
          <w:lang w:eastAsia="es-UY"/>
        </w:rPr>
        <w:t>of</w:t>
      </w:r>
      <w:proofErr w:type="spellEnd"/>
      <w:r>
        <w:rPr>
          <w:rFonts w:eastAsia="Calibri"/>
          <w:color w:val="000000"/>
          <w:sz w:val="22"/>
          <w:szCs w:val="22"/>
          <w:lang w:eastAsia="es-UY"/>
        </w:rPr>
        <w:t xml:space="preserve"> </w:t>
      </w:r>
      <w:proofErr w:type="spellStart"/>
      <w:r>
        <w:rPr>
          <w:rFonts w:eastAsia="Calibri"/>
          <w:color w:val="000000"/>
          <w:sz w:val="22"/>
          <w:szCs w:val="22"/>
          <w:lang w:eastAsia="es-UY"/>
        </w:rPr>
        <w:t>their</w:t>
      </w:r>
      <w:proofErr w:type="spellEnd"/>
      <w:r>
        <w:rPr>
          <w:rFonts w:eastAsia="Calibri"/>
          <w:color w:val="000000"/>
          <w:sz w:val="22"/>
          <w:szCs w:val="22"/>
          <w:lang w:eastAsia="es-UY"/>
        </w:rPr>
        <w:t xml:space="preserve"> </w:t>
      </w:r>
      <w:proofErr w:type="spellStart"/>
      <w:r>
        <w:rPr>
          <w:rFonts w:eastAsia="Calibri"/>
          <w:color w:val="000000"/>
          <w:sz w:val="22"/>
          <w:szCs w:val="22"/>
          <w:lang w:eastAsia="es-UY"/>
        </w:rPr>
        <w:t>execution</w:t>
      </w:r>
      <w:proofErr w:type="spellEnd"/>
      <w:r>
        <w:rPr>
          <w:rFonts w:eastAsia="Calibri"/>
          <w:color w:val="000000"/>
          <w:sz w:val="22"/>
          <w:szCs w:val="22"/>
          <w:lang w:eastAsia="es-UY"/>
        </w:rPr>
        <w:t>:</w:t>
      </w:r>
    </w:p>
    <w:p w14:paraId="7B3DB5B7" w14:textId="77777777" w:rsidR="00E255F4" w:rsidRDefault="00000000">
      <w:pPr>
        <w:autoSpaceDE w:val="0"/>
        <w:spacing w:line="360" w:lineRule="auto"/>
        <w:jc w:val="both"/>
        <w:rPr>
          <w:rFonts w:eastAsia="Calibri"/>
          <w:color w:val="000000"/>
          <w:sz w:val="22"/>
          <w:szCs w:val="22"/>
          <w:lang w:eastAsia="es-UY"/>
        </w:rPr>
      </w:pPr>
      <w:r>
        <w:rPr>
          <w:rFonts w:eastAsia="Calibri"/>
          <w:color w:val="000000"/>
          <w:sz w:val="22"/>
          <w:szCs w:val="22"/>
          <w:lang w:eastAsia="es-UY"/>
        </w:rPr>
        <w:t xml:space="preserve">1) </w:t>
      </w:r>
      <w:proofErr w:type="spellStart"/>
      <w:r>
        <w:rPr>
          <w:rFonts w:eastAsia="Calibri"/>
          <w:color w:val="000000"/>
          <w:sz w:val="22"/>
          <w:szCs w:val="22"/>
          <w:lang w:eastAsia="es-UY"/>
        </w:rPr>
        <w:t>All</w:t>
      </w:r>
      <w:proofErr w:type="spellEnd"/>
      <w:r>
        <w:rPr>
          <w:rFonts w:eastAsia="Calibri"/>
          <w:color w:val="000000"/>
          <w:sz w:val="22"/>
          <w:szCs w:val="22"/>
          <w:lang w:eastAsia="es-UY"/>
        </w:rPr>
        <w:t xml:space="preserve"> </w:t>
      </w:r>
      <w:proofErr w:type="spellStart"/>
      <w:r>
        <w:rPr>
          <w:rFonts w:eastAsia="Calibri"/>
          <w:color w:val="000000"/>
          <w:sz w:val="22"/>
          <w:szCs w:val="22"/>
          <w:lang w:eastAsia="es-UY"/>
        </w:rPr>
        <w:t>our</w:t>
      </w:r>
      <w:proofErr w:type="spellEnd"/>
      <w:r>
        <w:rPr>
          <w:rFonts w:eastAsia="Calibri"/>
          <w:color w:val="000000"/>
          <w:sz w:val="22"/>
          <w:szCs w:val="22"/>
          <w:lang w:eastAsia="es-UY"/>
        </w:rPr>
        <w:t xml:space="preserve"> staff </w:t>
      </w:r>
      <w:proofErr w:type="spellStart"/>
      <w:r>
        <w:rPr>
          <w:rFonts w:eastAsia="Calibri"/>
          <w:color w:val="000000"/>
          <w:sz w:val="22"/>
          <w:szCs w:val="22"/>
          <w:lang w:eastAsia="es-UY"/>
        </w:rPr>
        <w:t>have</w:t>
      </w:r>
      <w:proofErr w:type="spellEnd"/>
      <w:r>
        <w:rPr>
          <w:rFonts w:eastAsia="Calibri"/>
          <w:color w:val="000000"/>
          <w:sz w:val="22"/>
          <w:szCs w:val="22"/>
          <w:lang w:eastAsia="es-UY"/>
        </w:rPr>
        <w:t xml:space="preserve"> </w:t>
      </w:r>
      <w:proofErr w:type="spellStart"/>
      <w:r>
        <w:rPr>
          <w:rFonts w:eastAsia="Calibri"/>
          <w:color w:val="000000"/>
          <w:sz w:val="22"/>
          <w:szCs w:val="22"/>
          <w:lang w:eastAsia="es-UY"/>
        </w:rPr>
        <w:t>current</w:t>
      </w:r>
      <w:proofErr w:type="spellEnd"/>
      <w:r>
        <w:rPr>
          <w:rFonts w:eastAsia="Calibri"/>
          <w:color w:val="000000"/>
          <w:sz w:val="22"/>
          <w:szCs w:val="22"/>
          <w:lang w:eastAsia="es-UY"/>
        </w:rPr>
        <w:t xml:space="preserve"> </w:t>
      </w:r>
      <w:proofErr w:type="spellStart"/>
      <w:r>
        <w:rPr>
          <w:rFonts w:eastAsia="Calibri"/>
          <w:color w:val="000000"/>
          <w:sz w:val="22"/>
          <w:szCs w:val="22"/>
          <w:lang w:eastAsia="es-UY"/>
        </w:rPr>
        <w:t>occupational</w:t>
      </w:r>
      <w:proofErr w:type="spellEnd"/>
      <w:r>
        <w:rPr>
          <w:rFonts w:eastAsia="Calibri"/>
          <w:color w:val="000000"/>
          <w:sz w:val="22"/>
          <w:szCs w:val="22"/>
          <w:lang w:eastAsia="es-UY"/>
        </w:rPr>
        <w:t xml:space="preserve"> </w:t>
      </w:r>
      <w:proofErr w:type="spellStart"/>
      <w:r>
        <w:rPr>
          <w:rFonts w:eastAsia="Calibri"/>
          <w:color w:val="000000"/>
          <w:sz w:val="22"/>
          <w:szCs w:val="22"/>
          <w:lang w:eastAsia="es-UY"/>
        </w:rPr>
        <w:t>health</w:t>
      </w:r>
      <w:proofErr w:type="spellEnd"/>
      <w:r>
        <w:rPr>
          <w:rFonts w:eastAsia="Calibri"/>
          <w:color w:val="000000"/>
          <w:sz w:val="22"/>
          <w:szCs w:val="22"/>
          <w:lang w:eastAsia="es-UY"/>
        </w:rPr>
        <w:t xml:space="preserve"> fitness, </w:t>
      </w:r>
      <w:proofErr w:type="spellStart"/>
      <w:r>
        <w:rPr>
          <w:rFonts w:eastAsia="Calibri"/>
          <w:color w:val="000000"/>
          <w:sz w:val="22"/>
          <w:szCs w:val="22"/>
          <w:lang w:eastAsia="es-UY"/>
        </w:rPr>
        <w:t>appropriate</w:t>
      </w:r>
      <w:proofErr w:type="spellEnd"/>
      <w:r>
        <w:rPr>
          <w:rFonts w:eastAsia="Calibri"/>
          <w:color w:val="000000"/>
          <w:sz w:val="22"/>
          <w:szCs w:val="22"/>
          <w:lang w:eastAsia="es-UY"/>
        </w:rPr>
        <w:t xml:space="preserve"> </w:t>
      </w:r>
      <w:proofErr w:type="spellStart"/>
      <w:r>
        <w:rPr>
          <w:rFonts w:eastAsia="Calibri"/>
          <w:color w:val="000000"/>
          <w:sz w:val="22"/>
          <w:szCs w:val="22"/>
          <w:lang w:eastAsia="es-UY"/>
        </w:rPr>
        <w:t>to</w:t>
      </w:r>
      <w:proofErr w:type="spellEnd"/>
      <w:r>
        <w:rPr>
          <w:rFonts w:eastAsia="Calibri"/>
          <w:color w:val="000000"/>
          <w:sz w:val="22"/>
          <w:szCs w:val="22"/>
          <w:lang w:eastAsia="es-UY"/>
        </w:rPr>
        <w:t xml:space="preserve"> </w:t>
      </w:r>
      <w:proofErr w:type="spellStart"/>
      <w:r>
        <w:rPr>
          <w:rFonts w:eastAsia="Calibri"/>
          <w:color w:val="000000"/>
          <w:sz w:val="22"/>
          <w:szCs w:val="22"/>
          <w:lang w:eastAsia="es-UY"/>
        </w:rPr>
        <w:t>the</w:t>
      </w:r>
      <w:proofErr w:type="spellEnd"/>
      <w:r>
        <w:rPr>
          <w:rFonts w:eastAsia="Calibri"/>
          <w:color w:val="000000"/>
          <w:sz w:val="22"/>
          <w:szCs w:val="22"/>
          <w:lang w:eastAsia="es-UY"/>
        </w:rPr>
        <w:t xml:space="preserve"> </w:t>
      </w:r>
      <w:proofErr w:type="spellStart"/>
      <w:r>
        <w:rPr>
          <w:rFonts w:eastAsia="Calibri"/>
          <w:color w:val="000000"/>
          <w:sz w:val="22"/>
          <w:szCs w:val="22"/>
          <w:lang w:eastAsia="es-UY"/>
        </w:rPr>
        <w:t>work</w:t>
      </w:r>
      <w:proofErr w:type="spellEnd"/>
      <w:r>
        <w:rPr>
          <w:rFonts w:eastAsia="Calibri"/>
          <w:color w:val="000000"/>
          <w:sz w:val="22"/>
          <w:szCs w:val="22"/>
          <w:lang w:eastAsia="es-UY"/>
        </w:rPr>
        <w:t xml:space="preserve"> </w:t>
      </w:r>
      <w:proofErr w:type="spellStart"/>
      <w:r>
        <w:rPr>
          <w:rFonts w:eastAsia="Calibri"/>
          <w:color w:val="000000"/>
          <w:sz w:val="22"/>
          <w:szCs w:val="22"/>
          <w:lang w:eastAsia="es-UY"/>
        </w:rPr>
        <w:t>to</w:t>
      </w:r>
      <w:proofErr w:type="spellEnd"/>
      <w:r>
        <w:rPr>
          <w:rFonts w:eastAsia="Calibri"/>
          <w:color w:val="000000"/>
          <w:sz w:val="22"/>
          <w:szCs w:val="22"/>
          <w:lang w:eastAsia="es-UY"/>
        </w:rPr>
        <w:t xml:space="preserve"> be </w:t>
      </w:r>
      <w:proofErr w:type="spellStart"/>
      <w:r>
        <w:rPr>
          <w:rFonts w:eastAsia="Calibri"/>
          <w:color w:val="000000"/>
          <w:sz w:val="22"/>
          <w:szCs w:val="22"/>
          <w:lang w:eastAsia="es-UY"/>
        </w:rPr>
        <w:t>performed</w:t>
      </w:r>
      <w:proofErr w:type="spellEnd"/>
      <w:r>
        <w:rPr>
          <w:rFonts w:eastAsia="Calibri"/>
          <w:color w:val="000000"/>
          <w:sz w:val="22"/>
          <w:szCs w:val="22"/>
          <w:lang w:eastAsia="es-UY"/>
        </w:rPr>
        <w:t>.</w:t>
      </w:r>
    </w:p>
    <w:p w14:paraId="0971316F" w14:textId="77777777" w:rsidR="00E255F4" w:rsidRDefault="00000000">
      <w:pPr>
        <w:autoSpaceDE w:val="0"/>
        <w:spacing w:line="360" w:lineRule="auto"/>
        <w:jc w:val="both"/>
        <w:rPr>
          <w:rFonts w:eastAsia="Calibri"/>
          <w:color w:val="000000"/>
          <w:sz w:val="22"/>
          <w:szCs w:val="22"/>
          <w:lang w:eastAsia="es-UY"/>
        </w:rPr>
      </w:pPr>
      <w:r>
        <w:rPr>
          <w:rFonts w:eastAsia="Calibri"/>
          <w:color w:val="000000"/>
          <w:sz w:val="22"/>
          <w:szCs w:val="22"/>
          <w:lang w:eastAsia="es-UY"/>
        </w:rPr>
        <w:t xml:space="preserve">2) </w:t>
      </w:r>
      <w:proofErr w:type="spellStart"/>
      <w:r>
        <w:rPr>
          <w:rFonts w:eastAsia="Calibri"/>
          <w:color w:val="000000"/>
          <w:sz w:val="22"/>
          <w:szCs w:val="22"/>
          <w:lang w:eastAsia="es-UY"/>
        </w:rPr>
        <w:t>All</w:t>
      </w:r>
      <w:proofErr w:type="spellEnd"/>
      <w:r>
        <w:rPr>
          <w:rFonts w:eastAsia="Calibri"/>
          <w:color w:val="000000"/>
          <w:sz w:val="22"/>
          <w:szCs w:val="22"/>
          <w:lang w:eastAsia="es-UY"/>
        </w:rPr>
        <w:t xml:space="preserve"> </w:t>
      </w:r>
      <w:proofErr w:type="spellStart"/>
      <w:r>
        <w:rPr>
          <w:rFonts w:eastAsia="Calibri"/>
          <w:color w:val="000000"/>
          <w:sz w:val="22"/>
          <w:szCs w:val="22"/>
          <w:lang w:eastAsia="es-UY"/>
        </w:rPr>
        <w:t>facilities</w:t>
      </w:r>
      <w:proofErr w:type="spellEnd"/>
      <w:r>
        <w:rPr>
          <w:rFonts w:eastAsia="Calibri"/>
          <w:color w:val="000000"/>
          <w:sz w:val="22"/>
          <w:szCs w:val="22"/>
          <w:lang w:eastAsia="es-UY"/>
        </w:rPr>
        <w:t xml:space="preserve">, </w:t>
      </w:r>
      <w:proofErr w:type="spellStart"/>
      <w:r>
        <w:rPr>
          <w:rFonts w:eastAsia="Calibri"/>
          <w:color w:val="000000"/>
          <w:sz w:val="22"/>
          <w:szCs w:val="22"/>
          <w:lang w:eastAsia="es-UY"/>
        </w:rPr>
        <w:t>machinery</w:t>
      </w:r>
      <w:proofErr w:type="spellEnd"/>
      <w:r>
        <w:rPr>
          <w:rFonts w:eastAsia="Calibri"/>
          <w:color w:val="000000"/>
          <w:sz w:val="22"/>
          <w:szCs w:val="22"/>
          <w:lang w:eastAsia="es-UY"/>
        </w:rPr>
        <w:t xml:space="preserve">, </w:t>
      </w:r>
      <w:proofErr w:type="spellStart"/>
      <w:r>
        <w:rPr>
          <w:rFonts w:eastAsia="Calibri"/>
          <w:color w:val="000000"/>
          <w:sz w:val="22"/>
          <w:szCs w:val="22"/>
          <w:lang w:eastAsia="es-UY"/>
        </w:rPr>
        <w:t>equipment</w:t>
      </w:r>
      <w:proofErr w:type="spellEnd"/>
      <w:r>
        <w:rPr>
          <w:rFonts w:eastAsia="Calibri"/>
          <w:color w:val="000000"/>
          <w:sz w:val="22"/>
          <w:szCs w:val="22"/>
          <w:lang w:eastAsia="es-UY"/>
        </w:rPr>
        <w:t xml:space="preserve"> and </w:t>
      </w:r>
      <w:proofErr w:type="spellStart"/>
      <w:r>
        <w:rPr>
          <w:rFonts w:eastAsia="Calibri"/>
          <w:color w:val="000000"/>
          <w:sz w:val="22"/>
          <w:szCs w:val="22"/>
          <w:lang w:eastAsia="es-UY"/>
        </w:rPr>
        <w:t>tools</w:t>
      </w:r>
      <w:proofErr w:type="spellEnd"/>
      <w:r>
        <w:rPr>
          <w:rFonts w:eastAsia="Calibri"/>
          <w:color w:val="000000"/>
          <w:sz w:val="22"/>
          <w:szCs w:val="22"/>
          <w:lang w:eastAsia="es-UY"/>
        </w:rPr>
        <w:t xml:space="preserve"> (</w:t>
      </w:r>
      <w:proofErr w:type="spellStart"/>
      <w:r>
        <w:rPr>
          <w:rFonts w:eastAsia="Calibri"/>
          <w:color w:val="000000"/>
          <w:sz w:val="22"/>
          <w:szCs w:val="22"/>
          <w:lang w:eastAsia="es-UY"/>
        </w:rPr>
        <w:t>owned</w:t>
      </w:r>
      <w:proofErr w:type="spellEnd"/>
      <w:r>
        <w:rPr>
          <w:rFonts w:eastAsia="Calibri"/>
          <w:color w:val="000000"/>
          <w:sz w:val="22"/>
          <w:szCs w:val="22"/>
          <w:lang w:eastAsia="es-UY"/>
        </w:rPr>
        <w:t xml:space="preserve">) </w:t>
      </w:r>
      <w:proofErr w:type="spellStart"/>
      <w:r>
        <w:rPr>
          <w:rFonts w:eastAsia="Calibri"/>
          <w:color w:val="000000"/>
          <w:sz w:val="22"/>
          <w:szCs w:val="22"/>
          <w:lang w:eastAsia="es-UY"/>
        </w:rPr>
        <w:t>to</w:t>
      </w:r>
      <w:proofErr w:type="spellEnd"/>
      <w:r>
        <w:rPr>
          <w:rFonts w:eastAsia="Calibri"/>
          <w:color w:val="000000"/>
          <w:sz w:val="22"/>
          <w:szCs w:val="22"/>
          <w:lang w:eastAsia="es-UY"/>
        </w:rPr>
        <w:t xml:space="preserve"> be </w:t>
      </w:r>
      <w:proofErr w:type="spellStart"/>
      <w:r>
        <w:rPr>
          <w:rFonts w:eastAsia="Calibri"/>
          <w:color w:val="000000"/>
          <w:sz w:val="22"/>
          <w:szCs w:val="22"/>
          <w:lang w:eastAsia="es-UY"/>
        </w:rPr>
        <w:t>used</w:t>
      </w:r>
      <w:proofErr w:type="spellEnd"/>
      <w:r>
        <w:rPr>
          <w:rFonts w:eastAsia="Calibri"/>
          <w:color w:val="000000"/>
          <w:sz w:val="22"/>
          <w:szCs w:val="22"/>
          <w:lang w:eastAsia="es-UY"/>
        </w:rPr>
        <w:t xml:space="preserve"> are </w:t>
      </w:r>
      <w:proofErr w:type="spellStart"/>
      <w:r>
        <w:rPr>
          <w:rFonts w:eastAsia="Calibri"/>
          <w:color w:val="000000"/>
          <w:sz w:val="22"/>
          <w:szCs w:val="22"/>
          <w:lang w:eastAsia="es-UY"/>
        </w:rPr>
        <w:t>suitable</w:t>
      </w:r>
      <w:proofErr w:type="spellEnd"/>
      <w:r>
        <w:rPr>
          <w:rFonts w:eastAsia="Calibri"/>
          <w:color w:val="000000"/>
          <w:sz w:val="22"/>
          <w:szCs w:val="22"/>
          <w:lang w:eastAsia="es-UY"/>
        </w:rPr>
        <w:t xml:space="preserve"> </w:t>
      </w:r>
      <w:proofErr w:type="spellStart"/>
      <w:r>
        <w:rPr>
          <w:rFonts w:eastAsia="Calibri"/>
          <w:color w:val="000000"/>
          <w:sz w:val="22"/>
          <w:szCs w:val="22"/>
          <w:lang w:eastAsia="es-UY"/>
        </w:rPr>
        <w:t>for</w:t>
      </w:r>
      <w:proofErr w:type="spellEnd"/>
      <w:r>
        <w:rPr>
          <w:rFonts w:eastAsia="Calibri"/>
          <w:color w:val="000000"/>
          <w:sz w:val="22"/>
          <w:szCs w:val="22"/>
          <w:lang w:eastAsia="es-UY"/>
        </w:rPr>
        <w:t xml:space="preserve"> use, are </w:t>
      </w:r>
      <w:proofErr w:type="spellStart"/>
      <w:r>
        <w:rPr>
          <w:rFonts w:eastAsia="Calibri"/>
          <w:color w:val="000000"/>
          <w:sz w:val="22"/>
          <w:szCs w:val="22"/>
          <w:lang w:eastAsia="es-UY"/>
        </w:rPr>
        <w:t>inspected</w:t>
      </w:r>
      <w:proofErr w:type="spellEnd"/>
      <w:r>
        <w:rPr>
          <w:rFonts w:eastAsia="Calibri"/>
          <w:color w:val="000000"/>
          <w:sz w:val="22"/>
          <w:szCs w:val="22"/>
          <w:lang w:eastAsia="es-UY"/>
        </w:rPr>
        <w:t xml:space="preserve"> and </w:t>
      </w:r>
      <w:proofErr w:type="spellStart"/>
      <w:r>
        <w:rPr>
          <w:rFonts w:eastAsia="Calibri"/>
          <w:color w:val="000000"/>
          <w:sz w:val="22"/>
          <w:szCs w:val="22"/>
          <w:lang w:eastAsia="es-UY"/>
        </w:rPr>
        <w:t>properly</w:t>
      </w:r>
      <w:proofErr w:type="spellEnd"/>
      <w:r>
        <w:rPr>
          <w:rFonts w:eastAsia="Calibri"/>
          <w:color w:val="000000"/>
          <w:sz w:val="22"/>
          <w:szCs w:val="22"/>
          <w:lang w:eastAsia="es-UY"/>
        </w:rPr>
        <w:t xml:space="preserve"> </w:t>
      </w:r>
      <w:proofErr w:type="spellStart"/>
      <w:r>
        <w:rPr>
          <w:rFonts w:eastAsia="Calibri"/>
          <w:color w:val="000000"/>
          <w:sz w:val="22"/>
          <w:szCs w:val="22"/>
          <w:lang w:eastAsia="es-UY"/>
        </w:rPr>
        <w:t>maintained</w:t>
      </w:r>
      <w:proofErr w:type="spellEnd"/>
      <w:r>
        <w:rPr>
          <w:rFonts w:eastAsia="Calibri"/>
          <w:color w:val="000000"/>
          <w:sz w:val="22"/>
          <w:szCs w:val="22"/>
          <w:lang w:eastAsia="es-UY"/>
        </w:rPr>
        <w:t xml:space="preserve">, and </w:t>
      </w:r>
      <w:proofErr w:type="spellStart"/>
      <w:r>
        <w:rPr>
          <w:rFonts w:eastAsia="Calibri"/>
          <w:color w:val="000000"/>
          <w:sz w:val="22"/>
          <w:szCs w:val="22"/>
          <w:lang w:eastAsia="es-UY"/>
        </w:rPr>
        <w:t>records</w:t>
      </w:r>
      <w:proofErr w:type="spellEnd"/>
      <w:r>
        <w:rPr>
          <w:rFonts w:eastAsia="Calibri"/>
          <w:color w:val="000000"/>
          <w:sz w:val="22"/>
          <w:szCs w:val="22"/>
          <w:lang w:eastAsia="es-UY"/>
        </w:rPr>
        <w:t xml:space="preserve"> </w:t>
      </w:r>
      <w:proofErr w:type="spellStart"/>
      <w:r>
        <w:rPr>
          <w:rFonts w:eastAsia="Calibri"/>
          <w:color w:val="000000"/>
          <w:sz w:val="22"/>
          <w:szCs w:val="22"/>
          <w:lang w:eastAsia="es-UY"/>
        </w:rPr>
        <w:t>of</w:t>
      </w:r>
      <w:proofErr w:type="spellEnd"/>
      <w:r>
        <w:rPr>
          <w:rFonts w:eastAsia="Calibri"/>
          <w:color w:val="000000"/>
          <w:sz w:val="22"/>
          <w:szCs w:val="22"/>
          <w:lang w:eastAsia="es-UY"/>
        </w:rPr>
        <w:t xml:space="preserve"> </w:t>
      </w:r>
      <w:proofErr w:type="spellStart"/>
      <w:r>
        <w:rPr>
          <w:rFonts w:eastAsia="Calibri"/>
          <w:color w:val="000000"/>
          <w:sz w:val="22"/>
          <w:szCs w:val="22"/>
          <w:lang w:eastAsia="es-UY"/>
        </w:rPr>
        <w:t>these</w:t>
      </w:r>
      <w:proofErr w:type="spellEnd"/>
      <w:r>
        <w:rPr>
          <w:rFonts w:eastAsia="Calibri"/>
          <w:color w:val="000000"/>
          <w:sz w:val="22"/>
          <w:szCs w:val="22"/>
          <w:lang w:eastAsia="es-UY"/>
        </w:rPr>
        <w:t xml:space="preserve"> </w:t>
      </w:r>
      <w:proofErr w:type="spellStart"/>
      <w:r>
        <w:rPr>
          <w:rFonts w:eastAsia="Calibri"/>
          <w:color w:val="000000"/>
          <w:sz w:val="22"/>
          <w:szCs w:val="22"/>
          <w:lang w:eastAsia="es-UY"/>
        </w:rPr>
        <w:t>actions</w:t>
      </w:r>
      <w:proofErr w:type="spellEnd"/>
      <w:r>
        <w:rPr>
          <w:rFonts w:eastAsia="Calibri"/>
          <w:color w:val="000000"/>
          <w:sz w:val="22"/>
          <w:szCs w:val="22"/>
          <w:lang w:eastAsia="es-UY"/>
        </w:rPr>
        <w:t xml:space="preserve"> are </w:t>
      </w:r>
      <w:proofErr w:type="spellStart"/>
      <w:r>
        <w:rPr>
          <w:rFonts w:eastAsia="Calibri"/>
          <w:color w:val="000000"/>
          <w:sz w:val="22"/>
          <w:szCs w:val="22"/>
          <w:lang w:eastAsia="es-UY"/>
        </w:rPr>
        <w:t>kept</w:t>
      </w:r>
      <w:proofErr w:type="spellEnd"/>
      <w:r>
        <w:rPr>
          <w:rFonts w:eastAsia="Calibri"/>
          <w:color w:val="000000"/>
          <w:sz w:val="22"/>
          <w:szCs w:val="22"/>
          <w:lang w:eastAsia="es-UY"/>
        </w:rPr>
        <w:t>.</w:t>
      </w:r>
    </w:p>
    <w:p w14:paraId="56821DDB" w14:textId="77777777" w:rsidR="00E255F4" w:rsidRDefault="00000000">
      <w:pPr>
        <w:autoSpaceDE w:val="0"/>
        <w:spacing w:line="360" w:lineRule="auto"/>
        <w:jc w:val="both"/>
      </w:pPr>
      <w:r>
        <w:rPr>
          <w:rFonts w:eastAsia="Calibri"/>
          <w:color w:val="000000"/>
          <w:sz w:val="22"/>
          <w:szCs w:val="22"/>
          <w:lang w:eastAsia="es-UY"/>
        </w:rPr>
        <w:t xml:space="preserve">3) </w:t>
      </w:r>
      <w:proofErr w:type="spellStart"/>
      <w:r>
        <w:rPr>
          <w:rFonts w:eastAsia="Calibri"/>
          <w:color w:val="000000"/>
          <w:sz w:val="22"/>
          <w:szCs w:val="22"/>
          <w:lang w:eastAsia="es-UY"/>
        </w:rPr>
        <w:t>All</w:t>
      </w:r>
      <w:proofErr w:type="spellEnd"/>
      <w:r>
        <w:rPr>
          <w:rFonts w:eastAsia="Calibri"/>
          <w:color w:val="000000"/>
          <w:sz w:val="22"/>
          <w:szCs w:val="22"/>
          <w:lang w:eastAsia="es-UY"/>
        </w:rPr>
        <w:t xml:space="preserve"> </w:t>
      </w:r>
      <w:proofErr w:type="spellStart"/>
      <w:r>
        <w:rPr>
          <w:rFonts w:eastAsia="Calibri"/>
          <w:color w:val="000000"/>
          <w:sz w:val="22"/>
          <w:szCs w:val="22"/>
          <w:lang w:eastAsia="es-UY"/>
        </w:rPr>
        <w:t>personnel</w:t>
      </w:r>
      <w:proofErr w:type="spellEnd"/>
      <w:r>
        <w:rPr>
          <w:rFonts w:eastAsia="Calibri"/>
          <w:color w:val="000000"/>
          <w:sz w:val="22"/>
          <w:szCs w:val="22"/>
          <w:lang w:eastAsia="es-UY"/>
        </w:rPr>
        <w:t xml:space="preserve"> are </w:t>
      </w:r>
      <w:proofErr w:type="spellStart"/>
      <w:r>
        <w:rPr>
          <w:rFonts w:eastAsia="Calibri"/>
          <w:color w:val="000000"/>
          <w:sz w:val="22"/>
          <w:szCs w:val="22"/>
          <w:lang w:eastAsia="es-UY"/>
        </w:rPr>
        <w:t>provided</w:t>
      </w:r>
      <w:proofErr w:type="spellEnd"/>
      <w:r>
        <w:rPr>
          <w:rFonts w:eastAsia="Calibri"/>
          <w:color w:val="000000"/>
          <w:sz w:val="22"/>
          <w:szCs w:val="22"/>
          <w:lang w:eastAsia="es-UY"/>
        </w:rPr>
        <w:t xml:space="preserve"> </w:t>
      </w:r>
      <w:proofErr w:type="spellStart"/>
      <w:r>
        <w:rPr>
          <w:rFonts w:eastAsia="Calibri"/>
          <w:color w:val="000000"/>
          <w:sz w:val="22"/>
          <w:szCs w:val="22"/>
          <w:lang w:eastAsia="es-UY"/>
        </w:rPr>
        <w:t>with</w:t>
      </w:r>
      <w:proofErr w:type="spellEnd"/>
      <w:r>
        <w:rPr>
          <w:rFonts w:eastAsia="Calibri"/>
          <w:color w:val="000000"/>
          <w:sz w:val="22"/>
          <w:szCs w:val="22"/>
          <w:lang w:eastAsia="es-UY"/>
        </w:rPr>
        <w:t xml:space="preserve"> </w:t>
      </w:r>
      <w:proofErr w:type="spellStart"/>
      <w:r>
        <w:rPr>
          <w:rFonts w:eastAsia="Calibri"/>
          <w:color w:val="000000"/>
          <w:sz w:val="22"/>
          <w:szCs w:val="22"/>
          <w:lang w:eastAsia="es-UY"/>
        </w:rPr>
        <w:t>the</w:t>
      </w:r>
      <w:proofErr w:type="spellEnd"/>
      <w:r>
        <w:rPr>
          <w:rFonts w:eastAsia="Calibri"/>
          <w:color w:val="000000"/>
          <w:sz w:val="22"/>
          <w:szCs w:val="22"/>
          <w:lang w:eastAsia="es-UY"/>
        </w:rPr>
        <w:t xml:space="preserve"> </w:t>
      </w:r>
      <w:proofErr w:type="spellStart"/>
      <w:r>
        <w:rPr>
          <w:rFonts w:eastAsia="Calibri"/>
          <w:color w:val="000000"/>
          <w:sz w:val="22"/>
          <w:szCs w:val="22"/>
          <w:lang w:eastAsia="es-UY"/>
        </w:rPr>
        <w:t>collective</w:t>
      </w:r>
      <w:proofErr w:type="spellEnd"/>
      <w:r>
        <w:rPr>
          <w:rFonts w:eastAsia="Calibri"/>
          <w:color w:val="000000"/>
          <w:sz w:val="22"/>
          <w:szCs w:val="22"/>
          <w:lang w:eastAsia="es-UY"/>
        </w:rPr>
        <w:t xml:space="preserve"> and personal </w:t>
      </w:r>
      <w:proofErr w:type="spellStart"/>
      <w:r>
        <w:rPr>
          <w:rFonts w:eastAsia="Calibri"/>
          <w:color w:val="000000"/>
          <w:sz w:val="22"/>
          <w:szCs w:val="22"/>
          <w:lang w:eastAsia="es-UY"/>
        </w:rPr>
        <w:t>protective</w:t>
      </w:r>
      <w:proofErr w:type="spellEnd"/>
      <w:r>
        <w:rPr>
          <w:rFonts w:eastAsia="Calibri"/>
          <w:color w:val="000000"/>
          <w:sz w:val="22"/>
          <w:szCs w:val="22"/>
          <w:lang w:eastAsia="es-UY"/>
        </w:rPr>
        <w:t xml:space="preserve"> </w:t>
      </w:r>
      <w:proofErr w:type="spellStart"/>
      <w:r>
        <w:rPr>
          <w:rFonts w:eastAsia="Calibri"/>
          <w:color w:val="000000"/>
          <w:sz w:val="22"/>
          <w:szCs w:val="22"/>
          <w:lang w:eastAsia="es-UY"/>
        </w:rPr>
        <w:t>equipment</w:t>
      </w:r>
      <w:proofErr w:type="spellEnd"/>
      <w:r>
        <w:rPr>
          <w:rFonts w:eastAsia="Calibri"/>
          <w:color w:val="000000"/>
          <w:sz w:val="22"/>
          <w:szCs w:val="22"/>
          <w:lang w:eastAsia="es-UY"/>
        </w:rPr>
        <w:t xml:space="preserve"> </w:t>
      </w:r>
      <w:proofErr w:type="spellStart"/>
      <w:r>
        <w:rPr>
          <w:rFonts w:eastAsia="Calibri"/>
          <w:color w:val="000000"/>
          <w:sz w:val="22"/>
          <w:szCs w:val="22"/>
          <w:lang w:eastAsia="es-UY"/>
        </w:rPr>
        <w:t>appropriate</w:t>
      </w:r>
      <w:proofErr w:type="spellEnd"/>
      <w:r>
        <w:rPr>
          <w:rFonts w:eastAsia="Calibri"/>
          <w:color w:val="000000"/>
          <w:sz w:val="22"/>
          <w:szCs w:val="22"/>
          <w:lang w:eastAsia="es-UY"/>
        </w:rPr>
        <w:t xml:space="preserve"> </w:t>
      </w:r>
      <w:proofErr w:type="spellStart"/>
      <w:r>
        <w:rPr>
          <w:rFonts w:eastAsia="Calibri"/>
          <w:color w:val="000000"/>
          <w:sz w:val="22"/>
          <w:szCs w:val="22"/>
          <w:lang w:eastAsia="es-UY"/>
        </w:rPr>
        <w:t>to</w:t>
      </w:r>
      <w:proofErr w:type="spellEnd"/>
      <w:r>
        <w:rPr>
          <w:rFonts w:eastAsia="Calibri"/>
          <w:color w:val="000000"/>
          <w:sz w:val="22"/>
          <w:szCs w:val="22"/>
          <w:lang w:eastAsia="es-UY"/>
        </w:rPr>
        <w:t xml:space="preserve"> </w:t>
      </w:r>
      <w:proofErr w:type="spellStart"/>
      <w:r>
        <w:rPr>
          <w:rFonts w:eastAsia="Calibri"/>
          <w:color w:val="000000"/>
          <w:sz w:val="22"/>
          <w:szCs w:val="22"/>
          <w:lang w:eastAsia="es-UY"/>
        </w:rPr>
        <w:t>the</w:t>
      </w:r>
      <w:proofErr w:type="spellEnd"/>
      <w:r>
        <w:rPr>
          <w:rFonts w:eastAsia="Calibri"/>
          <w:color w:val="000000"/>
          <w:sz w:val="22"/>
          <w:szCs w:val="22"/>
          <w:lang w:eastAsia="es-UY"/>
        </w:rPr>
        <w:t xml:space="preserve"> </w:t>
      </w:r>
      <w:proofErr w:type="spellStart"/>
      <w:r>
        <w:rPr>
          <w:rFonts w:eastAsia="Calibri"/>
          <w:color w:val="000000"/>
          <w:sz w:val="22"/>
          <w:szCs w:val="22"/>
          <w:lang w:eastAsia="es-UY"/>
        </w:rPr>
        <w:t>tasks</w:t>
      </w:r>
      <w:proofErr w:type="spellEnd"/>
      <w:r>
        <w:rPr>
          <w:rFonts w:eastAsia="Calibri"/>
          <w:color w:val="000000"/>
          <w:sz w:val="22"/>
          <w:szCs w:val="22"/>
          <w:lang w:eastAsia="es-UY"/>
        </w:rPr>
        <w:t xml:space="preserve"> </w:t>
      </w:r>
      <w:proofErr w:type="spellStart"/>
      <w:r>
        <w:rPr>
          <w:rFonts w:eastAsia="Calibri"/>
          <w:color w:val="000000"/>
          <w:sz w:val="22"/>
          <w:szCs w:val="22"/>
          <w:lang w:eastAsia="es-UY"/>
        </w:rPr>
        <w:t>to</w:t>
      </w:r>
      <w:proofErr w:type="spellEnd"/>
      <w:r>
        <w:rPr>
          <w:rFonts w:eastAsia="Calibri"/>
          <w:color w:val="000000"/>
          <w:sz w:val="22"/>
          <w:szCs w:val="22"/>
          <w:lang w:eastAsia="es-UY"/>
        </w:rPr>
        <w:t xml:space="preserve"> be </w:t>
      </w:r>
      <w:proofErr w:type="spellStart"/>
      <w:r>
        <w:rPr>
          <w:rFonts w:eastAsia="Calibri"/>
          <w:color w:val="000000"/>
          <w:sz w:val="22"/>
          <w:szCs w:val="22"/>
          <w:lang w:eastAsia="es-UY"/>
        </w:rPr>
        <w:t>performed</w:t>
      </w:r>
      <w:proofErr w:type="spellEnd"/>
      <w:r>
        <w:rPr>
          <w:rFonts w:eastAsia="Calibri"/>
          <w:color w:val="000000"/>
          <w:sz w:val="22"/>
          <w:szCs w:val="22"/>
          <w:lang w:eastAsia="es-UY"/>
        </w:rPr>
        <w:t xml:space="preserve"> </w:t>
      </w:r>
      <w:proofErr w:type="spellStart"/>
      <w:r>
        <w:rPr>
          <w:rFonts w:eastAsia="Calibri"/>
          <w:color w:val="000000"/>
          <w:sz w:val="22"/>
          <w:szCs w:val="22"/>
          <w:lang w:eastAsia="es-UY"/>
        </w:rPr>
        <w:t>according</w:t>
      </w:r>
      <w:proofErr w:type="spellEnd"/>
      <w:r>
        <w:rPr>
          <w:rFonts w:eastAsia="Calibri"/>
          <w:color w:val="000000"/>
          <w:sz w:val="22"/>
          <w:szCs w:val="22"/>
          <w:lang w:eastAsia="es-UY"/>
        </w:rPr>
        <w:t xml:space="preserve"> </w:t>
      </w:r>
      <w:proofErr w:type="spellStart"/>
      <w:r>
        <w:rPr>
          <w:rFonts w:eastAsia="Calibri"/>
          <w:color w:val="000000"/>
          <w:sz w:val="22"/>
          <w:szCs w:val="22"/>
          <w:lang w:eastAsia="es-UY"/>
        </w:rPr>
        <w:t>to</w:t>
      </w:r>
      <w:proofErr w:type="spellEnd"/>
      <w:r>
        <w:rPr>
          <w:rFonts w:eastAsia="Calibri"/>
          <w:color w:val="000000"/>
          <w:sz w:val="22"/>
          <w:szCs w:val="22"/>
          <w:lang w:eastAsia="es-UY"/>
        </w:rPr>
        <w:t xml:space="preserve"> </w:t>
      </w:r>
      <w:proofErr w:type="spellStart"/>
      <w:r>
        <w:rPr>
          <w:rFonts w:eastAsia="Calibri"/>
          <w:color w:val="000000"/>
          <w:sz w:val="22"/>
          <w:szCs w:val="22"/>
          <w:lang w:eastAsia="es-UY"/>
        </w:rPr>
        <w:t>current</w:t>
      </w:r>
      <w:proofErr w:type="spellEnd"/>
      <w:r>
        <w:rPr>
          <w:rFonts w:eastAsia="Calibri"/>
          <w:color w:val="000000"/>
          <w:sz w:val="22"/>
          <w:szCs w:val="22"/>
          <w:lang w:eastAsia="es-UY"/>
        </w:rPr>
        <w:t xml:space="preserve"> legal </w:t>
      </w:r>
      <w:proofErr w:type="spellStart"/>
      <w:r>
        <w:rPr>
          <w:rFonts w:eastAsia="Calibri"/>
          <w:color w:val="000000"/>
          <w:sz w:val="22"/>
          <w:szCs w:val="22"/>
          <w:lang w:eastAsia="es-UY"/>
        </w:rPr>
        <w:t>regulations</w:t>
      </w:r>
      <w:proofErr w:type="spellEnd"/>
      <w:r>
        <w:rPr>
          <w:rFonts w:eastAsia="Calibri"/>
          <w:color w:val="000000"/>
          <w:sz w:val="22"/>
          <w:szCs w:val="22"/>
          <w:lang w:eastAsia="es-UY"/>
        </w:rPr>
        <w:t xml:space="preserve">, are </w:t>
      </w:r>
      <w:proofErr w:type="spellStart"/>
      <w:r>
        <w:rPr>
          <w:rFonts w:eastAsia="Calibri"/>
          <w:color w:val="000000"/>
          <w:sz w:val="22"/>
          <w:szCs w:val="22"/>
          <w:lang w:eastAsia="es-UY"/>
        </w:rPr>
        <w:t>suitable</w:t>
      </w:r>
      <w:proofErr w:type="spellEnd"/>
      <w:r>
        <w:rPr>
          <w:rFonts w:eastAsia="Calibri"/>
          <w:color w:val="000000"/>
          <w:sz w:val="22"/>
          <w:szCs w:val="22"/>
          <w:lang w:eastAsia="es-UY"/>
        </w:rPr>
        <w:t xml:space="preserve"> </w:t>
      </w:r>
      <w:proofErr w:type="spellStart"/>
      <w:r>
        <w:rPr>
          <w:rFonts w:eastAsia="Calibri"/>
          <w:color w:val="000000"/>
          <w:sz w:val="22"/>
          <w:szCs w:val="22"/>
          <w:lang w:eastAsia="es-UY"/>
        </w:rPr>
        <w:t>for</w:t>
      </w:r>
      <w:proofErr w:type="spellEnd"/>
      <w:r>
        <w:rPr>
          <w:rFonts w:eastAsia="Calibri"/>
          <w:color w:val="000000"/>
          <w:sz w:val="22"/>
          <w:szCs w:val="22"/>
          <w:lang w:eastAsia="es-UY"/>
        </w:rPr>
        <w:t xml:space="preserve"> use, are </w:t>
      </w:r>
      <w:proofErr w:type="spellStart"/>
      <w:r>
        <w:rPr>
          <w:rFonts w:eastAsia="Calibri"/>
          <w:color w:val="000000"/>
          <w:sz w:val="22"/>
          <w:szCs w:val="22"/>
          <w:lang w:eastAsia="es-UY"/>
        </w:rPr>
        <w:t>inspected</w:t>
      </w:r>
      <w:proofErr w:type="spellEnd"/>
      <w:r>
        <w:rPr>
          <w:rFonts w:eastAsia="Calibri"/>
          <w:color w:val="000000"/>
          <w:sz w:val="22"/>
          <w:szCs w:val="22"/>
          <w:lang w:eastAsia="es-UY"/>
        </w:rPr>
        <w:t xml:space="preserve"> and </w:t>
      </w:r>
      <w:proofErr w:type="spellStart"/>
      <w:r>
        <w:rPr>
          <w:rFonts w:eastAsia="Calibri"/>
          <w:color w:val="000000"/>
          <w:sz w:val="22"/>
          <w:szCs w:val="22"/>
          <w:lang w:eastAsia="es-UY"/>
        </w:rPr>
        <w:t>maintained</w:t>
      </w:r>
      <w:proofErr w:type="spellEnd"/>
      <w:r>
        <w:rPr>
          <w:rFonts w:eastAsia="Calibri"/>
          <w:color w:val="000000"/>
          <w:sz w:val="22"/>
          <w:szCs w:val="22"/>
          <w:lang w:eastAsia="es-UY"/>
        </w:rPr>
        <w:t xml:space="preserve"> </w:t>
      </w:r>
      <w:proofErr w:type="spellStart"/>
      <w:r>
        <w:rPr>
          <w:rFonts w:eastAsia="Calibri"/>
          <w:color w:val="000000"/>
          <w:sz w:val="22"/>
          <w:szCs w:val="22"/>
          <w:lang w:eastAsia="es-UY"/>
        </w:rPr>
        <w:t>appropriately</w:t>
      </w:r>
      <w:proofErr w:type="spellEnd"/>
      <w:r>
        <w:rPr>
          <w:rFonts w:eastAsia="Calibri"/>
          <w:color w:val="000000"/>
          <w:sz w:val="22"/>
          <w:szCs w:val="22"/>
          <w:lang w:eastAsia="es-UY"/>
        </w:rPr>
        <w:t xml:space="preserve">, and </w:t>
      </w:r>
      <w:proofErr w:type="spellStart"/>
      <w:r>
        <w:rPr>
          <w:rFonts w:eastAsia="Calibri"/>
          <w:color w:val="000000"/>
          <w:sz w:val="22"/>
          <w:szCs w:val="22"/>
          <w:lang w:eastAsia="es-UY"/>
        </w:rPr>
        <w:t>their</w:t>
      </w:r>
      <w:proofErr w:type="spellEnd"/>
      <w:r>
        <w:rPr>
          <w:rFonts w:eastAsia="Calibri"/>
          <w:color w:val="000000"/>
          <w:sz w:val="22"/>
          <w:szCs w:val="22"/>
          <w:lang w:eastAsia="es-UY"/>
        </w:rPr>
        <w:t xml:space="preserve"> </w:t>
      </w:r>
      <w:proofErr w:type="spellStart"/>
      <w:r>
        <w:rPr>
          <w:rFonts w:eastAsia="Calibri"/>
          <w:color w:val="000000"/>
          <w:sz w:val="22"/>
          <w:szCs w:val="22"/>
          <w:lang w:eastAsia="es-UY"/>
        </w:rPr>
        <w:t>correct</w:t>
      </w:r>
      <w:proofErr w:type="spellEnd"/>
      <w:r>
        <w:rPr>
          <w:rFonts w:eastAsia="Calibri"/>
          <w:color w:val="000000"/>
          <w:sz w:val="22"/>
          <w:szCs w:val="22"/>
          <w:lang w:eastAsia="es-UY"/>
        </w:rPr>
        <w:t xml:space="preserve"> use </w:t>
      </w:r>
      <w:proofErr w:type="spellStart"/>
      <w:r>
        <w:rPr>
          <w:rFonts w:eastAsia="Calibri"/>
          <w:color w:val="000000"/>
          <w:sz w:val="22"/>
          <w:szCs w:val="22"/>
          <w:lang w:eastAsia="es-UY"/>
        </w:rPr>
        <w:t>is</w:t>
      </w:r>
      <w:proofErr w:type="spellEnd"/>
      <w:r>
        <w:rPr>
          <w:rFonts w:eastAsia="Calibri"/>
          <w:color w:val="000000"/>
          <w:sz w:val="22"/>
          <w:szCs w:val="22"/>
          <w:lang w:eastAsia="es-UY"/>
        </w:rPr>
        <w:t xml:space="preserve"> </w:t>
      </w:r>
      <w:proofErr w:type="spellStart"/>
      <w:r>
        <w:rPr>
          <w:rFonts w:eastAsia="Calibri"/>
          <w:color w:val="000000"/>
          <w:sz w:val="22"/>
          <w:szCs w:val="22"/>
          <w:lang w:eastAsia="es-UY"/>
        </w:rPr>
        <w:t>controlled</w:t>
      </w:r>
      <w:proofErr w:type="spellEnd"/>
      <w:r>
        <w:rPr>
          <w:rFonts w:eastAsia="Calibri"/>
          <w:color w:val="000000"/>
          <w:sz w:val="22"/>
          <w:szCs w:val="22"/>
          <w:lang w:eastAsia="es-UY"/>
        </w:rPr>
        <w:t xml:space="preserve"> </w:t>
      </w:r>
      <w:proofErr w:type="spellStart"/>
      <w:r>
        <w:rPr>
          <w:rFonts w:eastAsia="Calibri"/>
          <w:color w:val="000000"/>
          <w:sz w:val="22"/>
          <w:szCs w:val="22"/>
          <w:lang w:eastAsia="es-UY"/>
        </w:rPr>
        <w:t>by</w:t>
      </w:r>
      <w:proofErr w:type="spellEnd"/>
      <w:r>
        <w:rPr>
          <w:rFonts w:eastAsia="Calibri"/>
          <w:color w:val="000000"/>
          <w:sz w:val="22"/>
          <w:szCs w:val="22"/>
          <w:lang w:eastAsia="es-UY"/>
        </w:rPr>
        <w:t xml:space="preserve"> </w:t>
      </w:r>
      <w:proofErr w:type="spellStart"/>
      <w:r>
        <w:rPr>
          <w:rFonts w:eastAsia="Calibri"/>
          <w:color w:val="000000"/>
          <w:sz w:val="22"/>
          <w:szCs w:val="22"/>
          <w:lang w:eastAsia="es-UY"/>
        </w:rPr>
        <w:t>our</w:t>
      </w:r>
      <w:proofErr w:type="spellEnd"/>
      <w:r>
        <w:rPr>
          <w:rFonts w:eastAsia="Calibri"/>
          <w:color w:val="000000"/>
          <w:sz w:val="22"/>
          <w:szCs w:val="22"/>
          <w:lang w:eastAsia="es-UY"/>
        </w:rPr>
        <w:t xml:space="preserve"> </w:t>
      </w:r>
      <w:proofErr w:type="spellStart"/>
      <w:r>
        <w:rPr>
          <w:rFonts w:eastAsia="Calibri"/>
          <w:color w:val="000000"/>
          <w:sz w:val="22"/>
          <w:szCs w:val="22"/>
          <w:lang w:eastAsia="es-UY"/>
        </w:rPr>
        <w:t>supervision</w:t>
      </w:r>
      <w:proofErr w:type="spellEnd"/>
      <w:r>
        <w:rPr>
          <w:rFonts w:eastAsia="Calibri"/>
          <w:color w:val="000000"/>
          <w:sz w:val="22"/>
          <w:szCs w:val="22"/>
          <w:lang w:eastAsia="es-UY"/>
        </w:rPr>
        <w:t xml:space="preserve"> at </w:t>
      </w:r>
      <w:proofErr w:type="spellStart"/>
      <w:r>
        <w:rPr>
          <w:rFonts w:eastAsia="Calibri"/>
          <w:color w:val="000000"/>
          <w:sz w:val="22"/>
          <w:szCs w:val="22"/>
          <w:lang w:eastAsia="es-UY"/>
        </w:rPr>
        <w:t>the</w:t>
      </w:r>
      <w:proofErr w:type="spellEnd"/>
      <w:r>
        <w:rPr>
          <w:rFonts w:eastAsia="Calibri"/>
          <w:color w:val="000000"/>
          <w:sz w:val="22"/>
          <w:szCs w:val="22"/>
          <w:lang w:eastAsia="es-UY"/>
        </w:rPr>
        <w:t xml:space="preserve"> </w:t>
      </w:r>
      <w:proofErr w:type="spellStart"/>
      <w:r>
        <w:rPr>
          <w:rFonts w:eastAsia="Calibri"/>
          <w:color w:val="000000"/>
          <w:sz w:val="22"/>
          <w:szCs w:val="22"/>
          <w:lang w:eastAsia="es-UY"/>
        </w:rPr>
        <w:t>workplace</w:t>
      </w:r>
      <w:proofErr w:type="spellEnd"/>
      <w:r>
        <w:rPr>
          <w:rFonts w:eastAsia="Calibri"/>
          <w:color w:val="000000"/>
          <w:sz w:val="22"/>
          <w:szCs w:val="22"/>
          <w:lang w:eastAsia="es-UY"/>
        </w:rPr>
        <w:t xml:space="preserve">, </w:t>
      </w:r>
      <w:proofErr w:type="spellStart"/>
      <w:r>
        <w:rPr>
          <w:rFonts w:eastAsia="Calibri"/>
          <w:color w:val="000000"/>
          <w:sz w:val="22"/>
          <w:szCs w:val="22"/>
          <w:lang w:eastAsia="es-UY"/>
        </w:rPr>
        <w:t>with</w:t>
      </w:r>
      <w:proofErr w:type="spellEnd"/>
      <w:r>
        <w:rPr>
          <w:rFonts w:eastAsia="Calibri"/>
          <w:color w:val="000000"/>
          <w:sz w:val="22"/>
          <w:szCs w:val="22"/>
          <w:lang w:eastAsia="es-UY"/>
        </w:rPr>
        <w:t xml:space="preserve"> </w:t>
      </w:r>
      <w:proofErr w:type="spellStart"/>
      <w:r>
        <w:rPr>
          <w:rFonts w:eastAsia="Calibri"/>
          <w:color w:val="000000"/>
          <w:sz w:val="22"/>
          <w:szCs w:val="22"/>
          <w:lang w:eastAsia="es-UY"/>
        </w:rPr>
        <w:t>records</w:t>
      </w:r>
      <w:proofErr w:type="spellEnd"/>
      <w:r>
        <w:rPr>
          <w:rFonts w:eastAsia="Calibri"/>
          <w:color w:val="000000"/>
          <w:sz w:val="22"/>
          <w:szCs w:val="22"/>
          <w:lang w:eastAsia="es-UY"/>
        </w:rPr>
        <w:t xml:space="preserve"> </w:t>
      </w:r>
      <w:proofErr w:type="spellStart"/>
      <w:r>
        <w:rPr>
          <w:rFonts w:eastAsia="Calibri"/>
          <w:color w:val="000000"/>
          <w:sz w:val="22"/>
          <w:szCs w:val="22"/>
          <w:lang w:eastAsia="es-UY"/>
        </w:rPr>
        <w:t>of</w:t>
      </w:r>
      <w:proofErr w:type="spellEnd"/>
      <w:r>
        <w:rPr>
          <w:rFonts w:eastAsia="Calibri"/>
          <w:color w:val="000000"/>
          <w:sz w:val="22"/>
          <w:szCs w:val="22"/>
          <w:lang w:eastAsia="es-UY"/>
        </w:rPr>
        <w:t xml:space="preserve"> </w:t>
      </w:r>
      <w:proofErr w:type="spellStart"/>
      <w:r>
        <w:rPr>
          <w:rFonts w:eastAsia="Calibri"/>
          <w:color w:val="000000"/>
          <w:sz w:val="22"/>
          <w:szCs w:val="22"/>
          <w:lang w:eastAsia="es-UY"/>
        </w:rPr>
        <w:t>these</w:t>
      </w:r>
      <w:proofErr w:type="spellEnd"/>
      <w:r>
        <w:rPr>
          <w:rFonts w:eastAsia="Calibri"/>
          <w:color w:val="000000"/>
          <w:sz w:val="22"/>
          <w:szCs w:val="22"/>
          <w:lang w:eastAsia="es-UY"/>
        </w:rPr>
        <w:t xml:space="preserve"> </w:t>
      </w:r>
      <w:proofErr w:type="spellStart"/>
      <w:r>
        <w:rPr>
          <w:rFonts w:eastAsia="Calibri"/>
          <w:color w:val="000000"/>
          <w:sz w:val="22"/>
          <w:szCs w:val="22"/>
          <w:lang w:eastAsia="es-UY"/>
        </w:rPr>
        <w:t>actions</w:t>
      </w:r>
      <w:proofErr w:type="spellEnd"/>
      <w:r>
        <w:rPr>
          <w:rFonts w:eastAsia="Calibri"/>
          <w:color w:val="000000"/>
          <w:sz w:val="22"/>
          <w:szCs w:val="22"/>
          <w:lang w:eastAsia="es-UY"/>
        </w:rPr>
        <w:t>.</w:t>
      </w:r>
    </w:p>
    <w:p w14:paraId="58C02CAE" w14:textId="77777777" w:rsidR="00E255F4" w:rsidRDefault="00000000">
      <w:pPr>
        <w:autoSpaceDE w:val="0"/>
        <w:spacing w:line="360" w:lineRule="auto"/>
        <w:jc w:val="both"/>
        <w:rPr>
          <w:rFonts w:eastAsia="Calibri"/>
          <w:color w:val="000000"/>
          <w:sz w:val="22"/>
          <w:szCs w:val="22"/>
          <w:lang w:eastAsia="es-UY"/>
        </w:rPr>
      </w:pPr>
      <w:r>
        <w:rPr>
          <w:rFonts w:eastAsia="Calibri"/>
          <w:color w:val="000000"/>
          <w:sz w:val="22"/>
          <w:szCs w:val="22"/>
          <w:lang w:eastAsia="es-UY"/>
        </w:rPr>
        <w:t xml:space="preserve">4) </w:t>
      </w:r>
      <w:proofErr w:type="spellStart"/>
      <w:r>
        <w:rPr>
          <w:rFonts w:eastAsia="Calibri"/>
          <w:color w:val="000000"/>
          <w:sz w:val="22"/>
          <w:szCs w:val="22"/>
          <w:lang w:eastAsia="es-UY"/>
        </w:rPr>
        <w:t>We</w:t>
      </w:r>
      <w:proofErr w:type="spellEnd"/>
      <w:r>
        <w:rPr>
          <w:rFonts w:eastAsia="Calibri"/>
          <w:color w:val="000000"/>
          <w:sz w:val="22"/>
          <w:szCs w:val="22"/>
          <w:lang w:eastAsia="es-UY"/>
        </w:rPr>
        <w:t xml:space="preserve"> </w:t>
      </w:r>
      <w:proofErr w:type="spellStart"/>
      <w:r>
        <w:rPr>
          <w:rFonts w:eastAsia="Calibri"/>
          <w:color w:val="000000"/>
          <w:sz w:val="22"/>
          <w:szCs w:val="22"/>
          <w:lang w:eastAsia="es-UY"/>
        </w:rPr>
        <w:t>will</w:t>
      </w:r>
      <w:proofErr w:type="spellEnd"/>
      <w:r>
        <w:rPr>
          <w:rFonts w:eastAsia="Calibri"/>
          <w:color w:val="000000"/>
          <w:sz w:val="22"/>
          <w:szCs w:val="22"/>
          <w:lang w:eastAsia="es-UY"/>
        </w:rPr>
        <w:t xml:space="preserve"> </w:t>
      </w:r>
      <w:proofErr w:type="spellStart"/>
      <w:r>
        <w:rPr>
          <w:rFonts w:eastAsia="Calibri"/>
          <w:color w:val="000000"/>
          <w:sz w:val="22"/>
          <w:szCs w:val="22"/>
          <w:lang w:eastAsia="es-UY"/>
        </w:rPr>
        <w:t>have</w:t>
      </w:r>
      <w:proofErr w:type="spellEnd"/>
      <w:r>
        <w:rPr>
          <w:rFonts w:eastAsia="Calibri"/>
          <w:color w:val="000000"/>
          <w:sz w:val="22"/>
          <w:szCs w:val="22"/>
          <w:lang w:eastAsia="es-UY"/>
        </w:rPr>
        <w:t xml:space="preserve"> in </w:t>
      </w:r>
      <w:proofErr w:type="spellStart"/>
      <w:r>
        <w:rPr>
          <w:rFonts w:eastAsia="Calibri"/>
          <w:color w:val="000000"/>
          <w:sz w:val="22"/>
          <w:szCs w:val="22"/>
          <w:lang w:eastAsia="es-UY"/>
        </w:rPr>
        <w:t>the</w:t>
      </w:r>
      <w:proofErr w:type="spellEnd"/>
      <w:r>
        <w:rPr>
          <w:rFonts w:eastAsia="Calibri"/>
          <w:color w:val="000000"/>
          <w:sz w:val="22"/>
          <w:szCs w:val="22"/>
          <w:lang w:eastAsia="es-UY"/>
        </w:rPr>
        <w:t xml:space="preserve"> </w:t>
      </w:r>
      <w:proofErr w:type="spellStart"/>
      <w:r>
        <w:rPr>
          <w:rFonts w:eastAsia="Calibri"/>
          <w:color w:val="000000"/>
          <w:sz w:val="22"/>
          <w:szCs w:val="22"/>
          <w:lang w:eastAsia="es-UY"/>
        </w:rPr>
        <w:t>workplace</w:t>
      </w:r>
      <w:proofErr w:type="spellEnd"/>
      <w:r>
        <w:rPr>
          <w:rFonts w:eastAsia="Calibri"/>
          <w:color w:val="000000"/>
          <w:sz w:val="22"/>
          <w:szCs w:val="22"/>
          <w:lang w:eastAsia="es-UY"/>
        </w:rPr>
        <w:t xml:space="preserve"> a </w:t>
      </w:r>
      <w:proofErr w:type="spellStart"/>
      <w:r>
        <w:rPr>
          <w:rFonts w:eastAsia="Calibri"/>
          <w:color w:val="000000"/>
          <w:sz w:val="22"/>
          <w:szCs w:val="22"/>
          <w:lang w:eastAsia="es-UY"/>
        </w:rPr>
        <w:t>written</w:t>
      </w:r>
      <w:proofErr w:type="spellEnd"/>
      <w:r>
        <w:rPr>
          <w:rFonts w:eastAsia="Calibri"/>
          <w:color w:val="000000"/>
          <w:sz w:val="22"/>
          <w:szCs w:val="22"/>
          <w:lang w:eastAsia="es-UY"/>
        </w:rPr>
        <w:t xml:space="preserve"> plan </w:t>
      </w:r>
      <w:proofErr w:type="spellStart"/>
      <w:r>
        <w:rPr>
          <w:rFonts w:eastAsia="Calibri"/>
          <w:color w:val="000000"/>
          <w:sz w:val="22"/>
          <w:szCs w:val="22"/>
          <w:lang w:eastAsia="es-UY"/>
        </w:rPr>
        <w:t>for</w:t>
      </w:r>
      <w:proofErr w:type="spellEnd"/>
      <w:r>
        <w:rPr>
          <w:rFonts w:eastAsia="Calibri"/>
          <w:color w:val="000000"/>
          <w:sz w:val="22"/>
          <w:szCs w:val="22"/>
          <w:lang w:eastAsia="es-UY"/>
        </w:rPr>
        <w:t xml:space="preserve"> </w:t>
      </w:r>
      <w:proofErr w:type="spellStart"/>
      <w:r>
        <w:rPr>
          <w:rFonts w:eastAsia="Calibri"/>
          <w:color w:val="000000"/>
          <w:sz w:val="22"/>
          <w:szCs w:val="22"/>
          <w:lang w:eastAsia="es-UY"/>
        </w:rPr>
        <w:t>the</w:t>
      </w:r>
      <w:proofErr w:type="spellEnd"/>
      <w:r>
        <w:rPr>
          <w:rFonts w:eastAsia="Calibri"/>
          <w:color w:val="000000"/>
          <w:sz w:val="22"/>
          <w:szCs w:val="22"/>
          <w:lang w:eastAsia="es-UY"/>
        </w:rPr>
        <w:t xml:space="preserve"> </w:t>
      </w:r>
      <w:proofErr w:type="spellStart"/>
      <w:r>
        <w:rPr>
          <w:rFonts w:eastAsia="Calibri"/>
          <w:color w:val="000000"/>
          <w:sz w:val="22"/>
          <w:szCs w:val="22"/>
          <w:lang w:eastAsia="es-UY"/>
        </w:rPr>
        <w:t>prevention</w:t>
      </w:r>
      <w:proofErr w:type="spellEnd"/>
      <w:r>
        <w:rPr>
          <w:rFonts w:eastAsia="Calibri"/>
          <w:color w:val="000000"/>
          <w:sz w:val="22"/>
          <w:szCs w:val="22"/>
          <w:lang w:eastAsia="es-UY"/>
        </w:rPr>
        <w:t xml:space="preserve"> </w:t>
      </w:r>
      <w:proofErr w:type="spellStart"/>
      <w:r>
        <w:rPr>
          <w:rFonts w:eastAsia="Calibri"/>
          <w:color w:val="000000"/>
          <w:sz w:val="22"/>
          <w:szCs w:val="22"/>
          <w:lang w:eastAsia="es-UY"/>
        </w:rPr>
        <w:t>of</w:t>
      </w:r>
      <w:proofErr w:type="spellEnd"/>
      <w:r>
        <w:rPr>
          <w:rFonts w:eastAsia="Calibri"/>
          <w:color w:val="000000"/>
          <w:sz w:val="22"/>
          <w:szCs w:val="22"/>
          <w:lang w:eastAsia="es-UY"/>
        </w:rPr>
        <w:t xml:space="preserve"> </w:t>
      </w:r>
      <w:proofErr w:type="spellStart"/>
      <w:r>
        <w:rPr>
          <w:rFonts w:eastAsia="Calibri"/>
          <w:color w:val="000000"/>
          <w:sz w:val="22"/>
          <w:szCs w:val="22"/>
          <w:lang w:eastAsia="es-UY"/>
        </w:rPr>
        <w:t>occupational</w:t>
      </w:r>
      <w:proofErr w:type="spellEnd"/>
      <w:r>
        <w:rPr>
          <w:rFonts w:eastAsia="Calibri"/>
          <w:color w:val="000000"/>
          <w:sz w:val="22"/>
          <w:szCs w:val="22"/>
          <w:lang w:eastAsia="es-UY"/>
        </w:rPr>
        <w:t xml:space="preserve"> </w:t>
      </w:r>
      <w:proofErr w:type="spellStart"/>
      <w:r>
        <w:rPr>
          <w:rFonts w:eastAsia="Calibri"/>
          <w:color w:val="000000"/>
          <w:sz w:val="22"/>
          <w:szCs w:val="22"/>
          <w:lang w:eastAsia="es-UY"/>
        </w:rPr>
        <w:t>risks</w:t>
      </w:r>
      <w:proofErr w:type="spellEnd"/>
      <w:r>
        <w:rPr>
          <w:rFonts w:eastAsia="Calibri"/>
          <w:color w:val="000000"/>
          <w:sz w:val="22"/>
          <w:szCs w:val="22"/>
          <w:lang w:eastAsia="es-UY"/>
        </w:rPr>
        <w:t xml:space="preserve">, </w:t>
      </w:r>
      <w:proofErr w:type="spellStart"/>
      <w:r>
        <w:rPr>
          <w:rFonts w:eastAsia="Calibri"/>
          <w:color w:val="000000"/>
          <w:sz w:val="22"/>
          <w:szCs w:val="22"/>
          <w:lang w:eastAsia="es-UY"/>
        </w:rPr>
        <w:t>according</w:t>
      </w:r>
      <w:proofErr w:type="spellEnd"/>
      <w:r>
        <w:rPr>
          <w:rFonts w:eastAsia="Calibri"/>
          <w:color w:val="000000"/>
          <w:sz w:val="22"/>
          <w:szCs w:val="22"/>
          <w:lang w:eastAsia="es-UY"/>
        </w:rPr>
        <w:t xml:space="preserve"> </w:t>
      </w:r>
      <w:proofErr w:type="spellStart"/>
      <w:r>
        <w:rPr>
          <w:rFonts w:eastAsia="Calibri"/>
          <w:color w:val="000000"/>
          <w:sz w:val="22"/>
          <w:szCs w:val="22"/>
          <w:lang w:eastAsia="es-UY"/>
        </w:rPr>
        <w:t>to</w:t>
      </w:r>
      <w:proofErr w:type="spellEnd"/>
      <w:r>
        <w:rPr>
          <w:rFonts w:eastAsia="Calibri"/>
          <w:color w:val="000000"/>
          <w:sz w:val="22"/>
          <w:szCs w:val="22"/>
          <w:lang w:eastAsia="es-UY"/>
        </w:rPr>
        <w:t xml:space="preserve"> </w:t>
      </w:r>
      <w:proofErr w:type="spellStart"/>
      <w:r>
        <w:rPr>
          <w:rFonts w:eastAsia="Calibri"/>
          <w:color w:val="000000"/>
          <w:sz w:val="22"/>
          <w:szCs w:val="22"/>
          <w:lang w:eastAsia="es-UY"/>
        </w:rPr>
        <w:t>current</w:t>
      </w:r>
      <w:proofErr w:type="spellEnd"/>
      <w:r>
        <w:rPr>
          <w:rFonts w:eastAsia="Calibri"/>
          <w:color w:val="000000"/>
          <w:sz w:val="22"/>
          <w:szCs w:val="22"/>
          <w:lang w:eastAsia="es-UY"/>
        </w:rPr>
        <w:t xml:space="preserve"> </w:t>
      </w:r>
      <w:proofErr w:type="spellStart"/>
      <w:r>
        <w:rPr>
          <w:rFonts w:eastAsia="Calibri"/>
          <w:color w:val="000000"/>
          <w:sz w:val="22"/>
          <w:szCs w:val="22"/>
          <w:lang w:eastAsia="es-UY"/>
        </w:rPr>
        <w:t>regulations</w:t>
      </w:r>
      <w:proofErr w:type="spellEnd"/>
      <w:r>
        <w:rPr>
          <w:rFonts w:eastAsia="Calibri"/>
          <w:color w:val="000000"/>
          <w:sz w:val="22"/>
          <w:szCs w:val="22"/>
          <w:lang w:eastAsia="es-UY"/>
        </w:rPr>
        <w:t xml:space="preserve">, </w:t>
      </w:r>
      <w:proofErr w:type="spellStart"/>
      <w:r>
        <w:rPr>
          <w:rFonts w:eastAsia="Calibri"/>
          <w:color w:val="000000"/>
          <w:sz w:val="22"/>
          <w:szCs w:val="22"/>
          <w:lang w:eastAsia="es-UY"/>
        </w:rPr>
        <w:t>which</w:t>
      </w:r>
      <w:proofErr w:type="spellEnd"/>
      <w:r>
        <w:rPr>
          <w:rFonts w:eastAsia="Calibri"/>
          <w:color w:val="000000"/>
          <w:sz w:val="22"/>
          <w:szCs w:val="22"/>
          <w:lang w:eastAsia="es-UY"/>
        </w:rPr>
        <w:t xml:space="preserve"> </w:t>
      </w:r>
      <w:proofErr w:type="spellStart"/>
      <w:r>
        <w:rPr>
          <w:rFonts w:eastAsia="Calibri"/>
          <w:color w:val="000000"/>
          <w:sz w:val="22"/>
          <w:szCs w:val="22"/>
          <w:lang w:eastAsia="es-UY"/>
        </w:rPr>
        <w:t>will</w:t>
      </w:r>
      <w:proofErr w:type="spellEnd"/>
      <w:r>
        <w:rPr>
          <w:rFonts w:eastAsia="Calibri"/>
          <w:color w:val="000000"/>
          <w:sz w:val="22"/>
          <w:szCs w:val="22"/>
          <w:lang w:eastAsia="es-UY"/>
        </w:rPr>
        <w:t xml:space="preserve"> </w:t>
      </w:r>
      <w:proofErr w:type="spellStart"/>
      <w:r>
        <w:rPr>
          <w:rFonts w:eastAsia="Calibri"/>
          <w:color w:val="000000"/>
          <w:sz w:val="22"/>
          <w:szCs w:val="22"/>
          <w:lang w:eastAsia="es-UY"/>
        </w:rPr>
        <w:t>include</w:t>
      </w:r>
      <w:proofErr w:type="spellEnd"/>
      <w:r>
        <w:rPr>
          <w:rFonts w:eastAsia="Calibri"/>
          <w:color w:val="000000"/>
          <w:sz w:val="22"/>
          <w:szCs w:val="22"/>
          <w:lang w:eastAsia="es-UY"/>
        </w:rPr>
        <w:t xml:space="preserve"> a </w:t>
      </w:r>
      <w:proofErr w:type="spellStart"/>
      <w:r>
        <w:rPr>
          <w:rFonts w:eastAsia="Calibri"/>
          <w:color w:val="000000"/>
          <w:sz w:val="22"/>
          <w:szCs w:val="22"/>
          <w:lang w:eastAsia="es-UY"/>
        </w:rPr>
        <w:t>record</w:t>
      </w:r>
      <w:proofErr w:type="spellEnd"/>
      <w:r>
        <w:rPr>
          <w:rFonts w:eastAsia="Calibri"/>
          <w:color w:val="000000"/>
          <w:sz w:val="22"/>
          <w:szCs w:val="22"/>
          <w:lang w:eastAsia="es-UY"/>
        </w:rPr>
        <w:t xml:space="preserve"> </w:t>
      </w:r>
      <w:proofErr w:type="spellStart"/>
      <w:r>
        <w:rPr>
          <w:rFonts w:eastAsia="Calibri"/>
          <w:color w:val="000000"/>
          <w:sz w:val="22"/>
          <w:szCs w:val="22"/>
          <w:lang w:eastAsia="es-UY"/>
        </w:rPr>
        <w:t>of</w:t>
      </w:r>
      <w:proofErr w:type="spellEnd"/>
      <w:r>
        <w:rPr>
          <w:rFonts w:eastAsia="Calibri"/>
          <w:color w:val="000000"/>
          <w:sz w:val="22"/>
          <w:szCs w:val="22"/>
          <w:lang w:eastAsia="es-UY"/>
        </w:rPr>
        <w:t xml:space="preserve"> </w:t>
      </w:r>
      <w:proofErr w:type="spellStart"/>
      <w:r>
        <w:rPr>
          <w:rFonts w:eastAsia="Calibri"/>
          <w:color w:val="000000"/>
          <w:sz w:val="22"/>
          <w:szCs w:val="22"/>
          <w:lang w:eastAsia="es-UY"/>
        </w:rPr>
        <w:t>periodic</w:t>
      </w:r>
      <w:proofErr w:type="spellEnd"/>
      <w:r>
        <w:rPr>
          <w:rFonts w:eastAsia="Calibri"/>
          <w:color w:val="000000"/>
          <w:sz w:val="22"/>
          <w:szCs w:val="22"/>
          <w:lang w:eastAsia="es-UY"/>
        </w:rPr>
        <w:t xml:space="preserve"> </w:t>
      </w:r>
      <w:proofErr w:type="spellStart"/>
      <w:r>
        <w:rPr>
          <w:rFonts w:eastAsia="Calibri"/>
          <w:color w:val="000000"/>
          <w:sz w:val="22"/>
          <w:szCs w:val="22"/>
          <w:lang w:eastAsia="es-UY"/>
        </w:rPr>
        <w:t>monitoring</w:t>
      </w:r>
      <w:proofErr w:type="spellEnd"/>
      <w:r>
        <w:rPr>
          <w:rFonts w:eastAsia="Calibri"/>
          <w:color w:val="000000"/>
          <w:sz w:val="22"/>
          <w:szCs w:val="22"/>
          <w:lang w:eastAsia="es-UY"/>
        </w:rPr>
        <w:t xml:space="preserve"> </w:t>
      </w:r>
      <w:proofErr w:type="spellStart"/>
      <w:r>
        <w:rPr>
          <w:rFonts w:eastAsia="Calibri"/>
          <w:color w:val="000000"/>
          <w:sz w:val="22"/>
          <w:szCs w:val="22"/>
          <w:lang w:eastAsia="es-UY"/>
        </w:rPr>
        <w:t>of</w:t>
      </w:r>
      <w:proofErr w:type="spellEnd"/>
      <w:r>
        <w:rPr>
          <w:rFonts w:eastAsia="Calibri"/>
          <w:color w:val="000000"/>
          <w:sz w:val="22"/>
          <w:szCs w:val="22"/>
          <w:lang w:eastAsia="es-UY"/>
        </w:rPr>
        <w:t xml:space="preserve"> </w:t>
      </w:r>
      <w:proofErr w:type="spellStart"/>
      <w:r>
        <w:rPr>
          <w:rFonts w:eastAsia="Calibri"/>
          <w:color w:val="000000"/>
          <w:sz w:val="22"/>
          <w:szCs w:val="22"/>
          <w:lang w:eastAsia="es-UY"/>
        </w:rPr>
        <w:t>that</w:t>
      </w:r>
      <w:proofErr w:type="spellEnd"/>
      <w:r>
        <w:rPr>
          <w:rFonts w:eastAsia="Calibri"/>
          <w:color w:val="000000"/>
          <w:sz w:val="22"/>
          <w:szCs w:val="22"/>
          <w:lang w:eastAsia="es-UY"/>
        </w:rPr>
        <w:t xml:space="preserve"> plan.</w:t>
      </w:r>
    </w:p>
    <w:p w14:paraId="5F7EEC0C" w14:textId="77777777" w:rsidR="00E255F4" w:rsidRDefault="00000000">
      <w:pPr>
        <w:autoSpaceDE w:val="0"/>
        <w:spacing w:line="360" w:lineRule="auto"/>
        <w:jc w:val="both"/>
      </w:pPr>
      <w:r>
        <w:rPr>
          <w:rFonts w:eastAsia="Calibri"/>
          <w:color w:val="000000"/>
          <w:sz w:val="22"/>
          <w:szCs w:val="22"/>
          <w:lang w:eastAsia="es-UY"/>
        </w:rPr>
        <w:t xml:space="preserve">5) </w:t>
      </w:r>
      <w:proofErr w:type="spellStart"/>
      <w:r>
        <w:rPr>
          <w:rFonts w:eastAsia="Calibri"/>
          <w:color w:val="000000"/>
          <w:sz w:val="22"/>
          <w:szCs w:val="22"/>
          <w:lang w:eastAsia="es-UY"/>
        </w:rPr>
        <w:t>We</w:t>
      </w:r>
      <w:proofErr w:type="spellEnd"/>
      <w:r>
        <w:rPr>
          <w:rFonts w:eastAsia="Calibri"/>
          <w:color w:val="000000"/>
          <w:sz w:val="22"/>
          <w:szCs w:val="22"/>
          <w:lang w:eastAsia="es-UY"/>
        </w:rPr>
        <w:t xml:space="preserve"> </w:t>
      </w:r>
      <w:proofErr w:type="spellStart"/>
      <w:r>
        <w:rPr>
          <w:rFonts w:eastAsia="Calibri"/>
          <w:color w:val="000000"/>
          <w:sz w:val="22"/>
          <w:szCs w:val="22"/>
          <w:lang w:eastAsia="es-UY"/>
        </w:rPr>
        <w:t>will</w:t>
      </w:r>
      <w:proofErr w:type="spellEnd"/>
      <w:r>
        <w:rPr>
          <w:rFonts w:eastAsia="Calibri"/>
          <w:color w:val="000000"/>
          <w:sz w:val="22"/>
          <w:szCs w:val="22"/>
          <w:lang w:eastAsia="es-UY"/>
        </w:rPr>
        <w:t xml:space="preserve"> </w:t>
      </w:r>
      <w:proofErr w:type="spellStart"/>
      <w:r>
        <w:rPr>
          <w:rFonts w:eastAsia="Calibri"/>
          <w:color w:val="000000"/>
          <w:sz w:val="22"/>
          <w:szCs w:val="22"/>
          <w:lang w:eastAsia="es-UY"/>
        </w:rPr>
        <w:t>adopt</w:t>
      </w:r>
      <w:proofErr w:type="spellEnd"/>
      <w:r>
        <w:rPr>
          <w:rFonts w:eastAsia="Calibri"/>
          <w:color w:val="000000"/>
          <w:sz w:val="22"/>
          <w:szCs w:val="22"/>
          <w:lang w:eastAsia="es-UY"/>
        </w:rPr>
        <w:t xml:space="preserve"> </w:t>
      </w:r>
      <w:proofErr w:type="spellStart"/>
      <w:r>
        <w:rPr>
          <w:rFonts w:eastAsia="Calibri"/>
          <w:color w:val="000000"/>
          <w:sz w:val="22"/>
          <w:szCs w:val="22"/>
          <w:lang w:eastAsia="es-UY"/>
        </w:rPr>
        <w:t>all</w:t>
      </w:r>
      <w:proofErr w:type="spellEnd"/>
      <w:r>
        <w:rPr>
          <w:rFonts w:eastAsia="Calibri"/>
          <w:color w:val="000000"/>
          <w:sz w:val="22"/>
          <w:szCs w:val="22"/>
          <w:lang w:eastAsia="es-UY"/>
        </w:rPr>
        <w:t xml:space="preserve"> preventive and corrective </w:t>
      </w:r>
      <w:proofErr w:type="spellStart"/>
      <w:r>
        <w:rPr>
          <w:rFonts w:eastAsia="Calibri"/>
          <w:color w:val="000000"/>
          <w:sz w:val="22"/>
          <w:szCs w:val="22"/>
          <w:lang w:eastAsia="es-UY"/>
        </w:rPr>
        <w:t>measures</w:t>
      </w:r>
      <w:proofErr w:type="spellEnd"/>
      <w:r>
        <w:rPr>
          <w:rFonts w:eastAsia="Calibri"/>
          <w:color w:val="000000"/>
          <w:sz w:val="22"/>
          <w:szCs w:val="22"/>
          <w:lang w:eastAsia="es-UY"/>
        </w:rPr>
        <w:t xml:space="preserve"> </w:t>
      </w:r>
      <w:proofErr w:type="spellStart"/>
      <w:r>
        <w:rPr>
          <w:rFonts w:eastAsia="Calibri"/>
          <w:color w:val="000000"/>
          <w:sz w:val="22"/>
          <w:szCs w:val="22"/>
          <w:lang w:eastAsia="es-UY"/>
        </w:rPr>
        <w:t>indicated</w:t>
      </w:r>
      <w:proofErr w:type="spellEnd"/>
      <w:r>
        <w:rPr>
          <w:rFonts w:eastAsia="Calibri"/>
          <w:color w:val="000000"/>
          <w:sz w:val="22"/>
          <w:szCs w:val="22"/>
          <w:lang w:eastAsia="es-UY"/>
        </w:rPr>
        <w:t xml:space="preserve"> </w:t>
      </w:r>
      <w:proofErr w:type="spellStart"/>
      <w:r>
        <w:rPr>
          <w:rFonts w:eastAsia="Calibri"/>
          <w:color w:val="000000"/>
          <w:sz w:val="22"/>
          <w:szCs w:val="22"/>
          <w:lang w:eastAsia="es-UY"/>
        </w:rPr>
        <w:t>by</w:t>
      </w:r>
      <w:proofErr w:type="spellEnd"/>
      <w:r>
        <w:rPr>
          <w:rFonts w:eastAsia="Calibri"/>
          <w:color w:val="000000"/>
          <w:sz w:val="22"/>
          <w:szCs w:val="22"/>
          <w:lang w:eastAsia="es-UY"/>
        </w:rPr>
        <w:t xml:space="preserve"> </w:t>
      </w:r>
      <w:proofErr w:type="spellStart"/>
      <w:r>
        <w:rPr>
          <w:rFonts w:eastAsia="Calibri"/>
          <w:color w:val="000000"/>
          <w:sz w:val="22"/>
          <w:szCs w:val="22"/>
          <w:lang w:eastAsia="es-UY"/>
        </w:rPr>
        <w:t>current</w:t>
      </w:r>
      <w:proofErr w:type="spellEnd"/>
      <w:r>
        <w:rPr>
          <w:rFonts w:eastAsia="Calibri"/>
          <w:color w:val="000000"/>
          <w:sz w:val="22"/>
          <w:szCs w:val="22"/>
          <w:lang w:eastAsia="es-UY"/>
        </w:rPr>
        <w:t xml:space="preserve"> legal </w:t>
      </w:r>
      <w:proofErr w:type="spellStart"/>
      <w:r>
        <w:rPr>
          <w:rFonts w:eastAsia="Calibri"/>
          <w:color w:val="000000"/>
          <w:sz w:val="22"/>
          <w:szCs w:val="22"/>
          <w:lang w:eastAsia="es-UY"/>
        </w:rPr>
        <w:t>regulations</w:t>
      </w:r>
      <w:proofErr w:type="spellEnd"/>
      <w:r>
        <w:rPr>
          <w:rFonts w:eastAsia="Calibri"/>
          <w:color w:val="000000"/>
          <w:sz w:val="22"/>
          <w:szCs w:val="22"/>
          <w:lang w:eastAsia="es-UY"/>
        </w:rPr>
        <w:t xml:space="preserve">, as </w:t>
      </w:r>
      <w:proofErr w:type="spellStart"/>
      <w:r>
        <w:rPr>
          <w:rFonts w:eastAsia="Calibri"/>
          <w:color w:val="000000"/>
          <w:sz w:val="22"/>
          <w:szCs w:val="22"/>
          <w:lang w:eastAsia="es-UY"/>
        </w:rPr>
        <w:t>well</w:t>
      </w:r>
      <w:proofErr w:type="spellEnd"/>
      <w:r>
        <w:rPr>
          <w:rFonts w:eastAsia="Calibri"/>
          <w:color w:val="000000"/>
          <w:sz w:val="22"/>
          <w:szCs w:val="22"/>
          <w:lang w:eastAsia="es-UY"/>
        </w:rPr>
        <w:t xml:space="preserve"> as </w:t>
      </w:r>
      <w:proofErr w:type="spellStart"/>
      <w:r>
        <w:rPr>
          <w:rFonts w:eastAsia="Calibri"/>
          <w:color w:val="000000"/>
          <w:sz w:val="22"/>
          <w:szCs w:val="22"/>
          <w:lang w:eastAsia="es-UY"/>
        </w:rPr>
        <w:t>those</w:t>
      </w:r>
      <w:proofErr w:type="spellEnd"/>
      <w:r>
        <w:rPr>
          <w:rFonts w:eastAsia="Calibri"/>
          <w:color w:val="000000"/>
          <w:sz w:val="22"/>
          <w:szCs w:val="22"/>
          <w:lang w:eastAsia="es-UY"/>
        </w:rPr>
        <w:t xml:space="preserve"> </w:t>
      </w:r>
      <w:proofErr w:type="spellStart"/>
      <w:r>
        <w:rPr>
          <w:rFonts w:eastAsia="Calibri"/>
          <w:color w:val="000000"/>
          <w:sz w:val="22"/>
          <w:szCs w:val="22"/>
          <w:lang w:eastAsia="es-UY"/>
        </w:rPr>
        <w:t>specifically</w:t>
      </w:r>
      <w:proofErr w:type="spellEnd"/>
      <w:r>
        <w:rPr>
          <w:rFonts w:eastAsia="Calibri"/>
          <w:color w:val="000000"/>
          <w:sz w:val="22"/>
          <w:szCs w:val="22"/>
          <w:lang w:eastAsia="es-UY"/>
        </w:rPr>
        <w:t xml:space="preserve"> </w:t>
      </w:r>
      <w:proofErr w:type="spellStart"/>
      <w:r>
        <w:rPr>
          <w:rFonts w:eastAsia="Calibri"/>
          <w:color w:val="000000"/>
          <w:sz w:val="22"/>
          <w:szCs w:val="22"/>
          <w:lang w:eastAsia="es-UY"/>
        </w:rPr>
        <w:t>requested</w:t>
      </w:r>
      <w:proofErr w:type="spellEnd"/>
      <w:r>
        <w:rPr>
          <w:rFonts w:eastAsia="Calibri"/>
          <w:color w:val="000000"/>
          <w:sz w:val="22"/>
          <w:szCs w:val="22"/>
          <w:lang w:eastAsia="es-UY"/>
        </w:rPr>
        <w:t xml:space="preserve"> </w:t>
      </w:r>
      <w:proofErr w:type="spellStart"/>
      <w:r>
        <w:rPr>
          <w:rFonts w:eastAsia="Calibri"/>
          <w:color w:val="000000"/>
          <w:sz w:val="22"/>
          <w:szCs w:val="22"/>
          <w:lang w:eastAsia="es-UY"/>
        </w:rPr>
        <w:t>by</w:t>
      </w:r>
      <w:proofErr w:type="spellEnd"/>
      <w:r>
        <w:rPr>
          <w:rFonts w:eastAsia="Calibri"/>
          <w:color w:val="000000"/>
          <w:sz w:val="22"/>
          <w:szCs w:val="22"/>
          <w:lang w:eastAsia="es-UY"/>
        </w:rPr>
        <w:t xml:space="preserve"> OSE </w:t>
      </w:r>
      <w:proofErr w:type="spellStart"/>
      <w:r>
        <w:rPr>
          <w:rFonts w:eastAsia="Calibri"/>
          <w:color w:val="000000"/>
          <w:sz w:val="22"/>
          <w:szCs w:val="22"/>
          <w:lang w:eastAsia="es-UY"/>
        </w:rPr>
        <w:t>when</w:t>
      </w:r>
      <w:proofErr w:type="spellEnd"/>
      <w:r>
        <w:rPr>
          <w:rFonts w:eastAsia="Calibri"/>
          <w:color w:val="000000"/>
          <w:sz w:val="22"/>
          <w:szCs w:val="22"/>
          <w:lang w:eastAsia="es-UY"/>
        </w:rPr>
        <w:t xml:space="preserve"> </w:t>
      </w:r>
      <w:proofErr w:type="spellStart"/>
      <w:r>
        <w:rPr>
          <w:rFonts w:eastAsia="Calibri"/>
          <w:color w:val="000000"/>
          <w:sz w:val="22"/>
          <w:szCs w:val="22"/>
          <w:lang w:eastAsia="es-UY"/>
        </w:rPr>
        <w:t>indicated</w:t>
      </w:r>
      <w:proofErr w:type="spellEnd"/>
      <w:r>
        <w:rPr>
          <w:rFonts w:eastAsia="Calibri"/>
          <w:color w:val="000000"/>
          <w:sz w:val="22"/>
          <w:szCs w:val="22"/>
          <w:lang w:eastAsia="es-UY"/>
        </w:rPr>
        <w:t>.</w:t>
      </w:r>
    </w:p>
    <w:p w14:paraId="23326439" w14:textId="77777777" w:rsidR="00E255F4" w:rsidRDefault="00000000">
      <w:pPr>
        <w:autoSpaceDE w:val="0"/>
        <w:spacing w:line="360" w:lineRule="auto"/>
        <w:jc w:val="both"/>
        <w:rPr>
          <w:rFonts w:eastAsia="Calibri"/>
          <w:color w:val="000000"/>
          <w:sz w:val="22"/>
          <w:szCs w:val="22"/>
          <w:lang w:eastAsia="es-UY"/>
        </w:rPr>
      </w:pPr>
      <w:r>
        <w:rPr>
          <w:rFonts w:eastAsia="Calibri"/>
          <w:color w:val="000000"/>
          <w:sz w:val="22"/>
          <w:szCs w:val="22"/>
          <w:lang w:eastAsia="es-UY"/>
        </w:rPr>
        <w:t xml:space="preserve">6) </w:t>
      </w:r>
      <w:proofErr w:type="spellStart"/>
      <w:r>
        <w:rPr>
          <w:rFonts w:eastAsia="Calibri"/>
          <w:color w:val="000000"/>
          <w:sz w:val="22"/>
          <w:szCs w:val="22"/>
          <w:lang w:eastAsia="es-UY"/>
        </w:rPr>
        <w:t>All</w:t>
      </w:r>
      <w:proofErr w:type="spellEnd"/>
      <w:r>
        <w:rPr>
          <w:rFonts w:eastAsia="Calibri"/>
          <w:color w:val="000000"/>
          <w:sz w:val="22"/>
          <w:szCs w:val="22"/>
          <w:lang w:eastAsia="es-UY"/>
        </w:rPr>
        <w:t xml:space="preserve"> staff </w:t>
      </w:r>
      <w:proofErr w:type="spellStart"/>
      <w:r>
        <w:rPr>
          <w:rFonts w:eastAsia="Calibri"/>
          <w:color w:val="000000"/>
          <w:sz w:val="22"/>
          <w:szCs w:val="22"/>
          <w:lang w:eastAsia="es-UY"/>
        </w:rPr>
        <w:t>have</w:t>
      </w:r>
      <w:proofErr w:type="spellEnd"/>
      <w:r>
        <w:rPr>
          <w:rFonts w:eastAsia="Calibri"/>
          <w:color w:val="000000"/>
          <w:sz w:val="22"/>
          <w:szCs w:val="22"/>
          <w:lang w:eastAsia="es-UY"/>
        </w:rPr>
        <w:t xml:space="preserve"> </w:t>
      </w:r>
      <w:proofErr w:type="spellStart"/>
      <w:r>
        <w:rPr>
          <w:rFonts w:eastAsia="Calibri"/>
          <w:color w:val="000000"/>
          <w:sz w:val="22"/>
          <w:szCs w:val="22"/>
          <w:lang w:eastAsia="es-UY"/>
        </w:rPr>
        <w:t>the</w:t>
      </w:r>
      <w:proofErr w:type="spellEnd"/>
      <w:r>
        <w:rPr>
          <w:rFonts w:eastAsia="Calibri"/>
          <w:color w:val="000000"/>
          <w:sz w:val="22"/>
          <w:szCs w:val="22"/>
          <w:lang w:eastAsia="es-UY"/>
        </w:rPr>
        <w:t xml:space="preserve"> </w:t>
      </w:r>
      <w:proofErr w:type="spellStart"/>
      <w:r>
        <w:rPr>
          <w:rFonts w:eastAsia="Calibri"/>
          <w:color w:val="000000"/>
          <w:sz w:val="22"/>
          <w:szCs w:val="22"/>
          <w:lang w:eastAsia="es-UY"/>
        </w:rPr>
        <w:t>necessary</w:t>
      </w:r>
      <w:proofErr w:type="spellEnd"/>
      <w:r>
        <w:rPr>
          <w:rFonts w:eastAsia="Calibri"/>
          <w:color w:val="000000"/>
          <w:sz w:val="22"/>
          <w:szCs w:val="22"/>
          <w:lang w:eastAsia="es-UY"/>
        </w:rPr>
        <w:t xml:space="preserve"> training in </w:t>
      </w:r>
      <w:proofErr w:type="spellStart"/>
      <w:r>
        <w:rPr>
          <w:rFonts w:eastAsia="Calibri"/>
          <w:color w:val="000000"/>
          <w:sz w:val="22"/>
          <w:szCs w:val="22"/>
          <w:lang w:eastAsia="es-UY"/>
        </w:rPr>
        <w:t>occupational</w:t>
      </w:r>
      <w:proofErr w:type="spellEnd"/>
      <w:r>
        <w:rPr>
          <w:rFonts w:eastAsia="Calibri"/>
          <w:color w:val="000000"/>
          <w:sz w:val="22"/>
          <w:szCs w:val="22"/>
          <w:lang w:eastAsia="es-UY"/>
        </w:rPr>
        <w:t xml:space="preserve"> safety and </w:t>
      </w:r>
      <w:proofErr w:type="spellStart"/>
      <w:r>
        <w:rPr>
          <w:rFonts w:eastAsia="Calibri"/>
          <w:color w:val="000000"/>
          <w:sz w:val="22"/>
          <w:szCs w:val="22"/>
          <w:lang w:eastAsia="es-UY"/>
        </w:rPr>
        <w:t>hygiene</w:t>
      </w:r>
      <w:proofErr w:type="spellEnd"/>
      <w:r>
        <w:rPr>
          <w:rFonts w:eastAsia="Calibri"/>
          <w:color w:val="000000"/>
          <w:sz w:val="22"/>
          <w:szCs w:val="22"/>
          <w:lang w:eastAsia="es-UY"/>
        </w:rPr>
        <w:t xml:space="preserve"> as </w:t>
      </w:r>
      <w:proofErr w:type="spellStart"/>
      <w:r>
        <w:rPr>
          <w:rFonts w:eastAsia="Calibri"/>
          <w:color w:val="000000"/>
          <w:sz w:val="22"/>
          <w:szCs w:val="22"/>
          <w:lang w:eastAsia="es-UY"/>
        </w:rPr>
        <w:t>indicated</w:t>
      </w:r>
      <w:proofErr w:type="spellEnd"/>
      <w:r>
        <w:rPr>
          <w:rFonts w:eastAsia="Calibri"/>
          <w:color w:val="000000"/>
          <w:sz w:val="22"/>
          <w:szCs w:val="22"/>
          <w:lang w:eastAsia="es-UY"/>
        </w:rPr>
        <w:t xml:space="preserve"> </w:t>
      </w:r>
      <w:proofErr w:type="spellStart"/>
      <w:r>
        <w:rPr>
          <w:rFonts w:eastAsia="Calibri"/>
          <w:color w:val="000000"/>
          <w:sz w:val="22"/>
          <w:szCs w:val="22"/>
          <w:lang w:eastAsia="es-UY"/>
        </w:rPr>
        <w:t>by</w:t>
      </w:r>
      <w:proofErr w:type="spellEnd"/>
      <w:r>
        <w:rPr>
          <w:rFonts w:eastAsia="Calibri"/>
          <w:color w:val="000000"/>
          <w:sz w:val="22"/>
          <w:szCs w:val="22"/>
          <w:lang w:eastAsia="es-UY"/>
        </w:rPr>
        <w:t xml:space="preserve"> </w:t>
      </w:r>
      <w:proofErr w:type="spellStart"/>
      <w:r>
        <w:rPr>
          <w:rFonts w:eastAsia="Calibri"/>
          <w:color w:val="000000"/>
          <w:sz w:val="22"/>
          <w:szCs w:val="22"/>
          <w:lang w:eastAsia="es-UY"/>
        </w:rPr>
        <w:t>current</w:t>
      </w:r>
      <w:proofErr w:type="spellEnd"/>
      <w:r>
        <w:rPr>
          <w:rFonts w:eastAsia="Calibri"/>
          <w:color w:val="000000"/>
          <w:sz w:val="22"/>
          <w:szCs w:val="22"/>
          <w:lang w:eastAsia="es-UY"/>
        </w:rPr>
        <w:t xml:space="preserve"> legal </w:t>
      </w:r>
      <w:proofErr w:type="spellStart"/>
      <w:r>
        <w:rPr>
          <w:rFonts w:eastAsia="Calibri"/>
          <w:color w:val="000000"/>
          <w:sz w:val="22"/>
          <w:szCs w:val="22"/>
          <w:lang w:eastAsia="es-UY"/>
        </w:rPr>
        <w:t>regulations</w:t>
      </w:r>
      <w:proofErr w:type="spellEnd"/>
      <w:r>
        <w:rPr>
          <w:rFonts w:eastAsia="Calibri"/>
          <w:color w:val="000000"/>
          <w:sz w:val="22"/>
          <w:szCs w:val="22"/>
          <w:lang w:eastAsia="es-UY"/>
        </w:rPr>
        <w:t xml:space="preserve">, and </w:t>
      </w:r>
      <w:proofErr w:type="spellStart"/>
      <w:r>
        <w:rPr>
          <w:rFonts w:eastAsia="Calibri"/>
          <w:color w:val="000000"/>
          <w:sz w:val="22"/>
          <w:szCs w:val="22"/>
          <w:lang w:eastAsia="es-UY"/>
        </w:rPr>
        <w:t>records</w:t>
      </w:r>
      <w:proofErr w:type="spellEnd"/>
      <w:r>
        <w:rPr>
          <w:rFonts w:eastAsia="Calibri"/>
          <w:color w:val="000000"/>
          <w:sz w:val="22"/>
          <w:szCs w:val="22"/>
          <w:lang w:eastAsia="es-UY"/>
        </w:rPr>
        <w:t xml:space="preserve"> </w:t>
      </w:r>
      <w:proofErr w:type="spellStart"/>
      <w:r>
        <w:rPr>
          <w:rFonts w:eastAsia="Calibri"/>
          <w:color w:val="000000"/>
          <w:sz w:val="22"/>
          <w:szCs w:val="22"/>
          <w:lang w:eastAsia="es-UY"/>
        </w:rPr>
        <w:t>of</w:t>
      </w:r>
      <w:proofErr w:type="spellEnd"/>
      <w:r>
        <w:rPr>
          <w:rFonts w:eastAsia="Calibri"/>
          <w:color w:val="000000"/>
          <w:sz w:val="22"/>
          <w:szCs w:val="22"/>
          <w:lang w:eastAsia="es-UY"/>
        </w:rPr>
        <w:t xml:space="preserve"> </w:t>
      </w:r>
      <w:proofErr w:type="spellStart"/>
      <w:r>
        <w:rPr>
          <w:rFonts w:eastAsia="Calibri"/>
          <w:color w:val="000000"/>
          <w:sz w:val="22"/>
          <w:szCs w:val="22"/>
          <w:lang w:eastAsia="es-UY"/>
        </w:rPr>
        <w:t>these</w:t>
      </w:r>
      <w:proofErr w:type="spellEnd"/>
      <w:r>
        <w:rPr>
          <w:rFonts w:eastAsia="Calibri"/>
          <w:color w:val="000000"/>
          <w:sz w:val="22"/>
          <w:szCs w:val="22"/>
          <w:lang w:eastAsia="es-UY"/>
        </w:rPr>
        <w:t xml:space="preserve"> </w:t>
      </w:r>
      <w:proofErr w:type="spellStart"/>
      <w:r>
        <w:rPr>
          <w:rFonts w:eastAsia="Calibri"/>
          <w:color w:val="000000"/>
          <w:sz w:val="22"/>
          <w:szCs w:val="22"/>
          <w:lang w:eastAsia="es-UY"/>
        </w:rPr>
        <w:t>actions</w:t>
      </w:r>
      <w:proofErr w:type="spellEnd"/>
      <w:r>
        <w:rPr>
          <w:rFonts w:eastAsia="Calibri"/>
          <w:color w:val="000000"/>
          <w:sz w:val="22"/>
          <w:szCs w:val="22"/>
          <w:lang w:eastAsia="es-UY"/>
        </w:rPr>
        <w:t xml:space="preserve"> are </w:t>
      </w:r>
      <w:proofErr w:type="spellStart"/>
      <w:r>
        <w:rPr>
          <w:rFonts w:eastAsia="Calibri"/>
          <w:color w:val="000000"/>
          <w:sz w:val="22"/>
          <w:szCs w:val="22"/>
          <w:lang w:eastAsia="es-UY"/>
        </w:rPr>
        <w:t>kept</w:t>
      </w:r>
      <w:proofErr w:type="spellEnd"/>
      <w:r>
        <w:rPr>
          <w:rFonts w:eastAsia="Calibri"/>
          <w:color w:val="000000"/>
          <w:sz w:val="22"/>
          <w:szCs w:val="22"/>
          <w:lang w:eastAsia="es-UY"/>
        </w:rPr>
        <w:t>.</w:t>
      </w:r>
    </w:p>
    <w:p w14:paraId="5F3BACB5" w14:textId="77777777" w:rsidR="00E255F4" w:rsidRDefault="00000000">
      <w:pPr>
        <w:autoSpaceDE w:val="0"/>
        <w:spacing w:line="360" w:lineRule="auto"/>
        <w:jc w:val="both"/>
      </w:pPr>
      <w:r>
        <w:rPr>
          <w:rFonts w:eastAsia="Calibri"/>
          <w:color w:val="000000"/>
          <w:sz w:val="22"/>
          <w:szCs w:val="22"/>
          <w:lang w:eastAsia="es-UY"/>
        </w:rPr>
        <w:t xml:space="preserve">7) In particular, </w:t>
      </w:r>
      <w:proofErr w:type="spellStart"/>
      <w:r>
        <w:rPr>
          <w:rFonts w:eastAsia="Calibri"/>
          <w:color w:val="000000"/>
          <w:sz w:val="22"/>
          <w:szCs w:val="22"/>
          <w:lang w:eastAsia="es-UY"/>
        </w:rPr>
        <w:t>we</w:t>
      </w:r>
      <w:proofErr w:type="spellEnd"/>
      <w:r>
        <w:rPr>
          <w:rFonts w:eastAsia="Calibri"/>
          <w:color w:val="000000"/>
          <w:sz w:val="22"/>
          <w:szCs w:val="22"/>
          <w:lang w:eastAsia="es-UY"/>
        </w:rPr>
        <w:t xml:space="preserve"> </w:t>
      </w:r>
      <w:proofErr w:type="spellStart"/>
      <w:r>
        <w:rPr>
          <w:rFonts w:eastAsia="Calibri"/>
          <w:color w:val="000000"/>
          <w:sz w:val="22"/>
          <w:szCs w:val="22"/>
          <w:lang w:eastAsia="es-UY"/>
        </w:rPr>
        <w:t>will</w:t>
      </w:r>
      <w:proofErr w:type="spellEnd"/>
      <w:r>
        <w:rPr>
          <w:rFonts w:eastAsia="Calibri"/>
          <w:color w:val="000000"/>
          <w:sz w:val="22"/>
          <w:szCs w:val="22"/>
          <w:lang w:eastAsia="es-UY"/>
        </w:rPr>
        <w:t xml:space="preserve"> </w:t>
      </w:r>
      <w:proofErr w:type="spellStart"/>
      <w:r>
        <w:rPr>
          <w:rFonts w:eastAsia="Calibri"/>
          <w:color w:val="000000"/>
          <w:sz w:val="22"/>
          <w:szCs w:val="22"/>
          <w:lang w:eastAsia="es-UY"/>
        </w:rPr>
        <w:t>carry</w:t>
      </w:r>
      <w:proofErr w:type="spellEnd"/>
      <w:r>
        <w:rPr>
          <w:rFonts w:eastAsia="Calibri"/>
          <w:color w:val="000000"/>
          <w:sz w:val="22"/>
          <w:szCs w:val="22"/>
          <w:lang w:eastAsia="es-UY"/>
        </w:rPr>
        <w:t xml:space="preserve"> </w:t>
      </w:r>
      <w:proofErr w:type="spellStart"/>
      <w:r>
        <w:rPr>
          <w:rFonts w:eastAsia="Calibri"/>
          <w:color w:val="000000"/>
          <w:sz w:val="22"/>
          <w:szCs w:val="22"/>
          <w:lang w:eastAsia="es-UY"/>
        </w:rPr>
        <w:t>out</w:t>
      </w:r>
      <w:proofErr w:type="spellEnd"/>
      <w:r>
        <w:rPr>
          <w:rFonts w:eastAsia="Calibri"/>
          <w:color w:val="000000"/>
          <w:sz w:val="22"/>
          <w:szCs w:val="22"/>
          <w:lang w:eastAsia="es-UY"/>
        </w:rPr>
        <w:t xml:space="preserve"> safety and </w:t>
      </w:r>
      <w:proofErr w:type="spellStart"/>
      <w:r>
        <w:rPr>
          <w:rFonts w:eastAsia="Calibri"/>
          <w:color w:val="000000"/>
          <w:sz w:val="22"/>
          <w:szCs w:val="22"/>
          <w:lang w:eastAsia="es-UY"/>
        </w:rPr>
        <w:t>hygiene</w:t>
      </w:r>
      <w:proofErr w:type="spellEnd"/>
      <w:r>
        <w:rPr>
          <w:rFonts w:eastAsia="Calibri"/>
          <w:color w:val="000000"/>
          <w:sz w:val="22"/>
          <w:szCs w:val="22"/>
          <w:lang w:eastAsia="es-UY"/>
        </w:rPr>
        <w:t xml:space="preserve"> </w:t>
      </w:r>
      <w:proofErr w:type="spellStart"/>
      <w:r>
        <w:rPr>
          <w:rFonts w:eastAsia="Calibri"/>
          <w:color w:val="000000"/>
          <w:sz w:val="22"/>
          <w:szCs w:val="22"/>
          <w:lang w:eastAsia="es-UY"/>
        </w:rPr>
        <w:t>inspections</w:t>
      </w:r>
      <w:proofErr w:type="spellEnd"/>
      <w:r>
        <w:rPr>
          <w:rFonts w:eastAsia="Calibri"/>
          <w:color w:val="000000"/>
          <w:sz w:val="22"/>
          <w:szCs w:val="22"/>
          <w:lang w:eastAsia="es-UY"/>
        </w:rPr>
        <w:t xml:space="preserve"> at </w:t>
      </w:r>
      <w:proofErr w:type="spellStart"/>
      <w:r>
        <w:rPr>
          <w:rFonts w:eastAsia="Calibri"/>
          <w:color w:val="000000"/>
          <w:sz w:val="22"/>
          <w:szCs w:val="22"/>
          <w:lang w:eastAsia="es-UY"/>
        </w:rPr>
        <w:t>work</w:t>
      </w:r>
      <w:proofErr w:type="spellEnd"/>
      <w:r>
        <w:rPr>
          <w:rFonts w:eastAsia="Calibri"/>
          <w:color w:val="000000"/>
          <w:sz w:val="22"/>
          <w:szCs w:val="22"/>
          <w:lang w:eastAsia="es-UY"/>
        </w:rPr>
        <w:t xml:space="preserve">, as </w:t>
      </w:r>
      <w:proofErr w:type="spellStart"/>
      <w:r>
        <w:rPr>
          <w:rFonts w:eastAsia="Calibri"/>
          <w:color w:val="000000"/>
          <w:sz w:val="22"/>
          <w:szCs w:val="22"/>
          <w:lang w:eastAsia="es-UY"/>
        </w:rPr>
        <w:t>well</w:t>
      </w:r>
      <w:proofErr w:type="spellEnd"/>
      <w:r>
        <w:rPr>
          <w:rFonts w:eastAsia="Calibri"/>
          <w:color w:val="000000"/>
          <w:sz w:val="22"/>
          <w:szCs w:val="22"/>
          <w:lang w:eastAsia="es-UY"/>
        </w:rPr>
        <w:t xml:space="preserve"> as </w:t>
      </w:r>
      <w:proofErr w:type="spellStart"/>
      <w:r>
        <w:rPr>
          <w:rFonts w:eastAsia="Calibri"/>
          <w:color w:val="000000"/>
          <w:sz w:val="22"/>
          <w:szCs w:val="22"/>
          <w:lang w:eastAsia="es-UY"/>
        </w:rPr>
        <w:t>the</w:t>
      </w:r>
      <w:proofErr w:type="spellEnd"/>
      <w:r>
        <w:rPr>
          <w:rFonts w:eastAsia="Calibri"/>
          <w:color w:val="000000"/>
          <w:sz w:val="22"/>
          <w:szCs w:val="22"/>
          <w:lang w:eastAsia="es-UY"/>
        </w:rPr>
        <w:t xml:space="preserve"> </w:t>
      </w:r>
      <w:proofErr w:type="spellStart"/>
      <w:r>
        <w:rPr>
          <w:rFonts w:eastAsia="Calibri"/>
          <w:color w:val="000000"/>
          <w:sz w:val="22"/>
          <w:szCs w:val="22"/>
          <w:lang w:eastAsia="es-UY"/>
        </w:rPr>
        <w:t>investigation</w:t>
      </w:r>
      <w:proofErr w:type="spellEnd"/>
      <w:r>
        <w:rPr>
          <w:rFonts w:eastAsia="Calibri"/>
          <w:color w:val="000000"/>
          <w:sz w:val="22"/>
          <w:szCs w:val="22"/>
          <w:lang w:eastAsia="es-UY"/>
        </w:rPr>
        <w:t xml:space="preserve"> </w:t>
      </w:r>
      <w:proofErr w:type="spellStart"/>
      <w:r>
        <w:rPr>
          <w:rFonts w:eastAsia="Calibri"/>
          <w:color w:val="000000"/>
          <w:sz w:val="22"/>
          <w:szCs w:val="22"/>
          <w:lang w:eastAsia="es-UY"/>
        </w:rPr>
        <w:t>of</w:t>
      </w:r>
      <w:proofErr w:type="spellEnd"/>
      <w:r>
        <w:rPr>
          <w:rFonts w:eastAsia="Calibri"/>
          <w:color w:val="000000"/>
          <w:sz w:val="22"/>
          <w:szCs w:val="22"/>
          <w:lang w:eastAsia="es-UY"/>
        </w:rPr>
        <w:t xml:space="preserve"> </w:t>
      </w:r>
      <w:proofErr w:type="spellStart"/>
      <w:r>
        <w:rPr>
          <w:rFonts w:eastAsia="Calibri"/>
          <w:color w:val="000000"/>
          <w:sz w:val="22"/>
          <w:szCs w:val="22"/>
          <w:lang w:eastAsia="es-UY"/>
        </w:rPr>
        <w:t>all</w:t>
      </w:r>
      <w:proofErr w:type="spellEnd"/>
      <w:r>
        <w:rPr>
          <w:rFonts w:eastAsia="Calibri"/>
          <w:color w:val="000000"/>
          <w:sz w:val="22"/>
          <w:szCs w:val="22"/>
          <w:lang w:eastAsia="es-UY"/>
        </w:rPr>
        <w:t xml:space="preserve"> </w:t>
      </w:r>
      <w:proofErr w:type="spellStart"/>
      <w:r>
        <w:rPr>
          <w:rFonts w:eastAsia="Calibri"/>
          <w:color w:val="000000"/>
          <w:sz w:val="22"/>
          <w:szCs w:val="22"/>
          <w:lang w:eastAsia="es-UY"/>
        </w:rPr>
        <w:t>incidents</w:t>
      </w:r>
      <w:proofErr w:type="spellEnd"/>
      <w:r>
        <w:rPr>
          <w:rFonts w:eastAsia="Calibri"/>
          <w:color w:val="000000"/>
          <w:sz w:val="22"/>
          <w:szCs w:val="22"/>
          <w:lang w:eastAsia="es-UY"/>
        </w:rPr>
        <w:t xml:space="preserve"> </w:t>
      </w:r>
      <w:proofErr w:type="spellStart"/>
      <w:r>
        <w:rPr>
          <w:rFonts w:eastAsia="Calibri"/>
          <w:color w:val="000000"/>
          <w:sz w:val="22"/>
          <w:szCs w:val="22"/>
          <w:lang w:eastAsia="es-UY"/>
        </w:rPr>
        <w:t>that</w:t>
      </w:r>
      <w:proofErr w:type="spellEnd"/>
      <w:r>
        <w:rPr>
          <w:rFonts w:eastAsia="Calibri"/>
          <w:color w:val="000000"/>
          <w:sz w:val="22"/>
          <w:szCs w:val="22"/>
          <w:lang w:eastAsia="es-UY"/>
        </w:rPr>
        <w:t xml:space="preserve"> </w:t>
      </w:r>
      <w:proofErr w:type="spellStart"/>
      <w:r>
        <w:rPr>
          <w:rFonts w:eastAsia="Calibri"/>
          <w:color w:val="000000"/>
          <w:sz w:val="22"/>
          <w:szCs w:val="22"/>
          <w:lang w:eastAsia="es-UY"/>
        </w:rPr>
        <w:t>occur</w:t>
      </w:r>
      <w:proofErr w:type="spellEnd"/>
      <w:r>
        <w:rPr>
          <w:rFonts w:eastAsia="Calibri"/>
          <w:color w:val="000000"/>
          <w:sz w:val="22"/>
          <w:szCs w:val="22"/>
          <w:lang w:eastAsia="es-UY"/>
        </w:rPr>
        <w:t xml:space="preserve"> (</w:t>
      </w:r>
      <w:proofErr w:type="spellStart"/>
      <w:r>
        <w:rPr>
          <w:rFonts w:eastAsia="Calibri"/>
          <w:color w:val="000000"/>
          <w:sz w:val="22"/>
          <w:szCs w:val="22"/>
          <w:lang w:eastAsia="es-UY"/>
        </w:rPr>
        <w:t>with</w:t>
      </w:r>
      <w:proofErr w:type="spellEnd"/>
      <w:r>
        <w:rPr>
          <w:rFonts w:eastAsia="Calibri"/>
          <w:color w:val="000000"/>
          <w:sz w:val="22"/>
          <w:szCs w:val="22"/>
          <w:lang w:eastAsia="es-UY"/>
        </w:rPr>
        <w:t xml:space="preserve"> and </w:t>
      </w:r>
      <w:proofErr w:type="spellStart"/>
      <w:r>
        <w:rPr>
          <w:rFonts w:eastAsia="Calibri"/>
          <w:color w:val="000000"/>
          <w:sz w:val="22"/>
          <w:szCs w:val="22"/>
          <w:lang w:eastAsia="es-UY"/>
        </w:rPr>
        <w:t>without</w:t>
      </w:r>
      <w:proofErr w:type="spellEnd"/>
      <w:r>
        <w:rPr>
          <w:rFonts w:eastAsia="Calibri"/>
          <w:color w:val="000000"/>
          <w:sz w:val="22"/>
          <w:szCs w:val="22"/>
          <w:lang w:eastAsia="es-UY"/>
        </w:rPr>
        <w:t xml:space="preserve"> </w:t>
      </w:r>
      <w:proofErr w:type="spellStart"/>
      <w:r>
        <w:rPr>
          <w:rFonts w:eastAsia="Calibri"/>
          <w:color w:val="000000"/>
          <w:sz w:val="22"/>
          <w:szCs w:val="22"/>
          <w:lang w:eastAsia="es-UY"/>
        </w:rPr>
        <w:t>injury</w:t>
      </w:r>
      <w:proofErr w:type="spellEnd"/>
      <w:r>
        <w:rPr>
          <w:rFonts w:eastAsia="Calibri"/>
          <w:color w:val="000000"/>
          <w:sz w:val="22"/>
          <w:szCs w:val="22"/>
          <w:lang w:eastAsia="es-UY"/>
        </w:rPr>
        <w:t xml:space="preserve">) and </w:t>
      </w:r>
      <w:proofErr w:type="spellStart"/>
      <w:r>
        <w:rPr>
          <w:rFonts w:eastAsia="Calibri"/>
          <w:color w:val="000000"/>
          <w:sz w:val="22"/>
          <w:szCs w:val="22"/>
          <w:lang w:eastAsia="es-UY"/>
        </w:rPr>
        <w:t>we</w:t>
      </w:r>
      <w:proofErr w:type="spellEnd"/>
      <w:r>
        <w:rPr>
          <w:rFonts w:eastAsia="Calibri"/>
          <w:color w:val="000000"/>
          <w:sz w:val="22"/>
          <w:szCs w:val="22"/>
          <w:lang w:eastAsia="es-UY"/>
        </w:rPr>
        <w:t xml:space="preserve"> </w:t>
      </w:r>
      <w:proofErr w:type="spellStart"/>
      <w:r>
        <w:rPr>
          <w:rFonts w:eastAsia="Calibri"/>
          <w:color w:val="000000"/>
          <w:sz w:val="22"/>
          <w:szCs w:val="22"/>
          <w:lang w:eastAsia="es-UY"/>
        </w:rPr>
        <w:t>will</w:t>
      </w:r>
      <w:proofErr w:type="spellEnd"/>
      <w:r>
        <w:rPr>
          <w:rFonts w:eastAsia="Calibri"/>
          <w:color w:val="000000"/>
          <w:sz w:val="22"/>
          <w:szCs w:val="22"/>
          <w:lang w:eastAsia="es-UY"/>
        </w:rPr>
        <w:t xml:space="preserve"> </w:t>
      </w:r>
      <w:proofErr w:type="spellStart"/>
      <w:r>
        <w:rPr>
          <w:rFonts w:eastAsia="Calibri"/>
          <w:color w:val="000000"/>
          <w:sz w:val="22"/>
          <w:szCs w:val="22"/>
          <w:lang w:eastAsia="es-UY"/>
        </w:rPr>
        <w:t>send</w:t>
      </w:r>
      <w:proofErr w:type="spellEnd"/>
      <w:r>
        <w:rPr>
          <w:rFonts w:eastAsia="Calibri"/>
          <w:color w:val="000000"/>
          <w:sz w:val="22"/>
          <w:szCs w:val="22"/>
          <w:lang w:eastAsia="es-UY"/>
        </w:rPr>
        <w:t xml:space="preserve"> a Weekly </w:t>
      </w:r>
      <w:proofErr w:type="gramStart"/>
      <w:r>
        <w:rPr>
          <w:rFonts w:eastAsia="Calibri"/>
          <w:color w:val="000000"/>
          <w:sz w:val="22"/>
          <w:szCs w:val="22"/>
          <w:lang w:eastAsia="es-UY"/>
        </w:rPr>
        <w:t>( )</w:t>
      </w:r>
      <w:proofErr w:type="gramEnd"/>
      <w:r>
        <w:rPr>
          <w:rFonts w:eastAsia="Calibri"/>
          <w:color w:val="000000"/>
          <w:sz w:val="22"/>
          <w:szCs w:val="22"/>
          <w:lang w:eastAsia="es-UY"/>
        </w:rPr>
        <w:t xml:space="preserve">, </w:t>
      </w:r>
      <w:proofErr w:type="spellStart"/>
      <w:r>
        <w:rPr>
          <w:rFonts w:eastAsia="Calibri"/>
          <w:color w:val="000000"/>
          <w:sz w:val="22"/>
          <w:szCs w:val="22"/>
          <w:lang w:eastAsia="es-UY"/>
        </w:rPr>
        <w:t>Monthly</w:t>
      </w:r>
      <w:proofErr w:type="spellEnd"/>
      <w:r>
        <w:rPr>
          <w:rFonts w:eastAsia="Calibri"/>
          <w:color w:val="000000"/>
          <w:sz w:val="22"/>
          <w:szCs w:val="22"/>
          <w:lang w:eastAsia="es-UY"/>
        </w:rPr>
        <w:t xml:space="preserve"> </w:t>
      </w:r>
      <w:proofErr w:type="gramStart"/>
      <w:r>
        <w:rPr>
          <w:rFonts w:eastAsia="Calibri"/>
          <w:color w:val="000000"/>
          <w:sz w:val="22"/>
          <w:szCs w:val="22"/>
          <w:lang w:eastAsia="es-UY"/>
        </w:rPr>
        <w:t>( )</w:t>
      </w:r>
      <w:proofErr w:type="gramEnd"/>
      <w:r>
        <w:rPr>
          <w:rFonts w:eastAsia="Calibri"/>
          <w:color w:val="000000"/>
          <w:sz w:val="22"/>
          <w:szCs w:val="22"/>
          <w:lang w:eastAsia="es-UY"/>
        </w:rPr>
        <w:t xml:space="preserve">, </w:t>
      </w:r>
      <w:proofErr w:type="spellStart"/>
      <w:r>
        <w:rPr>
          <w:rFonts w:eastAsia="Calibri"/>
          <w:color w:val="000000"/>
          <w:sz w:val="22"/>
          <w:szCs w:val="22"/>
          <w:lang w:eastAsia="es-UY"/>
        </w:rPr>
        <w:t>or</w:t>
      </w:r>
      <w:proofErr w:type="spellEnd"/>
      <w:r>
        <w:rPr>
          <w:rFonts w:eastAsia="Calibri"/>
          <w:color w:val="000000"/>
          <w:sz w:val="22"/>
          <w:szCs w:val="22"/>
          <w:lang w:eastAsia="es-UY"/>
        </w:rPr>
        <w:t xml:space="preserve"> </w:t>
      </w:r>
      <w:proofErr w:type="spellStart"/>
      <w:r>
        <w:rPr>
          <w:rFonts w:eastAsia="Calibri"/>
          <w:color w:val="000000"/>
          <w:sz w:val="22"/>
          <w:szCs w:val="22"/>
          <w:lang w:eastAsia="es-UY"/>
        </w:rPr>
        <w:t>Quarterly</w:t>
      </w:r>
      <w:proofErr w:type="spellEnd"/>
      <w:r>
        <w:rPr>
          <w:rFonts w:eastAsia="Calibri"/>
          <w:color w:val="000000"/>
          <w:sz w:val="22"/>
          <w:szCs w:val="22"/>
          <w:lang w:eastAsia="es-UY"/>
        </w:rPr>
        <w:t xml:space="preserve"> </w:t>
      </w:r>
      <w:proofErr w:type="gramStart"/>
      <w:r>
        <w:rPr>
          <w:rFonts w:eastAsia="Calibri"/>
          <w:color w:val="000000"/>
          <w:sz w:val="22"/>
          <w:szCs w:val="22"/>
          <w:lang w:eastAsia="es-UY"/>
        </w:rPr>
        <w:t>( )</w:t>
      </w:r>
      <w:proofErr w:type="gramEnd"/>
      <w:r>
        <w:rPr>
          <w:rFonts w:eastAsia="Calibri"/>
          <w:color w:val="000000"/>
          <w:sz w:val="22"/>
          <w:szCs w:val="22"/>
          <w:lang w:eastAsia="es-UY"/>
        </w:rPr>
        <w:t xml:space="preserve"> </w:t>
      </w:r>
      <w:proofErr w:type="spellStart"/>
      <w:r>
        <w:rPr>
          <w:rFonts w:eastAsia="Calibri"/>
          <w:color w:val="000000"/>
          <w:sz w:val="22"/>
          <w:szCs w:val="22"/>
          <w:lang w:eastAsia="es-UY"/>
        </w:rPr>
        <w:t>report</w:t>
      </w:r>
      <w:proofErr w:type="spellEnd"/>
      <w:r>
        <w:rPr>
          <w:rFonts w:eastAsia="Calibri"/>
          <w:color w:val="000000"/>
          <w:sz w:val="22"/>
          <w:szCs w:val="22"/>
          <w:lang w:eastAsia="es-UY"/>
        </w:rPr>
        <w:t xml:space="preserve"> </w:t>
      </w:r>
      <w:proofErr w:type="spellStart"/>
      <w:r>
        <w:rPr>
          <w:rFonts w:eastAsia="Calibri"/>
          <w:color w:val="000000"/>
          <w:sz w:val="22"/>
          <w:szCs w:val="22"/>
          <w:lang w:eastAsia="es-UY"/>
        </w:rPr>
        <w:t>to</w:t>
      </w:r>
      <w:proofErr w:type="spellEnd"/>
      <w:r>
        <w:rPr>
          <w:rFonts w:eastAsia="Calibri"/>
          <w:color w:val="000000"/>
          <w:sz w:val="22"/>
          <w:szCs w:val="22"/>
          <w:lang w:eastAsia="es-UY"/>
        </w:rPr>
        <w:t xml:space="preserve"> </w:t>
      </w:r>
      <w:proofErr w:type="spellStart"/>
      <w:r>
        <w:rPr>
          <w:rFonts w:eastAsia="Calibri"/>
          <w:color w:val="000000"/>
          <w:sz w:val="22"/>
          <w:szCs w:val="22"/>
          <w:lang w:eastAsia="es-UY"/>
        </w:rPr>
        <w:t>the</w:t>
      </w:r>
      <w:proofErr w:type="spellEnd"/>
      <w:r>
        <w:rPr>
          <w:rFonts w:eastAsia="Calibri"/>
          <w:color w:val="000000"/>
          <w:sz w:val="22"/>
          <w:szCs w:val="22"/>
          <w:lang w:eastAsia="es-UY"/>
        </w:rPr>
        <w:t xml:space="preserve"> OSE </w:t>
      </w:r>
      <w:proofErr w:type="spellStart"/>
      <w:r>
        <w:rPr>
          <w:rFonts w:eastAsia="Calibri"/>
          <w:color w:val="000000"/>
          <w:sz w:val="22"/>
          <w:szCs w:val="22"/>
          <w:lang w:eastAsia="es-UY"/>
        </w:rPr>
        <w:t>contract</w:t>
      </w:r>
      <w:proofErr w:type="spellEnd"/>
      <w:r>
        <w:rPr>
          <w:rFonts w:eastAsia="Calibri"/>
          <w:color w:val="000000"/>
          <w:sz w:val="22"/>
          <w:szCs w:val="22"/>
          <w:lang w:eastAsia="es-UY"/>
        </w:rPr>
        <w:t xml:space="preserve"> </w:t>
      </w:r>
      <w:proofErr w:type="spellStart"/>
      <w:r>
        <w:rPr>
          <w:rFonts w:eastAsia="Calibri"/>
          <w:color w:val="000000"/>
          <w:sz w:val="22"/>
          <w:szCs w:val="22"/>
          <w:lang w:eastAsia="es-UY"/>
        </w:rPr>
        <w:t>administrator</w:t>
      </w:r>
      <w:proofErr w:type="spellEnd"/>
      <w:r>
        <w:rPr>
          <w:rFonts w:eastAsia="Calibri"/>
          <w:color w:val="000000"/>
          <w:sz w:val="22"/>
          <w:szCs w:val="22"/>
          <w:lang w:eastAsia="es-UY"/>
        </w:rPr>
        <w:t xml:space="preserve">, </w:t>
      </w:r>
      <w:proofErr w:type="spellStart"/>
      <w:r>
        <w:rPr>
          <w:rFonts w:eastAsia="Calibri"/>
          <w:color w:val="000000"/>
          <w:sz w:val="22"/>
          <w:szCs w:val="22"/>
          <w:lang w:eastAsia="es-UY"/>
        </w:rPr>
        <w:t>which</w:t>
      </w:r>
      <w:proofErr w:type="spellEnd"/>
      <w:r>
        <w:rPr>
          <w:rFonts w:eastAsia="Calibri"/>
          <w:color w:val="000000"/>
          <w:sz w:val="22"/>
          <w:szCs w:val="22"/>
          <w:lang w:eastAsia="es-UY"/>
        </w:rPr>
        <w:t xml:space="preserve"> </w:t>
      </w:r>
      <w:proofErr w:type="spellStart"/>
      <w:r>
        <w:rPr>
          <w:rFonts w:eastAsia="Calibri"/>
          <w:color w:val="000000"/>
          <w:sz w:val="22"/>
          <w:szCs w:val="22"/>
          <w:lang w:eastAsia="es-UY"/>
        </w:rPr>
        <w:t>will</w:t>
      </w:r>
      <w:proofErr w:type="spellEnd"/>
      <w:r>
        <w:rPr>
          <w:rFonts w:eastAsia="Calibri"/>
          <w:color w:val="000000"/>
          <w:sz w:val="22"/>
          <w:szCs w:val="22"/>
          <w:lang w:eastAsia="es-UY"/>
        </w:rPr>
        <w:t xml:space="preserve"> </w:t>
      </w:r>
      <w:proofErr w:type="spellStart"/>
      <w:r>
        <w:rPr>
          <w:rFonts w:eastAsia="Calibri"/>
          <w:color w:val="000000"/>
          <w:sz w:val="22"/>
          <w:szCs w:val="22"/>
          <w:lang w:eastAsia="es-UY"/>
        </w:rPr>
        <w:t>consist</w:t>
      </w:r>
      <w:proofErr w:type="spellEnd"/>
      <w:r>
        <w:rPr>
          <w:rFonts w:eastAsia="Calibri"/>
          <w:color w:val="000000"/>
          <w:sz w:val="22"/>
          <w:szCs w:val="22"/>
          <w:lang w:eastAsia="es-UY"/>
        </w:rPr>
        <w:t xml:space="preserve"> </w:t>
      </w:r>
      <w:proofErr w:type="spellStart"/>
      <w:r>
        <w:rPr>
          <w:rFonts w:eastAsia="Calibri"/>
          <w:color w:val="000000"/>
          <w:sz w:val="22"/>
          <w:szCs w:val="22"/>
          <w:lang w:eastAsia="es-UY"/>
        </w:rPr>
        <w:t>of</w:t>
      </w:r>
      <w:proofErr w:type="spellEnd"/>
      <w:r>
        <w:rPr>
          <w:rFonts w:eastAsia="Calibri"/>
          <w:color w:val="000000"/>
          <w:sz w:val="22"/>
          <w:szCs w:val="22"/>
          <w:lang w:eastAsia="es-UY"/>
        </w:rPr>
        <w:t xml:space="preserve"> a </w:t>
      </w:r>
      <w:proofErr w:type="spellStart"/>
      <w:r>
        <w:rPr>
          <w:rFonts w:eastAsia="Calibri"/>
          <w:color w:val="000000"/>
          <w:sz w:val="22"/>
          <w:szCs w:val="22"/>
          <w:lang w:eastAsia="es-UY"/>
        </w:rPr>
        <w:t>summary</w:t>
      </w:r>
      <w:proofErr w:type="spellEnd"/>
      <w:r>
        <w:rPr>
          <w:rFonts w:eastAsia="Calibri"/>
          <w:color w:val="000000"/>
          <w:sz w:val="22"/>
          <w:szCs w:val="22"/>
          <w:lang w:eastAsia="es-UY"/>
        </w:rPr>
        <w:t xml:space="preserve"> </w:t>
      </w:r>
      <w:proofErr w:type="spellStart"/>
      <w:r>
        <w:rPr>
          <w:rFonts w:eastAsia="Calibri"/>
          <w:color w:val="000000"/>
          <w:sz w:val="22"/>
          <w:szCs w:val="22"/>
          <w:lang w:eastAsia="es-UY"/>
        </w:rPr>
        <w:t>of</w:t>
      </w:r>
      <w:proofErr w:type="spellEnd"/>
      <w:r>
        <w:rPr>
          <w:rFonts w:eastAsia="Calibri"/>
          <w:color w:val="000000"/>
          <w:sz w:val="22"/>
          <w:szCs w:val="22"/>
          <w:lang w:eastAsia="es-UY"/>
        </w:rPr>
        <w:t xml:space="preserve"> </w:t>
      </w:r>
      <w:proofErr w:type="spellStart"/>
      <w:r>
        <w:rPr>
          <w:rFonts w:eastAsia="Calibri"/>
          <w:color w:val="000000"/>
          <w:sz w:val="22"/>
          <w:szCs w:val="22"/>
          <w:lang w:eastAsia="es-UY"/>
        </w:rPr>
        <w:t>the</w:t>
      </w:r>
      <w:proofErr w:type="spellEnd"/>
      <w:r>
        <w:rPr>
          <w:rFonts w:eastAsia="Calibri"/>
          <w:color w:val="000000"/>
          <w:sz w:val="22"/>
          <w:szCs w:val="22"/>
          <w:lang w:eastAsia="es-UY"/>
        </w:rPr>
        <w:t xml:space="preserve"> </w:t>
      </w:r>
      <w:proofErr w:type="spellStart"/>
      <w:r>
        <w:rPr>
          <w:rFonts w:eastAsia="Calibri"/>
          <w:color w:val="000000"/>
          <w:sz w:val="22"/>
          <w:szCs w:val="22"/>
          <w:lang w:eastAsia="es-UY"/>
        </w:rPr>
        <w:t>results</w:t>
      </w:r>
      <w:proofErr w:type="spellEnd"/>
      <w:r>
        <w:rPr>
          <w:rFonts w:eastAsia="Calibri"/>
          <w:color w:val="000000"/>
          <w:sz w:val="22"/>
          <w:szCs w:val="22"/>
          <w:lang w:eastAsia="es-UY"/>
        </w:rPr>
        <w:t xml:space="preserve"> </w:t>
      </w:r>
      <w:proofErr w:type="spellStart"/>
      <w:r>
        <w:rPr>
          <w:rFonts w:eastAsia="Calibri"/>
          <w:color w:val="000000"/>
          <w:sz w:val="22"/>
          <w:szCs w:val="22"/>
          <w:lang w:eastAsia="es-UY"/>
        </w:rPr>
        <w:t>of</w:t>
      </w:r>
      <w:proofErr w:type="spellEnd"/>
      <w:r>
        <w:rPr>
          <w:rFonts w:eastAsia="Calibri"/>
          <w:color w:val="000000"/>
          <w:sz w:val="22"/>
          <w:szCs w:val="22"/>
          <w:lang w:eastAsia="es-UY"/>
        </w:rPr>
        <w:t xml:space="preserve"> </w:t>
      </w:r>
      <w:proofErr w:type="spellStart"/>
      <w:r>
        <w:rPr>
          <w:rFonts w:eastAsia="Calibri"/>
          <w:color w:val="000000"/>
          <w:sz w:val="22"/>
          <w:szCs w:val="22"/>
          <w:lang w:eastAsia="es-UY"/>
        </w:rPr>
        <w:t>the</w:t>
      </w:r>
      <w:proofErr w:type="spellEnd"/>
      <w:r>
        <w:rPr>
          <w:rFonts w:eastAsia="Calibri"/>
          <w:color w:val="000000"/>
          <w:sz w:val="22"/>
          <w:szCs w:val="22"/>
          <w:lang w:eastAsia="es-UY"/>
        </w:rPr>
        <w:t xml:space="preserve"> </w:t>
      </w:r>
      <w:proofErr w:type="spellStart"/>
      <w:r>
        <w:rPr>
          <w:rFonts w:eastAsia="Calibri"/>
          <w:color w:val="000000"/>
          <w:sz w:val="22"/>
          <w:szCs w:val="22"/>
          <w:lang w:eastAsia="es-UY"/>
        </w:rPr>
        <w:t>interventions</w:t>
      </w:r>
      <w:proofErr w:type="spellEnd"/>
      <w:r>
        <w:rPr>
          <w:rFonts w:eastAsia="Calibri"/>
          <w:color w:val="000000"/>
          <w:sz w:val="22"/>
          <w:szCs w:val="22"/>
          <w:lang w:eastAsia="es-UY"/>
        </w:rPr>
        <w:t xml:space="preserve"> </w:t>
      </w:r>
      <w:proofErr w:type="spellStart"/>
      <w:r>
        <w:rPr>
          <w:rFonts w:eastAsia="Calibri"/>
          <w:color w:val="000000"/>
          <w:sz w:val="22"/>
          <w:szCs w:val="22"/>
          <w:lang w:eastAsia="es-UY"/>
        </w:rPr>
        <w:t>carried</w:t>
      </w:r>
      <w:proofErr w:type="spellEnd"/>
      <w:r>
        <w:rPr>
          <w:rFonts w:eastAsia="Calibri"/>
          <w:color w:val="000000"/>
          <w:sz w:val="22"/>
          <w:szCs w:val="22"/>
          <w:lang w:eastAsia="es-UY"/>
        </w:rPr>
        <w:t xml:space="preserve"> </w:t>
      </w:r>
      <w:proofErr w:type="spellStart"/>
      <w:r>
        <w:rPr>
          <w:rFonts w:eastAsia="Calibri"/>
          <w:color w:val="000000"/>
          <w:sz w:val="22"/>
          <w:szCs w:val="22"/>
          <w:lang w:eastAsia="es-UY"/>
        </w:rPr>
        <w:t>out</w:t>
      </w:r>
      <w:proofErr w:type="spellEnd"/>
      <w:r>
        <w:rPr>
          <w:rFonts w:eastAsia="Calibri"/>
          <w:color w:val="000000"/>
          <w:sz w:val="22"/>
          <w:szCs w:val="22"/>
          <w:lang w:eastAsia="es-UY"/>
        </w:rPr>
        <w:t>.</w:t>
      </w:r>
    </w:p>
    <w:p w14:paraId="0F5D78F8" w14:textId="77777777" w:rsidR="00E255F4" w:rsidRDefault="00000000">
      <w:pPr>
        <w:autoSpaceDE w:val="0"/>
        <w:spacing w:line="360" w:lineRule="auto"/>
        <w:jc w:val="both"/>
        <w:rPr>
          <w:rFonts w:eastAsia="Calibri"/>
          <w:color w:val="000000"/>
          <w:sz w:val="22"/>
          <w:szCs w:val="22"/>
          <w:lang w:eastAsia="es-UY"/>
        </w:rPr>
      </w:pPr>
      <w:r>
        <w:rPr>
          <w:rFonts w:eastAsia="Calibri"/>
          <w:color w:val="000000"/>
          <w:sz w:val="22"/>
          <w:szCs w:val="22"/>
          <w:lang w:eastAsia="es-UY"/>
        </w:rPr>
        <w:t xml:space="preserve">8) </w:t>
      </w:r>
      <w:proofErr w:type="spellStart"/>
      <w:r>
        <w:rPr>
          <w:rFonts w:eastAsia="Calibri"/>
          <w:color w:val="000000"/>
          <w:sz w:val="22"/>
          <w:szCs w:val="22"/>
          <w:lang w:eastAsia="es-UY"/>
        </w:rPr>
        <w:t>We</w:t>
      </w:r>
      <w:proofErr w:type="spellEnd"/>
      <w:r>
        <w:rPr>
          <w:rFonts w:eastAsia="Calibri"/>
          <w:color w:val="000000"/>
          <w:sz w:val="22"/>
          <w:szCs w:val="22"/>
          <w:lang w:eastAsia="es-UY"/>
        </w:rPr>
        <w:t xml:space="preserve"> </w:t>
      </w:r>
      <w:proofErr w:type="spellStart"/>
      <w:r>
        <w:rPr>
          <w:rFonts w:eastAsia="Calibri"/>
          <w:color w:val="000000"/>
          <w:sz w:val="22"/>
          <w:szCs w:val="22"/>
          <w:lang w:eastAsia="es-UY"/>
        </w:rPr>
        <w:t>will</w:t>
      </w:r>
      <w:proofErr w:type="spellEnd"/>
      <w:r>
        <w:rPr>
          <w:rFonts w:eastAsia="Calibri"/>
          <w:color w:val="000000"/>
          <w:sz w:val="22"/>
          <w:szCs w:val="22"/>
          <w:lang w:eastAsia="es-UY"/>
        </w:rPr>
        <w:t xml:space="preserve"> </w:t>
      </w:r>
      <w:proofErr w:type="spellStart"/>
      <w:r>
        <w:rPr>
          <w:rFonts w:eastAsia="Calibri"/>
          <w:color w:val="000000"/>
          <w:sz w:val="22"/>
          <w:szCs w:val="22"/>
          <w:lang w:eastAsia="es-UY"/>
        </w:rPr>
        <w:t>immediately</w:t>
      </w:r>
      <w:proofErr w:type="spellEnd"/>
      <w:r>
        <w:rPr>
          <w:rFonts w:eastAsia="Calibri"/>
          <w:color w:val="000000"/>
          <w:sz w:val="22"/>
          <w:szCs w:val="22"/>
          <w:lang w:eastAsia="es-UY"/>
        </w:rPr>
        <w:t xml:space="preserve"> and </w:t>
      </w:r>
      <w:proofErr w:type="spellStart"/>
      <w:r>
        <w:rPr>
          <w:rFonts w:eastAsia="Calibri"/>
          <w:color w:val="000000"/>
          <w:sz w:val="22"/>
          <w:szCs w:val="22"/>
          <w:lang w:eastAsia="es-UY"/>
        </w:rPr>
        <w:t>reliably</w:t>
      </w:r>
      <w:proofErr w:type="spellEnd"/>
      <w:r>
        <w:rPr>
          <w:rFonts w:eastAsia="Calibri"/>
          <w:color w:val="000000"/>
          <w:sz w:val="22"/>
          <w:szCs w:val="22"/>
          <w:lang w:eastAsia="es-UY"/>
        </w:rPr>
        <w:t xml:space="preserve"> </w:t>
      </w:r>
      <w:proofErr w:type="spellStart"/>
      <w:r>
        <w:rPr>
          <w:rFonts w:eastAsia="Calibri"/>
          <w:color w:val="000000"/>
          <w:sz w:val="22"/>
          <w:szCs w:val="22"/>
          <w:lang w:eastAsia="es-UY"/>
        </w:rPr>
        <w:t>inform</w:t>
      </w:r>
      <w:proofErr w:type="spellEnd"/>
      <w:r>
        <w:rPr>
          <w:rFonts w:eastAsia="Calibri"/>
          <w:color w:val="000000"/>
          <w:sz w:val="22"/>
          <w:szCs w:val="22"/>
          <w:lang w:eastAsia="es-UY"/>
        </w:rPr>
        <w:t xml:space="preserve"> </w:t>
      </w:r>
      <w:proofErr w:type="spellStart"/>
      <w:r>
        <w:rPr>
          <w:rFonts w:eastAsia="Calibri"/>
          <w:color w:val="000000"/>
          <w:sz w:val="22"/>
          <w:szCs w:val="22"/>
          <w:lang w:eastAsia="es-UY"/>
        </w:rPr>
        <w:t>the</w:t>
      </w:r>
      <w:proofErr w:type="spellEnd"/>
      <w:r>
        <w:rPr>
          <w:rFonts w:eastAsia="Calibri"/>
          <w:color w:val="000000"/>
          <w:sz w:val="22"/>
          <w:szCs w:val="22"/>
          <w:lang w:eastAsia="es-UY"/>
        </w:rPr>
        <w:t xml:space="preserve"> OSE </w:t>
      </w:r>
      <w:proofErr w:type="spellStart"/>
      <w:r>
        <w:rPr>
          <w:rFonts w:eastAsia="Calibri"/>
          <w:color w:val="000000"/>
          <w:sz w:val="22"/>
          <w:szCs w:val="22"/>
          <w:lang w:eastAsia="es-UY"/>
        </w:rPr>
        <w:t>contract</w:t>
      </w:r>
      <w:proofErr w:type="spellEnd"/>
      <w:r>
        <w:rPr>
          <w:rFonts w:eastAsia="Calibri"/>
          <w:color w:val="000000"/>
          <w:sz w:val="22"/>
          <w:szCs w:val="22"/>
          <w:lang w:eastAsia="es-UY"/>
        </w:rPr>
        <w:t xml:space="preserve"> </w:t>
      </w:r>
      <w:proofErr w:type="spellStart"/>
      <w:r>
        <w:rPr>
          <w:rFonts w:eastAsia="Calibri"/>
          <w:color w:val="000000"/>
          <w:sz w:val="22"/>
          <w:szCs w:val="22"/>
          <w:lang w:eastAsia="es-UY"/>
        </w:rPr>
        <w:t>administrator</w:t>
      </w:r>
      <w:proofErr w:type="spellEnd"/>
      <w:r>
        <w:rPr>
          <w:rFonts w:eastAsia="Calibri"/>
          <w:color w:val="000000"/>
          <w:sz w:val="22"/>
          <w:szCs w:val="22"/>
          <w:lang w:eastAsia="es-UY"/>
        </w:rPr>
        <w:t xml:space="preserve"> </w:t>
      </w:r>
      <w:proofErr w:type="spellStart"/>
      <w:r>
        <w:rPr>
          <w:rFonts w:eastAsia="Calibri"/>
          <w:color w:val="000000"/>
          <w:sz w:val="22"/>
          <w:szCs w:val="22"/>
          <w:lang w:eastAsia="es-UY"/>
        </w:rPr>
        <w:t>of</w:t>
      </w:r>
      <w:proofErr w:type="spellEnd"/>
      <w:r>
        <w:rPr>
          <w:rFonts w:eastAsia="Calibri"/>
          <w:color w:val="000000"/>
          <w:sz w:val="22"/>
          <w:szCs w:val="22"/>
          <w:lang w:eastAsia="es-UY"/>
        </w:rPr>
        <w:t xml:space="preserve"> </w:t>
      </w:r>
      <w:proofErr w:type="spellStart"/>
      <w:r>
        <w:rPr>
          <w:rFonts w:eastAsia="Calibri"/>
          <w:color w:val="000000"/>
          <w:sz w:val="22"/>
          <w:szCs w:val="22"/>
          <w:lang w:eastAsia="es-UY"/>
        </w:rPr>
        <w:t>all</w:t>
      </w:r>
      <w:proofErr w:type="spellEnd"/>
      <w:r>
        <w:rPr>
          <w:rFonts w:eastAsia="Calibri"/>
          <w:color w:val="000000"/>
          <w:sz w:val="22"/>
          <w:szCs w:val="22"/>
          <w:lang w:eastAsia="es-UY"/>
        </w:rPr>
        <w:t xml:space="preserve"> </w:t>
      </w:r>
      <w:proofErr w:type="spellStart"/>
      <w:r>
        <w:rPr>
          <w:rFonts w:eastAsia="Calibri"/>
          <w:color w:val="000000"/>
          <w:sz w:val="22"/>
          <w:szCs w:val="22"/>
          <w:lang w:eastAsia="es-UY"/>
        </w:rPr>
        <w:t>work</w:t>
      </w:r>
      <w:proofErr w:type="spellEnd"/>
      <w:r>
        <w:rPr>
          <w:rFonts w:eastAsia="Calibri"/>
          <w:color w:val="000000"/>
          <w:sz w:val="22"/>
          <w:szCs w:val="22"/>
          <w:lang w:eastAsia="es-UY"/>
        </w:rPr>
        <w:t xml:space="preserve"> </w:t>
      </w:r>
      <w:proofErr w:type="spellStart"/>
      <w:r>
        <w:rPr>
          <w:rFonts w:eastAsia="Calibri"/>
          <w:color w:val="000000"/>
          <w:sz w:val="22"/>
          <w:szCs w:val="22"/>
          <w:lang w:eastAsia="es-UY"/>
        </w:rPr>
        <w:t>accidents</w:t>
      </w:r>
      <w:proofErr w:type="spellEnd"/>
      <w:r>
        <w:rPr>
          <w:rFonts w:eastAsia="Calibri"/>
          <w:color w:val="000000"/>
          <w:sz w:val="22"/>
          <w:szCs w:val="22"/>
          <w:lang w:eastAsia="es-UY"/>
        </w:rPr>
        <w:t xml:space="preserve"> </w:t>
      </w:r>
      <w:proofErr w:type="spellStart"/>
      <w:r>
        <w:rPr>
          <w:rFonts w:eastAsia="Calibri"/>
          <w:color w:val="000000"/>
          <w:sz w:val="22"/>
          <w:szCs w:val="22"/>
          <w:lang w:eastAsia="es-UY"/>
        </w:rPr>
        <w:t>that</w:t>
      </w:r>
      <w:proofErr w:type="spellEnd"/>
      <w:r>
        <w:rPr>
          <w:rFonts w:eastAsia="Calibri"/>
          <w:color w:val="000000"/>
          <w:sz w:val="22"/>
          <w:szCs w:val="22"/>
          <w:lang w:eastAsia="es-UY"/>
        </w:rPr>
        <w:t xml:space="preserve"> </w:t>
      </w:r>
      <w:proofErr w:type="spellStart"/>
      <w:r>
        <w:rPr>
          <w:rFonts w:eastAsia="Calibri"/>
          <w:color w:val="000000"/>
          <w:sz w:val="22"/>
          <w:szCs w:val="22"/>
          <w:lang w:eastAsia="es-UY"/>
        </w:rPr>
        <w:t>occur</w:t>
      </w:r>
      <w:proofErr w:type="spellEnd"/>
      <w:r>
        <w:rPr>
          <w:rFonts w:eastAsia="Calibri"/>
          <w:color w:val="000000"/>
          <w:sz w:val="22"/>
          <w:szCs w:val="22"/>
          <w:lang w:eastAsia="es-UY"/>
        </w:rPr>
        <w:t xml:space="preserve"> </w:t>
      </w:r>
      <w:proofErr w:type="spellStart"/>
      <w:r>
        <w:rPr>
          <w:rFonts w:eastAsia="Calibri"/>
          <w:color w:val="000000"/>
          <w:sz w:val="22"/>
          <w:szCs w:val="22"/>
          <w:lang w:eastAsia="es-UY"/>
        </w:rPr>
        <w:t>on</w:t>
      </w:r>
      <w:proofErr w:type="spellEnd"/>
      <w:r>
        <w:rPr>
          <w:rFonts w:eastAsia="Calibri"/>
          <w:color w:val="000000"/>
          <w:sz w:val="22"/>
          <w:szCs w:val="22"/>
          <w:lang w:eastAsia="es-UY"/>
        </w:rPr>
        <w:t xml:space="preserve"> </w:t>
      </w:r>
      <w:proofErr w:type="spellStart"/>
      <w:r>
        <w:rPr>
          <w:rFonts w:eastAsia="Calibri"/>
          <w:color w:val="000000"/>
          <w:sz w:val="22"/>
          <w:szCs w:val="22"/>
          <w:lang w:eastAsia="es-UY"/>
        </w:rPr>
        <w:t>the</w:t>
      </w:r>
      <w:proofErr w:type="spellEnd"/>
      <w:r>
        <w:rPr>
          <w:rFonts w:eastAsia="Calibri"/>
          <w:color w:val="000000"/>
          <w:sz w:val="22"/>
          <w:szCs w:val="22"/>
          <w:lang w:eastAsia="es-UY"/>
        </w:rPr>
        <w:t xml:space="preserve"> </w:t>
      </w:r>
      <w:proofErr w:type="spellStart"/>
      <w:r>
        <w:rPr>
          <w:rFonts w:eastAsia="Calibri"/>
          <w:color w:val="000000"/>
          <w:sz w:val="22"/>
          <w:szCs w:val="22"/>
          <w:lang w:eastAsia="es-UY"/>
        </w:rPr>
        <w:t>occasion</w:t>
      </w:r>
      <w:proofErr w:type="spellEnd"/>
      <w:r>
        <w:rPr>
          <w:rFonts w:eastAsia="Calibri"/>
          <w:color w:val="000000"/>
          <w:sz w:val="22"/>
          <w:szCs w:val="22"/>
          <w:lang w:eastAsia="es-UY"/>
        </w:rPr>
        <w:t xml:space="preserve"> </w:t>
      </w:r>
      <w:proofErr w:type="spellStart"/>
      <w:r>
        <w:rPr>
          <w:rFonts w:eastAsia="Calibri"/>
          <w:color w:val="000000"/>
          <w:sz w:val="22"/>
          <w:szCs w:val="22"/>
          <w:lang w:eastAsia="es-UY"/>
        </w:rPr>
        <w:t>of</w:t>
      </w:r>
      <w:proofErr w:type="spellEnd"/>
      <w:r>
        <w:rPr>
          <w:rFonts w:eastAsia="Calibri"/>
          <w:color w:val="000000"/>
          <w:sz w:val="22"/>
          <w:szCs w:val="22"/>
          <w:lang w:eastAsia="es-UY"/>
        </w:rPr>
        <w:t xml:space="preserve"> </w:t>
      </w:r>
      <w:proofErr w:type="spellStart"/>
      <w:r>
        <w:rPr>
          <w:rFonts w:eastAsia="Calibri"/>
          <w:color w:val="000000"/>
          <w:sz w:val="22"/>
          <w:szCs w:val="22"/>
          <w:lang w:eastAsia="es-UY"/>
        </w:rPr>
        <w:t>or</w:t>
      </w:r>
      <w:proofErr w:type="spellEnd"/>
      <w:r>
        <w:rPr>
          <w:rFonts w:eastAsia="Calibri"/>
          <w:color w:val="000000"/>
          <w:sz w:val="22"/>
          <w:szCs w:val="22"/>
          <w:lang w:eastAsia="es-UY"/>
        </w:rPr>
        <w:t xml:space="preserve"> </w:t>
      </w:r>
      <w:proofErr w:type="spellStart"/>
      <w:r>
        <w:rPr>
          <w:rFonts w:eastAsia="Calibri"/>
          <w:color w:val="000000"/>
          <w:sz w:val="22"/>
          <w:szCs w:val="22"/>
          <w:lang w:eastAsia="es-UY"/>
        </w:rPr>
        <w:t>during</w:t>
      </w:r>
      <w:proofErr w:type="spellEnd"/>
      <w:r>
        <w:rPr>
          <w:rFonts w:eastAsia="Calibri"/>
          <w:color w:val="000000"/>
          <w:sz w:val="22"/>
          <w:szCs w:val="22"/>
          <w:lang w:eastAsia="es-UY"/>
        </w:rPr>
        <w:t xml:space="preserve"> </w:t>
      </w:r>
      <w:proofErr w:type="spellStart"/>
      <w:r>
        <w:rPr>
          <w:rFonts w:eastAsia="Calibri"/>
          <w:color w:val="000000"/>
          <w:sz w:val="22"/>
          <w:szCs w:val="22"/>
          <w:lang w:eastAsia="es-UY"/>
        </w:rPr>
        <w:t>the</w:t>
      </w:r>
      <w:proofErr w:type="spellEnd"/>
      <w:r>
        <w:rPr>
          <w:rFonts w:eastAsia="Calibri"/>
          <w:color w:val="000000"/>
          <w:sz w:val="22"/>
          <w:szCs w:val="22"/>
          <w:lang w:eastAsia="es-UY"/>
        </w:rPr>
        <w:t xml:space="preserve"> </w:t>
      </w:r>
      <w:proofErr w:type="spellStart"/>
      <w:r>
        <w:rPr>
          <w:rFonts w:eastAsia="Calibri"/>
          <w:color w:val="000000"/>
          <w:sz w:val="22"/>
          <w:szCs w:val="22"/>
          <w:lang w:eastAsia="es-UY"/>
        </w:rPr>
        <w:t>provision</w:t>
      </w:r>
      <w:proofErr w:type="spellEnd"/>
      <w:r>
        <w:rPr>
          <w:rFonts w:eastAsia="Calibri"/>
          <w:color w:val="000000"/>
          <w:sz w:val="22"/>
          <w:szCs w:val="22"/>
          <w:lang w:eastAsia="es-UY"/>
        </w:rPr>
        <w:t xml:space="preserve"> </w:t>
      </w:r>
      <w:proofErr w:type="spellStart"/>
      <w:r>
        <w:rPr>
          <w:rFonts w:eastAsia="Calibri"/>
          <w:color w:val="000000"/>
          <w:sz w:val="22"/>
          <w:szCs w:val="22"/>
          <w:lang w:eastAsia="es-UY"/>
        </w:rPr>
        <w:t>of</w:t>
      </w:r>
      <w:proofErr w:type="spellEnd"/>
      <w:r>
        <w:rPr>
          <w:rFonts w:eastAsia="Calibri"/>
          <w:color w:val="000000"/>
          <w:sz w:val="22"/>
          <w:szCs w:val="22"/>
          <w:lang w:eastAsia="es-UY"/>
        </w:rPr>
        <w:t xml:space="preserve"> </w:t>
      </w:r>
      <w:proofErr w:type="spellStart"/>
      <w:r>
        <w:rPr>
          <w:rFonts w:eastAsia="Calibri"/>
          <w:color w:val="000000"/>
          <w:sz w:val="22"/>
          <w:szCs w:val="22"/>
          <w:lang w:eastAsia="es-UY"/>
        </w:rPr>
        <w:t>the</w:t>
      </w:r>
      <w:proofErr w:type="spellEnd"/>
      <w:r>
        <w:rPr>
          <w:rFonts w:eastAsia="Calibri"/>
          <w:color w:val="000000"/>
          <w:sz w:val="22"/>
          <w:szCs w:val="22"/>
          <w:lang w:eastAsia="es-UY"/>
        </w:rPr>
        <w:t xml:space="preserve"> </w:t>
      </w:r>
      <w:proofErr w:type="spellStart"/>
      <w:r>
        <w:rPr>
          <w:rFonts w:eastAsia="Calibri"/>
          <w:color w:val="000000"/>
          <w:sz w:val="22"/>
          <w:szCs w:val="22"/>
          <w:lang w:eastAsia="es-UY"/>
        </w:rPr>
        <w:t>service</w:t>
      </w:r>
      <w:proofErr w:type="spellEnd"/>
      <w:r>
        <w:rPr>
          <w:rFonts w:eastAsia="Calibri"/>
          <w:color w:val="000000"/>
          <w:sz w:val="22"/>
          <w:szCs w:val="22"/>
          <w:lang w:eastAsia="es-UY"/>
        </w:rPr>
        <w:t xml:space="preserve">, </w:t>
      </w:r>
      <w:proofErr w:type="spellStart"/>
      <w:r>
        <w:rPr>
          <w:rFonts w:eastAsia="Calibri"/>
          <w:color w:val="000000"/>
          <w:sz w:val="22"/>
          <w:szCs w:val="22"/>
          <w:lang w:eastAsia="es-UY"/>
        </w:rPr>
        <w:t>sending</w:t>
      </w:r>
      <w:proofErr w:type="spellEnd"/>
      <w:r>
        <w:rPr>
          <w:rFonts w:eastAsia="Calibri"/>
          <w:color w:val="000000"/>
          <w:sz w:val="22"/>
          <w:szCs w:val="22"/>
          <w:lang w:eastAsia="es-UY"/>
        </w:rPr>
        <w:t xml:space="preserve"> </w:t>
      </w:r>
      <w:proofErr w:type="spellStart"/>
      <w:r>
        <w:rPr>
          <w:rFonts w:eastAsia="Calibri"/>
          <w:color w:val="000000"/>
          <w:sz w:val="22"/>
          <w:szCs w:val="22"/>
          <w:lang w:eastAsia="es-UY"/>
        </w:rPr>
        <w:t>him</w:t>
      </w:r>
      <w:proofErr w:type="spellEnd"/>
      <w:r>
        <w:rPr>
          <w:rFonts w:eastAsia="Calibri"/>
          <w:color w:val="000000"/>
          <w:sz w:val="22"/>
          <w:szCs w:val="22"/>
          <w:lang w:eastAsia="es-UY"/>
        </w:rPr>
        <w:t xml:space="preserve">, in </w:t>
      </w:r>
      <w:proofErr w:type="spellStart"/>
      <w:r>
        <w:rPr>
          <w:rFonts w:eastAsia="Calibri"/>
          <w:color w:val="000000"/>
          <w:sz w:val="22"/>
          <w:szCs w:val="22"/>
          <w:lang w:eastAsia="es-UY"/>
        </w:rPr>
        <w:t>the</w:t>
      </w:r>
      <w:proofErr w:type="spellEnd"/>
      <w:r>
        <w:rPr>
          <w:rFonts w:eastAsia="Calibri"/>
          <w:color w:val="000000"/>
          <w:sz w:val="22"/>
          <w:szCs w:val="22"/>
          <w:lang w:eastAsia="es-UY"/>
        </w:rPr>
        <w:t xml:space="preserve"> case </w:t>
      </w:r>
      <w:proofErr w:type="spellStart"/>
      <w:r>
        <w:rPr>
          <w:rFonts w:eastAsia="Calibri"/>
          <w:color w:val="000000"/>
          <w:sz w:val="22"/>
          <w:szCs w:val="22"/>
          <w:lang w:eastAsia="es-UY"/>
        </w:rPr>
        <w:t>of</w:t>
      </w:r>
      <w:proofErr w:type="spellEnd"/>
      <w:r>
        <w:rPr>
          <w:rFonts w:eastAsia="Calibri"/>
          <w:color w:val="000000"/>
          <w:sz w:val="22"/>
          <w:szCs w:val="22"/>
          <w:lang w:eastAsia="es-UY"/>
        </w:rPr>
        <w:t xml:space="preserve"> a </w:t>
      </w:r>
      <w:proofErr w:type="spellStart"/>
      <w:r>
        <w:rPr>
          <w:rFonts w:eastAsia="Calibri"/>
          <w:color w:val="000000"/>
          <w:sz w:val="22"/>
          <w:szCs w:val="22"/>
          <w:lang w:eastAsia="es-UY"/>
        </w:rPr>
        <w:t>serious</w:t>
      </w:r>
      <w:proofErr w:type="spellEnd"/>
      <w:r>
        <w:rPr>
          <w:rFonts w:eastAsia="Calibri"/>
          <w:color w:val="000000"/>
          <w:sz w:val="22"/>
          <w:szCs w:val="22"/>
          <w:lang w:eastAsia="es-UY"/>
        </w:rPr>
        <w:t xml:space="preserve"> </w:t>
      </w:r>
      <w:proofErr w:type="spellStart"/>
      <w:r>
        <w:rPr>
          <w:rFonts w:eastAsia="Calibri"/>
          <w:color w:val="000000"/>
          <w:sz w:val="22"/>
          <w:szCs w:val="22"/>
          <w:lang w:eastAsia="es-UY"/>
        </w:rPr>
        <w:t>or</w:t>
      </w:r>
      <w:proofErr w:type="spellEnd"/>
      <w:r>
        <w:rPr>
          <w:rFonts w:eastAsia="Calibri"/>
          <w:color w:val="000000"/>
          <w:sz w:val="22"/>
          <w:szCs w:val="22"/>
          <w:lang w:eastAsia="es-UY"/>
        </w:rPr>
        <w:t xml:space="preserve"> fatal </w:t>
      </w:r>
      <w:proofErr w:type="spellStart"/>
      <w:r>
        <w:rPr>
          <w:rFonts w:eastAsia="Calibri"/>
          <w:color w:val="000000"/>
          <w:sz w:val="22"/>
          <w:szCs w:val="22"/>
          <w:lang w:eastAsia="es-UY"/>
        </w:rPr>
        <w:t>accident</w:t>
      </w:r>
      <w:proofErr w:type="spellEnd"/>
      <w:r>
        <w:rPr>
          <w:rFonts w:eastAsia="Calibri"/>
          <w:color w:val="000000"/>
          <w:sz w:val="22"/>
          <w:szCs w:val="22"/>
          <w:lang w:eastAsia="es-UY"/>
        </w:rPr>
        <w:t xml:space="preserve">, </w:t>
      </w:r>
      <w:proofErr w:type="spellStart"/>
      <w:r>
        <w:rPr>
          <w:rFonts w:eastAsia="Calibri"/>
          <w:color w:val="000000"/>
          <w:sz w:val="22"/>
          <w:szCs w:val="22"/>
          <w:lang w:eastAsia="es-UY"/>
        </w:rPr>
        <w:t>the</w:t>
      </w:r>
      <w:proofErr w:type="spellEnd"/>
      <w:r>
        <w:rPr>
          <w:rFonts w:eastAsia="Calibri"/>
          <w:color w:val="000000"/>
          <w:sz w:val="22"/>
          <w:szCs w:val="22"/>
          <w:lang w:eastAsia="es-UY"/>
        </w:rPr>
        <w:t xml:space="preserve"> </w:t>
      </w:r>
      <w:proofErr w:type="spellStart"/>
      <w:r>
        <w:rPr>
          <w:rFonts w:eastAsia="Calibri"/>
          <w:color w:val="000000"/>
          <w:sz w:val="22"/>
          <w:szCs w:val="22"/>
          <w:lang w:eastAsia="es-UY"/>
        </w:rPr>
        <w:t>corresponding</w:t>
      </w:r>
      <w:proofErr w:type="spellEnd"/>
      <w:r>
        <w:rPr>
          <w:rFonts w:eastAsia="Calibri"/>
          <w:color w:val="000000"/>
          <w:sz w:val="22"/>
          <w:szCs w:val="22"/>
          <w:lang w:eastAsia="es-UY"/>
        </w:rPr>
        <w:t xml:space="preserve"> </w:t>
      </w:r>
      <w:proofErr w:type="spellStart"/>
      <w:r>
        <w:rPr>
          <w:rFonts w:eastAsia="Calibri"/>
          <w:color w:val="000000"/>
          <w:sz w:val="22"/>
          <w:szCs w:val="22"/>
          <w:lang w:eastAsia="es-UY"/>
        </w:rPr>
        <w:t>technical</w:t>
      </w:r>
      <w:proofErr w:type="spellEnd"/>
      <w:r>
        <w:rPr>
          <w:rFonts w:eastAsia="Calibri"/>
          <w:color w:val="000000"/>
          <w:sz w:val="22"/>
          <w:szCs w:val="22"/>
          <w:lang w:eastAsia="es-UY"/>
        </w:rPr>
        <w:t xml:space="preserve"> </w:t>
      </w:r>
      <w:proofErr w:type="spellStart"/>
      <w:r>
        <w:rPr>
          <w:rFonts w:eastAsia="Calibri"/>
          <w:color w:val="000000"/>
          <w:sz w:val="22"/>
          <w:szCs w:val="22"/>
          <w:lang w:eastAsia="es-UY"/>
        </w:rPr>
        <w:t>investigation</w:t>
      </w:r>
      <w:proofErr w:type="spellEnd"/>
      <w:r>
        <w:rPr>
          <w:rFonts w:eastAsia="Calibri"/>
          <w:color w:val="000000"/>
          <w:sz w:val="22"/>
          <w:szCs w:val="22"/>
          <w:lang w:eastAsia="es-UY"/>
        </w:rPr>
        <w:t xml:space="preserve"> </w:t>
      </w:r>
      <w:proofErr w:type="spellStart"/>
      <w:r>
        <w:rPr>
          <w:rFonts w:eastAsia="Calibri"/>
          <w:color w:val="000000"/>
          <w:sz w:val="22"/>
          <w:szCs w:val="22"/>
          <w:lang w:eastAsia="es-UY"/>
        </w:rPr>
        <w:t>report</w:t>
      </w:r>
      <w:proofErr w:type="spellEnd"/>
      <w:r>
        <w:rPr>
          <w:rFonts w:eastAsia="Calibri"/>
          <w:color w:val="000000"/>
          <w:sz w:val="22"/>
          <w:szCs w:val="22"/>
          <w:lang w:eastAsia="es-UY"/>
        </w:rPr>
        <w:t xml:space="preserve">, </w:t>
      </w:r>
      <w:proofErr w:type="spellStart"/>
      <w:r>
        <w:rPr>
          <w:rFonts w:eastAsia="Calibri"/>
          <w:color w:val="000000"/>
          <w:sz w:val="22"/>
          <w:szCs w:val="22"/>
          <w:lang w:eastAsia="es-UY"/>
        </w:rPr>
        <w:t>within</w:t>
      </w:r>
      <w:proofErr w:type="spellEnd"/>
      <w:r>
        <w:rPr>
          <w:rFonts w:eastAsia="Calibri"/>
          <w:color w:val="000000"/>
          <w:sz w:val="22"/>
          <w:szCs w:val="22"/>
          <w:lang w:eastAsia="es-UY"/>
        </w:rPr>
        <w:t xml:space="preserve"> a </w:t>
      </w:r>
      <w:proofErr w:type="spellStart"/>
      <w:r>
        <w:rPr>
          <w:rFonts w:eastAsia="Calibri"/>
          <w:color w:val="000000"/>
          <w:sz w:val="22"/>
          <w:szCs w:val="22"/>
          <w:lang w:eastAsia="es-UY"/>
        </w:rPr>
        <w:t>maximum</w:t>
      </w:r>
      <w:proofErr w:type="spellEnd"/>
      <w:r>
        <w:rPr>
          <w:rFonts w:eastAsia="Calibri"/>
          <w:color w:val="000000"/>
          <w:sz w:val="22"/>
          <w:szCs w:val="22"/>
          <w:lang w:eastAsia="es-UY"/>
        </w:rPr>
        <w:t xml:space="preserve"> </w:t>
      </w:r>
      <w:proofErr w:type="spellStart"/>
      <w:r>
        <w:rPr>
          <w:rFonts w:eastAsia="Calibri"/>
          <w:color w:val="000000"/>
          <w:sz w:val="22"/>
          <w:szCs w:val="22"/>
          <w:lang w:eastAsia="es-UY"/>
        </w:rPr>
        <w:t>period</w:t>
      </w:r>
      <w:proofErr w:type="spellEnd"/>
      <w:r>
        <w:rPr>
          <w:rFonts w:eastAsia="Calibri"/>
          <w:color w:val="000000"/>
          <w:sz w:val="22"/>
          <w:szCs w:val="22"/>
          <w:lang w:eastAsia="es-UY"/>
        </w:rPr>
        <w:t xml:space="preserve"> </w:t>
      </w:r>
      <w:proofErr w:type="spellStart"/>
      <w:r>
        <w:rPr>
          <w:rFonts w:eastAsia="Calibri"/>
          <w:color w:val="000000"/>
          <w:sz w:val="22"/>
          <w:szCs w:val="22"/>
          <w:lang w:eastAsia="es-UY"/>
        </w:rPr>
        <w:t>of</w:t>
      </w:r>
      <w:proofErr w:type="spellEnd"/>
      <w:r>
        <w:rPr>
          <w:rFonts w:eastAsia="Calibri"/>
          <w:color w:val="000000"/>
          <w:sz w:val="22"/>
          <w:szCs w:val="22"/>
          <w:lang w:eastAsia="es-UY"/>
        </w:rPr>
        <w:t xml:space="preserve"> 48 </w:t>
      </w:r>
      <w:proofErr w:type="spellStart"/>
      <w:r>
        <w:rPr>
          <w:rFonts w:eastAsia="Calibri"/>
          <w:color w:val="000000"/>
          <w:sz w:val="22"/>
          <w:szCs w:val="22"/>
          <w:lang w:eastAsia="es-UY"/>
        </w:rPr>
        <w:t>hours</w:t>
      </w:r>
      <w:proofErr w:type="spellEnd"/>
      <w:r>
        <w:rPr>
          <w:rFonts w:eastAsia="Calibri"/>
          <w:color w:val="000000"/>
          <w:sz w:val="22"/>
          <w:szCs w:val="22"/>
          <w:lang w:eastAsia="es-UY"/>
        </w:rPr>
        <w:t>.</w:t>
      </w:r>
    </w:p>
    <w:p w14:paraId="0FF67413" w14:textId="77777777" w:rsidR="00E255F4" w:rsidRDefault="00000000">
      <w:pPr>
        <w:autoSpaceDE w:val="0"/>
        <w:spacing w:line="360" w:lineRule="auto"/>
        <w:jc w:val="both"/>
      </w:pPr>
      <w:r>
        <w:rPr>
          <w:rFonts w:eastAsia="Calibri"/>
          <w:color w:val="000000"/>
          <w:sz w:val="22"/>
          <w:szCs w:val="22"/>
          <w:lang w:eastAsia="es-UY"/>
        </w:rPr>
        <w:t xml:space="preserve">9) In </w:t>
      </w:r>
      <w:proofErr w:type="spellStart"/>
      <w:r>
        <w:rPr>
          <w:rFonts w:eastAsia="Calibri"/>
          <w:color w:val="000000"/>
          <w:sz w:val="22"/>
          <w:szCs w:val="22"/>
          <w:lang w:eastAsia="es-UY"/>
        </w:rPr>
        <w:t>the</w:t>
      </w:r>
      <w:proofErr w:type="spellEnd"/>
      <w:r>
        <w:rPr>
          <w:rFonts w:eastAsia="Calibri"/>
          <w:color w:val="000000"/>
          <w:sz w:val="22"/>
          <w:szCs w:val="22"/>
          <w:lang w:eastAsia="es-UY"/>
        </w:rPr>
        <w:t xml:space="preserve"> </w:t>
      </w:r>
      <w:proofErr w:type="spellStart"/>
      <w:r>
        <w:rPr>
          <w:rFonts w:eastAsia="Calibri"/>
          <w:color w:val="000000"/>
          <w:sz w:val="22"/>
          <w:szCs w:val="22"/>
          <w:lang w:eastAsia="es-UY"/>
        </w:rPr>
        <w:t>event</w:t>
      </w:r>
      <w:proofErr w:type="spellEnd"/>
      <w:r>
        <w:rPr>
          <w:rFonts w:eastAsia="Calibri"/>
          <w:color w:val="000000"/>
          <w:sz w:val="22"/>
          <w:szCs w:val="22"/>
          <w:lang w:eastAsia="es-UY"/>
        </w:rPr>
        <w:t xml:space="preserve"> </w:t>
      </w:r>
      <w:proofErr w:type="spellStart"/>
      <w:r>
        <w:rPr>
          <w:rFonts w:eastAsia="Calibri"/>
          <w:color w:val="000000"/>
          <w:sz w:val="22"/>
          <w:szCs w:val="22"/>
          <w:lang w:eastAsia="es-UY"/>
        </w:rPr>
        <w:t>of</w:t>
      </w:r>
      <w:proofErr w:type="spellEnd"/>
      <w:r>
        <w:rPr>
          <w:rFonts w:eastAsia="Calibri"/>
          <w:color w:val="000000"/>
          <w:sz w:val="22"/>
          <w:szCs w:val="22"/>
          <w:lang w:eastAsia="es-UY"/>
        </w:rPr>
        <w:t xml:space="preserve"> </w:t>
      </w:r>
      <w:proofErr w:type="spellStart"/>
      <w:r>
        <w:rPr>
          <w:rFonts w:eastAsia="Calibri"/>
          <w:color w:val="000000"/>
          <w:sz w:val="22"/>
          <w:szCs w:val="22"/>
          <w:lang w:eastAsia="es-UY"/>
        </w:rPr>
        <w:t>employing</w:t>
      </w:r>
      <w:proofErr w:type="spellEnd"/>
      <w:r>
        <w:rPr>
          <w:rFonts w:eastAsia="Calibri"/>
          <w:color w:val="000000"/>
          <w:sz w:val="22"/>
          <w:szCs w:val="22"/>
          <w:lang w:eastAsia="es-UY"/>
        </w:rPr>
        <w:t xml:space="preserve"> </w:t>
      </w:r>
      <w:proofErr w:type="spellStart"/>
      <w:r>
        <w:rPr>
          <w:rFonts w:eastAsia="Calibri"/>
          <w:color w:val="000000"/>
          <w:sz w:val="22"/>
          <w:szCs w:val="22"/>
          <w:lang w:eastAsia="es-UY"/>
        </w:rPr>
        <w:t>subcontractors</w:t>
      </w:r>
      <w:proofErr w:type="spellEnd"/>
      <w:r>
        <w:rPr>
          <w:rFonts w:eastAsia="Calibri"/>
          <w:color w:val="000000"/>
          <w:sz w:val="22"/>
          <w:szCs w:val="22"/>
          <w:lang w:eastAsia="es-UY"/>
        </w:rPr>
        <w:t xml:space="preserve">, </w:t>
      </w:r>
      <w:proofErr w:type="spellStart"/>
      <w:r>
        <w:rPr>
          <w:rFonts w:eastAsia="Calibri"/>
          <w:color w:val="000000"/>
          <w:sz w:val="22"/>
          <w:szCs w:val="22"/>
          <w:lang w:eastAsia="es-UY"/>
        </w:rPr>
        <w:t>we</w:t>
      </w:r>
      <w:proofErr w:type="spellEnd"/>
      <w:r>
        <w:rPr>
          <w:rFonts w:eastAsia="Calibri"/>
          <w:color w:val="000000"/>
          <w:sz w:val="22"/>
          <w:szCs w:val="22"/>
          <w:lang w:eastAsia="es-UY"/>
        </w:rPr>
        <w:t xml:space="preserve"> </w:t>
      </w:r>
      <w:proofErr w:type="spellStart"/>
      <w:r>
        <w:rPr>
          <w:rFonts w:eastAsia="Calibri"/>
          <w:color w:val="000000"/>
          <w:sz w:val="22"/>
          <w:szCs w:val="22"/>
          <w:lang w:eastAsia="es-UY"/>
        </w:rPr>
        <w:t>will</w:t>
      </w:r>
      <w:proofErr w:type="spellEnd"/>
      <w:r>
        <w:rPr>
          <w:rFonts w:eastAsia="Calibri"/>
          <w:color w:val="000000"/>
          <w:sz w:val="22"/>
          <w:szCs w:val="22"/>
          <w:lang w:eastAsia="es-UY"/>
        </w:rPr>
        <w:t xml:space="preserve"> </w:t>
      </w:r>
      <w:proofErr w:type="spellStart"/>
      <w:r>
        <w:rPr>
          <w:rFonts w:eastAsia="Calibri"/>
          <w:color w:val="000000"/>
          <w:sz w:val="22"/>
          <w:szCs w:val="22"/>
          <w:lang w:eastAsia="es-UY"/>
        </w:rPr>
        <w:t>reliably</w:t>
      </w:r>
      <w:proofErr w:type="spellEnd"/>
      <w:r>
        <w:rPr>
          <w:rFonts w:eastAsia="Calibri"/>
          <w:color w:val="000000"/>
          <w:sz w:val="22"/>
          <w:szCs w:val="22"/>
          <w:lang w:eastAsia="es-UY"/>
        </w:rPr>
        <w:t xml:space="preserve"> </w:t>
      </w:r>
      <w:proofErr w:type="spellStart"/>
      <w:r>
        <w:rPr>
          <w:rFonts w:eastAsia="Calibri"/>
          <w:color w:val="000000"/>
          <w:sz w:val="22"/>
          <w:szCs w:val="22"/>
          <w:lang w:eastAsia="es-UY"/>
        </w:rPr>
        <w:t>demand</w:t>
      </w:r>
      <w:proofErr w:type="spellEnd"/>
      <w:r>
        <w:rPr>
          <w:rFonts w:eastAsia="Calibri"/>
          <w:color w:val="000000"/>
          <w:sz w:val="22"/>
          <w:szCs w:val="22"/>
          <w:lang w:eastAsia="es-UY"/>
        </w:rPr>
        <w:t xml:space="preserve"> </w:t>
      </w:r>
      <w:proofErr w:type="spellStart"/>
      <w:r>
        <w:rPr>
          <w:rFonts w:eastAsia="Calibri"/>
          <w:color w:val="000000"/>
          <w:sz w:val="22"/>
          <w:szCs w:val="22"/>
          <w:lang w:eastAsia="es-UY"/>
        </w:rPr>
        <w:t>that</w:t>
      </w:r>
      <w:proofErr w:type="spellEnd"/>
      <w:r>
        <w:rPr>
          <w:rFonts w:eastAsia="Calibri"/>
          <w:color w:val="000000"/>
          <w:sz w:val="22"/>
          <w:szCs w:val="22"/>
          <w:lang w:eastAsia="es-UY"/>
        </w:rPr>
        <w:t xml:space="preserve"> </w:t>
      </w:r>
      <w:proofErr w:type="spellStart"/>
      <w:r>
        <w:rPr>
          <w:rFonts w:eastAsia="Calibri"/>
          <w:color w:val="000000"/>
          <w:sz w:val="22"/>
          <w:szCs w:val="22"/>
          <w:lang w:eastAsia="es-UY"/>
        </w:rPr>
        <w:t>they</w:t>
      </w:r>
      <w:proofErr w:type="spellEnd"/>
      <w:r>
        <w:rPr>
          <w:rFonts w:eastAsia="Calibri"/>
          <w:color w:val="000000"/>
          <w:sz w:val="22"/>
          <w:szCs w:val="22"/>
          <w:lang w:eastAsia="es-UY"/>
        </w:rPr>
        <w:t xml:space="preserve"> </w:t>
      </w:r>
      <w:proofErr w:type="spellStart"/>
      <w:r>
        <w:rPr>
          <w:rFonts w:eastAsia="Calibri"/>
          <w:color w:val="000000"/>
          <w:sz w:val="22"/>
          <w:szCs w:val="22"/>
          <w:lang w:eastAsia="es-UY"/>
        </w:rPr>
        <w:t>comply</w:t>
      </w:r>
      <w:proofErr w:type="spellEnd"/>
      <w:r>
        <w:rPr>
          <w:rFonts w:eastAsia="Calibri"/>
          <w:color w:val="000000"/>
          <w:sz w:val="22"/>
          <w:szCs w:val="22"/>
          <w:lang w:eastAsia="es-UY"/>
        </w:rPr>
        <w:t xml:space="preserve"> </w:t>
      </w:r>
      <w:proofErr w:type="spellStart"/>
      <w:r>
        <w:rPr>
          <w:rFonts w:eastAsia="Calibri"/>
          <w:color w:val="000000"/>
          <w:sz w:val="22"/>
          <w:szCs w:val="22"/>
          <w:lang w:eastAsia="es-UY"/>
        </w:rPr>
        <w:t>with</w:t>
      </w:r>
      <w:proofErr w:type="spellEnd"/>
      <w:r>
        <w:rPr>
          <w:rFonts w:eastAsia="Calibri"/>
          <w:color w:val="000000"/>
          <w:sz w:val="22"/>
          <w:szCs w:val="22"/>
          <w:lang w:eastAsia="es-UY"/>
        </w:rPr>
        <w:t xml:space="preserve"> </w:t>
      </w:r>
      <w:proofErr w:type="spellStart"/>
      <w:r>
        <w:rPr>
          <w:rFonts w:eastAsia="Calibri"/>
          <w:color w:val="000000"/>
          <w:sz w:val="22"/>
          <w:szCs w:val="22"/>
          <w:lang w:eastAsia="es-UY"/>
        </w:rPr>
        <w:t>all</w:t>
      </w:r>
      <w:proofErr w:type="spellEnd"/>
      <w:r>
        <w:rPr>
          <w:rFonts w:eastAsia="Calibri"/>
          <w:color w:val="000000"/>
          <w:sz w:val="22"/>
          <w:szCs w:val="22"/>
          <w:lang w:eastAsia="es-UY"/>
        </w:rPr>
        <w:t xml:space="preserve"> </w:t>
      </w:r>
      <w:proofErr w:type="spellStart"/>
      <w:r>
        <w:rPr>
          <w:rFonts w:eastAsia="Calibri"/>
          <w:color w:val="000000"/>
          <w:sz w:val="22"/>
          <w:szCs w:val="22"/>
          <w:lang w:eastAsia="es-UY"/>
        </w:rPr>
        <w:t>obligations</w:t>
      </w:r>
      <w:proofErr w:type="spellEnd"/>
      <w:r>
        <w:rPr>
          <w:rFonts w:eastAsia="Calibri"/>
          <w:color w:val="000000"/>
          <w:sz w:val="22"/>
          <w:szCs w:val="22"/>
          <w:lang w:eastAsia="es-UY"/>
        </w:rPr>
        <w:t xml:space="preserve"> </w:t>
      </w:r>
      <w:proofErr w:type="spellStart"/>
      <w:r>
        <w:rPr>
          <w:rFonts w:eastAsia="Calibri"/>
          <w:color w:val="000000"/>
          <w:sz w:val="22"/>
          <w:szCs w:val="22"/>
          <w:lang w:eastAsia="es-UY"/>
        </w:rPr>
        <w:t>arising</w:t>
      </w:r>
      <w:proofErr w:type="spellEnd"/>
      <w:r>
        <w:rPr>
          <w:rFonts w:eastAsia="Calibri"/>
          <w:color w:val="000000"/>
          <w:sz w:val="22"/>
          <w:szCs w:val="22"/>
          <w:lang w:eastAsia="es-UY"/>
        </w:rPr>
        <w:t xml:space="preserve"> </w:t>
      </w:r>
      <w:proofErr w:type="spellStart"/>
      <w:r>
        <w:rPr>
          <w:rFonts w:eastAsia="Calibri"/>
          <w:color w:val="000000"/>
          <w:sz w:val="22"/>
          <w:szCs w:val="22"/>
          <w:lang w:eastAsia="es-UY"/>
        </w:rPr>
        <w:t>from</w:t>
      </w:r>
      <w:proofErr w:type="spellEnd"/>
      <w:r>
        <w:rPr>
          <w:rFonts w:eastAsia="Calibri"/>
          <w:color w:val="000000"/>
          <w:sz w:val="22"/>
          <w:szCs w:val="22"/>
          <w:lang w:eastAsia="es-UY"/>
        </w:rPr>
        <w:t xml:space="preserve"> </w:t>
      </w:r>
      <w:proofErr w:type="spellStart"/>
      <w:r>
        <w:rPr>
          <w:rFonts w:eastAsia="Calibri"/>
          <w:color w:val="000000"/>
          <w:sz w:val="22"/>
          <w:szCs w:val="22"/>
          <w:lang w:eastAsia="es-UY"/>
        </w:rPr>
        <w:t>their</w:t>
      </w:r>
      <w:proofErr w:type="spellEnd"/>
      <w:r>
        <w:rPr>
          <w:rFonts w:eastAsia="Calibri"/>
          <w:color w:val="000000"/>
          <w:sz w:val="22"/>
          <w:szCs w:val="22"/>
          <w:lang w:eastAsia="es-UY"/>
        </w:rPr>
        <w:t xml:space="preserve"> </w:t>
      </w:r>
      <w:proofErr w:type="spellStart"/>
      <w:r>
        <w:rPr>
          <w:rFonts w:eastAsia="Calibri"/>
          <w:color w:val="000000"/>
          <w:sz w:val="22"/>
          <w:szCs w:val="22"/>
          <w:lang w:eastAsia="es-UY"/>
        </w:rPr>
        <w:t>group</w:t>
      </w:r>
      <w:proofErr w:type="spellEnd"/>
      <w:r>
        <w:rPr>
          <w:rFonts w:eastAsia="Calibri"/>
          <w:color w:val="000000"/>
          <w:sz w:val="22"/>
          <w:szCs w:val="22"/>
          <w:lang w:eastAsia="es-UY"/>
        </w:rPr>
        <w:t xml:space="preserve"> </w:t>
      </w:r>
      <w:proofErr w:type="spellStart"/>
      <w:r>
        <w:rPr>
          <w:rFonts w:eastAsia="Calibri"/>
          <w:color w:val="000000"/>
          <w:sz w:val="22"/>
          <w:szCs w:val="22"/>
          <w:lang w:eastAsia="es-UY"/>
        </w:rPr>
        <w:t>of</w:t>
      </w:r>
      <w:proofErr w:type="spellEnd"/>
      <w:r>
        <w:rPr>
          <w:rFonts w:eastAsia="Calibri"/>
          <w:color w:val="000000"/>
          <w:sz w:val="22"/>
          <w:szCs w:val="22"/>
          <w:lang w:eastAsia="es-UY"/>
        </w:rPr>
        <w:t xml:space="preserve"> </w:t>
      </w:r>
      <w:proofErr w:type="spellStart"/>
      <w:r>
        <w:rPr>
          <w:rFonts w:eastAsia="Calibri"/>
          <w:color w:val="000000"/>
          <w:sz w:val="22"/>
          <w:szCs w:val="22"/>
          <w:lang w:eastAsia="es-UY"/>
        </w:rPr>
        <w:t>activity</w:t>
      </w:r>
      <w:proofErr w:type="spellEnd"/>
      <w:r>
        <w:rPr>
          <w:rFonts w:eastAsia="Calibri"/>
          <w:color w:val="000000"/>
          <w:sz w:val="22"/>
          <w:szCs w:val="22"/>
          <w:lang w:eastAsia="es-UY"/>
        </w:rPr>
        <w:t xml:space="preserve"> in </w:t>
      </w:r>
      <w:proofErr w:type="spellStart"/>
      <w:r>
        <w:rPr>
          <w:rFonts w:eastAsia="Calibri"/>
          <w:color w:val="000000"/>
          <w:sz w:val="22"/>
          <w:szCs w:val="22"/>
          <w:lang w:eastAsia="es-UY"/>
        </w:rPr>
        <w:t>matters</w:t>
      </w:r>
      <w:proofErr w:type="spellEnd"/>
      <w:r>
        <w:rPr>
          <w:rFonts w:eastAsia="Calibri"/>
          <w:color w:val="000000"/>
          <w:sz w:val="22"/>
          <w:szCs w:val="22"/>
          <w:lang w:eastAsia="es-UY"/>
        </w:rPr>
        <w:t xml:space="preserve"> </w:t>
      </w:r>
      <w:proofErr w:type="spellStart"/>
      <w:r>
        <w:rPr>
          <w:rFonts w:eastAsia="Calibri"/>
          <w:color w:val="000000"/>
          <w:sz w:val="22"/>
          <w:szCs w:val="22"/>
          <w:lang w:eastAsia="es-UY"/>
        </w:rPr>
        <w:t>of</w:t>
      </w:r>
      <w:proofErr w:type="spellEnd"/>
      <w:r>
        <w:rPr>
          <w:rFonts w:eastAsia="Calibri"/>
          <w:color w:val="000000"/>
          <w:sz w:val="22"/>
          <w:szCs w:val="22"/>
          <w:lang w:eastAsia="es-UY"/>
        </w:rPr>
        <w:t xml:space="preserve"> safety and </w:t>
      </w:r>
      <w:proofErr w:type="spellStart"/>
      <w:r>
        <w:rPr>
          <w:rFonts w:eastAsia="Calibri"/>
          <w:color w:val="000000"/>
          <w:sz w:val="22"/>
          <w:szCs w:val="22"/>
          <w:lang w:eastAsia="es-UY"/>
        </w:rPr>
        <w:t>hygiene</w:t>
      </w:r>
      <w:proofErr w:type="spellEnd"/>
      <w:r>
        <w:rPr>
          <w:rFonts w:eastAsia="Calibri"/>
          <w:color w:val="000000"/>
          <w:sz w:val="22"/>
          <w:szCs w:val="22"/>
          <w:lang w:eastAsia="es-UY"/>
        </w:rPr>
        <w:t xml:space="preserve"> at </w:t>
      </w:r>
      <w:proofErr w:type="spellStart"/>
      <w:r>
        <w:rPr>
          <w:rFonts w:eastAsia="Calibri"/>
          <w:color w:val="000000"/>
          <w:sz w:val="22"/>
          <w:szCs w:val="22"/>
          <w:lang w:eastAsia="es-UY"/>
        </w:rPr>
        <w:t>work</w:t>
      </w:r>
      <w:proofErr w:type="spellEnd"/>
      <w:r>
        <w:rPr>
          <w:rFonts w:eastAsia="Calibri"/>
          <w:color w:val="000000"/>
          <w:sz w:val="22"/>
          <w:szCs w:val="22"/>
          <w:lang w:eastAsia="es-UY"/>
        </w:rPr>
        <w:t xml:space="preserve">, as </w:t>
      </w:r>
      <w:proofErr w:type="spellStart"/>
      <w:r>
        <w:rPr>
          <w:rFonts w:eastAsia="Calibri"/>
          <w:color w:val="000000"/>
          <w:sz w:val="22"/>
          <w:szCs w:val="22"/>
          <w:lang w:eastAsia="es-UY"/>
        </w:rPr>
        <w:t>well</w:t>
      </w:r>
      <w:proofErr w:type="spellEnd"/>
      <w:r>
        <w:rPr>
          <w:rFonts w:eastAsia="Calibri"/>
          <w:color w:val="000000"/>
          <w:sz w:val="22"/>
          <w:szCs w:val="22"/>
          <w:lang w:eastAsia="es-UY"/>
        </w:rPr>
        <w:t xml:space="preserve"> as </w:t>
      </w:r>
      <w:proofErr w:type="spellStart"/>
      <w:r>
        <w:rPr>
          <w:rFonts w:eastAsia="Calibri"/>
          <w:color w:val="000000"/>
          <w:sz w:val="22"/>
          <w:szCs w:val="22"/>
          <w:lang w:eastAsia="es-UY"/>
        </w:rPr>
        <w:t>all</w:t>
      </w:r>
      <w:proofErr w:type="spellEnd"/>
      <w:r>
        <w:rPr>
          <w:rFonts w:eastAsia="Calibri"/>
          <w:color w:val="000000"/>
          <w:sz w:val="22"/>
          <w:szCs w:val="22"/>
          <w:lang w:eastAsia="es-UY"/>
        </w:rPr>
        <w:t xml:space="preserve"> </w:t>
      </w:r>
      <w:proofErr w:type="spellStart"/>
      <w:r>
        <w:rPr>
          <w:rFonts w:eastAsia="Calibri"/>
          <w:color w:val="000000"/>
          <w:sz w:val="22"/>
          <w:szCs w:val="22"/>
          <w:lang w:eastAsia="es-UY"/>
        </w:rPr>
        <w:t>specific</w:t>
      </w:r>
      <w:proofErr w:type="spellEnd"/>
      <w:r>
        <w:rPr>
          <w:rFonts w:eastAsia="Calibri"/>
          <w:color w:val="000000"/>
          <w:sz w:val="22"/>
          <w:szCs w:val="22"/>
          <w:lang w:eastAsia="es-UY"/>
        </w:rPr>
        <w:t xml:space="preserve"> </w:t>
      </w:r>
      <w:proofErr w:type="spellStart"/>
      <w:r>
        <w:rPr>
          <w:rFonts w:eastAsia="Calibri"/>
          <w:color w:val="000000"/>
          <w:sz w:val="22"/>
          <w:szCs w:val="22"/>
          <w:lang w:eastAsia="es-UY"/>
        </w:rPr>
        <w:t>requirements</w:t>
      </w:r>
      <w:proofErr w:type="spellEnd"/>
      <w:r>
        <w:rPr>
          <w:rFonts w:eastAsia="Calibri"/>
          <w:color w:val="000000"/>
          <w:sz w:val="22"/>
          <w:szCs w:val="22"/>
          <w:lang w:eastAsia="es-UY"/>
        </w:rPr>
        <w:t xml:space="preserve"> </w:t>
      </w:r>
      <w:proofErr w:type="spellStart"/>
      <w:r>
        <w:rPr>
          <w:rFonts w:eastAsia="Calibri"/>
          <w:color w:val="000000"/>
          <w:sz w:val="22"/>
          <w:szCs w:val="22"/>
          <w:lang w:eastAsia="es-UY"/>
        </w:rPr>
        <w:t>that</w:t>
      </w:r>
      <w:proofErr w:type="spellEnd"/>
      <w:r>
        <w:rPr>
          <w:rFonts w:eastAsia="Calibri"/>
          <w:color w:val="000000"/>
          <w:sz w:val="22"/>
          <w:szCs w:val="22"/>
          <w:lang w:eastAsia="es-UY"/>
        </w:rPr>
        <w:t xml:space="preserve"> OSE </w:t>
      </w:r>
      <w:proofErr w:type="spellStart"/>
      <w:r>
        <w:rPr>
          <w:rFonts w:eastAsia="Calibri"/>
          <w:color w:val="000000"/>
          <w:sz w:val="22"/>
          <w:szCs w:val="22"/>
          <w:lang w:eastAsia="es-UY"/>
        </w:rPr>
        <w:t>requests</w:t>
      </w:r>
      <w:proofErr w:type="spellEnd"/>
      <w:r>
        <w:rPr>
          <w:rFonts w:eastAsia="Calibri"/>
          <w:color w:val="000000"/>
          <w:sz w:val="22"/>
          <w:szCs w:val="22"/>
          <w:lang w:eastAsia="es-UY"/>
        </w:rPr>
        <w:t xml:space="preserve"> </w:t>
      </w:r>
      <w:proofErr w:type="spellStart"/>
      <w:r>
        <w:rPr>
          <w:rFonts w:eastAsia="Calibri"/>
          <w:color w:val="000000"/>
          <w:sz w:val="22"/>
          <w:szCs w:val="22"/>
          <w:lang w:eastAsia="es-UY"/>
        </w:rPr>
        <w:t>by</w:t>
      </w:r>
      <w:proofErr w:type="spellEnd"/>
      <w:r>
        <w:rPr>
          <w:rFonts w:eastAsia="Calibri"/>
          <w:color w:val="000000"/>
          <w:sz w:val="22"/>
          <w:szCs w:val="22"/>
          <w:lang w:eastAsia="es-UY"/>
        </w:rPr>
        <w:t xml:space="preserve"> </w:t>
      </w:r>
      <w:proofErr w:type="spellStart"/>
      <w:r>
        <w:rPr>
          <w:rFonts w:eastAsia="Calibri"/>
          <w:color w:val="000000"/>
          <w:sz w:val="22"/>
          <w:szCs w:val="22"/>
          <w:lang w:eastAsia="es-UY"/>
        </w:rPr>
        <w:t>sworn</w:t>
      </w:r>
      <w:proofErr w:type="spellEnd"/>
      <w:r>
        <w:rPr>
          <w:rFonts w:eastAsia="Calibri"/>
          <w:color w:val="000000"/>
          <w:sz w:val="22"/>
          <w:szCs w:val="22"/>
          <w:lang w:eastAsia="es-UY"/>
        </w:rPr>
        <w:t xml:space="preserve"> </w:t>
      </w:r>
      <w:proofErr w:type="spellStart"/>
      <w:r>
        <w:rPr>
          <w:rFonts w:eastAsia="Calibri"/>
          <w:color w:val="000000"/>
          <w:sz w:val="22"/>
          <w:szCs w:val="22"/>
          <w:lang w:eastAsia="es-UY"/>
        </w:rPr>
        <w:t>statement</w:t>
      </w:r>
      <w:proofErr w:type="spellEnd"/>
      <w:r>
        <w:rPr>
          <w:rFonts w:eastAsia="Calibri"/>
          <w:color w:val="000000"/>
          <w:sz w:val="22"/>
          <w:szCs w:val="22"/>
          <w:lang w:eastAsia="es-UY"/>
        </w:rPr>
        <w:t xml:space="preserve"> </w:t>
      </w:r>
      <w:proofErr w:type="spellStart"/>
      <w:r>
        <w:rPr>
          <w:rFonts w:eastAsia="Calibri"/>
          <w:color w:val="000000"/>
          <w:sz w:val="22"/>
          <w:szCs w:val="22"/>
          <w:lang w:eastAsia="es-UY"/>
        </w:rPr>
        <w:t>to</w:t>
      </w:r>
      <w:proofErr w:type="spellEnd"/>
      <w:r>
        <w:rPr>
          <w:rFonts w:eastAsia="Calibri"/>
          <w:color w:val="000000"/>
          <w:sz w:val="22"/>
          <w:szCs w:val="22"/>
          <w:lang w:eastAsia="es-UY"/>
        </w:rPr>
        <w:t xml:space="preserve"> </w:t>
      </w:r>
      <w:proofErr w:type="spellStart"/>
      <w:r>
        <w:rPr>
          <w:rFonts w:eastAsia="Calibri"/>
          <w:color w:val="000000"/>
          <w:sz w:val="22"/>
          <w:szCs w:val="22"/>
          <w:lang w:eastAsia="es-UY"/>
        </w:rPr>
        <w:t>its</w:t>
      </w:r>
      <w:proofErr w:type="spellEnd"/>
      <w:r>
        <w:rPr>
          <w:rFonts w:eastAsia="Calibri"/>
          <w:color w:val="000000"/>
          <w:sz w:val="22"/>
          <w:szCs w:val="22"/>
          <w:lang w:eastAsia="es-UY"/>
        </w:rPr>
        <w:t xml:space="preserve"> </w:t>
      </w:r>
      <w:proofErr w:type="spellStart"/>
      <w:r>
        <w:rPr>
          <w:rFonts w:eastAsia="Calibri"/>
          <w:color w:val="000000"/>
          <w:sz w:val="22"/>
          <w:szCs w:val="22"/>
          <w:lang w:eastAsia="es-UY"/>
        </w:rPr>
        <w:t>contractors</w:t>
      </w:r>
      <w:proofErr w:type="spellEnd"/>
      <w:r>
        <w:rPr>
          <w:rFonts w:eastAsia="Calibri"/>
          <w:color w:val="000000"/>
          <w:sz w:val="22"/>
          <w:szCs w:val="22"/>
          <w:lang w:eastAsia="es-UY"/>
        </w:rPr>
        <w:t xml:space="preserve">, </w:t>
      </w:r>
      <w:proofErr w:type="spellStart"/>
      <w:r>
        <w:rPr>
          <w:rFonts w:eastAsia="Calibri"/>
          <w:color w:val="000000"/>
          <w:sz w:val="22"/>
          <w:szCs w:val="22"/>
          <w:lang w:eastAsia="es-UY"/>
        </w:rPr>
        <w:t>making</w:t>
      </w:r>
      <w:proofErr w:type="spellEnd"/>
      <w:r>
        <w:rPr>
          <w:rFonts w:eastAsia="Calibri"/>
          <w:color w:val="000000"/>
          <w:sz w:val="22"/>
          <w:szCs w:val="22"/>
          <w:lang w:eastAsia="es-UY"/>
        </w:rPr>
        <w:t xml:space="preserve"> </w:t>
      </w:r>
      <w:proofErr w:type="spellStart"/>
      <w:r>
        <w:rPr>
          <w:rFonts w:eastAsia="Calibri"/>
          <w:color w:val="000000"/>
          <w:sz w:val="22"/>
          <w:szCs w:val="22"/>
          <w:lang w:eastAsia="es-UY"/>
        </w:rPr>
        <w:t>us</w:t>
      </w:r>
      <w:proofErr w:type="spellEnd"/>
      <w:r>
        <w:rPr>
          <w:rFonts w:eastAsia="Calibri"/>
          <w:color w:val="000000"/>
          <w:sz w:val="22"/>
          <w:szCs w:val="22"/>
          <w:lang w:eastAsia="es-UY"/>
        </w:rPr>
        <w:t xml:space="preserve"> </w:t>
      </w:r>
      <w:proofErr w:type="spellStart"/>
      <w:r>
        <w:rPr>
          <w:rFonts w:eastAsia="Calibri"/>
          <w:color w:val="000000"/>
          <w:sz w:val="22"/>
          <w:szCs w:val="22"/>
          <w:lang w:eastAsia="es-UY"/>
        </w:rPr>
        <w:t>exclusively</w:t>
      </w:r>
      <w:proofErr w:type="spellEnd"/>
      <w:r>
        <w:rPr>
          <w:rFonts w:eastAsia="Calibri"/>
          <w:color w:val="000000"/>
          <w:sz w:val="22"/>
          <w:szCs w:val="22"/>
          <w:lang w:eastAsia="es-UY"/>
        </w:rPr>
        <w:t xml:space="preserve"> and </w:t>
      </w:r>
      <w:proofErr w:type="spellStart"/>
      <w:r>
        <w:rPr>
          <w:rFonts w:eastAsia="Calibri"/>
          <w:color w:val="000000"/>
          <w:sz w:val="22"/>
          <w:szCs w:val="22"/>
          <w:lang w:eastAsia="es-UY"/>
        </w:rPr>
        <w:t>exclusively</w:t>
      </w:r>
      <w:proofErr w:type="spellEnd"/>
      <w:r>
        <w:rPr>
          <w:rFonts w:eastAsia="Calibri"/>
          <w:color w:val="000000"/>
          <w:sz w:val="22"/>
          <w:szCs w:val="22"/>
          <w:lang w:eastAsia="es-UY"/>
        </w:rPr>
        <w:t xml:space="preserve"> </w:t>
      </w:r>
      <w:proofErr w:type="spellStart"/>
      <w:r>
        <w:rPr>
          <w:rFonts w:eastAsia="Calibri"/>
          <w:color w:val="000000"/>
          <w:sz w:val="22"/>
          <w:szCs w:val="22"/>
          <w:lang w:eastAsia="es-UY"/>
        </w:rPr>
        <w:t>responsible</w:t>
      </w:r>
      <w:proofErr w:type="spellEnd"/>
      <w:r>
        <w:rPr>
          <w:rFonts w:eastAsia="Calibri"/>
          <w:color w:val="000000"/>
          <w:sz w:val="22"/>
          <w:szCs w:val="22"/>
          <w:lang w:eastAsia="es-UY"/>
        </w:rPr>
        <w:t xml:space="preserve"> </w:t>
      </w:r>
      <w:proofErr w:type="spellStart"/>
      <w:r>
        <w:rPr>
          <w:rFonts w:eastAsia="Calibri"/>
          <w:color w:val="000000"/>
          <w:sz w:val="22"/>
          <w:szCs w:val="22"/>
          <w:lang w:eastAsia="es-UY"/>
        </w:rPr>
        <w:t>for</w:t>
      </w:r>
      <w:proofErr w:type="spellEnd"/>
      <w:r>
        <w:rPr>
          <w:rFonts w:eastAsia="Calibri"/>
          <w:color w:val="000000"/>
          <w:sz w:val="22"/>
          <w:szCs w:val="22"/>
          <w:lang w:eastAsia="es-UY"/>
        </w:rPr>
        <w:t xml:space="preserve"> </w:t>
      </w:r>
      <w:proofErr w:type="spellStart"/>
      <w:r>
        <w:rPr>
          <w:rFonts w:eastAsia="Calibri"/>
          <w:color w:val="000000"/>
          <w:sz w:val="22"/>
          <w:szCs w:val="22"/>
          <w:lang w:eastAsia="es-UY"/>
        </w:rPr>
        <w:t>any</w:t>
      </w:r>
      <w:proofErr w:type="spellEnd"/>
      <w:r>
        <w:rPr>
          <w:rFonts w:eastAsia="Calibri"/>
          <w:color w:val="000000"/>
          <w:sz w:val="22"/>
          <w:szCs w:val="22"/>
          <w:lang w:eastAsia="es-UY"/>
        </w:rPr>
        <w:t xml:space="preserve"> </w:t>
      </w:r>
      <w:proofErr w:type="spellStart"/>
      <w:r>
        <w:rPr>
          <w:rFonts w:eastAsia="Calibri"/>
          <w:color w:val="000000"/>
          <w:sz w:val="22"/>
          <w:szCs w:val="22"/>
          <w:lang w:eastAsia="es-UY"/>
        </w:rPr>
        <w:t>damage</w:t>
      </w:r>
      <w:proofErr w:type="spellEnd"/>
      <w:r>
        <w:rPr>
          <w:rFonts w:eastAsia="Calibri"/>
          <w:color w:val="000000"/>
          <w:sz w:val="22"/>
          <w:szCs w:val="22"/>
          <w:lang w:eastAsia="es-UY"/>
        </w:rPr>
        <w:t xml:space="preserve"> </w:t>
      </w:r>
      <w:proofErr w:type="spellStart"/>
      <w:r>
        <w:rPr>
          <w:rFonts w:eastAsia="Calibri"/>
          <w:color w:val="000000"/>
          <w:sz w:val="22"/>
          <w:szCs w:val="22"/>
          <w:lang w:eastAsia="es-UY"/>
        </w:rPr>
        <w:t>or</w:t>
      </w:r>
      <w:proofErr w:type="spellEnd"/>
      <w:r>
        <w:rPr>
          <w:rFonts w:eastAsia="Calibri"/>
          <w:color w:val="000000"/>
          <w:sz w:val="22"/>
          <w:szCs w:val="22"/>
          <w:lang w:eastAsia="es-UY"/>
        </w:rPr>
        <w:t xml:space="preserve"> </w:t>
      </w:r>
      <w:proofErr w:type="spellStart"/>
      <w:r>
        <w:rPr>
          <w:rFonts w:eastAsia="Calibri"/>
          <w:color w:val="000000"/>
          <w:sz w:val="22"/>
          <w:szCs w:val="22"/>
          <w:lang w:eastAsia="es-UY"/>
        </w:rPr>
        <w:t>harm</w:t>
      </w:r>
      <w:proofErr w:type="spellEnd"/>
      <w:r>
        <w:rPr>
          <w:rFonts w:eastAsia="Calibri"/>
          <w:color w:val="000000"/>
          <w:sz w:val="22"/>
          <w:szCs w:val="22"/>
          <w:lang w:eastAsia="es-UY"/>
        </w:rPr>
        <w:t xml:space="preserve"> </w:t>
      </w:r>
      <w:proofErr w:type="spellStart"/>
      <w:r>
        <w:rPr>
          <w:rFonts w:eastAsia="Calibri"/>
          <w:color w:val="000000"/>
          <w:sz w:val="22"/>
          <w:szCs w:val="22"/>
          <w:lang w:eastAsia="es-UY"/>
        </w:rPr>
        <w:t>that</w:t>
      </w:r>
      <w:proofErr w:type="spellEnd"/>
      <w:r>
        <w:rPr>
          <w:rFonts w:eastAsia="Calibri"/>
          <w:color w:val="000000"/>
          <w:sz w:val="22"/>
          <w:szCs w:val="22"/>
          <w:lang w:eastAsia="es-UY"/>
        </w:rPr>
        <w:t xml:space="preserve"> </w:t>
      </w:r>
      <w:proofErr w:type="spellStart"/>
      <w:r>
        <w:rPr>
          <w:rFonts w:eastAsia="Calibri"/>
          <w:color w:val="000000"/>
          <w:sz w:val="22"/>
          <w:szCs w:val="22"/>
          <w:lang w:eastAsia="es-UY"/>
        </w:rPr>
        <w:t>the</w:t>
      </w:r>
      <w:proofErr w:type="spellEnd"/>
      <w:r>
        <w:rPr>
          <w:rFonts w:eastAsia="Calibri"/>
          <w:color w:val="000000"/>
          <w:sz w:val="22"/>
          <w:szCs w:val="22"/>
          <w:lang w:eastAsia="es-UY"/>
        </w:rPr>
        <w:t xml:space="preserve"> </w:t>
      </w:r>
      <w:proofErr w:type="spellStart"/>
      <w:r>
        <w:rPr>
          <w:rFonts w:eastAsia="Calibri"/>
          <w:color w:val="000000"/>
          <w:sz w:val="22"/>
          <w:szCs w:val="22"/>
          <w:lang w:eastAsia="es-UY"/>
        </w:rPr>
        <w:t>subcontractors</w:t>
      </w:r>
      <w:proofErr w:type="spellEnd"/>
      <w:r>
        <w:rPr>
          <w:rFonts w:eastAsia="Calibri"/>
          <w:color w:val="000000"/>
          <w:sz w:val="22"/>
          <w:szCs w:val="22"/>
          <w:lang w:eastAsia="es-UY"/>
        </w:rPr>
        <w:t xml:space="preserve"> cause </w:t>
      </w:r>
      <w:proofErr w:type="spellStart"/>
      <w:r>
        <w:rPr>
          <w:rFonts w:eastAsia="Calibri"/>
          <w:color w:val="000000"/>
          <w:sz w:val="22"/>
          <w:szCs w:val="22"/>
          <w:lang w:eastAsia="es-UY"/>
        </w:rPr>
        <w:t>to</w:t>
      </w:r>
      <w:proofErr w:type="spellEnd"/>
      <w:r>
        <w:rPr>
          <w:rFonts w:eastAsia="Calibri"/>
          <w:color w:val="000000"/>
          <w:sz w:val="22"/>
          <w:szCs w:val="22"/>
          <w:lang w:eastAsia="es-UY"/>
        </w:rPr>
        <w:t xml:space="preserve"> OSE and/</w:t>
      </w:r>
      <w:proofErr w:type="spellStart"/>
      <w:r>
        <w:rPr>
          <w:rFonts w:eastAsia="Calibri"/>
          <w:color w:val="000000"/>
          <w:sz w:val="22"/>
          <w:szCs w:val="22"/>
          <w:lang w:eastAsia="es-UY"/>
        </w:rPr>
        <w:t>or</w:t>
      </w:r>
      <w:proofErr w:type="spellEnd"/>
      <w:r>
        <w:rPr>
          <w:rFonts w:eastAsia="Calibri"/>
          <w:color w:val="000000"/>
          <w:sz w:val="22"/>
          <w:szCs w:val="22"/>
          <w:lang w:eastAsia="es-UY"/>
        </w:rPr>
        <w:t xml:space="preserve"> </w:t>
      </w:r>
      <w:proofErr w:type="spellStart"/>
      <w:r>
        <w:rPr>
          <w:rFonts w:eastAsia="Calibri"/>
          <w:color w:val="000000"/>
          <w:sz w:val="22"/>
          <w:szCs w:val="22"/>
          <w:lang w:eastAsia="es-UY"/>
        </w:rPr>
        <w:t>any</w:t>
      </w:r>
      <w:proofErr w:type="spellEnd"/>
      <w:r>
        <w:rPr>
          <w:rFonts w:eastAsia="Calibri"/>
          <w:color w:val="000000"/>
          <w:sz w:val="22"/>
          <w:szCs w:val="22"/>
          <w:lang w:eastAsia="es-UY"/>
        </w:rPr>
        <w:t xml:space="preserve"> </w:t>
      </w:r>
      <w:proofErr w:type="spellStart"/>
      <w:r>
        <w:rPr>
          <w:rFonts w:eastAsia="Calibri"/>
          <w:color w:val="000000"/>
          <w:sz w:val="22"/>
          <w:szCs w:val="22"/>
          <w:lang w:eastAsia="es-UY"/>
        </w:rPr>
        <w:t>third</w:t>
      </w:r>
      <w:proofErr w:type="spellEnd"/>
      <w:r>
        <w:rPr>
          <w:rFonts w:eastAsia="Calibri"/>
          <w:color w:val="000000"/>
          <w:sz w:val="22"/>
          <w:szCs w:val="22"/>
          <w:lang w:eastAsia="es-UY"/>
        </w:rPr>
        <w:t xml:space="preserve"> </w:t>
      </w:r>
      <w:proofErr w:type="spellStart"/>
      <w:r>
        <w:rPr>
          <w:rFonts w:eastAsia="Calibri"/>
          <w:color w:val="000000"/>
          <w:sz w:val="22"/>
          <w:szCs w:val="22"/>
          <w:lang w:eastAsia="es-UY"/>
        </w:rPr>
        <w:t>party</w:t>
      </w:r>
      <w:proofErr w:type="spellEnd"/>
      <w:r>
        <w:rPr>
          <w:rFonts w:eastAsia="Calibri"/>
          <w:color w:val="000000"/>
          <w:sz w:val="22"/>
          <w:szCs w:val="22"/>
          <w:lang w:eastAsia="es-UY"/>
        </w:rPr>
        <w:t xml:space="preserve">, as a </w:t>
      </w:r>
      <w:proofErr w:type="spellStart"/>
      <w:r>
        <w:rPr>
          <w:rFonts w:eastAsia="Calibri"/>
          <w:color w:val="000000"/>
          <w:sz w:val="22"/>
          <w:szCs w:val="22"/>
          <w:lang w:eastAsia="es-UY"/>
        </w:rPr>
        <w:t>consequence</w:t>
      </w:r>
      <w:proofErr w:type="spellEnd"/>
      <w:r>
        <w:rPr>
          <w:rFonts w:eastAsia="Calibri"/>
          <w:color w:val="000000"/>
          <w:sz w:val="22"/>
          <w:szCs w:val="22"/>
          <w:lang w:eastAsia="es-UY"/>
        </w:rPr>
        <w:t xml:space="preserve"> </w:t>
      </w:r>
      <w:proofErr w:type="spellStart"/>
      <w:r>
        <w:rPr>
          <w:rFonts w:eastAsia="Calibri"/>
          <w:color w:val="000000"/>
          <w:sz w:val="22"/>
          <w:szCs w:val="22"/>
          <w:lang w:eastAsia="es-UY"/>
        </w:rPr>
        <w:t>of</w:t>
      </w:r>
      <w:proofErr w:type="spellEnd"/>
      <w:r>
        <w:rPr>
          <w:rFonts w:eastAsia="Calibri"/>
          <w:color w:val="000000"/>
          <w:sz w:val="22"/>
          <w:szCs w:val="22"/>
          <w:lang w:eastAsia="es-UY"/>
        </w:rPr>
        <w:t xml:space="preserve"> </w:t>
      </w:r>
      <w:proofErr w:type="spellStart"/>
      <w:r>
        <w:rPr>
          <w:rFonts w:eastAsia="Calibri"/>
          <w:color w:val="000000"/>
          <w:sz w:val="22"/>
          <w:szCs w:val="22"/>
          <w:lang w:eastAsia="es-UY"/>
        </w:rPr>
        <w:t>the</w:t>
      </w:r>
      <w:proofErr w:type="spellEnd"/>
      <w:r>
        <w:rPr>
          <w:rFonts w:eastAsia="Calibri"/>
          <w:color w:val="000000"/>
          <w:sz w:val="22"/>
          <w:szCs w:val="22"/>
          <w:lang w:eastAsia="es-UY"/>
        </w:rPr>
        <w:t xml:space="preserve"> </w:t>
      </w:r>
      <w:proofErr w:type="spellStart"/>
      <w:r>
        <w:rPr>
          <w:rFonts w:eastAsia="Calibri"/>
          <w:color w:val="000000"/>
          <w:sz w:val="22"/>
          <w:szCs w:val="22"/>
          <w:lang w:eastAsia="es-UY"/>
        </w:rPr>
        <w:t>violation</w:t>
      </w:r>
      <w:proofErr w:type="spellEnd"/>
      <w:r>
        <w:rPr>
          <w:rFonts w:eastAsia="Calibri"/>
          <w:color w:val="000000"/>
          <w:sz w:val="22"/>
          <w:szCs w:val="22"/>
          <w:lang w:eastAsia="es-UY"/>
        </w:rPr>
        <w:t xml:space="preserve"> </w:t>
      </w:r>
      <w:proofErr w:type="spellStart"/>
      <w:r>
        <w:rPr>
          <w:rFonts w:eastAsia="Calibri"/>
          <w:color w:val="000000"/>
          <w:sz w:val="22"/>
          <w:szCs w:val="22"/>
          <w:lang w:eastAsia="es-UY"/>
        </w:rPr>
        <w:t>of</w:t>
      </w:r>
      <w:proofErr w:type="spellEnd"/>
      <w:r>
        <w:rPr>
          <w:rFonts w:eastAsia="Calibri"/>
          <w:color w:val="000000"/>
          <w:sz w:val="22"/>
          <w:szCs w:val="22"/>
          <w:lang w:eastAsia="es-UY"/>
        </w:rPr>
        <w:t xml:space="preserve"> </w:t>
      </w:r>
      <w:proofErr w:type="spellStart"/>
      <w:r>
        <w:rPr>
          <w:rFonts w:eastAsia="Calibri"/>
          <w:color w:val="000000"/>
          <w:sz w:val="22"/>
          <w:szCs w:val="22"/>
          <w:lang w:eastAsia="es-UY"/>
        </w:rPr>
        <w:t>the</w:t>
      </w:r>
      <w:proofErr w:type="spellEnd"/>
      <w:r>
        <w:rPr>
          <w:rFonts w:eastAsia="Calibri"/>
          <w:color w:val="000000"/>
          <w:sz w:val="22"/>
          <w:szCs w:val="22"/>
          <w:lang w:eastAsia="es-UY"/>
        </w:rPr>
        <w:t xml:space="preserve"> </w:t>
      </w:r>
      <w:proofErr w:type="spellStart"/>
      <w:r>
        <w:rPr>
          <w:rFonts w:eastAsia="Calibri"/>
          <w:color w:val="000000"/>
          <w:sz w:val="22"/>
          <w:szCs w:val="22"/>
          <w:lang w:eastAsia="es-UY"/>
        </w:rPr>
        <w:t>provisions</w:t>
      </w:r>
      <w:proofErr w:type="spellEnd"/>
      <w:r>
        <w:rPr>
          <w:rFonts w:eastAsia="Calibri"/>
          <w:color w:val="000000"/>
          <w:sz w:val="22"/>
          <w:szCs w:val="22"/>
          <w:lang w:eastAsia="es-UY"/>
        </w:rPr>
        <w:t xml:space="preserve"> in </w:t>
      </w:r>
      <w:proofErr w:type="spellStart"/>
      <w:r>
        <w:rPr>
          <w:rFonts w:eastAsia="Calibri"/>
          <w:color w:val="000000"/>
          <w:sz w:val="22"/>
          <w:szCs w:val="22"/>
          <w:lang w:eastAsia="es-UY"/>
        </w:rPr>
        <w:t>the</w:t>
      </w:r>
      <w:proofErr w:type="spellEnd"/>
      <w:r>
        <w:rPr>
          <w:rFonts w:eastAsia="Calibri"/>
          <w:color w:val="000000"/>
          <w:sz w:val="22"/>
          <w:szCs w:val="22"/>
          <w:lang w:eastAsia="es-UY"/>
        </w:rPr>
        <w:t xml:space="preserve"> </w:t>
      </w:r>
      <w:proofErr w:type="spellStart"/>
      <w:r>
        <w:rPr>
          <w:rFonts w:eastAsia="Calibri"/>
          <w:color w:val="000000"/>
          <w:sz w:val="22"/>
          <w:szCs w:val="22"/>
          <w:lang w:eastAsia="es-UY"/>
        </w:rPr>
        <w:t>matter</w:t>
      </w:r>
      <w:proofErr w:type="spellEnd"/>
      <w:r>
        <w:rPr>
          <w:rFonts w:eastAsia="Calibri"/>
          <w:color w:val="000000"/>
          <w:sz w:val="22"/>
          <w:szCs w:val="22"/>
          <w:lang w:eastAsia="es-UY"/>
        </w:rPr>
        <w:t>.</w:t>
      </w:r>
    </w:p>
    <w:p w14:paraId="7CCFB64B" w14:textId="77777777" w:rsidR="00E255F4" w:rsidRDefault="00000000">
      <w:pPr>
        <w:autoSpaceDE w:val="0"/>
        <w:spacing w:line="360" w:lineRule="auto"/>
        <w:jc w:val="both"/>
      </w:pPr>
      <w:r>
        <w:rPr>
          <w:rFonts w:eastAsia="Calibri"/>
          <w:color w:val="000000"/>
          <w:sz w:val="22"/>
          <w:szCs w:val="22"/>
          <w:lang w:eastAsia="es-UY"/>
        </w:rPr>
        <w:t xml:space="preserve">10) </w:t>
      </w:r>
      <w:proofErr w:type="spellStart"/>
      <w:r>
        <w:rPr>
          <w:rFonts w:eastAsia="Calibri"/>
          <w:color w:val="000000"/>
          <w:sz w:val="22"/>
          <w:szCs w:val="22"/>
          <w:lang w:eastAsia="es-UY"/>
        </w:rPr>
        <w:t>We</w:t>
      </w:r>
      <w:proofErr w:type="spellEnd"/>
      <w:r>
        <w:rPr>
          <w:rFonts w:eastAsia="Calibri"/>
          <w:color w:val="000000"/>
          <w:sz w:val="22"/>
          <w:szCs w:val="22"/>
          <w:lang w:eastAsia="es-UY"/>
        </w:rPr>
        <w:t xml:space="preserve"> </w:t>
      </w:r>
      <w:proofErr w:type="spellStart"/>
      <w:r>
        <w:rPr>
          <w:rFonts w:eastAsia="Calibri"/>
          <w:color w:val="000000"/>
          <w:sz w:val="22"/>
          <w:szCs w:val="22"/>
          <w:lang w:eastAsia="es-UY"/>
        </w:rPr>
        <w:t>will</w:t>
      </w:r>
      <w:proofErr w:type="spellEnd"/>
      <w:r>
        <w:rPr>
          <w:rFonts w:eastAsia="Calibri"/>
          <w:color w:val="000000"/>
          <w:sz w:val="22"/>
          <w:szCs w:val="22"/>
          <w:lang w:eastAsia="es-UY"/>
        </w:rPr>
        <w:t xml:space="preserve"> </w:t>
      </w:r>
      <w:proofErr w:type="spellStart"/>
      <w:r>
        <w:rPr>
          <w:rFonts w:eastAsia="Calibri"/>
          <w:color w:val="000000"/>
          <w:sz w:val="22"/>
          <w:szCs w:val="22"/>
          <w:lang w:eastAsia="es-UY"/>
        </w:rPr>
        <w:t>have</w:t>
      </w:r>
      <w:proofErr w:type="spellEnd"/>
      <w:r>
        <w:rPr>
          <w:rFonts w:eastAsia="Calibri"/>
          <w:color w:val="000000"/>
          <w:sz w:val="22"/>
          <w:szCs w:val="22"/>
          <w:lang w:eastAsia="es-UY"/>
        </w:rPr>
        <w:t xml:space="preserve"> in </w:t>
      </w:r>
      <w:proofErr w:type="spellStart"/>
      <w:r>
        <w:rPr>
          <w:rFonts w:eastAsia="Calibri"/>
          <w:color w:val="000000"/>
          <w:sz w:val="22"/>
          <w:szCs w:val="22"/>
          <w:lang w:eastAsia="es-UY"/>
        </w:rPr>
        <w:t>the</w:t>
      </w:r>
      <w:proofErr w:type="spellEnd"/>
      <w:r>
        <w:rPr>
          <w:rFonts w:eastAsia="Calibri"/>
          <w:color w:val="000000"/>
          <w:sz w:val="22"/>
          <w:szCs w:val="22"/>
          <w:lang w:eastAsia="es-UY"/>
        </w:rPr>
        <w:t xml:space="preserve"> </w:t>
      </w:r>
      <w:proofErr w:type="spellStart"/>
      <w:r>
        <w:rPr>
          <w:rFonts w:eastAsia="Calibri"/>
          <w:color w:val="000000"/>
          <w:sz w:val="22"/>
          <w:szCs w:val="22"/>
          <w:lang w:eastAsia="es-UY"/>
        </w:rPr>
        <w:t>workplace</w:t>
      </w:r>
      <w:proofErr w:type="spellEnd"/>
      <w:r>
        <w:rPr>
          <w:rFonts w:eastAsia="Calibri"/>
          <w:color w:val="000000"/>
          <w:sz w:val="22"/>
          <w:szCs w:val="22"/>
          <w:lang w:eastAsia="es-UY"/>
        </w:rPr>
        <w:t xml:space="preserve"> </w:t>
      </w:r>
      <w:proofErr w:type="spellStart"/>
      <w:r>
        <w:rPr>
          <w:rFonts w:eastAsia="Calibri"/>
          <w:color w:val="000000"/>
          <w:sz w:val="22"/>
          <w:szCs w:val="22"/>
          <w:lang w:eastAsia="es-UY"/>
        </w:rPr>
        <w:t>all</w:t>
      </w:r>
      <w:proofErr w:type="spellEnd"/>
      <w:r>
        <w:rPr>
          <w:rFonts w:eastAsia="Calibri"/>
          <w:color w:val="000000"/>
          <w:sz w:val="22"/>
          <w:szCs w:val="22"/>
          <w:lang w:eastAsia="es-UY"/>
        </w:rPr>
        <w:t xml:space="preserve"> </w:t>
      </w:r>
      <w:proofErr w:type="spellStart"/>
      <w:r>
        <w:rPr>
          <w:rFonts w:eastAsia="Calibri"/>
          <w:color w:val="000000"/>
          <w:sz w:val="22"/>
          <w:szCs w:val="22"/>
          <w:lang w:eastAsia="es-UY"/>
        </w:rPr>
        <w:t>the</w:t>
      </w:r>
      <w:proofErr w:type="spellEnd"/>
      <w:r>
        <w:rPr>
          <w:rFonts w:eastAsia="Calibri"/>
          <w:color w:val="000000"/>
          <w:sz w:val="22"/>
          <w:szCs w:val="22"/>
          <w:lang w:eastAsia="es-UY"/>
        </w:rPr>
        <w:t xml:space="preserve"> </w:t>
      </w:r>
      <w:proofErr w:type="spellStart"/>
      <w:r>
        <w:rPr>
          <w:rFonts w:eastAsia="Calibri"/>
          <w:color w:val="000000"/>
          <w:sz w:val="22"/>
          <w:szCs w:val="22"/>
          <w:lang w:eastAsia="es-UY"/>
        </w:rPr>
        <w:t>documents</w:t>
      </w:r>
      <w:proofErr w:type="spellEnd"/>
      <w:r>
        <w:rPr>
          <w:rFonts w:eastAsia="Calibri"/>
          <w:color w:val="000000"/>
          <w:sz w:val="22"/>
          <w:szCs w:val="22"/>
          <w:lang w:eastAsia="es-UY"/>
        </w:rPr>
        <w:t xml:space="preserve"> and </w:t>
      </w:r>
      <w:proofErr w:type="spellStart"/>
      <w:r>
        <w:rPr>
          <w:rFonts w:eastAsia="Calibri"/>
          <w:color w:val="000000"/>
          <w:sz w:val="22"/>
          <w:szCs w:val="22"/>
          <w:lang w:eastAsia="es-UY"/>
        </w:rPr>
        <w:t>records</w:t>
      </w:r>
      <w:proofErr w:type="spellEnd"/>
      <w:r>
        <w:rPr>
          <w:rFonts w:eastAsia="Calibri"/>
          <w:color w:val="000000"/>
          <w:sz w:val="22"/>
          <w:szCs w:val="22"/>
          <w:lang w:eastAsia="es-UY"/>
        </w:rPr>
        <w:t xml:space="preserve"> </w:t>
      </w:r>
      <w:proofErr w:type="spellStart"/>
      <w:r>
        <w:rPr>
          <w:rFonts w:eastAsia="Calibri"/>
          <w:color w:val="000000"/>
          <w:sz w:val="22"/>
          <w:szCs w:val="22"/>
          <w:lang w:eastAsia="es-UY"/>
        </w:rPr>
        <w:t>indicated</w:t>
      </w:r>
      <w:proofErr w:type="spellEnd"/>
      <w:r>
        <w:rPr>
          <w:rFonts w:eastAsia="Calibri"/>
          <w:color w:val="000000"/>
          <w:sz w:val="22"/>
          <w:szCs w:val="22"/>
          <w:lang w:eastAsia="es-UY"/>
        </w:rPr>
        <w:t xml:space="preserve"> in </w:t>
      </w:r>
      <w:proofErr w:type="spellStart"/>
      <w:r>
        <w:rPr>
          <w:rFonts w:eastAsia="Calibri"/>
          <w:color w:val="000000"/>
          <w:sz w:val="22"/>
          <w:szCs w:val="22"/>
          <w:lang w:eastAsia="es-UY"/>
        </w:rPr>
        <w:t>the</w:t>
      </w:r>
      <w:proofErr w:type="spellEnd"/>
      <w:r>
        <w:rPr>
          <w:rFonts w:eastAsia="Calibri"/>
          <w:color w:val="000000"/>
          <w:sz w:val="22"/>
          <w:szCs w:val="22"/>
          <w:lang w:eastAsia="es-UY"/>
        </w:rPr>
        <w:t xml:space="preserve"> </w:t>
      </w:r>
      <w:proofErr w:type="spellStart"/>
      <w:r>
        <w:rPr>
          <w:rFonts w:eastAsia="Calibri"/>
          <w:color w:val="000000"/>
          <w:sz w:val="22"/>
          <w:szCs w:val="22"/>
          <w:lang w:eastAsia="es-UY"/>
        </w:rPr>
        <w:t>current</w:t>
      </w:r>
      <w:proofErr w:type="spellEnd"/>
      <w:r>
        <w:rPr>
          <w:rFonts w:eastAsia="Calibri"/>
          <w:color w:val="000000"/>
          <w:sz w:val="22"/>
          <w:szCs w:val="22"/>
          <w:lang w:eastAsia="es-UY"/>
        </w:rPr>
        <w:t xml:space="preserve"> </w:t>
      </w:r>
      <w:proofErr w:type="spellStart"/>
      <w:r>
        <w:rPr>
          <w:rFonts w:eastAsia="Calibri"/>
          <w:color w:val="000000"/>
          <w:sz w:val="22"/>
          <w:szCs w:val="22"/>
          <w:lang w:eastAsia="es-UY"/>
        </w:rPr>
        <w:t>regulations</w:t>
      </w:r>
      <w:proofErr w:type="spellEnd"/>
      <w:r>
        <w:rPr>
          <w:rFonts w:eastAsia="Calibri"/>
          <w:color w:val="000000"/>
          <w:sz w:val="22"/>
          <w:szCs w:val="22"/>
          <w:lang w:eastAsia="es-UY"/>
        </w:rPr>
        <w:t xml:space="preserve"> </w:t>
      </w:r>
      <w:proofErr w:type="spellStart"/>
      <w:r>
        <w:rPr>
          <w:rFonts w:eastAsia="Calibri"/>
          <w:color w:val="000000"/>
          <w:sz w:val="22"/>
          <w:szCs w:val="22"/>
          <w:lang w:eastAsia="es-UY"/>
        </w:rPr>
        <w:t>related</w:t>
      </w:r>
      <w:proofErr w:type="spellEnd"/>
      <w:r>
        <w:rPr>
          <w:rFonts w:eastAsia="Calibri"/>
          <w:color w:val="000000"/>
          <w:sz w:val="22"/>
          <w:szCs w:val="22"/>
          <w:lang w:eastAsia="es-UY"/>
        </w:rPr>
        <w:t xml:space="preserve"> </w:t>
      </w:r>
      <w:proofErr w:type="spellStart"/>
      <w:r>
        <w:rPr>
          <w:rFonts w:eastAsia="Calibri"/>
          <w:color w:val="000000"/>
          <w:sz w:val="22"/>
          <w:szCs w:val="22"/>
          <w:lang w:eastAsia="es-UY"/>
        </w:rPr>
        <w:t>to</w:t>
      </w:r>
      <w:proofErr w:type="spellEnd"/>
      <w:r>
        <w:rPr>
          <w:rFonts w:eastAsia="Calibri"/>
          <w:color w:val="000000"/>
          <w:sz w:val="22"/>
          <w:szCs w:val="22"/>
          <w:lang w:eastAsia="es-UY"/>
        </w:rPr>
        <w:t xml:space="preserve"> </w:t>
      </w:r>
      <w:proofErr w:type="spellStart"/>
      <w:r>
        <w:rPr>
          <w:rFonts w:eastAsia="Calibri"/>
          <w:color w:val="000000"/>
          <w:sz w:val="22"/>
          <w:szCs w:val="22"/>
          <w:lang w:eastAsia="es-UY"/>
        </w:rPr>
        <w:t>aspects</w:t>
      </w:r>
      <w:proofErr w:type="spellEnd"/>
      <w:r>
        <w:rPr>
          <w:rFonts w:eastAsia="Calibri"/>
          <w:color w:val="000000"/>
          <w:sz w:val="22"/>
          <w:szCs w:val="22"/>
          <w:lang w:eastAsia="es-UY"/>
        </w:rPr>
        <w:t xml:space="preserve"> </w:t>
      </w:r>
      <w:proofErr w:type="spellStart"/>
      <w:r>
        <w:rPr>
          <w:rFonts w:eastAsia="Calibri"/>
          <w:color w:val="000000"/>
          <w:sz w:val="22"/>
          <w:szCs w:val="22"/>
          <w:lang w:eastAsia="es-UY"/>
        </w:rPr>
        <w:t>of</w:t>
      </w:r>
      <w:proofErr w:type="spellEnd"/>
      <w:r>
        <w:rPr>
          <w:rFonts w:eastAsia="Calibri"/>
          <w:color w:val="000000"/>
          <w:sz w:val="22"/>
          <w:szCs w:val="22"/>
          <w:lang w:eastAsia="es-UY"/>
        </w:rPr>
        <w:t xml:space="preserve"> safety and </w:t>
      </w:r>
      <w:proofErr w:type="spellStart"/>
      <w:r>
        <w:rPr>
          <w:rFonts w:eastAsia="Calibri"/>
          <w:color w:val="000000"/>
          <w:sz w:val="22"/>
          <w:szCs w:val="22"/>
          <w:lang w:eastAsia="es-UY"/>
        </w:rPr>
        <w:t>hygiene</w:t>
      </w:r>
      <w:proofErr w:type="spellEnd"/>
      <w:r>
        <w:rPr>
          <w:rFonts w:eastAsia="Calibri"/>
          <w:color w:val="000000"/>
          <w:sz w:val="22"/>
          <w:szCs w:val="22"/>
          <w:lang w:eastAsia="es-UY"/>
        </w:rPr>
        <w:t xml:space="preserve"> at </w:t>
      </w:r>
      <w:proofErr w:type="spellStart"/>
      <w:r>
        <w:rPr>
          <w:rFonts w:eastAsia="Calibri"/>
          <w:color w:val="000000"/>
          <w:sz w:val="22"/>
          <w:szCs w:val="22"/>
          <w:lang w:eastAsia="es-UY"/>
        </w:rPr>
        <w:t>work</w:t>
      </w:r>
      <w:proofErr w:type="spellEnd"/>
      <w:r>
        <w:rPr>
          <w:rFonts w:eastAsia="Calibri"/>
          <w:color w:val="000000"/>
          <w:sz w:val="22"/>
          <w:szCs w:val="22"/>
          <w:lang w:eastAsia="es-UY"/>
        </w:rPr>
        <w:t>.</w:t>
      </w:r>
    </w:p>
    <w:p w14:paraId="479160B1" w14:textId="77777777" w:rsidR="00E255F4" w:rsidRDefault="00000000">
      <w:pPr>
        <w:autoSpaceDE w:val="0"/>
        <w:spacing w:line="360" w:lineRule="auto"/>
        <w:jc w:val="both"/>
        <w:rPr>
          <w:rFonts w:eastAsia="Calibri"/>
          <w:color w:val="000000"/>
          <w:sz w:val="22"/>
          <w:szCs w:val="22"/>
          <w:lang w:eastAsia="es-UY"/>
        </w:rPr>
      </w:pPr>
      <w:r>
        <w:rPr>
          <w:rFonts w:eastAsia="Calibri"/>
          <w:color w:val="000000"/>
          <w:sz w:val="22"/>
          <w:szCs w:val="22"/>
          <w:lang w:eastAsia="es-UY"/>
        </w:rPr>
        <w:t xml:space="preserve">11) Once </w:t>
      </w:r>
      <w:proofErr w:type="spellStart"/>
      <w:r>
        <w:rPr>
          <w:rFonts w:eastAsia="Calibri"/>
          <w:color w:val="000000"/>
          <w:sz w:val="22"/>
          <w:szCs w:val="22"/>
          <w:lang w:eastAsia="es-UY"/>
        </w:rPr>
        <w:t>the</w:t>
      </w:r>
      <w:proofErr w:type="spellEnd"/>
      <w:r>
        <w:rPr>
          <w:rFonts w:eastAsia="Calibri"/>
          <w:color w:val="000000"/>
          <w:sz w:val="22"/>
          <w:szCs w:val="22"/>
          <w:lang w:eastAsia="es-UY"/>
        </w:rPr>
        <w:t xml:space="preserve"> </w:t>
      </w:r>
      <w:proofErr w:type="spellStart"/>
      <w:r>
        <w:rPr>
          <w:rFonts w:eastAsia="Calibri"/>
          <w:color w:val="000000"/>
          <w:sz w:val="22"/>
          <w:szCs w:val="22"/>
          <w:lang w:eastAsia="es-UY"/>
        </w:rPr>
        <w:t>work</w:t>
      </w:r>
      <w:proofErr w:type="spellEnd"/>
      <w:r>
        <w:rPr>
          <w:rFonts w:eastAsia="Calibri"/>
          <w:color w:val="000000"/>
          <w:sz w:val="22"/>
          <w:szCs w:val="22"/>
          <w:lang w:eastAsia="es-UY"/>
        </w:rPr>
        <w:t xml:space="preserve"> </w:t>
      </w:r>
      <w:proofErr w:type="spellStart"/>
      <w:r>
        <w:rPr>
          <w:rFonts w:eastAsia="Calibri"/>
          <w:color w:val="000000"/>
          <w:sz w:val="22"/>
          <w:szCs w:val="22"/>
          <w:lang w:eastAsia="es-UY"/>
        </w:rPr>
        <w:t>is</w:t>
      </w:r>
      <w:proofErr w:type="spellEnd"/>
      <w:r>
        <w:rPr>
          <w:rFonts w:eastAsia="Calibri"/>
          <w:color w:val="000000"/>
          <w:sz w:val="22"/>
          <w:szCs w:val="22"/>
          <w:lang w:eastAsia="es-UY"/>
        </w:rPr>
        <w:t xml:space="preserve"> </w:t>
      </w:r>
      <w:proofErr w:type="spellStart"/>
      <w:r>
        <w:rPr>
          <w:rFonts w:eastAsia="Calibri"/>
          <w:color w:val="000000"/>
          <w:sz w:val="22"/>
          <w:szCs w:val="22"/>
          <w:lang w:eastAsia="es-UY"/>
        </w:rPr>
        <w:t>completed</w:t>
      </w:r>
      <w:proofErr w:type="spellEnd"/>
      <w:r>
        <w:rPr>
          <w:rFonts w:eastAsia="Calibri"/>
          <w:color w:val="000000"/>
          <w:sz w:val="22"/>
          <w:szCs w:val="22"/>
          <w:lang w:eastAsia="es-UY"/>
        </w:rPr>
        <w:t xml:space="preserve">, </w:t>
      </w:r>
      <w:proofErr w:type="spellStart"/>
      <w:r>
        <w:rPr>
          <w:rFonts w:eastAsia="Calibri"/>
          <w:color w:val="000000"/>
          <w:sz w:val="22"/>
          <w:szCs w:val="22"/>
          <w:lang w:eastAsia="es-UY"/>
        </w:rPr>
        <w:t>we</w:t>
      </w:r>
      <w:proofErr w:type="spellEnd"/>
      <w:r>
        <w:rPr>
          <w:rFonts w:eastAsia="Calibri"/>
          <w:color w:val="000000"/>
          <w:sz w:val="22"/>
          <w:szCs w:val="22"/>
          <w:lang w:eastAsia="es-UY"/>
        </w:rPr>
        <w:t xml:space="preserve"> </w:t>
      </w:r>
      <w:proofErr w:type="spellStart"/>
      <w:r>
        <w:rPr>
          <w:rFonts w:eastAsia="Calibri"/>
          <w:color w:val="000000"/>
          <w:sz w:val="22"/>
          <w:szCs w:val="22"/>
          <w:lang w:eastAsia="es-UY"/>
        </w:rPr>
        <w:t>will</w:t>
      </w:r>
      <w:proofErr w:type="spellEnd"/>
      <w:r>
        <w:rPr>
          <w:rFonts w:eastAsia="Calibri"/>
          <w:color w:val="000000"/>
          <w:sz w:val="22"/>
          <w:szCs w:val="22"/>
          <w:lang w:eastAsia="es-UY"/>
        </w:rPr>
        <w:t xml:space="preserve"> </w:t>
      </w:r>
      <w:proofErr w:type="spellStart"/>
      <w:r>
        <w:rPr>
          <w:rFonts w:eastAsia="Calibri"/>
          <w:color w:val="000000"/>
          <w:sz w:val="22"/>
          <w:szCs w:val="22"/>
          <w:lang w:eastAsia="es-UY"/>
        </w:rPr>
        <w:t>carry</w:t>
      </w:r>
      <w:proofErr w:type="spellEnd"/>
      <w:r>
        <w:rPr>
          <w:rFonts w:eastAsia="Calibri"/>
          <w:color w:val="000000"/>
          <w:sz w:val="22"/>
          <w:szCs w:val="22"/>
          <w:lang w:eastAsia="es-UY"/>
        </w:rPr>
        <w:t xml:space="preserve"> </w:t>
      </w:r>
      <w:proofErr w:type="spellStart"/>
      <w:r>
        <w:rPr>
          <w:rFonts w:eastAsia="Calibri"/>
          <w:color w:val="000000"/>
          <w:sz w:val="22"/>
          <w:szCs w:val="22"/>
          <w:lang w:eastAsia="es-UY"/>
        </w:rPr>
        <w:t>out</w:t>
      </w:r>
      <w:proofErr w:type="spellEnd"/>
      <w:r>
        <w:rPr>
          <w:rFonts w:eastAsia="Calibri"/>
          <w:color w:val="000000"/>
          <w:sz w:val="22"/>
          <w:szCs w:val="22"/>
          <w:lang w:eastAsia="es-UY"/>
        </w:rPr>
        <w:t xml:space="preserve"> </w:t>
      </w:r>
      <w:proofErr w:type="spellStart"/>
      <w:r>
        <w:rPr>
          <w:rFonts w:eastAsia="Calibri"/>
          <w:color w:val="000000"/>
          <w:sz w:val="22"/>
          <w:szCs w:val="22"/>
          <w:lang w:eastAsia="es-UY"/>
        </w:rPr>
        <w:t>the</w:t>
      </w:r>
      <w:proofErr w:type="spellEnd"/>
      <w:r>
        <w:rPr>
          <w:rFonts w:eastAsia="Calibri"/>
          <w:color w:val="000000"/>
          <w:sz w:val="22"/>
          <w:szCs w:val="22"/>
          <w:lang w:eastAsia="es-UY"/>
        </w:rPr>
        <w:t xml:space="preserve"> </w:t>
      </w:r>
      <w:proofErr w:type="spellStart"/>
      <w:r>
        <w:rPr>
          <w:rFonts w:eastAsia="Calibri"/>
          <w:color w:val="000000"/>
          <w:sz w:val="22"/>
          <w:szCs w:val="22"/>
          <w:lang w:eastAsia="es-UY"/>
        </w:rPr>
        <w:t>corresponding</w:t>
      </w:r>
      <w:proofErr w:type="spellEnd"/>
      <w:r>
        <w:rPr>
          <w:rFonts w:eastAsia="Calibri"/>
          <w:color w:val="000000"/>
          <w:sz w:val="22"/>
          <w:szCs w:val="22"/>
          <w:lang w:eastAsia="es-UY"/>
        </w:rPr>
        <w:t xml:space="preserve"> </w:t>
      </w:r>
      <w:proofErr w:type="spellStart"/>
      <w:r>
        <w:rPr>
          <w:rFonts w:eastAsia="Calibri"/>
          <w:color w:val="000000"/>
          <w:sz w:val="22"/>
          <w:szCs w:val="22"/>
          <w:lang w:eastAsia="es-UY"/>
        </w:rPr>
        <w:t>closure</w:t>
      </w:r>
      <w:proofErr w:type="spellEnd"/>
      <w:r>
        <w:rPr>
          <w:rFonts w:eastAsia="Calibri"/>
          <w:color w:val="000000"/>
          <w:sz w:val="22"/>
          <w:szCs w:val="22"/>
          <w:lang w:eastAsia="es-UY"/>
        </w:rPr>
        <w:t xml:space="preserve"> </w:t>
      </w:r>
      <w:proofErr w:type="spellStart"/>
      <w:r>
        <w:rPr>
          <w:rFonts w:eastAsia="Calibri"/>
          <w:color w:val="000000"/>
          <w:sz w:val="22"/>
          <w:szCs w:val="22"/>
          <w:lang w:eastAsia="es-UY"/>
        </w:rPr>
        <w:t>with</w:t>
      </w:r>
      <w:proofErr w:type="spellEnd"/>
      <w:r>
        <w:rPr>
          <w:rFonts w:eastAsia="Calibri"/>
          <w:color w:val="000000"/>
          <w:sz w:val="22"/>
          <w:szCs w:val="22"/>
          <w:lang w:eastAsia="es-UY"/>
        </w:rPr>
        <w:t xml:space="preserve"> </w:t>
      </w:r>
      <w:proofErr w:type="spellStart"/>
      <w:r>
        <w:rPr>
          <w:rFonts w:eastAsia="Calibri"/>
          <w:color w:val="000000"/>
          <w:sz w:val="22"/>
          <w:szCs w:val="22"/>
          <w:lang w:eastAsia="es-UY"/>
        </w:rPr>
        <w:t>the</w:t>
      </w:r>
      <w:proofErr w:type="spellEnd"/>
      <w:r>
        <w:rPr>
          <w:rFonts w:eastAsia="Calibri"/>
          <w:color w:val="000000"/>
          <w:sz w:val="22"/>
          <w:szCs w:val="22"/>
          <w:lang w:eastAsia="es-UY"/>
        </w:rPr>
        <w:t xml:space="preserve"> Social Security Bank </w:t>
      </w:r>
      <w:proofErr w:type="spellStart"/>
      <w:r>
        <w:rPr>
          <w:rFonts w:eastAsia="Calibri"/>
          <w:color w:val="000000"/>
          <w:sz w:val="22"/>
          <w:szCs w:val="22"/>
          <w:lang w:eastAsia="es-UY"/>
        </w:rPr>
        <w:t>where</w:t>
      </w:r>
      <w:proofErr w:type="spellEnd"/>
      <w:r>
        <w:rPr>
          <w:rFonts w:eastAsia="Calibri"/>
          <w:color w:val="000000"/>
          <w:sz w:val="22"/>
          <w:szCs w:val="22"/>
          <w:lang w:eastAsia="es-UY"/>
        </w:rPr>
        <w:t xml:space="preserve"> </w:t>
      </w:r>
      <w:proofErr w:type="spellStart"/>
      <w:r>
        <w:rPr>
          <w:rFonts w:eastAsia="Calibri"/>
          <w:color w:val="000000"/>
          <w:sz w:val="22"/>
          <w:szCs w:val="22"/>
          <w:lang w:eastAsia="es-UY"/>
        </w:rPr>
        <w:t>applicable</w:t>
      </w:r>
      <w:proofErr w:type="spellEnd"/>
      <w:r>
        <w:rPr>
          <w:rFonts w:eastAsia="Calibri"/>
          <w:color w:val="000000"/>
          <w:sz w:val="22"/>
          <w:szCs w:val="22"/>
          <w:lang w:eastAsia="es-UY"/>
        </w:rPr>
        <w:t>.</w:t>
      </w:r>
    </w:p>
    <w:p w14:paraId="2F375379" w14:textId="77777777" w:rsidR="00E255F4" w:rsidRDefault="00000000">
      <w:pPr>
        <w:pStyle w:val="Default"/>
        <w:spacing w:line="360" w:lineRule="auto"/>
        <w:jc w:val="both"/>
      </w:pPr>
      <w:r>
        <w:rPr>
          <w:rFonts w:ascii="Times New Roman" w:hAnsi="Times New Roman" w:cs="Times New Roman"/>
          <w:sz w:val="22"/>
          <w:szCs w:val="22"/>
          <w:lang w:val="es-UY" w:eastAsia="es-UY"/>
        </w:rPr>
        <w:t xml:space="preserve">12) The </w:t>
      </w:r>
      <w:proofErr w:type="spellStart"/>
      <w:r>
        <w:rPr>
          <w:rFonts w:ascii="Times New Roman" w:hAnsi="Times New Roman" w:cs="Times New Roman"/>
          <w:sz w:val="22"/>
          <w:szCs w:val="22"/>
          <w:lang w:val="es-UY" w:eastAsia="es-UY"/>
        </w:rPr>
        <w:t>authentic</w:t>
      </w:r>
      <w:proofErr w:type="spellEnd"/>
      <w:r>
        <w:rPr>
          <w:rFonts w:ascii="Times New Roman" w:hAnsi="Times New Roman" w:cs="Times New Roman"/>
          <w:sz w:val="22"/>
          <w:szCs w:val="22"/>
          <w:lang w:val="es-UY" w:eastAsia="es-UY"/>
        </w:rPr>
        <w:t xml:space="preserve"> </w:t>
      </w:r>
      <w:proofErr w:type="spellStart"/>
      <w:r>
        <w:rPr>
          <w:rFonts w:ascii="Times New Roman" w:hAnsi="Times New Roman" w:cs="Times New Roman"/>
          <w:sz w:val="22"/>
          <w:szCs w:val="22"/>
          <w:lang w:val="es-UY" w:eastAsia="es-UY"/>
        </w:rPr>
        <w:t>photocopy</w:t>
      </w:r>
      <w:proofErr w:type="spellEnd"/>
      <w:r>
        <w:rPr>
          <w:rFonts w:ascii="Times New Roman" w:hAnsi="Times New Roman" w:cs="Times New Roman"/>
          <w:sz w:val="22"/>
          <w:szCs w:val="22"/>
          <w:lang w:val="es-UY" w:eastAsia="es-UY"/>
        </w:rPr>
        <w:t xml:space="preserve"> </w:t>
      </w:r>
      <w:proofErr w:type="spellStart"/>
      <w:r>
        <w:rPr>
          <w:rFonts w:ascii="Times New Roman" w:hAnsi="Times New Roman" w:cs="Times New Roman"/>
          <w:sz w:val="22"/>
          <w:szCs w:val="22"/>
          <w:lang w:val="es-UY" w:eastAsia="es-UY"/>
        </w:rPr>
        <w:t>of</w:t>
      </w:r>
      <w:proofErr w:type="spellEnd"/>
      <w:r>
        <w:rPr>
          <w:rFonts w:ascii="Times New Roman" w:hAnsi="Times New Roman" w:cs="Times New Roman"/>
          <w:sz w:val="22"/>
          <w:szCs w:val="22"/>
          <w:lang w:val="es-UY" w:eastAsia="es-UY"/>
        </w:rPr>
        <w:t xml:space="preserve"> </w:t>
      </w:r>
      <w:proofErr w:type="spellStart"/>
      <w:r>
        <w:rPr>
          <w:rFonts w:ascii="Times New Roman" w:hAnsi="Times New Roman" w:cs="Times New Roman"/>
          <w:sz w:val="22"/>
          <w:szCs w:val="22"/>
          <w:lang w:val="es-UY" w:eastAsia="es-UY"/>
        </w:rPr>
        <w:t>the</w:t>
      </w:r>
      <w:proofErr w:type="spellEnd"/>
      <w:r>
        <w:rPr>
          <w:rFonts w:ascii="Times New Roman" w:hAnsi="Times New Roman" w:cs="Times New Roman"/>
          <w:sz w:val="22"/>
          <w:szCs w:val="22"/>
          <w:lang w:val="es-UY" w:eastAsia="es-UY"/>
        </w:rPr>
        <w:t xml:space="preserve"> </w:t>
      </w:r>
      <w:proofErr w:type="spellStart"/>
      <w:r>
        <w:rPr>
          <w:rFonts w:ascii="Times New Roman" w:hAnsi="Times New Roman" w:cs="Times New Roman"/>
          <w:sz w:val="22"/>
          <w:szCs w:val="22"/>
          <w:lang w:val="es-UY" w:eastAsia="es-UY"/>
        </w:rPr>
        <w:t>work</w:t>
      </w:r>
      <w:proofErr w:type="spellEnd"/>
      <w:r>
        <w:rPr>
          <w:rFonts w:ascii="Times New Roman" w:hAnsi="Times New Roman" w:cs="Times New Roman"/>
          <w:sz w:val="22"/>
          <w:szCs w:val="22"/>
          <w:lang w:val="es-UY" w:eastAsia="es-UY"/>
        </w:rPr>
        <w:t xml:space="preserve"> </w:t>
      </w:r>
      <w:proofErr w:type="spellStart"/>
      <w:r>
        <w:rPr>
          <w:rFonts w:ascii="Times New Roman" w:hAnsi="Times New Roman" w:cs="Times New Roman"/>
          <w:sz w:val="22"/>
          <w:szCs w:val="22"/>
          <w:lang w:val="es-UY" w:eastAsia="es-UY"/>
        </w:rPr>
        <w:t>schedule</w:t>
      </w:r>
      <w:proofErr w:type="spellEnd"/>
      <w:r>
        <w:rPr>
          <w:rFonts w:ascii="Times New Roman" w:hAnsi="Times New Roman" w:cs="Times New Roman"/>
          <w:sz w:val="22"/>
          <w:szCs w:val="22"/>
          <w:lang w:val="es-UY" w:eastAsia="es-UY"/>
        </w:rPr>
        <w:t xml:space="preserve"> </w:t>
      </w:r>
      <w:proofErr w:type="spellStart"/>
      <w:r>
        <w:rPr>
          <w:rFonts w:ascii="Times New Roman" w:hAnsi="Times New Roman" w:cs="Times New Roman"/>
          <w:sz w:val="22"/>
          <w:szCs w:val="22"/>
          <w:lang w:val="es-UY" w:eastAsia="es-UY"/>
        </w:rPr>
        <w:t>we</w:t>
      </w:r>
      <w:proofErr w:type="spellEnd"/>
      <w:r>
        <w:rPr>
          <w:rFonts w:ascii="Times New Roman" w:hAnsi="Times New Roman" w:cs="Times New Roman"/>
          <w:sz w:val="22"/>
          <w:szCs w:val="22"/>
          <w:lang w:val="es-UY" w:eastAsia="es-UY"/>
        </w:rPr>
        <w:t xml:space="preserve"> are </w:t>
      </w:r>
      <w:proofErr w:type="spellStart"/>
      <w:r>
        <w:rPr>
          <w:rFonts w:ascii="Times New Roman" w:hAnsi="Times New Roman" w:cs="Times New Roman"/>
          <w:sz w:val="22"/>
          <w:szCs w:val="22"/>
          <w:lang w:val="es-UY" w:eastAsia="es-UY"/>
        </w:rPr>
        <w:t>submitting</w:t>
      </w:r>
      <w:proofErr w:type="spellEnd"/>
      <w:r>
        <w:rPr>
          <w:rFonts w:ascii="Times New Roman" w:hAnsi="Times New Roman" w:cs="Times New Roman"/>
          <w:sz w:val="22"/>
          <w:szCs w:val="22"/>
          <w:lang w:val="es-UY" w:eastAsia="es-UY"/>
        </w:rPr>
        <w:t xml:space="preserve"> </w:t>
      </w:r>
      <w:proofErr w:type="spellStart"/>
      <w:r>
        <w:rPr>
          <w:rFonts w:ascii="Times New Roman" w:hAnsi="Times New Roman" w:cs="Times New Roman"/>
          <w:sz w:val="22"/>
          <w:szCs w:val="22"/>
          <w:lang w:val="es-UY" w:eastAsia="es-UY"/>
        </w:rPr>
        <w:t>includes</w:t>
      </w:r>
      <w:proofErr w:type="spellEnd"/>
      <w:r>
        <w:rPr>
          <w:rFonts w:ascii="Times New Roman" w:hAnsi="Times New Roman" w:cs="Times New Roman"/>
          <w:sz w:val="22"/>
          <w:szCs w:val="22"/>
          <w:lang w:val="es-UY" w:eastAsia="es-UY"/>
        </w:rPr>
        <w:t xml:space="preserve"> </w:t>
      </w:r>
      <w:proofErr w:type="spellStart"/>
      <w:r>
        <w:rPr>
          <w:rFonts w:ascii="Times New Roman" w:hAnsi="Times New Roman" w:cs="Times New Roman"/>
          <w:sz w:val="22"/>
          <w:szCs w:val="22"/>
          <w:lang w:val="es-UY" w:eastAsia="es-UY"/>
        </w:rPr>
        <w:t>all</w:t>
      </w:r>
      <w:proofErr w:type="spellEnd"/>
      <w:r>
        <w:rPr>
          <w:rFonts w:ascii="Times New Roman" w:hAnsi="Times New Roman" w:cs="Times New Roman"/>
          <w:sz w:val="22"/>
          <w:szCs w:val="22"/>
          <w:lang w:val="es-UY" w:eastAsia="es-UY"/>
        </w:rPr>
        <w:t xml:space="preserve"> </w:t>
      </w:r>
      <w:proofErr w:type="spellStart"/>
      <w:r>
        <w:rPr>
          <w:rFonts w:ascii="Times New Roman" w:hAnsi="Times New Roman" w:cs="Times New Roman"/>
          <w:sz w:val="22"/>
          <w:szCs w:val="22"/>
          <w:lang w:val="es-UY" w:eastAsia="es-UY"/>
        </w:rPr>
        <w:t>personnel</w:t>
      </w:r>
      <w:proofErr w:type="spellEnd"/>
      <w:r>
        <w:rPr>
          <w:rFonts w:ascii="Times New Roman" w:hAnsi="Times New Roman" w:cs="Times New Roman"/>
          <w:sz w:val="22"/>
          <w:szCs w:val="22"/>
          <w:lang w:val="es-UY" w:eastAsia="es-UY"/>
        </w:rPr>
        <w:t xml:space="preserve"> </w:t>
      </w:r>
      <w:proofErr w:type="spellStart"/>
      <w:r>
        <w:rPr>
          <w:rFonts w:ascii="Times New Roman" w:hAnsi="Times New Roman" w:cs="Times New Roman"/>
          <w:sz w:val="22"/>
          <w:szCs w:val="22"/>
          <w:lang w:val="es-UY" w:eastAsia="es-UY"/>
        </w:rPr>
        <w:t>assigned</w:t>
      </w:r>
      <w:proofErr w:type="spellEnd"/>
      <w:r>
        <w:rPr>
          <w:rFonts w:ascii="Times New Roman" w:hAnsi="Times New Roman" w:cs="Times New Roman"/>
          <w:sz w:val="22"/>
          <w:szCs w:val="22"/>
          <w:lang w:val="es-UY" w:eastAsia="es-UY"/>
        </w:rPr>
        <w:t xml:space="preserve"> </w:t>
      </w:r>
      <w:proofErr w:type="spellStart"/>
      <w:r>
        <w:rPr>
          <w:rFonts w:ascii="Times New Roman" w:hAnsi="Times New Roman" w:cs="Times New Roman"/>
          <w:sz w:val="22"/>
          <w:szCs w:val="22"/>
          <w:lang w:val="es-UY" w:eastAsia="es-UY"/>
        </w:rPr>
        <w:t>to</w:t>
      </w:r>
      <w:proofErr w:type="spellEnd"/>
      <w:r>
        <w:rPr>
          <w:rFonts w:ascii="Times New Roman" w:hAnsi="Times New Roman" w:cs="Times New Roman"/>
          <w:sz w:val="22"/>
          <w:szCs w:val="22"/>
          <w:lang w:val="es-UY" w:eastAsia="es-UY"/>
        </w:rPr>
        <w:t xml:space="preserve"> </w:t>
      </w:r>
      <w:proofErr w:type="spellStart"/>
      <w:r>
        <w:rPr>
          <w:rFonts w:ascii="Times New Roman" w:hAnsi="Times New Roman" w:cs="Times New Roman"/>
          <w:sz w:val="22"/>
          <w:szCs w:val="22"/>
          <w:lang w:val="es-UY" w:eastAsia="es-UY"/>
        </w:rPr>
        <w:t>the</w:t>
      </w:r>
      <w:proofErr w:type="spellEnd"/>
      <w:r>
        <w:rPr>
          <w:rFonts w:ascii="Times New Roman" w:hAnsi="Times New Roman" w:cs="Times New Roman"/>
          <w:sz w:val="22"/>
          <w:szCs w:val="22"/>
          <w:lang w:val="es-UY" w:eastAsia="es-UY"/>
        </w:rPr>
        <w:t xml:space="preserve"> </w:t>
      </w:r>
      <w:proofErr w:type="spellStart"/>
      <w:r>
        <w:rPr>
          <w:rFonts w:ascii="Times New Roman" w:hAnsi="Times New Roman" w:cs="Times New Roman"/>
          <w:sz w:val="22"/>
          <w:szCs w:val="22"/>
          <w:lang w:val="es-UY" w:eastAsia="es-UY"/>
        </w:rPr>
        <w:t>aforementioned</w:t>
      </w:r>
      <w:proofErr w:type="spellEnd"/>
      <w:r>
        <w:rPr>
          <w:rFonts w:ascii="Times New Roman" w:hAnsi="Times New Roman" w:cs="Times New Roman"/>
          <w:sz w:val="22"/>
          <w:szCs w:val="22"/>
          <w:lang w:val="es-UY" w:eastAsia="es-UY"/>
        </w:rPr>
        <w:t xml:space="preserve"> </w:t>
      </w:r>
      <w:proofErr w:type="spellStart"/>
      <w:r>
        <w:rPr>
          <w:rFonts w:ascii="Times New Roman" w:hAnsi="Times New Roman" w:cs="Times New Roman"/>
          <w:sz w:val="22"/>
          <w:szCs w:val="22"/>
          <w:lang w:val="es-UY" w:eastAsia="es-UY"/>
        </w:rPr>
        <w:t>tasks</w:t>
      </w:r>
      <w:proofErr w:type="spellEnd"/>
      <w:r>
        <w:rPr>
          <w:rFonts w:ascii="Times New Roman" w:hAnsi="Times New Roman" w:cs="Times New Roman"/>
          <w:sz w:val="22"/>
          <w:szCs w:val="22"/>
          <w:lang w:val="es-UY" w:eastAsia="es-UY"/>
        </w:rPr>
        <w:t xml:space="preserve">, and </w:t>
      </w:r>
      <w:proofErr w:type="spellStart"/>
      <w:r>
        <w:rPr>
          <w:rFonts w:ascii="Times New Roman" w:hAnsi="Times New Roman" w:cs="Times New Roman"/>
          <w:sz w:val="22"/>
          <w:szCs w:val="22"/>
          <w:lang w:val="es-UY" w:eastAsia="es-UY"/>
        </w:rPr>
        <w:t>we</w:t>
      </w:r>
      <w:proofErr w:type="spellEnd"/>
      <w:r>
        <w:rPr>
          <w:rFonts w:ascii="Times New Roman" w:hAnsi="Times New Roman" w:cs="Times New Roman"/>
          <w:sz w:val="22"/>
          <w:szCs w:val="22"/>
          <w:lang w:val="es-UY" w:eastAsia="es-UY"/>
        </w:rPr>
        <w:t xml:space="preserve"> </w:t>
      </w:r>
      <w:proofErr w:type="spellStart"/>
      <w:r>
        <w:rPr>
          <w:rFonts w:ascii="Times New Roman" w:hAnsi="Times New Roman" w:cs="Times New Roman"/>
          <w:sz w:val="22"/>
          <w:szCs w:val="22"/>
          <w:lang w:val="es-UY" w:eastAsia="es-UY"/>
        </w:rPr>
        <w:t>undertake</w:t>
      </w:r>
      <w:proofErr w:type="spellEnd"/>
      <w:r>
        <w:rPr>
          <w:rFonts w:ascii="Times New Roman" w:hAnsi="Times New Roman" w:cs="Times New Roman"/>
          <w:sz w:val="22"/>
          <w:szCs w:val="22"/>
          <w:lang w:val="es-UY" w:eastAsia="es-UY"/>
        </w:rPr>
        <w:t xml:space="preserve"> </w:t>
      </w:r>
      <w:proofErr w:type="spellStart"/>
      <w:r>
        <w:rPr>
          <w:rFonts w:ascii="Times New Roman" w:hAnsi="Times New Roman" w:cs="Times New Roman"/>
          <w:sz w:val="22"/>
          <w:szCs w:val="22"/>
          <w:lang w:val="es-UY" w:eastAsia="es-UY"/>
        </w:rPr>
        <w:t>to</w:t>
      </w:r>
      <w:proofErr w:type="spellEnd"/>
      <w:r>
        <w:rPr>
          <w:rFonts w:ascii="Times New Roman" w:hAnsi="Times New Roman" w:cs="Times New Roman"/>
          <w:sz w:val="22"/>
          <w:szCs w:val="22"/>
          <w:lang w:val="es-UY" w:eastAsia="es-UY"/>
        </w:rPr>
        <w:t xml:space="preserve"> </w:t>
      </w:r>
      <w:proofErr w:type="spellStart"/>
      <w:r>
        <w:rPr>
          <w:rFonts w:ascii="Times New Roman" w:hAnsi="Times New Roman" w:cs="Times New Roman"/>
          <w:sz w:val="22"/>
          <w:szCs w:val="22"/>
          <w:lang w:val="es-UY" w:eastAsia="es-UY"/>
        </w:rPr>
        <w:t>immediately</w:t>
      </w:r>
      <w:proofErr w:type="spellEnd"/>
      <w:r>
        <w:rPr>
          <w:rFonts w:ascii="Times New Roman" w:hAnsi="Times New Roman" w:cs="Times New Roman"/>
          <w:sz w:val="22"/>
          <w:szCs w:val="22"/>
          <w:lang w:val="es-UY" w:eastAsia="es-UY"/>
        </w:rPr>
        <w:t xml:space="preserve"> and </w:t>
      </w:r>
      <w:proofErr w:type="spellStart"/>
      <w:r>
        <w:rPr>
          <w:rFonts w:ascii="Times New Roman" w:hAnsi="Times New Roman" w:cs="Times New Roman"/>
          <w:sz w:val="22"/>
          <w:szCs w:val="22"/>
          <w:lang w:val="es-UY" w:eastAsia="es-UY"/>
        </w:rPr>
        <w:t>reliably</w:t>
      </w:r>
      <w:proofErr w:type="spellEnd"/>
      <w:r>
        <w:rPr>
          <w:rFonts w:ascii="Times New Roman" w:hAnsi="Times New Roman" w:cs="Times New Roman"/>
          <w:sz w:val="22"/>
          <w:szCs w:val="22"/>
          <w:lang w:val="es-UY" w:eastAsia="es-UY"/>
        </w:rPr>
        <w:t xml:space="preserve"> </w:t>
      </w:r>
      <w:proofErr w:type="spellStart"/>
      <w:r>
        <w:rPr>
          <w:rFonts w:ascii="Times New Roman" w:hAnsi="Times New Roman" w:cs="Times New Roman"/>
          <w:sz w:val="22"/>
          <w:szCs w:val="22"/>
          <w:lang w:val="es-UY" w:eastAsia="es-UY"/>
        </w:rPr>
        <w:t>notify</w:t>
      </w:r>
      <w:proofErr w:type="spellEnd"/>
      <w:r>
        <w:rPr>
          <w:rFonts w:ascii="Times New Roman" w:hAnsi="Times New Roman" w:cs="Times New Roman"/>
          <w:sz w:val="22"/>
          <w:szCs w:val="22"/>
          <w:lang w:val="es-UY" w:eastAsia="es-UY"/>
        </w:rPr>
        <w:t xml:space="preserve"> OSE </w:t>
      </w:r>
      <w:proofErr w:type="spellStart"/>
      <w:r>
        <w:rPr>
          <w:rFonts w:ascii="Times New Roman" w:hAnsi="Times New Roman" w:cs="Times New Roman"/>
          <w:sz w:val="22"/>
          <w:szCs w:val="22"/>
          <w:lang w:val="es-UY" w:eastAsia="es-UY"/>
        </w:rPr>
        <w:t>of</w:t>
      </w:r>
      <w:proofErr w:type="spellEnd"/>
      <w:r>
        <w:rPr>
          <w:rFonts w:ascii="Times New Roman" w:hAnsi="Times New Roman" w:cs="Times New Roman"/>
          <w:sz w:val="22"/>
          <w:szCs w:val="22"/>
          <w:lang w:val="es-UY" w:eastAsia="es-UY"/>
        </w:rPr>
        <w:t xml:space="preserve"> </w:t>
      </w:r>
      <w:proofErr w:type="spellStart"/>
      <w:r>
        <w:rPr>
          <w:rFonts w:ascii="Times New Roman" w:hAnsi="Times New Roman" w:cs="Times New Roman"/>
          <w:sz w:val="22"/>
          <w:szCs w:val="22"/>
          <w:lang w:val="es-UY" w:eastAsia="es-UY"/>
        </w:rPr>
        <w:t>any</w:t>
      </w:r>
      <w:proofErr w:type="spellEnd"/>
      <w:r>
        <w:rPr>
          <w:rFonts w:ascii="Times New Roman" w:hAnsi="Times New Roman" w:cs="Times New Roman"/>
          <w:sz w:val="22"/>
          <w:szCs w:val="22"/>
          <w:lang w:val="es-UY" w:eastAsia="es-UY"/>
        </w:rPr>
        <w:t xml:space="preserve"> </w:t>
      </w:r>
      <w:proofErr w:type="spellStart"/>
      <w:r>
        <w:rPr>
          <w:rFonts w:ascii="Times New Roman" w:hAnsi="Times New Roman" w:cs="Times New Roman"/>
          <w:sz w:val="22"/>
          <w:szCs w:val="22"/>
          <w:lang w:val="es-UY" w:eastAsia="es-UY"/>
        </w:rPr>
        <w:t>changes</w:t>
      </w:r>
      <w:proofErr w:type="spellEnd"/>
      <w:r>
        <w:rPr>
          <w:rFonts w:ascii="Times New Roman" w:hAnsi="Times New Roman" w:cs="Times New Roman"/>
          <w:sz w:val="22"/>
          <w:szCs w:val="22"/>
          <w:lang w:val="es-UY" w:eastAsia="es-UY"/>
        </w:rPr>
        <w:t xml:space="preserve"> </w:t>
      </w:r>
      <w:proofErr w:type="spellStart"/>
      <w:r>
        <w:rPr>
          <w:rFonts w:ascii="Times New Roman" w:hAnsi="Times New Roman" w:cs="Times New Roman"/>
          <w:sz w:val="22"/>
          <w:szCs w:val="22"/>
          <w:lang w:val="es-UY" w:eastAsia="es-UY"/>
        </w:rPr>
        <w:lastRenderedPageBreak/>
        <w:t>due</w:t>
      </w:r>
      <w:proofErr w:type="spellEnd"/>
      <w:r>
        <w:rPr>
          <w:rFonts w:ascii="Times New Roman" w:hAnsi="Times New Roman" w:cs="Times New Roman"/>
          <w:sz w:val="22"/>
          <w:szCs w:val="22"/>
          <w:lang w:val="es-UY" w:eastAsia="es-UY"/>
        </w:rPr>
        <w:t xml:space="preserve"> </w:t>
      </w:r>
      <w:proofErr w:type="spellStart"/>
      <w:r>
        <w:rPr>
          <w:rFonts w:ascii="Times New Roman" w:hAnsi="Times New Roman" w:cs="Times New Roman"/>
          <w:sz w:val="22"/>
          <w:szCs w:val="22"/>
          <w:lang w:val="es-UY" w:eastAsia="es-UY"/>
        </w:rPr>
        <w:t>to</w:t>
      </w:r>
      <w:proofErr w:type="spellEnd"/>
      <w:r>
        <w:rPr>
          <w:rFonts w:ascii="Times New Roman" w:hAnsi="Times New Roman" w:cs="Times New Roman"/>
          <w:sz w:val="22"/>
          <w:szCs w:val="22"/>
          <w:lang w:val="es-UY" w:eastAsia="es-UY"/>
        </w:rPr>
        <w:t xml:space="preserve"> </w:t>
      </w:r>
      <w:proofErr w:type="spellStart"/>
      <w:r>
        <w:rPr>
          <w:rFonts w:ascii="Times New Roman" w:hAnsi="Times New Roman" w:cs="Times New Roman"/>
          <w:sz w:val="22"/>
          <w:szCs w:val="22"/>
          <w:lang w:val="es-UY" w:eastAsia="es-UY"/>
        </w:rPr>
        <w:t>additions</w:t>
      </w:r>
      <w:proofErr w:type="spellEnd"/>
      <w:r>
        <w:rPr>
          <w:rFonts w:ascii="Times New Roman" w:hAnsi="Times New Roman" w:cs="Times New Roman"/>
          <w:sz w:val="22"/>
          <w:szCs w:val="22"/>
          <w:lang w:val="es-UY" w:eastAsia="es-UY"/>
        </w:rPr>
        <w:t xml:space="preserve"> </w:t>
      </w:r>
      <w:proofErr w:type="spellStart"/>
      <w:r>
        <w:rPr>
          <w:rFonts w:ascii="Times New Roman" w:hAnsi="Times New Roman" w:cs="Times New Roman"/>
          <w:sz w:val="22"/>
          <w:szCs w:val="22"/>
          <w:lang w:val="es-UY" w:eastAsia="es-UY"/>
        </w:rPr>
        <w:t>or</w:t>
      </w:r>
      <w:proofErr w:type="spellEnd"/>
      <w:r>
        <w:rPr>
          <w:rFonts w:ascii="Times New Roman" w:hAnsi="Times New Roman" w:cs="Times New Roman"/>
          <w:sz w:val="22"/>
          <w:szCs w:val="22"/>
          <w:lang w:val="es-UY" w:eastAsia="es-UY"/>
        </w:rPr>
        <w:t xml:space="preserve"> </w:t>
      </w:r>
      <w:proofErr w:type="spellStart"/>
      <w:r>
        <w:rPr>
          <w:rFonts w:ascii="Times New Roman" w:hAnsi="Times New Roman" w:cs="Times New Roman"/>
          <w:sz w:val="22"/>
          <w:szCs w:val="22"/>
          <w:lang w:val="es-UY" w:eastAsia="es-UY"/>
        </w:rPr>
        <w:t>removals</w:t>
      </w:r>
      <w:proofErr w:type="spellEnd"/>
      <w:r>
        <w:rPr>
          <w:rFonts w:ascii="Times New Roman" w:hAnsi="Times New Roman" w:cs="Times New Roman"/>
          <w:sz w:val="22"/>
          <w:szCs w:val="22"/>
          <w:lang w:val="es-UY" w:eastAsia="es-UY"/>
        </w:rPr>
        <w:t xml:space="preserve">. </w:t>
      </w:r>
      <w:proofErr w:type="spellStart"/>
      <w:r>
        <w:rPr>
          <w:rFonts w:ascii="Times New Roman" w:hAnsi="Times New Roman" w:cs="Times New Roman"/>
          <w:sz w:val="22"/>
          <w:szCs w:val="22"/>
          <w:lang w:val="es-UY" w:eastAsia="es-UY"/>
        </w:rPr>
        <w:t>Furthermore</w:t>
      </w:r>
      <w:proofErr w:type="spellEnd"/>
      <w:r>
        <w:rPr>
          <w:rFonts w:ascii="Times New Roman" w:hAnsi="Times New Roman" w:cs="Times New Roman"/>
          <w:sz w:val="22"/>
          <w:szCs w:val="22"/>
          <w:lang w:val="es-UY" w:eastAsia="es-UY"/>
        </w:rPr>
        <w:t xml:space="preserve">, </w:t>
      </w:r>
      <w:proofErr w:type="spellStart"/>
      <w:r>
        <w:rPr>
          <w:rFonts w:ascii="Times New Roman" w:hAnsi="Times New Roman" w:cs="Times New Roman"/>
          <w:sz w:val="22"/>
          <w:szCs w:val="22"/>
          <w:lang w:val="es-UY" w:eastAsia="es-UY"/>
        </w:rPr>
        <w:t>we</w:t>
      </w:r>
      <w:proofErr w:type="spellEnd"/>
      <w:r>
        <w:rPr>
          <w:rFonts w:ascii="Times New Roman" w:hAnsi="Times New Roman" w:cs="Times New Roman"/>
          <w:sz w:val="22"/>
          <w:szCs w:val="22"/>
          <w:lang w:val="es-UY" w:eastAsia="es-UY"/>
        </w:rPr>
        <w:t xml:space="preserve"> declare </w:t>
      </w:r>
      <w:proofErr w:type="spellStart"/>
      <w:r>
        <w:rPr>
          <w:rFonts w:ascii="Times New Roman" w:hAnsi="Times New Roman" w:cs="Times New Roman"/>
          <w:sz w:val="22"/>
          <w:szCs w:val="22"/>
          <w:lang w:val="es-UY" w:eastAsia="es-UY"/>
        </w:rPr>
        <w:t>that</w:t>
      </w:r>
      <w:proofErr w:type="spellEnd"/>
      <w:r>
        <w:rPr>
          <w:rFonts w:ascii="Times New Roman" w:hAnsi="Times New Roman" w:cs="Times New Roman"/>
          <w:sz w:val="22"/>
          <w:szCs w:val="22"/>
          <w:lang w:val="es-UY" w:eastAsia="es-UY"/>
        </w:rPr>
        <w:t xml:space="preserve"> </w:t>
      </w:r>
      <w:proofErr w:type="spellStart"/>
      <w:r>
        <w:rPr>
          <w:rFonts w:ascii="Times New Roman" w:hAnsi="Times New Roman" w:cs="Times New Roman"/>
          <w:sz w:val="22"/>
          <w:szCs w:val="22"/>
          <w:lang w:val="es-UY" w:eastAsia="es-UY"/>
        </w:rPr>
        <w:t>we</w:t>
      </w:r>
      <w:proofErr w:type="spellEnd"/>
      <w:r>
        <w:rPr>
          <w:rFonts w:ascii="Times New Roman" w:hAnsi="Times New Roman" w:cs="Times New Roman"/>
          <w:sz w:val="22"/>
          <w:szCs w:val="22"/>
          <w:lang w:val="es-UY" w:eastAsia="es-UY"/>
        </w:rPr>
        <w:t xml:space="preserve"> are </w:t>
      </w:r>
      <w:proofErr w:type="spellStart"/>
      <w:r>
        <w:rPr>
          <w:rFonts w:ascii="Times New Roman" w:hAnsi="Times New Roman" w:cs="Times New Roman"/>
          <w:sz w:val="22"/>
          <w:szCs w:val="22"/>
          <w:lang w:val="es-UY" w:eastAsia="es-UY"/>
        </w:rPr>
        <w:t>aware</w:t>
      </w:r>
      <w:proofErr w:type="spellEnd"/>
      <w:r>
        <w:rPr>
          <w:rFonts w:ascii="Times New Roman" w:hAnsi="Times New Roman" w:cs="Times New Roman"/>
          <w:sz w:val="22"/>
          <w:szCs w:val="22"/>
          <w:lang w:val="es-UY" w:eastAsia="es-UY"/>
        </w:rPr>
        <w:t xml:space="preserve"> </w:t>
      </w:r>
      <w:proofErr w:type="spellStart"/>
      <w:r>
        <w:rPr>
          <w:rFonts w:ascii="Times New Roman" w:hAnsi="Times New Roman" w:cs="Times New Roman"/>
          <w:sz w:val="22"/>
          <w:szCs w:val="22"/>
          <w:lang w:val="es-UY" w:eastAsia="es-UY"/>
        </w:rPr>
        <w:t>of</w:t>
      </w:r>
      <w:proofErr w:type="spellEnd"/>
      <w:r>
        <w:rPr>
          <w:rFonts w:ascii="Times New Roman" w:hAnsi="Times New Roman" w:cs="Times New Roman"/>
          <w:sz w:val="22"/>
          <w:szCs w:val="22"/>
          <w:lang w:val="es-UY" w:eastAsia="es-UY"/>
        </w:rPr>
        <w:t xml:space="preserve"> </w:t>
      </w:r>
      <w:proofErr w:type="spellStart"/>
      <w:r>
        <w:rPr>
          <w:rFonts w:ascii="Times New Roman" w:hAnsi="Times New Roman" w:cs="Times New Roman"/>
          <w:sz w:val="22"/>
          <w:szCs w:val="22"/>
          <w:lang w:val="es-UY" w:eastAsia="es-UY"/>
        </w:rPr>
        <w:t>the</w:t>
      </w:r>
      <w:proofErr w:type="spellEnd"/>
      <w:r>
        <w:rPr>
          <w:rFonts w:ascii="Times New Roman" w:hAnsi="Times New Roman" w:cs="Times New Roman"/>
          <w:sz w:val="22"/>
          <w:szCs w:val="22"/>
          <w:lang w:val="es-UY" w:eastAsia="es-UY"/>
        </w:rPr>
        <w:t xml:space="preserve"> </w:t>
      </w:r>
      <w:proofErr w:type="spellStart"/>
      <w:r>
        <w:rPr>
          <w:rFonts w:ascii="Times New Roman" w:hAnsi="Times New Roman" w:cs="Times New Roman"/>
          <w:sz w:val="22"/>
          <w:szCs w:val="22"/>
          <w:lang w:val="es-UY" w:eastAsia="es-UY"/>
        </w:rPr>
        <w:t>current</w:t>
      </w:r>
      <w:proofErr w:type="spellEnd"/>
      <w:r>
        <w:rPr>
          <w:rFonts w:ascii="Times New Roman" w:hAnsi="Times New Roman" w:cs="Times New Roman"/>
          <w:sz w:val="22"/>
          <w:szCs w:val="22"/>
          <w:lang w:val="es-UY" w:eastAsia="es-UY"/>
        </w:rPr>
        <w:t xml:space="preserve"> </w:t>
      </w:r>
      <w:proofErr w:type="spellStart"/>
      <w:r>
        <w:rPr>
          <w:rFonts w:ascii="Times New Roman" w:hAnsi="Times New Roman" w:cs="Times New Roman"/>
          <w:sz w:val="22"/>
          <w:szCs w:val="22"/>
          <w:lang w:val="es-UY" w:eastAsia="es-UY"/>
        </w:rPr>
        <w:t>regulations</w:t>
      </w:r>
      <w:proofErr w:type="spellEnd"/>
      <w:r>
        <w:rPr>
          <w:rFonts w:ascii="Times New Roman" w:hAnsi="Times New Roman" w:cs="Times New Roman"/>
          <w:sz w:val="22"/>
          <w:szCs w:val="22"/>
          <w:lang w:val="es-UY" w:eastAsia="es-UY"/>
        </w:rPr>
        <w:t xml:space="preserve"> </w:t>
      </w:r>
      <w:proofErr w:type="spellStart"/>
      <w:r>
        <w:rPr>
          <w:rFonts w:ascii="Times New Roman" w:hAnsi="Times New Roman" w:cs="Times New Roman"/>
          <w:sz w:val="22"/>
          <w:szCs w:val="22"/>
          <w:lang w:val="es-UY" w:eastAsia="es-UY"/>
        </w:rPr>
        <w:t>regarding</w:t>
      </w:r>
      <w:proofErr w:type="spellEnd"/>
      <w:r>
        <w:rPr>
          <w:rFonts w:ascii="Times New Roman" w:hAnsi="Times New Roman" w:cs="Times New Roman"/>
          <w:sz w:val="22"/>
          <w:szCs w:val="22"/>
          <w:lang w:val="es-UY" w:eastAsia="es-UY"/>
        </w:rPr>
        <w:t xml:space="preserve"> </w:t>
      </w:r>
      <w:proofErr w:type="spellStart"/>
      <w:r>
        <w:rPr>
          <w:rFonts w:ascii="Times New Roman" w:hAnsi="Times New Roman" w:cs="Times New Roman"/>
          <w:sz w:val="22"/>
          <w:szCs w:val="22"/>
          <w:lang w:val="es-UY" w:eastAsia="es-UY"/>
        </w:rPr>
        <w:t>occupational</w:t>
      </w:r>
      <w:proofErr w:type="spellEnd"/>
      <w:r>
        <w:rPr>
          <w:rFonts w:ascii="Times New Roman" w:hAnsi="Times New Roman" w:cs="Times New Roman"/>
          <w:sz w:val="22"/>
          <w:szCs w:val="22"/>
          <w:lang w:val="es-UY" w:eastAsia="es-UY"/>
        </w:rPr>
        <w:t xml:space="preserve"> safety and </w:t>
      </w:r>
      <w:proofErr w:type="spellStart"/>
      <w:r>
        <w:rPr>
          <w:rFonts w:ascii="Times New Roman" w:hAnsi="Times New Roman" w:cs="Times New Roman"/>
          <w:sz w:val="22"/>
          <w:szCs w:val="22"/>
          <w:lang w:val="es-UY" w:eastAsia="es-UY"/>
        </w:rPr>
        <w:t>health</w:t>
      </w:r>
      <w:proofErr w:type="spellEnd"/>
      <w:r>
        <w:rPr>
          <w:rFonts w:ascii="Times New Roman" w:hAnsi="Times New Roman" w:cs="Times New Roman"/>
          <w:sz w:val="22"/>
          <w:szCs w:val="22"/>
          <w:lang w:val="es-UY" w:eastAsia="es-UY"/>
        </w:rPr>
        <w:t xml:space="preserve"> and Laws Nos. 18099 and 18251 </w:t>
      </w:r>
      <w:proofErr w:type="spellStart"/>
      <w:r>
        <w:rPr>
          <w:rFonts w:ascii="Times New Roman" w:hAnsi="Times New Roman" w:cs="Times New Roman"/>
          <w:sz w:val="22"/>
          <w:szCs w:val="22"/>
          <w:lang w:val="es-UY" w:eastAsia="es-UY"/>
        </w:rPr>
        <w:t>concerning</w:t>
      </w:r>
      <w:proofErr w:type="spellEnd"/>
      <w:r>
        <w:rPr>
          <w:rFonts w:ascii="Times New Roman" w:hAnsi="Times New Roman" w:cs="Times New Roman"/>
          <w:sz w:val="22"/>
          <w:szCs w:val="22"/>
          <w:lang w:val="es-UY" w:eastAsia="es-UY"/>
        </w:rPr>
        <w:t xml:space="preserve"> </w:t>
      </w:r>
      <w:proofErr w:type="spellStart"/>
      <w:r>
        <w:rPr>
          <w:rFonts w:ascii="Times New Roman" w:hAnsi="Times New Roman" w:cs="Times New Roman"/>
          <w:sz w:val="22"/>
          <w:szCs w:val="22"/>
          <w:lang w:val="es-UY" w:eastAsia="es-UY"/>
        </w:rPr>
        <w:t>OSE's</w:t>
      </w:r>
      <w:proofErr w:type="spellEnd"/>
      <w:r>
        <w:rPr>
          <w:rFonts w:ascii="Times New Roman" w:hAnsi="Times New Roman" w:cs="Times New Roman"/>
          <w:sz w:val="22"/>
          <w:szCs w:val="22"/>
          <w:lang w:val="es-UY" w:eastAsia="es-UY"/>
        </w:rPr>
        <w:t xml:space="preserve"> </w:t>
      </w:r>
      <w:proofErr w:type="spellStart"/>
      <w:r>
        <w:rPr>
          <w:rFonts w:ascii="Times New Roman" w:hAnsi="Times New Roman" w:cs="Times New Roman"/>
          <w:sz w:val="22"/>
          <w:szCs w:val="22"/>
          <w:lang w:val="es-UY" w:eastAsia="es-UY"/>
        </w:rPr>
        <w:t>potential</w:t>
      </w:r>
      <w:proofErr w:type="spellEnd"/>
      <w:r>
        <w:rPr>
          <w:rFonts w:ascii="Times New Roman" w:hAnsi="Times New Roman" w:cs="Times New Roman"/>
          <w:sz w:val="22"/>
          <w:szCs w:val="22"/>
          <w:lang w:val="es-UY" w:eastAsia="es-UY"/>
        </w:rPr>
        <w:t xml:space="preserve"> </w:t>
      </w:r>
      <w:proofErr w:type="spellStart"/>
      <w:r>
        <w:rPr>
          <w:rFonts w:ascii="Times New Roman" w:hAnsi="Times New Roman" w:cs="Times New Roman"/>
          <w:sz w:val="22"/>
          <w:szCs w:val="22"/>
          <w:lang w:val="es-UY" w:eastAsia="es-UY"/>
        </w:rPr>
        <w:t>liabilities</w:t>
      </w:r>
      <w:proofErr w:type="spellEnd"/>
      <w:r>
        <w:rPr>
          <w:rFonts w:ascii="Times New Roman" w:hAnsi="Times New Roman" w:cs="Times New Roman"/>
          <w:sz w:val="22"/>
          <w:szCs w:val="22"/>
          <w:lang w:val="es-UY" w:eastAsia="es-UY"/>
        </w:rPr>
        <w:t xml:space="preserve"> </w:t>
      </w:r>
      <w:proofErr w:type="spellStart"/>
      <w:r>
        <w:rPr>
          <w:rFonts w:ascii="Times New Roman" w:hAnsi="Times New Roman" w:cs="Times New Roman"/>
          <w:sz w:val="22"/>
          <w:szCs w:val="22"/>
          <w:lang w:val="es-UY" w:eastAsia="es-UY"/>
        </w:rPr>
        <w:t>towards</w:t>
      </w:r>
      <w:proofErr w:type="spellEnd"/>
      <w:r>
        <w:rPr>
          <w:rFonts w:ascii="Times New Roman" w:hAnsi="Times New Roman" w:cs="Times New Roman"/>
          <w:sz w:val="22"/>
          <w:szCs w:val="22"/>
          <w:lang w:val="es-UY" w:eastAsia="es-UY"/>
        </w:rPr>
        <w:t xml:space="preserve"> </w:t>
      </w:r>
      <w:proofErr w:type="spellStart"/>
      <w:r>
        <w:rPr>
          <w:rFonts w:ascii="Times New Roman" w:hAnsi="Times New Roman" w:cs="Times New Roman"/>
          <w:sz w:val="22"/>
          <w:szCs w:val="22"/>
          <w:lang w:val="es-UY" w:eastAsia="es-UY"/>
        </w:rPr>
        <w:t>our</w:t>
      </w:r>
      <w:proofErr w:type="spellEnd"/>
      <w:r>
        <w:rPr>
          <w:rFonts w:ascii="Times New Roman" w:hAnsi="Times New Roman" w:cs="Times New Roman"/>
          <w:sz w:val="22"/>
          <w:szCs w:val="22"/>
          <w:lang w:val="es-UY" w:eastAsia="es-UY"/>
        </w:rPr>
        <w:t xml:space="preserve"> </w:t>
      </w:r>
      <w:proofErr w:type="spellStart"/>
      <w:r>
        <w:rPr>
          <w:rFonts w:ascii="Times New Roman" w:hAnsi="Times New Roman" w:cs="Times New Roman"/>
          <w:sz w:val="22"/>
          <w:szCs w:val="22"/>
          <w:lang w:val="es-UY" w:eastAsia="es-UY"/>
        </w:rPr>
        <w:t>personnel</w:t>
      </w:r>
      <w:proofErr w:type="spellEnd"/>
      <w:r>
        <w:rPr>
          <w:rFonts w:ascii="Times New Roman" w:hAnsi="Times New Roman" w:cs="Times New Roman"/>
          <w:sz w:val="22"/>
          <w:szCs w:val="22"/>
          <w:lang w:val="es-UY" w:eastAsia="es-UY"/>
        </w:rPr>
        <w:t xml:space="preserve">, </w:t>
      </w:r>
      <w:proofErr w:type="spellStart"/>
      <w:r>
        <w:rPr>
          <w:rFonts w:ascii="Times New Roman" w:hAnsi="Times New Roman" w:cs="Times New Roman"/>
          <w:sz w:val="22"/>
          <w:szCs w:val="22"/>
          <w:lang w:val="es-UY" w:eastAsia="es-UY"/>
        </w:rPr>
        <w:t>committing</w:t>
      </w:r>
      <w:proofErr w:type="spellEnd"/>
      <w:r>
        <w:rPr>
          <w:rFonts w:ascii="Times New Roman" w:hAnsi="Times New Roman" w:cs="Times New Roman"/>
          <w:sz w:val="22"/>
          <w:szCs w:val="22"/>
          <w:lang w:val="es-UY" w:eastAsia="es-UY"/>
        </w:rPr>
        <w:t xml:space="preserve"> </w:t>
      </w:r>
      <w:proofErr w:type="spellStart"/>
      <w:r>
        <w:rPr>
          <w:rFonts w:ascii="Times New Roman" w:hAnsi="Times New Roman" w:cs="Times New Roman"/>
          <w:sz w:val="22"/>
          <w:szCs w:val="22"/>
          <w:lang w:val="es-UY" w:eastAsia="es-UY"/>
        </w:rPr>
        <w:t>ourselves</w:t>
      </w:r>
      <w:proofErr w:type="spellEnd"/>
      <w:r>
        <w:rPr>
          <w:rFonts w:ascii="Times New Roman" w:hAnsi="Times New Roman" w:cs="Times New Roman"/>
          <w:sz w:val="22"/>
          <w:szCs w:val="22"/>
          <w:lang w:val="es-UY" w:eastAsia="es-UY"/>
        </w:rPr>
        <w:t xml:space="preserve"> </w:t>
      </w:r>
      <w:proofErr w:type="spellStart"/>
      <w:r>
        <w:rPr>
          <w:rFonts w:ascii="Times New Roman" w:hAnsi="Times New Roman" w:cs="Times New Roman"/>
          <w:sz w:val="22"/>
          <w:szCs w:val="22"/>
          <w:lang w:val="es-UY" w:eastAsia="es-UY"/>
        </w:rPr>
        <w:t>to</w:t>
      </w:r>
      <w:proofErr w:type="spellEnd"/>
      <w:r>
        <w:rPr>
          <w:rFonts w:ascii="Times New Roman" w:hAnsi="Times New Roman" w:cs="Times New Roman"/>
          <w:sz w:val="22"/>
          <w:szCs w:val="22"/>
          <w:lang w:val="es-UY" w:eastAsia="es-UY"/>
        </w:rPr>
        <w:t xml:space="preserve"> </w:t>
      </w:r>
      <w:proofErr w:type="spellStart"/>
      <w:r>
        <w:rPr>
          <w:rFonts w:ascii="Times New Roman" w:hAnsi="Times New Roman" w:cs="Times New Roman"/>
          <w:sz w:val="22"/>
          <w:szCs w:val="22"/>
          <w:lang w:val="es-UY" w:eastAsia="es-UY"/>
        </w:rPr>
        <w:t>the</w:t>
      </w:r>
      <w:proofErr w:type="spellEnd"/>
      <w:r>
        <w:rPr>
          <w:rFonts w:ascii="Times New Roman" w:hAnsi="Times New Roman" w:cs="Times New Roman"/>
          <w:sz w:val="22"/>
          <w:szCs w:val="22"/>
          <w:lang w:val="es-UY" w:eastAsia="es-UY"/>
        </w:rPr>
        <w:t xml:space="preserve"> </w:t>
      </w:r>
      <w:proofErr w:type="spellStart"/>
      <w:r>
        <w:rPr>
          <w:rFonts w:ascii="Times New Roman" w:hAnsi="Times New Roman" w:cs="Times New Roman"/>
          <w:sz w:val="22"/>
          <w:szCs w:val="22"/>
          <w:lang w:val="es-UY" w:eastAsia="es-UY"/>
        </w:rPr>
        <w:t>faithful</w:t>
      </w:r>
      <w:proofErr w:type="spellEnd"/>
      <w:r>
        <w:rPr>
          <w:rFonts w:ascii="Times New Roman" w:hAnsi="Times New Roman" w:cs="Times New Roman"/>
          <w:sz w:val="22"/>
          <w:szCs w:val="22"/>
          <w:lang w:val="es-UY" w:eastAsia="es-UY"/>
        </w:rPr>
        <w:t xml:space="preserve"> </w:t>
      </w:r>
      <w:proofErr w:type="spellStart"/>
      <w:r>
        <w:rPr>
          <w:rFonts w:ascii="Times New Roman" w:hAnsi="Times New Roman" w:cs="Times New Roman"/>
          <w:sz w:val="22"/>
          <w:szCs w:val="22"/>
          <w:lang w:val="es-UY" w:eastAsia="es-UY"/>
        </w:rPr>
        <w:t>fulfillment</w:t>
      </w:r>
      <w:proofErr w:type="spellEnd"/>
      <w:r>
        <w:rPr>
          <w:rFonts w:ascii="Times New Roman" w:hAnsi="Times New Roman" w:cs="Times New Roman"/>
          <w:sz w:val="22"/>
          <w:szCs w:val="22"/>
          <w:lang w:val="es-UY" w:eastAsia="es-UY"/>
        </w:rPr>
        <w:t xml:space="preserve"> </w:t>
      </w:r>
      <w:proofErr w:type="spellStart"/>
      <w:r>
        <w:rPr>
          <w:rFonts w:ascii="Times New Roman" w:hAnsi="Times New Roman" w:cs="Times New Roman"/>
          <w:sz w:val="22"/>
          <w:szCs w:val="22"/>
          <w:lang w:val="es-UY" w:eastAsia="es-UY"/>
        </w:rPr>
        <w:t>of</w:t>
      </w:r>
      <w:proofErr w:type="spellEnd"/>
      <w:r>
        <w:rPr>
          <w:rFonts w:ascii="Times New Roman" w:hAnsi="Times New Roman" w:cs="Times New Roman"/>
          <w:sz w:val="22"/>
          <w:szCs w:val="22"/>
          <w:lang w:val="es-UY" w:eastAsia="es-UY"/>
        </w:rPr>
        <w:t xml:space="preserve"> </w:t>
      </w:r>
      <w:proofErr w:type="spellStart"/>
      <w:r>
        <w:rPr>
          <w:rFonts w:ascii="Times New Roman" w:hAnsi="Times New Roman" w:cs="Times New Roman"/>
          <w:sz w:val="22"/>
          <w:szCs w:val="22"/>
          <w:lang w:val="es-UY" w:eastAsia="es-UY"/>
        </w:rPr>
        <w:t>all</w:t>
      </w:r>
      <w:proofErr w:type="spellEnd"/>
      <w:r>
        <w:rPr>
          <w:rFonts w:ascii="Times New Roman" w:hAnsi="Times New Roman" w:cs="Times New Roman"/>
          <w:sz w:val="22"/>
          <w:szCs w:val="22"/>
          <w:lang w:val="es-UY" w:eastAsia="es-UY"/>
        </w:rPr>
        <w:t xml:space="preserve"> legal and </w:t>
      </w:r>
      <w:proofErr w:type="spellStart"/>
      <w:r>
        <w:rPr>
          <w:rFonts w:ascii="Times New Roman" w:hAnsi="Times New Roman" w:cs="Times New Roman"/>
          <w:sz w:val="22"/>
          <w:szCs w:val="22"/>
          <w:lang w:val="es-UY" w:eastAsia="es-UY"/>
        </w:rPr>
        <w:t>regulatory</w:t>
      </w:r>
      <w:proofErr w:type="spellEnd"/>
      <w:r>
        <w:rPr>
          <w:rFonts w:ascii="Times New Roman" w:hAnsi="Times New Roman" w:cs="Times New Roman"/>
          <w:sz w:val="22"/>
          <w:szCs w:val="22"/>
          <w:lang w:val="es-UY" w:eastAsia="es-UY"/>
        </w:rPr>
        <w:t xml:space="preserve"> </w:t>
      </w:r>
      <w:proofErr w:type="spellStart"/>
      <w:r>
        <w:rPr>
          <w:rFonts w:ascii="Times New Roman" w:hAnsi="Times New Roman" w:cs="Times New Roman"/>
          <w:sz w:val="22"/>
          <w:szCs w:val="22"/>
          <w:lang w:val="es-UY" w:eastAsia="es-UY"/>
        </w:rPr>
        <w:t>obligations</w:t>
      </w:r>
      <w:proofErr w:type="spellEnd"/>
      <w:r>
        <w:rPr>
          <w:rFonts w:ascii="Times New Roman" w:hAnsi="Times New Roman" w:cs="Times New Roman"/>
          <w:sz w:val="22"/>
          <w:szCs w:val="22"/>
          <w:lang w:val="es-UY" w:eastAsia="es-UY"/>
        </w:rPr>
        <w:t xml:space="preserve">, and </w:t>
      </w:r>
      <w:proofErr w:type="spellStart"/>
      <w:r>
        <w:rPr>
          <w:rFonts w:ascii="Times New Roman" w:hAnsi="Times New Roman" w:cs="Times New Roman"/>
          <w:sz w:val="22"/>
          <w:szCs w:val="22"/>
          <w:lang w:val="es-UY" w:eastAsia="es-UY"/>
        </w:rPr>
        <w:t>assuming</w:t>
      </w:r>
      <w:proofErr w:type="spellEnd"/>
      <w:r>
        <w:rPr>
          <w:rFonts w:ascii="Times New Roman" w:hAnsi="Times New Roman" w:cs="Times New Roman"/>
          <w:sz w:val="22"/>
          <w:szCs w:val="22"/>
          <w:lang w:val="es-UY" w:eastAsia="es-UY"/>
        </w:rPr>
        <w:t xml:space="preserve">, </w:t>
      </w:r>
      <w:proofErr w:type="spellStart"/>
      <w:r>
        <w:rPr>
          <w:rFonts w:ascii="Times New Roman" w:hAnsi="Times New Roman" w:cs="Times New Roman"/>
          <w:sz w:val="22"/>
          <w:szCs w:val="22"/>
          <w:lang w:val="es-UY" w:eastAsia="es-UY"/>
        </w:rPr>
        <w:t>if</w:t>
      </w:r>
      <w:proofErr w:type="spellEnd"/>
      <w:r>
        <w:rPr>
          <w:rFonts w:ascii="Times New Roman" w:hAnsi="Times New Roman" w:cs="Times New Roman"/>
          <w:sz w:val="22"/>
          <w:szCs w:val="22"/>
          <w:lang w:val="es-UY" w:eastAsia="es-UY"/>
        </w:rPr>
        <w:t xml:space="preserve"> </w:t>
      </w:r>
      <w:proofErr w:type="spellStart"/>
      <w:r>
        <w:rPr>
          <w:rFonts w:ascii="Times New Roman" w:hAnsi="Times New Roman" w:cs="Times New Roman"/>
          <w:sz w:val="22"/>
          <w:szCs w:val="22"/>
          <w:lang w:val="es-UY" w:eastAsia="es-UY"/>
        </w:rPr>
        <w:t>necessary</w:t>
      </w:r>
      <w:proofErr w:type="spellEnd"/>
      <w:r>
        <w:rPr>
          <w:rFonts w:ascii="Times New Roman" w:hAnsi="Times New Roman" w:cs="Times New Roman"/>
          <w:sz w:val="22"/>
          <w:szCs w:val="22"/>
          <w:lang w:val="es-UY" w:eastAsia="es-UY"/>
        </w:rPr>
        <w:t xml:space="preserve">, </w:t>
      </w:r>
      <w:proofErr w:type="spellStart"/>
      <w:r>
        <w:rPr>
          <w:rFonts w:ascii="Times New Roman" w:hAnsi="Times New Roman" w:cs="Times New Roman"/>
          <w:sz w:val="22"/>
          <w:szCs w:val="22"/>
          <w:lang w:val="es-UY" w:eastAsia="es-UY"/>
        </w:rPr>
        <w:t>the</w:t>
      </w:r>
      <w:proofErr w:type="spellEnd"/>
      <w:r>
        <w:rPr>
          <w:rFonts w:ascii="Times New Roman" w:hAnsi="Times New Roman" w:cs="Times New Roman"/>
          <w:sz w:val="22"/>
          <w:szCs w:val="22"/>
          <w:lang w:val="es-UY" w:eastAsia="es-UY"/>
        </w:rPr>
        <w:t xml:space="preserve"> legal defense </w:t>
      </w:r>
      <w:proofErr w:type="spellStart"/>
      <w:r>
        <w:rPr>
          <w:rFonts w:ascii="Times New Roman" w:hAnsi="Times New Roman" w:cs="Times New Roman"/>
          <w:sz w:val="22"/>
          <w:szCs w:val="22"/>
          <w:lang w:val="es-UY" w:eastAsia="es-UY"/>
        </w:rPr>
        <w:t>required</w:t>
      </w:r>
      <w:proofErr w:type="spellEnd"/>
      <w:r>
        <w:rPr>
          <w:rFonts w:ascii="Times New Roman" w:hAnsi="Times New Roman" w:cs="Times New Roman"/>
          <w:sz w:val="22"/>
          <w:szCs w:val="22"/>
          <w:lang w:val="es-UY" w:eastAsia="es-UY"/>
        </w:rPr>
        <w:t xml:space="preserve"> </w:t>
      </w:r>
      <w:proofErr w:type="spellStart"/>
      <w:r>
        <w:rPr>
          <w:rFonts w:ascii="Times New Roman" w:hAnsi="Times New Roman" w:cs="Times New Roman"/>
          <w:sz w:val="22"/>
          <w:szCs w:val="22"/>
          <w:lang w:val="es-UY" w:eastAsia="es-UY"/>
        </w:rPr>
        <w:t>to</w:t>
      </w:r>
      <w:proofErr w:type="spellEnd"/>
      <w:r>
        <w:rPr>
          <w:rFonts w:ascii="Times New Roman" w:hAnsi="Times New Roman" w:cs="Times New Roman"/>
          <w:sz w:val="22"/>
          <w:szCs w:val="22"/>
          <w:lang w:val="es-UY" w:eastAsia="es-UY"/>
        </w:rPr>
        <w:t xml:space="preserve"> </w:t>
      </w:r>
      <w:proofErr w:type="spellStart"/>
      <w:r>
        <w:rPr>
          <w:rFonts w:ascii="Times New Roman" w:hAnsi="Times New Roman" w:cs="Times New Roman"/>
          <w:sz w:val="22"/>
          <w:szCs w:val="22"/>
          <w:lang w:val="es-UY" w:eastAsia="es-UY"/>
        </w:rPr>
        <w:t>exempt</w:t>
      </w:r>
      <w:proofErr w:type="spellEnd"/>
      <w:r>
        <w:rPr>
          <w:rFonts w:ascii="Times New Roman" w:hAnsi="Times New Roman" w:cs="Times New Roman"/>
          <w:sz w:val="22"/>
          <w:szCs w:val="22"/>
          <w:lang w:val="es-UY" w:eastAsia="es-UY"/>
        </w:rPr>
        <w:t xml:space="preserve"> OSE </w:t>
      </w:r>
      <w:proofErr w:type="spellStart"/>
      <w:r>
        <w:rPr>
          <w:rFonts w:ascii="Times New Roman" w:hAnsi="Times New Roman" w:cs="Times New Roman"/>
          <w:sz w:val="22"/>
          <w:szCs w:val="22"/>
          <w:lang w:val="es-UY" w:eastAsia="es-UY"/>
        </w:rPr>
        <w:t>from</w:t>
      </w:r>
      <w:proofErr w:type="spellEnd"/>
      <w:r>
        <w:rPr>
          <w:rFonts w:ascii="Times New Roman" w:hAnsi="Times New Roman" w:cs="Times New Roman"/>
          <w:sz w:val="22"/>
          <w:szCs w:val="22"/>
          <w:lang w:val="es-UY" w:eastAsia="es-UY"/>
        </w:rPr>
        <w:t xml:space="preserve"> </w:t>
      </w:r>
      <w:proofErr w:type="spellStart"/>
      <w:r>
        <w:rPr>
          <w:rFonts w:ascii="Times New Roman" w:hAnsi="Times New Roman" w:cs="Times New Roman"/>
          <w:sz w:val="22"/>
          <w:szCs w:val="22"/>
          <w:lang w:val="es-UY" w:eastAsia="es-UY"/>
        </w:rPr>
        <w:t>any</w:t>
      </w:r>
      <w:proofErr w:type="spellEnd"/>
      <w:r>
        <w:rPr>
          <w:rFonts w:ascii="Times New Roman" w:hAnsi="Times New Roman" w:cs="Times New Roman"/>
          <w:sz w:val="22"/>
          <w:szCs w:val="22"/>
          <w:lang w:val="es-UY" w:eastAsia="es-UY"/>
        </w:rPr>
        <w:t xml:space="preserve"> </w:t>
      </w:r>
      <w:proofErr w:type="spellStart"/>
      <w:r>
        <w:rPr>
          <w:rFonts w:ascii="Times New Roman" w:hAnsi="Times New Roman" w:cs="Times New Roman"/>
          <w:sz w:val="22"/>
          <w:szCs w:val="22"/>
          <w:lang w:val="es-UY" w:eastAsia="es-UY"/>
        </w:rPr>
        <w:t>financial</w:t>
      </w:r>
      <w:proofErr w:type="spellEnd"/>
      <w:r>
        <w:rPr>
          <w:rFonts w:ascii="Times New Roman" w:hAnsi="Times New Roman" w:cs="Times New Roman"/>
          <w:sz w:val="22"/>
          <w:szCs w:val="22"/>
          <w:lang w:val="es-UY" w:eastAsia="es-UY"/>
        </w:rPr>
        <w:t xml:space="preserve"> </w:t>
      </w:r>
      <w:proofErr w:type="spellStart"/>
      <w:r>
        <w:rPr>
          <w:rFonts w:ascii="Times New Roman" w:hAnsi="Times New Roman" w:cs="Times New Roman"/>
          <w:sz w:val="22"/>
          <w:szCs w:val="22"/>
          <w:lang w:val="es-UY" w:eastAsia="es-UY"/>
        </w:rPr>
        <w:t>liability</w:t>
      </w:r>
      <w:proofErr w:type="spellEnd"/>
      <w:r>
        <w:rPr>
          <w:rFonts w:ascii="Times New Roman" w:hAnsi="Times New Roman" w:cs="Times New Roman"/>
          <w:sz w:val="22"/>
          <w:szCs w:val="22"/>
          <w:lang w:val="es-UY" w:eastAsia="es-UY"/>
        </w:rPr>
        <w:t>.</w:t>
      </w:r>
    </w:p>
    <w:p w14:paraId="788A1561" w14:textId="77777777" w:rsidR="00E255F4" w:rsidRDefault="00000000">
      <w:pPr>
        <w:autoSpaceDE w:val="0"/>
        <w:spacing w:line="360" w:lineRule="auto"/>
        <w:jc w:val="both"/>
      </w:pPr>
      <w:r>
        <w:rPr>
          <w:rFonts w:eastAsia="Calibri"/>
          <w:color w:val="000000"/>
          <w:sz w:val="22"/>
          <w:szCs w:val="22"/>
          <w:lang w:eastAsia="es-UY"/>
        </w:rPr>
        <w:t xml:space="preserve">13) </w:t>
      </w:r>
      <w:proofErr w:type="spellStart"/>
      <w:r>
        <w:rPr>
          <w:rFonts w:eastAsia="Calibri"/>
          <w:color w:val="000000"/>
          <w:sz w:val="22"/>
          <w:szCs w:val="22"/>
          <w:lang w:eastAsia="es-UY"/>
        </w:rPr>
        <w:t>Within</w:t>
      </w:r>
      <w:proofErr w:type="spellEnd"/>
      <w:r>
        <w:rPr>
          <w:rFonts w:eastAsia="Calibri"/>
          <w:color w:val="000000"/>
          <w:sz w:val="22"/>
          <w:szCs w:val="22"/>
          <w:lang w:eastAsia="es-UY"/>
        </w:rPr>
        <w:t xml:space="preserve"> </w:t>
      </w:r>
      <w:proofErr w:type="spellStart"/>
      <w:r>
        <w:rPr>
          <w:rFonts w:eastAsia="Calibri"/>
          <w:color w:val="000000"/>
          <w:sz w:val="22"/>
          <w:szCs w:val="22"/>
          <w:lang w:eastAsia="es-UY"/>
        </w:rPr>
        <w:t>the</w:t>
      </w:r>
      <w:proofErr w:type="spellEnd"/>
      <w:r>
        <w:rPr>
          <w:rFonts w:eastAsia="Calibri"/>
          <w:color w:val="000000"/>
          <w:sz w:val="22"/>
          <w:szCs w:val="22"/>
          <w:lang w:eastAsia="es-UY"/>
        </w:rPr>
        <w:t xml:space="preserve"> </w:t>
      </w:r>
      <w:proofErr w:type="spellStart"/>
      <w:r>
        <w:rPr>
          <w:rFonts w:eastAsia="Calibri"/>
          <w:color w:val="000000"/>
          <w:sz w:val="22"/>
          <w:szCs w:val="22"/>
          <w:lang w:eastAsia="es-UY"/>
        </w:rPr>
        <w:t>framework</w:t>
      </w:r>
      <w:proofErr w:type="spellEnd"/>
      <w:r>
        <w:rPr>
          <w:rFonts w:eastAsia="Calibri"/>
          <w:color w:val="000000"/>
          <w:sz w:val="22"/>
          <w:szCs w:val="22"/>
          <w:lang w:eastAsia="es-UY"/>
        </w:rPr>
        <w:t xml:space="preserve"> </w:t>
      </w:r>
      <w:proofErr w:type="spellStart"/>
      <w:r>
        <w:rPr>
          <w:rFonts w:eastAsia="Calibri"/>
          <w:color w:val="000000"/>
          <w:sz w:val="22"/>
          <w:szCs w:val="22"/>
          <w:lang w:eastAsia="es-UY"/>
        </w:rPr>
        <w:t>of</w:t>
      </w:r>
      <w:proofErr w:type="spellEnd"/>
      <w:r>
        <w:rPr>
          <w:rFonts w:eastAsia="Calibri"/>
          <w:color w:val="000000"/>
          <w:sz w:val="22"/>
          <w:szCs w:val="22"/>
          <w:lang w:eastAsia="es-UY"/>
        </w:rPr>
        <w:t xml:space="preserve"> Law 19196 </w:t>
      </w:r>
      <w:proofErr w:type="spellStart"/>
      <w:r>
        <w:rPr>
          <w:rFonts w:eastAsia="Calibri"/>
          <w:color w:val="000000"/>
          <w:sz w:val="22"/>
          <w:szCs w:val="22"/>
          <w:lang w:eastAsia="es-UY"/>
        </w:rPr>
        <w:t>of</w:t>
      </w:r>
      <w:proofErr w:type="spellEnd"/>
      <w:r>
        <w:rPr>
          <w:rFonts w:eastAsia="Calibri"/>
          <w:color w:val="000000"/>
          <w:sz w:val="22"/>
          <w:szCs w:val="22"/>
          <w:lang w:eastAsia="es-UY"/>
        </w:rPr>
        <w:t xml:space="preserve"> 25.03.2014, </w:t>
      </w:r>
      <w:proofErr w:type="spellStart"/>
      <w:r>
        <w:rPr>
          <w:rFonts w:eastAsia="Calibri"/>
          <w:color w:val="000000"/>
          <w:sz w:val="22"/>
          <w:szCs w:val="22"/>
          <w:lang w:eastAsia="es-UY"/>
        </w:rPr>
        <w:t>we</w:t>
      </w:r>
      <w:proofErr w:type="spellEnd"/>
      <w:r>
        <w:rPr>
          <w:rFonts w:eastAsia="Calibri"/>
          <w:color w:val="000000"/>
          <w:sz w:val="22"/>
          <w:szCs w:val="22"/>
          <w:lang w:eastAsia="es-UY"/>
        </w:rPr>
        <w:t xml:space="preserve"> </w:t>
      </w:r>
      <w:proofErr w:type="spellStart"/>
      <w:r>
        <w:rPr>
          <w:rFonts w:eastAsia="Calibri"/>
          <w:color w:val="000000"/>
          <w:sz w:val="22"/>
          <w:szCs w:val="22"/>
          <w:lang w:eastAsia="es-UY"/>
        </w:rPr>
        <w:t>will</w:t>
      </w:r>
      <w:proofErr w:type="spellEnd"/>
      <w:r>
        <w:rPr>
          <w:rFonts w:eastAsia="Calibri"/>
          <w:color w:val="000000"/>
          <w:sz w:val="22"/>
          <w:szCs w:val="22"/>
          <w:lang w:eastAsia="es-UY"/>
        </w:rPr>
        <w:t xml:space="preserve"> </w:t>
      </w:r>
      <w:proofErr w:type="spellStart"/>
      <w:r>
        <w:rPr>
          <w:rFonts w:eastAsia="Calibri"/>
          <w:color w:val="000000"/>
          <w:sz w:val="22"/>
          <w:szCs w:val="22"/>
          <w:lang w:eastAsia="es-UY"/>
        </w:rPr>
        <w:t>adopt</w:t>
      </w:r>
      <w:proofErr w:type="spellEnd"/>
      <w:r>
        <w:rPr>
          <w:rFonts w:eastAsia="Calibri"/>
          <w:color w:val="000000"/>
          <w:sz w:val="22"/>
          <w:szCs w:val="22"/>
          <w:lang w:eastAsia="es-UY"/>
        </w:rPr>
        <w:t xml:space="preserve"> </w:t>
      </w:r>
      <w:proofErr w:type="spellStart"/>
      <w:r>
        <w:rPr>
          <w:rFonts w:eastAsia="Calibri"/>
          <w:color w:val="000000"/>
          <w:sz w:val="22"/>
          <w:szCs w:val="22"/>
          <w:lang w:eastAsia="es-UY"/>
        </w:rPr>
        <w:t>the</w:t>
      </w:r>
      <w:proofErr w:type="spellEnd"/>
      <w:r>
        <w:rPr>
          <w:rFonts w:eastAsia="Calibri"/>
          <w:color w:val="000000"/>
          <w:sz w:val="22"/>
          <w:szCs w:val="22"/>
          <w:lang w:eastAsia="es-UY"/>
        </w:rPr>
        <w:t xml:space="preserve"> </w:t>
      </w:r>
      <w:proofErr w:type="spellStart"/>
      <w:r>
        <w:rPr>
          <w:rFonts w:eastAsia="Calibri"/>
          <w:color w:val="000000"/>
          <w:sz w:val="22"/>
          <w:szCs w:val="22"/>
          <w:lang w:eastAsia="es-UY"/>
        </w:rPr>
        <w:t>means</w:t>
      </w:r>
      <w:proofErr w:type="spellEnd"/>
      <w:r>
        <w:rPr>
          <w:rFonts w:eastAsia="Calibri"/>
          <w:color w:val="000000"/>
          <w:sz w:val="22"/>
          <w:szCs w:val="22"/>
          <w:lang w:eastAsia="es-UY"/>
        </w:rPr>
        <w:t xml:space="preserve"> </w:t>
      </w:r>
      <w:proofErr w:type="spellStart"/>
      <w:r>
        <w:rPr>
          <w:rFonts w:eastAsia="Calibri"/>
          <w:color w:val="000000"/>
          <w:sz w:val="22"/>
          <w:szCs w:val="22"/>
          <w:lang w:eastAsia="es-UY"/>
        </w:rPr>
        <w:t>of</w:t>
      </w:r>
      <w:proofErr w:type="spellEnd"/>
      <w:r>
        <w:rPr>
          <w:rFonts w:eastAsia="Calibri"/>
          <w:color w:val="000000"/>
          <w:sz w:val="22"/>
          <w:szCs w:val="22"/>
          <w:lang w:eastAsia="es-UY"/>
        </w:rPr>
        <w:t xml:space="preserve"> </w:t>
      </w:r>
      <w:proofErr w:type="spellStart"/>
      <w:r>
        <w:rPr>
          <w:rFonts w:eastAsia="Calibri"/>
          <w:color w:val="000000"/>
          <w:sz w:val="22"/>
          <w:szCs w:val="22"/>
          <w:lang w:eastAsia="es-UY"/>
        </w:rPr>
        <w:t>protection</w:t>
      </w:r>
      <w:proofErr w:type="spellEnd"/>
      <w:r>
        <w:rPr>
          <w:rFonts w:eastAsia="Calibri"/>
          <w:color w:val="000000"/>
          <w:sz w:val="22"/>
          <w:szCs w:val="22"/>
          <w:lang w:eastAsia="es-UY"/>
        </w:rPr>
        <w:t xml:space="preserve"> and </w:t>
      </w:r>
      <w:proofErr w:type="spellStart"/>
      <w:r>
        <w:rPr>
          <w:rFonts w:eastAsia="Calibri"/>
          <w:color w:val="000000"/>
          <w:sz w:val="22"/>
          <w:szCs w:val="22"/>
          <w:lang w:eastAsia="es-UY"/>
        </w:rPr>
        <w:t>occupational</w:t>
      </w:r>
      <w:proofErr w:type="spellEnd"/>
      <w:r>
        <w:rPr>
          <w:rFonts w:eastAsia="Calibri"/>
          <w:color w:val="000000"/>
          <w:sz w:val="22"/>
          <w:szCs w:val="22"/>
          <w:lang w:eastAsia="es-UY"/>
        </w:rPr>
        <w:t xml:space="preserve"> safety </w:t>
      </w:r>
      <w:proofErr w:type="spellStart"/>
      <w:r>
        <w:rPr>
          <w:rFonts w:eastAsia="Calibri"/>
          <w:color w:val="000000"/>
          <w:sz w:val="22"/>
          <w:szCs w:val="22"/>
          <w:lang w:eastAsia="es-UY"/>
        </w:rPr>
        <w:t>provided</w:t>
      </w:r>
      <w:proofErr w:type="spellEnd"/>
      <w:r>
        <w:rPr>
          <w:rFonts w:eastAsia="Calibri"/>
          <w:color w:val="000000"/>
          <w:sz w:val="22"/>
          <w:szCs w:val="22"/>
          <w:lang w:eastAsia="es-UY"/>
        </w:rPr>
        <w:t xml:space="preserve"> </w:t>
      </w:r>
      <w:proofErr w:type="spellStart"/>
      <w:r>
        <w:rPr>
          <w:rFonts w:eastAsia="Calibri"/>
          <w:color w:val="000000"/>
          <w:sz w:val="22"/>
          <w:szCs w:val="22"/>
          <w:lang w:eastAsia="es-UY"/>
        </w:rPr>
        <w:t>for</w:t>
      </w:r>
      <w:proofErr w:type="spellEnd"/>
      <w:r>
        <w:rPr>
          <w:rFonts w:eastAsia="Calibri"/>
          <w:color w:val="000000"/>
          <w:sz w:val="22"/>
          <w:szCs w:val="22"/>
          <w:lang w:eastAsia="es-UY"/>
        </w:rPr>
        <w:t xml:space="preserve"> in </w:t>
      </w:r>
      <w:proofErr w:type="spellStart"/>
      <w:r>
        <w:rPr>
          <w:rFonts w:eastAsia="Calibri"/>
          <w:color w:val="000000"/>
          <w:sz w:val="22"/>
          <w:szCs w:val="22"/>
          <w:lang w:eastAsia="es-UY"/>
        </w:rPr>
        <w:t>the</w:t>
      </w:r>
      <w:proofErr w:type="spellEnd"/>
      <w:r>
        <w:rPr>
          <w:rFonts w:eastAsia="Calibri"/>
          <w:color w:val="000000"/>
          <w:sz w:val="22"/>
          <w:szCs w:val="22"/>
          <w:lang w:eastAsia="es-UY"/>
        </w:rPr>
        <w:t xml:space="preserve"> </w:t>
      </w:r>
      <w:proofErr w:type="spellStart"/>
      <w:r>
        <w:rPr>
          <w:rFonts w:eastAsia="Calibri"/>
          <w:color w:val="000000"/>
          <w:sz w:val="22"/>
          <w:szCs w:val="22"/>
          <w:lang w:eastAsia="es-UY"/>
        </w:rPr>
        <w:t>law</w:t>
      </w:r>
      <w:proofErr w:type="spellEnd"/>
      <w:r>
        <w:rPr>
          <w:rFonts w:eastAsia="Calibri"/>
          <w:color w:val="000000"/>
          <w:sz w:val="22"/>
          <w:szCs w:val="22"/>
          <w:lang w:eastAsia="es-UY"/>
        </w:rPr>
        <w:t xml:space="preserve"> and </w:t>
      </w:r>
      <w:proofErr w:type="spellStart"/>
      <w:r>
        <w:rPr>
          <w:rFonts w:eastAsia="Calibri"/>
          <w:color w:val="000000"/>
          <w:sz w:val="22"/>
          <w:szCs w:val="22"/>
          <w:lang w:eastAsia="es-UY"/>
        </w:rPr>
        <w:t>its</w:t>
      </w:r>
      <w:proofErr w:type="spellEnd"/>
      <w:r>
        <w:rPr>
          <w:rFonts w:eastAsia="Calibri"/>
          <w:color w:val="000000"/>
          <w:sz w:val="22"/>
          <w:szCs w:val="22"/>
          <w:lang w:eastAsia="es-UY"/>
        </w:rPr>
        <w:t xml:space="preserve"> </w:t>
      </w:r>
      <w:proofErr w:type="spellStart"/>
      <w:r>
        <w:rPr>
          <w:rFonts w:eastAsia="Calibri"/>
          <w:color w:val="000000"/>
          <w:sz w:val="22"/>
          <w:szCs w:val="22"/>
          <w:lang w:eastAsia="es-UY"/>
        </w:rPr>
        <w:t>regulations</w:t>
      </w:r>
      <w:proofErr w:type="spellEnd"/>
      <w:r>
        <w:rPr>
          <w:rFonts w:eastAsia="Calibri"/>
          <w:color w:val="000000"/>
          <w:sz w:val="22"/>
          <w:szCs w:val="22"/>
          <w:lang w:eastAsia="es-UY"/>
        </w:rPr>
        <w:t xml:space="preserve">, in </w:t>
      </w:r>
      <w:proofErr w:type="spellStart"/>
      <w:r>
        <w:rPr>
          <w:rFonts w:eastAsia="Calibri"/>
          <w:color w:val="000000"/>
          <w:sz w:val="22"/>
          <w:szCs w:val="22"/>
          <w:lang w:eastAsia="es-UY"/>
        </w:rPr>
        <w:t>order</w:t>
      </w:r>
      <w:proofErr w:type="spellEnd"/>
      <w:r>
        <w:rPr>
          <w:rFonts w:eastAsia="Calibri"/>
          <w:color w:val="000000"/>
          <w:sz w:val="22"/>
          <w:szCs w:val="22"/>
          <w:lang w:eastAsia="es-UY"/>
        </w:rPr>
        <w:t xml:space="preserve"> </w:t>
      </w:r>
      <w:proofErr w:type="spellStart"/>
      <w:r>
        <w:rPr>
          <w:rFonts w:eastAsia="Calibri"/>
          <w:color w:val="000000"/>
          <w:sz w:val="22"/>
          <w:szCs w:val="22"/>
          <w:lang w:eastAsia="es-UY"/>
        </w:rPr>
        <w:t>to</w:t>
      </w:r>
      <w:proofErr w:type="spellEnd"/>
      <w:r>
        <w:rPr>
          <w:rFonts w:eastAsia="Calibri"/>
          <w:color w:val="000000"/>
          <w:sz w:val="22"/>
          <w:szCs w:val="22"/>
          <w:lang w:eastAsia="es-UY"/>
        </w:rPr>
        <w:t xml:space="preserve"> </w:t>
      </w:r>
      <w:proofErr w:type="spellStart"/>
      <w:r>
        <w:rPr>
          <w:rFonts w:eastAsia="Calibri"/>
          <w:color w:val="000000"/>
          <w:sz w:val="22"/>
          <w:szCs w:val="22"/>
          <w:lang w:eastAsia="es-UY"/>
        </w:rPr>
        <w:t>avoid</w:t>
      </w:r>
      <w:proofErr w:type="spellEnd"/>
      <w:r>
        <w:rPr>
          <w:rFonts w:eastAsia="Calibri"/>
          <w:color w:val="000000"/>
          <w:sz w:val="22"/>
          <w:szCs w:val="22"/>
          <w:lang w:eastAsia="es-UY"/>
        </w:rPr>
        <w:t xml:space="preserve"> </w:t>
      </w:r>
      <w:proofErr w:type="spellStart"/>
      <w:r>
        <w:rPr>
          <w:rFonts w:eastAsia="Calibri"/>
          <w:color w:val="000000"/>
          <w:sz w:val="22"/>
          <w:szCs w:val="22"/>
          <w:lang w:eastAsia="es-UY"/>
        </w:rPr>
        <w:t>putting</w:t>
      </w:r>
      <w:proofErr w:type="spellEnd"/>
      <w:r>
        <w:rPr>
          <w:rFonts w:eastAsia="Calibri"/>
          <w:color w:val="000000"/>
          <w:sz w:val="22"/>
          <w:szCs w:val="22"/>
          <w:lang w:eastAsia="es-UY"/>
        </w:rPr>
        <w:t xml:space="preserve"> </w:t>
      </w:r>
      <w:proofErr w:type="spellStart"/>
      <w:r>
        <w:rPr>
          <w:rFonts w:eastAsia="Calibri"/>
          <w:color w:val="000000"/>
          <w:sz w:val="22"/>
          <w:szCs w:val="22"/>
          <w:lang w:eastAsia="es-UY"/>
        </w:rPr>
        <w:t>the</w:t>
      </w:r>
      <w:proofErr w:type="spellEnd"/>
      <w:r>
        <w:rPr>
          <w:rFonts w:eastAsia="Calibri"/>
          <w:color w:val="000000"/>
          <w:sz w:val="22"/>
          <w:szCs w:val="22"/>
          <w:lang w:eastAsia="es-UY"/>
        </w:rPr>
        <w:t xml:space="preserve"> </w:t>
      </w:r>
      <w:proofErr w:type="spellStart"/>
      <w:r>
        <w:rPr>
          <w:rFonts w:eastAsia="Calibri"/>
          <w:color w:val="000000"/>
          <w:sz w:val="22"/>
          <w:szCs w:val="22"/>
          <w:lang w:eastAsia="es-UY"/>
        </w:rPr>
        <w:t>life</w:t>
      </w:r>
      <w:proofErr w:type="spellEnd"/>
      <w:r>
        <w:rPr>
          <w:rFonts w:eastAsia="Calibri"/>
          <w:color w:val="000000"/>
          <w:sz w:val="22"/>
          <w:szCs w:val="22"/>
          <w:lang w:eastAsia="es-UY"/>
        </w:rPr>
        <w:t xml:space="preserve">, </w:t>
      </w:r>
      <w:proofErr w:type="spellStart"/>
      <w:r>
        <w:rPr>
          <w:rFonts w:eastAsia="Calibri"/>
          <w:color w:val="000000"/>
          <w:sz w:val="22"/>
          <w:szCs w:val="22"/>
          <w:lang w:eastAsia="es-UY"/>
        </w:rPr>
        <w:t>health</w:t>
      </w:r>
      <w:proofErr w:type="spellEnd"/>
      <w:r>
        <w:rPr>
          <w:rFonts w:eastAsia="Calibri"/>
          <w:color w:val="000000"/>
          <w:sz w:val="22"/>
          <w:szCs w:val="22"/>
          <w:lang w:eastAsia="es-UY"/>
        </w:rPr>
        <w:t xml:space="preserve"> </w:t>
      </w:r>
      <w:proofErr w:type="spellStart"/>
      <w:r>
        <w:rPr>
          <w:rFonts w:eastAsia="Calibri"/>
          <w:color w:val="000000"/>
          <w:sz w:val="22"/>
          <w:szCs w:val="22"/>
          <w:lang w:eastAsia="es-UY"/>
        </w:rPr>
        <w:t>or</w:t>
      </w:r>
      <w:proofErr w:type="spellEnd"/>
      <w:r>
        <w:rPr>
          <w:rFonts w:eastAsia="Calibri"/>
          <w:color w:val="000000"/>
          <w:sz w:val="22"/>
          <w:szCs w:val="22"/>
          <w:lang w:eastAsia="es-UY"/>
        </w:rPr>
        <w:t xml:space="preserve"> </w:t>
      </w:r>
      <w:proofErr w:type="spellStart"/>
      <w:r>
        <w:rPr>
          <w:rFonts w:eastAsia="Calibri"/>
          <w:color w:val="000000"/>
          <w:sz w:val="22"/>
          <w:szCs w:val="22"/>
          <w:lang w:eastAsia="es-UY"/>
        </w:rPr>
        <w:t>physical</w:t>
      </w:r>
      <w:proofErr w:type="spellEnd"/>
      <w:r>
        <w:rPr>
          <w:rFonts w:eastAsia="Calibri"/>
          <w:color w:val="000000"/>
          <w:sz w:val="22"/>
          <w:szCs w:val="22"/>
          <w:lang w:eastAsia="es-UY"/>
        </w:rPr>
        <w:t xml:space="preserve"> </w:t>
      </w:r>
      <w:proofErr w:type="spellStart"/>
      <w:r>
        <w:rPr>
          <w:rFonts w:eastAsia="Calibri"/>
          <w:color w:val="000000"/>
          <w:sz w:val="22"/>
          <w:szCs w:val="22"/>
          <w:lang w:eastAsia="es-UY"/>
        </w:rPr>
        <w:t>integrity</w:t>
      </w:r>
      <w:proofErr w:type="spellEnd"/>
      <w:r>
        <w:rPr>
          <w:rFonts w:eastAsia="Calibri"/>
          <w:color w:val="000000"/>
          <w:sz w:val="22"/>
          <w:szCs w:val="22"/>
          <w:lang w:eastAsia="es-UY"/>
        </w:rPr>
        <w:t xml:space="preserve"> </w:t>
      </w:r>
      <w:proofErr w:type="spellStart"/>
      <w:r>
        <w:rPr>
          <w:rFonts w:eastAsia="Calibri"/>
          <w:color w:val="000000"/>
          <w:sz w:val="22"/>
          <w:szCs w:val="22"/>
          <w:lang w:eastAsia="es-UY"/>
        </w:rPr>
        <w:t>of</w:t>
      </w:r>
      <w:proofErr w:type="spellEnd"/>
      <w:r>
        <w:rPr>
          <w:rFonts w:eastAsia="Calibri"/>
          <w:color w:val="000000"/>
          <w:sz w:val="22"/>
          <w:szCs w:val="22"/>
          <w:lang w:eastAsia="es-UY"/>
        </w:rPr>
        <w:t xml:space="preserve"> </w:t>
      </w:r>
      <w:proofErr w:type="spellStart"/>
      <w:r>
        <w:rPr>
          <w:rFonts w:eastAsia="Calibri"/>
          <w:color w:val="000000"/>
          <w:sz w:val="22"/>
          <w:szCs w:val="22"/>
          <w:lang w:eastAsia="es-UY"/>
        </w:rPr>
        <w:t>the</w:t>
      </w:r>
      <w:proofErr w:type="spellEnd"/>
      <w:r>
        <w:rPr>
          <w:rFonts w:eastAsia="Calibri"/>
          <w:color w:val="000000"/>
          <w:sz w:val="22"/>
          <w:szCs w:val="22"/>
          <w:lang w:eastAsia="es-UY"/>
        </w:rPr>
        <w:t xml:space="preserve"> </w:t>
      </w:r>
      <w:proofErr w:type="spellStart"/>
      <w:r>
        <w:rPr>
          <w:rFonts w:eastAsia="Calibri"/>
          <w:color w:val="000000"/>
          <w:sz w:val="22"/>
          <w:szCs w:val="22"/>
          <w:lang w:eastAsia="es-UY"/>
        </w:rPr>
        <w:t>worker</w:t>
      </w:r>
      <w:proofErr w:type="spellEnd"/>
      <w:r>
        <w:rPr>
          <w:rFonts w:eastAsia="Calibri"/>
          <w:color w:val="000000"/>
          <w:sz w:val="22"/>
          <w:szCs w:val="22"/>
          <w:lang w:eastAsia="es-UY"/>
        </w:rPr>
        <w:t xml:space="preserve"> in </w:t>
      </w:r>
      <w:proofErr w:type="spellStart"/>
      <w:r>
        <w:rPr>
          <w:rFonts w:eastAsia="Calibri"/>
          <w:color w:val="000000"/>
          <w:sz w:val="22"/>
          <w:szCs w:val="22"/>
          <w:lang w:eastAsia="es-UY"/>
        </w:rPr>
        <w:t>serious</w:t>
      </w:r>
      <w:proofErr w:type="spellEnd"/>
      <w:r>
        <w:rPr>
          <w:rFonts w:eastAsia="Calibri"/>
          <w:color w:val="000000"/>
          <w:sz w:val="22"/>
          <w:szCs w:val="22"/>
          <w:lang w:eastAsia="es-UY"/>
        </w:rPr>
        <w:t xml:space="preserve"> and concrete </w:t>
      </w:r>
      <w:proofErr w:type="spellStart"/>
      <w:r>
        <w:rPr>
          <w:rFonts w:eastAsia="Calibri"/>
          <w:color w:val="000000"/>
          <w:sz w:val="22"/>
          <w:szCs w:val="22"/>
          <w:lang w:eastAsia="es-UY"/>
        </w:rPr>
        <w:t>danger</w:t>
      </w:r>
      <w:proofErr w:type="spellEnd"/>
      <w:r>
        <w:rPr>
          <w:rFonts w:eastAsia="Calibri"/>
          <w:color w:val="000000"/>
          <w:sz w:val="22"/>
          <w:szCs w:val="22"/>
          <w:lang w:eastAsia="es-UY"/>
        </w:rPr>
        <w:t>.</w:t>
      </w:r>
    </w:p>
    <w:p w14:paraId="646334EE" w14:textId="77777777" w:rsidR="00E255F4" w:rsidRDefault="00000000">
      <w:pPr>
        <w:autoSpaceDE w:val="0"/>
        <w:spacing w:line="360" w:lineRule="auto"/>
        <w:jc w:val="both"/>
      </w:pPr>
      <w:r>
        <w:rPr>
          <w:rFonts w:eastAsia="Calibri"/>
          <w:color w:val="000000"/>
          <w:sz w:val="22"/>
          <w:szCs w:val="22"/>
          <w:lang w:eastAsia="es-UY"/>
        </w:rPr>
        <w:t xml:space="preserve">14) In </w:t>
      </w:r>
      <w:proofErr w:type="spellStart"/>
      <w:r>
        <w:rPr>
          <w:rFonts w:eastAsia="Calibri"/>
          <w:color w:val="000000"/>
          <w:sz w:val="22"/>
          <w:szCs w:val="22"/>
          <w:lang w:eastAsia="es-UY"/>
        </w:rPr>
        <w:t>the</w:t>
      </w:r>
      <w:proofErr w:type="spellEnd"/>
      <w:r>
        <w:rPr>
          <w:rFonts w:eastAsia="Calibri"/>
          <w:color w:val="000000"/>
          <w:sz w:val="22"/>
          <w:szCs w:val="22"/>
          <w:lang w:eastAsia="es-UY"/>
        </w:rPr>
        <w:t xml:space="preserve"> </w:t>
      </w:r>
      <w:proofErr w:type="spellStart"/>
      <w:r>
        <w:rPr>
          <w:rFonts w:eastAsia="Calibri"/>
          <w:color w:val="000000"/>
          <w:sz w:val="22"/>
          <w:szCs w:val="22"/>
          <w:lang w:eastAsia="es-UY"/>
        </w:rPr>
        <w:t>event</w:t>
      </w:r>
      <w:proofErr w:type="spellEnd"/>
      <w:r>
        <w:rPr>
          <w:rFonts w:eastAsia="Calibri"/>
          <w:color w:val="000000"/>
          <w:sz w:val="22"/>
          <w:szCs w:val="22"/>
          <w:lang w:eastAsia="es-UY"/>
        </w:rPr>
        <w:t xml:space="preserve"> </w:t>
      </w:r>
      <w:proofErr w:type="spellStart"/>
      <w:r>
        <w:rPr>
          <w:rFonts w:eastAsia="Calibri"/>
          <w:color w:val="000000"/>
          <w:sz w:val="22"/>
          <w:szCs w:val="22"/>
          <w:lang w:eastAsia="es-UY"/>
        </w:rPr>
        <w:t>that</w:t>
      </w:r>
      <w:proofErr w:type="spellEnd"/>
      <w:r>
        <w:rPr>
          <w:rFonts w:eastAsia="Calibri"/>
          <w:color w:val="000000"/>
          <w:sz w:val="22"/>
          <w:szCs w:val="22"/>
          <w:lang w:eastAsia="es-UY"/>
        </w:rPr>
        <w:t xml:space="preserve"> </w:t>
      </w:r>
      <w:proofErr w:type="spellStart"/>
      <w:r>
        <w:rPr>
          <w:rFonts w:eastAsia="Calibri"/>
          <w:color w:val="000000"/>
          <w:sz w:val="22"/>
          <w:szCs w:val="22"/>
          <w:lang w:eastAsia="es-UY"/>
        </w:rPr>
        <w:t>any</w:t>
      </w:r>
      <w:proofErr w:type="spellEnd"/>
      <w:r>
        <w:rPr>
          <w:rFonts w:eastAsia="Calibri"/>
          <w:color w:val="000000"/>
          <w:sz w:val="22"/>
          <w:szCs w:val="22"/>
          <w:lang w:eastAsia="es-UY"/>
        </w:rPr>
        <w:t xml:space="preserve"> </w:t>
      </w:r>
      <w:proofErr w:type="spellStart"/>
      <w:r>
        <w:rPr>
          <w:rFonts w:eastAsia="Calibri"/>
          <w:color w:val="000000"/>
          <w:sz w:val="22"/>
          <w:szCs w:val="22"/>
          <w:lang w:eastAsia="es-UY"/>
        </w:rPr>
        <w:t>of</w:t>
      </w:r>
      <w:proofErr w:type="spellEnd"/>
      <w:r>
        <w:rPr>
          <w:rFonts w:eastAsia="Calibri"/>
          <w:color w:val="000000"/>
          <w:sz w:val="22"/>
          <w:szCs w:val="22"/>
          <w:lang w:eastAsia="es-UY"/>
        </w:rPr>
        <w:t xml:space="preserve"> </w:t>
      </w:r>
      <w:proofErr w:type="spellStart"/>
      <w:r>
        <w:rPr>
          <w:rFonts w:eastAsia="Calibri"/>
          <w:color w:val="000000"/>
          <w:sz w:val="22"/>
          <w:szCs w:val="22"/>
          <w:lang w:eastAsia="es-UY"/>
        </w:rPr>
        <w:t>the</w:t>
      </w:r>
      <w:proofErr w:type="spellEnd"/>
      <w:r>
        <w:rPr>
          <w:rFonts w:eastAsia="Calibri"/>
          <w:color w:val="000000"/>
          <w:sz w:val="22"/>
          <w:szCs w:val="22"/>
          <w:lang w:eastAsia="es-UY"/>
        </w:rPr>
        <w:t xml:space="preserve"> </w:t>
      </w:r>
      <w:proofErr w:type="spellStart"/>
      <w:r>
        <w:rPr>
          <w:rFonts w:eastAsia="Calibri"/>
          <w:color w:val="000000"/>
          <w:sz w:val="22"/>
          <w:szCs w:val="22"/>
          <w:lang w:eastAsia="es-UY"/>
        </w:rPr>
        <w:t>information</w:t>
      </w:r>
      <w:proofErr w:type="spellEnd"/>
      <w:r>
        <w:rPr>
          <w:rFonts w:eastAsia="Calibri"/>
          <w:color w:val="000000"/>
          <w:sz w:val="22"/>
          <w:szCs w:val="22"/>
          <w:lang w:eastAsia="es-UY"/>
        </w:rPr>
        <w:t xml:space="preserve"> </w:t>
      </w:r>
      <w:proofErr w:type="spellStart"/>
      <w:r>
        <w:rPr>
          <w:rFonts w:eastAsia="Calibri"/>
          <w:color w:val="000000"/>
          <w:sz w:val="22"/>
          <w:szCs w:val="22"/>
          <w:lang w:eastAsia="es-UY"/>
        </w:rPr>
        <w:t>provided</w:t>
      </w:r>
      <w:proofErr w:type="spellEnd"/>
      <w:r>
        <w:rPr>
          <w:rFonts w:eastAsia="Calibri"/>
          <w:color w:val="000000"/>
          <w:sz w:val="22"/>
          <w:szCs w:val="22"/>
          <w:lang w:eastAsia="es-UY"/>
        </w:rPr>
        <w:t xml:space="preserve"> in </w:t>
      </w:r>
      <w:proofErr w:type="spellStart"/>
      <w:r>
        <w:rPr>
          <w:rFonts w:eastAsia="Calibri"/>
          <w:color w:val="000000"/>
          <w:sz w:val="22"/>
          <w:szCs w:val="22"/>
          <w:lang w:eastAsia="es-UY"/>
        </w:rPr>
        <w:t>this</w:t>
      </w:r>
      <w:proofErr w:type="spellEnd"/>
      <w:r>
        <w:rPr>
          <w:rFonts w:eastAsia="Calibri"/>
          <w:color w:val="000000"/>
          <w:sz w:val="22"/>
          <w:szCs w:val="22"/>
          <w:lang w:eastAsia="es-UY"/>
        </w:rPr>
        <w:t xml:space="preserve"> </w:t>
      </w:r>
      <w:proofErr w:type="spellStart"/>
      <w:r>
        <w:rPr>
          <w:rFonts w:eastAsia="Calibri"/>
          <w:color w:val="000000"/>
          <w:sz w:val="22"/>
          <w:szCs w:val="22"/>
          <w:lang w:eastAsia="es-UY"/>
        </w:rPr>
        <w:t>document</w:t>
      </w:r>
      <w:proofErr w:type="spellEnd"/>
      <w:r>
        <w:rPr>
          <w:rFonts w:eastAsia="Calibri"/>
          <w:color w:val="000000"/>
          <w:sz w:val="22"/>
          <w:szCs w:val="22"/>
          <w:lang w:eastAsia="es-UY"/>
        </w:rPr>
        <w:t xml:space="preserve"> </w:t>
      </w:r>
      <w:proofErr w:type="spellStart"/>
      <w:r>
        <w:rPr>
          <w:rFonts w:eastAsia="Calibri"/>
          <w:color w:val="000000"/>
          <w:sz w:val="22"/>
          <w:szCs w:val="22"/>
          <w:lang w:eastAsia="es-UY"/>
        </w:rPr>
        <w:t>is</w:t>
      </w:r>
      <w:proofErr w:type="spellEnd"/>
      <w:r>
        <w:rPr>
          <w:rFonts w:eastAsia="Calibri"/>
          <w:color w:val="000000"/>
          <w:sz w:val="22"/>
          <w:szCs w:val="22"/>
          <w:lang w:eastAsia="es-UY"/>
        </w:rPr>
        <w:t xml:space="preserve"> </w:t>
      </w:r>
      <w:proofErr w:type="spellStart"/>
      <w:r>
        <w:rPr>
          <w:rFonts w:eastAsia="Calibri"/>
          <w:color w:val="000000"/>
          <w:sz w:val="22"/>
          <w:szCs w:val="22"/>
          <w:lang w:eastAsia="es-UY"/>
        </w:rPr>
        <w:t>found</w:t>
      </w:r>
      <w:proofErr w:type="spellEnd"/>
      <w:r>
        <w:rPr>
          <w:rFonts w:eastAsia="Calibri"/>
          <w:color w:val="000000"/>
          <w:sz w:val="22"/>
          <w:szCs w:val="22"/>
          <w:lang w:eastAsia="es-UY"/>
        </w:rPr>
        <w:t xml:space="preserve"> </w:t>
      </w:r>
      <w:proofErr w:type="spellStart"/>
      <w:r>
        <w:rPr>
          <w:rFonts w:eastAsia="Calibri"/>
          <w:color w:val="000000"/>
          <w:sz w:val="22"/>
          <w:szCs w:val="22"/>
          <w:lang w:eastAsia="es-UY"/>
        </w:rPr>
        <w:t>to</w:t>
      </w:r>
      <w:proofErr w:type="spellEnd"/>
      <w:r>
        <w:rPr>
          <w:rFonts w:eastAsia="Calibri"/>
          <w:color w:val="000000"/>
          <w:sz w:val="22"/>
          <w:szCs w:val="22"/>
          <w:lang w:eastAsia="es-UY"/>
        </w:rPr>
        <w:t xml:space="preserve"> be false, </w:t>
      </w:r>
      <w:proofErr w:type="spellStart"/>
      <w:r>
        <w:rPr>
          <w:rFonts w:eastAsia="Calibri"/>
          <w:color w:val="000000"/>
          <w:sz w:val="22"/>
          <w:szCs w:val="22"/>
          <w:lang w:eastAsia="es-UY"/>
        </w:rPr>
        <w:t>the</w:t>
      </w:r>
      <w:proofErr w:type="spellEnd"/>
      <w:r>
        <w:rPr>
          <w:rFonts w:eastAsia="Calibri"/>
          <w:color w:val="000000"/>
          <w:sz w:val="22"/>
          <w:szCs w:val="22"/>
          <w:lang w:eastAsia="es-UY"/>
        </w:rPr>
        <w:t xml:space="preserve"> Company, </w:t>
      </w:r>
      <w:proofErr w:type="spellStart"/>
      <w:r>
        <w:rPr>
          <w:rFonts w:eastAsia="Calibri"/>
          <w:color w:val="000000"/>
          <w:sz w:val="22"/>
          <w:szCs w:val="22"/>
          <w:lang w:eastAsia="es-UY"/>
        </w:rPr>
        <w:t>its</w:t>
      </w:r>
      <w:proofErr w:type="spellEnd"/>
      <w:r>
        <w:rPr>
          <w:rFonts w:eastAsia="Calibri"/>
          <w:color w:val="000000"/>
          <w:sz w:val="22"/>
          <w:szCs w:val="22"/>
          <w:lang w:eastAsia="es-UY"/>
        </w:rPr>
        <w:t xml:space="preserve"> </w:t>
      </w:r>
      <w:proofErr w:type="spellStart"/>
      <w:r>
        <w:rPr>
          <w:rFonts w:eastAsia="Calibri"/>
          <w:color w:val="000000"/>
          <w:sz w:val="22"/>
          <w:szCs w:val="22"/>
          <w:lang w:eastAsia="es-UY"/>
        </w:rPr>
        <w:t>Technical</w:t>
      </w:r>
      <w:proofErr w:type="spellEnd"/>
      <w:r>
        <w:rPr>
          <w:rFonts w:eastAsia="Calibri"/>
          <w:color w:val="000000"/>
          <w:sz w:val="22"/>
          <w:szCs w:val="22"/>
          <w:lang w:eastAsia="es-UY"/>
        </w:rPr>
        <w:t xml:space="preserve"> Manager, and </w:t>
      </w:r>
      <w:proofErr w:type="spellStart"/>
      <w:r>
        <w:rPr>
          <w:rFonts w:eastAsia="Calibri"/>
          <w:color w:val="000000"/>
          <w:sz w:val="22"/>
          <w:szCs w:val="22"/>
          <w:lang w:eastAsia="es-UY"/>
        </w:rPr>
        <w:t>its</w:t>
      </w:r>
      <w:proofErr w:type="spellEnd"/>
      <w:r>
        <w:rPr>
          <w:rFonts w:eastAsia="Calibri"/>
          <w:color w:val="000000"/>
          <w:sz w:val="22"/>
          <w:szCs w:val="22"/>
          <w:lang w:eastAsia="es-UY"/>
        </w:rPr>
        <w:t xml:space="preserve"> </w:t>
      </w:r>
      <w:proofErr w:type="spellStart"/>
      <w:r>
        <w:rPr>
          <w:rFonts w:eastAsia="Calibri"/>
          <w:color w:val="000000"/>
          <w:sz w:val="22"/>
          <w:szCs w:val="22"/>
          <w:lang w:eastAsia="es-UY"/>
        </w:rPr>
        <w:t>Technical</w:t>
      </w:r>
      <w:proofErr w:type="spellEnd"/>
      <w:r>
        <w:rPr>
          <w:rFonts w:eastAsia="Calibri"/>
          <w:color w:val="000000"/>
          <w:sz w:val="22"/>
          <w:szCs w:val="22"/>
          <w:lang w:eastAsia="es-UY"/>
        </w:rPr>
        <w:t xml:space="preserve"> Representative </w:t>
      </w:r>
      <w:proofErr w:type="spellStart"/>
      <w:r>
        <w:rPr>
          <w:rFonts w:eastAsia="Calibri"/>
          <w:color w:val="000000"/>
          <w:sz w:val="22"/>
          <w:szCs w:val="22"/>
          <w:lang w:eastAsia="es-UY"/>
        </w:rPr>
        <w:t>accept</w:t>
      </w:r>
      <w:proofErr w:type="spellEnd"/>
      <w:r>
        <w:rPr>
          <w:rFonts w:eastAsia="Calibri"/>
          <w:color w:val="000000"/>
          <w:sz w:val="22"/>
          <w:szCs w:val="22"/>
          <w:lang w:eastAsia="es-UY"/>
        </w:rPr>
        <w:t xml:space="preserve"> </w:t>
      </w:r>
      <w:proofErr w:type="spellStart"/>
      <w:r>
        <w:rPr>
          <w:rFonts w:eastAsia="Calibri"/>
          <w:color w:val="000000"/>
          <w:sz w:val="22"/>
          <w:szCs w:val="22"/>
          <w:lang w:eastAsia="es-UY"/>
        </w:rPr>
        <w:t>the</w:t>
      </w:r>
      <w:proofErr w:type="spellEnd"/>
      <w:r>
        <w:rPr>
          <w:rFonts w:eastAsia="Calibri"/>
          <w:color w:val="000000"/>
          <w:sz w:val="22"/>
          <w:szCs w:val="22"/>
          <w:lang w:eastAsia="es-UY"/>
        </w:rPr>
        <w:t xml:space="preserve"> </w:t>
      </w:r>
      <w:proofErr w:type="spellStart"/>
      <w:r>
        <w:rPr>
          <w:rFonts w:eastAsia="Calibri"/>
          <w:color w:val="000000"/>
          <w:sz w:val="22"/>
          <w:szCs w:val="22"/>
          <w:lang w:eastAsia="es-UY"/>
        </w:rPr>
        <w:t>application</w:t>
      </w:r>
      <w:proofErr w:type="spellEnd"/>
      <w:r>
        <w:rPr>
          <w:rFonts w:eastAsia="Calibri"/>
          <w:color w:val="000000"/>
          <w:sz w:val="22"/>
          <w:szCs w:val="22"/>
          <w:lang w:eastAsia="es-UY"/>
        </w:rPr>
        <w:t xml:space="preserve"> </w:t>
      </w:r>
      <w:proofErr w:type="spellStart"/>
      <w:r>
        <w:rPr>
          <w:rFonts w:eastAsia="Calibri"/>
          <w:color w:val="000000"/>
          <w:sz w:val="22"/>
          <w:szCs w:val="22"/>
          <w:lang w:eastAsia="es-UY"/>
        </w:rPr>
        <w:t>of</w:t>
      </w:r>
      <w:proofErr w:type="spellEnd"/>
      <w:r>
        <w:rPr>
          <w:rFonts w:eastAsia="Calibri"/>
          <w:color w:val="000000"/>
          <w:sz w:val="22"/>
          <w:szCs w:val="22"/>
          <w:lang w:eastAsia="es-UY"/>
        </w:rPr>
        <w:t xml:space="preserve"> </w:t>
      </w:r>
      <w:proofErr w:type="spellStart"/>
      <w:r>
        <w:rPr>
          <w:rFonts w:eastAsia="Calibri"/>
          <w:color w:val="000000"/>
          <w:sz w:val="22"/>
          <w:szCs w:val="22"/>
          <w:lang w:eastAsia="es-UY"/>
        </w:rPr>
        <w:t>the</w:t>
      </w:r>
      <w:proofErr w:type="spellEnd"/>
      <w:r>
        <w:rPr>
          <w:rFonts w:eastAsia="Calibri"/>
          <w:color w:val="000000"/>
          <w:sz w:val="22"/>
          <w:szCs w:val="22"/>
          <w:lang w:eastAsia="es-UY"/>
        </w:rPr>
        <w:t xml:space="preserve"> </w:t>
      </w:r>
      <w:proofErr w:type="spellStart"/>
      <w:r>
        <w:rPr>
          <w:rFonts w:eastAsia="Calibri"/>
          <w:color w:val="000000"/>
          <w:sz w:val="22"/>
          <w:szCs w:val="22"/>
          <w:lang w:eastAsia="es-UY"/>
        </w:rPr>
        <w:t>penalties</w:t>
      </w:r>
      <w:proofErr w:type="spellEnd"/>
      <w:r>
        <w:rPr>
          <w:rFonts w:eastAsia="Calibri"/>
          <w:color w:val="000000"/>
          <w:sz w:val="22"/>
          <w:szCs w:val="22"/>
          <w:lang w:eastAsia="es-UY"/>
        </w:rPr>
        <w:t xml:space="preserve"> </w:t>
      </w:r>
      <w:proofErr w:type="spellStart"/>
      <w:r>
        <w:rPr>
          <w:rFonts w:eastAsia="Calibri"/>
          <w:color w:val="000000"/>
          <w:sz w:val="22"/>
          <w:szCs w:val="22"/>
          <w:lang w:eastAsia="es-UY"/>
        </w:rPr>
        <w:t>provided</w:t>
      </w:r>
      <w:proofErr w:type="spellEnd"/>
      <w:r>
        <w:rPr>
          <w:rFonts w:eastAsia="Calibri"/>
          <w:color w:val="000000"/>
          <w:sz w:val="22"/>
          <w:szCs w:val="22"/>
          <w:lang w:eastAsia="es-UY"/>
        </w:rPr>
        <w:t xml:space="preserve"> </w:t>
      </w:r>
      <w:proofErr w:type="spellStart"/>
      <w:r>
        <w:rPr>
          <w:rFonts w:eastAsia="Calibri"/>
          <w:color w:val="000000"/>
          <w:sz w:val="22"/>
          <w:szCs w:val="22"/>
          <w:lang w:eastAsia="es-UY"/>
        </w:rPr>
        <w:t>for</w:t>
      </w:r>
      <w:proofErr w:type="spellEnd"/>
      <w:r>
        <w:rPr>
          <w:rFonts w:eastAsia="Calibri"/>
          <w:color w:val="000000"/>
          <w:sz w:val="22"/>
          <w:szCs w:val="22"/>
          <w:lang w:eastAsia="es-UY"/>
        </w:rPr>
        <w:t xml:space="preserve"> in </w:t>
      </w:r>
      <w:proofErr w:type="spellStart"/>
      <w:r>
        <w:rPr>
          <w:rFonts w:eastAsia="Calibri"/>
          <w:color w:val="000000"/>
          <w:sz w:val="22"/>
          <w:szCs w:val="22"/>
          <w:lang w:eastAsia="es-UY"/>
        </w:rPr>
        <w:t>current</w:t>
      </w:r>
      <w:proofErr w:type="spellEnd"/>
      <w:r>
        <w:rPr>
          <w:rFonts w:eastAsia="Calibri"/>
          <w:color w:val="000000"/>
          <w:sz w:val="22"/>
          <w:szCs w:val="22"/>
          <w:lang w:eastAsia="es-UY"/>
        </w:rPr>
        <w:t xml:space="preserve"> </w:t>
      </w:r>
      <w:proofErr w:type="spellStart"/>
      <w:r>
        <w:rPr>
          <w:rFonts w:eastAsia="Calibri"/>
          <w:color w:val="000000"/>
          <w:sz w:val="22"/>
          <w:szCs w:val="22"/>
          <w:lang w:eastAsia="es-UY"/>
        </w:rPr>
        <w:t>regulations</w:t>
      </w:r>
      <w:proofErr w:type="spellEnd"/>
      <w:r>
        <w:rPr>
          <w:rFonts w:eastAsia="Calibri"/>
          <w:color w:val="000000"/>
          <w:sz w:val="22"/>
          <w:szCs w:val="22"/>
          <w:lang w:eastAsia="es-UY"/>
        </w:rPr>
        <w:t xml:space="preserve"> and </w:t>
      </w:r>
      <w:proofErr w:type="spellStart"/>
      <w:r>
        <w:rPr>
          <w:rFonts w:eastAsia="Calibri"/>
          <w:color w:val="000000"/>
          <w:sz w:val="22"/>
          <w:szCs w:val="22"/>
          <w:lang w:eastAsia="es-UY"/>
        </w:rPr>
        <w:t>may</w:t>
      </w:r>
      <w:proofErr w:type="spellEnd"/>
      <w:r>
        <w:rPr>
          <w:rFonts w:eastAsia="Calibri"/>
          <w:color w:val="000000"/>
          <w:sz w:val="22"/>
          <w:szCs w:val="22"/>
          <w:lang w:eastAsia="es-UY"/>
        </w:rPr>
        <w:t xml:space="preserve"> be </w:t>
      </w:r>
      <w:proofErr w:type="spellStart"/>
      <w:r>
        <w:rPr>
          <w:rFonts w:eastAsia="Calibri"/>
          <w:color w:val="000000"/>
          <w:sz w:val="22"/>
          <w:szCs w:val="22"/>
          <w:lang w:eastAsia="es-UY"/>
        </w:rPr>
        <w:t>subject</w:t>
      </w:r>
      <w:proofErr w:type="spellEnd"/>
      <w:r>
        <w:rPr>
          <w:rFonts w:eastAsia="Calibri"/>
          <w:color w:val="000000"/>
          <w:sz w:val="22"/>
          <w:szCs w:val="22"/>
          <w:lang w:eastAsia="es-UY"/>
        </w:rPr>
        <w:t xml:space="preserve"> </w:t>
      </w:r>
      <w:proofErr w:type="spellStart"/>
      <w:r>
        <w:rPr>
          <w:rFonts w:eastAsia="Calibri"/>
          <w:color w:val="000000"/>
          <w:sz w:val="22"/>
          <w:szCs w:val="22"/>
          <w:lang w:eastAsia="es-UY"/>
        </w:rPr>
        <w:t>to</w:t>
      </w:r>
      <w:proofErr w:type="spellEnd"/>
      <w:r>
        <w:rPr>
          <w:rFonts w:eastAsia="Calibri"/>
          <w:color w:val="000000"/>
          <w:sz w:val="22"/>
          <w:szCs w:val="22"/>
          <w:lang w:eastAsia="es-UY"/>
        </w:rPr>
        <w:t xml:space="preserve"> </w:t>
      </w:r>
      <w:proofErr w:type="spellStart"/>
      <w:r>
        <w:rPr>
          <w:rFonts w:eastAsia="Calibri"/>
          <w:color w:val="000000"/>
          <w:sz w:val="22"/>
          <w:szCs w:val="22"/>
          <w:lang w:eastAsia="es-UY"/>
        </w:rPr>
        <w:t>the</w:t>
      </w:r>
      <w:proofErr w:type="spellEnd"/>
      <w:r>
        <w:rPr>
          <w:rFonts w:eastAsia="Calibri"/>
          <w:color w:val="000000"/>
          <w:sz w:val="22"/>
          <w:szCs w:val="22"/>
          <w:lang w:eastAsia="es-UY"/>
        </w:rPr>
        <w:t xml:space="preserve"> </w:t>
      </w:r>
      <w:proofErr w:type="spellStart"/>
      <w:r>
        <w:rPr>
          <w:rFonts w:eastAsia="Calibri"/>
          <w:color w:val="000000"/>
          <w:sz w:val="22"/>
          <w:szCs w:val="22"/>
          <w:lang w:eastAsia="es-UY"/>
        </w:rPr>
        <w:t>application</w:t>
      </w:r>
      <w:proofErr w:type="spellEnd"/>
      <w:r>
        <w:rPr>
          <w:rFonts w:eastAsia="Calibri"/>
          <w:color w:val="000000"/>
          <w:sz w:val="22"/>
          <w:szCs w:val="22"/>
          <w:lang w:eastAsia="es-UY"/>
        </w:rPr>
        <w:t xml:space="preserve"> </w:t>
      </w:r>
      <w:proofErr w:type="spellStart"/>
      <w:r>
        <w:rPr>
          <w:rFonts w:eastAsia="Calibri"/>
          <w:color w:val="000000"/>
          <w:sz w:val="22"/>
          <w:szCs w:val="22"/>
          <w:lang w:eastAsia="es-UY"/>
        </w:rPr>
        <w:t>of</w:t>
      </w:r>
      <w:proofErr w:type="spellEnd"/>
      <w:r>
        <w:rPr>
          <w:rFonts w:eastAsia="Calibri"/>
          <w:color w:val="000000"/>
          <w:sz w:val="22"/>
          <w:szCs w:val="22"/>
          <w:lang w:eastAsia="es-UY"/>
        </w:rPr>
        <w:t xml:space="preserve"> </w:t>
      </w:r>
      <w:proofErr w:type="spellStart"/>
      <w:r>
        <w:rPr>
          <w:rFonts w:eastAsia="Calibri"/>
          <w:color w:val="000000"/>
          <w:sz w:val="22"/>
          <w:szCs w:val="22"/>
          <w:lang w:eastAsia="es-UY"/>
        </w:rPr>
        <w:t>Article</w:t>
      </w:r>
      <w:proofErr w:type="spellEnd"/>
      <w:r>
        <w:rPr>
          <w:rFonts w:eastAsia="Calibri"/>
          <w:color w:val="000000"/>
          <w:sz w:val="22"/>
          <w:szCs w:val="22"/>
          <w:lang w:eastAsia="es-UY"/>
        </w:rPr>
        <w:t xml:space="preserve"> 237 </w:t>
      </w:r>
      <w:proofErr w:type="spellStart"/>
      <w:r>
        <w:rPr>
          <w:rFonts w:eastAsia="Calibri"/>
          <w:color w:val="000000"/>
          <w:sz w:val="22"/>
          <w:szCs w:val="22"/>
          <w:lang w:eastAsia="es-UY"/>
        </w:rPr>
        <w:t>of</w:t>
      </w:r>
      <w:proofErr w:type="spellEnd"/>
      <w:r>
        <w:rPr>
          <w:rFonts w:eastAsia="Calibri"/>
          <w:color w:val="000000"/>
          <w:sz w:val="22"/>
          <w:szCs w:val="22"/>
          <w:lang w:eastAsia="es-UY"/>
        </w:rPr>
        <w:t xml:space="preserve"> </w:t>
      </w:r>
      <w:proofErr w:type="spellStart"/>
      <w:r>
        <w:rPr>
          <w:rFonts w:eastAsia="Calibri"/>
          <w:color w:val="000000"/>
          <w:sz w:val="22"/>
          <w:szCs w:val="22"/>
          <w:lang w:eastAsia="es-UY"/>
        </w:rPr>
        <w:t>the</w:t>
      </w:r>
      <w:proofErr w:type="spellEnd"/>
      <w:r>
        <w:rPr>
          <w:rFonts w:eastAsia="Calibri"/>
          <w:color w:val="000000"/>
          <w:sz w:val="22"/>
          <w:szCs w:val="22"/>
          <w:lang w:eastAsia="es-UY"/>
        </w:rPr>
        <w:t xml:space="preserve"> Criminal Code, </w:t>
      </w:r>
      <w:proofErr w:type="spellStart"/>
      <w:r>
        <w:rPr>
          <w:rFonts w:eastAsia="Calibri"/>
          <w:color w:val="000000"/>
          <w:sz w:val="22"/>
          <w:szCs w:val="22"/>
          <w:lang w:eastAsia="es-UY"/>
        </w:rPr>
        <w:t>which</w:t>
      </w:r>
      <w:proofErr w:type="spellEnd"/>
      <w:r>
        <w:rPr>
          <w:rFonts w:eastAsia="Calibri"/>
          <w:color w:val="000000"/>
          <w:sz w:val="22"/>
          <w:szCs w:val="22"/>
          <w:lang w:eastAsia="es-UY"/>
        </w:rPr>
        <w:t xml:space="preserve"> </w:t>
      </w:r>
      <w:proofErr w:type="spellStart"/>
      <w:r>
        <w:rPr>
          <w:rFonts w:eastAsia="Calibri"/>
          <w:color w:val="000000"/>
          <w:sz w:val="22"/>
          <w:szCs w:val="22"/>
          <w:lang w:eastAsia="es-UY"/>
        </w:rPr>
        <w:t>states</w:t>
      </w:r>
      <w:proofErr w:type="spellEnd"/>
      <w:r>
        <w:rPr>
          <w:rFonts w:eastAsia="Calibri"/>
          <w:color w:val="000000"/>
          <w:sz w:val="22"/>
          <w:szCs w:val="22"/>
          <w:lang w:eastAsia="es-UY"/>
        </w:rPr>
        <w:t>: (</w:t>
      </w:r>
      <w:proofErr w:type="spellStart"/>
      <w:r>
        <w:rPr>
          <w:rFonts w:eastAsia="Calibri"/>
          <w:color w:val="000000"/>
          <w:sz w:val="22"/>
          <w:szCs w:val="22"/>
          <w:lang w:eastAsia="es-UY"/>
        </w:rPr>
        <w:t>Forgery</w:t>
      </w:r>
      <w:proofErr w:type="spellEnd"/>
      <w:r>
        <w:rPr>
          <w:rFonts w:eastAsia="Calibri"/>
          <w:color w:val="000000"/>
          <w:sz w:val="22"/>
          <w:szCs w:val="22"/>
          <w:lang w:eastAsia="es-UY"/>
        </w:rPr>
        <w:t xml:space="preserve"> </w:t>
      </w:r>
      <w:proofErr w:type="spellStart"/>
      <w:r>
        <w:rPr>
          <w:rFonts w:eastAsia="Calibri"/>
          <w:color w:val="000000"/>
          <w:sz w:val="22"/>
          <w:szCs w:val="22"/>
          <w:lang w:eastAsia="es-UY"/>
        </w:rPr>
        <w:t>or</w:t>
      </w:r>
      <w:proofErr w:type="spellEnd"/>
      <w:r>
        <w:rPr>
          <w:rFonts w:eastAsia="Calibri"/>
          <w:color w:val="000000"/>
          <w:sz w:val="22"/>
          <w:szCs w:val="22"/>
          <w:lang w:eastAsia="es-UY"/>
        </w:rPr>
        <w:t xml:space="preserve"> </w:t>
      </w:r>
      <w:proofErr w:type="spellStart"/>
      <w:r>
        <w:rPr>
          <w:rFonts w:eastAsia="Calibri"/>
          <w:color w:val="000000"/>
          <w:sz w:val="22"/>
          <w:szCs w:val="22"/>
          <w:lang w:eastAsia="es-UY"/>
        </w:rPr>
        <w:t>alteration</w:t>
      </w:r>
      <w:proofErr w:type="spellEnd"/>
      <w:r>
        <w:rPr>
          <w:rFonts w:eastAsia="Calibri"/>
          <w:color w:val="000000"/>
          <w:sz w:val="22"/>
          <w:szCs w:val="22"/>
          <w:lang w:eastAsia="es-UY"/>
        </w:rPr>
        <w:t xml:space="preserve"> </w:t>
      </w:r>
      <w:proofErr w:type="spellStart"/>
      <w:r>
        <w:rPr>
          <w:rFonts w:eastAsia="Calibri"/>
          <w:color w:val="000000"/>
          <w:sz w:val="22"/>
          <w:szCs w:val="22"/>
          <w:lang w:eastAsia="es-UY"/>
        </w:rPr>
        <w:t>of</w:t>
      </w:r>
      <w:proofErr w:type="spellEnd"/>
      <w:r>
        <w:rPr>
          <w:rFonts w:eastAsia="Calibri"/>
          <w:color w:val="000000"/>
          <w:sz w:val="22"/>
          <w:szCs w:val="22"/>
          <w:lang w:eastAsia="es-UY"/>
        </w:rPr>
        <w:t xml:space="preserve"> a </w:t>
      </w:r>
      <w:proofErr w:type="spellStart"/>
      <w:r>
        <w:rPr>
          <w:rFonts w:eastAsia="Calibri"/>
          <w:color w:val="000000"/>
          <w:sz w:val="22"/>
          <w:szCs w:val="22"/>
          <w:lang w:eastAsia="es-UY"/>
        </w:rPr>
        <w:t>public</w:t>
      </w:r>
      <w:proofErr w:type="spellEnd"/>
      <w:r>
        <w:rPr>
          <w:rFonts w:eastAsia="Calibri"/>
          <w:color w:val="000000"/>
          <w:sz w:val="22"/>
          <w:szCs w:val="22"/>
          <w:lang w:eastAsia="es-UY"/>
        </w:rPr>
        <w:t xml:space="preserve"> </w:t>
      </w:r>
      <w:proofErr w:type="spellStart"/>
      <w:r>
        <w:rPr>
          <w:rFonts w:eastAsia="Calibri"/>
          <w:color w:val="000000"/>
          <w:sz w:val="22"/>
          <w:szCs w:val="22"/>
          <w:lang w:eastAsia="es-UY"/>
        </w:rPr>
        <w:t>document</w:t>
      </w:r>
      <w:proofErr w:type="spellEnd"/>
      <w:r>
        <w:rPr>
          <w:rFonts w:eastAsia="Calibri"/>
          <w:color w:val="000000"/>
          <w:sz w:val="22"/>
          <w:szCs w:val="22"/>
          <w:lang w:eastAsia="es-UY"/>
        </w:rPr>
        <w:t xml:space="preserve"> </w:t>
      </w:r>
      <w:proofErr w:type="spellStart"/>
      <w:r>
        <w:rPr>
          <w:rFonts w:eastAsia="Calibri"/>
          <w:color w:val="000000"/>
          <w:sz w:val="22"/>
          <w:szCs w:val="22"/>
          <w:lang w:eastAsia="es-UY"/>
        </w:rPr>
        <w:t>by</w:t>
      </w:r>
      <w:proofErr w:type="spellEnd"/>
      <w:r>
        <w:rPr>
          <w:rFonts w:eastAsia="Calibri"/>
          <w:color w:val="000000"/>
          <w:sz w:val="22"/>
          <w:szCs w:val="22"/>
          <w:lang w:eastAsia="es-UY"/>
        </w:rPr>
        <w:t xml:space="preserve"> a </w:t>
      </w:r>
      <w:proofErr w:type="spellStart"/>
      <w:r>
        <w:rPr>
          <w:rFonts w:eastAsia="Calibri"/>
          <w:color w:val="000000"/>
          <w:sz w:val="22"/>
          <w:szCs w:val="22"/>
          <w:lang w:eastAsia="es-UY"/>
        </w:rPr>
        <w:t>private</w:t>
      </w:r>
      <w:proofErr w:type="spellEnd"/>
      <w:r>
        <w:rPr>
          <w:rFonts w:eastAsia="Calibri"/>
          <w:color w:val="000000"/>
          <w:sz w:val="22"/>
          <w:szCs w:val="22"/>
          <w:lang w:eastAsia="es-UY"/>
        </w:rPr>
        <w:t xml:space="preserve"> individual </w:t>
      </w:r>
      <w:proofErr w:type="spellStart"/>
      <w:r>
        <w:rPr>
          <w:rFonts w:eastAsia="Calibri"/>
          <w:color w:val="000000"/>
          <w:sz w:val="22"/>
          <w:szCs w:val="22"/>
          <w:lang w:eastAsia="es-UY"/>
        </w:rPr>
        <w:t>or</w:t>
      </w:r>
      <w:proofErr w:type="spellEnd"/>
      <w:r>
        <w:rPr>
          <w:rFonts w:eastAsia="Calibri"/>
          <w:color w:val="000000"/>
          <w:sz w:val="22"/>
          <w:szCs w:val="22"/>
          <w:lang w:eastAsia="es-UY"/>
        </w:rPr>
        <w:t xml:space="preserve"> </w:t>
      </w:r>
      <w:proofErr w:type="spellStart"/>
      <w:r>
        <w:rPr>
          <w:rFonts w:eastAsia="Calibri"/>
          <w:color w:val="000000"/>
          <w:sz w:val="22"/>
          <w:szCs w:val="22"/>
          <w:lang w:eastAsia="es-UY"/>
        </w:rPr>
        <w:t>public</w:t>
      </w:r>
      <w:proofErr w:type="spellEnd"/>
      <w:r>
        <w:rPr>
          <w:rFonts w:eastAsia="Calibri"/>
          <w:color w:val="000000"/>
          <w:sz w:val="22"/>
          <w:szCs w:val="22"/>
          <w:lang w:eastAsia="es-UY"/>
        </w:rPr>
        <w:t xml:space="preserve"> </w:t>
      </w:r>
      <w:proofErr w:type="spellStart"/>
      <w:r>
        <w:rPr>
          <w:rFonts w:eastAsia="Calibri"/>
          <w:color w:val="000000"/>
          <w:sz w:val="22"/>
          <w:szCs w:val="22"/>
          <w:lang w:eastAsia="es-UY"/>
        </w:rPr>
        <w:t>official</w:t>
      </w:r>
      <w:proofErr w:type="spellEnd"/>
      <w:r>
        <w:rPr>
          <w:rFonts w:eastAsia="Calibri"/>
          <w:color w:val="000000"/>
          <w:sz w:val="22"/>
          <w:szCs w:val="22"/>
          <w:lang w:eastAsia="es-UY"/>
        </w:rPr>
        <w:t xml:space="preserve"> </w:t>
      </w:r>
      <w:proofErr w:type="spellStart"/>
      <w:r>
        <w:rPr>
          <w:rFonts w:eastAsia="Calibri"/>
          <w:color w:val="000000"/>
          <w:sz w:val="22"/>
          <w:szCs w:val="22"/>
          <w:lang w:eastAsia="es-UY"/>
        </w:rPr>
        <w:t>outside</w:t>
      </w:r>
      <w:proofErr w:type="spellEnd"/>
      <w:r>
        <w:rPr>
          <w:rFonts w:eastAsia="Calibri"/>
          <w:color w:val="000000"/>
          <w:sz w:val="22"/>
          <w:szCs w:val="22"/>
          <w:lang w:eastAsia="es-UY"/>
        </w:rPr>
        <w:t xml:space="preserve"> </w:t>
      </w:r>
      <w:proofErr w:type="spellStart"/>
      <w:r>
        <w:rPr>
          <w:rFonts w:eastAsia="Calibri"/>
          <w:color w:val="000000"/>
          <w:sz w:val="22"/>
          <w:szCs w:val="22"/>
          <w:lang w:eastAsia="es-UY"/>
        </w:rPr>
        <w:t>the</w:t>
      </w:r>
      <w:proofErr w:type="spellEnd"/>
      <w:r>
        <w:rPr>
          <w:rFonts w:eastAsia="Calibri"/>
          <w:color w:val="000000"/>
          <w:sz w:val="22"/>
          <w:szCs w:val="22"/>
          <w:lang w:eastAsia="es-UY"/>
        </w:rPr>
        <w:t xml:space="preserve"> </w:t>
      </w:r>
      <w:proofErr w:type="spellStart"/>
      <w:r>
        <w:rPr>
          <w:rFonts w:eastAsia="Calibri"/>
          <w:color w:val="000000"/>
          <w:sz w:val="22"/>
          <w:szCs w:val="22"/>
          <w:lang w:eastAsia="es-UY"/>
        </w:rPr>
        <w:t>exercise</w:t>
      </w:r>
      <w:proofErr w:type="spellEnd"/>
      <w:r>
        <w:rPr>
          <w:rFonts w:eastAsia="Calibri"/>
          <w:color w:val="000000"/>
          <w:sz w:val="22"/>
          <w:szCs w:val="22"/>
          <w:lang w:eastAsia="es-UY"/>
        </w:rPr>
        <w:t xml:space="preserve"> </w:t>
      </w:r>
      <w:proofErr w:type="spellStart"/>
      <w:r>
        <w:rPr>
          <w:rFonts w:eastAsia="Calibri"/>
          <w:color w:val="000000"/>
          <w:sz w:val="22"/>
          <w:szCs w:val="22"/>
          <w:lang w:eastAsia="es-UY"/>
        </w:rPr>
        <w:t>of</w:t>
      </w:r>
      <w:proofErr w:type="spellEnd"/>
      <w:r>
        <w:rPr>
          <w:rFonts w:eastAsia="Calibri"/>
          <w:color w:val="000000"/>
          <w:sz w:val="22"/>
          <w:szCs w:val="22"/>
          <w:lang w:eastAsia="es-UY"/>
        </w:rPr>
        <w:t xml:space="preserve"> </w:t>
      </w:r>
      <w:proofErr w:type="spellStart"/>
      <w:r>
        <w:rPr>
          <w:rFonts w:eastAsia="Calibri"/>
          <w:color w:val="000000"/>
          <w:sz w:val="22"/>
          <w:szCs w:val="22"/>
          <w:lang w:eastAsia="es-UY"/>
        </w:rPr>
        <w:t>their</w:t>
      </w:r>
      <w:proofErr w:type="spellEnd"/>
      <w:r>
        <w:rPr>
          <w:rFonts w:eastAsia="Calibri"/>
          <w:color w:val="000000"/>
          <w:sz w:val="22"/>
          <w:szCs w:val="22"/>
          <w:lang w:eastAsia="es-UY"/>
        </w:rPr>
        <w:t xml:space="preserve"> </w:t>
      </w:r>
      <w:proofErr w:type="spellStart"/>
      <w:r>
        <w:rPr>
          <w:rFonts w:eastAsia="Calibri"/>
          <w:color w:val="000000"/>
          <w:sz w:val="22"/>
          <w:szCs w:val="22"/>
          <w:lang w:eastAsia="es-UY"/>
        </w:rPr>
        <w:t>duties</w:t>
      </w:r>
      <w:proofErr w:type="spellEnd"/>
      <w:r>
        <w:rPr>
          <w:rFonts w:eastAsia="Calibri"/>
          <w:color w:val="000000"/>
          <w:sz w:val="22"/>
          <w:szCs w:val="22"/>
          <w:lang w:eastAsia="es-UY"/>
        </w:rPr>
        <w:t xml:space="preserve">) “Any </w:t>
      </w:r>
      <w:proofErr w:type="spellStart"/>
      <w:r>
        <w:rPr>
          <w:rFonts w:eastAsia="Calibri"/>
          <w:color w:val="000000"/>
          <w:sz w:val="22"/>
          <w:szCs w:val="22"/>
          <w:lang w:eastAsia="es-UY"/>
        </w:rPr>
        <w:t>private</w:t>
      </w:r>
      <w:proofErr w:type="spellEnd"/>
      <w:r>
        <w:rPr>
          <w:rFonts w:eastAsia="Calibri"/>
          <w:color w:val="000000"/>
          <w:sz w:val="22"/>
          <w:szCs w:val="22"/>
          <w:lang w:eastAsia="es-UY"/>
        </w:rPr>
        <w:t xml:space="preserve"> individual </w:t>
      </w:r>
      <w:proofErr w:type="spellStart"/>
      <w:r>
        <w:rPr>
          <w:rFonts w:eastAsia="Calibri"/>
          <w:color w:val="000000"/>
          <w:sz w:val="22"/>
          <w:szCs w:val="22"/>
          <w:lang w:eastAsia="es-UY"/>
        </w:rPr>
        <w:t>or</w:t>
      </w:r>
      <w:proofErr w:type="spellEnd"/>
      <w:r>
        <w:rPr>
          <w:rFonts w:eastAsia="Calibri"/>
          <w:color w:val="000000"/>
          <w:sz w:val="22"/>
          <w:szCs w:val="22"/>
          <w:lang w:eastAsia="es-UY"/>
        </w:rPr>
        <w:t xml:space="preserve"> </w:t>
      </w:r>
      <w:proofErr w:type="spellStart"/>
      <w:r>
        <w:rPr>
          <w:rFonts w:eastAsia="Calibri"/>
          <w:color w:val="000000"/>
          <w:sz w:val="22"/>
          <w:szCs w:val="22"/>
          <w:lang w:eastAsia="es-UY"/>
        </w:rPr>
        <w:t>public</w:t>
      </w:r>
      <w:proofErr w:type="spellEnd"/>
      <w:r>
        <w:rPr>
          <w:rFonts w:eastAsia="Calibri"/>
          <w:color w:val="000000"/>
          <w:sz w:val="22"/>
          <w:szCs w:val="22"/>
          <w:lang w:eastAsia="es-UY"/>
        </w:rPr>
        <w:t xml:space="preserve"> </w:t>
      </w:r>
      <w:proofErr w:type="spellStart"/>
      <w:r>
        <w:rPr>
          <w:rFonts w:eastAsia="Calibri"/>
          <w:color w:val="000000"/>
          <w:sz w:val="22"/>
          <w:szCs w:val="22"/>
          <w:lang w:eastAsia="es-UY"/>
        </w:rPr>
        <w:t>official</w:t>
      </w:r>
      <w:proofErr w:type="spellEnd"/>
      <w:r>
        <w:rPr>
          <w:rFonts w:eastAsia="Calibri"/>
          <w:color w:val="000000"/>
          <w:sz w:val="22"/>
          <w:szCs w:val="22"/>
          <w:lang w:eastAsia="es-UY"/>
        </w:rPr>
        <w:t xml:space="preserve"> </w:t>
      </w:r>
      <w:proofErr w:type="spellStart"/>
      <w:r>
        <w:rPr>
          <w:rFonts w:eastAsia="Calibri"/>
          <w:color w:val="000000"/>
          <w:sz w:val="22"/>
          <w:szCs w:val="22"/>
          <w:lang w:eastAsia="es-UY"/>
        </w:rPr>
        <w:t>who</w:t>
      </w:r>
      <w:proofErr w:type="spellEnd"/>
      <w:r>
        <w:rPr>
          <w:rFonts w:eastAsia="Calibri"/>
          <w:color w:val="000000"/>
          <w:sz w:val="22"/>
          <w:szCs w:val="22"/>
          <w:lang w:eastAsia="es-UY"/>
        </w:rPr>
        <w:t xml:space="preserve">, </w:t>
      </w:r>
      <w:proofErr w:type="spellStart"/>
      <w:r>
        <w:rPr>
          <w:rFonts w:eastAsia="Calibri"/>
          <w:color w:val="000000"/>
          <w:sz w:val="22"/>
          <w:szCs w:val="22"/>
          <w:lang w:eastAsia="es-UY"/>
        </w:rPr>
        <w:t>outside</w:t>
      </w:r>
      <w:proofErr w:type="spellEnd"/>
      <w:r>
        <w:rPr>
          <w:rFonts w:eastAsia="Calibri"/>
          <w:color w:val="000000"/>
          <w:sz w:val="22"/>
          <w:szCs w:val="22"/>
          <w:lang w:eastAsia="es-UY"/>
        </w:rPr>
        <w:t xml:space="preserve"> </w:t>
      </w:r>
      <w:proofErr w:type="spellStart"/>
      <w:r>
        <w:rPr>
          <w:rFonts w:eastAsia="Calibri"/>
          <w:color w:val="000000"/>
          <w:sz w:val="22"/>
          <w:szCs w:val="22"/>
          <w:lang w:eastAsia="es-UY"/>
        </w:rPr>
        <w:t>the</w:t>
      </w:r>
      <w:proofErr w:type="spellEnd"/>
      <w:r>
        <w:rPr>
          <w:rFonts w:eastAsia="Calibri"/>
          <w:color w:val="000000"/>
          <w:sz w:val="22"/>
          <w:szCs w:val="22"/>
          <w:lang w:eastAsia="es-UY"/>
        </w:rPr>
        <w:t xml:space="preserve"> </w:t>
      </w:r>
      <w:proofErr w:type="spellStart"/>
      <w:r>
        <w:rPr>
          <w:rFonts w:eastAsia="Calibri"/>
          <w:color w:val="000000"/>
          <w:sz w:val="22"/>
          <w:szCs w:val="22"/>
          <w:lang w:eastAsia="es-UY"/>
        </w:rPr>
        <w:t>exercise</w:t>
      </w:r>
      <w:proofErr w:type="spellEnd"/>
      <w:r>
        <w:rPr>
          <w:rFonts w:eastAsia="Calibri"/>
          <w:color w:val="000000"/>
          <w:sz w:val="22"/>
          <w:szCs w:val="22"/>
          <w:lang w:eastAsia="es-UY"/>
        </w:rPr>
        <w:t xml:space="preserve"> </w:t>
      </w:r>
      <w:proofErr w:type="spellStart"/>
      <w:r>
        <w:rPr>
          <w:rFonts w:eastAsia="Calibri"/>
          <w:color w:val="000000"/>
          <w:sz w:val="22"/>
          <w:szCs w:val="22"/>
          <w:lang w:eastAsia="es-UY"/>
        </w:rPr>
        <w:t>of</w:t>
      </w:r>
      <w:proofErr w:type="spellEnd"/>
      <w:r>
        <w:rPr>
          <w:rFonts w:eastAsia="Calibri"/>
          <w:color w:val="000000"/>
          <w:sz w:val="22"/>
          <w:szCs w:val="22"/>
          <w:lang w:eastAsia="es-UY"/>
        </w:rPr>
        <w:t xml:space="preserve"> </w:t>
      </w:r>
      <w:proofErr w:type="spellStart"/>
      <w:r>
        <w:rPr>
          <w:rFonts w:eastAsia="Calibri"/>
          <w:color w:val="000000"/>
          <w:sz w:val="22"/>
          <w:szCs w:val="22"/>
          <w:lang w:eastAsia="es-UY"/>
        </w:rPr>
        <w:t>their</w:t>
      </w:r>
      <w:proofErr w:type="spellEnd"/>
      <w:r>
        <w:rPr>
          <w:rFonts w:eastAsia="Calibri"/>
          <w:color w:val="000000"/>
          <w:sz w:val="22"/>
          <w:szCs w:val="22"/>
          <w:lang w:eastAsia="es-UY"/>
        </w:rPr>
        <w:t xml:space="preserve"> </w:t>
      </w:r>
      <w:proofErr w:type="spellStart"/>
      <w:r>
        <w:rPr>
          <w:rFonts w:eastAsia="Calibri"/>
          <w:color w:val="000000"/>
          <w:sz w:val="22"/>
          <w:szCs w:val="22"/>
          <w:lang w:eastAsia="es-UY"/>
        </w:rPr>
        <w:t>duties</w:t>
      </w:r>
      <w:proofErr w:type="spellEnd"/>
      <w:r>
        <w:rPr>
          <w:rFonts w:eastAsia="Calibri"/>
          <w:color w:val="000000"/>
          <w:sz w:val="22"/>
          <w:szCs w:val="22"/>
          <w:lang w:eastAsia="es-UY"/>
        </w:rPr>
        <w:t xml:space="preserve">, </w:t>
      </w:r>
      <w:proofErr w:type="spellStart"/>
      <w:r>
        <w:rPr>
          <w:rFonts w:eastAsia="Calibri"/>
          <w:color w:val="000000"/>
          <w:sz w:val="22"/>
          <w:szCs w:val="22"/>
          <w:lang w:eastAsia="es-UY"/>
        </w:rPr>
        <w:t>creates</w:t>
      </w:r>
      <w:proofErr w:type="spellEnd"/>
      <w:r>
        <w:rPr>
          <w:rFonts w:eastAsia="Calibri"/>
          <w:color w:val="000000"/>
          <w:sz w:val="22"/>
          <w:szCs w:val="22"/>
          <w:lang w:eastAsia="es-UY"/>
        </w:rPr>
        <w:t xml:space="preserve"> a false </w:t>
      </w:r>
      <w:proofErr w:type="spellStart"/>
      <w:r>
        <w:rPr>
          <w:rFonts w:eastAsia="Calibri"/>
          <w:color w:val="000000"/>
          <w:sz w:val="22"/>
          <w:szCs w:val="22"/>
          <w:lang w:eastAsia="es-UY"/>
        </w:rPr>
        <w:t>public</w:t>
      </w:r>
      <w:proofErr w:type="spellEnd"/>
      <w:r>
        <w:rPr>
          <w:rFonts w:eastAsia="Calibri"/>
          <w:color w:val="000000"/>
          <w:sz w:val="22"/>
          <w:szCs w:val="22"/>
          <w:lang w:eastAsia="es-UY"/>
        </w:rPr>
        <w:t xml:space="preserve"> </w:t>
      </w:r>
      <w:proofErr w:type="spellStart"/>
      <w:r>
        <w:rPr>
          <w:rFonts w:eastAsia="Calibri"/>
          <w:color w:val="000000"/>
          <w:sz w:val="22"/>
          <w:szCs w:val="22"/>
          <w:lang w:eastAsia="es-UY"/>
        </w:rPr>
        <w:t>document</w:t>
      </w:r>
      <w:proofErr w:type="spellEnd"/>
      <w:r>
        <w:rPr>
          <w:rFonts w:eastAsia="Calibri"/>
          <w:color w:val="000000"/>
          <w:sz w:val="22"/>
          <w:szCs w:val="22"/>
          <w:lang w:eastAsia="es-UY"/>
        </w:rPr>
        <w:t xml:space="preserve"> </w:t>
      </w:r>
      <w:proofErr w:type="spellStart"/>
      <w:r>
        <w:rPr>
          <w:rFonts w:eastAsia="Calibri"/>
          <w:color w:val="000000"/>
          <w:sz w:val="22"/>
          <w:szCs w:val="22"/>
          <w:lang w:eastAsia="es-UY"/>
        </w:rPr>
        <w:t>or</w:t>
      </w:r>
      <w:proofErr w:type="spellEnd"/>
      <w:r>
        <w:rPr>
          <w:rFonts w:eastAsia="Calibri"/>
          <w:color w:val="000000"/>
          <w:sz w:val="22"/>
          <w:szCs w:val="22"/>
          <w:lang w:eastAsia="es-UY"/>
        </w:rPr>
        <w:t xml:space="preserve"> </w:t>
      </w:r>
      <w:proofErr w:type="spellStart"/>
      <w:r>
        <w:rPr>
          <w:rFonts w:eastAsia="Calibri"/>
          <w:color w:val="000000"/>
          <w:sz w:val="22"/>
          <w:szCs w:val="22"/>
          <w:lang w:eastAsia="es-UY"/>
        </w:rPr>
        <w:t>alters</w:t>
      </w:r>
      <w:proofErr w:type="spellEnd"/>
      <w:r>
        <w:rPr>
          <w:rFonts w:eastAsia="Calibri"/>
          <w:color w:val="000000"/>
          <w:sz w:val="22"/>
          <w:szCs w:val="22"/>
          <w:lang w:eastAsia="es-UY"/>
        </w:rPr>
        <w:t xml:space="preserve"> a genuine </w:t>
      </w:r>
      <w:proofErr w:type="spellStart"/>
      <w:r>
        <w:rPr>
          <w:rFonts w:eastAsia="Calibri"/>
          <w:color w:val="000000"/>
          <w:sz w:val="22"/>
          <w:szCs w:val="22"/>
          <w:lang w:eastAsia="es-UY"/>
        </w:rPr>
        <w:t>public</w:t>
      </w:r>
      <w:proofErr w:type="spellEnd"/>
      <w:r>
        <w:rPr>
          <w:rFonts w:eastAsia="Calibri"/>
          <w:color w:val="000000"/>
          <w:sz w:val="22"/>
          <w:szCs w:val="22"/>
          <w:lang w:eastAsia="es-UY"/>
        </w:rPr>
        <w:t xml:space="preserve"> </w:t>
      </w:r>
      <w:proofErr w:type="spellStart"/>
      <w:r>
        <w:rPr>
          <w:rFonts w:eastAsia="Calibri"/>
          <w:color w:val="000000"/>
          <w:sz w:val="22"/>
          <w:szCs w:val="22"/>
          <w:lang w:eastAsia="es-UY"/>
        </w:rPr>
        <w:t>document</w:t>
      </w:r>
      <w:proofErr w:type="spellEnd"/>
      <w:r>
        <w:rPr>
          <w:rFonts w:eastAsia="Calibri"/>
          <w:color w:val="000000"/>
          <w:sz w:val="22"/>
          <w:szCs w:val="22"/>
          <w:lang w:eastAsia="es-UY"/>
        </w:rPr>
        <w:t xml:space="preserve">, </w:t>
      </w:r>
      <w:proofErr w:type="spellStart"/>
      <w:r>
        <w:rPr>
          <w:rFonts w:eastAsia="Calibri"/>
          <w:color w:val="000000"/>
          <w:sz w:val="22"/>
          <w:szCs w:val="22"/>
          <w:lang w:eastAsia="es-UY"/>
        </w:rPr>
        <w:t>shall</w:t>
      </w:r>
      <w:proofErr w:type="spellEnd"/>
      <w:r>
        <w:rPr>
          <w:rFonts w:eastAsia="Calibri"/>
          <w:color w:val="000000"/>
          <w:sz w:val="22"/>
          <w:szCs w:val="22"/>
          <w:lang w:eastAsia="es-UY"/>
        </w:rPr>
        <w:t xml:space="preserve"> be </w:t>
      </w:r>
      <w:proofErr w:type="spellStart"/>
      <w:r>
        <w:rPr>
          <w:rFonts w:eastAsia="Calibri"/>
          <w:color w:val="000000"/>
          <w:sz w:val="22"/>
          <w:szCs w:val="22"/>
          <w:lang w:eastAsia="es-UY"/>
        </w:rPr>
        <w:t>punished</w:t>
      </w:r>
      <w:proofErr w:type="spellEnd"/>
      <w:r>
        <w:rPr>
          <w:rFonts w:eastAsia="Calibri"/>
          <w:color w:val="000000"/>
          <w:sz w:val="22"/>
          <w:szCs w:val="22"/>
          <w:lang w:eastAsia="es-UY"/>
        </w:rPr>
        <w:t xml:space="preserve"> </w:t>
      </w:r>
      <w:proofErr w:type="spellStart"/>
      <w:r>
        <w:rPr>
          <w:rFonts w:eastAsia="Calibri"/>
          <w:color w:val="000000"/>
          <w:sz w:val="22"/>
          <w:szCs w:val="22"/>
          <w:lang w:eastAsia="es-UY"/>
        </w:rPr>
        <w:t>with</w:t>
      </w:r>
      <w:proofErr w:type="spellEnd"/>
      <w:r>
        <w:rPr>
          <w:rFonts w:eastAsia="Calibri"/>
          <w:color w:val="000000"/>
          <w:sz w:val="22"/>
          <w:szCs w:val="22"/>
          <w:lang w:eastAsia="es-UY"/>
        </w:rPr>
        <w:t xml:space="preserve"> </w:t>
      </w:r>
      <w:proofErr w:type="spellStart"/>
      <w:r>
        <w:rPr>
          <w:rFonts w:eastAsia="Calibri"/>
          <w:color w:val="000000"/>
          <w:sz w:val="22"/>
          <w:szCs w:val="22"/>
          <w:lang w:eastAsia="es-UY"/>
        </w:rPr>
        <w:t>two</w:t>
      </w:r>
      <w:proofErr w:type="spellEnd"/>
      <w:r>
        <w:rPr>
          <w:rFonts w:eastAsia="Calibri"/>
          <w:color w:val="000000"/>
          <w:sz w:val="22"/>
          <w:szCs w:val="22"/>
          <w:lang w:eastAsia="es-UY"/>
        </w:rPr>
        <w:t xml:space="preserve"> </w:t>
      </w:r>
      <w:proofErr w:type="spellStart"/>
      <w:r>
        <w:rPr>
          <w:rFonts w:eastAsia="Calibri"/>
          <w:color w:val="000000"/>
          <w:sz w:val="22"/>
          <w:szCs w:val="22"/>
          <w:lang w:eastAsia="es-UY"/>
        </w:rPr>
        <w:t>to</w:t>
      </w:r>
      <w:proofErr w:type="spellEnd"/>
      <w:r>
        <w:rPr>
          <w:rFonts w:eastAsia="Calibri"/>
          <w:color w:val="000000"/>
          <w:sz w:val="22"/>
          <w:szCs w:val="22"/>
          <w:lang w:eastAsia="es-UY"/>
        </w:rPr>
        <w:t xml:space="preserve"> </w:t>
      </w:r>
      <w:proofErr w:type="spellStart"/>
      <w:r>
        <w:rPr>
          <w:rFonts w:eastAsia="Calibri"/>
          <w:color w:val="000000"/>
          <w:sz w:val="22"/>
          <w:szCs w:val="22"/>
          <w:lang w:eastAsia="es-UY"/>
        </w:rPr>
        <w:t>six</w:t>
      </w:r>
      <w:proofErr w:type="spellEnd"/>
      <w:r>
        <w:rPr>
          <w:rFonts w:eastAsia="Calibri"/>
          <w:color w:val="000000"/>
          <w:sz w:val="22"/>
          <w:szCs w:val="22"/>
          <w:lang w:eastAsia="es-UY"/>
        </w:rPr>
        <w:t xml:space="preserve"> </w:t>
      </w:r>
      <w:proofErr w:type="spellStart"/>
      <w:r>
        <w:rPr>
          <w:rFonts w:eastAsia="Calibri"/>
          <w:color w:val="000000"/>
          <w:sz w:val="22"/>
          <w:szCs w:val="22"/>
          <w:lang w:eastAsia="es-UY"/>
        </w:rPr>
        <w:t>years</w:t>
      </w:r>
      <w:proofErr w:type="spellEnd"/>
      <w:r>
        <w:rPr>
          <w:rFonts w:eastAsia="Calibri"/>
          <w:color w:val="000000"/>
          <w:sz w:val="22"/>
          <w:szCs w:val="22"/>
          <w:lang w:eastAsia="es-UY"/>
        </w:rPr>
        <w:t xml:space="preserve"> </w:t>
      </w:r>
      <w:proofErr w:type="spellStart"/>
      <w:r>
        <w:rPr>
          <w:rFonts w:eastAsia="Calibri"/>
          <w:color w:val="000000"/>
          <w:sz w:val="22"/>
          <w:szCs w:val="22"/>
          <w:lang w:eastAsia="es-UY"/>
        </w:rPr>
        <w:t>of</w:t>
      </w:r>
      <w:proofErr w:type="spellEnd"/>
      <w:r>
        <w:rPr>
          <w:rFonts w:eastAsia="Calibri"/>
          <w:color w:val="000000"/>
          <w:sz w:val="22"/>
          <w:szCs w:val="22"/>
          <w:lang w:eastAsia="es-UY"/>
        </w:rPr>
        <w:t xml:space="preserve"> </w:t>
      </w:r>
      <w:proofErr w:type="spellStart"/>
      <w:r>
        <w:rPr>
          <w:rFonts w:eastAsia="Calibri"/>
          <w:color w:val="000000"/>
          <w:sz w:val="22"/>
          <w:szCs w:val="22"/>
          <w:lang w:eastAsia="es-UY"/>
        </w:rPr>
        <w:t>imprisonment</w:t>
      </w:r>
      <w:proofErr w:type="spellEnd"/>
      <w:r>
        <w:rPr>
          <w:rFonts w:eastAsia="Calibri"/>
          <w:color w:val="000000"/>
          <w:sz w:val="22"/>
          <w:szCs w:val="22"/>
          <w:lang w:eastAsia="es-UY"/>
        </w:rPr>
        <w:t xml:space="preserve">,” and </w:t>
      </w:r>
      <w:proofErr w:type="spellStart"/>
      <w:r>
        <w:rPr>
          <w:rFonts w:eastAsia="Calibri"/>
          <w:color w:val="000000"/>
          <w:sz w:val="22"/>
          <w:szCs w:val="22"/>
          <w:lang w:eastAsia="es-UY"/>
        </w:rPr>
        <w:t>Article</w:t>
      </w:r>
      <w:proofErr w:type="spellEnd"/>
      <w:r>
        <w:rPr>
          <w:rFonts w:eastAsia="Calibri"/>
          <w:color w:val="000000"/>
          <w:sz w:val="22"/>
          <w:szCs w:val="22"/>
          <w:lang w:eastAsia="es-UY"/>
        </w:rPr>
        <w:t xml:space="preserve"> 239 </w:t>
      </w:r>
      <w:proofErr w:type="spellStart"/>
      <w:r>
        <w:rPr>
          <w:rFonts w:eastAsia="Calibri"/>
          <w:color w:val="000000"/>
          <w:sz w:val="22"/>
          <w:szCs w:val="22"/>
          <w:lang w:eastAsia="es-UY"/>
        </w:rPr>
        <w:t>of</w:t>
      </w:r>
      <w:proofErr w:type="spellEnd"/>
      <w:r>
        <w:rPr>
          <w:rFonts w:eastAsia="Calibri"/>
          <w:color w:val="000000"/>
          <w:sz w:val="22"/>
          <w:szCs w:val="22"/>
          <w:lang w:eastAsia="es-UY"/>
        </w:rPr>
        <w:t xml:space="preserve"> </w:t>
      </w:r>
      <w:proofErr w:type="spellStart"/>
      <w:r>
        <w:rPr>
          <w:rFonts w:eastAsia="Calibri"/>
          <w:color w:val="000000"/>
          <w:sz w:val="22"/>
          <w:szCs w:val="22"/>
          <w:lang w:eastAsia="es-UY"/>
        </w:rPr>
        <w:t>the</w:t>
      </w:r>
      <w:proofErr w:type="spellEnd"/>
      <w:r>
        <w:rPr>
          <w:rFonts w:eastAsia="Calibri"/>
          <w:color w:val="000000"/>
          <w:sz w:val="22"/>
          <w:szCs w:val="22"/>
          <w:lang w:eastAsia="es-UY"/>
        </w:rPr>
        <w:t xml:space="preserve"> Criminal Code, </w:t>
      </w:r>
      <w:proofErr w:type="spellStart"/>
      <w:r>
        <w:rPr>
          <w:rFonts w:eastAsia="Calibri"/>
          <w:color w:val="000000"/>
          <w:sz w:val="22"/>
          <w:szCs w:val="22"/>
          <w:lang w:eastAsia="es-UY"/>
        </w:rPr>
        <w:t>which</w:t>
      </w:r>
      <w:proofErr w:type="spellEnd"/>
      <w:r>
        <w:rPr>
          <w:rFonts w:eastAsia="Calibri"/>
          <w:color w:val="000000"/>
          <w:sz w:val="22"/>
          <w:szCs w:val="22"/>
          <w:lang w:eastAsia="es-UY"/>
        </w:rPr>
        <w:t xml:space="preserve"> </w:t>
      </w:r>
      <w:proofErr w:type="spellStart"/>
      <w:r>
        <w:rPr>
          <w:rFonts w:eastAsia="Calibri"/>
          <w:color w:val="000000"/>
          <w:sz w:val="22"/>
          <w:szCs w:val="22"/>
          <w:lang w:eastAsia="es-UY"/>
        </w:rPr>
        <w:t>states</w:t>
      </w:r>
      <w:proofErr w:type="spellEnd"/>
      <w:r>
        <w:rPr>
          <w:rFonts w:eastAsia="Calibri"/>
          <w:color w:val="000000"/>
          <w:sz w:val="22"/>
          <w:szCs w:val="22"/>
          <w:lang w:eastAsia="es-UY"/>
        </w:rPr>
        <w:t>: (</w:t>
      </w:r>
      <w:proofErr w:type="spellStart"/>
      <w:r>
        <w:rPr>
          <w:rFonts w:eastAsia="Calibri"/>
          <w:color w:val="000000"/>
          <w:sz w:val="22"/>
          <w:szCs w:val="22"/>
          <w:lang w:eastAsia="es-UY"/>
        </w:rPr>
        <w:t>Ideological</w:t>
      </w:r>
      <w:proofErr w:type="spellEnd"/>
      <w:r>
        <w:rPr>
          <w:rFonts w:eastAsia="Calibri"/>
          <w:color w:val="000000"/>
          <w:sz w:val="22"/>
          <w:szCs w:val="22"/>
          <w:lang w:eastAsia="es-UY"/>
        </w:rPr>
        <w:t xml:space="preserve"> </w:t>
      </w:r>
      <w:proofErr w:type="spellStart"/>
      <w:r>
        <w:rPr>
          <w:rFonts w:eastAsia="Calibri"/>
          <w:color w:val="000000"/>
          <w:sz w:val="22"/>
          <w:szCs w:val="22"/>
          <w:lang w:eastAsia="es-UY"/>
        </w:rPr>
        <w:t>falsification</w:t>
      </w:r>
      <w:proofErr w:type="spellEnd"/>
      <w:r>
        <w:rPr>
          <w:rFonts w:eastAsia="Calibri"/>
          <w:color w:val="000000"/>
          <w:sz w:val="22"/>
          <w:szCs w:val="22"/>
          <w:lang w:eastAsia="es-UY"/>
        </w:rPr>
        <w:t xml:space="preserve"> </w:t>
      </w:r>
      <w:proofErr w:type="spellStart"/>
      <w:r>
        <w:rPr>
          <w:rFonts w:eastAsia="Calibri"/>
          <w:color w:val="000000"/>
          <w:sz w:val="22"/>
          <w:szCs w:val="22"/>
          <w:lang w:eastAsia="es-UY"/>
        </w:rPr>
        <w:t>by</w:t>
      </w:r>
      <w:proofErr w:type="spellEnd"/>
      <w:r>
        <w:rPr>
          <w:rFonts w:eastAsia="Calibri"/>
          <w:color w:val="000000"/>
          <w:sz w:val="22"/>
          <w:szCs w:val="22"/>
          <w:lang w:eastAsia="es-UY"/>
        </w:rPr>
        <w:t xml:space="preserve"> a </w:t>
      </w:r>
      <w:proofErr w:type="spellStart"/>
      <w:r>
        <w:rPr>
          <w:rFonts w:eastAsia="Calibri"/>
          <w:color w:val="000000"/>
          <w:sz w:val="22"/>
          <w:szCs w:val="22"/>
          <w:lang w:eastAsia="es-UY"/>
        </w:rPr>
        <w:t>private</w:t>
      </w:r>
      <w:proofErr w:type="spellEnd"/>
      <w:r>
        <w:rPr>
          <w:rFonts w:eastAsia="Calibri"/>
          <w:color w:val="000000"/>
          <w:sz w:val="22"/>
          <w:szCs w:val="22"/>
          <w:lang w:eastAsia="es-UY"/>
        </w:rPr>
        <w:t xml:space="preserve"> individual) “</w:t>
      </w:r>
      <w:proofErr w:type="spellStart"/>
      <w:r>
        <w:rPr>
          <w:rFonts w:eastAsia="Calibri"/>
          <w:color w:val="000000"/>
          <w:sz w:val="22"/>
          <w:szCs w:val="22"/>
          <w:lang w:eastAsia="es-UY"/>
        </w:rPr>
        <w:t>Anyone</w:t>
      </w:r>
      <w:proofErr w:type="spellEnd"/>
      <w:r>
        <w:rPr>
          <w:rFonts w:eastAsia="Calibri"/>
          <w:color w:val="000000"/>
          <w:sz w:val="22"/>
          <w:szCs w:val="22"/>
          <w:lang w:eastAsia="es-UY"/>
        </w:rPr>
        <w:t xml:space="preserve"> </w:t>
      </w:r>
      <w:proofErr w:type="spellStart"/>
      <w:r>
        <w:rPr>
          <w:rFonts w:eastAsia="Calibri"/>
          <w:color w:val="000000"/>
          <w:sz w:val="22"/>
          <w:szCs w:val="22"/>
          <w:lang w:eastAsia="es-UY"/>
        </w:rPr>
        <w:t>who</w:t>
      </w:r>
      <w:proofErr w:type="spellEnd"/>
      <w:r>
        <w:rPr>
          <w:rFonts w:eastAsia="Calibri"/>
          <w:color w:val="000000"/>
          <w:sz w:val="22"/>
          <w:szCs w:val="22"/>
          <w:lang w:eastAsia="es-UY"/>
        </w:rPr>
        <w:t xml:space="preserve">, in </w:t>
      </w:r>
      <w:proofErr w:type="spellStart"/>
      <w:r>
        <w:rPr>
          <w:rFonts w:eastAsia="Calibri"/>
          <w:color w:val="000000"/>
          <w:sz w:val="22"/>
          <w:szCs w:val="22"/>
          <w:lang w:eastAsia="es-UY"/>
        </w:rPr>
        <w:t>connection</w:t>
      </w:r>
      <w:proofErr w:type="spellEnd"/>
      <w:r>
        <w:rPr>
          <w:rFonts w:eastAsia="Calibri"/>
          <w:color w:val="000000"/>
          <w:sz w:val="22"/>
          <w:szCs w:val="22"/>
          <w:lang w:eastAsia="es-UY"/>
        </w:rPr>
        <w:t xml:space="preserve"> </w:t>
      </w:r>
      <w:proofErr w:type="spellStart"/>
      <w:r>
        <w:rPr>
          <w:rFonts w:eastAsia="Calibri"/>
          <w:color w:val="000000"/>
          <w:sz w:val="22"/>
          <w:szCs w:val="22"/>
          <w:lang w:eastAsia="es-UY"/>
        </w:rPr>
        <w:t>with</w:t>
      </w:r>
      <w:proofErr w:type="spellEnd"/>
      <w:r>
        <w:rPr>
          <w:rFonts w:eastAsia="Calibri"/>
          <w:color w:val="000000"/>
          <w:sz w:val="22"/>
          <w:szCs w:val="22"/>
          <w:lang w:eastAsia="es-UY"/>
        </w:rPr>
        <w:t xml:space="preserve"> </w:t>
      </w:r>
      <w:proofErr w:type="spellStart"/>
      <w:r>
        <w:rPr>
          <w:rFonts w:eastAsia="Calibri"/>
          <w:color w:val="000000"/>
          <w:sz w:val="22"/>
          <w:szCs w:val="22"/>
          <w:lang w:eastAsia="es-UY"/>
        </w:rPr>
        <w:t>the</w:t>
      </w:r>
      <w:proofErr w:type="spellEnd"/>
      <w:r>
        <w:rPr>
          <w:rFonts w:eastAsia="Calibri"/>
          <w:color w:val="000000"/>
          <w:sz w:val="22"/>
          <w:szCs w:val="22"/>
          <w:lang w:eastAsia="es-UY"/>
        </w:rPr>
        <w:t xml:space="preserve"> </w:t>
      </w:r>
      <w:proofErr w:type="spellStart"/>
      <w:r>
        <w:rPr>
          <w:rFonts w:eastAsia="Calibri"/>
          <w:color w:val="000000"/>
          <w:sz w:val="22"/>
          <w:szCs w:val="22"/>
          <w:lang w:eastAsia="es-UY"/>
        </w:rPr>
        <w:t>granting</w:t>
      </w:r>
      <w:proofErr w:type="spellEnd"/>
      <w:r>
        <w:rPr>
          <w:rFonts w:eastAsia="Calibri"/>
          <w:color w:val="000000"/>
          <w:sz w:val="22"/>
          <w:szCs w:val="22"/>
          <w:lang w:eastAsia="es-UY"/>
        </w:rPr>
        <w:t xml:space="preserve"> </w:t>
      </w:r>
      <w:proofErr w:type="spellStart"/>
      <w:r>
        <w:rPr>
          <w:rFonts w:eastAsia="Calibri"/>
          <w:color w:val="000000"/>
          <w:sz w:val="22"/>
          <w:szCs w:val="22"/>
          <w:lang w:eastAsia="es-UY"/>
        </w:rPr>
        <w:t>or</w:t>
      </w:r>
      <w:proofErr w:type="spellEnd"/>
      <w:r>
        <w:rPr>
          <w:rFonts w:eastAsia="Calibri"/>
          <w:color w:val="000000"/>
          <w:sz w:val="22"/>
          <w:szCs w:val="22"/>
          <w:lang w:eastAsia="es-UY"/>
        </w:rPr>
        <w:t xml:space="preserve"> </w:t>
      </w:r>
      <w:proofErr w:type="spellStart"/>
      <w:r>
        <w:rPr>
          <w:rFonts w:eastAsia="Calibri"/>
          <w:color w:val="000000"/>
          <w:sz w:val="22"/>
          <w:szCs w:val="22"/>
          <w:lang w:eastAsia="es-UY"/>
        </w:rPr>
        <w:t>formalization</w:t>
      </w:r>
      <w:proofErr w:type="spellEnd"/>
      <w:r>
        <w:rPr>
          <w:rFonts w:eastAsia="Calibri"/>
          <w:color w:val="000000"/>
          <w:sz w:val="22"/>
          <w:szCs w:val="22"/>
          <w:lang w:eastAsia="es-UY"/>
        </w:rPr>
        <w:t xml:space="preserve"> </w:t>
      </w:r>
      <w:proofErr w:type="spellStart"/>
      <w:r>
        <w:rPr>
          <w:rFonts w:eastAsia="Calibri"/>
          <w:color w:val="000000"/>
          <w:sz w:val="22"/>
          <w:szCs w:val="22"/>
          <w:lang w:eastAsia="es-UY"/>
        </w:rPr>
        <w:t>of</w:t>
      </w:r>
      <w:proofErr w:type="spellEnd"/>
      <w:r>
        <w:rPr>
          <w:rFonts w:eastAsia="Calibri"/>
          <w:color w:val="000000"/>
          <w:sz w:val="22"/>
          <w:szCs w:val="22"/>
          <w:lang w:eastAsia="es-UY"/>
        </w:rPr>
        <w:t xml:space="preserve"> a </w:t>
      </w:r>
      <w:proofErr w:type="spellStart"/>
      <w:r>
        <w:rPr>
          <w:rFonts w:eastAsia="Calibri"/>
          <w:color w:val="000000"/>
          <w:sz w:val="22"/>
          <w:szCs w:val="22"/>
          <w:lang w:eastAsia="es-UY"/>
        </w:rPr>
        <w:t>public</w:t>
      </w:r>
      <w:proofErr w:type="spellEnd"/>
      <w:r>
        <w:rPr>
          <w:rFonts w:eastAsia="Calibri"/>
          <w:color w:val="000000"/>
          <w:sz w:val="22"/>
          <w:szCs w:val="22"/>
          <w:lang w:eastAsia="es-UY"/>
        </w:rPr>
        <w:t xml:space="preserve"> </w:t>
      </w:r>
      <w:proofErr w:type="spellStart"/>
      <w:r>
        <w:rPr>
          <w:rFonts w:eastAsia="Calibri"/>
          <w:color w:val="000000"/>
          <w:sz w:val="22"/>
          <w:szCs w:val="22"/>
          <w:lang w:eastAsia="es-UY"/>
        </w:rPr>
        <w:t>document</w:t>
      </w:r>
      <w:proofErr w:type="spellEnd"/>
      <w:r>
        <w:rPr>
          <w:rFonts w:eastAsia="Calibri"/>
          <w:color w:val="000000"/>
          <w:sz w:val="22"/>
          <w:szCs w:val="22"/>
          <w:lang w:eastAsia="es-UY"/>
        </w:rPr>
        <w:t xml:space="preserve"> </w:t>
      </w:r>
      <w:proofErr w:type="spellStart"/>
      <w:r>
        <w:rPr>
          <w:rFonts w:eastAsia="Calibri"/>
          <w:color w:val="000000"/>
          <w:sz w:val="22"/>
          <w:szCs w:val="22"/>
          <w:lang w:eastAsia="es-UY"/>
        </w:rPr>
        <w:t>before</w:t>
      </w:r>
      <w:proofErr w:type="spellEnd"/>
      <w:r>
        <w:rPr>
          <w:rFonts w:eastAsia="Calibri"/>
          <w:color w:val="000000"/>
          <w:sz w:val="22"/>
          <w:szCs w:val="22"/>
          <w:lang w:eastAsia="es-UY"/>
        </w:rPr>
        <w:t xml:space="preserve"> a </w:t>
      </w:r>
      <w:proofErr w:type="spellStart"/>
      <w:r>
        <w:rPr>
          <w:rFonts w:eastAsia="Calibri"/>
          <w:color w:val="000000"/>
          <w:sz w:val="22"/>
          <w:szCs w:val="22"/>
          <w:lang w:eastAsia="es-UY"/>
        </w:rPr>
        <w:t>public</w:t>
      </w:r>
      <w:proofErr w:type="spellEnd"/>
      <w:r>
        <w:rPr>
          <w:rFonts w:eastAsia="Calibri"/>
          <w:color w:val="000000"/>
          <w:sz w:val="22"/>
          <w:szCs w:val="22"/>
          <w:lang w:eastAsia="es-UY"/>
        </w:rPr>
        <w:t xml:space="preserve"> </w:t>
      </w:r>
      <w:proofErr w:type="spellStart"/>
      <w:r>
        <w:rPr>
          <w:rFonts w:eastAsia="Calibri"/>
          <w:color w:val="000000"/>
          <w:sz w:val="22"/>
          <w:szCs w:val="22"/>
          <w:lang w:eastAsia="es-UY"/>
        </w:rPr>
        <w:t>official</w:t>
      </w:r>
      <w:proofErr w:type="spellEnd"/>
      <w:r>
        <w:rPr>
          <w:rFonts w:eastAsia="Calibri"/>
          <w:color w:val="000000"/>
          <w:sz w:val="22"/>
          <w:szCs w:val="22"/>
          <w:lang w:eastAsia="es-UY"/>
        </w:rPr>
        <w:t xml:space="preserve">, </w:t>
      </w:r>
      <w:proofErr w:type="spellStart"/>
      <w:r>
        <w:rPr>
          <w:rFonts w:eastAsia="Calibri"/>
          <w:color w:val="000000"/>
          <w:sz w:val="22"/>
          <w:szCs w:val="22"/>
          <w:lang w:eastAsia="es-UY"/>
        </w:rPr>
        <w:t>makes</w:t>
      </w:r>
      <w:proofErr w:type="spellEnd"/>
      <w:r>
        <w:rPr>
          <w:rFonts w:eastAsia="Calibri"/>
          <w:color w:val="000000"/>
          <w:sz w:val="22"/>
          <w:szCs w:val="22"/>
          <w:lang w:eastAsia="es-UY"/>
        </w:rPr>
        <w:t xml:space="preserve"> a false </w:t>
      </w:r>
      <w:proofErr w:type="spellStart"/>
      <w:r>
        <w:rPr>
          <w:rFonts w:eastAsia="Calibri"/>
          <w:color w:val="000000"/>
          <w:sz w:val="22"/>
          <w:szCs w:val="22"/>
          <w:lang w:eastAsia="es-UY"/>
        </w:rPr>
        <w:t>declaration</w:t>
      </w:r>
      <w:proofErr w:type="spellEnd"/>
      <w:r>
        <w:rPr>
          <w:rFonts w:eastAsia="Calibri"/>
          <w:color w:val="000000"/>
          <w:sz w:val="22"/>
          <w:szCs w:val="22"/>
          <w:lang w:eastAsia="es-UY"/>
        </w:rPr>
        <w:t xml:space="preserve"> </w:t>
      </w:r>
      <w:proofErr w:type="spellStart"/>
      <w:r>
        <w:rPr>
          <w:rFonts w:eastAsia="Calibri"/>
          <w:color w:val="000000"/>
          <w:sz w:val="22"/>
          <w:szCs w:val="22"/>
          <w:lang w:eastAsia="es-UY"/>
        </w:rPr>
        <w:t>regarding</w:t>
      </w:r>
      <w:proofErr w:type="spellEnd"/>
      <w:r>
        <w:rPr>
          <w:rFonts w:eastAsia="Calibri"/>
          <w:color w:val="000000"/>
          <w:sz w:val="22"/>
          <w:szCs w:val="22"/>
          <w:lang w:eastAsia="es-UY"/>
        </w:rPr>
        <w:t xml:space="preserve"> </w:t>
      </w:r>
      <w:proofErr w:type="spellStart"/>
      <w:r>
        <w:rPr>
          <w:rFonts w:eastAsia="Calibri"/>
          <w:color w:val="000000"/>
          <w:sz w:val="22"/>
          <w:szCs w:val="22"/>
          <w:lang w:eastAsia="es-UY"/>
        </w:rPr>
        <w:t>their</w:t>
      </w:r>
      <w:proofErr w:type="spellEnd"/>
      <w:r>
        <w:rPr>
          <w:rFonts w:eastAsia="Calibri"/>
          <w:color w:val="000000"/>
          <w:sz w:val="22"/>
          <w:szCs w:val="22"/>
          <w:lang w:eastAsia="es-UY"/>
        </w:rPr>
        <w:t xml:space="preserve"> </w:t>
      </w:r>
      <w:proofErr w:type="spellStart"/>
      <w:r>
        <w:rPr>
          <w:rFonts w:eastAsia="Calibri"/>
          <w:color w:val="000000"/>
          <w:sz w:val="22"/>
          <w:szCs w:val="22"/>
          <w:lang w:eastAsia="es-UY"/>
        </w:rPr>
        <w:t>identity</w:t>
      </w:r>
      <w:proofErr w:type="spellEnd"/>
      <w:r>
        <w:rPr>
          <w:rFonts w:eastAsia="Calibri"/>
          <w:color w:val="000000"/>
          <w:sz w:val="22"/>
          <w:szCs w:val="22"/>
          <w:lang w:eastAsia="es-UY"/>
        </w:rPr>
        <w:t xml:space="preserve">, status, </w:t>
      </w:r>
      <w:proofErr w:type="spellStart"/>
      <w:r>
        <w:rPr>
          <w:rFonts w:eastAsia="Calibri"/>
          <w:color w:val="000000"/>
          <w:sz w:val="22"/>
          <w:szCs w:val="22"/>
          <w:lang w:eastAsia="es-UY"/>
        </w:rPr>
        <w:t>or</w:t>
      </w:r>
      <w:proofErr w:type="spellEnd"/>
      <w:r>
        <w:rPr>
          <w:rFonts w:eastAsia="Calibri"/>
          <w:color w:val="000000"/>
          <w:sz w:val="22"/>
          <w:szCs w:val="22"/>
          <w:lang w:eastAsia="es-UY"/>
        </w:rPr>
        <w:t xml:space="preserve"> </w:t>
      </w:r>
      <w:proofErr w:type="spellStart"/>
      <w:r>
        <w:rPr>
          <w:rFonts w:eastAsia="Calibri"/>
          <w:color w:val="000000"/>
          <w:sz w:val="22"/>
          <w:szCs w:val="22"/>
          <w:lang w:eastAsia="es-UY"/>
        </w:rPr>
        <w:t>any</w:t>
      </w:r>
      <w:proofErr w:type="spellEnd"/>
      <w:r>
        <w:rPr>
          <w:rFonts w:eastAsia="Calibri"/>
          <w:color w:val="000000"/>
          <w:sz w:val="22"/>
          <w:szCs w:val="22"/>
          <w:lang w:eastAsia="es-UY"/>
        </w:rPr>
        <w:t xml:space="preserve"> </w:t>
      </w:r>
      <w:proofErr w:type="spellStart"/>
      <w:r>
        <w:rPr>
          <w:rFonts w:eastAsia="Calibri"/>
          <w:color w:val="000000"/>
          <w:sz w:val="22"/>
          <w:szCs w:val="22"/>
          <w:lang w:eastAsia="es-UY"/>
        </w:rPr>
        <w:t>other</w:t>
      </w:r>
      <w:proofErr w:type="spellEnd"/>
      <w:r>
        <w:rPr>
          <w:rFonts w:eastAsia="Calibri"/>
          <w:color w:val="000000"/>
          <w:sz w:val="22"/>
          <w:szCs w:val="22"/>
          <w:lang w:eastAsia="es-UY"/>
        </w:rPr>
        <w:t xml:space="preserve"> factual </w:t>
      </w:r>
      <w:proofErr w:type="spellStart"/>
      <w:r>
        <w:rPr>
          <w:rFonts w:eastAsia="Calibri"/>
          <w:color w:val="000000"/>
          <w:sz w:val="22"/>
          <w:szCs w:val="22"/>
          <w:lang w:eastAsia="es-UY"/>
        </w:rPr>
        <w:t>circumstance</w:t>
      </w:r>
      <w:proofErr w:type="spellEnd"/>
      <w:r>
        <w:rPr>
          <w:rFonts w:eastAsia="Calibri"/>
          <w:color w:val="000000"/>
          <w:sz w:val="22"/>
          <w:szCs w:val="22"/>
          <w:lang w:eastAsia="es-UY"/>
        </w:rPr>
        <w:t xml:space="preserve">, </w:t>
      </w:r>
      <w:proofErr w:type="spellStart"/>
      <w:r>
        <w:rPr>
          <w:rFonts w:eastAsia="Calibri"/>
          <w:color w:val="000000"/>
          <w:sz w:val="22"/>
          <w:szCs w:val="22"/>
          <w:lang w:eastAsia="es-UY"/>
        </w:rPr>
        <w:t>shall</w:t>
      </w:r>
      <w:proofErr w:type="spellEnd"/>
      <w:r>
        <w:rPr>
          <w:rFonts w:eastAsia="Calibri"/>
          <w:color w:val="000000"/>
          <w:sz w:val="22"/>
          <w:szCs w:val="22"/>
          <w:lang w:eastAsia="es-UY"/>
        </w:rPr>
        <w:t xml:space="preserve"> be </w:t>
      </w:r>
      <w:proofErr w:type="spellStart"/>
      <w:r>
        <w:rPr>
          <w:rFonts w:eastAsia="Calibri"/>
          <w:color w:val="000000"/>
          <w:sz w:val="22"/>
          <w:szCs w:val="22"/>
          <w:lang w:eastAsia="es-UY"/>
        </w:rPr>
        <w:t>punished</w:t>
      </w:r>
      <w:proofErr w:type="spellEnd"/>
      <w:r>
        <w:rPr>
          <w:rFonts w:eastAsia="Calibri"/>
          <w:color w:val="000000"/>
          <w:sz w:val="22"/>
          <w:szCs w:val="22"/>
          <w:lang w:eastAsia="es-UY"/>
        </w:rPr>
        <w:t xml:space="preserve"> </w:t>
      </w:r>
      <w:proofErr w:type="spellStart"/>
      <w:r>
        <w:rPr>
          <w:rFonts w:eastAsia="Calibri"/>
          <w:color w:val="000000"/>
          <w:sz w:val="22"/>
          <w:szCs w:val="22"/>
          <w:lang w:eastAsia="es-UY"/>
        </w:rPr>
        <w:t>with</w:t>
      </w:r>
      <w:proofErr w:type="spellEnd"/>
      <w:r>
        <w:rPr>
          <w:rFonts w:eastAsia="Calibri"/>
          <w:color w:val="000000"/>
          <w:sz w:val="22"/>
          <w:szCs w:val="22"/>
          <w:lang w:eastAsia="es-UY"/>
        </w:rPr>
        <w:t xml:space="preserve"> </w:t>
      </w:r>
      <w:proofErr w:type="spellStart"/>
      <w:r>
        <w:rPr>
          <w:rFonts w:eastAsia="Calibri"/>
          <w:color w:val="000000"/>
          <w:sz w:val="22"/>
          <w:szCs w:val="22"/>
          <w:lang w:eastAsia="es-UY"/>
        </w:rPr>
        <w:t>three</w:t>
      </w:r>
      <w:proofErr w:type="spellEnd"/>
      <w:r>
        <w:rPr>
          <w:rFonts w:eastAsia="Calibri"/>
          <w:color w:val="000000"/>
          <w:sz w:val="22"/>
          <w:szCs w:val="22"/>
          <w:lang w:eastAsia="es-UY"/>
        </w:rPr>
        <w:t xml:space="preserve"> </w:t>
      </w:r>
      <w:proofErr w:type="spellStart"/>
      <w:r>
        <w:rPr>
          <w:rFonts w:eastAsia="Calibri"/>
          <w:color w:val="000000"/>
          <w:sz w:val="22"/>
          <w:szCs w:val="22"/>
          <w:lang w:eastAsia="es-UY"/>
        </w:rPr>
        <w:t>to</w:t>
      </w:r>
      <w:proofErr w:type="spellEnd"/>
      <w:r>
        <w:rPr>
          <w:rFonts w:eastAsia="Calibri"/>
          <w:color w:val="000000"/>
          <w:sz w:val="22"/>
          <w:szCs w:val="22"/>
          <w:lang w:eastAsia="es-UY"/>
        </w:rPr>
        <w:t xml:space="preserve"> </w:t>
      </w:r>
      <w:proofErr w:type="spellStart"/>
      <w:r>
        <w:rPr>
          <w:rFonts w:eastAsia="Calibri"/>
          <w:color w:val="000000"/>
          <w:sz w:val="22"/>
          <w:szCs w:val="22"/>
          <w:lang w:eastAsia="es-UY"/>
        </w:rPr>
        <w:t>twenty-four</w:t>
      </w:r>
      <w:proofErr w:type="spellEnd"/>
      <w:r>
        <w:rPr>
          <w:rFonts w:eastAsia="Calibri"/>
          <w:color w:val="000000"/>
          <w:sz w:val="22"/>
          <w:szCs w:val="22"/>
          <w:lang w:eastAsia="es-UY"/>
        </w:rPr>
        <w:t xml:space="preserve"> </w:t>
      </w:r>
      <w:proofErr w:type="spellStart"/>
      <w:r>
        <w:rPr>
          <w:rFonts w:eastAsia="Calibri"/>
          <w:color w:val="000000"/>
          <w:sz w:val="22"/>
          <w:szCs w:val="22"/>
          <w:lang w:eastAsia="es-UY"/>
        </w:rPr>
        <w:t>months</w:t>
      </w:r>
      <w:proofErr w:type="spellEnd"/>
      <w:r>
        <w:rPr>
          <w:rFonts w:eastAsia="Calibri"/>
          <w:color w:val="000000"/>
          <w:sz w:val="22"/>
          <w:szCs w:val="22"/>
          <w:lang w:eastAsia="es-UY"/>
        </w:rPr>
        <w:t xml:space="preserve"> </w:t>
      </w:r>
      <w:proofErr w:type="spellStart"/>
      <w:r>
        <w:rPr>
          <w:rFonts w:eastAsia="Calibri"/>
          <w:color w:val="000000"/>
          <w:sz w:val="22"/>
          <w:szCs w:val="22"/>
          <w:lang w:eastAsia="es-UY"/>
        </w:rPr>
        <w:t>of</w:t>
      </w:r>
      <w:proofErr w:type="spellEnd"/>
      <w:r>
        <w:rPr>
          <w:rFonts w:eastAsia="Calibri"/>
          <w:color w:val="000000"/>
          <w:sz w:val="22"/>
          <w:szCs w:val="22"/>
          <w:lang w:eastAsia="es-UY"/>
        </w:rPr>
        <w:t xml:space="preserve"> </w:t>
      </w:r>
      <w:proofErr w:type="spellStart"/>
      <w:r>
        <w:rPr>
          <w:rFonts w:eastAsia="Calibri"/>
          <w:color w:val="000000"/>
          <w:sz w:val="22"/>
          <w:szCs w:val="22"/>
          <w:lang w:eastAsia="es-UY"/>
        </w:rPr>
        <w:t>imprisonment</w:t>
      </w:r>
      <w:proofErr w:type="spellEnd"/>
      <w:r>
        <w:rPr>
          <w:rFonts w:eastAsia="Calibri"/>
          <w:color w:val="000000"/>
          <w:sz w:val="22"/>
          <w:szCs w:val="22"/>
          <w:lang w:eastAsia="es-UY"/>
        </w:rPr>
        <w:t xml:space="preserve">.” </w:t>
      </w:r>
      <w:proofErr w:type="spellStart"/>
      <w:r>
        <w:rPr>
          <w:rFonts w:eastAsia="Calibri"/>
          <w:color w:val="000000"/>
          <w:sz w:val="22"/>
          <w:szCs w:val="22"/>
          <w:lang w:eastAsia="es-UY"/>
        </w:rPr>
        <w:t>This</w:t>
      </w:r>
      <w:proofErr w:type="spellEnd"/>
      <w:r>
        <w:rPr>
          <w:rFonts w:eastAsia="Calibri"/>
          <w:color w:val="000000"/>
          <w:sz w:val="22"/>
          <w:szCs w:val="22"/>
          <w:lang w:eastAsia="es-UY"/>
        </w:rPr>
        <w:t xml:space="preserve"> </w:t>
      </w:r>
      <w:proofErr w:type="spellStart"/>
      <w:r>
        <w:rPr>
          <w:rFonts w:eastAsia="Calibri"/>
          <w:color w:val="000000"/>
          <w:sz w:val="22"/>
          <w:szCs w:val="22"/>
          <w:lang w:eastAsia="es-UY"/>
        </w:rPr>
        <w:t>is</w:t>
      </w:r>
      <w:proofErr w:type="spellEnd"/>
      <w:r>
        <w:rPr>
          <w:rFonts w:eastAsia="Calibri"/>
          <w:color w:val="000000"/>
          <w:sz w:val="22"/>
          <w:szCs w:val="22"/>
          <w:lang w:eastAsia="es-UY"/>
        </w:rPr>
        <w:t xml:space="preserve"> </w:t>
      </w:r>
      <w:proofErr w:type="spellStart"/>
      <w:r>
        <w:rPr>
          <w:rFonts w:eastAsia="Calibri"/>
          <w:color w:val="000000"/>
          <w:sz w:val="22"/>
          <w:szCs w:val="22"/>
          <w:lang w:eastAsia="es-UY"/>
        </w:rPr>
        <w:t>without</w:t>
      </w:r>
      <w:proofErr w:type="spellEnd"/>
      <w:r>
        <w:rPr>
          <w:rFonts w:eastAsia="Calibri"/>
          <w:color w:val="000000"/>
          <w:sz w:val="22"/>
          <w:szCs w:val="22"/>
          <w:lang w:eastAsia="es-UY"/>
        </w:rPr>
        <w:t xml:space="preserve"> </w:t>
      </w:r>
      <w:proofErr w:type="spellStart"/>
      <w:r>
        <w:rPr>
          <w:rFonts w:eastAsia="Calibri"/>
          <w:color w:val="000000"/>
          <w:sz w:val="22"/>
          <w:szCs w:val="22"/>
          <w:lang w:eastAsia="es-UY"/>
        </w:rPr>
        <w:t>prejudice</w:t>
      </w:r>
      <w:proofErr w:type="spellEnd"/>
      <w:r>
        <w:rPr>
          <w:rFonts w:eastAsia="Calibri"/>
          <w:color w:val="000000"/>
          <w:sz w:val="22"/>
          <w:szCs w:val="22"/>
          <w:lang w:eastAsia="es-UY"/>
        </w:rPr>
        <w:t xml:space="preserve"> </w:t>
      </w:r>
      <w:proofErr w:type="spellStart"/>
      <w:r>
        <w:rPr>
          <w:rFonts w:eastAsia="Calibri"/>
          <w:color w:val="000000"/>
          <w:sz w:val="22"/>
          <w:szCs w:val="22"/>
          <w:lang w:eastAsia="es-UY"/>
        </w:rPr>
        <w:t>to</w:t>
      </w:r>
      <w:proofErr w:type="spellEnd"/>
      <w:r>
        <w:rPr>
          <w:rFonts w:eastAsia="Calibri"/>
          <w:color w:val="000000"/>
          <w:sz w:val="22"/>
          <w:szCs w:val="22"/>
          <w:lang w:eastAsia="es-UY"/>
        </w:rPr>
        <w:t xml:space="preserve"> </w:t>
      </w:r>
      <w:proofErr w:type="spellStart"/>
      <w:r>
        <w:rPr>
          <w:rFonts w:eastAsia="Calibri"/>
          <w:color w:val="000000"/>
          <w:sz w:val="22"/>
          <w:szCs w:val="22"/>
          <w:lang w:eastAsia="es-UY"/>
        </w:rPr>
        <w:t>any</w:t>
      </w:r>
      <w:proofErr w:type="spellEnd"/>
      <w:r>
        <w:rPr>
          <w:rFonts w:eastAsia="Calibri"/>
          <w:color w:val="000000"/>
          <w:sz w:val="22"/>
          <w:szCs w:val="22"/>
          <w:lang w:eastAsia="es-UY"/>
        </w:rPr>
        <w:t xml:space="preserve"> </w:t>
      </w:r>
      <w:proofErr w:type="spellStart"/>
      <w:r>
        <w:rPr>
          <w:rFonts w:eastAsia="Calibri"/>
          <w:color w:val="000000"/>
          <w:sz w:val="22"/>
          <w:szCs w:val="22"/>
          <w:lang w:eastAsia="es-UY"/>
        </w:rPr>
        <w:t>applicable</w:t>
      </w:r>
      <w:proofErr w:type="spellEnd"/>
      <w:r>
        <w:rPr>
          <w:rFonts w:eastAsia="Calibri"/>
          <w:color w:val="000000"/>
          <w:sz w:val="22"/>
          <w:szCs w:val="22"/>
          <w:lang w:eastAsia="es-UY"/>
        </w:rPr>
        <w:t xml:space="preserve"> administrative and/</w:t>
      </w:r>
      <w:proofErr w:type="spellStart"/>
      <w:r>
        <w:rPr>
          <w:rFonts w:eastAsia="Calibri"/>
          <w:color w:val="000000"/>
          <w:sz w:val="22"/>
          <w:szCs w:val="22"/>
          <w:lang w:eastAsia="es-UY"/>
        </w:rPr>
        <w:t>or</w:t>
      </w:r>
      <w:proofErr w:type="spellEnd"/>
      <w:r>
        <w:rPr>
          <w:rFonts w:eastAsia="Calibri"/>
          <w:color w:val="000000"/>
          <w:sz w:val="22"/>
          <w:szCs w:val="22"/>
          <w:lang w:eastAsia="es-UY"/>
        </w:rPr>
        <w:t xml:space="preserve"> civil </w:t>
      </w:r>
      <w:proofErr w:type="spellStart"/>
      <w:r>
        <w:rPr>
          <w:rFonts w:eastAsia="Calibri"/>
          <w:color w:val="000000"/>
          <w:sz w:val="22"/>
          <w:szCs w:val="22"/>
          <w:lang w:eastAsia="es-UY"/>
        </w:rPr>
        <w:t>liabilities</w:t>
      </w:r>
      <w:proofErr w:type="spellEnd"/>
      <w:r>
        <w:rPr>
          <w:rFonts w:eastAsia="Calibri"/>
          <w:color w:val="000000"/>
          <w:sz w:val="22"/>
          <w:szCs w:val="22"/>
          <w:lang w:eastAsia="es-UY"/>
        </w:rPr>
        <w:t>.</w:t>
      </w:r>
    </w:p>
    <w:p w14:paraId="4CF270B1" w14:textId="77777777" w:rsidR="00E255F4" w:rsidRDefault="00000000">
      <w:pPr>
        <w:autoSpaceDE w:val="0"/>
        <w:spacing w:line="360" w:lineRule="auto"/>
        <w:jc w:val="both"/>
        <w:rPr>
          <w:rFonts w:eastAsia="Calibri"/>
          <w:color w:val="000000"/>
          <w:sz w:val="22"/>
          <w:szCs w:val="22"/>
          <w:lang w:eastAsia="es-UY"/>
        </w:rPr>
      </w:pPr>
      <w:r>
        <w:rPr>
          <w:rFonts w:eastAsia="Calibri"/>
          <w:color w:val="000000"/>
          <w:sz w:val="22"/>
          <w:szCs w:val="22"/>
          <w:lang w:eastAsia="es-UY"/>
        </w:rPr>
        <w:t xml:space="preserve">And </w:t>
      </w:r>
      <w:proofErr w:type="spellStart"/>
      <w:r>
        <w:rPr>
          <w:rFonts w:eastAsia="Calibri"/>
          <w:color w:val="000000"/>
          <w:sz w:val="22"/>
          <w:szCs w:val="22"/>
          <w:lang w:eastAsia="es-UY"/>
        </w:rPr>
        <w:t>for</w:t>
      </w:r>
      <w:proofErr w:type="spellEnd"/>
      <w:r>
        <w:rPr>
          <w:rFonts w:eastAsia="Calibri"/>
          <w:color w:val="000000"/>
          <w:sz w:val="22"/>
          <w:szCs w:val="22"/>
          <w:lang w:eastAsia="es-UY"/>
        </w:rPr>
        <w:t xml:space="preserve"> </w:t>
      </w:r>
      <w:proofErr w:type="spellStart"/>
      <w:r>
        <w:rPr>
          <w:rFonts w:eastAsia="Calibri"/>
          <w:color w:val="000000"/>
          <w:sz w:val="22"/>
          <w:szCs w:val="22"/>
          <w:lang w:eastAsia="es-UY"/>
        </w:rPr>
        <w:t>the</w:t>
      </w:r>
      <w:proofErr w:type="spellEnd"/>
      <w:r>
        <w:rPr>
          <w:rFonts w:eastAsia="Calibri"/>
          <w:color w:val="000000"/>
          <w:sz w:val="22"/>
          <w:szCs w:val="22"/>
          <w:lang w:eastAsia="es-UY"/>
        </w:rPr>
        <w:t xml:space="preserve"> </w:t>
      </w:r>
      <w:proofErr w:type="spellStart"/>
      <w:r>
        <w:rPr>
          <w:rFonts w:eastAsia="Calibri"/>
          <w:color w:val="000000"/>
          <w:sz w:val="22"/>
          <w:szCs w:val="22"/>
          <w:lang w:eastAsia="es-UY"/>
        </w:rPr>
        <w:t>record</w:t>
      </w:r>
      <w:proofErr w:type="spellEnd"/>
      <w:r>
        <w:rPr>
          <w:rFonts w:eastAsia="Calibri"/>
          <w:color w:val="000000"/>
          <w:sz w:val="22"/>
          <w:szCs w:val="22"/>
          <w:lang w:eastAsia="es-UY"/>
        </w:rPr>
        <w:t xml:space="preserve">, </w:t>
      </w:r>
      <w:proofErr w:type="spellStart"/>
      <w:r>
        <w:rPr>
          <w:rFonts w:eastAsia="Calibri"/>
          <w:color w:val="000000"/>
          <w:sz w:val="22"/>
          <w:szCs w:val="22"/>
          <w:lang w:eastAsia="es-UY"/>
        </w:rPr>
        <w:t>this</w:t>
      </w:r>
      <w:proofErr w:type="spellEnd"/>
      <w:r>
        <w:rPr>
          <w:rFonts w:eastAsia="Calibri"/>
          <w:color w:val="000000"/>
          <w:sz w:val="22"/>
          <w:szCs w:val="22"/>
          <w:lang w:eastAsia="es-UY"/>
        </w:rPr>
        <w:t xml:space="preserve"> </w:t>
      </w:r>
      <w:proofErr w:type="spellStart"/>
      <w:r>
        <w:rPr>
          <w:rFonts w:eastAsia="Calibri"/>
          <w:color w:val="000000"/>
          <w:sz w:val="22"/>
          <w:szCs w:val="22"/>
          <w:lang w:eastAsia="es-UY"/>
        </w:rPr>
        <w:t>copy</w:t>
      </w:r>
      <w:proofErr w:type="spellEnd"/>
      <w:r>
        <w:rPr>
          <w:rFonts w:eastAsia="Calibri"/>
          <w:color w:val="000000"/>
          <w:sz w:val="22"/>
          <w:szCs w:val="22"/>
          <w:lang w:eastAsia="es-UY"/>
        </w:rPr>
        <w:t xml:space="preserve"> </w:t>
      </w:r>
      <w:proofErr w:type="spellStart"/>
      <w:r>
        <w:rPr>
          <w:rFonts w:eastAsia="Calibri"/>
          <w:color w:val="000000"/>
          <w:sz w:val="22"/>
          <w:szCs w:val="22"/>
          <w:lang w:eastAsia="es-UY"/>
        </w:rPr>
        <w:t>is</w:t>
      </w:r>
      <w:proofErr w:type="spellEnd"/>
      <w:r>
        <w:rPr>
          <w:rFonts w:eastAsia="Calibri"/>
          <w:color w:val="000000"/>
          <w:sz w:val="22"/>
          <w:szCs w:val="22"/>
          <w:lang w:eastAsia="es-UY"/>
        </w:rPr>
        <w:t xml:space="preserve"> </w:t>
      </w:r>
      <w:proofErr w:type="spellStart"/>
      <w:r>
        <w:rPr>
          <w:rFonts w:eastAsia="Calibri"/>
          <w:color w:val="000000"/>
          <w:sz w:val="22"/>
          <w:szCs w:val="22"/>
          <w:lang w:eastAsia="es-UY"/>
        </w:rPr>
        <w:t>signed</w:t>
      </w:r>
      <w:proofErr w:type="spellEnd"/>
      <w:r>
        <w:rPr>
          <w:rFonts w:eastAsia="Calibri"/>
          <w:color w:val="000000"/>
          <w:sz w:val="22"/>
          <w:szCs w:val="22"/>
          <w:lang w:eastAsia="es-UY"/>
        </w:rPr>
        <w:t xml:space="preserve"> in </w:t>
      </w:r>
      <w:proofErr w:type="spellStart"/>
      <w:r>
        <w:rPr>
          <w:rFonts w:eastAsia="Calibri"/>
          <w:color w:val="000000"/>
          <w:sz w:val="22"/>
          <w:szCs w:val="22"/>
          <w:lang w:eastAsia="es-UY"/>
        </w:rPr>
        <w:t>the</w:t>
      </w:r>
      <w:proofErr w:type="spellEnd"/>
      <w:r>
        <w:rPr>
          <w:rFonts w:eastAsia="Calibri"/>
          <w:color w:val="000000"/>
          <w:sz w:val="22"/>
          <w:szCs w:val="22"/>
          <w:lang w:eastAsia="es-UY"/>
        </w:rPr>
        <w:t xml:space="preserve"> </w:t>
      </w:r>
      <w:proofErr w:type="spellStart"/>
      <w:r>
        <w:rPr>
          <w:rFonts w:eastAsia="Calibri"/>
          <w:color w:val="000000"/>
          <w:sz w:val="22"/>
          <w:szCs w:val="22"/>
          <w:lang w:eastAsia="es-UY"/>
        </w:rPr>
        <w:t>city</w:t>
      </w:r>
      <w:proofErr w:type="spellEnd"/>
      <w:r>
        <w:rPr>
          <w:rFonts w:eastAsia="Calibri"/>
          <w:color w:val="000000"/>
          <w:sz w:val="22"/>
          <w:szCs w:val="22"/>
          <w:lang w:eastAsia="es-UY"/>
        </w:rPr>
        <w:t xml:space="preserve"> </w:t>
      </w:r>
      <w:proofErr w:type="spellStart"/>
      <w:r>
        <w:rPr>
          <w:rFonts w:eastAsia="Calibri"/>
          <w:color w:val="000000"/>
          <w:sz w:val="22"/>
          <w:szCs w:val="22"/>
          <w:lang w:eastAsia="es-UY"/>
        </w:rPr>
        <w:t>of</w:t>
      </w:r>
      <w:proofErr w:type="spellEnd"/>
      <w:r>
        <w:rPr>
          <w:rFonts w:eastAsia="Calibri"/>
          <w:color w:val="000000"/>
          <w:sz w:val="22"/>
          <w:szCs w:val="22"/>
          <w:lang w:eastAsia="es-UY"/>
        </w:rPr>
        <w:t xml:space="preserve"> ____________________ </w:t>
      </w:r>
      <w:proofErr w:type="spellStart"/>
      <w:r>
        <w:rPr>
          <w:rFonts w:eastAsia="Calibri"/>
          <w:color w:val="000000"/>
          <w:sz w:val="22"/>
          <w:szCs w:val="22"/>
          <w:lang w:eastAsia="es-UY"/>
        </w:rPr>
        <w:t>on</w:t>
      </w:r>
      <w:proofErr w:type="spellEnd"/>
      <w:r>
        <w:rPr>
          <w:rFonts w:eastAsia="Calibri"/>
          <w:color w:val="000000"/>
          <w:sz w:val="22"/>
          <w:szCs w:val="22"/>
          <w:lang w:eastAsia="es-UY"/>
        </w:rPr>
        <w:t xml:space="preserve"> </w:t>
      </w:r>
      <w:proofErr w:type="spellStart"/>
      <w:r>
        <w:rPr>
          <w:rFonts w:eastAsia="Calibri"/>
          <w:color w:val="000000"/>
          <w:sz w:val="22"/>
          <w:szCs w:val="22"/>
          <w:lang w:eastAsia="es-UY"/>
        </w:rPr>
        <w:t>the</w:t>
      </w:r>
      <w:proofErr w:type="spellEnd"/>
      <w:r>
        <w:rPr>
          <w:rFonts w:eastAsia="Calibri"/>
          <w:color w:val="000000"/>
          <w:sz w:val="22"/>
          <w:szCs w:val="22"/>
          <w:lang w:eastAsia="es-UY"/>
        </w:rPr>
        <w:t xml:space="preserve"> ___ </w:t>
      </w:r>
      <w:proofErr w:type="spellStart"/>
      <w:r>
        <w:rPr>
          <w:rFonts w:eastAsia="Calibri"/>
          <w:color w:val="000000"/>
          <w:sz w:val="22"/>
          <w:szCs w:val="22"/>
          <w:lang w:eastAsia="es-UY"/>
        </w:rPr>
        <w:t>day</w:t>
      </w:r>
      <w:proofErr w:type="spellEnd"/>
      <w:r>
        <w:rPr>
          <w:rFonts w:eastAsia="Calibri"/>
          <w:color w:val="000000"/>
          <w:sz w:val="22"/>
          <w:szCs w:val="22"/>
          <w:lang w:eastAsia="es-UY"/>
        </w:rPr>
        <w:t xml:space="preserve"> </w:t>
      </w:r>
      <w:proofErr w:type="spellStart"/>
      <w:r>
        <w:rPr>
          <w:rFonts w:eastAsia="Calibri"/>
          <w:color w:val="000000"/>
          <w:sz w:val="22"/>
          <w:szCs w:val="22"/>
          <w:lang w:eastAsia="es-UY"/>
        </w:rPr>
        <w:t>of</w:t>
      </w:r>
      <w:proofErr w:type="spellEnd"/>
      <w:r>
        <w:rPr>
          <w:rFonts w:eastAsia="Calibri"/>
          <w:color w:val="000000"/>
          <w:sz w:val="22"/>
          <w:szCs w:val="22"/>
          <w:lang w:eastAsia="es-UY"/>
        </w:rPr>
        <w:t xml:space="preserve"> </w:t>
      </w:r>
      <w:proofErr w:type="spellStart"/>
      <w:r>
        <w:rPr>
          <w:rFonts w:eastAsia="Calibri"/>
          <w:color w:val="000000"/>
          <w:sz w:val="22"/>
          <w:szCs w:val="22"/>
          <w:lang w:eastAsia="es-UY"/>
        </w:rPr>
        <w:t>the</w:t>
      </w:r>
      <w:proofErr w:type="spellEnd"/>
      <w:r>
        <w:rPr>
          <w:rFonts w:eastAsia="Calibri"/>
          <w:color w:val="000000"/>
          <w:sz w:val="22"/>
          <w:szCs w:val="22"/>
          <w:lang w:eastAsia="es-UY"/>
        </w:rPr>
        <w:t xml:space="preserve"> </w:t>
      </w:r>
      <w:proofErr w:type="spellStart"/>
      <w:r>
        <w:rPr>
          <w:rFonts w:eastAsia="Calibri"/>
          <w:color w:val="000000"/>
          <w:sz w:val="22"/>
          <w:szCs w:val="22"/>
          <w:lang w:eastAsia="es-UY"/>
        </w:rPr>
        <w:t>month</w:t>
      </w:r>
      <w:proofErr w:type="spellEnd"/>
      <w:r>
        <w:rPr>
          <w:rFonts w:eastAsia="Calibri"/>
          <w:color w:val="000000"/>
          <w:sz w:val="22"/>
          <w:szCs w:val="22"/>
          <w:lang w:eastAsia="es-UY"/>
        </w:rPr>
        <w:t xml:space="preserve"> </w:t>
      </w:r>
      <w:proofErr w:type="spellStart"/>
      <w:r>
        <w:rPr>
          <w:rFonts w:eastAsia="Calibri"/>
          <w:color w:val="000000"/>
          <w:sz w:val="22"/>
          <w:szCs w:val="22"/>
          <w:lang w:eastAsia="es-UY"/>
        </w:rPr>
        <w:t>of</w:t>
      </w:r>
      <w:proofErr w:type="spellEnd"/>
      <w:r>
        <w:rPr>
          <w:rFonts w:eastAsia="Calibri"/>
          <w:color w:val="000000"/>
          <w:sz w:val="22"/>
          <w:szCs w:val="22"/>
          <w:lang w:eastAsia="es-UY"/>
        </w:rPr>
        <w:t xml:space="preserve"> ________________ </w:t>
      </w:r>
      <w:proofErr w:type="spellStart"/>
      <w:r>
        <w:rPr>
          <w:rFonts w:eastAsia="Calibri"/>
          <w:color w:val="000000"/>
          <w:sz w:val="22"/>
          <w:szCs w:val="22"/>
          <w:lang w:eastAsia="es-UY"/>
        </w:rPr>
        <w:t>of</w:t>
      </w:r>
      <w:proofErr w:type="spellEnd"/>
      <w:r>
        <w:rPr>
          <w:rFonts w:eastAsia="Calibri"/>
          <w:color w:val="000000"/>
          <w:sz w:val="22"/>
          <w:szCs w:val="22"/>
          <w:lang w:eastAsia="es-UY"/>
        </w:rPr>
        <w:t xml:space="preserve"> </w:t>
      </w:r>
      <w:proofErr w:type="spellStart"/>
      <w:r>
        <w:rPr>
          <w:rFonts w:eastAsia="Calibri"/>
          <w:color w:val="000000"/>
          <w:sz w:val="22"/>
          <w:szCs w:val="22"/>
          <w:lang w:eastAsia="es-UY"/>
        </w:rPr>
        <w:t>the</w:t>
      </w:r>
      <w:proofErr w:type="spellEnd"/>
      <w:r>
        <w:rPr>
          <w:rFonts w:eastAsia="Calibri"/>
          <w:color w:val="000000"/>
          <w:sz w:val="22"/>
          <w:szCs w:val="22"/>
          <w:lang w:eastAsia="es-UY"/>
        </w:rPr>
        <w:t xml:space="preserve"> </w:t>
      </w:r>
      <w:proofErr w:type="spellStart"/>
      <w:r>
        <w:rPr>
          <w:rFonts w:eastAsia="Calibri"/>
          <w:color w:val="000000"/>
          <w:sz w:val="22"/>
          <w:szCs w:val="22"/>
          <w:lang w:eastAsia="es-UY"/>
        </w:rPr>
        <w:t>year</w:t>
      </w:r>
      <w:proofErr w:type="spellEnd"/>
      <w:r>
        <w:rPr>
          <w:rFonts w:eastAsia="Calibri"/>
          <w:color w:val="000000"/>
          <w:sz w:val="22"/>
          <w:szCs w:val="22"/>
          <w:lang w:eastAsia="es-UY"/>
        </w:rPr>
        <w:t xml:space="preserve"> </w:t>
      </w:r>
      <w:proofErr w:type="spellStart"/>
      <w:r>
        <w:rPr>
          <w:rFonts w:eastAsia="Calibri"/>
          <w:color w:val="000000"/>
          <w:sz w:val="22"/>
          <w:szCs w:val="22"/>
          <w:lang w:eastAsia="es-UY"/>
        </w:rPr>
        <w:t>two</w:t>
      </w:r>
      <w:proofErr w:type="spellEnd"/>
      <w:r>
        <w:rPr>
          <w:rFonts w:eastAsia="Calibri"/>
          <w:color w:val="000000"/>
          <w:sz w:val="22"/>
          <w:szCs w:val="22"/>
          <w:lang w:eastAsia="es-UY"/>
        </w:rPr>
        <w:t xml:space="preserve"> </w:t>
      </w:r>
      <w:proofErr w:type="spellStart"/>
      <w:r>
        <w:rPr>
          <w:rFonts w:eastAsia="Calibri"/>
          <w:color w:val="000000"/>
          <w:sz w:val="22"/>
          <w:szCs w:val="22"/>
          <w:lang w:eastAsia="es-UY"/>
        </w:rPr>
        <w:t>thousand</w:t>
      </w:r>
      <w:proofErr w:type="spellEnd"/>
      <w:r>
        <w:rPr>
          <w:rFonts w:eastAsia="Calibri"/>
          <w:color w:val="000000"/>
          <w:sz w:val="22"/>
          <w:szCs w:val="22"/>
          <w:lang w:eastAsia="es-UY"/>
        </w:rPr>
        <w:t>_____.</w:t>
      </w:r>
    </w:p>
    <w:p w14:paraId="0BDA152A" w14:textId="77777777" w:rsidR="00E255F4" w:rsidRDefault="00000000">
      <w:pPr>
        <w:autoSpaceDE w:val="0"/>
        <w:spacing w:line="360" w:lineRule="auto"/>
        <w:jc w:val="both"/>
        <w:rPr>
          <w:rFonts w:eastAsia="Calibri"/>
          <w:color w:val="000000"/>
          <w:sz w:val="22"/>
          <w:szCs w:val="22"/>
          <w:lang w:eastAsia="es-UY"/>
        </w:rPr>
      </w:pPr>
      <w:r>
        <w:rPr>
          <w:rFonts w:eastAsia="Calibri"/>
          <w:color w:val="000000"/>
          <w:sz w:val="22"/>
          <w:szCs w:val="22"/>
          <w:lang w:eastAsia="es-UY"/>
        </w:rPr>
        <w:t>___________________________________________</w:t>
      </w:r>
    </w:p>
    <w:p w14:paraId="486A9E16" w14:textId="77777777" w:rsidR="00E255F4" w:rsidRDefault="00000000">
      <w:pPr>
        <w:autoSpaceDE w:val="0"/>
        <w:spacing w:line="360" w:lineRule="auto"/>
        <w:jc w:val="both"/>
        <w:rPr>
          <w:rFonts w:eastAsia="Calibri"/>
          <w:color w:val="000000"/>
          <w:sz w:val="22"/>
          <w:szCs w:val="22"/>
          <w:lang w:eastAsia="es-UY"/>
        </w:rPr>
      </w:pPr>
      <w:proofErr w:type="spellStart"/>
      <w:r>
        <w:rPr>
          <w:rFonts w:eastAsia="Calibri"/>
          <w:color w:val="000000"/>
          <w:sz w:val="22"/>
          <w:szCs w:val="22"/>
          <w:lang w:eastAsia="es-UY"/>
        </w:rPr>
        <w:t>Signature</w:t>
      </w:r>
      <w:proofErr w:type="spellEnd"/>
      <w:r>
        <w:rPr>
          <w:rFonts w:eastAsia="Calibri"/>
          <w:color w:val="000000"/>
          <w:sz w:val="22"/>
          <w:szCs w:val="22"/>
          <w:lang w:eastAsia="es-UY"/>
        </w:rPr>
        <w:t xml:space="preserve"> </w:t>
      </w:r>
      <w:proofErr w:type="spellStart"/>
      <w:r>
        <w:rPr>
          <w:rFonts w:eastAsia="Calibri"/>
          <w:color w:val="000000"/>
          <w:sz w:val="22"/>
          <w:szCs w:val="22"/>
          <w:lang w:eastAsia="es-UY"/>
        </w:rPr>
        <w:t>of</w:t>
      </w:r>
      <w:proofErr w:type="spellEnd"/>
      <w:r>
        <w:rPr>
          <w:rFonts w:eastAsia="Calibri"/>
          <w:color w:val="000000"/>
          <w:sz w:val="22"/>
          <w:szCs w:val="22"/>
          <w:lang w:eastAsia="es-UY"/>
        </w:rPr>
        <w:t xml:space="preserve"> </w:t>
      </w:r>
      <w:proofErr w:type="spellStart"/>
      <w:r>
        <w:rPr>
          <w:rFonts w:eastAsia="Calibri"/>
          <w:color w:val="000000"/>
          <w:sz w:val="22"/>
          <w:szCs w:val="22"/>
          <w:lang w:eastAsia="es-UY"/>
        </w:rPr>
        <w:t>the</w:t>
      </w:r>
      <w:proofErr w:type="spellEnd"/>
      <w:r>
        <w:rPr>
          <w:rFonts w:eastAsia="Calibri"/>
          <w:color w:val="000000"/>
          <w:sz w:val="22"/>
          <w:szCs w:val="22"/>
          <w:lang w:eastAsia="es-UY"/>
        </w:rPr>
        <w:t xml:space="preserve"> Company Representative</w:t>
      </w:r>
    </w:p>
    <w:p w14:paraId="3D3F83D0" w14:textId="77777777" w:rsidR="00E255F4" w:rsidRDefault="00000000">
      <w:pPr>
        <w:autoSpaceDE w:val="0"/>
        <w:spacing w:line="360" w:lineRule="auto"/>
        <w:jc w:val="both"/>
        <w:rPr>
          <w:rFonts w:eastAsia="Calibri"/>
          <w:color w:val="000000"/>
          <w:sz w:val="22"/>
          <w:szCs w:val="22"/>
          <w:lang w:eastAsia="es-UY"/>
        </w:rPr>
      </w:pPr>
      <w:r>
        <w:rPr>
          <w:rFonts w:eastAsia="Calibri"/>
          <w:color w:val="000000"/>
          <w:sz w:val="22"/>
          <w:szCs w:val="22"/>
          <w:lang w:eastAsia="es-UY"/>
        </w:rPr>
        <w:t>___________________________________________</w:t>
      </w:r>
    </w:p>
    <w:p w14:paraId="48B0A9E3" w14:textId="77777777" w:rsidR="00E255F4" w:rsidRDefault="00000000">
      <w:pPr>
        <w:autoSpaceDE w:val="0"/>
        <w:spacing w:line="360" w:lineRule="auto"/>
        <w:jc w:val="both"/>
      </w:pPr>
      <w:proofErr w:type="spellStart"/>
      <w:r>
        <w:rPr>
          <w:rFonts w:eastAsia="Calibri"/>
          <w:color w:val="000000"/>
          <w:sz w:val="22"/>
          <w:szCs w:val="22"/>
          <w:lang w:eastAsia="es-UY"/>
        </w:rPr>
        <w:t>Clarification</w:t>
      </w:r>
      <w:proofErr w:type="spellEnd"/>
      <w:r>
        <w:rPr>
          <w:rFonts w:eastAsia="Calibri"/>
          <w:color w:val="000000"/>
          <w:sz w:val="22"/>
          <w:szCs w:val="22"/>
          <w:lang w:eastAsia="es-UY"/>
        </w:rPr>
        <w:t xml:space="preserve"> </w:t>
      </w:r>
      <w:proofErr w:type="spellStart"/>
      <w:r>
        <w:rPr>
          <w:rFonts w:eastAsia="Calibri"/>
          <w:color w:val="000000"/>
          <w:sz w:val="22"/>
          <w:szCs w:val="22"/>
          <w:lang w:eastAsia="es-UY"/>
        </w:rPr>
        <w:t>of</w:t>
      </w:r>
      <w:proofErr w:type="spellEnd"/>
      <w:r>
        <w:rPr>
          <w:rFonts w:eastAsia="Calibri"/>
          <w:color w:val="000000"/>
          <w:sz w:val="22"/>
          <w:szCs w:val="22"/>
          <w:lang w:eastAsia="es-UY"/>
        </w:rPr>
        <w:t xml:space="preserve"> </w:t>
      </w:r>
      <w:proofErr w:type="spellStart"/>
      <w:r>
        <w:rPr>
          <w:rFonts w:eastAsia="Calibri"/>
          <w:color w:val="000000"/>
          <w:sz w:val="22"/>
          <w:szCs w:val="22"/>
          <w:lang w:eastAsia="es-UY"/>
        </w:rPr>
        <w:t>the</w:t>
      </w:r>
      <w:proofErr w:type="spellEnd"/>
      <w:r>
        <w:rPr>
          <w:rFonts w:eastAsia="Calibri"/>
          <w:color w:val="000000"/>
          <w:sz w:val="22"/>
          <w:szCs w:val="22"/>
          <w:lang w:eastAsia="es-UY"/>
        </w:rPr>
        <w:t xml:space="preserve"> </w:t>
      </w:r>
      <w:proofErr w:type="spellStart"/>
      <w:r>
        <w:rPr>
          <w:rFonts w:eastAsia="Calibri"/>
          <w:color w:val="000000"/>
          <w:sz w:val="22"/>
          <w:szCs w:val="22"/>
          <w:lang w:eastAsia="es-UY"/>
        </w:rPr>
        <w:t>Signature</w:t>
      </w:r>
      <w:proofErr w:type="spellEnd"/>
    </w:p>
    <w:p w14:paraId="3C7255D0" w14:textId="77777777" w:rsidR="00E255F4" w:rsidRDefault="00000000">
      <w:pPr>
        <w:autoSpaceDE w:val="0"/>
        <w:spacing w:line="360" w:lineRule="auto"/>
        <w:jc w:val="both"/>
        <w:rPr>
          <w:rFonts w:eastAsia="Calibri"/>
          <w:color w:val="000000"/>
          <w:sz w:val="22"/>
          <w:szCs w:val="22"/>
          <w:lang w:eastAsia="es-UY"/>
        </w:rPr>
      </w:pPr>
      <w:r>
        <w:rPr>
          <w:rFonts w:eastAsia="Calibri"/>
          <w:color w:val="000000"/>
          <w:sz w:val="22"/>
          <w:szCs w:val="22"/>
          <w:lang w:eastAsia="es-UY"/>
        </w:rPr>
        <w:t>___________________________________________</w:t>
      </w:r>
    </w:p>
    <w:p w14:paraId="0952D911" w14:textId="77777777" w:rsidR="00E255F4" w:rsidRDefault="00000000">
      <w:pPr>
        <w:spacing w:line="360" w:lineRule="auto"/>
        <w:jc w:val="both"/>
        <w:rPr>
          <w:rFonts w:eastAsia="Palatino Linotype"/>
          <w:sz w:val="22"/>
          <w:szCs w:val="22"/>
        </w:rPr>
      </w:pPr>
      <w:proofErr w:type="spellStart"/>
      <w:r>
        <w:rPr>
          <w:rFonts w:eastAsia="Calibri"/>
          <w:color w:val="000000"/>
          <w:sz w:val="22"/>
          <w:szCs w:val="22"/>
          <w:lang w:eastAsia="es-UY"/>
        </w:rPr>
        <w:t>Identity</w:t>
      </w:r>
      <w:proofErr w:type="spellEnd"/>
      <w:r>
        <w:rPr>
          <w:rFonts w:eastAsia="Calibri"/>
          <w:color w:val="000000"/>
          <w:sz w:val="22"/>
          <w:szCs w:val="22"/>
          <w:lang w:eastAsia="es-UY"/>
        </w:rPr>
        <w:t xml:space="preserve"> </w:t>
      </w:r>
      <w:proofErr w:type="spellStart"/>
      <w:r>
        <w:rPr>
          <w:rFonts w:eastAsia="Calibri"/>
          <w:color w:val="000000"/>
          <w:sz w:val="22"/>
          <w:szCs w:val="22"/>
          <w:lang w:eastAsia="es-UY"/>
        </w:rPr>
        <w:t>Document</w:t>
      </w:r>
      <w:proofErr w:type="spellEnd"/>
    </w:p>
    <w:p w14:paraId="4A5E261C" w14:textId="77777777" w:rsidR="00E255F4" w:rsidRDefault="00E255F4">
      <w:pPr>
        <w:jc w:val="both"/>
        <w:rPr>
          <w:rFonts w:eastAsia="Palatino Linotype"/>
          <w:sz w:val="22"/>
          <w:szCs w:val="22"/>
        </w:rPr>
      </w:pPr>
    </w:p>
    <w:p w14:paraId="18E8DE36" w14:textId="77777777" w:rsidR="00E255F4" w:rsidRDefault="00000000">
      <w:pPr>
        <w:pStyle w:val="Ttulo1"/>
        <w:numPr>
          <w:ilvl w:val="0"/>
          <w:numId w:val="0"/>
        </w:numPr>
        <w:spacing w:before="0" w:after="0"/>
        <w:jc w:val="center"/>
        <w:rPr>
          <w:rFonts w:ascii="Times New Roman" w:hAnsi="Times New Roman" w:cs="Times New Roman"/>
          <w:b w:val="0"/>
          <w:color w:val="548DD4"/>
          <w:sz w:val="28"/>
          <w:lang w:val="es-ES"/>
        </w:rPr>
      </w:pPr>
      <w:bookmarkStart w:id="128" w:name="__RefHeading___Toc225377286"/>
      <w:bookmarkEnd w:id="128"/>
      <w:r>
        <w:rPr>
          <w:rFonts w:ascii="Times New Roman" w:hAnsi="Times New Roman" w:cs="Times New Roman"/>
          <w:b w:val="0"/>
          <w:color w:val="548DD4"/>
          <w:sz w:val="28"/>
          <w:lang w:val="es-ES"/>
        </w:rPr>
        <w:t>ANNEX XII</w:t>
      </w:r>
    </w:p>
    <w:p w14:paraId="38A16F85" w14:textId="77777777" w:rsidR="00E255F4" w:rsidRDefault="00000000">
      <w:pPr>
        <w:pStyle w:val="Ttulo1"/>
        <w:numPr>
          <w:ilvl w:val="0"/>
          <w:numId w:val="0"/>
        </w:numPr>
        <w:spacing w:before="0" w:after="0"/>
        <w:jc w:val="center"/>
        <w:rPr>
          <w:rFonts w:ascii="Times New Roman" w:hAnsi="Times New Roman" w:cs="Times New Roman"/>
          <w:b w:val="0"/>
          <w:color w:val="548DD4"/>
          <w:sz w:val="28"/>
          <w:lang w:val="es-ES"/>
        </w:rPr>
      </w:pPr>
      <w:bookmarkStart w:id="129" w:name="__RefHeading___Toc225377287"/>
      <w:bookmarkEnd w:id="129"/>
      <w:proofErr w:type="spellStart"/>
      <w:r>
        <w:rPr>
          <w:rFonts w:ascii="Times New Roman" w:hAnsi="Times New Roman" w:cs="Times New Roman"/>
          <w:b w:val="0"/>
          <w:color w:val="548DD4"/>
          <w:sz w:val="28"/>
          <w:lang w:val="es-ES"/>
        </w:rPr>
        <w:t>Sworn</w:t>
      </w:r>
      <w:proofErr w:type="spellEnd"/>
      <w:r>
        <w:rPr>
          <w:rFonts w:ascii="Times New Roman" w:hAnsi="Times New Roman" w:cs="Times New Roman"/>
          <w:b w:val="0"/>
          <w:color w:val="548DD4"/>
          <w:sz w:val="28"/>
          <w:lang w:val="es-ES"/>
        </w:rPr>
        <w:t xml:space="preserve"> </w:t>
      </w:r>
      <w:proofErr w:type="spellStart"/>
      <w:r>
        <w:rPr>
          <w:rFonts w:ascii="Times New Roman" w:hAnsi="Times New Roman" w:cs="Times New Roman"/>
          <w:b w:val="0"/>
          <w:color w:val="548DD4"/>
          <w:sz w:val="28"/>
          <w:lang w:val="es-ES"/>
        </w:rPr>
        <w:t>statement</w:t>
      </w:r>
      <w:proofErr w:type="spellEnd"/>
      <w:r>
        <w:rPr>
          <w:rFonts w:ascii="Times New Roman" w:hAnsi="Times New Roman" w:cs="Times New Roman"/>
          <w:b w:val="0"/>
          <w:color w:val="548DD4"/>
          <w:sz w:val="28"/>
          <w:lang w:val="es-ES"/>
        </w:rPr>
        <w:t xml:space="preserve"> </w:t>
      </w:r>
      <w:proofErr w:type="spellStart"/>
      <w:r>
        <w:rPr>
          <w:rFonts w:ascii="Times New Roman" w:hAnsi="Times New Roman" w:cs="Times New Roman"/>
          <w:b w:val="0"/>
          <w:color w:val="548DD4"/>
          <w:sz w:val="28"/>
          <w:lang w:val="es-ES"/>
        </w:rPr>
        <w:t>of</w:t>
      </w:r>
      <w:proofErr w:type="spellEnd"/>
      <w:r>
        <w:rPr>
          <w:rFonts w:ascii="Times New Roman" w:hAnsi="Times New Roman" w:cs="Times New Roman"/>
          <w:b w:val="0"/>
          <w:color w:val="548DD4"/>
          <w:sz w:val="28"/>
          <w:lang w:val="es-ES"/>
        </w:rPr>
        <w:t xml:space="preserve"> NOT </w:t>
      </w:r>
      <w:proofErr w:type="spellStart"/>
      <w:r>
        <w:rPr>
          <w:rFonts w:ascii="Times New Roman" w:hAnsi="Times New Roman" w:cs="Times New Roman"/>
          <w:b w:val="0"/>
          <w:color w:val="548DD4"/>
          <w:sz w:val="28"/>
          <w:lang w:val="es-ES"/>
        </w:rPr>
        <w:t>being</w:t>
      </w:r>
      <w:proofErr w:type="spellEnd"/>
      <w:r>
        <w:rPr>
          <w:rFonts w:ascii="Times New Roman" w:hAnsi="Times New Roman" w:cs="Times New Roman"/>
          <w:b w:val="0"/>
          <w:color w:val="548DD4"/>
          <w:sz w:val="28"/>
          <w:lang w:val="es-ES"/>
        </w:rPr>
        <w:t xml:space="preserve"> </w:t>
      </w:r>
      <w:proofErr w:type="spellStart"/>
      <w:r>
        <w:rPr>
          <w:rFonts w:ascii="Times New Roman" w:hAnsi="Times New Roman" w:cs="Times New Roman"/>
          <w:b w:val="0"/>
          <w:color w:val="548DD4"/>
          <w:sz w:val="28"/>
          <w:lang w:val="es-ES"/>
        </w:rPr>
        <w:t>registered</w:t>
      </w:r>
      <w:proofErr w:type="spellEnd"/>
      <w:r>
        <w:rPr>
          <w:rFonts w:ascii="Times New Roman" w:hAnsi="Times New Roman" w:cs="Times New Roman"/>
          <w:b w:val="0"/>
          <w:color w:val="548DD4"/>
          <w:sz w:val="28"/>
          <w:lang w:val="es-ES"/>
        </w:rPr>
        <w:t xml:space="preserve"> as a </w:t>
      </w:r>
      <w:proofErr w:type="spellStart"/>
      <w:r>
        <w:rPr>
          <w:rFonts w:ascii="Times New Roman" w:hAnsi="Times New Roman" w:cs="Times New Roman"/>
          <w:b w:val="0"/>
          <w:color w:val="548DD4"/>
          <w:sz w:val="28"/>
          <w:lang w:val="es-ES"/>
        </w:rPr>
        <w:t>Delinquent</w:t>
      </w:r>
      <w:proofErr w:type="spellEnd"/>
      <w:r>
        <w:rPr>
          <w:rFonts w:ascii="Times New Roman" w:hAnsi="Times New Roman" w:cs="Times New Roman"/>
          <w:b w:val="0"/>
          <w:color w:val="548DD4"/>
          <w:sz w:val="28"/>
          <w:lang w:val="es-ES"/>
        </w:rPr>
        <w:t xml:space="preserve"> </w:t>
      </w:r>
      <w:proofErr w:type="spellStart"/>
      <w:r>
        <w:rPr>
          <w:rFonts w:ascii="Times New Roman" w:hAnsi="Times New Roman" w:cs="Times New Roman"/>
          <w:b w:val="0"/>
          <w:color w:val="548DD4"/>
          <w:sz w:val="28"/>
          <w:lang w:val="es-ES"/>
        </w:rPr>
        <w:t>Alimony</w:t>
      </w:r>
      <w:proofErr w:type="spellEnd"/>
      <w:r>
        <w:rPr>
          <w:rFonts w:ascii="Times New Roman" w:hAnsi="Times New Roman" w:cs="Times New Roman"/>
          <w:b w:val="0"/>
          <w:color w:val="548DD4"/>
          <w:sz w:val="28"/>
          <w:lang w:val="es-ES"/>
        </w:rPr>
        <w:t xml:space="preserve"> </w:t>
      </w:r>
      <w:proofErr w:type="spellStart"/>
      <w:r>
        <w:rPr>
          <w:rFonts w:ascii="Times New Roman" w:hAnsi="Times New Roman" w:cs="Times New Roman"/>
          <w:b w:val="0"/>
          <w:color w:val="548DD4"/>
          <w:sz w:val="28"/>
          <w:lang w:val="es-ES"/>
        </w:rPr>
        <w:t>Debtor</w:t>
      </w:r>
      <w:proofErr w:type="spellEnd"/>
      <w:r>
        <w:rPr>
          <w:rFonts w:ascii="Times New Roman" w:hAnsi="Times New Roman" w:cs="Times New Roman"/>
          <w:b w:val="0"/>
          <w:color w:val="548DD4"/>
          <w:sz w:val="28"/>
          <w:lang w:val="es-ES"/>
        </w:rPr>
        <w:t>.</w:t>
      </w:r>
    </w:p>
    <w:p w14:paraId="24401A1C" w14:textId="77777777" w:rsidR="00E255F4" w:rsidRDefault="00E255F4">
      <w:pPr>
        <w:pStyle w:val="Ttulo1"/>
        <w:numPr>
          <w:ilvl w:val="0"/>
          <w:numId w:val="0"/>
        </w:numPr>
        <w:spacing w:before="0" w:after="0"/>
        <w:jc w:val="center"/>
        <w:rPr>
          <w:rFonts w:ascii="Times New Roman" w:hAnsi="Times New Roman" w:cs="Times New Roman"/>
          <w:b w:val="0"/>
          <w:color w:val="548DD4"/>
          <w:sz w:val="28"/>
          <w:lang w:val="es-ES"/>
        </w:rPr>
      </w:pPr>
    </w:p>
    <w:p w14:paraId="4A366103" w14:textId="77777777" w:rsidR="00E255F4" w:rsidRDefault="00E255F4">
      <w:pPr>
        <w:pStyle w:val="Ttulo1"/>
        <w:numPr>
          <w:ilvl w:val="0"/>
          <w:numId w:val="0"/>
        </w:numPr>
        <w:spacing w:before="0" w:after="0"/>
        <w:jc w:val="center"/>
        <w:rPr>
          <w:rFonts w:ascii="Times New Roman" w:hAnsi="Times New Roman" w:cs="Times New Roman"/>
          <w:b w:val="0"/>
          <w:color w:val="548DD4"/>
          <w:sz w:val="22"/>
          <w:szCs w:val="22"/>
          <w:lang w:val="es-ES"/>
        </w:rPr>
      </w:pPr>
    </w:p>
    <w:p w14:paraId="23349CD0" w14:textId="77777777" w:rsidR="00E255F4" w:rsidRDefault="00000000">
      <w:proofErr w:type="spellStart"/>
      <w:r>
        <w:rPr>
          <w:sz w:val="22"/>
          <w:szCs w:val="22"/>
        </w:rPr>
        <w:t>Sworn</w:t>
      </w:r>
      <w:proofErr w:type="spellEnd"/>
      <w:r>
        <w:rPr>
          <w:sz w:val="22"/>
          <w:szCs w:val="22"/>
        </w:rPr>
        <w:t xml:space="preserve"> </w:t>
      </w:r>
      <w:proofErr w:type="spellStart"/>
      <w:r>
        <w:rPr>
          <w:sz w:val="22"/>
          <w:szCs w:val="22"/>
        </w:rPr>
        <w:t>Statement</w:t>
      </w:r>
      <w:proofErr w:type="spellEnd"/>
      <w:r>
        <w:rPr>
          <w:sz w:val="22"/>
          <w:szCs w:val="22"/>
        </w:rPr>
        <w:t xml:space="preserve">: In </w:t>
      </w:r>
      <w:proofErr w:type="spellStart"/>
      <w:r>
        <w:rPr>
          <w:sz w:val="22"/>
          <w:szCs w:val="22"/>
        </w:rPr>
        <w:t>the</w:t>
      </w:r>
      <w:proofErr w:type="spellEnd"/>
      <w:r>
        <w:rPr>
          <w:sz w:val="22"/>
          <w:szCs w:val="22"/>
        </w:rPr>
        <w:t xml:space="preserve"> </w:t>
      </w:r>
      <w:proofErr w:type="spellStart"/>
      <w:r>
        <w:rPr>
          <w:sz w:val="22"/>
          <w:szCs w:val="22"/>
        </w:rPr>
        <w:t>city</w:t>
      </w:r>
      <w:proofErr w:type="spellEnd"/>
      <w:r>
        <w:rPr>
          <w:sz w:val="22"/>
          <w:szCs w:val="22"/>
        </w:rPr>
        <w:t xml:space="preserve"> </w:t>
      </w:r>
      <w:proofErr w:type="spellStart"/>
      <w:r>
        <w:rPr>
          <w:sz w:val="22"/>
          <w:szCs w:val="22"/>
        </w:rPr>
        <w:t>of</w:t>
      </w:r>
      <w:proofErr w:type="spellEnd"/>
      <w:r>
        <w:rPr>
          <w:sz w:val="22"/>
          <w:szCs w:val="22"/>
        </w:rPr>
        <w:t xml:space="preserve"> _________ </w:t>
      </w:r>
      <w:proofErr w:type="spellStart"/>
      <w:r>
        <w:rPr>
          <w:sz w:val="22"/>
          <w:szCs w:val="22"/>
        </w:rPr>
        <w:t>on</w:t>
      </w:r>
      <w:proofErr w:type="spellEnd"/>
      <w:r>
        <w:rPr>
          <w:sz w:val="22"/>
          <w:szCs w:val="22"/>
        </w:rPr>
        <w:t xml:space="preserve"> </w:t>
      </w:r>
      <w:proofErr w:type="spellStart"/>
      <w:r>
        <w:rPr>
          <w:sz w:val="22"/>
          <w:szCs w:val="22"/>
        </w:rPr>
        <w:t>the</w:t>
      </w:r>
      <w:proofErr w:type="spellEnd"/>
      <w:r>
        <w:rPr>
          <w:sz w:val="22"/>
          <w:szCs w:val="22"/>
        </w:rPr>
        <w:t xml:space="preserve"> _____ </w:t>
      </w:r>
      <w:proofErr w:type="spellStart"/>
      <w:r>
        <w:rPr>
          <w:sz w:val="22"/>
          <w:szCs w:val="22"/>
        </w:rPr>
        <w:t>day</w:t>
      </w:r>
      <w:proofErr w:type="spellEnd"/>
      <w:r>
        <w:rPr>
          <w:sz w:val="22"/>
          <w:szCs w:val="22"/>
        </w:rPr>
        <w:t xml:space="preserve"> </w:t>
      </w:r>
      <w:proofErr w:type="spellStart"/>
      <w:r>
        <w:rPr>
          <w:sz w:val="22"/>
          <w:szCs w:val="22"/>
        </w:rPr>
        <w:t>of</w:t>
      </w:r>
      <w:proofErr w:type="spellEnd"/>
      <w:r>
        <w:rPr>
          <w:sz w:val="22"/>
          <w:szCs w:val="22"/>
        </w:rPr>
        <w:t xml:space="preserve"> </w:t>
      </w:r>
      <w:proofErr w:type="spellStart"/>
      <w:r>
        <w:rPr>
          <w:sz w:val="22"/>
          <w:szCs w:val="22"/>
        </w:rPr>
        <w:t>the</w:t>
      </w:r>
      <w:proofErr w:type="spellEnd"/>
      <w:r>
        <w:rPr>
          <w:sz w:val="22"/>
          <w:szCs w:val="22"/>
        </w:rPr>
        <w:t xml:space="preserve"> </w:t>
      </w:r>
      <w:proofErr w:type="spellStart"/>
      <w:r>
        <w:rPr>
          <w:sz w:val="22"/>
          <w:szCs w:val="22"/>
        </w:rPr>
        <w:t>month</w:t>
      </w:r>
      <w:proofErr w:type="spellEnd"/>
      <w:r>
        <w:rPr>
          <w:sz w:val="22"/>
          <w:szCs w:val="22"/>
        </w:rPr>
        <w:t xml:space="preserve"> </w:t>
      </w:r>
      <w:proofErr w:type="spellStart"/>
      <w:r>
        <w:rPr>
          <w:sz w:val="22"/>
          <w:szCs w:val="22"/>
        </w:rPr>
        <w:t>of</w:t>
      </w:r>
      <w:proofErr w:type="spellEnd"/>
      <w:r>
        <w:rPr>
          <w:sz w:val="22"/>
          <w:szCs w:val="22"/>
        </w:rPr>
        <w:t xml:space="preserve"> ____ </w:t>
      </w:r>
      <w:proofErr w:type="spellStart"/>
      <w:r>
        <w:rPr>
          <w:sz w:val="22"/>
          <w:szCs w:val="22"/>
        </w:rPr>
        <w:t>of</w:t>
      </w:r>
      <w:proofErr w:type="spellEnd"/>
      <w:r>
        <w:rPr>
          <w:sz w:val="22"/>
          <w:szCs w:val="22"/>
        </w:rPr>
        <w:t xml:space="preserve"> </w:t>
      </w:r>
      <w:proofErr w:type="spellStart"/>
      <w:r>
        <w:rPr>
          <w:sz w:val="22"/>
          <w:szCs w:val="22"/>
        </w:rPr>
        <w:t>the</w:t>
      </w:r>
      <w:proofErr w:type="spellEnd"/>
      <w:r>
        <w:rPr>
          <w:sz w:val="22"/>
          <w:szCs w:val="22"/>
        </w:rPr>
        <w:t xml:space="preserve"> </w:t>
      </w:r>
      <w:proofErr w:type="spellStart"/>
      <w:r>
        <w:rPr>
          <w:sz w:val="22"/>
          <w:szCs w:val="22"/>
        </w:rPr>
        <w:t>year</w:t>
      </w:r>
      <w:proofErr w:type="spellEnd"/>
      <w:r>
        <w:rPr>
          <w:sz w:val="22"/>
          <w:szCs w:val="22"/>
        </w:rPr>
        <w:t xml:space="preserve"> ______, __________, in </w:t>
      </w:r>
      <w:proofErr w:type="spellStart"/>
      <w:r>
        <w:rPr>
          <w:sz w:val="22"/>
          <w:szCs w:val="22"/>
        </w:rPr>
        <w:t>his</w:t>
      </w:r>
      <w:proofErr w:type="spellEnd"/>
      <w:r>
        <w:rPr>
          <w:sz w:val="22"/>
          <w:szCs w:val="22"/>
        </w:rPr>
        <w:t>/</w:t>
      </w:r>
      <w:proofErr w:type="spellStart"/>
      <w:r>
        <w:rPr>
          <w:sz w:val="22"/>
          <w:szCs w:val="22"/>
        </w:rPr>
        <w:t>her</w:t>
      </w:r>
      <w:proofErr w:type="spellEnd"/>
      <w:r>
        <w:rPr>
          <w:sz w:val="22"/>
          <w:szCs w:val="22"/>
        </w:rPr>
        <w:t xml:space="preserve"> </w:t>
      </w:r>
      <w:proofErr w:type="spellStart"/>
      <w:r>
        <w:rPr>
          <w:sz w:val="22"/>
          <w:szCs w:val="22"/>
        </w:rPr>
        <w:t>capacity</w:t>
      </w:r>
      <w:proofErr w:type="spellEnd"/>
      <w:r>
        <w:rPr>
          <w:sz w:val="22"/>
          <w:szCs w:val="22"/>
        </w:rPr>
        <w:t xml:space="preserve"> as _____ </w:t>
      </w:r>
      <w:proofErr w:type="spellStart"/>
      <w:r>
        <w:rPr>
          <w:sz w:val="22"/>
          <w:szCs w:val="22"/>
        </w:rPr>
        <w:t>of</w:t>
      </w:r>
      <w:proofErr w:type="spellEnd"/>
      <w:r>
        <w:rPr>
          <w:sz w:val="22"/>
          <w:szCs w:val="22"/>
        </w:rPr>
        <w:t xml:space="preserve"> </w:t>
      </w:r>
      <w:proofErr w:type="spellStart"/>
      <w:r>
        <w:rPr>
          <w:sz w:val="22"/>
          <w:szCs w:val="22"/>
        </w:rPr>
        <w:t>the</w:t>
      </w:r>
      <w:proofErr w:type="spellEnd"/>
      <w:r>
        <w:rPr>
          <w:sz w:val="22"/>
          <w:szCs w:val="22"/>
        </w:rPr>
        <w:t xml:space="preserve"> </w:t>
      </w:r>
      <w:proofErr w:type="spellStart"/>
      <w:r>
        <w:rPr>
          <w:sz w:val="22"/>
          <w:szCs w:val="22"/>
        </w:rPr>
        <w:t>company</w:t>
      </w:r>
      <w:proofErr w:type="spellEnd"/>
      <w:r>
        <w:rPr>
          <w:sz w:val="22"/>
          <w:szCs w:val="22"/>
        </w:rPr>
        <w:t xml:space="preserve"> ________, declares </w:t>
      </w:r>
      <w:proofErr w:type="spellStart"/>
      <w:r>
        <w:rPr>
          <w:sz w:val="22"/>
          <w:szCs w:val="22"/>
        </w:rPr>
        <w:t>under</w:t>
      </w:r>
      <w:proofErr w:type="spellEnd"/>
      <w:r>
        <w:rPr>
          <w:sz w:val="22"/>
          <w:szCs w:val="22"/>
        </w:rPr>
        <w:t xml:space="preserve"> </w:t>
      </w:r>
      <w:proofErr w:type="spellStart"/>
      <w:r>
        <w:rPr>
          <w:sz w:val="22"/>
          <w:szCs w:val="22"/>
        </w:rPr>
        <w:t>oath</w:t>
      </w:r>
      <w:proofErr w:type="spellEnd"/>
      <w:r>
        <w:rPr>
          <w:sz w:val="22"/>
          <w:szCs w:val="22"/>
        </w:rPr>
        <w:t xml:space="preserve"> </w:t>
      </w:r>
      <w:proofErr w:type="spellStart"/>
      <w:r>
        <w:rPr>
          <w:sz w:val="22"/>
          <w:szCs w:val="22"/>
        </w:rPr>
        <w:t>that</w:t>
      </w:r>
      <w:proofErr w:type="spellEnd"/>
      <w:r>
        <w:rPr>
          <w:sz w:val="22"/>
          <w:szCs w:val="22"/>
        </w:rPr>
        <w:t xml:space="preserve"> </w:t>
      </w:r>
      <w:proofErr w:type="spellStart"/>
      <w:r>
        <w:rPr>
          <w:sz w:val="22"/>
          <w:szCs w:val="22"/>
        </w:rPr>
        <w:t>the</w:t>
      </w:r>
      <w:proofErr w:type="spellEnd"/>
      <w:r>
        <w:rPr>
          <w:sz w:val="22"/>
          <w:szCs w:val="22"/>
        </w:rPr>
        <w:t xml:space="preserve"> </w:t>
      </w:r>
      <w:proofErr w:type="spellStart"/>
      <w:r>
        <w:rPr>
          <w:sz w:val="22"/>
          <w:szCs w:val="22"/>
        </w:rPr>
        <w:t>Owners</w:t>
      </w:r>
      <w:proofErr w:type="spellEnd"/>
      <w:r>
        <w:rPr>
          <w:sz w:val="22"/>
          <w:szCs w:val="22"/>
        </w:rPr>
        <w:t xml:space="preserve">, </w:t>
      </w:r>
      <w:proofErr w:type="spellStart"/>
      <w:r>
        <w:rPr>
          <w:sz w:val="22"/>
          <w:szCs w:val="22"/>
        </w:rPr>
        <w:t>Directors</w:t>
      </w:r>
      <w:proofErr w:type="spellEnd"/>
      <w:r>
        <w:rPr>
          <w:sz w:val="22"/>
          <w:szCs w:val="22"/>
        </w:rPr>
        <w:t xml:space="preserve"> and </w:t>
      </w:r>
      <w:proofErr w:type="spellStart"/>
      <w:r>
        <w:rPr>
          <w:sz w:val="22"/>
          <w:szCs w:val="22"/>
        </w:rPr>
        <w:t>Administrators</w:t>
      </w:r>
      <w:proofErr w:type="spellEnd"/>
      <w:r>
        <w:rPr>
          <w:sz w:val="22"/>
          <w:szCs w:val="22"/>
        </w:rPr>
        <w:t xml:space="preserve"> </w:t>
      </w:r>
      <w:proofErr w:type="spellStart"/>
      <w:r>
        <w:rPr>
          <w:sz w:val="22"/>
          <w:szCs w:val="22"/>
        </w:rPr>
        <w:t>of</w:t>
      </w:r>
      <w:proofErr w:type="spellEnd"/>
      <w:r>
        <w:rPr>
          <w:sz w:val="22"/>
          <w:szCs w:val="22"/>
        </w:rPr>
        <w:t xml:space="preserve"> </w:t>
      </w:r>
      <w:proofErr w:type="spellStart"/>
      <w:r>
        <w:rPr>
          <w:sz w:val="22"/>
          <w:szCs w:val="22"/>
        </w:rPr>
        <w:t>this</w:t>
      </w:r>
      <w:proofErr w:type="spellEnd"/>
      <w:r>
        <w:rPr>
          <w:sz w:val="22"/>
          <w:szCs w:val="22"/>
        </w:rPr>
        <w:t xml:space="preserve"> </w:t>
      </w:r>
      <w:proofErr w:type="spellStart"/>
      <w:r>
        <w:rPr>
          <w:sz w:val="22"/>
          <w:szCs w:val="22"/>
        </w:rPr>
        <w:t>company</w:t>
      </w:r>
      <w:proofErr w:type="spellEnd"/>
      <w:r>
        <w:rPr>
          <w:sz w:val="22"/>
          <w:szCs w:val="22"/>
        </w:rPr>
        <w:t xml:space="preserve"> are </w:t>
      </w:r>
      <w:proofErr w:type="spellStart"/>
      <w:r>
        <w:rPr>
          <w:sz w:val="22"/>
          <w:szCs w:val="22"/>
        </w:rPr>
        <w:t>not</w:t>
      </w:r>
      <w:proofErr w:type="spellEnd"/>
      <w:r>
        <w:rPr>
          <w:sz w:val="22"/>
          <w:szCs w:val="22"/>
        </w:rPr>
        <w:t xml:space="preserve"> </w:t>
      </w:r>
      <w:proofErr w:type="spellStart"/>
      <w:r>
        <w:rPr>
          <w:sz w:val="22"/>
          <w:szCs w:val="22"/>
        </w:rPr>
        <w:t>registered</w:t>
      </w:r>
      <w:proofErr w:type="spellEnd"/>
      <w:r>
        <w:rPr>
          <w:sz w:val="22"/>
          <w:szCs w:val="22"/>
        </w:rPr>
        <w:t xml:space="preserve"> in </w:t>
      </w:r>
      <w:proofErr w:type="spellStart"/>
      <w:r>
        <w:rPr>
          <w:sz w:val="22"/>
          <w:szCs w:val="22"/>
        </w:rPr>
        <w:t>the</w:t>
      </w:r>
      <w:proofErr w:type="spellEnd"/>
      <w:r>
        <w:rPr>
          <w:sz w:val="22"/>
          <w:szCs w:val="22"/>
        </w:rPr>
        <w:t xml:space="preserve"> </w:t>
      </w:r>
      <w:proofErr w:type="spellStart"/>
      <w:r>
        <w:rPr>
          <w:sz w:val="22"/>
          <w:szCs w:val="22"/>
        </w:rPr>
        <w:t>National</w:t>
      </w:r>
      <w:proofErr w:type="spellEnd"/>
      <w:r>
        <w:rPr>
          <w:sz w:val="22"/>
          <w:szCs w:val="22"/>
        </w:rPr>
        <w:t xml:space="preserve"> </w:t>
      </w:r>
      <w:proofErr w:type="spellStart"/>
      <w:r>
        <w:rPr>
          <w:sz w:val="22"/>
          <w:szCs w:val="22"/>
        </w:rPr>
        <w:t>Registry</w:t>
      </w:r>
      <w:proofErr w:type="spellEnd"/>
      <w:r>
        <w:rPr>
          <w:sz w:val="22"/>
          <w:szCs w:val="22"/>
        </w:rPr>
        <w:t xml:space="preserve"> </w:t>
      </w:r>
      <w:proofErr w:type="spellStart"/>
      <w:r>
        <w:rPr>
          <w:sz w:val="22"/>
          <w:szCs w:val="22"/>
        </w:rPr>
        <w:t>of</w:t>
      </w:r>
      <w:proofErr w:type="spellEnd"/>
      <w:r>
        <w:rPr>
          <w:sz w:val="22"/>
          <w:szCs w:val="22"/>
        </w:rPr>
        <w:t xml:space="preserve"> Personal Acts, </w:t>
      </w:r>
      <w:proofErr w:type="spellStart"/>
      <w:r>
        <w:rPr>
          <w:sz w:val="22"/>
          <w:szCs w:val="22"/>
        </w:rPr>
        <w:t>Interdictions</w:t>
      </w:r>
      <w:proofErr w:type="spellEnd"/>
      <w:r>
        <w:rPr>
          <w:sz w:val="22"/>
          <w:szCs w:val="22"/>
        </w:rPr>
        <w:t xml:space="preserve"> Section, as a </w:t>
      </w:r>
      <w:proofErr w:type="spellStart"/>
      <w:r>
        <w:rPr>
          <w:sz w:val="22"/>
          <w:szCs w:val="22"/>
        </w:rPr>
        <w:t>delinquent</w:t>
      </w:r>
      <w:proofErr w:type="spellEnd"/>
      <w:r>
        <w:rPr>
          <w:sz w:val="22"/>
          <w:szCs w:val="22"/>
        </w:rPr>
        <w:t xml:space="preserve"> </w:t>
      </w:r>
      <w:proofErr w:type="spellStart"/>
      <w:r>
        <w:rPr>
          <w:sz w:val="22"/>
          <w:szCs w:val="22"/>
        </w:rPr>
        <w:t>alimony</w:t>
      </w:r>
      <w:proofErr w:type="spellEnd"/>
      <w:r>
        <w:rPr>
          <w:sz w:val="22"/>
          <w:szCs w:val="22"/>
        </w:rPr>
        <w:t xml:space="preserve"> </w:t>
      </w:r>
      <w:proofErr w:type="spellStart"/>
      <w:r>
        <w:rPr>
          <w:sz w:val="22"/>
          <w:szCs w:val="22"/>
        </w:rPr>
        <w:t>debtor</w:t>
      </w:r>
      <w:proofErr w:type="spellEnd"/>
      <w:r>
        <w:rPr>
          <w:sz w:val="22"/>
          <w:szCs w:val="22"/>
        </w:rPr>
        <w:t xml:space="preserve">, </w:t>
      </w:r>
      <w:proofErr w:type="spellStart"/>
      <w:r>
        <w:rPr>
          <w:sz w:val="22"/>
          <w:szCs w:val="22"/>
        </w:rPr>
        <w:t>for</w:t>
      </w:r>
      <w:proofErr w:type="spellEnd"/>
      <w:r>
        <w:rPr>
          <w:sz w:val="22"/>
          <w:szCs w:val="22"/>
        </w:rPr>
        <w:t xml:space="preserve"> </w:t>
      </w:r>
      <w:proofErr w:type="spellStart"/>
      <w:r>
        <w:rPr>
          <w:sz w:val="22"/>
          <w:szCs w:val="22"/>
        </w:rPr>
        <w:t>the</w:t>
      </w:r>
      <w:proofErr w:type="spellEnd"/>
      <w:r>
        <w:rPr>
          <w:sz w:val="22"/>
          <w:szCs w:val="22"/>
        </w:rPr>
        <w:t xml:space="preserve"> </w:t>
      </w:r>
      <w:proofErr w:type="spellStart"/>
      <w:r>
        <w:rPr>
          <w:sz w:val="22"/>
          <w:szCs w:val="22"/>
        </w:rPr>
        <w:t>purposes</w:t>
      </w:r>
      <w:proofErr w:type="spellEnd"/>
      <w:r>
        <w:rPr>
          <w:sz w:val="22"/>
          <w:szCs w:val="22"/>
        </w:rPr>
        <w:t xml:space="preserve"> </w:t>
      </w:r>
      <w:proofErr w:type="spellStart"/>
      <w:r>
        <w:rPr>
          <w:sz w:val="22"/>
          <w:szCs w:val="22"/>
        </w:rPr>
        <w:t>provided</w:t>
      </w:r>
      <w:proofErr w:type="spellEnd"/>
      <w:r>
        <w:rPr>
          <w:sz w:val="22"/>
          <w:szCs w:val="22"/>
        </w:rPr>
        <w:t xml:space="preserve"> </w:t>
      </w:r>
      <w:proofErr w:type="spellStart"/>
      <w:r>
        <w:rPr>
          <w:sz w:val="22"/>
          <w:szCs w:val="22"/>
        </w:rPr>
        <w:t>by</w:t>
      </w:r>
      <w:proofErr w:type="spellEnd"/>
      <w:r>
        <w:rPr>
          <w:sz w:val="22"/>
          <w:szCs w:val="22"/>
        </w:rPr>
        <w:t xml:space="preserve"> </w:t>
      </w:r>
      <w:proofErr w:type="spellStart"/>
      <w:r>
        <w:rPr>
          <w:sz w:val="22"/>
          <w:szCs w:val="22"/>
        </w:rPr>
        <w:t>the</w:t>
      </w:r>
      <w:proofErr w:type="spellEnd"/>
      <w:r>
        <w:rPr>
          <w:sz w:val="22"/>
          <w:szCs w:val="22"/>
        </w:rPr>
        <w:t xml:space="preserve"> </w:t>
      </w:r>
      <w:proofErr w:type="spellStart"/>
      <w:r>
        <w:rPr>
          <w:sz w:val="22"/>
          <w:szCs w:val="22"/>
        </w:rPr>
        <w:t>following</w:t>
      </w:r>
      <w:proofErr w:type="spellEnd"/>
      <w:r>
        <w:rPr>
          <w:sz w:val="22"/>
          <w:szCs w:val="22"/>
        </w:rPr>
        <w:t xml:space="preserve"> Laws:</w:t>
      </w:r>
    </w:p>
    <w:p w14:paraId="3470A08B" w14:textId="77777777" w:rsidR="00E255F4" w:rsidRDefault="00E255F4">
      <w:pPr>
        <w:rPr>
          <w:sz w:val="22"/>
          <w:szCs w:val="22"/>
        </w:rPr>
      </w:pPr>
    </w:p>
    <w:p w14:paraId="5FCBCB30" w14:textId="77777777" w:rsidR="00E255F4" w:rsidRDefault="00000000">
      <w:pPr>
        <w:rPr>
          <w:sz w:val="22"/>
          <w:szCs w:val="22"/>
        </w:rPr>
      </w:pPr>
      <w:r>
        <w:rPr>
          <w:sz w:val="22"/>
          <w:szCs w:val="22"/>
        </w:rPr>
        <w:lastRenderedPageBreak/>
        <w:t xml:space="preserve">1) Law 17.957 </w:t>
      </w:r>
      <w:proofErr w:type="spellStart"/>
      <w:r>
        <w:rPr>
          <w:sz w:val="22"/>
          <w:szCs w:val="22"/>
        </w:rPr>
        <w:t>of</w:t>
      </w:r>
      <w:proofErr w:type="spellEnd"/>
      <w:r>
        <w:rPr>
          <w:sz w:val="22"/>
          <w:szCs w:val="22"/>
        </w:rPr>
        <w:t xml:space="preserve"> 4/4/2006 </w:t>
      </w:r>
      <w:proofErr w:type="spellStart"/>
      <w:r>
        <w:rPr>
          <w:sz w:val="22"/>
          <w:szCs w:val="22"/>
        </w:rPr>
        <w:t>which</w:t>
      </w:r>
      <w:proofErr w:type="spellEnd"/>
      <w:r>
        <w:rPr>
          <w:sz w:val="22"/>
          <w:szCs w:val="22"/>
        </w:rPr>
        <w:t xml:space="preserve"> </w:t>
      </w:r>
      <w:proofErr w:type="spellStart"/>
      <w:r>
        <w:rPr>
          <w:sz w:val="22"/>
          <w:szCs w:val="22"/>
        </w:rPr>
        <w:t>adds</w:t>
      </w:r>
      <w:proofErr w:type="spellEnd"/>
      <w:r>
        <w:rPr>
          <w:sz w:val="22"/>
          <w:szCs w:val="22"/>
        </w:rPr>
        <w:t xml:space="preserve"> </w:t>
      </w:r>
      <w:proofErr w:type="spellStart"/>
      <w:r>
        <w:rPr>
          <w:sz w:val="22"/>
          <w:szCs w:val="22"/>
        </w:rPr>
        <w:t>to</w:t>
      </w:r>
      <w:proofErr w:type="spellEnd"/>
      <w:r>
        <w:rPr>
          <w:sz w:val="22"/>
          <w:szCs w:val="22"/>
        </w:rPr>
        <w:t xml:space="preserve"> </w:t>
      </w:r>
      <w:proofErr w:type="spellStart"/>
      <w:r>
        <w:rPr>
          <w:sz w:val="22"/>
          <w:szCs w:val="22"/>
        </w:rPr>
        <w:t>the</w:t>
      </w:r>
      <w:proofErr w:type="spellEnd"/>
      <w:r>
        <w:rPr>
          <w:sz w:val="22"/>
          <w:szCs w:val="22"/>
        </w:rPr>
        <w:t xml:space="preserve"> Acts registrable in </w:t>
      </w:r>
      <w:proofErr w:type="spellStart"/>
      <w:r>
        <w:rPr>
          <w:sz w:val="22"/>
          <w:szCs w:val="22"/>
        </w:rPr>
        <w:t>the</w:t>
      </w:r>
      <w:proofErr w:type="spellEnd"/>
      <w:r>
        <w:rPr>
          <w:sz w:val="22"/>
          <w:szCs w:val="22"/>
        </w:rPr>
        <w:t xml:space="preserve"> </w:t>
      </w:r>
      <w:proofErr w:type="spellStart"/>
      <w:r>
        <w:rPr>
          <w:sz w:val="22"/>
          <w:szCs w:val="22"/>
        </w:rPr>
        <w:t>National</w:t>
      </w:r>
      <w:proofErr w:type="spellEnd"/>
      <w:r>
        <w:rPr>
          <w:sz w:val="22"/>
          <w:szCs w:val="22"/>
        </w:rPr>
        <w:t xml:space="preserve"> </w:t>
      </w:r>
      <w:proofErr w:type="spellStart"/>
      <w:r>
        <w:rPr>
          <w:sz w:val="22"/>
          <w:szCs w:val="22"/>
        </w:rPr>
        <w:t>Registry</w:t>
      </w:r>
      <w:proofErr w:type="spellEnd"/>
      <w:r>
        <w:rPr>
          <w:sz w:val="22"/>
          <w:szCs w:val="22"/>
        </w:rPr>
        <w:t xml:space="preserve"> </w:t>
      </w:r>
      <w:proofErr w:type="spellStart"/>
      <w:r>
        <w:rPr>
          <w:sz w:val="22"/>
          <w:szCs w:val="22"/>
        </w:rPr>
        <w:t>of</w:t>
      </w:r>
      <w:proofErr w:type="spellEnd"/>
      <w:r>
        <w:rPr>
          <w:sz w:val="22"/>
          <w:szCs w:val="22"/>
        </w:rPr>
        <w:t xml:space="preserve"> Personal Acts, </w:t>
      </w:r>
      <w:proofErr w:type="spellStart"/>
      <w:r>
        <w:rPr>
          <w:sz w:val="22"/>
          <w:szCs w:val="22"/>
        </w:rPr>
        <w:t>Interdictions</w:t>
      </w:r>
      <w:proofErr w:type="spellEnd"/>
      <w:r>
        <w:rPr>
          <w:sz w:val="22"/>
          <w:szCs w:val="22"/>
        </w:rPr>
        <w:t xml:space="preserve"> Section, </w:t>
      </w:r>
      <w:proofErr w:type="spellStart"/>
      <w:r>
        <w:rPr>
          <w:sz w:val="22"/>
          <w:szCs w:val="22"/>
        </w:rPr>
        <w:t>the</w:t>
      </w:r>
      <w:proofErr w:type="spellEnd"/>
      <w:r>
        <w:rPr>
          <w:sz w:val="22"/>
          <w:szCs w:val="22"/>
        </w:rPr>
        <w:t xml:space="preserve"> </w:t>
      </w:r>
      <w:proofErr w:type="spellStart"/>
      <w:r>
        <w:rPr>
          <w:sz w:val="22"/>
          <w:szCs w:val="22"/>
        </w:rPr>
        <w:t>registration</w:t>
      </w:r>
      <w:proofErr w:type="spellEnd"/>
      <w:r>
        <w:rPr>
          <w:sz w:val="22"/>
          <w:szCs w:val="22"/>
        </w:rPr>
        <w:t xml:space="preserve"> </w:t>
      </w:r>
      <w:proofErr w:type="spellStart"/>
      <w:r>
        <w:rPr>
          <w:sz w:val="22"/>
          <w:szCs w:val="22"/>
        </w:rPr>
        <w:t>of</w:t>
      </w:r>
      <w:proofErr w:type="spellEnd"/>
      <w:r>
        <w:rPr>
          <w:sz w:val="22"/>
          <w:szCs w:val="22"/>
        </w:rPr>
        <w:t xml:space="preserve"> </w:t>
      </w:r>
      <w:proofErr w:type="spellStart"/>
      <w:r>
        <w:rPr>
          <w:sz w:val="22"/>
          <w:szCs w:val="22"/>
        </w:rPr>
        <w:t>delinquent</w:t>
      </w:r>
      <w:proofErr w:type="spellEnd"/>
      <w:r>
        <w:rPr>
          <w:sz w:val="22"/>
          <w:szCs w:val="22"/>
        </w:rPr>
        <w:t xml:space="preserve"> </w:t>
      </w:r>
      <w:proofErr w:type="spellStart"/>
      <w:r>
        <w:rPr>
          <w:sz w:val="22"/>
          <w:szCs w:val="22"/>
        </w:rPr>
        <w:t>alimony</w:t>
      </w:r>
      <w:proofErr w:type="spellEnd"/>
      <w:r>
        <w:rPr>
          <w:sz w:val="22"/>
          <w:szCs w:val="22"/>
        </w:rPr>
        <w:t xml:space="preserve"> </w:t>
      </w:r>
      <w:proofErr w:type="spellStart"/>
      <w:r>
        <w:rPr>
          <w:sz w:val="22"/>
          <w:szCs w:val="22"/>
        </w:rPr>
        <w:t>debtors</w:t>
      </w:r>
      <w:proofErr w:type="spellEnd"/>
      <w:r>
        <w:rPr>
          <w:sz w:val="22"/>
          <w:szCs w:val="22"/>
        </w:rPr>
        <w:t xml:space="preserve"> </w:t>
      </w:r>
      <w:proofErr w:type="spellStart"/>
      <w:r>
        <w:rPr>
          <w:sz w:val="22"/>
          <w:szCs w:val="22"/>
        </w:rPr>
        <w:t>with</w:t>
      </w:r>
      <w:proofErr w:type="spellEnd"/>
      <w:r>
        <w:rPr>
          <w:sz w:val="22"/>
          <w:szCs w:val="22"/>
        </w:rPr>
        <w:t xml:space="preserve"> </w:t>
      </w:r>
      <w:proofErr w:type="spellStart"/>
      <w:r>
        <w:rPr>
          <w:sz w:val="22"/>
          <w:szCs w:val="22"/>
        </w:rPr>
        <w:t>the</w:t>
      </w:r>
      <w:proofErr w:type="spellEnd"/>
      <w:r>
        <w:rPr>
          <w:sz w:val="22"/>
          <w:szCs w:val="22"/>
        </w:rPr>
        <w:t xml:space="preserve"> </w:t>
      </w:r>
      <w:proofErr w:type="spellStart"/>
      <w:r>
        <w:rPr>
          <w:sz w:val="22"/>
          <w:szCs w:val="22"/>
        </w:rPr>
        <w:t>scope</w:t>
      </w:r>
      <w:proofErr w:type="spellEnd"/>
      <w:r>
        <w:rPr>
          <w:sz w:val="22"/>
          <w:szCs w:val="22"/>
        </w:rPr>
        <w:t xml:space="preserve"> </w:t>
      </w:r>
      <w:proofErr w:type="spellStart"/>
      <w:r>
        <w:rPr>
          <w:sz w:val="22"/>
          <w:szCs w:val="22"/>
        </w:rPr>
        <w:t>provided</w:t>
      </w:r>
      <w:proofErr w:type="spellEnd"/>
      <w:r>
        <w:rPr>
          <w:sz w:val="22"/>
          <w:szCs w:val="22"/>
        </w:rPr>
        <w:t xml:space="preserve"> in </w:t>
      </w:r>
      <w:proofErr w:type="spellStart"/>
      <w:r>
        <w:rPr>
          <w:sz w:val="22"/>
          <w:szCs w:val="22"/>
        </w:rPr>
        <w:t>said</w:t>
      </w:r>
      <w:proofErr w:type="spellEnd"/>
      <w:r>
        <w:rPr>
          <w:sz w:val="22"/>
          <w:szCs w:val="22"/>
        </w:rPr>
        <w:t xml:space="preserve"> </w:t>
      </w:r>
      <w:proofErr w:type="spellStart"/>
      <w:r>
        <w:rPr>
          <w:sz w:val="22"/>
          <w:szCs w:val="22"/>
        </w:rPr>
        <w:t>law</w:t>
      </w:r>
      <w:proofErr w:type="spellEnd"/>
      <w:r>
        <w:rPr>
          <w:sz w:val="22"/>
          <w:szCs w:val="22"/>
        </w:rPr>
        <w:t>.</w:t>
      </w:r>
      <w:r>
        <w:rPr>
          <w:sz w:val="22"/>
          <w:szCs w:val="22"/>
        </w:rPr>
        <w:tab/>
      </w:r>
    </w:p>
    <w:p w14:paraId="283ED059" w14:textId="77777777" w:rsidR="00E255F4" w:rsidRDefault="00000000">
      <w:r>
        <w:rPr>
          <w:sz w:val="22"/>
          <w:szCs w:val="22"/>
        </w:rPr>
        <w:t xml:space="preserve">2) Law 18. 244 </w:t>
      </w:r>
      <w:proofErr w:type="spellStart"/>
      <w:r>
        <w:rPr>
          <w:sz w:val="22"/>
          <w:szCs w:val="22"/>
        </w:rPr>
        <w:t>of</w:t>
      </w:r>
      <w:proofErr w:type="spellEnd"/>
      <w:r>
        <w:rPr>
          <w:sz w:val="22"/>
          <w:szCs w:val="22"/>
        </w:rPr>
        <w:t xml:space="preserve"> 12/27/2007 </w:t>
      </w:r>
      <w:proofErr w:type="spellStart"/>
      <w:r>
        <w:rPr>
          <w:sz w:val="22"/>
          <w:szCs w:val="22"/>
        </w:rPr>
        <w:t>which</w:t>
      </w:r>
      <w:proofErr w:type="spellEnd"/>
      <w:r>
        <w:rPr>
          <w:sz w:val="22"/>
          <w:szCs w:val="22"/>
        </w:rPr>
        <w:t xml:space="preserve"> </w:t>
      </w:r>
      <w:proofErr w:type="spellStart"/>
      <w:r>
        <w:rPr>
          <w:sz w:val="22"/>
          <w:szCs w:val="22"/>
        </w:rPr>
        <w:t>provides</w:t>
      </w:r>
      <w:proofErr w:type="spellEnd"/>
      <w:r>
        <w:rPr>
          <w:sz w:val="22"/>
          <w:szCs w:val="22"/>
        </w:rPr>
        <w:t xml:space="preserve"> and </w:t>
      </w:r>
      <w:proofErr w:type="spellStart"/>
      <w:r>
        <w:rPr>
          <w:sz w:val="22"/>
          <w:szCs w:val="22"/>
        </w:rPr>
        <w:t>regulates</w:t>
      </w:r>
      <w:proofErr w:type="spellEnd"/>
      <w:r>
        <w:rPr>
          <w:sz w:val="22"/>
          <w:szCs w:val="22"/>
        </w:rPr>
        <w:t xml:space="preserve"> </w:t>
      </w:r>
      <w:proofErr w:type="spellStart"/>
      <w:r>
        <w:rPr>
          <w:sz w:val="22"/>
          <w:szCs w:val="22"/>
        </w:rPr>
        <w:t>the</w:t>
      </w:r>
      <w:proofErr w:type="spellEnd"/>
      <w:r>
        <w:rPr>
          <w:sz w:val="22"/>
          <w:szCs w:val="22"/>
        </w:rPr>
        <w:t xml:space="preserve"> </w:t>
      </w:r>
      <w:proofErr w:type="spellStart"/>
      <w:r>
        <w:rPr>
          <w:sz w:val="22"/>
          <w:szCs w:val="22"/>
        </w:rPr>
        <w:t>communication</w:t>
      </w:r>
      <w:proofErr w:type="spellEnd"/>
      <w:r>
        <w:rPr>
          <w:sz w:val="22"/>
          <w:szCs w:val="22"/>
        </w:rPr>
        <w:t xml:space="preserve"> </w:t>
      </w:r>
      <w:proofErr w:type="spellStart"/>
      <w:r>
        <w:rPr>
          <w:sz w:val="22"/>
          <w:szCs w:val="22"/>
        </w:rPr>
        <w:t>of</w:t>
      </w:r>
      <w:proofErr w:type="spellEnd"/>
      <w:r>
        <w:rPr>
          <w:sz w:val="22"/>
          <w:szCs w:val="22"/>
        </w:rPr>
        <w:t xml:space="preserve"> </w:t>
      </w:r>
      <w:proofErr w:type="spellStart"/>
      <w:r>
        <w:rPr>
          <w:sz w:val="22"/>
          <w:szCs w:val="22"/>
        </w:rPr>
        <w:t>the</w:t>
      </w:r>
      <w:proofErr w:type="spellEnd"/>
      <w:r>
        <w:rPr>
          <w:sz w:val="22"/>
          <w:szCs w:val="22"/>
        </w:rPr>
        <w:t xml:space="preserve"> </w:t>
      </w:r>
      <w:proofErr w:type="spellStart"/>
      <w:r>
        <w:rPr>
          <w:sz w:val="22"/>
          <w:szCs w:val="22"/>
        </w:rPr>
        <w:t>interdiction</w:t>
      </w:r>
      <w:proofErr w:type="spellEnd"/>
      <w:r>
        <w:rPr>
          <w:sz w:val="22"/>
          <w:szCs w:val="22"/>
        </w:rPr>
        <w:t xml:space="preserve">, </w:t>
      </w:r>
      <w:proofErr w:type="spellStart"/>
      <w:r>
        <w:rPr>
          <w:sz w:val="22"/>
          <w:szCs w:val="22"/>
        </w:rPr>
        <w:t>providing</w:t>
      </w:r>
      <w:proofErr w:type="spellEnd"/>
      <w:r>
        <w:rPr>
          <w:sz w:val="22"/>
          <w:szCs w:val="22"/>
        </w:rPr>
        <w:t xml:space="preserve"> </w:t>
      </w:r>
      <w:proofErr w:type="spellStart"/>
      <w:r>
        <w:rPr>
          <w:sz w:val="22"/>
          <w:szCs w:val="22"/>
        </w:rPr>
        <w:t>for</w:t>
      </w:r>
      <w:proofErr w:type="spellEnd"/>
      <w:r>
        <w:rPr>
          <w:sz w:val="22"/>
          <w:szCs w:val="22"/>
        </w:rPr>
        <w:t xml:space="preserve"> </w:t>
      </w:r>
      <w:proofErr w:type="spellStart"/>
      <w:r>
        <w:rPr>
          <w:sz w:val="22"/>
          <w:szCs w:val="22"/>
        </w:rPr>
        <w:t>the</w:t>
      </w:r>
      <w:proofErr w:type="spellEnd"/>
      <w:r>
        <w:rPr>
          <w:sz w:val="22"/>
          <w:szCs w:val="22"/>
        </w:rPr>
        <w:t xml:space="preserve"> </w:t>
      </w:r>
      <w:proofErr w:type="spellStart"/>
      <w:r>
        <w:rPr>
          <w:sz w:val="22"/>
          <w:szCs w:val="22"/>
        </w:rPr>
        <w:t>disqualification</w:t>
      </w:r>
      <w:proofErr w:type="spellEnd"/>
      <w:r>
        <w:rPr>
          <w:sz w:val="22"/>
          <w:szCs w:val="22"/>
        </w:rPr>
        <w:t xml:space="preserve"> </w:t>
      </w:r>
      <w:proofErr w:type="spellStart"/>
      <w:r>
        <w:rPr>
          <w:sz w:val="22"/>
          <w:szCs w:val="22"/>
        </w:rPr>
        <w:t>of</w:t>
      </w:r>
      <w:proofErr w:type="spellEnd"/>
      <w:r>
        <w:rPr>
          <w:sz w:val="22"/>
          <w:szCs w:val="22"/>
        </w:rPr>
        <w:t xml:space="preserve"> </w:t>
      </w:r>
      <w:proofErr w:type="spellStart"/>
      <w:r>
        <w:rPr>
          <w:sz w:val="22"/>
          <w:szCs w:val="22"/>
        </w:rPr>
        <w:t>those</w:t>
      </w:r>
      <w:proofErr w:type="spellEnd"/>
      <w:r>
        <w:rPr>
          <w:sz w:val="22"/>
          <w:szCs w:val="22"/>
        </w:rPr>
        <w:t xml:space="preserve"> </w:t>
      </w:r>
      <w:proofErr w:type="spellStart"/>
      <w:r>
        <w:rPr>
          <w:sz w:val="22"/>
          <w:szCs w:val="22"/>
        </w:rPr>
        <w:t>registered</w:t>
      </w:r>
      <w:proofErr w:type="spellEnd"/>
      <w:r>
        <w:rPr>
          <w:sz w:val="22"/>
          <w:szCs w:val="22"/>
        </w:rPr>
        <w:t xml:space="preserve"> as </w:t>
      </w:r>
      <w:proofErr w:type="spellStart"/>
      <w:r>
        <w:rPr>
          <w:sz w:val="22"/>
          <w:szCs w:val="22"/>
        </w:rPr>
        <w:t>delinquent</w:t>
      </w:r>
      <w:proofErr w:type="spellEnd"/>
      <w:r>
        <w:rPr>
          <w:sz w:val="22"/>
          <w:szCs w:val="22"/>
        </w:rPr>
        <w:t xml:space="preserve"> </w:t>
      </w:r>
      <w:proofErr w:type="spellStart"/>
      <w:r>
        <w:rPr>
          <w:sz w:val="22"/>
          <w:szCs w:val="22"/>
        </w:rPr>
        <w:t>alimony</w:t>
      </w:r>
      <w:proofErr w:type="spellEnd"/>
      <w:r>
        <w:rPr>
          <w:sz w:val="22"/>
          <w:szCs w:val="22"/>
        </w:rPr>
        <w:t xml:space="preserve"> </w:t>
      </w:r>
      <w:proofErr w:type="spellStart"/>
      <w:r>
        <w:rPr>
          <w:sz w:val="22"/>
          <w:szCs w:val="22"/>
        </w:rPr>
        <w:t>debtors</w:t>
      </w:r>
      <w:proofErr w:type="spellEnd"/>
      <w:r>
        <w:rPr>
          <w:sz w:val="22"/>
          <w:szCs w:val="22"/>
        </w:rPr>
        <w:t xml:space="preserve">, </w:t>
      </w:r>
      <w:proofErr w:type="spellStart"/>
      <w:r>
        <w:rPr>
          <w:sz w:val="22"/>
          <w:szCs w:val="22"/>
        </w:rPr>
        <w:t>or</w:t>
      </w:r>
      <w:proofErr w:type="spellEnd"/>
      <w:r>
        <w:rPr>
          <w:sz w:val="22"/>
          <w:szCs w:val="22"/>
        </w:rPr>
        <w:t xml:space="preserve"> </w:t>
      </w:r>
      <w:proofErr w:type="spellStart"/>
      <w:r>
        <w:rPr>
          <w:sz w:val="22"/>
          <w:szCs w:val="22"/>
        </w:rPr>
        <w:t>of</w:t>
      </w:r>
      <w:proofErr w:type="spellEnd"/>
      <w:r>
        <w:rPr>
          <w:sz w:val="22"/>
          <w:szCs w:val="22"/>
        </w:rPr>
        <w:t xml:space="preserve"> </w:t>
      </w:r>
      <w:proofErr w:type="spellStart"/>
      <w:r>
        <w:rPr>
          <w:sz w:val="22"/>
          <w:szCs w:val="22"/>
        </w:rPr>
        <w:t>the</w:t>
      </w:r>
      <w:proofErr w:type="spellEnd"/>
      <w:r>
        <w:rPr>
          <w:sz w:val="22"/>
          <w:szCs w:val="22"/>
        </w:rPr>
        <w:t xml:space="preserve"> </w:t>
      </w:r>
      <w:proofErr w:type="spellStart"/>
      <w:r>
        <w:rPr>
          <w:sz w:val="22"/>
          <w:szCs w:val="22"/>
        </w:rPr>
        <w:t>company</w:t>
      </w:r>
      <w:proofErr w:type="spellEnd"/>
      <w:r>
        <w:rPr>
          <w:sz w:val="22"/>
          <w:szCs w:val="22"/>
        </w:rPr>
        <w:t xml:space="preserve"> </w:t>
      </w:r>
      <w:proofErr w:type="spellStart"/>
      <w:r>
        <w:rPr>
          <w:sz w:val="22"/>
          <w:szCs w:val="22"/>
        </w:rPr>
        <w:t>of</w:t>
      </w:r>
      <w:proofErr w:type="spellEnd"/>
      <w:r>
        <w:rPr>
          <w:sz w:val="22"/>
          <w:szCs w:val="22"/>
        </w:rPr>
        <w:t xml:space="preserve"> </w:t>
      </w:r>
      <w:proofErr w:type="spellStart"/>
      <w:r>
        <w:rPr>
          <w:sz w:val="22"/>
          <w:szCs w:val="22"/>
        </w:rPr>
        <w:t>which</w:t>
      </w:r>
      <w:proofErr w:type="spellEnd"/>
      <w:r>
        <w:rPr>
          <w:sz w:val="22"/>
          <w:szCs w:val="22"/>
        </w:rPr>
        <w:t xml:space="preserve"> </w:t>
      </w:r>
      <w:proofErr w:type="spellStart"/>
      <w:r>
        <w:rPr>
          <w:sz w:val="22"/>
          <w:szCs w:val="22"/>
        </w:rPr>
        <w:t>they</w:t>
      </w:r>
      <w:proofErr w:type="spellEnd"/>
      <w:r>
        <w:rPr>
          <w:sz w:val="22"/>
          <w:szCs w:val="22"/>
        </w:rPr>
        <w:t xml:space="preserve"> are </w:t>
      </w:r>
      <w:proofErr w:type="spellStart"/>
      <w:r>
        <w:rPr>
          <w:sz w:val="22"/>
          <w:szCs w:val="22"/>
        </w:rPr>
        <w:t>directors</w:t>
      </w:r>
      <w:proofErr w:type="spellEnd"/>
      <w:r>
        <w:rPr>
          <w:sz w:val="22"/>
          <w:szCs w:val="22"/>
        </w:rPr>
        <w:t xml:space="preserve"> </w:t>
      </w:r>
      <w:proofErr w:type="spellStart"/>
      <w:r>
        <w:rPr>
          <w:sz w:val="22"/>
          <w:szCs w:val="22"/>
        </w:rPr>
        <w:t>or</w:t>
      </w:r>
      <w:proofErr w:type="spellEnd"/>
      <w:r>
        <w:rPr>
          <w:sz w:val="22"/>
          <w:szCs w:val="22"/>
        </w:rPr>
        <w:t xml:space="preserve"> </w:t>
      </w:r>
      <w:proofErr w:type="spellStart"/>
      <w:r>
        <w:rPr>
          <w:sz w:val="22"/>
          <w:szCs w:val="22"/>
        </w:rPr>
        <w:t>administrators</w:t>
      </w:r>
      <w:proofErr w:type="spellEnd"/>
      <w:r>
        <w:rPr>
          <w:sz w:val="22"/>
          <w:szCs w:val="22"/>
        </w:rPr>
        <w:t xml:space="preserve">, </w:t>
      </w:r>
      <w:proofErr w:type="spellStart"/>
      <w:r>
        <w:rPr>
          <w:sz w:val="22"/>
          <w:szCs w:val="22"/>
        </w:rPr>
        <w:t>to</w:t>
      </w:r>
      <w:proofErr w:type="spellEnd"/>
      <w:r>
        <w:rPr>
          <w:sz w:val="22"/>
          <w:szCs w:val="22"/>
        </w:rPr>
        <w:t xml:space="preserve"> be </w:t>
      </w:r>
      <w:proofErr w:type="spellStart"/>
      <w:r>
        <w:rPr>
          <w:sz w:val="22"/>
          <w:szCs w:val="22"/>
        </w:rPr>
        <w:t>contracted</w:t>
      </w:r>
      <w:proofErr w:type="spellEnd"/>
      <w:r>
        <w:rPr>
          <w:sz w:val="22"/>
          <w:szCs w:val="22"/>
        </w:rPr>
        <w:t xml:space="preserve"> in </w:t>
      </w:r>
      <w:proofErr w:type="spellStart"/>
      <w:r>
        <w:rPr>
          <w:sz w:val="22"/>
          <w:szCs w:val="22"/>
        </w:rPr>
        <w:t>purchases</w:t>
      </w:r>
      <w:proofErr w:type="spellEnd"/>
      <w:r>
        <w:rPr>
          <w:sz w:val="22"/>
          <w:szCs w:val="22"/>
        </w:rPr>
        <w:t xml:space="preserve"> </w:t>
      </w:r>
      <w:proofErr w:type="spellStart"/>
      <w:r>
        <w:rPr>
          <w:sz w:val="22"/>
          <w:szCs w:val="22"/>
        </w:rPr>
        <w:t>whose</w:t>
      </w:r>
      <w:proofErr w:type="spellEnd"/>
      <w:r>
        <w:rPr>
          <w:sz w:val="22"/>
          <w:szCs w:val="22"/>
        </w:rPr>
        <w:t xml:space="preserve"> </w:t>
      </w:r>
      <w:proofErr w:type="spellStart"/>
      <w:r>
        <w:rPr>
          <w:sz w:val="22"/>
          <w:szCs w:val="22"/>
        </w:rPr>
        <w:t>amount</w:t>
      </w:r>
      <w:proofErr w:type="spellEnd"/>
      <w:r>
        <w:rPr>
          <w:sz w:val="22"/>
          <w:szCs w:val="22"/>
        </w:rPr>
        <w:t xml:space="preserve"> </w:t>
      </w:r>
      <w:proofErr w:type="spellStart"/>
      <w:r>
        <w:rPr>
          <w:sz w:val="22"/>
          <w:szCs w:val="22"/>
        </w:rPr>
        <w:t>exceeds</w:t>
      </w:r>
      <w:proofErr w:type="spellEnd"/>
      <w:r>
        <w:rPr>
          <w:sz w:val="22"/>
          <w:szCs w:val="22"/>
        </w:rPr>
        <w:t xml:space="preserve"> </w:t>
      </w:r>
      <w:proofErr w:type="spellStart"/>
      <w:r>
        <w:rPr>
          <w:sz w:val="22"/>
          <w:szCs w:val="22"/>
        </w:rPr>
        <w:t>the</w:t>
      </w:r>
      <w:proofErr w:type="spellEnd"/>
      <w:r>
        <w:rPr>
          <w:sz w:val="22"/>
          <w:szCs w:val="22"/>
        </w:rPr>
        <w:t xml:space="preserve"> </w:t>
      </w:r>
      <w:proofErr w:type="spellStart"/>
      <w:r>
        <w:rPr>
          <w:sz w:val="22"/>
          <w:szCs w:val="22"/>
        </w:rPr>
        <w:t>maximum</w:t>
      </w:r>
      <w:proofErr w:type="spellEnd"/>
      <w:r>
        <w:rPr>
          <w:sz w:val="22"/>
          <w:szCs w:val="22"/>
        </w:rPr>
        <w:t xml:space="preserve"> </w:t>
      </w:r>
      <w:proofErr w:type="spellStart"/>
      <w:r>
        <w:rPr>
          <w:sz w:val="22"/>
          <w:szCs w:val="22"/>
        </w:rPr>
        <w:t>limit</w:t>
      </w:r>
      <w:proofErr w:type="spellEnd"/>
      <w:r>
        <w:rPr>
          <w:sz w:val="22"/>
          <w:szCs w:val="22"/>
        </w:rPr>
        <w:t xml:space="preserve"> </w:t>
      </w:r>
      <w:proofErr w:type="spellStart"/>
      <w:r>
        <w:rPr>
          <w:sz w:val="22"/>
          <w:szCs w:val="22"/>
        </w:rPr>
        <w:t>of</w:t>
      </w:r>
      <w:proofErr w:type="spellEnd"/>
      <w:r>
        <w:rPr>
          <w:sz w:val="22"/>
          <w:szCs w:val="22"/>
        </w:rPr>
        <w:t xml:space="preserve"> </w:t>
      </w:r>
      <w:proofErr w:type="spellStart"/>
      <w:r>
        <w:rPr>
          <w:sz w:val="22"/>
          <w:szCs w:val="22"/>
        </w:rPr>
        <w:t>the</w:t>
      </w:r>
      <w:proofErr w:type="spellEnd"/>
      <w:r>
        <w:rPr>
          <w:sz w:val="22"/>
          <w:szCs w:val="22"/>
        </w:rPr>
        <w:t xml:space="preserve"> </w:t>
      </w:r>
      <w:proofErr w:type="spellStart"/>
      <w:r>
        <w:rPr>
          <w:sz w:val="22"/>
          <w:szCs w:val="22"/>
        </w:rPr>
        <w:t>abbreviated</w:t>
      </w:r>
      <w:proofErr w:type="spellEnd"/>
      <w:r>
        <w:rPr>
          <w:sz w:val="22"/>
          <w:szCs w:val="22"/>
        </w:rPr>
        <w:t xml:space="preserve"> tender, and </w:t>
      </w:r>
      <w:proofErr w:type="spellStart"/>
      <w:r>
        <w:rPr>
          <w:sz w:val="22"/>
          <w:szCs w:val="22"/>
        </w:rPr>
        <w:t>until</w:t>
      </w:r>
      <w:proofErr w:type="spellEnd"/>
      <w:r>
        <w:rPr>
          <w:sz w:val="22"/>
          <w:szCs w:val="22"/>
        </w:rPr>
        <w:t xml:space="preserve"> </w:t>
      </w:r>
      <w:proofErr w:type="spellStart"/>
      <w:r>
        <w:rPr>
          <w:sz w:val="22"/>
          <w:szCs w:val="22"/>
        </w:rPr>
        <w:t>they</w:t>
      </w:r>
      <w:proofErr w:type="spellEnd"/>
      <w:r>
        <w:rPr>
          <w:sz w:val="22"/>
          <w:szCs w:val="22"/>
        </w:rPr>
        <w:t xml:space="preserve"> lose </w:t>
      </w:r>
      <w:proofErr w:type="spellStart"/>
      <w:r>
        <w:rPr>
          <w:sz w:val="22"/>
          <w:szCs w:val="22"/>
        </w:rPr>
        <w:t>the</w:t>
      </w:r>
      <w:proofErr w:type="spellEnd"/>
      <w:r>
        <w:rPr>
          <w:sz w:val="22"/>
          <w:szCs w:val="22"/>
        </w:rPr>
        <w:t xml:space="preserve"> </w:t>
      </w:r>
      <w:proofErr w:type="gramStart"/>
      <w:r>
        <w:rPr>
          <w:sz w:val="22"/>
          <w:szCs w:val="22"/>
        </w:rPr>
        <w:t>status</w:t>
      </w:r>
      <w:proofErr w:type="gramEnd"/>
      <w:r>
        <w:rPr>
          <w:sz w:val="22"/>
          <w:szCs w:val="22"/>
        </w:rPr>
        <w:t xml:space="preserve"> </w:t>
      </w:r>
      <w:proofErr w:type="spellStart"/>
      <w:r>
        <w:rPr>
          <w:sz w:val="22"/>
          <w:szCs w:val="22"/>
        </w:rPr>
        <w:t>of</w:t>
      </w:r>
      <w:proofErr w:type="spellEnd"/>
      <w:r>
        <w:rPr>
          <w:sz w:val="22"/>
          <w:szCs w:val="22"/>
        </w:rPr>
        <w:t xml:space="preserve"> </w:t>
      </w:r>
      <w:proofErr w:type="spellStart"/>
      <w:r>
        <w:rPr>
          <w:sz w:val="22"/>
          <w:szCs w:val="22"/>
        </w:rPr>
        <w:t>such</w:t>
      </w:r>
      <w:proofErr w:type="spellEnd"/>
      <w:r>
        <w:rPr>
          <w:sz w:val="22"/>
          <w:szCs w:val="22"/>
        </w:rPr>
        <w:t>.</w:t>
      </w:r>
      <w:r>
        <w:rPr>
          <w:sz w:val="22"/>
          <w:szCs w:val="22"/>
        </w:rPr>
        <w:tab/>
      </w:r>
    </w:p>
    <w:p w14:paraId="0CCBACFE" w14:textId="77777777" w:rsidR="00E255F4" w:rsidRDefault="00E255F4">
      <w:pPr>
        <w:rPr>
          <w:sz w:val="22"/>
          <w:szCs w:val="22"/>
        </w:rPr>
      </w:pPr>
    </w:p>
    <w:p w14:paraId="7CB84AC3" w14:textId="77777777" w:rsidR="00E255F4" w:rsidRDefault="00E255F4">
      <w:pPr>
        <w:rPr>
          <w:sz w:val="22"/>
          <w:szCs w:val="22"/>
        </w:rPr>
      </w:pPr>
    </w:p>
    <w:p w14:paraId="45190769" w14:textId="77777777" w:rsidR="00E255F4" w:rsidRDefault="00E255F4">
      <w:pPr>
        <w:rPr>
          <w:sz w:val="22"/>
          <w:szCs w:val="22"/>
        </w:rPr>
      </w:pPr>
    </w:p>
    <w:p w14:paraId="6C3E28A0" w14:textId="77777777" w:rsidR="00E255F4" w:rsidRDefault="00000000">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_______________________</w:t>
      </w:r>
    </w:p>
    <w:p w14:paraId="27A96807" w14:textId="77777777" w:rsidR="00E255F4" w:rsidRDefault="00000000">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w:t>
      </w:r>
      <w:proofErr w:type="spellStart"/>
      <w:r>
        <w:rPr>
          <w:sz w:val="22"/>
          <w:szCs w:val="22"/>
        </w:rPr>
        <w:t>Signature</w:t>
      </w:r>
      <w:proofErr w:type="spellEnd"/>
    </w:p>
    <w:p w14:paraId="2908AF95" w14:textId="77777777" w:rsidR="00E255F4" w:rsidRDefault="00E255F4">
      <w:pPr>
        <w:rPr>
          <w:sz w:val="22"/>
          <w:szCs w:val="22"/>
          <w:lang w:val="es-ES" w:eastAsia="es-ES"/>
        </w:rPr>
      </w:pPr>
    </w:p>
    <w:sectPr w:rsidR="00E255F4">
      <w:headerReference w:type="default" r:id="rId33"/>
      <w:footerReference w:type="default" r:id="rId34"/>
      <w:pgSz w:w="11906" w:h="16838"/>
      <w:pgMar w:top="1417" w:right="1274" w:bottom="1417" w:left="1701" w:header="708" w:footer="708"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A2A5D0" w14:textId="77777777" w:rsidR="001E4D35" w:rsidRDefault="001E4D35">
      <w:pPr>
        <w:spacing w:line="240" w:lineRule="auto"/>
      </w:pPr>
      <w:r>
        <w:separator/>
      </w:r>
    </w:p>
  </w:endnote>
  <w:endnote w:type="continuationSeparator" w:id="0">
    <w:p w14:paraId="14507192" w14:textId="77777777" w:rsidR="001E4D35" w:rsidRDefault="001E4D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1"/>
    <w:family w:val="roman"/>
    <w:pitch w:val="variable"/>
  </w:font>
  <w:font w:name="Noto Serif CJK SC">
    <w:panose1 w:val="00000000000000000000"/>
    <w:charset w:val="00"/>
    <w:family w:val="roman"/>
    <w:notTrueType/>
    <w:pitch w:val="default"/>
  </w:font>
  <w:font w:name="Lohit Devanagari">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font>
  <w:font w:name="Liberation Sans">
    <w:altName w:val="Arial"/>
    <w:charset w:val="01"/>
    <w:family w:val="swiss"/>
    <w:pitch w:val="variable"/>
  </w:font>
  <w:font w:name="Noto Sans CJK SC">
    <w:panose1 w:val="00000000000000000000"/>
    <w:charset w:val="00"/>
    <w:family w:val="roman"/>
    <w:notTrueType/>
    <w:pitch w:val="default"/>
  </w:font>
  <w:font w:name="Univers">
    <w:charset w:val="00"/>
    <w:family w:val="swiss"/>
    <w:pitch w:val="variable"/>
  </w:font>
  <w:font w:name="Courier">
    <w:panose1 w:val="02070409020205020404"/>
    <w:charset w:val="00"/>
    <w:family w:val="modern"/>
    <w:pitch w:val="default"/>
  </w:font>
  <w:font w:name="Times New Roman Bold;Times New">
    <w:panose1 w:val="00000000000000000000"/>
    <w:charset w:val="00"/>
    <w:family w:val="roman"/>
    <w:notTrueType/>
    <w:pitch w:val="default"/>
  </w:font>
  <w:font w:name="Roboto">
    <w:charset w:val="00"/>
    <w:family w:val="auto"/>
    <w:pitch w:val="variable"/>
    <w:sig w:usb0="E0000AFF" w:usb1="5000217F" w:usb2="0000002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0C48F" w14:textId="77777777" w:rsidR="00E255F4" w:rsidRDefault="00000000">
    <w:pPr>
      <w:pStyle w:val="Piedepgina"/>
      <w:jc w:val="center"/>
      <w:rPr>
        <w:lang w:eastAsia="en-US"/>
      </w:rPr>
    </w:pPr>
    <w:r>
      <w:rPr>
        <w:lang w:eastAsia="en-US"/>
      </w:rPr>
      <w:fldChar w:fldCharType="begin"/>
    </w:r>
    <w:r>
      <w:rPr>
        <w:lang w:eastAsia="en-US"/>
      </w:rPr>
      <w:instrText>PAGE</w:instrText>
    </w:r>
    <w:r>
      <w:rPr>
        <w:lang w:eastAsia="en-US"/>
      </w:rPr>
      <w:fldChar w:fldCharType="separate"/>
    </w:r>
    <w:r>
      <w:rPr>
        <w:lang w:eastAsia="en-US"/>
      </w:rPr>
      <w:t>1</w:t>
    </w:r>
    <w:r>
      <w:rPr>
        <w:lang w:eastAsia="en-US"/>
      </w:rPr>
      <w:fldChar w:fldCharType="end"/>
    </w:r>
  </w:p>
  <w:p w14:paraId="35317D36" w14:textId="77777777" w:rsidR="00E255F4" w:rsidRDefault="00E255F4">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8A09F" w14:textId="77777777" w:rsidR="00E255F4" w:rsidRDefault="00E255F4">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8C336" w14:textId="77777777" w:rsidR="00E255F4" w:rsidRDefault="00000000">
    <w:pPr>
      <w:pStyle w:val="Piedepgina"/>
      <w:jc w:val="center"/>
      <w:rPr>
        <w:lang w:eastAsia="en-US"/>
      </w:rPr>
    </w:pPr>
    <w:r>
      <w:rPr>
        <w:lang w:eastAsia="en-US"/>
      </w:rPr>
      <w:fldChar w:fldCharType="begin"/>
    </w:r>
    <w:r>
      <w:rPr>
        <w:lang w:eastAsia="en-US"/>
      </w:rPr>
      <w:instrText>PAGE</w:instrText>
    </w:r>
    <w:r>
      <w:rPr>
        <w:lang w:eastAsia="en-US"/>
      </w:rPr>
      <w:fldChar w:fldCharType="separate"/>
    </w:r>
    <w:r>
      <w:rPr>
        <w:lang w:eastAsia="en-US"/>
      </w:rPr>
      <w:t>85</w:t>
    </w:r>
    <w:r>
      <w:rPr>
        <w:lang w:eastAsia="en-US"/>
      </w:rPr>
      <w:fldChar w:fldCharType="end"/>
    </w:r>
  </w:p>
  <w:p w14:paraId="6375D3D8" w14:textId="77777777" w:rsidR="00E255F4" w:rsidRDefault="00E255F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75D435" w14:textId="77777777" w:rsidR="001E4D35" w:rsidRDefault="001E4D35">
      <w:pPr>
        <w:rPr>
          <w:sz w:val="12"/>
        </w:rPr>
      </w:pPr>
      <w:r>
        <w:separator/>
      </w:r>
    </w:p>
  </w:footnote>
  <w:footnote w:type="continuationSeparator" w:id="0">
    <w:p w14:paraId="4EF03299" w14:textId="77777777" w:rsidR="001E4D35" w:rsidRDefault="001E4D35">
      <w:pPr>
        <w:rPr>
          <w:sz w:val="12"/>
        </w:rPr>
      </w:pPr>
      <w:r>
        <w:continuationSeparator/>
      </w:r>
    </w:p>
  </w:footnote>
  <w:footnote w:id="1">
    <w:p w14:paraId="75D42CB4" w14:textId="77777777" w:rsidR="00E255F4" w:rsidRDefault="00000000">
      <w:pPr>
        <w:pStyle w:val="Textonotapie"/>
        <w:spacing w:after="0" w:line="240" w:lineRule="auto"/>
      </w:pPr>
      <w:r>
        <w:rPr>
          <w:rStyle w:val="FootnoteCharacters"/>
        </w:rPr>
        <w:footnoteRef/>
      </w:r>
      <w:r>
        <w:rPr>
          <w:rFonts w:ascii="Times New Roman" w:hAnsi="Times New Roman" w:cs="Times New Roman"/>
          <w:spacing w:val="-3"/>
          <w:sz w:val="16"/>
          <w:szCs w:val="16"/>
          <w:lang w:val="es-ES_tradnl"/>
        </w:rPr>
        <w:t>Mandatory fields.</w:t>
      </w:r>
    </w:p>
  </w:footnote>
  <w:footnote w:id="2">
    <w:p w14:paraId="67C3E94D" w14:textId="77777777" w:rsidR="00E255F4" w:rsidRDefault="00000000">
      <w:pPr>
        <w:tabs>
          <w:tab w:val="left" w:pos="-720"/>
        </w:tabs>
        <w:jc w:val="both"/>
        <w:rPr>
          <w:sz w:val="16"/>
          <w:szCs w:val="16"/>
          <w:lang w:val="es-ES_tradnl"/>
        </w:rPr>
      </w:pPr>
      <w:r>
        <w:rPr>
          <w:rStyle w:val="FootnoteCharacters"/>
        </w:rPr>
        <w:footnoteRef/>
      </w:r>
      <w:r>
        <w:rPr>
          <w:sz w:val="16"/>
          <w:szCs w:val="16"/>
          <w:lang w:val="es-ES"/>
        </w:rPr>
        <w:t>The price is stated in both numbers and words. In case of discrepancy, the price written in words will prevail.</w:t>
      </w:r>
    </w:p>
  </w:footnote>
  <w:footnote w:id="3">
    <w:p w14:paraId="61DA2F2C" w14:textId="77777777" w:rsidR="00E255F4" w:rsidRDefault="00000000">
      <w:pPr>
        <w:tabs>
          <w:tab w:val="left" w:pos="-720"/>
        </w:tabs>
        <w:jc w:val="both"/>
        <w:rPr>
          <w:sz w:val="16"/>
          <w:szCs w:val="16"/>
          <w:lang w:val="es-ES_tradnl"/>
        </w:rPr>
      </w:pPr>
      <w:r>
        <w:rPr>
          <w:rStyle w:val="FootnoteCharacters"/>
        </w:rPr>
        <w:footnoteRef/>
      </w:r>
      <w:r>
        <w:rPr>
          <w:sz w:val="16"/>
          <w:szCs w:val="16"/>
          <w:lang w:val="es-ES"/>
        </w:rPr>
        <w:t>The price is stated in both numbers and words. In case of discrepancy, the price written in words will prevail.</w:t>
      </w:r>
    </w:p>
  </w:footnote>
  <w:footnote w:id="4">
    <w:p w14:paraId="0A50A306" w14:textId="77777777" w:rsidR="00E255F4" w:rsidRDefault="00000000">
      <w:pPr>
        <w:tabs>
          <w:tab w:val="left" w:pos="-720"/>
        </w:tabs>
        <w:ind w:right="-567"/>
        <w:jc w:val="both"/>
        <w:rPr>
          <w:lang w:val="es-ES_tradnl"/>
        </w:rPr>
      </w:pPr>
      <w:r>
        <w:rPr>
          <w:rStyle w:val="FootnoteCharacters"/>
        </w:rPr>
        <w:footnoteRef/>
      </w:r>
      <w:r>
        <w:rPr>
          <w:sz w:val="16"/>
          <w:szCs w:val="16"/>
          <w:lang w:val="es-ES"/>
        </w:rPr>
        <w:t>The price is stated in both numbers and words. In case of discrepancy, the price written in words will prevail.</w:t>
      </w:r>
    </w:p>
  </w:footnote>
  <w:footnote w:id="5">
    <w:p w14:paraId="528AD034" w14:textId="77777777" w:rsidR="00E255F4" w:rsidRDefault="00000000">
      <w:pPr>
        <w:tabs>
          <w:tab w:val="left" w:pos="-720"/>
        </w:tabs>
        <w:jc w:val="both"/>
        <w:rPr>
          <w:lang w:val="es-ES_tradnl"/>
        </w:rPr>
      </w:pPr>
      <w:r>
        <w:rPr>
          <w:rStyle w:val="FootnoteCharacters"/>
        </w:rPr>
        <w:footnoteRef/>
      </w:r>
      <w:r>
        <w:rPr>
          <w:sz w:val="16"/>
          <w:szCs w:val="16"/>
          <w:lang w:val="es-ES"/>
        </w:rPr>
        <w:t>As established in Art. 10.1 of Section II and/or Amendments if any.</w:t>
      </w:r>
    </w:p>
  </w:footnote>
  <w:footnote w:id="6">
    <w:p w14:paraId="32624F7B" w14:textId="77777777" w:rsidR="00E255F4" w:rsidRDefault="00000000">
      <w:pPr>
        <w:tabs>
          <w:tab w:val="left" w:pos="-720"/>
        </w:tabs>
        <w:jc w:val="both"/>
        <w:rPr>
          <w:sz w:val="16"/>
          <w:szCs w:val="16"/>
          <w:lang w:val="es-ES_tradnl"/>
        </w:rPr>
      </w:pPr>
      <w:r>
        <w:rPr>
          <w:rStyle w:val="FootnoteCharacters"/>
        </w:rPr>
        <w:footnoteRef/>
      </w:r>
      <w:r>
        <w:rPr>
          <w:sz w:val="16"/>
          <w:szCs w:val="16"/>
          <w:lang w:val="es-ES"/>
        </w:rPr>
        <w:t>As established in Article 25 of Section II and/or Amendments if any.</w:t>
      </w:r>
    </w:p>
  </w:footnote>
  <w:footnote w:id="7">
    <w:p w14:paraId="008FED71" w14:textId="77777777" w:rsidR="00E255F4" w:rsidRDefault="00000000">
      <w:pPr>
        <w:tabs>
          <w:tab w:val="left" w:pos="-720"/>
        </w:tabs>
        <w:jc w:val="both"/>
        <w:rPr>
          <w:sz w:val="16"/>
          <w:szCs w:val="16"/>
          <w:lang w:val="es-ES_tradnl"/>
        </w:rPr>
      </w:pPr>
      <w:r>
        <w:rPr>
          <w:rStyle w:val="FootnoteCharacters"/>
        </w:rPr>
        <w:footnoteRef/>
      </w:r>
      <w:r>
        <w:rPr>
          <w:sz w:val="16"/>
          <w:szCs w:val="16"/>
          <w:lang w:val="es-ES"/>
        </w:rPr>
        <w:t>As established in Article 25 of Section II and/or Amendments if any.</w:t>
      </w:r>
    </w:p>
  </w:footnote>
  <w:footnote w:id="8">
    <w:p w14:paraId="2C94ADAB" w14:textId="77777777" w:rsidR="00E255F4" w:rsidRDefault="00000000">
      <w:pPr>
        <w:ind w:right="-567"/>
        <w:jc w:val="both"/>
      </w:pPr>
      <w:r>
        <w:rPr>
          <w:rStyle w:val="FootnoteCharacters"/>
        </w:rPr>
        <w:footnoteRef/>
      </w:r>
      <w:r>
        <w:rPr>
          <w:lang w:val="es-ES"/>
        </w:rPr>
        <w:t>Art. 239 - Penal Code: “Anyone who, on the occasion of the granting or formalization of a public document before a public official, makes a false statement about their identity, status or any other factual circumstance, shall be punished with three to twenty-four months of imprisonment.”</w:t>
      </w:r>
    </w:p>
    <w:p w14:paraId="5ED733A4" w14:textId="77777777" w:rsidR="00E255F4" w:rsidRDefault="00E255F4">
      <w:pPr>
        <w:pStyle w:val="Textonotapie"/>
        <w:rPr>
          <w:lang w:val="es-ES" w:eastAsia="es-E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E49CC" w14:textId="77777777" w:rsidR="00E255F4" w:rsidRDefault="00000000">
    <w:pPr>
      <w:pStyle w:val="Encabezado"/>
      <w:pBdr>
        <w:bottom w:val="single" w:sz="4" w:space="0" w:color="0070C0"/>
      </w:pBdr>
      <w:tabs>
        <w:tab w:val="right" w:pos="9072"/>
        <w:tab w:val="right" w:pos="9498"/>
      </w:tabs>
      <w:ind w:right="141"/>
      <w:rPr>
        <w:color w:val="2E74B5"/>
        <w:sz w:val="18"/>
        <w:szCs w:val="21"/>
        <w:lang w:val="es-ES"/>
      </w:rPr>
    </w:pPr>
    <w:r>
      <w:rPr>
        <w:color w:val="2E74B5"/>
        <w:sz w:val="18"/>
        <w:szCs w:val="21"/>
        <w:lang w:val="es-ES"/>
      </w:rPr>
      <w:t xml:space="preserve">OSE                  </w:t>
    </w:r>
    <w:r>
      <w:rPr>
        <w:color w:val="2E74B5"/>
        <w:sz w:val="18"/>
        <w:szCs w:val="21"/>
        <w:lang w:val="es-ES"/>
      </w:rPr>
      <w:tab/>
    </w:r>
  </w:p>
  <w:p w14:paraId="6C71DB24" w14:textId="77777777" w:rsidR="00E255F4" w:rsidRDefault="00E255F4">
    <w:pPr>
      <w:pStyle w:val="Encabezado"/>
      <w:rPr>
        <w:color w:val="2E74B5"/>
        <w:sz w:val="18"/>
        <w:szCs w:val="21"/>
        <w:lang w:val="es-E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2BC66" w14:textId="77777777" w:rsidR="00E255F4" w:rsidRDefault="00E255F4">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881E7" w14:textId="77777777" w:rsidR="00E255F4" w:rsidRDefault="00000000">
    <w:pPr>
      <w:pStyle w:val="Encabezado"/>
      <w:pBdr>
        <w:bottom w:val="single" w:sz="4" w:space="0" w:color="0070C0"/>
      </w:pBdr>
      <w:tabs>
        <w:tab w:val="right" w:pos="9214"/>
      </w:tabs>
      <w:ind w:right="-142"/>
    </w:pPr>
    <w:r>
      <w:rPr>
        <w:color w:val="2E74B5"/>
        <w:sz w:val="18"/>
        <w:szCs w:val="18"/>
        <w:lang w:val="es-ES"/>
      </w:rPr>
      <w:t xml:space="preserve">OSE Section I - </w:t>
    </w:r>
    <w:proofErr w:type="gramStart"/>
    <w:r>
      <w:rPr>
        <w:color w:val="2E74B5"/>
        <w:sz w:val="18"/>
        <w:szCs w:val="18"/>
        <w:lang w:val="es-ES"/>
      </w:rPr>
      <w:t>Single</w:t>
    </w:r>
    <w:proofErr w:type="gramEnd"/>
    <w:r>
      <w:rPr>
        <w:color w:val="2E74B5"/>
        <w:sz w:val="18"/>
        <w:szCs w:val="18"/>
        <w:lang w:val="es-ES"/>
      </w:rPr>
      <w:t xml:space="preserve"> Set </w:t>
    </w:r>
    <w:proofErr w:type="spellStart"/>
    <w:r>
      <w:rPr>
        <w:color w:val="2E74B5"/>
        <w:sz w:val="18"/>
        <w:szCs w:val="18"/>
        <w:lang w:val="es-ES"/>
      </w:rPr>
      <w:t>of</w:t>
    </w:r>
    <w:proofErr w:type="spellEnd"/>
    <w:r>
      <w:rPr>
        <w:color w:val="2E74B5"/>
        <w:sz w:val="18"/>
        <w:szCs w:val="18"/>
        <w:lang w:val="es-ES"/>
      </w:rPr>
      <w:t xml:space="preserve"> General </w:t>
    </w:r>
    <w:proofErr w:type="spellStart"/>
    <w:r>
      <w:rPr>
        <w:color w:val="2E74B5"/>
        <w:sz w:val="18"/>
        <w:szCs w:val="18"/>
        <w:lang w:val="es-ES"/>
      </w:rPr>
      <w:t>Terms</w:t>
    </w:r>
    <w:proofErr w:type="spellEnd"/>
    <w:r>
      <w:rPr>
        <w:color w:val="2E74B5"/>
        <w:sz w:val="18"/>
        <w:szCs w:val="18"/>
        <w:lang w:val="es-ES"/>
      </w:rPr>
      <w:t xml:space="preserve"> and </w:t>
    </w:r>
    <w:proofErr w:type="spellStart"/>
    <w:r>
      <w:rPr>
        <w:color w:val="2E74B5"/>
        <w:sz w:val="18"/>
        <w:szCs w:val="18"/>
        <w:lang w:val="es-ES"/>
      </w:rPr>
      <w:t>Conditions</w:t>
    </w:r>
    <w:proofErr w:type="spellEnd"/>
    <w:r>
      <w:rPr>
        <w:color w:val="2E74B5"/>
        <w:sz w:val="18"/>
        <w:szCs w:val="18"/>
        <w:lang w:val="es-ES"/>
      </w:rPr>
      <w:t xml:space="preserve"> </w:t>
    </w:r>
    <w:proofErr w:type="spellStart"/>
    <w:r>
      <w:rPr>
        <w:color w:val="2E74B5"/>
        <w:sz w:val="18"/>
        <w:szCs w:val="18"/>
        <w:lang w:val="es-ES"/>
      </w:rPr>
      <w:t>for</w:t>
    </w:r>
    <w:proofErr w:type="spellEnd"/>
    <w:r>
      <w:rPr>
        <w:color w:val="2E74B5"/>
        <w:sz w:val="18"/>
        <w:szCs w:val="18"/>
        <w:lang w:val="es-ES"/>
      </w:rPr>
      <w:t xml:space="preserve"> </w:t>
    </w:r>
    <w:proofErr w:type="spellStart"/>
    <w:r>
      <w:rPr>
        <w:color w:val="2E74B5"/>
        <w:sz w:val="18"/>
        <w:szCs w:val="18"/>
        <w:lang w:val="es-ES"/>
      </w:rPr>
      <w:t>Supply</w:t>
    </w:r>
    <w:proofErr w:type="spellEnd"/>
    <w:r>
      <w:rPr>
        <w:color w:val="2E74B5"/>
        <w:sz w:val="18"/>
        <w:szCs w:val="18"/>
        <w:lang w:val="es-ES"/>
      </w:rPr>
      <w:t xml:space="preserve"> and Non-Personal </w:t>
    </w:r>
    <w:proofErr w:type="spellStart"/>
    <w:r>
      <w:rPr>
        <w:color w:val="2E74B5"/>
        <w:sz w:val="18"/>
        <w:szCs w:val="18"/>
        <w:lang w:val="es-ES"/>
      </w:rPr>
      <w:t>Services</w:t>
    </w:r>
    <w:proofErr w:type="spellEnd"/>
    <w:r>
      <w:rPr>
        <w:color w:val="2E74B5"/>
        <w:sz w:val="18"/>
        <w:szCs w:val="18"/>
        <w:lang w:val="es-ES"/>
      </w:rPr>
      <w:t xml:space="preserve"> </w:t>
    </w:r>
    <w:proofErr w:type="spellStart"/>
    <w:r>
      <w:rPr>
        <w:color w:val="2E74B5"/>
        <w:sz w:val="18"/>
        <w:szCs w:val="18"/>
        <w:lang w:val="es-ES"/>
      </w:rPr>
      <w:t>Contracts</w:t>
    </w:r>
    <w:proofErr w:type="spellEnd"/>
    <w:r>
      <w:rPr>
        <w:color w:val="2E74B5"/>
        <w:sz w:val="18"/>
        <w:szCs w:val="18"/>
        <w:lang w:val="es-ES"/>
      </w:rPr>
      <w:t xml:space="preserve">                                                                                                                    </w:t>
    </w:r>
  </w:p>
  <w:p w14:paraId="4D5C8084" w14:textId="77777777" w:rsidR="00E255F4" w:rsidRDefault="00E255F4">
    <w:pPr>
      <w:spacing w:line="200" w:lineRule="exact"/>
      <w:rPr>
        <w:color w:val="2E74B5"/>
        <w:sz w:val="18"/>
        <w:szCs w:val="18"/>
        <w:lang w:val="es-E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B6B68"/>
    <w:multiLevelType w:val="multilevel"/>
    <w:tmpl w:val="721AC092"/>
    <w:lvl w:ilvl="0">
      <w:start w:val="1"/>
      <w:numFmt w:val="lowerLetter"/>
      <w:lvlText w:val="%1."/>
      <w:lvlJc w:val="left"/>
      <w:pPr>
        <w:tabs>
          <w:tab w:val="num" w:pos="0"/>
        </w:tabs>
        <w:ind w:left="720" w:hanging="360"/>
      </w:pPr>
      <w:rPr>
        <w:b/>
        <w:sz w:val="22"/>
        <w:szCs w:val="22"/>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79C1DD0"/>
    <w:multiLevelType w:val="multilevel"/>
    <w:tmpl w:val="380A001F"/>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 w15:restartNumberingAfterBreak="0">
    <w:nsid w:val="0A49444C"/>
    <w:multiLevelType w:val="multilevel"/>
    <w:tmpl w:val="CA0CD800"/>
    <w:lvl w:ilvl="0">
      <w:start w:val="7"/>
      <w:numFmt w:val="decimal"/>
      <w:lvlText w:val="%1"/>
      <w:lvlJc w:val="left"/>
      <w:pPr>
        <w:tabs>
          <w:tab w:val="num" w:pos="0"/>
        </w:tabs>
        <w:ind w:left="480" w:hanging="480"/>
      </w:pPr>
    </w:lvl>
    <w:lvl w:ilvl="1">
      <w:start w:val="2"/>
      <w:numFmt w:val="decimal"/>
      <w:lvlText w:val="%1.%2"/>
      <w:lvlJc w:val="left"/>
      <w:pPr>
        <w:tabs>
          <w:tab w:val="num" w:pos="0"/>
        </w:tabs>
        <w:ind w:left="480" w:hanging="480"/>
      </w:pPr>
    </w:lvl>
    <w:lvl w:ilvl="2">
      <w:start w:val="1"/>
      <w:numFmt w:val="decimal"/>
      <w:lvlText w:val="%1.%2.%3"/>
      <w:lvlJc w:val="left"/>
      <w:pPr>
        <w:tabs>
          <w:tab w:val="num" w:pos="0"/>
        </w:tabs>
        <w:ind w:left="720" w:hanging="720"/>
      </w:pPr>
      <w:rPr>
        <w:b w:val="0"/>
        <w:color w:val="000000"/>
        <w:sz w:val="22"/>
        <w:szCs w:val="22"/>
        <w:lang w:val="es-ES"/>
      </w:rPr>
    </w:lvl>
    <w:lvl w:ilvl="3">
      <w:start w:val="1"/>
      <w:numFmt w:val="decimal"/>
      <w:lvlText w:val="%1.%2.%3.%4"/>
      <w:lvlJc w:val="left"/>
      <w:pPr>
        <w:tabs>
          <w:tab w:val="num" w:pos="0"/>
        </w:tabs>
        <w:ind w:left="720" w:hanging="720"/>
      </w:pPr>
      <w:rPr>
        <w:b w:val="0"/>
        <w:color w:val="000000"/>
        <w:sz w:val="22"/>
        <w:szCs w:val="22"/>
        <w:lang w:val="es-ES"/>
      </w:r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3" w15:restartNumberingAfterBreak="0">
    <w:nsid w:val="0A494F80"/>
    <w:multiLevelType w:val="multilevel"/>
    <w:tmpl w:val="42C84276"/>
    <w:lvl w:ilvl="0">
      <w:start w:val="3"/>
      <w:numFmt w:val="upperRoman"/>
      <w:lvlText w:val="%1)"/>
      <w:lvlJc w:val="left"/>
      <w:pPr>
        <w:tabs>
          <w:tab w:val="num" w:pos="0"/>
        </w:tabs>
        <w:ind w:left="0" w:firstLine="0"/>
      </w:pPr>
      <w:rPr>
        <w:rFonts w:ascii="Times New Roman" w:hAnsi="Times New Roman" w:cs="Times New Roman"/>
        <w:b/>
        <w:color w:val="000000"/>
        <w:sz w:val="22"/>
        <w:szCs w:val="22"/>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B336558"/>
    <w:multiLevelType w:val="multilevel"/>
    <w:tmpl w:val="406E31E0"/>
    <w:lvl w:ilvl="0">
      <w:start w:val="8"/>
      <w:numFmt w:val="decimal"/>
      <w:lvlText w:val="%1"/>
      <w:lvlJc w:val="left"/>
      <w:pPr>
        <w:tabs>
          <w:tab w:val="num" w:pos="0"/>
        </w:tabs>
        <w:ind w:left="360" w:hanging="360"/>
      </w:pPr>
      <w:rPr>
        <w:rFonts w:eastAsia="Times New Roman"/>
        <w:spacing w:val="-1"/>
        <w:sz w:val="22"/>
        <w:szCs w:val="22"/>
        <w:lang w:val="es-ES"/>
      </w:rPr>
    </w:lvl>
    <w:lvl w:ilvl="1">
      <w:start w:val="1"/>
      <w:numFmt w:val="decimal"/>
      <w:lvlText w:val="%1.%2"/>
      <w:lvlJc w:val="left"/>
      <w:pPr>
        <w:tabs>
          <w:tab w:val="num" w:pos="0"/>
        </w:tabs>
        <w:ind w:left="927" w:hanging="360"/>
      </w:pPr>
      <w:rPr>
        <w:rFonts w:eastAsia="Times New Roman"/>
        <w:spacing w:val="-1"/>
        <w:sz w:val="22"/>
        <w:szCs w:val="22"/>
        <w:lang w:val="es-ES"/>
      </w:rPr>
    </w:lvl>
    <w:lvl w:ilvl="2">
      <w:start w:val="1"/>
      <w:numFmt w:val="decimal"/>
      <w:lvlText w:val="%1.%2.%3"/>
      <w:lvlJc w:val="left"/>
      <w:pPr>
        <w:tabs>
          <w:tab w:val="num" w:pos="0"/>
        </w:tabs>
        <w:ind w:left="1854" w:hanging="720"/>
      </w:pPr>
      <w:rPr>
        <w:rFonts w:eastAsia="Times New Roman"/>
        <w:spacing w:val="-1"/>
        <w:sz w:val="22"/>
        <w:szCs w:val="22"/>
        <w:lang w:val="es-ES"/>
      </w:rPr>
    </w:lvl>
    <w:lvl w:ilvl="3">
      <w:start w:val="1"/>
      <w:numFmt w:val="decimal"/>
      <w:lvlText w:val="%1.%2.%3.%4"/>
      <w:lvlJc w:val="left"/>
      <w:pPr>
        <w:tabs>
          <w:tab w:val="num" w:pos="0"/>
        </w:tabs>
        <w:ind w:left="2421" w:hanging="720"/>
      </w:pPr>
      <w:rPr>
        <w:rFonts w:eastAsia="Times New Roman"/>
        <w:spacing w:val="-1"/>
        <w:sz w:val="22"/>
        <w:szCs w:val="22"/>
        <w:lang w:val="es-ES"/>
      </w:rPr>
    </w:lvl>
    <w:lvl w:ilvl="4">
      <w:start w:val="1"/>
      <w:numFmt w:val="decimal"/>
      <w:lvlText w:val="%1.%2.%3.%4.%5"/>
      <w:lvlJc w:val="left"/>
      <w:pPr>
        <w:tabs>
          <w:tab w:val="num" w:pos="0"/>
        </w:tabs>
        <w:ind w:left="3348" w:hanging="1080"/>
      </w:pPr>
      <w:rPr>
        <w:rFonts w:eastAsia="Times New Roman"/>
        <w:spacing w:val="-1"/>
        <w:sz w:val="22"/>
        <w:szCs w:val="22"/>
        <w:lang w:val="es-ES"/>
      </w:rPr>
    </w:lvl>
    <w:lvl w:ilvl="5">
      <w:start w:val="1"/>
      <w:numFmt w:val="decimal"/>
      <w:lvlText w:val="%1.%2.%3.%4.%5.%6"/>
      <w:lvlJc w:val="left"/>
      <w:pPr>
        <w:tabs>
          <w:tab w:val="num" w:pos="0"/>
        </w:tabs>
        <w:ind w:left="3915" w:hanging="1080"/>
      </w:pPr>
      <w:rPr>
        <w:rFonts w:eastAsia="Times New Roman"/>
        <w:spacing w:val="-1"/>
        <w:sz w:val="22"/>
        <w:szCs w:val="22"/>
        <w:lang w:val="es-ES"/>
      </w:rPr>
    </w:lvl>
    <w:lvl w:ilvl="6">
      <w:start w:val="1"/>
      <w:numFmt w:val="decimal"/>
      <w:lvlText w:val="%1.%2.%3.%4.%5.%6.%7"/>
      <w:lvlJc w:val="left"/>
      <w:pPr>
        <w:tabs>
          <w:tab w:val="num" w:pos="0"/>
        </w:tabs>
        <w:ind w:left="4842" w:hanging="1440"/>
      </w:pPr>
      <w:rPr>
        <w:rFonts w:eastAsia="Times New Roman"/>
        <w:spacing w:val="-1"/>
        <w:sz w:val="22"/>
        <w:szCs w:val="22"/>
        <w:lang w:val="es-ES"/>
      </w:rPr>
    </w:lvl>
    <w:lvl w:ilvl="7">
      <w:start w:val="1"/>
      <w:numFmt w:val="decimal"/>
      <w:lvlText w:val="%1.%2.%3.%4.%5.%6.%7.%8"/>
      <w:lvlJc w:val="left"/>
      <w:pPr>
        <w:tabs>
          <w:tab w:val="num" w:pos="0"/>
        </w:tabs>
        <w:ind w:left="5409" w:hanging="1440"/>
      </w:pPr>
      <w:rPr>
        <w:rFonts w:eastAsia="Times New Roman"/>
        <w:spacing w:val="-1"/>
        <w:sz w:val="22"/>
        <w:szCs w:val="22"/>
        <w:lang w:val="es-ES"/>
      </w:rPr>
    </w:lvl>
    <w:lvl w:ilvl="8">
      <w:start w:val="1"/>
      <w:numFmt w:val="decimal"/>
      <w:lvlText w:val="%1.%2.%3.%4.%5.%6.%7.%8.%9"/>
      <w:lvlJc w:val="left"/>
      <w:pPr>
        <w:tabs>
          <w:tab w:val="num" w:pos="0"/>
        </w:tabs>
        <w:ind w:left="6336" w:hanging="1800"/>
      </w:pPr>
      <w:rPr>
        <w:rFonts w:eastAsia="Times New Roman"/>
        <w:spacing w:val="-1"/>
        <w:sz w:val="22"/>
        <w:szCs w:val="22"/>
        <w:lang w:val="es-ES"/>
      </w:rPr>
    </w:lvl>
  </w:abstractNum>
  <w:abstractNum w:abstractNumId="5" w15:restartNumberingAfterBreak="0">
    <w:nsid w:val="0EB01A77"/>
    <w:multiLevelType w:val="multilevel"/>
    <w:tmpl w:val="DF2C142E"/>
    <w:lvl w:ilvl="0">
      <w:start w:val="1"/>
      <w:numFmt w:val="decimal"/>
      <w:lvlText w:val=""/>
      <w:lvlJc w:val="left"/>
      <w:pPr>
        <w:tabs>
          <w:tab w:val="num" w:pos="0"/>
        </w:tabs>
        <w:ind w:left="0" w:firstLine="0"/>
      </w:pPr>
      <w:rPr>
        <w:rFonts w:ascii="Times New Roman" w:hAnsi="Times New Roman" w:cs="Times New Roman"/>
        <w:sz w:val="22"/>
        <w:lang w:val="es-UY"/>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F1E2CF7"/>
    <w:multiLevelType w:val="multilevel"/>
    <w:tmpl w:val="5664C618"/>
    <w:lvl w:ilvl="0">
      <w:start w:val="14"/>
      <w:numFmt w:val="decimal"/>
      <w:lvlText w:val="%1"/>
      <w:lvlJc w:val="left"/>
      <w:pPr>
        <w:tabs>
          <w:tab w:val="num" w:pos="0"/>
        </w:tabs>
        <w:ind w:left="600" w:hanging="600"/>
      </w:pPr>
      <w:rPr>
        <w:sz w:val="22"/>
        <w:szCs w:val="22"/>
        <w:lang w:val="es-ES"/>
      </w:rPr>
    </w:lvl>
    <w:lvl w:ilvl="1">
      <w:start w:val="2"/>
      <w:numFmt w:val="decimal"/>
      <w:lvlText w:val="%1.%2"/>
      <w:lvlJc w:val="left"/>
      <w:pPr>
        <w:tabs>
          <w:tab w:val="num" w:pos="0"/>
        </w:tabs>
        <w:ind w:left="600" w:hanging="600"/>
      </w:pPr>
      <w:rPr>
        <w:sz w:val="22"/>
        <w:szCs w:val="22"/>
        <w:lang w:val="es-ES"/>
      </w:rPr>
    </w:lvl>
    <w:lvl w:ilvl="2">
      <w:start w:val="4"/>
      <w:numFmt w:val="decimal"/>
      <w:lvlText w:val="%1.%2.%3"/>
      <w:lvlJc w:val="left"/>
      <w:pPr>
        <w:tabs>
          <w:tab w:val="num" w:pos="0"/>
        </w:tabs>
        <w:ind w:left="720" w:hanging="720"/>
      </w:pPr>
      <w:rPr>
        <w:sz w:val="22"/>
        <w:szCs w:val="22"/>
        <w:lang w:val="es-ES"/>
      </w:rPr>
    </w:lvl>
    <w:lvl w:ilvl="3">
      <w:start w:val="1"/>
      <w:numFmt w:val="decimal"/>
      <w:lvlText w:val="%1.%2.%3.%4"/>
      <w:lvlJc w:val="left"/>
      <w:pPr>
        <w:tabs>
          <w:tab w:val="num" w:pos="0"/>
        </w:tabs>
        <w:ind w:left="720" w:hanging="720"/>
      </w:pPr>
      <w:rPr>
        <w:sz w:val="22"/>
        <w:szCs w:val="22"/>
        <w:lang w:val="es-ES"/>
      </w:rPr>
    </w:lvl>
    <w:lvl w:ilvl="4">
      <w:start w:val="1"/>
      <w:numFmt w:val="decimal"/>
      <w:lvlText w:val="%1.%2.%3.%4.%5"/>
      <w:lvlJc w:val="left"/>
      <w:pPr>
        <w:tabs>
          <w:tab w:val="num" w:pos="0"/>
        </w:tabs>
        <w:ind w:left="1080" w:hanging="1080"/>
      </w:pPr>
      <w:rPr>
        <w:sz w:val="22"/>
        <w:szCs w:val="22"/>
        <w:lang w:val="es-ES"/>
      </w:rPr>
    </w:lvl>
    <w:lvl w:ilvl="5">
      <w:start w:val="1"/>
      <w:numFmt w:val="decimal"/>
      <w:lvlText w:val="%1.%2.%3.%4.%5.%6"/>
      <w:lvlJc w:val="left"/>
      <w:pPr>
        <w:tabs>
          <w:tab w:val="num" w:pos="0"/>
        </w:tabs>
        <w:ind w:left="1080" w:hanging="1080"/>
      </w:pPr>
      <w:rPr>
        <w:sz w:val="22"/>
        <w:szCs w:val="22"/>
        <w:lang w:val="es-ES"/>
      </w:rPr>
    </w:lvl>
    <w:lvl w:ilvl="6">
      <w:start w:val="1"/>
      <w:numFmt w:val="decimal"/>
      <w:lvlText w:val="%1.%2.%3.%4.%5.%6.%7"/>
      <w:lvlJc w:val="left"/>
      <w:pPr>
        <w:tabs>
          <w:tab w:val="num" w:pos="0"/>
        </w:tabs>
        <w:ind w:left="1440" w:hanging="1440"/>
      </w:pPr>
      <w:rPr>
        <w:sz w:val="22"/>
        <w:szCs w:val="22"/>
        <w:lang w:val="es-ES"/>
      </w:rPr>
    </w:lvl>
    <w:lvl w:ilvl="7">
      <w:start w:val="1"/>
      <w:numFmt w:val="decimal"/>
      <w:lvlText w:val="%1.%2.%3.%4.%5.%6.%7.%8"/>
      <w:lvlJc w:val="left"/>
      <w:pPr>
        <w:tabs>
          <w:tab w:val="num" w:pos="0"/>
        </w:tabs>
        <w:ind w:left="1440" w:hanging="1440"/>
      </w:pPr>
      <w:rPr>
        <w:sz w:val="22"/>
        <w:szCs w:val="22"/>
        <w:lang w:val="es-ES"/>
      </w:rPr>
    </w:lvl>
    <w:lvl w:ilvl="8">
      <w:start w:val="1"/>
      <w:numFmt w:val="decimal"/>
      <w:lvlText w:val="%1.%2.%3.%4.%5.%6.%7.%8.%9"/>
      <w:lvlJc w:val="left"/>
      <w:pPr>
        <w:tabs>
          <w:tab w:val="num" w:pos="0"/>
        </w:tabs>
        <w:ind w:left="1440" w:hanging="1440"/>
      </w:pPr>
      <w:rPr>
        <w:sz w:val="22"/>
        <w:szCs w:val="22"/>
        <w:lang w:val="es-ES"/>
      </w:rPr>
    </w:lvl>
  </w:abstractNum>
  <w:abstractNum w:abstractNumId="7" w15:restartNumberingAfterBreak="0">
    <w:nsid w:val="0F35273F"/>
    <w:multiLevelType w:val="multilevel"/>
    <w:tmpl w:val="BF801BF4"/>
    <w:lvl w:ilvl="0">
      <w:start w:val="9"/>
      <w:numFmt w:val="decimal"/>
      <w:lvlText w:val="%1"/>
      <w:lvlJc w:val="left"/>
      <w:pPr>
        <w:tabs>
          <w:tab w:val="num" w:pos="0"/>
        </w:tabs>
        <w:ind w:left="645" w:hanging="645"/>
      </w:pPr>
      <w:rPr>
        <w:b/>
        <w:sz w:val="22"/>
        <w:szCs w:val="22"/>
      </w:rPr>
    </w:lvl>
    <w:lvl w:ilvl="1">
      <w:start w:val="2"/>
      <w:numFmt w:val="decimal"/>
      <w:lvlText w:val="%1.%2"/>
      <w:lvlJc w:val="left"/>
      <w:pPr>
        <w:tabs>
          <w:tab w:val="num" w:pos="0"/>
        </w:tabs>
        <w:ind w:left="645" w:hanging="645"/>
      </w:pPr>
      <w:rPr>
        <w:b/>
        <w:sz w:val="22"/>
        <w:szCs w:val="22"/>
      </w:rPr>
    </w:lvl>
    <w:lvl w:ilvl="2">
      <w:start w:val="1"/>
      <w:numFmt w:val="decimal"/>
      <w:lvlText w:val="%1.%2.%3"/>
      <w:lvlJc w:val="left"/>
      <w:pPr>
        <w:tabs>
          <w:tab w:val="num" w:pos="0"/>
        </w:tabs>
        <w:ind w:left="720" w:hanging="720"/>
      </w:pPr>
      <w:rPr>
        <w:b/>
        <w:sz w:val="22"/>
        <w:szCs w:val="22"/>
      </w:rPr>
    </w:lvl>
    <w:lvl w:ilvl="3">
      <w:start w:val="3"/>
      <w:numFmt w:val="decimal"/>
      <w:lvlText w:val="%1.%2.%3.%4"/>
      <w:lvlJc w:val="left"/>
      <w:pPr>
        <w:tabs>
          <w:tab w:val="num" w:pos="0"/>
        </w:tabs>
        <w:ind w:left="720" w:hanging="720"/>
      </w:pPr>
      <w:rPr>
        <w:b w:val="0"/>
        <w:color w:val="000000"/>
        <w:sz w:val="22"/>
        <w:szCs w:val="22"/>
        <w:lang w:val="es-ES"/>
      </w:rPr>
    </w:lvl>
    <w:lvl w:ilvl="4">
      <w:start w:val="1"/>
      <w:numFmt w:val="decimal"/>
      <w:lvlText w:val="%1.%2.%3.%4.%5"/>
      <w:lvlJc w:val="left"/>
      <w:pPr>
        <w:tabs>
          <w:tab w:val="num" w:pos="0"/>
        </w:tabs>
        <w:ind w:left="1080" w:hanging="1080"/>
      </w:pPr>
      <w:rPr>
        <w:b/>
        <w:sz w:val="22"/>
        <w:szCs w:val="22"/>
      </w:rPr>
    </w:lvl>
    <w:lvl w:ilvl="5">
      <w:start w:val="1"/>
      <w:numFmt w:val="decimal"/>
      <w:lvlText w:val="%1.%2.%3.%4.%5.%6"/>
      <w:lvlJc w:val="left"/>
      <w:pPr>
        <w:tabs>
          <w:tab w:val="num" w:pos="0"/>
        </w:tabs>
        <w:ind w:left="1080" w:hanging="1080"/>
      </w:pPr>
      <w:rPr>
        <w:b/>
        <w:sz w:val="22"/>
        <w:szCs w:val="22"/>
      </w:rPr>
    </w:lvl>
    <w:lvl w:ilvl="6">
      <w:start w:val="1"/>
      <w:numFmt w:val="decimal"/>
      <w:lvlText w:val="%1.%2.%3.%4.%5.%6.%7"/>
      <w:lvlJc w:val="left"/>
      <w:pPr>
        <w:tabs>
          <w:tab w:val="num" w:pos="0"/>
        </w:tabs>
        <w:ind w:left="1440" w:hanging="1440"/>
      </w:pPr>
      <w:rPr>
        <w:b/>
        <w:sz w:val="22"/>
        <w:szCs w:val="22"/>
      </w:rPr>
    </w:lvl>
    <w:lvl w:ilvl="7">
      <w:start w:val="1"/>
      <w:numFmt w:val="decimal"/>
      <w:lvlText w:val="%1.%2.%3.%4.%5.%6.%7.%8"/>
      <w:lvlJc w:val="left"/>
      <w:pPr>
        <w:tabs>
          <w:tab w:val="num" w:pos="0"/>
        </w:tabs>
        <w:ind w:left="1440" w:hanging="1440"/>
      </w:pPr>
      <w:rPr>
        <w:b/>
        <w:sz w:val="22"/>
        <w:szCs w:val="22"/>
      </w:rPr>
    </w:lvl>
    <w:lvl w:ilvl="8">
      <w:start w:val="1"/>
      <w:numFmt w:val="decimal"/>
      <w:lvlText w:val="%1.%2.%3.%4.%5.%6.%7.%8.%9"/>
      <w:lvlJc w:val="left"/>
      <w:pPr>
        <w:tabs>
          <w:tab w:val="num" w:pos="0"/>
        </w:tabs>
        <w:ind w:left="1440" w:hanging="1440"/>
      </w:pPr>
      <w:rPr>
        <w:b/>
        <w:sz w:val="22"/>
        <w:szCs w:val="22"/>
      </w:rPr>
    </w:lvl>
  </w:abstractNum>
  <w:abstractNum w:abstractNumId="8" w15:restartNumberingAfterBreak="0">
    <w:nsid w:val="11FA64BA"/>
    <w:multiLevelType w:val="multilevel"/>
    <w:tmpl w:val="FF22845E"/>
    <w:lvl w:ilvl="0">
      <w:start w:val="1"/>
      <w:numFmt w:val="decimal"/>
      <w:lvlText w:val="7.5.%1.1"/>
      <w:lvlJc w:val="left"/>
      <w:pPr>
        <w:tabs>
          <w:tab w:val="num" w:pos="0"/>
        </w:tabs>
        <w:ind w:left="1548" w:hanging="1548"/>
      </w:pPr>
      <w:rPr>
        <w:color w:val="000000"/>
        <w:sz w:val="22"/>
        <w:szCs w:val="22"/>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24933E0"/>
    <w:multiLevelType w:val="multilevel"/>
    <w:tmpl w:val="98927CFE"/>
    <w:lvl w:ilvl="0">
      <w:start w:val="1"/>
      <w:numFmt w:val="bullet"/>
      <w:lvlText w:val="-"/>
      <w:lvlJc w:val="left"/>
      <w:pPr>
        <w:tabs>
          <w:tab w:val="num" w:pos="0"/>
        </w:tabs>
        <w:ind w:left="1080" w:hanging="360"/>
      </w:pPr>
      <w:rPr>
        <w:rFonts w:ascii="Arial" w:hAnsi="Arial" w:cs="Arial" w:hint="default"/>
        <w:b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2E34852"/>
    <w:multiLevelType w:val="multilevel"/>
    <w:tmpl w:val="5E8EEF94"/>
    <w:lvl w:ilvl="0">
      <w:start w:val="7"/>
      <w:numFmt w:val="decimal"/>
      <w:lvlText w:val="%1"/>
      <w:lvlJc w:val="left"/>
      <w:pPr>
        <w:tabs>
          <w:tab w:val="num" w:pos="0"/>
        </w:tabs>
        <w:ind w:left="480" w:hanging="480"/>
      </w:pPr>
      <w:rPr>
        <w:b/>
        <w:i w:val="0"/>
      </w:rPr>
    </w:lvl>
    <w:lvl w:ilvl="1">
      <w:start w:val="5"/>
      <w:numFmt w:val="decimal"/>
      <w:lvlText w:val="%1.%2"/>
      <w:lvlJc w:val="left"/>
      <w:pPr>
        <w:tabs>
          <w:tab w:val="num" w:pos="0"/>
        </w:tabs>
        <w:ind w:left="1200" w:hanging="480"/>
      </w:pPr>
      <w:rPr>
        <w:color w:val="000000"/>
        <w:sz w:val="22"/>
        <w:szCs w:val="22"/>
        <w:lang w:val="es-ES"/>
      </w:rPr>
    </w:lvl>
    <w:lvl w:ilvl="2">
      <w:start w:val="1"/>
      <w:numFmt w:val="decimal"/>
      <w:lvlText w:val="%1.%2.%3"/>
      <w:lvlJc w:val="left"/>
      <w:pPr>
        <w:tabs>
          <w:tab w:val="num" w:pos="0"/>
        </w:tabs>
        <w:ind w:left="2160" w:hanging="720"/>
      </w:pPr>
      <w:rPr>
        <w:color w:val="000000"/>
        <w:sz w:val="22"/>
        <w:szCs w:val="22"/>
        <w:lang w:val="es-ES"/>
      </w:rPr>
    </w:lvl>
    <w:lvl w:ilvl="3">
      <w:start w:val="1"/>
      <w:numFmt w:val="decimal"/>
      <w:lvlText w:val="%1.%2.%3.%4"/>
      <w:lvlJc w:val="left"/>
      <w:pPr>
        <w:tabs>
          <w:tab w:val="num" w:pos="0"/>
        </w:tabs>
        <w:ind w:left="720" w:hanging="720"/>
      </w:pPr>
      <w:rPr>
        <w:color w:val="000000"/>
        <w:sz w:val="22"/>
        <w:szCs w:val="22"/>
        <w:lang w:val="es-ES"/>
      </w:rPr>
    </w:lvl>
    <w:lvl w:ilvl="4">
      <w:start w:val="1"/>
      <w:numFmt w:val="decimal"/>
      <w:lvlText w:val="%1.%2.%3.%4.%5"/>
      <w:lvlJc w:val="left"/>
      <w:pPr>
        <w:tabs>
          <w:tab w:val="num" w:pos="0"/>
        </w:tabs>
        <w:ind w:left="3960" w:hanging="1080"/>
      </w:pPr>
      <w:rPr>
        <w:color w:val="000000"/>
        <w:sz w:val="22"/>
        <w:szCs w:val="22"/>
        <w:lang w:val="es-ES"/>
      </w:rPr>
    </w:lvl>
    <w:lvl w:ilvl="5">
      <w:start w:val="1"/>
      <w:numFmt w:val="decimal"/>
      <w:lvlText w:val="%1.%2.%3.%4.%5.%6"/>
      <w:lvlJc w:val="left"/>
      <w:pPr>
        <w:tabs>
          <w:tab w:val="num" w:pos="0"/>
        </w:tabs>
        <w:ind w:left="4680" w:hanging="1080"/>
      </w:pPr>
      <w:rPr>
        <w:color w:val="000000"/>
        <w:sz w:val="22"/>
        <w:szCs w:val="22"/>
        <w:lang w:val="es-ES"/>
      </w:rPr>
    </w:lvl>
    <w:lvl w:ilvl="6">
      <w:start w:val="1"/>
      <w:numFmt w:val="decimal"/>
      <w:lvlText w:val="%1.%2.%3.%4.%5.%6.%7"/>
      <w:lvlJc w:val="left"/>
      <w:pPr>
        <w:tabs>
          <w:tab w:val="num" w:pos="0"/>
        </w:tabs>
        <w:ind w:left="5760" w:hanging="1440"/>
      </w:pPr>
      <w:rPr>
        <w:color w:val="000000"/>
        <w:sz w:val="22"/>
        <w:szCs w:val="22"/>
        <w:lang w:val="es-ES"/>
      </w:rPr>
    </w:lvl>
    <w:lvl w:ilvl="7">
      <w:start w:val="1"/>
      <w:numFmt w:val="decimal"/>
      <w:lvlText w:val="%1.%2.%3.%4.%5.%6.%7.%8"/>
      <w:lvlJc w:val="left"/>
      <w:pPr>
        <w:tabs>
          <w:tab w:val="num" w:pos="0"/>
        </w:tabs>
        <w:ind w:left="6480" w:hanging="1440"/>
      </w:pPr>
      <w:rPr>
        <w:color w:val="000000"/>
        <w:sz w:val="22"/>
        <w:szCs w:val="22"/>
        <w:lang w:val="es-ES"/>
      </w:rPr>
    </w:lvl>
    <w:lvl w:ilvl="8">
      <w:start w:val="1"/>
      <w:numFmt w:val="decimal"/>
      <w:lvlText w:val="%1.%2.%3.%4.%5.%6.%7.%8.%9"/>
      <w:lvlJc w:val="left"/>
      <w:pPr>
        <w:tabs>
          <w:tab w:val="num" w:pos="0"/>
        </w:tabs>
        <w:ind w:left="7560" w:hanging="1800"/>
      </w:pPr>
      <w:rPr>
        <w:color w:val="000000"/>
        <w:sz w:val="22"/>
        <w:szCs w:val="22"/>
        <w:lang w:val="es-ES"/>
      </w:rPr>
    </w:lvl>
  </w:abstractNum>
  <w:abstractNum w:abstractNumId="11" w15:restartNumberingAfterBreak="0">
    <w:nsid w:val="14217958"/>
    <w:multiLevelType w:val="multilevel"/>
    <w:tmpl w:val="F15AB26A"/>
    <w:lvl w:ilvl="0">
      <w:start w:val="1"/>
      <w:numFmt w:val="lowerLetter"/>
      <w:lvlText w:val="%1."/>
      <w:lvlJc w:val="left"/>
      <w:pPr>
        <w:tabs>
          <w:tab w:val="num" w:pos="709"/>
        </w:tabs>
        <w:ind w:left="720" w:hanging="360"/>
      </w:pPr>
      <w:rPr>
        <w:rFonts w:eastAsia="Palatino Linotype"/>
        <w:sz w:val="22"/>
        <w:szCs w:val="22"/>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B217E34"/>
    <w:multiLevelType w:val="multilevel"/>
    <w:tmpl w:val="E856E278"/>
    <w:lvl w:ilvl="0">
      <w:start w:val="1"/>
      <w:numFmt w:val="lowerLetter"/>
      <w:lvlText w:val="%1)"/>
      <w:lvlJc w:val="left"/>
      <w:pPr>
        <w:tabs>
          <w:tab w:val="num" w:pos="0"/>
        </w:tabs>
        <w:ind w:left="720" w:hanging="360"/>
      </w:pPr>
      <w:rPr>
        <w:rFonts w:eastAsia="Palatino Linotype"/>
        <w:sz w:val="22"/>
        <w:szCs w:val="22"/>
        <w:lang w:val="es-ES" w:eastAsia="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B5F480E"/>
    <w:multiLevelType w:val="multilevel"/>
    <w:tmpl w:val="237CB36A"/>
    <w:lvl w:ilvl="0">
      <w:start w:val="1"/>
      <w:numFmt w:val="lowerLetter"/>
      <w:lvlText w:val="%1."/>
      <w:lvlJc w:val="left"/>
      <w:pPr>
        <w:tabs>
          <w:tab w:val="num" w:pos="0"/>
        </w:tabs>
        <w:ind w:left="720" w:hanging="360"/>
      </w:pPr>
      <w:rPr>
        <w:rFonts w:eastAsia="Palatino Linotype"/>
        <w:strike w:val="0"/>
        <w:dstrike w:val="0"/>
        <w:color w:val="000000"/>
        <w:spacing w:val="-1"/>
        <w:sz w:val="22"/>
        <w:szCs w:val="22"/>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D4104D5"/>
    <w:multiLevelType w:val="multilevel"/>
    <w:tmpl w:val="31B074F6"/>
    <w:lvl w:ilvl="0">
      <w:start w:val="1"/>
      <w:numFmt w:val="lowerLetter"/>
      <w:lvlText w:val="%1)"/>
      <w:lvlJc w:val="left"/>
      <w:pPr>
        <w:tabs>
          <w:tab w:val="num" w:pos="0"/>
        </w:tabs>
        <w:ind w:left="720" w:hanging="360"/>
      </w:pPr>
      <w:rPr>
        <w:rFonts w:eastAsia="Palatino Linotype"/>
        <w:spacing w:val="-1"/>
        <w:sz w:val="22"/>
        <w:szCs w:val="22"/>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1D840255"/>
    <w:multiLevelType w:val="multilevel"/>
    <w:tmpl w:val="66541094"/>
    <w:lvl w:ilvl="0">
      <w:start w:val="1"/>
      <w:numFmt w:val="lowerLetter"/>
      <w:lvlText w:val="%1)"/>
      <w:lvlJc w:val="left"/>
      <w:pPr>
        <w:tabs>
          <w:tab w:val="num" w:pos="0"/>
        </w:tabs>
        <w:ind w:left="720" w:hanging="360"/>
      </w:pPr>
      <w:rPr>
        <w:b/>
        <w:sz w:val="22"/>
        <w:szCs w:val="22"/>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1EED140C"/>
    <w:multiLevelType w:val="multilevel"/>
    <w:tmpl w:val="6734C5FC"/>
    <w:lvl w:ilvl="0">
      <w:start w:val="1"/>
      <w:numFmt w:val="bullet"/>
      <w:lvlText w:val=""/>
      <w:lvlJc w:val="left"/>
      <w:pPr>
        <w:tabs>
          <w:tab w:val="num" w:pos="0"/>
        </w:tabs>
        <w:ind w:left="2138"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3B74A22"/>
    <w:multiLevelType w:val="multilevel"/>
    <w:tmpl w:val="71763A42"/>
    <w:lvl w:ilvl="0">
      <w:start w:val="1"/>
      <w:numFmt w:val="decimal"/>
      <w:lvlText w:val="%1."/>
      <w:lvlJc w:val="left"/>
      <w:pPr>
        <w:tabs>
          <w:tab w:val="num" w:pos="0"/>
        </w:tabs>
        <w:ind w:left="720" w:hanging="360"/>
      </w:pPr>
      <w:rPr>
        <w:b/>
      </w:rPr>
    </w:lvl>
    <w:lvl w:ilvl="1">
      <w:start w:val="1"/>
      <w:numFmt w:val="lowerLetter"/>
      <w:lvlText w:val="%2."/>
      <w:lvlJc w:val="left"/>
      <w:pPr>
        <w:tabs>
          <w:tab w:val="num" w:pos="0"/>
        </w:tabs>
        <w:ind w:left="1440" w:hanging="360"/>
      </w:pPr>
      <w:rPr>
        <w:color w:val="000000"/>
        <w:sz w:val="22"/>
        <w:szCs w:val="22"/>
        <w:lang w:val="es-ES_tradnl"/>
      </w:rPr>
    </w:lvl>
    <w:lvl w:ilvl="2">
      <w:start w:val="1"/>
      <w:numFmt w:val="lowerRoman"/>
      <w:lvlText w:val="%3."/>
      <w:lvlJc w:val="right"/>
      <w:pPr>
        <w:tabs>
          <w:tab w:val="num" w:pos="0"/>
        </w:tabs>
        <w:ind w:left="2160" w:hanging="180"/>
      </w:pPr>
    </w:lvl>
    <w:lvl w:ilvl="3">
      <w:start w:val="1"/>
      <w:numFmt w:val="lowerLetter"/>
      <w:lvlText w:val="%4)"/>
      <w:lvlJc w:val="left"/>
      <w:pPr>
        <w:tabs>
          <w:tab w:val="num" w:pos="0"/>
        </w:tabs>
        <w:ind w:left="2880" w:hanging="360"/>
      </w:pPr>
      <w:rPr>
        <w:b w:val="0"/>
        <w:sz w:val="22"/>
        <w:szCs w:val="22"/>
        <w:lang w:val="es-ES"/>
      </w:r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 w15:restartNumberingAfterBreak="0">
    <w:nsid w:val="27202741"/>
    <w:multiLevelType w:val="multilevel"/>
    <w:tmpl w:val="52B8C454"/>
    <w:lvl w:ilvl="0">
      <w:start w:val="1"/>
      <w:numFmt w:val="lowerRoman"/>
      <w:lvlText w:val="%1."/>
      <w:lvlJc w:val="righ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464" w:hanging="180"/>
      </w:pPr>
      <w:rPr>
        <w:b/>
        <w:strike w:val="0"/>
        <w:dstrike w:val="0"/>
        <w:sz w:val="22"/>
        <w:szCs w:val="22"/>
      </w:r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9" w15:restartNumberingAfterBreak="0">
    <w:nsid w:val="2A1F2A4E"/>
    <w:multiLevelType w:val="multilevel"/>
    <w:tmpl w:val="63041CAE"/>
    <w:lvl w:ilvl="0">
      <w:start w:val="1"/>
      <w:numFmt w:val="decimal"/>
      <w:lvlText w:val="%1."/>
      <w:lvlJc w:val="left"/>
      <w:pPr>
        <w:tabs>
          <w:tab w:val="num" w:pos="0"/>
        </w:tabs>
        <w:ind w:left="360" w:hanging="360"/>
      </w:pPr>
      <w:rPr>
        <w:color w:val="FF0000"/>
        <w:sz w:val="22"/>
        <w:szCs w:val="22"/>
        <w:u w:val="none"/>
      </w:rPr>
    </w:lvl>
    <w:lvl w:ilvl="1">
      <w:start w:val="1"/>
      <w:numFmt w:val="decimal"/>
      <w:lvlText w:val="%1.%2."/>
      <w:lvlJc w:val="left"/>
      <w:pPr>
        <w:tabs>
          <w:tab w:val="num" w:pos="0"/>
        </w:tabs>
        <w:ind w:left="792" w:hanging="432"/>
      </w:pPr>
      <w:rPr>
        <w:color w:val="FF0000"/>
        <w:sz w:val="22"/>
        <w:szCs w:val="22"/>
        <w:u w:val="none"/>
      </w:rPr>
    </w:lvl>
    <w:lvl w:ilvl="2">
      <w:start w:val="1"/>
      <w:numFmt w:val="decimal"/>
      <w:lvlText w:val="%1.%2.%3."/>
      <w:lvlJc w:val="left"/>
      <w:pPr>
        <w:tabs>
          <w:tab w:val="num" w:pos="0"/>
        </w:tabs>
        <w:ind w:left="1224" w:hanging="504"/>
      </w:pPr>
      <w:rPr>
        <w:color w:val="FF0000"/>
        <w:sz w:val="22"/>
        <w:szCs w:val="22"/>
        <w:u w:val="none"/>
      </w:rPr>
    </w:lvl>
    <w:lvl w:ilvl="3">
      <w:start w:val="1"/>
      <w:numFmt w:val="decimal"/>
      <w:lvlText w:val="%1.%2.%3.%4."/>
      <w:lvlJc w:val="left"/>
      <w:pPr>
        <w:tabs>
          <w:tab w:val="num" w:pos="0"/>
        </w:tabs>
        <w:ind w:left="1728" w:hanging="647"/>
      </w:pPr>
      <w:rPr>
        <w:color w:val="FF0000"/>
        <w:sz w:val="22"/>
        <w:szCs w:val="22"/>
        <w:u w:val="none"/>
      </w:rPr>
    </w:lvl>
    <w:lvl w:ilvl="4">
      <w:start w:val="1"/>
      <w:numFmt w:val="decimal"/>
      <w:lvlText w:val="%1.%2.%3.%4.%5."/>
      <w:lvlJc w:val="left"/>
      <w:pPr>
        <w:tabs>
          <w:tab w:val="num" w:pos="0"/>
        </w:tabs>
        <w:ind w:left="2232" w:hanging="792"/>
      </w:pPr>
      <w:rPr>
        <w:color w:val="FF0000"/>
        <w:sz w:val="22"/>
        <w:szCs w:val="22"/>
        <w:u w:val="none"/>
      </w:rPr>
    </w:lvl>
    <w:lvl w:ilvl="5">
      <w:start w:val="1"/>
      <w:numFmt w:val="decimal"/>
      <w:lvlText w:val="%1.%2.%3.%4.%5.%6."/>
      <w:lvlJc w:val="left"/>
      <w:pPr>
        <w:tabs>
          <w:tab w:val="num" w:pos="0"/>
        </w:tabs>
        <w:ind w:left="2736" w:hanging="935"/>
      </w:pPr>
      <w:rPr>
        <w:color w:val="FF0000"/>
        <w:sz w:val="22"/>
        <w:szCs w:val="22"/>
        <w:u w:val="none"/>
      </w:rPr>
    </w:lvl>
    <w:lvl w:ilvl="6">
      <w:start w:val="1"/>
      <w:numFmt w:val="decimal"/>
      <w:lvlText w:val="%1.%2.%3.%4.%5.%6.%7."/>
      <w:lvlJc w:val="left"/>
      <w:pPr>
        <w:tabs>
          <w:tab w:val="num" w:pos="0"/>
        </w:tabs>
        <w:ind w:left="3240" w:hanging="1080"/>
      </w:pPr>
      <w:rPr>
        <w:color w:val="FF0000"/>
        <w:sz w:val="22"/>
        <w:szCs w:val="22"/>
        <w:u w:val="none"/>
      </w:rPr>
    </w:lvl>
    <w:lvl w:ilvl="7">
      <w:start w:val="1"/>
      <w:numFmt w:val="decimal"/>
      <w:lvlText w:val="%1.%2.%3.%4.%5.%6.%7.%8."/>
      <w:lvlJc w:val="left"/>
      <w:pPr>
        <w:tabs>
          <w:tab w:val="num" w:pos="0"/>
        </w:tabs>
        <w:ind w:left="3744" w:hanging="1224"/>
      </w:pPr>
      <w:rPr>
        <w:color w:val="FF0000"/>
        <w:sz w:val="22"/>
        <w:szCs w:val="22"/>
        <w:u w:val="none"/>
      </w:rPr>
    </w:lvl>
    <w:lvl w:ilvl="8">
      <w:start w:val="1"/>
      <w:numFmt w:val="decimal"/>
      <w:lvlText w:val="%1.%2.%3.%4.%5.%6.%7.%8.%9."/>
      <w:lvlJc w:val="left"/>
      <w:pPr>
        <w:tabs>
          <w:tab w:val="num" w:pos="0"/>
        </w:tabs>
        <w:ind w:left="4320" w:hanging="1440"/>
      </w:pPr>
      <w:rPr>
        <w:color w:val="FF0000"/>
        <w:sz w:val="22"/>
        <w:szCs w:val="22"/>
        <w:u w:val="none"/>
      </w:rPr>
    </w:lvl>
  </w:abstractNum>
  <w:abstractNum w:abstractNumId="20" w15:restartNumberingAfterBreak="0">
    <w:nsid w:val="2CA03BC2"/>
    <w:multiLevelType w:val="multilevel"/>
    <w:tmpl w:val="722A1B8C"/>
    <w:lvl w:ilvl="0">
      <w:start w:val="1"/>
      <w:numFmt w:val="lowerLetter"/>
      <w:lvlText w:val="%1."/>
      <w:lvlJc w:val="left"/>
      <w:pPr>
        <w:tabs>
          <w:tab w:val="num" w:pos="0"/>
        </w:tabs>
        <w:ind w:left="720" w:hanging="360"/>
      </w:pPr>
      <w:rPr>
        <w:rFonts w:eastAsia="Palatino Linotype"/>
        <w:b/>
        <w:spacing w:val="-1"/>
        <w:sz w:val="22"/>
        <w:szCs w:val="22"/>
        <w:lang w:val="es-ES" w:eastAsia="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2DBA78F9"/>
    <w:multiLevelType w:val="multilevel"/>
    <w:tmpl w:val="51581DC2"/>
    <w:lvl w:ilvl="0">
      <w:start w:val="1"/>
      <w:numFmt w:val="decimal"/>
      <w:lvlText w:val="%1."/>
      <w:lvlJc w:val="left"/>
      <w:pPr>
        <w:tabs>
          <w:tab w:val="num" w:pos="0"/>
        </w:tabs>
        <w:ind w:left="720" w:hanging="360"/>
      </w:pPr>
      <w:rPr>
        <w:u w:val="none"/>
      </w:rPr>
    </w:lvl>
    <w:lvl w:ilvl="1">
      <w:start w:val="1"/>
      <w:numFmt w:val="lowerLetter"/>
      <w:lvlText w:val="%2."/>
      <w:lvlJc w:val="left"/>
      <w:pPr>
        <w:tabs>
          <w:tab w:val="num" w:pos="0"/>
        </w:tabs>
        <w:ind w:left="1440" w:hanging="360"/>
      </w:pPr>
      <w:rPr>
        <w:u w:val="none"/>
      </w:rPr>
    </w:lvl>
    <w:lvl w:ilvl="2">
      <w:start w:val="1"/>
      <w:numFmt w:val="lowerRoman"/>
      <w:lvlText w:val="%3."/>
      <w:lvlJc w:val="right"/>
      <w:pPr>
        <w:tabs>
          <w:tab w:val="num" w:pos="0"/>
        </w:tabs>
        <w:ind w:left="2160" w:hanging="360"/>
      </w:pPr>
      <w:rPr>
        <w:u w:val="none"/>
      </w:rPr>
    </w:lvl>
    <w:lvl w:ilvl="3">
      <w:start w:val="1"/>
      <w:numFmt w:val="decimal"/>
      <w:lvlText w:val="%4."/>
      <w:lvlJc w:val="left"/>
      <w:pPr>
        <w:tabs>
          <w:tab w:val="num" w:pos="0"/>
        </w:tabs>
        <w:ind w:left="2880" w:hanging="360"/>
      </w:pPr>
      <w:rPr>
        <w:u w:val="none"/>
      </w:rPr>
    </w:lvl>
    <w:lvl w:ilvl="4">
      <w:start w:val="1"/>
      <w:numFmt w:val="lowerLetter"/>
      <w:lvlText w:val="%5."/>
      <w:lvlJc w:val="left"/>
      <w:pPr>
        <w:tabs>
          <w:tab w:val="num" w:pos="0"/>
        </w:tabs>
        <w:ind w:left="3600" w:hanging="360"/>
      </w:pPr>
      <w:rPr>
        <w:u w:val="none"/>
      </w:rPr>
    </w:lvl>
    <w:lvl w:ilvl="5">
      <w:start w:val="1"/>
      <w:numFmt w:val="lowerRoman"/>
      <w:lvlText w:val="%6."/>
      <w:lvlJc w:val="right"/>
      <w:pPr>
        <w:tabs>
          <w:tab w:val="num" w:pos="0"/>
        </w:tabs>
        <w:ind w:left="4320" w:hanging="360"/>
      </w:pPr>
      <w:rPr>
        <w:u w:val="none"/>
      </w:rPr>
    </w:lvl>
    <w:lvl w:ilvl="6">
      <w:start w:val="1"/>
      <w:numFmt w:val="decimal"/>
      <w:lvlText w:val="%7."/>
      <w:lvlJc w:val="left"/>
      <w:pPr>
        <w:tabs>
          <w:tab w:val="num" w:pos="0"/>
        </w:tabs>
        <w:ind w:left="5040" w:hanging="360"/>
      </w:pPr>
      <w:rPr>
        <w:u w:val="none"/>
      </w:rPr>
    </w:lvl>
    <w:lvl w:ilvl="7">
      <w:start w:val="1"/>
      <w:numFmt w:val="lowerLetter"/>
      <w:lvlText w:val="%8."/>
      <w:lvlJc w:val="left"/>
      <w:pPr>
        <w:tabs>
          <w:tab w:val="num" w:pos="0"/>
        </w:tabs>
        <w:ind w:left="5760" w:hanging="360"/>
      </w:pPr>
      <w:rPr>
        <w:u w:val="none"/>
      </w:rPr>
    </w:lvl>
    <w:lvl w:ilvl="8">
      <w:start w:val="1"/>
      <w:numFmt w:val="lowerRoman"/>
      <w:lvlText w:val="%9."/>
      <w:lvlJc w:val="right"/>
      <w:pPr>
        <w:tabs>
          <w:tab w:val="num" w:pos="0"/>
        </w:tabs>
        <w:ind w:left="6480" w:hanging="360"/>
      </w:pPr>
      <w:rPr>
        <w:u w:val="none"/>
      </w:rPr>
    </w:lvl>
  </w:abstractNum>
  <w:abstractNum w:abstractNumId="22" w15:restartNumberingAfterBreak="0">
    <w:nsid w:val="2E33257D"/>
    <w:multiLevelType w:val="multilevel"/>
    <w:tmpl w:val="D468107E"/>
    <w:lvl w:ilvl="0">
      <w:start w:val="1"/>
      <w:numFmt w:val="lowerLetter"/>
      <w:lvlText w:val="%1)"/>
      <w:lvlJc w:val="left"/>
      <w:pPr>
        <w:tabs>
          <w:tab w:val="num" w:pos="0"/>
        </w:tabs>
        <w:ind w:left="720" w:hanging="360"/>
      </w:pPr>
      <w:rPr>
        <w:rFonts w:eastAsia="Palatino Linotype" w:cs="Arial"/>
        <w:color w:val="000000"/>
        <w:spacing w:val="-1"/>
        <w:sz w:val="22"/>
        <w:szCs w:val="22"/>
        <w:lang w:val="es-ES" w:eastAsia="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30100177"/>
    <w:multiLevelType w:val="multilevel"/>
    <w:tmpl w:val="D5C6B9FE"/>
    <w:lvl w:ilvl="0">
      <w:start w:val="14"/>
      <w:numFmt w:val="decimal"/>
      <w:lvlText w:val="%1"/>
      <w:lvlJc w:val="left"/>
      <w:pPr>
        <w:tabs>
          <w:tab w:val="num" w:pos="0"/>
        </w:tabs>
        <w:ind w:left="420" w:hanging="420"/>
      </w:pPr>
    </w:lvl>
    <w:lvl w:ilvl="1">
      <w:start w:val="1"/>
      <w:numFmt w:val="decimal"/>
      <w:lvlText w:val="%1.%2"/>
      <w:lvlJc w:val="left"/>
      <w:pPr>
        <w:tabs>
          <w:tab w:val="num" w:pos="0"/>
        </w:tabs>
        <w:ind w:left="420" w:hanging="4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24" w15:restartNumberingAfterBreak="0">
    <w:nsid w:val="333075E4"/>
    <w:multiLevelType w:val="multilevel"/>
    <w:tmpl w:val="E9BEA6CE"/>
    <w:lvl w:ilvl="0">
      <w:start w:val="1"/>
      <w:numFmt w:val="lowerLetter"/>
      <w:lvlText w:val="%1)"/>
      <w:lvlJc w:val="left"/>
      <w:pPr>
        <w:tabs>
          <w:tab w:val="num" w:pos="0"/>
        </w:tabs>
        <w:ind w:left="720" w:hanging="360"/>
      </w:pPr>
      <w:rPr>
        <w:b w:val="0"/>
        <w:color w:val="000000"/>
        <w:sz w:val="22"/>
        <w:szCs w:val="22"/>
        <w:lang w:val="es-ES" w:eastAsia="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335F0E7E"/>
    <w:multiLevelType w:val="multilevel"/>
    <w:tmpl w:val="5D6A0990"/>
    <w:lvl w:ilvl="0">
      <w:start w:val="1"/>
      <w:numFmt w:val="decimal"/>
      <w:lvlText w:val=""/>
      <w:lvlJc w:val="left"/>
      <w:pPr>
        <w:tabs>
          <w:tab w:val="num" w:pos="0"/>
        </w:tabs>
        <w:ind w:left="0" w:firstLine="0"/>
      </w:pPr>
      <w:rPr>
        <w:color w:val="000000"/>
        <w:sz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353A33E1"/>
    <w:multiLevelType w:val="multilevel"/>
    <w:tmpl w:val="00AC0DB2"/>
    <w:lvl w:ilvl="0">
      <w:start w:val="1"/>
      <w:numFmt w:val="upperRoman"/>
      <w:lvlText w:val="%1)"/>
      <w:lvlJc w:val="left"/>
      <w:pPr>
        <w:tabs>
          <w:tab w:val="num" w:pos="0"/>
        </w:tabs>
        <w:ind w:left="1080" w:hanging="720"/>
      </w:pPr>
      <w:rPr>
        <w:rFonts w:ascii="Times New Roman" w:hAnsi="Times New Roman" w:cs="Times New Roman"/>
        <w:b/>
        <w:bCs/>
        <w:color w:val="000000"/>
        <w:sz w:val="22"/>
        <w:szCs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36B50B56"/>
    <w:multiLevelType w:val="multilevel"/>
    <w:tmpl w:val="09AA1554"/>
    <w:lvl w:ilvl="0">
      <w:start w:val="1"/>
      <w:numFmt w:val="bullet"/>
      <w:lvlText w:val=""/>
      <w:lvlJc w:val="left"/>
      <w:pPr>
        <w:tabs>
          <w:tab w:val="num" w:pos="0"/>
        </w:tabs>
        <w:ind w:left="1512" w:hanging="360"/>
      </w:pPr>
      <w:rPr>
        <w:rFonts w:ascii="Symbol" w:hAnsi="Symbol" w:cs="Symbol" w:hint="default"/>
        <w:sz w:val="22"/>
        <w:szCs w:val="22"/>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372700F6"/>
    <w:multiLevelType w:val="multilevel"/>
    <w:tmpl w:val="D324CB92"/>
    <w:lvl w:ilvl="0">
      <w:start w:val="2"/>
      <w:numFmt w:val="decimal"/>
      <w:pStyle w:val="Ttulo1"/>
      <w:lvlText w:val="%1."/>
      <w:lvlJc w:val="left"/>
      <w:pPr>
        <w:tabs>
          <w:tab w:val="num" w:pos="720"/>
        </w:tabs>
        <w:ind w:left="720" w:hanging="720"/>
      </w:pPr>
    </w:lvl>
    <w:lvl w:ilvl="1">
      <w:start w:val="1"/>
      <w:numFmt w:val="decimal"/>
      <w:pStyle w:val="Ttulo2"/>
      <w:lvlText w:val="%2."/>
      <w:lvlJc w:val="left"/>
      <w:pPr>
        <w:tabs>
          <w:tab w:val="num" w:pos="862"/>
        </w:tabs>
        <w:ind w:left="862" w:hanging="720"/>
      </w:pPr>
      <w:rPr>
        <w:b/>
        <w:i w:val="0"/>
        <w:sz w:val="22"/>
        <w:szCs w:val="22"/>
      </w:rPr>
    </w:lvl>
    <w:lvl w:ilvl="2">
      <w:start w:val="1"/>
      <w:numFmt w:val="decimal"/>
      <w:pStyle w:val="Ttulo3"/>
      <w:lvlText w:val="%3."/>
      <w:lvlJc w:val="left"/>
      <w:pPr>
        <w:tabs>
          <w:tab w:val="num" w:pos="2160"/>
        </w:tabs>
        <w:ind w:left="2160" w:hanging="720"/>
      </w:pPr>
    </w:lvl>
    <w:lvl w:ilvl="3">
      <w:start w:val="1"/>
      <w:numFmt w:val="decimal"/>
      <w:pStyle w:val="Ttulo4"/>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pStyle w:val="Ttulo8"/>
      <w:lvlText w:val="%8."/>
      <w:lvlJc w:val="left"/>
      <w:pPr>
        <w:tabs>
          <w:tab w:val="num" w:pos="5760"/>
        </w:tabs>
        <w:ind w:left="5760" w:hanging="720"/>
      </w:pPr>
    </w:lvl>
    <w:lvl w:ilvl="8">
      <w:start w:val="1"/>
      <w:numFmt w:val="decimal"/>
      <w:pStyle w:val="Ttulo9"/>
      <w:lvlText w:val="%9."/>
      <w:lvlJc w:val="left"/>
      <w:pPr>
        <w:tabs>
          <w:tab w:val="num" w:pos="6480"/>
        </w:tabs>
        <w:ind w:left="6480" w:hanging="720"/>
      </w:pPr>
    </w:lvl>
  </w:abstractNum>
  <w:abstractNum w:abstractNumId="29" w15:restartNumberingAfterBreak="0">
    <w:nsid w:val="3A3E1847"/>
    <w:multiLevelType w:val="multilevel"/>
    <w:tmpl w:val="45183544"/>
    <w:lvl w:ilvl="0">
      <w:start w:val="7"/>
      <w:numFmt w:val="decimal"/>
      <w:lvlText w:val="%1"/>
      <w:lvlJc w:val="left"/>
      <w:pPr>
        <w:tabs>
          <w:tab w:val="num" w:pos="0"/>
        </w:tabs>
        <w:ind w:left="480" w:hanging="480"/>
      </w:pPr>
      <w:rPr>
        <w:u w:val="single"/>
      </w:rPr>
    </w:lvl>
    <w:lvl w:ilvl="1">
      <w:start w:val="3"/>
      <w:numFmt w:val="decimal"/>
      <w:lvlText w:val="%1.%2"/>
      <w:lvlJc w:val="left"/>
      <w:pPr>
        <w:tabs>
          <w:tab w:val="num" w:pos="0"/>
        </w:tabs>
        <w:ind w:left="480" w:hanging="480"/>
      </w:pPr>
      <w:rPr>
        <w:b/>
        <w:u w:val="none"/>
      </w:rPr>
    </w:lvl>
    <w:lvl w:ilvl="2">
      <w:start w:val="1"/>
      <w:numFmt w:val="decimal"/>
      <w:lvlText w:val="%1.%2.%3"/>
      <w:lvlJc w:val="left"/>
      <w:pPr>
        <w:tabs>
          <w:tab w:val="num" w:pos="0"/>
        </w:tabs>
        <w:ind w:left="720" w:hanging="720"/>
      </w:pPr>
      <w:rPr>
        <w:rFonts w:ascii="Times New Roman" w:hAnsi="Times New Roman" w:cs="Times New Roman"/>
        <w:b/>
        <w:bCs/>
        <w:iCs/>
        <w:color w:val="000000"/>
        <w:sz w:val="22"/>
        <w:szCs w:val="22"/>
        <w:u w:val="none"/>
        <w:lang w:val="es-ES"/>
      </w:rPr>
    </w:lvl>
    <w:lvl w:ilvl="3">
      <w:start w:val="1"/>
      <w:numFmt w:val="decimal"/>
      <w:lvlText w:val="%1.%2.%3.%4"/>
      <w:lvlJc w:val="left"/>
      <w:pPr>
        <w:tabs>
          <w:tab w:val="num" w:pos="0"/>
        </w:tabs>
        <w:ind w:left="720" w:hanging="720"/>
      </w:pPr>
      <w:rPr>
        <w:color w:val="000000"/>
        <w:sz w:val="22"/>
        <w:szCs w:val="22"/>
        <w:u w:val="none"/>
        <w:lang w:val="es-ES"/>
      </w:rPr>
    </w:lvl>
    <w:lvl w:ilvl="4">
      <w:start w:val="1"/>
      <w:numFmt w:val="decimal"/>
      <w:lvlText w:val="%1.%2.%3.%4.%5"/>
      <w:lvlJc w:val="left"/>
      <w:pPr>
        <w:tabs>
          <w:tab w:val="num" w:pos="0"/>
        </w:tabs>
        <w:ind w:left="1080" w:hanging="1080"/>
      </w:pPr>
      <w:rPr>
        <w:u w:val="single"/>
      </w:rPr>
    </w:lvl>
    <w:lvl w:ilvl="5">
      <w:start w:val="1"/>
      <w:numFmt w:val="decimal"/>
      <w:lvlText w:val="%1.%2.%3.%4.%5.%6"/>
      <w:lvlJc w:val="left"/>
      <w:pPr>
        <w:tabs>
          <w:tab w:val="num" w:pos="0"/>
        </w:tabs>
        <w:ind w:left="1080" w:hanging="1080"/>
      </w:pPr>
      <w:rPr>
        <w:u w:val="single"/>
      </w:rPr>
    </w:lvl>
    <w:lvl w:ilvl="6">
      <w:start w:val="1"/>
      <w:numFmt w:val="decimal"/>
      <w:lvlText w:val="%1.%2.%3.%4.%5.%6.%7"/>
      <w:lvlJc w:val="left"/>
      <w:pPr>
        <w:tabs>
          <w:tab w:val="num" w:pos="0"/>
        </w:tabs>
        <w:ind w:left="1440" w:hanging="1440"/>
      </w:pPr>
      <w:rPr>
        <w:u w:val="single"/>
      </w:rPr>
    </w:lvl>
    <w:lvl w:ilvl="7">
      <w:start w:val="1"/>
      <w:numFmt w:val="decimal"/>
      <w:lvlText w:val="%1.%2.%3.%4.%5.%6.%7.%8"/>
      <w:lvlJc w:val="left"/>
      <w:pPr>
        <w:tabs>
          <w:tab w:val="num" w:pos="0"/>
        </w:tabs>
        <w:ind w:left="1440" w:hanging="1440"/>
      </w:pPr>
      <w:rPr>
        <w:u w:val="single"/>
      </w:rPr>
    </w:lvl>
    <w:lvl w:ilvl="8">
      <w:start w:val="1"/>
      <w:numFmt w:val="decimal"/>
      <w:lvlText w:val="%1.%2.%3.%4.%5.%6.%7.%8.%9"/>
      <w:lvlJc w:val="left"/>
      <w:pPr>
        <w:tabs>
          <w:tab w:val="num" w:pos="0"/>
        </w:tabs>
        <w:ind w:left="1440" w:hanging="1440"/>
      </w:pPr>
      <w:rPr>
        <w:u w:val="single"/>
      </w:rPr>
    </w:lvl>
  </w:abstractNum>
  <w:abstractNum w:abstractNumId="30" w15:restartNumberingAfterBreak="0">
    <w:nsid w:val="3C62427C"/>
    <w:multiLevelType w:val="multilevel"/>
    <w:tmpl w:val="A3CC7666"/>
    <w:lvl w:ilvl="0">
      <w:start w:val="1"/>
      <w:numFmt w:val="lowerLetter"/>
      <w:lvlText w:val="%1)"/>
      <w:lvlJc w:val="left"/>
      <w:pPr>
        <w:tabs>
          <w:tab w:val="num" w:pos="0"/>
        </w:tabs>
        <w:ind w:left="720" w:hanging="360"/>
      </w:pPr>
      <w:rPr>
        <w:sz w:val="22"/>
        <w:szCs w:val="22"/>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3F304EC9"/>
    <w:multiLevelType w:val="multilevel"/>
    <w:tmpl w:val="912CDC8E"/>
    <w:lvl w:ilvl="0">
      <w:start w:val="12"/>
      <w:numFmt w:val="decimal"/>
      <w:lvlText w:val="%1"/>
      <w:lvlJc w:val="left"/>
      <w:pPr>
        <w:tabs>
          <w:tab w:val="num" w:pos="0"/>
        </w:tabs>
        <w:ind w:left="420" w:hanging="420"/>
      </w:pPr>
      <w:rPr>
        <w:sz w:val="22"/>
        <w:szCs w:val="22"/>
        <w:lang w:val="es-ES"/>
      </w:rPr>
    </w:lvl>
    <w:lvl w:ilvl="1">
      <w:start w:val="1"/>
      <w:numFmt w:val="decimal"/>
      <w:lvlText w:val="%1.%2"/>
      <w:lvlJc w:val="left"/>
      <w:pPr>
        <w:tabs>
          <w:tab w:val="num" w:pos="0"/>
        </w:tabs>
        <w:ind w:left="420" w:hanging="420"/>
      </w:pPr>
      <w:rPr>
        <w:sz w:val="22"/>
        <w:szCs w:val="22"/>
        <w:lang w:val="es-ES"/>
      </w:rPr>
    </w:lvl>
    <w:lvl w:ilvl="2">
      <w:start w:val="1"/>
      <w:numFmt w:val="decimal"/>
      <w:lvlText w:val="%1.%2.%3"/>
      <w:lvlJc w:val="left"/>
      <w:pPr>
        <w:tabs>
          <w:tab w:val="num" w:pos="0"/>
        </w:tabs>
        <w:ind w:left="720" w:hanging="720"/>
      </w:pPr>
      <w:rPr>
        <w:sz w:val="22"/>
        <w:szCs w:val="22"/>
        <w:lang w:val="es-ES"/>
      </w:rPr>
    </w:lvl>
    <w:lvl w:ilvl="3">
      <w:start w:val="1"/>
      <w:numFmt w:val="decimal"/>
      <w:lvlText w:val="%1.%2.%3.%4"/>
      <w:lvlJc w:val="left"/>
      <w:pPr>
        <w:tabs>
          <w:tab w:val="num" w:pos="0"/>
        </w:tabs>
        <w:ind w:left="720" w:hanging="720"/>
      </w:pPr>
      <w:rPr>
        <w:sz w:val="22"/>
        <w:szCs w:val="22"/>
        <w:lang w:val="es-ES"/>
      </w:rPr>
    </w:lvl>
    <w:lvl w:ilvl="4">
      <w:start w:val="1"/>
      <w:numFmt w:val="decimal"/>
      <w:lvlText w:val="%1.%2.%3.%4.%5"/>
      <w:lvlJc w:val="left"/>
      <w:pPr>
        <w:tabs>
          <w:tab w:val="num" w:pos="0"/>
        </w:tabs>
        <w:ind w:left="1080" w:hanging="1080"/>
      </w:pPr>
      <w:rPr>
        <w:sz w:val="22"/>
        <w:szCs w:val="22"/>
        <w:lang w:val="es-ES"/>
      </w:rPr>
    </w:lvl>
    <w:lvl w:ilvl="5">
      <w:start w:val="1"/>
      <w:numFmt w:val="decimal"/>
      <w:lvlText w:val="%1.%2.%3.%4.%5.%6"/>
      <w:lvlJc w:val="left"/>
      <w:pPr>
        <w:tabs>
          <w:tab w:val="num" w:pos="0"/>
        </w:tabs>
        <w:ind w:left="1080" w:hanging="1080"/>
      </w:pPr>
      <w:rPr>
        <w:sz w:val="22"/>
        <w:szCs w:val="22"/>
        <w:lang w:val="es-ES"/>
      </w:rPr>
    </w:lvl>
    <w:lvl w:ilvl="6">
      <w:start w:val="1"/>
      <w:numFmt w:val="decimal"/>
      <w:lvlText w:val="%1.%2.%3.%4.%5.%6.%7"/>
      <w:lvlJc w:val="left"/>
      <w:pPr>
        <w:tabs>
          <w:tab w:val="num" w:pos="0"/>
        </w:tabs>
        <w:ind w:left="1440" w:hanging="1440"/>
      </w:pPr>
      <w:rPr>
        <w:sz w:val="22"/>
        <w:szCs w:val="22"/>
        <w:lang w:val="es-ES"/>
      </w:rPr>
    </w:lvl>
    <w:lvl w:ilvl="7">
      <w:start w:val="1"/>
      <w:numFmt w:val="decimal"/>
      <w:lvlText w:val="%1.%2.%3.%4.%5.%6.%7.%8"/>
      <w:lvlJc w:val="left"/>
      <w:pPr>
        <w:tabs>
          <w:tab w:val="num" w:pos="0"/>
        </w:tabs>
        <w:ind w:left="1440" w:hanging="1440"/>
      </w:pPr>
      <w:rPr>
        <w:sz w:val="22"/>
        <w:szCs w:val="22"/>
        <w:lang w:val="es-ES"/>
      </w:rPr>
    </w:lvl>
    <w:lvl w:ilvl="8">
      <w:start w:val="1"/>
      <w:numFmt w:val="decimal"/>
      <w:lvlText w:val="%1.%2.%3.%4.%5.%6.%7.%8.%9"/>
      <w:lvlJc w:val="left"/>
      <w:pPr>
        <w:tabs>
          <w:tab w:val="num" w:pos="0"/>
        </w:tabs>
        <w:ind w:left="1440" w:hanging="1440"/>
      </w:pPr>
      <w:rPr>
        <w:sz w:val="22"/>
        <w:szCs w:val="22"/>
        <w:lang w:val="es-ES"/>
      </w:rPr>
    </w:lvl>
  </w:abstractNum>
  <w:abstractNum w:abstractNumId="32" w15:restartNumberingAfterBreak="0">
    <w:nsid w:val="3FB9615D"/>
    <w:multiLevelType w:val="multilevel"/>
    <w:tmpl w:val="FC749A2A"/>
    <w:lvl w:ilvl="0">
      <w:start w:val="1"/>
      <w:numFmt w:val="decimal"/>
      <w:lvlText w:val="%1."/>
      <w:lvlJc w:val="left"/>
      <w:pPr>
        <w:tabs>
          <w:tab w:val="num" w:pos="0"/>
        </w:tabs>
        <w:ind w:left="720" w:hanging="360"/>
      </w:pPr>
      <w:rPr>
        <w:color w:val="000000"/>
      </w:rPr>
    </w:lvl>
    <w:lvl w:ilvl="1">
      <w:start w:val="1"/>
      <w:numFmt w:val="decimal"/>
      <w:lvlText w:val="%1.%2"/>
      <w:lvlJc w:val="left"/>
      <w:pPr>
        <w:tabs>
          <w:tab w:val="num" w:pos="0"/>
        </w:tabs>
        <w:ind w:left="1069" w:hanging="360"/>
      </w:pPr>
      <w:rPr>
        <w:sz w:val="22"/>
        <w:szCs w:val="22"/>
      </w:rPr>
    </w:lvl>
    <w:lvl w:ilvl="2">
      <w:start w:val="1"/>
      <w:numFmt w:val="decimal"/>
      <w:lvlText w:val="%1.%2.%3"/>
      <w:lvlJc w:val="left"/>
      <w:pPr>
        <w:tabs>
          <w:tab w:val="num" w:pos="0"/>
        </w:tabs>
        <w:ind w:left="1778" w:hanging="720"/>
      </w:pPr>
      <w:rPr>
        <w:sz w:val="22"/>
        <w:szCs w:val="22"/>
      </w:rPr>
    </w:lvl>
    <w:lvl w:ilvl="3">
      <w:start w:val="1"/>
      <w:numFmt w:val="decimal"/>
      <w:lvlText w:val="%1.%2.%3.%4"/>
      <w:lvlJc w:val="left"/>
      <w:pPr>
        <w:tabs>
          <w:tab w:val="num" w:pos="0"/>
        </w:tabs>
        <w:ind w:left="2127" w:hanging="720"/>
      </w:pPr>
      <w:rPr>
        <w:sz w:val="22"/>
        <w:szCs w:val="22"/>
      </w:rPr>
    </w:lvl>
    <w:lvl w:ilvl="4">
      <w:start w:val="1"/>
      <w:numFmt w:val="decimal"/>
      <w:lvlText w:val="%1.%2.%3.%4.%5"/>
      <w:lvlJc w:val="left"/>
      <w:pPr>
        <w:tabs>
          <w:tab w:val="num" w:pos="0"/>
        </w:tabs>
        <w:ind w:left="2836" w:hanging="1080"/>
      </w:pPr>
      <w:rPr>
        <w:sz w:val="22"/>
        <w:szCs w:val="22"/>
      </w:rPr>
    </w:lvl>
    <w:lvl w:ilvl="5">
      <w:start w:val="1"/>
      <w:numFmt w:val="decimal"/>
      <w:lvlText w:val="%1.%2.%3.%4.%5.%6"/>
      <w:lvlJc w:val="left"/>
      <w:pPr>
        <w:tabs>
          <w:tab w:val="num" w:pos="0"/>
        </w:tabs>
        <w:ind w:left="3185" w:hanging="1080"/>
      </w:pPr>
      <w:rPr>
        <w:sz w:val="22"/>
        <w:szCs w:val="22"/>
      </w:rPr>
    </w:lvl>
    <w:lvl w:ilvl="6">
      <w:start w:val="1"/>
      <w:numFmt w:val="decimal"/>
      <w:lvlText w:val="%1.%2.%3.%4.%5.%6.%7"/>
      <w:lvlJc w:val="left"/>
      <w:pPr>
        <w:tabs>
          <w:tab w:val="num" w:pos="0"/>
        </w:tabs>
        <w:ind w:left="3894" w:hanging="1440"/>
      </w:pPr>
      <w:rPr>
        <w:sz w:val="22"/>
        <w:szCs w:val="22"/>
      </w:rPr>
    </w:lvl>
    <w:lvl w:ilvl="7">
      <w:start w:val="1"/>
      <w:numFmt w:val="decimal"/>
      <w:lvlText w:val="%1.%2.%3.%4.%5.%6.%7.%8"/>
      <w:lvlJc w:val="left"/>
      <w:pPr>
        <w:tabs>
          <w:tab w:val="num" w:pos="0"/>
        </w:tabs>
        <w:ind w:left="4243" w:hanging="1440"/>
      </w:pPr>
      <w:rPr>
        <w:sz w:val="22"/>
        <w:szCs w:val="22"/>
      </w:rPr>
    </w:lvl>
    <w:lvl w:ilvl="8">
      <w:start w:val="1"/>
      <w:numFmt w:val="decimal"/>
      <w:lvlText w:val="%1.%2.%3.%4.%5.%6.%7.%8.%9"/>
      <w:lvlJc w:val="left"/>
      <w:pPr>
        <w:tabs>
          <w:tab w:val="num" w:pos="0"/>
        </w:tabs>
        <w:ind w:left="4592" w:hanging="1440"/>
      </w:pPr>
      <w:rPr>
        <w:sz w:val="22"/>
        <w:szCs w:val="22"/>
      </w:rPr>
    </w:lvl>
  </w:abstractNum>
  <w:abstractNum w:abstractNumId="33" w15:restartNumberingAfterBreak="0">
    <w:nsid w:val="403611AE"/>
    <w:multiLevelType w:val="multilevel"/>
    <w:tmpl w:val="03D43468"/>
    <w:lvl w:ilvl="0">
      <w:start w:val="1"/>
      <w:numFmt w:val="lowerLetter"/>
      <w:lvlText w:val="%1)"/>
      <w:lvlJc w:val="left"/>
      <w:pPr>
        <w:tabs>
          <w:tab w:val="num" w:pos="0"/>
        </w:tabs>
        <w:ind w:left="2296"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40B772C6"/>
    <w:multiLevelType w:val="multilevel"/>
    <w:tmpl w:val="C610D428"/>
    <w:lvl w:ilvl="0">
      <w:start w:val="2"/>
      <w:numFmt w:val="decimal"/>
      <w:lvlText w:val="%1"/>
      <w:lvlJc w:val="left"/>
      <w:pPr>
        <w:tabs>
          <w:tab w:val="num" w:pos="0"/>
        </w:tabs>
        <w:ind w:left="480" w:hanging="480"/>
      </w:pPr>
      <w:rPr>
        <w:sz w:val="22"/>
        <w:szCs w:val="22"/>
        <w:lang w:val="es-ES"/>
      </w:rPr>
    </w:lvl>
    <w:lvl w:ilvl="1">
      <w:start w:val="1"/>
      <w:numFmt w:val="decimal"/>
      <w:lvlText w:val="%1.%2"/>
      <w:lvlJc w:val="left"/>
      <w:pPr>
        <w:tabs>
          <w:tab w:val="num" w:pos="0"/>
        </w:tabs>
        <w:ind w:left="660" w:hanging="480"/>
      </w:pPr>
      <w:rPr>
        <w:sz w:val="22"/>
        <w:szCs w:val="22"/>
        <w:lang w:val="es-ES"/>
      </w:rPr>
    </w:lvl>
    <w:lvl w:ilvl="2">
      <w:start w:val="1"/>
      <w:numFmt w:val="decimal"/>
      <w:lvlText w:val="%3.2.2"/>
      <w:lvlJc w:val="left"/>
      <w:pPr>
        <w:tabs>
          <w:tab w:val="num" w:pos="0"/>
        </w:tabs>
        <w:ind w:left="1004" w:hanging="720"/>
      </w:pPr>
      <w:rPr>
        <w:sz w:val="22"/>
        <w:szCs w:val="22"/>
        <w:lang w:val="es-ES"/>
      </w:rPr>
    </w:lvl>
    <w:lvl w:ilvl="3">
      <w:start w:val="1"/>
      <w:numFmt w:val="lowerLetter"/>
      <w:lvlText w:val="%4."/>
      <w:lvlJc w:val="left"/>
      <w:pPr>
        <w:tabs>
          <w:tab w:val="num" w:pos="0"/>
        </w:tabs>
        <w:ind w:left="1260" w:hanging="720"/>
      </w:pPr>
      <w:rPr>
        <w:sz w:val="22"/>
        <w:szCs w:val="22"/>
        <w:lang w:val="es-ES"/>
      </w:rPr>
    </w:lvl>
    <w:lvl w:ilvl="4">
      <w:start w:val="1"/>
      <w:numFmt w:val="decimal"/>
      <w:lvlText w:val="%1.%2.%3.%4.%5"/>
      <w:lvlJc w:val="left"/>
      <w:pPr>
        <w:tabs>
          <w:tab w:val="num" w:pos="0"/>
        </w:tabs>
        <w:ind w:left="1800" w:hanging="1080"/>
      </w:pPr>
      <w:rPr>
        <w:sz w:val="22"/>
        <w:szCs w:val="22"/>
        <w:lang w:val="es-ES"/>
      </w:rPr>
    </w:lvl>
    <w:lvl w:ilvl="5">
      <w:start w:val="1"/>
      <w:numFmt w:val="decimal"/>
      <w:lvlText w:val="%1.%2.%3.%4.%5.%6"/>
      <w:lvlJc w:val="left"/>
      <w:pPr>
        <w:tabs>
          <w:tab w:val="num" w:pos="0"/>
        </w:tabs>
        <w:ind w:left="1980" w:hanging="1080"/>
      </w:pPr>
      <w:rPr>
        <w:sz w:val="22"/>
        <w:szCs w:val="22"/>
        <w:lang w:val="es-ES"/>
      </w:rPr>
    </w:lvl>
    <w:lvl w:ilvl="6">
      <w:start w:val="1"/>
      <w:numFmt w:val="decimal"/>
      <w:lvlText w:val="%1.%2.%3.%4.%5.%6.%7"/>
      <w:lvlJc w:val="left"/>
      <w:pPr>
        <w:tabs>
          <w:tab w:val="num" w:pos="0"/>
        </w:tabs>
        <w:ind w:left="2520" w:hanging="1440"/>
      </w:pPr>
      <w:rPr>
        <w:sz w:val="22"/>
        <w:szCs w:val="22"/>
        <w:lang w:val="es-ES"/>
      </w:rPr>
    </w:lvl>
    <w:lvl w:ilvl="7">
      <w:start w:val="1"/>
      <w:numFmt w:val="decimal"/>
      <w:lvlText w:val="%1.%2.%3.%4.%5.%6.%7.%8"/>
      <w:lvlJc w:val="left"/>
      <w:pPr>
        <w:tabs>
          <w:tab w:val="num" w:pos="0"/>
        </w:tabs>
        <w:ind w:left="2700" w:hanging="1440"/>
      </w:pPr>
      <w:rPr>
        <w:sz w:val="22"/>
        <w:szCs w:val="22"/>
        <w:lang w:val="es-ES"/>
      </w:rPr>
    </w:lvl>
    <w:lvl w:ilvl="8">
      <w:start w:val="1"/>
      <w:numFmt w:val="decimal"/>
      <w:lvlText w:val="%1.%2.%3.%4.%5.%6.%7.%8.%9"/>
      <w:lvlJc w:val="left"/>
      <w:pPr>
        <w:tabs>
          <w:tab w:val="num" w:pos="0"/>
        </w:tabs>
        <w:ind w:left="2880" w:hanging="1440"/>
      </w:pPr>
      <w:rPr>
        <w:sz w:val="22"/>
        <w:szCs w:val="22"/>
        <w:lang w:val="es-ES"/>
      </w:rPr>
    </w:lvl>
  </w:abstractNum>
  <w:abstractNum w:abstractNumId="35" w15:restartNumberingAfterBreak="0">
    <w:nsid w:val="46306031"/>
    <w:multiLevelType w:val="multilevel"/>
    <w:tmpl w:val="F69090E6"/>
    <w:lvl w:ilvl="0">
      <w:start w:val="14"/>
      <w:numFmt w:val="decimal"/>
      <w:lvlText w:val="%1"/>
      <w:lvlJc w:val="left"/>
      <w:pPr>
        <w:tabs>
          <w:tab w:val="num" w:pos="0"/>
        </w:tabs>
        <w:ind w:left="600" w:hanging="600"/>
      </w:pPr>
      <w:rPr>
        <w:b/>
        <w:sz w:val="22"/>
        <w:szCs w:val="22"/>
      </w:rPr>
    </w:lvl>
    <w:lvl w:ilvl="1">
      <w:start w:val="3"/>
      <w:numFmt w:val="decimal"/>
      <w:lvlText w:val="%1.%2"/>
      <w:lvlJc w:val="left"/>
      <w:pPr>
        <w:tabs>
          <w:tab w:val="num" w:pos="0"/>
        </w:tabs>
        <w:ind w:left="600" w:hanging="600"/>
      </w:pPr>
      <w:rPr>
        <w:b/>
        <w:sz w:val="22"/>
        <w:szCs w:val="22"/>
      </w:rPr>
    </w:lvl>
    <w:lvl w:ilvl="2">
      <w:start w:val="1"/>
      <w:numFmt w:val="decimal"/>
      <w:lvlText w:val="%1.%2.%3"/>
      <w:lvlJc w:val="left"/>
      <w:pPr>
        <w:tabs>
          <w:tab w:val="num" w:pos="0"/>
        </w:tabs>
        <w:ind w:left="720" w:hanging="720"/>
      </w:pPr>
      <w:rPr>
        <w:b/>
        <w:sz w:val="22"/>
        <w:szCs w:val="22"/>
      </w:rPr>
    </w:lvl>
    <w:lvl w:ilvl="3">
      <w:start w:val="1"/>
      <w:numFmt w:val="decimal"/>
      <w:lvlText w:val="%1.%2.%3.%4"/>
      <w:lvlJc w:val="left"/>
      <w:pPr>
        <w:tabs>
          <w:tab w:val="num" w:pos="0"/>
        </w:tabs>
        <w:ind w:left="720" w:hanging="720"/>
      </w:pPr>
      <w:rPr>
        <w:color w:val="000000"/>
        <w:spacing w:val="-3"/>
        <w:sz w:val="22"/>
        <w:szCs w:val="22"/>
        <w:lang w:val="es-ES"/>
      </w:rPr>
    </w:lvl>
    <w:lvl w:ilvl="4">
      <w:start w:val="1"/>
      <w:numFmt w:val="decimal"/>
      <w:lvlText w:val="%1.%2.%3.%4.%5"/>
      <w:lvlJc w:val="left"/>
      <w:pPr>
        <w:tabs>
          <w:tab w:val="num" w:pos="0"/>
        </w:tabs>
        <w:ind w:left="1080" w:hanging="1080"/>
      </w:pPr>
      <w:rPr>
        <w:b/>
        <w:sz w:val="22"/>
        <w:szCs w:val="22"/>
      </w:rPr>
    </w:lvl>
    <w:lvl w:ilvl="5">
      <w:start w:val="1"/>
      <w:numFmt w:val="decimal"/>
      <w:lvlText w:val="%1.%2.%3.%4.%5.%6"/>
      <w:lvlJc w:val="left"/>
      <w:pPr>
        <w:tabs>
          <w:tab w:val="num" w:pos="0"/>
        </w:tabs>
        <w:ind w:left="1080" w:hanging="1080"/>
      </w:pPr>
      <w:rPr>
        <w:b/>
        <w:sz w:val="22"/>
        <w:szCs w:val="22"/>
      </w:rPr>
    </w:lvl>
    <w:lvl w:ilvl="6">
      <w:start w:val="1"/>
      <w:numFmt w:val="decimal"/>
      <w:lvlText w:val="%1.%2.%3.%4.%5.%6.%7"/>
      <w:lvlJc w:val="left"/>
      <w:pPr>
        <w:tabs>
          <w:tab w:val="num" w:pos="0"/>
        </w:tabs>
        <w:ind w:left="1440" w:hanging="1440"/>
      </w:pPr>
      <w:rPr>
        <w:b/>
        <w:sz w:val="22"/>
        <w:szCs w:val="22"/>
      </w:rPr>
    </w:lvl>
    <w:lvl w:ilvl="7">
      <w:start w:val="1"/>
      <w:numFmt w:val="decimal"/>
      <w:lvlText w:val="%1.%2.%3.%4.%5.%6.%7.%8"/>
      <w:lvlJc w:val="left"/>
      <w:pPr>
        <w:tabs>
          <w:tab w:val="num" w:pos="0"/>
        </w:tabs>
        <w:ind w:left="1440" w:hanging="1440"/>
      </w:pPr>
      <w:rPr>
        <w:b/>
        <w:sz w:val="22"/>
        <w:szCs w:val="22"/>
      </w:rPr>
    </w:lvl>
    <w:lvl w:ilvl="8">
      <w:start w:val="1"/>
      <w:numFmt w:val="decimal"/>
      <w:lvlText w:val="%1.%2.%3.%4.%5.%6.%7.%8.%9"/>
      <w:lvlJc w:val="left"/>
      <w:pPr>
        <w:tabs>
          <w:tab w:val="num" w:pos="0"/>
        </w:tabs>
        <w:ind w:left="1440" w:hanging="1440"/>
      </w:pPr>
      <w:rPr>
        <w:b/>
        <w:sz w:val="22"/>
        <w:szCs w:val="22"/>
      </w:rPr>
    </w:lvl>
  </w:abstractNum>
  <w:abstractNum w:abstractNumId="36" w15:restartNumberingAfterBreak="0">
    <w:nsid w:val="46555BB7"/>
    <w:multiLevelType w:val="multilevel"/>
    <w:tmpl w:val="94087D38"/>
    <w:lvl w:ilvl="0">
      <w:start w:val="1"/>
      <w:numFmt w:val="decimal"/>
      <w:lvlText w:val="%1."/>
      <w:lvlJc w:val="left"/>
      <w:pPr>
        <w:tabs>
          <w:tab w:val="num" w:pos="0"/>
        </w:tabs>
        <w:ind w:left="720" w:hanging="360"/>
      </w:pPr>
      <w:rPr>
        <w:rFonts w:ascii="Times New Roman" w:hAnsi="Times New Roman" w:cs="Times New Roman"/>
        <w:b w:val="0"/>
        <w:bCs/>
        <w:strike w:val="0"/>
        <w:dstrike w:val="0"/>
        <w:color w:val="000000"/>
        <w:sz w:val="22"/>
        <w:szCs w:val="22"/>
        <w:lang w:val="es-UY"/>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47467D5B"/>
    <w:multiLevelType w:val="multilevel"/>
    <w:tmpl w:val="D2301370"/>
    <w:lvl w:ilvl="0">
      <w:start w:val="1"/>
      <w:numFmt w:val="decimal"/>
      <w:lvlText w:val="%1."/>
      <w:lvlJc w:val="left"/>
      <w:pPr>
        <w:tabs>
          <w:tab w:val="num" w:pos="0"/>
        </w:tabs>
        <w:ind w:left="1440" w:hanging="360"/>
      </w:pPr>
      <w:rPr>
        <w:rFonts w:ascii="Times New Roman" w:hAnsi="Times New Roman" w:cs="Times New Roman"/>
        <w:strike w:val="0"/>
        <w:dstrike w:val="0"/>
        <w:color w:val="000000"/>
        <w:sz w:val="22"/>
        <w:szCs w:val="22"/>
      </w:rPr>
    </w:lvl>
    <w:lvl w:ilvl="1">
      <w:start w:val="4"/>
      <w:numFmt w:val="decimal"/>
      <w:lvlText w:val="%1.%2"/>
      <w:lvlJc w:val="left"/>
      <w:pPr>
        <w:tabs>
          <w:tab w:val="num" w:pos="0"/>
        </w:tabs>
        <w:ind w:left="1725" w:hanging="645"/>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160" w:hanging="1080"/>
      </w:pPr>
    </w:lvl>
    <w:lvl w:ilvl="5">
      <w:start w:val="1"/>
      <w:numFmt w:val="decimal"/>
      <w:lvlText w:val="%1.%2.%3.%4.%5.%6"/>
      <w:lvlJc w:val="left"/>
      <w:pPr>
        <w:tabs>
          <w:tab w:val="num" w:pos="0"/>
        </w:tabs>
        <w:ind w:left="2160" w:hanging="1080"/>
      </w:pPr>
    </w:lvl>
    <w:lvl w:ilvl="6">
      <w:start w:val="1"/>
      <w:numFmt w:val="decimal"/>
      <w:lvlText w:val="%1.%2.%3.%4.%5.%6.%7"/>
      <w:lvlJc w:val="left"/>
      <w:pPr>
        <w:tabs>
          <w:tab w:val="num" w:pos="0"/>
        </w:tabs>
        <w:ind w:left="2520" w:hanging="1440"/>
      </w:pPr>
    </w:lvl>
    <w:lvl w:ilvl="7">
      <w:start w:val="1"/>
      <w:numFmt w:val="decimal"/>
      <w:lvlText w:val="%1.%2.%3.%4.%5.%6.%7.%8"/>
      <w:lvlJc w:val="left"/>
      <w:pPr>
        <w:tabs>
          <w:tab w:val="num" w:pos="0"/>
        </w:tabs>
        <w:ind w:left="2520" w:hanging="1440"/>
      </w:pPr>
    </w:lvl>
    <w:lvl w:ilvl="8">
      <w:start w:val="1"/>
      <w:numFmt w:val="decimal"/>
      <w:lvlText w:val="%1.%2.%3.%4.%5.%6.%7.%8.%9"/>
      <w:lvlJc w:val="left"/>
      <w:pPr>
        <w:tabs>
          <w:tab w:val="num" w:pos="0"/>
        </w:tabs>
        <w:ind w:left="2520" w:hanging="1440"/>
      </w:pPr>
    </w:lvl>
  </w:abstractNum>
  <w:abstractNum w:abstractNumId="38" w15:restartNumberingAfterBreak="0">
    <w:nsid w:val="477A617F"/>
    <w:multiLevelType w:val="multilevel"/>
    <w:tmpl w:val="3328DE76"/>
    <w:lvl w:ilvl="0">
      <w:start w:val="1"/>
      <w:numFmt w:val="lowerLetter"/>
      <w:lvlText w:val="%1."/>
      <w:lvlJc w:val="left"/>
      <w:pPr>
        <w:tabs>
          <w:tab w:val="num" w:pos="0"/>
        </w:tabs>
        <w:ind w:left="720" w:hanging="360"/>
      </w:pPr>
      <w:rPr>
        <w:sz w:val="22"/>
        <w:szCs w:val="22"/>
      </w:rPr>
    </w:lvl>
    <w:lvl w:ilvl="1">
      <w:numFmt w:val="bullet"/>
      <w:lvlText w:val=""/>
      <w:lvlJc w:val="left"/>
      <w:pPr>
        <w:tabs>
          <w:tab w:val="num" w:pos="0"/>
        </w:tabs>
        <w:ind w:left="1440" w:hanging="360"/>
      </w:pPr>
      <w:rPr>
        <w:rFonts w:ascii="Symbol" w:hAnsi="Symbol" w:cs="Symbol" w:hint="default"/>
      </w:rPr>
    </w:lvl>
    <w:lvl w:ilvl="2">
      <w:start w:val="2"/>
      <w:numFmt w:val="lowerLetter"/>
      <w:lvlText w:val="%3)"/>
      <w:lvlJc w:val="right"/>
      <w:pPr>
        <w:tabs>
          <w:tab w:val="num" w:pos="0"/>
        </w:tabs>
        <w:ind w:left="180" w:hanging="180"/>
      </w:pPr>
      <w:rPr>
        <w:rFonts w:ascii="Calibri" w:eastAsia="Times New Roman" w:hAnsi="Calibri" w:cs="Times New Roman"/>
        <w:b/>
        <w:color w:val="000000"/>
      </w:rPr>
    </w:lvl>
    <w:lvl w:ilvl="3">
      <w:start w:val="1"/>
      <w:numFmt w:val="decimal"/>
      <w:lvlText w:val="%4."/>
      <w:lvlJc w:val="left"/>
      <w:pPr>
        <w:tabs>
          <w:tab w:val="num" w:pos="0"/>
        </w:tabs>
        <w:ind w:left="2880" w:hanging="360"/>
      </w:pPr>
      <w:rPr>
        <w:sz w:val="22"/>
        <w:szCs w:val="22"/>
      </w:rPr>
    </w:lvl>
    <w:lvl w:ilvl="4">
      <w:start w:val="1"/>
      <w:numFmt w:val="lowerLetter"/>
      <w:lvlText w:val="%5."/>
      <w:lvlJc w:val="left"/>
      <w:pPr>
        <w:tabs>
          <w:tab w:val="num" w:pos="0"/>
        </w:tabs>
        <w:ind w:left="3600" w:hanging="360"/>
      </w:pPr>
      <w:rPr>
        <w:sz w:val="22"/>
        <w:szCs w:val="22"/>
      </w:rPr>
    </w:lvl>
    <w:lvl w:ilvl="5">
      <w:start w:val="1"/>
      <w:numFmt w:val="lowerRoman"/>
      <w:lvlText w:val="%6."/>
      <w:lvlJc w:val="right"/>
      <w:pPr>
        <w:tabs>
          <w:tab w:val="num" w:pos="0"/>
        </w:tabs>
        <w:ind w:left="4320" w:hanging="180"/>
      </w:pPr>
      <w:rPr>
        <w:sz w:val="22"/>
        <w:szCs w:val="22"/>
      </w:rPr>
    </w:lvl>
    <w:lvl w:ilvl="6">
      <w:start w:val="1"/>
      <w:numFmt w:val="decimal"/>
      <w:lvlText w:val="%7."/>
      <w:lvlJc w:val="left"/>
      <w:pPr>
        <w:tabs>
          <w:tab w:val="num" w:pos="0"/>
        </w:tabs>
        <w:ind w:left="5040" w:hanging="360"/>
      </w:pPr>
      <w:rPr>
        <w:sz w:val="22"/>
        <w:szCs w:val="22"/>
      </w:rPr>
    </w:lvl>
    <w:lvl w:ilvl="7">
      <w:start w:val="1"/>
      <w:numFmt w:val="lowerLetter"/>
      <w:lvlText w:val="%8."/>
      <w:lvlJc w:val="left"/>
      <w:pPr>
        <w:tabs>
          <w:tab w:val="num" w:pos="0"/>
        </w:tabs>
        <w:ind w:left="5760" w:hanging="360"/>
      </w:pPr>
      <w:rPr>
        <w:sz w:val="22"/>
        <w:szCs w:val="22"/>
      </w:rPr>
    </w:lvl>
    <w:lvl w:ilvl="8">
      <w:start w:val="1"/>
      <w:numFmt w:val="lowerRoman"/>
      <w:lvlText w:val="%9."/>
      <w:lvlJc w:val="right"/>
      <w:pPr>
        <w:tabs>
          <w:tab w:val="num" w:pos="0"/>
        </w:tabs>
        <w:ind w:left="6480" w:hanging="180"/>
      </w:pPr>
      <w:rPr>
        <w:sz w:val="22"/>
        <w:szCs w:val="22"/>
      </w:rPr>
    </w:lvl>
  </w:abstractNum>
  <w:abstractNum w:abstractNumId="39" w15:restartNumberingAfterBreak="0">
    <w:nsid w:val="47A30D04"/>
    <w:multiLevelType w:val="multilevel"/>
    <w:tmpl w:val="0E2ABB96"/>
    <w:lvl w:ilvl="0">
      <w:start w:val="1"/>
      <w:numFmt w:val="lowerLetter"/>
      <w:lvlText w:val="%1)"/>
      <w:lvlJc w:val="left"/>
      <w:pPr>
        <w:tabs>
          <w:tab w:val="num" w:pos="0"/>
        </w:tabs>
        <w:ind w:left="2127" w:hanging="360"/>
      </w:pPr>
    </w:lvl>
    <w:lvl w:ilvl="1">
      <w:start w:val="1"/>
      <w:numFmt w:val="lowerLetter"/>
      <w:lvlText w:val="%2)"/>
      <w:lvlJc w:val="left"/>
      <w:pPr>
        <w:tabs>
          <w:tab w:val="num" w:pos="0"/>
        </w:tabs>
        <w:ind w:left="2847" w:hanging="360"/>
      </w:pPr>
      <w:rPr>
        <w:color w:val="000000"/>
        <w:sz w:val="22"/>
        <w:szCs w:val="22"/>
        <w:lang w:val="es-ES"/>
      </w:rPr>
    </w:lvl>
    <w:lvl w:ilvl="2">
      <w:start w:val="1"/>
      <w:numFmt w:val="lowerRoman"/>
      <w:lvlText w:val="%3."/>
      <w:lvlJc w:val="right"/>
      <w:pPr>
        <w:tabs>
          <w:tab w:val="num" w:pos="0"/>
        </w:tabs>
        <w:ind w:left="3567" w:hanging="180"/>
      </w:pPr>
    </w:lvl>
    <w:lvl w:ilvl="3">
      <w:start w:val="1"/>
      <w:numFmt w:val="decimal"/>
      <w:lvlText w:val="%4."/>
      <w:lvlJc w:val="left"/>
      <w:pPr>
        <w:tabs>
          <w:tab w:val="num" w:pos="0"/>
        </w:tabs>
        <w:ind w:left="4287" w:hanging="360"/>
      </w:pPr>
    </w:lvl>
    <w:lvl w:ilvl="4">
      <w:start w:val="1"/>
      <w:numFmt w:val="lowerLetter"/>
      <w:lvlText w:val="%5."/>
      <w:lvlJc w:val="left"/>
      <w:pPr>
        <w:tabs>
          <w:tab w:val="num" w:pos="0"/>
        </w:tabs>
        <w:ind w:left="5007" w:hanging="360"/>
      </w:pPr>
    </w:lvl>
    <w:lvl w:ilvl="5">
      <w:start w:val="1"/>
      <w:numFmt w:val="lowerRoman"/>
      <w:lvlText w:val="%6."/>
      <w:lvlJc w:val="right"/>
      <w:pPr>
        <w:tabs>
          <w:tab w:val="num" w:pos="0"/>
        </w:tabs>
        <w:ind w:left="5727" w:hanging="180"/>
      </w:pPr>
    </w:lvl>
    <w:lvl w:ilvl="6">
      <w:start w:val="1"/>
      <w:numFmt w:val="decimal"/>
      <w:lvlText w:val="%7."/>
      <w:lvlJc w:val="left"/>
      <w:pPr>
        <w:tabs>
          <w:tab w:val="num" w:pos="0"/>
        </w:tabs>
        <w:ind w:left="6447" w:hanging="360"/>
      </w:pPr>
    </w:lvl>
    <w:lvl w:ilvl="7">
      <w:start w:val="1"/>
      <w:numFmt w:val="lowerLetter"/>
      <w:lvlText w:val="%8."/>
      <w:lvlJc w:val="left"/>
      <w:pPr>
        <w:tabs>
          <w:tab w:val="num" w:pos="0"/>
        </w:tabs>
        <w:ind w:left="7167" w:hanging="360"/>
      </w:pPr>
    </w:lvl>
    <w:lvl w:ilvl="8">
      <w:start w:val="1"/>
      <w:numFmt w:val="lowerRoman"/>
      <w:lvlText w:val="%9."/>
      <w:lvlJc w:val="right"/>
      <w:pPr>
        <w:tabs>
          <w:tab w:val="num" w:pos="0"/>
        </w:tabs>
        <w:ind w:left="7887" w:hanging="180"/>
      </w:pPr>
    </w:lvl>
  </w:abstractNum>
  <w:abstractNum w:abstractNumId="40" w15:restartNumberingAfterBreak="0">
    <w:nsid w:val="494E7920"/>
    <w:multiLevelType w:val="multilevel"/>
    <w:tmpl w:val="23EC559A"/>
    <w:lvl w:ilvl="0">
      <w:start w:val="6"/>
      <w:numFmt w:val="decimal"/>
      <w:lvlText w:val="%1"/>
      <w:lvlJc w:val="left"/>
      <w:pPr>
        <w:tabs>
          <w:tab w:val="num" w:pos="0"/>
        </w:tabs>
        <w:ind w:left="360" w:hanging="360"/>
      </w:pPr>
    </w:lvl>
    <w:lvl w:ilvl="1">
      <w:start w:val="1"/>
      <w:numFmt w:val="decimal"/>
      <w:lvlText w:val="%1.%2"/>
      <w:lvlJc w:val="left"/>
      <w:pPr>
        <w:tabs>
          <w:tab w:val="num" w:pos="0"/>
        </w:tabs>
        <w:ind w:left="360" w:hanging="360"/>
      </w:pPr>
      <w:rPr>
        <w:b w:val="0"/>
        <w:i w:val="0"/>
        <w:sz w:val="22"/>
        <w:szCs w:val="22"/>
        <w:lang w:val="es-ES"/>
      </w:rPr>
    </w:lvl>
    <w:lvl w:ilvl="2">
      <w:start w:val="1"/>
      <w:numFmt w:val="decimal"/>
      <w:lvlText w:val="%1.%2.%3"/>
      <w:lvlJc w:val="left"/>
      <w:pPr>
        <w:tabs>
          <w:tab w:val="num" w:pos="0"/>
        </w:tabs>
        <w:ind w:left="2422" w:hanging="720"/>
      </w:pPr>
    </w:lvl>
    <w:lvl w:ilvl="3">
      <w:start w:val="1"/>
      <w:numFmt w:val="decimal"/>
      <w:lvlText w:val="%1.%2.%3.%4"/>
      <w:lvlJc w:val="left"/>
      <w:pPr>
        <w:tabs>
          <w:tab w:val="num" w:pos="0"/>
        </w:tabs>
        <w:ind w:left="3273" w:hanging="720"/>
      </w:pPr>
    </w:lvl>
    <w:lvl w:ilvl="4">
      <w:start w:val="1"/>
      <w:numFmt w:val="decimal"/>
      <w:lvlText w:val="%1.%2.%3.%4.%5"/>
      <w:lvlJc w:val="left"/>
      <w:pPr>
        <w:tabs>
          <w:tab w:val="num" w:pos="0"/>
        </w:tabs>
        <w:ind w:left="4484" w:hanging="1080"/>
      </w:pPr>
    </w:lvl>
    <w:lvl w:ilvl="5">
      <w:start w:val="1"/>
      <w:numFmt w:val="decimal"/>
      <w:lvlText w:val="%1.%2.%3.%4.%5.%6"/>
      <w:lvlJc w:val="left"/>
      <w:pPr>
        <w:tabs>
          <w:tab w:val="num" w:pos="0"/>
        </w:tabs>
        <w:ind w:left="5335" w:hanging="1080"/>
      </w:pPr>
    </w:lvl>
    <w:lvl w:ilvl="6">
      <w:start w:val="1"/>
      <w:numFmt w:val="decimal"/>
      <w:lvlText w:val="%1.%2.%3.%4.%5.%6.%7"/>
      <w:lvlJc w:val="left"/>
      <w:pPr>
        <w:tabs>
          <w:tab w:val="num" w:pos="0"/>
        </w:tabs>
        <w:ind w:left="6546" w:hanging="1440"/>
      </w:pPr>
    </w:lvl>
    <w:lvl w:ilvl="7">
      <w:start w:val="1"/>
      <w:numFmt w:val="decimal"/>
      <w:lvlText w:val="%1.%2.%3.%4.%5.%6.%7.%8"/>
      <w:lvlJc w:val="left"/>
      <w:pPr>
        <w:tabs>
          <w:tab w:val="num" w:pos="0"/>
        </w:tabs>
        <w:ind w:left="7397" w:hanging="1440"/>
      </w:pPr>
    </w:lvl>
    <w:lvl w:ilvl="8">
      <w:start w:val="1"/>
      <w:numFmt w:val="decimal"/>
      <w:lvlText w:val="%1.%2.%3.%4.%5.%6.%7.%8.%9"/>
      <w:lvlJc w:val="left"/>
      <w:pPr>
        <w:tabs>
          <w:tab w:val="num" w:pos="0"/>
        </w:tabs>
        <w:ind w:left="8608" w:hanging="1800"/>
      </w:pPr>
    </w:lvl>
  </w:abstractNum>
  <w:abstractNum w:abstractNumId="41" w15:restartNumberingAfterBreak="0">
    <w:nsid w:val="49F92C5C"/>
    <w:multiLevelType w:val="multilevel"/>
    <w:tmpl w:val="1ABAB8F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lowerLetter"/>
      <w:lvlText w:val="%3)"/>
      <w:lvlJc w:val="left"/>
      <w:pPr>
        <w:tabs>
          <w:tab w:val="num" w:pos="0"/>
        </w:tabs>
        <w:ind w:left="2160" w:hanging="360"/>
      </w:pPr>
      <w:rPr>
        <w:b/>
        <w:sz w:val="22"/>
        <w:szCs w:val="22"/>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2" w15:restartNumberingAfterBreak="0">
    <w:nsid w:val="4A305484"/>
    <w:multiLevelType w:val="multilevel"/>
    <w:tmpl w:val="0BB23138"/>
    <w:lvl w:ilvl="0">
      <w:start w:val="1"/>
      <w:numFmt w:val="decimal"/>
      <w:lvlText w:val="%1."/>
      <w:lvlJc w:val="left"/>
      <w:pPr>
        <w:tabs>
          <w:tab w:val="num" w:pos="0"/>
        </w:tabs>
        <w:ind w:left="360" w:hanging="360"/>
      </w:pPr>
      <w:rPr>
        <w:b w:val="0"/>
      </w:r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932"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43" w15:restartNumberingAfterBreak="0">
    <w:nsid w:val="4AF00C89"/>
    <w:multiLevelType w:val="multilevel"/>
    <w:tmpl w:val="090EC736"/>
    <w:lvl w:ilvl="0">
      <w:start w:val="1"/>
      <w:numFmt w:val="upperRoman"/>
      <w:lvlText w:val="%1)"/>
      <w:lvlJc w:val="left"/>
      <w:pPr>
        <w:tabs>
          <w:tab w:val="num" w:pos="0"/>
        </w:tabs>
        <w:ind w:left="0" w:firstLine="0"/>
      </w:pPr>
      <w:rPr>
        <w:rFonts w:ascii="Times New Roman" w:eastAsia="Palatino Linotype" w:hAnsi="Times New Roman" w:cs="Times New Roman"/>
        <w:b/>
        <w:color w:val="000000"/>
        <w:spacing w:val="-1"/>
        <w:sz w:val="22"/>
        <w:szCs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4C3000F7"/>
    <w:multiLevelType w:val="multilevel"/>
    <w:tmpl w:val="81C04B54"/>
    <w:lvl w:ilvl="0">
      <w:start w:val="2"/>
      <w:numFmt w:val="decimal"/>
      <w:lvlText w:val="%1."/>
      <w:lvlJc w:val="left"/>
      <w:pPr>
        <w:tabs>
          <w:tab w:val="num" w:pos="0"/>
        </w:tabs>
        <w:ind w:left="720" w:hanging="720"/>
      </w:pPr>
      <w:rPr>
        <w:u w:val="none"/>
      </w:rPr>
    </w:lvl>
    <w:lvl w:ilvl="1">
      <w:start w:val="1"/>
      <w:numFmt w:val="decimal"/>
      <w:lvlText w:val="%2."/>
      <w:lvlJc w:val="left"/>
      <w:pPr>
        <w:tabs>
          <w:tab w:val="num" w:pos="0"/>
        </w:tabs>
        <w:ind w:left="1440" w:hanging="720"/>
      </w:pPr>
      <w:rPr>
        <w:u w:val="none"/>
      </w:rPr>
    </w:lvl>
    <w:lvl w:ilvl="2">
      <w:start w:val="1"/>
      <w:numFmt w:val="decimal"/>
      <w:lvlText w:val="%3."/>
      <w:lvlJc w:val="left"/>
      <w:pPr>
        <w:tabs>
          <w:tab w:val="num" w:pos="0"/>
        </w:tabs>
        <w:ind w:left="2160" w:hanging="720"/>
      </w:pPr>
      <w:rPr>
        <w:u w:val="none"/>
      </w:rPr>
    </w:lvl>
    <w:lvl w:ilvl="3">
      <w:start w:val="1"/>
      <w:numFmt w:val="decimal"/>
      <w:lvlText w:val="%4."/>
      <w:lvlJc w:val="left"/>
      <w:pPr>
        <w:tabs>
          <w:tab w:val="num" w:pos="0"/>
        </w:tabs>
        <w:ind w:left="2880" w:hanging="720"/>
      </w:pPr>
      <w:rPr>
        <w:u w:val="none"/>
      </w:rPr>
    </w:lvl>
    <w:lvl w:ilvl="4">
      <w:start w:val="1"/>
      <w:numFmt w:val="decimal"/>
      <w:lvlText w:val="%5."/>
      <w:lvlJc w:val="left"/>
      <w:pPr>
        <w:tabs>
          <w:tab w:val="num" w:pos="0"/>
        </w:tabs>
        <w:ind w:left="3600" w:hanging="720"/>
      </w:pPr>
      <w:rPr>
        <w:u w:val="none"/>
      </w:rPr>
    </w:lvl>
    <w:lvl w:ilvl="5">
      <w:start w:val="1"/>
      <w:numFmt w:val="decimal"/>
      <w:lvlText w:val="%6."/>
      <w:lvlJc w:val="left"/>
      <w:pPr>
        <w:tabs>
          <w:tab w:val="num" w:pos="0"/>
        </w:tabs>
        <w:ind w:left="4320" w:hanging="720"/>
      </w:pPr>
      <w:rPr>
        <w:u w:val="none"/>
      </w:rPr>
    </w:lvl>
    <w:lvl w:ilvl="6">
      <w:start w:val="1"/>
      <w:numFmt w:val="decimal"/>
      <w:lvlText w:val="%7."/>
      <w:lvlJc w:val="left"/>
      <w:pPr>
        <w:tabs>
          <w:tab w:val="num" w:pos="0"/>
        </w:tabs>
        <w:ind w:left="5040" w:hanging="720"/>
      </w:pPr>
      <w:rPr>
        <w:u w:val="none"/>
      </w:rPr>
    </w:lvl>
    <w:lvl w:ilvl="7">
      <w:start w:val="1"/>
      <w:numFmt w:val="decimal"/>
      <w:lvlText w:val="%8."/>
      <w:lvlJc w:val="left"/>
      <w:pPr>
        <w:tabs>
          <w:tab w:val="num" w:pos="0"/>
        </w:tabs>
        <w:ind w:left="5760" w:hanging="720"/>
      </w:pPr>
      <w:rPr>
        <w:u w:val="none"/>
      </w:rPr>
    </w:lvl>
    <w:lvl w:ilvl="8">
      <w:start w:val="1"/>
      <w:numFmt w:val="decimal"/>
      <w:lvlText w:val="%9."/>
      <w:lvlJc w:val="left"/>
      <w:pPr>
        <w:tabs>
          <w:tab w:val="num" w:pos="0"/>
        </w:tabs>
        <w:ind w:left="6480" w:hanging="720"/>
      </w:pPr>
      <w:rPr>
        <w:u w:val="none"/>
      </w:rPr>
    </w:lvl>
  </w:abstractNum>
  <w:abstractNum w:abstractNumId="45" w15:restartNumberingAfterBreak="0">
    <w:nsid w:val="4CC442EC"/>
    <w:multiLevelType w:val="multilevel"/>
    <w:tmpl w:val="3DE83FB6"/>
    <w:lvl w:ilvl="0">
      <w:start w:val="1"/>
      <w:numFmt w:val="lowerRoman"/>
      <w:lvlText w:val="%1."/>
      <w:lvlJc w:val="left"/>
      <w:pPr>
        <w:tabs>
          <w:tab w:val="num" w:pos="0"/>
        </w:tabs>
        <w:ind w:left="1380" w:hanging="900"/>
      </w:pPr>
      <w:rPr>
        <w:rFonts w:eastAsia="Palatino Linotype"/>
        <w:spacing w:val="-10"/>
        <w:sz w:val="22"/>
        <w:szCs w:val="22"/>
        <w:lang w:eastAsia="es-UY"/>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4D4648DF"/>
    <w:multiLevelType w:val="multilevel"/>
    <w:tmpl w:val="C6C29496"/>
    <w:lvl w:ilvl="0">
      <w:start w:val="1"/>
      <w:numFmt w:val="lowerLetter"/>
      <w:lvlText w:val="%1)"/>
      <w:lvlJc w:val="left"/>
      <w:pPr>
        <w:tabs>
          <w:tab w:val="num" w:pos="0"/>
        </w:tabs>
        <w:ind w:left="1429"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4F6103DB"/>
    <w:multiLevelType w:val="multilevel"/>
    <w:tmpl w:val="18108BCA"/>
    <w:lvl w:ilvl="0">
      <w:start w:val="1"/>
      <w:numFmt w:val="lowerLetter"/>
      <w:lvlText w:val="%1)"/>
      <w:lvlJc w:val="left"/>
      <w:pPr>
        <w:tabs>
          <w:tab w:val="num" w:pos="0"/>
        </w:tabs>
        <w:ind w:left="1440" w:hanging="360"/>
      </w:pPr>
      <w:rPr>
        <w:rFonts w:ascii="Times New Roman" w:eastAsia="Times New Roman" w:hAnsi="Times New Roman" w:cs="Times New Roman"/>
        <w:color w:val="000000"/>
        <w:sz w:val="22"/>
        <w:szCs w:val="22"/>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4FB463AB"/>
    <w:multiLevelType w:val="multilevel"/>
    <w:tmpl w:val="B65C7B8C"/>
    <w:lvl w:ilvl="0">
      <w:start w:val="1"/>
      <w:numFmt w:val="lowerLetter"/>
      <w:lvlText w:val="%1)"/>
      <w:lvlJc w:val="left"/>
      <w:pPr>
        <w:tabs>
          <w:tab w:val="num" w:pos="0"/>
        </w:tabs>
        <w:ind w:left="720" w:hanging="360"/>
      </w:pPr>
      <w:rPr>
        <w:b/>
        <w:sz w:val="22"/>
        <w:szCs w:val="22"/>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504B2067"/>
    <w:multiLevelType w:val="multilevel"/>
    <w:tmpl w:val="9B3E0438"/>
    <w:lvl w:ilvl="0">
      <w:start w:val="9"/>
      <w:numFmt w:val="decimal"/>
      <w:lvlText w:val="%1"/>
      <w:lvlJc w:val="left"/>
      <w:pPr>
        <w:tabs>
          <w:tab w:val="num" w:pos="0"/>
        </w:tabs>
        <w:ind w:left="480" w:hanging="480"/>
      </w:pPr>
      <w:rPr>
        <w:b/>
        <w:sz w:val="22"/>
        <w:szCs w:val="22"/>
      </w:rPr>
    </w:lvl>
    <w:lvl w:ilvl="1">
      <w:start w:val="2"/>
      <w:numFmt w:val="decimal"/>
      <w:lvlText w:val="%1.%2"/>
      <w:lvlJc w:val="left"/>
      <w:pPr>
        <w:tabs>
          <w:tab w:val="num" w:pos="0"/>
        </w:tabs>
        <w:ind w:left="480" w:hanging="480"/>
      </w:pPr>
      <w:rPr>
        <w:b/>
        <w:sz w:val="22"/>
        <w:szCs w:val="22"/>
      </w:rPr>
    </w:lvl>
    <w:lvl w:ilvl="2">
      <w:start w:val="1"/>
      <w:numFmt w:val="decimal"/>
      <w:lvlText w:val="%1.%2.%3"/>
      <w:lvlJc w:val="left"/>
      <w:pPr>
        <w:tabs>
          <w:tab w:val="num" w:pos="0"/>
        </w:tabs>
        <w:ind w:left="720" w:hanging="720"/>
      </w:pPr>
      <w:rPr>
        <w:b/>
        <w:sz w:val="22"/>
        <w:szCs w:val="22"/>
      </w:rPr>
    </w:lvl>
    <w:lvl w:ilvl="3">
      <w:start w:val="1"/>
      <w:numFmt w:val="decimal"/>
      <w:lvlText w:val="%1.%2.%3.%4"/>
      <w:lvlJc w:val="left"/>
      <w:pPr>
        <w:tabs>
          <w:tab w:val="num" w:pos="0"/>
        </w:tabs>
        <w:ind w:left="720" w:hanging="720"/>
      </w:pPr>
      <w:rPr>
        <w:b/>
        <w:sz w:val="22"/>
        <w:szCs w:val="22"/>
      </w:rPr>
    </w:lvl>
    <w:lvl w:ilvl="4">
      <w:start w:val="1"/>
      <w:numFmt w:val="decimal"/>
      <w:lvlText w:val="%1.%2.%3.%4.%5"/>
      <w:lvlJc w:val="left"/>
      <w:pPr>
        <w:tabs>
          <w:tab w:val="num" w:pos="0"/>
        </w:tabs>
        <w:ind w:left="1080" w:hanging="1080"/>
      </w:pPr>
      <w:rPr>
        <w:b/>
        <w:sz w:val="22"/>
        <w:szCs w:val="22"/>
      </w:rPr>
    </w:lvl>
    <w:lvl w:ilvl="5">
      <w:start w:val="1"/>
      <w:numFmt w:val="decimal"/>
      <w:lvlText w:val="%1.%2.%3.%4.%5.%6"/>
      <w:lvlJc w:val="left"/>
      <w:pPr>
        <w:tabs>
          <w:tab w:val="num" w:pos="0"/>
        </w:tabs>
        <w:ind w:left="1080" w:hanging="1080"/>
      </w:pPr>
      <w:rPr>
        <w:b/>
        <w:sz w:val="22"/>
        <w:szCs w:val="22"/>
      </w:rPr>
    </w:lvl>
    <w:lvl w:ilvl="6">
      <w:start w:val="1"/>
      <w:numFmt w:val="decimal"/>
      <w:lvlText w:val="%1.%2.%3.%4.%5.%6.%7"/>
      <w:lvlJc w:val="left"/>
      <w:pPr>
        <w:tabs>
          <w:tab w:val="num" w:pos="0"/>
        </w:tabs>
        <w:ind w:left="1440" w:hanging="1440"/>
      </w:pPr>
      <w:rPr>
        <w:b/>
        <w:sz w:val="22"/>
        <w:szCs w:val="22"/>
      </w:rPr>
    </w:lvl>
    <w:lvl w:ilvl="7">
      <w:start w:val="1"/>
      <w:numFmt w:val="decimal"/>
      <w:lvlText w:val="%1.%2.%3.%4.%5.%6.%7.%8"/>
      <w:lvlJc w:val="left"/>
      <w:pPr>
        <w:tabs>
          <w:tab w:val="num" w:pos="0"/>
        </w:tabs>
        <w:ind w:left="1440" w:hanging="1440"/>
      </w:pPr>
      <w:rPr>
        <w:b/>
        <w:sz w:val="22"/>
        <w:szCs w:val="22"/>
      </w:rPr>
    </w:lvl>
    <w:lvl w:ilvl="8">
      <w:start w:val="1"/>
      <w:numFmt w:val="decimal"/>
      <w:lvlText w:val="%1.%2.%3.%4.%5.%6.%7.%8.%9"/>
      <w:lvlJc w:val="left"/>
      <w:pPr>
        <w:tabs>
          <w:tab w:val="num" w:pos="0"/>
        </w:tabs>
        <w:ind w:left="1440" w:hanging="1440"/>
      </w:pPr>
      <w:rPr>
        <w:b/>
        <w:sz w:val="22"/>
        <w:szCs w:val="22"/>
      </w:rPr>
    </w:lvl>
  </w:abstractNum>
  <w:abstractNum w:abstractNumId="50" w15:restartNumberingAfterBreak="0">
    <w:nsid w:val="52747B3F"/>
    <w:multiLevelType w:val="multilevel"/>
    <w:tmpl w:val="F03E19D8"/>
    <w:lvl w:ilvl="0">
      <w:start w:val="1"/>
      <w:numFmt w:val="decimal"/>
      <w:lvlText w:val="%1)"/>
      <w:lvlJc w:val="left"/>
      <w:pPr>
        <w:tabs>
          <w:tab w:val="num" w:pos="0"/>
        </w:tabs>
        <w:ind w:left="2847" w:hanging="360"/>
      </w:pPr>
      <w:rPr>
        <w:bCs/>
        <w:color w:val="000000"/>
        <w:sz w:val="22"/>
        <w:szCs w:val="22"/>
        <w:lang w:val="es-ES" w:eastAsia="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569A1FD0"/>
    <w:multiLevelType w:val="multilevel"/>
    <w:tmpl w:val="71543B44"/>
    <w:lvl w:ilvl="0">
      <w:start w:val="7"/>
      <w:numFmt w:val="decimal"/>
      <w:lvlText w:val="%1"/>
      <w:lvlJc w:val="left"/>
      <w:pPr>
        <w:tabs>
          <w:tab w:val="num" w:pos="0"/>
        </w:tabs>
        <w:ind w:left="360" w:hanging="360"/>
      </w:pPr>
    </w:lvl>
    <w:lvl w:ilvl="1">
      <w:start w:val="1"/>
      <w:numFmt w:val="decimal"/>
      <w:lvlText w:val="%1.%2"/>
      <w:lvlJc w:val="left"/>
      <w:pPr>
        <w:tabs>
          <w:tab w:val="num" w:pos="0"/>
        </w:tabs>
        <w:ind w:left="360" w:hanging="360"/>
      </w:pPr>
      <w:rPr>
        <w:rFonts w:ascii="Times New Roman" w:hAnsi="Times New Roman" w:cs="Times New Roman"/>
        <w:b/>
        <w:i w:val="0"/>
      </w:rPr>
    </w:lvl>
    <w:lvl w:ilvl="2">
      <w:start w:val="1"/>
      <w:numFmt w:val="decimal"/>
      <w:lvlText w:val="%1.%2.%3"/>
      <w:lvlJc w:val="left"/>
      <w:pPr>
        <w:tabs>
          <w:tab w:val="num" w:pos="0"/>
        </w:tabs>
        <w:ind w:left="720" w:hanging="720"/>
      </w:pPr>
      <w:rPr>
        <w:rFonts w:ascii="Times New Roman" w:hAnsi="Times New Roman" w:cs="Times New Roman"/>
        <w:color w:val="000000"/>
        <w:spacing w:val="-3"/>
        <w:sz w:val="22"/>
        <w:szCs w:val="22"/>
        <w:lang w:val="es-ES"/>
      </w:rPr>
    </w:lvl>
    <w:lvl w:ilvl="3">
      <w:start w:val="1"/>
      <w:numFmt w:val="decimal"/>
      <w:lvlText w:val="%1.%2.%3.%4"/>
      <w:lvlJc w:val="left"/>
      <w:pPr>
        <w:tabs>
          <w:tab w:val="num" w:pos="0"/>
        </w:tabs>
        <w:ind w:left="720" w:hanging="720"/>
      </w:pPr>
      <w:rPr>
        <w:rFonts w:ascii="Times New Roman" w:hAnsi="Times New Roman" w:cs="Times New Roman"/>
      </w:r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52" w15:restartNumberingAfterBreak="0">
    <w:nsid w:val="56D62937"/>
    <w:multiLevelType w:val="multilevel"/>
    <w:tmpl w:val="AD926A6A"/>
    <w:lvl w:ilvl="0">
      <w:start w:val="1"/>
      <w:numFmt w:val="lowerLetter"/>
      <w:lvlText w:val="%1"/>
      <w:lvlJc w:val="left"/>
      <w:pPr>
        <w:tabs>
          <w:tab w:val="num" w:pos="0"/>
        </w:tabs>
        <w:ind w:left="644" w:hanging="360"/>
      </w:pPr>
      <w:rPr>
        <w:sz w:val="22"/>
        <w:szCs w:val="22"/>
        <w:lang w:val="es-ES"/>
      </w:rPr>
    </w:lvl>
    <w:lvl w:ilvl="1">
      <w:start w:val="1"/>
      <w:numFmt w:val="decimal"/>
      <w:lvlText w:val="%1.%2."/>
      <w:lvlJc w:val="left"/>
      <w:pPr>
        <w:tabs>
          <w:tab w:val="num" w:pos="0"/>
        </w:tabs>
        <w:ind w:left="1076" w:hanging="432"/>
      </w:pPr>
    </w:lvl>
    <w:lvl w:ilvl="2">
      <w:start w:val="1"/>
      <w:numFmt w:val="decimal"/>
      <w:lvlText w:val="%1.%2.%3."/>
      <w:lvlJc w:val="left"/>
      <w:pPr>
        <w:tabs>
          <w:tab w:val="num" w:pos="0"/>
        </w:tabs>
        <w:ind w:left="1508" w:hanging="504"/>
      </w:pPr>
    </w:lvl>
    <w:lvl w:ilvl="3">
      <w:start w:val="1"/>
      <w:numFmt w:val="decimal"/>
      <w:lvlText w:val="%1.%2.%3.%4."/>
      <w:lvlJc w:val="left"/>
      <w:pPr>
        <w:tabs>
          <w:tab w:val="num" w:pos="0"/>
        </w:tabs>
        <w:ind w:left="2012" w:hanging="648"/>
      </w:pPr>
    </w:lvl>
    <w:lvl w:ilvl="4">
      <w:start w:val="1"/>
      <w:numFmt w:val="decimal"/>
      <w:lvlText w:val="%1.%2.%3.%4.%5."/>
      <w:lvlJc w:val="left"/>
      <w:pPr>
        <w:tabs>
          <w:tab w:val="num" w:pos="0"/>
        </w:tabs>
        <w:ind w:left="2516" w:hanging="792"/>
      </w:pPr>
    </w:lvl>
    <w:lvl w:ilvl="5">
      <w:start w:val="1"/>
      <w:numFmt w:val="decimal"/>
      <w:lvlText w:val="%1.%2.%3.%4.%5.%6."/>
      <w:lvlJc w:val="left"/>
      <w:pPr>
        <w:tabs>
          <w:tab w:val="num" w:pos="0"/>
        </w:tabs>
        <w:ind w:left="3020" w:hanging="936"/>
      </w:pPr>
    </w:lvl>
    <w:lvl w:ilvl="6">
      <w:start w:val="1"/>
      <w:numFmt w:val="decimal"/>
      <w:lvlText w:val="%1.%2.%3.%4.%5.%6.%7."/>
      <w:lvlJc w:val="left"/>
      <w:pPr>
        <w:tabs>
          <w:tab w:val="num" w:pos="0"/>
        </w:tabs>
        <w:ind w:left="3524" w:hanging="1080"/>
      </w:pPr>
    </w:lvl>
    <w:lvl w:ilvl="7">
      <w:start w:val="1"/>
      <w:numFmt w:val="decimal"/>
      <w:lvlText w:val="%1.%2.%3.%4.%5.%6.%7.%8."/>
      <w:lvlJc w:val="left"/>
      <w:pPr>
        <w:tabs>
          <w:tab w:val="num" w:pos="0"/>
        </w:tabs>
        <w:ind w:left="4028" w:hanging="1224"/>
      </w:pPr>
    </w:lvl>
    <w:lvl w:ilvl="8">
      <w:start w:val="1"/>
      <w:numFmt w:val="decimal"/>
      <w:lvlText w:val="%1.%2.%3.%4.%5.%6.%7.%8.%9."/>
      <w:lvlJc w:val="left"/>
      <w:pPr>
        <w:tabs>
          <w:tab w:val="num" w:pos="0"/>
        </w:tabs>
        <w:ind w:left="4604" w:hanging="1440"/>
      </w:pPr>
    </w:lvl>
  </w:abstractNum>
  <w:abstractNum w:abstractNumId="53" w15:restartNumberingAfterBreak="0">
    <w:nsid w:val="571D2AD0"/>
    <w:multiLevelType w:val="multilevel"/>
    <w:tmpl w:val="4EA2F4A6"/>
    <w:lvl w:ilvl="0">
      <w:start w:val="1"/>
      <w:numFmt w:val="decimal"/>
      <w:lvlText w:val="%1."/>
      <w:lvlJc w:val="left"/>
      <w:pPr>
        <w:tabs>
          <w:tab w:val="num" w:pos="0"/>
        </w:tabs>
        <w:ind w:left="1080" w:hanging="360"/>
      </w:pPr>
      <w:rPr>
        <w:rFonts w:ascii="Times New Roman" w:hAnsi="Times New Roman" w:cs="Times New Roman"/>
        <w:b w:val="0"/>
        <w:strike w:val="0"/>
        <w:dstrike w:val="0"/>
        <w:sz w:val="22"/>
        <w:szCs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57EE0ED8"/>
    <w:multiLevelType w:val="multilevel"/>
    <w:tmpl w:val="5B2C1510"/>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792" w:hanging="432"/>
      </w:pPr>
      <w:rPr>
        <w:b/>
        <w:i w:val="0"/>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55" w15:restartNumberingAfterBreak="0">
    <w:nsid w:val="5A6762A3"/>
    <w:multiLevelType w:val="multilevel"/>
    <w:tmpl w:val="8D9867BA"/>
    <w:lvl w:ilvl="0">
      <w:start w:val="1"/>
      <w:numFmt w:val="decimal"/>
      <w:lvlText w:val="%1."/>
      <w:lvlJc w:val="left"/>
      <w:pPr>
        <w:tabs>
          <w:tab w:val="num" w:pos="0"/>
        </w:tabs>
        <w:ind w:left="720" w:hanging="360"/>
      </w:pPr>
      <w:rPr>
        <w:rFonts w:ascii="Times New Roman" w:eastAsia="Times New Roman" w:hAnsi="Times New Roman" w:cs="Times New Roman"/>
        <w:bCs/>
        <w:sz w:val="22"/>
        <w:szCs w:val="22"/>
        <w:lang w:val="es-ES"/>
      </w:rPr>
    </w:lvl>
    <w:lvl w:ilvl="1">
      <w:start w:val="4"/>
      <w:numFmt w:val="decimal"/>
      <w:lvlText w:val="%1.%2"/>
      <w:lvlJc w:val="left"/>
      <w:pPr>
        <w:tabs>
          <w:tab w:val="num" w:pos="0"/>
        </w:tabs>
        <w:ind w:left="1068" w:hanging="708"/>
      </w:pPr>
      <w:rPr>
        <w:color w:val="000000"/>
        <w:sz w:val="22"/>
        <w:szCs w:val="22"/>
        <w:lang w:val="es-ES"/>
      </w:rPr>
    </w:lvl>
    <w:lvl w:ilvl="2">
      <w:start w:val="1"/>
      <w:numFmt w:val="decimal"/>
      <w:lvlText w:val="%1.%2.%3"/>
      <w:lvlJc w:val="left"/>
      <w:pPr>
        <w:tabs>
          <w:tab w:val="num" w:pos="0"/>
        </w:tabs>
        <w:ind w:left="1080" w:hanging="720"/>
      </w:pPr>
      <w:rPr>
        <w:color w:val="000000"/>
        <w:sz w:val="22"/>
        <w:szCs w:val="22"/>
        <w:lang w:val="es-ES"/>
      </w:rPr>
    </w:lvl>
    <w:lvl w:ilvl="3">
      <w:start w:val="2"/>
      <w:numFmt w:val="decimal"/>
      <w:lvlText w:val="%1.%2.%3.%4"/>
      <w:lvlJc w:val="left"/>
      <w:pPr>
        <w:tabs>
          <w:tab w:val="num" w:pos="0"/>
        </w:tabs>
        <w:ind w:left="1080" w:hanging="720"/>
      </w:pPr>
      <w:rPr>
        <w:color w:val="000000"/>
        <w:sz w:val="22"/>
        <w:szCs w:val="22"/>
        <w:lang w:val="es-ES"/>
      </w:rPr>
    </w:lvl>
    <w:lvl w:ilvl="4">
      <w:start w:val="1"/>
      <w:numFmt w:val="decimal"/>
      <w:lvlText w:val="%1.%2.%3.%4.%5"/>
      <w:lvlJc w:val="left"/>
      <w:pPr>
        <w:tabs>
          <w:tab w:val="num" w:pos="0"/>
        </w:tabs>
        <w:ind w:left="1440" w:hanging="1080"/>
      </w:pPr>
      <w:rPr>
        <w:color w:val="000000"/>
        <w:sz w:val="22"/>
        <w:szCs w:val="22"/>
        <w:lang w:val="es-ES"/>
      </w:rPr>
    </w:lvl>
    <w:lvl w:ilvl="5">
      <w:start w:val="1"/>
      <w:numFmt w:val="decimal"/>
      <w:lvlText w:val="%1.%2.%3.%4.%5.%6"/>
      <w:lvlJc w:val="left"/>
      <w:pPr>
        <w:tabs>
          <w:tab w:val="num" w:pos="0"/>
        </w:tabs>
        <w:ind w:left="1440" w:hanging="1080"/>
      </w:pPr>
      <w:rPr>
        <w:color w:val="000000"/>
        <w:sz w:val="22"/>
        <w:szCs w:val="22"/>
        <w:lang w:val="es-ES"/>
      </w:rPr>
    </w:lvl>
    <w:lvl w:ilvl="6">
      <w:start w:val="1"/>
      <w:numFmt w:val="decimal"/>
      <w:lvlText w:val="%1.%2.%3.%4.%5.%6.%7"/>
      <w:lvlJc w:val="left"/>
      <w:pPr>
        <w:tabs>
          <w:tab w:val="num" w:pos="0"/>
        </w:tabs>
        <w:ind w:left="1800" w:hanging="1440"/>
      </w:pPr>
      <w:rPr>
        <w:color w:val="000000"/>
        <w:sz w:val="22"/>
        <w:szCs w:val="22"/>
        <w:lang w:val="es-ES"/>
      </w:rPr>
    </w:lvl>
    <w:lvl w:ilvl="7">
      <w:start w:val="1"/>
      <w:numFmt w:val="decimal"/>
      <w:lvlText w:val="%1.%2.%3.%4.%5.%6.%7.%8"/>
      <w:lvlJc w:val="left"/>
      <w:pPr>
        <w:tabs>
          <w:tab w:val="num" w:pos="0"/>
        </w:tabs>
        <w:ind w:left="1800" w:hanging="1440"/>
      </w:pPr>
      <w:rPr>
        <w:color w:val="000000"/>
        <w:sz w:val="22"/>
        <w:szCs w:val="22"/>
        <w:lang w:val="es-ES"/>
      </w:rPr>
    </w:lvl>
    <w:lvl w:ilvl="8">
      <w:start w:val="1"/>
      <w:numFmt w:val="decimal"/>
      <w:lvlText w:val="%1.%2.%3.%4.%5.%6.%7.%8.%9"/>
      <w:lvlJc w:val="left"/>
      <w:pPr>
        <w:tabs>
          <w:tab w:val="num" w:pos="0"/>
        </w:tabs>
        <w:ind w:left="1800" w:hanging="1440"/>
      </w:pPr>
      <w:rPr>
        <w:color w:val="000000"/>
        <w:sz w:val="22"/>
        <w:szCs w:val="22"/>
        <w:lang w:val="es-ES"/>
      </w:rPr>
    </w:lvl>
  </w:abstractNum>
  <w:abstractNum w:abstractNumId="56" w15:restartNumberingAfterBreak="0">
    <w:nsid w:val="5D6B0DE0"/>
    <w:multiLevelType w:val="multilevel"/>
    <w:tmpl w:val="FD08E0E2"/>
    <w:lvl w:ilvl="0">
      <w:start w:val="10"/>
      <w:numFmt w:val="decimal"/>
      <w:lvlText w:val="%1"/>
      <w:lvlJc w:val="left"/>
      <w:pPr>
        <w:tabs>
          <w:tab w:val="num" w:pos="0"/>
        </w:tabs>
        <w:ind w:left="420" w:hanging="420"/>
      </w:pPr>
      <w:rPr>
        <w:b/>
        <w:color w:val="000000"/>
        <w:sz w:val="22"/>
        <w:szCs w:val="22"/>
        <w:lang w:val="es-ES"/>
      </w:rPr>
    </w:lvl>
    <w:lvl w:ilvl="1">
      <w:start w:val="1"/>
      <w:numFmt w:val="decimal"/>
      <w:lvlText w:val="%1.%2"/>
      <w:lvlJc w:val="left"/>
      <w:pPr>
        <w:tabs>
          <w:tab w:val="num" w:pos="0"/>
        </w:tabs>
        <w:ind w:left="1620" w:hanging="420"/>
      </w:pPr>
      <w:rPr>
        <w:b/>
        <w:color w:val="000000"/>
        <w:sz w:val="22"/>
        <w:szCs w:val="22"/>
        <w:lang w:val="es-ES"/>
      </w:rPr>
    </w:lvl>
    <w:lvl w:ilvl="2">
      <w:start w:val="1"/>
      <w:numFmt w:val="decimal"/>
      <w:lvlText w:val="%1.%2.%3"/>
      <w:lvlJc w:val="left"/>
      <w:pPr>
        <w:tabs>
          <w:tab w:val="num" w:pos="0"/>
        </w:tabs>
        <w:ind w:left="3120" w:hanging="720"/>
      </w:pPr>
      <w:rPr>
        <w:b/>
        <w:color w:val="000000"/>
        <w:sz w:val="22"/>
        <w:szCs w:val="22"/>
        <w:lang w:val="es-ES"/>
      </w:rPr>
    </w:lvl>
    <w:lvl w:ilvl="3">
      <w:start w:val="1"/>
      <w:numFmt w:val="decimal"/>
      <w:lvlText w:val="%1.%2.%3.%4"/>
      <w:lvlJc w:val="left"/>
      <w:pPr>
        <w:tabs>
          <w:tab w:val="num" w:pos="0"/>
        </w:tabs>
        <w:ind w:left="4320" w:hanging="720"/>
      </w:pPr>
      <w:rPr>
        <w:b/>
        <w:color w:val="000000"/>
        <w:sz w:val="22"/>
        <w:szCs w:val="22"/>
        <w:lang w:val="es-ES"/>
      </w:rPr>
    </w:lvl>
    <w:lvl w:ilvl="4">
      <w:start w:val="1"/>
      <w:numFmt w:val="decimal"/>
      <w:lvlText w:val="%1.%2.%3.%4.%5"/>
      <w:lvlJc w:val="left"/>
      <w:pPr>
        <w:tabs>
          <w:tab w:val="num" w:pos="0"/>
        </w:tabs>
        <w:ind w:left="5880" w:hanging="1080"/>
      </w:pPr>
      <w:rPr>
        <w:b/>
        <w:color w:val="000000"/>
        <w:sz w:val="22"/>
        <w:szCs w:val="22"/>
        <w:lang w:val="es-ES"/>
      </w:rPr>
    </w:lvl>
    <w:lvl w:ilvl="5">
      <w:start w:val="1"/>
      <w:numFmt w:val="decimal"/>
      <w:lvlText w:val="%1.%2.%3.%4.%5.%6"/>
      <w:lvlJc w:val="left"/>
      <w:pPr>
        <w:tabs>
          <w:tab w:val="num" w:pos="0"/>
        </w:tabs>
        <w:ind w:left="7080" w:hanging="1080"/>
      </w:pPr>
      <w:rPr>
        <w:b/>
        <w:color w:val="000000"/>
        <w:sz w:val="22"/>
        <w:szCs w:val="22"/>
        <w:lang w:val="es-ES"/>
      </w:rPr>
    </w:lvl>
    <w:lvl w:ilvl="6">
      <w:start w:val="1"/>
      <w:numFmt w:val="decimal"/>
      <w:lvlText w:val="%1.%2.%3.%4.%5.%6.%7"/>
      <w:lvlJc w:val="left"/>
      <w:pPr>
        <w:tabs>
          <w:tab w:val="num" w:pos="0"/>
        </w:tabs>
        <w:ind w:left="8640" w:hanging="1440"/>
      </w:pPr>
      <w:rPr>
        <w:b/>
        <w:color w:val="000000"/>
        <w:sz w:val="22"/>
        <w:szCs w:val="22"/>
        <w:lang w:val="es-ES"/>
      </w:rPr>
    </w:lvl>
    <w:lvl w:ilvl="7">
      <w:start w:val="1"/>
      <w:numFmt w:val="decimal"/>
      <w:lvlText w:val="%1.%2.%3.%4.%5.%6.%7.%8"/>
      <w:lvlJc w:val="left"/>
      <w:pPr>
        <w:tabs>
          <w:tab w:val="num" w:pos="0"/>
        </w:tabs>
        <w:ind w:left="9840" w:hanging="1440"/>
      </w:pPr>
      <w:rPr>
        <w:b/>
        <w:color w:val="000000"/>
        <w:sz w:val="22"/>
        <w:szCs w:val="22"/>
        <w:lang w:val="es-ES"/>
      </w:rPr>
    </w:lvl>
    <w:lvl w:ilvl="8">
      <w:start w:val="1"/>
      <w:numFmt w:val="decimal"/>
      <w:lvlText w:val="%1.%2.%3.%4.%5.%6.%7.%8.%9"/>
      <w:lvlJc w:val="left"/>
      <w:pPr>
        <w:tabs>
          <w:tab w:val="num" w:pos="0"/>
        </w:tabs>
        <w:ind w:left="11400" w:hanging="1800"/>
      </w:pPr>
      <w:rPr>
        <w:b/>
        <w:color w:val="000000"/>
        <w:sz w:val="22"/>
        <w:szCs w:val="22"/>
        <w:lang w:val="es-ES"/>
      </w:rPr>
    </w:lvl>
  </w:abstractNum>
  <w:abstractNum w:abstractNumId="57" w15:restartNumberingAfterBreak="0">
    <w:nsid w:val="60072D6E"/>
    <w:multiLevelType w:val="multilevel"/>
    <w:tmpl w:val="0BAC065A"/>
    <w:lvl w:ilvl="0">
      <w:start w:val="5"/>
      <w:numFmt w:val="decimal"/>
      <w:lvlText w:val="%1"/>
      <w:lvlJc w:val="left"/>
      <w:pPr>
        <w:tabs>
          <w:tab w:val="num" w:pos="0"/>
        </w:tabs>
        <w:ind w:left="360" w:hanging="360"/>
      </w:pPr>
      <w:rPr>
        <w:color w:val="000000"/>
        <w:sz w:val="22"/>
        <w:szCs w:val="22"/>
        <w:lang w:val="es-UY"/>
      </w:rPr>
    </w:lvl>
    <w:lvl w:ilvl="1">
      <w:start w:val="1"/>
      <w:numFmt w:val="decimal"/>
      <w:lvlText w:val="%1.%2"/>
      <w:lvlJc w:val="left"/>
      <w:pPr>
        <w:tabs>
          <w:tab w:val="num" w:pos="0"/>
        </w:tabs>
        <w:ind w:left="1211" w:hanging="360"/>
      </w:pPr>
      <w:rPr>
        <w:color w:val="000000"/>
        <w:sz w:val="22"/>
        <w:szCs w:val="22"/>
        <w:lang w:val="es-UY"/>
      </w:rPr>
    </w:lvl>
    <w:lvl w:ilvl="2">
      <w:start w:val="1"/>
      <w:numFmt w:val="decimal"/>
      <w:lvlText w:val="%1.%2.%3"/>
      <w:lvlJc w:val="left"/>
      <w:pPr>
        <w:tabs>
          <w:tab w:val="num" w:pos="0"/>
        </w:tabs>
        <w:ind w:left="2422" w:hanging="720"/>
      </w:pPr>
      <w:rPr>
        <w:color w:val="000000"/>
        <w:sz w:val="22"/>
        <w:szCs w:val="22"/>
        <w:lang w:val="es-UY"/>
      </w:rPr>
    </w:lvl>
    <w:lvl w:ilvl="3">
      <w:start w:val="1"/>
      <w:numFmt w:val="decimal"/>
      <w:lvlText w:val="%1.%2.%3.%4"/>
      <w:lvlJc w:val="left"/>
      <w:pPr>
        <w:tabs>
          <w:tab w:val="num" w:pos="0"/>
        </w:tabs>
        <w:ind w:left="3273" w:hanging="720"/>
      </w:pPr>
      <w:rPr>
        <w:color w:val="000000"/>
        <w:sz w:val="22"/>
        <w:szCs w:val="22"/>
        <w:lang w:val="es-UY"/>
      </w:rPr>
    </w:lvl>
    <w:lvl w:ilvl="4">
      <w:start w:val="1"/>
      <w:numFmt w:val="decimal"/>
      <w:lvlText w:val="%1.%2.%3.%4.%5"/>
      <w:lvlJc w:val="left"/>
      <w:pPr>
        <w:tabs>
          <w:tab w:val="num" w:pos="0"/>
        </w:tabs>
        <w:ind w:left="4484" w:hanging="1080"/>
      </w:pPr>
      <w:rPr>
        <w:color w:val="000000"/>
        <w:sz w:val="22"/>
        <w:szCs w:val="22"/>
        <w:lang w:val="es-UY"/>
      </w:rPr>
    </w:lvl>
    <w:lvl w:ilvl="5">
      <w:start w:val="1"/>
      <w:numFmt w:val="decimal"/>
      <w:lvlText w:val="%1.%2.%3.%4.%5.%6"/>
      <w:lvlJc w:val="left"/>
      <w:pPr>
        <w:tabs>
          <w:tab w:val="num" w:pos="0"/>
        </w:tabs>
        <w:ind w:left="5335" w:hanging="1080"/>
      </w:pPr>
      <w:rPr>
        <w:color w:val="000000"/>
        <w:sz w:val="22"/>
        <w:szCs w:val="22"/>
        <w:lang w:val="es-UY"/>
      </w:rPr>
    </w:lvl>
    <w:lvl w:ilvl="6">
      <w:start w:val="1"/>
      <w:numFmt w:val="decimal"/>
      <w:lvlText w:val="%1.%2.%3.%4.%5.%6.%7"/>
      <w:lvlJc w:val="left"/>
      <w:pPr>
        <w:tabs>
          <w:tab w:val="num" w:pos="0"/>
        </w:tabs>
        <w:ind w:left="6546" w:hanging="1440"/>
      </w:pPr>
      <w:rPr>
        <w:color w:val="000000"/>
        <w:sz w:val="22"/>
        <w:szCs w:val="22"/>
        <w:lang w:val="es-UY"/>
      </w:rPr>
    </w:lvl>
    <w:lvl w:ilvl="7">
      <w:start w:val="1"/>
      <w:numFmt w:val="decimal"/>
      <w:lvlText w:val="%1.%2.%3.%4.%5.%6.%7.%8"/>
      <w:lvlJc w:val="left"/>
      <w:pPr>
        <w:tabs>
          <w:tab w:val="num" w:pos="0"/>
        </w:tabs>
        <w:ind w:left="7397" w:hanging="1440"/>
      </w:pPr>
      <w:rPr>
        <w:color w:val="000000"/>
        <w:sz w:val="22"/>
        <w:szCs w:val="22"/>
        <w:lang w:val="es-UY"/>
      </w:rPr>
    </w:lvl>
    <w:lvl w:ilvl="8">
      <w:start w:val="1"/>
      <w:numFmt w:val="decimal"/>
      <w:lvlText w:val="%1.%2.%3.%4.%5.%6.%7.%8.%9"/>
      <w:lvlJc w:val="left"/>
      <w:pPr>
        <w:tabs>
          <w:tab w:val="num" w:pos="0"/>
        </w:tabs>
        <w:ind w:left="8608" w:hanging="1800"/>
      </w:pPr>
      <w:rPr>
        <w:color w:val="000000"/>
        <w:sz w:val="22"/>
        <w:szCs w:val="22"/>
        <w:lang w:val="es-UY"/>
      </w:rPr>
    </w:lvl>
  </w:abstractNum>
  <w:abstractNum w:abstractNumId="58" w15:restartNumberingAfterBreak="0">
    <w:nsid w:val="61442B74"/>
    <w:multiLevelType w:val="multilevel"/>
    <w:tmpl w:val="711E1DB0"/>
    <w:lvl w:ilvl="0">
      <w:start w:val="1"/>
      <w:numFmt w:val="lowerLetter"/>
      <w:lvlText w:val="%1)"/>
      <w:lvlJc w:val="left"/>
      <w:pPr>
        <w:tabs>
          <w:tab w:val="num" w:pos="0"/>
        </w:tabs>
        <w:ind w:left="779" w:hanging="360"/>
      </w:pPr>
      <w:rPr>
        <w:sz w:val="22"/>
        <w:szCs w:val="22"/>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15:restartNumberingAfterBreak="0">
    <w:nsid w:val="63B904A7"/>
    <w:multiLevelType w:val="multilevel"/>
    <w:tmpl w:val="74184D48"/>
    <w:lvl w:ilvl="0">
      <w:start w:val="3"/>
      <w:numFmt w:val="decimal"/>
      <w:lvlText w:val="%1"/>
      <w:lvlJc w:val="left"/>
      <w:pPr>
        <w:tabs>
          <w:tab w:val="num" w:pos="0"/>
        </w:tabs>
        <w:ind w:left="360" w:hanging="360"/>
      </w:pPr>
      <w:rPr>
        <w:sz w:val="22"/>
        <w:szCs w:val="22"/>
        <w:lang w:val="es-ES"/>
      </w:rPr>
    </w:lvl>
    <w:lvl w:ilvl="1">
      <w:start w:val="1"/>
      <w:numFmt w:val="decimal"/>
      <w:lvlText w:val="%1.%2"/>
      <w:lvlJc w:val="left"/>
      <w:pPr>
        <w:tabs>
          <w:tab w:val="num" w:pos="0"/>
        </w:tabs>
        <w:ind w:left="720" w:hanging="360"/>
      </w:pPr>
      <w:rPr>
        <w:b/>
        <w:sz w:val="22"/>
        <w:szCs w:val="22"/>
        <w:lang w:val="es-ES"/>
      </w:rPr>
    </w:lvl>
    <w:lvl w:ilvl="2">
      <w:start w:val="1"/>
      <w:numFmt w:val="decimal"/>
      <w:lvlText w:val="%1.%2.%3"/>
      <w:lvlJc w:val="left"/>
      <w:pPr>
        <w:tabs>
          <w:tab w:val="num" w:pos="0"/>
        </w:tabs>
        <w:ind w:left="1440" w:hanging="720"/>
      </w:pPr>
      <w:rPr>
        <w:sz w:val="22"/>
        <w:szCs w:val="22"/>
        <w:lang w:val="es-ES"/>
      </w:rPr>
    </w:lvl>
    <w:lvl w:ilvl="3">
      <w:start w:val="1"/>
      <w:numFmt w:val="lowerLetter"/>
      <w:lvlText w:val="%4)"/>
      <w:lvlJc w:val="left"/>
      <w:pPr>
        <w:tabs>
          <w:tab w:val="num" w:pos="0"/>
        </w:tabs>
        <w:ind w:left="2160" w:hanging="1080"/>
      </w:pPr>
      <w:rPr>
        <w:sz w:val="22"/>
        <w:szCs w:val="22"/>
        <w:lang w:val="es-ES"/>
      </w:rPr>
    </w:lvl>
    <w:lvl w:ilvl="4">
      <w:start w:val="1"/>
      <w:numFmt w:val="decimal"/>
      <w:lvlText w:val="%1.%2.%3.%4.%5"/>
      <w:lvlJc w:val="left"/>
      <w:pPr>
        <w:tabs>
          <w:tab w:val="num" w:pos="0"/>
        </w:tabs>
        <w:ind w:left="2520" w:hanging="1080"/>
      </w:pPr>
      <w:rPr>
        <w:sz w:val="22"/>
        <w:szCs w:val="22"/>
        <w:lang w:val="es-ES"/>
      </w:rPr>
    </w:lvl>
    <w:lvl w:ilvl="5">
      <w:start w:val="1"/>
      <w:numFmt w:val="decimal"/>
      <w:lvlText w:val="%1.%2.%3.%4.%5.%6"/>
      <w:lvlJc w:val="left"/>
      <w:pPr>
        <w:tabs>
          <w:tab w:val="num" w:pos="0"/>
        </w:tabs>
        <w:ind w:left="3240" w:hanging="1440"/>
      </w:pPr>
      <w:rPr>
        <w:sz w:val="22"/>
        <w:szCs w:val="22"/>
        <w:lang w:val="es-ES"/>
      </w:rPr>
    </w:lvl>
    <w:lvl w:ilvl="6">
      <w:start w:val="1"/>
      <w:numFmt w:val="decimal"/>
      <w:lvlText w:val="%1.%2.%3.%4.%5.%6.%7"/>
      <w:lvlJc w:val="left"/>
      <w:pPr>
        <w:tabs>
          <w:tab w:val="num" w:pos="0"/>
        </w:tabs>
        <w:ind w:left="3600" w:hanging="1440"/>
      </w:pPr>
      <w:rPr>
        <w:sz w:val="22"/>
        <w:szCs w:val="22"/>
        <w:lang w:val="es-ES"/>
      </w:rPr>
    </w:lvl>
    <w:lvl w:ilvl="7">
      <w:start w:val="1"/>
      <w:numFmt w:val="decimal"/>
      <w:lvlText w:val="%1.%2.%3.%4.%5.%6.%7.%8"/>
      <w:lvlJc w:val="left"/>
      <w:pPr>
        <w:tabs>
          <w:tab w:val="num" w:pos="0"/>
        </w:tabs>
        <w:ind w:left="4320" w:hanging="1800"/>
      </w:pPr>
      <w:rPr>
        <w:sz w:val="22"/>
        <w:szCs w:val="22"/>
        <w:lang w:val="es-ES"/>
      </w:rPr>
    </w:lvl>
    <w:lvl w:ilvl="8">
      <w:start w:val="1"/>
      <w:numFmt w:val="decimal"/>
      <w:lvlText w:val="%1.%2.%3.%4.%5.%6.%7.%8.%9"/>
      <w:lvlJc w:val="left"/>
      <w:pPr>
        <w:tabs>
          <w:tab w:val="num" w:pos="0"/>
        </w:tabs>
        <w:ind w:left="4680" w:hanging="1800"/>
      </w:pPr>
      <w:rPr>
        <w:sz w:val="22"/>
        <w:szCs w:val="22"/>
        <w:lang w:val="es-ES"/>
      </w:rPr>
    </w:lvl>
  </w:abstractNum>
  <w:abstractNum w:abstractNumId="60" w15:restartNumberingAfterBreak="0">
    <w:nsid w:val="63C558AA"/>
    <w:multiLevelType w:val="multilevel"/>
    <w:tmpl w:val="6458D95A"/>
    <w:lvl w:ilvl="0">
      <w:start w:val="1"/>
      <w:numFmt w:val="upperLetter"/>
      <w:lvlText w:val="%1."/>
      <w:lvlJc w:val="left"/>
      <w:pPr>
        <w:tabs>
          <w:tab w:val="num" w:pos="709"/>
        </w:tabs>
        <w:ind w:left="720" w:hanging="360"/>
      </w:pPr>
      <w:rPr>
        <w:rFonts w:eastAsia="Palatino Linotype"/>
        <w:spacing w:val="-1"/>
        <w:sz w:val="22"/>
        <w:szCs w:val="22"/>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644D19A9"/>
    <w:multiLevelType w:val="multilevel"/>
    <w:tmpl w:val="27207EF2"/>
    <w:lvl w:ilvl="0">
      <w:start w:val="1"/>
      <w:numFmt w:val="decimal"/>
      <w:lvlText w:val="%1."/>
      <w:lvlJc w:val="left"/>
      <w:pPr>
        <w:tabs>
          <w:tab w:val="num" w:pos="0"/>
        </w:tabs>
        <w:ind w:left="720" w:hanging="360"/>
      </w:pPr>
      <w:rPr>
        <w:color w:val="000000"/>
      </w:rPr>
    </w:lvl>
    <w:lvl w:ilvl="1">
      <w:start w:val="1"/>
      <w:numFmt w:val="decimal"/>
      <w:lvlText w:val="%1.%2"/>
      <w:lvlJc w:val="left"/>
      <w:pPr>
        <w:tabs>
          <w:tab w:val="num" w:pos="0"/>
        </w:tabs>
        <w:ind w:left="720" w:hanging="360"/>
      </w:pPr>
      <w:rPr>
        <w:sz w:val="22"/>
        <w:szCs w:val="22"/>
        <w:lang w:val="es-ES"/>
      </w:rPr>
    </w:lvl>
    <w:lvl w:ilvl="2">
      <w:start w:val="1"/>
      <w:numFmt w:val="decimal"/>
      <w:lvlText w:val="%1.%2.%3"/>
      <w:lvlJc w:val="left"/>
      <w:pPr>
        <w:tabs>
          <w:tab w:val="num" w:pos="0"/>
        </w:tabs>
        <w:ind w:left="1080" w:hanging="720"/>
      </w:pPr>
      <w:rPr>
        <w:sz w:val="22"/>
        <w:szCs w:val="22"/>
        <w:lang w:val="es-ES"/>
      </w:rPr>
    </w:lvl>
    <w:lvl w:ilvl="3">
      <w:start w:val="1"/>
      <w:numFmt w:val="lowerLetter"/>
      <w:lvlText w:val="%4."/>
      <w:lvlJc w:val="left"/>
      <w:pPr>
        <w:tabs>
          <w:tab w:val="num" w:pos="0"/>
        </w:tabs>
        <w:ind w:left="1080" w:hanging="720"/>
      </w:pPr>
      <w:rPr>
        <w:sz w:val="22"/>
        <w:szCs w:val="22"/>
        <w:lang w:val="es-ES"/>
      </w:rPr>
    </w:lvl>
    <w:lvl w:ilvl="4">
      <w:start w:val="1"/>
      <w:numFmt w:val="decimal"/>
      <w:lvlText w:val="%1.%2.%3.%4.%5"/>
      <w:lvlJc w:val="left"/>
      <w:pPr>
        <w:tabs>
          <w:tab w:val="num" w:pos="0"/>
        </w:tabs>
        <w:ind w:left="1440" w:hanging="1080"/>
      </w:pPr>
      <w:rPr>
        <w:sz w:val="22"/>
        <w:szCs w:val="22"/>
        <w:lang w:val="es-ES"/>
      </w:rPr>
    </w:lvl>
    <w:lvl w:ilvl="5">
      <w:start w:val="1"/>
      <w:numFmt w:val="decimal"/>
      <w:lvlText w:val="%1.%2.%3.%4.%5.%6"/>
      <w:lvlJc w:val="left"/>
      <w:pPr>
        <w:tabs>
          <w:tab w:val="num" w:pos="0"/>
        </w:tabs>
        <w:ind w:left="1440" w:hanging="1080"/>
      </w:pPr>
      <w:rPr>
        <w:sz w:val="22"/>
        <w:szCs w:val="22"/>
        <w:lang w:val="es-ES"/>
      </w:rPr>
    </w:lvl>
    <w:lvl w:ilvl="6">
      <w:start w:val="1"/>
      <w:numFmt w:val="decimal"/>
      <w:lvlText w:val="%1.%2.%3.%4.%5.%6.%7"/>
      <w:lvlJc w:val="left"/>
      <w:pPr>
        <w:tabs>
          <w:tab w:val="num" w:pos="0"/>
        </w:tabs>
        <w:ind w:left="1800" w:hanging="1440"/>
      </w:pPr>
      <w:rPr>
        <w:sz w:val="22"/>
        <w:szCs w:val="22"/>
        <w:lang w:val="es-ES"/>
      </w:rPr>
    </w:lvl>
    <w:lvl w:ilvl="7">
      <w:start w:val="1"/>
      <w:numFmt w:val="decimal"/>
      <w:lvlText w:val="%1.%2.%3.%4.%5.%6.%7.%8"/>
      <w:lvlJc w:val="left"/>
      <w:pPr>
        <w:tabs>
          <w:tab w:val="num" w:pos="0"/>
        </w:tabs>
        <w:ind w:left="1800" w:hanging="1440"/>
      </w:pPr>
      <w:rPr>
        <w:sz w:val="22"/>
        <w:szCs w:val="22"/>
        <w:lang w:val="es-ES"/>
      </w:rPr>
    </w:lvl>
    <w:lvl w:ilvl="8">
      <w:start w:val="1"/>
      <w:numFmt w:val="decimal"/>
      <w:lvlText w:val="%1.%2.%3.%4.%5.%6.%7.%8.%9"/>
      <w:lvlJc w:val="left"/>
      <w:pPr>
        <w:tabs>
          <w:tab w:val="num" w:pos="0"/>
        </w:tabs>
        <w:ind w:left="1800" w:hanging="1440"/>
      </w:pPr>
      <w:rPr>
        <w:sz w:val="22"/>
        <w:szCs w:val="22"/>
        <w:lang w:val="es-ES"/>
      </w:rPr>
    </w:lvl>
  </w:abstractNum>
  <w:abstractNum w:abstractNumId="62" w15:restartNumberingAfterBreak="0">
    <w:nsid w:val="64D3523C"/>
    <w:multiLevelType w:val="multilevel"/>
    <w:tmpl w:val="15E41AA2"/>
    <w:lvl w:ilvl="0">
      <w:start w:val="1"/>
      <w:numFmt w:val="bullet"/>
      <w:lvlText w:val=""/>
      <w:lvlJc w:val="left"/>
      <w:pPr>
        <w:tabs>
          <w:tab w:val="num" w:pos="709"/>
        </w:tabs>
        <w:ind w:left="720" w:hanging="360"/>
      </w:pPr>
      <w:rPr>
        <w:rFonts w:ascii="Symbol" w:hAnsi="Symbol" w:cs="Symbol" w:hint="default"/>
        <w:sz w:val="22"/>
        <w:szCs w:val="22"/>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659B4964"/>
    <w:multiLevelType w:val="multilevel"/>
    <w:tmpl w:val="A4E09CC2"/>
    <w:lvl w:ilvl="0">
      <w:start w:val="1"/>
      <w:numFmt w:val="upperLetter"/>
      <w:lvlText w:val="%1."/>
      <w:lvlJc w:val="left"/>
      <w:pPr>
        <w:tabs>
          <w:tab w:val="num" w:pos="709"/>
        </w:tabs>
        <w:ind w:left="720" w:hanging="360"/>
      </w:pPr>
      <w:rPr>
        <w:rFonts w:eastAsia="Palatino Linotype"/>
        <w:spacing w:val="-1"/>
        <w:sz w:val="22"/>
        <w:szCs w:val="22"/>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69360A7E"/>
    <w:multiLevelType w:val="multilevel"/>
    <w:tmpl w:val="84C6297A"/>
    <w:lvl w:ilvl="0">
      <w:start w:val="1"/>
      <w:numFmt w:val="lowerLetter"/>
      <w:lvlText w:val="%1)"/>
      <w:lvlJc w:val="left"/>
      <w:pPr>
        <w:tabs>
          <w:tab w:val="num" w:pos="0"/>
        </w:tabs>
        <w:ind w:left="720" w:hanging="360"/>
      </w:pPr>
      <w:rPr>
        <w:rFonts w:eastAsia="Palatino Linotype"/>
        <w:spacing w:val="-1"/>
        <w:sz w:val="22"/>
        <w:szCs w:val="22"/>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6B323A95"/>
    <w:multiLevelType w:val="multilevel"/>
    <w:tmpl w:val="63B23AAA"/>
    <w:lvl w:ilvl="0">
      <w:numFmt w:val="bullet"/>
      <w:pStyle w:val="Listaconvietas3"/>
      <w:lvlText w:val=""/>
      <w:lvlJc w:val="left"/>
      <w:pPr>
        <w:tabs>
          <w:tab w:val="num" w:pos="0"/>
        </w:tabs>
        <w:ind w:left="360" w:hanging="360"/>
      </w:pPr>
      <w:rPr>
        <w:rFonts w:ascii="Symbol" w:hAnsi="Symbol" w:cs="Symbol" w:hint="default"/>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66" w15:restartNumberingAfterBreak="0">
    <w:nsid w:val="6C9149D2"/>
    <w:multiLevelType w:val="multilevel"/>
    <w:tmpl w:val="7FFC58FA"/>
    <w:lvl w:ilvl="0">
      <w:start w:val="1"/>
      <w:numFmt w:val="lowerLetter"/>
      <w:lvlText w:val="%1)"/>
      <w:lvlJc w:val="left"/>
      <w:pPr>
        <w:tabs>
          <w:tab w:val="num" w:pos="0"/>
        </w:tabs>
        <w:ind w:left="996" w:hanging="570"/>
      </w:pPr>
      <w:rPr>
        <w:b/>
        <w:sz w:val="22"/>
        <w:szCs w:val="22"/>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15:restartNumberingAfterBreak="0">
    <w:nsid w:val="6FB83372"/>
    <w:multiLevelType w:val="multilevel"/>
    <w:tmpl w:val="C936A742"/>
    <w:lvl w:ilvl="0">
      <w:start w:val="1"/>
      <w:numFmt w:val="lowerLetter"/>
      <w:lvlText w:val="%1)"/>
      <w:lvlJc w:val="left"/>
      <w:pPr>
        <w:tabs>
          <w:tab w:val="num" w:pos="0"/>
        </w:tabs>
        <w:ind w:left="720" w:hanging="360"/>
      </w:pPr>
      <w:rPr>
        <w:strike w:val="0"/>
        <w:dstrike w:val="0"/>
        <w:sz w:val="22"/>
        <w:szCs w:val="22"/>
        <w:lang w:val="es-ES" w:eastAsia="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15:restartNumberingAfterBreak="0">
    <w:nsid w:val="718C555F"/>
    <w:multiLevelType w:val="multilevel"/>
    <w:tmpl w:val="A56EDED2"/>
    <w:lvl w:ilvl="0">
      <w:start w:val="1"/>
      <w:numFmt w:val="lowerLetter"/>
      <w:lvlText w:val="%1)"/>
      <w:lvlJc w:val="left"/>
      <w:pPr>
        <w:tabs>
          <w:tab w:val="num" w:pos="0"/>
        </w:tabs>
        <w:ind w:left="1440" w:hanging="360"/>
      </w:pPr>
      <w:rPr>
        <w:color w:val="000000"/>
        <w:sz w:val="22"/>
        <w:szCs w:val="22"/>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15:restartNumberingAfterBreak="0">
    <w:nsid w:val="72B858F9"/>
    <w:multiLevelType w:val="multilevel"/>
    <w:tmpl w:val="06E49AF6"/>
    <w:lvl w:ilvl="0">
      <w:start w:val="1"/>
      <w:numFmt w:val="lowerLetter"/>
      <w:lvlText w:val="%1)"/>
      <w:lvlJc w:val="left"/>
      <w:pPr>
        <w:tabs>
          <w:tab w:val="num" w:pos="0"/>
        </w:tabs>
        <w:ind w:left="360" w:hanging="360"/>
      </w:pPr>
    </w:lvl>
    <w:lvl w:ilvl="1">
      <w:start w:val="1"/>
      <w:numFmt w:val="lowerRoman"/>
      <w:lvlText w:val="%2."/>
      <w:lvlJc w:val="right"/>
      <w:pPr>
        <w:tabs>
          <w:tab w:val="num" w:pos="0"/>
        </w:tabs>
        <w:ind w:left="360" w:hanging="360"/>
      </w:pPr>
    </w:lvl>
    <w:lvl w:ilvl="2">
      <w:start w:val="1"/>
      <w:numFmt w:val="lowerLetter"/>
      <w:lvlText w:val="%3)"/>
      <w:lvlJc w:val="left"/>
      <w:pPr>
        <w:tabs>
          <w:tab w:val="num" w:pos="0"/>
        </w:tabs>
        <w:ind w:left="720" w:hanging="720"/>
      </w:pPr>
      <w:rPr>
        <w:b w:val="0"/>
        <w:sz w:val="22"/>
        <w:szCs w:val="22"/>
      </w:r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70" w15:restartNumberingAfterBreak="0">
    <w:nsid w:val="792601E7"/>
    <w:multiLevelType w:val="multilevel"/>
    <w:tmpl w:val="394EB99A"/>
    <w:lvl w:ilvl="0">
      <w:start w:val="13"/>
      <w:numFmt w:val="decimal"/>
      <w:lvlText w:val="%1"/>
      <w:lvlJc w:val="left"/>
      <w:pPr>
        <w:tabs>
          <w:tab w:val="num" w:pos="0"/>
        </w:tabs>
        <w:ind w:left="420" w:hanging="420"/>
      </w:pPr>
      <w:rPr>
        <w:sz w:val="22"/>
        <w:szCs w:val="22"/>
        <w:lang w:val="es-ES"/>
      </w:rPr>
    </w:lvl>
    <w:lvl w:ilvl="1">
      <w:start w:val="1"/>
      <w:numFmt w:val="decimal"/>
      <w:lvlText w:val="%1.%2"/>
      <w:lvlJc w:val="left"/>
      <w:pPr>
        <w:tabs>
          <w:tab w:val="num" w:pos="0"/>
        </w:tabs>
        <w:ind w:left="420" w:hanging="420"/>
      </w:pPr>
      <w:rPr>
        <w:sz w:val="22"/>
        <w:szCs w:val="22"/>
        <w:lang w:val="es-ES"/>
      </w:rPr>
    </w:lvl>
    <w:lvl w:ilvl="2">
      <w:start w:val="1"/>
      <w:numFmt w:val="decimal"/>
      <w:lvlText w:val="%1.%2.%3"/>
      <w:lvlJc w:val="left"/>
      <w:pPr>
        <w:tabs>
          <w:tab w:val="num" w:pos="0"/>
        </w:tabs>
        <w:ind w:left="720" w:hanging="720"/>
      </w:pPr>
      <w:rPr>
        <w:sz w:val="22"/>
        <w:szCs w:val="22"/>
        <w:lang w:val="es-ES"/>
      </w:rPr>
    </w:lvl>
    <w:lvl w:ilvl="3">
      <w:start w:val="1"/>
      <w:numFmt w:val="decimal"/>
      <w:lvlText w:val="%1.%2.%3.%4"/>
      <w:lvlJc w:val="left"/>
      <w:pPr>
        <w:tabs>
          <w:tab w:val="num" w:pos="0"/>
        </w:tabs>
        <w:ind w:left="720" w:hanging="720"/>
      </w:pPr>
      <w:rPr>
        <w:sz w:val="22"/>
        <w:szCs w:val="22"/>
        <w:lang w:val="es-ES"/>
      </w:rPr>
    </w:lvl>
    <w:lvl w:ilvl="4">
      <w:start w:val="1"/>
      <w:numFmt w:val="decimal"/>
      <w:lvlText w:val="%1.%2.%3.%4.%5"/>
      <w:lvlJc w:val="left"/>
      <w:pPr>
        <w:tabs>
          <w:tab w:val="num" w:pos="0"/>
        </w:tabs>
        <w:ind w:left="1080" w:hanging="1080"/>
      </w:pPr>
      <w:rPr>
        <w:sz w:val="22"/>
        <w:szCs w:val="22"/>
        <w:lang w:val="es-ES"/>
      </w:rPr>
    </w:lvl>
    <w:lvl w:ilvl="5">
      <w:start w:val="1"/>
      <w:numFmt w:val="decimal"/>
      <w:lvlText w:val="%1.%2.%3.%4.%5.%6"/>
      <w:lvlJc w:val="left"/>
      <w:pPr>
        <w:tabs>
          <w:tab w:val="num" w:pos="0"/>
        </w:tabs>
        <w:ind w:left="1080" w:hanging="1080"/>
      </w:pPr>
      <w:rPr>
        <w:sz w:val="22"/>
        <w:szCs w:val="22"/>
        <w:lang w:val="es-ES"/>
      </w:rPr>
    </w:lvl>
    <w:lvl w:ilvl="6">
      <w:start w:val="1"/>
      <w:numFmt w:val="decimal"/>
      <w:lvlText w:val="%1.%2.%3.%4.%5.%6.%7"/>
      <w:lvlJc w:val="left"/>
      <w:pPr>
        <w:tabs>
          <w:tab w:val="num" w:pos="0"/>
        </w:tabs>
        <w:ind w:left="1440" w:hanging="1440"/>
      </w:pPr>
      <w:rPr>
        <w:sz w:val="22"/>
        <w:szCs w:val="22"/>
        <w:lang w:val="es-ES"/>
      </w:rPr>
    </w:lvl>
    <w:lvl w:ilvl="7">
      <w:start w:val="1"/>
      <w:numFmt w:val="decimal"/>
      <w:lvlText w:val="%1.%2.%3.%4.%5.%6.%7.%8"/>
      <w:lvlJc w:val="left"/>
      <w:pPr>
        <w:tabs>
          <w:tab w:val="num" w:pos="0"/>
        </w:tabs>
        <w:ind w:left="1440" w:hanging="1440"/>
      </w:pPr>
      <w:rPr>
        <w:sz w:val="22"/>
        <w:szCs w:val="22"/>
        <w:lang w:val="es-ES"/>
      </w:rPr>
    </w:lvl>
    <w:lvl w:ilvl="8">
      <w:start w:val="1"/>
      <w:numFmt w:val="decimal"/>
      <w:lvlText w:val="%1.%2.%3.%4.%5.%6.%7.%8.%9"/>
      <w:lvlJc w:val="left"/>
      <w:pPr>
        <w:tabs>
          <w:tab w:val="num" w:pos="0"/>
        </w:tabs>
        <w:ind w:left="1440" w:hanging="1440"/>
      </w:pPr>
      <w:rPr>
        <w:sz w:val="22"/>
        <w:szCs w:val="22"/>
        <w:lang w:val="es-ES"/>
      </w:rPr>
    </w:lvl>
  </w:abstractNum>
  <w:abstractNum w:abstractNumId="71" w15:restartNumberingAfterBreak="0">
    <w:nsid w:val="7A3B77B4"/>
    <w:multiLevelType w:val="multilevel"/>
    <w:tmpl w:val="15B89534"/>
    <w:lvl w:ilvl="0">
      <w:start w:val="1"/>
      <w:numFmt w:val="lowerLetter"/>
      <w:lvlText w:val="%1)"/>
      <w:lvlJc w:val="left"/>
      <w:pPr>
        <w:tabs>
          <w:tab w:val="num" w:pos="1068"/>
        </w:tabs>
        <w:ind w:left="1068" w:hanging="360"/>
      </w:pPr>
      <w:rPr>
        <w:b/>
      </w:rPr>
    </w:lvl>
    <w:lvl w:ilvl="1">
      <w:start w:val="1"/>
      <w:numFmt w:val="lowerLetter"/>
      <w:lvlText w:val="%2."/>
      <w:lvlJc w:val="left"/>
      <w:pPr>
        <w:tabs>
          <w:tab w:val="num" w:pos="2062"/>
        </w:tabs>
        <w:ind w:left="2062" w:hanging="360"/>
      </w:pPr>
    </w:lvl>
    <w:lvl w:ilvl="2">
      <w:start w:val="1"/>
      <w:numFmt w:val="lowerRoman"/>
      <w:lvlText w:val="%3."/>
      <w:lvlJc w:val="right"/>
      <w:pPr>
        <w:tabs>
          <w:tab w:val="num" w:pos="2508"/>
        </w:tabs>
        <w:ind w:left="2508" w:hanging="180"/>
      </w:pPr>
    </w:lvl>
    <w:lvl w:ilvl="3">
      <w:start w:val="1"/>
      <w:numFmt w:val="decimal"/>
      <w:lvlText w:val="%4."/>
      <w:lvlJc w:val="left"/>
      <w:pPr>
        <w:tabs>
          <w:tab w:val="num" w:pos="3228"/>
        </w:tabs>
        <w:ind w:left="3228" w:hanging="360"/>
      </w:pPr>
    </w:lvl>
    <w:lvl w:ilvl="4">
      <w:start w:val="1"/>
      <w:numFmt w:val="lowerLetter"/>
      <w:lvlText w:val="%5."/>
      <w:lvlJc w:val="left"/>
      <w:pPr>
        <w:tabs>
          <w:tab w:val="num" w:pos="3948"/>
        </w:tabs>
        <w:ind w:left="3948" w:hanging="360"/>
      </w:pPr>
    </w:lvl>
    <w:lvl w:ilvl="5">
      <w:start w:val="1"/>
      <w:numFmt w:val="lowerRoman"/>
      <w:lvlText w:val="%6."/>
      <w:lvlJc w:val="right"/>
      <w:pPr>
        <w:tabs>
          <w:tab w:val="num" w:pos="4668"/>
        </w:tabs>
        <w:ind w:left="4668" w:hanging="180"/>
      </w:pPr>
    </w:lvl>
    <w:lvl w:ilvl="6">
      <w:start w:val="1"/>
      <w:numFmt w:val="decimal"/>
      <w:lvlText w:val="%7."/>
      <w:lvlJc w:val="left"/>
      <w:pPr>
        <w:tabs>
          <w:tab w:val="num" w:pos="5388"/>
        </w:tabs>
        <w:ind w:left="5388" w:hanging="360"/>
      </w:pPr>
    </w:lvl>
    <w:lvl w:ilvl="7">
      <w:start w:val="1"/>
      <w:numFmt w:val="lowerLetter"/>
      <w:lvlText w:val="%8."/>
      <w:lvlJc w:val="left"/>
      <w:pPr>
        <w:tabs>
          <w:tab w:val="num" w:pos="6108"/>
        </w:tabs>
        <w:ind w:left="6108" w:hanging="360"/>
      </w:pPr>
    </w:lvl>
    <w:lvl w:ilvl="8">
      <w:start w:val="1"/>
      <w:numFmt w:val="lowerRoman"/>
      <w:lvlText w:val="%9."/>
      <w:lvlJc w:val="right"/>
      <w:pPr>
        <w:tabs>
          <w:tab w:val="num" w:pos="6828"/>
        </w:tabs>
        <w:ind w:left="6828" w:hanging="180"/>
      </w:pPr>
    </w:lvl>
  </w:abstractNum>
  <w:abstractNum w:abstractNumId="72" w15:restartNumberingAfterBreak="0">
    <w:nsid w:val="7C5F10FE"/>
    <w:multiLevelType w:val="multilevel"/>
    <w:tmpl w:val="2F28959A"/>
    <w:lvl w:ilvl="0">
      <w:start w:val="1"/>
      <w:numFmt w:val="decimal"/>
      <w:pStyle w:val="sec7-clauses"/>
      <w:lvlText w:val="%1."/>
      <w:lvlJc w:val="left"/>
      <w:pPr>
        <w:tabs>
          <w:tab w:val="num" w:pos="72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7C7A1FDD"/>
    <w:multiLevelType w:val="multilevel"/>
    <w:tmpl w:val="107E1D52"/>
    <w:lvl w:ilvl="0">
      <w:start w:val="9"/>
      <w:numFmt w:val="decimal"/>
      <w:lvlText w:val="%1"/>
      <w:lvlJc w:val="left"/>
      <w:pPr>
        <w:tabs>
          <w:tab w:val="num" w:pos="0"/>
        </w:tabs>
        <w:ind w:left="645" w:hanging="645"/>
      </w:pPr>
      <w:rPr>
        <w:color w:val="000000"/>
        <w:sz w:val="22"/>
        <w:szCs w:val="22"/>
        <w:lang w:val="es-ES"/>
      </w:rPr>
    </w:lvl>
    <w:lvl w:ilvl="1">
      <w:start w:val="2"/>
      <w:numFmt w:val="decimal"/>
      <w:lvlText w:val="%1.%2"/>
      <w:lvlJc w:val="left"/>
      <w:pPr>
        <w:tabs>
          <w:tab w:val="num" w:pos="0"/>
        </w:tabs>
        <w:ind w:left="645" w:hanging="645"/>
      </w:pPr>
      <w:rPr>
        <w:color w:val="000000"/>
        <w:sz w:val="22"/>
        <w:szCs w:val="22"/>
        <w:lang w:val="es-ES"/>
      </w:rPr>
    </w:lvl>
    <w:lvl w:ilvl="2">
      <w:start w:val="2"/>
      <w:numFmt w:val="decimal"/>
      <w:lvlText w:val="%1.%2.%3"/>
      <w:lvlJc w:val="left"/>
      <w:pPr>
        <w:tabs>
          <w:tab w:val="num" w:pos="0"/>
        </w:tabs>
        <w:ind w:left="720" w:hanging="720"/>
      </w:pPr>
      <w:rPr>
        <w:color w:val="000000"/>
        <w:sz w:val="22"/>
        <w:szCs w:val="22"/>
        <w:lang w:val="es-ES"/>
      </w:rPr>
    </w:lvl>
    <w:lvl w:ilvl="3">
      <w:start w:val="4"/>
      <w:numFmt w:val="decimal"/>
      <w:lvlText w:val="%1.%2.%3.%4"/>
      <w:lvlJc w:val="left"/>
      <w:pPr>
        <w:tabs>
          <w:tab w:val="num" w:pos="0"/>
        </w:tabs>
        <w:ind w:left="720" w:hanging="720"/>
      </w:pPr>
      <w:rPr>
        <w:color w:val="000000"/>
        <w:sz w:val="22"/>
        <w:szCs w:val="22"/>
        <w:lang w:val="es-ES"/>
      </w:rPr>
    </w:lvl>
    <w:lvl w:ilvl="4">
      <w:start w:val="1"/>
      <w:numFmt w:val="decimal"/>
      <w:lvlText w:val="%1.%2.%3.%4.%5"/>
      <w:lvlJc w:val="left"/>
      <w:pPr>
        <w:tabs>
          <w:tab w:val="num" w:pos="0"/>
        </w:tabs>
        <w:ind w:left="1080" w:hanging="1080"/>
      </w:pPr>
      <w:rPr>
        <w:color w:val="000000"/>
        <w:sz w:val="22"/>
        <w:szCs w:val="22"/>
        <w:lang w:val="es-ES"/>
      </w:rPr>
    </w:lvl>
    <w:lvl w:ilvl="5">
      <w:start w:val="1"/>
      <w:numFmt w:val="decimal"/>
      <w:lvlText w:val="%1.%2.%3.%4.%5.%6"/>
      <w:lvlJc w:val="left"/>
      <w:pPr>
        <w:tabs>
          <w:tab w:val="num" w:pos="0"/>
        </w:tabs>
        <w:ind w:left="1080" w:hanging="1080"/>
      </w:pPr>
      <w:rPr>
        <w:color w:val="000000"/>
        <w:sz w:val="22"/>
        <w:szCs w:val="22"/>
        <w:lang w:val="es-ES"/>
      </w:rPr>
    </w:lvl>
    <w:lvl w:ilvl="6">
      <w:start w:val="1"/>
      <w:numFmt w:val="decimal"/>
      <w:lvlText w:val="%1.%2.%3.%4.%5.%6.%7"/>
      <w:lvlJc w:val="left"/>
      <w:pPr>
        <w:tabs>
          <w:tab w:val="num" w:pos="0"/>
        </w:tabs>
        <w:ind w:left="1440" w:hanging="1440"/>
      </w:pPr>
      <w:rPr>
        <w:color w:val="000000"/>
        <w:sz w:val="22"/>
        <w:szCs w:val="22"/>
        <w:lang w:val="es-ES"/>
      </w:rPr>
    </w:lvl>
    <w:lvl w:ilvl="7">
      <w:start w:val="1"/>
      <w:numFmt w:val="decimal"/>
      <w:lvlText w:val="%1.%2.%3.%4.%5.%6.%7.%8"/>
      <w:lvlJc w:val="left"/>
      <w:pPr>
        <w:tabs>
          <w:tab w:val="num" w:pos="0"/>
        </w:tabs>
        <w:ind w:left="1440" w:hanging="1440"/>
      </w:pPr>
      <w:rPr>
        <w:color w:val="000000"/>
        <w:sz w:val="22"/>
        <w:szCs w:val="22"/>
        <w:lang w:val="es-ES"/>
      </w:rPr>
    </w:lvl>
    <w:lvl w:ilvl="8">
      <w:start w:val="1"/>
      <w:numFmt w:val="decimal"/>
      <w:lvlText w:val="%1.%2.%3.%4.%5.%6.%7.%8.%9"/>
      <w:lvlJc w:val="left"/>
      <w:pPr>
        <w:tabs>
          <w:tab w:val="num" w:pos="0"/>
        </w:tabs>
        <w:ind w:left="1440" w:hanging="1440"/>
      </w:pPr>
      <w:rPr>
        <w:color w:val="000000"/>
        <w:sz w:val="22"/>
        <w:szCs w:val="22"/>
        <w:lang w:val="es-ES"/>
      </w:rPr>
    </w:lvl>
  </w:abstractNum>
  <w:abstractNum w:abstractNumId="74" w15:restartNumberingAfterBreak="0">
    <w:nsid w:val="7CB34520"/>
    <w:multiLevelType w:val="multilevel"/>
    <w:tmpl w:val="230A9352"/>
    <w:lvl w:ilvl="0">
      <w:start w:val="1"/>
      <w:numFmt w:val="bullet"/>
      <w:lvlText w:val=""/>
      <w:lvlJc w:val="left"/>
      <w:pPr>
        <w:tabs>
          <w:tab w:val="num" w:pos="0"/>
        </w:tabs>
        <w:ind w:left="720" w:hanging="360"/>
      </w:pPr>
      <w:rPr>
        <w:rFonts w:ascii="Symbol" w:hAnsi="Symbol" w:cs="Symbol" w:hint="default"/>
        <w:spacing w:val="-1"/>
        <w:position w:val="1"/>
        <w:sz w:val="22"/>
        <w:szCs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91455002">
    <w:abstractNumId w:val="28"/>
  </w:num>
  <w:num w:numId="2" w16cid:durableId="1152063188">
    <w:abstractNumId w:val="25"/>
  </w:num>
  <w:num w:numId="3" w16cid:durableId="1176850274">
    <w:abstractNumId w:val="40"/>
  </w:num>
  <w:num w:numId="4" w16cid:durableId="1710374817">
    <w:abstractNumId w:val="29"/>
  </w:num>
  <w:num w:numId="5" w16cid:durableId="1159149694">
    <w:abstractNumId w:val="68"/>
  </w:num>
  <w:num w:numId="6" w16cid:durableId="559170209">
    <w:abstractNumId w:val="66"/>
  </w:num>
  <w:num w:numId="7" w16cid:durableId="1134103253">
    <w:abstractNumId w:val="12"/>
  </w:num>
  <w:num w:numId="8" w16cid:durableId="785932609">
    <w:abstractNumId w:val="38"/>
  </w:num>
  <w:num w:numId="9" w16cid:durableId="884105589">
    <w:abstractNumId w:val="67"/>
  </w:num>
  <w:num w:numId="10" w16cid:durableId="273947307">
    <w:abstractNumId w:val="7"/>
  </w:num>
  <w:num w:numId="11" w16cid:durableId="657728795">
    <w:abstractNumId w:val="71"/>
  </w:num>
  <w:num w:numId="12" w16cid:durableId="1634560063">
    <w:abstractNumId w:val="43"/>
  </w:num>
  <w:num w:numId="13" w16cid:durableId="1132750177">
    <w:abstractNumId w:val="1"/>
  </w:num>
  <w:num w:numId="14" w16cid:durableId="803885459">
    <w:abstractNumId w:val="62"/>
  </w:num>
  <w:num w:numId="15" w16cid:durableId="1484154560">
    <w:abstractNumId w:val="46"/>
  </w:num>
  <w:num w:numId="16" w16cid:durableId="1519732579">
    <w:abstractNumId w:val="35"/>
  </w:num>
  <w:num w:numId="17" w16cid:durableId="584068248">
    <w:abstractNumId w:val="31"/>
  </w:num>
  <w:num w:numId="18" w16cid:durableId="1421219948">
    <w:abstractNumId w:val="34"/>
  </w:num>
  <w:num w:numId="19" w16cid:durableId="1859155828">
    <w:abstractNumId w:val="65"/>
  </w:num>
  <w:num w:numId="20" w16cid:durableId="1332490762">
    <w:abstractNumId w:val="5"/>
  </w:num>
  <w:num w:numId="21" w16cid:durableId="810827773">
    <w:abstractNumId w:val="47"/>
  </w:num>
  <w:num w:numId="22" w16cid:durableId="588588076">
    <w:abstractNumId w:val="26"/>
  </w:num>
  <w:num w:numId="23" w16cid:durableId="1982029350">
    <w:abstractNumId w:val="49"/>
  </w:num>
  <w:num w:numId="24" w16cid:durableId="2134517671">
    <w:abstractNumId w:val="54"/>
  </w:num>
  <w:num w:numId="25" w16cid:durableId="1530609048">
    <w:abstractNumId w:val="41"/>
  </w:num>
  <w:num w:numId="26" w16cid:durableId="2008902873">
    <w:abstractNumId w:val="21"/>
  </w:num>
  <w:num w:numId="27" w16cid:durableId="573319074">
    <w:abstractNumId w:val="55"/>
  </w:num>
  <w:num w:numId="28" w16cid:durableId="882861917">
    <w:abstractNumId w:val="4"/>
  </w:num>
  <w:num w:numId="29" w16cid:durableId="104665469">
    <w:abstractNumId w:val="57"/>
  </w:num>
  <w:num w:numId="30" w16cid:durableId="701397168">
    <w:abstractNumId w:val="56"/>
  </w:num>
  <w:num w:numId="31" w16cid:durableId="1675913546">
    <w:abstractNumId w:val="8"/>
  </w:num>
  <w:num w:numId="32" w16cid:durableId="890075226">
    <w:abstractNumId w:val="24"/>
  </w:num>
  <w:num w:numId="33" w16cid:durableId="134761473">
    <w:abstractNumId w:val="32"/>
  </w:num>
  <w:num w:numId="34" w16cid:durableId="1439177691">
    <w:abstractNumId w:val="61"/>
  </w:num>
  <w:num w:numId="35" w16cid:durableId="1008337272">
    <w:abstractNumId w:val="22"/>
  </w:num>
  <w:num w:numId="36" w16cid:durableId="1408454908">
    <w:abstractNumId w:val="11"/>
  </w:num>
  <w:num w:numId="37" w16cid:durableId="1508593864">
    <w:abstractNumId w:val="74"/>
  </w:num>
  <w:num w:numId="38" w16cid:durableId="1564830119">
    <w:abstractNumId w:val="30"/>
  </w:num>
  <w:num w:numId="39" w16cid:durableId="963776267">
    <w:abstractNumId w:val="9"/>
  </w:num>
  <w:num w:numId="40" w16cid:durableId="64844193">
    <w:abstractNumId w:val="37"/>
  </w:num>
  <w:num w:numId="41" w16cid:durableId="1703433621">
    <w:abstractNumId w:val="52"/>
  </w:num>
  <w:num w:numId="42" w16cid:durableId="793403078">
    <w:abstractNumId w:val="69"/>
  </w:num>
  <w:num w:numId="43" w16cid:durableId="674724347">
    <w:abstractNumId w:val="19"/>
  </w:num>
  <w:num w:numId="44" w16cid:durableId="597563064">
    <w:abstractNumId w:val="50"/>
  </w:num>
  <w:num w:numId="45" w16cid:durableId="1256094877">
    <w:abstractNumId w:val="27"/>
  </w:num>
  <w:num w:numId="46" w16cid:durableId="948972233">
    <w:abstractNumId w:val="16"/>
  </w:num>
  <w:num w:numId="47" w16cid:durableId="1484197806">
    <w:abstractNumId w:val="39"/>
  </w:num>
  <w:num w:numId="48" w16cid:durableId="821429668">
    <w:abstractNumId w:val="13"/>
  </w:num>
  <w:num w:numId="49" w16cid:durableId="1114865065">
    <w:abstractNumId w:val="15"/>
  </w:num>
  <w:num w:numId="50" w16cid:durableId="1552884980">
    <w:abstractNumId w:val="60"/>
  </w:num>
  <w:num w:numId="51" w16cid:durableId="1498685893">
    <w:abstractNumId w:val="64"/>
  </w:num>
  <w:num w:numId="52" w16cid:durableId="434987215">
    <w:abstractNumId w:val="0"/>
  </w:num>
  <w:num w:numId="53" w16cid:durableId="596061519">
    <w:abstractNumId w:val="72"/>
  </w:num>
  <w:num w:numId="54" w16cid:durableId="700976116">
    <w:abstractNumId w:val="45"/>
  </w:num>
  <w:num w:numId="55" w16cid:durableId="737746010">
    <w:abstractNumId w:val="23"/>
  </w:num>
  <w:num w:numId="56" w16cid:durableId="866916257">
    <w:abstractNumId w:val="10"/>
  </w:num>
  <w:num w:numId="57" w16cid:durableId="1173834659">
    <w:abstractNumId w:val="33"/>
  </w:num>
  <w:num w:numId="58" w16cid:durableId="887691404">
    <w:abstractNumId w:val="73"/>
  </w:num>
  <w:num w:numId="59" w16cid:durableId="1145388754">
    <w:abstractNumId w:val="17"/>
  </w:num>
  <w:num w:numId="60" w16cid:durableId="2073505154">
    <w:abstractNumId w:val="42"/>
  </w:num>
  <w:num w:numId="61" w16cid:durableId="408045322">
    <w:abstractNumId w:val="6"/>
  </w:num>
  <w:num w:numId="62" w16cid:durableId="166680346">
    <w:abstractNumId w:val="63"/>
  </w:num>
  <w:num w:numId="63" w16cid:durableId="83379144">
    <w:abstractNumId w:val="2"/>
  </w:num>
  <w:num w:numId="64" w16cid:durableId="301496761">
    <w:abstractNumId w:val="51"/>
  </w:num>
  <w:num w:numId="65" w16cid:durableId="1475902285">
    <w:abstractNumId w:val="48"/>
  </w:num>
  <w:num w:numId="66" w16cid:durableId="100688472">
    <w:abstractNumId w:val="70"/>
  </w:num>
  <w:num w:numId="67" w16cid:durableId="1957057313">
    <w:abstractNumId w:val="53"/>
  </w:num>
  <w:num w:numId="68" w16cid:durableId="1341392248">
    <w:abstractNumId w:val="59"/>
  </w:num>
  <w:num w:numId="69" w16cid:durableId="1676689087">
    <w:abstractNumId w:val="44"/>
  </w:num>
  <w:num w:numId="70" w16cid:durableId="1736121885">
    <w:abstractNumId w:val="14"/>
  </w:num>
  <w:num w:numId="71" w16cid:durableId="198278852">
    <w:abstractNumId w:val="3"/>
  </w:num>
  <w:num w:numId="72" w16cid:durableId="1346908323">
    <w:abstractNumId w:val="36"/>
  </w:num>
  <w:num w:numId="73" w16cid:durableId="2119061512">
    <w:abstractNumId w:val="58"/>
  </w:num>
  <w:num w:numId="74" w16cid:durableId="1253582628">
    <w:abstractNumId w:val="18"/>
  </w:num>
  <w:num w:numId="75" w16cid:durableId="851719123">
    <w:abstractNumId w:val="20"/>
  </w:num>
  <w:num w:numId="76" w16cid:durableId="830483014">
    <w:abstractNumId w:val="5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55F4"/>
    <w:rsid w:val="001E4D35"/>
    <w:rsid w:val="003A7D01"/>
    <w:rsid w:val="00731C8A"/>
    <w:rsid w:val="00AB07D2"/>
    <w:rsid w:val="00C32199"/>
    <w:rsid w:val="00E255F4"/>
    <w:rsid w:val="00EF3AAD"/>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997F2F"/>
  <w15:docId w15:val="{B0AA5146-5008-4706-AD72-197A08BD4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oto Serif CJK SC" w:hAnsi="Liberation Serif" w:cs="Lohit Devanagari"/>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76" w:lineRule="auto"/>
    </w:pPr>
    <w:rPr>
      <w:rFonts w:ascii="Times New Roman" w:eastAsia="Times New Roman" w:hAnsi="Times New Roman" w:cs="Times New Roman"/>
      <w:sz w:val="20"/>
      <w:szCs w:val="20"/>
      <w:lang w:val="es-UY" w:bidi="ar-SA"/>
    </w:rPr>
  </w:style>
  <w:style w:type="paragraph" w:styleId="Ttulo1">
    <w:name w:val="heading 1"/>
    <w:basedOn w:val="Normal"/>
    <w:next w:val="Normal"/>
    <w:uiPriority w:val="9"/>
    <w:qFormat/>
    <w:pPr>
      <w:keepNext/>
      <w:numPr>
        <w:numId w:val="1"/>
      </w:numPr>
      <w:spacing w:before="240" w:after="60"/>
      <w:outlineLvl w:val="0"/>
    </w:pPr>
    <w:rPr>
      <w:rFonts w:ascii="Cambria" w:hAnsi="Cambria" w:cs="Cambria"/>
      <w:b/>
      <w:bCs/>
      <w:kern w:val="2"/>
      <w:sz w:val="32"/>
      <w:szCs w:val="32"/>
      <w:lang w:val="en-US"/>
    </w:rPr>
  </w:style>
  <w:style w:type="paragraph" w:styleId="Ttulo2">
    <w:name w:val="heading 2"/>
    <w:basedOn w:val="Normal"/>
    <w:next w:val="Normal"/>
    <w:uiPriority w:val="9"/>
    <w:unhideWhenUsed/>
    <w:qFormat/>
    <w:pPr>
      <w:keepNext/>
      <w:numPr>
        <w:ilvl w:val="1"/>
        <w:numId w:val="1"/>
      </w:numPr>
      <w:spacing w:before="240" w:after="60"/>
      <w:outlineLvl w:val="1"/>
    </w:pPr>
    <w:rPr>
      <w:rFonts w:ascii="Cambria" w:hAnsi="Cambria" w:cs="Cambria"/>
      <w:b/>
      <w:bCs/>
      <w:i/>
      <w:iCs/>
      <w:sz w:val="28"/>
      <w:szCs w:val="28"/>
      <w:lang w:val="en-US"/>
    </w:rPr>
  </w:style>
  <w:style w:type="paragraph" w:styleId="Ttulo3">
    <w:name w:val="heading 3"/>
    <w:basedOn w:val="Normal"/>
    <w:next w:val="Normal"/>
    <w:uiPriority w:val="9"/>
    <w:unhideWhenUsed/>
    <w:qFormat/>
    <w:pPr>
      <w:keepNext/>
      <w:numPr>
        <w:ilvl w:val="2"/>
        <w:numId w:val="1"/>
      </w:numPr>
      <w:spacing w:before="240" w:after="60"/>
      <w:outlineLvl w:val="2"/>
    </w:pPr>
    <w:rPr>
      <w:rFonts w:ascii="Cambria" w:hAnsi="Cambria" w:cs="Cambria"/>
      <w:b/>
      <w:bCs/>
      <w:sz w:val="26"/>
      <w:szCs w:val="26"/>
      <w:lang w:val="en-US"/>
    </w:rPr>
  </w:style>
  <w:style w:type="paragraph" w:styleId="Ttulo4">
    <w:name w:val="heading 4"/>
    <w:basedOn w:val="Normal"/>
    <w:next w:val="Normal"/>
    <w:uiPriority w:val="9"/>
    <w:unhideWhenUsed/>
    <w:qFormat/>
    <w:pPr>
      <w:keepNext/>
      <w:numPr>
        <w:ilvl w:val="3"/>
        <w:numId w:val="1"/>
      </w:numPr>
      <w:spacing w:before="240" w:after="60"/>
      <w:outlineLvl w:val="3"/>
    </w:pPr>
    <w:rPr>
      <w:rFonts w:ascii="Calibri" w:hAnsi="Calibri" w:cs="Calibri"/>
      <w:b/>
      <w:bCs/>
      <w:sz w:val="28"/>
      <w:szCs w:val="28"/>
      <w:lang w:val="en-US"/>
    </w:rPr>
  </w:style>
  <w:style w:type="paragraph" w:styleId="Ttulo5">
    <w:name w:val="heading 5"/>
    <w:basedOn w:val="Normal"/>
    <w:next w:val="Normal"/>
    <w:uiPriority w:val="9"/>
    <w:unhideWhenUsed/>
    <w:qFormat/>
    <w:pPr>
      <w:numPr>
        <w:ilvl w:val="4"/>
        <w:numId w:val="1"/>
      </w:numPr>
      <w:spacing w:before="240" w:after="60"/>
      <w:outlineLvl w:val="4"/>
    </w:pPr>
    <w:rPr>
      <w:rFonts w:ascii="Calibri" w:hAnsi="Calibri" w:cs="Calibri"/>
      <w:b/>
      <w:bCs/>
      <w:i/>
      <w:iCs/>
      <w:sz w:val="26"/>
      <w:szCs w:val="26"/>
      <w:lang w:val="en-US"/>
    </w:rPr>
  </w:style>
  <w:style w:type="paragraph" w:styleId="Ttulo6">
    <w:name w:val="heading 6"/>
    <w:basedOn w:val="Normal"/>
    <w:next w:val="Normal"/>
    <w:uiPriority w:val="9"/>
    <w:semiHidden/>
    <w:unhideWhenUsed/>
    <w:qFormat/>
    <w:pPr>
      <w:numPr>
        <w:ilvl w:val="5"/>
        <w:numId w:val="1"/>
      </w:numPr>
      <w:spacing w:before="240" w:after="60"/>
      <w:outlineLvl w:val="5"/>
    </w:pPr>
    <w:rPr>
      <w:b/>
      <w:bCs/>
      <w:sz w:val="22"/>
      <w:szCs w:val="22"/>
      <w:lang w:val="en-US"/>
    </w:rPr>
  </w:style>
  <w:style w:type="paragraph" w:styleId="Ttulo7">
    <w:name w:val="heading 7"/>
    <w:basedOn w:val="Normal"/>
    <w:next w:val="Normal"/>
    <w:qFormat/>
    <w:pPr>
      <w:numPr>
        <w:ilvl w:val="6"/>
        <w:numId w:val="1"/>
      </w:numPr>
      <w:spacing w:before="240" w:after="60"/>
      <w:outlineLvl w:val="6"/>
    </w:pPr>
    <w:rPr>
      <w:rFonts w:ascii="Calibri" w:hAnsi="Calibri" w:cs="Calibri"/>
      <w:sz w:val="24"/>
      <w:szCs w:val="24"/>
      <w:lang w:val="en-US"/>
    </w:rPr>
  </w:style>
  <w:style w:type="paragraph" w:styleId="Ttulo8">
    <w:name w:val="heading 8"/>
    <w:basedOn w:val="Normal"/>
    <w:next w:val="Normal"/>
    <w:qFormat/>
    <w:pPr>
      <w:numPr>
        <w:ilvl w:val="7"/>
        <w:numId w:val="1"/>
      </w:numPr>
      <w:spacing w:before="240" w:after="60"/>
      <w:outlineLvl w:val="7"/>
    </w:pPr>
    <w:rPr>
      <w:rFonts w:ascii="Calibri" w:hAnsi="Calibri" w:cs="Calibri"/>
      <w:i/>
      <w:iCs/>
      <w:sz w:val="24"/>
      <w:szCs w:val="24"/>
      <w:lang w:val="en-US"/>
    </w:rPr>
  </w:style>
  <w:style w:type="paragraph" w:styleId="Ttulo9">
    <w:name w:val="heading 9"/>
    <w:basedOn w:val="Normal"/>
    <w:next w:val="Normal"/>
    <w:qFormat/>
    <w:pPr>
      <w:numPr>
        <w:ilvl w:val="8"/>
        <w:numId w:val="1"/>
      </w:numPr>
      <w:spacing w:before="240" w:after="60"/>
      <w:outlineLvl w:val="8"/>
    </w:pPr>
    <w:rPr>
      <w:rFonts w:ascii="Cambria" w:hAnsi="Cambria" w:cs="Cambria"/>
      <w:sz w:val="22"/>
      <w:szCs w:val="22"/>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qFormat/>
    <w:rPr>
      <w:color w:val="000000"/>
      <w:sz w:val="22"/>
    </w:rPr>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b/>
    </w:rPr>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rPr>
      <w:b w:val="0"/>
      <w:i w:val="0"/>
      <w:sz w:val="22"/>
      <w:szCs w:val="22"/>
      <w:lang w:val="es-ES"/>
    </w:rPr>
  </w:style>
  <w:style w:type="character" w:customStyle="1" w:styleId="WW8Num4z0">
    <w:name w:val="WW8Num4z0"/>
    <w:qFormat/>
    <w:rPr>
      <w:rFonts w:ascii="Times New Roman" w:eastAsia="Times New Roman" w:hAnsi="Times New Roman" w:cs="Times New Roman"/>
    </w:rPr>
  </w:style>
  <w:style w:type="character" w:customStyle="1" w:styleId="WW8Num4z1">
    <w:name w:val="WW8Num4z1"/>
    <w:qFormat/>
    <w:rPr>
      <w:rFonts w:ascii="Courier New" w:hAnsi="Courier New" w:cs="Courier New"/>
    </w:rPr>
  </w:style>
  <w:style w:type="character" w:customStyle="1" w:styleId="WW8Num4z2">
    <w:name w:val="WW8Num4z2"/>
    <w:qFormat/>
    <w:rPr>
      <w:rFonts w:ascii="Wingdings" w:hAnsi="Wingdings" w:cs="Wingdings"/>
    </w:rPr>
  </w:style>
  <w:style w:type="character" w:customStyle="1" w:styleId="WW8Num4z3">
    <w:name w:val="WW8Num4z3"/>
    <w:qFormat/>
    <w:rPr>
      <w:rFonts w:ascii="Symbol" w:hAnsi="Symbol" w:cs="Symbol"/>
    </w:rPr>
  </w:style>
  <w:style w:type="character" w:customStyle="1" w:styleId="WW8Num5z0">
    <w:name w:val="WW8Num5z0"/>
    <w:qFormat/>
    <w:rPr>
      <w:u w:val="single"/>
    </w:rPr>
  </w:style>
  <w:style w:type="character" w:customStyle="1" w:styleId="WW8Num5z1">
    <w:name w:val="WW8Num5z1"/>
    <w:qFormat/>
    <w:rPr>
      <w:b/>
      <w:u w:val="none"/>
    </w:rPr>
  </w:style>
  <w:style w:type="character" w:customStyle="1" w:styleId="WW8Num5z2">
    <w:name w:val="WW8Num5z2"/>
    <w:qFormat/>
    <w:rPr>
      <w:rFonts w:ascii="Times New Roman" w:hAnsi="Times New Roman" w:cs="Times New Roman"/>
      <w:b/>
      <w:bCs/>
      <w:iCs/>
      <w:color w:val="000000"/>
      <w:sz w:val="22"/>
      <w:szCs w:val="22"/>
      <w:u w:val="none"/>
      <w:lang w:val="es-ES"/>
    </w:rPr>
  </w:style>
  <w:style w:type="character" w:customStyle="1" w:styleId="WW8Num5z3">
    <w:name w:val="WW8Num5z3"/>
    <w:qFormat/>
    <w:rPr>
      <w:color w:val="000000"/>
      <w:sz w:val="22"/>
      <w:szCs w:val="22"/>
      <w:u w:val="none"/>
      <w:lang w:val="es-ES"/>
    </w:rPr>
  </w:style>
  <w:style w:type="character" w:customStyle="1" w:styleId="WW8Num6z0">
    <w:name w:val="WW8Num6z0"/>
    <w:qFormat/>
    <w:rPr>
      <w:color w:val="000000"/>
      <w:sz w:val="22"/>
      <w:szCs w:val="22"/>
      <w:lang w:val="es-ES"/>
    </w:rPr>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7z0">
    <w:name w:val="WW8Num7z0"/>
    <w:qFormat/>
    <w:rPr>
      <w:b/>
      <w:sz w:val="22"/>
      <w:szCs w:val="22"/>
      <w:lang w:val="es-ES"/>
    </w:rPr>
  </w:style>
  <w:style w:type="character" w:customStyle="1" w:styleId="WW8Num7z1">
    <w:name w:val="WW8Num7z1"/>
    <w:qFormat/>
  </w:style>
  <w:style w:type="character" w:customStyle="1" w:styleId="WW8Num7z2">
    <w:name w:val="WW8Num7z2"/>
    <w:qFormat/>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8z0">
    <w:name w:val="WW8Num8z0"/>
    <w:qFormat/>
    <w:rPr>
      <w:rFonts w:eastAsia="Palatino Linotype"/>
      <w:sz w:val="22"/>
      <w:szCs w:val="22"/>
      <w:lang w:val="es-ES" w:eastAsia="en-US"/>
    </w:rPr>
  </w:style>
  <w:style w:type="character" w:customStyle="1" w:styleId="WW8Num8z1">
    <w:name w:val="WW8Num8z1"/>
    <w:qFormat/>
  </w:style>
  <w:style w:type="character" w:customStyle="1" w:styleId="WW8Num8z2">
    <w:name w:val="WW8Num8z2"/>
    <w:qFormat/>
  </w:style>
  <w:style w:type="character" w:customStyle="1" w:styleId="WW8Num8z3">
    <w:name w:val="WW8Num8z3"/>
    <w:qFormat/>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WW8Num9z0">
    <w:name w:val="WW8Num9z0"/>
    <w:qFormat/>
    <w:rPr>
      <w:sz w:val="22"/>
      <w:szCs w:val="22"/>
    </w:rPr>
  </w:style>
  <w:style w:type="character" w:customStyle="1" w:styleId="WW8Num9z1">
    <w:name w:val="WW8Num9z1"/>
    <w:qFormat/>
    <w:rPr>
      <w:rFonts w:ascii="Symbol" w:eastAsia="Times New Roman" w:hAnsi="Symbol" w:cs="Times New Roman"/>
    </w:rPr>
  </w:style>
  <w:style w:type="character" w:customStyle="1" w:styleId="WW8Num9z2">
    <w:name w:val="WW8Num9z2"/>
    <w:qFormat/>
    <w:rPr>
      <w:rFonts w:ascii="Calibri" w:eastAsia="Times New Roman" w:hAnsi="Calibri" w:cs="Times New Roman"/>
      <w:b/>
      <w:color w:val="000000"/>
    </w:rPr>
  </w:style>
  <w:style w:type="character" w:customStyle="1" w:styleId="WW8Num10z0">
    <w:name w:val="WW8Num10z0"/>
    <w:qFormat/>
    <w:rPr>
      <w:strike w:val="0"/>
      <w:dstrike w:val="0"/>
      <w:sz w:val="22"/>
      <w:szCs w:val="22"/>
      <w:lang w:val="es-ES" w:eastAsia="es-ES"/>
    </w:rPr>
  </w:style>
  <w:style w:type="character" w:customStyle="1" w:styleId="WW8Num10z1">
    <w:name w:val="WW8Num10z1"/>
    <w:qFormat/>
  </w:style>
  <w:style w:type="character" w:customStyle="1" w:styleId="WW8Num10z2">
    <w:name w:val="WW8Num10z2"/>
    <w:qFormat/>
  </w:style>
  <w:style w:type="character" w:customStyle="1" w:styleId="WW8Num10z3">
    <w:name w:val="WW8Num10z3"/>
    <w:qFormat/>
  </w:style>
  <w:style w:type="character" w:customStyle="1" w:styleId="WW8Num10z4">
    <w:name w:val="WW8Num10z4"/>
    <w:qFormat/>
  </w:style>
  <w:style w:type="character" w:customStyle="1" w:styleId="WW8Num10z5">
    <w:name w:val="WW8Num10z5"/>
    <w:qFormat/>
  </w:style>
  <w:style w:type="character" w:customStyle="1" w:styleId="WW8Num10z6">
    <w:name w:val="WW8Num10z6"/>
    <w:qFormat/>
  </w:style>
  <w:style w:type="character" w:customStyle="1" w:styleId="WW8Num10z7">
    <w:name w:val="WW8Num10z7"/>
    <w:qFormat/>
  </w:style>
  <w:style w:type="character" w:customStyle="1" w:styleId="WW8Num10z8">
    <w:name w:val="WW8Num10z8"/>
    <w:qFormat/>
  </w:style>
  <w:style w:type="character" w:customStyle="1" w:styleId="WW8Num11z0">
    <w:name w:val="WW8Num11z0"/>
    <w:qFormat/>
    <w:rPr>
      <w:b/>
      <w:sz w:val="22"/>
      <w:szCs w:val="22"/>
    </w:rPr>
  </w:style>
  <w:style w:type="character" w:customStyle="1" w:styleId="WW8Num11z3">
    <w:name w:val="WW8Num11z3"/>
    <w:qFormat/>
    <w:rPr>
      <w:b w:val="0"/>
      <w:color w:val="000000"/>
      <w:sz w:val="22"/>
      <w:szCs w:val="22"/>
      <w:lang w:val="es-ES"/>
    </w:rPr>
  </w:style>
  <w:style w:type="character" w:customStyle="1" w:styleId="WW8Num12z0">
    <w:name w:val="WW8Num12z0"/>
    <w:qFormat/>
    <w:rPr>
      <w:b/>
    </w:rPr>
  </w:style>
  <w:style w:type="character" w:customStyle="1" w:styleId="WW8Num12z1">
    <w:name w:val="WW8Num12z1"/>
    <w:qFormat/>
  </w:style>
  <w:style w:type="character" w:customStyle="1" w:styleId="WW8Num12z2">
    <w:name w:val="WW8Num12z2"/>
    <w:qFormat/>
  </w:style>
  <w:style w:type="character" w:customStyle="1" w:styleId="WW8Num12z3">
    <w:name w:val="WW8Num12z3"/>
    <w:qFormat/>
  </w:style>
  <w:style w:type="character" w:customStyle="1" w:styleId="WW8Num12z4">
    <w:name w:val="WW8Num12z4"/>
    <w:qFormat/>
  </w:style>
  <w:style w:type="character" w:customStyle="1" w:styleId="WW8Num12z5">
    <w:name w:val="WW8Num12z5"/>
    <w:qFormat/>
  </w:style>
  <w:style w:type="character" w:customStyle="1" w:styleId="WW8Num12z6">
    <w:name w:val="WW8Num12z6"/>
    <w:qFormat/>
  </w:style>
  <w:style w:type="character" w:customStyle="1" w:styleId="WW8Num12z7">
    <w:name w:val="WW8Num12z7"/>
    <w:qFormat/>
  </w:style>
  <w:style w:type="character" w:customStyle="1" w:styleId="WW8Num12z8">
    <w:name w:val="WW8Num12z8"/>
    <w:qFormat/>
  </w:style>
  <w:style w:type="character" w:customStyle="1" w:styleId="WW8Num13z0">
    <w:name w:val="WW8Num13z0"/>
    <w:qFormat/>
    <w:rPr>
      <w:rFonts w:ascii="Times New Roman" w:eastAsia="Palatino Linotype" w:hAnsi="Times New Roman" w:cs="Times New Roman"/>
      <w:b/>
      <w:color w:val="000000"/>
      <w:spacing w:val="-1"/>
      <w:sz w:val="22"/>
      <w:szCs w:val="22"/>
    </w:rPr>
  </w:style>
  <w:style w:type="character" w:customStyle="1" w:styleId="WW8Num13z1">
    <w:name w:val="WW8Num13z1"/>
    <w:qFormat/>
  </w:style>
  <w:style w:type="character" w:customStyle="1" w:styleId="WW8Num13z2">
    <w:name w:val="WW8Num13z2"/>
    <w:qFormat/>
  </w:style>
  <w:style w:type="character" w:customStyle="1" w:styleId="WW8Num13z3">
    <w:name w:val="WW8Num13z3"/>
    <w:qFormat/>
  </w:style>
  <w:style w:type="character" w:customStyle="1" w:styleId="WW8Num13z4">
    <w:name w:val="WW8Num13z4"/>
    <w:qFormat/>
  </w:style>
  <w:style w:type="character" w:customStyle="1" w:styleId="WW8Num13z5">
    <w:name w:val="WW8Num13z5"/>
    <w:qFormat/>
  </w:style>
  <w:style w:type="character" w:customStyle="1" w:styleId="WW8Num13z6">
    <w:name w:val="WW8Num13z6"/>
    <w:qFormat/>
  </w:style>
  <w:style w:type="character" w:customStyle="1" w:styleId="WW8Num13z7">
    <w:name w:val="WW8Num13z7"/>
    <w:qFormat/>
  </w:style>
  <w:style w:type="character" w:customStyle="1" w:styleId="WW8Num13z8">
    <w:name w:val="WW8Num13z8"/>
    <w:qFormat/>
  </w:style>
  <w:style w:type="character" w:customStyle="1" w:styleId="WW8Num14z0">
    <w:name w:val="WW8Num14z0"/>
    <w:qFormat/>
  </w:style>
  <w:style w:type="character" w:customStyle="1" w:styleId="WW8Num14z1">
    <w:name w:val="WW8Num14z1"/>
    <w:qFormat/>
  </w:style>
  <w:style w:type="character" w:customStyle="1" w:styleId="WW8Num14z2">
    <w:name w:val="WW8Num14z2"/>
    <w:qFormat/>
  </w:style>
  <w:style w:type="character" w:customStyle="1" w:styleId="WW8Num14z3">
    <w:name w:val="WW8Num14z3"/>
    <w:qFormat/>
  </w:style>
  <w:style w:type="character" w:customStyle="1" w:styleId="WW8Num14z4">
    <w:name w:val="WW8Num14z4"/>
    <w:qFormat/>
  </w:style>
  <w:style w:type="character" w:customStyle="1" w:styleId="WW8Num14z5">
    <w:name w:val="WW8Num14z5"/>
    <w:qFormat/>
  </w:style>
  <w:style w:type="character" w:customStyle="1" w:styleId="WW8Num14z6">
    <w:name w:val="WW8Num14z6"/>
    <w:qFormat/>
  </w:style>
  <w:style w:type="character" w:customStyle="1" w:styleId="WW8Num14z7">
    <w:name w:val="WW8Num14z7"/>
    <w:qFormat/>
  </w:style>
  <w:style w:type="character" w:customStyle="1" w:styleId="WW8Num14z8">
    <w:name w:val="WW8Num14z8"/>
    <w:qFormat/>
  </w:style>
  <w:style w:type="character" w:customStyle="1" w:styleId="WW8Num15z0">
    <w:name w:val="WW8Num15z0"/>
    <w:qFormat/>
    <w:rPr>
      <w:rFonts w:ascii="Symbol" w:hAnsi="Symbol" w:cs="Symbol"/>
      <w:sz w:val="22"/>
      <w:szCs w:val="22"/>
      <w:lang w:val="es-ES"/>
    </w:rPr>
  </w:style>
  <w:style w:type="character" w:customStyle="1" w:styleId="WW8Num15z1">
    <w:name w:val="WW8Num15z1"/>
    <w:qFormat/>
    <w:rPr>
      <w:rFonts w:ascii="Courier New" w:hAnsi="Courier New" w:cs="Courier New"/>
    </w:rPr>
  </w:style>
  <w:style w:type="character" w:customStyle="1" w:styleId="WW8Num15z2">
    <w:name w:val="WW8Num15z2"/>
    <w:qFormat/>
    <w:rPr>
      <w:rFonts w:ascii="Wingdings" w:hAnsi="Wingdings" w:cs="Wingdings"/>
    </w:rPr>
  </w:style>
  <w:style w:type="character" w:customStyle="1" w:styleId="WW8Num16z0">
    <w:name w:val="WW8Num16z0"/>
    <w:qFormat/>
  </w:style>
  <w:style w:type="character" w:customStyle="1" w:styleId="WW8Num16z1">
    <w:name w:val="WW8Num16z1"/>
    <w:qFormat/>
  </w:style>
  <w:style w:type="character" w:customStyle="1" w:styleId="WW8Num16z2">
    <w:name w:val="WW8Num16z2"/>
    <w:qFormat/>
  </w:style>
  <w:style w:type="character" w:customStyle="1" w:styleId="WW8Num16z3">
    <w:name w:val="WW8Num16z3"/>
    <w:qFormat/>
  </w:style>
  <w:style w:type="character" w:customStyle="1" w:styleId="WW8Num16z4">
    <w:name w:val="WW8Num16z4"/>
    <w:qFormat/>
  </w:style>
  <w:style w:type="character" w:customStyle="1" w:styleId="WW8Num16z5">
    <w:name w:val="WW8Num16z5"/>
    <w:qFormat/>
  </w:style>
  <w:style w:type="character" w:customStyle="1" w:styleId="WW8Num16z6">
    <w:name w:val="WW8Num16z6"/>
    <w:qFormat/>
  </w:style>
  <w:style w:type="character" w:customStyle="1" w:styleId="WW8Num16z7">
    <w:name w:val="WW8Num16z7"/>
    <w:qFormat/>
  </w:style>
  <w:style w:type="character" w:customStyle="1" w:styleId="WW8Num16z8">
    <w:name w:val="WW8Num16z8"/>
    <w:qFormat/>
  </w:style>
  <w:style w:type="character" w:customStyle="1" w:styleId="WW8Num17z0">
    <w:name w:val="WW8Num17z0"/>
    <w:qFormat/>
    <w:rPr>
      <w:b/>
      <w:sz w:val="22"/>
      <w:szCs w:val="22"/>
    </w:rPr>
  </w:style>
  <w:style w:type="character" w:customStyle="1" w:styleId="WW8Num17z3">
    <w:name w:val="WW8Num17z3"/>
    <w:qFormat/>
    <w:rPr>
      <w:color w:val="000000"/>
      <w:spacing w:val="-3"/>
      <w:sz w:val="22"/>
      <w:szCs w:val="22"/>
      <w:lang w:val="es-ES"/>
    </w:rPr>
  </w:style>
  <w:style w:type="character" w:customStyle="1" w:styleId="WW8Num18z0">
    <w:name w:val="WW8Num18z0"/>
    <w:qFormat/>
    <w:rPr>
      <w:sz w:val="22"/>
      <w:szCs w:val="22"/>
      <w:lang w:val="es-ES"/>
    </w:rPr>
  </w:style>
  <w:style w:type="character" w:customStyle="1" w:styleId="WW8Num19z0">
    <w:name w:val="WW8Num19z0"/>
    <w:qFormat/>
    <w:rPr>
      <w:b/>
      <w:strike w:val="0"/>
      <w:dstrike w:val="0"/>
      <w:sz w:val="24"/>
    </w:rPr>
  </w:style>
  <w:style w:type="character" w:customStyle="1" w:styleId="WW8Num19z1">
    <w:name w:val="WW8Num19z1"/>
    <w:qFormat/>
    <w:rPr>
      <w:b/>
      <w:sz w:val="22"/>
    </w:rPr>
  </w:style>
  <w:style w:type="character" w:customStyle="1" w:styleId="WW8Num19z3">
    <w:name w:val="WW8Num19z3"/>
    <w:qFormat/>
    <w:rPr>
      <w:sz w:val="22"/>
    </w:rPr>
  </w:style>
  <w:style w:type="character" w:customStyle="1" w:styleId="WW8Num20z0">
    <w:name w:val="WW8Num20z0"/>
    <w:qFormat/>
    <w:rPr>
      <w:sz w:val="22"/>
      <w:szCs w:val="22"/>
      <w:lang w:val="es-ES"/>
    </w:rPr>
  </w:style>
  <w:style w:type="character" w:customStyle="1" w:styleId="WW8Num21z0">
    <w:name w:val="WW8Num21z0"/>
    <w:qFormat/>
    <w:rPr>
      <w:rFonts w:ascii="Symbol" w:hAnsi="Symbol" w:cs="Symbol"/>
    </w:rPr>
  </w:style>
  <w:style w:type="character" w:customStyle="1" w:styleId="WW8Num21z1">
    <w:name w:val="WW8Num21z1"/>
    <w:qFormat/>
  </w:style>
  <w:style w:type="character" w:customStyle="1" w:styleId="WW8Num21z2">
    <w:name w:val="WW8Num21z2"/>
    <w:qFormat/>
  </w:style>
  <w:style w:type="character" w:customStyle="1" w:styleId="WW8Num21z3">
    <w:name w:val="WW8Num21z3"/>
    <w:qFormat/>
  </w:style>
  <w:style w:type="character" w:customStyle="1" w:styleId="WW8Num21z4">
    <w:name w:val="WW8Num21z4"/>
    <w:qFormat/>
  </w:style>
  <w:style w:type="character" w:customStyle="1" w:styleId="WW8Num21z5">
    <w:name w:val="WW8Num21z5"/>
    <w:qFormat/>
  </w:style>
  <w:style w:type="character" w:customStyle="1" w:styleId="WW8Num21z6">
    <w:name w:val="WW8Num21z6"/>
    <w:qFormat/>
  </w:style>
  <w:style w:type="character" w:customStyle="1" w:styleId="WW8Num21z7">
    <w:name w:val="WW8Num21z7"/>
    <w:qFormat/>
  </w:style>
  <w:style w:type="character" w:customStyle="1" w:styleId="WW8Num21z8">
    <w:name w:val="WW8Num21z8"/>
    <w:qFormat/>
  </w:style>
  <w:style w:type="character" w:customStyle="1" w:styleId="WW8Num22z0">
    <w:name w:val="WW8Num22z0"/>
    <w:qFormat/>
    <w:rPr>
      <w:rFonts w:ascii="Arial" w:eastAsia="Times New Roman" w:hAnsi="Arial" w:cs="Arial"/>
    </w:rPr>
  </w:style>
  <w:style w:type="character" w:customStyle="1" w:styleId="WW8Num22z1">
    <w:name w:val="WW8Num22z1"/>
    <w:qFormat/>
    <w:rPr>
      <w:rFonts w:ascii="Courier New" w:hAnsi="Courier New" w:cs="Courier New"/>
    </w:rPr>
  </w:style>
  <w:style w:type="character" w:customStyle="1" w:styleId="WW8Num22z2">
    <w:name w:val="WW8Num22z2"/>
    <w:qFormat/>
    <w:rPr>
      <w:rFonts w:ascii="Wingdings" w:hAnsi="Wingdings" w:cs="Wingdings"/>
    </w:rPr>
  </w:style>
  <w:style w:type="character" w:customStyle="1" w:styleId="WW8Num22z3">
    <w:name w:val="WW8Num22z3"/>
    <w:qFormat/>
    <w:rPr>
      <w:rFonts w:ascii="Symbol" w:hAnsi="Symbol" w:cs="Symbol"/>
    </w:rPr>
  </w:style>
  <w:style w:type="character" w:customStyle="1" w:styleId="WW8Num23z0">
    <w:name w:val="WW8Num23z0"/>
    <w:qFormat/>
    <w:rPr>
      <w:rFonts w:ascii="Times New Roman" w:hAnsi="Times New Roman" w:cs="Times New Roman"/>
      <w:sz w:val="22"/>
      <w:lang w:val="es-UY"/>
    </w:rPr>
  </w:style>
  <w:style w:type="character" w:customStyle="1" w:styleId="WW8Num23z1">
    <w:name w:val="WW8Num23z1"/>
    <w:qFormat/>
  </w:style>
  <w:style w:type="character" w:customStyle="1" w:styleId="WW8Num23z2">
    <w:name w:val="WW8Num23z2"/>
    <w:qFormat/>
  </w:style>
  <w:style w:type="character" w:customStyle="1" w:styleId="WW8Num23z3">
    <w:name w:val="WW8Num23z3"/>
    <w:qFormat/>
  </w:style>
  <w:style w:type="character" w:customStyle="1" w:styleId="WW8Num23z4">
    <w:name w:val="WW8Num23z4"/>
    <w:qFormat/>
  </w:style>
  <w:style w:type="character" w:customStyle="1" w:styleId="WW8Num23z5">
    <w:name w:val="WW8Num23z5"/>
    <w:qFormat/>
  </w:style>
  <w:style w:type="character" w:customStyle="1" w:styleId="WW8Num23z6">
    <w:name w:val="WW8Num23z6"/>
    <w:qFormat/>
  </w:style>
  <w:style w:type="character" w:customStyle="1" w:styleId="WW8Num23z7">
    <w:name w:val="WW8Num23z7"/>
    <w:qFormat/>
  </w:style>
  <w:style w:type="character" w:customStyle="1" w:styleId="WW8Num23z8">
    <w:name w:val="WW8Num23z8"/>
    <w:qFormat/>
  </w:style>
  <w:style w:type="character" w:customStyle="1" w:styleId="WW8Num24z0">
    <w:name w:val="WW8Num24z0"/>
    <w:qFormat/>
    <w:rPr>
      <w:rFonts w:ascii="Times New Roman" w:eastAsia="Times New Roman" w:hAnsi="Times New Roman" w:cs="Times New Roman"/>
      <w:color w:val="000000"/>
      <w:sz w:val="22"/>
      <w:szCs w:val="22"/>
      <w:lang w:val="es-ES"/>
    </w:rPr>
  </w:style>
  <w:style w:type="character" w:customStyle="1" w:styleId="WW8Num24z1">
    <w:name w:val="WW8Num24z1"/>
    <w:qFormat/>
  </w:style>
  <w:style w:type="character" w:customStyle="1" w:styleId="WW8Num24z2">
    <w:name w:val="WW8Num24z2"/>
    <w:qFormat/>
  </w:style>
  <w:style w:type="character" w:customStyle="1" w:styleId="WW8Num24z3">
    <w:name w:val="WW8Num24z3"/>
    <w:qFormat/>
  </w:style>
  <w:style w:type="character" w:customStyle="1" w:styleId="WW8Num24z4">
    <w:name w:val="WW8Num24z4"/>
    <w:qFormat/>
  </w:style>
  <w:style w:type="character" w:customStyle="1" w:styleId="WW8Num24z5">
    <w:name w:val="WW8Num24z5"/>
    <w:qFormat/>
  </w:style>
  <w:style w:type="character" w:customStyle="1" w:styleId="WW8Num24z6">
    <w:name w:val="WW8Num24z6"/>
    <w:qFormat/>
  </w:style>
  <w:style w:type="character" w:customStyle="1" w:styleId="WW8Num24z7">
    <w:name w:val="WW8Num24z7"/>
    <w:qFormat/>
  </w:style>
  <w:style w:type="character" w:customStyle="1" w:styleId="WW8Num24z8">
    <w:name w:val="WW8Num24z8"/>
    <w:qFormat/>
  </w:style>
  <w:style w:type="character" w:customStyle="1" w:styleId="WW8Num25z0">
    <w:name w:val="WW8Num25z0"/>
    <w:qFormat/>
    <w:rPr>
      <w:rFonts w:ascii="Times New Roman" w:hAnsi="Times New Roman" w:cs="Times New Roman"/>
      <w:b/>
      <w:bCs/>
      <w:color w:val="000000"/>
      <w:sz w:val="22"/>
      <w:szCs w:val="22"/>
    </w:rPr>
  </w:style>
  <w:style w:type="character" w:customStyle="1" w:styleId="WW8Num25z1">
    <w:name w:val="WW8Num25z1"/>
    <w:qFormat/>
  </w:style>
  <w:style w:type="character" w:customStyle="1" w:styleId="WW8Num25z2">
    <w:name w:val="WW8Num25z2"/>
    <w:qFormat/>
  </w:style>
  <w:style w:type="character" w:customStyle="1" w:styleId="WW8Num25z3">
    <w:name w:val="WW8Num25z3"/>
    <w:qFormat/>
  </w:style>
  <w:style w:type="character" w:customStyle="1" w:styleId="WW8Num25z4">
    <w:name w:val="WW8Num25z4"/>
    <w:qFormat/>
  </w:style>
  <w:style w:type="character" w:customStyle="1" w:styleId="WW8Num25z5">
    <w:name w:val="WW8Num25z5"/>
    <w:qFormat/>
  </w:style>
  <w:style w:type="character" w:customStyle="1" w:styleId="WW8Num25z6">
    <w:name w:val="WW8Num25z6"/>
    <w:qFormat/>
  </w:style>
  <w:style w:type="character" w:customStyle="1" w:styleId="WW8Num25z7">
    <w:name w:val="WW8Num25z7"/>
    <w:qFormat/>
  </w:style>
  <w:style w:type="character" w:customStyle="1" w:styleId="WW8Num25z8">
    <w:name w:val="WW8Num25z8"/>
    <w:qFormat/>
  </w:style>
  <w:style w:type="character" w:customStyle="1" w:styleId="WW8Num26z0">
    <w:name w:val="WW8Num26z0"/>
    <w:qFormat/>
    <w:rPr>
      <w:b/>
      <w:sz w:val="22"/>
      <w:szCs w:val="22"/>
    </w:rPr>
  </w:style>
  <w:style w:type="character" w:customStyle="1" w:styleId="WW8Num27z0">
    <w:name w:val="WW8Num27z0"/>
    <w:qFormat/>
    <w:rPr>
      <w:b/>
    </w:rPr>
  </w:style>
  <w:style w:type="character" w:customStyle="1" w:styleId="WW8Num27z1">
    <w:name w:val="WW8Num27z1"/>
    <w:qFormat/>
    <w:rPr>
      <w:b/>
      <w:i w:val="0"/>
    </w:rPr>
  </w:style>
  <w:style w:type="character" w:customStyle="1" w:styleId="WW8Num27z2">
    <w:name w:val="WW8Num27z2"/>
    <w:qFormat/>
  </w:style>
  <w:style w:type="character" w:customStyle="1" w:styleId="WW8Num28z0">
    <w:name w:val="WW8Num28z0"/>
    <w:qFormat/>
    <w:rPr>
      <w:rFonts w:ascii="Symbol" w:hAnsi="Symbol" w:cs="Symbol"/>
    </w:rPr>
  </w:style>
  <w:style w:type="character" w:customStyle="1" w:styleId="WW8Num28z1">
    <w:name w:val="WW8Num28z1"/>
    <w:qFormat/>
    <w:rPr>
      <w:rFonts w:ascii="Courier New" w:hAnsi="Courier New" w:cs="Courier New"/>
    </w:rPr>
  </w:style>
  <w:style w:type="character" w:customStyle="1" w:styleId="WW8Num28z2">
    <w:name w:val="WW8Num28z2"/>
    <w:qFormat/>
    <w:rPr>
      <w:b/>
      <w:sz w:val="22"/>
      <w:szCs w:val="22"/>
    </w:rPr>
  </w:style>
  <w:style w:type="character" w:customStyle="1" w:styleId="WW8Num28z5">
    <w:name w:val="WW8Num28z5"/>
    <w:qFormat/>
    <w:rPr>
      <w:rFonts w:ascii="Wingdings" w:hAnsi="Wingdings" w:cs="Wingdings"/>
    </w:rPr>
  </w:style>
  <w:style w:type="character" w:customStyle="1" w:styleId="WW8Num29z0">
    <w:name w:val="WW8Num29z0"/>
    <w:qFormat/>
    <w:rPr>
      <w:u w:val="none"/>
    </w:rPr>
  </w:style>
  <w:style w:type="character" w:customStyle="1" w:styleId="WW8Num30z0">
    <w:name w:val="WW8Num30z0"/>
    <w:qFormat/>
    <w:rPr>
      <w:rFonts w:ascii="Times New Roman" w:eastAsia="Times New Roman" w:hAnsi="Times New Roman" w:cs="Times New Roman"/>
      <w:bCs/>
      <w:sz w:val="22"/>
      <w:szCs w:val="22"/>
      <w:lang w:val="es-ES"/>
    </w:rPr>
  </w:style>
  <w:style w:type="character" w:customStyle="1" w:styleId="WW8Num30z1">
    <w:name w:val="WW8Num30z1"/>
    <w:qFormat/>
    <w:rPr>
      <w:color w:val="000000"/>
      <w:sz w:val="22"/>
      <w:szCs w:val="22"/>
      <w:lang w:val="es-ES"/>
    </w:rPr>
  </w:style>
  <w:style w:type="character" w:customStyle="1" w:styleId="WW8Num31z0">
    <w:name w:val="WW8Num31z0"/>
    <w:qFormat/>
    <w:rPr>
      <w:rFonts w:eastAsia="Times New Roman"/>
      <w:spacing w:val="-1"/>
      <w:sz w:val="22"/>
      <w:szCs w:val="22"/>
      <w:lang w:val="es-ES"/>
    </w:rPr>
  </w:style>
  <w:style w:type="character" w:customStyle="1" w:styleId="WW8Num32z0">
    <w:name w:val="WW8Num32z0"/>
    <w:qFormat/>
    <w:rPr>
      <w:color w:val="000000"/>
      <w:sz w:val="22"/>
      <w:szCs w:val="22"/>
      <w:lang w:val="es-UY"/>
    </w:rPr>
  </w:style>
  <w:style w:type="character" w:customStyle="1" w:styleId="WW8Num33z0">
    <w:name w:val="WW8Num33z0"/>
    <w:qFormat/>
    <w:rPr>
      <w:b/>
      <w:color w:val="000000"/>
      <w:sz w:val="22"/>
      <w:szCs w:val="22"/>
      <w:lang w:val="es-ES"/>
    </w:rPr>
  </w:style>
  <w:style w:type="character" w:customStyle="1" w:styleId="WW8Num34z0">
    <w:name w:val="WW8Num34z0"/>
    <w:qFormat/>
    <w:rPr>
      <w:color w:val="000000"/>
      <w:sz w:val="22"/>
      <w:szCs w:val="22"/>
      <w:lang w:val="es-ES"/>
    </w:rPr>
  </w:style>
  <w:style w:type="character" w:customStyle="1" w:styleId="WW8Num34z1">
    <w:name w:val="WW8Num34z1"/>
    <w:qFormat/>
  </w:style>
  <w:style w:type="character" w:customStyle="1" w:styleId="WW8Num34z2">
    <w:name w:val="WW8Num34z2"/>
    <w:qFormat/>
  </w:style>
  <w:style w:type="character" w:customStyle="1" w:styleId="WW8Num34z3">
    <w:name w:val="WW8Num34z3"/>
    <w:qFormat/>
  </w:style>
  <w:style w:type="character" w:customStyle="1" w:styleId="WW8Num34z4">
    <w:name w:val="WW8Num34z4"/>
    <w:qFormat/>
  </w:style>
  <w:style w:type="character" w:customStyle="1" w:styleId="WW8Num34z5">
    <w:name w:val="WW8Num34z5"/>
    <w:qFormat/>
  </w:style>
  <w:style w:type="character" w:customStyle="1" w:styleId="WW8Num34z6">
    <w:name w:val="WW8Num34z6"/>
    <w:qFormat/>
  </w:style>
  <w:style w:type="character" w:customStyle="1" w:styleId="WW8Num34z7">
    <w:name w:val="WW8Num34z7"/>
    <w:qFormat/>
  </w:style>
  <w:style w:type="character" w:customStyle="1" w:styleId="WW8Num34z8">
    <w:name w:val="WW8Num34z8"/>
    <w:qFormat/>
  </w:style>
  <w:style w:type="character" w:customStyle="1" w:styleId="WW8Num35z0">
    <w:name w:val="WW8Num35z0"/>
    <w:qFormat/>
    <w:rPr>
      <w:b w:val="0"/>
      <w:color w:val="000000"/>
      <w:sz w:val="22"/>
      <w:szCs w:val="22"/>
      <w:lang w:val="es-ES" w:eastAsia="en-US"/>
    </w:rPr>
  </w:style>
  <w:style w:type="character" w:customStyle="1" w:styleId="WW8Num35z1">
    <w:name w:val="WW8Num35z1"/>
    <w:qFormat/>
  </w:style>
  <w:style w:type="character" w:customStyle="1" w:styleId="WW8Num35z2">
    <w:name w:val="WW8Num35z2"/>
    <w:qFormat/>
  </w:style>
  <w:style w:type="character" w:customStyle="1" w:styleId="WW8Num35z3">
    <w:name w:val="WW8Num35z3"/>
    <w:qFormat/>
  </w:style>
  <w:style w:type="character" w:customStyle="1" w:styleId="WW8Num35z4">
    <w:name w:val="WW8Num35z4"/>
    <w:qFormat/>
  </w:style>
  <w:style w:type="character" w:customStyle="1" w:styleId="WW8Num35z5">
    <w:name w:val="WW8Num35z5"/>
    <w:qFormat/>
  </w:style>
  <w:style w:type="character" w:customStyle="1" w:styleId="WW8Num35z6">
    <w:name w:val="WW8Num35z6"/>
    <w:qFormat/>
  </w:style>
  <w:style w:type="character" w:customStyle="1" w:styleId="WW8Num35z7">
    <w:name w:val="WW8Num35z7"/>
    <w:qFormat/>
  </w:style>
  <w:style w:type="character" w:customStyle="1" w:styleId="WW8Num35z8">
    <w:name w:val="WW8Num35z8"/>
    <w:qFormat/>
  </w:style>
  <w:style w:type="character" w:customStyle="1" w:styleId="WW8Num36z0">
    <w:name w:val="WW8Num36z0"/>
    <w:qFormat/>
    <w:rPr>
      <w:color w:val="000000"/>
    </w:rPr>
  </w:style>
  <w:style w:type="character" w:customStyle="1" w:styleId="WW8Num36z1">
    <w:name w:val="WW8Num36z1"/>
    <w:qFormat/>
    <w:rPr>
      <w:sz w:val="22"/>
      <w:szCs w:val="22"/>
    </w:rPr>
  </w:style>
  <w:style w:type="character" w:customStyle="1" w:styleId="WW8Num37z0">
    <w:name w:val="WW8Num37z0"/>
    <w:qFormat/>
  </w:style>
  <w:style w:type="character" w:customStyle="1" w:styleId="WW8Num37z1">
    <w:name w:val="WW8Num37z1"/>
    <w:qFormat/>
    <w:rPr>
      <w:rFonts w:ascii="Symbol" w:eastAsia="Times New Roman" w:hAnsi="Symbol" w:cs="Times New Roman"/>
    </w:rPr>
  </w:style>
  <w:style w:type="character" w:customStyle="1" w:styleId="WW8Num37z2">
    <w:name w:val="WW8Num37z2"/>
    <w:qFormat/>
    <w:rPr>
      <w:rFonts w:ascii="Calibri" w:eastAsia="Times New Roman" w:hAnsi="Calibri" w:cs="Times New Roman"/>
      <w:b/>
      <w:color w:val="000000"/>
    </w:rPr>
  </w:style>
  <w:style w:type="character" w:customStyle="1" w:styleId="WW8Num38z0">
    <w:name w:val="WW8Num38z0"/>
    <w:qFormat/>
    <w:rPr>
      <w:color w:val="000000"/>
    </w:rPr>
  </w:style>
  <w:style w:type="character" w:customStyle="1" w:styleId="WW8Num38z1">
    <w:name w:val="WW8Num38z1"/>
    <w:qFormat/>
    <w:rPr>
      <w:sz w:val="22"/>
      <w:szCs w:val="22"/>
      <w:lang w:val="es-ES"/>
    </w:rPr>
  </w:style>
  <w:style w:type="character" w:customStyle="1" w:styleId="WW8Num39z0">
    <w:name w:val="WW8Num39z0"/>
    <w:qFormat/>
    <w:rPr>
      <w:rFonts w:eastAsia="Palatino Linotype" w:cs="Arial"/>
      <w:color w:val="000000"/>
      <w:spacing w:val="-1"/>
      <w:sz w:val="22"/>
      <w:szCs w:val="22"/>
      <w:lang w:val="es-ES" w:eastAsia="en-US"/>
    </w:rPr>
  </w:style>
  <w:style w:type="character" w:customStyle="1" w:styleId="WW8Num39z1">
    <w:name w:val="WW8Num39z1"/>
    <w:qFormat/>
  </w:style>
  <w:style w:type="character" w:customStyle="1" w:styleId="WW8Num39z2">
    <w:name w:val="WW8Num39z2"/>
    <w:qFormat/>
  </w:style>
  <w:style w:type="character" w:customStyle="1" w:styleId="WW8Num39z3">
    <w:name w:val="WW8Num39z3"/>
    <w:qFormat/>
  </w:style>
  <w:style w:type="character" w:customStyle="1" w:styleId="WW8Num39z4">
    <w:name w:val="WW8Num39z4"/>
    <w:qFormat/>
  </w:style>
  <w:style w:type="character" w:customStyle="1" w:styleId="WW8Num39z5">
    <w:name w:val="WW8Num39z5"/>
    <w:qFormat/>
  </w:style>
  <w:style w:type="character" w:customStyle="1" w:styleId="WW8Num39z6">
    <w:name w:val="WW8Num39z6"/>
    <w:qFormat/>
  </w:style>
  <w:style w:type="character" w:customStyle="1" w:styleId="WW8Num39z7">
    <w:name w:val="WW8Num39z7"/>
    <w:qFormat/>
  </w:style>
  <w:style w:type="character" w:customStyle="1" w:styleId="WW8Num39z8">
    <w:name w:val="WW8Num39z8"/>
    <w:qFormat/>
  </w:style>
  <w:style w:type="character" w:customStyle="1" w:styleId="WW8Num40z0">
    <w:name w:val="WW8Num40z0"/>
    <w:qFormat/>
    <w:rPr>
      <w:rFonts w:eastAsia="Palatino Linotype"/>
      <w:sz w:val="22"/>
      <w:szCs w:val="22"/>
      <w:lang w:val="es-ES"/>
    </w:rPr>
  </w:style>
  <w:style w:type="character" w:customStyle="1" w:styleId="WW8Num40z1">
    <w:name w:val="WW8Num40z1"/>
    <w:qFormat/>
  </w:style>
  <w:style w:type="character" w:customStyle="1" w:styleId="WW8Num40z2">
    <w:name w:val="WW8Num40z2"/>
    <w:qFormat/>
  </w:style>
  <w:style w:type="character" w:customStyle="1" w:styleId="WW8Num40z3">
    <w:name w:val="WW8Num40z3"/>
    <w:qFormat/>
  </w:style>
  <w:style w:type="character" w:customStyle="1" w:styleId="WW8Num40z4">
    <w:name w:val="WW8Num40z4"/>
    <w:qFormat/>
  </w:style>
  <w:style w:type="character" w:customStyle="1" w:styleId="WW8Num40z5">
    <w:name w:val="WW8Num40z5"/>
    <w:qFormat/>
  </w:style>
  <w:style w:type="character" w:customStyle="1" w:styleId="WW8Num40z6">
    <w:name w:val="WW8Num40z6"/>
    <w:qFormat/>
  </w:style>
  <w:style w:type="character" w:customStyle="1" w:styleId="WW8Num40z7">
    <w:name w:val="WW8Num40z7"/>
    <w:qFormat/>
  </w:style>
  <w:style w:type="character" w:customStyle="1" w:styleId="WW8Num40z8">
    <w:name w:val="WW8Num40z8"/>
    <w:qFormat/>
  </w:style>
  <w:style w:type="character" w:customStyle="1" w:styleId="WW8Num41z0">
    <w:name w:val="WW8Num41z0"/>
    <w:qFormat/>
    <w:rPr>
      <w:rFonts w:ascii="Symbol" w:eastAsia="Palatino Linotype" w:hAnsi="Symbol" w:cs="Symbol"/>
      <w:spacing w:val="-1"/>
      <w:sz w:val="22"/>
      <w:szCs w:val="22"/>
      <w:vertAlign w:val="superscript"/>
    </w:rPr>
  </w:style>
  <w:style w:type="character" w:customStyle="1" w:styleId="WW8Num41z1">
    <w:name w:val="WW8Num41z1"/>
    <w:qFormat/>
    <w:rPr>
      <w:rFonts w:ascii="Courier New" w:hAnsi="Courier New" w:cs="Courier New"/>
    </w:rPr>
  </w:style>
  <w:style w:type="character" w:customStyle="1" w:styleId="WW8Num41z2">
    <w:name w:val="WW8Num41z2"/>
    <w:qFormat/>
    <w:rPr>
      <w:rFonts w:ascii="Wingdings" w:hAnsi="Wingdings" w:cs="Wingdings"/>
    </w:rPr>
  </w:style>
  <w:style w:type="character" w:customStyle="1" w:styleId="WW8Num42z0">
    <w:name w:val="WW8Num42z0"/>
    <w:qFormat/>
    <w:rPr>
      <w:sz w:val="22"/>
      <w:szCs w:val="22"/>
      <w:lang w:val="es-ES"/>
    </w:rPr>
  </w:style>
  <w:style w:type="character" w:customStyle="1" w:styleId="WW8Num42z1">
    <w:name w:val="WW8Num42z1"/>
    <w:qFormat/>
  </w:style>
  <w:style w:type="character" w:customStyle="1" w:styleId="WW8Num42z2">
    <w:name w:val="WW8Num42z2"/>
    <w:qFormat/>
  </w:style>
  <w:style w:type="character" w:customStyle="1" w:styleId="WW8Num42z3">
    <w:name w:val="WW8Num42z3"/>
    <w:qFormat/>
  </w:style>
  <w:style w:type="character" w:customStyle="1" w:styleId="WW8Num42z4">
    <w:name w:val="WW8Num42z4"/>
    <w:qFormat/>
  </w:style>
  <w:style w:type="character" w:customStyle="1" w:styleId="WW8Num42z5">
    <w:name w:val="WW8Num42z5"/>
    <w:qFormat/>
  </w:style>
  <w:style w:type="character" w:customStyle="1" w:styleId="WW8Num42z6">
    <w:name w:val="WW8Num42z6"/>
    <w:qFormat/>
  </w:style>
  <w:style w:type="character" w:customStyle="1" w:styleId="WW8Num42z7">
    <w:name w:val="WW8Num42z7"/>
    <w:qFormat/>
  </w:style>
  <w:style w:type="character" w:customStyle="1" w:styleId="WW8Num42z8">
    <w:name w:val="WW8Num42z8"/>
    <w:qFormat/>
  </w:style>
  <w:style w:type="character" w:customStyle="1" w:styleId="WW8Num43z0">
    <w:name w:val="WW8Num43z0"/>
    <w:qFormat/>
    <w:rPr>
      <w:rFonts w:ascii="Arial" w:eastAsia="Times New Roman" w:hAnsi="Arial" w:cs="Arial"/>
      <w:b w:val="0"/>
    </w:rPr>
  </w:style>
  <w:style w:type="character" w:customStyle="1" w:styleId="WW8Num43z1">
    <w:name w:val="WW8Num43z1"/>
    <w:qFormat/>
    <w:rPr>
      <w:rFonts w:ascii="Courier New" w:hAnsi="Courier New" w:cs="Courier New"/>
    </w:rPr>
  </w:style>
  <w:style w:type="character" w:customStyle="1" w:styleId="WW8Num43z2">
    <w:name w:val="WW8Num43z2"/>
    <w:qFormat/>
    <w:rPr>
      <w:rFonts w:ascii="Wingdings" w:hAnsi="Wingdings" w:cs="Wingdings"/>
    </w:rPr>
  </w:style>
  <w:style w:type="character" w:customStyle="1" w:styleId="WW8Num43z3">
    <w:name w:val="WW8Num43z3"/>
    <w:qFormat/>
    <w:rPr>
      <w:rFonts w:ascii="Symbol" w:hAnsi="Symbol" w:cs="Symbol"/>
    </w:rPr>
  </w:style>
  <w:style w:type="character" w:customStyle="1" w:styleId="WW8Num44z0">
    <w:name w:val="WW8Num44z0"/>
    <w:qFormat/>
    <w:rPr>
      <w:rFonts w:ascii="Times New Roman" w:hAnsi="Times New Roman" w:cs="Times New Roman"/>
      <w:strike w:val="0"/>
      <w:dstrike w:val="0"/>
      <w:color w:val="000000"/>
      <w:sz w:val="22"/>
      <w:szCs w:val="22"/>
    </w:rPr>
  </w:style>
  <w:style w:type="character" w:customStyle="1" w:styleId="WW8Num44z1">
    <w:name w:val="WW8Num44z1"/>
    <w:qFormat/>
  </w:style>
  <w:style w:type="character" w:customStyle="1" w:styleId="WW8Num45z0">
    <w:name w:val="WW8Num45z0"/>
    <w:qFormat/>
    <w:rPr>
      <w:sz w:val="22"/>
      <w:szCs w:val="22"/>
      <w:lang w:val="es-ES"/>
    </w:rPr>
  </w:style>
  <w:style w:type="character" w:customStyle="1" w:styleId="WW8Num45z1">
    <w:name w:val="WW8Num45z1"/>
    <w:qFormat/>
  </w:style>
  <w:style w:type="character" w:customStyle="1" w:styleId="WW8Num45z2">
    <w:name w:val="WW8Num45z2"/>
    <w:qFormat/>
  </w:style>
  <w:style w:type="character" w:customStyle="1" w:styleId="WW8Num45z3">
    <w:name w:val="WW8Num45z3"/>
    <w:qFormat/>
  </w:style>
  <w:style w:type="character" w:customStyle="1" w:styleId="WW8Num45z4">
    <w:name w:val="WW8Num45z4"/>
    <w:qFormat/>
  </w:style>
  <w:style w:type="character" w:customStyle="1" w:styleId="WW8Num45z5">
    <w:name w:val="WW8Num45z5"/>
    <w:qFormat/>
  </w:style>
  <w:style w:type="character" w:customStyle="1" w:styleId="WW8Num45z6">
    <w:name w:val="WW8Num45z6"/>
    <w:qFormat/>
  </w:style>
  <w:style w:type="character" w:customStyle="1" w:styleId="WW8Num45z7">
    <w:name w:val="WW8Num45z7"/>
    <w:qFormat/>
  </w:style>
  <w:style w:type="character" w:customStyle="1" w:styleId="WW8Num45z8">
    <w:name w:val="WW8Num45z8"/>
    <w:qFormat/>
  </w:style>
  <w:style w:type="character" w:customStyle="1" w:styleId="WW8Num46z0">
    <w:name w:val="WW8Num46z0"/>
    <w:qFormat/>
  </w:style>
  <w:style w:type="character" w:customStyle="1" w:styleId="WW8Num46z2">
    <w:name w:val="WW8Num46z2"/>
    <w:qFormat/>
    <w:rPr>
      <w:b w:val="0"/>
      <w:sz w:val="22"/>
      <w:szCs w:val="22"/>
    </w:rPr>
  </w:style>
  <w:style w:type="character" w:customStyle="1" w:styleId="WW8Num47z0">
    <w:name w:val="WW8Num47z0"/>
    <w:qFormat/>
    <w:rPr>
      <w:color w:val="FF0000"/>
      <w:sz w:val="22"/>
      <w:szCs w:val="22"/>
      <w:u w:val="none"/>
    </w:rPr>
  </w:style>
  <w:style w:type="character" w:customStyle="1" w:styleId="WW8Num48z0">
    <w:name w:val="WW8Num48z0"/>
    <w:qFormat/>
    <w:rPr>
      <w:bCs/>
      <w:color w:val="000000"/>
      <w:sz w:val="22"/>
      <w:szCs w:val="22"/>
      <w:lang w:val="es-ES" w:eastAsia="es-ES"/>
    </w:rPr>
  </w:style>
  <w:style w:type="character" w:customStyle="1" w:styleId="WW8Num48z1">
    <w:name w:val="WW8Num48z1"/>
    <w:qFormat/>
  </w:style>
  <w:style w:type="character" w:customStyle="1" w:styleId="WW8Num48z2">
    <w:name w:val="WW8Num48z2"/>
    <w:qFormat/>
  </w:style>
  <w:style w:type="character" w:customStyle="1" w:styleId="WW8Num48z3">
    <w:name w:val="WW8Num48z3"/>
    <w:qFormat/>
  </w:style>
  <w:style w:type="character" w:customStyle="1" w:styleId="WW8Num48z4">
    <w:name w:val="WW8Num48z4"/>
    <w:qFormat/>
  </w:style>
  <w:style w:type="character" w:customStyle="1" w:styleId="WW8Num48z5">
    <w:name w:val="WW8Num48z5"/>
    <w:qFormat/>
  </w:style>
  <w:style w:type="character" w:customStyle="1" w:styleId="WW8Num48z6">
    <w:name w:val="WW8Num48z6"/>
    <w:qFormat/>
  </w:style>
  <w:style w:type="character" w:customStyle="1" w:styleId="WW8Num48z7">
    <w:name w:val="WW8Num48z7"/>
    <w:qFormat/>
  </w:style>
  <w:style w:type="character" w:customStyle="1" w:styleId="WW8Num48z8">
    <w:name w:val="WW8Num48z8"/>
    <w:qFormat/>
  </w:style>
  <w:style w:type="character" w:customStyle="1" w:styleId="WW8Num49z0">
    <w:name w:val="WW8Num49z0"/>
    <w:qFormat/>
    <w:rPr>
      <w:b/>
    </w:rPr>
  </w:style>
  <w:style w:type="character" w:customStyle="1" w:styleId="WW8Num49z1">
    <w:name w:val="WW8Num49z1"/>
    <w:qFormat/>
  </w:style>
  <w:style w:type="character" w:customStyle="1" w:styleId="WW8Num49z2">
    <w:name w:val="WW8Num49z2"/>
    <w:qFormat/>
  </w:style>
  <w:style w:type="character" w:customStyle="1" w:styleId="WW8Num49z3">
    <w:name w:val="WW8Num49z3"/>
    <w:qFormat/>
  </w:style>
  <w:style w:type="character" w:customStyle="1" w:styleId="WW8Num49z4">
    <w:name w:val="WW8Num49z4"/>
    <w:qFormat/>
  </w:style>
  <w:style w:type="character" w:customStyle="1" w:styleId="WW8Num49z5">
    <w:name w:val="WW8Num49z5"/>
    <w:qFormat/>
  </w:style>
  <w:style w:type="character" w:customStyle="1" w:styleId="WW8Num49z6">
    <w:name w:val="WW8Num49z6"/>
    <w:qFormat/>
  </w:style>
  <w:style w:type="character" w:customStyle="1" w:styleId="WW8Num49z7">
    <w:name w:val="WW8Num49z7"/>
    <w:qFormat/>
  </w:style>
  <w:style w:type="character" w:customStyle="1" w:styleId="WW8Num49z8">
    <w:name w:val="WW8Num49z8"/>
    <w:qFormat/>
  </w:style>
  <w:style w:type="character" w:customStyle="1" w:styleId="WW8Num50z0">
    <w:name w:val="WW8Num50z0"/>
    <w:qFormat/>
    <w:rPr>
      <w:b w:val="0"/>
    </w:rPr>
  </w:style>
  <w:style w:type="character" w:customStyle="1" w:styleId="WW8Num50z1">
    <w:name w:val="WW8Num50z1"/>
    <w:qFormat/>
  </w:style>
  <w:style w:type="character" w:customStyle="1" w:styleId="WW8Num50z2">
    <w:name w:val="WW8Num50z2"/>
    <w:qFormat/>
  </w:style>
  <w:style w:type="character" w:customStyle="1" w:styleId="WW8Num50z3">
    <w:name w:val="WW8Num50z3"/>
    <w:qFormat/>
  </w:style>
  <w:style w:type="character" w:customStyle="1" w:styleId="WW8Num50z4">
    <w:name w:val="WW8Num50z4"/>
    <w:qFormat/>
  </w:style>
  <w:style w:type="character" w:customStyle="1" w:styleId="WW8Num50z5">
    <w:name w:val="WW8Num50z5"/>
    <w:qFormat/>
  </w:style>
  <w:style w:type="character" w:customStyle="1" w:styleId="WW8Num50z6">
    <w:name w:val="WW8Num50z6"/>
    <w:qFormat/>
  </w:style>
  <w:style w:type="character" w:customStyle="1" w:styleId="WW8Num50z7">
    <w:name w:val="WW8Num50z7"/>
    <w:qFormat/>
  </w:style>
  <w:style w:type="character" w:customStyle="1" w:styleId="WW8Num50z8">
    <w:name w:val="WW8Num50z8"/>
    <w:qFormat/>
  </w:style>
  <w:style w:type="character" w:customStyle="1" w:styleId="WW8Num51z0">
    <w:name w:val="WW8Num51z0"/>
    <w:qFormat/>
    <w:rPr>
      <w:rFonts w:ascii="Symbol" w:hAnsi="Symbol" w:cs="Symbol"/>
      <w:sz w:val="22"/>
      <w:szCs w:val="22"/>
      <w:lang w:val="es-ES"/>
    </w:rPr>
  </w:style>
  <w:style w:type="character" w:customStyle="1" w:styleId="WW8Num51z1">
    <w:name w:val="WW8Num51z1"/>
    <w:qFormat/>
    <w:rPr>
      <w:rFonts w:ascii="Courier New" w:hAnsi="Courier New" w:cs="Courier New"/>
    </w:rPr>
  </w:style>
  <w:style w:type="character" w:customStyle="1" w:styleId="WW8Num51z2">
    <w:name w:val="WW8Num51z2"/>
    <w:qFormat/>
    <w:rPr>
      <w:rFonts w:ascii="Wingdings" w:hAnsi="Wingdings" w:cs="Wingdings"/>
    </w:rPr>
  </w:style>
  <w:style w:type="character" w:customStyle="1" w:styleId="WW8Num52z0">
    <w:name w:val="WW8Num52z0"/>
    <w:qFormat/>
    <w:rPr>
      <w:rFonts w:ascii="Symbol" w:hAnsi="Symbol" w:cs="Symbol"/>
    </w:rPr>
  </w:style>
  <w:style w:type="character" w:customStyle="1" w:styleId="WW8Num52z1">
    <w:name w:val="WW8Num52z1"/>
    <w:qFormat/>
    <w:rPr>
      <w:rFonts w:ascii="Courier New" w:hAnsi="Courier New" w:cs="Courier New"/>
    </w:rPr>
  </w:style>
  <w:style w:type="character" w:customStyle="1" w:styleId="WW8Num52z2">
    <w:name w:val="WW8Num52z2"/>
    <w:qFormat/>
    <w:rPr>
      <w:rFonts w:ascii="Wingdings" w:hAnsi="Wingdings" w:cs="Wingdings"/>
    </w:rPr>
  </w:style>
  <w:style w:type="character" w:customStyle="1" w:styleId="WW8Num53z0">
    <w:name w:val="WW8Num53z0"/>
    <w:qFormat/>
  </w:style>
  <w:style w:type="character" w:customStyle="1" w:styleId="WW8Num53z1">
    <w:name w:val="WW8Num53z1"/>
    <w:qFormat/>
    <w:rPr>
      <w:color w:val="000000"/>
      <w:sz w:val="22"/>
      <w:szCs w:val="22"/>
      <w:lang w:val="es-ES"/>
    </w:rPr>
  </w:style>
  <w:style w:type="character" w:customStyle="1" w:styleId="WW8Num53z2">
    <w:name w:val="WW8Num53z2"/>
    <w:qFormat/>
  </w:style>
  <w:style w:type="character" w:customStyle="1" w:styleId="WW8Num53z3">
    <w:name w:val="WW8Num53z3"/>
    <w:qFormat/>
  </w:style>
  <w:style w:type="character" w:customStyle="1" w:styleId="WW8Num53z4">
    <w:name w:val="WW8Num53z4"/>
    <w:qFormat/>
  </w:style>
  <w:style w:type="character" w:customStyle="1" w:styleId="WW8Num53z5">
    <w:name w:val="WW8Num53z5"/>
    <w:qFormat/>
  </w:style>
  <w:style w:type="character" w:customStyle="1" w:styleId="WW8Num53z6">
    <w:name w:val="WW8Num53z6"/>
    <w:qFormat/>
  </w:style>
  <w:style w:type="character" w:customStyle="1" w:styleId="WW8Num53z7">
    <w:name w:val="WW8Num53z7"/>
    <w:qFormat/>
  </w:style>
  <w:style w:type="character" w:customStyle="1" w:styleId="WW8Num53z8">
    <w:name w:val="WW8Num53z8"/>
    <w:qFormat/>
  </w:style>
  <w:style w:type="character" w:customStyle="1" w:styleId="WW8Num54z0">
    <w:name w:val="WW8Num54z0"/>
    <w:qFormat/>
    <w:rPr>
      <w:rFonts w:eastAsia="Palatino Linotype"/>
      <w:strike w:val="0"/>
      <w:dstrike w:val="0"/>
      <w:color w:val="000000"/>
      <w:spacing w:val="-1"/>
      <w:sz w:val="22"/>
      <w:szCs w:val="22"/>
      <w:lang w:val="es-ES"/>
    </w:rPr>
  </w:style>
  <w:style w:type="character" w:customStyle="1" w:styleId="WW8Num54z1">
    <w:name w:val="WW8Num54z1"/>
    <w:qFormat/>
    <w:rPr>
      <w:rFonts w:cs="Times New Roman"/>
    </w:rPr>
  </w:style>
  <w:style w:type="character" w:customStyle="1" w:styleId="WW8Num55z0">
    <w:name w:val="WW8Num55z0"/>
    <w:qFormat/>
    <w:rPr>
      <w:b/>
      <w:sz w:val="22"/>
      <w:szCs w:val="22"/>
      <w:lang w:val="es-ES"/>
    </w:rPr>
  </w:style>
  <w:style w:type="character" w:customStyle="1" w:styleId="WW8Num55z1">
    <w:name w:val="WW8Num55z1"/>
    <w:qFormat/>
  </w:style>
  <w:style w:type="character" w:customStyle="1" w:styleId="WW8Num55z2">
    <w:name w:val="WW8Num55z2"/>
    <w:qFormat/>
  </w:style>
  <w:style w:type="character" w:customStyle="1" w:styleId="WW8Num55z3">
    <w:name w:val="WW8Num55z3"/>
    <w:qFormat/>
  </w:style>
  <w:style w:type="character" w:customStyle="1" w:styleId="WW8Num55z4">
    <w:name w:val="WW8Num55z4"/>
    <w:qFormat/>
  </w:style>
  <w:style w:type="character" w:customStyle="1" w:styleId="WW8Num55z5">
    <w:name w:val="WW8Num55z5"/>
    <w:qFormat/>
  </w:style>
  <w:style w:type="character" w:customStyle="1" w:styleId="WW8Num55z6">
    <w:name w:val="WW8Num55z6"/>
    <w:qFormat/>
  </w:style>
  <w:style w:type="character" w:customStyle="1" w:styleId="WW8Num55z7">
    <w:name w:val="WW8Num55z7"/>
    <w:qFormat/>
  </w:style>
  <w:style w:type="character" w:customStyle="1" w:styleId="WW8Num55z8">
    <w:name w:val="WW8Num55z8"/>
    <w:qFormat/>
  </w:style>
  <w:style w:type="character" w:customStyle="1" w:styleId="WW8Num56z0">
    <w:name w:val="WW8Num56z0"/>
    <w:qFormat/>
    <w:rPr>
      <w:rFonts w:eastAsia="Palatino Linotype"/>
      <w:spacing w:val="-1"/>
      <w:sz w:val="22"/>
      <w:szCs w:val="22"/>
      <w:lang w:val="es-ES"/>
    </w:rPr>
  </w:style>
  <w:style w:type="character" w:customStyle="1" w:styleId="WW8Num56z1">
    <w:name w:val="WW8Num56z1"/>
    <w:qFormat/>
  </w:style>
  <w:style w:type="character" w:customStyle="1" w:styleId="WW8Num56z2">
    <w:name w:val="WW8Num56z2"/>
    <w:qFormat/>
  </w:style>
  <w:style w:type="character" w:customStyle="1" w:styleId="WW8Num56z3">
    <w:name w:val="WW8Num56z3"/>
    <w:qFormat/>
  </w:style>
  <w:style w:type="character" w:customStyle="1" w:styleId="WW8Num56z4">
    <w:name w:val="WW8Num56z4"/>
    <w:qFormat/>
  </w:style>
  <w:style w:type="character" w:customStyle="1" w:styleId="WW8Num56z5">
    <w:name w:val="WW8Num56z5"/>
    <w:qFormat/>
  </w:style>
  <w:style w:type="character" w:customStyle="1" w:styleId="WW8Num56z6">
    <w:name w:val="WW8Num56z6"/>
    <w:qFormat/>
  </w:style>
  <w:style w:type="character" w:customStyle="1" w:styleId="WW8Num56z7">
    <w:name w:val="WW8Num56z7"/>
    <w:qFormat/>
  </w:style>
  <w:style w:type="character" w:customStyle="1" w:styleId="WW8Num56z8">
    <w:name w:val="WW8Num56z8"/>
    <w:qFormat/>
  </w:style>
  <w:style w:type="character" w:customStyle="1" w:styleId="WW8Num57z0">
    <w:name w:val="WW8Num57z0"/>
    <w:qFormat/>
    <w:rPr>
      <w:rFonts w:eastAsia="Palatino Linotype"/>
      <w:spacing w:val="-1"/>
      <w:sz w:val="22"/>
      <w:szCs w:val="22"/>
      <w:lang w:val="es-ES"/>
    </w:rPr>
  </w:style>
  <w:style w:type="character" w:customStyle="1" w:styleId="WW8Num57z1">
    <w:name w:val="WW8Num57z1"/>
    <w:qFormat/>
  </w:style>
  <w:style w:type="character" w:customStyle="1" w:styleId="WW8Num57z2">
    <w:name w:val="WW8Num57z2"/>
    <w:qFormat/>
  </w:style>
  <w:style w:type="character" w:customStyle="1" w:styleId="WW8Num57z3">
    <w:name w:val="WW8Num57z3"/>
    <w:qFormat/>
  </w:style>
  <w:style w:type="character" w:customStyle="1" w:styleId="WW8Num57z4">
    <w:name w:val="WW8Num57z4"/>
    <w:qFormat/>
  </w:style>
  <w:style w:type="character" w:customStyle="1" w:styleId="WW8Num57z5">
    <w:name w:val="WW8Num57z5"/>
    <w:qFormat/>
  </w:style>
  <w:style w:type="character" w:customStyle="1" w:styleId="WW8Num57z6">
    <w:name w:val="WW8Num57z6"/>
    <w:qFormat/>
  </w:style>
  <w:style w:type="character" w:customStyle="1" w:styleId="WW8Num57z7">
    <w:name w:val="WW8Num57z7"/>
    <w:qFormat/>
  </w:style>
  <w:style w:type="character" w:customStyle="1" w:styleId="WW8Num57z8">
    <w:name w:val="WW8Num57z8"/>
    <w:qFormat/>
  </w:style>
  <w:style w:type="character" w:customStyle="1" w:styleId="WW8Num58z0">
    <w:name w:val="WW8Num58z0"/>
    <w:qFormat/>
    <w:rPr>
      <w:b/>
      <w:sz w:val="22"/>
      <w:szCs w:val="22"/>
      <w:lang w:val="es-ES"/>
    </w:rPr>
  </w:style>
  <w:style w:type="character" w:customStyle="1" w:styleId="WW8Num58z1">
    <w:name w:val="WW8Num58z1"/>
    <w:qFormat/>
  </w:style>
  <w:style w:type="character" w:customStyle="1" w:styleId="WW8Num58z2">
    <w:name w:val="WW8Num58z2"/>
    <w:qFormat/>
  </w:style>
  <w:style w:type="character" w:customStyle="1" w:styleId="WW8Num58z3">
    <w:name w:val="WW8Num58z3"/>
    <w:qFormat/>
  </w:style>
  <w:style w:type="character" w:customStyle="1" w:styleId="WW8Num58z4">
    <w:name w:val="WW8Num58z4"/>
    <w:qFormat/>
  </w:style>
  <w:style w:type="character" w:customStyle="1" w:styleId="WW8Num58z5">
    <w:name w:val="WW8Num58z5"/>
    <w:qFormat/>
  </w:style>
  <w:style w:type="character" w:customStyle="1" w:styleId="WW8Num58z6">
    <w:name w:val="WW8Num58z6"/>
    <w:qFormat/>
  </w:style>
  <w:style w:type="character" w:customStyle="1" w:styleId="WW8Num58z7">
    <w:name w:val="WW8Num58z7"/>
    <w:qFormat/>
  </w:style>
  <w:style w:type="character" w:customStyle="1" w:styleId="WW8Num58z8">
    <w:name w:val="WW8Num58z8"/>
    <w:qFormat/>
  </w:style>
  <w:style w:type="character" w:customStyle="1" w:styleId="WW8Num59z0">
    <w:name w:val="WW8Num59z0"/>
    <w:qFormat/>
  </w:style>
  <w:style w:type="character" w:customStyle="1" w:styleId="WW8Num59z1">
    <w:name w:val="WW8Num59z1"/>
    <w:qFormat/>
  </w:style>
  <w:style w:type="character" w:customStyle="1" w:styleId="WW8Num59z2">
    <w:name w:val="WW8Num59z2"/>
    <w:qFormat/>
  </w:style>
  <w:style w:type="character" w:customStyle="1" w:styleId="WW8Num59z3">
    <w:name w:val="WW8Num59z3"/>
    <w:qFormat/>
  </w:style>
  <w:style w:type="character" w:customStyle="1" w:styleId="WW8Num59z4">
    <w:name w:val="WW8Num59z4"/>
    <w:qFormat/>
  </w:style>
  <w:style w:type="character" w:customStyle="1" w:styleId="WW8Num59z5">
    <w:name w:val="WW8Num59z5"/>
    <w:qFormat/>
  </w:style>
  <w:style w:type="character" w:customStyle="1" w:styleId="WW8Num59z6">
    <w:name w:val="WW8Num59z6"/>
    <w:qFormat/>
  </w:style>
  <w:style w:type="character" w:customStyle="1" w:styleId="WW8Num59z7">
    <w:name w:val="WW8Num59z7"/>
    <w:qFormat/>
  </w:style>
  <w:style w:type="character" w:customStyle="1" w:styleId="WW8Num59z8">
    <w:name w:val="WW8Num59z8"/>
    <w:qFormat/>
  </w:style>
  <w:style w:type="character" w:customStyle="1" w:styleId="WW8Num60z0">
    <w:name w:val="WW8Num60z0"/>
    <w:qFormat/>
    <w:rPr>
      <w:rFonts w:eastAsia="Palatino Linotype"/>
      <w:spacing w:val="-10"/>
      <w:sz w:val="22"/>
      <w:szCs w:val="22"/>
      <w:lang w:eastAsia="es-UY"/>
    </w:rPr>
  </w:style>
  <w:style w:type="character" w:customStyle="1" w:styleId="WW8Num60z1">
    <w:name w:val="WW8Num60z1"/>
    <w:qFormat/>
  </w:style>
  <w:style w:type="character" w:customStyle="1" w:styleId="WW8Num60z2">
    <w:name w:val="WW8Num60z2"/>
    <w:qFormat/>
  </w:style>
  <w:style w:type="character" w:customStyle="1" w:styleId="WW8Num60z3">
    <w:name w:val="WW8Num60z3"/>
    <w:qFormat/>
  </w:style>
  <w:style w:type="character" w:customStyle="1" w:styleId="WW8Num60z4">
    <w:name w:val="WW8Num60z4"/>
    <w:qFormat/>
  </w:style>
  <w:style w:type="character" w:customStyle="1" w:styleId="WW8Num60z5">
    <w:name w:val="WW8Num60z5"/>
    <w:qFormat/>
  </w:style>
  <w:style w:type="character" w:customStyle="1" w:styleId="WW8Num60z6">
    <w:name w:val="WW8Num60z6"/>
    <w:qFormat/>
  </w:style>
  <w:style w:type="character" w:customStyle="1" w:styleId="WW8Num60z7">
    <w:name w:val="WW8Num60z7"/>
    <w:qFormat/>
  </w:style>
  <w:style w:type="character" w:customStyle="1" w:styleId="WW8Num60z8">
    <w:name w:val="WW8Num60z8"/>
    <w:qFormat/>
  </w:style>
  <w:style w:type="character" w:customStyle="1" w:styleId="WW8Num61z0">
    <w:name w:val="WW8Num61z0"/>
    <w:qFormat/>
  </w:style>
  <w:style w:type="character" w:customStyle="1" w:styleId="WW8Num62z0">
    <w:name w:val="WW8Num62z0"/>
    <w:qFormat/>
    <w:rPr>
      <w:b/>
      <w:i w:val="0"/>
    </w:rPr>
  </w:style>
  <w:style w:type="character" w:customStyle="1" w:styleId="WW8Num62z1">
    <w:name w:val="WW8Num62z1"/>
    <w:qFormat/>
    <w:rPr>
      <w:color w:val="000000"/>
      <w:sz w:val="22"/>
      <w:szCs w:val="22"/>
      <w:lang w:val="es-ES"/>
    </w:rPr>
  </w:style>
  <w:style w:type="character" w:customStyle="1" w:styleId="WW8Num63z0">
    <w:name w:val="WW8Num63z0"/>
    <w:qFormat/>
  </w:style>
  <w:style w:type="character" w:customStyle="1" w:styleId="WW8Num63z1">
    <w:name w:val="WW8Num63z1"/>
    <w:qFormat/>
  </w:style>
  <w:style w:type="character" w:customStyle="1" w:styleId="WW8Num63z2">
    <w:name w:val="WW8Num63z2"/>
    <w:qFormat/>
  </w:style>
  <w:style w:type="character" w:customStyle="1" w:styleId="WW8Num63z3">
    <w:name w:val="WW8Num63z3"/>
    <w:qFormat/>
  </w:style>
  <w:style w:type="character" w:customStyle="1" w:styleId="WW8Num63z4">
    <w:name w:val="WW8Num63z4"/>
    <w:qFormat/>
  </w:style>
  <w:style w:type="character" w:customStyle="1" w:styleId="WW8Num63z5">
    <w:name w:val="WW8Num63z5"/>
    <w:qFormat/>
  </w:style>
  <w:style w:type="character" w:customStyle="1" w:styleId="WW8Num63z6">
    <w:name w:val="WW8Num63z6"/>
    <w:qFormat/>
  </w:style>
  <w:style w:type="character" w:customStyle="1" w:styleId="WW8Num63z7">
    <w:name w:val="WW8Num63z7"/>
    <w:qFormat/>
  </w:style>
  <w:style w:type="character" w:customStyle="1" w:styleId="WW8Num63z8">
    <w:name w:val="WW8Num63z8"/>
    <w:qFormat/>
  </w:style>
  <w:style w:type="character" w:customStyle="1" w:styleId="WW8Num64z0">
    <w:name w:val="WW8Num64z0"/>
    <w:qFormat/>
    <w:rPr>
      <w:color w:val="000000"/>
      <w:sz w:val="22"/>
      <w:szCs w:val="22"/>
      <w:lang w:val="es-ES"/>
    </w:rPr>
  </w:style>
  <w:style w:type="character" w:customStyle="1" w:styleId="WW8Num65z0">
    <w:name w:val="WW8Num65z0"/>
    <w:qFormat/>
    <w:rPr>
      <w:b/>
    </w:rPr>
  </w:style>
  <w:style w:type="character" w:customStyle="1" w:styleId="WW8Num65z1">
    <w:name w:val="WW8Num65z1"/>
    <w:qFormat/>
    <w:rPr>
      <w:color w:val="000000"/>
      <w:sz w:val="22"/>
      <w:szCs w:val="22"/>
      <w:lang w:val="es-ES_tradnl"/>
    </w:rPr>
  </w:style>
  <w:style w:type="character" w:customStyle="1" w:styleId="WW8Num65z2">
    <w:name w:val="WW8Num65z2"/>
    <w:qFormat/>
  </w:style>
  <w:style w:type="character" w:customStyle="1" w:styleId="WW8Num65z3">
    <w:name w:val="WW8Num65z3"/>
    <w:qFormat/>
    <w:rPr>
      <w:b w:val="0"/>
      <w:sz w:val="22"/>
      <w:szCs w:val="22"/>
      <w:lang w:val="es-ES"/>
    </w:rPr>
  </w:style>
  <w:style w:type="character" w:customStyle="1" w:styleId="WW8Num65z4">
    <w:name w:val="WW8Num65z4"/>
    <w:qFormat/>
  </w:style>
  <w:style w:type="character" w:customStyle="1" w:styleId="WW8Num65z5">
    <w:name w:val="WW8Num65z5"/>
    <w:qFormat/>
  </w:style>
  <w:style w:type="character" w:customStyle="1" w:styleId="WW8Num65z6">
    <w:name w:val="WW8Num65z6"/>
    <w:qFormat/>
  </w:style>
  <w:style w:type="character" w:customStyle="1" w:styleId="WW8Num65z7">
    <w:name w:val="WW8Num65z7"/>
    <w:qFormat/>
  </w:style>
  <w:style w:type="character" w:customStyle="1" w:styleId="WW8Num65z8">
    <w:name w:val="WW8Num65z8"/>
    <w:qFormat/>
  </w:style>
  <w:style w:type="character" w:customStyle="1" w:styleId="WW8Num66z0">
    <w:name w:val="WW8Num66z0"/>
    <w:qFormat/>
    <w:rPr>
      <w:b w:val="0"/>
    </w:rPr>
  </w:style>
  <w:style w:type="character" w:customStyle="1" w:styleId="WW8Num66z1">
    <w:name w:val="WW8Num66z1"/>
    <w:qFormat/>
  </w:style>
  <w:style w:type="character" w:customStyle="1" w:styleId="WW8Num67z0">
    <w:name w:val="WW8Num67z0"/>
    <w:qFormat/>
    <w:rPr>
      <w:sz w:val="22"/>
      <w:szCs w:val="22"/>
      <w:lang w:val="es-ES"/>
    </w:rPr>
  </w:style>
  <w:style w:type="character" w:customStyle="1" w:styleId="WW8Num68z0">
    <w:name w:val="WW8Num68z0"/>
    <w:qFormat/>
    <w:rPr>
      <w:rFonts w:eastAsia="Palatino Linotype"/>
      <w:spacing w:val="-1"/>
      <w:sz w:val="22"/>
      <w:szCs w:val="22"/>
      <w:lang w:val="es-ES"/>
    </w:rPr>
  </w:style>
  <w:style w:type="character" w:customStyle="1" w:styleId="WW8Num68z1">
    <w:name w:val="WW8Num68z1"/>
    <w:qFormat/>
  </w:style>
  <w:style w:type="character" w:customStyle="1" w:styleId="WW8Num68z2">
    <w:name w:val="WW8Num68z2"/>
    <w:qFormat/>
  </w:style>
  <w:style w:type="character" w:customStyle="1" w:styleId="WW8Num68z3">
    <w:name w:val="WW8Num68z3"/>
    <w:qFormat/>
  </w:style>
  <w:style w:type="character" w:customStyle="1" w:styleId="WW8Num68z4">
    <w:name w:val="WW8Num68z4"/>
    <w:qFormat/>
  </w:style>
  <w:style w:type="character" w:customStyle="1" w:styleId="WW8Num68z5">
    <w:name w:val="WW8Num68z5"/>
    <w:qFormat/>
  </w:style>
  <w:style w:type="character" w:customStyle="1" w:styleId="WW8Num68z6">
    <w:name w:val="WW8Num68z6"/>
    <w:qFormat/>
  </w:style>
  <w:style w:type="character" w:customStyle="1" w:styleId="WW8Num68z7">
    <w:name w:val="WW8Num68z7"/>
    <w:qFormat/>
  </w:style>
  <w:style w:type="character" w:customStyle="1" w:styleId="WW8Num68z8">
    <w:name w:val="WW8Num68z8"/>
    <w:qFormat/>
  </w:style>
  <w:style w:type="character" w:customStyle="1" w:styleId="WW8Num69z0">
    <w:name w:val="WW8Num69z0"/>
    <w:qFormat/>
  </w:style>
  <w:style w:type="character" w:customStyle="1" w:styleId="WW8Num69z2">
    <w:name w:val="WW8Num69z2"/>
    <w:qFormat/>
    <w:rPr>
      <w:b w:val="0"/>
      <w:color w:val="000000"/>
      <w:sz w:val="22"/>
      <w:szCs w:val="22"/>
      <w:lang w:val="es-ES"/>
    </w:rPr>
  </w:style>
  <w:style w:type="character" w:customStyle="1" w:styleId="WW8Num70z0">
    <w:name w:val="WW8Num70z0"/>
    <w:qFormat/>
  </w:style>
  <w:style w:type="character" w:customStyle="1" w:styleId="WW8Num70z1">
    <w:name w:val="WW8Num70z1"/>
    <w:qFormat/>
    <w:rPr>
      <w:rFonts w:ascii="Times New Roman" w:hAnsi="Times New Roman" w:cs="Times New Roman"/>
      <w:b/>
      <w:i w:val="0"/>
    </w:rPr>
  </w:style>
  <w:style w:type="character" w:customStyle="1" w:styleId="WW8Num70z2">
    <w:name w:val="WW8Num70z2"/>
    <w:qFormat/>
    <w:rPr>
      <w:rFonts w:ascii="Times New Roman" w:hAnsi="Times New Roman" w:cs="Times New Roman"/>
      <w:color w:val="000000"/>
      <w:spacing w:val="-3"/>
      <w:sz w:val="22"/>
      <w:szCs w:val="22"/>
      <w:lang w:val="es-ES"/>
    </w:rPr>
  </w:style>
  <w:style w:type="character" w:customStyle="1" w:styleId="WW8Num70z3">
    <w:name w:val="WW8Num70z3"/>
    <w:qFormat/>
    <w:rPr>
      <w:rFonts w:ascii="Times New Roman" w:hAnsi="Times New Roman" w:cs="Times New Roman"/>
    </w:rPr>
  </w:style>
  <w:style w:type="character" w:customStyle="1" w:styleId="WW8Num71z0">
    <w:name w:val="WW8Num71z0"/>
    <w:qFormat/>
    <w:rPr>
      <w:b/>
      <w:sz w:val="22"/>
      <w:szCs w:val="22"/>
      <w:lang w:val="es-ES"/>
    </w:rPr>
  </w:style>
  <w:style w:type="character" w:customStyle="1" w:styleId="WW8Num71z1">
    <w:name w:val="WW8Num71z1"/>
    <w:qFormat/>
  </w:style>
  <w:style w:type="character" w:customStyle="1" w:styleId="WW8Num71z2">
    <w:name w:val="WW8Num71z2"/>
    <w:qFormat/>
  </w:style>
  <w:style w:type="character" w:customStyle="1" w:styleId="WW8Num71z3">
    <w:name w:val="WW8Num71z3"/>
    <w:qFormat/>
  </w:style>
  <w:style w:type="character" w:customStyle="1" w:styleId="WW8Num71z4">
    <w:name w:val="WW8Num71z4"/>
    <w:qFormat/>
  </w:style>
  <w:style w:type="character" w:customStyle="1" w:styleId="WW8Num71z5">
    <w:name w:val="WW8Num71z5"/>
    <w:qFormat/>
  </w:style>
  <w:style w:type="character" w:customStyle="1" w:styleId="WW8Num71z6">
    <w:name w:val="WW8Num71z6"/>
    <w:qFormat/>
  </w:style>
  <w:style w:type="character" w:customStyle="1" w:styleId="WW8Num71z7">
    <w:name w:val="WW8Num71z7"/>
    <w:qFormat/>
  </w:style>
  <w:style w:type="character" w:customStyle="1" w:styleId="WW8Num71z8">
    <w:name w:val="WW8Num71z8"/>
    <w:qFormat/>
  </w:style>
  <w:style w:type="character" w:customStyle="1" w:styleId="WW8Num72z0">
    <w:name w:val="WW8Num72z0"/>
    <w:qFormat/>
    <w:rPr>
      <w:sz w:val="22"/>
      <w:szCs w:val="22"/>
      <w:lang w:val="es-ES"/>
    </w:rPr>
  </w:style>
  <w:style w:type="character" w:customStyle="1" w:styleId="WW8Num73z0">
    <w:name w:val="WW8Num73z0"/>
    <w:qFormat/>
    <w:rPr>
      <w:rFonts w:ascii="Times New Roman" w:hAnsi="Times New Roman" w:cs="Times New Roman"/>
      <w:b w:val="0"/>
      <w:strike w:val="0"/>
      <w:dstrike w:val="0"/>
      <w:sz w:val="22"/>
      <w:szCs w:val="22"/>
    </w:rPr>
  </w:style>
  <w:style w:type="character" w:customStyle="1" w:styleId="WW8Num73z1">
    <w:name w:val="WW8Num73z1"/>
    <w:qFormat/>
    <w:rPr>
      <w:strike w:val="0"/>
      <w:dstrike w:val="0"/>
    </w:rPr>
  </w:style>
  <w:style w:type="character" w:customStyle="1" w:styleId="WW8Num73z2">
    <w:name w:val="WW8Num73z2"/>
    <w:qFormat/>
  </w:style>
  <w:style w:type="character" w:customStyle="1" w:styleId="WW8Num73z3">
    <w:name w:val="WW8Num73z3"/>
    <w:qFormat/>
  </w:style>
  <w:style w:type="character" w:customStyle="1" w:styleId="WW8Num73z4">
    <w:name w:val="WW8Num73z4"/>
    <w:qFormat/>
  </w:style>
  <w:style w:type="character" w:customStyle="1" w:styleId="WW8Num73z5">
    <w:name w:val="WW8Num73z5"/>
    <w:qFormat/>
  </w:style>
  <w:style w:type="character" w:customStyle="1" w:styleId="WW8Num73z6">
    <w:name w:val="WW8Num73z6"/>
    <w:qFormat/>
  </w:style>
  <w:style w:type="character" w:customStyle="1" w:styleId="WW8Num73z7">
    <w:name w:val="WW8Num73z7"/>
    <w:qFormat/>
  </w:style>
  <w:style w:type="character" w:customStyle="1" w:styleId="WW8Num73z8">
    <w:name w:val="WW8Num73z8"/>
    <w:qFormat/>
  </w:style>
  <w:style w:type="character" w:customStyle="1" w:styleId="WW8Num74z0">
    <w:name w:val="WW8Num74z0"/>
    <w:qFormat/>
    <w:rPr>
      <w:sz w:val="22"/>
      <w:szCs w:val="22"/>
      <w:lang w:val="es-ES"/>
    </w:rPr>
  </w:style>
  <w:style w:type="character" w:customStyle="1" w:styleId="WW8Num74z1">
    <w:name w:val="WW8Num74z1"/>
    <w:qFormat/>
    <w:rPr>
      <w:b/>
      <w:sz w:val="22"/>
      <w:szCs w:val="22"/>
      <w:lang w:val="es-ES"/>
    </w:rPr>
  </w:style>
  <w:style w:type="character" w:customStyle="1" w:styleId="WW8Num75z0">
    <w:name w:val="WW8Num75z0"/>
    <w:qFormat/>
    <w:rPr>
      <w:rFonts w:ascii="Symbol" w:hAnsi="Symbol" w:cs="Symbol"/>
    </w:rPr>
  </w:style>
  <w:style w:type="character" w:customStyle="1" w:styleId="WW8Num75z1">
    <w:name w:val="WW8Num75z1"/>
    <w:qFormat/>
    <w:rPr>
      <w:rFonts w:ascii="Courier New" w:hAnsi="Courier New" w:cs="Courier New"/>
    </w:rPr>
  </w:style>
  <w:style w:type="character" w:customStyle="1" w:styleId="WW8Num75z2">
    <w:name w:val="WW8Num75z2"/>
    <w:qFormat/>
    <w:rPr>
      <w:rFonts w:ascii="Wingdings" w:hAnsi="Wingdings" w:cs="Wingdings"/>
    </w:rPr>
  </w:style>
  <w:style w:type="character" w:customStyle="1" w:styleId="WW8Num76z0">
    <w:name w:val="WW8Num76z0"/>
    <w:qFormat/>
    <w:rPr>
      <w:u w:val="none"/>
    </w:rPr>
  </w:style>
  <w:style w:type="character" w:customStyle="1" w:styleId="WW8Num77z0">
    <w:name w:val="WW8Num77z0"/>
    <w:qFormat/>
    <w:rPr>
      <w:rFonts w:eastAsia="Palatino Linotype"/>
      <w:spacing w:val="-1"/>
      <w:sz w:val="22"/>
      <w:szCs w:val="22"/>
      <w:lang w:val="es-ES"/>
    </w:rPr>
  </w:style>
  <w:style w:type="character" w:customStyle="1" w:styleId="WW8Num77z1">
    <w:name w:val="WW8Num77z1"/>
    <w:qFormat/>
  </w:style>
  <w:style w:type="character" w:customStyle="1" w:styleId="WW8Num77z2">
    <w:name w:val="WW8Num77z2"/>
    <w:qFormat/>
  </w:style>
  <w:style w:type="character" w:customStyle="1" w:styleId="WW8Num77z3">
    <w:name w:val="WW8Num77z3"/>
    <w:qFormat/>
  </w:style>
  <w:style w:type="character" w:customStyle="1" w:styleId="WW8Num77z4">
    <w:name w:val="WW8Num77z4"/>
    <w:qFormat/>
  </w:style>
  <w:style w:type="character" w:customStyle="1" w:styleId="WW8Num77z5">
    <w:name w:val="WW8Num77z5"/>
    <w:qFormat/>
  </w:style>
  <w:style w:type="character" w:customStyle="1" w:styleId="WW8Num77z6">
    <w:name w:val="WW8Num77z6"/>
    <w:qFormat/>
  </w:style>
  <w:style w:type="character" w:customStyle="1" w:styleId="WW8Num77z7">
    <w:name w:val="WW8Num77z7"/>
    <w:qFormat/>
  </w:style>
  <w:style w:type="character" w:customStyle="1" w:styleId="WW8Num77z8">
    <w:name w:val="WW8Num77z8"/>
    <w:qFormat/>
  </w:style>
  <w:style w:type="character" w:customStyle="1" w:styleId="WW8Num78z0">
    <w:name w:val="WW8Num78z0"/>
    <w:qFormat/>
    <w:rPr>
      <w:rFonts w:ascii="Times New Roman" w:hAnsi="Times New Roman" w:cs="Times New Roman"/>
      <w:b/>
      <w:color w:val="000000"/>
      <w:sz w:val="22"/>
      <w:szCs w:val="22"/>
      <w:lang w:val="es-ES"/>
    </w:rPr>
  </w:style>
  <w:style w:type="character" w:customStyle="1" w:styleId="WW8Num78z1">
    <w:name w:val="WW8Num78z1"/>
    <w:qFormat/>
  </w:style>
  <w:style w:type="character" w:customStyle="1" w:styleId="WW8Num78z2">
    <w:name w:val="WW8Num78z2"/>
    <w:qFormat/>
  </w:style>
  <w:style w:type="character" w:customStyle="1" w:styleId="WW8Num78z3">
    <w:name w:val="WW8Num78z3"/>
    <w:qFormat/>
  </w:style>
  <w:style w:type="character" w:customStyle="1" w:styleId="WW8Num78z4">
    <w:name w:val="WW8Num78z4"/>
    <w:qFormat/>
  </w:style>
  <w:style w:type="character" w:customStyle="1" w:styleId="WW8Num78z5">
    <w:name w:val="WW8Num78z5"/>
    <w:qFormat/>
  </w:style>
  <w:style w:type="character" w:customStyle="1" w:styleId="WW8Num78z6">
    <w:name w:val="WW8Num78z6"/>
    <w:qFormat/>
  </w:style>
  <w:style w:type="character" w:customStyle="1" w:styleId="WW8Num78z7">
    <w:name w:val="WW8Num78z7"/>
    <w:qFormat/>
  </w:style>
  <w:style w:type="character" w:customStyle="1" w:styleId="WW8Num78z8">
    <w:name w:val="WW8Num78z8"/>
    <w:qFormat/>
  </w:style>
  <w:style w:type="character" w:customStyle="1" w:styleId="WW8Num79z0">
    <w:name w:val="WW8Num79z0"/>
    <w:qFormat/>
    <w:rPr>
      <w:rFonts w:ascii="Times New Roman" w:hAnsi="Times New Roman" w:cs="Times New Roman"/>
      <w:b w:val="0"/>
      <w:bCs/>
      <w:strike w:val="0"/>
      <w:dstrike w:val="0"/>
      <w:color w:val="000000"/>
      <w:sz w:val="22"/>
      <w:szCs w:val="22"/>
      <w:lang w:val="es-UY"/>
    </w:rPr>
  </w:style>
  <w:style w:type="character" w:customStyle="1" w:styleId="WW8Num79z1">
    <w:name w:val="WW8Num79z1"/>
    <w:qFormat/>
  </w:style>
  <w:style w:type="character" w:customStyle="1" w:styleId="WW8Num79z2">
    <w:name w:val="WW8Num79z2"/>
    <w:qFormat/>
  </w:style>
  <w:style w:type="character" w:customStyle="1" w:styleId="WW8Num79z3">
    <w:name w:val="WW8Num79z3"/>
    <w:qFormat/>
  </w:style>
  <w:style w:type="character" w:customStyle="1" w:styleId="WW8Num79z4">
    <w:name w:val="WW8Num79z4"/>
    <w:qFormat/>
  </w:style>
  <w:style w:type="character" w:customStyle="1" w:styleId="WW8Num79z5">
    <w:name w:val="WW8Num79z5"/>
    <w:qFormat/>
  </w:style>
  <w:style w:type="character" w:customStyle="1" w:styleId="WW8Num79z6">
    <w:name w:val="WW8Num79z6"/>
    <w:qFormat/>
  </w:style>
  <w:style w:type="character" w:customStyle="1" w:styleId="WW8Num79z7">
    <w:name w:val="WW8Num79z7"/>
    <w:qFormat/>
  </w:style>
  <w:style w:type="character" w:customStyle="1" w:styleId="WW8Num79z8">
    <w:name w:val="WW8Num79z8"/>
    <w:qFormat/>
  </w:style>
  <w:style w:type="character" w:customStyle="1" w:styleId="WW8Num80z0">
    <w:name w:val="WW8Num80z0"/>
    <w:qFormat/>
    <w:rPr>
      <w:sz w:val="22"/>
      <w:szCs w:val="22"/>
      <w:lang w:val="es-ES"/>
    </w:rPr>
  </w:style>
  <w:style w:type="character" w:customStyle="1" w:styleId="WW8Num80z1">
    <w:name w:val="WW8Num80z1"/>
    <w:qFormat/>
  </w:style>
  <w:style w:type="character" w:customStyle="1" w:styleId="WW8Num80z2">
    <w:name w:val="WW8Num80z2"/>
    <w:qFormat/>
  </w:style>
  <w:style w:type="character" w:customStyle="1" w:styleId="WW8Num80z3">
    <w:name w:val="WW8Num80z3"/>
    <w:qFormat/>
  </w:style>
  <w:style w:type="character" w:customStyle="1" w:styleId="WW8Num80z4">
    <w:name w:val="WW8Num80z4"/>
    <w:qFormat/>
  </w:style>
  <w:style w:type="character" w:customStyle="1" w:styleId="WW8Num80z5">
    <w:name w:val="WW8Num80z5"/>
    <w:qFormat/>
  </w:style>
  <w:style w:type="character" w:customStyle="1" w:styleId="WW8Num80z6">
    <w:name w:val="WW8Num80z6"/>
    <w:qFormat/>
  </w:style>
  <w:style w:type="character" w:customStyle="1" w:styleId="WW8Num80z7">
    <w:name w:val="WW8Num80z7"/>
    <w:qFormat/>
  </w:style>
  <w:style w:type="character" w:customStyle="1" w:styleId="WW8Num80z8">
    <w:name w:val="WW8Num80z8"/>
    <w:qFormat/>
  </w:style>
  <w:style w:type="character" w:customStyle="1" w:styleId="WW8Num81z0">
    <w:name w:val="WW8Num81z0"/>
    <w:qFormat/>
  </w:style>
  <w:style w:type="character" w:customStyle="1" w:styleId="WW8Num81z1">
    <w:name w:val="WW8Num81z1"/>
    <w:qFormat/>
  </w:style>
  <w:style w:type="character" w:customStyle="1" w:styleId="WW8Num81z2">
    <w:name w:val="WW8Num81z2"/>
    <w:qFormat/>
    <w:rPr>
      <w:b/>
      <w:strike w:val="0"/>
      <w:dstrike w:val="0"/>
      <w:sz w:val="22"/>
      <w:szCs w:val="22"/>
    </w:rPr>
  </w:style>
  <w:style w:type="character" w:customStyle="1" w:styleId="WW8Num81z3">
    <w:name w:val="WW8Num81z3"/>
    <w:qFormat/>
  </w:style>
  <w:style w:type="character" w:customStyle="1" w:styleId="WW8Num81z4">
    <w:name w:val="WW8Num81z4"/>
    <w:qFormat/>
  </w:style>
  <w:style w:type="character" w:customStyle="1" w:styleId="WW8Num81z5">
    <w:name w:val="WW8Num81z5"/>
    <w:qFormat/>
  </w:style>
  <w:style w:type="character" w:customStyle="1" w:styleId="WW8Num81z6">
    <w:name w:val="WW8Num81z6"/>
    <w:qFormat/>
  </w:style>
  <w:style w:type="character" w:customStyle="1" w:styleId="WW8Num81z7">
    <w:name w:val="WW8Num81z7"/>
    <w:qFormat/>
  </w:style>
  <w:style w:type="character" w:customStyle="1" w:styleId="WW8Num81z8">
    <w:name w:val="WW8Num81z8"/>
    <w:qFormat/>
  </w:style>
  <w:style w:type="character" w:customStyle="1" w:styleId="WW8Num82z0">
    <w:name w:val="WW8Num82z0"/>
    <w:qFormat/>
  </w:style>
  <w:style w:type="character" w:customStyle="1" w:styleId="WW8Num82z1">
    <w:name w:val="WW8Num82z1"/>
    <w:qFormat/>
    <w:rPr>
      <w:b/>
      <w:i w:val="0"/>
      <w:sz w:val="22"/>
      <w:szCs w:val="22"/>
    </w:rPr>
  </w:style>
  <w:style w:type="character" w:customStyle="1" w:styleId="WW8Num83z0">
    <w:name w:val="WW8Num83z0"/>
    <w:qFormat/>
    <w:rPr>
      <w:rFonts w:ascii="Symbol" w:hAnsi="Symbol" w:cs="Symbol"/>
    </w:rPr>
  </w:style>
  <w:style w:type="character" w:customStyle="1" w:styleId="WW8Num83z1">
    <w:name w:val="WW8Num83z1"/>
    <w:qFormat/>
    <w:rPr>
      <w:rFonts w:ascii="Courier New" w:hAnsi="Courier New" w:cs="Courier New"/>
    </w:rPr>
  </w:style>
  <w:style w:type="character" w:customStyle="1" w:styleId="WW8Num83z2">
    <w:name w:val="WW8Num83z2"/>
    <w:qFormat/>
    <w:rPr>
      <w:rFonts w:ascii="Wingdings" w:hAnsi="Wingdings" w:cs="Wingdings"/>
    </w:rPr>
  </w:style>
  <w:style w:type="character" w:customStyle="1" w:styleId="WW8Num84z0">
    <w:name w:val="WW8Num84z0"/>
    <w:qFormat/>
    <w:rPr>
      <w:rFonts w:eastAsia="Palatino Linotype"/>
      <w:b/>
      <w:spacing w:val="-1"/>
      <w:sz w:val="22"/>
      <w:szCs w:val="22"/>
      <w:lang w:val="es-ES" w:eastAsia="en-US"/>
    </w:rPr>
  </w:style>
  <w:style w:type="character" w:customStyle="1" w:styleId="WW8Num84z1">
    <w:name w:val="WW8Num84z1"/>
    <w:qFormat/>
    <w:rPr>
      <w:b/>
      <w:color w:val="000000"/>
      <w:sz w:val="22"/>
    </w:rPr>
  </w:style>
  <w:style w:type="character" w:customStyle="1" w:styleId="WW8Num84z3">
    <w:name w:val="WW8Num84z3"/>
    <w:qFormat/>
  </w:style>
  <w:style w:type="character" w:customStyle="1" w:styleId="WW8Num84z4">
    <w:name w:val="WW8Num84z4"/>
    <w:qFormat/>
  </w:style>
  <w:style w:type="character" w:customStyle="1" w:styleId="WW8Num84z5">
    <w:name w:val="WW8Num84z5"/>
    <w:qFormat/>
  </w:style>
  <w:style w:type="character" w:customStyle="1" w:styleId="WW8Num84z6">
    <w:name w:val="WW8Num84z6"/>
    <w:qFormat/>
  </w:style>
  <w:style w:type="character" w:customStyle="1" w:styleId="WW8Num84z7">
    <w:name w:val="WW8Num84z7"/>
    <w:qFormat/>
  </w:style>
  <w:style w:type="character" w:customStyle="1" w:styleId="WW8Num84z8">
    <w:name w:val="WW8Num84z8"/>
    <w:qFormat/>
  </w:style>
  <w:style w:type="character" w:customStyle="1" w:styleId="Ttulo1Car">
    <w:name w:val="Título 1 Car"/>
    <w:qFormat/>
    <w:rPr>
      <w:rFonts w:ascii="Cambria" w:eastAsia="Times New Roman" w:hAnsi="Cambria" w:cs="Cambria"/>
      <w:b/>
      <w:bCs/>
      <w:kern w:val="2"/>
      <w:sz w:val="32"/>
      <w:szCs w:val="32"/>
      <w:lang w:val="en-US"/>
    </w:rPr>
  </w:style>
  <w:style w:type="character" w:customStyle="1" w:styleId="Ttulo2Car">
    <w:name w:val="Título 2 Car"/>
    <w:qFormat/>
    <w:rPr>
      <w:rFonts w:ascii="Cambria" w:eastAsia="Times New Roman" w:hAnsi="Cambria" w:cs="Cambria"/>
      <w:b/>
      <w:bCs/>
      <w:i/>
      <w:iCs/>
      <w:sz w:val="28"/>
      <w:szCs w:val="28"/>
      <w:lang w:val="en-US"/>
    </w:rPr>
  </w:style>
  <w:style w:type="character" w:customStyle="1" w:styleId="Ttulo3Car">
    <w:name w:val="Título 3 Car"/>
    <w:qFormat/>
    <w:rPr>
      <w:rFonts w:ascii="Cambria" w:eastAsia="Times New Roman" w:hAnsi="Cambria" w:cs="Cambria"/>
      <w:b/>
      <w:bCs/>
      <w:sz w:val="26"/>
      <w:szCs w:val="26"/>
      <w:lang w:val="en-US"/>
    </w:rPr>
  </w:style>
  <w:style w:type="character" w:customStyle="1" w:styleId="Ttulo4Car">
    <w:name w:val="Título 4 Car"/>
    <w:qFormat/>
    <w:rPr>
      <w:rFonts w:eastAsia="Times New Roman"/>
      <w:b/>
      <w:bCs/>
      <w:sz w:val="28"/>
      <w:szCs w:val="28"/>
      <w:lang w:val="en-US"/>
    </w:rPr>
  </w:style>
  <w:style w:type="character" w:customStyle="1" w:styleId="Ttulo5Car">
    <w:name w:val="Título 5 Car"/>
    <w:qFormat/>
    <w:rPr>
      <w:rFonts w:eastAsia="Times New Roman"/>
      <w:b/>
      <w:bCs/>
      <w:i/>
      <w:iCs/>
      <w:sz w:val="26"/>
      <w:szCs w:val="26"/>
      <w:lang w:val="en-US"/>
    </w:rPr>
  </w:style>
  <w:style w:type="character" w:customStyle="1" w:styleId="Ttulo6Car">
    <w:name w:val="Título 6 Car"/>
    <w:qFormat/>
    <w:rPr>
      <w:rFonts w:ascii="Times New Roman" w:eastAsia="Times New Roman" w:hAnsi="Times New Roman" w:cs="Times New Roman"/>
      <w:b/>
      <w:bCs/>
      <w:sz w:val="22"/>
      <w:szCs w:val="22"/>
      <w:lang w:val="en-US"/>
    </w:rPr>
  </w:style>
  <w:style w:type="character" w:customStyle="1" w:styleId="Ttulo7Car">
    <w:name w:val="Título 7 Car"/>
    <w:qFormat/>
    <w:rPr>
      <w:rFonts w:eastAsia="Times New Roman"/>
      <w:sz w:val="24"/>
      <w:szCs w:val="24"/>
      <w:lang w:val="en-US"/>
    </w:rPr>
  </w:style>
  <w:style w:type="character" w:customStyle="1" w:styleId="Ttulo8Car">
    <w:name w:val="Título 8 Car"/>
    <w:qFormat/>
    <w:rPr>
      <w:rFonts w:eastAsia="Times New Roman"/>
      <w:i/>
      <w:iCs/>
      <w:sz w:val="24"/>
      <w:szCs w:val="24"/>
      <w:lang w:val="en-US"/>
    </w:rPr>
  </w:style>
  <w:style w:type="character" w:customStyle="1" w:styleId="Ttulo9Car">
    <w:name w:val="Título 9 Car"/>
    <w:qFormat/>
    <w:rPr>
      <w:rFonts w:ascii="Cambria" w:eastAsia="Times New Roman" w:hAnsi="Cambria" w:cs="Cambria"/>
      <w:sz w:val="22"/>
      <w:szCs w:val="22"/>
      <w:lang w:val="en-US"/>
    </w:rPr>
  </w:style>
  <w:style w:type="character" w:customStyle="1" w:styleId="SinespaciadoCar">
    <w:name w:val="Sin espaciado Car"/>
    <w:qFormat/>
    <w:rPr>
      <w:rFonts w:eastAsia="Times New Roman"/>
      <w:sz w:val="22"/>
      <w:szCs w:val="22"/>
      <w:lang w:bidi="ar-SA"/>
    </w:rPr>
  </w:style>
  <w:style w:type="character" w:customStyle="1" w:styleId="PrrafodelistaCar">
    <w:name w:val="Párrafo de lista Car"/>
    <w:qFormat/>
    <w:rPr>
      <w:rFonts w:ascii="Times New Roman" w:eastAsia="Times New Roman" w:hAnsi="Times New Roman" w:cs="Times New Roman"/>
      <w:sz w:val="20"/>
      <w:szCs w:val="20"/>
      <w:lang w:val="en-US"/>
    </w:rPr>
  </w:style>
  <w:style w:type="character" w:styleId="Hipervnculo">
    <w:name w:val="Hyperlink"/>
    <w:rPr>
      <w:color w:val="0000FF"/>
      <w:u w:val="single"/>
    </w:rPr>
  </w:style>
  <w:style w:type="character" w:customStyle="1" w:styleId="TextocomentarioCar">
    <w:name w:val="Texto comentario Car"/>
    <w:qFormat/>
    <w:rPr>
      <w:rFonts w:ascii="Times New Roman" w:eastAsia="Times New Roman" w:hAnsi="Times New Roman" w:cs="Times New Roman"/>
    </w:rPr>
  </w:style>
  <w:style w:type="character" w:customStyle="1" w:styleId="TextocomentarioCar1">
    <w:name w:val="Texto comentario Car1"/>
    <w:qFormat/>
    <w:rPr>
      <w:rFonts w:ascii="Times New Roman" w:eastAsia="Times New Roman" w:hAnsi="Times New Roman" w:cs="Times New Roman"/>
      <w:sz w:val="20"/>
      <w:szCs w:val="20"/>
      <w:lang w:val="en-US"/>
    </w:rPr>
  </w:style>
  <w:style w:type="character" w:styleId="Refdecomentario">
    <w:name w:val="annotation reference"/>
    <w:qFormat/>
    <w:rPr>
      <w:sz w:val="16"/>
      <w:szCs w:val="16"/>
    </w:rPr>
  </w:style>
  <w:style w:type="character" w:customStyle="1" w:styleId="TextoindependienteCar">
    <w:name w:val="Texto independiente Car"/>
    <w:qFormat/>
    <w:rPr>
      <w:rFonts w:ascii="Times New Roman" w:eastAsia="Times New Roman" w:hAnsi="Times New Roman" w:cs="Times New Roman"/>
      <w:sz w:val="20"/>
      <w:szCs w:val="20"/>
      <w:lang w:val="en-US"/>
    </w:rPr>
  </w:style>
  <w:style w:type="character" w:customStyle="1" w:styleId="TextodegloboCar">
    <w:name w:val="Texto de globo Car"/>
    <w:qFormat/>
    <w:rPr>
      <w:rFonts w:ascii="Tahoma" w:eastAsia="Times New Roman" w:hAnsi="Tahoma" w:cs="Tahoma"/>
      <w:sz w:val="16"/>
      <w:szCs w:val="16"/>
      <w:lang w:val="en-US"/>
    </w:rPr>
  </w:style>
  <w:style w:type="character" w:customStyle="1" w:styleId="EncabezadoCar">
    <w:name w:val="Encabezado Car"/>
    <w:qFormat/>
    <w:rPr>
      <w:rFonts w:ascii="Times New Roman" w:eastAsia="Times New Roman" w:hAnsi="Times New Roman" w:cs="Times New Roman"/>
      <w:sz w:val="20"/>
      <w:szCs w:val="20"/>
      <w:lang w:val="en-US"/>
    </w:rPr>
  </w:style>
  <w:style w:type="character" w:customStyle="1" w:styleId="PiedepginaCar">
    <w:name w:val="Pie de página Car"/>
    <w:qFormat/>
    <w:rPr>
      <w:rFonts w:ascii="Times New Roman" w:eastAsia="Times New Roman" w:hAnsi="Times New Roman" w:cs="Times New Roman"/>
      <w:sz w:val="20"/>
      <w:szCs w:val="20"/>
      <w:lang w:val="en-US"/>
    </w:rPr>
  </w:style>
  <w:style w:type="character" w:customStyle="1" w:styleId="MapadeldocumentoCar">
    <w:name w:val="Mapa del documento Car"/>
    <w:qFormat/>
    <w:rPr>
      <w:rFonts w:ascii="Tahoma" w:eastAsia="Times New Roman" w:hAnsi="Tahoma" w:cs="Times New Roman"/>
      <w:sz w:val="16"/>
      <w:szCs w:val="16"/>
      <w:lang w:val="en-US"/>
    </w:rPr>
  </w:style>
  <w:style w:type="character" w:customStyle="1" w:styleId="SangradetextonormalCar">
    <w:name w:val="Sangría de texto normal Car"/>
    <w:qFormat/>
    <w:rPr>
      <w:rFonts w:ascii="Times New Roman" w:eastAsia="Times New Roman" w:hAnsi="Times New Roman" w:cs="Times New Roman"/>
      <w:spacing w:val="-3"/>
      <w:sz w:val="24"/>
      <w:szCs w:val="20"/>
    </w:rPr>
  </w:style>
  <w:style w:type="character" w:styleId="Ttulodellibro">
    <w:name w:val="Book Title"/>
    <w:qFormat/>
    <w:rPr>
      <w:b/>
      <w:bCs/>
      <w:smallCaps/>
      <w:spacing w:val="5"/>
    </w:rPr>
  </w:style>
  <w:style w:type="character" w:customStyle="1" w:styleId="Sangra3detindependienteCar">
    <w:name w:val="Sangría 3 de t. independiente Car"/>
    <w:qFormat/>
    <w:rPr>
      <w:rFonts w:ascii="Times New Roman" w:eastAsia="Times New Roman" w:hAnsi="Times New Roman" w:cs="Times New Roman"/>
      <w:sz w:val="16"/>
      <w:szCs w:val="16"/>
    </w:rPr>
  </w:style>
  <w:style w:type="character" w:customStyle="1" w:styleId="Sangra2detindependienteCar">
    <w:name w:val="Sangría 2 de t. independiente Car"/>
    <w:qFormat/>
    <w:rPr>
      <w:rFonts w:ascii="Times New Roman" w:eastAsia="Times New Roman" w:hAnsi="Times New Roman" w:cs="Times New Roman"/>
      <w:sz w:val="20"/>
      <w:szCs w:val="20"/>
      <w:lang w:val="en-US"/>
    </w:rPr>
  </w:style>
  <w:style w:type="character" w:customStyle="1" w:styleId="TextonotapieCar">
    <w:name w:val="Texto nota pie Car"/>
    <w:qFormat/>
    <w:rPr>
      <w:rFonts w:ascii="Calibri" w:eastAsia="Calibri" w:hAnsi="Calibri" w:cs="Times New Roman"/>
      <w:sz w:val="20"/>
      <w:szCs w:val="20"/>
    </w:rPr>
  </w:style>
  <w:style w:type="character" w:customStyle="1" w:styleId="FootnoteCharacters">
    <w:name w:val="Footnote Characters"/>
    <w:qFormat/>
    <w:rPr>
      <w:vertAlign w:val="superscript"/>
    </w:rPr>
  </w:style>
  <w:style w:type="character" w:customStyle="1" w:styleId="TtuloCar">
    <w:name w:val="Título Car"/>
    <w:qFormat/>
    <w:rPr>
      <w:rFonts w:ascii="Arial" w:eastAsia="Times New Roman" w:hAnsi="Arial" w:cs="Times New Roman"/>
      <w:b/>
      <w:bCs/>
      <w:kern w:val="2"/>
      <w:sz w:val="32"/>
      <w:szCs w:val="32"/>
    </w:rPr>
  </w:style>
  <w:style w:type="character" w:customStyle="1" w:styleId="Textoindependiente2Car">
    <w:name w:val="Texto independiente 2 Car"/>
    <w:qFormat/>
    <w:rPr>
      <w:rFonts w:ascii="Calibri" w:eastAsia="Calibri" w:hAnsi="Calibri" w:cs="Times New Roman"/>
    </w:rPr>
  </w:style>
  <w:style w:type="character" w:customStyle="1" w:styleId="Table">
    <w:name w:val="Table"/>
    <w:qFormat/>
    <w:rPr>
      <w:rFonts w:ascii="Arial" w:hAnsi="Arial" w:cs="Arial"/>
      <w:sz w:val="20"/>
    </w:rPr>
  </w:style>
  <w:style w:type="character" w:customStyle="1" w:styleId="AsuntodelcomentarioCar">
    <w:name w:val="Asunto del comentario Car"/>
    <w:qFormat/>
    <w:rPr>
      <w:rFonts w:ascii="Times New Roman" w:eastAsia="Times New Roman" w:hAnsi="Times New Roman" w:cs="Times New Roman"/>
      <w:b/>
      <w:bCs/>
      <w:sz w:val="20"/>
      <w:szCs w:val="20"/>
      <w:lang w:val="en-US"/>
    </w:rPr>
  </w:style>
  <w:style w:type="character" w:customStyle="1" w:styleId="TextosinformatoCar">
    <w:name w:val="Texto sin formato Car"/>
    <w:qFormat/>
    <w:rPr>
      <w:rFonts w:ascii="Courier New" w:eastAsia="Times New Roman" w:hAnsi="Courier New" w:cs="Times New Roman"/>
      <w:sz w:val="20"/>
      <w:szCs w:val="24"/>
    </w:rPr>
  </w:style>
  <w:style w:type="character" w:customStyle="1" w:styleId="StrongEmphasis">
    <w:name w:val="Strong Emphasis"/>
    <w:qFormat/>
    <w:rPr>
      <w:b/>
      <w:bCs/>
    </w:rPr>
  </w:style>
  <w:style w:type="character" w:styleId="Textodelmarcadordeposicin">
    <w:name w:val="Placeholder Text"/>
    <w:qFormat/>
    <w:rPr>
      <w:color w:val="808080"/>
    </w:rPr>
  </w:style>
  <w:style w:type="character" w:customStyle="1" w:styleId="SubttuloCar">
    <w:name w:val="Subtítulo Car"/>
    <w:qFormat/>
    <w:rPr>
      <w:rFonts w:ascii="Cambria" w:eastAsia="Times New Roman" w:hAnsi="Cambria" w:cs="Times New Roman"/>
      <w:sz w:val="24"/>
      <w:szCs w:val="24"/>
    </w:rPr>
  </w:style>
  <w:style w:type="character" w:styleId="nfasis">
    <w:name w:val="Emphasis"/>
    <w:qFormat/>
    <w:rPr>
      <w:i/>
      <w:iCs/>
    </w:rPr>
  </w:style>
  <w:style w:type="character" w:customStyle="1" w:styleId="Textoindependienteprimerasangra2Car">
    <w:name w:val="Texto independiente primera sangría 2 Car"/>
    <w:qFormat/>
    <w:rPr>
      <w:rFonts w:ascii="Times New Roman" w:eastAsia="Times New Roman" w:hAnsi="Times New Roman" w:cs="Times New Roman"/>
      <w:spacing w:val="-3"/>
      <w:sz w:val="24"/>
      <w:szCs w:val="20"/>
      <w:lang w:val="en-US"/>
    </w:rPr>
  </w:style>
  <w:style w:type="character" w:styleId="Hipervnculovisitado">
    <w:name w:val="FollowedHyperlink"/>
    <w:rPr>
      <w:color w:val="800080"/>
      <w:u w:val="single"/>
    </w:rPr>
  </w:style>
  <w:style w:type="character" w:styleId="Mencinsinresolver">
    <w:name w:val="Unresolved Mention"/>
    <w:qFormat/>
    <w:rPr>
      <w:color w:val="605E5C"/>
      <w:shd w:val="clear" w:color="auto" w:fill="E1DFDD"/>
    </w:rPr>
  </w:style>
  <w:style w:type="character" w:customStyle="1" w:styleId="IndexLink">
    <w:name w:val="Index Link"/>
    <w:qFormat/>
  </w:style>
  <w:style w:type="character" w:customStyle="1" w:styleId="FootnoteAnchor">
    <w:name w:val="Footnote Anchor"/>
    <w:rPr>
      <w:vertAlign w:val="superscript"/>
    </w:rPr>
  </w:style>
  <w:style w:type="character" w:customStyle="1" w:styleId="EndnoteAnchor">
    <w:name w:val="Endnote Anchor"/>
    <w:rPr>
      <w:vertAlign w:val="superscript"/>
    </w:rPr>
  </w:style>
  <w:style w:type="character" w:customStyle="1" w:styleId="EndnoteCharacters">
    <w:name w:val="Endnote Characters"/>
    <w:qFormat/>
  </w:style>
  <w:style w:type="paragraph" w:customStyle="1" w:styleId="Heading">
    <w:name w:val="Heading"/>
    <w:basedOn w:val="Normal"/>
    <w:next w:val="Textoindependiente"/>
    <w:qFormat/>
    <w:pPr>
      <w:keepNext/>
      <w:spacing w:before="240" w:after="120"/>
    </w:pPr>
    <w:rPr>
      <w:rFonts w:ascii="Liberation Sans" w:eastAsia="Noto Sans CJK SC" w:hAnsi="Liberation Sans" w:cs="Lohit Devanagari"/>
      <w:sz w:val="28"/>
      <w:szCs w:val="28"/>
    </w:rPr>
  </w:style>
  <w:style w:type="paragraph" w:styleId="Textoindependiente">
    <w:name w:val="Body Text"/>
    <w:basedOn w:val="Normal"/>
    <w:pPr>
      <w:spacing w:after="120"/>
    </w:pPr>
    <w:rPr>
      <w:lang w:val="en-US"/>
    </w:rPr>
  </w:style>
  <w:style w:type="paragraph" w:styleId="Lista">
    <w:name w:val="List"/>
    <w:basedOn w:val="Textoindependiente"/>
    <w:rPr>
      <w:rFonts w:cs="Lohit Devanagari"/>
    </w:rPr>
  </w:style>
  <w:style w:type="paragraph" w:styleId="Descripcin">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styleId="Sinespaciado">
    <w:name w:val="No Spacing"/>
    <w:qFormat/>
    <w:pPr>
      <w:spacing w:line="276" w:lineRule="auto"/>
    </w:pPr>
    <w:rPr>
      <w:rFonts w:ascii="Calibri" w:eastAsia="Times New Roman" w:hAnsi="Calibri" w:cs="Times New Roman"/>
      <w:sz w:val="22"/>
      <w:szCs w:val="22"/>
      <w:lang w:val="es-UY" w:bidi="ar-SA"/>
    </w:rPr>
  </w:style>
  <w:style w:type="paragraph" w:styleId="Prrafodelista">
    <w:name w:val="List Paragraph"/>
    <w:basedOn w:val="Normal"/>
    <w:qFormat/>
    <w:pPr>
      <w:ind w:left="720"/>
      <w:contextualSpacing/>
    </w:pPr>
    <w:rPr>
      <w:lang w:val="en-US"/>
    </w:rPr>
  </w:style>
  <w:style w:type="paragraph" w:customStyle="1" w:styleId="Default">
    <w:name w:val="Default"/>
    <w:qFormat/>
    <w:pPr>
      <w:autoSpaceDE w:val="0"/>
      <w:spacing w:line="276" w:lineRule="auto"/>
    </w:pPr>
    <w:rPr>
      <w:rFonts w:ascii="Arial" w:eastAsia="Calibri" w:hAnsi="Arial" w:cs="Arial"/>
      <w:color w:val="000000"/>
      <w:lang w:val="es-ES" w:bidi="ar-SA"/>
    </w:rPr>
  </w:style>
  <w:style w:type="paragraph" w:styleId="Textocomentario">
    <w:name w:val="annotation text"/>
    <w:basedOn w:val="Normal"/>
    <w:qFormat/>
    <w:rPr>
      <w:lang w:val="en-US"/>
    </w:rPr>
  </w:style>
  <w:style w:type="paragraph" w:styleId="NormalWeb">
    <w:name w:val="Normal (Web)"/>
    <w:basedOn w:val="Normal"/>
    <w:qFormat/>
    <w:rPr>
      <w:sz w:val="24"/>
      <w:szCs w:val="24"/>
    </w:rPr>
  </w:style>
  <w:style w:type="paragraph" w:customStyle="1" w:styleId="Normal1">
    <w:name w:val="Normal1"/>
    <w:basedOn w:val="NormalWeb"/>
    <w:qFormat/>
    <w:pPr>
      <w:spacing w:line="240" w:lineRule="auto"/>
      <w:textAlignment w:val="baseline"/>
      <w:outlineLvl w:val="0"/>
    </w:pPr>
    <w:rPr>
      <w:lang w:val="es-ES"/>
    </w:rPr>
  </w:style>
  <w:style w:type="paragraph" w:styleId="Textodeglobo">
    <w:name w:val="Balloon Text"/>
    <w:basedOn w:val="Normal"/>
    <w:qFormat/>
    <w:pPr>
      <w:spacing w:line="240" w:lineRule="auto"/>
    </w:pPr>
    <w:rPr>
      <w:rFonts w:ascii="Tahoma" w:hAnsi="Tahoma" w:cs="Tahoma"/>
      <w:sz w:val="16"/>
      <w:szCs w:val="16"/>
      <w:lang w:val="en-US"/>
    </w:rPr>
  </w:style>
  <w:style w:type="paragraph" w:customStyle="1" w:styleId="HeaderandFooter">
    <w:name w:val="Header and Footer"/>
    <w:basedOn w:val="Normal"/>
    <w:qFormat/>
    <w:pPr>
      <w:suppressLineNumbers/>
      <w:tabs>
        <w:tab w:val="center" w:pos="4986"/>
        <w:tab w:val="right" w:pos="9972"/>
      </w:tabs>
    </w:pPr>
  </w:style>
  <w:style w:type="paragraph" w:styleId="Encabezado">
    <w:name w:val="header"/>
    <w:basedOn w:val="Normal"/>
    <w:rPr>
      <w:lang w:val="en-US"/>
    </w:rPr>
  </w:style>
  <w:style w:type="paragraph" w:styleId="Piedepgina">
    <w:name w:val="footer"/>
    <w:basedOn w:val="Normal"/>
    <w:rPr>
      <w:lang w:val="en-US"/>
    </w:rPr>
  </w:style>
  <w:style w:type="paragraph" w:styleId="Mapadeldocumento">
    <w:name w:val="Document Map"/>
    <w:basedOn w:val="Normal"/>
    <w:qFormat/>
    <w:rPr>
      <w:rFonts w:ascii="Tahoma" w:hAnsi="Tahoma" w:cs="Tahoma"/>
      <w:sz w:val="16"/>
      <w:szCs w:val="16"/>
      <w:lang w:val="en-US"/>
    </w:rPr>
  </w:style>
  <w:style w:type="paragraph" w:customStyle="1" w:styleId="TtulodeTDC">
    <w:name w:val="Título de TDC"/>
    <w:basedOn w:val="Ttulo1"/>
    <w:next w:val="Normal"/>
    <w:qFormat/>
    <w:pPr>
      <w:keepLines/>
      <w:numPr>
        <w:numId w:val="0"/>
      </w:numPr>
      <w:spacing w:before="480" w:after="0"/>
    </w:pPr>
    <w:rPr>
      <w:color w:val="365F91"/>
      <w:kern w:val="0"/>
      <w:sz w:val="28"/>
      <w:szCs w:val="28"/>
      <w:lang w:val="es-ES"/>
    </w:rPr>
  </w:style>
  <w:style w:type="paragraph" w:styleId="TDC1">
    <w:name w:val="toc 1"/>
    <w:basedOn w:val="Normal"/>
    <w:next w:val="Normal"/>
    <w:pPr>
      <w:tabs>
        <w:tab w:val="right" w:leader="dot" w:pos="8931"/>
      </w:tabs>
      <w:spacing w:after="100"/>
    </w:pPr>
    <w:rPr>
      <w:lang w:val="en-US" w:eastAsia="en-US"/>
    </w:rPr>
  </w:style>
  <w:style w:type="paragraph" w:customStyle="1" w:styleId="ALEPLIEGOS">
    <w:name w:val="ALE PLIEGOS"/>
    <w:basedOn w:val="Ttulo1"/>
    <w:qFormat/>
    <w:pPr>
      <w:numPr>
        <w:numId w:val="0"/>
      </w:numPr>
      <w:spacing w:before="0" w:after="0"/>
    </w:pPr>
    <w:rPr>
      <w:rFonts w:ascii="Arial" w:hAnsi="Arial" w:cs="Arial"/>
      <w:bCs w:val="0"/>
      <w:kern w:val="0"/>
      <w:sz w:val="24"/>
      <w:szCs w:val="20"/>
      <w:lang w:val="es-ES"/>
    </w:rPr>
  </w:style>
  <w:style w:type="paragraph" w:styleId="Sangradetextonormal">
    <w:name w:val="Body Text Indent"/>
    <w:basedOn w:val="Normal"/>
    <w:pPr>
      <w:widowControl w:val="0"/>
      <w:ind w:left="1134" w:hanging="1134"/>
      <w:jc w:val="both"/>
    </w:pPr>
    <w:rPr>
      <w:spacing w:val="-3"/>
      <w:sz w:val="24"/>
      <w:lang w:val="en-US"/>
    </w:rPr>
  </w:style>
  <w:style w:type="paragraph" w:customStyle="1" w:styleId="Negrita">
    <w:name w:val="Negrita"/>
    <w:basedOn w:val="Normal"/>
    <w:qFormat/>
    <w:pPr>
      <w:ind w:right="-1134"/>
      <w:jc w:val="both"/>
    </w:pPr>
    <w:rPr>
      <w:spacing w:val="-2"/>
      <w:sz w:val="22"/>
      <w:szCs w:val="22"/>
      <w:lang w:val="es-ES"/>
    </w:rPr>
  </w:style>
  <w:style w:type="paragraph" w:customStyle="1" w:styleId="Prrafoalineadoaizquierda">
    <w:name w:val="* Párrafo alineado a izquierda"/>
    <w:qFormat/>
    <w:pPr>
      <w:widowControl w:val="0"/>
      <w:autoSpaceDE w:val="0"/>
      <w:spacing w:line="240" w:lineRule="atLeast"/>
    </w:pPr>
    <w:rPr>
      <w:rFonts w:ascii="Courier New" w:eastAsia="Times New Roman" w:hAnsi="Courier New" w:cs="Courier New"/>
      <w:lang w:val="es-ES" w:bidi="ar-SA"/>
    </w:rPr>
  </w:style>
  <w:style w:type="paragraph" w:styleId="Sangra3detindependiente">
    <w:name w:val="Body Text Indent 3"/>
    <w:basedOn w:val="Normal"/>
    <w:qFormat/>
    <w:pPr>
      <w:spacing w:after="120"/>
      <w:ind w:left="283"/>
    </w:pPr>
    <w:rPr>
      <w:sz w:val="16"/>
      <w:szCs w:val="16"/>
      <w:lang w:val="en-US"/>
    </w:rPr>
  </w:style>
  <w:style w:type="paragraph" w:styleId="Sangra2detindependiente">
    <w:name w:val="Body Text Indent 2"/>
    <w:basedOn w:val="Normal"/>
    <w:qFormat/>
    <w:pPr>
      <w:spacing w:after="120" w:line="480" w:lineRule="auto"/>
      <w:ind w:left="283"/>
    </w:pPr>
    <w:rPr>
      <w:lang w:val="en-US"/>
    </w:rPr>
  </w:style>
  <w:style w:type="paragraph" w:styleId="Textonotapie">
    <w:name w:val="footnote text"/>
    <w:basedOn w:val="Normal"/>
    <w:pPr>
      <w:spacing w:after="200"/>
    </w:pPr>
    <w:rPr>
      <w:rFonts w:ascii="Calibri" w:eastAsia="Calibri" w:hAnsi="Calibri" w:cs="Calibri"/>
      <w:lang w:val="en-US"/>
    </w:rPr>
  </w:style>
  <w:style w:type="paragraph" w:customStyle="1" w:styleId="Ttulo10">
    <w:name w:val="Título1"/>
    <w:basedOn w:val="Normal"/>
    <w:qFormat/>
    <w:pPr>
      <w:spacing w:before="240" w:after="60"/>
      <w:jc w:val="center"/>
      <w:outlineLvl w:val="0"/>
    </w:pPr>
    <w:rPr>
      <w:rFonts w:ascii="Arial" w:hAnsi="Arial" w:cs="Arial"/>
      <w:b/>
      <w:bCs/>
      <w:kern w:val="2"/>
      <w:sz w:val="32"/>
      <w:szCs w:val="32"/>
      <w:lang w:val="en-US"/>
    </w:rPr>
  </w:style>
  <w:style w:type="paragraph" w:customStyle="1" w:styleId="Outline">
    <w:name w:val="Outline"/>
    <w:basedOn w:val="Normal"/>
    <w:qFormat/>
    <w:pPr>
      <w:spacing w:before="240"/>
    </w:pPr>
    <w:rPr>
      <w:kern w:val="2"/>
      <w:sz w:val="24"/>
    </w:rPr>
  </w:style>
  <w:style w:type="paragraph" w:styleId="Textoindependiente2">
    <w:name w:val="Body Text 2"/>
    <w:basedOn w:val="Normal"/>
    <w:qFormat/>
    <w:pPr>
      <w:spacing w:after="120" w:line="480" w:lineRule="auto"/>
    </w:pPr>
    <w:rPr>
      <w:rFonts w:ascii="Calibri" w:eastAsia="Calibri" w:hAnsi="Calibri" w:cs="Calibri"/>
      <w:lang w:val="en-US"/>
    </w:rPr>
  </w:style>
  <w:style w:type="paragraph" w:customStyle="1" w:styleId="Tabla">
    <w:name w:val="Tabla"/>
    <w:basedOn w:val="Normal"/>
    <w:qFormat/>
    <w:pPr>
      <w:spacing w:before="60" w:after="60" w:line="288" w:lineRule="auto"/>
      <w:jc w:val="both"/>
    </w:pPr>
    <w:rPr>
      <w:rFonts w:ascii="Univers" w:hAnsi="Univers" w:cs="Univers"/>
      <w:sz w:val="18"/>
      <w:szCs w:val="24"/>
    </w:rPr>
  </w:style>
  <w:style w:type="paragraph" w:customStyle="1" w:styleId="EstiloIzquierda0cmPrimeralnea0cm">
    <w:name w:val="Estilo Izquierda:  0 cm Primera línea:  0 cm"/>
    <w:basedOn w:val="Normal"/>
    <w:qFormat/>
    <w:rPr>
      <w:rFonts w:ascii="Arial" w:hAnsi="Arial" w:cs="Arial"/>
      <w:szCs w:val="24"/>
      <w:lang w:val="es-ES"/>
    </w:rPr>
  </w:style>
  <w:style w:type="paragraph" w:customStyle="1" w:styleId="Textodenotaalfinal">
    <w:name w:val="Texto de nota al final"/>
    <w:basedOn w:val="Normal"/>
    <w:qFormat/>
    <w:pPr>
      <w:widowControl w:val="0"/>
    </w:pPr>
    <w:rPr>
      <w:rFonts w:ascii="Courier" w:hAnsi="Courier" w:cs="Courier"/>
      <w:sz w:val="24"/>
      <w:lang w:val="es-ES"/>
    </w:rPr>
  </w:style>
  <w:style w:type="paragraph" w:styleId="TDC2">
    <w:name w:val="toc 2"/>
    <w:basedOn w:val="Normal"/>
    <w:next w:val="Normal"/>
    <w:pPr>
      <w:tabs>
        <w:tab w:val="left" w:pos="426"/>
        <w:tab w:val="right" w:leader="dot" w:pos="8931"/>
      </w:tabs>
      <w:spacing w:after="100"/>
    </w:pPr>
    <w:rPr>
      <w:rFonts w:ascii="Calibri" w:hAnsi="Calibri" w:cs="Calibri"/>
      <w:sz w:val="22"/>
      <w:szCs w:val="22"/>
      <w:lang w:val="es-ES"/>
    </w:rPr>
  </w:style>
  <w:style w:type="paragraph" w:styleId="TDC3">
    <w:name w:val="toc 3"/>
    <w:basedOn w:val="Normal"/>
    <w:next w:val="Normal"/>
    <w:pPr>
      <w:tabs>
        <w:tab w:val="left" w:pos="1100"/>
        <w:tab w:val="right" w:leader="dot" w:pos="8931"/>
      </w:tabs>
      <w:spacing w:after="100"/>
      <w:ind w:left="440"/>
    </w:pPr>
    <w:rPr>
      <w:rFonts w:ascii="Calibri" w:hAnsi="Calibri" w:cs="Calibri"/>
      <w:sz w:val="22"/>
      <w:szCs w:val="22"/>
      <w:lang w:val="es-ES"/>
    </w:rPr>
  </w:style>
  <w:style w:type="paragraph" w:styleId="TDC4">
    <w:name w:val="toc 4"/>
    <w:basedOn w:val="Normal"/>
    <w:next w:val="Normal"/>
    <w:pPr>
      <w:spacing w:after="100"/>
      <w:ind w:left="660"/>
    </w:pPr>
    <w:rPr>
      <w:rFonts w:ascii="Calibri" w:hAnsi="Calibri" w:cs="Calibri"/>
      <w:sz w:val="22"/>
      <w:szCs w:val="22"/>
      <w:lang w:val="es-ES"/>
    </w:rPr>
  </w:style>
  <w:style w:type="paragraph" w:styleId="TDC5">
    <w:name w:val="toc 5"/>
    <w:basedOn w:val="Normal"/>
    <w:next w:val="Normal"/>
    <w:pPr>
      <w:spacing w:after="100"/>
      <w:ind w:left="880"/>
    </w:pPr>
    <w:rPr>
      <w:rFonts w:ascii="Calibri" w:hAnsi="Calibri" w:cs="Calibri"/>
      <w:sz w:val="22"/>
      <w:szCs w:val="22"/>
      <w:lang w:val="es-ES"/>
    </w:rPr>
  </w:style>
  <w:style w:type="paragraph" w:styleId="TDC6">
    <w:name w:val="toc 6"/>
    <w:basedOn w:val="Normal"/>
    <w:next w:val="Normal"/>
    <w:pPr>
      <w:spacing w:after="100"/>
      <w:ind w:left="1100"/>
    </w:pPr>
    <w:rPr>
      <w:rFonts w:ascii="Calibri" w:hAnsi="Calibri" w:cs="Calibri"/>
      <w:sz w:val="22"/>
      <w:szCs w:val="22"/>
      <w:lang w:val="es-ES"/>
    </w:rPr>
  </w:style>
  <w:style w:type="paragraph" w:styleId="TDC7">
    <w:name w:val="toc 7"/>
    <w:basedOn w:val="Normal"/>
    <w:next w:val="Normal"/>
    <w:pPr>
      <w:spacing w:after="100"/>
      <w:ind w:left="1320"/>
    </w:pPr>
    <w:rPr>
      <w:rFonts w:ascii="Calibri" w:hAnsi="Calibri" w:cs="Calibri"/>
      <w:sz w:val="22"/>
      <w:szCs w:val="22"/>
      <w:lang w:val="es-ES"/>
    </w:rPr>
  </w:style>
  <w:style w:type="paragraph" w:styleId="TDC8">
    <w:name w:val="toc 8"/>
    <w:basedOn w:val="Normal"/>
    <w:next w:val="Normal"/>
    <w:pPr>
      <w:spacing w:after="100"/>
      <w:ind w:left="1540"/>
    </w:pPr>
    <w:rPr>
      <w:rFonts w:ascii="Calibri" w:hAnsi="Calibri" w:cs="Calibri"/>
      <w:sz w:val="22"/>
      <w:szCs w:val="22"/>
      <w:lang w:val="es-ES"/>
    </w:rPr>
  </w:style>
  <w:style w:type="paragraph" w:styleId="TDC9">
    <w:name w:val="toc 9"/>
    <w:basedOn w:val="Normal"/>
    <w:next w:val="Normal"/>
    <w:pPr>
      <w:spacing w:after="100"/>
      <w:ind w:left="1760"/>
    </w:pPr>
    <w:rPr>
      <w:rFonts w:ascii="Calibri" w:hAnsi="Calibri" w:cs="Calibri"/>
      <w:sz w:val="22"/>
      <w:szCs w:val="22"/>
      <w:lang w:val="es-ES"/>
    </w:rPr>
  </w:style>
  <w:style w:type="paragraph" w:customStyle="1" w:styleId="sec7-clauses">
    <w:name w:val="sec7-clauses"/>
    <w:basedOn w:val="Normal"/>
    <w:qFormat/>
    <w:pPr>
      <w:numPr>
        <w:numId w:val="53"/>
      </w:numPr>
      <w:tabs>
        <w:tab w:val="clear" w:pos="720"/>
      </w:tabs>
      <w:spacing w:after="200" w:line="240" w:lineRule="auto"/>
      <w:ind w:left="360" w:firstLine="0"/>
    </w:pPr>
    <w:rPr>
      <w:rFonts w:ascii="Times New Roman Bold;Times New" w:hAnsi="Times New Roman Bold;Times New" w:cs="Times New Roman Bold;Times New"/>
      <w:b/>
      <w:sz w:val="24"/>
    </w:rPr>
  </w:style>
  <w:style w:type="paragraph" w:customStyle="1" w:styleId="Sub-ClauseText">
    <w:name w:val="Sub-Clause Text"/>
    <w:basedOn w:val="Normal"/>
    <w:qFormat/>
    <w:pPr>
      <w:spacing w:before="120" w:after="120" w:line="240" w:lineRule="auto"/>
      <w:jc w:val="both"/>
    </w:pPr>
    <w:rPr>
      <w:spacing w:val="-4"/>
      <w:sz w:val="24"/>
    </w:rPr>
  </w:style>
  <w:style w:type="paragraph" w:styleId="Asuntodelcomentario">
    <w:name w:val="annotation subject"/>
    <w:basedOn w:val="Textocomentario"/>
    <w:next w:val="Textocomentario"/>
    <w:qFormat/>
    <w:rPr>
      <w:b/>
      <w:bCs/>
    </w:rPr>
  </w:style>
  <w:style w:type="paragraph" w:styleId="Textosinformato">
    <w:name w:val="Plain Text"/>
    <w:basedOn w:val="Normal"/>
    <w:qFormat/>
    <w:pPr>
      <w:spacing w:line="240" w:lineRule="auto"/>
      <w:textAlignment w:val="baseline"/>
    </w:pPr>
    <w:rPr>
      <w:rFonts w:ascii="Courier New" w:hAnsi="Courier New" w:cs="Courier New"/>
      <w:szCs w:val="24"/>
      <w:lang w:val="en-US"/>
    </w:rPr>
  </w:style>
  <w:style w:type="paragraph" w:customStyle="1" w:styleId="Normal2">
    <w:name w:val="Normal2"/>
    <w:basedOn w:val="NormalWeb"/>
    <w:qFormat/>
    <w:pPr>
      <w:spacing w:line="240" w:lineRule="auto"/>
      <w:textAlignment w:val="baseline"/>
      <w:outlineLvl w:val="0"/>
    </w:pPr>
    <w:rPr>
      <w:lang w:val="es-ES"/>
    </w:rPr>
  </w:style>
  <w:style w:type="paragraph" w:styleId="Textodebloque">
    <w:name w:val="Block Text"/>
    <w:basedOn w:val="Normal"/>
    <w:qFormat/>
    <w:pPr>
      <w:widowControl w:val="0"/>
      <w:spacing w:line="240" w:lineRule="atLeast"/>
      <w:ind w:left="1440" w:right="522" w:hanging="1440"/>
      <w:jc w:val="both"/>
    </w:pPr>
    <w:rPr>
      <w:color w:val="000000"/>
      <w:sz w:val="24"/>
      <w:lang w:val="es-ES"/>
    </w:rPr>
  </w:style>
  <w:style w:type="paragraph" w:styleId="Listaconvietas3">
    <w:name w:val="List Bullet 3"/>
    <w:basedOn w:val="Normal"/>
    <w:qFormat/>
    <w:pPr>
      <w:numPr>
        <w:numId w:val="19"/>
      </w:numPr>
      <w:spacing w:line="240" w:lineRule="auto"/>
      <w:textAlignment w:val="baseline"/>
    </w:pPr>
    <w:rPr>
      <w:rFonts w:ascii="Arial" w:hAnsi="Arial" w:cs="Arial"/>
      <w:sz w:val="24"/>
      <w:lang w:val="es-ES"/>
    </w:rPr>
  </w:style>
  <w:style w:type="paragraph" w:customStyle="1" w:styleId="prrafoalineadoaizquierda0">
    <w:name w:val="prrafoalineadoaizquierda"/>
    <w:basedOn w:val="Normal"/>
    <w:qFormat/>
    <w:pPr>
      <w:spacing w:before="280" w:after="280" w:line="240" w:lineRule="auto"/>
    </w:pPr>
    <w:rPr>
      <w:sz w:val="24"/>
      <w:szCs w:val="24"/>
      <w:lang w:val="es-ES"/>
    </w:rPr>
  </w:style>
  <w:style w:type="paragraph" w:styleId="Revisin">
    <w:name w:val="Revision"/>
    <w:qFormat/>
    <w:rPr>
      <w:rFonts w:ascii="Times New Roman" w:eastAsia="Times New Roman" w:hAnsi="Times New Roman" w:cs="Times New Roman"/>
      <w:sz w:val="20"/>
      <w:szCs w:val="20"/>
      <w:lang w:bidi="ar-SA"/>
    </w:rPr>
  </w:style>
  <w:style w:type="paragraph" w:styleId="Subttulo">
    <w:name w:val="Subtitle"/>
    <w:basedOn w:val="Normal"/>
    <w:next w:val="Normal"/>
    <w:uiPriority w:val="11"/>
    <w:qFormat/>
    <w:pPr>
      <w:spacing w:after="60" w:line="240" w:lineRule="auto"/>
      <w:jc w:val="center"/>
      <w:textAlignment w:val="baseline"/>
      <w:outlineLvl w:val="1"/>
    </w:pPr>
    <w:rPr>
      <w:rFonts w:ascii="Cambria" w:hAnsi="Cambria" w:cs="Cambria"/>
      <w:sz w:val="24"/>
      <w:szCs w:val="24"/>
      <w:lang w:val="en-US"/>
    </w:rPr>
  </w:style>
  <w:style w:type="paragraph" w:styleId="Textoindependienteprimerasangra2">
    <w:name w:val="Body Text First Indent 2"/>
    <w:basedOn w:val="Sangradetextonormal"/>
    <w:qFormat/>
    <w:pPr>
      <w:widowControl/>
      <w:suppressAutoHyphens w:val="0"/>
      <w:spacing w:after="120"/>
      <w:ind w:left="283" w:firstLine="210"/>
      <w:jc w:val="left"/>
    </w:pPr>
  </w:style>
  <w:style w:type="paragraph" w:customStyle="1" w:styleId="HeadVII1">
    <w:name w:val="Head VII.1"/>
    <w:basedOn w:val="Normal"/>
    <w:qFormat/>
    <w:pPr>
      <w:spacing w:line="240" w:lineRule="auto"/>
      <w:jc w:val="both"/>
      <w:outlineLvl w:val="0"/>
    </w:pPr>
    <w:rPr>
      <w:b/>
      <w:i/>
      <w:sz w:val="24"/>
      <w:lang w:val="es-ES_tradnl"/>
    </w:rPr>
  </w:style>
  <w:style w:type="paragraph" w:customStyle="1" w:styleId="HeadVII">
    <w:name w:val="Head VII"/>
    <w:basedOn w:val="Normal"/>
    <w:qFormat/>
    <w:pPr>
      <w:spacing w:line="240" w:lineRule="auto"/>
      <w:jc w:val="both"/>
    </w:pPr>
    <w:rPr>
      <w:b/>
      <w:sz w:val="24"/>
      <w:lang w:val="es-ES_tradnl"/>
    </w:rPr>
  </w:style>
  <w:style w:type="paragraph" w:customStyle="1" w:styleId="Ttulo20">
    <w:name w:val="Título2"/>
    <w:basedOn w:val="Normal"/>
    <w:qFormat/>
    <w:pPr>
      <w:spacing w:before="240" w:after="60"/>
      <w:jc w:val="center"/>
      <w:outlineLvl w:val="0"/>
    </w:pPr>
    <w:rPr>
      <w:rFonts w:ascii="Arial" w:hAnsi="Arial" w:cs="Arial"/>
      <w:b/>
      <w:bCs/>
      <w:kern w:val="2"/>
      <w:sz w:val="32"/>
      <w:szCs w:val="32"/>
    </w:rPr>
  </w:style>
  <w:style w:type="paragraph" w:customStyle="1" w:styleId="TableContents">
    <w:name w:val="Table Contents"/>
    <w:basedOn w:val="Normal"/>
    <w:qFormat/>
    <w:pPr>
      <w:widowControl w:val="0"/>
      <w:suppressLineNumbers/>
    </w:pPr>
  </w:style>
  <w:style w:type="paragraph" w:customStyle="1" w:styleId="TableHeading">
    <w:name w:val="Table Heading"/>
    <w:basedOn w:val="TableContents"/>
    <w:qFormat/>
    <w:pPr>
      <w:jc w:val="center"/>
    </w:pPr>
    <w:rPr>
      <w:b/>
      <w:bCs/>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numbering" w:customStyle="1" w:styleId="WW8Num15">
    <w:name w:val="WW8Num15"/>
    <w:qFormat/>
  </w:style>
  <w:style w:type="numbering" w:customStyle="1" w:styleId="WW8Num16">
    <w:name w:val="WW8Num16"/>
    <w:qFormat/>
  </w:style>
  <w:style w:type="numbering" w:customStyle="1" w:styleId="WW8Num17">
    <w:name w:val="WW8Num17"/>
    <w:qFormat/>
  </w:style>
  <w:style w:type="numbering" w:customStyle="1" w:styleId="WW8Num18">
    <w:name w:val="WW8Num18"/>
    <w:qFormat/>
  </w:style>
  <w:style w:type="numbering" w:customStyle="1" w:styleId="WW8Num19">
    <w:name w:val="WW8Num19"/>
    <w:qFormat/>
  </w:style>
  <w:style w:type="numbering" w:customStyle="1" w:styleId="WW8Num20">
    <w:name w:val="WW8Num20"/>
    <w:qFormat/>
  </w:style>
  <w:style w:type="numbering" w:customStyle="1" w:styleId="WW8Num21">
    <w:name w:val="WW8Num21"/>
    <w:qFormat/>
  </w:style>
  <w:style w:type="numbering" w:customStyle="1" w:styleId="WW8Num22">
    <w:name w:val="WW8Num22"/>
    <w:qFormat/>
  </w:style>
  <w:style w:type="numbering" w:customStyle="1" w:styleId="WW8Num23">
    <w:name w:val="WW8Num23"/>
    <w:qFormat/>
  </w:style>
  <w:style w:type="numbering" w:customStyle="1" w:styleId="WW8Num24">
    <w:name w:val="WW8Num24"/>
    <w:qFormat/>
  </w:style>
  <w:style w:type="numbering" w:customStyle="1" w:styleId="WW8Num25">
    <w:name w:val="WW8Num25"/>
    <w:qFormat/>
  </w:style>
  <w:style w:type="numbering" w:customStyle="1" w:styleId="WW8Num26">
    <w:name w:val="WW8Num26"/>
    <w:qFormat/>
  </w:style>
  <w:style w:type="numbering" w:customStyle="1" w:styleId="WW8Num27">
    <w:name w:val="WW8Num27"/>
    <w:qFormat/>
  </w:style>
  <w:style w:type="numbering" w:customStyle="1" w:styleId="WW8Num28">
    <w:name w:val="WW8Num28"/>
    <w:qFormat/>
  </w:style>
  <w:style w:type="numbering" w:customStyle="1" w:styleId="WW8Num29">
    <w:name w:val="WW8Num29"/>
    <w:qFormat/>
  </w:style>
  <w:style w:type="numbering" w:customStyle="1" w:styleId="WW8Num30">
    <w:name w:val="WW8Num30"/>
    <w:qFormat/>
  </w:style>
  <w:style w:type="numbering" w:customStyle="1" w:styleId="WW8Num31">
    <w:name w:val="WW8Num31"/>
    <w:qFormat/>
  </w:style>
  <w:style w:type="numbering" w:customStyle="1" w:styleId="WW8Num32">
    <w:name w:val="WW8Num32"/>
    <w:qFormat/>
  </w:style>
  <w:style w:type="numbering" w:customStyle="1" w:styleId="WW8Num33">
    <w:name w:val="WW8Num33"/>
    <w:qFormat/>
  </w:style>
  <w:style w:type="numbering" w:customStyle="1" w:styleId="WW8Num34">
    <w:name w:val="WW8Num34"/>
    <w:qFormat/>
  </w:style>
  <w:style w:type="numbering" w:customStyle="1" w:styleId="WW8Num35">
    <w:name w:val="WW8Num35"/>
    <w:qFormat/>
  </w:style>
  <w:style w:type="numbering" w:customStyle="1" w:styleId="WW8Num36">
    <w:name w:val="WW8Num36"/>
    <w:qFormat/>
  </w:style>
  <w:style w:type="numbering" w:customStyle="1" w:styleId="WW8Num37">
    <w:name w:val="WW8Num37"/>
    <w:qFormat/>
  </w:style>
  <w:style w:type="numbering" w:customStyle="1" w:styleId="WW8Num38">
    <w:name w:val="WW8Num38"/>
    <w:qFormat/>
  </w:style>
  <w:style w:type="numbering" w:customStyle="1" w:styleId="WW8Num39">
    <w:name w:val="WW8Num39"/>
    <w:qFormat/>
  </w:style>
  <w:style w:type="numbering" w:customStyle="1" w:styleId="WW8Num40">
    <w:name w:val="WW8Num40"/>
    <w:qFormat/>
  </w:style>
  <w:style w:type="numbering" w:customStyle="1" w:styleId="WW8Num41">
    <w:name w:val="WW8Num41"/>
    <w:qFormat/>
  </w:style>
  <w:style w:type="numbering" w:customStyle="1" w:styleId="WW8Num42">
    <w:name w:val="WW8Num42"/>
    <w:qFormat/>
  </w:style>
  <w:style w:type="numbering" w:customStyle="1" w:styleId="WW8Num43">
    <w:name w:val="WW8Num43"/>
    <w:qFormat/>
  </w:style>
  <w:style w:type="numbering" w:customStyle="1" w:styleId="WW8Num44">
    <w:name w:val="WW8Num44"/>
    <w:qFormat/>
  </w:style>
  <w:style w:type="numbering" w:customStyle="1" w:styleId="WW8Num45">
    <w:name w:val="WW8Num45"/>
    <w:qFormat/>
  </w:style>
  <w:style w:type="numbering" w:customStyle="1" w:styleId="WW8Num46">
    <w:name w:val="WW8Num46"/>
    <w:qFormat/>
  </w:style>
  <w:style w:type="numbering" w:customStyle="1" w:styleId="WW8Num47">
    <w:name w:val="WW8Num47"/>
    <w:qFormat/>
  </w:style>
  <w:style w:type="numbering" w:customStyle="1" w:styleId="WW8Num48">
    <w:name w:val="WW8Num48"/>
    <w:qFormat/>
  </w:style>
  <w:style w:type="numbering" w:customStyle="1" w:styleId="WW8Num49">
    <w:name w:val="WW8Num49"/>
    <w:qFormat/>
  </w:style>
  <w:style w:type="numbering" w:customStyle="1" w:styleId="WW8Num50">
    <w:name w:val="WW8Num50"/>
    <w:qFormat/>
  </w:style>
  <w:style w:type="numbering" w:customStyle="1" w:styleId="WW8Num51">
    <w:name w:val="WW8Num51"/>
    <w:qFormat/>
  </w:style>
  <w:style w:type="numbering" w:customStyle="1" w:styleId="WW8Num52">
    <w:name w:val="WW8Num52"/>
    <w:qFormat/>
  </w:style>
  <w:style w:type="numbering" w:customStyle="1" w:styleId="WW8Num53">
    <w:name w:val="WW8Num53"/>
    <w:qFormat/>
  </w:style>
  <w:style w:type="numbering" w:customStyle="1" w:styleId="WW8Num54">
    <w:name w:val="WW8Num54"/>
    <w:qFormat/>
  </w:style>
  <w:style w:type="numbering" w:customStyle="1" w:styleId="WW8Num55">
    <w:name w:val="WW8Num55"/>
    <w:qFormat/>
  </w:style>
  <w:style w:type="numbering" w:customStyle="1" w:styleId="WW8Num56">
    <w:name w:val="WW8Num56"/>
    <w:qFormat/>
  </w:style>
  <w:style w:type="numbering" w:customStyle="1" w:styleId="WW8Num57">
    <w:name w:val="WW8Num57"/>
    <w:qFormat/>
  </w:style>
  <w:style w:type="numbering" w:customStyle="1" w:styleId="WW8Num58">
    <w:name w:val="WW8Num58"/>
    <w:qFormat/>
  </w:style>
  <w:style w:type="numbering" w:customStyle="1" w:styleId="WW8Num59">
    <w:name w:val="WW8Num59"/>
    <w:qFormat/>
  </w:style>
  <w:style w:type="numbering" w:customStyle="1" w:styleId="WW8Num60">
    <w:name w:val="WW8Num60"/>
    <w:qFormat/>
  </w:style>
  <w:style w:type="numbering" w:customStyle="1" w:styleId="WW8Num61">
    <w:name w:val="WW8Num61"/>
    <w:qFormat/>
  </w:style>
  <w:style w:type="numbering" w:customStyle="1" w:styleId="WW8Num62">
    <w:name w:val="WW8Num62"/>
    <w:qFormat/>
  </w:style>
  <w:style w:type="numbering" w:customStyle="1" w:styleId="WW8Num63">
    <w:name w:val="WW8Num63"/>
    <w:qFormat/>
  </w:style>
  <w:style w:type="numbering" w:customStyle="1" w:styleId="WW8Num64">
    <w:name w:val="WW8Num64"/>
    <w:qFormat/>
  </w:style>
  <w:style w:type="numbering" w:customStyle="1" w:styleId="WW8Num65">
    <w:name w:val="WW8Num65"/>
    <w:qFormat/>
  </w:style>
  <w:style w:type="numbering" w:customStyle="1" w:styleId="WW8Num66">
    <w:name w:val="WW8Num66"/>
    <w:qFormat/>
  </w:style>
  <w:style w:type="numbering" w:customStyle="1" w:styleId="WW8Num67">
    <w:name w:val="WW8Num67"/>
    <w:qFormat/>
  </w:style>
  <w:style w:type="numbering" w:customStyle="1" w:styleId="WW8Num68">
    <w:name w:val="WW8Num68"/>
    <w:qFormat/>
  </w:style>
  <w:style w:type="numbering" w:customStyle="1" w:styleId="WW8Num69">
    <w:name w:val="WW8Num69"/>
    <w:qFormat/>
  </w:style>
  <w:style w:type="numbering" w:customStyle="1" w:styleId="WW8Num70">
    <w:name w:val="WW8Num70"/>
    <w:qFormat/>
  </w:style>
  <w:style w:type="numbering" w:customStyle="1" w:styleId="WW8Num71">
    <w:name w:val="WW8Num71"/>
    <w:qFormat/>
  </w:style>
  <w:style w:type="numbering" w:customStyle="1" w:styleId="WW8Num72">
    <w:name w:val="WW8Num72"/>
    <w:qFormat/>
  </w:style>
  <w:style w:type="numbering" w:customStyle="1" w:styleId="WW8Num73">
    <w:name w:val="WW8Num73"/>
    <w:qFormat/>
  </w:style>
  <w:style w:type="numbering" w:customStyle="1" w:styleId="WW8Num74">
    <w:name w:val="WW8Num74"/>
    <w:qFormat/>
  </w:style>
  <w:style w:type="numbering" w:customStyle="1" w:styleId="WW8Num75">
    <w:name w:val="WW8Num75"/>
    <w:qFormat/>
  </w:style>
  <w:style w:type="numbering" w:customStyle="1" w:styleId="WW8Num76">
    <w:name w:val="WW8Num76"/>
    <w:qFormat/>
  </w:style>
  <w:style w:type="numbering" w:customStyle="1" w:styleId="WW8Num77">
    <w:name w:val="WW8Num77"/>
    <w:qFormat/>
  </w:style>
  <w:style w:type="numbering" w:customStyle="1" w:styleId="WW8Num78">
    <w:name w:val="WW8Num78"/>
    <w:qFormat/>
  </w:style>
  <w:style w:type="numbering" w:customStyle="1" w:styleId="WW8Num79">
    <w:name w:val="WW8Num79"/>
    <w:qFormat/>
  </w:style>
  <w:style w:type="numbering" w:customStyle="1" w:styleId="WW8Num80">
    <w:name w:val="WW8Num80"/>
    <w:qFormat/>
  </w:style>
  <w:style w:type="numbering" w:customStyle="1" w:styleId="WW8Num81">
    <w:name w:val="WW8Num81"/>
    <w:qFormat/>
  </w:style>
  <w:style w:type="numbering" w:customStyle="1" w:styleId="WW8Num82">
    <w:name w:val="WW8Num82"/>
    <w:qFormat/>
  </w:style>
  <w:style w:type="numbering" w:customStyle="1" w:styleId="WW8Num83">
    <w:name w:val="WW8Num83"/>
    <w:qFormat/>
  </w:style>
  <w:style w:type="numbering" w:customStyle="1" w:styleId="WW8Num84">
    <w:name w:val="WW8Num84"/>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mailto:licbienesyprodq@ose.com.uy" TargetMode="External"/><Relationship Id="rId26" Type="http://schemas.openxmlformats.org/officeDocument/2006/relationships/image" Target="media/image5.emf"/><Relationship Id="rId3" Type="http://schemas.openxmlformats.org/officeDocument/2006/relationships/settings" Target="settings.xml"/><Relationship Id="rId21" Type="http://schemas.openxmlformats.org/officeDocument/2006/relationships/hyperlink" Target="mailto:comercio.exterior@ose.com.uy" TargetMode="External"/><Relationship Id="rId34" Type="http://schemas.openxmlformats.org/officeDocument/2006/relationships/footer" Target="footer3.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hyperlink" Target="mailto:licbienesyprodq@ose.com.uy" TargetMode="External"/><Relationship Id="rId25" Type="http://schemas.openxmlformats.org/officeDocument/2006/relationships/package" Target="embeddings/Microsoft_Excel_Worksheet1.xlsx"/><Relationship Id="rId33"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mailto:licbienesyprodq@ose.com.uy" TargetMode="External"/><Relationship Id="rId20" Type="http://schemas.openxmlformats.org/officeDocument/2006/relationships/hyperlink" Target="mailto:almacenabayuba@ose.com.uy" TargetMode="External"/><Relationship Id="rId29" Type="http://schemas.openxmlformats.org/officeDocument/2006/relationships/package" Target="embeddings/Microsoft_Excel_Worksheet3.xlsx"/><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wmf"/><Relationship Id="rId24" Type="http://schemas.openxmlformats.org/officeDocument/2006/relationships/image" Target="media/image4.emf"/><Relationship Id="rId32" Type="http://schemas.openxmlformats.org/officeDocument/2006/relationships/image" Target="media/image8.png"/><Relationship Id="rId5" Type="http://schemas.openxmlformats.org/officeDocument/2006/relationships/footnotes" Target="footnotes.xml"/><Relationship Id="rId15" Type="http://schemas.openxmlformats.org/officeDocument/2006/relationships/footer" Target="footer2.xml"/><Relationship Id="rId23" Type="http://schemas.openxmlformats.org/officeDocument/2006/relationships/package" Target="embeddings/Microsoft_Excel_Worksheet.xlsx"/><Relationship Id="rId28" Type="http://schemas.openxmlformats.org/officeDocument/2006/relationships/image" Target="media/image6.emf"/><Relationship Id="rId36" Type="http://schemas.openxmlformats.org/officeDocument/2006/relationships/theme" Target="theme/theme1.xml"/><Relationship Id="rId10" Type="http://schemas.openxmlformats.org/officeDocument/2006/relationships/hyperlink" Target="https://www.onlinedoctranslator.com/en/?utm_source=onlinedoctranslator&amp;utm_medium=doc&amp;utm_campaign=attribution" TargetMode="External"/><Relationship Id="rId19" Type="http://schemas.openxmlformats.org/officeDocument/2006/relationships/hyperlink" Target="mailto:comercio.exterior@ose.com.uy" TargetMode="External"/><Relationship Id="rId31" Type="http://schemas.openxmlformats.org/officeDocument/2006/relationships/package" Target="embeddings/Microsoft_Word_Document.docx"/><Relationship Id="rId4" Type="http://schemas.openxmlformats.org/officeDocument/2006/relationships/webSettings" Target="webSettings.xml"/><Relationship Id="rId9" Type="http://schemas.openxmlformats.org/officeDocument/2006/relationships/image" Target="media/image10.png"/><Relationship Id="rId14" Type="http://schemas.openxmlformats.org/officeDocument/2006/relationships/header" Target="header2.xml"/><Relationship Id="rId22" Type="http://schemas.openxmlformats.org/officeDocument/2006/relationships/image" Target="media/image3.emf"/><Relationship Id="rId27" Type="http://schemas.openxmlformats.org/officeDocument/2006/relationships/package" Target="embeddings/Microsoft_Excel_Worksheet2.xlsx"/><Relationship Id="rId30" Type="http://schemas.openxmlformats.org/officeDocument/2006/relationships/image" Target="media/image7.emf"/><Relationship Id="rId35" Type="http://schemas.openxmlformats.org/officeDocument/2006/relationships/fontTable" Target="fontTable.xml"/><Relationship Id="rId8" Type="http://schemas.openxmlformats.org/officeDocument/2006/relationships/hyperlink" Target="https://www.onlinedoctranslator.com/en/?utm_source=onlinedoctranslator&amp;utm_medium=doc&amp;utm_campaign=attribution"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82</Pages>
  <Words>29689</Words>
  <Characters>163295</Characters>
  <Application>Microsoft Office Word</Application>
  <DocSecurity>0</DocSecurity>
  <Lines>1360</Lines>
  <Paragraphs>385</Paragraphs>
  <ScaleCrop>false</ScaleCrop>
  <Company/>
  <LinksUpToDate>false</LinksUpToDate>
  <CharactersWithSpaces>192599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Gustavo Havranek</dc:creator>
  <cp:lastModifiedBy>Gustavo Havranek</cp:lastModifiedBy>
  <cp:revision>2</cp:revision>
  <dcterms:created xsi:type="dcterms:W3CDTF">2026-04-28T20:22:00Z</dcterms:created>
  <dcterms:modified xsi:type="dcterms:W3CDTF">2026-04-28T20:22:00Z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2026-04-10T13:19:00Z</dcterms:created>
  <dc:creator>Conferencia01</dc:creator>
  <dc:description/>
  <cp:keywords> </cp:keywords>
  <dc:language>en-US</dc:language>
  <cp:lastModifiedBy>Gustavo Havranek</cp:lastModifiedBy>
  <cp:lastPrinted>2024-05-23T10:38:00Z</cp:lastPrinted>
  <dcterms:modified xsi:type="dcterms:W3CDTF">2026-04-10T13:19:00Z</dcterms:modified>
  <cp:revision>2</cp:revision>
  <dc:subject/>
  <dc:title/>
</cp:coreProperties>
</file>